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footer145.xml" ContentType="application/vnd.openxmlformats-officedocument.wordprocessingml.footer+xml"/>
  <Override PartName="/word/footer146.xml" ContentType="application/vnd.openxmlformats-officedocument.wordprocessingml.footer+xml"/>
  <Override PartName="/word/footer147.xml" ContentType="application/vnd.openxmlformats-officedocument.wordprocessingml.footer+xml"/>
  <Override PartName="/word/footer148.xml" ContentType="application/vnd.openxmlformats-officedocument.wordprocessingml.footer+xml"/>
  <Override PartName="/word/footer149.xml" ContentType="application/vnd.openxmlformats-officedocument.wordprocessingml.footer+xml"/>
  <Override PartName="/word/footer15.xml" ContentType="application/vnd.openxmlformats-officedocument.wordprocessingml.footer+xml"/>
  <Override PartName="/word/footer150.xml" ContentType="application/vnd.openxmlformats-officedocument.wordprocessingml.footer+xml"/>
  <Override PartName="/word/footer151.xml" ContentType="application/vnd.openxmlformats-officedocument.wordprocessingml.footer+xml"/>
  <Override PartName="/word/footer152.xml" ContentType="application/vnd.openxmlformats-officedocument.wordprocessingml.footer+xml"/>
  <Override PartName="/word/footer153.xml" ContentType="application/vnd.openxmlformats-officedocument.wordprocessingml.footer+xml"/>
  <Override PartName="/word/footer154.xml" ContentType="application/vnd.openxmlformats-officedocument.wordprocessingml.footer+xml"/>
  <Override PartName="/word/footer155.xml" ContentType="application/vnd.openxmlformats-officedocument.wordprocessingml.footer+xml"/>
  <Override PartName="/word/footer156.xml" ContentType="application/vnd.openxmlformats-officedocument.wordprocessingml.footer+xml"/>
  <Override PartName="/word/footer157.xml" ContentType="application/vnd.openxmlformats-officedocument.wordprocessingml.footer+xml"/>
  <Override PartName="/word/footer158.xml" ContentType="application/vnd.openxmlformats-officedocument.wordprocessingml.footer+xml"/>
  <Override PartName="/word/footer159.xml" ContentType="application/vnd.openxmlformats-officedocument.wordprocessingml.footer+xml"/>
  <Override PartName="/word/footer16.xml" ContentType="application/vnd.openxmlformats-officedocument.wordprocessingml.footer+xml"/>
  <Override PartName="/word/footer160.xml" ContentType="application/vnd.openxmlformats-officedocument.wordprocessingml.footer+xml"/>
  <Override PartName="/word/footer161.xml" ContentType="application/vnd.openxmlformats-officedocument.wordprocessingml.footer+xml"/>
  <Override PartName="/word/footer162.xml" ContentType="application/vnd.openxmlformats-officedocument.wordprocessingml.footer+xml"/>
  <Override PartName="/word/footer163.xml" ContentType="application/vnd.openxmlformats-officedocument.wordprocessingml.footer+xml"/>
  <Override PartName="/word/footer164.xml" ContentType="application/vnd.openxmlformats-officedocument.wordprocessingml.footer+xml"/>
  <Override PartName="/word/footer165.xml" ContentType="application/vnd.openxmlformats-officedocument.wordprocessingml.footer+xml"/>
  <Override PartName="/word/footer166.xml" ContentType="application/vnd.openxmlformats-officedocument.wordprocessingml.footer+xml"/>
  <Override PartName="/word/footer167.xml" ContentType="application/vnd.openxmlformats-officedocument.wordprocessingml.footer+xml"/>
  <Override PartName="/word/footer168.xml" ContentType="application/vnd.openxmlformats-officedocument.wordprocessingml.footer+xml"/>
  <Override PartName="/word/footer169.xml" ContentType="application/vnd.openxmlformats-officedocument.wordprocessingml.footer+xml"/>
  <Override PartName="/word/footer17.xml" ContentType="application/vnd.openxmlformats-officedocument.wordprocessingml.footer+xml"/>
  <Override PartName="/word/footer170.xml" ContentType="application/vnd.openxmlformats-officedocument.wordprocessingml.footer+xml"/>
  <Override PartName="/word/footer171.xml" ContentType="application/vnd.openxmlformats-officedocument.wordprocessingml.footer+xml"/>
  <Override PartName="/word/footer172.xml" ContentType="application/vnd.openxmlformats-officedocument.wordprocessingml.footer+xml"/>
  <Override PartName="/word/footer173.xml" ContentType="application/vnd.openxmlformats-officedocument.wordprocessingml.footer+xml"/>
  <Override PartName="/word/footer174.xml" ContentType="application/vnd.openxmlformats-officedocument.wordprocessingml.footer+xml"/>
  <Override PartName="/word/footer175.xml" ContentType="application/vnd.openxmlformats-officedocument.wordprocessingml.footer+xml"/>
  <Override PartName="/word/footer176.xml" ContentType="application/vnd.openxmlformats-officedocument.wordprocessingml.footer+xml"/>
  <Override PartName="/word/footer177.xml" ContentType="application/vnd.openxmlformats-officedocument.wordprocessingml.footer+xml"/>
  <Override PartName="/word/footer178.xml" ContentType="application/vnd.openxmlformats-officedocument.wordprocessingml.footer+xml"/>
  <Override PartName="/word/footer179.xml" ContentType="application/vnd.openxmlformats-officedocument.wordprocessingml.footer+xml"/>
  <Override PartName="/word/footer18.xml" ContentType="application/vnd.openxmlformats-officedocument.wordprocessingml.footer+xml"/>
  <Override PartName="/word/footer180.xml" ContentType="application/vnd.openxmlformats-officedocument.wordprocessingml.footer+xml"/>
  <Override PartName="/word/footer181.xml" ContentType="application/vnd.openxmlformats-officedocument.wordprocessingml.footer+xml"/>
  <Override PartName="/word/footer182.xml" ContentType="application/vnd.openxmlformats-officedocument.wordprocessingml.footer+xml"/>
  <Override PartName="/word/footer183.xml" ContentType="application/vnd.openxmlformats-officedocument.wordprocessingml.footer+xml"/>
  <Override PartName="/word/footer184.xml" ContentType="application/vnd.openxmlformats-officedocument.wordprocessingml.footer+xml"/>
  <Override PartName="/word/footer185.xml" ContentType="application/vnd.openxmlformats-officedocument.wordprocessingml.footer+xml"/>
  <Override PartName="/word/footer186.xml" ContentType="application/vnd.openxmlformats-officedocument.wordprocessingml.footer+xml"/>
  <Override PartName="/word/footer187.xml" ContentType="application/vnd.openxmlformats-officedocument.wordprocessingml.footer+xml"/>
  <Override PartName="/word/footer188.xml" ContentType="application/vnd.openxmlformats-officedocument.wordprocessingml.footer+xml"/>
  <Override PartName="/word/footer189.xml" ContentType="application/vnd.openxmlformats-officedocument.wordprocessingml.footer+xml"/>
  <Override PartName="/word/footer19.xml" ContentType="application/vnd.openxmlformats-officedocument.wordprocessingml.footer+xml"/>
  <Override PartName="/word/footer190.xml" ContentType="application/vnd.openxmlformats-officedocument.wordprocessingml.footer+xml"/>
  <Override PartName="/word/footer191.xml" ContentType="application/vnd.openxmlformats-officedocument.wordprocessingml.footer+xml"/>
  <Override PartName="/word/footer192.xml" ContentType="application/vnd.openxmlformats-officedocument.wordprocessingml.footer+xml"/>
  <Override PartName="/word/footer193.xml" ContentType="application/vnd.openxmlformats-officedocument.wordprocessingml.footer+xml"/>
  <Override PartName="/word/footer194.xml" ContentType="application/vnd.openxmlformats-officedocument.wordprocessingml.footer+xml"/>
  <Override PartName="/word/footer195.xml" ContentType="application/vnd.openxmlformats-officedocument.wordprocessingml.footer+xml"/>
  <Override PartName="/word/footer196.xml" ContentType="application/vnd.openxmlformats-officedocument.wordprocessingml.footer+xml"/>
  <Override PartName="/word/footer197.xml" ContentType="application/vnd.openxmlformats-officedocument.wordprocessingml.footer+xml"/>
  <Override PartName="/word/footer198.xml" ContentType="application/vnd.openxmlformats-officedocument.wordprocessingml.footer+xml"/>
  <Override PartName="/word/footer19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00.xml" ContentType="application/vnd.openxmlformats-officedocument.wordprocessingml.footer+xml"/>
  <Override PartName="/word/footer201.xml" ContentType="application/vnd.openxmlformats-officedocument.wordprocessingml.footer+xml"/>
  <Override PartName="/word/footer202.xml" ContentType="application/vnd.openxmlformats-officedocument.wordprocessingml.footer+xml"/>
  <Override PartName="/word/footer203.xml" ContentType="application/vnd.openxmlformats-officedocument.wordprocessingml.footer+xml"/>
  <Override PartName="/word/footer204.xml" ContentType="application/vnd.openxmlformats-officedocument.wordprocessingml.footer+xml"/>
  <Override PartName="/word/footer205.xml" ContentType="application/vnd.openxmlformats-officedocument.wordprocessingml.footer+xml"/>
  <Override PartName="/word/footer206.xml" ContentType="application/vnd.openxmlformats-officedocument.wordprocessingml.footer+xml"/>
  <Override PartName="/word/footer207.xml" ContentType="application/vnd.openxmlformats-officedocument.wordprocessingml.footer+xml"/>
  <Override PartName="/word/footer208.xml" ContentType="application/vnd.openxmlformats-officedocument.wordprocessingml.footer+xml"/>
  <Override PartName="/word/footer209.xml" ContentType="application/vnd.openxmlformats-officedocument.wordprocessingml.footer+xml"/>
  <Override PartName="/word/footer21.xml" ContentType="application/vnd.openxmlformats-officedocument.wordprocessingml.footer+xml"/>
  <Override PartName="/word/footer210.xml" ContentType="application/vnd.openxmlformats-officedocument.wordprocessingml.footer+xml"/>
  <Override PartName="/word/footer211.xml" ContentType="application/vnd.openxmlformats-officedocument.wordprocessingml.footer+xml"/>
  <Override PartName="/word/footer212.xml" ContentType="application/vnd.openxmlformats-officedocument.wordprocessingml.footer+xml"/>
  <Override PartName="/word/footer213.xml" ContentType="application/vnd.openxmlformats-officedocument.wordprocessingml.footer+xml"/>
  <Override PartName="/word/footer214.xml" ContentType="application/vnd.openxmlformats-officedocument.wordprocessingml.footer+xml"/>
  <Override PartName="/word/footer215.xml" ContentType="application/vnd.openxmlformats-officedocument.wordprocessingml.footer+xml"/>
  <Override PartName="/word/footer216.xml" ContentType="application/vnd.openxmlformats-officedocument.wordprocessingml.footer+xml"/>
  <Override PartName="/word/footer217.xml" ContentType="application/vnd.openxmlformats-officedocument.wordprocessingml.footer+xml"/>
  <Override PartName="/word/footer218.xml" ContentType="application/vnd.openxmlformats-officedocument.wordprocessingml.footer+xml"/>
  <Override PartName="/word/footer219.xml" ContentType="application/vnd.openxmlformats-officedocument.wordprocessingml.footer+xml"/>
  <Override PartName="/word/footer22.xml" ContentType="application/vnd.openxmlformats-officedocument.wordprocessingml.footer+xml"/>
  <Override PartName="/word/footer220.xml" ContentType="application/vnd.openxmlformats-officedocument.wordprocessingml.footer+xml"/>
  <Override PartName="/word/footer221.xml" ContentType="application/vnd.openxmlformats-officedocument.wordprocessingml.footer+xml"/>
  <Override PartName="/word/footer222.xml" ContentType="application/vnd.openxmlformats-officedocument.wordprocessingml.footer+xml"/>
  <Override PartName="/word/footer223.xml" ContentType="application/vnd.openxmlformats-officedocument.wordprocessingml.footer+xml"/>
  <Override PartName="/word/footer224.xml" ContentType="application/vnd.openxmlformats-officedocument.wordprocessingml.footer+xml"/>
  <Override PartName="/word/footer225.xml" ContentType="application/vnd.openxmlformats-officedocument.wordprocessingml.footer+xml"/>
  <Override PartName="/word/footer226.xml" ContentType="application/vnd.openxmlformats-officedocument.wordprocessingml.footer+xml"/>
  <Override PartName="/word/footer227.xml" ContentType="application/vnd.openxmlformats-officedocument.wordprocessingml.footer+xml"/>
  <Override PartName="/word/footer228.xml" ContentType="application/vnd.openxmlformats-officedocument.wordprocessingml.footer+xml"/>
  <Override PartName="/word/footer229.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DA43ED6">
      <w:pPr>
        <w:pStyle w:val="3"/>
        <w:spacing w:line="278" w:lineRule="auto"/>
      </w:pPr>
    </w:p>
    <w:p w14:paraId="3BF9CF9B">
      <w:pPr>
        <w:pStyle w:val="3"/>
        <w:spacing w:line="279" w:lineRule="auto"/>
      </w:pPr>
    </w:p>
    <w:p w14:paraId="7008B32F">
      <w:pPr>
        <w:pStyle w:val="3"/>
        <w:spacing w:line="279" w:lineRule="auto"/>
      </w:pPr>
    </w:p>
    <w:p w14:paraId="6B24BC31">
      <w:pPr>
        <w:pStyle w:val="3"/>
        <w:spacing w:line="279" w:lineRule="auto"/>
      </w:pPr>
    </w:p>
    <w:p w14:paraId="3CF2AFB1">
      <w:pPr>
        <w:pStyle w:val="3"/>
        <w:spacing w:line="279" w:lineRule="auto"/>
      </w:pPr>
    </w:p>
    <w:p w14:paraId="69E046B0">
      <w:pPr>
        <w:pStyle w:val="3"/>
        <w:spacing w:line="279" w:lineRule="auto"/>
      </w:pPr>
    </w:p>
    <w:p w14:paraId="5560DC88">
      <w:pPr>
        <w:tabs>
          <w:tab w:val="left" w:pos="5132"/>
        </w:tabs>
        <w:spacing w:before="104" w:line="221" w:lineRule="auto"/>
        <w:ind w:left="9" w:leftChars="0" w:hanging="9" w:firstLineChars="0"/>
        <w:jc w:val="center"/>
        <w:rPr>
          <w:rFonts w:ascii="宋体" w:hAnsi="宋体" w:eastAsia="宋体" w:cs="宋体"/>
          <w:sz w:val="32"/>
          <w:szCs w:val="32"/>
        </w:rPr>
      </w:pPr>
      <w:bookmarkStart w:id="0" w:name="EB6cbe765a4abc42f7a96d704a29818f3c"/>
      <w:r>
        <w:rPr>
          <w:rFonts w:hint="eastAsia" w:ascii="宋体" w:hAnsi="宋体" w:eastAsia="宋体" w:cs="宋体"/>
          <w:sz w:val="32"/>
          <w:szCs w:val="32"/>
          <w:lang w:val="en-US" w:eastAsia="zh-CN"/>
          <w14:textOutline w14:w="5834" w14:cap="flat" w14:cmpd="sng">
            <w14:solidFill>
              <w14:srgbClr w14:val="000000"/>
            </w14:solidFill>
            <w14:prstDash w14:val="solid"/>
            <w14:miter w14:val="0"/>
          </w14:textOutline>
        </w:rPr>
        <w:t xml:space="preserve">  </w:t>
      </w:r>
      <w:bookmarkEnd w:id="0"/>
      <w:r>
        <w:rPr>
          <w:rFonts w:hint="eastAsia" w:ascii="宋体" w:hAnsi="宋体" w:eastAsia="宋体" w:cs="宋体"/>
          <w:sz w:val="32"/>
          <w:szCs w:val="32"/>
          <w:lang w:val="en-US" w:eastAsia="zh-CN"/>
          <w14:textOutline w14:w="5834" w14:cap="flat" w14:cmpd="sng">
            <w14:solidFill>
              <w14:srgbClr w14:val="000000"/>
            </w14:solidFill>
            <w14:prstDash w14:val="solid"/>
            <w14:miter w14:val="0"/>
          </w14:textOutline>
        </w:rPr>
        <w:t xml:space="preserve"> </w:t>
      </w:r>
      <w:r>
        <w:rPr>
          <w:rFonts w:hint="eastAsia" w:ascii="宋体" w:hAnsi="宋体" w:eastAsia="宋体" w:cs="宋体"/>
          <w:sz w:val="32"/>
          <w:szCs w:val="32"/>
          <w:lang w:eastAsia="zh-CN"/>
          <w14:textOutline w14:w="5834" w14:cap="flat" w14:cmpd="sng">
            <w14:solidFill>
              <w14:srgbClr w14:val="000000"/>
            </w14:solidFill>
            <w14:prstDash w14:val="solid"/>
            <w14:miter w14:val="0"/>
          </w14:textOutline>
        </w:rPr>
        <w:t>营口市大庆路、联盟路排水管网改造工程过铁工程施工</w:t>
      </w:r>
      <w:r>
        <w:rPr>
          <w:rFonts w:ascii="宋体" w:hAnsi="宋体" w:eastAsia="宋体" w:cs="宋体"/>
          <w:sz w:val="32"/>
          <w:szCs w:val="32"/>
        </w:rPr>
        <w:t>（</w:t>
      </w:r>
      <w:r>
        <w:rPr>
          <w:rFonts w:ascii="宋体" w:hAnsi="宋体" w:eastAsia="宋体" w:cs="宋体"/>
          <w:sz w:val="32"/>
          <w:szCs w:val="32"/>
          <w14:textOutline w14:w="5834" w14:cap="flat" w14:cmpd="sng">
            <w14:solidFill>
              <w14:srgbClr w14:val="000000"/>
            </w14:solidFill>
            <w14:prstDash w14:val="solid"/>
            <w14:miter w14:val="0"/>
          </w14:textOutline>
        </w:rPr>
        <w:t>标段名称</w:t>
      </w:r>
      <w:r>
        <w:rPr>
          <w:rFonts w:ascii="宋体" w:hAnsi="宋体" w:eastAsia="宋体" w:cs="宋体"/>
          <w:sz w:val="32"/>
          <w:szCs w:val="32"/>
        </w:rPr>
        <w:t>）</w:t>
      </w:r>
    </w:p>
    <w:p w14:paraId="1E7214F1">
      <w:pPr>
        <w:pStyle w:val="3"/>
        <w:spacing w:line="265" w:lineRule="auto"/>
      </w:pPr>
    </w:p>
    <w:p w14:paraId="18000319">
      <w:pPr>
        <w:pStyle w:val="3"/>
        <w:spacing w:line="266" w:lineRule="auto"/>
      </w:pPr>
    </w:p>
    <w:p w14:paraId="4DDEACF2">
      <w:pPr>
        <w:pStyle w:val="3"/>
        <w:spacing w:line="266" w:lineRule="auto"/>
      </w:pPr>
    </w:p>
    <w:p w14:paraId="2DE432FD">
      <w:pPr>
        <w:pStyle w:val="3"/>
        <w:spacing w:line="266" w:lineRule="auto"/>
      </w:pPr>
    </w:p>
    <w:p w14:paraId="2E12B580">
      <w:pPr>
        <w:pStyle w:val="3"/>
        <w:spacing w:line="266" w:lineRule="auto"/>
      </w:pPr>
    </w:p>
    <w:p w14:paraId="39308DD4">
      <w:pPr>
        <w:pStyle w:val="3"/>
        <w:spacing w:line="266" w:lineRule="auto"/>
      </w:pPr>
    </w:p>
    <w:p w14:paraId="14EDA0AB">
      <w:pPr>
        <w:pStyle w:val="3"/>
        <w:spacing w:line="266" w:lineRule="auto"/>
      </w:pPr>
    </w:p>
    <w:p w14:paraId="099A9C91">
      <w:pPr>
        <w:spacing w:before="234" w:line="219" w:lineRule="auto"/>
        <w:ind w:left="2210"/>
        <w:rPr>
          <w:rFonts w:ascii="黑体" w:hAnsi="黑体" w:eastAsia="黑体" w:cs="黑体"/>
          <w:sz w:val="72"/>
          <w:szCs w:val="72"/>
        </w:rPr>
      </w:pPr>
      <w:r>
        <w:rPr>
          <w:rFonts w:ascii="黑体" w:hAnsi="黑体" w:eastAsia="黑体" w:cs="黑体"/>
          <w:spacing w:val="-13"/>
          <w:sz w:val="72"/>
          <w:szCs w:val="72"/>
        </w:rPr>
        <w:t>招 标</w:t>
      </w:r>
      <w:r>
        <w:rPr>
          <w:rFonts w:ascii="黑体" w:hAnsi="黑体" w:eastAsia="黑体" w:cs="黑体"/>
          <w:spacing w:val="39"/>
          <w:sz w:val="72"/>
          <w:szCs w:val="72"/>
        </w:rPr>
        <w:t xml:space="preserve"> </w:t>
      </w:r>
      <w:r>
        <w:rPr>
          <w:rFonts w:ascii="黑体" w:hAnsi="黑体" w:eastAsia="黑体" w:cs="黑体"/>
          <w:spacing w:val="-13"/>
          <w:sz w:val="72"/>
          <w:szCs w:val="72"/>
        </w:rPr>
        <w:t>文</w:t>
      </w:r>
      <w:r>
        <w:rPr>
          <w:rFonts w:ascii="黑体" w:hAnsi="黑体" w:eastAsia="黑体" w:cs="黑体"/>
          <w:spacing w:val="23"/>
          <w:sz w:val="72"/>
          <w:szCs w:val="72"/>
        </w:rPr>
        <w:t xml:space="preserve"> </w:t>
      </w:r>
      <w:r>
        <w:rPr>
          <w:rFonts w:ascii="黑体" w:hAnsi="黑体" w:eastAsia="黑体" w:cs="黑体"/>
          <w:spacing w:val="-13"/>
          <w:sz w:val="72"/>
          <w:szCs w:val="72"/>
        </w:rPr>
        <w:t>件</w:t>
      </w:r>
    </w:p>
    <w:p w14:paraId="28350CCA">
      <w:pPr>
        <w:pStyle w:val="3"/>
        <w:spacing w:line="307" w:lineRule="auto"/>
      </w:pPr>
    </w:p>
    <w:p w14:paraId="538DE915">
      <w:pPr>
        <w:pStyle w:val="3"/>
        <w:spacing w:line="308" w:lineRule="auto"/>
      </w:pPr>
    </w:p>
    <w:p w14:paraId="4EF97647">
      <w:pPr>
        <w:spacing w:before="88" w:line="371" w:lineRule="auto"/>
        <w:ind w:left="2098"/>
        <w:rPr>
          <w:rFonts w:ascii="黑体" w:hAnsi="黑体" w:eastAsia="黑体" w:cs="黑体"/>
          <w:sz w:val="27"/>
          <w:szCs w:val="27"/>
        </w:rPr>
      </w:pPr>
      <w:r>
        <w:rPr>
          <w:rFonts w:ascii="黑体" w:hAnsi="黑体" w:eastAsia="黑体" w:cs="黑体"/>
          <w:spacing w:val="5"/>
          <w:sz w:val="27"/>
          <w:szCs w:val="27"/>
        </w:rPr>
        <w:t>（标段唯一标识码</w:t>
      </w:r>
      <w:r>
        <w:rPr>
          <w:rFonts w:ascii="黑体" w:hAnsi="黑体" w:eastAsia="黑体" w:cs="黑体"/>
          <w:spacing w:val="1"/>
          <w:sz w:val="27"/>
          <w:szCs w:val="27"/>
          <w:u w:val="single" w:color="auto"/>
        </w:rPr>
        <w:t>：</w:t>
      </w:r>
      <w:r>
        <w:rPr>
          <w:rFonts w:hint="eastAsia" w:ascii="黑体" w:hAnsi="黑体" w:eastAsia="黑体" w:cs="黑体"/>
          <w:spacing w:val="1"/>
          <w:sz w:val="27"/>
          <w:szCs w:val="27"/>
          <w:u w:val="single" w:color="auto"/>
          <w:lang w:val="en-US" w:eastAsia="zh-CN"/>
        </w:rPr>
        <w:t>xxx</w:t>
      </w:r>
      <w:r>
        <w:rPr>
          <w:rFonts w:ascii="黑体" w:hAnsi="黑体" w:eastAsia="黑体" w:cs="黑体"/>
          <w:spacing w:val="6"/>
          <w:sz w:val="27"/>
          <w:szCs w:val="27"/>
          <w:u w:val="single" w:color="auto"/>
        </w:rPr>
        <w:t xml:space="preserve">          </w:t>
      </w:r>
      <w:r>
        <w:rPr>
          <w:rFonts w:ascii="黑体" w:hAnsi="黑体" w:eastAsia="黑体" w:cs="黑体"/>
          <w:spacing w:val="1"/>
          <w:sz w:val="27"/>
          <w:szCs w:val="27"/>
        </w:rPr>
        <w:t>）</w:t>
      </w:r>
    </w:p>
    <w:p w14:paraId="7C6EBFED">
      <w:pPr>
        <w:spacing w:before="1" w:line="223" w:lineRule="auto"/>
        <w:ind w:left="1892" w:firstLine="232" w:firstLineChars="100"/>
        <w:rPr>
          <w:rFonts w:ascii="黑体" w:hAnsi="黑体" w:eastAsia="黑体" w:cs="黑体"/>
          <w:sz w:val="27"/>
          <w:szCs w:val="27"/>
        </w:rPr>
      </w:pPr>
      <w:r>
        <w:rPr>
          <w:rFonts w:ascii="黑体" w:hAnsi="黑体" w:eastAsia="黑体" w:cs="黑体"/>
          <w:spacing w:val="-19"/>
          <w:sz w:val="27"/>
          <w:szCs w:val="27"/>
        </w:rPr>
        <w:t>（标段编号</w:t>
      </w:r>
      <w:r>
        <w:rPr>
          <w:rFonts w:ascii="黑体" w:hAnsi="黑体" w:eastAsia="黑体" w:cs="黑体"/>
          <w:sz w:val="27"/>
          <w:szCs w:val="27"/>
        </w:rPr>
        <w:t>：</w:t>
      </w:r>
      <w:r>
        <w:rPr>
          <w:rFonts w:ascii="黑体" w:hAnsi="黑体" w:eastAsia="黑体" w:cs="黑体"/>
          <w:spacing w:val="-19"/>
          <w:sz w:val="27"/>
          <w:szCs w:val="27"/>
        </w:rPr>
        <w:t xml:space="preserve"> </w:t>
      </w:r>
      <w:r>
        <w:rPr>
          <w:rFonts w:ascii="黑体" w:hAnsi="黑体" w:eastAsia="黑体" w:cs="黑体"/>
          <w:spacing w:val="5"/>
          <w:sz w:val="27"/>
          <w:szCs w:val="27"/>
          <w:u w:val="single" w:color="auto"/>
        </w:rPr>
        <w:t xml:space="preserve">                   </w:t>
      </w:r>
      <w:r>
        <w:rPr>
          <w:rFonts w:ascii="黑体" w:hAnsi="黑体" w:eastAsia="黑体" w:cs="黑体"/>
          <w:sz w:val="27"/>
          <w:szCs w:val="27"/>
        </w:rPr>
        <w:t>）</w:t>
      </w:r>
    </w:p>
    <w:p w14:paraId="4F534190">
      <w:pPr>
        <w:pStyle w:val="3"/>
      </w:pPr>
    </w:p>
    <w:p w14:paraId="373CE36E">
      <w:pPr>
        <w:pStyle w:val="3"/>
      </w:pPr>
    </w:p>
    <w:p w14:paraId="08C8643D">
      <w:pPr>
        <w:pStyle w:val="3"/>
      </w:pPr>
    </w:p>
    <w:p w14:paraId="3F992D03">
      <w:pPr>
        <w:pStyle w:val="3"/>
      </w:pPr>
    </w:p>
    <w:p w14:paraId="30BF1B16">
      <w:pPr>
        <w:pStyle w:val="3"/>
      </w:pPr>
    </w:p>
    <w:p w14:paraId="775BFE09">
      <w:pPr>
        <w:pStyle w:val="3"/>
      </w:pPr>
    </w:p>
    <w:p w14:paraId="397ECDF8">
      <w:pPr>
        <w:pStyle w:val="3"/>
      </w:pPr>
    </w:p>
    <w:p w14:paraId="16674D14">
      <w:pPr>
        <w:pStyle w:val="3"/>
      </w:pPr>
    </w:p>
    <w:p w14:paraId="00873EEA">
      <w:pPr>
        <w:pStyle w:val="3"/>
      </w:pPr>
    </w:p>
    <w:p w14:paraId="5EAA5871">
      <w:pPr>
        <w:pStyle w:val="3"/>
      </w:pPr>
    </w:p>
    <w:p w14:paraId="0C96C4CC">
      <w:pPr>
        <w:pStyle w:val="3"/>
      </w:pPr>
    </w:p>
    <w:p w14:paraId="27066AF5">
      <w:pPr>
        <w:pStyle w:val="3"/>
      </w:pPr>
    </w:p>
    <w:p w14:paraId="7F44FED8">
      <w:pPr>
        <w:pStyle w:val="3"/>
      </w:pPr>
    </w:p>
    <w:p w14:paraId="1002A1FC">
      <w:pPr>
        <w:pStyle w:val="3"/>
      </w:pPr>
    </w:p>
    <w:p w14:paraId="3C689971">
      <w:pPr>
        <w:pStyle w:val="3"/>
      </w:pPr>
    </w:p>
    <w:p w14:paraId="2DA35299">
      <w:pPr>
        <w:pStyle w:val="3"/>
      </w:pPr>
    </w:p>
    <w:p w14:paraId="2DAF9B8B">
      <w:pPr>
        <w:pStyle w:val="3"/>
      </w:pPr>
    </w:p>
    <w:p w14:paraId="37D68C67">
      <w:pPr>
        <w:pStyle w:val="3"/>
      </w:pPr>
    </w:p>
    <w:p w14:paraId="342D7252">
      <w:pPr>
        <w:pStyle w:val="3"/>
        <w:spacing w:line="241" w:lineRule="auto"/>
      </w:pPr>
    </w:p>
    <w:p w14:paraId="6F1C25C1">
      <w:pPr>
        <w:pStyle w:val="3"/>
        <w:spacing w:line="241" w:lineRule="auto"/>
      </w:pPr>
    </w:p>
    <w:p w14:paraId="4B7531D7">
      <w:pPr>
        <w:spacing w:before="88" w:line="476" w:lineRule="auto"/>
        <w:ind w:firstLine="1722" w:firstLineChars="700"/>
        <w:rPr>
          <w:rFonts w:hint="eastAsia" w:ascii="黑体" w:hAnsi="黑体" w:eastAsia="黑体" w:cs="黑体"/>
          <w:spacing w:val="-12"/>
          <w:sz w:val="27"/>
          <w:szCs w:val="27"/>
          <w:lang w:eastAsia="zh-CN"/>
        </w:rPr>
      </w:pPr>
      <w:r>
        <w:rPr>
          <w:rFonts w:ascii="黑体" w:hAnsi="黑体" w:eastAsia="黑体" w:cs="黑体"/>
          <w:spacing w:val="-12"/>
          <w:sz w:val="27"/>
          <w:szCs w:val="27"/>
        </w:rPr>
        <w:t>招标人</w:t>
      </w:r>
      <w:r>
        <w:rPr>
          <w:rFonts w:hint="eastAsia" w:ascii="黑体" w:hAnsi="黑体" w:eastAsia="黑体" w:cs="黑体"/>
          <w:spacing w:val="-12"/>
          <w:sz w:val="27"/>
          <w:szCs w:val="27"/>
          <w:lang w:eastAsia="zh-CN"/>
        </w:rPr>
        <w:t>：营口市公共设施维护中心</w:t>
      </w:r>
    </w:p>
    <w:p w14:paraId="200A836B">
      <w:pPr>
        <w:spacing w:before="88" w:line="476" w:lineRule="auto"/>
        <w:ind w:firstLine="1722" w:firstLineChars="700"/>
        <w:rPr>
          <w:rFonts w:ascii="黑体" w:hAnsi="黑体" w:eastAsia="黑体" w:cs="黑体"/>
          <w:sz w:val="27"/>
          <w:szCs w:val="27"/>
        </w:rPr>
      </w:pPr>
      <w:r>
        <w:rPr>
          <w:rFonts w:ascii="黑体" w:hAnsi="黑体" w:eastAsia="黑体" w:cs="黑体"/>
          <w:spacing w:val="-12"/>
          <w:sz w:val="27"/>
          <w:szCs w:val="27"/>
        </w:rPr>
        <w:t>招标代理机构</w:t>
      </w:r>
      <w:r>
        <w:rPr>
          <w:rFonts w:ascii="黑体" w:hAnsi="黑体" w:eastAsia="黑体" w:cs="黑体"/>
          <w:spacing w:val="1"/>
          <w:sz w:val="27"/>
          <w:szCs w:val="27"/>
        </w:rPr>
        <w:t>：</w:t>
      </w:r>
      <w:r>
        <w:rPr>
          <w:rFonts w:hint="eastAsia" w:ascii="黑体" w:hAnsi="黑体" w:eastAsia="黑体" w:cs="黑体"/>
          <w:spacing w:val="-12"/>
          <w:sz w:val="27"/>
          <w:szCs w:val="27"/>
          <w:lang w:eastAsia="zh-CN"/>
        </w:rPr>
        <w:t>沈阳招标中心有限公司</w:t>
      </w:r>
    </w:p>
    <w:p w14:paraId="28A87A51">
      <w:pPr>
        <w:spacing w:before="1" w:line="225" w:lineRule="auto"/>
        <w:ind w:left="1884" w:firstLine="440" w:firstLineChars="200"/>
        <w:rPr>
          <w:rFonts w:ascii="黑体" w:hAnsi="黑体" w:eastAsia="黑体" w:cs="黑体"/>
          <w:sz w:val="27"/>
          <w:szCs w:val="27"/>
        </w:rPr>
      </w:pPr>
      <w:r>
        <w:rPr>
          <w:rFonts w:ascii="黑体" w:hAnsi="黑体" w:eastAsia="黑体" w:cs="黑体"/>
          <w:spacing w:val="-25"/>
          <w:sz w:val="27"/>
          <w:szCs w:val="27"/>
        </w:rPr>
        <w:t>日</w:t>
      </w:r>
      <w:r>
        <w:rPr>
          <w:rFonts w:ascii="黑体" w:hAnsi="黑体" w:eastAsia="黑体" w:cs="黑体"/>
          <w:spacing w:val="7"/>
          <w:sz w:val="27"/>
          <w:szCs w:val="27"/>
        </w:rPr>
        <w:t xml:space="preserve">    </w:t>
      </w:r>
      <w:r>
        <w:rPr>
          <w:rFonts w:ascii="黑体" w:hAnsi="黑体" w:eastAsia="黑体" w:cs="黑体"/>
          <w:spacing w:val="-25"/>
          <w:sz w:val="27"/>
          <w:szCs w:val="27"/>
        </w:rPr>
        <w:t>期：</w:t>
      </w:r>
      <w:r>
        <w:rPr>
          <w:rFonts w:ascii="黑体" w:hAnsi="黑体" w:eastAsia="黑体" w:cs="黑体"/>
          <w:spacing w:val="-34"/>
          <w:sz w:val="27"/>
          <w:szCs w:val="27"/>
        </w:rPr>
        <w:t xml:space="preserve"> </w:t>
      </w:r>
      <w:r>
        <w:rPr>
          <w:rFonts w:hint="eastAsia" w:ascii="黑体" w:hAnsi="黑体" w:eastAsia="黑体" w:cs="黑体"/>
          <w:spacing w:val="5"/>
          <w:sz w:val="27"/>
          <w:szCs w:val="27"/>
          <w:u w:val="single" w:color="auto"/>
          <w:lang w:val="en-US" w:eastAsia="zh-CN"/>
        </w:rPr>
        <w:t>2026年6月</w:t>
      </w:r>
      <w:r>
        <w:rPr>
          <w:rFonts w:ascii="黑体" w:hAnsi="黑体" w:eastAsia="黑体" w:cs="黑体"/>
          <w:spacing w:val="-130"/>
          <w:sz w:val="27"/>
          <w:szCs w:val="27"/>
        </w:rPr>
        <w:t xml:space="preserve"> </w:t>
      </w:r>
    </w:p>
    <w:p w14:paraId="3A27AAED">
      <w:pPr>
        <w:spacing w:line="225" w:lineRule="auto"/>
        <w:rPr>
          <w:rFonts w:ascii="黑体" w:hAnsi="黑体" w:eastAsia="黑体" w:cs="黑体"/>
          <w:sz w:val="27"/>
          <w:szCs w:val="27"/>
        </w:rPr>
        <w:sectPr>
          <w:footerReference r:id="rId5" w:type="default"/>
          <w:pgSz w:w="11905" w:h="16839"/>
          <w:pgMar w:top="1431" w:right="1785" w:bottom="0" w:left="1785" w:header="0" w:footer="0" w:gutter="0"/>
          <w:pgNumType w:fmt="decimal"/>
          <w:cols w:space="720" w:num="1"/>
        </w:sectPr>
      </w:pPr>
    </w:p>
    <w:sdt>
      <w:sdtPr>
        <w:rPr>
          <w:rFonts w:ascii="黑体" w:hAnsi="黑体" w:eastAsia="黑体" w:cs="黑体"/>
          <w:sz w:val="44"/>
          <w:szCs w:val="44"/>
        </w:rPr>
        <w:id w:val="1"/>
        <w:docPartObj>
          <w:docPartGallery w:val="Table of Contents"/>
          <w:docPartUnique/>
        </w:docPartObj>
      </w:sdtPr>
      <w:sdtEndPr>
        <w:rPr>
          <w:rFonts w:ascii="宋体" w:hAnsi="宋体" w:eastAsia="宋体" w:cs="宋体"/>
          <w:sz w:val="21"/>
          <w:szCs w:val="21"/>
        </w:rPr>
      </w:sdtEndPr>
      <w:sdtContent>
        <w:p w14:paraId="2E53227E">
          <w:pPr>
            <w:spacing w:before="89" w:line="219" w:lineRule="auto"/>
            <w:ind w:left="3578"/>
            <w:rPr>
              <w:rFonts w:ascii="黑体" w:hAnsi="黑体" w:eastAsia="黑体" w:cs="黑体"/>
              <w:sz w:val="44"/>
              <w:szCs w:val="44"/>
            </w:rPr>
          </w:pPr>
          <w:bookmarkStart w:id="1" w:name="bookmark1"/>
          <w:bookmarkEnd w:id="1"/>
          <w:r>
            <w:rPr>
              <w:rFonts w:ascii="黑体" w:hAnsi="黑体" w:eastAsia="黑体" w:cs="黑体"/>
              <w:spacing w:val="-36"/>
              <w:sz w:val="44"/>
              <w:szCs w:val="44"/>
              <w14:textOutline w14:w="8011" w14:cap="flat" w14:cmpd="sng">
                <w14:solidFill>
                  <w14:srgbClr w14:val="000000"/>
                </w14:solidFill>
                <w14:prstDash w14:val="solid"/>
                <w14:miter w14:val="0"/>
              </w14:textOutline>
            </w:rPr>
            <w:t>目</w:t>
          </w:r>
          <w:r>
            <w:rPr>
              <w:rFonts w:ascii="黑体" w:hAnsi="黑体" w:eastAsia="黑体" w:cs="黑体"/>
              <w:spacing w:val="11"/>
              <w:sz w:val="44"/>
              <w:szCs w:val="44"/>
            </w:rPr>
            <w:t xml:space="preserve">  </w:t>
          </w:r>
          <w:r>
            <w:rPr>
              <w:rFonts w:ascii="黑体" w:hAnsi="黑体" w:eastAsia="黑体" w:cs="黑体"/>
              <w:spacing w:val="-36"/>
              <w:sz w:val="44"/>
              <w:szCs w:val="44"/>
              <w14:textOutline w14:w="8011" w14:cap="flat" w14:cmpd="sng">
                <w14:solidFill>
                  <w14:srgbClr w14:val="000000"/>
                </w14:solidFill>
                <w14:prstDash w14:val="solid"/>
                <w14:miter w14:val="0"/>
              </w14:textOutline>
            </w:rPr>
            <w:t>录</w:t>
          </w:r>
        </w:p>
        <w:p w14:paraId="37F64814">
          <w:pPr>
            <w:pStyle w:val="3"/>
            <w:spacing w:line="276" w:lineRule="auto"/>
          </w:pPr>
        </w:p>
        <w:p w14:paraId="3B2C7B4D">
          <w:pPr>
            <w:tabs>
              <w:tab w:val="right" w:leader="dot" w:pos="8307"/>
            </w:tabs>
            <w:spacing w:before="68" w:line="221" w:lineRule="auto"/>
            <w:ind w:left="18"/>
            <w:rPr>
              <w:rFonts w:ascii="宋体" w:hAnsi="宋体" w:eastAsia="宋体" w:cs="宋体"/>
              <w:sz w:val="21"/>
              <w:szCs w:val="21"/>
            </w:rPr>
          </w:pPr>
          <w:r>
            <w:rPr>
              <w:rFonts w:ascii="宋体" w:hAnsi="宋体" w:eastAsia="宋体" w:cs="宋体"/>
              <w:spacing w:val="-2"/>
              <w:sz w:val="21"/>
              <w:szCs w:val="21"/>
              <w14:textOutline w14:w="3831" w14:cap="flat" w14:cmpd="sng">
                <w14:solidFill>
                  <w14:srgbClr w14:val="000000"/>
                </w14:solidFill>
                <w14:prstDash w14:val="solid"/>
                <w14:miter w14:val="0"/>
              </w14:textOutline>
            </w:rPr>
            <w:t>第一卷</w:t>
          </w:r>
          <w:r>
            <w:rPr>
              <w:rFonts w:ascii="宋体" w:hAnsi="宋体" w:eastAsia="宋体" w:cs="宋体"/>
              <w:spacing w:val="-91"/>
              <w:sz w:val="21"/>
              <w:szCs w:val="21"/>
            </w:rPr>
            <w:t xml:space="preserve"> </w:t>
          </w:r>
          <w:r>
            <w:rPr>
              <w:rFonts w:ascii="宋体" w:hAnsi="宋体" w:eastAsia="宋体" w:cs="宋体"/>
              <w:sz w:val="21"/>
              <w:szCs w:val="21"/>
              <w14:textOutline w14:w="3831" w14:cap="flat" w14:cmpd="sng">
                <w14:solidFill>
                  <w14:srgbClr w14:val="000000"/>
                </w14:solidFill>
                <w14:prstDash w14:val="solid"/>
                <w14:miter w14:val="0"/>
              </w14:textOutline>
            </w:rPr>
            <w:tab/>
          </w:r>
          <w:r>
            <w:rPr>
              <w:rFonts w:ascii="宋体" w:hAnsi="宋体" w:eastAsia="宋体" w:cs="宋体"/>
              <w:spacing w:val="-28"/>
              <w:sz w:val="21"/>
              <w:szCs w:val="21"/>
            </w:rPr>
            <w:t xml:space="preserve"> </w:t>
          </w:r>
          <w:r>
            <w:fldChar w:fldCharType="begin"/>
          </w:r>
          <w:r>
            <w:instrText xml:space="preserve"> HYPERLINK \l "bookmark2" </w:instrText>
          </w:r>
          <w:r>
            <w:fldChar w:fldCharType="separate"/>
          </w:r>
          <w:r>
            <w:rPr>
              <w:rFonts w:ascii="宋体" w:hAnsi="宋体" w:eastAsia="宋体" w:cs="宋体"/>
              <w:sz w:val="21"/>
              <w:szCs w:val="21"/>
              <w14:textOutline w14:w="3831" w14:cap="flat" w14:cmpd="sng">
                <w14:solidFill>
                  <w14:srgbClr w14:val="000000"/>
                </w14:solidFill>
                <w14:prstDash w14:val="solid"/>
                <w14:miter w14:val="0"/>
              </w14:textOutline>
            </w:rPr>
            <w:t>1</w:t>
          </w:r>
          <w:r>
            <w:rPr>
              <w:rFonts w:ascii="宋体" w:hAnsi="宋体" w:eastAsia="宋体" w:cs="宋体"/>
              <w:sz w:val="21"/>
              <w:szCs w:val="21"/>
              <w14:textOutline w14:w="3831" w14:cap="flat" w14:cmpd="sng">
                <w14:solidFill>
                  <w14:srgbClr w14:val="000000"/>
                </w14:solidFill>
                <w14:prstDash w14:val="solid"/>
                <w14:miter w14:val="0"/>
              </w14:textOutline>
            </w:rPr>
            <w:fldChar w:fldCharType="end"/>
          </w:r>
        </w:p>
        <w:p w14:paraId="6899551C">
          <w:pPr>
            <w:tabs>
              <w:tab w:val="right" w:leader="dot" w:pos="8307"/>
            </w:tabs>
            <w:spacing w:before="23" w:line="219" w:lineRule="auto"/>
            <w:ind w:left="18"/>
            <w:rPr>
              <w:rFonts w:ascii="宋体" w:hAnsi="宋体" w:eastAsia="宋体" w:cs="宋体"/>
              <w:sz w:val="21"/>
              <w:szCs w:val="21"/>
            </w:rPr>
          </w:pPr>
          <w:r>
            <w:rPr>
              <w:rFonts w:ascii="宋体" w:hAnsi="宋体" w:eastAsia="宋体" w:cs="宋体"/>
              <w:sz w:val="21"/>
              <w:szCs w:val="21"/>
              <w14:textOutline w14:w="3831" w14:cap="flat" w14:cmpd="sng">
                <w14:solidFill>
                  <w14:srgbClr w14:val="000000"/>
                </w14:solidFill>
                <w14:prstDash w14:val="solid"/>
                <w14:miter w14:val="0"/>
              </w14:textOutline>
            </w:rPr>
            <w:t>第一章</w:t>
          </w:r>
          <w:r>
            <w:rPr>
              <w:rFonts w:ascii="宋体" w:hAnsi="宋体" w:eastAsia="宋体" w:cs="宋体"/>
              <w:sz w:val="21"/>
              <w:szCs w:val="21"/>
            </w:rPr>
            <w:t xml:space="preserve">  </w:t>
          </w:r>
          <w:r>
            <w:rPr>
              <w:rFonts w:ascii="宋体" w:hAnsi="宋体" w:eastAsia="宋体" w:cs="宋体"/>
              <w:sz w:val="21"/>
              <w:szCs w:val="21"/>
              <w14:textOutline w14:w="3831" w14:cap="flat" w14:cmpd="sng">
                <w14:solidFill>
                  <w14:srgbClr w14:val="000000"/>
                </w14:solidFill>
                <w14:prstDash w14:val="solid"/>
                <w14:miter w14:val="0"/>
              </w14:textOutline>
            </w:rPr>
            <w:t>招标公告</w:t>
          </w:r>
          <w:r>
            <w:rPr>
              <w:rFonts w:ascii="宋体" w:hAnsi="宋体" w:eastAsia="宋体" w:cs="宋体"/>
              <w:spacing w:val="-42"/>
              <w:sz w:val="21"/>
              <w:szCs w:val="21"/>
            </w:rPr>
            <w:t xml:space="preserve"> </w:t>
          </w:r>
          <w:r>
            <w:rPr>
              <w:rFonts w:ascii="宋体" w:hAnsi="宋体" w:eastAsia="宋体" w:cs="宋体"/>
              <w:sz w:val="21"/>
              <w:szCs w:val="21"/>
              <w14:textOutline w14:w="3831" w14:cap="flat" w14:cmpd="sng">
                <w14:solidFill>
                  <w14:srgbClr w14:val="000000"/>
                </w14:solidFill>
                <w14:prstDash w14:val="solid"/>
                <w14:miter w14:val="0"/>
              </w14:textOutline>
            </w:rPr>
            <w:tab/>
          </w:r>
          <w:r>
            <w:rPr>
              <w:rFonts w:ascii="宋体" w:hAnsi="宋体" w:eastAsia="宋体" w:cs="宋体"/>
              <w:spacing w:val="-41"/>
              <w:sz w:val="21"/>
              <w:szCs w:val="21"/>
            </w:rPr>
            <w:t xml:space="preserve"> </w:t>
          </w:r>
          <w:r>
            <w:fldChar w:fldCharType="begin"/>
          </w:r>
          <w:r>
            <w:instrText xml:space="preserve"> HYPERLINK \l "bookmark3" </w:instrText>
          </w:r>
          <w:r>
            <w:fldChar w:fldCharType="separate"/>
          </w:r>
          <w:r>
            <w:rPr>
              <w:rFonts w:ascii="宋体" w:hAnsi="宋体" w:eastAsia="宋体" w:cs="宋体"/>
              <w:sz w:val="21"/>
              <w:szCs w:val="21"/>
              <w14:textOutline w14:w="3831" w14:cap="flat" w14:cmpd="sng">
                <w14:solidFill>
                  <w14:srgbClr w14:val="000000"/>
                </w14:solidFill>
                <w14:prstDash w14:val="solid"/>
                <w14:miter w14:val="0"/>
              </w14:textOutline>
            </w:rPr>
            <w:t>2</w:t>
          </w:r>
          <w:r>
            <w:rPr>
              <w:rFonts w:ascii="宋体" w:hAnsi="宋体" w:eastAsia="宋体" w:cs="宋体"/>
              <w:sz w:val="21"/>
              <w:szCs w:val="21"/>
              <w14:textOutline w14:w="3831" w14:cap="flat" w14:cmpd="sng">
                <w14:solidFill>
                  <w14:srgbClr w14:val="000000"/>
                </w14:solidFill>
                <w14:prstDash w14:val="solid"/>
                <w14:miter w14:val="0"/>
              </w14:textOutline>
            </w:rPr>
            <w:fldChar w:fldCharType="end"/>
          </w:r>
        </w:p>
        <w:p w14:paraId="3CDA967C">
          <w:pPr>
            <w:tabs>
              <w:tab w:val="right" w:leader="dot" w:pos="8317"/>
            </w:tabs>
            <w:spacing w:before="23" w:line="221" w:lineRule="auto"/>
            <w:ind w:left="456"/>
            <w:rPr>
              <w:rFonts w:ascii="宋体" w:hAnsi="宋体" w:eastAsia="宋体" w:cs="宋体"/>
              <w:sz w:val="21"/>
              <w:szCs w:val="21"/>
            </w:rPr>
          </w:pPr>
          <w:r>
            <w:rPr>
              <w:rFonts w:ascii="宋体" w:hAnsi="宋体" w:eastAsia="宋体" w:cs="宋体"/>
              <w:spacing w:val="-3"/>
              <w:sz w:val="21"/>
              <w:szCs w:val="21"/>
            </w:rPr>
            <w:t>1.招标条件</w:t>
          </w:r>
          <w:r>
            <w:rPr>
              <w:rFonts w:ascii="宋体" w:hAnsi="宋体" w:eastAsia="宋体" w:cs="宋体"/>
              <w:spacing w:val="-91"/>
              <w:sz w:val="21"/>
              <w:szCs w:val="21"/>
            </w:rPr>
            <w:t xml:space="preserve"> </w:t>
          </w:r>
          <w:r>
            <w:rPr>
              <w:rFonts w:ascii="宋体" w:hAnsi="宋体" w:eastAsia="宋体" w:cs="宋体"/>
              <w:sz w:val="21"/>
              <w:szCs w:val="21"/>
            </w:rPr>
            <w:tab/>
          </w:r>
          <w:r>
            <w:rPr>
              <w:rFonts w:ascii="宋体" w:hAnsi="宋体" w:eastAsia="宋体" w:cs="宋体"/>
              <w:spacing w:val="-26"/>
              <w:sz w:val="21"/>
              <w:szCs w:val="21"/>
            </w:rPr>
            <w:t xml:space="preserve"> </w:t>
          </w:r>
          <w:r>
            <w:fldChar w:fldCharType="begin"/>
          </w:r>
          <w:r>
            <w:instrText xml:space="preserve"> HYPERLINK \l "bookmark4" </w:instrText>
          </w:r>
          <w:r>
            <w:fldChar w:fldCharType="separate"/>
          </w:r>
          <w:r>
            <w:rPr>
              <w:rFonts w:ascii="宋体" w:hAnsi="宋体" w:eastAsia="宋体" w:cs="宋体"/>
              <w:sz w:val="21"/>
              <w:szCs w:val="21"/>
            </w:rPr>
            <w:t>2</w:t>
          </w:r>
          <w:r>
            <w:rPr>
              <w:rFonts w:ascii="宋体" w:hAnsi="宋体" w:eastAsia="宋体" w:cs="宋体"/>
              <w:sz w:val="21"/>
              <w:szCs w:val="21"/>
            </w:rPr>
            <w:fldChar w:fldCharType="end"/>
          </w:r>
        </w:p>
        <w:p w14:paraId="4545283D">
          <w:pPr>
            <w:tabs>
              <w:tab w:val="right" w:leader="dot" w:pos="8317"/>
            </w:tabs>
            <w:spacing w:before="17" w:line="221" w:lineRule="auto"/>
            <w:ind w:left="443"/>
            <w:rPr>
              <w:rFonts w:ascii="宋体" w:hAnsi="宋体" w:eastAsia="宋体" w:cs="宋体"/>
              <w:sz w:val="21"/>
              <w:szCs w:val="21"/>
            </w:rPr>
          </w:pPr>
          <w:r>
            <w:rPr>
              <w:rFonts w:ascii="宋体" w:hAnsi="宋体" w:eastAsia="宋体" w:cs="宋体"/>
              <w:spacing w:val="-1"/>
              <w:sz w:val="21"/>
              <w:szCs w:val="21"/>
            </w:rPr>
            <w:t>2.项目概况与招标范围</w:t>
          </w:r>
          <w:r>
            <w:rPr>
              <w:rFonts w:ascii="宋体" w:hAnsi="宋体" w:eastAsia="宋体" w:cs="宋体"/>
              <w:spacing w:val="-79"/>
              <w:sz w:val="21"/>
              <w:szCs w:val="21"/>
            </w:rPr>
            <w:t xml:space="preserve"> </w:t>
          </w:r>
          <w:r>
            <w:rPr>
              <w:rFonts w:ascii="宋体" w:hAnsi="宋体" w:eastAsia="宋体" w:cs="宋体"/>
              <w:sz w:val="21"/>
              <w:szCs w:val="21"/>
            </w:rPr>
            <w:tab/>
          </w:r>
          <w:r>
            <w:rPr>
              <w:rFonts w:ascii="宋体" w:hAnsi="宋体" w:eastAsia="宋体" w:cs="宋体"/>
              <w:spacing w:val="-26"/>
              <w:sz w:val="21"/>
              <w:szCs w:val="21"/>
            </w:rPr>
            <w:t xml:space="preserve"> </w:t>
          </w:r>
          <w:r>
            <w:fldChar w:fldCharType="begin"/>
          </w:r>
          <w:r>
            <w:instrText xml:space="preserve"> HYPERLINK \l "bookmark5" </w:instrText>
          </w:r>
          <w:r>
            <w:fldChar w:fldCharType="separate"/>
          </w:r>
          <w:r>
            <w:rPr>
              <w:rFonts w:ascii="宋体" w:hAnsi="宋体" w:eastAsia="宋体" w:cs="宋体"/>
              <w:sz w:val="21"/>
              <w:szCs w:val="21"/>
            </w:rPr>
            <w:t>2</w:t>
          </w:r>
          <w:r>
            <w:rPr>
              <w:rFonts w:ascii="宋体" w:hAnsi="宋体" w:eastAsia="宋体" w:cs="宋体"/>
              <w:sz w:val="21"/>
              <w:szCs w:val="21"/>
            </w:rPr>
            <w:fldChar w:fldCharType="end"/>
          </w:r>
        </w:p>
        <w:p w14:paraId="6AD2DF45">
          <w:pPr>
            <w:tabs>
              <w:tab w:val="right" w:leader="dot" w:pos="8317"/>
            </w:tabs>
            <w:spacing w:before="23" w:line="221" w:lineRule="auto"/>
            <w:ind w:left="445"/>
            <w:rPr>
              <w:rFonts w:ascii="宋体" w:hAnsi="宋体" w:eastAsia="宋体" w:cs="宋体"/>
              <w:sz w:val="21"/>
              <w:szCs w:val="21"/>
            </w:rPr>
          </w:pPr>
          <w:r>
            <w:rPr>
              <w:rFonts w:ascii="宋体" w:hAnsi="宋体" w:eastAsia="宋体" w:cs="宋体"/>
              <w:spacing w:val="-1"/>
              <w:sz w:val="21"/>
              <w:szCs w:val="21"/>
            </w:rPr>
            <w:t>3.投标人资格要求</w:t>
          </w:r>
          <w:r>
            <w:rPr>
              <w:rFonts w:ascii="宋体" w:hAnsi="宋体" w:eastAsia="宋体" w:cs="宋体"/>
              <w:spacing w:val="-86"/>
              <w:sz w:val="21"/>
              <w:szCs w:val="21"/>
            </w:rPr>
            <w:t xml:space="preserve"> </w:t>
          </w:r>
          <w:r>
            <w:rPr>
              <w:rFonts w:ascii="宋体" w:hAnsi="宋体" w:eastAsia="宋体" w:cs="宋体"/>
              <w:sz w:val="21"/>
              <w:szCs w:val="21"/>
            </w:rPr>
            <w:tab/>
          </w:r>
          <w:r>
            <w:rPr>
              <w:rFonts w:ascii="宋体" w:hAnsi="宋体" w:eastAsia="宋体" w:cs="宋体"/>
              <w:spacing w:val="-26"/>
              <w:sz w:val="21"/>
              <w:szCs w:val="21"/>
            </w:rPr>
            <w:t xml:space="preserve"> </w:t>
          </w:r>
          <w:r>
            <w:fldChar w:fldCharType="begin"/>
          </w:r>
          <w:r>
            <w:instrText xml:space="preserve"> HYPERLINK \l "bookmark6" </w:instrText>
          </w:r>
          <w:r>
            <w:fldChar w:fldCharType="separate"/>
          </w:r>
          <w:r>
            <w:rPr>
              <w:rFonts w:ascii="宋体" w:hAnsi="宋体" w:eastAsia="宋体" w:cs="宋体"/>
              <w:sz w:val="21"/>
              <w:szCs w:val="21"/>
            </w:rPr>
            <w:t>2</w:t>
          </w:r>
          <w:r>
            <w:rPr>
              <w:rFonts w:ascii="宋体" w:hAnsi="宋体" w:eastAsia="宋体" w:cs="宋体"/>
              <w:sz w:val="21"/>
              <w:szCs w:val="21"/>
            </w:rPr>
            <w:fldChar w:fldCharType="end"/>
          </w:r>
        </w:p>
        <w:p w14:paraId="692255BF">
          <w:pPr>
            <w:tabs>
              <w:tab w:val="right" w:leader="dot" w:pos="8317"/>
            </w:tabs>
            <w:spacing w:before="22" w:line="221" w:lineRule="auto"/>
            <w:ind w:left="440"/>
            <w:rPr>
              <w:rFonts w:ascii="宋体" w:hAnsi="宋体" w:eastAsia="宋体" w:cs="宋体"/>
              <w:sz w:val="21"/>
              <w:szCs w:val="21"/>
            </w:rPr>
          </w:pPr>
          <w:r>
            <w:rPr>
              <w:rFonts w:ascii="宋体" w:hAnsi="宋体" w:eastAsia="宋体" w:cs="宋体"/>
              <w:spacing w:val="-1"/>
              <w:sz w:val="21"/>
              <w:szCs w:val="21"/>
            </w:rPr>
            <w:t>4.招标文件的获取</w:t>
          </w:r>
          <w:r>
            <w:rPr>
              <w:rFonts w:ascii="宋体" w:hAnsi="宋体" w:eastAsia="宋体" w:cs="宋体"/>
              <w:spacing w:val="-81"/>
              <w:sz w:val="21"/>
              <w:szCs w:val="21"/>
            </w:rPr>
            <w:t xml:space="preserve"> </w:t>
          </w:r>
          <w:r>
            <w:rPr>
              <w:rFonts w:ascii="宋体" w:hAnsi="宋体" w:eastAsia="宋体" w:cs="宋体"/>
              <w:sz w:val="21"/>
              <w:szCs w:val="21"/>
            </w:rPr>
            <w:tab/>
          </w:r>
          <w:r>
            <w:rPr>
              <w:rFonts w:ascii="宋体" w:hAnsi="宋体" w:eastAsia="宋体" w:cs="宋体"/>
              <w:spacing w:val="-24"/>
              <w:sz w:val="21"/>
              <w:szCs w:val="21"/>
            </w:rPr>
            <w:t xml:space="preserve"> </w:t>
          </w:r>
          <w:r>
            <w:fldChar w:fldCharType="begin"/>
          </w:r>
          <w:r>
            <w:instrText xml:space="preserve"> HYPERLINK \l "bookmark7" </w:instrText>
          </w:r>
          <w:r>
            <w:fldChar w:fldCharType="separate"/>
          </w:r>
          <w:r>
            <w:rPr>
              <w:rFonts w:ascii="宋体" w:hAnsi="宋体" w:eastAsia="宋体" w:cs="宋体"/>
              <w:sz w:val="21"/>
              <w:szCs w:val="21"/>
            </w:rPr>
            <w:t>3</w:t>
          </w:r>
          <w:r>
            <w:rPr>
              <w:rFonts w:ascii="宋体" w:hAnsi="宋体" w:eastAsia="宋体" w:cs="宋体"/>
              <w:sz w:val="21"/>
              <w:szCs w:val="21"/>
            </w:rPr>
            <w:fldChar w:fldCharType="end"/>
          </w:r>
        </w:p>
        <w:p w14:paraId="61D5762B">
          <w:pPr>
            <w:tabs>
              <w:tab w:val="right" w:leader="dot" w:pos="8317"/>
            </w:tabs>
            <w:spacing w:before="22" w:line="221" w:lineRule="auto"/>
            <w:ind w:left="445"/>
            <w:rPr>
              <w:rFonts w:ascii="宋体" w:hAnsi="宋体" w:eastAsia="宋体" w:cs="宋体"/>
              <w:sz w:val="21"/>
              <w:szCs w:val="21"/>
            </w:rPr>
          </w:pPr>
          <w:r>
            <w:rPr>
              <w:rFonts w:ascii="宋体" w:hAnsi="宋体" w:eastAsia="宋体" w:cs="宋体"/>
              <w:spacing w:val="-1"/>
              <w:sz w:val="21"/>
              <w:szCs w:val="21"/>
            </w:rPr>
            <w:t>5.投标文件的递交</w:t>
          </w:r>
          <w:r>
            <w:rPr>
              <w:rFonts w:ascii="宋体" w:hAnsi="宋体" w:eastAsia="宋体" w:cs="宋体"/>
              <w:spacing w:val="-86"/>
              <w:sz w:val="21"/>
              <w:szCs w:val="21"/>
            </w:rPr>
            <w:t xml:space="preserve"> </w:t>
          </w:r>
          <w:r>
            <w:rPr>
              <w:rFonts w:ascii="宋体" w:hAnsi="宋体" w:eastAsia="宋体" w:cs="宋体"/>
              <w:sz w:val="21"/>
              <w:szCs w:val="21"/>
            </w:rPr>
            <w:tab/>
          </w:r>
          <w:r>
            <w:rPr>
              <w:rFonts w:ascii="宋体" w:hAnsi="宋体" w:eastAsia="宋体" w:cs="宋体"/>
              <w:spacing w:val="-24"/>
              <w:sz w:val="21"/>
              <w:szCs w:val="21"/>
            </w:rPr>
            <w:t xml:space="preserve"> </w:t>
          </w:r>
          <w:r>
            <w:fldChar w:fldCharType="begin"/>
          </w:r>
          <w:r>
            <w:instrText xml:space="preserve"> HYPERLINK \l "bookmark8" </w:instrText>
          </w:r>
          <w:r>
            <w:fldChar w:fldCharType="separate"/>
          </w:r>
          <w:r>
            <w:rPr>
              <w:rFonts w:ascii="宋体" w:hAnsi="宋体" w:eastAsia="宋体" w:cs="宋体"/>
              <w:sz w:val="21"/>
              <w:szCs w:val="21"/>
            </w:rPr>
            <w:t>3</w:t>
          </w:r>
          <w:r>
            <w:rPr>
              <w:rFonts w:ascii="宋体" w:hAnsi="宋体" w:eastAsia="宋体" w:cs="宋体"/>
              <w:sz w:val="21"/>
              <w:szCs w:val="21"/>
            </w:rPr>
            <w:fldChar w:fldCharType="end"/>
          </w:r>
        </w:p>
        <w:p w14:paraId="26BED6CA">
          <w:pPr>
            <w:tabs>
              <w:tab w:val="right" w:leader="dot" w:pos="8317"/>
            </w:tabs>
            <w:spacing w:before="19" w:line="221" w:lineRule="auto"/>
            <w:ind w:left="442"/>
            <w:rPr>
              <w:rFonts w:ascii="宋体" w:hAnsi="宋体" w:eastAsia="宋体" w:cs="宋体"/>
              <w:sz w:val="21"/>
              <w:szCs w:val="21"/>
            </w:rPr>
          </w:pPr>
          <w:r>
            <w:rPr>
              <w:rFonts w:ascii="宋体" w:hAnsi="宋体" w:eastAsia="宋体" w:cs="宋体"/>
              <w:spacing w:val="-1"/>
              <w:sz w:val="21"/>
              <w:szCs w:val="21"/>
            </w:rPr>
            <w:t>6.投标相关事宜</w:t>
          </w:r>
          <w:r>
            <w:rPr>
              <w:rFonts w:ascii="宋体" w:hAnsi="宋体" w:eastAsia="宋体" w:cs="宋体"/>
              <w:spacing w:val="-86"/>
              <w:sz w:val="21"/>
              <w:szCs w:val="21"/>
            </w:rPr>
            <w:t xml:space="preserve"> </w:t>
          </w:r>
          <w:r>
            <w:rPr>
              <w:rFonts w:ascii="宋体" w:hAnsi="宋体" w:eastAsia="宋体" w:cs="宋体"/>
              <w:sz w:val="21"/>
              <w:szCs w:val="21"/>
            </w:rPr>
            <w:tab/>
          </w:r>
          <w:r>
            <w:rPr>
              <w:rFonts w:ascii="宋体" w:hAnsi="宋体" w:eastAsia="宋体" w:cs="宋体"/>
              <w:spacing w:val="-24"/>
              <w:sz w:val="21"/>
              <w:szCs w:val="21"/>
            </w:rPr>
            <w:t xml:space="preserve"> </w:t>
          </w:r>
          <w:r>
            <w:fldChar w:fldCharType="begin"/>
          </w:r>
          <w:r>
            <w:instrText xml:space="preserve"> HYPERLINK \l "bookmark9" </w:instrText>
          </w:r>
          <w:r>
            <w:fldChar w:fldCharType="separate"/>
          </w:r>
          <w:r>
            <w:rPr>
              <w:rFonts w:ascii="宋体" w:hAnsi="宋体" w:eastAsia="宋体" w:cs="宋体"/>
              <w:sz w:val="21"/>
              <w:szCs w:val="21"/>
            </w:rPr>
            <w:t>3</w:t>
          </w:r>
          <w:r>
            <w:rPr>
              <w:rFonts w:ascii="宋体" w:hAnsi="宋体" w:eastAsia="宋体" w:cs="宋体"/>
              <w:sz w:val="21"/>
              <w:szCs w:val="21"/>
            </w:rPr>
            <w:fldChar w:fldCharType="end"/>
          </w:r>
        </w:p>
        <w:p w14:paraId="6F897C6E">
          <w:pPr>
            <w:tabs>
              <w:tab w:val="right" w:leader="dot" w:pos="8317"/>
            </w:tabs>
            <w:spacing w:before="21" w:line="221" w:lineRule="auto"/>
            <w:ind w:left="446"/>
            <w:rPr>
              <w:rFonts w:ascii="宋体" w:hAnsi="宋体" w:eastAsia="宋体" w:cs="宋体"/>
              <w:sz w:val="21"/>
              <w:szCs w:val="21"/>
            </w:rPr>
          </w:pPr>
          <w:r>
            <w:rPr>
              <w:rFonts w:ascii="宋体" w:hAnsi="宋体" w:eastAsia="宋体" w:cs="宋体"/>
              <w:spacing w:val="-2"/>
              <w:sz w:val="21"/>
              <w:szCs w:val="21"/>
            </w:rPr>
            <w:t>7.评标办法</w:t>
          </w:r>
          <w:r>
            <w:rPr>
              <w:rFonts w:ascii="宋体" w:hAnsi="宋体" w:eastAsia="宋体" w:cs="宋体"/>
              <w:spacing w:val="-87"/>
              <w:sz w:val="21"/>
              <w:szCs w:val="21"/>
            </w:rPr>
            <w:t xml:space="preserve"> </w:t>
          </w:r>
          <w:r>
            <w:rPr>
              <w:rFonts w:ascii="宋体" w:hAnsi="宋体" w:eastAsia="宋体" w:cs="宋体"/>
              <w:sz w:val="21"/>
              <w:szCs w:val="21"/>
            </w:rPr>
            <w:tab/>
          </w:r>
          <w:r>
            <w:rPr>
              <w:rFonts w:ascii="宋体" w:hAnsi="宋体" w:eastAsia="宋体" w:cs="宋体"/>
              <w:spacing w:val="-24"/>
              <w:sz w:val="21"/>
              <w:szCs w:val="21"/>
            </w:rPr>
            <w:t xml:space="preserve"> </w:t>
          </w:r>
          <w:r>
            <w:fldChar w:fldCharType="begin"/>
          </w:r>
          <w:r>
            <w:instrText xml:space="preserve"> HYPERLINK \l "bookmark10" </w:instrText>
          </w:r>
          <w:r>
            <w:fldChar w:fldCharType="separate"/>
          </w:r>
          <w:r>
            <w:rPr>
              <w:rFonts w:ascii="宋体" w:hAnsi="宋体" w:eastAsia="宋体" w:cs="宋体"/>
              <w:sz w:val="21"/>
              <w:szCs w:val="21"/>
            </w:rPr>
            <w:t>3</w:t>
          </w:r>
          <w:r>
            <w:rPr>
              <w:rFonts w:ascii="宋体" w:hAnsi="宋体" w:eastAsia="宋体" w:cs="宋体"/>
              <w:sz w:val="21"/>
              <w:szCs w:val="21"/>
            </w:rPr>
            <w:fldChar w:fldCharType="end"/>
          </w:r>
        </w:p>
        <w:p w14:paraId="1DECF0F9">
          <w:pPr>
            <w:tabs>
              <w:tab w:val="right" w:leader="dot" w:pos="8317"/>
            </w:tabs>
            <w:spacing w:before="22" w:line="221" w:lineRule="auto"/>
            <w:ind w:left="442"/>
            <w:rPr>
              <w:rFonts w:ascii="宋体" w:hAnsi="宋体" w:eastAsia="宋体" w:cs="宋体"/>
              <w:sz w:val="21"/>
              <w:szCs w:val="21"/>
            </w:rPr>
          </w:pPr>
          <w:r>
            <w:rPr>
              <w:rFonts w:ascii="宋体" w:hAnsi="宋体" w:eastAsia="宋体" w:cs="宋体"/>
              <w:spacing w:val="-5"/>
              <w:sz w:val="21"/>
              <w:szCs w:val="21"/>
            </w:rPr>
            <w:t xml:space="preserve">8.定标方式（评定分离模式适用） </w:t>
          </w:r>
          <w:r>
            <w:rPr>
              <w:rFonts w:ascii="宋体" w:hAnsi="宋体" w:eastAsia="宋体" w:cs="宋体"/>
              <w:sz w:val="21"/>
              <w:szCs w:val="21"/>
            </w:rPr>
            <w:tab/>
          </w:r>
          <w:r>
            <w:rPr>
              <w:rFonts w:ascii="宋体" w:hAnsi="宋体" w:eastAsia="宋体" w:cs="宋体"/>
              <w:spacing w:val="-25"/>
              <w:sz w:val="21"/>
              <w:szCs w:val="21"/>
            </w:rPr>
            <w:t xml:space="preserve"> </w:t>
          </w:r>
          <w:r>
            <w:fldChar w:fldCharType="begin"/>
          </w:r>
          <w:r>
            <w:instrText xml:space="preserve"> HYPERLINK \l "bookmark11" </w:instrText>
          </w:r>
          <w:r>
            <w:fldChar w:fldCharType="separate"/>
          </w:r>
          <w:r>
            <w:rPr>
              <w:rFonts w:ascii="宋体" w:hAnsi="宋体" w:eastAsia="宋体" w:cs="宋体"/>
              <w:sz w:val="21"/>
              <w:szCs w:val="21"/>
            </w:rPr>
            <w:t>3</w:t>
          </w:r>
          <w:r>
            <w:rPr>
              <w:rFonts w:ascii="宋体" w:hAnsi="宋体" w:eastAsia="宋体" w:cs="宋体"/>
              <w:sz w:val="21"/>
              <w:szCs w:val="21"/>
            </w:rPr>
            <w:fldChar w:fldCharType="end"/>
          </w:r>
        </w:p>
        <w:p w14:paraId="0C3A3C5F">
          <w:pPr>
            <w:tabs>
              <w:tab w:val="right" w:leader="dot" w:pos="8317"/>
            </w:tabs>
            <w:spacing w:before="23" w:line="219" w:lineRule="auto"/>
            <w:ind w:left="442"/>
            <w:rPr>
              <w:rFonts w:ascii="宋体" w:hAnsi="宋体" w:eastAsia="宋体" w:cs="宋体"/>
              <w:sz w:val="21"/>
              <w:szCs w:val="21"/>
            </w:rPr>
          </w:pPr>
          <w:r>
            <w:rPr>
              <w:rFonts w:ascii="宋体" w:hAnsi="宋体" w:eastAsia="宋体" w:cs="宋体"/>
              <w:spacing w:val="-1"/>
              <w:sz w:val="21"/>
              <w:szCs w:val="21"/>
            </w:rPr>
            <w:t>9.发布公告的媒介</w:t>
          </w:r>
          <w:r>
            <w:rPr>
              <w:rFonts w:ascii="宋体" w:hAnsi="宋体" w:eastAsia="宋体" w:cs="宋体"/>
              <w:spacing w:val="-83"/>
              <w:sz w:val="21"/>
              <w:szCs w:val="21"/>
            </w:rPr>
            <w:t xml:space="preserve"> </w:t>
          </w:r>
          <w:r>
            <w:rPr>
              <w:rFonts w:ascii="宋体" w:hAnsi="宋体" w:eastAsia="宋体" w:cs="宋体"/>
              <w:sz w:val="21"/>
              <w:szCs w:val="21"/>
            </w:rPr>
            <w:tab/>
          </w:r>
          <w:r>
            <w:rPr>
              <w:rFonts w:ascii="宋体" w:hAnsi="宋体" w:eastAsia="宋体" w:cs="宋体"/>
              <w:spacing w:val="-24"/>
              <w:sz w:val="21"/>
              <w:szCs w:val="21"/>
            </w:rPr>
            <w:t xml:space="preserve"> </w:t>
          </w:r>
          <w:r>
            <w:fldChar w:fldCharType="begin"/>
          </w:r>
          <w:r>
            <w:instrText xml:space="preserve"> HYPERLINK \l "bookmark12" </w:instrText>
          </w:r>
          <w:r>
            <w:fldChar w:fldCharType="separate"/>
          </w:r>
          <w:r>
            <w:rPr>
              <w:rFonts w:ascii="宋体" w:hAnsi="宋体" w:eastAsia="宋体" w:cs="宋体"/>
              <w:sz w:val="21"/>
              <w:szCs w:val="21"/>
            </w:rPr>
            <w:t>3</w:t>
          </w:r>
          <w:r>
            <w:rPr>
              <w:rFonts w:ascii="宋体" w:hAnsi="宋体" w:eastAsia="宋体" w:cs="宋体"/>
              <w:sz w:val="21"/>
              <w:szCs w:val="21"/>
            </w:rPr>
            <w:fldChar w:fldCharType="end"/>
          </w:r>
        </w:p>
        <w:p w14:paraId="7C24A60F">
          <w:pPr>
            <w:tabs>
              <w:tab w:val="right" w:leader="dot" w:pos="8317"/>
            </w:tabs>
            <w:spacing w:before="19" w:line="221" w:lineRule="auto"/>
            <w:ind w:left="456"/>
            <w:rPr>
              <w:rFonts w:ascii="宋体" w:hAnsi="宋体" w:eastAsia="宋体" w:cs="宋体"/>
              <w:sz w:val="21"/>
              <w:szCs w:val="21"/>
            </w:rPr>
          </w:pPr>
          <w:r>
            <w:rPr>
              <w:rFonts w:ascii="宋体" w:hAnsi="宋体" w:eastAsia="宋体" w:cs="宋体"/>
              <w:spacing w:val="-3"/>
              <w:sz w:val="21"/>
              <w:szCs w:val="21"/>
            </w:rPr>
            <w:t>10.监督信息</w:t>
          </w:r>
          <w:r>
            <w:rPr>
              <w:rFonts w:ascii="宋体" w:hAnsi="宋体" w:eastAsia="宋体" w:cs="宋体"/>
              <w:spacing w:val="-88"/>
              <w:sz w:val="21"/>
              <w:szCs w:val="21"/>
            </w:rPr>
            <w:t xml:space="preserve"> </w:t>
          </w:r>
          <w:r>
            <w:rPr>
              <w:rFonts w:ascii="宋体" w:hAnsi="宋体" w:eastAsia="宋体" w:cs="宋体"/>
              <w:sz w:val="21"/>
              <w:szCs w:val="21"/>
            </w:rPr>
            <w:tab/>
          </w:r>
          <w:r>
            <w:rPr>
              <w:rFonts w:ascii="宋体" w:hAnsi="宋体" w:eastAsia="宋体" w:cs="宋体"/>
              <w:spacing w:val="-24"/>
              <w:sz w:val="21"/>
              <w:szCs w:val="21"/>
            </w:rPr>
            <w:t xml:space="preserve"> </w:t>
          </w:r>
          <w:r>
            <w:fldChar w:fldCharType="begin"/>
          </w:r>
          <w:r>
            <w:instrText xml:space="preserve"> HYPERLINK \l "bookmark13" </w:instrText>
          </w:r>
          <w:r>
            <w:fldChar w:fldCharType="separate"/>
          </w:r>
          <w:r>
            <w:rPr>
              <w:rFonts w:ascii="宋体" w:hAnsi="宋体" w:eastAsia="宋体" w:cs="宋体"/>
              <w:sz w:val="21"/>
              <w:szCs w:val="21"/>
            </w:rPr>
            <w:t>3</w:t>
          </w:r>
          <w:r>
            <w:rPr>
              <w:rFonts w:ascii="宋体" w:hAnsi="宋体" w:eastAsia="宋体" w:cs="宋体"/>
              <w:sz w:val="21"/>
              <w:szCs w:val="21"/>
            </w:rPr>
            <w:fldChar w:fldCharType="end"/>
          </w:r>
        </w:p>
        <w:p w14:paraId="1E7ACA05">
          <w:pPr>
            <w:tabs>
              <w:tab w:val="right" w:leader="dot" w:pos="8317"/>
            </w:tabs>
            <w:spacing w:before="23" w:line="222" w:lineRule="auto"/>
            <w:ind w:left="456"/>
            <w:rPr>
              <w:rFonts w:ascii="宋体" w:hAnsi="宋体" w:eastAsia="宋体" w:cs="宋体"/>
              <w:sz w:val="21"/>
              <w:szCs w:val="21"/>
            </w:rPr>
          </w:pPr>
          <w:r>
            <w:rPr>
              <w:rFonts w:ascii="宋体" w:hAnsi="宋体" w:eastAsia="宋体" w:cs="宋体"/>
              <w:spacing w:val="-3"/>
              <w:sz w:val="21"/>
              <w:szCs w:val="21"/>
            </w:rPr>
            <w:t>12.联系方式</w:t>
          </w:r>
          <w:r>
            <w:rPr>
              <w:rFonts w:ascii="宋体" w:hAnsi="宋体" w:eastAsia="宋体" w:cs="宋体"/>
              <w:spacing w:val="-88"/>
              <w:sz w:val="21"/>
              <w:szCs w:val="21"/>
            </w:rPr>
            <w:t xml:space="preserve"> </w:t>
          </w:r>
          <w:r>
            <w:rPr>
              <w:rFonts w:ascii="宋体" w:hAnsi="宋体" w:eastAsia="宋体" w:cs="宋体"/>
              <w:sz w:val="21"/>
              <w:szCs w:val="21"/>
            </w:rPr>
            <w:tab/>
          </w:r>
          <w:r>
            <w:rPr>
              <w:rFonts w:ascii="宋体" w:hAnsi="宋体" w:eastAsia="宋体" w:cs="宋体"/>
              <w:spacing w:val="-24"/>
              <w:sz w:val="21"/>
              <w:szCs w:val="21"/>
            </w:rPr>
            <w:t xml:space="preserve"> </w:t>
          </w:r>
          <w:r>
            <w:fldChar w:fldCharType="begin"/>
          </w:r>
          <w:r>
            <w:instrText xml:space="preserve"> HYPERLINK \l "bookmark14" </w:instrText>
          </w:r>
          <w:r>
            <w:fldChar w:fldCharType="separate"/>
          </w:r>
          <w:r>
            <w:rPr>
              <w:rFonts w:ascii="宋体" w:hAnsi="宋体" w:eastAsia="宋体" w:cs="宋体"/>
              <w:sz w:val="21"/>
              <w:szCs w:val="21"/>
            </w:rPr>
            <w:t>3</w:t>
          </w:r>
          <w:r>
            <w:rPr>
              <w:rFonts w:ascii="宋体" w:hAnsi="宋体" w:eastAsia="宋体" w:cs="宋体"/>
              <w:sz w:val="21"/>
              <w:szCs w:val="21"/>
            </w:rPr>
            <w:fldChar w:fldCharType="end"/>
          </w:r>
        </w:p>
        <w:p w14:paraId="56FB12B1">
          <w:pPr>
            <w:tabs>
              <w:tab w:val="right" w:leader="dot" w:pos="8307"/>
            </w:tabs>
            <w:spacing w:before="21" w:line="220" w:lineRule="auto"/>
            <w:ind w:left="18"/>
            <w:rPr>
              <w:rFonts w:ascii="宋体" w:hAnsi="宋体" w:eastAsia="宋体" w:cs="宋体"/>
              <w:sz w:val="21"/>
              <w:szCs w:val="21"/>
            </w:rPr>
          </w:pPr>
          <w:r>
            <w:rPr>
              <w:rFonts w:ascii="宋体" w:hAnsi="宋体" w:eastAsia="宋体" w:cs="宋体"/>
              <w:spacing w:val="-6"/>
              <w:sz w:val="21"/>
              <w:szCs w:val="21"/>
              <w14:textOutline w14:w="3831" w14:cap="flat" w14:cmpd="sng">
                <w14:solidFill>
                  <w14:srgbClr w14:val="000000"/>
                </w14:solidFill>
                <w14:prstDash w14:val="solid"/>
                <w14:miter w14:val="0"/>
              </w14:textOutline>
            </w:rPr>
            <w:t>第一章</w:t>
          </w:r>
          <w:r>
            <w:rPr>
              <w:rFonts w:ascii="宋体" w:hAnsi="宋体" w:eastAsia="宋体" w:cs="宋体"/>
              <w:spacing w:val="-6"/>
              <w:sz w:val="21"/>
              <w:szCs w:val="21"/>
            </w:rPr>
            <w:t xml:space="preserve">  </w:t>
          </w:r>
          <w:r>
            <w:rPr>
              <w:rFonts w:ascii="宋体" w:hAnsi="宋体" w:eastAsia="宋体" w:cs="宋体"/>
              <w:spacing w:val="-6"/>
              <w:sz w:val="21"/>
              <w:szCs w:val="21"/>
              <w14:textOutline w14:w="3831" w14:cap="flat" w14:cmpd="sng">
                <w14:solidFill>
                  <w14:srgbClr w14:val="000000"/>
                </w14:solidFill>
                <w14:prstDash w14:val="solid"/>
                <w14:miter w14:val="0"/>
              </w14:textOutline>
            </w:rPr>
            <w:t>投标邀请书（适用于邀请招标）</w:t>
          </w:r>
          <w:r>
            <w:rPr>
              <w:rFonts w:ascii="宋体" w:hAnsi="宋体" w:eastAsia="宋体" w:cs="宋体"/>
              <w:spacing w:val="70"/>
              <w:sz w:val="21"/>
              <w:szCs w:val="21"/>
            </w:rPr>
            <w:t xml:space="preserve"> </w:t>
          </w:r>
          <w:r>
            <w:rPr>
              <w:rFonts w:ascii="宋体" w:hAnsi="宋体" w:eastAsia="宋体" w:cs="宋体"/>
              <w:sz w:val="21"/>
              <w:szCs w:val="21"/>
              <w14:textOutline w14:w="3831" w14:cap="flat" w14:cmpd="sng">
                <w14:solidFill>
                  <w14:srgbClr w14:val="000000"/>
                </w14:solidFill>
                <w14:prstDash w14:val="solid"/>
                <w14:miter w14:val="0"/>
              </w14:textOutline>
            </w:rPr>
            <w:tab/>
          </w:r>
          <w:r>
            <w:rPr>
              <w:rFonts w:ascii="宋体" w:hAnsi="宋体" w:eastAsia="宋体" w:cs="宋体"/>
              <w:spacing w:val="-39"/>
              <w:sz w:val="21"/>
              <w:szCs w:val="21"/>
            </w:rPr>
            <w:t xml:space="preserve"> </w:t>
          </w:r>
          <w:r>
            <w:fldChar w:fldCharType="begin"/>
          </w:r>
          <w:r>
            <w:instrText xml:space="preserve"> HYPERLINK \l "bookmark1" </w:instrText>
          </w:r>
          <w:r>
            <w:fldChar w:fldCharType="separate"/>
          </w:r>
          <w:r>
            <w:rPr>
              <w:rFonts w:ascii="宋体" w:hAnsi="宋体" w:eastAsia="宋体" w:cs="宋体"/>
              <w:sz w:val="21"/>
              <w:szCs w:val="21"/>
              <w14:textOutline w14:w="3831" w14:cap="flat" w14:cmpd="sng">
                <w14:solidFill>
                  <w14:srgbClr w14:val="000000"/>
                </w14:solidFill>
                <w14:prstDash w14:val="solid"/>
                <w14:miter w14:val="0"/>
              </w14:textOutline>
            </w:rPr>
            <w:t>5</w:t>
          </w:r>
          <w:r>
            <w:rPr>
              <w:rFonts w:ascii="宋体" w:hAnsi="宋体" w:eastAsia="宋体" w:cs="宋体"/>
              <w:sz w:val="21"/>
              <w:szCs w:val="21"/>
              <w14:textOutline w14:w="3831" w14:cap="flat" w14:cmpd="sng">
                <w14:solidFill>
                  <w14:srgbClr w14:val="000000"/>
                </w14:solidFill>
                <w14:prstDash w14:val="solid"/>
                <w14:miter w14:val="0"/>
              </w14:textOutline>
            </w:rPr>
            <w:fldChar w:fldCharType="end"/>
          </w:r>
        </w:p>
        <w:p w14:paraId="78DDF4A6">
          <w:pPr>
            <w:tabs>
              <w:tab w:val="right" w:leader="dot" w:pos="8317"/>
            </w:tabs>
            <w:spacing w:before="23" w:line="221" w:lineRule="auto"/>
            <w:ind w:left="456"/>
            <w:rPr>
              <w:rFonts w:ascii="宋体" w:hAnsi="宋体" w:eastAsia="宋体" w:cs="宋体"/>
              <w:sz w:val="21"/>
              <w:szCs w:val="21"/>
            </w:rPr>
          </w:pPr>
          <w:r>
            <w:rPr>
              <w:rFonts w:ascii="宋体" w:hAnsi="宋体" w:eastAsia="宋体" w:cs="宋体"/>
              <w:spacing w:val="-3"/>
              <w:sz w:val="21"/>
              <w:szCs w:val="21"/>
            </w:rPr>
            <w:t>1.招标条件</w:t>
          </w:r>
          <w:r>
            <w:rPr>
              <w:rFonts w:ascii="宋体" w:hAnsi="宋体" w:eastAsia="宋体" w:cs="宋体"/>
              <w:spacing w:val="-91"/>
              <w:sz w:val="21"/>
              <w:szCs w:val="21"/>
            </w:rPr>
            <w:t xml:space="preserve"> </w:t>
          </w:r>
          <w:r>
            <w:rPr>
              <w:rFonts w:ascii="宋体" w:hAnsi="宋体" w:eastAsia="宋体" w:cs="宋体"/>
              <w:sz w:val="21"/>
              <w:szCs w:val="21"/>
            </w:rPr>
            <w:tab/>
          </w:r>
          <w:r>
            <w:rPr>
              <w:rFonts w:ascii="宋体" w:hAnsi="宋体" w:eastAsia="宋体" w:cs="宋体"/>
              <w:spacing w:val="-24"/>
              <w:sz w:val="21"/>
              <w:szCs w:val="21"/>
            </w:rPr>
            <w:t xml:space="preserve"> </w:t>
          </w:r>
          <w:r>
            <w:fldChar w:fldCharType="begin"/>
          </w:r>
          <w:r>
            <w:instrText xml:space="preserve"> HYPERLINK \l "bookmark1" </w:instrText>
          </w:r>
          <w:r>
            <w:fldChar w:fldCharType="separate"/>
          </w:r>
          <w:r>
            <w:rPr>
              <w:rFonts w:ascii="宋体" w:hAnsi="宋体" w:eastAsia="宋体" w:cs="宋体"/>
              <w:sz w:val="21"/>
              <w:szCs w:val="21"/>
            </w:rPr>
            <w:t>5</w:t>
          </w:r>
          <w:r>
            <w:rPr>
              <w:rFonts w:ascii="宋体" w:hAnsi="宋体" w:eastAsia="宋体" w:cs="宋体"/>
              <w:sz w:val="21"/>
              <w:szCs w:val="21"/>
            </w:rPr>
            <w:fldChar w:fldCharType="end"/>
          </w:r>
        </w:p>
        <w:p w14:paraId="6B465C43">
          <w:pPr>
            <w:tabs>
              <w:tab w:val="right" w:leader="dot" w:pos="8317"/>
            </w:tabs>
            <w:spacing w:before="18" w:line="221" w:lineRule="auto"/>
            <w:ind w:left="443"/>
            <w:rPr>
              <w:rFonts w:ascii="宋体" w:hAnsi="宋体" w:eastAsia="宋体" w:cs="宋体"/>
              <w:sz w:val="21"/>
              <w:szCs w:val="21"/>
            </w:rPr>
          </w:pPr>
          <w:r>
            <w:rPr>
              <w:rFonts w:ascii="宋体" w:hAnsi="宋体" w:eastAsia="宋体" w:cs="宋体"/>
              <w:spacing w:val="-1"/>
              <w:sz w:val="21"/>
              <w:szCs w:val="21"/>
            </w:rPr>
            <w:t>2.项目概况与招标范围</w:t>
          </w:r>
          <w:r>
            <w:rPr>
              <w:rFonts w:ascii="宋体" w:hAnsi="宋体" w:eastAsia="宋体" w:cs="宋体"/>
              <w:spacing w:val="-79"/>
              <w:sz w:val="21"/>
              <w:szCs w:val="21"/>
            </w:rPr>
            <w:t xml:space="preserve"> </w:t>
          </w:r>
          <w:r>
            <w:rPr>
              <w:rFonts w:ascii="宋体" w:hAnsi="宋体" w:eastAsia="宋体" w:cs="宋体"/>
              <w:sz w:val="21"/>
              <w:szCs w:val="21"/>
            </w:rPr>
            <w:tab/>
          </w:r>
          <w:r>
            <w:rPr>
              <w:rFonts w:ascii="宋体" w:hAnsi="宋体" w:eastAsia="宋体" w:cs="宋体"/>
              <w:spacing w:val="-24"/>
              <w:sz w:val="21"/>
              <w:szCs w:val="21"/>
            </w:rPr>
            <w:t xml:space="preserve"> </w:t>
          </w:r>
          <w:r>
            <w:fldChar w:fldCharType="begin"/>
          </w:r>
          <w:r>
            <w:instrText xml:space="preserve"> HYPERLINK \l "bookmark1" </w:instrText>
          </w:r>
          <w:r>
            <w:fldChar w:fldCharType="separate"/>
          </w:r>
          <w:r>
            <w:rPr>
              <w:rFonts w:ascii="宋体" w:hAnsi="宋体" w:eastAsia="宋体" w:cs="宋体"/>
              <w:sz w:val="21"/>
              <w:szCs w:val="21"/>
            </w:rPr>
            <w:t>5</w:t>
          </w:r>
          <w:r>
            <w:rPr>
              <w:rFonts w:ascii="宋体" w:hAnsi="宋体" w:eastAsia="宋体" w:cs="宋体"/>
              <w:sz w:val="21"/>
              <w:szCs w:val="21"/>
            </w:rPr>
            <w:fldChar w:fldCharType="end"/>
          </w:r>
        </w:p>
        <w:p w14:paraId="04412B12">
          <w:pPr>
            <w:tabs>
              <w:tab w:val="right" w:leader="dot" w:pos="8317"/>
            </w:tabs>
            <w:spacing w:before="22" w:line="221" w:lineRule="auto"/>
            <w:ind w:left="445"/>
            <w:rPr>
              <w:rFonts w:ascii="宋体" w:hAnsi="宋体" w:eastAsia="宋体" w:cs="宋体"/>
              <w:sz w:val="21"/>
              <w:szCs w:val="21"/>
            </w:rPr>
          </w:pPr>
          <w:r>
            <w:rPr>
              <w:rFonts w:ascii="宋体" w:hAnsi="宋体" w:eastAsia="宋体" w:cs="宋体"/>
              <w:spacing w:val="-1"/>
              <w:sz w:val="21"/>
              <w:szCs w:val="21"/>
            </w:rPr>
            <w:t>3.投标人资格要求</w:t>
          </w:r>
          <w:r>
            <w:rPr>
              <w:rFonts w:ascii="宋体" w:hAnsi="宋体" w:eastAsia="宋体" w:cs="宋体"/>
              <w:spacing w:val="-86"/>
              <w:sz w:val="21"/>
              <w:szCs w:val="21"/>
            </w:rPr>
            <w:t xml:space="preserve"> </w:t>
          </w:r>
          <w:r>
            <w:rPr>
              <w:rFonts w:ascii="宋体" w:hAnsi="宋体" w:eastAsia="宋体" w:cs="宋体"/>
              <w:sz w:val="21"/>
              <w:szCs w:val="21"/>
            </w:rPr>
            <w:tab/>
          </w:r>
          <w:r>
            <w:rPr>
              <w:rFonts w:ascii="宋体" w:hAnsi="宋体" w:eastAsia="宋体" w:cs="宋体"/>
              <w:spacing w:val="-24"/>
              <w:sz w:val="21"/>
              <w:szCs w:val="21"/>
            </w:rPr>
            <w:t xml:space="preserve"> </w:t>
          </w:r>
          <w:r>
            <w:fldChar w:fldCharType="begin"/>
          </w:r>
          <w:r>
            <w:instrText xml:space="preserve"> HYPERLINK \l "bookmark1" </w:instrText>
          </w:r>
          <w:r>
            <w:fldChar w:fldCharType="separate"/>
          </w:r>
          <w:r>
            <w:rPr>
              <w:rFonts w:ascii="宋体" w:hAnsi="宋体" w:eastAsia="宋体" w:cs="宋体"/>
              <w:sz w:val="21"/>
              <w:szCs w:val="21"/>
            </w:rPr>
            <w:t>5</w:t>
          </w:r>
          <w:r>
            <w:rPr>
              <w:rFonts w:ascii="宋体" w:hAnsi="宋体" w:eastAsia="宋体" w:cs="宋体"/>
              <w:sz w:val="21"/>
              <w:szCs w:val="21"/>
            </w:rPr>
            <w:fldChar w:fldCharType="end"/>
          </w:r>
        </w:p>
        <w:p w14:paraId="6A5D85A9">
          <w:pPr>
            <w:tabs>
              <w:tab w:val="right" w:leader="dot" w:pos="8317"/>
            </w:tabs>
            <w:spacing w:before="22" w:line="221" w:lineRule="auto"/>
            <w:ind w:left="440"/>
            <w:rPr>
              <w:rFonts w:ascii="宋体" w:hAnsi="宋体" w:eastAsia="宋体" w:cs="宋体"/>
              <w:sz w:val="21"/>
              <w:szCs w:val="21"/>
            </w:rPr>
          </w:pPr>
          <w:r>
            <w:rPr>
              <w:rFonts w:ascii="宋体" w:hAnsi="宋体" w:eastAsia="宋体" w:cs="宋体"/>
              <w:spacing w:val="-1"/>
              <w:sz w:val="21"/>
              <w:szCs w:val="21"/>
            </w:rPr>
            <w:t>4.招标文件的获取</w:t>
          </w:r>
          <w:r>
            <w:rPr>
              <w:rFonts w:ascii="宋体" w:hAnsi="宋体" w:eastAsia="宋体" w:cs="宋体"/>
              <w:spacing w:val="-81"/>
              <w:sz w:val="21"/>
              <w:szCs w:val="21"/>
            </w:rPr>
            <w:t xml:space="preserve"> </w:t>
          </w:r>
          <w:r>
            <w:rPr>
              <w:rFonts w:ascii="宋体" w:hAnsi="宋体" w:eastAsia="宋体" w:cs="宋体"/>
              <w:sz w:val="21"/>
              <w:szCs w:val="21"/>
            </w:rPr>
            <w:tab/>
          </w:r>
          <w:r>
            <w:rPr>
              <w:rFonts w:ascii="宋体" w:hAnsi="宋体" w:eastAsia="宋体" w:cs="宋体"/>
              <w:spacing w:val="-27"/>
              <w:sz w:val="21"/>
              <w:szCs w:val="21"/>
            </w:rPr>
            <w:t xml:space="preserve"> </w:t>
          </w:r>
          <w:r>
            <w:fldChar w:fldCharType="begin"/>
          </w:r>
          <w:r>
            <w:instrText xml:space="preserve"> HYPERLINK \l "bookmark15" </w:instrText>
          </w:r>
          <w:r>
            <w:fldChar w:fldCharType="separate"/>
          </w:r>
          <w:r>
            <w:rPr>
              <w:rFonts w:ascii="宋体" w:hAnsi="宋体" w:eastAsia="宋体" w:cs="宋体"/>
              <w:sz w:val="21"/>
              <w:szCs w:val="21"/>
            </w:rPr>
            <w:t>6</w:t>
          </w:r>
          <w:r>
            <w:rPr>
              <w:rFonts w:ascii="宋体" w:hAnsi="宋体" w:eastAsia="宋体" w:cs="宋体"/>
              <w:sz w:val="21"/>
              <w:szCs w:val="21"/>
            </w:rPr>
            <w:fldChar w:fldCharType="end"/>
          </w:r>
        </w:p>
        <w:p w14:paraId="2BB16482">
          <w:pPr>
            <w:tabs>
              <w:tab w:val="right" w:leader="dot" w:pos="8317"/>
            </w:tabs>
            <w:spacing w:before="22" w:line="221" w:lineRule="auto"/>
            <w:ind w:left="445"/>
            <w:rPr>
              <w:rFonts w:ascii="宋体" w:hAnsi="宋体" w:eastAsia="宋体" w:cs="宋体"/>
              <w:sz w:val="21"/>
              <w:szCs w:val="21"/>
            </w:rPr>
          </w:pPr>
          <w:r>
            <w:rPr>
              <w:rFonts w:ascii="宋体" w:hAnsi="宋体" w:eastAsia="宋体" w:cs="宋体"/>
              <w:spacing w:val="-1"/>
              <w:sz w:val="21"/>
              <w:szCs w:val="21"/>
            </w:rPr>
            <w:t>5.投标文件的递交</w:t>
          </w:r>
          <w:r>
            <w:rPr>
              <w:rFonts w:ascii="宋体" w:hAnsi="宋体" w:eastAsia="宋体" w:cs="宋体"/>
              <w:spacing w:val="-86"/>
              <w:sz w:val="21"/>
              <w:szCs w:val="21"/>
            </w:rPr>
            <w:t xml:space="preserve"> </w:t>
          </w:r>
          <w:r>
            <w:rPr>
              <w:rFonts w:ascii="宋体" w:hAnsi="宋体" w:eastAsia="宋体" w:cs="宋体"/>
              <w:sz w:val="21"/>
              <w:szCs w:val="21"/>
            </w:rPr>
            <w:tab/>
          </w:r>
          <w:r>
            <w:rPr>
              <w:rFonts w:ascii="宋体" w:hAnsi="宋体" w:eastAsia="宋体" w:cs="宋体"/>
              <w:spacing w:val="-27"/>
              <w:sz w:val="21"/>
              <w:szCs w:val="21"/>
            </w:rPr>
            <w:t xml:space="preserve"> </w:t>
          </w:r>
          <w:r>
            <w:fldChar w:fldCharType="begin"/>
          </w:r>
          <w:r>
            <w:instrText xml:space="preserve"> HYPERLINK \l "bookmark16" </w:instrText>
          </w:r>
          <w:r>
            <w:fldChar w:fldCharType="separate"/>
          </w:r>
          <w:r>
            <w:rPr>
              <w:rFonts w:ascii="宋体" w:hAnsi="宋体" w:eastAsia="宋体" w:cs="宋体"/>
              <w:sz w:val="21"/>
              <w:szCs w:val="21"/>
            </w:rPr>
            <w:t>6</w:t>
          </w:r>
          <w:r>
            <w:rPr>
              <w:rFonts w:ascii="宋体" w:hAnsi="宋体" w:eastAsia="宋体" w:cs="宋体"/>
              <w:sz w:val="21"/>
              <w:szCs w:val="21"/>
            </w:rPr>
            <w:fldChar w:fldCharType="end"/>
          </w:r>
        </w:p>
        <w:p w14:paraId="43F28550">
          <w:pPr>
            <w:tabs>
              <w:tab w:val="right" w:leader="dot" w:pos="8317"/>
            </w:tabs>
            <w:spacing w:before="19" w:line="221" w:lineRule="auto"/>
            <w:ind w:left="442"/>
            <w:rPr>
              <w:rFonts w:ascii="宋体" w:hAnsi="宋体" w:eastAsia="宋体" w:cs="宋体"/>
              <w:sz w:val="21"/>
              <w:szCs w:val="21"/>
            </w:rPr>
          </w:pPr>
          <w:r>
            <w:rPr>
              <w:rFonts w:ascii="宋体" w:hAnsi="宋体" w:eastAsia="宋体" w:cs="宋体"/>
              <w:spacing w:val="-1"/>
              <w:sz w:val="21"/>
              <w:szCs w:val="21"/>
            </w:rPr>
            <w:t>6.投标相关事宜</w:t>
          </w:r>
          <w:r>
            <w:rPr>
              <w:rFonts w:ascii="宋体" w:hAnsi="宋体" w:eastAsia="宋体" w:cs="宋体"/>
              <w:spacing w:val="-86"/>
              <w:sz w:val="21"/>
              <w:szCs w:val="21"/>
            </w:rPr>
            <w:t xml:space="preserve"> </w:t>
          </w:r>
          <w:r>
            <w:rPr>
              <w:rFonts w:ascii="宋体" w:hAnsi="宋体" w:eastAsia="宋体" w:cs="宋体"/>
              <w:sz w:val="21"/>
              <w:szCs w:val="21"/>
            </w:rPr>
            <w:tab/>
          </w:r>
          <w:r>
            <w:rPr>
              <w:rFonts w:ascii="宋体" w:hAnsi="宋体" w:eastAsia="宋体" w:cs="宋体"/>
              <w:spacing w:val="-27"/>
              <w:sz w:val="21"/>
              <w:szCs w:val="21"/>
            </w:rPr>
            <w:t xml:space="preserve"> </w:t>
          </w:r>
          <w:r>
            <w:fldChar w:fldCharType="begin"/>
          </w:r>
          <w:r>
            <w:instrText xml:space="preserve"> HYPERLINK \l "bookmark17" </w:instrText>
          </w:r>
          <w:r>
            <w:fldChar w:fldCharType="separate"/>
          </w:r>
          <w:r>
            <w:rPr>
              <w:rFonts w:ascii="宋体" w:hAnsi="宋体" w:eastAsia="宋体" w:cs="宋体"/>
              <w:sz w:val="21"/>
              <w:szCs w:val="21"/>
            </w:rPr>
            <w:t>6</w:t>
          </w:r>
          <w:r>
            <w:rPr>
              <w:rFonts w:ascii="宋体" w:hAnsi="宋体" w:eastAsia="宋体" w:cs="宋体"/>
              <w:sz w:val="21"/>
              <w:szCs w:val="21"/>
            </w:rPr>
            <w:fldChar w:fldCharType="end"/>
          </w:r>
        </w:p>
        <w:p w14:paraId="6B3B9A92">
          <w:pPr>
            <w:tabs>
              <w:tab w:val="right" w:leader="dot" w:pos="8317"/>
            </w:tabs>
            <w:spacing w:before="21" w:line="221" w:lineRule="auto"/>
            <w:ind w:left="446"/>
            <w:rPr>
              <w:rFonts w:ascii="宋体" w:hAnsi="宋体" w:eastAsia="宋体" w:cs="宋体"/>
              <w:sz w:val="21"/>
              <w:szCs w:val="21"/>
            </w:rPr>
          </w:pPr>
          <w:r>
            <w:rPr>
              <w:rFonts w:ascii="宋体" w:hAnsi="宋体" w:eastAsia="宋体" w:cs="宋体"/>
              <w:spacing w:val="-2"/>
              <w:sz w:val="21"/>
              <w:szCs w:val="21"/>
            </w:rPr>
            <w:t>7.评标办法</w:t>
          </w:r>
          <w:r>
            <w:rPr>
              <w:rFonts w:ascii="宋体" w:hAnsi="宋体" w:eastAsia="宋体" w:cs="宋体"/>
              <w:spacing w:val="-87"/>
              <w:sz w:val="21"/>
              <w:szCs w:val="21"/>
            </w:rPr>
            <w:t xml:space="preserve"> </w:t>
          </w:r>
          <w:r>
            <w:rPr>
              <w:rFonts w:ascii="宋体" w:hAnsi="宋体" w:eastAsia="宋体" w:cs="宋体"/>
              <w:sz w:val="21"/>
              <w:szCs w:val="21"/>
            </w:rPr>
            <w:tab/>
          </w:r>
          <w:r>
            <w:rPr>
              <w:rFonts w:ascii="宋体" w:hAnsi="宋体" w:eastAsia="宋体" w:cs="宋体"/>
              <w:spacing w:val="-27"/>
              <w:sz w:val="21"/>
              <w:szCs w:val="21"/>
            </w:rPr>
            <w:t xml:space="preserve"> </w:t>
          </w:r>
          <w:r>
            <w:fldChar w:fldCharType="begin"/>
          </w:r>
          <w:r>
            <w:instrText xml:space="preserve"> HYPERLINK \l "bookmark18" </w:instrText>
          </w:r>
          <w:r>
            <w:fldChar w:fldCharType="separate"/>
          </w:r>
          <w:r>
            <w:rPr>
              <w:rFonts w:ascii="宋体" w:hAnsi="宋体" w:eastAsia="宋体" w:cs="宋体"/>
              <w:sz w:val="21"/>
              <w:szCs w:val="21"/>
            </w:rPr>
            <w:t>6</w:t>
          </w:r>
          <w:r>
            <w:rPr>
              <w:rFonts w:ascii="宋体" w:hAnsi="宋体" w:eastAsia="宋体" w:cs="宋体"/>
              <w:sz w:val="21"/>
              <w:szCs w:val="21"/>
            </w:rPr>
            <w:fldChar w:fldCharType="end"/>
          </w:r>
        </w:p>
        <w:p w14:paraId="4A84CAFA">
          <w:pPr>
            <w:tabs>
              <w:tab w:val="right" w:leader="dot" w:pos="8317"/>
            </w:tabs>
            <w:spacing w:before="23" w:line="221" w:lineRule="auto"/>
            <w:ind w:left="442"/>
            <w:rPr>
              <w:rFonts w:ascii="宋体" w:hAnsi="宋体" w:eastAsia="宋体" w:cs="宋体"/>
              <w:sz w:val="21"/>
              <w:szCs w:val="21"/>
            </w:rPr>
          </w:pPr>
          <w:r>
            <w:rPr>
              <w:rFonts w:ascii="宋体" w:hAnsi="宋体" w:eastAsia="宋体" w:cs="宋体"/>
              <w:spacing w:val="-5"/>
              <w:sz w:val="21"/>
              <w:szCs w:val="21"/>
            </w:rPr>
            <w:t xml:space="preserve">8.定标方式（评定分离模式适用） </w:t>
          </w:r>
          <w:r>
            <w:rPr>
              <w:rFonts w:ascii="宋体" w:hAnsi="宋体" w:eastAsia="宋体" w:cs="宋体"/>
              <w:sz w:val="21"/>
              <w:szCs w:val="21"/>
            </w:rPr>
            <w:tab/>
          </w:r>
          <w:r>
            <w:rPr>
              <w:rFonts w:ascii="宋体" w:hAnsi="宋体" w:eastAsia="宋体" w:cs="宋体"/>
              <w:spacing w:val="-28"/>
              <w:sz w:val="21"/>
              <w:szCs w:val="21"/>
            </w:rPr>
            <w:t xml:space="preserve"> </w:t>
          </w:r>
          <w:r>
            <w:fldChar w:fldCharType="begin"/>
          </w:r>
          <w:r>
            <w:instrText xml:space="preserve"> HYPERLINK \l "bookmark19" </w:instrText>
          </w:r>
          <w:r>
            <w:fldChar w:fldCharType="separate"/>
          </w:r>
          <w:r>
            <w:rPr>
              <w:rFonts w:ascii="宋体" w:hAnsi="宋体" w:eastAsia="宋体" w:cs="宋体"/>
              <w:sz w:val="21"/>
              <w:szCs w:val="21"/>
            </w:rPr>
            <w:t>6</w:t>
          </w:r>
          <w:r>
            <w:rPr>
              <w:rFonts w:ascii="宋体" w:hAnsi="宋体" w:eastAsia="宋体" w:cs="宋体"/>
              <w:sz w:val="21"/>
              <w:szCs w:val="21"/>
            </w:rPr>
            <w:fldChar w:fldCharType="end"/>
          </w:r>
        </w:p>
        <w:p w14:paraId="59BC5608">
          <w:pPr>
            <w:tabs>
              <w:tab w:val="right" w:leader="dot" w:pos="8317"/>
            </w:tabs>
            <w:spacing w:before="17" w:line="221" w:lineRule="auto"/>
            <w:ind w:left="442"/>
            <w:rPr>
              <w:rFonts w:ascii="宋体" w:hAnsi="宋体" w:eastAsia="宋体" w:cs="宋体"/>
              <w:sz w:val="21"/>
              <w:szCs w:val="21"/>
            </w:rPr>
          </w:pPr>
          <w:r>
            <w:rPr>
              <w:rFonts w:ascii="宋体" w:hAnsi="宋体" w:eastAsia="宋体" w:cs="宋体"/>
              <w:spacing w:val="-1"/>
              <w:sz w:val="21"/>
              <w:szCs w:val="21"/>
            </w:rPr>
            <w:t>9.监督信息</w:t>
          </w:r>
          <w:r>
            <w:rPr>
              <w:rFonts w:ascii="宋体" w:hAnsi="宋体" w:eastAsia="宋体" w:cs="宋体"/>
              <w:spacing w:val="-89"/>
              <w:sz w:val="21"/>
              <w:szCs w:val="21"/>
            </w:rPr>
            <w:t xml:space="preserve"> </w:t>
          </w:r>
          <w:r>
            <w:rPr>
              <w:rFonts w:ascii="宋体" w:hAnsi="宋体" w:eastAsia="宋体" w:cs="宋体"/>
              <w:sz w:val="21"/>
              <w:szCs w:val="21"/>
            </w:rPr>
            <w:tab/>
          </w:r>
          <w:r>
            <w:rPr>
              <w:rFonts w:ascii="宋体" w:hAnsi="宋体" w:eastAsia="宋体" w:cs="宋体"/>
              <w:spacing w:val="-27"/>
              <w:sz w:val="21"/>
              <w:szCs w:val="21"/>
            </w:rPr>
            <w:t xml:space="preserve"> </w:t>
          </w:r>
          <w:r>
            <w:fldChar w:fldCharType="begin"/>
          </w:r>
          <w:r>
            <w:instrText xml:space="preserve"> HYPERLINK \l "bookmark20" </w:instrText>
          </w:r>
          <w:r>
            <w:fldChar w:fldCharType="separate"/>
          </w:r>
          <w:r>
            <w:rPr>
              <w:rFonts w:ascii="宋体" w:hAnsi="宋体" w:eastAsia="宋体" w:cs="宋体"/>
              <w:sz w:val="21"/>
              <w:szCs w:val="21"/>
            </w:rPr>
            <w:t>6</w:t>
          </w:r>
          <w:r>
            <w:rPr>
              <w:rFonts w:ascii="宋体" w:hAnsi="宋体" w:eastAsia="宋体" w:cs="宋体"/>
              <w:sz w:val="21"/>
              <w:szCs w:val="21"/>
            </w:rPr>
            <w:fldChar w:fldCharType="end"/>
          </w:r>
        </w:p>
        <w:p w14:paraId="22B58887">
          <w:pPr>
            <w:tabs>
              <w:tab w:val="right" w:leader="dot" w:pos="8317"/>
            </w:tabs>
            <w:spacing w:before="23" w:line="222" w:lineRule="auto"/>
            <w:ind w:left="456"/>
            <w:rPr>
              <w:rFonts w:ascii="宋体" w:hAnsi="宋体" w:eastAsia="宋体" w:cs="宋体"/>
              <w:sz w:val="21"/>
              <w:szCs w:val="21"/>
            </w:rPr>
          </w:pPr>
          <w:r>
            <w:rPr>
              <w:rFonts w:ascii="宋体" w:hAnsi="宋体" w:eastAsia="宋体" w:cs="宋体"/>
              <w:spacing w:val="-3"/>
              <w:sz w:val="21"/>
              <w:szCs w:val="21"/>
            </w:rPr>
            <w:t>10.联系方式</w:t>
          </w:r>
          <w:r>
            <w:rPr>
              <w:rFonts w:ascii="宋体" w:hAnsi="宋体" w:eastAsia="宋体" w:cs="宋体"/>
              <w:spacing w:val="-88"/>
              <w:sz w:val="21"/>
              <w:szCs w:val="21"/>
            </w:rPr>
            <w:t xml:space="preserve"> </w:t>
          </w:r>
          <w:r>
            <w:rPr>
              <w:rFonts w:ascii="宋体" w:hAnsi="宋体" w:eastAsia="宋体" w:cs="宋体"/>
              <w:sz w:val="21"/>
              <w:szCs w:val="21"/>
            </w:rPr>
            <w:tab/>
          </w:r>
          <w:r>
            <w:rPr>
              <w:rFonts w:ascii="宋体" w:hAnsi="宋体" w:eastAsia="宋体" w:cs="宋体"/>
              <w:spacing w:val="-27"/>
              <w:sz w:val="21"/>
              <w:szCs w:val="21"/>
            </w:rPr>
            <w:t xml:space="preserve"> </w:t>
          </w:r>
          <w:r>
            <w:fldChar w:fldCharType="begin"/>
          </w:r>
          <w:r>
            <w:instrText xml:space="preserve"> HYPERLINK \l "bookmark21" </w:instrText>
          </w:r>
          <w:r>
            <w:fldChar w:fldCharType="separate"/>
          </w:r>
          <w:r>
            <w:rPr>
              <w:rFonts w:ascii="宋体" w:hAnsi="宋体" w:eastAsia="宋体" w:cs="宋体"/>
              <w:sz w:val="21"/>
              <w:szCs w:val="21"/>
            </w:rPr>
            <w:t>6</w:t>
          </w:r>
          <w:r>
            <w:rPr>
              <w:rFonts w:ascii="宋体" w:hAnsi="宋体" w:eastAsia="宋体" w:cs="宋体"/>
              <w:sz w:val="21"/>
              <w:szCs w:val="21"/>
            </w:rPr>
            <w:fldChar w:fldCharType="end"/>
          </w:r>
        </w:p>
        <w:p w14:paraId="7E888080">
          <w:pPr>
            <w:tabs>
              <w:tab w:val="right" w:leader="dot" w:pos="8307"/>
            </w:tabs>
            <w:spacing w:before="21" w:line="220" w:lineRule="auto"/>
            <w:ind w:left="18"/>
            <w:rPr>
              <w:rFonts w:ascii="宋体" w:hAnsi="宋体" w:eastAsia="宋体" w:cs="宋体"/>
              <w:sz w:val="21"/>
              <w:szCs w:val="21"/>
            </w:rPr>
          </w:pPr>
          <w:r>
            <w:rPr>
              <w:rFonts w:ascii="宋体" w:hAnsi="宋体" w:eastAsia="宋体" w:cs="宋体"/>
              <w:sz w:val="21"/>
              <w:szCs w:val="21"/>
              <w14:textOutline w14:w="3831" w14:cap="flat" w14:cmpd="sng">
                <w14:solidFill>
                  <w14:srgbClr w14:val="000000"/>
                </w14:solidFill>
                <w14:prstDash w14:val="solid"/>
                <w14:miter w14:val="0"/>
              </w14:textOutline>
            </w:rPr>
            <w:t>第二章</w:t>
          </w:r>
          <w:r>
            <w:rPr>
              <w:rFonts w:ascii="宋体" w:hAnsi="宋体" w:eastAsia="宋体" w:cs="宋体"/>
              <w:sz w:val="21"/>
              <w:szCs w:val="21"/>
            </w:rPr>
            <w:t xml:space="preserve">  </w:t>
          </w:r>
          <w:r>
            <w:rPr>
              <w:rFonts w:ascii="宋体" w:hAnsi="宋体" w:eastAsia="宋体" w:cs="宋体"/>
              <w:sz w:val="21"/>
              <w:szCs w:val="21"/>
              <w14:textOutline w14:w="3831" w14:cap="flat" w14:cmpd="sng">
                <w14:solidFill>
                  <w14:srgbClr w14:val="000000"/>
                </w14:solidFill>
                <w14:prstDash w14:val="solid"/>
                <w14:miter w14:val="0"/>
              </w14:textOutline>
            </w:rPr>
            <w:t>投标人须知</w:t>
          </w:r>
          <w:r>
            <w:rPr>
              <w:rFonts w:ascii="宋体" w:hAnsi="宋体" w:eastAsia="宋体" w:cs="宋体"/>
              <w:spacing w:val="-31"/>
              <w:sz w:val="21"/>
              <w:szCs w:val="21"/>
            </w:rPr>
            <w:t xml:space="preserve"> </w:t>
          </w:r>
          <w:r>
            <w:rPr>
              <w:rFonts w:ascii="宋体" w:hAnsi="宋体" w:eastAsia="宋体" w:cs="宋体"/>
              <w:sz w:val="21"/>
              <w:szCs w:val="21"/>
              <w14:textOutline w14:w="3831" w14:cap="flat" w14:cmpd="sng">
                <w14:solidFill>
                  <w14:srgbClr w14:val="000000"/>
                </w14:solidFill>
                <w14:prstDash w14:val="solid"/>
                <w14:miter w14:val="0"/>
              </w14:textOutline>
            </w:rPr>
            <w:tab/>
          </w:r>
          <w:r>
            <w:rPr>
              <w:rFonts w:ascii="宋体" w:hAnsi="宋体" w:eastAsia="宋体" w:cs="宋体"/>
              <w:spacing w:val="-42"/>
              <w:sz w:val="21"/>
              <w:szCs w:val="21"/>
            </w:rPr>
            <w:t xml:space="preserve"> </w:t>
          </w:r>
          <w:r>
            <w:fldChar w:fldCharType="begin"/>
          </w:r>
          <w:r>
            <w:instrText xml:space="preserve"> HYPERLINK \l "bookmark22" </w:instrText>
          </w:r>
          <w:r>
            <w:fldChar w:fldCharType="separate"/>
          </w:r>
          <w:r>
            <w:rPr>
              <w:rFonts w:ascii="宋体" w:hAnsi="宋体" w:eastAsia="宋体" w:cs="宋体"/>
              <w:sz w:val="21"/>
              <w:szCs w:val="21"/>
              <w14:textOutline w14:w="3831" w14:cap="flat" w14:cmpd="sng">
                <w14:solidFill>
                  <w14:srgbClr w14:val="000000"/>
                </w14:solidFill>
                <w14:prstDash w14:val="solid"/>
                <w14:miter w14:val="0"/>
              </w14:textOutline>
            </w:rPr>
            <w:t>9</w:t>
          </w:r>
          <w:r>
            <w:rPr>
              <w:rFonts w:ascii="宋体" w:hAnsi="宋体" w:eastAsia="宋体" w:cs="宋体"/>
              <w:sz w:val="21"/>
              <w:szCs w:val="21"/>
              <w14:textOutline w14:w="3831" w14:cap="flat" w14:cmpd="sng">
                <w14:solidFill>
                  <w14:srgbClr w14:val="000000"/>
                </w14:solidFill>
                <w14:prstDash w14:val="solid"/>
                <w14:miter w14:val="0"/>
              </w14:textOutline>
            </w:rPr>
            <w:fldChar w:fldCharType="end"/>
          </w:r>
        </w:p>
        <w:p w14:paraId="64E6B7AA">
          <w:pPr>
            <w:tabs>
              <w:tab w:val="right" w:leader="dot" w:pos="8317"/>
            </w:tabs>
            <w:spacing w:before="23" w:line="220" w:lineRule="auto"/>
            <w:ind w:left="443"/>
            <w:rPr>
              <w:rFonts w:ascii="宋体" w:hAnsi="宋体" w:eastAsia="宋体" w:cs="宋体"/>
              <w:sz w:val="21"/>
              <w:szCs w:val="21"/>
            </w:rPr>
          </w:pPr>
          <w:r>
            <w:rPr>
              <w:rFonts w:ascii="宋体" w:hAnsi="宋体" w:eastAsia="宋体" w:cs="宋体"/>
              <w:spacing w:val="-1"/>
              <w:sz w:val="21"/>
              <w:szCs w:val="21"/>
            </w:rPr>
            <w:t>投标人须知前附表</w:t>
          </w:r>
          <w:r>
            <w:rPr>
              <w:rFonts w:ascii="宋体" w:hAnsi="宋体" w:eastAsia="宋体" w:cs="宋体"/>
              <w:spacing w:val="-85"/>
              <w:sz w:val="21"/>
              <w:szCs w:val="21"/>
            </w:rPr>
            <w:t xml:space="preserve"> </w:t>
          </w:r>
          <w:r>
            <w:rPr>
              <w:rFonts w:ascii="宋体" w:hAnsi="宋体" w:eastAsia="宋体" w:cs="宋体"/>
              <w:sz w:val="21"/>
              <w:szCs w:val="21"/>
            </w:rPr>
            <w:tab/>
          </w:r>
          <w:r>
            <w:rPr>
              <w:rFonts w:ascii="宋体" w:hAnsi="宋体" w:eastAsia="宋体" w:cs="宋体"/>
              <w:spacing w:val="-28"/>
              <w:sz w:val="21"/>
              <w:szCs w:val="21"/>
            </w:rPr>
            <w:t xml:space="preserve"> </w:t>
          </w:r>
          <w:r>
            <w:fldChar w:fldCharType="begin"/>
          </w:r>
          <w:r>
            <w:instrText xml:space="preserve"> HYPERLINK \l "bookmark23" </w:instrText>
          </w:r>
          <w:r>
            <w:fldChar w:fldCharType="separate"/>
          </w:r>
          <w:r>
            <w:rPr>
              <w:rFonts w:ascii="宋体" w:hAnsi="宋体" w:eastAsia="宋体" w:cs="宋体"/>
              <w:sz w:val="21"/>
              <w:szCs w:val="21"/>
            </w:rPr>
            <w:t>9</w:t>
          </w:r>
          <w:r>
            <w:rPr>
              <w:rFonts w:ascii="宋体" w:hAnsi="宋体" w:eastAsia="宋体" w:cs="宋体"/>
              <w:sz w:val="21"/>
              <w:szCs w:val="21"/>
            </w:rPr>
            <w:fldChar w:fldCharType="end"/>
          </w:r>
        </w:p>
        <w:p w14:paraId="4B59E91D">
          <w:pPr>
            <w:tabs>
              <w:tab w:val="right" w:leader="dot" w:pos="8317"/>
            </w:tabs>
            <w:spacing w:before="18" w:line="221" w:lineRule="auto"/>
            <w:ind w:left="443"/>
            <w:rPr>
              <w:rFonts w:ascii="宋体" w:hAnsi="宋体" w:eastAsia="宋体" w:cs="宋体"/>
              <w:sz w:val="21"/>
              <w:szCs w:val="21"/>
            </w:rPr>
          </w:pPr>
          <w:r>
            <w:rPr>
              <w:rFonts w:ascii="宋体" w:hAnsi="宋体" w:eastAsia="宋体" w:cs="宋体"/>
              <w:spacing w:val="-1"/>
              <w:sz w:val="21"/>
              <w:szCs w:val="21"/>
            </w:rPr>
            <w:t>投标人须知正文部分</w:t>
          </w:r>
          <w:r>
            <w:rPr>
              <w:rFonts w:ascii="宋体" w:hAnsi="宋体" w:eastAsia="宋体" w:cs="宋体"/>
              <w:spacing w:val="-83"/>
              <w:sz w:val="21"/>
              <w:szCs w:val="21"/>
            </w:rPr>
            <w:t xml:space="preserve"> </w:t>
          </w:r>
          <w:r>
            <w:rPr>
              <w:rFonts w:ascii="宋体" w:hAnsi="宋体" w:eastAsia="宋体" w:cs="宋体"/>
              <w:sz w:val="21"/>
              <w:szCs w:val="21"/>
            </w:rPr>
            <w:tab/>
          </w:r>
          <w:r>
            <w:rPr>
              <w:rFonts w:ascii="宋体" w:hAnsi="宋体" w:eastAsia="宋体" w:cs="宋体"/>
              <w:spacing w:val="-12"/>
              <w:sz w:val="21"/>
              <w:szCs w:val="21"/>
            </w:rPr>
            <w:t xml:space="preserve"> </w:t>
          </w:r>
          <w:r>
            <w:fldChar w:fldCharType="begin"/>
          </w:r>
          <w:r>
            <w:instrText xml:space="preserve"> HYPERLINK \l "bookmark24" </w:instrText>
          </w:r>
          <w:r>
            <w:fldChar w:fldCharType="separate"/>
          </w:r>
          <w:r>
            <w:rPr>
              <w:rFonts w:ascii="宋体" w:hAnsi="宋体" w:eastAsia="宋体" w:cs="宋体"/>
              <w:spacing w:val="-6"/>
              <w:sz w:val="21"/>
              <w:szCs w:val="21"/>
            </w:rPr>
            <w:t>16</w:t>
          </w:r>
          <w:r>
            <w:rPr>
              <w:rFonts w:ascii="宋体" w:hAnsi="宋体" w:eastAsia="宋体" w:cs="宋体"/>
              <w:spacing w:val="-6"/>
              <w:sz w:val="21"/>
              <w:szCs w:val="21"/>
            </w:rPr>
            <w:fldChar w:fldCharType="end"/>
          </w:r>
        </w:p>
        <w:p w14:paraId="20419320">
          <w:pPr>
            <w:tabs>
              <w:tab w:val="right" w:leader="dot" w:pos="8317"/>
            </w:tabs>
            <w:spacing w:before="24" w:line="221" w:lineRule="auto"/>
            <w:ind w:left="456"/>
            <w:rPr>
              <w:rFonts w:ascii="宋体" w:hAnsi="宋体" w:eastAsia="宋体" w:cs="宋体"/>
              <w:sz w:val="21"/>
              <w:szCs w:val="21"/>
            </w:rPr>
          </w:pPr>
          <w:r>
            <w:rPr>
              <w:rFonts w:ascii="宋体" w:hAnsi="宋体" w:eastAsia="宋体" w:cs="宋体"/>
              <w:spacing w:val="-9"/>
              <w:sz w:val="21"/>
              <w:szCs w:val="21"/>
            </w:rPr>
            <w:t>1.</w:t>
          </w:r>
          <w:r>
            <w:rPr>
              <w:rFonts w:ascii="宋体" w:hAnsi="宋体" w:eastAsia="宋体" w:cs="宋体"/>
              <w:spacing w:val="15"/>
              <w:sz w:val="21"/>
              <w:szCs w:val="21"/>
            </w:rPr>
            <w:t xml:space="preserve"> </w:t>
          </w:r>
          <w:r>
            <w:rPr>
              <w:rFonts w:ascii="宋体" w:hAnsi="宋体" w:eastAsia="宋体" w:cs="宋体"/>
              <w:spacing w:val="-9"/>
              <w:sz w:val="21"/>
              <w:szCs w:val="21"/>
            </w:rPr>
            <w:t>总则</w:t>
          </w:r>
          <w:r>
            <w:rPr>
              <w:rFonts w:ascii="宋体" w:hAnsi="宋体" w:eastAsia="宋体" w:cs="宋体"/>
              <w:spacing w:val="-91"/>
              <w:sz w:val="21"/>
              <w:szCs w:val="21"/>
            </w:rPr>
            <w:t xml:space="preserve"> </w:t>
          </w:r>
          <w:r>
            <w:rPr>
              <w:rFonts w:ascii="宋体" w:hAnsi="宋体" w:eastAsia="宋体" w:cs="宋体"/>
              <w:sz w:val="21"/>
              <w:szCs w:val="21"/>
            </w:rPr>
            <w:tab/>
          </w:r>
          <w:r>
            <w:rPr>
              <w:rFonts w:ascii="宋体" w:hAnsi="宋体" w:eastAsia="宋体" w:cs="宋体"/>
              <w:spacing w:val="-13"/>
              <w:sz w:val="21"/>
              <w:szCs w:val="21"/>
            </w:rPr>
            <w:t xml:space="preserve"> </w:t>
          </w:r>
          <w:r>
            <w:fldChar w:fldCharType="begin"/>
          </w:r>
          <w:r>
            <w:instrText xml:space="preserve"> HYPERLINK \l "bookmark25" </w:instrText>
          </w:r>
          <w:r>
            <w:fldChar w:fldCharType="separate"/>
          </w:r>
          <w:r>
            <w:rPr>
              <w:rFonts w:ascii="宋体" w:hAnsi="宋体" w:eastAsia="宋体" w:cs="宋体"/>
              <w:spacing w:val="-6"/>
              <w:sz w:val="21"/>
              <w:szCs w:val="21"/>
            </w:rPr>
            <w:t>16</w:t>
          </w:r>
          <w:r>
            <w:rPr>
              <w:rFonts w:ascii="宋体" w:hAnsi="宋体" w:eastAsia="宋体" w:cs="宋体"/>
              <w:spacing w:val="-6"/>
              <w:sz w:val="21"/>
              <w:szCs w:val="21"/>
            </w:rPr>
            <w:fldChar w:fldCharType="end"/>
          </w:r>
        </w:p>
        <w:p w14:paraId="0E830902">
          <w:pPr>
            <w:tabs>
              <w:tab w:val="right" w:leader="dot" w:pos="8317"/>
            </w:tabs>
            <w:spacing w:before="21" w:line="221" w:lineRule="auto"/>
            <w:ind w:left="874"/>
            <w:rPr>
              <w:rFonts w:ascii="宋体" w:hAnsi="宋体" w:eastAsia="宋体" w:cs="宋体"/>
              <w:sz w:val="21"/>
              <w:szCs w:val="21"/>
            </w:rPr>
          </w:pPr>
          <w:r>
            <w:rPr>
              <w:rFonts w:ascii="宋体" w:hAnsi="宋体" w:eastAsia="宋体" w:cs="宋体"/>
              <w:spacing w:val="-5"/>
              <w:sz w:val="21"/>
              <w:szCs w:val="21"/>
            </w:rPr>
            <w:t>1.1</w:t>
          </w:r>
          <w:r>
            <w:rPr>
              <w:rFonts w:ascii="宋体" w:hAnsi="宋体" w:eastAsia="宋体" w:cs="宋体"/>
              <w:spacing w:val="12"/>
              <w:sz w:val="21"/>
              <w:szCs w:val="21"/>
            </w:rPr>
            <w:t xml:space="preserve"> </w:t>
          </w:r>
          <w:r>
            <w:rPr>
              <w:rFonts w:ascii="宋体" w:hAnsi="宋体" w:eastAsia="宋体" w:cs="宋体"/>
              <w:spacing w:val="-5"/>
              <w:sz w:val="21"/>
              <w:szCs w:val="21"/>
            </w:rPr>
            <w:t>项目概况</w:t>
          </w:r>
          <w:r>
            <w:rPr>
              <w:rFonts w:ascii="宋体" w:hAnsi="宋体" w:eastAsia="宋体" w:cs="宋体"/>
              <w:spacing w:val="-81"/>
              <w:sz w:val="21"/>
              <w:szCs w:val="21"/>
            </w:rPr>
            <w:t xml:space="preserve"> </w:t>
          </w:r>
          <w:r>
            <w:rPr>
              <w:rFonts w:ascii="宋体" w:hAnsi="宋体" w:eastAsia="宋体" w:cs="宋体"/>
              <w:sz w:val="21"/>
              <w:szCs w:val="21"/>
            </w:rPr>
            <w:tab/>
          </w:r>
          <w:r>
            <w:rPr>
              <w:rFonts w:ascii="宋体" w:hAnsi="宋体" w:eastAsia="宋体" w:cs="宋体"/>
              <w:spacing w:val="-12"/>
              <w:sz w:val="21"/>
              <w:szCs w:val="21"/>
            </w:rPr>
            <w:t xml:space="preserve"> </w:t>
          </w:r>
          <w:r>
            <w:fldChar w:fldCharType="begin"/>
          </w:r>
          <w:r>
            <w:instrText xml:space="preserve"> HYPERLINK \l "bookmark26" </w:instrText>
          </w:r>
          <w:r>
            <w:fldChar w:fldCharType="separate"/>
          </w:r>
          <w:r>
            <w:rPr>
              <w:rFonts w:ascii="宋体" w:hAnsi="宋体" w:eastAsia="宋体" w:cs="宋体"/>
              <w:spacing w:val="-6"/>
              <w:sz w:val="21"/>
              <w:szCs w:val="21"/>
            </w:rPr>
            <w:t>16</w:t>
          </w:r>
          <w:r>
            <w:rPr>
              <w:rFonts w:ascii="宋体" w:hAnsi="宋体" w:eastAsia="宋体" w:cs="宋体"/>
              <w:spacing w:val="-6"/>
              <w:sz w:val="21"/>
              <w:szCs w:val="21"/>
            </w:rPr>
            <w:fldChar w:fldCharType="end"/>
          </w:r>
        </w:p>
        <w:p w14:paraId="58623475">
          <w:pPr>
            <w:tabs>
              <w:tab w:val="right" w:leader="dot" w:pos="8317"/>
            </w:tabs>
            <w:spacing w:before="22" w:line="221" w:lineRule="auto"/>
            <w:ind w:left="874"/>
            <w:rPr>
              <w:rFonts w:ascii="宋体" w:hAnsi="宋体" w:eastAsia="宋体" w:cs="宋体"/>
              <w:sz w:val="21"/>
              <w:szCs w:val="21"/>
            </w:rPr>
          </w:pPr>
          <w:r>
            <w:rPr>
              <w:rFonts w:ascii="宋体" w:hAnsi="宋体" w:eastAsia="宋体" w:cs="宋体"/>
              <w:spacing w:val="-2"/>
              <w:sz w:val="21"/>
              <w:szCs w:val="21"/>
            </w:rPr>
            <w:t>1.2 资金来源和落实情况</w:t>
          </w:r>
          <w:r>
            <w:rPr>
              <w:rFonts w:ascii="宋体" w:hAnsi="宋体" w:eastAsia="宋体" w:cs="宋体"/>
              <w:spacing w:val="-71"/>
              <w:sz w:val="21"/>
              <w:szCs w:val="21"/>
            </w:rPr>
            <w:t xml:space="preserve"> </w:t>
          </w:r>
          <w:r>
            <w:rPr>
              <w:rFonts w:ascii="宋体" w:hAnsi="宋体" w:eastAsia="宋体" w:cs="宋体"/>
              <w:sz w:val="21"/>
              <w:szCs w:val="21"/>
            </w:rPr>
            <w:tab/>
          </w:r>
          <w:r>
            <w:rPr>
              <w:rFonts w:ascii="宋体" w:hAnsi="宋体" w:eastAsia="宋体" w:cs="宋体"/>
              <w:spacing w:val="-13"/>
              <w:sz w:val="21"/>
              <w:szCs w:val="21"/>
            </w:rPr>
            <w:t xml:space="preserve"> </w:t>
          </w:r>
          <w:r>
            <w:fldChar w:fldCharType="begin"/>
          </w:r>
          <w:r>
            <w:instrText xml:space="preserve"> HYPERLINK \l "bookmark27" </w:instrText>
          </w:r>
          <w:r>
            <w:fldChar w:fldCharType="separate"/>
          </w:r>
          <w:r>
            <w:rPr>
              <w:rFonts w:ascii="宋体" w:hAnsi="宋体" w:eastAsia="宋体" w:cs="宋体"/>
              <w:spacing w:val="-6"/>
              <w:sz w:val="21"/>
              <w:szCs w:val="21"/>
            </w:rPr>
            <w:t>16</w:t>
          </w:r>
          <w:r>
            <w:rPr>
              <w:rFonts w:ascii="宋体" w:hAnsi="宋体" w:eastAsia="宋体" w:cs="宋体"/>
              <w:spacing w:val="-6"/>
              <w:sz w:val="21"/>
              <w:szCs w:val="21"/>
            </w:rPr>
            <w:fldChar w:fldCharType="end"/>
          </w:r>
        </w:p>
        <w:p w14:paraId="43C5765E">
          <w:pPr>
            <w:tabs>
              <w:tab w:val="right" w:leader="dot" w:pos="8317"/>
            </w:tabs>
            <w:spacing w:before="18" w:line="221" w:lineRule="auto"/>
            <w:ind w:left="874"/>
            <w:rPr>
              <w:rFonts w:ascii="宋体" w:hAnsi="宋体" w:eastAsia="宋体" w:cs="宋体"/>
              <w:sz w:val="21"/>
              <w:szCs w:val="21"/>
            </w:rPr>
          </w:pPr>
          <w:r>
            <w:rPr>
              <w:rFonts w:ascii="宋体" w:hAnsi="宋体" w:eastAsia="宋体" w:cs="宋体"/>
              <w:spacing w:val="-2"/>
              <w:sz w:val="21"/>
              <w:szCs w:val="21"/>
            </w:rPr>
            <w:t>1.3 招标范围、计划工期和质量要求</w:t>
          </w:r>
          <w:r>
            <w:rPr>
              <w:rFonts w:ascii="宋体" w:hAnsi="宋体" w:eastAsia="宋体" w:cs="宋体"/>
              <w:spacing w:val="-55"/>
              <w:sz w:val="21"/>
              <w:szCs w:val="21"/>
            </w:rPr>
            <w:t xml:space="preserve"> </w:t>
          </w:r>
          <w:r>
            <w:rPr>
              <w:rFonts w:ascii="宋体" w:hAnsi="宋体" w:eastAsia="宋体" w:cs="宋体"/>
              <w:sz w:val="21"/>
              <w:szCs w:val="21"/>
            </w:rPr>
            <w:tab/>
          </w:r>
          <w:r>
            <w:rPr>
              <w:rFonts w:ascii="宋体" w:hAnsi="宋体" w:eastAsia="宋体" w:cs="宋体"/>
              <w:spacing w:val="-14"/>
              <w:sz w:val="21"/>
              <w:szCs w:val="21"/>
            </w:rPr>
            <w:t xml:space="preserve"> </w:t>
          </w:r>
          <w:r>
            <w:fldChar w:fldCharType="begin"/>
          </w:r>
          <w:r>
            <w:instrText xml:space="preserve"> HYPERLINK \l "bookmark28" </w:instrText>
          </w:r>
          <w:r>
            <w:fldChar w:fldCharType="separate"/>
          </w:r>
          <w:r>
            <w:rPr>
              <w:rFonts w:ascii="宋体" w:hAnsi="宋体" w:eastAsia="宋体" w:cs="宋体"/>
              <w:spacing w:val="-6"/>
              <w:sz w:val="21"/>
              <w:szCs w:val="21"/>
            </w:rPr>
            <w:t>16</w:t>
          </w:r>
          <w:r>
            <w:rPr>
              <w:rFonts w:ascii="宋体" w:hAnsi="宋体" w:eastAsia="宋体" w:cs="宋体"/>
              <w:spacing w:val="-6"/>
              <w:sz w:val="21"/>
              <w:szCs w:val="21"/>
            </w:rPr>
            <w:fldChar w:fldCharType="end"/>
          </w:r>
        </w:p>
        <w:p w14:paraId="0ADB0998">
          <w:pPr>
            <w:tabs>
              <w:tab w:val="right" w:leader="dot" w:pos="8317"/>
            </w:tabs>
            <w:spacing w:before="22" w:line="221" w:lineRule="auto"/>
            <w:ind w:left="874"/>
            <w:rPr>
              <w:rFonts w:ascii="宋体" w:hAnsi="宋体" w:eastAsia="宋体" w:cs="宋体"/>
              <w:sz w:val="21"/>
              <w:szCs w:val="21"/>
            </w:rPr>
          </w:pPr>
          <w:r>
            <w:rPr>
              <w:rFonts w:ascii="宋体" w:hAnsi="宋体" w:eastAsia="宋体" w:cs="宋体"/>
              <w:spacing w:val="-2"/>
              <w:sz w:val="21"/>
              <w:szCs w:val="21"/>
            </w:rPr>
            <w:t>1.4 投标人资格要求</w:t>
          </w:r>
          <w:r>
            <w:rPr>
              <w:rFonts w:ascii="宋体" w:hAnsi="宋体" w:eastAsia="宋体" w:cs="宋体"/>
              <w:spacing w:val="-78"/>
              <w:sz w:val="21"/>
              <w:szCs w:val="21"/>
            </w:rPr>
            <w:t xml:space="preserve"> </w:t>
          </w:r>
          <w:r>
            <w:rPr>
              <w:rFonts w:ascii="宋体" w:hAnsi="宋体" w:eastAsia="宋体" w:cs="宋体"/>
              <w:sz w:val="21"/>
              <w:szCs w:val="21"/>
            </w:rPr>
            <w:tab/>
          </w:r>
          <w:r>
            <w:rPr>
              <w:rFonts w:ascii="宋体" w:hAnsi="宋体" w:eastAsia="宋体" w:cs="宋体"/>
              <w:spacing w:val="-12"/>
              <w:sz w:val="21"/>
              <w:szCs w:val="21"/>
            </w:rPr>
            <w:t xml:space="preserve"> </w:t>
          </w:r>
          <w:r>
            <w:fldChar w:fldCharType="begin"/>
          </w:r>
          <w:r>
            <w:instrText xml:space="preserve"> HYPERLINK \l "bookmark29" </w:instrText>
          </w:r>
          <w:r>
            <w:fldChar w:fldCharType="separate"/>
          </w:r>
          <w:r>
            <w:rPr>
              <w:rFonts w:ascii="宋体" w:hAnsi="宋体" w:eastAsia="宋体" w:cs="宋体"/>
              <w:spacing w:val="-6"/>
              <w:sz w:val="21"/>
              <w:szCs w:val="21"/>
            </w:rPr>
            <w:t>16</w:t>
          </w:r>
          <w:r>
            <w:rPr>
              <w:rFonts w:ascii="宋体" w:hAnsi="宋体" w:eastAsia="宋体" w:cs="宋体"/>
              <w:spacing w:val="-6"/>
              <w:sz w:val="21"/>
              <w:szCs w:val="21"/>
            </w:rPr>
            <w:fldChar w:fldCharType="end"/>
          </w:r>
        </w:p>
        <w:p w14:paraId="18F4AF0F">
          <w:pPr>
            <w:tabs>
              <w:tab w:val="right" w:leader="dot" w:pos="8317"/>
            </w:tabs>
            <w:spacing w:before="22" w:line="221" w:lineRule="auto"/>
            <w:ind w:left="874"/>
            <w:rPr>
              <w:rFonts w:ascii="宋体" w:hAnsi="宋体" w:eastAsia="宋体" w:cs="宋体"/>
              <w:sz w:val="21"/>
              <w:szCs w:val="21"/>
            </w:rPr>
          </w:pPr>
          <w:r>
            <w:rPr>
              <w:rFonts w:ascii="宋体" w:hAnsi="宋体" w:eastAsia="宋体" w:cs="宋体"/>
              <w:spacing w:val="-6"/>
              <w:sz w:val="21"/>
              <w:szCs w:val="21"/>
            </w:rPr>
            <w:t>1.5</w:t>
          </w:r>
          <w:r>
            <w:rPr>
              <w:rFonts w:ascii="宋体" w:hAnsi="宋体" w:eastAsia="宋体" w:cs="宋体"/>
              <w:spacing w:val="20"/>
              <w:sz w:val="21"/>
              <w:szCs w:val="21"/>
            </w:rPr>
            <w:t xml:space="preserve"> </w:t>
          </w:r>
          <w:r>
            <w:rPr>
              <w:rFonts w:ascii="宋体" w:hAnsi="宋体" w:eastAsia="宋体" w:cs="宋体"/>
              <w:spacing w:val="-6"/>
              <w:sz w:val="21"/>
              <w:szCs w:val="21"/>
            </w:rPr>
            <w:t>费用承担</w:t>
          </w:r>
          <w:r>
            <w:rPr>
              <w:rFonts w:ascii="宋体" w:hAnsi="宋体" w:eastAsia="宋体" w:cs="宋体"/>
              <w:spacing w:val="-82"/>
              <w:sz w:val="21"/>
              <w:szCs w:val="21"/>
            </w:rPr>
            <w:t xml:space="preserve"> </w:t>
          </w:r>
          <w:r>
            <w:rPr>
              <w:rFonts w:ascii="宋体" w:hAnsi="宋体" w:eastAsia="宋体" w:cs="宋体"/>
              <w:sz w:val="21"/>
              <w:szCs w:val="21"/>
            </w:rPr>
            <w:tab/>
          </w:r>
          <w:r>
            <w:rPr>
              <w:rFonts w:ascii="宋体" w:hAnsi="宋体" w:eastAsia="宋体" w:cs="宋体"/>
              <w:spacing w:val="-12"/>
              <w:sz w:val="21"/>
              <w:szCs w:val="21"/>
            </w:rPr>
            <w:t xml:space="preserve"> </w:t>
          </w:r>
          <w:r>
            <w:fldChar w:fldCharType="begin"/>
          </w:r>
          <w:r>
            <w:instrText xml:space="preserve"> HYPERLINK \l "bookmark30" </w:instrText>
          </w:r>
          <w:r>
            <w:fldChar w:fldCharType="separate"/>
          </w:r>
          <w:r>
            <w:rPr>
              <w:rFonts w:ascii="宋体" w:hAnsi="宋体" w:eastAsia="宋体" w:cs="宋体"/>
              <w:spacing w:val="-6"/>
              <w:sz w:val="21"/>
              <w:szCs w:val="21"/>
            </w:rPr>
            <w:t>17</w:t>
          </w:r>
          <w:r>
            <w:rPr>
              <w:rFonts w:ascii="宋体" w:hAnsi="宋体" w:eastAsia="宋体" w:cs="宋体"/>
              <w:spacing w:val="-6"/>
              <w:sz w:val="21"/>
              <w:szCs w:val="21"/>
            </w:rPr>
            <w:fldChar w:fldCharType="end"/>
          </w:r>
        </w:p>
        <w:p w14:paraId="7A509044">
          <w:pPr>
            <w:tabs>
              <w:tab w:val="right" w:leader="dot" w:pos="8317"/>
            </w:tabs>
            <w:spacing w:before="24" w:line="221" w:lineRule="auto"/>
            <w:ind w:left="874"/>
            <w:rPr>
              <w:rFonts w:ascii="宋体" w:hAnsi="宋体" w:eastAsia="宋体" w:cs="宋体"/>
              <w:sz w:val="21"/>
              <w:szCs w:val="21"/>
            </w:rPr>
          </w:pPr>
          <w:r>
            <w:rPr>
              <w:rFonts w:ascii="宋体" w:hAnsi="宋体" w:eastAsia="宋体" w:cs="宋体"/>
              <w:spacing w:val="-6"/>
              <w:sz w:val="21"/>
              <w:szCs w:val="21"/>
            </w:rPr>
            <w:t>1.6</w:t>
          </w:r>
          <w:r>
            <w:rPr>
              <w:rFonts w:ascii="宋体" w:hAnsi="宋体" w:eastAsia="宋体" w:cs="宋体"/>
              <w:spacing w:val="10"/>
              <w:sz w:val="21"/>
              <w:szCs w:val="21"/>
            </w:rPr>
            <w:t xml:space="preserve"> </w:t>
          </w:r>
          <w:r>
            <w:rPr>
              <w:rFonts w:ascii="宋体" w:hAnsi="宋体" w:eastAsia="宋体" w:cs="宋体"/>
              <w:spacing w:val="-6"/>
              <w:sz w:val="21"/>
              <w:szCs w:val="21"/>
            </w:rPr>
            <w:t>保密</w:t>
          </w:r>
          <w:r>
            <w:rPr>
              <w:rFonts w:ascii="宋体" w:hAnsi="宋体" w:eastAsia="宋体" w:cs="宋体"/>
              <w:spacing w:val="-86"/>
              <w:sz w:val="21"/>
              <w:szCs w:val="21"/>
            </w:rPr>
            <w:t xml:space="preserve"> </w:t>
          </w:r>
          <w:r>
            <w:rPr>
              <w:rFonts w:ascii="宋体" w:hAnsi="宋体" w:eastAsia="宋体" w:cs="宋体"/>
              <w:sz w:val="21"/>
              <w:szCs w:val="21"/>
            </w:rPr>
            <w:tab/>
          </w:r>
          <w:r>
            <w:rPr>
              <w:rFonts w:ascii="宋体" w:hAnsi="宋体" w:eastAsia="宋体" w:cs="宋体"/>
              <w:spacing w:val="-12"/>
              <w:sz w:val="21"/>
              <w:szCs w:val="21"/>
            </w:rPr>
            <w:t xml:space="preserve"> </w:t>
          </w:r>
          <w:r>
            <w:fldChar w:fldCharType="begin"/>
          </w:r>
          <w:r>
            <w:instrText xml:space="preserve"> HYPERLINK \l "bookmark31" </w:instrText>
          </w:r>
          <w:r>
            <w:fldChar w:fldCharType="separate"/>
          </w:r>
          <w:r>
            <w:rPr>
              <w:rFonts w:ascii="宋体" w:hAnsi="宋体" w:eastAsia="宋体" w:cs="宋体"/>
              <w:spacing w:val="-6"/>
              <w:sz w:val="21"/>
              <w:szCs w:val="21"/>
            </w:rPr>
            <w:t>17</w:t>
          </w:r>
          <w:r>
            <w:rPr>
              <w:rFonts w:ascii="宋体" w:hAnsi="宋体" w:eastAsia="宋体" w:cs="宋体"/>
              <w:spacing w:val="-6"/>
              <w:sz w:val="21"/>
              <w:szCs w:val="21"/>
            </w:rPr>
            <w:fldChar w:fldCharType="end"/>
          </w:r>
        </w:p>
        <w:p w14:paraId="0B6B07E4">
          <w:pPr>
            <w:tabs>
              <w:tab w:val="right" w:leader="dot" w:pos="8317"/>
            </w:tabs>
            <w:spacing w:before="16" w:line="221" w:lineRule="auto"/>
            <w:ind w:left="874"/>
            <w:rPr>
              <w:rFonts w:ascii="宋体" w:hAnsi="宋体" w:eastAsia="宋体" w:cs="宋体"/>
              <w:sz w:val="21"/>
              <w:szCs w:val="21"/>
            </w:rPr>
          </w:pPr>
          <w:r>
            <w:rPr>
              <w:rFonts w:ascii="宋体" w:hAnsi="宋体" w:eastAsia="宋体" w:cs="宋体"/>
              <w:spacing w:val="-5"/>
              <w:sz w:val="21"/>
              <w:szCs w:val="21"/>
            </w:rPr>
            <w:t>1.7</w:t>
          </w:r>
          <w:r>
            <w:rPr>
              <w:rFonts w:ascii="宋体" w:hAnsi="宋体" w:eastAsia="宋体" w:cs="宋体"/>
              <w:spacing w:val="12"/>
              <w:sz w:val="21"/>
              <w:szCs w:val="21"/>
            </w:rPr>
            <w:t xml:space="preserve"> </w:t>
          </w:r>
          <w:r>
            <w:rPr>
              <w:rFonts w:ascii="宋体" w:hAnsi="宋体" w:eastAsia="宋体" w:cs="宋体"/>
              <w:spacing w:val="-5"/>
              <w:sz w:val="21"/>
              <w:szCs w:val="21"/>
            </w:rPr>
            <w:t>语言文字</w:t>
          </w:r>
          <w:r>
            <w:rPr>
              <w:rFonts w:ascii="宋体" w:hAnsi="宋体" w:eastAsia="宋体" w:cs="宋体"/>
              <w:spacing w:val="-81"/>
              <w:sz w:val="21"/>
              <w:szCs w:val="21"/>
            </w:rPr>
            <w:t xml:space="preserve"> </w:t>
          </w:r>
          <w:r>
            <w:rPr>
              <w:rFonts w:ascii="宋体" w:hAnsi="宋体" w:eastAsia="宋体" w:cs="宋体"/>
              <w:sz w:val="21"/>
              <w:szCs w:val="21"/>
            </w:rPr>
            <w:tab/>
          </w:r>
          <w:r>
            <w:rPr>
              <w:rFonts w:ascii="宋体" w:hAnsi="宋体" w:eastAsia="宋体" w:cs="宋体"/>
              <w:spacing w:val="-12"/>
              <w:sz w:val="21"/>
              <w:szCs w:val="21"/>
            </w:rPr>
            <w:t xml:space="preserve"> </w:t>
          </w:r>
          <w:r>
            <w:fldChar w:fldCharType="begin"/>
          </w:r>
          <w:r>
            <w:instrText xml:space="preserve"> HYPERLINK \l "bookmark32" </w:instrText>
          </w:r>
          <w:r>
            <w:fldChar w:fldCharType="separate"/>
          </w:r>
          <w:r>
            <w:rPr>
              <w:rFonts w:ascii="宋体" w:hAnsi="宋体" w:eastAsia="宋体" w:cs="宋体"/>
              <w:spacing w:val="-6"/>
              <w:sz w:val="21"/>
              <w:szCs w:val="21"/>
            </w:rPr>
            <w:t>17</w:t>
          </w:r>
          <w:r>
            <w:rPr>
              <w:rFonts w:ascii="宋体" w:hAnsi="宋体" w:eastAsia="宋体" w:cs="宋体"/>
              <w:spacing w:val="-6"/>
              <w:sz w:val="21"/>
              <w:szCs w:val="21"/>
            </w:rPr>
            <w:fldChar w:fldCharType="end"/>
          </w:r>
        </w:p>
        <w:p w14:paraId="7AB3AF1D">
          <w:pPr>
            <w:tabs>
              <w:tab w:val="right" w:leader="dot" w:pos="8317"/>
            </w:tabs>
            <w:spacing w:before="23" w:line="221" w:lineRule="auto"/>
            <w:ind w:left="874"/>
            <w:rPr>
              <w:rFonts w:ascii="宋体" w:hAnsi="宋体" w:eastAsia="宋体" w:cs="宋体"/>
              <w:sz w:val="21"/>
              <w:szCs w:val="21"/>
            </w:rPr>
          </w:pPr>
          <w:r>
            <w:rPr>
              <w:rFonts w:ascii="宋体" w:hAnsi="宋体" w:eastAsia="宋体" w:cs="宋体"/>
              <w:spacing w:val="-5"/>
              <w:sz w:val="21"/>
              <w:szCs w:val="21"/>
            </w:rPr>
            <w:t>1.8</w:t>
          </w:r>
          <w:r>
            <w:rPr>
              <w:rFonts w:ascii="宋体" w:hAnsi="宋体" w:eastAsia="宋体" w:cs="宋体"/>
              <w:spacing w:val="12"/>
              <w:sz w:val="21"/>
              <w:szCs w:val="21"/>
            </w:rPr>
            <w:t xml:space="preserve"> </w:t>
          </w:r>
          <w:r>
            <w:rPr>
              <w:rFonts w:ascii="宋体" w:hAnsi="宋体" w:eastAsia="宋体" w:cs="宋体"/>
              <w:spacing w:val="-5"/>
              <w:sz w:val="21"/>
              <w:szCs w:val="21"/>
            </w:rPr>
            <w:t>计量单位</w:t>
          </w:r>
          <w:r>
            <w:rPr>
              <w:rFonts w:ascii="宋体" w:hAnsi="宋体" w:eastAsia="宋体" w:cs="宋体"/>
              <w:spacing w:val="-81"/>
              <w:sz w:val="21"/>
              <w:szCs w:val="21"/>
            </w:rPr>
            <w:t xml:space="preserve"> </w:t>
          </w:r>
          <w:r>
            <w:rPr>
              <w:rFonts w:ascii="宋体" w:hAnsi="宋体" w:eastAsia="宋体" w:cs="宋体"/>
              <w:sz w:val="21"/>
              <w:szCs w:val="21"/>
            </w:rPr>
            <w:tab/>
          </w:r>
          <w:r>
            <w:rPr>
              <w:rFonts w:ascii="宋体" w:hAnsi="宋体" w:eastAsia="宋体" w:cs="宋体"/>
              <w:spacing w:val="-12"/>
              <w:sz w:val="21"/>
              <w:szCs w:val="21"/>
            </w:rPr>
            <w:t xml:space="preserve"> </w:t>
          </w:r>
          <w:r>
            <w:fldChar w:fldCharType="begin"/>
          </w:r>
          <w:r>
            <w:instrText xml:space="preserve"> HYPERLINK \l "bookmark33" </w:instrText>
          </w:r>
          <w:r>
            <w:fldChar w:fldCharType="separate"/>
          </w:r>
          <w:r>
            <w:rPr>
              <w:rFonts w:ascii="宋体" w:hAnsi="宋体" w:eastAsia="宋体" w:cs="宋体"/>
              <w:spacing w:val="-6"/>
              <w:sz w:val="21"/>
              <w:szCs w:val="21"/>
            </w:rPr>
            <w:t>17</w:t>
          </w:r>
          <w:r>
            <w:rPr>
              <w:rFonts w:ascii="宋体" w:hAnsi="宋体" w:eastAsia="宋体" w:cs="宋体"/>
              <w:spacing w:val="-6"/>
              <w:sz w:val="21"/>
              <w:szCs w:val="21"/>
            </w:rPr>
            <w:fldChar w:fldCharType="end"/>
          </w:r>
        </w:p>
        <w:p w14:paraId="13FB36ED">
          <w:pPr>
            <w:tabs>
              <w:tab w:val="right" w:leader="dot" w:pos="8317"/>
            </w:tabs>
            <w:spacing w:before="22" w:line="221" w:lineRule="auto"/>
            <w:ind w:left="874"/>
            <w:rPr>
              <w:rFonts w:ascii="宋体" w:hAnsi="宋体" w:eastAsia="宋体" w:cs="宋体"/>
              <w:sz w:val="21"/>
              <w:szCs w:val="21"/>
            </w:rPr>
          </w:pPr>
          <w:r>
            <w:rPr>
              <w:rFonts w:ascii="宋体" w:hAnsi="宋体" w:eastAsia="宋体" w:cs="宋体"/>
              <w:spacing w:val="-5"/>
              <w:sz w:val="21"/>
              <w:szCs w:val="21"/>
            </w:rPr>
            <w:t>1.9</w:t>
          </w:r>
          <w:r>
            <w:rPr>
              <w:rFonts w:ascii="宋体" w:hAnsi="宋体" w:eastAsia="宋体" w:cs="宋体"/>
              <w:spacing w:val="12"/>
              <w:sz w:val="21"/>
              <w:szCs w:val="21"/>
            </w:rPr>
            <w:t xml:space="preserve"> </w:t>
          </w:r>
          <w:r>
            <w:rPr>
              <w:rFonts w:ascii="宋体" w:hAnsi="宋体" w:eastAsia="宋体" w:cs="宋体"/>
              <w:spacing w:val="-5"/>
              <w:sz w:val="21"/>
              <w:szCs w:val="21"/>
            </w:rPr>
            <w:t>踏勘现场</w:t>
          </w:r>
          <w:r>
            <w:rPr>
              <w:rFonts w:ascii="宋体" w:hAnsi="宋体" w:eastAsia="宋体" w:cs="宋体"/>
              <w:spacing w:val="-81"/>
              <w:sz w:val="21"/>
              <w:szCs w:val="21"/>
            </w:rPr>
            <w:t xml:space="preserve"> </w:t>
          </w:r>
          <w:r>
            <w:rPr>
              <w:rFonts w:ascii="宋体" w:hAnsi="宋体" w:eastAsia="宋体" w:cs="宋体"/>
              <w:sz w:val="21"/>
              <w:szCs w:val="21"/>
            </w:rPr>
            <w:tab/>
          </w:r>
          <w:r>
            <w:rPr>
              <w:rFonts w:ascii="宋体" w:hAnsi="宋体" w:eastAsia="宋体" w:cs="宋体"/>
              <w:spacing w:val="-12"/>
              <w:sz w:val="21"/>
              <w:szCs w:val="21"/>
            </w:rPr>
            <w:t xml:space="preserve"> </w:t>
          </w:r>
          <w:r>
            <w:fldChar w:fldCharType="begin"/>
          </w:r>
          <w:r>
            <w:instrText xml:space="preserve"> HYPERLINK \l "bookmark34" </w:instrText>
          </w:r>
          <w:r>
            <w:fldChar w:fldCharType="separate"/>
          </w:r>
          <w:r>
            <w:rPr>
              <w:rFonts w:ascii="宋体" w:hAnsi="宋体" w:eastAsia="宋体" w:cs="宋体"/>
              <w:spacing w:val="-6"/>
              <w:sz w:val="21"/>
              <w:szCs w:val="21"/>
            </w:rPr>
            <w:t>17</w:t>
          </w:r>
          <w:r>
            <w:rPr>
              <w:rFonts w:ascii="宋体" w:hAnsi="宋体" w:eastAsia="宋体" w:cs="宋体"/>
              <w:spacing w:val="-6"/>
              <w:sz w:val="21"/>
              <w:szCs w:val="21"/>
            </w:rPr>
            <w:fldChar w:fldCharType="end"/>
          </w:r>
        </w:p>
        <w:p w14:paraId="610339C1">
          <w:pPr>
            <w:tabs>
              <w:tab w:val="right" w:leader="dot" w:pos="8317"/>
            </w:tabs>
            <w:spacing w:before="22" w:line="220" w:lineRule="auto"/>
            <w:ind w:left="874"/>
            <w:rPr>
              <w:rFonts w:ascii="宋体" w:hAnsi="宋体" w:eastAsia="宋体" w:cs="宋体"/>
              <w:sz w:val="21"/>
              <w:szCs w:val="21"/>
            </w:rPr>
          </w:pPr>
          <w:r>
            <w:rPr>
              <w:rFonts w:ascii="宋体" w:hAnsi="宋体" w:eastAsia="宋体" w:cs="宋体"/>
              <w:spacing w:val="-2"/>
              <w:sz w:val="21"/>
              <w:szCs w:val="21"/>
            </w:rPr>
            <w:t>1.10 投标预备会</w:t>
          </w:r>
          <w:r>
            <w:rPr>
              <w:rFonts w:ascii="宋体" w:hAnsi="宋体" w:eastAsia="宋体" w:cs="宋体"/>
              <w:spacing w:val="-82"/>
              <w:sz w:val="21"/>
              <w:szCs w:val="21"/>
            </w:rPr>
            <w:t xml:space="preserve"> </w:t>
          </w:r>
          <w:r>
            <w:rPr>
              <w:rFonts w:ascii="宋体" w:hAnsi="宋体" w:eastAsia="宋体" w:cs="宋体"/>
              <w:sz w:val="21"/>
              <w:szCs w:val="21"/>
            </w:rPr>
            <w:tab/>
          </w:r>
          <w:r>
            <w:rPr>
              <w:rFonts w:ascii="宋体" w:hAnsi="宋体" w:eastAsia="宋体" w:cs="宋体"/>
              <w:spacing w:val="-12"/>
              <w:sz w:val="21"/>
              <w:szCs w:val="21"/>
            </w:rPr>
            <w:t xml:space="preserve"> </w:t>
          </w:r>
          <w:r>
            <w:fldChar w:fldCharType="begin"/>
          </w:r>
          <w:r>
            <w:instrText xml:space="preserve"> HYPERLINK \l "bookmark35" </w:instrText>
          </w:r>
          <w:r>
            <w:fldChar w:fldCharType="separate"/>
          </w:r>
          <w:r>
            <w:rPr>
              <w:rFonts w:ascii="宋体" w:hAnsi="宋体" w:eastAsia="宋体" w:cs="宋体"/>
              <w:spacing w:val="-6"/>
              <w:sz w:val="21"/>
              <w:szCs w:val="21"/>
            </w:rPr>
            <w:t>18</w:t>
          </w:r>
          <w:r>
            <w:rPr>
              <w:rFonts w:ascii="宋体" w:hAnsi="宋体" w:eastAsia="宋体" w:cs="宋体"/>
              <w:spacing w:val="-6"/>
              <w:sz w:val="21"/>
              <w:szCs w:val="21"/>
            </w:rPr>
            <w:fldChar w:fldCharType="end"/>
          </w:r>
        </w:p>
        <w:p w14:paraId="5E18ACB9">
          <w:pPr>
            <w:tabs>
              <w:tab w:val="right" w:leader="dot" w:pos="8317"/>
            </w:tabs>
            <w:spacing w:before="19" w:line="221" w:lineRule="auto"/>
            <w:ind w:left="874"/>
            <w:rPr>
              <w:rFonts w:ascii="宋体" w:hAnsi="宋体" w:eastAsia="宋体" w:cs="宋体"/>
              <w:sz w:val="21"/>
              <w:szCs w:val="21"/>
            </w:rPr>
          </w:pPr>
          <w:r>
            <w:rPr>
              <w:rFonts w:ascii="宋体" w:hAnsi="宋体" w:eastAsia="宋体" w:cs="宋体"/>
              <w:spacing w:val="-5"/>
              <w:sz w:val="21"/>
              <w:szCs w:val="21"/>
            </w:rPr>
            <w:t>1.11</w:t>
          </w:r>
          <w:r>
            <w:rPr>
              <w:rFonts w:ascii="宋体" w:hAnsi="宋体" w:eastAsia="宋体" w:cs="宋体"/>
              <w:spacing w:val="11"/>
              <w:sz w:val="21"/>
              <w:szCs w:val="21"/>
            </w:rPr>
            <w:t xml:space="preserve"> </w:t>
          </w:r>
          <w:r>
            <w:rPr>
              <w:rFonts w:ascii="宋体" w:hAnsi="宋体" w:eastAsia="宋体" w:cs="宋体"/>
              <w:spacing w:val="-5"/>
              <w:sz w:val="21"/>
              <w:szCs w:val="21"/>
            </w:rPr>
            <w:t>分包</w:t>
          </w:r>
          <w:r>
            <w:rPr>
              <w:rFonts w:ascii="宋体" w:hAnsi="宋体" w:eastAsia="宋体" w:cs="宋体"/>
              <w:spacing w:val="-87"/>
              <w:sz w:val="21"/>
              <w:szCs w:val="21"/>
            </w:rPr>
            <w:t xml:space="preserve"> </w:t>
          </w:r>
          <w:r>
            <w:rPr>
              <w:rFonts w:ascii="宋体" w:hAnsi="宋体" w:eastAsia="宋体" w:cs="宋体"/>
              <w:sz w:val="21"/>
              <w:szCs w:val="21"/>
            </w:rPr>
            <w:tab/>
          </w:r>
          <w:r>
            <w:rPr>
              <w:rFonts w:ascii="宋体" w:hAnsi="宋体" w:eastAsia="宋体" w:cs="宋体"/>
              <w:spacing w:val="-12"/>
              <w:sz w:val="21"/>
              <w:szCs w:val="21"/>
            </w:rPr>
            <w:t xml:space="preserve"> </w:t>
          </w:r>
          <w:r>
            <w:fldChar w:fldCharType="begin"/>
          </w:r>
          <w:r>
            <w:instrText xml:space="preserve"> HYPERLINK \l "bookmark36" </w:instrText>
          </w:r>
          <w:r>
            <w:fldChar w:fldCharType="separate"/>
          </w:r>
          <w:r>
            <w:rPr>
              <w:rFonts w:ascii="宋体" w:hAnsi="宋体" w:eastAsia="宋体" w:cs="宋体"/>
              <w:spacing w:val="-6"/>
              <w:sz w:val="21"/>
              <w:szCs w:val="21"/>
            </w:rPr>
            <w:t>18</w:t>
          </w:r>
          <w:r>
            <w:rPr>
              <w:rFonts w:ascii="宋体" w:hAnsi="宋体" w:eastAsia="宋体" w:cs="宋体"/>
              <w:spacing w:val="-6"/>
              <w:sz w:val="21"/>
              <w:szCs w:val="21"/>
            </w:rPr>
            <w:fldChar w:fldCharType="end"/>
          </w:r>
        </w:p>
        <w:p w14:paraId="6DB31269">
          <w:pPr>
            <w:tabs>
              <w:tab w:val="right" w:leader="dot" w:pos="8317"/>
            </w:tabs>
            <w:spacing w:before="22" w:line="221" w:lineRule="auto"/>
            <w:ind w:left="874"/>
            <w:rPr>
              <w:rFonts w:ascii="宋体" w:hAnsi="宋体" w:eastAsia="宋体" w:cs="宋体"/>
              <w:sz w:val="21"/>
              <w:szCs w:val="21"/>
            </w:rPr>
          </w:pPr>
          <w:r>
            <w:rPr>
              <w:rFonts w:ascii="宋体" w:hAnsi="宋体" w:eastAsia="宋体" w:cs="宋体"/>
              <w:spacing w:val="-5"/>
              <w:sz w:val="21"/>
              <w:szCs w:val="21"/>
            </w:rPr>
            <w:t>1.12</w:t>
          </w:r>
          <w:r>
            <w:rPr>
              <w:rFonts w:ascii="宋体" w:hAnsi="宋体" w:eastAsia="宋体" w:cs="宋体"/>
              <w:spacing w:val="10"/>
              <w:sz w:val="21"/>
              <w:szCs w:val="21"/>
            </w:rPr>
            <w:t xml:space="preserve"> </w:t>
          </w:r>
          <w:r>
            <w:rPr>
              <w:rFonts w:ascii="宋体" w:hAnsi="宋体" w:eastAsia="宋体" w:cs="宋体"/>
              <w:spacing w:val="-5"/>
              <w:sz w:val="21"/>
              <w:szCs w:val="21"/>
            </w:rPr>
            <w:t>偏离</w:t>
          </w:r>
          <w:r>
            <w:rPr>
              <w:rFonts w:ascii="宋体" w:hAnsi="宋体" w:eastAsia="宋体" w:cs="宋体"/>
              <w:spacing w:val="-86"/>
              <w:sz w:val="21"/>
              <w:szCs w:val="21"/>
            </w:rPr>
            <w:t xml:space="preserve"> </w:t>
          </w:r>
          <w:r>
            <w:rPr>
              <w:rFonts w:ascii="宋体" w:hAnsi="宋体" w:eastAsia="宋体" w:cs="宋体"/>
              <w:sz w:val="21"/>
              <w:szCs w:val="21"/>
            </w:rPr>
            <w:tab/>
          </w:r>
          <w:r>
            <w:rPr>
              <w:rFonts w:ascii="宋体" w:hAnsi="宋体" w:eastAsia="宋体" w:cs="宋体"/>
              <w:spacing w:val="-12"/>
              <w:sz w:val="21"/>
              <w:szCs w:val="21"/>
            </w:rPr>
            <w:t xml:space="preserve"> </w:t>
          </w:r>
          <w:r>
            <w:fldChar w:fldCharType="begin"/>
          </w:r>
          <w:r>
            <w:instrText xml:space="preserve"> HYPERLINK \l "bookmark37" </w:instrText>
          </w:r>
          <w:r>
            <w:fldChar w:fldCharType="separate"/>
          </w:r>
          <w:r>
            <w:rPr>
              <w:rFonts w:ascii="宋体" w:hAnsi="宋体" w:eastAsia="宋体" w:cs="宋体"/>
              <w:spacing w:val="-6"/>
              <w:sz w:val="21"/>
              <w:szCs w:val="21"/>
            </w:rPr>
            <w:t>18</w:t>
          </w:r>
          <w:r>
            <w:rPr>
              <w:rFonts w:ascii="宋体" w:hAnsi="宋体" w:eastAsia="宋体" w:cs="宋体"/>
              <w:spacing w:val="-6"/>
              <w:sz w:val="21"/>
              <w:szCs w:val="21"/>
            </w:rPr>
            <w:fldChar w:fldCharType="end"/>
          </w:r>
        </w:p>
        <w:p w14:paraId="7F01EB09">
          <w:pPr>
            <w:tabs>
              <w:tab w:val="right" w:leader="dot" w:pos="8317"/>
            </w:tabs>
            <w:spacing w:before="22" w:line="221" w:lineRule="auto"/>
            <w:ind w:left="443"/>
            <w:rPr>
              <w:rFonts w:ascii="宋体" w:hAnsi="宋体" w:eastAsia="宋体" w:cs="宋体"/>
              <w:sz w:val="21"/>
              <w:szCs w:val="21"/>
            </w:rPr>
          </w:pPr>
          <w:r>
            <w:rPr>
              <w:rFonts w:ascii="宋体" w:hAnsi="宋体" w:eastAsia="宋体" w:cs="宋体"/>
              <w:spacing w:val="-3"/>
              <w:sz w:val="21"/>
              <w:szCs w:val="21"/>
            </w:rPr>
            <w:t>2.</w:t>
          </w:r>
          <w:r>
            <w:rPr>
              <w:rFonts w:ascii="宋体" w:hAnsi="宋体" w:eastAsia="宋体" w:cs="宋体"/>
              <w:spacing w:val="12"/>
              <w:sz w:val="21"/>
              <w:szCs w:val="21"/>
            </w:rPr>
            <w:t xml:space="preserve"> </w:t>
          </w:r>
          <w:r>
            <w:rPr>
              <w:rFonts w:ascii="宋体" w:hAnsi="宋体" w:eastAsia="宋体" w:cs="宋体"/>
              <w:spacing w:val="-3"/>
              <w:sz w:val="21"/>
              <w:szCs w:val="21"/>
            </w:rPr>
            <w:t>招标文件</w:t>
          </w:r>
          <w:r>
            <w:rPr>
              <w:rFonts w:ascii="宋体" w:hAnsi="宋体" w:eastAsia="宋体" w:cs="宋体"/>
              <w:spacing w:val="-90"/>
              <w:sz w:val="21"/>
              <w:szCs w:val="21"/>
            </w:rPr>
            <w:t xml:space="preserve"> </w:t>
          </w:r>
          <w:r>
            <w:rPr>
              <w:rFonts w:ascii="宋体" w:hAnsi="宋体" w:eastAsia="宋体" w:cs="宋体"/>
              <w:sz w:val="21"/>
              <w:szCs w:val="21"/>
            </w:rPr>
            <w:tab/>
          </w:r>
          <w:r>
            <w:rPr>
              <w:rFonts w:ascii="宋体" w:hAnsi="宋体" w:eastAsia="宋体" w:cs="宋体"/>
              <w:spacing w:val="-12"/>
              <w:sz w:val="21"/>
              <w:szCs w:val="21"/>
            </w:rPr>
            <w:t xml:space="preserve"> </w:t>
          </w:r>
          <w:r>
            <w:fldChar w:fldCharType="begin"/>
          </w:r>
          <w:r>
            <w:instrText xml:space="preserve"> HYPERLINK \l "bookmark38" </w:instrText>
          </w:r>
          <w:r>
            <w:fldChar w:fldCharType="separate"/>
          </w:r>
          <w:r>
            <w:rPr>
              <w:rFonts w:ascii="宋体" w:hAnsi="宋体" w:eastAsia="宋体" w:cs="宋体"/>
              <w:spacing w:val="-6"/>
              <w:sz w:val="21"/>
              <w:szCs w:val="21"/>
            </w:rPr>
            <w:t>18</w:t>
          </w:r>
          <w:r>
            <w:rPr>
              <w:rFonts w:ascii="宋体" w:hAnsi="宋体" w:eastAsia="宋体" w:cs="宋体"/>
              <w:spacing w:val="-6"/>
              <w:sz w:val="21"/>
              <w:szCs w:val="21"/>
            </w:rPr>
            <w:fldChar w:fldCharType="end"/>
          </w:r>
        </w:p>
        <w:p w14:paraId="140C6C6D">
          <w:pPr>
            <w:tabs>
              <w:tab w:val="right" w:leader="dot" w:pos="8317"/>
            </w:tabs>
            <w:spacing w:before="23" w:line="221" w:lineRule="auto"/>
            <w:ind w:left="861"/>
            <w:rPr>
              <w:rFonts w:ascii="宋体" w:hAnsi="宋体" w:eastAsia="宋体" w:cs="宋体"/>
              <w:sz w:val="21"/>
              <w:szCs w:val="21"/>
            </w:rPr>
          </w:pPr>
          <w:r>
            <w:rPr>
              <w:rFonts w:ascii="宋体" w:hAnsi="宋体" w:eastAsia="宋体" w:cs="宋体"/>
              <w:spacing w:val="-1"/>
              <w:sz w:val="21"/>
              <w:szCs w:val="21"/>
            </w:rPr>
            <w:t>2.1 招标文件的组成</w:t>
          </w:r>
          <w:r>
            <w:rPr>
              <w:rFonts w:ascii="宋体" w:hAnsi="宋体" w:eastAsia="宋体" w:cs="宋体"/>
              <w:spacing w:val="-76"/>
              <w:sz w:val="21"/>
              <w:szCs w:val="21"/>
            </w:rPr>
            <w:t xml:space="preserve"> </w:t>
          </w:r>
          <w:r>
            <w:rPr>
              <w:rFonts w:ascii="宋体" w:hAnsi="宋体" w:eastAsia="宋体" w:cs="宋体"/>
              <w:sz w:val="21"/>
              <w:szCs w:val="21"/>
            </w:rPr>
            <w:tab/>
          </w:r>
          <w:r>
            <w:rPr>
              <w:rFonts w:ascii="宋体" w:hAnsi="宋体" w:eastAsia="宋体" w:cs="宋体"/>
              <w:spacing w:val="-12"/>
              <w:sz w:val="21"/>
              <w:szCs w:val="21"/>
            </w:rPr>
            <w:t xml:space="preserve"> </w:t>
          </w:r>
          <w:r>
            <w:fldChar w:fldCharType="begin"/>
          </w:r>
          <w:r>
            <w:instrText xml:space="preserve"> HYPERLINK \l "bookmark39" </w:instrText>
          </w:r>
          <w:r>
            <w:fldChar w:fldCharType="separate"/>
          </w:r>
          <w:r>
            <w:rPr>
              <w:rFonts w:ascii="宋体" w:hAnsi="宋体" w:eastAsia="宋体" w:cs="宋体"/>
              <w:spacing w:val="-6"/>
              <w:sz w:val="21"/>
              <w:szCs w:val="21"/>
            </w:rPr>
            <w:t>18</w:t>
          </w:r>
          <w:r>
            <w:rPr>
              <w:rFonts w:ascii="宋体" w:hAnsi="宋体" w:eastAsia="宋体" w:cs="宋体"/>
              <w:spacing w:val="-6"/>
              <w:sz w:val="21"/>
              <w:szCs w:val="21"/>
            </w:rPr>
            <w:fldChar w:fldCharType="end"/>
          </w:r>
        </w:p>
        <w:p w14:paraId="5EB6ABFC">
          <w:pPr>
            <w:tabs>
              <w:tab w:val="right" w:leader="dot" w:pos="8317"/>
            </w:tabs>
            <w:spacing w:before="17" w:line="221" w:lineRule="auto"/>
            <w:ind w:left="861"/>
            <w:rPr>
              <w:rFonts w:ascii="宋体" w:hAnsi="宋体" w:eastAsia="宋体" w:cs="宋体"/>
              <w:sz w:val="21"/>
              <w:szCs w:val="21"/>
            </w:rPr>
          </w:pPr>
          <w:r>
            <w:rPr>
              <w:rFonts w:ascii="宋体" w:hAnsi="宋体" w:eastAsia="宋体" w:cs="宋体"/>
              <w:spacing w:val="-1"/>
              <w:sz w:val="21"/>
              <w:szCs w:val="21"/>
            </w:rPr>
            <w:t>2.2 招标文件的澄清</w:t>
          </w:r>
          <w:r>
            <w:rPr>
              <w:rFonts w:ascii="宋体" w:hAnsi="宋体" w:eastAsia="宋体" w:cs="宋体"/>
              <w:spacing w:val="-76"/>
              <w:sz w:val="21"/>
              <w:szCs w:val="21"/>
            </w:rPr>
            <w:t xml:space="preserve"> </w:t>
          </w:r>
          <w:r>
            <w:rPr>
              <w:rFonts w:ascii="宋体" w:hAnsi="宋体" w:eastAsia="宋体" w:cs="宋体"/>
              <w:sz w:val="21"/>
              <w:szCs w:val="21"/>
            </w:rPr>
            <w:tab/>
          </w:r>
          <w:r>
            <w:rPr>
              <w:rFonts w:ascii="宋体" w:hAnsi="宋体" w:eastAsia="宋体" w:cs="宋体"/>
              <w:spacing w:val="-12"/>
              <w:sz w:val="21"/>
              <w:szCs w:val="21"/>
            </w:rPr>
            <w:t xml:space="preserve"> </w:t>
          </w:r>
          <w:r>
            <w:fldChar w:fldCharType="begin"/>
          </w:r>
          <w:r>
            <w:instrText xml:space="preserve"> HYPERLINK \l "bookmark40" </w:instrText>
          </w:r>
          <w:r>
            <w:fldChar w:fldCharType="separate"/>
          </w:r>
          <w:r>
            <w:rPr>
              <w:rFonts w:ascii="宋体" w:hAnsi="宋体" w:eastAsia="宋体" w:cs="宋体"/>
              <w:spacing w:val="-6"/>
              <w:sz w:val="21"/>
              <w:szCs w:val="21"/>
            </w:rPr>
            <w:t>18</w:t>
          </w:r>
          <w:r>
            <w:rPr>
              <w:rFonts w:ascii="宋体" w:hAnsi="宋体" w:eastAsia="宋体" w:cs="宋体"/>
              <w:spacing w:val="-6"/>
              <w:sz w:val="21"/>
              <w:szCs w:val="21"/>
            </w:rPr>
            <w:fldChar w:fldCharType="end"/>
          </w:r>
        </w:p>
        <w:p w14:paraId="38E87453">
          <w:pPr>
            <w:tabs>
              <w:tab w:val="right" w:leader="dot" w:pos="8317"/>
            </w:tabs>
            <w:spacing w:before="22" w:line="221" w:lineRule="auto"/>
            <w:ind w:left="861"/>
            <w:rPr>
              <w:rFonts w:ascii="宋体" w:hAnsi="宋体" w:eastAsia="宋体" w:cs="宋体"/>
              <w:sz w:val="21"/>
              <w:szCs w:val="21"/>
            </w:rPr>
          </w:pPr>
          <w:r>
            <w:rPr>
              <w:rFonts w:ascii="宋体" w:hAnsi="宋体" w:eastAsia="宋体" w:cs="宋体"/>
              <w:spacing w:val="-1"/>
              <w:sz w:val="21"/>
              <w:szCs w:val="21"/>
            </w:rPr>
            <w:t>2.3 招标文件的修改</w:t>
          </w:r>
          <w:r>
            <w:rPr>
              <w:rFonts w:ascii="宋体" w:hAnsi="宋体" w:eastAsia="宋体" w:cs="宋体"/>
              <w:spacing w:val="-76"/>
              <w:sz w:val="21"/>
              <w:szCs w:val="21"/>
            </w:rPr>
            <w:t xml:space="preserve"> </w:t>
          </w:r>
          <w:r>
            <w:rPr>
              <w:rFonts w:ascii="宋体" w:hAnsi="宋体" w:eastAsia="宋体" w:cs="宋体"/>
              <w:sz w:val="21"/>
              <w:szCs w:val="21"/>
            </w:rPr>
            <w:tab/>
          </w:r>
          <w:r>
            <w:rPr>
              <w:rFonts w:ascii="宋体" w:hAnsi="宋体" w:eastAsia="宋体" w:cs="宋体"/>
              <w:spacing w:val="-12"/>
              <w:sz w:val="21"/>
              <w:szCs w:val="21"/>
            </w:rPr>
            <w:t xml:space="preserve"> </w:t>
          </w:r>
          <w:r>
            <w:fldChar w:fldCharType="begin"/>
          </w:r>
          <w:r>
            <w:instrText xml:space="preserve"> HYPERLINK \l "bookmark41" </w:instrText>
          </w:r>
          <w:r>
            <w:fldChar w:fldCharType="separate"/>
          </w:r>
          <w:r>
            <w:rPr>
              <w:rFonts w:ascii="宋体" w:hAnsi="宋体" w:eastAsia="宋体" w:cs="宋体"/>
              <w:spacing w:val="-6"/>
              <w:sz w:val="21"/>
              <w:szCs w:val="21"/>
            </w:rPr>
            <w:t>19</w:t>
          </w:r>
          <w:r>
            <w:rPr>
              <w:rFonts w:ascii="宋体" w:hAnsi="宋体" w:eastAsia="宋体" w:cs="宋体"/>
              <w:spacing w:val="-6"/>
              <w:sz w:val="21"/>
              <w:szCs w:val="21"/>
            </w:rPr>
            <w:fldChar w:fldCharType="end"/>
          </w:r>
        </w:p>
        <w:p w14:paraId="1D4AF6F7">
          <w:pPr>
            <w:tabs>
              <w:tab w:val="right" w:leader="dot" w:pos="8317"/>
            </w:tabs>
            <w:spacing w:before="22" w:line="221" w:lineRule="auto"/>
            <w:ind w:left="861"/>
            <w:rPr>
              <w:rFonts w:ascii="宋体" w:hAnsi="宋体" w:eastAsia="宋体" w:cs="宋体"/>
              <w:sz w:val="21"/>
              <w:szCs w:val="21"/>
            </w:rPr>
          </w:pPr>
          <w:r>
            <w:rPr>
              <w:rFonts w:ascii="宋体" w:hAnsi="宋体" w:eastAsia="宋体" w:cs="宋体"/>
              <w:spacing w:val="-1"/>
              <w:sz w:val="21"/>
              <w:szCs w:val="21"/>
            </w:rPr>
            <w:t>2.4 招标文件的异议</w:t>
          </w:r>
          <w:r>
            <w:rPr>
              <w:rFonts w:ascii="宋体" w:hAnsi="宋体" w:eastAsia="宋体" w:cs="宋体"/>
              <w:spacing w:val="-76"/>
              <w:sz w:val="21"/>
              <w:szCs w:val="21"/>
            </w:rPr>
            <w:t xml:space="preserve"> </w:t>
          </w:r>
          <w:r>
            <w:rPr>
              <w:rFonts w:ascii="宋体" w:hAnsi="宋体" w:eastAsia="宋体" w:cs="宋体"/>
              <w:sz w:val="21"/>
              <w:szCs w:val="21"/>
            </w:rPr>
            <w:tab/>
          </w:r>
          <w:r>
            <w:rPr>
              <w:rFonts w:ascii="宋体" w:hAnsi="宋体" w:eastAsia="宋体" w:cs="宋体"/>
              <w:spacing w:val="-12"/>
              <w:sz w:val="21"/>
              <w:szCs w:val="21"/>
            </w:rPr>
            <w:t xml:space="preserve"> </w:t>
          </w:r>
          <w:r>
            <w:fldChar w:fldCharType="begin"/>
          </w:r>
          <w:r>
            <w:instrText xml:space="preserve"> HYPERLINK \l "bookmark42" </w:instrText>
          </w:r>
          <w:r>
            <w:fldChar w:fldCharType="separate"/>
          </w:r>
          <w:r>
            <w:rPr>
              <w:rFonts w:ascii="宋体" w:hAnsi="宋体" w:eastAsia="宋体" w:cs="宋体"/>
              <w:spacing w:val="-6"/>
              <w:sz w:val="21"/>
              <w:szCs w:val="21"/>
            </w:rPr>
            <w:t>19</w:t>
          </w:r>
          <w:r>
            <w:rPr>
              <w:rFonts w:ascii="宋体" w:hAnsi="宋体" w:eastAsia="宋体" w:cs="宋体"/>
              <w:spacing w:val="-6"/>
              <w:sz w:val="21"/>
              <w:szCs w:val="21"/>
            </w:rPr>
            <w:fldChar w:fldCharType="end"/>
          </w:r>
        </w:p>
        <w:p w14:paraId="3EC7127E">
          <w:pPr>
            <w:tabs>
              <w:tab w:val="right" w:leader="dot" w:pos="8317"/>
            </w:tabs>
            <w:spacing w:before="18" w:line="221" w:lineRule="auto"/>
            <w:ind w:left="445"/>
            <w:rPr>
              <w:rFonts w:ascii="宋体" w:hAnsi="宋体" w:eastAsia="宋体" w:cs="宋体"/>
              <w:sz w:val="21"/>
              <w:szCs w:val="21"/>
            </w:rPr>
          </w:pPr>
          <w:r>
            <w:rPr>
              <w:rFonts w:ascii="宋体" w:hAnsi="宋体" w:eastAsia="宋体" w:cs="宋体"/>
              <w:spacing w:val="-3"/>
              <w:sz w:val="21"/>
              <w:szCs w:val="21"/>
            </w:rPr>
            <w:t>3.</w:t>
          </w:r>
          <w:r>
            <w:rPr>
              <w:rFonts w:ascii="宋体" w:hAnsi="宋体" w:eastAsia="宋体" w:cs="宋体"/>
              <w:spacing w:val="11"/>
              <w:sz w:val="21"/>
              <w:szCs w:val="21"/>
            </w:rPr>
            <w:t xml:space="preserve"> </w:t>
          </w:r>
          <w:r>
            <w:rPr>
              <w:rFonts w:ascii="宋体" w:hAnsi="宋体" w:eastAsia="宋体" w:cs="宋体"/>
              <w:spacing w:val="-3"/>
              <w:sz w:val="21"/>
              <w:szCs w:val="21"/>
            </w:rPr>
            <w:t>投标文件</w:t>
          </w:r>
          <w:r>
            <w:rPr>
              <w:rFonts w:ascii="宋体" w:hAnsi="宋体" w:eastAsia="宋体" w:cs="宋体"/>
              <w:spacing w:val="-91"/>
              <w:sz w:val="21"/>
              <w:szCs w:val="21"/>
            </w:rPr>
            <w:t xml:space="preserve"> </w:t>
          </w:r>
          <w:r>
            <w:rPr>
              <w:rFonts w:ascii="宋体" w:hAnsi="宋体" w:eastAsia="宋体" w:cs="宋体"/>
              <w:sz w:val="21"/>
              <w:szCs w:val="21"/>
            </w:rPr>
            <w:tab/>
          </w:r>
          <w:r>
            <w:rPr>
              <w:rFonts w:ascii="宋体" w:hAnsi="宋体" w:eastAsia="宋体" w:cs="宋体"/>
              <w:spacing w:val="-12"/>
              <w:sz w:val="21"/>
              <w:szCs w:val="21"/>
            </w:rPr>
            <w:t xml:space="preserve"> </w:t>
          </w:r>
          <w:r>
            <w:fldChar w:fldCharType="begin"/>
          </w:r>
          <w:r>
            <w:instrText xml:space="preserve"> HYPERLINK \l "bookmark43" </w:instrText>
          </w:r>
          <w:r>
            <w:fldChar w:fldCharType="separate"/>
          </w:r>
          <w:r>
            <w:rPr>
              <w:rFonts w:ascii="宋体" w:hAnsi="宋体" w:eastAsia="宋体" w:cs="宋体"/>
              <w:spacing w:val="-6"/>
              <w:sz w:val="21"/>
              <w:szCs w:val="21"/>
            </w:rPr>
            <w:t>19</w:t>
          </w:r>
          <w:r>
            <w:rPr>
              <w:rFonts w:ascii="宋体" w:hAnsi="宋体" w:eastAsia="宋体" w:cs="宋体"/>
              <w:spacing w:val="-6"/>
              <w:sz w:val="21"/>
              <w:szCs w:val="21"/>
            </w:rPr>
            <w:fldChar w:fldCharType="end"/>
          </w:r>
        </w:p>
        <w:p w14:paraId="18C2CA64">
          <w:pPr>
            <w:tabs>
              <w:tab w:val="right" w:leader="dot" w:pos="8317"/>
            </w:tabs>
            <w:spacing w:before="22" w:line="221" w:lineRule="auto"/>
            <w:ind w:left="863"/>
            <w:rPr>
              <w:rFonts w:ascii="宋体" w:hAnsi="宋体" w:eastAsia="宋体" w:cs="宋体"/>
              <w:sz w:val="21"/>
              <w:szCs w:val="21"/>
            </w:rPr>
          </w:pPr>
          <w:r>
            <w:rPr>
              <w:rFonts w:ascii="宋体" w:hAnsi="宋体" w:eastAsia="宋体" w:cs="宋体"/>
              <w:spacing w:val="-1"/>
              <w:sz w:val="21"/>
              <w:szCs w:val="21"/>
            </w:rPr>
            <w:t>3.1 投标文件的组成</w:t>
          </w:r>
          <w:r>
            <w:rPr>
              <w:rFonts w:ascii="宋体" w:hAnsi="宋体" w:eastAsia="宋体" w:cs="宋体"/>
              <w:spacing w:val="-77"/>
              <w:sz w:val="21"/>
              <w:szCs w:val="21"/>
            </w:rPr>
            <w:t xml:space="preserve"> </w:t>
          </w:r>
          <w:r>
            <w:rPr>
              <w:rFonts w:ascii="宋体" w:hAnsi="宋体" w:eastAsia="宋体" w:cs="宋体"/>
              <w:sz w:val="21"/>
              <w:szCs w:val="21"/>
            </w:rPr>
            <w:tab/>
          </w:r>
          <w:r>
            <w:rPr>
              <w:rFonts w:ascii="宋体" w:hAnsi="宋体" w:eastAsia="宋体" w:cs="宋体"/>
              <w:spacing w:val="-12"/>
              <w:sz w:val="21"/>
              <w:szCs w:val="21"/>
            </w:rPr>
            <w:t xml:space="preserve"> </w:t>
          </w:r>
          <w:r>
            <w:fldChar w:fldCharType="begin"/>
          </w:r>
          <w:r>
            <w:instrText xml:space="preserve"> HYPERLINK \l "bookmark44" </w:instrText>
          </w:r>
          <w:r>
            <w:fldChar w:fldCharType="separate"/>
          </w:r>
          <w:r>
            <w:rPr>
              <w:rFonts w:ascii="宋体" w:hAnsi="宋体" w:eastAsia="宋体" w:cs="宋体"/>
              <w:spacing w:val="-6"/>
              <w:sz w:val="21"/>
              <w:szCs w:val="21"/>
            </w:rPr>
            <w:t>19</w:t>
          </w:r>
          <w:r>
            <w:rPr>
              <w:rFonts w:ascii="宋体" w:hAnsi="宋体" w:eastAsia="宋体" w:cs="宋体"/>
              <w:spacing w:val="-6"/>
              <w:sz w:val="21"/>
              <w:szCs w:val="21"/>
            </w:rPr>
            <w:fldChar w:fldCharType="end"/>
          </w:r>
        </w:p>
      </w:sdtContent>
    </w:sdt>
    <w:p w14:paraId="3E795D5C">
      <w:pPr>
        <w:spacing w:line="221" w:lineRule="auto"/>
        <w:rPr>
          <w:rFonts w:ascii="宋体" w:hAnsi="宋体" w:eastAsia="宋体" w:cs="宋体"/>
          <w:sz w:val="21"/>
          <w:szCs w:val="21"/>
        </w:rPr>
        <w:sectPr>
          <w:footerReference r:id="rId6" w:type="default"/>
          <w:pgSz w:w="11905" w:h="16839"/>
          <w:pgMar w:top="1409" w:right="1785" w:bottom="1033" w:left="1785" w:header="0" w:footer="847" w:gutter="0"/>
          <w:pgNumType w:fmt="decimal"/>
          <w:cols w:space="720" w:num="1"/>
        </w:sectPr>
      </w:pPr>
    </w:p>
    <w:sdt>
      <w:sdtPr>
        <w:rPr>
          <w:rFonts w:ascii="宋体" w:hAnsi="宋体" w:eastAsia="宋体" w:cs="宋体"/>
          <w:sz w:val="21"/>
          <w:szCs w:val="21"/>
        </w:rPr>
        <w:id w:val="2"/>
        <w:docPartObj>
          <w:docPartGallery w:val="Table of Contents"/>
          <w:docPartUnique/>
        </w:docPartObj>
      </w:sdtPr>
      <w:sdtEndPr>
        <w:rPr>
          <w:rFonts w:ascii="宋体" w:hAnsi="宋体" w:eastAsia="宋体" w:cs="宋体"/>
          <w:sz w:val="21"/>
          <w:szCs w:val="21"/>
        </w:rPr>
      </w:sdtEndPr>
      <w:sdtContent>
        <w:p w14:paraId="09223E27">
          <w:pPr>
            <w:tabs>
              <w:tab w:val="right" w:leader="dot" w:pos="8317"/>
            </w:tabs>
            <w:spacing w:before="42" w:line="219" w:lineRule="auto"/>
            <w:ind w:left="863"/>
            <w:rPr>
              <w:rFonts w:ascii="宋体" w:hAnsi="宋体" w:eastAsia="宋体" w:cs="宋体"/>
              <w:sz w:val="21"/>
              <w:szCs w:val="21"/>
            </w:rPr>
          </w:pPr>
          <w:bookmarkStart w:id="2" w:name="bookmark16"/>
          <w:bookmarkEnd w:id="2"/>
          <w:bookmarkStart w:id="3" w:name="bookmark21"/>
          <w:bookmarkEnd w:id="3"/>
          <w:bookmarkStart w:id="4" w:name="bookmark17"/>
          <w:bookmarkEnd w:id="4"/>
          <w:bookmarkStart w:id="5" w:name="bookmark18"/>
          <w:bookmarkEnd w:id="5"/>
          <w:bookmarkStart w:id="6" w:name="bookmark19"/>
          <w:bookmarkEnd w:id="6"/>
          <w:bookmarkStart w:id="7" w:name="bookmark20"/>
          <w:bookmarkEnd w:id="7"/>
          <w:bookmarkStart w:id="8" w:name="bookmark15"/>
          <w:bookmarkEnd w:id="8"/>
          <w:r>
            <w:rPr>
              <w:rFonts w:ascii="宋体" w:hAnsi="宋体" w:eastAsia="宋体" w:cs="宋体"/>
              <w:spacing w:val="-4"/>
              <w:sz w:val="21"/>
              <w:szCs w:val="21"/>
            </w:rPr>
            <w:t>3.2</w:t>
          </w:r>
          <w:r>
            <w:rPr>
              <w:rFonts w:ascii="宋体" w:hAnsi="宋体" w:eastAsia="宋体" w:cs="宋体"/>
              <w:spacing w:val="17"/>
              <w:sz w:val="21"/>
              <w:szCs w:val="21"/>
            </w:rPr>
            <w:t xml:space="preserve"> </w:t>
          </w:r>
          <w:r>
            <w:rPr>
              <w:rFonts w:ascii="宋体" w:hAnsi="宋体" w:eastAsia="宋体" w:cs="宋体"/>
              <w:spacing w:val="-4"/>
              <w:sz w:val="21"/>
              <w:szCs w:val="21"/>
            </w:rPr>
            <w:t>投标报价</w:t>
          </w:r>
          <w:r>
            <w:rPr>
              <w:rFonts w:ascii="宋体" w:hAnsi="宋体" w:eastAsia="宋体" w:cs="宋体"/>
              <w:spacing w:val="-82"/>
              <w:sz w:val="21"/>
              <w:szCs w:val="21"/>
            </w:rPr>
            <w:t xml:space="preserve"> </w:t>
          </w:r>
          <w:r>
            <w:rPr>
              <w:rFonts w:ascii="宋体" w:hAnsi="宋体" w:eastAsia="宋体" w:cs="宋体"/>
              <w:sz w:val="21"/>
              <w:szCs w:val="21"/>
            </w:rPr>
            <w:tab/>
          </w:r>
          <w:r>
            <w:rPr>
              <w:rFonts w:ascii="宋体" w:hAnsi="宋体" w:eastAsia="宋体" w:cs="宋体"/>
              <w:spacing w:val="-25"/>
              <w:sz w:val="21"/>
              <w:szCs w:val="21"/>
            </w:rPr>
            <w:t xml:space="preserve"> </w:t>
          </w:r>
          <w:r>
            <w:fldChar w:fldCharType="begin"/>
          </w:r>
          <w:r>
            <w:instrText xml:space="preserve"> HYPERLINK \l "bookmark45" </w:instrText>
          </w:r>
          <w:r>
            <w:fldChar w:fldCharType="separate"/>
          </w:r>
          <w:r>
            <w:rPr>
              <w:rFonts w:ascii="宋体" w:hAnsi="宋体" w:eastAsia="宋体" w:cs="宋体"/>
              <w:spacing w:val="-3"/>
              <w:sz w:val="21"/>
              <w:szCs w:val="21"/>
            </w:rPr>
            <w:t>20</w:t>
          </w:r>
          <w:r>
            <w:rPr>
              <w:rFonts w:ascii="宋体" w:hAnsi="宋体" w:eastAsia="宋体" w:cs="宋体"/>
              <w:spacing w:val="-3"/>
              <w:sz w:val="21"/>
              <w:szCs w:val="21"/>
            </w:rPr>
            <w:fldChar w:fldCharType="end"/>
          </w:r>
        </w:p>
        <w:p w14:paraId="6846A286">
          <w:pPr>
            <w:tabs>
              <w:tab w:val="right" w:leader="dot" w:pos="8317"/>
            </w:tabs>
            <w:spacing w:before="19" w:line="221" w:lineRule="auto"/>
            <w:ind w:left="863"/>
            <w:rPr>
              <w:rFonts w:ascii="宋体" w:hAnsi="宋体" w:eastAsia="宋体" w:cs="宋体"/>
              <w:sz w:val="21"/>
              <w:szCs w:val="21"/>
            </w:rPr>
          </w:pPr>
          <w:r>
            <w:rPr>
              <w:rFonts w:ascii="宋体" w:hAnsi="宋体" w:eastAsia="宋体" w:cs="宋体"/>
              <w:spacing w:val="-3"/>
              <w:sz w:val="21"/>
              <w:szCs w:val="21"/>
            </w:rPr>
            <w:t>3.3</w:t>
          </w:r>
          <w:r>
            <w:rPr>
              <w:rFonts w:ascii="宋体" w:hAnsi="宋体" w:eastAsia="宋体" w:cs="宋体"/>
              <w:spacing w:val="14"/>
              <w:sz w:val="21"/>
              <w:szCs w:val="21"/>
            </w:rPr>
            <w:t xml:space="preserve"> </w:t>
          </w:r>
          <w:r>
            <w:rPr>
              <w:rFonts w:ascii="宋体" w:hAnsi="宋体" w:eastAsia="宋体" w:cs="宋体"/>
              <w:spacing w:val="-3"/>
              <w:sz w:val="21"/>
              <w:szCs w:val="21"/>
            </w:rPr>
            <w:t>投标有效期</w:t>
          </w:r>
          <w:r>
            <w:rPr>
              <w:rFonts w:ascii="宋体" w:hAnsi="宋体" w:eastAsia="宋体" w:cs="宋体"/>
              <w:spacing w:val="-81"/>
              <w:sz w:val="21"/>
              <w:szCs w:val="21"/>
            </w:rPr>
            <w:t xml:space="preserve"> </w:t>
          </w:r>
          <w:r>
            <w:rPr>
              <w:rFonts w:ascii="宋体" w:hAnsi="宋体" w:eastAsia="宋体" w:cs="宋体"/>
              <w:sz w:val="21"/>
              <w:szCs w:val="21"/>
            </w:rPr>
            <w:tab/>
          </w:r>
          <w:r>
            <w:rPr>
              <w:rFonts w:ascii="宋体" w:hAnsi="宋体" w:eastAsia="宋体" w:cs="宋体"/>
              <w:spacing w:val="-25"/>
              <w:sz w:val="21"/>
              <w:szCs w:val="21"/>
            </w:rPr>
            <w:t xml:space="preserve"> </w:t>
          </w:r>
          <w:r>
            <w:fldChar w:fldCharType="begin"/>
          </w:r>
          <w:r>
            <w:instrText xml:space="preserve"> HYPERLINK \l "bookmark46" </w:instrText>
          </w:r>
          <w:r>
            <w:fldChar w:fldCharType="separate"/>
          </w:r>
          <w:r>
            <w:rPr>
              <w:rFonts w:ascii="宋体" w:hAnsi="宋体" w:eastAsia="宋体" w:cs="宋体"/>
              <w:spacing w:val="-3"/>
              <w:sz w:val="21"/>
              <w:szCs w:val="21"/>
            </w:rPr>
            <w:t>20</w:t>
          </w:r>
          <w:r>
            <w:rPr>
              <w:rFonts w:ascii="宋体" w:hAnsi="宋体" w:eastAsia="宋体" w:cs="宋体"/>
              <w:spacing w:val="-3"/>
              <w:sz w:val="21"/>
              <w:szCs w:val="21"/>
            </w:rPr>
            <w:fldChar w:fldCharType="end"/>
          </w:r>
        </w:p>
        <w:p w14:paraId="46074EC5">
          <w:pPr>
            <w:tabs>
              <w:tab w:val="right" w:leader="dot" w:pos="8317"/>
            </w:tabs>
            <w:spacing w:before="22" w:line="221" w:lineRule="auto"/>
            <w:ind w:left="863"/>
            <w:rPr>
              <w:rFonts w:ascii="宋体" w:hAnsi="宋体" w:eastAsia="宋体" w:cs="宋体"/>
              <w:sz w:val="21"/>
              <w:szCs w:val="21"/>
            </w:rPr>
          </w:pPr>
          <w:r>
            <w:rPr>
              <w:rFonts w:ascii="宋体" w:hAnsi="宋体" w:eastAsia="宋体" w:cs="宋体"/>
              <w:spacing w:val="-3"/>
              <w:sz w:val="21"/>
              <w:szCs w:val="21"/>
            </w:rPr>
            <w:t>3.4</w:t>
          </w:r>
          <w:r>
            <w:rPr>
              <w:rFonts w:ascii="宋体" w:hAnsi="宋体" w:eastAsia="宋体" w:cs="宋体"/>
              <w:spacing w:val="14"/>
              <w:sz w:val="21"/>
              <w:szCs w:val="21"/>
            </w:rPr>
            <w:t xml:space="preserve"> </w:t>
          </w:r>
          <w:r>
            <w:rPr>
              <w:rFonts w:ascii="宋体" w:hAnsi="宋体" w:eastAsia="宋体" w:cs="宋体"/>
              <w:spacing w:val="-3"/>
              <w:sz w:val="21"/>
              <w:szCs w:val="21"/>
            </w:rPr>
            <w:t>投标保证金</w:t>
          </w:r>
          <w:r>
            <w:rPr>
              <w:rFonts w:ascii="宋体" w:hAnsi="宋体" w:eastAsia="宋体" w:cs="宋体"/>
              <w:spacing w:val="-81"/>
              <w:sz w:val="21"/>
              <w:szCs w:val="21"/>
            </w:rPr>
            <w:t xml:space="preserve"> </w:t>
          </w:r>
          <w:r>
            <w:rPr>
              <w:rFonts w:ascii="宋体" w:hAnsi="宋体" w:eastAsia="宋体" w:cs="宋体"/>
              <w:sz w:val="21"/>
              <w:szCs w:val="21"/>
            </w:rPr>
            <w:tab/>
          </w:r>
          <w:r>
            <w:rPr>
              <w:rFonts w:ascii="宋体" w:hAnsi="宋体" w:eastAsia="宋体" w:cs="宋体"/>
              <w:spacing w:val="-25"/>
              <w:sz w:val="21"/>
              <w:szCs w:val="21"/>
            </w:rPr>
            <w:t xml:space="preserve"> </w:t>
          </w:r>
          <w:r>
            <w:fldChar w:fldCharType="begin"/>
          </w:r>
          <w:r>
            <w:instrText xml:space="preserve"> HYPERLINK \l "bookmark47" </w:instrText>
          </w:r>
          <w:r>
            <w:fldChar w:fldCharType="separate"/>
          </w:r>
          <w:r>
            <w:rPr>
              <w:rFonts w:ascii="宋体" w:hAnsi="宋体" w:eastAsia="宋体" w:cs="宋体"/>
              <w:spacing w:val="-3"/>
              <w:sz w:val="21"/>
              <w:szCs w:val="21"/>
            </w:rPr>
            <w:t>20</w:t>
          </w:r>
          <w:r>
            <w:rPr>
              <w:rFonts w:ascii="宋体" w:hAnsi="宋体" w:eastAsia="宋体" w:cs="宋体"/>
              <w:spacing w:val="-3"/>
              <w:sz w:val="21"/>
              <w:szCs w:val="21"/>
            </w:rPr>
            <w:fldChar w:fldCharType="end"/>
          </w:r>
        </w:p>
        <w:p w14:paraId="145E2C2C">
          <w:pPr>
            <w:tabs>
              <w:tab w:val="right" w:leader="dot" w:pos="8317"/>
            </w:tabs>
            <w:spacing w:before="21" w:line="221" w:lineRule="auto"/>
            <w:ind w:left="863"/>
            <w:rPr>
              <w:rFonts w:ascii="宋体" w:hAnsi="宋体" w:eastAsia="宋体" w:cs="宋体"/>
              <w:sz w:val="21"/>
              <w:szCs w:val="21"/>
            </w:rPr>
          </w:pPr>
          <w:r>
            <w:rPr>
              <w:rFonts w:ascii="宋体" w:hAnsi="宋体" w:eastAsia="宋体" w:cs="宋体"/>
              <w:spacing w:val="-6"/>
              <w:sz w:val="21"/>
              <w:szCs w:val="21"/>
            </w:rPr>
            <w:t>3.5 资格审查资料（适用于已进行资格预审的）</w:t>
          </w:r>
          <w:r>
            <w:rPr>
              <w:rFonts w:ascii="宋体" w:hAnsi="宋体" w:eastAsia="宋体" w:cs="宋体"/>
              <w:spacing w:val="65"/>
              <w:sz w:val="21"/>
              <w:szCs w:val="21"/>
            </w:rPr>
            <w:t xml:space="preserve"> </w:t>
          </w:r>
          <w:r>
            <w:rPr>
              <w:rFonts w:ascii="宋体" w:hAnsi="宋体" w:eastAsia="宋体" w:cs="宋体"/>
              <w:sz w:val="21"/>
              <w:szCs w:val="21"/>
            </w:rPr>
            <w:tab/>
          </w:r>
          <w:r>
            <w:rPr>
              <w:rFonts w:ascii="宋体" w:hAnsi="宋体" w:eastAsia="宋体" w:cs="宋体"/>
              <w:spacing w:val="-25"/>
              <w:sz w:val="21"/>
              <w:szCs w:val="21"/>
            </w:rPr>
            <w:t xml:space="preserve"> </w:t>
          </w:r>
          <w:r>
            <w:fldChar w:fldCharType="begin"/>
          </w:r>
          <w:r>
            <w:instrText xml:space="preserve"> HYPERLINK \l "bookmark48" </w:instrText>
          </w:r>
          <w:r>
            <w:fldChar w:fldCharType="separate"/>
          </w:r>
          <w:r>
            <w:rPr>
              <w:rFonts w:ascii="宋体" w:hAnsi="宋体" w:eastAsia="宋体" w:cs="宋体"/>
              <w:spacing w:val="-3"/>
              <w:sz w:val="21"/>
              <w:szCs w:val="21"/>
            </w:rPr>
            <w:t>20</w:t>
          </w:r>
          <w:r>
            <w:rPr>
              <w:rFonts w:ascii="宋体" w:hAnsi="宋体" w:eastAsia="宋体" w:cs="宋体"/>
              <w:spacing w:val="-3"/>
              <w:sz w:val="21"/>
              <w:szCs w:val="21"/>
            </w:rPr>
            <w:fldChar w:fldCharType="end"/>
          </w:r>
        </w:p>
        <w:p w14:paraId="269F5305">
          <w:pPr>
            <w:tabs>
              <w:tab w:val="right" w:leader="dot" w:pos="8317"/>
            </w:tabs>
            <w:spacing w:before="22" w:line="221" w:lineRule="auto"/>
            <w:ind w:left="863"/>
            <w:rPr>
              <w:rFonts w:ascii="宋体" w:hAnsi="宋体" w:eastAsia="宋体" w:cs="宋体"/>
              <w:sz w:val="21"/>
              <w:szCs w:val="21"/>
            </w:rPr>
          </w:pPr>
          <w:r>
            <w:rPr>
              <w:rFonts w:ascii="宋体" w:hAnsi="宋体" w:eastAsia="宋体" w:cs="宋体"/>
              <w:spacing w:val="-6"/>
              <w:sz w:val="21"/>
              <w:szCs w:val="21"/>
            </w:rPr>
            <w:t>3.5 资格审查资料（适用于未进行资格预审的）</w:t>
          </w:r>
          <w:r>
            <w:rPr>
              <w:rFonts w:ascii="宋体" w:hAnsi="宋体" w:eastAsia="宋体" w:cs="宋体"/>
              <w:spacing w:val="65"/>
              <w:sz w:val="21"/>
              <w:szCs w:val="21"/>
            </w:rPr>
            <w:t xml:space="preserve"> </w:t>
          </w:r>
          <w:r>
            <w:rPr>
              <w:rFonts w:ascii="宋体" w:hAnsi="宋体" w:eastAsia="宋体" w:cs="宋体"/>
              <w:sz w:val="21"/>
              <w:szCs w:val="21"/>
            </w:rPr>
            <w:tab/>
          </w:r>
          <w:r>
            <w:rPr>
              <w:rFonts w:ascii="宋体" w:hAnsi="宋体" w:eastAsia="宋体" w:cs="宋体"/>
              <w:spacing w:val="-25"/>
              <w:sz w:val="21"/>
              <w:szCs w:val="21"/>
            </w:rPr>
            <w:t xml:space="preserve"> </w:t>
          </w:r>
          <w:r>
            <w:fldChar w:fldCharType="begin"/>
          </w:r>
          <w:r>
            <w:instrText xml:space="preserve"> HYPERLINK \l "bookmark49" </w:instrText>
          </w:r>
          <w:r>
            <w:fldChar w:fldCharType="separate"/>
          </w:r>
          <w:r>
            <w:rPr>
              <w:rFonts w:ascii="宋体" w:hAnsi="宋体" w:eastAsia="宋体" w:cs="宋体"/>
              <w:spacing w:val="-3"/>
              <w:sz w:val="21"/>
              <w:szCs w:val="21"/>
            </w:rPr>
            <w:t>20</w:t>
          </w:r>
          <w:r>
            <w:rPr>
              <w:rFonts w:ascii="宋体" w:hAnsi="宋体" w:eastAsia="宋体" w:cs="宋体"/>
              <w:spacing w:val="-3"/>
              <w:sz w:val="21"/>
              <w:szCs w:val="21"/>
            </w:rPr>
            <w:fldChar w:fldCharType="end"/>
          </w:r>
        </w:p>
        <w:p w14:paraId="085F84B3">
          <w:pPr>
            <w:tabs>
              <w:tab w:val="right" w:leader="dot" w:pos="8317"/>
            </w:tabs>
            <w:spacing w:before="18" w:line="221" w:lineRule="auto"/>
            <w:ind w:left="863"/>
            <w:rPr>
              <w:rFonts w:ascii="宋体" w:hAnsi="宋体" w:eastAsia="宋体" w:cs="宋体"/>
              <w:sz w:val="21"/>
              <w:szCs w:val="21"/>
            </w:rPr>
          </w:pPr>
          <w:r>
            <w:rPr>
              <w:rFonts w:ascii="宋体" w:hAnsi="宋体" w:eastAsia="宋体" w:cs="宋体"/>
              <w:spacing w:val="-1"/>
              <w:sz w:val="21"/>
              <w:szCs w:val="21"/>
            </w:rPr>
            <w:t>3.6 备选投标方案</w:t>
          </w:r>
          <w:r>
            <w:rPr>
              <w:rFonts w:ascii="宋体" w:hAnsi="宋体" w:eastAsia="宋体" w:cs="宋体"/>
              <w:spacing w:val="-80"/>
              <w:sz w:val="21"/>
              <w:szCs w:val="21"/>
            </w:rPr>
            <w:t xml:space="preserve"> </w:t>
          </w:r>
          <w:r>
            <w:rPr>
              <w:rFonts w:ascii="宋体" w:hAnsi="宋体" w:eastAsia="宋体" w:cs="宋体"/>
              <w:sz w:val="21"/>
              <w:szCs w:val="21"/>
            </w:rPr>
            <w:tab/>
          </w:r>
          <w:r>
            <w:rPr>
              <w:rFonts w:ascii="宋体" w:hAnsi="宋体" w:eastAsia="宋体" w:cs="宋体"/>
              <w:spacing w:val="-25"/>
              <w:sz w:val="21"/>
              <w:szCs w:val="21"/>
            </w:rPr>
            <w:t xml:space="preserve"> </w:t>
          </w:r>
          <w:r>
            <w:fldChar w:fldCharType="begin"/>
          </w:r>
          <w:r>
            <w:instrText xml:space="preserve"> HYPERLINK \l "bookmark50" </w:instrText>
          </w:r>
          <w:r>
            <w:fldChar w:fldCharType="separate"/>
          </w:r>
          <w:r>
            <w:rPr>
              <w:rFonts w:ascii="宋体" w:hAnsi="宋体" w:eastAsia="宋体" w:cs="宋体"/>
              <w:spacing w:val="-3"/>
              <w:sz w:val="21"/>
              <w:szCs w:val="21"/>
            </w:rPr>
            <w:t>21</w:t>
          </w:r>
          <w:r>
            <w:rPr>
              <w:rFonts w:ascii="宋体" w:hAnsi="宋体" w:eastAsia="宋体" w:cs="宋体"/>
              <w:spacing w:val="-3"/>
              <w:sz w:val="21"/>
              <w:szCs w:val="21"/>
            </w:rPr>
            <w:fldChar w:fldCharType="end"/>
          </w:r>
        </w:p>
        <w:p w14:paraId="0DA62C83">
          <w:pPr>
            <w:tabs>
              <w:tab w:val="right" w:leader="dot" w:pos="8317"/>
            </w:tabs>
            <w:spacing w:before="22" w:line="221" w:lineRule="auto"/>
            <w:ind w:left="863"/>
            <w:rPr>
              <w:rFonts w:ascii="宋体" w:hAnsi="宋体" w:eastAsia="宋体" w:cs="宋体"/>
              <w:sz w:val="21"/>
              <w:szCs w:val="21"/>
            </w:rPr>
          </w:pPr>
          <w:r>
            <w:rPr>
              <w:rFonts w:ascii="宋体" w:hAnsi="宋体" w:eastAsia="宋体" w:cs="宋体"/>
              <w:spacing w:val="-1"/>
              <w:sz w:val="21"/>
              <w:szCs w:val="21"/>
            </w:rPr>
            <w:t>3.7 投标文件的编制</w:t>
          </w:r>
          <w:r>
            <w:rPr>
              <w:rFonts w:ascii="宋体" w:hAnsi="宋体" w:eastAsia="宋体" w:cs="宋体"/>
              <w:spacing w:val="-77"/>
              <w:sz w:val="21"/>
              <w:szCs w:val="21"/>
            </w:rPr>
            <w:t xml:space="preserve"> </w:t>
          </w:r>
          <w:r>
            <w:rPr>
              <w:rFonts w:ascii="宋体" w:hAnsi="宋体" w:eastAsia="宋体" w:cs="宋体"/>
              <w:sz w:val="21"/>
              <w:szCs w:val="21"/>
            </w:rPr>
            <w:tab/>
          </w:r>
          <w:r>
            <w:rPr>
              <w:rFonts w:ascii="宋体" w:hAnsi="宋体" w:eastAsia="宋体" w:cs="宋体"/>
              <w:spacing w:val="-25"/>
              <w:sz w:val="21"/>
              <w:szCs w:val="21"/>
            </w:rPr>
            <w:t xml:space="preserve"> </w:t>
          </w:r>
          <w:r>
            <w:fldChar w:fldCharType="begin"/>
          </w:r>
          <w:r>
            <w:instrText xml:space="preserve"> HYPERLINK \l "bookmark51" </w:instrText>
          </w:r>
          <w:r>
            <w:fldChar w:fldCharType="separate"/>
          </w:r>
          <w:r>
            <w:rPr>
              <w:rFonts w:ascii="宋体" w:hAnsi="宋体" w:eastAsia="宋体" w:cs="宋体"/>
              <w:spacing w:val="-3"/>
              <w:sz w:val="21"/>
              <w:szCs w:val="21"/>
            </w:rPr>
            <w:t>21</w:t>
          </w:r>
          <w:r>
            <w:rPr>
              <w:rFonts w:ascii="宋体" w:hAnsi="宋体" w:eastAsia="宋体" w:cs="宋体"/>
              <w:spacing w:val="-3"/>
              <w:sz w:val="21"/>
              <w:szCs w:val="21"/>
            </w:rPr>
            <w:fldChar w:fldCharType="end"/>
          </w:r>
        </w:p>
        <w:p w14:paraId="23F403F1">
          <w:pPr>
            <w:tabs>
              <w:tab w:val="right" w:leader="dot" w:pos="8317"/>
            </w:tabs>
            <w:spacing w:before="23" w:line="221" w:lineRule="auto"/>
            <w:ind w:left="440"/>
            <w:rPr>
              <w:rFonts w:ascii="宋体" w:hAnsi="宋体" w:eastAsia="宋体" w:cs="宋体"/>
              <w:sz w:val="21"/>
              <w:szCs w:val="21"/>
            </w:rPr>
          </w:pPr>
          <w:r>
            <w:rPr>
              <w:rFonts w:ascii="宋体" w:hAnsi="宋体" w:eastAsia="宋体" w:cs="宋体"/>
              <w:spacing w:val="-4"/>
              <w:sz w:val="21"/>
              <w:szCs w:val="21"/>
            </w:rPr>
            <w:t>4.</w:t>
          </w:r>
          <w:r>
            <w:rPr>
              <w:rFonts w:ascii="宋体" w:hAnsi="宋体" w:eastAsia="宋体" w:cs="宋体"/>
              <w:spacing w:val="11"/>
              <w:sz w:val="21"/>
              <w:szCs w:val="21"/>
            </w:rPr>
            <w:t xml:space="preserve"> </w:t>
          </w:r>
          <w:r>
            <w:rPr>
              <w:rFonts w:ascii="宋体" w:hAnsi="宋体" w:eastAsia="宋体" w:cs="宋体"/>
              <w:spacing w:val="-4"/>
              <w:sz w:val="21"/>
              <w:szCs w:val="21"/>
            </w:rPr>
            <w:t>投标</w:t>
          </w:r>
          <w:r>
            <w:rPr>
              <w:rFonts w:ascii="宋体" w:hAnsi="宋体" w:eastAsia="宋体" w:cs="宋体"/>
              <w:spacing w:val="-91"/>
              <w:sz w:val="21"/>
              <w:szCs w:val="21"/>
            </w:rPr>
            <w:t xml:space="preserve"> </w:t>
          </w:r>
          <w:r>
            <w:rPr>
              <w:rFonts w:ascii="宋体" w:hAnsi="宋体" w:eastAsia="宋体" w:cs="宋体"/>
              <w:sz w:val="21"/>
              <w:szCs w:val="21"/>
            </w:rPr>
            <w:tab/>
          </w:r>
          <w:r>
            <w:rPr>
              <w:rFonts w:ascii="宋体" w:hAnsi="宋体" w:eastAsia="宋体" w:cs="宋体"/>
              <w:spacing w:val="-26"/>
              <w:sz w:val="21"/>
              <w:szCs w:val="21"/>
            </w:rPr>
            <w:t xml:space="preserve"> </w:t>
          </w:r>
          <w:r>
            <w:fldChar w:fldCharType="begin"/>
          </w:r>
          <w:r>
            <w:instrText xml:space="preserve"> HYPERLINK \l "bookmark52" </w:instrText>
          </w:r>
          <w:r>
            <w:fldChar w:fldCharType="separate"/>
          </w:r>
          <w:r>
            <w:rPr>
              <w:rFonts w:ascii="宋体" w:hAnsi="宋体" w:eastAsia="宋体" w:cs="宋体"/>
              <w:spacing w:val="-3"/>
              <w:sz w:val="21"/>
              <w:szCs w:val="21"/>
            </w:rPr>
            <w:t>22</w:t>
          </w:r>
          <w:r>
            <w:rPr>
              <w:rFonts w:ascii="宋体" w:hAnsi="宋体" w:eastAsia="宋体" w:cs="宋体"/>
              <w:spacing w:val="-3"/>
              <w:sz w:val="21"/>
              <w:szCs w:val="21"/>
            </w:rPr>
            <w:fldChar w:fldCharType="end"/>
          </w:r>
        </w:p>
        <w:p w14:paraId="4D844AAB">
          <w:pPr>
            <w:tabs>
              <w:tab w:val="right" w:leader="dot" w:pos="8317"/>
            </w:tabs>
            <w:spacing w:before="21" w:line="221" w:lineRule="auto"/>
            <w:ind w:left="857"/>
            <w:rPr>
              <w:rFonts w:ascii="宋体" w:hAnsi="宋体" w:eastAsia="宋体" w:cs="宋体"/>
              <w:sz w:val="21"/>
              <w:szCs w:val="21"/>
            </w:rPr>
          </w:pPr>
          <w:r>
            <w:rPr>
              <w:rFonts w:ascii="宋体" w:hAnsi="宋体" w:eastAsia="宋体" w:cs="宋体"/>
              <w:spacing w:val="-1"/>
              <w:sz w:val="21"/>
              <w:szCs w:val="21"/>
            </w:rPr>
            <w:t>4.1 投标文件的加密</w:t>
          </w:r>
          <w:r>
            <w:rPr>
              <w:rFonts w:ascii="宋体" w:hAnsi="宋体" w:eastAsia="宋体" w:cs="宋体"/>
              <w:spacing w:val="-72"/>
              <w:sz w:val="21"/>
              <w:szCs w:val="21"/>
            </w:rPr>
            <w:t xml:space="preserve"> </w:t>
          </w:r>
          <w:r>
            <w:rPr>
              <w:rFonts w:ascii="宋体" w:hAnsi="宋体" w:eastAsia="宋体" w:cs="宋体"/>
              <w:sz w:val="21"/>
              <w:szCs w:val="21"/>
            </w:rPr>
            <w:tab/>
          </w:r>
          <w:r>
            <w:rPr>
              <w:rFonts w:ascii="宋体" w:hAnsi="宋体" w:eastAsia="宋体" w:cs="宋体"/>
              <w:spacing w:val="-25"/>
              <w:sz w:val="21"/>
              <w:szCs w:val="21"/>
            </w:rPr>
            <w:t xml:space="preserve"> </w:t>
          </w:r>
          <w:r>
            <w:fldChar w:fldCharType="begin"/>
          </w:r>
          <w:r>
            <w:instrText xml:space="preserve"> HYPERLINK \l "bookmark53" </w:instrText>
          </w:r>
          <w:r>
            <w:fldChar w:fldCharType="separate"/>
          </w:r>
          <w:r>
            <w:rPr>
              <w:rFonts w:ascii="宋体" w:hAnsi="宋体" w:eastAsia="宋体" w:cs="宋体"/>
              <w:spacing w:val="-3"/>
              <w:sz w:val="21"/>
              <w:szCs w:val="21"/>
            </w:rPr>
            <w:t>22</w:t>
          </w:r>
          <w:r>
            <w:rPr>
              <w:rFonts w:ascii="宋体" w:hAnsi="宋体" w:eastAsia="宋体" w:cs="宋体"/>
              <w:spacing w:val="-3"/>
              <w:sz w:val="21"/>
              <w:szCs w:val="21"/>
            </w:rPr>
            <w:fldChar w:fldCharType="end"/>
          </w:r>
        </w:p>
        <w:p w14:paraId="7C688EBB">
          <w:pPr>
            <w:tabs>
              <w:tab w:val="right" w:leader="dot" w:pos="8317"/>
            </w:tabs>
            <w:spacing w:before="18" w:line="221" w:lineRule="auto"/>
            <w:ind w:left="857"/>
            <w:rPr>
              <w:rFonts w:ascii="宋体" w:hAnsi="宋体" w:eastAsia="宋体" w:cs="宋体"/>
              <w:sz w:val="21"/>
              <w:szCs w:val="21"/>
            </w:rPr>
          </w:pPr>
          <w:r>
            <w:rPr>
              <w:rFonts w:ascii="宋体" w:hAnsi="宋体" w:eastAsia="宋体" w:cs="宋体"/>
              <w:spacing w:val="-1"/>
              <w:sz w:val="21"/>
              <w:szCs w:val="21"/>
            </w:rPr>
            <w:t>4.2 投标文件的递交</w:t>
          </w:r>
          <w:r>
            <w:rPr>
              <w:rFonts w:ascii="宋体" w:hAnsi="宋体" w:eastAsia="宋体" w:cs="宋体"/>
              <w:spacing w:val="-72"/>
              <w:sz w:val="21"/>
              <w:szCs w:val="21"/>
            </w:rPr>
            <w:t xml:space="preserve"> </w:t>
          </w:r>
          <w:r>
            <w:rPr>
              <w:rFonts w:ascii="宋体" w:hAnsi="宋体" w:eastAsia="宋体" w:cs="宋体"/>
              <w:sz w:val="21"/>
              <w:szCs w:val="21"/>
            </w:rPr>
            <w:tab/>
          </w:r>
          <w:r>
            <w:rPr>
              <w:rFonts w:ascii="宋体" w:hAnsi="宋体" w:eastAsia="宋体" w:cs="宋体"/>
              <w:spacing w:val="-25"/>
              <w:sz w:val="21"/>
              <w:szCs w:val="21"/>
            </w:rPr>
            <w:t xml:space="preserve"> </w:t>
          </w:r>
          <w:r>
            <w:fldChar w:fldCharType="begin"/>
          </w:r>
          <w:r>
            <w:instrText xml:space="preserve"> HYPERLINK \l "bookmark54" </w:instrText>
          </w:r>
          <w:r>
            <w:fldChar w:fldCharType="separate"/>
          </w:r>
          <w:r>
            <w:rPr>
              <w:rFonts w:ascii="宋体" w:hAnsi="宋体" w:eastAsia="宋体" w:cs="宋体"/>
              <w:spacing w:val="-3"/>
              <w:sz w:val="21"/>
              <w:szCs w:val="21"/>
            </w:rPr>
            <w:t>22</w:t>
          </w:r>
          <w:r>
            <w:rPr>
              <w:rFonts w:ascii="宋体" w:hAnsi="宋体" w:eastAsia="宋体" w:cs="宋体"/>
              <w:spacing w:val="-3"/>
              <w:sz w:val="21"/>
              <w:szCs w:val="21"/>
            </w:rPr>
            <w:fldChar w:fldCharType="end"/>
          </w:r>
        </w:p>
        <w:p w14:paraId="425E467D">
          <w:pPr>
            <w:tabs>
              <w:tab w:val="right" w:leader="dot" w:pos="8317"/>
            </w:tabs>
            <w:spacing w:before="22" w:line="221" w:lineRule="auto"/>
            <w:ind w:left="857"/>
            <w:rPr>
              <w:rFonts w:ascii="宋体" w:hAnsi="宋体" w:eastAsia="宋体" w:cs="宋体"/>
              <w:sz w:val="21"/>
              <w:szCs w:val="21"/>
            </w:rPr>
          </w:pPr>
          <w:r>
            <w:rPr>
              <w:rFonts w:ascii="宋体" w:hAnsi="宋体" w:eastAsia="宋体" w:cs="宋体"/>
              <w:spacing w:val="-1"/>
              <w:sz w:val="21"/>
              <w:szCs w:val="21"/>
            </w:rPr>
            <w:t>4.3 投标文件的修改与撤回</w:t>
          </w:r>
          <w:r>
            <w:rPr>
              <w:rFonts w:ascii="宋体" w:hAnsi="宋体" w:eastAsia="宋体" w:cs="宋体"/>
              <w:spacing w:val="-66"/>
              <w:sz w:val="21"/>
              <w:szCs w:val="21"/>
            </w:rPr>
            <w:t xml:space="preserve"> </w:t>
          </w:r>
          <w:r>
            <w:rPr>
              <w:rFonts w:ascii="宋体" w:hAnsi="宋体" w:eastAsia="宋体" w:cs="宋体"/>
              <w:sz w:val="21"/>
              <w:szCs w:val="21"/>
            </w:rPr>
            <w:tab/>
          </w:r>
          <w:r>
            <w:rPr>
              <w:rFonts w:ascii="宋体" w:hAnsi="宋体" w:eastAsia="宋体" w:cs="宋体"/>
              <w:spacing w:val="-26"/>
              <w:sz w:val="21"/>
              <w:szCs w:val="21"/>
            </w:rPr>
            <w:t xml:space="preserve"> </w:t>
          </w:r>
          <w:r>
            <w:fldChar w:fldCharType="begin"/>
          </w:r>
          <w:r>
            <w:instrText xml:space="preserve"> HYPERLINK \l "bookmark55" </w:instrText>
          </w:r>
          <w:r>
            <w:fldChar w:fldCharType="separate"/>
          </w:r>
          <w:r>
            <w:rPr>
              <w:rFonts w:ascii="宋体" w:hAnsi="宋体" w:eastAsia="宋体" w:cs="宋体"/>
              <w:spacing w:val="-3"/>
              <w:sz w:val="21"/>
              <w:szCs w:val="21"/>
            </w:rPr>
            <w:t>23</w:t>
          </w:r>
          <w:r>
            <w:rPr>
              <w:rFonts w:ascii="宋体" w:hAnsi="宋体" w:eastAsia="宋体" w:cs="宋体"/>
              <w:spacing w:val="-3"/>
              <w:sz w:val="21"/>
              <w:szCs w:val="21"/>
            </w:rPr>
            <w:fldChar w:fldCharType="end"/>
          </w:r>
        </w:p>
        <w:p w14:paraId="2E254CAE">
          <w:pPr>
            <w:tabs>
              <w:tab w:val="right" w:leader="dot" w:pos="8317"/>
            </w:tabs>
            <w:spacing w:before="23" w:line="221" w:lineRule="auto"/>
            <w:ind w:left="445"/>
            <w:rPr>
              <w:rFonts w:ascii="宋体" w:hAnsi="宋体" w:eastAsia="宋体" w:cs="宋体"/>
              <w:sz w:val="21"/>
              <w:szCs w:val="21"/>
            </w:rPr>
          </w:pPr>
          <w:r>
            <w:rPr>
              <w:rFonts w:ascii="宋体" w:hAnsi="宋体" w:eastAsia="宋体" w:cs="宋体"/>
              <w:spacing w:val="-5"/>
              <w:sz w:val="21"/>
              <w:szCs w:val="21"/>
            </w:rPr>
            <w:t>5.</w:t>
          </w:r>
          <w:r>
            <w:rPr>
              <w:rFonts w:ascii="宋体" w:hAnsi="宋体" w:eastAsia="宋体" w:cs="宋体"/>
              <w:spacing w:val="10"/>
              <w:sz w:val="21"/>
              <w:szCs w:val="21"/>
            </w:rPr>
            <w:t xml:space="preserve"> </w:t>
          </w:r>
          <w:r>
            <w:rPr>
              <w:rFonts w:ascii="宋体" w:hAnsi="宋体" w:eastAsia="宋体" w:cs="宋体"/>
              <w:spacing w:val="-5"/>
              <w:sz w:val="21"/>
              <w:szCs w:val="21"/>
            </w:rPr>
            <w:t>开标</w:t>
          </w:r>
          <w:r>
            <w:rPr>
              <w:rFonts w:ascii="宋体" w:hAnsi="宋体" w:eastAsia="宋体" w:cs="宋体"/>
              <w:spacing w:val="-91"/>
              <w:sz w:val="21"/>
              <w:szCs w:val="21"/>
            </w:rPr>
            <w:t xml:space="preserve"> </w:t>
          </w:r>
          <w:r>
            <w:rPr>
              <w:rFonts w:ascii="宋体" w:hAnsi="宋体" w:eastAsia="宋体" w:cs="宋体"/>
              <w:sz w:val="21"/>
              <w:szCs w:val="21"/>
            </w:rPr>
            <w:tab/>
          </w:r>
          <w:r>
            <w:rPr>
              <w:rFonts w:ascii="宋体" w:hAnsi="宋体" w:eastAsia="宋体" w:cs="宋体"/>
              <w:spacing w:val="-26"/>
              <w:sz w:val="21"/>
              <w:szCs w:val="21"/>
            </w:rPr>
            <w:t xml:space="preserve"> </w:t>
          </w:r>
          <w:r>
            <w:fldChar w:fldCharType="begin"/>
          </w:r>
          <w:r>
            <w:instrText xml:space="preserve"> HYPERLINK \l "bookmark56" </w:instrText>
          </w:r>
          <w:r>
            <w:fldChar w:fldCharType="separate"/>
          </w:r>
          <w:r>
            <w:rPr>
              <w:rFonts w:ascii="宋体" w:hAnsi="宋体" w:eastAsia="宋体" w:cs="宋体"/>
              <w:spacing w:val="-3"/>
              <w:sz w:val="21"/>
              <w:szCs w:val="21"/>
            </w:rPr>
            <w:t>23</w:t>
          </w:r>
          <w:r>
            <w:rPr>
              <w:rFonts w:ascii="宋体" w:hAnsi="宋体" w:eastAsia="宋体" w:cs="宋体"/>
              <w:spacing w:val="-3"/>
              <w:sz w:val="21"/>
              <w:szCs w:val="21"/>
            </w:rPr>
            <w:fldChar w:fldCharType="end"/>
          </w:r>
        </w:p>
        <w:p w14:paraId="50533F5B">
          <w:pPr>
            <w:tabs>
              <w:tab w:val="right" w:leader="dot" w:pos="8317"/>
            </w:tabs>
            <w:spacing w:before="22" w:line="221" w:lineRule="auto"/>
            <w:ind w:left="863"/>
            <w:rPr>
              <w:rFonts w:ascii="宋体" w:hAnsi="宋体" w:eastAsia="宋体" w:cs="宋体"/>
              <w:sz w:val="21"/>
              <w:szCs w:val="21"/>
            </w:rPr>
          </w:pPr>
          <w:r>
            <w:rPr>
              <w:rFonts w:ascii="宋体" w:hAnsi="宋体" w:eastAsia="宋体" w:cs="宋体"/>
              <w:spacing w:val="-1"/>
              <w:sz w:val="21"/>
              <w:szCs w:val="21"/>
            </w:rPr>
            <w:t>5.1 开标时间和地点</w:t>
          </w:r>
          <w:r>
            <w:rPr>
              <w:rFonts w:ascii="宋体" w:hAnsi="宋体" w:eastAsia="宋体" w:cs="宋体"/>
              <w:spacing w:val="-77"/>
              <w:sz w:val="21"/>
              <w:szCs w:val="21"/>
            </w:rPr>
            <w:t xml:space="preserve"> </w:t>
          </w:r>
          <w:r>
            <w:rPr>
              <w:rFonts w:ascii="宋体" w:hAnsi="宋体" w:eastAsia="宋体" w:cs="宋体"/>
              <w:sz w:val="21"/>
              <w:szCs w:val="21"/>
            </w:rPr>
            <w:tab/>
          </w:r>
          <w:r>
            <w:rPr>
              <w:rFonts w:ascii="宋体" w:hAnsi="宋体" w:eastAsia="宋体" w:cs="宋体"/>
              <w:spacing w:val="-25"/>
              <w:sz w:val="21"/>
              <w:szCs w:val="21"/>
            </w:rPr>
            <w:t xml:space="preserve"> </w:t>
          </w:r>
          <w:r>
            <w:fldChar w:fldCharType="begin"/>
          </w:r>
          <w:r>
            <w:instrText xml:space="preserve"> HYPERLINK \l "bookmark57" </w:instrText>
          </w:r>
          <w:r>
            <w:fldChar w:fldCharType="separate"/>
          </w:r>
          <w:r>
            <w:rPr>
              <w:rFonts w:ascii="宋体" w:hAnsi="宋体" w:eastAsia="宋体" w:cs="宋体"/>
              <w:spacing w:val="-3"/>
              <w:sz w:val="21"/>
              <w:szCs w:val="21"/>
            </w:rPr>
            <w:t>23</w:t>
          </w:r>
          <w:r>
            <w:rPr>
              <w:rFonts w:ascii="宋体" w:hAnsi="宋体" w:eastAsia="宋体" w:cs="宋体"/>
              <w:spacing w:val="-3"/>
              <w:sz w:val="21"/>
              <w:szCs w:val="21"/>
            </w:rPr>
            <w:fldChar w:fldCharType="end"/>
          </w:r>
        </w:p>
        <w:p w14:paraId="27C90437">
          <w:pPr>
            <w:tabs>
              <w:tab w:val="right" w:leader="dot" w:pos="8317"/>
            </w:tabs>
            <w:spacing w:before="18" w:line="221" w:lineRule="auto"/>
            <w:ind w:left="863"/>
            <w:rPr>
              <w:rFonts w:ascii="宋体" w:hAnsi="宋体" w:eastAsia="宋体" w:cs="宋体"/>
              <w:sz w:val="21"/>
              <w:szCs w:val="21"/>
            </w:rPr>
          </w:pPr>
          <w:r>
            <w:rPr>
              <w:rFonts w:ascii="宋体" w:hAnsi="宋体" w:eastAsia="宋体" w:cs="宋体"/>
              <w:spacing w:val="-3"/>
              <w:sz w:val="21"/>
              <w:szCs w:val="21"/>
            </w:rPr>
            <w:t>5.2</w:t>
          </w:r>
          <w:r>
            <w:rPr>
              <w:rFonts w:ascii="宋体" w:hAnsi="宋体" w:eastAsia="宋体" w:cs="宋体"/>
              <w:spacing w:val="10"/>
              <w:sz w:val="21"/>
              <w:szCs w:val="21"/>
            </w:rPr>
            <w:t xml:space="preserve"> </w:t>
          </w:r>
          <w:r>
            <w:rPr>
              <w:rFonts w:ascii="宋体" w:hAnsi="宋体" w:eastAsia="宋体" w:cs="宋体"/>
              <w:spacing w:val="-3"/>
              <w:sz w:val="21"/>
              <w:szCs w:val="21"/>
            </w:rPr>
            <w:t>开标程序</w:t>
          </w:r>
          <w:r>
            <w:rPr>
              <w:rFonts w:ascii="宋体" w:hAnsi="宋体" w:eastAsia="宋体" w:cs="宋体"/>
              <w:spacing w:val="-82"/>
              <w:sz w:val="21"/>
              <w:szCs w:val="21"/>
            </w:rPr>
            <w:t xml:space="preserve"> </w:t>
          </w:r>
          <w:r>
            <w:rPr>
              <w:rFonts w:ascii="宋体" w:hAnsi="宋体" w:eastAsia="宋体" w:cs="宋体"/>
              <w:sz w:val="21"/>
              <w:szCs w:val="21"/>
            </w:rPr>
            <w:tab/>
          </w:r>
          <w:r>
            <w:rPr>
              <w:rFonts w:ascii="宋体" w:hAnsi="宋体" w:eastAsia="宋体" w:cs="宋体"/>
              <w:spacing w:val="-25"/>
              <w:sz w:val="21"/>
              <w:szCs w:val="21"/>
            </w:rPr>
            <w:t xml:space="preserve"> </w:t>
          </w:r>
          <w:r>
            <w:fldChar w:fldCharType="begin"/>
          </w:r>
          <w:r>
            <w:instrText xml:space="preserve"> HYPERLINK \l "bookmark58" </w:instrText>
          </w:r>
          <w:r>
            <w:fldChar w:fldCharType="separate"/>
          </w:r>
          <w:r>
            <w:rPr>
              <w:rFonts w:ascii="宋体" w:hAnsi="宋体" w:eastAsia="宋体" w:cs="宋体"/>
              <w:spacing w:val="-3"/>
              <w:sz w:val="21"/>
              <w:szCs w:val="21"/>
            </w:rPr>
            <w:t>23</w:t>
          </w:r>
          <w:r>
            <w:rPr>
              <w:rFonts w:ascii="宋体" w:hAnsi="宋体" w:eastAsia="宋体" w:cs="宋体"/>
              <w:spacing w:val="-3"/>
              <w:sz w:val="21"/>
              <w:szCs w:val="21"/>
            </w:rPr>
            <w:fldChar w:fldCharType="end"/>
          </w:r>
        </w:p>
        <w:p w14:paraId="496D54F0">
          <w:pPr>
            <w:tabs>
              <w:tab w:val="right" w:leader="dot" w:pos="8317"/>
            </w:tabs>
            <w:spacing w:before="21" w:line="221" w:lineRule="auto"/>
            <w:ind w:left="863"/>
            <w:rPr>
              <w:rFonts w:ascii="宋体" w:hAnsi="宋体" w:eastAsia="宋体" w:cs="宋体"/>
              <w:sz w:val="21"/>
              <w:szCs w:val="21"/>
            </w:rPr>
          </w:pPr>
          <w:r>
            <w:rPr>
              <w:rFonts w:ascii="宋体" w:hAnsi="宋体" w:eastAsia="宋体" w:cs="宋体"/>
              <w:spacing w:val="-3"/>
              <w:sz w:val="21"/>
              <w:szCs w:val="21"/>
            </w:rPr>
            <w:t>5.3</w:t>
          </w:r>
          <w:r>
            <w:rPr>
              <w:rFonts w:ascii="宋体" w:hAnsi="宋体" w:eastAsia="宋体" w:cs="宋体"/>
              <w:spacing w:val="10"/>
              <w:sz w:val="21"/>
              <w:szCs w:val="21"/>
            </w:rPr>
            <w:t xml:space="preserve"> </w:t>
          </w:r>
          <w:r>
            <w:rPr>
              <w:rFonts w:ascii="宋体" w:hAnsi="宋体" w:eastAsia="宋体" w:cs="宋体"/>
              <w:spacing w:val="-3"/>
              <w:sz w:val="21"/>
              <w:szCs w:val="21"/>
            </w:rPr>
            <w:t>开标异议</w:t>
          </w:r>
          <w:r>
            <w:rPr>
              <w:rFonts w:ascii="宋体" w:hAnsi="宋体" w:eastAsia="宋体" w:cs="宋体"/>
              <w:spacing w:val="-82"/>
              <w:sz w:val="21"/>
              <w:szCs w:val="21"/>
            </w:rPr>
            <w:t xml:space="preserve"> </w:t>
          </w:r>
          <w:r>
            <w:rPr>
              <w:rFonts w:ascii="宋体" w:hAnsi="宋体" w:eastAsia="宋体" w:cs="宋体"/>
              <w:sz w:val="21"/>
              <w:szCs w:val="21"/>
            </w:rPr>
            <w:tab/>
          </w:r>
          <w:r>
            <w:rPr>
              <w:rFonts w:ascii="宋体" w:hAnsi="宋体" w:eastAsia="宋体" w:cs="宋体"/>
              <w:spacing w:val="-25"/>
              <w:sz w:val="21"/>
              <w:szCs w:val="21"/>
            </w:rPr>
            <w:t xml:space="preserve"> </w:t>
          </w:r>
          <w:r>
            <w:fldChar w:fldCharType="begin"/>
          </w:r>
          <w:r>
            <w:instrText xml:space="preserve"> HYPERLINK \l "bookmark59" </w:instrText>
          </w:r>
          <w:r>
            <w:fldChar w:fldCharType="separate"/>
          </w:r>
          <w:r>
            <w:rPr>
              <w:rFonts w:ascii="宋体" w:hAnsi="宋体" w:eastAsia="宋体" w:cs="宋体"/>
              <w:spacing w:val="-3"/>
              <w:sz w:val="21"/>
              <w:szCs w:val="21"/>
            </w:rPr>
            <w:t>24</w:t>
          </w:r>
          <w:r>
            <w:rPr>
              <w:rFonts w:ascii="宋体" w:hAnsi="宋体" w:eastAsia="宋体" w:cs="宋体"/>
              <w:spacing w:val="-3"/>
              <w:sz w:val="21"/>
              <w:szCs w:val="21"/>
            </w:rPr>
            <w:fldChar w:fldCharType="end"/>
          </w:r>
        </w:p>
        <w:p w14:paraId="1E05757F">
          <w:pPr>
            <w:tabs>
              <w:tab w:val="right" w:leader="dot" w:pos="8317"/>
            </w:tabs>
            <w:spacing w:before="23" w:line="221" w:lineRule="auto"/>
            <w:ind w:left="863"/>
            <w:rPr>
              <w:rFonts w:ascii="宋体" w:hAnsi="宋体" w:eastAsia="宋体" w:cs="宋体"/>
              <w:sz w:val="21"/>
              <w:szCs w:val="21"/>
            </w:rPr>
          </w:pPr>
          <w:r>
            <w:rPr>
              <w:rFonts w:ascii="宋体" w:hAnsi="宋体" w:eastAsia="宋体" w:cs="宋体"/>
              <w:spacing w:val="-1"/>
              <w:sz w:val="21"/>
              <w:szCs w:val="21"/>
            </w:rPr>
            <w:t>5.4 特殊情况的处置</w:t>
          </w:r>
          <w:r>
            <w:rPr>
              <w:rFonts w:ascii="宋体" w:hAnsi="宋体" w:eastAsia="宋体" w:cs="宋体"/>
              <w:spacing w:val="-77"/>
              <w:sz w:val="21"/>
              <w:szCs w:val="21"/>
            </w:rPr>
            <w:t xml:space="preserve"> </w:t>
          </w:r>
          <w:r>
            <w:rPr>
              <w:rFonts w:ascii="宋体" w:hAnsi="宋体" w:eastAsia="宋体" w:cs="宋体"/>
              <w:sz w:val="21"/>
              <w:szCs w:val="21"/>
            </w:rPr>
            <w:tab/>
          </w:r>
          <w:r>
            <w:rPr>
              <w:rFonts w:ascii="宋体" w:hAnsi="宋体" w:eastAsia="宋体" w:cs="宋体"/>
              <w:spacing w:val="-25"/>
              <w:sz w:val="21"/>
              <w:szCs w:val="21"/>
            </w:rPr>
            <w:t xml:space="preserve"> </w:t>
          </w:r>
          <w:r>
            <w:fldChar w:fldCharType="begin"/>
          </w:r>
          <w:r>
            <w:instrText xml:space="preserve"> HYPERLINK \l "bookmark60" </w:instrText>
          </w:r>
          <w:r>
            <w:fldChar w:fldCharType="separate"/>
          </w:r>
          <w:r>
            <w:rPr>
              <w:rFonts w:ascii="宋体" w:hAnsi="宋体" w:eastAsia="宋体" w:cs="宋体"/>
              <w:spacing w:val="-3"/>
              <w:sz w:val="21"/>
              <w:szCs w:val="21"/>
            </w:rPr>
            <w:t>24</w:t>
          </w:r>
          <w:r>
            <w:rPr>
              <w:rFonts w:ascii="宋体" w:hAnsi="宋体" w:eastAsia="宋体" w:cs="宋体"/>
              <w:spacing w:val="-3"/>
              <w:sz w:val="21"/>
              <w:szCs w:val="21"/>
            </w:rPr>
            <w:fldChar w:fldCharType="end"/>
          </w:r>
        </w:p>
        <w:p w14:paraId="3BD7B185">
          <w:pPr>
            <w:tabs>
              <w:tab w:val="right" w:leader="dot" w:pos="8317"/>
            </w:tabs>
            <w:spacing w:before="23" w:line="221" w:lineRule="auto"/>
            <w:ind w:left="442"/>
            <w:rPr>
              <w:rFonts w:ascii="宋体" w:hAnsi="宋体" w:eastAsia="宋体" w:cs="宋体"/>
              <w:sz w:val="21"/>
              <w:szCs w:val="21"/>
            </w:rPr>
          </w:pPr>
          <w:r>
            <w:rPr>
              <w:rFonts w:ascii="宋体" w:hAnsi="宋体" w:eastAsia="宋体" w:cs="宋体"/>
              <w:spacing w:val="-4"/>
              <w:sz w:val="21"/>
              <w:szCs w:val="21"/>
            </w:rPr>
            <w:t>6.</w:t>
          </w:r>
          <w:r>
            <w:rPr>
              <w:rFonts w:ascii="宋体" w:hAnsi="宋体" w:eastAsia="宋体" w:cs="宋体"/>
              <w:spacing w:val="9"/>
              <w:sz w:val="21"/>
              <w:szCs w:val="21"/>
            </w:rPr>
            <w:t xml:space="preserve"> </w:t>
          </w:r>
          <w:r>
            <w:rPr>
              <w:rFonts w:ascii="宋体" w:hAnsi="宋体" w:eastAsia="宋体" w:cs="宋体"/>
              <w:spacing w:val="-4"/>
              <w:sz w:val="21"/>
              <w:szCs w:val="21"/>
            </w:rPr>
            <w:t>评标</w:t>
          </w:r>
          <w:r>
            <w:rPr>
              <w:rFonts w:ascii="宋体" w:hAnsi="宋体" w:eastAsia="宋体" w:cs="宋体"/>
              <w:spacing w:val="-91"/>
              <w:sz w:val="21"/>
              <w:szCs w:val="21"/>
            </w:rPr>
            <w:t xml:space="preserve"> </w:t>
          </w:r>
          <w:r>
            <w:rPr>
              <w:rFonts w:ascii="宋体" w:hAnsi="宋体" w:eastAsia="宋体" w:cs="宋体"/>
              <w:sz w:val="21"/>
              <w:szCs w:val="21"/>
            </w:rPr>
            <w:tab/>
          </w:r>
          <w:r>
            <w:rPr>
              <w:rFonts w:ascii="宋体" w:hAnsi="宋体" w:eastAsia="宋体" w:cs="宋体"/>
              <w:spacing w:val="-26"/>
              <w:sz w:val="21"/>
              <w:szCs w:val="21"/>
            </w:rPr>
            <w:t xml:space="preserve"> </w:t>
          </w:r>
          <w:r>
            <w:fldChar w:fldCharType="begin"/>
          </w:r>
          <w:r>
            <w:instrText xml:space="preserve"> HYPERLINK \l "bookmark61" </w:instrText>
          </w:r>
          <w:r>
            <w:fldChar w:fldCharType="separate"/>
          </w:r>
          <w:r>
            <w:rPr>
              <w:rFonts w:ascii="宋体" w:hAnsi="宋体" w:eastAsia="宋体" w:cs="宋体"/>
              <w:spacing w:val="-3"/>
              <w:sz w:val="21"/>
              <w:szCs w:val="21"/>
            </w:rPr>
            <w:t>25</w:t>
          </w:r>
          <w:r>
            <w:rPr>
              <w:rFonts w:ascii="宋体" w:hAnsi="宋体" w:eastAsia="宋体" w:cs="宋体"/>
              <w:spacing w:val="-3"/>
              <w:sz w:val="21"/>
              <w:szCs w:val="21"/>
            </w:rPr>
            <w:fldChar w:fldCharType="end"/>
          </w:r>
        </w:p>
        <w:p w14:paraId="0A8F8768">
          <w:pPr>
            <w:tabs>
              <w:tab w:val="right" w:leader="dot" w:pos="8317"/>
            </w:tabs>
            <w:spacing w:before="17" w:line="220" w:lineRule="auto"/>
            <w:ind w:left="860"/>
            <w:rPr>
              <w:rFonts w:ascii="宋体" w:hAnsi="宋体" w:eastAsia="宋体" w:cs="宋体"/>
              <w:sz w:val="21"/>
              <w:szCs w:val="21"/>
            </w:rPr>
          </w:pPr>
          <w:r>
            <w:rPr>
              <w:rFonts w:ascii="宋体" w:hAnsi="宋体" w:eastAsia="宋体" w:cs="宋体"/>
              <w:spacing w:val="-1"/>
              <w:sz w:val="21"/>
              <w:szCs w:val="21"/>
            </w:rPr>
            <w:t>6.1 评标委员会</w:t>
          </w:r>
          <w:r>
            <w:rPr>
              <w:rFonts w:ascii="宋体" w:hAnsi="宋体" w:eastAsia="宋体" w:cs="宋体"/>
              <w:spacing w:val="-80"/>
              <w:sz w:val="21"/>
              <w:szCs w:val="21"/>
            </w:rPr>
            <w:t xml:space="preserve"> </w:t>
          </w:r>
          <w:r>
            <w:rPr>
              <w:rFonts w:ascii="宋体" w:hAnsi="宋体" w:eastAsia="宋体" w:cs="宋体"/>
              <w:sz w:val="21"/>
              <w:szCs w:val="21"/>
            </w:rPr>
            <w:tab/>
          </w:r>
          <w:r>
            <w:rPr>
              <w:rFonts w:ascii="宋体" w:hAnsi="宋体" w:eastAsia="宋体" w:cs="宋体"/>
              <w:spacing w:val="-25"/>
              <w:sz w:val="21"/>
              <w:szCs w:val="21"/>
            </w:rPr>
            <w:t xml:space="preserve"> </w:t>
          </w:r>
          <w:r>
            <w:fldChar w:fldCharType="begin"/>
          </w:r>
          <w:r>
            <w:instrText xml:space="preserve"> HYPERLINK \l "bookmark62" </w:instrText>
          </w:r>
          <w:r>
            <w:fldChar w:fldCharType="separate"/>
          </w:r>
          <w:r>
            <w:rPr>
              <w:rFonts w:ascii="宋体" w:hAnsi="宋体" w:eastAsia="宋体" w:cs="宋体"/>
              <w:spacing w:val="-3"/>
              <w:sz w:val="21"/>
              <w:szCs w:val="21"/>
            </w:rPr>
            <w:t>25</w:t>
          </w:r>
          <w:r>
            <w:rPr>
              <w:rFonts w:ascii="宋体" w:hAnsi="宋体" w:eastAsia="宋体" w:cs="宋体"/>
              <w:spacing w:val="-3"/>
              <w:sz w:val="21"/>
              <w:szCs w:val="21"/>
            </w:rPr>
            <w:fldChar w:fldCharType="end"/>
          </w:r>
        </w:p>
        <w:p w14:paraId="49975818">
          <w:pPr>
            <w:tabs>
              <w:tab w:val="right" w:leader="dot" w:pos="8317"/>
            </w:tabs>
            <w:spacing w:before="24" w:line="221" w:lineRule="auto"/>
            <w:ind w:left="860"/>
            <w:rPr>
              <w:rFonts w:ascii="宋体" w:hAnsi="宋体" w:eastAsia="宋体" w:cs="宋体"/>
              <w:sz w:val="21"/>
              <w:szCs w:val="21"/>
            </w:rPr>
          </w:pPr>
          <w:r>
            <w:rPr>
              <w:rFonts w:ascii="宋体" w:hAnsi="宋体" w:eastAsia="宋体" w:cs="宋体"/>
              <w:spacing w:val="-1"/>
              <w:sz w:val="21"/>
              <w:szCs w:val="21"/>
            </w:rPr>
            <w:t>6.2 评标原则</w:t>
          </w:r>
          <w:r>
            <w:rPr>
              <w:rFonts w:ascii="宋体" w:hAnsi="宋体" w:eastAsia="宋体" w:cs="宋体"/>
              <w:spacing w:val="-82"/>
              <w:sz w:val="21"/>
              <w:szCs w:val="21"/>
            </w:rPr>
            <w:t xml:space="preserve"> </w:t>
          </w:r>
          <w:r>
            <w:rPr>
              <w:rFonts w:ascii="宋体" w:hAnsi="宋体" w:eastAsia="宋体" w:cs="宋体"/>
              <w:sz w:val="21"/>
              <w:szCs w:val="21"/>
            </w:rPr>
            <w:tab/>
          </w:r>
          <w:r>
            <w:rPr>
              <w:rFonts w:ascii="宋体" w:hAnsi="宋体" w:eastAsia="宋体" w:cs="宋体"/>
              <w:spacing w:val="-25"/>
              <w:sz w:val="21"/>
              <w:szCs w:val="21"/>
            </w:rPr>
            <w:t xml:space="preserve"> </w:t>
          </w:r>
          <w:r>
            <w:fldChar w:fldCharType="begin"/>
          </w:r>
          <w:r>
            <w:instrText xml:space="preserve"> HYPERLINK \l "bookmark63" </w:instrText>
          </w:r>
          <w:r>
            <w:fldChar w:fldCharType="separate"/>
          </w:r>
          <w:r>
            <w:rPr>
              <w:rFonts w:ascii="宋体" w:hAnsi="宋体" w:eastAsia="宋体" w:cs="宋体"/>
              <w:spacing w:val="-3"/>
              <w:sz w:val="21"/>
              <w:szCs w:val="21"/>
            </w:rPr>
            <w:t>25</w:t>
          </w:r>
          <w:r>
            <w:rPr>
              <w:rFonts w:ascii="宋体" w:hAnsi="宋体" w:eastAsia="宋体" w:cs="宋体"/>
              <w:spacing w:val="-3"/>
              <w:sz w:val="21"/>
              <w:szCs w:val="21"/>
            </w:rPr>
            <w:fldChar w:fldCharType="end"/>
          </w:r>
        </w:p>
        <w:p w14:paraId="5994E438">
          <w:pPr>
            <w:tabs>
              <w:tab w:val="right" w:leader="dot" w:pos="8317"/>
            </w:tabs>
            <w:spacing w:before="22" w:line="221" w:lineRule="auto"/>
            <w:ind w:left="860"/>
            <w:rPr>
              <w:rFonts w:ascii="宋体" w:hAnsi="宋体" w:eastAsia="宋体" w:cs="宋体"/>
              <w:sz w:val="21"/>
              <w:szCs w:val="21"/>
            </w:rPr>
          </w:pPr>
          <w:r>
            <w:rPr>
              <w:rFonts w:ascii="宋体" w:hAnsi="宋体" w:eastAsia="宋体" w:cs="宋体"/>
              <w:spacing w:val="-3"/>
              <w:sz w:val="21"/>
              <w:szCs w:val="21"/>
            </w:rPr>
            <w:t>6.3</w:t>
          </w:r>
          <w:r>
            <w:rPr>
              <w:rFonts w:ascii="宋体" w:hAnsi="宋体" w:eastAsia="宋体" w:cs="宋体"/>
              <w:spacing w:val="9"/>
              <w:sz w:val="21"/>
              <w:szCs w:val="21"/>
            </w:rPr>
            <w:t xml:space="preserve"> </w:t>
          </w:r>
          <w:r>
            <w:rPr>
              <w:rFonts w:ascii="宋体" w:hAnsi="宋体" w:eastAsia="宋体" w:cs="宋体"/>
              <w:spacing w:val="-3"/>
              <w:sz w:val="21"/>
              <w:szCs w:val="21"/>
            </w:rPr>
            <w:t>评标</w:t>
          </w:r>
          <w:r>
            <w:rPr>
              <w:rFonts w:ascii="宋体" w:hAnsi="宋体" w:eastAsia="宋体" w:cs="宋体"/>
              <w:spacing w:val="-86"/>
              <w:sz w:val="21"/>
              <w:szCs w:val="21"/>
            </w:rPr>
            <w:t xml:space="preserve"> </w:t>
          </w:r>
          <w:r>
            <w:rPr>
              <w:rFonts w:ascii="宋体" w:hAnsi="宋体" w:eastAsia="宋体" w:cs="宋体"/>
              <w:sz w:val="21"/>
              <w:szCs w:val="21"/>
            </w:rPr>
            <w:tab/>
          </w:r>
          <w:r>
            <w:rPr>
              <w:rFonts w:ascii="宋体" w:hAnsi="宋体" w:eastAsia="宋体" w:cs="宋体"/>
              <w:spacing w:val="-25"/>
              <w:sz w:val="21"/>
              <w:szCs w:val="21"/>
            </w:rPr>
            <w:t xml:space="preserve"> </w:t>
          </w:r>
          <w:r>
            <w:fldChar w:fldCharType="begin"/>
          </w:r>
          <w:r>
            <w:instrText xml:space="preserve"> HYPERLINK \l "bookmark64" </w:instrText>
          </w:r>
          <w:r>
            <w:fldChar w:fldCharType="separate"/>
          </w:r>
          <w:r>
            <w:rPr>
              <w:rFonts w:ascii="宋体" w:hAnsi="宋体" w:eastAsia="宋体" w:cs="宋体"/>
              <w:spacing w:val="-3"/>
              <w:sz w:val="21"/>
              <w:szCs w:val="21"/>
            </w:rPr>
            <w:t>25</w:t>
          </w:r>
          <w:r>
            <w:rPr>
              <w:rFonts w:ascii="宋体" w:hAnsi="宋体" w:eastAsia="宋体" w:cs="宋体"/>
              <w:spacing w:val="-3"/>
              <w:sz w:val="21"/>
              <w:szCs w:val="21"/>
            </w:rPr>
            <w:fldChar w:fldCharType="end"/>
          </w:r>
        </w:p>
        <w:p w14:paraId="66496B0B">
          <w:pPr>
            <w:tabs>
              <w:tab w:val="right" w:leader="dot" w:pos="8317"/>
            </w:tabs>
            <w:spacing w:before="22" w:line="221" w:lineRule="auto"/>
            <w:ind w:left="860"/>
            <w:rPr>
              <w:rFonts w:ascii="宋体" w:hAnsi="宋体" w:eastAsia="宋体" w:cs="宋体"/>
              <w:sz w:val="21"/>
              <w:szCs w:val="21"/>
            </w:rPr>
          </w:pPr>
          <w:r>
            <w:rPr>
              <w:rFonts w:ascii="宋体" w:hAnsi="宋体" w:eastAsia="宋体" w:cs="宋体"/>
              <w:spacing w:val="-1"/>
              <w:sz w:val="21"/>
              <w:szCs w:val="21"/>
            </w:rPr>
            <w:t>6.4 评标结果公示</w:t>
          </w:r>
          <w:r>
            <w:rPr>
              <w:rFonts w:ascii="宋体" w:hAnsi="宋体" w:eastAsia="宋体" w:cs="宋体"/>
              <w:spacing w:val="-77"/>
              <w:sz w:val="21"/>
              <w:szCs w:val="21"/>
            </w:rPr>
            <w:t xml:space="preserve"> </w:t>
          </w:r>
          <w:r>
            <w:rPr>
              <w:rFonts w:ascii="宋体" w:hAnsi="宋体" w:eastAsia="宋体" w:cs="宋体"/>
              <w:sz w:val="21"/>
              <w:szCs w:val="21"/>
            </w:rPr>
            <w:tab/>
          </w:r>
          <w:r>
            <w:rPr>
              <w:rFonts w:ascii="宋体" w:hAnsi="宋体" w:eastAsia="宋体" w:cs="宋体"/>
              <w:spacing w:val="-25"/>
              <w:sz w:val="21"/>
              <w:szCs w:val="21"/>
            </w:rPr>
            <w:t xml:space="preserve"> </w:t>
          </w:r>
          <w:r>
            <w:fldChar w:fldCharType="begin"/>
          </w:r>
          <w:r>
            <w:instrText xml:space="preserve"> HYPERLINK \l "bookmark65" </w:instrText>
          </w:r>
          <w:r>
            <w:fldChar w:fldCharType="separate"/>
          </w:r>
          <w:r>
            <w:rPr>
              <w:rFonts w:ascii="宋体" w:hAnsi="宋体" w:eastAsia="宋体" w:cs="宋体"/>
              <w:spacing w:val="-3"/>
              <w:sz w:val="21"/>
              <w:szCs w:val="21"/>
            </w:rPr>
            <w:t>25</w:t>
          </w:r>
          <w:r>
            <w:rPr>
              <w:rFonts w:ascii="宋体" w:hAnsi="宋体" w:eastAsia="宋体" w:cs="宋体"/>
              <w:spacing w:val="-3"/>
              <w:sz w:val="21"/>
              <w:szCs w:val="21"/>
            </w:rPr>
            <w:fldChar w:fldCharType="end"/>
          </w:r>
        </w:p>
        <w:p w14:paraId="71E3B7EC">
          <w:pPr>
            <w:tabs>
              <w:tab w:val="right" w:leader="dot" w:pos="8317"/>
            </w:tabs>
            <w:spacing w:before="17" w:line="221" w:lineRule="auto"/>
            <w:ind w:left="860"/>
            <w:rPr>
              <w:rFonts w:ascii="宋体" w:hAnsi="宋体" w:eastAsia="宋体" w:cs="宋体"/>
              <w:sz w:val="21"/>
              <w:szCs w:val="21"/>
            </w:rPr>
          </w:pPr>
          <w:r>
            <w:rPr>
              <w:rFonts w:ascii="宋体" w:hAnsi="宋体" w:eastAsia="宋体" w:cs="宋体"/>
              <w:spacing w:val="-9"/>
              <w:sz w:val="21"/>
              <w:szCs w:val="21"/>
            </w:rPr>
            <w:t>6.5 履约能力的核查（如有）</w:t>
          </w:r>
          <w:r>
            <w:rPr>
              <w:rFonts w:ascii="宋体" w:hAnsi="宋体" w:eastAsia="宋体" w:cs="宋体"/>
              <w:spacing w:val="54"/>
              <w:sz w:val="21"/>
              <w:szCs w:val="21"/>
            </w:rPr>
            <w:t xml:space="preserve"> </w:t>
          </w:r>
          <w:r>
            <w:rPr>
              <w:rFonts w:ascii="宋体" w:hAnsi="宋体" w:eastAsia="宋体" w:cs="宋体"/>
              <w:sz w:val="21"/>
              <w:szCs w:val="21"/>
            </w:rPr>
            <w:tab/>
          </w:r>
          <w:r>
            <w:rPr>
              <w:rFonts w:ascii="宋体" w:hAnsi="宋体" w:eastAsia="宋体" w:cs="宋体"/>
              <w:spacing w:val="-26"/>
              <w:sz w:val="21"/>
              <w:szCs w:val="21"/>
            </w:rPr>
            <w:t xml:space="preserve"> </w:t>
          </w:r>
          <w:r>
            <w:fldChar w:fldCharType="begin"/>
          </w:r>
          <w:r>
            <w:instrText xml:space="preserve"> HYPERLINK \l "bookmark66" </w:instrText>
          </w:r>
          <w:r>
            <w:fldChar w:fldCharType="separate"/>
          </w:r>
          <w:r>
            <w:rPr>
              <w:rFonts w:ascii="宋体" w:hAnsi="宋体" w:eastAsia="宋体" w:cs="宋体"/>
              <w:spacing w:val="-3"/>
              <w:sz w:val="21"/>
              <w:szCs w:val="21"/>
            </w:rPr>
            <w:t>25</w:t>
          </w:r>
          <w:r>
            <w:rPr>
              <w:rFonts w:ascii="宋体" w:hAnsi="宋体" w:eastAsia="宋体" w:cs="宋体"/>
              <w:spacing w:val="-3"/>
              <w:sz w:val="21"/>
              <w:szCs w:val="21"/>
            </w:rPr>
            <w:fldChar w:fldCharType="end"/>
          </w:r>
        </w:p>
        <w:p w14:paraId="2BF33A58">
          <w:pPr>
            <w:tabs>
              <w:tab w:val="right" w:leader="dot" w:pos="8317"/>
            </w:tabs>
            <w:spacing w:before="23" w:line="222" w:lineRule="auto"/>
            <w:ind w:left="446"/>
            <w:rPr>
              <w:rFonts w:ascii="宋体" w:hAnsi="宋体" w:eastAsia="宋体" w:cs="宋体"/>
              <w:sz w:val="21"/>
              <w:szCs w:val="21"/>
            </w:rPr>
          </w:pPr>
          <w:r>
            <w:rPr>
              <w:rFonts w:ascii="宋体" w:hAnsi="宋体" w:eastAsia="宋体" w:cs="宋体"/>
              <w:spacing w:val="-3"/>
              <w:sz w:val="21"/>
              <w:szCs w:val="21"/>
            </w:rPr>
            <w:t>7.</w:t>
          </w:r>
          <w:r>
            <w:rPr>
              <w:rFonts w:ascii="宋体" w:hAnsi="宋体" w:eastAsia="宋体" w:cs="宋体"/>
              <w:spacing w:val="10"/>
              <w:sz w:val="21"/>
              <w:szCs w:val="21"/>
            </w:rPr>
            <w:t xml:space="preserve"> </w:t>
          </w:r>
          <w:r>
            <w:rPr>
              <w:rFonts w:ascii="宋体" w:hAnsi="宋体" w:eastAsia="宋体" w:cs="宋体"/>
              <w:spacing w:val="-3"/>
              <w:sz w:val="21"/>
              <w:szCs w:val="21"/>
            </w:rPr>
            <w:t>合同授予</w:t>
          </w:r>
          <w:r>
            <w:rPr>
              <w:rFonts w:ascii="宋体" w:hAnsi="宋体" w:eastAsia="宋体" w:cs="宋体"/>
              <w:spacing w:val="-91"/>
              <w:sz w:val="21"/>
              <w:szCs w:val="21"/>
            </w:rPr>
            <w:t xml:space="preserve"> </w:t>
          </w:r>
          <w:r>
            <w:rPr>
              <w:rFonts w:ascii="宋体" w:hAnsi="宋体" w:eastAsia="宋体" w:cs="宋体"/>
              <w:sz w:val="21"/>
              <w:szCs w:val="21"/>
            </w:rPr>
            <w:tab/>
          </w:r>
          <w:r>
            <w:rPr>
              <w:rFonts w:ascii="宋体" w:hAnsi="宋体" w:eastAsia="宋体" w:cs="宋体"/>
              <w:spacing w:val="-25"/>
              <w:sz w:val="21"/>
              <w:szCs w:val="21"/>
            </w:rPr>
            <w:t xml:space="preserve"> </w:t>
          </w:r>
          <w:r>
            <w:fldChar w:fldCharType="begin"/>
          </w:r>
          <w:r>
            <w:instrText xml:space="preserve"> HYPERLINK \l "bookmark67" </w:instrText>
          </w:r>
          <w:r>
            <w:fldChar w:fldCharType="separate"/>
          </w:r>
          <w:r>
            <w:rPr>
              <w:rFonts w:ascii="宋体" w:hAnsi="宋体" w:eastAsia="宋体" w:cs="宋体"/>
              <w:spacing w:val="-3"/>
              <w:sz w:val="21"/>
              <w:szCs w:val="21"/>
            </w:rPr>
            <w:t>25</w:t>
          </w:r>
          <w:r>
            <w:rPr>
              <w:rFonts w:ascii="宋体" w:hAnsi="宋体" w:eastAsia="宋体" w:cs="宋体"/>
              <w:spacing w:val="-3"/>
              <w:sz w:val="21"/>
              <w:szCs w:val="21"/>
            </w:rPr>
            <w:fldChar w:fldCharType="end"/>
          </w:r>
        </w:p>
        <w:p w14:paraId="67DBE497">
          <w:pPr>
            <w:tabs>
              <w:tab w:val="right" w:leader="dot" w:pos="8317"/>
            </w:tabs>
            <w:spacing w:before="21" w:line="221" w:lineRule="auto"/>
            <w:ind w:left="863"/>
            <w:rPr>
              <w:rFonts w:ascii="宋体" w:hAnsi="宋体" w:eastAsia="宋体" w:cs="宋体"/>
              <w:sz w:val="21"/>
              <w:szCs w:val="21"/>
            </w:rPr>
          </w:pPr>
          <w:r>
            <w:rPr>
              <w:rFonts w:ascii="宋体" w:hAnsi="宋体" w:eastAsia="宋体" w:cs="宋体"/>
              <w:spacing w:val="-4"/>
              <w:sz w:val="21"/>
              <w:szCs w:val="21"/>
            </w:rPr>
            <w:t>7.1</w:t>
          </w:r>
          <w:r>
            <w:rPr>
              <w:rFonts w:ascii="宋体" w:hAnsi="宋体" w:eastAsia="宋体" w:cs="宋体"/>
              <w:spacing w:val="16"/>
              <w:sz w:val="21"/>
              <w:szCs w:val="21"/>
            </w:rPr>
            <w:t xml:space="preserve"> </w:t>
          </w:r>
          <w:r>
            <w:rPr>
              <w:rFonts w:ascii="宋体" w:hAnsi="宋体" w:eastAsia="宋体" w:cs="宋体"/>
              <w:spacing w:val="-4"/>
              <w:sz w:val="21"/>
              <w:szCs w:val="21"/>
            </w:rPr>
            <w:t>定标方式</w:t>
          </w:r>
          <w:r>
            <w:rPr>
              <w:rFonts w:ascii="宋体" w:hAnsi="宋体" w:eastAsia="宋体" w:cs="宋体"/>
              <w:spacing w:val="-81"/>
              <w:sz w:val="21"/>
              <w:szCs w:val="21"/>
            </w:rPr>
            <w:t xml:space="preserve"> </w:t>
          </w:r>
          <w:r>
            <w:rPr>
              <w:rFonts w:ascii="宋体" w:hAnsi="宋体" w:eastAsia="宋体" w:cs="宋体"/>
              <w:sz w:val="21"/>
              <w:szCs w:val="21"/>
            </w:rPr>
            <w:tab/>
          </w:r>
          <w:r>
            <w:rPr>
              <w:rFonts w:ascii="宋体" w:hAnsi="宋体" w:eastAsia="宋体" w:cs="宋体"/>
              <w:spacing w:val="-25"/>
              <w:sz w:val="21"/>
              <w:szCs w:val="21"/>
            </w:rPr>
            <w:t xml:space="preserve"> </w:t>
          </w:r>
          <w:r>
            <w:fldChar w:fldCharType="begin"/>
          </w:r>
          <w:r>
            <w:instrText xml:space="preserve"> HYPERLINK \l "bookmark68" </w:instrText>
          </w:r>
          <w:r>
            <w:fldChar w:fldCharType="separate"/>
          </w:r>
          <w:r>
            <w:rPr>
              <w:rFonts w:ascii="宋体" w:hAnsi="宋体" w:eastAsia="宋体" w:cs="宋体"/>
              <w:spacing w:val="-3"/>
              <w:sz w:val="21"/>
              <w:szCs w:val="21"/>
            </w:rPr>
            <w:t>25</w:t>
          </w:r>
          <w:r>
            <w:rPr>
              <w:rFonts w:ascii="宋体" w:hAnsi="宋体" w:eastAsia="宋体" w:cs="宋体"/>
              <w:spacing w:val="-3"/>
              <w:sz w:val="21"/>
              <w:szCs w:val="21"/>
            </w:rPr>
            <w:fldChar w:fldCharType="end"/>
          </w:r>
        </w:p>
        <w:p w14:paraId="7E35CBDF">
          <w:pPr>
            <w:tabs>
              <w:tab w:val="right" w:leader="dot" w:pos="8317"/>
            </w:tabs>
            <w:spacing w:before="18" w:line="221" w:lineRule="auto"/>
            <w:ind w:left="863"/>
            <w:rPr>
              <w:rFonts w:ascii="宋体" w:hAnsi="宋体" w:eastAsia="宋体" w:cs="宋体"/>
              <w:sz w:val="21"/>
              <w:szCs w:val="21"/>
            </w:rPr>
          </w:pPr>
          <w:r>
            <w:rPr>
              <w:rFonts w:ascii="宋体" w:hAnsi="宋体" w:eastAsia="宋体" w:cs="宋体"/>
              <w:spacing w:val="-6"/>
              <w:sz w:val="21"/>
              <w:szCs w:val="21"/>
            </w:rPr>
            <w:t>7.2</w:t>
          </w:r>
          <w:r>
            <w:rPr>
              <w:rFonts w:ascii="宋体" w:hAnsi="宋体" w:eastAsia="宋体" w:cs="宋体"/>
              <w:spacing w:val="30"/>
              <w:sz w:val="21"/>
              <w:szCs w:val="21"/>
            </w:rPr>
            <w:t xml:space="preserve"> </w:t>
          </w:r>
          <w:r>
            <w:rPr>
              <w:rFonts w:ascii="宋体" w:hAnsi="宋体" w:eastAsia="宋体" w:cs="宋体"/>
              <w:spacing w:val="-6"/>
              <w:sz w:val="21"/>
              <w:szCs w:val="21"/>
            </w:rPr>
            <w:t>中标通知</w:t>
          </w:r>
          <w:r>
            <w:rPr>
              <w:rFonts w:ascii="宋体" w:hAnsi="宋体" w:eastAsia="宋体" w:cs="宋体"/>
              <w:spacing w:val="-81"/>
              <w:sz w:val="21"/>
              <w:szCs w:val="21"/>
            </w:rPr>
            <w:t xml:space="preserve"> </w:t>
          </w:r>
          <w:r>
            <w:rPr>
              <w:rFonts w:ascii="宋体" w:hAnsi="宋体" w:eastAsia="宋体" w:cs="宋体"/>
              <w:sz w:val="21"/>
              <w:szCs w:val="21"/>
            </w:rPr>
            <w:tab/>
          </w:r>
          <w:r>
            <w:rPr>
              <w:rFonts w:ascii="宋体" w:hAnsi="宋体" w:eastAsia="宋体" w:cs="宋体"/>
              <w:spacing w:val="-25"/>
              <w:sz w:val="21"/>
              <w:szCs w:val="21"/>
            </w:rPr>
            <w:t xml:space="preserve"> </w:t>
          </w:r>
          <w:r>
            <w:fldChar w:fldCharType="begin"/>
          </w:r>
          <w:r>
            <w:instrText xml:space="preserve"> HYPERLINK \l "bookmark69" </w:instrText>
          </w:r>
          <w:r>
            <w:fldChar w:fldCharType="separate"/>
          </w:r>
          <w:r>
            <w:rPr>
              <w:rFonts w:ascii="宋体" w:hAnsi="宋体" w:eastAsia="宋体" w:cs="宋体"/>
              <w:spacing w:val="-3"/>
              <w:sz w:val="21"/>
              <w:szCs w:val="21"/>
            </w:rPr>
            <w:t>26</w:t>
          </w:r>
          <w:r>
            <w:rPr>
              <w:rFonts w:ascii="宋体" w:hAnsi="宋体" w:eastAsia="宋体" w:cs="宋体"/>
              <w:spacing w:val="-3"/>
              <w:sz w:val="21"/>
              <w:szCs w:val="21"/>
            </w:rPr>
            <w:fldChar w:fldCharType="end"/>
          </w:r>
        </w:p>
        <w:p w14:paraId="619B6E27">
          <w:pPr>
            <w:tabs>
              <w:tab w:val="right" w:leader="dot" w:pos="8317"/>
            </w:tabs>
            <w:spacing w:before="22" w:line="221" w:lineRule="auto"/>
            <w:ind w:left="863"/>
            <w:rPr>
              <w:rFonts w:ascii="宋体" w:hAnsi="宋体" w:eastAsia="宋体" w:cs="宋体"/>
              <w:sz w:val="21"/>
              <w:szCs w:val="21"/>
            </w:rPr>
          </w:pPr>
          <w:r>
            <w:rPr>
              <w:rFonts w:ascii="宋体" w:hAnsi="宋体" w:eastAsia="宋体" w:cs="宋体"/>
              <w:spacing w:val="-3"/>
              <w:sz w:val="21"/>
              <w:szCs w:val="21"/>
            </w:rPr>
            <w:t>7.3</w:t>
          </w:r>
          <w:r>
            <w:rPr>
              <w:rFonts w:ascii="宋体" w:hAnsi="宋体" w:eastAsia="宋体" w:cs="宋体"/>
              <w:spacing w:val="13"/>
              <w:sz w:val="21"/>
              <w:szCs w:val="21"/>
            </w:rPr>
            <w:t xml:space="preserve"> </w:t>
          </w:r>
          <w:r>
            <w:rPr>
              <w:rFonts w:ascii="宋体" w:hAnsi="宋体" w:eastAsia="宋体" w:cs="宋体"/>
              <w:spacing w:val="-3"/>
              <w:sz w:val="21"/>
              <w:szCs w:val="21"/>
            </w:rPr>
            <w:t>履约保证金</w:t>
          </w:r>
          <w:r>
            <w:rPr>
              <w:rFonts w:ascii="宋体" w:hAnsi="宋体" w:eastAsia="宋体" w:cs="宋体"/>
              <w:spacing w:val="-81"/>
              <w:sz w:val="21"/>
              <w:szCs w:val="21"/>
            </w:rPr>
            <w:t xml:space="preserve"> </w:t>
          </w:r>
          <w:r>
            <w:rPr>
              <w:rFonts w:ascii="宋体" w:hAnsi="宋体" w:eastAsia="宋体" w:cs="宋体"/>
              <w:sz w:val="21"/>
              <w:szCs w:val="21"/>
            </w:rPr>
            <w:tab/>
          </w:r>
          <w:r>
            <w:rPr>
              <w:rFonts w:ascii="宋体" w:hAnsi="宋体" w:eastAsia="宋体" w:cs="宋体"/>
              <w:spacing w:val="-25"/>
              <w:sz w:val="21"/>
              <w:szCs w:val="21"/>
            </w:rPr>
            <w:t xml:space="preserve"> </w:t>
          </w:r>
          <w:r>
            <w:fldChar w:fldCharType="begin"/>
          </w:r>
          <w:r>
            <w:instrText xml:space="preserve"> HYPERLINK \l "bookmark70" </w:instrText>
          </w:r>
          <w:r>
            <w:fldChar w:fldCharType="separate"/>
          </w:r>
          <w:r>
            <w:rPr>
              <w:rFonts w:ascii="宋体" w:hAnsi="宋体" w:eastAsia="宋体" w:cs="宋体"/>
              <w:spacing w:val="-3"/>
              <w:sz w:val="21"/>
              <w:szCs w:val="21"/>
            </w:rPr>
            <w:t>26</w:t>
          </w:r>
          <w:r>
            <w:rPr>
              <w:rFonts w:ascii="宋体" w:hAnsi="宋体" w:eastAsia="宋体" w:cs="宋体"/>
              <w:spacing w:val="-3"/>
              <w:sz w:val="21"/>
              <w:szCs w:val="21"/>
            </w:rPr>
            <w:fldChar w:fldCharType="end"/>
          </w:r>
        </w:p>
        <w:p w14:paraId="517327FD">
          <w:pPr>
            <w:tabs>
              <w:tab w:val="right" w:leader="dot" w:pos="8317"/>
            </w:tabs>
            <w:spacing w:before="22" w:line="223" w:lineRule="auto"/>
            <w:ind w:left="863"/>
            <w:rPr>
              <w:rFonts w:ascii="宋体" w:hAnsi="宋体" w:eastAsia="宋体" w:cs="宋体"/>
              <w:sz w:val="21"/>
              <w:szCs w:val="21"/>
            </w:rPr>
          </w:pPr>
          <w:r>
            <w:rPr>
              <w:rFonts w:ascii="宋体" w:hAnsi="宋体" w:eastAsia="宋体" w:cs="宋体"/>
              <w:spacing w:val="-2"/>
              <w:sz w:val="21"/>
              <w:szCs w:val="21"/>
            </w:rPr>
            <w:t>7.4 签订合同</w:t>
          </w:r>
          <w:r>
            <w:rPr>
              <w:rFonts w:ascii="宋体" w:hAnsi="宋体" w:eastAsia="宋体" w:cs="宋体"/>
              <w:spacing w:val="-77"/>
              <w:sz w:val="21"/>
              <w:szCs w:val="21"/>
            </w:rPr>
            <w:t xml:space="preserve"> </w:t>
          </w:r>
          <w:r>
            <w:rPr>
              <w:rFonts w:ascii="宋体" w:hAnsi="宋体" w:eastAsia="宋体" w:cs="宋体"/>
              <w:sz w:val="21"/>
              <w:szCs w:val="21"/>
            </w:rPr>
            <w:tab/>
          </w:r>
          <w:r>
            <w:rPr>
              <w:rFonts w:ascii="宋体" w:hAnsi="宋体" w:eastAsia="宋体" w:cs="宋体"/>
              <w:spacing w:val="-25"/>
              <w:sz w:val="21"/>
              <w:szCs w:val="21"/>
            </w:rPr>
            <w:t xml:space="preserve"> </w:t>
          </w:r>
          <w:r>
            <w:fldChar w:fldCharType="begin"/>
          </w:r>
          <w:r>
            <w:instrText xml:space="preserve"> HYPERLINK \l "bookmark71" </w:instrText>
          </w:r>
          <w:r>
            <w:fldChar w:fldCharType="separate"/>
          </w:r>
          <w:r>
            <w:rPr>
              <w:rFonts w:ascii="宋体" w:hAnsi="宋体" w:eastAsia="宋体" w:cs="宋体"/>
              <w:spacing w:val="-3"/>
              <w:sz w:val="21"/>
              <w:szCs w:val="21"/>
            </w:rPr>
            <w:t>26</w:t>
          </w:r>
          <w:r>
            <w:rPr>
              <w:rFonts w:ascii="宋体" w:hAnsi="宋体" w:eastAsia="宋体" w:cs="宋体"/>
              <w:spacing w:val="-3"/>
              <w:sz w:val="21"/>
              <w:szCs w:val="21"/>
            </w:rPr>
            <w:fldChar w:fldCharType="end"/>
          </w:r>
        </w:p>
        <w:p w14:paraId="03BBF348">
          <w:pPr>
            <w:tabs>
              <w:tab w:val="right" w:leader="dot" w:pos="8317"/>
            </w:tabs>
            <w:spacing w:before="20" w:line="221" w:lineRule="auto"/>
            <w:ind w:left="442"/>
            <w:rPr>
              <w:rFonts w:ascii="宋体" w:hAnsi="宋体" w:eastAsia="宋体" w:cs="宋体"/>
              <w:sz w:val="21"/>
              <w:szCs w:val="21"/>
            </w:rPr>
          </w:pPr>
          <w:r>
            <w:rPr>
              <w:rFonts w:ascii="宋体" w:hAnsi="宋体" w:eastAsia="宋体" w:cs="宋体"/>
              <w:spacing w:val="-1"/>
              <w:sz w:val="21"/>
              <w:szCs w:val="21"/>
            </w:rPr>
            <w:t>8. 重新招标、不再招标和终止招标</w:t>
          </w:r>
          <w:r>
            <w:rPr>
              <w:rFonts w:ascii="宋体" w:hAnsi="宋体" w:eastAsia="宋体" w:cs="宋体"/>
              <w:spacing w:val="-65"/>
              <w:sz w:val="21"/>
              <w:szCs w:val="21"/>
            </w:rPr>
            <w:t xml:space="preserve"> </w:t>
          </w:r>
          <w:r>
            <w:rPr>
              <w:rFonts w:ascii="宋体" w:hAnsi="宋体" w:eastAsia="宋体" w:cs="宋体"/>
              <w:sz w:val="21"/>
              <w:szCs w:val="21"/>
            </w:rPr>
            <w:tab/>
          </w:r>
          <w:r>
            <w:rPr>
              <w:rFonts w:ascii="宋体" w:hAnsi="宋体" w:eastAsia="宋体" w:cs="宋体"/>
              <w:spacing w:val="-26"/>
              <w:sz w:val="21"/>
              <w:szCs w:val="21"/>
            </w:rPr>
            <w:t xml:space="preserve"> </w:t>
          </w:r>
          <w:r>
            <w:fldChar w:fldCharType="begin"/>
          </w:r>
          <w:r>
            <w:instrText xml:space="preserve"> HYPERLINK \l "bookmark72" </w:instrText>
          </w:r>
          <w:r>
            <w:fldChar w:fldCharType="separate"/>
          </w:r>
          <w:r>
            <w:rPr>
              <w:rFonts w:ascii="宋体" w:hAnsi="宋体" w:eastAsia="宋体" w:cs="宋体"/>
              <w:spacing w:val="-3"/>
              <w:sz w:val="21"/>
              <w:szCs w:val="21"/>
            </w:rPr>
            <w:t>26</w:t>
          </w:r>
          <w:r>
            <w:rPr>
              <w:rFonts w:ascii="宋体" w:hAnsi="宋体" w:eastAsia="宋体" w:cs="宋体"/>
              <w:spacing w:val="-3"/>
              <w:sz w:val="21"/>
              <w:szCs w:val="21"/>
            </w:rPr>
            <w:fldChar w:fldCharType="end"/>
          </w:r>
        </w:p>
        <w:p w14:paraId="14A7FA57">
          <w:pPr>
            <w:tabs>
              <w:tab w:val="right" w:leader="dot" w:pos="8317"/>
            </w:tabs>
            <w:spacing w:before="18" w:line="221" w:lineRule="auto"/>
            <w:ind w:left="859"/>
            <w:rPr>
              <w:rFonts w:ascii="宋体" w:hAnsi="宋体" w:eastAsia="宋体" w:cs="宋体"/>
              <w:sz w:val="21"/>
              <w:szCs w:val="21"/>
            </w:rPr>
          </w:pPr>
          <w:r>
            <w:rPr>
              <w:rFonts w:ascii="宋体" w:hAnsi="宋体" w:eastAsia="宋体" w:cs="宋体"/>
              <w:spacing w:val="-3"/>
              <w:sz w:val="21"/>
              <w:szCs w:val="21"/>
            </w:rPr>
            <w:t>8.1</w:t>
          </w:r>
          <w:r>
            <w:rPr>
              <w:rFonts w:ascii="宋体" w:hAnsi="宋体" w:eastAsia="宋体" w:cs="宋体"/>
              <w:spacing w:val="13"/>
              <w:sz w:val="21"/>
              <w:szCs w:val="21"/>
            </w:rPr>
            <w:t xml:space="preserve"> </w:t>
          </w:r>
          <w:r>
            <w:rPr>
              <w:rFonts w:ascii="宋体" w:hAnsi="宋体" w:eastAsia="宋体" w:cs="宋体"/>
              <w:spacing w:val="-3"/>
              <w:sz w:val="21"/>
              <w:szCs w:val="21"/>
            </w:rPr>
            <w:t>重新招标</w:t>
          </w:r>
          <w:r>
            <w:rPr>
              <w:rFonts w:ascii="宋体" w:hAnsi="宋体" w:eastAsia="宋体" w:cs="宋体"/>
              <w:spacing w:val="-81"/>
              <w:sz w:val="21"/>
              <w:szCs w:val="21"/>
            </w:rPr>
            <w:t xml:space="preserve"> </w:t>
          </w:r>
          <w:r>
            <w:rPr>
              <w:rFonts w:ascii="宋体" w:hAnsi="宋体" w:eastAsia="宋体" w:cs="宋体"/>
              <w:sz w:val="21"/>
              <w:szCs w:val="21"/>
            </w:rPr>
            <w:tab/>
          </w:r>
          <w:r>
            <w:rPr>
              <w:rFonts w:ascii="宋体" w:hAnsi="宋体" w:eastAsia="宋体" w:cs="宋体"/>
              <w:spacing w:val="-25"/>
              <w:sz w:val="21"/>
              <w:szCs w:val="21"/>
            </w:rPr>
            <w:t xml:space="preserve"> </w:t>
          </w:r>
          <w:r>
            <w:fldChar w:fldCharType="begin"/>
          </w:r>
          <w:r>
            <w:instrText xml:space="preserve"> HYPERLINK \l "bookmark73" </w:instrText>
          </w:r>
          <w:r>
            <w:fldChar w:fldCharType="separate"/>
          </w:r>
          <w:r>
            <w:rPr>
              <w:rFonts w:ascii="宋体" w:hAnsi="宋体" w:eastAsia="宋体" w:cs="宋体"/>
              <w:spacing w:val="-3"/>
              <w:sz w:val="21"/>
              <w:szCs w:val="21"/>
            </w:rPr>
            <w:t>26</w:t>
          </w:r>
          <w:r>
            <w:rPr>
              <w:rFonts w:ascii="宋体" w:hAnsi="宋体" w:eastAsia="宋体" w:cs="宋体"/>
              <w:spacing w:val="-3"/>
              <w:sz w:val="21"/>
              <w:szCs w:val="21"/>
            </w:rPr>
            <w:fldChar w:fldCharType="end"/>
          </w:r>
        </w:p>
        <w:p w14:paraId="47AAC638">
          <w:pPr>
            <w:tabs>
              <w:tab w:val="right" w:leader="dot" w:pos="8317"/>
            </w:tabs>
            <w:spacing w:before="22" w:line="221" w:lineRule="auto"/>
            <w:ind w:left="859"/>
            <w:rPr>
              <w:rFonts w:ascii="宋体" w:hAnsi="宋体" w:eastAsia="宋体" w:cs="宋体"/>
              <w:sz w:val="21"/>
              <w:szCs w:val="21"/>
            </w:rPr>
          </w:pPr>
          <w:r>
            <w:rPr>
              <w:rFonts w:ascii="宋体" w:hAnsi="宋体" w:eastAsia="宋体" w:cs="宋体"/>
              <w:spacing w:val="-3"/>
              <w:sz w:val="21"/>
              <w:szCs w:val="21"/>
            </w:rPr>
            <w:t>8.2</w:t>
          </w:r>
          <w:r>
            <w:rPr>
              <w:rFonts w:ascii="宋体" w:hAnsi="宋体" w:eastAsia="宋体" w:cs="宋体"/>
              <w:spacing w:val="13"/>
              <w:sz w:val="21"/>
              <w:szCs w:val="21"/>
            </w:rPr>
            <w:t xml:space="preserve"> </w:t>
          </w:r>
          <w:r>
            <w:rPr>
              <w:rFonts w:ascii="宋体" w:hAnsi="宋体" w:eastAsia="宋体" w:cs="宋体"/>
              <w:spacing w:val="-3"/>
              <w:sz w:val="21"/>
              <w:szCs w:val="21"/>
            </w:rPr>
            <w:t>不再招标</w:t>
          </w:r>
          <w:r>
            <w:rPr>
              <w:rFonts w:ascii="宋体" w:hAnsi="宋体" w:eastAsia="宋体" w:cs="宋体"/>
              <w:spacing w:val="-81"/>
              <w:sz w:val="21"/>
              <w:szCs w:val="21"/>
            </w:rPr>
            <w:t xml:space="preserve"> </w:t>
          </w:r>
          <w:r>
            <w:rPr>
              <w:rFonts w:ascii="宋体" w:hAnsi="宋体" w:eastAsia="宋体" w:cs="宋体"/>
              <w:sz w:val="21"/>
              <w:szCs w:val="21"/>
            </w:rPr>
            <w:tab/>
          </w:r>
          <w:r>
            <w:rPr>
              <w:rFonts w:ascii="宋体" w:hAnsi="宋体" w:eastAsia="宋体" w:cs="宋体"/>
              <w:spacing w:val="-25"/>
              <w:sz w:val="21"/>
              <w:szCs w:val="21"/>
            </w:rPr>
            <w:t xml:space="preserve"> </w:t>
          </w:r>
          <w:r>
            <w:fldChar w:fldCharType="begin"/>
          </w:r>
          <w:r>
            <w:instrText xml:space="preserve"> HYPERLINK \l "bookmark74" </w:instrText>
          </w:r>
          <w:r>
            <w:fldChar w:fldCharType="separate"/>
          </w:r>
          <w:r>
            <w:rPr>
              <w:rFonts w:ascii="宋体" w:hAnsi="宋体" w:eastAsia="宋体" w:cs="宋体"/>
              <w:spacing w:val="-3"/>
              <w:sz w:val="21"/>
              <w:szCs w:val="21"/>
            </w:rPr>
            <w:t>27</w:t>
          </w:r>
          <w:r>
            <w:rPr>
              <w:rFonts w:ascii="宋体" w:hAnsi="宋体" w:eastAsia="宋体" w:cs="宋体"/>
              <w:spacing w:val="-3"/>
              <w:sz w:val="21"/>
              <w:szCs w:val="21"/>
            </w:rPr>
            <w:fldChar w:fldCharType="end"/>
          </w:r>
        </w:p>
        <w:p w14:paraId="06C5A31E">
          <w:pPr>
            <w:tabs>
              <w:tab w:val="right" w:leader="dot" w:pos="8317"/>
            </w:tabs>
            <w:spacing w:before="22" w:line="221" w:lineRule="auto"/>
            <w:ind w:left="859"/>
            <w:rPr>
              <w:rFonts w:ascii="宋体" w:hAnsi="宋体" w:eastAsia="宋体" w:cs="宋体"/>
              <w:sz w:val="21"/>
              <w:szCs w:val="21"/>
            </w:rPr>
          </w:pPr>
          <w:r>
            <w:rPr>
              <w:rFonts w:ascii="宋体" w:hAnsi="宋体" w:eastAsia="宋体" w:cs="宋体"/>
              <w:spacing w:val="-3"/>
              <w:sz w:val="21"/>
              <w:szCs w:val="21"/>
            </w:rPr>
            <w:t>8.3</w:t>
          </w:r>
          <w:r>
            <w:rPr>
              <w:rFonts w:ascii="宋体" w:hAnsi="宋体" w:eastAsia="宋体" w:cs="宋体"/>
              <w:spacing w:val="13"/>
              <w:sz w:val="21"/>
              <w:szCs w:val="21"/>
            </w:rPr>
            <w:t xml:space="preserve"> </w:t>
          </w:r>
          <w:r>
            <w:rPr>
              <w:rFonts w:ascii="宋体" w:hAnsi="宋体" w:eastAsia="宋体" w:cs="宋体"/>
              <w:spacing w:val="-3"/>
              <w:sz w:val="21"/>
              <w:szCs w:val="21"/>
            </w:rPr>
            <w:t>终止招标</w:t>
          </w:r>
          <w:r>
            <w:rPr>
              <w:rFonts w:ascii="宋体" w:hAnsi="宋体" w:eastAsia="宋体" w:cs="宋体"/>
              <w:spacing w:val="-81"/>
              <w:sz w:val="21"/>
              <w:szCs w:val="21"/>
            </w:rPr>
            <w:t xml:space="preserve"> </w:t>
          </w:r>
          <w:r>
            <w:rPr>
              <w:rFonts w:ascii="宋体" w:hAnsi="宋体" w:eastAsia="宋体" w:cs="宋体"/>
              <w:sz w:val="21"/>
              <w:szCs w:val="21"/>
            </w:rPr>
            <w:tab/>
          </w:r>
          <w:r>
            <w:rPr>
              <w:rFonts w:ascii="宋体" w:hAnsi="宋体" w:eastAsia="宋体" w:cs="宋体"/>
              <w:spacing w:val="-25"/>
              <w:sz w:val="21"/>
              <w:szCs w:val="21"/>
            </w:rPr>
            <w:t xml:space="preserve"> </w:t>
          </w:r>
          <w:r>
            <w:fldChar w:fldCharType="begin"/>
          </w:r>
          <w:r>
            <w:instrText xml:space="preserve"> HYPERLINK \l "bookmark75" </w:instrText>
          </w:r>
          <w:r>
            <w:fldChar w:fldCharType="separate"/>
          </w:r>
          <w:r>
            <w:rPr>
              <w:rFonts w:ascii="宋体" w:hAnsi="宋体" w:eastAsia="宋体" w:cs="宋体"/>
              <w:spacing w:val="-3"/>
              <w:sz w:val="21"/>
              <w:szCs w:val="21"/>
            </w:rPr>
            <w:t>27</w:t>
          </w:r>
          <w:r>
            <w:rPr>
              <w:rFonts w:ascii="宋体" w:hAnsi="宋体" w:eastAsia="宋体" w:cs="宋体"/>
              <w:spacing w:val="-3"/>
              <w:sz w:val="21"/>
              <w:szCs w:val="21"/>
            </w:rPr>
            <w:fldChar w:fldCharType="end"/>
          </w:r>
        </w:p>
        <w:p w14:paraId="7EA952F9">
          <w:pPr>
            <w:tabs>
              <w:tab w:val="right" w:leader="dot" w:pos="8317"/>
            </w:tabs>
            <w:spacing w:before="22" w:line="221" w:lineRule="auto"/>
            <w:ind w:left="442"/>
            <w:rPr>
              <w:rFonts w:ascii="宋体" w:hAnsi="宋体" w:eastAsia="宋体" w:cs="宋体"/>
              <w:sz w:val="21"/>
              <w:szCs w:val="21"/>
            </w:rPr>
          </w:pPr>
          <w:r>
            <w:rPr>
              <w:rFonts w:ascii="宋体" w:hAnsi="宋体" w:eastAsia="宋体" w:cs="宋体"/>
              <w:spacing w:val="-3"/>
              <w:sz w:val="21"/>
              <w:szCs w:val="21"/>
            </w:rPr>
            <w:t>9.</w:t>
          </w:r>
          <w:r>
            <w:rPr>
              <w:rFonts w:ascii="宋体" w:hAnsi="宋体" w:eastAsia="宋体" w:cs="宋体"/>
              <w:spacing w:val="14"/>
              <w:sz w:val="21"/>
              <w:szCs w:val="21"/>
            </w:rPr>
            <w:t xml:space="preserve"> </w:t>
          </w:r>
          <w:r>
            <w:rPr>
              <w:rFonts w:ascii="宋体" w:hAnsi="宋体" w:eastAsia="宋体" w:cs="宋体"/>
              <w:spacing w:val="-3"/>
              <w:sz w:val="21"/>
              <w:szCs w:val="21"/>
            </w:rPr>
            <w:t>纪律和监督</w:t>
          </w:r>
          <w:r>
            <w:rPr>
              <w:rFonts w:ascii="宋体" w:hAnsi="宋体" w:eastAsia="宋体" w:cs="宋体"/>
              <w:spacing w:val="-86"/>
              <w:sz w:val="21"/>
              <w:szCs w:val="21"/>
            </w:rPr>
            <w:t xml:space="preserve"> </w:t>
          </w:r>
          <w:r>
            <w:rPr>
              <w:rFonts w:ascii="宋体" w:hAnsi="宋体" w:eastAsia="宋体" w:cs="宋体"/>
              <w:sz w:val="21"/>
              <w:szCs w:val="21"/>
            </w:rPr>
            <w:tab/>
          </w:r>
          <w:r>
            <w:rPr>
              <w:rFonts w:ascii="宋体" w:hAnsi="宋体" w:eastAsia="宋体" w:cs="宋体"/>
              <w:spacing w:val="-25"/>
              <w:sz w:val="21"/>
              <w:szCs w:val="21"/>
            </w:rPr>
            <w:t xml:space="preserve"> </w:t>
          </w:r>
          <w:r>
            <w:fldChar w:fldCharType="begin"/>
          </w:r>
          <w:r>
            <w:instrText xml:space="preserve"> HYPERLINK \l "bookmark76" </w:instrText>
          </w:r>
          <w:r>
            <w:fldChar w:fldCharType="separate"/>
          </w:r>
          <w:r>
            <w:rPr>
              <w:rFonts w:ascii="宋体" w:hAnsi="宋体" w:eastAsia="宋体" w:cs="宋体"/>
              <w:spacing w:val="-3"/>
              <w:sz w:val="21"/>
              <w:szCs w:val="21"/>
            </w:rPr>
            <w:t>27</w:t>
          </w:r>
          <w:r>
            <w:rPr>
              <w:rFonts w:ascii="宋体" w:hAnsi="宋体" w:eastAsia="宋体" w:cs="宋体"/>
              <w:spacing w:val="-3"/>
              <w:sz w:val="21"/>
              <w:szCs w:val="21"/>
            </w:rPr>
            <w:fldChar w:fldCharType="end"/>
          </w:r>
        </w:p>
        <w:p w14:paraId="4ABB0FAD">
          <w:pPr>
            <w:tabs>
              <w:tab w:val="right" w:leader="dot" w:pos="8317"/>
            </w:tabs>
            <w:spacing w:before="17" w:line="221" w:lineRule="auto"/>
            <w:ind w:left="859"/>
            <w:rPr>
              <w:rFonts w:ascii="宋体" w:hAnsi="宋体" w:eastAsia="宋体" w:cs="宋体"/>
              <w:sz w:val="21"/>
              <w:szCs w:val="21"/>
            </w:rPr>
          </w:pPr>
          <w:r>
            <w:rPr>
              <w:rFonts w:ascii="宋体" w:hAnsi="宋体" w:eastAsia="宋体" w:cs="宋体"/>
              <w:spacing w:val="-1"/>
              <w:sz w:val="21"/>
              <w:szCs w:val="21"/>
            </w:rPr>
            <w:t>9.1 对招标人的纪律要求</w:t>
          </w:r>
          <w:r>
            <w:rPr>
              <w:rFonts w:ascii="宋体" w:hAnsi="宋体" w:eastAsia="宋体" w:cs="宋体"/>
              <w:spacing w:val="-70"/>
              <w:sz w:val="21"/>
              <w:szCs w:val="21"/>
            </w:rPr>
            <w:t xml:space="preserve"> </w:t>
          </w:r>
          <w:r>
            <w:rPr>
              <w:rFonts w:ascii="宋体" w:hAnsi="宋体" w:eastAsia="宋体" w:cs="宋体"/>
              <w:sz w:val="21"/>
              <w:szCs w:val="21"/>
            </w:rPr>
            <w:tab/>
          </w:r>
          <w:r>
            <w:rPr>
              <w:rFonts w:ascii="宋体" w:hAnsi="宋体" w:eastAsia="宋体" w:cs="宋体"/>
              <w:spacing w:val="-26"/>
              <w:sz w:val="21"/>
              <w:szCs w:val="21"/>
            </w:rPr>
            <w:t xml:space="preserve"> </w:t>
          </w:r>
          <w:r>
            <w:fldChar w:fldCharType="begin"/>
          </w:r>
          <w:r>
            <w:instrText xml:space="preserve"> HYPERLINK \l "bookmark77" </w:instrText>
          </w:r>
          <w:r>
            <w:fldChar w:fldCharType="separate"/>
          </w:r>
          <w:r>
            <w:rPr>
              <w:rFonts w:ascii="宋体" w:hAnsi="宋体" w:eastAsia="宋体" w:cs="宋体"/>
              <w:spacing w:val="-3"/>
              <w:sz w:val="21"/>
              <w:szCs w:val="21"/>
            </w:rPr>
            <w:t>27</w:t>
          </w:r>
          <w:r>
            <w:rPr>
              <w:rFonts w:ascii="宋体" w:hAnsi="宋体" w:eastAsia="宋体" w:cs="宋体"/>
              <w:spacing w:val="-3"/>
              <w:sz w:val="21"/>
              <w:szCs w:val="21"/>
            </w:rPr>
            <w:fldChar w:fldCharType="end"/>
          </w:r>
        </w:p>
        <w:p w14:paraId="5168A88B">
          <w:pPr>
            <w:tabs>
              <w:tab w:val="right" w:leader="dot" w:pos="8317"/>
            </w:tabs>
            <w:spacing w:before="22" w:line="221" w:lineRule="auto"/>
            <w:ind w:left="859"/>
            <w:rPr>
              <w:rFonts w:ascii="宋体" w:hAnsi="宋体" w:eastAsia="宋体" w:cs="宋体"/>
              <w:sz w:val="21"/>
              <w:szCs w:val="21"/>
            </w:rPr>
          </w:pPr>
          <w:r>
            <w:rPr>
              <w:rFonts w:ascii="宋体" w:hAnsi="宋体" w:eastAsia="宋体" w:cs="宋体"/>
              <w:spacing w:val="-1"/>
              <w:sz w:val="21"/>
              <w:szCs w:val="21"/>
            </w:rPr>
            <w:t>9.2 对投标人的纪律要求</w:t>
          </w:r>
          <w:r>
            <w:rPr>
              <w:rFonts w:ascii="宋体" w:hAnsi="宋体" w:eastAsia="宋体" w:cs="宋体"/>
              <w:spacing w:val="-70"/>
              <w:sz w:val="21"/>
              <w:szCs w:val="21"/>
            </w:rPr>
            <w:t xml:space="preserve"> </w:t>
          </w:r>
          <w:r>
            <w:rPr>
              <w:rFonts w:ascii="宋体" w:hAnsi="宋体" w:eastAsia="宋体" w:cs="宋体"/>
              <w:sz w:val="21"/>
              <w:szCs w:val="21"/>
            </w:rPr>
            <w:tab/>
          </w:r>
          <w:r>
            <w:rPr>
              <w:rFonts w:ascii="宋体" w:hAnsi="宋体" w:eastAsia="宋体" w:cs="宋体"/>
              <w:spacing w:val="-26"/>
              <w:sz w:val="21"/>
              <w:szCs w:val="21"/>
            </w:rPr>
            <w:t xml:space="preserve"> </w:t>
          </w:r>
          <w:r>
            <w:fldChar w:fldCharType="begin"/>
          </w:r>
          <w:r>
            <w:instrText xml:space="preserve"> HYPERLINK \l "bookmark78" </w:instrText>
          </w:r>
          <w:r>
            <w:fldChar w:fldCharType="separate"/>
          </w:r>
          <w:r>
            <w:rPr>
              <w:rFonts w:ascii="宋体" w:hAnsi="宋体" w:eastAsia="宋体" w:cs="宋体"/>
              <w:spacing w:val="-3"/>
              <w:sz w:val="21"/>
              <w:szCs w:val="21"/>
            </w:rPr>
            <w:t>27</w:t>
          </w:r>
          <w:r>
            <w:rPr>
              <w:rFonts w:ascii="宋体" w:hAnsi="宋体" w:eastAsia="宋体" w:cs="宋体"/>
              <w:spacing w:val="-3"/>
              <w:sz w:val="21"/>
              <w:szCs w:val="21"/>
            </w:rPr>
            <w:fldChar w:fldCharType="end"/>
          </w:r>
        </w:p>
        <w:p w14:paraId="2453E23A">
          <w:pPr>
            <w:tabs>
              <w:tab w:val="right" w:leader="dot" w:pos="8317"/>
            </w:tabs>
            <w:spacing w:before="23" w:line="220" w:lineRule="auto"/>
            <w:ind w:left="859"/>
            <w:rPr>
              <w:rFonts w:ascii="宋体" w:hAnsi="宋体" w:eastAsia="宋体" w:cs="宋体"/>
              <w:sz w:val="21"/>
              <w:szCs w:val="21"/>
            </w:rPr>
          </w:pPr>
          <w:r>
            <w:rPr>
              <w:rFonts w:ascii="宋体" w:hAnsi="宋体" w:eastAsia="宋体" w:cs="宋体"/>
              <w:spacing w:val="-1"/>
              <w:sz w:val="21"/>
              <w:szCs w:val="21"/>
            </w:rPr>
            <w:t>9.3 对评标委员会成员的纪律要求</w:t>
          </w:r>
          <w:r>
            <w:rPr>
              <w:rFonts w:ascii="宋体" w:hAnsi="宋体" w:eastAsia="宋体" w:cs="宋体"/>
              <w:spacing w:val="-60"/>
              <w:sz w:val="21"/>
              <w:szCs w:val="21"/>
            </w:rPr>
            <w:t xml:space="preserve"> </w:t>
          </w:r>
          <w:r>
            <w:rPr>
              <w:rFonts w:ascii="宋体" w:hAnsi="宋体" w:eastAsia="宋体" w:cs="宋体"/>
              <w:sz w:val="21"/>
              <w:szCs w:val="21"/>
            </w:rPr>
            <w:tab/>
          </w:r>
          <w:r>
            <w:rPr>
              <w:rFonts w:ascii="宋体" w:hAnsi="宋体" w:eastAsia="宋体" w:cs="宋体"/>
              <w:spacing w:val="-26"/>
              <w:sz w:val="21"/>
              <w:szCs w:val="21"/>
            </w:rPr>
            <w:t xml:space="preserve"> </w:t>
          </w:r>
          <w:r>
            <w:fldChar w:fldCharType="begin"/>
          </w:r>
          <w:r>
            <w:instrText xml:space="preserve"> HYPERLINK \l "bookmark79" </w:instrText>
          </w:r>
          <w:r>
            <w:fldChar w:fldCharType="separate"/>
          </w:r>
          <w:r>
            <w:rPr>
              <w:rFonts w:ascii="宋体" w:hAnsi="宋体" w:eastAsia="宋体" w:cs="宋体"/>
              <w:spacing w:val="-3"/>
              <w:sz w:val="21"/>
              <w:szCs w:val="21"/>
            </w:rPr>
            <w:t>27</w:t>
          </w:r>
          <w:r>
            <w:rPr>
              <w:rFonts w:ascii="宋体" w:hAnsi="宋体" w:eastAsia="宋体" w:cs="宋体"/>
              <w:spacing w:val="-3"/>
              <w:sz w:val="21"/>
              <w:szCs w:val="21"/>
            </w:rPr>
            <w:fldChar w:fldCharType="end"/>
          </w:r>
        </w:p>
        <w:p w14:paraId="604F74AF">
          <w:pPr>
            <w:tabs>
              <w:tab w:val="right" w:leader="dot" w:pos="8317"/>
            </w:tabs>
            <w:spacing w:before="23" w:line="221" w:lineRule="auto"/>
            <w:ind w:left="859"/>
            <w:rPr>
              <w:rFonts w:ascii="宋体" w:hAnsi="宋体" w:eastAsia="宋体" w:cs="宋体"/>
              <w:sz w:val="21"/>
              <w:szCs w:val="21"/>
            </w:rPr>
          </w:pPr>
          <w:r>
            <w:rPr>
              <w:rFonts w:ascii="宋体" w:hAnsi="宋体" w:eastAsia="宋体" w:cs="宋体"/>
              <w:spacing w:val="-1"/>
              <w:sz w:val="21"/>
              <w:szCs w:val="21"/>
            </w:rPr>
            <w:t>9.4 对与评标活动有关的工作人员的纪律要求</w:t>
          </w:r>
          <w:r>
            <w:rPr>
              <w:rFonts w:ascii="宋体" w:hAnsi="宋体" w:eastAsia="宋体" w:cs="宋体"/>
              <w:spacing w:val="-49"/>
              <w:sz w:val="21"/>
              <w:szCs w:val="21"/>
            </w:rPr>
            <w:t xml:space="preserve"> </w:t>
          </w:r>
          <w:r>
            <w:rPr>
              <w:rFonts w:ascii="宋体" w:hAnsi="宋体" w:eastAsia="宋体" w:cs="宋体"/>
              <w:sz w:val="21"/>
              <w:szCs w:val="21"/>
            </w:rPr>
            <w:tab/>
          </w:r>
          <w:r>
            <w:rPr>
              <w:rFonts w:ascii="宋体" w:hAnsi="宋体" w:eastAsia="宋体" w:cs="宋体"/>
              <w:spacing w:val="-25"/>
              <w:sz w:val="21"/>
              <w:szCs w:val="21"/>
            </w:rPr>
            <w:t xml:space="preserve"> </w:t>
          </w:r>
          <w:r>
            <w:fldChar w:fldCharType="begin"/>
          </w:r>
          <w:r>
            <w:instrText xml:space="preserve"> HYPERLINK \l "bookmark80" </w:instrText>
          </w:r>
          <w:r>
            <w:fldChar w:fldCharType="separate"/>
          </w:r>
          <w:r>
            <w:rPr>
              <w:rFonts w:ascii="宋体" w:hAnsi="宋体" w:eastAsia="宋体" w:cs="宋体"/>
              <w:spacing w:val="-3"/>
              <w:sz w:val="21"/>
              <w:szCs w:val="21"/>
            </w:rPr>
            <w:t>27</w:t>
          </w:r>
          <w:r>
            <w:rPr>
              <w:rFonts w:ascii="宋体" w:hAnsi="宋体" w:eastAsia="宋体" w:cs="宋体"/>
              <w:spacing w:val="-3"/>
              <w:sz w:val="21"/>
              <w:szCs w:val="21"/>
            </w:rPr>
            <w:fldChar w:fldCharType="end"/>
          </w:r>
        </w:p>
        <w:p w14:paraId="102646FE">
          <w:pPr>
            <w:tabs>
              <w:tab w:val="right" w:leader="dot" w:pos="8317"/>
            </w:tabs>
            <w:spacing w:before="18" w:line="221" w:lineRule="auto"/>
            <w:ind w:left="859"/>
            <w:rPr>
              <w:rFonts w:ascii="宋体" w:hAnsi="宋体" w:eastAsia="宋体" w:cs="宋体"/>
              <w:sz w:val="21"/>
              <w:szCs w:val="21"/>
            </w:rPr>
          </w:pPr>
          <w:r>
            <w:rPr>
              <w:rFonts w:ascii="宋体" w:hAnsi="宋体" w:eastAsia="宋体" w:cs="宋体"/>
              <w:spacing w:val="-4"/>
              <w:sz w:val="21"/>
              <w:szCs w:val="21"/>
            </w:rPr>
            <w:t>9.5</w:t>
          </w:r>
          <w:r>
            <w:rPr>
              <w:rFonts w:ascii="宋体" w:hAnsi="宋体" w:eastAsia="宋体" w:cs="宋体"/>
              <w:spacing w:val="15"/>
              <w:sz w:val="21"/>
              <w:szCs w:val="21"/>
            </w:rPr>
            <w:t xml:space="preserve"> </w:t>
          </w:r>
          <w:r>
            <w:rPr>
              <w:rFonts w:ascii="宋体" w:hAnsi="宋体" w:eastAsia="宋体" w:cs="宋体"/>
              <w:spacing w:val="-4"/>
              <w:sz w:val="21"/>
              <w:szCs w:val="21"/>
            </w:rPr>
            <w:t>投诉</w:t>
          </w:r>
          <w:r>
            <w:rPr>
              <w:rFonts w:ascii="宋体" w:hAnsi="宋体" w:eastAsia="宋体" w:cs="宋体"/>
              <w:spacing w:val="-87"/>
              <w:sz w:val="21"/>
              <w:szCs w:val="21"/>
            </w:rPr>
            <w:t xml:space="preserve"> </w:t>
          </w:r>
          <w:r>
            <w:rPr>
              <w:rFonts w:ascii="宋体" w:hAnsi="宋体" w:eastAsia="宋体" w:cs="宋体"/>
              <w:sz w:val="21"/>
              <w:szCs w:val="21"/>
            </w:rPr>
            <w:tab/>
          </w:r>
          <w:r>
            <w:rPr>
              <w:rFonts w:ascii="宋体" w:hAnsi="宋体" w:eastAsia="宋体" w:cs="宋体"/>
              <w:spacing w:val="-25"/>
              <w:sz w:val="21"/>
              <w:szCs w:val="21"/>
            </w:rPr>
            <w:t xml:space="preserve"> </w:t>
          </w:r>
          <w:r>
            <w:fldChar w:fldCharType="begin"/>
          </w:r>
          <w:r>
            <w:instrText xml:space="preserve"> HYPERLINK \l "bookmark81" </w:instrText>
          </w:r>
          <w:r>
            <w:fldChar w:fldCharType="separate"/>
          </w:r>
          <w:r>
            <w:rPr>
              <w:rFonts w:ascii="宋体" w:hAnsi="宋体" w:eastAsia="宋体" w:cs="宋体"/>
              <w:spacing w:val="-3"/>
              <w:sz w:val="21"/>
              <w:szCs w:val="21"/>
            </w:rPr>
            <w:t>27</w:t>
          </w:r>
          <w:r>
            <w:rPr>
              <w:rFonts w:ascii="宋体" w:hAnsi="宋体" w:eastAsia="宋体" w:cs="宋体"/>
              <w:spacing w:val="-3"/>
              <w:sz w:val="21"/>
              <w:szCs w:val="21"/>
            </w:rPr>
            <w:fldChar w:fldCharType="end"/>
          </w:r>
        </w:p>
        <w:p w14:paraId="54436DA3">
          <w:pPr>
            <w:tabs>
              <w:tab w:val="right" w:leader="dot" w:pos="8317"/>
            </w:tabs>
            <w:spacing w:before="22" w:line="221" w:lineRule="auto"/>
            <w:ind w:left="456"/>
            <w:rPr>
              <w:rFonts w:ascii="宋体" w:hAnsi="宋体" w:eastAsia="宋体" w:cs="宋体"/>
              <w:sz w:val="21"/>
              <w:szCs w:val="21"/>
            </w:rPr>
          </w:pPr>
          <w:r>
            <w:rPr>
              <w:rFonts w:ascii="宋体" w:hAnsi="宋体" w:eastAsia="宋体" w:cs="宋体"/>
              <w:spacing w:val="-4"/>
              <w:sz w:val="21"/>
              <w:szCs w:val="21"/>
            </w:rPr>
            <w:t>10.</w:t>
          </w:r>
          <w:r>
            <w:rPr>
              <w:rFonts w:ascii="宋体" w:hAnsi="宋体" w:eastAsia="宋体" w:cs="宋体"/>
              <w:spacing w:val="26"/>
              <w:sz w:val="21"/>
              <w:szCs w:val="21"/>
            </w:rPr>
            <w:t xml:space="preserve"> </w:t>
          </w:r>
          <w:r>
            <w:rPr>
              <w:rFonts w:ascii="宋体" w:hAnsi="宋体" w:eastAsia="宋体" w:cs="宋体"/>
              <w:spacing w:val="-4"/>
              <w:sz w:val="21"/>
              <w:szCs w:val="21"/>
            </w:rPr>
            <w:t>需要补充的其他内容</w:t>
          </w:r>
          <w:r>
            <w:rPr>
              <w:rFonts w:ascii="宋体" w:hAnsi="宋体" w:eastAsia="宋体" w:cs="宋体"/>
              <w:spacing w:val="-80"/>
              <w:sz w:val="21"/>
              <w:szCs w:val="21"/>
            </w:rPr>
            <w:t xml:space="preserve"> </w:t>
          </w:r>
          <w:r>
            <w:rPr>
              <w:rFonts w:ascii="宋体" w:hAnsi="宋体" w:eastAsia="宋体" w:cs="宋体"/>
              <w:sz w:val="21"/>
              <w:szCs w:val="21"/>
            </w:rPr>
            <w:tab/>
          </w:r>
          <w:r>
            <w:rPr>
              <w:rFonts w:ascii="宋体" w:hAnsi="宋体" w:eastAsia="宋体" w:cs="宋体"/>
              <w:spacing w:val="-25"/>
              <w:sz w:val="21"/>
              <w:szCs w:val="21"/>
            </w:rPr>
            <w:t xml:space="preserve"> </w:t>
          </w:r>
          <w:r>
            <w:fldChar w:fldCharType="begin"/>
          </w:r>
          <w:r>
            <w:instrText xml:space="preserve"> HYPERLINK \l "bookmark82" </w:instrText>
          </w:r>
          <w:r>
            <w:fldChar w:fldCharType="separate"/>
          </w:r>
          <w:r>
            <w:rPr>
              <w:rFonts w:ascii="宋体" w:hAnsi="宋体" w:eastAsia="宋体" w:cs="宋体"/>
              <w:spacing w:val="-3"/>
              <w:sz w:val="21"/>
              <w:szCs w:val="21"/>
            </w:rPr>
            <w:t>28</w:t>
          </w:r>
          <w:r>
            <w:rPr>
              <w:rFonts w:ascii="宋体" w:hAnsi="宋体" w:eastAsia="宋体" w:cs="宋体"/>
              <w:spacing w:val="-3"/>
              <w:sz w:val="21"/>
              <w:szCs w:val="21"/>
            </w:rPr>
            <w:fldChar w:fldCharType="end"/>
          </w:r>
        </w:p>
        <w:p w14:paraId="59248A15">
          <w:pPr>
            <w:tabs>
              <w:tab w:val="right" w:leader="dot" w:pos="8317"/>
            </w:tabs>
            <w:spacing w:before="23" w:line="221" w:lineRule="auto"/>
            <w:ind w:left="874"/>
            <w:rPr>
              <w:rFonts w:ascii="宋体" w:hAnsi="宋体" w:eastAsia="宋体" w:cs="宋体"/>
              <w:sz w:val="21"/>
              <w:szCs w:val="21"/>
            </w:rPr>
          </w:pPr>
          <w:r>
            <w:rPr>
              <w:rFonts w:ascii="宋体" w:hAnsi="宋体" w:eastAsia="宋体" w:cs="宋体"/>
              <w:spacing w:val="-4"/>
              <w:sz w:val="21"/>
              <w:szCs w:val="21"/>
            </w:rPr>
            <w:t>10.1</w:t>
          </w:r>
          <w:r>
            <w:rPr>
              <w:rFonts w:ascii="宋体" w:hAnsi="宋体" w:eastAsia="宋体" w:cs="宋体"/>
              <w:spacing w:val="10"/>
              <w:sz w:val="21"/>
              <w:szCs w:val="21"/>
            </w:rPr>
            <w:t xml:space="preserve"> </w:t>
          </w:r>
          <w:r>
            <w:rPr>
              <w:rFonts w:ascii="宋体" w:hAnsi="宋体" w:eastAsia="宋体" w:cs="宋体"/>
              <w:spacing w:val="-4"/>
              <w:sz w:val="21"/>
              <w:szCs w:val="21"/>
            </w:rPr>
            <w:t>词语定义</w:t>
          </w:r>
          <w:r>
            <w:rPr>
              <w:rFonts w:ascii="宋体" w:hAnsi="宋体" w:eastAsia="宋体" w:cs="宋体"/>
              <w:spacing w:val="-81"/>
              <w:sz w:val="21"/>
              <w:szCs w:val="21"/>
            </w:rPr>
            <w:t xml:space="preserve"> </w:t>
          </w:r>
          <w:r>
            <w:rPr>
              <w:rFonts w:ascii="宋体" w:hAnsi="宋体" w:eastAsia="宋体" w:cs="宋体"/>
              <w:sz w:val="21"/>
              <w:szCs w:val="21"/>
            </w:rPr>
            <w:tab/>
          </w:r>
          <w:r>
            <w:rPr>
              <w:rFonts w:ascii="宋体" w:hAnsi="宋体" w:eastAsia="宋体" w:cs="宋体"/>
              <w:spacing w:val="-26"/>
              <w:sz w:val="21"/>
              <w:szCs w:val="21"/>
            </w:rPr>
            <w:t xml:space="preserve"> </w:t>
          </w:r>
          <w:r>
            <w:fldChar w:fldCharType="begin"/>
          </w:r>
          <w:r>
            <w:instrText xml:space="preserve"> HYPERLINK \l "bookmark83" </w:instrText>
          </w:r>
          <w:r>
            <w:fldChar w:fldCharType="separate"/>
          </w:r>
          <w:r>
            <w:rPr>
              <w:rFonts w:ascii="宋体" w:hAnsi="宋体" w:eastAsia="宋体" w:cs="宋体"/>
              <w:spacing w:val="-3"/>
              <w:sz w:val="21"/>
              <w:szCs w:val="21"/>
            </w:rPr>
            <w:t>28</w:t>
          </w:r>
          <w:r>
            <w:rPr>
              <w:rFonts w:ascii="宋体" w:hAnsi="宋体" w:eastAsia="宋体" w:cs="宋体"/>
              <w:spacing w:val="-3"/>
              <w:sz w:val="21"/>
              <w:szCs w:val="21"/>
            </w:rPr>
            <w:fldChar w:fldCharType="end"/>
          </w:r>
        </w:p>
        <w:p w14:paraId="5595F377">
          <w:pPr>
            <w:tabs>
              <w:tab w:val="right" w:leader="dot" w:pos="8317"/>
            </w:tabs>
            <w:spacing w:before="22" w:line="221" w:lineRule="auto"/>
            <w:ind w:left="874"/>
            <w:rPr>
              <w:rFonts w:ascii="宋体" w:hAnsi="宋体" w:eastAsia="宋体" w:cs="宋体"/>
              <w:sz w:val="21"/>
              <w:szCs w:val="21"/>
            </w:rPr>
          </w:pPr>
          <w:r>
            <w:rPr>
              <w:rFonts w:ascii="宋体" w:hAnsi="宋体" w:eastAsia="宋体" w:cs="宋体"/>
              <w:spacing w:val="-5"/>
              <w:sz w:val="21"/>
              <w:szCs w:val="21"/>
            </w:rPr>
            <w:t>10.2</w:t>
          </w:r>
          <w:r>
            <w:rPr>
              <w:rFonts w:ascii="宋体" w:hAnsi="宋体" w:eastAsia="宋体" w:cs="宋体"/>
              <w:spacing w:val="38"/>
              <w:sz w:val="21"/>
              <w:szCs w:val="21"/>
            </w:rPr>
            <w:t xml:space="preserve"> </w:t>
          </w:r>
          <w:r>
            <w:rPr>
              <w:rFonts w:ascii="宋体" w:hAnsi="宋体" w:eastAsia="宋体" w:cs="宋体"/>
              <w:spacing w:val="-5"/>
              <w:sz w:val="21"/>
              <w:szCs w:val="21"/>
            </w:rPr>
            <w:t>中标人的投标文件</w:t>
          </w:r>
          <w:r>
            <w:rPr>
              <w:rFonts w:ascii="宋体" w:hAnsi="宋体" w:eastAsia="宋体" w:cs="宋体"/>
              <w:spacing w:val="-76"/>
              <w:sz w:val="21"/>
              <w:szCs w:val="21"/>
            </w:rPr>
            <w:t xml:space="preserve"> </w:t>
          </w:r>
          <w:r>
            <w:rPr>
              <w:rFonts w:ascii="宋体" w:hAnsi="宋体" w:eastAsia="宋体" w:cs="宋体"/>
              <w:sz w:val="21"/>
              <w:szCs w:val="21"/>
            </w:rPr>
            <w:tab/>
          </w:r>
          <w:r>
            <w:rPr>
              <w:rFonts w:ascii="宋体" w:hAnsi="宋体" w:eastAsia="宋体" w:cs="宋体"/>
              <w:spacing w:val="-26"/>
              <w:sz w:val="21"/>
              <w:szCs w:val="21"/>
            </w:rPr>
            <w:t xml:space="preserve"> </w:t>
          </w:r>
          <w:r>
            <w:fldChar w:fldCharType="begin"/>
          </w:r>
          <w:r>
            <w:instrText xml:space="preserve"> HYPERLINK \l "bookmark84" </w:instrText>
          </w:r>
          <w:r>
            <w:fldChar w:fldCharType="separate"/>
          </w:r>
          <w:r>
            <w:rPr>
              <w:rFonts w:ascii="宋体" w:hAnsi="宋体" w:eastAsia="宋体" w:cs="宋体"/>
              <w:spacing w:val="-3"/>
              <w:sz w:val="21"/>
              <w:szCs w:val="21"/>
            </w:rPr>
            <w:t>28</w:t>
          </w:r>
          <w:r>
            <w:rPr>
              <w:rFonts w:ascii="宋体" w:hAnsi="宋体" w:eastAsia="宋体" w:cs="宋体"/>
              <w:spacing w:val="-3"/>
              <w:sz w:val="21"/>
              <w:szCs w:val="21"/>
            </w:rPr>
            <w:fldChar w:fldCharType="end"/>
          </w:r>
        </w:p>
        <w:p w14:paraId="6577624A">
          <w:pPr>
            <w:tabs>
              <w:tab w:val="right" w:leader="dot" w:pos="8317"/>
            </w:tabs>
            <w:spacing w:before="17" w:line="221" w:lineRule="auto"/>
            <w:ind w:left="874"/>
            <w:rPr>
              <w:rFonts w:ascii="宋体" w:hAnsi="宋体" w:eastAsia="宋体" w:cs="宋体"/>
              <w:sz w:val="21"/>
              <w:szCs w:val="21"/>
            </w:rPr>
          </w:pPr>
          <w:r>
            <w:rPr>
              <w:rFonts w:ascii="宋体" w:hAnsi="宋体" w:eastAsia="宋体" w:cs="宋体"/>
              <w:spacing w:val="-5"/>
              <w:sz w:val="21"/>
              <w:szCs w:val="21"/>
            </w:rPr>
            <w:t>10.3</w:t>
          </w:r>
          <w:r>
            <w:rPr>
              <w:rFonts w:ascii="宋体" w:hAnsi="宋体" w:eastAsia="宋体" w:cs="宋体"/>
              <w:spacing w:val="18"/>
              <w:sz w:val="21"/>
              <w:szCs w:val="21"/>
            </w:rPr>
            <w:t xml:space="preserve"> </w:t>
          </w:r>
          <w:r>
            <w:rPr>
              <w:rFonts w:ascii="宋体" w:hAnsi="宋体" w:eastAsia="宋体" w:cs="宋体"/>
              <w:spacing w:val="-5"/>
              <w:sz w:val="21"/>
              <w:szCs w:val="21"/>
            </w:rPr>
            <w:t>知识产权</w:t>
          </w:r>
          <w:r>
            <w:rPr>
              <w:rFonts w:ascii="宋体" w:hAnsi="宋体" w:eastAsia="宋体" w:cs="宋体"/>
              <w:spacing w:val="-81"/>
              <w:sz w:val="21"/>
              <w:szCs w:val="21"/>
            </w:rPr>
            <w:t xml:space="preserve"> </w:t>
          </w:r>
          <w:r>
            <w:rPr>
              <w:rFonts w:ascii="宋体" w:hAnsi="宋体" w:eastAsia="宋体" w:cs="宋体"/>
              <w:sz w:val="21"/>
              <w:szCs w:val="21"/>
            </w:rPr>
            <w:tab/>
          </w:r>
          <w:r>
            <w:rPr>
              <w:rFonts w:ascii="宋体" w:hAnsi="宋体" w:eastAsia="宋体" w:cs="宋体"/>
              <w:spacing w:val="-26"/>
              <w:sz w:val="21"/>
              <w:szCs w:val="21"/>
            </w:rPr>
            <w:t xml:space="preserve"> </w:t>
          </w:r>
          <w:r>
            <w:fldChar w:fldCharType="begin"/>
          </w:r>
          <w:r>
            <w:instrText xml:space="preserve"> HYPERLINK \l "bookmark85" </w:instrText>
          </w:r>
          <w:r>
            <w:fldChar w:fldCharType="separate"/>
          </w:r>
          <w:r>
            <w:rPr>
              <w:rFonts w:ascii="宋体" w:hAnsi="宋体" w:eastAsia="宋体" w:cs="宋体"/>
              <w:spacing w:val="-3"/>
              <w:sz w:val="21"/>
              <w:szCs w:val="21"/>
            </w:rPr>
            <w:t>28</w:t>
          </w:r>
          <w:r>
            <w:rPr>
              <w:rFonts w:ascii="宋体" w:hAnsi="宋体" w:eastAsia="宋体" w:cs="宋体"/>
              <w:spacing w:val="-3"/>
              <w:sz w:val="21"/>
              <w:szCs w:val="21"/>
            </w:rPr>
            <w:fldChar w:fldCharType="end"/>
          </w:r>
        </w:p>
        <w:p w14:paraId="5935B6F0">
          <w:pPr>
            <w:tabs>
              <w:tab w:val="right" w:leader="dot" w:pos="8317"/>
            </w:tabs>
            <w:spacing w:before="23" w:line="221" w:lineRule="auto"/>
            <w:ind w:left="874"/>
            <w:rPr>
              <w:rFonts w:ascii="宋体" w:hAnsi="宋体" w:eastAsia="宋体" w:cs="宋体"/>
              <w:sz w:val="21"/>
              <w:szCs w:val="21"/>
            </w:rPr>
          </w:pPr>
          <w:r>
            <w:rPr>
              <w:rFonts w:ascii="宋体" w:hAnsi="宋体" w:eastAsia="宋体" w:cs="宋体"/>
              <w:spacing w:val="-7"/>
              <w:sz w:val="21"/>
              <w:szCs w:val="21"/>
            </w:rPr>
            <w:t>10.4</w:t>
          </w:r>
          <w:r>
            <w:rPr>
              <w:rFonts w:ascii="宋体" w:hAnsi="宋体" w:eastAsia="宋体" w:cs="宋体"/>
              <w:spacing w:val="34"/>
              <w:sz w:val="21"/>
              <w:szCs w:val="21"/>
            </w:rPr>
            <w:t xml:space="preserve"> </w:t>
          </w:r>
          <w:r>
            <w:rPr>
              <w:rFonts w:ascii="宋体" w:hAnsi="宋体" w:eastAsia="宋体" w:cs="宋体"/>
              <w:spacing w:val="-7"/>
              <w:sz w:val="21"/>
              <w:szCs w:val="21"/>
            </w:rPr>
            <w:t>同义词语</w:t>
          </w:r>
          <w:r>
            <w:rPr>
              <w:rFonts w:ascii="宋体" w:hAnsi="宋体" w:eastAsia="宋体" w:cs="宋体"/>
              <w:spacing w:val="-81"/>
              <w:sz w:val="21"/>
              <w:szCs w:val="21"/>
            </w:rPr>
            <w:t xml:space="preserve"> </w:t>
          </w:r>
          <w:r>
            <w:rPr>
              <w:rFonts w:ascii="宋体" w:hAnsi="宋体" w:eastAsia="宋体" w:cs="宋体"/>
              <w:sz w:val="21"/>
              <w:szCs w:val="21"/>
            </w:rPr>
            <w:tab/>
          </w:r>
          <w:r>
            <w:rPr>
              <w:rFonts w:ascii="宋体" w:hAnsi="宋体" w:eastAsia="宋体" w:cs="宋体"/>
              <w:spacing w:val="-26"/>
              <w:sz w:val="21"/>
              <w:szCs w:val="21"/>
            </w:rPr>
            <w:t xml:space="preserve"> </w:t>
          </w:r>
          <w:r>
            <w:fldChar w:fldCharType="begin"/>
          </w:r>
          <w:r>
            <w:instrText xml:space="preserve"> HYPERLINK \l "bookmark86" </w:instrText>
          </w:r>
          <w:r>
            <w:fldChar w:fldCharType="separate"/>
          </w:r>
          <w:r>
            <w:rPr>
              <w:rFonts w:ascii="宋体" w:hAnsi="宋体" w:eastAsia="宋体" w:cs="宋体"/>
              <w:spacing w:val="-3"/>
              <w:sz w:val="21"/>
              <w:szCs w:val="21"/>
            </w:rPr>
            <w:t>28</w:t>
          </w:r>
          <w:r>
            <w:rPr>
              <w:rFonts w:ascii="宋体" w:hAnsi="宋体" w:eastAsia="宋体" w:cs="宋体"/>
              <w:spacing w:val="-3"/>
              <w:sz w:val="21"/>
              <w:szCs w:val="21"/>
            </w:rPr>
            <w:fldChar w:fldCharType="end"/>
          </w:r>
        </w:p>
        <w:p w14:paraId="729B26F3">
          <w:pPr>
            <w:tabs>
              <w:tab w:val="right" w:leader="dot" w:pos="8317"/>
            </w:tabs>
            <w:spacing w:before="22" w:line="221" w:lineRule="auto"/>
            <w:ind w:left="874"/>
            <w:rPr>
              <w:rFonts w:ascii="宋体" w:hAnsi="宋体" w:eastAsia="宋体" w:cs="宋体"/>
              <w:sz w:val="21"/>
              <w:szCs w:val="21"/>
            </w:rPr>
          </w:pPr>
          <w:r>
            <w:rPr>
              <w:rFonts w:ascii="宋体" w:hAnsi="宋体" w:eastAsia="宋体" w:cs="宋体"/>
              <w:spacing w:val="-4"/>
              <w:sz w:val="21"/>
              <w:szCs w:val="21"/>
            </w:rPr>
            <w:t>10.5</w:t>
          </w:r>
          <w:r>
            <w:rPr>
              <w:rFonts w:ascii="宋体" w:hAnsi="宋体" w:eastAsia="宋体" w:cs="宋体"/>
              <w:spacing w:val="10"/>
              <w:sz w:val="21"/>
              <w:szCs w:val="21"/>
            </w:rPr>
            <w:t xml:space="preserve"> </w:t>
          </w:r>
          <w:r>
            <w:rPr>
              <w:rFonts w:ascii="宋体" w:hAnsi="宋体" w:eastAsia="宋体" w:cs="宋体"/>
              <w:spacing w:val="-4"/>
              <w:sz w:val="21"/>
              <w:szCs w:val="21"/>
            </w:rPr>
            <w:t>解释权</w:t>
          </w:r>
          <w:r>
            <w:rPr>
              <w:rFonts w:ascii="宋体" w:hAnsi="宋体" w:eastAsia="宋体" w:cs="宋体"/>
              <w:spacing w:val="-87"/>
              <w:sz w:val="21"/>
              <w:szCs w:val="21"/>
            </w:rPr>
            <w:t xml:space="preserve"> </w:t>
          </w:r>
          <w:r>
            <w:rPr>
              <w:rFonts w:ascii="宋体" w:hAnsi="宋体" w:eastAsia="宋体" w:cs="宋体"/>
              <w:sz w:val="21"/>
              <w:szCs w:val="21"/>
            </w:rPr>
            <w:tab/>
          </w:r>
          <w:r>
            <w:rPr>
              <w:rFonts w:ascii="宋体" w:hAnsi="宋体" w:eastAsia="宋体" w:cs="宋体"/>
              <w:spacing w:val="-25"/>
              <w:sz w:val="21"/>
              <w:szCs w:val="21"/>
            </w:rPr>
            <w:t xml:space="preserve"> </w:t>
          </w:r>
          <w:r>
            <w:fldChar w:fldCharType="begin"/>
          </w:r>
          <w:r>
            <w:instrText xml:space="preserve"> HYPERLINK \l "bookmark87" </w:instrText>
          </w:r>
          <w:r>
            <w:fldChar w:fldCharType="separate"/>
          </w:r>
          <w:r>
            <w:rPr>
              <w:rFonts w:ascii="宋体" w:hAnsi="宋体" w:eastAsia="宋体" w:cs="宋体"/>
              <w:spacing w:val="-3"/>
              <w:sz w:val="21"/>
              <w:szCs w:val="21"/>
            </w:rPr>
            <w:t>28</w:t>
          </w:r>
          <w:r>
            <w:rPr>
              <w:rFonts w:ascii="宋体" w:hAnsi="宋体" w:eastAsia="宋体" w:cs="宋体"/>
              <w:spacing w:val="-3"/>
              <w:sz w:val="21"/>
              <w:szCs w:val="21"/>
            </w:rPr>
            <w:fldChar w:fldCharType="end"/>
          </w:r>
        </w:p>
        <w:p w14:paraId="4E69AC7E">
          <w:pPr>
            <w:tabs>
              <w:tab w:val="right" w:leader="dot" w:pos="8317"/>
            </w:tabs>
            <w:spacing w:before="17" w:line="221" w:lineRule="auto"/>
            <w:ind w:left="874"/>
            <w:rPr>
              <w:rFonts w:ascii="宋体" w:hAnsi="宋体" w:eastAsia="宋体" w:cs="宋体"/>
              <w:sz w:val="21"/>
              <w:szCs w:val="21"/>
            </w:rPr>
          </w:pPr>
          <w:r>
            <w:rPr>
              <w:rFonts w:ascii="宋体" w:hAnsi="宋体" w:eastAsia="宋体" w:cs="宋体"/>
              <w:spacing w:val="-2"/>
              <w:sz w:val="21"/>
              <w:szCs w:val="21"/>
            </w:rPr>
            <w:t>10.6 招标人补充的其他内容</w:t>
          </w:r>
          <w:r>
            <w:rPr>
              <w:rFonts w:ascii="宋体" w:hAnsi="宋体" w:eastAsia="宋体" w:cs="宋体"/>
              <w:spacing w:val="-66"/>
              <w:sz w:val="21"/>
              <w:szCs w:val="21"/>
            </w:rPr>
            <w:t xml:space="preserve"> </w:t>
          </w:r>
          <w:r>
            <w:rPr>
              <w:rFonts w:ascii="宋体" w:hAnsi="宋体" w:eastAsia="宋体" w:cs="宋体"/>
              <w:sz w:val="21"/>
              <w:szCs w:val="21"/>
            </w:rPr>
            <w:tab/>
          </w:r>
          <w:r>
            <w:rPr>
              <w:rFonts w:ascii="宋体" w:hAnsi="宋体" w:eastAsia="宋体" w:cs="宋体"/>
              <w:spacing w:val="-26"/>
              <w:sz w:val="21"/>
              <w:szCs w:val="21"/>
            </w:rPr>
            <w:t xml:space="preserve"> </w:t>
          </w:r>
          <w:r>
            <w:fldChar w:fldCharType="begin"/>
          </w:r>
          <w:r>
            <w:instrText xml:space="preserve"> HYPERLINK \l "bookmark88" </w:instrText>
          </w:r>
          <w:r>
            <w:fldChar w:fldCharType="separate"/>
          </w:r>
          <w:r>
            <w:rPr>
              <w:rFonts w:ascii="宋体" w:hAnsi="宋体" w:eastAsia="宋体" w:cs="宋体"/>
              <w:spacing w:val="-3"/>
              <w:sz w:val="21"/>
              <w:szCs w:val="21"/>
            </w:rPr>
            <w:t>28</w:t>
          </w:r>
          <w:r>
            <w:rPr>
              <w:rFonts w:ascii="宋体" w:hAnsi="宋体" w:eastAsia="宋体" w:cs="宋体"/>
              <w:spacing w:val="-3"/>
              <w:sz w:val="21"/>
              <w:szCs w:val="21"/>
            </w:rPr>
            <w:fldChar w:fldCharType="end"/>
          </w:r>
        </w:p>
        <w:p w14:paraId="58CD9D37">
          <w:pPr>
            <w:tabs>
              <w:tab w:val="right" w:leader="dot" w:pos="8317"/>
            </w:tabs>
            <w:spacing w:before="23" w:line="220" w:lineRule="auto"/>
            <w:ind w:left="875"/>
            <w:rPr>
              <w:rFonts w:ascii="宋体" w:hAnsi="宋体" w:eastAsia="宋体" w:cs="宋体"/>
              <w:sz w:val="21"/>
              <w:szCs w:val="21"/>
            </w:rPr>
          </w:pPr>
          <w:r>
            <w:rPr>
              <w:rFonts w:ascii="宋体" w:hAnsi="宋体" w:eastAsia="宋体" w:cs="宋体"/>
              <w:spacing w:val="-2"/>
              <w:sz w:val="21"/>
              <w:szCs w:val="21"/>
            </w:rPr>
            <w:t>附表一：招标文件澄清申请函</w:t>
          </w:r>
          <w:r>
            <w:rPr>
              <w:rFonts w:ascii="宋体" w:hAnsi="宋体" w:eastAsia="宋体" w:cs="宋体"/>
              <w:spacing w:val="-70"/>
              <w:sz w:val="21"/>
              <w:szCs w:val="21"/>
            </w:rPr>
            <w:t xml:space="preserve"> </w:t>
          </w:r>
          <w:r>
            <w:rPr>
              <w:rFonts w:ascii="宋体" w:hAnsi="宋体" w:eastAsia="宋体" w:cs="宋体"/>
              <w:sz w:val="21"/>
              <w:szCs w:val="21"/>
            </w:rPr>
            <w:tab/>
          </w:r>
          <w:r>
            <w:rPr>
              <w:rFonts w:ascii="宋体" w:hAnsi="宋体" w:eastAsia="宋体" w:cs="宋体"/>
              <w:spacing w:val="-26"/>
              <w:sz w:val="21"/>
              <w:szCs w:val="21"/>
            </w:rPr>
            <w:t xml:space="preserve"> </w:t>
          </w:r>
          <w:r>
            <w:fldChar w:fldCharType="begin"/>
          </w:r>
          <w:r>
            <w:instrText xml:space="preserve"> HYPERLINK \l "bookmark89" </w:instrText>
          </w:r>
          <w:r>
            <w:fldChar w:fldCharType="separate"/>
          </w:r>
          <w:r>
            <w:rPr>
              <w:rFonts w:ascii="宋体" w:hAnsi="宋体" w:eastAsia="宋体" w:cs="宋体"/>
              <w:spacing w:val="-3"/>
              <w:sz w:val="21"/>
              <w:szCs w:val="21"/>
            </w:rPr>
            <w:t>29</w:t>
          </w:r>
          <w:r>
            <w:rPr>
              <w:rFonts w:ascii="宋体" w:hAnsi="宋体" w:eastAsia="宋体" w:cs="宋体"/>
              <w:spacing w:val="-3"/>
              <w:sz w:val="21"/>
              <w:szCs w:val="21"/>
            </w:rPr>
            <w:fldChar w:fldCharType="end"/>
          </w:r>
        </w:p>
        <w:p w14:paraId="5650A957">
          <w:pPr>
            <w:tabs>
              <w:tab w:val="right" w:leader="dot" w:pos="8317"/>
            </w:tabs>
            <w:spacing w:before="23" w:line="220" w:lineRule="auto"/>
            <w:ind w:left="875"/>
            <w:rPr>
              <w:rFonts w:ascii="宋体" w:hAnsi="宋体" w:eastAsia="宋体" w:cs="宋体"/>
              <w:sz w:val="21"/>
              <w:szCs w:val="21"/>
            </w:rPr>
          </w:pPr>
          <w:r>
            <w:rPr>
              <w:rFonts w:ascii="宋体" w:hAnsi="宋体" w:eastAsia="宋体" w:cs="宋体"/>
              <w:spacing w:val="-2"/>
              <w:sz w:val="21"/>
              <w:szCs w:val="21"/>
            </w:rPr>
            <w:t>附表二：招标文件澄清通知</w:t>
          </w:r>
          <w:r>
            <w:rPr>
              <w:rFonts w:ascii="宋体" w:hAnsi="宋体" w:eastAsia="宋体" w:cs="宋体"/>
              <w:spacing w:val="-73"/>
              <w:sz w:val="21"/>
              <w:szCs w:val="21"/>
            </w:rPr>
            <w:t xml:space="preserve"> </w:t>
          </w:r>
          <w:r>
            <w:rPr>
              <w:rFonts w:ascii="宋体" w:hAnsi="宋体" w:eastAsia="宋体" w:cs="宋体"/>
              <w:sz w:val="21"/>
              <w:szCs w:val="21"/>
            </w:rPr>
            <w:tab/>
          </w:r>
          <w:r>
            <w:rPr>
              <w:rFonts w:ascii="宋体" w:hAnsi="宋体" w:eastAsia="宋体" w:cs="宋体"/>
              <w:spacing w:val="-25"/>
              <w:sz w:val="21"/>
              <w:szCs w:val="21"/>
            </w:rPr>
            <w:t xml:space="preserve"> </w:t>
          </w:r>
          <w:r>
            <w:fldChar w:fldCharType="begin"/>
          </w:r>
          <w:r>
            <w:instrText xml:space="preserve"> HYPERLINK \l "bookmark90" </w:instrText>
          </w:r>
          <w:r>
            <w:fldChar w:fldCharType="separate"/>
          </w:r>
          <w:r>
            <w:rPr>
              <w:rFonts w:ascii="宋体" w:hAnsi="宋体" w:eastAsia="宋体" w:cs="宋体"/>
              <w:spacing w:val="-3"/>
              <w:sz w:val="21"/>
              <w:szCs w:val="21"/>
            </w:rPr>
            <w:t>30</w:t>
          </w:r>
          <w:r>
            <w:rPr>
              <w:rFonts w:ascii="宋体" w:hAnsi="宋体" w:eastAsia="宋体" w:cs="宋体"/>
              <w:spacing w:val="-3"/>
              <w:sz w:val="21"/>
              <w:szCs w:val="21"/>
            </w:rPr>
            <w:fldChar w:fldCharType="end"/>
          </w:r>
        </w:p>
        <w:p w14:paraId="5FA32ED2">
          <w:pPr>
            <w:tabs>
              <w:tab w:val="right" w:leader="dot" w:pos="8317"/>
            </w:tabs>
            <w:spacing w:before="24" w:line="220" w:lineRule="auto"/>
            <w:ind w:left="875"/>
            <w:rPr>
              <w:rFonts w:ascii="宋体" w:hAnsi="宋体" w:eastAsia="宋体" w:cs="宋体"/>
              <w:sz w:val="21"/>
              <w:szCs w:val="21"/>
            </w:rPr>
          </w:pPr>
          <w:r>
            <w:rPr>
              <w:rFonts w:ascii="宋体" w:hAnsi="宋体" w:eastAsia="宋体" w:cs="宋体"/>
              <w:spacing w:val="-2"/>
              <w:sz w:val="21"/>
              <w:szCs w:val="21"/>
            </w:rPr>
            <w:t>附表三：招标文件修改通知</w:t>
          </w:r>
          <w:r>
            <w:rPr>
              <w:rFonts w:ascii="宋体" w:hAnsi="宋体" w:eastAsia="宋体" w:cs="宋体"/>
              <w:spacing w:val="-73"/>
              <w:sz w:val="21"/>
              <w:szCs w:val="21"/>
            </w:rPr>
            <w:t xml:space="preserve"> </w:t>
          </w:r>
          <w:r>
            <w:rPr>
              <w:rFonts w:ascii="宋体" w:hAnsi="宋体" w:eastAsia="宋体" w:cs="宋体"/>
              <w:sz w:val="21"/>
              <w:szCs w:val="21"/>
            </w:rPr>
            <w:tab/>
          </w:r>
          <w:r>
            <w:rPr>
              <w:rFonts w:ascii="宋体" w:hAnsi="宋体" w:eastAsia="宋体" w:cs="宋体"/>
              <w:spacing w:val="-25"/>
              <w:sz w:val="21"/>
              <w:szCs w:val="21"/>
            </w:rPr>
            <w:t xml:space="preserve"> </w:t>
          </w:r>
          <w:r>
            <w:fldChar w:fldCharType="begin"/>
          </w:r>
          <w:r>
            <w:instrText xml:space="preserve"> HYPERLINK \l "bookmark91" </w:instrText>
          </w:r>
          <w:r>
            <w:fldChar w:fldCharType="separate"/>
          </w:r>
          <w:r>
            <w:rPr>
              <w:rFonts w:ascii="宋体" w:hAnsi="宋体" w:eastAsia="宋体" w:cs="宋体"/>
              <w:spacing w:val="-3"/>
              <w:sz w:val="21"/>
              <w:szCs w:val="21"/>
            </w:rPr>
            <w:t>31</w:t>
          </w:r>
          <w:r>
            <w:rPr>
              <w:rFonts w:ascii="宋体" w:hAnsi="宋体" w:eastAsia="宋体" w:cs="宋体"/>
              <w:spacing w:val="-3"/>
              <w:sz w:val="21"/>
              <w:szCs w:val="21"/>
            </w:rPr>
            <w:fldChar w:fldCharType="end"/>
          </w:r>
        </w:p>
        <w:p w14:paraId="373A5B4F">
          <w:pPr>
            <w:tabs>
              <w:tab w:val="right" w:leader="dot" w:pos="8317"/>
            </w:tabs>
            <w:spacing w:before="18" w:line="220" w:lineRule="auto"/>
            <w:ind w:left="875"/>
            <w:rPr>
              <w:rFonts w:ascii="宋体" w:hAnsi="宋体" w:eastAsia="宋体" w:cs="宋体"/>
              <w:sz w:val="21"/>
              <w:szCs w:val="21"/>
            </w:rPr>
          </w:pPr>
          <w:r>
            <w:rPr>
              <w:rFonts w:ascii="宋体" w:hAnsi="宋体" w:eastAsia="宋体" w:cs="宋体"/>
              <w:spacing w:val="-2"/>
              <w:sz w:val="21"/>
              <w:szCs w:val="21"/>
            </w:rPr>
            <w:t>附表四：投标文件递交电子签收凭证</w:t>
          </w:r>
          <w:r>
            <w:rPr>
              <w:rFonts w:ascii="宋体" w:hAnsi="宋体" w:eastAsia="宋体" w:cs="宋体"/>
              <w:spacing w:val="-60"/>
              <w:sz w:val="21"/>
              <w:szCs w:val="21"/>
            </w:rPr>
            <w:t xml:space="preserve"> </w:t>
          </w:r>
          <w:r>
            <w:rPr>
              <w:rFonts w:ascii="宋体" w:hAnsi="宋体" w:eastAsia="宋体" w:cs="宋体"/>
              <w:sz w:val="21"/>
              <w:szCs w:val="21"/>
            </w:rPr>
            <w:tab/>
          </w:r>
          <w:r>
            <w:rPr>
              <w:rFonts w:ascii="宋体" w:hAnsi="宋体" w:eastAsia="宋体" w:cs="宋体"/>
              <w:spacing w:val="-26"/>
              <w:sz w:val="21"/>
              <w:szCs w:val="21"/>
            </w:rPr>
            <w:t xml:space="preserve"> </w:t>
          </w:r>
          <w:r>
            <w:fldChar w:fldCharType="begin"/>
          </w:r>
          <w:r>
            <w:instrText xml:space="preserve"> HYPERLINK \l "bookmark92" </w:instrText>
          </w:r>
          <w:r>
            <w:fldChar w:fldCharType="separate"/>
          </w:r>
          <w:r>
            <w:rPr>
              <w:rFonts w:ascii="宋体" w:hAnsi="宋体" w:eastAsia="宋体" w:cs="宋体"/>
              <w:spacing w:val="-3"/>
              <w:sz w:val="21"/>
              <w:szCs w:val="21"/>
            </w:rPr>
            <w:t>32</w:t>
          </w:r>
          <w:r>
            <w:rPr>
              <w:rFonts w:ascii="宋体" w:hAnsi="宋体" w:eastAsia="宋体" w:cs="宋体"/>
              <w:spacing w:val="-3"/>
              <w:sz w:val="21"/>
              <w:szCs w:val="21"/>
            </w:rPr>
            <w:fldChar w:fldCharType="end"/>
          </w:r>
        </w:p>
        <w:p w14:paraId="6F4C0D5C">
          <w:pPr>
            <w:tabs>
              <w:tab w:val="right" w:leader="dot" w:pos="8317"/>
            </w:tabs>
            <w:spacing w:before="23" w:line="220" w:lineRule="auto"/>
            <w:ind w:left="875"/>
            <w:rPr>
              <w:rFonts w:ascii="宋体" w:hAnsi="宋体" w:eastAsia="宋体" w:cs="宋体"/>
              <w:sz w:val="21"/>
              <w:szCs w:val="21"/>
            </w:rPr>
          </w:pPr>
          <w:r>
            <w:rPr>
              <w:rFonts w:ascii="宋体" w:hAnsi="宋体" w:eastAsia="宋体" w:cs="宋体"/>
              <w:spacing w:val="-3"/>
              <w:sz w:val="21"/>
              <w:szCs w:val="21"/>
            </w:rPr>
            <w:t>附表五：开标记录表</w:t>
          </w:r>
          <w:r>
            <w:rPr>
              <w:rFonts w:ascii="宋体" w:hAnsi="宋体" w:eastAsia="宋体" w:cs="宋体"/>
              <w:spacing w:val="-74"/>
              <w:sz w:val="21"/>
              <w:szCs w:val="21"/>
            </w:rPr>
            <w:t xml:space="preserve"> </w:t>
          </w:r>
          <w:r>
            <w:rPr>
              <w:rFonts w:ascii="宋体" w:hAnsi="宋体" w:eastAsia="宋体" w:cs="宋体"/>
              <w:sz w:val="21"/>
              <w:szCs w:val="21"/>
            </w:rPr>
            <w:tab/>
          </w:r>
          <w:r>
            <w:rPr>
              <w:rFonts w:ascii="宋体" w:hAnsi="宋体" w:eastAsia="宋体" w:cs="宋体"/>
              <w:spacing w:val="-24"/>
              <w:sz w:val="21"/>
              <w:szCs w:val="21"/>
            </w:rPr>
            <w:t xml:space="preserve"> </w:t>
          </w:r>
          <w:r>
            <w:fldChar w:fldCharType="begin"/>
          </w:r>
          <w:r>
            <w:instrText xml:space="preserve"> HYPERLINK \l "bookmark93" </w:instrText>
          </w:r>
          <w:r>
            <w:fldChar w:fldCharType="separate"/>
          </w:r>
          <w:r>
            <w:rPr>
              <w:rFonts w:ascii="宋体" w:hAnsi="宋体" w:eastAsia="宋体" w:cs="宋体"/>
              <w:spacing w:val="-3"/>
              <w:sz w:val="21"/>
              <w:szCs w:val="21"/>
            </w:rPr>
            <w:t>33</w:t>
          </w:r>
          <w:r>
            <w:rPr>
              <w:rFonts w:ascii="宋体" w:hAnsi="宋体" w:eastAsia="宋体" w:cs="宋体"/>
              <w:spacing w:val="-3"/>
              <w:sz w:val="21"/>
              <w:szCs w:val="21"/>
            </w:rPr>
            <w:fldChar w:fldCharType="end"/>
          </w:r>
        </w:p>
        <w:p w14:paraId="2AF4F5A3">
          <w:pPr>
            <w:tabs>
              <w:tab w:val="right" w:leader="dot" w:pos="8317"/>
            </w:tabs>
            <w:spacing w:before="24" w:line="220" w:lineRule="auto"/>
            <w:ind w:left="875"/>
            <w:rPr>
              <w:rFonts w:ascii="宋体" w:hAnsi="宋体" w:eastAsia="宋体" w:cs="宋体"/>
              <w:sz w:val="21"/>
              <w:szCs w:val="21"/>
            </w:rPr>
          </w:pPr>
          <w:r>
            <w:rPr>
              <w:rFonts w:ascii="宋体" w:hAnsi="宋体" w:eastAsia="宋体" w:cs="宋体"/>
              <w:spacing w:val="-2"/>
              <w:sz w:val="21"/>
              <w:szCs w:val="21"/>
            </w:rPr>
            <w:t>附表六：投标文件问题澄清通知</w:t>
          </w:r>
          <w:r>
            <w:rPr>
              <w:rFonts w:ascii="宋体" w:hAnsi="宋体" w:eastAsia="宋体" w:cs="宋体"/>
              <w:spacing w:val="-66"/>
              <w:sz w:val="21"/>
              <w:szCs w:val="21"/>
            </w:rPr>
            <w:t xml:space="preserve"> </w:t>
          </w:r>
          <w:r>
            <w:rPr>
              <w:rFonts w:ascii="宋体" w:hAnsi="宋体" w:eastAsia="宋体" w:cs="宋体"/>
              <w:sz w:val="21"/>
              <w:szCs w:val="21"/>
            </w:rPr>
            <w:tab/>
          </w:r>
          <w:r>
            <w:rPr>
              <w:rFonts w:ascii="宋体" w:hAnsi="宋体" w:eastAsia="宋体" w:cs="宋体"/>
              <w:spacing w:val="-25"/>
              <w:sz w:val="21"/>
              <w:szCs w:val="21"/>
            </w:rPr>
            <w:t xml:space="preserve"> </w:t>
          </w:r>
          <w:r>
            <w:fldChar w:fldCharType="begin"/>
          </w:r>
          <w:r>
            <w:instrText xml:space="preserve"> HYPERLINK \l "bookmark94" </w:instrText>
          </w:r>
          <w:r>
            <w:fldChar w:fldCharType="separate"/>
          </w:r>
          <w:r>
            <w:rPr>
              <w:rFonts w:ascii="宋体" w:hAnsi="宋体" w:eastAsia="宋体" w:cs="宋体"/>
              <w:spacing w:val="-3"/>
              <w:sz w:val="21"/>
              <w:szCs w:val="21"/>
            </w:rPr>
            <w:t>34</w:t>
          </w:r>
          <w:r>
            <w:rPr>
              <w:rFonts w:ascii="宋体" w:hAnsi="宋体" w:eastAsia="宋体" w:cs="宋体"/>
              <w:spacing w:val="-3"/>
              <w:sz w:val="21"/>
              <w:szCs w:val="21"/>
            </w:rPr>
            <w:fldChar w:fldCharType="end"/>
          </w:r>
        </w:p>
        <w:p w14:paraId="7FE40FF8">
          <w:pPr>
            <w:tabs>
              <w:tab w:val="right" w:leader="dot" w:pos="8317"/>
            </w:tabs>
            <w:spacing w:before="24" w:line="220" w:lineRule="auto"/>
            <w:ind w:left="875"/>
            <w:rPr>
              <w:rFonts w:ascii="宋体" w:hAnsi="宋体" w:eastAsia="宋体" w:cs="宋体"/>
              <w:sz w:val="21"/>
              <w:szCs w:val="21"/>
            </w:rPr>
          </w:pPr>
          <w:r>
            <w:rPr>
              <w:rFonts w:ascii="宋体" w:hAnsi="宋体" w:eastAsia="宋体" w:cs="宋体"/>
              <w:spacing w:val="-2"/>
              <w:sz w:val="21"/>
              <w:szCs w:val="21"/>
            </w:rPr>
            <w:t>附表七：投标文件问题的澄清</w:t>
          </w:r>
          <w:r>
            <w:rPr>
              <w:rFonts w:ascii="宋体" w:hAnsi="宋体" w:eastAsia="宋体" w:cs="宋体"/>
              <w:spacing w:val="-70"/>
              <w:sz w:val="21"/>
              <w:szCs w:val="21"/>
            </w:rPr>
            <w:t xml:space="preserve"> </w:t>
          </w:r>
          <w:r>
            <w:rPr>
              <w:rFonts w:ascii="宋体" w:hAnsi="宋体" w:eastAsia="宋体" w:cs="宋体"/>
              <w:sz w:val="21"/>
              <w:szCs w:val="21"/>
            </w:rPr>
            <w:tab/>
          </w:r>
          <w:r>
            <w:rPr>
              <w:rFonts w:ascii="宋体" w:hAnsi="宋体" w:eastAsia="宋体" w:cs="宋体"/>
              <w:spacing w:val="-25"/>
              <w:sz w:val="21"/>
              <w:szCs w:val="21"/>
            </w:rPr>
            <w:t xml:space="preserve"> </w:t>
          </w:r>
          <w:r>
            <w:fldChar w:fldCharType="begin"/>
          </w:r>
          <w:r>
            <w:instrText xml:space="preserve"> HYPERLINK \l "bookmark95" </w:instrText>
          </w:r>
          <w:r>
            <w:fldChar w:fldCharType="separate"/>
          </w:r>
          <w:r>
            <w:rPr>
              <w:rFonts w:ascii="宋体" w:hAnsi="宋体" w:eastAsia="宋体" w:cs="宋体"/>
              <w:spacing w:val="-3"/>
              <w:sz w:val="21"/>
              <w:szCs w:val="21"/>
            </w:rPr>
            <w:t>35</w:t>
          </w:r>
          <w:r>
            <w:rPr>
              <w:rFonts w:ascii="宋体" w:hAnsi="宋体" w:eastAsia="宋体" w:cs="宋体"/>
              <w:spacing w:val="-3"/>
              <w:sz w:val="21"/>
              <w:szCs w:val="21"/>
            </w:rPr>
            <w:fldChar w:fldCharType="end"/>
          </w:r>
        </w:p>
      </w:sdtContent>
    </w:sdt>
    <w:p w14:paraId="1BCF2633">
      <w:pPr>
        <w:spacing w:line="220" w:lineRule="auto"/>
        <w:rPr>
          <w:rFonts w:ascii="宋体" w:hAnsi="宋体" w:eastAsia="宋体" w:cs="宋体"/>
          <w:sz w:val="21"/>
          <w:szCs w:val="21"/>
        </w:rPr>
        <w:sectPr>
          <w:footerReference r:id="rId7" w:type="default"/>
          <w:pgSz w:w="11905" w:h="16839"/>
          <w:pgMar w:top="1427" w:right="1785" w:bottom="1033" w:left="1785" w:header="0" w:footer="847" w:gutter="0"/>
          <w:pgNumType w:fmt="decimal"/>
          <w:cols w:space="720" w:num="1"/>
        </w:sectPr>
      </w:pPr>
    </w:p>
    <w:sdt>
      <w:sdtPr>
        <w:rPr>
          <w:rFonts w:ascii="宋体" w:hAnsi="宋体" w:eastAsia="宋体" w:cs="宋体"/>
          <w:sz w:val="21"/>
          <w:szCs w:val="21"/>
        </w:rPr>
        <w:id w:val="3"/>
        <w:docPartObj>
          <w:docPartGallery w:val="Table of Contents"/>
          <w:docPartUnique/>
        </w:docPartObj>
      </w:sdtPr>
      <w:sdtEndPr>
        <w:rPr>
          <w:rFonts w:ascii="宋体" w:hAnsi="宋体" w:eastAsia="宋体" w:cs="宋体"/>
          <w:sz w:val="21"/>
          <w:szCs w:val="21"/>
        </w:rPr>
      </w:sdtEndPr>
      <w:sdtContent>
        <w:p w14:paraId="26A86A76">
          <w:pPr>
            <w:tabs>
              <w:tab w:val="right" w:leader="dot" w:pos="8317"/>
            </w:tabs>
            <w:spacing w:before="42" w:line="220" w:lineRule="auto"/>
            <w:ind w:left="875"/>
            <w:rPr>
              <w:rFonts w:ascii="宋体" w:hAnsi="宋体" w:eastAsia="宋体" w:cs="宋体"/>
              <w:sz w:val="21"/>
              <w:szCs w:val="21"/>
            </w:rPr>
          </w:pPr>
          <w:r>
            <w:rPr>
              <w:rFonts w:ascii="宋体" w:hAnsi="宋体" w:eastAsia="宋体" w:cs="宋体"/>
              <w:spacing w:val="-3"/>
              <w:sz w:val="21"/>
              <w:szCs w:val="21"/>
            </w:rPr>
            <w:t>附表八：中标通知书</w:t>
          </w:r>
          <w:r>
            <w:rPr>
              <w:rFonts w:ascii="宋体" w:hAnsi="宋体" w:eastAsia="宋体" w:cs="宋体"/>
              <w:spacing w:val="-74"/>
              <w:sz w:val="21"/>
              <w:szCs w:val="21"/>
            </w:rPr>
            <w:t xml:space="preserve"> </w:t>
          </w:r>
          <w:r>
            <w:rPr>
              <w:rFonts w:ascii="宋体" w:hAnsi="宋体" w:eastAsia="宋体" w:cs="宋体"/>
              <w:sz w:val="21"/>
              <w:szCs w:val="21"/>
            </w:rPr>
            <w:tab/>
          </w:r>
          <w:r>
            <w:rPr>
              <w:rFonts w:ascii="宋体" w:hAnsi="宋体" w:eastAsia="宋体" w:cs="宋体"/>
              <w:spacing w:val="-24"/>
              <w:sz w:val="21"/>
              <w:szCs w:val="21"/>
            </w:rPr>
            <w:t xml:space="preserve"> </w:t>
          </w:r>
          <w:r>
            <w:fldChar w:fldCharType="begin"/>
          </w:r>
          <w:r>
            <w:instrText xml:space="preserve"> HYPERLINK \l "bookmark96" </w:instrText>
          </w:r>
          <w:r>
            <w:fldChar w:fldCharType="separate"/>
          </w:r>
          <w:r>
            <w:rPr>
              <w:rFonts w:ascii="宋体" w:hAnsi="宋体" w:eastAsia="宋体" w:cs="宋体"/>
              <w:spacing w:val="-3"/>
              <w:sz w:val="21"/>
              <w:szCs w:val="21"/>
            </w:rPr>
            <w:t>36</w:t>
          </w:r>
          <w:r>
            <w:rPr>
              <w:rFonts w:ascii="宋体" w:hAnsi="宋体" w:eastAsia="宋体" w:cs="宋体"/>
              <w:spacing w:val="-3"/>
              <w:sz w:val="21"/>
              <w:szCs w:val="21"/>
            </w:rPr>
            <w:fldChar w:fldCharType="end"/>
          </w:r>
        </w:p>
        <w:p w14:paraId="28D47E4B">
          <w:pPr>
            <w:tabs>
              <w:tab w:val="right" w:leader="dot" w:pos="8317"/>
            </w:tabs>
            <w:spacing w:before="18" w:line="220" w:lineRule="auto"/>
            <w:ind w:left="875"/>
            <w:rPr>
              <w:rFonts w:ascii="宋体" w:hAnsi="宋体" w:eastAsia="宋体" w:cs="宋体"/>
              <w:sz w:val="21"/>
              <w:szCs w:val="21"/>
            </w:rPr>
          </w:pPr>
          <w:r>
            <w:rPr>
              <w:rFonts w:ascii="宋体" w:hAnsi="宋体" w:eastAsia="宋体" w:cs="宋体"/>
              <w:spacing w:val="-2"/>
              <w:sz w:val="21"/>
              <w:szCs w:val="21"/>
            </w:rPr>
            <w:t>附表九：中标结果通知书</w:t>
          </w:r>
          <w:r>
            <w:rPr>
              <w:rFonts w:ascii="宋体" w:hAnsi="宋体" w:eastAsia="宋体" w:cs="宋体"/>
              <w:spacing w:val="-76"/>
              <w:sz w:val="21"/>
              <w:szCs w:val="21"/>
            </w:rPr>
            <w:t xml:space="preserve"> </w:t>
          </w:r>
          <w:r>
            <w:rPr>
              <w:rFonts w:ascii="宋体" w:hAnsi="宋体" w:eastAsia="宋体" w:cs="宋体"/>
              <w:sz w:val="21"/>
              <w:szCs w:val="21"/>
            </w:rPr>
            <w:tab/>
          </w:r>
          <w:r>
            <w:rPr>
              <w:rFonts w:ascii="宋体" w:hAnsi="宋体" w:eastAsia="宋体" w:cs="宋体"/>
              <w:spacing w:val="-25"/>
              <w:sz w:val="21"/>
              <w:szCs w:val="21"/>
            </w:rPr>
            <w:t xml:space="preserve"> </w:t>
          </w:r>
          <w:r>
            <w:fldChar w:fldCharType="begin"/>
          </w:r>
          <w:r>
            <w:instrText xml:space="preserve"> HYPERLINK \l "bookmark97" </w:instrText>
          </w:r>
          <w:r>
            <w:fldChar w:fldCharType="separate"/>
          </w:r>
          <w:r>
            <w:rPr>
              <w:rFonts w:ascii="宋体" w:hAnsi="宋体" w:eastAsia="宋体" w:cs="宋体"/>
              <w:spacing w:val="-3"/>
              <w:sz w:val="21"/>
              <w:szCs w:val="21"/>
            </w:rPr>
            <w:t>37</w:t>
          </w:r>
          <w:r>
            <w:rPr>
              <w:rFonts w:ascii="宋体" w:hAnsi="宋体" w:eastAsia="宋体" w:cs="宋体"/>
              <w:spacing w:val="-3"/>
              <w:sz w:val="21"/>
              <w:szCs w:val="21"/>
            </w:rPr>
            <w:fldChar w:fldCharType="end"/>
          </w:r>
        </w:p>
        <w:p w14:paraId="228C6459">
          <w:pPr>
            <w:tabs>
              <w:tab w:val="right" w:leader="dot" w:pos="8317"/>
            </w:tabs>
            <w:spacing w:before="23" w:line="220" w:lineRule="auto"/>
            <w:ind w:left="875"/>
            <w:rPr>
              <w:rFonts w:ascii="宋体" w:hAnsi="宋体" w:eastAsia="宋体" w:cs="宋体"/>
              <w:sz w:val="21"/>
              <w:szCs w:val="21"/>
            </w:rPr>
          </w:pPr>
          <w:r>
            <w:rPr>
              <w:rFonts w:ascii="宋体" w:hAnsi="宋体" w:eastAsia="宋体" w:cs="宋体"/>
              <w:spacing w:val="-4"/>
              <w:sz w:val="21"/>
              <w:szCs w:val="21"/>
            </w:rPr>
            <w:t>附表十：异议书</w:t>
          </w:r>
          <w:r>
            <w:rPr>
              <w:rFonts w:ascii="宋体" w:hAnsi="宋体" w:eastAsia="宋体" w:cs="宋体"/>
              <w:spacing w:val="-76"/>
              <w:sz w:val="21"/>
              <w:szCs w:val="21"/>
            </w:rPr>
            <w:t xml:space="preserve"> </w:t>
          </w:r>
          <w:r>
            <w:rPr>
              <w:rFonts w:ascii="宋体" w:hAnsi="宋体" w:eastAsia="宋体" w:cs="宋体"/>
              <w:sz w:val="21"/>
              <w:szCs w:val="21"/>
            </w:rPr>
            <w:tab/>
          </w:r>
          <w:r>
            <w:rPr>
              <w:rFonts w:ascii="宋体" w:hAnsi="宋体" w:eastAsia="宋体" w:cs="宋体"/>
              <w:spacing w:val="-24"/>
              <w:sz w:val="21"/>
              <w:szCs w:val="21"/>
            </w:rPr>
            <w:t xml:space="preserve"> </w:t>
          </w:r>
          <w:r>
            <w:fldChar w:fldCharType="begin"/>
          </w:r>
          <w:r>
            <w:instrText xml:space="preserve"> HYPERLINK \l "bookmark98" </w:instrText>
          </w:r>
          <w:r>
            <w:fldChar w:fldCharType="separate"/>
          </w:r>
          <w:r>
            <w:rPr>
              <w:rFonts w:ascii="宋体" w:hAnsi="宋体" w:eastAsia="宋体" w:cs="宋体"/>
              <w:spacing w:val="-3"/>
              <w:sz w:val="21"/>
              <w:szCs w:val="21"/>
            </w:rPr>
            <w:t>38</w:t>
          </w:r>
          <w:r>
            <w:rPr>
              <w:rFonts w:ascii="宋体" w:hAnsi="宋体" w:eastAsia="宋体" w:cs="宋体"/>
              <w:spacing w:val="-3"/>
              <w:sz w:val="21"/>
              <w:szCs w:val="21"/>
            </w:rPr>
            <w:fldChar w:fldCharType="end"/>
          </w:r>
        </w:p>
        <w:p w14:paraId="086B7759">
          <w:pPr>
            <w:tabs>
              <w:tab w:val="right" w:leader="dot" w:pos="8317"/>
            </w:tabs>
            <w:spacing w:before="23" w:line="220" w:lineRule="auto"/>
            <w:ind w:left="875"/>
            <w:rPr>
              <w:rFonts w:ascii="宋体" w:hAnsi="宋体" w:eastAsia="宋体" w:cs="宋体"/>
              <w:sz w:val="21"/>
              <w:szCs w:val="21"/>
            </w:rPr>
          </w:pPr>
          <w:r>
            <w:rPr>
              <w:rFonts w:ascii="宋体" w:hAnsi="宋体" w:eastAsia="宋体" w:cs="宋体"/>
              <w:spacing w:val="-3"/>
              <w:sz w:val="21"/>
              <w:szCs w:val="21"/>
            </w:rPr>
            <w:t>附表十一：异议答复函</w:t>
          </w:r>
          <w:r>
            <w:rPr>
              <w:rFonts w:ascii="宋体" w:hAnsi="宋体" w:eastAsia="宋体" w:cs="宋体"/>
              <w:spacing w:val="-69"/>
              <w:sz w:val="21"/>
              <w:szCs w:val="21"/>
            </w:rPr>
            <w:t xml:space="preserve"> </w:t>
          </w:r>
          <w:r>
            <w:rPr>
              <w:rFonts w:ascii="宋体" w:hAnsi="宋体" w:eastAsia="宋体" w:cs="宋体"/>
              <w:sz w:val="21"/>
              <w:szCs w:val="21"/>
            </w:rPr>
            <w:tab/>
          </w:r>
          <w:r>
            <w:rPr>
              <w:rFonts w:ascii="宋体" w:hAnsi="宋体" w:eastAsia="宋体" w:cs="宋体"/>
              <w:spacing w:val="-25"/>
              <w:sz w:val="21"/>
              <w:szCs w:val="21"/>
            </w:rPr>
            <w:t xml:space="preserve"> </w:t>
          </w:r>
          <w:r>
            <w:fldChar w:fldCharType="begin"/>
          </w:r>
          <w:r>
            <w:instrText xml:space="preserve"> HYPERLINK \l "bookmark99" </w:instrText>
          </w:r>
          <w:r>
            <w:fldChar w:fldCharType="separate"/>
          </w:r>
          <w:r>
            <w:rPr>
              <w:rFonts w:ascii="宋体" w:hAnsi="宋体" w:eastAsia="宋体" w:cs="宋体"/>
              <w:spacing w:val="-3"/>
              <w:sz w:val="21"/>
              <w:szCs w:val="21"/>
            </w:rPr>
            <w:t>39</w:t>
          </w:r>
          <w:r>
            <w:rPr>
              <w:rFonts w:ascii="宋体" w:hAnsi="宋体" w:eastAsia="宋体" w:cs="宋体"/>
              <w:spacing w:val="-3"/>
              <w:sz w:val="21"/>
              <w:szCs w:val="21"/>
            </w:rPr>
            <w:fldChar w:fldCharType="end"/>
          </w:r>
        </w:p>
        <w:p w14:paraId="5AA6FF2B">
          <w:pPr>
            <w:tabs>
              <w:tab w:val="right" w:leader="dot" w:pos="8307"/>
            </w:tabs>
            <w:spacing w:before="23" w:line="220" w:lineRule="auto"/>
            <w:ind w:left="18"/>
            <w:rPr>
              <w:rFonts w:ascii="宋体" w:hAnsi="宋体" w:eastAsia="宋体" w:cs="宋体"/>
              <w:sz w:val="21"/>
              <w:szCs w:val="21"/>
            </w:rPr>
          </w:pPr>
          <w:r>
            <w:rPr>
              <w:rFonts w:ascii="宋体" w:hAnsi="宋体" w:eastAsia="宋体" w:cs="宋体"/>
              <w:sz w:val="21"/>
              <w:szCs w:val="21"/>
              <w14:textOutline w14:w="3831" w14:cap="flat" w14:cmpd="sng">
                <w14:solidFill>
                  <w14:srgbClr w14:val="000000"/>
                </w14:solidFill>
                <w14:prstDash w14:val="solid"/>
                <w14:miter w14:val="0"/>
              </w14:textOutline>
            </w:rPr>
            <w:t>第三章</w:t>
          </w:r>
          <w:r>
            <w:rPr>
              <w:rFonts w:ascii="宋体" w:hAnsi="宋体" w:eastAsia="宋体" w:cs="宋体"/>
              <w:sz w:val="21"/>
              <w:szCs w:val="21"/>
            </w:rPr>
            <w:t xml:space="preserve">  </w:t>
          </w:r>
          <w:r>
            <w:rPr>
              <w:rFonts w:ascii="宋体" w:hAnsi="宋体" w:eastAsia="宋体" w:cs="宋体"/>
              <w:sz w:val="21"/>
              <w:szCs w:val="21"/>
              <w14:textOutline w14:w="3831" w14:cap="flat" w14:cmpd="sng">
                <w14:solidFill>
                  <w14:srgbClr w14:val="000000"/>
                </w14:solidFill>
                <w14:prstDash w14:val="solid"/>
                <w14:miter w14:val="0"/>
              </w14:textOutline>
            </w:rPr>
            <w:t>评标办法</w:t>
          </w:r>
          <w:r>
            <w:rPr>
              <w:rFonts w:ascii="宋体" w:hAnsi="宋体" w:eastAsia="宋体" w:cs="宋体"/>
              <w:spacing w:val="-42"/>
              <w:sz w:val="21"/>
              <w:szCs w:val="21"/>
            </w:rPr>
            <w:t xml:space="preserve"> </w:t>
          </w:r>
          <w:r>
            <w:rPr>
              <w:rFonts w:ascii="宋体" w:hAnsi="宋体" w:eastAsia="宋体" w:cs="宋体"/>
              <w:sz w:val="21"/>
              <w:szCs w:val="21"/>
              <w14:textOutline w14:w="3831" w14:cap="flat" w14:cmpd="sng">
                <w14:solidFill>
                  <w14:srgbClr w14:val="000000"/>
                </w14:solidFill>
                <w14:prstDash w14:val="solid"/>
                <w14:miter w14:val="0"/>
              </w14:textOutline>
            </w:rPr>
            <w:tab/>
          </w:r>
          <w:r>
            <w:rPr>
              <w:rFonts w:ascii="宋体" w:hAnsi="宋体" w:eastAsia="宋体" w:cs="宋体"/>
              <w:spacing w:val="-39"/>
              <w:sz w:val="21"/>
              <w:szCs w:val="21"/>
            </w:rPr>
            <w:t xml:space="preserve"> </w:t>
          </w:r>
          <w:r>
            <w:fldChar w:fldCharType="begin"/>
          </w:r>
          <w:r>
            <w:instrText xml:space="preserve"> HYPERLINK \l "bookmark100" </w:instrText>
          </w:r>
          <w:r>
            <w:fldChar w:fldCharType="separate"/>
          </w:r>
          <w:r>
            <w:rPr>
              <w:rFonts w:ascii="宋体" w:hAnsi="宋体" w:eastAsia="宋体" w:cs="宋体"/>
              <w:spacing w:val="-2"/>
              <w:sz w:val="21"/>
              <w:szCs w:val="21"/>
              <w14:textOutline w14:w="3831" w14:cap="flat" w14:cmpd="sng">
                <w14:solidFill>
                  <w14:srgbClr w14:val="000000"/>
                </w14:solidFill>
                <w14:prstDash w14:val="solid"/>
                <w14:miter w14:val="0"/>
              </w14:textOutline>
            </w:rPr>
            <w:t>41</w:t>
          </w:r>
          <w:r>
            <w:rPr>
              <w:rFonts w:ascii="宋体" w:hAnsi="宋体" w:eastAsia="宋体" w:cs="宋体"/>
              <w:spacing w:val="-2"/>
              <w:sz w:val="21"/>
              <w:szCs w:val="21"/>
              <w14:textOutline w14:w="3831" w14:cap="flat" w14:cmpd="sng">
                <w14:solidFill>
                  <w14:srgbClr w14:val="000000"/>
                </w14:solidFill>
                <w14:prstDash w14:val="solid"/>
                <w14:miter w14:val="0"/>
              </w14:textOutline>
            </w:rPr>
            <w:fldChar w:fldCharType="end"/>
          </w:r>
        </w:p>
        <w:p w14:paraId="4B4A577C">
          <w:pPr>
            <w:tabs>
              <w:tab w:val="right" w:leader="dot" w:pos="8317"/>
            </w:tabs>
            <w:spacing w:before="19" w:line="219" w:lineRule="auto"/>
            <w:ind w:left="440"/>
            <w:rPr>
              <w:rFonts w:ascii="宋体" w:hAnsi="宋体" w:eastAsia="宋体" w:cs="宋体"/>
              <w:sz w:val="21"/>
              <w:szCs w:val="21"/>
            </w:rPr>
          </w:pPr>
          <w:r>
            <w:rPr>
              <w:rFonts w:ascii="宋体" w:hAnsi="宋体" w:eastAsia="宋体" w:cs="宋体"/>
              <w:spacing w:val="-8"/>
              <w:sz w:val="21"/>
              <w:szCs w:val="21"/>
              <w14:textOutline w14:w="3831" w14:cap="flat" w14:cmpd="sng">
                <w14:solidFill>
                  <w14:srgbClr w14:val="000000"/>
                </w14:solidFill>
                <w14:prstDash w14:val="solid"/>
                <w14:miter w14:val="0"/>
              </w14:textOutline>
            </w:rPr>
            <w:t>评标办法前附表（综合评估法）</w:t>
          </w:r>
          <w:r>
            <w:rPr>
              <w:rFonts w:ascii="宋体" w:hAnsi="宋体" w:eastAsia="宋体" w:cs="宋体"/>
              <w:spacing w:val="44"/>
              <w:sz w:val="21"/>
              <w:szCs w:val="21"/>
            </w:rPr>
            <w:t xml:space="preserve"> </w:t>
          </w:r>
          <w:r>
            <w:rPr>
              <w:rFonts w:ascii="宋体" w:hAnsi="宋体" w:eastAsia="宋体" w:cs="宋体"/>
              <w:sz w:val="21"/>
              <w:szCs w:val="21"/>
              <w14:textOutline w14:w="3831" w14:cap="flat" w14:cmpd="sng">
                <w14:solidFill>
                  <w14:srgbClr w14:val="000000"/>
                </w14:solidFill>
                <w14:prstDash w14:val="solid"/>
                <w14:miter w14:val="0"/>
              </w14:textOutline>
            </w:rPr>
            <w:tab/>
          </w:r>
          <w:r>
            <w:rPr>
              <w:rFonts w:ascii="宋体" w:hAnsi="宋体" w:eastAsia="宋体" w:cs="宋体"/>
              <w:spacing w:val="-30"/>
              <w:sz w:val="21"/>
              <w:szCs w:val="21"/>
            </w:rPr>
            <w:t xml:space="preserve"> </w:t>
          </w:r>
          <w:r>
            <w:fldChar w:fldCharType="begin"/>
          </w:r>
          <w:r>
            <w:instrText xml:space="preserve"> HYPERLINK \l "bookmark101" </w:instrText>
          </w:r>
          <w:r>
            <w:fldChar w:fldCharType="separate"/>
          </w:r>
          <w:r>
            <w:rPr>
              <w:rFonts w:ascii="宋体" w:hAnsi="宋体" w:eastAsia="宋体" w:cs="宋体"/>
              <w:spacing w:val="-2"/>
              <w:sz w:val="21"/>
              <w:szCs w:val="21"/>
              <w14:textOutline w14:w="3831" w14:cap="flat" w14:cmpd="sng">
                <w14:solidFill>
                  <w14:srgbClr w14:val="000000"/>
                </w14:solidFill>
                <w14:prstDash w14:val="solid"/>
                <w14:miter w14:val="0"/>
              </w14:textOutline>
            </w:rPr>
            <w:t>41</w:t>
          </w:r>
          <w:r>
            <w:rPr>
              <w:rFonts w:ascii="宋体" w:hAnsi="宋体" w:eastAsia="宋体" w:cs="宋体"/>
              <w:spacing w:val="-2"/>
              <w:sz w:val="21"/>
              <w:szCs w:val="21"/>
              <w14:textOutline w14:w="3831" w14:cap="flat" w14:cmpd="sng">
                <w14:solidFill>
                  <w14:srgbClr w14:val="000000"/>
                </w14:solidFill>
                <w14:prstDash w14:val="solid"/>
                <w14:miter w14:val="0"/>
              </w14:textOutline>
            </w:rPr>
            <w:fldChar w:fldCharType="end"/>
          </w:r>
        </w:p>
        <w:p w14:paraId="10A1FE31">
          <w:pPr>
            <w:tabs>
              <w:tab w:val="right" w:leader="dot" w:pos="8317"/>
            </w:tabs>
            <w:spacing w:before="23" w:line="221" w:lineRule="auto"/>
            <w:ind w:left="440"/>
            <w:rPr>
              <w:rFonts w:ascii="宋体" w:hAnsi="宋体" w:eastAsia="宋体" w:cs="宋体"/>
              <w:sz w:val="21"/>
              <w:szCs w:val="21"/>
            </w:rPr>
          </w:pPr>
          <w:r>
            <w:rPr>
              <w:rFonts w:ascii="宋体" w:hAnsi="宋体" w:eastAsia="宋体" w:cs="宋体"/>
              <w:spacing w:val="-1"/>
              <w:sz w:val="21"/>
              <w:szCs w:val="21"/>
            </w:rPr>
            <w:t>评标办法正文部分</w:t>
          </w:r>
          <w:r>
            <w:rPr>
              <w:rFonts w:ascii="宋体" w:hAnsi="宋体" w:eastAsia="宋体" w:cs="宋体"/>
              <w:spacing w:val="-82"/>
              <w:sz w:val="21"/>
              <w:szCs w:val="21"/>
            </w:rPr>
            <w:t xml:space="preserve"> </w:t>
          </w:r>
          <w:r>
            <w:rPr>
              <w:rFonts w:ascii="宋体" w:hAnsi="宋体" w:eastAsia="宋体" w:cs="宋体"/>
              <w:sz w:val="21"/>
              <w:szCs w:val="21"/>
            </w:rPr>
            <w:tab/>
          </w:r>
          <w:r>
            <w:rPr>
              <w:rFonts w:ascii="宋体" w:hAnsi="宋体" w:eastAsia="宋体" w:cs="宋体"/>
              <w:spacing w:val="-24"/>
              <w:sz w:val="21"/>
              <w:szCs w:val="21"/>
            </w:rPr>
            <w:t xml:space="preserve"> </w:t>
          </w:r>
          <w:r>
            <w:fldChar w:fldCharType="begin"/>
          </w:r>
          <w:r>
            <w:instrText xml:space="preserve"> HYPERLINK \l "bookmark102" </w:instrText>
          </w:r>
          <w:r>
            <w:fldChar w:fldCharType="separate"/>
          </w:r>
          <w:r>
            <w:rPr>
              <w:rFonts w:ascii="宋体" w:hAnsi="宋体" w:eastAsia="宋体" w:cs="宋体"/>
              <w:spacing w:val="-3"/>
              <w:sz w:val="21"/>
              <w:szCs w:val="21"/>
            </w:rPr>
            <w:t>50</w:t>
          </w:r>
          <w:r>
            <w:rPr>
              <w:rFonts w:ascii="宋体" w:hAnsi="宋体" w:eastAsia="宋体" w:cs="宋体"/>
              <w:spacing w:val="-3"/>
              <w:sz w:val="21"/>
              <w:szCs w:val="21"/>
            </w:rPr>
            <w:fldChar w:fldCharType="end"/>
          </w:r>
        </w:p>
        <w:p w14:paraId="17C8579C">
          <w:pPr>
            <w:tabs>
              <w:tab w:val="right" w:leader="dot" w:pos="8317"/>
            </w:tabs>
            <w:spacing w:before="24" w:line="221" w:lineRule="auto"/>
            <w:ind w:left="456"/>
            <w:rPr>
              <w:rFonts w:ascii="宋体" w:hAnsi="宋体" w:eastAsia="宋体" w:cs="宋体"/>
              <w:sz w:val="21"/>
              <w:szCs w:val="21"/>
            </w:rPr>
          </w:pPr>
          <w:r>
            <w:rPr>
              <w:rFonts w:ascii="宋体" w:hAnsi="宋体" w:eastAsia="宋体" w:cs="宋体"/>
              <w:spacing w:val="-5"/>
              <w:sz w:val="21"/>
              <w:szCs w:val="21"/>
            </w:rPr>
            <w:t>1.</w:t>
          </w:r>
          <w:r>
            <w:rPr>
              <w:rFonts w:ascii="宋体" w:hAnsi="宋体" w:eastAsia="宋体" w:cs="宋体"/>
              <w:spacing w:val="11"/>
              <w:sz w:val="21"/>
              <w:szCs w:val="21"/>
            </w:rPr>
            <w:t xml:space="preserve"> </w:t>
          </w:r>
          <w:r>
            <w:rPr>
              <w:rFonts w:ascii="宋体" w:hAnsi="宋体" w:eastAsia="宋体" w:cs="宋体"/>
              <w:spacing w:val="-5"/>
              <w:sz w:val="21"/>
              <w:szCs w:val="21"/>
            </w:rPr>
            <w:t>评标方法</w:t>
          </w:r>
          <w:r>
            <w:rPr>
              <w:rFonts w:ascii="宋体" w:hAnsi="宋体" w:eastAsia="宋体" w:cs="宋体"/>
              <w:spacing w:val="-90"/>
              <w:sz w:val="21"/>
              <w:szCs w:val="21"/>
            </w:rPr>
            <w:t xml:space="preserve"> </w:t>
          </w:r>
          <w:r>
            <w:rPr>
              <w:rFonts w:ascii="宋体" w:hAnsi="宋体" w:eastAsia="宋体" w:cs="宋体"/>
              <w:sz w:val="21"/>
              <w:szCs w:val="21"/>
            </w:rPr>
            <w:tab/>
          </w:r>
          <w:r>
            <w:rPr>
              <w:rFonts w:ascii="宋体" w:hAnsi="宋体" w:eastAsia="宋体" w:cs="宋体"/>
              <w:spacing w:val="-24"/>
              <w:sz w:val="21"/>
              <w:szCs w:val="21"/>
            </w:rPr>
            <w:t xml:space="preserve"> </w:t>
          </w:r>
          <w:r>
            <w:fldChar w:fldCharType="begin"/>
          </w:r>
          <w:r>
            <w:instrText xml:space="preserve"> HYPERLINK \l "bookmark103" </w:instrText>
          </w:r>
          <w:r>
            <w:fldChar w:fldCharType="separate"/>
          </w:r>
          <w:r>
            <w:rPr>
              <w:rFonts w:ascii="宋体" w:hAnsi="宋体" w:eastAsia="宋体" w:cs="宋体"/>
              <w:spacing w:val="-3"/>
              <w:sz w:val="21"/>
              <w:szCs w:val="21"/>
            </w:rPr>
            <w:t>50</w:t>
          </w:r>
          <w:r>
            <w:rPr>
              <w:rFonts w:ascii="宋体" w:hAnsi="宋体" w:eastAsia="宋体" w:cs="宋体"/>
              <w:spacing w:val="-3"/>
              <w:sz w:val="21"/>
              <w:szCs w:val="21"/>
            </w:rPr>
            <w:fldChar w:fldCharType="end"/>
          </w:r>
        </w:p>
        <w:p w14:paraId="521BEB53">
          <w:pPr>
            <w:tabs>
              <w:tab w:val="right" w:leader="dot" w:pos="8317"/>
            </w:tabs>
            <w:spacing w:before="22" w:line="221" w:lineRule="auto"/>
            <w:ind w:left="443"/>
            <w:rPr>
              <w:rFonts w:ascii="宋体" w:hAnsi="宋体" w:eastAsia="宋体" w:cs="宋体"/>
              <w:sz w:val="21"/>
              <w:szCs w:val="21"/>
            </w:rPr>
          </w:pPr>
          <w:r>
            <w:rPr>
              <w:rFonts w:ascii="宋体" w:hAnsi="宋体" w:eastAsia="宋体" w:cs="宋体"/>
              <w:spacing w:val="-1"/>
              <w:sz w:val="21"/>
              <w:szCs w:val="21"/>
            </w:rPr>
            <w:t>2. 评审标准</w:t>
          </w:r>
          <w:r>
            <w:rPr>
              <w:rFonts w:ascii="宋体" w:hAnsi="宋体" w:eastAsia="宋体" w:cs="宋体"/>
              <w:spacing w:val="-89"/>
              <w:sz w:val="21"/>
              <w:szCs w:val="21"/>
            </w:rPr>
            <w:t xml:space="preserve"> </w:t>
          </w:r>
          <w:r>
            <w:rPr>
              <w:rFonts w:ascii="宋体" w:hAnsi="宋体" w:eastAsia="宋体" w:cs="宋体"/>
              <w:sz w:val="21"/>
              <w:szCs w:val="21"/>
            </w:rPr>
            <w:tab/>
          </w:r>
          <w:r>
            <w:rPr>
              <w:rFonts w:ascii="宋体" w:hAnsi="宋体" w:eastAsia="宋体" w:cs="宋体"/>
              <w:spacing w:val="-24"/>
              <w:sz w:val="21"/>
              <w:szCs w:val="21"/>
            </w:rPr>
            <w:t xml:space="preserve"> </w:t>
          </w:r>
          <w:r>
            <w:fldChar w:fldCharType="begin"/>
          </w:r>
          <w:r>
            <w:instrText xml:space="preserve"> HYPERLINK \l "bookmark104" </w:instrText>
          </w:r>
          <w:r>
            <w:fldChar w:fldCharType="separate"/>
          </w:r>
          <w:r>
            <w:rPr>
              <w:rFonts w:ascii="宋体" w:hAnsi="宋体" w:eastAsia="宋体" w:cs="宋体"/>
              <w:spacing w:val="-3"/>
              <w:sz w:val="21"/>
              <w:szCs w:val="21"/>
            </w:rPr>
            <w:t>50</w:t>
          </w:r>
          <w:r>
            <w:rPr>
              <w:rFonts w:ascii="宋体" w:hAnsi="宋体" w:eastAsia="宋体" w:cs="宋体"/>
              <w:spacing w:val="-3"/>
              <w:sz w:val="21"/>
              <w:szCs w:val="21"/>
            </w:rPr>
            <w:fldChar w:fldCharType="end"/>
          </w:r>
        </w:p>
        <w:p w14:paraId="1021557E">
          <w:pPr>
            <w:tabs>
              <w:tab w:val="right" w:leader="dot" w:pos="8317"/>
            </w:tabs>
            <w:spacing w:before="16" w:line="221" w:lineRule="auto"/>
            <w:ind w:left="861"/>
            <w:rPr>
              <w:rFonts w:ascii="宋体" w:hAnsi="宋体" w:eastAsia="宋体" w:cs="宋体"/>
              <w:sz w:val="21"/>
              <w:szCs w:val="21"/>
            </w:rPr>
          </w:pPr>
          <w:r>
            <w:rPr>
              <w:rFonts w:ascii="宋体" w:hAnsi="宋体" w:eastAsia="宋体" w:cs="宋体"/>
              <w:spacing w:val="-1"/>
              <w:sz w:val="21"/>
              <w:szCs w:val="21"/>
            </w:rPr>
            <w:t>2.1 初步评审标准</w:t>
          </w:r>
          <w:r>
            <w:rPr>
              <w:rFonts w:ascii="宋体" w:hAnsi="宋体" w:eastAsia="宋体" w:cs="宋体"/>
              <w:spacing w:val="-78"/>
              <w:sz w:val="21"/>
              <w:szCs w:val="21"/>
            </w:rPr>
            <w:t xml:space="preserve"> </w:t>
          </w:r>
          <w:r>
            <w:rPr>
              <w:rFonts w:ascii="宋体" w:hAnsi="宋体" w:eastAsia="宋体" w:cs="宋体"/>
              <w:sz w:val="21"/>
              <w:szCs w:val="21"/>
            </w:rPr>
            <w:tab/>
          </w:r>
          <w:r>
            <w:rPr>
              <w:rFonts w:ascii="宋体" w:hAnsi="宋体" w:eastAsia="宋体" w:cs="宋体"/>
              <w:spacing w:val="-24"/>
              <w:sz w:val="21"/>
              <w:szCs w:val="21"/>
            </w:rPr>
            <w:t xml:space="preserve"> </w:t>
          </w:r>
          <w:r>
            <w:fldChar w:fldCharType="begin"/>
          </w:r>
          <w:r>
            <w:instrText xml:space="preserve"> HYPERLINK \l "bookmark105" </w:instrText>
          </w:r>
          <w:r>
            <w:fldChar w:fldCharType="separate"/>
          </w:r>
          <w:r>
            <w:rPr>
              <w:rFonts w:ascii="宋体" w:hAnsi="宋体" w:eastAsia="宋体" w:cs="宋体"/>
              <w:spacing w:val="-3"/>
              <w:sz w:val="21"/>
              <w:szCs w:val="21"/>
            </w:rPr>
            <w:t>50</w:t>
          </w:r>
          <w:r>
            <w:rPr>
              <w:rFonts w:ascii="宋体" w:hAnsi="宋体" w:eastAsia="宋体" w:cs="宋体"/>
              <w:spacing w:val="-3"/>
              <w:sz w:val="21"/>
              <w:szCs w:val="21"/>
            </w:rPr>
            <w:fldChar w:fldCharType="end"/>
          </w:r>
        </w:p>
        <w:p w14:paraId="4ECB5C07">
          <w:pPr>
            <w:tabs>
              <w:tab w:val="right" w:leader="dot" w:pos="8317"/>
            </w:tabs>
            <w:spacing w:before="23" w:line="221" w:lineRule="auto"/>
            <w:ind w:left="861"/>
            <w:rPr>
              <w:rFonts w:ascii="宋体" w:hAnsi="宋体" w:eastAsia="宋体" w:cs="宋体"/>
              <w:sz w:val="21"/>
              <w:szCs w:val="21"/>
            </w:rPr>
          </w:pPr>
          <w:r>
            <w:rPr>
              <w:rFonts w:ascii="宋体" w:hAnsi="宋体" w:eastAsia="宋体" w:cs="宋体"/>
              <w:spacing w:val="-1"/>
              <w:sz w:val="21"/>
              <w:szCs w:val="21"/>
            </w:rPr>
            <w:t>2.2 分值构成与评分标准</w:t>
          </w:r>
          <w:r>
            <w:rPr>
              <w:rFonts w:ascii="宋体" w:hAnsi="宋体" w:eastAsia="宋体" w:cs="宋体"/>
              <w:spacing w:val="-71"/>
              <w:sz w:val="21"/>
              <w:szCs w:val="21"/>
            </w:rPr>
            <w:t xml:space="preserve"> </w:t>
          </w:r>
          <w:r>
            <w:rPr>
              <w:rFonts w:ascii="宋体" w:hAnsi="宋体" w:eastAsia="宋体" w:cs="宋体"/>
              <w:sz w:val="21"/>
              <w:szCs w:val="21"/>
            </w:rPr>
            <w:tab/>
          </w:r>
          <w:r>
            <w:rPr>
              <w:rFonts w:ascii="宋体" w:hAnsi="宋体" w:eastAsia="宋体" w:cs="宋体"/>
              <w:spacing w:val="-25"/>
              <w:sz w:val="21"/>
              <w:szCs w:val="21"/>
            </w:rPr>
            <w:t xml:space="preserve"> </w:t>
          </w:r>
          <w:r>
            <w:fldChar w:fldCharType="begin"/>
          </w:r>
          <w:r>
            <w:instrText xml:space="preserve"> HYPERLINK \l "bookmark106" </w:instrText>
          </w:r>
          <w:r>
            <w:fldChar w:fldCharType="separate"/>
          </w:r>
          <w:r>
            <w:rPr>
              <w:rFonts w:ascii="宋体" w:hAnsi="宋体" w:eastAsia="宋体" w:cs="宋体"/>
              <w:spacing w:val="-3"/>
              <w:sz w:val="21"/>
              <w:szCs w:val="21"/>
            </w:rPr>
            <w:t>50</w:t>
          </w:r>
          <w:r>
            <w:rPr>
              <w:rFonts w:ascii="宋体" w:hAnsi="宋体" w:eastAsia="宋体" w:cs="宋体"/>
              <w:spacing w:val="-3"/>
              <w:sz w:val="21"/>
              <w:szCs w:val="21"/>
            </w:rPr>
            <w:fldChar w:fldCharType="end"/>
          </w:r>
        </w:p>
        <w:p w14:paraId="5A4EDFEF">
          <w:pPr>
            <w:tabs>
              <w:tab w:val="right" w:leader="dot" w:pos="8317"/>
            </w:tabs>
            <w:spacing w:before="23" w:line="221" w:lineRule="auto"/>
            <w:ind w:left="445"/>
            <w:rPr>
              <w:rFonts w:ascii="宋体" w:hAnsi="宋体" w:eastAsia="宋体" w:cs="宋体"/>
              <w:sz w:val="21"/>
              <w:szCs w:val="21"/>
            </w:rPr>
          </w:pPr>
          <w:r>
            <w:rPr>
              <w:rFonts w:ascii="宋体" w:hAnsi="宋体" w:eastAsia="宋体" w:cs="宋体"/>
              <w:spacing w:val="-1"/>
              <w:sz w:val="21"/>
              <w:szCs w:val="21"/>
            </w:rPr>
            <w:t>3. 评标程序</w:t>
          </w:r>
          <w:r>
            <w:rPr>
              <w:rFonts w:ascii="宋体" w:hAnsi="宋体" w:eastAsia="宋体" w:cs="宋体"/>
              <w:spacing w:val="-91"/>
              <w:sz w:val="21"/>
              <w:szCs w:val="21"/>
            </w:rPr>
            <w:t xml:space="preserve"> </w:t>
          </w:r>
          <w:r>
            <w:rPr>
              <w:rFonts w:ascii="宋体" w:hAnsi="宋体" w:eastAsia="宋体" w:cs="宋体"/>
              <w:sz w:val="21"/>
              <w:szCs w:val="21"/>
            </w:rPr>
            <w:tab/>
          </w:r>
          <w:r>
            <w:rPr>
              <w:rFonts w:ascii="宋体" w:hAnsi="宋体" w:eastAsia="宋体" w:cs="宋体"/>
              <w:spacing w:val="-24"/>
              <w:sz w:val="21"/>
              <w:szCs w:val="21"/>
            </w:rPr>
            <w:t xml:space="preserve"> </w:t>
          </w:r>
          <w:r>
            <w:fldChar w:fldCharType="begin"/>
          </w:r>
          <w:r>
            <w:instrText xml:space="preserve"> HYPERLINK \l "bookmark107" </w:instrText>
          </w:r>
          <w:r>
            <w:fldChar w:fldCharType="separate"/>
          </w:r>
          <w:r>
            <w:rPr>
              <w:rFonts w:ascii="宋体" w:hAnsi="宋体" w:eastAsia="宋体" w:cs="宋体"/>
              <w:spacing w:val="-3"/>
              <w:sz w:val="21"/>
              <w:szCs w:val="21"/>
            </w:rPr>
            <w:t>50</w:t>
          </w:r>
          <w:r>
            <w:rPr>
              <w:rFonts w:ascii="宋体" w:hAnsi="宋体" w:eastAsia="宋体" w:cs="宋体"/>
              <w:spacing w:val="-3"/>
              <w:sz w:val="21"/>
              <w:szCs w:val="21"/>
            </w:rPr>
            <w:fldChar w:fldCharType="end"/>
          </w:r>
        </w:p>
        <w:p w14:paraId="256DDA20">
          <w:pPr>
            <w:tabs>
              <w:tab w:val="right" w:leader="dot" w:pos="8317"/>
            </w:tabs>
            <w:spacing w:before="21" w:line="221" w:lineRule="auto"/>
            <w:ind w:left="863"/>
            <w:rPr>
              <w:rFonts w:ascii="宋体" w:hAnsi="宋体" w:eastAsia="宋体" w:cs="宋体"/>
              <w:sz w:val="21"/>
              <w:szCs w:val="21"/>
            </w:rPr>
          </w:pPr>
          <w:r>
            <w:rPr>
              <w:rFonts w:ascii="宋体" w:hAnsi="宋体" w:eastAsia="宋体" w:cs="宋体"/>
              <w:spacing w:val="-2"/>
              <w:sz w:val="21"/>
              <w:szCs w:val="21"/>
            </w:rPr>
            <w:t>3.1 初步评审</w:t>
          </w:r>
          <w:r>
            <w:rPr>
              <w:rFonts w:ascii="宋体" w:hAnsi="宋体" w:eastAsia="宋体" w:cs="宋体"/>
              <w:spacing w:val="-77"/>
              <w:sz w:val="21"/>
              <w:szCs w:val="21"/>
            </w:rPr>
            <w:t xml:space="preserve"> </w:t>
          </w:r>
          <w:r>
            <w:rPr>
              <w:rFonts w:ascii="宋体" w:hAnsi="宋体" w:eastAsia="宋体" w:cs="宋体"/>
              <w:sz w:val="21"/>
              <w:szCs w:val="21"/>
            </w:rPr>
            <w:tab/>
          </w:r>
          <w:r>
            <w:rPr>
              <w:rFonts w:ascii="宋体" w:hAnsi="宋体" w:eastAsia="宋体" w:cs="宋体"/>
              <w:spacing w:val="-24"/>
              <w:sz w:val="21"/>
              <w:szCs w:val="21"/>
            </w:rPr>
            <w:t xml:space="preserve"> </w:t>
          </w:r>
          <w:r>
            <w:fldChar w:fldCharType="begin"/>
          </w:r>
          <w:r>
            <w:instrText xml:space="preserve"> HYPERLINK \l "bookmark108" </w:instrText>
          </w:r>
          <w:r>
            <w:fldChar w:fldCharType="separate"/>
          </w:r>
          <w:r>
            <w:rPr>
              <w:rFonts w:ascii="宋体" w:hAnsi="宋体" w:eastAsia="宋体" w:cs="宋体"/>
              <w:spacing w:val="-3"/>
              <w:sz w:val="21"/>
              <w:szCs w:val="21"/>
            </w:rPr>
            <w:t>50</w:t>
          </w:r>
          <w:r>
            <w:rPr>
              <w:rFonts w:ascii="宋体" w:hAnsi="宋体" w:eastAsia="宋体" w:cs="宋体"/>
              <w:spacing w:val="-3"/>
              <w:sz w:val="21"/>
              <w:szCs w:val="21"/>
            </w:rPr>
            <w:fldChar w:fldCharType="end"/>
          </w:r>
        </w:p>
        <w:p w14:paraId="094A5E60">
          <w:pPr>
            <w:tabs>
              <w:tab w:val="right" w:leader="dot" w:pos="8317"/>
            </w:tabs>
            <w:spacing w:before="19" w:line="221" w:lineRule="auto"/>
            <w:ind w:left="863"/>
            <w:rPr>
              <w:rFonts w:ascii="宋体" w:hAnsi="宋体" w:eastAsia="宋体" w:cs="宋体"/>
              <w:sz w:val="21"/>
              <w:szCs w:val="21"/>
            </w:rPr>
          </w:pPr>
          <w:r>
            <w:rPr>
              <w:rFonts w:ascii="宋体" w:hAnsi="宋体" w:eastAsia="宋体" w:cs="宋体"/>
              <w:spacing w:val="-4"/>
              <w:sz w:val="21"/>
              <w:szCs w:val="21"/>
            </w:rPr>
            <w:t>3.2</w:t>
          </w:r>
          <w:r>
            <w:rPr>
              <w:rFonts w:ascii="宋体" w:hAnsi="宋体" w:eastAsia="宋体" w:cs="宋体"/>
              <w:spacing w:val="17"/>
              <w:sz w:val="21"/>
              <w:szCs w:val="21"/>
            </w:rPr>
            <w:t xml:space="preserve"> </w:t>
          </w:r>
          <w:r>
            <w:rPr>
              <w:rFonts w:ascii="宋体" w:hAnsi="宋体" w:eastAsia="宋体" w:cs="宋体"/>
              <w:spacing w:val="-4"/>
              <w:sz w:val="21"/>
              <w:szCs w:val="21"/>
            </w:rPr>
            <w:t>详细评审</w:t>
          </w:r>
          <w:r>
            <w:rPr>
              <w:rFonts w:ascii="宋体" w:hAnsi="宋体" w:eastAsia="宋体" w:cs="宋体"/>
              <w:spacing w:val="-82"/>
              <w:sz w:val="21"/>
              <w:szCs w:val="21"/>
            </w:rPr>
            <w:t xml:space="preserve"> </w:t>
          </w:r>
          <w:r>
            <w:rPr>
              <w:rFonts w:ascii="宋体" w:hAnsi="宋体" w:eastAsia="宋体" w:cs="宋体"/>
              <w:sz w:val="21"/>
              <w:szCs w:val="21"/>
            </w:rPr>
            <w:tab/>
          </w:r>
          <w:r>
            <w:rPr>
              <w:rFonts w:ascii="宋体" w:hAnsi="宋体" w:eastAsia="宋体" w:cs="宋体"/>
              <w:spacing w:val="-24"/>
              <w:sz w:val="21"/>
              <w:szCs w:val="21"/>
            </w:rPr>
            <w:t xml:space="preserve"> </w:t>
          </w:r>
          <w:r>
            <w:fldChar w:fldCharType="begin"/>
          </w:r>
          <w:r>
            <w:instrText xml:space="preserve"> HYPERLINK \l "bookmark109" </w:instrText>
          </w:r>
          <w:r>
            <w:fldChar w:fldCharType="separate"/>
          </w:r>
          <w:r>
            <w:rPr>
              <w:rFonts w:ascii="宋体" w:hAnsi="宋体" w:eastAsia="宋体" w:cs="宋体"/>
              <w:spacing w:val="-3"/>
              <w:sz w:val="21"/>
              <w:szCs w:val="21"/>
            </w:rPr>
            <w:t>51</w:t>
          </w:r>
          <w:r>
            <w:rPr>
              <w:rFonts w:ascii="宋体" w:hAnsi="宋体" w:eastAsia="宋体" w:cs="宋体"/>
              <w:spacing w:val="-3"/>
              <w:sz w:val="21"/>
              <w:szCs w:val="21"/>
            </w:rPr>
            <w:fldChar w:fldCharType="end"/>
          </w:r>
        </w:p>
        <w:p w14:paraId="21A269C8">
          <w:pPr>
            <w:tabs>
              <w:tab w:val="right" w:leader="dot" w:pos="8317"/>
            </w:tabs>
            <w:spacing w:before="21" w:line="221" w:lineRule="auto"/>
            <w:ind w:left="863"/>
            <w:rPr>
              <w:rFonts w:ascii="宋体" w:hAnsi="宋体" w:eastAsia="宋体" w:cs="宋体"/>
              <w:sz w:val="21"/>
              <w:szCs w:val="21"/>
            </w:rPr>
          </w:pPr>
          <w:r>
            <w:rPr>
              <w:rFonts w:ascii="宋体" w:hAnsi="宋体" w:eastAsia="宋体" w:cs="宋体"/>
              <w:spacing w:val="-1"/>
              <w:sz w:val="21"/>
              <w:szCs w:val="21"/>
            </w:rPr>
            <w:t>3.3 投标文件的澄清和补正</w:t>
          </w:r>
          <w:r>
            <w:rPr>
              <w:rFonts w:ascii="宋体" w:hAnsi="宋体" w:eastAsia="宋体" w:cs="宋体"/>
              <w:spacing w:val="-71"/>
              <w:sz w:val="21"/>
              <w:szCs w:val="21"/>
            </w:rPr>
            <w:t xml:space="preserve"> </w:t>
          </w:r>
          <w:r>
            <w:rPr>
              <w:rFonts w:ascii="宋体" w:hAnsi="宋体" w:eastAsia="宋体" w:cs="宋体"/>
              <w:sz w:val="21"/>
              <w:szCs w:val="21"/>
            </w:rPr>
            <w:tab/>
          </w:r>
          <w:r>
            <w:rPr>
              <w:rFonts w:ascii="宋体" w:hAnsi="宋体" w:eastAsia="宋体" w:cs="宋体"/>
              <w:spacing w:val="-25"/>
              <w:sz w:val="21"/>
              <w:szCs w:val="21"/>
            </w:rPr>
            <w:t xml:space="preserve"> </w:t>
          </w:r>
          <w:r>
            <w:fldChar w:fldCharType="begin"/>
          </w:r>
          <w:r>
            <w:instrText xml:space="preserve"> HYPERLINK \l "bookmark110" </w:instrText>
          </w:r>
          <w:r>
            <w:fldChar w:fldCharType="separate"/>
          </w:r>
          <w:r>
            <w:rPr>
              <w:rFonts w:ascii="宋体" w:hAnsi="宋体" w:eastAsia="宋体" w:cs="宋体"/>
              <w:spacing w:val="-3"/>
              <w:sz w:val="21"/>
              <w:szCs w:val="21"/>
            </w:rPr>
            <w:t>52</w:t>
          </w:r>
          <w:r>
            <w:rPr>
              <w:rFonts w:ascii="宋体" w:hAnsi="宋体" w:eastAsia="宋体" w:cs="宋体"/>
              <w:spacing w:val="-3"/>
              <w:sz w:val="21"/>
              <w:szCs w:val="21"/>
            </w:rPr>
            <w:fldChar w:fldCharType="end"/>
          </w:r>
        </w:p>
        <w:p w14:paraId="1574A5A5">
          <w:pPr>
            <w:tabs>
              <w:tab w:val="right" w:leader="dot" w:pos="8317"/>
            </w:tabs>
            <w:spacing w:before="23" w:line="221" w:lineRule="auto"/>
            <w:ind w:left="863"/>
            <w:rPr>
              <w:rFonts w:ascii="宋体" w:hAnsi="宋体" w:eastAsia="宋体" w:cs="宋体"/>
              <w:sz w:val="21"/>
              <w:szCs w:val="21"/>
            </w:rPr>
          </w:pPr>
          <w:r>
            <w:rPr>
              <w:rFonts w:ascii="宋体" w:hAnsi="宋体" w:eastAsia="宋体" w:cs="宋体"/>
              <w:spacing w:val="-2"/>
              <w:sz w:val="21"/>
              <w:szCs w:val="21"/>
            </w:rPr>
            <w:t>3.4 评标结果</w:t>
          </w:r>
          <w:r>
            <w:rPr>
              <w:rFonts w:ascii="宋体" w:hAnsi="宋体" w:eastAsia="宋体" w:cs="宋体"/>
              <w:spacing w:val="-77"/>
              <w:sz w:val="21"/>
              <w:szCs w:val="21"/>
            </w:rPr>
            <w:t xml:space="preserve"> </w:t>
          </w:r>
          <w:r>
            <w:rPr>
              <w:rFonts w:ascii="宋体" w:hAnsi="宋体" w:eastAsia="宋体" w:cs="宋体"/>
              <w:sz w:val="21"/>
              <w:szCs w:val="21"/>
            </w:rPr>
            <w:tab/>
          </w:r>
          <w:r>
            <w:rPr>
              <w:rFonts w:ascii="宋体" w:hAnsi="宋体" w:eastAsia="宋体" w:cs="宋体"/>
              <w:spacing w:val="-24"/>
              <w:sz w:val="21"/>
              <w:szCs w:val="21"/>
            </w:rPr>
            <w:t xml:space="preserve"> </w:t>
          </w:r>
          <w:r>
            <w:fldChar w:fldCharType="begin"/>
          </w:r>
          <w:r>
            <w:instrText xml:space="preserve"> HYPERLINK \l "bookmark111" </w:instrText>
          </w:r>
          <w:r>
            <w:fldChar w:fldCharType="separate"/>
          </w:r>
          <w:r>
            <w:rPr>
              <w:rFonts w:ascii="宋体" w:hAnsi="宋体" w:eastAsia="宋体" w:cs="宋体"/>
              <w:spacing w:val="-3"/>
              <w:sz w:val="21"/>
              <w:szCs w:val="21"/>
            </w:rPr>
            <w:t>52</w:t>
          </w:r>
          <w:r>
            <w:rPr>
              <w:rFonts w:ascii="宋体" w:hAnsi="宋体" w:eastAsia="宋体" w:cs="宋体"/>
              <w:spacing w:val="-3"/>
              <w:sz w:val="21"/>
              <w:szCs w:val="21"/>
            </w:rPr>
            <w:fldChar w:fldCharType="end"/>
          </w:r>
        </w:p>
        <w:p w14:paraId="7BA56BEC">
          <w:pPr>
            <w:tabs>
              <w:tab w:val="right" w:leader="dot" w:pos="8317"/>
            </w:tabs>
            <w:spacing w:before="22" w:line="220" w:lineRule="auto"/>
            <w:ind w:left="457"/>
            <w:rPr>
              <w:rFonts w:ascii="宋体" w:hAnsi="宋体" w:eastAsia="宋体" w:cs="宋体"/>
              <w:sz w:val="21"/>
              <w:szCs w:val="21"/>
            </w:rPr>
          </w:pPr>
          <w:r>
            <w:rPr>
              <w:rFonts w:ascii="宋体" w:hAnsi="宋体" w:eastAsia="宋体" w:cs="宋体"/>
              <w:spacing w:val="-3"/>
              <w:sz w:val="21"/>
              <w:szCs w:val="21"/>
              <w14:textOutline w14:w="3831" w14:cap="flat" w14:cmpd="sng">
                <w14:solidFill>
                  <w14:srgbClr w14:val="000000"/>
                </w14:solidFill>
                <w14:prstDash w14:val="solid"/>
                <w14:miter w14:val="0"/>
              </w14:textOutline>
            </w:rPr>
            <w:t>附件</w:t>
          </w:r>
          <w:r>
            <w:rPr>
              <w:rFonts w:ascii="宋体" w:hAnsi="宋体" w:eastAsia="宋体" w:cs="宋体"/>
              <w:spacing w:val="-49"/>
              <w:sz w:val="21"/>
              <w:szCs w:val="21"/>
            </w:rPr>
            <w:t xml:space="preserve"> </w:t>
          </w:r>
          <w:r>
            <w:rPr>
              <w:rFonts w:ascii="宋体" w:hAnsi="宋体" w:eastAsia="宋体" w:cs="宋体"/>
              <w:spacing w:val="-3"/>
              <w:sz w:val="21"/>
              <w:szCs w:val="21"/>
              <w14:textOutline w14:w="3831" w14:cap="flat" w14:cmpd="sng">
                <w14:solidFill>
                  <w14:srgbClr w14:val="000000"/>
                </w14:solidFill>
                <w14:prstDash w14:val="solid"/>
                <w14:miter w14:val="0"/>
              </w14:textOutline>
            </w:rPr>
            <w:t>A：评标详细程序</w:t>
          </w:r>
          <w:r>
            <w:rPr>
              <w:rFonts w:ascii="宋体" w:hAnsi="宋体" w:eastAsia="宋体" w:cs="宋体"/>
              <w:spacing w:val="-49"/>
              <w:sz w:val="21"/>
              <w:szCs w:val="21"/>
            </w:rPr>
            <w:t xml:space="preserve"> </w:t>
          </w:r>
          <w:r>
            <w:rPr>
              <w:rFonts w:ascii="宋体" w:hAnsi="宋体" w:eastAsia="宋体" w:cs="宋体"/>
              <w:sz w:val="21"/>
              <w:szCs w:val="21"/>
              <w14:textOutline w14:w="3831" w14:cap="flat" w14:cmpd="sng">
                <w14:solidFill>
                  <w14:srgbClr w14:val="000000"/>
                </w14:solidFill>
                <w14:prstDash w14:val="solid"/>
                <w14:miter w14:val="0"/>
              </w14:textOutline>
            </w:rPr>
            <w:tab/>
          </w:r>
          <w:r>
            <w:rPr>
              <w:rFonts w:ascii="宋体" w:hAnsi="宋体" w:eastAsia="宋体" w:cs="宋体"/>
              <w:spacing w:val="-24"/>
              <w:sz w:val="21"/>
              <w:szCs w:val="21"/>
            </w:rPr>
            <w:t xml:space="preserve"> </w:t>
          </w:r>
          <w:r>
            <w:fldChar w:fldCharType="begin"/>
          </w:r>
          <w:r>
            <w:instrText xml:space="preserve"> HYPERLINK \l "bookmark112" </w:instrText>
          </w:r>
          <w:r>
            <w:fldChar w:fldCharType="separate"/>
          </w:r>
          <w:r>
            <w:rPr>
              <w:rFonts w:ascii="宋体" w:hAnsi="宋体" w:eastAsia="宋体" w:cs="宋体"/>
              <w:spacing w:val="-3"/>
              <w:sz w:val="21"/>
              <w:szCs w:val="21"/>
              <w14:textOutline w14:w="3831" w14:cap="flat" w14:cmpd="sng">
                <w14:solidFill>
                  <w14:srgbClr w14:val="000000"/>
                </w14:solidFill>
                <w14:prstDash w14:val="solid"/>
                <w14:miter w14:val="0"/>
              </w14:textOutline>
            </w:rPr>
            <w:t>53</w:t>
          </w:r>
          <w:r>
            <w:rPr>
              <w:rFonts w:ascii="宋体" w:hAnsi="宋体" w:eastAsia="宋体" w:cs="宋体"/>
              <w:spacing w:val="-3"/>
              <w:sz w:val="21"/>
              <w:szCs w:val="21"/>
              <w14:textOutline w14:w="3831" w14:cap="flat" w14:cmpd="sng">
                <w14:solidFill>
                  <w14:srgbClr w14:val="000000"/>
                </w14:solidFill>
                <w14:prstDash w14:val="solid"/>
                <w14:miter w14:val="0"/>
              </w14:textOutline>
            </w:rPr>
            <w:fldChar w:fldCharType="end"/>
          </w:r>
        </w:p>
        <w:p w14:paraId="00797F4D">
          <w:pPr>
            <w:tabs>
              <w:tab w:val="right" w:leader="dot" w:pos="8317"/>
            </w:tabs>
            <w:spacing w:before="19" w:line="221" w:lineRule="auto"/>
            <w:ind w:left="852"/>
            <w:rPr>
              <w:rFonts w:ascii="宋体" w:hAnsi="宋体" w:eastAsia="宋体" w:cs="宋体"/>
              <w:sz w:val="21"/>
              <w:szCs w:val="21"/>
            </w:rPr>
          </w:pPr>
          <w:r>
            <w:rPr>
              <w:rFonts w:ascii="宋体" w:hAnsi="宋体" w:eastAsia="宋体" w:cs="宋体"/>
              <w:spacing w:val="-2"/>
              <w:sz w:val="21"/>
              <w:szCs w:val="21"/>
            </w:rPr>
            <w:t>A0.总</w:t>
          </w:r>
          <w:r>
            <w:rPr>
              <w:rFonts w:ascii="宋体" w:hAnsi="宋体" w:eastAsia="宋体" w:cs="宋体"/>
              <w:spacing w:val="7"/>
              <w:sz w:val="21"/>
              <w:szCs w:val="21"/>
            </w:rPr>
            <w:t xml:space="preserve">  </w:t>
          </w:r>
          <w:r>
            <w:rPr>
              <w:rFonts w:ascii="宋体" w:hAnsi="宋体" w:eastAsia="宋体" w:cs="宋体"/>
              <w:spacing w:val="-2"/>
              <w:sz w:val="21"/>
              <w:szCs w:val="21"/>
            </w:rPr>
            <w:t>则</w:t>
          </w:r>
          <w:r>
            <w:rPr>
              <w:rFonts w:ascii="宋体" w:hAnsi="宋体" w:eastAsia="宋体" w:cs="宋体"/>
              <w:spacing w:val="-87"/>
              <w:sz w:val="21"/>
              <w:szCs w:val="21"/>
            </w:rPr>
            <w:t xml:space="preserve"> </w:t>
          </w:r>
          <w:r>
            <w:rPr>
              <w:rFonts w:ascii="宋体" w:hAnsi="宋体" w:eastAsia="宋体" w:cs="宋体"/>
              <w:sz w:val="21"/>
              <w:szCs w:val="21"/>
            </w:rPr>
            <w:tab/>
          </w:r>
          <w:r>
            <w:rPr>
              <w:rFonts w:ascii="宋体" w:hAnsi="宋体" w:eastAsia="宋体" w:cs="宋体"/>
              <w:spacing w:val="-24"/>
              <w:sz w:val="21"/>
              <w:szCs w:val="21"/>
            </w:rPr>
            <w:t xml:space="preserve"> </w:t>
          </w:r>
          <w:r>
            <w:fldChar w:fldCharType="begin"/>
          </w:r>
          <w:r>
            <w:instrText xml:space="preserve"> HYPERLINK \l "bookmark113" </w:instrText>
          </w:r>
          <w:r>
            <w:fldChar w:fldCharType="separate"/>
          </w:r>
          <w:r>
            <w:rPr>
              <w:rFonts w:ascii="宋体" w:hAnsi="宋体" w:eastAsia="宋体" w:cs="宋体"/>
              <w:spacing w:val="-3"/>
              <w:sz w:val="21"/>
              <w:szCs w:val="21"/>
            </w:rPr>
            <w:t>53</w:t>
          </w:r>
          <w:r>
            <w:rPr>
              <w:rFonts w:ascii="宋体" w:hAnsi="宋体" w:eastAsia="宋体" w:cs="宋体"/>
              <w:spacing w:val="-3"/>
              <w:sz w:val="21"/>
              <w:szCs w:val="21"/>
            </w:rPr>
            <w:fldChar w:fldCharType="end"/>
          </w:r>
        </w:p>
        <w:p w14:paraId="30078082">
          <w:pPr>
            <w:tabs>
              <w:tab w:val="right" w:leader="dot" w:pos="8317"/>
            </w:tabs>
            <w:spacing w:before="22" w:line="220" w:lineRule="auto"/>
            <w:ind w:left="852"/>
            <w:rPr>
              <w:rFonts w:ascii="宋体" w:hAnsi="宋体" w:eastAsia="宋体" w:cs="宋体"/>
              <w:sz w:val="21"/>
              <w:szCs w:val="21"/>
            </w:rPr>
          </w:pPr>
          <w:r>
            <w:rPr>
              <w:rFonts w:ascii="宋体" w:hAnsi="宋体" w:eastAsia="宋体" w:cs="宋体"/>
              <w:sz w:val="21"/>
              <w:szCs w:val="21"/>
            </w:rPr>
            <w:t>A1.基本程序</w:t>
          </w:r>
          <w:r>
            <w:rPr>
              <w:rFonts w:ascii="宋体" w:hAnsi="宋体" w:eastAsia="宋体" w:cs="宋体"/>
              <w:spacing w:val="-82"/>
              <w:sz w:val="21"/>
              <w:szCs w:val="21"/>
            </w:rPr>
            <w:t xml:space="preserve"> </w:t>
          </w:r>
          <w:r>
            <w:rPr>
              <w:rFonts w:ascii="宋体" w:hAnsi="宋体" w:eastAsia="宋体" w:cs="宋体"/>
              <w:sz w:val="21"/>
              <w:szCs w:val="21"/>
            </w:rPr>
            <w:tab/>
          </w:r>
          <w:r>
            <w:rPr>
              <w:rFonts w:ascii="宋体" w:hAnsi="宋体" w:eastAsia="宋体" w:cs="宋体"/>
              <w:spacing w:val="-24"/>
              <w:sz w:val="21"/>
              <w:szCs w:val="21"/>
            </w:rPr>
            <w:t xml:space="preserve"> </w:t>
          </w:r>
          <w:r>
            <w:fldChar w:fldCharType="begin"/>
          </w:r>
          <w:r>
            <w:instrText xml:space="preserve"> HYPERLINK \l "bookmark114" </w:instrText>
          </w:r>
          <w:r>
            <w:fldChar w:fldCharType="separate"/>
          </w:r>
          <w:r>
            <w:rPr>
              <w:rFonts w:ascii="宋体" w:hAnsi="宋体" w:eastAsia="宋体" w:cs="宋体"/>
              <w:spacing w:val="-3"/>
              <w:sz w:val="21"/>
              <w:szCs w:val="21"/>
            </w:rPr>
            <w:t>53</w:t>
          </w:r>
          <w:r>
            <w:rPr>
              <w:rFonts w:ascii="宋体" w:hAnsi="宋体" w:eastAsia="宋体" w:cs="宋体"/>
              <w:spacing w:val="-3"/>
              <w:sz w:val="21"/>
              <w:szCs w:val="21"/>
            </w:rPr>
            <w:fldChar w:fldCharType="end"/>
          </w:r>
        </w:p>
        <w:p w14:paraId="5D70678A">
          <w:pPr>
            <w:tabs>
              <w:tab w:val="right" w:leader="dot" w:pos="8317"/>
            </w:tabs>
            <w:spacing w:before="24" w:line="221" w:lineRule="auto"/>
            <w:ind w:left="852"/>
            <w:rPr>
              <w:rFonts w:ascii="宋体" w:hAnsi="宋体" w:eastAsia="宋体" w:cs="宋体"/>
              <w:sz w:val="21"/>
              <w:szCs w:val="21"/>
            </w:rPr>
          </w:pPr>
          <w:r>
            <w:rPr>
              <w:rFonts w:ascii="宋体" w:hAnsi="宋体" w:eastAsia="宋体" w:cs="宋体"/>
              <w:sz w:val="21"/>
              <w:szCs w:val="21"/>
            </w:rPr>
            <w:t>A2.评标准备</w:t>
          </w:r>
          <w:r>
            <w:rPr>
              <w:rFonts w:ascii="宋体" w:hAnsi="宋体" w:eastAsia="宋体" w:cs="宋体"/>
              <w:spacing w:val="-82"/>
              <w:sz w:val="21"/>
              <w:szCs w:val="21"/>
            </w:rPr>
            <w:t xml:space="preserve"> </w:t>
          </w:r>
          <w:r>
            <w:rPr>
              <w:rFonts w:ascii="宋体" w:hAnsi="宋体" w:eastAsia="宋体" w:cs="宋体"/>
              <w:sz w:val="21"/>
              <w:szCs w:val="21"/>
            </w:rPr>
            <w:tab/>
          </w:r>
          <w:r>
            <w:rPr>
              <w:rFonts w:ascii="宋体" w:hAnsi="宋体" w:eastAsia="宋体" w:cs="宋体"/>
              <w:spacing w:val="-24"/>
              <w:sz w:val="21"/>
              <w:szCs w:val="21"/>
            </w:rPr>
            <w:t xml:space="preserve"> </w:t>
          </w:r>
          <w:r>
            <w:fldChar w:fldCharType="begin"/>
          </w:r>
          <w:r>
            <w:instrText xml:space="preserve"> HYPERLINK \l "bookmark115" </w:instrText>
          </w:r>
          <w:r>
            <w:fldChar w:fldCharType="separate"/>
          </w:r>
          <w:r>
            <w:rPr>
              <w:rFonts w:ascii="宋体" w:hAnsi="宋体" w:eastAsia="宋体" w:cs="宋体"/>
              <w:spacing w:val="-3"/>
              <w:sz w:val="21"/>
              <w:szCs w:val="21"/>
            </w:rPr>
            <w:t>53</w:t>
          </w:r>
          <w:r>
            <w:rPr>
              <w:rFonts w:ascii="宋体" w:hAnsi="宋体" w:eastAsia="宋体" w:cs="宋体"/>
              <w:spacing w:val="-3"/>
              <w:sz w:val="21"/>
              <w:szCs w:val="21"/>
            </w:rPr>
            <w:fldChar w:fldCharType="end"/>
          </w:r>
        </w:p>
        <w:p w14:paraId="7FAD4C1E">
          <w:pPr>
            <w:tabs>
              <w:tab w:val="right" w:leader="dot" w:pos="8317"/>
            </w:tabs>
            <w:spacing w:before="22" w:line="220" w:lineRule="auto"/>
            <w:ind w:left="852"/>
            <w:rPr>
              <w:rFonts w:ascii="宋体" w:hAnsi="宋体" w:eastAsia="宋体" w:cs="宋体"/>
              <w:sz w:val="21"/>
              <w:szCs w:val="21"/>
            </w:rPr>
          </w:pPr>
          <w:r>
            <w:rPr>
              <w:rFonts w:ascii="宋体" w:hAnsi="宋体" w:eastAsia="宋体" w:cs="宋体"/>
              <w:spacing w:val="-1"/>
              <w:sz w:val="21"/>
              <w:szCs w:val="21"/>
            </w:rPr>
            <w:t>A2.1</w:t>
          </w:r>
          <w:r>
            <w:rPr>
              <w:rFonts w:ascii="宋体" w:hAnsi="宋体" w:eastAsia="宋体" w:cs="宋体"/>
              <w:spacing w:val="-39"/>
              <w:sz w:val="21"/>
              <w:szCs w:val="21"/>
            </w:rPr>
            <w:t xml:space="preserve"> </w:t>
          </w:r>
          <w:r>
            <w:rPr>
              <w:rFonts w:ascii="宋体" w:hAnsi="宋体" w:eastAsia="宋体" w:cs="宋体"/>
              <w:spacing w:val="-1"/>
              <w:sz w:val="21"/>
              <w:szCs w:val="21"/>
            </w:rPr>
            <w:t>评标委员会成员签到</w:t>
          </w:r>
          <w:r>
            <w:rPr>
              <w:rFonts w:ascii="宋体" w:hAnsi="宋体" w:eastAsia="宋体" w:cs="宋体"/>
              <w:spacing w:val="-23"/>
              <w:sz w:val="21"/>
              <w:szCs w:val="21"/>
            </w:rPr>
            <w:t xml:space="preserve"> </w:t>
          </w:r>
          <w:r>
            <w:rPr>
              <w:rFonts w:ascii="宋体" w:hAnsi="宋体" w:eastAsia="宋体" w:cs="宋体"/>
              <w:sz w:val="21"/>
              <w:szCs w:val="21"/>
            </w:rPr>
            <w:tab/>
          </w:r>
          <w:r>
            <w:rPr>
              <w:rFonts w:ascii="宋体" w:hAnsi="宋体" w:eastAsia="宋体" w:cs="宋体"/>
              <w:spacing w:val="-25"/>
              <w:sz w:val="21"/>
              <w:szCs w:val="21"/>
            </w:rPr>
            <w:t xml:space="preserve"> </w:t>
          </w:r>
          <w:r>
            <w:fldChar w:fldCharType="begin"/>
          </w:r>
          <w:r>
            <w:instrText xml:space="preserve"> HYPERLINK \l "bookmark116" </w:instrText>
          </w:r>
          <w:r>
            <w:fldChar w:fldCharType="separate"/>
          </w:r>
          <w:r>
            <w:rPr>
              <w:rFonts w:ascii="宋体" w:hAnsi="宋体" w:eastAsia="宋体" w:cs="宋体"/>
              <w:spacing w:val="-3"/>
              <w:sz w:val="21"/>
              <w:szCs w:val="21"/>
            </w:rPr>
            <w:t>53</w:t>
          </w:r>
          <w:r>
            <w:rPr>
              <w:rFonts w:ascii="宋体" w:hAnsi="宋体" w:eastAsia="宋体" w:cs="宋体"/>
              <w:spacing w:val="-3"/>
              <w:sz w:val="21"/>
              <w:szCs w:val="21"/>
            </w:rPr>
            <w:fldChar w:fldCharType="end"/>
          </w:r>
        </w:p>
        <w:p w14:paraId="7A1E2CC7">
          <w:pPr>
            <w:tabs>
              <w:tab w:val="right" w:leader="dot" w:pos="8317"/>
            </w:tabs>
            <w:spacing w:before="18" w:line="220" w:lineRule="auto"/>
            <w:ind w:left="852"/>
            <w:rPr>
              <w:rFonts w:ascii="宋体" w:hAnsi="宋体" w:eastAsia="宋体" w:cs="宋体"/>
              <w:sz w:val="21"/>
              <w:szCs w:val="21"/>
            </w:rPr>
          </w:pPr>
          <w:r>
            <w:rPr>
              <w:rFonts w:ascii="宋体" w:hAnsi="宋体" w:eastAsia="宋体" w:cs="宋体"/>
              <w:spacing w:val="-1"/>
              <w:sz w:val="21"/>
              <w:szCs w:val="21"/>
            </w:rPr>
            <w:t>A2.2</w:t>
          </w:r>
          <w:r>
            <w:rPr>
              <w:rFonts w:ascii="宋体" w:hAnsi="宋体" w:eastAsia="宋体" w:cs="宋体"/>
              <w:spacing w:val="-41"/>
              <w:sz w:val="21"/>
              <w:szCs w:val="21"/>
            </w:rPr>
            <w:t xml:space="preserve"> </w:t>
          </w:r>
          <w:r>
            <w:rPr>
              <w:rFonts w:ascii="宋体" w:hAnsi="宋体" w:eastAsia="宋体" w:cs="宋体"/>
              <w:spacing w:val="-1"/>
              <w:sz w:val="21"/>
              <w:szCs w:val="21"/>
            </w:rPr>
            <w:t>评标委员会的分工</w:t>
          </w:r>
          <w:r>
            <w:rPr>
              <w:rFonts w:ascii="宋体" w:hAnsi="宋体" w:eastAsia="宋体" w:cs="宋体"/>
              <w:spacing w:val="-23"/>
              <w:sz w:val="21"/>
              <w:szCs w:val="21"/>
            </w:rPr>
            <w:t xml:space="preserve"> </w:t>
          </w:r>
          <w:r>
            <w:rPr>
              <w:rFonts w:ascii="宋体" w:hAnsi="宋体" w:eastAsia="宋体" w:cs="宋体"/>
              <w:sz w:val="21"/>
              <w:szCs w:val="21"/>
            </w:rPr>
            <w:tab/>
          </w:r>
          <w:r>
            <w:rPr>
              <w:rFonts w:ascii="宋体" w:hAnsi="宋体" w:eastAsia="宋体" w:cs="宋体"/>
              <w:spacing w:val="-25"/>
              <w:sz w:val="21"/>
              <w:szCs w:val="21"/>
            </w:rPr>
            <w:t xml:space="preserve"> </w:t>
          </w:r>
          <w:r>
            <w:fldChar w:fldCharType="begin"/>
          </w:r>
          <w:r>
            <w:instrText xml:space="preserve"> HYPERLINK \l "bookmark117" </w:instrText>
          </w:r>
          <w:r>
            <w:fldChar w:fldCharType="separate"/>
          </w:r>
          <w:r>
            <w:rPr>
              <w:rFonts w:ascii="宋体" w:hAnsi="宋体" w:eastAsia="宋体" w:cs="宋体"/>
              <w:spacing w:val="-3"/>
              <w:sz w:val="21"/>
              <w:szCs w:val="21"/>
            </w:rPr>
            <w:t>53</w:t>
          </w:r>
          <w:r>
            <w:rPr>
              <w:rFonts w:ascii="宋体" w:hAnsi="宋体" w:eastAsia="宋体" w:cs="宋体"/>
              <w:spacing w:val="-3"/>
              <w:sz w:val="21"/>
              <w:szCs w:val="21"/>
            </w:rPr>
            <w:fldChar w:fldCharType="end"/>
          </w:r>
        </w:p>
        <w:p w14:paraId="20FDED25">
          <w:pPr>
            <w:tabs>
              <w:tab w:val="right" w:leader="dot" w:pos="8317"/>
            </w:tabs>
            <w:spacing w:before="23" w:line="221" w:lineRule="auto"/>
            <w:ind w:left="852"/>
            <w:rPr>
              <w:rFonts w:ascii="宋体" w:hAnsi="宋体" w:eastAsia="宋体" w:cs="宋体"/>
              <w:sz w:val="21"/>
              <w:szCs w:val="21"/>
            </w:rPr>
          </w:pPr>
          <w:r>
            <w:rPr>
              <w:rFonts w:ascii="宋体" w:hAnsi="宋体" w:eastAsia="宋体" w:cs="宋体"/>
              <w:spacing w:val="-1"/>
              <w:sz w:val="21"/>
              <w:szCs w:val="21"/>
            </w:rPr>
            <w:t>A2.3</w:t>
          </w:r>
          <w:r>
            <w:rPr>
              <w:rFonts w:ascii="宋体" w:hAnsi="宋体" w:eastAsia="宋体" w:cs="宋体"/>
              <w:spacing w:val="-40"/>
              <w:sz w:val="21"/>
              <w:szCs w:val="21"/>
            </w:rPr>
            <w:t xml:space="preserve"> </w:t>
          </w:r>
          <w:r>
            <w:rPr>
              <w:rFonts w:ascii="宋体" w:hAnsi="宋体" w:eastAsia="宋体" w:cs="宋体"/>
              <w:spacing w:val="-1"/>
              <w:sz w:val="21"/>
              <w:szCs w:val="21"/>
            </w:rPr>
            <w:t>熟悉文件资料</w:t>
          </w:r>
          <w:r>
            <w:rPr>
              <w:rFonts w:ascii="宋体" w:hAnsi="宋体" w:eastAsia="宋体" w:cs="宋体"/>
              <w:spacing w:val="-28"/>
              <w:sz w:val="21"/>
              <w:szCs w:val="21"/>
            </w:rPr>
            <w:t xml:space="preserve"> </w:t>
          </w:r>
          <w:r>
            <w:rPr>
              <w:rFonts w:ascii="宋体" w:hAnsi="宋体" w:eastAsia="宋体" w:cs="宋体"/>
              <w:sz w:val="21"/>
              <w:szCs w:val="21"/>
            </w:rPr>
            <w:tab/>
          </w:r>
          <w:r>
            <w:rPr>
              <w:rFonts w:ascii="宋体" w:hAnsi="宋体" w:eastAsia="宋体" w:cs="宋体"/>
              <w:spacing w:val="-24"/>
              <w:sz w:val="21"/>
              <w:szCs w:val="21"/>
            </w:rPr>
            <w:t xml:space="preserve"> </w:t>
          </w:r>
          <w:r>
            <w:fldChar w:fldCharType="begin"/>
          </w:r>
          <w:r>
            <w:instrText xml:space="preserve"> HYPERLINK \l "bookmark118" </w:instrText>
          </w:r>
          <w:r>
            <w:fldChar w:fldCharType="separate"/>
          </w:r>
          <w:r>
            <w:rPr>
              <w:rFonts w:ascii="宋体" w:hAnsi="宋体" w:eastAsia="宋体" w:cs="宋体"/>
              <w:spacing w:val="-3"/>
              <w:sz w:val="21"/>
              <w:szCs w:val="21"/>
            </w:rPr>
            <w:t>54</w:t>
          </w:r>
          <w:r>
            <w:rPr>
              <w:rFonts w:ascii="宋体" w:hAnsi="宋体" w:eastAsia="宋体" w:cs="宋体"/>
              <w:spacing w:val="-3"/>
              <w:sz w:val="21"/>
              <w:szCs w:val="21"/>
            </w:rPr>
            <w:fldChar w:fldCharType="end"/>
          </w:r>
        </w:p>
        <w:p w14:paraId="36056C28">
          <w:pPr>
            <w:tabs>
              <w:tab w:val="right" w:leader="dot" w:pos="8317"/>
            </w:tabs>
            <w:spacing w:before="22" w:line="221" w:lineRule="auto"/>
            <w:ind w:left="852"/>
            <w:rPr>
              <w:rFonts w:ascii="宋体" w:hAnsi="宋体" w:eastAsia="宋体" w:cs="宋体"/>
              <w:sz w:val="21"/>
              <w:szCs w:val="21"/>
            </w:rPr>
          </w:pPr>
          <w:r>
            <w:rPr>
              <w:rFonts w:ascii="宋体" w:hAnsi="宋体" w:eastAsia="宋体" w:cs="宋体"/>
              <w:spacing w:val="-3"/>
              <w:sz w:val="21"/>
              <w:szCs w:val="21"/>
            </w:rPr>
            <w:t>A2.4</w:t>
          </w:r>
          <w:r>
            <w:rPr>
              <w:rFonts w:ascii="宋体" w:hAnsi="宋体" w:eastAsia="宋体" w:cs="宋体"/>
              <w:spacing w:val="-29"/>
              <w:sz w:val="21"/>
              <w:szCs w:val="21"/>
            </w:rPr>
            <w:t xml:space="preserve"> </w:t>
          </w:r>
          <w:r>
            <w:rPr>
              <w:rFonts w:ascii="宋体" w:hAnsi="宋体" w:eastAsia="宋体" w:cs="宋体"/>
              <w:spacing w:val="-3"/>
              <w:sz w:val="21"/>
              <w:szCs w:val="21"/>
            </w:rPr>
            <w:t>暗标编号</w:t>
          </w:r>
          <w:r>
            <w:rPr>
              <w:rFonts w:ascii="宋体" w:hAnsi="宋体" w:eastAsia="宋体" w:cs="宋体"/>
              <w:spacing w:val="-28"/>
              <w:sz w:val="21"/>
              <w:szCs w:val="21"/>
            </w:rPr>
            <w:t xml:space="preserve"> </w:t>
          </w:r>
          <w:r>
            <w:rPr>
              <w:rFonts w:ascii="宋体" w:hAnsi="宋体" w:eastAsia="宋体" w:cs="宋体"/>
              <w:sz w:val="21"/>
              <w:szCs w:val="21"/>
            </w:rPr>
            <w:tab/>
          </w:r>
          <w:r>
            <w:rPr>
              <w:rFonts w:ascii="宋体" w:hAnsi="宋体" w:eastAsia="宋体" w:cs="宋体"/>
              <w:spacing w:val="-25"/>
              <w:sz w:val="21"/>
              <w:szCs w:val="21"/>
            </w:rPr>
            <w:t xml:space="preserve"> </w:t>
          </w:r>
          <w:r>
            <w:fldChar w:fldCharType="begin"/>
          </w:r>
          <w:r>
            <w:instrText xml:space="preserve"> HYPERLINK \l "bookmark119" </w:instrText>
          </w:r>
          <w:r>
            <w:fldChar w:fldCharType="separate"/>
          </w:r>
          <w:r>
            <w:rPr>
              <w:rFonts w:ascii="宋体" w:hAnsi="宋体" w:eastAsia="宋体" w:cs="宋体"/>
              <w:spacing w:val="-3"/>
              <w:sz w:val="21"/>
              <w:szCs w:val="21"/>
            </w:rPr>
            <w:t>54</w:t>
          </w:r>
          <w:r>
            <w:rPr>
              <w:rFonts w:ascii="宋体" w:hAnsi="宋体" w:eastAsia="宋体" w:cs="宋体"/>
              <w:spacing w:val="-3"/>
              <w:sz w:val="21"/>
              <w:szCs w:val="21"/>
            </w:rPr>
            <w:fldChar w:fldCharType="end"/>
          </w:r>
        </w:p>
        <w:p w14:paraId="2A577D21">
          <w:pPr>
            <w:tabs>
              <w:tab w:val="right" w:leader="dot" w:pos="8317"/>
            </w:tabs>
            <w:spacing w:before="18" w:line="221" w:lineRule="auto"/>
            <w:ind w:left="852"/>
            <w:rPr>
              <w:rFonts w:ascii="宋体" w:hAnsi="宋体" w:eastAsia="宋体" w:cs="宋体"/>
              <w:sz w:val="21"/>
              <w:szCs w:val="21"/>
            </w:rPr>
          </w:pPr>
          <w:r>
            <w:rPr>
              <w:rFonts w:ascii="宋体" w:hAnsi="宋体" w:eastAsia="宋体" w:cs="宋体"/>
              <w:spacing w:val="-1"/>
              <w:sz w:val="21"/>
              <w:szCs w:val="21"/>
            </w:rPr>
            <w:t>A2.5</w:t>
          </w:r>
          <w:r>
            <w:rPr>
              <w:rFonts w:ascii="宋体" w:hAnsi="宋体" w:eastAsia="宋体" w:cs="宋体"/>
              <w:spacing w:val="-38"/>
              <w:sz w:val="21"/>
              <w:szCs w:val="21"/>
            </w:rPr>
            <w:t xml:space="preserve"> </w:t>
          </w:r>
          <w:r>
            <w:rPr>
              <w:rFonts w:ascii="宋体" w:hAnsi="宋体" w:eastAsia="宋体" w:cs="宋体"/>
              <w:spacing w:val="-1"/>
              <w:sz w:val="21"/>
              <w:szCs w:val="21"/>
            </w:rPr>
            <w:t xml:space="preserve">对投标文件进行基础性数据分析和整理工作 </w:t>
          </w:r>
          <w:r>
            <w:rPr>
              <w:rFonts w:ascii="宋体" w:hAnsi="宋体" w:eastAsia="宋体" w:cs="宋体"/>
              <w:sz w:val="21"/>
              <w:szCs w:val="21"/>
            </w:rPr>
            <w:tab/>
          </w:r>
          <w:r>
            <w:rPr>
              <w:rFonts w:ascii="宋体" w:hAnsi="宋体" w:eastAsia="宋体" w:cs="宋体"/>
              <w:spacing w:val="-24"/>
              <w:sz w:val="21"/>
              <w:szCs w:val="21"/>
            </w:rPr>
            <w:t xml:space="preserve"> </w:t>
          </w:r>
          <w:r>
            <w:fldChar w:fldCharType="begin"/>
          </w:r>
          <w:r>
            <w:instrText xml:space="preserve"> HYPERLINK \l "bookmark120" </w:instrText>
          </w:r>
          <w:r>
            <w:fldChar w:fldCharType="separate"/>
          </w:r>
          <w:r>
            <w:rPr>
              <w:rFonts w:ascii="宋体" w:hAnsi="宋体" w:eastAsia="宋体" w:cs="宋体"/>
              <w:spacing w:val="-3"/>
              <w:sz w:val="21"/>
              <w:szCs w:val="21"/>
            </w:rPr>
            <w:t>54</w:t>
          </w:r>
          <w:r>
            <w:rPr>
              <w:rFonts w:ascii="宋体" w:hAnsi="宋体" w:eastAsia="宋体" w:cs="宋体"/>
              <w:spacing w:val="-3"/>
              <w:sz w:val="21"/>
              <w:szCs w:val="21"/>
            </w:rPr>
            <w:fldChar w:fldCharType="end"/>
          </w:r>
        </w:p>
        <w:p w14:paraId="1E3D08DC">
          <w:pPr>
            <w:tabs>
              <w:tab w:val="right" w:leader="dot" w:pos="8317"/>
            </w:tabs>
            <w:spacing w:before="22" w:line="221" w:lineRule="auto"/>
            <w:ind w:left="852"/>
            <w:rPr>
              <w:rFonts w:ascii="宋体" w:hAnsi="宋体" w:eastAsia="宋体" w:cs="宋体"/>
              <w:sz w:val="21"/>
              <w:szCs w:val="21"/>
            </w:rPr>
          </w:pPr>
          <w:r>
            <w:rPr>
              <w:rFonts w:ascii="宋体" w:hAnsi="宋体" w:eastAsia="宋体" w:cs="宋体"/>
              <w:sz w:val="21"/>
              <w:szCs w:val="21"/>
            </w:rPr>
            <w:t>A3.初步评审</w:t>
          </w:r>
          <w:r>
            <w:rPr>
              <w:rFonts w:ascii="宋体" w:hAnsi="宋体" w:eastAsia="宋体" w:cs="宋体"/>
              <w:spacing w:val="-82"/>
              <w:sz w:val="21"/>
              <w:szCs w:val="21"/>
            </w:rPr>
            <w:t xml:space="preserve"> </w:t>
          </w:r>
          <w:r>
            <w:rPr>
              <w:rFonts w:ascii="宋体" w:hAnsi="宋体" w:eastAsia="宋体" w:cs="宋体"/>
              <w:sz w:val="21"/>
              <w:szCs w:val="21"/>
            </w:rPr>
            <w:tab/>
          </w:r>
          <w:r>
            <w:rPr>
              <w:rFonts w:ascii="宋体" w:hAnsi="宋体" w:eastAsia="宋体" w:cs="宋体"/>
              <w:spacing w:val="-24"/>
              <w:sz w:val="21"/>
              <w:szCs w:val="21"/>
            </w:rPr>
            <w:t xml:space="preserve"> </w:t>
          </w:r>
          <w:r>
            <w:fldChar w:fldCharType="begin"/>
          </w:r>
          <w:r>
            <w:instrText xml:space="preserve"> HYPERLINK \l "bookmark121" </w:instrText>
          </w:r>
          <w:r>
            <w:fldChar w:fldCharType="separate"/>
          </w:r>
          <w:r>
            <w:rPr>
              <w:rFonts w:ascii="宋体" w:hAnsi="宋体" w:eastAsia="宋体" w:cs="宋体"/>
              <w:spacing w:val="-3"/>
              <w:sz w:val="21"/>
              <w:szCs w:val="21"/>
            </w:rPr>
            <w:t>55</w:t>
          </w:r>
          <w:r>
            <w:rPr>
              <w:rFonts w:ascii="宋体" w:hAnsi="宋体" w:eastAsia="宋体" w:cs="宋体"/>
              <w:spacing w:val="-3"/>
              <w:sz w:val="21"/>
              <w:szCs w:val="21"/>
            </w:rPr>
            <w:fldChar w:fldCharType="end"/>
          </w:r>
        </w:p>
        <w:p w14:paraId="4A1F9355">
          <w:pPr>
            <w:tabs>
              <w:tab w:val="right" w:leader="dot" w:pos="8317"/>
            </w:tabs>
            <w:spacing w:before="24" w:line="221" w:lineRule="auto"/>
            <w:ind w:left="852"/>
            <w:rPr>
              <w:rFonts w:ascii="宋体" w:hAnsi="宋体" w:eastAsia="宋体" w:cs="宋体"/>
              <w:sz w:val="21"/>
              <w:szCs w:val="21"/>
            </w:rPr>
          </w:pPr>
          <w:r>
            <w:rPr>
              <w:rFonts w:ascii="宋体" w:hAnsi="宋体" w:eastAsia="宋体" w:cs="宋体"/>
              <w:spacing w:val="-2"/>
              <w:sz w:val="21"/>
              <w:szCs w:val="21"/>
            </w:rPr>
            <w:t>A3.1</w:t>
          </w:r>
          <w:r>
            <w:rPr>
              <w:rFonts w:ascii="宋体" w:hAnsi="宋体" w:eastAsia="宋体" w:cs="宋体"/>
              <w:spacing w:val="-37"/>
              <w:sz w:val="21"/>
              <w:szCs w:val="21"/>
            </w:rPr>
            <w:t xml:space="preserve"> </w:t>
          </w:r>
          <w:r>
            <w:rPr>
              <w:rFonts w:ascii="宋体" w:hAnsi="宋体" w:eastAsia="宋体" w:cs="宋体"/>
              <w:spacing w:val="-2"/>
              <w:sz w:val="21"/>
              <w:szCs w:val="21"/>
            </w:rPr>
            <w:t>形式评审</w:t>
          </w:r>
          <w:r>
            <w:rPr>
              <w:rFonts w:ascii="宋体" w:hAnsi="宋体" w:eastAsia="宋体" w:cs="宋体"/>
              <w:spacing w:val="-28"/>
              <w:sz w:val="21"/>
              <w:szCs w:val="21"/>
            </w:rPr>
            <w:t xml:space="preserve"> </w:t>
          </w:r>
          <w:r>
            <w:rPr>
              <w:rFonts w:ascii="宋体" w:hAnsi="宋体" w:eastAsia="宋体" w:cs="宋体"/>
              <w:sz w:val="21"/>
              <w:szCs w:val="21"/>
            </w:rPr>
            <w:tab/>
          </w:r>
          <w:r>
            <w:rPr>
              <w:rFonts w:ascii="宋体" w:hAnsi="宋体" w:eastAsia="宋体" w:cs="宋体"/>
              <w:spacing w:val="-25"/>
              <w:sz w:val="21"/>
              <w:szCs w:val="21"/>
            </w:rPr>
            <w:t xml:space="preserve"> </w:t>
          </w:r>
          <w:r>
            <w:fldChar w:fldCharType="begin"/>
          </w:r>
          <w:r>
            <w:instrText xml:space="preserve"> HYPERLINK \l "bookmark122" </w:instrText>
          </w:r>
          <w:r>
            <w:fldChar w:fldCharType="separate"/>
          </w:r>
          <w:r>
            <w:rPr>
              <w:rFonts w:ascii="宋体" w:hAnsi="宋体" w:eastAsia="宋体" w:cs="宋体"/>
              <w:spacing w:val="-3"/>
              <w:sz w:val="21"/>
              <w:szCs w:val="21"/>
            </w:rPr>
            <w:t>55</w:t>
          </w:r>
          <w:r>
            <w:rPr>
              <w:rFonts w:ascii="宋体" w:hAnsi="宋体" w:eastAsia="宋体" w:cs="宋体"/>
              <w:spacing w:val="-3"/>
              <w:sz w:val="21"/>
              <w:szCs w:val="21"/>
            </w:rPr>
            <w:fldChar w:fldCharType="end"/>
          </w:r>
        </w:p>
        <w:p w14:paraId="72B2B053">
          <w:pPr>
            <w:tabs>
              <w:tab w:val="right" w:leader="dot" w:pos="8317"/>
            </w:tabs>
            <w:spacing w:before="21" w:line="221" w:lineRule="auto"/>
            <w:ind w:left="852"/>
            <w:rPr>
              <w:rFonts w:ascii="宋体" w:hAnsi="宋体" w:eastAsia="宋体" w:cs="宋体"/>
              <w:sz w:val="21"/>
              <w:szCs w:val="21"/>
            </w:rPr>
          </w:pPr>
          <w:r>
            <w:rPr>
              <w:rFonts w:ascii="宋体" w:hAnsi="宋体" w:eastAsia="宋体" w:cs="宋体"/>
              <w:spacing w:val="-3"/>
              <w:sz w:val="21"/>
              <w:szCs w:val="21"/>
            </w:rPr>
            <w:t>A3.2</w:t>
          </w:r>
          <w:r>
            <w:rPr>
              <w:rFonts w:ascii="宋体" w:hAnsi="宋体" w:eastAsia="宋体" w:cs="宋体"/>
              <w:spacing w:val="-29"/>
              <w:sz w:val="21"/>
              <w:szCs w:val="21"/>
            </w:rPr>
            <w:t xml:space="preserve"> </w:t>
          </w:r>
          <w:r>
            <w:rPr>
              <w:rFonts w:ascii="宋体" w:hAnsi="宋体" w:eastAsia="宋体" w:cs="宋体"/>
              <w:spacing w:val="-3"/>
              <w:sz w:val="21"/>
              <w:szCs w:val="21"/>
            </w:rPr>
            <w:t>资格评审</w:t>
          </w:r>
          <w:r>
            <w:rPr>
              <w:rFonts w:ascii="宋体" w:hAnsi="宋体" w:eastAsia="宋体" w:cs="宋体"/>
              <w:spacing w:val="-28"/>
              <w:sz w:val="21"/>
              <w:szCs w:val="21"/>
            </w:rPr>
            <w:t xml:space="preserve"> </w:t>
          </w:r>
          <w:r>
            <w:rPr>
              <w:rFonts w:ascii="宋体" w:hAnsi="宋体" w:eastAsia="宋体" w:cs="宋体"/>
              <w:sz w:val="21"/>
              <w:szCs w:val="21"/>
            </w:rPr>
            <w:tab/>
          </w:r>
          <w:r>
            <w:rPr>
              <w:rFonts w:ascii="宋体" w:hAnsi="宋体" w:eastAsia="宋体" w:cs="宋体"/>
              <w:spacing w:val="-25"/>
              <w:sz w:val="21"/>
              <w:szCs w:val="21"/>
            </w:rPr>
            <w:t xml:space="preserve"> </w:t>
          </w:r>
          <w:r>
            <w:fldChar w:fldCharType="begin"/>
          </w:r>
          <w:r>
            <w:instrText xml:space="preserve"> HYPERLINK \l "bookmark123" </w:instrText>
          </w:r>
          <w:r>
            <w:fldChar w:fldCharType="separate"/>
          </w:r>
          <w:r>
            <w:rPr>
              <w:rFonts w:ascii="宋体" w:hAnsi="宋体" w:eastAsia="宋体" w:cs="宋体"/>
              <w:spacing w:val="-3"/>
              <w:sz w:val="21"/>
              <w:szCs w:val="21"/>
            </w:rPr>
            <w:t>55</w:t>
          </w:r>
          <w:r>
            <w:rPr>
              <w:rFonts w:ascii="宋体" w:hAnsi="宋体" w:eastAsia="宋体" w:cs="宋体"/>
              <w:spacing w:val="-3"/>
              <w:sz w:val="21"/>
              <w:szCs w:val="21"/>
            </w:rPr>
            <w:fldChar w:fldCharType="end"/>
          </w:r>
        </w:p>
        <w:p w14:paraId="240DB49D">
          <w:pPr>
            <w:tabs>
              <w:tab w:val="right" w:leader="dot" w:pos="8317"/>
            </w:tabs>
            <w:spacing w:before="18" w:line="221" w:lineRule="auto"/>
            <w:ind w:left="852"/>
            <w:rPr>
              <w:rFonts w:ascii="宋体" w:hAnsi="宋体" w:eastAsia="宋体" w:cs="宋体"/>
              <w:sz w:val="21"/>
              <w:szCs w:val="21"/>
            </w:rPr>
          </w:pPr>
          <w:r>
            <w:rPr>
              <w:rFonts w:ascii="宋体" w:hAnsi="宋体" w:eastAsia="宋体" w:cs="宋体"/>
              <w:spacing w:val="-2"/>
              <w:sz w:val="21"/>
              <w:szCs w:val="21"/>
            </w:rPr>
            <w:t>A3.3</w:t>
          </w:r>
          <w:r>
            <w:rPr>
              <w:rFonts w:ascii="宋体" w:hAnsi="宋体" w:eastAsia="宋体" w:cs="宋体"/>
              <w:spacing w:val="-33"/>
              <w:sz w:val="21"/>
              <w:szCs w:val="21"/>
            </w:rPr>
            <w:t xml:space="preserve"> </w:t>
          </w:r>
          <w:r>
            <w:rPr>
              <w:rFonts w:ascii="宋体" w:hAnsi="宋体" w:eastAsia="宋体" w:cs="宋体"/>
              <w:spacing w:val="-2"/>
              <w:sz w:val="21"/>
              <w:szCs w:val="21"/>
            </w:rPr>
            <w:t>响应性评审</w:t>
          </w:r>
          <w:r>
            <w:rPr>
              <w:rFonts w:ascii="宋体" w:hAnsi="宋体" w:eastAsia="宋体" w:cs="宋体"/>
              <w:spacing w:val="-29"/>
              <w:sz w:val="21"/>
              <w:szCs w:val="21"/>
            </w:rPr>
            <w:t xml:space="preserve"> </w:t>
          </w:r>
          <w:r>
            <w:rPr>
              <w:rFonts w:ascii="宋体" w:hAnsi="宋体" w:eastAsia="宋体" w:cs="宋体"/>
              <w:sz w:val="21"/>
              <w:szCs w:val="21"/>
            </w:rPr>
            <w:tab/>
          </w:r>
          <w:r>
            <w:rPr>
              <w:rFonts w:ascii="宋体" w:hAnsi="宋体" w:eastAsia="宋体" w:cs="宋体"/>
              <w:spacing w:val="-24"/>
              <w:sz w:val="21"/>
              <w:szCs w:val="21"/>
            </w:rPr>
            <w:t xml:space="preserve"> </w:t>
          </w:r>
          <w:r>
            <w:fldChar w:fldCharType="begin"/>
          </w:r>
          <w:r>
            <w:instrText xml:space="preserve"> HYPERLINK \l "bookmark124" </w:instrText>
          </w:r>
          <w:r>
            <w:fldChar w:fldCharType="separate"/>
          </w:r>
          <w:r>
            <w:rPr>
              <w:rFonts w:ascii="宋体" w:hAnsi="宋体" w:eastAsia="宋体" w:cs="宋体"/>
              <w:spacing w:val="-3"/>
              <w:sz w:val="21"/>
              <w:szCs w:val="21"/>
            </w:rPr>
            <w:t>55</w:t>
          </w:r>
          <w:r>
            <w:rPr>
              <w:rFonts w:ascii="宋体" w:hAnsi="宋体" w:eastAsia="宋体" w:cs="宋体"/>
              <w:spacing w:val="-3"/>
              <w:sz w:val="21"/>
              <w:szCs w:val="21"/>
            </w:rPr>
            <w:fldChar w:fldCharType="end"/>
          </w:r>
        </w:p>
        <w:p w14:paraId="1C7BDB68">
          <w:pPr>
            <w:tabs>
              <w:tab w:val="right" w:leader="dot" w:pos="8317"/>
            </w:tabs>
            <w:spacing w:before="22" w:line="221" w:lineRule="auto"/>
            <w:ind w:left="852"/>
            <w:rPr>
              <w:rFonts w:ascii="宋体" w:hAnsi="宋体" w:eastAsia="宋体" w:cs="宋体"/>
              <w:sz w:val="21"/>
              <w:szCs w:val="21"/>
            </w:rPr>
          </w:pPr>
          <w:r>
            <w:rPr>
              <w:rFonts w:ascii="宋体" w:hAnsi="宋体" w:eastAsia="宋体" w:cs="宋体"/>
              <w:spacing w:val="-1"/>
              <w:sz w:val="21"/>
              <w:szCs w:val="21"/>
            </w:rPr>
            <w:t>A3.4</w:t>
          </w:r>
          <w:r>
            <w:rPr>
              <w:rFonts w:ascii="宋体" w:hAnsi="宋体" w:eastAsia="宋体" w:cs="宋体"/>
              <w:spacing w:val="-40"/>
              <w:sz w:val="21"/>
              <w:szCs w:val="21"/>
            </w:rPr>
            <w:t xml:space="preserve"> </w:t>
          </w:r>
          <w:r>
            <w:rPr>
              <w:rFonts w:ascii="宋体" w:hAnsi="宋体" w:eastAsia="宋体" w:cs="宋体"/>
              <w:spacing w:val="-1"/>
              <w:sz w:val="21"/>
              <w:szCs w:val="21"/>
            </w:rPr>
            <w:t>算术错误修正</w:t>
          </w:r>
          <w:r>
            <w:rPr>
              <w:rFonts w:ascii="宋体" w:hAnsi="宋体" w:eastAsia="宋体" w:cs="宋体"/>
              <w:spacing w:val="-28"/>
              <w:sz w:val="21"/>
              <w:szCs w:val="21"/>
            </w:rPr>
            <w:t xml:space="preserve"> </w:t>
          </w:r>
          <w:r>
            <w:rPr>
              <w:rFonts w:ascii="宋体" w:hAnsi="宋体" w:eastAsia="宋体" w:cs="宋体"/>
              <w:sz w:val="21"/>
              <w:szCs w:val="21"/>
            </w:rPr>
            <w:tab/>
          </w:r>
          <w:r>
            <w:rPr>
              <w:rFonts w:ascii="宋体" w:hAnsi="宋体" w:eastAsia="宋体" w:cs="宋体"/>
              <w:spacing w:val="-24"/>
              <w:sz w:val="21"/>
              <w:szCs w:val="21"/>
            </w:rPr>
            <w:t xml:space="preserve"> </w:t>
          </w:r>
          <w:r>
            <w:fldChar w:fldCharType="begin"/>
          </w:r>
          <w:r>
            <w:instrText xml:space="preserve"> HYPERLINK \l "bookmark125" </w:instrText>
          </w:r>
          <w:r>
            <w:fldChar w:fldCharType="separate"/>
          </w:r>
          <w:r>
            <w:rPr>
              <w:rFonts w:ascii="宋体" w:hAnsi="宋体" w:eastAsia="宋体" w:cs="宋体"/>
              <w:spacing w:val="-3"/>
              <w:sz w:val="21"/>
              <w:szCs w:val="21"/>
            </w:rPr>
            <w:t>55</w:t>
          </w:r>
          <w:r>
            <w:rPr>
              <w:rFonts w:ascii="宋体" w:hAnsi="宋体" w:eastAsia="宋体" w:cs="宋体"/>
              <w:spacing w:val="-3"/>
              <w:sz w:val="21"/>
              <w:szCs w:val="21"/>
            </w:rPr>
            <w:fldChar w:fldCharType="end"/>
          </w:r>
        </w:p>
        <w:p w14:paraId="44551D36">
          <w:pPr>
            <w:tabs>
              <w:tab w:val="right" w:leader="dot" w:pos="8317"/>
            </w:tabs>
            <w:spacing w:before="23" w:line="219" w:lineRule="auto"/>
            <w:ind w:left="852"/>
            <w:rPr>
              <w:rFonts w:ascii="宋体" w:hAnsi="宋体" w:eastAsia="宋体" w:cs="宋体"/>
              <w:sz w:val="21"/>
              <w:szCs w:val="21"/>
            </w:rPr>
          </w:pPr>
          <w:r>
            <w:rPr>
              <w:rFonts w:ascii="宋体" w:hAnsi="宋体" w:eastAsia="宋体" w:cs="宋体"/>
              <w:spacing w:val="-2"/>
              <w:sz w:val="21"/>
              <w:szCs w:val="21"/>
            </w:rPr>
            <w:t>A3.5</w:t>
          </w:r>
          <w:r>
            <w:rPr>
              <w:rFonts w:ascii="宋体" w:hAnsi="宋体" w:eastAsia="宋体" w:cs="宋体"/>
              <w:spacing w:val="-37"/>
              <w:sz w:val="21"/>
              <w:szCs w:val="21"/>
            </w:rPr>
            <w:t xml:space="preserve"> </w:t>
          </w:r>
          <w:r>
            <w:rPr>
              <w:rFonts w:ascii="宋体" w:hAnsi="宋体" w:eastAsia="宋体" w:cs="宋体"/>
              <w:spacing w:val="-2"/>
              <w:sz w:val="21"/>
              <w:szCs w:val="21"/>
            </w:rPr>
            <w:t xml:space="preserve">判断投标报价是否低于成本 </w:t>
          </w:r>
          <w:r>
            <w:rPr>
              <w:rFonts w:ascii="宋体" w:hAnsi="宋体" w:eastAsia="宋体" w:cs="宋体"/>
              <w:sz w:val="21"/>
              <w:szCs w:val="21"/>
            </w:rPr>
            <w:tab/>
          </w:r>
          <w:r>
            <w:rPr>
              <w:rFonts w:ascii="宋体" w:hAnsi="宋体" w:eastAsia="宋体" w:cs="宋体"/>
              <w:spacing w:val="-25"/>
              <w:sz w:val="21"/>
              <w:szCs w:val="21"/>
            </w:rPr>
            <w:t xml:space="preserve"> </w:t>
          </w:r>
          <w:r>
            <w:fldChar w:fldCharType="begin"/>
          </w:r>
          <w:r>
            <w:instrText xml:space="preserve"> HYPERLINK \l "bookmark126" </w:instrText>
          </w:r>
          <w:r>
            <w:fldChar w:fldCharType="separate"/>
          </w:r>
          <w:r>
            <w:rPr>
              <w:rFonts w:ascii="宋体" w:hAnsi="宋体" w:eastAsia="宋体" w:cs="宋体"/>
              <w:spacing w:val="-3"/>
              <w:sz w:val="21"/>
              <w:szCs w:val="21"/>
            </w:rPr>
            <w:t>55</w:t>
          </w:r>
          <w:r>
            <w:rPr>
              <w:rFonts w:ascii="宋体" w:hAnsi="宋体" w:eastAsia="宋体" w:cs="宋体"/>
              <w:spacing w:val="-3"/>
              <w:sz w:val="21"/>
              <w:szCs w:val="21"/>
            </w:rPr>
            <w:fldChar w:fldCharType="end"/>
          </w:r>
        </w:p>
        <w:p w14:paraId="1647EBD3">
          <w:pPr>
            <w:tabs>
              <w:tab w:val="right" w:leader="dot" w:pos="8317"/>
            </w:tabs>
            <w:spacing w:before="24" w:line="221" w:lineRule="auto"/>
            <w:ind w:left="852"/>
            <w:rPr>
              <w:rFonts w:ascii="宋体" w:hAnsi="宋体" w:eastAsia="宋体" w:cs="宋体"/>
              <w:sz w:val="21"/>
              <w:szCs w:val="21"/>
            </w:rPr>
          </w:pPr>
          <w:r>
            <w:rPr>
              <w:rFonts w:ascii="宋体" w:hAnsi="宋体" w:eastAsia="宋体" w:cs="宋体"/>
              <w:sz w:val="21"/>
              <w:szCs w:val="21"/>
            </w:rPr>
            <w:t>A3.6 判断投标是否为应当被否决</w:t>
          </w:r>
          <w:r>
            <w:rPr>
              <w:rFonts w:ascii="宋体" w:hAnsi="宋体" w:eastAsia="宋体" w:cs="宋体"/>
              <w:spacing w:val="-71"/>
              <w:sz w:val="21"/>
              <w:szCs w:val="21"/>
            </w:rPr>
            <w:t xml:space="preserve"> </w:t>
          </w:r>
          <w:r>
            <w:rPr>
              <w:rFonts w:ascii="宋体" w:hAnsi="宋体" w:eastAsia="宋体" w:cs="宋体"/>
              <w:sz w:val="21"/>
              <w:szCs w:val="21"/>
            </w:rPr>
            <w:tab/>
          </w:r>
          <w:r>
            <w:rPr>
              <w:rFonts w:ascii="宋体" w:hAnsi="宋体" w:eastAsia="宋体" w:cs="宋体"/>
              <w:spacing w:val="-25"/>
              <w:sz w:val="21"/>
              <w:szCs w:val="21"/>
            </w:rPr>
            <w:t xml:space="preserve"> </w:t>
          </w:r>
          <w:r>
            <w:fldChar w:fldCharType="begin"/>
          </w:r>
          <w:r>
            <w:instrText xml:space="preserve"> HYPERLINK \l "bookmark127" </w:instrText>
          </w:r>
          <w:r>
            <w:fldChar w:fldCharType="separate"/>
          </w:r>
          <w:r>
            <w:rPr>
              <w:rFonts w:ascii="宋体" w:hAnsi="宋体" w:eastAsia="宋体" w:cs="宋体"/>
              <w:spacing w:val="-3"/>
              <w:sz w:val="21"/>
              <w:szCs w:val="21"/>
            </w:rPr>
            <w:t>55</w:t>
          </w:r>
          <w:r>
            <w:rPr>
              <w:rFonts w:ascii="宋体" w:hAnsi="宋体" w:eastAsia="宋体" w:cs="宋体"/>
              <w:spacing w:val="-3"/>
              <w:sz w:val="21"/>
              <w:szCs w:val="21"/>
            </w:rPr>
            <w:fldChar w:fldCharType="end"/>
          </w:r>
        </w:p>
        <w:p w14:paraId="14939550">
          <w:pPr>
            <w:tabs>
              <w:tab w:val="right" w:leader="dot" w:pos="8317"/>
            </w:tabs>
            <w:spacing w:before="17" w:line="221" w:lineRule="auto"/>
            <w:ind w:left="852"/>
            <w:rPr>
              <w:rFonts w:ascii="宋体" w:hAnsi="宋体" w:eastAsia="宋体" w:cs="宋体"/>
              <w:sz w:val="21"/>
              <w:szCs w:val="21"/>
            </w:rPr>
          </w:pPr>
          <w:r>
            <w:rPr>
              <w:rFonts w:ascii="宋体" w:hAnsi="宋体" w:eastAsia="宋体" w:cs="宋体"/>
              <w:sz w:val="21"/>
              <w:szCs w:val="21"/>
            </w:rPr>
            <w:t>A3.7 澄清、说明或补正</w:t>
          </w:r>
          <w:r>
            <w:rPr>
              <w:rFonts w:ascii="宋体" w:hAnsi="宋体" w:eastAsia="宋体" w:cs="宋体"/>
              <w:spacing w:val="-76"/>
              <w:sz w:val="21"/>
              <w:szCs w:val="21"/>
            </w:rPr>
            <w:t xml:space="preserve"> </w:t>
          </w:r>
          <w:r>
            <w:rPr>
              <w:rFonts w:ascii="宋体" w:hAnsi="宋体" w:eastAsia="宋体" w:cs="宋体"/>
              <w:sz w:val="21"/>
              <w:szCs w:val="21"/>
            </w:rPr>
            <w:tab/>
          </w:r>
          <w:r>
            <w:rPr>
              <w:rFonts w:ascii="宋体" w:hAnsi="宋体" w:eastAsia="宋体" w:cs="宋体"/>
              <w:spacing w:val="-25"/>
              <w:sz w:val="21"/>
              <w:szCs w:val="21"/>
            </w:rPr>
            <w:t xml:space="preserve"> </w:t>
          </w:r>
          <w:r>
            <w:fldChar w:fldCharType="begin"/>
          </w:r>
          <w:r>
            <w:instrText xml:space="preserve"> HYPERLINK \l "bookmark128" </w:instrText>
          </w:r>
          <w:r>
            <w:fldChar w:fldCharType="separate"/>
          </w:r>
          <w:r>
            <w:rPr>
              <w:rFonts w:ascii="宋体" w:hAnsi="宋体" w:eastAsia="宋体" w:cs="宋体"/>
              <w:spacing w:val="-3"/>
              <w:sz w:val="21"/>
              <w:szCs w:val="21"/>
            </w:rPr>
            <w:t>55</w:t>
          </w:r>
          <w:r>
            <w:rPr>
              <w:rFonts w:ascii="宋体" w:hAnsi="宋体" w:eastAsia="宋体" w:cs="宋体"/>
              <w:spacing w:val="-3"/>
              <w:sz w:val="21"/>
              <w:szCs w:val="21"/>
            </w:rPr>
            <w:fldChar w:fldCharType="end"/>
          </w:r>
        </w:p>
        <w:p w14:paraId="48D8834D">
          <w:pPr>
            <w:tabs>
              <w:tab w:val="right" w:leader="dot" w:pos="8317"/>
            </w:tabs>
            <w:spacing w:before="23" w:line="221" w:lineRule="auto"/>
            <w:ind w:left="852"/>
            <w:rPr>
              <w:rFonts w:ascii="宋体" w:hAnsi="宋体" w:eastAsia="宋体" w:cs="宋体"/>
              <w:sz w:val="21"/>
              <w:szCs w:val="21"/>
            </w:rPr>
          </w:pPr>
          <w:r>
            <w:rPr>
              <w:rFonts w:ascii="宋体" w:hAnsi="宋体" w:eastAsia="宋体" w:cs="宋体"/>
              <w:sz w:val="21"/>
              <w:szCs w:val="21"/>
            </w:rPr>
            <w:t>A4.详细评审</w:t>
          </w:r>
          <w:r>
            <w:rPr>
              <w:rFonts w:ascii="宋体" w:hAnsi="宋体" w:eastAsia="宋体" w:cs="宋体"/>
              <w:spacing w:val="-82"/>
              <w:sz w:val="21"/>
              <w:szCs w:val="21"/>
            </w:rPr>
            <w:t xml:space="preserve"> </w:t>
          </w:r>
          <w:r>
            <w:rPr>
              <w:rFonts w:ascii="宋体" w:hAnsi="宋体" w:eastAsia="宋体" w:cs="宋体"/>
              <w:sz w:val="21"/>
              <w:szCs w:val="21"/>
            </w:rPr>
            <w:tab/>
          </w:r>
          <w:r>
            <w:rPr>
              <w:rFonts w:ascii="宋体" w:hAnsi="宋体" w:eastAsia="宋体" w:cs="宋体"/>
              <w:spacing w:val="-24"/>
              <w:sz w:val="21"/>
              <w:szCs w:val="21"/>
            </w:rPr>
            <w:t xml:space="preserve"> </w:t>
          </w:r>
          <w:r>
            <w:fldChar w:fldCharType="begin"/>
          </w:r>
          <w:r>
            <w:instrText xml:space="preserve"> HYPERLINK \l "bookmark129" </w:instrText>
          </w:r>
          <w:r>
            <w:fldChar w:fldCharType="separate"/>
          </w:r>
          <w:r>
            <w:rPr>
              <w:rFonts w:ascii="宋体" w:hAnsi="宋体" w:eastAsia="宋体" w:cs="宋体"/>
              <w:spacing w:val="-3"/>
              <w:sz w:val="21"/>
              <w:szCs w:val="21"/>
            </w:rPr>
            <w:t>56</w:t>
          </w:r>
          <w:r>
            <w:rPr>
              <w:rFonts w:ascii="宋体" w:hAnsi="宋体" w:eastAsia="宋体" w:cs="宋体"/>
              <w:spacing w:val="-3"/>
              <w:sz w:val="21"/>
              <w:szCs w:val="21"/>
            </w:rPr>
            <w:fldChar w:fldCharType="end"/>
          </w:r>
        </w:p>
        <w:p w14:paraId="1EEA979A">
          <w:pPr>
            <w:tabs>
              <w:tab w:val="right" w:leader="dot" w:pos="8317"/>
            </w:tabs>
            <w:spacing w:before="22" w:line="221" w:lineRule="auto"/>
            <w:ind w:left="852"/>
            <w:rPr>
              <w:rFonts w:ascii="宋体" w:hAnsi="宋体" w:eastAsia="宋体" w:cs="宋体"/>
              <w:sz w:val="21"/>
              <w:szCs w:val="21"/>
            </w:rPr>
          </w:pPr>
          <w:r>
            <w:rPr>
              <w:rFonts w:ascii="宋体" w:hAnsi="宋体" w:eastAsia="宋体" w:cs="宋体"/>
              <w:spacing w:val="-1"/>
              <w:sz w:val="21"/>
              <w:szCs w:val="21"/>
            </w:rPr>
            <w:t>A4.1</w:t>
          </w:r>
          <w:r>
            <w:rPr>
              <w:rFonts w:ascii="宋体" w:hAnsi="宋体" w:eastAsia="宋体" w:cs="宋体"/>
              <w:spacing w:val="-38"/>
              <w:sz w:val="21"/>
              <w:szCs w:val="21"/>
            </w:rPr>
            <w:t xml:space="preserve"> </w:t>
          </w:r>
          <w:r>
            <w:rPr>
              <w:rFonts w:ascii="宋体" w:hAnsi="宋体" w:eastAsia="宋体" w:cs="宋体"/>
              <w:spacing w:val="-1"/>
              <w:sz w:val="21"/>
              <w:szCs w:val="21"/>
            </w:rPr>
            <w:t>详细评审的程序</w:t>
          </w:r>
          <w:r>
            <w:rPr>
              <w:rFonts w:ascii="宋体" w:hAnsi="宋体" w:eastAsia="宋体" w:cs="宋体"/>
              <w:spacing w:val="-28"/>
              <w:sz w:val="21"/>
              <w:szCs w:val="21"/>
            </w:rPr>
            <w:t xml:space="preserve"> </w:t>
          </w:r>
          <w:r>
            <w:rPr>
              <w:rFonts w:ascii="宋体" w:hAnsi="宋体" w:eastAsia="宋体" w:cs="宋体"/>
              <w:sz w:val="21"/>
              <w:szCs w:val="21"/>
            </w:rPr>
            <w:tab/>
          </w:r>
          <w:r>
            <w:rPr>
              <w:rFonts w:ascii="宋体" w:hAnsi="宋体" w:eastAsia="宋体" w:cs="宋体"/>
              <w:spacing w:val="-25"/>
              <w:sz w:val="21"/>
              <w:szCs w:val="21"/>
            </w:rPr>
            <w:t xml:space="preserve"> </w:t>
          </w:r>
          <w:r>
            <w:fldChar w:fldCharType="begin"/>
          </w:r>
          <w:r>
            <w:instrText xml:space="preserve"> HYPERLINK \l "bookmark130" </w:instrText>
          </w:r>
          <w:r>
            <w:fldChar w:fldCharType="separate"/>
          </w:r>
          <w:r>
            <w:rPr>
              <w:rFonts w:ascii="宋体" w:hAnsi="宋体" w:eastAsia="宋体" w:cs="宋体"/>
              <w:spacing w:val="-3"/>
              <w:sz w:val="21"/>
              <w:szCs w:val="21"/>
            </w:rPr>
            <w:t>56</w:t>
          </w:r>
          <w:r>
            <w:rPr>
              <w:rFonts w:ascii="宋体" w:hAnsi="宋体" w:eastAsia="宋体" w:cs="宋体"/>
              <w:spacing w:val="-3"/>
              <w:sz w:val="21"/>
              <w:szCs w:val="21"/>
            </w:rPr>
            <w:fldChar w:fldCharType="end"/>
          </w:r>
        </w:p>
        <w:p w14:paraId="57F12542">
          <w:pPr>
            <w:tabs>
              <w:tab w:val="right" w:leader="dot" w:pos="8317"/>
            </w:tabs>
            <w:spacing w:before="22" w:line="221" w:lineRule="auto"/>
            <w:ind w:left="852"/>
            <w:rPr>
              <w:rFonts w:ascii="宋体" w:hAnsi="宋体" w:eastAsia="宋体" w:cs="宋体"/>
              <w:sz w:val="21"/>
              <w:szCs w:val="21"/>
            </w:rPr>
          </w:pPr>
          <w:r>
            <w:rPr>
              <w:rFonts w:ascii="宋体" w:hAnsi="宋体" w:eastAsia="宋体" w:cs="宋体"/>
              <w:spacing w:val="-1"/>
              <w:sz w:val="21"/>
              <w:szCs w:val="21"/>
            </w:rPr>
            <w:t>A4.2</w:t>
          </w:r>
          <w:r>
            <w:rPr>
              <w:rFonts w:ascii="宋体" w:hAnsi="宋体" w:eastAsia="宋体" w:cs="宋体"/>
              <w:spacing w:val="-41"/>
              <w:sz w:val="21"/>
              <w:szCs w:val="21"/>
            </w:rPr>
            <w:t xml:space="preserve"> </w:t>
          </w:r>
          <w:r>
            <w:rPr>
              <w:rFonts w:ascii="宋体" w:hAnsi="宋体" w:eastAsia="宋体" w:cs="宋体"/>
              <w:spacing w:val="-1"/>
              <w:sz w:val="21"/>
              <w:szCs w:val="21"/>
            </w:rPr>
            <w:t>经济标评审和评分</w:t>
          </w:r>
          <w:r>
            <w:rPr>
              <w:rFonts w:ascii="宋体" w:hAnsi="宋体" w:eastAsia="宋体" w:cs="宋体"/>
              <w:spacing w:val="-23"/>
              <w:sz w:val="21"/>
              <w:szCs w:val="21"/>
            </w:rPr>
            <w:t xml:space="preserve"> </w:t>
          </w:r>
          <w:r>
            <w:rPr>
              <w:rFonts w:ascii="宋体" w:hAnsi="宋体" w:eastAsia="宋体" w:cs="宋体"/>
              <w:sz w:val="21"/>
              <w:szCs w:val="21"/>
            </w:rPr>
            <w:tab/>
          </w:r>
          <w:r>
            <w:rPr>
              <w:rFonts w:ascii="宋体" w:hAnsi="宋体" w:eastAsia="宋体" w:cs="宋体"/>
              <w:spacing w:val="-25"/>
              <w:sz w:val="21"/>
              <w:szCs w:val="21"/>
            </w:rPr>
            <w:t xml:space="preserve"> </w:t>
          </w:r>
          <w:r>
            <w:fldChar w:fldCharType="begin"/>
          </w:r>
          <w:r>
            <w:instrText xml:space="preserve"> HYPERLINK \l "bookmark131" </w:instrText>
          </w:r>
          <w:r>
            <w:fldChar w:fldCharType="separate"/>
          </w:r>
          <w:r>
            <w:rPr>
              <w:rFonts w:ascii="宋体" w:hAnsi="宋体" w:eastAsia="宋体" w:cs="宋体"/>
              <w:spacing w:val="-3"/>
              <w:sz w:val="21"/>
              <w:szCs w:val="21"/>
            </w:rPr>
            <w:t>56</w:t>
          </w:r>
          <w:r>
            <w:rPr>
              <w:rFonts w:ascii="宋体" w:hAnsi="宋体" w:eastAsia="宋体" w:cs="宋体"/>
              <w:spacing w:val="-3"/>
              <w:sz w:val="21"/>
              <w:szCs w:val="21"/>
            </w:rPr>
            <w:fldChar w:fldCharType="end"/>
          </w:r>
        </w:p>
        <w:p w14:paraId="737B5723">
          <w:pPr>
            <w:tabs>
              <w:tab w:val="right" w:leader="dot" w:pos="8317"/>
            </w:tabs>
            <w:spacing w:before="17" w:line="221" w:lineRule="auto"/>
            <w:ind w:left="852"/>
            <w:rPr>
              <w:rFonts w:ascii="宋体" w:hAnsi="宋体" w:eastAsia="宋体" w:cs="宋体"/>
              <w:sz w:val="21"/>
              <w:szCs w:val="21"/>
            </w:rPr>
          </w:pPr>
          <w:r>
            <w:rPr>
              <w:rFonts w:ascii="宋体" w:hAnsi="宋体" w:eastAsia="宋体" w:cs="宋体"/>
              <w:sz w:val="21"/>
              <w:szCs w:val="21"/>
            </w:rPr>
            <w:t>A4.3 技术标评审和评分</w:t>
          </w:r>
          <w:r>
            <w:rPr>
              <w:rFonts w:ascii="宋体" w:hAnsi="宋体" w:eastAsia="宋体" w:cs="宋体"/>
              <w:spacing w:val="-76"/>
              <w:sz w:val="21"/>
              <w:szCs w:val="21"/>
            </w:rPr>
            <w:t xml:space="preserve"> </w:t>
          </w:r>
          <w:r>
            <w:rPr>
              <w:rFonts w:ascii="宋体" w:hAnsi="宋体" w:eastAsia="宋体" w:cs="宋体"/>
              <w:sz w:val="21"/>
              <w:szCs w:val="21"/>
            </w:rPr>
            <w:tab/>
          </w:r>
          <w:r>
            <w:rPr>
              <w:rFonts w:ascii="宋体" w:hAnsi="宋体" w:eastAsia="宋体" w:cs="宋体"/>
              <w:spacing w:val="-25"/>
              <w:sz w:val="21"/>
              <w:szCs w:val="21"/>
            </w:rPr>
            <w:t xml:space="preserve"> </w:t>
          </w:r>
          <w:r>
            <w:fldChar w:fldCharType="begin"/>
          </w:r>
          <w:r>
            <w:instrText xml:space="preserve"> HYPERLINK \l "bookmark132" </w:instrText>
          </w:r>
          <w:r>
            <w:fldChar w:fldCharType="separate"/>
          </w:r>
          <w:r>
            <w:rPr>
              <w:rFonts w:ascii="宋体" w:hAnsi="宋体" w:eastAsia="宋体" w:cs="宋体"/>
              <w:spacing w:val="-3"/>
              <w:sz w:val="21"/>
              <w:szCs w:val="21"/>
            </w:rPr>
            <w:t>56</w:t>
          </w:r>
          <w:r>
            <w:rPr>
              <w:rFonts w:ascii="宋体" w:hAnsi="宋体" w:eastAsia="宋体" w:cs="宋体"/>
              <w:spacing w:val="-3"/>
              <w:sz w:val="21"/>
              <w:szCs w:val="21"/>
            </w:rPr>
            <w:fldChar w:fldCharType="end"/>
          </w:r>
        </w:p>
        <w:p w14:paraId="4F2605B3">
          <w:pPr>
            <w:tabs>
              <w:tab w:val="right" w:leader="dot" w:pos="8317"/>
            </w:tabs>
            <w:spacing w:before="23" w:line="221" w:lineRule="auto"/>
            <w:ind w:left="852"/>
            <w:rPr>
              <w:rFonts w:ascii="宋体" w:hAnsi="宋体" w:eastAsia="宋体" w:cs="宋体"/>
              <w:sz w:val="21"/>
              <w:szCs w:val="21"/>
            </w:rPr>
          </w:pPr>
          <w:r>
            <w:rPr>
              <w:rFonts w:ascii="宋体" w:hAnsi="宋体" w:eastAsia="宋体" w:cs="宋体"/>
              <w:spacing w:val="-2"/>
              <w:sz w:val="21"/>
              <w:szCs w:val="21"/>
            </w:rPr>
            <w:t>A4.4</w:t>
          </w:r>
          <w:r>
            <w:rPr>
              <w:rFonts w:ascii="宋体" w:hAnsi="宋体" w:eastAsia="宋体" w:cs="宋体"/>
              <w:spacing w:val="-29"/>
              <w:sz w:val="21"/>
              <w:szCs w:val="21"/>
            </w:rPr>
            <w:t xml:space="preserve"> </w:t>
          </w:r>
          <w:r>
            <w:rPr>
              <w:rFonts w:ascii="宋体" w:hAnsi="宋体" w:eastAsia="宋体" w:cs="宋体"/>
              <w:spacing w:val="-2"/>
              <w:sz w:val="21"/>
              <w:szCs w:val="21"/>
            </w:rPr>
            <w:t>资信标评审和评分</w:t>
          </w:r>
          <w:r>
            <w:rPr>
              <w:rFonts w:ascii="宋体" w:hAnsi="宋体" w:eastAsia="宋体" w:cs="宋体"/>
              <w:spacing w:val="-23"/>
              <w:sz w:val="21"/>
              <w:szCs w:val="21"/>
            </w:rPr>
            <w:t xml:space="preserve"> </w:t>
          </w:r>
          <w:r>
            <w:rPr>
              <w:rFonts w:ascii="宋体" w:hAnsi="宋体" w:eastAsia="宋体" w:cs="宋体"/>
              <w:sz w:val="21"/>
              <w:szCs w:val="21"/>
            </w:rPr>
            <w:tab/>
          </w:r>
          <w:r>
            <w:rPr>
              <w:rFonts w:ascii="宋体" w:hAnsi="宋体" w:eastAsia="宋体" w:cs="宋体"/>
              <w:spacing w:val="-25"/>
              <w:sz w:val="21"/>
              <w:szCs w:val="21"/>
            </w:rPr>
            <w:t xml:space="preserve"> </w:t>
          </w:r>
          <w:r>
            <w:fldChar w:fldCharType="begin"/>
          </w:r>
          <w:r>
            <w:instrText xml:space="preserve"> HYPERLINK \l "bookmark133" </w:instrText>
          </w:r>
          <w:r>
            <w:fldChar w:fldCharType="separate"/>
          </w:r>
          <w:r>
            <w:rPr>
              <w:rFonts w:ascii="宋体" w:hAnsi="宋体" w:eastAsia="宋体" w:cs="宋体"/>
              <w:spacing w:val="-3"/>
              <w:sz w:val="21"/>
              <w:szCs w:val="21"/>
            </w:rPr>
            <w:t>56</w:t>
          </w:r>
          <w:r>
            <w:rPr>
              <w:rFonts w:ascii="宋体" w:hAnsi="宋体" w:eastAsia="宋体" w:cs="宋体"/>
              <w:spacing w:val="-3"/>
              <w:sz w:val="21"/>
              <w:szCs w:val="21"/>
            </w:rPr>
            <w:fldChar w:fldCharType="end"/>
          </w:r>
        </w:p>
        <w:p w14:paraId="54E28E53">
          <w:pPr>
            <w:tabs>
              <w:tab w:val="right" w:leader="dot" w:pos="8317"/>
            </w:tabs>
            <w:spacing w:before="22" w:line="221" w:lineRule="auto"/>
            <w:ind w:left="852"/>
            <w:rPr>
              <w:rFonts w:ascii="宋体" w:hAnsi="宋体" w:eastAsia="宋体" w:cs="宋体"/>
              <w:sz w:val="21"/>
              <w:szCs w:val="21"/>
            </w:rPr>
          </w:pPr>
          <w:r>
            <w:rPr>
              <w:rFonts w:ascii="宋体" w:hAnsi="宋体" w:eastAsia="宋体" w:cs="宋体"/>
              <w:sz w:val="21"/>
              <w:szCs w:val="21"/>
            </w:rPr>
            <w:t>A4.5 其他因素的评审和评分</w:t>
          </w:r>
          <w:r>
            <w:rPr>
              <w:rFonts w:ascii="宋体" w:hAnsi="宋体" w:eastAsia="宋体" w:cs="宋体"/>
              <w:spacing w:val="-73"/>
              <w:sz w:val="21"/>
              <w:szCs w:val="21"/>
            </w:rPr>
            <w:t xml:space="preserve"> </w:t>
          </w:r>
          <w:r>
            <w:rPr>
              <w:rFonts w:ascii="宋体" w:hAnsi="宋体" w:eastAsia="宋体" w:cs="宋体"/>
              <w:sz w:val="21"/>
              <w:szCs w:val="21"/>
            </w:rPr>
            <w:tab/>
          </w:r>
          <w:r>
            <w:rPr>
              <w:rFonts w:ascii="宋体" w:hAnsi="宋体" w:eastAsia="宋体" w:cs="宋体"/>
              <w:spacing w:val="-25"/>
              <w:sz w:val="21"/>
              <w:szCs w:val="21"/>
            </w:rPr>
            <w:t xml:space="preserve"> </w:t>
          </w:r>
          <w:r>
            <w:fldChar w:fldCharType="begin"/>
          </w:r>
          <w:r>
            <w:instrText xml:space="preserve"> HYPERLINK \l "bookmark134" </w:instrText>
          </w:r>
          <w:r>
            <w:fldChar w:fldCharType="separate"/>
          </w:r>
          <w:r>
            <w:rPr>
              <w:rFonts w:ascii="宋体" w:hAnsi="宋体" w:eastAsia="宋体" w:cs="宋体"/>
              <w:spacing w:val="-3"/>
              <w:sz w:val="21"/>
              <w:szCs w:val="21"/>
            </w:rPr>
            <w:t>56</w:t>
          </w:r>
          <w:r>
            <w:rPr>
              <w:rFonts w:ascii="宋体" w:hAnsi="宋体" w:eastAsia="宋体" w:cs="宋体"/>
              <w:spacing w:val="-3"/>
              <w:sz w:val="21"/>
              <w:szCs w:val="21"/>
            </w:rPr>
            <w:fldChar w:fldCharType="end"/>
          </w:r>
        </w:p>
        <w:p w14:paraId="1A365CF2">
          <w:pPr>
            <w:tabs>
              <w:tab w:val="right" w:leader="dot" w:pos="8317"/>
            </w:tabs>
            <w:spacing w:before="22" w:line="221" w:lineRule="auto"/>
            <w:ind w:left="852"/>
            <w:rPr>
              <w:rFonts w:ascii="宋体" w:hAnsi="宋体" w:eastAsia="宋体" w:cs="宋体"/>
              <w:sz w:val="21"/>
              <w:szCs w:val="21"/>
            </w:rPr>
          </w:pPr>
          <w:r>
            <w:rPr>
              <w:rFonts w:ascii="宋体" w:hAnsi="宋体" w:eastAsia="宋体" w:cs="宋体"/>
              <w:sz w:val="21"/>
              <w:szCs w:val="21"/>
            </w:rPr>
            <w:t>A4.6 澄清、说明或补正</w:t>
          </w:r>
          <w:r>
            <w:rPr>
              <w:rFonts w:ascii="宋体" w:hAnsi="宋体" w:eastAsia="宋体" w:cs="宋体"/>
              <w:spacing w:val="-76"/>
              <w:sz w:val="21"/>
              <w:szCs w:val="21"/>
            </w:rPr>
            <w:t xml:space="preserve"> </w:t>
          </w:r>
          <w:r>
            <w:rPr>
              <w:rFonts w:ascii="宋体" w:hAnsi="宋体" w:eastAsia="宋体" w:cs="宋体"/>
              <w:sz w:val="21"/>
              <w:szCs w:val="21"/>
            </w:rPr>
            <w:tab/>
          </w:r>
          <w:r>
            <w:rPr>
              <w:rFonts w:ascii="宋体" w:hAnsi="宋体" w:eastAsia="宋体" w:cs="宋体"/>
              <w:spacing w:val="-25"/>
              <w:sz w:val="21"/>
              <w:szCs w:val="21"/>
            </w:rPr>
            <w:t xml:space="preserve"> </w:t>
          </w:r>
          <w:r>
            <w:fldChar w:fldCharType="begin"/>
          </w:r>
          <w:r>
            <w:instrText xml:space="preserve"> HYPERLINK \l "bookmark135" </w:instrText>
          </w:r>
          <w:r>
            <w:fldChar w:fldCharType="separate"/>
          </w:r>
          <w:r>
            <w:rPr>
              <w:rFonts w:ascii="宋体" w:hAnsi="宋体" w:eastAsia="宋体" w:cs="宋体"/>
              <w:spacing w:val="-3"/>
              <w:sz w:val="21"/>
              <w:szCs w:val="21"/>
            </w:rPr>
            <w:t>56</w:t>
          </w:r>
          <w:r>
            <w:rPr>
              <w:rFonts w:ascii="宋体" w:hAnsi="宋体" w:eastAsia="宋体" w:cs="宋体"/>
              <w:spacing w:val="-3"/>
              <w:sz w:val="21"/>
              <w:szCs w:val="21"/>
            </w:rPr>
            <w:fldChar w:fldCharType="end"/>
          </w:r>
        </w:p>
        <w:p w14:paraId="4D980A39">
          <w:pPr>
            <w:tabs>
              <w:tab w:val="right" w:leader="dot" w:pos="8317"/>
            </w:tabs>
            <w:spacing w:before="19" w:line="221" w:lineRule="auto"/>
            <w:ind w:left="852"/>
            <w:rPr>
              <w:rFonts w:ascii="宋体" w:hAnsi="宋体" w:eastAsia="宋体" w:cs="宋体"/>
              <w:sz w:val="21"/>
              <w:szCs w:val="21"/>
            </w:rPr>
          </w:pPr>
          <w:r>
            <w:rPr>
              <w:rFonts w:ascii="宋体" w:hAnsi="宋体" w:eastAsia="宋体" w:cs="宋体"/>
              <w:spacing w:val="-2"/>
              <w:sz w:val="21"/>
              <w:szCs w:val="21"/>
            </w:rPr>
            <w:t>A4.7</w:t>
          </w:r>
          <w:r>
            <w:rPr>
              <w:rFonts w:ascii="宋体" w:hAnsi="宋体" w:eastAsia="宋体" w:cs="宋体"/>
              <w:spacing w:val="-43"/>
              <w:sz w:val="21"/>
              <w:szCs w:val="21"/>
            </w:rPr>
            <w:t xml:space="preserve"> </w:t>
          </w:r>
          <w:r>
            <w:rPr>
              <w:rFonts w:ascii="宋体" w:hAnsi="宋体" w:eastAsia="宋体" w:cs="宋体"/>
              <w:spacing w:val="-2"/>
              <w:sz w:val="21"/>
              <w:szCs w:val="21"/>
            </w:rPr>
            <w:t xml:space="preserve">汇总评分（评审）结果 </w:t>
          </w:r>
          <w:r>
            <w:rPr>
              <w:rFonts w:ascii="宋体" w:hAnsi="宋体" w:eastAsia="宋体" w:cs="宋体"/>
              <w:sz w:val="21"/>
              <w:szCs w:val="21"/>
            </w:rPr>
            <w:tab/>
          </w:r>
          <w:r>
            <w:rPr>
              <w:rFonts w:ascii="宋体" w:hAnsi="宋体" w:eastAsia="宋体" w:cs="宋体"/>
              <w:spacing w:val="-25"/>
              <w:sz w:val="21"/>
              <w:szCs w:val="21"/>
            </w:rPr>
            <w:t xml:space="preserve"> </w:t>
          </w:r>
          <w:r>
            <w:fldChar w:fldCharType="begin"/>
          </w:r>
          <w:r>
            <w:instrText xml:space="preserve"> HYPERLINK \l "bookmark136" </w:instrText>
          </w:r>
          <w:r>
            <w:fldChar w:fldCharType="separate"/>
          </w:r>
          <w:r>
            <w:rPr>
              <w:rFonts w:ascii="宋体" w:hAnsi="宋体" w:eastAsia="宋体" w:cs="宋体"/>
              <w:spacing w:val="-3"/>
              <w:sz w:val="21"/>
              <w:szCs w:val="21"/>
            </w:rPr>
            <w:t>57</w:t>
          </w:r>
          <w:r>
            <w:rPr>
              <w:rFonts w:ascii="宋体" w:hAnsi="宋体" w:eastAsia="宋体" w:cs="宋体"/>
              <w:spacing w:val="-3"/>
              <w:sz w:val="21"/>
              <w:szCs w:val="21"/>
            </w:rPr>
            <w:fldChar w:fldCharType="end"/>
          </w:r>
        </w:p>
        <w:p w14:paraId="6F4864FD">
          <w:pPr>
            <w:tabs>
              <w:tab w:val="right" w:leader="dot" w:pos="8317"/>
            </w:tabs>
            <w:spacing w:before="21" w:line="220" w:lineRule="auto"/>
            <w:ind w:left="852"/>
            <w:rPr>
              <w:rFonts w:ascii="宋体" w:hAnsi="宋体" w:eastAsia="宋体" w:cs="宋体"/>
              <w:sz w:val="21"/>
              <w:szCs w:val="21"/>
            </w:rPr>
          </w:pPr>
          <w:r>
            <w:rPr>
              <w:rFonts w:ascii="宋体" w:hAnsi="宋体" w:eastAsia="宋体" w:cs="宋体"/>
              <w:sz w:val="21"/>
              <w:szCs w:val="21"/>
            </w:rPr>
            <w:t>A5.推荐中标候选人或者直接确定中标人</w:t>
          </w:r>
          <w:r>
            <w:rPr>
              <w:rFonts w:ascii="宋体" w:hAnsi="宋体" w:eastAsia="宋体" w:cs="宋体"/>
              <w:spacing w:val="-67"/>
              <w:sz w:val="21"/>
              <w:szCs w:val="21"/>
            </w:rPr>
            <w:t xml:space="preserve"> </w:t>
          </w:r>
          <w:r>
            <w:rPr>
              <w:rFonts w:ascii="宋体" w:hAnsi="宋体" w:eastAsia="宋体" w:cs="宋体"/>
              <w:sz w:val="21"/>
              <w:szCs w:val="21"/>
            </w:rPr>
            <w:tab/>
          </w:r>
          <w:r>
            <w:rPr>
              <w:rFonts w:ascii="宋体" w:hAnsi="宋体" w:eastAsia="宋体" w:cs="宋体"/>
              <w:spacing w:val="-25"/>
              <w:sz w:val="21"/>
              <w:szCs w:val="21"/>
            </w:rPr>
            <w:t xml:space="preserve"> </w:t>
          </w:r>
          <w:r>
            <w:fldChar w:fldCharType="begin"/>
          </w:r>
          <w:r>
            <w:instrText xml:space="preserve"> HYPERLINK \l "bookmark137" </w:instrText>
          </w:r>
          <w:r>
            <w:fldChar w:fldCharType="separate"/>
          </w:r>
          <w:r>
            <w:rPr>
              <w:rFonts w:ascii="宋体" w:hAnsi="宋体" w:eastAsia="宋体" w:cs="宋体"/>
              <w:spacing w:val="-3"/>
              <w:sz w:val="21"/>
              <w:szCs w:val="21"/>
            </w:rPr>
            <w:t>57</w:t>
          </w:r>
          <w:r>
            <w:rPr>
              <w:rFonts w:ascii="宋体" w:hAnsi="宋体" w:eastAsia="宋体" w:cs="宋体"/>
              <w:spacing w:val="-3"/>
              <w:sz w:val="21"/>
              <w:szCs w:val="21"/>
            </w:rPr>
            <w:fldChar w:fldCharType="end"/>
          </w:r>
        </w:p>
        <w:p w14:paraId="2AE50226">
          <w:pPr>
            <w:tabs>
              <w:tab w:val="right" w:leader="dot" w:pos="8317"/>
            </w:tabs>
            <w:spacing w:before="24" w:line="220" w:lineRule="auto"/>
            <w:ind w:left="852"/>
            <w:rPr>
              <w:rFonts w:ascii="宋体" w:hAnsi="宋体" w:eastAsia="宋体" w:cs="宋体"/>
              <w:sz w:val="21"/>
              <w:szCs w:val="21"/>
            </w:rPr>
          </w:pPr>
          <w:r>
            <w:rPr>
              <w:rFonts w:ascii="宋体" w:hAnsi="宋体" w:eastAsia="宋体" w:cs="宋体"/>
              <w:spacing w:val="-1"/>
              <w:sz w:val="21"/>
              <w:szCs w:val="21"/>
            </w:rPr>
            <w:t>A5.1</w:t>
          </w:r>
          <w:r>
            <w:rPr>
              <w:rFonts w:ascii="宋体" w:hAnsi="宋体" w:eastAsia="宋体" w:cs="宋体"/>
              <w:spacing w:val="-38"/>
              <w:sz w:val="21"/>
              <w:szCs w:val="21"/>
            </w:rPr>
            <w:t xml:space="preserve"> </w:t>
          </w:r>
          <w:r>
            <w:rPr>
              <w:rFonts w:ascii="宋体" w:hAnsi="宋体" w:eastAsia="宋体" w:cs="宋体"/>
              <w:spacing w:val="-1"/>
              <w:sz w:val="21"/>
              <w:szCs w:val="21"/>
            </w:rPr>
            <w:t>推荐中标候选人</w:t>
          </w:r>
          <w:r>
            <w:rPr>
              <w:rFonts w:ascii="宋体" w:hAnsi="宋体" w:eastAsia="宋体" w:cs="宋体"/>
              <w:spacing w:val="-28"/>
              <w:sz w:val="21"/>
              <w:szCs w:val="21"/>
            </w:rPr>
            <w:t xml:space="preserve"> </w:t>
          </w:r>
          <w:r>
            <w:rPr>
              <w:rFonts w:ascii="宋体" w:hAnsi="宋体" w:eastAsia="宋体" w:cs="宋体"/>
              <w:sz w:val="21"/>
              <w:szCs w:val="21"/>
            </w:rPr>
            <w:tab/>
          </w:r>
          <w:r>
            <w:rPr>
              <w:rFonts w:ascii="宋体" w:hAnsi="宋体" w:eastAsia="宋体" w:cs="宋体"/>
              <w:spacing w:val="-25"/>
              <w:sz w:val="21"/>
              <w:szCs w:val="21"/>
            </w:rPr>
            <w:t xml:space="preserve"> </w:t>
          </w:r>
          <w:r>
            <w:fldChar w:fldCharType="begin"/>
          </w:r>
          <w:r>
            <w:instrText xml:space="preserve"> HYPERLINK \l "bookmark138" </w:instrText>
          </w:r>
          <w:r>
            <w:fldChar w:fldCharType="separate"/>
          </w:r>
          <w:r>
            <w:rPr>
              <w:rFonts w:ascii="宋体" w:hAnsi="宋体" w:eastAsia="宋体" w:cs="宋体"/>
              <w:spacing w:val="-3"/>
              <w:sz w:val="21"/>
              <w:szCs w:val="21"/>
            </w:rPr>
            <w:t>57</w:t>
          </w:r>
          <w:r>
            <w:rPr>
              <w:rFonts w:ascii="宋体" w:hAnsi="宋体" w:eastAsia="宋体" w:cs="宋体"/>
              <w:spacing w:val="-3"/>
              <w:sz w:val="21"/>
              <w:szCs w:val="21"/>
            </w:rPr>
            <w:fldChar w:fldCharType="end"/>
          </w:r>
        </w:p>
        <w:p w14:paraId="1748FE07">
          <w:pPr>
            <w:tabs>
              <w:tab w:val="right" w:leader="dot" w:pos="8317"/>
            </w:tabs>
            <w:spacing w:before="19" w:line="221" w:lineRule="auto"/>
            <w:ind w:left="852"/>
            <w:rPr>
              <w:rFonts w:ascii="宋体" w:hAnsi="宋体" w:eastAsia="宋体" w:cs="宋体"/>
              <w:sz w:val="21"/>
              <w:szCs w:val="21"/>
            </w:rPr>
          </w:pPr>
          <w:r>
            <w:rPr>
              <w:rFonts w:ascii="宋体" w:hAnsi="宋体" w:eastAsia="宋体" w:cs="宋体"/>
              <w:spacing w:val="-1"/>
              <w:sz w:val="21"/>
              <w:szCs w:val="21"/>
            </w:rPr>
            <w:t>A5.2</w:t>
          </w:r>
          <w:r>
            <w:rPr>
              <w:rFonts w:ascii="宋体" w:hAnsi="宋体" w:eastAsia="宋体" w:cs="宋体"/>
              <w:spacing w:val="-38"/>
              <w:sz w:val="21"/>
              <w:szCs w:val="21"/>
            </w:rPr>
            <w:t xml:space="preserve"> </w:t>
          </w:r>
          <w:r>
            <w:rPr>
              <w:rFonts w:ascii="宋体" w:hAnsi="宋体" w:eastAsia="宋体" w:cs="宋体"/>
              <w:spacing w:val="-1"/>
              <w:sz w:val="21"/>
              <w:szCs w:val="21"/>
            </w:rPr>
            <w:t>直接确定中标人</w:t>
          </w:r>
          <w:r>
            <w:rPr>
              <w:rFonts w:ascii="宋体" w:hAnsi="宋体" w:eastAsia="宋体" w:cs="宋体"/>
              <w:spacing w:val="-28"/>
              <w:sz w:val="21"/>
              <w:szCs w:val="21"/>
            </w:rPr>
            <w:t xml:space="preserve"> </w:t>
          </w:r>
          <w:r>
            <w:rPr>
              <w:rFonts w:ascii="宋体" w:hAnsi="宋体" w:eastAsia="宋体" w:cs="宋体"/>
              <w:sz w:val="21"/>
              <w:szCs w:val="21"/>
            </w:rPr>
            <w:tab/>
          </w:r>
          <w:r>
            <w:rPr>
              <w:rFonts w:ascii="宋体" w:hAnsi="宋体" w:eastAsia="宋体" w:cs="宋体"/>
              <w:spacing w:val="-25"/>
              <w:sz w:val="21"/>
              <w:szCs w:val="21"/>
            </w:rPr>
            <w:t xml:space="preserve"> </w:t>
          </w:r>
          <w:r>
            <w:fldChar w:fldCharType="begin"/>
          </w:r>
          <w:r>
            <w:instrText xml:space="preserve"> HYPERLINK \l "bookmark139" </w:instrText>
          </w:r>
          <w:r>
            <w:fldChar w:fldCharType="separate"/>
          </w:r>
          <w:r>
            <w:rPr>
              <w:rFonts w:ascii="宋体" w:hAnsi="宋体" w:eastAsia="宋体" w:cs="宋体"/>
              <w:spacing w:val="-3"/>
              <w:sz w:val="21"/>
              <w:szCs w:val="21"/>
            </w:rPr>
            <w:t>57</w:t>
          </w:r>
          <w:r>
            <w:rPr>
              <w:rFonts w:ascii="宋体" w:hAnsi="宋体" w:eastAsia="宋体" w:cs="宋体"/>
              <w:spacing w:val="-3"/>
              <w:sz w:val="21"/>
              <w:szCs w:val="21"/>
            </w:rPr>
            <w:fldChar w:fldCharType="end"/>
          </w:r>
        </w:p>
        <w:p w14:paraId="5BE1FDE8">
          <w:pPr>
            <w:tabs>
              <w:tab w:val="right" w:leader="dot" w:pos="8317"/>
            </w:tabs>
            <w:spacing w:before="22" w:line="219" w:lineRule="auto"/>
            <w:ind w:left="852"/>
            <w:rPr>
              <w:rFonts w:ascii="宋体" w:hAnsi="宋体" w:eastAsia="宋体" w:cs="宋体"/>
              <w:sz w:val="21"/>
              <w:szCs w:val="21"/>
            </w:rPr>
          </w:pPr>
          <w:r>
            <w:rPr>
              <w:rFonts w:ascii="宋体" w:hAnsi="宋体" w:eastAsia="宋体" w:cs="宋体"/>
              <w:spacing w:val="-1"/>
              <w:sz w:val="21"/>
              <w:szCs w:val="21"/>
            </w:rPr>
            <w:t>A5.3</w:t>
          </w:r>
          <w:r>
            <w:rPr>
              <w:rFonts w:ascii="宋体" w:hAnsi="宋体" w:eastAsia="宋体" w:cs="宋体"/>
              <w:spacing w:val="-40"/>
              <w:sz w:val="21"/>
              <w:szCs w:val="21"/>
            </w:rPr>
            <w:t xml:space="preserve"> </w:t>
          </w:r>
          <w:r>
            <w:rPr>
              <w:rFonts w:ascii="宋体" w:hAnsi="宋体" w:eastAsia="宋体" w:cs="宋体"/>
              <w:spacing w:val="-1"/>
              <w:sz w:val="21"/>
              <w:szCs w:val="21"/>
            </w:rPr>
            <w:t>编制评标报告</w:t>
          </w:r>
          <w:r>
            <w:rPr>
              <w:rFonts w:ascii="宋体" w:hAnsi="宋体" w:eastAsia="宋体" w:cs="宋体"/>
              <w:spacing w:val="-28"/>
              <w:sz w:val="21"/>
              <w:szCs w:val="21"/>
            </w:rPr>
            <w:t xml:space="preserve"> </w:t>
          </w:r>
          <w:r>
            <w:rPr>
              <w:rFonts w:ascii="宋体" w:hAnsi="宋体" w:eastAsia="宋体" w:cs="宋体"/>
              <w:sz w:val="21"/>
              <w:szCs w:val="21"/>
            </w:rPr>
            <w:tab/>
          </w:r>
          <w:r>
            <w:rPr>
              <w:rFonts w:ascii="宋体" w:hAnsi="宋体" w:eastAsia="宋体" w:cs="宋体"/>
              <w:spacing w:val="-24"/>
              <w:sz w:val="21"/>
              <w:szCs w:val="21"/>
            </w:rPr>
            <w:t xml:space="preserve"> </w:t>
          </w:r>
          <w:r>
            <w:fldChar w:fldCharType="begin"/>
          </w:r>
          <w:r>
            <w:instrText xml:space="preserve"> HYPERLINK \l "bookmark140" </w:instrText>
          </w:r>
          <w:r>
            <w:fldChar w:fldCharType="separate"/>
          </w:r>
          <w:r>
            <w:rPr>
              <w:rFonts w:ascii="宋体" w:hAnsi="宋体" w:eastAsia="宋体" w:cs="宋体"/>
              <w:spacing w:val="-3"/>
              <w:sz w:val="21"/>
              <w:szCs w:val="21"/>
            </w:rPr>
            <w:t>57</w:t>
          </w:r>
          <w:r>
            <w:rPr>
              <w:rFonts w:ascii="宋体" w:hAnsi="宋体" w:eastAsia="宋体" w:cs="宋体"/>
              <w:spacing w:val="-3"/>
              <w:sz w:val="21"/>
              <w:szCs w:val="21"/>
            </w:rPr>
            <w:fldChar w:fldCharType="end"/>
          </w:r>
        </w:p>
        <w:p w14:paraId="3F29D059">
          <w:pPr>
            <w:tabs>
              <w:tab w:val="right" w:leader="dot" w:pos="8317"/>
            </w:tabs>
            <w:spacing w:before="24" w:line="221" w:lineRule="auto"/>
            <w:ind w:left="852"/>
            <w:rPr>
              <w:rFonts w:ascii="宋体" w:hAnsi="宋体" w:eastAsia="宋体" w:cs="宋体"/>
              <w:sz w:val="21"/>
              <w:szCs w:val="21"/>
            </w:rPr>
          </w:pPr>
          <w:r>
            <w:rPr>
              <w:rFonts w:ascii="宋体" w:hAnsi="宋体" w:eastAsia="宋体" w:cs="宋体"/>
              <w:sz w:val="21"/>
              <w:szCs w:val="21"/>
            </w:rPr>
            <w:t>A6.特殊情况的处置程序</w:t>
          </w:r>
          <w:r>
            <w:rPr>
              <w:rFonts w:ascii="宋体" w:hAnsi="宋体" w:eastAsia="宋体" w:cs="宋体"/>
              <w:spacing w:val="-76"/>
              <w:sz w:val="21"/>
              <w:szCs w:val="21"/>
            </w:rPr>
            <w:t xml:space="preserve"> </w:t>
          </w:r>
          <w:r>
            <w:rPr>
              <w:rFonts w:ascii="宋体" w:hAnsi="宋体" w:eastAsia="宋体" w:cs="宋体"/>
              <w:sz w:val="21"/>
              <w:szCs w:val="21"/>
            </w:rPr>
            <w:tab/>
          </w:r>
          <w:r>
            <w:rPr>
              <w:rFonts w:ascii="宋体" w:hAnsi="宋体" w:eastAsia="宋体" w:cs="宋体"/>
              <w:spacing w:val="-25"/>
              <w:sz w:val="21"/>
              <w:szCs w:val="21"/>
            </w:rPr>
            <w:t xml:space="preserve"> </w:t>
          </w:r>
          <w:r>
            <w:fldChar w:fldCharType="begin"/>
          </w:r>
          <w:r>
            <w:instrText xml:space="preserve"> HYPERLINK \l "bookmark141" </w:instrText>
          </w:r>
          <w:r>
            <w:fldChar w:fldCharType="separate"/>
          </w:r>
          <w:r>
            <w:rPr>
              <w:rFonts w:ascii="宋体" w:hAnsi="宋体" w:eastAsia="宋体" w:cs="宋体"/>
              <w:spacing w:val="-3"/>
              <w:sz w:val="21"/>
              <w:szCs w:val="21"/>
            </w:rPr>
            <w:t>58</w:t>
          </w:r>
          <w:r>
            <w:rPr>
              <w:rFonts w:ascii="宋体" w:hAnsi="宋体" w:eastAsia="宋体" w:cs="宋体"/>
              <w:spacing w:val="-3"/>
              <w:sz w:val="21"/>
              <w:szCs w:val="21"/>
            </w:rPr>
            <w:fldChar w:fldCharType="end"/>
          </w:r>
        </w:p>
        <w:p w14:paraId="035497D6">
          <w:pPr>
            <w:tabs>
              <w:tab w:val="right" w:leader="dot" w:pos="8317"/>
            </w:tabs>
            <w:spacing w:before="22" w:line="221" w:lineRule="auto"/>
            <w:ind w:left="852"/>
            <w:rPr>
              <w:rFonts w:ascii="宋体" w:hAnsi="宋体" w:eastAsia="宋体" w:cs="宋体"/>
              <w:sz w:val="21"/>
              <w:szCs w:val="21"/>
            </w:rPr>
          </w:pPr>
          <w:r>
            <w:rPr>
              <w:rFonts w:ascii="宋体" w:hAnsi="宋体" w:eastAsia="宋体" w:cs="宋体"/>
              <w:spacing w:val="-1"/>
              <w:sz w:val="21"/>
              <w:szCs w:val="21"/>
            </w:rPr>
            <w:t>A6.1</w:t>
          </w:r>
          <w:r>
            <w:rPr>
              <w:rFonts w:ascii="宋体" w:hAnsi="宋体" w:eastAsia="宋体" w:cs="宋体"/>
              <w:spacing w:val="-20"/>
              <w:sz w:val="21"/>
              <w:szCs w:val="21"/>
            </w:rPr>
            <w:t xml:space="preserve"> </w:t>
          </w:r>
          <w:r>
            <w:rPr>
              <w:rFonts w:ascii="宋体" w:hAnsi="宋体" w:eastAsia="宋体" w:cs="宋体"/>
              <w:spacing w:val="-1"/>
              <w:sz w:val="21"/>
              <w:szCs w:val="21"/>
            </w:rPr>
            <w:t xml:space="preserve">暗标评审的评审程序规定（适用于对技术标进行暗标评审的） </w:t>
          </w:r>
          <w:r>
            <w:rPr>
              <w:rFonts w:ascii="宋体" w:hAnsi="宋体" w:eastAsia="宋体" w:cs="宋体"/>
              <w:sz w:val="21"/>
              <w:szCs w:val="21"/>
            </w:rPr>
            <w:tab/>
          </w:r>
          <w:r>
            <w:rPr>
              <w:rFonts w:ascii="宋体" w:hAnsi="宋体" w:eastAsia="宋体" w:cs="宋体"/>
              <w:spacing w:val="-25"/>
              <w:sz w:val="21"/>
              <w:szCs w:val="21"/>
            </w:rPr>
            <w:t xml:space="preserve"> </w:t>
          </w:r>
          <w:r>
            <w:fldChar w:fldCharType="begin"/>
          </w:r>
          <w:r>
            <w:instrText xml:space="preserve"> HYPERLINK \l "bookmark142" </w:instrText>
          </w:r>
          <w:r>
            <w:fldChar w:fldCharType="separate"/>
          </w:r>
          <w:r>
            <w:rPr>
              <w:rFonts w:ascii="宋体" w:hAnsi="宋体" w:eastAsia="宋体" w:cs="宋体"/>
              <w:spacing w:val="-3"/>
              <w:sz w:val="21"/>
              <w:szCs w:val="21"/>
            </w:rPr>
            <w:t>58</w:t>
          </w:r>
          <w:r>
            <w:rPr>
              <w:rFonts w:ascii="宋体" w:hAnsi="宋体" w:eastAsia="宋体" w:cs="宋体"/>
              <w:spacing w:val="-3"/>
              <w:sz w:val="21"/>
              <w:szCs w:val="21"/>
            </w:rPr>
            <w:fldChar w:fldCharType="end"/>
          </w:r>
        </w:p>
        <w:p w14:paraId="0198CFE4">
          <w:pPr>
            <w:tabs>
              <w:tab w:val="right" w:leader="dot" w:pos="8317"/>
            </w:tabs>
            <w:spacing w:before="18" w:line="221" w:lineRule="auto"/>
            <w:ind w:left="852"/>
            <w:rPr>
              <w:rFonts w:ascii="宋体" w:hAnsi="宋体" w:eastAsia="宋体" w:cs="宋体"/>
              <w:sz w:val="21"/>
              <w:szCs w:val="21"/>
            </w:rPr>
          </w:pPr>
          <w:r>
            <w:rPr>
              <w:rFonts w:ascii="宋体" w:hAnsi="宋体" w:eastAsia="宋体" w:cs="宋体"/>
              <w:spacing w:val="-1"/>
              <w:sz w:val="21"/>
              <w:szCs w:val="21"/>
            </w:rPr>
            <w:t>A6.2</w:t>
          </w:r>
          <w:r>
            <w:rPr>
              <w:rFonts w:ascii="宋体" w:hAnsi="宋体" w:eastAsia="宋体" w:cs="宋体"/>
              <w:spacing w:val="-41"/>
              <w:sz w:val="21"/>
              <w:szCs w:val="21"/>
            </w:rPr>
            <w:t xml:space="preserve"> </w:t>
          </w:r>
          <w:r>
            <w:rPr>
              <w:rFonts w:ascii="宋体" w:hAnsi="宋体" w:eastAsia="宋体" w:cs="宋体"/>
              <w:spacing w:val="-1"/>
              <w:sz w:val="21"/>
              <w:szCs w:val="21"/>
            </w:rPr>
            <w:t>关于评标活动暂停</w:t>
          </w:r>
          <w:r>
            <w:rPr>
              <w:rFonts w:ascii="宋体" w:hAnsi="宋体" w:eastAsia="宋体" w:cs="宋体"/>
              <w:spacing w:val="-23"/>
              <w:sz w:val="21"/>
              <w:szCs w:val="21"/>
            </w:rPr>
            <w:t xml:space="preserve"> </w:t>
          </w:r>
          <w:r>
            <w:rPr>
              <w:rFonts w:ascii="宋体" w:hAnsi="宋体" w:eastAsia="宋体" w:cs="宋体"/>
              <w:sz w:val="21"/>
              <w:szCs w:val="21"/>
            </w:rPr>
            <w:tab/>
          </w:r>
          <w:r>
            <w:rPr>
              <w:rFonts w:ascii="宋体" w:hAnsi="宋体" w:eastAsia="宋体" w:cs="宋体"/>
              <w:spacing w:val="-25"/>
              <w:sz w:val="21"/>
              <w:szCs w:val="21"/>
            </w:rPr>
            <w:t xml:space="preserve"> </w:t>
          </w:r>
          <w:r>
            <w:fldChar w:fldCharType="begin"/>
          </w:r>
          <w:r>
            <w:instrText xml:space="preserve"> HYPERLINK \l "bookmark143" </w:instrText>
          </w:r>
          <w:r>
            <w:fldChar w:fldCharType="separate"/>
          </w:r>
          <w:r>
            <w:rPr>
              <w:rFonts w:ascii="宋体" w:hAnsi="宋体" w:eastAsia="宋体" w:cs="宋体"/>
              <w:spacing w:val="-3"/>
              <w:sz w:val="21"/>
              <w:szCs w:val="21"/>
            </w:rPr>
            <w:t>58</w:t>
          </w:r>
          <w:r>
            <w:rPr>
              <w:rFonts w:ascii="宋体" w:hAnsi="宋体" w:eastAsia="宋体" w:cs="宋体"/>
              <w:spacing w:val="-3"/>
              <w:sz w:val="21"/>
              <w:szCs w:val="21"/>
            </w:rPr>
            <w:fldChar w:fldCharType="end"/>
          </w:r>
        </w:p>
        <w:p w14:paraId="3530D535">
          <w:pPr>
            <w:tabs>
              <w:tab w:val="right" w:leader="dot" w:pos="8317"/>
            </w:tabs>
            <w:spacing w:before="22" w:line="220" w:lineRule="auto"/>
            <w:ind w:left="852"/>
            <w:rPr>
              <w:rFonts w:ascii="宋体" w:hAnsi="宋体" w:eastAsia="宋体" w:cs="宋体"/>
              <w:sz w:val="21"/>
              <w:szCs w:val="21"/>
            </w:rPr>
          </w:pPr>
          <w:r>
            <w:rPr>
              <w:rFonts w:ascii="宋体" w:hAnsi="宋体" w:eastAsia="宋体" w:cs="宋体"/>
              <w:spacing w:val="-2"/>
              <w:sz w:val="21"/>
              <w:szCs w:val="21"/>
            </w:rPr>
            <w:t>A6.3</w:t>
          </w:r>
          <w:r>
            <w:rPr>
              <w:rFonts w:ascii="宋体" w:hAnsi="宋体" w:eastAsia="宋体" w:cs="宋体"/>
              <w:spacing w:val="-27"/>
              <w:sz w:val="21"/>
              <w:szCs w:val="21"/>
            </w:rPr>
            <w:t xml:space="preserve"> </w:t>
          </w:r>
          <w:r>
            <w:rPr>
              <w:rFonts w:ascii="宋体" w:hAnsi="宋体" w:eastAsia="宋体" w:cs="宋体"/>
              <w:spacing w:val="-2"/>
              <w:sz w:val="21"/>
              <w:szCs w:val="21"/>
            </w:rPr>
            <w:t xml:space="preserve">关于评标中途更换评标委员会成员 </w:t>
          </w:r>
          <w:r>
            <w:rPr>
              <w:rFonts w:ascii="宋体" w:hAnsi="宋体" w:eastAsia="宋体" w:cs="宋体"/>
              <w:sz w:val="21"/>
              <w:szCs w:val="21"/>
            </w:rPr>
            <w:tab/>
          </w:r>
          <w:r>
            <w:rPr>
              <w:rFonts w:ascii="宋体" w:hAnsi="宋体" w:eastAsia="宋体" w:cs="宋体"/>
              <w:spacing w:val="-25"/>
              <w:sz w:val="21"/>
              <w:szCs w:val="21"/>
            </w:rPr>
            <w:t xml:space="preserve"> </w:t>
          </w:r>
          <w:r>
            <w:fldChar w:fldCharType="begin"/>
          </w:r>
          <w:r>
            <w:instrText xml:space="preserve"> HYPERLINK \l "bookmark144" </w:instrText>
          </w:r>
          <w:r>
            <w:fldChar w:fldCharType="separate"/>
          </w:r>
          <w:r>
            <w:rPr>
              <w:rFonts w:ascii="宋体" w:hAnsi="宋体" w:eastAsia="宋体" w:cs="宋体"/>
              <w:spacing w:val="-3"/>
              <w:sz w:val="21"/>
              <w:szCs w:val="21"/>
            </w:rPr>
            <w:t>58</w:t>
          </w:r>
          <w:r>
            <w:rPr>
              <w:rFonts w:ascii="宋体" w:hAnsi="宋体" w:eastAsia="宋体" w:cs="宋体"/>
              <w:spacing w:val="-3"/>
              <w:sz w:val="21"/>
              <w:szCs w:val="21"/>
            </w:rPr>
            <w:fldChar w:fldCharType="end"/>
          </w:r>
        </w:p>
        <w:p w14:paraId="3DF50031">
          <w:pPr>
            <w:tabs>
              <w:tab w:val="right" w:leader="dot" w:pos="8317"/>
            </w:tabs>
            <w:spacing w:before="23" w:line="221" w:lineRule="auto"/>
            <w:ind w:left="852"/>
            <w:rPr>
              <w:rFonts w:ascii="宋体" w:hAnsi="宋体" w:eastAsia="宋体" w:cs="宋体"/>
              <w:sz w:val="21"/>
              <w:szCs w:val="21"/>
            </w:rPr>
          </w:pPr>
          <w:r>
            <w:rPr>
              <w:rFonts w:ascii="宋体" w:hAnsi="宋体" w:eastAsia="宋体" w:cs="宋体"/>
              <w:sz w:val="21"/>
              <w:szCs w:val="21"/>
            </w:rPr>
            <w:t>A6.4 评标争议处理</w:t>
          </w:r>
          <w:r>
            <w:rPr>
              <w:rFonts w:ascii="宋体" w:hAnsi="宋体" w:eastAsia="宋体" w:cs="宋体"/>
              <w:spacing w:val="-78"/>
              <w:sz w:val="21"/>
              <w:szCs w:val="21"/>
            </w:rPr>
            <w:t xml:space="preserve"> </w:t>
          </w:r>
          <w:r>
            <w:rPr>
              <w:rFonts w:ascii="宋体" w:hAnsi="宋体" w:eastAsia="宋体" w:cs="宋体"/>
              <w:sz w:val="21"/>
              <w:szCs w:val="21"/>
            </w:rPr>
            <w:tab/>
          </w:r>
          <w:r>
            <w:rPr>
              <w:rFonts w:ascii="宋体" w:hAnsi="宋体" w:eastAsia="宋体" w:cs="宋体"/>
              <w:spacing w:val="-24"/>
              <w:sz w:val="21"/>
              <w:szCs w:val="21"/>
            </w:rPr>
            <w:t xml:space="preserve"> </w:t>
          </w:r>
          <w:r>
            <w:fldChar w:fldCharType="begin"/>
          </w:r>
          <w:r>
            <w:instrText xml:space="preserve"> HYPERLINK \l "bookmark145" </w:instrText>
          </w:r>
          <w:r>
            <w:fldChar w:fldCharType="separate"/>
          </w:r>
          <w:r>
            <w:rPr>
              <w:rFonts w:ascii="宋体" w:hAnsi="宋体" w:eastAsia="宋体" w:cs="宋体"/>
              <w:spacing w:val="-3"/>
              <w:sz w:val="21"/>
              <w:szCs w:val="21"/>
            </w:rPr>
            <w:t>58</w:t>
          </w:r>
          <w:r>
            <w:rPr>
              <w:rFonts w:ascii="宋体" w:hAnsi="宋体" w:eastAsia="宋体" w:cs="宋体"/>
              <w:spacing w:val="-3"/>
              <w:sz w:val="21"/>
              <w:szCs w:val="21"/>
            </w:rPr>
            <w:fldChar w:fldCharType="end"/>
          </w:r>
        </w:p>
        <w:p w14:paraId="5324D0BD">
          <w:pPr>
            <w:tabs>
              <w:tab w:val="right" w:leader="dot" w:pos="8317"/>
            </w:tabs>
            <w:spacing w:before="23" w:line="221" w:lineRule="auto"/>
            <w:ind w:left="852"/>
            <w:rPr>
              <w:rFonts w:ascii="宋体" w:hAnsi="宋体" w:eastAsia="宋体" w:cs="宋体"/>
              <w:sz w:val="21"/>
              <w:szCs w:val="21"/>
            </w:rPr>
          </w:pPr>
          <w:r>
            <w:rPr>
              <w:rFonts w:ascii="宋体" w:hAnsi="宋体" w:eastAsia="宋体" w:cs="宋体"/>
              <w:sz w:val="21"/>
              <w:szCs w:val="21"/>
            </w:rPr>
            <w:t>A7.补充条款</w:t>
          </w:r>
          <w:r>
            <w:rPr>
              <w:rFonts w:ascii="宋体" w:hAnsi="宋体" w:eastAsia="宋体" w:cs="宋体"/>
              <w:spacing w:val="-82"/>
              <w:sz w:val="21"/>
              <w:szCs w:val="21"/>
            </w:rPr>
            <w:t xml:space="preserve"> </w:t>
          </w:r>
          <w:r>
            <w:rPr>
              <w:rFonts w:ascii="宋体" w:hAnsi="宋体" w:eastAsia="宋体" w:cs="宋体"/>
              <w:sz w:val="21"/>
              <w:szCs w:val="21"/>
            </w:rPr>
            <w:tab/>
          </w:r>
          <w:r>
            <w:rPr>
              <w:rFonts w:ascii="宋体" w:hAnsi="宋体" w:eastAsia="宋体" w:cs="宋体"/>
              <w:spacing w:val="-24"/>
              <w:sz w:val="21"/>
              <w:szCs w:val="21"/>
            </w:rPr>
            <w:t xml:space="preserve"> </w:t>
          </w:r>
          <w:r>
            <w:fldChar w:fldCharType="begin"/>
          </w:r>
          <w:r>
            <w:instrText xml:space="preserve"> HYPERLINK \l "bookmark146" </w:instrText>
          </w:r>
          <w:r>
            <w:fldChar w:fldCharType="separate"/>
          </w:r>
          <w:r>
            <w:rPr>
              <w:rFonts w:ascii="宋体" w:hAnsi="宋体" w:eastAsia="宋体" w:cs="宋体"/>
              <w:spacing w:val="-3"/>
              <w:sz w:val="21"/>
              <w:szCs w:val="21"/>
            </w:rPr>
            <w:t>59</w:t>
          </w:r>
          <w:r>
            <w:rPr>
              <w:rFonts w:ascii="宋体" w:hAnsi="宋体" w:eastAsia="宋体" w:cs="宋体"/>
              <w:spacing w:val="-3"/>
              <w:sz w:val="21"/>
              <w:szCs w:val="21"/>
            </w:rPr>
            <w:fldChar w:fldCharType="end"/>
          </w:r>
        </w:p>
      </w:sdtContent>
    </w:sdt>
    <w:p w14:paraId="14B53540">
      <w:pPr>
        <w:spacing w:line="221" w:lineRule="auto"/>
        <w:rPr>
          <w:rFonts w:ascii="宋体" w:hAnsi="宋体" w:eastAsia="宋体" w:cs="宋体"/>
          <w:sz w:val="21"/>
          <w:szCs w:val="21"/>
        </w:rPr>
        <w:sectPr>
          <w:footerReference r:id="rId8" w:type="default"/>
          <w:pgSz w:w="11905" w:h="16839"/>
          <w:pgMar w:top="1427" w:right="1785" w:bottom="1033" w:left="1785" w:header="0" w:footer="847" w:gutter="0"/>
          <w:pgNumType w:fmt="decimal"/>
          <w:cols w:space="720" w:num="1"/>
        </w:sectPr>
      </w:pPr>
    </w:p>
    <w:sdt>
      <w:sdtPr>
        <w:rPr>
          <w:rFonts w:ascii="宋体" w:hAnsi="宋体" w:eastAsia="宋体" w:cs="宋体"/>
          <w:sz w:val="21"/>
          <w:szCs w:val="21"/>
        </w:rPr>
        <w:id w:val="4"/>
        <w:docPartObj>
          <w:docPartGallery w:val="Table of Contents"/>
          <w:docPartUnique/>
        </w:docPartObj>
      </w:sdtPr>
      <w:sdtEndPr>
        <w:rPr>
          <w:rFonts w:ascii="宋体" w:hAnsi="宋体" w:eastAsia="宋体" w:cs="宋体"/>
          <w:sz w:val="21"/>
          <w:szCs w:val="21"/>
        </w:rPr>
      </w:sdtEndPr>
      <w:sdtContent>
        <w:p w14:paraId="3A991D7F">
          <w:pPr>
            <w:tabs>
              <w:tab w:val="right" w:leader="dot" w:pos="8317"/>
            </w:tabs>
            <w:spacing w:before="42" w:line="220" w:lineRule="auto"/>
            <w:ind w:left="457"/>
            <w:rPr>
              <w:rFonts w:ascii="宋体" w:hAnsi="宋体" w:eastAsia="宋体" w:cs="宋体"/>
              <w:sz w:val="21"/>
              <w:szCs w:val="21"/>
            </w:rPr>
          </w:pPr>
          <w:r>
            <w:rPr>
              <w:rFonts w:ascii="宋体" w:hAnsi="宋体" w:eastAsia="宋体" w:cs="宋体"/>
              <w:spacing w:val="-3"/>
              <w:sz w:val="21"/>
              <w:szCs w:val="21"/>
              <w14:textOutline w14:w="3831" w14:cap="flat" w14:cmpd="sng">
                <w14:solidFill>
                  <w14:srgbClr w14:val="000000"/>
                </w14:solidFill>
                <w14:prstDash w14:val="solid"/>
                <w14:miter w14:val="0"/>
              </w14:textOutline>
            </w:rPr>
            <w:t>附件</w:t>
          </w:r>
          <w:r>
            <w:rPr>
              <w:rFonts w:ascii="宋体" w:hAnsi="宋体" w:eastAsia="宋体" w:cs="宋体"/>
              <w:spacing w:val="-42"/>
              <w:sz w:val="21"/>
              <w:szCs w:val="21"/>
            </w:rPr>
            <w:t xml:space="preserve"> </w:t>
          </w:r>
          <w:r>
            <w:rPr>
              <w:rFonts w:ascii="宋体" w:hAnsi="宋体" w:eastAsia="宋体" w:cs="宋体"/>
              <w:spacing w:val="-3"/>
              <w:sz w:val="21"/>
              <w:szCs w:val="21"/>
              <w14:textOutline w14:w="3831" w14:cap="flat" w14:cmpd="sng">
                <w14:solidFill>
                  <w14:srgbClr w14:val="000000"/>
                </w14:solidFill>
                <w14:prstDash w14:val="solid"/>
                <w14:miter w14:val="0"/>
              </w14:textOutline>
            </w:rPr>
            <w:t>B：否决投标的条件</w:t>
          </w:r>
          <w:r>
            <w:rPr>
              <w:rFonts w:ascii="宋体" w:hAnsi="宋体" w:eastAsia="宋体" w:cs="宋体"/>
              <w:spacing w:val="-42"/>
              <w:sz w:val="21"/>
              <w:szCs w:val="21"/>
            </w:rPr>
            <w:t xml:space="preserve"> </w:t>
          </w:r>
          <w:r>
            <w:rPr>
              <w:rFonts w:ascii="宋体" w:hAnsi="宋体" w:eastAsia="宋体" w:cs="宋体"/>
              <w:sz w:val="21"/>
              <w:szCs w:val="21"/>
              <w14:textOutline w14:w="3831" w14:cap="flat" w14:cmpd="sng">
                <w14:solidFill>
                  <w14:srgbClr w14:val="000000"/>
                </w14:solidFill>
                <w14:prstDash w14:val="solid"/>
                <w14:miter w14:val="0"/>
              </w14:textOutline>
            </w:rPr>
            <w:tab/>
          </w:r>
          <w:r>
            <w:rPr>
              <w:rFonts w:ascii="宋体" w:hAnsi="宋体" w:eastAsia="宋体" w:cs="宋体"/>
              <w:spacing w:val="-27"/>
              <w:sz w:val="21"/>
              <w:szCs w:val="21"/>
            </w:rPr>
            <w:t xml:space="preserve"> </w:t>
          </w:r>
          <w:r>
            <w:fldChar w:fldCharType="begin"/>
          </w:r>
          <w:r>
            <w:instrText xml:space="preserve"> HYPERLINK \l "bookmark147" </w:instrText>
          </w:r>
          <w:r>
            <w:fldChar w:fldCharType="separate"/>
          </w:r>
          <w:r>
            <w:rPr>
              <w:rFonts w:ascii="宋体" w:hAnsi="宋体" w:eastAsia="宋体" w:cs="宋体"/>
              <w:spacing w:val="-3"/>
              <w:sz w:val="21"/>
              <w:szCs w:val="21"/>
              <w14:textOutline w14:w="3831" w14:cap="flat" w14:cmpd="sng">
                <w14:solidFill>
                  <w14:srgbClr w14:val="000000"/>
                </w14:solidFill>
                <w14:prstDash w14:val="solid"/>
                <w14:miter w14:val="0"/>
              </w14:textOutline>
            </w:rPr>
            <w:t>60</w:t>
          </w:r>
          <w:r>
            <w:rPr>
              <w:rFonts w:ascii="宋体" w:hAnsi="宋体" w:eastAsia="宋体" w:cs="宋体"/>
              <w:spacing w:val="-3"/>
              <w:sz w:val="21"/>
              <w:szCs w:val="21"/>
              <w14:textOutline w14:w="3831" w14:cap="flat" w14:cmpd="sng">
                <w14:solidFill>
                  <w14:srgbClr w14:val="000000"/>
                </w14:solidFill>
                <w14:prstDash w14:val="solid"/>
                <w14:miter w14:val="0"/>
              </w14:textOutline>
            </w:rPr>
            <w:fldChar w:fldCharType="end"/>
          </w:r>
        </w:p>
        <w:p w14:paraId="63253DDC">
          <w:pPr>
            <w:tabs>
              <w:tab w:val="right" w:leader="dot" w:pos="8317"/>
            </w:tabs>
            <w:spacing w:before="19" w:line="221" w:lineRule="auto"/>
            <w:ind w:left="853"/>
            <w:rPr>
              <w:rFonts w:ascii="宋体" w:hAnsi="宋体" w:eastAsia="宋体" w:cs="宋体"/>
              <w:sz w:val="21"/>
              <w:szCs w:val="21"/>
            </w:rPr>
          </w:pPr>
          <w:r>
            <w:rPr>
              <w:rFonts w:ascii="宋体" w:hAnsi="宋体" w:eastAsia="宋体" w:cs="宋体"/>
              <w:spacing w:val="-3"/>
              <w:sz w:val="21"/>
              <w:szCs w:val="21"/>
            </w:rPr>
            <w:t>B0.总</w:t>
          </w:r>
          <w:r>
            <w:rPr>
              <w:rFonts w:ascii="宋体" w:hAnsi="宋体" w:eastAsia="宋体" w:cs="宋体"/>
              <w:spacing w:val="8"/>
              <w:sz w:val="21"/>
              <w:szCs w:val="21"/>
            </w:rPr>
            <w:t xml:space="preserve">  </w:t>
          </w:r>
          <w:r>
            <w:rPr>
              <w:rFonts w:ascii="宋体" w:hAnsi="宋体" w:eastAsia="宋体" w:cs="宋体"/>
              <w:spacing w:val="-3"/>
              <w:sz w:val="21"/>
              <w:szCs w:val="21"/>
            </w:rPr>
            <w:t>则</w:t>
          </w:r>
          <w:r>
            <w:rPr>
              <w:rFonts w:ascii="宋体" w:hAnsi="宋体" w:eastAsia="宋体" w:cs="宋体"/>
              <w:spacing w:val="-86"/>
              <w:sz w:val="21"/>
              <w:szCs w:val="21"/>
            </w:rPr>
            <w:t xml:space="preserve"> </w:t>
          </w:r>
          <w:r>
            <w:rPr>
              <w:rFonts w:ascii="宋体" w:hAnsi="宋体" w:eastAsia="宋体" w:cs="宋体"/>
              <w:sz w:val="21"/>
              <w:szCs w:val="21"/>
            </w:rPr>
            <w:tab/>
          </w:r>
          <w:r>
            <w:rPr>
              <w:rFonts w:ascii="宋体" w:hAnsi="宋体" w:eastAsia="宋体" w:cs="宋体"/>
              <w:spacing w:val="-26"/>
              <w:sz w:val="21"/>
              <w:szCs w:val="21"/>
            </w:rPr>
            <w:t xml:space="preserve"> </w:t>
          </w:r>
          <w:r>
            <w:fldChar w:fldCharType="begin"/>
          </w:r>
          <w:r>
            <w:instrText xml:space="preserve"> HYPERLINK \l "bookmark148" </w:instrText>
          </w:r>
          <w:r>
            <w:fldChar w:fldCharType="separate"/>
          </w:r>
          <w:r>
            <w:rPr>
              <w:rFonts w:ascii="宋体" w:hAnsi="宋体" w:eastAsia="宋体" w:cs="宋体"/>
              <w:spacing w:val="-3"/>
              <w:sz w:val="21"/>
              <w:szCs w:val="21"/>
            </w:rPr>
            <w:t>60</w:t>
          </w:r>
          <w:r>
            <w:rPr>
              <w:rFonts w:ascii="宋体" w:hAnsi="宋体" w:eastAsia="宋体" w:cs="宋体"/>
              <w:spacing w:val="-3"/>
              <w:sz w:val="21"/>
              <w:szCs w:val="21"/>
            </w:rPr>
            <w:fldChar w:fldCharType="end"/>
          </w:r>
        </w:p>
        <w:p w14:paraId="4293C27A">
          <w:pPr>
            <w:tabs>
              <w:tab w:val="right" w:leader="dot" w:pos="8317"/>
            </w:tabs>
            <w:spacing w:before="21" w:line="221" w:lineRule="auto"/>
            <w:ind w:left="853"/>
            <w:rPr>
              <w:rFonts w:ascii="宋体" w:hAnsi="宋体" w:eastAsia="宋体" w:cs="宋体"/>
              <w:sz w:val="21"/>
              <w:szCs w:val="21"/>
            </w:rPr>
          </w:pPr>
          <w:r>
            <w:rPr>
              <w:rFonts w:ascii="宋体" w:hAnsi="宋体" w:eastAsia="宋体" w:cs="宋体"/>
              <w:sz w:val="21"/>
              <w:szCs w:val="21"/>
            </w:rPr>
            <w:t>B1.否决投标的条件</w:t>
          </w:r>
          <w:r>
            <w:rPr>
              <w:rFonts w:ascii="宋体" w:hAnsi="宋体" w:eastAsia="宋体" w:cs="宋体"/>
              <w:spacing w:val="-80"/>
              <w:sz w:val="21"/>
              <w:szCs w:val="21"/>
            </w:rPr>
            <w:t xml:space="preserve"> </w:t>
          </w:r>
          <w:r>
            <w:rPr>
              <w:rFonts w:ascii="宋体" w:hAnsi="宋体" w:eastAsia="宋体" w:cs="宋体"/>
              <w:sz w:val="21"/>
              <w:szCs w:val="21"/>
            </w:rPr>
            <w:tab/>
          </w:r>
          <w:r>
            <w:rPr>
              <w:rFonts w:ascii="宋体" w:hAnsi="宋体" w:eastAsia="宋体" w:cs="宋体"/>
              <w:spacing w:val="-26"/>
              <w:sz w:val="21"/>
              <w:szCs w:val="21"/>
            </w:rPr>
            <w:t xml:space="preserve"> </w:t>
          </w:r>
          <w:r>
            <w:fldChar w:fldCharType="begin"/>
          </w:r>
          <w:r>
            <w:instrText xml:space="preserve"> HYPERLINK \l "bookmark149" </w:instrText>
          </w:r>
          <w:r>
            <w:fldChar w:fldCharType="separate"/>
          </w:r>
          <w:r>
            <w:rPr>
              <w:rFonts w:ascii="宋体" w:hAnsi="宋体" w:eastAsia="宋体" w:cs="宋体"/>
              <w:spacing w:val="-3"/>
              <w:sz w:val="21"/>
              <w:szCs w:val="21"/>
            </w:rPr>
            <w:t>60</w:t>
          </w:r>
          <w:r>
            <w:rPr>
              <w:rFonts w:ascii="宋体" w:hAnsi="宋体" w:eastAsia="宋体" w:cs="宋体"/>
              <w:spacing w:val="-3"/>
              <w:sz w:val="21"/>
              <w:szCs w:val="21"/>
            </w:rPr>
            <w:fldChar w:fldCharType="end"/>
          </w:r>
        </w:p>
        <w:p w14:paraId="74952761">
          <w:pPr>
            <w:tabs>
              <w:tab w:val="right" w:leader="dot" w:pos="8317"/>
            </w:tabs>
            <w:spacing w:before="22" w:line="220" w:lineRule="auto"/>
            <w:ind w:left="457"/>
            <w:rPr>
              <w:rFonts w:ascii="宋体" w:hAnsi="宋体" w:eastAsia="宋体" w:cs="宋体"/>
              <w:sz w:val="21"/>
              <w:szCs w:val="21"/>
            </w:rPr>
          </w:pPr>
          <w:r>
            <w:rPr>
              <w:rFonts w:ascii="宋体" w:hAnsi="宋体" w:eastAsia="宋体" w:cs="宋体"/>
              <w:spacing w:val="-4"/>
              <w:sz w:val="21"/>
              <w:szCs w:val="21"/>
              <w14:textOutline w14:w="3831" w14:cap="flat" w14:cmpd="sng">
                <w14:solidFill>
                  <w14:srgbClr w14:val="000000"/>
                </w14:solidFill>
                <w14:prstDash w14:val="solid"/>
                <w14:miter w14:val="0"/>
              </w14:textOutline>
            </w:rPr>
            <w:t>附件</w:t>
          </w:r>
          <w:r>
            <w:rPr>
              <w:rFonts w:ascii="宋体" w:hAnsi="宋体" w:eastAsia="宋体" w:cs="宋体"/>
              <w:spacing w:val="-45"/>
              <w:sz w:val="21"/>
              <w:szCs w:val="21"/>
            </w:rPr>
            <w:t xml:space="preserve"> </w:t>
          </w:r>
          <w:r>
            <w:rPr>
              <w:rFonts w:ascii="宋体" w:hAnsi="宋体" w:eastAsia="宋体" w:cs="宋体"/>
              <w:spacing w:val="-4"/>
              <w:sz w:val="21"/>
              <w:szCs w:val="21"/>
              <w14:textOutline w14:w="3831" w14:cap="flat" w14:cmpd="sng">
                <w14:solidFill>
                  <w14:srgbClr w14:val="000000"/>
                </w14:solidFill>
                <w14:prstDash w14:val="solid"/>
                <w14:miter w14:val="0"/>
              </w14:textOutline>
            </w:rPr>
            <w:t>C：定标办法</w:t>
          </w:r>
          <w:r>
            <w:rPr>
              <w:rFonts w:ascii="宋体" w:hAnsi="宋体" w:eastAsia="宋体" w:cs="宋体"/>
              <w:spacing w:val="-73"/>
              <w:sz w:val="21"/>
              <w:szCs w:val="21"/>
            </w:rPr>
            <w:t xml:space="preserve"> </w:t>
          </w:r>
          <w:r>
            <w:rPr>
              <w:rFonts w:ascii="宋体" w:hAnsi="宋体" w:eastAsia="宋体" w:cs="宋体"/>
              <w:sz w:val="21"/>
              <w:szCs w:val="21"/>
              <w14:textOutline w14:w="3831" w14:cap="flat" w14:cmpd="sng">
                <w14:solidFill>
                  <w14:srgbClr w14:val="000000"/>
                </w14:solidFill>
                <w14:prstDash w14:val="solid"/>
                <w14:miter w14:val="0"/>
              </w14:textOutline>
            </w:rPr>
            <w:tab/>
          </w:r>
          <w:r>
            <w:rPr>
              <w:rFonts w:ascii="宋体" w:hAnsi="宋体" w:eastAsia="宋体" w:cs="宋体"/>
              <w:spacing w:val="-26"/>
              <w:sz w:val="21"/>
              <w:szCs w:val="21"/>
            </w:rPr>
            <w:t xml:space="preserve"> </w:t>
          </w:r>
          <w:r>
            <w:fldChar w:fldCharType="begin"/>
          </w:r>
          <w:r>
            <w:instrText xml:space="preserve"> HYPERLINK \l "bookmark150" </w:instrText>
          </w:r>
          <w:r>
            <w:fldChar w:fldCharType="separate"/>
          </w:r>
          <w:r>
            <w:rPr>
              <w:rFonts w:ascii="宋体" w:hAnsi="宋体" w:eastAsia="宋体" w:cs="宋体"/>
              <w:spacing w:val="-3"/>
              <w:sz w:val="21"/>
              <w:szCs w:val="21"/>
              <w14:textOutline w14:w="3831" w14:cap="flat" w14:cmpd="sng">
                <w14:solidFill>
                  <w14:srgbClr w14:val="000000"/>
                </w14:solidFill>
                <w14:prstDash w14:val="solid"/>
                <w14:miter w14:val="0"/>
              </w14:textOutline>
            </w:rPr>
            <w:t>63</w:t>
          </w:r>
          <w:r>
            <w:rPr>
              <w:rFonts w:ascii="宋体" w:hAnsi="宋体" w:eastAsia="宋体" w:cs="宋体"/>
              <w:spacing w:val="-3"/>
              <w:sz w:val="21"/>
              <w:szCs w:val="21"/>
              <w14:textOutline w14:w="3831" w14:cap="flat" w14:cmpd="sng">
                <w14:solidFill>
                  <w14:srgbClr w14:val="000000"/>
                </w14:solidFill>
                <w14:prstDash w14:val="solid"/>
                <w14:miter w14:val="0"/>
              </w14:textOutline>
            </w:rPr>
            <w:fldChar w:fldCharType="end"/>
          </w:r>
        </w:p>
        <w:p w14:paraId="063AD746">
          <w:pPr>
            <w:tabs>
              <w:tab w:val="right" w:leader="dot" w:pos="8317"/>
            </w:tabs>
            <w:spacing w:before="23" w:line="220" w:lineRule="auto"/>
            <w:ind w:left="446"/>
            <w:rPr>
              <w:rFonts w:ascii="宋体" w:hAnsi="宋体" w:eastAsia="宋体" w:cs="宋体"/>
              <w:sz w:val="21"/>
              <w:szCs w:val="21"/>
            </w:rPr>
          </w:pPr>
          <w:r>
            <w:rPr>
              <w:rFonts w:ascii="宋体" w:hAnsi="宋体" w:eastAsia="宋体" w:cs="宋体"/>
              <w:spacing w:val="-1"/>
              <w:sz w:val="21"/>
              <w:szCs w:val="21"/>
              <w14:textOutline w14:w="3831" w14:cap="flat" w14:cmpd="sng">
                <w14:solidFill>
                  <w14:srgbClr w14:val="000000"/>
                </w14:solidFill>
                <w14:prstDash w14:val="solid"/>
                <w14:miter w14:val="0"/>
              </w14:textOutline>
            </w:rPr>
            <w:t>定标办法前附表</w:t>
          </w:r>
          <w:r>
            <w:rPr>
              <w:rFonts w:ascii="宋体" w:hAnsi="宋体" w:eastAsia="宋体" w:cs="宋体"/>
              <w:spacing w:val="-32"/>
              <w:sz w:val="21"/>
              <w:szCs w:val="21"/>
            </w:rPr>
            <w:t xml:space="preserve"> </w:t>
          </w:r>
          <w:r>
            <w:rPr>
              <w:rFonts w:ascii="宋体" w:hAnsi="宋体" w:eastAsia="宋体" w:cs="宋体"/>
              <w:sz w:val="21"/>
              <w:szCs w:val="21"/>
              <w14:textOutline w14:w="3831" w14:cap="flat" w14:cmpd="sng">
                <w14:solidFill>
                  <w14:srgbClr w14:val="000000"/>
                </w14:solidFill>
                <w14:prstDash w14:val="solid"/>
                <w14:miter w14:val="0"/>
              </w14:textOutline>
            </w:rPr>
            <w:tab/>
          </w:r>
          <w:r>
            <w:rPr>
              <w:rFonts w:ascii="宋体" w:hAnsi="宋体" w:eastAsia="宋体" w:cs="宋体"/>
              <w:spacing w:val="-26"/>
              <w:sz w:val="21"/>
              <w:szCs w:val="21"/>
            </w:rPr>
            <w:t xml:space="preserve"> </w:t>
          </w:r>
          <w:r>
            <w:fldChar w:fldCharType="begin"/>
          </w:r>
          <w:r>
            <w:instrText xml:space="preserve"> HYPERLINK \l "bookmark151" </w:instrText>
          </w:r>
          <w:r>
            <w:fldChar w:fldCharType="separate"/>
          </w:r>
          <w:r>
            <w:rPr>
              <w:rFonts w:ascii="宋体" w:hAnsi="宋体" w:eastAsia="宋体" w:cs="宋体"/>
              <w:spacing w:val="-3"/>
              <w:sz w:val="21"/>
              <w:szCs w:val="21"/>
              <w14:textOutline w14:w="3831" w14:cap="flat" w14:cmpd="sng">
                <w14:solidFill>
                  <w14:srgbClr w14:val="000000"/>
                </w14:solidFill>
                <w14:prstDash w14:val="solid"/>
                <w14:miter w14:val="0"/>
              </w14:textOutline>
            </w:rPr>
            <w:t>63</w:t>
          </w:r>
          <w:r>
            <w:rPr>
              <w:rFonts w:ascii="宋体" w:hAnsi="宋体" w:eastAsia="宋体" w:cs="宋体"/>
              <w:spacing w:val="-3"/>
              <w:sz w:val="21"/>
              <w:szCs w:val="21"/>
              <w14:textOutline w14:w="3831" w14:cap="flat" w14:cmpd="sng">
                <w14:solidFill>
                  <w14:srgbClr w14:val="000000"/>
                </w14:solidFill>
                <w14:prstDash w14:val="solid"/>
                <w14:miter w14:val="0"/>
              </w14:textOutline>
            </w:rPr>
            <w:fldChar w:fldCharType="end"/>
          </w:r>
        </w:p>
        <w:p w14:paraId="1BB03C35">
          <w:pPr>
            <w:tabs>
              <w:tab w:val="right" w:leader="dot" w:pos="8317"/>
            </w:tabs>
            <w:spacing w:before="18" w:line="221" w:lineRule="auto"/>
            <w:ind w:left="446"/>
            <w:rPr>
              <w:rFonts w:ascii="宋体" w:hAnsi="宋体" w:eastAsia="宋体" w:cs="宋体"/>
              <w:sz w:val="21"/>
              <w:szCs w:val="21"/>
            </w:rPr>
          </w:pPr>
          <w:r>
            <w:rPr>
              <w:rFonts w:ascii="宋体" w:hAnsi="宋体" w:eastAsia="宋体" w:cs="宋体"/>
              <w:spacing w:val="-2"/>
              <w:sz w:val="21"/>
              <w:szCs w:val="21"/>
            </w:rPr>
            <w:t>定标办法正文</w:t>
          </w:r>
          <w:r>
            <w:rPr>
              <w:rFonts w:ascii="宋体" w:hAnsi="宋体" w:eastAsia="宋体" w:cs="宋体"/>
              <w:spacing w:val="-86"/>
              <w:sz w:val="21"/>
              <w:szCs w:val="21"/>
            </w:rPr>
            <w:t xml:space="preserve"> </w:t>
          </w:r>
          <w:r>
            <w:rPr>
              <w:rFonts w:ascii="宋体" w:hAnsi="宋体" w:eastAsia="宋体" w:cs="宋体"/>
              <w:sz w:val="21"/>
              <w:szCs w:val="21"/>
            </w:rPr>
            <w:tab/>
          </w:r>
          <w:r>
            <w:rPr>
              <w:rFonts w:ascii="宋体" w:hAnsi="宋体" w:eastAsia="宋体" w:cs="宋体"/>
              <w:spacing w:val="-26"/>
              <w:sz w:val="21"/>
              <w:szCs w:val="21"/>
            </w:rPr>
            <w:t xml:space="preserve"> </w:t>
          </w:r>
          <w:r>
            <w:fldChar w:fldCharType="begin"/>
          </w:r>
          <w:r>
            <w:instrText xml:space="preserve"> HYPERLINK \l "bookmark152" </w:instrText>
          </w:r>
          <w:r>
            <w:fldChar w:fldCharType="separate"/>
          </w:r>
          <w:r>
            <w:rPr>
              <w:rFonts w:ascii="宋体" w:hAnsi="宋体" w:eastAsia="宋体" w:cs="宋体"/>
              <w:spacing w:val="-3"/>
              <w:sz w:val="21"/>
              <w:szCs w:val="21"/>
            </w:rPr>
            <w:t>64</w:t>
          </w:r>
          <w:r>
            <w:rPr>
              <w:rFonts w:ascii="宋体" w:hAnsi="宋体" w:eastAsia="宋体" w:cs="宋体"/>
              <w:spacing w:val="-3"/>
              <w:sz w:val="21"/>
              <w:szCs w:val="21"/>
            </w:rPr>
            <w:fldChar w:fldCharType="end"/>
          </w:r>
        </w:p>
        <w:p w14:paraId="3E27FFEF">
          <w:pPr>
            <w:tabs>
              <w:tab w:val="right" w:leader="dot" w:pos="8317"/>
            </w:tabs>
            <w:spacing w:before="23" w:line="221" w:lineRule="auto"/>
            <w:ind w:left="456"/>
            <w:rPr>
              <w:rFonts w:ascii="宋体" w:hAnsi="宋体" w:eastAsia="宋体" w:cs="宋体"/>
              <w:sz w:val="21"/>
              <w:szCs w:val="21"/>
            </w:rPr>
          </w:pPr>
          <w:r>
            <w:rPr>
              <w:rFonts w:ascii="宋体" w:hAnsi="宋体" w:eastAsia="宋体" w:cs="宋体"/>
              <w:spacing w:val="-3"/>
              <w:sz w:val="21"/>
              <w:szCs w:val="21"/>
            </w:rPr>
            <w:t>1.定标方法</w:t>
          </w:r>
          <w:r>
            <w:rPr>
              <w:rFonts w:ascii="宋体" w:hAnsi="宋体" w:eastAsia="宋体" w:cs="宋体"/>
              <w:spacing w:val="-91"/>
              <w:sz w:val="21"/>
              <w:szCs w:val="21"/>
            </w:rPr>
            <w:t xml:space="preserve"> </w:t>
          </w:r>
          <w:r>
            <w:rPr>
              <w:rFonts w:ascii="宋体" w:hAnsi="宋体" w:eastAsia="宋体" w:cs="宋体"/>
              <w:sz w:val="21"/>
              <w:szCs w:val="21"/>
            </w:rPr>
            <w:tab/>
          </w:r>
          <w:r>
            <w:rPr>
              <w:rFonts w:ascii="宋体" w:hAnsi="宋体" w:eastAsia="宋体" w:cs="宋体"/>
              <w:spacing w:val="-26"/>
              <w:sz w:val="21"/>
              <w:szCs w:val="21"/>
            </w:rPr>
            <w:t xml:space="preserve"> </w:t>
          </w:r>
          <w:r>
            <w:fldChar w:fldCharType="begin"/>
          </w:r>
          <w:r>
            <w:instrText xml:space="preserve"> HYPERLINK \l "bookmark153" </w:instrText>
          </w:r>
          <w:r>
            <w:fldChar w:fldCharType="separate"/>
          </w:r>
          <w:r>
            <w:rPr>
              <w:rFonts w:ascii="宋体" w:hAnsi="宋体" w:eastAsia="宋体" w:cs="宋体"/>
              <w:spacing w:val="-3"/>
              <w:sz w:val="21"/>
              <w:szCs w:val="21"/>
            </w:rPr>
            <w:t>64</w:t>
          </w:r>
          <w:r>
            <w:rPr>
              <w:rFonts w:ascii="宋体" w:hAnsi="宋体" w:eastAsia="宋体" w:cs="宋体"/>
              <w:spacing w:val="-3"/>
              <w:sz w:val="21"/>
              <w:szCs w:val="21"/>
            </w:rPr>
            <w:fldChar w:fldCharType="end"/>
          </w:r>
        </w:p>
        <w:p w14:paraId="32AD96B8">
          <w:pPr>
            <w:tabs>
              <w:tab w:val="right" w:leader="dot" w:pos="8317"/>
            </w:tabs>
            <w:spacing w:before="22" w:line="221" w:lineRule="auto"/>
            <w:ind w:left="443"/>
            <w:rPr>
              <w:rFonts w:ascii="宋体" w:hAnsi="宋体" w:eastAsia="宋体" w:cs="宋体"/>
              <w:sz w:val="21"/>
              <w:szCs w:val="21"/>
            </w:rPr>
          </w:pPr>
          <w:r>
            <w:rPr>
              <w:rFonts w:ascii="宋体" w:hAnsi="宋体" w:eastAsia="宋体" w:cs="宋体"/>
              <w:spacing w:val="-1"/>
              <w:sz w:val="21"/>
              <w:szCs w:val="21"/>
            </w:rPr>
            <w:t>2.定标流程及规则</w:t>
          </w:r>
          <w:r>
            <w:rPr>
              <w:rFonts w:ascii="宋体" w:hAnsi="宋体" w:eastAsia="宋体" w:cs="宋体"/>
              <w:spacing w:val="-84"/>
              <w:sz w:val="21"/>
              <w:szCs w:val="21"/>
            </w:rPr>
            <w:t xml:space="preserve"> </w:t>
          </w:r>
          <w:r>
            <w:rPr>
              <w:rFonts w:ascii="宋体" w:hAnsi="宋体" w:eastAsia="宋体" w:cs="宋体"/>
              <w:sz w:val="21"/>
              <w:szCs w:val="21"/>
            </w:rPr>
            <w:tab/>
          </w:r>
          <w:r>
            <w:rPr>
              <w:rFonts w:ascii="宋体" w:hAnsi="宋体" w:eastAsia="宋体" w:cs="宋体"/>
              <w:spacing w:val="-26"/>
              <w:sz w:val="21"/>
              <w:szCs w:val="21"/>
            </w:rPr>
            <w:t xml:space="preserve"> </w:t>
          </w:r>
          <w:r>
            <w:fldChar w:fldCharType="begin"/>
          </w:r>
          <w:r>
            <w:instrText xml:space="preserve"> HYPERLINK \l "bookmark154" </w:instrText>
          </w:r>
          <w:r>
            <w:fldChar w:fldCharType="separate"/>
          </w:r>
          <w:r>
            <w:rPr>
              <w:rFonts w:ascii="宋体" w:hAnsi="宋体" w:eastAsia="宋体" w:cs="宋体"/>
              <w:spacing w:val="-3"/>
              <w:sz w:val="21"/>
              <w:szCs w:val="21"/>
            </w:rPr>
            <w:t>64</w:t>
          </w:r>
          <w:r>
            <w:rPr>
              <w:rFonts w:ascii="宋体" w:hAnsi="宋体" w:eastAsia="宋体" w:cs="宋体"/>
              <w:spacing w:val="-3"/>
              <w:sz w:val="21"/>
              <w:szCs w:val="21"/>
            </w:rPr>
            <w:fldChar w:fldCharType="end"/>
          </w:r>
        </w:p>
        <w:p w14:paraId="096AB4AD">
          <w:pPr>
            <w:tabs>
              <w:tab w:val="right" w:leader="dot" w:pos="8317"/>
            </w:tabs>
            <w:spacing w:before="22" w:line="220" w:lineRule="auto"/>
            <w:ind w:left="861"/>
            <w:rPr>
              <w:rFonts w:ascii="宋体" w:hAnsi="宋体" w:eastAsia="宋体" w:cs="宋体"/>
              <w:sz w:val="21"/>
              <w:szCs w:val="21"/>
            </w:rPr>
          </w:pPr>
          <w:r>
            <w:rPr>
              <w:rFonts w:ascii="宋体" w:hAnsi="宋体" w:eastAsia="宋体" w:cs="宋体"/>
              <w:spacing w:val="-2"/>
              <w:sz w:val="21"/>
              <w:szCs w:val="21"/>
            </w:rPr>
            <w:t>2.1</w:t>
          </w:r>
          <w:r>
            <w:rPr>
              <w:rFonts w:ascii="宋体" w:hAnsi="宋体" w:eastAsia="宋体" w:cs="宋体"/>
              <w:spacing w:val="-39"/>
              <w:sz w:val="21"/>
              <w:szCs w:val="21"/>
            </w:rPr>
            <w:t xml:space="preserve"> </w:t>
          </w:r>
          <w:r>
            <w:rPr>
              <w:rFonts w:ascii="宋体" w:hAnsi="宋体" w:eastAsia="宋体" w:cs="宋体"/>
              <w:spacing w:val="-2"/>
              <w:sz w:val="21"/>
              <w:szCs w:val="21"/>
            </w:rPr>
            <w:t>组建定标委员会</w:t>
          </w:r>
          <w:r>
            <w:rPr>
              <w:rFonts w:ascii="宋体" w:hAnsi="宋体" w:eastAsia="宋体" w:cs="宋体"/>
              <w:spacing w:val="-28"/>
              <w:sz w:val="21"/>
              <w:szCs w:val="21"/>
            </w:rPr>
            <w:t xml:space="preserve"> </w:t>
          </w:r>
          <w:r>
            <w:rPr>
              <w:rFonts w:ascii="宋体" w:hAnsi="宋体" w:eastAsia="宋体" w:cs="宋体"/>
              <w:sz w:val="21"/>
              <w:szCs w:val="21"/>
            </w:rPr>
            <w:tab/>
          </w:r>
          <w:r>
            <w:rPr>
              <w:rFonts w:ascii="宋体" w:hAnsi="宋体" w:eastAsia="宋体" w:cs="宋体"/>
              <w:spacing w:val="-26"/>
              <w:sz w:val="21"/>
              <w:szCs w:val="21"/>
            </w:rPr>
            <w:t xml:space="preserve"> </w:t>
          </w:r>
          <w:r>
            <w:fldChar w:fldCharType="begin"/>
          </w:r>
          <w:r>
            <w:instrText xml:space="preserve"> HYPERLINK \l "bookmark155" </w:instrText>
          </w:r>
          <w:r>
            <w:fldChar w:fldCharType="separate"/>
          </w:r>
          <w:r>
            <w:rPr>
              <w:rFonts w:ascii="宋体" w:hAnsi="宋体" w:eastAsia="宋体" w:cs="宋体"/>
              <w:spacing w:val="-3"/>
              <w:sz w:val="21"/>
              <w:szCs w:val="21"/>
            </w:rPr>
            <w:t>64</w:t>
          </w:r>
          <w:r>
            <w:rPr>
              <w:rFonts w:ascii="宋体" w:hAnsi="宋体" w:eastAsia="宋体" w:cs="宋体"/>
              <w:spacing w:val="-3"/>
              <w:sz w:val="21"/>
              <w:szCs w:val="21"/>
            </w:rPr>
            <w:fldChar w:fldCharType="end"/>
          </w:r>
        </w:p>
        <w:p w14:paraId="035A23B4">
          <w:pPr>
            <w:tabs>
              <w:tab w:val="right" w:leader="dot" w:pos="8317"/>
            </w:tabs>
            <w:spacing w:before="18" w:line="221" w:lineRule="auto"/>
            <w:ind w:left="861"/>
            <w:rPr>
              <w:rFonts w:ascii="宋体" w:hAnsi="宋体" w:eastAsia="宋体" w:cs="宋体"/>
              <w:sz w:val="21"/>
              <w:szCs w:val="21"/>
            </w:rPr>
          </w:pPr>
          <w:r>
            <w:rPr>
              <w:rFonts w:ascii="宋体" w:hAnsi="宋体" w:eastAsia="宋体" w:cs="宋体"/>
              <w:spacing w:val="-2"/>
              <w:sz w:val="21"/>
              <w:szCs w:val="21"/>
            </w:rPr>
            <w:t>2.2</w:t>
          </w:r>
          <w:r>
            <w:rPr>
              <w:rFonts w:ascii="宋体" w:hAnsi="宋体" w:eastAsia="宋体" w:cs="宋体"/>
              <w:spacing w:val="-39"/>
              <w:sz w:val="21"/>
              <w:szCs w:val="21"/>
            </w:rPr>
            <w:t xml:space="preserve"> </w:t>
          </w:r>
          <w:r>
            <w:rPr>
              <w:rFonts w:ascii="宋体" w:hAnsi="宋体" w:eastAsia="宋体" w:cs="宋体"/>
              <w:spacing w:val="-2"/>
              <w:sz w:val="21"/>
              <w:szCs w:val="21"/>
            </w:rPr>
            <w:t>定标因素及规则</w:t>
          </w:r>
          <w:r>
            <w:rPr>
              <w:rFonts w:ascii="宋体" w:hAnsi="宋体" w:eastAsia="宋体" w:cs="宋体"/>
              <w:spacing w:val="-28"/>
              <w:sz w:val="21"/>
              <w:szCs w:val="21"/>
            </w:rPr>
            <w:t xml:space="preserve"> </w:t>
          </w:r>
          <w:r>
            <w:rPr>
              <w:rFonts w:ascii="宋体" w:hAnsi="宋体" w:eastAsia="宋体" w:cs="宋体"/>
              <w:sz w:val="21"/>
              <w:szCs w:val="21"/>
            </w:rPr>
            <w:tab/>
          </w:r>
          <w:r>
            <w:rPr>
              <w:rFonts w:ascii="宋体" w:hAnsi="宋体" w:eastAsia="宋体" w:cs="宋体"/>
              <w:spacing w:val="-26"/>
              <w:sz w:val="21"/>
              <w:szCs w:val="21"/>
            </w:rPr>
            <w:t xml:space="preserve"> </w:t>
          </w:r>
          <w:r>
            <w:fldChar w:fldCharType="begin"/>
          </w:r>
          <w:r>
            <w:instrText xml:space="preserve"> HYPERLINK \l "bookmark156" </w:instrText>
          </w:r>
          <w:r>
            <w:fldChar w:fldCharType="separate"/>
          </w:r>
          <w:r>
            <w:rPr>
              <w:rFonts w:ascii="宋体" w:hAnsi="宋体" w:eastAsia="宋体" w:cs="宋体"/>
              <w:spacing w:val="-3"/>
              <w:sz w:val="21"/>
              <w:szCs w:val="21"/>
            </w:rPr>
            <w:t>64</w:t>
          </w:r>
          <w:r>
            <w:rPr>
              <w:rFonts w:ascii="宋体" w:hAnsi="宋体" w:eastAsia="宋体" w:cs="宋体"/>
              <w:spacing w:val="-3"/>
              <w:sz w:val="21"/>
              <w:szCs w:val="21"/>
            </w:rPr>
            <w:fldChar w:fldCharType="end"/>
          </w:r>
        </w:p>
        <w:p w14:paraId="19849C3A">
          <w:pPr>
            <w:tabs>
              <w:tab w:val="right" w:leader="dot" w:pos="8317"/>
            </w:tabs>
            <w:spacing w:before="22" w:line="221" w:lineRule="auto"/>
            <w:ind w:left="861"/>
            <w:rPr>
              <w:rFonts w:ascii="宋体" w:hAnsi="宋体" w:eastAsia="宋体" w:cs="宋体"/>
              <w:sz w:val="21"/>
              <w:szCs w:val="21"/>
            </w:rPr>
          </w:pPr>
          <w:r>
            <w:rPr>
              <w:rFonts w:ascii="宋体" w:hAnsi="宋体" w:eastAsia="宋体" w:cs="宋体"/>
              <w:spacing w:val="-3"/>
              <w:sz w:val="21"/>
              <w:szCs w:val="21"/>
            </w:rPr>
            <w:t>2.3</w:t>
          </w:r>
          <w:r>
            <w:rPr>
              <w:rFonts w:ascii="宋体" w:hAnsi="宋体" w:eastAsia="宋体" w:cs="宋体"/>
              <w:spacing w:val="-37"/>
              <w:sz w:val="21"/>
              <w:szCs w:val="21"/>
            </w:rPr>
            <w:t xml:space="preserve"> </w:t>
          </w:r>
          <w:r>
            <w:rPr>
              <w:rFonts w:ascii="宋体" w:hAnsi="宋体" w:eastAsia="宋体" w:cs="宋体"/>
              <w:spacing w:val="-3"/>
              <w:sz w:val="21"/>
              <w:szCs w:val="21"/>
            </w:rPr>
            <w:t>定标办法</w:t>
          </w:r>
          <w:r>
            <w:rPr>
              <w:rFonts w:ascii="宋体" w:hAnsi="宋体" w:eastAsia="宋体" w:cs="宋体"/>
              <w:spacing w:val="-33"/>
              <w:sz w:val="21"/>
              <w:szCs w:val="21"/>
            </w:rPr>
            <w:t xml:space="preserve"> </w:t>
          </w:r>
          <w:r>
            <w:rPr>
              <w:rFonts w:ascii="宋体" w:hAnsi="宋体" w:eastAsia="宋体" w:cs="宋体"/>
              <w:sz w:val="21"/>
              <w:szCs w:val="21"/>
            </w:rPr>
            <w:tab/>
          </w:r>
          <w:r>
            <w:rPr>
              <w:rFonts w:ascii="宋体" w:hAnsi="宋体" w:eastAsia="宋体" w:cs="宋体"/>
              <w:spacing w:val="-26"/>
              <w:sz w:val="21"/>
              <w:szCs w:val="21"/>
            </w:rPr>
            <w:t xml:space="preserve"> </w:t>
          </w:r>
          <w:r>
            <w:fldChar w:fldCharType="begin"/>
          </w:r>
          <w:r>
            <w:instrText xml:space="preserve"> HYPERLINK \l "bookmark157" </w:instrText>
          </w:r>
          <w:r>
            <w:fldChar w:fldCharType="separate"/>
          </w:r>
          <w:r>
            <w:rPr>
              <w:rFonts w:ascii="宋体" w:hAnsi="宋体" w:eastAsia="宋体" w:cs="宋体"/>
              <w:spacing w:val="-3"/>
              <w:sz w:val="21"/>
              <w:szCs w:val="21"/>
            </w:rPr>
            <w:t>64</w:t>
          </w:r>
          <w:r>
            <w:rPr>
              <w:rFonts w:ascii="宋体" w:hAnsi="宋体" w:eastAsia="宋体" w:cs="宋体"/>
              <w:spacing w:val="-3"/>
              <w:sz w:val="21"/>
              <w:szCs w:val="21"/>
            </w:rPr>
            <w:fldChar w:fldCharType="end"/>
          </w:r>
        </w:p>
        <w:p w14:paraId="678E8026">
          <w:pPr>
            <w:tabs>
              <w:tab w:val="right" w:leader="dot" w:pos="8317"/>
            </w:tabs>
            <w:spacing w:before="24" w:line="221" w:lineRule="auto"/>
            <w:ind w:left="445"/>
            <w:rPr>
              <w:rFonts w:ascii="宋体" w:hAnsi="宋体" w:eastAsia="宋体" w:cs="宋体"/>
              <w:sz w:val="21"/>
              <w:szCs w:val="21"/>
            </w:rPr>
          </w:pPr>
          <w:r>
            <w:rPr>
              <w:rFonts w:ascii="宋体" w:hAnsi="宋体" w:eastAsia="宋体" w:cs="宋体"/>
              <w:spacing w:val="-2"/>
              <w:sz w:val="21"/>
              <w:szCs w:val="21"/>
            </w:rPr>
            <w:t>3.重新定标</w:t>
          </w:r>
          <w:r>
            <w:rPr>
              <w:rFonts w:ascii="宋体" w:hAnsi="宋体" w:eastAsia="宋体" w:cs="宋体"/>
              <w:spacing w:val="-87"/>
              <w:sz w:val="21"/>
              <w:szCs w:val="21"/>
            </w:rPr>
            <w:t xml:space="preserve"> </w:t>
          </w:r>
          <w:r>
            <w:rPr>
              <w:rFonts w:ascii="宋体" w:hAnsi="宋体" w:eastAsia="宋体" w:cs="宋体"/>
              <w:sz w:val="21"/>
              <w:szCs w:val="21"/>
            </w:rPr>
            <w:tab/>
          </w:r>
          <w:r>
            <w:rPr>
              <w:rFonts w:ascii="宋体" w:hAnsi="宋体" w:eastAsia="宋体" w:cs="宋体"/>
              <w:spacing w:val="-26"/>
              <w:sz w:val="21"/>
              <w:szCs w:val="21"/>
            </w:rPr>
            <w:t xml:space="preserve"> </w:t>
          </w:r>
          <w:r>
            <w:fldChar w:fldCharType="begin"/>
          </w:r>
          <w:r>
            <w:instrText xml:space="preserve"> HYPERLINK \l "bookmark158" </w:instrText>
          </w:r>
          <w:r>
            <w:fldChar w:fldCharType="separate"/>
          </w:r>
          <w:r>
            <w:rPr>
              <w:rFonts w:ascii="宋体" w:hAnsi="宋体" w:eastAsia="宋体" w:cs="宋体"/>
              <w:spacing w:val="-3"/>
              <w:sz w:val="21"/>
              <w:szCs w:val="21"/>
            </w:rPr>
            <w:t>65</w:t>
          </w:r>
          <w:r>
            <w:rPr>
              <w:rFonts w:ascii="宋体" w:hAnsi="宋体" w:eastAsia="宋体" w:cs="宋体"/>
              <w:spacing w:val="-3"/>
              <w:sz w:val="21"/>
              <w:szCs w:val="21"/>
            </w:rPr>
            <w:fldChar w:fldCharType="end"/>
          </w:r>
        </w:p>
        <w:p w14:paraId="6D1175F5">
          <w:pPr>
            <w:tabs>
              <w:tab w:val="right" w:leader="dot" w:pos="8317"/>
            </w:tabs>
            <w:spacing w:before="21" w:line="222" w:lineRule="auto"/>
            <w:ind w:left="440"/>
            <w:rPr>
              <w:rFonts w:ascii="宋体" w:hAnsi="宋体" w:eastAsia="宋体" w:cs="宋体"/>
              <w:sz w:val="21"/>
              <w:szCs w:val="21"/>
            </w:rPr>
          </w:pPr>
          <w:r>
            <w:rPr>
              <w:rFonts w:ascii="宋体" w:hAnsi="宋体" w:eastAsia="宋体" w:cs="宋体"/>
              <w:spacing w:val="-1"/>
              <w:sz w:val="21"/>
              <w:szCs w:val="21"/>
            </w:rPr>
            <w:t>4.监督</w:t>
          </w:r>
          <w:r>
            <w:rPr>
              <w:rFonts w:ascii="宋体" w:hAnsi="宋体" w:eastAsia="宋体" w:cs="宋体"/>
              <w:spacing w:val="-92"/>
              <w:sz w:val="21"/>
              <w:szCs w:val="21"/>
            </w:rPr>
            <w:t xml:space="preserve"> </w:t>
          </w:r>
          <w:r>
            <w:rPr>
              <w:rFonts w:ascii="宋体" w:hAnsi="宋体" w:eastAsia="宋体" w:cs="宋体"/>
              <w:sz w:val="21"/>
              <w:szCs w:val="21"/>
            </w:rPr>
            <w:tab/>
          </w:r>
          <w:r>
            <w:rPr>
              <w:rFonts w:ascii="宋体" w:hAnsi="宋体" w:eastAsia="宋体" w:cs="宋体"/>
              <w:spacing w:val="-28"/>
              <w:sz w:val="21"/>
              <w:szCs w:val="21"/>
            </w:rPr>
            <w:t xml:space="preserve"> </w:t>
          </w:r>
          <w:r>
            <w:fldChar w:fldCharType="begin"/>
          </w:r>
          <w:r>
            <w:instrText xml:space="preserve"> HYPERLINK \l "bookmark159" </w:instrText>
          </w:r>
          <w:r>
            <w:fldChar w:fldCharType="separate"/>
          </w:r>
          <w:r>
            <w:rPr>
              <w:rFonts w:ascii="宋体" w:hAnsi="宋体" w:eastAsia="宋体" w:cs="宋体"/>
              <w:spacing w:val="-3"/>
              <w:sz w:val="21"/>
              <w:szCs w:val="21"/>
            </w:rPr>
            <w:t>65</w:t>
          </w:r>
          <w:r>
            <w:rPr>
              <w:rFonts w:ascii="宋体" w:hAnsi="宋体" w:eastAsia="宋体" w:cs="宋体"/>
              <w:spacing w:val="-3"/>
              <w:sz w:val="21"/>
              <w:szCs w:val="21"/>
            </w:rPr>
            <w:fldChar w:fldCharType="end"/>
          </w:r>
        </w:p>
        <w:p w14:paraId="4AD05F4D">
          <w:pPr>
            <w:tabs>
              <w:tab w:val="right" w:leader="dot" w:pos="8317"/>
            </w:tabs>
            <w:spacing w:before="17" w:line="219" w:lineRule="auto"/>
            <w:ind w:left="440"/>
            <w:rPr>
              <w:rFonts w:ascii="宋体" w:hAnsi="宋体" w:eastAsia="宋体" w:cs="宋体"/>
              <w:sz w:val="21"/>
              <w:szCs w:val="21"/>
            </w:rPr>
          </w:pPr>
          <w:r>
            <w:rPr>
              <w:rFonts w:ascii="宋体" w:hAnsi="宋体" w:eastAsia="宋体" w:cs="宋体"/>
              <w:spacing w:val="-3"/>
              <w:sz w:val="21"/>
              <w:szCs w:val="21"/>
              <w14:textOutline w14:w="3831" w14:cap="flat" w14:cmpd="sng">
                <w14:solidFill>
                  <w14:srgbClr w14:val="000000"/>
                </w14:solidFill>
                <w14:prstDash w14:val="solid"/>
                <w14:miter w14:val="0"/>
              </w14:textOutline>
            </w:rPr>
            <w:t>评标办法前附表（经评审的最低投标价法）</w:t>
          </w:r>
          <w:r>
            <w:rPr>
              <w:rFonts w:ascii="宋体" w:hAnsi="宋体" w:eastAsia="宋体" w:cs="宋体"/>
              <w:spacing w:val="44"/>
              <w:sz w:val="21"/>
              <w:szCs w:val="21"/>
            </w:rPr>
            <w:t xml:space="preserve"> </w:t>
          </w:r>
          <w:r>
            <w:rPr>
              <w:rFonts w:ascii="宋体" w:hAnsi="宋体" w:eastAsia="宋体" w:cs="宋体"/>
              <w:sz w:val="21"/>
              <w:szCs w:val="21"/>
              <w14:textOutline w14:w="3831" w14:cap="flat" w14:cmpd="sng">
                <w14:solidFill>
                  <w14:srgbClr w14:val="000000"/>
                </w14:solidFill>
                <w14:prstDash w14:val="solid"/>
                <w14:miter w14:val="0"/>
              </w14:textOutline>
            </w:rPr>
            <w:tab/>
          </w:r>
          <w:r>
            <w:rPr>
              <w:rFonts w:ascii="宋体" w:hAnsi="宋体" w:eastAsia="宋体" w:cs="宋体"/>
              <w:spacing w:val="-26"/>
              <w:sz w:val="21"/>
              <w:szCs w:val="21"/>
            </w:rPr>
            <w:t xml:space="preserve"> </w:t>
          </w:r>
          <w:r>
            <w:fldChar w:fldCharType="begin"/>
          </w:r>
          <w:r>
            <w:instrText xml:space="preserve"> HYPERLINK \l "bookmark160" </w:instrText>
          </w:r>
          <w:r>
            <w:fldChar w:fldCharType="separate"/>
          </w:r>
          <w:r>
            <w:rPr>
              <w:rFonts w:ascii="宋体" w:hAnsi="宋体" w:eastAsia="宋体" w:cs="宋体"/>
              <w:spacing w:val="-3"/>
              <w:sz w:val="21"/>
              <w:szCs w:val="21"/>
              <w14:textOutline w14:w="3831" w14:cap="flat" w14:cmpd="sng">
                <w14:solidFill>
                  <w14:srgbClr w14:val="000000"/>
                </w14:solidFill>
                <w14:prstDash w14:val="solid"/>
                <w14:miter w14:val="0"/>
              </w14:textOutline>
            </w:rPr>
            <w:t>66</w:t>
          </w:r>
          <w:r>
            <w:rPr>
              <w:rFonts w:ascii="宋体" w:hAnsi="宋体" w:eastAsia="宋体" w:cs="宋体"/>
              <w:spacing w:val="-3"/>
              <w:sz w:val="21"/>
              <w:szCs w:val="21"/>
              <w14:textOutline w14:w="3831" w14:cap="flat" w14:cmpd="sng">
                <w14:solidFill>
                  <w14:srgbClr w14:val="000000"/>
                </w14:solidFill>
                <w14:prstDash w14:val="solid"/>
                <w14:miter w14:val="0"/>
              </w14:textOutline>
            </w:rPr>
            <w:fldChar w:fldCharType="end"/>
          </w:r>
        </w:p>
        <w:p w14:paraId="001FBE6F">
          <w:pPr>
            <w:tabs>
              <w:tab w:val="right" w:leader="dot" w:pos="8317"/>
            </w:tabs>
            <w:spacing w:before="24" w:line="221" w:lineRule="auto"/>
            <w:ind w:left="440"/>
            <w:rPr>
              <w:rFonts w:ascii="宋体" w:hAnsi="宋体" w:eastAsia="宋体" w:cs="宋体"/>
              <w:sz w:val="21"/>
              <w:szCs w:val="21"/>
            </w:rPr>
          </w:pPr>
          <w:r>
            <w:rPr>
              <w:rFonts w:ascii="宋体" w:hAnsi="宋体" w:eastAsia="宋体" w:cs="宋体"/>
              <w:spacing w:val="-1"/>
              <w:sz w:val="21"/>
              <w:szCs w:val="21"/>
            </w:rPr>
            <w:t>评标办法正文部分</w:t>
          </w:r>
          <w:r>
            <w:rPr>
              <w:rFonts w:ascii="宋体" w:hAnsi="宋体" w:eastAsia="宋体" w:cs="宋体"/>
              <w:spacing w:val="-82"/>
              <w:sz w:val="21"/>
              <w:szCs w:val="21"/>
            </w:rPr>
            <w:t xml:space="preserve"> </w:t>
          </w:r>
          <w:r>
            <w:rPr>
              <w:rFonts w:ascii="宋体" w:hAnsi="宋体" w:eastAsia="宋体" w:cs="宋体"/>
              <w:sz w:val="21"/>
              <w:szCs w:val="21"/>
            </w:rPr>
            <w:tab/>
          </w:r>
          <w:r>
            <w:rPr>
              <w:rFonts w:ascii="宋体" w:hAnsi="宋体" w:eastAsia="宋体" w:cs="宋体"/>
              <w:spacing w:val="-26"/>
              <w:sz w:val="21"/>
              <w:szCs w:val="21"/>
            </w:rPr>
            <w:t xml:space="preserve"> </w:t>
          </w:r>
          <w:r>
            <w:fldChar w:fldCharType="begin"/>
          </w:r>
          <w:r>
            <w:instrText xml:space="preserve"> HYPERLINK \l "bookmark161" </w:instrText>
          </w:r>
          <w:r>
            <w:fldChar w:fldCharType="separate"/>
          </w:r>
          <w:r>
            <w:rPr>
              <w:rFonts w:ascii="宋体" w:hAnsi="宋体" w:eastAsia="宋体" w:cs="宋体"/>
              <w:spacing w:val="-3"/>
              <w:sz w:val="21"/>
              <w:szCs w:val="21"/>
            </w:rPr>
            <w:t>69</w:t>
          </w:r>
          <w:r>
            <w:rPr>
              <w:rFonts w:ascii="宋体" w:hAnsi="宋体" w:eastAsia="宋体" w:cs="宋体"/>
              <w:spacing w:val="-3"/>
              <w:sz w:val="21"/>
              <w:szCs w:val="21"/>
            </w:rPr>
            <w:fldChar w:fldCharType="end"/>
          </w:r>
        </w:p>
        <w:p w14:paraId="4F2AF6A2">
          <w:pPr>
            <w:tabs>
              <w:tab w:val="right" w:leader="dot" w:pos="8317"/>
            </w:tabs>
            <w:spacing w:before="23" w:line="221" w:lineRule="auto"/>
            <w:ind w:left="456"/>
            <w:rPr>
              <w:rFonts w:ascii="宋体" w:hAnsi="宋体" w:eastAsia="宋体" w:cs="宋体"/>
              <w:sz w:val="21"/>
              <w:szCs w:val="21"/>
            </w:rPr>
          </w:pPr>
          <w:r>
            <w:rPr>
              <w:rFonts w:ascii="宋体" w:hAnsi="宋体" w:eastAsia="宋体" w:cs="宋体"/>
              <w:spacing w:val="-3"/>
              <w:sz w:val="21"/>
              <w:szCs w:val="21"/>
            </w:rPr>
            <w:t>1.评标方法</w:t>
          </w:r>
          <w:r>
            <w:rPr>
              <w:rFonts w:ascii="宋体" w:hAnsi="宋体" w:eastAsia="宋体" w:cs="宋体"/>
              <w:spacing w:val="-91"/>
              <w:sz w:val="21"/>
              <w:szCs w:val="21"/>
            </w:rPr>
            <w:t xml:space="preserve"> </w:t>
          </w:r>
          <w:r>
            <w:rPr>
              <w:rFonts w:ascii="宋体" w:hAnsi="宋体" w:eastAsia="宋体" w:cs="宋体"/>
              <w:sz w:val="21"/>
              <w:szCs w:val="21"/>
            </w:rPr>
            <w:tab/>
          </w:r>
          <w:r>
            <w:rPr>
              <w:rFonts w:ascii="宋体" w:hAnsi="宋体" w:eastAsia="宋体" w:cs="宋体"/>
              <w:spacing w:val="-26"/>
              <w:sz w:val="21"/>
              <w:szCs w:val="21"/>
            </w:rPr>
            <w:t xml:space="preserve"> </w:t>
          </w:r>
          <w:r>
            <w:fldChar w:fldCharType="begin"/>
          </w:r>
          <w:r>
            <w:instrText xml:space="preserve"> HYPERLINK \l "bookmark162" </w:instrText>
          </w:r>
          <w:r>
            <w:fldChar w:fldCharType="separate"/>
          </w:r>
          <w:r>
            <w:rPr>
              <w:rFonts w:ascii="宋体" w:hAnsi="宋体" w:eastAsia="宋体" w:cs="宋体"/>
              <w:spacing w:val="-3"/>
              <w:sz w:val="21"/>
              <w:szCs w:val="21"/>
            </w:rPr>
            <w:t>69</w:t>
          </w:r>
          <w:r>
            <w:rPr>
              <w:rFonts w:ascii="宋体" w:hAnsi="宋体" w:eastAsia="宋体" w:cs="宋体"/>
              <w:spacing w:val="-3"/>
              <w:sz w:val="21"/>
              <w:szCs w:val="21"/>
            </w:rPr>
            <w:fldChar w:fldCharType="end"/>
          </w:r>
        </w:p>
        <w:p w14:paraId="53A975AA">
          <w:pPr>
            <w:tabs>
              <w:tab w:val="right" w:leader="dot" w:pos="8317"/>
            </w:tabs>
            <w:spacing w:before="22" w:line="221" w:lineRule="auto"/>
            <w:ind w:left="443"/>
            <w:rPr>
              <w:rFonts w:ascii="宋体" w:hAnsi="宋体" w:eastAsia="宋体" w:cs="宋体"/>
              <w:sz w:val="21"/>
              <w:szCs w:val="21"/>
            </w:rPr>
          </w:pPr>
          <w:r>
            <w:rPr>
              <w:rFonts w:ascii="宋体" w:hAnsi="宋体" w:eastAsia="宋体" w:cs="宋体"/>
              <w:spacing w:val="-1"/>
              <w:sz w:val="21"/>
              <w:szCs w:val="21"/>
            </w:rPr>
            <w:t>2.评审标准</w:t>
          </w:r>
          <w:r>
            <w:rPr>
              <w:rFonts w:ascii="宋体" w:hAnsi="宋体" w:eastAsia="宋体" w:cs="宋体"/>
              <w:spacing w:val="-91"/>
              <w:sz w:val="21"/>
              <w:szCs w:val="21"/>
            </w:rPr>
            <w:t xml:space="preserve"> </w:t>
          </w:r>
          <w:r>
            <w:rPr>
              <w:rFonts w:ascii="宋体" w:hAnsi="宋体" w:eastAsia="宋体" w:cs="宋体"/>
              <w:sz w:val="21"/>
              <w:szCs w:val="21"/>
            </w:rPr>
            <w:tab/>
          </w:r>
          <w:r>
            <w:rPr>
              <w:rFonts w:ascii="宋体" w:hAnsi="宋体" w:eastAsia="宋体" w:cs="宋体"/>
              <w:spacing w:val="-26"/>
              <w:sz w:val="21"/>
              <w:szCs w:val="21"/>
            </w:rPr>
            <w:t xml:space="preserve"> </w:t>
          </w:r>
          <w:r>
            <w:fldChar w:fldCharType="begin"/>
          </w:r>
          <w:r>
            <w:instrText xml:space="preserve"> HYPERLINK \l "bookmark163" </w:instrText>
          </w:r>
          <w:r>
            <w:fldChar w:fldCharType="separate"/>
          </w:r>
          <w:r>
            <w:rPr>
              <w:rFonts w:ascii="宋体" w:hAnsi="宋体" w:eastAsia="宋体" w:cs="宋体"/>
              <w:spacing w:val="-3"/>
              <w:sz w:val="21"/>
              <w:szCs w:val="21"/>
            </w:rPr>
            <w:t>69</w:t>
          </w:r>
          <w:r>
            <w:rPr>
              <w:rFonts w:ascii="宋体" w:hAnsi="宋体" w:eastAsia="宋体" w:cs="宋体"/>
              <w:spacing w:val="-3"/>
              <w:sz w:val="21"/>
              <w:szCs w:val="21"/>
            </w:rPr>
            <w:fldChar w:fldCharType="end"/>
          </w:r>
        </w:p>
        <w:p w14:paraId="599FDAF5">
          <w:pPr>
            <w:tabs>
              <w:tab w:val="right" w:leader="dot" w:pos="8317"/>
            </w:tabs>
            <w:spacing w:before="17" w:line="221" w:lineRule="auto"/>
            <w:ind w:left="861"/>
            <w:rPr>
              <w:rFonts w:ascii="宋体" w:hAnsi="宋体" w:eastAsia="宋体" w:cs="宋体"/>
              <w:sz w:val="21"/>
              <w:szCs w:val="21"/>
            </w:rPr>
          </w:pPr>
          <w:r>
            <w:rPr>
              <w:rFonts w:ascii="宋体" w:hAnsi="宋体" w:eastAsia="宋体" w:cs="宋体"/>
              <w:spacing w:val="-2"/>
              <w:sz w:val="21"/>
              <w:szCs w:val="21"/>
            </w:rPr>
            <w:t>2.1</w:t>
          </w:r>
          <w:r>
            <w:rPr>
              <w:rFonts w:ascii="宋体" w:hAnsi="宋体" w:eastAsia="宋体" w:cs="宋体"/>
              <w:spacing w:val="-42"/>
              <w:sz w:val="21"/>
              <w:szCs w:val="21"/>
            </w:rPr>
            <w:t xml:space="preserve"> </w:t>
          </w:r>
          <w:r>
            <w:rPr>
              <w:rFonts w:ascii="宋体" w:hAnsi="宋体" w:eastAsia="宋体" w:cs="宋体"/>
              <w:spacing w:val="-2"/>
              <w:sz w:val="21"/>
              <w:szCs w:val="21"/>
            </w:rPr>
            <w:t>初步评审标准</w:t>
          </w:r>
          <w:r>
            <w:rPr>
              <w:rFonts w:ascii="宋体" w:hAnsi="宋体" w:eastAsia="宋体" w:cs="宋体"/>
              <w:spacing w:val="-28"/>
              <w:sz w:val="21"/>
              <w:szCs w:val="21"/>
            </w:rPr>
            <w:t xml:space="preserve"> </w:t>
          </w:r>
          <w:r>
            <w:rPr>
              <w:rFonts w:ascii="宋体" w:hAnsi="宋体" w:eastAsia="宋体" w:cs="宋体"/>
              <w:sz w:val="21"/>
              <w:szCs w:val="21"/>
            </w:rPr>
            <w:tab/>
          </w:r>
          <w:r>
            <w:rPr>
              <w:rFonts w:ascii="宋体" w:hAnsi="宋体" w:eastAsia="宋体" w:cs="宋体"/>
              <w:spacing w:val="-26"/>
              <w:sz w:val="21"/>
              <w:szCs w:val="21"/>
            </w:rPr>
            <w:t xml:space="preserve"> </w:t>
          </w:r>
          <w:r>
            <w:fldChar w:fldCharType="begin"/>
          </w:r>
          <w:r>
            <w:instrText xml:space="preserve"> HYPERLINK \l "bookmark164" </w:instrText>
          </w:r>
          <w:r>
            <w:fldChar w:fldCharType="separate"/>
          </w:r>
          <w:r>
            <w:rPr>
              <w:rFonts w:ascii="宋体" w:hAnsi="宋体" w:eastAsia="宋体" w:cs="宋体"/>
              <w:spacing w:val="-3"/>
              <w:sz w:val="21"/>
              <w:szCs w:val="21"/>
            </w:rPr>
            <w:t>69</w:t>
          </w:r>
          <w:r>
            <w:rPr>
              <w:rFonts w:ascii="宋体" w:hAnsi="宋体" w:eastAsia="宋体" w:cs="宋体"/>
              <w:spacing w:val="-3"/>
              <w:sz w:val="21"/>
              <w:szCs w:val="21"/>
            </w:rPr>
            <w:fldChar w:fldCharType="end"/>
          </w:r>
        </w:p>
        <w:p w14:paraId="637539BF">
          <w:pPr>
            <w:tabs>
              <w:tab w:val="right" w:leader="dot" w:pos="8317"/>
            </w:tabs>
            <w:spacing w:before="23" w:line="221" w:lineRule="auto"/>
            <w:ind w:left="861"/>
            <w:rPr>
              <w:rFonts w:ascii="宋体" w:hAnsi="宋体" w:eastAsia="宋体" w:cs="宋体"/>
              <w:sz w:val="21"/>
              <w:szCs w:val="21"/>
            </w:rPr>
          </w:pPr>
          <w:r>
            <w:rPr>
              <w:rFonts w:ascii="宋体" w:hAnsi="宋体" w:eastAsia="宋体" w:cs="宋体"/>
              <w:spacing w:val="-1"/>
              <w:sz w:val="21"/>
              <w:szCs w:val="21"/>
            </w:rPr>
            <w:t>2.2 详细评审标准</w:t>
          </w:r>
          <w:r>
            <w:rPr>
              <w:rFonts w:ascii="宋体" w:hAnsi="宋体" w:eastAsia="宋体" w:cs="宋体"/>
              <w:spacing w:val="-78"/>
              <w:sz w:val="21"/>
              <w:szCs w:val="21"/>
            </w:rPr>
            <w:t xml:space="preserve"> </w:t>
          </w:r>
          <w:r>
            <w:rPr>
              <w:rFonts w:ascii="宋体" w:hAnsi="宋体" w:eastAsia="宋体" w:cs="宋体"/>
              <w:sz w:val="21"/>
              <w:szCs w:val="21"/>
            </w:rPr>
            <w:tab/>
          </w:r>
          <w:r>
            <w:rPr>
              <w:rFonts w:ascii="宋体" w:hAnsi="宋体" w:eastAsia="宋体" w:cs="宋体"/>
              <w:spacing w:val="-26"/>
              <w:sz w:val="21"/>
              <w:szCs w:val="21"/>
            </w:rPr>
            <w:t xml:space="preserve"> </w:t>
          </w:r>
          <w:r>
            <w:fldChar w:fldCharType="begin"/>
          </w:r>
          <w:r>
            <w:instrText xml:space="preserve"> HYPERLINK \l "bookmark165" </w:instrText>
          </w:r>
          <w:r>
            <w:fldChar w:fldCharType="separate"/>
          </w:r>
          <w:r>
            <w:rPr>
              <w:rFonts w:ascii="宋体" w:hAnsi="宋体" w:eastAsia="宋体" w:cs="宋体"/>
              <w:spacing w:val="-3"/>
              <w:sz w:val="21"/>
              <w:szCs w:val="21"/>
            </w:rPr>
            <w:t>69</w:t>
          </w:r>
          <w:r>
            <w:rPr>
              <w:rFonts w:ascii="宋体" w:hAnsi="宋体" w:eastAsia="宋体" w:cs="宋体"/>
              <w:spacing w:val="-3"/>
              <w:sz w:val="21"/>
              <w:szCs w:val="21"/>
            </w:rPr>
            <w:fldChar w:fldCharType="end"/>
          </w:r>
        </w:p>
        <w:p w14:paraId="3DE498AD">
          <w:pPr>
            <w:tabs>
              <w:tab w:val="right" w:leader="dot" w:pos="8317"/>
            </w:tabs>
            <w:spacing w:before="22" w:line="221" w:lineRule="auto"/>
            <w:ind w:left="445"/>
            <w:rPr>
              <w:rFonts w:ascii="宋体" w:hAnsi="宋体" w:eastAsia="宋体" w:cs="宋体"/>
              <w:sz w:val="21"/>
              <w:szCs w:val="21"/>
            </w:rPr>
          </w:pPr>
          <w:r>
            <w:rPr>
              <w:rFonts w:ascii="宋体" w:hAnsi="宋体" w:eastAsia="宋体" w:cs="宋体"/>
              <w:spacing w:val="-2"/>
              <w:sz w:val="21"/>
              <w:szCs w:val="21"/>
            </w:rPr>
            <w:t>3.评标程序</w:t>
          </w:r>
          <w:r>
            <w:rPr>
              <w:rFonts w:ascii="宋体" w:hAnsi="宋体" w:eastAsia="宋体" w:cs="宋体"/>
              <w:spacing w:val="-87"/>
              <w:sz w:val="21"/>
              <w:szCs w:val="21"/>
            </w:rPr>
            <w:t xml:space="preserve"> </w:t>
          </w:r>
          <w:r>
            <w:rPr>
              <w:rFonts w:ascii="宋体" w:hAnsi="宋体" w:eastAsia="宋体" w:cs="宋体"/>
              <w:sz w:val="21"/>
              <w:szCs w:val="21"/>
            </w:rPr>
            <w:tab/>
          </w:r>
          <w:r>
            <w:rPr>
              <w:rFonts w:ascii="宋体" w:hAnsi="宋体" w:eastAsia="宋体" w:cs="宋体"/>
              <w:spacing w:val="-26"/>
              <w:sz w:val="21"/>
              <w:szCs w:val="21"/>
            </w:rPr>
            <w:t xml:space="preserve"> </w:t>
          </w:r>
          <w:r>
            <w:fldChar w:fldCharType="begin"/>
          </w:r>
          <w:r>
            <w:instrText xml:space="preserve"> HYPERLINK \l "bookmark166" </w:instrText>
          </w:r>
          <w:r>
            <w:fldChar w:fldCharType="separate"/>
          </w:r>
          <w:r>
            <w:rPr>
              <w:rFonts w:ascii="宋体" w:hAnsi="宋体" w:eastAsia="宋体" w:cs="宋体"/>
              <w:spacing w:val="-3"/>
              <w:sz w:val="21"/>
              <w:szCs w:val="21"/>
            </w:rPr>
            <w:t>69</w:t>
          </w:r>
          <w:r>
            <w:rPr>
              <w:rFonts w:ascii="宋体" w:hAnsi="宋体" w:eastAsia="宋体" w:cs="宋体"/>
              <w:spacing w:val="-3"/>
              <w:sz w:val="21"/>
              <w:szCs w:val="21"/>
            </w:rPr>
            <w:fldChar w:fldCharType="end"/>
          </w:r>
        </w:p>
        <w:p w14:paraId="4B49CF63">
          <w:pPr>
            <w:tabs>
              <w:tab w:val="right" w:leader="dot" w:pos="8317"/>
            </w:tabs>
            <w:spacing w:before="22" w:line="221" w:lineRule="auto"/>
            <w:ind w:left="863"/>
            <w:rPr>
              <w:rFonts w:ascii="宋体" w:hAnsi="宋体" w:eastAsia="宋体" w:cs="宋体"/>
              <w:sz w:val="21"/>
              <w:szCs w:val="21"/>
            </w:rPr>
          </w:pPr>
          <w:r>
            <w:rPr>
              <w:rFonts w:ascii="宋体" w:hAnsi="宋体" w:eastAsia="宋体" w:cs="宋体"/>
              <w:spacing w:val="-2"/>
              <w:sz w:val="21"/>
              <w:szCs w:val="21"/>
            </w:rPr>
            <w:t>3.1</w:t>
          </w:r>
          <w:r>
            <w:rPr>
              <w:rFonts w:ascii="宋体" w:hAnsi="宋体" w:eastAsia="宋体" w:cs="宋体"/>
              <w:spacing w:val="-45"/>
              <w:sz w:val="21"/>
              <w:szCs w:val="21"/>
            </w:rPr>
            <w:t xml:space="preserve"> </w:t>
          </w:r>
          <w:r>
            <w:rPr>
              <w:rFonts w:ascii="宋体" w:hAnsi="宋体" w:eastAsia="宋体" w:cs="宋体"/>
              <w:spacing w:val="-2"/>
              <w:sz w:val="21"/>
              <w:szCs w:val="21"/>
            </w:rPr>
            <w:t>初步评审</w:t>
          </w:r>
          <w:r>
            <w:rPr>
              <w:rFonts w:ascii="宋体" w:hAnsi="宋体" w:eastAsia="宋体" w:cs="宋体"/>
              <w:spacing w:val="-34"/>
              <w:sz w:val="21"/>
              <w:szCs w:val="21"/>
            </w:rPr>
            <w:t xml:space="preserve"> </w:t>
          </w:r>
          <w:r>
            <w:rPr>
              <w:rFonts w:ascii="宋体" w:hAnsi="宋体" w:eastAsia="宋体" w:cs="宋体"/>
              <w:sz w:val="21"/>
              <w:szCs w:val="21"/>
            </w:rPr>
            <w:tab/>
          </w:r>
          <w:r>
            <w:rPr>
              <w:rFonts w:ascii="宋体" w:hAnsi="宋体" w:eastAsia="宋体" w:cs="宋体"/>
              <w:spacing w:val="-26"/>
              <w:sz w:val="21"/>
              <w:szCs w:val="21"/>
            </w:rPr>
            <w:t xml:space="preserve"> </w:t>
          </w:r>
          <w:r>
            <w:fldChar w:fldCharType="begin"/>
          </w:r>
          <w:r>
            <w:instrText xml:space="preserve"> HYPERLINK \l "bookmark167" </w:instrText>
          </w:r>
          <w:r>
            <w:fldChar w:fldCharType="separate"/>
          </w:r>
          <w:r>
            <w:rPr>
              <w:rFonts w:ascii="宋体" w:hAnsi="宋体" w:eastAsia="宋体" w:cs="宋体"/>
              <w:spacing w:val="-3"/>
              <w:sz w:val="21"/>
              <w:szCs w:val="21"/>
            </w:rPr>
            <w:t>69</w:t>
          </w:r>
          <w:r>
            <w:rPr>
              <w:rFonts w:ascii="宋体" w:hAnsi="宋体" w:eastAsia="宋体" w:cs="宋体"/>
              <w:spacing w:val="-3"/>
              <w:sz w:val="21"/>
              <w:szCs w:val="21"/>
            </w:rPr>
            <w:fldChar w:fldCharType="end"/>
          </w:r>
        </w:p>
        <w:p w14:paraId="75C71499">
          <w:pPr>
            <w:tabs>
              <w:tab w:val="right" w:leader="dot" w:pos="8317"/>
            </w:tabs>
            <w:spacing w:before="18" w:line="221" w:lineRule="auto"/>
            <w:ind w:left="863"/>
            <w:rPr>
              <w:rFonts w:ascii="宋体" w:hAnsi="宋体" w:eastAsia="宋体" w:cs="宋体"/>
              <w:sz w:val="21"/>
              <w:szCs w:val="21"/>
            </w:rPr>
          </w:pPr>
          <w:r>
            <w:rPr>
              <w:rFonts w:ascii="宋体" w:hAnsi="宋体" w:eastAsia="宋体" w:cs="宋体"/>
              <w:spacing w:val="-3"/>
              <w:sz w:val="21"/>
              <w:szCs w:val="21"/>
            </w:rPr>
            <w:t>3.2</w:t>
          </w:r>
          <w:r>
            <w:rPr>
              <w:rFonts w:ascii="宋体" w:hAnsi="宋体" w:eastAsia="宋体" w:cs="宋体"/>
              <w:spacing w:val="-39"/>
              <w:sz w:val="21"/>
              <w:szCs w:val="21"/>
            </w:rPr>
            <w:t xml:space="preserve"> </w:t>
          </w:r>
          <w:r>
            <w:rPr>
              <w:rFonts w:ascii="宋体" w:hAnsi="宋体" w:eastAsia="宋体" w:cs="宋体"/>
              <w:spacing w:val="-3"/>
              <w:sz w:val="21"/>
              <w:szCs w:val="21"/>
            </w:rPr>
            <w:t>详细评审</w:t>
          </w:r>
          <w:r>
            <w:rPr>
              <w:rFonts w:ascii="宋体" w:hAnsi="宋体" w:eastAsia="宋体" w:cs="宋体"/>
              <w:spacing w:val="-33"/>
              <w:sz w:val="21"/>
              <w:szCs w:val="21"/>
            </w:rPr>
            <w:t xml:space="preserve"> </w:t>
          </w:r>
          <w:r>
            <w:rPr>
              <w:rFonts w:ascii="宋体" w:hAnsi="宋体" w:eastAsia="宋体" w:cs="宋体"/>
              <w:sz w:val="21"/>
              <w:szCs w:val="21"/>
            </w:rPr>
            <w:tab/>
          </w:r>
          <w:r>
            <w:rPr>
              <w:rFonts w:ascii="宋体" w:hAnsi="宋体" w:eastAsia="宋体" w:cs="宋体"/>
              <w:spacing w:val="-22"/>
              <w:sz w:val="21"/>
              <w:szCs w:val="21"/>
            </w:rPr>
            <w:t xml:space="preserve"> </w:t>
          </w:r>
          <w:r>
            <w:fldChar w:fldCharType="begin"/>
          </w:r>
          <w:r>
            <w:instrText xml:space="preserve"> HYPERLINK \l "bookmark168" </w:instrText>
          </w:r>
          <w:r>
            <w:fldChar w:fldCharType="separate"/>
          </w:r>
          <w:r>
            <w:rPr>
              <w:rFonts w:ascii="宋体" w:hAnsi="宋体" w:eastAsia="宋体" w:cs="宋体"/>
              <w:spacing w:val="-4"/>
              <w:sz w:val="21"/>
              <w:szCs w:val="21"/>
            </w:rPr>
            <w:t>70</w:t>
          </w:r>
          <w:r>
            <w:rPr>
              <w:rFonts w:ascii="宋体" w:hAnsi="宋体" w:eastAsia="宋体" w:cs="宋体"/>
              <w:spacing w:val="-4"/>
              <w:sz w:val="21"/>
              <w:szCs w:val="21"/>
            </w:rPr>
            <w:fldChar w:fldCharType="end"/>
          </w:r>
        </w:p>
        <w:p w14:paraId="24638FA4">
          <w:pPr>
            <w:tabs>
              <w:tab w:val="right" w:leader="dot" w:pos="8317"/>
            </w:tabs>
            <w:spacing w:before="21" w:line="221" w:lineRule="auto"/>
            <w:ind w:left="863"/>
            <w:rPr>
              <w:rFonts w:ascii="宋体" w:hAnsi="宋体" w:eastAsia="宋体" w:cs="宋体"/>
              <w:sz w:val="21"/>
              <w:szCs w:val="21"/>
            </w:rPr>
          </w:pPr>
          <w:r>
            <w:rPr>
              <w:rFonts w:ascii="宋体" w:hAnsi="宋体" w:eastAsia="宋体" w:cs="宋体"/>
              <w:spacing w:val="-2"/>
              <w:sz w:val="21"/>
              <w:szCs w:val="21"/>
            </w:rPr>
            <w:t>3.3</w:t>
          </w:r>
          <w:r>
            <w:rPr>
              <w:rFonts w:ascii="宋体" w:hAnsi="宋体" w:eastAsia="宋体" w:cs="宋体"/>
              <w:spacing w:val="-36"/>
              <w:sz w:val="21"/>
              <w:szCs w:val="21"/>
            </w:rPr>
            <w:t xml:space="preserve"> </w:t>
          </w:r>
          <w:r>
            <w:rPr>
              <w:rFonts w:ascii="宋体" w:hAnsi="宋体" w:eastAsia="宋体" w:cs="宋体"/>
              <w:spacing w:val="-2"/>
              <w:sz w:val="21"/>
              <w:szCs w:val="21"/>
            </w:rPr>
            <w:t>投标文件的澄清和补正</w:t>
          </w:r>
          <w:r>
            <w:rPr>
              <w:rFonts w:ascii="宋体" w:hAnsi="宋体" w:eastAsia="宋体" w:cs="宋体"/>
              <w:spacing w:val="-23"/>
              <w:sz w:val="21"/>
              <w:szCs w:val="21"/>
            </w:rPr>
            <w:t xml:space="preserve"> </w:t>
          </w:r>
          <w:r>
            <w:rPr>
              <w:rFonts w:ascii="宋体" w:hAnsi="宋体" w:eastAsia="宋体" w:cs="宋体"/>
              <w:sz w:val="21"/>
              <w:szCs w:val="21"/>
            </w:rPr>
            <w:tab/>
          </w:r>
          <w:r>
            <w:rPr>
              <w:rFonts w:ascii="宋体" w:hAnsi="宋体" w:eastAsia="宋体" w:cs="宋体"/>
              <w:spacing w:val="-23"/>
              <w:sz w:val="21"/>
              <w:szCs w:val="21"/>
            </w:rPr>
            <w:t xml:space="preserve"> </w:t>
          </w:r>
          <w:r>
            <w:fldChar w:fldCharType="begin"/>
          </w:r>
          <w:r>
            <w:instrText xml:space="preserve"> HYPERLINK \l "bookmark169" </w:instrText>
          </w:r>
          <w:r>
            <w:fldChar w:fldCharType="separate"/>
          </w:r>
          <w:r>
            <w:rPr>
              <w:rFonts w:ascii="宋体" w:hAnsi="宋体" w:eastAsia="宋体" w:cs="宋体"/>
              <w:spacing w:val="-4"/>
              <w:sz w:val="21"/>
              <w:szCs w:val="21"/>
            </w:rPr>
            <w:t>70</w:t>
          </w:r>
          <w:r>
            <w:rPr>
              <w:rFonts w:ascii="宋体" w:hAnsi="宋体" w:eastAsia="宋体" w:cs="宋体"/>
              <w:spacing w:val="-4"/>
              <w:sz w:val="21"/>
              <w:szCs w:val="21"/>
            </w:rPr>
            <w:fldChar w:fldCharType="end"/>
          </w:r>
        </w:p>
        <w:p w14:paraId="7C9C42A5">
          <w:pPr>
            <w:tabs>
              <w:tab w:val="right" w:leader="dot" w:pos="8317"/>
            </w:tabs>
            <w:spacing w:before="23" w:line="221" w:lineRule="auto"/>
            <w:ind w:left="863"/>
            <w:rPr>
              <w:rFonts w:ascii="宋体" w:hAnsi="宋体" w:eastAsia="宋体" w:cs="宋体"/>
              <w:sz w:val="21"/>
              <w:szCs w:val="21"/>
            </w:rPr>
          </w:pPr>
          <w:r>
            <w:rPr>
              <w:rFonts w:ascii="宋体" w:hAnsi="宋体" w:eastAsia="宋体" w:cs="宋体"/>
              <w:spacing w:val="-2"/>
              <w:sz w:val="21"/>
              <w:szCs w:val="21"/>
            </w:rPr>
            <w:t>3.4</w:t>
          </w:r>
          <w:r>
            <w:rPr>
              <w:rFonts w:ascii="宋体" w:hAnsi="宋体" w:eastAsia="宋体" w:cs="宋体"/>
              <w:spacing w:val="-45"/>
              <w:sz w:val="21"/>
              <w:szCs w:val="21"/>
            </w:rPr>
            <w:t xml:space="preserve"> </w:t>
          </w:r>
          <w:r>
            <w:rPr>
              <w:rFonts w:ascii="宋体" w:hAnsi="宋体" w:eastAsia="宋体" w:cs="宋体"/>
              <w:spacing w:val="-2"/>
              <w:sz w:val="21"/>
              <w:szCs w:val="21"/>
            </w:rPr>
            <w:t>评标结果</w:t>
          </w:r>
          <w:r>
            <w:rPr>
              <w:rFonts w:ascii="宋体" w:hAnsi="宋体" w:eastAsia="宋体" w:cs="宋体"/>
              <w:spacing w:val="-34"/>
              <w:sz w:val="21"/>
              <w:szCs w:val="21"/>
            </w:rPr>
            <w:t xml:space="preserve"> </w:t>
          </w:r>
          <w:r>
            <w:rPr>
              <w:rFonts w:ascii="宋体" w:hAnsi="宋体" w:eastAsia="宋体" w:cs="宋体"/>
              <w:sz w:val="21"/>
              <w:szCs w:val="21"/>
            </w:rPr>
            <w:tab/>
          </w:r>
          <w:r>
            <w:rPr>
              <w:rFonts w:ascii="宋体" w:hAnsi="宋体" w:eastAsia="宋体" w:cs="宋体"/>
              <w:spacing w:val="-22"/>
              <w:sz w:val="21"/>
              <w:szCs w:val="21"/>
            </w:rPr>
            <w:t xml:space="preserve"> </w:t>
          </w:r>
          <w:r>
            <w:fldChar w:fldCharType="begin"/>
          </w:r>
          <w:r>
            <w:instrText xml:space="preserve"> HYPERLINK \l "bookmark170" </w:instrText>
          </w:r>
          <w:r>
            <w:fldChar w:fldCharType="separate"/>
          </w:r>
          <w:r>
            <w:rPr>
              <w:rFonts w:ascii="宋体" w:hAnsi="宋体" w:eastAsia="宋体" w:cs="宋体"/>
              <w:spacing w:val="-4"/>
              <w:sz w:val="21"/>
              <w:szCs w:val="21"/>
            </w:rPr>
            <w:t>70</w:t>
          </w:r>
          <w:r>
            <w:rPr>
              <w:rFonts w:ascii="宋体" w:hAnsi="宋体" w:eastAsia="宋体" w:cs="宋体"/>
              <w:spacing w:val="-4"/>
              <w:sz w:val="21"/>
              <w:szCs w:val="21"/>
            </w:rPr>
            <w:fldChar w:fldCharType="end"/>
          </w:r>
        </w:p>
        <w:p w14:paraId="56DDC830">
          <w:pPr>
            <w:tabs>
              <w:tab w:val="right" w:leader="dot" w:pos="8317"/>
            </w:tabs>
            <w:spacing w:before="18" w:line="220" w:lineRule="auto"/>
            <w:ind w:left="457"/>
            <w:rPr>
              <w:rFonts w:ascii="宋体" w:hAnsi="宋体" w:eastAsia="宋体" w:cs="宋体"/>
              <w:sz w:val="21"/>
              <w:szCs w:val="21"/>
            </w:rPr>
          </w:pPr>
          <w:r>
            <w:rPr>
              <w:rFonts w:ascii="宋体" w:hAnsi="宋体" w:eastAsia="宋体" w:cs="宋体"/>
              <w:spacing w:val="-3"/>
              <w:sz w:val="21"/>
              <w:szCs w:val="21"/>
              <w14:textOutline w14:w="3831" w14:cap="flat" w14:cmpd="sng">
                <w14:solidFill>
                  <w14:srgbClr w14:val="000000"/>
                </w14:solidFill>
                <w14:prstDash w14:val="solid"/>
                <w14:miter w14:val="0"/>
              </w14:textOutline>
            </w:rPr>
            <w:t>附件</w:t>
          </w:r>
          <w:r>
            <w:rPr>
              <w:rFonts w:ascii="宋体" w:hAnsi="宋体" w:eastAsia="宋体" w:cs="宋体"/>
              <w:spacing w:val="-49"/>
              <w:sz w:val="21"/>
              <w:szCs w:val="21"/>
            </w:rPr>
            <w:t xml:space="preserve"> </w:t>
          </w:r>
          <w:r>
            <w:rPr>
              <w:rFonts w:ascii="宋体" w:hAnsi="宋体" w:eastAsia="宋体" w:cs="宋体"/>
              <w:spacing w:val="-3"/>
              <w:sz w:val="21"/>
              <w:szCs w:val="21"/>
              <w14:textOutline w14:w="3831" w14:cap="flat" w14:cmpd="sng">
                <w14:solidFill>
                  <w14:srgbClr w14:val="000000"/>
                </w14:solidFill>
                <w14:prstDash w14:val="solid"/>
                <w14:miter w14:val="0"/>
              </w14:textOutline>
            </w:rPr>
            <w:t>A：评标详细程序</w:t>
          </w:r>
          <w:r>
            <w:rPr>
              <w:rFonts w:ascii="宋体" w:hAnsi="宋体" w:eastAsia="宋体" w:cs="宋体"/>
              <w:spacing w:val="-49"/>
              <w:sz w:val="21"/>
              <w:szCs w:val="21"/>
            </w:rPr>
            <w:t xml:space="preserve"> </w:t>
          </w:r>
          <w:r>
            <w:rPr>
              <w:rFonts w:ascii="宋体" w:hAnsi="宋体" w:eastAsia="宋体" w:cs="宋体"/>
              <w:sz w:val="21"/>
              <w:szCs w:val="21"/>
              <w14:textOutline w14:w="3831" w14:cap="flat" w14:cmpd="sng">
                <w14:solidFill>
                  <w14:srgbClr w14:val="000000"/>
                </w14:solidFill>
                <w14:prstDash w14:val="solid"/>
                <w14:miter w14:val="0"/>
              </w14:textOutline>
            </w:rPr>
            <w:tab/>
          </w:r>
          <w:r>
            <w:rPr>
              <w:rFonts w:ascii="宋体" w:hAnsi="宋体" w:eastAsia="宋体" w:cs="宋体"/>
              <w:spacing w:val="-22"/>
              <w:sz w:val="21"/>
              <w:szCs w:val="21"/>
            </w:rPr>
            <w:t xml:space="preserve"> </w:t>
          </w:r>
          <w:r>
            <w:fldChar w:fldCharType="begin"/>
          </w:r>
          <w:r>
            <w:instrText xml:space="preserve"> HYPERLINK \l "bookmark171" </w:instrText>
          </w:r>
          <w:r>
            <w:fldChar w:fldCharType="separate"/>
          </w:r>
          <w:r>
            <w:rPr>
              <w:rFonts w:ascii="宋体" w:hAnsi="宋体" w:eastAsia="宋体" w:cs="宋体"/>
              <w:spacing w:val="-4"/>
              <w:sz w:val="21"/>
              <w:szCs w:val="21"/>
              <w14:textOutline w14:w="3831" w14:cap="flat" w14:cmpd="sng">
                <w14:solidFill>
                  <w14:srgbClr w14:val="000000"/>
                </w14:solidFill>
                <w14:prstDash w14:val="solid"/>
                <w14:miter w14:val="0"/>
              </w14:textOutline>
            </w:rPr>
            <w:t>72</w:t>
          </w:r>
          <w:r>
            <w:rPr>
              <w:rFonts w:ascii="宋体" w:hAnsi="宋体" w:eastAsia="宋体" w:cs="宋体"/>
              <w:spacing w:val="-4"/>
              <w:sz w:val="21"/>
              <w:szCs w:val="21"/>
              <w14:textOutline w14:w="3831" w14:cap="flat" w14:cmpd="sng">
                <w14:solidFill>
                  <w14:srgbClr w14:val="000000"/>
                </w14:solidFill>
                <w14:prstDash w14:val="solid"/>
                <w14:miter w14:val="0"/>
              </w14:textOutline>
            </w:rPr>
            <w:fldChar w:fldCharType="end"/>
          </w:r>
        </w:p>
        <w:p w14:paraId="0A1F830C">
          <w:pPr>
            <w:tabs>
              <w:tab w:val="right" w:leader="dot" w:pos="8317"/>
            </w:tabs>
            <w:spacing w:before="24" w:line="221" w:lineRule="auto"/>
            <w:ind w:left="852"/>
            <w:rPr>
              <w:rFonts w:ascii="宋体" w:hAnsi="宋体" w:eastAsia="宋体" w:cs="宋体"/>
              <w:sz w:val="21"/>
              <w:szCs w:val="21"/>
            </w:rPr>
          </w:pPr>
          <w:r>
            <w:rPr>
              <w:rFonts w:ascii="宋体" w:hAnsi="宋体" w:eastAsia="宋体" w:cs="宋体"/>
              <w:spacing w:val="-2"/>
              <w:sz w:val="21"/>
              <w:szCs w:val="21"/>
            </w:rPr>
            <w:t>A0.总</w:t>
          </w:r>
          <w:r>
            <w:rPr>
              <w:rFonts w:ascii="宋体" w:hAnsi="宋体" w:eastAsia="宋体" w:cs="宋体"/>
              <w:spacing w:val="7"/>
              <w:sz w:val="21"/>
              <w:szCs w:val="21"/>
            </w:rPr>
            <w:t xml:space="preserve">  </w:t>
          </w:r>
          <w:r>
            <w:rPr>
              <w:rFonts w:ascii="宋体" w:hAnsi="宋体" w:eastAsia="宋体" w:cs="宋体"/>
              <w:spacing w:val="-2"/>
              <w:sz w:val="21"/>
              <w:szCs w:val="21"/>
            </w:rPr>
            <w:t>则</w:t>
          </w:r>
          <w:r>
            <w:rPr>
              <w:rFonts w:ascii="宋体" w:hAnsi="宋体" w:eastAsia="宋体" w:cs="宋体"/>
              <w:spacing w:val="-87"/>
              <w:sz w:val="21"/>
              <w:szCs w:val="21"/>
            </w:rPr>
            <w:t xml:space="preserve"> </w:t>
          </w:r>
          <w:r>
            <w:rPr>
              <w:rFonts w:ascii="宋体" w:hAnsi="宋体" w:eastAsia="宋体" w:cs="宋体"/>
              <w:sz w:val="21"/>
              <w:szCs w:val="21"/>
            </w:rPr>
            <w:tab/>
          </w:r>
          <w:r>
            <w:rPr>
              <w:rFonts w:ascii="宋体" w:hAnsi="宋体" w:eastAsia="宋体" w:cs="宋体"/>
              <w:spacing w:val="-22"/>
              <w:sz w:val="21"/>
              <w:szCs w:val="21"/>
            </w:rPr>
            <w:t xml:space="preserve"> </w:t>
          </w:r>
          <w:r>
            <w:fldChar w:fldCharType="begin"/>
          </w:r>
          <w:r>
            <w:instrText xml:space="preserve"> HYPERLINK \l "bookmark172" </w:instrText>
          </w:r>
          <w:r>
            <w:fldChar w:fldCharType="separate"/>
          </w:r>
          <w:r>
            <w:rPr>
              <w:rFonts w:ascii="宋体" w:hAnsi="宋体" w:eastAsia="宋体" w:cs="宋体"/>
              <w:spacing w:val="-4"/>
              <w:sz w:val="21"/>
              <w:szCs w:val="21"/>
            </w:rPr>
            <w:t>72</w:t>
          </w:r>
          <w:r>
            <w:rPr>
              <w:rFonts w:ascii="宋体" w:hAnsi="宋体" w:eastAsia="宋体" w:cs="宋体"/>
              <w:spacing w:val="-4"/>
              <w:sz w:val="21"/>
              <w:szCs w:val="21"/>
            </w:rPr>
            <w:fldChar w:fldCharType="end"/>
          </w:r>
        </w:p>
        <w:p w14:paraId="5E5A8BF7">
          <w:pPr>
            <w:tabs>
              <w:tab w:val="right" w:leader="dot" w:pos="8317"/>
            </w:tabs>
            <w:spacing w:before="21" w:line="220" w:lineRule="auto"/>
            <w:ind w:left="852"/>
            <w:rPr>
              <w:rFonts w:ascii="宋体" w:hAnsi="宋体" w:eastAsia="宋体" w:cs="宋体"/>
              <w:sz w:val="21"/>
              <w:szCs w:val="21"/>
            </w:rPr>
          </w:pPr>
          <w:r>
            <w:rPr>
              <w:rFonts w:ascii="宋体" w:hAnsi="宋体" w:eastAsia="宋体" w:cs="宋体"/>
              <w:sz w:val="21"/>
              <w:szCs w:val="21"/>
            </w:rPr>
            <w:t>A1.基本程序</w:t>
          </w:r>
          <w:r>
            <w:rPr>
              <w:rFonts w:ascii="宋体" w:hAnsi="宋体" w:eastAsia="宋体" w:cs="宋体"/>
              <w:spacing w:val="-82"/>
              <w:sz w:val="21"/>
              <w:szCs w:val="21"/>
            </w:rPr>
            <w:t xml:space="preserve"> </w:t>
          </w:r>
          <w:r>
            <w:rPr>
              <w:rFonts w:ascii="宋体" w:hAnsi="宋体" w:eastAsia="宋体" w:cs="宋体"/>
              <w:sz w:val="21"/>
              <w:szCs w:val="21"/>
            </w:rPr>
            <w:tab/>
          </w:r>
          <w:r>
            <w:rPr>
              <w:rFonts w:ascii="宋体" w:hAnsi="宋体" w:eastAsia="宋体" w:cs="宋体"/>
              <w:spacing w:val="-22"/>
              <w:sz w:val="21"/>
              <w:szCs w:val="21"/>
            </w:rPr>
            <w:t xml:space="preserve"> </w:t>
          </w:r>
          <w:r>
            <w:fldChar w:fldCharType="begin"/>
          </w:r>
          <w:r>
            <w:instrText xml:space="preserve"> HYPERLINK \l "bookmark173" </w:instrText>
          </w:r>
          <w:r>
            <w:fldChar w:fldCharType="separate"/>
          </w:r>
          <w:r>
            <w:rPr>
              <w:rFonts w:ascii="宋体" w:hAnsi="宋体" w:eastAsia="宋体" w:cs="宋体"/>
              <w:spacing w:val="-4"/>
              <w:sz w:val="21"/>
              <w:szCs w:val="21"/>
            </w:rPr>
            <w:t>72</w:t>
          </w:r>
          <w:r>
            <w:rPr>
              <w:rFonts w:ascii="宋体" w:hAnsi="宋体" w:eastAsia="宋体" w:cs="宋体"/>
              <w:spacing w:val="-4"/>
              <w:sz w:val="21"/>
              <w:szCs w:val="21"/>
            </w:rPr>
            <w:fldChar w:fldCharType="end"/>
          </w:r>
        </w:p>
        <w:p w14:paraId="5E3BF6D4">
          <w:pPr>
            <w:tabs>
              <w:tab w:val="right" w:leader="dot" w:pos="8317"/>
            </w:tabs>
            <w:spacing w:before="24" w:line="221" w:lineRule="auto"/>
            <w:ind w:left="852"/>
            <w:rPr>
              <w:rFonts w:ascii="宋体" w:hAnsi="宋体" w:eastAsia="宋体" w:cs="宋体"/>
              <w:sz w:val="21"/>
              <w:szCs w:val="21"/>
            </w:rPr>
          </w:pPr>
          <w:r>
            <w:rPr>
              <w:rFonts w:ascii="宋体" w:hAnsi="宋体" w:eastAsia="宋体" w:cs="宋体"/>
              <w:sz w:val="21"/>
              <w:szCs w:val="21"/>
            </w:rPr>
            <w:t>A2.评标准备</w:t>
          </w:r>
          <w:r>
            <w:rPr>
              <w:rFonts w:ascii="宋体" w:hAnsi="宋体" w:eastAsia="宋体" w:cs="宋体"/>
              <w:spacing w:val="-82"/>
              <w:sz w:val="21"/>
              <w:szCs w:val="21"/>
            </w:rPr>
            <w:t xml:space="preserve"> </w:t>
          </w:r>
          <w:r>
            <w:rPr>
              <w:rFonts w:ascii="宋体" w:hAnsi="宋体" w:eastAsia="宋体" w:cs="宋体"/>
              <w:sz w:val="21"/>
              <w:szCs w:val="21"/>
            </w:rPr>
            <w:tab/>
          </w:r>
          <w:r>
            <w:rPr>
              <w:rFonts w:ascii="宋体" w:hAnsi="宋体" w:eastAsia="宋体" w:cs="宋体"/>
              <w:spacing w:val="-22"/>
              <w:sz w:val="21"/>
              <w:szCs w:val="21"/>
            </w:rPr>
            <w:t xml:space="preserve"> </w:t>
          </w:r>
          <w:r>
            <w:fldChar w:fldCharType="begin"/>
          </w:r>
          <w:r>
            <w:instrText xml:space="preserve"> HYPERLINK \l "bookmark174" </w:instrText>
          </w:r>
          <w:r>
            <w:fldChar w:fldCharType="separate"/>
          </w:r>
          <w:r>
            <w:rPr>
              <w:rFonts w:ascii="宋体" w:hAnsi="宋体" w:eastAsia="宋体" w:cs="宋体"/>
              <w:spacing w:val="-4"/>
              <w:sz w:val="21"/>
              <w:szCs w:val="21"/>
            </w:rPr>
            <w:t>72</w:t>
          </w:r>
          <w:r>
            <w:rPr>
              <w:rFonts w:ascii="宋体" w:hAnsi="宋体" w:eastAsia="宋体" w:cs="宋体"/>
              <w:spacing w:val="-4"/>
              <w:sz w:val="21"/>
              <w:szCs w:val="21"/>
            </w:rPr>
            <w:fldChar w:fldCharType="end"/>
          </w:r>
        </w:p>
        <w:p w14:paraId="67211D1A">
          <w:pPr>
            <w:tabs>
              <w:tab w:val="right" w:leader="dot" w:pos="8317"/>
            </w:tabs>
            <w:spacing w:before="17" w:line="220" w:lineRule="auto"/>
            <w:ind w:left="852"/>
            <w:rPr>
              <w:rFonts w:ascii="宋体" w:hAnsi="宋体" w:eastAsia="宋体" w:cs="宋体"/>
              <w:sz w:val="21"/>
              <w:szCs w:val="21"/>
            </w:rPr>
          </w:pPr>
          <w:r>
            <w:rPr>
              <w:rFonts w:ascii="宋体" w:hAnsi="宋体" w:eastAsia="宋体" w:cs="宋体"/>
              <w:spacing w:val="-1"/>
              <w:sz w:val="21"/>
              <w:szCs w:val="21"/>
            </w:rPr>
            <w:t>A2.1</w:t>
          </w:r>
          <w:r>
            <w:rPr>
              <w:rFonts w:ascii="宋体" w:hAnsi="宋体" w:eastAsia="宋体" w:cs="宋体"/>
              <w:spacing w:val="-39"/>
              <w:sz w:val="21"/>
              <w:szCs w:val="21"/>
            </w:rPr>
            <w:t xml:space="preserve"> </w:t>
          </w:r>
          <w:r>
            <w:rPr>
              <w:rFonts w:ascii="宋体" w:hAnsi="宋体" w:eastAsia="宋体" w:cs="宋体"/>
              <w:spacing w:val="-1"/>
              <w:sz w:val="21"/>
              <w:szCs w:val="21"/>
            </w:rPr>
            <w:t>评标委员会成员签到</w:t>
          </w:r>
          <w:r>
            <w:rPr>
              <w:rFonts w:ascii="宋体" w:hAnsi="宋体" w:eastAsia="宋体" w:cs="宋体"/>
              <w:spacing w:val="-23"/>
              <w:sz w:val="21"/>
              <w:szCs w:val="21"/>
            </w:rPr>
            <w:t xml:space="preserve"> </w:t>
          </w:r>
          <w:r>
            <w:rPr>
              <w:rFonts w:ascii="宋体" w:hAnsi="宋体" w:eastAsia="宋体" w:cs="宋体"/>
              <w:sz w:val="21"/>
              <w:szCs w:val="21"/>
            </w:rPr>
            <w:tab/>
          </w:r>
          <w:r>
            <w:rPr>
              <w:rFonts w:ascii="宋体" w:hAnsi="宋体" w:eastAsia="宋体" w:cs="宋体"/>
              <w:spacing w:val="-23"/>
              <w:sz w:val="21"/>
              <w:szCs w:val="21"/>
            </w:rPr>
            <w:t xml:space="preserve"> </w:t>
          </w:r>
          <w:r>
            <w:fldChar w:fldCharType="begin"/>
          </w:r>
          <w:r>
            <w:instrText xml:space="preserve"> HYPERLINK \l "bookmark175" </w:instrText>
          </w:r>
          <w:r>
            <w:fldChar w:fldCharType="separate"/>
          </w:r>
          <w:r>
            <w:rPr>
              <w:rFonts w:ascii="宋体" w:hAnsi="宋体" w:eastAsia="宋体" w:cs="宋体"/>
              <w:spacing w:val="-4"/>
              <w:sz w:val="21"/>
              <w:szCs w:val="21"/>
            </w:rPr>
            <w:t>72</w:t>
          </w:r>
          <w:r>
            <w:rPr>
              <w:rFonts w:ascii="宋体" w:hAnsi="宋体" w:eastAsia="宋体" w:cs="宋体"/>
              <w:spacing w:val="-4"/>
              <w:sz w:val="21"/>
              <w:szCs w:val="21"/>
            </w:rPr>
            <w:fldChar w:fldCharType="end"/>
          </w:r>
        </w:p>
        <w:p w14:paraId="3889AB7F">
          <w:pPr>
            <w:tabs>
              <w:tab w:val="right" w:leader="dot" w:pos="8317"/>
            </w:tabs>
            <w:spacing w:before="23" w:line="220" w:lineRule="auto"/>
            <w:ind w:left="852"/>
            <w:rPr>
              <w:rFonts w:ascii="宋体" w:hAnsi="宋体" w:eastAsia="宋体" w:cs="宋体"/>
              <w:sz w:val="21"/>
              <w:szCs w:val="21"/>
            </w:rPr>
          </w:pPr>
          <w:r>
            <w:rPr>
              <w:rFonts w:ascii="宋体" w:hAnsi="宋体" w:eastAsia="宋体" w:cs="宋体"/>
              <w:spacing w:val="-1"/>
              <w:sz w:val="21"/>
              <w:szCs w:val="21"/>
            </w:rPr>
            <w:t>A2.2</w:t>
          </w:r>
          <w:r>
            <w:rPr>
              <w:rFonts w:ascii="宋体" w:hAnsi="宋体" w:eastAsia="宋体" w:cs="宋体"/>
              <w:spacing w:val="-41"/>
              <w:sz w:val="21"/>
              <w:szCs w:val="21"/>
            </w:rPr>
            <w:t xml:space="preserve"> </w:t>
          </w:r>
          <w:r>
            <w:rPr>
              <w:rFonts w:ascii="宋体" w:hAnsi="宋体" w:eastAsia="宋体" w:cs="宋体"/>
              <w:spacing w:val="-1"/>
              <w:sz w:val="21"/>
              <w:szCs w:val="21"/>
            </w:rPr>
            <w:t>评标委员会的分工</w:t>
          </w:r>
          <w:r>
            <w:rPr>
              <w:rFonts w:ascii="宋体" w:hAnsi="宋体" w:eastAsia="宋体" w:cs="宋体"/>
              <w:spacing w:val="-23"/>
              <w:sz w:val="21"/>
              <w:szCs w:val="21"/>
            </w:rPr>
            <w:t xml:space="preserve"> </w:t>
          </w:r>
          <w:r>
            <w:rPr>
              <w:rFonts w:ascii="宋体" w:hAnsi="宋体" w:eastAsia="宋体" w:cs="宋体"/>
              <w:sz w:val="21"/>
              <w:szCs w:val="21"/>
            </w:rPr>
            <w:tab/>
          </w:r>
          <w:r>
            <w:rPr>
              <w:rFonts w:ascii="宋体" w:hAnsi="宋体" w:eastAsia="宋体" w:cs="宋体"/>
              <w:spacing w:val="-23"/>
              <w:sz w:val="21"/>
              <w:szCs w:val="21"/>
            </w:rPr>
            <w:t xml:space="preserve"> </w:t>
          </w:r>
          <w:r>
            <w:fldChar w:fldCharType="begin"/>
          </w:r>
          <w:r>
            <w:instrText xml:space="preserve"> HYPERLINK \l "bookmark176" </w:instrText>
          </w:r>
          <w:r>
            <w:fldChar w:fldCharType="separate"/>
          </w:r>
          <w:r>
            <w:rPr>
              <w:rFonts w:ascii="宋体" w:hAnsi="宋体" w:eastAsia="宋体" w:cs="宋体"/>
              <w:spacing w:val="-4"/>
              <w:sz w:val="21"/>
              <w:szCs w:val="21"/>
            </w:rPr>
            <w:t>72</w:t>
          </w:r>
          <w:r>
            <w:rPr>
              <w:rFonts w:ascii="宋体" w:hAnsi="宋体" w:eastAsia="宋体" w:cs="宋体"/>
              <w:spacing w:val="-4"/>
              <w:sz w:val="21"/>
              <w:szCs w:val="21"/>
            </w:rPr>
            <w:fldChar w:fldCharType="end"/>
          </w:r>
        </w:p>
        <w:p w14:paraId="080FB331">
          <w:pPr>
            <w:tabs>
              <w:tab w:val="right" w:leader="dot" w:pos="8317"/>
            </w:tabs>
            <w:spacing w:before="24" w:line="221" w:lineRule="auto"/>
            <w:ind w:left="852"/>
            <w:rPr>
              <w:rFonts w:ascii="宋体" w:hAnsi="宋体" w:eastAsia="宋体" w:cs="宋体"/>
              <w:sz w:val="21"/>
              <w:szCs w:val="21"/>
            </w:rPr>
          </w:pPr>
          <w:r>
            <w:rPr>
              <w:rFonts w:ascii="宋体" w:hAnsi="宋体" w:eastAsia="宋体" w:cs="宋体"/>
              <w:spacing w:val="-1"/>
              <w:sz w:val="21"/>
              <w:szCs w:val="21"/>
            </w:rPr>
            <w:t>A2.3</w:t>
          </w:r>
          <w:r>
            <w:rPr>
              <w:rFonts w:ascii="宋体" w:hAnsi="宋体" w:eastAsia="宋体" w:cs="宋体"/>
              <w:spacing w:val="-40"/>
              <w:sz w:val="21"/>
              <w:szCs w:val="21"/>
            </w:rPr>
            <w:t xml:space="preserve"> </w:t>
          </w:r>
          <w:r>
            <w:rPr>
              <w:rFonts w:ascii="宋体" w:hAnsi="宋体" w:eastAsia="宋体" w:cs="宋体"/>
              <w:spacing w:val="-1"/>
              <w:sz w:val="21"/>
              <w:szCs w:val="21"/>
            </w:rPr>
            <w:t>熟悉文件资料</w:t>
          </w:r>
          <w:r>
            <w:rPr>
              <w:rFonts w:ascii="宋体" w:hAnsi="宋体" w:eastAsia="宋体" w:cs="宋体"/>
              <w:spacing w:val="-28"/>
              <w:sz w:val="21"/>
              <w:szCs w:val="21"/>
            </w:rPr>
            <w:t xml:space="preserve"> </w:t>
          </w:r>
          <w:r>
            <w:rPr>
              <w:rFonts w:ascii="宋体" w:hAnsi="宋体" w:eastAsia="宋体" w:cs="宋体"/>
              <w:sz w:val="21"/>
              <w:szCs w:val="21"/>
            </w:rPr>
            <w:tab/>
          </w:r>
          <w:r>
            <w:rPr>
              <w:rFonts w:ascii="宋体" w:hAnsi="宋体" w:eastAsia="宋体" w:cs="宋体"/>
              <w:spacing w:val="-22"/>
              <w:sz w:val="21"/>
              <w:szCs w:val="21"/>
            </w:rPr>
            <w:t xml:space="preserve"> </w:t>
          </w:r>
          <w:r>
            <w:fldChar w:fldCharType="begin"/>
          </w:r>
          <w:r>
            <w:instrText xml:space="preserve"> HYPERLINK \l "bookmark177" </w:instrText>
          </w:r>
          <w:r>
            <w:fldChar w:fldCharType="separate"/>
          </w:r>
          <w:r>
            <w:rPr>
              <w:rFonts w:ascii="宋体" w:hAnsi="宋体" w:eastAsia="宋体" w:cs="宋体"/>
              <w:spacing w:val="-4"/>
              <w:sz w:val="21"/>
              <w:szCs w:val="21"/>
            </w:rPr>
            <w:t>73</w:t>
          </w:r>
          <w:r>
            <w:rPr>
              <w:rFonts w:ascii="宋体" w:hAnsi="宋体" w:eastAsia="宋体" w:cs="宋体"/>
              <w:spacing w:val="-4"/>
              <w:sz w:val="21"/>
              <w:szCs w:val="21"/>
            </w:rPr>
            <w:fldChar w:fldCharType="end"/>
          </w:r>
        </w:p>
        <w:p w14:paraId="2A01BB17">
          <w:pPr>
            <w:tabs>
              <w:tab w:val="right" w:leader="dot" w:pos="8317"/>
            </w:tabs>
            <w:spacing w:before="22" w:line="221" w:lineRule="auto"/>
            <w:ind w:left="852"/>
            <w:rPr>
              <w:rFonts w:ascii="宋体" w:hAnsi="宋体" w:eastAsia="宋体" w:cs="宋体"/>
              <w:sz w:val="21"/>
              <w:szCs w:val="21"/>
            </w:rPr>
          </w:pPr>
          <w:r>
            <w:rPr>
              <w:rFonts w:ascii="宋体" w:hAnsi="宋体" w:eastAsia="宋体" w:cs="宋体"/>
              <w:spacing w:val="-3"/>
              <w:sz w:val="21"/>
              <w:szCs w:val="21"/>
            </w:rPr>
            <w:t>A2.4</w:t>
          </w:r>
          <w:r>
            <w:rPr>
              <w:rFonts w:ascii="宋体" w:hAnsi="宋体" w:eastAsia="宋体" w:cs="宋体"/>
              <w:spacing w:val="-29"/>
              <w:sz w:val="21"/>
              <w:szCs w:val="21"/>
            </w:rPr>
            <w:t xml:space="preserve"> </w:t>
          </w:r>
          <w:r>
            <w:rPr>
              <w:rFonts w:ascii="宋体" w:hAnsi="宋体" w:eastAsia="宋体" w:cs="宋体"/>
              <w:spacing w:val="-3"/>
              <w:sz w:val="21"/>
              <w:szCs w:val="21"/>
            </w:rPr>
            <w:t>暗标编号</w:t>
          </w:r>
          <w:r>
            <w:rPr>
              <w:rFonts w:ascii="宋体" w:hAnsi="宋体" w:eastAsia="宋体" w:cs="宋体"/>
              <w:spacing w:val="-28"/>
              <w:sz w:val="21"/>
              <w:szCs w:val="21"/>
            </w:rPr>
            <w:t xml:space="preserve"> </w:t>
          </w:r>
          <w:r>
            <w:rPr>
              <w:rFonts w:ascii="宋体" w:hAnsi="宋体" w:eastAsia="宋体" w:cs="宋体"/>
              <w:sz w:val="21"/>
              <w:szCs w:val="21"/>
            </w:rPr>
            <w:tab/>
          </w:r>
          <w:r>
            <w:rPr>
              <w:rFonts w:ascii="宋体" w:hAnsi="宋体" w:eastAsia="宋体" w:cs="宋体"/>
              <w:spacing w:val="-23"/>
              <w:sz w:val="21"/>
              <w:szCs w:val="21"/>
            </w:rPr>
            <w:t xml:space="preserve"> </w:t>
          </w:r>
          <w:r>
            <w:fldChar w:fldCharType="begin"/>
          </w:r>
          <w:r>
            <w:instrText xml:space="preserve"> HYPERLINK \l "bookmark178" </w:instrText>
          </w:r>
          <w:r>
            <w:fldChar w:fldCharType="separate"/>
          </w:r>
          <w:r>
            <w:rPr>
              <w:rFonts w:ascii="宋体" w:hAnsi="宋体" w:eastAsia="宋体" w:cs="宋体"/>
              <w:spacing w:val="-4"/>
              <w:sz w:val="21"/>
              <w:szCs w:val="21"/>
            </w:rPr>
            <w:t>73</w:t>
          </w:r>
          <w:r>
            <w:rPr>
              <w:rFonts w:ascii="宋体" w:hAnsi="宋体" w:eastAsia="宋体" w:cs="宋体"/>
              <w:spacing w:val="-4"/>
              <w:sz w:val="21"/>
              <w:szCs w:val="21"/>
            </w:rPr>
            <w:fldChar w:fldCharType="end"/>
          </w:r>
        </w:p>
        <w:p w14:paraId="7A381746">
          <w:pPr>
            <w:tabs>
              <w:tab w:val="right" w:leader="dot" w:pos="8317"/>
            </w:tabs>
            <w:spacing w:before="17" w:line="221" w:lineRule="auto"/>
            <w:ind w:left="852"/>
            <w:rPr>
              <w:rFonts w:ascii="宋体" w:hAnsi="宋体" w:eastAsia="宋体" w:cs="宋体"/>
              <w:sz w:val="21"/>
              <w:szCs w:val="21"/>
            </w:rPr>
          </w:pPr>
          <w:r>
            <w:rPr>
              <w:rFonts w:ascii="宋体" w:hAnsi="宋体" w:eastAsia="宋体" w:cs="宋体"/>
              <w:spacing w:val="-1"/>
              <w:sz w:val="21"/>
              <w:szCs w:val="21"/>
            </w:rPr>
            <w:t>A2.5</w:t>
          </w:r>
          <w:r>
            <w:rPr>
              <w:rFonts w:ascii="宋体" w:hAnsi="宋体" w:eastAsia="宋体" w:cs="宋体"/>
              <w:spacing w:val="-38"/>
              <w:sz w:val="21"/>
              <w:szCs w:val="21"/>
            </w:rPr>
            <w:t xml:space="preserve"> </w:t>
          </w:r>
          <w:r>
            <w:rPr>
              <w:rFonts w:ascii="宋体" w:hAnsi="宋体" w:eastAsia="宋体" w:cs="宋体"/>
              <w:spacing w:val="-1"/>
              <w:sz w:val="21"/>
              <w:szCs w:val="21"/>
            </w:rPr>
            <w:t xml:space="preserve">对投标文件进行基础性数据分析和整理工作 </w:t>
          </w:r>
          <w:r>
            <w:rPr>
              <w:rFonts w:ascii="宋体" w:hAnsi="宋体" w:eastAsia="宋体" w:cs="宋体"/>
              <w:sz w:val="21"/>
              <w:szCs w:val="21"/>
            </w:rPr>
            <w:tab/>
          </w:r>
          <w:r>
            <w:rPr>
              <w:rFonts w:ascii="宋体" w:hAnsi="宋体" w:eastAsia="宋体" w:cs="宋体"/>
              <w:spacing w:val="-22"/>
              <w:sz w:val="21"/>
              <w:szCs w:val="21"/>
            </w:rPr>
            <w:t xml:space="preserve"> </w:t>
          </w:r>
          <w:r>
            <w:fldChar w:fldCharType="begin"/>
          </w:r>
          <w:r>
            <w:instrText xml:space="preserve"> HYPERLINK \l "bookmark179" </w:instrText>
          </w:r>
          <w:r>
            <w:fldChar w:fldCharType="separate"/>
          </w:r>
          <w:r>
            <w:rPr>
              <w:rFonts w:ascii="宋体" w:hAnsi="宋体" w:eastAsia="宋体" w:cs="宋体"/>
              <w:spacing w:val="-4"/>
              <w:sz w:val="21"/>
              <w:szCs w:val="21"/>
            </w:rPr>
            <w:t>73</w:t>
          </w:r>
          <w:r>
            <w:rPr>
              <w:rFonts w:ascii="宋体" w:hAnsi="宋体" w:eastAsia="宋体" w:cs="宋体"/>
              <w:spacing w:val="-4"/>
              <w:sz w:val="21"/>
              <w:szCs w:val="21"/>
            </w:rPr>
            <w:fldChar w:fldCharType="end"/>
          </w:r>
        </w:p>
        <w:p w14:paraId="2DB71393">
          <w:pPr>
            <w:tabs>
              <w:tab w:val="right" w:leader="dot" w:pos="8317"/>
            </w:tabs>
            <w:spacing w:before="23" w:line="221" w:lineRule="auto"/>
            <w:ind w:left="852"/>
            <w:rPr>
              <w:rFonts w:ascii="宋体" w:hAnsi="宋体" w:eastAsia="宋体" w:cs="宋体"/>
              <w:sz w:val="21"/>
              <w:szCs w:val="21"/>
            </w:rPr>
          </w:pPr>
          <w:r>
            <w:rPr>
              <w:rFonts w:ascii="宋体" w:hAnsi="宋体" w:eastAsia="宋体" w:cs="宋体"/>
              <w:sz w:val="21"/>
              <w:szCs w:val="21"/>
            </w:rPr>
            <w:t>A3.初步评审</w:t>
          </w:r>
          <w:r>
            <w:rPr>
              <w:rFonts w:ascii="宋体" w:hAnsi="宋体" w:eastAsia="宋体" w:cs="宋体"/>
              <w:spacing w:val="-82"/>
              <w:sz w:val="21"/>
              <w:szCs w:val="21"/>
            </w:rPr>
            <w:t xml:space="preserve"> </w:t>
          </w:r>
          <w:r>
            <w:rPr>
              <w:rFonts w:ascii="宋体" w:hAnsi="宋体" w:eastAsia="宋体" w:cs="宋体"/>
              <w:sz w:val="21"/>
              <w:szCs w:val="21"/>
            </w:rPr>
            <w:tab/>
          </w:r>
          <w:r>
            <w:rPr>
              <w:rFonts w:ascii="宋体" w:hAnsi="宋体" w:eastAsia="宋体" w:cs="宋体"/>
              <w:spacing w:val="-22"/>
              <w:sz w:val="21"/>
              <w:szCs w:val="21"/>
            </w:rPr>
            <w:t xml:space="preserve"> </w:t>
          </w:r>
          <w:r>
            <w:fldChar w:fldCharType="begin"/>
          </w:r>
          <w:r>
            <w:instrText xml:space="preserve"> HYPERLINK \l "bookmark180" </w:instrText>
          </w:r>
          <w:r>
            <w:fldChar w:fldCharType="separate"/>
          </w:r>
          <w:r>
            <w:rPr>
              <w:rFonts w:ascii="宋体" w:hAnsi="宋体" w:eastAsia="宋体" w:cs="宋体"/>
              <w:spacing w:val="-4"/>
              <w:sz w:val="21"/>
              <w:szCs w:val="21"/>
            </w:rPr>
            <w:t>74</w:t>
          </w:r>
          <w:r>
            <w:rPr>
              <w:rFonts w:ascii="宋体" w:hAnsi="宋体" w:eastAsia="宋体" w:cs="宋体"/>
              <w:spacing w:val="-4"/>
              <w:sz w:val="21"/>
              <w:szCs w:val="21"/>
            </w:rPr>
            <w:fldChar w:fldCharType="end"/>
          </w:r>
        </w:p>
        <w:p w14:paraId="7C948A4B">
          <w:pPr>
            <w:tabs>
              <w:tab w:val="right" w:leader="dot" w:pos="8317"/>
            </w:tabs>
            <w:spacing w:before="23" w:line="221" w:lineRule="auto"/>
            <w:ind w:left="852"/>
            <w:rPr>
              <w:rFonts w:ascii="宋体" w:hAnsi="宋体" w:eastAsia="宋体" w:cs="宋体"/>
              <w:sz w:val="21"/>
              <w:szCs w:val="21"/>
            </w:rPr>
          </w:pPr>
          <w:r>
            <w:rPr>
              <w:rFonts w:ascii="宋体" w:hAnsi="宋体" w:eastAsia="宋体" w:cs="宋体"/>
              <w:spacing w:val="-2"/>
              <w:sz w:val="21"/>
              <w:szCs w:val="21"/>
            </w:rPr>
            <w:t>A3.1</w:t>
          </w:r>
          <w:r>
            <w:rPr>
              <w:rFonts w:ascii="宋体" w:hAnsi="宋体" w:eastAsia="宋体" w:cs="宋体"/>
              <w:spacing w:val="-37"/>
              <w:sz w:val="21"/>
              <w:szCs w:val="21"/>
            </w:rPr>
            <w:t xml:space="preserve"> </w:t>
          </w:r>
          <w:r>
            <w:rPr>
              <w:rFonts w:ascii="宋体" w:hAnsi="宋体" w:eastAsia="宋体" w:cs="宋体"/>
              <w:spacing w:val="-2"/>
              <w:sz w:val="21"/>
              <w:szCs w:val="21"/>
            </w:rPr>
            <w:t>形式评审</w:t>
          </w:r>
          <w:r>
            <w:rPr>
              <w:rFonts w:ascii="宋体" w:hAnsi="宋体" w:eastAsia="宋体" w:cs="宋体"/>
              <w:spacing w:val="-28"/>
              <w:sz w:val="21"/>
              <w:szCs w:val="21"/>
            </w:rPr>
            <w:t xml:space="preserve"> </w:t>
          </w:r>
          <w:r>
            <w:rPr>
              <w:rFonts w:ascii="宋体" w:hAnsi="宋体" w:eastAsia="宋体" w:cs="宋体"/>
              <w:sz w:val="21"/>
              <w:szCs w:val="21"/>
            </w:rPr>
            <w:tab/>
          </w:r>
          <w:r>
            <w:rPr>
              <w:rFonts w:ascii="宋体" w:hAnsi="宋体" w:eastAsia="宋体" w:cs="宋体"/>
              <w:spacing w:val="-23"/>
              <w:sz w:val="21"/>
              <w:szCs w:val="21"/>
            </w:rPr>
            <w:t xml:space="preserve"> </w:t>
          </w:r>
          <w:r>
            <w:fldChar w:fldCharType="begin"/>
          </w:r>
          <w:r>
            <w:instrText xml:space="preserve"> HYPERLINK \l "bookmark181" </w:instrText>
          </w:r>
          <w:r>
            <w:fldChar w:fldCharType="separate"/>
          </w:r>
          <w:r>
            <w:rPr>
              <w:rFonts w:ascii="宋体" w:hAnsi="宋体" w:eastAsia="宋体" w:cs="宋体"/>
              <w:spacing w:val="-4"/>
              <w:sz w:val="21"/>
              <w:szCs w:val="21"/>
            </w:rPr>
            <w:t>74</w:t>
          </w:r>
          <w:r>
            <w:rPr>
              <w:rFonts w:ascii="宋体" w:hAnsi="宋体" w:eastAsia="宋体" w:cs="宋体"/>
              <w:spacing w:val="-4"/>
              <w:sz w:val="21"/>
              <w:szCs w:val="21"/>
            </w:rPr>
            <w:fldChar w:fldCharType="end"/>
          </w:r>
        </w:p>
        <w:p w14:paraId="0D0FFB2C">
          <w:pPr>
            <w:tabs>
              <w:tab w:val="right" w:leader="dot" w:pos="8317"/>
            </w:tabs>
            <w:spacing w:before="21" w:line="221" w:lineRule="auto"/>
            <w:ind w:left="852"/>
            <w:rPr>
              <w:rFonts w:ascii="宋体" w:hAnsi="宋体" w:eastAsia="宋体" w:cs="宋体"/>
              <w:sz w:val="21"/>
              <w:szCs w:val="21"/>
            </w:rPr>
          </w:pPr>
          <w:r>
            <w:rPr>
              <w:rFonts w:ascii="宋体" w:hAnsi="宋体" w:eastAsia="宋体" w:cs="宋体"/>
              <w:spacing w:val="-3"/>
              <w:sz w:val="21"/>
              <w:szCs w:val="21"/>
            </w:rPr>
            <w:t>A3.2</w:t>
          </w:r>
          <w:r>
            <w:rPr>
              <w:rFonts w:ascii="宋体" w:hAnsi="宋体" w:eastAsia="宋体" w:cs="宋体"/>
              <w:spacing w:val="-29"/>
              <w:sz w:val="21"/>
              <w:szCs w:val="21"/>
            </w:rPr>
            <w:t xml:space="preserve"> </w:t>
          </w:r>
          <w:r>
            <w:rPr>
              <w:rFonts w:ascii="宋体" w:hAnsi="宋体" w:eastAsia="宋体" w:cs="宋体"/>
              <w:spacing w:val="-3"/>
              <w:sz w:val="21"/>
              <w:szCs w:val="21"/>
            </w:rPr>
            <w:t>资格评审</w:t>
          </w:r>
          <w:r>
            <w:rPr>
              <w:rFonts w:ascii="宋体" w:hAnsi="宋体" w:eastAsia="宋体" w:cs="宋体"/>
              <w:spacing w:val="-28"/>
              <w:sz w:val="21"/>
              <w:szCs w:val="21"/>
            </w:rPr>
            <w:t xml:space="preserve"> </w:t>
          </w:r>
          <w:r>
            <w:rPr>
              <w:rFonts w:ascii="宋体" w:hAnsi="宋体" w:eastAsia="宋体" w:cs="宋体"/>
              <w:sz w:val="21"/>
              <w:szCs w:val="21"/>
            </w:rPr>
            <w:tab/>
          </w:r>
          <w:r>
            <w:rPr>
              <w:rFonts w:ascii="宋体" w:hAnsi="宋体" w:eastAsia="宋体" w:cs="宋体"/>
              <w:spacing w:val="-23"/>
              <w:sz w:val="21"/>
              <w:szCs w:val="21"/>
            </w:rPr>
            <w:t xml:space="preserve"> </w:t>
          </w:r>
          <w:r>
            <w:fldChar w:fldCharType="begin"/>
          </w:r>
          <w:r>
            <w:instrText xml:space="preserve"> HYPERLINK \l "bookmark182" </w:instrText>
          </w:r>
          <w:r>
            <w:fldChar w:fldCharType="separate"/>
          </w:r>
          <w:r>
            <w:rPr>
              <w:rFonts w:ascii="宋体" w:hAnsi="宋体" w:eastAsia="宋体" w:cs="宋体"/>
              <w:spacing w:val="-4"/>
              <w:sz w:val="21"/>
              <w:szCs w:val="21"/>
            </w:rPr>
            <w:t>74</w:t>
          </w:r>
          <w:r>
            <w:rPr>
              <w:rFonts w:ascii="宋体" w:hAnsi="宋体" w:eastAsia="宋体" w:cs="宋体"/>
              <w:spacing w:val="-4"/>
              <w:sz w:val="21"/>
              <w:szCs w:val="21"/>
            </w:rPr>
            <w:fldChar w:fldCharType="end"/>
          </w:r>
        </w:p>
        <w:p w14:paraId="077E82B4">
          <w:pPr>
            <w:tabs>
              <w:tab w:val="right" w:leader="dot" w:pos="8317"/>
            </w:tabs>
            <w:spacing w:before="18" w:line="221" w:lineRule="auto"/>
            <w:ind w:left="852"/>
            <w:rPr>
              <w:rFonts w:ascii="宋体" w:hAnsi="宋体" w:eastAsia="宋体" w:cs="宋体"/>
              <w:sz w:val="21"/>
              <w:szCs w:val="21"/>
            </w:rPr>
          </w:pPr>
          <w:r>
            <w:rPr>
              <w:rFonts w:ascii="宋体" w:hAnsi="宋体" w:eastAsia="宋体" w:cs="宋体"/>
              <w:spacing w:val="-2"/>
              <w:sz w:val="21"/>
              <w:szCs w:val="21"/>
            </w:rPr>
            <w:t>A3.3</w:t>
          </w:r>
          <w:r>
            <w:rPr>
              <w:rFonts w:ascii="宋体" w:hAnsi="宋体" w:eastAsia="宋体" w:cs="宋体"/>
              <w:spacing w:val="-33"/>
              <w:sz w:val="21"/>
              <w:szCs w:val="21"/>
            </w:rPr>
            <w:t xml:space="preserve"> </w:t>
          </w:r>
          <w:r>
            <w:rPr>
              <w:rFonts w:ascii="宋体" w:hAnsi="宋体" w:eastAsia="宋体" w:cs="宋体"/>
              <w:spacing w:val="-2"/>
              <w:sz w:val="21"/>
              <w:szCs w:val="21"/>
            </w:rPr>
            <w:t>响应性评审</w:t>
          </w:r>
          <w:r>
            <w:rPr>
              <w:rFonts w:ascii="宋体" w:hAnsi="宋体" w:eastAsia="宋体" w:cs="宋体"/>
              <w:spacing w:val="-29"/>
              <w:sz w:val="21"/>
              <w:szCs w:val="21"/>
            </w:rPr>
            <w:t xml:space="preserve"> </w:t>
          </w:r>
          <w:r>
            <w:rPr>
              <w:rFonts w:ascii="宋体" w:hAnsi="宋体" w:eastAsia="宋体" w:cs="宋体"/>
              <w:sz w:val="21"/>
              <w:szCs w:val="21"/>
            </w:rPr>
            <w:tab/>
          </w:r>
          <w:r>
            <w:rPr>
              <w:rFonts w:ascii="宋体" w:hAnsi="宋体" w:eastAsia="宋体" w:cs="宋体"/>
              <w:spacing w:val="-22"/>
              <w:sz w:val="21"/>
              <w:szCs w:val="21"/>
            </w:rPr>
            <w:t xml:space="preserve"> </w:t>
          </w:r>
          <w:r>
            <w:fldChar w:fldCharType="begin"/>
          </w:r>
          <w:r>
            <w:instrText xml:space="preserve"> HYPERLINK \l "bookmark183" </w:instrText>
          </w:r>
          <w:r>
            <w:fldChar w:fldCharType="separate"/>
          </w:r>
          <w:r>
            <w:rPr>
              <w:rFonts w:ascii="宋体" w:hAnsi="宋体" w:eastAsia="宋体" w:cs="宋体"/>
              <w:spacing w:val="-4"/>
              <w:sz w:val="21"/>
              <w:szCs w:val="21"/>
            </w:rPr>
            <w:t>74</w:t>
          </w:r>
          <w:r>
            <w:rPr>
              <w:rFonts w:ascii="宋体" w:hAnsi="宋体" w:eastAsia="宋体" w:cs="宋体"/>
              <w:spacing w:val="-4"/>
              <w:sz w:val="21"/>
              <w:szCs w:val="21"/>
            </w:rPr>
            <w:fldChar w:fldCharType="end"/>
          </w:r>
        </w:p>
        <w:p w14:paraId="78776532">
          <w:pPr>
            <w:tabs>
              <w:tab w:val="right" w:leader="dot" w:pos="8317"/>
            </w:tabs>
            <w:spacing w:before="22" w:line="221" w:lineRule="auto"/>
            <w:ind w:left="852"/>
            <w:rPr>
              <w:rFonts w:ascii="宋体" w:hAnsi="宋体" w:eastAsia="宋体" w:cs="宋体"/>
              <w:sz w:val="21"/>
              <w:szCs w:val="21"/>
            </w:rPr>
          </w:pPr>
          <w:r>
            <w:rPr>
              <w:rFonts w:ascii="宋体" w:hAnsi="宋体" w:eastAsia="宋体" w:cs="宋体"/>
              <w:spacing w:val="-1"/>
              <w:sz w:val="21"/>
              <w:szCs w:val="21"/>
            </w:rPr>
            <w:t>A3.4</w:t>
          </w:r>
          <w:r>
            <w:rPr>
              <w:rFonts w:ascii="宋体" w:hAnsi="宋体" w:eastAsia="宋体" w:cs="宋体"/>
              <w:spacing w:val="-42"/>
              <w:sz w:val="21"/>
              <w:szCs w:val="21"/>
            </w:rPr>
            <w:t xml:space="preserve"> </w:t>
          </w:r>
          <w:r>
            <w:rPr>
              <w:rFonts w:ascii="宋体" w:hAnsi="宋体" w:eastAsia="宋体" w:cs="宋体"/>
              <w:spacing w:val="-1"/>
              <w:sz w:val="21"/>
              <w:szCs w:val="21"/>
            </w:rPr>
            <w:t>技术标评审</w:t>
          </w:r>
          <w:r>
            <w:rPr>
              <w:rFonts w:ascii="宋体" w:hAnsi="宋体" w:eastAsia="宋体" w:cs="宋体"/>
              <w:spacing w:val="-29"/>
              <w:sz w:val="21"/>
              <w:szCs w:val="21"/>
            </w:rPr>
            <w:t xml:space="preserve"> </w:t>
          </w:r>
          <w:r>
            <w:rPr>
              <w:rFonts w:ascii="宋体" w:hAnsi="宋体" w:eastAsia="宋体" w:cs="宋体"/>
              <w:sz w:val="21"/>
              <w:szCs w:val="21"/>
            </w:rPr>
            <w:tab/>
          </w:r>
          <w:r>
            <w:rPr>
              <w:rFonts w:ascii="宋体" w:hAnsi="宋体" w:eastAsia="宋体" w:cs="宋体"/>
              <w:spacing w:val="-22"/>
              <w:sz w:val="21"/>
              <w:szCs w:val="21"/>
            </w:rPr>
            <w:t xml:space="preserve"> </w:t>
          </w:r>
          <w:r>
            <w:fldChar w:fldCharType="begin"/>
          </w:r>
          <w:r>
            <w:instrText xml:space="preserve"> HYPERLINK \l "bookmark184" </w:instrText>
          </w:r>
          <w:r>
            <w:fldChar w:fldCharType="separate"/>
          </w:r>
          <w:r>
            <w:rPr>
              <w:rFonts w:ascii="宋体" w:hAnsi="宋体" w:eastAsia="宋体" w:cs="宋体"/>
              <w:spacing w:val="-4"/>
              <w:sz w:val="21"/>
              <w:szCs w:val="21"/>
            </w:rPr>
            <w:t>74</w:t>
          </w:r>
          <w:r>
            <w:rPr>
              <w:rFonts w:ascii="宋体" w:hAnsi="宋体" w:eastAsia="宋体" w:cs="宋体"/>
              <w:spacing w:val="-4"/>
              <w:sz w:val="21"/>
              <w:szCs w:val="21"/>
            </w:rPr>
            <w:fldChar w:fldCharType="end"/>
          </w:r>
        </w:p>
        <w:p w14:paraId="43C981D9">
          <w:pPr>
            <w:tabs>
              <w:tab w:val="right" w:leader="dot" w:pos="8317"/>
            </w:tabs>
            <w:spacing w:before="23" w:line="221" w:lineRule="auto"/>
            <w:ind w:left="852"/>
            <w:rPr>
              <w:rFonts w:ascii="宋体" w:hAnsi="宋体" w:eastAsia="宋体" w:cs="宋体"/>
              <w:sz w:val="21"/>
              <w:szCs w:val="21"/>
            </w:rPr>
          </w:pPr>
          <w:r>
            <w:rPr>
              <w:rFonts w:ascii="宋体" w:hAnsi="宋体" w:eastAsia="宋体" w:cs="宋体"/>
              <w:spacing w:val="-1"/>
              <w:sz w:val="21"/>
              <w:szCs w:val="21"/>
            </w:rPr>
            <w:t>A3.5</w:t>
          </w:r>
          <w:r>
            <w:rPr>
              <w:rFonts w:ascii="宋体" w:hAnsi="宋体" w:eastAsia="宋体" w:cs="宋体"/>
              <w:spacing w:val="-40"/>
              <w:sz w:val="21"/>
              <w:szCs w:val="21"/>
            </w:rPr>
            <w:t xml:space="preserve"> </w:t>
          </w:r>
          <w:r>
            <w:rPr>
              <w:rFonts w:ascii="宋体" w:hAnsi="宋体" w:eastAsia="宋体" w:cs="宋体"/>
              <w:spacing w:val="-1"/>
              <w:sz w:val="21"/>
              <w:szCs w:val="21"/>
            </w:rPr>
            <w:t>算术错误修正</w:t>
          </w:r>
          <w:r>
            <w:rPr>
              <w:rFonts w:ascii="宋体" w:hAnsi="宋体" w:eastAsia="宋体" w:cs="宋体"/>
              <w:spacing w:val="-28"/>
              <w:sz w:val="21"/>
              <w:szCs w:val="21"/>
            </w:rPr>
            <w:t xml:space="preserve"> </w:t>
          </w:r>
          <w:r>
            <w:rPr>
              <w:rFonts w:ascii="宋体" w:hAnsi="宋体" w:eastAsia="宋体" w:cs="宋体"/>
              <w:sz w:val="21"/>
              <w:szCs w:val="21"/>
            </w:rPr>
            <w:tab/>
          </w:r>
          <w:r>
            <w:rPr>
              <w:rFonts w:ascii="宋体" w:hAnsi="宋体" w:eastAsia="宋体" w:cs="宋体"/>
              <w:spacing w:val="-22"/>
              <w:sz w:val="21"/>
              <w:szCs w:val="21"/>
            </w:rPr>
            <w:t xml:space="preserve"> </w:t>
          </w:r>
          <w:r>
            <w:fldChar w:fldCharType="begin"/>
          </w:r>
          <w:r>
            <w:instrText xml:space="preserve"> HYPERLINK \l "bookmark185" </w:instrText>
          </w:r>
          <w:r>
            <w:fldChar w:fldCharType="separate"/>
          </w:r>
          <w:r>
            <w:rPr>
              <w:rFonts w:ascii="宋体" w:hAnsi="宋体" w:eastAsia="宋体" w:cs="宋体"/>
              <w:spacing w:val="-4"/>
              <w:sz w:val="21"/>
              <w:szCs w:val="21"/>
            </w:rPr>
            <w:t>74</w:t>
          </w:r>
          <w:r>
            <w:rPr>
              <w:rFonts w:ascii="宋体" w:hAnsi="宋体" w:eastAsia="宋体" w:cs="宋体"/>
              <w:spacing w:val="-4"/>
              <w:sz w:val="21"/>
              <w:szCs w:val="21"/>
            </w:rPr>
            <w:fldChar w:fldCharType="end"/>
          </w:r>
        </w:p>
        <w:p w14:paraId="2CDF73FD">
          <w:pPr>
            <w:tabs>
              <w:tab w:val="right" w:leader="dot" w:pos="8317"/>
            </w:tabs>
            <w:spacing w:before="22" w:line="219" w:lineRule="auto"/>
            <w:ind w:left="852"/>
            <w:rPr>
              <w:rFonts w:ascii="宋体" w:hAnsi="宋体" w:eastAsia="宋体" w:cs="宋体"/>
              <w:sz w:val="21"/>
              <w:szCs w:val="21"/>
            </w:rPr>
          </w:pPr>
          <w:r>
            <w:rPr>
              <w:rFonts w:ascii="宋体" w:hAnsi="宋体" w:eastAsia="宋体" w:cs="宋体"/>
              <w:sz w:val="21"/>
              <w:szCs w:val="21"/>
            </w:rPr>
            <w:t>A3.6 判断投标报价是否低于成本</w:t>
          </w:r>
          <w:r>
            <w:rPr>
              <w:rFonts w:ascii="宋体" w:hAnsi="宋体" w:eastAsia="宋体" w:cs="宋体"/>
              <w:spacing w:val="-71"/>
              <w:sz w:val="21"/>
              <w:szCs w:val="21"/>
            </w:rPr>
            <w:t xml:space="preserve"> </w:t>
          </w:r>
          <w:r>
            <w:rPr>
              <w:rFonts w:ascii="宋体" w:hAnsi="宋体" w:eastAsia="宋体" w:cs="宋体"/>
              <w:sz w:val="21"/>
              <w:szCs w:val="21"/>
            </w:rPr>
            <w:tab/>
          </w:r>
          <w:r>
            <w:rPr>
              <w:rFonts w:ascii="宋体" w:hAnsi="宋体" w:eastAsia="宋体" w:cs="宋体"/>
              <w:spacing w:val="-23"/>
              <w:sz w:val="21"/>
              <w:szCs w:val="21"/>
            </w:rPr>
            <w:t xml:space="preserve"> </w:t>
          </w:r>
          <w:r>
            <w:fldChar w:fldCharType="begin"/>
          </w:r>
          <w:r>
            <w:instrText xml:space="preserve"> HYPERLINK \l "bookmark186" </w:instrText>
          </w:r>
          <w:r>
            <w:fldChar w:fldCharType="separate"/>
          </w:r>
          <w:r>
            <w:rPr>
              <w:rFonts w:ascii="宋体" w:hAnsi="宋体" w:eastAsia="宋体" w:cs="宋体"/>
              <w:spacing w:val="-4"/>
              <w:sz w:val="21"/>
              <w:szCs w:val="21"/>
            </w:rPr>
            <w:t>74</w:t>
          </w:r>
          <w:r>
            <w:rPr>
              <w:rFonts w:ascii="宋体" w:hAnsi="宋体" w:eastAsia="宋体" w:cs="宋体"/>
              <w:spacing w:val="-4"/>
              <w:sz w:val="21"/>
              <w:szCs w:val="21"/>
            </w:rPr>
            <w:fldChar w:fldCharType="end"/>
          </w:r>
        </w:p>
        <w:p w14:paraId="246C8D74">
          <w:pPr>
            <w:tabs>
              <w:tab w:val="right" w:leader="dot" w:pos="8317"/>
            </w:tabs>
            <w:spacing w:before="19" w:line="221" w:lineRule="auto"/>
            <w:ind w:left="852"/>
            <w:rPr>
              <w:rFonts w:ascii="宋体" w:hAnsi="宋体" w:eastAsia="宋体" w:cs="宋体"/>
              <w:sz w:val="21"/>
              <w:szCs w:val="21"/>
            </w:rPr>
          </w:pPr>
          <w:r>
            <w:rPr>
              <w:rFonts w:ascii="宋体" w:hAnsi="宋体" w:eastAsia="宋体" w:cs="宋体"/>
              <w:sz w:val="21"/>
              <w:szCs w:val="21"/>
            </w:rPr>
            <w:t>A3.7 判断投标是否为应当被否决</w:t>
          </w:r>
          <w:r>
            <w:rPr>
              <w:rFonts w:ascii="宋体" w:hAnsi="宋体" w:eastAsia="宋体" w:cs="宋体"/>
              <w:spacing w:val="-71"/>
              <w:sz w:val="21"/>
              <w:szCs w:val="21"/>
            </w:rPr>
            <w:t xml:space="preserve"> </w:t>
          </w:r>
          <w:r>
            <w:rPr>
              <w:rFonts w:ascii="宋体" w:hAnsi="宋体" w:eastAsia="宋体" w:cs="宋体"/>
              <w:sz w:val="21"/>
              <w:szCs w:val="21"/>
            </w:rPr>
            <w:tab/>
          </w:r>
          <w:r>
            <w:rPr>
              <w:rFonts w:ascii="宋体" w:hAnsi="宋体" w:eastAsia="宋体" w:cs="宋体"/>
              <w:spacing w:val="-23"/>
              <w:sz w:val="21"/>
              <w:szCs w:val="21"/>
            </w:rPr>
            <w:t xml:space="preserve"> </w:t>
          </w:r>
          <w:r>
            <w:fldChar w:fldCharType="begin"/>
          </w:r>
          <w:r>
            <w:instrText xml:space="preserve"> HYPERLINK \l "bookmark187" </w:instrText>
          </w:r>
          <w:r>
            <w:fldChar w:fldCharType="separate"/>
          </w:r>
          <w:r>
            <w:rPr>
              <w:rFonts w:ascii="宋体" w:hAnsi="宋体" w:eastAsia="宋体" w:cs="宋体"/>
              <w:spacing w:val="-4"/>
              <w:sz w:val="21"/>
              <w:szCs w:val="21"/>
            </w:rPr>
            <w:t>74</w:t>
          </w:r>
          <w:r>
            <w:rPr>
              <w:rFonts w:ascii="宋体" w:hAnsi="宋体" w:eastAsia="宋体" w:cs="宋体"/>
              <w:spacing w:val="-4"/>
              <w:sz w:val="21"/>
              <w:szCs w:val="21"/>
            </w:rPr>
            <w:fldChar w:fldCharType="end"/>
          </w:r>
        </w:p>
        <w:p w14:paraId="34057215">
          <w:pPr>
            <w:tabs>
              <w:tab w:val="right" w:leader="dot" w:pos="8317"/>
            </w:tabs>
            <w:spacing w:before="23" w:line="221" w:lineRule="auto"/>
            <w:ind w:left="852"/>
            <w:rPr>
              <w:rFonts w:ascii="宋体" w:hAnsi="宋体" w:eastAsia="宋体" w:cs="宋体"/>
              <w:sz w:val="21"/>
              <w:szCs w:val="21"/>
            </w:rPr>
          </w:pPr>
          <w:r>
            <w:rPr>
              <w:rFonts w:ascii="宋体" w:hAnsi="宋体" w:eastAsia="宋体" w:cs="宋体"/>
              <w:sz w:val="21"/>
              <w:szCs w:val="21"/>
            </w:rPr>
            <w:t>A3.8 澄清、说明或补正</w:t>
          </w:r>
          <w:r>
            <w:rPr>
              <w:rFonts w:ascii="宋体" w:hAnsi="宋体" w:eastAsia="宋体" w:cs="宋体"/>
              <w:spacing w:val="-76"/>
              <w:sz w:val="21"/>
              <w:szCs w:val="21"/>
            </w:rPr>
            <w:t xml:space="preserve"> </w:t>
          </w:r>
          <w:r>
            <w:rPr>
              <w:rFonts w:ascii="宋体" w:hAnsi="宋体" w:eastAsia="宋体" w:cs="宋体"/>
              <w:sz w:val="21"/>
              <w:szCs w:val="21"/>
            </w:rPr>
            <w:tab/>
          </w:r>
          <w:r>
            <w:rPr>
              <w:rFonts w:ascii="宋体" w:hAnsi="宋体" w:eastAsia="宋体" w:cs="宋体"/>
              <w:spacing w:val="-23"/>
              <w:sz w:val="21"/>
              <w:szCs w:val="21"/>
            </w:rPr>
            <w:t xml:space="preserve"> </w:t>
          </w:r>
          <w:r>
            <w:fldChar w:fldCharType="begin"/>
          </w:r>
          <w:r>
            <w:instrText xml:space="preserve"> HYPERLINK \l "bookmark188" </w:instrText>
          </w:r>
          <w:r>
            <w:fldChar w:fldCharType="separate"/>
          </w:r>
          <w:r>
            <w:rPr>
              <w:rFonts w:ascii="宋体" w:hAnsi="宋体" w:eastAsia="宋体" w:cs="宋体"/>
              <w:spacing w:val="-4"/>
              <w:sz w:val="21"/>
              <w:szCs w:val="21"/>
            </w:rPr>
            <w:t>75</w:t>
          </w:r>
          <w:r>
            <w:rPr>
              <w:rFonts w:ascii="宋体" w:hAnsi="宋体" w:eastAsia="宋体" w:cs="宋体"/>
              <w:spacing w:val="-4"/>
              <w:sz w:val="21"/>
              <w:szCs w:val="21"/>
            </w:rPr>
            <w:fldChar w:fldCharType="end"/>
          </w:r>
        </w:p>
        <w:p w14:paraId="2A2D424F">
          <w:pPr>
            <w:tabs>
              <w:tab w:val="right" w:leader="dot" w:pos="8317"/>
            </w:tabs>
            <w:spacing w:before="23" w:line="221" w:lineRule="auto"/>
            <w:ind w:left="852"/>
            <w:rPr>
              <w:rFonts w:ascii="宋体" w:hAnsi="宋体" w:eastAsia="宋体" w:cs="宋体"/>
              <w:sz w:val="21"/>
              <w:szCs w:val="21"/>
            </w:rPr>
          </w:pPr>
          <w:r>
            <w:rPr>
              <w:rFonts w:ascii="宋体" w:hAnsi="宋体" w:eastAsia="宋体" w:cs="宋体"/>
              <w:sz w:val="21"/>
              <w:szCs w:val="21"/>
            </w:rPr>
            <w:t>A4.详细评审</w:t>
          </w:r>
          <w:r>
            <w:rPr>
              <w:rFonts w:ascii="宋体" w:hAnsi="宋体" w:eastAsia="宋体" w:cs="宋体"/>
              <w:spacing w:val="-82"/>
              <w:sz w:val="21"/>
              <w:szCs w:val="21"/>
            </w:rPr>
            <w:t xml:space="preserve"> </w:t>
          </w:r>
          <w:r>
            <w:rPr>
              <w:rFonts w:ascii="宋体" w:hAnsi="宋体" w:eastAsia="宋体" w:cs="宋体"/>
              <w:sz w:val="21"/>
              <w:szCs w:val="21"/>
            </w:rPr>
            <w:tab/>
          </w:r>
          <w:r>
            <w:rPr>
              <w:rFonts w:ascii="宋体" w:hAnsi="宋体" w:eastAsia="宋体" w:cs="宋体"/>
              <w:spacing w:val="-22"/>
              <w:sz w:val="21"/>
              <w:szCs w:val="21"/>
            </w:rPr>
            <w:t xml:space="preserve"> </w:t>
          </w:r>
          <w:r>
            <w:fldChar w:fldCharType="begin"/>
          </w:r>
          <w:r>
            <w:instrText xml:space="preserve"> HYPERLINK \l "bookmark189" </w:instrText>
          </w:r>
          <w:r>
            <w:fldChar w:fldCharType="separate"/>
          </w:r>
          <w:r>
            <w:rPr>
              <w:rFonts w:ascii="宋体" w:hAnsi="宋体" w:eastAsia="宋体" w:cs="宋体"/>
              <w:spacing w:val="-4"/>
              <w:sz w:val="21"/>
              <w:szCs w:val="21"/>
            </w:rPr>
            <w:t>75</w:t>
          </w:r>
          <w:r>
            <w:rPr>
              <w:rFonts w:ascii="宋体" w:hAnsi="宋体" w:eastAsia="宋体" w:cs="宋体"/>
              <w:spacing w:val="-4"/>
              <w:sz w:val="21"/>
              <w:szCs w:val="21"/>
            </w:rPr>
            <w:fldChar w:fldCharType="end"/>
          </w:r>
        </w:p>
        <w:p w14:paraId="3982FA7C">
          <w:pPr>
            <w:tabs>
              <w:tab w:val="right" w:leader="dot" w:pos="8317"/>
            </w:tabs>
            <w:spacing w:before="18" w:line="221" w:lineRule="auto"/>
            <w:ind w:left="852"/>
            <w:rPr>
              <w:rFonts w:ascii="宋体" w:hAnsi="宋体" w:eastAsia="宋体" w:cs="宋体"/>
              <w:sz w:val="21"/>
              <w:szCs w:val="21"/>
            </w:rPr>
          </w:pPr>
          <w:r>
            <w:rPr>
              <w:rFonts w:ascii="宋体" w:hAnsi="宋体" w:eastAsia="宋体" w:cs="宋体"/>
              <w:spacing w:val="-1"/>
              <w:sz w:val="21"/>
              <w:szCs w:val="21"/>
            </w:rPr>
            <w:t>A4.1</w:t>
          </w:r>
          <w:r>
            <w:rPr>
              <w:rFonts w:ascii="宋体" w:hAnsi="宋体" w:eastAsia="宋体" w:cs="宋体"/>
              <w:spacing w:val="-38"/>
              <w:sz w:val="21"/>
              <w:szCs w:val="21"/>
            </w:rPr>
            <w:t xml:space="preserve"> </w:t>
          </w:r>
          <w:r>
            <w:rPr>
              <w:rFonts w:ascii="宋体" w:hAnsi="宋体" w:eastAsia="宋体" w:cs="宋体"/>
              <w:spacing w:val="-1"/>
              <w:sz w:val="21"/>
              <w:szCs w:val="21"/>
            </w:rPr>
            <w:t>详细评审的程序</w:t>
          </w:r>
          <w:r>
            <w:rPr>
              <w:rFonts w:ascii="宋体" w:hAnsi="宋体" w:eastAsia="宋体" w:cs="宋体"/>
              <w:spacing w:val="-28"/>
              <w:sz w:val="21"/>
              <w:szCs w:val="21"/>
            </w:rPr>
            <w:t xml:space="preserve"> </w:t>
          </w:r>
          <w:r>
            <w:rPr>
              <w:rFonts w:ascii="宋体" w:hAnsi="宋体" w:eastAsia="宋体" w:cs="宋体"/>
              <w:sz w:val="21"/>
              <w:szCs w:val="21"/>
            </w:rPr>
            <w:tab/>
          </w:r>
          <w:r>
            <w:rPr>
              <w:rFonts w:ascii="宋体" w:hAnsi="宋体" w:eastAsia="宋体" w:cs="宋体"/>
              <w:spacing w:val="-23"/>
              <w:sz w:val="21"/>
              <w:szCs w:val="21"/>
            </w:rPr>
            <w:t xml:space="preserve"> </w:t>
          </w:r>
          <w:r>
            <w:fldChar w:fldCharType="begin"/>
          </w:r>
          <w:r>
            <w:instrText xml:space="preserve"> HYPERLINK \l "bookmark190" </w:instrText>
          </w:r>
          <w:r>
            <w:fldChar w:fldCharType="separate"/>
          </w:r>
          <w:r>
            <w:rPr>
              <w:rFonts w:ascii="宋体" w:hAnsi="宋体" w:eastAsia="宋体" w:cs="宋体"/>
              <w:spacing w:val="-4"/>
              <w:sz w:val="21"/>
              <w:szCs w:val="21"/>
            </w:rPr>
            <w:t>75</w:t>
          </w:r>
          <w:r>
            <w:rPr>
              <w:rFonts w:ascii="宋体" w:hAnsi="宋体" w:eastAsia="宋体" w:cs="宋体"/>
              <w:spacing w:val="-4"/>
              <w:sz w:val="21"/>
              <w:szCs w:val="21"/>
            </w:rPr>
            <w:fldChar w:fldCharType="end"/>
          </w:r>
        </w:p>
        <w:p w14:paraId="740B4334">
          <w:pPr>
            <w:tabs>
              <w:tab w:val="right" w:leader="dot" w:pos="8317"/>
            </w:tabs>
            <w:spacing w:before="21" w:line="221" w:lineRule="auto"/>
            <w:ind w:left="852"/>
            <w:rPr>
              <w:rFonts w:ascii="宋体" w:hAnsi="宋体" w:eastAsia="宋体" w:cs="宋体"/>
              <w:sz w:val="21"/>
              <w:szCs w:val="21"/>
            </w:rPr>
          </w:pPr>
          <w:r>
            <w:rPr>
              <w:rFonts w:ascii="宋体" w:hAnsi="宋体" w:eastAsia="宋体" w:cs="宋体"/>
              <w:spacing w:val="-1"/>
              <w:sz w:val="21"/>
              <w:szCs w:val="21"/>
            </w:rPr>
            <w:t>A4.2</w:t>
          </w:r>
          <w:r>
            <w:rPr>
              <w:rFonts w:ascii="宋体" w:hAnsi="宋体" w:eastAsia="宋体" w:cs="宋体"/>
              <w:spacing w:val="-41"/>
              <w:sz w:val="21"/>
              <w:szCs w:val="21"/>
            </w:rPr>
            <w:t xml:space="preserve"> </w:t>
          </w:r>
          <w:r>
            <w:rPr>
              <w:rFonts w:ascii="宋体" w:hAnsi="宋体" w:eastAsia="宋体" w:cs="宋体"/>
              <w:spacing w:val="-1"/>
              <w:sz w:val="21"/>
              <w:szCs w:val="21"/>
            </w:rPr>
            <w:t>澄清、说明或补正</w:t>
          </w:r>
          <w:r>
            <w:rPr>
              <w:rFonts w:ascii="宋体" w:hAnsi="宋体" w:eastAsia="宋体" w:cs="宋体"/>
              <w:spacing w:val="-23"/>
              <w:sz w:val="21"/>
              <w:szCs w:val="21"/>
            </w:rPr>
            <w:t xml:space="preserve"> </w:t>
          </w:r>
          <w:r>
            <w:rPr>
              <w:rFonts w:ascii="宋体" w:hAnsi="宋体" w:eastAsia="宋体" w:cs="宋体"/>
              <w:sz w:val="21"/>
              <w:szCs w:val="21"/>
            </w:rPr>
            <w:tab/>
          </w:r>
          <w:r>
            <w:rPr>
              <w:rFonts w:ascii="宋体" w:hAnsi="宋体" w:eastAsia="宋体" w:cs="宋体"/>
              <w:spacing w:val="-23"/>
              <w:sz w:val="21"/>
              <w:szCs w:val="21"/>
            </w:rPr>
            <w:t xml:space="preserve"> </w:t>
          </w:r>
          <w:r>
            <w:fldChar w:fldCharType="begin"/>
          </w:r>
          <w:r>
            <w:instrText xml:space="preserve"> HYPERLINK \l "bookmark191" </w:instrText>
          </w:r>
          <w:r>
            <w:fldChar w:fldCharType="separate"/>
          </w:r>
          <w:r>
            <w:rPr>
              <w:rFonts w:ascii="宋体" w:hAnsi="宋体" w:eastAsia="宋体" w:cs="宋体"/>
              <w:spacing w:val="-4"/>
              <w:sz w:val="21"/>
              <w:szCs w:val="21"/>
            </w:rPr>
            <w:t>75</w:t>
          </w:r>
          <w:r>
            <w:rPr>
              <w:rFonts w:ascii="宋体" w:hAnsi="宋体" w:eastAsia="宋体" w:cs="宋体"/>
              <w:spacing w:val="-4"/>
              <w:sz w:val="21"/>
              <w:szCs w:val="21"/>
            </w:rPr>
            <w:fldChar w:fldCharType="end"/>
          </w:r>
        </w:p>
        <w:p w14:paraId="3398F7E6">
          <w:pPr>
            <w:tabs>
              <w:tab w:val="right" w:leader="dot" w:pos="8317"/>
            </w:tabs>
            <w:spacing w:before="23" w:line="221" w:lineRule="auto"/>
            <w:ind w:left="852"/>
            <w:rPr>
              <w:rFonts w:ascii="宋体" w:hAnsi="宋体" w:eastAsia="宋体" w:cs="宋体"/>
              <w:sz w:val="21"/>
              <w:szCs w:val="21"/>
            </w:rPr>
          </w:pPr>
          <w:r>
            <w:rPr>
              <w:rFonts w:ascii="宋体" w:hAnsi="宋体" w:eastAsia="宋体" w:cs="宋体"/>
              <w:spacing w:val="-2"/>
              <w:sz w:val="21"/>
              <w:szCs w:val="21"/>
            </w:rPr>
            <w:t>A4.3</w:t>
          </w:r>
          <w:r>
            <w:rPr>
              <w:rFonts w:ascii="宋体" w:hAnsi="宋体" w:eastAsia="宋体" w:cs="宋体"/>
              <w:spacing w:val="-43"/>
              <w:sz w:val="21"/>
              <w:szCs w:val="21"/>
            </w:rPr>
            <w:t xml:space="preserve"> </w:t>
          </w:r>
          <w:r>
            <w:rPr>
              <w:rFonts w:ascii="宋体" w:hAnsi="宋体" w:eastAsia="宋体" w:cs="宋体"/>
              <w:spacing w:val="-2"/>
              <w:sz w:val="21"/>
              <w:szCs w:val="21"/>
            </w:rPr>
            <w:t xml:space="preserve">汇总评分（评审）结果 </w:t>
          </w:r>
          <w:r>
            <w:rPr>
              <w:rFonts w:ascii="宋体" w:hAnsi="宋体" w:eastAsia="宋体" w:cs="宋体"/>
              <w:sz w:val="21"/>
              <w:szCs w:val="21"/>
            </w:rPr>
            <w:tab/>
          </w:r>
          <w:r>
            <w:rPr>
              <w:rFonts w:ascii="宋体" w:hAnsi="宋体" w:eastAsia="宋体" w:cs="宋体"/>
              <w:spacing w:val="-23"/>
              <w:sz w:val="21"/>
              <w:szCs w:val="21"/>
            </w:rPr>
            <w:t xml:space="preserve"> </w:t>
          </w:r>
          <w:r>
            <w:fldChar w:fldCharType="begin"/>
          </w:r>
          <w:r>
            <w:instrText xml:space="preserve"> HYPERLINK \l "bookmark192" </w:instrText>
          </w:r>
          <w:r>
            <w:fldChar w:fldCharType="separate"/>
          </w:r>
          <w:r>
            <w:rPr>
              <w:rFonts w:ascii="宋体" w:hAnsi="宋体" w:eastAsia="宋体" w:cs="宋体"/>
              <w:spacing w:val="-4"/>
              <w:sz w:val="21"/>
              <w:szCs w:val="21"/>
            </w:rPr>
            <w:t>75</w:t>
          </w:r>
          <w:r>
            <w:rPr>
              <w:rFonts w:ascii="宋体" w:hAnsi="宋体" w:eastAsia="宋体" w:cs="宋体"/>
              <w:spacing w:val="-4"/>
              <w:sz w:val="21"/>
              <w:szCs w:val="21"/>
            </w:rPr>
            <w:fldChar w:fldCharType="end"/>
          </w:r>
        </w:p>
        <w:p w14:paraId="77D7E1C2">
          <w:pPr>
            <w:tabs>
              <w:tab w:val="right" w:leader="dot" w:pos="8317"/>
            </w:tabs>
            <w:spacing w:before="22" w:line="220" w:lineRule="auto"/>
            <w:ind w:left="852"/>
            <w:rPr>
              <w:rFonts w:ascii="宋体" w:hAnsi="宋体" w:eastAsia="宋体" w:cs="宋体"/>
              <w:sz w:val="21"/>
              <w:szCs w:val="21"/>
            </w:rPr>
          </w:pPr>
          <w:r>
            <w:rPr>
              <w:rFonts w:ascii="宋体" w:hAnsi="宋体" w:eastAsia="宋体" w:cs="宋体"/>
              <w:sz w:val="21"/>
              <w:szCs w:val="21"/>
            </w:rPr>
            <w:t>A5.推荐中标候选人或者直接确定中标人</w:t>
          </w:r>
          <w:r>
            <w:rPr>
              <w:rFonts w:ascii="宋体" w:hAnsi="宋体" w:eastAsia="宋体" w:cs="宋体"/>
              <w:spacing w:val="-67"/>
              <w:sz w:val="21"/>
              <w:szCs w:val="21"/>
            </w:rPr>
            <w:t xml:space="preserve"> </w:t>
          </w:r>
          <w:r>
            <w:rPr>
              <w:rFonts w:ascii="宋体" w:hAnsi="宋体" w:eastAsia="宋体" w:cs="宋体"/>
              <w:sz w:val="21"/>
              <w:szCs w:val="21"/>
            </w:rPr>
            <w:tab/>
          </w:r>
          <w:r>
            <w:rPr>
              <w:rFonts w:ascii="宋体" w:hAnsi="宋体" w:eastAsia="宋体" w:cs="宋体"/>
              <w:spacing w:val="-23"/>
              <w:sz w:val="21"/>
              <w:szCs w:val="21"/>
            </w:rPr>
            <w:t xml:space="preserve"> </w:t>
          </w:r>
          <w:r>
            <w:fldChar w:fldCharType="begin"/>
          </w:r>
          <w:r>
            <w:instrText xml:space="preserve"> HYPERLINK \l "bookmark193" </w:instrText>
          </w:r>
          <w:r>
            <w:fldChar w:fldCharType="separate"/>
          </w:r>
          <w:r>
            <w:rPr>
              <w:rFonts w:ascii="宋体" w:hAnsi="宋体" w:eastAsia="宋体" w:cs="宋体"/>
              <w:spacing w:val="-4"/>
              <w:sz w:val="21"/>
              <w:szCs w:val="21"/>
            </w:rPr>
            <w:t>75</w:t>
          </w:r>
          <w:r>
            <w:rPr>
              <w:rFonts w:ascii="宋体" w:hAnsi="宋体" w:eastAsia="宋体" w:cs="宋体"/>
              <w:spacing w:val="-4"/>
              <w:sz w:val="21"/>
              <w:szCs w:val="21"/>
            </w:rPr>
            <w:fldChar w:fldCharType="end"/>
          </w:r>
        </w:p>
        <w:p w14:paraId="13873F68">
          <w:pPr>
            <w:tabs>
              <w:tab w:val="right" w:leader="dot" w:pos="8317"/>
            </w:tabs>
            <w:spacing w:before="18" w:line="220" w:lineRule="auto"/>
            <w:ind w:left="852"/>
            <w:rPr>
              <w:rFonts w:ascii="宋体" w:hAnsi="宋体" w:eastAsia="宋体" w:cs="宋体"/>
              <w:sz w:val="21"/>
              <w:szCs w:val="21"/>
            </w:rPr>
          </w:pPr>
          <w:r>
            <w:rPr>
              <w:rFonts w:ascii="宋体" w:hAnsi="宋体" w:eastAsia="宋体" w:cs="宋体"/>
              <w:spacing w:val="-1"/>
              <w:sz w:val="21"/>
              <w:szCs w:val="21"/>
            </w:rPr>
            <w:t>A5.1</w:t>
          </w:r>
          <w:r>
            <w:rPr>
              <w:rFonts w:ascii="宋体" w:hAnsi="宋体" w:eastAsia="宋体" w:cs="宋体"/>
              <w:spacing w:val="-38"/>
              <w:sz w:val="21"/>
              <w:szCs w:val="21"/>
            </w:rPr>
            <w:t xml:space="preserve"> </w:t>
          </w:r>
          <w:r>
            <w:rPr>
              <w:rFonts w:ascii="宋体" w:hAnsi="宋体" w:eastAsia="宋体" w:cs="宋体"/>
              <w:spacing w:val="-1"/>
              <w:sz w:val="21"/>
              <w:szCs w:val="21"/>
            </w:rPr>
            <w:t>推荐中标候选人</w:t>
          </w:r>
          <w:r>
            <w:rPr>
              <w:rFonts w:ascii="宋体" w:hAnsi="宋体" w:eastAsia="宋体" w:cs="宋体"/>
              <w:spacing w:val="-28"/>
              <w:sz w:val="21"/>
              <w:szCs w:val="21"/>
            </w:rPr>
            <w:t xml:space="preserve"> </w:t>
          </w:r>
          <w:r>
            <w:rPr>
              <w:rFonts w:ascii="宋体" w:hAnsi="宋体" w:eastAsia="宋体" w:cs="宋体"/>
              <w:sz w:val="21"/>
              <w:szCs w:val="21"/>
            </w:rPr>
            <w:tab/>
          </w:r>
          <w:r>
            <w:rPr>
              <w:rFonts w:ascii="宋体" w:hAnsi="宋体" w:eastAsia="宋体" w:cs="宋体"/>
              <w:spacing w:val="-23"/>
              <w:sz w:val="21"/>
              <w:szCs w:val="21"/>
            </w:rPr>
            <w:t xml:space="preserve"> </w:t>
          </w:r>
          <w:r>
            <w:fldChar w:fldCharType="begin"/>
          </w:r>
          <w:r>
            <w:instrText xml:space="preserve"> HYPERLINK \l "bookmark194" </w:instrText>
          </w:r>
          <w:r>
            <w:fldChar w:fldCharType="separate"/>
          </w:r>
          <w:r>
            <w:rPr>
              <w:rFonts w:ascii="宋体" w:hAnsi="宋体" w:eastAsia="宋体" w:cs="宋体"/>
              <w:spacing w:val="-4"/>
              <w:sz w:val="21"/>
              <w:szCs w:val="21"/>
            </w:rPr>
            <w:t>75</w:t>
          </w:r>
          <w:r>
            <w:rPr>
              <w:rFonts w:ascii="宋体" w:hAnsi="宋体" w:eastAsia="宋体" w:cs="宋体"/>
              <w:spacing w:val="-4"/>
              <w:sz w:val="21"/>
              <w:szCs w:val="21"/>
            </w:rPr>
            <w:fldChar w:fldCharType="end"/>
          </w:r>
        </w:p>
        <w:p w14:paraId="2AAE7DC9">
          <w:pPr>
            <w:tabs>
              <w:tab w:val="right" w:leader="dot" w:pos="8317"/>
            </w:tabs>
            <w:spacing w:before="24" w:line="221" w:lineRule="auto"/>
            <w:ind w:left="852"/>
            <w:rPr>
              <w:rFonts w:ascii="宋体" w:hAnsi="宋体" w:eastAsia="宋体" w:cs="宋体"/>
              <w:sz w:val="21"/>
              <w:szCs w:val="21"/>
            </w:rPr>
          </w:pPr>
          <w:r>
            <w:rPr>
              <w:rFonts w:ascii="宋体" w:hAnsi="宋体" w:eastAsia="宋体" w:cs="宋体"/>
              <w:spacing w:val="-1"/>
              <w:sz w:val="21"/>
              <w:szCs w:val="21"/>
            </w:rPr>
            <w:t>A5.2</w:t>
          </w:r>
          <w:r>
            <w:rPr>
              <w:rFonts w:ascii="宋体" w:hAnsi="宋体" w:eastAsia="宋体" w:cs="宋体"/>
              <w:spacing w:val="-38"/>
              <w:sz w:val="21"/>
              <w:szCs w:val="21"/>
            </w:rPr>
            <w:t xml:space="preserve"> </w:t>
          </w:r>
          <w:r>
            <w:rPr>
              <w:rFonts w:ascii="宋体" w:hAnsi="宋体" w:eastAsia="宋体" w:cs="宋体"/>
              <w:spacing w:val="-1"/>
              <w:sz w:val="21"/>
              <w:szCs w:val="21"/>
            </w:rPr>
            <w:t>直接确定中标人</w:t>
          </w:r>
          <w:r>
            <w:rPr>
              <w:rFonts w:ascii="宋体" w:hAnsi="宋体" w:eastAsia="宋体" w:cs="宋体"/>
              <w:spacing w:val="-28"/>
              <w:sz w:val="21"/>
              <w:szCs w:val="21"/>
            </w:rPr>
            <w:t xml:space="preserve"> </w:t>
          </w:r>
          <w:r>
            <w:rPr>
              <w:rFonts w:ascii="宋体" w:hAnsi="宋体" w:eastAsia="宋体" w:cs="宋体"/>
              <w:sz w:val="21"/>
              <w:szCs w:val="21"/>
            </w:rPr>
            <w:tab/>
          </w:r>
          <w:r>
            <w:rPr>
              <w:rFonts w:ascii="宋体" w:hAnsi="宋体" w:eastAsia="宋体" w:cs="宋体"/>
              <w:spacing w:val="-23"/>
              <w:sz w:val="21"/>
              <w:szCs w:val="21"/>
            </w:rPr>
            <w:t xml:space="preserve"> </w:t>
          </w:r>
          <w:r>
            <w:fldChar w:fldCharType="begin"/>
          </w:r>
          <w:r>
            <w:instrText xml:space="preserve"> HYPERLINK \l "bookmark195" </w:instrText>
          </w:r>
          <w:r>
            <w:fldChar w:fldCharType="separate"/>
          </w:r>
          <w:r>
            <w:rPr>
              <w:rFonts w:ascii="宋体" w:hAnsi="宋体" w:eastAsia="宋体" w:cs="宋体"/>
              <w:spacing w:val="-4"/>
              <w:sz w:val="21"/>
              <w:szCs w:val="21"/>
            </w:rPr>
            <w:t>76</w:t>
          </w:r>
          <w:r>
            <w:rPr>
              <w:rFonts w:ascii="宋体" w:hAnsi="宋体" w:eastAsia="宋体" w:cs="宋体"/>
              <w:spacing w:val="-4"/>
              <w:sz w:val="21"/>
              <w:szCs w:val="21"/>
            </w:rPr>
            <w:fldChar w:fldCharType="end"/>
          </w:r>
        </w:p>
        <w:p w14:paraId="47CFB3AE">
          <w:pPr>
            <w:tabs>
              <w:tab w:val="right" w:leader="dot" w:pos="8317"/>
            </w:tabs>
            <w:spacing w:before="22" w:line="219" w:lineRule="auto"/>
            <w:ind w:left="852"/>
            <w:rPr>
              <w:rFonts w:ascii="宋体" w:hAnsi="宋体" w:eastAsia="宋体" w:cs="宋体"/>
              <w:sz w:val="21"/>
              <w:szCs w:val="21"/>
            </w:rPr>
          </w:pPr>
          <w:r>
            <w:rPr>
              <w:rFonts w:ascii="宋体" w:hAnsi="宋体" w:eastAsia="宋体" w:cs="宋体"/>
              <w:spacing w:val="-1"/>
              <w:sz w:val="21"/>
              <w:szCs w:val="21"/>
            </w:rPr>
            <w:t>A5.3</w:t>
          </w:r>
          <w:r>
            <w:rPr>
              <w:rFonts w:ascii="宋体" w:hAnsi="宋体" w:eastAsia="宋体" w:cs="宋体"/>
              <w:spacing w:val="-40"/>
              <w:sz w:val="21"/>
              <w:szCs w:val="21"/>
            </w:rPr>
            <w:t xml:space="preserve"> </w:t>
          </w:r>
          <w:r>
            <w:rPr>
              <w:rFonts w:ascii="宋体" w:hAnsi="宋体" w:eastAsia="宋体" w:cs="宋体"/>
              <w:spacing w:val="-1"/>
              <w:sz w:val="21"/>
              <w:szCs w:val="21"/>
            </w:rPr>
            <w:t>编制评标报告</w:t>
          </w:r>
          <w:r>
            <w:rPr>
              <w:rFonts w:ascii="宋体" w:hAnsi="宋体" w:eastAsia="宋体" w:cs="宋体"/>
              <w:spacing w:val="-28"/>
              <w:sz w:val="21"/>
              <w:szCs w:val="21"/>
            </w:rPr>
            <w:t xml:space="preserve"> </w:t>
          </w:r>
          <w:r>
            <w:rPr>
              <w:rFonts w:ascii="宋体" w:hAnsi="宋体" w:eastAsia="宋体" w:cs="宋体"/>
              <w:sz w:val="21"/>
              <w:szCs w:val="21"/>
            </w:rPr>
            <w:tab/>
          </w:r>
          <w:r>
            <w:rPr>
              <w:rFonts w:ascii="宋体" w:hAnsi="宋体" w:eastAsia="宋体" w:cs="宋体"/>
              <w:spacing w:val="-22"/>
              <w:sz w:val="21"/>
              <w:szCs w:val="21"/>
            </w:rPr>
            <w:t xml:space="preserve"> </w:t>
          </w:r>
          <w:r>
            <w:fldChar w:fldCharType="begin"/>
          </w:r>
          <w:r>
            <w:instrText xml:space="preserve"> HYPERLINK \l "bookmark196" </w:instrText>
          </w:r>
          <w:r>
            <w:fldChar w:fldCharType="separate"/>
          </w:r>
          <w:r>
            <w:rPr>
              <w:rFonts w:ascii="宋体" w:hAnsi="宋体" w:eastAsia="宋体" w:cs="宋体"/>
              <w:spacing w:val="-4"/>
              <w:sz w:val="21"/>
              <w:szCs w:val="21"/>
            </w:rPr>
            <w:t>76</w:t>
          </w:r>
          <w:r>
            <w:rPr>
              <w:rFonts w:ascii="宋体" w:hAnsi="宋体" w:eastAsia="宋体" w:cs="宋体"/>
              <w:spacing w:val="-4"/>
              <w:sz w:val="21"/>
              <w:szCs w:val="21"/>
            </w:rPr>
            <w:fldChar w:fldCharType="end"/>
          </w:r>
        </w:p>
        <w:p w14:paraId="20ED496E">
          <w:pPr>
            <w:tabs>
              <w:tab w:val="right" w:leader="dot" w:pos="8317"/>
            </w:tabs>
            <w:spacing w:before="24" w:line="221" w:lineRule="auto"/>
            <w:ind w:left="852"/>
            <w:rPr>
              <w:rFonts w:ascii="宋体" w:hAnsi="宋体" w:eastAsia="宋体" w:cs="宋体"/>
              <w:sz w:val="21"/>
              <w:szCs w:val="21"/>
            </w:rPr>
          </w:pPr>
          <w:r>
            <w:rPr>
              <w:rFonts w:ascii="宋体" w:hAnsi="宋体" w:eastAsia="宋体" w:cs="宋体"/>
              <w:sz w:val="21"/>
              <w:szCs w:val="21"/>
            </w:rPr>
            <w:t>A6.特殊情况的处置程序</w:t>
          </w:r>
          <w:r>
            <w:rPr>
              <w:rFonts w:ascii="宋体" w:hAnsi="宋体" w:eastAsia="宋体" w:cs="宋体"/>
              <w:spacing w:val="-76"/>
              <w:sz w:val="21"/>
              <w:szCs w:val="21"/>
            </w:rPr>
            <w:t xml:space="preserve"> </w:t>
          </w:r>
          <w:r>
            <w:rPr>
              <w:rFonts w:ascii="宋体" w:hAnsi="宋体" w:eastAsia="宋体" w:cs="宋体"/>
              <w:sz w:val="21"/>
              <w:szCs w:val="21"/>
            </w:rPr>
            <w:tab/>
          </w:r>
          <w:r>
            <w:rPr>
              <w:rFonts w:ascii="宋体" w:hAnsi="宋体" w:eastAsia="宋体" w:cs="宋体"/>
              <w:spacing w:val="-23"/>
              <w:sz w:val="21"/>
              <w:szCs w:val="21"/>
            </w:rPr>
            <w:t xml:space="preserve"> </w:t>
          </w:r>
          <w:r>
            <w:fldChar w:fldCharType="begin"/>
          </w:r>
          <w:r>
            <w:instrText xml:space="preserve"> HYPERLINK \l "bookmark197" </w:instrText>
          </w:r>
          <w:r>
            <w:fldChar w:fldCharType="separate"/>
          </w:r>
          <w:r>
            <w:rPr>
              <w:rFonts w:ascii="宋体" w:hAnsi="宋体" w:eastAsia="宋体" w:cs="宋体"/>
              <w:spacing w:val="-4"/>
              <w:sz w:val="21"/>
              <w:szCs w:val="21"/>
            </w:rPr>
            <w:t>76</w:t>
          </w:r>
          <w:r>
            <w:rPr>
              <w:rFonts w:ascii="宋体" w:hAnsi="宋体" w:eastAsia="宋体" w:cs="宋体"/>
              <w:spacing w:val="-4"/>
              <w:sz w:val="21"/>
              <w:szCs w:val="21"/>
            </w:rPr>
            <w:fldChar w:fldCharType="end"/>
          </w:r>
        </w:p>
      </w:sdtContent>
    </w:sdt>
    <w:p w14:paraId="134DE4E2">
      <w:pPr>
        <w:spacing w:line="221" w:lineRule="auto"/>
        <w:rPr>
          <w:rFonts w:ascii="宋体" w:hAnsi="宋体" w:eastAsia="宋体" w:cs="宋体"/>
          <w:sz w:val="21"/>
          <w:szCs w:val="21"/>
        </w:rPr>
        <w:sectPr>
          <w:footerReference r:id="rId9" w:type="default"/>
          <w:pgSz w:w="11905" w:h="16839"/>
          <w:pgMar w:top="1427" w:right="1785" w:bottom="1033" w:left="1785" w:header="0" w:footer="848" w:gutter="0"/>
          <w:pgNumType w:fmt="decimal"/>
          <w:cols w:space="720" w:num="1"/>
        </w:sectPr>
      </w:pPr>
    </w:p>
    <w:sdt>
      <w:sdtPr>
        <w:rPr>
          <w:rFonts w:ascii="宋体" w:hAnsi="宋体" w:eastAsia="宋体" w:cs="宋体"/>
          <w:sz w:val="21"/>
          <w:szCs w:val="21"/>
        </w:rPr>
        <w:id w:val="5"/>
        <w:docPartObj>
          <w:docPartGallery w:val="Table of Contents"/>
          <w:docPartUnique/>
        </w:docPartObj>
      </w:sdtPr>
      <w:sdtEndPr>
        <w:rPr>
          <w:rFonts w:ascii="宋体" w:hAnsi="宋体" w:eastAsia="宋体" w:cs="宋体"/>
          <w:sz w:val="21"/>
          <w:szCs w:val="21"/>
        </w:rPr>
      </w:sdtEndPr>
      <w:sdtContent>
        <w:p w14:paraId="2E276C8A">
          <w:pPr>
            <w:tabs>
              <w:tab w:val="right" w:leader="dot" w:pos="8317"/>
            </w:tabs>
            <w:spacing w:before="41" w:line="221" w:lineRule="auto"/>
            <w:ind w:left="852"/>
            <w:rPr>
              <w:rFonts w:ascii="宋体" w:hAnsi="宋体" w:eastAsia="宋体" w:cs="宋体"/>
              <w:sz w:val="21"/>
              <w:szCs w:val="21"/>
            </w:rPr>
          </w:pPr>
          <w:bookmarkStart w:id="9" w:name="bookmark23"/>
          <w:bookmarkEnd w:id="9"/>
          <w:bookmarkStart w:id="10" w:name="bookmark22"/>
          <w:bookmarkEnd w:id="10"/>
          <w:r>
            <w:rPr>
              <w:rFonts w:ascii="宋体" w:hAnsi="宋体" w:eastAsia="宋体" w:cs="宋体"/>
              <w:spacing w:val="-1"/>
              <w:sz w:val="21"/>
              <w:szCs w:val="21"/>
            </w:rPr>
            <w:t>A6.1</w:t>
          </w:r>
          <w:r>
            <w:rPr>
              <w:rFonts w:ascii="宋体" w:hAnsi="宋体" w:eastAsia="宋体" w:cs="宋体"/>
              <w:spacing w:val="-20"/>
              <w:sz w:val="21"/>
              <w:szCs w:val="21"/>
            </w:rPr>
            <w:t xml:space="preserve"> </w:t>
          </w:r>
          <w:r>
            <w:rPr>
              <w:rFonts w:ascii="宋体" w:hAnsi="宋体" w:eastAsia="宋体" w:cs="宋体"/>
              <w:spacing w:val="-1"/>
              <w:sz w:val="21"/>
              <w:szCs w:val="21"/>
            </w:rPr>
            <w:t xml:space="preserve">暗标评审的评审程序规定（适用于对技术标进行暗标评审的） </w:t>
          </w:r>
          <w:r>
            <w:rPr>
              <w:rFonts w:ascii="宋体" w:hAnsi="宋体" w:eastAsia="宋体" w:cs="宋体"/>
              <w:sz w:val="21"/>
              <w:szCs w:val="21"/>
            </w:rPr>
            <w:tab/>
          </w:r>
          <w:r>
            <w:rPr>
              <w:rFonts w:ascii="宋体" w:hAnsi="宋体" w:eastAsia="宋体" w:cs="宋体"/>
              <w:spacing w:val="-23"/>
              <w:sz w:val="21"/>
              <w:szCs w:val="21"/>
            </w:rPr>
            <w:t xml:space="preserve"> </w:t>
          </w:r>
          <w:r>
            <w:fldChar w:fldCharType="begin"/>
          </w:r>
          <w:r>
            <w:instrText xml:space="preserve"> HYPERLINK \l "bookmark198" </w:instrText>
          </w:r>
          <w:r>
            <w:fldChar w:fldCharType="separate"/>
          </w:r>
          <w:r>
            <w:rPr>
              <w:rFonts w:ascii="宋体" w:hAnsi="宋体" w:eastAsia="宋体" w:cs="宋体"/>
              <w:spacing w:val="-4"/>
              <w:sz w:val="21"/>
              <w:szCs w:val="21"/>
            </w:rPr>
            <w:t>76</w:t>
          </w:r>
          <w:r>
            <w:rPr>
              <w:rFonts w:ascii="宋体" w:hAnsi="宋体" w:eastAsia="宋体" w:cs="宋体"/>
              <w:spacing w:val="-4"/>
              <w:sz w:val="21"/>
              <w:szCs w:val="21"/>
            </w:rPr>
            <w:fldChar w:fldCharType="end"/>
          </w:r>
        </w:p>
        <w:p w14:paraId="7A7BB391">
          <w:pPr>
            <w:tabs>
              <w:tab w:val="right" w:leader="dot" w:pos="8317"/>
            </w:tabs>
            <w:spacing w:before="18" w:line="221" w:lineRule="auto"/>
            <w:ind w:left="852"/>
            <w:rPr>
              <w:rFonts w:ascii="宋体" w:hAnsi="宋体" w:eastAsia="宋体" w:cs="宋体"/>
              <w:sz w:val="21"/>
              <w:szCs w:val="21"/>
            </w:rPr>
          </w:pPr>
          <w:r>
            <w:rPr>
              <w:rFonts w:ascii="宋体" w:hAnsi="宋体" w:eastAsia="宋体" w:cs="宋体"/>
              <w:spacing w:val="-1"/>
              <w:sz w:val="21"/>
              <w:szCs w:val="21"/>
            </w:rPr>
            <w:t>A6.2</w:t>
          </w:r>
          <w:r>
            <w:rPr>
              <w:rFonts w:ascii="宋体" w:hAnsi="宋体" w:eastAsia="宋体" w:cs="宋体"/>
              <w:spacing w:val="-41"/>
              <w:sz w:val="21"/>
              <w:szCs w:val="21"/>
            </w:rPr>
            <w:t xml:space="preserve"> </w:t>
          </w:r>
          <w:r>
            <w:rPr>
              <w:rFonts w:ascii="宋体" w:hAnsi="宋体" w:eastAsia="宋体" w:cs="宋体"/>
              <w:spacing w:val="-1"/>
              <w:sz w:val="21"/>
              <w:szCs w:val="21"/>
            </w:rPr>
            <w:t>关于评标活动暂停</w:t>
          </w:r>
          <w:r>
            <w:rPr>
              <w:rFonts w:ascii="宋体" w:hAnsi="宋体" w:eastAsia="宋体" w:cs="宋体"/>
              <w:spacing w:val="-23"/>
              <w:sz w:val="21"/>
              <w:szCs w:val="21"/>
            </w:rPr>
            <w:t xml:space="preserve"> </w:t>
          </w:r>
          <w:r>
            <w:rPr>
              <w:rFonts w:ascii="宋体" w:hAnsi="宋体" w:eastAsia="宋体" w:cs="宋体"/>
              <w:sz w:val="21"/>
              <w:szCs w:val="21"/>
            </w:rPr>
            <w:tab/>
          </w:r>
          <w:r>
            <w:rPr>
              <w:rFonts w:ascii="宋体" w:hAnsi="宋体" w:eastAsia="宋体" w:cs="宋体"/>
              <w:spacing w:val="-23"/>
              <w:sz w:val="21"/>
              <w:szCs w:val="21"/>
            </w:rPr>
            <w:t xml:space="preserve"> </w:t>
          </w:r>
          <w:r>
            <w:fldChar w:fldCharType="begin"/>
          </w:r>
          <w:r>
            <w:instrText xml:space="preserve"> HYPERLINK \l "bookmark199" </w:instrText>
          </w:r>
          <w:r>
            <w:fldChar w:fldCharType="separate"/>
          </w:r>
          <w:r>
            <w:rPr>
              <w:rFonts w:ascii="宋体" w:hAnsi="宋体" w:eastAsia="宋体" w:cs="宋体"/>
              <w:spacing w:val="-4"/>
              <w:sz w:val="21"/>
              <w:szCs w:val="21"/>
            </w:rPr>
            <w:t>76</w:t>
          </w:r>
          <w:r>
            <w:rPr>
              <w:rFonts w:ascii="宋体" w:hAnsi="宋体" w:eastAsia="宋体" w:cs="宋体"/>
              <w:spacing w:val="-4"/>
              <w:sz w:val="21"/>
              <w:szCs w:val="21"/>
            </w:rPr>
            <w:fldChar w:fldCharType="end"/>
          </w:r>
        </w:p>
        <w:p w14:paraId="31588105">
          <w:pPr>
            <w:tabs>
              <w:tab w:val="right" w:leader="dot" w:pos="8317"/>
            </w:tabs>
            <w:spacing w:before="21" w:line="220" w:lineRule="auto"/>
            <w:ind w:left="852"/>
            <w:rPr>
              <w:rFonts w:ascii="宋体" w:hAnsi="宋体" w:eastAsia="宋体" w:cs="宋体"/>
              <w:sz w:val="21"/>
              <w:szCs w:val="21"/>
            </w:rPr>
          </w:pPr>
          <w:r>
            <w:rPr>
              <w:rFonts w:ascii="宋体" w:hAnsi="宋体" w:eastAsia="宋体" w:cs="宋体"/>
              <w:spacing w:val="-2"/>
              <w:sz w:val="21"/>
              <w:szCs w:val="21"/>
            </w:rPr>
            <w:t>A6.3</w:t>
          </w:r>
          <w:r>
            <w:rPr>
              <w:rFonts w:ascii="宋体" w:hAnsi="宋体" w:eastAsia="宋体" w:cs="宋体"/>
              <w:spacing w:val="-27"/>
              <w:sz w:val="21"/>
              <w:szCs w:val="21"/>
            </w:rPr>
            <w:t xml:space="preserve"> </w:t>
          </w:r>
          <w:r>
            <w:rPr>
              <w:rFonts w:ascii="宋体" w:hAnsi="宋体" w:eastAsia="宋体" w:cs="宋体"/>
              <w:spacing w:val="-2"/>
              <w:sz w:val="21"/>
              <w:szCs w:val="21"/>
            </w:rPr>
            <w:t xml:space="preserve">关于评标中途更换评标委员会成员 </w:t>
          </w:r>
          <w:r>
            <w:rPr>
              <w:rFonts w:ascii="宋体" w:hAnsi="宋体" w:eastAsia="宋体" w:cs="宋体"/>
              <w:sz w:val="21"/>
              <w:szCs w:val="21"/>
            </w:rPr>
            <w:tab/>
          </w:r>
          <w:r>
            <w:rPr>
              <w:rFonts w:ascii="宋体" w:hAnsi="宋体" w:eastAsia="宋体" w:cs="宋体"/>
              <w:spacing w:val="-23"/>
              <w:sz w:val="21"/>
              <w:szCs w:val="21"/>
            </w:rPr>
            <w:t xml:space="preserve"> </w:t>
          </w:r>
          <w:r>
            <w:fldChar w:fldCharType="begin"/>
          </w:r>
          <w:r>
            <w:instrText xml:space="preserve"> HYPERLINK \l "bookmark200" </w:instrText>
          </w:r>
          <w:r>
            <w:fldChar w:fldCharType="separate"/>
          </w:r>
          <w:r>
            <w:rPr>
              <w:rFonts w:ascii="宋体" w:hAnsi="宋体" w:eastAsia="宋体" w:cs="宋体"/>
              <w:spacing w:val="-4"/>
              <w:sz w:val="21"/>
              <w:szCs w:val="21"/>
            </w:rPr>
            <w:t>77</w:t>
          </w:r>
          <w:r>
            <w:rPr>
              <w:rFonts w:ascii="宋体" w:hAnsi="宋体" w:eastAsia="宋体" w:cs="宋体"/>
              <w:spacing w:val="-4"/>
              <w:sz w:val="21"/>
              <w:szCs w:val="21"/>
            </w:rPr>
            <w:fldChar w:fldCharType="end"/>
          </w:r>
        </w:p>
        <w:p w14:paraId="6D888B67">
          <w:pPr>
            <w:tabs>
              <w:tab w:val="right" w:leader="dot" w:pos="8317"/>
            </w:tabs>
            <w:spacing w:before="23" w:line="221" w:lineRule="auto"/>
            <w:ind w:left="852"/>
            <w:rPr>
              <w:rFonts w:ascii="宋体" w:hAnsi="宋体" w:eastAsia="宋体" w:cs="宋体"/>
              <w:sz w:val="21"/>
              <w:szCs w:val="21"/>
            </w:rPr>
          </w:pPr>
          <w:r>
            <w:rPr>
              <w:rFonts w:ascii="宋体" w:hAnsi="宋体" w:eastAsia="宋体" w:cs="宋体"/>
              <w:sz w:val="21"/>
              <w:szCs w:val="21"/>
            </w:rPr>
            <w:t>A6.4 评标争议处理</w:t>
          </w:r>
          <w:r>
            <w:rPr>
              <w:rFonts w:ascii="宋体" w:hAnsi="宋体" w:eastAsia="宋体" w:cs="宋体"/>
              <w:spacing w:val="-78"/>
              <w:sz w:val="21"/>
              <w:szCs w:val="21"/>
            </w:rPr>
            <w:t xml:space="preserve"> </w:t>
          </w:r>
          <w:r>
            <w:rPr>
              <w:rFonts w:ascii="宋体" w:hAnsi="宋体" w:eastAsia="宋体" w:cs="宋体"/>
              <w:sz w:val="21"/>
              <w:szCs w:val="21"/>
            </w:rPr>
            <w:tab/>
          </w:r>
          <w:r>
            <w:rPr>
              <w:rFonts w:ascii="宋体" w:hAnsi="宋体" w:eastAsia="宋体" w:cs="宋体"/>
              <w:spacing w:val="-22"/>
              <w:sz w:val="21"/>
              <w:szCs w:val="21"/>
            </w:rPr>
            <w:t xml:space="preserve"> </w:t>
          </w:r>
          <w:r>
            <w:fldChar w:fldCharType="begin"/>
          </w:r>
          <w:r>
            <w:instrText xml:space="preserve"> HYPERLINK \l "bookmark201" </w:instrText>
          </w:r>
          <w:r>
            <w:fldChar w:fldCharType="separate"/>
          </w:r>
          <w:r>
            <w:rPr>
              <w:rFonts w:ascii="宋体" w:hAnsi="宋体" w:eastAsia="宋体" w:cs="宋体"/>
              <w:spacing w:val="-4"/>
              <w:sz w:val="21"/>
              <w:szCs w:val="21"/>
            </w:rPr>
            <w:t>77</w:t>
          </w:r>
          <w:r>
            <w:rPr>
              <w:rFonts w:ascii="宋体" w:hAnsi="宋体" w:eastAsia="宋体" w:cs="宋体"/>
              <w:spacing w:val="-4"/>
              <w:sz w:val="21"/>
              <w:szCs w:val="21"/>
            </w:rPr>
            <w:fldChar w:fldCharType="end"/>
          </w:r>
        </w:p>
        <w:p w14:paraId="462B0DF6">
          <w:pPr>
            <w:tabs>
              <w:tab w:val="right" w:leader="dot" w:pos="8317"/>
            </w:tabs>
            <w:spacing w:before="22" w:line="221" w:lineRule="auto"/>
            <w:ind w:left="852"/>
            <w:rPr>
              <w:rFonts w:ascii="宋体" w:hAnsi="宋体" w:eastAsia="宋体" w:cs="宋体"/>
              <w:sz w:val="21"/>
              <w:szCs w:val="21"/>
            </w:rPr>
          </w:pPr>
          <w:r>
            <w:rPr>
              <w:rFonts w:ascii="宋体" w:hAnsi="宋体" w:eastAsia="宋体" w:cs="宋体"/>
              <w:sz w:val="21"/>
              <w:szCs w:val="21"/>
            </w:rPr>
            <w:t>A7.补充条款</w:t>
          </w:r>
          <w:r>
            <w:rPr>
              <w:rFonts w:ascii="宋体" w:hAnsi="宋体" w:eastAsia="宋体" w:cs="宋体"/>
              <w:spacing w:val="-82"/>
              <w:sz w:val="21"/>
              <w:szCs w:val="21"/>
            </w:rPr>
            <w:t xml:space="preserve"> </w:t>
          </w:r>
          <w:r>
            <w:rPr>
              <w:rFonts w:ascii="宋体" w:hAnsi="宋体" w:eastAsia="宋体" w:cs="宋体"/>
              <w:sz w:val="21"/>
              <w:szCs w:val="21"/>
            </w:rPr>
            <w:tab/>
          </w:r>
          <w:r>
            <w:rPr>
              <w:rFonts w:ascii="宋体" w:hAnsi="宋体" w:eastAsia="宋体" w:cs="宋体"/>
              <w:spacing w:val="-22"/>
              <w:sz w:val="21"/>
              <w:szCs w:val="21"/>
            </w:rPr>
            <w:t xml:space="preserve"> </w:t>
          </w:r>
          <w:r>
            <w:fldChar w:fldCharType="begin"/>
          </w:r>
          <w:r>
            <w:instrText xml:space="preserve"> HYPERLINK \l "bookmark202" </w:instrText>
          </w:r>
          <w:r>
            <w:fldChar w:fldCharType="separate"/>
          </w:r>
          <w:r>
            <w:rPr>
              <w:rFonts w:ascii="宋体" w:hAnsi="宋体" w:eastAsia="宋体" w:cs="宋体"/>
              <w:spacing w:val="-4"/>
              <w:sz w:val="21"/>
              <w:szCs w:val="21"/>
            </w:rPr>
            <w:t>77</w:t>
          </w:r>
          <w:r>
            <w:rPr>
              <w:rFonts w:ascii="宋体" w:hAnsi="宋体" w:eastAsia="宋体" w:cs="宋体"/>
              <w:spacing w:val="-4"/>
              <w:sz w:val="21"/>
              <w:szCs w:val="21"/>
            </w:rPr>
            <w:fldChar w:fldCharType="end"/>
          </w:r>
        </w:p>
        <w:p w14:paraId="3914E906">
          <w:pPr>
            <w:tabs>
              <w:tab w:val="right" w:leader="dot" w:pos="8317"/>
            </w:tabs>
            <w:spacing w:before="18" w:line="220" w:lineRule="auto"/>
            <w:ind w:left="457"/>
            <w:rPr>
              <w:rFonts w:ascii="宋体" w:hAnsi="宋体" w:eastAsia="宋体" w:cs="宋体"/>
              <w:sz w:val="21"/>
              <w:szCs w:val="21"/>
            </w:rPr>
          </w:pPr>
          <w:r>
            <w:rPr>
              <w:rFonts w:ascii="宋体" w:hAnsi="宋体" w:eastAsia="宋体" w:cs="宋体"/>
              <w:spacing w:val="-3"/>
              <w:sz w:val="21"/>
              <w:szCs w:val="21"/>
              <w14:textOutline w14:w="3831" w14:cap="flat" w14:cmpd="sng">
                <w14:solidFill>
                  <w14:srgbClr w14:val="000000"/>
                </w14:solidFill>
                <w14:prstDash w14:val="solid"/>
                <w14:miter w14:val="0"/>
              </w14:textOutline>
            </w:rPr>
            <w:t>附件</w:t>
          </w:r>
          <w:r>
            <w:rPr>
              <w:rFonts w:ascii="宋体" w:hAnsi="宋体" w:eastAsia="宋体" w:cs="宋体"/>
              <w:spacing w:val="-42"/>
              <w:sz w:val="21"/>
              <w:szCs w:val="21"/>
            </w:rPr>
            <w:t xml:space="preserve"> </w:t>
          </w:r>
          <w:r>
            <w:rPr>
              <w:rFonts w:ascii="宋体" w:hAnsi="宋体" w:eastAsia="宋体" w:cs="宋体"/>
              <w:spacing w:val="-3"/>
              <w:sz w:val="21"/>
              <w:szCs w:val="21"/>
              <w14:textOutline w14:w="3831" w14:cap="flat" w14:cmpd="sng">
                <w14:solidFill>
                  <w14:srgbClr w14:val="000000"/>
                </w14:solidFill>
                <w14:prstDash w14:val="solid"/>
                <w14:miter w14:val="0"/>
              </w14:textOutline>
            </w:rPr>
            <w:t>B：否决投标的条件</w:t>
          </w:r>
          <w:r>
            <w:rPr>
              <w:rFonts w:ascii="宋体" w:hAnsi="宋体" w:eastAsia="宋体" w:cs="宋体"/>
              <w:spacing w:val="-42"/>
              <w:sz w:val="21"/>
              <w:szCs w:val="21"/>
            </w:rPr>
            <w:t xml:space="preserve"> </w:t>
          </w:r>
          <w:r>
            <w:rPr>
              <w:rFonts w:ascii="宋体" w:hAnsi="宋体" w:eastAsia="宋体" w:cs="宋体"/>
              <w:sz w:val="21"/>
              <w:szCs w:val="21"/>
              <w14:textOutline w14:w="3831" w14:cap="flat" w14:cmpd="sng">
                <w14:solidFill>
                  <w14:srgbClr w14:val="000000"/>
                </w14:solidFill>
                <w14:prstDash w14:val="solid"/>
                <w14:miter w14:val="0"/>
              </w14:textOutline>
            </w:rPr>
            <w:tab/>
          </w:r>
          <w:r>
            <w:rPr>
              <w:rFonts w:ascii="宋体" w:hAnsi="宋体" w:eastAsia="宋体" w:cs="宋体"/>
              <w:spacing w:val="-23"/>
              <w:sz w:val="21"/>
              <w:szCs w:val="21"/>
            </w:rPr>
            <w:t xml:space="preserve"> </w:t>
          </w:r>
          <w:r>
            <w:fldChar w:fldCharType="begin"/>
          </w:r>
          <w:r>
            <w:instrText xml:space="preserve"> HYPERLINK \l "bookmark203" </w:instrText>
          </w:r>
          <w:r>
            <w:fldChar w:fldCharType="separate"/>
          </w:r>
          <w:r>
            <w:rPr>
              <w:rFonts w:ascii="宋体" w:hAnsi="宋体" w:eastAsia="宋体" w:cs="宋体"/>
              <w:spacing w:val="-4"/>
              <w:sz w:val="21"/>
              <w:szCs w:val="21"/>
              <w14:textOutline w14:w="3831" w14:cap="flat" w14:cmpd="sng">
                <w14:solidFill>
                  <w14:srgbClr w14:val="000000"/>
                </w14:solidFill>
                <w14:prstDash w14:val="solid"/>
                <w14:miter w14:val="0"/>
              </w14:textOutline>
            </w:rPr>
            <w:t>78</w:t>
          </w:r>
          <w:r>
            <w:rPr>
              <w:rFonts w:ascii="宋体" w:hAnsi="宋体" w:eastAsia="宋体" w:cs="宋体"/>
              <w:spacing w:val="-4"/>
              <w:sz w:val="21"/>
              <w:szCs w:val="21"/>
              <w14:textOutline w14:w="3831" w14:cap="flat" w14:cmpd="sng">
                <w14:solidFill>
                  <w14:srgbClr w14:val="000000"/>
                </w14:solidFill>
                <w14:prstDash w14:val="solid"/>
                <w14:miter w14:val="0"/>
              </w14:textOutline>
            </w:rPr>
            <w:fldChar w:fldCharType="end"/>
          </w:r>
        </w:p>
        <w:p w14:paraId="1418B2AB">
          <w:pPr>
            <w:tabs>
              <w:tab w:val="right" w:leader="dot" w:pos="8317"/>
            </w:tabs>
            <w:spacing w:before="24" w:line="221" w:lineRule="auto"/>
            <w:ind w:left="853"/>
            <w:rPr>
              <w:rFonts w:ascii="宋体" w:hAnsi="宋体" w:eastAsia="宋体" w:cs="宋体"/>
              <w:sz w:val="21"/>
              <w:szCs w:val="21"/>
            </w:rPr>
          </w:pPr>
          <w:r>
            <w:rPr>
              <w:rFonts w:ascii="宋体" w:hAnsi="宋体" w:eastAsia="宋体" w:cs="宋体"/>
              <w:spacing w:val="-3"/>
              <w:sz w:val="21"/>
              <w:szCs w:val="21"/>
            </w:rPr>
            <w:t>B0.总</w:t>
          </w:r>
          <w:r>
            <w:rPr>
              <w:rFonts w:ascii="宋体" w:hAnsi="宋体" w:eastAsia="宋体" w:cs="宋体"/>
              <w:spacing w:val="8"/>
              <w:sz w:val="21"/>
              <w:szCs w:val="21"/>
            </w:rPr>
            <w:t xml:space="preserve">  </w:t>
          </w:r>
          <w:r>
            <w:rPr>
              <w:rFonts w:ascii="宋体" w:hAnsi="宋体" w:eastAsia="宋体" w:cs="宋体"/>
              <w:spacing w:val="-3"/>
              <w:sz w:val="21"/>
              <w:szCs w:val="21"/>
            </w:rPr>
            <w:t>则</w:t>
          </w:r>
          <w:r>
            <w:rPr>
              <w:rFonts w:ascii="宋体" w:hAnsi="宋体" w:eastAsia="宋体" w:cs="宋体"/>
              <w:spacing w:val="-86"/>
              <w:sz w:val="21"/>
              <w:szCs w:val="21"/>
            </w:rPr>
            <w:t xml:space="preserve"> </w:t>
          </w:r>
          <w:r>
            <w:rPr>
              <w:rFonts w:ascii="宋体" w:hAnsi="宋体" w:eastAsia="宋体" w:cs="宋体"/>
              <w:sz w:val="21"/>
              <w:szCs w:val="21"/>
            </w:rPr>
            <w:tab/>
          </w:r>
          <w:r>
            <w:rPr>
              <w:rFonts w:ascii="宋体" w:hAnsi="宋体" w:eastAsia="宋体" w:cs="宋体"/>
              <w:spacing w:val="-22"/>
              <w:sz w:val="21"/>
              <w:szCs w:val="21"/>
            </w:rPr>
            <w:t xml:space="preserve"> </w:t>
          </w:r>
          <w:r>
            <w:fldChar w:fldCharType="begin"/>
          </w:r>
          <w:r>
            <w:instrText xml:space="preserve"> HYPERLINK \l "bookmark204" </w:instrText>
          </w:r>
          <w:r>
            <w:fldChar w:fldCharType="separate"/>
          </w:r>
          <w:r>
            <w:rPr>
              <w:rFonts w:ascii="宋体" w:hAnsi="宋体" w:eastAsia="宋体" w:cs="宋体"/>
              <w:spacing w:val="-4"/>
              <w:sz w:val="21"/>
              <w:szCs w:val="21"/>
            </w:rPr>
            <w:t>78</w:t>
          </w:r>
          <w:r>
            <w:rPr>
              <w:rFonts w:ascii="宋体" w:hAnsi="宋体" w:eastAsia="宋体" w:cs="宋体"/>
              <w:spacing w:val="-4"/>
              <w:sz w:val="21"/>
              <w:szCs w:val="21"/>
            </w:rPr>
            <w:fldChar w:fldCharType="end"/>
          </w:r>
        </w:p>
        <w:p w14:paraId="2E5020F4">
          <w:pPr>
            <w:tabs>
              <w:tab w:val="right" w:leader="dot" w:pos="8317"/>
            </w:tabs>
            <w:spacing w:before="21" w:line="221" w:lineRule="auto"/>
            <w:ind w:left="853"/>
            <w:rPr>
              <w:rFonts w:ascii="宋体" w:hAnsi="宋体" w:eastAsia="宋体" w:cs="宋体"/>
              <w:sz w:val="21"/>
              <w:szCs w:val="21"/>
            </w:rPr>
          </w:pPr>
          <w:r>
            <w:rPr>
              <w:rFonts w:ascii="宋体" w:hAnsi="宋体" w:eastAsia="宋体" w:cs="宋体"/>
              <w:sz w:val="21"/>
              <w:szCs w:val="21"/>
            </w:rPr>
            <w:t>B1.否决投标的条件</w:t>
          </w:r>
          <w:r>
            <w:rPr>
              <w:rFonts w:ascii="宋体" w:hAnsi="宋体" w:eastAsia="宋体" w:cs="宋体"/>
              <w:spacing w:val="-80"/>
              <w:sz w:val="21"/>
              <w:szCs w:val="21"/>
            </w:rPr>
            <w:t xml:space="preserve"> </w:t>
          </w:r>
          <w:r>
            <w:rPr>
              <w:rFonts w:ascii="宋体" w:hAnsi="宋体" w:eastAsia="宋体" w:cs="宋体"/>
              <w:sz w:val="21"/>
              <w:szCs w:val="21"/>
            </w:rPr>
            <w:tab/>
          </w:r>
          <w:r>
            <w:rPr>
              <w:rFonts w:ascii="宋体" w:hAnsi="宋体" w:eastAsia="宋体" w:cs="宋体"/>
              <w:spacing w:val="-22"/>
              <w:sz w:val="21"/>
              <w:szCs w:val="21"/>
            </w:rPr>
            <w:t xml:space="preserve"> </w:t>
          </w:r>
          <w:r>
            <w:fldChar w:fldCharType="begin"/>
          </w:r>
          <w:r>
            <w:instrText xml:space="preserve"> HYPERLINK \l "bookmark205" </w:instrText>
          </w:r>
          <w:r>
            <w:fldChar w:fldCharType="separate"/>
          </w:r>
          <w:r>
            <w:rPr>
              <w:rFonts w:ascii="宋体" w:hAnsi="宋体" w:eastAsia="宋体" w:cs="宋体"/>
              <w:spacing w:val="-4"/>
              <w:sz w:val="21"/>
              <w:szCs w:val="21"/>
            </w:rPr>
            <w:t>78</w:t>
          </w:r>
          <w:r>
            <w:rPr>
              <w:rFonts w:ascii="宋体" w:hAnsi="宋体" w:eastAsia="宋体" w:cs="宋体"/>
              <w:spacing w:val="-4"/>
              <w:sz w:val="21"/>
              <w:szCs w:val="21"/>
            </w:rPr>
            <w:fldChar w:fldCharType="end"/>
          </w:r>
        </w:p>
        <w:p w14:paraId="5F7B95F8">
          <w:pPr>
            <w:tabs>
              <w:tab w:val="right" w:leader="dot" w:pos="8317"/>
            </w:tabs>
            <w:spacing w:before="23" w:line="220" w:lineRule="auto"/>
            <w:ind w:left="875"/>
            <w:rPr>
              <w:rFonts w:ascii="宋体" w:hAnsi="宋体" w:eastAsia="宋体" w:cs="宋体"/>
              <w:sz w:val="21"/>
              <w:szCs w:val="21"/>
            </w:rPr>
          </w:pPr>
          <w:r>
            <w:rPr>
              <w:rFonts w:ascii="宋体" w:hAnsi="宋体" w:eastAsia="宋体" w:cs="宋体"/>
              <w:spacing w:val="-2"/>
              <w:sz w:val="21"/>
              <w:szCs w:val="21"/>
            </w:rPr>
            <w:t>附表</w:t>
          </w:r>
          <w:r>
            <w:rPr>
              <w:rFonts w:ascii="宋体" w:hAnsi="宋体" w:eastAsia="宋体" w:cs="宋体"/>
              <w:spacing w:val="-45"/>
              <w:sz w:val="21"/>
              <w:szCs w:val="21"/>
            </w:rPr>
            <w:t xml:space="preserve"> </w:t>
          </w:r>
          <w:r>
            <w:rPr>
              <w:rFonts w:ascii="宋体" w:hAnsi="宋体" w:eastAsia="宋体" w:cs="宋体"/>
              <w:spacing w:val="-2"/>
              <w:sz w:val="21"/>
              <w:szCs w:val="21"/>
            </w:rPr>
            <w:t>A-1：评标委员会签到表</w:t>
          </w:r>
          <w:r>
            <w:rPr>
              <w:rFonts w:ascii="宋体" w:hAnsi="宋体" w:eastAsia="宋体" w:cs="宋体"/>
              <w:spacing w:val="-23"/>
              <w:sz w:val="21"/>
              <w:szCs w:val="21"/>
            </w:rPr>
            <w:t xml:space="preserve"> </w:t>
          </w:r>
          <w:r>
            <w:rPr>
              <w:rFonts w:ascii="宋体" w:hAnsi="宋体" w:eastAsia="宋体" w:cs="宋体"/>
              <w:sz w:val="21"/>
              <w:szCs w:val="21"/>
            </w:rPr>
            <w:tab/>
          </w:r>
          <w:r>
            <w:rPr>
              <w:rFonts w:ascii="宋体" w:hAnsi="宋体" w:eastAsia="宋体" w:cs="宋体"/>
              <w:spacing w:val="-28"/>
              <w:sz w:val="21"/>
              <w:szCs w:val="21"/>
            </w:rPr>
            <w:t xml:space="preserve"> </w:t>
          </w:r>
          <w:r>
            <w:fldChar w:fldCharType="begin"/>
          </w:r>
          <w:r>
            <w:instrText xml:space="preserve"> HYPERLINK \l "bookmark206" </w:instrText>
          </w:r>
          <w:r>
            <w:fldChar w:fldCharType="separate"/>
          </w:r>
          <w:r>
            <w:rPr>
              <w:rFonts w:ascii="宋体" w:hAnsi="宋体" w:eastAsia="宋体" w:cs="宋体"/>
              <w:spacing w:val="-2"/>
              <w:sz w:val="21"/>
              <w:szCs w:val="21"/>
            </w:rPr>
            <w:t>81</w:t>
          </w:r>
          <w:r>
            <w:rPr>
              <w:rFonts w:ascii="宋体" w:hAnsi="宋体" w:eastAsia="宋体" w:cs="宋体"/>
              <w:spacing w:val="-2"/>
              <w:sz w:val="21"/>
              <w:szCs w:val="21"/>
            </w:rPr>
            <w:fldChar w:fldCharType="end"/>
          </w:r>
        </w:p>
        <w:p w14:paraId="6FB5B147">
          <w:pPr>
            <w:tabs>
              <w:tab w:val="right" w:leader="dot" w:pos="8317"/>
            </w:tabs>
            <w:spacing w:before="18" w:line="219" w:lineRule="auto"/>
            <w:ind w:left="875"/>
            <w:rPr>
              <w:rFonts w:ascii="宋体" w:hAnsi="宋体" w:eastAsia="宋体" w:cs="宋体"/>
              <w:sz w:val="21"/>
              <w:szCs w:val="21"/>
            </w:rPr>
          </w:pPr>
          <w:r>
            <w:rPr>
              <w:rFonts w:ascii="宋体" w:hAnsi="宋体" w:eastAsia="宋体" w:cs="宋体"/>
              <w:spacing w:val="-3"/>
              <w:sz w:val="21"/>
              <w:szCs w:val="21"/>
            </w:rPr>
            <w:t>附表</w:t>
          </w:r>
          <w:r>
            <w:rPr>
              <w:rFonts w:ascii="宋体" w:hAnsi="宋体" w:eastAsia="宋体" w:cs="宋体"/>
              <w:spacing w:val="-46"/>
              <w:sz w:val="21"/>
              <w:szCs w:val="21"/>
            </w:rPr>
            <w:t xml:space="preserve"> </w:t>
          </w:r>
          <w:r>
            <w:rPr>
              <w:rFonts w:ascii="宋体" w:hAnsi="宋体" w:eastAsia="宋体" w:cs="宋体"/>
              <w:spacing w:val="-3"/>
              <w:sz w:val="21"/>
              <w:szCs w:val="21"/>
            </w:rPr>
            <w:t xml:space="preserve">A-2：评标专家告知承诺函 </w:t>
          </w:r>
          <w:r>
            <w:rPr>
              <w:rFonts w:ascii="宋体" w:hAnsi="宋体" w:eastAsia="宋体" w:cs="宋体"/>
              <w:sz w:val="21"/>
              <w:szCs w:val="21"/>
            </w:rPr>
            <w:tab/>
          </w:r>
          <w:r>
            <w:rPr>
              <w:rFonts w:ascii="宋体" w:hAnsi="宋体" w:eastAsia="宋体" w:cs="宋体"/>
              <w:spacing w:val="-28"/>
              <w:sz w:val="21"/>
              <w:szCs w:val="21"/>
            </w:rPr>
            <w:t xml:space="preserve"> </w:t>
          </w:r>
          <w:r>
            <w:fldChar w:fldCharType="begin"/>
          </w:r>
          <w:r>
            <w:instrText xml:space="preserve"> HYPERLINK \l "bookmark207" </w:instrText>
          </w:r>
          <w:r>
            <w:fldChar w:fldCharType="separate"/>
          </w:r>
          <w:r>
            <w:rPr>
              <w:rFonts w:ascii="宋体" w:hAnsi="宋体" w:eastAsia="宋体" w:cs="宋体"/>
              <w:spacing w:val="-2"/>
              <w:sz w:val="21"/>
              <w:szCs w:val="21"/>
            </w:rPr>
            <w:t>82</w:t>
          </w:r>
          <w:r>
            <w:rPr>
              <w:rFonts w:ascii="宋体" w:hAnsi="宋体" w:eastAsia="宋体" w:cs="宋体"/>
              <w:spacing w:val="-2"/>
              <w:sz w:val="21"/>
              <w:szCs w:val="21"/>
            </w:rPr>
            <w:fldChar w:fldCharType="end"/>
          </w:r>
        </w:p>
        <w:p w14:paraId="4E3F6843">
          <w:pPr>
            <w:tabs>
              <w:tab w:val="right" w:leader="dot" w:pos="8317"/>
            </w:tabs>
            <w:spacing w:before="25" w:line="220" w:lineRule="auto"/>
            <w:ind w:left="875"/>
            <w:rPr>
              <w:rFonts w:ascii="宋体" w:hAnsi="宋体" w:eastAsia="宋体" w:cs="宋体"/>
              <w:sz w:val="21"/>
              <w:szCs w:val="21"/>
            </w:rPr>
          </w:pPr>
          <w:r>
            <w:rPr>
              <w:rFonts w:ascii="宋体" w:hAnsi="宋体" w:eastAsia="宋体" w:cs="宋体"/>
              <w:spacing w:val="-3"/>
              <w:sz w:val="21"/>
              <w:szCs w:val="21"/>
            </w:rPr>
            <w:t>附表</w:t>
          </w:r>
          <w:r>
            <w:rPr>
              <w:rFonts w:ascii="宋体" w:hAnsi="宋体" w:eastAsia="宋体" w:cs="宋体"/>
              <w:spacing w:val="-46"/>
              <w:sz w:val="21"/>
              <w:szCs w:val="21"/>
            </w:rPr>
            <w:t xml:space="preserve"> </w:t>
          </w:r>
          <w:r>
            <w:rPr>
              <w:rFonts w:ascii="宋体" w:hAnsi="宋体" w:eastAsia="宋体" w:cs="宋体"/>
              <w:spacing w:val="-3"/>
              <w:sz w:val="21"/>
              <w:szCs w:val="21"/>
            </w:rPr>
            <w:t xml:space="preserve">A-3：技术暗标编号确认表 </w:t>
          </w:r>
          <w:r>
            <w:rPr>
              <w:rFonts w:ascii="宋体" w:hAnsi="宋体" w:eastAsia="宋体" w:cs="宋体"/>
              <w:sz w:val="21"/>
              <w:szCs w:val="21"/>
            </w:rPr>
            <w:tab/>
          </w:r>
          <w:r>
            <w:rPr>
              <w:rFonts w:ascii="宋体" w:hAnsi="宋体" w:eastAsia="宋体" w:cs="宋体"/>
              <w:spacing w:val="-28"/>
              <w:sz w:val="21"/>
              <w:szCs w:val="21"/>
            </w:rPr>
            <w:t xml:space="preserve"> </w:t>
          </w:r>
          <w:r>
            <w:fldChar w:fldCharType="begin"/>
          </w:r>
          <w:r>
            <w:instrText xml:space="preserve"> HYPERLINK \l "bookmark208" </w:instrText>
          </w:r>
          <w:r>
            <w:fldChar w:fldCharType="separate"/>
          </w:r>
          <w:r>
            <w:rPr>
              <w:rFonts w:ascii="宋体" w:hAnsi="宋体" w:eastAsia="宋体" w:cs="宋体"/>
              <w:spacing w:val="-2"/>
              <w:sz w:val="21"/>
              <w:szCs w:val="21"/>
            </w:rPr>
            <w:t>84</w:t>
          </w:r>
          <w:r>
            <w:rPr>
              <w:rFonts w:ascii="宋体" w:hAnsi="宋体" w:eastAsia="宋体" w:cs="宋体"/>
              <w:spacing w:val="-2"/>
              <w:sz w:val="21"/>
              <w:szCs w:val="21"/>
            </w:rPr>
            <w:fldChar w:fldCharType="end"/>
          </w:r>
        </w:p>
        <w:p w14:paraId="7D795BC6">
          <w:pPr>
            <w:tabs>
              <w:tab w:val="right" w:leader="dot" w:pos="8317"/>
            </w:tabs>
            <w:spacing w:before="23" w:line="220" w:lineRule="auto"/>
            <w:ind w:left="875"/>
            <w:rPr>
              <w:rFonts w:ascii="宋体" w:hAnsi="宋体" w:eastAsia="宋体" w:cs="宋体"/>
              <w:sz w:val="21"/>
              <w:szCs w:val="21"/>
            </w:rPr>
          </w:pPr>
          <w:r>
            <w:rPr>
              <w:rFonts w:ascii="宋体" w:hAnsi="宋体" w:eastAsia="宋体" w:cs="宋体"/>
              <w:spacing w:val="-2"/>
              <w:sz w:val="21"/>
              <w:szCs w:val="21"/>
            </w:rPr>
            <w:t>附表</w:t>
          </w:r>
          <w:r>
            <w:rPr>
              <w:rFonts w:ascii="宋体" w:hAnsi="宋体" w:eastAsia="宋体" w:cs="宋体"/>
              <w:spacing w:val="-48"/>
              <w:sz w:val="21"/>
              <w:szCs w:val="21"/>
            </w:rPr>
            <w:t xml:space="preserve"> </w:t>
          </w:r>
          <w:r>
            <w:rPr>
              <w:rFonts w:ascii="宋体" w:hAnsi="宋体" w:eastAsia="宋体" w:cs="宋体"/>
              <w:spacing w:val="-2"/>
              <w:sz w:val="21"/>
              <w:szCs w:val="21"/>
            </w:rPr>
            <w:t>A-4：形式评审记录表</w:t>
          </w:r>
          <w:r>
            <w:rPr>
              <w:rFonts w:ascii="宋体" w:hAnsi="宋体" w:eastAsia="宋体" w:cs="宋体"/>
              <w:spacing w:val="-23"/>
              <w:sz w:val="21"/>
              <w:szCs w:val="21"/>
            </w:rPr>
            <w:t xml:space="preserve"> </w:t>
          </w:r>
          <w:r>
            <w:rPr>
              <w:rFonts w:ascii="宋体" w:hAnsi="宋体" w:eastAsia="宋体" w:cs="宋体"/>
              <w:sz w:val="21"/>
              <w:szCs w:val="21"/>
            </w:rPr>
            <w:tab/>
          </w:r>
          <w:r>
            <w:rPr>
              <w:rFonts w:ascii="宋体" w:hAnsi="宋体" w:eastAsia="宋体" w:cs="宋体"/>
              <w:spacing w:val="-28"/>
              <w:sz w:val="21"/>
              <w:szCs w:val="21"/>
            </w:rPr>
            <w:t xml:space="preserve"> </w:t>
          </w:r>
          <w:r>
            <w:fldChar w:fldCharType="begin"/>
          </w:r>
          <w:r>
            <w:instrText xml:space="preserve"> HYPERLINK \l "bookmark209" </w:instrText>
          </w:r>
          <w:r>
            <w:fldChar w:fldCharType="separate"/>
          </w:r>
          <w:r>
            <w:rPr>
              <w:rFonts w:ascii="宋体" w:hAnsi="宋体" w:eastAsia="宋体" w:cs="宋体"/>
              <w:spacing w:val="-2"/>
              <w:sz w:val="21"/>
              <w:szCs w:val="21"/>
            </w:rPr>
            <w:t>85</w:t>
          </w:r>
          <w:r>
            <w:rPr>
              <w:rFonts w:ascii="宋体" w:hAnsi="宋体" w:eastAsia="宋体" w:cs="宋体"/>
              <w:spacing w:val="-2"/>
              <w:sz w:val="21"/>
              <w:szCs w:val="21"/>
            </w:rPr>
            <w:fldChar w:fldCharType="end"/>
          </w:r>
        </w:p>
        <w:p w14:paraId="67620F28">
          <w:pPr>
            <w:tabs>
              <w:tab w:val="right" w:leader="dot" w:pos="8317"/>
            </w:tabs>
            <w:spacing w:before="24" w:line="220" w:lineRule="auto"/>
            <w:ind w:left="875"/>
            <w:rPr>
              <w:rFonts w:ascii="宋体" w:hAnsi="宋体" w:eastAsia="宋体" w:cs="宋体"/>
              <w:sz w:val="21"/>
              <w:szCs w:val="21"/>
            </w:rPr>
          </w:pPr>
          <w:r>
            <w:rPr>
              <w:rFonts w:ascii="宋体" w:hAnsi="宋体" w:eastAsia="宋体" w:cs="宋体"/>
              <w:spacing w:val="-2"/>
              <w:sz w:val="21"/>
              <w:szCs w:val="21"/>
            </w:rPr>
            <w:t>附表</w:t>
          </w:r>
          <w:r>
            <w:rPr>
              <w:rFonts w:ascii="宋体" w:hAnsi="宋体" w:eastAsia="宋体" w:cs="宋体"/>
              <w:spacing w:val="-48"/>
              <w:sz w:val="21"/>
              <w:szCs w:val="21"/>
            </w:rPr>
            <w:t xml:space="preserve"> </w:t>
          </w:r>
          <w:r>
            <w:rPr>
              <w:rFonts w:ascii="宋体" w:hAnsi="宋体" w:eastAsia="宋体" w:cs="宋体"/>
              <w:spacing w:val="-2"/>
              <w:sz w:val="21"/>
              <w:szCs w:val="21"/>
            </w:rPr>
            <w:t>A-5：资格评审记录表</w:t>
          </w:r>
          <w:r>
            <w:rPr>
              <w:rFonts w:ascii="宋体" w:hAnsi="宋体" w:eastAsia="宋体" w:cs="宋体"/>
              <w:spacing w:val="-23"/>
              <w:sz w:val="21"/>
              <w:szCs w:val="21"/>
            </w:rPr>
            <w:t xml:space="preserve"> </w:t>
          </w:r>
          <w:r>
            <w:rPr>
              <w:rFonts w:ascii="宋体" w:hAnsi="宋体" w:eastAsia="宋体" w:cs="宋体"/>
              <w:sz w:val="21"/>
              <w:szCs w:val="21"/>
            </w:rPr>
            <w:tab/>
          </w:r>
          <w:r>
            <w:rPr>
              <w:rFonts w:ascii="宋体" w:hAnsi="宋体" w:eastAsia="宋体" w:cs="宋体"/>
              <w:spacing w:val="-28"/>
              <w:sz w:val="21"/>
              <w:szCs w:val="21"/>
            </w:rPr>
            <w:t xml:space="preserve"> </w:t>
          </w:r>
          <w:r>
            <w:fldChar w:fldCharType="begin"/>
          </w:r>
          <w:r>
            <w:instrText xml:space="preserve"> HYPERLINK \l "bookmark210" </w:instrText>
          </w:r>
          <w:r>
            <w:fldChar w:fldCharType="separate"/>
          </w:r>
          <w:r>
            <w:rPr>
              <w:rFonts w:ascii="宋体" w:hAnsi="宋体" w:eastAsia="宋体" w:cs="宋体"/>
              <w:spacing w:val="-2"/>
              <w:sz w:val="21"/>
              <w:szCs w:val="21"/>
            </w:rPr>
            <w:t>86</w:t>
          </w:r>
          <w:r>
            <w:rPr>
              <w:rFonts w:ascii="宋体" w:hAnsi="宋体" w:eastAsia="宋体" w:cs="宋体"/>
              <w:spacing w:val="-2"/>
              <w:sz w:val="21"/>
              <w:szCs w:val="21"/>
            </w:rPr>
            <w:fldChar w:fldCharType="end"/>
          </w:r>
        </w:p>
        <w:p w14:paraId="64EC37CD">
          <w:pPr>
            <w:tabs>
              <w:tab w:val="right" w:leader="dot" w:pos="8317"/>
            </w:tabs>
            <w:spacing w:before="18" w:line="220" w:lineRule="auto"/>
            <w:ind w:left="875"/>
            <w:rPr>
              <w:rFonts w:ascii="宋体" w:hAnsi="宋体" w:eastAsia="宋体" w:cs="宋体"/>
              <w:sz w:val="21"/>
              <w:szCs w:val="21"/>
            </w:rPr>
          </w:pPr>
          <w:r>
            <w:rPr>
              <w:rFonts w:ascii="宋体" w:hAnsi="宋体" w:eastAsia="宋体" w:cs="宋体"/>
              <w:spacing w:val="-2"/>
              <w:sz w:val="21"/>
              <w:szCs w:val="21"/>
            </w:rPr>
            <w:t>附表</w:t>
          </w:r>
          <w:r>
            <w:rPr>
              <w:rFonts w:ascii="宋体" w:hAnsi="宋体" w:eastAsia="宋体" w:cs="宋体"/>
              <w:spacing w:val="-45"/>
              <w:sz w:val="21"/>
              <w:szCs w:val="21"/>
            </w:rPr>
            <w:t xml:space="preserve"> </w:t>
          </w:r>
          <w:r>
            <w:rPr>
              <w:rFonts w:ascii="宋体" w:hAnsi="宋体" w:eastAsia="宋体" w:cs="宋体"/>
              <w:spacing w:val="-2"/>
              <w:sz w:val="21"/>
              <w:szCs w:val="21"/>
            </w:rPr>
            <w:t>A-6：响应性评审记录表</w:t>
          </w:r>
          <w:r>
            <w:rPr>
              <w:rFonts w:ascii="宋体" w:hAnsi="宋体" w:eastAsia="宋体" w:cs="宋体"/>
              <w:spacing w:val="-23"/>
              <w:sz w:val="21"/>
              <w:szCs w:val="21"/>
            </w:rPr>
            <w:t xml:space="preserve"> </w:t>
          </w:r>
          <w:r>
            <w:rPr>
              <w:rFonts w:ascii="宋体" w:hAnsi="宋体" w:eastAsia="宋体" w:cs="宋体"/>
              <w:sz w:val="21"/>
              <w:szCs w:val="21"/>
            </w:rPr>
            <w:tab/>
          </w:r>
          <w:r>
            <w:rPr>
              <w:rFonts w:ascii="宋体" w:hAnsi="宋体" w:eastAsia="宋体" w:cs="宋体"/>
              <w:spacing w:val="-28"/>
              <w:sz w:val="21"/>
              <w:szCs w:val="21"/>
            </w:rPr>
            <w:t xml:space="preserve"> </w:t>
          </w:r>
          <w:r>
            <w:fldChar w:fldCharType="begin"/>
          </w:r>
          <w:r>
            <w:instrText xml:space="preserve"> HYPERLINK \l "bookmark211" </w:instrText>
          </w:r>
          <w:r>
            <w:fldChar w:fldCharType="separate"/>
          </w:r>
          <w:r>
            <w:rPr>
              <w:rFonts w:ascii="宋体" w:hAnsi="宋体" w:eastAsia="宋体" w:cs="宋体"/>
              <w:spacing w:val="-2"/>
              <w:sz w:val="21"/>
              <w:szCs w:val="21"/>
            </w:rPr>
            <w:t>87</w:t>
          </w:r>
          <w:r>
            <w:rPr>
              <w:rFonts w:ascii="宋体" w:hAnsi="宋体" w:eastAsia="宋体" w:cs="宋体"/>
              <w:spacing w:val="-2"/>
              <w:sz w:val="21"/>
              <w:szCs w:val="21"/>
            </w:rPr>
            <w:fldChar w:fldCharType="end"/>
          </w:r>
        </w:p>
        <w:p w14:paraId="258D7408">
          <w:pPr>
            <w:tabs>
              <w:tab w:val="right" w:leader="dot" w:pos="8317"/>
            </w:tabs>
            <w:spacing w:before="24" w:line="220" w:lineRule="auto"/>
            <w:ind w:left="875"/>
            <w:rPr>
              <w:rFonts w:ascii="宋体" w:hAnsi="宋体" w:eastAsia="宋体" w:cs="宋体"/>
              <w:sz w:val="21"/>
              <w:szCs w:val="21"/>
            </w:rPr>
          </w:pPr>
          <w:r>
            <w:rPr>
              <w:rFonts w:ascii="宋体" w:hAnsi="宋体" w:eastAsia="宋体" w:cs="宋体"/>
              <w:spacing w:val="-2"/>
              <w:sz w:val="21"/>
              <w:szCs w:val="21"/>
            </w:rPr>
            <w:t>附表</w:t>
          </w:r>
          <w:r>
            <w:rPr>
              <w:rFonts w:ascii="宋体" w:hAnsi="宋体" w:eastAsia="宋体" w:cs="宋体"/>
              <w:spacing w:val="-49"/>
              <w:sz w:val="21"/>
              <w:szCs w:val="21"/>
            </w:rPr>
            <w:t xml:space="preserve"> </w:t>
          </w:r>
          <w:r>
            <w:rPr>
              <w:rFonts w:ascii="宋体" w:hAnsi="宋体" w:eastAsia="宋体" w:cs="宋体"/>
              <w:spacing w:val="-2"/>
              <w:sz w:val="21"/>
              <w:szCs w:val="21"/>
            </w:rPr>
            <w:t xml:space="preserve">A-7：技术标评审记录表（合格性） </w:t>
          </w:r>
          <w:r>
            <w:rPr>
              <w:rFonts w:ascii="宋体" w:hAnsi="宋体" w:eastAsia="宋体" w:cs="宋体"/>
              <w:sz w:val="21"/>
              <w:szCs w:val="21"/>
            </w:rPr>
            <w:tab/>
          </w:r>
          <w:r>
            <w:rPr>
              <w:rFonts w:ascii="宋体" w:hAnsi="宋体" w:eastAsia="宋体" w:cs="宋体"/>
              <w:spacing w:val="-27"/>
              <w:sz w:val="21"/>
              <w:szCs w:val="21"/>
            </w:rPr>
            <w:t xml:space="preserve"> </w:t>
          </w:r>
          <w:r>
            <w:fldChar w:fldCharType="begin"/>
          </w:r>
          <w:r>
            <w:instrText xml:space="preserve"> HYPERLINK \l "bookmark212" </w:instrText>
          </w:r>
          <w:r>
            <w:fldChar w:fldCharType="separate"/>
          </w:r>
          <w:r>
            <w:rPr>
              <w:rFonts w:ascii="宋体" w:hAnsi="宋体" w:eastAsia="宋体" w:cs="宋体"/>
              <w:spacing w:val="-2"/>
              <w:sz w:val="21"/>
              <w:szCs w:val="21"/>
            </w:rPr>
            <w:t>88</w:t>
          </w:r>
          <w:r>
            <w:rPr>
              <w:rFonts w:ascii="宋体" w:hAnsi="宋体" w:eastAsia="宋体" w:cs="宋体"/>
              <w:spacing w:val="-2"/>
              <w:sz w:val="21"/>
              <w:szCs w:val="21"/>
            </w:rPr>
            <w:fldChar w:fldCharType="end"/>
          </w:r>
        </w:p>
        <w:p w14:paraId="5DB89453">
          <w:pPr>
            <w:tabs>
              <w:tab w:val="right" w:leader="dot" w:pos="8317"/>
            </w:tabs>
            <w:spacing w:before="23" w:line="220" w:lineRule="auto"/>
            <w:ind w:left="875"/>
            <w:rPr>
              <w:rFonts w:ascii="宋体" w:hAnsi="宋体" w:eastAsia="宋体" w:cs="宋体"/>
              <w:sz w:val="21"/>
              <w:szCs w:val="21"/>
            </w:rPr>
          </w:pPr>
          <w:r>
            <w:rPr>
              <w:rFonts w:ascii="宋体" w:hAnsi="宋体" w:eastAsia="宋体" w:cs="宋体"/>
              <w:spacing w:val="-3"/>
              <w:sz w:val="21"/>
              <w:szCs w:val="21"/>
            </w:rPr>
            <w:t>附表</w:t>
          </w:r>
          <w:r>
            <w:rPr>
              <w:rFonts w:ascii="宋体" w:hAnsi="宋体" w:eastAsia="宋体" w:cs="宋体"/>
              <w:spacing w:val="-46"/>
              <w:sz w:val="21"/>
              <w:szCs w:val="21"/>
            </w:rPr>
            <w:t xml:space="preserve"> </w:t>
          </w:r>
          <w:r>
            <w:rPr>
              <w:rFonts w:ascii="宋体" w:hAnsi="宋体" w:eastAsia="宋体" w:cs="宋体"/>
              <w:spacing w:val="-3"/>
              <w:sz w:val="21"/>
              <w:szCs w:val="21"/>
            </w:rPr>
            <w:t xml:space="preserve">A-8：初步评审汇总记录表 </w:t>
          </w:r>
          <w:r>
            <w:rPr>
              <w:rFonts w:ascii="宋体" w:hAnsi="宋体" w:eastAsia="宋体" w:cs="宋体"/>
              <w:sz w:val="21"/>
              <w:szCs w:val="21"/>
            </w:rPr>
            <w:tab/>
          </w:r>
          <w:r>
            <w:rPr>
              <w:rFonts w:ascii="宋体" w:hAnsi="宋体" w:eastAsia="宋体" w:cs="宋体"/>
              <w:spacing w:val="-28"/>
              <w:sz w:val="21"/>
              <w:szCs w:val="21"/>
            </w:rPr>
            <w:t xml:space="preserve"> </w:t>
          </w:r>
          <w:r>
            <w:fldChar w:fldCharType="begin"/>
          </w:r>
          <w:r>
            <w:instrText xml:space="preserve"> HYPERLINK \l "bookmark213" </w:instrText>
          </w:r>
          <w:r>
            <w:fldChar w:fldCharType="separate"/>
          </w:r>
          <w:r>
            <w:rPr>
              <w:rFonts w:ascii="宋体" w:hAnsi="宋体" w:eastAsia="宋体" w:cs="宋体"/>
              <w:spacing w:val="-2"/>
              <w:sz w:val="21"/>
              <w:szCs w:val="21"/>
            </w:rPr>
            <w:t>89</w:t>
          </w:r>
          <w:r>
            <w:rPr>
              <w:rFonts w:ascii="宋体" w:hAnsi="宋体" w:eastAsia="宋体" w:cs="宋体"/>
              <w:spacing w:val="-2"/>
              <w:sz w:val="21"/>
              <w:szCs w:val="21"/>
            </w:rPr>
            <w:fldChar w:fldCharType="end"/>
          </w:r>
        </w:p>
        <w:p w14:paraId="52CE4335">
          <w:pPr>
            <w:tabs>
              <w:tab w:val="right" w:leader="dot" w:pos="8317"/>
            </w:tabs>
            <w:spacing w:before="23" w:line="220" w:lineRule="auto"/>
            <w:ind w:left="875"/>
            <w:rPr>
              <w:rFonts w:ascii="宋体" w:hAnsi="宋体" w:eastAsia="宋体" w:cs="宋体"/>
              <w:sz w:val="21"/>
              <w:szCs w:val="21"/>
            </w:rPr>
          </w:pPr>
          <w:r>
            <w:rPr>
              <w:rFonts w:ascii="宋体" w:hAnsi="宋体" w:eastAsia="宋体" w:cs="宋体"/>
              <w:spacing w:val="-3"/>
              <w:sz w:val="21"/>
              <w:szCs w:val="21"/>
            </w:rPr>
            <w:t>附表</w:t>
          </w:r>
          <w:r>
            <w:rPr>
              <w:rFonts w:ascii="宋体" w:hAnsi="宋体" w:eastAsia="宋体" w:cs="宋体"/>
              <w:spacing w:val="-46"/>
              <w:sz w:val="21"/>
              <w:szCs w:val="21"/>
            </w:rPr>
            <w:t xml:space="preserve"> </w:t>
          </w:r>
          <w:r>
            <w:rPr>
              <w:rFonts w:ascii="宋体" w:hAnsi="宋体" w:eastAsia="宋体" w:cs="宋体"/>
              <w:spacing w:val="-3"/>
              <w:sz w:val="21"/>
              <w:szCs w:val="21"/>
            </w:rPr>
            <w:t xml:space="preserve">A-9：否决投标的情况说明 </w:t>
          </w:r>
          <w:r>
            <w:rPr>
              <w:rFonts w:ascii="宋体" w:hAnsi="宋体" w:eastAsia="宋体" w:cs="宋体"/>
              <w:sz w:val="21"/>
              <w:szCs w:val="21"/>
            </w:rPr>
            <w:tab/>
          </w:r>
          <w:r>
            <w:rPr>
              <w:rFonts w:ascii="宋体" w:hAnsi="宋体" w:eastAsia="宋体" w:cs="宋体"/>
              <w:spacing w:val="-28"/>
              <w:sz w:val="21"/>
              <w:szCs w:val="21"/>
            </w:rPr>
            <w:t xml:space="preserve"> </w:t>
          </w:r>
          <w:r>
            <w:fldChar w:fldCharType="begin"/>
          </w:r>
          <w:r>
            <w:instrText xml:space="preserve"> HYPERLINK \l "bookmark214" </w:instrText>
          </w:r>
          <w:r>
            <w:fldChar w:fldCharType="separate"/>
          </w:r>
          <w:r>
            <w:rPr>
              <w:rFonts w:ascii="宋体" w:hAnsi="宋体" w:eastAsia="宋体" w:cs="宋体"/>
              <w:spacing w:val="-2"/>
              <w:sz w:val="21"/>
              <w:szCs w:val="21"/>
            </w:rPr>
            <w:t>90</w:t>
          </w:r>
          <w:r>
            <w:rPr>
              <w:rFonts w:ascii="宋体" w:hAnsi="宋体" w:eastAsia="宋体" w:cs="宋体"/>
              <w:spacing w:val="-2"/>
              <w:sz w:val="21"/>
              <w:szCs w:val="21"/>
            </w:rPr>
            <w:fldChar w:fldCharType="end"/>
          </w:r>
        </w:p>
        <w:p w14:paraId="19DA9B80">
          <w:pPr>
            <w:tabs>
              <w:tab w:val="right" w:leader="dot" w:pos="8317"/>
            </w:tabs>
            <w:spacing w:before="19" w:line="220" w:lineRule="auto"/>
            <w:ind w:left="875"/>
            <w:rPr>
              <w:rFonts w:ascii="宋体" w:hAnsi="宋体" w:eastAsia="宋体" w:cs="宋体"/>
              <w:sz w:val="21"/>
              <w:szCs w:val="21"/>
            </w:rPr>
          </w:pPr>
          <w:r>
            <w:rPr>
              <w:rFonts w:ascii="宋体" w:hAnsi="宋体" w:eastAsia="宋体" w:cs="宋体"/>
              <w:spacing w:val="-2"/>
              <w:sz w:val="21"/>
              <w:szCs w:val="21"/>
            </w:rPr>
            <w:t>附表</w:t>
          </w:r>
          <w:r>
            <w:rPr>
              <w:rFonts w:ascii="宋体" w:hAnsi="宋体" w:eastAsia="宋体" w:cs="宋体"/>
              <w:spacing w:val="-42"/>
              <w:sz w:val="21"/>
              <w:szCs w:val="21"/>
            </w:rPr>
            <w:t xml:space="preserve"> </w:t>
          </w:r>
          <w:r>
            <w:rPr>
              <w:rFonts w:ascii="宋体" w:hAnsi="宋体" w:eastAsia="宋体" w:cs="宋体"/>
              <w:spacing w:val="-2"/>
              <w:sz w:val="21"/>
              <w:szCs w:val="21"/>
            </w:rPr>
            <w:t>A-10：经济标评分记录表</w:t>
          </w:r>
          <w:r>
            <w:rPr>
              <w:rFonts w:ascii="宋体" w:hAnsi="宋体" w:eastAsia="宋体" w:cs="宋体"/>
              <w:spacing w:val="-23"/>
              <w:sz w:val="21"/>
              <w:szCs w:val="21"/>
            </w:rPr>
            <w:t xml:space="preserve"> </w:t>
          </w:r>
          <w:r>
            <w:rPr>
              <w:rFonts w:ascii="宋体" w:hAnsi="宋体" w:eastAsia="宋体" w:cs="宋体"/>
              <w:sz w:val="21"/>
              <w:szCs w:val="21"/>
            </w:rPr>
            <w:tab/>
          </w:r>
          <w:r>
            <w:rPr>
              <w:rFonts w:ascii="宋体" w:hAnsi="宋体" w:eastAsia="宋体" w:cs="宋体"/>
              <w:spacing w:val="-28"/>
              <w:sz w:val="21"/>
              <w:szCs w:val="21"/>
            </w:rPr>
            <w:t xml:space="preserve"> </w:t>
          </w:r>
          <w:r>
            <w:fldChar w:fldCharType="begin"/>
          </w:r>
          <w:r>
            <w:instrText xml:space="preserve"> HYPERLINK \l "bookmark215" </w:instrText>
          </w:r>
          <w:r>
            <w:fldChar w:fldCharType="separate"/>
          </w:r>
          <w:r>
            <w:rPr>
              <w:rFonts w:ascii="宋体" w:hAnsi="宋体" w:eastAsia="宋体" w:cs="宋体"/>
              <w:spacing w:val="-2"/>
              <w:sz w:val="21"/>
              <w:szCs w:val="21"/>
            </w:rPr>
            <w:t>91</w:t>
          </w:r>
          <w:r>
            <w:rPr>
              <w:rFonts w:ascii="宋体" w:hAnsi="宋体" w:eastAsia="宋体" w:cs="宋体"/>
              <w:spacing w:val="-2"/>
              <w:sz w:val="21"/>
              <w:szCs w:val="21"/>
            </w:rPr>
            <w:fldChar w:fldCharType="end"/>
          </w:r>
        </w:p>
        <w:p w14:paraId="2A63BE5C">
          <w:pPr>
            <w:tabs>
              <w:tab w:val="right" w:leader="dot" w:pos="8317"/>
            </w:tabs>
            <w:spacing w:before="24" w:line="220" w:lineRule="auto"/>
            <w:ind w:left="875"/>
            <w:rPr>
              <w:rFonts w:ascii="宋体" w:hAnsi="宋体" w:eastAsia="宋体" w:cs="宋体"/>
              <w:sz w:val="21"/>
              <w:szCs w:val="21"/>
            </w:rPr>
          </w:pPr>
          <w:r>
            <w:rPr>
              <w:rFonts w:ascii="宋体" w:hAnsi="宋体" w:eastAsia="宋体" w:cs="宋体"/>
              <w:spacing w:val="-7"/>
              <w:sz w:val="21"/>
              <w:szCs w:val="21"/>
            </w:rPr>
            <w:t>附表</w:t>
          </w:r>
          <w:r>
            <w:rPr>
              <w:rFonts w:ascii="宋体" w:hAnsi="宋体" w:eastAsia="宋体" w:cs="宋体"/>
              <w:spacing w:val="-48"/>
              <w:sz w:val="21"/>
              <w:szCs w:val="21"/>
            </w:rPr>
            <w:t xml:space="preserve"> </w:t>
          </w:r>
          <w:r>
            <w:rPr>
              <w:rFonts w:ascii="宋体" w:hAnsi="宋体" w:eastAsia="宋体" w:cs="宋体"/>
              <w:spacing w:val="-7"/>
              <w:sz w:val="21"/>
              <w:szCs w:val="21"/>
            </w:rPr>
            <w:t xml:space="preserve">A-11：技术标评审记录表（评分）  </w:t>
          </w:r>
          <w:r>
            <w:rPr>
              <w:rFonts w:ascii="宋体" w:hAnsi="宋体" w:eastAsia="宋体" w:cs="宋体"/>
              <w:sz w:val="21"/>
              <w:szCs w:val="21"/>
            </w:rPr>
            <w:tab/>
          </w:r>
          <w:r>
            <w:rPr>
              <w:rFonts w:ascii="宋体" w:hAnsi="宋体" w:eastAsia="宋体" w:cs="宋体"/>
              <w:spacing w:val="-28"/>
              <w:sz w:val="21"/>
              <w:szCs w:val="21"/>
            </w:rPr>
            <w:t xml:space="preserve"> </w:t>
          </w:r>
          <w:r>
            <w:fldChar w:fldCharType="begin"/>
          </w:r>
          <w:r>
            <w:instrText xml:space="preserve"> HYPERLINK \l "bookmark216" </w:instrText>
          </w:r>
          <w:r>
            <w:fldChar w:fldCharType="separate"/>
          </w:r>
          <w:r>
            <w:rPr>
              <w:rFonts w:ascii="宋体" w:hAnsi="宋体" w:eastAsia="宋体" w:cs="宋体"/>
              <w:spacing w:val="-2"/>
              <w:sz w:val="21"/>
              <w:szCs w:val="21"/>
            </w:rPr>
            <w:t>92</w:t>
          </w:r>
          <w:r>
            <w:rPr>
              <w:rFonts w:ascii="宋体" w:hAnsi="宋体" w:eastAsia="宋体" w:cs="宋体"/>
              <w:spacing w:val="-2"/>
              <w:sz w:val="21"/>
              <w:szCs w:val="21"/>
            </w:rPr>
            <w:fldChar w:fldCharType="end"/>
          </w:r>
        </w:p>
        <w:p w14:paraId="454A5D99">
          <w:pPr>
            <w:tabs>
              <w:tab w:val="right" w:leader="dot" w:pos="8317"/>
            </w:tabs>
            <w:spacing w:before="23" w:line="220" w:lineRule="auto"/>
            <w:ind w:left="875"/>
            <w:rPr>
              <w:rFonts w:ascii="宋体" w:hAnsi="宋体" w:eastAsia="宋体" w:cs="宋体"/>
              <w:sz w:val="21"/>
              <w:szCs w:val="21"/>
            </w:rPr>
          </w:pPr>
          <w:r>
            <w:rPr>
              <w:rFonts w:ascii="宋体" w:hAnsi="宋体" w:eastAsia="宋体" w:cs="宋体"/>
              <w:spacing w:val="-7"/>
              <w:sz w:val="21"/>
              <w:szCs w:val="21"/>
            </w:rPr>
            <w:t>附表</w:t>
          </w:r>
          <w:r>
            <w:rPr>
              <w:rFonts w:ascii="宋体" w:hAnsi="宋体" w:eastAsia="宋体" w:cs="宋体"/>
              <w:spacing w:val="-48"/>
              <w:sz w:val="21"/>
              <w:szCs w:val="21"/>
            </w:rPr>
            <w:t xml:space="preserve"> </w:t>
          </w:r>
          <w:r>
            <w:rPr>
              <w:rFonts w:ascii="宋体" w:hAnsi="宋体" w:eastAsia="宋体" w:cs="宋体"/>
              <w:spacing w:val="-7"/>
              <w:sz w:val="21"/>
              <w:szCs w:val="21"/>
            </w:rPr>
            <w:t xml:space="preserve">A-12：技术标评审记录表（个人）  </w:t>
          </w:r>
          <w:r>
            <w:rPr>
              <w:rFonts w:ascii="宋体" w:hAnsi="宋体" w:eastAsia="宋体" w:cs="宋体"/>
              <w:sz w:val="21"/>
              <w:szCs w:val="21"/>
            </w:rPr>
            <w:tab/>
          </w:r>
          <w:r>
            <w:rPr>
              <w:rFonts w:ascii="宋体" w:hAnsi="宋体" w:eastAsia="宋体" w:cs="宋体"/>
              <w:spacing w:val="-28"/>
              <w:sz w:val="21"/>
              <w:szCs w:val="21"/>
            </w:rPr>
            <w:t xml:space="preserve"> </w:t>
          </w:r>
          <w:r>
            <w:fldChar w:fldCharType="begin"/>
          </w:r>
          <w:r>
            <w:instrText xml:space="preserve"> HYPERLINK \l "bookmark217" </w:instrText>
          </w:r>
          <w:r>
            <w:fldChar w:fldCharType="separate"/>
          </w:r>
          <w:r>
            <w:rPr>
              <w:rFonts w:ascii="宋体" w:hAnsi="宋体" w:eastAsia="宋体" w:cs="宋体"/>
              <w:spacing w:val="-2"/>
              <w:sz w:val="21"/>
              <w:szCs w:val="21"/>
            </w:rPr>
            <w:t>93</w:t>
          </w:r>
          <w:r>
            <w:rPr>
              <w:rFonts w:ascii="宋体" w:hAnsi="宋体" w:eastAsia="宋体" w:cs="宋体"/>
              <w:spacing w:val="-2"/>
              <w:sz w:val="21"/>
              <w:szCs w:val="21"/>
            </w:rPr>
            <w:fldChar w:fldCharType="end"/>
          </w:r>
        </w:p>
        <w:p w14:paraId="04A45C8A">
          <w:pPr>
            <w:tabs>
              <w:tab w:val="right" w:leader="dot" w:pos="8317"/>
            </w:tabs>
            <w:spacing w:before="23" w:line="220" w:lineRule="auto"/>
            <w:ind w:left="875"/>
            <w:rPr>
              <w:rFonts w:ascii="宋体" w:hAnsi="宋体" w:eastAsia="宋体" w:cs="宋体"/>
              <w:sz w:val="21"/>
              <w:szCs w:val="21"/>
            </w:rPr>
          </w:pPr>
          <w:r>
            <w:rPr>
              <w:rFonts w:ascii="宋体" w:hAnsi="宋体" w:eastAsia="宋体" w:cs="宋体"/>
              <w:spacing w:val="-2"/>
              <w:sz w:val="21"/>
              <w:szCs w:val="21"/>
            </w:rPr>
            <w:t>附表</w:t>
          </w:r>
          <w:r>
            <w:rPr>
              <w:rFonts w:ascii="宋体" w:hAnsi="宋体" w:eastAsia="宋体" w:cs="宋体"/>
              <w:spacing w:val="-42"/>
              <w:sz w:val="21"/>
              <w:szCs w:val="21"/>
            </w:rPr>
            <w:t xml:space="preserve"> </w:t>
          </w:r>
          <w:r>
            <w:rPr>
              <w:rFonts w:ascii="宋体" w:hAnsi="宋体" w:eastAsia="宋体" w:cs="宋体"/>
              <w:spacing w:val="-2"/>
              <w:sz w:val="21"/>
              <w:szCs w:val="21"/>
            </w:rPr>
            <w:t>A-13：资信标评审记录表</w:t>
          </w:r>
          <w:r>
            <w:rPr>
              <w:rFonts w:ascii="宋体" w:hAnsi="宋体" w:eastAsia="宋体" w:cs="宋体"/>
              <w:spacing w:val="-23"/>
              <w:sz w:val="21"/>
              <w:szCs w:val="21"/>
            </w:rPr>
            <w:t xml:space="preserve"> </w:t>
          </w:r>
          <w:r>
            <w:rPr>
              <w:rFonts w:ascii="宋体" w:hAnsi="宋体" w:eastAsia="宋体" w:cs="宋体"/>
              <w:sz w:val="21"/>
              <w:szCs w:val="21"/>
            </w:rPr>
            <w:tab/>
          </w:r>
          <w:r>
            <w:rPr>
              <w:rFonts w:ascii="宋体" w:hAnsi="宋体" w:eastAsia="宋体" w:cs="宋体"/>
              <w:spacing w:val="-28"/>
              <w:sz w:val="21"/>
              <w:szCs w:val="21"/>
            </w:rPr>
            <w:t xml:space="preserve"> </w:t>
          </w:r>
          <w:r>
            <w:fldChar w:fldCharType="begin"/>
          </w:r>
          <w:r>
            <w:instrText xml:space="preserve"> HYPERLINK \l "bookmark218" </w:instrText>
          </w:r>
          <w:r>
            <w:fldChar w:fldCharType="separate"/>
          </w:r>
          <w:r>
            <w:rPr>
              <w:rFonts w:ascii="宋体" w:hAnsi="宋体" w:eastAsia="宋体" w:cs="宋体"/>
              <w:spacing w:val="-2"/>
              <w:sz w:val="21"/>
              <w:szCs w:val="21"/>
            </w:rPr>
            <w:t>94</w:t>
          </w:r>
          <w:r>
            <w:rPr>
              <w:rFonts w:ascii="宋体" w:hAnsi="宋体" w:eastAsia="宋体" w:cs="宋体"/>
              <w:spacing w:val="-2"/>
              <w:sz w:val="21"/>
              <w:szCs w:val="21"/>
            </w:rPr>
            <w:fldChar w:fldCharType="end"/>
          </w:r>
        </w:p>
        <w:p w14:paraId="681D11D0">
          <w:pPr>
            <w:tabs>
              <w:tab w:val="right" w:leader="dot" w:pos="8317"/>
            </w:tabs>
            <w:spacing w:before="19" w:line="220" w:lineRule="auto"/>
            <w:ind w:left="875"/>
            <w:rPr>
              <w:rFonts w:ascii="宋体" w:hAnsi="宋体" w:eastAsia="宋体" w:cs="宋体"/>
              <w:sz w:val="21"/>
              <w:szCs w:val="21"/>
            </w:rPr>
          </w:pPr>
          <w:r>
            <w:rPr>
              <w:rFonts w:ascii="宋体" w:hAnsi="宋体" w:eastAsia="宋体" w:cs="宋体"/>
              <w:spacing w:val="-3"/>
              <w:sz w:val="21"/>
              <w:szCs w:val="21"/>
            </w:rPr>
            <w:t>附表</w:t>
          </w:r>
          <w:r>
            <w:rPr>
              <w:rFonts w:ascii="宋体" w:hAnsi="宋体" w:eastAsia="宋体" w:cs="宋体"/>
              <w:spacing w:val="-43"/>
              <w:sz w:val="21"/>
              <w:szCs w:val="21"/>
            </w:rPr>
            <w:t xml:space="preserve"> </w:t>
          </w:r>
          <w:r>
            <w:rPr>
              <w:rFonts w:ascii="宋体" w:hAnsi="宋体" w:eastAsia="宋体" w:cs="宋体"/>
              <w:spacing w:val="-3"/>
              <w:sz w:val="21"/>
              <w:szCs w:val="21"/>
            </w:rPr>
            <w:t xml:space="preserve">A-14：其他因素评审记录表 </w:t>
          </w:r>
          <w:r>
            <w:rPr>
              <w:rFonts w:ascii="宋体" w:hAnsi="宋体" w:eastAsia="宋体" w:cs="宋体"/>
              <w:sz w:val="21"/>
              <w:szCs w:val="21"/>
            </w:rPr>
            <w:tab/>
          </w:r>
          <w:r>
            <w:rPr>
              <w:rFonts w:ascii="宋体" w:hAnsi="宋体" w:eastAsia="宋体" w:cs="宋体"/>
              <w:spacing w:val="-28"/>
              <w:sz w:val="21"/>
              <w:szCs w:val="21"/>
            </w:rPr>
            <w:t xml:space="preserve"> </w:t>
          </w:r>
          <w:r>
            <w:fldChar w:fldCharType="begin"/>
          </w:r>
          <w:r>
            <w:instrText xml:space="preserve"> HYPERLINK \l "bookmark219" </w:instrText>
          </w:r>
          <w:r>
            <w:fldChar w:fldCharType="separate"/>
          </w:r>
          <w:r>
            <w:rPr>
              <w:rFonts w:ascii="宋体" w:hAnsi="宋体" w:eastAsia="宋体" w:cs="宋体"/>
              <w:spacing w:val="-2"/>
              <w:sz w:val="21"/>
              <w:szCs w:val="21"/>
            </w:rPr>
            <w:t>95</w:t>
          </w:r>
          <w:r>
            <w:rPr>
              <w:rFonts w:ascii="宋体" w:hAnsi="宋体" w:eastAsia="宋体" w:cs="宋体"/>
              <w:spacing w:val="-2"/>
              <w:sz w:val="21"/>
              <w:szCs w:val="21"/>
            </w:rPr>
            <w:fldChar w:fldCharType="end"/>
          </w:r>
        </w:p>
        <w:p w14:paraId="32B77CA4">
          <w:pPr>
            <w:tabs>
              <w:tab w:val="right" w:leader="dot" w:pos="8317"/>
            </w:tabs>
            <w:spacing w:before="23" w:line="220" w:lineRule="auto"/>
            <w:ind w:left="875"/>
            <w:rPr>
              <w:rFonts w:ascii="宋体" w:hAnsi="宋体" w:eastAsia="宋体" w:cs="宋体"/>
              <w:sz w:val="21"/>
              <w:szCs w:val="21"/>
            </w:rPr>
          </w:pPr>
          <w:r>
            <w:rPr>
              <w:rFonts w:ascii="宋体" w:hAnsi="宋体" w:eastAsia="宋体" w:cs="宋体"/>
              <w:spacing w:val="-3"/>
              <w:sz w:val="21"/>
              <w:szCs w:val="21"/>
            </w:rPr>
            <w:t>附表</w:t>
          </w:r>
          <w:r>
            <w:rPr>
              <w:rFonts w:ascii="宋体" w:hAnsi="宋体" w:eastAsia="宋体" w:cs="宋体"/>
              <w:spacing w:val="-43"/>
              <w:sz w:val="21"/>
              <w:szCs w:val="21"/>
            </w:rPr>
            <w:t xml:space="preserve"> </w:t>
          </w:r>
          <w:r>
            <w:rPr>
              <w:rFonts w:ascii="宋体" w:hAnsi="宋体" w:eastAsia="宋体" w:cs="宋体"/>
              <w:spacing w:val="-3"/>
              <w:sz w:val="21"/>
              <w:szCs w:val="21"/>
            </w:rPr>
            <w:t xml:space="preserve">A-15：详细评审评分汇总表 </w:t>
          </w:r>
          <w:r>
            <w:rPr>
              <w:rFonts w:ascii="宋体" w:hAnsi="宋体" w:eastAsia="宋体" w:cs="宋体"/>
              <w:sz w:val="21"/>
              <w:szCs w:val="21"/>
            </w:rPr>
            <w:tab/>
          </w:r>
          <w:r>
            <w:rPr>
              <w:rFonts w:ascii="宋体" w:hAnsi="宋体" w:eastAsia="宋体" w:cs="宋体"/>
              <w:spacing w:val="-28"/>
              <w:sz w:val="21"/>
              <w:szCs w:val="21"/>
            </w:rPr>
            <w:t xml:space="preserve"> </w:t>
          </w:r>
          <w:r>
            <w:fldChar w:fldCharType="begin"/>
          </w:r>
          <w:r>
            <w:instrText xml:space="preserve"> HYPERLINK \l "bookmark220" </w:instrText>
          </w:r>
          <w:r>
            <w:fldChar w:fldCharType="separate"/>
          </w:r>
          <w:r>
            <w:rPr>
              <w:rFonts w:ascii="宋体" w:hAnsi="宋体" w:eastAsia="宋体" w:cs="宋体"/>
              <w:spacing w:val="-2"/>
              <w:sz w:val="21"/>
              <w:szCs w:val="21"/>
            </w:rPr>
            <w:t>96</w:t>
          </w:r>
          <w:r>
            <w:rPr>
              <w:rFonts w:ascii="宋体" w:hAnsi="宋体" w:eastAsia="宋体" w:cs="宋体"/>
              <w:spacing w:val="-2"/>
              <w:sz w:val="21"/>
              <w:szCs w:val="21"/>
            </w:rPr>
            <w:fldChar w:fldCharType="end"/>
          </w:r>
        </w:p>
        <w:p w14:paraId="5BBFF93F">
          <w:pPr>
            <w:tabs>
              <w:tab w:val="right" w:leader="dot" w:pos="8317"/>
            </w:tabs>
            <w:spacing w:before="24" w:line="220" w:lineRule="auto"/>
            <w:ind w:left="875"/>
            <w:rPr>
              <w:rFonts w:ascii="宋体" w:hAnsi="宋体" w:eastAsia="宋体" w:cs="宋体"/>
              <w:sz w:val="21"/>
              <w:szCs w:val="21"/>
            </w:rPr>
          </w:pPr>
          <w:r>
            <w:rPr>
              <w:rFonts w:ascii="宋体" w:hAnsi="宋体" w:eastAsia="宋体" w:cs="宋体"/>
              <w:spacing w:val="-2"/>
              <w:sz w:val="21"/>
              <w:szCs w:val="21"/>
            </w:rPr>
            <w:t>附表</w:t>
          </w:r>
          <w:r>
            <w:rPr>
              <w:rFonts w:ascii="宋体" w:hAnsi="宋体" w:eastAsia="宋体" w:cs="宋体"/>
              <w:spacing w:val="-45"/>
              <w:sz w:val="21"/>
              <w:szCs w:val="21"/>
            </w:rPr>
            <w:t xml:space="preserve"> </w:t>
          </w:r>
          <w:r>
            <w:rPr>
              <w:rFonts w:ascii="宋体" w:hAnsi="宋体" w:eastAsia="宋体" w:cs="宋体"/>
              <w:spacing w:val="-2"/>
              <w:sz w:val="21"/>
              <w:szCs w:val="21"/>
            </w:rPr>
            <w:t>A-16：评标结果汇总表</w:t>
          </w:r>
          <w:r>
            <w:rPr>
              <w:rFonts w:ascii="宋体" w:hAnsi="宋体" w:eastAsia="宋体" w:cs="宋体"/>
              <w:spacing w:val="-23"/>
              <w:sz w:val="21"/>
              <w:szCs w:val="21"/>
            </w:rPr>
            <w:t xml:space="preserve"> </w:t>
          </w:r>
          <w:r>
            <w:rPr>
              <w:rFonts w:ascii="宋体" w:hAnsi="宋体" w:eastAsia="宋体" w:cs="宋体"/>
              <w:sz w:val="21"/>
              <w:szCs w:val="21"/>
            </w:rPr>
            <w:tab/>
          </w:r>
          <w:r>
            <w:rPr>
              <w:rFonts w:ascii="宋体" w:hAnsi="宋体" w:eastAsia="宋体" w:cs="宋体"/>
              <w:spacing w:val="-28"/>
              <w:sz w:val="21"/>
              <w:szCs w:val="21"/>
            </w:rPr>
            <w:t xml:space="preserve"> </w:t>
          </w:r>
          <w:r>
            <w:fldChar w:fldCharType="begin"/>
          </w:r>
          <w:r>
            <w:instrText xml:space="preserve"> HYPERLINK \l "bookmark221" </w:instrText>
          </w:r>
          <w:r>
            <w:fldChar w:fldCharType="separate"/>
          </w:r>
          <w:r>
            <w:rPr>
              <w:rFonts w:ascii="宋体" w:hAnsi="宋体" w:eastAsia="宋体" w:cs="宋体"/>
              <w:spacing w:val="-2"/>
              <w:sz w:val="21"/>
              <w:szCs w:val="21"/>
            </w:rPr>
            <w:t>97</w:t>
          </w:r>
          <w:r>
            <w:rPr>
              <w:rFonts w:ascii="宋体" w:hAnsi="宋体" w:eastAsia="宋体" w:cs="宋体"/>
              <w:spacing w:val="-2"/>
              <w:sz w:val="21"/>
              <w:szCs w:val="21"/>
            </w:rPr>
            <w:fldChar w:fldCharType="end"/>
          </w:r>
        </w:p>
        <w:p w14:paraId="53E41FB5">
          <w:pPr>
            <w:tabs>
              <w:tab w:val="right" w:leader="dot" w:pos="8317"/>
            </w:tabs>
            <w:spacing w:before="19" w:line="220" w:lineRule="auto"/>
            <w:ind w:left="875"/>
            <w:rPr>
              <w:rFonts w:ascii="宋体" w:hAnsi="宋体" w:eastAsia="宋体" w:cs="宋体"/>
              <w:sz w:val="21"/>
              <w:szCs w:val="21"/>
            </w:rPr>
          </w:pPr>
          <w:r>
            <w:rPr>
              <w:rFonts w:ascii="宋体" w:hAnsi="宋体" w:eastAsia="宋体" w:cs="宋体"/>
              <w:spacing w:val="-3"/>
              <w:sz w:val="21"/>
              <w:szCs w:val="21"/>
            </w:rPr>
            <w:t>附表</w:t>
          </w:r>
          <w:r>
            <w:rPr>
              <w:rFonts w:ascii="宋体" w:hAnsi="宋体" w:eastAsia="宋体" w:cs="宋体"/>
              <w:spacing w:val="-38"/>
              <w:sz w:val="21"/>
              <w:szCs w:val="21"/>
            </w:rPr>
            <w:t xml:space="preserve"> </w:t>
          </w:r>
          <w:r>
            <w:rPr>
              <w:rFonts w:ascii="宋体" w:hAnsi="宋体" w:eastAsia="宋体" w:cs="宋体"/>
              <w:spacing w:val="-3"/>
              <w:sz w:val="21"/>
              <w:szCs w:val="21"/>
            </w:rPr>
            <w:t xml:space="preserve">A-17：推荐中标候选人一览表 </w:t>
          </w:r>
          <w:r>
            <w:rPr>
              <w:rFonts w:ascii="宋体" w:hAnsi="宋体" w:eastAsia="宋体" w:cs="宋体"/>
              <w:sz w:val="21"/>
              <w:szCs w:val="21"/>
            </w:rPr>
            <w:tab/>
          </w:r>
          <w:r>
            <w:rPr>
              <w:rFonts w:ascii="宋体" w:hAnsi="宋体" w:eastAsia="宋体" w:cs="宋体"/>
              <w:spacing w:val="-28"/>
              <w:sz w:val="21"/>
              <w:szCs w:val="21"/>
            </w:rPr>
            <w:t xml:space="preserve"> </w:t>
          </w:r>
          <w:r>
            <w:fldChar w:fldCharType="begin"/>
          </w:r>
          <w:r>
            <w:instrText xml:space="preserve"> HYPERLINK \l "bookmark222" </w:instrText>
          </w:r>
          <w:r>
            <w:fldChar w:fldCharType="separate"/>
          </w:r>
          <w:r>
            <w:rPr>
              <w:rFonts w:ascii="宋体" w:hAnsi="宋体" w:eastAsia="宋体" w:cs="宋体"/>
              <w:spacing w:val="-2"/>
              <w:sz w:val="21"/>
              <w:szCs w:val="21"/>
            </w:rPr>
            <w:t>98</w:t>
          </w:r>
          <w:r>
            <w:rPr>
              <w:rFonts w:ascii="宋体" w:hAnsi="宋体" w:eastAsia="宋体" w:cs="宋体"/>
              <w:spacing w:val="-2"/>
              <w:sz w:val="21"/>
              <w:szCs w:val="21"/>
            </w:rPr>
            <w:fldChar w:fldCharType="end"/>
          </w:r>
        </w:p>
        <w:p w14:paraId="63BD2BBB">
          <w:pPr>
            <w:tabs>
              <w:tab w:val="right" w:leader="dot" w:pos="8317"/>
            </w:tabs>
            <w:spacing w:before="23" w:line="220" w:lineRule="auto"/>
            <w:ind w:left="875"/>
            <w:rPr>
              <w:rFonts w:ascii="宋体" w:hAnsi="宋体" w:eastAsia="宋体" w:cs="宋体"/>
              <w:sz w:val="21"/>
              <w:szCs w:val="21"/>
            </w:rPr>
          </w:pPr>
          <w:r>
            <w:rPr>
              <w:rFonts w:ascii="宋体" w:hAnsi="宋体" w:eastAsia="宋体" w:cs="宋体"/>
              <w:spacing w:val="-3"/>
              <w:sz w:val="21"/>
              <w:szCs w:val="21"/>
            </w:rPr>
            <w:t>附表</w:t>
          </w:r>
          <w:r>
            <w:rPr>
              <w:rFonts w:ascii="宋体" w:hAnsi="宋体" w:eastAsia="宋体" w:cs="宋体"/>
              <w:spacing w:val="-46"/>
              <w:sz w:val="21"/>
              <w:szCs w:val="21"/>
            </w:rPr>
            <w:t xml:space="preserve"> </w:t>
          </w:r>
          <w:r>
            <w:rPr>
              <w:rFonts w:ascii="宋体" w:hAnsi="宋体" w:eastAsia="宋体" w:cs="宋体"/>
              <w:spacing w:val="-3"/>
              <w:sz w:val="21"/>
              <w:szCs w:val="21"/>
            </w:rPr>
            <w:t xml:space="preserve">C-1：成本评审结论记录表 </w:t>
          </w:r>
          <w:r>
            <w:rPr>
              <w:rFonts w:ascii="宋体" w:hAnsi="宋体" w:eastAsia="宋体" w:cs="宋体"/>
              <w:sz w:val="21"/>
              <w:szCs w:val="21"/>
            </w:rPr>
            <w:tab/>
          </w:r>
          <w:r>
            <w:rPr>
              <w:rFonts w:ascii="宋体" w:hAnsi="宋体" w:eastAsia="宋体" w:cs="宋体"/>
              <w:spacing w:val="-28"/>
              <w:sz w:val="21"/>
              <w:szCs w:val="21"/>
            </w:rPr>
            <w:t xml:space="preserve"> </w:t>
          </w:r>
          <w:r>
            <w:fldChar w:fldCharType="begin"/>
          </w:r>
          <w:r>
            <w:instrText xml:space="preserve"> HYPERLINK \l "bookmark223" </w:instrText>
          </w:r>
          <w:r>
            <w:fldChar w:fldCharType="separate"/>
          </w:r>
          <w:r>
            <w:rPr>
              <w:rFonts w:ascii="宋体" w:hAnsi="宋体" w:eastAsia="宋体" w:cs="宋体"/>
              <w:spacing w:val="-2"/>
              <w:sz w:val="21"/>
              <w:szCs w:val="21"/>
            </w:rPr>
            <w:t>99</w:t>
          </w:r>
          <w:r>
            <w:rPr>
              <w:rFonts w:ascii="宋体" w:hAnsi="宋体" w:eastAsia="宋体" w:cs="宋体"/>
              <w:spacing w:val="-2"/>
              <w:sz w:val="21"/>
              <w:szCs w:val="21"/>
            </w:rPr>
            <w:fldChar w:fldCharType="end"/>
          </w:r>
        </w:p>
        <w:p w14:paraId="0507F661">
          <w:pPr>
            <w:tabs>
              <w:tab w:val="right" w:leader="dot" w:pos="8307"/>
            </w:tabs>
            <w:spacing w:before="23" w:line="220" w:lineRule="auto"/>
            <w:ind w:left="18"/>
            <w:rPr>
              <w:rFonts w:ascii="宋体" w:hAnsi="宋体" w:eastAsia="宋体" w:cs="宋体"/>
              <w:sz w:val="21"/>
              <w:szCs w:val="21"/>
            </w:rPr>
          </w:pPr>
          <w:r>
            <w:rPr>
              <w:rFonts w:ascii="宋体" w:hAnsi="宋体" w:eastAsia="宋体" w:cs="宋体"/>
              <w:spacing w:val="-1"/>
              <w:sz w:val="21"/>
              <w:szCs w:val="21"/>
              <w14:textOutline w14:w="3831" w14:cap="flat" w14:cmpd="sng">
                <w14:solidFill>
                  <w14:srgbClr w14:val="000000"/>
                </w14:solidFill>
                <w14:prstDash w14:val="solid"/>
                <w14:miter w14:val="0"/>
              </w14:textOutline>
            </w:rPr>
            <w:t>第四章</w:t>
          </w:r>
          <w:r>
            <w:rPr>
              <w:rFonts w:ascii="宋体" w:hAnsi="宋体" w:eastAsia="宋体" w:cs="宋体"/>
              <w:spacing w:val="-1"/>
              <w:sz w:val="21"/>
              <w:szCs w:val="21"/>
            </w:rPr>
            <w:t xml:space="preserve">  </w:t>
          </w:r>
          <w:r>
            <w:rPr>
              <w:rFonts w:ascii="宋体" w:hAnsi="宋体" w:eastAsia="宋体" w:cs="宋体"/>
              <w:spacing w:val="-1"/>
              <w:sz w:val="21"/>
              <w:szCs w:val="21"/>
              <w14:textOutline w14:w="3831" w14:cap="flat" w14:cmpd="sng">
                <w14:solidFill>
                  <w14:srgbClr w14:val="000000"/>
                </w14:solidFill>
                <w14:prstDash w14:val="solid"/>
                <w14:miter w14:val="0"/>
              </w14:textOutline>
            </w:rPr>
            <w:t>合同条款及格式</w:t>
          </w:r>
          <w:r>
            <w:rPr>
              <w:rFonts w:ascii="宋体" w:hAnsi="宋体" w:eastAsia="宋体" w:cs="宋体"/>
              <w:spacing w:val="-1"/>
              <w:sz w:val="21"/>
              <w:szCs w:val="21"/>
            </w:rPr>
            <w:t xml:space="preserve"> </w:t>
          </w:r>
          <w:r>
            <w:rPr>
              <w:rFonts w:ascii="宋体" w:hAnsi="宋体" w:eastAsia="宋体" w:cs="宋体"/>
              <w:sz w:val="21"/>
              <w:szCs w:val="21"/>
              <w14:textOutline w14:w="3831" w14:cap="flat" w14:cmpd="sng">
                <w14:solidFill>
                  <w14:srgbClr w14:val="000000"/>
                </w14:solidFill>
                <w14:prstDash w14:val="solid"/>
                <w14:miter w14:val="0"/>
              </w14:textOutline>
            </w:rPr>
            <w:tab/>
          </w:r>
          <w:r>
            <w:rPr>
              <w:rFonts w:ascii="宋体" w:hAnsi="宋体" w:eastAsia="宋体" w:cs="宋体"/>
              <w:spacing w:val="-18"/>
              <w:sz w:val="21"/>
              <w:szCs w:val="21"/>
            </w:rPr>
            <w:t xml:space="preserve"> </w:t>
          </w:r>
          <w:r>
            <w:fldChar w:fldCharType="begin"/>
          </w:r>
          <w:r>
            <w:instrText xml:space="preserve"> HYPERLINK \l "bookmark224" </w:instrText>
          </w:r>
          <w:r>
            <w:fldChar w:fldCharType="separate"/>
          </w:r>
          <w:r>
            <w:rPr>
              <w:rFonts w:ascii="宋体" w:hAnsi="宋体" w:eastAsia="宋体" w:cs="宋体"/>
              <w:spacing w:val="-5"/>
              <w:sz w:val="21"/>
              <w:szCs w:val="21"/>
              <w14:textOutline w14:w="3831" w14:cap="flat" w14:cmpd="sng">
                <w14:solidFill>
                  <w14:srgbClr w14:val="000000"/>
                </w14:solidFill>
                <w14:prstDash w14:val="solid"/>
                <w14:miter w14:val="0"/>
              </w14:textOutline>
            </w:rPr>
            <w:t>100</w:t>
          </w:r>
          <w:r>
            <w:rPr>
              <w:rFonts w:ascii="宋体" w:hAnsi="宋体" w:eastAsia="宋体" w:cs="宋体"/>
              <w:spacing w:val="-5"/>
              <w:sz w:val="21"/>
              <w:szCs w:val="21"/>
              <w14:textOutline w14:w="3831" w14:cap="flat" w14:cmpd="sng">
                <w14:solidFill>
                  <w14:srgbClr w14:val="000000"/>
                </w14:solidFill>
                <w14:prstDash w14:val="solid"/>
                <w14:miter w14:val="0"/>
              </w14:textOutline>
            </w:rPr>
            <w:fldChar w:fldCharType="end"/>
          </w:r>
        </w:p>
        <w:p w14:paraId="6FEA481F">
          <w:pPr>
            <w:tabs>
              <w:tab w:val="right" w:leader="dot" w:pos="8317"/>
            </w:tabs>
            <w:spacing w:before="24" w:line="220" w:lineRule="auto"/>
            <w:ind w:left="441"/>
            <w:rPr>
              <w:rFonts w:ascii="宋体" w:hAnsi="宋体" w:eastAsia="宋体" w:cs="宋体"/>
              <w:sz w:val="21"/>
              <w:szCs w:val="21"/>
            </w:rPr>
          </w:pPr>
          <w:r>
            <w:rPr>
              <w:rFonts w:ascii="宋体" w:hAnsi="宋体" w:eastAsia="宋体" w:cs="宋体"/>
              <w:spacing w:val="-1"/>
              <w:sz w:val="21"/>
              <w:szCs w:val="21"/>
            </w:rPr>
            <w:t>第一部分 合同协议书</w:t>
          </w:r>
          <w:r>
            <w:rPr>
              <w:rFonts w:ascii="宋体" w:hAnsi="宋体" w:eastAsia="宋体" w:cs="宋体"/>
              <w:spacing w:val="-79"/>
              <w:sz w:val="21"/>
              <w:szCs w:val="21"/>
            </w:rPr>
            <w:t xml:space="preserve"> </w:t>
          </w:r>
          <w:r>
            <w:rPr>
              <w:rFonts w:ascii="宋体" w:hAnsi="宋体" w:eastAsia="宋体" w:cs="宋体"/>
              <w:sz w:val="21"/>
              <w:szCs w:val="21"/>
            </w:rPr>
            <w:tab/>
          </w:r>
          <w:r>
            <w:rPr>
              <w:rFonts w:ascii="宋体" w:hAnsi="宋体" w:eastAsia="宋体" w:cs="宋体"/>
              <w:spacing w:val="-13"/>
              <w:sz w:val="21"/>
              <w:szCs w:val="21"/>
            </w:rPr>
            <w:t xml:space="preserve"> </w:t>
          </w:r>
          <w:r>
            <w:fldChar w:fldCharType="begin"/>
          </w:r>
          <w:r>
            <w:instrText xml:space="preserve"> HYPERLINK \l "bookmark225" </w:instrText>
          </w:r>
          <w:r>
            <w:fldChar w:fldCharType="separate"/>
          </w:r>
          <w:r>
            <w:rPr>
              <w:rFonts w:ascii="宋体" w:hAnsi="宋体" w:eastAsia="宋体" w:cs="宋体"/>
              <w:spacing w:val="-5"/>
              <w:sz w:val="21"/>
              <w:szCs w:val="21"/>
            </w:rPr>
            <w:t>101</w:t>
          </w:r>
          <w:r>
            <w:rPr>
              <w:rFonts w:ascii="宋体" w:hAnsi="宋体" w:eastAsia="宋体" w:cs="宋体"/>
              <w:spacing w:val="-5"/>
              <w:sz w:val="21"/>
              <w:szCs w:val="21"/>
            </w:rPr>
            <w:fldChar w:fldCharType="end"/>
          </w:r>
        </w:p>
        <w:p w14:paraId="46CF43E1">
          <w:pPr>
            <w:tabs>
              <w:tab w:val="right" w:leader="dot" w:pos="8317"/>
            </w:tabs>
            <w:spacing w:before="18" w:line="221" w:lineRule="auto"/>
            <w:ind w:left="441"/>
            <w:rPr>
              <w:rFonts w:ascii="宋体" w:hAnsi="宋体" w:eastAsia="宋体" w:cs="宋体"/>
              <w:sz w:val="21"/>
              <w:szCs w:val="21"/>
            </w:rPr>
          </w:pPr>
          <w:r>
            <w:rPr>
              <w:rFonts w:ascii="宋体" w:hAnsi="宋体" w:eastAsia="宋体" w:cs="宋体"/>
              <w:spacing w:val="-1"/>
              <w:sz w:val="21"/>
              <w:szCs w:val="21"/>
            </w:rPr>
            <w:t>第二部分 通用合同条款</w:t>
          </w:r>
          <w:r>
            <w:rPr>
              <w:rFonts w:ascii="宋体" w:hAnsi="宋体" w:eastAsia="宋体" w:cs="宋体"/>
              <w:spacing w:val="-76"/>
              <w:sz w:val="21"/>
              <w:szCs w:val="21"/>
            </w:rPr>
            <w:t xml:space="preserve"> </w:t>
          </w:r>
          <w:r>
            <w:rPr>
              <w:rFonts w:ascii="宋体" w:hAnsi="宋体" w:eastAsia="宋体" w:cs="宋体"/>
              <w:sz w:val="21"/>
              <w:szCs w:val="21"/>
            </w:rPr>
            <w:tab/>
          </w:r>
          <w:r>
            <w:rPr>
              <w:rFonts w:ascii="宋体" w:hAnsi="宋体" w:eastAsia="宋体" w:cs="宋体"/>
              <w:spacing w:val="-13"/>
              <w:sz w:val="21"/>
              <w:szCs w:val="21"/>
            </w:rPr>
            <w:t xml:space="preserve"> </w:t>
          </w:r>
          <w:r>
            <w:fldChar w:fldCharType="begin"/>
          </w:r>
          <w:r>
            <w:instrText xml:space="preserve"> HYPERLINK \l "bookmark226" </w:instrText>
          </w:r>
          <w:r>
            <w:fldChar w:fldCharType="separate"/>
          </w:r>
          <w:r>
            <w:rPr>
              <w:rFonts w:ascii="宋体" w:hAnsi="宋体" w:eastAsia="宋体" w:cs="宋体"/>
              <w:spacing w:val="-5"/>
              <w:sz w:val="21"/>
              <w:szCs w:val="21"/>
            </w:rPr>
            <w:t>104</w:t>
          </w:r>
          <w:r>
            <w:rPr>
              <w:rFonts w:ascii="宋体" w:hAnsi="宋体" w:eastAsia="宋体" w:cs="宋体"/>
              <w:spacing w:val="-5"/>
              <w:sz w:val="21"/>
              <w:szCs w:val="21"/>
            </w:rPr>
            <w:fldChar w:fldCharType="end"/>
          </w:r>
        </w:p>
        <w:p w14:paraId="50D74D27">
          <w:pPr>
            <w:tabs>
              <w:tab w:val="right" w:leader="dot" w:pos="8317"/>
            </w:tabs>
            <w:spacing w:before="22" w:line="221" w:lineRule="auto"/>
            <w:ind w:left="441"/>
            <w:rPr>
              <w:rFonts w:ascii="宋体" w:hAnsi="宋体" w:eastAsia="宋体" w:cs="宋体"/>
              <w:sz w:val="21"/>
              <w:szCs w:val="21"/>
            </w:rPr>
          </w:pPr>
          <w:r>
            <w:rPr>
              <w:rFonts w:ascii="宋体" w:hAnsi="宋体" w:eastAsia="宋体" w:cs="宋体"/>
              <w:spacing w:val="-1"/>
              <w:sz w:val="21"/>
              <w:szCs w:val="21"/>
            </w:rPr>
            <w:t>第三部分 专用合同条款</w:t>
          </w:r>
          <w:r>
            <w:rPr>
              <w:rFonts w:ascii="宋体" w:hAnsi="宋体" w:eastAsia="宋体" w:cs="宋体"/>
              <w:spacing w:val="-76"/>
              <w:sz w:val="21"/>
              <w:szCs w:val="21"/>
            </w:rPr>
            <w:t xml:space="preserve"> </w:t>
          </w:r>
          <w:r>
            <w:rPr>
              <w:rFonts w:ascii="宋体" w:hAnsi="宋体" w:eastAsia="宋体" w:cs="宋体"/>
              <w:sz w:val="21"/>
              <w:szCs w:val="21"/>
            </w:rPr>
            <w:tab/>
          </w:r>
          <w:r>
            <w:rPr>
              <w:rFonts w:ascii="宋体" w:hAnsi="宋体" w:eastAsia="宋体" w:cs="宋体"/>
              <w:spacing w:val="-13"/>
              <w:sz w:val="21"/>
              <w:szCs w:val="21"/>
            </w:rPr>
            <w:t xml:space="preserve"> </w:t>
          </w:r>
          <w:r>
            <w:fldChar w:fldCharType="begin"/>
          </w:r>
          <w:r>
            <w:instrText xml:space="preserve"> HYPERLINK \l "bookmark227" </w:instrText>
          </w:r>
          <w:r>
            <w:fldChar w:fldCharType="separate"/>
          </w:r>
          <w:r>
            <w:rPr>
              <w:rFonts w:ascii="宋体" w:hAnsi="宋体" w:eastAsia="宋体" w:cs="宋体"/>
              <w:spacing w:val="-5"/>
              <w:sz w:val="21"/>
              <w:szCs w:val="21"/>
            </w:rPr>
            <w:t>154</w:t>
          </w:r>
          <w:r>
            <w:rPr>
              <w:rFonts w:ascii="宋体" w:hAnsi="宋体" w:eastAsia="宋体" w:cs="宋体"/>
              <w:spacing w:val="-5"/>
              <w:sz w:val="21"/>
              <w:szCs w:val="21"/>
            </w:rPr>
            <w:fldChar w:fldCharType="end"/>
          </w:r>
        </w:p>
        <w:p w14:paraId="2F9CC2A3">
          <w:pPr>
            <w:tabs>
              <w:tab w:val="right" w:leader="dot" w:pos="8307"/>
            </w:tabs>
            <w:spacing w:before="23" w:line="220" w:lineRule="auto"/>
            <w:ind w:left="18"/>
            <w:rPr>
              <w:rFonts w:ascii="宋体" w:hAnsi="宋体" w:eastAsia="宋体" w:cs="宋体"/>
              <w:sz w:val="21"/>
              <w:szCs w:val="21"/>
            </w:rPr>
          </w:pPr>
          <w:r>
            <w:rPr>
              <w:rFonts w:ascii="宋体" w:hAnsi="宋体" w:eastAsia="宋体" w:cs="宋体"/>
              <w:sz w:val="21"/>
              <w:szCs w:val="21"/>
              <w14:textOutline w14:w="3831" w14:cap="flat" w14:cmpd="sng">
                <w14:solidFill>
                  <w14:srgbClr w14:val="000000"/>
                </w14:solidFill>
                <w14:prstDash w14:val="solid"/>
                <w14:miter w14:val="0"/>
              </w14:textOutline>
            </w:rPr>
            <w:t>第五章</w:t>
          </w:r>
          <w:r>
            <w:rPr>
              <w:rFonts w:ascii="宋体" w:hAnsi="宋体" w:eastAsia="宋体" w:cs="宋体"/>
              <w:sz w:val="21"/>
              <w:szCs w:val="21"/>
            </w:rPr>
            <w:t xml:space="preserve">  </w:t>
          </w:r>
          <w:r>
            <w:rPr>
              <w:rFonts w:ascii="宋体" w:hAnsi="宋体" w:eastAsia="宋体" w:cs="宋体"/>
              <w:sz w:val="21"/>
              <w:szCs w:val="21"/>
              <w14:textOutline w14:w="3831" w14:cap="flat" w14:cmpd="sng">
                <w14:solidFill>
                  <w14:srgbClr w14:val="000000"/>
                </w14:solidFill>
                <w14:prstDash w14:val="solid"/>
                <w14:miter w14:val="0"/>
              </w14:textOutline>
            </w:rPr>
            <w:t>工程量清单</w:t>
          </w:r>
          <w:r>
            <w:rPr>
              <w:rFonts w:ascii="宋体" w:hAnsi="宋体" w:eastAsia="宋体" w:cs="宋体"/>
              <w:spacing w:val="-31"/>
              <w:sz w:val="21"/>
              <w:szCs w:val="21"/>
            </w:rPr>
            <w:t xml:space="preserve"> </w:t>
          </w:r>
          <w:r>
            <w:rPr>
              <w:rFonts w:ascii="宋体" w:hAnsi="宋体" w:eastAsia="宋体" w:cs="宋体"/>
              <w:sz w:val="21"/>
              <w:szCs w:val="21"/>
              <w14:textOutline w14:w="3831" w14:cap="flat" w14:cmpd="sng">
                <w14:solidFill>
                  <w14:srgbClr w14:val="000000"/>
                </w14:solidFill>
                <w14:prstDash w14:val="solid"/>
                <w14:miter w14:val="0"/>
              </w14:textOutline>
            </w:rPr>
            <w:tab/>
          </w:r>
          <w:r>
            <w:rPr>
              <w:rFonts w:ascii="宋体" w:hAnsi="宋体" w:eastAsia="宋体" w:cs="宋体"/>
              <w:spacing w:val="-18"/>
              <w:sz w:val="21"/>
              <w:szCs w:val="21"/>
            </w:rPr>
            <w:t xml:space="preserve"> </w:t>
          </w:r>
          <w:r>
            <w:fldChar w:fldCharType="begin"/>
          </w:r>
          <w:r>
            <w:instrText xml:space="preserve"> HYPERLINK \l "bookmark228" </w:instrText>
          </w:r>
          <w:r>
            <w:fldChar w:fldCharType="separate"/>
          </w:r>
          <w:r>
            <w:rPr>
              <w:rFonts w:ascii="宋体" w:hAnsi="宋体" w:eastAsia="宋体" w:cs="宋体"/>
              <w:spacing w:val="-5"/>
              <w:sz w:val="21"/>
              <w:szCs w:val="21"/>
              <w14:textOutline w14:w="3831" w14:cap="flat" w14:cmpd="sng">
                <w14:solidFill>
                  <w14:srgbClr w14:val="000000"/>
                </w14:solidFill>
                <w14:prstDash w14:val="solid"/>
                <w14:miter w14:val="0"/>
              </w14:textOutline>
            </w:rPr>
            <w:t>190</w:t>
          </w:r>
          <w:r>
            <w:rPr>
              <w:rFonts w:ascii="宋体" w:hAnsi="宋体" w:eastAsia="宋体" w:cs="宋体"/>
              <w:spacing w:val="-5"/>
              <w:sz w:val="21"/>
              <w:szCs w:val="21"/>
              <w14:textOutline w14:w="3831" w14:cap="flat" w14:cmpd="sng">
                <w14:solidFill>
                  <w14:srgbClr w14:val="000000"/>
                </w14:solidFill>
                <w14:prstDash w14:val="solid"/>
                <w14:miter w14:val="0"/>
              </w14:textOutline>
            </w:rPr>
            <w:fldChar w:fldCharType="end"/>
          </w:r>
        </w:p>
        <w:p w14:paraId="71DB6F9E">
          <w:pPr>
            <w:tabs>
              <w:tab w:val="right" w:leader="dot" w:pos="8317"/>
            </w:tabs>
            <w:spacing w:before="23" w:line="221" w:lineRule="auto"/>
            <w:ind w:left="456"/>
            <w:rPr>
              <w:rFonts w:ascii="宋体" w:hAnsi="宋体" w:eastAsia="宋体" w:cs="宋体"/>
              <w:sz w:val="21"/>
              <w:szCs w:val="21"/>
            </w:rPr>
          </w:pPr>
          <w:r>
            <w:rPr>
              <w:rFonts w:ascii="宋体" w:hAnsi="宋体" w:eastAsia="宋体" w:cs="宋体"/>
              <w:spacing w:val="-2"/>
              <w:sz w:val="21"/>
              <w:szCs w:val="21"/>
            </w:rPr>
            <w:t>1、招标工程量清单说明</w:t>
          </w:r>
          <w:r>
            <w:rPr>
              <w:rFonts w:ascii="宋体" w:hAnsi="宋体" w:eastAsia="宋体" w:cs="宋体"/>
              <w:spacing w:val="-81"/>
              <w:sz w:val="21"/>
              <w:szCs w:val="21"/>
            </w:rPr>
            <w:t xml:space="preserve"> </w:t>
          </w:r>
          <w:r>
            <w:rPr>
              <w:rFonts w:ascii="宋体" w:hAnsi="宋体" w:eastAsia="宋体" w:cs="宋体"/>
              <w:sz w:val="21"/>
              <w:szCs w:val="21"/>
            </w:rPr>
            <w:tab/>
          </w:r>
          <w:r>
            <w:rPr>
              <w:rFonts w:ascii="宋体" w:hAnsi="宋体" w:eastAsia="宋体" w:cs="宋体"/>
              <w:spacing w:val="-13"/>
              <w:sz w:val="21"/>
              <w:szCs w:val="21"/>
            </w:rPr>
            <w:t xml:space="preserve"> </w:t>
          </w:r>
          <w:r>
            <w:fldChar w:fldCharType="begin"/>
          </w:r>
          <w:r>
            <w:instrText xml:space="preserve"> HYPERLINK \l "bookmark229" </w:instrText>
          </w:r>
          <w:r>
            <w:fldChar w:fldCharType="separate"/>
          </w:r>
          <w:r>
            <w:rPr>
              <w:rFonts w:ascii="宋体" w:hAnsi="宋体" w:eastAsia="宋体" w:cs="宋体"/>
              <w:spacing w:val="-5"/>
              <w:sz w:val="21"/>
              <w:szCs w:val="21"/>
            </w:rPr>
            <w:t>191</w:t>
          </w:r>
          <w:r>
            <w:rPr>
              <w:rFonts w:ascii="宋体" w:hAnsi="宋体" w:eastAsia="宋体" w:cs="宋体"/>
              <w:spacing w:val="-5"/>
              <w:sz w:val="21"/>
              <w:szCs w:val="21"/>
            </w:rPr>
            <w:fldChar w:fldCharType="end"/>
          </w:r>
        </w:p>
        <w:p w14:paraId="1EAF916D">
          <w:pPr>
            <w:tabs>
              <w:tab w:val="right" w:leader="dot" w:pos="8317"/>
            </w:tabs>
            <w:spacing w:before="18" w:line="219" w:lineRule="auto"/>
            <w:ind w:left="443"/>
            <w:rPr>
              <w:rFonts w:ascii="宋体" w:hAnsi="宋体" w:eastAsia="宋体" w:cs="宋体"/>
              <w:sz w:val="21"/>
              <w:szCs w:val="21"/>
            </w:rPr>
          </w:pPr>
          <w:r>
            <w:rPr>
              <w:rFonts w:ascii="宋体" w:hAnsi="宋体" w:eastAsia="宋体" w:cs="宋体"/>
              <w:spacing w:val="-1"/>
              <w:sz w:val="21"/>
              <w:szCs w:val="21"/>
            </w:rPr>
            <w:t>2、投标报价说明</w:t>
          </w:r>
          <w:r>
            <w:rPr>
              <w:rFonts w:ascii="宋体" w:hAnsi="宋体" w:eastAsia="宋体" w:cs="宋体"/>
              <w:spacing w:val="-86"/>
              <w:sz w:val="21"/>
              <w:szCs w:val="21"/>
            </w:rPr>
            <w:t xml:space="preserve"> </w:t>
          </w:r>
          <w:r>
            <w:rPr>
              <w:rFonts w:ascii="宋体" w:hAnsi="宋体" w:eastAsia="宋体" w:cs="宋体"/>
              <w:sz w:val="21"/>
              <w:szCs w:val="21"/>
            </w:rPr>
            <w:tab/>
          </w:r>
          <w:r>
            <w:rPr>
              <w:rFonts w:ascii="宋体" w:hAnsi="宋体" w:eastAsia="宋体" w:cs="宋体"/>
              <w:spacing w:val="-13"/>
              <w:sz w:val="21"/>
              <w:szCs w:val="21"/>
            </w:rPr>
            <w:t xml:space="preserve"> </w:t>
          </w:r>
          <w:r>
            <w:fldChar w:fldCharType="begin"/>
          </w:r>
          <w:r>
            <w:instrText xml:space="preserve"> HYPERLINK \l "bookmark230" </w:instrText>
          </w:r>
          <w:r>
            <w:fldChar w:fldCharType="separate"/>
          </w:r>
          <w:r>
            <w:rPr>
              <w:rFonts w:ascii="宋体" w:hAnsi="宋体" w:eastAsia="宋体" w:cs="宋体"/>
              <w:spacing w:val="-5"/>
              <w:sz w:val="21"/>
              <w:szCs w:val="21"/>
            </w:rPr>
            <w:t>192</w:t>
          </w:r>
          <w:r>
            <w:rPr>
              <w:rFonts w:ascii="宋体" w:hAnsi="宋体" w:eastAsia="宋体" w:cs="宋体"/>
              <w:spacing w:val="-5"/>
              <w:sz w:val="21"/>
              <w:szCs w:val="21"/>
            </w:rPr>
            <w:fldChar w:fldCharType="end"/>
          </w:r>
        </w:p>
        <w:p w14:paraId="49696CB8">
          <w:pPr>
            <w:tabs>
              <w:tab w:val="right" w:leader="dot" w:pos="8317"/>
            </w:tabs>
            <w:spacing w:before="24" w:line="221" w:lineRule="auto"/>
            <w:ind w:left="445"/>
            <w:rPr>
              <w:rFonts w:ascii="宋体" w:hAnsi="宋体" w:eastAsia="宋体" w:cs="宋体"/>
              <w:sz w:val="21"/>
              <w:szCs w:val="21"/>
            </w:rPr>
          </w:pPr>
          <w:r>
            <w:rPr>
              <w:rFonts w:ascii="宋体" w:hAnsi="宋体" w:eastAsia="宋体" w:cs="宋体"/>
              <w:spacing w:val="-5"/>
              <w:sz w:val="21"/>
              <w:szCs w:val="21"/>
            </w:rPr>
            <w:t>3、其他说明</w:t>
          </w:r>
          <w:r>
            <w:rPr>
              <w:rFonts w:ascii="宋体" w:hAnsi="宋体" w:eastAsia="宋体" w:cs="宋体"/>
              <w:spacing w:val="-68"/>
              <w:sz w:val="21"/>
              <w:szCs w:val="21"/>
            </w:rPr>
            <w:t xml:space="preserve"> </w:t>
          </w:r>
          <w:r>
            <w:rPr>
              <w:rFonts w:ascii="宋体" w:hAnsi="宋体" w:eastAsia="宋体" w:cs="宋体"/>
              <w:sz w:val="21"/>
              <w:szCs w:val="21"/>
            </w:rPr>
            <w:tab/>
          </w:r>
          <w:r>
            <w:rPr>
              <w:rFonts w:ascii="宋体" w:hAnsi="宋体" w:eastAsia="宋体" w:cs="宋体"/>
              <w:spacing w:val="-13"/>
              <w:sz w:val="21"/>
              <w:szCs w:val="21"/>
            </w:rPr>
            <w:t xml:space="preserve"> </w:t>
          </w:r>
          <w:r>
            <w:fldChar w:fldCharType="begin"/>
          </w:r>
          <w:r>
            <w:instrText xml:space="preserve"> HYPERLINK \l "bookmark231" </w:instrText>
          </w:r>
          <w:r>
            <w:fldChar w:fldCharType="separate"/>
          </w:r>
          <w:r>
            <w:rPr>
              <w:rFonts w:ascii="宋体" w:hAnsi="宋体" w:eastAsia="宋体" w:cs="宋体"/>
              <w:spacing w:val="-5"/>
              <w:sz w:val="21"/>
              <w:szCs w:val="21"/>
            </w:rPr>
            <w:t>194</w:t>
          </w:r>
          <w:r>
            <w:rPr>
              <w:rFonts w:ascii="宋体" w:hAnsi="宋体" w:eastAsia="宋体" w:cs="宋体"/>
              <w:spacing w:val="-5"/>
              <w:sz w:val="21"/>
              <w:szCs w:val="21"/>
            </w:rPr>
            <w:fldChar w:fldCharType="end"/>
          </w:r>
        </w:p>
        <w:p w14:paraId="2F45D09B">
          <w:pPr>
            <w:tabs>
              <w:tab w:val="right" w:leader="dot" w:pos="8317"/>
            </w:tabs>
            <w:spacing w:before="23" w:line="219" w:lineRule="auto"/>
            <w:ind w:left="440"/>
            <w:rPr>
              <w:rFonts w:ascii="宋体" w:hAnsi="宋体" w:eastAsia="宋体" w:cs="宋体"/>
              <w:sz w:val="21"/>
              <w:szCs w:val="21"/>
            </w:rPr>
          </w:pPr>
          <w:r>
            <w:rPr>
              <w:rFonts w:ascii="宋体" w:hAnsi="宋体" w:eastAsia="宋体" w:cs="宋体"/>
              <w:spacing w:val="-1"/>
              <w:sz w:val="21"/>
              <w:szCs w:val="21"/>
            </w:rPr>
            <w:t>4、工程量清单与计价表</w:t>
          </w:r>
          <w:r>
            <w:rPr>
              <w:rFonts w:ascii="宋体" w:hAnsi="宋体" w:eastAsia="宋体" w:cs="宋体"/>
              <w:spacing w:val="-75"/>
              <w:sz w:val="21"/>
              <w:szCs w:val="21"/>
            </w:rPr>
            <w:t xml:space="preserve"> </w:t>
          </w:r>
          <w:r>
            <w:rPr>
              <w:rFonts w:ascii="宋体" w:hAnsi="宋体" w:eastAsia="宋体" w:cs="宋体"/>
              <w:sz w:val="21"/>
              <w:szCs w:val="21"/>
            </w:rPr>
            <w:tab/>
          </w:r>
          <w:r>
            <w:rPr>
              <w:rFonts w:ascii="宋体" w:hAnsi="宋体" w:eastAsia="宋体" w:cs="宋体"/>
              <w:spacing w:val="-13"/>
              <w:sz w:val="21"/>
              <w:szCs w:val="21"/>
            </w:rPr>
            <w:t xml:space="preserve"> </w:t>
          </w:r>
          <w:r>
            <w:fldChar w:fldCharType="begin"/>
          </w:r>
          <w:r>
            <w:instrText xml:space="preserve"> HYPERLINK \l "bookmark232" </w:instrText>
          </w:r>
          <w:r>
            <w:fldChar w:fldCharType="separate"/>
          </w:r>
          <w:r>
            <w:rPr>
              <w:rFonts w:ascii="宋体" w:hAnsi="宋体" w:eastAsia="宋体" w:cs="宋体"/>
              <w:spacing w:val="-5"/>
              <w:sz w:val="21"/>
              <w:szCs w:val="21"/>
            </w:rPr>
            <w:t>196</w:t>
          </w:r>
          <w:r>
            <w:rPr>
              <w:rFonts w:ascii="宋体" w:hAnsi="宋体" w:eastAsia="宋体" w:cs="宋体"/>
              <w:spacing w:val="-5"/>
              <w:sz w:val="21"/>
              <w:szCs w:val="21"/>
            </w:rPr>
            <w:fldChar w:fldCharType="end"/>
          </w:r>
        </w:p>
        <w:p w14:paraId="5D927597">
          <w:pPr>
            <w:tabs>
              <w:tab w:val="right" w:leader="dot" w:pos="8317"/>
            </w:tabs>
            <w:spacing w:before="25" w:line="221" w:lineRule="auto"/>
            <w:ind w:left="857"/>
            <w:rPr>
              <w:rFonts w:ascii="宋体" w:hAnsi="宋体" w:eastAsia="宋体" w:cs="宋体"/>
              <w:sz w:val="21"/>
              <w:szCs w:val="21"/>
            </w:rPr>
          </w:pPr>
          <w:r>
            <w:rPr>
              <w:rFonts w:ascii="宋体" w:hAnsi="宋体" w:eastAsia="宋体" w:cs="宋体"/>
              <w:spacing w:val="-2"/>
              <w:sz w:val="21"/>
              <w:szCs w:val="21"/>
            </w:rPr>
            <w:t>4.1</w:t>
          </w:r>
          <w:r>
            <w:rPr>
              <w:rFonts w:ascii="宋体" w:hAnsi="宋体" w:eastAsia="宋体" w:cs="宋体"/>
              <w:spacing w:val="-34"/>
              <w:sz w:val="21"/>
              <w:szCs w:val="21"/>
            </w:rPr>
            <w:t xml:space="preserve"> </w:t>
          </w:r>
          <w:r>
            <w:rPr>
              <w:rFonts w:ascii="宋体" w:hAnsi="宋体" w:eastAsia="宋体" w:cs="宋体"/>
              <w:spacing w:val="-2"/>
              <w:sz w:val="21"/>
              <w:szCs w:val="21"/>
            </w:rPr>
            <w:t>招标工程量清单封面</w:t>
          </w:r>
          <w:r>
            <w:rPr>
              <w:rFonts w:ascii="宋体" w:hAnsi="宋体" w:eastAsia="宋体" w:cs="宋体"/>
              <w:spacing w:val="-23"/>
              <w:sz w:val="21"/>
              <w:szCs w:val="21"/>
            </w:rPr>
            <w:t xml:space="preserve"> </w:t>
          </w:r>
          <w:r>
            <w:rPr>
              <w:rFonts w:ascii="宋体" w:hAnsi="宋体" w:eastAsia="宋体" w:cs="宋体"/>
              <w:sz w:val="21"/>
              <w:szCs w:val="21"/>
            </w:rPr>
            <w:tab/>
          </w:r>
          <w:r>
            <w:rPr>
              <w:rFonts w:ascii="宋体" w:hAnsi="宋体" w:eastAsia="宋体" w:cs="宋体"/>
              <w:spacing w:val="-13"/>
              <w:sz w:val="21"/>
              <w:szCs w:val="21"/>
            </w:rPr>
            <w:t xml:space="preserve"> </w:t>
          </w:r>
          <w:r>
            <w:fldChar w:fldCharType="begin"/>
          </w:r>
          <w:r>
            <w:instrText xml:space="preserve"> HYPERLINK \l "bookmark233" </w:instrText>
          </w:r>
          <w:r>
            <w:fldChar w:fldCharType="separate"/>
          </w:r>
          <w:r>
            <w:rPr>
              <w:rFonts w:ascii="宋体" w:hAnsi="宋体" w:eastAsia="宋体" w:cs="宋体"/>
              <w:spacing w:val="-5"/>
              <w:sz w:val="21"/>
              <w:szCs w:val="21"/>
            </w:rPr>
            <w:t>197</w:t>
          </w:r>
          <w:r>
            <w:rPr>
              <w:rFonts w:ascii="宋体" w:hAnsi="宋体" w:eastAsia="宋体" w:cs="宋体"/>
              <w:spacing w:val="-5"/>
              <w:sz w:val="21"/>
              <w:szCs w:val="21"/>
            </w:rPr>
            <w:fldChar w:fldCharType="end"/>
          </w:r>
        </w:p>
        <w:p w14:paraId="67E2336A">
          <w:pPr>
            <w:tabs>
              <w:tab w:val="right" w:leader="dot" w:pos="8317"/>
            </w:tabs>
            <w:spacing w:before="17" w:line="221" w:lineRule="auto"/>
            <w:ind w:left="857"/>
            <w:rPr>
              <w:rFonts w:ascii="宋体" w:hAnsi="宋体" w:eastAsia="宋体" w:cs="宋体"/>
              <w:sz w:val="21"/>
              <w:szCs w:val="21"/>
            </w:rPr>
          </w:pPr>
          <w:r>
            <w:rPr>
              <w:rFonts w:ascii="宋体" w:hAnsi="宋体" w:eastAsia="宋体" w:cs="宋体"/>
              <w:spacing w:val="-2"/>
              <w:sz w:val="21"/>
              <w:szCs w:val="21"/>
            </w:rPr>
            <w:t>4.2</w:t>
          </w:r>
          <w:r>
            <w:rPr>
              <w:rFonts w:ascii="宋体" w:hAnsi="宋体" w:eastAsia="宋体" w:cs="宋体"/>
              <w:spacing w:val="-34"/>
              <w:sz w:val="21"/>
              <w:szCs w:val="21"/>
            </w:rPr>
            <w:t xml:space="preserve"> </w:t>
          </w:r>
          <w:r>
            <w:rPr>
              <w:rFonts w:ascii="宋体" w:hAnsi="宋体" w:eastAsia="宋体" w:cs="宋体"/>
              <w:spacing w:val="-2"/>
              <w:sz w:val="21"/>
              <w:szCs w:val="21"/>
            </w:rPr>
            <w:t>招标工程量清单扉页</w:t>
          </w:r>
          <w:r>
            <w:rPr>
              <w:rFonts w:ascii="宋体" w:hAnsi="宋体" w:eastAsia="宋体" w:cs="宋体"/>
              <w:spacing w:val="-23"/>
              <w:sz w:val="21"/>
              <w:szCs w:val="21"/>
            </w:rPr>
            <w:t xml:space="preserve"> </w:t>
          </w:r>
          <w:r>
            <w:rPr>
              <w:rFonts w:ascii="宋体" w:hAnsi="宋体" w:eastAsia="宋体" w:cs="宋体"/>
              <w:sz w:val="21"/>
              <w:szCs w:val="21"/>
            </w:rPr>
            <w:tab/>
          </w:r>
          <w:r>
            <w:rPr>
              <w:rFonts w:ascii="宋体" w:hAnsi="宋体" w:eastAsia="宋体" w:cs="宋体"/>
              <w:spacing w:val="-13"/>
              <w:sz w:val="21"/>
              <w:szCs w:val="21"/>
            </w:rPr>
            <w:t xml:space="preserve"> </w:t>
          </w:r>
          <w:r>
            <w:fldChar w:fldCharType="begin"/>
          </w:r>
          <w:r>
            <w:instrText xml:space="preserve"> HYPERLINK \l "bookmark234" </w:instrText>
          </w:r>
          <w:r>
            <w:fldChar w:fldCharType="separate"/>
          </w:r>
          <w:r>
            <w:rPr>
              <w:rFonts w:ascii="宋体" w:hAnsi="宋体" w:eastAsia="宋体" w:cs="宋体"/>
              <w:spacing w:val="-5"/>
              <w:sz w:val="21"/>
              <w:szCs w:val="21"/>
            </w:rPr>
            <w:t>198</w:t>
          </w:r>
          <w:r>
            <w:rPr>
              <w:rFonts w:ascii="宋体" w:hAnsi="宋体" w:eastAsia="宋体" w:cs="宋体"/>
              <w:spacing w:val="-5"/>
              <w:sz w:val="21"/>
              <w:szCs w:val="21"/>
            </w:rPr>
            <w:fldChar w:fldCharType="end"/>
          </w:r>
        </w:p>
        <w:p w14:paraId="48F6CEEC">
          <w:pPr>
            <w:tabs>
              <w:tab w:val="right" w:leader="dot" w:pos="8317"/>
            </w:tabs>
            <w:spacing w:before="23" w:line="219" w:lineRule="auto"/>
            <w:ind w:left="857"/>
            <w:rPr>
              <w:rFonts w:ascii="宋体" w:hAnsi="宋体" w:eastAsia="宋体" w:cs="宋体"/>
              <w:sz w:val="21"/>
              <w:szCs w:val="21"/>
            </w:rPr>
          </w:pPr>
          <w:r>
            <w:rPr>
              <w:rFonts w:ascii="宋体" w:hAnsi="宋体" w:eastAsia="宋体" w:cs="宋体"/>
              <w:spacing w:val="-2"/>
              <w:sz w:val="21"/>
              <w:szCs w:val="21"/>
            </w:rPr>
            <w:t>4.3</w:t>
          </w:r>
          <w:r>
            <w:rPr>
              <w:rFonts w:ascii="宋体" w:hAnsi="宋体" w:eastAsia="宋体" w:cs="宋体"/>
              <w:spacing w:val="-39"/>
              <w:sz w:val="21"/>
              <w:szCs w:val="21"/>
            </w:rPr>
            <w:t xml:space="preserve"> </w:t>
          </w:r>
          <w:r>
            <w:rPr>
              <w:rFonts w:ascii="宋体" w:hAnsi="宋体" w:eastAsia="宋体" w:cs="宋体"/>
              <w:spacing w:val="-2"/>
              <w:sz w:val="21"/>
              <w:szCs w:val="21"/>
            </w:rPr>
            <w:t>投标总价封面</w:t>
          </w:r>
          <w:r>
            <w:rPr>
              <w:rFonts w:ascii="宋体" w:hAnsi="宋体" w:eastAsia="宋体" w:cs="宋体"/>
              <w:spacing w:val="-28"/>
              <w:sz w:val="21"/>
              <w:szCs w:val="21"/>
            </w:rPr>
            <w:t xml:space="preserve"> </w:t>
          </w:r>
          <w:r>
            <w:rPr>
              <w:rFonts w:ascii="宋体" w:hAnsi="宋体" w:eastAsia="宋体" w:cs="宋体"/>
              <w:sz w:val="21"/>
              <w:szCs w:val="21"/>
            </w:rPr>
            <w:tab/>
          </w:r>
          <w:r>
            <w:rPr>
              <w:rFonts w:ascii="宋体" w:hAnsi="宋体" w:eastAsia="宋体" w:cs="宋体"/>
              <w:spacing w:val="-13"/>
              <w:sz w:val="21"/>
              <w:szCs w:val="21"/>
            </w:rPr>
            <w:t xml:space="preserve"> </w:t>
          </w:r>
          <w:r>
            <w:fldChar w:fldCharType="begin"/>
          </w:r>
          <w:r>
            <w:instrText xml:space="preserve"> HYPERLINK \l "bookmark235" </w:instrText>
          </w:r>
          <w:r>
            <w:fldChar w:fldCharType="separate"/>
          </w:r>
          <w:r>
            <w:rPr>
              <w:rFonts w:ascii="宋体" w:hAnsi="宋体" w:eastAsia="宋体" w:cs="宋体"/>
              <w:spacing w:val="-5"/>
              <w:sz w:val="21"/>
              <w:szCs w:val="21"/>
            </w:rPr>
            <w:t>199</w:t>
          </w:r>
          <w:r>
            <w:rPr>
              <w:rFonts w:ascii="宋体" w:hAnsi="宋体" w:eastAsia="宋体" w:cs="宋体"/>
              <w:spacing w:val="-5"/>
              <w:sz w:val="21"/>
              <w:szCs w:val="21"/>
            </w:rPr>
            <w:fldChar w:fldCharType="end"/>
          </w:r>
        </w:p>
        <w:p w14:paraId="789DC25A">
          <w:pPr>
            <w:tabs>
              <w:tab w:val="right" w:leader="dot" w:pos="8317"/>
            </w:tabs>
            <w:spacing w:before="24" w:line="219" w:lineRule="auto"/>
            <w:ind w:left="857"/>
            <w:rPr>
              <w:rFonts w:ascii="宋体" w:hAnsi="宋体" w:eastAsia="宋体" w:cs="宋体"/>
              <w:sz w:val="21"/>
              <w:szCs w:val="21"/>
            </w:rPr>
          </w:pPr>
          <w:r>
            <w:rPr>
              <w:rFonts w:ascii="宋体" w:hAnsi="宋体" w:eastAsia="宋体" w:cs="宋体"/>
              <w:spacing w:val="-2"/>
              <w:sz w:val="21"/>
              <w:szCs w:val="21"/>
            </w:rPr>
            <w:t>4.4</w:t>
          </w:r>
          <w:r>
            <w:rPr>
              <w:rFonts w:ascii="宋体" w:hAnsi="宋体" w:eastAsia="宋体" w:cs="宋体"/>
              <w:spacing w:val="-39"/>
              <w:sz w:val="21"/>
              <w:szCs w:val="21"/>
            </w:rPr>
            <w:t xml:space="preserve"> </w:t>
          </w:r>
          <w:r>
            <w:rPr>
              <w:rFonts w:ascii="宋体" w:hAnsi="宋体" w:eastAsia="宋体" w:cs="宋体"/>
              <w:spacing w:val="-2"/>
              <w:sz w:val="21"/>
              <w:szCs w:val="21"/>
            </w:rPr>
            <w:t>投标总价扉页</w:t>
          </w:r>
          <w:r>
            <w:rPr>
              <w:rFonts w:ascii="宋体" w:hAnsi="宋体" w:eastAsia="宋体" w:cs="宋体"/>
              <w:spacing w:val="-28"/>
              <w:sz w:val="21"/>
              <w:szCs w:val="21"/>
            </w:rPr>
            <w:t xml:space="preserve"> </w:t>
          </w:r>
          <w:r>
            <w:rPr>
              <w:rFonts w:ascii="宋体" w:hAnsi="宋体" w:eastAsia="宋体" w:cs="宋体"/>
              <w:sz w:val="21"/>
              <w:szCs w:val="21"/>
            </w:rPr>
            <w:tab/>
          </w:r>
          <w:r>
            <w:rPr>
              <w:rFonts w:ascii="宋体" w:hAnsi="宋体" w:eastAsia="宋体" w:cs="宋体"/>
              <w:spacing w:val="-26"/>
              <w:sz w:val="21"/>
              <w:szCs w:val="21"/>
            </w:rPr>
            <w:t xml:space="preserve"> </w:t>
          </w:r>
          <w:r>
            <w:fldChar w:fldCharType="begin"/>
          </w:r>
          <w:r>
            <w:instrText xml:space="preserve"> HYPERLINK \l "bookmark236" </w:instrText>
          </w:r>
          <w:r>
            <w:fldChar w:fldCharType="separate"/>
          </w:r>
          <w:r>
            <w:rPr>
              <w:rFonts w:ascii="宋体" w:hAnsi="宋体" w:eastAsia="宋体" w:cs="宋体"/>
              <w:spacing w:val="-2"/>
              <w:sz w:val="21"/>
              <w:szCs w:val="21"/>
            </w:rPr>
            <w:t>200</w:t>
          </w:r>
          <w:r>
            <w:rPr>
              <w:rFonts w:ascii="宋体" w:hAnsi="宋体" w:eastAsia="宋体" w:cs="宋体"/>
              <w:spacing w:val="-2"/>
              <w:sz w:val="21"/>
              <w:szCs w:val="21"/>
            </w:rPr>
            <w:fldChar w:fldCharType="end"/>
          </w:r>
        </w:p>
        <w:p w14:paraId="668BD1FC">
          <w:pPr>
            <w:tabs>
              <w:tab w:val="right" w:leader="dot" w:pos="8317"/>
            </w:tabs>
            <w:spacing w:before="24" w:line="221" w:lineRule="auto"/>
            <w:ind w:left="857"/>
            <w:rPr>
              <w:rFonts w:ascii="宋体" w:hAnsi="宋体" w:eastAsia="宋体" w:cs="宋体"/>
              <w:sz w:val="21"/>
              <w:szCs w:val="21"/>
            </w:rPr>
          </w:pPr>
          <w:r>
            <w:rPr>
              <w:rFonts w:ascii="宋体" w:hAnsi="宋体" w:eastAsia="宋体" w:cs="宋体"/>
              <w:spacing w:val="-3"/>
              <w:sz w:val="21"/>
              <w:szCs w:val="21"/>
            </w:rPr>
            <w:t>4.5</w:t>
          </w:r>
          <w:r>
            <w:rPr>
              <w:rFonts w:ascii="宋体" w:hAnsi="宋体" w:eastAsia="宋体" w:cs="宋体"/>
              <w:spacing w:val="-33"/>
              <w:sz w:val="21"/>
              <w:szCs w:val="21"/>
            </w:rPr>
            <w:t xml:space="preserve"> </w:t>
          </w:r>
          <w:r>
            <w:rPr>
              <w:rFonts w:ascii="宋体" w:hAnsi="宋体" w:eastAsia="宋体" w:cs="宋体"/>
              <w:spacing w:val="-3"/>
              <w:sz w:val="21"/>
              <w:szCs w:val="21"/>
            </w:rPr>
            <w:t>总说明表</w:t>
          </w:r>
          <w:r>
            <w:rPr>
              <w:rFonts w:ascii="宋体" w:hAnsi="宋体" w:eastAsia="宋体" w:cs="宋体"/>
              <w:spacing w:val="-34"/>
              <w:sz w:val="21"/>
              <w:szCs w:val="21"/>
            </w:rPr>
            <w:t xml:space="preserve"> </w:t>
          </w:r>
          <w:r>
            <w:rPr>
              <w:rFonts w:ascii="宋体" w:hAnsi="宋体" w:eastAsia="宋体" w:cs="宋体"/>
              <w:sz w:val="21"/>
              <w:szCs w:val="21"/>
            </w:rPr>
            <w:tab/>
          </w:r>
          <w:r>
            <w:rPr>
              <w:rFonts w:ascii="宋体" w:hAnsi="宋体" w:eastAsia="宋体" w:cs="宋体"/>
              <w:spacing w:val="-26"/>
              <w:sz w:val="21"/>
              <w:szCs w:val="21"/>
            </w:rPr>
            <w:t xml:space="preserve"> </w:t>
          </w:r>
          <w:r>
            <w:fldChar w:fldCharType="begin"/>
          </w:r>
          <w:r>
            <w:instrText xml:space="preserve"> HYPERLINK \l "bookmark237" </w:instrText>
          </w:r>
          <w:r>
            <w:fldChar w:fldCharType="separate"/>
          </w:r>
          <w:r>
            <w:rPr>
              <w:rFonts w:ascii="宋体" w:hAnsi="宋体" w:eastAsia="宋体" w:cs="宋体"/>
              <w:spacing w:val="-2"/>
              <w:sz w:val="21"/>
              <w:szCs w:val="21"/>
            </w:rPr>
            <w:t>201</w:t>
          </w:r>
          <w:r>
            <w:rPr>
              <w:rFonts w:ascii="宋体" w:hAnsi="宋体" w:eastAsia="宋体" w:cs="宋体"/>
              <w:spacing w:val="-2"/>
              <w:sz w:val="21"/>
              <w:szCs w:val="21"/>
            </w:rPr>
            <w:fldChar w:fldCharType="end"/>
          </w:r>
        </w:p>
        <w:p w14:paraId="12A0848C">
          <w:pPr>
            <w:tabs>
              <w:tab w:val="right" w:leader="dot" w:pos="8317"/>
            </w:tabs>
            <w:spacing w:before="18" w:line="219" w:lineRule="auto"/>
            <w:ind w:left="857"/>
            <w:rPr>
              <w:rFonts w:ascii="宋体" w:hAnsi="宋体" w:eastAsia="宋体" w:cs="宋体"/>
              <w:sz w:val="21"/>
              <w:szCs w:val="21"/>
            </w:rPr>
          </w:pPr>
          <w:r>
            <w:rPr>
              <w:rFonts w:ascii="宋体" w:hAnsi="宋体" w:eastAsia="宋体" w:cs="宋体"/>
              <w:spacing w:val="-1"/>
              <w:sz w:val="21"/>
              <w:szCs w:val="21"/>
            </w:rPr>
            <w:t>4.6</w:t>
          </w:r>
          <w:r>
            <w:rPr>
              <w:rFonts w:ascii="宋体" w:hAnsi="宋体" w:eastAsia="宋体" w:cs="宋体"/>
              <w:spacing w:val="-42"/>
              <w:sz w:val="21"/>
              <w:szCs w:val="21"/>
            </w:rPr>
            <w:t xml:space="preserve"> </w:t>
          </w:r>
          <w:r>
            <w:rPr>
              <w:rFonts w:ascii="宋体" w:hAnsi="宋体" w:eastAsia="宋体" w:cs="宋体"/>
              <w:spacing w:val="-1"/>
              <w:sz w:val="21"/>
              <w:szCs w:val="21"/>
            </w:rPr>
            <w:t>建设项目投标报价汇总表</w:t>
          </w:r>
          <w:r>
            <w:rPr>
              <w:rFonts w:ascii="宋体" w:hAnsi="宋体" w:eastAsia="宋体" w:cs="宋体"/>
              <w:spacing w:val="-23"/>
              <w:sz w:val="21"/>
              <w:szCs w:val="21"/>
            </w:rPr>
            <w:t xml:space="preserve"> </w:t>
          </w:r>
          <w:r>
            <w:rPr>
              <w:rFonts w:ascii="宋体" w:hAnsi="宋体" w:eastAsia="宋体" w:cs="宋体"/>
              <w:sz w:val="21"/>
              <w:szCs w:val="21"/>
            </w:rPr>
            <w:tab/>
          </w:r>
          <w:r>
            <w:rPr>
              <w:rFonts w:ascii="宋体" w:hAnsi="宋体" w:eastAsia="宋体" w:cs="宋体"/>
              <w:spacing w:val="-26"/>
              <w:sz w:val="21"/>
              <w:szCs w:val="21"/>
            </w:rPr>
            <w:t xml:space="preserve"> </w:t>
          </w:r>
          <w:r>
            <w:fldChar w:fldCharType="begin"/>
          </w:r>
          <w:r>
            <w:instrText xml:space="preserve"> HYPERLINK \l "bookmark238" </w:instrText>
          </w:r>
          <w:r>
            <w:fldChar w:fldCharType="separate"/>
          </w:r>
          <w:r>
            <w:rPr>
              <w:rFonts w:ascii="宋体" w:hAnsi="宋体" w:eastAsia="宋体" w:cs="宋体"/>
              <w:spacing w:val="-2"/>
              <w:sz w:val="21"/>
              <w:szCs w:val="21"/>
            </w:rPr>
            <w:t>202</w:t>
          </w:r>
          <w:r>
            <w:rPr>
              <w:rFonts w:ascii="宋体" w:hAnsi="宋体" w:eastAsia="宋体" w:cs="宋体"/>
              <w:spacing w:val="-2"/>
              <w:sz w:val="21"/>
              <w:szCs w:val="21"/>
            </w:rPr>
            <w:fldChar w:fldCharType="end"/>
          </w:r>
        </w:p>
        <w:p w14:paraId="76FD6DE4">
          <w:pPr>
            <w:tabs>
              <w:tab w:val="right" w:leader="dot" w:pos="8317"/>
            </w:tabs>
            <w:spacing w:before="24" w:line="219" w:lineRule="auto"/>
            <w:ind w:left="857"/>
            <w:rPr>
              <w:rFonts w:ascii="宋体" w:hAnsi="宋体" w:eastAsia="宋体" w:cs="宋体"/>
              <w:sz w:val="21"/>
              <w:szCs w:val="21"/>
            </w:rPr>
          </w:pPr>
          <w:r>
            <w:rPr>
              <w:rFonts w:ascii="宋体" w:hAnsi="宋体" w:eastAsia="宋体" w:cs="宋体"/>
              <w:spacing w:val="-1"/>
              <w:sz w:val="21"/>
              <w:szCs w:val="21"/>
            </w:rPr>
            <w:t>4.7</w:t>
          </w:r>
          <w:r>
            <w:rPr>
              <w:rFonts w:ascii="宋体" w:hAnsi="宋体" w:eastAsia="宋体" w:cs="宋体"/>
              <w:spacing w:val="-42"/>
              <w:sz w:val="21"/>
              <w:szCs w:val="21"/>
            </w:rPr>
            <w:t xml:space="preserve"> </w:t>
          </w:r>
          <w:r>
            <w:rPr>
              <w:rFonts w:ascii="宋体" w:hAnsi="宋体" w:eastAsia="宋体" w:cs="宋体"/>
              <w:spacing w:val="-1"/>
              <w:sz w:val="21"/>
              <w:szCs w:val="21"/>
            </w:rPr>
            <w:t>单项工程投标报价汇总表</w:t>
          </w:r>
          <w:r>
            <w:rPr>
              <w:rFonts w:ascii="宋体" w:hAnsi="宋体" w:eastAsia="宋体" w:cs="宋体"/>
              <w:spacing w:val="-23"/>
              <w:sz w:val="21"/>
              <w:szCs w:val="21"/>
            </w:rPr>
            <w:t xml:space="preserve"> </w:t>
          </w:r>
          <w:r>
            <w:rPr>
              <w:rFonts w:ascii="宋体" w:hAnsi="宋体" w:eastAsia="宋体" w:cs="宋体"/>
              <w:sz w:val="21"/>
              <w:szCs w:val="21"/>
            </w:rPr>
            <w:tab/>
          </w:r>
          <w:r>
            <w:rPr>
              <w:rFonts w:ascii="宋体" w:hAnsi="宋体" w:eastAsia="宋体" w:cs="宋体"/>
              <w:spacing w:val="-26"/>
              <w:sz w:val="21"/>
              <w:szCs w:val="21"/>
            </w:rPr>
            <w:t xml:space="preserve"> </w:t>
          </w:r>
          <w:r>
            <w:fldChar w:fldCharType="begin"/>
          </w:r>
          <w:r>
            <w:instrText xml:space="preserve"> HYPERLINK \l "bookmark239" </w:instrText>
          </w:r>
          <w:r>
            <w:fldChar w:fldCharType="separate"/>
          </w:r>
          <w:r>
            <w:rPr>
              <w:rFonts w:ascii="宋体" w:hAnsi="宋体" w:eastAsia="宋体" w:cs="宋体"/>
              <w:spacing w:val="-2"/>
              <w:sz w:val="21"/>
              <w:szCs w:val="21"/>
            </w:rPr>
            <w:t>203</w:t>
          </w:r>
          <w:r>
            <w:rPr>
              <w:rFonts w:ascii="宋体" w:hAnsi="宋体" w:eastAsia="宋体" w:cs="宋体"/>
              <w:spacing w:val="-2"/>
              <w:sz w:val="21"/>
              <w:szCs w:val="21"/>
            </w:rPr>
            <w:fldChar w:fldCharType="end"/>
          </w:r>
        </w:p>
        <w:p w14:paraId="38D63BF9">
          <w:pPr>
            <w:tabs>
              <w:tab w:val="right" w:leader="dot" w:pos="8317"/>
            </w:tabs>
            <w:spacing w:before="25" w:line="219" w:lineRule="auto"/>
            <w:ind w:left="857"/>
            <w:rPr>
              <w:rFonts w:ascii="宋体" w:hAnsi="宋体" w:eastAsia="宋体" w:cs="宋体"/>
              <w:sz w:val="21"/>
              <w:szCs w:val="21"/>
            </w:rPr>
          </w:pPr>
          <w:r>
            <w:rPr>
              <w:rFonts w:ascii="宋体" w:hAnsi="宋体" w:eastAsia="宋体" w:cs="宋体"/>
              <w:spacing w:val="-1"/>
              <w:sz w:val="21"/>
              <w:szCs w:val="21"/>
            </w:rPr>
            <w:t>4.8</w:t>
          </w:r>
          <w:r>
            <w:rPr>
              <w:rFonts w:ascii="宋体" w:hAnsi="宋体" w:eastAsia="宋体" w:cs="宋体"/>
              <w:spacing w:val="-42"/>
              <w:sz w:val="21"/>
              <w:szCs w:val="21"/>
            </w:rPr>
            <w:t xml:space="preserve"> </w:t>
          </w:r>
          <w:r>
            <w:rPr>
              <w:rFonts w:ascii="宋体" w:hAnsi="宋体" w:eastAsia="宋体" w:cs="宋体"/>
              <w:spacing w:val="-1"/>
              <w:sz w:val="21"/>
              <w:szCs w:val="21"/>
            </w:rPr>
            <w:t>单位工程投标报价汇总表</w:t>
          </w:r>
          <w:r>
            <w:rPr>
              <w:rFonts w:ascii="宋体" w:hAnsi="宋体" w:eastAsia="宋体" w:cs="宋体"/>
              <w:spacing w:val="-23"/>
              <w:sz w:val="21"/>
              <w:szCs w:val="21"/>
            </w:rPr>
            <w:t xml:space="preserve"> </w:t>
          </w:r>
          <w:r>
            <w:rPr>
              <w:rFonts w:ascii="宋体" w:hAnsi="宋体" w:eastAsia="宋体" w:cs="宋体"/>
              <w:sz w:val="21"/>
              <w:szCs w:val="21"/>
            </w:rPr>
            <w:tab/>
          </w:r>
          <w:r>
            <w:rPr>
              <w:rFonts w:ascii="宋体" w:hAnsi="宋体" w:eastAsia="宋体" w:cs="宋体"/>
              <w:spacing w:val="-26"/>
              <w:sz w:val="21"/>
              <w:szCs w:val="21"/>
            </w:rPr>
            <w:t xml:space="preserve"> </w:t>
          </w:r>
          <w:r>
            <w:fldChar w:fldCharType="begin"/>
          </w:r>
          <w:r>
            <w:instrText xml:space="preserve"> HYPERLINK \l "bookmark240" </w:instrText>
          </w:r>
          <w:r>
            <w:fldChar w:fldCharType="separate"/>
          </w:r>
          <w:r>
            <w:rPr>
              <w:rFonts w:ascii="宋体" w:hAnsi="宋体" w:eastAsia="宋体" w:cs="宋体"/>
              <w:spacing w:val="-2"/>
              <w:sz w:val="21"/>
              <w:szCs w:val="21"/>
            </w:rPr>
            <w:t>204</w:t>
          </w:r>
          <w:r>
            <w:rPr>
              <w:rFonts w:ascii="宋体" w:hAnsi="宋体" w:eastAsia="宋体" w:cs="宋体"/>
              <w:spacing w:val="-2"/>
              <w:sz w:val="21"/>
              <w:szCs w:val="21"/>
            </w:rPr>
            <w:fldChar w:fldCharType="end"/>
          </w:r>
        </w:p>
        <w:p w14:paraId="2B41E740">
          <w:pPr>
            <w:tabs>
              <w:tab w:val="right" w:leader="dot" w:pos="8317"/>
            </w:tabs>
            <w:spacing w:before="20" w:line="219" w:lineRule="auto"/>
            <w:ind w:left="857"/>
            <w:rPr>
              <w:rFonts w:ascii="宋体" w:hAnsi="宋体" w:eastAsia="宋体" w:cs="宋体"/>
              <w:sz w:val="21"/>
              <w:szCs w:val="21"/>
            </w:rPr>
          </w:pPr>
          <w:r>
            <w:rPr>
              <w:rFonts w:ascii="宋体" w:hAnsi="宋体" w:eastAsia="宋体" w:cs="宋体"/>
              <w:spacing w:val="-1"/>
              <w:sz w:val="21"/>
              <w:szCs w:val="21"/>
            </w:rPr>
            <w:t>4.9</w:t>
          </w:r>
          <w:r>
            <w:rPr>
              <w:rFonts w:ascii="宋体" w:hAnsi="宋体" w:eastAsia="宋体" w:cs="宋体"/>
              <w:spacing w:val="-41"/>
              <w:sz w:val="21"/>
              <w:szCs w:val="21"/>
            </w:rPr>
            <w:t xml:space="preserve"> </w:t>
          </w:r>
          <w:r>
            <w:rPr>
              <w:rFonts w:ascii="宋体" w:hAnsi="宋体" w:eastAsia="宋体" w:cs="宋体"/>
              <w:spacing w:val="-1"/>
              <w:sz w:val="21"/>
              <w:szCs w:val="21"/>
            </w:rPr>
            <w:t>分部分项工程和单价措施项目清单与</w:t>
          </w:r>
          <w:r>
            <w:rPr>
              <w:rFonts w:ascii="宋体" w:hAnsi="宋体" w:eastAsia="宋体" w:cs="宋体"/>
              <w:spacing w:val="-2"/>
              <w:sz w:val="21"/>
              <w:szCs w:val="21"/>
            </w:rPr>
            <w:t xml:space="preserve">计价表 </w:t>
          </w:r>
          <w:r>
            <w:rPr>
              <w:rFonts w:ascii="宋体" w:hAnsi="宋体" w:eastAsia="宋体" w:cs="宋体"/>
              <w:sz w:val="21"/>
              <w:szCs w:val="21"/>
            </w:rPr>
            <w:tab/>
          </w:r>
          <w:r>
            <w:rPr>
              <w:rFonts w:ascii="宋体" w:hAnsi="宋体" w:eastAsia="宋体" w:cs="宋体"/>
              <w:spacing w:val="-26"/>
              <w:sz w:val="21"/>
              <w:szCs w:val="21"/>
            </w:rPr>
            <w:t xml:space="preserve"> </w:t>
          </w:r>
          <w:r>
            <w:fldChar w:fldCharType="begin"/>
          </w:r>
          <w:r>
            <w:instrText xml:space="preserve"> HYPERLINK \l "bookmark241" </w:instrText>
          </w:r>
          <w:r>
            <w:fldChar w:fldCharType="separate"/>
          </w:r>
          <w:r>
            <w:rPr>
              <w:rFonts w:ascii="宋体" w:hAnsi="宋体" w:eastAsia="宋体" w:cs="宋体"/>
              <w:spacing w:val="-2"/>
              <w:sz w:val="21"/>
              <w:szCs w:val="21"/>
            </w:rPr>
            <w:t>205</w:t>
          </w:r>
          <w:r>
            <w:rPr>
              <w:rFonts w:ascii="宋体" w:hAnsi="宋体" w:eastAsia="宋体" w:cs="宋体"/>
              <w:spacing w:val="-2"/>
              <w:sz w:val="21"/>
              <w:szCs w:val="21"/>
            </w:rPr>
            <w:fldChar w:fldCharType="end"/>
          </w:r>
        </w:p>
        <w:p w14:paraId="15CA76BB">
          <w:pPr>
            <w:tabs>
              <w:tab w:val="right" w:leader="dot" w:pos="8317"/>
            </w:tabs>
            <w:spacing w:before="25" w:line="219" w:lineRule="auto"/>
            <w:ind w:left="857"/>
            <w:rPr>
              <w:rFonts w:ascii="宋体" w:hAnsi="宋体" w:eastAsia="宋体" w:cs="宋体"/>
              <w:sz w:val="21"/>
              <w:szCs w:val="21"/>
            </w:rPr>
          </w:pPr>
          <w:r>
            <w:rPr>
              <w:rFonts w:ascii="宋体" w:hAnsi="宋体" w:eastAsia="宋体" w:cs="宋体"/>
              <w:spacing w:val="-2"/>
              <w:sz w:val="21"/>
              <w:szCs w:val="21"/>
            </w:rPr>
            <w:t>4.10</w:t>
          </w:r>
          <w:r>
            <w:rPr>
              <w:rFonts w:ascii="宋体" w:hAnsi="宋体" w:eastAsia="宋体" w:cs="宋体"/>
              <w:spacing w:val="-33"/>
              <w:sz w:val="21"/>
              <w:szCs w:val="21"/>
            </w:rPr>
            <w:t xml:space="preserve"> </w:t>
          </w:r>
          <w:r>
            <w:rPr>
              <w:rFonts w:ascii="宋体" w:hAnsi="宋体" w:eastAsia="宋体" w:cs="宋体"/>
              <w:spacing w:val="-2"/>
              <w:sz w:val="21"/>
              <w:szCs w:val="21"/>
            </w:rPr>
            <w:t>综合单价分析表</w:t>
          </w:r>
          <w:r>
            <w:rPr>
              <w:rFonts w:ascii="宋体" w:hAnsi="宋体" w:eastAsia="宋体" w:cs="宋体"/>
              <w:spacing w:val="-28"/>
              <w:sz w:val="21"/>
              <w:szCs w:val="21"/>
            </w:rPr>
            <w:t xml:space="preserve"> </w:t>
          </w:r>
          <w:r>
            <w:rPr>
              <w:rFonts w:ascii="宋体" w:hAnsi="宋体" w:eastAsia="宋体" w:cs="宋体"/>
              <w:sz w:val="21"/>
              <w:szCs w:val="21"/>
            </w:rPr>
            <w:tab/>
          </w:r>
          <w:r>
            <w:rPr>
              <w:rFonts w:ascii="宋体" w:hAnsi="宋体" w:eastAsia="宋体" w:cs="宋体"/>
              <w:spacing w:val="-26"/>
              <w:sz w:val="21"/>
              <w:szCs w:val="21"/>
            </w:rPr>
            <w:t xml:space="preserve"> </w:t>
          </w:r>
          <w:r>
            <w:fldChar w:fldCharType="begin"/>
          </w:r>
          <w:r>
            <w:instrText xml:space="preserve"> HYPERLINK \l "bookmark242" </w:instrText>
          </w:r>
          <w:r>
            <w:fldChar w:fldCharType="separate"/>
          </w:r>
          <w:r>
            <w:rPr>
              <w:rFonts w:ascii="宋体" w:hAnsi="宋体" w:eastAsia="宋体" w:cs="宋体"/>
              <w:spacing w:val="-2"/>
              <w:sz w:val="21"/>
              <w:szCs w:val="21"/>
            </w:rPr>
            <w:t>206</w:t>
          </w:r>
          <w:r>
            <w:rPr>
              <w:rFonts w:ascii="宋体" w:hAnsi="宋体" w:eastAsia="宋体" w:cs="宋体"/>
              <w:spacing w:val="-2"/>
              <w:sz w:val="21"/>
              <w:szCs w:val="21"/>
            </w:rPr>
            <w:fldChar w:fldCharType="end"/>
          </w:r>
        </w:p>
        <w:p w14:paraId="0C7A3550">
          <w:pPr>
            <w:tabs>
              <w:tab w:val="right" w:leader="dot" w:pos="8317"/>
            </w:tabs>
            <w:spacing w:before="24" w:line="219" w:lineRule="auto"/>
            <w:ind w:left="857"/>
            <w:rPr>
              <w:rFonts w:ascii="宋体" w:hAnsi="宋体" w:eastAsia="宋体" w:cs="宋体"/>
              <w:sz w:val="21"/>
              <w:szCs w:val="21"/>
            </w:rPr>
          </w:pPr>
          <w:r>
            <w:rPr>
              <w:rFonts w:ascii="宋体" w:hAnsi="宋体" w:eastAsia="宋体" w:cs="宋体"/>
              <w:spacing w:val="-3"/>
              <w:sz w:val="21"/>
              <w:szCs w:val="21"/>
            </w:rPr>
            <w:t>4.11</w:t>
          </w:r>
          <w:r>
            <w:rPr>
              <w:rFonts w:ascii="宋体" w:hAnsi="宋体" w:eastAsia="宋体" w:cs="宋体"/>
              <w:spacing w:val="-25"/>
              <w:sz w:val="21"/>
              <w:szCs w:val="21"/>
            </w:rPr>
            <w:t xml:space="preserve"> </w:t>
          </w:r>
          <w:r>
            <w:rPr>
              <w:rFonts w:ascii="宋体" w:hAnsi="宋体" w:eastAsia="宋体" w:cs="宋体"/>
              <w:spacing w:val="-3"/>
              <w:sz w:val="21"/>
              <w:szCs w:val="21"/>
            </w:rPr>
            <w:t xml:space="preserve">总价措施项目清单与计价表 </w:t>
          </w:r>
          <w:r>
            <w:rPr>
              <w:rFonts w:ascii="宋体" w:hAnsi="宋体" w:eastAsia="宋体" w:cs="宋体"/>
              <w:sz w:val="21"/>
              <w:szCs w:val="21"/>
            </w:rPr>
            <w:tab/>
          </w:r>
          <w:r>
            <w:rPr>
              <w:rFonts w:ascii="宋体" w:hAnsi="宋体" w:eastAsia="宋体" w:cs="宋体"/>
              <w:spacing w:val="-26"/>
              <w:sz w:val="21"/>
              <w:szCs w:val="21"/>
            </w:rPr>
            <w:t xml:space="preserve"> </w:t>
          </w:r>
          <w:r>
            <w:fldChar w:fldCharType="begin"/>
          </w:r>
          <w:r>
            <w:instrText xml:space="preserve"> HYPERLINK \l "bookmark243" </w:instrText>
          </w:r>
          <w:r>
            <w:fldChar w:fldCharType="separate"/>
          </w:r>
          <w:r>
            <w:rPr>
              <w:rFonts w:ascii="宋体" w:hAnsi="宋体" w:eastAsia="宋体" w:cs="宋体"/>
              <w:spacing w:val="-2"/>
              <w:sz w:val="21"/>
              <w:szCs w:val="21"/>
            </w:rPr>
            <w:t>207</w:t>
          </w:r>
          <w:r>
            <w:rPr>
              <w:rFonts w:ascii="宋体" w:hAnsi="宋体" w:eastAsia="宋体" w:cs="宋体"/>
              <w:spacing w:val="-2"/>
              <w:sz w:val="21"/>
              <w:szCs w:val="21"/>
            </w:rPr>
            <w:fldChar w:fldCharType="end"/>
          </w:r>
        </w:p>
        <w:p w14:paraId="258A048C">
          <w:pPr>
            <w:tabs>
              <w:tab w:val="right" w:leader="dot" w:pos="8317"/>
            </w:tabs>
            <w:spacing w:before="25" w:line="219" w:lineRule="auto"/>
            <w:ind w:left="857"/>
            <w:rPr>
              <w:rFonts w:ascii="宋体" w:hAnsi="宋体" w:eastAsia="宋体" w:cs="宋体"/>
              <w:sz w:val="21"/>
              <w:szCs w:val="21"/>
            </w:rPr>
          </w:pPr>
          <w:r>
            <w:rPr>
              <w:rFonts w:ascii="宋体" w:hAnsi="宋体" w:eastAsia="宋体" w:cs="宋体"/>
              <w:spacing w:val="-2"/>
              <w:sz w:val="21"/>
              <w:szCs w:val="21"/>
            </w:rPr>
            <w:t>4.12</w:t>
          </w:r>
          <w:r>
            <w:rPr>
              <w:rFonts w:ascii="宋体" w:hAnsi="宋体" w:eastAsia="宋体" w:cs="宋体"/>
              <w:spacing w:val="-42"/>
              <w:sz w:val="21"/>
              <w:szCs w:val="21"/>
            </w:rPr>
            <w:t xml:space="preserve"> </w:t>
          </w:r>
          <w:r>
            <w:rPr>
              <w:rFonts w:ascii="宋体" w:hAnsi="宋体" w:eastAsia="宋体" w:cs="宋体"/>
              <w:spacing w:val="-2"/>
              <w:sz w:val="21"/>
              <w:szCs w:val="21"/>
            </w:rPr>
            <w:t xml:space="preserve">其他项目清单与计价汇总表 </w:t>
          </w:r>
          <w:r>
            <w:rPr>
              <w:rFonts w:ascii="宋体" w:hAnsi="宋体" w:eastAsia="宋体" w:cs="宋体"/>
              <w:sz w:val="21"/>
              <w:szCs w:val="21"/>
            </w:rPr>
            <w:tab/>
          </w:r>
          <w:r>
            <w:rPr>
              <w:rFonts w:ascii="宋体" w:hAnsi="宋体" w:eastAsia="宋体" w:cs="宋体"/>
              <w:spacing w:val="-26"/>
              <w:sz w:val="21"/>
              <w:szCs w:val="21"/>
            </w:rPr>
            <w:t xml:space="preserve"> </w:t>
          </w:r>
          <w:r>
            <w:fldChar w:fldCharType="begin"/>
          </w:r>
          <w:r>
            <w:instrText xml:space="preserve"> HYPERLINK \l "bookmark244" </w:instrText>
          </w:r>
          <w:r>
            <w:fldChar w:fldCharType="separate"/>
          </w:r>
          <w:r>
            <w:rPr>
              <w:rFonts w:ascii="宋体" w:hAnsi="宋体" w:eastAsia="宋体" w:cs="宋体"/>
              <w:spacing w:val="-2"/>
              <w:sz w:val="21"/>
              <w:szCs w:val="21"/>
            </w:rPr>
            <w:t>208</w:t>
          </w:r>
          <w:r>
            <w:rPr>
              <w:rFonts w:ascii="宋体" w:hAnsi="宋体" w:eastAsia="宋体" w:cs="宋体"/>
              <w:spacing w:val="-2"/>
              <w:sz w:val="21"/>
              <w:szCs w:val="21"/>
            </w:rPr>
            <w:fldChar w:fldCharType="end"/>
          </w:r>
        </w:p>
        <w:p w14:paraId="44E7FA1A">
          <w:pPr>
            <w:tabs>
              <w:tab w:val="right" w:leader="dot" w:pos="8317"/>
            </w:tabs>
            <w:spacing w:before="19" w:line="221" w:lineRule="auto"/>
            <w:ind w:left="857"/>
            <w:rPr>
              <w:rFonts w:ascii="宋体" w:hAnsi="宋体" w:eastAsia="宋体" w:cs="宋体"/>
              <w:sz w:val="21"/>
              <w:szCs w:val="21"/>
            </w:rPr>
          </w:pPr>
          <w:r>
            <w:rPr>
              <w:rFonts w:ascii="宋体" w:hAnsi="宋体" w:eastAsia="宋体" w:cs="宋体"/>
              <w:spacing w:val="-2"/>
              <w:sz w:val="21"/>
              <w:szCs w:val="21"/>
            </w:rPr>
            <w:t>4.12-1</w:t>
          </w:r>
          <w:r>
            <w:rPr>
              <w:rFonts w:ascii="宋体" w:hAnsi="宋体" w:eastAsia="宋体" w:cs="宋体"/>
              <w:spacing w:val="-32"/>
              <w:sz w:val="21"/>
              <w:szCs w:val="21"/>
            </w:rPr>
            <w:t xml:space="preserve"> </w:t>
          </w:r>
          <w:r>
            <w:rPr>
              <w:rFonts w:ascii="宋体" w:hAnsi="宋体" w:eastAsia="宋体" w:cs="宋体"/>
              <w:spacing w:val="-2"/>
              <w:sz w:val="21"/>
              <w:szCs w:val="21"/>
            </w:rPr>
            <w:t>暂列金额明细表</w:t>
          </w:r>
          <w:r>
            <w:rPr>
              <w:rFonts w:ascii="宋体" w:hAnsi="宋体" w:eastAsia="宋体" w:cs="宋体"/>
              <w:spacing w:val="-24"/>
              <w:sz w:val="21"/>
              <w:szCs w:val="21"/>
            </w:rPr>
            <w:t xml:space="preserve"> </w:t>
          </w:r>
          <w:r>
            <w:rPr>
              <w:rFonts w:ascii="宋体" w:hAnsi="宋体" w:eastAsia="宋体" w:cs="宋体"/>
              <w:sz w:val="21"/>
              <w:szCs w:val="21"/>
            </w:rPr>
            <w:tab/>
          </w:r>
          <w:r>
            <w:rPr>
              <w:rFonts w:ascii="宋体" w:hAnsi="宋体" w:eastAsia="宋体" w:cs="宋体"/>
              <w:spacing w:val="-26"/>
              <w:sz w:val="21"/>
              <w:szCs w:val="21"/>
            </w:rPr>
            <w:t xml:space="preserve"> </w:t>
          </w:r>
          <w:r>
            <w:fldChar w:fldCharType="begin"/>
          </w:r>
          <w:r>
            <w:instrText xml:space="preserve"> HYPERLINK \l "bookmark245" </w:instrText>
          </w:r>
          <w:r>
            <w:fldChar w:fldCharType="separate"/>
          </w:r>
          <w:r>
            <w:rPr>
              <w:rFonts w:ascii="宋体" w:hAnsi="宋体" w:eastAsia="宋体" w:cs="宋体"/>
              <w:spacing w:val="-2"/>
              <w:sz w:val="21"/>
              <w:szCs w:val="21"/>
            </w:rPr>
            <w:t>209</w:t>
          </w:r>
          <w:r>
            <w:rPr>
              <w:rFonts w:ascii="宋体" w:hAnsi="宋体" w:eastAsia="宋体" w:cs="宋体"/>
              <w:spacing w:val="-2"/>
              <w:sz w:val="21"/>
              <w:szCs w:val="21"/>
            </w:rPr>
            <w:fldChar w:fldCharType="end"/>
          </w:r>
        </w:p>
        <w:p w14:paraId="18C7646D">
          <w:pPr>
            <w:tabs>
              <w:tab w:val="right" w:leader="dot" w:pos="8317"/>
            </w:tabs>
            <w:spacing w:before="22" w:line="219" w:lineRule="auto"/>
            <w:ind w:left="857"/>
            <w:rPr>
              <w:rFonts w:ascii="宋体" w:hAnsi="宋体" w:eastAsia="宋体" w:cs="宋体"/>
              <w:sz w:val="21"/>
              <w:szCs w:val="21"/>
            </w:rPr>
          </w:pPr>
          <w:r>
            <w:rPr>
              <w:rFonts w:ascii="宋体" w:hAnsi="宋体" w:eastAsia="宋体" w:cs="宋体"/>
              <w:spacing w:val="-1"/>
              <w:sz w:val="21"/>
              <w:szCs w:val="21"/>
            </w:rPr>
            <w:t>4.12-2</w:t>
          </w:r>
          <w:r>
            <w:rPr>
              <w:rFonts w:ascii="宋体" w:hAnsi="宋体" w:eastAsia="宋体" w:cs="宋体"/>
              <w:spacing w:val="-44"/>
              <w:sz w:val="21"/>
              <w:szCs w:val="21"/>
            </w:rPr>
            <w:t xml:space="preserve"> </w:t>
          </w:r>
          <w:r>
            <w:rPr>
              <w:rFonts w:ascii="宋体" w:hAnsi="宋体" w:eastAsia="宋体" w:cs="宋体"/>
              <w:spacing w:val="-1"/>
              <w:sz w:val="21"/>
              <w:szCs w:val="21"/>
            </w:rPr>
            <w:t>材料（工程设备）暂估单价及调</w:t>
          </w:r>
          <w:r>
            <w:rPr>
              <w:rFonts w:ascii="宋体" w:hAnsi="宋体" w:eastAsia="宋体" w:cs="宋体"/>
              <w:spacing w:val="-2"/>
              <w:sz w:val="21"/>
              <w:szCs w:val="21"/>
            </w:rPr>
            <w:t xml:space="preserve">整表 </w:t>
          </w:r>
          <w:r>
            <w:rPr>
              <w:rFonts w:ascii="宋体" w:hAnsi="宋体" w:eastAsia="宋体" w:cs="宋体"/>
              <w:sz w:val="21"/>
              <w:szCs w:val="21"/>
            </w:rPr>
            <w:tab/>
          </w:r>
          <w:r>
            <w:rPr>
              <w:rFonts w:ascii="宋体" w:hAnsi="宋体" w:eastAsia="宋体" w:cs="宋体"/>
              <w:spacing w:val="-26"/>
              <w:sz w:val="21"/>
              <w:szCs w:val="21"/>
            </w:rPr>
            <w:t xml:space="preserve"> </w:t>
          </w:r>
          <w:r>
            <w:fldChar w:fldCharType="begin"/>
          </w:r>
          <w:r>
            <w:instrText xml:space="preserve"> HYPERLINK \l "bookmark246" </w:instrText>
          </w:r>
          <w:r>
            <w:fldChar w:fldCharType="separate"/>
          </w:r>
          <w:r>
            <w:rPr>
              <w:rFonts w:ascii="宋体" w:hAnsi="宋体" w:eastAsia="宋体" w:cs="宋体"/>
              <w:spacing w:val="-2"/>
              <w:sz w:val="21"/>
              <w:szCs w:val="21"/>
            </w:rPr>
            <w:t>210</w:t>
          </w:r>
          <w:r>
            <w:rPr>
              <w:rFonts w:ascii="宋体" w:hAnsi="宋体" w:eastAsia="宋体" w:cs="宋体"/>
              <w:spacing w:val="-2"/>
              <w:sz w:val="21"/>
              <w:szCs w:val="21"/>
            </w:rPr>
            <w:fldChar w:fldCharType="end"/>
          </w:r>
        </w:p>
        <w:p w14:paraId="3E3B5835">
          <w:pPr>
            <w:tabs>
              <w:tab w:val="right" w:leader="dot" w:pos="8317"/>
            </w:tabs>
            <w:spacing w:before="25" w:line="219" w:lineRule="auto"/>
            <w:ind w:left="857"/>
            <w:rPr>
              <w:rFonts w:ascii="宋体" w:hAnsi="宋体" w:eastAsia="宋体" w:cs="宋体"/>
              <w:sz w:val="21"/>
              <w:szCs w:val="21"/>
            </w:rPr>
          </w:pPr>
          <w:r>
            <w:rPr>
              <w:rFonts w:ascii="宋体" w:hAnsi="宋体" w:eastAsia="宋体" w:cs="宋体"/>
              <w:spacing w:val="-2"/>
              <w:sz w:val="21"/>
              <w:szCs w:val="21"/>
            </w:rPr>
            <w:t>4.12-3</w:t>
          </w:r>
          <w:r>
            <w:rPr>
              <w:rFonts w:ascii="宋体" w:hAnsi="宋体" w:eastAsia="宋体" w:cs="宋体"/>
              <w:spacing w:val="-37"/>
              <w:sz w:val="21"/>
              <w:szCs w:val="21"/>
            </w:rPr>
            <w:t xml:space="preserve"> </w:t>
          </w:r>
          <w:r>
            <w:rPr>
              <w:rFonts w:ascii="宋体" w:hAnsi="宋体" w:eastAsia="宋体" w:cs="宋体"/>
              <w:spacing w:val="-2"/>
              <w:sz w:val="21"/>
              <w:szCs w:val="21"/>
            </w:rPr>
            <w:t xml:space="preserve">专业工程暂估价及结算价表 </w:t>
          </w:r>
          <w:r>
            <w:rPr>
              <w:rFonts w:ascii="宋体" w:hAnsi="宋体" w:eastAsia="宋体" w:cs="宋体"/>
              <w:sz w:val="21"/>
              <w:szCs w:val="21"/>
            </w:rPr>
            <w:tab/>
          </w:r>
          <w:r>
            <w:rPr>
              <w:rFonts w:ascii="宋体" w:hAnsi="宋体" w:eastAsia="宋体" w:cs="宋体"/>
              <w:spacing w:val="-27"/>
              <w:sz w:val="21"/>
              <w:szCs w:val="21"/>
            </w:rPr>
            <w:t xml:space="preserve"> </w:t>
          </w:r>
          <w:r>
            <w:fldChar w:fldCharType="begin"/>
          </w:r>
          <w:r>
            <w:instrText xml:space="preserve"> HYPERLINK \l "bookmark247" </w:instrText>
          </w:r>
          <w:r>
            <w:fldChar w:fldCharType="separate"/>
          </w:r>
          <w:r>
            <w:rPr>
              <w:rFonts w:ascii="宋体" w:hAnsi="宋体" w:eastAsia="宋体" w:cs="宋体"/>
              <w:spacing w:val="-2"/>
              <w:sz w:val="21"/>
              <w:szCs w:val="21"/>
            </w:rPr>
            <w:t>211</w:t>
          </w:r>
          <w:r>
            <w:rPr>
              <w:rFonts w:ascii="宋体" w:hAnsi="宋体" w:eastAsia="宋体" w:cs="宋体"/>
              <w:spacing w:val="-2"/>
              <w:sz w:val="21"/>
              <w:szCs w:val="21"/>
            </w:rPr>
            <w:fldChar w:fldCharType="end"/>
          </w:r>
        </w:p>
        <w:p w14:paraId="7A1E079B">
          <w:pPr>
            <w:tabs>
              <w:tab w:val="right" w:leader="dot" w:pos="8317"/>
            </w:tabs>
            <w:spacing w:before="25" w:line="222" w:lineRule="auto"/>
            <w:ind w:left="857"/>
            <w:rPr>
              <w:rFonts w:ascii="宋体" w:hAnsi="宋体" w:eastAsia="宋体" w:cs="宋体"/>
              <w:sz w:val="21"/>
              <w:szCs w:val="21"/>
            </w:rPr>
          </w:pPr>
          <w:r>
            <w:rPr>
              <w:rFonts w:ascii="宋体" w:hAnsi="宋体" w:eastAsia="宋体" w:cs="宋体"/>
              <w:spacing w:val="-2"/>
              <w:sz w:val="21"/>
              <w:szCs w:val="21"/>
            </w:rPr>
            <w:t>4.12-4</w:t>
          </w:r>
          <w:r>
            <w:rPr>
              <w:rFonts w:ascii="宋体" w:hAnsi="宋体" w:eastAsia="宋体" w:cs="宋体"/>
              <w:spacing w:val="-37"/>
              <w:sz w:val="21"/>
              <w:szCs w:val="21"/>
            </w:rPr>
            <w:t xml:space="preserve"> </w:t>
          </w:r>
          <w:r>
            <w:rPr>
              <w:rFonts w:ascii="宋体" w:hAnsi="宋体" w:eastAsia="宋体" w:cs="宋体"/>
              <w:spacing w:val="-2"/>
              <w:sz w:val="21"/>
              <w:szCs w:val="21"/>
            </w:rPr>
            <w:t>计日工表</w:t>
          </w:r>
          <w:r>
            <w:rPr>
              <w:rFonts w:ascii="宋体" w:hAnsi="宋体" w:eastAsia="宋体" w:cs="宋体"/>
              <w:spacing w:val="-29"/>
              <w:sz w:val="21"/>
              <w:szCs w:val="21"/>
            </w:rPr>
            <w:t xml:space="preserve"> </w:t>
          </w:r>
          <w:r>
            <w:rPr>
              <w:rFonts w:ascii="宋体" w:hAnsi="宋体" w:eastAsia="宋体" w:cs="宋体"/>
              <w:sz w:val="21"/>
              <w:szCs w:val="21"/>
            </w:rPr>
            <w:tab/>
          </w:r>
          <w:r>
            <w:rPr>
              <w:rFonts w:ascii="宋体" w:hAnsi="宋体" w:eastAsia="宋体" w:cs="宋体"/>
              <w:spacing w:val="-26"/>
              <w:sz w:val="21"/>
              <w:szCs w:val="21"/>
            </w:rPr>
            <w:t xml:space="preserve"> </w:t>
          </w:r>
          <w:r>
            <w:fldChar w:fldCharType="begin"/>
          </w:r>
          <w:r>
            <w:instrText xml:space="preserve"> HYPERLINK \l "bookmark248" </w:instrText>
          </w:r>
          <w:r>
            <w:fldChar w:fldCharType="separate"/>
          </w:r>
          <w:r>
            <w:rPr>
              <w:rFonts w:ascii="宋体" w:hAnsi="宋体" w:eastAsia="宋体" w:cs="宋体"/>
              <w:spacing w:val="-2"/>
              <w:sz w:val="21"/>
              <w:szCs w:val="21"/>
            </w:rPr>
            <w:t>212</w:t>
          </w:r>
          <w:r>
            <w:rPr>
              <w:rFonts w:ascii="宋体" w:hAnsi="宋体" w:eastAsia="宋体" w:cs="宋体"/>
              <w:spacing w:val="-2"/>
              <w:sz w:val="21"/>
              <w:szCs w:val="21"/>
            </w:rPr>
            <w:fldChar w:fldCharType="end"/>
          </w:r>
        </w:p>
      </w:sdtContent>
    </w:sdt>
    <w:p w14:paraId="3412667E">
      <w:pPr>
        <w:spacing w:line="222" w:lineRule="auto"/>
        <w:rPr>
          <w:rFonts w:ascii="宋体" w:hAnsi="宋体" w:eastAsia="宋体" w:cs="宋体"/>
          <w:sz w:val="21"/>
          <w:szCs w:val="21"/>
        </w:rPr>
        <w:sectPr>
          <w:footerReference r:id="rId10" w:type="default"/>
          <w:pgSz w:w="11905" w:h="16839"/>
          <w:pgMar w:top="1427" w:right="1785" w:bottom="1033" w:left="1785" w:header="0" w:footer="848" w:gutter="0"/>
          <w:pgNumType w:fmt="decimal"/>
          <w:cols w:space="720" w:num="1"/>
        </w:sectPr>
      </w:pPr>
    </w:p>
    <w:sdt>
      <w:sdtPr>
        <w:rPr>
          <w:rFonts w:ascii="宋体" w:hAnsi="宋体" w:eastAsia="宋体" w:cs="宋体"/>
          <w:sz w:val="21"/>
          <w:szCs w:val="21"/>
        </w:rPr>
        <w:id w:val="6"/>
        <w:docPartObj>
          <w:docPartGallery w:val="Table of Contents"/>
          <w:docPartUnique/>
        </w:docPartObj>
      </w:sdtPr>
      <w:sdtEndPr>
        <w:rPr>
          <w:rFonts w:ascii="宋体" w:hAnsi="宋体" w:eastAsia="宋体" w:cs="宋体"/>
          <w:sz w:val="21"/>
          <w:szCs w:val="21"/>
        </w:rPr>
      </w:sdtEndPr>
      <w:sdtContent>
        <w:p w14:paraId="2046CF5A">
          <w:pPr>
            <w:tabs>
              <w:tab w:val="right" w:leader="dot" w:pos="8317"/>
            </w:tabs>
            <w:spacing w:before="42" w:line="219" w:lineRule="auto"/>
            <w:ind w:left="857"/>
            <w:rPr>
              <w:rFonts w:ascii="宋体" w:hAnsi="宋体" w:eastAsia="宋体" w:cs="宋体"/>
              <w:sz w:val="21"/>
              <w:szCs w:val="21"/>
            </w:rPr>
          </w:pPr>
          <w:r>
            <w:rPr>
              <w:rFonts w:ascii="宋体" w:hAnsi="宋体" w:eastAsia="宋体" w:cs="宋体"/>
              <w:spacing w:val="-2"/>
              <w:sz w:val="21"/>
              <w:szCs w:val="21"/>
            </w:rPr>
            <w:t>4.12-5</w:t>
          </w:r>
          <w:r>
            <w:rPr>
              <w:rFonts w:ascii="宋体" w:hAnsi="宋体" w:eastAsia="宋体" w:cs="宋体"/>
              <w:spacing w:val="-26"/>
              <w:sz w:val="21"/>
              <w:szCs w:val="21"/>
            </w:rPr>
            <w:t xml:space="preserve"> </w:t>
          </w:r>
          <w:r>
            <w:rPr>
              <w:rFonts w:ascii="宋体" w:hAnsi="宋体" w:eastAsia="宋体" w:cs="宋体"/>
              <w:spacing w:val="-2"/>
              <w:sz w:val="21"/>
              <w:szCs w:val="21"/>
            </w:rPr>
            <w:t>总承包服务费计价表</w:t>
          </w:r>
          <w:r>
            <w:rPr>
              <w:rFonts w:ascii="宋体" w:hAnsi="宋体" w:eastAsia="宋体" w:cs="宋体"/>
              <w:spacing w:val="-23"/>
              <w:sz w:val="21"/>
              <w:szCs w:val="21"/>
            </w:rPr>
            <w:t xml:space="preserve"> </w:t>
          </w:r>
          <w:r>
            <w:rPr>
              <w:rFonts w:ascii="宋体" w:hAnsi="宋体" w:eastAsia="宋体" w:cs="宋体"/>
              <w:sz w:val="21"/>
              <w:szCs w:val="21"/>
            </w:rPr>
            <w:tab/>
          </w:r>
          <w:r>
            <w:rPr>
              <w:rFonts w:ascii="宋体" w:hAnsi="宋体" w:eastAsia="宋体" w:cs="宋体"/>
              <w:spacing w:val="-26"/>
              <w:sz w:val="21"/>
              <w:szCs w:val="21"/>
            </w:rPr>
            <w:t xml:space="preserve"> </w:t>
          </w:r>
          <w:r>
            <w:fldChar w:fldCharType="begin"/>
          </w:r>
          <w:r>
            <w:instrText xml:space="preserve"> HYPERLINK \l "bookmark249" </w:instrText>
          </w:r>
          <w:r>
            <w:fldChar w:fldCharType="separate"/>
          </w:r>
          <w:r>
            <w:rPr>
              <w:rFonts w:ascii="宋体" w:hAnsi="宋体" w:eastAsia="宋体" w:cs="宋体"/>
              <w:spacing w:val="-2"/>
              <w:sz w:val="21"/>
              <w:szCs w:val="21"/>
            </w:rPr>
            <w:t>213</w:t>
          </w:r>
          <w:r>
            <w:rPr>
              <w:rFonts w:ascii="宋体" w:hAnsi="宋体" w:eastAsia="宋体" w:cs="宋体"/>
              <w:spacing w:val="-2"/>
              <w:sz w:val="21"/>
              <w:szCs w:val="21"/>
            </w:rPr>
            <w:fldChar w:fldCharType="end"/>
          </w:r>
        </w:p>
        <w:p w14:paraId="2BCED106">
          <w:pPr>
            <w:tabs>
              <w:tab w:val="right" w:leader="dot" w:pos="8317"/>
            </w:tabs>
            <w:spacing w:before="19" w:line="219" w:lineRule="auto"/>
            <w:ind w:left="857"/>
            <w:rPr>
              <w:rFonts w:ascii="宋体" w:hAnsi="宋体" w:eastAsia="宋体" w:cs="宋体"/>
              <w:sz w:val="21"/>
              <w:szCs w:val="21"/>
            </w:rPr>
          </w:pPr>
          <w:r>
            <w:rPr>
              <w:rFonts w:ascii="宋体" w:hAnsi="宋体" w:eastAsia="宋体" w:cs="宋体"/>
              <w:spacing w:val="-1"/>
              <w:sz w:val="21"/>
              <w:szCs w:val="21"/>
            </w:rPr>
            <w:t>4.13</w:t>
          </w:r>
          <w:r>
            <w:rPr>
              <w:rFonts w:ascii="宋体" w:hAnsi="宋体" w:eastAsia="宋体" w:cs="宋体"/>
              <w:spacing w:val="-42"/>
              <w:sz w:val="21"/>
              <w:szCs w:val="21"/>
            </w:rPr>
            <w:t xml:space="preserve"> </w:t>
          </w:r>
          <w:r>
            <w:rPr>
              <w:rFonts w:ascii="宋体" w:hAnsi="宋体" w:eastAsia="宋体" w:cs="宋体"/>
              <w:spacing w:val="-1"/>
              <w:sz w:val="21"/>
              <w:szCs w:val="21"/>
            </w:rPr>
            <w:t>规费、税金项目计价表</w:t>
          </w:r>
          <w:r>
            <w:rPr>
              <w:rFonts w:ascii="宋体" w:hAnsi="宋体" w:eastAsia="宋体" w:cs="宋体"/>
              <w:spacing w:val="-23"/>
              <w:sz w:val="21"/>
              <w:szCs w:val="21"/>
            </w:rPr>
            <w:t xml:space="preserve"> </w:t>
          </w:r>
          <w:r>
            <w:rPr>
              <w:rFonts w:ascii="宋体" w:hAnsi="宋体" w:eastAsia="宋体" w:cs="宋体"/>
              <w:sz w:val="21"/>
              <w:szCs w:val="21"/>
            </w:rPr>
            <w:tab/>
          </w:r>
          <w:r>
            <w:rPr>
              <w:rFonts w:ascii="宋体" w:hAnsi="宋体" w:eastAsia="宋体" w:cs="宋体"/>
              <w:spacing w:val="-26"/>
              <w:sz w:val="21"/>
              <w:szCs w:val="21"/>
            </w:rPr>
            <w:t xml:space="preserve"> </w:t>
          </w:r>
          <w:r>
            <w:fldChar w:fldCharType="begin"/>
          </w:r>
          <w:r>
            <w:instrText xml:space="preserve"> HYPERLINK \l "bookmark250" </w:instrText>
          </w:r>
          <w:r>
            <w:fldChar w:fldCharType="separate"/>
          </w:r>
          <w:r>
            <w:rPr>
              <w:rFonts w:ascii="宋体" w:hAnsi="宋体" w:eastAsia="宋体" w:cs="宋体"/>
              <w:spacing w:val="-2"/>
              <w:sz w:val="21"/>
              <w:szCs w:val="21"/>
            </w:rPr>
            <w:t>214</w:t>
          </w:r>
          <w:r>
            <w:rPr>
              <w:rFonts w:ascii="宋体" w:hAnsi="宋体" w:eastAsia="宋体" w:cs="宋体"/>
              <w:spacing w:val="-2"/>
              <w:sz w:val="21"/>
              <w:szCs w:val="21"/>
            </w:rPr>
            <w:fldChar w:fldCharType="end"/>
          </w:r>
        </w:p>
        <w:p w14:paraId="22F1E265">
          <w:pPr>
            <w:tabs>
              <w:tab w:val="right" w:leader="dot" w:pos="8317"/>
            </w:tabs>
            <w:spacing w:before="24" w:line="220" w:lineRule="auto"/>
            <w:ind w:left="857"/>
            <w:rPr>
              <w:rFonts w:ascii="宋体" w:hAnsi="宋体" w:eastAsia="宋体" w:cs="宋体"/>
              <w:sz w:val="21"/>
              <w:szCs w:val="21"/>
            </w:rPr>
          </w:pPr>
          <w:r>
            <w:rPr>
              <w:rFonts w:ascii="宋体" w:hAnsi="宋体" w:eastAsia="宋体" w:cs="宋体"/>
              <w:spacing w:val="-2"/>
              <w:sz w:val="21"/>
              <w:szCs w:val="21"/>
            </w:rPr>
            <w:t>4.14</w:t>
          </w:r>
          <w:r>
            <w:rPr>
              <w:rFonts w:ascii="宋体" w:hAnsi="宋体" w:eastAsia="宋体" w:cs="宋体"/>
              <w:spacing w:val="-33"/>
              <w:sz w:val="21"/>
              <w:szCs w:val="21"/>
            </w:rPr>
            <w:t xml:space="preserve"> </w:t>
          </w:r>
          <w:r>
            <w:rPr>
              <w:rFonts w:ascii="宋体" w:hAnsi="宋体" w:eastAsia="宋体" w:cs="宋体"/>
              <w:spacing w:val="-2"/>
              <w:sz w:val="21"/>
              <w:szCs w:val="21"/>
            </w:rPr>
            <w:t xml:space="preserve">发包人提供材料和工程设备一览表 </w:t>
          </w:r>
          <w:r>
            <w:rPr>
              <w:rFonts w:ascii="宋体" w:hAnsi="宋体" w:eastAsia="宋体" w:cs="宋体"/>
              <w:sz w:val="21"/>
              <w:szCs w:val="21"/>
            </w:rPr>
            <w:tab/>
          </w:r>
          <w:r>
            <w:rPr>
              <w:rFonts w:ascii="宋体" w:hAnsi="宋体" w:eastAsia="宋体" w:cs="宋体"/>
              <w:spacing w:val="-25"/>
              <w:sz w:val="21"/>
              <w:szCs w:val="21"/>
            </w:rPr>
            <w:t xml:space="preserve"> </w:t>
          </w:r>
          <w:r>
            <w:fldChar w:fldCharType="begin"/>
          </w:r>
          <w:r>
            <w:instrText xml:space="preserve"> HYPERLINK \l "bookmark251" </w:instrText>
          </w:r>
          <w:r>
            <w:fldChar w:fldCharType="separate"/>
          </w:r>
          <w:r>
            <w:rPr>
              <w:rFonts w:ascii="宋体" w:hAnsi="宋体" w:eastAsia="宋体" w:cs="宋体"/>
              <w:spacing w:val="-2"/>
              <w:sz w:val="21"/>
              <w:szCs w:val="21"/>
            </w:rPr>
            <w:t>215</w:t>
          </w:r>
          <w:r>
            <w:rPr>
              <w:rFonts w:ascii="宋体" w:hAnsi="宋体" w:eastAsia="宋体" w:cs="宋体"/>
              <w:spacing w:val="-2"/>
              <w:sz w:val="21"/>
              <w:szCs w:val="21"/>
            </w:rPr>
            <w:fldChar w:fldCharType="end"/>
          </w:r>
        </w:p>
      </w:sdtContent>
    </w:sdt>
    <w:p w14:paraId="6061FE3D">
      <w:pPr>
        <w:spacing w:before="23" w:line="219" w:lineRule="auto"/>
        <w:ind w:right="12"/>
        <w:jc w:val="right"/>
        <w:rPr>
          <w:rFonts w:ascii="宋体" w:hAnsi="宋体" w:eastAsia="宋体" w:cs="宋体"/>
          <w:sz w:val="21"/>
          <w:szCs w:val="21"/>
        </w:rPr>
      </w:pPr>
      <w:r>
        <w:rPr>
          <w:rFonts w:ascii="宋体" w:hAnsi="宋体" w:eastAsia="宋体" w:cs="宋体"/>
          <w:spacing w:val="-1"/>
          <w:sz w:val="21"/>
          <w:szCs w:val="21"/>
        </w:rPr>
        <w:t>4.15</w:t>
      </w:r>
      <w:r>
        <w:rPr>
          <w:rFonts w:ascii="宋体" w:hAnsi="宋体" w:eastAsia="宋体" w:cs="宋体"/>
          <w:spacing w:val="-29"/>
          <w:sz w:val="21"/>
          <w:szCs w:val="21"/>
        </w:rPr>
        <w:t xml:space="preserve"> </w:t>
      </w:r>
      <w:r>
        <w:rPr>
          <w:rFonts w:ascii="宋体" w:hAnsi="宋体" w:eastAsia="宋体" w:cs="宋体"/>
          <w:spacing w:val="-1"/>
          <w:sz w:val="21"/>
          <w:szCs w:val="21"/>
        </w:rPr>
        <w:t>承包人提供主要材料和工程设备一览表（适用于造价信息差额调整法）</w:t>
      </w:r>
      <w:r>
        <w:rPr>
          <w:rFonts w:ascii="宋体" w:hAnsi="宋体" w:eastAsia="宋体" w:cs="宋体"/>
          <w:spacing w:val="73"/>
          <w:sz w:val="21"/>
          <w:szCs w:val="21"/>
        </w:rPr>
        <w:t xml:space="preserve"> </w:t>
      </w:r>
      <w:r>
        <w:rPr>
          <w:rFonts w:ascii="宋体" w:hAnsi="宋体" w:eastAsia="宋体" w:cs="宋体"/>
          <w:spacing w:val="-1"/>
          <w:sz w:val="21"/>
          <w:szCs w:val="21"/>
        </w:rPr>
        <w:t>216</w:t>
      </w:r>
    </w:p>
    <w:p w14:paraId="4F21463B">
      <w:pPr>
        <w:spacing w:before="25" w:line="219" w:lineRule="auto"/>
        <w:ind w:right="12"/>
        <w:jc w:val="right"/>
        <w:rPr>
          <w:rFonts w:ascii="宋体" w:hAnsi="宋体" w:eastAsia="宋体" w:cs="宋体"/>
          <w:sz w:val="21"/>
          <w:szCs w:val="21"/>
        </w:rPr>
      </w:pPr>
      <w:r>
        <w:rPr>
          <w:rFonts w:ascii="宋体" w:hAnsi="宋体" w:eastAsia="宋体" w:cs="宋体"/>
          <w:spacing w:val="-1"/>
          <w:sz w:val="21"/>
          <w:szCs w:val="21"/>
        </w:rPr>
        <w:t>4.16</w:t>
      </w:r>
      <w:r>
        <w:rPr>
          <w:rFonts w:ascii="宋体" w:hAnsi="宋体" w:eastAsia="宋体" w:cs="宋体"/>
          <w:spacing w:val="-29"/>
          <w:sz w:val="21"/>
          <w:szCs w:val="21"/>
        </w:rPr>
        <w:t xml:space="preserve"> </w:t>
      </w:r>
      <w:r>
        <w:rPr>
          <w:rFonts w:ascii="宋体" w:hAnsi="宋体" w:eastAsia="宋体" w:cs="宋体"/>
          <w:spacing w:val="-1"/>
          <w:sz w:val="21"/>
          <w:szCs w:val="21"/>
        </w:rPr>
        <w:t>承包人提供主要材料和工程设备一览表（适用于价格指数差额调整法）</w:t>
      </w:r>
      <w:r>
        <w:rPr>
          <w:rFonts w:ascii="宋体" w:hAnsi="宋体" w:eastAsia="宋体" w:cs="宋体"/>
          <w:spacing w:val="73"/>
          <w:sz w:val="21"/>
          <w:szCs w:val="21"/>
        </w:rPr>
        <w:t xml:space="preserve"> </w:t>
      </w:r>
      <w:r>
        <w:rPr>
          <w:rFonts w:ascii="宋体" w:hAnsi="宋体" w:eastAsia="宋体" w:cs="宋体"/>
          <w:spacing w:val="-1"/>
          <w:sz w:val="21"/>
          <w:szCs w:val="21"/>
        </w:rPr>
        <w:t>217</w:t>
      </w:r>
    </w:p>
    <w:sdt>
      <w:sdtPr>
        <w:rPr>
          <w:rFonts w:ascii="宋体" w:hAnsi="宋体" w:eastAsia="宋体" w:cs="宋体"/>
          <w:sz w:val="21"/>
          <w:szCs w:val="21"/>
        </w:rPr>
        <w:id w:val="7"/>
        <w:docPartObj>
          <w:docPartGallery w:val="Table of Contents"/>
          <w:docPartUnique/>
        </w:docPartObj>
      </w:sdtPr>
      <w:sdtEndPr>
        <w:rPr>
          <w:rFonts w:ascii="宋体" w:hAnsi="宋体" w:eastAsia="宋体" w:cs="宋体"/>
          <w:sz w:val="21"/>
          <w:szCs w:val="21"/>
        </w:rPr>
      </w:sdtEndPr>
      <w:sdtContent>
        <w:p w14:paraId="54730C62">
          <w:pPr>
            <w:tabs>
              <w:tab w:val="right" w:leader="dot" w:pos="8307"/>
            </w:tabs>
            <w:spacing w:before="19" w:line="221" w:lineRule="auto"/>
            <w:ind w:left="18"/>
            <w:rPr>
              <w:rFonts w:ascii="宋体" w:hAnsi="宋体" w:eastAsia="宋体" w:cs="宋体"/>
              <w:sz w:val="21"/>
              <w:szCs w:val="21"/>
            </w:rPr>
          </w:pPr>
          <w:r>
            <w:rPr>
              <w:rFonts w:ascii="宋体" w:hAnsi="宋体" w:eastAsia="宋体" w:cs="宋体"/>
              <w:spacing w:val="-2"/>
              <w:sz w:val="21"/>
              <w:szCs w:val="21"/>
              <w14:textOutline w14:w="3831" w14:cap="flat" w14:cmpd="sng">
                <w14:solidFill>
                  <w14:srgbClr w14:val="000000"/>
                </w14:solidFill>
                <w14:prstDash w14:val="solid"/>
                <w14:miter w14:val="0"/>
              </w14:textOutline>
            </w:rPr>
            <w:t>第二卷</w:t>
          </w:r>
          <w:r>
            <w:rPr>
              <w:rFonts w:ascii="宋体" w:hAnsi="宋体" w:eastAsia="宋体" w:cs="宋体"/>
              <w:spacing w:val="-91"/>
              <w:sz w:val="21"/>
              <w:szCs w:val="21"/>
            </w:rPr>
            <w:t xml:space="preserve"> </w:t>
          </w:r>
          <w:r>
            <w:rPr>
              <w:rFonts w:ascii="宋体" w:hAnsi="宋体" w:eastAsia="宋体" w:cs="宋体"/>
              <w:sz w:val="21"/>
              <w:szCs w:val="21"/>
              <w14:textOutline w14:w="3831" w14:cap="flat" w14:cmpd="sng">
                <w14:solidFill>
                  <w14:srgbClr w14:val="000000"/>
                </w14:solidFill>
                <w14:prstDash w14:val="solid"/>
                <w14:miter w14:val="0"/>
              </w14:textOutline>
            </w:rPr>
            <w:tab/>
          </w:r>
          <w:r>
            <w:rPr>
              <w:rFonts w:ascii="宋体" w:hAnsi="宋体" w:eastAsia="宋体" w:cs="宋体"/>
              <w:spacing w:val="-32"/>
              <w:sz w:val="21"/>
              <w:szCs w:val="21"/>
            </w:rPr>
            <w:t xml:space="preserve"> </w:t>
          </w:r>
          <w:r>
            <w:fldChar w:fldCharType="begin"/>
          </w:r>
          <w:r>
            <w:instrText xml:space="preserve"> HYPERLINK \l "bookmark252" </w:instrText>
          </w:r>
          <w:r>
            <w:fldChar w:fldCharType="separate"/>
          </w:r>
          <w:r>
            <w:rPr>
              <w:rFonts w:ascii="宋体" w:hAnsi="宋体" w:eastAsia="宋体" w:cs="宋体"/>
              <w:spacing w:val="-2"/>
              <w:sz w:val="21"/>
              <w:szCs w:val="21"/>
              <w14:textOutline w14:w="3831" w14:cap="flat" w14:cmpd="sng">
                <w14:solidFill>
                  <w14:srgbClr w14:val="000000"/>
                </w14:solidFill>
                <w14:prstDash w14:val="solid"/>
                <w14:miter w14:val="0"/>
              </w14:textOutline>
            </w:rPr>
            <w:t>218</w:t>
          </w:r>
          <w:r>
            <w:rPr>
              <w:rFonts w:ascii="宋体" w:hAnsi="宋体" w:eastAsia="宋体" w:cs="宋体"/>
              <w:spacing w:val="-2"/>
              <w:sz w:val="21"/>
              <w:szCs w:val="21"/>
              <w14:textOutline w14:w="3831" w14:cap="flat" w14:cmpd="sng">
                <w14:solidFill>
                  <w14:srgbClr w14:val="000000"/>
                </w14:solidFill>
                <w14:prstDash w14:val="solid"/>
                <w14:miter w14:val="0"/>
              </w14:textOutline>
            </w:rPr>
            <w:fldChar w:fldCharType="end"/>
          </w:r>
        </w:p>
        <w:p w14:paraId="45C7923C">
          <w:pPr>
            <w:tabs>
              <w:tab w:val="right" w:leader="dot" w:pos="8307"/>
            </w:tabs>
            <w:spacing w:before="22" w:line="220" w:lineRule="auto"/>
            <w:ind w:left="18"/>
            <w:rPr>
              <w:rFonts w:ascii="宋体" w:hAnsi="宋体" w:eastAsia="宋体" w:cs="宋体"/>
              <w:sz w:val="21"/>
              <w:szCs w:val="21"/>
            </w:rPr>
          </w:pPr>
          <w:r>
            <w:rPr>
              <w:rFonts w:ascii="宋体" w:hAnsi="宋体" w:eastAsia="宋体" w:cs="宋体"/>
              <w:spacing w:val="-9"/>
              <w:sz w:val="21"/>
              <w:szCs w:val="21"/>
              <w14:textOutline w14:w="3831" w14:cap="flat" w14:cmpd="sng">
                <w14:solidFill>
                  <w14:srgbClr w14:val="000000"/>
                </w14:solidFill>
                <w14:prstDash w14:val="solid"/>
                <w14:miter w14:val="0"/>
              </w14:textOutline>
            </w:rPr>
            <w:t>第六章</w:t>
          </w:r>
          <w:r>
            <w:rPr>
              <w:rFonts w:ascii="宋体" w:hAnsi="宋体" w:eastAsia="宋体" w:cs="宋体"/>
              <w:spacing w:val="16"/>
              <w:sz w:val="21"/>
              <w:szCs w:val="21"/>
            </w:rPr>
            <w:t xml:space="preserve">  </w:t>
          </w:r>
          <w:r>
            <w:rPr>
              <w:rFonts w:ascii="宋体" w:hAnsi="宋体" w:eastAsia="宋体" w:cs="宋体"/>
              <w:spacing w:val="-9"/>
              <w:sz w:val="21"/>
              <w:szCs w:val="21"/>
              <w14:textOutline w14:w="3831" w14:cap="flat" w14:cmpd="sng">
                <w14:solidFill>
                  <w14:srgbClr w14:val="000000"/>
                </w14:solidFill>
                <w14:prstDash w14:val="solid"/>
                <w14:miter w14:val="0"/>
              </w14:textOutline>
            </w:rPr>
            <w:t>图</w:t>
          </w:r>
          <w:r>
            <w:rPr>
              <w:rFonts w:ascii="宋体" w:hAnsi="宋体" w:eastAsia="宋体" w:cs="宋体"/>
              <w:spacing w:val="6"/>
              <w:sz w:val="21"/>
              <w:szCs w:val="21"/>
            </w:rPr>
            <w:t xml:space="preserve">  </w:t>
          </w:r>
          <w:r>
            <w:rPr>
              <w:rFonts w:ascii="宋体" w:hAnsi="宋体" w:eastAsia="宋体" w:cs="宋体"/>
              <w:spacing w:val="-9"/>
              <w:sz w:val="21"/>
              <w:szCs w:val="21"/>
              <w14:textOutline w14:w="3831" w14:cap="flat" w14:cmpd="sng">
                <w14:solidFill>
                  <w14:srgbClr w14:val="000000"/>
                </w14:solidFill>
                <w14:prstDash w14:val="solid"/>
                <w14:miter w14:val="0"/>
              </w14:textOutline>
            </w:rPr>
            <w:t>纸</w:t>
          </w:r>
          <w:r>
            <w:rPr>
              <w:rFonts w:ascii="宋体" w:hAnsi="宋体" w:eastAsia="宋体" w:cs="宋体"/>
              <w:spacing w:val="-52"/>
              <w:sz w:val="21"/>
              <w:szCs w:val="21"/>
            </w:rPr>
            <w:t xml:space="preserve"> </w:t>
          </w:r>
          <w:r>
            <w:rPr>
              <w:rFonts w:ascii="宋体" w:hAnsi="宋体" w:eastAsia="宋体" w:cs="宋体"/>
              <w:sz w:val="21"/>
              <w:szCs w:val="21"/>
              <w14:textOutline w14:w="3831" w14:cap="flat" w14:cmpd="sng">
                <w14:solidFill>
                  <w14:srgbClr w14:val="000000"/>
                </w14:solidFill>
                <w14:prstDash w14:val="solid"/>
                <w14:miter w14:val="0"/>
              </w14:textOutline>
            </w:rPr>
            <w:tab/>
          </w:r>
          <w:r>
            <w:rPr>
              <w:rFonts w:ascii="宋体" w:hAnsi="宋体" w:eastAsia="宋体" w:cs="宋体"/>
              <w:spacing w:val="-31"/>
              <w:sz w:val="21"/>
              <w:szCs w:val="21"/>
            </w:rPr>
            <w:t xml:space="preserve"> </w:t>
          </w:r>
          <w:r>
            <w:fldChar w:fldCharType="begin"/>
          </w:r>
          <w:r>
            <w:instrText xml:space="preserve"> HYPERLINK \l "bookmark253" </w:instrText>
          </w:r>
          <w:r>
            <w:fldChar w:fldCharType="separate"/>
          </w:r>
          <w:r>
            <w:rPr>
              <w:rFonts w:ascii="宋体" w:hAnsi="宋体" w:eastAsia="宋体" w:cs="宋体"/>
              <w:spacing w:val="-2"/>
              <w:sz w:val="21"/>
              <w:szCs w:val="21"/>
              <w14:textOutline w14:w="3831" w14:cap="flat" w14:cmpd="sng">
                <w14:solidFill>
                  <w14:srgbClr w14:val="000000"/>
                </w14:solidFill>
                <w14:prstDash w14:val="solid"/>
                <w14:miter w14:val="0"/>
              </w14:textOutline>
            </w:rPr>
            <w:t>219</w:t>
          </w:r>
          <w:r>
            <w:rPr>
              <w:rFonts w:ascii="宋体" w:hAnsi="宋体" w:eastAsia="宋体" w:cs="宋体"/>
              <w:spacing w:val="-2"/>
              <w:sz w:val="21"/>
              <w:szCs w:val="21"/>
              <w14:textOutline w14:w="3831" w14:cap="flat" w14:cmpd="sng">
                <w14:solidFill>
                  <w14:srgbClr w14:val="000000"/>
                </w14:solidFill>
                <w14:prstDash w14:val="solid"/>
                <w14:miter w14:val="0"/>
              </w14:textOutline>
            </w:rPr>
            <w:fldChar w:fldCharType="end"/>
          </w:r>
        </w:p>
        <w:p w14:paraId="78DFA67F">
          <w:pPr>
            <w:tabs>
              <w:tab w:val="right" w:leader="dot" w:pos="8317"/>
            </w:tabs>
            <w:spacing w:before="24" w:line="222" w:lineRule="auto"/>
            <w:ind w:left="456"/>
            <w:rPr>
              <w:rFonts w:ascii="宋体" w:hAnsi="宋体" w:eastAsia="宋体" w:cs="宋体"/>
              <w:sz w:val="21"/>
              <w:szCs w:val="21"/>
            </w:rPr>
          </w:pPr>
          <w:r>
            <w:rPr>
              <w:rFonts w:ascii="宋体" w:hAnsi="宋体" w:eastAsia="宋体" w:cs="宋体"/>
              <w:spacing w:val="-3"/>
              <w:sz w:val="21"/>
              <w:szCs w:val="21"/>
            </w:rPr>
            <w:t>1．图纸目录</w:t>
          </w:r>
          <w:r>
            <w:rPr>
              <w:rFonts w:ascii="宋体" w:hAnsi="宋体" w:eastAsia="宋体" w:cs="宋体"/>
              <w:spacing w:val="-91"/>
              <w:sz w:val="21"/>
              <w:szCs w:val="21"/>
            </w:rPr>
            <w:t xml:space="preserve"> </w:t>
          </w:r>
          <w:r>
            <w:rPr>
              <w:rFonts w:ascii="宋体" w:hAnsi="宋体" w:eastAsia="宋体" w:cs="宋体"/>
              <w:sz w:val="21"/>
              <w:szCs w:val="21"/>
            </w:rPr>
            <w:tab/>
          </w:r>
          <w:r>
            <w:rPr>
              <w:rFonts w:ascii="宋体" w:hAnsi="宋体" w:eastAsia="宋体" w:cs="宋体"/>
              <w:spacing w:val="-26"/>
              <w:sz w:val="21"/>
              <w:szCs w:val="21"/>
            </w:rPr>
            <w:t xml:space="preserve"> </w:t>
          </w:r>
          <w:r>
            <w:fldChar w:fldCharType="begin"/>
          </w:r>
          <w:r>
            <w:instrText xml:space="preserve"> HYPERLINK \l "bookmark254" </w:instrText>
          </w:r>
          <w:r>
            <w:fldChar w:fldCharType="separate"/>
          </w:r>
          <w:r>
            <w:rPr>
              <w:rFonts w:ascii="宋体" w:hAnsi="宋体" w:eastAsia="宋体" w:cs="宋体"/>
              <w:spacing w:val="-2"/>
              <w:sz w:val="21"/>
              <w:szCs w:val="21"/>
            </w:rPr>
            <w:t>220</w:t>
          </w:r>
          <w:r>
            <w:rPr>
              <w:rFonts w:ascii="宋体" w:hAnsi="宋体" w:eastAsia="宋体" w:cs="宋体"/>
              <w:spacing w:val="-2"/>
              <w:sz w:val="21"/>
              <w:szCs w:val="21"/>
            </w:rPr>
            <w:fldChar w:fldCharType="end"/>
          </w:r>
        </w:p>
        <w:p w14:paraId="6757B5ED">
          <w:pPr>
            <w:tabs>
              <w:tab w:val="right" w:leader="dot" w:pos="8317"/>
            </w:tabs>
            <w:spacing w:before="21" w:line="222" w:lineRule="auto"/>
            <w:ind w:left="443"/>
            <w:rPr>
              <w:rFonts w:ascii="宋体" w:hAnsi="宋体" w:eastAsia="宋体" w:cs="宋体"/>
              <w:sz w:val="21"/>
              <w:szCs w:val="21"/>
            </w:rPr>
          </w:pPr>
          <w:r>
            <w:rPr>
              <w:rFonts w:ascii="宋体" w:hAnsi="宋体" w:eastAsia="宋体" w:cs="宋体"/>
              <w:spacing w:val="-5"/>
              <w:sz w:val="21"/>
              <w:szCs w:val="21"/>
            </w:rPr>
            <w:t>2．图</w:t>
          </w:r>
          <w:r>
            <w:rPr>
              <w:rFonts w:ascii="宋体" w:hAnsi="宋体" w:eastAsia="宋体" w:cs="宋体"/>
              <w:spacing w:val="6"/>
              <w:sz w:val="21"/>
              <w:szCs w:val="21"/>
            </w:rPr>
            <w:t xml:space="preserve">  </w:t>
          </w:r>
          <w:r>
            <w:rPr>
              <w:rFonts w:ascii="宋体" w:hAnsi="宋体" w:eastAsia="宋体" w:cs="宋体"/>
              <w:spacing w:val="-5"/>
              <w:sz w:val="21"/>
              <w:szCs w:val="21"/>
            </w:rPr>
            <w:t>纸</w:t>
          </w:r>
          <w:r>
            <w:rPr>
              <w:rFonts w:ascii="宋体" w:hAnsi="宋体" w:eastAsia="宋体" w:cs="宋体"/>
              <w:spacing w:val="-90"/>
              <w:sz w:val="21"/>
              <w:szCs w:val="21"/>
            </w:rPr>
            <w:t xml:space="preserve"> </w:t>
          </w:r>
          <w:r>
            <w:rPr>
              <w:rFonts w:ascii="宋体" w:hAnsi="宋体" w:eastAsia="宋体" w:cs="宋体"/>
              <w:sz w:val="21"/>
              <w:szCs w:val="21"/>
            </w:rPr>
            <w:tab/>
          </w:r>
          <w:r>
            <w:rPr>
              <w:rFonts w:ascii="宋体" w:hAnsi="宋体" w:eastAsia="宋体" w:cs="宋体"/>
              <w:spacing w:val="-25"/>
              <w:sz w:val="21"/>
              <w:szCs w:val="21"/>
            </w:rPr>
            <w:t xml:space="preserve"> </w:t>
          </w:r>
          <w:r>
            <w:fldChar w:fldCharType="begin"/>
          </w:r>
          <w:r>
            <w:instrText xml:space="preserve"> HYPERLINK \l "bookmark255" </w:instrText>
          </w:r>
          <w:r>
            <w:fldChar w:fldCharType="separate"/>
          </w:r>
          <w:r>
            <w:rPr>
              <w:rFonts w:ascii="宋体" w:hAnsi="宋体" w:eastAsia="宋体" w:cs="宋体"/>
              <w:spacing w:val="-2"/>
              <w:sz w:val="21"/>
              <w:szCs w:val="21"/>
            </w:rPr>
            <w:t>221</w:t>
          </w:r>
          <w:r>
            <w:rPr>
              <w:rFonts w:ascii="宋体" w:hAnsi="宋体" w:eastAsia="宋体" w:cs="宋体"/>
              <w:spacing w:val="-2"/>
              <w:sz w:val="21"/>
              <w:szCs w:val="21"/>
            </w:rPr>
            <w:fldChar w:fldCharType="end"/>
          </w:r>
        </w:p>
        <w:p w14:paraId="43B445B9">
          <w:pPr>
            <w:tabs>
              <w:tab w:val="right" w:leader="dot" w:pos="8307"/>
            </w:tabs>
            <w:spacing w:before="15" w:line="221" w:lineRule="auto"/>
            <w:ind w:left="18"/>
            <w:rPr>
              <w:rFonts w:ascii="宋体" w:hAnsi="宋体" w:eastAsia="宋体" w:cs="宋体"/>
              <w:sz w:val="21"/>
              <w:szCs w:val="21"/>
            </w:rPr>
          </w:pPr>
          <w:r>
            <w:rPr>
              <w:rFonts w:ascii="宋体" w:hAnsi="宋体" w:eastAsia="宋体" w:cs="宋体"/>
              <w:spacing w:val="-2"/>
              <w:sz w:val="21"/>
              <w:szCs w:val="21"/>
              <w14:textOutline w14:w="3831" w14:cap="flat" w14:cmpd="sng">
                <w14:solidFill>
                  <w14:srgbClr w14:val="000000"/>
                </w14:solidFill>
                <w14:prstDash w14:val="solid"/>
                <w14:miter w14:val="0"/>
              </w14:textOutline>
            </w:rPr>
            <w:t>第三卷</w:t>
          </w:r>
          <w:r>
            <w:rPr>
              <w:rFonts w:ascii="宋体" w:hAnsi="宋体" w:eastAsia="宋体" w:cs="宋体"/>
              <w:spacing w:val="-91"/>
              <w:sz w:val="21"/>
              <w:szCs w:val="21"/>
            </w:rPr>
            <w:t xml:space="preserve"> </w:t>
          </w:r>
          <w:r>
            <w:rPr>
              <w:rFonts w:ascii="宋体" w:hAnsi="宋体" w:eastAsia="宋体" w:cs="宋体"/>
              <w:sz w:val="21"/>
              <w:szCs w:val="21"/>
              <w14:textOutline w14:w="3831" w14:cap="flat" w14:cmpd="sng">
                <w14:solidFill>
                  <w14:srgbClr w14:val="000000"/>
                </w14:solidFill>
                <w14:prstDash w14:val="solid"/>
                <w14:miter w14:val="0"/>
              </w14:textOutline>
            </w:rPr>
            <w:tab/>
          </w:r>
          <w:r>
            <w:rPr>
              <w:rFonts w:ascii="宋体" w:hAnsi="宋体" w:eastAsia="宋体" w:cs="宋体"/>
              <w:spacing w:val="-32"/>
              <w:sz w:val="21"/>
              <w:szCs w:val="21"/>
            </w:rPr>
            <w:t xml:space="preserve"> </w:t>
          </w:r>
          <w:r>
            <w:fldChar w:fldCharType="begin"/>
          </w:r>
          <w:r>
            <w:instrText xml:space="preserve"> HYPERLINK \l "bookmark256" </w:instrText>
          </w:r>
          <w:r>
            <w:fldChar w:fldCharType="separate"/>
          </w:r>
          <w:r>
            <w:rPr>
              <w:rFonts w:ascii="宋体" w:hAnsi="宋体" w:eastAsia="宋体" w:cs="宋体"/>
              <w:spacing w:val="-2"/>
              <w:sz w:val="21"/>
              <w:szCs w:val="21"/>
              <w14:textOutline w14:w="3831" w14:cap="flat" w14:cmpd="sng">
                <w14:solidFill>
                  <w14:srgbClr w14:val="000000"/>
                </w14:solidFill>
                <w14:prstDash w14:val="solid"/>
                <w14:miter w14:val="0"/>
              </w14:textOutline>
            </w:rPr>
            <w:t>222</w:t>
          </w:r>
          <w:r>
            <w:rPr>
              <w:rFonts w:ascii="宋体" w:hAnsi="宋体" w:eastAsia="宋体" w:cs="宋体"/>
              <w:spacing w:val="-2"/>
              <w:sz w:val="21"/>
              <w:szCs w:val="21"/>
              <w14:textOutline w14:w="3831" w14:cap="flat" w14:cmpd="sng">
                <w14:solidFill>
                  <w14:srgbClr w14:val="000000"/>
                </w14:solidFill>
                <w14:prstDash w14:val="solid"/>
                <w14:miter w14:val="0"/>
              </w14:textOutline>
            </w:rPr>
            <w:fldChar w:fldCharType="end"/>
          </w:r>
        </w:p>
        <w:p w14:paraId="17452F54">
          <w:pPr>
            <w:tabs>
              <w:tab w:val="right" w:leader="dot" w:pos="8307"/>
            </w:tabs>
            <w:spacing w:before="23" w:line="220" w:lineRule="auto"/>
            <w:ind w:left="18"/>
            <w:rPr>
              <w:rFonts w:ascii="宋体" w:hAnsi="宋体" w:eastAsia="宋体" w:cs="宋体"/>
              <w:sz w:val="21"/>
              <w:szCs w:val="21"/>
            </w:rPr>
          </w:pPr>
          <w:r>
            <w:rPr>
              <w:rFonts w:ascii="宋体" w:hAnsi="宋体" w:eastAsia="宋体" w:cs="宋体"/>
              <w:spacing w:val="-1"/>
              <w:sz w:val="21"/>
              <w:szCs w:val="21"/>
              <w14:textOutline w14:w="3831" w14:cap="flat" w14:cmpd="sng">
                <w14:solidFill>
                  <w14:srgbClr w14:val="000000"/>
                </w14:solidFill>
                <w14:prstDash w14:val="solid"/>
                <w14:miter w14:val="0"/>
              </w14:textOutline>
            </w:rPr>
            <w:t>第七章</w:t>
          </w:r>
          <w:r>
            <w:rPr>
              <w:rFonts w:ascii="宋体" w:hAnsi="宋体" w:eastAsia="宋体" w:cs="宋体"/>
              <w:spacing w:val="-1"/>
              <w:sz w:val="21"/>
              <w:szCs w:val="21"/>
            </w:rPr>
            <w:t xml:space="preserve">  </w:t>
          </w:r>
          <w:r>
            <w:rPr>
              <w:rFonts w:ascii="宋体" w:hAnsi="宋体" w:eastAsia="宋体" w:cs="宋体"/>
              <w:spacing w:val="-1"/>
              <w:sz w:val="21"/>
              <w:szCs w:val="21"/>
              <w14:textOutline w14:w="3831" w14:cap="flat" w14:cmpd="sng">
                <w14:solidFill>
                  <w14:srgbClr w14:val="000000"/>
                </w14:solidFill>
                <w14:prstDash w14:val="solid"/>
                <w14:miter w14:val="0"/>
              </w14:textOutline>
            </w:rPr>
            <w:t>技术标准和要求</w:t>
          </w:r>
          <w:r>
            <w:rPr>
              <w:rFonts w:ascii="宋体" w:hAnsi="宋体" w:eastAsia="宋体" w:cs="宋体"/>
              <w:spacing w:val="-1"/>
              <w:sz w:val="21"/>
              <w:szCs w:val="21"/>
            </w:rPr>
            <w:t xml:space="preserve"> </w:t>
          </w:r>
          <w:r>
            <w:rPr>
              <w:rFonts w:ascii="宋体" w:hAnsi="宋体" w:eastAsia="宋体" w:cs="宋体"/>
              <w:sz w:val="21"/>
              <w:szCs w:val="21"/>
              <w14:textOutline w14:w="3831" w14:cap="flat" w14:cmpd="sng">
                <w14:solidFill>
                  <w14:srgbClr w14:val="000000"/>
                </w14:solidFill>
                <w14:prstDash w14:val="solid"/>
                <w14:miter w14:val="0"/>
              </w14:textOutline>
            </w:rPr>
            <w:tab/>
          </w:r>
          <w:r>
            <w:rPr>
              <w:rFonts w:ascii="宋体" w:hAnsi="宋体" w:eastAsia="宋体" w:cs="宋体"/>
              <w:spacing w:val="-31"/>
              <w:sz w:val="21"/>
              <w:szCs w:val="21"/>
            </w:rPr>
            <w:t xml:space="preserve"> </w:t>
          </w:r>
          <w:r>
            <w:fldChar w:fldCharType="begin"/>
          </w:r>
          <w:r>
            <w:instrText xml:space="preserve"> HYPERLINK \l "bookmark257" </w:instrText>
          </w:r>
          <w:r>
            <w:fldChar w:fldCharType="separate"/>
          </w:r>
          <w:r>
            <w:rPr>
              <w:rFonts w:ascii="宋体" w:hAnsi="宋体" w:eastAsia="宋体" w:cs="宋体"/>
              <w:spacing w:val="-2"/>
              <w:sz w:val="21"/>
              <w:szCs w:val="21"/>
              <w14:textOutline w14:w="3831" w14:cap="flat" w14:cmpd="sng">
                <w14:solidFill>
                  <w14:srgbClr w14:val="000000"/>
                </w14:solidFill>
                <w14:prstDash w14:val="solid"/>
                <w14:miter w14:val="0"/>
              </w14:textOutline>
            </w:rPr>
            <w:t>223</w:t>
          </w:r>
          <w:r>
            <w:rPr>
              <w:rFonts w:ascii="宋体" w:hAnsi="宋体" w:eastAsia="宋体" w:cs="宋体"/>
              <w:spacing w:val="-2"/>
              <w:sz w:val="21"/>
              <w:szCs w:val="21"/>
              <w14:textOutline w14:w="3831" w14:cap="flat" w14:cmpd="sng">
                <w14:solidFill>
                  <w14:srgbClr w14:val="000000"/>
                </w14:solidFill>
                <w14:prstDash w14:val="solid"/>
                <w14:miter w14:val="0"/>
              </w14:textOutline>
            </w:rPr>
            <w:fldChar w:fldCharType="end"/>
          </w:r>
        </w:p>
        <w:p w14:paraId="028EBA1B">
          <w:pPr>
            <w:tabs>
              <w:tab w:val="right" w:leader="dot" w:pos="8317"/>
            </w:tabs>
            <w:spacing w:before="23" w:line="221" w:lineRule="auto"/>
            <w:ind w:left="441"/>
            <w:rPr>
              <w:rFonts w:ascii="宋体" w:hAnsi="宋体" w:eastAsia="宋体" w:cs="宋体"/>
              <w:sz w:val="21"/>
              <w:szCs w:val="21"/>
            </w:rPr>
          </w:pPr>
          <w:r>
            <w:rPr>
              <w:rFonts w:ascii="宋体" w:hAnsi="宋体" w:eastAsia="宋体" w:cs="宋体"/>
              <w:spacing w:val="-1"/>
              <w:sz w:val="21"/>
              <w:szCs w:val="21"/>
            </w:rPr>
            <w:t>第一节 一般要求</w:t>
          </w:r>
          <w:r>
            <w:rPr>
              <w:rFonts w:ascii="宋体" w:hAnsi="宋体" w:eastAsia="宋体" w:cs="宋体"/>
              <w:spacing w:val="-83"/>
              <w:sz w:val="21"/>
              <w:szCs w:val="21"/>
            </w:rPr>
            <w:t xml:space="preserve"> </w:t>
          </w:r>
          <w:r>
            <w:rPr>
              <w:rFonts w:ascii="宋体" w:hAnsi="宋体" w:eastAsia="宋体" w:cs="宋体"/>
              <w:sz w:val="21"/>
              <w:szCs w:val="21"/>
            </w:rPr>
            <w:tab/>
          </w:r>
          <w:r>
            <w:rPr>
              <w:rFonts w:ascii="宋体" w:hAnsi="宋体" w:eastAsia="宋体" w:cs="宋体"/>
              <w:spacing w:val="-26"/>
              <w:sz w:val="21"/>
              <w:szCs w:val="21"/>
            </w:rPr>
            <w:t xml:space="preserve"> </w:t>
          </w:r>
          <w:r>
            <w:fldChar w:fldCharType="begin"/>
          </w:r>
          <w:r>
            <w:instrText xml:space="preserve"> HYPERLINK \l "bookmark258" </w:instrText>
          </w:r>
          <w:r>
            <w:fldChar w:fldCharType="separate"/>
          </w:r>
          <w:r>
            <w:rPr>
              <w:rFonts w:ascii="宋体" w:hAnsi="宋体" w:eastAsia="宋体" w:cs="宋体"/>
              <w:spacing w:val="-2"/>
              <w:sz w:val="21"/>
              <w:szCs w:val="21"/>
            </w:rPr>
            <w:t>224</w:t>
          </w:r>
          <w:r>
            <w:rPr>
              <w:rFonts w:ascii="宋体" w:hAnsi="宋体" w:eastAsia="宋体" w:cs="宋体"/>
              <w:spacing w:val="-2"/>
              <w:sz w:val="21"/>
              <w:szCs w:val="21"/>
            </w:rPr>
            <w:fldChar w:fldCharType="end"/>
          </w:r>
        </w:p>
        <w:p w14:paraId="266221A1">
          <w:pPr>
            <w:tabs>
              <w:tab w:val="right" w:leader="dot" w:pos="8317"/>
            </w:tabs>
            <w:spacing w:before="23" w:line="221" w:lineRule="auto"/>
            <w:ind w:left="874"/>
            <w:rPr>
              <w:rFonts w:ascii="宋体" w:hAnsi="宋体" w:eastAsia="宋体" w:cs="宋体"/>
              <w:sz w:val="21"/>
              <w:szCs w:val="21"/>
            </w:rPr>
          </w:pPr>
          <w:r>
            <w:rPr>
              <w:rFonts w:ascii="宋体" w:hAnsi="宋体" w:eastAsia="宋体" w:cs="宋体"/>
              <w:spacing w:val="-3"/>
              <w:sz w:val="21"/>
              <w:szCs w:val="21"/>
            </w:rPr>
            <w:t>1.工程说明</w:t>
          </w:r>
          <w:r>
            <w:rPr>
              <w:rFonts w:ascii="宋体" w:hAnsi="宋体" w:eastAsia="宋体" w:cs="宋体"/>
              <w:spacing w:val="-86"/>
              <w:sz w:val="21"/>
              <w:szCs w:val="21"/>
            </w:rPr>
            <w:t xml:space="preserve"> </w:t>
          </w:r>
          <w:r>
            <w:rPr>
              <w:rFonts w:ascii="宋体" w:hAnsi="宋体" w:eastAsia="宋体" w:cs="宋体"/>
              <w:sz w:val="21"/>
              <w:szCs w:val="21"/>
            </w:rPr>
            <w:tab/>
          </w:r>
          <w:r>
            <w:rPr>
              <w:rFonts w:ascii="宋体" w:hAnsi="宋体" w:eastAsia="宋体" w:cs="宋体"/>
              <w:spacing w:val="-26"/>
              <w:sz w:val="21"/>
              <w:szCs w:val="21"/>
            </w:rPr>
            <w:t xml:space="preserve"> </w:t>
          </w:r>
          <w:r>
            <w:fldChar w:fldCharType="begin"/>
          </w:r>
          <w:r>
            <w:instrText xml:space="preserve"> HYPERLINK \l "bookmark259" </w:instrText>
          </w:r>
          <w:r>
            <w:fldChar w:fldCharType="separate"/>
          </w:r>
          <w:r>
            <w:rPr>
              <w:rFonts w:ascii="宋体" w:hAnsi="宋体" w:eastAsia="宋体" w:cs="宋体"/>
              <w:spacing w:val="-2"/>
              <w:sz w:val="21"/>
              <w:szCs w:val="21"/>
            </w:rPr>
            <w:t>224</w:t>
          </w:r>
          <w:r>
            <w:rPr>
              <w:rFonts w:ascii="宋体" w:hAnsi="宋体" w:eastAsia="宋体" w:cs="宋体"/>
              <w:spacing w:val="-2"/>
              <w:sz w:val="21"/>
              <w:szCs w:val="21"/>
            </w:rPr>
            <w:fldChar w:fldCharType="end"/>
          </w:r>
        </w:p>
        <w:p w14:paraId="6369D649">
          <w:pPr>
            <w:tabs>
              <w:tab w:val="right" w:leader="dot" w:pos="8317"/>
            </w:tabs>
            <w:spacing w:before="17" w:line="221" w:lineRule="auto"/>
            <w:ind w:left="861"/>
            <w:rPr>
              <w:rFonts w:ascii="宋体" w:hAnsi="宋体" w:eastAsia="宋体" w:cs="宋体"/>
              <w:sz w:val="21"/>
              <w:szCs w:val="21"/>
            </w:rPr>
          </w:pPr>
          <w:r>
            <w:rPr>
              <w:rFonts w:ascii="宋体" w:hAnsi="宋体" w:eastAsia="宋体" w:cs="宋体"/>
              <w:spacing w:val="-1"/>
              <w:sz w:val="21"/>
              <w:szCs w:val="21"/>
            </w:rPr>
            <w:t>2.承包范围</w:t>
          </w:r>
          <w:r>
            <w:rPr>
              <w:rFonts w:ascii="宋体" w:hAnsi="宋体" w:eastAsia="宋体" w:cs="宋体"/>
              <w:spacing w:val="-86"/>
              <w:sz w:val="21"/>
              <w:szCs w:val="21"/>
            </w:rPr>
            <w:t xml:space="preserve"> </w:t>
          </w:r>
          <w:r>
            <w:rPr>
              <w:rFonts w:ascii="宋体" w:hAnsi="宋体" w:eastAsia="宋体" w:cs="宋体"/>
              <w:sz w:val="21"/>
              <w:szCs w:val="21"/>
            </w:rPr>
            <w:tab/>
          </w:r>
          <w:r>
            <w:rPr>
              <w:rFonts w:ascii="宋体" w:hAnsi="宋体" w:eastAsia="宋体" w:cs="宋体"/>
              <w:spacing w:val="-26"/>
              <w:sz w:val="21"/>
              <w:szCs w:val="21"/>
            </w:rPr>
            <w:t xml:space="preserve"> </w:t>
          </w:r>
          <w:r>
            <w:fldChar w:fldCharType="begin"/>
          </w:r>
          <w:r>
            <w:instrText xml:space="preserve"> HYPERLINK \l "bookmark260" </w:instrText>
          </w:r>
          <w:r>
            <w:fldChar w:fldCharType="separate"/>
          </w:r>
          <w:r>
            <w:rPr>
              <w:rFonts w:ascii="宋体" w:hAnsi="宋体" w:eastAsia="宋体" w:cs="宋体"/>
              <w:spacing w:val="-2"/>
              <w:sz w:val="21"/>
              <w:szCs w:val="21"/>
            </w:rPr>
            <w:t>225</w:t>
          </w:r>
          <w:r>
            <w:rPr>
              <w:rFonts w:ascii="宋体" w:hAnsi="宋体" w:eastAsia="宋体" w:cs="宋体"/>
              <w:spacing w:val="-2"/>
              <w:sz w:val="21"/>
              <w:szCs w:val="21"/>
            </w:rPr>
            <w:fldChar w:fldCharType="end"/>
          </w:r>
        </w:p>
        <w:p w14:paraId="142486F3">
          <w:pPr>
            <w:tabs>
              <w:tab w:val="right" w:leader="dot" w:pos="8317"/>
            </w:tabs>
            <w:spacing w:before="23" w:line="221" w:lineRule="auto"/>
            <w:ind w:left="863"/>
            <w:rPr>
              <w:rFonts w:ascii="宋体" w:hAnsi="宋体" w:eastAsia="宋体" w:cs="宋体"/>
              <w:sz w:val="21"/>
              <w:szCs w:val="21"/>
            </w:rPr>
          </w:pPr>
          <w:r>
            <w:rPr>
              <w:rFonts w:ascii="宋体" w:hAnsi="宋体" w:eastAsia="宋体" w:cs="宋体"/>
              <w:spacing w:val="-2"/>
              <w:sz w:val="21"/>
              <w:szCs w:val="21"/>
            </w:rPr>
            <w:t>3.工期要求</w:t>
          </w:r>
          <w:r>
            <w:rPr>
              <w:rFonts w:ascii="宋体" w:hAnsi="宋体" w:eastAsia="宋体" w:cs="宋体"/>
              <w:spacing w:val="-82"/>
              <w:sz w:val="21"/>
              <w:szCs w:val="21"/>
            </w:rPr>
            <w:t xml:space="preserve"> </w:t>
          </w:r>
          <w:r>
            <w:rPr>
              <w:rFonts w:ascii="宋体" w:hAnsi="宋体" w:eastAsia="宋体" w:cs="宋体"/>
              <w:sz w:val="21"/>
              <w:szCs w:val="21"/>
            </w:rPr>
            <w:tab/>
          </w:r>
          <w:r>
            <w:rPr>
              <w:rFonts w:ascii="宋体" w:hAnsi="宋体" w:eastAsia="宋体" w:cs="宋体"/>
              <w:spacing w:val="-26"/>
              <w:sz w:val="21"/>
              <w:szCs w:val="21"/>
            </w:rPr>
            <w:t xml:space="preserve"> </w:t>
          </w:r>
          <w:r>
            <w:fldChar w:fldCharType="begin"/>
          </w:r>
          <w:r>
            <w:instrText xml:space="preserve"> HYPERLINK \l "bookmark261" </w:instrText>
          </w:r>
          <w:r>
            <w:fldChar w:fldCharType="separate"/>
          </w:r>
          <w:r>
            <w:rPr>
              <w:rFonts w:ascii="宋体" w:hAnsi="宋体" w:eastAsia="宋体" w:cs="宋体"/>
              <w:spacing w:val="-2"/>
              <w:sz w:val="21"/>
              <w:szCs w:val="21"/>
            </w:rPr>
            <w:t>226</w:t>
          </w:r>
          <w:r>
            <w:rPr>
              <w:rFonts w:ascii="宋体" w:hAnsi="宋体" w:eastAsia="宋体" w:cs="宋体"/>
              <w:spacing w:val="-2"/>
              <w:sz w:val="21"/>
              <w:szCs w:val="21"/>
            </w:rPr>
            <w:fldChar w:fldCharType="end"/>
          </w:r>
        </w:p>
        <w:p w14:paraId="7F2E0331">
          <w:pPr>
            <w:tabs>
              <w:tab w:val="right" w:leader="dot" w:pos="8317"/>
            </w:tabs>
            <w:spacing w:before="22" w:line="221" w:lineRule="auto"/>
            <w:ind w:left="857"/>
            <w:rPr>
              <w:rFonts w:ascii="宋体" w:hAnsi="宋体" w:eastAsia="宋体" w:cs="宋体"/>
              <w:sz w:val="21"/>
              <w:szCs w:val="21"/>
            </w:rPr>
          </w:pPr>
          <w:r>
            <w:rPr>
              <w:rFonts w:ascii="宋体" w:hAnsi="宋体" w:eastAsia="宋体" w:cs="宋体"/>
              <w:spacing w:val="-1"/>
              <w:sz w:val="21"/>
              <w:szCs w:val="21"/>
            </w:rPr>
            <w:t>4.质量要求</w:t>
          </w:r>
          <w:r>
            <w:rPr>
              <w:rFonts w:ascii="宋体" w:hAnsi="宋体" w:eastAsia="宋体" w:cs="宋体"/>
              <w:spacing w:val="-83"/>
              <w:sz w:val="21"/>
              <w:szCs w:val="21"/>
            </w:rPr>
            <w:t xml:space="preserve"> </w:t>
          </w:r>
          <w:r>
            <w:rPr>
              <w:rFonts w:ascii="宋体" w:hAnsi="宋体" w:eastAsia="宋体" w:cs="宋体"/>
              <w:sz w:val="21"/>
              <w:szCs w:val="21"/>
            </w:rPr>
            <w:tab/>
          </w:r>
          <w:r>
            <w:rPr>
              <w:rFonts w:ascii="宋体" w:hAnsi="宋体" w:eastAsia="宋体" w:cs="宋体"/>
              <w:spacing w:val="-26"/>
              <w:sz w:val="21"/>
              <w:szCs w:val="21"/>
            </w:rPr>
            <w:t xml:space="preserve"> </w:t>
          </w:r>
          <w:r>
            <w:fldChar w:fldCharType="begin"/>
          </w:r>
          <w:r>
            <w:instrText xml:space="preserve"> HYPERLINK \l "bookmark262" </w:instrText>
          </w:r>
          <w:r>
            <w:fldChar w:fldCharType="separate"/>
          </w:r>
          <w:r>
            <w:rPr>
              <w:rFonts w:ascii="宋体" w:hAnsi="宋体" w:eastAsia="宋体" w:cs="宋体"/>
              <w:spacing w:val="-2"/>
              <w:sz w:val="21"/>
              <w:szCs w:val="21"/>
            </w:rPr>
            <w:t>226</w:t>
          </w:r>
          <w:r>
            <w:rPr>
              <w:rFonts w:ascii="宋体" w:hAnsi="宋体" w:eastAsia="宋体" w:cs="宋体"/>
              <w:spacing w:val="-2"/>
              <w:sz w:val="21"/>
              <w:szCs w:val="21"/>
            </w:rPr>
            <w:fldChar w:fldCharType="end"/>
          </w:r>
        </w:p>
        <w:p w14:paraId="30653364">
          <w:pPr>
            <w:tabs>
              <w:tab w:val="right" w:leader="dot" w:pos="8317"/>
            </w:tabs>
            <w:spacing w:before="23" w:line="221" w:lineRule="auto"/>
            <w:ind w:left="863"/>
            <w:rPr>
              <w:rFonts w:ascii="宋体" w:hAnsi="宋体" w:eastAsia="宋体" w:cs="宋体"/>
              <w:sz w:val="21"/>
              <w:szCs w:val="21"/>
            </w:rPr>
          </w:pPr>
          <w:r>
            <w:rPr>
              <w:rFonts w:ascii="宋体" w:hAnsi="宋体" w:eastAsia="宋体" w:cs="宋体"/>
              <w:spacing w:val="-1"/>
              <w:sz w:val="21"/>
              <w:szCs w:val="21"/>
            </w:rPr>
            <w:t>5.适用规范和标准</w:t>
          </w:r>
          <w:r>
            <w:rPr>
              <w:rFonts w:ascii="宋体" w:hAnsi="宋体" w:eastAsia="宋体" w:cs="宋体"/>
              <w:spacing w:val="-81"/>
              <w:sz w:val="21"/>
              <w:szCs w:val="21"/>
            </w:rPr>
            <w:t xml:space="preserve"> </w:t>
          </w:r>
          <w:r>
            <w:rPr>
              <w:rFonts w:ascii="宋体" w:hAnsi="宋体" w:eastAsia="宋体" w:cs="宋体"/>
              <w:sz w:val="21"/>
              <w:szCs w:val="21"/>
            </w:rPr>
            <w:tab/>
          </w:r>
          <w:r>
            <w:rPr>
              <w:rFonts w:ascii="宋体" w:hAnsi="宋体" w:eastAsia="宋体" w:cs="宋体"/>
              <w:spacing w:val="-26"/>
              <w:sz w:val="21"/>
              <w:szCs w:val="21"/>
            </w:rPr>
            <w:t xml:space="preserve"> </w:t>
          </w:r>
          <w:r>
            <w:fldChar w:fldCharType="begin"/>
          </w:r>
          <w:r>
            <w:instrText xml:space="preserve"> HYPERLINK \l "bookmark263" </w:instrText>
          </w:r>
          <w:r>
            <w:fldChar w:fldCharType="separate"/>
          </w:r>
          <w:r>
            <w:rPr>
              <w:rFonts w:ascii="宋体" w:hAnsi="宋体" w:eastAsia="宋体" w:cs="宋体"/>
              <w:spacing w:val="-2"/>
              <w:sz w:val="21"/>
              <w:szCs w:val="21"/>
            </w:rPr>
            <w:t>227</w:t>
          </w:r>
          <w:r>
            <w:rPr>
              <w:rFonts w:ascii="宋体" w:hAnsi="宋体" w:eastAsia="宋体" w:cs="宋体"/>
              <w:spacing w:val="-2"/>
              <w:sz w:val="21"/>
              <w:szCs w:val="21"/>
            </w:rPr>
            <w:fldChar w:fldCharType="end"/>
          </w:r>
        </w:p>
        <w:p w14:paraId="7C9E9CE4">
          <w:pPr>
            <w:tabs>
              <w:tab w:val="right" w:leader="dot" w:pos="8317"/>
            </w:tabs>
            <w:spacing w:before="17" w:line="221" w:lineRule="auto"/>
            <w:ind w:left="860"/>
            <w:rPr>
              <w:rFonts w:ascii="宋体" w:hAnsi="宋体" w:eastAsia="宋体" w:cs="宋体"/>
              <w:sz w:val="21"/>
              <w:szCs w:val="21"/>
            </w:rPr>
          </w:pPr>
          <w:r>
            <w:rPr>
              <w:rFonts w:ascii="宋体" w:hAnsi="宋体" w:eastAsia="宋体" w:cs="宋体"/>
              <w:spacing w:val="-1"/>
              <w:sz w:val="21"/>
              <w:szCs w:val="21"/>
            </w:rPr>
            <w:t>6.安全文明施工</w:t>
          </w:r>
          <w:r>
            <w:rPr>
              <w:rFonts w:ascii="宋体" w:hAnsi="宋体" w:eastAsia="宋体" w:cs="宋体"/>
              <w:spacing w:val="-81"/>
              <w:sz w:val="21"/>
              <w:szCs w:val="21"/>
            </w:rPr>
            <w:t xml:space="preserve"> </w:t>
          </w:r>
          <w:r>
            <w:rPr>
              <w:rFonts w:ascii="宋体" w:hAnsi="宋体" w:eastAsia="宋体" w:cs="宋体"/>
              <w:sz w:val="21"/>
              <w:szCs w:val="21"/>
            </w:rPr>
            <w:tab/>
          </w:r>
          <w:r>
            <w:rPr>
              <w:rFonts w:ascii="宋体" w:hAnsi="宋体" w:eastAsia="宋体" w:cs="宋体"/>
              <w:spacing w:val="-26"/>
              <w:sz w:val="21"/>
              <w:szCs w:val="21"/>
            </w:rPr>
            <w:t xml:space="preserve"> </w:t>
          </w:r>
          <w:r>
            <w:fldChar w:fldCharType="begin"/>
          </w:r>
          <w:r>
            <w:instrText xml:space="preserve"> HYPERLINK \l "bookmark264" </w:instrText>
          </w:r>
          <w:r>
            <w:fldChar w:fldCharType="separate"/>
          </w:r>
          <w:r>
            <w:rPr>
              <w:rFonts w:ascii="宋体" w:hAnsi="宋体" w:eastAsia="宋体" w:cs="宋体"/>
              <w:spacing w:val="-2"/>
              <w:sz w:val="21"/>
              <w:szCs w:val="21"/>
            </w:rPr>
            <w:t>227</w:t>
          </w:r>
          <w:r>
            <w:rPr>
              <w:rFonts w:ascii="宋体" w:hAnsi="宋体" w:eastAsia="宋体" w:cs="宋体"/>
              <w:spacing w:val="-2"/>
              <w:sz w:val="21"/>
              <w:szCs w:val="21"/>
            </w:rPr>
            <w:fldChar w:fldCharType="end"/>
          </w:r>
        </w:p>
        <w:p w14:paraId="43D91AC6">
          <w:pPr>
            <w:tabs>
              <w:tab w:val="right" w:leader="dot" w:pos="8317"/>
            </w:tabs>
            <w:spacing w:before="23" w:line="221" w:lineRule="auto"/>
            <w:ind w:left="863"/>
            <w:rPr>
              <w:rFonts w:ascii="宋体" w:hAnsi="宋体" w:eastAsia="宋体" w:cs="宋体"/>
              <w:sz w:val="21"/>
              <w:szCs w:val="21"/>
            </w:rPr>
          </w:pPr>
          <w:r>
            <w:rPr>
              <w:rFonts w:ascii="宋体" w:hAnsi="宋体" w:eastAsia="宋体" w:cs="宋体"/>
              <w:spacing w:val="-2"/>
              <w:sz w:val="21"/>
              <w:szCs w:val="21"/>
            </w:rPr>
            <w:t>7.治安保卫</w:t>
          </w:r>
          <w:r>
            <w:rPr>
              <w:rFonts w:ascii="宋体" w:hAnsi="宋体" w:eastAsia="宋体" w:cs="宋体"/>
              <w:spacing w:val="-83"/>
              <w:sz w:val="21"/>
              <w:szCs w:val="21"/>
            </w:rPr>
            <w:t xml:space="preserve"> </w:t>
          </w:r>
          <w:r>
            <w:rPr>
              <w:rFonts w:ascii="宋体" w:hAnsi="宋体" w:eastAsia="宋体" w:cs="宋体"/>
              <w:sz w:val="21"/>
              <w:szCs w:val="21"/>
            </w:rPr>
            <w:tab/>
          </w:r>
          <w:r>
            <w:rPr>
              <w:rFonts w:ascii="宋体" w:hAnsi="宋体" w:eastAsia="宋体" w:cs="宋体"/>
              <w:spacing w:val="-26"/>
              <w:sz w:val="21"/>
              <w:szCs w:val="21"/>
            </w:rPr>
            <w:t xml:space="preserve"> </w:t>
          </w:r>
          <w:r>
            <w:fldChar w:fldCharType="begin"/>
          </w:r>
          <w:r>
            <w:instrText xml:space="preserve"> HYPERLINK \l "bookmark265" </w:instrText>
          </w:r>
          <w:r>
            <w:fldChar w:fldCharType="separate"/>
          </w:r>
          <w:r>
            <w:rPr>
              <w:rFonts w:ascii="宋体" w:hAnsi="宋体" w:eastAsia="宋体" w:cs="宋体"/>
              <w:spacing w:val="-2"/>
              <w:sz w:val="21"/>
              <w:szCs w:val="21"/>
            </w:rPr>
            <w:t>236</w:t>
          </w:r>
          <w:r>
            <w:rPr>
              <w:rFonts w:ascii="宋体" w:hAnsi="宋体" w:eastAsia="宋体" w:cs="宋体"/>
              <w:spacing w:val="-2"/>
              <w:sz w:val="21"/>
              <w:szCs w:val="21"/>
            </w:rPr>
            <w:fldChar w:fldCharType="end"/>
          </w:r>
        </w:p>
        <w:p w14:paraId="5AA90D41">
          <w:pPr>
            <w:tabs>
              <w:tab w:val="right" w:leader="dot" w:pos="8317"/>
            </w:tabs>
            <w:spacing w:before="21" w:line="221" w:lineRule="auto"/>
            <w:ind w:left="859"/>
            <w:rPr>
              <w:rFonts w:ascii="宋体" w:hAnsi="宋体" w:eastAsia="宋体" w:cs="宋体"/>
              <w:sz w:val="21"/>
              <w:szCs w:val="21"/>
            </w:rPr>
          </w:pPr>
          <w:r>
            <w:rPr>
              <w:rFonts w:ascii="宋体" w:hAnsi="宋体" w:eastAsia="宋体" w:cs="宋体"/>
              <w:spacing w:val="-1"/>
              <w:sz w:val="21"/>
              <w:szCs w:val="21"/>
            </w:rPr>
            <w:t>8.地上、地下设施和周边建筑物的临时保护</w:t>
          </w:r>
          <w:r>
            <w:rPr>
              <w:rFonts w:ascii="宋体" w:hAnsi="宋体" w:eastAsia="宋体" w:cs="宋体"/>
              <w:spacing w:val="-53"/>
              <w:sz w:val="21"/>
              <w:szCs w:val="21"/>
            </w:rPr>
            <w:t xml:space="preserve"> </w:t>
          </w:r>
          <w:r>
            <w:rPr>
              <w:rFonts w:ascii="宋体" w:hAnsi="宋体" w:eastAsia="宋体" w:cs="宋体"/>
              <w:sz w:val="21"/>
              <w:szCs w:val="21"/>
            </w:rPr>
            <w:tab/>
          </w:r>
          <w:r>
            <w:rPr>
              <w:rFonts w:ascii="宋体" w:hAnsi="宋体" w:eastAsia="宋体" w:cs="宋体"/>
              <w:spacing w:val="-25"/>
              <w:sz w:val="21"/>
              <w:szCs w:val="21"/>
            </w:rPr>
            <w:t xml:space="preserve"> </w:t>
          </w:r>
          <w:r>
            <w:fldChar w:fldCharType="begin"/>
          </w:r>
          <w:r>
            <w:instrText xml:space="preserve"> HYPERLINK \l "bookmark266" </w:instrText>
          </w:r>
          <w:r>
            <w:fldChar w:fldCharType="separate"/>
          </w:r>
          <w:r>
            <w:rPr>
              <w:rFonts w:ascii="宋体" w:hAnsi="宋体" w:eastAsia="宋体" w:cs="宋体"/>
              <w:spacing w:val="-2"/>
              <w:sz w:val="21"/>
              <w:szCs w:val="21"/>
            </w:rPr>
            <w:t>237</w:t>
          </w:r>
          <w:r>
            <w:rPr>
              <w:rFonts w:ascii="宋体" w:hAnsi="宋体" w:eastAsia="宋体" w:cs="宋体"/>
              <w:spacing w:val="-2"/>
              <w:sz w:val="21"/>
              <w:szCs w:val="21"/>
            </w:rPr>
            <w:fldChar w:fldCharType="end"/>
          </w:r>
        </w:p>
        <w:p w14:paraId="1209D247">
          <w:pPr>
            <w:tabs>
              <w:tab w:val="right" w:leader="dot" w:pos="8317"/>
            </w:tabs>
            <w:spacing w:before="23" w:line="220" w:lineRule="auto"/>
            <w:ind w:left="859"/>
            <w:rPr>
              <w:rFonts w:ascii="宋体" w:hAnsi="宋体" w:eastAsia="宋体" w:cs="宋体"/>
              <w:sz w:val="21"/>
              <w:szCs w:val="21"/>
            </w:rPr>
          </w:pPr>
          <w:r>
            <w:rPr>
              <w:rFonts w:ascii="宋体" w:hAnsi="宋体" w:eastAsia="宋体" w:cs="宋体"/>
              <w:spacing w:val="-1"/>
              <w:sz w:val="21"/>
              <w:szCs w:val="21"/>
            </w:rPr>
            <w:t>9.样品和材料代换</w:t>
          </w:r>
          <w:r>
            <w:rPr>
              <w:rFonts w:ascii="宋体" w:hAnsi="宋体" w:eastAsia="宋体" w:cs="宋体"/>
              <w:spacing w:val="-77"/>
              <w:sz w:val="21"/>
              <w:szCs w:val="21"/>
            </w:rPr>
            <w:t xml:space="preserve"> </w:t>
          </w:r>
          <w:r>
            <w:rPr>
              <w:rFonts w:ascii="宋体" w:hAnsi="宋体" w:eastAsia="宋体" w:cs="宋体"/>
              <w:sz w:val="21"/>
              <w:szCs w:val="21"/>
            </w:rPr>
            <w:tab/>
          </w:r>
          <w:r>
            <w:rPr>
              <w:rFonts w:ascii="宋体" w:hAnsi="宋体" w:eastAsia="宋体" w:cs="宋体"/>
              <w:spacing w:val="-26"/>
              <w:sz w:val="21"/>
              <w:szCs w:val="21"/>
            </w:rPr>
            <w:t xml:space="preserve"> </w:t>
          </w:r>
          <w:r>
            <w:fldChar w:fldCharType="begin"/>
          </w:r>
          <w:r>
            <w:instrText xml:space="preserve"> HYPERLINK \l "bookmark267" </w:instrText>
          </w:r>
          <w:r>
            <w:fldChar w:fldCharType="separate"/>
          </w:r>
          <w:r>
            <w:rPr>
              <w:rFonts w:ascii="宋体" w:hAnsi="宋体" w:eastAsia="宋体" w:cs="宋体"/>
              <w:spacing w:val="-2"/>
              <w:sz w:val="21"/>
              <w:szCs w:val="21"/>
            </w:rPr>
            <w:t>238</w:t>
          </w:r>
          <w:r>
            <w:rPr>
              <w:rFonts w:ascii="宋体" w:hAnsi="宋体" w:eastAsia="宋体" w:cs="宋体"/>
              <w:spacing w:val="-2"/>
              <w:sz w:val="21"/>
              <w:szCs w:val="21"/>
            </w:rPr>
            <w:fldChar w:fldCharType="end"/>
          </w:r>
        </w:p>
        <w:p w14:paraId="3C471F98">
          <w:pPr>
            <w:tabs>
              <w:tab w:val="right" w:leader="dot" w:pos="8317"/>
            </w:tabs>
            <w:spacing w:before="18" w:line="220" w:lineRule="auto"/>
            <w:ind w:left="874"/>
            <w:rPr>
              <w:rFonts w:ascii="宋体" w:hAnsi="宋体" w:eastAsia="宋体" w:cs="宋体"/>
              <w:sz w:val="21"/>
              <w:szCs w:val="21"/>
            </w:rPr>
          </w:pPr>
          <w:r>
            <w:rPr>
              <w:rFonts w:ascii="宋体" w:hAnsi="宋体" w:eastAsia="宋体" w:cs="宋体"/>
              <w:spacing w:val="-2"/>
              <w:sz w:val="21"/>
              <w:szCs w:val="21"/>
            </w:rPr>
            <w:t>10.进口材料和工程设备</w:t>
          </w:r>
          <w:r>
            <w:rPr>
              <w:rFonts w:ascii="宋体" w:hAnsi="宋体" w:eastAsia="宋体" w:cs="宋体"/>
              <w:spacing w:val="-74"/>
              <w:sz w:val="21"/>
              <w:szCs w:val="21"/>
            </w:rPr>
            <w:t xml:space="preserve"> </w:t>
          </w:r>
          <w:r>
            <w:rPr>
              <w:rFonts w:ascii="宋体" w:hAnsi="宋体" w:eastAsia="宋体" w:cs="宋体"/>
              <w:sz w:val="21"/>
              <w:szCs w:val="21"/>
            </w:rPr>
            <w:tab/>
          </w:r>
          <w:r>
            <w:rPr>
              <w:rFonts w:ascii="宋体" w:hAnsi="宋体" w:eastAsia="宋体" w:cs="宋体"/>
              <w:spacing w:val="-26"/>
              <w:sz w:val="21"/>
              <w:szCs w:val="21"/>
            </w:rPr>
            <w:t xml:space="preserve"> </w:t>
          </w:r>
          <w:r>
            <w:fldChar w:fldCharType="begin"/>
          </w:r>
          <w:r>
            <w:instrText xml:space="preserve"> HYPERLINK \l "bookmark268" </w:instrText>
          </w:r>
          <w:r>
            <w:fldChar w:fldCharType="separate"/>
          </w:r>
          <w:r>
            <w:rPr>
              <w:rFonts w:ascii="宋体" w:hAnsi="宋体" w:eastAsia="宋体" w:cs="宋体"/>
              <w:spacing w:val="-2"/>
              <w:sz w:val="21"/>
              <w:szCs w:val="21"/>
            </w:rPr>
            <w:t>239</w:t>
          </w:r>
          <w:r>
            <w:rPr>
              <w:rFonts w:ascii="宋体" w:hAnsi="宋体" w:eastAsia="宋体" w:cs="宋体"/>
              <w:spacing w:val="-2"/>
              <w:sz w:val="21"/>
              <w:szCs w:val="21"/>
            </w:rPr>
            <w:fldChar w:fldCharType="end"/>
          </w:r>
        </w:p>
        <w:p w14:paraId="686E3348">
          <w:pPr>
            <w:tabs>
              <w:tab w:val="right" w:leader="dot" w:pos="8317"/>
            </w:tabs>
            <w:spacing w:before="24" w:line="219" w:lineRule="auto"/>
            <w:ind w:left="874"/>
            <w:rPr>
              <w:rFonts w:ascii="宋体" w:hAnsi="宋体" w:eastAsia="宋体" w:cs="宋体"/>
              <w:sz w:val="21"/>
              <w:szCs w:val="21"/>
            </w:rPr>
          </w:pPr>
          <w:r>
            <w:rPr>
              <w:rFonts w:ascii="宋体" w:hAnsi="宋体" w:eastAsia="宋体" w:cs="宋体"/>
              <w:spacing w:val="-2"/>
              <w:sz w:val="21"/>
              <w:szCs w:val="21"/>
            </w:rPr>
            <w:t>11.进度报告和进度例会</w:t>
          </w:r>
          <w:r>
            <w:rPr>
              <w:rFonts w:ascii="宋体" w:hAnsi="宋体" w:eastAsia="宋体" w:cs="宋体"/>
              <w:spacing w:val="-74"/>
              <w:sz w:val="21"/>
              <w:szCs w:val="21"/>
            </w:rPr>
            <w:t xml:space="preserve"> </w:t>
          </w:r>
          <w:r>
            <w:rPr>
              <w:rFonts w:ascii="宋体" w:hAnsi="宋体" w:eastAsia="宋体" w:cs="宋体"/>
              <w:sz w:val="21"/>
              <w:szCs w:val="21"/>
            </w:rPr>
            <w:tab/>
          </w:r>
          <w:r>
            <w:rPr>
              <w:rFonts w:ascii="宋体" w:hAnsi="宋体" w:eastAsia="宋体" w:cs="宋体"/>
              <w:spacing w:val="-26"/>
              <w:sz w:val="21"/>
              <w:szCs w:val="21"/>
            </w:rPr>
            <w:t xml:space="preserve"> </w:t>
          </w:r>
          <w:r>
            <w:fldChar w:fldCharType="begin"/>
          </w:r>
          <w:r>
            <w:instrText xml:space="preserve"> HYPERLINK \l "bookmark269" </w:instrText>
          </w:r>
          <w:r>
            <w:fldChar w:fldCharType="separate"/>
          </w:r>
          <w:r>
            <w:rPr>
              <w:rFonts w:ascii="宋体" w:hAnsi="宋体" w:eastAsia="宋体" w:cs="宋体"/>
              <w:spacing w:val="-2"/>
              <w:sz w:val="21"/>
              <w:szCs w:val="21"/>
            </w:rPr>
            <w:t>239</w:t>
          </w:r>
          <w:r>
            <w:rPr>
              <w:rFonts w:ascii="宋体" w:hAnsi="宋体" w:eastAsia="宋体" w:cs="宋体"/>
              <w:spacing w:val="-2"/>
              <w:sz w:val="21"/>
              <w:szCs w:val="21"/>
            </w:rPr>
            <w:fldChar w:fldCharType="end"/>
          </w:r>
        </w:p>
        <w:p w14:paraId="39152D1F">
          <w:pPr>
            <w:tabs>
              <w:tab w:val="right" w:leader="dot" w:pos="8317"/>
            </w:tabs>
            <w:spacing w:before="24" w:line="221" w:lineRule="auto"/>
            <w:ind w:left="874"/>
            <w:rPr>
              <w:rFonts w:ascii="宋体" w:hAnsi="宋体" w:eastAsia="宋体" w:cs="宋体"/>
              <w:sz w:val="21"/>
              <w:szCs w:val="21"/>
            </w:rPr>
          </w:pPr>
          <w:r>
            <w:rPr>
              <w:rFonts w:ascii="宋体" w:hAnsi="宋体" w:eastAsia="宋体" w:cs="宋体"/>
              <w:spacing w:val="-3"/>
              <w:sz w:val="21"/>
              <w:szCs w:val="21"/>
            </w:rPr>
            <w:t>12.试验和检验</w:t>
          </w:r>
          <w:r>
            <w:rPr>
              <w:rFonts w:ascii="宋体" w:hAnsi="宋体" w:eastAsia="宋体" w:cs="宋体"/>
              <w:spacing w:val="-79"/>
              <w:sz w:val="21"/>
              <w:szCs w:val="21"/>
            </w:rPr>
            <w:t xml:space="preserve"> </w:t>
          </w:r>
          <w:r>
            <w:rPr>
              <w:rFonts w:ascii="宋体" w:hAnsi="宋体" w:eastAsia="宋体" w:cs="宋体"/>
              <w:sz w:val="21"/>
              <w:szCs w:val="21"/>
            </w:rPr>
            <w:tab/>
          </w:r>
          <w:r>
            <w:rPr>
              <w:rFonts w:ascii="宋体" w:hAnsi="宋体" w:eastAsia="宋体" w:cs="宋体"/>
              <w:spacing w:val="-26"/>
              <w:sz w:val="21"/>
              <w:szCs w:val="21"/>
            </w:rPr>
            <w:t xml:space="preserve"> </w:t>
          </w:r>
          <w:r>
            <w:fldChar w:fldCharType="begin"/>
          </w:r>
          <w:r>
            <w:instrText xml:space="preserve"> HYPERLINK \l "bookmark270" </w:instrText>
          </w:r>
          <w:r>
            <w:fldChar w:fldCharType="separate"/>
          </w:r>
          <w:r>
            <w:rPr>
              <w:rFonts w:ascii="宋体" w:hAnsi="宋体" w:eastAsia="宋体" w:cs="宋体"/>
              <w:spacing w:val="-2"/>
              <w:sz w:val="21"/>
              <w:szCs w:val="21"/>
            </w:rPr>
            <w:t>241</w:t>
          </w:r>
          <w:r>
            <w:rPr>
              <w:rFonts w:ascii="宋体" w:hAnsi="宋体" w:eastAsia="宋体" w:cs="宋体"/>
              <w:spacing w:val="-2"/>
              <w:sz w:val="21"/>
              <w:szCs w:val="21"/>
            </w:rPr>
            <w:fldChar w:fldCharType="end"/>
          </w:r>
        </w:p>
        <w:p w14:paraId="630EC171">
          <w:pPr>
            <w:tabs>
              <w:tab w:val="right" w:leader="dot" w:pos="8317"/>
            </w:tabs>
            <w:spacing w:before="18" w:line="222" w:lineRule="auto"/>
            <w:ind w:left="874"/>
            <w:rPr>
              <w:rFonts w:ascii="宋体" w:hAnsi="宋体" w:eastAsia="宋体" w:cs="宋体"/>
              <w:sz w:val="21"/>
              <w:szCs w:val="21"/>
            </w:rPr>
          </w:pPr>
          <w:r>
            <w:rPr>
              <w:rFonts w:ascii="宋体" w:hAnsi="宋体" w:eastAsia="宋体" w:cs="宋体"/>
              <w:spacing w:val="-4"/>
              <w:sz w:val="21"/>
              <w:szCs w:val="21"/>
            </w:rPr>
            <w:t>13.计日工</w:t>
          </w:r>
          <w:r>
            <w:rPr>
              <w:rFonts w:ascii="宋体" w:hAnsi="宋体" w:eastAsia="宋体" w:cs="宋体"/>
              <w:spacing w:val="-82"/>
              <w:sz w:val="21"/>
              <w:szCs w:val="21"/>
            </w:rPr>
            <w:t xml:space="preserve"> </w:t>
          </w:r>
          <w:r>
            <w:rPr>
              <w:rFonts w:ascii="宋体" w:hAnsi="宋体" w:eastAsia="宋体" w:cs="宋体"/>
              <w:sz w:val="21"/>
              <w:szCs w:val="21"/>
            </w:rPr>
            <w:tab/>
          </w:r>
          <w:r>
            <w:rPr>
              <w:rFonts w:ascii="宋体" w:hAnsi="宋体" w:eastAsia="宋体" w:cs="宋体"/>
              <w:spacing w:val="-26"/>
              <w:sz w:val="21"/>
              <w:szCs w:val="21"/>
            </w:rPr>
            <w:t xml:space="preserve"> </w:t>
          </w:r>
          <w:r>
            <w:fldChar w:fldCharType="begin"/>
          </w:r>
          <w:r>
            <w:instrText xml:space="preserve"> HYPERLINK \l "bookmark271" </w:instrText>
          </w:r>
          <w:r>
            <w:fldChar w:fldCharType="separate"/>
          </w:r>
          <w:r>
            <w:rPr>
              <w:rFonts w:ascii="宋体" w:hAnsi="宋体" w:eastAsia="宋体" w:cs="宋体"/>
              <w:spacing w:val="-2"/>
              <w:sz w:val="21"/>
              <w:szCs w:val="21"/>
            </w:rPr>
            <w:t>242</w:t>
          </w:r>
          <w:r>
            <w:rPr>
              <w:rFonts w:ascii="宋体" w:hAnsi="宋体" w:eastAsia="宋体" w:cs="宋体"/>
              <w:spacing w:val="-2"/>
              <w:sz w:val="21"/>
              <w:szCs w:val="21"/>
            </w:rPr>
            <w:fldChar w:fldCharType="end"/>
          </w:r>
        </w:p>
        <w:p w14:paraId="4DDE471D">
          <w:pPr>
            <w:tabs>
              <w:tab w:val="right" w:leader="dot" w:pos="8317"/>
            </w:tabs>
            <w:spacing w:before="21" w:line="221" w:lineRule="auto"/>
            <w:ind w:left="874"/>
            <w:rPr>
              <w:rFonts w:ascii="宋体" w:hAnsi="宋体" w:eastAsia="宋体" w:cs="宋体"/>
              <w:sz w:val="21"/>
              <w:szCs w:val="21"/>
            </w:rPr>
          </w:pPr>
          <w:r>
            <w:rPr>
              <w:rFonts w:ascii="宋体" w:hAnsi="宋体" w:eastAsia="宋体" w:cs="宋体"/>
              <w:spacing w:val="-3"/>
              <w:sz w:val="21"/>
              <w:szCs w:val="21"/>
            </w:rPr>
            <w:t>14.计量与支付</w:t>
          </w:r>
          <w:r>
            <w:rPr>
              <w:rFonts w:ascii="宋体" w:hAnsi="宋体" w:eastAsia="宋体" w:cs="宋体"/>
              <w:spacing w:val="-79"/>
              <w:sz w:val="21"/>
              <w:szCs w:val="21"/>
            </w:rPr>
            <w:t xml:space="preserve"> </w:t>
          </w:r>
          <w:r>
            <w:rPr>
              <w:rFonts w:ascii="宋体" w:hAnsi="宋体" w:eastAsia="宋体" w:cs="宋体"/>
              <w:sz w:val="21"/>
              <w:szCs w:val="21"/>
            </w:rPr>
            <w:tab/>
          </w:r>
          <w:r>
            <w:rPr>
              <w:rFonts w:ascii="宋体" w:hAnsi="宋体" w:eastAsia="宋体" w:cs="宋体"/>
              <w:spacing w:val="-26"/>
              <w:sz w:val="21"/>
              <w:szCs w:val="21"/>
            </w:rPr>
            <w:t xml:space="preserve"> </w:t>
          </w:r>
          <w:r>
            <w:fldChar w:fldCharType="begin"/>
          </w:r>
          <w:r>
            <w:instrText xml:space="preserve"> HYPERLINK \l "bookmark272" </w:instrText>
          </w:r>
          <w:r>
            <w:fldChar w:fldCharType="separate"/>
          </w:r>
          <w:r>
            <w:rPr>
              <w:rFonts w:ascii="宋体" w:hAnsi="宋体" w:eastAsia="宋体" w:cs="宋体"/>
              <w:spacing w:val="-2"/>
              <w:sz w:val="21"/>
              <w:szCs w:val="21"/>
            </w:rPr>
            <w:t>243</w:t>
          </w:r>
          <w:r>
            <w:rPr>
              <w:rFonts w:ascii="宋体" w:hAnsi="宋体" w:eastAsia="宋体" w:cs="宋体"/>
              <w:spacing w:val="-2"/>
              <w:sz w:val="21"/>
              <w:szCs w:val="21"/>
            </w:rPr>
            <w:fldChar w:fldCharType="end"/>
          </w:r>
        </w:p>
        <w:p w14:paraId="009C9456">
          <w:pPr>
            <w:tabs>
              <w:tab w:val="right" w:leader="dot" w:pos="8317"/>
            </w:tabs>
            <w:spacing w:before="22" w:line="221" w:lineRule="auto"/>
            <w:ind w:left="874"/>
            <w:rPr>
              <w:rFonts w:ascii="宋体" w:hAnsi="宋体" w:eastAsia="宋体" w:cs="宋体"/>
              <w:sz w:val="21"/>
              <w:szCs w:val="21"/>
            </w:rPr>
          </w:pPr>
          <w:r>
            <w:rPr>
              <w:rFonts w:ascii="宋体" w:hAnsi="宋体" w:eastAsia="宋体" w:cs="宋体"/>
              <w:spacing w:val="-2"/>
              <w:sz w:val="21"/>
              <w:szCs w:val="21"/>
            </w:rPr>
            <w:t>15.竣工验收和工程移交</w:t>
          </w:r>
          <w:r>
            <w:rPr>
              <w:rFonts w:ascii="宋体" w:hAnsi="宋体" w:eastAsia="宋体" w:cs="宋体"/>
              <w:spacing w:val="-74"/>
              <w:sz w:val="21"/>
              <w:szCs w:val="21"/>
            </w:rPr>
            <w:t xml:space="preserve"> </w:t>
          </w:r>
          <w:r>
            <w:rPr>
              <w:rFonts w:ascii="宋体" w:hAnsi="宋体" w:eastAsia="宋体" w:cs="宋体"/>
              <w:sz w:val="21"/>
              <w:szCs w:val="21"/>
            </w:rPr>
            <w:tab/>
          </w:r>
          <w:r>
            <w:rPr>
              <w:rFonts w:ascii="宋体" w:hAnsi="宋体" w:eastAsia="宋体" w:cs="宋体"/>
              <w:spacing w:val="-26"/>
              <w:sz w:val="21"/>
              <w:szCs w:val="21"/>
            </w:rPr>
            <w:t xml:space="preserve"> </w:t>
          </w:r>
          <w:r>
            <w:fldChar w:fldCharType="begin"/>
          </w:r>
          <w:r>
            <w:instrText xml:space="preserve"> HYPERLINK \l "bookmark273" </w:instrText>
          </w:r>
          <w:r>
            <w:fldChar w:fldCharType="separate"/>
          </w:r>
          <w:r>
            <w:rPr>
              <w:rFonts w:ascii="宋体" w:hAnsi="宋体" w:eastAsia="宋体" w:cs="宋体"/>
              <w:spacing w:val="-2"/>
              <w:sz w:val="21"/>
              <w:szCs w:val="21"/>
            </w:rPr>
            <w:t>244</w:t>
          </w:r>
          <w:r>
            <w:rPr>
              <w:rFonts w:ascii="宋体" w:hAnsi="宋体" w:eastAsia="宋体" w:cs="宋体"/>
              <w:spacing w:val="-2"/>
              <w:sz w:val="21"/>
              <w:szCs w:val="21"/>
            </w:rPr>
            <w:fldChar w:fldCharType="end"/>
          </w:r>
        </w:p>
        <w:p w14:paraId="3CED1035">
          <w:pPr>
            <w:tabs>
              <w:tab w:val="right" w:leader="dot" w:pos="8317"/>
            </w:tabs>
            <w:spacing w:before="23" w:line="221" w:lineRule="auto"/>
            <w:ind w:left="874"/>
            <w:rPr>
              <w:rFonts w:ascii="宋体" w:hAnsi="宋体" w:eastAsia="宋体" w:cs="宋体"/>
              <w:sz w:val="21"/>
              <w:szCs w:val="21"/>
            </w:rPr>
          </w:pPr>
          <w:r>
            <w:rPr>
              <w:rFonts w:ascii="宋体" w:hAnsi="宋体" w:eastAsia="宋体" w:cs="宋体"/>
              <w:spacing w:val="-3"/>
              <w:sz w:val="21"/>
              <w:szCs w:val="21"/>
            </w:rPr>
            <w:t>16.其他要求</w:t>
          </w:r>
          <w:r>
            <w:rPr>
              <w:rFonts w:ascii="宋体" w:hAnsi="宋体" w:eastAsia="宋体" w:cs="宋体"/>
              <w:spacing w:val="-84"/>
              <w:sz w:val="21"/>
              <w:szCs w:val="21"/>
            </w:rPr>
            <w:t xml:space="preserve"> </w:t>
          </w:r>
          <w:r>
            <w:rPr>
              <w:rFonts w:ascii="宋体" w:hAnsi="宋体" w:eastAsia="宋体" w:cs="宋体"/>
              <w:sz w:val="21"/>
              <w:szCs w:val="21"/>
            </w:rPr>
            <w:tab/>
          </w:r>
          <w:r>
            <w:rPr>
              <w:rFonts w:ascii="宋体" w:hAnsi="宋体" w:eastAsia="宋体" w:cs="宋体"/>
              <w:spacing w:val="-26"/>
              <w:sz w:val="21"/>
              <w:szCs w:val="21"/>
            </w:rPr>
            <w:t xml:space="preserve"> </w:t>
          </w:r>
          <w:r>
            <w:fldChar w:fldCharType="begin"/>
          </w:r>
          <w:r>
            <w:instrText xml:space="preserve"> HYPERLINK \l "bookmark274" </w:instrText>
          </w:r>
          <w:r>
            <w:fldChar w:fldCharType="separate"/>
          </w:r>
          <w:r>
            <w:rPr>
              <w:rFonts w:ascii="宋体" w:hAnsi="宋体" w:eastAsia="宋体" w:cs="宋体"/>
              <w:spacing w:val="-2"/>
              <w:sz w:val="21"/>
              <w:szCs w:val="21"/>
            </w:rPr>
            <w:t>246</w:t>
          </w:r>
          <w:r>
            <w:rPr>
              <w:rFonts w:ascii="宋体" w:hAnsi="宋体" w:eastAsia="宋体" w:cs="宋体"/>
              <w:spacing w:val="-2"/>
              <w:sz w:val="21"/>
              <w:szCs w:val="21"/>
            </w:rPr>
            <w:fldChar w:fldCharType="end"/>
          </w:r>
        </w:p>
        <w:p w14:paraId="58D4335E">
          <w:pPr>
            <w:tabs>
              <w:tab w:val="right" w:leader="dot" w:pos="8317"/>
            </w:tabs>
            <w:spacing w:before="16" w:line="221" w:lineRule="auto"/>
            <w:ind w:left="441"/>
            <w:rPr>
              <w:rFonts w:ascii="宋体" w:hAnsi="宋体" w:eastAsia="宋体" w:cs="宋体"/>
              <w:sz w:val="21"/>
              <w:szCs w:val="21"/>
            </w:rPr>
          </w:pPr>
          <w:r>
            <w:rPr>
              <w:rFonts w:ascii="宋体" w:hAnsi="宋体" w:eastAsia="宋体" w:cs="宋体"/>
              <w:spacing w:val="-1"/>
              <w:sz w:val="21"/>
              <w:szCs w:val="21"/>
            </w:rPr>
            <w:t>第二节  特殊技术标准和要求</w:t>
          </w:r>
          <w:r>
            <w:rPr>
              <w:rFonts w:ascii="宋体" w:hAnsi="宋体" w:eastAsia="宋体" w:cs="宋体"/>
              <w:spacing w:val="-70"/>
              <w:sz w:val="21"/>
              <w:szCs w:val="21"/>
            </w:rPr>
            <w:t xml:space="preserve"> </w:t>
          </w:r>
          <w:r>
            <w:rPr>
              <w:rFonts w:ascii="宋体" w:hAnsi="宋体" w:eastAsia="宋体" w:cs="宋体"/>
              <w:sz w:val="21"/>
              <w:szCs w:val="21"/>
            </w:rPr>
            <w:tab/>
          </w:r>
          <w:r>
            <w:rPr>
              <w:rFonts w:ascii="宋体" w:hAnsi="宋体" w:eastAsia="宋体" w:cs="宋体"/>
              <w:spacing w:val="-26"/>
              <w:sz w:val="21"/>
              <w:szCs w:val="21"/>
            </w:rPr>
            <w:t xml:space="preserve"> </w:t>
          </w:r>
          <w:r>
            <w:fldChar w:fldCharType="begin"/>
          </w:r>
          <w:r>
            <w:instrText xml:space="preserve"> HYPERLINK \l "bookmark275" </w:instrText>
          </w:r>
          <w:r>
            <w:fldChar w:fldCharType="separate"/>
          </w:r>
          <w:r>
            <w:rPr>
              <w:rFonts w:ascii="宋体" w:hAnsi="宋体" w:eastAsia="宋体" w:cs="宋体"/>
              <w:spacing w:val="-2"/>
              <w:sz w:val="21"/>
              <w:szCs w:val="21"/>
            </w:rPr>
            <w:t>247</w:t>
          </w:r>
          <w:r>
            <w:rPr>
              <w:rFonts w:ascii="宋体" w:hAnsi="宋体" w:eastAsia="宋体" w:cs="宋体"/>
              <w:spacing w:val="-2"/>
              <w:sz w:val="21"/>
              <w:szCs w:val="21"/>
            </w:rPr>
            <w:fldChar w:fldCharType="end"/>
          </w:r>
        </w:p>
        <w:p w14:paraId="26A5F0C8">
          <w:pPr>
            <w:tabs>
              <w:tab w:val="right" w:leader="dot" w:pos="8317"/>
            </w:tabs>
            <w:spacing w:before="23" w:line="220" w:lineRule="auto"/>
            <w:ind w:left="874"/>
            <w:rPr>
              <w:rFonts w:ascii="宋体" w:hAnsi="宋体" w:eastAsia="宋体" w:cs="宋体"/>
              <w:sz w:val="21"/>
              <w:szCs w:val="21"/>
            </w:rPr>
          </w:pPr>
          <w:r>
            <w:rPr>
              <w:rFonts w:ascii="宋体" w:hAnsi="宋体" w:eastAsia="宋体" w:cs="宋体"/>
              <w:spacing w:val="-2"/>
              <w:sz w:val="21"/>
              <w:szCs w:val="21"/>
            </w:rPr>
            <w:t>1．材料和工程设备技术要求</w:t>
          </w:r>
          <w:r>
            <w:rPr>
              <w:rFonts w:ascii="宋体" w:hAnsi="宋体" w:eastAsia="宋体" w:cs="宋体"/>
              <w:spacing w:val="-70"/>
              <w:sz w:val="21"/>
              <w:szCs w:val="21"/>
            </w:rPr>
            <w:t xml:space="preserve"> </w:t>
          </w:r>
          <w:r>
            <w:rPr>
              <w:rFonts w:ascii="宋体" w:hAnsi="宋体" w:eastAsia="宋体" w:cs="宋体"/>
              <w:sz w:val="21"/>
              <w:szCs w:val="21"/>
            </w:rPr>
            <w:tab/>
          </w:r>
          <w:r>
            <w:rPr>
              <w:rFonts w:ascii="宋体" w:hAnsi="宋体" w:eastAsia="宋体" w:cs="宋体"/>
              <w:spacing w:val="-26"/>
              <w:sz w:val="21"/>
              <w:szCs w:val="21"/>
            </w:rPr>
            <w:t xml:space="preserve"> </w:t>
          </w:r>
          <w:r>
            <w:fldChar w:fldCharType="begin"/>
          </w:r>
          <w:r>
            <w:instrText xml:space="preserve"> HYPERLINK \l "bookmark276" </w:instrText>
          </w:r>
          <w:r>
            <w:fldChar w:fldCharType="separate"/>
          </w:r>
          <w:r>
            <w:rPr>
              <w:rFonts w:ascii="宋体" w:hAnsi="宋体" w:eastAsia="宋体" w:cs="宋体"/>
              <w:spacing w:val="-2"/>
              <w:sz w:val="21"/>
              <w:szCs w:val="21"/>
            </w:rPr>
            <w:t>247</w:t>
          </w:r>
          <w:r>
            <w:rPr>
              <w:rFonts w:ascii="宋体" w:hAnsi="宋体" w:eastAsia="宋体" w:cs="宋体"/>
              <w:spacing w:val="-2"/>
              <w:sz w:val="21"/>
              <w:szCs w:val="21"/>
            </w:rPr>
            <w:fldChar w:fldCharType="end"/>
          </w:r>
        </w:p>
        <w:p w14:paraId="35E6F5AB">
          <w:pPr>
            <w:tabs>
              <w:tab w:val="right" w:leader="dot" w:pos="8317"/>
            </w:tabs>
            <w:spacing w:before="23" w:line="221" w:lineRule="auto"/>
            <w:ind w:left="861"/>
            <w:rPr>
              <w:rFonts w:ascii="宋体" w:hAnsi="宋体" w:eastAsia="宋体" w:cs="宋体"/>
              <w:sz w:val="21"/>
              <w:szCs w:val="21"/>
            </w:rPr>
          </w:pPr>
          <w:r>
            <w:rPr>
              <w:rFonts w:ascii="宋体" w:hAnsi="宋体" w:eastAsia="宋体" w:cs="宋体"/>
              <w:spacing w:val="-1"/>
              <w:sz w:val="21"/>
              <w:szCs w:val="21"/>
            </w:rPr>
            <w:t>2．特殊技术要求</w:t>
          </w:r>
          <w:r>
            <w:rPr>
              <w:rFonts w:ascii="宋体" w:hAnsi="宋体" w:eastAsia="宋体" w:cs="宋体"/>
              <w:spacing w:val="-81"/>
              <w:sz w:val="21"/>
              <w:szCs w:val="21"/>
            </w:rPr>
            <w:t xml:space="preserve"> </w:t>
          </w:r>
          <w:r>
            <w:rPr>
              <w:rFonts w:ascii="宋体" w:hAnsi="宋体" w:eastAsia="宋体" w:cs="宋体"/>
              <w:sz w:val="21"/>
              <w:szCs w:val="21"/>
            </w:rPr>
            <w:tab/>
          </w:r>
          <w:r>
            <w:rPr>
              <w:rFonts w:ascii="宋体" w:hAnsi="宋体" w:eastAsia="宋体" w:cs="宋体"/>
              <w:spacing w:val="-26"/>
              <w:sz w:val="21"/>
              <w:szCs w:val="21"/>
            </w:rPr>
            <w:t xml:space="preserve"> </w:t>
          </w:r>
          <w:r>
            <w:fldChar w:fldCharType="begin"/>
          </w:r>
          <w:r>
            <w:instrText xml:space="preserve"> HYPERLINK \l "bookmark277" </w:instrText>
          </w:r>
          <w:r>
            <w:fldChar w:fldCharType="separate"/>
          </w:r>
          <w:r>
            <w:rPr>
              <w:rFonts w:ascii="宋体" w:hAnsi="宋体" w:eastAsia="宋体" w:cs="宋体"/>
              <w:spacing w:val="-2"/>
              <w:sz w:val="21"/>
              <w:szCs w:val="21"/>
            </w:rPr>
            <w:t>247</w:t>
          </w:r>
          <w:r>
            <w:rPr>
              <w:rFonts w:ascii="宋体" w:hAnsi="宋体" w:eastAsia="宋体" w:cs="宋体"/>
              <w:spacing w:val="-2"/>
              <w:sz w:val="21"/>
              <w:szCs w:val="21"/>
            </w:rPr>
            <w:fldChar w:fldCharType="end"/>
          </w:r>
        </w:p>
        <w:p w14:paraId="5FA8BD24">
          <w:pPr>
            <w:tabs>
              <w:tab w:val="right" w:leader="dot" w:pos="8317"/>
            </w:tabs>
            <w:spacing w:before="23" w:line="220" w:lineRule="auto"/>
            <w:ind w:left="863"/>
            <w:rPr>
              <w:rFonts w:ascii="宋体" w:hAnsi="宋体" w:eastAsia="宋体" w:cs="宋体"/>
              <w:sz w:val="21"/>
              <w:szCs w:val="21"/>
            </w:rPr>
          </w:pPr>
          <w:r>
            <w:rPr>
              <w:rFonts w:ascii="宋体" w:hAnsi="宋体" w:eastAsia="宋体" w:cs="宋体"/>
              <w:spacing w:val="-1"/>
              <w:sz w:val="21"/>
              <w:szCs w:val="21"/>
            </w:rPr>
            <w:t>3．新技术、新工艺和新材料</w:t>
          </w:r>
          <w:r>
            <w:rPr>
              <w:rFonts w:ascii="宋体" w:hAnsi="宋体" w:eastAsia="宋体" w:cs="宋体"/>
              <w:spacing w:val="-71"/>
              <w:sz w:val="21"/>
              <w:szCs w:val="21"/>
            </w:rPr>
            <w:t xml:space="preserve"> </w:t>
          </w:r>
          <w:r>
            <w:rPr>
              <w:rFonts w:ascii="宋体" w:hAnsi="宋体" w:eastAsia="宋体" w:cs="宋体"/>
              <w:sz w:val="21"/>
              <w:szCs w:val="21"/>
            </w:rPr>
            <w:tab/>
          </w:r>
          <w:r>
            <w:rPr>
              <w:rFonts w:ascii="宋体" w:hAnsi="宋体" w:eastAsia="宋体" w:cs="宋体"/>
              <w:spacing w:val="-26"/>
              <w:sz w:val="21"/>
              <w:szCs w:val="21"/>
            </w:rPr>
            <w:t xml:space="preserve"> </w:t>
          </w:r>
          <w:r>
            <w:fldChar w:fldCharType="begin"/>
          </w:r>
          <w:r>
            <w:instrText xml:space="preserve"> HYPERLINK \l "bookmark278" </w:instrText>
          </w:r>
          <w:r>
            <w:fldChar w:fldCharType="separate"/>
          </w:r>
          <w:r>
            <w:rPr>
              <w:rFonts w:ascii="宋体" w:hAnsi="宋体" w:eastAsia="宋体" w:cs="宋体"/>
              <w:spacing w:val="-2"/>
              <w:sz w:val="21"/>
              <w:szCs w:val="21"/>
            </w:rPr>
            <w:t>247</w:t>
          </w:r>
          <w:r>
            <w:rPr>
              <w:rFonts w:ascii="宋体" w:hAnsi="宋体" w:eastAsia="宋体" w:cs="宋体"/>
              <w:spacing w:val="-2"/>
              <w:sz w:val="21"/>
              <w:szCs w:val="21"/>
            </w:rPr>
            <w:fldChar w:fldCharType="end"/>
          </w:r>
        </w:p>
        <w:p w14:paraId="3505BF00">
          <w:pPr>
            <w:tabs>
              <w:tab w:val="right" w:leader="dot" w:pos="8317"/>
            </w:tabs>
            <w:spacing w:before="18" w:line="221" w:lineRule="auto"/>
            <w:ind w:left="857"/>
            <w:rPr>
              <w:rFonts w:ascii="宋体" w:hAnsi="宋体" w:eastAsia="宋体" w:cs="宋体"/>
              <w:sz w:val="21"/>
              <w:szCs w:val="21"/>
            </w:rPr>
          </w:pPr>
          <w:r>
            <w:rPr>
              <w:rFonts w:ascii="宋体" w:hAnsi="宋体" w:eastAsia="宋体" w:cs="宋体"/>
              <w:spacing w:val="-1"/>
              <w:sz w:val="21"/>
              <w:szCs w:val="21"/>
            </w:rPr>
            <w:t>4．其他特殊技术标准和要求</w:t>
          </w:r>
          <w:r>
            <w:rPr>
              <w:rFonts w:ascii="宋体" w:hAnsi="宋体" w:eastAsia="宋体" w:cs="宋体"/>
              <w:spacing w:val="-66"/>
              <w:sz w:val="21"/>
              <w:szCs w:val="21"/>
            </w:rPr>
            <w:t xml:space="preserve"> </w:t>
          </w:r>
          <w:r>
            <w:rPr>
              <w:rFonts w:ascii="宋体" w:hAnsi="宋体" w:eastAsia="宋体" w:cs="宋体"/>
              <w:sz w:val="21"/>
              <w:szCs w:val="21"/>
            </w:rPr>
            <w:tab/>
          </w:r>
          <w:r>
            <w:rPr>
              <w:rFonts w:ascii="宋体" w:hAnsi="宋体" w:eastAsia="宋体" w:cs="宋体"/>
              <w:spacing w:val="-26"/>
              <w:sz w:val="21"/>
              <w:szCs w:val="21"/>
            </w:rPr>
            <w:t xml:space="preserve"> </w:t>
          </w:r>
          <w:r>
            <w:fldChar w:fldCharType="begin"/>
          </w:r>
          <w:r>
            <w:instrText xml:space="preserve"> HYPERLINK \l "bookmark279" </w:instrText>
          </w:r>
          <w:r>
            <w:fldChar w:fldCharType="separate"/>
          </w:r>
          <w:r>
            <w:rPr>
              <w:rFonts w:ascii="宋体" w:hAnsi="宋体" w:eastAsia="宋体" w:cs="宋体"/>
              <w:spacing w:val="-2"/>
              <w:sz w:val="21"/>
              <w:szCs w:val="21"/>
            </w:rPr>
            <w:t>248</w:t>
          </w:r>
          <w:r>
            <w:rPr>
              <w:rFonts w:ascii="宋体" w:hAnsi="宋体" w:eastAsia="宋体" w:cs="宋体"/>
              <w:spacing w:val="-2"/>
              <w:sz w:val="21"/>
              <w:szCs w:val="21"/>
            </w:rPr>
            <w:fldChar w:fldCharType="end"/>
          </w:r>
        </w:p>
        <w:p w14:paraId="43DE8CC2">
          <w:pPr>
            <w:tabs>
              <w:tab w:val="right" w:leader="dot" w:pos="8317"/>
            </w:tabs>
            <w:spacing w:before="22" w:line="221" w:lineRule="auto"/>
            <w:ind w:left="441"/>
            <w:rPr>
              <w:rFonts w:ascii="宋体" w:hAnsi="宋体" w:eastAsia="宋体" w:cs="宋体"/>
              <w:sz w:val="21"/>
              <w:szCs w:val="21"/>
            </w:rPr>
          </w:pPr>
          <w:r>
            <w:rPr>
              <w:rFonts w:ascii="宋体" w:hAnsi="宋体" w:eastAsia="宋体" w:cs="宋体"/>
              <w:spacing w:val="-1"/>
              <w:sz w:val="21"/>
              <w:szCs w:val="21"/>
            </w:rPr>
            <w:t>第三节  适用的国家、行业以及地方规范、标准和规程</w:t>
          </w:r>
          <w:r>
            <w:rPr>
              <w:rFonts w:ascii="宋体" w:hAnsi="宋体" w:eastAsia="宋体" w:cs="宋体"/>
              <w:spacing w:val="-45"/>
              <w:sz w:val="21"/>
              <w:szCs w:val="21"/>
            </w:rPr>
            <w:t xml:space="preserve"> </w:t>
          </w:r>
          <w:r>
            <w:rPr>
              <w:rFonts w:ascii="宋体" w:hAnsi="宋体" w:eastAsia="宋体" w:cs="宋体"/>
              <w:sz w:val="21"/>
              <w:szCs w:val="21"/>
            </w:rPr>
            <w:tab/>
          </w:r>
          <w:r>
            <w:rPr>
              <w:rFonts w:ascii="宋体" w:hAnsi="宋体" w:eastAsia="宋体" w:cs="宋体"/>
              <w:spacing w:val="-26"/>
              <w:sz w:val="21"/>
              <w:szCs w:val="21"/>
            </w:rPr>
            <w:t xml:space="preserve"> </w:t>
          </w:r>
          <w:r>
            <w:fldChar w:fldCharType="begin"/>
          </w:r>
          <w:r>
            <w:instrText xml:space="preserve"> HYPERLINK \l "bookmark280" </w:instrText>
          </w:r>
          <w:r>
            <w:fldChar w:fldCharType="separate"/>
          </w:r>
          <w:r>
            <w:rPr>
              <w:rFonts w:ascii="宋体" w:hAnsi="宋体" w:eastAsia="宋体" w:cs="宋体"/>
              <w:spacing w:val="-2"/>
              <w:sz w:val="21"/>
              <w:szCs w:val="21"/>
            </w:rPr>
            <w:t>249</w:t>
          </w:r>
          <w:r>
            <w:rPr>
              <w:rFonts w:ascii="宋体" w:hAnsi="宋体" w:eastAsia="宋体" w:cs="宋体"/>
              <w:spacing w:val="-2"/>
              <w:sz w:val="21"/>
              <w:szCs w:val="21"/>
            </w:rPr>
            <w:fldChar w:fldCharType="end"/>
          </w:r>
        </w:p>
        <w:p w14:paraId="3726A4B2">
          <w:pPr>
            <w:tabs>
              <w:tab w:val="right" w:leader="dot" w:pos="8307"/>
            </w:tabs>
            <w:spacing w:before="23" w:line="221" w:lineRule="auto"/>
            <w:ind w:left="18"/>
            <w:rPr>
              <w:rFonts w:ascii="宋体" w:hAnsi="宋体" w:eastAsia="宋体" w:cs="宋体"/>
              <w:sz w:val="21"/>
              <w:szCs w:val="21"/>
            </w:rPr>
          </w:pPr>
          <w:r>
            <w:rPr>
              <w:rFonts w:ascii="宋体" w:hAnsi="宋体" w:eastAsia="宋体" w:cs="宋体"/>
              <w:spacing w:val="-2"/>
              <w:sz w:val="21"/>
              <w:szCs w:val="21"/>
              <w14:textOutline w14:w="3831" w14:cap="flat" w14:cmpd="sng">
                <w14:solidFill>
                  <w14:srgbClr w14:val="000000"/>
                </w14:solidFill>
                <w14:prstDash w14:val="solid"/>
                <w14:miter w14:val="0"/>
              </w14:textOutline>
            </w:rPr>
            <w:t>第四卷</w:t>
          </w:r>
          <w:r>
            <w:rPr>
              <w:rFonts w:ascii="宋体" w:hAnsi="宋体" w:eastAsia="宋体" w:cs="宋体"/>
              <w:spacing w:val="-91"/>
              <w:sz w:val="21"/>
              <w:szCs w:val="21"/>
            </w:rPr>
            <w:t xml:space="preserve"> </w:t>
          </w:r>
          <w:r>
            <w:rPr>
              <w:rFonts w:ascii="宋体" w:hAnsi="宋体" w:eastAsia="宋体" w:cs="宋体"/>
              <w:sz w:val="21"/>
              <w:szCs w:val="21"/>
              <w14:textOutline w14:w="3831" w14:cap="flat" w14:cmpd="sng">
                <w14:solidFill>
                  <w14:srgbClr w14:val="000000"/>
                </w14:solidFill>
                <w14:prstDash w14:val="solid"/>
                <w14:miter w14:val="0"/>
              </w14:textOutline>
            </w:rPr>
            <w:tab/>
          </w:r>
          <w:r>
            <w:rPr>
              <w:rFonts w:ascii="宋体" w:hAnsi="宋体" w:eastAsia="宋体" w:cs="宋体"/>
              <w:spacing w:val="-32"/>
              <w:sz w:val="21"/>
              <w:szCs w:val="21"/>
            </w:rPr>
            <w:t xml:space="preserve"> </w:t>
          </w:r>
          <w:r>
            <w:fldChar w:fldCharType="begin"/>
          </w:r>
          <w:r>
            <w:instrText xml:space="preserve"> HYPERLINK \l "bookmark281" </w:instrText>
          </w:r>
          <w:r>
            <w:fldChar w:fldCharType="separate"/>
          </w:r>
          <w:r>
            <w:rPr>
              <w:rFonts w:ascii="宋体" w:hAnsi="宋体" w:eastAsia="宋体" w:cs="宋体"/>
              <w:spacing w:val="-2"/>
              <w:sz w:val="21"/>
              <w:szCs w:val="21"/>
              <w14:textOutline w14:w="3831" w14:cap="flat" w14:cmpd="sng">
                <w14:solidFill>
                  <w14:srgbClr w14:val="000000"/>
                </w14:solidFill>
                <w14:prstDash w14:val="solid"/>
                <w14:miter w14:val="0"/>
              </w14:textOutline>
            </w:rPr>
            <w:t>251</w:t>
          </w:r>
          <w:r>
            <w:rPr>
              <w:rFonts w:ascii="宋体" w:hAnsi="宋体" w:eastAsia="宋体" w:cs="宋体"/>
              <w:spacing w:val="-2"/>
              <w:sz w:val="21"/>
              <w:szCs w:val="21"/>
              <w14:textOutline w14:w="3831" w14:cap="flat" w14:cmpd="sng">
                <w14:solidFill>
                  <w14:srgbClr w14:val="000000"/>
                </w14:solidFill>
                <w14:prstDash w14:val="solid"/>
                <w14:miter w14:val="0"/>
              </w14:textOutline>
            </w:rPr>
            <w:fldChar w:fldCharType="end"/>
          </w:r>
        </w:p>
        <w:p w14:paraId="1E13788F">
          <w:pPr>
            <w:tabs>
              <w:tab w:val="right" w:leader="dot" w:pos="8307"/>
            </w:tabs>
            <w:spacing w:before="22" w:line="220" w:lineRule="auto"/>
            <w:ind w:left="18"/>
            <w:rPr>
              <w:rFonts w:ascii="宋体" w:hAnsi="宋体" w:eastAsia="宋体" w:cs="宋体"/>
              <w:sz w:val="21"/>
              <w:szCs w:val="21"/>
            </w:rPr>
          </w:pPr>
          <w:r>
            <w:rPr>
              <w:rFonts w:ascii="宋体" w:hAnsi="宋体" w:eastAsia="宋体" w:cs="宋体"/>
              <w:sz w:val="21"/>
              <w:szCs w:val="21"/>
              <w14:textOutline w14:w="3831" w14:cap="flat" w14:cmpd="sng">
                <w14:solidFill>
                  <w14:srgbClr w14:val="000000"/>
                </w14:solidFill>
                <w14:prstDash w14:val="solid"/>
                <w14:miter w14:val="0"/>
              </w14:textOutline>
            </w:rPr>
            <w:t>第八章</w:t>
          </w:r>
          <w:r>
            <w:rPr>
              <w:rFonts w:ascii="宋体" w:hAnsi="宋体" w:eastAsia="宋体" w:cs="宋体"/>
              <w:sz w:val="21"/>
              <w:szCs w:val="21"/>
            </w:rPr>
            <w:t xml:space="preserve">  </w:t>
          </w:r>
          <w:r>
            <w:rPr>
              <w:rFonts w:ascii="宋体" w:hAnsi="宋体" w:eastAsia="宋体" w:cs="宋体"/>
              <w:sz w:val="21"/>
              <w:szCs w:val="21"/>
              <w14:textOutline w14:w="3831" w14:cap="flat" w14:cmpd="sng">
                <w14:solidFill>
                  <w14:srgbClr w14:val="000000"/>
                </w14:solidFill>
                <w14:prstDash w14:val="solid"/>
                <w14:miter w14:val="0"/>
              </w14:textOutline>
            </w:rPr>
            <w:t>投标文件格式</w:t>
          </w:r>
          <w:r>
            <w:rPr>
              <w:rFonts w:ascii="宋体" w:hAnsi="宋体" w:eastAsia="宋体" w:cs="宋体"/>
              <w:spacing w:val="-21"/>
              <w:sz w:val="21"/>
              <w:szCs w:val="21"/>
            </w:rPr>
            <w:t xml:space="preserve"> </w:t>
          </w:r>
          <w:r>
            <w:rPr>
              <w:rFonts w:ascii="宋体" w:hAnsi="宋体" w:eastAsia="宋体" w:cs="宋体"/>
              <w:sz w:val="21"/>
              <w:szCs w:val="21"/>
              <w14:textOutline w14:w="3831" w14:cap="flat" w14:cmpd="sng">
                <w14:solidFill>
                  <w14:srgbClr w14:val="000000"/>
                </w14:solidFill>
                <w14:prstDash w14:val="solid"/>
                <w14:miter w14:val="0"/>
              </w14:textOutline>
            </w:rPr>
            <w:tab/>
          </w:r>
          <w:r>
            <w:rPr>
              <w:rFonts w:ascii="宋体" w:hAnsi="宋体" w:eastAsia="宋体" w:cs="宋体"/>
              <w:spacing w:val="-31"/>
              <w:sz w:val="21"/>
              <w:szCs w:val="21"/>
            </w:rPr>
            <w:t xml:space="preserve"> </w:t>
          </w:r>
          <w:r>
            <w:fldChar w:fldCharType="begin"/>
          </w:r>
          <w:r>
            <w:instrText xml:space="preserve"> HYPERLINK \l "bookmark282" </w:instrText>
          </w:r>
          <w:r>
            <w:fldChar w:fldCharType="separate"/>
          </w:r>
          <w:r>
            <w:rPr>
              <w:rFonts w:ascii="宋体" w:hAnsi="宋体" w:eastAsia="宋体" w:cs="宋体"/>
              <w:spacing w:val="-2"/>
              <w:sz w:val="21"/>
              <w:szCs w:val="21"/>
              <w14:textOutline w14:w="3831" w14:cap="flat" w14:cmpd="sng">
                <w14:solidFill>
                  <w14:srgbClr w14:val="000000"/>
                </w14:solidFill>
                <w14:prstDash w14:val="solid"/>
                <w14:miter w14:val="0"/>
              </w14:textOutline>
            </w:rPr>
            <w:t>252</w:t>
          </w:r>
          <w:r>
            <w:rPr>
              <w:rFonts w:ascii="宋体" w:hAnsi="宋体" w:eastAsia="宋体" w:cs="宋体"/>
              <w:spacing w:val="-2"/>
              <w:sz w:val="21"/>
              <w:szCs w:val="21"/>
              <w14:textOutline w14:w="3831" w14:cap="flat" w14:cmpd="sng">
                <w14:solidFill>
                  <w14:srgbClr w14:val="000000"/>
                </w14:solidFill>
                <w14:prstDash w14:val="solid"/>
                <w14:miter w14:val="0"/>
              </w14:textOutline>
            </w:rPr>
            <w:fldChar w:fldCharType="end"/>
          </w:r>
        </w:p>
        <w:p w14:paraId="67EACD56">
          <w:pPr>
            <w:tabs>
              <w:tab w:val="right" w:leader="dot" w:pos="8317"/>
            </w:tabs>
            <w:spacing w:before="19" w:line="223" w:lineRule="auto"/>
            <w:ind w:left="481"/>
            <w:rPr>
              <w:rFonts w:ascii="宋体" w:hAnsi="宋体" w:eastAsia="宋体" w:cs="宋体"/>
              <w:sz w:val="21"/>
              <w:szCs w:val="21"/>
            </w:rPr>
          </w:pPr>
          <w:r>
            <w:rPr>
              <w:rFonts w:ascii="宋体" w:hAnsi="宋体" w:eastAsia="宋体" w:cs="宋体"/>
              <w:spacing w:val="-28"/>
              <w:sz w:val="21"/>
              <w:szCs w:val="21"/>
            </w:rPr>
            <w:t>目</w:t>
          </w:r>
          <w:r>
            <w:rPr>
              <w:rFonts w:ascii="宋体" w:hAnsi="宋体" w:eastAsia="宋体" w:cs="宋体"/>
              <w:spacing w:val="2"/>
              <w:sz w:val="21"/>
              <w:szCs w:val="21"/>
            </w:rPr>
            <w:t xml:space="preserve">    </w:t>
          </w:r>
          <w:r>
            <w:rPr>
              <w:rFonts w:ascii="宋体" w:hAnsi="宋体" w:eastAsia="宋体" w:cs="宋体"/>
              <w:spacing w:val="-28"/>
              <w:sz w:val="21"/>
              <w:szCs w:val="21"/>
            </w:rPr>
            <w:t>录</w:t>
          </w:r>
          <w:r>
            <w:rPr>
              <w:rFonts w:ascii="宋体" w:hAnsi="宋体" w:eastAsia="宋体" w:cs="宋体"/>
              <w:spacing w:val="-88"/>
              <w:sz w:val="21"/>
              <w:szCs w:val="21"/>
            </w:rPr>
            <w:t xml:space="preserve"> </w:t>
          </w:r>
          <w:r>
            <w:rPr>
              <w:rFonts w:ascii="宋体" w:hAnsi="宋体" w:eastAsia="宋体" w:cs="宋体"/>
              <w:sz w:val="21"/>
              <w:szCs w:val="21"/>
            </w:rPr>
            <w:tab/>
          </w:r>
          <w:r>
            <w:rPr>
              <w:rFonts w:ascii="宋体" w:hAnsi="宋体" w:eastAsia="宋体" w:cs="宋体"/>
              <w:spacing w:val="-25"/>
              <w:sz w:val="21"/>
              <w:szCs w:val="21"/>
            </w:rPr>
            <w:t xml:space="preserve"> </w:t>
          </w:r>
          <w:r>
            <w:fldChar w:fldCharType="begin"/>
          </w:r>
          <w:r>
            <w:instrText xml:space="preserve"> HYPERLINK \l "bookmark283" </w:instrText>
          </w:r>
          <w:r>
            <w:fldChar w:fldCharType="separate"/>
          </w:r>
          <w:r>
            <w:rPr>
              <w:rFonts w:ascii="宋体" w:hAnsi="宋体" w:eastAsia="宋体" w:cs="宋体"/>
              <w:spacing w:val="-2"/>
              <w:sz w:val="21"/>
              <w:szCs w:val="21"/>
            </w:rPr>
            <w:t>254</w:t>
          </w:r>
          <w:r>
            <w:rPr>
              <w:rFonts w:ascii="宋体" w:hAnsi="宋体" w:eastAsia="宋体" w:cs="宋体"/>
              <w:spacing w:val="-2"/>
              <w:sz w:val="21"/>
              <w:szCs w:val="21"/>
            </w:rPr>
            <w:fldChar w:fldCharType="end"/>
          </w:r>
        </w:p>
        <w:p w14:paraId="3187F6FD">
          <w:pPr>
            <w:tabs>
              <w:tab w:val="right" w:leader="dot" w:pos="8317"/>
            </w:tabs>
            <w:spacing w:before="20" w:line="220" w:lineRule="auto"/>
            <w:ind w:left="444"/>
            <w:rPr>
              <w:rFonts w:ascii="宋体" w:hAnsi="宋体" w:eastAsia="宋体" w:cs="宋体"/>
              <w:sz w:val="21"/>
              <w:szCs w:val="21"/>
            </w:rPr>
          </w:pPr>
          <w:r>
            <w:rPr>
              <w:rFonts w:ascii="宋体" w:hAnsi="宋体" w:eastAsia="宋体" w:cs="宋体"/>
              <w:spacing w:val="-1"/>
              <w:sz w:val="21"/>
              <w:szCs w:val="21"/>
            </w:rPr>
            <w:t>一、投标函及投标函附录等</w:t>
          </w:r>
          <w:r>
            <w:rPr>
              <w:rFonts w:ascii="宋体" w:hAnsi="宋体" w:eastAsia="宋体" w:cs="宋体"/>
              <w:spacing w:val="-77"/>
              <w:sz w:val="21"/>
              <w:szCs w:val="21"/>
            </w:rPr>
            <w:t xml:space="preserve"> </w:t>
          </w:r>
          <w:r>
            <w:rPr>
              <w:rFonts w:ascii="宋体" w:hAnsi="宋体" w:eastAsia="宋体" w:cs="宋体"/>
              <w:sz w:val="21"/>
              <w:szCs w:val="21"/>
            </w:rPr>
            <w:tab/>
          </w:r>
          <w:r>
            <w:rPr>
              <w:rFonts w:ascii="宋体" w:hAnsi="宋体" w:eastAsia="宋体" w:cs="宋体"/>
              <w:spacing w:val="-26"/>
              <w:sz w:val="21"/>
              <w:szCs w:val="21"/>
            </w:rPr>
            <w:t xml:space="preserve"> </w:t>
          </w:r>
          <w:r>
            <w:fldChar w:fldCharType="begin"/>
          </w:r>
          <w:r>
            <w:instrText xml:space="preserve"> HYPERLINK \l "bookmark284" </w:instrText>
          </w:r>
          <w:r>
            <w:fldChar w:fldCharType="separate"/>
          </w:r>
          <w:r>
            <w:rPr>
              <w:rFonts w:ascii="宋体" w:hAnsi="宋体" w:eastAsia="宋体" w:cs="宋体"/>
              <w:spacing w:val="-2"/>
              <w:sz w:val="21"/>
              <w:szCs w:val="21"/>
            </w:rPr>
            <w:t>255</w:t>
          </w:r>
          <w:r>
            <w:rPr>
              <w:rFonts w:ascii="宋体" w:hAnsi="宋体" w:eastAsia="宋体" w:cs="宋体"/>
              <w:spacing w:val="-2"/>
              <w:sz w:val="21"/>
              <w:szCs w:val="21"/>
            </w:rPr>
            <w:fldChar w:fldCharType="end"/>
          </w:r>
        </w:p>
        <w:p w14:paraId="22D32608">
          <w:pPr>
            <w:tabs>
              <w:tab w:val="right" w:leader="dot" w:pos="8317"/>
            </w:tabs>
            <w:spacing w:before="24" w:line="221" w:lineRule="auto"/>
            <w:ind w:left="865"/>
            <w:rPr>
              <w:rFonts w:ascii="宋体" w:hAnsi="宋体" w:eastAsia="宋体" w:cs="宋体"/>
              <w:sz w:val="21"/>
              <w:szCs w:val="21"/>
            </w:rPr>
          </w:pPr>
          <w:r>
            <w:rPr>
              <w:rFonts w:ascii="宋体" w:hAnsi="宋体" w:eastAsia="宋体" w:cs="宋体"/>
              <w:spacing w:val="-3"/>
              <w:sz w:val="21"/>
              <w:szCs w:val="21"/>
            </w:rPr>
            <w:t>（一）投标函</w:t>
          </w:r>
          <w:r>
            <w:rPr>
              <w:rFonts w:ascii="宋体" w:hAnsi="宋体" w:eastAsia="宋体" w:cs="宋体"/>
              <w:spacing w:val="-77"/>
              <w:sz w:val="21"/>
              <w:szCs w:val="21"/>
            </w:rPr>
            <w:t xml:space="preserve"> </w:t>
          </w:r>
          <w:r>
            <w:rPr>
              <w:rFonts w:ascii="宋体" w:hAnsi="宋体" w:eastAsia="宋体" w:cs="宋体"/>
              <w:sz w:val="21"/>
              <w:szCs w:val="21"/>
            </w:rPr>
            <w:tab/>
          </w:r>
          <w:r>
            <w:rPr>
              <w:rFonts w:ascii="宋体" w:hAnsi="宋体" w:eastAsia="宋体" w:cs="宋体"/>
              <w:spacing w:val="-26"/>
              <w:sz w:val="21"/>
              <w:szCs w:val="21"/>
            </w:rPr>
            <w:t xml:space="preserve"> </w:t>
          </w:r>
          <w:r>
            <w:fldChar w:fldCharType="begin"/>
          </w:r>
          <w:r>
            <w:instrText xml:space="preserve"> HYPERLINK \l "bookmark285" </w:instrText>
          </w:r>
          <w:r>
            <w:fldChar w:fldCharType="separate"/>
          </w:r>
          <w:r>
            <w:rPr>
              <w:rFonts w:ascii="宋体" w:hAnsi="宋体" w:eastAsia="宋体" w:cs="宋体"/>
              <w:spacing w:val="-2"/>
              <w:sz w:val="21"/>
              <w:szCs w:val="21"/>
            </w:rPr>
            <w:t>255</w:t>
          </w:r>
          <w:r>
            <w:rPr>
              <w:rFonts w:ascii="宋体" w:hAnsi="宋体" w:eastAsia="宋体" w:cs="宋体"/>
              <w:spacing w:val="-2"/>
              <w:sz w:val="21"/>
              <w:szCs w:val="21"/>
            </w:rPr>
            <w:fldChar w:fldCharType="end"/>
          </w:r>
        </w:p>
        <w:p w14:paraId="09C53439">
          <w:pPr>
            <w:tabs>
              <w:tab w:val="right" w:leader="dot" w:pos="8317"/>
            </w:tabs>
            <w:spacing w:before="22" w:line="220" w:lineRule="auto"/>
            <w:ind w:left="865"/>
            <w:rPr>
              <w:rFonts w:ascii="宋体" w:hAnsi="宋体" w:eastAsia="宋体" w:cs="宋体"/>
              <w:sz w:val="21"/>
              <w:szCs w:val="21"/>
            </w:rPr>
          </w:pPr>
          <w:r>
            <w:rPr>
              <w:rFonts w:ascii="宋体" w:hAnsi="宋体" w:eastAsia="宋体" w:cs="宋体"/>
              <w:spacing w:val="-2"/>
              <w:sz w:val="21"/>
              <w:szCs w:val="21"/>
            </w:rPr>
            <w:t>（二）投标函附录</w:t>
          </w:r>
          <w:r>
            <w:rPr>
              <w:rFonts w:ascii="宋体" w:hAnsi="宋体" w:eastAsia="宋体" w:cs="宋体"/>
              <w:spacing w:val="-76"/>
              <w:sz w:val="21"/>
              <w:szCs w:val="21"/>
            </w:rPr>
            <w:t xml:space="preserve"> </w:t>
          </w:r>
          <w:r>
            <w:rPr>
              <w:rFonts w:ascii="宋体" w:hAnsi="宋体" w:eastAsia="宋体" w:cs="宋体"/>
              <w:sz w:val="21"/>
              <w:szCs w:val="21"/>
            </w:rPr>
            <w:tab/>
          </w:r>
          <w:r>
            <w:rPr>
              <w:rFonts w:ascii="宋体" w:hAnsi="宋体" w:eastAsia="宋体" w:cs="宋体"/>
              <w:spacing w:val="-26"/>
              <w:sz w:val="21"/>
              <w:szCs w:val="21"/>
            </w:rPr>
            <w:t xml:space="preserve"> </w:t>
          </w:r>
          <w:r>
            <w:fldChar w:fldCharType="begin"/>
          </w:r>
          <w:r>
            <w:instrText xml:space="preserve"> HYPERLINK \l "bookmark286" </w:instrText>
          </w:r>
          <w:r>
            <w:fldChar w:fldCharType="separate"/>
          </w:r>
          <w:r>
            <w:rPr>
              <w:rFonts w:ascii="宋体" w:hAnsi="宋体" w:eastAsia="宋体" w:cs="宋体"/>
              <w:spacing w:val="-2"/>
              <w:sz w:val="21"/>
              <w:szCs w:val="21"/>
            </w:rPr>
            <w:t>256</w:t>
          </w:r>
          <w:r>
            <w:rPr>
              <w:rFonts w:ascii="宋体" w:hAnsi="宋体" w:eastAsia="宋体" w:cs="宋体"/>
              <w:spacing w:val="-2"/>
              <w:sz w:val="21"/>
              <w:szCs w:val="21"/>
            </w:rPr>
            <w:fldChar w:fldCharType="end"/>
          </w:r>
        </w:p>
        <w:p w14:paraId="6CD142F8">
          <w:pPr>
            <w:tabs>
              <w:tab w:val="right" w:leader="dot" w:pos="8317"/>
            </w:tabs>
            <w:spacing w:before="19" w:line="219" w:lineRule="auto"/>
            <w:ind w:left="865"/>
            <w:rPr>
              <w:rFonts w:ascii="宋体" w:hAnsi="宋体" w:eastAsia="宋体" w:cs="宋体"/>
              <w:sz w:val="21"/>
              <w:szCs w:val="21"/>
            </w:rPr>
          </w:pPr>
          <w:r>
            <w:rPr>
              <w:rFonts w:ascii="宋体" w:hAnsi="宋体" w:eastAsia="宋体" w:cs="宋体"/>
              <w:spacing w:val="-2"/>
              <w:sz w:val="21"/>
              <w:szCs w:val="21"/>
            </w:rPr>
            <w:t>（三）告知承诺函</w:t>
          </w:r>
          <w:r>
            <w:rPr>
              <w:rFonts w:ascii="宋体" w:hAnsi="宋体" w:eastAsia="宋体" w:cs="宋体"/>
              <w:spacing w:val="-76"/>
              <w:sz w:val="21"/>
              <w:szCs w:val="21"/>
            </w:rPr>
            <w:t xml:space="preserve"> </w:t>
          </w:r>
          <w:r>
            <w:rPr>
              <w:rFonts w:ascii="宋体" w:hAnsi="宋体" w:eastAsia="宋体" w:cs="宋体"/>
              <w:sz w:val="21"/>
              <w:szCs w:val="21"/>
            </w:rPr>
            <w:tab/>
          </w:r>
          <w:r>
            <w:rPr>
              <w:rFonts w:ascii="宋体" w:hAnsi="宋体" w:eastAsia="宋体" w:cs="宋体"/>
              <w:spacing w:val="-26"/>
              <w:sz w:val="21"/>
              <w:szCs w:val="21"/>
            </w:rPr>
            <w:t xml:space="preserve"> </w:t>
          </w:r>
          <w:r>
            <w:fldChar w:fldCharType="begin"/>
          </w:r>
          <w:r>
            <w:instrText xml:space="preserve"> HYPERLINK \l "bookmark287" </w:instrText>
          </w:r>
          <w:r>
            <w:fldChar w:fldCharType="separate"/>
          </w:r>
          <w:r>
            <w:rPr>
              <w:rFonts w:ascii="宋体" w:hAnsi="宋体" w:eastAsia="宋体" w:cs="宋体"/>
              <w:spacing w:val="-2"/>
              <w:sz w:val="21"/>
              <w:szCs w:val="21"/>
            </w:rPr>
            <w:t>257</w:t>
          </w:r>
          <w:r>
            <w:rPr>
              <w:rFonts w:ascii="宋体" w:hAnsi="宋体" w:eastAsia="宋体" w:cs="宋体"/>
              <w:spacing w:val="-2"/>
              <w:sz w:val="21"/>
              <w:szCs w:val="21"/>
            </w:rPr>
            <w:fldChar w:fldCharType="end"/>
          </w:r>
        </w:p>
        <w:p w14:paraId="6933EE6D">
          <w:pPr>
            <w:tabs>
              <w:tab w:val="right" w:leader="dot" w:pos="8317"/>
            </w:tabs>
            <w:spacing w:before="23" w:line="221" w:lineRule="auto"/>
            <w:ind w:left="865"/>
            <w:rPr>
              <w:rFonts w:ascii="宋体" w:hAnsi="宋体" w:eastAsia="宋体" w:cs="宋体"/>
              <w:sz w:val="21"/>
              <w:szCs w:val="21"/>
            </w:rPr>
          </w:pPr>
          <w:r>
            <w:rPr>
              <w:rFonts w:ascii="宋体" w:hAnsi="宋体" w:eastAsia="宋体" w:cs="宋体"/>
              <w:spacing w:val="-3"/>
              <w:sz w:val="21"/>
              <w:szCs w:val="21"/>
            </w:rPr>
            <w:t>（四）声明函</w:t>
          </w:r>
          <w:r>
            <w:rPr>
              <w:rFonts w:ascii="宋体" w:hAnsi="宋体" w:eastAsia="宋体" w:cs="宋体"/>
              <w:spacing w:val="-77"/>
              <w:sz w:val="21"/>
              <w:szCs w:val="21"/>
            </w:rPr>
            <w:t xml:space="preserve"> </w:t>
          </w:r>
          <w:r>
            <w:rPr>
              <w:rFonts w:ascii="宋体" w:hAnsi="宋体" w:eastAsia="宋体" w:cs="宋体"/>
              <w:sz w:val="21"/>
              <w:szCs w:val="21"/>
            </w:rPr>
            <w:tab/>
          </w:r>
          <w:r>
            <w:rPr>
              <w:rFonts w:ascii="宋体" w:hAnsi="宋体" w:eastAsia="宋体" w:cs="宋体"/>
              <w:spacing w:val="-26"/>
              <w:sz w:val="21"/>
              <w:szCs w:val="21"/>
            </w:rPr>
            <w:t xml:space="preserve"> </w:t>
          </w:r>
          <w:r>
            <w:fldChar w:fldCharType="begin"/>
          </w:r>
          <w:r>
            <w:instrText xml:space="preserve"> HYPERLINK \l "bookmark288" </w:instrText>
          </w:r>
          <w:r>
            <w:fldChar w:fldCharType="separate"/>
          </w:r>
          <w:r>
            <w:rPr>
              <w:rFonts w:ascii="宋体" w:hAnsi="宋体" w:eastAsia="宋体" w:cs="宋体"/>
              <w:spacing w:val="-2"/>
              <w:sz w:val="21"/>
              <w:szCs w:val="21"/>
            </w:rPr>
            <w:t>258</w:t>
          </w:r>
          <w:r>
            <w:rPr>
              <w:rFonts w:ascii="宋体" w:hAnsi="宋体" w:eastAsia="宋体" w:cs="宋体"/>
              <w:spacing w:val="-2"/>
              <w:sz w:val="21"/>
              <w:szCs w:val="21"/>
            </w:rPr>
            <w:fldChar w:fldCharType="end"/>
          </w:r>
        </w:p>
        <w:p w14:paraId="17083E4C">
          <w:pPr>
            <w:tabs>
              <w:tab w:val="right" w:leader="dot" w:pos="8317"/>
            </w:tabs>
            <w:spacing w:before="23" w:line="221" w:lineRule="auto"/>
            <w:ind w:left="444"/>
            <w:rPr>
              <w:rFonts w:ascii="宋体" w:hAnsi="宋体" w:eastAsia="宋体" w:cs="宋体"/>
              <w:sz w:val="21"/>
              <w:szCs w:val="21"/>
            </w:rPr>
          </w:pPr>
          <w:r>
            <w:rPr>
              <w:rFonts w:ascii="宋体" w:hAnsi="宋体" w:eastAsia="宋体" w:cs="宋体"/>
              <w:spacing w:val="-1"/>
              <w:sz w:val="21"/>
              <w:szCs w:val="21"/>
            </w:rPr>
            <w:t>二、法定代表人身份证明</w:t>
          </w:r>
          <w:r>
            <w:rPr>
              <w:rFonts w:ascii="宋体" w:hAnsi="宋体" w:eastAsia="宋体" w:cs="宋体"/>
              <w:spacing w:val="-79"/>
              <w:sz w:val="21"/>
              <w:szCs w:val="21"/>
            </w:rPr>
            <w:t xml:space="preserve"> </w:t>
          </w:r>
          <w:r>
            <w:rPr>
              <w:rFonts w:ascii="宋体" w:hAnsi="宋体" w:eastAsia="宋体" w:cs="宋体"/>
              <w:sz w:val="21"/>
              <w:szCs w:val="21"/>
            </w:rPr>
            <w:tab/>
          </w:r>
          <w:r>
            <w:rPr>
              <w:rFonts w:ascii="宋体" w:hAnsi="宋体" w:eastAsia="宋体" w:cs="宋体"/>
              <w:spacing w:val="-26"/>
              <w:sz w:val="21"/>
              <w:szCs w:val="21"/>
            </w:rPr>
            <w:t xml:space="preserve"> </w:t>
          </w:r>
          <w:r>
            <w:fldChar w:fldCharType="begin"/>
          </w:r>
          <w:r>
            <w:instrText xml:space="preserve"> HYPERLINK \l "bookmark289" </w:instrText>
          </w:r>
          <w:r>
            <w:fldChar w:fldCharType="separate"/>
          </w:r>
          <w:r>
            <w:rPr>
              <w:rFonts w:ascii="宋体" w:hAnsi="宋体" w:eastAsia="宋体" w:cs="宋体"/>
              <w:spacing w:val="-2"/>
              <w:sz w:val="21"/>
              <w:szCs w:val="21"/>
            </w:rPr>
            <w:t>259</w:t>
          </w:r>
          <w:r>
            <w:rPr>
              <w:rFonts w:ascii="宋体" w:hAnsi="宋体" w:eastAsia="宋体" w:cs="宋体"/>
              <w:spacing w:val="-2"/>
              <w:sz w:val="21"/>
              <w:szCs w:val="21"/>
            </w:rPr>
            <w:fldChar w:fldCharType="end"/>
          </w:r>
        </w:p>
        <w:p w14:paraId="037D9A03">
          <w:pPr>
            <w:tabs>
              <w:tab w:val="right" w:leader="dot" w:pos="8317"/>
            </w:tabs>
            <w:spacing w:before="18" w:line="220" w:lineRule="auto"/>
            <w:ind w:left="444"/>
            <w:rPr>
              <w:rFonts w:ascii="宋体" w:hAnsi="宋体" w:eastAsia="宋体" w:cs="宋体"/>
              <w:sz w:val="21"/>
              <w:szCs w:val="21"/>
            </w:rPr>
          </w:pPr>
          <w:r>
            <w:rPr>
              <w:rFonts w:ascii="宋体" w:hAnsi="宋体" w:eastAsia="宋体" w:cs="宋体"/>
              <w:spacing w:val="-2"/>
              <w:sz w:val="21"/>
              <w:szCs w:val="21"/>
            </w:rPr>
            <w:t>二、授权委托书</w:t>
          </w:r>
          <w:r>
            <w:rPr>
              <w:rFonts w:ascii="宋体" w:hAnsi="宋体" w:eastAsia="宋体" w:cs="宋体"/>
              <w:spacing w:val="-81"/>
              <w:sz w:val="21"/>
              <w:szCs w:val="21"/>
            </w:rPr>
            <w:t xml:space="preserve"> </w:t>
          </w:r>
          <w:r>
            <w:rPr>
              <w:rFonts w:ascii="宋体" w:hAnsi="宋体" w:eastAsia="宋体" w:cs="宋体"/>
              <w:sz w:val="21"/>
              <w:szCs w:val="21"/>
            </w:rPr>
            <w:tab/>
          </w:r>
          <w:r>
            <w:rPr>
              <w:rFonts w:ascii="宋体" w:hAnsi="宋体" w:eastAsia="宋体" w:cs="宋体"/>
              <w:spacing w:val="-26"/>
              <w:sz w:val="21"/>
              <w:szCs w:val="21"/>
            </w:rPr>
            <w:t xml:space="preserve"> </w:t>
          </w:r>
          <w:r>
            <w:fldChar w:fldCharType="begin"/>
          </w:r>
          <w:r>
            <w:instrText xml:space="preserve"> HYPERLINK \l "bookmark290" </w:instrText>
          </w:r>
          <w:r>
            <w:fldChar w:fldCharType="separate"/>
          </w:r>
          <w:r>
            <w:rPr>
              <w:rFonts w:ascii="宋体" w:hAnsi="宋体" w:eastAsia="宋体" w:cs="宋体"/>
              <w:spacing w:val="-2"/>
              <w:sz w:val="21"/>
              <w:szCs w:val="21"/>
            </w:rPr>
            <w:t>260</w:t>
          </w:r>
          <w:r>
            <w:rPr>
              <w:rFonts w:ascii="宋体" w:hAnsi="宋体" w:eastAsia="宋体" w:cs="宋体"/>
              <w:spacing w:val="-2"/>
              <w:sz w:val="21"/>
              <w:szCs w:val="21"/>
            </w:rPr>
            <w:fldChar w:fldCharType="end"/>
          </w:r>
        </w:p>
        <w:p w14:paraId="339AE360">
          <w:pPr>
            <w:tabs>
              <w:tab w:val="right" w:leader="dot" w:pos="8317"/>
            </w:tabs>
            <w:spacing w:before="24" w:line="221" w:lineRule="auto"/>
            <w:ind w:left="441"/>
            <w:rPr>
              <w:rFonts w:ascii="宋体" w:hAnsi="宋体" w:eastAsia="宋体" w:cs="宋体"/>
              <w:sz w:val="21"/>
              <w:szCs w:val="21"/>
            </w:rPr>
          </w:pPr>
          <w:r>
            <w:rPr>
              <w:rFonts w:ascii="宋体" w:hAnsi="宋体" w:eastAsia="宋体" w:cs="宋体"/>
              <w:spacing w:val="-1"/>
              <w:sz w:val="21"/>
              <w:szCs w:val="21"/>
            </w:rPr>
            <w:t>三、投标保证金</w:t>
          </w:r>
          <w:r>
            <w:rPr>
              <w:rFonts w:ascii="宋体" w:hAnsi="宋体" w:eastAsia="宋体" w:cs="宋体"/>
              <w:spacing w:val="-85"/>
              <w:sz w:val="21"/>
              <w:szCs w:val="21"/>
            </w:rPr>
            <w:t xml:space="preserve"> </w:t>
          </w:r>
          <w:r>
            <w:rPr>
              <w:rFonts w:ascii="宋体" w:hAnsi="宋体" w:eastAsia="宋体" w:cs="宋体"/>
              <w:sz w:val="21"/>
              <w:szCs w:val="21"/>
            </w:rPr>
            <w:tab/>
          </w:r>
          <w:r>
            <w:rPr>
              <w:rFonts w:ascii="宋体" w:hAnsi="宋体" w:eastAsia="宋体" w:cs="宋体"/>
              <w:spacing w:val="-26"/>
              <w:sz w:val="21"/>
              <w:szCs w:val="21"/>
            </w:rPr>
            <w:t xml:space="preserve"> </w:t>
          </w:r>
          <w:r>
            <w:fldChar w:fldCharType="begin"/>
          </w:r>
          <w:r>
            <w:instrText xml:space="preserve"> HYPERLINK \l "bookmark291" </w:instrText>
          </w:r>
          <w:r>
            <w:fldChar w:fldCharType="separate"/>
          </w:r>
          <w:r>
            <w:rPr>
              <w:rFonts w:ascii="宋体" w:hAnsi="宋体" w:eastAsia="宋体" w:cs="宋体"/>
              <w:spacing w:val="-2"/>
              <w:sz w:val="21"/>
              <w:szCs w:val="21"/>
            </w:rPr>
            <w:t>261</w:t>
          </w:r>
          <w:r>
            <w:rPr>
              <w:rFonts w:ascii="宋体" w:hAnsi="宋体" w:eastAsia="宋体" w:cs="宋体"/>
              <w:spacing w:val="-2"/>
              <w:sz w:val="21"/>
              <w:szCs w:val="21"/>
            </w:rPr>
            <w:fldChar w:fldCharType="end"/>
          </w:r>
        </w:p>
        <w:p w14:paraId="0BF9AA6B">
          <w:pPr>
            <w:tabs>
              <w:tab w:val="right" w:leader="dot" w:pos="8317"/>
            </w:tabs>
            <w:spacing w:before="21" w:line="220" w:lineRule="auto"/>
            <w:ind w:left="461"/>
            <w:rPr>
              <w:rFonts w:ascii="宋体" w:hAnsi="宋体" w:eastAsia="宋体" w:cs="宋体"/>
              <w:sz w:val="21"/>
              <w:szCs w:val="21"/>
            </w:rPr>
          </w:pPr>
          <w:r>
            <w:rPr>
              <w:rFonts w:ascii="宋体" w:hAnsi="宋体" w:eastAsia="宋体" w:cs="宋体"/>
              <w:spacing w:val="-3"/>
              <w:sz w:val="21"/>
              <w:szCs w:val="21"/>
            </w:rPr>
            <w:t>四、联合体协议书</w:t>
          </w:r>
          <w:r>
            <w:rPr>
              <w:rFonts w:ascii="宋体" w:hAnsi="宋体" w:eastAsia="宋体" w:cs="宋体"/>
              <w:spacing w:val="-86"/>
              <w:sz w:val="21"/>
              <w:szCs w:val="21"/>
            </w:rPr>
            <w:t xml:space="preserve"> </w:t>
          </w:r>
          <w:r>
            <w:rPr>
              <w:rFonts w:ascii="宋体" w:hAnsi="宋体" w:eastAsia="宋体" w:cs="宋体"/>
              <w:sz w:val="21"/>
              <w:szCs w:val="21"/>
            </w:rPr>
            <w:tab/>
          </w:r>
          <w:r>
            <w:rPr>
              <w:rFonts w:ascii="宋体" w:hAnsi="宋体" w:eastAsia="宋体" w:cs="宋体"/>
              <w:spacing w:val="-26"/>
              <w:sz w:val="21"/>
              <w:szCs w:val="21"/>
            </w:rPr>
            <w:t xml:space="preserve"> </w:t>
          </w:r>
          <w:r>
            <w:fldChar w:fldCharType="begin"/>
          </w:r>
          <w:r>
            <w:instrText xml:space="preserve"> HYPERLINK \l "bookmark292" </w:instrText>
          </w:r>
          <w:r>
            <w:fldChar w:fldCharType="separate"/>
          </w:r>
          <w:r>
            <w:rPr>
              <w:rFonts w:ascii="宋体" w:hAnsi="宋体" w:eastAsia="宋体" w:cs="宋体"/>
              <w:spacing w:val="-2"/>
              <w:sz w:val="21"/>
              <w:szCs w:val="21"/>
            </w:rPr>
            <w:t>262</w:t>
          </w:r>
          <w:r>
            <w:rPr>
              <w:rFonts w:ascii="宋体" w:hAnsi="宋体" w:eastAsia="宋体" w:cs="宋体"/>
              <w:spacing w:val="-2"/>
              <w:sz w:val="21"/>
              <w:szCs w:val="21"/>
            </w:rPr>
            <w:fldChar w:fldCharType="end"/>
          </w:r>
        </w:p>
        <w:p w14:paraId="1247BD00">
          <w:pPr>
            <w:tabs>
              <w:tab w:val="right" w:leader="dot" w:pos="8317"/>
            </w:tabs>
            <w:spacing w:before="24" w:line="220" w:lineRule="auto"/>
            <w:ind w:left="444"/>
            <w:rPr>
              <w:rFonts w:ascii="宋体" w:hAnsi="宋体" w:eastAsia="宋体" w:cs="宋体"/>
              <w:sz w:val="21"/>
              <w:szCs w:val="21"/>
            </w:rPr>
          </w:pPr>
          <w:r>
            <w:rPr>
              <w:rFonts w:ascii="宋体" w:hAnsi="宋体" w:eastAsia="宋体" w:cs="宋体"/>
              <w:spacing w:val="-1"/>
              <w:sz w:val="21"/>
              <w:szCs w:val="21"/>
            </w:rPr>
            <w:t>五、拟分包计划表</w:t>
          </w:r>
          <w:r>
            <w:rPr>
              <w:rFonts w:ascii="宋体" w:hAnsi="宋体" w:eastAsia="宋体" w:cs="宋体"/>
              <w:spacing w:val="-86"/>
              <w:sz w:val="21"/>
              <w:szCs w:val="21"/>
            </w:rPr>
            <w:t xml:space="preserve"> </w:t>
          </w:r>
          <w:r>
            <w:rPr>
              <w:rFonts w:ascii="宋体" w:hAnsi="宋体" w:eastAsia="宋体" w:cs="宋体"/>
              <w:sz w:val="21"/>
              <w:szCs w:val="21"/>
            </w:rPr>
            <w:tab/>
          </w:r>
          <w:r>
            <w:rPr>
              <w:rFonts w:ascii="宋体" w:hAnsi="宋体" w:eastAsia="宋体" w:cs="宋体"/>
              <w:spacing w:val="-26"/>
              <w:sz w:val="21"/>
              <w:szCs w:val="21"/>
            </w:rPr>
            <w:t xml:space="preserve"> </w:t>
          </w:r>
          <w:r>
            <w:fldChar w:fldCharType="begin"/>
          </w:r>
          <w:r>
            <w:instrText xml:space="preserve"> HYPERLINK \l "bookmark293" </w:instrText>
          </w:r>
          <w:r>
            <w:fldChar w:fldCharType="separate"/>
          </w:r>
          <w:r>
            <w:rPr>
              <w:rFonts w:ascii="宋体" w:hAnsi="宋体" w:eastAsia="宋体" w:cs="宋体"/>
              <w:spacing w:val="-2"/>
              <w:sz w:val="21"/>
              <w:szCs w:val="21"/>
            </w:rPr>
            <w:t>264</w:t>
          </w:r>
          <w:r>
            <w:rPr>
              <w:rFonts w:ascii="宋体" w:hAnsi="宋体" w:eastAsia="宋体" w:cs="宋体"/>
              <w:spacing w:val="-2"/>
              <w:sz w:val="21"/>
              <w:szCs w:val="21"/>
            </w:rPr>
            <w:fldChar w:fldCharType="end"/>
          </w:r>
        </w:p>
        <w:p w14:paraId="1067483A">
          <w:pPr>
            <w:tabs>
              <w:tab w:val="right" w:leader="dot" w:pos="8317"/>
            </w:tabs>
            <w:spacing w:before="18" w:line="220" w:lineRule="auto"/>
            <w:ind w:left="442"/>
            <w:rPr>
              <w:rFonts w:ascii="宋体" w:hAnsi="宋体" w:eastAsia="宋体" w:cs="宋体"/>
              <w:sz w:val="21"/>
              <w:szCs w:val="21"/>
            </w:rPr>
          </w:pPr>
          <w:r>
            <w:rPr>
              <w:rFonts w:ascii="宋体" w:hAnsi="宋体" w:eastAsia="宋体" w:cs="宋体"/>
              <w:spacing w:val="-1"/>
              <w:sz w:val="21"/>
              <w:szCs w:val="21"/>
            </w:rPr>
            <w:t>六、项目管理机构</w:t>
          </w:r>
          <w:r>
            <w:rPr>
              <w:rFonts w:ascii="宋体" w:hAnsi="宋体" w:eastAsia="宋体" w:cs="宋体"/>
              <w:spacing w:val="-84"/>
              <w:sz w:val="21"/>
              <w:szCs w:val="21"/>
            </w:rPr>
            <w:t xml:space="preserve"> </w:t>
          </w:r>
          <w:r>
            <w:rPr>
              <w:rFonts w:ascii="宋体" w:hAnsi="宋体" w:eastAsia="宋体" w:cs="宋体"/>
              <w:sz w:val="21"/>
              <w:szCs w:val="21"/>
            </w:rPr>
            <w:tab/>
          </w:r>
          <w:r>
            <w:rPr>
              <w:rFonts w:ascii="宋体" w:hAnsi="宋体" w:eastAsia="宋体" w:cs="宋体"/>
              <w:spacing w:val="-26"/>
              <w:sz w:val="21"/>
              <w:szCs w:val="21"/>
            </w:rPr>
            <w:t xml:space="preserve"> </w:t>
          </w:r>
          <w:r>
            <w:fldChar w:fldCharType="begin"/>
          </w:r>
          <w:r>
            <w:instrText xml:space="preserve"> HYPERLINK \l "bookmark294" </w:instrText>
          </w:r>
          <w:r>
            <w:fldChar w:fldCharType="separate"/>
          </w:r>
          <w:r>
            <w:rPr>
              <w:rFonts w:ascii="宋体" w:hAnsi="宋体" w:eastAsia="宋体" w:cs="宋体"/>
              <w:spacing w:val="-2"/>
              <w:sz w:val="21"/>
              <w:szCs w:val="21"/>
            </w:rPr>
            <w:t>265</w:t>
          </w:r>
          <w:r>
            <w:rPr>
              <w:rFonts w:ascii="宋体" w:hAnsi="宋体" w:eastAsia="宋体" w:cs="宋体"/>
              <w:spacing w:val="-2"/>
              <w:sz w:val="21"/>
              <w:szCs w:val="21"/>
            </w:rPr>
            <w:fldChar w:fldCharType="end"/>
          </w:r>
        </w:p>
        <w:p w14:paraId="68086D6C">
          <w:pPr>
            <w:tabs>
              <w:tab w:val="right" w:leader="dot" w:pos="8317"/>
            </w:tabs>
            <w:spacing w:before="24" w:line="220" w:lineRule="auto"/>
            <w:ind w:left="865"/>
            <w:rPr>
              <w:rFonts w:ascii="宋体" w:hAnsi="宋体" w:eastAsia="宋体" w:cs="宋体"/>
              <w:sz w:val="21"/>
              <w:szCs w:val="21"/>
            </w:rPr>
          </w:pPr>
          <w:r>
            <w:rPr>
              <w:rFonts w:ascii="宋体" w:hAnsi="宋体" w:eastAsia="宋体" w:cs="宋体"/>
              <w:spacing w:val="-1"/>
              <w:sz w:val="21"/>
              <w:szCs w:val="21"/>
            </w:rPr>
            <w:t>（一）项目管理机构主要人员表</w:t>
          </w:r>
          <w:r>
            <w:rPr>
              <w:rFonts w:ascii="宋体" w:hAnsi="宋体" w:eastAsia="宋体" w:cs="宋体"/>
              <w:spacing w:val="-70"/>
              <w:sz w:val="21"/>
              <w:szCs w:val="21"/>
            </w:rPr>
            <w:t xml:space="preserve"> </w:t>
          </w:r>
          <w:r>
            <w:rPr>
              <w:rFonts w:ascii="宋体" w:hAnsi="宋体" w:eastAsia="宋体" w:cs="宋体"/>
              <w:sz w:val="21"/>
              <w:szCs w:val="21"/>
            </w:rPr>
            <w:tab/>
          </w:r>
          <w:r>
            <w:rPr>
              <w:rFonts w:ascii="宋体" w:hAnsi="宋体" w:eastAsia="宋体" w:cs="宋体"/>
              <w:spacing w:val="-26"/>
              <w:sz w:val="21"/>
              <w:szCs w:val="21"/>
            </w:rPr>
            <w:t xml:space="preserve"> </w:t>
          </w:r>
          <w:r>
            <w:fldChar w:fldCharType="begin"/>
          </w:r>
          <w:r>
            <w:instrText xml:space="preserve"> HYPERLINK \l "bookmark295" </w:instrText>
          </w:r>
          <w:r>
            <w:fldChar w:fldCharType="separate"/>
          </w:r>
          <w:r>
            <w:rPr>
              <w:rFonts w:ascii="宋体" w:hAnsi="宋体" w:eastAsia="宋体" w:cs="宋体"/>
              <w:spacing w:val="-2"/>
              <w:sz w:val="21"/>
              <w:szCs w:val="21"/>
            </w:rPr>
            <w:t>265</w:t>
          </w:r>
          <w:r>
            <w:rPr>
              <w:rFonts w:ascii="宋体" w:hAnsi="宋体" w:eastAsia="宋体" w:cs="宋体"/>
              <w:spacing w:val="-2"/>
              <w:sz w:val="21"/>
              <w:szCs w:val="21"/>
            </w:rPr>
            <w:fldChar w:fldCharType="end"/>
          </w:r>
        </w:p>
        <w:p w14:paraId="0D960E19">
          <w:pPr>
            <w:tabs>
              <w:tab w:val="right" w:leader="dot" w:pos="8317"/>
            </w:tabs>
            <w:spacing w:before="23" w:line="220" w:lineRule="auto"/>
            <w:ind w:left="865"/>
            <w:rPr>
              <w:rFonts w:ascii="宋体" w:hAnsi="宋体" w:eastAsia="宋体" w:cs="宋体"/>
              <w:sz w:val="21"/>
              <w:szCs w:val="21"/>
            </w:rPr>
          </w:pPr>
          <w:r>
            <w:rPr>
              <w:rFonts w:ascii="宋体" w:hAnsi="宋体" w:eastAsia="宋体" w:cs="宋体"/>
              <w:spacing w:val="-2"/>
              <w:sz w:val="21"/>
              <w:szCs w:val="21"/>
            </w:rPr>
            <w:t>（二）项目经理简历表</w:t>
          </w:r>
          <w:r>
            <w:rPr>
              <w:rFonts w:ascii="宋体" w:hAnsi="宋体" w:eastAsia="宋体" w:cs="宋体"/>
              <w:spacing w:val="-69"/>
              <w:sz w:val="21"/>
              <w:szCs w:val="21"/>
            </w:rPr>
            <w:t xml:space="preserve"> </w:t>
          </w:r>
          <w:r>
            <w:rPr>
              <w:rFonts w:ascii="宋体" w:hAnsi="宋体" w:eastAsia="宋体" w:cs="宋体"/>
              <w:sz w:val="21"/>
              <w:szCs w:val="21"/>
            </w:rPr>
            <w:tab/>
          </w:r>
          <w:r>
            <w:rPr>
              <w:rFonts w:ascii="宋体" w:hAnsi="宋体" w:eastAsia="宋体" w:cs="宋体"/>
              <w:spacing w:val="-26"/>
              <w:sz w:val="21"/>
              <w:szCs w:val="21"/>
            </w:rPr>
            <w:t xml:space="preserve"> </w:t>
          </w:r>
          <w:r>
            <w:fldChar w:fldCharType="begin"/>
          </w:r>
          <w:r>
            <w:instrText xml:space="preserve"> HYPERLINK \l "bookmark296" </w:instrText>
          </w:r>
          <w:r>
            <w:fldChar w:fldCharType="separate"/>
          </w:r>
          <w:r>
            <w:rPr>
              <w:rFonts w:ascii="宋体" w:hAnsi="宋体" w:eastAsia="宋体" w:cs="宋体"/>
              <w:spacing w:val="-2"/>
              <w:sz w:val="21"/>
              <w:szCs w:val="21"/>
            </w:rPr>
            <w:t>266</w:t>
          </w:r>
          <w:r>
            <w:rPr>
              <w:rFonts w:ascii="宋体" w:hAnsi="宋体" w:eastAsia="宋体" w:cs="宋体"/>
              <w:spacing w:val="-2"/>
              <w:sz w:val="21"/>
              <w:szCs w:val="21"/>
            </w:rPr>
            <w:fldChar w:fldCharType="end"/>
          </w:r>
        </w:p>
        <w:p w14:paraId="1591BD2B">
          <w:pPr>
            <w:tabs>
              <w:tab w:val="right" w:leader="dot" w:pos="8317"/>
            </w:tabs>
            <w:spacing w:before="24" w:line="220" w:lineRule="auto"/>
            <w:ind w:left="865"/>
            <w:rPr>
              <w:rFonts w:ascii="宋体" w:hAnsi="宋体" w:eastAsia="宋体" w:cs="宋体"/>
              <w:sz w:val="21"/>
              <w:szCs w:val="21"/>
            </w:rPr>
          </w:pPr>
          <w:r>
            <w:rPr>
              <w:rFonts w:ascii="宋体" w:hAnsi="宋体" w:eastAsia="宋体" w:cs="宋体"/>
              <w:spacing w:val="-3"/>
              <w:sz w:val="21"/>
              <w:szCs w:val="21"/>
            </w:rPr>
            <w:t>（三）承诺书</w:t>
          </w:r>
          <w:r>
            <w:rPr>
              <w:rFonts w:ascii="宋体" w:hAnsi="宋体" w:eastAsia="宋体" w:cs="宋体"/>
              <w:spacing w:val="-77"/>
              <w:sz w:val="21"/>
              <w:szCs w:val="21"/>
            </w:rPr>
            <w:t xml:space="preserve"> </w:t>
          </w:r>
          <w:r>
            <w:rPr>
              <w:rFonts w:ascii="宋体" w:hAnsi="宋体" w:eastAsia="宋体" w:cs="宋体"/>
              <w:sz w:val="21"/>
              <w:szCs w:val="21"/>
            </w:rPr>
            <w:tab/>
          </w:r>
          <w:r>
            <w:rPr>
              <w:rFonts w:ascii="宋体" w:hAnsi="宋体" w:eastAsia="宋体" w:cs="宋体"/>
              <w:spacing w:val="-26"/>
              <w:sz w:val="21"/>
              <w:szCs w:val="21"/>
            </w:rPr>
            <w:t xml:space="preserve"> </w:t>
          </w:r>
          <w:r>
            <w:fldChar w:fldCharType="begin"/>
          </w:r>
          <w:r>
            <w:instrText xml:space="preserve"> HYPERLINK \l "bookmark297" </w:instrText>
          </w:r>
          <w:r>
            <w:fldChar w:fldCharType="separate"/>
          </w:r>
          <w:r>
            <w:rPr>
              <w:rFonts w:ascii="宋体" w:hAnsi="宋体" w:eastAsia="宋体" w:cs="宋体"/>
              <w:spacing w:val="-2"/>
              <w:sz w:val="21"/>
              <w:szCs w:val="21"/>
            </w:rPr>
            <w:t>267</w:t>
          </w:r>
          <w:r>
            <w:rPr>
              <w:rFonts w:ascii="宋体" w:hAnsi="宋体" w:eastAsia="宋体" w:cs="宋体"/>
              <w:spacing w:val="-2"/>
              <w:sz w:val="21"/>
              <w:szCs w:val="21"/>
            </w:rPr>
            <w:fldChar w:fldCharType="end"/>
          </w:r>
        </w:p>
      </w:sdtContent>
    </w:sdt>
    <w:p w14:paraId="48A406DB">
      <w:pPr>
        <w:spacing w:line="220" w:lineRule="auto"/>
        <w:rPr>
          <w:rFonts w:ascii="宋体" w:hAnsi="宋体" w:eastAsia="宋体" w:cs="宋体"/>
          <w:sz w:val="21"/>
          <w:szCs w:val="21"/>
        </w:rPr>
        <w:sectPr>
          <w:footerReference r:id="rId11" w:type="default"/>
          <w:pgSz w:w="11905" w:h="16839"/>
          <w:pgMar w:top="1427" w:right="1785" w:bottom="1033" w:left="1785" w:header="0" w:footer="848" w:gutter="0"/>
          <w:pgNumType w:fmt="decimal"/>
          <w:cols w:space="720" w:num="1"/>
        </w:sectPr>
      </w:pPr>
    </w:p>
    <w:sdt>
      <w:sdtPr>
        <w:rPr>
          <w:rFonts w:ascii="宋体" w:hAnsi="宋体" w:eastAsia="宋体" w:cs="宋体"/>
          <w:sz w:val="21"/>
          <w:szCs w:val="21"/>
        </w:rPr>
        <w:id w:val="8"/>
        <w:docPartObj>
          <w:docPartGallery w:val="Table of Contents"/>
          <w:docPartUnique/>
        </w:docPartObj>
      </w:sdtPr>
      <w:sdtEndPr>
        <w:rPr>
          <w:rFonts w:ascii="宋体" w:hAnsi="宋体" w:eastAsia="宋体" w:cs="宋体"/>
          <w:sz w:val="21"/>
          <w:szCs w:val="21"/>
        </w:rPr>
      </w:sdtEndPr>
      <w:sdtContent>
        <w:p w14:paraId="4A97B2E6">
          <w:pPr>
            <w:tabs>
              <w:tab w:val="right" w:leader="dot" w:pos="8317"/>
            </w:tabs>
            <w:spacing w:before="42" w:line="220" w:lineRule="auto"/>
            <w:ind w:left="865"/>
            <w:rPr>
              <w:rFonts w:ascii="宋体" w:hAnsi="宋体" w:eastAsia="宋体" w:cs="宋体"/>
              <w:sz w:val="21"/>
              <w:szCs w:val="21"/>
            </w:rPr>
          </w:pPr>
          <w:r>
            <w:rPr>
              <w:rFonts w:ascii="宋体" w:hAnsi="宋体" w:eastAsia="宋体" w:cs="宋体"/>
              <w:spacing w:val="-1"/>
              <w:sz w:val="21"/>
              <w:szCs w:val="21"/>
            </w:rPr>
            <w:t>（四）其他主要项目管理人员简历表</w:t>
          </w:r>
          <w:r>
            <w:rPr>
              <w:rFonts w:ascii="宋体" w:hAnsi="宋体" w:eastAsia="宋体" w:cs="宋体"/>
              <w:spacing w:val="-66"/>
              <w:sz w:val="21"/>
              <w:szCs w:val="21"/>
            </w:rPr>
            <w:t xml:space="preserve"> </w:t>
          </w:r>
          <w:r>
            <w:rPr>
              <w:rFonts w:ascii="宋体" w:hAnsi="宋体" w:eastAsia="宋体" w:cs="宋体"/>
              <w:sz w:val="21"/>
              <w:szCs w:val="21"/>
            </w:rPr>
            <w:tab/>
          </w:r>
          <w:r>
            <w:rPr>
              <w:rFonts w:ascii="宋体" w:hAnsi="宋体" w:eastAsia="宋体" w:cs="宋体"/>
              <w:spacing w:val="-27"/>
              <w:sz w:val="21"/>
              <w:szCs w:val="21"/>
            </w:rPr>
            <w:t xml:space="preserve"> </w:t>
          </w:r>
          <w:r>
            <w:fldChar w:fldCharType="begin"/>
          </w:r>
          <w:r>
            <w:instrText xml:space="preserve"> HYPERLINK \l "bookmark298" </w:instrText>
          </w:r>
          <w:r>
            <w:fldChar w:fldCharType="separate"/>
          </w:r>
          <w:r>
            <w:rPr>
              <w:rFonts w:ascii="宋体" w:hAnsi="宋体" w:eastAsia="宋体" w:cs="宋体"/>
              <w:spacing w:val="-2"/>
              <w:sz w:val="21"/>
              <w:szCs w:val="21"/>
            </w:rPr>
            <w:t>268</w:t>
          </w:r>
          <w:r>
            <w:rPr>
              <w:rFonts w:ascii="宋体" w:hAnsi="宋体" w:eastAsia="宋体" w:cs="宋体"/>
              <w:spacing w:val="-2"/>
              <w:sz w:val="21"/>
              <w:szCs w:val="21"/>
            </w:rPr>
            <w:fldChar w:fldCharType="end"/>
          </w:r>
        </w:p>
        <w:p w14:paraId="13F3B88D">
          <w:pPr>
            <w:tabs>
              <w:tab w:val="right" w:leader="dot" w:pos="8317"/>
            </w:tabs>
            <w:spacing w:before="18" w:line="221" w:lineRule="auto"/>
            <w:ind w:left="440"/>
            <w:rPr>
              <w:rFonts w:ascii="宋体" w:hAnsi="宋体" w:eastAsia="宋体" w:cs="宋体"/>
              <w:sz w:val="21"/>
              <w:szCs w:val="21"/>
            </w:rPr>
          </w:pPr>
          <w:r>
            <w:rPr>
              <w:rFonts w:ascii="宋体" w:hAnsi="宋体" w:eastAsia="宋体" w:cs="宋体"/>
              <w:spacing w:val="-1"/>
              <w:sz w:val="21"/>
              <w:szCs w:val="21"/>
            </w:rPr>
            <w:t>七、资格审查资料</w:t>
          </w:r>
          <w:r>
            <w:rPr>
              <w:rFonts w:ascii="宋体" w:hAnsi="宋体" w:eastAsia="宋体" w:cs="宋体"/>
              <w:spacing w:val="-82"/>
              <w:sz w:val="21"/>
              <w:szCs w:val="21"/>
            </w:rPr>
            <w:t xml:space="preserve"> </w:t>
          </w:r>
          <w:r>
            <w:rPr>
              <w:rFonts w:ascii="宋体" w:hAnsi="宋体" w:eastAsia="宋体" w:cs="宋体"/>
              <w:sz w:val="21"/>
              <w:szCs w:val="21"/>
            </w:rPr>
            <w:tab/>
          </w:r>
          <w:r>
            <w:rPr>
              <w:rFonts w:ascii="宋体" w:hAnsi="宋体" w:eastAsia="宋体" w:cs="宋体"/>
              <w:spacing w:val="-26"/>
              <w:sz w:val="21"/>
              <w:szCs w:val="21"/>
            </w:rPr>
            <w:t xml:space="preserve"> </w:t>
          </w:r>
          <w:r>
            <w:fldChar w:fldCharType="begin"/>
          </w:r>
          <w:r>
            <w:instrText xml:space="preserve"> HYPERLINK \l "bookmark299" </w:instrText>
          </w:r>
          <w:r>
            <w:fldChar w:fldCharType="separate"/>
          </w:r>
          <w:r>
            <w:rPr>
              <w:rFonts w:ascii="宋体" w:hAnsi="宋体" w:eastAsia="宋体" w:cs="宋体"/>
              <w:spacing w:val="-2"/>
              <w:sz w:val="21"/>
              <w:szCs w:val="21"/>
            </w:rPr>
            <w:t>269</w:t>
          </w:r>
          <w:r>
            <w:rPr>
              <w:rFonts w:ascii="宋体" w:hAnsi="宋体" w:eastAsia="宋体" w:cs="宋体"/>
              <w:spacing w:val="-2"/>
              <w:sz w:val="21"/>
              <w:szCs w:val="21"/>
            </w:rPr>
            <w:fldChar w:fldCharType="end"/>
          </w:r>
        </w:p>
        <w:p w14:paraId="2A9C06D7">
          <w:pPr>
            <w:tabs>
              <w:tab w:val="right" w:leader="dot" w:pos="8317"/>
            </w:tabs>
            <w:spacing w:before="22" w:line="220" w:lineRule="auto"/>
            <w:ind w:left="865"/>
            <w:rPr>
              <w:rFonts w:ascii="宋体" w:hAnsi="宋体" w:eastAsia="宋体" w:cs="宋体"/>
              <w:sz w:val="21"/>
              <w:szCs w:val="21"/>
            </w:rPr>
          </w:pPr>
          <w:r>
            <w:rPr>
              <w:rFonts w:ascii="宋体" w:hAnsi="宋体" w:eastAsia="宋体" w:cs="宋体"/>
              <w:spacing w:val="-2"/>
              <w:sz w:val="21"/>
              <w:szCs w:val="21"/>
            </w:rPr>
            <w:t>（一）投标人基本情况</w:t>
          </w:r>
          <w:r>
            <w:rPr>
              <w:rFonts w:ascii="宋体" w:hAnsi="宋体" w:eastAsia="宋体" w:cs="宋体"/>
              <w:spacing w:val="-69"/>
              <w:sz w:val="21"/>
              <w:szCs w:val="21"/>
            </w:rPr>
            <w:t xml:space="preserve"> </w:t>
          </w:r>
          <w:r>
            <w:rPr>
              <w:rFonts w:ascii="宋体" w:hAnsi="宋体" w:eastAsia="宋体" w:cs="宋体"/>
              <w:sz w:val="21"/>
              <w:szCs w:val="21"/>
            </w:rPr>
            <w:tab/>
          </w:r>
          <w:r>
            <w:rPr>
              <w:rFonts w:ascii="宋体" w:hAnsi="宋体" w:eastAsia="宋体" w:cs="宋体"/>
              <w:spacing w:val="-26"/>
              <w:sz w:val="21"/>
              <w:szCs w:val="21"/>
            </w:rPr>
            <w:t xml:space="preserve"> </w:t>
          </w:r>
          <w:r>
            <w:fldChar w:fldCharType="begin"/>
          </w:r>
          <w:r>
            <w:instrText xml:space="preserve"> HYPERLINK \l "bookmark300" </w:instrText>
          </w:r>
          <w:r>
            <w:fldChar w:fldCharType="separate"/>
          </w:r>
          <w:r>
            <w:rPr>
              <w:rFonts w:ascii="宋体" w:hAnsi="宋体" w:eastAsia="宋体" w:cs="宋体"/>
              <w:spacing w:val="-2"/>
              <w:sz w:val="21"/>
              <w:szCs w:val="21"/>
            </w:rPr>
            <w:t>269</w:t>
          </w:r>
          <w:r>
            <w:rPr>
              <w:rFonts w:ascii="宋体" w:hAnsi="宋体" w:eastAsia="宋体" w:cs="宋体"/>
              <w:spacing w:val="-2"/>
              <w:sz w:val="21"/>
              <w:szCs w:val="21"/>
            </w:rPr>
            <w:fldChar w:fldCharType="end"/>
          </w:r>
        </w:p>
        <w:p w14:paraId="56046D33">
          <w:pPr>
            <w:tabs>
              <w:tab w:val="right" w:leader="dot" w:pos="8317"/>
            </w:tabs>
            <w:spacing w:before="23" w:line="220" w:lineRule="auto"/>
            <w:ind w:left="874"/>
            <w:rPr>
              <w:rFonts w:ascii="宋体" w:hAnsi="宋体" w:eastAsia="宋体" w:cs="宋体"/>
              <w:sz w:val="21"/>
              <w:szCs w:val="21"/>
            </w:rPr>
          </w:pPr>
          <w:r>
            <w:rPr>
              <w:rFonts w:ascii="宋体" w:hAnsi="宋体" w:eastAsia="宋体" w:cs="宋体"/>
              <w:spacing w:val="-3"/>
              <w:sz w:val="21"/>
              <w:szCs w:val="21"/>
            </w:rPr>
            <w:t>1-1</w:t>
          </w:r>
          <w:r>
            <w:rPr>
              <w:rFonts w:ascii="宋体" w:hAnsi="宋体" w:eastAsia="宋体" w:cs="宋体"/>
              <w:spacing w:val="-42"/>
              <w:sz w:val="21"/>
              <w:szCs w:val="21"/>
            </w:rPr>
            <w:t xml:space="preserve"> </w:t>
          </w:r>
          <w:r>
            <w:rPr>
              <w:rFonts w:ascii="宋体" w:hAnsi="宋体" w:eastAsia="宋体" w:cs="宋体"/>
              <w:spacing w:val="-3"/>
              <w:sz w:val="21"/>
              <w:szCs w:val="21"/>
            </w:rPr>
            <w:t>投标人基本情况表</w:t>
          </w:r>
          <w:r>
            <w:rPr>
              <w:rFonts w:ascii="宋体" w:hAnsi="宋体" w:eastAsia="宋体" w:cs="宋体"/>
              <w:spacing w:val="-23"/>
              <w:sz w:val="21"/>
              <w:szCs w:val="21"/>
            </w:rPr>
            <w:t xml:space="preserve"> </w:t>
          </w:r>
          <w:r>
            <w:rPr>
              <w:rFonts w:ascii="宋体" w:hAnsi="宋体" w:eastAsia="宋体" w:cs="宋体"/>
              <w:sz w:val="21"/>
              <w:szCs w:val="21"/>
            </w:rPr>
            <w:tab/>
          </w:r>
          <w:r>
            <w:rPr>
              <w:rFonts w:ascii="宋体" w:hAnsi="宋体" w:eastAsia="宋体" w:cs="宋体"/>
              <w:spacing w:val="-26"/>
              <w:sz w:val="21"/>
              <w:szCs w:val="21"/>
            </w:rPr>
            <w:t xml:space="preserve"> </w:t>
          </w:r>
          <w:r>
            <w:fldChar w:fldCharType="begin"/>
          </w:r>
          <w:r>
            <w:instrText xml:space="preserve"> HYPERLINK \l "bookmark301" </w:instrText>
          </w:r>
          <w:r>
            <w:fldChar w:fldCharType="separate"/>
          </w:r>
          <w:r>
            <w:rPr>
              <w:rFonts w:ascii="宋体" w:hAnsi="宋体" w:eastAsia="宋体" w:cs="宋体"/>
              <w:spacing w:val="-2"/>
              <w:sz w:val="21"/>
              <w:szCs w:val="21"/>
            </w:rPr>
            <w:t>269</w:t>
          </w:r>
          <w:r>
            <w:rPr>
              <w:rFonts w:ascii="宋体" w:hAnsi="宋体" w:eastAsia="宋体" w:cs="宋体"/>
              <w:spacing w:val="-2"/>
              <w:sz w:val="21"/>
              <w:szCs w:val="21"/>
            </w:rPr>
            <w:fldChar w:fldCharType="end"/>
          </w:r>
        </w:p>
        <w:p w14:paraId="7BC78069">
          <w:pPr>
            <w:tabs>
              <w:tab w:val="right" w:leader="dot" w:pos="8317"/>
            </w:tabs>
            <w:spacing w:before="23" w:line="221" w:lineRule="auto"/>
            <w:ind w:left="874"/>
            <w:rPr>
              <w:rFonts w:ascii="宋体" w:hAnsi="宋体" w:eastAsia="宋体" w:cs="宋体"/>
              <w:sz w:val="21"/>
              <w:szCs w:val="21"/>
            </w:rPr>
          </w:pPr>
          <w:r>
            <w:rPr>
              <w:rFonts w:ascii="宋体" w:hAnsi="宋体" w:eastAsia="宋体" w:cs="宋体"/>
              <w:spacing w:val="-4"/>
              <w:sz w:val="21"/>
              <w:szCs w:val="21"/>
            </w:rPr>
            <w:t>1-2</w:t>
          </w:r>
          <w:r>
            <w:rPr>
              <w:rFonts w:ascii="宋体" w:hAnsi="宋体" w:eastAsia="宋体" w:cs="宋体"/>
              <w:spacing w:val="-32"/>
              <w:sz w:val="21"/>
              <w:szCs w:val="21"/>
            </w:rPr>
            <w:t xml:space="preserve"> </w:t>
          </w:r>
          <w:r>
            <w:rPr>
              <w:rFonts w:ascii="宋体" w:hAnsi="宋体" w:eastAsia="宋体" w:cs="宋体"/>
              <w:spacing w:val="-4"/>
              <w:sz w:val="21"/>
              <w:szCs w:val="21"/>
            </w:rPr>
            <w:t>关联单位情况说明</w:t>
          </w:r>
          <w:r>
            <w:rPr>
              <w:rFonts w:ascii="宋体" w:hAnsi="宋体" w:eastAsia="宋体" w:cs="宋体"/>
              <w:spacing w:val="-23"/>
              <w:sz w:val="21"/>
              <w:szCs w:val="21"/>
            </w:rPr>
            <w:t xml:space="preserve"> </w:t>
          </w:r>
          <w:r>
            <w:rPr>
              <w:rFonts w:ascii="宋体" w:hAnsi="宋体" w:eastAsia="宋体" w:cs="宋体"/>
              <w:sz w:val="21"/>
              <w:szCs w:val="21"/>
            </w:rPr>
            <w:tab/>
          </w:r>
          <w:r>
            <w:rPr>
              <w:rFonts w:ascii="宋体" w:hAnsi="宋体" w:eastAsia="宋体" w:cs="宋体"/>
              <w:spacing w:val="-26"/>
              <w:sz w:val="21"/>
              <w:szCs w:val="21"/>
            </w:rPr>
            <w:t xml:space="preserve"> </w:t>
          </w:r>
          <w:r>
            <w:fldChar w:fldCharType="begin"/>
          </w:r>
          <w:r>
            <w:instrText xml:space="preserve"> HYPERLINK \l "bookmark302" </w:instrText>
          </w:r>
          <w:r>
            <w:fldChar w:fldCharType="separate"/>
          </w:r>
          <w:r>
            <w:rPr>
              <w:rFonts w:ascii="宋体" w:hAnsi="宋体" w:eastAsia="宋体" w:cs="宋体"/>
              <w:spacing w:val="-2"/>
              <w:sz w:val="21"/>
              <w:szCs w:val="21"/>
            </w:rPr>
            <w:t>270</w:t>
          </w:r>
          <w:r>
            <w:rPr>
              <w:rFonts w:ascii="宋体" w:hAnsi="宋体" w:eastAsia="宋体" w:cs="宋体"/>
              <w:spacing w:val="-2"/>
              <w:sz w:val="21"/>
              <w:szCs w:val="21"/>
            </w:rPr>
            <w:fldChar w:fldCharType="end"/>
          </w:r>
        </w:p>
        <w:p w14:paraId="148BA24B">
          <w:pPr>
            <w:tabs>
              <w:tab w:val="right" w:leader="dot" w:pos="8317"/>
            </w:tabs>
            <w:spacing w:before="17" w:line="220" w:lineRule="auto"/>
            <w:ind w:left="874"/>
            <w:rPr>
              <w:rFonts w:ascii="宋体" w:hAnsi="宋体" w:eastAsia="宋体" w:cs="宋体"/>
              <w:sz w:val="21"/>
              <w:szCs w:val="21"/>
            </w:rPr>
          </w:pPr>
          <w:r>
            <w:rPr>
              <w:rFonts w:ascii="宋体" w:hAnsi="宋体" w:eastAsia="宋体" w:cs="宋体"/>
              <w:spacing w:val="-2"/>
              <w:sz w:val="21"/>
              <w:szCs w:val="21"/>
            </w:rPr>
            <w:t>1-3 企业在辽基本信息登记单</w:t>
          </w:r>
          <w:r>
            <w:rPr>
              <w:rFonts w:ascii="宋体" w:hAnsi="宋体" w:eastAsia="宋体" w:cs="宋体"/>
              <w:spacing w:val="-65"/>
              <w:sz w:val="21"/>
              <w:szCs w:val="21"/>
            </w:rPr>
            <w:t xml:space="preserve"> </w:t>
          </w:r>
          <w:r>
            <w:rPr>
              <w:rFonts w:ascii="宋体" w:hAnsi="宋体" w:eastAsia="宋体" w:cs="宋体"/>
              <w:sz w:val="21"/>
              <w:szCs w:val="21"/>
            </w:rPr>
            <w:tab/>
          </w:r>
          <w:r>
            <w:rPr>
              <w:rFonts w:ascii="宋体" w:hAnsi="宋体" w:eastAsia="宋体" w:cs="宋体"/>
              <w:spacing w:val="-26"/>
              <w:sz w:val="21"/>
              <w:szCs w:val="21"/>
            </w:rPr>
            <w:t xml:space="preserve"> </w:t>
          </w:r>
          <w:r>
            <w:fldChar w:fldCharType="begin"/>
          </w:r>
          <w:r>
            <w:instrText xml:space="preserve"> HYPERLINK \l "bookmark303" </w:instrText>
          </w:r>
          <w:r>
            <w:fldChar w:fldCharType="separate"/>
          </w:r>
          <w:r>
            <w:rPr>
              <w:rFonts w:ascii="宋体" w:hAnsi="宋体" w:eastAsia="宋体" w:cs="宋体"/>
              <w:spacing w:val="-2"/>
              <w:sz w:val="21"/>
              <w:szCs w:val="21"/>
            </w:rPr>
            <w:t>271</w:t>
          </w:r>
          <w:r>
            <w:rPr>
              <w:rFonts w:ascii="宋体" w:hAnsi="宋体" w:eastAsia="宋体" w:cs="宋体"/>
              <w:spacing w:val="-2"/>
              <w:sz w:val="21"/>
              <w:szCs w:val="21"/>
            </w:rPr>
            <w:fldChar w:fldCharType="end"/>
          </w:r>
        </w:p>
        <w:p w14:paraId="037A1CF5">
          <w:pPr>
            <w:tabs>
              <w:tab w:val="right" w:leader="dot" w:pos="8317"/>
            </w:tabs>
            <w:spacing w:before="23" w:line="220" w:lineRule="auto"/>
            <w:ind w:left="874"/>
            <w:rPr>
              <w:rFonts w:ascii="宋体" w:hAnsi="宋体" w:eastAsia="宋体" w:cs="宋体"/>
              <w:sz w:val="21"/>
              <w:szCs w:val="21"/>
            </w:rPr>
          </w:pPr>
          <w:r>
            <w:rPr>
              <w:rFonts w:ascii="宋体" w:hAnsi="宋体" w:eastAsia="宋体" w:cs="宋体"/>
              <w:spacing w:val="-3"/>
              <w:sz w:val="21"/>
              <w:szCs w:val="21"/>
            </w:rPr>
            <w:t>1-4</w:t>
          </w:r>
          <w:r>
            <w:rPr>
              <w:rFonts w:ascii="宋体" w:hAnsi="宋体" w:eastAsia="宋体" w:cs="宋体"/>
              <w:spacing w:val="-37"/>
              <w:sz w:val="21"/>
              <w:szCs w:val="21"/>
            </w:rPr>
            <w:t xml:space="preserve"> </w:t>
          </w:r>
          <w:r>
            <w:rPr>
              <w:rFonts w:ascii="宋体" w:hAnsi="宋体" w:eastAsia="宋体" w:cs="宋体"/>
              <w:spacing w:val="-3"/>
              <w:sz w:val="21"/>
              <w:szCs w:val="21"/>
            </w:rPr>
            <w:t xml:space="preserve">项目管理机构主要人员及简历表 </w:t>
          </w:r>
          <w:r>
            <w:rPr>
              <w:rFonts w:ascii="宋体" w:hAnsi="宋体" w:eastAsia="宋体" w:cs="宋体"/>
              <w:sz w:val="21"/>
              <w:szCs w:val="21"/>
            </w:rPr>
            <w:tab/>
          </w:r>
          <w:r>
            <w:rPr>
              <w:rFonts w:ascii="宋体" w:hAnsi="宋体" w:eastAsia="宋体" w:cs="宋体"/>
              <w:spacing w:val="-27"/>
              <w:sz w:val="21"/>
              <w:szCs w:val="21"/>
            </w:rPr>
            <w:t xml:space="preserve"> </w:t>
          </w:r>
          <w:r>
            <w:fldChar w:fldCharType="begin"/>
          </w:r>
          <w:r>
            <w:instrText xml:space="preserve"> HYPERLINK \l "bookmark304" </w:instrText>
          </w:r>
          <w:r>
            <w:fldChar w:fldCharType="separate"/>
          </w:r>
          <w:r>
            <w:rPr>
              <w:rFonts w:ascii="宋体" w:hAnsi="宋体" w:eastAsia="宋体" w:cs="宋体"/>
              <w:spacing w:val="-2"/>
              <w:sz w:val="21"/>
              <w:szCs w:val="21"/>
            </w:rPr>
            <w:t>272</w:t>
          </w:r>
          <w:r>
            <w:rPr>
              <w:rFonts w:ascii="宋体" w:hAnsi="宋体" w:eastAsia="宋体" w:cs="宋体"/>
              <w:spacing w:val="-2"/>
              <w:sz w:val="21"/>
              <w:szCs w:val="21"/>
            </w:rPr>
            <w:fldChar w:fldCharType="end"/>
          </w:r>
        </w:p>
        <w:p w14:paraId="37A338C2">
          <w:pPr>
            <w:tabs>
              <w:tab w:val="right" w:leader="dot" w:pos="8317"/>
            </w:tabs>
            <w:spacing w:before="24" w:line="220" w:lineRule="auto"/>
            <w:ind w:left="874"/>
            <w:rPr>
              <w:rFonts w:ascii="宋体" w:hAnsi="宋体" w:eastAsia="宋体" w:cs="宋体"/>
              <w:sz w:val="21"/>
              <w:szCs w:val="21"/>
            </w:rPr>
          </w:pPr>
          <w:r>
            <w:rPr>
              <w:rFonts w:ascii="宋体" w:hAnsi="宋体" w:eastAsia="宋体" w:cs="宋体"/>
              <w:spacing w:val="-3"/>
              <w:sz w:val="21"/>
              <w:szCs w:val="21"/>
            </w:rPr>
            <w:t>1-5</w:t>
          </w:r>
          <w:r>
            <w:rPr>
              <w:rFonts w:ascii="宋体" w:hAnsi="宋体" w:eastAsia="宋体" w:cs="宋体"/>
              <w:spacing w:val="-37"/>
              <w:sz w:val="21"/>
              <w:szCs w:val="21"/>
            </w:rPr>
            <w:t xml:space="preserve"> </w:t>
          </w:r>
          <w:r>
            <w:rPr>
              <w:rFonts w:ascii="宋体" w:hAnsi="宋体" w:eastAsia="宋体" w:cs="宋体"/>
              <w:spacing w:val="-3"/>
              <w:sz w:val="21"/>
              <w:szCs w:val="21"/>
            </w:rPr>
            <w:t xml:space="preserve">拟投入主要施工机械设备情况表 </w:t>
          </w:r>
          <w:r>
            <w:rPr>
              <w:rFonts w:ascii="宋体" w:hAnsi="宋体" w:eastAsia="宋体" w:cs="宋体"/>
              <w:sz w:val="21"/>
              <w:szCs w:val="21"/>
            </w:rPr>
            <w:tab/>
          </w:r>
          <w:r>
            <w:rPr>
              <w:rFonts w:ascii="宋体" w:hAnsi="宋体" w:eastAsia="宋体" w:cs="宋体"/>
              <w:spacing w:val="-27"/>
              <w:sz w:val="21"/>
              <w:szCs w:val="21"/>
            </w:rPr>
            <w:t xml:space="preserve"> </w:t>
          </w:r>
          <w:r>
            <w:fldChar w:fldCharType="begin"/>
          </w:r>
          <w:r>
            <w:instrText xml:space="preserve"> HYPERLINK \l "bookmark305" </w:instrText>
          </w:r>
          <w:r>
            <w:fldChar w:fldCharType="separate"/>
          </w:r>
          <w:r>
            <w:rPr>
              <w:rFonts w:ascii="宋体" w:hAnsi="宋体" w:eastAsia="宋体" w:cs="宋体"/>
              <w:spacing w:val="-2"/>
              <w:sz w:val="21"/>
              <w:szCs w:val="21"/>
            </w:rPr>
            <w:t>273</w:t>
          </w:r>
          <w:r>
            <w:rPr>
              <w:rFonts w:ascii="宋体" w:hAnsi="宋体" w:eastAsia="宋体" w:cs="宋体"/>
              <w:spacing w:val="-2"/>
              <w:sz w:val="21"/>
              <w:szCs w:val="21"/>
            </w:rPr>
            <w:fldChar w:fldCharType="end"/>
          </w:r>
        </w:p>
        <w:p w14:paraId="35233474">
          <w:pPr>
            <w:tabs>
              <w:tab w:val="right" w:leader="dot" w:pos="8317"/>
            </w:tabs>
            <w:spacing w:before="23" w:line="221" w:lineRule="auto"/>
            <w:ind w:left="865"/>
            <w:rPr>
              <w:rFonts w:ascii="宋体" w:hAnsi="宋体" w:eastAsia="宋体" w:cs="宋体"/>
              <w:sz w:val="21"/>
              <w:szCs w:val="21"/>
            </w:rPr>
          </w:pPr>
          <w:r>
            <w:rPr>
              <w:rFonts w:ascii="宋体" w:hAnsi="宋体" w:eastAsia="宋体" w:cs="宋体"/>
              <w:spacing w:val="-2"/>
              <w:sz w:val="21"/>
              <w:szCs w:val="21"/>
            </w:rPr>
            <w:t>（二）近年财务状况表</w:t>
          </w:r>
          <w:r>
            <w:rPr>
              <w:rFonts w:ascii="宋体" w:hAnsi="宋体" w:eastAsia="宋体" w:cs="宋体"/>
              <w:spacing w:val="-69"/>
              <w:sz w:val="21"/>
              <w:szCs w:val="21"/>
            </w:rPr>
            <w:t xml:space="preserve"> </w:t>
          </w:r>
          <w:r>
            <w:rPr>
              <w:rFonts w:ascii="宋体" w:hAnsi="宋体" w:eastAsia="宋体" w:cs="宋体"/>
              <w:sz w:val="21"/>
              <w:szCs w:val="21"/>
            </w:rPr>
            <w:tab/>
          </w:r>
          <w:r>
            <w:rPr>
              <w:rFonts w:ascii="宋体" w:hAnsi="宋体" w:eastAsia="宋体" w:cs="宋体"/>
              <w:spacing w:val="-26"/>
              <w:sz w:val="21"/>
              <w:szCs w:val="21"/>
            </w:rPr>
            <w:t xml:space="preserve"> </w:t>
          </w:r>
          <w:r>
            <w:fldChar w:fldCharType="begin"/>
          </w:r>
          <w:r>
            <w:instrText xml:space="preserve"> HYPERLINK \l "bookmark306" </w:instrText>
          </w:r>
          <w:r>
            <w:fldChar w:fldCharType="separate"/>
          </w:r>
          <w:r>
            <w:rPr>
              <w:rFonts w:ascii="宋体" w:hAnsi="宋体" w:eastAsia="宋体" w:cs="宋体"/>
              <w:spacing w:val="-2"/>
              <w:sz w:val="21"/>
              <w:szCs w:val="21"/>
            </w:rPr>
            <w:t>274</w:t>
          </w:r>
          <w:r>
            <w:rPr>
              <w:rFonts w:ascii="宋体" w:hAnsi="宋体" w:eastAsia="宋体" w:cs="宋体"/>
              <w:spacing w:val="-2"/>
              <w:sz w:val="21"/>
              <w:szCs w:val="21"/>
            </w:rPr>
            <w:fldChar w:fldCharType="end"/>
          </w:r>
        </w:p>
        <w:p w14:paraId="4989C47F">
          <w:pPr>
            <w:tabs>
              <w:tab w:val="right" w:leader="dot" w:pos="8317"/>
            </w:tabs>
            <w:spacing w:before="17" w:line="221" w:lineRule="auto"/>
            <w:ind w:left="865"/>
            <w:rPr>
              <w:rFonts w:ascii="宋体" w:hAnsi="宋体" w:eastAsia="宋体" w:cs="宋体"/>
              <w:sz w:val="21"/>
              <w:szCs w:val="21"/>
            </w:rPr>
          </w:pPr>
          <w:r>
            <w:rPr>
              <w:rFonts w:ascii="宋体" w:hAnsi="宋体" w:eastAsia="宋体" w:cs="宋体"/>
              <w:spacing w:val="-1"/>
              <w:sz w:val="21"/>
              <w:szCs w:val="21"/>
            </w:rPr>
            <w:t>（三）近年完成的类似项目情况</w:t>
          </w:r>
          <w:r>
            <w:rPr>
              <w:rFonts w:ascii="宋体" w:hAnsi="宋体" w:eastAsia="宋体" w:cs="宋体"/>
              <w:spacing w:val="-70"/>
              <w:sz w:val="21"/>
              <w:szCs w:val="21"/>
            </w:rPr>
            <w:t xml:space="preserve"> </w:t>
          </w:r>
          <w:r>
            <w:rPr>
              <w:rFonts w:ascii="宋体" w:hAnsi="宋体" w:eastAsia="宋体" w:cs="宋体"/>
              <w:sz w:val="21"/>
              <w:szCs w:val="21"/>
            </w:rPr>
            <w:tab/>
          </w:r>
          <w:r>
            <w:rPr>
              <w:rFonts w:ascii="宋体" w:hAnsi="宋体" w:eastAsia="宋体" w:cs="宋体"/>
              <w:spacing w:val="-26"/>
              <w:sz w:val="21"/>
              <w:szCs w:val="21"/>
            </w:rPr>
            <w:t xml:space="preserve"> </w:t>
          </w:r>
          <w:r>
            <w:fldChar w:fldCharType="begin"/>
          </w:r>
          <w:r>
            <w:instrText xml:space="preserve"> HYPERLINK \l "bookmark307" </w:instrText>
          </w:r>
          <w:r>
            <w:fldChar w:fldCharType="separate"/>
          </w:r>
          <w:r>
            <w:rPr>
              <w:rFonts w:ascii="宋体" w:hAnsi="宋体" w:eastAsia="宋体" w:cs="宋体"/>
              <w:spacing w:val="-2"/>
              <w:sz w:val="21"/>
              <w:szCs w:val="21"/>
            </w:rPr>
            <w:t>275</w:t>
          </w:r>
          <w:r>
            <w:rPr>
              <w:rFonts w:ascii="宋体" w:hAnsi="宋体" w:eastAsia="宋体" w:cs="宋体"/>
              <w:spacing w:val="-2"/>
              <w:sz w:val="21"/>
              <w:szCs w:val="21"/>
            </w:rPr>
            <w:fldChar w:fldCharType="end"/>
          </w:r>
        </w:p>
        <w:p w14:paraId="5401CA04">
          <w:pPr>
            <w:tabs>
              <w:tab w:val="right" w:leader="dot" w:pos="8317"/>
            </w:tabs>
            <w:spacing w:before="22" w:line="221" w:lineRule="auto"/>
            <w:ind w:left="863"/>
            <w:rPr>
              <w:rFonts w:ascii="宋体" w:hAnsi="宋体" w:eastAsia="宋体" w:cs="宋体"/>
              <w:sz w:val="21"/>
              <w:szCs w:val="21"/>
            </w:rPr>
          </w:pPr>
          <w:r>
            <w:rPr>
              <w:rFonts w:ascii="宋体" w:hAnsi="宋体" w:eastAsia="宋体" w:cs="宋体"/>
              <w:spacing w:val="-1"/>
              <w:sz w:val="21"/>
              <w:szCs w:val="21"/>
            </w:rPr>
            <w:t>3-1 近年完成的类似项目汇总表</w:t>
          </w:r>
          <w:r>
            <w:rPr>
              <w:rFonts w:ascii="宋体" w:hAnsi="宋体" w:eastAsia="宋体" w:cs="宋体"/>
              <w:spacing w:val="-66"/>
              <w:sz w:val="21"/>
              <w:szCs w:val="21"/>
            </w:rPr>
            <w:t xml:space="preserve"> </w:t>
          </w:r>
          <w:r>
            <w:rPr>
              <w:rFonts w:ascii="宋体" w:hAnsi="宋体" w:eastAsia="宋体" w:cs="宋体"/>
              <w:sz w:val="21"/>
              <w:szCs w:val="21"/>
            </w:rPr>
            <w:tab/>
          </w:r>
          <w:r>
            <w:rPr>
              <w:rFonts w:ascii="宋体" w:hAnsi="宋体" w:eastAsia="宋体" w:cs="宋体"/>
              <w:spacing w:val="-26"/>
              <w:sz w:val="21"/>
              <w:szCs w:val="21"/>
            </w:rPr>
            <w:t xml:space="preserve"> </w:t>
          </w:r>
          <w:r>
            <w:fldChar w:fldCharType="begin"/>
          </w:r>
          <w:r>
            <w:instrText xml:space="preserve"> HYPERLINK \l "bookmark308" </w:instrText>
          </w:r>
          <w:r>
            <w:fldChar w:fldCharType="separate"/>
          </w:r>
          <w:r>
            <w:rPr>
              <w:rFonts w:ascii="宋体" w:hAnsi="宋体" w:eastAsia="宋体" w:cs="宋体"/>
              <w:spacing w:val="-2"/>
              <w:sz w:val="21"/>
              <w:szCs w:val="21"/>
            </w:rPr>
            <w:t>275</w:t>
          </w:r>
          <w:r>
            <w:rPr>
              <w:rFonts w:ascii="宋体" w:hAnsi="宋体" w:eastAsia="宋体" w:cs="宋体"/>
              <w:spacing w:val="-2"/>
              <w:sz w:val="21"/>
              <w:szCs w:val="21"/>
            </w:rPr>
            <w:fldChar w:fldCharType="end"/>
          </w:r>
        </w:p>
        <w:p w14:paraId="51A4779D">
          <w:pPr>
            <w:tabs>
              <w:tab w:val="right" w:leader="dot" w:pos="8317"/>
            </w:tabs>
            <w:spacing w:before="23" w:line="221" w:lineRule="auto"/>
            <w:ind w:left="863"/>
            <w:rPr>
              <w:rFonts w:ascii="宋体" w:hAnsi="宋体" w:eastAsia="宋体" w:cs="宋体"/>
              <w:sz w:val="21"/>
              <w:szCs w:val="21"/>
            </w:rPr>
          </w:pPr>
          <w:r>
            <w:rPr>
              <w:rFonts w:ascii="宋体" w:hAnsi="宋体" w:eastAsia="宋体" w:cs="宋体"/>
              <w:spacing w:val="-1"/>
              <w:sz w:val="21"/>
              <w:szCs w:val="21"/>
            </w:rPr>
            <w:t>3-2 近年完成的类似项目情况表</w:t>
          </w:r>
          <w:r>
            <w:rPr>
              <w:rFonts w:ascii="宋体" w:hAnsi="宋体" w:eastAsia="宋体" w:cs="宋体"/>
              <w:spacing w:val="-66"/>
              <w:sz w:val="21"/>
              <w:szCs w:val="21"/>
            </w:rPr>
            <w:t xml:space="preserve"> </w:t>
          </w:r>
          <w:r>
            <w:rPr>
              <w:rFonts w:ascii="宋体" w:hAnsi="宋体" w:eastAsia="宋体" w:cs="宋体"/>
              <w:sz w:val="21"/>
              <w:szCs w:val="21"/>
            </w:rPr>
            <w:tab/>
          </w:r>
          <w:r>
            <w:rPr>
              <w:rFonts w:ascii="宋体" w:hAnsi="宋体" w:eastAsia="宋体" w:cs="宋体"/>
              <w:spacing w:val="-26"/>
              <w:sz w:val="21"/>
              <w:szCs w:val="21"/>
            </w:rPr>
            <w:t xml:space="preserve"> </w:t>
          </w:r>
          <w:r>
            <w:fldChar w:fldCharType="begin"/>
          </w:r>
          <w:r>
            <w:instrText xml:space="preserve"> HYPERLINK \l "bookmark309" </w:instrText>
          </w:r>
          <w:r>
            <w:fldChar w:fldCharType="separate"/>
          </w:r>
          <w:r>
            <w:rPr>
              <w:rFonts w:ascii="宋体" w:hAnsi="宋体" w:eastAsia="宋体" w:cs="宋体"/>
              <w:spacing w:val="-2"/>
              <w:sz w:val="21"/>
              <w:szCs w:val="21"/>
            </w:rPr>
            <w:t>276</w:t>
          </w:r>
          <w:r>
            <w:rPr>
              <w:rFonts w:ascii="宋体" w:hAnsi="宋体" w:eastAsia="宋体" w:cs="宋体"/>
              <w:spacing w:val="-2"/>
              <w:sz w:val="21"/>
              <w:szCs w:val="21"/>
            </w:rPr>
            <w:fldChar w:fldCharType="end"/>
          </w:r>
        </w:p>
        <w:p w14:paraId="1482038B">
          <w:pPr>
            <w:tabs>
              <w:tab w:val="right" w:leader="dot" w:pos="8317"/>
            </w:tabs>
            <w:spacing w:before="22" w:line="221" w:lineRule="auto"/>
            <w:ind w:left="865"/>
            <w:rPr>
              <w:rFonts w:ascii="宋体" w:hAnsi="宋体" w:eastAsia="宋体" w:cs="宋体"/>
              <w:sz w:val="21"/>
              <w:szCs w:val="21"/>
            </w:rPr>
          </w:pPr>
          <w:r>
            <w:rPr>
              <w:rFonts w:ascii="宋体" w:hAnsi="宋体" w:eastAsia="宋体" w:cs="宋体"/>
              <w:spacing w:val="-1"/>
              <w:sz w:val="21"/>
              <w:szCs w:val="21"/>
            </w:rPr>
            <w:t>（四）正在施工的和新承接的项目情况</w:t>
          </w:r>
          <w:r>
            <w:rPr>
              <w:rFonts w:ascii="宋体" w:hAnsi="宋体" w:eastAsia="宋体" w:cs="宋体"/>
              <w:spacing w:val="-63"/>
              <w:sz w:val="21"/>
              <w:szCs w:val="21"/>
            </w:rPr>
            <w:t xml:space="preserve"> </w:t>
          </w:r>
          <w:r>
            <w:rPr>
              <w:rFonts w:ascii="宋体" w:hAnsi="宋体" w:eastAsia="宋体" w:cs="宋体"/>
              <w:sz w:val="21"/>
              <w:szCs w:val="21"/>
            </w:rPr>
            <w:tab/>
          </w:r>
          <w:r>
            <w:rPr>
              <w:rFonts w:ascii="宋体" w:hAnsi="宋体" w:eastAsia="宋体" w:cs="宋体"/>
              <w:spacing w:val="-27"/>
              <w:sz w:val="21"/>
              <w:szCs w:val="21"/>
            </w:rPr>
            <w:t xml:space="preserve"> </w:t>
          </w:r>
          <w:r>
            <w:fldChar w:fldCharType="begin"/>
          </w:r>
          <w:r>
            <w:instrText xml:space="preserve"> HYPERLINK \l "bookmark310" </w:instrText>
          </w:r>
          <w:r>
            <w:fldChar w:fldCharType="separate"/>
          </w:r>
          <w:r>
            <w:rPr>
              <w:rFonts w:ascii="宋体" w:hAnsi="宋体" w:eastAsia="宋体" w:cs="宋体"/>
              <w:spacing w:val="-2"/>
              <w:sz w:val="21"/>
              <w:szCs w:val="21"/>
            </w:rPr>
            <w:t>277</w:t>
          </w:r>
          <w:r>
            <w:rPr>
              <w:rFonts w:ascii="宋体" w:hAnsi="宋体" w:eastAsia="宋体" w:cs="宋体"/>
              <w:spacing w:val="-2"/>
              <w:sz w:val="21"/>
              <w:szCs w:val="21"/>
            </w:rPr>
            <w:fldChar w:fldCharType="end"/>
          </w:r>
        </w:p>
        <w:p w14:paraId="798796F4">
          <w:pPr>
            <w:tabs>
              <w:tab w:val="right" w:leader="dot" w:pos="8317"/>
            </w:tabs>
            <w:spacing w:before="18" w:line="221" w:lineRule="auto"/>
            <w:ind w:left="857"/>
            <w:rPr>
              <w:rFonts w:ascii="宋体" w:hAnsi="宋体" w:eastAsia="宋体" w:cs="宋体"/>
              <w:sz w:val="21"/>
              <w:szCs w:val="21"/>
            </w:rPr>
          </w:pPr>
          <w:r>
            <w:rPr>
              <w:rFonts w:ascii="宋体" w:hAnsi="宋体" w:eastAsia="宋体" w:cs="宋体"/>
              <w:spacing w:val="-1"/>
              <w:sz w:val="21"/>
              <w:szCs w:val="21"/>
            </w:rPr>
            <w:t>4-1 正在施工的和新承接的项目汇总表</w:t>
          </w:r>
          <w:r>
            <w:rPr>
              <w:rFonts w:ascii="宋体" w:hAnsi="宋体" w:eastAsia="宋体" w:cs="宋体"/>
              <w:spacing w:val="-54"/>
              <w:sz w:val="21"/>
              <w:szCs w:val="21"/>
            </w:rPr>
            <w:t xml:space="preserve"> </w:t>
          </w:r>
          <w:r>
            <w:rPr>
              <w:rFonts w:ascii="宋体" w:hAnsi="宋体" w:eastAsia="宋体" w:cs="宋体"/>
              <w:sz w:val="21"/>
              <w:szCs w:val="21"/>
            </w:rPr>
            <w:tab/>
          </w:r>
          <w:r>
            <w:rPr>
              <w:rFonts w:ascii="宋体" w:hAnsi="宋体" w:eastAsia="宋体" w:cs="宋体"/>
              <w:spacing w:val="-27"/>
              <w:sz w:val="21"/>
              <w:szCs w:val="21"/>
            </w:rPr>
            <w:t xml:space="preserve"> </w:t>
          </w:r>
          <w:r>
            <w:fldChar w:fldCharType="begin"/>
          </w:r>
          <w:r>
            <w:instrText xml:space="preserve"> HYPERLINK \l "bookmark311" </w:instrText>
          </w:r>
          <w:r>
            <w:fldChar w:fldCharType="separate"/>
          </w:r>
          <w:r>
            <w:rPr>
              <w:rFonts w:ascii="宋体" w:hAnsi="宋体" w:eastAsia="宋体" w:cs="宋体"/>
              <w:spacing w:val="-2"/>
              <w:sz w:val="21"/>
              <w:szCs w:val="21"/>
            </w:rPr>
            <w:t>277</w:t>
          </w:r>
          <w:r>
            <w:rPr>
              <w:rFonts w:ascii="宋体" w:hAnsi="宋体" w:eastAsia="宋体" w:cs="宋体"/>
              <w:spacing w:val="-2"/>
              <w:sz w:val="21"/>
              <w:szCs w:val="21"/>
            </w:rPr>
            <w:fldChar w:fldCharType="end"/>
          </w:r>
        </w:p>
        <w:p w14:paraId="37C3321C">
          <w:pPr>
            <w:tabs>
              <w:tab w:val="right" w:leader="dot" w:pos="8317"/>
            </w:tabs>
            <w:spacing w:before="22" w:line="221" w:lineRule="auto"/>
            <w:ind w:left="857"/>
            <w:rPr>
              <w:rFonts w:ascii="宋体" w:hAnsi="宋体" w:eastAsia="宋体" w:cs="宋体"/>
              <w:sz w:val="21"/>
              <w:szCs w:val="21"/>
            </w:rPr>
          </w:pPr>
          <w:r>
            <w:rPr>
              <w:rFonts w:ascii="宋体" w:hAnsi="宋体" w:eastAsia="宋体" w:cs="宋体"/>
              <w:spacing w:val="-1"/>
              <w:sz w:val="21"/>
              <w:szCs w:val="21"/>
            </w:rPr>
            <w:t>4-2 正在施工的和新承接的项目情况表</w:t>
          </w:r>
          <w:r>
            <w:rPr>
              <w:rFonts w:ascii="宋体" w:hAnsi="宋体" w:eastAsia="宋体" w:cs="宋体"/>
              <w:spacing w:val="-54"/>
              <w:sz w:val="21"/>
              <w:szCs w:val="21"/>
            </w:rPr>
            <w:t xml:space="preserve"> </w:t>
          </w:r>
          <w:r>
            <w:rPr>
              <w:rFonts w:ascii="宋体" w:hAnsi="宋体" w:eastAsia="宋体" w:cs="宋体"/>
              <w:sz w:val="21"/>
              <w:szCs w:val="21"/>
            </w:rPr>
            <w:tab/>
          </w:r>
          <w:r>
            <w:rPr>
              <w:rFonts w:ascii="宋体" w:hAnsi="宋体" w:eastAsia="宋体" w:cs="宋体"/>
              <w:spacing w:val="-27"/>
              <w:sz w:val="21"/>
              <w:szCs w:val="21"/>
            </w:rPr>
            <w:t xml:space="preserve"> </w:t>
          </w:r>
          <w:r>
            <w:fldChar w:fldCharType="begin"/>
          </w:r>
          <w:r>
            <w:instrText xml:space="preserve"> HYPERLINK \l "bookmark312" </w:instrText>
          </w:r>
          <w:r>
            <w:fldChar w:fldCharType="separate"/>
          </w:r>
          <w:r>
            <w:rPr>
              <w:rFonts w:ascii="宋体" w:hAnsi="宋体" w:eastAsia="宋体" w:cs="宋体"/>
              <w:spacing w:val="-2"/>
              <w:sz w:val="21"/>
              <w:szCs w:val="21"/>
            </w:rPr>
            <w:t>278</w:t>
          </w:r>
          <w:r>
            <w:rPr>
              <w:rFonts w:ascii="宋体" w:hAnsi="宋体" w:eastAsia="宋体" w:cs="宋体"/>
              <w:spacing w:val="-2"/>
              <w:sz w:val="21"/>
              <w:szCs w:val="21"/>
            </w:rPr>
            <w:fldChar w:fldCharType="end"/>
          </w:r>
        </w:p>
        <w:p w14:paraId="1C32488C">
          <w:pPr>
            <w:tabs>
              <w:tab w:val="right" w:leader="dot" w:pos="8317"/>
            </w:tabs>
            <w:spacing w:before="22" w:line="220" w:lineRule="auto"/>
            <w:ind w:left="865"/>
            <w:rPr>
              <w:rFonts w:ascii="宋体" w:hAnsi="宋体" w:eastAsia="宋体" w:cs="宋体"/>
              <w:sz w:val="21"/>
              <w:szCs w:val="21"/>
            </w:rPr>
          </w:pPr>
          <w:r>
            <w:rPr>
              <w:rFonts w:ascii="宋体" w:hAnsi="宋体" w:eastAsia="宋体" w:cs="宋体"/>
              <w:spacing w:val="-1"/>
              <w:sz w:val="21"/>
              <w:szCs w:val="21"/>
            </w:rPr>
            <w:t>（五）企业信誉情况</w:t>
          </w:r>
          <w:r>
            <w:rPr>
              <w:rFonts w:ascii="宋体" w:hAnsi="宋体" w:eastAsia="宋体" w:cs="宋体"/>
              <w:spacing w:val="-81"/>
              <w:sz w:val="21"/>
              <w:szCs w:val="21"/>
            </w:rPr>
            <w:t xml:space="preserve"> </w:t>
          </w:r>
          <w:r>
            <w:rPr>
              <w:rFonts w:ascii="宋体" w:hAnsi="宋体" w:eastAsia="宋体" w:cs="宋体"/>
              <w:sz w:val="21"/>
              <w:szCs w:val="21"/>
            </w:rPr>
            <w:tab/>
          </w:r>
          <w:r>
            <w:rPr>
              <w:rFonts w:ascii="宋体" w:hAnsi="宋体" w:eastAsia="宋体" w:cs="宋体"/>
              <w:spacing w:val="-26"/>
              <w:sz w:val="21"/>
              <w:szCs w:val="21"/>
            </w:rPr>
            <w:t xml:space="preserve"> </w:t>
          </w:r>
          <w:r>
            <w:fldChar w:fldCharType="begin"/>
          </w:r>
          <w:r>
            <w:instrText xml:space="preserve"> HYPERLINK \l "bookmark313" </w:instrText>
          </w:r>
          <w:r>
            <w:fldChar w:fldCharType="separate"/>
          </w:r>
          <w:r>
            <w:rPr>
              <w:rFonts w:ascii="宋体" w:hAnsi="宋体" w:eastAsia="宋体" w:cs="宋体"/>
              <w:spacing w:val="-2"/>
              <w:sz w:val="21"/>
              <w:szCs w:val="21"/>
            </w:rPr>
            <w:t>279</w:t>
          </w:r>
          <w:r>
            <w:rPr>
              <w:rFonts w:ascii="宋体" w:hAnsi="宋体" w:eastAsia="宋体" w:cs="宋体"/>
              <w:spacing w:val="-2"/>
              <w:sz w:val="21"/>
              <w:szCs w:val="21"/>
            </w:rPr>
            <w:fldChar w:fldCharType="end"/>
          </w:r>
        </w:p>
        <w:p w14:paraId="4624E64F">
          <w:pPr>
            <w:tabs>
              <w:tab w:val="right" w:leader="dot" w:pos="8317"/>
            </w:tabs>
            <w:spacing w:before="24" w:line="220" w:lineRule="auto"/>
            <w:ind w:left="863"/>
            <w:rPr>
              <w:rFonts w:ascii="宋体" w:hAnsi="宋体" w:eastAsia="宋体" w:cs="宋体"/>
              <w:sz w:val="21"/>
              <w:szCs w:val="21"/>
            </w:rPr>
          </w:pPr>
          <w:r>
            <w:rPr>
              <w:rFonts w:ascii="宋体" w:hAnsi="宋体" w:eastAsia="宋体" w:cs="宋体"/>
              <w:spacing w:val="-3"/>
              <w:sz w:val="21"/>
              <w:szCs w:val="21"/>
            </w:rPr>
            <w:t>5-1</w:t>
          </w:r>
          <w:r>
            <w:rPr>
              <w:rFonts w:ascii="宋体" w:hAnsi="宋体" w:eastAsia="宋体" w:cs="宋体"/>
              <w:spacing w:val="-35"/>
              <w:sz w:val="21"/>
              <w:szCs w:val="21"/>
            </w:rPr>
            <w:t xml:space="preserve"> </w:t>
          </w:r>
          <w:r>
            <w:rPr>
              <w:rFonts w:ascii="宋体" w:hAnsi="宋体" w:eastAsia="宋体" w:cs="宋体"/>
              <w:spacing w:val="-3"/>
              <w:sz w:val="21"/>
              <w:szCs w:val="21"/>
            </w:rPr>
            <w:t>企业信誉声明</w:t>
          </w:r>
          <w:r>
            <w:rPr>
              <w:rFonts w:ascii="宋体" w:hAnsi="宋体" w:eastAsia="宋体" w:cs="宋体"/>
              <w:spacing w:val="-28"/>
              <w:sz w:val="21"/>
              <w:szCs w:val="21"/>
            </w:rPr>
            <w:t xml:space="preserve"> </w:t>
          </w:r>
          <w:r>
            <w:rPr>
              <w:rFonts w:ascii="宋体" w:hAnsi="宋体" w:eastAsia="宋体" w:cs="宋体"/>
              <w:sz w:val="21"/>
              <w:szCs w:val="21"/>
            </w:rPr>
            <w:tab/>
          </w:r>
          <w:r>
            <w:rPr>
              <w:rFonts w:ascii="宋体" w:hAnsi="宋体" w:eastAsia="宋体" w:cs="宋体"/>
              <w:spacing w:val="-26"/>
              <w:sz w:val="21"/>
              <w:szCs w:val="21"/>
            </w:rPr>
            <w:t xml:space="preserve"> </w:t>
          </w:r>
          <w:r>
            <w:fldChar w:fldCharType="begin"/>
          </w:r>
          <w:r>
            <w:instrText xml:space="preserve"> HYPERLINK \l "bookmark314" </w:instrText>
          </w:r>
          <w:r>
            <w:fldChar w:fldCharType="separate"/>
          </w:r>
          <w:r>
            <w:rPr>
              <w:rFonts w:ascii="宋体" w:hAnsi="宋体" w:eastAsia="宋体" w:cs="宋体"/>
              <w:spacing w:val="-2"/>
              <w:sz w:val="21"/>
              <w:szCs w:val="21"/>
            </w:rPr>
            <w:t>279</w:t>
          </w:r>
          <w:r>
            <w:rPr>
              <w:rFonts w:ascii="宋体" w:hAnsi="宋体" w:eastAsia="宋体" w:cs="宋体"/>
              <w:spacing w:val="-2"/>
              <w:sz w:val="21"/>
              <w:szCs w:val="21"/>
            </w:rPr>
            <w:fldChar w:fldCharType="end"/>
          </w:r>
        </w:p>
        <w:p w14:paraId="4776D7A7">
          <w:pPr>
            <w:tabs>
              <w:tab w:val="right" w:leader="dot" w:pos="8317"/>
            </w:tabs>
            <w:spacing w:before="19" w:line="221" w:lineRule="auto"/>
            <w:ind w:left="863"/>
            <w:rPr>
              <w:rFonts w:ascii="宋体" w:hAnsi="宋体" w:eastAsia="宋体" w:cs="宋体"/>
              <w:sz w:val="21"/>
              <w:szCs w:val="21"/>
            </w:rPr>
          </w:pPr>
          <w:r>
            <w:rPr>
              <w:rFonts w:ascii="宋体" w:hAnsi="宋体" w:eastAsia="宋体" w:cs="宋体"/>
              <w:spacing w:val="-1"/>
              <w:sz w:val="21"/>
              <w:szCs w:val="21"/>
            </w:rPr>
            <w:t>5-2 近年发生的诉讼和仲裁情况</w:t>
          </w:r>
          <w:r>
            <w:rPr>
              <w:rFonts w:ascii="宋体" w:hAnsi="宋体" w:eastAsia="宋体" w:cs="宋体"/>
              <w:spacing w:val="-66"/>
              <w:sz w:val="21"/>
              <w:szCs w:val="21"/>
            </w:rPr>
            <w:t xml:space="preserve"> </w:t>
          </w:r>
          <w:r>
            <w:rPr>
              <w:rFonts w:ascii="宋体" w:hAnsi="宋体" w:eastAsia="宋体" w:cs="宋体"/>
              <w:sz w:val="21"/>
              <w:szCs w:val="21"/>
            </w:rPr>
            <w:tab/>
          </w:r>
          <w:r>
            <w:rPr>
              <w:rFonts w:ascii="宋体" w:hAnsi="宋体" w:eastAsia="宋体" w:cs="宋体"/>
              <w:spacing w:val="-26"/>
              <w:sz w:val="21"/>
              <w:szCs w:val="21"/>
            </w:rPr>
            <w:t xml:space="preserve"> </w:t>
          </w:r>
          <w:r>
            <w:fldChar w:fldCharType="begin"/>
          </w:r>
          <w:r>
            <w:instrText xml:space="preserve"> HYPERLINK \l "bookmark315" </w:instrText>
          </w:r>
          <w:r>
            <w:fldChar w:fldCharType="separate"/>
          </w:r>
          <w:r>
            <w:rPr>
              <w:rFonts w:ascii="宋体" w:hAnsi="宋体" w:eastAsia="宋体" w:cs="宋体"/>
              <w:spacing w:val="-2"/>
              <w:sz w:val="21"/>
              <w:szCs w:val="21"/>
            </w:rPr>
            <w:t>280</w:t>
          </w:r>
          <w:r>
            <w:rPr>
              <w:rFonts w:ascii="宋体" w:hAnsi="宋体" w:eastAsia="宋体" w:cs="宋体"/>
              <w:spacing w:val="-2"/>
              <w:sz w:val="21"/>
              <w:szCs w:val="21"/>
            </w:rPr>
            <w:fldChar w:fldCharType="end"/>
          </w:r>
        </w:p>
        <w:p w14:paraId="0E31218B">
          <w:pPr>
            <w:tabs>
              <w:tab w:val="right" w:leader="dot" w:pos="8317"/>
            </w:tabs>
            <w:spacing w:before="22" w:line="221" w:lineRule="auto"/>
            <w:ind w:left="863"/>
            <w:rPr>
              <w:rFonts w:ascii="宋体" w:hAnsi="宋体" w:eastAsia="宋体" w:cs="宋体"/>
              <w:sz w:val="21"/>
              <w:szCs w:val="21"/>
            </w:rPr>
          </w:pPr>
          <w:r>
            <w:rPr>
              <w:rFonts w:ascii="宋体" w:hAnsi="宋体" w:eastAsia="宋体" w:cs="宋体"/>
              <w:spacing w:val="-1"/>
              <w:sz w:val="21"/>
              <w:szCs w:val="21"/>
            </w:rPr>
            <w:t>5-3 近年投标人工程获奖情况表</w:t>
          </w:r>
          <w:r>
            <w:rPr>
              <w:rFonts w:ascii="宋体" w:hAnsi="宋体" w:eastAsia="宋体" w:cs="宋体"/>
              <w:spacing w:val="-66"/>
              <w:sz w:val="21"/>
              <w:szCs w:val="21"/>
            </w:rPr>
            <w:t xml:space="preserve"> </w:t>
          </w:r>
          <w:r>
            <w:rPr>
              <w:rFonts w:ascii="宋体" w:hAnsi="宋体" w:eastAsia="宋体" w:cs="宋体"/>
              <w:sz w:val="21"/>
              <w:szCs w:val="21"/>
            </w:rPr>
            <w:tab/>
          </w:r>
          <w:r>
            <w:rPr>
              <w:rFonts w:ascii="宋体" w:hAnsi="宋体" w:eastAsia="宋体" w:cs="宋体"/>
              <w:spacing w:val="-26"/>
              <w:sz w:val="21"/>
              <w:szCs w:val="21"/>
            </w:rPr>
            <w:t xml:space="preserve"> </w:t>
          </w:r>
          <w:r>
            <w:fldChar w:fldCharType="begin"/>
          </w:r>
          <w:r>
            <w:instrText xml:space="preserve"> HYPERLINK \l "bookmark316" </w:instrText>
          </w:r>
          <w:r>
            <w:fldChar w:fldCharType="separate"/>
          </w:r>
          <w:r>
            <w:rPr>
              <w:rFonts w:ascii="宋体" w:hAnsi="宋体" w:eastAsia="宋体" w:cs="宋体"/>
              <w:spacing w:val="-2"/>
              <w:sz w:val="21"/>
              <w:szCs w:val="21"/>
            </w:rPr>
            <w:t>281</w:t>
          </w:r>
          <w:r>
            <w:rPr>
              <w:rFonts w:ascii="宋体" w:hAnsi="宋体" w:eastAsia="宋体" w:cs="宋体"/>
              <w:spacing w:val="-2"/>
              <w:sz w:val="21"/>
              <w:szCs w:val="21"/>
            </w:rPr>
            <w:fldChar w:fldCharType="end"/>
          </w:r>
        </w:p>
        <w:p w14:paraId="3E07FD94">
          <w:pPr>
            <w:tabs>
              <w:tab w:val="right" w:leader="dot" w:pos="8317"/>
            </w:tabs>
            <w:spacing w:before="22" w:line="221" w:lineRule="auto"/>
            <w:ind w:left="863"/>
            <w:rPr>
              <w:rFonts w:ascii="宋体" w:hAnsi="宋体" w:eastAsia="宋体" w:cs="宋体"/>
              <w:sz w:val="21"/>
              <w:szCs w:val="21"/>
            </w:rPr>
          </w:pPr>
          <w:r>
            <w:rPr>
              <w:rFonts w:ascii="宋体" w:hAnsi="宋体" w:eastAsia="宋体" w:cs="宋体"/>
              <w:spacing w:val="-1"/>
              <w:sz w:val="21"/>
              <w:szCs w:val="21"/>
            </w:rPr>
            <w:t>5-4 近年项目经理工程获奖情况表</w:t>
          </w:r>
          <w:r>
            <w:rPr>
              <w:rFonts w:ascii="宋体" w:hAnsi="宋体" w:eastAsia="宋体" w:cs="宋体"/>
              <w:spacing w:val="-64"/>
              <w:sz w:val="21"/>
              <w:szCs w:val="21"/>
            </w:rPr>
            <w:t xml:space="preserve"> </w:t>
          </w:r>
          <w:r>
            <w:rPr>
              <w:rFonts w:ascii="宋体" w:hAnsi="宋体" w:eastAsia="宋体" w:cs="宋体"/>
              <w:sz w:val="21"/>
              <w:szCs w:val="21"/>
            </w:rPr>
            <w:tab/>
          </w:r>
          <w:r>
            <w:rPr>
              <w:rFonts w:ascii="宋体" w:hAnsi="宋体" w:eastAsia="宋体" w:cs="宋体"/>
              <w:spacing w:val="-26"/>
              <w:sz w:val="21"/>
              <w:szCs w:val="21"/>
            </w:rPr>
            <w:t xml:space="preserve"> </w:t>
          </w:r>
          <w:r>
            <w:fldChar w:fldCharType="begin"/>
          </w:r>
          <w:r>
            <w:instrText xml:space="preserve"> HYPERLINK \l "bookmark317" </w:instrText>
          </w:r>
          <w:r>
            <w:fldChar w:fldCharType="separate"/>
          </w:r>
          <w:r>
            <w:rPr>
              <w:rFonts w:ascii="宋体" w:hAnsi="宋体" w:eastAsia="宋体" w:cs="宋体"/>
              <w:spacing w:val="-2"/>
              <w:sz w:val="21"/>
              <w:szCs w:val="21"/>
            </w:rPr>
            <w:t>282</w:t>
          </w:r>
          <w:r>
            <w:rPr>
              <w:rFonts w:ascii="宋体" w:hAnsi="宋体" w:eastAsia="宋体" w:cs="宋体"/>
              <w:spacing w:val="-2"/>
              <w:sz w:val="21"/>
              <w:szCs w:val="21"/>
            </w:rPr>
            <w:fldChar w:fldCharType="end"/>
          </w:r>
        </w:p>
        <w:p w14:paraId="22F16C9A">
          <w:pPr>
            <w:tabs>
              <w:tab w:val="right" w:leader="dot" w:pos="8317"/>
            </w:tabs>
            <w:spacing w:before="22" w:line="221" w:lineRule="auto"/>
            <w:ind w:left="863"/>
            <w:rPr>
              <w:rFonts w:ascii="宋体" w:hAnsi="宋体" w:eastAsia="宋体" w:cs="宋体"/>
              <w:sz w:val="21"/>
              <w:szCs w:val="21"/>
            </w:rPr>
          </w:pPr>
          <w:r>
            <w:rPr>
              <w:rFonts w:ascii="宋体" w:hAnsi="宋体" w:eastAsia="宋体" w:cs="宋体"/>
              <w:spacing w:val="-1"/>
              <w:sz w:val="21"/>
              <w:szCs w:val="21"/>
            </w:rPr>
            <w:t>5-5 近年项目经理获表彰情况表</w:t>
          </w:r>
          <w:r>
            <w:rPr>
              <w:rFonts w:ascii="宋体" w:hAnsi="宋体" w:eastAsia="宋体" w:cs="宋体"/>
              <w:spacing w:val="-66"/>
              <w:sz w:val="21"/>
              <w:szCs w:val="21"/>
            </w:rPr>
            <w:t xml:space="preserve"> </w:t>
          </w:r>
          <w:r>
            <w:rPr>
              <w:rFonts w:ascii="宋体" w:hAnsi="宋体" w:eastAsia="宋体" w:cs="宋体"/>
              <w:sz w:val="21"/>
              <w:szCs w:val="21"/>
            </w:rPr>
            <w:tab/>
          </w:r>
          <w:r>
            <w:rPr>
              <w:rFonts w:ascii="宋体" w:hAnsi="宋体" w:eastAsia="宋体" w:cs="宋体"/>
              <w:spacing w:val="-26"/>
              <w:sz w:val="21"/>
              <w:szCs w:val="21"/>
            </w:rPr>
            <w:t xml:space="preserve"> </w:t>
          </w:r>
          <w:r>
            <w:fldChar w:fldCharType="begin"/>
          </w:r>
          <w:r>
            <w:instrText xml:space="preserve"> HYPERLINK \l "bookmark318" </w:instrText>
          </w:r>
          <w:r>
            <w:fldChar w:fldCharType="separate"/>
          </w:r>
          <w:r>
            <w:rPr>
              <w:rFonts w:ascii="宋体" w:hAnsi="宋体" w:eastAsia="宋体" w:cs="宋体"/>
              <w:spacing w:val="-2"/>
              <w:sz w:val="21"/>
              <w:szCs w:val="21"/>
            </w:rPr>
            <w:t>283</w:t>
          </w:r>
          <w:r>
            <w:rPr>
              <w:rFonts w:ascii="宋体" w:hAnsi="宋体" w:eastAsia="宋体" w:cs="宋体"/>
              <w:spacing w:val="-2"/>
              <w:sz w:val="21"/>
              <w:szCs w:val="21"/>
            </w:rPr>
            <w:fldChar w:fldCharType="end"/>
          </w:r>
        </w:p>
        <w:p w14:paraId="55B62F2F">
          <w:pPr>
            <w:tabs>
              <w:tab w:val="right" w:leader="dot" w:pos="8317"/>
            </w:tabs>
            <w:spacing w:before="18" w:line="219" w:lineRule="auto"/>
            <w:ind w:left="444"/>
            <w:rPr>
              <w:rFonts w:ascii="宋体" w:hAnsi="宋体" w:eastAsia="宋体" w:cs="宋体"/>
              <w:sz w:val="21"/>
              <w:szCs w:val="21"/>
            </w:rPr>
          </w:pPr>
          <w:r>
            <w:rPr>
              <w:rFonts w:ascii="宋体" w:hAnsi="宋体" w:eastAsia="宋体" w:cs="宋体"/>
              <w:spacing w:val="-1"/>
              <w:sz w:val="21"/>
              <w:szCs w:val="21"/>
            </w:rPr>
            <w:t>八、已标价工程量清单</w:t>
          </w:r>
          <w:r>
            <w:rPr>
              <w:rFonts w:ascii="宋体" w:hAnsi="宋体" w:eastAsia="宋体" w:cs="宋体"/>
              <w:spacing w:val="-81"/>
              <w:sz w:val="21"/>
              <w:szCs w:val="21"/>
            </w:rPr>
            <w:t xml:space="preserve"> </w:t>
          </w:r>
          <w:r>
            <w:rPr>
              <w:rFonts w:ascii="宋体" w:hAnsi="宋体" w:eastAsia="宋体" w:cs="宋体"/>
              <w:sz w:val="21"/>
              <w:szCs w:val="21"/>
            </w:rPr>
            <w:tab/>
          </w:r>
          <w:r>
            <w:rPr>
              <w:rFonts w:ascii="宋体" w:hAnsi="宋体" w:eastAsia="宋体" w:cs="宋体"/>
              <w:spacing w:val="-26"/>
              <w:sz w:val="21"/>
              <w:szCs w:val="21"/>
            </w:rPr>
            <w:t xml:space="preserve"> </w:t>
          </w:r>
          <w:r>
            <w:fldChar w:fldCharType="begin"/>
          </w:r>
          <w:r>
            <w:instrText xml:space="preserve"> HYPERLINK \l "bookmark319" </w:instrText>
          </w:r>
          <w:r>
            <w:fldChar w:fldCharType="separate"/>
          </w:r>
          <w:r>
            <w:rPr>
              <w:rFonts w:ascii="宋体" w:hAnsi="宋体" w:eastAsia="宋体" w:cs="宋体"/>
              <w:spacing w:val="-2"/>
              <w:sz w:val="21"/>
              <w:szCs w:val="21"/>
            </w:rPr>
            <w:t>284</w:t>
          </w:r>
          <w:r>
            <w:rPr>
              <w:rFonts w:ascii="宋体" w:hAnsi="宋体" w:eastAsia="宋体" w:cs="宋体"/>
              <w:spacing w:val="-2"/>
              <w:sz w:val="21"/>
              <w:szCs w:val="21"/>
            </w:rPr>
            <w:fldChar w:fldCharType="end"/>
          </w:r>
        </w:p>
        <w:p w14:paraId="3B5A75F3">
          <w:pPr>
            <w:tabs>
              <w:tab w:val="right" w:leader="dot" w:pos="8317"/>
            </w:tabs>
            <w:spacing w:before="25" w:line="219" w:lineRule="auto"/>
            <w:ind w:left="881"/>
            <w:rPr>
              <w:rFonts w:ascii="宋体" w:hAnsi="宋体" w:eastAsia="宋体" w:cs="宋体"/>
              <w:sz w:val="21"/>
              <w:szCs w:val="21"/>
            </w:rPr>
          </w:pPr>
          <w:r>
            <w:rPr>
              <w:rFonts w:ascii="宋体" w:hAnsi="宋体" w:eastAsia="宋体" w:cs="宋体"/>
              <w:spacing w:val="-3"/>
              <w:sz w:val="21"/>
              <w:szCs w:val="21"/>
            </w:rPr>
            <w:t>已标价工程量清单（投标总价）封面</w:t>
          </w:r>
          <w:r>
            <w:rPr>
              <w:rFonts w:ascii="宋体" w:hAnsi="宋体" w:eastAsia="宋体" w:cs="宋体"/>
              <w:spacing w:val="-50"/>
              <w:sz w:val="21"/>
              <w:szCs w:val="21"/>
            </w:rPr>
            <w:t xml:space="preserve"> </w:t>
          </w:r>
          <w:r>
            <w:rPr>
              <w:rFonts w:ascii="宋体" w:hAnsi="宋体" w:eastAsia="宋体" w:cs="宋体"/>
              <w:sz w:val="21"/>
              <w:szCs w:val="21"/>
            </w:rPr>
            <w:tab/>
          </w:r>
          <w:r>
            <w:rPr>
              <w:rFonts w:ascii="宋体" w:hAnsi="宋体" w:eastAsia="宋体" w:cs="宋体"/>
              <w:spacing w:val="-27"/>
              <w:sz w:val="21"/>
              <w:szCs w:val="21"/>
            </w:rPr>
            <w:t xml:space="preserve"> </w:t>
          </w:r>
          <w:r>
            <w:fldChar w:fldCharType="begin"/>
          </w:r>
          <w:r>
            <w:instrText xml:space="preserve"> HYPERLINK \l "bookmark320" </w:instrText>
          </w:r>
          <w:r>
            <w:fldChar w:fldCharType="separate"/>
          </w:r>
          <w:r>
            <w:rPr>
              <w:rFonts w:ascii="宋体" w:hAnsi="宋体" w:eastAsia="宋体" w:cs="宋体"/>
              <w:spacing w:val="-2"/>
              <w:sz w:val="21"/>
              <w:szCs w:val="21"/>
            </w:rPr>
            <w:t>285</w:t>
          </w:r>
          <w:r>
            <w:rPr>
              <w:rFonts w:ascii="宋体" w:hAnsi="宋体" w:eastAsia="宋体" w:cs="宋体"/>
              <w:spacing w:val="-2"/>
              <w:sz w:val="21"/>
              <w:szCs w:val="21"/>
            </w:rPr>
            <w:fldChar w:fldCharType="end"/>
          </w:r>
        </w:p>
        <w:p w14:paraId="08695753">
          <w:pPr>
            <w:tabs>
              <w:tab w:val="right" w:leader="dot" w:pos="8317"/>
            </w:tabs>
            <w:spacing w:before="24" w:line="219" w:lineRule="auto"/>
            <w:ind w:left="861"/>
            <w:rPr>
              <w:rFonts w:ascii="宋体" w:hAnsi="宋体" w:eastAsia="宋体" w:cs="宋体"/>
              <w:sz w:val="21"/>
              <w:szCs w:val="21"/>
            </w:rPr>
          </w:pPr>
          <w:r>
            <w:rPr>
              <w:rFonts w:ascii="宋体" w:hAnsi="宋体" w:eastAsia="宋体" w:cs="宋体"/>
              <w:spacing w:val="-2"/>
              <w:sz w:val="21"/>
              <w:szCs w:val="21"/>
            </w:rPr>
            <w:t>投标总价扉页</w:t>
          </w:r>
          <w:r>
            <w:rPr>
              <w:rFonts w:ascii="宋体" w:hAnsi="宋体" w:eastAsia="宋体" w:cs="宋体"/>
              <w:spacing w:val="-79"/>
              <w:sz w:val="21"/>
              <w:szCs w:val="21"/>
            </w:rPr>
            <w:t xml:space="preserve"> </w:t>
          </w:r>
          <w:r>
            <w:rPr>
              <w:rFonts w:ascii="宋体" w:hAnsi="宋体" w:eastAsia="宋体" w:cs="宋体"/>
              <w:sz w:val="21"/>
              <w:szCs w:val="21"/>
            </w:rPr>
            <w:tab/>
          </w:r>
          <w:r>
            <w:rPr>
              <w:rFonts w:ascii="宋体" w:hAnsi="宋体" w:eastAsia="宋体" w:cs="宋体"/>
              <w:spacing w:val="-26"/>
              <w:sz w:val="21"/>
              <w:szCs w:val="21"/>
            </w:rPr>
            <w:t xml:space="preserve"> </w:t>
          </w:r>
          <w:r>
            <w:fldChar w:fldCharType="begin"/>
          </w:r>
          <w:r>
            <w:instrText xml:space="preserve"> HYPERLINK \l "bookmark321" </w:instrText>
          </w:r>
          <w:r>
            <w:fldChar w:fldCharType="separate"/>
          </w:r>
          <w:r>
            <w:rPr>
              <w:rFonts w:ascii="宋体" w:hAnsi="宋体" w:eastAsia="宋体" w:cs="宋体"/>
              <w:spacing w:val="-2"/>
              <w:sz w:val="21"/>
              <w:szCs w:val="21"/>
            </w:rPr>
            <w:t>286</w:t>
          </w:r>
          <w:r>
            <w:rPr>
              <w:rFonts w:ascii="宋体" w:hAnsi="宋体" w:eastAsia="宋体" w:cs="宋体"/>
              <w:spacing w:val="-2"/>
              <w:sz w:val="21"/>
              <w:szCs w:val="21"/>
            </w:rPr>
            <w:fldChar w:fldCharType="end"/>
          </w:r>
        </w:p>
        <w:p w14:paraId="12D9FAD8">
          <w:pPr>
            <w:tabs>
              <w:tab w:val="right" w:leader="dot" w:pos="8317"/>
            </w:tabs>
            <w:spacing w:before="20" w:line="222" w:lineRule="auto"/>
            <w:ind w:left="446"/>
            <w:rPr>
              <w:rFonts w:ascii="宋体" w:hAnsi="宋体" w:eastAsia="宋体" w:cs="宋体"/>
              <w:sz w:val="21"/>
              <w:szCs w:val="21"/>
            </w:rPr>
          </w:pPr>
          <w:r>
            <w:rPr>
              <w:rFonts w:ascii="宋体" w:hAnsi="宋体" w:eastAsia="宋体" w:cs="宋体"/>
              <w:spacing w:val="-2"/>
              <w:sz w:val="21"/>
              <w:szCs w:val="21"/>
            </w:rPr>
            <w:t>九、施工组织设计</w:t>
          </w:r>
          <w:r>
            <w:rPr>
              <w:rFonts w:ascii="宋体" w:hAnsi="宋体" w:eastAsia="宋体" w:cs="宋体"/>
              <w:spacing w:val="-80"/>
              <w:sz w:val="21"/>
              <w:szCs w:val="21"/>
            </w:rPr>
            <w:t xml:space="preserve"> </w:t>
          </w:r>
          <w:r>
            <w:rPr>
              <w:rFonts w:ascii="宋体" w:hAnsi="宋体" w:eastAsia="宋体" w:cs="宋体"/>
              <w:sz w:val="21"/>
              <w:szCs w:val="21"/>
            </w:rPr>
            <w:tab/>
          </w:r>
          <w:r>
            <w:rPr>
              <w:rFonts w:ascii="宋体" w:hAnsi="宋体" w:eastAsia="宋体" w:cs="宋体"/>
              <w:spacing w:val="-26"/>
              <w:sz w:val="21"/>
              <w:szCs w:val="21"/>
            </w:rPr>
            <w:t xml:space="preserve"> </w:t>
          </w:r>
          <w:r>
            <w:fldChar w:fldCharType="begin"/>
          </w:r>
          <w:r>
            <w:instrText xml:space="preserve"> HYPERLINK \l "bookmark322" </w:instrText>
          </w:r>
          <w:r>
            <w:fldChar w:fldCharType="separate"/>
          </w:r>
          <w:r>
            <w:rPr>
              <w:rFonts w:ascii="宋体" w:hAnsi="宋体" w:eastAsia="宋体" w:cs="宋体"/>
              <w:spacing w:val="-2"/>
              <w:sz w:val="21"/>
              <w:szCs w:val="21"/>
            </w:rPr>
            <w:t>287</w:t>
          </w:r>
          <w:r>
            <w:rPr>
              <w:rFonts w:ascii="宋体" w:hAnsi="宋体" w:eastAsia="宋体" w:cs="宋体"/>
              <w:spacing w:val="-2"/>
              <w:sz w:val="21"/>
              <w:szCs w:val="21"/>
            </w:rPr>
            <w:fldChar w:fldCharType="end"/>
          </w:r>
        </w:p>
        <w:p w14:paraId="27ADBB08">
          <w:pPr>
            <w:tabs>
              <w:tab w:val="right" w:leader="dot" w:pos="8317"/>
            </w:tabs>
            <w:spacing w:before="21" w:line="220" w:lineRule="auto"/>
            <w:ind w:left="875"/>
            <w:rPr>
              <w:rFonts w:ascii="宋体" w:hAnsi="宋体" w:eastAsia="宋体" w:cs="宋体"/>
              <w:sz w:val="21"/>
              <w:szCs w:val="21"/>
            </w:rPr>
          </w:pPr>
          <w:r>
            <w:rPr>
              <w:rFonts w:ascii="宋体" w:hAnsi="宋体" w:eastAsia="宋体" w:cs="宋体"/>
              <w:spacing w:val="-2"/>
              <w:sz w:val="21"/>
              <w:szCs w:val="21"/>
            </w:rPr>
            <w:t>附表一：拟投入本工程的主要施工设备表</w:t>
          </w:r>
          <w:r>
            <w:rPr>
              <w:rFonts w:ascii="宋体" w:hAnsi="宋体" w:eastAsia="宋体" w:cs="宋体"/>
              <w:spacing w:val="-53"/>
              <w:sz w:val="21"/>
              <w:szCs w:val="21"/>
            </w:rPr>
            <w:t xml:space="preserve"> </w:t>
          </w:r>
          <w:r>
            <w:rPr>
              <w:rFonts w:ascii="宋体" w:hAnsi="宋体" w:eastAsia="宋体" w:cs="宋体"/>
              <w:sz w:val="21"/>
              <w:szCs w:val="21"/>
            </w:rPr>
            <w:tab/>
          </w:r>
          <w:r>
            <w:rPr>
              <w:rFonts w:ascii="宋体" w:hAnsi="宋体" w:eastAsia="宋体" w:cs="宋体"/>
              <w:spacing w:val="-25"/>
              <w:sz w:val="21"/>
              <w:szCs w:val="21"/>
            </w:rPr>
            <w:t xml:space="preserve"> </w:t>
          </w:r>
          <w:r>
            <w:fldChar w:fldCharType="begin"/>
          </w:r>
          <w:r>
            <w:instrText xml:space="preserve"> HYPERLINK \l "bookmark323" </w:instrText>
          </w:r>
          <w:r>
            <w:fldChar w:fldCharType="separate"/>
          </w:r>
          <w:r>
            <w:rPr>
              <w:rFonts w:ascii="宋体" w:hAnsi="宋体" w:eastAsia="宋体" w:cs="宋体"/>
              <w:spacing w:val="-2"/>
              <w:sz w:val="21"/>
              <w:szCs w:val="21"/>
            </w:rPr>
            <w:t>289</w:t>
          </w:r>
          <w:r>
            <w:rPr>
              <w:rFonts w:ascii="宋体" w:hAnsi="宋体" w:eastAsia="宋体" w:cs="宋体"/>
              <w:spacing w:val="-2"/>
              <w:sz w:val="21"/>
              <w:szCs w:val="21"/>
            </w:rPr>
            <w:fldChar w:fldCharType="end"/>
          </w:r>
        </w:p>
        <w:p w14:paraId="44733EC6">
          <w:pPr>
            <w:tabs>
              <w:tab w:val="right" w:leader="dot" w:pos="8317"/>
            </w:tabs>
            <w:spacing w:before="23" w:line="220" w:lineRule="auto"/>
            <w:ind w:left="875"/>
            <w:rPr>
              <w:rFonts w:ascii="宋体" w:hAnsi="宋体" w:eastAsia="宋体" w:cs="宋体"/>
              <w:sz w:val="21"/>
              <w:szCs w:val="21"/>
            </w:rPr>
          </w:pPr>
          <w:r>
            <w:rPr>
              <w:rFonts w:ascii="宋体" w:hAnsi="宋体" w:eastAsia="宋体" w:cs="宋体"/>
              <w:spacing w:val="-1"/>
              <w:sz w:val="21"/>
              <w:szCs w:val="21"/>
            </w:rPr>
            <w:t>附表二：拟配备本工程的试验和检测仪器设备表</w:t>
          </w:r>
          <w:r>
            <w:rPr>
              <w:rFonts w:ascii="宋体" w:hAnsi="宋体" w:eastAsia="宋体" w:cs="宋体"/>
              <w:spacing w:val="-64"/>
              <w:sz w:val="21"/>
              <w:szCs w:val="21"/>
            </w:rPr>
            <w:t xml:space="preserve"> </w:t>
          </w:r>
          <w:r>
            <w:rPr>
              <w:rFonts w:ascii="宋体" w:hAnsi="宋体" w:eastAsia="宋体" w:cs="宋体"/>
              <w:sz w:val="21"/>
              <w:szCs w:val="21"/>
            </w:rPr>
            <w:tab/>
          </w:r>
          <w:r>
            <w:rPr>
              <w:rFonts w:ascii="宋体" w:hAnsi="宋体" w:eastAsia="宋体" w:cs="宋体"/>
              <w:spacing w:val="-26"/>
              <w:sz w:val="21"/>
              <w:szCs w:val="21"/>
            </w:rPr>
            <w:t xml:space="preserve"> </w:t>
          </w:r>
          <w:r>
            <w:fldChar w:fldCharType="begin"/>
          </w:r>
          <w:r>
            <w:instrText xml:space="preserve"> HYPERLINK \l "bookmark324" </w:instrText>
          </w:r>
          <w:r>
            <w:fldChar w:fldCharType="separate"/>
          </w:r>
          <w:r>
            <w:rPr>
              <w:rFonts w:ascii="宋体" w:hAnsi="宋体" w:eastAsia="宋体" w:cs="宋体"/>
              <w:spacing w:val="-2"/>
              <w:sz w:val="21"/>
              <w:szCs w:val="21"/>
            </w:rPr>
            <w:t>290</w:t>
          </w:r>
          <w:r>
            <w:rPr>
              <w:rFonts w:ascii="宋体" w:hAnsi="宋体" w:eastAsia="宋体" w:cs="宋体"/>
              <w:spacing w:val="-2"/>
              <w:sz w:val="21"/>
              <w:szCs w:val="21"/>
            </w:rPr>
            <w:fldChar w:fldCharType="end"/>
          </w:r>
        </w:p>
        <w:p w14:paraId="6BDA103C">
          <w:pPr>
            <w:tabs>
              <w:tab w:val="right" w:leader="dot" w:pos="8317"/>
            </w:tabs>
            <w:spacing w:before="24" w:line="220" w:lineRule="auto"/>
            <w:ind w:left="875"/>
            <w:rPr>
              <w:rFonts w:ascii="宋体" w:hAnsi="宋体" w:eastAsia="宋体" w:cs="宋体"/>
              <w:sz w:val="21"/>
              <w:szCs w:val="21"/>
            </w:rPr>
          </w:pPr>
          <w:r>
            <w:rPr>
              <w:rFonts w:ascii="宋体" w:hAnsi="宋体" w:eastAsia="宋体" w:cs="宋体"/>
              <w:spacing w:val="-3"/>
              <w:sz w:val="21"/>
              <w:szCs w:val="21"/>
            </w:rPr>
            <w:t>附表三：劳动力计划表</w:t>
          </w:r>
          <w:r>
            <w:rPr>
              <w:rFonts w:ascii="宋体" w:hAnsi="宋体" w:eastAsia="宋体" w:cs="宋体"/>
              <w:spacing w:val="-69"/>
              <w:sz w:val="21"/>
              <w:szCs w:val="21"/>
            </w:rPr>
            <w:t xml:space="preserve"> </w:t>
          </w:r>
          <w:r>
            <w:rPr>
              <w:rFonts w:ascii="宋体" w:hAnsi="宋体" w:eastAsia="宋体" w:cs="宋体"/>
              <w:sz w:val="21"/>
              <w:szCs w:val="21"/>
            </w:rPr>
            <w:tab/>
          </w:r>
          <w:r>
            <w:rPr>
              <w:rFonts w:ascii="宋体" w:hAnsi="宋体" w:eastAsia="宋体" w:cs="宋体"/>
              <w:spacing w:val="-26"/>
              <w:sz w:val="21"/>
              <w:szCs w:val="21"/>
            </w:rPr>
            <w:t xml:space="preserve"> </w:t>
          </w:r>
          <w:r>
            <w:fldChar w:fldCharType="begin"/>
          </w:r>
          <w:r>
            <w:instrText xml:space="preserve"> HYPERLINK \l "bookmark325" </w:instrText>
          </w:r>
          <w:r>
            <w:fldChar w:fldCharType="separate"/>
          </w:r>
          <w:r>
            <w:rPr>
              <w:rFonts w:ascii="宋体" w:hAnsi="宋体" w:eastAsia="宋体" w:cs="宋体"/>
              <w:spacing w:val="-2"/>
              <w:sz w:val="21"/>
              <w:szCs w:val="21"/>
            </w:rPr>
            <w:t>291</w:t>
          </w:r>
          <w:r>
            <w:rPr>
              <w:rFonts w:ascii="宋体" w:hAnsi="宋体" w:eastAsia="宋体" w:cs="宋体"/>
              <w:spacing w:val="-2"/>
              <w:sz w:val="21"/>
              <w:szCs w:val="21"/>
            </w:rPr>
            <w:fldChar w:fldCharType="end"/>
          </w:r>
        </w:p>
        <w:p w14:paraId="0D0605C5">
          <w:pPr>
            <w:tabs>
              <w:tab w:val="right" w:leader="dot" w:pos="8317"/>
            </w:tabs>
            <w:spacing w:before="18" w:line="220" w:lineRule="auto"/>
            <w:ind w:left="875"/>
            <w:rPr>
              <w:rFonts w:ascii="宋体" w:hAnsi="宋体" w:eastAsia="宋体" w:cs="宋体"/>
              <w:sz w:val="21"/>
              <w:szCs w:val="21"/>
            </w:rPr>
          </w:pPr>
          <w:r>
            <w:rPr>
              <w:rFonts w:ascii="宋体" w:hAnsi="宋体" w:eastAsia="宋体" w:cs="宋体"/>
              <w:spacing w:val="-2"/>
              <w:sz w:val="21"/>
              <w:szCs w:val="21"/>
            </w:rPr>
            <w:t>附表四：计划开、竣工日期和施工进度网络图</w:t>
          </w:r>
          <w:r>
            <w:rPr>
              <w:rFonts w:ascii="宋体" w:hAnsi="宋体" w:eastAsia="宋体" w:cs="宋体"/>
              <w:spacing w:val="-47"/>
              <w:sz w:val="21"/>
              <w:szCs w:val="21"/>
            </w:rPr>
            <w:t xml:space="preserve"> </w:t>
          </w:r>
          <w:r>
            <w:rPr>
              <w:rFonts w:ascii="宋体" w:hAnsi="宋体" w:eastAsia="宋体" w:cs="宋体"/>
              <w:sz w:val="21"/>
              <w:szCs w:val="21"/>
            </w:rPr>
            <w:tab/>
          </w:r>
          <w:r>
            <w:rPr>
              <w:rFonts w:ascii="宋体" w:hAnsi="宋体" w:eastAsia="宋体" w:cs="宋体"/>
              <w:spacing w:val="-26"/>
              <w:sz w:val="21"/>
              <w:szCs w:val="21"/>
            </w:rPr>
            <w:t xml:space="preserve"> </w:t>
          </w:r>
          <w:r>
            <w:fldChar w:fldCharType="begin"/>
          </w:r>
          <w:r>
            <w:instrText xml:space="preserve"> HYPERLINK \l "bookmark326" </w:instrText>
          </w:r>
          <w:r>
            <w:fldChar w:fldCharType="separate"/>
          </w:r>
          <w:r>
            <w:rPr>
              <w:rFonts w:ascii="宋体" w:hAnsi="宋体" w:eastAsia="宋体" w:cs="宋体"/>
              <w:spacing w:val="-2"/>
              <w:sz w:val="21"/>
              <w:szCs w:val="21"/>
            </w:rPr>
            <w:t>292</w:t>
          </w:r>
          <w:r>
            <w:rPr>
              <w:rFonts w:ascii="宋体" w:hAnsi="宋体" w:eastAsia="宋体" w:cs="宋体"/>
              <w:spacing w:val="-2"/>
              <w:sz w:val="21"/>
              <w:szCs w:val="21"/>
            </w:rPr>
            <w:fldChar w:fldCharType="end"/>
          </w:r>
        </w:p>
        <w:p w14:paraId="31FAE75F">
          <w:pPr>
            <w:tabs>
              <w:tab w:val="right" w:leader="dot" w:pos="8317"/>
            </w:tabs>
            <w:spacing w:before="24" w:line="220" w:lineRule="auto"/>
            <w:ind w:left="875"/>
            <w:rPr>
              <w:rFonts w:ascii="宋体" w:hAnsi="宋体" w:eastAsia="宋体" w:cs="宋体"/>
              <w:sz w:val="21"/>
              <w:szCs w:val="21"/>
            </w:rPr>
          </w:pPr>
          <w:r>
            <w:rPr>
              <w:rFonts w:ascii="宋体" w:hAnsi="宋体" w:eastAsia="宋体" w:cs="宋体"/>
              <w:spacing w:val="-3"/>
              <w:sz w:val="21"/>
              <w:szCs w:val="21"/>
            </w:rPr>
            <w:t>附表五：施工总平面图</w:t>
          </w:r>
          <w:r>
            <w:rPr>
              <w:rFonts w:ascii="宋体" w:hAnsi="宋体" w:eastAsia="宋体" w:cs="宋体"/>
              <w:spacing w:val="-69"/>
              <w:sz w:val="21"/>
              <w:szCs w:val="21"/>
            </w:rPr>
            <w:t xml:space="preserve"> </w:t>
          </w:r>
          <w:r>
            <w:rPr>
              <w:rFonts w:ascii="宋体" w:hAnsi="宋体" w:eastAsia="宋体" w:cs="宋体"/>
              <w:sz w:val="21"/>
              <w:szCs w:val="21"/>
            </w:rPr>
            <w:tab/>
          </w:r>
          <w:r>
            <w:rPr>
              <w:rFonts w:ascii="宋体" w:hAnsi="宋体" w:eastAsia="宋体" w:cs="宋体"/>
              <w:spacing w:val="-26"/>
              <w:sz w:val="21"/>
              <w:szCs w:val="21"/>
            </w:rPr>
            <w:t xml:space="preserve"> </w:t>
          </w:r>
          <w:r>
            <w:fldChar w:fldCharType="begin"/>
          </w:r>
          <w:r>
            <w:instrText xml:space="preserve"> HYPERLINK \l "bookmark327" </w:instrText>
          </w:r>
          <w:r>
            <w:fldChar w:fldCharType="separate"/>
          </w:r>
          <w:r>
            <w:rPr>
              <w:rFonts w:ascii="宋体" w:hAnsi="宋体" w:eastAsia="宋体" w:cs="宋体"/>
              <w:spacing w:val="-2"/>
              <w:sz w:val="21"/>
              <w:szCs w:val="21"/>
            </w:rPr>
            <w:t>293</w:t>
          </w:r>
          <w:r>
            <w:rPr>
              <w:rFonts w:ascii="宋体" w:hAnsi="宋体" w:eastAsia="宋体" w:cs="宋体"/>
              <w:spacing w:val="-2"/>
              <w:sz w:val="21"/>
              <w:szCs w:val="21"/>
            </w:rPr>
            <w:fldChar w:fldCharType="end"/>
          </w:r>
        </w:p>
        <w:p w14:paraId="0B76FAA9">
          <w:pPr>
            <w:tabs>
              <w:tab w:val="right" w:leader="dot" w:pos="8317"/>
            </w:tabs>
            <w:spacing w:before="23" w:line="220" w:lineRule="auto"/>
            <w:ind w:left="875"/>
            <w:rPr>
              <w:rFonts w:ascii="宋体" w:hAnsi="宋体" w:eastAsia="宋体" w:cs="宋体"/>
              <w:sz w:val="21"/>
              <w:szCs w:val="21"/>
            </w:rPr>
          </w:pPr>
          <w:r>
            <w:rPr>
              <w:rFonts w:ascii="宋体" w:hAnsi="宋体" w:eastAsia="宋体" w:cs="宋体"/>
              <w:spacing w:val="-3"/>
              <w:sz w:val="21"/>
              <w:szCs w:val="21"/>
            </w:rPr>
            <w:t>附表六：临时用地表</w:t>
          </w:r>
          <w:r>
            <w:rPr>
              <w:rFonts w:ascii="宋体" w:hAnsi="宋体" w:eastAsia="宋体" w:cs="宋体"/>
              <w:spacing w:val="-74"/>
              <w:sz w:val="21"/>
              <w:szCs w:val="21"/>
            </w:rPr>
            <w:t xml:space="preserve"> </w:t>
          </w:r>
          <w:r>
            <w:rPr>
              <w:rFonts w:ascii="宋体" w:hAnsi="宋体" w:eastAsia="宋体" w:cs="宋体"/>
              <w:sz w:val="21"/>
              <w:szCs w:val="21"/>
            </w:rPr>
            <w:tab/>
          </w:r>
          <w:r>
            <w:rPr>
              <w:rFonts w:ascii="宋体" w:hAnsi="宋体" w:eastAsia="宋体" w:cs="宋体"/>
              <w:spacing w:val="-26"/>
              <w:sz w:val="21"/>
              <w:szCs w:val="21"/>
            </w:rPr>
            <w:t xml:space="preserve"> </w:t>
          </w:r>
          <w:r>
            <w:fldChar w:fldCharType="begin"/>
          </w:r>
          <w:r>
            <w:instrText xml:space="preserve"> HYPERLINK \l "bookmark328" </w:instrText>
          </w:r>
          <w:r>
            <w:fldChar w:fldCharType="separate"/>
          </w:r>
          <w:r>
            <w:rPr>
              <w:rFonts w:ascii="宋体" w:hAnsi="宋体" w:eastAsia="宋体" w:cs="宋体"/>
              <w:spacing w:val="-2"/>
              <w:sz w:val="21"/>
              <w:szCs w:val="21"/>
            </w:rPr>
            <w:t>294</w:t>
          </w:r>
          <w:r>
            <w:rPr>
              <w:rFonts w:ascii="宋体" w:hAnsi="宋体" w:eastAsia="宋体" w:cs="宋体"/>
              <w:spacing w:val="-2"/>
              <w:sz w:val="21"/>
              <w:szCs w:val="21"/>
            </w:rPr>
            <w:fldChar w:fldCharType="end"/>
          </w:r>
        </w:p>
        <w:p w14:paraId="60258AF5">
          <w:pPr>
            <w:tabs>
              <w:tab w:val="right" w:leader="dot" w:pos="8317"/>
            </w:tabs>
            <w:spacing w:before="24" w:line="220" w:lineRule="auto"/>
            <w:ind w:left="442"/>
            <w:rPr>
              <w:rFonts w:ascii="宋体" w:hAnsi="宋体" w:eastAsia="宋体" w:cs="宋体"/>
              <w:sz w:val="21"/>
              <w:szCs w:val="21"/>
            </w:rPr>
          </w:pPr>
          <w:r>
            <w:rPr>
              <w:rFonts w:ascii="宋体" w:hAnsi="宋体" w:eastAsia="宋体" w:cs="宋体"/>
              <w:spacing w:val="-2"/>
              <w:sz w:val="21"/>
              <w:szCs w:val="21"/>
            </w:rPr>
            <w:t>十、其他材料</w:t>
          </w:r>
          <w:r>
            <w:rPr>
              <w:rFonts w:ascii="宋体" w:hAnsi="宋体" w:eastAsia="宋体" w:cs="宋体"/>
              <w:spacing w:val="-82"/>
              <w:sz w:val="21"/>
              <w:szCs w:val="21"/>
            </w:rPr>
            <w:t xml:space="preserve"> </w:t>
          </w:r>
          <w:r>
            <w:rPr>
              <w:rFonts w:ascii="宋体" w:hAnsi="宋体" w:eastAsia="宋体" w:cs="宋体"/>
              <w:sz w:val="21"/>
              <w:szCs w:val="21"/>
            </w:rPr>
            <w:tab/>
          </w:r>
          <w:r>
            <w:rPr>
              <w:rFonts w:ascii="宋体" w:hAnsi="宋体" w:eastAsia="宋体" w:cs="宋体"/>
              <w:spacing w:val="-26"/>
              <w:sz w:val="21"/>
              <w:szCs w:val="21"/>
            </w:rPr>
            <w:t xml:space="preserve"> </w:t>
          </w:r>
          <w:r>
            <w:fldChar w:fldCharType="begin"/>
          </w:r>
          <w:r>
            <w:instrText xml:space="preserve"> HYPERLINK \l "bookmark329" </w:instrText>
          </w:r>
          <w:r>
            <w:fldChar w:fldCharType="separate"/>
          </w:r>
          <w:r>
            <w:rPr>
              <w:rFonts w:ascii="宋体" w:hAnsi="宋体" w:eastAsia="宋体" w:cs="宋体"/>
              <w:spacing w:val="-2"/>
              <w:sz w:val="21"/>
              <w:szCs w:val="21"/>
            </w:rPr>
            <w:t>295</w:t>
          </w:r>
          <w:r>
            <w:rPr>
              <w:rFonts w:ascii="宋体" w:hAnsi="宋体" w:eastAsia="宋体" w:cs="宋体"/>
              <w:spacing w:val="-2"/>
              <w:sz w:val="21"/>
              <w:szCs w:val="21"/>
            </w:rPr>
            <w:fldChar w:fldCharType="end"/>
          </w:r>
        </w:p>
      </w:sdtContent>
    </w:sdt>
    <w:p w14:paraId="259D7DBA">
      <w:pPr>
        <w:spacing w:line="220" w:lineRule="auto"/>
        <w:rPr>
          <w:rFonts w:ascii="宋体" w:hAnsi="宋体" w:eastAsia="宋体" w:cs="宋体"/>
          <w:sz w:val="21"/>
          <w:szCs w:val="21"/>
        </w:rPr>
        <w:sectPr>
          <w:footerReference r:id="rId12" w:type="default"/>
          <w:pgSz w:w="11905" w:h="16839"/>
          <w:pgMar w:top="1427" w:right="1785" w:bottom="1033" w:left="1785" w:header="0" w:footer="848" w:gutter="0"/>
          <w:pgNumType w:fmt="decimal"/>
          <w:cols w:space="720" w:num="1"/>
        </w:sectPr>
      </w:pPr>
    </w:p>
    <w:p w14:paraId="4D90E05D">
      <w:pPr>
        <w:pStyle w:val="3"/>
        <w:spacing w:line="250" w:lineRule="auto"/>
      </w:pPr>
    </w:p>
    <w:p w14:paraId="1D8E393D">
      <w:pPr>
        <w:pStyle w:val="3"/>
        <w:spacing w:line="250" w:lineRule="auto"/>
      </w:pPr>
    </w:p>
    <w:p w14:paraId="4D84098A">
      <w:pPr>
        <w:pStyle w:val="3"/>
        <w:spacing w:line="250" w:lineRule="auto"/>
      </w:pPr>
    </w:p>
    <w:p w14:paraId="1FAA0301">
      <w:pPr>
        <w:pStyle w:val="3"/>
        <w:spacing w:line="250" w:lineRule="auto"/>
      </w:pPr>
    </w:p>
    <w:p w14:paraId="2B8B67D6">
      <w:pPr>
        <w:pStyle w:val="3"/>
        <w:spacing w:line="250" w:lineRule="auto"/>
      </w:pPr>
    </w:p>
    <w:p w14:paraId="48D303F6">
      <w:pPr>
        <w:pStyle w:val="3"/>
        <w:spacing w:line="250" w:lineRule="auto"/>
      </w:pPr>
    </w:p>
    <w:p w14:paraId="442FB221">
      <w:pPr>
        <w:pStyle w:val="3"/>
        <w:spacing w:line="250" w:lineRule="auto"/>
      </w:pPr>
    </w:p>
    <w:p w14:paraId="2D425888">
      <w:pPr>
        <w:pStyle w:val="3"/>
        <w:spacing w:line="250" w:lineRule="auto"/>
      </w:pPr>
    </w:p>
    <w:p w14:paraId="3629CD6A">
      <w:pPr>
        <w:pStyle w:val="3"/>
        <w:spacing w:line="250" w:lineRule="auto"/>
      </w:pPr>
    </w:p>
    <w:p w14:paraId="4EF8EF69">
      <w:pPr>
        <w:pStyle w:val="3"/>
        <w:spacing w:line="251" w:lineRule="auto"/>
      </w:pPr>
    </w:p>
    <w:p w14:paraId="69F45002">
      <w:pPr>
        <w:pStyle w:val="3"/>
        <w:spacing w:line="251" w:lineRule="auto"/>
      </w:pPr>
    </w:p>
    <w:p w14:paraId="34947C5F">
      <w:pPr>
        <w:pStyle w:val="3"/>
        <w:spacing w:line="251" w:lineRule="auto"/>
      </w:pPr>
    </w:p>
    <w:p w14:paraId="7494AFE9">
      <w:pPr>
        <w:spacing w:before="156" w:line="219" w:lineRule="auto"/>
        <w:ind w:left="3467"/>
        <w:rPr>
          <w:rFonts w:ascii="黑体" w:hAnsi="黑体" w:eastAsia="黑体" w:cs="黑体"/>
          <w:sz w:val="48"/>
          <w:szCs w:val="48"/>
        </w:rPr>
      </w:pPr>
      <w:r>
        <w:rPr>
          <w:rFonts w:ascii="黑体" w:hAnsi="黑体" w:eastAsia="黑体" w:cs="黑体"/>
          <w:spacing w:val="-7"/>
          <w:sz w:val="48"/>
          <w:szCs w:val="48"/>
        </w:rPr>
        <w:t>第一卷</w:t>
      </w:r>
    </w:p>
    <w:p w14:paraId="2A9D04E2">
      <w:pPr>
        <w:spacing w:line="219" w:lineRule="auto"/>
        <w:rPr>
          <w:rFonts w:ascii="黑体" w:hAnsi="黑体" w:eastAsia="黑体" w:cs="黑体"/>
          <w:sz w:val="48"/>
          <w:szCs w:val="48"/>
        </w:rPr>
        <w:sectPr>
          <w:footerReference r:id="rId13" w:type="default"/>
          <w:pgSz w:w="11905" w:h="16839"/>
          <w:pgMar w:top="1431" w:right="1785" w:bottom="1036" w:left="1785" w:header="0" w:footer="847" w:gutter="0"/>
          <w:pgNumType w:fmt="decimal"/>
          <w:cols w:space="720" w:num="1"/>
        </w:sectPr>
      </w:pPr>
    </w:p>
    <w:p w14:paraId="19C79489">
      <w:pPr>
        <w:spacing w:before="63" w:line="220" w:lineRule="auto"/>
        <w:ind w:left="2899"/>
        <w:rPr>
          <w:rFonts w:ascii="黑体" w:hAnsi="黑体" w:eastAsia="黑体" w:cs="黑体"/>
          <w:sz w:val="32"/>
          <w:szCs w:val="32"/>
        </w:rPr>
      </w:pPr>
      <w:r>
        <w:rPr>
          <w:rFonts w:ascii="黑体" w:hAnsi="黑体" w:eastAsia="黑体" w:cs="黑体"/>
          <w:spacing w:val="-1"/>
          <w:sz w:val="32"/>
          <w:szCs w:val="32"/>
        </w:rPr>
        <w:t>第一章  招标公告</w:t>
      </w:r>
    </w:p>
    <w:p w14:paraId="1ADC1592">
      <w:pPr>
        <w:pStyle w:val="3"/>
        <w:spacing w:line="386" w:lineRule="auto"/>
      </w:pPr>
    </w:p>
    <w:p w14:paraId="5C5C3421">
      <w:pPr>
        <w:tabs>
          <w:tab w:val="left" w:pos="3016"/>
        </w:tabs>
        <w:spacing w:before="78" w:line="220" w:lineRule="auto"/>
        <w:jc w:val="center"/>
        <w:rPr>
          <w:rFonts w:ascii="黑体" w:hAnsi="黑体" w:eastAsia="黑体" w:cs="黑体"/>
          <w:spacing w:val="-11"/>
          <w:sz w:val="24"/>
          <w:szCs w:val="24"/>
        </w:rPr>
      </w:pPr>
      <w:r>
        <w:rPr>
          <w:rFonts w:hint="eastAsia" w:ascii="黑体" w:hAnsi="黑体" w:eastAsia="黑体" w:cs="黑体"/>
          <w:spacing w:val="-11"/>
          <w:sz w:val="24"/>
          <w:szCs w:val="24"/>
          <w:lang w:eastAsia="zh-CN"/>
        </w:rPr>
        <w:t>营口市大庆路、联盟路排水管网改造工程过铁工程施工</w:t>
      </w:r>
      <w:r>
        <w:rPr>
          <w:rFonts w:ascii="黑体" w:hAnsi="黑体" w:eastAsia="黑体" w:cs="黑体"/>
          <w:spacing w:val="-11"/>
          <w:sz w:val="24"/>
          <w:szCs w:val="24"/>
        </w:rPr>
        <w:t>招标公告</w:t>
      </w:r>
    </w:p>
    <w:p w14:paraId="4CD14CC1">
      <w:pPr>
        <w:spacing w:before="161" w:line="221" w:lineRule="auto"/>
        <w:ind w:left="2646"/>
        <w:rPr>
          <w:rFonts w:ascii="宋体" w:hAnsi="宋体" w:eastAsia="宋体" w:cs="宋体"/>
          <w:sz w:val="21"/>
          <w:szCs w:val="21"/>
        </w:rPr>
      </w:pPr>
      <w:r>
        <w:rPr>
          <w:rFonts w:ascii="宋体" w:hAnsi="宋体" w:eastAsia="宋体" w:cs="宋体"/>
          <w:spacing w:val="-8"/>
          <w:sz w:val="21"/>
          <w:szCs w:val="21"/>
        </w:rPr>
        <w:t>标段唯一标识码：</w:t>
      </w:r>
      <w:r>
        <w:rPr>
          <w:rFonts w:ascii="宋体" w:hAnsi="宋体" w:eastAsia="宋体" w:cs="宋体"/>
          <w:spacing w:val="-8"/>
          <w:sz w:val="21"/>
          <w:szCs w:val="21"/>
          <w:u w:val="single" w:color="auto"/>
        </w:rPr>
        <w:t>(</w:t>
      </w:r>
      <w:r>
        <w:rPr>
          <w:rFonts w:ascii="宋体" w:hAnsi="宋体" w:eastAsia="宋体" w:cs="宋体"/>
          <w:spacing w:val="1"/>
          <w:sz w:val="21"/>
          <w:szCs w:val="21"/>
          <w:u w:val="single" w:color="auto"/>
        </w:rPr>
        <w:t xml:space="preserve">    </w:t>
      </w:r>
      <w:r>
        <w:rPr>
          <w:rFonts w:hint="eastAsia" w:ascii="宋体" w:hAnsi="宋体" w:eastAsia="宋体" w:cs="宋体"/>
          <w:spacing w:val="1"/>
          <w:sz w:val="21"/>
          <w:szCs w:val="21"/>
          <w:u w:val="single" w:color="auto"/>
          <w:lang w:val="en-US" w:eastAsia="zh-CN"/>
        </w:rPr>
        <w:t>xxx</w:t>
      </w:r>
      <w:r>
        <w:rPr>
          <w:rFonts w:ascii="宋体" w:hAnsi="宋体" w:eastAsia="宋体" w:cs="宋体"/>
          <w:spacing w:val="1"/>
          <w:sz w:val="21"/>
          <w:szCs w:val="21"/>
          <w:u w:val="single" w:color="auto"/>
        </w:rPr>
        <w:t xml:space="preserve">    </w:t>
      </w:r>
      <w:r>
        <w:rPr>
          <w:rFonts w:ascii="宋体" w:hAnsi="宋体" w:eastAsia="宋体" w:cs="宋体"/>
          <w:spacing w:val="-8"/>
          <w:sz w:val="21"/>
          <w:szCs w:val="21"/>
          <w:u w:val="single" w:color="auto"/>
        </w:rPr>
        <w:t>)</w:t>
      </w:r>
      <w:r>
        <w:rPr>
          <w:rFonts w:ascii="宋体" w:hAnsi="宋体" w:eastAsia="宋体" w:cs="宋体"/>
          <w:sz w:val="21"/>
          <w:szCs w:val="21"/>
          <w:u w:val="single" w:color="auto"/>
        </w:rPr>
        <w:t xml:space="preserve">  </w:t>
      </w:r>
    </w:p>
    <w:p w14:paraId="5A810B8C">
      <w:pPr>
        <w:pStyle w:val="3"/>
        <w:spacing w:line="241" w:lineRule="auto"/>
      </w:pPr>
    </w:p>
    <w:p w14:paraId="29EC6CBD">
      <w:pPr>
        <w:pStyle w:val="3"/>
        <w:spacing w:line="241" w:lineRule="auto"/>
      </w:pPr>
    </w:p>
    <w:p w14:paraId="3D8EF8EE">
      <w:pPr>
        <w:spacing w:before="79" w:line="220" w:lineRule="auto"/>
        <w:ind w:left="38"/>
        <w:rPr>
          <w:rFonts w:ascii="黑体" w:hAnsi="黑体" w:eastAsia="黑体" w:cs="黑体"/>
          <w:sz w:val="24"/>
          <w:szCs w:val="24"/>
        </w:rPr>
      </w:pPr>
      <w:r>
        <w:rPr>
          <w:rFonts w:ascii="Times New Roman" w:hAnsi="Times New Roman" w:eastAsia="Times New Roman" w:cs="Times New Roman"/>
          <w:spacing w:val="-5"/>
          <w:sz w:val="24"/>
          <w:szCs w:val="24"/>
        </w:rPr>
        <w:t>1.</w:t>
      </w:r>
      <w:r>
        <w:rPr>
          <w:rFonts w:ascii="黑体" w:hAnsi="黑体" w:eastAsia="黑体" w:cs="黑体"/>
          <w:spacing w:val="-5"/>
          <w:sz w:val="24"/>
          <w:szCs w:val="24"/>
        </w:rPr>
        <w:t>招标条件</w:t>
      </w:r>
    </w:p>
    <w:p w14:paraId="373AE4C5">
      <w:pPr>
        <w:ind w:firstLine="420" w:firstLineChars="200"/>
        <w:rPr>
          <w:rFonts w:ascii="宋体" w:hAnsi="宋体" w:eastAsia="宋体" w:cs="宋体"/>
          <w:sz w:val="21"/>
          <w:szCs w:val="21"/>
        </w:rPr>
      </w:pPr>
      <w:r>
        <w:rPr>
          <w:rFonts w:ascii="宋体" w:hAnsi="宋体" w:eastAsia="宋体" w:cs="宋体"/>
          <w:sz w:val="21"/>
          <w:szCs w:val="21"/>
        </w:rPr>
        <w:t>本招标项目</w:t>
      </w:r>
      <w:r>
        <w:rPr>
          <w:rFonts w:hint="eastAsia" w:ascii="宋体" w:hAnsi="宋体" w:eastAsia="宋体" w:cs="宋体"/>
          <w:sz w:val="21"/>
          <w:szCs w:val="21"/>
          <w:u w:val="single"/>
          <w:lang w:eastAsia="zh-CN"/>
        </w:rPr>
        <w:t>营口市大庆路、联盟路排水管网改造工程</w:t>
      </w:r>
      <w:r>
        <w:rPr>
          <w:rFonts w:ascii="宋体" w:hAnsi="宋体" w:eastAsia="宋体" w:cs="宋体"/>
          <w:sz w:val="21"/>
          <w:szCs w:val="21"/>
          <w:u w:val="single"/>
        </w:rPr>
        <w:t xml:space="preserve"> </w:t>
      </w:r>
      <w:r>
        <w:rPr>
          <w:rFonts w:ascii="宋体" w:hAnsi="宋体" w:eastAsia="宋体" w:cs="宋体"/>
          <w:sz w:val="21"/>
          <w:szCs w:val="21"/>
        </w:rPr>
        <w:t>已由</w:t>
      </w:r>
      <w:r>
        <w:rPr>
          <w:rFonts w:hint="eastAsia"/>
          <w:u w:val="single"/>
          <w:lang w:val="en-US" w:eastAsia="zh-CN"/>
        </w:rPr>
        <w:t>营口市发展和改革委员会</w:t>
      </w:r>
      <w:r>
        <w:rPr>
          <w:rFonts w:ascii="宋体" w:hAnsi="宋体" w:eastAsia="宋体" w:cs="宋体"/>
          <w:sz w:val="21"/>
          <w:szCs w:val="21"/>
        </w:rPr>
        <w:t xml:space="preserve"> </w:t>
      </w:r>
      <w:r>
        <w:rPr>
          <w:rFonts w:ascii="宋体" w:hAnsi="宋体" w:eastAsia="宋体" w:cs="宋体"/>
          <w:spacing w:val="-4"/>
          <w:sz w:val="21"/>
          <w:szCs w:val="21"/>
        </w:rPr>
        <w:t>以</w:t>
      </w:r>
      <w:r>
        <w:rPr>
          <w:rFonts w:ascii="宋体" w:hAnsi="宋体" w:eastAsia="宋体" w:cs="宋体"/>
          <w:spacing w:val="-105"/>
          <w:sz w:val="21"/>
          <w:szCs w:val="21"/>
        </w:rPr>
        <w:t xml:space="preserve"> </w:t>
      </w:r>
      <w:r>
        <w:rPr>
          <w:rFonts w:hint="eastAsia" w:eastAsia="宋体"/>
          <w:lang w:eastAsia="zh-CN"/>
        </w:rPr>
        <w:t>关于营口市大庆路、联盟路排水管网改造工程初步设计的批复（</w:t>
      </w:r>
      <w:r>
        <w:rPr>
          <w:rFonts w:hint="eastAsia"/>
          <w:lang w:eastAsia="zh-CN"/>
        </w:rPr>
        <w:t>营发改投资(2025)191号）</w:t>
      </w:r>
      <w:r>
        <w:rPr>
          <w:rFonts w:ascii="宋体" w:hAnsi="宋体" w:eastAsia="宋体" w:cs="宋体"/>
          <w:spacing w:val="-4"/>
          <w:sz w:val="21"/>
          <w:szCs w:val="21"/>
        </w:rPr>
        <w:t>批准建设，</w:t>
      </w:r>
      <w:r>
        <w:rPr>
          <w:rFonts w:hint="eastAsia" w:ascii="宋体" w:hAnsi="宋体" w:eastAsia="宋体" w:cs="宋体"/>
          <w:spacing w:val="-4"/>
          <w:sz w:val="21"/>
          <w:szCs w:val="21"/>
          <w:lang w:val="en-US" w:eastAsia="zh-CN"/>
        </w:rPr>
        <w:t>项目业主</w:t>
      </w:r>
      <w:r>
        <w:rPr>
          <w:rFonts w:ascii="宋体" w:hAnsi="宋体" w:eastAsia="宋体" w:cs="宋体"/>
          <w:spacing w:val="-5"/>
          <w:sz w:val="21"/>
          <w:szCs w:val="21"/>
        </w:rPr>
        <w:t>为</w:t>
      </w:r>
      <w:r>
        <w:rPr>
          <w:rFonts w:hint="eastAsia" w:eastAsia="宋体"/>
          <w:u w:val="single"/>
          <w:lang w:eastAsia="zh-CN"/>
        </w:rPr>
        <w:t>营口市公共设施维护中心</w:t>
      </w:r>
      <w:r>
        <w:rPr>
          <w:rFonts w:ascii="宋体" w:hAnsi="宋体" w:eastAsia="宋体" w:cs="宋体"/>
          <w:spacing w:val="-5"/>
          <w:sz w:val="21"/>
          <w:szCs w:val="21"/>
        </w:rPr>
        <w:t>，建设资金来自</w:t>
      </w:r>
      <w:r>
        <w:rPr>
          <w:rFonts w:hint="eastAsia"/>
          <w:lang w:eastAsia="zh-CN"/>
        </w:rPr>
        <w:t>超长期国债和市财政配套资金</w:t>
      </w:r>
      <w:r>
        <w:rPr>
          <w:rFonts w:ascii="宋体" w:hAnsi="宋体" w:eastAsia="宋体" w:cs="宋体"/>
          <w:spacing w:val="-52"/>
          <w:w w:val="95"/>
          <w:sz w:val="21"/>
          <w:szCs w:val="21"/>
        </w:rPr>
        <w:t>，</w:t>
      </w:r>
      <w:r>
        <w:rPr>
          <w:rFonts w:hint="eastAsia"/>
        </w:rPr>
        <w:t xml:space="preserve">项目出资比例为 </w:t>
      </w:r>
      <w:r>
        <w:rPr>
          <w:rFonts w:hint="eastAsia" w:eastAsia="宋体"/>
          <w:highlight w:val="yellow"/>
          <w:lang w:val="en-US" w:eastAsia="zh-CN"/>
        </w:rPr>
        <w:t>超长期国债</w:t>
      </w:r>
      <w:r>
        <w:rPr>
          <w:rFonts w:hint="eastAsia"/>
          <w:highlight w:val="yellow"/>
        </w:rPr>
        <w:t>70%，</w:t>
      </w:r>
      <w:r>
        <w:rPr>
          <w:rFonts w:hint="eastAsia" w:eastAsia="宋体"/>
          <w:highlight w:val="yellow"/>
          <w:lang w:eastAsia="zh-CN"/>
        </w:rPr>
        <w:t>市财政配套</w:t>
      </w:r>
      <w:r>
        <w:rPr>
          <w:rFonts w:hint="eastAsia"/>
          <w:highlight w:val="yellow"/>
        </w:rPr>
        <w:t>30%，</w:t>
      </w:r>
      <w:r>
        <w:rPr>
          <w:rFonts w:ascii="宋体" w:hAnsi="宋体" w:eastAsia="宋体" w:cs="宋体"/>
          <w:spacing w:val="-2"/>
          <w:sz w:val="21"/>
          <w:szCs w:val="21"/>
        </w:rPr>
        <w:t>招标人为</w:t>
      </w:r>
      <w:r>
        <w:rPr>
          <w:rFonts w:hint="eastAsia" w:eastAsia="宋体"/>
          <w:lang w:eastAsia="zh-CN"/>
        </w:rPr>
        <w:t>营口市公共设施维护中心</w:t>
      </w:r>
      <w:r>
        <w:rPr>
          <w:rFonts w:ascii="宋体" w:hAnsi="宋体" w:eastAsia="宋体" w:cs="宋体"/>
          <w:spacing w:val="-2"/>
          <w:sz w:val="21"/>
          <w:szCs w:val="21"/>
        </w:rPr>
        <w:t>，招标代理机构为</w:t>
      </w:r>
      <w:r>
        <w:rPr>
          <w:rFonts w:hint="eastAsia" w:ascii="宋体" w:hAnsi="宋体" w:eastAsia="宋体" w:cs="宋体"/>
          <w:spacing w:val="-2"/>
          <w:sz w:val="21"/>
          <w:szCs w:val="21"/>
          <w:lang w:eastAsia="zh-CN"/>
        </w:rPr>
        <w:t>沈阳招标中心有限公司</w:t>
      </w:r>
      <w:r>
        <w:rPr>
          <w:rFonts w:ascii="宋体" w:hAnsi="宋体" w:eastAsia="宋体" w:cs="宋体"/>
          <w:spacing w:val="-74"/>
          <w:sz w:val="21"/>
          <w:szCs w:val="21"/>
        </w:rPr>
        <w:t xml:space="preserve"> </w:t>
      </w:r>
      <w:r>
        <w:rPr>
          <w:rFonts w:ascii="宋体" w:hAnsi="宋体" w:eastAsia="宋体" w:cs="宋体"/>
          <w:spacing w:val="-2"/>
          <w:sz w:val="21"/>
          <w:szCs w:val="21"/>
        </w:rPr>
        <w:t>。项</w:t>
      </w:r>
      <w:r>
        <w:rPr>
          <w:rFonts w:ascii="宋体" w:hAnsi="宋体" w:eastAsia="宋体" w:cs="宋体"/>
          <w:spacing w:val="-3"/>
          <w:sz w:val="21"/>
          <w:szCs w:val="21"/>
        </w:rPr>
        <w:t>目已具备招标</w:t>
      </w:r>
      <w:r>
        <w:rPr>
          <w:rFonts w:ascii="宋体" w:hAnsi="宋体" w:eastAsia="宋体" w:cs="宋体"/>
          <w:spacing w:val="-2"/>
          <w:sz w:val="21"/>
          <w:szCs w:val="21"/>
        </w:rPr>
        <w:t>条件，现对该项目进行公开招标。</w:t>
      </w:r>
    </w:p>
    <w:p w14:paraId="415CB490">
      <w:pPr>
        <w:spacing w:before="142" w:line="447" w:lineRule="exact"/>
        <w:ind w:left="15"/>
        <w:rPr>
          <w:rFonts w:ascii="黑体" w:hAnsi="黑体" w:eastAsia="黑体" w:cs="黑体"/>
          <w:sz w:val="24"/>
          <w:szCs w:val="24"/>
        </w:rPr>
      </w:pPr>
      <w:r>
        <w:rPr>
          <w:rFonts w:ascii="Times New Roman" w:hAnsi="Times New Roman" w:eastAsia="Times New Roman" w:cs="Times New Roman"/>
          <w:spacing w:val="-1"/>
          <w:position w:val="15"/>
          <w:sz w:val="24"/>
          <w:szCs w:val="24"/>
        </w:rPr>
        <w:t>2.</w:t>
      </w:r>
      <w:r>
        <w:rPr>
          <w:rFonts w:ascii="黑体" w:hAnsi="黑体" w:eastAsia="黑体" w:cs="黑体"/>
          <w:spacing w:val="-1"/>
          <w:position w:val="15"/>
          <w:sz w:val="24"/>
          <w:szCs w:val="24"/>
        </w:rPr>
        <w:t>项目概况与招标范围</w:t>
      </w:r>
    </w:p>
    <w:p w14:paraId="32FBB6F1">
      <w:pPr>
        <w:spacing w:before="1" w:line="220" w:lineRule="auto"/>
        <w:ind w:left="437"/>
        <w:rPr>
          <w:rFonts w:ascii="宋体" w:hAnsi="宋体" w:eastAsia="宋体" w:cs="宋体"/>
          <w:sz w:val="21"/>
          <w:szCs w:val="21"/>
        </w:rPr>
      </w:pPr>
      <w:r>
        <w:rPr>
          <w:rFonts w:ascii="Times New Roman" w:hAnsi="Times New Roman" w:eastAsia="Times New Roman" w:cs="Times New Roman"/>
          <w:spacing w:val="-2"/>
          <w:sz w:val="21"/>
          <w:szCs w:val="21"/>
        </w:rPr>
        <w:t>2.1</w:t>
      </w:r>
      <w:r>
        <w:rPr>
          <w:rFonts w:ascii="Times New Roman" w:hAnsi="Times New Roman" w:eastAsia="Times New Roman" w:cs="Times New Roman"/>
          <w:spacing w:val="16"/>
          <w:w w:val="101"/>
          <w:sz w:val="21"/>
          <w:szCs w:val="21"/>
        </w:rPr>
        <w:t xml:space="preserve"> </w:t>
      </w:r>
      <w:r>
        <w:rPr>
          <w:rFonts w:ascii="宋体" w:hAnsi="宋体" w:eastAsia="宋体" w:cs="宋体"/>
          <w:spacing w:val="-2"/>
          <w:sz w:val="21"/>
          <w:szCs w:val="21"/>
        </w:rPr>
        <w:t>项目概况</w:t>
      </w:r>
    </w:p>
    <w:p w14:paraId="54303AEA">
      <w:pPr>
        <w:spacing w:before="167" w:line="371" w:lineRule="auto"/>
        <w:ind w:left="861"/>
        <w:rPr>
          <w:rFonts w:ascii="宋体" w:hAnsi="宋体" w:eastAsia="宋体" w:cs="宋体"/>
          <w:sz w:val="21"/>
          <w:szCs w:val="21"/>
        </w:rPr>
      </w:pPr>
      <w:r>
        <w:rPr>
          <w:rFonts w:ascii="宋体" w:hAnsi="宋体" w:eastAsia="宋体" w:cs="宋体"/>
          <w:spacing w:val="-13"/>
          <w:sz w:val="21"/>
          <w:szCs w:val="21"/>
        </w:rPr>
        <w:t>建设地点：</w:t>
      </w:r>
      <w:r>
        <w:rPr>
          <w:rFonts w:ascii="宋体" w:hAnsi="宋体" w:eastAsia="宋体" w:cs="宋体"/>
          <w:spacing w:val="26"/>
          <w:sz w:val="21"/>
          <w:szCs w:val="21"/>
        </w:rPr>
        <w:t xml:space="preserve"> </w:t>
      </w:r>
      <w:r>
        <w:rPr>
          <w:rFonts w:hint="eastAsia"/>
          <w:u w:val="single"/>
          <w:lang w:eastAsia="zh-CN"/>
        </w:rPr>
        <w:t>营口市市区</w:t>
      </w:r>
      <w:r>
        <w:rPr>
          <w:rFonts w:hint="eastAsia"/>
          <w:lang w:eastAsia="zh-CN"/>
        </w:rPr>
        <w:t>。</w:t>
      </w:r>
    </w:p>
    <w:p w14:paraId="12C70E29">
      <w:pPr>
        <w:spacing w:before="171" w:line="367" w:lineRule="auto"/>
        <w:ind w:firstLine="840" w:firstLineChars="500"/>
        <w:rPr>
          <w:rFonts w:hint="eastAsia" w:ascii="宋体" w:hAnsi="宋体" w:eastAsia="宋体" w:cs="宋体"/>
          <w:spacing w:val="-21"/>
          <w:sz w:val="21"/>
          <w:szCs w:val="21"/>
          <w:lang w:val="en-US" w:eastAsia="zh-CN"/>
        </w:rPr>
      </w:pPr>
      <w:r>
        <w:rPr>
          <w:rFonts w:hint="eastAsia" w:ascii="宋体" w:hAnsi="宋体" w:eastAsia="宋体" w:cs="宋体"/>
          <w:spacing w:val="-21"/>
          <w:sz w:val="21"/>
          <w:szCs w:val="21"/>
          <w:lang w:val="en-US" w:eastAsia="zh-CN"/>
        </w:rPr>
        <w:t>建设规模：建设大庆路(北辰街-辽河大街)、联盟路(大庆路-五泵站)dn300-3.2m*1.5m排水管线共计11246米，道路拆除并恢复沥青混凝土路面38603平方米，并为改造排水路段配置智能化终端监测感知设备。</w:t>
      </w:r>
    </w:p>
    <w:p w14:paraId="147734C6">
      <w:pPr>
        <w:spacing w:before="167" w:line="221" w:lineRule="auto"/>
        <w:ind w:left="437"/>
        <w:rPr>
          <w:rFonts w:ascii="宋体" w:hAnsi="宋体" w:eastAsia="宋体" w:cs="宋体"/>
          <w:sz w:val="21"/>
          <w:szCs w:val="21"/>
        </w:rPr>
      </w:pPr>
      <w:r>
        <w:rPr>
          <w:rFonts w:ascii="Times New Roman" w:hAnsi="Times New Roman" w:eastAsia="Times New Roman" w:cs="Times New Roman"/>
          <w:sz w:val="21"/>
          <w:szCs w:val="21"/>
        </w:rPr>
        <w:t xml:space="preserve">2.2 </w:t>
      </w:r>
      <w:r>
        <w:rPr>
          <w:rFonts w:ascii="宋体" w:hAnsi="宋体" w:eastAsia="宋体" w:cs="宋体"/>
          <w:sz w:val="21"/>
          <w:szCs w:val="21"/>
        </w:rPr>
        <w:t>招标范围</w:t>
      </w:r>
    </w:p>
    <w:p w14:paraId="0A4B29F8">
      <w:pPr>
        <w:spacing w:before="171" w:line="367" w:lineRule="auto"/>
        <w:ind w:left="859"/>
        <w:rPr>
          <w:rFonts w:ascii="宋体" w:hAnsi="宋体" w:eastAsia="宋体" w:cs="宋体"/>
          <w:sz w:val="21"/>
          <w:szCs w:val="21"/>
        </w:rPr>
      </w:pPr>
      <w:r>
        <w:rPr>
          <w:rFonts w:ascii="宋体" w:hAnsi="宋体" w:eastAsia="宋体" w:cs="宋体"/>
          <w:spacing w:val="-21"/>
          <w:sz w:val="21"/>
          <w:szCs w:val="21"/>
        </w:rPr>
        <w:t>标段划分：</w:t>
      </w:r>
      <w:r>
        <w:rPr>
          <w:rFonts w:hint="eastAsia" w:ascii="宋体" w:hAnsi="宋体" w:eastAsia="宋体" w:cs="宋体"/>
          <w:spacing w:val="-21"/>
          <w:sz w:val="21"/>
          <w:szCs w:val="21"/>
          <w:lang w:val="en-US" w:eastAsia="zh-CN"/>
        </w:rPr>
        <w:t>1个</w:t>
      </w:r>
      <w:r>
        <w:rPr>
          <w:rFonts w:ascii="宋体" w:hAnsi="宋体" w:eastAsia="宋体" w:cs="宋体"/>
          <w:spacing w:val="-92"/>
          <w:sz w:val="21"/>
          <w:szCs w:val="21"/>
        </w:rPr>
        <w:t xml:space="preserve"> </w:t>
      </w:r>
      <w:r>
        <w:rPr>
          <w:rFonts w:ascii="宋体" w:hAnsi="宋体" w:eastAsia="宋体" w:cs="宋体"/>
          <w:spacing w:val="-21"/>
          <w:sz w:val="21"/>
          <w:szCs w:val="21"/>
        </w:rPr>
        <w:t>标段；是否兼投</w:t>
      </w:r>
      <w:r>
        <w:rPr>
          <w:rFonts w:ascii="宋体" w:hAnsi="宋体" w:eastAsia="宋体" w:cs="宋体"/>
          <w:spacing w:val="-3"/>
          <w:sz w:val="21"/>
          <w:szCs w:val="21"/>
        </w:rPr>
        <w:t>：</w:t>
      </w:r>
      <w:r>
        <w:rPr>
          <w:rFonts w:ascii="宋体" w:hAnsi="宋体" w:eastAsia="宋体" w:cs="宋体"/>
          <w:spacing w:val="-2"/>
          <w:sz w:val="21"/>
          <w:szCs w:val="21"/>
        </w:rPr>
        <w:t xml:space="preserve"> </w:t>
      </w:r>
      <w:r>
        <w:rPr>
          <w:rFonts w:ascii="宋体" w:hAnsi="宋体" w:eastAsia="宋体" w:cs="宋体"/>
          <w:spacing w:val="17"/>
          <w:sz w:val="21"/>
          <w:szCs w:val="21"/>
          <w:u w:val="single" w:color="auto"/>
        </w:rPr>
        <w:t xml:space="preserve"> </w:t>
      </w:r>
      <w:r>
        <w:rPr>
          <w:rFonts w:hint="eastAsia" w:ascii="宋体" w:hAnsi="宋体" w:eastAsia="宋体" w:cs="宋体"/>
          <w:spacing w:val="17"/>
          <w:sz w:val="21"/>
          <w:szCs w:val="21"/>
          <w:u w:val="single" w:color="auto"/>
          <w:lang w:val="en-US" w:eastAsia="zh-CN"/>
        </w:rPr>
        <w:t>否</w:t>
      </w:r>
      <w:r>
        <w:rPr>
          <w:rFonts w:ascii="宋体" w:hAnsi="宋体" w:eastAsia="宋体" w:cs="宋体"/>
          <w:spacing w:val="17"/>
          <w:sz w:val="21"/>
          <w:szCs w:val="21"/>
          <w:u w:val="single" w:color="auto"/>
        </w:rPr>
        <w:t xml:space="preserve"> </w:t>
      </w:r>
      <w:r>
        <w:rPr>
          <w:rFonts w:ascii="宋体" w:hAnsi="宋体" w:eastAsia="宋体" w:cs="宋体"/>
          <w:spacing w:val="-76"/>
          <w:sz w:val="21"/>
          <w:szCs w:val="21"/>
        </w:rPr>
        <w:t xml:space="preserve"> </w:t>
      </w:r>
      <w:r>
        <w:rPr>
          <w:rFonts w:ascii="宋体" w:hAnsi="宋体" w:eastAsia="宋体" w:cs="宋体"/>
          <w:spacing w:val="-3"/>
          <w:sz w:val="21"/>
          <w:szCs w:val="21"/>
        </w:rPr>
        <w:t>；</w:t>
      </w:r>
      <w:r>
        <w:rPr>
          <w:rFonts w:ascii="宋体" w:hAnsi="宋体" w:eastAsia="宋体" w:cs="宋体"/>
          <w:spacing w:val="-21"/>
          <w:sz w:val="21"/>
          <w:szCs w:val="21"/>
        </w:rPr>
        <w:t xml:space="preserve">是否兼中： </w:t>
      </w:r>
      <w:r>
        <w:rPr>
          <w:rFonts w:hint="eastAsia" w:ascii="宋体" w:hAnsi="宋体" w:eastAsia="宋体" w:cs="宋体"/>
          <w:spacing w:val="20"/>
          <w:sz w:val="21"/>
          <w:szCs w:val="21"/>
          <w:u w:val="single" w:color="auto"/>
          <w:lang w:val="en-US" w:eastAsia="zh-CN"/>
        </w:rPr>
        <w:t>否</w:t>
      </w:r>
      <w:r>
        <w:rPr>
          <w:rFonts w:ascii="宋体" w:hAnsi="宋体" w:eastAsia="宋体" w:cs="宋体"/>
          <w:spacing w:val="20"/>
          <w:sz w:val="21"/>
          <w:szCs w:val="21"/>
          <w:u w:val="single" w:color="auto"/>
        </w:rPr>
        <w:t xml:space="preserve"> </w:t>
      </w:r>
      <w:r>
        <w:rPr>
          <w:rFonts w:ascii="宋体" w:hAnsi="宋体" w:eastAsia="宋体" w:cs="宋体"/>
          <w:spacing w:val="-21"/>
          <w:sz w:val="21"/>
          <w:szCs w:val="21"/>
        </w:rPr>
        <w:t>。</w:t>
      </w:r>
    </w:p>
    <w:p w14:paraId="420AE877">
      <w:pPr>
        <w:spacing w:before="1" w:line="219" w:lineRule="auto"/>
        <w:ind w:left="858"/>
        <w:rPr>
          <w:rFonts w:ascii="宋体" w:hAnsi="宋体" w:eastAsia="宋体" w:cs="宋体"/>
          <w:sz w:val="21"/>
          <w:szCs w:val="21"/>
        </w:rPr>
      </w:pPr>
      <w:r>
        <w:rPr>
          <w:rFonts w:ascii="宋体" w:hAnsi="宋体" w:eastAsia="宋体" w:cs="宋体"/>
          <w:spacing w:val="-2"/>
          <w:sz w:val="21"/>
          <w:szCs w:val="21"/>
        </w:rPr>
        <w:t>计划工期/服务期限/供货期限：</w:t>
      </w:r>
      <w:r>
        <w:rPr>
          <w:rFonts w:hint="eastAsia" w:ascii="宋体" w:hAnsi="宋体" w:eastAsia="宋体" w:cs="宋体"/>
          <w:spacing w:val="-2"/>
          <w:sz w:val="21"/>
          <w:szCs w:val="21"/>
          <w:highlight w:val="red"/>
          <w:u w:val="single" w:color="auto"/>
          <w:lang w:val="en-US" w:eastAsia="zh-CN"/>
        </w:rPr>
        <w:t>35</w:t>
      </w:r>
      <w:r>
        <w:rPr>
          <w:rFonts w:ascii="宋体" w:hAnsi="宋体" w:eastAsia="宋体" w:cs="宋体"/>
          <w:spacing w:val="-2"/>
          <w:sz w:val="21"/>
          <w:szCs w:val="21"/>
        </w:rPr>
        <w:t>日历天</w:t>
      </w:r>
    </w:p>
    <w:p w14:paraId="62FF4DF4">
      <w:pPr>
        <w:spacing w:before="172" w:line="367" w:lineRule="auto"/>
        <w:ind w:right="11"/>
        <w:jc w:val="right"/>
        <w:rPr>
          <w:rFonts w:ascii="宋体" w:hAnsi="宋体" w:eastAsia="宋体" w:cs="宋体"/>
          <w:sz w:val="21"/>
          <w:szCs w:val="21"/>
        </w:rPr>
      </w:pPr>
      <w:r>
        <w:rPr>
          <w:rFonts w:ascii="宋体" w:hAnsi="宋体" w:eastAsia="宋体" w:cs="宋体"/>
          <w:spacing w:val="1"/>
          <w:sz w:val="21"/>
          <w:szCs w:val="21"/>
        </w:rPr>
        <w:t>计划开工/服务开始/供货开始日期</w:t>
      </w:r>
      <w:r>
        <w:rPr>
          <w:rFonts w:ascii="宋体" w:hAnsi="宋体" w:eastAsia="宋体" w:cs="宋体"/>
          <w:spacing w:val="-104"/>
          <w:sz w:val="21"/>
          <w:szCs w:val="21"/>
        </w:rPr>
        <w:t xml:space="preserve"> </w:t>
      </w:r>
      <w:r>
        <w:rPr>
          <w:rFonts w:hint="eastAsia" w:ascii="宋体" w:hAnsi="宋体" w:eastAsia="宋体" w:cs="宋体"/>
          <w:spacing w:val="5"/>
          <w:sz w:val="21"/>
          <w:szCs w:val="21"/>
          <w:highlight w:val="yellow"/>
          <w:u w:val="single" w:color="auto"/>
          <w:lang w:val="en-US" w:eastAsia="zh-CN"/>
        </w:rPr>
        <w:t>2026年7月15日</w:t>
      </w:r>
      <w:r>
        <w:rPr>
          <w:rFonts w:ascii="宋体" w:hAnsi="宋体" w:eastAsia="宋体" w:cs="宋体"/>
          <w:spacing w:val="5"/>
          <w:sz w:val="21"/>
          <w:szCs w:val="21"/>
          <w:u w:val="single" w:color="auto"/>
        </w:rPr>
        <w:t xml:space="preserve">  </w:t>
      </w:r>
      <w:r>
        <w:rPr>
          <w:rFonts w:ascii="宋体" w:hAnsi="宋体" w:eastAsia="宋体" w:cs="宋体"/>
          <w:spacing w:val="-70"/>
          <w:sz w:val="21"/>
          <w:szCs w:val="21"/>
        </w:rPr>
        <w:t xml:space="preserve"> </w:t>
      </w:r>
      <w:r>
        <w:rPr>
          <w:rFonts w:ascii="宋体" w:hAnsi="宋体" w:eastAsia="宋体" w:cs="宋体"/>
          <w:spacing w:val="1"/>
          <w:sz w:val="21"/>
          <w:szCs w:val="21"/>
        </w:rPr>
        <w:t>；计划竣工/服务结</w:t>
      </w:r>
      <w:r>
        <w:rPr>
          <w:rFonts w:ascii="宋体" w:hAnsi="宋体" w:eastAsia="宋体" w:cs="宋体"/>
          <w:sz w:val="21"/>
          <w:szCs w:val="21"/>
        </w:rPr>
        <w:t>束/供货结束日</w:t>
      </w:r>
    </w:p>
    <w:p w14:paraId="1088F5B3">
      <w:pPr>
        <w:spacing w:before="1" w:line="221" w:lineRule="auto"/>
        <w:ind w:left="20"/>
        <w:rPr>
          <w:rFonts w:ascii="宋体" w:hAnsi="宋体" w:eastAsia="宋体" w:cs="宋体"/>
          <w:sz w:val="21"/>
          <w:szCs w:val="21"/>
        </w:rPr>
      </w:pPr>
      <w:r>
        <w:rPr>
          <w:rFonts w:ascii="宋体" w:hAnsi="宋体" w:eastAsia="宋体" w:cs="宋体"/>
          <w:spacing w:val="-5"/>
          <w:sz w:val="21"/>
          <w:szCs w:val="21"/>
        </w:rPr>
        <w:t>期</w:t>
      </w:r>
      <w:r>
        <w:rPr>
          <w:rFonts w:ascii="宋体" w:hAnsi="宋体" w:eastAsia="宋体" w:cs="宋体"/>
          <w:spacing w:val="-105"/>
          <w:sz w:val="21"/>
          <w:szCs w:val="21"/>
          <w:highlight w:val="yellow"/>
        </w:rPr>
        <w:t xml:space="preserve"> </w:t>
      </w:r>
      <w:r>
        <w:rPr>
          <w:rFonts w:hint="eastAsia" w:ascii="宋体" w:hAnsi="宋体" w:eastAsia="宋体" w:cs="宋体"/>
          <w:sz w:val="21"/>
          <w:szCs w:val="21"/>
          <w:highlight w:val="yellow"/>
          <w:u w:val="single" w:color="auto"/>
          <w:lang w:val="en-US" w:eastAsia="zh-CN"/>
        </w:rPr>
        <w:t>2026年8月19日</w:t>
      </w:r>
      <w:r>
        <w:rPr>
          <w:rFonts w:ascii="宋体" w:hAnsi="宋体" w:eastAsia="宋体" w:cs="宋体"/>
          <w:spacing w:val="-5"/>
          <w:sz w:val="21"/>
          <w:szCs w:val="21"/>
        </w:rPr>
        <w:t>；</w:t>
      </w:r>
    </w:p>
    <w:p w14:paraId="3D1B0BC6">
      <w:pPr>
        <w:spacing w:before="171" w:line="367" w:lineRule="auto"/>
        <w:ind w:left="859"/>
        <w:rPr>
          <w:rFonts w:ascii="宋体" w:hAnsi="宋体" w:eastAsia="宋体" w:cs="宋体"/>
          <w:sz w:val="21"/>
          <w:szCs w:val="21"/>
        </w:rPr>
      </w:pPr>
      <w:r>
        <w:rPr>
          <w:rFonts w:ascii="宋体" w:hAnsi="宋体" w:eastAsia="宋体" w:cs="宋体"/>
          <w:spacing w:val="-23"/>
          <w:w w:val="95"/>
          <w:sz w:val="21"/>
          <w:szCs w:val="21"/>
        </w:rPr>
        <w:t>标段名称：</w:t>
      </w:r>
      <w:r>
        <w:rPr>
          <w:rFonts w:ascii="宋体" w:hAnsi="宋体" w:eastAsia="宋体" w:cs="宋体"/>
          <w:spacing w:val="58"/>
          <w:sz w:val="21"/>
          <w:szCs w:val="21"/>
        </w:rPr>
        <w:t xml:space="preserve"> </w:t>
      </w:r>
      <w:r>
        <w:rPr>
          <w:rFonts w:hint="eastAsia" w:ascii="宋体" w:hAnsi="宋体" w:eastAsia="宋体" w:cs="宋体"/>
          <w:sz w:val="21"/>
          <w:szCs w:val="21"/>
          <w:u w:val="single"/>
          <w:lang w:eastAsia="zh-CN"/>
        </w:rPr>
        <w:t>营口市大庆路、联盟路排水管网改造工程</w:t>
      </w:r>
      <w:r>
        <w:rPr>
          <w:rFonts w:hint="eastAsia" w:ascii="宋体" w:hAnsi="宋体" w:eastAsia="宋体" w:cs="宋体"/>
          <w:sz w:val="21"/>
          <w:szCs w:val="21"/>
          <w:highlight w:val="red"/>
          <w:u w:val="single"/>
          <w:lang w:eastAsia="zh-CN"/>
        </w:rPr>
        <w:t>过铁项目工程施工</w:t>
      </w:r>
    </w:p>
    <w:p w14:paraId="64FB9FE5">
      <w:pPr>
        <w:spacing w:before="1" w:line="220" w:lineRule="auto"/>
        <w:ind w:left="859"/>
        <w:rPr>
          <w:rFonts w:ascii="宋体" w:hAnsi="宋体" w:eastAsia="宋体" w:cs="宋体"/>
          <w:sz w:val="21"/>
          <w:szCs w:val="21"/>
        </w:rPr>
      </w:pPr>
      <w:r>
        <w:rPr>
          <w:rFonts w:ascii="宋体" w:hAnsi="宋体" w:eastAsia="宋体" w:cs="宋体"/>
          <w:spacing w:val="-25"/>
          <w:w w:val="96"/>
          <w:sz w:val="21"/>
          <w:szCs w:val="21"/>
        </w:rPr>
        <w:t>标段编号：</w:t>
      </w:r>
      <w:r>
        <w:rPr>
          <w:rFonts w:ascii="宋体" w:hAnsi="宋体" w:eastAsia="宋体" w:cs="宋体"/>
          <w:spacing w:val="58"/>
          <w:sz w:val="21"/>
          <w:szCs w:val="21"/>
        </w:rPr>
        <w:t xml:space="preserve"> </w:t>
      </w:r>
      <w:r>
        <w:rPr>
          <w:rFonts w:ascii="宋体" w:hAnsi="宋体" w:eastAsia="宋体" w:cs="宋体"/>
          <w:sz w:val="21"/>
          <w:szCs w:val="21"/>
          <w:u w:val="single" w:color="auto"/>
        </w:rPr>
        <w:t xml:space="preserve">    </w:t>
      </w:r>
      <w:r>
        <w:rPr>
          <w:rFonts w:hint="eastAsia" w:ascii="宋体" w:hAnsi="宋体" w:eastAsia="宋体" w:cs="宋体"/>
          <w:sz w:val="21"/>
          <w:szCs w:val="21"/>
          <w:u w:val="single" w:color="auto"/>
          <w:lang w:val="en-US" w:eastAsia="zh-CN"/>
        </w:rPr>
        <w:t>xxx</w:t>
      </w:r>
      <w:r>
        <w:rPr>
          <w:rFonts w:ascii="宋体" w:hAnsi="宋体" w:eastAsia="宋体" w:cs="宋体"/>
          <w:sz w:val="21"/>
          <w:szCs w:val="21"/>
          <w:u w:val="single" w:color="auto"/>
        </w:rPr>
        <w:t xml:space="preserve">                                </w:t>
      </w:r>
    </w:p>
    <w:p w14:paraId="1BD40615">
      <w:pPr>
        <w:spacing w:before="171" w:line="367" w:lineRule="auto"/>
        <w:ind w:left="859"/>
        <w:rPr>
          <w:rFonts w:hint="eastAsia" w:ascii="宋体" w:hAnsi="宋体" w:eastAsia="宋体" w:cs="宋体"/>
          <w:sz w:val="21"/>
          <w:szCs w:val="21"/>
          <w:lang w:eastAsia="zh-CN"/>
        </w:rPr>
      </w:pPr>
      <w:r>
        <w:rPr>
          <w:rFonts w:ascii="宋体" w:hAnsi="宋体" w:eastAsia="宋体" w:cs="宋体"/>
          <w:spacing w:val="-11"/>
          <w:sz w:val="21"/>
          <w:szCs w:val="21"/>
          <w:highlight w:val="yellow"/>
        </w:rPr>
        <w:t>标段招标范围：</w:t>
      </w:r>
      <w:r>
        <w:rPr>
          <w:rFonts w:hint="eastAsia" w:eastAsia="宋体"/>
          <w:highlight w:val="red"/>
          <w:lang w:eastAsia="zh-CN"/>
        </w:rPr>
        <w:t>穿越大庆路粮库专用线新建</w:t>
      </w:r>
      <w:r>
        <w:rPr>
          <w:rFonts w:hint="eastAsia" w:eastAsia="宋体"/>
          <w:highlight w:val="red"/>
          <w:lang w:val="en-US" w:eastAsia="zh-CN"/>
        </w:rPr>
        <w:t>1-1.6m防护套管主体工程、穿越801行走线新建1-3.0m防护套管主体工程、由涉铁工程引起的既有道路的破除及恢复以及由此引起的铁路相关设施及设备的排迁或防护</w:t>
      </w:r>
      <w:r>
        <w:rPr>
          <w:rFonts w:hint="eastAsia" w:eastAsia="宋体"/>
          <w:highlight w:val="red"/>
          <w:lang w:eastAsia="zh-CN"/>
        </w:rPr>
        <w:t>。</w:t>
      </w:r>
      <w:r>
        <w:rPr>
          <w:rFonts w:hint="eastAsia" w:ascii="宋体" w:hAnsi="宋体" w:eastAsia="宋体" w:cs="宋体"/>
          <w:spacing w:val="26"/>
          <w:sz w:val="21"/>
          <w:szCs w:val="21"/>
          <w:highlight w:val="yellow"/>
          <w:lang w:eastAsia="zh-CN"/>
        </w:rPr>
        <w:t>。</w:t>
      </w:r>
    </w:p>
    <w:p w14:paraId="7676032E">
      <w:pPr>
        <w:spacing w:line="219" w:lineRule="auto"/>
        <w:ind w:left="859"/>
        <w:rPr>
          <w:rFonts w:ascii="宋体" w:hAnsi="宋体" w:eastAsia="宋体" w:cs="宋体"/>
          <w:spacing w:val="-16"/>
          <w:sz w:val="21"/>
          <w:szCs w:val="21"/>
        </w:rPr>
      </w:pPr>
      <w:r>
        <w:rPr>
          <w:rFonts w:ascii="宋体" w:hAnsi="宋体" w:eastAsia="宋体" w:cs="宋体"/>
          <w:spacing w:val="-17"/>
          <w:sz w:val="21"/>
          <w:szCs w:val="21"/>
        </w:rPr>
        <w:t>标段类别</w:t>
      </w:r>
      <w:r>
        <w:rPr>
          <w:rFonts w:ascii="宋体" w:hAnsi="宋体" w:eastAsia="宋体" w:cs="宋体"/>
          <w:spacing w:val="-16"/>
          <w:sz w:val="21"/>
          <w:szCs w:val="21"/>
        </w:rPr>
        <w:t>：</w:t>
      </w:r>
      <w:r>
        <w:rPr>
          <w:rFonts w:ascii="宋体" w:hAnsi="宋体" w:eastAsia="宋体" w:cs="宋体"/>
          <w:spacing w:val="49"/>
          <w:sz w:val="21"/>
          <w:szCs w:val="21"/>
        </w:rPr>
        <w:t xml:space="preserve"> </w:t>
      </w:r>
      <w:r>
        <w:rPr>
          <w:rFonts w:hint="eastAsia" w:ascii="宋体" w:hAnsi="宋体" w:eastAsia="宋体" w:cs="宋体"/>
          <w:spacing w:val="49"/>
          <w:sz w:val="21"/>
          <w:szCs w:val="21"/>
          <w:lang w:val="en-US" w:eastAsia="zh-CN"/>
        </w:rPr>
        <w:t>施工</w:t>
      </w:r>
      <w:r>
        <w:rPr>
          <w:rFonts w:ascii="宋体" w:hAnsi="宋体" w:eastAsia="宋体" w:cs="宋体"/>
          <w:spacing w:val="-16"/>
          <w:sz w:val="21"/>
          <w:szCs w:val="21"/>
        </w:rPr>
        <w:t>；</w:t>
      </w:r>
    </w:p>
    <w:p w14:paraId="3B654378">
      <w:pPr>
        <w:spacing w:line="219" w:lineRule="auto"/>
        <w:ind w:left="859"/>
        <w:rPr>
          <w:rFonts w:ascii="宋体" w:hAnsi="宋体" w:eastAsia="宋体" w:cs="宋体"/>
          <w:sz w:val="21"/>
          <w:szCs w:val="21"/>
        </w:rPr>
      </w:pPr>
      <w:r>
        <w:rPr>
          <w:rFonts w:ascii="宋体" w:hAnsi="宋体" w:eastAsia="宋体" w:cs="宋体"/>
          <w:spacing w:val="-17"/>
          <w:sz w:val="21"/>
          <w:szCs w:val="21"/>
        </w:rPr>
        <w:t>标段合同估算价：</w:t>
      </w:r>
      <w:r>
        <w:rPr>
          <w:rFonts w:hint="eastAsia"/>
          <w:u w:val="single"/>
          <w:lang w:val="en-US" w:eastAsia="zh-CN"/>
        </w:rPr>
        <w:t>560</w:t>
      </w:r>
      <w:r>
        <w:rPr>
          <w:rFonts w:hint="eastAsia"/>
          <w:u w:val="single"/>
          <w:lang w:eastAsia="zh-CN"/>
        </w:rPr>
        <w:t xml:space="preserve"> </w:t>
      </w:r>
      <w:r>
        <w:rPr>
          <w:rFonts w:ascii="宋体" w:hAnsi="宋体" w:eastAsia="宋体" w:cs="宋体"/>
          <w:spacing w:val="-88"/>
          <w:sz w:val="21"/>
          <w:szCs w:val="21"/>
          <w:u w:val="single"/>
        </w:rPr>
        <w:t xml:space="preserve"> </w:t>
      </w:r>
      <w:r>
        <w:rPr>
          <w:rFonts w:ascii="宋体" w:hAnsi="宋体" w:eastAsia="宋体" w:cs="宋体"/>
          <w:spacing w:val="-17"/>
          <w:sz w:val="21"/>
          <w:szCs w:val="21"/>
          <w:u w:val="single"/>
        </w:rPr>
        <w:t>万元</w:t>
      </w:r>
      <w:r>
        <w:rPr>
          <w:rFonts w:ascii="宋体" w:hAnsi="宋体" w:eastAsia="宋体" w:cs="宋体"/>
          <w:spacing w:val="-17"/>
          <w:sz w:val="21"/>
          <w:szCs w:val="21"/>
        </w:rPr>
        <w:t>。</w:t>
      </w:r>
    </w:p>
    <w:p w14:paraId="7F86C97D">
      <w:pPr>
        <w:spacing w:before="173" w:line="221" w:lineRule="auto"/>
        <w:ind w:left="861"/>
        <w:rPr>
          <w:rFonts w:ascii="宋体" w:hAnsi="宋体" w:eastAsia="宋体" w:cs="宋体"/>
          <w:sz w:val="21"/>
          <w:szCs w:val="21"/>
        </w:rPr>
      </w:pPr>
      <w:r>
        <w:rPr>
          <w:rFonts w:ascii="宋体" w:hAnsi="宋体" w:eastAsia="宋体" w:cs="宋体"/>
          <w:spacing w:val="-9"/>
          <w:sz w:val="21"/>
          <w:szCs w:val="21"/>
        </w:rPr>
        <w:t>投标保证金金额：</w:t>
      </w:r>
      <w:r>
        <w:rPr>
          <w:rFonts w:hint="eastAsia" w:ascii="宋体" w:hAnsi="宋体" w:eastAsia="宋体" w:cs="宋体"/>
          <w:spacing w:val="-9"/>
          <w:sz w:val="21"/>
          <w:szCs w:val="21"/>
          <w:u w:val="single" w:color="auto"/>
          <w:lang w:val="en-US" w:eastAsia="zh-CN"/>
        </w:rPr>
        <w:t>5</w:t>
      </w:r>
      <w:r>
        <w:rPr>
          <w:rFonts w:ascii="宋体" w:hAnsi="宋体" w:eastAsia="宋体" w:cs="宋体"/>
          <w:spacing w:val="-9"/>
          <w:sz w:val="21"/>
          <w:szCs w:val="21"/>
        </w:rPr>
        <w:t>万元； 缴纳方式：</w:t>
      </w:r>
      <w:r>
        <w:rPr>
          <w:rFonts w:ascii="宋体" w:hAnsi="宋体" w:eastAsia="宋体" w:cs="宋体"/>
          <w:spacing w:val="-10"/>
          <w:sz w:val="21"/>
          <w:szCs w:val="21"/>
          <w:u w:val="single" w:color="auto"/>
        </w:rPr>
        <w:t>现金/保函（保险）</w:t>
      </w:r>
      <w:r>
        <w:rPr>
          <w:rFonts w:ascii="宋体" w:hAnsi="宋体" w:eastAsia="宋体" w:cs="宋体"/>
          <w:spacing w:val="22"/>
          <w:sz w:val="21"/>
          <w:szCs w:val="21"/>
          <w:u w:val="single" w:color="auto"/>
        </w:rPr>
        <w:t xml:space="preserve"> </w:t>
      </w:r>
      <w:r>
        <w:rPr>
          <w:rFonts w:ascii="宋体" w:hAnsi="宋体" w:eastAsia="宋体" w:cs="宋体"/>
          <w:spacing w:val="-10"/>
          <w:sz w:val="21"/>
          <w:szCs w:val="21"/>
          <w:u w:val="single" w:color="auto"/>
        </w:rPr>
        <w:t>/其他形式</w:t>
      </w:r>
      <w:r>
        <w:rPr>
          <w:rFonts w:ascii="宋体" w:hAnsi="宋体" w:eastAsia="宋体" w:cs="宋体"/>
          <w:spacing w:val="-10"/>
          <w:sz w:val="21"/>
          <w:szCs w:val="21"/>
        </w:rPr>
        <w:t>。</w:t>
      </w:r>
    </w:p>
    <w:p w14:paraId="5EF24AA6">
      <w:pPr>
        <w:spacing w:before="167" w:line="350" w:lineRule="auto"/>
        <w:ind w:left="451"/>
        <w:rPr>
          <w:rFonts w:ascii="宋体" w:hAnsi="宋体" w:eastAsia="宋体" w:cs="宋体"/>
          <w:sz w:val="21"/>
          <w:szCs w:val="21"/>
        </w:rPr>
      </w:pPr>
      <w:r>
        <w:rPr>
          <w:rFonts w:ascii="Times New Roman" w:hAnsi="Times New Roman" w:eastAsia="Times New Roman" w:cs="Times New Roman"/>
          <w:spacing w:val="-15"/>
          <w:sz w:val="21"/>
          <w:szCs w:val="21"/>
        </w:rPr>
        <w:t>2.3</w:t>
      </w:r>
      <w:r>
        <w:rPr>
          <w:rFonts w:ascii="Times New Roman" w:hAnsi="Times New Roman" w:eastAsia="Times New Roman" w:cs="Times New Roman"/>
          <w:spacing w:val="15"/>
          <w:sz w:val="21"/>
          <w:szCs w:val="21"/>
        </w:rPr>
        <w:t xml:space="preserve"> </w:t>
      </w:r>
      <w:r>
        <w:rPr>
          <w:rFonts w:ascii="宋体" w:hAnsi="宋体" w:eastAsia="宋体" w:cs="宋体"/>
          <w:spacing w:val="-15"/>
          <w:sz w:val="21"/>
          <w:szCs w:val="21"/>
        </w:rPr>
        <w:t xml:space="preserve">其他： </w:t>
      </w:r>
      <w:r>
        <w:rPr>
          <w:rFonts w:ascii="宋体" w:hAnsi="宋体" w:eastAsia="宋体" w:cs="宋体"/>
          <w:spacing w:val="2"/>
          <w:sz w:val="21"/>
          <w:szCs w:val="21"/>
          <w:u w:val="single" w:color="auto"/>
        </w:rPr>
        <w:t xml:space="preserve">  </w:t>
      </w:r>
      <w:r>
        <w:rPr>
          <w:rFonts w:hint="eastAsia" w:ascii="宋体" w:hAnsi="宋体" w:eastAsia="宋体" w:cs="宋体"/>
          <w:spacing w:val="2"/>
          <w:sz w:val="21"/>
          <w:szCs w:val="21"/>
          <w:u w:val="single" w:color="auto"/>
          <w:lang w:val="en-US" w:eastAsia="zh-CN"/>
        </w:rPr>
        <w:t>/</w:t>
      </w:r>
      <w:r>
        <w:rPr>
          <w:rFonts w:ascii="宋体" w:hAnsi="宋体" w:eastAsia="宋体" w:cs="宋体"/>
          <w:spacing w:val="2"/>
          <w:sz w:val="21"/>
          <w:szCs w:val="21"/>
          <w:u w:val="single" w:color="auto"/>
        </w:rPr>
        <w:t xml:space="preserve">                   </w:t>
      </w:r>
      <w:r>
        <w:rPr>
          <w:rFonts w:ascii="宋体" w:hAnsi="宋体" w:eastAsia="宋体" w:cs="宋体"/>
          <w:spacing w:val="-15"/>
          <w:sz w:val="21"/>
          <w:szCs w:val="21"/>
        </w:rPr>
        <w:t>。</w:t>
      </w:r>
    </w:p>
    <w:p w14:paraId="44F58AB9">
      <w:pPr>
        <w:spacing w:before="1" w:line="218" w:lineRule="auto"/>
        <w:ind w:left="19"/>
        <w:rPr>
          <w:rFonts w:ascii="黑体" w:hAnsi="黑体" w:eastAsia="黑体" w:cs="黑体"/>
          <w:sz w:val="24"/>
          <w:szCs w:val="24"/>
        </w:rPr>
      </w:pPr>
      <w:r>
        <w:rPr>
          <w:rFonts w:ascii="Times New Roman" w:hAnsi="Times New Roman" w:eastAsia="Times New Roman" w:cs="Times New Roman"/>
          <w:spacing w:val="-1"/>
          <w:sz w:val="24"/>
          <w:szCs w:val="24"/>
        </w:rPr>
        <w:t>3.</w:t>
      </w:r>
      <w:r>
        <w:rPr>
          <w:rFonts w:ascii="黑体" w:hAnsi="黑体" w:eastAsia="黑体" w:cs="黑体"/>
          <w:spacing w:val="-1"/>
          <w:sz w:val="24"/>
          <w:szCs w:val="24"/>
        </w:rPr>
        <w:t>投标人资格要求</w:t>
      </w:r>
    </w:p>
    <w:p w14:paraId="5D6741FC">
      <w:pPr>
        <w:spacing w:before="159" w:line="369" w:lineRule="auto"/>
        <w:ind w:left="17" w:right="7" w:firstLine="438"/>
        <w:jc w:val="left"/>
        <w:rPr>
          <w:rFonts w:ascii="宋体" w:hAnsi="宋体" w:eastAsia="宋体" w:cs="宋体"/>
          <w:sz w:val="21"/>
          <w:szCs w:val="21"/>
        </w:rPr>
      </w:pPr>
      <w:r>
        <w:rPr>
          <w:rFonts w:ascii="Times New Roman" w:hAnsi="Times New Roman" w:eastAsia="Times New Roman" w:cs="Times New Roman"/>
          <w:spacing w:val="-1"/>
          <w:sz w:val="21"/>
          <w:szCs w:val="21"/>
        </w:rPr>
        <w:t xml:space="preserve">3.1 </w:t>
      </w:r>
      <w:r>
        <w:rPr>
          <w:rFonts w:ascii="宋体" w:hAnsi="宋体" w:eastAsia="宋体" w:cs="宋体"/>
          <w:spacing w:val="-1"/>
          <w:sz w:val="21"/>
          <w:szCs w:val="21"/>
        </w:rPr>
        <w:t>本次招标要求投标人须具备</w:t>
      </w:r>
      <w:r>
        <w:rPr>
          <w:rFonts w:hint="eastAsia" w:ascii="宋体" w:hAnsi="宋体" w:eastAsia="宋体" w:cs="宋体"/>
          <w:spacing w:val="-1"/>
          <w:sz w:val="21"/>
          <w:szCs w:val="21"/>
          <w:lang w:eastAsia="zh-CN"/>
        </w:rPr>
        <w:t>【</w:t>
      </w:r>
      <w:r>
        <w:rPr>
          <w:rFonts w:hint="eastAsia" w:ascii="宋体" w:hAnsi="宋体" w:eastAsia="宋体" w:cs="宋体"/>
          <w:spacing w:val="-1"/>
          <w:sz w:val="21"/>
          <w:szCs w:val="21"/>
          <w:highlight w:val="yellow"/>
          <w:lang w:eastAsia="zh-CN"/>
        </w:rPr>
        <w:t>铁路工程施工总承包三级及以上资质】</w:t>
      </w:r>
      <w:r>
        <w:rPr>
          <w:rFonts w:hint="eastAsia" w:ascii="宋体" w:hAnsi="宋体" w:eastAsia="宋体" w:cs="宋体"/>
          <w:spacing w:val="-1"/>
          <w:sz w:val="21"/>
          <w:szCs w:val="21"/>
          <w:lang w:val="en-US" w:eastAsia="zh-CN"/>
        </w:rPr>
        <w:t>和【市政公用工程施工总承包三级】</w:t>
      </w:r>
      <w:r>
        <w:rPr>
          <w:rFonts w:ascii="宋体" w:hAnsi="宋体" w:eastAsia="宋体" w:cs="宋体"/>
          <w:spacing w:val="-1"/>
          <w:sz w:val="21"/>
          <w:szCs w:val="21"/>
        </w:rPr>
        <w:t>(含)</w:t>
      </w:r>
      <w:r>
        <w:rPr>
          <w:rFonts w:hint="eastAsia" w:ascii="宋体" w:hAnsi="宋体" w:eastAsia="宋体" w:cs="宋体"/>
          <w:spacing w:val="-1"/>
          <w:sz w:val="21"/>
          <w:szCs w:val="21"/>
          <w:lang w:val="en-US" w:eastAsia="zh-CN"/>
        </w:rPr>
        <w:t>以</w:t>
      </w:r>
      <w:r>
        <w:rPr>
          <w:rFonts w:ascii="宋体" w:hAnsi="宋体" w:eastAsia="宋体" w:cs="宋体"/>
          <w:spacing w:val="-1"/>
          <w:sz w:val="21"/>
          <w:szCs w:val="21"/>
        </w:rPr>
        <w:t>上资质</w:t>
      </w:r>
      <w:r>
        <w:rPr>
          <w:rFonts w:ascii="宋体" w:hAnsi="宋体" w:eastAsia="宋体" w:cs="宋体"/>
          <w:spacing w:val="-1"/>
          <w:sz w:val="21"/>
          <w:szCs w:val="21"/>
          <w:u w:val="single" w:color="auto"/>
        </w:rPr>
        <w:t>，并在人员、设备、资金等方面具有相应的</w:t>
      </w:r>
      <w:r>
        <w:rPr>
          <w:rFonts w:ascii="宋体" w:hAnsi="宋体" w:eastAsia="宋体" w:cs="宋体"/>
          <w:spacing w:val="-3"/>
          <w:sz w:val="21"/>
          <w:szCs w:val="21"/>
          <w:u w:val="single" w:color="auto"/>
        </w:rPr>
        <w:t>施工能力，</w:t>
      </w:r>
      <w:r>
        <w:rPr>
          <w:rFonts w:ascii="宋体" w:hAnsi="宋体" w:eastAsia="宋体" w:cs="宋体"/>
          <w:spacing w:val="52"/>
          <w:sz w:val="21"/>
          <w:szCs w:val="21"/>
          <w:u w:val="single" w:color="auto"/>
        </w:rPr>
        <w:t xml:space="preserve"> </w:t>
      </w:r>
      <w:r>
        <w:rPr>
          <w:rFonts w:ascii="宋体" w:hAnsi="宋体" w:eastAsia="宋体" w:cs="宋体"/>
          <w:spacing w:val="-3"/>
          <w:sz w:val="21"/>
          <w:szCs w:val="21"/>
          <w:u w:val="single" w:color="auto"/>
        </w:rPr>
        <w:t>其中，投标人拟派项目经理须具备</w:t>
      </w:r>
      <w:r>
        <w:rPr>
          <w:rFonts w:hint="eastAsia" w:ascii="宋体" w:hAnsi="宋体" w:eastAsia="宋体" w:cs="宋体"/>
          <w:spacing w:val="-3"/>
          <w:sz w:val="21"/>
          <w:szCs w:val="21"/>
          <w:u w:val="single" w:color="auto"/>
          <w:lang w:eastAsia="zh-CN"/>
        </w:rPr>
        <w:t>铁路工程专业</w:t>
      </w:r>
      <w:r>
        <w:rPr>
          <w:rFonts w:hint="eastAsia" w:ascii="宋体" w:hAnsi="宋体" w:eastAsia="宋体" w:cs="宋体"/>
          <w:spacing w:val="-3"/>
          <w:sz w:val="21"/>
          <w:szCs w:val="21"/>
          <w:highlight w:val="yellow"/>
          <w:u w:val="single" w:color="auto"/>
          <w:lang w:eastAsia="zh-CN"/>
        </w:rPr>
        <w:t>一级</w:t>
      </w:r>
      <w:r>
        <w:rPr>
          <w:rFonts w:hint="eastAsia" w:ascii="宋体" w:hAnsi="宋体" w:eastAsia="宋体" w:cs="宋体"/>
          <w:spacing w:val="-3"/>
          <w:sz w:val="21"/>
          <w:szCs w:val="21"/>
          <w:u w:val="single" w:color="auto"/>
          <w:lang w:eastAsia="zh-CN"/>
        </w:rPr>
        <w:t>注册建造师</w:t>
      </w:r>
      <w:r>
        <w:rPr>
          <w:rStyle w:val="8"/>
          <w:rFonts w:ascii="宋体" w:hAnsi="宋体" w:cs="宋体"/>
          <w:b w:val="0"/>
          <w:bCs w:val="0"/>
          <w:i w:val="0"/>
          <w:iCs w:val="0"/>
          <w:smallCaps w:val="0"/>
          <w:kern w:val="0"/>
          <w:sz w:val="27"/>
          <w:szCs w:val="27"/>
        </w:rPr>
        <w:t>]</w:t>
      </w:r>
      <w:r>
        <w:rPr>
          <w:rFonts w:ascii="宋体" w:hAnsi="宋体" w:eastAsia="宋体" w:cs="宋体"/>
          <w:spacing w:val="-4"/>
          <w:sz w:val="21"/>
          <w:szCs w:val="21"/>
          <w:u w:val="single" w:color="auto"/>
        </w:rPr>
        <w:t>，具备有</w:t>
      </w:r>
      <w:r>
        <w:rPr>
          <w:rFonts w:ascii="宋体" w:hAnsi="宋体" w:eastAsia="宋体" w:cs="宋体"/>
          <w:sz w:val="21"/>
          <w:szCs w:val="21"/>
          <w:u w:val="single" w:color="auto"/>
        </w:rPr>
        <w:t>效的安全生产考核合格证书（</w:t>
      </w:r>
      <w:r>
        <w:rPr>
          <w:rFonts w:ascii="Times New Roman" w:hAnsi="Times New Roman" w:eastAsia="Times New Roman" w:cs="Times New Roman"/>
          <w:sz w:val="21"/>
          <w:szCs w:val="21"/>
          <w:u w:val="single" w:color="auto"/>
        </w:rPr>
        <w:t xml:space="preserve">B </w:t>
      </w:r>
      <w:r>
        <w:rPr>
          <w:rFonts w:ascii="宋体" w:hAnsi="宋体" w:eastAsia="宋体" w:cs="宋体"/>
          <w:sz w:val="21"/>
          <w:szCs w:val="21"/>
          <w:u w:val="single" w:color="auto"/>
        </w:rPr>
        <w:t>证</w:t>
      </w:r>
      <w:r>
        <w:rPr>
          <w:rFonts w:ascii="宋体" w:hAnsi="宋体" w:eastAsia="宋体" w:cs="宋体"/>
          <w:spacing w:val="-54"/>
          <w:w w:val="98"/>
          <w:sz w:val="21"/>
          <w:szCs w:val="21"/>
          <w:u w:val="single" w:color="auto"/>
        </w:rPr>
        <w:t>），</w:t>
      </w:r>
      <w:r>
        <w:rPr>
          <w:rFonts w:ascii="宋体" w:hAnsi="宋体" w:eastAsia="宋体" w:cs="宋体"/>
          <w:sz w:val="21"/>
          <w:szCs w:val="21"/>
          <w:u w:val="single" w:color="auto"/>
        </w:rPr>
        <w:t>且未担任其他在施建</w:t>
      </w:r>
      <w:r>
        <w:rPr>
          <w:rFonts w:ascii="宋体" w:hAnsi="宋体" w:eastAsia="宋体" w:cs="宋体"/>
          <w:spacing w:val="-1"/>
          <w:sz w:val="21"/>
          <w:szCs w:val="21"/>
          <w:u w:val="single" w:color="auto"/>
        </w:rPr>
        <w:t>设工程项目的项目经理</w:t>
      </w:r>
      <w:r>
        <w:rPr>
          <w:rFonts w:ascii="宋体" w:hAnsi="宋体" w:eastAsia="宋体" w:cs="宋体"/>
          <w:spacing w:val="-1"/>
          <w:sz w:val="21"/>
          <w:szCs w:val="21"/>
        </w:rPr>
        <w:t>。</w:t>
      </w:r>
    </w:p>
    <w:p w14:paraId="2F1953CF">
      <w:pPr>
        <w:spacing w:before="172" w:line="220" w:lineRule="auto"/>
        <w:ind w:right="7"/>
        <w:jc w:val="right"/>
        <w:rPr>
          <w:rFonts w:ascii="宋体" w:hAnsi="宋体" w:eastAsia="宋体" w:cs="宋体"/>
          <w:sz w:val="21"/>
          <w:szCs w:val="21"/>
        </w:rPr>
      </w:pPr>
      <w:r>
        <w:rPr>
          <w:rFonts w:ascii="Times New Roman" w:hAnsi="Times New Roman" w:eastAsia="Times New Roman" w:cs="Times New Roman"/>
          <w:spacing w:val="2"/>
          <w:sz w:val="21"/>
          <w:szCs w:val="21"/>
        </w:rPr>
        <w:t>3.2</w:t>
      </w:r>
      <w:r>
        <w:rPr>
          <w:rFonts w:ascii="Times New Roman" w:hAnsi="Times New Roman" w:eastAsia="Times New Roman" w:cs="Times New Roman"/>
          <w:spacing w:val="38"/>
          <w:sz w:val="21"/>
          <w:szCs w:val="21"/>
        </w:rPr>
        <w:t xml:space="preserve"> </w:t>
      </w:r>
      <w:r>
        <w:rPr>
          <w:rFonts w:ascii="宋体" w:hAnsi="宋体" w:eastAsia="宋体" w:cs="宋体"/>
          <w:spacing w:val="2"/>
          <w:sz w:val="21"/>
          <w:szCs w:val="21"/>
        </w:rPr>
        <w:t>本次招标</w:t>
      </w:r>
      <w:r>
        <w:rPr>
          <w:rFonts w:ascii="宋体" w:hAnsi="宋体" w:eastAsia="宋体" w:cs="宋体"/>
          <w:spacing w:val="-105"/>
          <w:sz w:val="21"/>
          <w:szCs w:val="21"/>
        </w:rPr>
        <w:t xml:space="preserve"> </w:t>
      </w:r>
      <w:r>
        <w:rPr>
          <w:rFonts w:ascii="宋体" w:hAnsi="宋体" w:eastAsia="宋体" w:cs="宋体"/>
          <w:spacing w:val="12"/>
          <w:sz w:val="21"/>
          <w:szCs w:val="21"/>
          <w:u w:val="single" w:color="auto"/>
        </w:rPr>
        <w:t xml:space="preserve"> </w:t>
      </w:r>
      <w:r>
        <w:rPr>
          <w:rFonts w:ascii="宋体" w:hAnsi="宋体" w:eastAsia="宋体" w:cs="宋体"/>
          <w:spacing w:val="2"/>
          <w:sz w:val="21"/>
          <w:szCs w:val="21"/>
          <w:highlight w:val="green"/>
        </w:rPr>
        <w:t>接受</w:t>
      </w:r>
      <w:r>
        <w:rPr>
          <w:rFonts w:ascii="宋体" w:hAnsi="宋体" w:eastAsia="宋体" w:cs="宋体"/>
          <w:spacing w:val="12"/>
          <w:sz w:val="21"/>
          <w:szCs w:val="21"/>
          <w:u w:val="single" w:color="auto"/>
        </w:rPr>
        <w:t xml:space="preserve"> </w:t>
      </w:r>
      <w:r>
        <w:rPr>
          <w:rFonts w:ascii="宋体" w:hAnsi="宋体" w:eastAsia="宋体" w:cs="宋体"/>
          <w:spacing w:val="2"/>
          <w:sz w:val="21"/>
          <w:szCs w:val="21"/>
        </w:rPr>
        <w:t>（接受或不接受）联合体投标。联合体投标的，应满足下列要</w:t>
      </w:r>
    </w:p>
    <w:p w14:paraId="44FE1DD4">
      <w:pPr>
        <w:spacing w:before="167" w:line="222" w:lineRule="auto"/>
        <w:ind w:left="20"/>
        <w:rPr>
          <w:rFonts w:ascii="宋体" w:hAnsi="宋体" w:eastAsia="宋体" w:cs="宋体"/>
          <w:sz w:val="21"/>
          <w:szCs w:val="21"/>
        </w:rPr>
      </w:pPr>
      <w:r>
        <w:rPr>
          <w:rFonts w:ascii="宋体" w:hAnsi="宋体" w:eastAsia="宋体" w:cs="宋体"/>
          <w:spacing w:val="-15"/>
          <w:sz w:val="21"/>
          <w:szCs w:val="21"/>
        </w:rPr>
        <w:t>求：</w:t>
      </w:r>
      <w:r>
        <w:rPr>
          <w:rFonts w:ascii="宋体" w:hAnsi="宋体" w:eastAsia="宋体" w:cs="宋体"/>
          <w:spacing w:val="-30"/>
          <w:sz w:val="21"/>
          <w:szCs w:val="21"/>
        </w:rPr>
        <w:t xml:space="preserve"> </w:t>
      </w:r>
      <w:r>
        <w:rPr>
          <w:rFonts w:ascii="宋体" w:hAnsi="宋体" w:eastAsia="宋体" w:cs="宋体"/>
          <w:spacing w:val="-15"/>
          <w:sz w:val="21"/>
          <w:szCs w:val="21"/>
          <w:u w:val="single" w:color="auto"/>
        </w:rPr>
        <w:t xml:space="preserve">             </w:t>
      </w:r>
      <w:r>
        <w:rPr>
          <w:rFonts w:hint="eastAsia" w:ascii="宋体" w:hAnsi="宋体" w:eastAsia="宋体" w:cs="宋体"/>
          <w:spacing w:val="-15"/>
          <w:sz w:val="21"/>
          <w:szCs w:val="21"/>
          <w:u w:val="single" w:color="auto"/>
          <w:lang w:val="en-US" w:eastAsia="zh-CN"/>
        </w:rPr>
        <w:t>/</w:t>
      </w:r>
      <w:r>
        <w:rPr>
          <w:rFonts w:ascii="宋体" w:hAnsi="宋体" w:eastAsia="宋体" w:cs="宋体"/>
          <w:spacing w:val="-15"/>
          <w:sz w:val="21"/>
          <w:szCs w:val="21"/>
          <w:u w:val="single" w:color="auto"/>
        </w:rPr>
        <w:t xml:space="preserve">       </w:t>
      </w:r>
      <w:r>
        <w:rPr>
          <w:rFonts w:ascii="宋体" w:hAnsi="宋体" w:eastAsia="宋体" w:cs="宋体"/>
          <w:spacing w:val="-15"/>
          <w:sz w:val="21"/>
          <w:szCs w:val="21"/>
        </w:rPr>
        <w:t>。</w:t>
      </w:r>
    </w:p>
    <w:p w14:paraId="317950B9">
      <w:pPr>
        <w:spacing w:before="171" w:line="221" w:lineRule="auto"/>
        <w:ind w:left="441"/>
        <w:rPr>
          <w:rFonts w:ascii="宋体" w:hAnsi="宋体" w:eastAsia="宋体" w:cs="宋体"/>
          <w:sz w:val="21"/>
          <w:szCs w:val="21"/>
        </w:rPr>
      </w:pPr>
      <w:r>
        <w:rPr>
          <w:rFonts w:ascii="Times New Roman" w:hAnsi="Times New Roman" w:eastAsia="Times New Roman" w:cs="Times New Roman"/>
          <w:spacing w:val="-7"/>
          <w:sz w:val="21"/>
          <w:szCs w:val="21"/>
        </w:rPr>
        <w:t xml:space="preserve">3.3 </w:t>
      </w:r>
      <w:r>
        <w:rPr>
          <w:rFonts w:ascii="宋体" w:hAnsi="宋体" w:eastAsia="宋体" w:cs="宋体"/>
          <w:spacing w:val="-7"/>
          <w:sz w:val="21"/>
          <w:szCs w:val="21"/>
        </w:rPr>
        <w:t>其他要求：</w:t>
      </w:r>
      <w:r>
        <w:rPr>
          <w:rFonts w:ascii="宋体" w:hAnsi="宋体" w:eastAsia="宋体" w:cs="宋体"/>
          <w:spacing w:val="-29"/>
          <w:sz w:val="21"/>
          <w:szCs w:val="21"/>
        </w:rPr>
        <w:t xml:space="preserve"> </w:t>
      </w:r>
      <w:r>
        <w:rPr>
          <w:rFonts w:ascii="宋体" w:hAnsi="宋体" w:eastAsia="宋体" w:cs="宋体"/>
          <w:spacing w:val="-7"/>
          <w:sz w:val="21"/>
          <w:szCs w:val="21"/>
          <w:u w:val="single" w:color="auto"/>
        </w:rPr>
        <w:t xml:space="preserve">      </w:t>
      </w:r>
      <w:r>
        <w:rPr>
          <w:rFonts w:hint="eastAsia" w:ascii="宋体" w:hAnsi="宋体" w:eastAsia="宋体" w:cs="宋体"/>
          <w:spacing w:val="-7"/>
          <w:sz w:val="21"/>
          <w:szCs w:val="21"/>
          <w:u w:val="single" w:color="auto"/>
          <w:lang w:val="en-US" w:eastAsia="zh-CN"/>
        </w:rPr>
        <w:t>/</w:t>
      </w:r>
      <w:r>
        <w:rPr>
          <w:rFonts w:ascii="宋体" w:hAnsi="宋体" w:eastAsia="宋体" w:cs="宋体"/>
          <w:spacing w:val="-7"/>
          <w:sz w:val="21"/>
          <w:szCs w:val="21"/>
          <w:u w:val="single" w:color="auto"/>
        </w:rPr>
        <w:t xml:space="preserve">            </w:t>
      </w:r>
      <w:r>
        <w:rPr>
          <w:rFonts w:ascii="宋体" w:hAnsi="宋体" w:eastAsia="宋体" w:cs="宋体"/>
          <w:spacing w:val="-7"/>
          <w:sz w:val="21"/>
          <w:szCs w:val="21"/>
        </w:rPr>
        <w:t>。</w:t>
      </w:r>
    </w:p>
    <w:p w14:paraId="0510EBA9">
      <w:pPr>
        <w:spacing w:before="143" w:line="218" w:lineRule="auto"/>
        <w:ind w:left="13"/>
        <w:rPr>
          <w:rFonts w:ascii="黑体" w:hAnsi="黑体" w:eastAsia="黑体" w:cs="黑体"/>
          <w:sz w:val="24"/>
          <w:szCs w:val="24"/>
        </w:rPr>
      </w:pPr>
      <w:r>
        <w:rPr>
          <w:rFonts w:ascii="Times New Roman" w:hAnsi="Times New Roman" w:eastAsia="Times New Roman" w:cs="Times New Roman"/>
          <w:spacing w:val="-1"/>
          <w:sz w:val="24"/>
          <w:szCs w:val="24"/>
        </w:rPr>
        <w:t>4.</w:t>
      </w:r>
      <w:r>
        <w:rPr>
          <w:rFonts w:ascii="黑体" w:hAnsi="黑体" w:eastAsia="黑体" w:cs="黑体"/>
          <w:spacing w:val="-1"/>
          <w:sz w:val="24"/>
          <w:szCs w:val="24"/>
        </w:rPr>
        <w:t>招标文件的获取</w:t>
      </w:r>
    </w:p>
    <w:p w14:paraId="7CF73A95">
      <w:pPr>
        <w:spacing w:before="158" w:line="423" w:lineRule="exact"/>
        <w:ind w:right="3"/>
        <w:jc w:val="left"/>
        <w:rPr>
          <w:rFonts w:ascii="Times New Roman" w:hAnsi="Times New Roman" w:eastAsia="Times New Roman" w:cs="Times New Roman"/>
          <w:spacing w:val="6"/>
          <w:position w:val="16"/>
          <w:sz w:val="21"/>
          <w:szCs w:val="21"/>
        </w:rPr>
      </w:pPr>
      <w:r>
        <w:rPr>
          <w:rFonts w:ascii="Times New Roman" w:hAnsi="Times New Roman" w:eastAsia="Times New Roman" w:cs="Times New Roman"/>
          <w:spacing w:val="6"/>
          <w:position w:val="16"/>
          <w:sz w:val="21"/>
          <w:szCs w:val="21"/>
        </w:rPr>
        <w:t>4.1 凡有意参加投标者， 应当在主体信息库（辽宁省工程建设项目主体云库）进行注册登记（具体参见主体云库注册操作指南）。</w:t>
      </w:r>
    </w:p>
    <w:p w14:paraId="29766949">
      <w:pPr>
        <w:spacing w:before="158" w:line="423" w:lineRule="exact"/>
        <w:ind w:right="3"/>
        <w:jc w:val="left"/>
        <w:rPr>
          <w:rFonts w:ascii="Times New Roman" w:hAnsi="Times New Roman" w:eastAsia="Times New Roman" w:cs="Times New Roman"/>
          <w:spacing w:val="6"/>
          <w:position w:val="16"/>
          <w:sz w:val="21"/>
          <w:szCs w:val="21"/>
        </w:rPr>
      </w:pPr>
      <w:r>
        <w:rPr>
          <w:rFonts w:ascii="Times New Roman" w:hAnsi="Times New Roman" w:eastAsia="Times New Roman" w:cs="Times New Roman"/>
          <w:spacing w:val="6"/>
          <w:position w:val="16"/>
          <w:sz w:val="21"/>
          <w:szCs w:val="21"/>
        </w:rPr>
        <w:t xml:space="preserve">4.2 完成注册登记后， 请于 </w:t>
      </w:r>
      <w:r>
        <w:rPr>
          <w:rFonts w:hint="eastAsia" w:ascii="Times New Roman" w:hAnsi="Times New Roman" w:eastAsia="Times New Roman" w:cs="Times New Roman"/>
          <w:spacing w:val="6"/>
          <w:position w:val="16"/>
          <w:sz w:val="21"/>
          <w:szCs w:val="21"/>
          <w:lang w:val="en-US" w:eastAsia="zh-CN"/>
        </w:rPr>
        <w:t>2026年6</w:t>
      </w:r>
      <w:r>
        <w:rPr>
          <w:rFonts w:ascii="Times New Roman" w:hAnsi="Times New Roman" w:eastAsia="Times New Roman" w:cs="Times New Roman"/>
          <w:spacing w:val="6"/>
          <w:position w:val="16"/>
          <w:sz w:val="21"/>
          <w:szCs w:val="21"/>
        </w:rPr>
        <w:t>月</w:t>
      </w:r>
      <w:r>
        <w:rPr>
          <w:rFonts w:hint="eastAsia" w:ascii="Times New Roman" w:hAnsi="Times New Roman" w:eastAsia="宋体" w:cs="Times New Roman"/>
          <w:spacing w:val="6"/>
          <w:position w:val="16"/>
          <w:sz w:val="21"/>
          <w:szCs w:val="21"/>
          <w:lang w:val="en-US" w:eastAsia="zh-CN"/>
        </w:rPr>
        <w:t>11</w:t>
      </w:r>
      <w:r>
        <w:rPr>
          <w:rFonts w:ascii="Times New Roman" w:hAnsi="Times New Roman" w:eastAsia="Times New Roman" w:cs="Times New Roman"/>
          <w:spacing w:val="6"/>
          <w:position w:val="16"/>
          <w:sz w:val="21"/>
          <w:szCs w:val="21"/>
        </w:rPr>
        <w:t>日</w:t>
      </w:r>
      <w:r>
        <w:rPr>
          <w:rFonts w:hint="eastAsia" w:ascii="Times New Roman" w:hAnsi="Times New Roman" w:eastAsia="Times New Roman" w:cs="Times New Roman"/>
          <w:spacing w:val="6"/>
          <w:position w:val="16"/>
          <w:sz w:val="21"/>
          <w:szCs w:val="21"/>
          <w:lang w:val="en-US" w:eastAsia="zh-CN"/>
        </w:rPr>
        <w:t>08时30分</w:t>
      </w:r>
      <w:r>
        <w:rPr>
          <w:rFonts w:ascii="Times New Roman" w:hAnsi="Times New Roman" w:eastAsia="Times New Roman" w:cs="Times New Roman"/>
          <w:spacing w:val="6"/>
          <w:position w:val="16"/>
          <w:sz w:val="21"/>
          <w:szCs w:val="21"/>
        </w:rPr>
        <w:t>至</w:t>
      </w:r>
      <w:r>
        <w:rPr>
          <w:rFonts w:hint="eastAsia" w:ascii="Times New Roman" w:hAnsi="Times New Roman" w:eastAsia="Times New Roman" w:cs="Times New Roman"/>
          <w:spacing w:val="6"/>
          <w:position w:val="16"/>
          <w:sz w:val="21"/>
          <w:szCs w:val="21"/>
          <w:lang w:val="en-US" w:eastAsia="zh-CN"/>
        </w:rPr>
        <w:t>2026年6</w:t>
      </w:r>
      <w:r>
        <w:rPr>
          <w:rFonts w:ascii="Times New Roman" w:hAnsi="Times New Roman" w:eastAsia="Times New Roman" w:cs="Times New Roman"/>
          <w:spacing w:val="6"/>
          <w:position w:val="16"/>
          <w:sz w:val="21"/>
          <w:szCs w:val="21"/>
        </w:rPr>
        <w:t xml:space="preserve"> 月</w:t>
      </w:r>
      <w:r>
        <w:rPr>
          <w:rFonts w:hint="eastAsia" w:ascii="Times New Roman" w:hAnsi="Times New Roman" w:eastAsia="宋体" w:cs="Times New Roman"/>
          <w:spacing w:val="6"/>
          <w:position w:val="16"/>
          <w:sz w:val="21"/>
          <w:szCs w:val="21"/>
          <w:lang w:val="en-US" w:eastAsia="zh-CN"/>
        </w:rPr>
        <w:t>17</w:t>
      </w:r>
      <w:r>
        <w:rPr>
          <w:rFonts w:ascii="Times New Roman" w:hAnsi="Times New Roman" w:eastAsia="Times New Roman" w:cs="Times New Roman"/>
          <w:spacing w:val="6"/>
          <w:position w:val="16"/>
          <w:sz w:val="21"/>
          <w:szCs w:val="21"/>
        </w:rPr>
        <w:t>日</w:t>
      </w:r>
      <w:r>
        <w:rPr>
          <w:rFonts w:hint="eastAsia" w:ascii="Times New Roman" w:hAnsi="Times New Roman" w:eastAsia="Times New Roman" w:cs="Times New Roman"/>
          <w:spacing w:val="6"/>
          <w:position w:val="16"/>
          <w:sz w:val="21"/>
          <w:szCs w:val="21"/>
          <w:lang w:val="en-US" w:eastAsia="zh-CN"/>
        </w:rPr>
        <w:t>16</w:t>
      </w:r>
      <w:r>
        <w:rPr>
          <w:rFonts w:ascii="Times New Roman" w:hAnsi="Times New Roman" w:eastAsia="Times New Roman" w:cs="Times New Roman"/>
          <w:spacing w:val="6"/>
          <w:position w:val="16"/>
          <w:sz w:val="21"/>
          <w:szCs w:val="21"/>
        </w:rPr>
        <w:t xml:space="preserve">时 </w:t>
      </w:r>
      <w:r>
        <w:rPr>
          <w:rFonts w:hint="eastAsia" w:ascii="Times New Roman" w:hAnsi="Times New Roman" w:eastAsia="Times New Roman" w:cs="Times New Roman"/>
          <w:spacing w:val="6"/>
          <w:position w:val="16"/>
          <w:sz w:val="21"/>
          <w:szCs w:val="21"/>
          <w:lang w:val="en-US" w:eastAsia="zh-CN"/>
        </w:rPr>
        <w:t>30</w:t>
      </w:r>
      <w:r>
        <w:rPr>
          <w:rFonts w:ascii="Times New Roman" w:hAnsi="Times New Roman" w:eastAsia="Times New Roman" w:cs="Times New Roman"/>
          <w:spacing w:val="6"/>
          <w:position w:val="16"/>
          <w:sz w:val="21"/>
          <w:szCs w:val="21"/>
        </w:rPr>
        <w:t xml:space="preserve">分止（北京时间、 下同），通过 </w:t>
      </w:r>
      <w:r>
        <w:rPr>
          <w:rFonts w:hint="eastAsia" w:ascii="Times New Roman" w:hAnsi="Times New Roman" w:eastAsia="Times New Roman" w:cs="Times New Roman"/>
          <w:spacing w:val="6"/>
          <w:position w:val="16"/>
          <w:sz w:val="21"/>
          <w:szCs w:val="21"/>
        </w:rPr>
        <w:t>辽宁工程咨询招投标交易平台</w:t>
      </w:r>
      <w:r>
        <w:rPr>
          <w:rFonts w:ascii="Times New Roman" w:hAnsi="Times New Roman" w:eastAsia="Times New Roman" w:cs="Times New Roman"/>
          <w:spacing w:val="6"/>
          <w:position w:val="16"/>
          <w:sz w:val="21"/>
          <w:szCs w:val="21"/>
        </w:rPr>
        <w:t>（投标盲盒工具</w:t>
      </w:r>
      <w:r>
        <w:rPr>
          <w:rFonts w:ascii="Times New Roman" w:hAnsi="Times New Roman" w:eastAsia="Times New Roman" w:cs="Times New Roman"/>
          <w:spacing w:val="6"/>
          <w:position w:val="16"/>
          <w:sz w:val="21"/>
          <w:szCs w:val="21"/>
        </w:rPr>
        <w:fldChar w:fldCharType="begin"/>
      </w:r>
      <w:r>
        <w:rPr>
          <w:rFonts w:ascii="Times New Roman" w:hAnsi="Times New Roman" w:eastAsia="Times New Roman" w:cs="Times New Roman"/>
          <w:spacing w:val="6"/>
          <w:position w:val="16"/>
          <w:sz w:val="21"/>
          <w:szCs w:val="21"/>
        </w:rPr>
        <w:instrText xml:space="preserve"> HYPERLINK "https://xbox.lnzb.com" </w:instrText>
      </w:r>
      <w:r>
        <w:rPr>
          <w:rFonts w:ascii="Times New Roman" w:hAnsi="Times New Roman" w:eastAsia="Times New Roman" w:cs="Times New Roman"/>
          <w:spacing w:val="6"/>
          <w:position w:val="16"/>
          <w:sz w:val="21"/>
          <w:szCs w:val="21"/>
        </w:rPr>
        <w:fldChar w:fldCharType="separate"/>
      </w:r>
      <w:r>
        <w:rPr>
          <w:rFonts w:ascii="Times New Roman" w:hAnsi="Times New Roman" w:eastAsia="Times New Roman" w:cs="Times New Roman"/>
          <w:spacing w:val="6"/>
          <w:position w:val="16"/>
          <w:sz w:val="21"/>
          <w:szCs w:val="21"/>
        </w:rPr>
        <w:t>https://xbox.lnzb.com</w:t>
      </w:r>
      <w:r>
        <w:rPr>
          <w:rFonts w:ascii="Times New Roman" w:hAnsi="Times New Roman" w:eastAsia="Times New Roman" w:cs="Times New Roman"/>
          <w:spacing w:val="6"/>
          <w:position w:val="16"/>
          <w:sz w:val="21"/>
          <w:szCs w:val="21"/>
        </w:rPr>
        <w:fldChar w:fldCharType="end"/>
      </w:r>
      <w:r>
        <w:rPr>
          <w:rFonts w:ascii="Times New Roman" w:hAnsi="Times New Roman" w:eastAsia="Times New Roman" w:cs="Times New Roman"/>
          <w:spacing w:val="6"/>
          <w:position w:val="16"/>
          <w:sz w:val="21"/>
          <w:szCs w:val="21"/>
        </w:rPr>
        <w:t>），在所投标段进行资格确认并下载招标文件。联合体投标的，由联合体牵头人下载招标文件。</w:t>
      </w:r>
    </w:p>
    <w:p w14:paraId="14191DEC">
      <w:pPr>
        <w:spacing w:before="147" w:line="219" w:lineRule="auto"/>
        <w:ind w:left="21"/>
        <w:rPr>
          <w:rFonts w:ascii="黑体" w:hAnsi="黑体" w:eastAsia="黑体" w:cs="黑体"/>
          <w:sz w:val="24"/>
          <w:szCs w:val="24"/>
        </w:rPr>
      </w:pPr>
      <w:r>
        <w:rPr>
          <w:rFonts w:ascii="Times New Roman" w:hAnsi="Times New Roman" w:eastAsia="Times New Roman" w:cs="Times New Roman"/>
          <w:spacing w:val="-1"/>
          <w:sz w:val="24"/>
          <w:szCs w:val="24"/>
        </w:rPr>
        <w:t>5.</w:t>
      </w:r>
      <w:r>
        <w:rPr>
          <w:rFonts w:ascii="黑体" w:hAnsi="黑体" w:eastAsia="黑体" w:cs="黑体"/>
          <w:spacing w:val="-1"/>
          <w:sz w:val="24"/>
          <w:szCs w:val="24"/>
        </w:rPr>
        <w:t>投标文件的递交</w:t>
      </w:r>
    </w:p>
    <w:p w14:paraId="486F0572">
      <w:pPr>
        <w:spacing w:before="158" w:line="221" w:lineRule="auto"/>
        <w:ind w:left="457"/>
        <w:rPr>
          <w:rFonts w:ascii="宋体" w:hAnsi="宋体" w:eastAsia="宋体" w:cs="宋体"/>
          <w:sz w:val="21"/>
          <w:szCs w:val="21"/>
        </w:rPr>
      </w:pPr>
      <w:r>
        <w:rPr>
          <w:rFonts w:ascii="Times New Roman" w:hAnsi="Times New Roman" w:eastAsia="Times New Roman" w:cs="Times New Roman"/>
          <w:spacing w:val="-5"/>
          <w:sz w:val="21"/>
          <w:szCs w:val="21"/>
        </w:rPr>
        <w:t xml:space="preserve">5.1 </w:t>
      </w:r>
      <w:r>
        <w:rPr>
          <w:rFonts w:ascii="宋体" w:hAnsi="宋体" w:eastAsia="宋体" w:cs="宋体"/>
          <w:spacing w:val="-5"/>
          <w:sz w:val="21"/>
          <w:szCs w:val="21"/>
        </w:rPr>
        <w:t>投标文件递交截止时间为</w:t>
      </w:r>
      <w:r>
        <w:rPr>
          <w:rFonts w:ascii="宋体" w:hAnsi="宋体" w:eastAsia="宋体" w:cs="宋体"/>
          <w:spacing w:val="-104"/>
          <w:sz w:val="21"/>
          <w:szCs w:val="21"/>
        </w:rPr>
        <w:t xml:space="preserve"> </w:t>
      </w:r>
      <w:r>
        <w:rPr>
          <w:rFonts w:hint="eastAsia" w:ascii="宋体" w:hAnsi="宋体" w:eastAsia="宋体" w:cs="宋体"/>
          <w:spacing w:val="51"/>
          <w:sz w:val="21"/>
          <w:szCs w:val="21"/>
          <w:u w:val="single" w:color="auto"/>
          <w:lang w:val="en-US" w:eastAsia="zh-CN"/>
        </w:rPr>
        <w:t>2026年</w:t>
      </w:r>
      <w:r>
        <w:rPr>
          <w:rFonts w:hint="eastAsia" w:ascii="宋体" w:hAnsi="宋体" w:eastAsia="宋体" w:cs="宋体"/>
          <w:spacing w:val="27"/>
          <w:sz w:val="21"/>
          <w:szCs w:val="21"/>
          <w:u w:val="single" w:color="auto"/>
          <w:lang w:val="en-US" w:eastAsia="zh-CN"/>
        </w:rPr>
        <w:t>7</w:t>
      </w:r>
      <w:r>
        <w:rPr>
          <w:rFonts w:ascii="宋体" w:hAnsi="宋体" w:eastAsia="宋体" w:cs="宋体"/>
          <w:spacing w:val="-5"/>
          <w:sz w:val="21"/>
          <w:szCs w:val="21"/>
        </w:rPr>
        <w:t>月</w:t>
      </w:r>
      <w:r>
        <w:rPr>
          <w:rFonts w:hint="eastAsia" w:ascii="宋体" w:hAnsi="宋体" w:eastAsia="宋体" w:cs="宋体"/>
          <w:spacing w:val="24"/>
          <w:sz w:val="21"/>
          <w:szCs w:val="21"/>
          <w:u w:val="single" w:color="auto"/>
          <w:lang w:val="en-US" w:eastAsia="zh-CN"/>
        </w:rPr>
        <w:t>2</w:t>
      </w:r>
      <w:r>
        <w:rPr>
          <w:rFonts w:ascii="宋体" w:hAnsi="宋体" w:eastAsia="宋体" w:cs="宋体"/>
          <w:spacing w:val="-60"/>
          <w:sz w:val="21"/>
          <w:szCs w:val="21"/>
        </w:rPr>
        <w:t xml:space="preserve"> </w:t>
      </w:r>
      <w:r>
        <w:rPr>
          <w:rFonts w:ascii="宋体" w:hAnsi="宋体" w:eastAsia="宋体" w:cs="宋体"/>
          <w:spacing w:val="-5"/>
          <w:sz w:val="21"/>
          <w:szCs w:val="21"/>
        </w:rPr>
        <w:t>日</w:t>
      </w:r>
      <w:r>
        <w:rPr>
          <w:rFonts w:hint="eastAsia" w:ascii="宋体" w:hAnsi="宋体" w:eastAsia="宋体" w:cs="宋体"/>
          <w:spacing w:val="-5"/>
          <w:sz w:val="21"/>
          <w:szCs w:val="21"/>
          <w:lang w:val="en-US" w:eastAsia="zh-CN"/>
        </w:rPr>
        <w:t>09</w:t>
      </w:r>
      <w:r>
        <w:rPr>
          <w:rFonts w:ascii="宋体" w:hAnsi="宋体" w:eastAsia="宋体" w:cs="宋体"/>
          <w:spacing w:val="-5"/>
          <w:sz w:val="21"/>
          <w:szCs w:val="21"/>
        </w:rPr>
        <w:t>时</w:t>
      </w:r>
      <w:r>
        <w:rPr>
          <w:rFonts w:hint="eastAsia" w:ascii="宋体" w:hAnsi="宋体" w:eastAsia="宋体" w:cs="宋体"/>
          <w:spacing w:val="-5"/>
          <w:sz w:val="21"/>
          <w:szCs w:val="21"/>
          <w:lang w:val="en-US" w:eastAsia="zh-CN"/>
        </w:rPr>
        <w:t>30分</w:t>
      </w:r>
      <w:r>
        <w:rPr>
          <w:rFonts w:ascii="宋体" w:hAnsi="宋体" w:eastAsia="宋体" w:cs="宋体"/>
          <w:spacing w:val="-5"/>
          <w:sz w:val="21"/>
          <w:szCs w:val="21"/>
        </w:rPr>
        <w:t>。</w:t>
      </w:r>
    </w:p>
    <w:p w14:paraId="4E803BEB">
      <w:pPr>
        <w:spacing w:before="173" w:line="369" w:lineRule="auto"/>
        <w:ind w:left="11" w:right="6" w:firstLine="446"/>
        <w:rPr>
          <w:rFonts w:ascii="宋体" w:hAnsi="宋体" w:eastAsia="宋体" w:cs="宋体"/>
          <w:sz w:val="21"/>
          <w:szCs w:val="21"/>
        </w:rPr>
      </w:pPr>
      <w:r>
        <w:rPr>
          <w:rFonts w:ascii="Times New Roman" w:hAnsi="Times New Roman" w:eastAsia="Times New Roman" w:cs="Times New Roman"/>
          <w:spacing w:val="15"/>
          <w:sz w:val="21"/>
          <w:szCs w:val="21"/>
        </w:rPr>
        <w:t xml:space="preserve">5.2  </w:t>
      </w:r>
      <w:r>
        <w:rPr>
          <w:rFonts w:ascii="宋体" w:hAnsi="宋体" w:eastAsia="宋体" w:cs="宋体"/>
          <w:spacing w:val="15"/>
          <w:sz w:val="21"/>
          <w:szCs w:val="21"/>
        </w:rPr>
        <w:t>投标人应当在投标</w:t>
      </w:r>
      <w:r>
        <w:rPr>
          <w:rFonts w:ascii="宋体" w:hAnsi="宋体" w:eastAsia="宋体" w:cs="宋体"/>
          <w:spacing w:val="-60"/>
          <w:sz w:val="21"/>
          <w:szCs w:val="21"/>
        </w:rPr>
        <w:t xml:space="preserve"> </w:t>
      </w:r>
      <w:r>
        <w:rPr>
          <w:rFonts w:ascii="宋体" w:hAnsi="宋体" w:eastAsia="宋体" w:cs="宋体"/>
          <w:spacing w:val="15"/>
          <w:sz w:val="21"/>
          <w:szCs w:val="21"/>
        </w:rPr>
        <w:t>截止时间前</w:t>
      </w:r>
      <w:r>
        <w:rPr>
          <w:rFonts w:ascii="宋体" w:hAnsi="宋体" w:eastAsia="宋体" w:cs="宋体"/>
          <w:spacing w:val="-41"/>
          <w:sz w:val="21"/>
          <w:szCs w:val="21"/>
        </w:rPr>
        <w:t xml:space="preserve"> </w:t>
      </w:r>
      <w:r>
        <w:rPr>
          <w:rFonts w:ascii="宋体" w:hAnsi="宋体" w:eastAsia="宋体" w:cs="宋体"/>
          <w:spacing w:val="15"/>
          <w:sz w:val="21"/>
          <w:szCs w:val="21"/>
        </w:rPr>
        <w:t>，</w:t>
      </w:r>
      <w:r>
        <w:rPr>
          <w:rFonts w:ascii="宋体" w:hAnsi="宋体" w:eastAsia="宋体" w:cs="宋体"/>
          <w:spacing w:val="-60"/>
          <w:sz w:val="21"/>
          <w:szCs w:val="21"/>
        </w:rPr>
        <w:t xml:space="preserve"> </w:t>
      </w:r>
      <w:r>
        <w:rPr>
          <w:rFonts w:ascii="宋体" w:hAnsi="宋体" w:eastAsia="宋体" w:cs="宋体"/>
          <w:spacing w:val="15"/>
          <w:sz w:val="21"/>
          <w:szCs w:val="21"/>
        </w:rPr>
        <w:t>通过</w:t>
      </w:r>
      <w:r>
        <w:rPr>
          <w:rFonts w:hint="eastAsia" w:ascii="宋体" w:hAnsi="宋体" w:eastAsia="宋体" w:cs="宋体"/>
          <w:spacing w:val="15"/>
          <w:sz w:val="21"/>
          <w:szCs w:val="21"/>
          <w:u w:val="single" w:color="auto"/>
        </w:rPr>
        <w:t>辽宁工程咨询招投标交易平台(投标盲盒工具https://nxbox.Inzb.com:8888/#/login)</w:t>
      </w:r>
      <w:r>
        <w:rPr>
          <w:rFonts w:ascii="宋体" w:hAnsi="宋体" w:eastAsia="宋体" w:cs="宋体"/>
          <w:spacing w:val="-48"/>
          <w:sz w:val="21"/>
          <w:szCs w:val="21"/>
        </w:rPr>
        <w:t>，</w:t>
      </w:r>
      <w:r>
        <w:rPr>
          <w:rFonts w:ascii="宋体" w:hAnsi="宋体" w:eastAsia="宋体" w:cs="宋体"/>
          <w:spacing w:val="2"/>
          <w:sz w:val="21"/>
          <w:szCs w:val="21"/>
        </w:rPr>
        <w:t>选择所投标段将加密的电子投标文件上传。投标人完成投</w:t>
      </w:r>
      <w:r>
        <w:rPr>
          <w:rFonts w:ascii="宋体" w:hAnsi="宋体" w:eastAsia="宋体" w:cs="宋体"/>
          <w:spacing w:val="1"/>
          <w:sz w:val="21"/>
          <w:szCs w:val="21"/>
        </w:rPr>
        <w:t>标文件上</w:t>
      </w:r>
      <w:r>
        <w:rPr>
          <w:rFonts w:ascii="宋体" w:hAnsi="宋体" w:eastAsia="宋体" w:cs="宋体"/>
          <w:sz w:val="21"/>
          <w:szCs w:val="21"/>
        </w:rPr>
        <w:t>传后， 电子交易系统向投标人发出电子签收凭证，递交时间以电子签收凭证载明的时间为</w:t>
      </w:r>
      <w:r>
        <w:rPr>
          <w:rFonts w:ascii="宋体" w:hAnsi="宋体" w:eastAsia="宋体" w:cs="宋体"/>
          <w:spacing w:val="3"/>
          <w:sz w:val="21"/>
          <w:szCs w:val="21"/>
        </w:rPr>
        <w:t>准。逾期未完成上传或未加密的电子投标文件，招标人（电子交易系统）将拒收其投标文</w:t>
      </w:r>
      <w:r>
        <w:rPr>
          <w:rFonts w:ascii="宋体" w:hAnsi="宋体" w:eastAsia="宋体" w:cs="宋体"/>
          <w:spacing w:val="-4"/>
          <w:sz w:val="21"/>
          <w:szCs w:val="21"/>
        </w:rPr>
        <w:t>件。</w:t>
      </w:r>
    </w:p>
    <w:p w14:paraId="47ED10CB">
      <w:pPr>
        <w:tabs>
          <w:tab w:val="left" w:pos="128"/>
        </w:tabs>
        <w:spacing w:before="119" w:line="266" w:lineRule="auto"/>
        <w:ind w:left="10" w:right="17" w:firstLine="447"/>
        <w:jc w:val="both"/>
        <w:rPr>
          <w:rFonts w:ascii="宋体" w:hAnsi="宋体" w:eastAsia="宋体" w:cs="宋体"/>
          <w:sz w:val="21"/>
          <w:szCs w:val="21"/>
        </w:rPr>
      </w:pPr>
      <w:r>
        <w:rPr>
          <w:rFonts w:ascii="Times New Roman" w:hAnsi="Times New Roman" w:eastAsia="Times New Roman" w:cs="Times New Roman"/>
          <w:spacing w:val="-8"/>
          <w:sz w:val="21"/>
          <w:szCs w:val="21"/>
        </w:rPr>
        <w:t xml:space="preserve">5.3    </w:t>
      </w:r>
      <w:r>
        <w:rPr>
          <w:rFonts w:ascii="宋体" w:hAnsi="宋体" w:eastAsia="宋体" w:cs="宋体"/>
          <w:spacing w:val="-8"/>
          <w:sz w:val="21"/>
          <w:szCs w:val="21"/>
        </w:rPr>
        <w:t>开 标</w:t>
      </w:r>
      <w:r>
        <w:rPr>
          <w:rFonts w:ascii="宋体" w:hAnsi="宋体" w:eastAsia="宋体" w:cs="宋体"/>
          <w:spacing w:val="20"/>
          <w:sz w:val="21"/>
          <w:szCs w:val="21"/>
        </w:rPr>
        <w:t xml:space="preserve"> </w:t>
      </w:r>
      <w:r>
        <w:rPr>
          <w:rFonts w:ascii="宋体" w:hAnsi="宋体" w:eastAsia="宋体" w:cs="宋体"/>
          <w:spacing w:val="-8"/>
          <w:sz w:val="21"/>
          <w:szCs w:val="21"/>
        </w:rPr>
        <w:t>地</w:t>
      </w:r>
      <w:r>
        <w:rPr>
          <w:rFonts w:ascii="宋体" w:hAnsi="宋体" w:eastAsia="宋体" w:cs="宋体"/>
          <w:spacing w:val="29"/>
          <w:sz w:val="21"/>
          <w:szCs w:val="21"/>
        </w:rPr>
        <w:t xml:space="preserve"> </w:t>
      </w:r>
      <w:r>
        <w:rPr>
          <w:rFonts w:ascii="宋体" w:hAnsi="宋体" w:eastAsia="宋体" w:cs="宋体"/>
          <w:spacing w:val="-8"/>
          <w:sz w:val="21"/>
          <w:szCs w:val="21"/>
        </w:rPr>
        <w:t>点</w:t>
      </w:r>
      <w:r>
        <w:rPr>
          <w:rFonts w:ascii="宋体" w:hAnsi="宋体" w:eastAsia="宋体" w:cs="宋体"/>
          <w:spacing w:val="37"/>
          <w:sz w:val="21"/>
          <w:szCs w:val="21"/>
        </w:rPr>
        <w:t xml:space="preserve"> </w:t>
      </w:r>
      <w:r>
        <w:rPr>
          <w:rFonts w:ascii="宋体" w:hAnsi="宋体" w:eastAsia="宋体" w:cs="宋体"/>
          <w:spacing w:val="-8"/>
          <w:sz w:val="21"/>
          <w:szCs w:val="21"/>
        </w:rPr>
        <w:t>：</w:t>
      </w:r>
      <w:r>
        <w:rPr>
          <w:rFonts w:ascii="宋体" w:hAnsi="宋体" w:eastAsia="宋体" w:cs="宋体"/>
          <w:spacing w:val="12"/>
          <w:sz w:val="21"/>
          <w:szCs w:val="21"/>
        </w:rPr>
        <w:t xml:space="preserve"> </w:t>
      </w:r>
      <w:r>
        <w:rPr>
          <w:rFonts w:ascii="宋体" w:hAnsi="宋体" w:eastAsia="宋体" w:cs="宋体"/>
          <w:spacing w:val="-92"/>
          <w:sz w:val="21"/>
          <w:szCs w:val="21"/>
          <w:u w:val="single" w:color="auto"/>
        </w:rPr>
        <w:t xml:space="preserve"> </w:t>
      </w:r>
      <w:r>
        <w:rPr>
          <w:rFonts w:ascii="宋体" w:hAnsi="宋体" w:eastAsia="宋体" w:cs="宋体"/>
          <w:spacing w:val="-8"/>
          <w:sz w:val="21"/>
          <w:szCs w:val="21"/>
          <w:u w:val="single" w:color="auto"/>
        </w:rPr>
        <w:t>辽</w:t>
      </w:r>
      <w:r>
        <w:rPr>
          <w:rFonts w:ascii="宋体" w:hAnsi="宋体" w:eastAsia="宋体" w:cs="宋体"/>
          <w:spacing w:val="29"/>
          <w:sz w:val="21"/>
          <w:szCs w:val="21"/>
          <w:u w:val="single" w:color="auto"/>
        </w:rPr>
        <w:t xml:space="preserve"> </w:t>
      </w:r>
      <w:r>
        <w:rPr>
          <w:rFonts w:ascii="宋体" w:hAnsi="宋体" w:eastAsia="宋体" w:cs="宋体"/>
          <w:spacing w:val="-8"/>
          <w:sz w:val="21"/>
          <w:szCs w:val="21"/>
          <w:u w:val="single" w:color="auto"/>
        </w:rPr>
        <w:t>宁</w:t>
      </w:r>
      <w:r>
        <w:rPr>
          <w:rFonts w:ascii="宋体" w:hAnsi="宋体" w:eastAsia="宋体" w:cs="宋体"/>
          <w:spacing w:val="26"/>
          <w:sz w:val="21"/>
          <w:szCs w:val="21"/>
          <w:u w:val="single" w:color="auto"/>
        </w:rPr>
        <w:t xml:space="preserve"> </w:t>
      </w:r>
      <w:r>
        <w:rPr>
          <w:rFonts w:ascii="宋体" w:hAnsi="宋体" w:eastAsia="宋体" w:cs="宋体"/>
          <w:spacing w:val="-8"/>
          <w:sz w:val="21"/>
          <w:szCs w:val="21"/>
          <w:u w:val="single" w:color="auto"/>
        </w:rPr>
        <w:t>省</w:t>
      </w:r>
      <w:r>
        <w:rPr>
          <w:rFonts w:ascii="宋体" w:hAnsi="宋体" w:eastAsia="宋体" w:cs="宋体"/>
          <w:spacing w:val="21"/>
          <w:sz w:val="21"/>
          <w:szCs w:val="21"/>
          <w:u w:val="single" w:color="auto"/>
        </w:rPr>
        <w:t xml:space="preserve"> </w:t>
      </w:r>
      <w:r>
        <w:rPr>
          <w:rFonts w:ascii="宋体" w:hAnsi="宋体" w:eastAsia="宋体" w:cs="宋体"/>
          <w:spacing w:val="-8"/>
          <w:sz w:val="21"/>
          <w:szCs w:val="21"/>
          <w:u w:val="single" w:color="auto"/>
        </w:rPr>
        <w:t>工</w:t>
      </w:r>
      <w:r>
        <w:rPr>
          <w:rFonts w:ascii="宋体" w:hAnsi="宋体" w:eastAsia="宋体" w:cs="宋体"/>
          <w:spacing w:val="17"/>
          <w:sz w:val="21"/>
          <w:szCs w:val="21"/>
          <w:u w:val="single" w:color="auto"/>
        </w:rPr>
        <w:t xml:space="preserve"> </w:t>
      </w:r>
      <w:r>
        <w:rPr>
          <w:rFonts w:ascii="宋体" w:hAnsi="宋体" w:eastAsia="宋体" w:cs="宋体"/>
          <w:spacing w:val="-8"/>
          <w:sz w:val="21"/>
          <w:szCs w:val="21"/>
          <w:u w:val="single" w:color="auto"/>
        </w:rPr>
        <w:t>程</w:t>
      </w:r>
      <w:r>
        <w:rPr>
          <w:rFonts w:ascii="宋体" w:hAnsi="宋体" w:eastAsia="宋体" w:cs="宋体"/>
          <w:spacing w:val="21"/>
          <w:sz w:val="21"/>
          <w:szCs w:val="21"/>
          <w:u w:val="single" w:color="auto"/>
        </w:rPr>
        <w:t xml:space="preserve"> </w:t>
      </w:r>
      <w:r>
        <w:rPr>
          <w:rFonts w:ascii="宋体" w:hAnsi="宋体" w:eastAsia="宋体" w:cs="宋体"/>
          <w:spacing w:val="-8"/>
          <w:sz w:val="21"/>
          <w:szCs w:val="21"/>
          <w:u w:val="single" w:color="auto"/>
        </w:rPr>
        <w:t>建</w:t>
      </w:r>
      <w:r>
        <w:rPr>
          <w:rFonts w:ascii="宋体" w:hAnsi="宋体" w:eastAsia="宋体" w:cs="宋体"/>
          <w:spacing w:val="26"/>
          <w:sz w:val="21"/>
          <w:szCs w:val="21"/>
          <w:u w:val="single" w:color="auto"/>
        </w:rPr>
        <w:t xml:space="preserve"> </w:t>
      </w:r>
      <w:r>
        <w:rPr>
          <w:rFonts w:ascii="宋体" w:hAnsi="宋体" w:eastAsia="宋体" w:cs="宋体"/>
          <w:spacing w:val="-8"/>
          <w:sz w:val="21"/>
          <w:szCs w:val="21"/>
          <w:u w:val="single" w:color="auto"/>
        </w:rPr>
        <w:t>设</w:t>
      </w:r>
      <w:r>
        <w:rPr>
          <w:rFonts w:ascii="宋体" w:hAnsi="宋体" w:eastAsia="宋体" w:cs="宋体"/>
          <w:spacing w:val="22"/>
          <w:sz w:val="21"/>
          <w:szCs w:val="21"/>
          <w:u w:val="single" w:color="auto"/>
        </w:rPr>
        <w:t xml:space="preserve"> </w:t>
      </w:r>
      <w:r>
        <w:rPr>
          <w:rFonts w:ascii="宋体" w:hAnsi="宋体" w:eastAsia="宋体" w:cs="宋体"/>
          <w:spacing w:val="-8"/>
          <w:sz w:val="21"/>
          <w:szCs w:val="21"/>
          <w:u w:val="single" w:color="auto"/>
        </w:rPr>
        <w:t>项  目</w:t>
      </w:r>
      <w:r>
        <w:rPr>
          <w:rFonts w:ascii="宋体" w:hAnsi="宋体" w:eastAsia="宋体" w:cs="宋体"/>
          <w:spacing w:val="20"/>
          <w:sz w:val="21"/>
          <w:szCs w:val="21"/>
          <w:u w:val="single" w:color="auto"/>
        </w:rPr>
        <w:t xml:space="preserve"> </w:t>
      </w:r>
      <w:r>
        <w:rPr>
          <w:rFonts w:ascii="宋体" w:hAnsi="宋体" w:eastAsia="宋体" w:cs="宋体"/>
          <w:spacing w:val="-8"/>
          <w:sz w:val="21"/>
          <w:szCs w:val="21"/>
          <w:u w:val="single" w:color="auto"/>
        </w:rPr>
        <w:t>数 字</w:t>
      </w:r>
      <w:r>
        <w:rPr>
          <w:rFonts w:ascii="宋体" w:hAnsi="宋体" w:eastAsia="宋体" w:cs="宋体"/>
          <w:spacing w:val="19"/>
          <w:sz w:val="21"/>
          <w:szCs w:val="21"/>
          <w:u w:val="single" w:color="auto"/>
        </w:rPr>
        <w:t xml:space="preserve"> </w:t>
      </w:r>
      <w:r>
        <w:rPr>
          <w:rFonts w:ascii="宋体" w:hAnsi="宋体" w:eastAsia="宋体" w:cs="宋体"/>
          <w:spacing w:val="-8"/>
          <w:sz w:val="21"/>
          <w:szCs w:val="21"/>
          <w:u w:val="single" w:color="auto"/>
        </w:rPr>
        <w:t>化</w:t>
      </w:r>
      <w:r>
        <w:rPr>
          <w:rFonts w:ascii="宋体" w:hAnsi="宋体" w:eastAsia="宋体" w:cs="宋体"/>
          <w:spacing w:val="19"/>
          <w:sz w:val="21"/>
          <w:szCs w:val="21"/>
          <w:u w:val="single" w:color="auto"/>
        </w:rPr>
        <w:t xml:space="preserve"> </w:t>
      </w:r>
      <w:r>
        <w:rPr>
          <w:rFonts w:ascii="宋体" w:hAnsi="宋体" w:eastAsia="宋体" w:cs="宋体"/>
          <w:spacing w:val="-8"/>
          <w:sz w:val="21"/>
          <w:szCs w:val="21"/>
          <w:u w:val="single" w:color="auto"/>
        </w:rPr>
        <w:t>开</w:t>
      </w:r>
      <w:r>
        <w:rPr>
          <w:rFonts w:ascii="宋体" w:hAnsi="宋体" w:eastAsia="宋体" w:cs="宋体"/>
          <w:spacing w:val="18"/>
          <w:sz w:val="21"/>
          <w:szCs w:val="21"/>
          <w:u w:val="single" w:color="auto"/>
        </w:rPr>
        <w:t xml:space="preserve"> </w:t>
      </w:r>
      <w:r>
        <w:rPr>
          <w:rFonts w:ascii="宋体" w:hAnsi="宋体" w:eastAsia="宋体" w:cs="宋体"/>
          <w:spacing w:val="-8"/>
          <w:sz w:val="21"/>
          <w:szCs w:val="21"/>
          <w:u w:val="single" w:color="auto"/>
        </w:rPr>
        <w:t>标 评</w:t>
      </w:r>
      <w:r>
        <w:rPr>
          <w:rFonts w:ascii="宋体" w:hAnsi="宋体" w:eastAsia="宋体" w:cs="宋体"/>
          <w:spacing w:val="24"/>
          <w:sz w:val="21"/>
          <w:szCs w:val="21"/>
          <w:u w:val="single" w:color="auto"/>
        </w:rPr>
        <w:t xml:space="preserve"> </w:t>
      </w:r>
      <w:r>
        <w:rPr>
          <w:rFonts w:ascii="宋体" w:hAnsi="宋体" w:eastAsia="宋体" w:cs="宋体"/>
          <w:spacing w:val="-8"/>
          <w:sz w:val="21"/>
          <w:szCs w:val="21"/>
          <w:u w:val="single" w:color="auto"/>
        </w:rPr>
        <w:t>标</w:t>
      </w:r>
      <w:r>
        <w:rPr>
          <w:rFonts w:ascii="宋体" w:hAnsi="宋体" w:eastAsia="宋体" w:cs="宋体"/>
          <w:spacing w:val="23"/>
          <w:sz w:val="21"/>
          <w:szCs w:val="21"/>
          <w:u w:val="single" w:color="auto"/>
        </w:rPr>
        <w:t xml:space="preserve"> </w:t>
      </w:r>
      <w:r>
        <w:rPr>
          <w:rFonts w:ascii="宋体" w:hAnsi="宋体" w:eastAsia="宋体" w:cs="宋体"/>
          <w:spacing w:val="-8"/>
          <w:sz w:val="21"/>
          <w:szCs w:val="21"/>
          <w:u w:val="single" w:color="auto"/>
        </w:rPr>
        <w:t>系</w:t>
      </w:r>
      <w:r>
        <w:rPr>
          <w:rFonts w:ascii="宋体" w:hAnsi="宋体" w:eastAsia="宋体" w:cs="宋体"/>
          <w:spacing w:val="23"/>
          <w:sz w:val="21"/>
          <w:szCs w:val="21"/>
          <w:u w:val="single" w:color="auto"/>
        </w:rPr>
        <w:t xml:space="preserve"> </w:t>
      </w:r>
      <w:r>
        <w:rPr>
          <w:rFonts w:ascii="宋体" w:hAnsi="宋体" w:eastAsia="宋体" w:cs="宋体"/>
          <w:spacing w:val="-8"/>
          <w:sz w:val="21"/>
          <w:szCs w:val="21"/>
          <w:u w:val="single" w:color="auto"/>
        </w:rPr>
        <w:t>统</w:t>
      </w:r>
      <w:r>
        <w:rPr>
          <w:rFonts w:ascii="宋体" w:hAnsi="宋体" w:eastAsia="宋体" w:cs="宋体"/>
          <w:sz w:val="21"/>
          <w:szCs w:val="21"/>
        </w:rPr>
        <w:t xml:space="preserve"> </w:t>
      </w:r>
      <w:r>
        <w:rPr>
          <w:rFonts w:ascii="宋体" w:hAnsi="宋体" w:eastAsia="宋体" w:cs="宋体"/>
          <w:sz w:val="21"/>
          <w:szCs w:val="21"/>
          <w:u w:val="single" w:color="auto"/>
        </w:rPr>
        <w:tab/>
      </w:r>
      <w:r>
        <w:rPr>
          <w:rFonts w:ascii="宋体" w:hAnsi="宋体" w:eastAsia="宋体" w:cs="宋体"/>
          <w:spacing w:val="-6"/>
          <w:sz w:val="21"/>
          <w:szCs w:val="21"/>
          <w:u w:val="single" w:color="auto"/>
        </w:rPr>
        <w:t>（</w:t>
      </w:r>
      <w:r>
        <w:fldChar w:fldCharType="begin"/>
      </w:r>
      <w:r>
        <w:instrText xml:space="preserve"> HYPERLINK "https://dts.lnzb.com:8888/zjt" </w:instrText>
      </w:r>
      <w:r>
        <w:fldChar w:fldCharType="separate"/>
      </w:r>
      <w:r>
        <w:rPr>
          <w:rFonts w:ascii="宋体" w:hAnsi="宋体" w:eastAsia="宋体" w:cs="宋体"/>
          <w:spacing w:val="-6"/>
          <w:sz w:val="21"/>
          <w:szCs w:val="21"/>
          <w:u w:val="single" w:color="auto"/>
        </w:rPr>
        <w:t>https://dts.lnzb.com:8888/zjt</w:t>
      </w:r>
      <w:r>
        <w:rPr>
          <w:rFonts w:ascii="宋体" w:hAnsi="宋体" w:eastAsia="宋体" w:cs="宋体"/>
          <w:spacing w:val="-6"/>
          <w:sz w:val="21"/>
          <w:szCs w:val="21"/>
          <w:u w:val="single" w:color="auto"/>
        </w:rPr>
        <w:fldChar w:fldCharType="end"/>
      </w:r>
      <w:r>
        <w:rPr>
          <w:rFonts w:ascii="宋体" w:hAnsi="宋体" w:eastAsia="宋体" w:cs="宋体"/>
          <w:spacing w:val="-6"/>
          <w:sz w:val="21"/>
          <w:szCs w:val="21"/>
          <w:u w:val="single" w:color="auto"/>
        </w:rPr>
        <w:t>-bid/）</w:t>
      </w:r>
      <w:r>
        <w:rPr>
          <w:rFonts w:ascii="宋体" w:hAnsi="宋体" w:eastAsia="宋体" w:cs="宋体"/>
          <w:spacing w:val="-6"/>
          <w:sz w:val="21"/>
          <w:szCs w:val="21"/>
        </w:rPr>
        <w:t>。</w:t>
      </w:r>
    </w:p>
    <w:p w14:paraId="461898C8">
      <w:pPr>
        <w:spacing w:before="115" w:line="337" w:lineRule="auto"/>
        <w:ind w:right="18" w:firstLine="408" w:firstLineChars="200"/>
        <w:jc w:val="left"/>
        <w:rPr>
          <w:rFonts w:ascii="宋体" w:hAnsi="宋体" w:eastAsia="宋体" w:cs="宋体"/>
          <w:sz w:val="21"/>
          <w:szCs w:val="21"/>
        </w:rPr>
      </w:pPr>
      <w:r>
        <w:rPr>
          <w:rFonts w:ascii="Times New Roman" w:hAnsi="Times New Roman" w:eastAsia="Times New Roman" w:cs="Times New Roman"/>
          <w:spacing w:val="-3"/>
          <w:sz w:val="21"/>
          <w:szCs w:val="21"/>
        </w:rPr>
        <w:t xml:space="preserve">5.4 </w:t>
      </w:r>
      <w:r>
        <w:rPr>
          <w:rFonts w:ascii="宋体" w:hAnsi="宋体" w:eastAsia="宋体" w:cs="宋体"/>
          <w:spacing w:val="-3"/>
          <w:sz w:val="21"/>
          <w:szCs w:val="21"/>
        </w:rPr>
        <w:t xml:space="preserve">开标方式： </w:t>
      </w:r>
      <w:r>
        <w:rPr>
          <w:rFonts w:ascii="宋体" w:hAnsi="宋体" w:eastAsia="宋体" w:cs="宋体"/>
          <w:spacing w:val="-3"/>
          <w:sz w:val="21"/>
          <w:szCs w:val="21"/>
          <w:u w:val="single" w:color="auto"/>
        </w:rPr>
        <w:t>远程不见面开标</w:t>
      </w:r>
      <w:r>
        <w:rPr>
          <w:rFonts w:ascii="宋体" w:hAnsi="宋体" w:eastAsia="宋体" w:cs="宋体"/>
          <w:spacing w:val="-3"/>
          <w:sz w:val="21"/>
          <w:szCs w:val="21"/>
        </w:rPr>
        <w:t>。</w:t>
      </w:r>
    </w:p>
    <w:p w14:paraId="547DBEF9">
      <w:pPr>
        <w:spacing w:before="1" w:line="219" w:lineRule="auto"/>
        <w:ind w:left="20"/>
        <w:rPr>
          <w:rFonts w:ascii="黑体" w:hAnsi="黑体" w:eastAsia="黑体" w:cs="黑体"/>
          <w:sz w:val="24"/>
          <w:szCs w:val="24"/>
        </w:rPr>
      </w:pPr>
      <w:r>
        <w:rPr>
          <w:rFonts w:ascii="Times New Roman" w:hAnsi="Times New Roman" w:eastAsia="Times New Roman" w:cs="Times New Roman"/>
          <w:spacing w:val="-1"/>
          <w:sz w:val="24"/>
          <w:szCs w:val="24"/>
        </w:rPr>
        <w:t>6.</w:t>
      </w:r>
      <w:r>
        <w:rPr>
          <w:rFonts w:ascii="黑体" w:hAnsi="黑体" w:eastAsia="黑体" w:cs="黑体"/>
          <w:spacing w:val="-1"/>
          <w:sz w:val="24"/>
          <w:szCs w:val="24"/>
        </w:rPr>
        <w:t>投标相关事宜</w:t>
      </w:r>
    </w:p>
    <w:p w14:paraId="0FAB3E41">
      <w:pPr>
        <w:spacing w:before="163" w:line="346" w:lineRule="auto"/>
        <w:ind w:left="456"/>
        <w:rPr>
          <w:rFonts w:hint="eastAsia" w:ascii="宋体" w:hAnsi="宋体" w:eastAsia="宋体" w:cs="宋体"/>
          <w:spacing w:val="-1"/>
          <w:sz w:val="21"/>
          <w:szCs w:val="21"/>
          <w:lang w:val="en-US" w:eastAsia="zh-CN"/>
        </w:rPr>
      </w:pPr>
      <w:r>
        <w:rPr>
          <w:rFonts w:hint="eastAsia" w:ascii="宋体" w:hAnsi="宋体" w:eastAsia="宋体" w:cs="宋体"/>
          <w:spacing w:val="-1"/>
          <w:sz w:val="21"/>
          <w:szCs w:val="21"/>
          <w:lang w:val="en-US" w:eastAsia="zh-CN"/>
        </w:rPr>
        <w:t>6.1 异议受理部门及联系方式:招标人:</w:t>
      </w:r>
      <w:r>
        <w:rPr>
          <w:rFonts w:hint="eastAsia" w:ascii="仿宋_GB2312" w:eastAsia="仿宋_GB2312"/>
          <w:color w:val="0000FF"/>
          <w:sz w:val="24"/>
          <w:szCs w:val="24"/>
          <w:highlight w:val="white"/>
        </w:rPr>
        <w:t>营口市公共设施维护中心</w:t>
      </w:r>
      <w:r>
        <w:rPr>
          <w:rFonts w:hint="eastAsia" w:ascii="宋体" w:hAnsi="宋体" w:eastAsia="宋体" w:cs="宋体"/>
          <w:spacing w:val="-1"/>
          <w:sz w:val="21"/>
          <w:szCs w:val="21"/>
          <w:lang w:val="en-US" w:eastAsia="zh-CN"/>
        </w:rPr>
        <w:t>、联系人:</w:t>
      </w:r>
      <w:r>
        <w:rPr>
          <w:rFonts w:hint="eastAsia" w:ascii="宋体" w:hAnsi="宋体" w:eastAsia="宋体" w:cs="宋体"/>
          <w:spacing w:val="-16"/>
          <w:sz w:val="21"/>
          <w:szCs w:val="21"/>
          <w:u w:val="single"/>
          <w:lang w:val="en-US" w:eastAsia="zh-CN"/>
        </w:rPr>
        <w:t>李琛</w:t>
      </w:r>
      <w:r>
        <w:rPr>
          <w:rFonts w:hint="eastAsia" w:ascii="宋体" w:hAnsi="宋体" w:eastAsia="宋体" w:cs="宋体"/>
          <w:spacing w:val="-1"/>
          <w:sz w:val="21"/>
          <w:szCs w:val="21"/>
          <w:lang w:val="en-US" w:eastAsia="zh-CN"/>
        </w:rPr>
        <w:t>、电话:</w:t>
      </w:r>
      <w:r>
        <w:rPr>
          <w:rFonts w:hint="eastAsia" w:ascii="宋体" w:hAnsi="宋体" w:eastAsia="宋体" w:cs="宋体"/>
          <w:spacing w:val="-16"/>
          <w:sz w:val="21"/>
          <w:szCs w:val="21"/>
          <w:u w:val="single" w:color="auto"/>
          <w:lang w:eastAsia="zh-CN"/>
        </w:rPr>
        <w:t>0417-2876502</w:t>
      </w:r>
      <w:r>
        <w:rPr>
          <w:rFonts w:hint="eastAsia" w:ascii="宋体" w:hAnsi="宋体" w:eastAsia="宋体" w:cs="宋体"/>
          <w:spacing w:val="-1"/>
          <w:sz w:val="21"/>
          <w:szCs w:val="21"/>
          <w:lang w:val="en-US" w:eastAsia="zh-CN"/>
        </w:rPr>
        <w:t>:招标代理机构:</w:t>
      </w:r>
      <w:r>
        <w:rPr>
          <w:rFonts w:hint="eastAsia" w:ascii="仿宋_GB2312" w:eastAsia="仿宋_GB2312"/>
          <w:color w:val="0000FF"/>
          <w:sz w:val="24"/>
          <w:szCs w:val="24"/>
          <w:highlight w:val="white"/>
          <w:lang w:eastAsia="zh-CN"/>
        </w:rPr>
        <w:t>沈阳招标中心有限公司</w:t>
      </w:r>
      <w:r>
        <w:rPr>
          <w:rFonts w:hint="eastAsia" w:ascii="宋体" w:hAnsi="宋体" w:eastAsia="宋体" w:cs="宋体"/>
          <w:spacing w:val="-1"/>
          <w:sz w:val="21"/>
          <w:szCs w:val="21"/>
          <w:lang w:val="en-US" w:eastAsia="zh-CN"/>
        </w:rPr>
        <w:t>、联系人:</w:t>
      </w:r>
      <w:r>
        <w:rPr>
          <w:rFonts w:hint="eastAsia" w:ascii="仿宋_GB2312" w:eastAsia="仿宋_GB2312"/>
          <w:color w:val="0000FF"/>
          <w:sz w:val="24"/>
          <w:szCs w:val="24"/>
          <w:highlight w:val="white"/>
          <w:u w:val="single"/>
          <w:lang w:eastAsia="zh-CN"/>
        </w:rPr>
        <w:t>崔大勇</w:t>
      </w:r>
      <w:r>
        <w:rPr>
          <w:rFonts w:hint="eastAsia" w:ascii="宋体" w:hAnsi="宋体" w:eastAsia="宋体" w:cs="宋体"/>
          <w:spacing w:val="-1"/>
          <w:sz w:val="21"/>
          <w:szCs w:val="21"/>
          <w:lang w:val="en-US" w:eastAsia="zh-CN"/>
        </w:rPr>
        <w:t>、电话:024-22503596。</w:t>
      </w:r>
    </w:p>
    <w:p w14:paraId="638DD265">
      <w:pPr>
        <w:spacing w:before="163" w:line="346" w:lineRule="auto"/>
        <w:ind w:left="456"/>
        <w:rPr>
          <w:rFonts w:ascii="宋体" w:hAnsi="宋体" w:eastAsia="宋体" w:cs="宋体"/>
          <w:spacing w:val="-1"/>
          <w:sz w:val="21"/>
          <w:szCs w:val="21"/>
        </w:rPr>
      </w:pPr>
      <w:r>
        <w:rPr>
          <w:rFonts w:hint="eastAsia" w:ascii="宋体" w:hAnsi="宋体" w:eastAsia="宋体" w:cs="宋体"/>
          <w:spacing w:val="-1"/>
          <w:sz w:val="21"/>
          <w:szCs w:val="21"/>
          <w:lang w:val="en-US" w:eastAsia="zh-CN"/>
        </w:rPr>
        <w:t>6.2异议投诉渠道:辽宁省工程建设项目招标投标异议投诉处理系统。</w:t>
      </w:r>
    </w:p>
    <w:p w14:paraId="7E321931">
      <w:pPr>
        <w:spacing w:before="191" w:line="218" w:lineRule="auto"/>
        <w:ind w:left="18"/>
        <w:rPr>
          <w:rFonts w:ascii="黑体" w:hAnsi="黑体" w:eastAsia="黑体" w:cs="黑体"/>
          <w:sz w:val="24"/>
          <w:szCs w:val="24"/>
        </w:rPr>
      </w:pPr>
      <w:r>
        <w:rPr>
          <w:rFonts w:ascii="Times New Roman" w:hAnsi="Times New Roman" w:eastAsia="Times New Roman" w:cs="Times New Roman"/>
          <w:spacing w:val="-1"/>
          <w:sz w:val="24"/>
          <w:szCs w:val="24"/>
        </w:rPr>
        <w:t>7.</w:t>
      </w:r>
      <w:r>
        <w:rPr>
          <w:rFonts w:ascii="黑体" w:hAnsi="黑体" w:eastAsia="黑体" w:cs="黑体"/>
          <w:spacing w:val="-1"/>
          <w:sz w:val="24"/>
          <w:szCs w:val="24"/>
        </w:rPr>
        <w:t>评标办法</w:t>
      </w:r>
    </w:p>
    <w:p w14:paraId="2870D782">
      <w:pPr>
        <w:spacing w:before="163" w:line="346" w:lineRule="auto"/>
        <w:ind w:left="456"/>
        <w:rPr>
          <w:rFonts w:ascii="宋体" w:hAnsi="宋体" w:eastAsia="宋体" w:cs="宋体"/>
          <w:sz w:val="21"/>
          <w:szCs w:val="21"/>
        </w:rPr>
      </w:pPr>
      <w:r>
        <w:rPr>
          <w:rFonts w:ascii="宋体" w:hAnsi="宋体" w:eastAsia="宋体" w:cs="宋体"/>
          <w:spacing w:val="-1"/>
          <w:sz w:val="21"/>
          <w:szCs w:val="21"/>
        </w:rPr>
        <w:t>本次招标评标办法采用</w:t>
      </w:r>
      <w:r>
        <w:rPr>
          <w:rFonts w:ascii="宋体" w:hAnsi="宋体" w:eastAsia="宋体" w:cs="宋体"/>
          <w:spacing w:val="-34"/>
          <w:sz w:val="21"/>
          <w:szCs w:val="21"/>
          <w:u w:val="single" w:color="auto"/>
        </w:rPr>
        <w:t xml:space="preserve"> </w:t>
      </w:r>
      <w:r>
        <w:rPr>
          <w:rFonts w:ascii="宋体" w:hAnsi="宋体" w:eastAsia="宋体" w:cs="宋体"/>
          <w:spacing w:val="-1"/>
          <w:sz w:val="21"/>
          <w:szCs w:val="21"/>
          <w:u w:val="single" w:color="auto"/>
        </w:rPr>
        <w:t>综合评估法</w:t>
      </w:r>
      <w:r>
        <w:rPr>
          <w:rFonts w:ascii="宋体" w:hAnsi="宋体" w:eastAsia="宋体" w:cs="宋体"/>
          <w:spacing w:val="-52"/>
          <w:sz w:val="21"/>
          <w:szCs w:val="21"/>
          <w:u w:val="single" w:color="auto"/>
        </w:rPr>
        <w:t xml:space="preserve"> </w:t>
      </w:r>
      <w:r>
        <w:rPr>
          <w:rFonts w:ascii="宋体" w:hAnsi="宋体" w:eastAsia="宋体" w:cs="宋体"/>
          <w:spacing w:val="-1"/>
          <w:sz w:val="21"/>
          <w:szCs w:val="21"/>
        </w:rPr>
        <w:t>。</w:t>
      </w:r>
    </w:p>
    <w:p w14:paraId="6FB1E712">
      <w:pPr>
        <w:spacing w:before="131" w:line="218" w:lineRule="auto"/>
        <w:ind w:left="19"/>
        <w:rPr>
          <w:rFonts w:ascii="黑体" w:hAnsi="黑体" w:eastAsia="黑体" w:cs="黑体"/>
          <w:sz w:val="24"/>
          <w:szCs w:val="24"/>
        </w:rPr>
      </w:pPr>
      <w:r>
        <w:rPr>
          <w:rFonts w:hint="eastAsia" w:ascii="Times New Roman" w:hAnsi="Times New Roman" w:eastAsia="宋体" w:cs="Times New Roman"/>
          <w:spacing w:val="-1"/>
          <w:sz w:val="24"/>
          <w:szCs w:val="24"/>
          <w:lang w:val="en-US" w:eastAsia="zh-CN"/>
        </w:rPr>
        <w:t>8</w:t>
      </w:r>
      <w:r>
        <w:rPr>
          <w:rFonts w:ascii="Times New Roman" w:hAnsi="Times New Roman" w:eastAsia="Times New Roman" w:cs="Times New Roman"/>
          <w:spacing w:val="-1"/>
          <w:sz w:val="24"/>
          <w:szCs w:val="24"/>
        </w:rPr>
        <w:t>.</w:t>
      </w:r>
      <w:r>
        <w:rPr>
          <w:rFonts w:ascii="黑体" w:hAnsi="黑体" w:eastAsia="黑体" w:cs="黑体"/>
          <w:spacing w:val="-1"/>
          <w:sz w:val="24"/>
          <w:szCs w:val="24"/>
        </w:rPr>
        <w:t>发布公告的媒介</w:t>
      </w:r>
    </w:p>
    <w:p w14:paraId="5D640D4C">
      <w:pPr>
        <w:spacing w:before="160" w:line="371" w:lineRule="auto"/>
        <w:ind w:right="1"/>
        <w:jc w:val="right"/>
        <w:rPr>
          <w:rFonts w:ascii="宋体" w:hAnsi="宋体" w:eastAsia="宋体" w:cs="宋体"/>
          <w:sz w:val="21"/>
          <w:szCs w:val="21"/>
        </w:rPr>
      </w:pPr>
      <w:r>
        <w:rPr>
          <w:rFonts w:ascii="宋体" w:hAnsi="宋体" w:eastAsia="宋体" w:cs="宋体"/>
          <w:spacing w:val="1"/>
          <w:sz w:val="21"/>
          <w:szCs w:val="21"/>
        </w:rPr>
        <w:t>本次招标公告同时在</w:t>
      </w:r>
      <w:r>
        <w:rPr>
          <w:rFonts w:ascii="宋体" w:hAnsi="宋体" w:eastAsia="宋体" w:cs="宋体"/>
          <w:spacing w:val="1"/>
          <w:sz w:val="21"/>
          <w:szCs w:val="21"/>
          <w:u w:val="single" w:color="auto"/>
        </w:rPr>
        <w:t>辽宁建设工程信息网、辽宁省招标投</w:t>
      </w:r>
      <w:r>
        <w:rPr>
          <w:rFonts w:ascii="宋体" w:hAnsi="宋体" w:eastAsia="宋体" w:cs="宋体"/>
          <w:sz w:val="21"/>
          <w:szCs w:val="21"/>
          <w:u w:val="single" w:color="auto"/>
        </w:rPr>
        <w:t>标监管网等</w:t>
      </w:r>
      <w:r>
        <w:rPr>
          <w:rFonts w:ascii="宋体" w:hAnsi="宋体" w:eastAsia="宋体" w:cs="宋体"/>
          <w:spacing w:val="-27"/>
          <w:sz w:val="21"/>
          <w:szCs w:val="21"/>
        </w:rPr>
        <w:t xml:space="preserve"> </w:t>
      </w:r>
      <w:r>
        <w:rPr>
          <w:rFonts w:ascii="宋体" w:hAnsi="宋体" w:eastAsia="宋体" w:cs="宋体"/>
          <w:sz w:val="21"/>
          <w:szCs w:val="21"/>
        </w:rPr>
        <w:t>（发布公告的媒</w:t>
      </w:r>
    </w:p>
    <w:p w14:paraId="70139897">
      <w:pPr>
        <w:spacing w:before="1" w:line="219" w:lineRule="auto"/>
        <w:ind w:left="18"/>
        <w:rPr>
          <w:rFonts w:ascii="宋体" w:hAnsi="宋体" w:eastAsia="宋体" w:cs="宋体"/>
          <w:sz w:val="21"/>
          <w:szCs w:val="21"/>
        </w:rPr>
      </w:pPr>
      <w:r>
        <w:rPr>
          <w:rFonts w:ascii="宋体" w:hAnsi="宋体" w:eastAsia="宋体" w:cs="宋体"/>
          <w:spacing w:val="-3"/>
          <w:sz w:val="21"/>
          <w:szCs w:val="21"/>
        </w:rPr>
        <w:t>介名称）上发布。</w:t>
      </w:r>
    </w:p>
    <w:p w14:paraId="0A6A45ED">
      <w:pPr>
        <w:spacing w:before="143" w:line="218" w:lineRule="auto"/>
        <w:ind w:left="38"/>
        <w:rPr>
          <w:rFonts w:ascii="黑体" w:hAnsi="黑体" w:eastAsia="黑体" w:cs="黑体"/>
          <w:sz w:val="24"/>
          <w:szCs w:val="24"/>
        </w:rPr>
      </w:pPr>
      <w:r>
        <w:rPr>
          <w:rFonts w:hint="eastAsia" w:ascii="Times New Roman" w:hAnsi="Times New Roman" w:eastAsia="宋体" w:cs="Times New Roman"/>
          <w:spacing w:val="-4"/>
          <w:sz w:val="24"/>
          <w:szCs w:val="24"/>
          <w:lang w:val="en-US" w:eastAsia="zh-CN"/>
        </w:rPr>
        <w:t>9</w:t>
      </w:r>
      <w:r>
        <w:rPr>
          <w:rFonts w:ascii="Times New Roman" w:hAnsi="Times New Roman" w:eastAsia="Times New Roman" w:cs="Times New Roman"/>
          <w:spacing w:val="-4"/>
          <w:sz w:val="24"/>
          <w:szCs w:val="24"/>
        </w:rPr>
        <w:t>.</w:t>
      </w:r>
      <w:r>
        <w:rPr>
          <w:rFonts w:ascii="黑体" w:hAnsi="黑体" w:eastAsia="黑体" w:cs="黑体"/>
          <w:spacing w:val="-4"/>
          <w:sz w:val="24"/>
          <w:szCs w:val="24"/>
        </w:rPr>
        <w:t>监督信息</w:t>
      </w:r>
    </w:p>
    <w:p w14:paraId="6FD0C202">
      <w:pPr>
        <w:widowControl w:val="0"/>
        <w:numPr>
          <w:ilvl w:val="0"/>
          <w:numId w:val="0"/>
        </w:numPr>
        <w:ind w:left="0" w:leftChars="0" w:firstLine="0" w:firstLineChars="0"/>
        <w:jc w:val="left"/>
        <w:rPr>
          <w:rFonts w:ascii="宋体" w:hAnsi="宋体" w:eastAsia="宋体" w:cs="宋体"/>
          <w:spacing w:val="-16"/>
          <w:sz w:val="21"/>
          <w:szCs w:val="21"/>
        </w:rPr>
      </w:pPr>
      <w:r>
        <w:rPr>
          <w:rFonts w:ascii="宋体" w:hAnsi="宋体" w:eastAsia="宋体" w:cs="宋体"/>
          <w:spacing w:val="-16"/>
          <w:sz w:val="21"/>
          <w:szCs w:val="21"/>
        </w:rPr>
        <w:t>1.监督部门</w:t>
      </w:r>
      <w:r>
        <w:rPr>
          <w:rFonts w:ascii="宋体" w:hAnsi="宋体" w:eastAsia="宋体" w:cs="宋体"/>
          <w:spacing w:val="-9"/>
          <w:sz w:val="21"/>
          <w:szCs w:val="21"/>
        </w:rPr>
        <w:t>：</w:t>
      </w:r>
      <w:r>
        <w:rPr>
          <w:rFonts w:ascii="宋体" w:hAnsi="宋体" w:eastAsia="宋体" w:cs="宋体"/>
          <w:spacing w:val="-16"/>
          <w:sz w:val="21"/>
          <w:szCs w:val="21"/>
        </w:rPr>
        <w:t>营口市城乡建设与公用事业中心，负责人： 李先生，联系方式：0417-2657306。 2.招标负责人：</w:t>
      </w:r>
      <w:r>
        <w:rPr>
          <w:rFonts w:hint="eastAsia" w:ascii="宋体" w:hAnsi="宋体" w:eastAsia="宋体" w:cs="宋体"/>
          <w:spacing w:val="-16"/>
          <w:sz w:val="21"/>
          <w:szCs w:val="21"/>
          <w:lang w:val="en-US" w:eastAsia="zh-CN"/>
        </w:rPr>
        <w:t>李琛</w:t>
      </w:r>
      <w:r>
        <w:rPr>
          <w:rFonts w:ascii="宋体" w:hAnsi="宋体" w:eastAsia="宋体" w:cs="宋体"/>
          <w:spacing w:val="-16"/>
          <w:sz w:val="21"/>
          <w:szCs w:val="21"/>
        </w:rPr>
        <w:t>，联系方式：</w:t>
      </w:r>
      <w:r>
        <w:rPr>
          <w:rFonts w:hint="eastAsia" w:ascii="宋体" w:hAnsi="宋体" w:eastAsia="宋体" w:cs="宋体"/>
          <w:spacing w:val="-16"/>
          <w:sz w:val="21"/>
          <w:szCs w:val="21"/>
          <w:lang w:eastAsia="zh-CN"/>
        </w:rPr>
        <w:t>0417-2876502</w:t>
      </w:r>
      <w:r>
        <w:rPr>
          <w:rFonts w:ascii="宋体" w:hAnsi="宋体" w:eastAsia="宋体" w:cs="宋体"/>
          <w:spacing w:val="-16"/>
          <w:sz w:val="21"/>
          <w:szCs w:val="21"/>
        </w:rPr>
        <w:t xml:space="preserve"> 。</w:t>
      </w:r>
    </w:p>
    <w:p w14:paraId="3E768863">
      <w:pPr>
        <w:spacing w:before="137" w:line="218" w:lineRule="auto"/>
        <w:ind w:left="38"/>
        <w:rPr>
          <w:rFonts w:ascii="黑体" w:hAnsi="黑体" w:eastAsia="黑体" w:cs="黑体"/>
          <w:sz w:val="24"/>
          <w:szCs w:val="24"/>
        </w:rPr>
      </w:pPr>
      <w:r>
        <w:rPr>
          <w:rFonts w:ascii="Times New Roman" w:hAnsi="Times New Roman" w:eastAsia="Times New Roman" w:cs="Times New Roman"/>
          <w:spacing w:val="-4"/>
          <w:sz w:val="24"/>
          <w:szCs w:val="24"/>
        </w:rPr>
        <w:t>1</w:t>
      </w:r>
      <w:r>
        <w:rPr>
          <w:rFonts w:hint="eastAsia" w:ascii="Times New Roman" w:hAnsi="Times New Roman" w:eastAsia="宋体" w:cs="Times New Roman"/>
          <w:spacing w:val="-4"/>
          <w:sz w:val="24"/>
          <w:szCs w:val="24"/>
          <w:lang w:val="en-US" w:eastAsia="zh-CN"/>
        </w:rPr>
        <w:t>0</w:t>
      </w:r>
      <w:r>
        <w:rPr>
          <w:rFonts w:ascii="Times New Roman" w:hAnsi="Times New Roman" w:eastAsia="Times New Roman" w:cs="Times New Roman"/>
          <w:spacing w:val="-4"/>
          <w:sz w:val="24"/>
          <w:szCs w:val="24"/>
        </w:rPr>
        <w:t>.</w:t>
      </w:r>
      <w:r>
        <w:rPr>
          <w:rFonts w:ascii="黑体" w:hAnsi="黑体" w:eastAsia="黑体" w:cs="黑体"/>
          <w:spacing w:val="-4"/>
          <w:sz w:val="24"/>
          <w:szCs w:val="24"/>
        </w:rPr>
        <w:t>联系方式</w:t>
      </w:r>
    </w:p>
    <w:p w14:paraId="2B219829">
      <w:pPr>
        <w:spacing w:before="159" w:line="220" w:lineRule="auto"/>
        <w:ind w:left="6198" w:leftChars="217" w:hanging="5742" w:hangingChars="3300"/>
        <w:rPr>
          <w:rFonts w:hint="eastAsia" w:ascii="宋体" w:hAnsi="宋体" w:eastAsia="宋体" w:cs="宋体"/>
          <w:sz w:val="21"/>
          <w:szCs w:val="21"/>
          <w:lang w:eastAsia="zh-CN"/>
        </w:rPr>
      </w:pPr>
      <w:r>
        <w:rPr>
          <w:rFonts w:ascii="宋体" w:hAnsi="宋体" w:eastAsia="宋体" w:cs="宋体"/>
          <w:spacing w:val="-18"/>
          <w:sz w:val="21"/>
          <w:szCs w:val="21"/>
        </w:rPr>
        <w:t>招 标</w:t>
      </w:r>
      <w:r>
        <w:rPr>
          <w:rFonts w:ascii="宋体" w:hAnsi="宋体" w:eastAsia="宋体" w:cs="宋体"/>
          <w:spacing w:val="12"/>
          <w:sz w:val="21"/>
          <w:szCs w:val="21"/>
        </w:rPr>
        <w:t xml:space="preserve"> </w:t>
      </w:r>
      <w:r>
        <w:rPr>
          <w:rFonts w:ascii="宋体" w:hAnsi="宋体" w:eastAsia="宋体" w:cs="宋体"/>
          <w:spacing w:val="-18"/>
          <w:sz w:val="21"/>
          <w:szCs w:val="21"/>
        </w:rPr>
        <w:t>人：</w:t>
      </w:r>
      <w:r>
        <w:rPr>
          <w:rFonts w:hint="eastAsia" w:ascii="仿宋_GB2312" w:eastAsia="仿宋_GB2312"/>
          <w:color w:val="0000FF"/>
          <w:sz w:val="24"/>
          <w:szCs w:val="24"/>
          <w:highlight w:val="white"/>
          <w:lang w:eastAsia="zh-CN"/>
        </w:rPr>
        <w:t>营口市公共设施维护中心</w:t>
      </w:r>
      <w:r>
        <w:rPr>
          <w:rFonts w:ascii="宋体" w:hAnsi="宋体" w:eastAsia="宋体" w:cs="宋体"/>
          <w:spacing w:val="4"/>
          <w:sz w:val="21"/>
          <w:szCs w:val="21"/>
        </w:rPr>
        <w:t xml:space="preserve">  </w:t>
      </w:r>
      <w:r>
        <w:rPr>
          <w:rFonts w:ascii="宋体" w:hAnsi="宋体" w:eastAsia="宋体" w:cs="宋体"/>
          <w:spacing w:val="-18"/>
          <w:sz w:val="21"/>
          <w:szCs w:val="21"/>
        </w:rPr>
        <w:t>招标代理机构：</w:t>
      </w:r>
      <w:r>
        <w:rPr>
          <w:rFonts w:hint="eastAsia" w:ascii="仿宋_GB2312" w:eastAsia="仿宋_GB2312"/>
          <w:color w:val="0000FF"/>
          <w:sz w:val="24"/>
          <w:szCs w:val="24"/>
          <w:highlight w:val="white"/>
          <w:lang w:eastAsia="zh-CN"/>
        </w:rPr>
        <w:t>沈阳招标中心有限公司</w:t>
      </w:r>
    </w:p>
    <w:p w14:paraId="5C260B95">
      <w:pPr>
        <w:spacing w:line="240" w:lineRule="auto"/>
        <w:ind w:left="0" w:right="0" w:firstLine="528" w:firstLineChars="300"/>
        <w:rPr>
          <w:rFonts w:ascii="宋体" w:hAnsi="宋体" w:eastAsia="宋体" w:cs="宋体"/>
          <w:sz w:val="21"/>
          <w:szCs w:val="21"/>
        </w:rPr>
      </w:pPr>
      <w:r>
        <w:rPr>
          <w:rFonts w:ascii="宋体" w:hAnsi="宋体" w:eastAsia="宋体" w:cs="宋体"/>
          <w:spacing w:val="-17"/>
          <w:sz w:val="21"/>
          <w:szCs w:val="21"/>
        </w:rPr>
        <w:t>地</w:t>
      </w:r>
      <w:r>
        <w:rPr>
          <w:rFonts w:ascii="宋体" w:hAnsi="宋体" w:eastAsia="宋体" w:cs="宋体"/>
          <w:spacing w:val="3"/>
          <w:sz w:val="21"/>
          <w:szCs w:val="21"/>
        </w:rPr>
        <w:t xml:space="preserve">  </w:t>
      </w:r>
      <w:r>
        <w:rPr>
          <w:rFonts w:ascii="宋体" w:hAnsi="宋体" w:eastAsia="宋体" w:cs="宋体"/>
          <w:spacing w:val="-17"/>
          <w:sz w:val="21"/>
          <w:szCs w:val="21"/>
        </w:rPr>
        <w:t>址：</w:t>
      </w:r>
      <w:r>
        <w:rPr>
          <w:rFonts w:hint="eastAsia" w:ascii="仿宋_GB2312" w:eastAsia="仿宋_GB2312"/>
          <w:color w:val="0000FF"/>
          <w:sz w:val="24"/>
          <w:szCs w:val="24"/>
          <w:highlight w:val="white"/>
          <w:lang w:eastAsia="zh-CN"/>
        </w:rPr>
        <w:t>营口市站前区东风路</w:t>
      </w:r>
      <w:r>
        <w:rPr>
          <w:rFonts w:hint="eastAsia" w:ascii="仿宋_GB2312" w:eastAsia="仿宋_GB2312"/>
          <w:color w:val="0000FF"/>
          <w:sz w:val="24"/>
          <w:szCs w:val="24"/>
          <w:highlight w:val="white"/>
          <w:lang w:val="en-US" w:eastAsia="zh-CN"/>
        </w:rPr>
        <w:t>1</w:t>
      </w:r>
      <w:r>
        <w:rPr>
          <w:rFonts w:hint="eastAsia" w:ascii="仿宋_GB2312" w:eastAsia="仿宋_GB2312"/>
          <w:color w:val="0000FF"/>
          <w:sz w:val="24"/>
          <w:szCs w:val="24"/>
          <w:highlight w:val="white"/>
          <w:lang w:eastAsia="zh-CN"/>
        </w:rPr>
        <w:t>号</w:t>
      </w:r>
      <w:r>
        <w:rPr>
          <w:rFonts w:hint="eastAsia" w:ascii="仿宋_GB2312" w:eastAsia="仿宋_GB2312"/>
          <w:color w:val="0000FF"/>
          <w:sz w:val="24"/>
          <w:szCs w:val="24"/>
          <w:highlight w:val="white"/>
          <w:lang w:val="en-US" w:eastAsia="zh-CN"/>
        </w:rPr>
        <w:t xml:space="preserve">    </w:t>
      </w:r>
      <w:r>
        <w:rPr>
          <w:rFonts w:ascii="宋体" w:hAnsi="宋体" w:eastAsia="宋体" w:cs="宋体"/>
          <w:spacing w:val="-18"/>
          <w:sz w:val="21"/>
          <w:szCs w:val="21"/>
        </w:rPr>
        <w:t>地</w:t>
      </w:r>
      <w:r>
        <w:rPr>
          <w:rFonts w:ascii="宋体" w:hAnsi="宋体" w:eastAsia="宋体" w:cs="宋体"/>
          <w:spacing w:val="1"/>
          <w:sz w:val="21"/>
          <w:szCs w:val="21"/>
        </w:rPr>
        <w:t xml:space="preserve">    </w:t>
      </w:r>
      <w:r>
        <w:rPr>
          <w:rFonts w:ascii="宋体" w:hAnsi="宋体" w:eastAsia="宋体" w:cs="宋体"/>
          <w:spacing w:val="-18"/>
          <w:sz w:val="21"/>
          <w:szCs w:val="21"/>
        </w:rPr>
        <w:t>址：</w:t>
      </w:r>
      <w:r>
        <w:rPr>
          <w:rFonts w:hint="eastAsia" w:ascii="仿宋_GB2312" w:eastAsia="仿宋_GB2312"/>
          <w:color w:val="0000FF"/>
          <w:sz w:val="24"/>
          <w:szCs w:val="24"/>
          <w:highlight w:val="white"/>
          <w:lang w:eastAsia="zh-CN"/>
        </w:rPr>
        <w:t>沈阳市和平区绥化东街2号</w:t>
      </w:r>
      <w:r>
        <w:rPr>
          <w:rFonts w:ascii="宋体" w:hAnsi="宋体" w:eastAsia="宋体" w:cs="宋体"/>
          <w:spacing w:val="-30"/>
          <w:sz w:val="21"/>
          <w:szCs w:val="21"/>
          <w:u w:val="none" w:color="auto"/>
        </w:rPr>
        <w:t xml:space="preserve"> </w:t>
      </w:r>
      <w:r>
        <w:rPr>
          <w:rFonts w:ascii="宋体" w:hAnsi="宋体" w:eastAsia="宋体" w:cs="宋体"/>
          <w:sz w:val="21"/>
          <w:szCs w:val="21"/>
          <w:u w:val="none" w:color="auto"/>
        </w:rPr>
        <w:t xml:space="preserve">      </w:t>
      </w:r>
      <w:r>
        <w:rPr>
          <w:rFonts w:ascii="宋体" w:hAnsi="宋体" w:eastAsia="宋体" w:cs="宋体"/>
          <w:sz w:val="21"/>
          <w:szCs w:val="21"/>
          <w:u w:val="single" w:color="auto"/>
        </w:rPr>
        <w:t xml:space="preserve">         </w:t>
      </w:r>
    </w:p>
    <w:p w14:paraId="4624DC8D">
      <w:pPr>
        <w:spacing w:before="156" w:line="221" w:lineRule="auto"/>
        <w:ind w:left="471"/>
        <w:rPr>
          <w:rFonts w:ascii="宋体" w:hAnsi="宋体" w:eastAsia="宋体" w:cs="宋体"/>
          <w:sz w:val="21"/>
          <w:szCs w:val="21"/>
        </w:rPr>
      </w:pPr>
      <w:r>
        <w:rPr>
          <w:rFonts w:ascii="宋体" w:hAnsi="宋体" w:eastAsia="宋体" w:cs="宋体"/>
          <w:spacing w:val="-31"/>
          <w:w w:val="98"/>
          <w:sz w:val="21"/>
          <w:szCs w:val="21"/>
        </w:rPr>
        <w:t>邮</w:t>
      </w:r>
      <w:r>
        <w:rPr>
          <w:rFonts w:ascii="宋体" w:hAnsi="宋体" w:eastAsia="宋体" w:cs="宋体"/>
          <w:spacing w:val="3"/>
          <w:sz w:val="21"/>
          <w:szCs w:val="21"/>
        </w:rPr>
        <w:t xml:space="preserve">    </w:t>
      </w:r>
      <w:r>
        <w:rPr>
          <w:rFonts w:ascii="宋体" w:hAnsi="宋体" w:eastAsia="宋体" w:cs="宋体"/>
          <w:spacing w:val="-31"/>
          <w:w w:val="98"/>
          <w:sz w:val="21"/>
          <w:szCs w:val="21"/>
        </w:rPr>
        <w:t>编：</w:t>
      </w:r>
      <w:r>
        <w:rPr>
          <w:rFonts w:ascii="宋体" w:hAnsi="宋体" w:eastAsia="宋体" w:cs="宋体"/>
          <w:spacing w:val="-28"/>
          <w:sz w:val="21"/>
          <w:szCs w:val="21"/>
        </w:rPr>
        <w:t xml:space="preserve"> </w:t>
      </w:r>
      <w:r>
        <w:rPr>
          <w:rFonts w:ascii="宋体" w:hAnsi="宋体" w:eastAsia="宋体" w:cs="宋体"/>
          <w:spacing w:val="4"/>
          <w:sz w:val="21"/>
          <w:szCs w:val="21"/>
          <w:u w:val="single" w:color="auto"/>
        </w:rPr>
        <w:t xml:space="preserve">            </w:t>
      </w:r>
      <w:r>
        <w:rPr>
          <w:rFonts w:ascii="宋体" w:hAnsi="宋体" w:eastAsia="宋体" w:cs="宋体"/>
          <w:spacing w:val="5"/>
          <w:sz w:val="21"/>
          <w:szCs w:val="21"/>
        </w:rPr>
        <w:t xml:space="preserve">                </w:t>
      </w:r>
      <w:r>
        <w:rPr>
          <w:rFonts w:ascii="宋体" w:hAnsi="宋体" w:eastAsia="宋体" w:cs="宋体"/>
          <w:spacing w:val="-31"/>
          <w:w w:val="98"/>
          <w:sz w:val="21"/>
          <w:szCs w:val="21"/>
        </w:rPr>
        <w:t>邮</w:t>
      </w:r>
      <w:r>
        <w:rPr>
          <w:rFonts w:ascii="宋体" w:hAnsi="宋体" w:eastAsia="宋体" w:cs="宋体"/>
          <w:sz w:val="21"/>
          <w:szCs w:val="21"/>
        </w:rPr>
        <w:t xml:space="preserve">    </w:t>
      </w:r>
      <w:r>
        <w:rPr>
          <w:rFonts w:ascii="宋体" w:hAnsi="宋体" w:eastAsia="宋体" w:cs="宋体"/>
          <w:spacing w:val="-31"/>
          <w:w w:val="98"/>
          <w:sz w:val="21"/>
          <w:szCs w:val="21"/>
        </w:rPr>
        <w:t>编：</w:t>
      </w:r>
      <w:r>
        <w:rPr>
          <w:rFonts w:ascii="宋体" w:hAnsi="宋体" w:eastAsia="宋体" w:cs="宋体"/>
          <w:spacing w:val="-29"/>
          <w:sz w:val="21"/>
          <w:szCs w:val="21"/>
        </w:rPr>
        <w:t xml:space="preserve"> </w:t>
      </w:r>
      <w:r>
        <w:rPr>
          <w:rFonts w:ascii="宋体" w:hAnsi="宋体" w:eastAsia="宋体" w:cs="宋体"/>
          <w:sz w:val="21"/>
          <w:szCs w:val="21"/>
          <w:u w:val="single" w:color="auto"/>
        </w:rPr>
        <w:t xml:space="preserve">              </w:t>
      </w:r>
    </w:p>
    <w:p w14:paraId="0AE2AF68">
      <w:pPr>
        <w:spacing w:line="126" w:lineRule="exact"/>
      </w:pPr>
    </w:p>
    <w:p w14:paraId="29306E06">
      <w:pPr>
        <w:spacing w:line="126" w:lineRule="exact"/>
        <w:sectPr>
          <w:footerReference r:id="rId14" w:type="default"/>
          <w:pgSz w:w="11905" w:h="16839"/>
          <w:pgMar w:top="1431" w:right="1785" w:bottom="1036" w:left="1785" w:header="0" w:footer="847" w:gutter="0"/>
          <w:pgNumType w:fmt="decimal" w:start="1"/>
          <w:cols w:equalWidth="0" w:num="1">
            <w:col w:w="8333"/>
          </w:cols>
        </w:sectPr>
      </w:pPr>
    </w:p>
    <w:p w14:paraId="40EF2740">
      <w:pPr>
        <w:spacing w:before="41" w:line="223" w:lineRule="auto"/>
        <w:ind w:left="456"/>
        <w:rPr>
          <w:rFonts w:ascii="宋体" w:hAnsi="宋体" w:eastAsia="宋体" w:cs="宋体"/>
          <w:sz w:val="21"/>
          <w:szCs w:val="21"/>
        </w:rPr>
      </w:pPr>
      <w:r>
        <w:rPr>
          <w:rFonts w:ascii="宋体" w:hAnsi="宋体" w:eastAsia="宋体" w:cs="宋体"/>
          <w:spacing w:val="-25"/>
          <w:sz w:val="21"/>
          <w:szCs w:val="21"/>
        </w:rPr>
        <w:t>联</w:t>
      </w:r>
      <w:r>
        <w:rPr>
          <w:rFonts w:ascii="宋体" w:hAnsi="宋体" w:eastAsia="宋体" w:cs="宋体"/>
          <w:spacing w:val="13"/>
          <w:sz w:val="21"/>
          <w:szCs w:val="21"/>
        </w:rPr>
        <w:t xml:space="preserve"> </w:t>
      </w:r>
      <w:r>
        <w:rPr>
          <w:rFonts w:ascii="宋体" w:hAnsi="宋体" w:eastAsia="宋体" w:cs="宋体"/>
          <w:spacing w:val="-25"/>
          <w:sz w:val="21"/>
          <w:szCs w:val="21"/>
        </w:rPr>
        <w:t>系</w:t>
      </w:r>
      <w:r>
        <w:rPr>
          <w:rFonts w:ascii="宋体" w:hAnsi="宋体" w:eastAsia="宋体" w:cs="宋体"/>
          <w:spacing w:val="10"/>
          <w:sz w:val="21"/>
          <w:szCs w:val="21"/>
        </w:rPr>
        <w:t xml:space="preserve"> </w:t>
      </w:r>
      <w:r>
        <w:rPr>
          <w:rFonts w:ascii="宋体" w:hAnsi="宋体" w:eastAsia="宋体" w:cs="宋体"/>
          <w:spacing w:val="-25"/>
          <w:sz w:val="21"/>
          <w:szCs w:val="21"/>
        </w:rPr>
        <w:t>人：</w:t>
      </w:r>
      <w:r>
        <w:rPr>
          <w:rFonts w:ascii="宋体" w:hAnsi="宋体" w:eastAsia="宋体" w:cs="宋体"/>
          <w:spacing w:val="-32"/>
          <w:sz w:val="21"/>
          <w:szCs w:val="21"/>
          <w:u w:val="single"/>
        </w:rPr>
        <w:t xml:space="preserve"> </w:t>
      </w:r>
      <w:r>
        <w:rPr>
          <w:rFonts w:hint="eastAsia" w:ascii="宋体" w:hAnsi="宋体" w:eastAsia="宋体" w:cs="宋体"/>
          <w:spacing w:val="-16"/>
          <w:sz w:val="21"/>
          <w:szCs w:val="21"/>
          <w:u w:val="single"/>
          <w:lang w:val="en-US" w:eastAsia="zh-CN"/>
        </w:rPr>
        <w:t>李琛</w:t>
      </w:r>
      <w:r>
        <w:rPr>
          <w:rFonts w:ascii="宋体" w:hAnsi="宋体" w:eastAsia="宋体" w:cs="宋体"/>
          <w:sz w:val="21"/>
          <w:szCs w:val="21"/>
          <w:u w:val="none" w:color="auto"/>
        </w:rPr>
        <w:t xml:space="preserve">             </w:t>
      </w:r>
    </w:p>
    <w:p w14:paraId="657BC5B8">
      <w:pPr>
        <w:spacing w:before="163" w:line="223" w:lineRule="auto"/>
        <w:ind w:left="480"/>
        <w:rPr>
          <w:rFonts w:ascii="宋体" w:hAnsi="宋体" w:eastAsia="宋体" w:cs="宋体"/>
          <w:sz w:val="21"/>
          <w:szCs w:val="21"/>
          <w:u w:val="none" w:color="auto"/>
        </w:rPr>
      </w:pPr>
      <w:r>
        <w:rPr>
          <w:rFonts w:ascii="宋体" w:hAnsi="宋体" w:eastAsia="宋体" w:cs="宋体"/>
          <w:spacing w:val="-30"/>
          <w:w w:val="96"/>
          <w:sz w:val="21"/>
          <w:szCs w:val="21"/>
        </w:rPr>
        <w:t>电</w:t>
      </w:r>
      <w:r>
        <w:rPr>
          <w:rFonts w:ascii="宋体" w:hAnsi="宋体" w:eastAsia="宋体" w:cs="宋体"/>
          <w:spacing w:val="3"/>
          <w:sz w:val="21"/>
          <w:szCs w:val="21"/>
        </w:rPr>
        <w:t xml:space="preserve">    </w:t>
      </w:r>
      <w:r>
        <w:rPr>
          <w:rFonts w:ascii="宋体" w:hAnsi="宋体" w:eastAsia="宋体" w:cs="宋体"/>
          <w:spacing w:val="-30"/>
          <w:w w:val="96"/>
          <w:sz w:val="21"/>
          <w:szCs w:val="21"/>
        </w:rPr>
        <w:t>话：</w:t>
      </w:r>
      <w:r>
        <w:rPr>
          <w:rFonts w:ascii="宋体" w:hAnsi="宋体" w:eastAsia="宋体" w:cs="宋体"/>
          <w:spacing w:val="-30"/>
          <w:sz w:val="21"/>
          <w:szCs w:val="21"/>
        </w:rPr>
        <w:t xml:space="preserve"> </w:t>
      </w:r>
      <w:r>
        <w:rPr>
          <w:rFonts w:hint="eastAsia" w:ascii="宋体" w:hAnsi="宋体" w:eastAsia="宋体" w:cs="宋体"/>
          <w:spacing w:val="-16"/>
          <w:sz w:val="21"/>
          <w:szCs w:val="21"/>
          <w:u w:val="single" w:color="auto"/>
          <w:lang w:eastAsia="zh-CN"/>
        </w:rPr>
        <w:t>0417-2876502</w:t>
      </w:r>
      <w:r>
        <w:rPr>
          <w:rFonts w:ascii="宋体" w:hAnsi="宋体" w:eastAsia="宋体" w:cs="宋体"/>
          <w:spacing w:val="-16"/>
          <w:sz w:val="21"/>
          <w:szCs w:val="21"/>
          <w:u w:val="single" w:color="auto"/>
        </w:rPr>
        <w:t xml:space="preserve"> </w:t>
      </w:r>
      <w:r>
        <w:rPr>
          <w:rFonts w:ascii="宋体" w:hAnsi="宋体" w:eastAsia="宋体" w:cs="宋体"/>
          <w:sz w:val="21"/>
          <w:szCs w:val="21"/>
          <w:u w:val="single" w:color="auto"/>
        </w:rPr>
        <w:t xml:space="preserve"> </w:t>
      </w:r>
      <w:r>
        <w:rPr>
          <w:rFonts w:ascii="宋体" w:hAnsi="宋体" w:eastAsia="宋体" w:cs="宋体"/>
          <w:sz w:val="21"/>
          <w:szCs w:val="21"/>
          <w:u w:val="none" w:color="auto"/>
        </w:rPr>
        <w:t xml:space="preserve">            </w:t>
      </w:r>
    </w:p>
    <w:p w14:paraId="32876FA0">
      <w:pPr>
        <w:spacing w:before="169" w:line="367" w:lineRule="auto"/>
        <w:ind w:left="453"/>
        <w:rPr>
          <w:rFonts w:ascii="宋体" w:hAnsi="宋体" w:eastAsia="宋体" w:cs="宋体"/>
          <w:sz w:val="21"/>
          <w:szCs w:val="21"/>
        </w:rPr>
      </w:pPr>
      <w:r>
        <w:rPr>
          <w:rFonts w:ascii="宋体" w:hAnsi="宋体" w:eastAsia="宋体" w:cs="宋体"/>
          <w:spacing w:val="-28"/>
          <w:w w:val="99"/>
          <w:sz w:val="21"/>
          <w:szCs w:val="21"/>
        </w:rPr>
        <w:t>传</w:t>
      </w:r>
      <w:r>
        <w:rPr>
          <w:rFonts w:ascii="宋体" w:hAnsi="宋体" w:eastAsia="宋体" w:cs="宋体"/>
          <w:spacing w:val="3"/>
          <w:sz w:val="21"/>
          <w:szCs w:val="21"/>
        </w:rPr>
        <w:t xml:space="preserve">    </w:t>
      </w:r>
      <w:r>
        <w:rPr>
          <w:rFonts w:ascii="宋体" w:hAnsi="宋体" w:eastAsia="宋体" w:cs="宋体"/>
          <w:spacing w:val="-28"/>
          <w:w w:val="99"/>
          <w:sz w:val="21"/>
          <w:szCs w:val="21"/>
        </w:rPr>
        <w:t>真：</w:t>
      </w:r>
      <w:r>
        <w:rPr>
          <w:rFonts w:ascii="宋体" w:hAnsi="宋体" w:eastAsia="宋体" w:cs="宋体"/>
          <w:spacing w:val="-28"/>
          <w:sz w:val="21"/>
          <w:szCs w:val="21"/>
        </w:rPr>
        <w:t xml:space="preserve"> </w:t>
      </w:r>
      <w:r>
        <w:rPr>
          <w:rFonts w:ascii="宋体" w:hAnsi="宋体" w:eastAsia="宋体" w:cs="宋体"/>
          <w:sz w:val="21"/>
          <w:szCs w:val="21"/>
          <w:u w:val="single" w:color="auto"/>
        </w:rPr>
        <w:t xml:space="preserve">             </w:t>
      </w:r>
    </w:p>
    <w:p w14:paraId="663A0175">
      <w:pPr>
        <w:spacing w:before="1" w:line="220" w:lineRule="auto"/>
        <w:ind w:left="480"/>
        <w:rPr>
          <w:rFonts w:ascii="宋体" w:hAnsi="宋体" w:eastAsia="宋体" w:cs="宋体"/>
          <w:sz w:val="21"/>
          <w:szCs w:val="21"/>
        </w:rPr>
      </w:pPr>
      <w:r>
        <w:rPr>
          <w:rFonts w:ascii="宋体" w:hAnsi="宋体" w:eastAsia="宋体" w:cs="宋体"/>
          <w:spacing w:val="-26"/>
          <w:w w:val="98"/>
          <w:sz w:val="21"/>
          <w:szCs w:val="21"/>
        </w:rPr>
        <w:t>电子邮件：</w:t>
      </w:r>
      <w:r>
        <w:rPr>
          <w:rFonts w:ascii="宋体" w:hAnsi="宋体" w:eastAsia="宋体" w:cs="宋体"/>
          <w:spacing w:val="18"/>
          <w:sz w:val="21"/>
          <w:szCs w:val="21"/>
        </w:rPr>
        <w:t xml:space="preserve"> </w:t>
      </w:r>
      <w:r>
        <w:rPr>
          <w:rFonts w:ascii="宋体" w:hAnsi="宋体" w:eastAsia="宋体" w:cs="宋体"/>
          <w:sz w:val="21"/>
          <w:szCs w:val="21"/>
          <w:u w:val="single" w:color="auto"/>
        </w:rPr>
        <w:t xml:space="preserve">             </w:t>
      </w:r>
    </w:p>
    <w:p w14:paraId="2CB7D066">
      <w:pPr>
        <w:spacing w:before="172" w:line="367" w:lineRule="auto"/>
        <w:ind w:left="472"/>
        <w:rPr>
          <w:rFonts w:ascii="宋体" w:hAnsi="宋体" w:eastAsia="宋体" w:cs="宋体"/>
          <w:sz w:val="21"/>
          <w:szCs w:val="21"/>
        </w:rPr>
      </w:pPr>
      <w:r>
        <w:rPr>
          <w:rFonts w:ascii="宋体" w:hAnsi="宋体" w:eastAsia="宋体" w:cs="宋体"/>
          <w:spacing w:val="-35"/>
          <w:sz w:val="21"/>
          <w:szCs w:val="21"/>
        </w:rPr>
        <w:t>网</w:t>
      </w:r>
      <w:r>
        <w:rPr>
          <w:rFonts w:ascii="宋体" w:hAnsi="宋体" w:eastAsia="宋体" w:cs="宋体"/>
          <w:spacing w:val="2"/>
          <w:sz w:val="21"/>
          <w:szCs w:val="21"/>
        </w:rPr>
        <w:t xml:space="preserve">    </w:t>
      </w:r>
      <w:r>
        <w:rPr>
          <w:rFonts w:ascii="宋体" w:hAnsi="宋体" w:eastAsia="宋体" w:cs="宋体"/>
          <w:spacing w:val="-35"/>
          <w:sz w:val="21"/>
          <w:szCs w:val="21"/>
        </w:rPr>
        <w:t>址：</w:t>
      </w:r>
      <w:r>
        <w:rPr>
          <w:rFonts w:ascii="宋体" w:hAnsi="宋体" w:eastAsia="宋体" w:cs="宋体"/>
          <w:spacing w:val="-28"/>
          <w:sz w:val="21"/>
          <w:szCs w:val="21"/>
        </w:rPr>
        <w:t xml:space="preserve"> </w:t>
      </w:r>
      <w:r>
        <w:rPr>
          <w:rFonts w:ascii="宋体" w:hAnsi="宋体" w:eastAsia="宋体" w:cs="宋体"/>
          <w:sz w:val="21"/>
          <w:szCs w:val="21"/>
          <w:u w:val="single" w:color="auto"/>
        </w:rPr>
        <w:t xml:space="preserve">             </w:t>
      </w:r>
    </w:p>
    <w:p w14:paraId="6DD6653B">
      <w:pPr>
        <w:spacing w:line="221" w:lineRule="auto"/>
        <w:ind w:left="456"/>
        <w:rPr>
          <w:rFonts w:ascii="宋体" w:hAnsi="宋体" w:eastAsia="宋体" w:cs="宋体"/>
          <w:sz w:val="21"/>
          <w:szCs w:val="21"/>
        </w:rPr>
      </w:pPr>
      <w:r>
        <w:rPr>
          <w:rFonts w:ascii="宋体" w:hAnsi="宋体" w:eastAsia="宋体" w:cs="宋体"/>
          <w:spacing w:val="-24"/>
          <w:w w:val="96"/>
          <w:sz w:val="21"/>
          <w:szCs w:val="21"/>
        </w:rPr>
        <w:t>开户银行：</w:t>
      </w:r>
      <w:r>
        <w:rPr>
          <w:rFonts w:ascii="宋体" w:hAnsi="宋体" w:eastAsia="宋体" w:cs="宋体"/>
          <w:spacing w:val="53"/>
          <w:sz w:val="21"/>
          <w:szCs w:val="21"/>
        </w:rPr>
        <w:t xml:space="preserve"> </w:t>
      </w:r>
      <w:r>
        <w:rPr>
          <w:rFonts w:ascii="宋体" w:hAnsi="宋体" w:eastAsia="宋体" w:cs="宋体"/>
          <w:sz w:val="21"/>
          <w:szCs w:val="21"/>
          <w:u w:val="single" w:color="auto"/>
        </w:rPr>
        <w:t xml:space="preserve">             </w:t>
      </w:r>
    </w:p>
    <w:p w14:paraId="2C18E710">
      <w:pPr>
        <w:spacing w:before="170" w:line="186" w:lineRule="auto"/>
        <w:ind w:left="459"/>
        <w:rPr>
          <w:rFonts w:ascii="宋体" w:hAnsi="宋体" w:eastAsia="宋体" w:cs="宋体"/>
          <w:sz w:val="21"/>
          <w:szCs w:val="21"/>
        </w:rPr>
      </w:pPr>
      <w:r>
        <w:rPr>
          <w:rFonts w:ascii="宋体" w:hAnsi="宋体" w:eastAsia="宋体" w:cs="宋体"/>
          <w:spacing w:val="-31"/>
          <w:sz w:val="21"/>
          <w:szCs w:val="21"/>
        </w:rPr>
        <w:t>账</w:t>
      </w:r>
      <w:r>
        <w:rPr>
          <w:rFonts w:ascii="宋体" w:hAnsi="宋体" w:eastAsia="宋体" w:cs="宋体"/>
          <w:spacing w:val="3"/>
          <w:sz w:val="21"/>
          <w:szCs w:val="21"/>
        </w:rPr>
        <w:t xml:space="preserve">    </w:t>
      </w:r>
      <w:r>
        <w:rPr>
          <w:rFonts w:ascii="宋体" w:hAnsi="宋体" w:eastAsia="宋体" w:cs="宋体"/>
          <w:spacing w:val="-31"/>
          <w:sz w:val="21"/>
          <w:szCs w:val="21"/>
        </w:rPr>
        <w:t xml:space="preserve">号： </w:t>
      </w:r>
      <w:r>
        <w:rPr>
          <w:rFonts w:ascii="宋体" w:hAnsi="宋体" w:eastAsia="宋体" w:cs="宋体"/>
          <w:sz w:val="21"/>
          <w:szCs w:val="21"/>
          <w:u w:val="single" w:color="auto"/>
        </w:rPr>
        <w:t xml:space="preserve">             </w:t>
      </w:r>
    </w:p>
    <w:p w14:paraId="2F482E6B">
      <w:pPr>
        <w:pStyle w:val="3"/>
        <w:spacing w:line="14" w:lineRule="auto"/>
        <w:rPr>
          <w:sz w:val="2"/>
        </w:rPr>
      </w:pPr>
      <w:r>
        <w:rPr>
          <w:sz w:val="2"/>
          <w:szCs w:val="2"/>
        </w:rPr>
        <w:br w:type="column"/>
      </w:r>
    </w:p>
    <w:p w14:paraId="143713AC">
      <w:pPr>
        <w:spacing w:before="40" w:line="223" w:lineRule="auto"/>
        <w:ind w:left="2"/>
        <w:rPr>
          <w:rFonts w:ascii="宋体" w:hAnsi="宋体" w:eastAsia="宋体" w:cs="宋体"/>
          <w:sz w:val="21"/>
          <w:szCs w:val="21"/>
        </w:rPr>
      </w:pPr>
      <w:r>
        <w:rPr>
          <w:rFonts w:ascii="宋体" w:hAnsi="宋体" w:eastAsia="宋体" w:cs="宋体"/>
          <w:spacing w:val="18"/>
          <w:sz w:val="21"/>
          <w:szCs w:val="21"/>
        </w:rPr>
        <w:t>联系人：</w:t>
      </w:r>
      <w:r>
        <w:rPr>
          <w:rFonts w:ascii="宋体" w:hAnsi="宋体" w:eastAsia="宋体" w:cs="宋体"/>
          <w:spacing w:val="-34"/>
          <w:sz w:val="21"/>
          <w:szCs w:val="21"/>
        </w:rPr>
        <w:t xml:space="preserve"> </w:t>
      </w:r>
      <w:r>
        <w:rPr>
          <w:rFonts w:hint="eastAsia" w:ascii="仿宋_GB2312" w:eastAsia="仿宋_GB2312"/>
          <w:color w:val="0000FF"/>
          <w:sz w:val="24"/>
          <w:szCs w:val="24"/>
          <w:highlight w:val="white"/>
          <w:u w:val="single"/>
          <w:lang w:eastAsia="zh-CN"/>
        </w:rPr>
        <w:t>崔大勇</w:t>
      </w:r>
      <w:r>
        <w:rPr>
          <w:rFonts w:ascii="宋体" w:hAnsi="宋体" w:eastAsia="宋体" w:cs="宋体"/>
          <w:sz w:val="21"/>
          <w:szCs w:val="21"/>
          <w:u w:val="none" w:color="auto"/>
        </w:rPr>
        <w:t xml:space="preserve">               </w:t>
      </w:r>
    </w:p>
    <w:p w14:paraId="776F6ABC">
      <w:pPr>
        <w:spacing w:before="169" w:line="220" w:lineRule="auto"/>
        <w:rPr>
          <w:rFonts w:hint="eastAsia" w:ascii="仿宋_GB2312" w:eastAsia="仿宋_GB2312"/>
          <w:color w:val="0000FF"/>
          <w:sz w:val="24"/>
          <w:szCs w:val="24"/>
          <w:highlight w:val="white"/>
          <w:u w:val="single"/>
          <w:lang w:eastAsia="zh-CN"/>
        </w:rPr>
      </w:pPr>
      <w:r>
        <w:rPr>
          <w:rFonts w:ascii="宋体" w:hAnsi="宋体" w:eastAsia="宋体" w:cs="宋体"/>
          <w:spacing w:val="-30"/>
          <w:w w:val="96"/>
          <w:sz w:val="21"/>
          <w:szCs w:val="21"/>
        </w:rPr>
        <w:t>电</w:t>
      </w:r>
      <w:r>
        <w:rPr>
          <w:rFonts w:ascii="宋体" w:hAnsi="宋体" w:eastAsia="宋体" w:cs="宋体"/>
          <w:sz w:val="21"/>
          <w:szCs w:val="21"/>
        </w:rPr>
        <w:t xml:space="preserve">    </w:t>
      </w:r>
      <w:r>
        <w:rPr>
          <w:rFonts w:ascii="宋体" w:hAnsi="宋体" w:eastAsia="宋体" w:cs="宋体"/>
          <w:spacing w:val="-30"/>
          <w:w w:val="96"/>
          <w:sz w:val="21"/>
          <w:szCs w:val="21"/>
        </w:rPr>
        <w:t>话：</w:t>
      </w:r>
      <w:r>
        <w:rPr>
          <w:rFonts w:hint="eastAsia" w:ascii="仿宋_GB2312" w:eastAsia="仿宋_GB2312"/>
          <w:color w:val="0000FF"/>
          <w:sz w:val="24"/>
          <w:szCs w:val="24"/>
          <w:highlight w:val="white"/>
          <w:u w:val="single"/>
          <w:lang w:val="en-US" w:eastAsia="zh-CN"/>
        </w:rPr>
        <w:t>024-22503596</w:t>
      </w:r>
    </w:p>
    <w:p w14:paraId="6446DFBF">
      <w:pPr>
        <w:spacing w:before="167" w:line="221" w:lineRule="auto"/>
        <w:ind w:left="26"/>
        <w:rPr>
          <w:rFonts w:ascii="宋体" w:hAnsi="宋体" w:eastAsia="宋体" w:cs="宋体"/>
          <w:sz w:val="21"/>
          <w:szCs w:val="21"/>
        </w:rPr>
      </w:pPr>
      <w:r>
        <w:rPr>
          <w:rFonts w:ascii="宋体" w:hAnsi="宋体" w:eastAsia="宋体" w:cs="宋体"/>
          <w:spacing w:val="-23"/>
          <w:sz w:val="21"/>
          <w:szCs w:val="21"/>
        </w:rPr>
        <w:t>电子邮件：</w:t>
      </w:r>
      <w:r>
        <w:rPr>
          <w:rFonts w:ascii="宋体" w:hAnsi="宋体" w:eastAsia="宋体" w:cs="宋体"/>
          <w:spacing w:val="-28"/>
          <w:sz w:val="21"/>
          <w:szCs w:val="21"/>
        </w:rPr>
        <w:t xml:space="preserve"> </w:t>
      </w:r>
      <w:r>
        <w:rPr>
          <w:rFonts w:ascii="宋体" w:hAnsi="宋体" w:eastAsia="宋体" w:cs="宋体"/>
          <w:sz w:val="21"/>
          <w:szCs w:val="21"/>
          <w:u w:val="single" w:color="auto"/>
        </w:rPr>
        <w:t xml:space="preserve"> </w:t>
      </w:r>
      <w:r>
        <w:rPr>
          <w:rFonts w:hint="eastAsia" w:ascii="宋体" w:hAnsi="宋体" w:eastAsia="宋体" w:cs="宋体"/>
          <w:sz w:val="21"/>
          <w:szCs w:val="21"/>
          <w:u w:val="single" w:color="auto"/>
          <w:lang w:val="en-US" w:eastAsia="zh-CN"/>
        </w:rPr>
        <w:t>syzbsc@163.com</w:t>
      </w:r>
      <w:r>
        <w:rPr>
          <w:rFonts w:ascii="宋体" w:hAnsi="宋体" w:eastAsia="宋体" w:cs="宋体"/>
          <w:sz w:val="21"/>
          <w:szCs w:val="21"/>
          <w:u w:val="single" w:color="auto"/>
        </w:rPr>
        <w:t xml:space="preserve"> </w:t>
      </w:r>
      <w:r>
        <w:rPr>
          <w:rFonts w:ascii="宋体" w:hAnsi="宋体" w:eastAsia="宋体" w:cs="宋体"/>
          <w:sz w:val="21"/>
          <w:szCs w:val="21"/>
          <w:u w:val="none" w:color="auto"/>
        </w:rPr>
        <w:t xml:space="preserve">          </w:t>
      </w:r>
      <w:r>
        <w:rPr>
          <w:rFonts w:ascii="宋体" w:hAnsi="宋体" w:eastAsia="宋体" w:cs="宋体"/>
          <w:sz w:val="21"/>
          <w:szCs w:val="21"/>
          <w:u w:val="single" w:color="auto"/>
        </w:rPr>
        <w:t xml:space="preserve">  </w:t>
      </w:r>
    </w:p>
    <w:p w14:paraId="15D05B68">
      <w:pPr>
        <w:spacing w:before="171" w:line="367" w:lineRule="auto"/>
        <w:ind w:left="70"/>
        <w:rPr>
          <w:rFonts w:ascii="宋体" w:hAnsi="宋体" w:eastAsia="宋体" w:cs="宋体"/>
          <w:sz w:val="21"/>
          <w:szCs w:val="21"/>
        </w:rPr>
      </w:pPr>
      <w:r>
        <w:rPr>
          <w:rFonts w:ascii="宋体" w:hAnsi="宋体" w:eastAsia="宋体" w:cs="宋体"/>
          <w:spacing w:val="-35"/>
          <w:sz w:val="21"/>
          <w:szCs w:val="21"/>
        </w:rPr>
        <w:t>网</w:t>
      </w:r>
      <w:r>
        <w:rPr>
          <w:rFonts w:ascii="宋体" w:hAnsi="宋体" w:eastAsia="宋体" w:cs="宋体"/>
          <w:sz w:val="21"/>
          <w:szCs w:val="21"/>
        </w:rPr>
        <w:t xml:space="preserve">    </w:t>
      </w:r>
      <w:r>
        <w:rPr>
          <w:rFonts w:ascii="宋体" w:hAnsi="宋体" w:eastAsia="宋体" w:cs="宋体"/>
          <w:spacing w:val="-35"/>
          <w:sz w:val="21"/>
          <w:szCs w:val="21"/>
        </w:rPr>
        <w:t>址：</w:t>
      </w:r>
      <w:r>
        <w:rPr>
          <w:rFonts w:ascii="宋体" w:hAnsi="宋体" w:eastAsia="宋体" w:cs="宋体"/>
          <w:spacing w:val="-29"/>
          <w:sz w:val="21"/>
          <w:szCs w:val="21"/>
        </w:rPr>
        <w:t xml:space="preserve"> </w:t>
      </w:r>
      <w:r>
        <w:rPr>
          <w:rFonts w:ascii="宋体" w:hAnsi="宋体" w:eastAsia="宋体" w:cs="宋体"/>
          <w:sz w:val="21"/>
          <w:szCs w:val="21"/>
          <w:u w:val="single" w:color="auto"/>
        </w:rPr>
        <w:t xml:space="preserve">              </w:t>
      </w:r>
    </w:p>
    <w:p w14:paraId="561971B6">
      <w:pPr>
        <w:spacing w:before="1" w:line="221" w:lineRule="auto"/>
        <w:ind w:left="55"/>
        <w:rPr>
          <w:rFonts w:ascii="宋体" w:hAnsi="宋体" w:eastAsia="宋体" w:cs="宋体"/>
          <w:sz w:val="21"/>
          <w:szCs w:val="21"/>
        </w:rPr>
      </w:pPr>
      <w:r>
        <w:rPr>
          <w:rFonts w:ascii="宋体" w:hAnsi="宋体" w:eastAsia="宋体" w:cs="宋体"/>
          <w:spacing w:val="-18"/>
          <w:sz w:val="21"/>
          <w:szCs w:val="21"/>
        </w:rPr>
        <w:t>开户银行：</w:t>
      </w:r>
      <w:r>
        <w:rPr>
          <w:rFonts w:ascii="宋体" w:hAnsi="宋体" w:eastAsia="宋体" w:cs="宋体"/>
          <w:spacing w:val="-29"/>
          <w:sz w:val="21"/>
          <w:szCs w:val="21"/>
        </w:rPr>
        <w:t xml:space="preserve"> </w:t>
      </w:r>
      <w:r>
        <w:rPr>
          <w:rFonts w:ascii="宋体" w:hAnsi="宋体" w:eastAsia="宋体" w:cs="宋体"/>
          <w:sz w:val="21"/>
          <w:szCs w:val="21"/>
          <w:u w:val="single" w:color="auto"/>
        </w:rPr>
        <w:t xml:space="preserve">              </w:t>
      </w:r>
    </w:p>
    <w:p w14:paraId="3BBB0815">
      <w:pPr>
        <w:spacing w:before="170" w:line="186" w:lineRule="auto"/>
        <w:ind w:left="57"/>
        <w:rPr>
          <w:rFonts w:ascii="宋体" w:hAnsi="宋体" w:eastAsia="宋体" w:cs="宋体"/>
          <w:sz w:val="21"/>
          <w:szCs w:val="21"/>
        </w:rPr>
      </w:pPr>
      <w:r>
        <w:rPr>
          <w:rFonts w:ascii="宋体" w:hAnsi="宋体" w:eastAsia="宋体" w:cs="宋体"/>
          <w:spacing w:val="-31"/>
          <w:sz w:val="21"/>
          <w:szCs w:val="21"/>
        </w:rPr>
        <w:t>账</w:t>
      </w:r>
      <w:r>
        <w:rPr>
          <w:rFonts w:ascii="宋体" w:hAnsi="宋体" w:eastAsia="宋体" w:cs="宋体"/>
          <w:spacing w:val="1"/>
          <w:sz w:val="21"/>
          <w:szCs w:val="21"/>
        </w:rPr>
        <w:t xml:space="preserve">    </w:t>
      </w:r>
      <w:r>
        <w:rPr>
          <w:rFonts w:ascii="宋体" w:hAnsi="宋体" w:eastAsia="宋体" w:cs="宋体"/>
          <w:spacing w:val="-31"/>
          <w:sz w:val="21"/>
          <w:szCs w:val="21"/>
        </w:rPr>
        <w:t>号：</w:t>
      </w:r>
      <w:r>
        <w:rPr>
          <w:rFonts w:ascii="宋体" w:hAnsi="宋体" w:eastAsia="宋体" w:cs="宋体"/>
          <w:spacing w:val="-32"/>
          <w:sz w:val="21"/>
          <w:szCs w:val="21"/>
        </w:rPr>
        <w:t xml:space="preserve"> </w:t>
      </w:r>
      <w:r>
        <w:rPr>
          <w:rFonts w:ascii="宋体" w:hAnsi="宋体" w:eastAsia="宋体" w:cs="宋体"/>
          <w:sz w:val="21"/>
          <w:szCs w:val="21"/>
          <w:u w:val="single" w:color="auto"/>
        </w:rPr>
        <w:t xml:space="preserve">              </w:t>
      </w:r>
    </w:p>
    <w:p w14:paraId="06E65C72">
      <w:pPr>
        <w:spacing w:line="186" w:lineRule="auto"/>
        <w:rPr>
          <w:rFonts w:ascii="宋体" w:hAnsi="宋体" w:eastAsia="宋体" w:cs="宋体"/>
          <w:sz w:val="21"/>
          <w:szCs w:val="21"/>
        </w:rPr>
        <w:sectPr>
          <w:type w:val="continuous"/>
          <w:pgSz w:w="11905" w:h="16839"/>
          <w:pgMar w:top="1431" w:right="1785" w:bottom="1036" w:left="1785" w:header="0" w:footer="847" w:gutter="0"/>
          <w:pgNumType w:fmt="decimal"/>
          <w:cols w:equalWidth="0" w:num="2">
            <w:col w:w="4455" w:space="100"/>
            <w:col w:w="3779"/>
          </w:cols>
        </w:sectPr>
      </w:pPr>
    </w:p>
    <w:p w14:paraId="271339B5">
      <w:pPr>
        <w:pStyle w:val="3"/>
        <w:spacing w:line="278" w:lineRule="auto"/>
      </w:pPr>
    </w:p>
    <w:p w14:paraId="28D6604C">
      <w:pPr>
        <w:pStyle w:val="3"/>
        <w:spacing w:line="279" w:lineRule="auto"/>
      </w:pPr>
    </w:p>
    <w:p w14:paraId="48EDD63D">
      <w:pPr>
        <w:tabs>
          <w:tab w:val="left" w:pos="6329"/>
        </w:tabs>
        <w:spacing w:before="68" w:line="186" w:lineRule="auto"/>
        <w:ind w:left="5277"/>
        <w:rPr>
          <w:rFonts w:ascii="宋体" w:hAnsi="宋体" w:eastAsia="宋体" w:cs="宋体"/>
          <w:sz w:val="21"/>
          <w:szCs w:val="21"/>
        </w:rPr>
      </w:pPr>
      <w:r>
        <w:rPr>
          <w:rFonts w:hint="eastAsia" w:ascii="宋体" w:hAnsi="宋体" w:eastAsia="宋体" w:cs="宋体"/>
          <w:sz w:val="21"/>
          <w:szCs w:val="21"/>
          <w:u w:val="single" w:color="auto"/>
          <w:lang w:val="en-US" w:eastAsia="zh-CN"/>
        </w:rPr>
        <w:t>2026</w:t>
      </w:r>
      <w:r>
        <w:rPr>
          <w:rFonts w:ascii="宋体" w:hAnsi="宋体" w:eastAsia="宋体" w:cs="宋体"/>
          <w:spacing w:val="-22"/>
          <w:sz w:val="21"/>
          <w:szCs w:val="21"/>
        </w:rPr>
        <w:t>年</w:t>
      </w:r>
      <w:r>
        <w:rPr>
          <w:rFonts w:ascii="宋体" w:hAnsi="宋体" w:eastAsia="宋体" w:cs="宋体"/>
          <w:spacing w:val="20"/>
          <w:sz w:val="21"/>
          <w:szCs w:val="21"/>
          <w:u w:val="single" w:color="auto"/>
        </w:rPr>
        <w:t xml:space="preserve"> </w:t>
      </w:r>
      <w:r>
        <w:rPr>
          <w:rFonts w:hint="eastAsia" w:ascii="宋体" w:hAnsi="宋体" w:eastAsia="宋体" w:cs="宋体"/>
          <w:spacing w:val="20"/>
          <w:sz w:val="21"/>
          <w:szCs w:val="21"/>
          <w:u w:val="single" w:color="auto"/>
          <w:lang w:val="en-US" w:eastAsia="zh-CN"/>
        </w:rPr>
        <w:t>6</w:t>
      </w:r>
      <w:r>
        <w:rPr>
          <w:rFonts w:ascii="宋体" w:hAnsi="宋体" w:eastAsia="宋体" w:cs="宋体"/>
          <w:spacing w:val="-22"/>
          <w:sz w:val="21"/>
          <w:szCs w:val="21"/>
        </w:rPr>
        <w:t>月</w:t>
      </w:r>
      <w:r>
        <w:rPr>
          <w:rFonts w:hint="eastAsia" w:ascii="宋体" w:hAnsi="宋体" w:eastAsia="宋体" w:cs="宋体"/>
          <w:spacing w:val="17"/>
          <w:sz w:val="21"/>
          <w:szCs w:val="21"/>
          <w:u w:val="single" w:color="auto"/>
          <w:lang w:val="en-US" w:eastAsia="zh-CN"/>
        </w:rPr>
        <w:t>11</w:t>
      </w:r>
      <w:r>
        <w:rPr>
          <w:rFonts w:ascii="宋体" w:hAnsi="宋体" w:eastAsia="宋体" w:cs="宋体"/>
          <w:spacing w:val="-58"/>
          <w:sz w:val="21"/>
          <w:szCs w:val="21"/>
        </w:rPr>
        <w:t xml:space="preserve"> </w:t>
      </w:r>
      <w:r>
        <w:rPr>
          <w:rFonts w:ascii="宋体" w:hAnsi="宋体" w:eastAsia="宋体" w:cs="宋体"/>
          <w:spacing w:val="-22"/>
          <w:sz w:val="21"/>
          <w:szCs w:val="21"/>
        </w:rPr>
        <w:t>日</w:t>
      </w:r>
    </w:p>
    <w:p w14:paraId="535D1FC5">
      <w:pPr>
        <w:spacing w:line="186" w:lineRule="auto"/>
        <w:rPr>
          <w:rFonts w:ascii="宋体" w:hAnsi="宋体" w:eastAsia="宋体" w:cs="宋体"/>
          <w:sz w:val="21"/>
          <w:szCs w:val="21"/>
        </w:rPr>
        <w:sectPr>
          <w:type w:val="continuous"/>
          <w:pgSz w:w="11905" w:h="16839"/>
          <w:pgMar w:top="1431" w:right="1785" w:bottom="1036" w:left="1785" w:header="0" w:footer="847" w:gutter="0"/>
          <w:pgNumType w:fmt="decimal"/>
          <w:cols w:equalWidth="0" w:num="1">
            <w:col w:w="8333"/>
          </w:cols>
        </w:sectPr>
      </w:pPr>
    </w:p>
    <w:p w14:paraId="050DBE88">
      <w:pPr>
        <w:spacing w:line="186" w:lineRule="auto"/>
        <w:rPr>
          <w:rFonts w:ascii="宋体" w:hAnsi="宋体" w:eastAsia="宋体" w:cs="宋体"/>
          <w:sz w:val="21"/>
          <w:szCs w:val="21"/>
        </w:rPr>
        <w:sectPr>
          <w:footerReference r:id="rId15" w:type="default"/>
          <w:type w:val="continuous"/>
          <w:pgSz w:w="11905" w:h="16839"/>
          <w:pgMar w:top="1431" w:right="1785" w:bottom="1033" w:left="1785" w:header="0" w:footer="847" w:gutter="0"/>
          <w:pgNumType w:fmt="decimal"/>
          <w:cols w:equalWidth="0" w:num="1">
            <w:col w:w="8333"/>
          </w:cols>
        </w:sectPr>
      </w:pPr>
      <w:bookmarkStart w:id="11" w:name="bookmark27"/>
      <w:bookmarkEnd w:id="11"/>
      <w:bookmarkStart w:id="12" w:name="bookmark26"/>
      <w:bookmarkEnd w:id="12"/>
      <w:bookmarkStart w:id="13" w:name="bookmark28"/>
      <w:bookmarkEnd w:id="13"/>
      <w:bookmarkStart w:id="14" w:name="bookmark24"/>
      <w:bookmarkEnd w:id="14"/>
      <w:bookmarkStart w:id="15" w:name="bookmark29"/>
      <w:bookmarkEnd w:id="15"/>
      <w:bookmarkStart w:id="16" w:name="bookmark25"/>
      <w:bookmarkEnd w:id="16"/>
    </w:p>
    <w:p w14:paraId="030D05CC">
      <w:pPr>
        <w:pStyle w:val="3"/>
        <w:spacing w:line="244" w:lineRule="auto"/>
      </w:pPr>
    </w:p>
    <w:p w14:paraId="0D9AB790">
      <w:pPr>
        <w:pStyle w:val="3"/>
        <w:spacing w:line="244" w:lineRule="auto"/>
      </w:pPr>
    </w:p>
    <w:p w14:paraId="47E90745">
      <w:pPr>
        <w:pStyle w:val="3"/>
        <w:spacing w:line="244" w:lineRule="auto"/>
      </w:pPr>
    </w:p>
    <w:p w14:paraId="28B262DB">
      <w:pPr>
        <w:pStyle w:val="3"/>
        <w:spacing w:line="244" w:lineRule="auto"/>
      </w:pPr>
    </w:p>
    <w:p w14:paraId="6C4D814E">
      <w:pPr>
        <w:pStyle w:val="3"/>
        <w:spacing w:line="244" w:lineRule="auto"/>
      </w:pPr>
    </w:p>
    <w:p w14:paraId="5DFC6491">
      <w:pPr>
        <w:pStyle w:val="3"/>
        <w:spacing w:line="244" w:lineRule="auto"/>
      </w:pPr>
    </w:p>
    <w:p w14:paraId="0EB498B2">
      <w:pPr>
        <w:pStyle w:val="3"/>
        <w:spacing w:line="244" w:lineRule="auto"/>
      </w:pPr>
    </w:p>
    <w:p w14:paraId="7E305A5A">
      <w:pPr>
        <w:pStyle w:val="3"/>
        <w:spacing w:line="244" w:lineRule="auto"/>
      </w:pPr>
    </w:p>
    <w:p w14:paraId="1D51D8F6">
      <w:pPr>
        <w:pStyle w:val="3"/>
        <w:spacing w:line="244" w:lineRule="auto"/>
      </w:pPr>
    </w:p>
    <w:p w14:paraId="2C35128E">
      <w:pPr>
        <w:pStyle w:val="3"/>
        <w:spacing w:line="244" w:lineRule="auto"/>
      </w:pPr>
    </w:p>
    <w:p w14:paraId="49DA7B7F">
      <w:pPr>
        <w:pStyle w:val="3"/>
        <w:spacing w:line="244" w:lineRule="auto"/>
      </w:pPr>
    </w:p>
    <w:p w14:paraId="624506E9">
      <w:pPr>
        <w:pStyle w:val="3"/>
        <w:spacing w:line="244" w:lineRule="auto"/>
      </w:pPr>
    </w:p>
    <w:p w14:paraId="77AB5568">
      <w:pPr>
        <w:pStyle w:val="3"/>
        <w:spacing w:line="245" w:lineRule="auto"/>
      </w:pPr>
    </w:p>
    <w:p w14:paraId="14C0674A">
      <w:pPr>
        <w:pStyle w:val="3"/>
        <w:spacing w:line="245" w:lineRule="auto"/>
      </w:pPr>
    </w:p>
    <w:p w14:paraId="352E1B8B">
      <w:pPr>
        <w:pStyle w:val="3"/>
        <w:spacing w:line="245" w:lineRule="auto"/>
      </w:pPr>
    </w:p>
    <w:p w14:paraId="256D42DA">
      <w:pPr>
        <w:spacing w:before="104" w:line="219" w:lineRule="auto"/>
        <w:ind w:left="2740"/>
        <w:rPr>
          <w:rFonts w:ascii="黑体" w:hAnsi="黑体" w:eastAsia="黑体" w:cs="黑体"/>
          <w:sz w:val="32"/>
          <w:szCs w:val="32"/>
        </w:rPr>
      </w:pPr>
      <w:bookmarkStart w:id="17" w:name="bookmark44"/>
      <w:bookmarkEnd w:id="17"/>
      <w:bookmarkStart w:id="18" w:name="bookmark41"/>
      <w:bookmarkEnd w:id="18"/>
      <w:bookmarkStart w:id="19" w:name="bookmark43"/>
      <w:bookmarkEnd w:id="19"/>
      <w:bookmarkStart w:id="20" w:name="bookmark42"/>
      <w:bookmarkEnd w:id="20"/>
      <w:r>
        <w:rPr>
          <w:rFonts w:ascii="黑体" w:hAnsi="黑体" w:eastAsia="黑体" w:cs="黑体"/>
          <w:spacing w:val="-1"/>
          <w:sz w:val="32"/>
          <w:szCs w:val="32"/>
        </w:rPr>
        <w:t>第二章  投标人须知</w:t>
      </w:r>
    </w:p>
    <w:p w14:paraId="4131E710">
      <w:pPr>
        <w:spacing w:line="219" w:lineRule="auto"/>
        <w:rPr>
          <w:rFonts w:ascii="黑体" w:hAnsi="黑体" w:eastAsia="黑体" w:cs="黑体"/>
          <w:sz w:val="32"/>
          <w:szCs w:val="32"/>
        </w:rPr>
        <w:sectPr>
          <w:footerReference r:id="rId16" w:type="default"/>
          <w:pgSz w:w="11905" w:h="16839"/>
          <w:pgMar w:top="1431" w:right="1785" w:bottom="1036" w:left="1785" w:header="0" w:footer="847" w:gutter="0"/>
          <w:pgNumType w:fmt="decimal"/>
          <w:cols w:space="720" w:num="1"/>
        </w:sectPr>
      </w:pPr>
    </w:p>
    <w:p w14:paraId="47994CAC">
      <w:pPr>
        <w:spacing w:before="64" w:line="219" w:lineRule="auto"/>
        <w:ind w:left="2783"/>
        <w:rPr>
          <w:rFonts w:ascii="黑体" w:hAnsi="黑体" w:eastAsia="黑体" w:cs="黑体"/>
          <w:sz w:val="32"/>
          <w:szCs w:val="32"/>
        </w:rPr>
      </w:pPr>
      <w:bookmarkStart w:id="21" w:name="bookmark47"/>
      <w:bookmarkEnd w:id="21"/>
      <w:bookmarkStart w:id="22" w:name="bookmark49"/>
      <w:bookmarkEnd w:id="22"/>
      <w:bookmarkStart w:id="23" w:name="bookmark45"/>
      <w:bookmarkEnd w:id="23"/>
      <w:bookmarkStart w:id="24" w:name="bookmark48"/>
      <w:bookmarkEnd w:id="24"/>
      <w:bookmarkStart w:id="25" w:name="bookmark46"/>
      <w:bookmarkEnd w:id="25"/>
      <w:r>
        <w:rPr>
          <w:rFonts w:ascii="黑体" w:hAnsi="黑体" w:eastAsia="黑体" w:cs="黑体"/>
          <w:spacing w:val="-1"/>
          <w:sz w:val="32"/>
          <w:szCs w:val="32"/>
        </w:rPr>
        <w:t>第二章  投标人须知</w:t>
      </w:r>
    </w:p>
    <w:p w14:paraId="6205BC78">
      <w:pPr>
        <w:spacing w:before="176" w:line="219" w:lineRule="auto"/>
        <w:ind w:left="3096"/>
        <w:rPr>
          <w:rFonts w:ascii="黑体" w:hAnsi="黑体" w:eastAsia="黑体" w:cs="黑体"/>
          <w:sz w:val="27"/>
          <w:szCs w:val="27"/>
        </w:rPr>
      </w:pPr>
      <w:r>
        <w:rPr>
          <w:rFonts w:ascii="黑体" w:hAnsi="黑体" w:eastAsia="黑体" w:cs="黑体"/>
          <w:spacing w:val="8"/>
          <w:sz w:val="27"/>
          <w:szCs w:val="27"/>
        </w:rPr>
        <w:t>投标人须知前附表</w:t>
      </w:r>
    </w:p>
    <w:tbl>
      <w:tblPr>
        <w:tblStyle w:val="10"/>
        <w:tblW w:w="842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54"/>
        <w:gridCol w:w="2121"/>
        <w:gridCol w:w="5447"/>
      </w:tblGrid>
      <w:tr w14:paraId="0C7E49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1" w:hRule="atLeast"/>
        </w:trPr>
        <w:tc>
          <w:tcPr>
            <w:tcW w:w="854" w:type="dxa"/>
            <w:vAlign w:val="top"/>
          </w:tcPr>
          <w:p w14:paraId="4AC4B18C">
            <w:pPr>
              <w:pStyle w:val="11"/>
              <w:spacing w:before="212" w:line="221" w:lineRule="auto"/>
              <w:ind w:left="115"/>
            </w:pPr>
            <w:r>
              <w:rPr>
                <w:spacing w:val="-2"/>
                <w14:textOutline w14:w="3831" w14:cap="flat" w14:cmpd="sng">
                  <w14:solidFill>
                    <w14:srgbClr w14:val="000000"/>
                  </w14:solidFill>
                  <w14:prstDash w14:val="solid"/>
                  <w14:miter w14:val="0"/>
                </w14:textOutline>
              </w:rPr>
              <w:t>条款号</w:t>
            </w:r>
          </w:p>
        </w:tc>
        <w:tc>
          <w:tcPr>
            <w:tcW w:w="2121" w:type="dxa"/>
            <w:vAlign w:val="top"/>
          </w:tcPr>
          <w:p w14:paraId="4A55FBA5">
            <w:pPr>
              <w:pStyle w:val="11"/>
              <w:spacing w:before="212" w:line="221" w:lineRule="auto"/>
              <w:ind w:left="491"/>
            </w:pPr>
            <w:r>
              <w:rPr>
                <w:spacing w:val="-5"/>
                <w14:textOutline w14:w="3831" w14:cap="flat" w14:cmpd="sng">
                  <w14:solidFill>
                    <w14:srgbClr w14:val="000000"/>
                  </w14:solidFill>
                  <w14:prstDash w14:val="solid"/>
                  <w14:miter w14:val="0"/>
                </w14:textOutline>
              </w:rPr>
              <w:t>条</w:t>
            </w:r>
            <w:r>
              <w:rPr>
                <w:spacing w:val="10"/>
              </w:rPr>
              <w:t xml:space="preserve"> </w:t>
            </w:r>
            <w:r>
              <w:rPr>
                <w:spacing w:val="-5"/>
                <w14:textOutline w14:w="3831" w14:cap="flat" w14:cmpd="sng">
                  <w14:solidFill>
                    <w14:srgbClr w14:val="000000"/>
                  </w14:solidFill>
                  <w14:prstDash w14:val="solid"/>
                  <w14:miter w14:val="0"/>
                </w14:textOutline>
              </w:rPr>
              <w:t>款</w:t>
            </w:r>
            <w:r>
              <w:rPr>
                <w:spacing w:val="12"/>
              </w:rPr>
              <w:t xml:space="preserve"> </w:t>
            </w:r>
            <w:r>
              <w:rPr>
                <w:spacing w:val="-5"/>
                <w14:textOutline w14:w="3831" w14:cap="flat" w14:cmpd="sng">
                  <w14:solidFill>
                    <w14:srgbClr w14:val="000000"/>
                  </w14:solidFill>
                  <w14:prstDash w14:val="solid"/>
                  <w14:miter w14:val="0"/>
                </w14:textOutline>
              </w:rPr>
              <w:t>名</w:t>
            </w:r>
            <w:r>
              <w:rPr>
                <w:spacing w:val="-5"/>
              </w:rPr>
              <w:t xml:space="preserve"> </w:t>
            </w:r>
            <w:r>
              <w:rPr>
                <w:spacing w:val="-5"/>
                <w14:textOutline w14:w="3831" w14:cap="flat" w14:cmpd="sng">
                  <w14:solidFill>
                    <w14:srgbClr w14:val="000000"/>
                  </w14:solidFill>
                  <w14:prstDash w14:val="solid"/>
                  <w14:miter w14:val="0"/>
                </w14:textOutline>
              </w:rPr>
              <w:t>称</w:t>
            </w:r>
          </w:p>
        </w:tc>
        <w:tc>
          <w:tcPr>
            <w:tcW w:w="5447" w:type="dxa"/>
            <w:vAlign w:val="top"/>
          </w:tcPr>
          <w:p w14:paraId="6D2F1F3B">
            <w:pPr>
              <w:pStyle w:val="11"/>
              <w:spacing w:before="212" w:line="221" w:lineRule="auto"/>
              <w:ind w:left="2149"/>
            </w:pPr>
            <w:r>
              <w:rPr>
                <w:spacing w:val="-14"/>
                <w14:textOutline w14:w="3831" w14:cap="flat" w14:cmpd="sng">
                  <w14:solidFill>
                    <w14:srgbClr w14:val="000000"/>
                  </w14:solidFill>
                  <w14:prstDash w14:val="solid"/>
                  <w14:miter w14:val="0"/>
                </w14:textOutline>
              </w:rPr>
              <w:t>编</w:t>
            </w:r>
            <w:r>
              <w:rPr>
                <w:spacing w:val="15"/>
              </w:rPr>
              <w:t xml:space="preserve"> </w:t>
            </w:r>
            <w:r>
              <w:rPr>
                <w:spacing w:val="-14"/>
                <w14:textOutline w14:w="3831" w14:cap="flat" w14:cmpd="sng">
                  <w14:solidFill>
                    <w14:srgbClr w14:val="000000"/>
                  </w14:solidFill>
                  <w14:prstDash w14:val="solid"/>
                  <w14:miter w14:val="0"/>
                </w14:textOutline>
              </w:rPr>
              <w:t>列</w:t>
            </w:r>
            <w:r>
              <w:rPr>
                <w:spacing w:val="34"/>
              </w:rPr>
              <w:t xml:space="preserve"> </w:t>
            </w:r>
            <w:r>
              <w:rPr>
                <w:spacing w:val="-14"/>
                <w14:textOutline w14:w="3831" w14:cap="flat" w14:cmpd="sng">
                  <w14:solidFill>
                    <w14:srgbClr w14:val="000000"/>
                  </w14:solidFill>
                  <w14:prstDash w14:val="solid"/>
                  <w14:miter w14:val="0"/>
                </w14:textOutline>
              </w:rPr>
              <w:t>内</w:t>
            </w:r>
            <w:r>
              <w:rPr>
                <w:spacing w:val="7"/>
              </w:rPr>
              <w:t xml:space="preserve"> </w:t>
            </w:r>
            <w:r>
              <w:rPr>
                <w:spacing w:val="-14"/>
                <w14:textOutline w14:w="3831" w14:cap="flat" w14:cmpd="sng">
                  <w14:solidFill>
                    <w14:srgbClr w14:val="000000"/>
                  </w14:solidFill>
                  <w14:prstDash w14:val="solid"/>
                  <w14:miter w14:val="0"/>
                </w14:textOutline>
              </w:rPr>
              <w:t>容</w:t>
            </w:r>
          </w:p>
        </w:tc>
      </w:tr>
      <w:tr w14:paraId="25BAC5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41" w:hRule="atLeast"/>
        </w:trPr>
        <w:tc>
          <w:tcPr>
            <w:tcW w:w="854" w:type="dxa"/>
            <w:vAlign w:val="top"/>
          </w:tcPr>
          <w:p w14:paraId="6BABA996">
            <w:pPr>
              <w:spacing w:line="250" w:lineRule="auto"/>
              <w:rPr>
                <w:rFonts w:ascii="Arial"/>
                <w:sz w:val="21"/>
              </w:rPr>
            </w:pPr>
          </w:p>
          <w:p w14:paraId="6E315104">
            <w:pPr>
              <w:spacing w:line="250" w:lineRule="auto"/>
              <w:rPr>
                <w:rFonts w:ascii="Arial"/>
                <w:sz w:val="21"/>
              </w:rPr>
            </w:pPr>
          </w:p>
          <w:p w14:paraId="3A6668D9">
            <w:pPr>
              <w:spacing w:line="251" w:lineRule="auto"/>
              <w:rPr>
                <w:rFonts w:ascii="Arial"/>
                <w:sz w:val="21"/>
              </w:rPr>
            </w:pPr>
          </w:p>
          <w:p w14:paraId="2E702A93">
            <w:pPr>
              <w:spacing w:line="251" w:lineRule="auto"/>
              <w:rPr>
                <w:rFonts w:ascii="Arial"/>
                <w:sz w:val="21"/>
              </w:rPr>
            </w:pPr>
          </w:p>
          <w:p w14:paraId="31AB143D">
            <w:pPr>
              <w:spacing w:before="60" w:line="189" w:lineRule="auto"/>
              <w:ind w:left="236"/>
              <w:rPr>
                <w:rFonts w:ascii="Times New Roman" w:hAnsi="Times New Roman" w:eastAsia="Times New Roman" w:cs="Times New Roman"/>
                <w:sz w:val="21"/>
                <w:szCs w:val="21"/>
              </w:rPr>
            </w:pPr>
            <w:r>
              <w:rPr>
                <w:rFonts w:ascii="Times New Roman" w:hAnsi="Times New Roman" w:eastAsia="Times New Roman" w:cs="Times New Roman"/>
                <w:spacing w:val="-4"/>
                <w:sz w:val="21"/>
                <w:szCs w:val="21"/>
              </w:rPr>
              <w:t>1.1.2</w:t>
            </w:r>
          </w:p>
        </w:tc>
        <w:tc>
          <w:tcPr>
            <w:tcW w:w="2121" w:type="dxa"/>
            <w:vAlign w:val="top"/>
          </w:tcPr>
          <w:p w14:paraId="22FCACFA">
            <w:pPr>
              <w:spacing w:line="319" w:lineRule="auto"/>
              <w:rPr>
                <w:rFonts w:ascii="Arial"/>
                <w:sz w:val="21"/>
              </w:rPr>
            </w:pPr>
          </w:p>
          <w:p w14:paraId="770AB8BA">
            <w:pPr>
              <w:spacing w:line="319" w:lineRule="auto"/>
              <w:rPr>
                <w:rFonts w:ascii="Arial"/>
                <w:sz w:val="21"/>
              </w:rPr>
            </w:pPr>
          </w:p>
          <w:p w14:paraId="49CF4FE6">
            <w:pPr>
              <w:spacing w:line="320" w:lineRule="auto"/>
              <w:rPr>
                <w:rFonts w:ascii="Arial"/>
                <w:sz w:val="21"/>
              </w:rPr>
            </w:pPr>
          </w:p>
          <w:p w14:paraId="6DEEA79E">
            <w:pPr>
              <w:pStyle w:val="11"/>
              <w:spacing w:before="69" w:line="221" w:lineRule="auto"/>
              <w:ind w:left="754"/>
            </w:pPr>
            <w:r>
              <w:rPr>
                <w:spacing w:val="-2"/>
              </w:rPr>
              <w:t>招标人</w:t>
            </w:r>
          </w:p>
        </w:tc>
        <w:tc>
          <w:tcPr>
            <w:tcW w:w="5447" w:type="dxa"/>
            <w:vAlign w:val="top"/>
          </w:tcPr>
          <w:p w14:paraId="20FC66B2">
            <w:pPr>
              <w:pStyle w:val="11"/>
              <w:spacing w:before="72" w:line="240" w:lineRule="auto"/>
              <w:ind w:left="113"/>
              <w:rPr>
                <w:rFonts w:hint="eastAsia" w:ascii="宋体" w:hAnsi="宋体" w:eastAsia="宋体" w:cs="宋体"/>
                <w:spacing w:val="4"/>
                <w:lang w:eastAsia="zh-CN"/>
              </w:rPr>
            </w:pPr>
            <w:r>
              <w:rPr>
                <w:rFonts w:ascii="宋体" w:hAnsi="宋体" w:eastAsia="宋体" w:cs="宋体"/>
                <w:spacing w:val="4"/>
              </w:rPr>
              <w:t>名  称：</w:t>
            </w:r>
            <w:r>
              <w:rPr>
                <w:rFonts w:hint="eastAsia" w:cs="宋体"/>
                <w:spacing w:val="4"/>
                <w:lang w:eastAsia="zh-CN"/>
              </w:rPr>
              <w:t>营口市公共设施维护中心</w:t>
            </w:r>
          </w:p>
          <w:p w14:paraId="56B9852A">
            <w:pPr>
              <w:pStyle w:val="11"/>
              <w:spacing w:before="72" w:line="240" w:lineRule="auto"/>
              <w:ind w:left="113"/>
              <w:rPr>
                <w:rFonts w:hint="eastAsia" w:ascii="宋体" w:hAnsi="宋体" w:eastAsia="宋体" w:cs="宋体"/>
                <w:spacing w:val="4"/>
                <w:lang w:eastAsia="zh-CN"/>
              </w:rPr>
            </w:pPr>
            <w:r>
              <w:rPr>
                <w:rFonts w:ascii="宋体" w:hAnsi="宋体" w:eastAsia="宋体" w:cs="宋体"/>
                <w:spacing w:val="4"/>
              </w:rPr>
              <w:t>地  址：</w:t>
            </w:r>
            <w:r>
              <w:rPr>
                <w:rFonts w:hint="eastAsia" w:ascii="仿宋_GB2312" w:eastAsia="仿宋_GB2312"/>
                <w:color w:val="0000FF"/>
                <w:sz w:val="24"/>
                <w:szCs w:val="24"/>
                <w:highlight w:val="white"/>
                <w:lang w:eastAsia="zh-CN"/>
              </w:rPr>
              <w:t>营口市站前区东风路</w:t>
            </w:r>
            <w:r>
              <w:rPr>
                <w:rFonts w:hint="eastAsia" w:ascii="仿宋_GB2312" w:eastAsia="仿宋_GB2312"/>
                <w:color w:val="0000FF"/>
                <w:sz w:val="24"/>
                <w:szCs w:val="24"/>
                <w:highlight w:val="white"/>
                <w:lang w:val="en-US" w:eastAsia="zh-CN"/>
              </w:rPr>
              <w:t>1</w:t>
            </w:r>
            <w:r>
              <w:rPr>
                <w:rFonts w:hint="eastAsia" w:ascii="仿宋_GB2312" w:eastAsia="仿宋_GB2312"/>
                <w:color w:val="0000FF"/>
                <w:sz w:val="24"/>
                <w:szCs w:val="24"/>
                <w:highlight w:val="white"/>
                <w:lang w:eastAsia="zh-CN"/>
              </w:rPr>
              <w:t>号</w:t>
            </w:r>
          </w:p>
          <w:p w14:paraId="178D0C7B">
            <w:pPr>
              <w:pStyle w:val="11"/>
              <w:spacing w:before="72" w:line="240" w:lineRule="auto"/>
              <w:ind w:left="113"/>
              <w:rPr>
                <w:rFonts w:hint="eastAsia" w:ascii="宋体" w:hAnsi="宋体" w:eastAsia="宋体" w:cs="宋体"/>
                <w:spacing w:val="4"/>
                <w:lang w:eastAsia="zh-CN"/>
              </w:rPr>
            </w:pPr>
            <w:r>
              <w:rPr>
                <w:rFonts w:ascii="宋体" w:hAnsi="宋体" w:eastAsia="宋体" w:cs="宋体"/>
                <w:spacing w:val="4"/>
              </w:rPr>
              <w:t>联系人：</w:t>
            </w:r>
            <w:r>
              <w:rPr>
                <w:rFonts w:hint="eastAsia" w:cs="宋体"/>
                <w:spacing w:val="4"/>
                <w:lang w:eastAsia="zh-CN"/>
              </w:rPr>
              <w:t>李琛</w:t>
            </w:r>
          </w:p>
          <w:p w14:paraId="4B31946E">
            <w:pPr>
              <w:pStyle w:val="11"/>
              <w:spacing w:before="72" w:line="240" w:lineRule="auto"/>
              <w:ind w:left="113"/>
              <w:rPr>
                <w:rFonts w:hint="eastAsia" w:ascii="宋体" w:hAnsi="宋体" w:eastAsia="宋体" w:cs="宋体"/>
                <w:spacing w:val="4"/>
                <w:lang w:eastAsia="zh-CN"/>
              </w:rPr>
            </w:pPr>
            <w:r>
              <w:rPr>
                <w:rFonts w:ascii="宋体" w:hAnsi="宋体" w:eastAsia="宋体" w:cs="宋体"/>
                <w:spacing w:val="4"/>
              </w:rPr>
              <w:t>电  话：</w:t>
            </w:r>
            <w:r>
              <w:rPr>
                <w:rFonts w:hint="eastAsia" w:cs="宋体"/>
                <w:spacing w:val="4"/>
                <w:lang w:eastAsia="zh-CN"/>
              </w:rPr>
              <w:t>0417-2876502</w:t>
            </w:r>
          </w:p>
          <w:p w14:paraId="7AE7436E">
            <w:pPr>
              <w:pStyle w:val="11"/>
              <w:spacing w:before="72" w:line="240" w:lineRule="auto"/>
              <w:ind w:left="113"/>
              <w:rPr>
                <w:rFonts w:ascii="宋体" w:hAnsi="宋体" w:eastAsia="宋体" w:cs="宋体"/>
                <w:spacing w:val="4"/>
              </w:rPr>
            </w:pPr>
            <w:r>
              <w:rPr>
                <w:rFonts w:ascii="宋体" w:hAnsi="宋体" w:eastAsia="宋体" w:cs="宋体"/>
                <w:spacing w:val="4"/>
              </w:rPr>
              <w:t>电子邮件：</w:t>
            </w:r>
          </w:p>
          <w:p w14:paraId="1720FC40">
            <w:pPr>
              <w:pStyle w:val="11"/>
              <w:spacing w:before="72" w:line="240" w:lineRule="auto"/>
              <w:ind w:left="113"/>
              <w:rPr>
                <w:rFonts w:ascii="宋体" w:hAnsi="宋体" w:eastAsia="宋体" w:cs="宋体"/>
                <w:spacing w:val="4"/>
              </w:rPr>
            </w:pPr>
            <w:r>
              <w:rPr>
                <w:rFonts w:ascii="宋体" w:hAnsi="宋体" w:eastAsia="宋体" w:cs="宋体"/>
                <w:spacing w:val="4"/>
              </w:rPr>
              <w:t>项目负责人姓名及联系方式：</w:t>
            </w:r>
          </w:p>
          <w:p w14:paraId="117DA5A4">
            <w:pPr>
              <w:pStyle w:val="11"/>
              <w:spacing w:before="72" w:line="240" w:lineRule="auto"/>
              <w:ind w:left="113"/>
              <w:rPr>
                <w:rFonts w:hint="eastAsia" w:eastAsia="宋体"/>
                <w:lang w:eastAsia="zh-CN"/>
              </w:rPr>
            </w:pPr>
            <w:r>
              <w:rPr>
                <w:rFonts w:ascii="宋体" w:hAnsi="宋体" w:eastAsia="宋体" w:cs="宋体"/>
                <w:spacing w:val="4"/>
              </w:rPr>
              <w:t>姓名：</w:t>
            </w:r>
            <w:r>
              <w:rPr>
                <w:rFonts w:hint="eastAsia" w:cs="宋体"/>
                <w:spacing w:val="4"/>
                <w:lang w:eastAsia="zh-CN"/>
              </w:rPr>
              <w:t>李琛</w:t>
            </w:r>
            <w:r>
              <w:rPr>
                <w:rFonts w:ascii="宋体" w:hAnsi="宋体" w:eastAsia="宋体" w:cs="宋体"/>
                <w:spacing w:val="4"/>
              </w:rPr>
              <w:t xml:space="preserve">   电话：</w:t>
            </w:r>
            <w:r>
              <w:rPr>
                <w:rFonts w:hint="eastAsia" w:cs="宋体"/>
                <w:spacing w:val="4"/>
                <w:lang w:eastAsia="zh-CN"/>
              </w:rPr>
              <w:t>0417-2876502</w:t>
            </w:r>
          </w:p>
        </w:tc>
      </w:tr>
      <w:tr w14:paraId="654982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46" w:hRule="atLeast"/>
        </w:trPr>
        <w:tc>
          <w:tcPr>
            <w:tcW w:w="854" w:type="dxa"/>
            <w:vAlign w:val="top"/>
          </w:tcPr>
          <w:p w14:paraId="601C169F">
            <w:pPr>
              <w:spacing w:line="252" w:lineRule="auto"/>
              <w:rPr>
                <w:rFonts w:ascii="Arial"/>
                <w:sz w:val="21"/>
              </w:rPr>
            </w:pPr>
          </w:p>
          <w:p w14:paraId="74C5092D">
            <w:pPr>
              <w:spacing w:line="252" w:lineRule="auto"/>
              <w:rPr>
                <w:rFonts w:ascii="Arial"/>
                <w:sz w:val="21"/>
              </w:rPr>
            </w:pPr>
          </w:p>
          <w:p w14:paraId="5058B4CA">
            <w:pPr>
              <w:spacing w:line="252" w:lineRule="auto"/>
              <w:rPr>
                <w:rFonts w:ascii="Arial"/>
                <w:sz w:val="21"/>
              </w:rPr>
            </w:pPr>
          </w:p>
          <w:p w14:paraId="292A7E63">
            <w:pPr>
              <w:spacing w:line="252" w:lineRule="auto"/>
              <w:rPr>
                <w:rFonts w:ascii="Arial"/>
                <w:sz w:val="21"/>
              </w:rPr>
            </w:pPr>
          </w:p>
          <w:p w14:paraId="20B0F53F">
            <w:pPr>
              <w:spacing w:before="61" w:line="189" w:lineRule="auto"/>
              <w:ind w:left="236"/>
              <w:rPr>
                <w:rFonts w:ascii="Times New Roman" w:hAnsi="Times New Roman" w:eastAsia="Times New Roman" w:cs="Times New Roman"/>
                <w:sz w:val="21"/>
                <w:szCs w:val="21"/>
              </w:rPr>
            </w:pPr>
            <w:r>
              <w:rPr>
                <w:rFonts w:ascii="Times New Roman" w:hAnsi="Times New Roman" w:eastAsia="Times New Roman" w:cs="Times New Roman"/>
                <w:spacing w:val="-4"/>
                <w:sz w:val="21"/>
                <w:szCs w:val="21"/>
              </w:rPr>
              <w:t>1.1.3</w:t>
            </w:r>
          </w:p>
        </w:tc>
        <w:tc>
          <w:tcPr>
            <w:tcW w:w="2121" w:type="dxa"/>
            <w:vAlign w:val="top"/>
          </w:tcPr>
          <w:p w14:paraId="6E4F784F">
            <w:pPr>
              <w:spacing w:line="241" w:lineRule="auto"/>
              <w:rPr>
                <w:rFonts w:ascii="Arial"/>
                <w:sz w:val="21"/>
              </w:rPr>
            </w:pPr>
          </w:p>
          <w:p w14:paraId="0D42DE52">
            <w:pPr>
              <w:spacing w:line="241" w:lineRule="auto"/>
              <w:rPr>
                <w:rFonts w:ascii="Arial"/>
                <w:sz w:val="21"/>
              </w:rPr>
            </w:pPr>
          </w:p>
          <w:p w14:paraId="599CD74F">
            <w:pPr>
              <w:spacing w:line="241" w:lineRule="auto"/>
              <w:rPr>
                <w:rFonts w:ascii="Arial"/>
                <w:sz w:val="21"/>
              </w:rPr>
            </w:pPr>
          </w:p>
          <w:p w14:paraId="34459DFE">
            <w:pPr>
              <w:spacing w:line="241" w:lineRule="auto"/>
              <w:rPr>
                <w:rFonts w:ascii="Arial"/>
                <w:sz w:val="21"/>
              </w:rPr>
            </w:pPr>
          </w:p>
          <w:p w14:paraId="3B80A334">
            <w:pPr>
              <w:pStyle w:val="11"/>
              <w:spacing w:before="68" w:line="220" w:lineRule="auto"/>
              <w:ind w:left="437"/>
            </w:pPr>
            <w:r>
              <w:rPr>
                <w:spacing w:val="-1"/>
              </w:rPr>
              <w:t>招标代理机构</w:t>
            </w:r>
          </w:p>
        </w:tc>
        <w:tc>
          <w:tcPr>
            <w:tcW w:w="5447" w:type="dxa"/>
            <w:vAlign w:val="top"/>
          </w:tcPr>
          <w:p w14:paraId="2C5C34C2">
            <w:pPr>
              <w:pStyle w:val="11"/>
              <w:spacing w:before="72" w:line="240" w:lineRule="auto"/>
              <w:ind w:left="113"/>
              <w:rPr>
                <w:rFonts w:hint="eastAsia" w:ascii="宋体" w:hAnsi="宋体" w:eastAsia="宋体" w:cs="宋体"/>
                <w:spacing w:val="4"/>
                <w:lang w:eastAsia="zh-CN"/>
              </w:rPr>
            </w:pPr>
            <w:r>
              <w:rPr>
                <w:rFonts w:ascii="宋体" w:hAnsi="宋体" w:eastAsia="宋体" w:cs="宋体"/>
                <w:spacing w:val="4"/>
              </w:rPr>
              <w:t>名  称：</w:t>
            </w:r>
            <w:r>
              <w:rPr>
                <w:rFonts w:hint="eastAsia" w:cs="宋体"/>
                <w:spacing w:val="4"/>
                <w:lang w:eastAsia="zh-CN"/>
              </w:rPr>
              <w:t>沈阳招标中心有限公司</w:t>
            </w:r>
          </w:p>
          <w:p w14:paraId="1D819DA0">
            <w:pPr>
              <w:pStyle w:val="11"/>
              <w:spacing w:before="72" w:line="240" w:lineRule="auto"/>
              <w:ind w:left="113"/>
              <w:rPr>
                <w:rFonts w:hint="eastAsia" w:ascii="宋体" w:hAnsi="宋体" w:eastAsia="宋体" w:cs="宋体"/>
                <w:spacing w:val="4"/>
                <w:lang w:eastAsia="zh-CN"/>
              </w:rPr>
            </w:pPr>
            <w:r>
              <w:rPr>
                <w:rFonts w:ascii="宋体" w:hAnsi="宋体" w:eastAsia="宋体" w:cs="宋体"/>
                <w:spacing w:val="4"/>
              </w:rPr>
              <w:t>地  址：</w:t>
            </w:r>
            <w:r>
              <w:rPr>
                <w:rFonts w:hint="eastAsia" w:cs="宋体"/>
                <w:spacing w:val="4"/>
                <w:lang w:eastAsia="zh-CN"/>
              </w:rPr>
              <w:t>沈阳市和平区绥化东街2号</w:t>
            </w:r>
          </w:p>
          <w:p w14:paraId="2C6F0C80">
            <w:pPr>
              <w:pStyle w:val="11"/>
              <w:spacing w:before="72" w:line="240" w:lineRule="auto"/>
              <w:ind w:left="113"/>
              <w:rPr>
                <w:rFonts w:hint="eastAsia" w:ascii="宋体" w:hAnsi="宋体" w:eastAsia="宋体" w:cs="宋体"/>
                <w:spacing w:val="4"/>
              </w:rPr>
            </w:pPr>
            <w:r>
              <w:rPr>
                <w:rFonts w:ascii="宋体" w:hAnsi="宋体" w:eastAsia="宋体" w:cs="宋体"/>
                <w:spacing w:val="4"/>
              </w:rPr>
              <w:t>联系人：</w:t>
            </w:r>
            <w:r>
              <w:rPr>
                <w:rFonts w:hint="eastAsia" w:cs="宋体"/>
                <w:spacing w:val="4"/>
                <w:lang w:eastAsia="zh-CN"/>
              </w:rPr>
              <w:t>崔大勇</w:t>
            </w:r>
          </w:p>
          <w:p w14:paraId="63835B67">
            <w:pPr>
              <w:pStyle w:val="11"/>
              <w:spacing w:before="72" w:line="240" w:lineRule="auto"/>
              <w:ind w:left="113"/>
              <w:rPr>
                <w:rFonts w:hint="eastAsia" w:ascii="宋体" w:hAnsi="宋体" w:eastAsia="宋体" w:cs="宋体"/>
                <w:spacing w:val="4"/>
                <w:lang w:eastAsia="zh-CN"/>
              </w:rPr>
            </w:pPr>
            <w:r>
              <w:rPr>
                <w:rFonts w:ascii="宋体" w:hAnsi="宋体" w:eastAsia="宋体" w:cs="宋体"/>
                <w:spacing w:val="4"/>
              </w:rPr>
              <w:t>电  话：</w:t>
            </w:r>
            <w:bookmarkStart w:id="26" w:name="EB18e9d7e73b4f4649ad12e519bfb05692"/>
            <w:r>
              <w:rPr>
                <w:rFonts w:hint="eastAsia" w:ascii="宋体" w:hAnsi="宋体" w:eastAsia="宋体" w:cs="宋体"/>
                <w:spacing w:val="4"/>
              </w:rPr>
              <w:t>024-</w:t>
            </w:r>
            <w:bookmarkEnd w:id="26"/>
            <w:r>
              <w:rPr>
                <w:rFonts w:hint="eastAsia" w:cs="宋体"/>
                <w:spacing w:val="4"/>
                <w:lang w:eastAsia="zh-CN"/>
              </w:rPr>
              <w:t>22503596</w:t>
            </w:r>
          </w:p>
          <w:p w14:paraId="3674C685">
            <w:pPr>
              <w:pStyle w:val="11"/>
              <w:spacing w:before="72" w:line="240" w:lineRule="auto"/>
              <w:ind w:left="113"/>
              <w:rPr>
                <w:rFonts w:hint="default" w:ascii="宋体" w:hAnsi="宋体" w:eastAsia="宋体" w:cs="宋体"/>
                <w:spacing w:val="4"/>
                <w:lang w:val="en-US" w:eastAsia="zh-CN"/>
              </w:rPr>
            </w:pPr>
            <w:r>
              <w:rPr>
                <w:rFonts w:ascii="宋体" w:hAnsi="宋体" w:eastAsia="宋体" w:cs="宋体"/>
                <w:spacing w:val="4"/>
              </w:rPr>
              <w:t>电子邮件：</w:t>
            </w:r>
            <w:r>
              <w:rPr>
                <w:rFonts w:hint="eastAsia" w:cs="宋体"/>
                <w:spacing w:val="4"/>
                <w:lang w:val="en-US" w:eastAsia="zh-CN"/>
              </w:rPr>
              <w:t>syzbsc@163.com</w:t>
            </w:r>
          </w:p>
          <w:p w14:paraId="27E1E153">
            <w:pPr>
              <w:pStyle w:val="11"/>
              <w:spacing w:before="72" w:line="240" w:lineRule="auto"/>
              <w:ind w:left="113"/>
              <w:rPr>
                <w:rFonts w:ascii="宋体" w:hAnsi="宋体" w:eastAsia="宋体" w:cs="宋体"/>
                <w:spacing w:val="4"/>
              </w:rPr>
            </w:pPr>
            <w:r>
              <w:rPr>
                <w:rFonts w:ascii="宋体" w:hAnsi="宋体" w:eastAsia="宋体" w:cs="宋体"/>
                <w:spacing w:val="4"/>
              </w:rPr>
              <w:t>项目负责人姓名及联系方式：</w:t>
            </w:r>
          </w:p>
          <w:p w14:paraId="34C7E7FA">
            <w:pPr>
              <w:pStyle w:val="11"/>
              <w:spacing w:before="72" w:line="240" w:lineRule="auto"/>
              <w:ind w:left="113"/>
              <w:rPr>
                <w:rFonts w:hint="eastAsia" w:eastAsia="宋体"/>
                <w:lang w:eastAsia="zh-CN"/>
              </w:rPr>
            </w:pPr>
            <w:r>
              <w:rPr>
                <w:rFonts w:ascii="宋体" w:hAnsi="宋体" w:eastAsia="宋体" w:cs="宋体"/>
                <w:spacing w:val="4"/>
              </w:rPr>
              <w:t>姓名：</w:t>
            </w:r>
            <w:r>
              <w:rPr>
                <w:rFonts w:hint="eastAsia" w:cs="宋体"/>
                <w:spacing w:val="4"/>
                <w:lang w:eastAsia="zh-CN"/>
              </w:rPr>
              <w:t>崔大勇</w:t>
            </w:r>
            <w:r>
              <w:rPr>
                <w:rFonts w:ascii="宋体" w:hAnsi="宋体" w:eastAsia="宋体" w:cs="宋体"/>
                <w:spacing w:val="4"/>
              </w:rPr>
              <w:t xml:space="preserve">                电话：</w:t>
            </w:r>
            <w:r>
              <w:rPr>
                <w:rFonts w:hint="eastAsia" w:ascii="宋体" w:hAnsi="宋体" w:eastAsia="宋体" w:cs="宋体"/>
                <w:spacing w:val="4"/>
              </w:rPr>
              <w:t>024-</w:t>
            </w:r>
            <w:r>
              <w:rPr>
                <w:rFonts w:hint="eastAsia" w:cs="宋体"/>
                <w:spacing w:val="4"/>
                <w:lang w:eastAsia="zh-CN"/>
              </w:rPr>
              <w:t>22503596</w:t>
            </w:r>
          </w:p>
        </w:tc>
      </w:tr>
      <w:tr w14:paraId="02D8E9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854" w:type="dxa"/>
            <w:vAlign w:val="top"/>
          </w:tcPr>
          <w:p w14:paraId="11A849D2">
            <w:pPr>
              <w:spacing w:before="182" w:line="189" w:lineRule="auto"/>
              <w:ind w:left="236"/>
              <w:rPr>
                <w:rFonts w:ascii="Times New Roman" w:hAnsi="Times New Roman" w:eastAsia="Times New Roman" w:cs="Times New Roman"/>
                <w:sz w:val="21"/>
                <w:szCs w:val="21"/>
              </w:rPr>
            </w:pPr>
            <w:r>
              <w:rPr>
                <w:rFonts w:ascii="Times New Roman" w:hAnsi="Times New Roman" w:eastAsia="Times New Roman" w:cs="Times New Roman"/>
                <w:spacing w:val="-4"/>
                <w:sz w:val="21"/>
                <w:szCs w:val="21"/>
              </w:rPr>
              <w:t>1.1.4</w:t>
            </w:r>
          </w:p>
        </w:tc>
        <w:tc>
          <w:tcPr>
            <w:tcW w:w="2121" w:type="dxa"/>
            <w:vAlign w:val="top"/>
          </w:tcPr>
          <w:p w14:paraId="30EDC649">
            <w:pPr>
              <w:pStyle w:val="11"/>
              <w:spacing w:before="72" w:line="240" w:lineRule="auto"/>
              <w:ind w:left="113"/>
              <w:jc w:val="center"/>
              <w:rPr>
                <w:rFonts w:ascii="宋体" w:hAnsi="宋体" w:eastAsia="宋体" w:cs="宋体"/>
                <w:spacing w:val="4"/>
              </w:rPr>
            </w:pPr>
            <w:r>
              <w:rPr>
                <w:rFonts w:ascii="宋体" w:hAnsi="宋体" w:eastAsia="宋体" w:cs="宋体"/>
                <w:spacing w:val="4"/>
                <w:u w:val="none"/>
              </w:rPr>
              <w:t>标段项目名称</w:t>
            </w:r>
          </w:p>
        </w:tc>
        <w:tc>
          <w:tcPr>
            <w:tcW w:w="5447" w:type="dxa"/>
            <w:vAlign w:val="top"/>
          </w:tcPr>
          <w:p w14:paraId="0B2EBE09">
            <w:pPr>
              <w:pStyle w:val="11"/>
              <w:spacing w:before="72" w:line="240" w:lineRule="auto"/>
              <w:ind w:left="113"/>
              <w:rPr>
                <w:rFonts w:hint="default" w:ascii="宋体" w:hAnsi="宋体" w:eastAsia="宋体" w:cs="宋体"/>
                <w:snapToGrid w:val="0"/>
                <w:color w:val="000000"/>
                <w:spacing w:val="4"/>
                <w:kern w:val="0"/>
                <w:sz w:val="21"/>
                <w:szCs w:val="21"/>
                <w:lang w:val="en-US" w:eastAsia="en-US" w:bidi="ar-SA"/>
              </w:rPr>
            </w:pPr>
            <w:r>
              <w:rPr>
                <w:rFonts w:hint="eastAsia" w:cs="宋体"/>
                <w:snapToGrid w:val="0"/>
                <w:color w:val="000000"/>
                <w:spacing w:val="4"/>
                <w:kern w:val="0"/>
                <w:sz w:val="21"/>
                <w:szCs w:val="21"/>
                <w:lang w:val="en-US" w:eastAsia="zh-CN" w:bidi="ar-SA"/>
              </w:rPr>
              <w:t>营口市大庆路、联盟路排水管网改造工程过铁项目工程施工</w:t>
            </w:r>
          </w:p>
        </w:tc>
      </w:tr>
      <w:tr w14:paraId="31171E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8" w:hRule="atLeast"/>
        </w:trPr>
        <w:tc>
          <w:tcPr>
            <w:tcW w:w="854" w:type="dxa"/>
            <w:vAlign w:val="top"/>
          </w:tcPr>
          <w:p w14:paraId="2CE1E4C0">
            <w:pPr>
              <w:spacing w:before="183" w:line="189" w:lineRule="auto"/>
              <w:ind w:left="236"/>
              <w:rPr>
                <w:rFonts w:ascii="Times New Roman" w:hAnsi="Times New Roman" w:eastAsia="Times New Roman" w:cs="Times New Roman"/>
                <w:sz w:val="21"/>
                <w:szCs w:val="21"/>
              </w:rPr>
            </w:pPr>
            <w:r>
              <w:rPr>
                <w:rFonts w:ascii="Times New Roman" w:hAnsi="Times New Roman" w:eastAsia="Times New Roman" w:cs="Times New Roman"/>
                <w:spacing w:val="-4"/>
                <w:sz w:val="21"/>
                <w:szCs w:val="21"/>
              </w:rPr>
              <w:t>1.1.5</w:t>
            </w:r>
          </w:p>
        </w:tc>
        <w:tc>
          <w:tcPr>
            <w:tcW w:w="2121" w:type="dxa"/>
            <w:vAlign w:val="top"/>
          </w:tcPr>
          <w:p w14:paraId="18A7A95A">
            <w:pPr>
              <w:pStyle w:val="11"/>
              <w:spacing w:before="146" w:line="222" w:lineRule="auto"/>
              <w:ind w:left="650"/>
            </w:pPr>
            <w:r>
              <w:rPr>
                <w:spacing w:val="-2"/>
                <w:highlight w:val="yellow"/>
              </w:rPr>
              <w:t>建设地点</w:t>
            </w:r>
          </w:p>
        </w:tc>
        <w:tc>
          <w:tcPr>
            <w:tcW w:w="5447" w:type="dxa"/>
            <w:vAlign w:val="top"/>
          </w:tcPr>
          <w:p w14:paraId="0F23998E">
            <w:pPr>
              <w:spacing w:line="240" w:lineRule="auto"/>
              <w:rPr>
                <w:rFonts w:hint="eastAsia" w:ascii="宋体" w:hAnsi="宋体" w:eastAsia="宋体" w:cs="宋体"/>
                <w:snapToGrid w:val="0"/>
                <w:color w:val="000000"/>
                <w:spacing w:val="4"/>
                <w:kern w:val="0"/>
                <w:sz w:val="21"/>
                <w:szCs w:val="21"/>
                <w:lang w:val="en-US" w:eastAsia="zh-CN" w:bidi="ar-SA"/>
              </w:rPr>
            </w:pPr>
            <w:r>
              <w:rPr>
                <w:rFonts w:hint="eastAsia" w:ascii="宋体" w:hAnsi="宋体" w:eastAsia="宋体" w:cs="宋体"/>
                <w:snapToGrid w:val="0"/>
                <w:color w:val="000000"/>
                <w:spacing w:val="4"/>
                <w:kern w:val="0"/>
                <w:sz w:val="21"/>
                <w:szCs w:val="21"/>
                <w:highlight w:val="red"/>
                <w:lang w:val="en-US" w:eastAsia="zh-CN" w:bidi="ar-SA"/>
              </w:rPr>
              <w:t>营口市大庆路、联盟路</w:t>
            </w:r>
          </w:p>
        </w:tc>
      </w:tr>
      <w:tr w14:paraId="23697C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854" w:type="dxa"/>
            <w:vAlign w:val="top"/>
          </w:tcPr>
          <w:p w14:paraId="78B90BFE">
            <w:pPr>
              <w:spacing w:before="187" w:line="189" w:lineRule="auto"/>
              <w:ind w:left="236"/>
              <w:rPr>
                <w:rFonts w:ascii="Times New Roman" w:hAnsi="Times New Roman" w:eastAsia="Times New Roman" w:cs="Times New Roman"/>
                <w:sz w:val="21"/>
                <w:szCs w:val="21"/>
              </w:rPr>
            </w:pPr>
            <w:r>
              <w:rPr>
                <w:rFonts w:ascii="Times New Roman" w:hAnsi="Times New Roman" w:eastAsia="Times New Roman" w:cs="Times New Roman"/>
                <w:spacing w:val="-4"/>
                <w:sz w:val="21"/>
                <w:szCs w:val="21"/>
              </w:rPr>
              <w:t>1.1.6</w:t>
            </w:r>
          </w:p>
        </w:tc>
        <w:tc>
          <w:tcPr>
            <w:tcW w:w="2121" w:type="dxa"/>
            <w:vAlign w:val="top"/>
          </w:tcPr>
          <w:p w14:paraId="64F01506">
            <w:pPr>
              <w:pStyle w:val="11"/>
              <w:spacing w:before="151" w:line="219" w:lineRule="auto"/>
              <w:ind w:left="439"/>
            </w:pPr>
            <w:r>
              <w:rPr>
                <w:spacing w:val="-1"/>
              </w:rPr>
              <w:t>项目投资估算</w:t>
            </w:r>
          </w:p>
        </w:tc>
        <w:tc>
          <w:tcPr>
            <w:tcW w:w="5447" w:type="dxa"/>
            <w:vAlign w:val="top"/>
          </w:tcPr>
          <w:p w14:paraId="7D949857">
            <w:pPr>
              <w:pStyle w:val="11"/>
              <w:spacing w:before="72" w:line="240" w:lineRule="auto"/>
              <w:ind w:left="113"/>
              <w:rPr>
                <w:rFonts w:hint="eastAsia" w:ascii="宋体" w:hAnsi="宋体" w:eastAsia="宋体" w:cs="宋体"/>
                <w:spacing w:val="4"/>
                <w:lang w:eastAsia="zh-CN"/>
              </w:rPr>
            </w:pPr>
            <w:r>
              <w:rPr>
                <w:rFonts w:hint="eastAsia"/>
                <w:lang w:val="en-US" w:eastAsia="zh-CN"/>
              </w:rPr>
              <w:t>7401.71</w:t>
            </w:r>
            <w:r>
              <w:rPr>
                <w:rFonts w:ascii="宋体" w:hAnsi="宋体" w:eastAsia="宋体" w:cs="宋体"/>
                <w:spacing w:val="4"/>
              </w:rPr>
              <w:t>万元</w:t>
            </w:r>
            <w:r>
              <w:rPr>
                <w:rFonts w:hint="eastAsia" w:cs="宋体"/>
                <w:spacing w:val="4"/>
                <w:highlight w:val="yellow"/>
                <w:lang w:eastAsia="zh-CN"/>
              </w:rPr>
              <w:t>（</w:t>
            </w:r>
            <w:r>
              <w:rPr>
                <w:rFonts w:hint="eastAsia" w:cs="宋体"/>
                <w:spacing w:val="4"/>
                <w:highlight w:val="yellow"/>
                <w:lang w:val="en-US" w:eastAsia="zh-CN"/>
              </w:rPr>
              <w:t>批复中项目总投资</w:t>
            </w:r>
            <w:r>
              <w:rPr>
                <w:rFonts w:hint="eastAsia" w:cs="宋体"/>
                <w:spacing w:val="4"/>
                <w:highlight w:val="yellow"/>
                <w:lang w:eastAsia="zh-CN"/>
              </w:rPr>
              <w:t>）</w:t>
            </w:r>
          </w:p>
        </w:tc>
      </w:tr>
      <w:tr w14:paraId="2EE682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854" w:type="dxa"/>
            <w:vAlign w:val="top"/>
          </w:tcPr>
          <w:p w14:paraId="4032957A">
            <w:pPr>
              <w:spacing w:before="183" w:line="189" w:lineRule="auto"/>
              <w:ind w:left="236"/>
              <w:rPr>
                <w:rFonts w:ascii="Times New Roman" w:hAnsi="Times New Roman" w:eastAsia="Times New Roman" w:cs="Times New Roman"/>
                <w:sz w:val="21"/>
                <w:szCs w:val="21"/>
              </w:rPr>
            </w:pPr>
            <w:r>
              <w:rPr>
                <w:rFonts w:ascii="Times New Roman" w:hAnsi="Times New Roman" w:eastAsia="Times New Roman" w:cs="Times New Roman"/>
                <w:spacing w:val="-5"/>
                <w:sz w:val="21"/>
                <w:szCs w:val="21"/>
              </w:rPr>
              <w:t>1.1.7</w:t>
            </w:r>
          </w:p>
        </w:tc>
        <w:tc>
          <w:tcPr>
            <w:tcW w:w="2121" w:type="dxa"/>
            <w:vAlign w:val="top"/>
          </w:tcPr>
          <w:p w14:paraId="2A4F41F3">
            <w:pPr>
              <w:pStyle w:val="11"/>
              <w:spacing w:before="147" w:line="221" w:lineRule="auto"/>
              <w:ind w:left="460"/>
            </w:pPr>
            <w:r>
              <w:rPr>
                <w:spacing w:val="-5"/>
              </w:rPr>
              <w:t>电子交易系统</w:t>
            </w:r>
          </w:p>
        </w:tc>
        <w:tc>
          <w:tcPr>
            <w:tcW w:w="5447" w:type="dxa"/>
            <w:vAlign w:val="top"/>
          </w:tcPr>
          <w:p w14:paraId="63F9CB65">
            <w:pPr>
              <w:pStyle w:val="11"/>
              <w:tabs>
                <w:tab w:val="left" w:pos="1643"/>
              </w:tabs>
              <w:spacing w:before="146" w:line="222" w:lineRule="auto"/>
              <w:ind w:left="103"/>
            </w:pPr>
            <w:r>
              <w:rPr>
                <w:rFonts w:hint="eastAsia"/>
              </w:rPr>
              <w:t>辽宁省房屋建筑和市政工程电子交易系统</w:t>
            </w:r>
            <w:r>
              <w:rPr>
                <w:rFonts w:hint="eastAsia"/>
              </w:rPr>
              <w:br w:type="textWrapping"/>
            </w:r>
            <w:r>
              <w:rPr>
                <w:rFonts w:hint="eastAsia"/>
              </w:rPr>
              <w:t>（工程咨询）</w:t>
            </w:r>
          </w:p>
        </w:tc>
      </w:tr>
      <w:tr w14:paraId="707C17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6" w:hRule="atLeast"/>
        </w:trPr>
        <w:tc>
          <w:tcPr>
            <w:tcW w:w="854" w:type="dxa"/>
            <w:vAlign w:val="top"/>
          </w:tcPr>
          <w:p w14:paraId="17E5DCFB">
            <w:pPr>
              <w:spacing w:before="183" w:line="189" w:lineRule="auto"/>
              <w:ind w:left="236"/>
              <w:rPr>
                <w:rFonts w:ascii="Times New Roman" w:hAnsi="Times New Roman" w:eastAsia="Times New Roman" w:cs="Times New Roman"/>
                <w:sz w:val="21"/>
                <w:szCs w:val="21"/>
              </w:rPr>
            </w:pPr>
            <w:r>
              <w:rPr>
                <w:rFonts w:ascii="Times New Roman" w:hAnsi="Times New Roman" w:eastAsia="Times New Roman" w:cs="Times New Roman"/>
                <w:spacing w:val="-4"/>
                <w:sz w:val="21"/>
                <w:szCs w:val="21"/>
              </w:rPr>
              <w:t>1.2.1</w:t>
            </w:r>
          </w:p>
        </w:tc>
        <w:tc>
          <w:tcPr>
            <w:tcW w:w="2121" w:type="dxa"/>
            <w:vAlign w:val="top"/>
          </w:tcPr>
          <w:p w14:paraId="706537BA">
            <w:pPr>
              <w:pStyle w:val="11"/>
              <w:spacing w:before="146" w:line="221" w:lineRule="auto"/>
              <w:ind w:left="656"/>
            </w:pPr>
            <w:r>
              <w:rPr>
                <w:spacing w:val="-3"/>
              </w:rPr>
              <w:t>资金来源</w:t>
            </w:r>
          </w:p>
        </w:tc>
        <w:tc>
          <w:tcPr>
            <w:tcW w:w="5447" w:type="dxa"/>
            <w:vAlign w:val="top"/>
          </w:tcPr>
          <w:p w14:paraId="0799E3EB">
            <w:pPr>
              <w:rPr>
                <w:rFonts w:hint="eastAsia" w:ascii="Arial" w:eastAsia="仿宋_GB2312"/>
                <w:sz w:val="21"/>
                <w:lang w:eastAsia="zh-CN"/>
              </w:rPr>
            </w:pPr>
            <w:bookmarkStart w:id="27" w:name="EBb11109b7aab948c1bdb887bde451d0a5"/>
            <w:r>
              <w:rPr>
                <w:rFonts w:hint="eastAsia" w:ascii="仿宋_GB2312" w:eastAsia="仿宋_GB2312" w:cs="宋体"/>
                <w:color w:val="0000FF"/>
                <w:sz w:val="24"/>
                <w:szCs w:val="24"/>
                <w:highlight w:val="white"/>
              </w:rPr>
              <w:t>申请超长期国债资金及</w:t>
            </w:r>
            <w:bookmarkEnd w:id="27"/>
            <w:r>
              <w:rPr>
                <w:rFonts w:hint="eastAsia" w:ascii="仿宋_GB2312" w:eastAsia="仿宋_GB2312" w:cs="宋体"/>
                <w:color w:val="0000FF"/>
                <w:sz w:val="24"/>
                <w:szCs w:val="24"/>
                <w:highlight w:val="white"/>
                <w:lang w:eastAsia="zh-CN"/>
              </w:rPr>
              <w:t>市财政配套</w:t>
            </w:r>
          </w:p>
        </w:tc>
      </w:tr>
      <w:tr w14:paraId="5A815D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854" w:type="dxa"/>
            <w:vAlign w:val="top"/>
          </w:tcPr>
          <w:p w14:paraId="635C5A93">
            <w:pPr>
              <w:spacing w:before="183" w:line="189" w:lineRule="auto"/>
              <w:ind w:left="236"/>
              <w:rPr>
                <w:rFonts w:ascii="Times New Roman" w:hAnsi="Times New Roman" w:eastAsia="Times New Roman" w:cs="Times New Roman"/>
                <w:sz w:val="21"/>
                <w:szCs w:val="21"/>
              </w:rPr>
            </w:pPr>
            <w:r>
              <w:rPr>
                <w:rFonts w:ascii="Times New Roman" w:hAnsi="Times New Roman" w:eastAsia="Times New Roman" w:cs="Times New Roman"/>
                <w:spacing w:val="-5"/>
                <w:sz w:val="21"/>
                <w:szCs w:val="21"/>
              </w:rPr>
              <w:t>1.2.2</w:t>
            </w:r>
          </w:p>
        </w:tc>
        <w:tc>
          <w:tcPr>
            <w:tcW w:w="2121" w:type="dxa"/>
            <w:vAlign w:val="top"/>
          </w:tcPr>
          <w:p w14:paraId="7589466B">
            <w:pPr>
              <w:pStyle w:val="11"/>
              <w:spacing w:before="147" w:line="222" w:lineRule="auto"/>
              <w:ind w:left="665"/>
            </w:pPr>
            <w:r>
              <w:rPr>
                <w:spacing w:val="-5"/>
              </w:rPr>
              <w:t>出资比例</w:t>
            </w:r>
          </w:p>
        </w:tc>
        <w:tc>
          <w:tcPr>
            <w:tcW w:w="5447" w:type="dxa"/>
            <w:vAlign w:val="top"/>
          </w:tcPr>
          <w:p w14:paraId="14C79BB2">
            <w:pPr>
              <w:rPr>
                <w:rFonts w:ascii="Arial"/>
                <w:sz w:val="21"/>
              </w:rPr>
            </w:pPr>
            <w:r>
              <w:rPr>
                <w:rFonts w:hint="eastAsia"/>
                <w:highlight w:val="yellow"/>
              </w:rPr>
              <w:t>资金来源为超长期国债70%，</w:t>
            </w:r>
            <w:r>
              <w:rPr>
                <w:rFonts w:hint="eastAsia" w:eastAsia="宋体"/>
                <w:highlight w:val="yellow"/>
                <w:lang w:eastAsia="zh-CN"/>
              </w:rPr>
              <w:t>市财政配套</w:t>
            </w:r>
            <w:r>
              <w:rPr>
                <w:rFonts w:hint="eastAsia"/>
                <w:highlight w:val="yellow"/>
              </w:rPr>
              <w:t>30%，</w:t>
            </w:r>
          </w:p>
        </w:tc>
      </w:tr>
      <w:tr w14:paraId="50E3BE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854" w:type="dxa"/>
            <w:vAlign w:val="top"/>
          </w:tcPr>
          <w:p w14:paraId="26077762">
            <w:pPr>
              <w:spacing w:before="189" w:line="189" w:lineRule="auto"/>
              <w:ind w:left="236"/>
              <w:rPr>
                <w:rFonts w:ascii="Times New Roman" w:hAnsi="Times New Roman" w:eastAsia="Times New Roman" w:cs="Times New Roman"/>
                <w:sz w:val="21"/>
                <w:szCs w:val="21"/>
              </w:rPr>
            </w:pPr>
            <w:r>
              <w:rPr>
                <w:rFonts w:ascii="Times New Roman" w:hAnsi="Times New Roman" w:eastAsia="Times New Roman" w:cs="Times New Roman"/>
                <w:spacing w:val="-5"/>
                <w:sz w:val="21"/>
                <w:szCs w:val="21"/>
              </w:rPr>
              <w:t>1.2.3</w:t>
            </w:r>
          </w:p>
        </w:tc>
        <w:tc>
          <w:tcPr>
            <w:tcW w:w="2121" w:type="dxa"/>
            <w:vAlign w:val="top"/>
          </w:tcPr>
          <w:p w14:paraId="4F232B2B">
            <w:pPr>
              <w:pStyle w:val="11"/>
              <w:spacing w:before="152" w:line="219" w:lineRule="auto"/>
              <w:ind w:left="331"/>
            </w:pPr>
            <w:r>
              <w:rPr>
                <w:spacing w:val="-1"/>
              </w:rPr>
              <w:t>标段合同估算价</w:t>
            </w:r>
          </w:p>
        </w:tc>
        <w:tc>
          <w:tcPr>
            <w:tcW w:w="5447" w:type="dxa"/>
            <w:vAlign w:val="top"/>
          </w:tcPr>
          <w:p w14:paraId="270B4953">
            <w:pPr>
              <w:pStyle w:val="11"/>
              <w:tabs>
                <w:tab w:val="left" w:pos="1630"/>
              </w:tabs>
              <w:spacing w:before="152" w:line="221" w:lineRule="auto"/>
              <w:ind w:left="103"/>
            </w:pPr>
            <w:r>
              <w:rPr>
                <w:rFonts w:hint="eastAsia"/>
                <w:lang w:val="en-US" w:eastAsia="zh-CN"/>
              </w:rPr>
              <w:t>560</w:t>
            </w:r>
            <w:r>
              <w:rPr>
                <w:rFonts w:hint="eastAsia"/>
                <w:lang w:eastAsia="zh-CN"/>
              </w:rPr>
              <w:t xml:space="preserve"> 万元</w:t>
            </w:r>
          </w:p>
        </w:tc>
      </w:tr>
      <w:tr w14:paraId="3D5427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854" w:type="dxa"/>
            <w:vAlign w:val="top"/>
          </w:tcPr>
          <w:p w14:paraId="058B7077">
            <w:pPr>
              <w:spacing w:before="184" w:line="189" w:lineRule="auto"/>
              <w:ind w:left="236"/>
              <w:rPr>
                <w:rFonts w:ascii="Times New Roman" w:hAnsi="Times New Roman" w:eastAsia="Times New Roman" w:cs="Times New Roman"/>
                <w:sz w:val="21"/>
                <w:szCs w:val="21"/>
              </w:rPr>
            </w:pPr>
            <w:r>
              <w:rPr>
                <w:rFonts w:ascii="Times New Roman" w:hAnsi="Times New Roman" w:eastAsia="Times New Roman" w:cs="Times New Roman"/>
                <w:spacing w:val="-5"/>
                <w:sz w:val="21"/>
                <w:szCs w:val="21"/>
              </w:rPr>
              <w:t>1.2.4</w:t>
            </w:r>
          </w:p>
        </w:tc>
        <w:tc>
          <w:tcPr>
            <w:tcW w:w="2121" w:type="dxa"/>
            <w:vAlign w:val="top"/>
          </w:tcPr>
          <w:p w14:paraId="5433ABE7">
            <w:pPr>
              <w:pStyle w:val="11"/>
              <w:spacing w:before="148" w:line="221" w:lineRule="auto"/>
              <w:ind w:left="445"/>
            </w:pPr>
            <w:r>
              <w:rPr>
                <w:spacing w:val="-2"/>
              </w:rPr>
              <w:t>资金落实情况</w:t>
            </w:r>
          </w:p>
        </w:tc>
        <w:tc>
          <w:tcPr>
            <w:tcW w:w="5447" w:type="dxa"/>
            <w:vAlign w:val="top"/>
          </w:tcPr>
          <w:p w14:paraId="238225AD">
            <w:pPr>
              <w:rPr>
                <w:rFonts w:ascii="Arial"/>
                <w:sz w:val="21"/>
              </w:rPr>
            </w:pPr>
            <w:r>
              <w:rPr>
                <w:rFonts w:hint="eastAsia"/>
                <w:color w:val="auto"/>
                <w:highlight w:val="none"/>
                <w:lang w:eastAsia="zh-CN"/>
              </w:rPr>
              <w:t>已落实</w:t>
            </w:r>
          </w:p>
        </w:tc>
      </w:tr>
      <w:tr w14:paraId="733CF7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42" w:hRule="atLeast"/>
        </w:trPr>
        <w:tc>
          <w:tcPr>
            <w:tcW w:w="854" w:type="dxa"/>
            <w:vAlign w:val="top"/>
          </w:tcPr>
          <w:p w14:paraId="7C681631">
            <w:pPr>
              <w:spacing w:line="463" w:lineRule="auto"/>
              <w:rPr>
                <w:rFonts w:ascii="Arial"/>
                <w:sz w:val="21"/>
              </w:rPr>
            </w:pPr>
          </w:p>
          <w:p w14:paraId="44EA7894">
            <w:pPr>
              <w:spacing w:before="60" w:line="189" w:lineRule="auto"/>
              <w:ind w:left="236"/>
              <w:rPr>
                <w:rFonts w:ascii="Times New Roman" w:hAnsi="Times New Roman" w:eastAsia="Times New Roman" w:cs="Times New Roman"/>
                <w:sz w:val="21"/>
                <w:szCs w:val="21"/>
              </w:rPr>
            </w:pPr>
            <w:r>
              <w:rPr>
                <w:rFonts w:ascii="Times New Roman" w:hAnsi="Times New Roman" w:eastAsia="Times New Roman" w:cs="Times New Roman"/>
                <w:spacing w:val="-4"/>
                <w:sz w:val="21"/>
                <w:szCs w:val="21"/>
              </w:rPr>
              <w:t>1.3.1</w:t>
            </w:r>
          </w:p>
        </w:tc>
        <w:tc>
          <w:tcPr>
            <w:tcW w:w="2121" w:type="dxa"/>
            <w:vAlign w:val="top"/>
          </w:tcPr>
          <w:p w14:paraId="36C2C9C6">
            <w:pPr>
              <w:spacing w:line="419" w:lineRule="auto"/>
              <w:rPr>
                <w:rFonts w:ascii="Arial"/>
                <w:sz w:val="21"/>
              </w:rPr>
            </w:pPr>
          </w:p>
          <w:p w14:paraId="69216DE1">
            <w:pPr>
              <w:pStyle w:val="11"/>
              <w:spacing w:before="68" w:line="221" w:lineRule="auto"/>
              <w:ind w:left="648"/>
            </w:pPr>
            <w:r>
              <w:rPr>
                <w:spacing w:val="-1"/>
              </w:rPr>
              <w:t>招标范围</w:t>
            </w:r>
          </w:p>
        </w:tc>
        <w:tc>
          <w:tcPr>
            <w:tcW w:w="5447" w:type="dxa"/>
            <w:vAlign w:val="top"/>
          </w:tcPr>
          <w:p w14:paraId="4F258159">
            <w:pPr>
              <w:pStyle w:val="11"/>
              <w:spacing w:before="134" w:line="220" w:lineRule="auto"/>
              <w:rPr>
                <w:rFonts w:hint="default"/>
                <w:lang w:val="en-US" w:eastAsia="zh-CN"/>
              </w:rPr>
            </w:pPr>
            <w:r>
              <w:rPr>
                <w:rFonts w:hint="eastAsia"/>
                <w:lang w:val="en-US" w:eastAsia="zh-CN"/>
              </w:rPr>
              <w:t>同招标公告一致</w:t>
            </w:r>
          </w:p>
          <w:p w14:paraId="47D258AE">
            <w:pPr>
              <w:pStyle w:val="11"/>
              <w:spacing w:before="134" w:line="220" w:lineRule="auto"/>
            </w:pPr>
            <w:r>
              <w:rPr>
                <w:spacing w:val="-1"/>
              </w:rPr>
              <w:t>关于招标范围的详细说明见第七章“技术标准和要求”。</w:t>
            </w:r>
          </w:p>
        </w:tc>
      </w:tr>
      <w:tr w14:paraId="261896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69" w:hRule="atLeast"/>
        </w:trPr>
        <w:tc>
          <w:tcPr>
            <w:tcW w:w="854" w:type="dxa"/>
            <w:vAlign w:val="top"/>
          </w:tcPr>
          <w:p w14:paraId="24F4863A">
            <w:pPr>
              <w:spacing w:line="243" w:lineRule="auto"/>
              <w:rPr>
                <w:rFonts w:ascii="Arial"/>
                <w:sz w:val="21"/>
              </w:rPr>
            </w:pPr>
          </w:p>
          <w:p w14:paraId="7FE1EAED">
            <w:pPr>
              <w:spacing w:line="243" w:lineRule="auto"/>
              <w:rPr>
                <w:rFonts w:ascii="Arial"/>
                <w:sz w:val="21"/>
              </w:rPr>
            </w:pPr>
          </w:p>
          <w:p w14:paraId="05EC2DE1">
            <w:pPr>
              <w:spacing w:line="244" w:lineRule="auto"/>
              <w:rPr>
                <w:rFonts w:ascii="Arial"/>
                <w:sz w:val="21"/>
              </w:rPr>
            </w:pPr>
          </w:p>
          <w:p w14:paraId="581FC02C">
            <w:pPr>
              <w:spacing w:line="244" w:lineRule="auto"/>
              <w:rPr>
                <w:rFonts w:ascii="Arial"/>
                <w:sz w:val="21"/>
              </w:rPr>
            </w:pPr>
          </w:p>
          <w:p w14:paraId="14B82AEC">
            <w:pPr>
              <w:spacing w:before="60" w:line="189" w:lineRule="auto"/>
              <w:ind w:left="236"/>
              <w:rPr>
                <w:rFonts w:ascii="Times New Roman" w:hAnsi="Times New Roman" w:eastAsia="Times New Roman" w:cs="Times New Roman"/>
                <w:sz w:val="21"/>
                <w:szCs w:val="21"/>
              </w:rPr>
            </w:pPr>
            <w:r>
              <w:rPr>
                <w:rFonts w:ascii="Times New Roman" w:hAnsi="Times New Roman" w:eastAsia="Times New Roman" w:cs="Times New Roman"/>
                <w:spacing w:val="-4"/>
                <w:sz w:val="21"/>
                <w:szCs w:val="21"/>
              </w:rPr>
              <w:t>1.3.2</w:t>
            </w:r>
          </w:p>
        </w:tc>
        <w:tc>
          <w:tcPr>
            <w:tcW w:w="2121" w:type="dxa"/>
            <w:vAlign w:val="top"/>
          </w:tcPr>
          <w:p w14:paraId="77A6E747">
            <w:pPr>
              <w:spacing w:line="310" w:lineRule="auto"/>
              <w:rPr>
                <w:rFonts w:ascii="Arial"/>
                <w:sz w:val="21"/>
              </w:rPr>
            </w:pPr>
          </w:p>
          <w:p w14:paraId="71BF339A">
            <w:pPr>
              <w:spacing w:line="310" w:lineRule="auto"/>
              <w:rPr>
                <w:rFonts w:ascii="Arial"/>
                <w:sz w:val="21"/>
              </w:rPr>
            </w:pPr>
          </w:p>
          <w:p w14:paraId="54AE17C1">
            <w:pPr>
              <w:spacing w:line="310" w:lineRule="auto"/>
              <w:rPr>
                <w:rFonts w:ascii="Arial"/>
                <w:sz w:val="21"/>
              </w:rPr>
            </w:pPr>
          </w:p>
          <w:p w14:paraId="03FEEC12">
            <w:pPr>
              <w:pStyle w:val="11"/>
              <w:spacing w:before="68" w:line="221" w:lineRule="auto"/>
              <w:ind w:left="647"/>
            </w:pPr>
            <w:r>
              <w:rPr>
                <w:spacing w:val="-1"/>
              </w:rPr>
              <w:t>计划工期</w:t>
            </w:r>
          </w:p>
        </w:tc>
        <w:tc>
          <w:tcPr>
            <w:tcW w:w="5447" w:type="dxa"/>
            <w:vAlign w:val="top"/>
          </w:tcPr>
          <w:p w14:paraId="51BFD8B1">
            <w:pPr>
              <w:pStyle w:val="11"/>
              <w:spacing w:before="202" w:line="221" w:lineRule="auto"/>
              <w:ind w:left="111"/>
            </w:pPr>
            <w:r>
              <w:rPr>
                <w:spacing w:val="-26"/>
              </w:rPr>
              <w:t>计划工期：</w:t>
            </w:r>
            <w:r>
              <w:rPr>
                <w:spacing w:val="49"/>
              </w:rPr>
              <w:t xml:space="preserve"> </w:t>
            </w:r>
            <w:r>
              <w:rPr>
                <w:spacing w:val="17"/>
                <w:u w:val="single" w:color="auto"/>
              </w:rPr>
              <w:t xml:space="preserve"> </w:t>
            </w:r>
            <w:r>
              <w:rPr>
                <w:rFonts w:hint="eastAsia"/>
                <w:spacing w:val="17"/>
                <w:u w:val="single" w:color="auto"/>
                <w:lang w:val="en-US" w:eastAsia="zh-CN"/>
              </w:rPr>
              <w:t xml:space="preserve">35 </w:t>
            </w:r>
            <w:r>
              <w:rPr>
                <w:spacing w:val="-26"/>
              </w:rPr>
              <w:t>日历天；</w:t>
            </w:r>
          </w:p>
          <w:p w14:paraId="1E89C2B8">
            <w:pPr>
              <w:pStyle w:val="11"/>
              <w:spacing w:before="69" w:line="279" w:lineRule="auto"/>
              <w:ind w:left="111"/>
            </w:pPr>
            <w:r>
              <w:rPr>
                <w:spacing w:val="-7"/>
              </w:rPr>
              <w:t>计划开工日期：</w:t>
            </w:r>
            <w:r>
              <w:rPr>
                <w:spacing w:val="-28"/>
              </w:rPr>
              <w:t xml:space="preserve"> </w:t>
            </w:r>
            <w:r>
              <w:rPr>
                <w:rFonts w:hint="eastAsia"/>
                <w:spacing w:val="10"/>
                <w:u w:val="single" w:color="auto"/>
                <w:lang w:val="en-US" w:eastAsia="zh-CN"/>
              </w:rPr>
              <w:t>2026年</w:t>
            </w:r>
            <w:r>
              <w:rPr>
                <w:rFonts w:hint="eastAsia"/>
                <w:spacing w:val="-7"/>
                <w:u w:val="single" w:color="auto"/>
                <w:lang w:val="en-US" w:eastAsia="zh-CN"/>
              </w:rPr>
              <w:t>7</w:t>
            </w:r>
            <w:r>
              <w:rPr>
                <w:spacing w:val="-92"/>
              </w:rPr>
              <w:t xml:space="preserve"> </w:t>
            </w:r>
            <w:r>
              <w:rPr>
                <w:spacing w:val="-7"/>
              </w:rPr>
              <w:t>月</w:t>
            </w:r>
            <w:r>
              <w:rPr>
                <w:rFonts w:hint="eastAsia"/>
                <w:spacing w:val="14"/>
                <w:u w:val="single" w:color="auto"/>
                <w:lang w:val="en-US" w:eastAsia="zh-CN"/>
              </w:rPr>
              <w:t>15</w:t>
            </w:r>
            <w:r>
              <w:rPr>
                <w:spacing w:val="-7"/>
              </w:rPr>
              <w:t>日</w:t>
            </w:r>
          </w:p>
          <w:p w14:paraId="0FD0BAC0">
            <w:pPr>
              <w:pStyle w:val="11"/>
              <w:spacing w:line="220" w:lineRule="auto"/>
              <w:ind w:left="111"/>
            </w:pPr>
            <w:r>
              <w:rPr>
                <w:spacing w:val="-13"/>
              </w:rPr>
              <w:t>计划竣工日期：</w:t>
            </w:r>
            <w:r>
              <w:rPr>
                <w:spacing w:val="-27"/>
              </w:rPr>
              <w:t xml:space="preserve"> </w:t>
            </w:r>
            <w:r>
              <w:rPr>
                <w:rFonts w:hint="eastAsia"/>
                <w:spacing w:val="10"/>
                <w:u w:val="single" w:color="auto"/>
                <w:lang w:val="en-US" w:eastAsia="zh-CN"/>
              </w:rPr>
              <w:t>2026</w:t>
            </w:r>
            <w:r>
              <w:rPr>
                <w:spacing w:val="-13"/>
              </w:rPr>
              <w:t>年</w:t>
            </w:r>
            <w:r>
              <w:rPr>
                <w:rFonts w:hint="eastAsia"/>
                <w:spacing w:val="25"/>
                <w:u w:val="single" w:color="auto"/>
                <w:lang w:val="en-US" w:eastAsia="zh-CN"/>
              </w:rPr>
              <w:t>8</w:t>
            </w:r>
            <w:r>
              <w:rPr>
                <w:spacing w:val="-13"/>
              </w:rPr>
              <w:t>月</w:t>
            </w:r>
            <w:r>
              <w:rPr>
                <w:rFonts w:hint="eastAsia"/>
                <w:spacing w:val="14"/>
                <w:u w:val="single" w:color="auto"/>
                <w:lang w:val="en-US" w:eastAsia="zh-CN"/>
              </w:rPr>
              <w:t>19</w:t>
            </w:r>
            <w:r>
              <w:rPr>
                <w:spacing w:val="-13"/>
              </w:rPr>
              <w:t>日。</w:t>
            </w:r>
          </w:p>
          <w:p w14:paraId="43B05A66">
            <w:pPr>
              <w:pStyle w:val="11"/>
              <w:spacing w:before="70" w:line="221" w:lineRule="auto"/>
              <w:ind w:left="123"/>
            </w:pPr>
            <w:r>
              <w:rPr>
                <w:spacing w:val="-3"/>
              </w:rPr>
              <w:t>除上述总工期外，发包人还要求以下区段工期：</w:t>
            </w:r>
          </w:p>
          <w:p w14:paraId="469FCD83">
            <w:pPr>
              <w:pStyle w:val="11"/>
              <w:tabs>
                <w:tab w:val="left" w:pos="2340"/>
              </w:tabs>
              <w:spacing w:before="206" w:line="174" w:lineRule="auto"/>
              <w:ind w:left="103"/>
              <w:rPr>
                <w:sz w:val="7"/>
                <w:szCs w:val="7"/>
              </w:rPr>
            </w:pPr>
            <w:r>
              <w:rPr>
                <w:rFonts w:hint="eastAsia"/>
                <w:sz w:val="7"/>
                <w:szCs w:val="7"/>
                <w:u w:val="single" w:color="auto"/>
                <w:lang w:val="en-US" w:eastAsia="zh-CN"/>
              </w:rPr>
              <w:t>/</w:t>
            </w:r>
            <w:r>
              <w:rPr>
                <w:sz w:val="7"/>
                <w:szCs w:val="7"/>
                <w:u w:val="single" w:color="auto"/>
              </w:rPr>
              <w:tab/>
            </w:r>
            <w:r>
              <w:rPr>
                <w:sz w:val="7"/>
                <w:szCs w:val="7"/>
                <w:u w:val="single" w:color="auto"/>
              </w:rPr>
              <w:t xml:space="preserve">。    </w:t>
            </w:r>
          </w:p>
          <w:p w14:paraId="1217C7F1">
            <w:pPr>
              <w:pStyle w:val="11"/>
              <w:spacing w:before="115" w:line="220" w:lineRule="auto"/>
              <w:ind w:left="112"/>
            </w:pPr>
            <w:r>
              <w:rPr>
                <w:spacing w:val="-1"/>
              </w:rPr>
              <w:t>有关工期的详细要求见第七章“技术标准和要求”。</w:t>
            </w:r>
          </w:p>
        </w:tc>
      </w:tr>
    </w:tbl>
    <w:p w14:paraId="70061E96">
      <w:pPr>
        <w:pStyle w:val="3"/>
      </w:pPr>
    </w:p>
    <w:p w14:paraId="2D54A16B">
      <w:pPr>
        <w:sectPr>
          <w:footerReference r:id="rId17" w:type="default"/>
          <w:pgSz w:w="11905" w:h="16839"/>
          <w:pgMar w:top="1421" w:right="1733" w:bottom="1036" w:left="1742" w:header="0" w:footer="847" w:gutter="0"/>
          <w:pgNumType w:fmt="decimal"/>
          <w:cols w:space="720" w:num="1"/>
        </w:sectPr>
      </w:pPr>
    </w:p>
    <w:p w14:paraId="47862BB7">
      <w:pPr>
        <w:spacing w:line="95" w:lineRule="auto"/>
        <w:rPr>
          <w:rFonts w:ascii="Arial"/>
          <w:sz w:val="2"/>
        </w:rPr>
      </w:pPr>
    </w:p>
    <w:tbl>
      <w:tblPr>
        <w:tblStyle w:val="10"/>
        <w:tblW w:w="842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54"/>
        <w:gridCol w:w="2121"/>
        <w:gridCol w:w="5447"/>
      </w:tblGrid>
      <w:tr w14:paraId="73E908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70" w:hRule="atLeast"/>
        </w:trPr>
        <w:tc>
          <w:tcPr>
            <w:tcW w:w="854" w:type="dxa"/>
            <w:vAlign w:val="top"/>
          </w:tcPr>
          <w:p w14:paraId="1EA3E1F6">
            <w:pPr>
              <w:spacing w:line="373" w:lineRule="auto"/>
              <w:rPr>
                <w:rFonts w:ascii="Arial"/>
                <w:sz w:val="21"/>
              </w:rPr>
            </w:pPr>
          </w:p>
          <w:p w14:paraId="2C0AFC76">
            <w:pPr>
              <w:spacing w:before="60" w:line="189" w:lineRule="auto"/>
              <w:ind w:left="236"/>
              <w:rPr>
                <w:rFonts w:ascii="Times New Roman" w:hAnsi="Times New Roman" w:eastAsia="Times New Roman" w:cs="Times New Roman"/>
                <w:sz w:val="21"/>
                <w:szCs w:val="21"/>
              </w:rPr>
            </w:pPr>
            <w:bookmarkStart w:id="28" w:name="bookmark51"/>
            <w:bookmarkEnd w:id="28"/>
            <w:bookmarkStart w:id="29" w:name="bookmark50"/>
            <w:bookmarkEnd w:id="29"/>
            <w:r>
              <w:rPr>
                <w:rFonts w:ascii="Times New Roman" w:hAnsi="Times New Roman" w:eastAsia="Times New Roman" w:cs="Times New Roman"/>
                <w:spacing w:val="-4"/>
                <w:sz w:val="21"/>
                <w:szCs w:val="21"/>
              </w:rPr>
              <w:t>1.3.3</w:t>
            </w:r>
          </w:p>
        </w:tc>
        <w:tc>
          <w:tcPr>
            <w:tcW w:w="2121" w:type="dxa"/>
            <w:vAlign w:val="top"/>
          </w:tcPr>
          <w:p w14:paraId="3C4F5B5C">
            <w:pPr>
              <w:spacing w:line="329" w:lineRule="auto"/>
              <w:rPr>
                <w:rFonts w:ascii="Arial"/>
                <w:sz w:val="21"/>
              </w:rPr>
            </w:pPr>
          </w:p>
          <w:p w14:paraId="04C11138">
            <w:pPr>
              <w:pStyle w:val="11"/>
              <w:spacing w:before="68" w:line="221" w:lineRule="auto"/>
              <w:ind w:left="648"/>
            </w:pPr>
            <w:r>
              <w:rPr>
                <w:spacing w:val="-1"/>
              </w:rPr>
              <w:t>质量要求</w:t>
            </w:r>
          </w:p>
        </w:tc>
        <w:tc>
          <w:tcPr>
            <w:tcW w:w="5447" w:type="dxa"/>
            <w:vAlign w:val="top"/>
          </w:tcPr>
          <w:p w14:paraId="3BCF7026">
            <w:pPr>
              <w:pStyle w:val="11"/>
              <w:spacing w:before="81" w:line="221" w:lineRule="auto"/>
              <w:ind w:left="112"/>
            </w:pPr>
            <w:r>
              <w:rPr>
                <w:spacing w:val="-21"/>
              </w:rPr>
              <w:t>质量目标：</w:t>
            </w:r>
            <w:r>
              <w:rPr>
                <w:spacing w:val="52"/>
              </w:rPr>
              <w:t xml:space="preserve"> </w:t>
            </w:r>
            <w:r>
              <w:rPr>
                <w:spacing w:val="-48"/>
                <w:u w:val="single" w:color="auto"/>
              </w:rPr>
              <w:t xml:space="preserve"> </w:t>
            </w:r>
            <w:r>
              <w:rPr>
                <w:spacing w:val="-21"/>
                <w:u w:val="single" w:color="auto"/>
              </w:rPr>
              <w:t>合格；</w:t>
            </w:r>
          </w:p>
          <w:p w14:paraId="6D329D8A">
            <w:pPr>
              <w:pStyle w:val="11"/>
              <w:spacing w:before="66" w:line="221" w:lineRule="auto"/>
              <w:ind w:left="112"/>
            </w:pPr>
            <w:r>
              <w:rPr>
                <w:spacing w:val="-27"/>
              </w:rPr>
              <w:t>其他要求：</w:t>
            </w:r>
            <w:r>
              <w:rPr>
                <w:spacing w:val="53"/>
              </w:rPr>
              <w:t xml:space="preserve"> </w:t>
            </w:r>
            <w:r>
              <w:rPr>
                <w:spacing w:val="3"/>
                <w:u w:val="single" w:color="auto"/>
              </w:rPr>
              <w:t xml:space="preserve">             </w:t>
            </w:r>
            <w:r>
              <w:rPr>
                <w:spacing w:val="-27"/>
                <w:u w:val="single" w:color="auto"/>
              </w:rPr>
              <w:t>。</w:t>
            </w:r>
          </w:p>
          <w:p w14:paraId="705CFA67">
            <w:pPr>
              <w:pStyle w:val="11"/>
              <w:spacing w:before="70" w:line="210" w:lineRule="auto"/>
              <w:ind w:left="114"/>
            </w:pPr>
            <w:r>
              <w:rPr>
                <w:spacing w:val="-1"/>
              </w:rPr>
              <w:t>关于质量要求的详细说明见第七章“技术标准和要求”。</w:t>
            </w:r>
          </w:p>
        </w:tc>
      </w:tr>
      <w:tr w14:paraId="3F911A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96" w:hRule="atLeast"/>
        </w:trPr>
        <w:tc>
          <w:tcPr>
            <w:tcW w:w="854" w:type="dxa"/>
            <w:vAlign w:val="top"/>
          </w:tcPr>
          <w:p w14:paraId="55399E64">
            <w:pPr>
              <w:spacing w:line="253" w:lineRule="auto"/>
              <w:rPr>
                <w:rFonts w:ascii="Arial"/>
                <w:sz w:val="21"/>
              </w:rPr>
            </w:pPr>
          </w:p>
          <w:p w14:paraId="60C883C3">
            <w:pPr>
              <w:spacing w:line="253" w:lineRule="auto"/>
              <w:rPr>
                <w:rFonts w:ascii="Arial"/>
                <w:sz w:val="21"/>
              </w:rPr>
            </w:pPr>
          </w:p>
          <w:p w14:paraId="534D4FE5">
            <w:pPr>
              <w:spacing w:line="253" w:lineRule="auto"/>
              <w:rPr>
                <w:rFonts w:ascii="Arial"/>
                <w:sz w:val="21"/>
              </w:rPr>
            </w:pPr>
          </w:p>
          <w:p w14:paraId="690B25A2">
            <w:pPr>
              <w:spacing w:line="253" w:lineRule="auto"/>
              <w:rPr>
                <w:rFonts w:ascii="Arial"/>
                <w:sz w:val="21"/>
              </w:rPr>
            </w:pPr>
          </w:p>
          <w:p w14:paraId="5C119B0C">
            <w:pPr>
              <w:spacing w:line="253" w:lineRule="auto"/>
              <w:rPr>
                <w:rFonts w:ascii="Arial"/>
                <w:sz w:val="21"/>
              </w:rPr>
            </w:pPr>
          </w:p>
          <w:p w14:paraId="4FC7F66E">
            <w:pPr>
              <w:spacing w:line="254" w:lineRule="auto"/>
              <w:rPr>
                <w:rFonts w:ascii="Arial"/>
                <w:sz w:val="21"/>
              </w:rPr>
            </w:pPr>
          </w:p>
          <w:p w14:paraId="3A1E8758">
            <w:pPr>
              <w:spacing w:line="254" w:lineRule="auto"/>
              <w:rPr>
                <w:rFonts w:ascii="Arial"/>
                <w:sz w:val="21"/>
              </w:rPr>
            </w:pPr>
          </w:p>
          <w:p w14:paraId="1A408035">
            <w:pPr>
              <w:spacing w:line="254" w:lineRule="auto"/>
              <w:rPr>
                <w:rFonts w:ascii="Arial"/>
                <w:sz w:val="21"/>
              </w:rPr>
            </w:pPr>
          </w:p>
          <w:p w14:paraId="1C9B3DAF">
            <w:pPr>
              <w:spacing w:line="254" w:lineRule="auto"/>
              <w:rPr>
                <w:rFonts w:ascii="Arial"/>
                <w:sz w:val="21"/>
              </w:rPr>
            </w:pPr>
          </w:p>
          <w:p w14:paraId="5025E78D">
            <w:pPr>
              <w:spacing w:before="61" w:line="189" w:lineRule="auto"/>
              <w:ind w:left="236"/>
              <w:rPr>
                <w:rFonts w:ascii="Times New Roman" w:hAnsi="Times New Roman" w:eastAsia="Times New Roman" w:cs="Times New Roman"/>
                <w:sz w:val="21"/>
                <w:szCs w:val="21"/>
              </w:rPr>
            </w:pPr>
            <w:r>
              <w:rPr>
                <w:rFonts w:ascii="Times New Roman" w:hAnsi="Times New Roman" w:eastAsia="Times New Roman" w:cs="Times New Roman"/>
                <w:spacing w:val="-4"/>
                <w:sz w:val="21"/>
                <w:szCs w:val="21"/>
              </w:rPr>
              <w:t>1.4.1</w:t>
            </w:r>
          </w:p>
        </w:tc>
        <w:tc>
          <w:tcPr>
            <w:tcW w:w="2121" w:type="dxa"/>
            <w:vAlign w:val="top"/>
          </w:tcPr>
          <w:p w14:paraId="7BEB1E16">
            <w:pPr>
              <w:spacing w:line="259" w:lineRule="auto"/>
              <w:rPr>
                <w:rFonts w:ascii="Arial"/>
                <w:sz w:val="21"/>
              </w:rPr>
            </w:pPr>
          </w:p>
          <w:p w14:paraId="592C7195">
            <w:pPr>
              <w:spacing w:line="259" w:lineRule="auto"/>
              <w:rPr>
                <w:rFonts w:ascii="Arial"/>
                <w:sz w:val="21"/>
              </w:rPr>
            </w:pPr>
          </w:p>
          <w:p w14:paraId="132C6E47">
            <w:pPr>
              <w:spacing w:line="259" w:lineRule="auto"/>
              <w:rPr>
                <w:rFonts w:ascii="Arial"/>
                <w:sz w:val="21"/>
              </w:rPr>
            </w:pPr>
          </w:p>
          <w:p w14:paraId="484864BC">
            <w:pPr>
              <w:spacing w:line="259" w:lineRule="auto"/>
              <w:rPr>
                <w:rFonts w:ascii="Arial"/>
                <w:sz w:val="21"/>
              </w:rPr>
            </w:pPr>
          </w:p>
          <w:p w14:paraId="1CF14438">
            <w:pPr>
              <w:spacing w:line="259" w:lineRule="auto"/>
              <w:rPr>
                <w:rFonts w:ascii="Arial"/>
                <w:sz w:val="21"/>
              </w:rPr>
            </w:pPr>
          </w:p>
          <w:p w14:paraId="35B17F0B">
            <w:pPr>
              <w:spacing w:line="260" w:lineRule="auto"/>
              <w:rPr>
                <w:rFonts w:ascii="Arial"/>
                <w:sz w:val="21"/>
              </w:rPr>
            </w:pPr>
          </w:p>
          <w:p w14:paraId="756D870C">
            <w:pPr>
              <w:spacing w:line="260" w:lineRule="auto"/>
              <w:rPr>
                <w:rFonts w:ascii="Arial"/>
                <w:sz w:val="21"/>
              </w:rPr>
            </w:pPr>
          </w:p>
          <w:p w14:paraId="54420B60">
            <w:pPr>
              <w:spacing w:line="260" w:lineRule="auto"/>
              <w:rPr>
                <w:rFonts w:ascii="Arial"/>
                <w:sz w:val="21"/>
              </w:rPr>
            </w:pPr>
          </w:p>
          <w:p w14:paraId="7B12AB75">
            <w:pPr>
              <w:pStyle w:val="11"/>
              <w:spacing w:before="69" w:line="251" w:lineRule="auto"/>
              <w:ind w:left="549" w:right="245" w:hanging="322"/>
            </w:pPr>
            <w:r>
              <w:rPr>
                <w:spacing w:val="-5"/>
              </w:rPr>
              <w:t>投标人资质条件、</w:t>
            </w:r>
            <w:r>
              <w:rPr>
                <w:spacing w:val="1"/>
              </w:rPr>
              <w:t xml:space="preserve"> </w:t>
            </w:r>
            <w:r>
              <w:rPr>
                <w:spacing w:val="-2"/>
              </w:rPr>
              <w:t>能力和信誉</w:t>
            </w:r>
          </w:p>
        </w:tc>
        <w:tc>
          <w:tcPr>
            <w:tcW w:w="5447" w:type="dxa"/>
            <w:vAlign w:val="top"/>
          </w:tcPr>
          <w:p w14:paraId="777843A2">
            <w:pPr>
              <w:pStyle w:val="11"/>
              <w:spacing w:before="76" w:line="261" w:lineRule="auto"/>
              <w:ind w:left="114" w:right="109" w:firstLine="5"/>
            </w:pPr>
            <w:r>
              <w:rPr>
                <w:spacing w:val="-5"/>
                <w14:textOutline w14:w="3831" w14:cap="flat" w14:cmpd="sng">
                  <w14:solidFill>
                    <w14:srgbClr w14:val="000000"/>
                  </w14:solidFill>
                  <w14:prstDash w14:val="solid"/>
                  <w14:miter w14:val="0"/>
                </w14:textOutline>
              </w:rPr>
              <w:t>资质条件：具备</w:t>
            </w:r>
            <w:r>
              <w:rPr>
                <w:rFonts w:hint="eastAsia"/>
                <w:spacing w:val="-5"/>
                <w:lang w:val="en-US" w:eastAsia="zh-CN"/>
                <w14:textOutline w14:w="3831" w14:cap="flat" w14:cmpd="sng">
                  <w14:solidFill>
                    <w14:srgbClr w14:val="000000"/>
                  </w14:solidFill>
                  <w14:prstDash w14:val="solid"/>
                  <w14:miter w14:val="0"/>
                </w14:textOutline>
              </w:rPr>
              <w:t xml:space="preserve"> [</w:t>
            </w:r>
            <w:r>
              <w:rPr>
                <w:spacing w:val="-104"/>
              </w:rPr>
              <w:t xml:space="preserve"> </w:t>
            </w:r>
            <w:r>
              <w:rPr>
                <w:rFonts w:hint="eastAsia" w:cs="宋体"/>
                <w:spacing w:val="-1"/>
                <w:sz w:val="21"/>
                <w:szCs w:val="21"/>
                <w:lang w:eastAsia="zh-CN"/>
              </w:rPr>
              <w:t>铁路工程施工总承包三级</w:t>
            </w:r>
            <w:r>
              <w:rPr>
                <w:rFonts w:hint="eastAsia" w:cs="宋体"/>
                <w:spacing w:val="-1"/>
                <w:sz w:val="21"/>
                <w:szCs w:val="21"/>
                <w:lang w:val="en-US" w:eastAsia="zh-CN"/>
              </w:rPr>
              <w:t>]和[市政公用工程施工总承包三级]</w:t>
            </w:r>
            <w:r>
              <w:rPr>
                <w:rFonts w:ascii="宋体" w:hAnsi="宋体" w:eastAsia="宋体" w:cs="宋体"/>
                <w:spacing w:val="-1"/>
                <w:sz w:val="21"/>
                <w:szCs w:val="21"/>
              </w:rPr>
              <w:t>(含)</w:t>
            </w:r>
            <w:r>
              <w:rPr>
                <w:rFonts w:hint="eastAsia" w:cs="宋体"/>
                <w:spacing w:val="-1"/>
                <w:sz w:val="21"/>
                <w:szCs w:val="21"/>
                <w:lang w:val="en-US" w:eastAsia="zh-CN"/>
              </w:rPr>
              <w:t>及</w:t>
            </w:r>
            <w:r>
              <w:rPr>
                <w:rFonts w:hint="eastAsia" w:ascii="宋体" w:hAnsi="宋体" w:eastAsia="宋体" w:cs="宋体"/>
                <w:spacing w:val="-1"/>
                <w:sz w:val="21"/>
                <w:szCs w:val="21"/>
                <w:lang w:val="en-US" w:eastAsia="zh-CN"/>
              </w:rPr>
              <w:t>以</w:t>
            </w:r>
            <w:r>
              <w:rPr>
                <w:rFonts w:ascii="宋体" w:hAnsi="宋体" w:eastAsia="宋体" w:cs="宋体"/>
                <w:spacing w:val="-1"/>
                <w:sz w:val="21"/>
                <w:szCs w:val="21"/>
              </w:rPr>
              <w:t>上资质</w:t>
            </w:r>
            <w:r>
              <w:rPr>
                <w:spacing w:val="-5"/>
              </w:rPr>
              <w:t>且</w:t>
            </w:r>
            <w:r>
              <w:rPr>
                <w:spacing w:val="7"/>
              </w:rPr>
              <w:t>具备有效的安全生产许可证，具备市场监督管理部门核</w:t>
            </w:r>
            <w:r>
              <w:rPr>
                <w:spacing w:val="-4"/>
              </w:rPr>
              <w:t>发的有效营业执照。</w:t>
            </w:r>
          </w:p>
          <w:p w14:paraId="5FCA989D">
            <w:pPr>
              <w:pStyle w:val="11"/>
              <w:spacing w:before="69" w:line="252" w:lineRule="auto"/>
              <w:ind w:left="112" w:right="124" w:hanging="1"/>
            </w:pPr>
            <w:r>
              <w:rPr>
                <w:spacing w:val="-5"/>
                <w14:textOutline w14:w="3831" w14:cap="flat" w14:cmpd="sng">
                  <w14:solidFill>
                    <w14:srgbClr w14:val="000000"/>
                  </w14:solidFill>
                  <w14:prstDash w14:val="solid"/>
                  <w14:miter w14:val="0"/>
                </w14:textOutline>
              </w:rPr>
              <w:t>信誉要求：</w:t>
            </w:r>
            <w:r>
              <w:rPr>
                <w:spacing w:val="72"/>
              </w:rPr>
              <w:t xml:space="preserve"> </w:t>
            </w:r>
            <w:r>
              <w:rPr>
                <w:spacing w:val="-5"/>
              </w:rPr>
              <w:t>不得具有投标人须知第</w:t>
            </w:r>
            <w:r>
              <w:rPr>
                <w:spacing w:val="28"/>
              </w:rPr>
              <w:t xml:space="preserve"> </w:t>
            </w:r>
            <w:r>
              <w:rPr>
                <w:rFonts w:ascii="Times New Roman" w:hAnsi="Times New Roman" w:eastAsia="Times New Roman" w:cs="Times New Roman"/>
                <w:spacing w:val="-5"/>
              </w:rPr>
              <w:t>1.4.3</w:t>
            </w:r>
            <w:r>
              <w:rPr>
                <w:spacing w:val="-5"/>
              </w:rPr>
              <w:t>（</w:t>
            </w:r>
            <w:r>
              <w:rPr>
                <w:rFonts w:ascii="Times New Roman" w:hAnsi="Times New Roman" w:eastAsia="Times New Roman" w:cs="Times New Roman"/>
                <w:spacing w:val="-5"/>
              </w:rPr>
              <w:t>10</w:t>
            </w:r>
            <w:r>
              <w:rPr>
                <w:spacing w:val="-5"/>
              </w:rPr>
              <w:t>）至（</w:t>
            </w:r>
            <w:r>
              <w:rPr>
                <w:rFonts w:ascii="Times New Roman" w:hAnsi="Times New Roman" w:eastAsia="Times New Roman" w:cs="Times New Roman"/>
                <w:spacing w:val="-5"/>
              </w:rPr>
              <w:t>17</w:t>
            </w:r>
            <w:r>
              <w:rPr>
                <w:spacing w:val="-5"/>
              </w:rPr>
              <w:t>）</w:t>
            </w:r>
            <w:r>
              <w:t xml:space="preserve"> </w:t>
            </w:r>
            <w:r>
              <w:rPr>
                <w:spacing w:val="-4"/>
              </w:rPr>
              <w:t>条目规定的情形。</w:t>
            </w:r>
          </w:p>
          <w:p w14:paraId="4F0C484A">
            <w:pPr>
              <w:pStyle w:val="11"/>
              <w:spacing w:before="66" w:line="266" w:lineRule="auto"/>
              <w:ind w:left="111" w:right="110" w:firstLine="3"/>
            </w:pPr>
            <w:r>
              <w:rPr>
                <w:spacing w:val="-8"/>
                <w14:textOutline w14:w="3831" w14:cap="flat" w14:cmpd="sng">
                  <w14:solidFill>
                    <w14:srgbClr w14:val="000000"/>
                  </w14:solidFill>
                  <w14:prstDash w14:val="solid"/>
                  <w14:miter w14:val="0"/>
                </w14:textOutline>
              </w:rPr>
              <w:t>项目经理资格：</w:t>
            </w:r>
            <w:r>
              <w:rPr>
                <w:spacing w:val="80"/>
              </w:rPr>
              <w:t xml:space="preserve"> </w:t>
            </w:r>
            <w:r>
              <w:rPr>
                <w:spacing w:val="-8"/>
              </w:rPr>
              <w:t>具备</w:t>
            </w:r>
            <w:r>
              <w:rPr>
                <w:rFonts w:hint="eastAsia" w:cs="宋体"/>
                <w:spacing w:val="-1"/>
                <w:sz w:val="21"/>
                <w:szCs w:val="21"/>
                <w:highlight w:val="yellow"/>
                <w:lang w:val="en-US" w:eastAsia="zh-CN"/>
              </w:rPr>
              <w:t>铁路</w:t>
            </w:r>
            <w:r>
              <w:rPr>
                <w:rFonts w:ascii="宋体" w:hAnsi="宋体" w:eastAsia="宋体" w:cs="宋体"/>
                <w:spacing w:val="-1"/>
                <w:sz w:val="21"/>
                <w:szCs w:val="21"/>
                <w:highlight w:val="yellow"/>
              </w:rPr>
              <w:t>工程</w:t>
            </w:r>
            <w:r>
              <w:rPr>
                <w:spacing w:val="-8"/>
                <w:highlight w:val="yellow"/>
              </w:rPr>
              <w:t>专业</w:t>
            </w:r>
            <w:r>
              <w:rPr>
                <w:spacing w:val="-8"/>
                <w:highlight w:val="yellow"/>
                <w:u w:val="single" w:color="auto"/>
              </w:rPr>
              <w:t xml:space="preserve"> </w:t>
            </w:r>
            <w:r>
              <w:rPr>
                <w:rFonts w:hint="eastAsia"/>
                <w:spacing w:val="-8"/>
                <w:highlight w:val="yellow"/>
                <w:u w:val="single" w:color="auto"/>
                <w:lang w:val="en-US" w:eastAsia="zh-CN"/>
              </w:rPr>
              <w:t>一</w:t>
            </w:r>
            <w:r>
              <w:rPr>
                <w:spacing w:val="-8"/>
                <w:highlight w:val="yellow"/>
              </w:rPr>
              <w:t>级注册建造师</w:t>
            </w:r>
            <w:r>
              <w:rPr>
                <w:spacing w:val="-8"/>
              </w:rPr>
              <w:t>执业资</w:t>
            </w:r>
            <w:r>
              <w:rPr>
                <w:spacing w:val="1"/>
              </w:rPr>
              <w:t>格和有效的安全生产考核合格证书（</w:t>
            </w:r>
            <w:r>
              <w:rPr>
                <w:rFonts w:ascii="Times New Roman" w:hAnsi="Times New Roman" w:eastAsia="Times New Roman" w:cs="Times New Roman"/>
                <w:spacing w:val="1"/>
              </w:rPr>
              <w:t>B</w:t>
            </w:r>
            <w:r>
              <w:rPr>
                <w:rFonts w:ascii="Times New Roman" w:hAnsi="Times New Roman" w:eastAsia="Times New Roman" w:cs="Times New Roman"/>
                <w:spacing w:val="37"/>
              </w:rPr>
              <w:t xml:space="preserve"> </w:t>
            </w:r>
            <w:r>
              <w:rPr>
                <w:spacing w:val="1"/>
              </w:rPr>
              <w:t>证</w:t>
            </w:r>
            <w:r>
              <w:rPr>
                <w:spacing w:val="-37"/>
              </w:rPr>
              <w:t>），</w:t>
            </w:r>
            <w:r>
              <w:rPr>
                <w:spacing w:val="1"/>
              </w:rPr>
              <w:t>且未担任其</w:t>
            </w:r>
            <w:r>
              <w:t xml:space="preserve"> </w:t>
            </w:r>
            <w:r>
              <w:rPr>
                <w:spacing w:val="-2"/>
              </w:rPr>
              <w:t>他在建工程项目的项目经理，二次刷卡认证通过；《注册</w:t>
            </w:r>
            <w:r>
              <w:rPr>
                <w:spacing w:val="16"/>
              </w:rPr>
              <w:t xml:space="preserve"> </w:t>
            </w:r>
            <w:r>
              <w:rPr>
                <w:spacing w:val="-5"/>
              </w:rPr>
              <w:t>建造师执业管理办法（试行）》第九条规定的情</w:t>
            </w:r>
            <w:r>
              <w:rPr>
                <w:spacing w:val="-6"/>
              </w:rPr>
              <w:t>形除外。</w:t>
            </w:r>
          </w:p>
          <w:p w14:paraId="72A4B903">
            <w:pPr>
              <w:pStyle w:val="11"/>
              <w:spacing w:before="69" w:line="252" w:lineRule="auto"/>
              <w:ind w:left="110" w:right="116"/>
            </w:pPr>
            <w:r>
              <w:rPr>
                <w:spacing w:val="7"/>
                <w14:textOutline w14:w="3831" w14:cap="flat" w14:cmpd="sng">
                  <w14:solidFill>
                    <w14:srgbClr w14:val="000000"/>
                  </w14:solidFill>
                  <w14:prstDash w14:val="solid"/>
                  <w14:miter w14:val="0"/>
                </w14:textOutline>
              </w:rPr>
              <w:t>注：项目经理不得同时在两个或者两个以上工程项目担</w:t>
            </w:r>
            <w:r>
              <w:rPr>
                <w:spacing w:val="4"/>
              </w:rPr>
              <w:t xml:space="preserve"> </w:t>
            </w:r>
            <w:r>
              <w:rPr>
                <w:spacing w:val="-5"/>
                <w14:textOutline w14:w="3831" w14:cap="flat" w14:cmpd="sng">
                  <w14:solidFill>
                    <w14:srgbClr w14:val="000000"/>
                  </w14:solidFill>
                  <w14:prstDash w14:val="solid"/>
                  <w14:miter w14:val="0"/>
                </w14:textOutline>
              </w:rPr>
              <w:t>任项目经理。</w:t>
            </w:r>
          </w:p>
          <w:p w14:paraId="2BC04334">
            <w:pPr>
              <w:pStyle w:val="11"/>
              <w:spacing w:before="67" w:line="221" w:lineRule="auto"/>
              <w:ind w:left="110"/>
            </w:pPr>
            <w:r>
              <w:rPr>
                <w:spacing w:val="-23"/>
                <w:w w:val="96"/>
                <w14:textOutline w14:w="3831" w14:cap="flat" w14:cmpd="sng">
                  <w14:solidFill>
                    <w14:srgbClr w14:val="000000"/>
                  </w14:solidFill>
                  <w14:prstDash w14:val="solid"/>
                  <w14:miter w14:val="0"/>
                </w14:textOutline>
              </w:rPr>
              <w:t>业绩要求：</w:t>
            </w:r>
            <w:r>
              <w:rPr>
                <w:spacing w:val="48"/>
              </w:rPr>
              <w:t xml:space="preserve"> </w:t>
            </w:r>
            <w:r>
              <w:rPr>
                <w:u w:val="single" w:color="auto"/>
              </w:rPr>
              <w:t xml:space="preserve"> </w:t>
            </w:r>
            <w:r>
              <w:rPr>
                <w:rFonts w:hint="eastAsia"/>
                <w:u w:val="single" w:color="auto"/>
                <w:lang w:val="en-US" w:eastAsia="zh-CN"/>
              </w:rPr>
              <w:t>/</w:t>
            </w:r>
            <w:r>
              <w:rPr>
                <w:u w:val="single" w:color="auto"/>
              </w:rPr>
              <w:t xml:space="preserve">                 </w:t>
            </w:r>
          </w:p>
          <w:p w14:paraId="674CFD2B">
            <w:pPr>
              <w:pStyle w:val="11"/>
              <w:spacing w:before="70" w:line="220" w:lineRule="auto"/>
              <w:ind w:left="114"/>
            </w:pPr>
            <w:r>
              <w:rPr>
                <w:spacing w:val="-12"/>
                <w14:textOutline w14:w="3831" w14:cap="flat" w14:cmpd="sng">
                  <w14:solidFill>
                    <w14:srgbClr w14:val="000000"/>
                  </w14:solidFill>
                  <w14:prstDash w14:val="solid"/>
                  <w14:miter w14:val="0"/>
                </w14:textOutline>
              </w:rPr>
              <w:t>项目管理机构主要人员要求：</w:t>
            </w:r>
            <w:r>
              <w:rPr>
                <w:spacing w:val="53"/>
              </w:rPr>
              <w:t xml:space="preserve"> </w:t>
            </w:r>
            <w:r>
              <w:rPr>
                <w:u w:val="single" w:color="auto"/>
              </w:rPr>
              <w:t xml:space="preserve">  </w:t>
            </w:r>
            <w:r>
              <w:rPr>
                <w:rFonts w:hint="eastAsia"/>
                <w:u w:val="single" w:color="auto"/>
                <w:lang w:val="en-US" w:eastAsia="zh-CN"/>
              </w:rPr>
              <w:t>/</w:t>
            </w:r>
            <w:r>
              <w:rPr>
                <w:u w:val="single" w:color="auto"/>
              </w:rPr>
              <w:t xml:space="preserve">                </w:t>
            </w:r>
          </w:p>
          <w:p w14:paraId="05EDC8CE">
            <w:pPr>
              <w:pStyle w:val="11"/>
              <w:spacing w:before="71" w:line="254" w:lineRule="auto"/>
              <w:ind w:left="107" w:right="584" w:firstLine="4"/>
              <w:rPr>
                <w:rFonts w:ascii="Times New Roman" w:hAnsi="Times New Roman" w:eastAsia="Times New Roman" w:cs="Times New Roman"/>
              </w:rPr>
            </w:pPr>
            <w:r>
              <w:rPr>
                <w:spacing w:val="-9"/>
                <w14:textOutline w14:w="3831" w14:cap="flat" w14:cmpd="sng">
                  <w14:solidFill>
                    <w14:srgbClr w14:val="000000"/>
                  </w14:solidFill>
                  <w14:prstDash w14:val="solid"/>
                  <w14:miter w14:val="0"/>
                </w14:textOutline>
              </w:rPr>
              <w:t>其他要求：</w:t>
            </w:r>
            <w:r>
              <w:rPr>
                <w:spacing w:val="77"/>
              </w:rPr>
              <w:t xml:space="preserve"> </w:t>
            </w:r>
            <w:r>
              <w:rPr>
                <w:rFonts w:ascii="Times New Roman" w:hAnsi="Times New Roman" w:eastAsia="Times New Roman" w:cs="Times New Roman"/>
                <w:spacing w:val="-9"/>
              </w:rPr>
              <w:t>1.</w:t>
            </w:r>
            <w:r>
              <w:rPr>
                <w:spacing w:val="-9"/>
              </w:rPr>
              <w:t>具有有效的企业在辽基本信息登记单。</w:t>
            </w:r>
            <w:r>
              <w:t xml:space="preserve"> </w:t>
            </w:r>
            <w:r>
              <w:rPr>
                <w:rFonts w:ascii="Times New Roman" w:hAnsi="Times New Roman" w:eastAsia="Times New Roman" w:cs="Times New Roman"/>
                <w:spacing w:val="-2"/>
              </w:rPr>
              <w:t>2.</w:t>
            </w:r>
          </w:p>
        </w:tc>
      </w:tr>
      <w:tr w14:paraId="5A9FD4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49" w:hRule="atLeast"/>
        </w:trPr>
        <w:tc>
          <w:tcPr>
            <w:tcW w:w="854" w:type="dxa"/>
            <w:vAlign w:val="top"/>
          </w:tcPr>
          <w:p w14:paraId="32EE0711">
            <w:pPr>
              <w:spacing w:line="272" w:lineRule="auto"/>
              <w:rPr>
                <w:rFonts w:ascii="Arial"/>
                <w:sz w:val="21"/>
              </w:rPr>
            </w:pPr>
          </w:p>
          <w:p w14:paraId="35B4B31D">
            <w:pPr>
              <w:spacing w:line="272" w:lineRule="auto"/>
              <w:rPr>
                <w:rFonts w:ascii="Arial"/>
                <w:sz w:val="21"/>
              </w:rPr>
            </w:pPr>
          </w:p>
          <w:p w14:paraId="01F856D2">
            <w:pPr>
              <w:spacing w:line="273" w:lineRule="auto"/>
              <w:rPr>
                <w:rFonts w:ascii="Arial"/>
                <w:sz w:val="21"/>
              </w:rPr>
            </w:pPr>
          </w:p>
          <w:p w14:paraId="0E43D9DA">
            <w:pPr>
              <w:spacing w:before="60" w:line="189" w:lineRule="auto"/>
              <w:ind w:left="236"/>
              <w:rPr>
                <w:rFonts w:ascii="Times New Roman" w:hAnsi="Times New Roman" w:eastAsia="Times New Roman" w:cs="Times New Roman"/>
                <w:sz w:val="21"/>
                <w:szCs w:val="21"/>
              </w:rPr>
            </w:pPr>
            <w:r>
              <w:rPr>
                <w:rFonts w:ascii="Times New Roman" w:hAnsi="Times New Roman" w:eastAsia="Times New Roman" w:cs="Times New Roman"/>
                <w:spacing w:val="-4"/>
                <w:sz w:val="21"/>
                <w:szCs w:val="21"/>
              </w:rPr>
              <w:t>1.4.2</w:t>
            </w:r>
          </w:p>
        </w:tc>
        <w:tc>
          <w:tcPr>
            <w:tcW w:w="2121" w:type="dxa"/>
            <w:vAlign w:val="top"/>
          </w:tcPr>
          <w:p w14:paraId="5A1A118A">
            <w:pPr>
              <w:spacing w:line="257" w:lineRule="auto"/>
              <w:rPr>
                <w:rFonts w:ascii="Arial"/>
                <w:sz w:val="21"/>
              </w:rPr>
            </w:pPr>
          </w:p>
          <w:p w14:paraId="50A830E7">
            <w:pPr>
              <w:spacing w:line="258" w:lineRule="auto"/>
              <w:rPr>
                <w:rFonts w:ascii="Arial"/>
                <w:sz w:val="21"/>
              </w:rPr>
            </w:pPr>
          </w:p>
          <w:p w14:paraId="5D99ACFB">
            <w:pPr>
              <w:spacing w:line="258" w:lineRule="auto"/>
              <w:rPr>
                <w:rFonts w:ascii="Arial"/>
                <w:sz w:val="21"/>
              </w:rPr>
            </w:pPr>
          </w:p>
          <w:p w14:paraId="2B0FB0F8">
            <w:pPr>
              <w:pStyle w:val="11"/>
              <w:spacing w:before="68" w:line="221" w:lineRule="auto"/>
              <w:ind w:left="122"/>
            </w:pPr>
            <w:r>
              <w:rPr>
                <w:spacing w:val="-1"/>
              </w:rPr>
              <w:t>是否接受联合体投标</w:t>
            </w:r>
          </w:p>
        </w:tc>
        <w:tc>
          <w:tcPr>
            <w:tcW w:w="5447" w:type="dxa"/>
            <w:vAlign w:val="top"/>
          </w:tcPr>
          <w:p w14:paraId="557D6363">
            <w:pPr>
              <w:pStyle w:val="11"/>
              <w:spacing w:before="207" w:line="222" w:lineRule="auto"/>
              <w:ind w:left="132"/>
            </w:pPr>
            <w:r>
              <w:rPr>
                <w:spacing w:val="-5"/>
              </w:rPr>
              <w:sym w:font="Wingdings 2" w:char="00A3"/>
            </w:r>
            <w:r>
              <w:rPr>
                <w:spacing w:val="-5"/>
              </w:rPr>
              <w:t>不接受</w:t>
            </w:r>
          </w:p>
          <w:p w14:paraId="6B86BAFB">
            <w:pPr>
              <w:pStyle w:val="11"/>
              <w:spacing w:before="68" w:line="221" w:lineRule="auto"/>
              <w:ind w:left="132"/>
            </w:pPr>
            <w:r>
              <w:rPr>
                <w:rFonts w:hint="eastAsia"/>
                <w:spacing w:val="-10"/>
                <w:lang w:eastAsia="zh-CN"/>
              </w:rPr>
              <w:t>☑</w:t>
            </w:r>
            <w:r>
              <w:rPr>
                <w:spacing w:val="-10"/>
              </w:rPr>
              <w:t xml:space="preserve">接受，应满足下列要求： </w:t>
            </w:r>
            <w:r>
              <w:rPr>
                <w:u w:val="single" w:color="auto"/>
              </w:rPr>
              <w:t xml:space="preserve">       </w:t>
            </w:r>
          </w:p>
          <w:p w14:paraId="04A1D9AB">
            <w:pPr>
              <w:pStyle w:val="11"/>
              <w:spacing w:before="67" w:line="262" w:lineRule="auto"/>
              <w:ind w:left="111" w:right="115"/>
              <w:jc w:val="both"/>
            </w:pPr>
            <w:r>
              <w:rPr>
                <w:spacing w:val="7"/>
              </w:rPr>
              <w:t>其中：</w:t>
            </w:r>
            <w:r>
              <w:rPr>
                <w:spacing w:val="7"/>
                <w:u w:val="single" w:color="auto"/>
              </w:rPr>
              <w:t>联合体资质按照联合体协议约定的分工认定，其</w:t>
            </w:r>
            <w:r>
              <w:rPr>
                <w:spacing w:val="4"/>
              </w:rPr>
              <w:t xml:space="preserve"> </w:t>
            </w:r>
            <w:r>
              <w:rPr>
                <w:spacing w:val="7"/>
                <w:u w:val="single" w:color="auto"/>
              </w:rPr>
              <w:t>他按照评审标准规定和联合体协议中约定的各成员分工</w:t>
            </w:r>
            <w:r>
              <w:rPr>
                <w:spacing w:val="4"/>
              </w:rPr>
              <w:t xml:space="preserve"> </w:t>
            </w:r>
            <w:r>
              <w:rPr>
                <w:spacing w:val="-25"/>
                <w:w w:val="98"/>
                <w:u w:val="single" w:color="auto"/>
              </w:rPr>
              <w:t>要求进行。</w:t>
            </w:r>
            <w:r>
              <w:rPr>
                <w:spacing w:val="3"/>
                <w:u w:val="single" w:color="auto"/>
              </w:rPr>
              <w:t xml:space="preserve">  </w:t>
            </w:r>
          </w:p>
        </w:tc>
      </w:tr>
      <w:tr w14:paraId="22377D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3" w:hRule="atLeast"/>
        </w:trPr>
        <w:tc>
          <w:tcPr>
            <w:tcW w:w="854" w:type="dxa"/>
            <w:vAlign w:val="top"/>
          </w:tcPr>
          <w:p w14:paraId="367C6D9F">
            <w:pPr>
              <w:pStyle w:val="11"/>
              <w:spacing w:before="118"/>
              <w:ind w:left="120" w:right="124" w:firstLine="115"/>
            </w:pPr>
            <w:r>
              <w:rPr>
                <w:rFonts w:ascii="Times New Roman" w:hAnsi="Times New Roman" w:eastAsia="Times New Roman" w:cs="Times New Roman"/>
                <w:spacing w:val="-5"/>
              </w:rPr>
              <w:t>1.4.3</w:t>
            </w:r>
            <w:r>
              <w:rPr>
                <w:rFonts w:ascii="Times New Roman" w:hAnsi="Times New Roman" w:eastAsia="Times New Roman" w:cs="Times New Roman"/>
              </w:rPr>
              <w:t xml:space="preserve">   </w:t>
            </w:r>
            <w:r>
              <w:rPr>
                <w:spacing w:val="-7"/>
              </w:rPr>
              <w:t>（</w:t>
            </w:r>
            <w:r>
              <w:rPr>
                <w:rFonts w:ascii="Times New Roman" w:hAnsi="Times New Roman" w:eastAsia="Times New Roman" w:cs="Times New Roman"/>
                <w:spacing w:val="-7"/>
              </w:rPr>
              <w:t>17</w:t>
            </w:r>
            <w:r>
              <w:rPr>
                <w:spacing w:val="-7"/>
              </w:rPr>
              <w:t>）</w:t>
            </w:r>
          </w:p>
        </w:tc>
        <w:tc>
          <w:tcPr>
            <w:tcW w:w="2121" w:type="dxa"/>
            <w:vAlign w:val="top"/>
          </w:tcPr>
          <w:p w14:paraId="12DFE99E">
            <w:pPr>
              <w:pStyle w:val="11"/>
              <w:spacing w:before="82" w:line="242" w:lineRule="auto"/>
              <w:ind w:left="752" w:right="108" w:hanging="631"/>
            </w:pPr>
            <w:r>
              <w:rPr>
                <w:spacing w:val="-1"/>
              </w:rPr>
              <w:t>投标人不得存在的其</w:t>
            </w:r>
            <w:r>
              <w:rPr>
                <w:spacing w:val="3"/>
              </w:rPr>
              <w:t xml:space="preserve"> </w:t>
            </w:r>
            <w:r>
              <w:rPr>
                <w:spacing w:val="-2"/>
              </w:rPr>
              <w:t>他情形</w:t>
            </w:r>
          </w:p>
        </w:tc>
        <w:tc>
          <w:tcPr>
            <w:tcW w:w="5447" w:type="dxa"/>
            <w:vAlign w:val="top"/>
          </w:tcPr>
          <w:p w14:paraId="29D11898">
            <w:pPr>
              <w:rPr>
                <w:rFonts w:hint="eastAsia" w:ascii="Arial" w:eastAsia="宋体"/>
                <w:sz w:val="21"/>
                <w:lang w:val="en-US" w:eastAsia="zh-CN"/>
              </w:rPr>
            </w:pPr>
            <w:r>
              <w:rPr>
                <w:rFonts w:hint="eastAsia" w:eastAsia="宋体"/>
                <w:sz w:val="21"/>
                <w:lang w:val="en-US" w:eastAsia="zh-CN"/>
              </w:rPr>
              <w:t>/</w:t>
            </w:r>
          </w:p>
        </w:tc>
      </w:tr>
      <w:tr w14:paraId="6D9480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76" w:hRule="atLeast"/>
        </w:trPr>
        <w:tc>
          <w:tcPr>
            <w:tcW w:w="854" w:type="dxa"/>
            <w:vAlign w:val="top"/>
          </w:tcPr>
          <w:p w14:paraId="0324998D">
            <w:pPr>
              <w:spacing w:line="434" w:lineRule="auto"/>
              <w:rPr>
                <w:rFonts w:ascii="Arial"/>
                <w:sz w:val="21"/>
              </w:rPr>
            </w:pPr>
          </w:p>
          <w:p w14:paraId="69C1A943">
            <w:pPr>
              <w:spacing w:before="61" w:line="189" w:lineRule="auto"/>
              <w:ind w:left="236"/>
              <w:rPr>
                <w:rFonts w:ascii="Times New Roman" w:hAnsi="Times New Roman" w:eastAsia="Times New Roman" w:cs="Times New Roman"/>
                <w:sz w:val="21"/>
                <w:szCs w:val="21"/>
              </w:rPr>
            </w:pPr>
            <w:r>
              <w:rPr>
                <w:rFonts w:ascii="Times New Roman" w:hAnsi="Times New Roman" w:eastAsia="Times New Roman" w:cs="Times New Roman"/>
                <w:spacing w:val="-4"/>
                <w:sz w:val="21"/>
                <w:szCs w:val="21"/>
              </w:rPr>
              <w:t>1.9.1</w:t>
            </w:r>
          </w:p>
        </w:tc>
        <w:tc>
          <w:tcPr>
            <w:tcW w:w="2121" w:type="dxa"/>
            <w:vAlign w:val="top"/>
          </w:tcPr>
          <w:p w14:paraId="7B0026F9">
            <w:pPr>
              <w:spacing w:line="390" w:lineRule="auto"/>
              <w:rPr>
                <w:rFonts w:ascii="Arial"/>
                <w:sz w:val="21"/>
              </w:rPr>
            </w:pPr>
          </w:p>
          <w:p w14:paraId="74C01DA8">
            <w:pPr>
              <w:pStyle w:val="11"/>
              <w:spacing w:before="68" w:line="221" w:lineRule="auto"/>
              <w:ind w:left="648"/>
            </w:pPr>
            <w:r>
              <w:rPr>
                <w:spacing w:val="-1"/>
              </w:rPr>
              <w:t>踏勘现场</w:t>
            </w:r>
          </w:p>
        </w:tc>
        <w:tc>
          <w:tcPr>
            <w:tcW w:w="5447" w:type="dxa"/>
            <w:vAlign w:val="top"/>
          </w:tcPr>
          <w:p w14:paraId="7C081502">
            <w:pPr>
              <w:pStyle w:val="11"/>
              <w:spacing w:before="139" w:line="222" w:lineRule="auto"/>
              <w:ind w:left="132"/>
            </w:pPr>
            <w:r>
              <w:rPr>
                <w:spacing w:val="-4"/>
              </w:rPr>
              <w:sym w:font="Wingdings 2" w:char="0052"/>
            </w:r>
            <w:r>
              <w:rPr>
                <w:spacing w:val="-4"/>
              </w:rPr>
              <w:t>不统一组织（选）</w:t>
            </w:r>
          </w:p>
          <w:p w14:paraId="3547CDD7">
            <w:pPr>
              <w:pStyle w:val="11"/>
              <w:spacing w:before="68" w:line="250" w:lineRule="auto"/>
              <w:ind w:left="1374" w:right="1766" w:hanging="1242"/>
            </w:pPr>
            <w:r>
              <w:rPr>
                <w:spacing w:val="-10"/>
              </w:rPr>
              <w:t>□统一组织，踏勘时间：</w:t>
            </w:r>
            <w:r>
              <w:rPr>
                <w:spacing w:val="-22"/>
              </w:rPr>
              <w:t xml:space="preserve"> </w:t>
            </w:r>
            <w:r>
              <w:rPr>
                <w:spacing w:val="9"/>
                <w:u w:val="single" w:color="auto"/>
              </w:rPr>
              <w:t xml:space="preserve">           </w:t>
            </w:r>
            <w:r>
              <w:rPr>
                <w:spacing w:val="4"/>
              </w:rPr>
              <w:t xml:space="preserve"> </w:t>
            </w:r>
            <w:r>
              <w:rPr>
                <w:spacing w:val="-17"/>
              </w:rPr>
              <w:t>踏勘地点：</w:t>
            </w:r>
            <w:r>
              <w:rPr>
                <w:spacing w:val="-29"/>
              </w:rPr>
              <w:t xml:space="preserve"> </w:t>
            </w:r>
            <w:r>
              <w:rPr>
                <w:u w:val="single" w:color="auto"/>
              </w:rPr>
              <w:t xml:space="preserve">            </w:t>
            </w:r>
          </w:p>
        </w:tc>
      </w:tr>
      <w:tr w14:paraId="0399BA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44" w:hRule="atLeast"/>
        </w:trPr>
        <w:tc>
          <w:tcPr>
            <w:tcW w:w="854" w:type="dxa"/>
            <w:vAlign w:val="top"/>
          </w:tcPr>
          <w:p w14:paraId="67CB6637">
            <w:pPr>
              <w:spacing w:line="257" w:lineRule="auto"/>
              <w:rPr>
                <w:rFonts w:ascii="Arial"/>
                <w:sz w:val="21"/>
              </w:rPr>
            </w:pPr>
          </w:p>
          <w:p w14:paraId="7FE33195">
            <w:pPr>
              <w:spacing w:line="258" w:lineRule="auto"/>
              <w:rPr>
                <w:rFonts w:ascii="Arial"/>
                <w:sz w:val="21"/>
              </w:rPr>
            </w:pPr>
          </w:p>
          <w:p w14:paraId="110179A8">
            <w:pPr>
              <w:spacing w:before="60" w:line="189" w:lineRule="auto"/>
              <w:ind w:left="183"/>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1.10.1</w:t>
            </w:r>
          </w:p>
        </w:tc>
        <w:tc>
          <w:tcPr>
            <w:tcW w:w="2121" w:type="dxa"/>
            <w:vAlign w:val="top"/>
          </w:tcPr>
          <w:p w14:paraId="697D83A3">
            <w:pPr>
              <w:spacing w:line="471" w:lineRule="auto"/>
              <w:rPr>
                <w:rFonts w:ascii="Arial"/>
                <w:sz w:val="21"/>
              </w:rPr>
            </w:pPr>
          </w:p>
          <w:p w14:paraId="1DB6E745">
            <w:pPr>
              <w:pStyle w:val="11"/>
              <w:spacing w:before="68" w:line="220" w:lineRule="auto"/>
              <w:ind w:left="544"/>
            </w:pPr>
            <w:r>
              <w:rPr>
                <w:spacing w:val="-1"/>
              </w:rPr>
              <w:t>投标预备会</w:t>
            </w:r>
          </w:p>
        </w:tc>
        <w:tc>
          <w:tcPr>
            <w:tcW w:w="5447" w:type="dxa"/>
            <w:vAlign w:val="top"/>
          </w:tcPr>
          <w:p w14:paraId="032E210C">
            <w:pPr>
              <w:pStyle w:val="11"/>
              <w:spacing w:before="224" w:line="222" w:lineRule="auto"/>
              <w:ind w:left="132"/>
            </w:pPr>
            <w:r>
              <w:rPr>
                <w:spacing w:val="-6"/>
              </w:rPr>
              <w:sym w:font="Wingdings 2" w:char="0052"/>
            </w:r>
            <w:r>
              <w:rPr>
                <w:spacing w:val="-6"/>
              </w:rPr>
              <w:t>不召开（选）</w:t>
            </w:r>
          </w:p>
          <w:p w14:paraId="095ACDD3">
            <w:pPr>
              <w:pStyle w:val="11"/>
              <w:spacing w:before="65" w:line="252" w:lineRule="auto"/>
              <w:ind w:left="963" w:right="1977" w:hanging="831"/>
            </w:pPr>
            <w:r>
              <w:rPr>
                <w:spacing w:val="-16"/>
              </w:rPr>
              <w:t>□召开，召开时间：</w:t>
            </w:r>
            <w:r>
              <w:rPr>
                <w:spacing w:val="14"/>
              </w:rPr>
              <w:t xml:space="preserve"> </w:t>
            </w:r>
            <w:r>
              <w:rPr>
                <w:spacing w:val="7"/>
                <w:u w:val="single" w:color="auto"/>
              </w:rPr>
              <w:t xml:space="preserve">             </w:t>
            </w:r>
            <w:r>
              <w:rPr>
                <w:spacing w:val="9"/>
              </w:rPr>
              <w:t xml:space="preserve"> </w:t>
            </w:r>
            <w:r>
              <w:rPr>
                <w:spacing w:val="-27"/>
              </w:rPr>
              <w:t>召开地点：</w:t>
            </w:r>
            <w:r>
              <w:rPr>
                <w:spacing w:val="13"/>
              </w:rPr>
              <w:t xml:space="preserve"> </w:t>
            </w:r>
            <w:r>
              <w:rPr>
                <w:u w:val="single" w:color="auto"/>
              </w:rPr>
              <w:t xml:space="preserve">              </w:t>
            </w:r>
          </w:p>
        </w:tc>
      </w:tr>
      <w:tr w14:paraId="6C9AF7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854" w:type="dxa"/>
            <w:vAlign w:val="top"/>
          </w:tcPr>
          <w:p w14:paraId="57A7C32D">
            <w:pPr>
              <w:spacing w:before="280" w:line="189" w:lineRule="auto"/>
              <w:ind w:left="183"/>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1.10.2</w:t>
            </w:r>
          </w:p>
        </w:tc>
        <w:tc>
          <w:tcPr>
            <w:tcW w:w="2121" w:type="dxa"/>
            <w:vAlign w:val="top"/>
          </w:tcPr>
          <w:p w14:paraId="140C5380">
            <w:pPr>
              <w:pStyle w:val="11"/>
              <w:spacing w:before="85" w:line="241" w:lineRule="auto"/>
              <w:ind w:left="646" w:right="214" w:hanging="419"/>
            </w:pPr>
            <w:r>
              <w:rPr>
                <w:spacing w:val="-1"/>
              </w:rPr>
              <w:t>投标人提出问题的</w:t>
            </w:r>
            <w:r>
              <w:t xml:space="preserve"> </w:t>
            </w:r>
            <w:r>
              <w:rPr>
                <w:spacing w:val="-1"/>
              </w:rPr>
              <w:t>截止时间</w:t>
            </w:r>
          </w:p>
        </w:tc>
        <w:tc>
          <w:tcPr>
            <w:tcW w:w="5447" w:type="dxa"/>
            <w:vAlign w:val="top"/>
          </w:tcPr>
          <w:p w14:paraId="2B47F3AA">
            <w:pPr>
              <w:pStyle w:val="11"/>
              <w:spacing w:before="85" w:line="220" w:lineRule="auto"/>
              <w:ind w:left="132"/>
            </w:pPr>
            <w:r>
              <w:rPr>
                <w:spacing w:val="-5"/>
              </w:rPr>
              <w:t>□召开投标预备会之日</w:t>
            </w:r>
            <w:r>
              <w:rPr>
                <w:spacing w:val="-94"/>
              </w:rPr>
              <w:t xml:space="preserve"> </w:t>
            </w:r>
            <w:r>
              <w:rPr>
                <w:spacing w:val="20"/>
                <w:u w:val="single" w:color="auto"/>
              </w:rPr>
              <w:t xml:space="preserve">     </w:t>
            </w:r>
            <w:r>
              <w:rPr>
                <w:spacing w:val="-57"/>
              </w:rPr>
              <w:t xml:space="preserve"> </w:t>
            </w:r>
            <w:r>
              <w:rPr>
                <w:spacing w:val="-5"/>
              </w:rPr>
              <w:t>日前</w:t>
            </w:r>
          </w:p>
          <w:p w14:paraId="4096BE91">
            <w:pPr>
              <w:pStyle w:val="11"/>
              <w:spacing w:before="66" w:line="204" w:lineRule="auto"/>
              <w:ind w:left="132"/>
            </w:pPr>
            <w:r>
              <w:rPr>
                <w:spacing w:val="-19"/>
                <w:highlight w:val="none"/>
              </w:rPr>
              <w:t>□</w:t>
            </w:r>
            <w:r>
              <w:rPr>
                <w:spacing w:val="3"/>
                <w:highlight w:val="none"/>
              </w:rPr>
              <w:t xml:space="preserve"> </w:t>
            </w:r>
            <w:r>
              <w:rPr>
                <w:rFonts w:hint="eastAsia"/>
                <w:spacing w:val="3"/>
                <w:highlight w:val="none"/>
                <w:lang w:val="en-US" w:eastAsia="zh-CN"/>
              </w:rPr>
              <w:t>2026年</w:t>
            </w:r>
            <w:r>
              <w:rPr>
                <w:rFonts w:hint="eastAsia"/>
                <w:spacing w:val="6"/>
                <w:highlight w:val="none"/>
                <w:lang w:val="en-US" w:eastAsia="zh-CN"/>
              </w:rPr>
              <w:t>6</w:t>
            </w:r>
            <w:r>
              <w:rPr>
                <w:spacing w:val="-19"/>
                <w:highlight w:val="none"/>
              </w:rPr>
              <w:t>月</w:t>
            </w:r>
            <w:r>
              <w:rPr>
                <w:rFonts w:hint="eastAsia"/>
                <w:spacing w:val="23"/>
                <w:highlight w:val="none"/>
                <w:lang w:val="en-US" w:eastAsia="zh-CN"/>
              </w:rPr>
              <w:t>22</w:t>
            </w:r>
            <w:r>
              <w:rPr>
                <w:spacing w:val="-19"/>
                <w:highlight w:val="none"/>
              </w:rPr>
              <w:t>日</w:t>
            </w:r>
            <w:r>
              <w:rPr>
                <w:rFonts w:hint="eastAsia"/>
                <w:spacing w:val="5"/>
                <w:highlight w:val="none"/>
                <w:lang w:val="en-US" w:eastAsia="zh-CN"/>
              </w:rPr>
              <w:t>16</w:t>
            </w:r>
            <w:r>
              <w:rPr>
                <w:spacing w:val="-19"/>
                <w:highlight w:val="none"/>
              </w:rPr>
              <w:t>时</w:t>
            </w:r>
            <w:r>
              <w:rPr>
                <w:rFonts w:hint="eastAsia"/>
                <w:spacing w:val="4"/>
                <w:highlight w:val="none"/>
                <w:lang w:val="en-US" w:eastAsia="zh-CN"/>
              </w:rPr>
              <w:t>00</w:t>
            </w:r>
            <w:r>
              <w:rPr>
                <w:spacing w:val="-19"/>
                <w:highlight w:val="none"/>
              </w:rPr>
              <w:t>分</w:t>
            </w:r>
          </w:p>
        </w:tc>
      </w:tr>
      <w:tr w14:paraId="36B331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52" w:hRule="atLeast"/>
        </w:trPr>
        <w:tc>
          <w:tcPr>
            <w:tcW w:w="854" w:type="dxa"/>
            <w:vAlign w:val="top"/>
          </w:tcPr>
          <w:p w14:paraId="5863E635">
            <w:pPr>
              <w:spacing w:line="333" w:lineRule="auto"/>
              <w:rPr>
                <w:rFonts w:ascii="Arial"/>
                <w:sz w:val="21"/>
              </w:rPr>
            </w:pPr>
          </w:p>
          <w:p w14:paraId="3D2DE854">
            <w:pPr>
              <w:spacing w:line="333" w:lineRule="auto"/>
              <w:rPr>
                <w:rFonts w:ascii="Arial"/>
                <w:sz w:val="21"/>
              </w:rPr>
            </w:pPr>
          </w:p>
          <w:p w14:paraId="1D6ACBE9">
            <w:pPr>
              <w:spacing w:before="60" w:line="189" w:lineRule="auto"/>
              <w:ind w:left="264"/>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1.11</w:t>
            </w:r>
          </w:p>
        </w:tc>
        <w:tc>
          <w:tcPr>
            <w:tcW w:w="2121" w:type="dxa"/>
            <w:vAlign w:val="top"/>
          </w:tcPr>
          <w:p w14:paraId="3E4075C9">
            <w:pPr>
              <w:spacing w:line="311" w:lineRule="auto"/>
              <w:rPr>
                <w:rFonts w:ascii="Arial"/>
                <w:sz w:val="21"/>
              </w:rPr>
            </w:pPr>
          </w:p>
          <w:p w14:paraId="11E2DE1E">
            <w:pPr>
              <w:spacing w:line="311" w:lineRule="auto"/>
              <w:rPr>
                <w:rFonts w:ascii="Arial"/>
                <w:sz w:val="21"/>
              </w:rPr>
            </w:pPr>
          </w:p>
          <w:p w14:paraId="7285D594">
            <w:pPr>
              <w:pStyle w:val="11"/>
              <w:spacing w:before="68" w:line="221" w:lineRule="auto"/>
              <w:ind w:left="808"/>
            </w:pPr>
            <w:r>
              <w:rPr>
                <w:spacing w:val="-5"/>
              </w:rPr>
              <w:t>分</w:t>
            </w:r>
            <w:r>
              <w:rPr>
                <w:spacing w:val="8"/>
              </w:rPr>
              <w:t xml:space="preserve"> </w:t>
            </w:r>
            <w:r>
              <w:rPr>
                <w:spacing w:val="-5"/>
              </w:rPr>
              <w:t>包</w:t>
            </w:r>
          </w:p>
        </w:tc>
        <w:tc>
          <w:tcPr>
            <w:tcW w:w="5447" w:type="dxa"/>
            <w:vAlign w:val="top"/>
          </w:tcPr>
          <w:p w14:paraId="5531C6BC">
            <w:pPr>
              <w:pStyle w:val="11"/>
              <w:spacing w:before="213" w:line="221" w:lineRule="auto"/>
              <w:ind w:left="132"/>
            </w:pPr>
            <w:r>
              <w:rPr>
                <w:spacing w:val="-5"/>
              </w:rPr>
              <w:sym w:font="Wingdings 2" w:char="0052"/>
            </w:r>
            <w:r>
              <w:rPr>
                <w:spacing w:val="-5"/>
              </w:rPr>
              <w:t>不允许</w:t>
            </w:r>
          </w:p>
          <w:p w14:paraId="319A977D">
            <w:pPr>
              <w:pStyle w:val="11"/>
              <w:spacing w:before="70" w:line="221" w:lineRule="auto"/>
              <w:ind w:left="132"/>
            </w:pPr>
            <w:r>
              <w:rPr>
                <w:spacing w:val="-10"/>
              </w:rPr>
              <w:t>□允许，分包内容要求：</w:t>
            </w:r>
            <w:r>
              <w:rPr>
                <w:spacing w:val="-22"/>
              </w:rPr>
              <w:t xml:space="preserve"> </w:t>
            </w:r>
            <w:r>
              <w:rPr>
                <w:u w:val="single" w:color="auto"/>
              </w:rPr>
              <w:t xml:space="preserve">             </w:t>
            </w:r>
          </w:p>
          <w:p w14:paraId="184B78A7">
            <w:pPr>
              <w:pStyle w:val="11"/>
              <w:spacing w:before="65" w:line="221" w:lineRule="auto"/>
              <w:ind w:left="959"/>
            </w:pPr>
            <w:r>
              <w:rPr>
                <w:spacing w:val="-13"/>
              </w:rPr>
              <w:t>分包金额要求：</w:t>
            </w:r>
            <w:r>
              <w:rPr>
                <w:spacing w:val="-27"/>
              </w:rPr>
              <w:t xml:space="preserve"> </w:t>
            </w:r>
            <w:r>
              <w:rPr>
                <w:u w:val="single" w:color="auto"/>
              </w:rPr>
              <w:t xml:space="preserve">             </w:t>
            </w:r>
          </w:p>
          <w:p w14:paraId="3D57D777">
            <w:pPr>
              <w:pStyle w:val="11"/>
              <w:spacing w:before="70" w:line="221" w:lineRule="auto"/>
              <w:ind w:left="374"/>
            </w:pPr>
            <w:r>
              <w:rPr>
                <w:spacing w:val="-1"/>
              </w:rPr>
              <w:t>接受分包的第三人资质要求：</w:t>
            </w:r>
            <w:r>
              <w:rPr>
                <w:u w:val="single" w:color="auto"/>
              </w:rPr>
              <w:t xml:space="preserve">       </w:t>
            </w:r>
          </w:p>
        </w:tc>
      </w:tr>
    </w:tbl>
    <w:p w14:paraId="1E6BA303">
      <w:pPr>
        <w:pStyle w:val="3"/>
      </w:pPr>
    </w:p>
    <w:p w14:paraId="3FF038CC">
      <w:pPr>
        <w:sectPr>
          <w:footerReference r:id="rId18" w:type="default"/>
          <w:pgSz w:w="11905" w:h="16839"/>
          <w:pgMar w:top="1431" w:right="1733" w:bottom="1036" w:left="1742" w:header="0" w:footer="847" w:gutter="0"/>
          <w:pgNumType w:fmt="decimal"/>
          <w:cols w:space="720" w:num="1"/>
        </w:sectPr>
      </w:pPr>
    </w:p>
    <w:p w14:paraId="1BAB6D9E">
      <w:pPr>
        <w:spacing w:line="95" w:lineRule="auto"/>
        <w:rPr>
          <w:rFonts w:ascii="Arial"/>
          <w:sz w:val="2"/>
        </w:rPr>
      </w:pPr>
    </w:p>
    <w:tbl>
      <w:tblPr>
        <w:tblStyle w:val="10"/>
        <w:tblW w:w="842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54"/>
        <w:gridCol w:w="2121"/>
        <w:gridCol w:w="5447"/>
      </w:tblGrid>
      <w:tr w14:paraId="3361CC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66" w:hRule="atLeast"/>
        </w:trPr>
        <w:tc>
          <w:tcPr>
            <w:tcW w:w="854" w:type="dxa"/>
            <w:vAlign w:val="top"/>
          </w:tcPr>
          <w:p w14:paraId="69DE00DC">
            <w:pPr>
              <w:spacing w:line="257" w:lineRule="auto"/>
              <w:rPr>
                <w:rFonts w:ascii="Arial"/>
                <w:sz w:val="21"/>
              </w:rPr>
            </w:pPr>
          </w:p>
          <w:p w14:paraId="3A6712B1">
            <w:pPr>
              <w:spacing w:line="258" w:lineRule="auto"/>
              <w:rPr>
                <w:rFonts w:ascii="Arial"/>
                <w:sz w:val="21"/>
              </w:rPr>
            </w:pPr>
          </w:p>
          <w:p w14:paraId="713B1692">
            <w:pPr>
              <w:spacing w:line="258" w:lineRule="auto"/>
              <w:rPr>
                <w:rFonts w:ascii="Arial"/>
                <w:sz w:val="21"/>
              </w:rPr>
            </w:pPr>
          </w:p>
          <w:p w14:paraId="6AA5141D">
            <w:pPr>
              <w:spacing w:before="61" w:line="189" w:lineRule="auto"/>
              <w:ind w:left="260"/>
              <w:rPr>
                <w:rFonts w:ascii="Times New Roman" w:hAnsi="Times New Roman" w:eastAsia="Times New Roman" w:cs="Times New Roman"/>
                <w:sz w:val="21"/>
                <w:szCs w:val="21"/>
              </w:rPr>
            </w:pPr>
            <w:bookmarkStart w:id="30" w:name="bookmark54"/>
            <w:bookmarkEnd w:id="30"/>
            <w:bookmarkStart w:id="31" w:name="bookmark52"/>
            <w:bookmarkEnd w:id="31"/>
            <w:bookmarkStart w:id="32" w:name="bookmark53"/>
            <w:bookmarkEnd w:id="32"/>
            <w:r>
              <w:rPr>
                <w:rFonts w:ascii="Times New Roman" w:hAnsi="Times New Roman" w:eastAsia="Times New Roman" w:cs="Times New Roman"/>
                <w:spacing w:val="-5"/>
                <w:sz w:val="21"/>
                <w:szCs w:val="21"/>
              </w:rPr>
              <w:t>1.12</w:t>
            </w:r>
          </w:p>
        </w:tc>
        <w:tc>
          <w:tcPr>
            <w:tcW w:w="2121" w:type="dxa"/>
            <w:vAlign w:val="top"/>
          </w:tcPr>
          <w:p w14:paraId="671C46E7">
            <w:pPr>
              <w:spacing w:line="243" w:lineRule="auto"/>
              <w:rPr>
                <w:rFonts w:ascii="Arial"/>
                <w:sz w:val="21"/>
              </w:rPr>
            </w:pPr>
          </w:p>
          <w:p w14:paraId="35DDA408">
            <w:pPr>
              <w:spacing w:line="243" w:lineRule="auto"/>
              <w:rPr>
                <w:rFonts w:ascii="Arial"/>
                <w:sz w:val="21"/>
              </w:rPr>
            </w:pPr>
          </w:p>
          <w:p w14:paraId="762DAB03">
            <w:pPr>
              <w:spacing w:line="243" w:lineRule="auto"/>
              <w:rPr>
                <w:rFonts w:ascii="Arial"/>
                <w:sz w:val="21"/>
              </w:rPr>
            </w:pPr>
          </w:p>
          <w:p w14:paraId="5DEA47DC">
            <w:pPr>
              <w:pStyle w:val="11"/>
              <w:spacing w:before="68" w:line="221" w:lineRule="auto"/>
              <w:ind w:left="806"/>
            </w:pPr>
            <w:r>
              <w:rPr>
                <w:spacing w:val="-4"/>
              </w:rPr>
              <w:t>偏</w:t>
            </w:r>
            <w:r>
              <w:rPr>
                <w:spacing w:val="12"/>
              </w:rPr>
              <w:t xml:space="preserve"> </w:t>
            </w:r>
            <w:r>
              <w:rPr>
                <w:spacing w:val="-4"/>
              </w:rPr>
              <w:t>离</w:t>
            </w:r>
          </w:p>
        </w:tc>
        <w:tc>
          <w:tcPr>
            <w:tcW w:w="5447" w:type="dxa"/>
            <w:vAlign w:val="top"/>
          </w:tcPr>
          <w:p w14:paraId="729DA081">
            <w:pPr>
              <w:pStyle w:val="11"/>
              <w:spacing w:before="158" w:line="221" w:lineRule="auto"/>
              <w:ind w:left="132"/>
            </w:pPr>
            <w:r>
              <w:rPr>
                <w:spacing w:val="-5"/>
              </w:rPr>
              <w:sym w:font="Wingdings 2" w:char="0052"/>
            </w:r>
            <w:r>
              <w:rPr>
                <w:spacing w:val="-5"/>
              </w:rPr>
              <w:t>不允许</w:t>
            </w:r>
          </w:p>
          <w:p w14:paraId="1B78602A">
            <w:pPr>
              <w:pStyle w:val="11"/>
              <w:spacing w:before="71" w:line="252" w:lineRule="auto"/>
              <w:ind w:left="113" w:right="116" w:firstLine="19"/>
            </w:pPr>
            <w:r>
              <w:rPr>
                <w:spacing w:val="6"/>
              </w:rPr>
              <w:t>□允许，可偏离的项目和范围见第七章“技术标准和要</w:t>
            </w:r>
            <w:r>
              <w:rPr>
                <w:spacing w:val="7"/>
              </w:rPr>
              <w:t xml:space="preserve"> </w:t>
            </w:r>
            <w:r>
              <w:rPr>
                <w:spacing w:val="-3"/>
              </w:rPr>
              <w:t>求”：</w:t>
            </w:r>
          </w:p>
          <w:p w14:paraId="0393B7DB">
            <w:pPr>
              <w:pStyle w:val="11"/>
              <w:spacing w:before="64" w:line="283" w:lineRule="auto"/>
              <w:ind w:left="541"/>
            </w:pPr>
            <w:r>
              <w:rPr>
                <w:spacing w:val="-11"/>
              </w:rPr>
              <w:t>允许偏离最高项数：</w:t>
            </w:r>
            <w:r>
              <w:rPr>
                <w:spacing w:val="-21"/>
              </w:rPr>
              <w:t xml:space="preserve"> </w:t>
            </w:r>
            <w:r>
              <w:rPr>
                <w:u w:val="single" w:color="auto"/>
              </w:rPr>
              <w:t xml:space="preserve">      </w:t>
            </w:r>
          </w:p>
          <w:p w14:paraId="3AAF5233">
            <w:pPr>
              <w:pStyle w:val="11"/>
              <w:spacing w:line="220" w:lineRule="auto"/>
              <w:ind w:left="533"/>
            </w:pPr>
            <w:r>
              <w:rPr>
                <w:spacing w:val="-18"/>
              </w:rPr>
              <w:t>偏差调整方法：</w:t>
            </w:r>
            <w:r>
              <w:rPr>
                <w:spacing w:val="15"/>
              </w:rPr>
              <w:t xml:space="preserve"> </w:t>
            </w:r>
            <w:r>
              <w:rPr>
                <w:u w:val="single" w:color="auto"/>
              </w:rPr>
              <w:t xml:space="preserve">          </w:t>
            </w:r>
          </w:p>
        </w:tc>
      </w:tr>
      <w:tr w14:paraId="32AE1A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8" w:hRule="atLeast"/>
        </w:trPr>
        <w:tc>
          <w:tcPr>
            <w:tcW w:w="854" w:type="dxa"/>
            <w:vAlign w:val="top"/>
          </w:tcPr>
          <w:p w14:paraId="7DE339D4">
            <w:pPr>
              <w:spacing w:before="114" w:line="285" w:lineRule="exact"/>
              <w:ind w:left="215"/>
              <w:rPr>
                <w:rFonts w:ascii="Times New Roman" w:hAnsi="Times New Roman" w:eastAsia="Times New Roman" w:cs="Times New Roman"/>
                <w:sz w:val="21"/>
                <w:szCs w:val="21"/>
              </w:rPr>
            </w:pPr>
            <w:r>
              <w:rPr>
                <w:rFonts w:ascii="Times New Roman" w:hAnsi="Times New Roman" w:eastAsia="Times New Roman" w:cs="Times New Roman"/>
                <w:spacing w:val="-1"/>
                <w:position w:val="8"/>
                <w:sz w:val="21"/>
                <w:szCs w:val="21"/>
              </w:rPr>
              <w:t>2.1.1</w:t>
            </w:r>
          </w:p>
          <w:p w14:paraId="61EB471C">
            <w:pPr>
              <w:pStyle w:val="11"/>
              <w:spacing w:line="209" w:lineRule="auto"/>
              <w:ind w:left="173"/>
            </w:pPr>
            <w:r>
              <w:rPr>
                <w:spacing w:val="-5"/>
              </w:rPr>
              <w:t>（</w:t>
            </w:r>
            <w:r>
              <w:rPr>
                <w:rFonts w:ascii="Times New Roman" w:hAnsi="Times New Roman" w:eastAsia="Times New Roman" w:cs="Times New Roman"/>
                <w:spacing w:val="-5"/>
              </w:rPr>
              <w:t>9</w:t>
            </w:r>
            <w:r>
              <w:rPr>
                <w:spacing w:val="-5"/>
              </w:rPr>
              <w:t>）</w:t>
            </w:r>
          </w:p>
        </w:tc>
        <w:tc>
          <w:tcPr>
            <w:tcW w:w="2121" w:type="dxa"/>
            <w:vAlign w:val="top"/>
          </w:tcPr>
          <w:p w14:paraId="301E2937">
            <w:pPr>
              <w:pStyle w:val="11"/>
              <w:spacing w:before="78" w:line="246" w:lineRule="auto"/>
              <w:ind w:left="858" w:right="108" w:hanging="737"/>
            </w:pPr>
            <w:r>
              <w:rPr>
                <w:spacing w:val="-1"/>
              </w:rPr>
              <w:t>构成招标文件的其他</w:t>
            </w:r>
            <w:r>
              <w:rPr>
                <w:spacing w:val="3"/>
              </w:rPr>
              <w:t xml:space="preserve"> </w:t>
            </w:r>
            <w:r>
              <w:rPr>
                <w:spacing w:val="-2"/>
              </w:rPr>
              <w:t>材料</w:t>
            </w:r>
          </w:p>
        </w:tc>
        <w:tc>
          <w:tcPr>
            <w:tcW w:w="5447" w:type="dxa"/>
            <w:vAlign w:val="top"/>
          </w:tcPr>
          <w:p w14:paraId="1B1AAB31">
            <w:pPr>
              <w:rPr>
                <w:rFonts w:ascii="Arial"/>
                <w:sz w:val="21"/>
              </w:rPr>
            </w:pPr>
            <w:bookmarkStart w:id="33" w:name="EB316973a01edd4d0b8a0629b63af16ead"/>
            <w:r>
              <w:rPr>
                <w:rFonts w:hint="eastAsia" w:ascii="仿宋_GB2312" w:eastAsia="仿宋_GB2312"/>
                <w:color w:val="0000FF"/>
                <w:sz w:val="24"/>
                <w:szCs w:val="24"/>
                <w:highlight w:val="white"/>
              </w:rPr>
              <w:t>招标人在招标期间发出的补遗文件和其他有效函件，均是招标文件的组成部分</w:t>
            </w:r>
            <w:bookmarkEnd w:id="33"/>
          </w:p>
        </w:tc>
      </w:tr>
      <w:tr w14:paraId="0D725C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53" w:hRule="atLeast"/>
        </w:trPr>
        <w:tc>
          <w:tcPr>
            <w:tcW w:w="854" w:type="dxa"/>
            <w:vAlign w:val="top"/>
          </w:tcPr>
          <w:p w14:paraId="77DBDF55">
            <w:pPr>
              <w:spacing w:line="263" w:lineRule="auto"/>
              <w:rPr>
                <w:rFonts w:ascii="Arial"/>
                <w:sz w:val="21"/>
              </w:rPr>
            </w:pPr>
          </w:p>
          <w:p w14:paraId="4206C34A">
            <w:pPr>
              <w:spacing w:before="61" w:line="189" w:lineRule="auto"/>
              <w:ind w:left="215"/>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2.2.1</w:t>
            </w:r>
          </w:p>
        </w:tc>
        <w:tc>
          <w:tcPr>
            <w:tcW w:w="2121" w:type="dxa"/>
            <w:vAlign w:val="top"/>
          </w:tcPr>
          <w:p w14:paraId="18CBFA95">
            <w:pPr>
              <w:pStyle w:val="11"/>
              <w:spacing w:before="130" w:line="252" w:lineRule="auto"/>
              <w:ind w:left="331" w:right="108" w:hanging="210"/>
            </w:pPr>
            <w:r>
              <w:rPr>
                <w:spacing w:val="-1"/>
              </w:rPr>
              <w:t>投标人要求澄清招标</w:t>
            </w:r>
            <w:r>
              <w:rPr>
                <w:spacing w:val="3"/>
              </w:rPr>
              <w:t xml:space="preserve"> </w:t>
            </w:r>
            <w:r>
              <w:rPr>
                <w:spacing w:val="-1"/>
              </w:rPr>
              <w:t>文件的截止时间</w:t>
            </w:r>
          </w:p>
        </w:tc>
        <w:tc>
          <w:tcPr>
            <w:tcW w:w="5447" w:type="dxa"/>
            <w:vAlign w:val="top"/>
          </w:tcPr>
          <w:p w14:paraId="4F8CFBC8">
            <w:pPr>
              <w:pStyle w:val="11"/>
              <w:spacing w:before="288" w:line="221" w:lineRule="auto"/>
              <w:ind w:left="112"/>
            </w:pPr>
            <w:r>
              <w:rPr>
                <w:spacing w:val="-3"/>
              </w:rPr>
              <w:t>递交投标文件截止之日</w:t>
            </w:r>
            <w:r>
              <w:rPr>
                <w:spacing w:val="-97"/>
              </w:rPr>
              <w:t xml:space="preserve"> </w:t>
            </w:r>
            <w:r>
              <w:rPr>
                <w:u w:val="single" w:color="auto"/>
              </w:rPr>
              <w:t xml:space="preserve">  </w:t>
            </w:r>
            <w:r>
              <w:rPr>
                <w:rFonts w:hint="eastAsia"/>
                <w:u w:val="single" w:color="auto"/>
                <w:lang w:val="en-US" w:eastAsia="zh-CN"/>
              </w:rPr>
              <w:t>15</w:t>
            </w:r>
            <w:r>
              <w:rPr>
                <w:u w:val="single" w:color="auto"/>
              </w:rPr>
              <w:t xml:space="preserve">   </w:t>
            </w:r>
            <w:r>
              <w:rPr>
                <w:spacing w:val="-60"/>
              </w:rPr>
              <w:t xml:space="preserve"> </w:t>
            </w:r>
            <w:r>
              <w:rPr>
                <w:spacing w:val="-3"/>
              </w:rPr>
              <w:t>日前</w:t>
            </w:r>
          </w:p>
        </w:tc>
      </w:tr>
      <w:tr w14:paraId="4F1916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87" w:hRule="atLeast"/>
        </w:trPr>
        <w:tc>
          <w:tcPr>
            <w:tcW w:w="854" w:type="dxa"/>
            <w:vAlign w:val="top"/>
          </w:tcPr>
          <w:p w14:paraId="7A4786B6">
            <w:pPr>
              <w:spacing w:line="265" w:lineRule="auto"/>
              <w:rPr>
                <w:rFonts w:ascii="Arial"/>
                <w:sz w:val="21"/>
              </w:rPr>
            </w:pPr>
          </w:p>
          <w:p w14:paraId="52BE9DA7">
            <w:pPr>
              <w:spacing w:line="265" w:lineRule="auto"/>
              <w:rPr>
                <w:rFonts w:ascii="Arial"/>
                <w:sz w:val="21"/>
              </w:rPr>
            </w:pPr>
          </w:p>
          <w:p w14:paraId="363DA955">
            <w:pPr>
              <w:spacing w:line="265" w:lineRule="auto"/>
              <w:rPr>
                <w:rFonts w:ascii="Arial"/>
                <w:sz w:val="21"/>
              </w:rPr>
            </w:pPr>
          </w:p>
          <w:p w14:paraId="02CDA402">
            <w:pPr>
              <w:spacing w:line="265" w:lineRule="auto"/>
              <w:rPr>
                <w:rFonts w:ascii="Arial"/>
                <w:sz w:val="21"/>
              </w:rPr>
            </w:pPr>
          </w:p>
          <w:p w14:paraId="13C32008">
            <w:pPr>
              <w:spacing w:line="265" w:lineRule="auto"/>
              <w:rPr>
                <w:rFonts w:ascii="Arial"/>
                <w:sz w:val="21"/>
              </w:rPr>
            </w:pPr>
          </w:p>
          <w:p w14:paraId="4C4335C9">
            <w:pPr>
              <w:spacing w:line="265" w:lineRule="auto"/>
              <w:rPr>
                <w:rFonts w:ascii="Arial"/>
                <w:sz w:val="21"/>
              </w:rPr>
            </w:pPr>
          </w:p>
          <w:p w14:paraId="06E4D0A9">
            <w:pPr>
              <w:spacing w:line="265" w:lineRule="auto"/>
              <w:rPr>
                <w:rFonts w:ascii="Arial"/>
                <w:sz w:val="21"/>
              </w:rPr>
            </w:pPr>
          </w:p>
          <w:p w14:paraId="127DF36B">
            <w:pPr>
              <w:spacing w:line="266" w:lineRule="auto"/>
              <w:rPr>
                <w:rFonts w:ascii="Arial"/>
                <w:sz w:val="21"/>
              </w:rPr>
            </w:pPr>
          </w:p>
          <w:p w14:paraId="2A1917FF">
            <w:pPr>
              <w:spacing w:before="60" w:line="189" w:lineRule="auto"/>
              <w:ind w:left="215"/>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2.4.1</w:t>
            </w:r>
          </w:p>
        </w:tc>
        <w:tc>
          <w:tcPr>
            <w:tcW w:w="2121" w:type="dxa"/>
            <w:vAlign w:val="top"/>
          </w:tcPr>
          <w:p w14:paraId="66A0D3C3">
            <w:pPr>
              <w:rPr>
                <w:rFonts w:ascii="Arial"/>
                <w:sz w:val="21"/>
              </w:rPr>
            </w:pPr>
          </w:p>
          <w:p w14:paraId="01715482">
            <w:pPr>
              <w:rPr>
                <w:rFonts w:ascii="Arial"/>
                <w:sz w:val="21"/>
              </w:rPr>
            </w:pPr>
          </w:p>
          <w:p w14:paraId="79580435">
            <w:pPr>
              <w:rPr>
                <w:rFonts w:ascii="Arial"/>
                <w:sz w:val="21"/>
              </w:rPr>
            </w:pPr>
          </w:p>
          <w:p w14:paraId="6750FB1E">
            <w:pPr>
              <w:rPr>
                <w:rFonts w:ascii="Arial"/>
                <w:sz w:val="21"/>
              </w:rPr>
            </w:pPr>
          </w:p>
          <w:p w14:paraId="36856F79">
            <w:pPr>
              <w:rPr>
                <w:rFonts w:ascii="Arial"/>
                <w:sz w:val="21"/>
              </w:rPr>
            </w:pPr>
          </w:p>
          <w:p w14:paraId="6AF932E0">
            <w:pPr>
              <w:rPr>
                <w:rFonts w:ascii="Arial"/>
                <w:sz w:val="21"/>
              </w:rPr>
            </w:pPr>
          </w:p>
          <w:p w14:paraId="6DF4983A">
            <w:pPr>
              <w:rPr>
                <w:rFonts w:ascii="Arial"/>
                <w:sz w:val="21"/>
              </w:rPr>
            </w:pPr>
          </w:p>
          <w:p w14:paraId="0B9C6101">
            <w:pPr>
              <w:rPr>
                <w:rFonts w:ascii="Arial"/>
                <w:sz w:val="21"/>
              </w:rPr>
            </w:pPr>
          </w:p>
          <w:p w14:paraId="2CDEB17A">
            <w:pPr>
              <w:pStyle w:val="11"/>
              <w:spacing w:before="68" w:line="252" w:lineRule="auto"/>
              <w:ind w:left="648" w:right="319" w:hanging="315"/>
            </w:pPr>
            <w:r>
              <w:rPr>
                <w:spacing w:val="-1"/>
              </w:rPr>
              <w:t>异议受理部门及</w:t>
            </w:r>
            <w:r>
              <w:t xml:space="preserve"> </w:t>
            </w:r>
            <w:r>
              <w:rPr>
                <w:spacing w:val="-1"/>
              </w:rPr>
              <w:t>联系方式</w:t>
            </w:r>
          </w:p>
        </w:tc>
        <w:tc>
          <w:tcPr>
            <w:tcW w:w="5447" w:type="dxa"/>
            <w:vAlign w:val="top"/>
          </w:tcPr>
          <w:p w14:paraId="493DE721">
            <w:pPr>
              <w:pStyle w:val="11"/>
              <w:spacing w:before="79" w:line="221" w:lineRule="auto"/>
              <w:ind w:left="112"/>
            </w:pPr>
            <w:r>
              <w:rPr>
                <w:spacing w:val="-12"/>
              </w:rPr>
              <w:t>招</w:t>
            </w:r>
            <w:r>
              <w:rPr>
                <w:spacing w:val="22"/>
              </w:rPr>
              <w:t xml:space="preserve">   </w:t>
            </w:r>
            <w:r>
              <w:rPr>
                <w:spacing w:val="-12"/>
              </w:rPr>
              <w:t>标</w:t>
            </w:r>
            <w:r>
              <w:rPr>
                <w:spacing w:val="30"/>
              </w:rPr>
              <w:t xml:space="preserve">  </w:t>
            </w:r>
            <w:r>
              <w:rPr>
                <w:spacing w:val="-12"/>
              </w:rPr>
              <w:t>人：</w:t>
            </w:r>
          </w:p>
          <w:p w14:paraId="37B8C353">
            <w:pPr>
              <w:pStyle w:val="11"/>
              <w:spacing w:before="69" w:line="223" w:lineRule="auto"/>
              <w:ind w:left="113"/>
              <w:rPr>
                <w:u w:val="none" w:color="auto"/>
              </w:rPr>
            </w:pPr>
            <w:r>
              <w:rPr>
                <w:spacing w:val="-29"/>
                <w:w w:val="99"/>
              </w:rPr>
              <w:t>名</w:t>
            </w:r>
            <w:r>
              <w:rPr>
                <w:spacing w:val="1"/>
              </w:rPr>
              <w:t xml:space="preserve">        </w:t>
            </w:r>
            <w:r>
              <w:rPr>
                <w:spacing w:val="-29"/>
                <w:w w:val="99"/>
              </w:rPr>
              <w:t>称：</w:t>
            </w:r>
            <w:r>
              <w:rPr>
                <w:rFonts w:hint="eastAsia"/>
                <w:spacing w:val="-29"/>
                <w:w w:val="99"/>
                <w:lang w:val="en-US" w:eastAsia="zh-CN"/>
              </w:rPr>
              <w:t xml:space="preserve"> </w:t>
            </w:r>
            <w:r>
              <w:rPr>
                <w:rFonts w:hint="eastAsia" w:cs="宋体"/>
                <w:spacing w:val="4"/>
                <w:lang w:eastAsia="zh-CN"/>
              </w:rPr>
              <w:t>营口市公共设施维护中心</w:t>
            </w:r>
            <w:r>
              <w:rPr>
                <w:u w:val="none" w:color="auto"/>
              </w:rPr>
              <w:t xml:space="preserve">          </w:t>
            </w:r>
          </w:p>
          <w:p w14:paraId="2A9162C3">
            <w:pPr>
              <w:pStyle w:val="11"/>
              <w:spacing w:before="63" w:line="230" w:lineRule="auto"/>
              <w:ind w:left="111"/>
            </w:pPr>
            <w:r>
              <w:rPr>
                <w:spacing w:val="-29"/>
                <w:w w:val="99"/>
              </w:rPr>
              <w:t>地</w:t>
            </w:r>
            <w:r>
              <w:rPr>
                <w:spacing w:val="1"/>
              </w:rPr>
              <w:t xml:space="preserve">        </w:t>
            </w:r>
            <w:r>
              <w:rPr>
                <w:spacing w:val="-29"/>
                <w:w w:val="99"/>
              </w:rPr>
              <w:t>址：</w:t>
            </w:r>
            <w:r>
              <w:rPr>
                <w:rFonts w:hint="eastAsia" w:cs="宋体"/>
                <w:spacing w:val="4"/>
                <w:lang w:eastAsia="zh-CN"/>
              </w:rPr>
              <w:t xml:space="preserve"> 营口市站前区东风路</w:t>
            </w:r>
            <w:r>
              <w:rPr>
                <w:rFonts w:hint="eastAsia" w:cs="宋体"/>
                <w:spacing w:val="4"/>
                <w:lang w:val="en-US" w:eastAsia="zh-CN"/>
              </w:rPr>
              <w:t>1</w:t>
            </w:r>
            <w:r>
              <w:rPr>
                <w:rFonts w:hint="eastAsia" w:cs="宋体"/>
                <w:spacing w:val="4"/>
                <w:lang w:eastAsia="zh-CN"/>
              </w:rPr>
              <w:t xml:space="preserve">号   </w:t>
            </w:r>
            <w:r>
              <w:rPr>
                <w:u w:val="none" w:color="auto"/>
              </w:rPr>
              <w:t xml:space="preserve">       </w:t>
            </w:r>
          </w:p>
          <w:p w14:paraId="0935E1EA">
            <w:pPr>
              <w:pStyle w:val="11"/>
              <w:spacing w:before="59" w:line="223" w:lineRule="auto"/>
              <w:ind w:left="112"/>
            </w:pPr>
            <w:r>
              <w:rPr>
                <w:spacing w:val="-7"/>
              </w:rPr>
              <w:t>联</w:t>
            </w:r>
            <w:r>
              <w:rPr>
                <w:spacing w:val="22"/>
              </w:rPr>
              <w:t xml:space="preserve">   </w:t>
            </w:r>
            <w:r>
              <w:rPr>
                <w:spacing w:val="-7"/>
              </w:rPr>
              <w:t>系</w:t>
            </w:r>
            <w:r>
              <w:rPr>
                <w:spacing w:val="30"/>
              </w:rPr>
              <w:t xml:space="preserve">  </w:t>
            </w:r>
            <w:r>
              <w:rPr>
                <w:spacing w:val="-7"/>
              </w:rPr>
              <w:t>人：</w:t>
            </w:r>
            <w:r>
              <w:rPr>
                <w:rFonts w:hint="eastAsia" w:cs="宋体"/>
                <w:spacing w:val="4"/>
                <w:lang w:eastAsia="zh-CN"/>
              </w:rPr>
              <w:t>李琛</w:t>
            </w:r>
            <w:r>
              <w:rPr>
                <w:u w:val="none" w:color="auto"/>
              </w:rPr>
              <w:t xml:space="preserve">          </w:t>
            </w:r>
          </w:p>
          <w:p w14:paraId="5C7B5F59">
            <w:pPr>
              <w:pStyle w:val="11"/>
              <w:spacing w:before="67" w:line="223" w:lineRule="auto"/>
              <w:ind w:left="136"/>
              <w:rPr>
                <w:rFonts w:hint="eastAsia" w:eastAsia="宋体"/>
                <w:lang w:eastAsia="zh-CN"/>
              </w:rPr>
            </w:pPr>
            <w:r>
              <w:rPr>
                <w:spacing w:val="-30"/>
                <w:w w:val="96"/>
              </w:rPr>
              <w:t>电</w:t>
            </w:r>
            <w:r>
              <w:rPr>
                <w:spacing w:val="1"/>
              </w:rPr>
              <w:t xml:space="preserve">        </w:t>
            </w:r>
            <w:r>
              <w:rPr>
                <w:spacing w:val="-30"/>
                <w:w w:val="96"/>
              </w:rPr>
              <w:t>话：</w:t>
            </w:r>
            <w:r>
              <w:rPr>
                <w:rFonts w:hint="eastAsia" w:cs="宋体"/>
                <w:spacing w:val="4"/>
                <w:lang w:eastAsia="zh-CN"/>
              </w:rPr>
              <w:t>0417-2876502</w:t>
            </w:r>
          </w:p>
          <w:p w14:paraId="25CD77DC">
            <w:pPr>
              <w:pStyle w:val="11"/>
              <w:spacing w:before="64" w:line="283" w:lineRule="auto"/>
              <w:ind w:left="126"/>
            </w:pPr>
            <w:r>
              <w:rPr>
                <w:spacing w:val="-24"/>
              </w:rPr>
              <w:t>邮</w:t>
            </w:r>
            <w:r>
              <w:rPr>
                <w:spacing w:val="62"/>
              </w:rPr>
              <w:t xml:space="preserve"> </w:t>
            </w:r>
            <w:r>
              <w:rPr>
                <w:spacing w:val="-24"/>
              </w:rPr>
              <w:t>政</w:t>
            </w:r>
            <w:r>
              <w:rPr>
                <w:spacing w:val="11"/>
              </w:rPr>
              <w:t xml:space="preserve"> </w:t>
            </w:r>
            <w:r>
              <w:rPr>
                <w:spacing w:val="-24"/>
              </w:rPr>
              <w:t>编</w:t>
            </w:r>
            <w:r>
              <w:rPr>
                <w:spacing w:val="56"/>
              </w:rPr>
              <w:t xml:space="preserve"> </w:t>
            </w:r>
            <w:r>
              <w:rPr>
                <w:spacing w:val="-24"/>
              </w:rPr>
              <w:t>码：</w:t>
            </w:r>
            <w:r>
              <w:rPr>
                <w:spacing w:val="-30"/>
              </w:rPr>
              <w:t xml:space="preserve"> </w:t>
            </w:r>
            <w:r>
              <w:rPr>
                <w:u w:val="single" w:color="auto"/>
              </w:rPr>
              <w:t xml:space="preserve">          </w:t>
            </w:r>
          </w:p>
          <w:p w14:paraId="4D74AC9B">
            <w:pPr>
              <w:pStyle w:val="11"/>
              <w:spacing w:before="1" w:line="219" w:lineRule="auto"/>
              <w:ind w:left="112"/>
            </w:pPr>
            <w:r>
              <w:rPr>
                <w:spacing w:val="-5"/>
              </w:rPr>
              <w:t>招标代理机构：</w:t>
            </w:r>
          </w:p>
          <w:p w14:paraId="1EB9F0B0">
            <w:pPr>
              <w:pStyle w:val="11"/>
              <w:spacing w:before="71" w:line="223" w:lineRule="auto"/>
              <w:ind w:left="113"/>
            </w:pPr>
            <w:r>
              <w:rPr>
                <w:spacing w:val="-29"/>
                <w:w w:val="99"/>
              </w:rPr>
              <w:t>名</w:t>
            </w:r>
            <w:r>
              <w:rPr>
                <w:spacing w:val="1"/>
              </w:rPr>
              <w:t xml:space="preserve">        </w:t>
            </w:r>
            <w:r>
              <w:rPr>
                <w:spacing w:val="-29"/>
                <w:w w:val="99"/>
              </w:rPr>
              <w:t>称：</w:t>
            </w:r>
            <w:r>
              <w:rPr>
                <w:rFonts w:hint="eastAsia" w:cs="宋体"/>
                <w:spacing w:val="4"/>
                <w:lang w:eastAsia="zh-CN"/>
              </w:rPr>
              <w:t>沈阳招标中心有限公司</w:t>
            </w:r>
            <w:r>
              <w:rPr>
                <w:spacing w:val="-28"/>
              </w:rPr>
              <w:t xml:space="preserve"> </w:t>
            </w:r>
            <w:r>
              <w:rPr>
                <w:u w:val="none" w:color="auto"/>
              </w:rPr>
              <w:t xml:space="preserve">        </w:t>
            </w:r>
          </w:p>
          <w:p w14:paraId="6884AEB2">
            <w:pPr>
              <w:pStyle w:val="11"/>
              <w:spacing w:before="72" w:line="240" w:lineRule="auto"/>
              <w:ind w:left="113"/>
              <w:rPr>
                <w:rFonts w:hint="eastAsia" w:ascii="宋体" w:hAnsi="宋体" w:eastAsia="宋体" w:cs="宋体"/>
                <w:spacing w:val="4"/>
                <w:lang w:eastAsia="zh-CN"/>
              </w:rPr>
            </w:pPr>
            <w:r>
              <w:rPr>
                <w:spacing w:val="-29"/>
                <w:w w:val="99"/>
              </w:rPr>
              <w:t>地</w:t>
            </w:r>
            <w:r>
              <w:rPr>
                <w:spacing w:val="1"/>
              </w:rPr>
              <w:t xml:space="preserve">        </w:t>
            </w:r>
            <w:r>
              <w:rPr>
                <w:spacing w:val="-29"/>
                <w:w w:val="99"/>
              </w:rPr>
              <w:t>址：</w:t>
            </w:r>
            <w:r>
              <w:rPr>
                <w:rFonts w:hint="eastAsia" w:cs="宋体"/>
                <w:spacing w:val="4"/>
                <w:lang w:eastAsia="zh-CN"/>
              </w:rPr>
              <w:t>沈阳市和平区绥化东街2号</w:t>
            </w:r>
          </w:p>
          <w:p w14:paraId="104FB3FA">
            <w:pPr>
              <w:pStyle w:val="11"/>
              <w:spacing w:before="72" w:line="240" w:lineRule="auto"/>
              <w:ind w:left="113"/>
              <w:rPr>
                <w:rFonts w:hint="eastAsia" w:ascii="宋体" w:hAnsi="宋体" w:eastAsia="宋体" w:cs="宋体"/>
                <w:spacing w:val="4"/>
              </w:rPr>
            </w:pPr>
            <w:r>
              <w:rPr>
                <w:spacing w:val="-25"/>
              </w:rPr>
              <w:t>联</w:t>
            </w:r>
            <w:r>
              <w:rPr>
                <w:spacing w:val="22"/>
              </w:rPr>
              <w:t xml:space="preserve">   </w:t>
            </w:r>
            <w:r>
              <w:rPr>
                <w:spacing w:val="-25"/>
              </w:rPr>
              <w:t>系</w:t>
            </w:r>
            <w:r>
              <w:rPr>
                <w:spacing w:val="29"/>
              </w:rPr>
              <w:t xml:space="preserve">  </w:t>
            </w:r>
            <w:r>
              <w:rPr>
                <w:spacing w:val="-25"/>
              </w:rPr>
              <w:t>人：</w:t>
            </w:r>
            <w:r>
              <w:rPr>
                <w:rFonts w:hint="eastAsia" w:cs="宋体"/>
                <w:spacing w:val="4"/>
                <w:lang w:eastAsia="zh-CN"/>
              </w:rPr>
              <w:t>崔大勇</w:t>
            </w:r>
          </w:p>
          <w:p w14:paraId="7DCE839E">
            <w:pPr>
              <w:pStyle w:val="11"/>
              <w:spacing w:before="69" w:line="223" w:lineRule="auto"/>
              <w:ind w:left="136"/>
            </w:pPr>
            <w:r>
              <w:rPr>
                <w:spacing w:val="-30"/>
                <w:w w:val="96"/>
              </w:rPr>
              <w:t>电</w:t>
            </w:r>
            <w:r>
              <w:rPr>
                <w:spacing w:val="1"/>
              </w:rPr>
              <w:t xml:space="preserve">        </w:t>
            </w:r>
            <w:r>
              <w:rPr>
                <w:spacing w:val="-30"/>
                <w:w w:val="96"/>
              </w:rPr>
              <w:t>话：</w:t>
            </w:r>
            <w:r>
              <w:rPr>
                <w:spacing w:val="-28"/>
              </w:rPr>
              <w:t xml:space="preserve"> </w:t>
            </w:r>
            <w:r>
              <w:rPr>
                <w:rFonts w:hint="eastAsia" w:cs="宋体"/>
                <w:spacing w:val="4"/>
                <w:lang w:eastAsia="zh-CN"/>
              </w:rPr>
              <w:t>024-22503596</w:t>
            </w:r>
          </w:p>
          <w:p w14:paraId="1A3678DB">
            <w:pPr>
              <w:pStyle w:val="11"/>
              <w:spacing w:before="63" w:line="221" w:lineRule="auto"/>
              <w:ind w:left="126"/>
            </w:pPr>
            <w:r>
              <w:rPr>
                <w:spacing w:val="-24"/>
              </w:rPr>
              <w:t>邮</w:t>
            </w:r>
            <w:r>
              <w:rPr>
                <w:spacing w:val="62"/>
              </w:rPr>
              <w:t xml:space="preserve"> </w:t>
            </w:r>
            <w:r>
              <w:rPr>
                <w:spacing w:val="-24"/>
              </w:rPr>
              <w:t>政</w:t>
            </w:r>
            <w:r>
              <w:rPr>
                <w:spacing w:val="11"/>
              </w:rPr>
              <w:t xml:space="preserve"> </w:t>
            </w:r>
            <w:r>
              <w:rPr>
                <w:spacing w:val="-24"/>
              </w:rPr>
              <w:t>编</w:t>
            </w:r>
            <w:r>
              <w:rPr>
                <w:spacing w:val="56"/>
              </w:rPr>
              <w:t xml:space="preserve"> </w:t>
            </w:r>
            <w:r>
              <w:rPr>
                <w:spacing w:val="-24"/>
              </w:rPr>
              <w:t>码：</w:t>
            </w:r>
            <w:r>
              <w:rPr>
                <w:spacing w:val="-30"/>
              </w:rPr>
              <w:t xml:space="preserve"> </w:t>
            </w:r>
            <w:r>
              <w:rPr>
                <w:rFonts w:hint="eastAsia"/>
                <w:spacing w:val="-30"/>
                <w:lang w:val="en-US" w:eastAsia="zh-CN"/>
              </w:rPr>
              <w:t xml:space="preserve"> </w:t>
            </w:r>
            <w:r>
              <w:rPr>
                <w:u w:val="none" w:color="auto"/>
              </w:rPr>
              <w:t xml:space="preserve">          </w:t>
            </w:r>
          </w:p>
          <w:p w14:paraId="18174D58">
            <w:pPr>
              <w:pStyle w:val="11"/>
              <w:spacing w:before="70" w:line="245" w:lineRule="auto"/>
              <w:ind w:left="114" w:right="116" w:hanging="1"/>
            </w:pPr>
            <w:r>
              <w:rPr>
                <w:spacing w:val="7"/>
              </w:rPr>
              <w:t>异议投诉渠道：辽宁省工程建设项目招标投标异议投诉</w:t>
            </w:r>
            <w:r>
              <w:rPr>
                <w:spacing w:val="2"/>
              </w:rPr>
              <w:t xml:space="preserve"> </w:t>
            </w:r>
            <w:r>
              <w:rPr>
                <w:spacing w:val="-2"/>
              </w:rPr>
              <w:t>处理系统</w:t>
            </w:r>
          </w:p>
        </w:tc>
      </w:tr>
      <w:tr w14:paraId="0F584F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3" w:hRule="atLeast"/>
        </w:trPr>
        <w:tc>
          <w:tcPr>
            <w:tcW w:w="854" w:type="dxa"/>
            <w:vAlign w:val="top"/>
          </w:tcPr>
          <w:p w14:paraId="7F67CEFE">
            <w:pPr>
              <w:pStyle w:val="11"/>
              <w:spacing w:before="112" w:line="243" w:lineRule="auto"/>
              <w:ind w:left="120" w:right="124" w:firstLine="99"/>
            </w:pPr>
            <w:r>
              <w:rPr>
                <w:rFonts w:ascii="Times New Roman" w:hAnsi="Times New Roman" w:eastAsia="Times New Roman" w:cs="Times New Roman"/>
                <w:spacing w:val="-2"/>
              </w:rPr>
              <w:t>3.1.1</w:t>
            </w:r>
            <w:r>
              <w:rPr>
                <w:rFonts w:ascii="Times New Roman" w:hAnsi="Times New Roman" w:eastAsia="Times New Roman" w:cs="Times New Roman"/>
              </w:rPr>
              <w:t xml:space="preserve">   </w:t>
            </w:r>
            <w:r>
              <w:rPr>
                <w:spacing w:val="-7"/>
              </w:rPr>
              <w:t>（</w:t>
            </w:r>
            <w:r>
              <w:rPr>
                <w:rFonts w:ascii="Times New Roman" w:hAnsi="Times New Roman" w:eastAsia="Times New Roman" w:cs="Times New Roman"/>
                <w:spacing w:val="-7"/>
              </w:rPr>
              <w:t>10</w:t>
            </w:r>
            <w:r>
              <w:rPr>
                <w:spacing w:val="-7"/>
              </w:rPr>
              <w:t>）</w:t>
            </w:r>
          </w:p>
        </w:tc>
        <w:tc>
          <w:tcPr>
            <w:tcW w:w="2121" w:type="dxa"/>
            <w:vAlign w:val="top"/>
          </w:tcPr>
          <w:p w14:paraId="1A700BA7">
            <w:pPr>
              <w:pStyle w:val="11"/>
              <w:spacing w:before="75" w:line="245" w:lineRule="auto"/>
              <w:ind w:left="858" w:right="108" w:hanging="737"/>
            </w:pPr>
            <w:r>
              <w:rPr>
                <w:spacing w:val="-1"/>
              </w:rPr>
              <w:t>构成投标文件的其他</w:t>
            </w:r>
            <w:r>
              <w:rPr>
                <w:spacing w:val="3"/>
              </w:rPr>
              <w:t xml:space="preserve"> </w:t>
            </w:r>
            <w:r>
              <w:rPr>
                <w:spacing w:val="-2"/>
              </w:rPr>
              <w:t>材料</w:t>
            </w:r>
          </w:p>
        </w:tc>
        <w:tc>
          <w:tcPr>
            <w:tcW w:w="5447" w:type="dxa"/>
            <w:vAlign w:val="center"/>
          </w:tcPr>
          <w:p w14:paraId="041E0E22">
            <w:pPr>
              <w:jc w:val="both"/>
              <w:rPr>
                <w:rFonts w:ascii="Arial"/>
                <w:sz w:val="21"/>
              </w:rPr>
            </w:pPr>
            <w:r>
              <w:rPr>
                <w:rFonts w:hint="eastAsia"/>
                <w:color w:val="auto"/>
                <w:highlight w:val="none"/>
                <w:lang w:eastAsia="zh-CN"/>
              </w:rPr>
              <w:t>工程量清单，图纸，技术文件等</w:t>
            </w:r>
          </w:p>
        </w:tc>
      </w:tr>
      <w:tr w14:paraId="685015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86" w:hRule="atLeast"/>
        </w:trPr>
        <w:tc>
          <w:tcPr>
            <w:tcW w:w="854" w:type="dxa"/>
            <w:vAlign w:val="top"/>
          </w:tcPr>
          <w:p w14:paraId="5FE9762F">
            <w:pPr>
              <w:spacing w:line="267" w:lineRule="auto"/>
              <w:rPr>
                <w:rFonts w:ascii="Arial"/>
                <w:sz w:val="21"/>
              </w:rPr>
            </w:pPr>
          </w:p>
          <w:p w14:paraId="4334C584">
            <w:pPr>
              <w:spacing w:line="267" w:lineRule="auto"/>
              <w:rPr>
                <w:rFonts w:ascii="Arial"/>
                <w:sz w:val="21"/>
              </w:rPr>
            </w:pPr>
          </w:p>
          <w:p w14:paraId="1E1D2714">
            <w:pPr>
              <w:spacing w:before="60" w:line="189" w:lineRule="auto"/>
              <w:ind w:left="220"/>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3.2.4</w:t>
            </w:r>
          </w:p>
        </w:tc>
        <w:tc>
          <w:tcPr>
            <w:tcW w:w="2121" w:type="dxa"/>
            <w:vAlign w:val="top"/>
          </w:tcPr>
          <w:p w14:paraId="6CDAC41E">
            <w:pPr>
              <w:spacing w:line="245" w:lineRule="auto"/>
              <w:rPr>
                <w:rFonts w:ascii="Arial"/>
                <w:sz w:val="21"/>
              </w:rPr>
            </w:pPr>
          </w:p>
          <w:p w14:paraId="747D1912">
            <w:pPr>
              <w:spacing w:line="245" w:lineRule="auto"/>
              <w:rPr>
                <w:rFonts w:ascii="Arial"/>
                <w:sz w:val="21"/>
              </w:rPr>
            </w:pPr>
          </w:p>
          <w:p w14:paraId="2AF3E0C1">
            <w:pPr>
              <w:pStyle w:val="11"/>
              <w:spacing w:before="68" w:line="219" w:lineRule="auto"/>
              <w:ind w:left="438"/>
            </w:pPr>
            <w:r>
              <w:rPr>
                <w:spacing w:val="-1"/>
              </w:rPr>
              <w:t>最高投标限价</w:t>
            </w:r>
          </w:p>
        </w:tc>
        <w:tc>
          <w:tcPr>
            <w:tcW w:w="5447" w:type="dxa"/>
            <w:vAlign w:val="top"/>
          </w:tcPr>
          <w:p w14:paraId="592E487A">
            <w:pPr>
              <w:pStyle w:val="11"/>
              <w:spacing w:before="81" w:line="219" w:lineRule="auto"/>
              <w:ind w:left="132"/>
            </w:pPr>
            <w:r>
              <w:rPr>
                <w:spacing w:val="-3"/>
              </w:rPr>
              <w:t>□不设置最高投标限价</w:t>
            </w:r>
          </w:p>
          <w:p w14:paraId="7DE93F26">
            <w:pPr>
              <w:pStyle w:val="11"/>
              <w:spacing w:before="72" w:line="219" w:lineRule="auto"/>
              <w:ind w:left="132"/>
              <w:rPr>
                <w:highlight w:val="yellow"/>
              </w:rPr>
            </w:pPr>
            <w:r>
              <w:rPr>
                <w:spacing w:val="-7"/>
              </w:rPr>
              <w:sym w:font="Wingdings 2" w:char="0052"/>
            </w:r>
            <w:r>
              <w:rPr>
                <w:spacing w:val="-7"/>
                <w:highlight w:val="yellow"/>
              </w:rPr>
              <w:t xml:space="preserve">设置最高投标限价，最高投标限价： </w:t>
            </w:r>
            <w:r>
              <w:rPr>
                <w:spacing w:val="-7"/>
                <w:highlight w:val="yellow"/>
                <w:u w:val="single" w:color="auto"/>
              </w:rPr>
              <w:t xml:space="preserve">          </w:t>
            </w:r>
            <w:r>
              <w:rPr>
                <w:spacing w:val="-7"/>
                <w:highlight w:val="yellow"/>
              </w:rPr>
              <w:t>。</w:t>
            </w:r>
          </w:p>
          <w:p w14:paraId="78ACA128">
            <w:pPr>
              <w:pStyle w:val="11"/>
              <w:spacing w:before="66" w:line="245" w:lineRule="auto"/>
              <w:ind w:left="112" w:right="381" w:firstLine="1"/>
            </w:pPr>
            <w:r>
              <w:rPr>
                <w:spacing w:val="-5"/>
                <w:highlight w:val="yellow"/>
              </w:rPr>
              <w:t>最高投标限价公布时间：投标截止时间</w:t>
            </w:r>
            <w:r>
              <w:rPr>
                <w:spacing w:val="-87"/>
                <w:highlight w:val="yellow"/>
              </w:rPr>
              <w:t xml:space="preserve"> </w:t>
            </w:r>
            <w:r>
              <w:rPr>
                <w:spacing w:val="6"/>
                <w:highlight w:val="yellow"/>
                <w:u w:val="single" w:color="auto"/>
              </w:rPr>
              <w:t xml:space="preserve">    </w:t>
            </w:r>
            <w:r>
              <w:rPr>
                <w:rFonts w:hint="eastAsia"/>
                <w:spacing w:val="6"/>
                <w:highlight w:val="yellow"/>
                <w:u w:val="single" w:color="auto"/>
                <w:lang w:val="en-US" w:eastAsia="zh-CN"/>
              </w:rPr>
              <w:t>3</w:t>
            </w:r>
            <w:r>
              <w:rPr>
                <w:spacing w:val="6"/>
                <w:highlight w:val="yellow"/>
                <w:u w:val="single" w:color="auto"/>
              </w:rPr>
              <w:t xml:space="preserve">   </w:t>
            </w:r>
            <w:r>
              <w:rPr>
                <w:spacing w:val="-55"/>
                <w:highlight w:val="yellow"/>
              </w:rPr>
              <w:t xml:space="preserve"> </w:t>
            </w:r>
            <w:r>
              <w:rPr>
                <w:spacing w:val="-5"/>
                <w:highlight w:val="yellow"/>
              </w:rPr>
              <w:t>日前</w:t>
            </w:r>
            <w:r>
              <w:rPr>
                <w:spacing w:val="-5"/>
              </w:rPr>
              <w:t>。</w:t>
            </w:r>
            <w:r>
              <w:t xml:space="preserve"> </w:t>
            </w:r>
            <w:r>
              <w:rPr>
                <w:spacing w:val="-9"/>
              </w:rPr>
              <w:t>其他要求：</w:t>
            </w:r>
          </w:p>
        </w:tc>
      </w:tr>
      <w:tr w14:paraId="3116E5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63" w:hRule="atLeast"/>
        </w:trPr>
        <w:tc>
          <w:tcPr>
            <w:tcW w:w="854" w:type="dxa"/>
            <w:vAlign w:val="top"/>
          </w:tcPr>
          <w:p w14:paraId="37D30095">
            <w:pPr>
              <w:spacing w:line="292" w:lineRule="auto"/>
              <w:rPr>
                <w:rFonts w:ascii="Arial"/>
                <w:sz w:val="21"/>
              </w:rPr>
            </w:pPr>
          </w:p>
          <w:p w14:paraId="7E481B2E">
            <w:pPr>
              <w:spacing w:line="292" w:lineRule="auto"/>
              <w:rPr>
                <w:rFonts w:ascii="Arial"/>
                <w:sz w:val="21"/>
              </w:rPr>
            </w:pPr>
          </w:p>
          <w:p w14:paraId="7EAED9D5">
            <w:pPr>
              <w:spacing w:line="292" w:lineRule="auto"/>
              <w:rPr>
                <w:rFonts w:ascii="Arial"/>
                <w:sz w:val="21"/>
              </w:rPr>
            </w:pPr>
          </w:p>
          <w:p w14:paraId="3E37CECF">
            <w:pPr>
              <w:spacing w:line="293" w:lineRule="auto"/>
              <w:rPr>
                <w:rFonts w:ascii="Arial"/>
                <w:sz w:val="21"/>
              </w:rPr>
            </w:pPr>
          </w:p>
          <w:p w14:paraId="72408AC9">
            <w:pPr>
              <w:spacing w:before="60" w:line="189" w:lineRule="auto"/>
              <w:ind w:left="220"/>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3.2.5</w:t>
            </w:r>
          </w:p>
        </w:tc>
        <w:tc>
          <w:tcPr>
            <w:tcW w:w="2121" w:type="dxa"/>
            <w:vAlign w:val="top"/>
          </w:tcPr>
          <w:p w14:paraId="739C0637">
            <w:pPr>
              <w:spacing w:line="281" w:lineRule="auto"/>
              <w:rPr>
                <w:rFonts w:ascii="Arial"/>
                <w:sz w:val="21"/>
              </w:rPr>
            </w:pPr>
          </w:p>
          <w:p w14:paraId="01C7BEF8">
            <w:pPr>
              <w:spacing w:line="281" w:lineRule="auto"/>
              <w:rPr>
                <w:rFonts w:ascii="Arial"/>
                <w:sz w:val="21"/>
              </w:rPr>
            </w:pPr>
          </w:p>
          <w:p w14:paraId="4BD81FA9">
            <w:pPr>
              <w:spacing w:line="281" w:lineRule="auto"/>
              <w:rPr>
                <w:rFonts w:ascii="Arial"/>
                <w:sz w:val="21"/>
              </w:rPr>
            </w:pPr>
          </w:p>
          <w:p w14:paraId="50A14149">
            <w:pPr>
              <w:spacing w:line="282" w:lineRule="auto"/>
              <w:rPr>
                <w:rFonts w:ascii="Arial"/>
                <w:sz w:val="21"/>
              </w:rPr>
            </w:pPr>
          </w:p>
          <w:p w14:paraId="18659F44">
            <w:pPr>
              <w:pStyle w:val="11"/>
              <w:spacing w:before="68" w:line="219" w:lineRule="auto"/>
              <w:ind w:left="646"/>
            </w:pPr>
            <w:r>
              <w:rPr>
                <w:spacing w:val="-1"/>
              </w:rPr>
              <w:t>报价说明</w:t>
            </w:r>
          </w:p>
        </w:tc>
        <w:tc>
          <w:tcPr>
            <w:tcW w:w="5447" w:type="dxa"/>
            <w:vAlign w:val="top"/>
          </w:tcPr>
          <w:p w14:paraId="72DD353C">
            <w:pPr>
              <w:pStyle w:val="11"/>
              <w:spacing w:before="81" w:line="219" w:lineRule="auto"/>
              <w:ind w:left="109"/>
            </w:pPr>
            <w:r>
              <w:rPr>
                <w:spacing w:val="-8"/>
              </w:rPr>
              <w:t>报价方式：</w:t>
            </w:r>
          </w:p>
          <w:p w14:paraId="54010B38">
            <w:pPr>
              <w:pStyle w:val="11"/>
              <w:spacing w:before="68" w:line="219" w:lineRule="auto"/>
              <w:ind w:left="132"/>
            </w:pPr>
            <w:r>
              <w:rPr>
                <w:spacing w:val="-4"/>
              </w:rPr>
              <w:sym w:font="Wingdings 2" w:char="0052"/>
            </w:r>
            <w:r>
              <w:rPr>
                <w:spacing w:val="-4"/>
              </w:rPr>
              <w:t>人民币价格</w:t>
            </w:r>
          </w:p>
          <w:p w14:paraId="19F87371">
            <w:pPr>
              <w:pStyle w:val="11"/>
              <w:spacing w:before="72" w:line="219" w:lineRule="auto"/>
              <w:ind w:left="132"/>
            </w:pPr>
            <w:r>
              <w:rPr>
                <w:spacing w:val="-2"/>
              </w:rPr>
              <w:t>□综合费率（参与价格评审的为综合费率）</w:t>
            </w:r>
          </w:p>
          <w:p w14:paraId="3D5135EF">
            <w:pPr>
              <w:pStyle w:val="11"/>
              <w:spacing w:before="72" w:line="219" w:lineRule="auto"/>
              <w:ind w:left="132"/>
            </w:pPr>
            <w:r>
              <w:rPr>
                <w:spacing w:val="-3"/>
              </w:rPr>
              <w:t>□下浮率（参与价格评审的为下浮率）</w:t>
            </w:r>
          </w:p>
          <w:p w14:paraId="442EA905">
            <w:pPr>
              <w:pStyle w:val="11"/>
              <w:spacing w:before="67" w:line="219" w:lineRule="auto"/>
              <w:ind w:left="132"/>
            </w:pPr>
            <w:r>
              <w:rPr>
                <w:spacing w:val="-2"/>
              </w:rPr>
              <w:t>□综合单价（参与价格评审的为综合单价）</w:t>
            </w:r>
          </w:p>
          <w:p w14:paraId="7D5FBF7B">
            <w:pPr>
              <w:pStyle w:val="11"/>
              <w:spacing w:before="72" w:line="219" w:lineRule="auto"/>
              <w:ind w:left="111"/>
            </w:pPr>
            <w:r>
              <w:rPr>
                <w:spacing w:val="7"/>
              </w:rPr>
              <w:t>特别说明：非人民币价格方式报价，投标人均应根据实</w:t>
            </w:r>
          </w:p>
          <w:p w14:paraId="2611B176">
            <w:pPr>
              <w:pStyle w:val="11"/>
              <w:spacing w:before="73" w:line="317" w:lineRule="exact"/>
              <w:ind w:left="126"/>
            </w:pPr>
            <w:r>
              <w:rPr>
                <w:spacing w:val="-3"/>
                <w:position w:val="7"/>
              </w:rPr>
              <w:t>际情况合理填报转换的人民币价格。</w:t>
            </w:r>
          </w:p>
          <w:p w14:paraId="0C36865F">
            <w:pPr>
              <w:pStyle w:val="11"/>
              <w:spacing w:before="1" w:line="205" w:lineRule="auto"/>
              <w:ind w:left="109"/>
            </w:pPr>
            <w:r>
              <w:rPr>
                <w:spacing w:val="-23"/>
                <w:w w:val="96"/>
              </w:rPr>
              <w:t>报价要求：</w:t>
            </w:r>
            <w:r>
              <w:rPr>
                <w:spacing w:val="50"/>
              </w:rPr>
              <w:t xml:space="preserve"> </w:t>
            </w:r>
            <w:r>
              <w:rPr>
                <w:rFonts w:hint="eastAsia"/>
                <w:color w:val="auto"/>
                <w:highlight w:val="none"/>
                <w:u w:val="single"/>
                <w:lang w:eastAsia="zh-CN"/>
              </w:rPr>
              <w:t>有效报价的确定：不超出招标控制价的投标报价为有效投标报价。</w:t>
            </w:r>
          </w:p>
        </w:tc>
      </w:tr>
      <w:tr w14:paraId="45B734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854" w:type="dxa"/>
            <w:vAlign w:val="top"/>
          </w:tcPr>
          <w:p w14:paraId="69BABF75">
            <w:pPr>
              <w:spacing w:before="186" w:line="189" w:lineRule="auto"/>
              <w:ind w:left="220"/>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3.3.1</w:t>
            </w:r>
          </w:p>
        </w:tc>
        <w:tc>
          <w:tcPr>
            <w:tcW w:w="2121" w:type="dxa"/>
            <w:vAlign w:val="top"/>
          </w:tcPr>
          <w:p w14:paraId="6EA0F162">
            <w:pPr>
              <w:pStyle w:val="11"/>
              <w:spacing w:before="149" w:line="221" w:lineRule="auto"/>
              <w:ind w:left="544"/>
            </w:pPr>
            <w:r>
              <w:rPr>
                <w:spacing w:val="-1"/>
              </w:rPr>
              <w:t>投标有效期</w:t>
            </w:r>
          </w:p>
        </w:tc>
        <w:tc>
          <w:tcPr>
            <w:tcW w:w="5447" w:type="dxa"/>
            <w:vAlign w:val="top"/>
          </w:tcPr>
          <w:p w14:paraId="0C10CBF1">
            <w:pPr>
              <w:pStyle w:val="11"/>
              <w:spacing w:before="149" w:line="221" w:lineRule="auto"/>
              <w:ind w:left="145"/>
            </w:pPr>
            <w:r>
              <w:rPr>
                <w:spacing w:val="-6"/>
              </w:rPr>
              <w:t>自投标截止之日起</w:t>
            </w:r>
            <w:r>
              <w:rPr>
                <w:spacing w:val="-6"/>
                <w:u w:val="single" w:color="auto"/>
              </w:rPr>
              <w:t xml:space="preserve"> </w:t>
            </w:r>
            <w:r>
              <w:rPr>
                <w:rFonts w:hint="eastAsia"/>
                <w:spacing w:val="-6"/>
                <w:u w:val="single" w:color="auto"/>
                <w:lang w:val="en-US" w:eastAsia="zh-CN"/>
              </w:rPr>
              <w:t>90</w:t>
            </w:r>
            <w:r>
              <w:rPr>
                <w:spacing w:val="-47"/>
              </w:rPr>
              <w:t xml:space="preserve"> </w:t>
            </w:r>
            <w:r>
              <w:rPr>
                <w:spacing w:val="-6"/>
              </w:rPr>
              <w:t>日内有效</w:t>
            </w:r>
          </w:p>
        </w:tc>
      </w:tr>
      <w:tr w14:paraId="0B6D0A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91" w:hRule="atLeast"/>
        </w:trPr>
        <w:tc>
          <w:tcPr>
            <w:tcW w:w="854" w:type="dxa"/>
            <w:vAlign w:val="top"/>
          </w:tcPr>
          <w:p w14:paraId="249C86B7">
            <w:pPr>
              <w:spacing w:line="267" w:lineRule="auto"/>
              <w:rPr>
                <w:rFonts w:ascii="Arial"/>
                <w:sz w:val="21"/>
              </w:rPr>
            </w:pPr>
          </w:p>
          <w:p w14:paraId="7A9D7B6F">
            <w:pPr>
              <w:spacing w:line="268" w:lineRule="auto"/>
              <w:rPr>
                <w:rFonts w:ascii="Arial"/>
                <w:sz w:val="21"/>
              </w:rPr>
            </w:pPr>
          </w:p>
          <w:p w14:paraId="75DC5FDA">
            <w:pPr>
              <w:spacing w:before="61" w:line="189" w:lineRule="auto"/>
              <w:ind w:left="220"/>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3.4.1</w:t>
            </w:r>
          </w:p>
        </w:tc>
        <w:tc>
          <w:tcPr>
            <w:tcW w:w="2121" w:type="dxa"/>
            <w:vAlign w:val="top"/>
          </w:tcPr>
          <w:p w14:paraId="7923964B">
            <w:pPr>
              <w:spacing w:line="246" w:lineRule="auto"/>
              <w:rPr>
                <w:rFonts w:ascii="Arial"/>
                <w:sz w:val="21"/>
              </w:rPr>
            </w:pPr>
          </w:p>
          <w:p w14:paraId="591FEB43">
            <w:pPr>
              <w:spacing w:line="246" w:lineRule="auto"/>
              <w:rPr>
                <w:rFonts w:ascii="Arial"/>
                <w:sz w:val="21"/>
              </w:rPr>
            </w:pPr>
          </w:p>
          <w:p w14:paraId="451FFFC4">
            <w:pPr>
              <w:pStyle w:val="11"/>
              <w:spacing w:before="68" w:line="221" w:lineRule="auto"/>
              <w:ind w:left="544"/>
            </w:pPr>
            <w:r>
              <w:rPr>
                <w:spacing w:val="-1"/>
              </w:rPr>
              <w:t>投标保证金</w:t>
            </w:r>
          </w:p>
        </w:tc>
        <w:tc>
          <w:tcPr>
            <w:tcW w:w="5447" w:type="dxa"/>
            <w:vAlign w:val="top"/>
          </w:tcPr>
          <w:p w14:paraId="40828713">
            <w:pPr>
              <w:pStyle w:val="11"/>
              <w:spacing w:before="40" w:line="207" w:lineRule="auto"/>
              <w:ind w:left="125"/>
            </w:pPr>
            <w:r>
              <w:rPr>
                <w:rFonts w:ascii="Times New Roman" w:hAnsi="Times New Roman" w:eastAsia="Times New Roman" w:cs="Times New Roman"/>
                <w:spacing w:val="-6"/>
                <w:sz w:val="32"/>
                <w:szCs w:val="32"/>
              </w:rPr>
              <w:t>□</w:t>
            </w:r>
            <w:r>
              <w:rPr>
                <w:spacing w:val="-6"/>
              </w:rPr>
              <w:t>不提交</w:t>
            </w:r>
          </w:p>
          <w:p w14:paraId="4A40ECF4">
            <w:pPr>
              <w:pStyle w:val="11"/>
              <w:spacing w:line="222" w:lineRule="auto"/>
              <w:ind w:left="125"/>
            </w:pPr>
            <w:r>
              <w:rPr>
                <w:rFonts w:ascii="Times New Roman" w:hAnsi="Times New Roman" w:eastAsia="Times New Roman" w:cs="Times New Roman"/>
                <w:spacing w:val="-8"/>
                <w:sz w:val="32"/>
                <w:szCs w:val="32"/>
              </w:rPr>
              <w:sym w:font="Wingdings 2" w:char="0052"/>
            </w:r>
            <w:r>
              <w:rPr>
                <w:spacing w:val="-8"/>
              </w:rPr>
              <w:t>提交</w:t>
            </w:r>
          </w:p>
          <w:p w14:paraId="502799B8">
            <w:pPr>
              <w:pStyle w:val="11"/>
              <w:numPr>
                <w:ilvl w:val="0"/>
                <w:numId w:val="1"/>
              </w:numPr>
              <w:spacing w:before="21" w:line="246" w:lineRule="auto"/>
              <w:ind w:left="126" w:right="499"/>
              <w:rPr>
                <w:spacing w:val="-14"/>
                <w14:textOutline w14:w="3831" w14:cap="flat" w14:cmpd="sng">
                  <w14:solidFill>
                    <w14:srgbClr w14:val="000000"/>
                  </w14:solidFill>
                  <w14:prstDash w14:val="solid"/>
                  <w14:miter w14:val="0"/>
                </w14:textOutline>
              </w:rPr>
            </w:pPr>
            <w:r>
              <w:rPr>
                <w:spacing w:val="-6"/>
              </w:rPr>
              <w:t>递交截止时间（到账时间</w:t>
            </w:r>
            <w:r>
              <w:rPr>
                <w:spacing w:val="-13"/>
              </w:rPr>
              <w:t>）</w:t>
            </w:r>
            <w:r>
              <w:rPr>
                <w:spacing w:val="37"/>
              </w:rPr>
              <w:t xml:space="preserve"> </w:t>
            </w:r>
            <w:r>
              <w:rPr>
                <w:spacing w:val="-13"/>
              </w:rPr>
              <w:t>：</w:t>
            </w:r>
            <w:r>
              <w:rPr>
                <w:spacing w:val="-6"/>
                <w14:textOutline w14:w="3831" w14:cap="flat" w14:cmpd="sng">
                  <w14:solidFill>
                    <w14:srgbClr w14:val="000000"/>
                  </w14:solidFill>
                  <w14:prstDash w14:val="solid"/>
                  <w14:miter w14:val="0"/>
                </w14:textOutline>
              </w:rPr>
              <w:t>同本标段投标截止时</w:t>
            </w:r>
            <w:r>
              <w:t xml:space="preserve"> </w:t>
            </w:r>
            <w:r>
              <w:rPr>
                <w:spacing w:val="-14"/>
                <w14:textOutline w14:w="3831" w14:cap="flat" w14:cmpd="sng">
                  <w14:solidFill>
                    <w14:srgbClr w14:val="000000"/>
                  </w14:solidFill>
                  <w14:prstDash w14:val="solid"/>
                  <w14:miter w14:val="0"/>
                </w14:textOutline>
              </w:rPr>
              <w:t>间。</w:t>
            </w:r>
          </w:p>
        </w:tc>
      </w:tr>
    </w:tbl>
    <w:p w14:paraId="22699B49">
      <w:pPr>
        <w:pStyle w:val="3"/>
      </w:pPr>
    </w:p>
    <w:p w14:paraId="12895093">
      <w:pPr>
        <w:spacing w:line="95" w:lineRule="auto"/>
        <w:rPr>
          <w:rFonts w:ascii="Arial"/>
          <w:sz w:val="2"/>
        </w:rPr>
      </w:pPr>
    </w:p>
    <w:tbl>
      <w:tblPr>
        <w:tblStyle w:val="10"/>
        <w:tblW w:w="842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54"/>
        <w:gridCol w:w="2121"/>
        <w:gridCol w:w="5447"/>
      </w:tblGrid>
      <w:tr w14:paraId="0471C1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970" w:hRule="atLeast"/>
        </w:trPr>
        <w:tc>
          <w:tcPr>
            <w:tcW w:w="854" w:type="dxa"/>
            <w:vAlign w:val="top"/>
          </w:tcPr>
          <w:p w14:paraId="32CDFA58">
            <w:pPr>
              <w:rPr>
                <w:rFonts w:ascii="Arial"/>
                <w:sz w:val="21"/>
              </w:rPr>
            </w:pPr>
          </w:p>
        </w:tc>
        <w:tc>
          <w:tcPr>
            <w:tcW w:w="2121" w:type="dxa"/>
            <w:vAlign w:val="top"/>
          </w:tcPr>
          <w:p w14:paraId="426D1541">
            <w:pPr>
              <w:rPr>
                <w:rFonts w:ascii="Arial"/>
                <w:sz w:val="21"/>
              </w:rPr>
            </w:pPr>
          </w:p>
        </w:tc>
        <w:tc>
          <w:tcPr>
            <w:tcW w:w="5447" w:type="dxa"/>
            <w:vAlign w:val="top"/>
          </w:tcPr>
          <w:p w14:paraId="1E0F957D">
            <w:pPr>
              <w:pStyle w:val="11"/>
              <w:spacing w:before="81" w:line="221" w:lineRule="auto"/>
              <w:ind w:left="113"/>
            </w:pPr>
            <w:bookmarkStart w:id="34" w:name="bookmark55"/>
            <w:bookmarkEnd w:id="34"/>
            <w:bookmarkStart w:id="35" w:name="bookmark58"/>
            <w:bookmarkEnd w:id="35"/>
            <w:bookmarkStart w:id="36" w:name="bookmark56"/>
            <w:bookmarkEnd w:id="36"/>
            <w:bookmarkStart w:id="37" w:name="bookmark57"/>
            <w:bookmarkEnd w:id="37"/>
            <w:r>
              <w:rPr>
                <w:spacing w:val="-14"/>
              </w:rPr>
              <w:t xml:space="preserve">2.金额： </w:t>
            </w:r>
            <w:r>
              <w:rPr>
                <w:spacing w:val="-14"/>
                <w:u w:val="single" w:color="auto"/>
              </w:rPr>
              <w:t xml:space="preserve"> </w:t>
            </w:r>
            <w:r>
              <w:rPr>
                <w:rFonts w:hint="eastAsia"/>
                <w:spacing w:val="-14"/>
                <w:u w:val="single" w:color="auto"/>
                <w:lang w:val="en-US" w:eastAsia="zh-CN"/>
              </w:rPr>
              <w:t>5</w:t>
            </w:r>
            <w:r>
              <w:rPr>
                <w:spacing w:val="-81"/>
              </w:rPr>
              <w:t xml:space="preserve"> </w:t>
            </w:r>
            <w:r>
              <w:rPr>
                <w:rFonts w:hint="eastAsia" w:ascii="宋体" w:hAnsi="宋体" w:cs="宋体"/>
                <w:color w:val="auto"/>
                <w:kern w:val="0"/>
                <w:szCs w:val="21"/>
                <w:highlight w:val="none"/>
                <w:u w:val="none"/>
                <w:lang w:val="en-US" w:eastAsia="zh-CN"/>
              </w:rPr>
              <w:t>万</w:t>
            </w:r>
            <w:r>
              <w:rPr>
                <w:rFonts w:hint="eastAsia" w:ascii="宋体" w:hAnsi="宋体" w:cs="宋体"/>
                <w:color w:val="auto"/>
                <w:kern w:val="0"/>
                <w:szCs w:val="21"/>
                <w:highlight w:val="none"/>
              </w:rPr>
              <w:t>元</w:t>
            </w:r>
            <w:r>
              <w:rPr>
                <w:spacing w:val="-14"/>
              </w:rPr>
              <w:t>。</w:t>
            </w:r>
          </w:p>
          <w:p w14:paraId="10560335">
            <w:pPr>
              <w:pStyle w:val="11"/>
              <w:spacing w:before="66" w:line="221" w:lineRule="auto"/>
              <w:ind w:left="115"/>
            </w:pPr>
            <w:r>
              <w:rPr>
                <w:spacing w:val="-8"/>
              </w:rPr>
              <w:t>3.形式：</w:t>
            </w:r>
            <w:r>
              <w:rPr>
                <w:rFonts w:hint="eastAsia"/>
                <w:color w:val="auto"/>
                <w:highlight w:val="none"/>
                <w:lang w:eastAsia="zh-CN"/>
              </w:rPr>
              <w:sym w:font="Wingdings 2" w:char="0052"/>
            </w:r>
            <w:r>
              <w:rPr>
                <w:rFonts w:hint="eastAsia"/>
                <w:color w:val="auto"/>
                <w:highlight w:val="none"/>
                <w:lang w:eastAsia="zh-CN"/>
              </w:rPr>
              <w:t>现金（指电汇、支票）  ☑保函（保险）</w:t>
            </w:r>
            <w:r>
              <w:rPr>
                <w:spacing w:val="91"/>
              </w:rPr>
              <w:t xml:space="preserve"> </w:t>
            </w:r>
            <w:r>
              <w:rPr>
                <w:spacing w:val="-8"/>
              </w:rPr>
              <w:t>□其他形式</w:t>
            </w:r>
          </w:p>
          <w:p w14:paraId="364E474D">
            <w:pPr>
              <w:pStyle w:val="11"/>
              <w:spacing w:before="69" w:line="222" w:lineRule="auto"/>
              <w:ind w:left="110"/>
            </w:pPr>
            <w:r>
              <w:rPr>
                <w:spacing w:val="-5"/>
              </w:rPr>
              <w:t>4.递交方式：</w:t>
            </w:r>
          </w:p>
          <w:p w14:paraId="1E0A8668">
            <w:pPr>
              <w:pStyle w:val="11"/>
              <w:spacing w:before="70" w:line="221" w:lineRule="auto"/>
              <w:ind w:left="110"/>
            </w:pPr>
            <w:r>
              <w:rPr>
                <w:spacing w:val="-2"/>
              </w:rPr>
              <w:t>4.1</w:t>
            </w:r>
            <w:r>
              <w:rPr>
                <w:spacing w:val="-43"/>
              </w:rPr>
              <w:t xml:space="preserve"> </w:t>
            </w:r>
            <w:r>
              <w:rPr>
                <w:spacing w:val="-2"/>
              </w:rPr>
              <w:t>现金</w:t>
            </w:r>
          </w:p>
          <w:p w14:paraId="574F9896">
            <w:pPr>
              <w:pStyle w:val="11"/>
              <w:spacing w:before="64" w:line="221" w:lineRule="auto"/>
              <w:ind w:left="540"/>
            </w:pPr>
            <w:r>
              <w:rPr>
                <w:spacing w:val="-4"/>
              </w:rPr>
              <w:t>（1）收款信息</w:t>
            </w:r>
          </w:p>
          <w:p w14:paraId="347E5393">
            <w:pPr>
              <w:widowControl/>
              <w:ind w:firstLine="420" w:firstLineChars="200"/>
              <w:rPr>
                <w:rFonts w:hint="eastAsia" w:ascii="仿宋_GB2312" w:hAnsi="Arial" w:eastAsia="仿宋_GB2312" w:cs="Arial"/>
                <w:kern w:val="0"/>
                <w:szCs w:val="21"/>
                <w:lang w:eastAsia="zh-CN"/>
              </w:rPr>
            </w:pPr>
            <w:r>
              <w:rPr>
                <w:rFonts w:hint="eastAsia" w:ascii="仿宋_GB2312" w:hAnsi="Arial" w:eastAsia="仿宋_GB2312" w:cs="Arial"/>
                <w:kern w:val="0"/>
                <w:szCs w:val="21"/>
                <w:highlight w:val="white"/>
              </w:rPr>
              <w:t>收款单位：</w:t>
            </w:r>
            <w:r>
              <w:rPr>
                <w:rFonts w:hint="eastAsia" w:ascii="仿宋_GB2312" w:eastAsia="仿宋_GB2312" w:cs="Arial"/>
                <w:color w:val="0000FF"/>
                <w:kern w:val="0"/>
                <w:szCs w:val="21"/>
                <w:highlight w:val="white"/>
                <w:lang w:eastAsia="zh-CN"/>
              </w:rPr>
              <w:t>沈阳招标中心有限公司</w:t>
            </w:r>
          </w:p>
          <w:p w14:paraId="7717A94D">
            <w:pPr>
              <w:widowControl/>
              <w:ind w:firstLine="420" w:firstLineChars="200"/>
              <w:rPr>
                <w:rFonts w:hint="eastAsia" w:ascii="仿宋_GB2312" w:hAnsi="Arial" w:eastAsia="仿宋_GB2312" w:cs="Arial"/>
                <w:kern w:val="0"/>
                <w:szCs w:val="21"/>
                <w:lang w:eastAsia="zh-CN"/>
              </w:rPr>
            </w:pPr>
            <w:r>
              <w:rPr>
                <w:rFonts w:hint="eastAsia" w:ascii="仿宋_GB2312" w:hAnsi="Arial" w:eastAsia="仿宋_GB2312" w:cs="Arial"/>
                <w:kern w:val="0"/>
                <w:szCs w:val="21"/>
                <w:highlight w:val="white"/>
              </w:rPr>
              <w:t>开户银行：</w:t>
            </w:r>
            <w:r>
              <w:rPr>
                <w:rFonts w:hint="eastAsia" w:ascii="仿宋_GB2312" w:eastAsia="仿宋_GB2312" w:cs="Arial"/>
                <w:color w:val="0000FF"/>
                <w:kern w:val="0"/>
                <w:szCs w:val="21"/>
                <w:highlight w:val="white"/>
                <w:lang w:eastAsia="zh-CN"/>
              </w:rPr>
              <w:t>建设银行浑南东路支行</w:t>
            </w:r>
          </w:p>
          <w:p w14:paraId="07DE035F">
            <w:pPr>
              <w:widowControl/>
              <w:ind w:firstLine="420" w:firstLineChars="200"/>
              <w:rPr>
                <w:rFonts w:hint="eastAsia" w:ascii="仿宋_GB2312" w:hAnsi="Arial" w:eastAsia="仿宋_GB2312" w:cs="Arial"/>
                <w:kern w:val="0"/>
                <w:szCs w:val="21"/>
                <w:lang w:eastAsia="zh-CN"/>
              </w:rPr>
            </w:pPr>
            <w:r>
              <w:rPr>
                <w:rFonts w:hint="eastAsia" w:ascii="仿宋_GB2312" w:hAnsi="Arial" w:eastAsia="仿宋_GB2312" w:cs="Arial"/>
                <w:kern w:val="0"/>
                <w:szCs w:val="21"/>
                <w:highlight w:val="white"/>
              </w:rPr>
              <w:t>汇款账号：</w:t>
            </w:r>
            <w:r>
              <w:rPr>
                <w:rFonts w:hint="eastAsia" w:ascii="仿宋_GB2312" w:eastAsia="仿宋_GB2312" w:cs="Arial"/>
                <w:color w:val="0000FF"/>
                <w:kern w:val="0"/>
                <w:szCs w:val="21"/>
                <w:highlight w:val="white"/>
                <w:lang w:val="en-US" w:eastAsia="zh-CN"/>
              </w:rPr>
              <w:t xml:space="preserve"> </w:t>
            </w:r>
          </w:p>
          <w:p w14:paraId="03954218">
            <w:pPr>
              <w:pStyle w:val="11"/>
              <w:tabs>
                <w:tab w:val="left" w:pos="4937"/>
              </w:tabs>
              <w:spacing w:before="71" w:line="266" w:lineRule="auto"/>
              <w:ind w:left="534" w:right="503" w:firstLine="6"/>
              <w:jc w:val="both"/>
            </w:pPr>
            <w:r>
              <w:t xml:space="preserve"> </w:t>
            </w:r>
            <w:r>
              <w:rPr>
                <w:spacing w:val="-1"/>
              </w:rPr>
              <w:t>（2）收款说明</w:t>
            </w:r>
          </w:p>
          <w:p w14:paraId="66945D29">
            <w:pPr>
              <w:pStyle w:val="11"/>
              <w:spacing w:before="71" w:line="250" w:lineRule="auto"/>
              <w:ind w:left="113" w:right="294" w:firstLine="423"/>
            </w:pPr>
            <w:r>
              <w:rPr>
                <w:spacing w:val="-1"/>
              </w:rPr>
              <w:t>投标人应在投标截止时间前通过企业基本账户递交</w:t>
            </w:r>
            <w:r>
              <w:rPr>
                <w:spacing w:val="12"/>
              </w:rPr>
              <w:t xml:space="preserve"> </w:t>
            </w:r>
            <w:r>
              <w:rPr>
                <w:spacing w:val="-1"/>
              </w:rPr>
              <w:t>至</w:t>
            </w:r>
            <w:r>
              <w:rPr>
                <w:spacing w:val="-45"/>
              </w:rPr>
              <w:t xml:space="preserve"> </w:t>
            </w:r>
            <w:r>
              <w:rPr>
                <w:spacing w:val="-1"/>
              </w:rPr>
              <w:t>4.1（1）规定的账户，否则视为无效投标</w:t>
            </w:r>
            <w:r>
              <w:rPr>
                <w:spacing w:val="-2"/>
              </w:rPr>
              <w:t>保证金。</w:t>
            </w:r>
          </w:p>
          <w:p w14:paraId="532AACD0">
            <w:pPr>
              <w:pStyle w:val="11"/>
              <w:spacing w:before="70" w:line="221" w:lineRule="auto"/>
              <w:ind w:left="110"/>
            </w:pPr>
            <w:r>
              <w:rPr>
                <w:spacing w:val="-2"/>
              </w:rPr>
              <w:t>4.2</w:t>
            </w:r>
            <w:r>
              <w:rPr>
                <w:spacing w:val="-40"/>
              </w:rPr>
              <w:t xml:space="preserve"> </w:t>
            </w:r>
            <w:r>
              <w:rPr>
                <w:spacing w:val="-2"/>
              </w:rPr>
              <w:t>保函（保险）</w:t>
            </w:r>
          </w:p>
          <w:p w14:paraId="7C712F6F">
            <w:pPr>
              <w:pStyle w:val="11"/>
              <w:spacing w:before="69" w:line="269" w:lineRule="auto"/>
              <w:ind w:left="110" w:right="188" w:firstLine="429"/>
            </w:pPr>
            <w:r>
              <w:rPr>
                <w:spacing w:val="-1"/>
              </w:rPr>
              <w:t>（1）投标人可通过辽宁省建设工程领域电子保函保</w:t>
            </w:r>
            <w:r>
              <w:rPr>
                <w:spacing w:val="10"/>
              </w:rPr>
              <w:t xml:space="preserve"> </w:t>
            </w:r>
            <w:r>
              <w:rPr>
                <w:spacing w:val="-1"/>
              </w:rPr>
              <w:t>险基础公共服务平台或辽宁省工程建设项目电子保函保</w:t>
            </w:r>
            <w:r>
              <w:rPr>
                <w:spacing w:val="7"/>
              </w:rPr>
              <w:t xml:space="preserve">  </w:t>
            </w:r>
            <w:r>
              <w:rPr>
                <w:spacing w:val="-1"/>
              </w:rPr>
              <w:t>险基础服务平台跨地区、跨行业自由服务试点的金融平</w:t>
            </w:r>
            <w:r>
              <w:rPr>
                <w:spacing w:val="7"/>
              </w:rPr>
              <w:t xml:space="preserve">  </w:t>
            </w:r>
            <w:r>
              <w:rPr>
                <w:spacing w:val="-1"/>
              </w:rPr>
              <w:t>台或金融机构任一渠道自主选择购买保函（保险</w:t>
            </w:r>
            <w:r>
              <w:rPr>
                <w:spacing w:val="-34"/>
              </w:rPr>
              <w:t>），</w:t>
            </w:r>
            <w:r>
              <w:rPr>
                <w:spacing w:val="-24"/>
              </w:rPr>
              <w:t xml:space="preserve"> </w:t>
            </w:r>
            <w:r>
              <w:rPr>
                <w:spacing w:val="-1"/>
              </w:rPr>
              <w:t>鼓</w:t>
            </w:r>
            <w:r>
              <w:t xml:space="preserve">  </w:t>
            </w:r>
            <w:r>
              <w:rPr>
                <w:spacing w:val="-5"/>
              </w:rPr>
              <w:t>励企业使用电子保函（保险） 等形式提交保证金。</w:t>
            </w:r>
          </w:p>
          <w:p w14:paraId="5B3484EA">
            <w:pPr>
              <w:pStyle w:val="11"/>
              <w:spacing w:before="69" w:line="273" w:lineRule="auto"/>
              <w:ind w:left="109" w:right="219" w:firstLine="430"/>
            </w:pPr>
            <w:r>
              <w:rPr>
                <w:spacing w:val="-2"/>
              </w:rPr>
              <w:t>（2）投标人应在投标截止时间前购买完成并生效。</w:t>
            </w:r>
            <w:r>
              <w:rPr>
                <w:spacing w:val="2"/>
              </w:rPr>
              <w:t xml:space="preserve"> </w:t>
            </w:r>
            <w:r>
              <w:rPr>
                <w:spacing w:val="-1"/>
              </w:rPr>
              <w:t xml:space="preserve">购买保函（保险）的财务费用应当通过企业基本账户或 </w:t>
            </w:r>
            <w:r>
              <w:rPr>
                <w:spacing w:val="-3"/>
              </w:rPr>
              <w:t>主体信息库登记的企业账户缴纳。纸质保函（保险）</w:t>
            </w:r>
            <w:r>
              <w:rPr>
                <w:spacing w:val="-42"/>
              </w:rPr>
              <w:t xml:space="preserve"> </w:t>
            </w:r>
            <w:r>
              <w:rPr>
                <w:spacing w:val="-4"/>
              </w:rPr>
              <w:t xml:space="preserve">和 </w:t>
            </w:r>
            <w:r>
              <w:rPr>
                <w:spacing w:val="-1"/>
              </w:rPr>
              <w:t xml:space="preserve">电子保函（保险）能够满足出函机构官方媒介或其指定 </w:t>
            </w:r>
            <w:r>
              <w:rPr>
                <w:spacing w:val="-6"/>
              </w:rPr>
              <w:t>的在线系统实时验真的条件。购买保函（保险）</w:t>
            </w:r>
            <w:r>
              <w:rPr>
                <w:spacing w:val="35"/>
              </w:rPr>
              <w:t xml:space="preserve"> </w:t>
            </w:r>
            <w:r>
              <w:rPr>
                <w:spacing w:val="-7"/>
              </w:rPr>
              <w:t xml:space="preserve">的财务 </w:t>
            </w:r>
            <w:r>
              <w:rPr>
                <w:spacing w:val="-1"/>
              </w:rPr>
              <w:t xml:space="preserve">费用不是通过企业账户缴纳或无法在线验真的保函（保 </w:t>
            </w:r>
            <w:r>
              <w:rPr>
                <w:spacing w:val="-3"/>
              </w:rPr>
              <w:t>险）视为无效保函（保险）。</w:t>
            </w:r>
          </w:p>
          <w:p w14:paraId="10FB853D">
            <w:pPr>
              <w:pStyle w:val="11"/>
              <w:spacing w:before="70" w:line="221" w:lineRule="auto"/>
              <w:ind w:left="110"/>
            </w:pPr>
            <w:r>
              <w:rPr>
                <w:spacing w:val="-2"/>
              </w:rPr>
              <w:t>4.3</w:t>
            </w:r>
            <w:r>
              <w:rPr>
                <w:spacing w:val="-44"/>
              </w:rPr>
              <w:t xml:space="preserve"> </w:t>
            </w:r>
            <w:r>
              <w:rPr>
                <w:spacing w:val="-2"/>
              </w:rPr>
              <w:t>其他</w:t>
            </w:r>
          </w:p>
          <w:p w14:paraId="5389DBB5">
            <w:pPr>
              <w:pStyle w:val="11"/>
              <w:spacing w:before="63" w:line="258" w:lineRule="auto"/>
              <w:ind w:left="111" w:right="294" w:firstLine="421"/>
              <w:jc w:val="both"/>
            </w:pPr>
            <w:r>
              <w:rPr>
                <w:spacing w:val="-1"/>
              </w:rPr>
              <w:t>采用汇票等其他方式缴纳投标保证金的，也应参照</w:t>
            </w:r>
            <w:r>
              <w:rPr>
                <w:spacing w:val="15"/>
              </w:rPr>
              <w:t xml:space="preserve"> </w:t>
            </w:r>
            <w:r>
              <w:rPr>
                <w:spacing w:val="-1"/>
              </w:rPr>
              <w:t>现金方式缴纳要求执行。招标人要求可以不缴纳投标保</w:t>
            </w:r>
            <w:r>
              <w:rPr>
                <w:spacing w:val="14"/>
              </w:rPr>
              <w:t xml:space="preserve"> </w:t>
            </w:r>
            <w:r>
              <w:rPr>
                <w:spacing w:val="-1"/>
              </w:rPr>
              <w:t>证金的除外。</w:t>
            </w:r>
          </w:p>
        </w:tc>
      </w:tr>
      <w:tr w14:paraId="643715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24" w:hRule="atLeast"/>
        </w:trPr>
        <w:tc>
          <w:tcPr>
            <w:tcW w:w="854" w:type="dxa"/>
            <w:vAlign w:val="top"/>
          </w:tcPr>
          <w:p w14:paraId="711C627E">
            <w:pPr>
              <w:spacing w:line="282" w:lineRule="auto"/>
              <w:rPr>
                <w:rFonts w:ascii="Arial"/>
                <w:sz w:val="21"/>
              </w:rPr>
            </w:pPr>
          </w:p>
          <w:p w14:paraId="061674F2">
            <w:pPr>
              <w:spacing w:line="283" w:lineRule="auto"/>
              <w:rPr>
                <w:rFonts w:ascii="Arial"/>
                <w:sz w:val="21"/>
              </w:rPr>
            </w:pPr>
          </w:p>
          <w:p w14:paraId="2B4A376E">
            <w:pPr>
              <w:spacing w:line="283" w:lineRule="auto"/>
              <w:rPr>
                <w:rFonts w:ascii="Arial"/>
                <w:sz w:val="21"/>
              </w:rPr>
            </w:pPr>
          </w:p>
          <w:p w14:paraId="3FDDD6CA">
            <w:pPr>
              <w:spacing w:before="61" w:line="189" w:lineRule="auto"/>
              <w:ind w:left="220"/>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3.4.3</w:t>
            </w:r>
          </w:p>
        </w:tc>
        <w:tc>
          <w:tcPr>
            <w:tcW w:w="2121" w:type="dxa"/>
            <w:vAlign w:val="top"/>
          </w:tcPr>
          <w:p w14:paraId="52682515">
            <w:pPr>
              <w:spacing w:line="323" w:lineRule="auto"/>
              <w:rPr>
                <w:rFonts w:ascii="Arial"/>
                <w:sz w:val="21"/>
              </w:rPr>
            </w:pPr>
          </w:p>
          <w:p w14:paraId="10AB6D95">
            <w:pPr>
              <w:spacing w:line="324" w:lineRule="auto"/>
              <w:rPr>
                <w:rFonts w:ascii="Arial"/>
                <w:sz w:val="21"/>
              </w:rPr>
            </w:pPr>
          </w:p>
          <w:p w14:paraId="194A5153">
            <w:pPr>
              <w:pStyle w:val="11"/>
              <w:spacing w:before="68" w:line="253" w:lineRule="auto"/>
              <w:ind w:left="752" w:right="320" w:hanging="421"/>
            </w:pPr>
            <w:r>
              <w:rPr>
                <w:spacing w:val="-1"/>
              </w:rPr>
              <w:t>退还投标保证金</w:t>
            </w:r>
            <w:r>
              <w:t xml:space="preserve"> </w:t>
            </w:r>
            <w:r>
              <w:rPr>
                <w:spacing w:val="-1"/>
              </w:rPr>
              <w:t>及利息</w:t>
            </w:r>
          </w:p>
        </w:tc>
        <w:tc>
          <w:tcPr>
            <w:tcW w:w="5447" w:type="dxa"/>
            <w:vAlign w:val="top"/>
          </w:tcPr>
          <w:p w14:paraId="13F18BA4">
            <w:pPr>
              <w:pStyle w:val="11"/>
              <w:spacing w:before="80" w:line="221" w:lineRule="auto"/>
              <w:ind w:left="111"/>
            </w:pPr>
            <w:r>
              <w:rPr>
                <w:spacing w:val="-9"/>
              </w:rPr>
              <w:t>计息标准：</w:t>
            </w:r>
            <w:r>
              <w:rPr>
                <w:spacing w:val="54"/>
              </w:rPr>
              <w:t xml:space="preserve"> </w:t>
            </w:r>
            <w:r>
              <w:rPr>
                <w:spacing w:val="-9"/>
                <w:u w:val="single" w:color="auto"/>
              </w:rPr>
              <w:t>人民银行同期活期存款利率。</w:t>
            </w:r>
          </w:p>
          <w:p w14:paraId="6B795CAE">
            <w:pPr>
              <w:pStyle w:val="11"/>
              <w:spacing w:before="66" w:line="221" w:lineRule="auto"/>
              <w:ind w:left="111"/>
            </w:pPr>
            <w:r>
              <w:rPr>
                <w:spacing w:val="-8"/>
              </w:rPr>
              <w:t>计息时间：</w:t>
            </w:r>
            <w:r>
              <w:rPr>
                <w:spacing w:val="67"/>
              </w:rPr>
              <w:t xml:space="preserve"> </w:t>
            </w:r>
            <w:r>
              <w:rPr>
                <w:spacing w:val="-8"/>
                <w:u w:val="single" w:color="auto"/>
              </w:rPr>
              <w:t>投标保证金到账之日至退还的前一日。</w:t>
            </w:r>
          </w:p>
          <w:p w14:paraId="1521D80C">
            <w:pPr>
              <w:pStyle w:val="11"/>
              <w:spacing w:before="67" w:line="263" w:lineRule="auto"/>
              <w:ind w:left="1163" w:right="105" w:hanging="1051"/>
            </w:pPr>
            <w:r>
              <w:rPr>
                <w:spacing w:val="-10"/>
              </w:rPr>
              <w:t>退还办法：</w:t>
            </w:r>
            <w:r>
              <w:rPr>
                <w:spacing w:val="84"/>
              </w:rPr>
              <w:t xml:space="preserve"> </w:t>
            </w:r>
            <w:r>
              <w:rPr>
                <w:spacing w:val="-10"/>
                <w:u w:val="single" w:color="auto"/>
              </w:rPr>
              <w:t>中标结果公示后</w:t>
            </w:r>
            <w:r>
              <w:rPr>
                <w:spacing w:val="-54"/>
                <w:u w:val="single" w:color="auto"/>
              </w:rPr>
              <w:t xml:space="preserve"> </w:t>
            </w:r>
            <w:r>
              <w:rPr>
                <w:spacing w:val="-10"/>
                <w:u w:val="single" w:color="auto"/>
              </w:rPr>
              <w:t>5</w:t>
            </w:r>
            <w:r>
              <w:rPr>
                <w:spacing w:val="-22"/>
                <w:u w:val="single" w:color="auto"/>
              </w:rPr>
              <w:t xml:space="preserve"> </w:t>
            </w:r>
            <w:r>
              <w:rPr>
                <w:spacing w:val="-10"/>
                <w:u w:val="single" w:color="auto"/>
              </w:rPr>
              <w:t>日内，未中标的投标人现金</w:t>
            </w:r>
            <w:r>
              <w:t xml:space="preserve"> </w:t>
            </w:r>
            <w:r>
              <w:rPr>
                <w:spacing w:val="1"/>
                <w:u w:val="single" w:color="auto"/>
              </w:rPr>
              <w:t>保证金按原路径自动退回；合同签订后 5</w:t>
            </w:r>
            <w:r>
              <w:rPr>
                <w:spacing w:val="57"/>
                <w:u w:val="single" w:color="auto"/>
              </w:rPr>
              <w:t xml:space="preserve"> </w:t>
            </w:r>
            <w:r>
              <w:rPr>
                <w:spacing w:val="1"/>
                <w:u w:val="single" w:color="auto"/>
              </w:rPr>
              <w:t>日</w:t>
            </w:r>
            <w:r>
              <w:t xml:space="preserve"> </w:t>
            </w:r>
            <w:r>
              <w:rPr>
                <w:spacing w:val="9"/>
                <w:u w:val="single" w:color="auto"/>
              </w:rPr>
              <w:t>内，中标人的现金投标保证金按原路径自动</w:t>
            </w:r>
            <w:r>
              <w:rPr>
                <w:spacing w:val="7"/>
              </w:rPr>
              <w:t xml:space="preserve"> </w:t>
            </w:r>
            <w:r>
              <w:rPr>
                <w:spacing w:val="-32"/>
                <w:u w:val="single" w:color="auto"/>
              </w:rPr>
              <w:t>退回。</w:t>
            </w:r>
            <w:r>
              <w:rPr>
                <w:u w:val="single" w:color="auto"/>
              </w:rPr>
              <w:t xml:space="preserve"> </w:t>
            </w:r>
          </w:p>
        </w:tc>
      </w:tr>
      <w:tr w14:paraId="1548E2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3" w:hRule="atLeast"/>
        </w:trPr>
        <w:tc>
          <w:tcPr>
            <w:tcW w:w="854" w:type="dxa"/>
            <w:vAlign w:val="top"/>
          </w:tcPr>
          <w:p w14:paraId="268E6BE4">
            <w:pPr>
              <w:spacing w:before="277" w:line="189" w:lineRule="auto"/>
              <w:ind w:left="220"/>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3.5.2</w:t>
            </w:r>
          </w:p>
        </w:tc>
        <w:tc>
          <w:tcPr>
            <w:tcW w:w="2121" w:type="dxa"/>
            <w:vAlign w:val="top"/>
          </w:tcPr>
          <w:p w14:paraId="0A8E6692">
            <w:pPr>
              <w:pStyle w:val="11"/>
              <w:spacing w:before="82" w:line="242" w:lineRule="auto"/>
              <w:ind w:left="647" w:right="108" w:hanging="525"/>
            </w:pPr>
            <w:r>
              <w:rPr>
                <w:spacing w:val="-1"/>
              </w:rPr>
              <w:t>企业近年财务状况的</w:t>
            </w:r>
            <w:r>
              <w:rPr>
                <w:spacing w:val="2"/>
              </w:rPr>
              <w:t xml:space="preserve"> </w:t>
            </w:r>
            <w:r>
              <w:rPr>
                <w:spacing w:val="-1"/>
              </w:rPr>
              <w:t>年份要求</w:t>
            </w:r>
          </w:p>
        </w:tc>
        <w:tc>
          <w:tcPr>
            <w:tcW w:w="5447" w:type="dxa"/>
            <w:vAlign w:val="top"/>
          </w:tcPr>
          <w:p w14:paraId="2AF8EE82">
            <w:pPr>
              <w:pStyle w:val="11"/>
              <w:spacing w:before="240" w:line="221" w:lineRule="auto"/>
              <w:ind w:left="110"/>
            </w:pPr>
            <w:r>
              <w:rPr>
                <w:spacing w:val="-4"/>
              </w:rPr>
              <w:t>近</w:t>
            </w:r>
            <w:r>
              <w:rPr>
                <w:spacing w:val="22"/>
                <w:u w:val="single" w:color="auto"/>
              </w:rPr>
              <w:t xml:space="preserve">  </w:t>
            </w:r>
            <w:r>
              <w:rPr>
                <w:rFonts w:hint="eastAsia"/>
                <w:spacing w:val="22"/>
                <w:u w:val="single" w:color="auto"/>
                <w:lang w:val="en-US" w:eastAsia="zh-CN"/>
              </w:rPr>
              <w:t>/</w:t>
            </w:r>
            <w:r>
              <w:rPr>
                <w:spacing w:val="22"/>
                <w:u w:val="single" w:color="auto"/>
              </w:rPr>
              <w:t xml:space="preserve"> </w:t>
            </w:r>
            <w:r>
              <w:rPr>
                <w:spacing w:val="-95"/>
              </w:rPr>
              <w:t xml:space="preserve"> </w:t>
            </w:r>
            <w:r>
              <w:rPr>
                <w:spacing w:val="-4"/>
              </w:rPr>
              <w:t>年，指</w:t>
            </w:r>
            <w:r>
              <w:rPr>
                <w:spacing w:val="16"/>
                <w:u w:val="single" w:color="auto"/>
              </w:rPr>
              <w:t xml:space="preserve">   </w:t>
            </w:r>
            <w:r>
              <w:rPr>
                <w:spacing w:val="-94"/>
              </w:rPr>
              <w:t xml:space="preserve"> </w:t>
            </w:r>
            <w:r>
              <w:rPr>
                <w:spacing w:val="-4"/>
              </w:rPr>
              <w:t>年度、</w:t>
            </w:r>
            <w:r>
              <w:rPr>
                <w:spacing w:val="-4"/>
                <w:u w:val="single" w:color="auto"/>
              </w:rPr>
              <w:t xml:space="preserve">    </w:t>
            </w:r>
            <w:r>
              <w:rPr>
                <w:spacing w:val="-95"/>
              </w:rPr>
              <w:t xml:space="preserve"> </w:t>
            </w:r>
            <w:r>
              <w:rPr>
                <w:spacing w:val="-4"/>
              </w:rPr>
              <w:t>年度和</w:t>
            </w:r>
            <w:r>
              <w:rPr>
                <w:spacing w:val="-105"/>
              </w:rPr>
              <w:t xml:space="preserve"> </w:t>
            </w:r>
            <w:r>
              <w:rPr>
                <w:spacing w:val="16"/>
                <w:u w:val="single" w:color="auto"/>
              </w:rPr>
              <w:t xml:space="preserve">   </w:t>
            </w:r>
            <w:r>
              <w:rPr>
                <w:spacing w:val="-94"/>
              </w:rPr>
              <w:t xml:space="preserve"> </w:t>
            </w:r>
            <w:r>
              <w:rPr>
                <w:spacing w:val="-4"/>
              </w:rPr>
              <w:t>年度。</w:t>
            </w:r>
          </w:p>
        </w:tc>
      </w:tr>
      <w:tr w14:paraId="20F47D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8" w:hRule="atLeast"/>
        </w:trPr>
        <w:tc>
          <w:tcPr>
            <w:tcW w:w="854" w:type="dxa"/>
            <w:vAlign w:val="top"/>
          </w:tcPr>
          <w:p w14:paraId="3770184C">
            <w:pPr>
              <w:spacing w:before="277" w:line="189" w:lineRule="auto"/>
              <w:ind w:left="220"/>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3.5.3</w:t>
            </w:r>
          </w:p>
        </w:tc>
        <w:tc>
          <w:tcPr>
            <w:tcW w:w="2121" w:type="dxa"/>
            <w:vAlign w:val="top"/>
          </w:tcPr>
          <w:p w14:paraId="5A237E01">
            <w:pPr>
              <w:pStyle w:val="11"/>
              <w:spacing w:before="82" w:line="244" w:lineRule="auto"/>
              <w:ind w:left="223" w:right="108" w:hanging="101"/>
            </w:pPr>
            <w:r>
              <w:rPr>
                <w:spacing w:val="-1"/>
              </w:rPr>
              <w:t>企业近年已完成的类</w:t>
            </w:r>
            <w:r>
              <w:rPr>
                <w:spacing w:val="2"/>
              </w:rPr>
              <w:t xml:space="preserve"> </w:t>
            </w:r>
            <w:r>
              <w:rPr>
                <w:spacing w:val="-1"/>
              </w:rPr>
              <w:t>似项目的年份要求</w:t>
            </w:r>
          </w:p>
        </w:tc>
        <w:tc>
          <w:tcPr>
            <w:tcW w:w="5447" w:type="dxa"/>
            <w:vAlign w:val="top"/>
          </w:tcPr>
          <w:p w14:paraId="148E55B6">
            <w:pPr>
              <w:pStyle w:val="11"/>
              <w:spacing w:before="240" w:line="221" w:lineRule="auto"/>
              <w:ind w:left="110"/>
            </w:pPr>
            <w:r>
              <w:rPr>
                <w:spacing w:val="-6"/>
              </w:rPr>
              <w:t>近</w:t>
            </w:r>
            <w:r>
              <w:rPr>
                <w:spacing w:val="18"/>
                <w:u w:val="single" w:color="auto"/>
              </w:rPr>
              <w:t xml:space="preserve"> </w:t>
            </w:r>
            <w:r>
              <w:rPr>
                <w:rFonts w:hint="eastAsia"/>
                <w:spacing w:val="18"/>
                <w:u w:val="single" w:color="auto"/>
                <w:lang w:val="en-US" w:eastAsia="zh-CN"/>
              </w:rPr>
              <w:t>/</w:t>
            </w:r>
            <w:r>
              <w:rPr>
                <w:spacing w:val="18"/>
                <w:u w:val="single" w:color="auto"/>
              </w:rPr>
              <w:t xml:space="preserve">  </w:t>
            </w:r>
            <w:r>
              <w:rPr>
                <w:spacing w:val="-94"/>
              </w:rPr>
              <w:t xml:space="preserve"> </w:t>
            </w:r>
            <w:r>
              <w:rPr>
                <w:spacing w:val="-6"/>
              </w:rPr>
              <w:t>年，指</w:t>
            </w:r>
            <w:r>
              <w:rPr>
                <w:spacing w:val="16"/>
                <w:u w:val="single" w:color="auto"/>
              </w:rPr>
              <w:t xml:space="preserve">   </w:t>
            </w:r>
            <w:r>
              <w:rPr>
                <w:spacing w:val="-94"/>
              </w:rPr>
              <w:t xml:space="preserve"> </w:t>
            </w:r>
            <w:r>
              <w:rPr>
                <w:spacing w:val="-6"/>
              </w:rPr>
              <w:t>年</w:t>
            </w:r>
            <w:r>
              <w:rPr>
                <w:spacing w:val="-6"/>
                <w:u w:val="single" w:color="auto"/>
              </w:rPr>
              <w:t xml:space="preserve">   </w:t>
            </w:r>
            <w:r>
              <w:rPr>
                <w:spacing w:val="-92"/>
              </w:rPr>
              <w:t xml:space="preserve"> </w:t>
            </w:r>
            <w:r>
              <w:rPr>
                <w:spacing w:val="-6"/>
              </w:rPr>
              <w:t>月</w:t>
            </w:r>
            <w:r>
              <w:rPr>
                <w:spacing w:val="16"/>
                <w:u w:val="single" w:color="auto"/>
              </w:rPr>
              <w:t xml:space="preserve">   </w:t>
            </w:r>
            <w:r>
              <w:rPr>
                <w:spacing w:val="-58"/>
              </w:rPr>
              <w:t xml:space="preserve"> </w:t>
            </w:r>
            <w:r>
              <w:rPr>
                <w:spacing w:val="-6"/>
              </w:rPr>
              <w:t>日─</w:t>
            </w:r>
            <w:r>
              <w:rPr>
                <w:spacing w:val="18"/>
                <w:u w:val="single" w:color="auto"/>
              </w:rPr>
              <w:t xml:space="preserve">   </w:t>
            </w:r>
            <w:r>
              <w:rPr>
                <w:spacing w:val="-95"/>
              </w:rPr>
              <w:t xml:space="preserve"> </w:t>
            </w:r>
            <w:r>
              <w:rPr>
                <w:spacing w:val="-6"/>
              </w:rPr>
              <w:t>年</w:t>
            </w:r>
            <w:r>
              <w:rPr>
                <w:spacing w:val="-6"/>
                <w:u w:val="single" w:color="auto"/>
              </w:rPr>
              <w:t xml:space="preserve">   </w:t>
            </w:r>
            <w:r>
              <w:rPr>
                <w:spacing w:val="-92"/>
              </w:rPr>
              <w:t xml:space="preserve"> </w:t>
            </w:r>
            <w:r>
              <w:rPr>
                <w:spacing w:val="-6"/>
              </w:rPr>
              <w:t>月</w:t>
            </w:r>
            <w:r>
              <w:rPr>
                <w:spacing w:val="-105"/>
              </w:rPr>
              <w:t xml:space="preserve"> </w:t>
            </w:r>
            <w:r>
              <w:rPr>
                <w:spacing w:val="17"/>
                <w:u w:val="single" w:color="auto"/>
              </w:rPr>
              <w:t xml:space="preserve">   </w:t>
            </w:r>
            <w:r>
              <w:rPr>
                <w:spacing w:val="-61"/>
              </w:rPr>
              <w:t xml:space="preserve"> </w:t>
            </w:r>
            <w:r>
              <w:rPr>
                <w:spacing w:val="-6"/>
              </w:rPr>
              <w:t>日</w:t>
            </w:r>
          </w:p>
        </w:tc>
      </w:tr>
      <w:tr w14:paraId="28D428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08" w:hRule="atLeast"/>
        </w:trPr>
        <w:tc>
          <w:tcPr>
            <w:tcW w:w="854" w:type="dxa"/>
            <w:vAlign w:val="top"/>
          </w:tcPr>
          <w:p w14:paraId="6CB0ED9E">
            <w:pPr>
              <w:spacing w:line="346" w:lineRule="auto"/>
              <w:rPr>
                <w:rFonts w:ascii="Arial"/>
                <w:sz w:val="21"/>
              </w:rPr>
            </w:pPr>
          </w:p>
          <w:p w14:paraId="7EA0D4BB">
            <w:pPr>
              <w:spacing w:line="346" w:lineRule="auto"/>
              <w:rPr>
                <w:rFonts w:ascii="Arial"/>
                <w:sz w:val="21"/>
              </w:rPr>
            </w:pPr>
          </w:p>
          <w:p w14:paraId="687D8510">
            <w:pPr>
              <w:spacing w:before="61" w:line="189" w:lineRule="auto"/>
              <w:ind w:left="220"/>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3.5.5</w:t>
            </w:r>
          </w:p>
        </w:tc>
        <w:tc>
          <w:tcPr>
            <w:tcW w:w="2121" w:type="dxa"/>
            <w:vAlign w:val="top"/>
          </w:tcPr>
          <w:p w14:paraId="45F3FDB9">
            <w:pPr>
              <w:spacing w:line="328" w:lineRule="auto"/>
              <w:rPr>
                <w:rFonts w:ascii="Arial"/>
                <w:sz w:val="21"/>
              </w:rPr>
            </w:pPr>
          </w:p>
          <w:p w14:paraId="0F04807A">
            <w:pPr>
              <w:pStyle w:val="11"/>
              <w:spacing w:before="68" w:line="221" w:lineRule="auto"/>
              <w:ind w:left="122"/>
            </w:pPr>
            <w:r>
              <w:rPr>
                <w:spacing w:val="-1"/>
              </w:rPr>
              <w:t>企业近年发生的诉讼</w:t>
            </w:r>
          </w:p>
          <w:p w14:paraId="4728CDED">
            <w:pPr>
              <w:pStyle w:val="11"/>
              <w:spacing w:before="70" w:line="221" w:lineRule="auto"/>
              <w:ind w:left="118"/>
            </w:pPr>
            <w:r>
              <w:rPr>
                <w:spacing w:val="-1"/>
              </w:rPr>
              <w:t>及仲裁情况的年份要</w:t>
            </w:r>
          </w:p>
          <w:p w14:paraId="53EA7E73">
            <w:pPr>
              <w:pStyle w:val="11"/>
              <w:spacing w:before="65" w:line="222" w:lineRule="auto"/>
              <w:ind w:left="961"/>
            </w:pPr>
            <w:r>
              <w:t>求</w:t>
            </w:r>
          </w:p>
        </w:tc>
        <w:tc>
          <w:tcPr>
            <w:tcW w:w="5447" w:type="dxa"/>
            <w:vAlign w:val="top"/>
          </w:tcPr>
          <w:p w14:paraId="4C9059E5">
            <w:pPr>
              <w:pStyle w:val="11"/>
              <w:spacing w:before="77" w:line="221" w:lineRule="auto"/>
              <w:ind w:left="110"/>
            </w:pPr>
            <w:r>
              <w:rPr>
                <w:spacing w:val="-6"/>
              </w:rPr>
              <w:t>近</w:t>
            </w:r>
            <w:r>
              <w:rPr>
                <w:spacing w:val="18"/>
                <w:u w:val="single" w:color="auto"/>
              </w:rPr>
              <w:t xml:space="preserve">  </w:t>
            </w:r>
            <w:r>
              <w:rPr>
                <w:rFonts w:hint="eastAsia"/>
                <w:spacing w:val="18"/>
                <w:u w:val="single" w:color="auto"/>
                <w:lang w:val="en-US" w:eastAsia="zh-CN"/>
              </w:rPr>
              <w:t>/</w:t>
            </w:r>
            <w:r>
              <w:rPr>
                <w:spacing w:val="18"/>
                <w:u w:val="single" w:color="auto"/>
              </w:rPr>
              <w:t xml:space="preserve"> </w:t>
            </w:r>
            <w:r>
              <w:rPr>
                <w:spacing w:val="-94"/>
              </w:rPr>
              <w:t xml:space="preserve"> </w:t>
            </w:r>
            <w:r>
              <w:rPr>
                <w:spacing w:val="-6"/>
              </w:rPr>
              <w:t>年，指</w:t>
            </w:r>
            <w:r>
              <w:rPr>
                <w:spacing w:val="16"/>
                <w:u w:val="single" w:color="auto"/>
              </w:rPr>
              <w:t xml:space="preserve">   </w:t>
            </w:r>
            <w:r>
              <w:rPr>
                <w:spacing w:val="-94"/>
              </w:rPr>
              <w:t xml:space="preserve"> </w:t>
            </w:r>
            <w:r>
              <w:rPr>
                <w:spacing w:val="-6"/>
              </w:rPr>
              <w:t>年</w:t>
            </w:r>
            <w:r>
              <w:rPr>
                <w:spacing w:val="-6"/>
                <w:u w:val="single" w:color="auto"/>
              </w:rPr>
              <w:t xml:space="preserve">   </w:t>
            </w:r>
            <w:r>
              <w:rPr>
                <w:spacing w:val="-92"/>
              </w:rPr>
              <w:t xml:space="preserve"> </w:t>
            </w:r>
            <w:r>
              <w:rPr>
                <w:spacing w:val="-6"/>
              </w:rPr>
              <w:t>月</w:t>
            </w:r>
            <w:r>
              <w:rPr>
                <w:spacing w:val="16"/>
                <w:u w:val="single" w:color="auto"/>
              </w:rPr>
              <w:t xml:space="preserve">   </w:t>
            </w:r>
            <w:r>
              <w:rPr>
                <w:spacing w:val="-58"/>
              </w:rPr>
              <w:t xml:space="preserve"> </w:t>
            </w:r>
            <w:r>
              <w:rPr>
                <w:spacing w:val="-6"/>
              </w:rPr>
              <w:t>日─</w:t>
            </w:r>
            <w:r>
              <w:rPr>
                <w:spacing w:val="18"/>
                <w:u w:val="single" w:color="auto"/>
              </w:rPr>
              <w:t xml:space="preserve">   </w:t>
            </w:r>
            <w:r>
              <w:rPr>
                <w:spacing w:val="-95"/>
              </w:rPr>
              <w:t xml:space="preserve"> </w:t>
            </w:r>
            <w:r>
              <w:rPr>
                <w:spacing w:val="-6"/>
              </w:rPr>
              <w:t>年</w:t>
            </w:r>
            <w:r>
              <w:rPr>
                <w:spacing w:val="-6"/>
                <w:u w:val="single" w:color="auto"/>
              </w:rPr>
              <w:t xml:space="preserve">   </w:t>
            </w:r>
            <w:r>
              <w:rPr>
                <w:spacing w:val="-92"/>
              </w:rPr>
              <w:t xml:space="preserve"> </w:t>
            </w:r>
            <w:r>
              <w:rPr>
                <w:spacing w:val="-6"/>
              </w:rPr>
              <w:t>月</w:t>
            </w:r>
            <w:r>
              <w:rPr>
                <w:spacing w:val="-105"/>
              </w:rPr>
              <w:t xml:space="preserve"> </w:t>
            </w:r>
            <w:r>
              <w:rPr>
                <w:spacing w:val="17"/>
                <w:u w:val="single" w:color="auto"/>
              </w:rPr>
              <w:t xml:space="preserve">   </w:t>
            </w:r>
            <w:r>
              <w:rPr>
                <w:spacing w:val="-61"/>
              </w:rPr>
              <w:t xml:space="preserve"> </w:t>
            </w:r>
            <w:r>
              <w:rPr>
                <w:spacing w:val="-6"/>
              </w:rPr>
              <w:t>日</w:t>
            </w:r>
          </w:p>
          <w:p w14:paraId="31C72B4A">
            <w:pPr>
              <w:pStyle w:val="11"/>
              <w:spacing w:before="72" w:line="263" w:lineRule="auto"/>
              <w:ind w:left="110" w:right="111"/>
            </w:pPr>
            <w:r>
              <w:rPr>
                <w:spacing w:val="7"/>
              </w:rPr>
              <w:t>特别说明：近年发生的诉讼和仲裁情况仅限于申请人败</w:t>
            </w:r>
            <w:r>
              <w:rPr>
                <w:spacing w:val="6"/>
              </w:rPr>
              <w:t xml:space="preserve"> </w:t>
            </w:r>
            <w:r>
              <w:rPr>
                <w:spacing w:val="7"/>
              </w:rPr>
              <w:t>诉的，且与签订或履行合同有关的案件，不包括调解结</w:t>
            </w:r>
            <w:r>
              <w:rPr>
                <w:spacing w:val="5"/>
              </w:rPr>
              <w:t xml:space="preserve"> </w:t>
            </w:r>
            <w:r>
              <w:rPr>
                <w:spacing w:val="7"/>
              </w:rPr>
              <w:t>案以及未终审判决的诉讼或未裁决的仲裁。投标人应如</w:t>
            </w:r>
            <w:r>
              <w:rPr>
                <w:spacing w:val="11"/>
              </w:rPr>
              <w:t xml:space="preserve"> </w:t>
            </w:r>
            <w:r>
              <w:rPr>
                <w:spacing w:val="7"/>
              </w:rPr>
              <w:t>实填写近年发生的诉讼及仲裁情况，否则视为不响应招</w:t>
            </w:r>
          </w:p>
        </w:tc>
      </w:tr>
    </w:tbl>
    <w:p w14:paraId="707ADA1B">
      <w:pPr>
        <w:pStyle w:val="3"/>
      </w:pPr>
    </w:p>
    <w:p w14:paraId="35A1A1BE">
      <w:pPr>
        <w:spacing w:line="95" w:lineRule="auto"/>
        <w:rPr>
          <w:rFonts w:ascii="Arial"/>
          <w:sz w:val="2"/>
        </w:rPr>
      </w:pPr>
    </w:p>
    <w:tbl>
      <w:tblPr>
        <w:tblStyle w:val="10"/>
        <w:tblW w:w="842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54"/>
        <w:gridCol w:w="2121"/>
        <w:gridCol w:w="5447"/>
      </w:tblGrid>
      <w:tr w14:paraId="3E42CE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91" w:hRule="atLeast"/>
        </w:trPr>
        <w:tc>
          <w:tcPr>
            <w:tcW w:w="854" w:type="dxa"/>
            <w:vAlign w:val="top"/>
          </w:tcPr>
          <w:p w14:paraId="7EB900C5">
            <w:pPr>
              <w:rPr>
                <w:rFonts w:ascii="Arial"/>
                <w:sz w:val="21"/>
              </w:rPr>
            </w:pPr>
          </w:p>
        </w:tc>
        <w:tc>
          <w:tcPr>
            <w:tcW w:w="2121" w:type="dxa"/>
            <w:vAlign w:val="top"/>
          </w:tcPr>
          <w:p w14:paraId="047BED37">
            <w:pPr>
              <w:rPr>
                <w:rFonts w:ascii="Arial"/>
                <w:sz w:val="21"/>
              </w:rPr>
            </w:pPr>
          </w:p>
        </w:tc>
        <w:tc>
          <w:tcPr>
            <w:tcW w:w="5447" w:type="dxa"/>
            <w:vAlign w:val="top"/>
          </w:tcPr>
          <w:p w14:paraId="413A71A1">
            <w:pPr>
              <w:pStyle w:val="11"/>
              <w:spacing w:before="84" w:line="263" w:lineRule="auto"/>
              <w:ind w:left="109" w:right="116" w:firstLine="2"/>
            </w:pPr>
            <w:bookmarkStart w:id="38" w:name="bookmark60"/>
            <w:bookmarkEnd w:id="38"/>
            <w:bookmarkStart w:id="39" w:name="bookmark59"/>
            <w:bookmarkEnd w:id="39"/>
            <w:r>
              <w:rPr>
                <w:spacing w:val="7"/>
              </w:rPr>
              <w:t>标文件实质性要求，其投标文件将被否决。如投标人因</w:t>
            </w:r>
            <w:r>
              <w:rPr>
                <w:spacing w:val="4"/>
              </w:rPr>
              <w:t xml:space="preserve"> </w:t>
            </w:r>
            <w:r>
              <w:rPr>
                <w:spacing w:val="7"/>
              </w:rPr>
              <w:t>故意隐瞒且查证属实存在影响履约的诉讼及仲</w:t>
            </w:r>
            <w:r>
              <w:rPr>
                <w:spacing w:val="6"/>
              </w:rPr>
              <w:t>裁情况，</w:t>
            </w:r>
            <w:r>
              <w:t xml:space="preserve"> </w:t>
            </w:r>
            <w:r>
              <w:rPr>
                <w:spacing w:val="7"/>
              </w:rPr>
              <w:t>将视为弄虚作假或以不正当手段骗取中标的行为，将依</w:t>
            </w:r>
            <w:r>
              <w:rPr>
                <w:spacing w:val="6"/>
              </w:rPr>
              <w:t xml:space="preserve"> </w:t>
            </w:r>
            <w:r>
              <w:rPr>
                <w:spacing w:val="-6"/>
              </w:rPr>
              <w:t>法依规予以处理。 时间为判决或仲裁决定时间。</w:t>
            </w:r>
          </w:p>
        </w:tc>
      </w:tr>
      <w:tr w14:paraId="4A35F7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4" w:hRule="atLeast"/>
        </w:trPr>
        <w:tc>
          <w:tcPr>
            <w:tcW w:w="854" w:type="dxa"/>
            <w:vAlign w:val="top"/>
          </w:tcPr>
          <w:p w14:paraId="553BBC85">
            <w:pPr>
              <w:spacing w:line="368" w:lineRule="auto"/>
              <w:rPr>
                <w:rFonts w:ascii="Arial"/>
                <w:sz w:val="21"/>
              </w:rPr>
            </w:pPr>
          </w:p>
          <w:p w14:paraId="353525B5">
            <w:pPr>
              <w:spacing w:before="61" w:line="189" w:lineRule="auto"/>
              <w:ind w:left="220"/>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3.5.9</w:t>
            </w:r>
          </w:p>
        </w:tc>
        <w:tc>
          <w:tcPr>
            <w:tcW w:w="2121" w:type="dxa"/>
            <w:vAlign w:val="top"/>
          </w:tcPr>
          <w:p w14:paraId="0E743048">
            <w:pPr>
              <w:pStyle w:val="11"/>
              <w:spacing w:before="77" w:line="221" w:lineRule="auto"/>
              <w:ind w:left="122"/>
            </w:pPr>
            <w:r>
              <w:rPr>
                <w:spacing w:val="-1"/>
              </w:rPr>
              <w:t>项目经理近年已完成</w:t>
            </w:r>
          </w:p>
          <w:p w14:paraId="2678E69D">
            <w:pPr>
              <w:pStyle w:val="11"/>
              <w:spacing w:before="65" w:line="221" w:lineRule="auto"/>
              <w:ind w:left="136"/>
            </w:pPr>
            <w:r>
              <w:rPr>
                <w:spacing w:val="-3"/>
              </w:rPr>
              <w:t>的类似项目的年份要</w:t>
            </w:r>
          </w:p>
          <w:p w14:paraId="4E5A5F09">
            <w:pPr>
              <w:pStyle w:val="11"/>
              <w:spacing w:before="70" w:line="209" w:lineRule="auto"/>
              <w:ind w:left="961"/>
            </w:pPr>
            <w:r>
              <w:t>求</w:t>
            </w:r>
          </w:p>
        </w:tc>
        <w:tc>
          <w:tcPr>
            <w:tcW w:w="5447" w:type="dxa"/>
            <w:vAlign w:val="top"/>
          </w:tcPr>
          <w:p w14:paraId="61928FA9">
            <w:pPr>
              <w:spacing w:line="324" w:lineRule="auto"/>
              <w:rPr>
                <w:rFonts w:ascii="Arial"/>
                <w:sz w:val="21"/>
              </w:rPr>
            </w:pPr>
          </w:p>
          <w:p w14:paraId="249981E9">
            <w:pPr>
              <w:pStyle w:val="11"/>
              <w:spacing w:before="68" w:line="221" w:lineRule="auto"/>
              <w:ind w:left="110"/>
            </w:pPr>
            <w:r>
              <w:rPr>
                <w:spacing w:val="-6"/>
              </w:rPr>
              <w:t>近</w:t>
            </w:r>
            <w:r>
              <w:rPr>
                <w:spacing w:val="18"/>
                <w:u w:val="single" w:color="auto"/>
              </w:rPr>
              <w:t xml:space="preserve">   </w:t>
            </w:r>
            <w:r>
              <w:rPr>
                <w:rFonts w:hint="eastAsia"/>
                <w:spacing w:val="18"/>
                <w:u w:val="single" w:color="auto"/>
                <w:lang w:val="en-US" w:eastAsia="zh-CN"/>
              </w:rPr>
              <w:t>/</w:t>
            </w:r>
            <w:r>
              <w:rPr>
                <w:spacing w:val="-94"/>
              </w:rPr>
              <w:t xml:space="preserve"> </w:t>
            </w:r>
            <w:r>
              <w:rPr>
                <w:spacing w:val="-6"/>
              </w:rPr>
              <w:t>年，指</w:t>
            </w:r>
            <w:r>
              <w:rPr>
                <w:spacing w:val="16"/>
                <w:u w:val="single" w:color="auto"/>
              </w:rPr>
              <w:t xml:space="preserve">   </w:t>
            </w:r>
            <w:r>
              <w:rPr>
                <w:spacing w:val="-94"/>
              </w:rPr>
              <w:t xml:space="preserve"> </w:t>
            </w:r>
            <w:r>
              <w:rPr>
                <w:spacing w:val="-6"/>
              </w:rPr>
              <w:t>年</w:t>
            </w:r>
            <w:r>
              <w:rPr>
                <w:spacing w:val="-6"/>
                <w:u w:val="single" w:color="auto"/>
              </w:rPr>
              <w:t xml:space="preserve">   </w:t>
            </w:r>
            <w:r>
              <w:rPr>
                <w:spacing w:val="-92"/>
              </w:rPr>
              <w:t xml:space="preserve"> </w:t>
            </w:r>
            <w:r>
              <w:rPr>
                <w:spacing w:val="-6"/>
              </w:rPr>
              <w:t>月</w:t>
            </w:r>
            <w:r>
              <w:rPr>
                <w:spacing w:val="16"/>
                <w:u w:val="single" w:color="auto"/>
              </w:rPr>
              <w:t xml:space="preserve">   </w:t>
            </w:r>
            <w:r>
              <w:rPr>
                <w:spacing w:val="-58"/>
              </w:rPr>
              <w:t xml:space="preserve"> </w:t>
            </w:r>
            <w:r>
              <w:rPr>
                <w:spacing w:val="-6"/>
              </w:rPr>
              <w:t>日─</w:t>
            </w:r>
            <w:r>
              <w:rPr>
                <w:spacing w:val="18"/>
                <w:u w:val="single" w:color="auto"/>
              </w:rPr>
              <w:t xml:space="preserve">   </w:t>
            </w:r>
            <w:r>
              <w:rPr>
                <w:spacing w:val="-95"/>
              </w:rPr>
              <w:t xml:space="preserve"> </w:t>
            </w:r>
            <w:r>
              <w:rPr>
                <w:spacing w:val="-6"/>
              </w:rPr>
              <w:t>年</w:t>
            </w:r>
            <w:r>
              <w:rPr>
                <w:spacing w:val="-6"/>
                <w:u w:val="single" w:color="auto"/>
              </w:rPr>
              <w:t xml:space="preserve">   </w:t>
            </w:r>
            <w:r>
              <w:rPr>
                <w:spacing w:val="-92"/>
              </w:rPr>
              <w:t xml:space="preserve"> </w:t>
            </w:r>
            <w:r>
              <w:rPr>
                <w:spacing w:val="-6"/>
              </w:rPr>
              <w:t>月</w:t>
            </w:r>
            <w:r>
              <w:rPr>
                <w:spacing w:val="-105"/>
              </w:rPr>
              <w:t xml:space="preserve"> </w:t>
            </w:r>
            <w:r>
              <w:rPr>
                <w:spacing w:val="17"/>
                <w:u w:val="single" w:color="auto"/>
              </w:rPr>
              <w:t xml:space="preserve">   </w:t>
            </w:r>
            <w:r>
              <w:rPr>
                <w:spacing w:val="-61"/>
              </w:rPr>
              <w:t xml:space="preserve"> </w:t>
            </w:r>
            <w:r>
              <w:rPr>
                <w:spacing w:val="-6"/>
              </w:rPr>
              <w:t>日</w:t>
            </w:r>
          </w:p>
        </w:tc>
      </w:tr>
      <w:tr w14:paraId="78455C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3" w:hRule="atLeast"/>
        </w:trPr>
        <w:tc>
          <w:tcPr>
            <w:tcW w:w="854" w:type="dxa"/>
            <w:vAlign w:val="top"/>
          </w:tcPr>
          <w:p w14:paraId="5212386D">
            <w:pPr>
              <w:spacing w:before="273" w:line="189" w:lineRule="auto"/>
              <w:ind w:left="296"/>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3.6</w:t>
            </w:r>
          </w:p>
        </w:tc>
        <w:tc>
          <w:tcPr>
            <w:tcW w:w="2121" w:type="dxa"/>
            <w:vAlign w:val="top"/>
          </w:tcPr>
          <w:p w14:paraId="5A1823D3">
            <w:pPr>
              <w:pStyle w:val="11"/>
              <w:spacing w:before="77" w:line="244" w:lineRule="auto"/>
              <w:ind w:left="753" w:right="108" w:hanging="631"/>
            </w:pPr>
            <w:r>
              <w:rPr>
                <w:spacing w:val="-1"/>
              </w:rPr>
              <w:t>是否允许递交备选投</w:t>
            </w:r>
            <w:r>
              <w:rPr>
                <w:spacing w:val="2"/>
              </w:rPr>
              <w:t xml:space="preserve"> </w:t>
            </w:r>
            <w:r>
              <w:rPr>
                <w:spacing w:val="-2"/>
              </w:rPr>
              <w:t>标方案</w:t>
            </w:r>
          </w:p>
        </w:tc>
        <w:tc>
          <w:tcPr>
            <w:tcW w:w="5447" w:type="dxa"/>
            <w:vAlign w:val="top"/>
          </w:tcPr>
          <w:p w14:paraId="6AF8C012">
            <w:pPr>
              <w:pStyle w:val="11"/>
              <w:spacing w:before="37" w:line="202" w:lineRule="auto"/>
              <w:ind w:left="125"/>
            </w:pPr>
            <w:r>
              <w:rPr>
                <w:rFonts w:ascii="Times New Roman" w:hAnsi="Times New Roman" w:eastAsia="Times New Roman" w:cs="Times New Roman"/>
                <w:spacing w:val="-6"/>
                <w:sz w:val="32"/>
                <w:szCs w:val="32"/>
              </w:rPr>
              <w:sym w:font="Wingdings 2" w:char="0052"/>
            </w:r>
            <w:r>
              <w:rPr>
                <w:spacing w:val="-6"/>
              </w:rPr>
              <w:t>不允许</w:t>
            </w:r>
          </w:p>
          <w:p w14:paraId="42BC844E">
            <w:pPr>
              <w:pStyle w:val="11"/>
              <w:spacing w:line="186" w:lineRule="auto"/>
              <w:ind w:left="125"/>
            </w:pPr>
            <w:r>
              <w:rPr>
                <w:rFonts w:ascii="Times New Roman" w:hAnsi="Times New Roman" w:eastAsia="Times New Roman" w:cs="Times New Roman"/>
                <w:spacing w:val="-8"/>
                <w:sz w:val="32"/>
                <w:szCs w:val="32"/>
              </w:rPr>
              <w:t>□</w:t>
            </w:r>
            <w:r>
              <w:rPr>
                <w:spacing w:val="-8"/>
              </w:rPr>
              <w:t>允许</w:t>
            </w:r>
          </w:p>
        </w:tc>
      </w:tr>
      <w:tr w14:paraId="5F1E22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66" w:hRule="atLeast"/>
        </w:trPr>
        <w:tc>
          <w:tcPr>
            <w:tcW w:w="854" w:type="dxa"/>
            <w:vAlign w:val="top"/>
          </w:tcPr>
          <w:p w14:paraId="25D9CB1B">
            <w:pPr>
              <w:spacing w:line="245" w:lineRule="auto"/>
              <w:rPr>
                <w:rFonts w:ascii="Arial"/>
                <w:sz w:val="21"/>
              </w:rPr>
            </w:pPr>
          </w:p>
          <w:p w14:paraId="75FBC46C">
            <w:pPr>
              <w:spacing w:line="245" w:lineRule="auto"/>
              <w:rPr>
                <w:rFonts w:ascii="Arial"/>
                <w:sz w:val="21"/>
              </w:rPr>
            </w:pPr>
          </w:p>
          <w:p w14:paraId="3C6AFD90">
            <w:pPr>
              <w:spacing w:line="245" w:lineRule="auto"/>
              <w:rPr>
                <w:rFonts w:ascii="Arial"/>
                <w:sz w:val="21"/>
              </w:rPr>
            </w:pPr>
          </w:p>
          <w:p w14:paraId="46AE0385">
            <w:pPr>
              <w:spacing w:line="245" w:lineRule="auto"/>
              <w:rPr>
                <w:rFonts w:ascii="Arial"/>
                <w:sz w:val="21"/>
              </w:rPr>
            </w:pPr>
          </w:p>
          <w:p w14:paraId="4BA05CB6">
            <w:pPr>
              <w:spacing w:line="245" w:lineRule="auto"/>
              <w:rPr>
                <w:rFonts w:ascii="Arial"/>
                <w:sz w:val="21"/>
              </w:rPr>
            </w:pPr>
          </w:p>
          <w:p w14:paraId="2B7252C1">
            <w:pPr>
              <w:spacing w:line="246" w:lineRule="auto"/>
              <w:rPr>
                <w:rFonts w:ascii="Arial"/>
                <w:sz w:val="21"/>
              </w:rPr>
            </w:pPr>
          </w:p>
          <w:p w14:paraId="66FF28DB">
            <w:pPr>
              <w:spacing w:line="246" w:lineRule="auto"/>
              <w:rPr>
                <w:rFonts w:ascii="Arial"/>
                <w:sz w:val="21"/>
              </w:rPr>
            </w:pPr>
          </w:p>
          <w:p w14:paraId="58890572">
            <w:pPr>
              <w:spacing w:line="246" w:lineRule="auto"/>
              <w:rPr>
                <w:rFonts w:ascii="Arial"/>
                <w:sz w:val="21"/>
              </w:rPr>
            </w:pPr>
          </w:p>
          <w:p w14:paraId="62AABD10">
            <w:pPr>
              <w:spacing w:before="61" w:line="189" w:lineRule="auto"/>
              <w:ind w:left="220"/>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3.7.3</w:t>
            </w:r>
          </w:p>
        </w:tc>
        <w:tc>
          <w:tcPr>
            <w:tcW w:w="2121" w:type="dxa"/>
            <w:vAlign w:val="top"/>
          </w:tcPr>
          <w:p w14:paraId="5201CF6D">
            <w:pPr>
              <w:spacing w:line="251" w:lineRule="auto"/>
              <w:rPr>
                <w:rFonts w:ascii="Arial"/>
                <w:sz w:val="21"/>
              </w:rPr>
            </w:pPr>
          </w:p>
          <w:p w14:paraId="0DC99E62">
            <w:pPr>
              <w:spacing w:line="251" w:lineRule="auto"/>
              <w:rPr>
                <w:rFonts w:ascii="Arial"/>
                <w:sz w:val="21"/>
              </w:rPr>
            </w:pPr>
          </w:p>
          <w:p w14:paraId="488BFC18">
            <w:pPr>
              <w:spacing w:line="252" w:lineRule="auto"/>
              <w:rPr>
                <w:rFonts w:ascii="Arial"/>
                <w:sz w:val="21"/>
              </w:rPr>
            </w:pPr>
          </w:p>
          <w:p w14:paraId="3DD778F6">
            <w:pPr>
              <w:spacing w:line="252" w:lineRule="auto"/>
              <w:rPr>
                <w:rFonts w:ascii="Arial"/>
                <w:sz w:val="21"/>
              </w:rPr>
            </w:pPr>
          </w:p>
          <w:p w14:paraId="03DA1ADF">
            <w:pPr>
              <w:spacing w:line="252" w:lineRule="auto"/>
              <w:rPr>
                <w:rFonts w:ascii="Arial"/>
                <w:sz w:val="21"/>
              </w:rPr>
            </w:pPr>
          </w:p>
          <w:p w14:paraId="59090D30">
            <w:pPr>
              <w:spacing w:line="252" w:lineRule="auto"/>
              <w:rPr>
                <w:rFonts w:ascii="Arial"/>
                <w:sz w:val="21"/>
              </w:rPr>
            </w:pPr>
          </w:p>
          <w:p w14:paraId="69C4D40E">
            <w:pPr>
              <w:spacing w:line="252" w:lineRule="auto"/>
              <w:rPr>
                <w:rFonts w:ascii="Arial"/>
                <w:sz w:val="21"/>
              </w:rPr>
            </w:pPr>
          </w:p>
          <w:p w14:paraId="31A7D0BE">
            <w:pPr>
              <w:pStyle w:val="11"/>
              <w:spacing w:before="68" w:line="249" w:lineRule="auto"/>
              <w:ind w:left="647" w:right="108" w:hanging="528"/>
            </w:pPr>
            <w:r>
              <w:rPr>
                <w:spacing w:val="-1"/>
              </w:rPr>
              <w:t>应用于评审的佐证或</w:t>
            </w:r>
            <w:r>
              <w:rPr>
                <w:spacing w:val="5"/>
              </w:rPr>
              <w:t xml:space="preserve"> </w:t>
            </w:r>
            <w:r>
              <w:rPr>
                <w:spacing w:val="-1"/>
              </w:rPr>
              <w:t>证明材料</w:t>
            </w:r>
          </w:p>
        </w:tc>
        <w:tc>
          <w:tcPr>
            <w:tcW w:w="5447" w:type="dxa"/>
            <w:vAlign w:val="top"/>
          </w:tcPr>
          <w:p w14:paraId="0716A4DE">
            <w:pPr>
              <w:pStyle w:val="11"/>
              <w:spacing w:before="79" w:line="220" w:lineRule="auto"/>
              <w:ind w:left="111"/>
            </w:pPr>
            <w:r>
              <w:rPr>
                <w:spacing w:val="-3"/>
              </w:rPr>
              <w:t>应用数字证照评审的节点和材料内容：</w:t>
            </w:r>
          </w:p>
          <w:p w14:paraId="554E2086">
            <w:pPr>
              <w:pStyle w:val="11"/>
              <w:spacing w:before="71" w:line="222" w:lineRule="auto"/>
              <w:ind w:left="120"/>
            </w:pPr>
            <w:r>
              <w:rPr>
                <w:rFonts w:ascii="Segoe UI Symbol" w:hAnsi="Segoe UI Symbol" w:eastAsia="Segoe UI Symbol" w:cs="Segoe UI Symbol"/>
                <w:spacing w:val="-3"/>
              </w:rPr>
              <w:t>☑</w:t>
            </w:r>
            <w:r>
              <w:rPr>
                <w:spacing w:val="-3"/>
              </w:rPr>
              <w:t>企业业绩</w:t>
            </w:r>
          </w:p>
          <w:p w14:paraId="45412D1A">
            <w:pPr>
              <w:pStyle w:val="11"/>
              <w:spacing w:before="50" w:line="222" w:lineRule="auto"/>
              <w:ind w:left="120"/>
            </w:pPr>
            <w:r>
              <w:rPr>
                <w:rFonts w:ascii="Segoe UI Symbol" w:hAnsi="Segoe UI Symbol" w:eastAsia="Segoe UI Symbol" w:cs="Segoe UI Symbol"/>
                <w:spacing w:val="-3"/>
              </w:rPr>
              <w:t>☑</w:t>
            </w:r>
            <w:r>
              <w:rPr>
                <w:spacing w:val="-3"/>
              </w:rPr>
              <w:t>人员业绩</w:t>
            </w:r>
          </w:p>
          <w:p w14:paraId="46AD9F02">
            <w:pPr>
              <w:pStyle w:val="11"/>
              <w:spacing w:before="54" w:line="220" w:lineRule="auto"/>
              <w:ind w:left="120"/>
            </w:pPr>
            <w:r>
              <w:rPr>
                <w:rFonts w:ascii="Segoe UI Symbol" w:hAnsi="Segoe UI Symbol" w:eastAsia="Segoe UI Symbol" w:cs="Segoe UI Symbol"/>
                <w:spacing w:val="-2"/>
              </w:rPr>
              <w:t>☑</w:t>
            </w:r>
            <w:r>
              <w:rPr>
                <w:spacing w:val="-2"/>
              </w:rPr>
              <w:t>财务审计报告</w:t>
            </w:r>
          </w:p>
          <w:p w14:paraId="196F8B78">
            <w:pPr>
              <w:pStyle w:val="11"/>
              <w:spacing w:before="58" w:line="266" w:lineRule="auto"/>
              <w:ind w:left="110" w:right="116"/>
            </w:pPr>
            <w:r>
              <w:rPr>
                <w:spacing w:val="-8"/>
              </w:rPr>
              <w:t>特别说明：</w:t>
            </w:r>
            <w:r>
              <w:rPr>
                <w:spacing w:val="76"/>
              </w:rPr>
              <w:t xml:space="preserve"> </w:t>
            </w:r>
            <w:r>
              <w:rPr>
                <w:rFonts w:ascii="Times New Roman" w:hAnsi="Times New Roman" w:eastAsia="Times New Roman" w:cs="Times New Roman"/>
                <w:spacing w:val="-8"/>
              </w:rPr>
              <w:t>1.</w:t>
            </w:r>
            <w:r>
              <w:rPr>
                <w:spacing w:val="-8"/>
              </w:rPr>
              <w:t>通过企业主体信息库生成的数字证照信息，</w:t>
            </w:r>
            <w:r>
              <w:t xml:space="preserve"> </w:t>
            </w:r>
            <w:r>
              <w:rPr>
                <w:spacing w:val="7"/>
              </w:rPr>
              <w:t>投标人应当自行校核和确认数字证照数据信息内容，一</w:t>
            </w:r>
            <w:r>
              <w:rPr>
                <w:spacing w:val="5"/>
              </w:rPr>
              <w:t xml:space="preserve"> </w:t>
            </w:r>
            <w:r>
              <w:rPr>
                <w:spacing w:val="7"/>
              </w:rPr>
              <w:t>般应当对投标文件中已生成的数字证照进行</w:t>
            </w:r>
            <w:r>
              <w:rPr>
                <w:spacing w:val="6"/>
              </w:rPr>
              <w:t>电子签名，</w:t>
            </w:r>
            <w:r>
              <w:t xml:space="preserve"> </w:t>
            </w:r>
            <w:r>
              <w:rPr>
                <w:spacing w:val="-2"/>
              </w:rPr>
              <w:t>否则视为已确认和认可数据信息内容。</w:t>
            </w:r>
          </w:p>
          <w:p w14:paraId="04156F06">
            <w:pPr>
              <w:pStyle w:val="11"/>
              <w:spacing w:before="65" w:line="267" w:lineRule="auto"/>
              <w:ind w:left="110" w:right="111" w:hanging="3"/>
              <w:jc w:val="both"/>
            </w:pPr>
            <w:r>
              <w:rPr>
                <w:rFonts w:ascii="Times New Roman" w:hAnsi="Times New Roman" w:eastAsia="Times New Roman" w:cs="Times New Roman"/>
                <w:spacing w:val="1"/>
              </w:rPr>
              <w:t>2.</w:t>
            </w:r>
            <w:r>
              <w:rPr>
                <w:spacing w:val="1"/>
              </w:rPr>
              <w:t>投标人制作投标文件时按上述实际明确的材料生成</w:t>
            </w:r>
            <w:r>
              <w:t xml:space="preserve">数字 </w:t>
            </w:r>
            <w:r>
              <w:rPr>
                <w:spacing w:val="7"/>
              </w:rPr>
              <w:t>证照应用于项目评审，否则相关证明佐证材料以企业主</w:t>
            </w:r>
            <w:r>
              <w:rPr>
                <w:spacing w:val="4"/>
              </w:rPr>
              <w:t xml:space="preserve"> </w:t>
            </w:r>
            <w:r>
              <w:rPr>
                <w:spacing w:val="7"/>
              </w:rPr>
              <w:t>体信息库获取的材料影印件应用于项目评审，投标人对</w:t>
            </w:r>
            <w:r>
              <w:rPr>
                <w:spacing w:val="4"/>
              </w:rPr>
              <w:t xml:space="preserve"> </w:t>
            </w:r>
            <w:r>
              <w:rPr>
                <w:spacing w:val="7"/>
              </w:rPr>
              <w:t>数字证照和材料影印件内容的准确性、完整性和真实性</w:t>
            </w:r>
            <w:r>
              <w:rPr>
                <w:spacing w:val="4"/>
              </w:rPr>
              <w:t xml:space="preserve"> </w:t>
            </w:r>
            <w:r>
              <w:rPr>
                <w:spacing w:val="-8"/>
              </w:rPr>
              <w:t>负责。</w:t>
            </w:r>
          </w:p>
        </w:tc>
      </w:tr>
      <w:tr w14:paraId="5668B9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854" w:type="dxa"/>
            <w:vAlign w:val="top"/>
          </w:tcPr>
          <w:p w14:paraId="02D25711">
            <w:pPr>
              <w:spacing w:before="184" w:line="189" w:lineRule="auto"/>
              <w:ind w:left="220"/>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3.7.4</w:t>
            </w:r>
          </w:p>
        </w:tc>
        <w:tc>
          <w:tcPr>
            <w:tcW w:w="2121" w:type="dxa"/>
            <w:vAlign w:val="top"/>
          </w:tcPr>
          <w:p w14:paraId="5FCDE33B">
            <w:pPr>
              <w:pStyle w:val="11"/>
              <w:spacing w:before="147" w:line="220" w:lineRule="auto"/>
              <w:ind w:left="120"/>
            </w:pPr>
            <w:r>
              <w:rPr>
                <w:spacing w:val="-1"/>
              </w:rPr>
              <w:t>技术标是否采用暗标</w:t>
            </w:r>
          </w:p>
        </w:tc>
        <w:tc>
          <w:tcPr>
            <w:tcW w:w="5447" w:type="dxa"/>
            <w:vAlign w:val="top"/>
          </w:tcPr>
          <w:p w14:paraId="64A1E96C">
            <w:pPr>
              <w:pStyle w:val="11"/>
              <w:spacing w:before="147" w:line="220" w:lineRule="auto"/>
              <w:ind w:left="110"/>
            </w:pPr>
            <w:r>
              <w:rPr>
                <w:spacing w:val="-1"/>
              </w:rPr>
              <w:t>采用模块化暗标评审</w:t>
            </w:r>
          </w:p>
        </w:tc>
      </w:tr>
      <w:tr w14:paraId="56289A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2" w:hRule="atLeast"/>
        </w:trPr>
        <w:tc>
          <w:tcPr>
            <w:tcW w:w="854" w:type="dxa"/>
            <w:vAlign w:val="top"/>
          </w:tcPr>
          <w:p w14:paraId="1CBDCFC4">
            <w:pPr>
              <w:spacing w:before="285" w:line="189" w:lineRule="auto"/>
              <w:ind w:left="214"/>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4.2.1</w:t>
            </w:r>
          </w:p>
        </w:tc>
        <w:tc>
          <w:tcPr>
            <w:tcW w:w="2121" w:type="dxa"/>
            <w:vAlign w:val="top"/>
          </w:tcPr>
          <w:p w14:paraId="7CF83D5C">
            <w:pPr>
              <w:pStyle w:val="11"/>
              <w:spacing w:before="249" w:line="221" w:lineRule="auto"/>
              <w:ind w:left="438"/>
              <w:rPr>
                <w:highlight w:val="yellow"/>
              </w:rPr>
            </w:pPr>
            <w:r>
              <w:rPr>
                <w:spacing w:val="-1"/>
                <w:highlight w:val="yellow"/>
              </w:rPr>
              <w:t>投标截止时间</w:t>
            </w:r>
          </w:p>
        </w:tc>
        <w:tc>
          <w:tcPr>
            <w:tcW w:w="5447" w:type="dxa"/>
            <w:vAlign w:val="top"/>
          </w:tcPr>
          <w:p w14:paraId="53FFB7A3">
            <w:pPr>
              <w:pStyle w:val="11"/>
              <w:tabs>
                <w:tab w:val="left" w:pos="735"/>
              </w:tabs>
              <w:spacing w:before="248" w:line="221" w:lineRule="auto"/>
              <w:ind w:left="103"/>
              <w:rPr>
                <w:rFonts w:hint="default"/>
                <w:highlight w:val="yellow"/>
                <w:lang w:val="en-US"/>
              </w:rPr>
            </w:pPr>
            <w:r>
              <w:rPr>
                <w:rFonts w:hint="eastAsia"/>
                <w:highlight w:val="yellow"/>
                <w:u w:val="single" w:color="auto"/>
                <w:lang w:val="en-US" w:eastAsia="zh-CN"/>
              </w:rPr>
              <w:t>2026年7月2日09时30分</w:t>
            </w:r>
          </w:p>
        </w:tc>
      </w:tr>
      <w:tr w14:paraId="19F0FB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0" w:hRule="atLeast"/>
        </w:trPr>
        <w:tc>
          <w:tcPr>
            <w:tcW w:w="854" w:type="dxa"/>
            <w:vAlign w:val="top"/>
          </w:tcPr>
          <w:p w14:paraId="5A036990">
            <w:pPr>
              <w:spacing w:line="257" w:lineRule="auto"/>
              <w:rPr>
                <w:rFonts w:ascii="Arial"/>
                <w:sz w:val="21"/>
              </w:rPr>
            </w:pPr>
          </w:p>
          <w:p w14:paraId="4277E4B3">
            <w:pPr>
              <w:spacing w:before="61" w:line="189" w:lineRule="auto"/>
              <w:ind w:left="214"/>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4.2.3</w:t>
            </w:r>
          </w:p>
        </w:tc>
        <w:tc>
          <w:tcPr>
            <w:tcW w:w="2121" w:type="dxa"/>
            <w:vAlign w:val="top"/>
          </w:tcPr>
          <w:p w14:paraId="41E8B124">
            <w:pPr>
              <w:pStyle w:val="11"/>
              <w:spacing w:before="282" w:line="221" w:lineRule="auto"/>
              <w:ind w:left="228"/>
            </w:pPr>
            <w:r>
              <w:rPr>
                <w:spacing w:val="-1"/>
              </w:rPr>
              <w:t>是否退还投标文件</w:t>
            </w:r>
          </w:p>
        </w:tc>
        <w:tc>
          <w:tcPr>
            <w:tcW w:w="5447" w:type="dxa"/>
            <w:vAlign w:val="top"/>
          </w:tcPr>
          <w:p w14:paraId="31B50F17">
            <w:pPr>
              <w:pStyle w:val="11"/>
              <w:spacing w:before="125" w:line="221" w:lineRule="auto"/>
              <w:ind w:left="132"/>
            </w:pPr>
            <w:r>
              <w:rPr>
                <w:spacing w:val="-7"/>
              </w:rPr>
              <w:sym w:font="Wingdings 2" w:char="0052"/>
            </w:r>
            <w:r>
              <w:rPr>
                <w:spacing w:val="-7"/>
              </w:rPr>
              <w:t>否</w:t>
            </w:r>
          </w:p>
          <w:p w14:paraId="19958CC7">
            <w:pPr>
              <w:pStyle w:val="11"/>
              <w:spacing w:before="65" w:line="222" w:lineRule="auto"/>
              <w:ind w:left="132"/>
            </w:pPr>
            <w:r>
              <w:rPr>
                <w:spacing w:val="-3"/>
              </w:rPr>
              <w:t>□是，退还具体安排：</w:t>
            </w:r>
          </w:p>
        </w:tc>
      </w:tr>
      <w:tr w14:paraId="50BDAA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25" w:hRule="atLeast"/>
        </w:trPr>
        <w:tc>
          <w:tcPr>
            <w:tcW w:w="854" w:type="dxa"/>
            <w:vAlign w:val="top"/>
          </w:tcPr>
          <w:p w14:paraId="0F32948D">
            <w:pPr>
              <w:spacing w:line="284" w:lineRule="auto"/>
              <w:rPr>
                <w:rFonts w:ascii="Arial"/>
                <w:sz w:val="21"/>
              </w:rPr>
            </w:pPr>
          </w:p>
          <w:p w14:paraId="0B9DDBFC">
            <w:pPr>
              <w:spacing w:line="284" w:lineRule="auto"/>
              <w:rPr>
                <w:rFonts w:ascii="Arial"/>
                <w:sz w:val="21"/>
              </w:rPr>
            </w:pPr>
          </w:p>
          <w:p w14:paraId="0C82A028">
            <w:pPr>
              <w:spacing w:line="285" w:lineRule="auto"/>
              <w:rPr>
                <w:rFonts w:ascii="Arial"/>
                <w:sz w:val="21"/>
              </w:rPr>
            </w:pPr>
          </w:p>
          <w:p w14:paraId="178DA4A2">
            <w:pPr>
              <w:spacing w:before="60" w:line="189" w:lineRule="auto"/>
              <w:ind w:left="221"/>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5.1.1</w:t>
            </w:r>
          </w:p>
        </w:tc>
        <w:tc>
          <w:tcPr>
            <w:tcW w:w="2121" w:type="dxa"/>
            <w:vAlign w:val="top"/>
          </w:tcPr>
          <w:p w14:paraId="558B59ED">
            <w:pPr>
              <w:spacing w:line="269" w:lineRule="auto"/>
              <w:rPr>
                <w:rFonts w:ascii="Arial"/>
                <w:sz w:val="21"/>
              </w:rPr>
            </w:pPr>
          </w:p>
          <w:p w14:paraId="6DAA2D12">
            <w:pPr>
              <w:spacing w:line="270" w:lineRule="auto"/>
              <w:rPr>
                <w:rFonts w:ascii="Arial"/>
                <w:sz w:val="21"/>
              </w:rPr>
            </w:pPr>
          </w:p>
          <w:p w14:paraId="40457794">
            <w:pPr>
              <w:spacing w:line="270" w:lineRule="auto"/>
              <w:rPr>
                <w:rFonts w:ascii="Arial"/>
                <w:sz w:val="21"/>
              </w:rPr>
            </w:pPr>
          </w:p>
          <w:p w14:paraId="20E4300C">
            <w:pPr>
              <w:pStyle w:val="11"/>
              <w:spacing w:before="68" w:line="221" w:lineRule="auto"/>
              <w:ind w:left="437"/>
            </w:pPr>
            <w:r>
              <w:rPr>
                <w:spacing w:val="-1"/>
              </w:rPr>
              <w:t>开标组织方式</w:t>
            </w:r>
          </w:p>
        </w:tc>
        <w:tc>
          <w:tcPr>
            <w:tcW w:w="5447" w:type="dxa"/>
            <w:vAlign w:val="top"/>
          </w:tcPr>
          <w:p w14:paraId="258E0BCA">
            <w:pPr>
              <w:pStyle w:val="11"/>
              <w:spacing w:before="80" w:line="221" w:lineRule="auto"/>
              <w:ind w:left="132"/>
            </w:pPr>
            <w:r>
              <w:rPr>
                <w:spacing w:val="-4"/>
              </w:rPr>
              <w:t>□现场集中开标</w:t>
            </w:r>
          </w:p>
          <w:p w14:paraId="229A0173">
            <w:pPr>
              <w:pStyle w:val="11"/>
              <w:spacing w:before="70" w:line="221" w:lineRule="auto"/>
              <w:ind w:left="132"/>
            </w:pPr>
            <w:r>
              <w:rPr>
                <w:spacing w:val="-4"/>
              </w:rPr>
              <w:sym w:font="Wingdings 2" w:char="0052"/>
            </w:r>
            <w:r>
              <w:rPr>
                <w:spacing w:val="-4"/>
              </w:rPr>
              <w:t>远程不见面开标</w:t>
            </w:r>
          </w:p>
          <w:p w14:paraId="56FCF022">
            <w:pPr>
              <w:pStyle w:val="11"/>
              <w:spacing w:before="66" w:line="252" w:lineRule="auto"/>
              <w:ind w:left="113" w:right="116" w:firstLine="19"/>
            </w:pPr>
            <w:r>
              <w:rPr>
                <w:spacing w:val="6"/>
              </w:rPr>
              <w:t>□现场集中和远程不见面开标同时进行。投标人自行选</w:t>
            </w:r>
            <w:r>
              <w:rPr>
                <w:spacing w:val="7"/>
              </w:rPr>
              <w:t xml:space="preserve"> </w:t>
            </w:r>
            <w:r>
              <w:rPr>
                <w:spacing w:val="-4"/>
              </w:rPr>
              <w:t>择参与开标的方式。</w:t>
            </w:r>
          </w:p>
          <w:p w14:paraId="2368C6A9">
            <w:pPr>
              <w:pStyle w:val="11"/>
              <w:tabs>
                <w:tab w:val="left" w:pos="222"/>
              </w:tabs>
              <w:spacing w:before="68" w:line="243" w:lineRule="auto"/>
              <w:ind w:left="103" w:right="109" w:firstLine="9"/>
            </w:pPr>
            <w:r>
              <w:rPr>
                <w:spacing w:val="14"/>
              </w:rPr>
              <w:t>开标系统：</w:t>
            </w:r>
            <w:r>
              <w:rPr>
                <w:spacing w:val="-39"/>
              </w:rPr>
              <w:t xml:space="preserve"> </w:t>
            </w:r>
            <w:r>
              <w:rPr>
                <w:spacing w:val="14"/>
                <w:u w:val="single" w:color="auto"/>
              </w:rPr>
              <w:t>辽宁省工程建设项目数字化开标评标系统</w:t>
            </w:r>
            <w:r>
              <w:t xml:space="preserve"> </w:t>
            </w:r>
            <w:r>
              <w:rPr>
                <w:u w:val="single" w:color="auto"/>
              </w:rPr>
              <w:tab/>
            </w:r>
            <w:r>
              <w:rPr>
                <w:spacing w:val="-5"/>
                <w:u w:val="single" w:color="auto"/>
              </w:rPr>
              <w:t>（</w:t>
            </w:r>
            <w:r>
              <w:fldChar w:fldCharType="begin"/>
            </w:r>
            <w:r>
              <w:instrText xml:space="preserve"> HYPERLINK "https://dts.lnzb.com:8888/zjt" </w:instrText>
            </w:r>
            <w:r>
              <w:fldChar w:fldCharType="separate"/>
            </w:r>
            <w:r>
              <w:rPr>
                <w:rFonts w:ascii="Times New Roman" w:hAnsi="Times New Roman" w:eastAsia="Times New Roman" w:cs="Times New Roman"/>
                <w:spacing w:val="-5"/>
                <w:u w:val="single" w:color="auto"/>
              </w:rPr>
              <w:t>https://dts.lnzb.com:8888/zjt</w:t>
            </w:r>
            <w:r>
              <w:rPr>
                <w:rFonts w:ascii="Times New Roman" w:hAnsi="Times New Roman" w:eastAsia="Times New Roman" w:cs="Times New Roman"/>
                <w:spacing w:val="-5"/>
                <w:u w:val="single" w:color="auto"/>
              </w:rPr>
              <w:fldChar w:fldCharType="end"/>
            </w:r>
            <w:r>
              <w:rPr>
                <w:rFonts w:ascii="Times New Roman" w:hAnsi="Times New Roman" w:eastAsia="Times New Roman" w:cs="Times New Roman"/>
                <w:spacing w:val="-5"/>
                <w:u w:val="single" w:color="auto"/>
              </w:rPr>
              <w:t>-b</w:t>
            </w:r>
            <w:r>
              <w:rPr>
                <w:rFonts w:ascii="Times New Roman" w:hAnsi="Times New Roman" w:eastAsia="Times New Roman" w:cs="Times New Roman"/>
                <w:spacing w:val="-6"/>
                <w:u w:val="single" w:color="auto"/>
              </w:rPr>
              <w:t>id/</w:t>
            </w:r>
            <w:r>
              <w:rPr>
                <w:spacing w:val="-6"/>
                <w:u w:val="single" w:color="auto"/>
              </w:rPr>
              <w:t>）。</w:t>
            </w:r>
          </w:p>
        </w:tc>
      </w:tr>
      <w:tr w14:paraId="7C96A2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6" w:hRule="atLeast"/>
        </w:trPr>
        <w:tc>
          <w:tcPr>
            <w:tcW w:w="854" w:type="dxa"/>
            <w:vAlign w:val="top"/>
          </w:tcPr>
          <w:p w14:paraId="3FF7700A">
            <w:pPr>
              <w:spacing w:before="237" w:line="189" w:lineRule="auto"/>
              <w:ind w:left="221"/>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5.1.2</w:t>
            </w:r>
          </w:p>
        </w:tc>
        <w:tc>
          <w:tcPr>
            <w:tcW w:w="2121" w:type="dxa"/>
            <w:vAlign w:val="top"/>
          </w:tcPr>
          <w:p w14:paraId="4836A5F6">
            <w:pPr>
              <w:pStyle w:val="11"/>
              <w:spacing w:before="201" w:line="221" w:lineRule="auto"/>
              <w:ind w:left="648"/>
            </w:pPr>
            <w:r>
              <w:rPr>
                <w:spacing w:val="-1"/>
              </w:rPr>
              <w:t>开标地点</w:t>
            </w:r>
          </w:p>
        </w:tc>
        <w:tc>
          <w:tcPr>
            <w:tcW w:w="5447" w:type="dxa"/>
            <w:vAlign w:val="top"/>
          </w:tcPr>
          <w:p w14:paraId="6183F839">
            <w:pPr>
              <w:rPr>
                <w:rFonts w:ascii="Arial"/>
                <w:sz w:val="21"/>
              </w:rPr>
            </w:pPr>
            <w:r>
              <w:rPr>
                <w:rFonts w:hint="eastAsia"/>
                <w:color w:val="auto"/>
                <w:highlight w:val="none"/>
                <w:lang w:eastAsia="zh-CN"/>
              </w:rPr>
              <w:t>开标地点： 远程不见面(请按招标文件规定时间登录“辽宁省工程建设项目数字化开标评标系统(https://dts.lnzb.com:8888/zjt-bid/)” 进行解密)。</w:t>
            </w:r>
          </w:p>
        </w:tc>
      </w:tr>
      <w:tr w14:paraId="02D953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5" w:hRule="atLeast"/>
        </w:trPr>
        <w:tc>
          <w:tcPr>
            <w:tcW w:w="854" w:type="dxa"/>
            <w:vAlign w:val="top"/>
          </w:tcPr>
          <w:p w14:paraId="7CC6CF14">
            <w:pPr>
              <w:spacing w:before="204" w:line="285" w:lineRule="exact"/>
              <w:ind w:left="221"/>
              <w:rPr>
                <w:rFonts w:ascii="Times New Roman" w:hAnsi="Times New Roman" w:eastAsia="Times New Roman" w:cs="Times New Roman"/>
                <w:sz w:val="21"/>
                <w:szCs w:val="21"/>
              </w:rPr>
            </w:pPr>
            <w:r>
              <w:rPr>
                <w:rFonts w:ascii="Times New Roman" w:hAnsi="Times New Roman" w:eastAsia="Times New Roman" w:cs="Times New Roman"/>
                <w:spacing w:val="-2"/>
                <w:position w:val="9"/>
                <w:sz w:val="21"/>
                <w:szCs w:val="21"/>
              </w:rPr>
              <w:t>5.2.1</w:t>
            </w:r>
          </w:p>
          <w:p w14:paraId="76DA71D3">
            <w:pPr>
              <w:pStyle w:val="11"/>
              <w:spacing w:line="232" w:lineRule="auto"/>
              <w:ind w:left="173"/>
            </w:pPr>
            <w:r>
              <w:rPr>
                <w:spacing w:val="-5"/>
              </w:rPr>
              <w:t>（</w:t>
            </w:r>
            <w:r>
              <w:rPr>
                <w:rFonts w:ascii="Times New Roman" w:hAnsi="Times New Roman" w:eastAsia="Times New Roman" w:cs="Times New Roman"/>
                <w:spacing w:val="-5"/>
              </w:rPr>
              <w:t>5</w:t>
            </w:r>
            <w:r>
              <w:rPr>
                <w:spacing w:val="-5"/>
              </w:rPr>
              <w:t>）</w:t>
            </w:r>
          </w:p>
        </w:tc>
        <w:tc>
          <w:tcPr>
            <w:tcW w:w="2121" w:type="dxa"/>
            <w:vAlign w:val="top"/>
          </w:tcPr>
          <w:p w14:paraId="4A041C70">
            <w:pPr>
              <w:spacing w:line="261" w:lineRule="auto"/>
              <w:rPr>
                <w:rFonts w:ascii="Arial"/>
                <w:sz w:val="21"/>
              </w:rPr>
            </w:pPr>
          </w:p>
          <w:p w14:paraId="37673EA7">
            <w:pPr>
              <w:pStyle w:val="11"/>
              <w:spacing w:before="69" w:line="221" w:lineRule="auto"/>
              <w:ind w:left="646"/>
            </w:pPr>
            <w:r>
              <w:rPr>
                <w:spacing w:val="-1"/>
              </w:rPr>
              <w:t>解密时间</w:t>
            </w:r>
          </w:p>
        </w:tc>
        <w:tc>
          <w:tcPr>
            <w:tcW w:w="5447" w:type="dxa"/>
            <w:vAlign w:val="top"/>
          </w:tcPr>
          <w:p w14:paraId="73E5DFC9">
            <w:pPr>
              <w:pStyle w:val="11"/>
              <w:spacing w:before="33" w:line="229" w:lineRule="auto"/>
              <w:ind w:left="112" w:right="111"/>
              <w:jc w:val="both"/>
            </w:pPr>
            <w:r>
              <w:rPr>
                <w:rFonts w:hint="eastAsia" w:ascii="宋体" w:hAnsi="宋体"/>
                <w:color w:val="auto"/>
                <w:szCs w:val="21"/>
                <w:highlight w:val="none"/>
              </w:rPr>
              <w:t>招标人发出解密提示后</w:t>
            </w:r>
            <w:r>
              <w:rPr>
                <w:rFonts w:hint="eastAsia" w:ascii="宋体" w:hAnsi="宋体"/>
                <w:color w:val="auto"/>
                <w:szCs w:val="21"/>
                <w:highlight w:val="none"/>
                <w:u w:val="single"/>
              </w:rPr>
              <w:t>30</w:t>
            </w:r>
            <w:r>
              <w:rPr>
                <w:rFonts w:hint="eastAsia" w:ascii="宋体" w:hAnsi="宋体"/>
                <w:color w:val="auto"/>
                <w:szCs w:val="21"/>
                <w:highlight w:val="none"/>
              </w:rPr>
              <w:t>分钟内。如遇到投标人较多或其他特殊情况在规定时间内无法完成解密的，可报项目行政监督部门适当延长解密时间。</w:t>
            </w:r>
          </w:p>
        </w:tc>
      </w:tr>
      <w:tr w14:paraId="248735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97" w:hRule="atLeast"/>
        </w:trPr>
        <w:tc>
          <w:tcPr>
            <w:tcW w:w="854" w:type="dxa"/>
            <w:vAlign w:val="top"/>
          </w:tcPr>
          <w:p w14:paraId="55A7A7F2">
            <w:pPr>
              <w:spacing w:line="317" w:lineRule="auto"/>
              <w:rPr>
                <w:rFonts w:ascii="Arial"/>
                <w:sz w:val="21"/>
              </w:rPr>
            </w:pPr>
          </w:p>
          <w:p w14:paraId="1C2CAF11">
            <w:pPr>
              <w:spacing w:line="318" w:lineRule="auto"/>
              <w:rPr>
                <w:rFonts w:ascii="Arial"/>
                <w:sz w:val="21"/>
              </w:rPr>
            </w:pPr>
          </w:p>
          <w:p w14:paraId="405473D7">
            <w:pPr>
              <w:spacing w:before="60" w:line="189" w:lineRule="auto"/>
              <w:ind w:left="220"/>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6.1.1</w:t>
            </w:r>
          </w:p>
        </w:tc>
        <w:tc>
          <w:tcPr>
            <w:tcW w:w="2121" w:type="dxa"/>
            <w:vAlign w:val="top"/>
          </w:tcPr>
          <w:p w14:paraId="28EE91FB">
            <w:pPr>
              <w:spacing w:line="295" w:lineRule="auto"/>
              <w:rPr>
                <w:rFonts w:ascii="Arial"/>
                <w:sz w:val="21"/>
              </w:rPr>
            </w:pPr>
          </w:p>
          <w:p w14:paraId="410CDDC8">
            <w:pPr>
              <w:spacing w:line="295" w:lineRule="auto"/>
              <w:rPr>
                <w:rFonts w:ascii="Arial"/>
                <w:sz w:val="21"/>
              </w:rPr>
            </w:pPr>
          </w:p>
          <w:p w14:paraId="4DC0DF1F">
            <w:pPr>
              <w:pStyle w:val="11"/>
              <w:spacing w:before="69" w:line="220" w:lineRule="auto"/>
              <w:ind w:left="224"/>
            </w:pPr>
            <w:r>
              <w:rPr>
                <w:spacing w:val="-1"/>
              </w:rPr>
              <w:t>评标委员会的组建</w:t>
            </w:r>
          </w:p>
        </w:tc>
        <w:tc>
          <w:tcPr>
            <w:tcW w:w="5447" w:type="dxa"/>
            <w:vAlign w:val="top"/>
          </w:tcPr>
          <w:p w14:paraId="45F1078E">
            <w:pPr>
              <w:spacing w:line="400" w:lineRule="exact"/>
              <w:rPr>
                <w:rFonts w:hint="eastAsia" w:ascii="仿宋_GB2312" w:eastAsia="仿宋_GB2312"/>
                <w:sz w:val="24"/>
                <w:szCs w:val="24"/>
              </w:rPr>
            </w:pPr>
            <w:r>
              <w:rPr>
                <w:rFonts w:hint="eastAsia" w:ascii="仿宋_GB2312" w:eastAsia="仿宋_GB2312"/>
                <w:sz w:val="24"/>
                <w:szCs w:val="24"/>
                <w:highlight w:val="white"/>
              </w:rPr>
              <w:t>本次评标委员会由</w:t>
            </w:r>
            <w:bookmarkStart w:id="40" w:name="EBc2e2197a8abb45fd9e2a7e1b05fd6b73"/>
            <w:r>
              <w:rPr>
                <w:rFonts w:hint="eastAsia" w:ascii="仿宋_GB2312" w:eastAsia="仿宋_GB2312"/>
                <w:color w:val="0000FF"/>
                <w:sz w:val="24"/>
                <w:szCs w:val="24"/>
                <w:highlight w:val="white"/>
              </w:rPr>
              <w:t>5</w:t>
            </w:r>
            <w:bookmarkEnd w:id="40"/>
            <w:r>
              <w:rPr>
                <w:rFonts w:hint="eastAsia" w:ascii="仿宋_GB2312" w:eastAsia="仿宋_GB2312"/>
                <w:sz w:val="24"/>
                <w:szCs w:val="24"/>
                <w:highlight w:val="white"/>
              </w:rPr>
              <w:t>人组成，其中：经济专家</w:t>
            </w:r>
            <w:bookmarkStart w:id="41" w:name="EB065b7275b57a4392a7c0eb9da745b8c5"/>
            <w:r>
              <w:rPr>
                <w:rFonts w:hint="eastAsia" w:ascii="仿宋_GB2312" w:eastAsia="仿宋_GB2312"/>
                <w:color w:val="0000FF"/>
                <w:sz w:val="24"/>
                <w:szCs w:val="24"/>
                <w:highlight w:val="white"/>
              </w:rPr>
              <w:t>1</w:t>
            </w:r>
            <w:bookmarkEnd w:id="41"/>
            <w:r>
              <w:rPr>
                <w:rFonts w:hint="eastAsia" w:ascii="仿宋_GB2312" w:eastAsia="仿宋_GB2312"/>
                <w:sz w:val="24"/>
                <w:szCs w:val="24"/>
                <w:highlight w:val="white"/>
              </w:rPr>
              <w:t>人、技术专家</w:t>
            </w:r>
            <w:bookmarkStart w:id="42" w:name="EB8c6f13b6f19b4a16af2d1181da176806"/>
            <w:r>
              <w:rPr>
                <w:rFonts w:hint="eastAsia" w:ascii="仿宋_GB2312" w:eastAsia="仿宋_GB2312"/>
                <w:color w:val="0000FF"/>
                <w:sz w:val="24"/>
                <w:szCs w:val="24"/>
                <w:highlight w:val="white"/>
              </w:rPr>
              <w:t>4</w:t>
            </w:r>
            <w:bookmarkEnd w:id="42"/>
            <w:r>
              <w:rPr>
                <w:rFonts w:hint="eastAsia" w:ascii="仿宋_GB2312" w:eastAsia="仿宋_GB2312"/>
                <w:sz w:val="24"/>
                <w:szCs w:val="24"/>
                <w:highlight w:val="white"/>
              </w:rPr>
              <w:t>人，招标人代表</w:t>
            </w:r>
            <w:bookmarkStart w:id="43" w:name="EBf48b67fb27ff47d699fd428c81abe1a5"/>
            <w:r>
              <w:rPr>
                <w:rFonts w:hint="eastAsia" w:ascii="仿宋_GB2312" w:eastAsia="仿宋_GB2312"/>
                <w:color w:val="0000FF"/>
                <w:sz w:val="24"/>
                <w:szCs w:val="24"/>
                <w:highlight w:val="white"/>
              </w:rPr>
              <w:t>0</w:t>
            </w:r>
            <w:bookmarkEnd w:id="43"/>
            <w:r>
              <w:rPr>
                <w:rFonts w:hint="eastAsia" w:ascii="仿宋_GB2312" w:eastAsia="仿宋_GB2312"/>
                <w:sz w:val="24"/>
                <w:szCs w:val="24"/>
                <w:highlight w:val="white"/>
              </w:rPr>
              <w:t>人。</w:t>
            </w:r>
          </w:p>
          <w:p w14:paraId="6FFA31F0">
            <w:pPr>
              <w:pStyle w:val="11"/>
              <w:spacing w:before="64" w:line="251" w:lineRule="auto"/>
              <w:ind w:left="130" w:right="113" w:hanging="20"/>
            </w:pPr>
            <w:r>
              <w:rPr>
                <w:rFonts w:hint="eastAsia" w:ascii="仿宋_GB2312" w:eastAsia="仿宋_GB2312"/>
                <w:sz w:val="24"/>
                <w:szCs w:val="24"/>
                <w:highlight w:val="white"/>
              </w:rPr>
              <w:t>评标专家确定方式：</w:t>
            </w:r>
            <w:bookmarkStart w:id="44" w:name="EBa1d104d5209f48c1b3f257aeb910318a"/>
            <w:r>
              <w:rPr>
                <w:rFonts w:hint="eastAsia" w:ascii="仿宋_GB2312" w:eastAsia="仿宋_GB2312"/>
                <w:color w:val="0000FF"/>
                <w:sz w:val="24"/>
                <w:szCs w:val="24"/>
                <w:highlight w:val="white"/>
              </w:rPr>
              <w:t>在辽宁省综合专家库中随机抽取</w:t>
            </w:r>
            <w:bookmarkEnd w:id="44"/>
          </w:p>
        </w:tc>
      </w:tr>
    </w:tbl>
    <w:p w14:paraId="4F0C369C">
      <w:pPr>
        <w:pStyle w:val="3"/>
      </w:pPr>
    </w:p>
    <w:p w14:paraId="431BA1BD">
      <w:pPr>
        <w:spacing w:line="95" w:lineRule="auto"/>
        <w:rPr>
          <w:rFonts w:ascii="Arial"/>
          <w:sz w:val="2"/>
        </w:rPr>
      </w:pPr>
    </w:p>
    <w:tbl>
      <w:tblPr>
        <w:tblStyle w:val="10"/>
        <w:tblW w:w="842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54"/>
        <w:gridCol w:w="2121"/>
        <w:gridCol w:w="5447"/>
      </w:tblGrid>
      <w:tr w14:paraId="48BDEC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8" w:hRule="atLeast"/>
        </w:trPr>
        <w:tc>
          <w:tcPr>
            <w:tcW w:w="854" w:type="dxa"/>
            <w:vAlign w:val="top"/>
          </w:tcPr>
          <w:p w14:paraId="71C57DD4">
            <w:pPr>
              <w:spacing w:before="277" w:line="189" w:lineRule="auto"/>
              <w:ind w:left="297"/>
              <w:rPr>
                <w:rFonts w:ascii="Times New Roman" w:hAnsi="Times New Roman" w:eastAsia="Times New Roman" w:cs="Times New Roman"/>
                <w:sz w:val="21"/>
                <w:szCs w:val="21"/>
              </w:rPr>
            </w:pPr>
            <w:bookmarkStart w:id="45" w:name="bookmark65"/>
            <w:bookmarkEnd w:id="45"/>
            <w:bookmarkStart w:id="46" w:name="bookmark64"/>
            <w:bookmarkEnd w:id="46"/>
            <w:bookmarkStart w:id="47" w:name="bookmark68"/>
            <w:bookmarkEnd w:id="47"/>
            <w:bookmarkStart w:id="48" w:name="bookmark62"/>
            <w:bookmarkEnd w:id="48"/>
            <w:bookmarkStart w:id="49" w:name="bookmark61"/>
            <w:bookmarkEnd w:id="49"/>
            <w:bookmarkStart w:id="50" w:name="bookmark66"/>
            <w:bookmarkEnd w:id="50"/>
            <w:bookmarkStart w:id="51" w:name="bookmark67"/>
            <w:bookmarkEnd w:id="51"/>
            <w:bookmarkStart w:id="52" w:name="bookmark63"/>
            <w:bookmarkEnd w:id="52"/>
            <w:r>
              <w:rPr>
                <w:rFonts w:ascii="Times New Roman" w:hAnsi="Times New Roman" w:eastAsia="Times New Roman" w:cs="Times New Roman"/>
                <w:spacing w:val="-3"/>
                <w:sz w:val="21"/>
                <w:szCs w:val="21"/>
              </w:rPr>
              <w:t>6.3</w:t>
            </w:r>
          </w:p>
        </w:tc>
        <w:tc>
          <w:tcPr>
            <w:tcW w:w="2121" w:type="dxa"/>
            <w:vAlign w:val="top"/>
          </w:tcPr>
          <w:p w14:paraId="3A5DE0CA">
            <w:pPr>
              <w:pStyle w:val="11"/>
              <w:spacing w:before="240" w:line="220" w:lineRule="auto"/>
              <w:ind w:left="435"/>
            </w:pPr>
            <w:r>
              <w:rPr>
                <w:spacing w:val="-1"/>
              </w:rPr>
              <w:t>评标采用方式</w:t>
            </w:r>
          </w:p>
        </w:tc>
        <w:tc>
          <w:tcPr>
            <w:tcW w:w="5447" w:type="dxa"/>
            <w:vAlign w:val="top"/>
          </w:tcPr>
          <w:p w14:paraId="546657E9">
            <w:pPr>
              <w:pStyle w:val="11"/>
              <w:spacing w:before="82" w:line="220" w:lineRule="auto"/>
              <w:ind w:left="132"/>
            </w:pPr>
            <w:r>
              <w:rPr>
                <w:spacing w:val="-3"/>
              </w:rPr>
              <w:sym w:font="Wingdings 2" w:char="0052"/>
            </w:r>
            <w:r>
              <w:rPr>
                <w:spacing w:val="-3"/>
              </w:rPr>
              <w:t>本地集中评标方式</w:t>
            </w:r>
          </w:p>
          <w:p w14:paraId="177A8CC1">
            <w:pPr>
              <w:pStyle w:val="11"/>
              <w:spacing w:before="66" w:line="210" w:lineRule="auto"/>
              <w:ind w:left="132"/>
              <w:rPr>
                <w:spacing w:val="-3"/>
              </w:rPr>
            </w:pPr>
            <w:r>
              <w:rPr>
                <w:spacing w:val="-3"/>
              </w:rPr>
              <w:t>□远程异地评标方式</w:t>
            </w:r>
          </w:p>
          <w:p w14:paraId="513272EB">
            <w:pPr>
              <w:keepNext w:val="0"/>
              <w:keepLines w:val="0"/>
              <w:suppressLineNumbers w:val="0"/>
              <w:spacing w:before="0" w:beforeAutospacing="0" w:after="0" w:afterAutospacing="0" w:line="320" w:lineRule="exact"/>
              <w:ind w:left="0" w:right="0"/>
              <w:jc w:val="left"/>
              <w:rPr>
                <w:rFonts w:hint="eastAsia"/>
                <w:color w:val="auto"/>
                <w:highlight w:val="none"/>
              </w:rPr>
            </w:pPr>
            <w:r>
              <w:rPr>
                <w:rFonts w:hint="eastAsia"/>
                <w:color w:val="auto"/>
                <w:highlight w:val="none"/>
                <w:lang w:eastAsia="zh-CN"/>
              </w:rPr>
              <w:t>评标是否采用计算机辅助智能评审：</w:t>
            </w:r>
          </w:p>
          <w:p w14:paraId="553387A8">
            <w:pPr>
              <w:keepNext w:val="0"/>
              <w:keepLines w:val="0"/>
              <w:suppressLineNumbers w:val="0"/>
              <w:spacing w:before="0" w:beforeAutospacing="0" w:after="0" w:afterAutospacing="0" w:line="320" w:lineRule="exact"/>
              <w:ind w:left="0" w:right="0"/>
              <w:jc w:val="left"/>
              <w:rPr>
                <w:rFonts w:hint="eastAsia"/>
                <w:color w:val="auto"/>
                <w:highlight w:val="none"/>
              </w:rPr>
            </w:pPr>
            <w:r>
              <w:rPr>
                <w:rFonts w:hint="eastAsia"/>
                <w:color w:val="auto"/>
                <w:highlight w:val="none"/>
                <w:lang w:eastAsia="zh-CN"/>
              </w:rPr>
              <w:t>□是</w:t>
            </w:r>
          </w:p>
          <w:p w14:paraId="0DDC52BD">
            <w:pPr>
              <w:pStyle w:val="11"/>
              <w:spacing w:before="66" w:line="210" w:lineRule="auto"/>
              <w:ind w:left="132"/>
              <w:rPr>
                <w:spacing w:val="-3"/>
              </w:rPr>
            </w:pPr>
            <w:r>
              <w:rPr>
                <w:rFonts w:hint="eastAsia"/>
                <w:color w:val="auto"/>
                <w:highlight w:val="none"/>
                <w:lang w:eastAsia="zh-CN"/>
              </w:rPr>
              <w:t>☑否</w:t>
            </w:r>
          </w:p>
        </w:tc>
      </w:tr>
      <w:tr w14:paraId="05CBDF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03" w:hRule="atLeast"/>
        </w:trPr>
        <w:tc>
          <w:tcPr>
            <w:tcW w:w="854" w:type="dxa"/>
            <w:vAlign w:val="top"/>
          </w:tcPr>
          <w:p w14:paraId="2D9C86B7">
            <w:pPr>
              <w:spacing w:line="392" w:lineRule="auto"/>
              <w:rPr>
                <w:rFonts w:ascii="Arial"/>
                <w:sz w:val="21"/>
              </w:rPr>
            </w:pPr>
          </w:p>
          <w:p w14:paraId="15F84A10">
            <w:pPr>
              <w:spacing w:before="60" w:line="189" w:lineRule="auto"/>
              <w:ind w:left="297"/>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6.4</w:t>
            </w:r>
          </w:p>
        </w:tc>
        <w:tc>
          <w:tcPr>
            <w:tcW w:w="2121" w:type="dxa"/>
            <w:vAlign w:val="top"/>
          </w:tcPr>
          <w:p w14:paraId="7F630EF2">
            <w:pPr>
              <w:spacing w:line="348" w:lineRule="auto"/>
              <w:rPr>
                <w:rFonts w:ascii="Arial"/>
                <w:sz w:val="21"/>
              </w:rPr>
            </w:pPr>
          </w:p>
          <w:p w14:paraId="39F3987B">
            <w:pPr>
              <w:pStyle w:val="11"/>
              <w:spacing w:before="68" w:line="220" w:lineRule="auto"/>
              <w:ind w:left="224"/>
            </w:pPr>
            <w:r>
              <w:rPr>
                <w:spacing w:val="-1"/>
              </w:rPr>
              <w:t>评标结果公示媒介</w:t>
            </w:r>
          </w:p>
        </w:tc>
        <w:tc>
          <w:tcPr>
            <w:tcW w:w="5447" w:type="dxa"/>
            <w:vAlign w:val="center"/>
          </w:tcPr>
          <w:p w14:paraId="3C970945">
            <w:pPr>
              <w:pStyle w:val="11"/>
              <w:spacing w:before="66" w:line="226" w:lineRule="auto"/>
              <w:ind w:left="132"/>
              <w:jc w:val="both"/>
            </w:pPr>
            <w:r>
              <w:rPr>
                <w:rFonts w:hint="eastAsia"/>
                <w:color w:val="auto"/>
                <w:highlight w:val="none"/>
                <w:lang w:eastAsia="zh-CN"/>
              </w:rPr>
              <w:t>辽宁建设工程信息网、辽宁省招标投标监管网</w:t>
            </w:r>
          </w:p>
        </w:tc>
      </w:tr>
      <w:tr w14:paraId="1B0482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06" w:hRule="atLeast"/>
        </w:trPr>
        <w:tc>
          <w:tcPr>
            <w:tcW w:w="854" w:type="dxa"/>
            <w:vAlign w:val="top"/>
          </w:tcPr>
          <w:p w14:paraId="74696989">
            <w:pPr>
              <w:spacing w:line="247" w:lineRule="auto"/>
              <w:rPr>
                <w:rFonts w:ascii="Arial"/>
                <w:sz w:val="21"/>
              </w:rPr>
            </w:pPr>
          </w:p>
          <w:p w14:paraId="073F92F0">
            <w:pPr>
              <w:spacing w:line="247" w:lineRule="auto"/>
              <w:rPr>
                <w:rFonts w:ascii="Arial"/>
                <w:sz w:val="21"/>
              </w:rPr>
            </w:pPr>
          </w:p>
          <w:p w14:paraId="6D680291">
            <w:pPr>
              <w:spacing w:line="247" w:lineRule="auto"/>
              <w:rPr>
                <w:rFonts w:ascii="Arial"/>
                <w:sz w:val="21"/>
              </w:rPr>
            </w:pPr>
          </w:p>
          <w:p w14:paraId="5DDC79CE">
            <w:pPr>
              <w:spacing w:line="248" w:lineRule="auto"/>
              <w:rPr>
                <w:rFonts w:ascii="Arial"/>
                <w:sz w:val="21"/>
              </w:rPr>
            </w:pPr>
          </w:p>
          <w:p w14:paraId="06A80963">
            <w:pPr>
              <w:spacing w:line="248" w:lineRule="auto"/>
              <w:rPr>
                <w:rFonts w:ascii="Arial"/>
                <w:sz w:val="21"/>
              </w:rPr>
            </w:pPr>
          </w:p>
          <w:p w14:paraId="2AFDB5A7">
            <w:pPr>
              <w:spacing w:line="248" w:lineRule="auto"/>
              <w:rPr>
                <w:rFonts w:ascii="Arial"/>
                <w:sz w:val="21"/>
              </w:rPr>
            </w:pPr>
          </w:p>
          <w:p w14:paraId="08782E3F">
            <w:pPr>
              <w:spacing w:before="60" w:line="189" w:lineRule="auto"/>
              <w:ind w:left="296"/>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7.1</w:t>
            </w:r>
          </w:p>
        </w:tc>
        <w:tc>
          <w:tcPr>
            <w:tcW w:w="2121" w:type="dxa"/>
            <w:vAlign w:val="top"/>
          </w:tcPr>
          <w:p w14:paraId="117E453C">
            <w:pPr>
              <w:rPr>
                <w:rFonts w:ascii="Arial"/>
                <w:sz w:val="21"/>
              </w:rPr>
            </w:pPr>
          </w:p>
          <w:p w14:paraId="6F4EC526">
            <w:pPr>
              <w:rPr>
                <w:rFonts w:ascii="Arial"/>
                <w:sz w:val="21"/>
              </w:rPr>
            </w:pPr>
          </w:p>
          <w:p w14:paraId="2FDE6A03">
            <w:pPr>
              <w:rPr>
                <w:rFonts w:ascii="Arial"/>
                <w:sz w:val="21"/>
              </w:rPr>
            </w:pPr>
          </w:p>
          <w:p w14:paraId="4032E2F7">
            <w:pPr>
              <w:rPr>
                <w:rFonts w:ascii="Arial"/>
                <w:sz w:val="21"/>
              </w:rPr>
            </w:pPr>
          </w:p>
          <w:p w14:paraId="26033241">
            <w:pPr>
              <w:rPr>
                <w:rFonts w:ascii="Arial"/>
                <w:sz w:val="21"/>
              </w:rPr>
            </w:pPr>
          </w:p>
          <w:p w14:paraId="39BBAC30">
            <w:pPr>
              <w:spacing w:line="241" w:lineRule="auto"/>
              <w:rPr>
                <w:rFonts w:ascii="Arial"/>
                <w:sz w:val="21"/>
              </w:rPr>
            </w:pPr>
          </w:p>
          <w:p w14:paraId="7977AAF9">
            <w:pPr>
              <w:pStyle w:val="11"/>
              <w:spacing w:before="68" w:line="221" w:lineRule="auto"/>
              <w:ind w:left="652"/>
            </w:pPr>
            <w:r>
              <w:rPr>
                <w:spacing w:val="-2"/>
              </w:rPr>
              <w:t>定标方式</w:t>
            </w:r>
          </w:p>
        </w:tc>
        <w:tc>
          <w:tcPr>
            <w:tcW w:w="5447" w:type="dxa"/>
            <w:vAlign w:val="top"/>
          </w:tcPr>
          <w:p w14:paraId="7EAAAD71">
            <w:pPr>
              <w:pStyle w:val="11"/>
              <w:spacing w:before="77" w:line="220" w:lineRule="auto"/>
              <w:ind w:left="111"/>
            </w:pPr>
            <w:r>
              <w:rPr>
                <w:spacing w:val="-1"/>
              </w:rPr>
              <w:t>推荐的中标候选人数：不超过</w:t>
            </w:r>
            <w:r>
              <w:rPr>
                <w:spacing w:val="-94"/>
              </w:rPr>
              <w:t xml:space="preserve"> </w:t>
            </w:r>
            <w:r>
              <w:rPr>
                <w:rFonts w:hint="eastAsia"/>
                <w:spacing w:val="34"/>
                <w:u w:val="single" w:color="auto"/>
                <w:lang w:val="en-US" w:eastAsia="zh-CN"/>
              </w:rPr>
              <w:t>3</w:t>
            </w:r>
            <w:r>
              <w:rPr>
                <w:spacing w:val="-1"/>
              </w:rPr>
              <w:t>名</w:t>
            </w:r>
          </w:p>
          <w:p w14:paraId="3E425B0F">
            <w:pPr>
              <w:pStyle w:val="11"/>
              <w:spacing w:before="71" w:line="220" w:lineRule="auto"/>
              <w:ind w:left="132"/>
            </w:pPr>
            <w:r>
              <w:rPr>
                <w:spacing w:val="-2"/>
              </w:rPr>
              <w:t>□招标人授权评标委员会直接确定中标人</w:t>
            </w:r>
          </w:p>
          <w:p w14:paraId="6C9906A6">
            <w:pPr>
              <w:pStyle w:val="11"/>
              <w:spacing w:before="66" w:line="220" w:lineRule="auto"/>
              <w:ind w:left="132"/>
            </w:pPr>
            <w:r>
              <w:rPr>
                <w:spacing w:val="-1"/>
              </w:rPr>
              <w:sym w:font="Wingdings 2" w:char="0052"/>
            </w:r>
            <w:r>
              <w:rPr>
                <w:spacing w:val="-1"/>
              </w:rPr>
              <w:t>招标人依据评标委员会推荐的中标候选人确</w:t>
            </w:r>
            <w:r>
              <w:rPr>
                <w:spacing w:val="-2"/>
              </w:rPr>
              <w:t>定中标人</w:t>
            </w:r>
          </w:p>
          <w:p w14:paraId="5A293F2D">
            <w:pPr>
              <w:pStyle w:val="11"/>
              <w:spacing w:before="72" w:line="251" w:lineRule="auto"/>
              <w:ind w:left="121" w:right="116" w:firstLine="11"/>
            </w:pPr>
            <w:r>
              <w:rPr>
                <w:spacing w:val="6"/>
              </w:rPr>
              <w:sym w:font="Wingdings 2" w:char="00A3"/>
            </w:r>
            <w:r>
              <w:rPr>
                <w:spacing w:val="6"/>
              </w:rPr>
              <w:t>招标人从评标委员会推荐的中标候选人范围内自主研</w:t>
            </w:r>
            <w:r>
              <w:rPr>
                <w:spacing w:val="7"/>
              </w:rPr>
              <w:t xml:space="preserve"> </w:t>
            </w:r>
            <w:r>
              <w:rPr>
                <w:spacing w:val="-3"/>
              </w:rPr>
              <w:t>究确定中标人</w:t>
            </w:r>
          </w:p>
          <w:p w14:paraId="52760B57">
            <w:pPr>
              <w:pStyle w:val="11"/>
              <w:spacing w:before="66" w:line="252" w:lineRule="auto"/>
              <w:ind w:left="112" w:right="205" w:hanging="1"/>
              <w:rPr>
                <w:highlight w:val="none"/>
              </w:rPr>
            </w:pPr>
            <w:r>
              <w:rPr>
                <w:spacing w:val="-1"/>
                <w:highlight w:val="none"/>
              </w:rPr>
              <w:t>通过初步评审投标人的数量少于或等于</w:t>
            </w:r>
            <w:r>
              <w:rPr>
                <w:spacing w:val="-46"/>
                <w:highlight w:val="none"/>
              </w:rPr>
              <w:t xml:space="preserve"> </w:t>
            </w:r>
            <w:r>
              <w:rPr>
                <w:rFonts w:ascii="Times New Roman" w:hAnsi="Times New Roman" w:eastAsia="Times New Roman" w:cs="Times New Roman"/>
                <w:spacing w:val="-1"/>
                <w:highlight w:val="none"/>
              </w:rPr>
              <w:t xml:space="preserve">20 </w:t>
            </w:r>
            <w:r>
              <w:rPr>
                <w:spacing w:val="-1"/>
                <w:highlight w:val="none"/>
              </w:rPr>
              <w:t>家时，推荐</w:t>
            </w:r>
            <w:r>
              <w:rPr>
                <w:spacing w:val="102"/>
                <w:highlight w:val="none"/>
                <w:u w:val="single" w:color="auto"/>
              </w:rPr>
              <w:t xml:space="preserve"> </w:t>
            </w:r>
            <w:r>
              <w:rPr>
                <w:highlight w:val="none"/>
              </w:rPr>
              <w:t xml:space="preserve"> </w:t>
            </w:r>
            <w:r>
              <w:rPr>
                <w:spacing w:val="-1"/>
                <w:highlight w:val="none"/>
              </w:rPr>
              <w:t>家中标候选人；通过初步评审投标人的数量大于</w:t>
            </w:r>
            <w:r>
              <w:rPr>
                <w:spacing w:val="-39"/>
                <w:highlight w:val="none"/>
              </w:rPr>
              <w:t xml:space="preserve"> </w:t>
            </w:r>
            <w:r>
              <w:rPr>
                <w:rFonts w:ascii="Times New Roman" w:hAnsi="Times New Roman" w:eastAsia="Times New Roman" w:cs="Times New Roman"/>
                <w:spacing w:val="-1"/>
                <w:highlight w:val="none"/>
              </w:rPr>
              <w:t xml:space="preserve">20 </w:t>
            </w:r>
            <w:r>
              <w:rPr>
                <w:spacing w:val="-1"/>
                <w:highlight w:val="none"/>
              </w:rPr>
              <w:t>家</w:t>
            </w:r>
          </w:p>
          <w:p w14:paraId="14F99240">
            <w:pPr>
              <w:pStyle w:val="11"/>
              <w:spacing w:before="70" w:line="220" w:lineRule="auto"/>
              <w:ind w:left="121"/>
              <w:rPr>
                <w:highlight w:val="none"/>
              </w:rPr>
            </w:pPr>
            <w:r>
              <w:rPr>
                <w:spacing w:val="-4"/>
                <w:highlight w:val="none"/>
              </w:rPr>
              <w:t>时，推荐</w:t>
            </w:r>
            <w:r>
              <w:rPr>
                <w:spacing w:val="-102"/>
                <w:highlight w:val="none"/>
              </w:rPr>
              <w:t xml:space="preserve"> </w:t>
            </w:r>
            <w:r>
              <w:rPr>
                <w:spacing w:val="51"/>
                <w:highlight w:val="none"/>
                <w:u w:val="single" w:color="auto"/>
              </w:rPr>
              <w:t xml:space="preserve">  </w:t>
            </w:r>
            <w:r>
              <w:rPr>
                <w:spacing w:val="-95"/>
                <w:highlight w:val="none"/>
              </w:rPr>
              <w:t xml:space="preserve"> </w:t>
            </w:r>
            <w:r>
              <w:rPr>
                <w:spacing w:val="-4"/>
                <w:highlight w:val="none"/>
              </w:rPr>
              <w:t>家中标候选人。</w:t>
            </w:r>
          </w:p>
          <w:p w14:paraId="6E9C3EFA">
            <w:pPr>
              <w:pStyle w:val="11"/>
              <w:spacing w:before="67" w:line="246" w:lineRule="auto"/>
              <w:ind w:left="114" w:right="112" w:firstLine="419"/>
            </w:pPr>
            <w:r>
              <w:rPr>
                <w:spacing w:val="8"/>
                <w:highlight w:val="none"/>
              </w:rPr>
              <w:t>招标人组建定标委员会按照定标办法要求进行</w:t>
            </w:r>
            <w:r>
              <w:rPr>
                <w:spacing w:val="7"/>
                <w:highlight w:val="none"/>
              </w:rPr>
              <w:t>，关</w:t>
            </w:r>
            <w:r>
              <w:rPr>
                <w:highlight w:val="none"/>
              </w:rPr>
              <w:t xml:space="preserve"> </w:t>
            </w:r>
            <w:r>
              <w:rPr>
                <w:spacing w:val="-1"/>
                <w:highlight w:val="none"/>
              </w:rPr>
              <w:t>于定标办法和规则的详细说明见第三章“定标办法”</w:t>
            </w:r>
            <w:r>
              <w:rPr>
                <w:spacing w:val="-1"/>
              </w:rPr>
              <w:t>。</w:t>
            </w:r>
          </w:p>
        </w:tc>
      </w:tr>
      <w:tr w14:paraId="55C491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01" w:hRule="atLeast"/>
        </w:trPr>
        <w:tc>
          <w:tcPr>
            <w:tcW w:w="854" w:type="dxa"/>
            <w:vAlign w:val="top"/>
          </w:tcPr>
          <w:p w14:paraId="57DA5FD4">
            <w:pPr>
              <w:spacing w:line="294" w:lineRule="auto"/>
              <w:rPr>
                <w:rFonts w:ascii="Arial"/>
                <w:sz w:val="21"/>
              </w:rPr>
            </w:pPr>
          </w:p>
          <w:p w14:paraId="38301201">
            <w:pPr>
              <w:spacing w:line="295" w:lineRule="auto"/>
              <w:rPr>
                <w:rFonts w:ascii="Arial"/>
                <w:sz w:val="21"/>
              </w:rPr>
            </w:pPr>
          </w:p>
          <w:p w14:paraId="17B35F29">
            <w:pPr>
              <w:spacing w:before="60" w:line="189" w:lineRule="auto"/>
              <w:ind w:left="219"/>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7.3.1</w:t>
            </w:r>
          </w:p>
        </w:tc>
        <w:tc>
          <w:tcPr>
            <w:tcW w:w="2121" w:type="dxa"/>
            <w:vAlign w:val="top"/>
          </w:tcPr>
          <w:p w14:paraId="20DA1591">
            <w:pPr>
              <w:spacing w:line="272" w:lineRule="auto"/>
              <w:rPr>
                <w:rFonts w:ascii="Arial"/>
                <w:sz w:val="21"/>
                <w:highlight w:val="yellow"/>
              </w:rPr>
            </w:pPr>
          </w:p>
          <w:p w14:paraId="5FE6BD89">
            <w:pPr>
              <w:spacing w:line="273" w:lineRule="auto"/>
              <w:rPr>
                <w:rFonts w:ascii="Arial"/>
                <w:sz w:val="21"/>
                <w:highlight w:val="yellow"/>
              </w:rPr>
            </w:pPr>
          </w:p>
          <w:p w14:paraId="22ADD3B1">
            <w:pPr>
              <w:pStyle w:val="11"/>
              <w:spacing w:before="68" w:line="221" w:lineRule="auto"/>
              <w:ind w:left="545"/>
              <w:rPr>
                <w:highlight w:val="yellow"/>
              </w:rPr>
            </w:pPr>
            <w:r>
              <w:rPr>
                <w:spacing w:val="-2"/>
                <w:highlight w:val="yellow"/>
              </w:rPr>
              <w:t>履约保证金</w:t>
            </w:r>
          </w:p>
        </w:tc>
        <w:tc>
          <w:tcPr>
            <w:tcW w:w="5447" w:type="dxa"/>
            <w:vAlign w:val="top"/>
          </w:tcPr>
          <w:p w14:paraId="5F076AA4">
            <w:pPr>
              <w:pStyle w:val="11"/>
              <w:spacing w:before="137" w:line="221" w:lineRule="auto"/>
              <w:ind w:left="132"/>
              <w:rPr>
                <w:highlight w:val="yellow"/>
              </w:rPr>
            </w:pPr>
            <w:r>
              <w:rPr>
                <w:spacing w:val="-5"/>
                <w:highlight w:val="yellow"/>
              </w:rPr>
              <w:sym w:font="Wingdings 2" w:char="0052"/>
            </w:r>
            <w:r>
              <w:rPr>
                <w:spacing w:val="-5"/>
                <w:highlight w:val="yellow"/>
              </w:rPr>
              <w:t>不提交</w:t>
            </w:r>
          </w:p>
          <w:p w14:paraId="36804036">
            <w:pPr>
              <w:pStyle w:val="11"/>
              <w:spacing w:before="65" w:line="221" w:lineRule="auto"/>
              <w:ind w:left="132"/>
              <w:rPr>
                <w:highlight w:val="yellow"/>
              </w:rPr>
            </w:pPr>
            <w:r>
              <w:rPr>
                <w:spacing w:val="-5"/>
                <w:highlight w:val="yellow"/>
              </w:rPr>
              <w:t>□提交，履约保证金的形式：</w:t>
            </w:r>
          </w:p>
          <w:p w14:paraId="63FFEBFC">
            <w:pPr>
              <w:pStyle w:val="11"/>
              <w:spacing w:before="69" w:line="258" w:lineRule="auto"/>
              <w:ind w:left="114" w:right="109" w:firstLine="858"/>
              <w:rPr>
                <w:rFonts w:ascii="Times New Roman" w:hAnsi="Times New Roman" w:eastAsia="Times New Roman" w:cs="Times New Roman"/>
                <w:highlight w:val="yellow"/>
              </w:rPr>
            </w:pPr>
            <w:r>
              <w:rPr>
                <w:spacing w:val="-10"/>
                <w:highlight w:val="yellow"/>
              </w:rPr>
              <w:t>□现金</w:t>
            </w:r>
            <w:r>
              <w:rPr>
                <w:spacing w:val="12"/>
                <w:highlight w:val="yellow"/>
              </w:rPr>
              <w:t xml:space="preserve">   </w:t>
            </w:r>
            <w:r>
              <w:rPr>
                <w:spacing w:val="-10"/>
                <w:highlight w:val="yellow"/>
              </w:rPr>
              <w:t>□保函（保险）</w:t>
            </w:r>
            <w:r>
              <w:rPr>
                <w:spacing w:val="37"/>
                <w:highlight w:val="yellow"/>
              </w:rPr>
              <w:t xml:space="preserve"> </w:t>
            </w:r>
            <w:r>
              <w:rPr>
                <w:spacing w:val="-10"/>
                <w:highlight w:val="yellow"/>
              </w:rPr>
              <w:t>□其他形式</w:t>
            </w:r>
            <w:r>
              <w:rPr>
                <w:spacing w:val="-52"/>
                <w:highlight w:val="yellow"/>
              </w:rPr>
              <w:t xml:space="preserve"> </w:t>
            </w:r>
            <w:r>
              <w:rPr>
                <w:spacing w:val="10"/>
                <w:highlight w:val="yellow"/>
                <w:u w:val="single" w:color="auto"/>
              </w:rPr>
              <w:t xml:space="preserve">       </w:t>
            </w:r>
            <w:r>
              <w:rPr>
                <w:spacing w:val="6"/>
                <w:highlight w:val="yellow"/>
              </w:rPr>
              <w:t xml:space="preserve"> </w:t>
            </w:r>
            <w:r>
              <w:rPr>
                <w:spacing w:val="-8"/>
                <w:highlight w:val="yellow"/>
              </w:rPr>
              <w:t>履约保证金的金额： 合同总价的</w:t>
            </w:r>
            <w:r>
              <w:rPr>
                <w:spacing w:val="-92"/>
                <w:highlight w:val="yellow"/>
              </w:rPr>
              <w:t xml:space="preserve"> </w:t>
            </w:r>
            <w:r>
              <w:rPr>
                <w:highlight w:val="yellow"/>
                <w:u w:val="single" w:color="auto"/>
              </w:rPr>
              <w:t xml:space="preserve">     </w:t>
            </w:r>
            <w:r>
              <w:rPr>
                <w:spacing w:val="-46"/>
                <w:highlight w:val="yellow"/>
              </w:rPr>
              <w:t xml:space="preserve"> </w:t>
            </w:r>
            <w:r>
              <w:rPr>
                <w:rFonts w:ascii="Times New Roman" w:hAnsi="Times New Roman" w:eastAsia="Times New Roman" w:cs="Times New Roman"/>
                <w:spacing w:val="-8"/>
                <w:highlight w:val="yellow"/>
              </w:rPr>
              <w:t>%</w:t>
            </w:r>
          </w:p>
        </w:tc>
      </w:tr>
      <w:tr w14:paraId="6A41FC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41" w:hRule="atLeast"/>
        </w:trPr>
        <w:tc>
          <w:tcPr>
            <w:tcW w:w="854" w:type="dxa"/>
            <w:vAlign w:val="top"/>
          </w:tcPr>
          <w:p w14:paraId="6D086D3D">
            <w:pPr>
              <w:spacing w:line="251" w:lineRule="auto"/>
              <w:rPr>
                <w:rFonts w:ascii="Arial"/>
                <w:sz w:val="21"/>
              </w:rPr>
            </w:pPr>
          </w:p>
          <w:p w14:paraId="4D2879B0">
            <w:pPr>
              <w:spacing w:line="251" w:lineRule="auto"/>
              <w:rPr>
                <w:rFonts w:ascii="Arial"/>
                <w:sz w:val="21"/>
              </w:rPr>
            </w:pPr>
          </w:p>
          <w:p w14:paraId="6E0AE017">
            <w:pPr>
              <w:spacing w:line="251" w:lineRule="auto"/>
              <w:rPr>
                <w:rFonts w:ascii="Arial"/>
                <w:sz w:val="21"/>
              </w:rPr>
            </w:pPr>
          </w:p>
          <w:p w14:paraId="7BFD91F9">
            <w:pPr>
              <w:spacing w:line="252" w:lineRule="auto"/>
              <w:rPr>
                <w:rFonts w:ascii="Arial"/>
                <w:sz w:val="21"/>
              </w:rPr>
            </w:pPr>
          </w:p>
          <w:p w14:paraId="4FEE1603">
            <w:pPr>
              <w:spacing w:before="60" w:line="189" w:lineRule="auto"/>
              <w:ind w:left="296"/>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9.5</w:t>
            </w:r>
          </w:p>
        </w:tc>
        <w:tc>
          <w:tcPr>
            <w:tcW w:w="2121" w:type="dxa"/>
            <w:vAlign w:val="top"/>
          </w:tcPr>
          <w:p w14:paraId="0684CB41">
            <w:pPr>
              <w:rPr>
                <w:rFonts w:ascii="Arial"/>
                <w:sz w:val="21"/>
              </w:rPr>
            </w:pPr>
          </w:p>
          <w:p w14:paraId="578C32B7">
            <w:pPr>
              <w:rPr>
                <w:rFonts w:ascii="Arial"/>
                <w:sz w:val="21"/>
              </w:rPr>
            </w:pPr>
          </w:p>
          <w:p w14:paraId="2E9B623C">
            <w:pPr>
              <w:rPr>
                <w:rFonts w:ascii="Arial"/>
                <w:sz w:val="21"/>
              </w:rPr>
            </w:pPr>
          </w:p>
          <w:p w14:paraId="41775275">
            <w:pPr>
              <w:rPr>
                <w:rFonts w:ascii="Arial"/>
                <w:sz w:val="21"/>
              </w:rPr>
            </w:pPr>
          </w:p>
          <w:p w14:paraId="08E8FE0D">
            <w:pPr>
              <w:pStyle w:val="11"/>
              <w:spacing w:before="68" w:line="221" w:lineRule="auto"/>
              <w:ind w:left="439"/>
            </w:pPr>
            <w:r>
              <w:rPr>
                <w:spacing w:val="-1"/>
              </w:rPr>
              <w:t>行政监督部门</w:t>
            </w:r>
          </w:p>
        </w:tc>
        <w:tc>
          <w:tcPr>
            <w:tcW w:w="5447" w:type="dxa"/>
            <w:vAlign w:val="top"/>
          </w:tcPr>
          <w:p w14:paraId="4C036CD2">
            <w:pPr>
              <w:pStyle w:val="11"/>
              <w:spacing w:before="74" w:line="223" w:lineRule="auto"/>
              <w:ind w:left="113"/>
              <w:rPr>
                <w:rFonts w:ascii="宋体" w:hAnsi="宋体" w:eastAsia="宋体" w:cs="宋体"/>
                <w:spacing w:val="3"/>
              </w:rPr>
            </w:pPr>
            <w:r>
              <w:rPr>
                <w:rFonts w:ascii="宋体" w:hAnsi="宋体" w:eastAsia="宋体" w:cs="宋体"/>
                <w:spacing w:val="3"/>
              </w:rPr>
              <w:t xml:space="preserve">名    称： 营口市城乡建设与公用事业中心 </w:t>
            </w:r>
          </w:p>
          <w:p w14:paraId="5A079324">
            <w:pPr>
              <w:pStyle w:val="11"/>
              <w:spacing w:before="74" w:line="223" w:lineRule="auto"/>
              <w:ind w:left="113"/>
              <w:rPr>
                <w:rFonts w:ascii="宋体" w:hAnsi="宋体" w:eastAsia="宋体" w:cs="宋体"/>
                <w:spacing w:val="3"/>
              </w:rPr>
            </w:pPr>
            <w:r>
              <w:rPr>
                <w:rFonts w:ascii="宋体" w:hAnsi="宋体" w:eastAsia="宋体" w:cs="宋体"/>
                <w:spacing w:val="3"/>
              </w:rPr>
              <w:t xml:space="preserve">地    址： 辽宁省营口市          </w:t>
            </w:r>
          </w:p>
          <w:p w14:paraId="33155A44">
            <w:pPr>
              <w:pStyle w:val="11"/>
              <w:spacing w:before="74" w:line="223" w:lineRule="auto"/>
              <w:ind w:left="113"/>
              <w:rPr>
                <w:rFonts w:ascii="宋体" w:hAnsi="宋体" w:eastAsia="宋体" w:cs="宋体"/>
                <w:spacing w:val="3"/>
              </w:rPr>
            </w:pPr>
            <w:r>
              <w:rPr>
                <w:rFonts w:ascii="宋体" w:hAnsi="宋体" w:eastAsia="宋体" w:cs="宋体"/>
                <w:spacing w:val="3"/>
              </w:rPr>
              <w:t xml:space="preserve">电    话： 0417-2657306          </w:t>
            </w:r>
          </w:p>
          <w:p w14:paraId="07853F25">
            <w:pPr>
              <w:pStyle w:val="11"/>
              <w:spacing w:before="74" w:line="223" w:lineRule="auto"/>
              <w:ind w:left="113"/>
              <w:rPr>
                <w:rFonts w:ascii="宋体" w:hAnsi="宋体" w:eastAsia="宋体" w:cs="宋体"/>
                <w:spacing w:val="3"/>
              </w:rPr>
            </w:pPr>
            <w:r>
              <w:rPr>
                <w:rFonts w:ascii="宋体" w:hAnsi="宋体" w:eastAsia="宋体" w:cs="宋体"/>
                <w:spacing w:val="3"/>
              </w:rPr>
              <w:t xml:space="preserve">传    真：           </w:t>
            </w:r>
          </w:p>
          <w:p w14:paraId="3A5F1C68">
            <w:pPr>
              <w:pStyle w:val="11"/>
              <w:spacing w:before="74" w:line="223" w:lineRule="auto"/>
              <w:ind w:left="113"/>
              <w:rPr>
                <w:rFonts w:ascii="宋体" w:hAnsi="宋体" w:eastAsia="宋体" w:cs="宋体"/>
                <w:spacing w:val="3"/>
              </w:rPr>
            </w:pPr>
            <w:r>
              <w:rPr>
                <w:rFonts w:ascii="宋体" w:hAnsi="宋体" w:eastAsia="宋体" w:cs="宋体"/>
                <w:spacing w:val="3"/>
              </w:rPr>
              <w:t xml:space="preserve">邮政编码：           </w:t>
            </w:r>
          </w:p>
          <w:p w14:paraId="603FFC61">
            <w:pPr>
              <w:pStyle w:val="11"/>
              <w:spacing w:before="71" w:line="243" w:lineRule="auto"/>
              <w:ind w:left="114" w:right="116" w:hanging="1"/>
            </w:pPr>
            <w:r>
              <w:rPr>
                <w:spacing w:val="7"/>
              </w:rPr>
              <w:t>异议投诉渠道：辽宁省工程建设项目招标投标异议投诉</w:t>
            </w:r>
            <w:r>
              <w:rPr>
                <w:spacing w:val="2"/>
              </w:rPr>
              <w:t xml:space="preserve"> </w:t>
            </w:r>
            <w:r>
              <w:rPr>
                <w:spacing w:val="-2"/>
              </w:rPr>
              <w:t>处理系统</w:t>
            </w:r>
          </w:p>
        </w:tc>
      </w:tr>
      <w:tr w14:paraId="12A3AF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854" w:type="dxa"/>
            <w:vAlign w:val="top"/>
          </w:tcPr>
          <w:p w14:paraId="0D9BD7C4">
            <w:pPr>
              <w:spacing w:before="270" w:line="189" w:lineRule="auto"/>
              <w:ind w:left="341"/>
              <w:rPr>
                <w:rFonts w:ascii="Times New Roman" w:hAnsi="Times New Roman" w:eastAsia="Times New Roman" w:cs="Times New Roman"/>
                <w:sz w:val="21"/>
                <w:szCs w:val="21"/>
              </w:rPr>
            </w:pPr>
            <w:r>
              <w:rPr>
                <w:rFonts w:ascii="Times New Roman" w:hAnsi="Times New Roman" w:eastAsia="Times New Roman" w:cs="Times New Roman"/>
                <w:spacing w:val="-12"/>
                <w:sz w:val="21"/>
                <w:szCs w:val="21"/>
              </w:rPr>
              <w:t>10</w:t>
            </w:r>
          </w:p>
        </w:tc>
        <w:tc>
          <w:tcPr>
            <w:tcW w:w="7568" w:type="dxa"/>
            <w:gridSpan w:val="2"/>
            <w:vAlign w:val="top"/>
          </w:tcPr>
          <w:p w14:paraId="4F726C0E">
            <w:pPr>
              <w:pStyle w:val="11"/>
              <w:spacing w:before="233" w:line="221" w:lineRule="auto"/>
              <w:ind w:left="126"/>
            </w:pPr>
            <w:r>
              <w:rPr>
                <w:spacing w:val="-1"/>
                <w14:textOutline w14:w="3831" w14:cap="flat" w14:cmpd="sng">
                  <w14:solidFill>
                    <w14:srgbClr w14:val="000000"/>
                  </w14:solidFill>
                  <w14:prstDash w14:val="solid"/>
                  <w14:miter w14:val="0"/>
                </w14:textOutline>
              </w:rPr>
              <w:t>需要补充的其他内容</w:t>
            </w:r>
          </w:p>
        </w:tc>
      </w:tr>
      <w:tr w14:paraId="4FBEA8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854" w:type="dxa"/>
            <w:vAlign w:val="top"/>
          </w:tcPr>
          <w:p w14:paraId="3A25FD53">
            <w:pPr>
              <w:spacing w:before="117" w:line="189" w:lineRule="auto"/>
              <w:ind w:left="260"/>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10.1</w:t>
            </w:r>
          </w:p>
        </w:tc>
        <w:tc>
          <w:tcPr>
            <w:tcW w:w="7568" w:type="dxa"/>
            <w:gridSpan w:val="2"/>
            <w:vAlign w:val="top"/>
          </w:tcPr>
          <w:p w14:paraId="39BE8AD6">
            <w:pPr>
              <w:pStyle w:val="11"/>
              <w:spacing w:before="81" w:line="206" w:lineRule="auto"/>
              <w:ind w:left="116"/>
            </w:pPr>
            <w:r>
              <w:rPr>
                <w:spacing w:val="-1"/>
                <w14:textOutline w14:w="3831" w14:cap="flat" w14:cmpd="sng">
                  <w14:solidFill>
                    <w14:srgbClr w14:val="000000"/>
                  </w14:solidFill>
                  <w14:prstDash w14:val="solid"/>
                  <w14:miter w14:val="0"/>
                </w14:textOutline>
              </w:rPr>
              <w:t>词语定义</w:t>
            </w:r>
          </w:p>
        </w:tc>
      </w:tr>
      <w:tr w14:paraId="1F47EA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84" w:hRule="atLeast"/>
        </w:trPr>
        <w:tc>
          <w:tcPr>
            <w:tcW w:w="854" w:type="dxa"/>
            <w:vAlign w:val="top"/>
          </w:tcPr>
          <w:p w14:paraId="1C80663E">
            <w:pPr>
              <w:spacing w:line="265" w:lineRule="auto"/>
              <w:rPr>
                <w:rFonts w:ascii="Arial"/>
                <w:sz w:val="21"/>
              </w:rPr>
            </w:pPr>
          </w:p>
          <w:p w14:paraId="3277F0FD">
            <w:pPr>
              <w:spacing w:line="265" w:lineRule="auto"/>
              <w:rPr>
                <w:rFonts w:ascii="Arial"/>
                <w:sz w:val="21"/>
              </w:rPr>
            </w:pPr>
          </w:p>
          <w:p w14:paraId="5214942C">
            <w:pPr>
              <w:spacing w:line="265" w:lineRule="auto"/>
              <w:rPr>
                <w:rFonts w:ascii="Arial"/>
                <w:sz w:val="21"/>
              </w:rPr>
            </w:pPr>
          </w:p>
          <w:p w14:paraId="1FDFAB5C">
            <w:pPr>
              <w:spacing w:line="265" w:lineRule="auto"/>
              <w:rPr>
                <w:rFonts w:ascii="Arial"/>
                <w:sz w:val="21"/>
              </w:rPr>
            </w:pPr>
          </w:p>
          <w:p w14:paraId="11E580FC">
            <w:pPr>
              <w:spacing w:line="266" w:lineRule="auto"/>
              <w:rPr>
                <w:rFonts w:ascii="Arial"/>
                <w:sz w:val="21"/>
              </w:rPr>
            </w:pPr>
          </w:p>
          <w:p w14:paraId="12F98A88">
            <w:pPr>
              <w:spacing w:before="61" w:line="189" w:lineRule="auto"/>
              <w:ind w:left="183"/>
              <w:rPr>
                <w:rFonts w:ascii="Times New Roman" w:hAnsi="Times New Roman" w:eastAsia="Times New Roman" w:cs="Times New Roman"/>
                <w:sz w:val="21"/>
                <w:szCs w:val="21"/>
              </w:rPr>
            </w:pPr>
            <w:r>
              <w:rPr>
                <w:rFonts w:ascii="Times New Roman" w:hAnsi="Times New Roman" w:eastAsia="Times New Roman" w:cs="Times New Roman"/>
                <w:spacing w:val="-4"/>
                <w:sz w:val="21"/>
                <w:szCs w:val="21"/>
              </w:rPr>
              <w:t>10.1.1</w:t>
            </w:r>
          </w:p>
        </w:tc>
        <w:tc>
          <w:tcPr>
            <w:tcW w:w="2121" w:type="dxa"/>
            <w:vAlign w:val="top"/>
          </w:tcPr>
          <w:p w14:paraId="28F04368">
            <w:pPr>
              <w:spacing w:line="256" w:lineRule="auto"/>
              <w:rPr>
                <w:rFonts w:ascii="Arial"/>
                <w:sz w:val="21"/>
              </w:rPr>
            </w:pPr>
          </w:p>
          <w:p w14:paraId="1CFA3A62">
            <w:pPr>
              <w:spacing w:line="256" w:lineRule="auto"/>
              <w:rPr>
                <w:rFonts w:ascii="Arial"/>
                <w:sz w:val="21"/>
              </w:rPr>
            </w:pPr>
          </w:p>
          <w:p w14:paraId="7B06AC25">
            <w:pPr>
              <w:spacing w:line="256" w:lineRule="auto"/>
              <w:rPr>
                <w:rFonts w:ascii="Arial"/>
                <w:sz w:val="21"/>
              </w:rPr>
            </w:pPr>
          </w:p>
          <w:p w14:paraId="2707B581">
            <w:pPr>
              <w:spacing w:line="257" w:lineRule="auto"/>
              <w:rPr>
                <w:rFonts w:ascii="Arial"/>
                <w:sz w:val="21"/>
              </w:rPr>
            </w:pPr>
          </w:p>
          <w:p w14:paraId="7053A4E4">
            <w:pPr>
              <w:spacing w:line="257" w:lineRule="auto"/>
              <w:rPr>
                <w:rFonts w:ascii="Arial"/>
                <w:sz w:val="21"/>
              </w:rPr>
            </w:pPr>
          </w:p>
          <w:p w14:paraId="4DFFADCD">
            <w:pPr>
              <w:pStyle w:val="11"/>
              <w:spacing w:before="68" w:line="221" w:lineRule="auto"/>
              <w:ind w:left="647"/>
            </w:pPr>
            <w:r>
              <w:rPr>
                <w:spacing w:val="-1"/>
              </w:rPr>
              <w:t>类似项目</w:t>
            </w:r>
          </w:p>
        </w:tc>
        <w:tc>
          <w:tcPr>
            <w:tcW w:w="5447" w:type="dxa"/>
            <w:vAlign w:val="top"/>
          </w:tcPr>
          <w:p w14:paraId="4B71017F">
            <w:pPr>
              <w:pStyle w:val="11"/>
              <w:spacing w:before="75" w:line="252" w:lineRule="auto"/>
              <w:ind w:left="114" w:right="110" w:firstLine="2"/>
              <w:rPr>
                <w:highlight w:val="yellow"/>
              </w:rPr>
            </w:pPr>
            <w:r>
              <w:rPr>
                <w:spacing w:val="-2"/>
              </w:rPr>
              <w:t>（</w:t>
            </w:r>
            <w:r>
              <w:rPr>
                <w:rFonts w:ascii="Times New Roman" w:hAnsi="Times New Roman" w:eastAsia="Times New Roman" w:cs="Times New Roman"/>
                <w:spacing w:val="-2"/>
                <w:highlight w:val="yellow"/>
              </w:rPr>
              <w:t>1</w:t>
            </w:r>
            <w:r>
              <w:rPr>
                <w:spacing w:val="-2"/>
                <w:highlight w:val="yellow"/>
              </w:rPr>
              <w:t>）类似项目指合同金额大于</w:t>
            </w:r>
            <w:r>
              <w:rPr>
                <w:spacing w:val="-91"/>
                <w:highlight w:val="yellow"/>
              </w:rPr>
              <w:t xml:space="preserve"> </w:t>
            </w:r>
            <w:r>
              <w:rPr>
                <w:rFonts w:hint="eastAsia"/>
                <w:spacing w:val="11"/>
                <w:highlight w:val="yellow"/>
                <w:u w:val="single" w:color="auto"/>
                <w:lang w:val="en-US" w:eastAsia="zh-CN"/>
              </w:rPr>
              <w:t>0</w:t>
            </w:r>
            <w:r>
              <w:rPr>
                <w:spacing w:val="11"/>
                <w:highlight w:val="yellow"/>
                <w:u w:val="single" w:color="auto"/>
              </w:rPr>
              <w:t xml:space="preserve"> </w:t>
            </w:r>
            <w:r>
              <w:rPr>
                <w:spacing w:val="-90"/>
                <w:highlight w:val="yellow"/>
              </w:rPr>
              <w:t xml:space="preserve"> </w:t>
            </w:r>
            <w:r>
              <w:rPr>
                <w:spacing w:val="-2"/>
                <w:highlight w:val="yellow"/>
              </w:rPr>
              <w:t>万元</w:t>
            </w:r>
            <w:r>
              <w:rPr>
                <w:color w:val="0000FF"/>
                <w:spacing w:val="-105"/>
                <w:highlight w:val="yellow"/>
              </w:rPr>
              <w:t xml:space="preserve"> </w:t>
            </w:r>
            <w:r>
              <w:rPr>
                <w:rFonts w:hint="eastAsia"/>
                <w:color w:val="0000FF"/>
                <w:spacing w:val="2"/>
                <w:highlight w:val="yellow"/>
                <w:u w:val="single" w:color="auto"/>
                <w:lang w:val="en-US" w:eastAsia="zh-CN"/>
              </w:rPr>
              <w:t>铁路</w:t>
            </w:r>
            <w:r>
              <w:rPr>
                <w:spacing w:val="2"/>
                <w:highlight w:val="yellow"/>
                <w:u w:val="single" w:color="auto"/>
              </w:rPr>
              <w:t xml:space="preserve"> </w:t>
            </w:r>
            <w:r>
              <w:rPr>
                <w:spacing w:val="-91"/>
                <w:highlight w:val="yellow"/>
              </w:rPr>
              <w:t xml:space="preserve"> </w:t>
            </w:r>
            <w:r>
              <w:rPr>
                <w:spacing w:val="-2"/>
                <w:highlight w:val="yellow"/>
              </w:rPr>
              <w:t>工程，且</w:t>
            </w:r>
            <w:r>
              <w:rPr>
                <w:highlight w:val="yellow"/>
              </w:rPr>
              <w:t xml:space="preserve"> </w:t>
            </w:r>
            <w:r>
              <w:rPr>
                <w:spacing w:val="-3"/>
                <w:highlight w:val="yellow"/>
              </w:rPr>
              <w:t>项目已完成工程竣工验收。</w:t>
            </w:r>
          </w:p>
          <w:p w14:paraId="299D9D7B">
            <w:pPr>
              <w:pStyle w:val="11"/>
              <w:spacing w:before="70" w:line="221" w:lineRule="auto"/>
              <w:ind w:left="117"/>
              <w:rPr>
                <w:highlight w:val="yellow"/>
              </w:rPr>
            </w:pPr>
            <w:r>
              <w:rPr>
                <w:spacing w:val="-5"/>
                <w:highlight w:val="yellow"/>
              </w:rPr>
              <w:t>（</w:t>
            </w:r>
            <w:r>
              <w:rPr>
                <w:rFonts w:ascii="Times New Roman" w:hAnsi="Times New Roman" w:eastAsia="Times New Roman" w:cs="Times New Roman"/>
                <w:spacing w:val="-5"/>
                <w:highlight w:val="yellow"/>
              </w:rPr>
              <w:t>2</w:t>
            </w:r>
            <w:r>
              <w:rPr>
                <w:spacing w:val="-5"/>
                <w:highlight w:val="yellow"/>
              </w:rPr>
              <w:t>）类似项目时间：</w:t>
            </w:r>
          </w:p>
          <w:p w14:paraId="303BD249">
            <w:pPr>
              <w:pStyle w:val="11"/>
              <w:spacing w:before="24" w:line="210" w:lineRule="auto"/>
              <w:ind w:left="764"/>
              <w:rPr>
                <w:highlight w:val="yellow"/>
              </w:rPr>
            </w:pPr>
            <w:r>
              <w:rPr>
                <w:rFonts w:ascii="Times New Roman" w:hAnsi="Times New Roman" w:eastAsia="Times New Roman" w:cs="Times New Roman"/>
                <w:spacing w:val="-2"/>
                <w:sz w:val="32"/>
                <w:szCs w:val="32"/>
                <w:highlight w:val="yellow"/>
              </w:rPr>
              <w:t>□</w:t>
            </w:r>
            <w:r>
              <w:rPr>
                <w:spacing w:val="-2"/>
                <w:highlight w:val="yellow"/>
              </w:rPr>
              <w:t>合同签订时间为准</w:t>
            </w:r>
          </w:p>
          <w:p w14:paraId="3FDF4E83">
            <w:pPr>
              <w:pStyle w:val="11"/>
              <w:spacing w:before="1" w:line="221" w:lineRule="auto"/>
              <w:ind w:left="764"/>
              <w:rPr>
                <w:highlight w:val="yellow"/>
              </w:rPr>
            </w:pPr>
            <w:r>
              <w:rPr>
                <w:rFonts w:ascii="Times New Roman" w:hAnsi="Times New Roman" w:eastAsia="Times New Roman" w:cs="Times New Roman"/>
                <w:spacing w:val="-2"/>
                <w:sz w:val="32"/>
                <w:szCs w:val="32"/>
                <w:highlight w:val="yellow"/>
              </w:rPr>
              <w:sym w:font="Wingdings 2" w:char="0052"/>
            </w:r>
            <w:r>
              <w:rPr>
                <w:spacing w:val="-2"/>
                <w:highlight w:val="yellow"/>
              </w:rPr>
              <w:t>竣工验收时间为准</w:t>
            </w:r>
          </w:p>
          <w:p w14:paraId="302B2BDF">
            <w:pPr>
              <w:pStyle w:val="11"/>
              <w:spacing w:before="22" w:line="242" w:lineRule="auto"/>
              <w:ind w:left="117"/>
              <w:rPr>
                <w:highlight w:val="yellow"/>
              </w:rPr>
            </w:pPr>
            <w:r>
              <w:rPr>
                <w:spacing w:val="-3"/>
                <w:highlight w:val="yellow"/>
              </w:rPr>
              <w:t>（</w:t>
            </w:r>
            <w:r>
              <w:rPr>
                <w:rFonts w:ascii="Times New Roman" w:hAnsi="Times New Roman" w:eastAsia="Times New Roman" w:cs="Times New Roman"/>
                <w:spacing w:val="-3"/>
                <w:highlight w:val="yellow"/>
              </w:rPr>
              <w:t>3</w:t>
            </w:r>
            <w:r>
              <w:rPr>
                <w:spacing w:val="-3"/>
                <w:highlight w:val="yellow"/>
              </w:rPr>
              <w:t>）类似项目类型</w:t>
            </w:r>
          </w:p>
          <w:p w14:paraId="3D3F5C03">
            <w:pPr>
              <w:pStyle w:val="11"/>
              <w:spacing w:line="210" w:lineRule="auto"/>
              <w:ind w:left="764"/>
              <w:rPr>
                <w:highlight w:val="yellow"/>
              </w:rPr>
            </w:pPr>
            <w:r>
              <w:rPr>
                <w:rFonts w:ascii="Times New Roman" w:hAnsi="Times New Roman" w:eastAsia="Times New Roman" w:cs="Times New Roman"/>
                <w:spacing w:val="-22"/>
                <w:sz w:val="32"/>
                <w:szCs w:val="32"/>
                <w:highlight w:val="yellow"/>
              </w:rPr>
              <w:sym w:font="Wingdings 2" w:char="0052"/>
            </w:r>
            <w:r>
              <w:rPr>
                <w:rFonts w:ascii="Times New Roman" w:hAnsi="Times New Roman" w:eastAsia="Times New Roman" w:cs="Times New Roman"/>
                <w:spacing w:val="-1"/>
                <w:highlight w:val="yellow"/>
              </w:rPr>
              <w:t xml:space="preserve">A </w:t>
            </w:r>
            <w:r>
              <w:rPr>
                <w:spacing w:val="-1"/>
                <w:highlight w:val="yellow"/>
              </w:rPr>
              <w:t>类</w:t>
            </w:r>
          </w:p>
          <w:p w14:paraId="08DA7AC5">
            <w:pPr>
              <w:pStyle w:val="11"/>
              <w:spacing w:before="2" w:line="221" w:lineRule="auto"/>
              <w:ind w:left="764"/>
              <w:rPr>
                <w:highlight w:val="yellow"/>
              </w:rPr>
            </w:pPr>
            <w:r>
              <w:rPr>
                <w:rFonts w:ascii="Times New Roman" w:hAnsi="Times New Roman" w:eastAsia="Times New Roman" w:cs="Times New Roman"/>
                <w:spacing w:val="-4"/>
                <w:sz w:val="32"/>
                <w:szCs w:val="32"/>
                <w:highlight w:val="yellow"/>
              </w:rPr>
              <w:t>□</w:t>
            </w:r>
            <w:r>
              <w:rPr>
                <w:rFonts w:ascii="Times New Roman" w:hAnsi="Times New Roman" w:eastAsia="Times New Roman" w:cs="Times New Roman"/>
                <w:spacing w:val="-4"/>
                <w:highlight w:val="yellow"/>
              </w:rPr>
              <w:t xml:space="preserve">A+B </w:t>
            </w:r>
            <w:r>
              <w:rPr>
                <w:spacing w:val="-4"/>
                <w:highlight w:val="yellow"/>
              </w:rPr>
              <w:t>类</w:t>
            </w:r>
          </w:p>
          <w:p w14:paraId="58D9DF2D">
            <w:pPr>
              <w:pStyle w:val="11"/>
              <w:spacing w:before="23" w:line="205" w:lineRule="auto"/>
              <w:ind w:left="117"/>
            </w:pPr>
            <w:r>
              <w:rPr>
                <w:spacing w:val="-21"/>
                <w:highlight w:val="yellow"/>
              </w:rPr>
              <w:t>（</w:t>
            </w:r>
            <w:r>
              <w:rPr>
                <w:rFonts w:ascii="Times New Roman" w:hAnsi="Times New Roman" w:eastAsia="Times New Roman" w:cs="Times New Roman"/>
                <w:spacing w:val="-21"/>
                <w:highlight w:val="yellow"/>
              </w:rPr>
              <w:t>4</w:t>
            </w:r>
            <w:r>
              <w:rPr>
                <w:spacing w:val="-21"/>
                <w:highlight w:val="yellow"/>
              </w:rPr>
              <w:t>）其他：</w:t>
            </w:r>
            <w:r>
              <w:rPr>
                <w:spacing w:val="12"/>
                <w:highlight w:val="yellow"/>
              </w:rPr>
              <w:t xml:space="preserve"> </w:t>
            </w:r>
            <w:r>
              <w:rPr>
                <w:highlight w:val="yellow"/>
                <w:u w:val="single" w:color="auto"/>
              </w:rPr>
              <w:t xml:space="preserve"> </w:t>
            </w:r>
            <w:r>
              <w:rPr>
                <w:rFonts w:hint="eastAsia"/>
                <w:highlight w:val="yellow"/>
                <w:u w:val="single" w:color="auto"/>
                <w:lang w:val="en-US" w:eastAsia="zh-CN"/>
              </w:rPr>
              <w:t>/</w:t>
            </w:r>
            <w:r>
              <w:rPr>
                <w:highlight w:val="yellow"/>
                <w:u w:val="single" w:color="auto"/>
              </w:rPr>
              <w:t xml:space="preserve">                  </w:t>
            </w:r>
          </w:p>
        </w:tc>
      </w:tr>
      <w:tr w14:paraId="10BFED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91" w:hRule="atLeast"/>
        </w:trPr>
        <w:tc>
          <w:tcPr>
            <w:tcW w:w="854" w:type="dxa"/>
            <w:vAlign w:val="top"/>
          </w:tcPr>
          <w:p w14:paraId="447BB22B">
            <w:pPr>
              <w:spacing w:line="265" w:lineRule="auto"/>
              <w:rPr>
                <w:rFonts w:ascii="Arial"/>
                <w:sz w:val="21"/>
              </w:rPr>
            </w:pPr>
          </w:p>
          <w:p w14:paraId="57BF6B43">
            <w:pPr>
              <w:spacing w:line="266" w:lineRule="auto"/>
              <w:rPr>
                <w:rFonts w:ascii="Arial"/>
                <w:sz w:val="21"/>
              </w:rPr>
            </w:pPr>
          </w:p>
          <w:p w14:paraId="02D7A025">
            <w:pPr>
              <w:spacing w:before="60" w:line="189" w:lineRule="auto"/>
              <w:ind w:left="183"/>
              <w:rPr>
                <w:rFonts w:ascii="Times New Roman" w:hAnsi="Times New Roman" w:eastAsia="Times New Roman" w:cs="Times New Roman"/>
                <w:sz w:val="21"/>
                <w:szCs w:val="21"/>
              </w:rPr>
            </w:pPr>
            <w:r>
              <w:rPr>
                <w:rFonts w:ascii="Times New Roman" w:hAnsi="Times New Roman" w:eastAsia="Times New Roman" w:cs="Times New Roman"/>
                <w:spacing w:val="-4"/>
                <w:sz w:val="21"/>
                <w:szCs w:val="21"/>
              </w:rPr>
              <w:t>10.1.2</w:t>
            </w:r>
          </w:p>
        </w:tc>
        <w:tc>
          <w:tcPr>
            <w:tcW w:w="2121" w:type="dxa"/>
            <w:vAlign w:val="top"/>
          </w:tcPr>
          <w:p w14:paraId="1AFAEA04">
            <w:pPr>
              <w:spacing w:line="243" w:lineRule="auto"/>
              <w:rPr>
                <w:rFonts w:ascii="Arial"/>
                <w:sz w:val="21"/>
              </w:rPr>
            </w:pPr>
          </w:p>
          <w:p w14:paraId="7D201DE4">
            <w:pPr>
              <w:spacing w:line="243" w:lineRule="auto"/>
              <w:rPr>
                <w:rFonts w:ascii="Arial"/>
                <w:sz w:val="21"/>
              </w:rPr>
            </w:pPr>
          </w:p>
          <w:p w14:paraId="4B037467">
            <w:pPr>
              <w:pStyle w:val="11"/>
              <w:spacing w:before="69" w:line="220" w:lineRule="auto"/>
              <w:ind w:left="859"/>
            </w:pPr>
            <w:r>
              <w:rPr>
                <w:spacing w:val="-2"/>
              </w:rPr>
              <w:t>盖章</w:t>
            </w:r>
          </w:p>
        </w:tc>
        <w:tc>
          <w:tcPr>
            <w:tcW w:w="5447" w:type="dxa"/>
            <w:vAlign w:val="top"/>
          </w:tcPr>
          <w:p w14:paraId="117C9E0C">
            <w:pPr>
              <w:pStyle w:val="11"/>
              <w:spacing w:before="79" w:line="264" w:lineRule="auto"/>
              <w:ind w:left="111" w:right="116"/>
              <w:jc w:val="both"/>
            </w:pPr>
            <w:r>
              <w:rPr>
                <w:spacing w:val="7"/>
              </w:rPr>
              <w:t>盖单位章及签章（个人）均为电子签名法所指的电子签</w:t>
            </w:r>
            <w:r>
              <w:rPr>
                <w:spacing w:val="4"/>
              </w:rPr>
              <w:t xml:space="preserve"> </w:t>
            </w:r>
            <w:r>
              <w:rPr>
                <w:spacing w:val="7"/>
              </w:rPr>
              <w:t>名，即表示数据电文中以电子形式所含、所附用于识别</w:t>
            </w:r>
            <w:r>
              <w:rPr>
                <w:spacing w:val="4"/>
              </w:rPr>
              <w:t xml:space="preserve"> </w:t>
            </w:r>
            <w:r>
              <w:rPr>
                <w:spacing w:val="7"/>
              </w:rPr>
              <w:t>签名单位和签名人身份并表明签名单位和签名人认可其</w:t>
            </w:r>
            <w:r>
              <w:rPr>
                <w:spacing w:val="4"/>
              </w:rPr>
              <w:t xml:space="preserve"> </w:t>
            </w:r>
            <w:r>
              <w:rPr>
                <w:spacing w:val="-3"/>
              </w:rPr>
              <w:t>中内容的数据。</w:t>
            </w:r>
          </w:p>
        </w:tc>
      </w:tr>
    </w:tbl>
    <w:p w14:paraId="1C4EA026">
      <w:pPr>
        <w:spacing w:line="95" w:lineRule="auto"/>
        <w:rPr>
          <w:rFonts w:ascii="Arial"/>
          <w:sz w:val="2"/>
        </w:rPr>
      </w:pPr>
    </w:p>
    <w:tbl>
      <w:tblPr>
        <w:tblStyle w:val="10"/>
        <w:tblW w:w="842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54"/>
        <w:gridCol w:w="2121"/>
        <w:gridCol w:w="5447"/>
      </w:tblGrid>
      <w:tr w14:paraId="2C8E75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854" w:type="dxa"/>
            <w:vAlign w:val="top"/>
          </w:tcPr>
          <w:p w14:paraId="4D1D6669">
            <w:pPr>
              <w:spacing w:before="186" w:line="189" w:lineRule="auto"/>
              <w:ind w:left="183"/>
              <w:rPr>
                <w:rFonts w:ascii="Times New Roman" w:hAnsi="Times New Roman" w:eastAsia="Times New Roman" w:cs="Times New Roman"/>
                <w:sz w:val="21"/>
                <w:szCs w:val="21"/>
              </w:rPr>
            </w:pPr>
            <w:bookmarkStart w:id="53" w:name="bookmark71"/>
            <w:bookmarkEnd w:id="53"/>
            <w:bookmarkStart w:id="54" w:name="bookmark73"/>
            <w:bookmarkEnd w:id="54"/>
            <w:bookmarkStart w:id="55" w:name="bookmark70"/>
            <w:bookmarkEnd w:id="55"/>
            <w:bookmarkStart w:id="56" w:name="bookmark72"/>
            <w:bookmarkEnd w:id="56"/>
            <w:bookmarkStart w:id="57" w:name="bookmark69"/>
            <w:bookmarkEnd w:id="57"/>
            <w:r>
              <w:rPr>
                <w:rFonts w:ascii="Times New Roman" w:hAnsi="Times New Roman" w:eastAsia="Times New Roman" w:cs="Times New Roman"/>
                <w:spacing w:val="-4"/>
                <w:sz w:val="21"/>
                <w:szCs w:val="21"/>
              </w:rPr>
              <w:t>10.1.3</w:t>
            </w:r>
          </w:p>
        </w:tc>
        <w:tc>
          <w:tcPr>
            <w:tcW w:w="2121" w:type="dxa"/>
            <w:vAlign w:val="top"/>
          </w:tcPr>
          <w:p w14:paraId="16BCD85C">
            <w:pPr>
              <w:pStyle w:val="11"/>
              <w:spacing w:before="149" w:line="221" w:lineRule="auto"/>
              <w:ind w:left="439"/>
            </w:pPr>
            <w:r>
              <w:rPr>
                <w:spacing w:val="-1"/>
              </w:rPr>
              <w:t>获奖表彰时间</w:t>
            </w:r>
          </w:p>
        </w:tc>
        <w:tc>
          <w:tcPr>
            <w:tcW w:w="5447" w:type="dxa"/>
            <w:vAlign w:val="top"/>
          </w:tcPr>
          <w:p w14:paraId="222636C2">
            <w:pPr>
              <w:pStyle w:val="11"/>
              <w:spacing w:before="149" w:line="220" w:lineRule="auto"/>
              <w:ind w:left="135"/>
            </w:pPr>
            <w:r>
              <w:rPr>
                <w:spacing w:val="-2"/>
              </w:rPr>
              <w:t>以表彰文件、获奖证书的颁发时间为准。</w:t>
            </w:r>
          </w:p>
        </w:tc>
      </w:tr>
      <w:tr w14:paraId="281AF3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62" w:hRule="atLeast"/>
        </w:trPr>
        <w:tc>
          <w:tcPr>
            <w:tcW w:w="854" w:type="dxa"/>
            <w:vAlign w:val="top"/>
          </w:tcPr>
          <w:p w14:paraId="2E7005A2">
            <w:pPr>
              <w:spacing w:line="291" w:lineRule="auto"/>
              <w:rPr>
                <w:rFonts w:ascii="Arial"/>
                <w:sz w:val="21"/>
              </w:rPr>
            </w:pPr>
          </w:p>
          <w:p w14:paraId="2E375DA2">
            <w:pPr>
              <w:spacing w:line="291" w:lineRule="auto"/>
              <w:rPr>
                <w:rFonts w:ascii="Arial"/>
                <w:sz w:val="21"/>
              </w:rPr>
            </w:pPr>
          </w:p>
          <w:p w14:paraId="7FDB3926">
            <w:pPr>
              <w:spacing w:line="291" w:lineRule="auto"/>
              <w:rPr>
                <w:rFonts w:ascii="Arial"/>
                <w:sz w:val="21"/>
              </w:rPr>
            </w:pPr>
          </w:p>
          <w:p w14:paraId="4AFAD332">
            <w:pPr>
              <w:spacing w:line="292" w:lineRule="auto"/>
              <w:rPr>
                <w:rFonts w:ascii="Arial"/>
                <w:sz w:val="21"/>
              </w:rPr>
            </w:pPr>
          </w:p>
          <w:p w14:paraId="6BE88121">
            <w:pPr>
              <w:spacing w:before="61" w:line="189" w:lineRule="auto"/>
              <w:ind w:left="183"/>
              <w:rPr>
                <w:rFonts w:ascii="Times New Roman" w:hAnsi="Times New Roman" w:eastAsia="Times New Roman" w:cs="Times New Roman"/>
                <w:sz w:val="21"/>
                <w:szCs w:val="21"/>
              </w:rPr>
            </w:pPr>
            <w:r>
              <w:rPr>
                <w:rFonts w:ascii="Times New Roman" w:hAnsi="Times New Roman" w:eastAsia="Times New Roman" w:cs="Times New Roman"/>
                <w:spacing w:val="-4"/>
                <w:sz w:val="21"/>
                <w:szCs w:val="21"/>
              </w:rPr>
              <w:t>10.1.4</w:t>
            </w:r>
          </w:p>
        </w:tc>
        <w:tc>
          <w:tcPr>
            <w:tcW w:w="2121" w:type="dxa"/>
            <w:vAlign w:val="top"/>
          </w:tcPr>
          <w:p w14:paraId="3A9EBDF2">
            <w:pPr>
              <w:spacing w:line="280" w:lineRule="auto"/>
              <w:rPr>
                <w:rFonts w:ascii="Arial"/>
                <w:sz w:val="21"/>
              </w:rPr>
            </w:pPr>
          </w:p>
          <w:p w14:paraId="2C77C7EF">
            <w:pPr>
              <w:spacing w:line="280" w:lineRule="auto"/>
              <w:rPr>
                <w:rFonts w:ascii="Arial"/>
                <w:sz w:val="21"/>
              </w:rPr>
            </w:pPr>
          </w:p>
          <w:p w14:paraId="5F8647DA">
            <w:pPr>
              <w:spacing w:line="280" w:lineRule="auto"/>
              <w:rPr>
                <w:rFonts w:ascii="Arial"/>
                <w:sz w:val="21"/>
              </w:rPr>
            </w:pPr>
          </w:p>
          <w:p w14:paraId="61311FD6">
            <w:pPr>
              <w:spacing w:line="281" w:lineRule="auto"/>
              <w:rPr>
                <w:rFonts w:ascii="Arial"/>
                <w:sz w:val="21"/>
              </w:rPr>
            </w:pPr>
          </w:p>
          <w:p w14:paraId="26715125">
            <w:pPr>
              <w:pStyle w:val="11"/>
              <w:spacing w:before="69" w:line="221" w:lineRule="auto"/>
              <w:ind w:left="651"/>
            </w:pPr>
            <w:r>
              <w:rPr>
                <w:spacing w:val="-2"/>
              </w:rPr>
              <w:t>不良行为</w:t>
            </w:r>
          </w:p>
        </w:tc>
        <w:tc>
          <w:tcPr>
            <w:tcW w:w="5447" w:type="dxa"/>
            <w:vAlign w:val="top"/>
          </w:tcPr>
          <w:p w14:paraId="7038C923">
            <w:pPr>
              <w:pStyle w:val="11"/>
              <w:spacing w:before="72" w:line="253" w:lineRule="auto"/>
              <w:ind w:left="113" w:right="139" w:firstLine="3"/>
            </w:pPr>
            <w:r>
              <w:rPr>
                <w:spacing w:val="-1"/>
              </w:rPr>
              <w:t>（</w:t>
            </w:r>
            <w:r>
              <w:rPr>
                <w:rFonts w:ascii="Times New Roman" w:hAnsi="Times New Roman" w:eastAsia="Times New Roman" w:cs="Times New Roman"/>
                <w:spacing w:val="-1"/>
              </w:rPr>
              <w:t>1</w:t>
            </w:r>
            <w:r>
              <w:rPr>
                <w:spacing w:val="-1"/>
              </w:rPr>
              <w:t>）指投标人须知第</w:t>
            </w:r>
            <w:r>
              <w:rPr>
                <w:spacing w:val="-26"/>
              </w:rPr>
              <w:t xml:space="preserve"> </w:t>
            </w:r>
            <w:r>
              <w:rPr>
                <w:rFonts w:ascii="Times New Roman" w:hAnsi="Times New Roman" w:eastAsia="Times New Roman" w:cs="Times New Roman"/>
                <w:spacing w:val="-1"/>
              </w:rPr>
              <w:t>1.4.3</w:t>
            </w:r>
            <w:r>
              <w:rPr>
                <w:spacing w:val="-1"/>
              </w:rPr>
              <w:t>（</w:t>
            </w:r>
            <w:r>
              <w:rPr>
                <w:rFonts w:ascii="Times New Roman" w:hAnsi="Times New Roman" w:eastAsia="Times New Roman" w:cs="Times New Roman"/>
                <w:spacing w:val="-1"/>
              </w:rPr>
              <w:t>10</w:t>
            </w:r>
            <w:r>
              <w:rPr>
                <w:spacing w:val="-1"/>
              </w:rPr>
              <w:t>）至</w:t>
            </w:r>
            <w:r>
              <w:rPr>
                <w:spacing w:val="-2"/>
              </w:rPr>
              <w:t>（</w:t>
            </w:r>
            <w:r>
              <w:rPr>
                <w:rFonts w:ascii="Times New Roman" w:hAnsi="Times New Roman" w:eastAsia="Times New Roman" w:cs="Times New Roman"/>
                <w:spacing w:val="-2"/>
              </w:rPr>
              <w:t>17</w:t>
            </w:r>
            <w:r>
              <w:rPr>
                <w:spacing w:val="-2"/>
              </w:rPr>
              <w:t>）条目规定的情</w:t>
            </w:r>
            <w:r>
              <w:t xml:space="preserve"> </w:t>
            </w:r>
            <w:r>
              <w:rPr>
                <w:spacing w:val="-10"/>
              </w:rPr>
              <w:t>形。</w:t>
            </w:r>
          </w:p>
          <w:p w14:paraId="4C418A16">
            <w:pPr>
              <w:pStyle w:val="11"/>
              <w:spacing w:before="68" w:line="266" w:lineRule="auto"/>
              <w:ind w:left="111" w:right="139" w:firstLine="6"/>
            </w:pPr>
            <w:r>
              <w:rPr>
                <w:spacing w:val="-2"/>
              </w:rPr>
              <w:t>（</w:t>
            </w:r>
            <w:r>
              <w:rPr>
                <w:rFonts w:ascii="Times New Roman" w:hAnsi="Times New Roman" w:eastAsia="Times New Roman" w:cs="Times New Roman"/>
                <w:spacing w:val="-2"/>
              </w:rPr>
              <w:t>2</w:t>
            </w:r>
            <w:r>
              <w:rPr>
                <w:spacing w:val="-2"/>
              </w:rPr>
              <w:t>）投标人须知第</w:t>
            </w:r>
            <w:r>
              <w:rPr>
                <w:spacing w:val="-9"/>
              </w:rPr>
              <w:t xml:space="preserve"> </w:t>
            </w:r>
            <w:r>
              <w:rPr>
                <w:rFonts w:ascii="Times New Roman" w:hAnsi="Times New Roman" w:eastAsia="Times New Roman" w:cs="Times New Roman"/>
                <w:spacing w:val="-2"/>
              </w:rPr>
              <w:t>1.4.3</w:t>
            </w:r>
            <w:r>
              <w:rPr>
                <w:spacing w:val="-2"/>
              </w:rPr>
              <w:t>（</w:t>
            </w:r>
            <w:r>
              <w:rPr>
                <w:rFonts w:ascii="Times New Roman" w:hAnsi="Times New Roman" w:eastAsia="Times New Roman" w:cs="Times New Roman"/>
                <w:spacing w:val="-2"/>
              </w:rPr>
              <w:t>13</w:t>
            </w:r>
            <w:r>
              <w:rPr>
                <w:spacing w:val="-2"/>
              </w:rPr>
              <w:t>）条目规定的在最近三年内</w:t>
            </w:r>
            <w:r>
              <w:t xml:space="preserve"> </w:t>
            </w:r>
            <w:r>
              <w:rPr>
                <w:spacing w:val="-2"/>
              </w:rPr>
              <w:t xml:space="preserve">有骗取中标或严重违约或重大工程质量问题的时间以相  关行业主管部门行政处罚决定时间或司法机关出具的法  </w:t>
            </w:r>
            <w:r>
              <w:rPr>
                <w:spacing w:val="-3"/>
              </w:rPr>
              <w:t>律文书时间为准。</w:t>
            </w:r>
          </w:p>
          <w:p w14:paraId="5E8CFFA5">
            <w:pPr>
              <w:pStyle w:val="11"/>
              <w:spacing w:before="67" w:line="245" w:lineRule="auto"/>
              <w:ind w:left="120" w:right="299" w:hanging="9"/>
            </w:pPr>
            <w:r>
              <w:rPr>
                <w:spacing w:val="-5"/>
              </w:rPr>
              <w:t>特别说明： 同一标段项目出现两个（含）以上不同处罚</w:t>
            </w:r>
            <w:r>
              <w:rPr>
                <w:spacing w:val="10"/>
              </w:rPr>
              <w:t xml:space="preserve"> </w:t>
            </w:r>
            <w:r>
              <w:rPr>
                <w:spacing w:val="-2"/>
              </w:rPr>
              <w:t>时间（或法律文书时间）均应满足时间要求。</w:t>
            </w:r>
          </w:p>
        </w:tc>
      </w:tr>
      <w:tr w14:paraId="4E507C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7" w:hRule="atLeast"/>
        </w:trPr>
        <w:tc>
          <w:tcPr>
            <w:tcW w:w="854" w:type="dxa"/>
            <w:vAlign w:val="top"/>
          </w:tcPr>
          <w:p w14:paraId="14B2DCEE">
            <w:pPr>
              <w:spacing w:before="274" w:line="189" w:lineRule="auto"/>
              <w:ind w:left="183"/>
              <w:rPr>
                <w:rFonts w:ascii="Times New Roman" w:hAnsi="Times New Roman" w:eastAsia="Times New Roman" w:cs="Times New Roman"/>
                <w:sz w:val="21"/>
                <w:szCs w:val="21"/>
              </w:rPr>
            </w:pPr>
            <w:r>
              <w:rPr>
                <w:rFonts w:ascii="Times New Roman" w:hAnsi="Times New Roman" w:eastAsia="Times New Roman" w:cs="Times New Roman"/>
                <w:spacing w:val="-4"/>
                <w:sz w:val="21"/>
                <w:szCs w:val="21"/>
              </w:rPr>
              <w:t>10.1.5</w:t>
            </w:r>
          </w:p>
        </w:tc>
        <w:tc>
          <w:tcPr>
            <w:tcW w:w="2121" w:type="dxa"/>
            <w:vAlign w:val="top"/>
          </w:tcPr>
          <w:p w14:paraId="6EA6FC53">
            <w:pPr>
              <w:pStyle w:val="11"/>
              <w:spacing w:before="238" w:line="221" w:lineRule="auto"/>
              <w:ind w:left="860"/>
            </w:pPr>
            <w:r>
              <w:rPr>
                <w:spacing w:val="-2"/>
              </w:rPr>
              <w:t>现金</w:t>
            </w:r>
          </w:p>
        </w:tc>
        <w:tc>
          <w:tcPr>
            <w:tcW w:w="5447" w:type="dxa"/>
            <w:vAlign w:val="top"/>
          </w:tcPr>
          <w:p w14:paraId="174FF16C">
            <w:pPr>
              <w:pStyle w:val="11"/>
              <w:spacing w:before="79" w:line="245" w:lineRule="auto"/>
              <w:ind w:left="113" w:right="298"/>
            </w:pPr>
            <w:r>
              <w:rPr>
                <w:spacing w:val="-1"/>
              </w:rPr>
              <w:t>投标保证金、履约保证金现金缴纳方式指通过电汇、支</w:t>
            </w:r>
            <w:r>
              <w:rPr>
                <w:spacing w:val="12"/>
              </w:rPr>
              <w:t xml:space="preserve"> </w:t>
            </w:r>
            <w:r>
              <w:rPr>
                <w:spacing w:val="-2"/>
              </w:rPr>
              <w:t>票等广义现金方式缴纳而非现金钞票。</w:t>
            </w:r>
          </w:p>
        </w:tc>
      </w:tr>
      <w:tr w14:paraId="761B00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50" w:hRule="atLeast"/>
        </w:trPr>
        <w:tc>
          <w:tcPr>
            <w:tcW w:w="854" w:type="dxa"/>
            <w:vAlign w:val="top"/>
          </w:tcPr>
          <w:p w14:paraId="6F36F9D6">
            <w:pPr>
              <w:spacing w:line="414" w:lineRule="auto"/>
              <w:rPr>
                <w:rFonts w:ascii="Arial"/>
                <w:sz w:val="21"/>
              </w:rPr>
            </w:pPr>
          </w:p>
          <w:p w14:paraId="70EA2AB8">
            <w:pPr>
              <w:spacing w:before="60" w:line="189" w:lineRule="auto"/>
              <w:ind w:left="260"/>
              <w:rPr>
                <w:rFonts w:ascii="Times New Roman" w:hAnsi="Times New Roman" w:eastAsia="Times New Roman" w:cs="Times New Roman"/>
                <w:sz w:val="21"/>
                <w:szCs w:val="21"/>
              </w:rPr>
            </w:pPr>
            <w:r>
              <w:rPr>
                <w:rFonts w:ascii="Times New Roman" w:hAnsi="Times New Roman" w:eastAsia="Times New Roman" w:cs="Times New Roman"/>
                <w:spacing w:val="-6"/>
                <w:sz w:val="21"/>
                <w:szCs w:val="21"/>
              </w:rPr>
              <w:t>10.2</w:t>
            </w:r>
          </w:p>
        </w:tc>
        <w:tc>
          <w:tcPr>
            <w:tcW w:w="2121" w:type="dxa"/>
            <w:vAlign w:val="top"/>
          </w:tcPr>
          <w:p w14:paraId="3C0E842E">
            <w:pPr>
              <w:pStyle w:val="11"/>
              <w:spacing w:before="281" w:line="252" w:lineRule="auto"/>
              <w:ind w:left="437" w:right="320" w:hanging="87"/>
            </w:pPr>
            <w:r>
              <w:rPr>
                <w:spacing w:val="-4"/>
              </w:rPr>
              <w:t>中标后须提交的</w:t>
            </w:r>
            <w:r>
              <w:rPr>
                <w:spacing w:val="2"/>
              </w:rPr>
              <w:t xml:space="preserve"> </w:t>
            </w:r>
            <w:r>
              <w:rPr>
                <w:spacing w:val="-2"/>
              </w:rPr>
              <w:t>纸质投标文件</w:t>
            </w:r>
          </w:p>
        </w:tc>
        <w:tc>
          <w:tcPr>
            <w:tcW w:w="5447" w:type="dxa"/>
            <w:vAlign w:val="top"/>
          </w:tcPr>
          <w:p w14:paraId="6F18E026">
            <w:pPr>
              <w:pStyle w:val="11"/>
              <w:spacing w:before="281" w:line="252" w:lineRule="auto"/>
              <w:ind w:left="111" w:right="298"/>
            </w:pPr>
            <w:r>
              <w:rPr>
                <w:spacing w:val="-5"/>
              </w:rPr>
              <w:t xml:space="preserve">份数： </w:t>
            </w:r>
            <w:r>
              <w:rPr>
                <w:rFonts w:hint="eastAsia"/>
                <w:spacing w:val="-5"/>
                <w:u w:val="single" w:color="auto"/>
                <w:lang w:val="en-US" w:eastAsia="zh-CN"/>
              </w:rPr>
              <w:t>3</w:t>
            </w:r>
            <w:r>
              <w:rPr>
                <w:spacing w:val="-5"/>
                <w:u w:val="single" w:color="auto"/>
              </w:rPr>
              <w:t xml:space="preserve"> </w:t>
            </w:r>
            <w:r>
              <w:rPr>
                <w:spacing w:val="-80"/>
              </w:rPr>
              <w:t xml:space="preserve"> </w:t>
            </w:r>
            <w:r>
              <w:rPr>
                <w:spacing w:val="-5"/>
              </w:rPr>
              <w:t>份，中标人提交的纸质投标文件应当与投</w:t>
            </w:r>
            <w:r>
              <w:t xml:space="preserve"> </w:t>
            </w:r>
            <w:r>
              <w:rPr>
                <w:spacing w:val="-1"/>
              </w:rPr>
              <w:t>标时的电子投标文件内容一致。</w:t>
            </w:r>
          </w:p>
        </w:tc>
      </w:tr>
      <w:tr w14:paraId="363FF5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2" w:hRule="atLeast"/>
        </w:trPr>
        <w:tc>
          <w:tcPr>
            <w:tcW w:w="854" w:type="dxa"/>
            <w:vAlign w:val="top"/>
          </w:tcPr>
          <w:p w14:paraId="24F7D95A">
            <w:pPr>
              <w:spacing w:before="277" w:line="189" w:lineRule="auto"/>
              <w:ind w:left="260"/>
              <w:rPr>
                <w:rFonts w:ascii="Times New Roman" w:hAnsi="Times New Roman" w:eastAsia="Times New Roman" w:cs="Times New Roman"/>
                <w:sz w:val="21"/>
                <w:szCs w:val="21"/>
              </w:rPr>
            </w:pPr>
            <w:r>
              <w:rPr>
                <w:rFonts w:ascii="Times New Roman" w:hAnsi="Times New Roman" w:eastAsia="Times New Roman" w:cs="Times New Roman"/>
                <w:spacing w:val="-5"/>
                <w:sz w:val="21"/>
                <w:szCs w:val="21"/>
              </w:rPr>
              <w:t>10.6</w:t>
            </w:r>
          </w:p>
        </w:tc>
        <w:tc>
          <w:tcPr>
            <w:tcW w:w="2121" w:type="dxa"/>
            <w:vAlign w:val="top"/>
          </w:tcPr>
          <w:p w14:paraId="2B0E40BF">
            <w:pPr>
              <w:pStyle w:val="11"/>
              <w:spacing w:before="82" w:line="246" w:lineRule="auto"/>
              <w:ind w:left="883" w:right="214" w:hanging="658"/>
            </w:pPr>
            <w:r>
              <w:rPr>
                <w:spacing w:val="-1"/>
              </w:rPr>
              <w:t>招标人补充的其他</w:t>
            </w:r>
            <w:r>
              <w:rPr>
                <w:spacing w:val="2"/>
              </w:rPr>
              <w:t xml:space="preserve"> </w:t>
            </w:r>
            <w:r>
              <w:rPr>
                <w:spacing w:val="-8"/>
              </w:rPr>
              <w:t>内容</w:t>
            </w:r>
          </w:p>
        </w:tc>
        <w:tc>
          <w:tcPr>
            <w:tcW w:w="5447" w:type="dxa"/>
            <w:vAlign w:val="top"/>
          </w:tcPr>
          <w:p w14:paraId="7E4F740B">
            <w:pPr>
              <w:spacing w:line="400" w:lineRule="exact"/>
              <w:rPr>
                <w:rFonts w:ascii="仿宋_GB2312" w:eastAsia="仿宋_GB2312"/>
                <w:sz w:val="24"/>
                <w:szCs w:val="24"/>
                <w:highlight w:val="green"/>
              </w:rPr>
            </w:pPr>
            <w:bookmarkStart w:id="58" w:name="EBf460ad02438e49be941e01ee0eb064fb"/>
            <w:r>
              <w:rPr>
                <w:rFonts w:hint="eastAsia" w:ascii="仿宋_GB2312" w:eastAsia="仿宋_GB2312"/>
                <w:color w:val="0000FF"/>
                <w:sz w:val="24"/>
                <w:szCs w:val="24"/>
                <w:highlight w:val="white"/>
                <w:lang w:val="en-US" w:eastAsia="zh-CN"/>
              </w:rPr>
              <w:t>10.6.1</w:t>
            </w:r>
            <w:r>
              <w:rPr>
                <w:rFonts w:hint="eastAsia" w:ascii="仿宋_GB2312" w:eastAsia="仿宋_GB2312"/>
                <w:color w:val="0000FF"/>
                <w:sz w:val="24"/>
                <w:szCs w:val="24"/>
                <w:highlight w:val="white"/>
              </w:rPr>
              <w:t xml:space="preserve">在招投标过程中，发现下列情形之一的，招投标监管机构和评标委员会将认定为围标串标行为，投标按作废标处理，并按相关规定予以处罚：              </w:t>
            </w:r>
          </w:p>
          <w:p w14:paraId="15F03B38">
            <w:pPr>
              <w:spacing w:line="400" w:lineRule="exact"/>
              <w:rPr>
                <w:rFonts w:hint="eastAsia" w:ascii="仿宋_GB2312" w:eastAsia="仿宋_GB2312"/>
                <w:color w:val="0000FF"/>
                <w:sz w:val="24"/>
                <w:szCs w:val="24"/>
                <w:highlight w:val="white"/>
              </w:rPr>
            </w:pPr>
            <w:r>
              <w:rPr>
                <w:rFonts w:hint="eastAsia" w:ascii="仿宋_GB2312" w:eastAsia="仿宋_GB2312"/>
                <w:color w:val="0000FF"/>
                <w:sz w:val="24"/>
                <w:szCs w:val="24"/>
                <w:highlight w:val="white"/>
              </w:rPr>
              <w:t xml:space="preserve">1、投标人同属于一个母公司或者一个母公司和他所属的子公司同时参加投标；              </w:t>
            </w:r>
          </w:p>
          <w:p w14:paraId="74E6E6FA">
            <w:pPr>
              <w:spacing w:line="400" w:lineRule="exact"/>
              <w:rPr>
                <w:rFonts w:hint="eastAsia" w:ascii="仿宋_GB2312" w:eastAsia="仿宋_GB2312"/>
                <w:color w:val="0000FF"/>
                <w:sz w:val="24"/>
                <w:szCs w:val="24"/>
                <w:highlight w:val="white"/>
              </w:rPr>
            </w:pPr>
            <w:r>
              <w:rPr>
                <w:rFonts w:hint="eastAsia" w:ascii="仿宋_GB2312" w:eastAsia="仿宋_GB2312"/>
                <w:color w:val="0000FF"/>
                <w:sz w:val="24"/>
                <w:szCs w:val="24"/>
                <w:highlight w:val="white"/>
              </w:rPr>
              <w:t xml:space="preserve">2、投标人以两家及以上企业的名义参与投标报名的；              </w:t>
            </w:r>
          </w:p>
          <w:p w14:paraId="5B3903A2">
            <w:pPr>
              <w:spacing w:line="400" w:lineRule="exact"/>
              <w:rPr>
                <w:rFonts w:hint="eastAsia" w:ascii="仿宋_GB2312" w:eastAsia="仿宋_GB2312"/>
                <w:color w:val="0000FF"/>
                <w:sz w:val="24"/>
                <w:szCs w:val="24"/>
                <w:highlight w:val="white"/>
              </w:rPr>
            </w:pPr>
            <w:r>
              <w:rPr>
                <w:rFonts w:hint="eastAsia" w:ascii="仿宋_GB2312" w:eastAsia="仿宋_GB2312"/>
                <w:color w:val="0000FF"/>
                <w:sz w:val="24"/>
                <w:szCs w:val="24"/>
                <w:highlight w:val="white"/>
              </w:rPr>
              <w:t xml:space="preserve">3、投标人的投标文件相互混装的；              </w:t>
            </w:r>
          </w:p>
          <w:p w14:paraId="508F1500">
            <w:pPr>
              <w:spacing w:line="400" w:lineRule="exact"/>
              <w:rPr>
                <w:rFonts w:hint="eastAsia" w:ascii="仿宋_GB2312" w:eastAsia="仿宋_GB2312"/>
                <w:color w:val="0000FF"/>
                <w:sz w:val="24"/>
                <w:szCs w:val="24"/>
                <w:highlight w:val="white"/>
              </w:rPr>
            </w:pPr>
            <w:r>
              <w:rPr>
                <w:rFonts w:hint="eastAsia" w:ascii="仿宋_GB2312" w:eastAsia="仿宋_GB2312"/>
                <w:color w:val="0000FF"/>
                <w:sz w:val="24"/>
                <w:szCs w:val="24"/>
                <w:highlight w:val="white"/>
              </w:rPr>
              <w:t xml:space="preserve">4、投标人的投标文件错、漏之处一致的；              </w:t>
            </w:r>
          </w:p>
          <w:p w14:paraId="08FD3A6E">
            <w:pPr>
              <w:spacing w:line="400" w:lineRule="exact"/>
              <w:rPr>
                <w:rFonts w:hint="eastAsia" w:ascii="仿宋_GB2312" w:eastAsia="仿宋_GB2312"/>
                <w:color w:val="0000FF"/>
                <w:sz w:val="24"/>
                <w:szCs w:val="24"/>
                <w:highlight w:val="white"/>
              </w:rPr>
            </w:pPr>
            <w:r>
              <w:rPr>
                <w:rFonts w:hint="eastAsia" w:ascii="仿宋_GB2312" w:eastAsia="仿宋_GB2312"/>
                <w:color w:val="0000FF"/>
                <w:sz w:val="24"/>
                <w:szCs w:val="24"/>
                <w:highlight w:val="white"/>
              </w:rPr>
              <w:t xml:space="preserve">5、投标人的投标报价或报价组成异常一致或呈规律性变化的；              </w:t>
            </w:r>
          </w:p>
          <w:p w14:paraId="47F258BA">
            <w:pPr>
              <w:spacing w:line="400" w:lineRule="exact"/>
              <w:rPr>
                <w:rFonts w:hint="eastAsia" w:ascii="仿宋_GB2312" w:eastAsia="仿宋_GB2312"/>
                <w:color w:val="0000FF"/>
                <w:sz w:val="24"/>
                <w:szCs w:val="24"/>
                <w:highlight w:val="white"/>
              </w:rPr>
            </w:pPr>
            <w:r>
              <w:rPr>
                <w:rFonts w:hint="eastAsia" w:ascii="仿宋_GB2312" w:eastAsia="仿宋_GB2312"/>
                <w:color w:val="0000FF"/>
                <w:sz w:val="24"/>
                <w:szCs w:val="24"/>
                <w:highlight w:val="white"/>
              </w:rPr>
              <w:t xml:space="preserve">6、投标人的投标文件由同一单位或同一个人编制的；              </w:t>
            </w:r>
          </w:p>
          <w:p w14:paraId="72B4FD4D">
            <w:pPr>
              <w:spacing w:line="400" w:lineRule="exact"/>
              <w:rPr>
                <w:rFonts w:hint="eastAsia" w:ascii="仿宋_GB2312" w:eastAsia="仿宋_GB2312"/>
                <w:color w:val="0000FF"/>
                <w:sz w:val="24"/>
                <w:szCs w:val="24"/>
                <w:highlight w:val="white"/>
              </w:rPr>
            </w:pPr>
            <w:r>
              <w:rPr>
                <w:rFonts w:hint="eastAsia" w:ascii="仿宋_GB2312" w:eastAsia="仿宋_GB2312"/>
                <w:color w:val="0000FF"/>
                <w:sz w:val="24"/>
                <w:szCs w:val="24"/>
                <w:highlight w:val="white"/>
              </w:rPr>
              <w:t xml:space="preserve">7、投标人的投标文件授权代表人为同一人或同一单位人员的；              </w:t>
            </w:r>
          </w:p>
          <w:p w14:paraId="3E06991F">
            <w:pPr>
              <w:spacing w:line="400" w:lineRule="exact"/>
              <w:rPr>
                <w:rFonts w:hint="eastAsia" w:ascii="仿宋_GB2312" w:eastAsia="仿宋_GB2312"/>
                <w:color w:val="0000FF"/>
                <w:sz w:val="24"/>
                <w:szCs w:val="24"/>
                <w:highlight w:val="white"/>
              </w:rPr>
            </w:pPr>
            <w:r>
              <w:rPr>
                <w:rFonts w:hint="eastAsia" w:ascii="仿宋_GB2312" w:eastAsia="仿宋_GB2312"/>
                <w:color w:val="0000FF"/>
                <w:sz w:val="24"/>
                <w:szCs w:val="24"/>
                <w:highlight w:val="white"/>
              </w:rPr>
              <w:t xml:space="preserve">8、投标人的相关人员有在同一个单位缴纳社会保险的；              </w:t>
            </w:r>
          </w:p>
          <w:p w14:paraId="13334F71">
            <w:pPr>
              <w:spacing w:line="400" w:lineRule="exact"/>
              <w:rPr>
                <w:rFonts w:hint="eastAsia" w:ascii="仿宋_GB2312" w:eastAsia="仿宋_GB2312"/>
                <w:color w:val="0000FF"/>
                <w:sz w:val="24"/>
                <w:szCs w:val="24"/>
                <w:highlight w:val="white"/>
              </w:rPr>
            </w:pPr>
            <w:r>
              <w:rPr>
                <w:rFonts w:hint="eastAsia" w:ascii="仿宋_GB2312" w:eastAsia="仿宋_GB2312"/>
                <w:color w:val="0000FF"/>
                <w:sz w:val="24"/>
                <w:szCs w:val="24"/>
                <w:highlight w:val="white"/>
              </w:rPr>
              <w:t xml:space="preserve">9、投标人的投标保证金由同一企业或同一账户资金缴纳的；              </w:t>
            </w:r>
          </w:p>
          <w:p w14:paraId="7B6F60BC">
            <w:pPr>
              <w:pStyle w:val="11"/>
              <w:spacing w:before="240" w:line="332" w:lineRule="exact"/>
              <w:ind w:left="124"/>
            </w:pPr>
            <w:r>
              <w:rPr>
                <w:rFonts w:hint="eastAsia" w:ascii="仿宋_GB2312" w:eastAsia="仿宋_GB2312"/>
                <w:color w:val="0000FF"/>
                <w:sz w:val="24"/>
                <w:szCs w:val="24"/>
                <w:highlight w:val="white"/>
              </w:rPr>
              <w:t>10、证明投标人与招标人、招标代理机构或其他投标人串通的其他情形及其他不符合法律、法规规定情形的。</w:t>
            </w:r>
            <w:bookmarkEnd w:id="58"/>
          </w:p>
        </w:tc>
      </w:tr>
      <w:tr w14:paraId="570BCC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2" w:hRule="atLeast"/>
        </w:trPr>
        <w:tc>
          <w:tcPr>
            <w:tcW w:w="854" w:type="dxa"/>
            <w:vAlign w:val="top"/>
          </w:tcPr>
          <w:p w14:paraId="010AF2B4">
            <w:pPr>
              <w:spacing w:before="277" w:line="189" w:lineRule="auto"/>
              <w:ind w:left="260"/>
              <w:rPr>
                <w:rFonts w:ascii="Times New Roman" w:hAnsi="Times New Roman" w:eastAsia="Times New Roman" w:cs="Times New Roman"/>
                <w:spacing w:val="-5"/>
                <w:sz w:val="21"/>
                <w:szCs w:val="21"/>
              </w:rPr>
            </w:pPr>
          </w:p>
        </w:tc>
        <w:tc>
          <w:tcPr>
            <w:tcW w:w="2121" w:type="dxa"/>
            <w:vAlign w:val="top"/>
          </w:tcPr>
          <w:p w14:paraId="559785C3">
            <w:pPr>
              <w:pStyle w:val="11"/>
              <w:spacing w:before="82" w:line="246" w:lineRule="auto"/>
              <w:ind w:left="883" w:right="214" w:hanging="658"/>
              <w:rPr>
                <w:spacing w:val="-1"/>
              </w:rPr>
            </w:pPr>
          </w:p>
        </w:tc>
        <w:tc>
          <w:tcPr>
            <w:tcW w:w="5447" w:type="dxa"/>
            <w:vAlign w:val="top"/>
          </w:tcPr>
          <w:p w14:paraId="7E7D8B0E">
            <w:pPr>
              <w:rPr>
                <w:rFonts w:ascii="仿宋_GB2312" w:eastAsia="仿宋_GB2312"/>
                <w:sz w:val="24"/>
                <w:szCs w:val="24"/>
              </w:rPr>
            </w:pPr>
            <w:r>
              <w:rPr>
                <w:rFonts w:ascii="仿宋_GB2312" w:eastAsia="仿宋_GB2312"/>
                <w:sz w:val="24"/>
                <w:szCs w:val="24"/>
                <w:highlight w:val="white"/>
              </w:rPr>
              <w:t>10.</w:t>
            </w:r>
            <w:r>
              <w:rPr>
                <w:rFonts w:hint="eastAsia" w:ascii="仿宋_GB2312" w:eastAsia="仿宋_GB2312"/>
                <w:sz w:val="24"/>
                <w:szCs w:val="24"/>
                <w:highlight w:val="white"/>
                <w:lang w:val="en-US" w:eastAsia="zh-CN"/>
              </w:rPr>
              <w:t>6.2</w:t>
            </w:r>
            <w:r>
              <w:rPr>
                <w:rFonts w:ascii="仿宋_GB2312" w:eastAsia="仿宋_GB2312"/>
                <w:sz w:val="24"/>
                <w:szCs w:val="24"/>
                <w:highlight w:val="white"/>
              </w:rPr>
              <w:t xml:space="preserve"> 招标人认为需要补充的其他内容</w:t>
            </w:r>
          </w:p>
          <w:p w14:paraId="5DBC22EA">
            <w:pPr>
              <w:rPr>
                <w:rFonts w:hint="eastAsia" w:ascii="仿宋_GB2312" w:eastAsia="仿宋_GB2312"/>
                <w:sz w:val="24"/>
                <w:szCs w:val="24"/>
                <w:highlight w:val="green"/>
              </w:rPr>
            </w:pPr>
            <w:bookmarkStart w:id="59" w:name="EBf22f82123e6e4bd699547b1001c550b1"/>
            <w:r>
              <w:rPr>
                <w:rFonts w:hint="eastAsia" w:ascii="仿宋_GB2312" w:eastAsia="仿宋_GB2312"/>
                <w:color w:val="0000FF"/>
                <w:sz w:val="24"/>
                <w:szCs w:val="24"/>
                <w:highlight w:val="white"/>
              </w:rPr>
              <w:t xml:space="preserve">1、投标报价要求：     </w:t>
            </w:r>
          </w:p>
          <w:p w14:paraId="54C2ECFD">
            <w:pPr>
              <w:rPr>
                <w:rFonts w:hint="eastAsia" w:ascii="仿宋_GB2312" w:eastAsia="仿宋_GB2312"/>
                <w:color w:val="auto"/>
                <w:sz w:val="24"/>
                <w:szCs w:val="24"/>
                <w:highlight w:val="yellow"/>
                <w:lang w:eastAsia="zh-CN"/>
              </w:rPr>
            </w:pPr>
            <w:r>
              <w:rPr>
                <w:rFonts w:hint="eastAsia" w:ascii="仿宋_GB2312" w:eastAsia="仿宋_GB2312"/>
                <w:color w:val="0000FF"/>
                <w:sz w:val="24"/>
                <w:szCs w:val="24"/>
                <w:highlight w:val="white"/>
              </w:rPr>
              <w:t>（1）本工程</w:t>
            </w:r>
            <w:r>
              <w:rPr>
                <w:rFonts w:hint="eastAsia" w:ascii="仿宋_GB2312" w:eastAsia="仿宋_GB2312"/>
                <w:color w:val="auto"/>
                <w:sz w:val="24"/>
                <w:szCs w:val="24"/>
                <w:highlight w:val="yellow"/>
                <w:lang w:eastAsia="zh-CN"/>
              </w:rPr>
              <w:t>依据《铁路基本建设工程设计概(预)算费用定额》(TB 10811-2024)组成投标报价。计价方式为工程量清单计价，投标报价总额应与单位工程</w:t>
            </w:r>
          </w:p>
          <w:p w14:paraId="4B9521C3">
            <w:pPr>
              <w:rPr>
                <w:rFonts w:hint="eastAsia" w:ascii="仿宋_GB2312" w:eastAsia="仿宋_GB2312"/>
                <w:color w:val="auto"/>
                <w:sz w:val="24"/>
                <w:szCs w:val="24"/>
                <w:highlight w:val="yellow"/>
                <w:lang w:eastAsia="zh-CN"/>
              </w:rPr>
            </w:pPr>
            <w:r>
              <w:rPr>
                <w:rFonts w:hint="eastAsia" w:ascii="仿宋_GB2312" w:eastAsia="仿宋_GB2312"/>
                <w:color w:val="auto"/>
                <w:sz w:val="24"/>
                <w:szCs w:val="24"/>
                <w:highlight w:val="yellow"/>
                <w:lang w:eastAsia="zh-CN"/>
              </w:rPr>
              <w:t xml:space="preserve">汇总表总额一致。投标人应结合企业自身实力自主报价。 </w:t>
            </w:r>
          </w:p>
          <w:p w14:paraId="10541A88">
            <w:pPr>
              <w:rPr>
                <w:rFonts w:hint="eastAsia" w:ascii="仿宋_GB2312" w:eastAsia="仿宋_GB2312"/>
                <w:color w:val="0000FF"/>
                <w:sz w:val="24"/>
                <w:szCs w:val="24"/>
                <w:highlight w:val="white"/>
              </w:rPr>
            </w:pPr>
            <w:r>
              <w:rPr>
                <w:rFonts w:hint="eastAsia" w:ascii="仿宋_GB2312" w:eastAsia="仿宋_GB2312"/>
                <w:color w:val="0000FF"/>
                <w:sz w:val="24"/>
                <w:szCs w:val="24"/>
                <w:highlight w:val="white"/>
              </w:rPr>
              <w:t xml:space="preserve">（2）合同方式：采用固定综合单价方式。     </w:t>
            </w:r>
          </w:p>
          <w:p w14:paraId="56A470A8">
            <w:pPr>
              <w:rPr>
                <w:rFonts w:hint="eastAsia" w:ascii="仿宋_GB2312" w:eastAsia="仿宋_GB2312"/>
                <w:color w:val="0000FF"/>
                <w:sz w:val="24"/>
                <w:szCs w:val="24"/>
                <w:highlight w:val="white"/>
              </w:rPr>
            </w:pPr>
            <w:r>
              <w:rPr>
                <w:rFonts w:hint="eastAsia" w:ascii="仿宋_GB2312" w:eastAsia="仿宋_GB2312"/>
                <w:color w:val="0000FF"/>
                <w:sz w:val="24"/>
                <w:szCs w:val="24"/>
                <w:highlight w:val="white"/>
              </w:rPr>
              <w:t xml:space="preserve">本工程的投标报价应是在招标人提供的招标文件及相关答疑、补遗文件所确定的招标范围内的全部工作内容的价格体现。投标人应依据招标文件、工程量清单、补遗文件、答疑文件所确定的招标范围内的全部工程内容，并充分考察施工现场情况及一切不利条件所带来的风险的基础上，以自身的施工组织设计或施工方案为基础，根据企业内部定额，并结合市场价格，自主报价。投标报价应包括但不限于施工机械、劳务、材料设备、临时设施、缺陷修补、利润、保险、税金、安措费、社会保障费（按照相关文件规定进行计取）、技术培训等各项直接、间接费用，以及所包含的风险、责任等各项应有费用。投标总价作为评标的依据。任何情况下，投标人在报价时不得直接修改（包括任何形式的增加、删除或修改）招标人提供的工程量清单（包括子目列项和各子项的工程数量），投标人应直接按照招标人提供的工程量投标报价，即使招标范围不存在的子目，只要在本工程量清单中已经列明，投标人就要对其进行合理报价，并纳入投标总价。     </w:t>
            </w:r>
          </w:p>
          <w:p w14:paraId="544D9579">
            <w:pPr>
              <w:rPr>
                <w:rFonts w:hint="eastAsia" w:ascii="仿宋_GB2312" w:eastAsia="仿宋_GB2312"/>
                <w:color w:val="0000FF"/>
                <w:sz w:val="24"/>
                <w:szCs w:val="24"/>
                <w:highlight w:val="white"/>
              </w:rPr>
            </w:pPr>
            <w:r>
              <w:rPr>
                <w:rFonts w:hint="eastAsia" w:ascii="仿宋_GB2312" w:eastAsia="仿宋_GB2312"/>
                <w:color w:val="0000FF"/>
                <w:sz w:val="24"/>
                <w:szCs w:val="24"/>
                <w:highlight w:val="white"/>
              </w:rPr>
              <w:t xml:space="preserve">（3）投标人应对招标人提供的工程量清单进行复核，如果对工程量清单存在任何疑问，则投标人应于招标文件投标人须知相关条款规定的投标人要求澄清招标文件的截止时间前按照投标人须知相关条款规定的方式提交到招标代理机构（投标人加盖公章后扫描件以 WORD形式发至招标代理机构邮箱 </w:t>
            </w:r>
            <w:r>
              <w:rPr>
                <w:rFonts w:hint="eastAsia" w:ascii="仿宋_GB2312" w:eastAsia="仿宋_GB2312"/>
                <w:color w:val="0000FF"/>
                <w:sz w:val="24"/>
                <w:szCs w:val="24"/>
                <w:highlight w:val="white"/>
                <w:lang w:eastAsia="zh-CN"/>
              </w:rPr>
              <w:t>syzbsc@163.com</w:t>
            </w:r>
            <w:r>
              <w:rPr>
                <w:rFonts w:hint="eastAsia" w:ascii="仿宋_GB2312" w:eastAsia="仿宋_GB2312"/>
                <w:color w:val="0000FF"/>
                <w:sz w:val="24"/>
                <w:szCs w:val="24"/>
                <w:highlight w:val="white"/>
              </w:rPr>
              <w:t xml:space="preserve"> 后，请务必立即电话告知投标人须知中载明的招标代理机构联系人），招标代理机构将收到的问题汇总后提交给招标人，经招标人复核后如确实存在招标清单计算错误，则做出相应调整；     </w:t>
            </w:r>
          </w:p>
          <w:p w14:paraId="2FB4147B">
            <w:pPr>
              <w:rPr>
                <w:rFonts w:hint="eastAsia" w:ascii="仿宋_GB2312" w:eastAsia="仿宋_GB2312"/>
                <w:color w:val="0000FF"/>
                <w:sz w:val="24"/>
                <w:szCs w:val="24"/>
                <w:highlight w:val="white"/>
              </w:rPr>
            </w:pPr>
            <w:r>
              <w:rPr>
                <w:rFonts w:hint="eastAsia" w:ascii="仿宋_GB2312" w:eastAsia="仿宋_GB2312"/>
                <w:color w:val="0000FF"/>
                <w:sz w:val="24"/>
                <w:szCs w:val="24"/>
                <w:highlight w:val="white"/>
              </w:rPr>
              <w:t xml:space="preserve">2、按照招标人有关要求，所使用材料均符合国家有关标准要求。中标人对进场的材料必须进行检验测试，合格的方可使用。招标人将对进场材料进行随机抽样，中标人应无条件进行检验测试，费用由中标人承担。     </w:t>
            </w:r>
          </w:p>
          <w:p w14:paraId="16A4010B">
            <w:pPr>
              <w:rPr>
                <w:rFonts w:hint="eastAsia" w:ascii="仿宋_GB2312" w:eastAsia="仿宋_GB2312"/>
                <w:color w:val="0000FF"/>
                <w:sz w:val="24"/>
                <w:szCs w:val="24"/>
                <w:highlight w:val="white"/>
              </w:rPr>
            </w:pPr>
            <w:r>
              <w:rPr>
                <w:rFonts w:hint="eastAsia" w:ascii="仿宋_GB2312" w:eastAsia="仿宋_GB2312"/>
                <w:color w:val="0000FF"/>
                <w:sz w:val="24"/>
                <w:szCs w:val="24"/>
                <w:highlight w:val="white"/>
              </w:rPr>
              <w:t xml:space="preserve">3、实名认证：     </w:t>
            </w:r>
          </w:p>
          <w:p w14:paraId="138DE0D6">
            <w:pPr>
              <w:rPr>
                <w:rFonts w:hint="eastAsia" w:ascii="仿宋_GB2312" w:eastAsia="仿宋_GB2312"/>
                <w:color w:val="0000FF"/>
                <w:sz w:val="24"/>
                <w:szCs w:val="24"/>
                <w:highlight w:val="white"/>
              </w:rPr>
            </w:pPr>
            <w:r>
              <w:rPr>
                <w:rFonts w:hint="eastAsia" w:ascii="仿宋_GB2312" w:eastAsia="仿宋_GB2312"/>
                <w:color w:val="0000FF"/>
                <w:sz w:val="24"/>
                <w:szCs w:val="24"/>
                <w:highlight w:val="white"/>
              </w:rPr>
              <w:t xml:space="preserve">3.1根据辽宁省住房和城乡建设厅《关于进一步落实招投标各方主体及从业人员实名制的通知》，施工和监理类项目投标单位【授权委托人】、【项目负责人】（拟派项目经理、总监理工程师）及服务和材料设备类项目投标单位【授权委托人】、【项目负责人】（拟派项目负责人）在投标期间内均必须进行身份证实名认证。     </w:t>
            </w:r>
          </w:p>
          <w:p w14:paraId="63F41206">
            <w:pPr>
              <w:rPr>
                <w:rFonts w:hint="eastAsia" w:ascii="仿宋_GB2312" w:eastAsia="仿宋_GB2312"/>
                <w:color w:val="0000FF"/>
                <w:sz w:val="24"/>
                <w:szCs w:val="24"/>
                <w:highlight w:val="white"/>
              </w:rPr>
            </w:pPr>
            <w:r>
              <w:rPr>
                <w:rFonts w:hint="eastAsia" w:ascii="仿宋_GB2312" w:eastAsia="仿宋_GB2312"/>
                <w:color w:val="0000FF"/>
                <w:sz w:val="24"/>
                <w:szCs w:val="24"/>
                <w:highlight w:val="white"/>
              </w:rPr>
              <w:t xml:space="preserve">3.1.1 实名认证可采用身份证阅读机器进行身份证实体刷卡认证（PC 端），也可采用移动端 APP软件进行远程实名认证（APP 端 ）。     </w:t>
            </w:r>
          </w:p>
          <w:p w14:paraId="6C17EB38">
            <w:pPr>
              <w:rPr>
                <w:rFonts w:hint="eastAsia" w:ascii="仿宋_GB2312" w:eastAsia="仿宋_GB2312"/>
                <w:color w:val="0000FF"/>
                <w:sz w:val="24"/>
                <w:szCs w:val="24"/>
                <w:highlight w:val="white"/>
              </w:rPr>
            </w:pPr>
            <w:r>
              <w:rPr>
                <w:rFonts w:hint="eastAsia" w:ascii="仿宋_GB2312" w:eastAsia="仿宋_GB2312"/>
                <w:color w:val="0000FF"/>
                <w:sz w:val="24"/>
                <w:szCs w:val="24"/>
                <w:highlight w:val="white"/>
              </w:rPr>
              <w:t xml:space="preserve">3.1.2 授权委托人实名认证：     </w:t>
            </w:r>
          </w:p>
          <w:p w14:paraId="2E42EB5A">
            <w:pPr>
              <w:rPr>
                <w:rFonts w:hint="eastAsia" w:ascii="仿宋_GB2312" w:eastAsia="仿宋_GB2312"/>
                <w:color w:val="0000FF"/>
                <w:sz w:val="24"/>
                <w:szCs w:val="24"/>
                <w:highlight w:val="white"/>
              </w:rPr>
            </w:pPr>
            <w:r>
              <w:rPr>
                <w:rFonts w:hint="eastAsia" w:ascii="仿宋_GB2312" w:eastAsia="仿宋_GB2312"/>
                <w:color w:val="0000FF"/>
                <w:sz w:val="24"/>
                <w:szCs w:val="24"/>
                <w:highlight w:val="white"/>
              </w:rPr>
              <w:t xml:space="preserve">（1）在“项目委托人授权”步骤可以点选或跳过此步骤直接进入“招标文件领取”步骤，     </w:t>
            </w:r>
          </w:p>
          <w:p w14:paraId="7929614C">
            <w:pPr>
              <w:rPr>
                <w:rFonts w:hint="eastAsia" w:ascii="仿宋_GB2312" w:eastAsia="仿宋_GB2312"/>
                <w:color w:val="0000FF"/>
                <w:sz w:val="24"/>
                <w:szCs w:val="24"/>
                <w:highlight w:val="white"/>
              </w:rPr>
            </w:pPr>
            <w:r>
              <w:rPr>
                <w:rFonts w:hint="eastAsia" w:ascii="仿宋_GB2312" w:eastAsia="仿宋_GB2312"/>
                <w:color w:val="0000FF"/>
                <w:sz w:val="24"/>
                <w:szCs w:val="24"/>
                <w:highlight w:val="white"/>
              </w:rPr>
              <w:t xml:space="preserve">但在上传投标文件前（电子开标项目）/中标候选人公示前（纸质开标项目），【授权委托人】必须进行实名认证，否则无法上传投标文件（电子开标项目）/无法在候选人公示选取到单位信息（纸质开标项目）。     </w:t>
            </w:r>
          </w:p>
          <w:p w14:paraId="3DC61CFE">
            <w:pPr>
              <w:rPr>
                <w:rFonts w:hint="eastAsia" w:ascii="仿宋_GB2312" w:eastAsia="仿宋_GB2312"/>
                <w:color w:val="0000FF"/>
                <w:sz w:val="24"/>
                <w:szCs w:val="24"/>
                <w:highlight w:val="white"/>
              </w:rPr>
            </w:pPr>
            <w:r>
              <w:rPr>
                <w:rFonts w:hint="eastAsia" w:ascii="仿宋_GB2312" w:eastAsia="仿宋_GB2312"/>
                <w:color w:val="0000FF"/>
                <w:sz w:val="24"/>
                <w:szCs w:val="24"/>
                <w:highlight w:val="white"/>
              </w:rPr>
              <w:t xml:space="preserve">（2）在“项目委托人授权”步骤直接刷其身份证带出【授权委托人】信息，视为【授权委     </w:t>
            </w:r>
          </w:p>
          <w:p w14:paraId="1CB620FB">
            <w:pPr>
              <w:rPr>
                <w:rFonts w:hint="eastAsia" w:ascii="仿宋_GB2312" w:eastAsia="仿宋_GB2312"/>
                <w:color w:val="0000FF"/>
                <w:sz w:val="24"/>
                <w:szCs w:val="24"/>
                <w:highlight w:val="white"/>
              </w:rPr>
            </w:pPr>
            <w:r>
              <w:rPr>
                <w:rFonts w:hint="eastAsia" w:ascii="仿宋_GB2312" w:eastAsia="仿宋_GB2312"/>
                <w:color w:val="0000FF"/>
                <w:sz w:val="24"/>
                <w:szCs w:val="24"/>
                <w:highlight w:val="white"/>
              </w:rPr>
              <w:t xml:space="preserve">托人】已做实名认证。     </w:t>
            </w:r>
          </w:p>
          <w:p w14:paraId="56E33699">
            <w:pPr>
              <w:rPr>
                <w:rFonts w:hint="eastAsia" w:ascii="仿宋_GB2312" w:eastAsia="仿宋_GB2312"/>
                <w:color w:val="0000FF"/>
                <w:sz w:val="24"/>
                <w:szCs w:val="24"/>
                <w:highlight w:val="white"/>
              </w:rPr>
            </w:pPr>
            <w:r>
              <w:rPr>
                <w:rFonts w:hint="eastAsia" w:ascii="仿宋_GB2312" w:eastAsia="仿宋_GB2312"/>
                <w:color w:val="0000FF"/>
                <w:sz w:val="24"/>
                <w:szCs w:val="24"/>
                <w:highlight w:val="white"/>
              </w:rPr>
              <w:t xml:space="preserve">3.1.3 项目负责人实名认证：     </w:t>
            </w:r>
          </w:p>
          <w:p w14:paraId="689FE437">
            <w:pPr>
              <w:rPr>
                <w:rFonts w:hint="eastAsia" w:ascii="仿宋_GB2312" w:eastAsia="仿宋_GB2312"/>
                <w:color w:val="0000FF"/>
                <w:sz w:val="24"/>
                <w:szCs w:val="24"/>
                <w:highlight w:val="white"/>
              </w:rPr>
            </w:pPr>
            <w:r>
              <w:rPr>
                <w:rFonts w:hint="eastAsia" w:ascii="仿宋_GB2312" w:eastAsia="仿宋_GB2312"/>
                <w:color w:val="0000FF"/>
                <w:sz w:val="24"/>
                <w:szCs w:val="24"/>
                <w:highlight w:val="white"/>
              </w:rPr>
              <w:t xml:space="preserve">（1）【授权委托人】已进行实名认证的：在“招标文件领取”步骤，可以点选【项目负责人】或刷其 IC 卡或刷其身份证领取招标文件，未刷【项目负责人】身份证领取文件的需要在“项目负责人实名认证”步骤或在二次刷卡时刷其身份证进行实名认证。     </w:t>
            </w:r>
          </w:p>
          <w:p w14:paraId="6C98DCBB">
            <w:pPr>
              <w:rPr>
                <w:rFonts w:hint="eastAsia" w:ascii="仿宋_GB2312" w:eastAsia="仿宋_GB2312"/>
                <w:color w:val="0000FF"/>
                <w:sz w:val="24"/>
                <w:szCs w:val="24"/>
                <w:highlight w:val="white"/>
              </w:rPr>
            </w:pPr>
            <w:r>
              <w:rPr>
                <w:rFonts w:hint="eastAsia" w:ascii="仿宋_GB2312" w:eastAsia="仿宋_GB2312"/>
                <w:color w:val="0000FF"/>
                <w:sz w:val="24"/>
                <w:szCs w:val="24"/>
                <w:highlight w:val="white"/>
              </w:rPr>
              <w:t xml:space="preserve">（2）【授权委托人】未进行实名认证的：在“招标文件领取”步骤，仅可刷【项目负责人】     </w:t>
            </w:r>
          </w:p>
          <w:p w14:paraId="0D48FF6D">
            <w:pPr>
              <w:rPr>
                <w:rFonts w:hint="eastAsia" w:ascii="仿宋_GB2312" w:eastAsia="仿宋_GB2312"/>
                <w:color w:val="0000FF"/>
                <w:sz w:val="24"/>
                <w:szCs w:val="24"/>
                <w:highlight w:val="white"/>
              </w:rPr>
            </w:pPr>
            <w:r>
              <w:rPr>
                <w:rFonts w:hint="eastAsia" w:ascii="仿宋_GB2312" w:eastAsia="仿宋_GB2312"/>
                <w:color w:val="0000FF"/>
                <w:sz w:val="24"/>
                <w:szCs w:val="24"/>
                <w:highlight w:val="white"/>
              </w:rPr>
              <w:t xml:space="preserve">IC 卡或其身份证领取招标文件，刷【项目负责人】IC 卡领取文件的需要在“项目负责人实名认证”步骤或在二次刷卡时刷其身份证进行实名认证。     </w:t>
            </w:r>
          </w:p>
          <w:p w14:paraId="66CE41EE">
            <w:pPr>
              <w:rPr>
                <w:rFonts w:hint="eastAsia" w:ascii="仿宋_GB2312" w:eastAsia="仿宋_GB2312"/>
                <w:color w:val="0000FF"/>
                <w:sz w:val="24"/>
                <w:szCs w:val="24"/>
                <w:highlight w:val="white"/>
              </w:rPr>
            </w:pPr>
            <w:r>
              <w:rPr>
                <w:rFonts w:hint="eastAsia" w:ascii="仿宋_GB2312" w:eastAsia="仿宋_GB2312"/>
                <w:color w:val="0000FF"/>
                <w:sz w:val="24"/>
                <w:szCs w:val="24"/>
                <w:highlight w:val="white"/>
              </w:rPr>
              <w:t xml:space="preserve">3.1.4 二次刷卡     </w:t>
            </w:r>
          </w:p>
          <w:p w14:paraId="26C6F504">
            <w:pPr>
              <w:rPr>
                <w:rFonts w:hint="eastAsia" w:ascii="仿宋_GB2312" w:eastAsia="仿宋_GB2312"/>
                <w:color w:val="0000FF"/>
                <w:sz w:val="24"/>
                <w:szCs w:val="24"/>
                <w:highlight w:val="white"/>
              </w:rPr>
            </w:pPr>
            <w:r>
              <w:rPr>
                <w:rFonts w:hint="eastAsia" w:ascii="仿宋_GB2312" w:eastAsia="仿宋_GB2312"/>
                <w:color w:val="0000FF"/>
                <w:sz w:val="24"/>
                <w:szCs w:val="24"/>
                <w:highlight w:val="white"/>
              </w:rPr>
              <w:t xml:space="preserve">（1）【项目负责人】已进行实名认证的，二次刷卡可以刷【项目负责人】或【授权委托人】身份证带出【项目负责人】“在建项目信息”及“不良行为信息”。     </w:t>
            </w:r>
          </w:p>
          <w:p w14:paraId="6467CEAD">
            <w:pPr>
              <w:rPr>
                <w:rFonts w:hint="eastAsia" w:ascii="仿宋_GB2312" w:eastAsia="仿宋_GB2312"/>
                <w:color w:val="0000FF"/>
                <w:sz w:val="24"/>
                <w:szCs w:val="24"/>
                <w:highlight w:val="white"/>
              </w:rPr>
            </w:pPr>
            <w:r>
              <w:rPr>
                <w:rFonts w:hint="eastAsia" w:ascii="仿宋_GB2312" w:eastAsia="仿宋_GB2312"/>
                <w:color w:val="0000FF"/>
                <w:sz w:val="24"/>
                <w:szCs w:val="24"/>
                <w:highlight w:val="white"/>
              </w:rPr>
              <w:t xml:space="preserve">（2）【项目负责人】未进行实名认证的，二次刷卡只能刷其本人身份证带出【项目负责人】“在建项目信息”及“不良行为信息”。     </w:t>
            </w:r>
          </w:p>
          <w:p w14:paraId="691F71E4">
            <w:pPr>
              <w:rPr>
                <w:rFonts w:hint="eastAsia" w:ascii="仿宋_GB2312" w:eastAsia="仿宋_GB2312"/>
                <w:color w:val="0000FF"/>
                <w:sz w:val="24"/>
                <w:szCs w:val="24"/>
                <w:highlight w:val="white"/>
              </w:rPr>
            </w:pPr>
            <w:r>
              <w:rPr>
                <w:rFonts w:hint="eastAsia" w:ascii="仿宋_GB2312" w:eastAsia="仿宋_GB2312"/>
                <w:color w:val="0000FF"/>
                <w:sz w:val="24"/>
                <w:szCs w:val="24"/>
                <w:highlight w:val="white"/>
              </w:rPr>
              <w:t xml:space="preserve">3.1.5 当【授权委托人】与【项目负责人】为同一人时，在以上任一环节进行过实名认证的，其另一身份也视为已实名认证。     </w:t>
            </w:r>
          </w:p>
          <w:p w14:paraId="46090BCB">
            <w:pPr>
              <w:rPr>
                <w:rFonts w:hint="eastAsia" w:ascii="仿宋_GB2312" w:eastAsia="仿宋_GB2312"/>
                <w:color w:val="0000FF"/>
                <w:sz w:val="24"/>
                <w:szCs w:val="24"/>
                <w:highlight w:val="white"/>
              </w:rPr>
            </w:pPr>
            <w:r>
              <w:rPr>
                <w:rFonts w:hint="eastAsia" w:ascii="仿宋_GB2312" w:eastAsia="仿宋_GB2312"/>
                <w:color w:val="0000FF"/>
                <w:sz w:val="24"/>
                <w:szCs w:val="24"/>
                <w:highlight w:val="white"/>
              </w:rPr>
              <w:t xml:space="preserve">3.1.6【授权委托人】及【项目负责人】未进行实名认证或认证人员与投标文件中人员不一致的做废标处理。     </w:t>
            </w:r>
          </w:p>
          <w:p w14:paraId="5179526A">
            <w:pPr>
              <w:rPr>
                <w:rFonts w:hint="eastAsia" w:ascii="仿宋_GB2312" w:eastAsia="仿宋_GB2312"/>
                <w:color w:val="0000FF"/>
                <w:sz w:val="24"/>
                <w:szCs w:val="24"/>
                <w:highlight w:val="white"/>
              </w:rPr>
            </w:pPr>
            <w:r>
              <w:rPr>
                <w:rFonts w:hint="eastAsia" w:ascii="仿宋_GB2312" w:eastAsia="仿宋_GB2312"/>
                <w:color w:val="0000FF"/>
                <w:sz w:val="24"/>
                <w:szCs w:val="24"/>
                <w:highlight w:val="white"/>
              </w:rPr>
              <w:t xml:space="preserve">4、 网络投标注意事项: 本项目采用“不见面交易”。根据《市城乡建设局关于开展远程开标（不见面交易）工作的通知》，本项目采用不见面交易开标方式，具体做法：登录辽宁省建设工程信息网，在首页“本网公告”中查看《辽宁省电子招标投标交易综合服务系统不见面开标操作说明》。投标人在开标前需在业务系统完成实名认证及二次刷卡操作。     </w:t>
            </w:r>
          </w:p>
          <w:p w14:paraId="296EB99B">
            <w:pPr>
              <w:rPr>
                <w:rFonts w:hint="eastAsia" w:ascii="仿宋_GB2312" w:eastAsia="仿宋_GB2312"/>
                <w:color w:val="0000FF"/>
                <w:sz w:val="24"/>
                <w:szCs w:val="24"/>
                <w:highlight w:val="white"/>
              </w:rPr>
            </w:pPr>
            <w:r>
              <w:rPr>
                <w:rFonts w:hint="eastAsia" w:ascii="仿宋_GB2312" w:eastAsia="仿宋_GB2312"/>
                <w:color w:val="0000FF"/>
                <w:sz w:val="24"/>
                <w:szCs w:val="24"/>
                <w:highlight w:val="white"/>
              </w:rPr>
              <w:t xml:space="preserve">（1）投标人须随时关注购买招标文件的网站上的澄清文件并下载，否则，由此引起的答疑文件、补遗文件和其他相关信息无法收到，投标单位须自行承担全部责任。项目有答疑文件，请务必通过网上下载并使用最后一次答疑文件制作投标文件然后通过网络上传。如果在答疑之前已经通过网上上传了投标文件，请务必撤销以前上传的文件，重新用答疑文件制作新的投标文件再次上传。     </w:t>
            </w:r>
          </w:p>
          <w:p w14:paraId="26E78D06">
            <w:pPr>
              <w:rPr>
                <w:rFonts w:hint="eastAsia" w:ascii="仿宋_GB2312" w:eastAsia="仿宋_GB2312"/>
                <w:color w:val="0000FF"/>
                <w:sz w:val="24"/>
                <w:szCs w:val="24"/>
                <w:highlight w:val="white"/>
              </w:rPr>
            </w:pPr>
            <w:r>
              <w:rPr>
                <w:rFonts w:hint="eastAsia" w:ascii="仿宋_GB2312" w:eastAsia="仿宋_GB2312"/>
                <w:color w:val="0000FF"/>
                <w:sz w:val="24"/>
                <w:szCs w:val="24"/>
                <w:highlight w:val="white"/>
              </w:rPr>
              <w:t xml:space="preserve">（2）投标人开标结束后需要在规定时间内完成对开标记录表的电子签章操作，否则视为认同开标情况，后续不予受理对开标情况的投诉。     </w:t>
            </w:r>
          </w:p>
          <w:p w14:paraId="57050767">
            <w:pPr>
              <w:rPr>
                <w:rFonts w:hint="eastAsia" w:ascii="仿宋_GB2312" w:eastAsia="仿宋_GB2312"/>
                <w:color w:val="0000FF"/>
                <w:sz w:val="24"/>
                <w:szCs w:val="24"/>
                <w:highlight w:val="white"/>
              </w:rPr>
            </w:pPr>
            <w:r>
              <w:rPr>
                <w:rFonts w:hint="eastAsia" w:ascii="仿宋_GB2312" w:eastAsia="仿宋_GB2312"/>
                <w:color w:val="0000FF"/>
                <w:sz w:val="24"/>
                <w:szCs w:val="24"/>
                <w:highlight w:val="white"/>
              </w:rPr>
              <w:t xml:space="preserve">5、 费用承担方式（按要求含在投标报价中，注:如果项目允许联合体投标，则其费用由牵头人递交）：     </w:t>
            </w:r>
          </w:p>
          <w:p w14:paraId="34327ECD">
            <w:pPr>
              <w:rPr>
                <w:rFonts w:hint="eastAsia" w:ascii="仿宋_GB2312" w:eastAsia="仿宋_GB2312"/>
                <w:color w:val="0000FF"/>
                <w:sz w:val="24"/>
                <w:szCs w:val="24"/>
                <w:highlight w:val="white"/>
              </w:rPr>
            </w:pPr>
            <w:r>
              <w:rPr>
                <w:rFonts w:hint="eastAsia" w:ascii="仿宋_GB2312" w:eastAsia="仿宋_GB2312"/>
                <w:color w:val="0000FF"/>
                <w:sz w:val="24"/>
                <w:szCs w:val="24"/>
                <w:highlight w:val="white"/>
              </w:rPr>
              <w:t xml:space="preserve">（1）投标人准备和参加投标活动所发生的费用自理。     </w:t>
            </w:r>
          </w:p>
          <w:p w14:paraId="08F9DC70">
            <w:pPr>
              <w:rPr>
                <w:rFonts w:hint="eastAsia" w:ascii="仿宋_GB2312" w:eastAsia="仿宋_GB2312"/>
                <w:color w:val="0000FF"/>
                <w:sz w:val="24"/>
                <w:szCs w:val="24"/>
                <w:highlight w:val="white"/>
              </w:rPr>
            </w:pPr>
            <w:r>
              <w:rPr>
                <w:rFonts w:hint="eastAsia" w:ascii="仿宋_GB2312" w:eastAsia="仿宋_GB2312"/>
                <w:color w:val="0000FF"/>
                <w:sz w:val="24"/>
                <w:szCs w:val="24"/>
                <w:highlight w:val="white"/>
              </w:rPr>
              <w:t xml:space="preserve">（2）招标人不提供任何临时设施（包括施工人员的食宿、办公地点等）。投标人如需要     </w:t>
            </w:r>
          </w:p>
          <w:p w14:paraId="25D5B3A6">
            <w:pPr>
              <w:rPr>
                <w:rFonts w:hint="eastAsia" w:ascii="仿宋_GB2312" w:eastAsia="仿宋_GB2312"/>
                <w:color w:val="0000FF"/>
                <w:sz w:val="24"/>
                <w:szCs w:val="24"/>
                <w:highlight w:val="white"/>
              </w:rPr>
            </w:pPr>
            <w:r>
              <w:rPr>
                <w:rFonts w:hint="eastAsia" w:ascii="仿宋_GB2312" w:eastAsia="仿宋_GB2312"/>
                <w:color w:val="0000FF"/>
                <w:sz w:val="24"/>
                <w:szCs w:val="24"/>
                <w:highlight w:val="white"/>
              </w:rPr>
              <w:t xml:space="preserve">搭建或租用临时设施的费用含在报价中，地点的选择应在招标人指定的范围内。投标人不得将费用转嫁给与本项目相关的施工单位和材料供应单位。     </w:t>
            </w:r>
          </w:p>
          <w:p w14:paraId="678BCE13">
            <w:pPr>
              <w:rPr>
                <w:rFonts w:hint="eastAsia" w:ascii="仿宋_GB2312" w:eastAsia="仿宋_GB2312"/>
                <w:color w:val="0000FF"/>
                <w:sz w:val="24"/>
                <w:szCs w:val="24"/>
                <w:highlight w:val="white"/>
              </w:rPr>
            </w:pPr>
            <w:r>
              <w:rPr>
                <w:rFonts w:hint="eastAsia" w:ascii="仿宋_GB2312" w:eastAsia="仿宋_GB2312"/>
                <w:color w:val="0000FF"/>
                <w:sz w:val="24"/>
                <w:szCs w:val="24"/>
                <w:highlight w:val="white"/>
              </w:rPr>
              <w:t xml:space="preserve"> 6、外埠（外省）企业投标备案     </w:t>
            </w:r>
          </w:p>
          <w:p w14:paraId="4184089E">
            <w:pPr>
              <w:rPr>
                <w:rFonts w:hint="eastAsia" w:ascii="仿宋_GB2312" w:eastAsia="仿宋_GB2312"/>
                <w:color w:val="0000FF"/>
                <w:sz w:val="24"/>
                <w:szCs w:val="24"/>
                <w:highlight w:val="white"/>
              </w:rPr>
            </w:pPr>
            <w:r>
              <w:rPr>
                <w:rFonts w:hint="eastAsia" w:ascii="仿宋_GB2312" w:eastAsia="仿宋_GB2312"/>
                <w:color w:val="0000FF"/>
                <w:sz w:val="24"/>
                <w:szCs w:val="24"/>
                <w:highlight w:val="white"/>
              </w:rPr>
              <w:t>外埠（外省）企业投标时</w:t>
            </w:r>
            <w:r>
              <w:rPr>
                <w:rFonts w:hint="eastAsia" w:ascii="仿宋_GB2312" w:eastAsia="仿宋_GB2312"/>
                <w:color w:val="0000FF"/>
                <w:sz w:val="24"/>
                <w:szCs w:val="24"/>
                <w:highlight w:val="white"/>
                <w:lang w:val="en-US" w:eastAsia="zh-CN"/>
              </w:rPr>
              <w:t>提供</w:t>
            </w:r>
            <w:r>
              <w:rPr>
                <w:rFonts w:hint="eastAsia" w:ascii="仿宋_GB2312" w:eastAsia="仿宋_GB2312"/>
                <w:color w:val="0000FF"/>
                <w:sz w:val="24"/>
                <w:szCs w:val="24"/>
                <w:highlight w:val="white"/>
              </w:rPr>
              <w:t xml:space="preserve">企业在辽基本信息登记单。     </w:t>
            </w:r>
          </w:p>
          <w:p w14:paraId="2294DBCD">
            <w:pPr>
              <w:rPr>
                <w:rFonts w:hint="eastAsia" w:ascii="仿宋_GB2312" w:eastAsia="仿宋_GB2312"/>
                <w:color w:val="0000FF"/>
                <w:sz w:val="24"/>
                <w:szCs w:val="24"/>
                <w:highlight w:val="white"/>
              </w:rPr>
            </w:pPr>
            <w:r>
              <w:rPr>
                <w:rFonts w:hint="eastAsia" w:ascii="仿宋_GB2312" w:eastAsia="仿宋_GB2312"/>
                <w:color w:val="0000FF"/>
                <w:sz w:val="24"/>
                <w:szCs w:val="24"/>
                <w:highlight w:val="white"/>
              </w:rPr>
              <w:t xml:space="preserve">7、电子化招投标要求：     </w:t>
            </w:r>
          </w:p>
          <w:p w14:paraId="103224DA">
            <w:pPr>
              <w:rPr>
                <w:rFonts w:hint="eastAsia" w:ascii="仿宋_GB2312" w:eastAsia="仿宋_GB2312"/>
                <w:color w:val="0000FF"/>
                <w:sz w:val="24"/>
                <w:szCs w:val="24"/>
                <w:highlight w:val="white"/>
              </w:rPr>
            </w:pPr>
            <w:r>
              <w:rPr>
                <w:rFonts w:hint="eastAsia" w:ascii="仿宋_GB2312" w:eastAsia="仿宋_GB2312"/>
                <w:color w:val="0000FF"/>
                <w:sz w:val="24"/>
                <w:szCs w:val="24"/>
                <w:highlight w:val="white"/>
              </w:rPr>
              <w:t xml:space="preserve">（1）根据省、市监管部门的要求，凡涉及投标人实名认证有关验证全部由投标人自行通过辽宁省建设工程招投标网上运行平台进行在线验证。投标人（注册建造师、注册监理工程师）在开标前可自行登录平台，通过业务管理系统进行实名认证操作。项目开标时，平台将自动将项目负责人实名认证情况以及项目负责人是否有在建工程进行公示并自动提交评标委员会评审，如未在规定期限内进行实名认证或验证未通过，将不能参与投标。投标文件中的项目经理与通过验证的项目经理必须一致，否则按照废标处理。     </w:t>
            </w:r>
          </w:p>
          <w:p w14:paraId="302BDEF7">
            <w:pPr>
              <w:rPr>
                <w:rFonts w:hint="eastAsia" w:ascii="仿宋_GB2312" w:eastAsia="仿宋_GB2312"/>
                <w:color w:val="0000FF"/>
                <w:sz w:val="24"/>
                <w:szCs w:val="24"/>
                <w:highlight w:val="white"/>
              </w:rPr>
            </w:pPr>
            <w:r>
              <w:rPr>
                <w:rFonts w:hint="eastAsia" w:ascii="仿宋_GB2312" w:eastAsia="仿宋_GB2312"/>
                <w:color w:val="0000FF"/>
                <w:sz w:val="24"/>
                <w:szCs w:val="24"/>
                <w:highlight w:val="white"/>
              </w:rPr>
              <w:t xml:space="preserve">（2）电子化招投标以信息库中投标人信息为准。     </w:t>
            </w:r>
          </w:p>
          <w:p w14:paraId="7B759FB3">
            <w:pPr>
              <w:rPr>
                <w:rFonts w:hint="eastAsia" w:ascii="仿宋_GB2312" w:eastAsia="仿宋_GB2312"/>
                <w:color w:val="0000FF"/>
                <w:sz w:val="24"/>
                <w:szCs w:val="24"/>
                <w:highlight w:val="white"/>
              </w:rPr>
            </w:pPr>
            <w:r>
              <w:rPr>
                <w:rFonts w:hint="eastAsia" w:ascii="仿宋_GB2312" w:eastAsia="仿宋_GB2312"/>
                <w:color w:val="0000FF"/>
                <w:sz w:val="24"/>
                <w:szCs w:val="24"/>
                <w:highlight w:val="white"/>
              </w:rPr>
              <w:t xml:space="preserve">8、如果有2个或2个以上投标人的最终评审得分相同，以投标报价低的优先排在前面，如果投标报价也相同，以施工组织设计得分高的排在前面。     </w:t>
            </w:r>
          </w:p>
          <w:p w14:paraId="0F91A000">
            <w:pPr>
              <w:rPr>
                <w:rFonts w:hint="eastAsia" w:ascii="仿宋_GB2312" w:eastAsia="仿宋_GB2312"/>
                <w:color w:val="0000FF"/>
                <w:sz w:val="24"/>
                <w:szCs w:val="24"/>
                <w:highlight w:val="white"/>
              </w:rPr>
            </w:pPr>
            <w:r>
              <w:rPr>
                <w:rFonts w:hint="eastAsia" w:ascii="仿宋_GB2312" w:eastAsia="仿宋_GB2312"/>
                <w:color w:val="0000FF"/>
                <w:sz w:val="24"/>
                <w:szCs w:val="24"/>
                <w:highlight w:val="white"/>
              </w:rPr>
              <w:t xml:space="preserve">9、投标人评标办法中企业类似业绩以本单位在辽宁建设工程信息网诚信库中备案的为准。     </w:t>
            </w:r>
          </w:p>
          <w:p w14:paraId="63F77A3F">
            <w:pPr>
              <w:rPr>
                <w:rFonts w:hint="eastAsia" w:ascii="仿宋_GB2312" w:eastAsia="仿宋_GB2312"/>
                <w:color w:val="0000FF"/>
                <w:sz w:val="24"/>
                <w:szCs w:val="24"/>
                <w:highlight w:val="white"/>
              </w:rPr>
            </w:pPr>
            <w:r>
              <w:rPr>
                <w:rFonts w:hint="eastAsia" w:ascii="仿宋_GB2312" w:eastAsia="仿宋_GB2312"/>
                <w:color w:val="0000FF"/>
                <w:sz w:val="24"/>
                <w:szCs w:val="24"/>
                <w:highlight w:val="white"/>
              </w:rPr>
              <w:t xml:space="preserve">10、本项目“技术标”为暗标。投标人须按暗标要求编制电子投标文件，否则，按废标处理。     </w:t>
            </w:r>
          </w:p>
          <w:p w14:paraId="7D505A78">
            <w:pPr>
              <w:rPr>
                <w:rFonts w:hint="eastAsia" w:ascii="仿宋_GB2312" w:eastAsia="仿宋_GB2312"/>
                <w:color w:val="0000FF"/>
                <w:sz w:val="24"/>
                <w:szCs w:val="24"/>
                <w:highlight w:val="white"/>
              </w:rPr>
            </w:pPr>
            <w:r>
              <w:rPr>
                <w:rFonts w:hint="eastAsia" w:ascii="仿宋_GB2312" w:eastAsia="仿宋_GB2312"/>
                <w:color w:val="0000FF"/>
                <w:sz w:val="24"/>
                <w:szCs w:val="24"/>
                <w:highlight w:val="white"/>
              </w:rPr>
              <w:t xml:space="preserve">11、经评标委员会评审确定为中标人或中标候选人的，中标人或中标候选人无正当理由不得放弃中标或中标候选人资格。中标人或中标候选人放弃中标或中标候选人资格的，招标人应当没收投标保证金，给招标人造成损失的，应当依法承担赔偿责任。排名第一的中标候选人放弃中标、因不可抗力不能履行合同、不按照招标文件要求提交履约保证金，或者被查实存在影响中标结果的违法行为等情形，不符合中标条件的，招标人可以按照评标委员会提出的中标候选人名单排序依次确定其他中标候选人为中标人，也可以重新招标。     </w:t>
            </w:r>
          </w:p>
          <w:p w14:paraId="310D1AA8">
            <w:pPr>
              <w:rPr>
                <w:rFonts w:hint="eastAsia" w:ascii="仿宋_GB2312" w:eastAsia="仿宋_GB2312"/>
                <w:color w:val="0000FF"/>
                <w:sz w:val="24"/>
                <w:szCs w:val="24"/>
                <w:highlight w:val="white"/>
              </w:rPr>
            </w:pPr>
            <w:r>
              <w:rPr>
                <w:rFonts w:hint="eastAsia" w:ascii="仿宋_GB2312" w:eastAsia="仿宋_GB2312"/>
                <w:color w:val="0000FF"/>
                <w:sz w:val="24"/>
                <w:szCs w:val="24"/>
                <w:highlight w:val="white"/>
              </w:rPr>
              <w:t xml:space="preserve">12、招标代理服务费要求     </w:t>
            </w:r>
          </w:p>
          <w:p w14:paraId="2B81801D">
            <w:pPr>
              <w:rPr>
                <w:rFonts w:hint="eastAsia" w:ascii="仿宋_GB2312" w:eastAsia="仿宋_GB2312"/>
                <w:color w:val="0000FF"/>
                <w:sz w:val="24"/>
                <w:szCs w:val="24"/>
                <w:highlight w:val="white"/>
              </w:rPr>
            </w:pPr>
            <w:r>
              <w:rPr>
                <w:rFonts w:hint="eastAsia" w:ascii="仿宋_GB2312" w:eastAsia="仿宋_GB2312"/>
                <w:color w:val="0000FF"/>
                <w:sz w:val="24"/>
                <w:szCs w:val="24"/>
                <w:highlight w:val="white"/>
              </w:rPr>
              <w:t xml:space="preserve">（1）招标代理服务费根据国家发改委“计价格[2002]1980号”和“发改办价格[2003]857号”文件规定，招标代理机构将按照国家收费标准向中标单位收取服务费；招标代理服务费不得在投标报价中单列；招标代理服务费在中标通知书核准后一次性向招标代理机构付清。  </w:t>
            </w:r>
          </w:p>
          <w:p w14:paraId="270D6BFD">
            <w:pPr>
              <w:rPr>
                <w:rFonts w:hint="eastAsia" w:ascii="仿宋_GB2312" w:eastAsia="仿宋_GB2312"/>
                <w:color w:val="0000FF"/>
                <w:sz w:val="24"/>
                <w:szCs w:val="24"/>
                <w:highlight w:val="white"/>
              </w:rPr>
            </w:pPr>
            <w:r>
              <w:rPr>
                <w:rFonts w:hint="eastAsia" w:ascii="仿宋_GB2312" w:eastAsia="仿宋_GB2312"/>
                <w:color w:val="0000FF"/>
                <w:sz w:val="24"/>
                <w:szCs w:val="24"/>
                <w:highlight w:val="white"/>
              </w:rPr>
              <w:t xml:space="preserve">13、本项目行政监督部门为“营口市城乡建设与公用事业中心”     </w:t>
            </w:r>
          </w:p>
          <w:p w14:paraId="72BC1F2A">
            <w:pPr>
              <w:rPr>
                <w:rFonts w:hint="eastAsia" w:ascii="仿宋_GB2312" w:eastAsia="仿宋_GB2312"/>
                <w:color w:val="0000FF"/>
                <w:sz w:val="24"/>
                <w:szCs w:val="24"/>
                <w:highlight w:val="white"/>
              </w:rPr>
            </w:pPr>
            <w:r>
              <w:rPr>
                <w:rFonts w:hint="eastAsia" w:ascii="仿宋_GB2312" w:eastAsia="仿宋_GB2312"/>
                <w:color w:val="0000FF"/>
                <w:sz w:val="24"/>
                <w:szCs w:val="24"/>
                <w:highlight w:val="white"/>
              </w:rPr>
              <w:t>14、未尽事宜将依照《中华人民共和国招标投标法》及相关法规执行。</w:t>
            </w:r>
            <w:bookmarkEnd w:id="59"/>
          </w:p>
          <w:p w14:paraId="0C747AB3">
            <w:pPr>
              <w:pStyle w:val="13"/>
              <w:spacing w:line="240" w:lineRule="auto"/>
              <w:jc w:val="left"/>
              <w:rPr>
                <w:rFonts w:hint="eastAsia" w:ascii="仿宋_GB2312" w:eastAsia="仿宋_GB2312"/>
                <w:color w:val="0000FF"/>
                <w:sz w:val="24"/>
                <w:szCs w:val="24"/>
                <w:highlight w:val="yellow"/>
                <w:lang w:val="en-US" w:eastAsia="zh-CN"/>
              </w:rPr>
            </w:pPr>
            <w:r>
              <w:rPr>
                <w:rFonts w:hint="eastAsia" w:ascii="仿宋_GB2312" w:eastAsia="仿宋_GB2312"/>
                <w:color w:val="0000FF"/>
                <w:sz w:val="24"/>
                <w:szCs w:val="24"/>
                <w:highlight w:val="yellow"/>
                <w:lang w:val="en-US" w:eastAsia="zh-CN"/>
              </w:rPr>
              <w:t>15、★付款方式及条件：</w:t>
            </w:r>
          </w:p>
          <w:p w14:paraId="2130F78D">
            <w:pPr>
              <w:pStyle w:val="13"/>
              <w:spacing w:line="240" w:lineRule="auto"/>
              <w:jc w:val="left"/>
              <w:rPr>
                <w:rFonts w:hint="eastAsia" w:ascii="仿宋_GB2312" w:eastAsia="仿宋_GB2312" w:cs="Times New Roman"/>
                <w:color w:val="0000FF"/>
                <w:sz w:val="24"/>
                <w:szCs w:val="24"/>
                <w:highlight w:val="yellow"/>
                <w:lang w:val="en-US" w:eastAsia="en-US"/>
              </w:rPr>
            </w:pPr>
            <w:r>
              <w:rPr>
                <w:rFonts w:hint="eastAsia" w:ascii="仿宋_GB2312" w:eastAsia="仿宋_GB2312" w:cs="Times New Roman"/>
                <w:color w:val="0000FF"/>
                <w:sz w:val="24"/>
                <w:szCs w:val="24"/>
                <w:highlight w:val="yellow"/>
                <w:lang w:val="en-US" w:eastAsia="zh-CN"/>
              </w:rPr>
              <w:t>1)工程竣工验收合格，支付至合同价金额的80%，结算审核完成后，支付至结算金额的97%，余款缺陷责任期满并完成项目移交后一次性付清。</w:t>
            </w:r>
            <w:r>
              <w:rPr>
                <w:rFonts w:hint="eastAsia" w:ascii="仿宋_GB2312" w:eastAsia="仿宋_GB2312" w:cs="Times New Roman"/>
                <w:color w:val="0000FF"/>
                <w:sz w:val="24"/>
                <w:szCs w:val="24"/>
                <w:highlight w:val="yellow"/>
                <w:lang w:val="en-US" w:eastAsia="zh-CN"/>
              </w:rPr>
              <w:cr/>
            </w:r>
            <w:r>
              <w:rPr>
                <w:rFonts w:hint="eastAsia" w:ascii="仿宋_GB2312" w:eastAsia="仿宋_GB2312" w:cs="Times New Roman"/>
                <w:color w:val="0000FF"/>
                <w:sz w:val="24"/>
                <w:szCs w:val="24"/>
                <w:highlight w:val="yellow"/>
                <w:lang w:val="en-US" w:eastAsia="zh-CN"/>
              </w:rPr>
              <w:t>2)中标人须负责办理铁路相关报检及验收手续。协助招标人办理工程相关报批、报建工作，配合招标人通过各项验收工作(包括配电系统验收、消防验收、安全验收、规划验收、环保验收、防雷验收、质监验收等)并在竣工后完成竣工档案并交付。。</w:t>
            </w:r>
          </w:p>
          <w:p w14:paraId="5F634C75">
            <w:pPr>
              <w:rPr>
                <w:rFonts w:hint="eastAsia" w:ascii="仿宋_GB2312" w:eastAsia="仿宋_GB2312"/>
                <w:color w:val="0000FF"/>
                <w:sz w:val="24"/>
                <w:szCs w:val="24"/>
                <w:highlight w:val="white"/>
              </w:rPr>
            </w:pPr>
            <w:r>
              <w:rPr>
                <w:rFonts w:hint="eastAsia" w:ascii="仿宋_GB2312" w:eastAsia="仿宋_GB2312"/>
                <w:color w:val="0000FF"/>
                <w:sz w:val="24"/>
                <w:szCs w:val="24"/>
                <w:highlight w:val="white"/>
                <w:lang w:val="en-US" w:eastAsia="en-US"/>
              </w:rPr>
              <w:cr/>
            </w:r>
            <w:r>
              <w:rPr>
                <w:rFonts w:hint="eastAsia" w:ascii="仿宋_GB2312" w:eastAsia="仿宋_GB2312"/>
                <w:color w:val="0000FF"/>
                <w:sz w:val="24"/>
                <w:szCs w:val="24"/>
                <w:highlight w:val="white"/>
                <w:lang w:val="en-US" w:eastAsia="zh-CN"/>
              </w:rPr>
              <w:t>16、★结算方式：①清单已有适用综合单价的，按已有综合单价执行，并按最终报价与第一次报价的</w:t>
            </w:r>
            <w:bookmarkStart w:id="1345" w:name="_GoBack"/>
            <w:bookmarkEnd w:id="1345"/>
            <w:r>
              <w:rPr>
                <w:rFonts w:hint="eastAsia" w:ascii="仿宋_GB2312" w:eastAsia="仿宋_GB2312"/>
                <w:color w:val="0000FF"/>
                <w:sz w:val="24"/>
                <w:szCs w:val="24"/>
                <w:highlight w:val="white"/>
                <w:lang w:val="en-US" w:eastAsia="zh-CN"/>
              </w:rPr>
              <w:t>下浮比率进行下浮；②清单有类似综合单价的，参照类似综合单价执行，并按最终报价与第一次报价的下浮比率进行下浮；③清单无适用或类似综合单价的，</w:t>
            </w:r>
            <w:r>
              <w:rPr>
                <w:rFonts w:hint="eastAsia" w:ascii="仿宋_GB2312" w:eastAsia="仿宋_GB2312"/>
                <w:color w:val="0000FF"/>
                <w:sz w:val="24"/>
                <w:szCs w:val="24"/>
                <w:highlight w:val="yellow"/>
                <w:lang w:val="en-US" w:eastAsia="zh-CN"/>
              </w:rPr>
              <w:t>由投标人按《铁路基本建设工程设计概(预)算费用定额》(TB 10811-2024) 、2024年《辽宁省建设工程计价依据》适用部分编制综合单价</w:t>
            </w:r>
            <w:r>
              <w:rPr>
                <w:rFonts w:hint="eastAsia" w:ascii="仿宋_GB2312" w:eastAsia="仿宋_GB2312"/>
                <w:color w:val="0000FF"/>
                <w:sz w:val="24"/>
                <w:szCs w:val="24"/>
                <w:highlight w:val="white"/>
                <w:lang w:val="en-US" w:eastAsia="zh-CN"/>
              </w:rPr>
              <w:t>，费率按基础费率执行，并按中标价（扣除预留金）相对最高投标限价（扣除预留金）的下浮比例下浮；其中主要材料设备价格执行施工期的营口地区信息价，未发布部分按甲乙双方共同认价结算。</w:t>
            </w:r>
          </w:p>
        </w:tc>
      </w:tr>
    </w:tbl>
    <w:p w14:paraId="7231E4C0">
      <w:pPr>
        <w:pStyle w:val="3"/>
      </w:pPr>
    </w:p>
    <w:p w14:paraId="217CFA50">
      <w:pPr>
        <w:sectPr>
          <w:footerReference r:id="rId19" w:type="default"/>
          <w:pgSz w:w="11905" w:h="16839"/>
          <w:pgMar w:top="1431" w:right="1733" w:bottom="1036" w:left="1742" w:header="0" w:footer="847" w:gutter="0"/>
          <w:pgNumType w:fmt="decimal"/>
          <w:cols w:space="720" w:num="1"/>
        </w:sectPr>
      </w:pPr>
    </w:p>
    <w:p w14:paraId="7F56BDB9">
      <w:pPr>
        <w:pStyle w:val="3"/>
        <w:spacing w:line="308" w:lineRule="auto"/>
      </w:pPr>
    </w:p>
    <w:p w14:paraId="50372E8E">
      <w:pPr>
        <w:spacing w:before="88" w:line="224" w:lineRule="auto"/>
        <w:ind w:left="18"/>
        <w:rPr>
          <w:rFonts w:ascii="黑体" w:hAnsi="黑体" w:eastAsia="黑体" w:cs="黑体"/>
          <w:sz w:val="27"/>
          <w:szCs w:val="27"/>
        </w:rPr>
      </w:pPr>
      <w:bookmarkStart w:id="60" w:name="bookmark78"/>
      <w:bookmarkEnd w:id="60"/>
      <w:bookmarkStart w:id="61" w:name="bookmark77"/>
      <w:bookmarkEnd w:id="61"/>
      <w:bookmarkStart w:id="62" w:name="bookmark74"/>
      <w:bookmarkEnd w:id="62"/>
      <w:bookmarkStart w:id="63" w:name="bookmark81"/>
      <w:bookmarkEnd w:id="63"/>
      <w:bookmarkStart w:id="64" w:name="bookmark75"/>
      <w:bookmarkEnd w:id="64"/>
      <w:bookmarkStart w:id="65" w:name="bookmark79"/>
      <w:bookmarkEnd w:id="65"/>
      <w:bookmarkStart w:id="66" w:name="bookmark80"/>
      <w:bookmarkEnd w:id="66"/>
      <w:bookmarkStart w:id="67" w:name="bookmark76"/>
      <w:bookmarkEnd w:id="67"/>
      <w:r>
        <w:rPr>
          <w:rFonts w:ascii="黑体" w:hAnsi="黑体" w:eastAsia="黑体" w:cs="黑体"/>
          <w:spacing w:val="8"/>
          <w:sz w:val="27"/>
          <w:szCs w:val="27"/>
        </w:rPr>
        <w:t>投标人须知正文部分</w:t>
      </w:r>
    </w:p>
    <w:p w14:paraId="2BDE93BB">
      <w:pPr>
        <w:spacing w:before="132" w:line="225" w:lineRule="auto"/>
        <w:ind w:left="42"/>
        <w:rPr>
          <w:rFonts w:ascii="黑体" w:hAnsi="黑体" w:eastAsia="黑体" w:cs="黑体"/>
          <w:sz w:val="27"/>
          <w:szCs w:val="27"/>
        </w:rPr>
      </w:pPr>
      <w:r>
        <w:rPr>
          <w:rFonts w:ascii="Times New Roman" w:hAnsi="Times New Roman" w:eastAsia="Times New Roman" w:cs="Times New Roman"/>
          <w:spacing w:val="-7"/>
          <w:sz w:val="27"/>
          <w:szCs w:val="27"/>
        </w:rPr>
        <w:t>1.</w:t>
      </w:r>
      <w:r>
        <w:rPr>
          <w:rFonts w:ascii="Times New Roman" w:hAnsi="Times New Roman" w:eastAsia="Times New Roman" w:cs="Times New Roman"/>
          <w:spacing w:val="24"/>
          <w:w w:val="101"/>
          <w:sz w:val="27"/>
          <w:szCs w:val="27"/>
        </w:rPr>
        <w:t xml:space="preserve"> </w:t>
      </w:r>
      <w:r>
        <w:rPr>
          <w:rFonts w:ascii="黑体" w:hAnsi="黑体" w:eastAsia="黑体" w:cs="黑体"/>
          <w:spacing w:val="-7"/>
          <w:sz w:val="27"/>
          <w:szCs w:val="27"/>
        </w:rPr>
        <w:t>总则</w:t>
      </w:r>
    </w:p>
    <w:p w14:paraId="334815F2">
      <w:pPr>
        <w:spacing w:before="65" w:line="218" w:lineRule="auto"/>
        <w:ind w:left="38"/>
        <w:rPr>
          <w:rFonts w:ascii="黑体" w:hAnsi="黑体" w:eastAsia="黑体" w:cs="黑体"/>
          <w:sz w:val="24"/>
          <w:szCs w:val="24"/>
        </w:rPr>
      </w:pPr>
      <w:r>
        <w:rPr>
          <w:rFonts w:ascii="Times New Roman" w:hAnsi="Times New Roman" w:eastAsia="Times New Roman" w:cs="Times New Roman"/>
          <w:spacing w:val="-5"/>
          <w:sz w:val="24"/>
          <w:szCs w:val="24"/>
        </w:rPr>
        <w:t>1.1</w:t>
      </w:r>
      <w:r>
        <w:rPr>
          <w:rFonts w:ascii="Times New Roman" w:hAnsi="Times New Roman" w:eastAsia="Times New Roman" w:cs="Times New Roman"/>
          <w:spacing w:val="13"/>
          <w:sz w:val="24"/>
          <w:szCs w:val="24"/>
        </w:rPr>
        <w:t xml:space="preserve"> </w:t>
      </w:r>
      <w:r>
        <w:rPr>
          <w:rFonts w:ascii="黑体" w:hAnsi="黑体" w:eastAsia="黑体" w:cs="黑体"/>
          <w:spacing w:val="-5"/>
          <w:sz w:val="24"/>
          <w:szCs w:val="24"/>
        </w:rPr>
        <w:t>项目概况</w:t>
      </w:r>
    </w:p>
    <w:p w14:paraId="395687AB">
      <w:pPr>
        <w:spacing w:before="101" w:line="268" w:lineRule="auto"/>
        <w:ind w:left="58" w:right="3" w:firstLine="399"/>
        <w:rPr>
          <w:rFonts w:ascii="宋体" w:hAnsi="宋体" w:eastAsia="宋体" w:cs="宋体"/>
          <w:sz w:val="21"/>
          <w:szCs w:val="21"/>
        </w:rPr>
      </w:pPr>
      <w:r>
        <w:rPr>
          <w:rFonts w:ascii="Times New Roman" w:hAnsi="Times New Roman" w:eastAsia="Times New Roman" w:cs="Times New Roman"/>
          <w:sz w:val="21"/>
          <w:szCs w:val="21"/>
        </w:rPr>
        <w:t>1.1.1</w:t>
      </w:r>
      <w:r>
        <w:rPr>
          <w:rFonts w:ascii="Times New Roman" w:hAnsi="Times New Roman" w:eastAsia="Times New Roman" w:cs="Times New Roman"/>
          <w:spacing w:val="47"/>
          <w:w w:val="101"/>
          <w:sz w:val="21"/>
          <w:szCs w:val="21"/>
        </w:rPr>
        <w:t xml:space="preserve"> </w:t>
      </w:r>
      <w:r>
        <w:rPr>
          <w:rFonts w:ascii="宋体" w:hAnsi="宋体" w:eastAsia="宋体" w:cs="宋体"/>
          <w:sz w:val="21"/>
          <w:szCs w:val="21"/>
        </w:rPr>
        <w:t xml:space="preserve">根据《中华人民共和国招标投标法》等有关法律、法规和规章的规定，本招标项 </w:t>
      </w:r>
      <w:r>
        <w:rPr>
          <w:rFonts w:ascii="宋体" w:hAnsi="宋体" w:eastAsia="宋体" w:cs="宋体"/>
          <w:spacing w:val="-8"/>
          <w:sz w:val="21"/>
          <w:szCs w:val="21"/>
        </w:rPr>
        <w:t>目已具备招标条件， 现对本标段施工进行招标。</w:t>
      </w:r>
    </w:p>
    <w:p w14:paraId="4E7491BB">
      <w:pPr>
        <w:spacing w:before="110" w:line="220" w:lineRule="auto"/>
        <w:ind w:left="457"/>
        <w:rPr>
          <w:rFonts w:ascii="宋体" w:hAnsi="宋体" w:eastAsia="宋体" w:cs="宋体"/>
          <w:sz w:val="21"/>
          <w:szCs w:val="21"/>
        </w:rPr>
      </w:pPr>
      <w:r>
        <w:rPr>
          <w:rFonts w:ascii="Times New Roman" w:hAnsi="Times New Roman" w:eastAsia="Times New Roman" w:cs="Times New Roman"/>
          <w:spacing w:val="-2"/>
          <w:sz w:val="21"/>
          <w:szCs w:val="21"/>
        </w:rPr>
        <w:t xml:space="preserve">1.1.2 </w:t>
      </w:r>
      <w:r>
        <w:rPr>
          <w:rFonts w:ascii="宋体" w:hAnsi="宋体" w:eastAsia="宋体" w:cs="宋体"/>
          <w:spacing w:val="-2"/>
          <w:sz w:val="21"/>
          <w:szCs w:val="21"/>
        </w:rPr>
        <w:t>本招标项目招标人：见投标人须知前附表。</w:t>
      </w:r>
    </w:p>
    <w:p w14:paraId="79211C3A">
      <w:pPr>
        <w:spacing w:before="109" w:line="220" w:lineRule="auto"/>
        <w:ind w:left="457"/>
        <w:rPr>
          <w:rFonts w:ascii="宋体" w:hAnsi="宋体" w:eastAsia="宋体" w:cs="宋体"/>
          <w:sz w:val="21"/>
          <w:szCs w:val="21"/>
        </w:rPr>
      </w:pPr>
      <w:r>
        <w:rPr>
          <w:rFonts w:ascii="Times New Roman" w:hAnsi="Times New Roman" w:eastAsia="Times New Roman" w:cs="Times New Roman"/>
          <w:spacing w:val="-1"/>
          <w:sz w:val="21"/>
          <w:szCs w:val="21"/>
        </w:rPr>
        <w:t xml:space="preserve">1.1.3 </w:t>
      </w:r>
      <w:r>
        <w:rPr>
          <w:rFonts w:ascii="宋体" w:hAnsi="宋体" w:eastAsia="宋体" w:cs="宋体"/>
          <w:spacing w:val="-1"/>
          <w:sz w:val="21"/>
          <w:szCs w:val="21"/>
        </w:rPr>
        <w:t>本标段招标代理机构：见投标人须知前附表。</w:t>
      </w:r>
    </w:p>
    <w:p w14:paraId="4480EC0F">
      <w:pPr>
        <w:spacing w:before="110" w:line="220" w:lineRule="auto"/>
        <w:ind w:left="457"/>
        <w:rPr>
          <w:rFonts w:ascii="宋体" w:hAnsi="宋体" w:eastAsia="宋体" w:cs="宋体"/>
          <w:sz w:val="21"/>
          <w:szCs w:val="21"/>
        </w:rPr>
      </w:pPr>
      <w:r>
        <w:rPr>
          <w:rFonts w:ascii="Times New Roman" w:hAnsi="Times New Roman" w:eastAsia="Times New Roman" w:cs="Times New Roman"/>
          <w:spacing w:val="-2"/>
          <w:sz w:val="21"/>
          <w:szCs w:val="21"/>
        </w:rPr>
        <w:t xml:space="preserve">1.1.4 </w:t>
      </w:r>
      <w:r>
        <w:rPr>
          <w:rFonts w:ascii="宋体" w:hAnsi="宋体" w:eastAsia="宋体" w:cs="宋体"/>
          <w:spacing w:val="-2"/>
          <w:sz w:val="21"/>
          <w:szCs w:val="21"/>
        </w:rPr>
        <w:t>本标段项目名称：见投标人须知前附表。</w:t>
      </w:r>
    </w:p>
    <w:p w14:paraId="3F67A62B">
      <w:pPr>
        <w:spacing w:before="110" w:line="220" w:lineRule="auto"/>
        <w:ind w:left="457"/>
        <w:rPr>
          <w:rFonts w:ascii="宋体" w:hAnsi="宋体" w:eastAsia="宋体" w:cs="宋体"/>
          <w:sz w:val="21"/>
          <w:szCs w:val="21"/>
        </w:rPr>
      </w:pPr>
      <w:r>
        <w:rPr>
          <w:rFonts w:ascii="Times New Roman" w:hAnsi="Times New Roman" w:eastAsia="Times New Roman" w:cs="Times New Roman"/>
          <w:spacing w:val="-2"/>
          <w:sz w:val="21"/>
          <w:szCs w:val="21"/>
        </w:rPr>
        <w:t xml:space="preserve">1.1.5 </w:t>
      </w:r>
      <w:r>
        <w:rPr>
          <w:rFonts w:ascii="宋体" w:hAnsi="宋体" w:eastAsia="宋体" w:cs="宋体"/>
          <w:spacing w:val="-2"/>
          <w:sz w:val="21"/>
          <w:szCs w:val="21"/>
        </w:rPr>
        <w:t>本标段建设地点：见投标人须知前附表。</w:t>
      </w:r>
    </w:p>
    <w:p w14:paraId="64886A12">
      <w:pPr>
        <w:spacing w:before="110" w:line="219" w:lineRule="auto"/>
        <w:ind w:left="457"/>
        <w:rPr>
          <w:rFonts w:ascii="宋体" w:hAnsi="宋体" w:eastAsia="宋体" w:cs="宋体"/>
          <w:sz w:val="21"/>
          <w:szCs w:val="21"/>
        </w:rPr>
      </w:pPr>
      <w:r>
        <w:rPr>
          <w:rFonts w:ascii="Times New Roman" w:hAnsi="Times New Roman" w:eastAsia="Times New Roman" w:cs="Times New Roman"/>
          <w:spacing w:val="-1"/>
          <w:sz w:val="21"/>
          <w:szCs w:val="21"/>
        </w:rPr>
        <w:t xml:space="preserve">1.1.6 </w:t>
      </w:r>
      <w:r>
        <w:rPr>
          <w:rFonts w:ascii="宋体" w:hAnsi="宋体" w:eastAsia="宋体" w:cs="宋体"/>
          <w:spacing w:val="-1"/>
          <w:sz w:val="21"/>
          <w:szCs w:val="21"/>
        </w:rPr>
        <w:t>本招标项目投资估算：见投标人须知前附表。</w:t>
      </w:r>
    </w:p>
    <w:p w14:paraId="28A91A36">
      <w:pPr>
        <w:spacing w:before="111" w:line="220" w:lineRule="auto"/>
        <w:ind w:left="457"/>
        <w:rPr>
          <w:rFonts w:ascii="宋体" w:hAnsi="宋体" w:eastAsia="宋体" w:cs="宋体"/>
          <w:sz w:val="21"/>
          <w:szCs w:val="21"/>
        </w:rPr>
      </w:pPr>
      <w:r>
        <w:rPr>
          <w:rFonts w:ascii="Times New Roman" w:hAnsi="Times New Roman" w:eastAsia="Times New Roman" w:cs="Times New Roman"/>
          <w:spacing w:val="-5"/>
          <w:sz w:val="21"/>
          <w:szCs w:val="21"/>
        </w:rPr>
        <w:t xml:space="preserve">1.1.7 </w:t>
      </w:r>
      <w:r>
        <w:rPr>
          <w:rFonts w:ascii="宋体" w:hAnsi="宋体" w:eastAsia="宋体" w:cs="宋体"/>
          <w:spacing w:val="-5"/>
          <w:sz w:val="21"/>
          <w:szCs w:val="21"/>
        </w:rPr>
        <w:t>本标段采用的电子交易系统名称： 见投标人须知前附表。</w:t>
      </w:r>
    </w:p>
    <w:p w14:paraId="38448523">
      <w:pPr>
        <w:spacing w:before="85" w:line="218" w:lineRule="auto"/>
        <w:ind w:left="38"/>
        <w:rPr>
          <w:rFonts w:ascii="黑体" w:hAnsi="黑体" w:eastAsia="黑体" w:cs="黑体"/>
          <w:sz w:val="24"/>
          <w:szCs w:val="24"/>
        </w:rPr>
      </w:pPr>
      <w:r>
        <w:rPr>
          <w:rFonts w:ascii="Times New Roman" w:hAnsi="Times New Roman" w:eastAsia="Times New Roman" w:cs="Times New Roman"/>
          <w:spacing w:val="-4"/>
          <w:sz w:val="24"/>
          <w:szCs w:val="24"/>
        </w:rPr>
        <w:t>1.2</w:t>
      </w:r>
      <w:r>
        <w:rPr>
          <w:rFonts w:ascii="Times New Roman" w:hAnsi="Times New Roman" w:eastAsia="Times New Roman" w:cs="Times New Roman"/>
          <w:spacing w:val="26"/>
          <w:sz w:val="24"/>
          <w:szCs w:val="24"/>
        </w:rPr>
        <w:t xml:space="preserve"> </w:t>
      </w:r>
      <w:r>
        <w:rPr>
          <w:rFonts w:ascii="黑体" w:hAnsi="黑体" w:eastAsia="黑体" w:cs="黑体"/>
          <w:spacing w:val="-4"/>
          <w:sz w:val="24"/>
          <w:szCs w:val="24"/>
        </w:rPr>
        <w:t>资金来源和落实情况</w:t>
      </w:r>
    </w:p>
    <w:p w14:paraId="79AF4268">
      <w:pPr>
        <w:spacing w:before="102" w:line="220" w:lineRule="auto"/>
        <w:ind w:left="457"/>
        <w:rPr>
          <w:rFonts w:ascii="宋体" w:hAnsi="宋体" w:eastAsia="宋体" w:cs="宋体"/>
          <w:sz w:val="21"/>
          <w:szCs w:val="21"/>
        </w:rPr>
      </w:pPr>
      <w:r>
        <w:rPr>
          <w:rFonts w:ascii="Times New Roman" w:hAnsi="Times New Roman" w:eastAsia="Times New Roman" w:cs="Times New Roman"/>
          <w:spacing w:val="-5"/>
          <w:sz w:val="21"/>
          <w:szCs w:val="21"/>
        </w:rPr>
        <w:t xml:space="preserve">1.2.1 </w:t>
      </w:r>
      <w:r>
        <w:rPr>
          <w:rFonts w:ascii="宋体" w:hAnsi="宋体" w:eastAsia="宋体" w:cs="宋体"/>
          <w:spacing w:val="-5"/>
          <w:sz w:val="21"/>
          <w:szCs w:val="21"/>
        </w:rPr>
        <w:t>本招标项目的资金来源： 见投标人须知前附</w:t>
      </w:r>
      <w:r>
        <w:rPr>
          <w:rFonts w:ascii="宋体" w:hAnsi="宋体" w:eastAsia="宋体" w:cs="宋体"/>
          <w:spacing w:val="-6"/>
          <w:sz w:val="21"/>
          <w:szCs w:val="21"/>
        </w:rPr>
        <w:t>表。</w:t>
      </w:r>
    </w:p>
    <w:p w14:paraId="0D8DA0AC">
      <w:pPr>
        <w:spacing w:before="110" w:line="220" w:lineRule="auto"/>
        <w:ind w:left="457"/>
        <w:rPr>
          <w:rFonts w:ascii="宋体" w:hAnsi="宋体" w:eastAsia="宋体" w:cs="宋体"/>
          <w:sz w:val="21"/>
          <w:szCs w:val="21"/>
        </w:rPr>
      </w:pPr>
      <w:r>
        <w:rPr>
          <w:rFonts w:ascii="Times New Roman" w:hAnsi="Times New Roman" w:eastAsia="Times New Roman" w:cs="Times New Roman"/>
          <w:spacing w:val="-5"/>
          <w:sz w:val="21"/>
          <w:szCs w:val="21"/>
        </w:rPr>
        <w:t xml:space="preserve">1.2.2 </w:t>
      </w:r>
      <w:r>
        <w:rPr>
          <w:rFonts w:ascii="宋体" w:hAnsi="宋体" w:eastAsia="宋体" w:cs="宋体"/>
          <w:spacing w:val="-5"/>
          <w:sz w:val="21"/>
          <w:szCs w:val="21"/>
        </w:rPr>
        <w:t>本招标项目的出资比例： 见投标人须知前附</w:t>
      </w:r>
      <w:r>
        <w:rPr>
          <w:rFonts w:ascii="宋体" w:hAnsi="宋体" w:eastAsia="宋体" w:cs="宋体"/>
          <w:spacing w:val="-6"/>
          <w:sz w:val="21"/>
          <w:szCs w:val="21"/>
        </w:rPr>
        <w:t>表。</w:t>
      </w:r>
    </w:p>
    <w:p w14:paraId="67936F1F">
      <w:pPr>
        <w:spacing w:before="110" w:line="219" w:lineRule="auto"/>
        <w:ind w:left="457"/>
        <w:rPr>
          <w:rFonts w:ascii="宋体" w:hAnsi="宋体" w:eastAsia="宋体" w:cs="宋体"/>
          <w:sz w:val="21"/>
          <w:szCs w:val="21"/>
        </w:rPr>
      </w:pPr>
      <w:r>
        <w:rPr>
          <w:rFonts w:ascii="Times New Roman" w:hAnsi="Times New Roman" w:eastAsia="Times New Roman" w:cs="Times New Roman"/>
          <w:spacing w:val="-2"/>
          <w:sz w:val="21"/>
          <w:szCs w:val="21"/>
        </w:rPr>
        <w:t xml:space="preserve">1.2.3 </w:t>
      </w:r>
      <w:r>
        <w:rPr>
          <w:rFonts w:ascii="宋体" w:hAnsi="宋体" w:eastAsia="宋体" w:cs="宋体"/>
          <w:spacing w:val="-2"/>
          <w:sz w:val="21"/>
          <w:szCs w:val="21"/>
        </w:rPr>
        <w:t>本标段合同估算价：见投标人须知前附表。</w:t>
      </w:r>
    </w:p>
    <w:p w14:paraId="37DC71AB">
      <w:pPr>
        <w:spacing w:before="110" w:line="220" w:lineRule="auto"/>
        <w:ind w:left="457"/>
        <w:rPr>
          <w:rFonts w:ascii="宋体" w:hAnsi="宋体" w:eastAsia="宋体" w:cs="宋体"/>
          <w:sz w:val="21"/>
          <w:szCs w:val="21"/>
        </w:rPr>
      </w:pPr>
      <w:r>
        <w:rPr>
          <w:rFonts w:ascii="Times New Roman" w:hAnsi="Times New Roman" w:eastAsia="Times New Roman" w:cs="Times New Roman"/>
          <w:spacing w:val="-1"/>
          <w:sz w:val="21"/>
          <w:szCs w:val="21"/>
        </w:rPr>
        <w:t xml:space="preserve">1.2.4 </w:t>
      </w:r>
      <w:r>
        <w:rPr>
          <w:rFonts w:ascii="宋体" w:hAnsi="宋体" w:eastAsia="宋体" w:cs="宋体"/>
          <w:spacing w:val="-1"/>
          <w:sz w:val="21"/>
          <w:szCs w:val="21"/>
        </w:rPr>
        <w:t>本标段资金落实情况：见投标人须知前附表。</w:t>
      </w:r>
    </w:p>
    <w:p w14:paraId="146A86CC">
      <w:pPr>
        <w:spacing w:before="85" w:line="220" w:lineRule="auto"/>
        <w:ind w:left="38"/>
        <w:rPr>
          <w:rFonts w:ascii="黑体" w:hAnsi="黑体" w:eastAsia="黑体" w:cs="黑体"/>
          <w:sz w:val="24"/>
          <w:szCs w:val="24"/>
        </w:rPr>
      </w:pPr>
      <w:r>
        <w:rPr>
          <w:rFonts w:ascii="Times New Roman" w:hAnsi="Times New Roman" w:eastAsia="Times New Roman" w:cs="Times New Roman"/>
          <w:spacing w:val="-2"/>
          <w:sz w:val="24"/>
          <w:szCs w:val="24"/>
        </w:rPr>
        <w:t xml:space="preserve">1.3 </w:t>
      </w:r>
      <w:r>
        <w:rPr>
          <w:rFonts w:ascii="黑体" w:hAnsi="黑体" w:eastAsia="黑体" w:cs="黑体"/>
          <w:spacing w:val="-2"/>
          <w:sz w:val="24"/>
          <w:szCs w:val="24"/>
        </w:rPr>
        <w:t>招标范围、计划工期和质量要求</w:t>
      </w:r>
    </w:p>
    <w:p w14:paraId="571D91DF">
      <w:pPr>
        <w:spacing w:before="99" w:line="220" w:lineRule="auto"/>
        <w:ind w:left="457"/>
        <w:rPr>
          <w:rFonts w:ascii="宋体" w:hAnsi="宋体" w:eastAsia="宋体" w:cs="宋体"/>
          <w:sz w:val="21"/>
          <w:szCs w:val="21"/>
        </w:rPr>
      </w:pPr>
      <w:r>
        <w:rPr>
          <w:rFonts w:ascii="Times New Roman" w:hAnsi="Times New Roman" w:eastAsia="Times New Roman" w:cs="Times New Roman"/>
          <w:spacing w:val="-6"/>
          <w:sz w:val="21"/>
          <w:szCs w:val="21"/>
        </w:rPr>
        <w:t xml:space="preserve">1.3.1 </w:t>
      </w:r>
      <w:r>
        <w:rPr>
          <w:rFonts w:ascii="宋体" w:hAnsi="宋体" w:eastAsia="宋体" w:cs="宋体"/>
          <w:spacing w:val="-6"/>
          <w:sz w:val="21"/>
          <w:szCs w:val="21"/>
        </w:rPr>
        <w:t>本次招标范围： 见投标人须知前附表。</w:t>
      </w:r>
    </w:p>
    <w:p w14:paraId="3CF7CFFB">
      <w:pPr>
        <w:spacing w:before="110" w:line="220" w:lineRule="auto"/>
        <w:ind w:left="457"/>
        <w:rPr>
          <w:rFonts w:ascii="宋体" w:hAnsi="宋体" w:eastAsia="宋体" w:cs="宋体"/>
          <w:sz w:val="21"/>
          <w:szCs w:val="21"/>
        </w:rPr>
      </w:pPr>
      <w:r>
        <w:rPr>
          <w:rFonts w:ascii="Times New Roman" w:hAnsi="Times New Roman" w:eastAsia="Times New Roman" w:cs="Times New Roman"/>
          <w:spacing w:val="-2"/>
          <w:sz w:val="21"/>
          <w:szCs w:val="21"/>
        </w:rPr>
        <w:t xml:space="preserve">1.3.2 </w:t>
      </w:r>
      <w:r>
        <w:rPr>
          <w:rFonts w:ascii="宋体" w:hAnsi="宋体" w:eastAsia="宋体" w:cs="宋体"/>
          <w:spacing w:val="-2"/>
          <w:sz w:val="21"/>
          <w:szCs w:val="21"/>
        </w:rPr>
        <w:t>本标段的计划工期：见投标人须知前附表。</w:t>
      </w:r>
    </w:p>
    <w:p w14:paraId="1C8BB5DC">
      <w:pPr>
        <w:spacing w:before="110" w:line="335" w:lineRule="exact"/>
        <w:ind w:left="457"/>
        <w:rPr>
          <w:rFonts w:ascii="宋体" w:hAnsi="宋体" w:eastAsia="宋体" w:cs="宋体"/>
          <w:sz w:val="21"/>
          <w:szCs w:val="21"/>
        </w:rPr>
      </w:pPr>
      <w:r>
        <w:rPr>
          <w:rFonts w:ascii="Times New Roman" w:hAnsi="Times New Roman" w:eastAsia="Times New Roman" w:cs="Times New Roman"/>
          <w:spacing w:val="-2"/>
          <w:position w:val="9"/>
          <w:sz w:val="21"/>
          <w:szCs w:val="21"/>
        </w:rPr>
        <w:t xml:space="preserve">1.3.3 </w:t>
      </w:r>
      <w:r>
        <w:rPr>
          <w:rFonts w:ascii="宋体" w:hAnsi="宋体" w:eastAsia="宋体" w:cs="宋体"/>
          <w:spacing w:val="-2"/>
          <w:position w:val="9"/>
          <w:sz w:val="21"/>
          <w:szCs w:val="21"/>
        </w:rPr>
        <w:t>本标段的质量要求：见投标人须知前附表。</w:t>
      </w:r>
    </w:p>
    <w:p w14:paraId="385B2A9C">
      <w:pPr>
        <w:spacing w:before="1" w:line="218" w:lineRule="auto"/>
        <w:ind w:left="38"/>
        <w:rPr>
          <w:rFonts w:ascii="黑体" w:hAnsi="黑体" w:eastAsia="黑体" w:cs="黑体"/>
          <w:sz w:val="24"/>
          <w:szCs w:val="24"/>
        </w:rPr>
      </w:pPr>
      <w:r>
        <w:rPr>
          <w:rFonts w:ascii="Times New Roman" w:hAnsi="Times New Roman" w:eastAsia="Times New Roman" w:cs="Times New Roman"/>
          <w:spacing w:val="-2"/>
          <w:sz w:val="24"/>
          <w:szCs w:val="24"/>
        </w:rPr>
        <w:t xml:space="preserve">1.4 </w:t>
      </w:r>
      <w:r>
        <w:rPr>
          <w:rFonts w:ascii="黑体" w:hAnsi="黑体" w:eastAsia="黑体" w:cs="黑体"/>
          <w:spacing w:val="-2"/>
          <w:sz w:val="24"/>
          <w:szCs w:val="24"/>
        </w:rPr>
        <w:t>投标人资格要求</w:t>
      </w:r>
    </w:p>
    <w:p w14:paraId="7660E9C4">
      <w:pPr>
        <w:spacing w:before="101" w:line="360" w:lineRule="exact"/>
        <w:ind w:left="457"/>
        <w:rPr>
          <w:rFonts w:ascii="宋体" w:hAnsi="宋体" w:eastAsia="宋体" w:cs="宋体"/>
          <w:sz w:val="21"/>
          <w:szCs w:val="21"/>
        </w:rPr>
      </w:pPr>
      <w:r>
        <w:rPr>
          <w:rFonts w:ascii="Times New Roman" w:hAnsi="Times New Roman" w:eastAsia="Times New Roman" w:cs="Times New Roman"/>
          <w:spacing w:val="-2"/>
          <w:position w:val="11"/>
          <w:sz w:val="21"/>
          <w:szCs w:val="21"/>
        </w:rPr>
        <w:t xml:space="preserve">1.4.1 </w:t>
      </w:r>
      <w:r>
        <w:rPr>
          <w:rFonts w:ascii="宋体" w:hAnsi="宋体" w:eastAsia="宋体" w:cs="宋体"/>
          <w:spacing w:val="-2"/>
          <w:position w:val="11"/>
          <w:sz w:val="21"/>
          <w:szCs w:val="21"/>
        </w:rPr>
        <w:t>投标人应具备承担本标段施工的资质条件、能力和信誉。</w:t>
      </w:r>
    </w:p>
    <w:p w14:paraId="4568AC60">
      <w:pPr>
        <w:spacing w:before="1" w:line="219" w:lineRule="auto"/>
        <w:ind w:left="745"/>
        <w:rPr>
          <w:rFonts w:ascii="宋体" w:hAnsi="宋体" w:eastAsia="宋体" w:cs="宋体"/>
          <w:sz w:val="21"/>
          <w:szCs w:val="21"/>
        </w:rPr>
      </w:pPr>
      <w:r>
        <w:rPr>
          <w:rFonts w:ascii="宋体" w:hAnsi="宋体" w:eastAsia="宋体" w:cs="宋体"/>
          <w:spacing w:val="-3"/>
          <w:sz w:val="21"/>
          <w:szCs w:val="21"/>
        </w:rPr>
        <w:t>（</w:t>
      </w:r>
      <w:r>
        <w:rPr>
          <w:rFonts w:ascii="Times New Roman" w:hAnsi="Times New Roman" w:eastAsia="Times New Roman" w:cs="Times New Roman"/>
          <w:spacing w:val="-3"/>
          <w:sz w:val="21"/>
          <w:szCs w:val="21"/>
        </w:rPr>
        <w:t>1</w:t>
      </w:r>
      <w:r>
        <w:rPr>
          <w:rFonts w:ascii="宋体" w:hAnsi="宋体" w:eastAsia="宋体" w:cs="宋体"/>
          <w:spacing w:val="-3"/>
          <w:sz w:val="21"/>
          <w:szCs w:val="21"/>
        </w:rPr>
        <w:t>）资质条件：见投标人须知前附表；</w:t>
      </w:r>
    </w:p>
    <w:p w14:paraId="40F76E64">
      <w:pPr>
        <w:spacing w:before="110" w:line="220" w:lineRule="auto"/>
        <w:ind w:left="745"/>
        <w:rPr>
          <w:rFonts w:ascii="宋体" w:hAnsi="宋体" w:eastAsia="宋体" w:cs="宋体"/>
          <w:sz w:val="21"/>
          <w:szCs w:val="21"/>
        </w:rPr>
      </w:pPr>
      <w:r>
        <w:rPr>
          <w:rFonts w:ascii="宋体" w:hAnsi="宋体" w:eastAsia="宋体" w:cs="宋体"/>
          <w:spacing w:val="-5"/>
          <w:sz w:val="21"/>
          <w:szCs w:val="21"/>
        </w:rPr>
        <w:t>（</w:t>
      </w:r>
      <w:r>
        <w:rPr>
          <w:rFonts w:ascii="Times New Roman" w:hAnsi="Times New Roman" w:eastAsia="Times New Roman" w:cs="Times New Roman"/>
          <w:spacing w:val="-5"/>
          <w:sz w:val="21"/>
          <w:szCs w:val="21"/>
        </w:rPr>
        <w:t>2</w:t>
      </w:r>
      <w:r>
        <w:rPr>
          <w:rFonts w:ascii="宋体" w:hAnsi="宋体" w:eastAsia="宋体" w:cs="宋体"/>
          <w:spacing w:val="-5"/>
          <w:sz w:val="21"/>
          <w:szCs w:val="21"/>
        </w:rPr>
        <w:t>）财务要求：见投标人须知前附表（如有</w:t>
      </w:r>
      <w:r>
        <w:rPr>
          <w:rFonts w:ascii="宋体" w:hAnsi="宋体" w:eastAsia="宋体" w:cs="宋体"/>
          <w:spacing w:val="-15"/>
          <w:sz w:val="21"/>
          <w:szCs w:val="21"/>
        </w:rPr>
        <w:t>）；</w:t>
      </w:r>
    </w:p>
    <w:p w14:paraId="5E7B4720">
      <w:pPr>
        <w:spacing w:before="109" w:line="220" w:lineRule="auto"/>
        <w:ind w:left="745"/>
        <w:rPr>
          <w:rFonts w:ascii="宋体" w:hAnsi="宋体" w:eastAsia="宋体" w:cs="宋体"/>
          <w:sz w:val="21"/>
          <w:szCs w:val="21"/>
        </w:rPr>
      </w:pPr>
      <w:r>
        <w:rPr>
          <w:rFonts w:ascii="宋体" w:hAnsi="宋体" w:eastAsia="宋体" w:cs="宋体"/>
          <w:spacing w:val="-5"/>
          <w:sz w:val="21"/>
          <w:szCs w:val="21"/>
        </w:rPr>
        <w:t>（</w:t>
      </w:r>
      <w:r>
        <w:rPr>
          <w:rFonts w:ascii="Times New Roman" w:hAnsi="Times New Roman" w:eastAsia="Times New Roman" w:cs="Times New Roman"/>
          <w:spacing w:val="-5"/>
          <w:sz w:val="21"/>
          <w:szCs w:val="21"/>
        </w:rPr>
        <w:t>3</w:t>
      </w:r>
      <w:r>
        <w:rPr>
          <w:rFonts w:ascii="宋体" w:hAnsi="宋体" w:eastAsia="宋体" w:cs="宋体"/>
          <w:spacing w:val="-5"/>
          <w:sz w:val="21"/>
          <w:szCs w:val="21"/>
        </w:rPr>
        <w:t>）业绩要求：见投标人须知前附表（如有</w:t>
      </w:r>
      <w:r>
        <w:rPr>
          <w:rFonts w:ascii="宋体" w:hAnsi="宋体" w:eastAsia="宋体" w:cs="宋体"/>
          <w:spacing w:val="-15"/>
          <w:sz w:val="21"/>
          <w:szCs w:val="21"/>
        </w:rPr>
        <w:t>）；</w:t>
      </w:r>
    </w:p>
    <w:p w14:paraId="67B686AA">
      <w:pPr>
        <w:spacing w:before="110" w:line="220" w:lineRule="auto"/>
        <w:ind w:left="745"/>
        <w:rPr>
          <w:rFonts w:ascii="宋体" w:hAnsi="宋体" w:eastAsia="宋体" w:cs="宋体"/>
          <w:sz w:val="21"/>
          <w:szCs w:val="21"/>
        </w:rPr>
      </w:pPr>
      <w:r>
        <w:rPr>
          <w:rFonts w:ascii="宋体" w:hAnsi="宋体" w:eastAsia="宋体" w:cs="宋体"/>
          <w:spacing w:val="-3"/>
          <w:sz w:val="21"/>
          <w:szCs w:val="21"/>
        </w:rPr>
        <w:t>（</w:t>
      </w:r>
      <w:r>
        <w:rPr>
          <w:rFonts w:ascii="Times New Roman" w:hAnsi="Times New Roman" w:eastAsia="Times New Roman" w:cs="Times New Roman"/>
          <w:spacing w:val="-3"/>
          <w:sz w:val="21"/>
          <w:szCs w:val="21"/>
        </w:rPr>
        <w:t>4</w:t>
      </w:r>
      <w:r>
        <w:rPr>
          <w:rFonts w:ascii="宋体" w:hAnsi="宋体" w:eastAsia="宋体" w:cs="宋体"/>
          <w:spacing w:val="-3"/>
          <w:sz w:val="21"/>
          <w:szCs w:val="21"/>
        </w:rPr>
        <w:t>）信誉要求：见投标人须知前附表；</w:t>
      </w:r>
    </w:p>
    <w:p w14:paraId="43E63C4A">
      <w:pPr>
        <w:spacing w:before="111" w:line="220" w:lineRule="auto"/>
        <w:ind w:left="745"/>
        <w:rPr>
          <w:rFonts w:ascii="宋体" w:hAnsi="宋体" w:eastAsia="宋体" w:cs="宋体"/>
          <w:sz w:val="21"/>
          <w:szCs w:val="21"/>
        </w:rPr>
      </w:pPr>
      <w:r>
        <w:rPr>
          <w:rFonts w:ascii="宋体" w:hAnsi="宋体" w:eastAsia="宋体" w:cs="宋体"/>
          <w:spacing w:val="-7"/>
          <w:sz w:val="21"/>
          <w:szCs w:val="21"/>
        </w:rPr>
        <w:t>（</w:t>
      </w:r>
      <w:r>
        <w:rPr>
          <w:rFonts w:ascii="Times New Roman" w:hAnsi="Times New Roman" w:eastAsia="Times New Roman" w:cs="Times New Roman"/>
          <w:spacing w:val="-7"/>
          <w:sz w:val="21"/>
          <w:szCs w:val="21"/>
        </w:rPr>
        <w:t>5</w:t>
      </w:r>
      <w:r>
        <w:rPr>
          <w:rFonts w:ascii="宋体" w:hAnsi="宋体" w:eastAsia="宋体" w:cs="宋体"/>
          <w:spacing w:val="-7"/>
          <w:sz w:val="21"/>
          <w:szCs w:val="21"/>
        </w:rPr>
        <w:t>）项目经理资格： 见投标人须知前附表；</w:t>
      </w:r>
    </w:p>
    <w:p w14:paraId="37D5B3BD">
      <w:pPr>
        <w:spacing w:before="110" w:line="360" w:lineRule="exact"/>
        <w:ind w:left="745"/>
        <w:rPr>
          <w:rFonts w:ascii="宋体" w:hAnsi="宋体" w:eastAsia="宋体" w:cs="宋体"/>
          <w:sz w:val="21"/>
          <w:szCs w:val="21"/>
        </w:rPr>
      </w:pPr>
      <w:r>
        <w:rPr>
          <w:rFonts w:ascii="宋体" w:hAnsi="宋体" w:eastAsia="宋体" w:cs="宋体"/>
          <w:spacing w:val="-2"/>
          <w:position w:val="11"/>
          <w:sz w:val="21"/>
          <w:szCs w:val="21"/>
        </w:rPr>
        <w:t>（</w:t>
      </w:r>
      <w:r>
        <w:rPr>
          <w:rFonts w:ascii="Times New Roman" w:hAnsi="Times New Roman" w:eastAsia="Times New Roman" w:cs="Times New Roman"/>
          <w:spacing w:val="-2"/>
          <w:position w:val="11"/>
          <w:sz w:val="21"/>
          <w:szCs w:val="21"/>
        </w:rPr>
        <w:t>6</w:t>
      </w:r>
      <w:r>
        <w:rPr>
          <w:rFonts w:ascii="宋体" w:hAnsi="宋体" w:eastAsia="宋体" w:cs="宋体"/>
          <w:spacing w:val="-2"/>
          <w:position w:val="11"/>
          <w:sz w:val="21"/>
          <w:szCs w:val="21"/>
        </w:rPr>
        <w:t>）项目管理机构主要人员要求：见投标人须知前附表；</w:t>
      </w:r>
    </w:p>
    <w:p w14:paraId="6AE717FB">
      <w:pPr>
        <w:spacing w:line="219" w:lineRule="auto"/>
        <w:ind w:left="745"/>
        <w:rPr>
          <w:rFonts w:ascii="宋体" w:hAnsi="宋体" w:eastAsia="宋体" w:cs="宋体"/>
          <w:sz w:val="21"/>
          <w:szCs w:val="21"/>
        </w:rPr>
      </w:pPr>
      <w:r>
        <w:rPr>
          <w:rFonts w:ascii="宋体" w:hAnsi="宋体" w:eastAsia="宋体" w:cs="宋体"/>
          <w:spacing w:val="-2"/>
          <w:sz w:val="21"/>
          <w:szCs w:val="21"/>
        </w:rPr>
        <w:t>（</w:t>
      </w:r>
      <w:r>
        <w:rPr>
          <w:rFonts w:ascii="Times New Roman" w:hAnsi="Times New Roman" w:eastAsia="Times New Roman" w:cs="Times New Roman"/>
          <w:spacing w:val="-2"/>
          <w:sz w:val="21"/>
          <w:szCs w:val="21"/>
        </w:rPr>
        <w:t>7</w:t>
      </w:r>
      <w:r>
        <w:rPr>
          <w:rFonts w:ascii="宋体" w:hAnsi="宋体" w:eastAsia="宋体" w:cs="宋体"/>
          <w:spacing w:val="-2"/>
          <w:sz w:val="21"/>
          <w:szCs w:val="21"/>
        </w:rPr>
        <w:t>）其他要求：见投标人须知前附表。</w:t>
      </w:r>
    </w:p>
    <w:p w14:paraId="3B31034C">
      <w:pPr>
        <w:spacing w:before="111" w:line="268" w:lineRule="auto"/>
        <w:ind w:left="21" w:right="1" w:firstLine="436"/>
        <w:rPr>
          <w:rFonts w:ascii="宋体" w:hAnsi="宋体" w:eastAsia="宋体" w:cs="宋体"/>
          <w:sz w:val="21"/>
          <w:szCs w:val="21"/>
        </w:rPr>
      </w:pPr>
      <w:r>
        <w:rPr>
          <w:rFonts w:ascii="Times New Roman" w:hAnsi="Times New Roman" w:eastAsia="Times New Roman" w:cs="Times New Roman"/>
          <w:spacing w:val="-2"/>
          <w:sz w:val="21"/>
          <w:szCs w:val="21"/>
        </w:rPr>
        <w:t xml:space="preserve">1.4.2 </w:t>
      </w:r>
      <w:r>
        <w:rPr>
          <w:rFonts w:ascii="宋体" w:hAnsi="宋体" w:eastAsia="宋体" w:cs="宋体"/>
          <w:spacing w:val="-2"/>
          <w:sz w:val="21"/>
          <w:szCs w:val="21"/>
        </w:rPr>
        <w:t>投标人须知前附表规定接受联合体投标的，除应符合本章第</w:t>
      </w:r>
      <w:r>
        <w:rPr>
          <w:rFonts w:ascii="宋体" w:hAnsi="宋体" w:eastAsia="宋体" w:cs="宋体"/>
          <w:spacing w:val="-18"/>
          <w:sz w:val="21"/>
          <w:szCs w:val="21"/>
        </w:rPr>
        <w:t xml:space="preserve"> </w:t>
      </w:r>
      <w:r>
        <w:rPr>
          <w:rFonts w:ascii="Times New Roman" w:hAnsi="Times New Roman" w:eastAsia="Times New Roman" w:cs="Times New Roman"/>
          <w:spacing w:val="-2"/>
          <w:sz w:val="21"/>
          <w:szCs w:val="21"/>
        </w:rPr>
        <w:t xml:space="preserve">1.4.1 </w:t>
      </w:r>
      <w:r>
        <w:rPr>
          <w:rFonts w:ascii="宋体" w:hAnsi="宋体" w:eastAsia="宋体" w:cs="宋体"/>
          <w:spacing w:val="-2"/>
          <w:sz w:val="21"/>
          <w:szCs w:val="21"/>
        </w:rPr>
        <w:t>项和投标人须知</w:t>
      </w:r>
      <w:r>
        <w:rPr>
          <w:rFonts w:ascii="宋体" w:hAnsi="宋体" w:eastAsia="宋体" w:cs="宋体"/>
          <w:sz w:val="21"/>
          <w:szCs w:val="21"/>
        </w:rPr>
        <w:t xml:space="preserve"> </w:t>
      </w:r>
      <w:r>
        <w:rPr>
          <w:rFonts w:ascii="宋体" w:hAnsi="宋体" w:eastAsia="宋体" w:cs="宋体"/>
          <w:spacing w:val="-3"/>
          <w:sz w:val="21"/>
          <w:szCs w:val="21"/>
        </w:rPr>
        <w:t>前附表的要求外，还应遵守以下规定：</w:t>
      </w:r>
    </w:p>
    <w:p w14:paraId="02EFF82B">
      <w:pPr>
        <w:spacing w:before="109" w:line="269" w:lineRule="auto"/>
        <w:ind w:left="19" w:right="16" w:firstLine="725"/>
        <w:rPr>
          <w:rFonts w:ascii="宋体" w:hAnsi="宋体" w:eastAsia="宋体" w:cs="宋体"/>
          <w:sz w:val="21"/>
          <w:szCs w:val="21"/>
        </w:rPr>
      </w:pPr>
      <w:r>
        <w:rPr>
          <w:rFonts w:ascii="宋体" w:hAnsi="宋体" w:eastAsia="宋体" w:cs="宋体"/>
          <w:spacing w:val="3"/>
          <w:sz w:val="21"/>
          <w:szCs w:val="21"/>
        </w:rPr>
        <w:t>（</w:t>
      </w:r>
      <w:r>
        <w:rPr>
          <w:rFonts w:ascii="Times New Roman" w:hAnsi="Times New Roman" w:eastAsia="Times New Roman" w:cs="Times New Roman"/>
          <w:spacing w:val="3"/>
          <w:sz w:val="21"/>
          <w:szCs w:val="21"/>
        </w:rPr>
        <w:t>1</w:t>
      </w:r>
      <w:r>
        <w:rPr>
          <w:rFonts w:ascii="宋体" w:hAnsi="宋体" w:eastAsia="宋体" w:cs="宋体"/>
          <w:spacing w:val="3"/>
          <w:sz w:val="21"/>
          <w:szCs w:val="21"/>
        </w:rPr>
        <w:t>）联合体各方应按招标文件提供的格式签订联合体协议书，明确联合体牵头人</w:t>
      </w:r>
      <w:r>
        <w:rPr>
          <w:rFonts w:ascii="宋体" w:hAnsi="宋体" w:eastAsia="宋体" w:cs="宋体"/>
          <w:spacing w:val="7"/>
          <w:sz w:val="21"/>
          <w:szCs w:val="21"/>
        </w:rPr>
        <w:t xml:space="preserve"> </w:t>
      </w:r>
      <w:r>
        <w:rPr>
          <w:rFonts w:ascii="宋体" w:hAnsi="宋体" w:eastAsia="宋体" w:cs="宋体"/>
          <w:spacing w:val="-5"/>
          <w:sz w:val="21"/>
          <w:szCs w:val="21"/>
        </w:rPr>
        <w:t>和各方权利义务；</w:t>
      </w:r>
    </w:p>
    <w:p w14:paraId="4BB1CA87">
      <w:pPr>
        <w:spacing w:before="108" w:line="269" w:lineRule="auto"/>
        <w:ind w:left="745" w:right="193"/>
        <w:rPr>
          <w:rFonts w:ascii="宋体" w:hAnsi="宋体" w:eastAsia="宋体" w:cs="宋体"/>
          <w:sz w:val="21"/>
          <w:szCs w:val="21"/>
        </w:rPr>
      </w:pPr>
      <w:r>
        <w:rPr>
          <w:rFonts w:ascii="宋体" w:hAnsi="宋体" w:eastAsia="宋体" w:cs="宋体"/>
          <w:spacing w:val="-5"/>
          <w:sz w:val="21"/>
          <w:szCs w:val="21"/>
        </w:rPr>
        <w:t>（</w:t>
      </w:r>
      <w:r>
        <w:rPr>
          <w:rFonts w:ascii="Times New Roman" w:hAnsi="Times New Roman" w:eastAsia="Times New Roman" w:cs="Times New Roman"/>
          <w:spacing w:val="-5"/>
          <w:sz w:val="21"/>
          <w:szCs w:val="21"/>
        </w:rPr>
        <w:t>2</w:t>
      </w:r>
      <w:r>
        <w:rPr>
          <w:rFonts w:ascii="宋体" w:hAnsi="宋体" w:eastAsia="宋体" w:cs="宋体"/>
          <w:spacing w:val="-5"/>
          <w:sz w:val="21"/>
          <w:szCs w:val="21"/>
        </w:rPr>
        <w:t>）由同一专业的单位组成的联合体， 按照资质等级较低的单位确定资质等级；</w:t>
      </w:r>
      <w:r>
        <w:rPr>
          <w:rFonts w:ascii="宋体" w:hAnsi="宋体" w:eastAsia="宋体" w:cs="宋体"/>
          <w:spacing w:val="18"/>
          <w:sz w:val="21"/>
          <w:szCs w:val="21"/>
        </w:rPr>
        <w:t xml:space="preserve"> </w:t>
      </w:r>
      <w:r>
        <w:rPr>
          <w:rFonts w:ascii="宋体" w:hAnsi="宋体" w:eastAsia="宋体" w:cs="宋体"/>
          <w:spacing w:val="-1"/>
          <w:sz w:val="21"/>
          <w:szCs w:val="21"/>
        </w:rPr>
        <w:t>（</w:t>
      </w:r>
      <w:r>
        <w:rPr>
          <w:rFonts w:ascii="Times New Roman" w:hAnsi="Times New Roman" w:eastAsia="Times New Roman" w:cs="Times New Roman"/>
          <w:spacing w:val="-1"/>
          <w:sz w:val="21"/>
          <w:szCs w:val="21"/>
        </w:rPr>
        <w:t>3</w:t>
      </w:r>
      <w:r>
        <w:rPr>
          <w:rFonts w:ascii="宋体" w:hAnsi="宋体" w:eastAsia="宋体" w:cs="宋体"/>
          <w:spacing w:val="-1"/>
          <w:sz w:val="21"/>
          <w:szCs w:val="21"/>
        </w:rPr>
        <w:t>）联合体各方不得再以自己名义单独或参加其他联合体在同一标段中投标。</w:t>
      </w:r>
    </w:p>
    <w:p w14:paraId="577A9667">
      <w:pPr>
        <w:spacing w:before="109" w:line="221" w:lineRule="auto"/>
        <w:ind w:left="457"/>
        <w:rPr>
          <w:rFonts w:ascii="宋体" w:hAnsi="宋体" w:eastAsia="宋体" w:cs="宋体"/>
          <w:sz w:val="21"/>
          <w:szCs w:val="21"/>
        </w:rPr>
      </w:pPr>
      <w:r>
        <w:rPr>
          <w:rFonts w:ascii="Times New Roman" w:hAnsi="Times New Roman" w:eastAsia="Times New Roman" w:cs="Times New Roman"/>
          <w:spacing w:val="-2"/>
          <w:sz w:val="21"/>
          <w:szCs w:val="21"/>
        </w:rPr>
        <w:t xml:space="preserve">1.4.3 </w:t>
      </w:r>
      <w:r>
        <w:rPr>
          <w:rFonts w:ascii="宋体" w:hAnsi="宋体" w:eastAsia="宋体" w:cs="宋体"/>
          <w:spacing w:val="-2"/>
          <w:sz w:val="21"/>
          <w:szCs w:val="21"/>
        </w:rPr>
        <w:t>投标人不得存在下列情形之一：</w:t>
      </w:r>
    </w:p>
    <w:p w14:paraId="404122D8">
      <w:pPr>
        <w:spacing w:before="109" w:line="220" w:lineRule="auto"/>
        <w:ind w:left="745"/>
        <w:rPr>
          <w:rFonts w:ascii="宋体" w:hAnsi="宋体" w:eastAsia="宋体" w:cs="宋体"/>
          <w:sz w:val="21"/>
          <w:szCs w:val="21"/>
        </w:rPr>
      </w:pPr>
      <w:r>
        <w:rPr>
          <w:rFonts w:ascii="宋体" w:hAnsi="宋体" w:eastAsia="宋体" w:cs="宋体"/>
          <w:spacing w:val="-4"/>
          <w:sz w:val="21"/>
          <w:szCs w:val="21"/>
        </w:rPr>
        <w:t>（</w:t>
      </w:r>
      <w:r>
        <w:rPr>
          <w:rFonts w:ascii="Times New Roman" w:hAnsi="Times New Roman" w:eastAsia="Times New Roman" w:cs="Times New Roman"/>
          <w:spacing w:val="-4"/>
          <w:sz w:val="21"/>
          <w:szCs w:val="21"/>
        </w:rPr>
        <w:t>1</w:t>
      </w:r>
      <w:r>
        <w:rPr>
          <w:rFonts w:ascii="宋体" w:hAnsi="宋体" w:eastAsia="宋体" w:cs="宋体"/>
          <w:spacing w:val="-4"/>
          <w:sz w:val="21"/>
          <w:szCs w:val="21"/>
        </w:rPr>
        <w:t>）为招标人不具有独立法人资格的附属机构（单位</w:t>
      </w:r>
      <w:r>
        <w:rPr>
          <w:rFonts w:ascii="宋体" w:hAnsi="宋体" w:eastAsia="宋体" w:cs="宋体"/>
          <w:spacing w:val="-20"/>
          <w:sz w:val="21"/>
          <w:szCs w:val="21"/>
        </w:rPr>
        <w:t>）；</w:t>
      </w:r>
    </w:p>
    <w:p w14:paraId="23A82169">
      <w:pPr>
        <w:spacing w:line="220" w:lineRule="auto"/>
        <w:rPr>
          <w:rFonts w:ascii="宋体" w:hAnsi="宋体" w:eastAsia="宋体" w:cs="宋体"/>
          <w:sz w:val="21"/>
          <w:szCs w:val="21"/>
        </w:rPr>
        <w:sectPr>
          <w:footerReference r:id="rId20" w:type="default"/>
          <w:pgSz w:w="11905" w:h="16839"/>
          <w:pgMar w:top="1431" w:right="1785" w:bottom="1036" w:left="1785" w:header="0" w:footer="847" w:gutter="0"/>
          <w:pgNumType w:fmt="decimal"/>
          <w:cols w:space="720" w:num="1"/>
        </w:sectPr>
      </w:pPr>
    </w:p>
    <w:p w14:paraId="48D02012">
      <w:pPr>
        <w:spacing w:before="115" w:line="360" w:lineRule="exact"/>
        <w:ind w:left="745"/>
        <w:rPr>
          <w:rFonts w:ascii="宋体" w:hAnsi="宋体" w:eastAsia="宋体" w:cs="宋体"/>
          <w:sz w:val="21"/>
          <w:szCs w:val="21"/>
        </w:rPr>
      </w:pPr>
      <w:bookmarkStart w:id="68" w:name="bookmark85"/>
      <w:bookmarkEnd w:id="68"/>
      <w:bookmarkStart w:id="69" w:name="bookmark87"/>
      <w:bookmarkEnd w:id="69"/>
      <w:bookmarkStart w:id="70" w:name="bookmark83"/>
      <w:bookmarkEnd w:id="70"/>
      <w:bookmarkStart w:id="71" w:name="bookmark84"/>
      <w:bookmarkEnd w:id="71"/>
      <w:bookmarkStart w:id="72" w:name="bookmark82"/>
      <w:bookmarkEnd w:id="72"/>
      <w:bookmarkStart w:id="73" w:name="bookmark88"/>
      <w:bookmarkEnd w:id="73"/>
      <w:bookmarkStart w:id="74" w:name="bookmark86"/>
      <w:bookmarkEnd w:id="74"/>
      <w:r>
        <w:rPr>
          <w:rFonts w:ascii="宋体" w:hAnsi="宋体" w:eastAsia="宋体" w:cs="宋体"/>
          <w:spacing w:val="-1"/>
          <w:position w:val="11"/>
          <w:sz w:val="21"/>
          <w:szCs w:val="21"/>
        </w:rPr>
        <w:t>（</w:t>
      </w:r>
      <w:r>
        <w:rPr>
          <w:rFonts w:ascii="Times New Roman" w:hAnsi="Times New Roman" w:eastAsia="Times New Roman" w:cs="Times New Roman"/>
          <w:spacing w:val="-1"/>
          <w:position w:val="11"/>
          <w:sz w:val="21"/>
          <w:szCs w:val="21"/>
        </w:rPr>
        <w:t>2</w:t>
      </w:r>
      <w:r>
        <w:rPr>
          <w:rFonts w:ascii="宋体" w:hAnsi="宋体" w:eastAsia="宋体" w:cs="宋体"/>
          <w:spacing w:val="-1"/>
          <w:position w:val="11"/>
          <w:sz w:val="21"/>
          <w:szCs w:val="21"/>
        </w:rPr>
        <w:t>）为本标段前期准备提供设计或咨询服务的；</w:t>
      </w:r>
    </w:p>
    <w:p w14:paraId="6B1580A3">
      <w:pPr>
        <w:spacing w:line="219" w:lineRule="auto"/>
        <w:ind w:left="745"/>
        <w:rPr>
          <w:rFonts w:ascii="宋体" w:hAnsi="宋体" w:eastAsia="宋体" w:cs="宋体"/>
          <w:sz w:val="21"/>
          <w:szCs w:val="21"/>
        </w:rPr>
      </w:pPr>
      <w:r>
        <w:rPr>
          <w:rFonts w:ascii="宋体" w:hAnsi="宋体" w:eastAsia="宋体" w:cs="宋体"/>
          <w:spacing w:val="-3"/>
          <w:sz w:val="21"/>
          <w:szCs w:val="21"/>
        </w:rPr>
        <w:t>（</w:t>
      </w:r>
      <w:r>
        <w:rPr>
          <w:rFonts w:ascii="Times New Roman" w:hAnsi="Times New Roman" w:eastAsia="Times New Roman" w:cs="Times New Roman"/>
          <w:spacing w:val="-3"/>
          <w:sz w:val="21"/>
          <w:szCs w:val="21"/>
        </w:rPr>
        <w:t>3</w:t>
      </w:r>
      <w:r>
        <w:rPr>
          <w:rFonts w:ascii="宋体" w:hAnsi="宋体" w:eastAsia="宋体" w:cs="宋体"/>
          <w:spacing w:val="-3"/>
          <w:sz w:val="21"/>
          <w:szCs w:val="21"/>
        </w:rPr>
        <w:t>）为本标段的监理人；</w:t>
      </w:r>
    </w:p>
    <w:p w14:paraId="4D87549B">
      <w:pPr>
        <w:spacing w:before="109" w:line="220" w:lineRule="auto"/>
        <w:ind w:left="745"/>
        <w:rPr>
          <w:rFonts w:ascii="宋体" w:hAnsi="宋体" w:eastAsia="宋体" w:cs="宋体"/>
          <w:sz w:val="21"/>
          <w:szCs w:val="21"/>
        </w:rPr>
      </w:pPr>
      <w:r>
        <w:rPr>
          <w:rFonts w:ascii="宋体" w:hAnsi="宋体" w:eastAsia="宋体" w:cs="宋体"/>
          <w:spacing w:val="-3"/>
          <w:sz w:val="21"/>
          <w:szCs w:val="21"/>
        </w:rPr>
        <w:t>（</w:t>
      </w:r>
      <w:r>
        <w:rPr>
          <w:rFonts w:ascii="Times New Roman" w:hAnsi="Times New Roman" w:eastAsia="Times New Roman" w:cs="Times New Roman"/>
          <w:spacing w:val="-3"/>
          <w:sz w:val="21"/>
          <w:szCs w:val="21"/>
        </w:rPr>
        <w:t>4</w:t>
      </w:r>
      <w:r>
        <w:rPr>
          <w:rFonts w:ascii="宋体" w:hAnsi="宋体" w:eastAsia="宋体" w:cs="宋体"/>
          <w:spacing w:val="-3"/>
          <w:sz w:val="21"/>
          <w:szCs w:val="21"/>
        </w:rPr>
        <w:t>）为本标段的代建人；</w:t>
      </w:r>
    </w:p>
    <w:p w14:paraId="0F362EB3">
      <w:pPr>
        <w:spacing w:before="110" w:line="220" w:lineRule="auto"/>
        <w:ind w:left="745"/>
        <w:rPr>
          <w:rFonts w:ascii="宋体" w:hAnsi="宋体" w:eastAsia="宋体" w:cs="宋体"/>
          <w:sz w:val="21"/>
          <w:szCs w:val="21"/>
        </w:rPr>
      </w:pPr>
      <w:r>
        <w:rPr>
          <w:rFonts w:ascii="宋体" w:hAnsi="宋体" w:eastAsia="宋体" w:cs="宋体"/>
          <w:spacing w:val="-3"/>
          <w:sz w:val="21"/>
          <w:szCs w:val="21"/>
        </w:rPr>
        <w:t>（</w:t>
      </w:r>
      <w:r>
        <w:rPr>
          <w:rFonts w:ascii="Times New Roman" w:hAnsi="Times New Roman" w:eastAsia="Times New Roman" w:cs="Times New Roman"/>
          <w:spacing w:val="-3"/>
          <w:sz w:val="21"/>
          <w:szCs w:val="21"/>
        </w:rPr>
        <w:t>5</w:t>
      </w:r>
      <w:r>
        <w:rPr>
          <w:rFonts w:ascii="宋体" w:hAnsi="宋体" w:eastAsia="宋体" w:cs="宋体"/>
          <w:spacing w:val="-3"/>
          <w:sz w:val="21"/>
          <w:szCs w:val="21"/>
        </w:rPr>
        <w:t>）为本标段提供招标代理服务；</w:t>
      </w:r>
    </w:p>
    <w:p w14:paraId="6C25053D">
      <w:pPr>
        <w:spacing w:before="109" w:line="270" w:lineRule="auto"/>
        <w:ind w:left="20" w:right="180" w:firstLine="725"/>
        <w:rPr>
          <w:rFonts w:ascii="宋体" w:hAnsi="宋体" w:eastAsia="宋体" w:cs="宋体"/>
          <w:sz w:val="21"/>
          <w:szCs w:val="21"/>
        </w:rPr>
      </w:pPr>
      <w:r>
        <w:rPr>
          <w:rFonts w:ascii="宋体" w:hAnsi="宋体" w:eastAsia="宋体" w:cs="宋体"/>
          <w:spacing w:val="3"/>
          <w:sz w:val="21"/>
          <w:szCs w:val="21"/>
        </w:rPr>
        <w:t>（</w:t>
      </w:r>
      <w:r>
        <w:rPr>
          <w:rFonts w:ascii="Times New Roman" w:hAnsi="Times New Roman" w:eastAsia="Times New Roman" w:cs="Times New Roman"/>
          <w:spacing w:val="3"/>
          <w:sz w:val="21"/>
          <w:szCs w:val="21"/>
        </w:rPr>
        <w:t>6</w:t>
      </w:r>
      <w:r>
        <w:rPr>
          <w:rFonts w:ascii="宋体" w:hAnsi="宋体" w:eastAsia="宋体" w:cs="宋体"/>
          <w:spacing w:val="3"/>
          <w:sz w:val="21"/>
          <w:szCs w:val="21"/>
        </w:rPr>
        <w:t>）与本标段的监理人或代建人或招标代理机构同为一个法定代表人或单位负责</w:t>
      </w:r>
      <w:r>
        <w:rPr>
          <w:rFonts w:ascii="宋体" w:hAnsi="宋体" w:eastAsia="宋体" w:cs="宋体"/>
          <w:spacing w:val="16"/>
          <w:sz w:val="21"/>
          <w:szCs w:val="21"/>
        </w:rPr>
        <w:t xml:space="preserve"> </w:t>
      </w:r>
      <w:r>
        <w:rPr>
          <w:rFonts w:ascii="宋体" w:hAnsi="宋体" w:eastAsia="宋体" w:cs="宋体"/>
          <w:spacing w:val="-15"/>
          <w:sz w:val="21"/>
          <w:szCs w:val="21"/>
        </w:rPr>
        <w:t>人；</w:t>
      </w:r>
    </w:p>
    <w:p w14:paraId="4E05A354">
      <w:pPr>
        <w:spacing w:before="107" w:line="220" w:lineRule="auto"/>
        <w:ind w:left="745"/>
        <w:rPr>
          <w:rFonts w:ascii="宋体" w:hAnsi="宋体" w:eastAsia="宋体" w:cs="宋体"/>
          <w:sz w:val="21"/>
          <w:szCs w:val="21"/>
        </w:rPr>
      </w:pPr>
      <w:r>
        <w:rPr>
          <w:rFonts w:ascii="宋体" w:hAnsi="宋体" w:eastAsia="宋体" w:cs="宋体"/>
          <w:spacing w:val="-1"/>
          <w:sz w:val="21"/>
          <w:szCs w:val="21"/>
        </w:rPr>
        <w:t>（</w:t>
      </w:r>
      <w:r>
        <w:rPr>
          <w:rFonts w:ascii="Times New Roman" w:hAnsi="Times New Roman" w:eastAsia="Times New Roman" w:cs="Times New Roman"/>
          <w:spacing w:val="-1"/>
          <w:sz w:val="21"/>
          <w:szCs w:val="21"/>
        </w:rPr>
        <w:t>7</w:t>
      </w:r>
      <w:r>
        <w:rPr>
          <w:rFonts w:ascii="宋体" w:hAnsi="宋体" w:eastAsia="宋体" w:cs="宋体"/>
          <w:spacing w:val="-1"/>
          <w:sz w:val="21"/>
          <w:szCs w:val="21"/>
        </w:rPr>
        <w:t>）与本标段的监理人或代建人或招标代理机构</w:t>
      </w:r>
      <w:r>
        <w:rPr>
          <w:rFonts w:ascii="宋体" w:hAnsi="宋体" w:eastAsia="宋体" w:cs="宋体"/>
          <w:spacing w:val="-2"/>
          <w:sz w:val="21"/>
          <w:szCs w:val="21"/>
        </w:rPr>
        <w:t>相互控股或参股；</w:t>
      </w:r>
    </w:p>
    <w:p w14:paraId="4A7745E8">
      <w:pPr>
        <w:spacing w:before="109" w:line="269" w:lineRule="auto"/>
        <w:ind w:left="17" w:right="188" w:firstLine="727"/>
        <w:rPr>
          <w:rFonts w:ascii="宋体" w:hAnsi="宋体" w:eastAsia="宋体" w:cs="宋体"/>
          <w:sz w:val="21"/>
          <w:szCs w:val="21"/>
        </w:rPr>
      </w:pPr>
      <w:r>
        <w:rPr>
          <w:rFonts w:ascii="宋体" w:hAnsi="宋体" w:eastAsia="宋体" w:cs="宋体"/>
          <w:spacing w:val="3"/>
          <w:sz w:val="21"/>
          <w:szCs w:val="21"/>
        </w:rPr>
        <w:t>（</w:t>
      </w:r>
      <w:r>
        <w:rPr>
          <w:rFonts w:ascii="Times New Roman" w:hAnsi="Times New Roman" w:eastAsia="Times New Roman" w:cs="Times New Roman"/>
          <w:spacing w:val="3"/>
          <w:sz w:val="21"/>
          <w:szCs w:val="21"/>
        </w:rPr>
        <w:t>8</w:t>
      </w:r>
      <w:r>
        <w:rPr>
          <w:rFonts w:ascii="宋体" w:hAnsi="宋体" w:eastAsia="宋体" w:cs="宋体"/>
          <w:spacing w:val="3"/>
          <w:sz w:val="21"/>
          <w:szCs w:val="21"/>
        </w:rPr>
        <w:t>）与本标段的监理人或代建人或招标代理机构的法定代表人或单位负责人相互</w:t>
      </w:r>
      <w:r>
        <w:rPr>
          <w:rFonts w:ascii="宋体" w:hAnsi="宋体" w:eastAsia="宋体" w:cs="宋体"/>
          <w:spacing w:val="8"/>
          <w:sz w:val="21"/>
          <w:szCs w:val="21"/>
        </w:rPr>
        <w:t xml:space="preserve"> </w:t>
      </w:r>
      <w:r>
        <w:rPr>
          <w:rFonts w:ascii="宋体" w:hAnsi="宋体" w:eastAsia="宋体" w:cs="宋体"/>
          <w:spacing w:val="-1"/>
          <w:sz w:val="21"/>
          <w:szCs w:val="21"/>
        </w:rPr>
        <w:t>任职或工作；</w:t>
      </w:r>
    </w:p>
    <w:p w14:paraId="12B26641">
      <w:pPr>
        <w:spacing w:before="109" w:line="269" w:lineRule="auto"/>
        <w:ind w:left="20" w:right="180" w:firstLine="724"/>
        <w:rPr>
          <w:rFonts w:ascii="宋体" w:hAnsi="宋体" w:eastAsia="宋体" w:cs="宋体"/>
          <w:sz w:val="21"/>
          <w:szCs w:val="21"/>
        </w:rPr>
      </w:pPr>
      <w:r>
        <w:rPr>
          <w:rFonts w:ascii="宋体" w:hAnsi="宋体" w:eastAsia="宋体" w:cs="宋体"/>
          <w:spacing w:val="3"/>
          <w:sz w:val="21"/>
          <w:szCs w:val="21"/>
        </w:rPr>
        <w:t>（</w:t>
      </w:r>
      <w:r>
        <w:rPr>
          <w:rFonts w:ascii="Times New Roman" w:hAnsi="Times New Roman" w:eastAsia="Times New Roman" w:cs="Times New Roman"/>
          <w:spacing w:val="3"/>
          <w:sz w:val="21"/>
          <w:szCs w:val="21"/>
        </w:rPr>
        <w:t>9</w:t>
      </w:r>
      <w:r>
        <w:rPr>
          <w:rFonts w:ascii="宋体" w:hAnsi="宋体" w:eastAsia="宋体" w:cs="宋体"/>
          <w:spacing w:val="3"/>
          <w:sz w:val="21"/>
          <w:szCs w:val="21"/>
        </w:rPr>
        <w:t>）单位负责人为同一人或者存在控股、管理关系的不同单位，同时参加本标段</w:t>
      </w:r>
      <w:r>
        <w:rPr>
          <w:rFonts w:ascii="宋体" w:hAnsi="宋体" w:eastAsia="宋体" w:cs="宋体"/>
          <w:spacing w:val="16"/>
          <w:sz w:val="21"/>
          <w:szCs w:val="21"/>
        </w:rPr>
        <w:t xml:space="preserve"> </w:t>
      </w:r>
      <w:r>
        <w:rPr>
          <w:rFonts w:ascii="宋体" w:hAnsi="宋体" w:eastAsia="宋体" w:cs="宋体"/>
          <w:spacing w:val="-11"/>
          <w:sz w:val="21"/>
          <w:szCs w:val="21"/>
        </w:rPr>
        <w:t>投标的；</w:t>
      </w:r>
    </w:p>
    <w:p w14:paraId="4AC875D8">
      <w:pPr>
        <w:spacing w:before="107" w:line="285" w:lineRule="auto"/>
        <w:ind w:left="21" w:right="185" w:firstLine="723"/>
        <w:rPr>
          <w:rFonts w:ascii="宋体" w:hAnsi="宋体" w:eastAsia="宋体" w:cs="宋体"/>
          <w:sz w:val="21"/>
          <w:szCs w:val="21"/>
        </w:rPr>
      </w:pPr>
      <w:r>
        <w:rPr>
          <w:rFonts w:ascii="宋体" w:hAnsi="宋体" w:eastAsia="宋体" w:cs="宋体"/>
          <w:sz w:val="21"/>
          <w:szCs w:val="21"/>
        </w:rPr>
        <w:t>（</w:t>
      </w:r>
      <w:r>
        <w:rPr>
          <w:rFonts w:ascii="Times New Roman" w:hAnsi="Times New Roman" w:eastAsia="Times New Roman" w:cs="Times New Roman"/>
          <w:sz w:val="21"/>
          <w:szCs w:val="21"/>
        </w:rPr>
        <w:t>10</w:t>
      </w:r>
      <w:r>
        <w:rPr>
          <w:rFonts w:ascii="宋体" w:hAnsi="宋体" w:eastAsia="宋体" w:cs="宋体"/>
          <w:sz w:val="21"/>
          <w:szCs w:val="21"/>
        </w:rPr>
        <w:t>）被依法暂停或取消投标资格（指被本招标项目所在地县级及以上住房城乡建</w:t>
      </w:r>
      <w:r>
        <w:rPr>
          <w:rFonts w:ascii="宋体" w:hAnsi="宋体" w:eastAsia="宋体" w:cs="宋体"/>
          <w:spacing w:val="15"/>
          <w:sz w:val="21"/>
          <w:szCs w:val="21"/>
        </w:rPr>
        <w:t xml:space="preserve"> </w:t>
      </w:r>
      <w:r>
        <w:rPr>
          <w:rFonts w:ascii="宋体" w:hAnsi="宋体" w:eastAsia="宋体" w:cs="宋体"/>
          <w:spacing w:val="3"/>
          <w:sz w:val="21"/>
          <w:szCs w:val="21"/>
        </w:rPr>
        <w:t>设主管部门或其他行政主管部门暂停或取消投标资格或禁止进入该区</w:t>
      </w:r>
      <w:r>
        <w:rPr>
          <w:rFonts w:ascii="宋体" w:hAnsi="宋体" w:eastAsia="宋体" w:cs="宋体"/>
          <w:spacing w:val="2"/>
          <w:sz w:val="21"/>
          <w:szCs w:val="21"/>
        </w:rPr>
        <w:t>域建设市场且处于有</w:t>
      </w:r>
      <w:r>
        <w:rPr>
          <w:rFonts w:ascii="宋体" w:hAnsi="宋体" w:eastAsia="宋体" w:cs="宋体"/>
          <w:sz w:val="21"/>
          <w:szCs w:val="21"/>
        </w:rPr>
        <w:t xml:space="preserve"> </w:t>
      </w:r>
      <w:r>
        <w:rPr>
          <w:rFonts w:ascii="宋体" w:hAnsi="宋体" w:eastAsia="宋体" w:cs="宋体"/>
          <w:spacing w:val="-32"/>
          <w:sz w:val="21"/>
          <w:szCs w:val="21"/>
        </w:rPr>
        <w:t>效期内</w:t>
      </w:r>
      <w:r>
        <w:rPr>
          <w:rFonts w:ascii="宋体" w:hAnsi="宋体" w:eastAsia="宋体" w:cs="宋体"/>
          <w:spacing w:val="-16"/>
          <w:sz w:val="21"/>
          <w:szCs w:val="21"/>
        </w:rPr>
        <w:t>）；</w:t>
      </w:r>
    </w:p>
    <w:p w14:paraId="15883132">
      <w:pPr>
        <w:spacing w:before="109" w:line="220" w:lineRule="auto"/>
        <w:ind w:left="745"/>
        <w:rPr>
          <w:rFonts w:ascii="宋体" w:hAnsi="宋体" w:eastAsia="宋体" w:cs="宋体"/>
          <w:sz w:val="21"/>
          <w:szCs w:val="21"/>
        </w:rPr>
      </w:pPr>
      <w:r>
        <w:rPr>
          <w:rFonts w:ascii="宋体" w:hAnsi="宋体" w:eastAsia="宋体" w:cs="宋体"/>
          <w:spacing w:val="-2"/>
          <w:sz w:val="21"/>
          <w:szCs w:val="21"/>
        </w:rPr>
        <w:t>（</w:t>
      </w:r>
      <w:r>
        <w:rPr>
          <w:rFonts w:ascii="Times New Roman" w:hAnsi="Times New Roman" w:eastAsia="Times New Roman" w:cs="Times New Roman"/>
          <w:spacing w:val="-2"/>
          <w:sz w:val="21"/>
          <w:szCs w:val="21"/>
        </w:rPr>
        <w:t>11</w:t>
      </w:r>
      <w:r>
        <w:rPr>
          <w:rFonts w:ascii="宋体" w:hAnsi="宋体" w:eastAsia="宋体" w:cs="宋体"/>
          <w:spacing w:val="-2"/>
          <w:sz w:val="21"/>
          <w:szCs w:val="21"/>
        </w:rPr>
        <w:t>）被责令停产停业、暂扣或者吊销许可证、暂扣或者吊销执照；</w:t>
      </w:r>
    </w:p>
    <w:p w14:paraId="76B5CFCD">
      <w:pPr>
        <w:spacing w:before="110" w:line="219" w:lineRule="auto"/>
        <w:ind w:left="745"/>
        <w:rPr>
          <w:rFonts w:ascii="宋体" w:hAnsi="宋体" w:eastAsia="宋体" w:cs="宋体"/>
          <w:sz w:val="21"/>
          <w:szCs w:val="21"/>
        </w:rPr>
      </w:pPr>
      <w:r>
        <w:rPr>
          <w:rFonts w:ascii="宋体" w:hAnsi="宋体" w:eastAsia="宋体" w:cs="宋体"/>
          <w:spacing w:val="-4"/>
          <w:sz w:val="21"/>
          <w:szCs w:val="21"/>
        </w:rPr>
        <w:t>（</w:t>
      </w:r>
      <w:r>
        <w:rPr>
          <w:rFonts w:ascii="Times New Roman" w:hAnsi="Times New Roman" w:eastAsia="Times New Roman" w:cs="Times New Roman"/>
          <w:spacing w:val="-4"/>
          <w:sz w:val="21"/>
          <w:szCs w:val="21"/>
        </w:rPr>
        <w:t>12</w:t>
      </w:r>
      <w:r>
        <w:rPr>
          <w:rFonts w:ascii="宋体" w:hAnsi="宋体" w:eastAsia="宋体" w:cs="宋体"/>
          <w:spacing w:val="-4"/>
          <w:sz w:val="21"/>
          <w:szCs w:val="21"/>
        </w:rPr>
        <w:t>）进入清算程序，或被宣告破产， 或其他丧失履约能力的情形；</w:t>
      </w:r>
    </w:p>
    <w:p w14:paraId="71EE1175">
      <w:pPr>
        <w:spacing w:before="111" w:line="268" w:lineRule="auto"/>
        <w:ind w:left="23" w:right="189" w:firstLine="721"/>
        <w:rPr>
          <w:rFonts w:ascii="宋体" w:hAnsi="宋体" w:eastAsia="宋体" w:cs="宋体"/>
          <w:sz w:val="21"/>
          <w:szCs w:val="21"/>
        </w:rPr>
      </w:pPr>
      <w:r>
        <w:rPr>
          <w:rFonts w:ascii="宋体" w:hAnsi="宋体" w:eastAsia="宋体" w:cs="宋体"/>
          <w:sz w:val="21"/>
          <w:szCs w:val="21"/>
        </w:rPr>
        <w:t>（</w:t>
      </w:r>
      <w:r>
        <w:rPr>
          <w:rFonts w:ascii="Times New Roman" w:hAnsi="Times New Roman" w:eastAsia="Times New Roman" w:cs="Times New Roman"/>
          <w:sz w:val="21"/>
          <w:szCs w:val="21"/>
        </w:rPr>
        <w:t>13</w:t>
      </w:r>
      <w:r>
        <w:rPr>
          <w:rFonts w:ascii="宋体" w:hAnsi="宋体" w:eastAsia="宋体" w:cs="宋体"/>
          <w:sz w:val="21"/>
          <w:szCs w:val="21"/>
        </w:rPr>
        <w:t>）在最近三年内有骗取中标或严重违约或重大工程质量问题的（以相关行业主</w:t>
      </w:r>
      <w:r>
        <w:rPr>
          <w:rFonts w:ascii="宋体" w:hAnsi="宋体" w:eastAsia="宋体" w:cs="宋体"/>
          <w:spacing w:val="11"/>
          <w:sz w:val="21"/>
          <w:szCs w:val="21"/>
        </w:rPr>
        <w:t xml:space="preserve"> </w:t>
      </w:r>
      <w:r>
        <w:rPr>
          <w:rFonts w:ascii="宋体" w:hAnsi="宋体" w:eastAsia="宋体" w:cs="宋体"/>
          <w:spacing w:val="-4"/>
          <w:sz w:val="21"/>
          <w:szCs w:val="21"/>
        </w:rPr>
        <w:t>管部门的行政处罚决定或司法机关出具的有关法律文书为准</w:t>
      </w:r>
      <w:r>
        <w:rPr>
          <w:rFonts w:ascii="宋体" w:hAnsi="宋体" w:eastAsia="宋体" w:cs="宋体"/>
          <w:spacing w:val="-14"/>
          <w:sz w:val="21"/>
          <w:szCs w:val="21"/>
        </w:rPr>
        <w:t>）；</w:t>
      </w:r>
    </w:p>
    <w:p w14:paraId="2B1F4800">
      <w:pPr>
        <w:spacing w:before="109" w:line="269" w:lineRule="auto"/>
        <w:ind w:left="18" w:right="191" w:firstLine="726"/>
        <w:rPr>
          <w:rFonts w:ascii="宋体" w:hAnsi="宋体" w:eastAsia="宋体" w:cs="宋体"/>
          <w:sz w:val="21"/>
          <w:szCs w:val="21"/>
        </w:rPr>
      </w:pPr>
      <w:r>
        <w:rPr>
          <w:rFonts w:ascii="宋体" w:hAnsi="宋体" w:eastAsia="宋体" w:cs="宋体"/>
          <w:sz w:val="21"/>
          <w:szCs w:val="21"/>
        </w:rPr>
        <w:t>（</w:t>
      </w:r>
      <w:r>
        <w:rPr>
          <w:rFonts w:ascii="Times New Roman" w:hAnsi="Times New Roman" w:eastAsia="Times New Roman" w:cs="Times New Roman"/>
          <w:sz w:val="21"/>
          <w:szCs w:val="21"/>
        </w:rPr>
        <w:t>14</w:t>
      </w:r>
      <w:r>
        <w:rPr>
          <w:rFonts w:ascii="宋体" w:hAnsi="宋体" w:eastAsia="宋体" w:cs="宋体"/>
          <w:sz w:val="21"/>
          <w:szCs w:val="21"/>
        </w:rPr>
        <w:t>）在“国家企业信用信息公示系统”（</w:t>
      </w:r>
      <w:r>
        <w:rPr>
          <w:rFonts w:ascii="Times New Roman" w:hAnsi="Times New Roman" w:eastAsia="Times New Roman" w:cs="Times New Roman"/>
          <w:sz w:val="21"/>
          <w:szCs w:val="21"/>
        </w:rPr>
        <w:t>www.gsxt.gov.cn</w:t>
      </w:r>
      <w:r>
        <w:rPr>
          <w:rFonts w:ascii="宋体" w:hAnsi="宋体" w:eastAsia="宋体" w:cs="宋体"/>
          <w:sz w:val="21"/>
          <w:szCs w:val="21"/>
        </w:rPr>
        <w:t>）中被列入严重违法失</w:t>
      </w:r>
      <w:r>
        <w:rPr>
          <w:rFonts w:ascii="宋体" w:hAnsi="宋体" w:eastAsia="宋体" w:cs="宋体"/>
          <w:spacing w:val="3"/>
          <w:sz w:val="21"/>
          <w:szCs w:val="21"/>
        </w:rPr>
        <w:t xml:space="preserve"> </w:t>
      </w:r>
      <w:r>
        <w:rPr>
          <w:rFonts w:ascii="宋体" w:hAnsi="宋体" w:eastAsia="宋体" w:cs="宋体"/>
          <w:spacing w:val="-1"/>
          <w:sz w:val="21"/>
          <w:szCs w:val="21"/>
        </w:rPr>
        <w:t>信企业名单；</w:t>
      </w:r>
    </w:p>
    <w:p w14:paraId="6A89C1FE">
      <w:pPr>
        <w:spacing w:before="109" w:line="265" w:lineRule="auto"/>
        <w:ind w:left="24" w:right="76" w:firstLine="720"/>
        <w:rPr>
          <w:rFonts w:ascii="宋体" w:hAnsi="宋体" w:eastAsia="宋体" w:cs="宋体"/>
          <w:sz w:val="21"/>
          <w:szCs w:val="21"/>
        </w:rPr>
      </w:pPr>
      <w:r>
        <w:rPr>
          <w:rFonts w:ascii="宋体" w:hAnsi="宋体" w:eastAsia="宋体" w:cs="宋体"/>
          <w:spacing w:val="5"/>
          <w:sz w:val="21"/>
          <w:szCs w:val="21"/>
        </w:rPr>
        <w:t>（</w:t>
      </w:r>
      <w:r>
        <w:rPr>
          <w:rFonts w:ascii="Times New Roman" w:hAnsi="Times New Roman" w:eastAsia="Times New Roman" w:cs="Times New Roman"/>
          <w:spacing w:val="5"/>
          <w:sz w:val="21"/>
          <w:szCs w:val="21"/>
        </w:rPr>
        <w:t>15</w:t>
      </w:r>
      <w:r>
        <w:rPr>
          <w:rFonts w:ascii="宋体" w:hAnsi="宋体" w:eastAsia="宋体" w:cs="宋体"/>
          <w:spacing w:val="5"/>
          <w:sz w:val="21"/>
          <w:szCs w:val="21"/>
        </w:rPr>
        <w:t>）在“信用中国”网站（</w:t>
      </w:r>
      <w:r>
        <w:rPr>
          <w:rFonts w:ascii="Times New Roman" w:hAnsi="Times New Roman" w:eastAsia="Times New Roman" w:cs="Times New Roman"/>
          <w:sz w:val="21"/>
          <w:szCs w:val="21"/>
        </w:rPr>
        <w:t>www</w:t>
      </w:r>
      <w:r>
        <w:rPr>
          <w:rFonts w:ascii="Times New Roman" w:hAnsi="Times New Roman" w:eastAsia="Times New Roman" w:cs="Times New Roman"/>
          <w:spacing w:val="5"/>
          <w:sz w:val="21"/>
          <w:szCs w:val="21"/>
        </w:rPr>
        <w:t>.</w:t>
      </w:r>
      <w:r>
        <w:rPr>
          <w:rFonts w:ascii="Times New Roman" w:hAnsi="Times New Roman" w:eastAsia="Times New Roman" w:cs="Times New Roman"/>
          <w:sz w:val="21"/>
          <w:szCs w:val="21"/>
        </w:rPr>
        <w:t>creditchina</w:t>
      </w:r>
      <w:r>
        <w:rPr>
          <w:rFonts w:ascii="Times New Roman" w:hAnsi="Times New Roman" w:eastAsia="Times New Roman" w:cs="Times New Roman"/>
          <w:spacing w:val="5"/>
          <w:sz w:val="21"/>
          <w:szCs w:val="21"/>
        </w:rPr>
        <w:t>.</w:t>
      </w:r>
      <w:r>
        <w:rPr>
          <w:rFonts w:ascii="Times New Roman" w:hAnsi="Times New Roman" w:eastAsia="Times New Roman" w:cs="Times New Roman"/>
          <w:sz w:val="21"/>
          <w:szCs w:val="21"/>
        </w:rPr>
        <w:t>gov</w:t>
      </w:r>
      <w:r>
        <w:rPr>
          <w:rFonts w:ascii="Times New Roman" w:hAnsi="Times New Roman" w:eastAsia="Times New Roman" w:cs="Times New Roman"/>
          <w:spacing w:val="5"/>
          <w:sz w:val="21"/>
          <w:szCs w:val="21"/>
        </w:rPr>
        <w:t>.</w:t>
      </w:r>
      <w:r>
        <w:rPr>
          <w:rFonts w:ascii="Times New Roman" w:hAnsi="Times New Roman" w:eastAsia="Times New Roman" w:cs="Times New Roman"/>
          <w:sz w:val="21"/>
          <w:szCs w:val="21"/>
        </w:rPr>
        <w:t>cn</w:t>
      </w:r>
      <w:r>
        <w:rPr>
          <w:rFonts w:ascii="宋体" w:hAnsi="宋体" w:eastAsia="宋体" w:cs="宋体"/>
          <w:spacing w:val="5"/>
          <w:sz w:val="21"/>
          <w:szCs w:val="21"/>
        </w:rPr>
        <w:t>）或“中国执行信息公开网”</w:t>
      </w:r>
      <w:r>
        <w:rPr>
          <w:rFonts w:ascii="宋体" w:hAnsi="宋体" w:eastAsia="宋体" w:cs="宋体"/>
          <w:spacing w:val="15"/>
          <w:sz w:val="21"/>
          <w:szCs w:val="21"/>
        </w:rPr>
        <w:t xml:space="preserve"> </w:t>
      </w:r>
      <w:r>
        <w:rPr>
          <w:rFonts w:ascii="宋体" w:hAnsi="宋体" w:eastAsia="宋体" w:cs="宋体"/>
          <w:spacing w:val="-2"/>
          <w:sz w:val="21"/>
          <w:szCs w:val="21"/>
        </w:rPr>
        <w:t>（</w:t>
      </w:r>
      <w:r>
        <w:fldChar w:fldCharType="begin"/>
      </w:r>
      <w:r>
        <w:instrText xml:space="preserve"> HYPERLINK "http://zxgk.court.gov.cn/shixin/" </w:instrText>
      </w:r>
      <w:r>
        <w:fldChar w:fldCharType="separate"/>
      </w:r>
      <w:r>
        <w:rPr>
          <w:rFonts w:ascii="Times New Roman" w:hAnsi="Times New Roman" w:eastAsia="Times New Roman" w:cs="Times New Roman"/>
          <w:spacing w:val="-2"/>
          <w:sz w:val="21"/>
          <w:szCs w:val="21"/>
        </w:rPr>
        <w:t>http://zxgk.court.gov.cn/shixin/</w:t>
      </w:r>
      <w:r>
        <w:rPr>
          <w:rFonts w:ascii="Times New Roman" w:hAnsi="Times New Roman" w:eastAsia="Times New Roman" w:cs="Times New Roman"/>
          <w:spacing w:val="-2"/>
          <w:sz w:val="21"/>
          <w:szCs w:val="21"/>
        </w:rPr>
        <w:fldChar w:fldCharType="end"/>
      </w:r>
      <w:r>
        <w:rPr>
          <w:rFonts w:ascii="Times New Roman" w:hAnsi="Times New Roman" w:eastAsia="Times New Roman" w:cs="Times New Roman"/>
          <w:spacing w:val="-22"/>
          <w:sz w:val="21"/>
          <w:szCs w:val="21"/>
        </w:rPr>
        <w:t xml:space="preserve"> </w:t>
      </w:r>
      <w:r>
        <w:rPr>
          <w:rFonts w:ascii="宋体" w:hAnsi="宋体" w:eastAsia="宋体" w:cs="宋体"/>
          <w:spacing w:val="-2"/>
          <w:sz w:val="21"/>
          <w:szCs w:val="21"/>
        </w:rPr>
        <w:t>）</w:t>
      </w:r>
      <w:r>
        <w:rPr>
          <w:rFonts w:ascii="宋体" w:hAnsi="宋体" w:eastAsia="宋体" w:cs="宋体"/>
          <w:spacing w:val="-43"/>
          <w:sz w:val="21"/>
          <w:szCs w:val="21"/>
        </w:rPr>
        <w:t xml:space="preserve"> </w:t>
      </w:r>
      <w:r>
        <w:rPr>
          <w:rFonts w:ascii="宋体" w:hAnsi="宋体" w:eastAsia="宋体" w:cs="宋体"/>
          <w:spacing w:val="-2"/>
          <w:sz w:val="21"/>
          <w:szCs w:val="21"/>
        </w:rPr>
        <w:t>被列入</w:t>
      </w:r>
      <w:r>
        <w:rPr>
          <w:rFonts w:ascii="宋体" w:hAnsi="宋体" w:eastAsia="宋体" w:cs="宋体"/>
          <w:spacing w:val="-3"/>
          <w:sz w:val="21"/>
          <w:szCs w:val="21"/>
        </w:rPr>
        <w:t>失信被执行人名单；</w:t>
      </w:r>
    </w:p>
    <w:p w14:paraId="7CCEC855">
      <w:pPr>
        <w:spacing w:before="118" w:line="268" w:lineRule="auto"/>
        <w:ind w:left="17" w:right="178" w:firstLine="727"/>
        <w:rPr>
          <w:rFonts w:ascii="宋体" w:hAnsi="宋体" w:eastAsia="宋体" w:cs="宋体"/>
          <w:sz w:val="21"/>
          <w:szCs w:val="21"/>
        </w:rPr>
      </w:pPr>
      <w:r>
        <w:rPr>
          <w:rFonts w:ascii="宋体" w:hAnsi="宋体" w:eastAsia="宋体" w:cs="宋体"/>
          <w:spacing w:val="4"/>
          <w:sz w:val="21"/>
          <w:szCs w:val="21"/>
        </w:rPr>
        <w:t>（</w:t>
      </w:r>
      <w:r>
        <w:rPr>
          <w:rFonts w:ascii="Times New Roman" w:hAnsi="Times New Roman" w:eastAsia="Times New Roman" w:cs="Times New Roman"/>
          <w:spacing w:val="4"/>
          <w:sz w:val="21"/>
          <w:szCs w:val="21"/>
        </w:rPr>
        <w:t>16</w:t>
      </w:r>
      <w:r>
        <w:rPr>
          <w:rFonts w:ascii="宋体" w:hAnsi="宋体" w:eastAsia="宋体" w:cs="宋体"/>
          <w:spacing w:val="4"/>
          <w:sz w:val="21"/>
          <w:szCs w:val="21"/>
        </w:rPr>
        <w:t>）在辽宁省建设工程招投标监督平台</w:t>
      </w:r>
      <w:r>
        <w:rPr>
          <w:rFonts w:ascii="Times New Roman" w:hAnsi="Times New Roman" w:eastAsia="Times New Roman" w:cs="Times New Roman"/>
          <w:spacing w:val="4"/>
          <w:sz w:val="21"/>
          <w:szCs w:val="21"/>
        </w:rPr>
        <w:t>-</w:t>
      </w:r>
      <w:r>
        <w:rPr>
          <w:rFonts w:ascii="宋体" w:hAnsi="宋体" w:eastAsia="宋体" w:cs="宋体"/>
          <w:spacing w:val="4"/>
          <w:sz w:val="21"/>
          <w:szCs w:val="21"/>
        </w:rPr>
        <w:t>辽宁建设工程信息网上被列入不良行为</w:t>
      </w:r>
      <w:r>
        <w:rPr>
          <w:rFonts w:ascii="宋体" w:hAnsi="宋体" w:eastAsia="宋体" w:cs="宋体"/>
          <w:spacing w:val="14"/>
          <w:sz w:val="21"/>
          <w:szCs w:val="21"/>
        </w:rPr>
        <w:t xml:space="preserve"> </w:t>
      </w:r>
      <w:r>
        <w:rPr>
          <w:rFonts w:ascii="宋体" w:hAnsi="宋体" w:eastAsia="宋体" w:cs="宋体"/>
          <w:spacing w:val="-1"/>
          <w:sz w:val="21"/>
          <w:szCs w:val="21"/>
        </w:rPr>
        <w:t>记录且在公布期内的；</w:t>
      </w:r>
    </w:p>
    <w:p w14:paraId="0B12EED9">
      <w:pPr>
        <w:spacing w:before="110" w:line="336" w:lineRule="exact"/>
        <w:ind w:left="745"/>
        <w:rPr>
          <w:rFonts w:ascii="宋体" w:hAnsi="宋体" w:eastAsia="宋体" w:cs="宋体"/>
          <w:sz w:val="21"/>
          <w:szCs w:val="21"/>
        </w:rPr>
      </w:pPr>
      <w:r>
        <w:rPr>
          <w:rFonts w:ascii="宋体" w:hAnsi="宋体" w:eastAsia="宋体" w:cs="宋体"/>
          <w:spacing w:val="-2"/>
          <w:position w:val="9"/>
          <w:sz w:val="21"/>
          <w:szCs w:val="21"/>
        </w:rPr>
        <w:t>（</w:t>
      </w:r>
      <w:r>
        <w:rPr>
          <w:rFonts w:ascii="Times New Roman" w:hAnsi="Times New Roman" w:eastAsia="Times New Roman" w:cs="Times New Roman"/>
          <w:spacing w:val="-2"/>
          <w:position w:val="9"/>
          <w:sz w:val="21"/>
          <w:szCs w:val="21"/>
        </w:rPr>
        <w:t>17</w:t>
      </w:r>
      <w:r>
        <w:rPr>
          <w:rFonts w:ascii="宋体" w:hAnsi="宋体" w:eastAsia="宋体" w:cs="宋体"/>
          <w:spacing w:val="-2"/>
          <w:position w:val="9"/>
          <w:sz w:val="21"/>
          <w:szCs w:val="21"/>
        </w:rPr>
        <w:t>）法律法规规定的其他情形。</w:t>
      </w:r>
    </w:p>
    <w:p w14:paraId="673FDCD6">
      <w:pPr>
        <w:spacing w:line="219" w:lineRule="auto"/>
        <w:ind w:left="38"/>
        <w:rPr>
          <w:rFonts w:ascii="黑体" w:hAnsi="黑体" w:eastAsia="黑体" w:cs="黑体"/>
          <w:sz w:val="24"/>
          <w:szCs w:val="24"/>
        </w:rPr>
      </w:pPr>
      <w:r>
        <w:rPr>
          <w:rFonts w:ascii="Times New Roman" w:hAnsi="Times New Roman" w:eastAsia="Times New Roman" w:cs="Times New Roman"/>
          <w:spacing w:val="-5"/>
          <w:sz w:val="24"/>
          <w:szCs w:val="24"/>
        </w:rPr>
        <w:t>1.5</w:t>
      </w:r>
      <w:r>
        <w:rPr>
          <w:rFonts w:ascii="Times New Roman" w:hAnsi="Times New Roman" w:eastAsia="Times New Roman" w:cs="Times New Roman"/>
          <w:spacing w:val="14"/>
          <w:sz w:val="24"/>
          <w:szCs w:val="24"/>
        </w:rPr>
        <w:t xml:space="preserve"> </w:t>
      </w:r>
      <w:r>
        <w:rPr>
          <w:rFonts w:ascii="黑体" w:hAnsi="黑体" w:eastAsia="黑体" w:cs="黑体"/>
          <w:spacing w:val="-5"/>
          <w:sz w:val="24"/>
          <w:szCs w:val="24"/>
        </w:rPr>
        <w:t>费用承担</w:t>
      </w:r>
    </w:p>
    <w:p w14:paraId="2A1475AD">
      <w:pPr>
        <w:spacing w:before="100" w:line="335" w:lineRule="exact"/>
        <w:ind w:left="443"/>
        <w:rPr>
          <w:rFonts w:ascii="宋体" w:hAnsi="宋体" w:eastAsia="宋体" w:cs="宋体"/>
          <w:sz w:val="21"/>
          <w:szCs w:val="21"/>
        </w:rPr>
      </w:pPr>
      <w:r>
        <w:rPr>
          <w:rFonts w:ascii="宋体" w:hAnsi="宋体" w:eastAsia="宋体" w:cs="宋体"/>
          <w:spacing w:val="-2"/>
          <w:position w:val="9"/>
          <w:sz w:val="21"/>
          <w:szCs w:val="21"/>
        </w:rPr>
        <w:t>投标人准备和参加投标活动发生的费用自理。</w:t>
      </w:r>
    </w:p>
    <w:p w14:paraId="18B3C5FD">
      <w:pPr>
        <w:spacing w:line="218" w:lineRule="auto"/>
        <w:ind w:left="38"/>
        <w:rPr>
          <w:rFonts w:ascii="黑体" w:hAnsi="黑体" w:eastAsia="黑体" w:cs="黑体"/>
          <w:sz w:val="24"/>
          <w:szCs w:val="24"/>
        </w:rPr>
      </w:pPr>
      <w:r>
        <w:rPr>
          <w:rFonts w:ascii="Times New Roman" w:hAnsi="Times New Roman" w:eastAsia="Times New Roman" w:cs="Times New Roman"/>
          <w:spacing w:val="-6"/>
          <w:sz w:val="24"/>
          <w:szCs w:val="24"/>
        </w:rPr>
        <w:t>1.6</w:t>
      </w:r>
      <w:r>
        <w:rPr>
          <w:rFonts w:ascii="Times New Roman" w:hAnsi="Times New Roman" w:eastAsia="Times New Roman" w:cs="Times New Roman"/>
          <w:spacing w:val="10"/>
          <w:sz w:val="24"/>
          <w:szCs w:val="24"/>
        </w:rPr>
        <w:t xml:space="preserve"> </w:t>
      </w:r>
      <w:r>
        <w:rPr>
          <w:rFonts w:ascii="黑体" w:hAnsi="黑体" w:eastAsia="黑体" w:cs="黑体"/>
          <w:spacing w:val="-6"/>
          <w:sz w:val="24"/>
          <w:szCs w:val="24"/>
        </w:rPr>
        <w:t>保密</w:t>
      </w:r>
    </w:p>
    <w:p w14:paraId="08DB5DE8">
      <w:pPr>
        <w:spacing w:before="101" w:line="269" w:lineRule="auto"/>
        <w:ind w:left="18" w:right="179" w:firstLine="424"/>
        <w:rPr>
          <w:rFonts w:ascii="宋体" w:hAnsi="宋体" w:eastAsia="宋体" w:cs="宋体"/>
          <w:sz w:val="21"/>
          <w:szCs w:val="21"/>
        </w:rPr>
      </w:pPr>
      <w:r>
        <w:rPr>
          <w:rFonts w:ascii="宋体" w:hAnsi="宋体" w:eastAsia="宋体" w:cs="宋体"/>
          <w:sz w:val="21"/>
          <w:szCs w:val="21"/>
        </w:rPr>
        <w:t>参与招标投标活动的各方应对招标文件和投标文件中的商业和技术等秘密保密， 违者</w:t>
      </w:r>
      <w:r>
        <w:rPr>
          <w:rFonts w:ascii="宋体" w:hAnsi="宋体" w:eastAsia="宋体" w:cs="宋体"/>
          <w:spacing w:val="7"/>
          <w:sz w:val="21"/>
          <w:szCs w:val="21"/>
        </w:rPr>
        <w:t xml:space="preserve"> </w:t>
      </w:r>
      <w:r>
        <w:rPr>
          <w:rFonts w:ascii="宋体" w:hAnsi="宋体" w:eastAsia="宋体" w:cs="宋体"/>
          <w:spacing w:val="-2"/>
          <w:sz w:val="21"/>
          <w:szCs w:val="21"/>
        </w:rPr>
        <w:t>应对由此造成的后果承担法律责任。</w:t>
      </w:r>
    </w:p>
    <w:p w14:paraId="3F180C5B">
      <w:pPr>
        <w:spacing w:before="84" w:line="219" w:lineRule="auto"/>
        <w:ind w:left="38"/>
        <w:rPr>
          <w:rFonts w:ascii="黑体" w:hAnsi="黑体" w:eastAsia="黑体" w:cs="黑体"/>
          <w:sz w:val="24"/>
          <w:szCs w:val="24"/>
        </w:rPr>
      </w:pPr>
      <w:r>
        <w:rPr>
          <w:rFonts w:ascii="Times New Roman" w:hAnsi="Times New Roman" w:eastAsia="Times New Roman" w:cs="Times New Roman"/>
          <w:spacing w:val="-5"/>
          <w:sz w:val="24"/>
          <w:szCs w:val="24"/>
        </w:rPr>
        <w:t>1.7</w:t>
      </w:r>
      <w:r>
        <w:rPr>
          <w:rFonts w:ascii="Times New Roman" w:hAnsi="Times New Roman" w:eastAsia="Times New Roman" w:cs="Times New Roman"/>
          <w:spacing w:val="13"/>
          <w:sz w:val="24"/>
          <w:szCs w:val="24"/>
        </w:rPr>
        <w:t xml:space="preserve"> </w:t>
      </w:r>
      <w:r>
        <w:rPr>
          <w:rFonts w:ascii="黑体" w:hAnsi="黑体" w:eastAsia="黑体" w:cs="黑体"/>
          <w:spacing w:val="-5"/>
          <w:sz w:val="24"/>
          <w:szCs w:val="24"/>
        </w:rPr>
        <w:t>语言文字</w:t>
      </w:r>
    </w:p>
    <w:p w14:paraId="3457368D">
      <w:pPr>
        <w:spacing w:before="99" w:line="255" w:lineRule="auto"/>
        <w:ind w:left="38" w:firstLine="415"/>
        <w:rPr>
          <w:rFonts w:ascii="黑体" w:hAnsi="黑体" w:eastAsia="黑体" w:cs="黑体"/>
          <w:sz w:val="24"/>
          <w:szCs w:val="24"/>
        </w:rPr>
      </w:pPr>
      <w:r>
        <w:rPr>
          <w:rFonts w:ascii="宋体" w:hAnsi="宋体" w:eastAsia="宋体" w:cs="宋体"/>
          <w:spacing w:val="2"/>
          <w:sz w:val="21"/>
          <w:szCs w:val="21"/>
        </w:rPr>
        <w:t>除专用术语外，与招标投标有关的语言均使用中文。必要时专用术语应附有</w:t>
      </w:r>
      <w:r>
        <w:rPr>
          <w:rFonts w:ascii="宋体" w:hAnsi="宋体" w:eastAsia="宋体" w:cs="宋体"/>
          <w:spacing w:val="1"/>
          <w:sz w:val="21"/>
          <w:szCs w:val="21"/>
        </w:rPr>
        <w:t>中文注释。</w:t>
      </w:r>
      <w:r>
        <w:rPr>
          <w:rFonts w:ascii="宋体" w:hAnsi="宋体" w:eastAsia="宋体" w:cs="宋体"/>
          <w:sz w:val="21"/>
          <w:szCs w:val="21"/>
        </w:rPr>
        <w:t xml:space="preserve"> </w:t>
      </w:r>
      <w:r>
        <w:rPr>
          <w:rFonts w:ascii="Times New Roman" w:hAnsi="Times New Roman" w:eastAsia="Times New Roman" w:cs="Times New Roman"/>
          <w:spacing w:val="-5"/>
          <w:sz w:val="24"/>
          <w:szCs w:val="24"/>
        </w:rPr>
        <w:t>1.8</w:t>
      </w:r>
      <w:r>
        <w:rPr>
          <w:rFonts w:ascii="Times New Roman" w:hAnsi="Times New Roman" w:eastAsia="Times New Roman" w:cs="Times New Roman"/>
          <w:spacing w:val="13"/>
          <w:sz w:val="24"/>
          <w:szCs w:val="24"/>
        </w:rPr>
        <w:t xml:space="preserve"> </w:t>
      </w:r>
      <w:r>
        <w:rPr>
          <w:rFonts w:ascii="黑体" w:hAnsi="黑体" w:eastAsia="黑体" w:cs="黑体"/>
          <w:spacing w:val="-5"/>
          <w:sz w:val="24"/>
          <w:szCs w:val="24"/>
        </w:rPr>
        <w:t>计量单位</w:t>
      </w:r>
    </w:p>
    <w:p w14:paraId="420F11C1">
      <w:pPr>
        <w:spacing w:before="100" w:line="335" w:lineRule="exact"/>
        <w:ind w:left="441"/>
        <w:rPr>
          <w:rFonts w:ascii="宋体" w:hAnsi="宋体" w:eastAsia="宋体" w:cs="宋体"/>
          <w:sz w:val="21"/>
          <w:szCs w:val="21"/>
        </w:rPr>
      </w:pPr>
      <w:r>
        <w:rPr>
          <w:rFonts w:ascii="宋体" w:hAnsi="宋体" w:eastAsia="宋体" w:cs="宋体"/>
          <w:spacing w:val="-2"/>
          <w:position w:val="9"/>
          <w:sz w:val="21"/>
          <w:szCs w:val="21"/>
        </w:rPr>
        <w:t>所有计量均采用中华人民共和国法定计量单位。</w:t>
      </w:r>
    </w:p>
    <w:p w14:paraId="2C1FE3C6">
      <w:pPr>
        <w:spacing w:before="1" w:line="218" w:lineRule="auto"/>
        <w:ind w:left="38"/>
        <w:rPr>
          <w:rFonts w:ascii="黑体" w:hAnsi="黑体" w:eastAsia="黑体" w:cs="黑体"/>
          <w:sz w:val="24"/>
          <w:szCs w:val="24"/>
        </w:rPr>
      </w:pPr>
      <w:r>
        <w:rPr>
          <w:rFonts w:ascii="Times New Roman" w:hAnsi="Times New Roman" w:eastAsia="Times New Roman" w:cs="Times New Roman"/>
          <w:spacing w:val="-5"/>
          <w:sz w:val="24"/>
          <w:szCs w:val="24"/>
        </w:rPr>
        <w:t>1.9</w:t>
      </w:r>
      <w:r>
        <w:rPr>
          <w:rFonts w:ascii="Times New Roman" w:hAnsi="Times New Roman" w:eastAsia="Times New Roman" w:cs="Times New Roman"/>
          <w:spacing w:val="13"/>
          <w:sz w:val="24"/>
          <w:szCs w:val="24"/>
        </w:rPr>
        <w:t xml:space="preserve"> </w:t>
      </w:r>
      <w:r>
        <w:rPr>
          <w:rFonts w:ascii="黑体" w:hAnsi="黑体" w:eastAsia="黑体" w:cs="黑体"/>
          <w:spacing w:val="-5"/>
          <w:sz w:val="24"/>
          <w:szCs w:val="24"/>
        </w:rPr>
        <w:t>踏勘现场</w:t>
      </w:r>
    </w:p>
    <w:p w14:paraId="7F155FE9">
      <w:pPr>
        <w:spacing w:before="100" w:line="269" w:lineRule="auto"/>
        <w:ind w:left="18" w:right="2" w:firstLine="439"/>
        <w:rPr>
          <w:rFonts w:ascii="宋体" w:hAnsi="宋体" w:eastAsia="宋体" w:cs="宋体"/>
          <w:sz w:val="21"/>
          <w:szCs w:val="21"/>
        </w:rPr>
      </w:pPr>
      <w:r>
        <w:rPr>
          <w:rFonts w:ascii="Times New Roman" w:hAnsi="Times New Roman" w:eastAsia="Times New Roman" w:cs="Times New Roman"/>
          <w:spacing w:val="-1"/>
          <w:sz w:val="21"/>
          <w:szCs w:val="21"/>
        </w:rPr>
        <w:t>1.9.1</w:t>
      </w:r>
      <w:r>
        <w:rPr>
          <w:rFonts w:ascii="Times New Roman" w:hAnsi="Times New Roman" w:eastAsia="Times New Roman" w:cs="Times New Roman"/>
          <w:spacing w:val="53"/>
          <w:w w:val="101"/>
          <w:sz w:val="21"/>
          <w:szCs w:val="21"/>
        </w:rPr>
        <w:t xml:space="preserve"> </w:t>
      </w:r>
      <w:r>
        <w:rPr>
          <w:rFonts w:ascii="宋体" w:hAnsi="宋体" w:eastAsia="宋体" w:cs="宋体"/>
          <w:spacing w:val="-1"/>
          <w:sz w:val="21"/>
          <w:szCs w:val="21"/>
        </w:rPr>
        <w:t>投标人须知前附表规定组织踏勘现场的，招标人按投标人须知前附表规定的时间、</w:t>
      </w:r>
      <w:r>
        <w:rPr>
          <w:rFonts w:ascii="宋体" w:hAnsi="宋体" w:eastAsia="宋体" w:cs="宋体"/>
          <w:sz w:val="21"/>
          <w:szCs w:val="21"/>
        </w:rPr>
        <w:t xml:space="preserve"> </w:t>
      </w:r>
      <w:r>
        <w:rPr>
          <w:rFonts w:ascii="宋体" w:hAnsi="宋体" w:eastAsia="宋体" w:cs="宋体"/>
          <w:spacing w:val="-1"/>
          <w:sz w:val="21"/>
          <w:szCs w:val="21"/>
        </w:rPr>
        <w:t>地点组织投标人踏勘项目现场。</w:t>
      </w:r>
    </w:p>
    <w:p w14:paraId="579FEA80">
      <w:pPr>
        <w:spacing w:before="108" w:line="221" w:lineRule="auto"/>
        <w:ind w:left="457"/>
        <w:rPr>
          <w:rFonts w:ascii="宋体" w:hAnsi="宋体" w:eastAsia="宋体" w:cs="宋体"/>
          <w:sz w:val="21"/>
          <w:szCs w:val="21"/>
        </w:rPr>
      </w:pPr>
      <w:r>
        <w:rPr>
          <w:rFonts w:ascii="Times New Roman" w:hAnsi="Times New Roman" w:eastAsia="Times New Roman" w:cs="Times New Roman"/>
          <w:spacing w:val="-2"/>
          <w:sz w:val="21"/>
          <w:szCs w:val="21"/>
        </w:rPr>
        <w:t xml:space="preserve">1.9.2 </w:t>
      </w:r>
      <w:r>
        <w:rPr>
          <w:rFonts w:ascii="宋体" w:hAnsi="宋体" w:eastAsia="宋体" w:cs="宋体"/>
          <w:spacing w:val="-2"/>
          <w:sz w:val="21"/>
          <w:szCs w:val="21"/>
        </w:rPr>
        <w:t>投标人踏勘现场发生的费用自理。</w:t>
      </w:r>
    </w:p>
    <w:p w14:paraId="0B5740AD">
      <w:pPr>
        <w:spacing w:line="221" w:lineRule="auto"/>
        <w:rPr>
          <w:rFonts w:ascii="宋体" w:hAnsi="宋体" w:eastAsia="宋体" w:cs="宋体"/>
          <w:sz w:val="21"/>
          <w:szCs w:val="21"/>
        </w:rPr>
        <w:sectPr>
          <w:footerReference r:id="rId21" w:type="default"/>
          <w:pgSz w:w="11905" w:h="16839"/>
          <w:pgMar w:top="1431" w:right="1612" w:bottom="1036" w:left="1785" w:header="0" w:footer="847" w:gutter="0"/>
          <w:pgNumType w:fmt="decimal"/>
          <w:cols w:space="720" w:num="1"/>
        </w:sectPr>
      </w:pPr>
    </w:p>
    <w:p w14:paraId="0B23DB7B">
      <w:pPr>
        <w:spacing w:before="115" w:line="221" w:lineRule="auto"/>
        <w:jc w:val="right"/>
        <w:rPr>
          <w:rFonts w:ascii="宋体" w:hAnsi="宋体" w:eastAsia="宋体" w:cs="宋体"/>
          <w:sz w:val="21"/>
          <w:szCs w:val="21"/>
        </w:rPr>
      </w:pPr>
      <w:bookmarkStart w:id="75" w:name="bookmark89"/>
      <w:bookmarkEnd w:id="75"/>
      <w:r>
        <w:rPr>
          <w:rFonts w:ascii="Times New Roman" w:hAnsi="Times New Roman" w:eastAsia="Times New Roman" w:cs="Times New Roman"/>
          <w:spacing w:val="-1"/>
          <w:sz w:val="21"/>
          <w:szCs w:val="21"/>
        </w:rPr>
        <w:t>1.9.3</w:t>
      </w:r>
      <w:r>
        <w:rPr>
          <w:rFonts w:ascii="Times New Roman" w:hAnsi="Times New Roman" w:eastAsia="Times New Roman" w:cs="Times New Roman"/>
          <w:spacing w:val="53"/>
          <w:w w:val="101"/>
          <w:sz w:val="21"/>
          <w:szCs w:val="21"/>
        </w:rPr>
        <w:t xml:space="preserve"> </w:t>
      </w:r>
      <w:r>
        <w:rPr>
          <w:rFonts w:ascii="宋体" w:hAnsi="宋体" w:eastAsia="宋体" w:cs="宋体"/>
          <w:spacing w:val="-1"/>
          <w:sz w:val="21"/>
          <w:szCs w:val="21"/>
        </w:rPr>
        <w:t>除招标人的原因外，投标人自行负责在踏勘现场中所发生的人员伤亡和财产损失。</w:t>
      </w:r>
    </w:p>
    <w:p w14:paraId="32303F85">
      <w:pPr>
        <w:spacing w:before="108" w:line="220" w:lineRule="auto"/>
        <w:ind w:left="457"/>
        <w:rPr>
          <w:rFonts w:ascii="宋体" w:hAnsi="宋体" w:eastAsia="宋体" w:cs="宋体"/>
          <w:sz w:val="21"/>
          <w:szCs w:val="21"/>
        </w:rPr>
      </w:pPr>
      <w:r>
        <w:rPr>
          <w:rFonts w:ascii="Times New Roman" w:hAnsi="Times New Roman" w:eastAsia="Times New Roman" w:cs="Times New Roman"/>
          <w:sz w:val="21"/>
          <w:szCs w:val="21"/>
        </w:rPr>
        <w:t>1.9.4</w:t>
      </w:r>
      <w:r>
        <w:rPr>
          <w:rFonts w:ascii="Times New Roman" w:hAnsi="Times New Roman" w:eastAsia="Times New Roman" w:cs="Times New Roman"/>
          <w:spacing w:val="42"/>
          <w:w w:val="101"/>
          <w:sz w:val="21"/>
          <w:szCs w:val="21"/>
        </w:rPr>
        <w:t xml:space="preserve"> </w:t>
      </w:r>
      <w:r>
        <w:rPr>
          <w:rFonts w:ascii="宋体" w:hAnsi="宋体" w:eastAsia="宋体" w:cs="宋体"/>
          <w:sz w:val="21"/>
          <w:szCs w:val="21"/>
        </w:rPr>
        <w:t>招标人在踏勘现场中介绍的工程场地和相关的周边环境情况，供投标人在编制投</w:t>
      </w:r>
    </w:p>
    <w:p w14:paraId="3519E3C3">
      <w:pPr>
        <w:spacing w:before="109" w:line="336" w:lineRule="exact"/>
        <w:ind w:left="19"/>
        <w:rPr>
          <w:rFonts w:ascii="宋体" w:hAnsi="宋体" w:eastAsia="宋体" w:cs="宋体"/>
          <w:sz w:val="21"/>
          <w:szCs w:val="21"/>
        </w:rPr>
      </w:pPr>
      <w:r>
        <w:rPr>
          <w:rFonts w:ascii="宋体" w:hAnsi="宋体" w:eastAsia="宋体" w:cs="宋体"/>
          <w:spacing w:val="-1"/>
          <w:position w:val="9"/>
          <w:sz w:val="21"/>
          <w:szCs w:val="21"/>
        </w:rPr>
        <w:t>标文件时参考，招标人不对投标人据此作出的判断和决策</w:t>
      </w:r>
      <w:r>
        <w:rPr>
          <w:rFonts w:ascii="宋体" w:hAnsi="宋体" w:eastAsia="宋体" w:cs="宋体"/>
          <w:spacing w:val="-2"/>
          <w:position w:val="9"/>
          <w:sz w:val="21"/>
          <w:szCs w:val="21"/>
        </w:rPr>
        <w:t>负责。</w:t>
      </w:r>
    </w:p>
    <w:p w14:paraId="6C2004B6">
      <w:pPr>
        <w:spacing w:before="1" w:line="218" w:lineRule="auto"/>
        <w:ind w:left="38"/>
        <w:rPr>
          <w:rFonts w:ascii="黑体" w:hAnsi="黑体" w:eastAsia="黑体" w:cs="黑体"/>
          <w:sz w:val="24"/>
          <w:szCs w:val="24"/>
        </w:rPr>
      </w:pPr>
      <w:r>
        <w:rPr>
          <w:rFonts w:ascii="Times New Roman" w:hAnsi="Times New Roman" w:eastAsia="Times New Roman" w:cs="Times New Roman"/>
          <w:spacing w:val="-3"/>
          <w:sz w:val="24"/>
          <w:szCs w:val="24"/>
        </w:rPr>
        <w:t xml:space="preserve">1.10 </w:t>
      </w:r>
      <w:r>
        <w:rPr>
          <w:rFonts w:ascii="黑体" w:hAnsi="黑体" w:eastAsia="黑体" w:cs="黑体"/>
          <w:spacing w:val="-3"/>
          <w:sz w:val="24"/>
          <w:szCs w:val="24"/>
        </w:rPr>
        <w:t>投标预备会</w:t>
      </w:r>
    </w:p>
    <w:p w14:paraId="12C6981B">
      <w:pPr>
        <w:spacing w:before="100" w:line="268" w:lineRule="auto"/>
        <w:ind w:left="28" w:right="183" w:firstLine="429"/>
        <w:rPr>
          <w:rFonts w:ascii="宋体" w:hAnsi="宋体" w:eastAsia="宋体" w:cs="宋体"/>
          <w:sz w:val="21"/>
          <w:szCs w:val="21"/>
        </w:rPr>
      </w:pPr>
      <w:r>
        <w:rPr>
          <w:rFonts w:ascii="Times New Roman" w:hAnsi="Times New Roman" w:eastAsia="Times New Roman" w:cs="Times New Roman"/>
          <w:spacing w:val="3"/>
          <w:sz w:val="21"/>
          <w:szCs w:val="21"/>
        </w:rPr>
        <w:t>1.10.1</w:t>
      </w:r>
      <w:r>
        <w:rPr>
          <w:rFonts w:ascii="Times New Roman" w:hAnsi="Times New Roman" w:eastAsia="Times New Roman" w:cs="Times New Roman"/>
          <w:spacing w:val="40"/>
          <w:w w:val="101"/>
          <w:sz w:val="21"/>
          <w:szCs w:val="21"/>
        </w:rPr>
        <w:t xml:space="preserve"> </w:t>
      </w:r>
      <w:r>
        <w:rPr>
          <w:rFonts w:ascii="宋体" w:hAnsi="宋体" w:eastAsia="宋体" w:cs="宋体"/>
          <w:spacing w:val="3"/>
          <w:sz w:val="21"/>
          <w:szCs w:val="21"/>
        </w:rPr>
        <w:t>投标人须知前附表规定召开投标预备会的</w:t>
      </w:r>
      <w:r>
        <w:rPr>
          <w:rFonts w:ascii="宋体" w:hAnsi="宋体" w:eastAsia="宋体" w:cs="宋体"/>
          <w:spacing w:val="2"/>
          <w:sz w:val="21"/>
          <w:szCs w:val="21"/>
        </w:rPr>
        <w:t>，招标人按投标人须知前附表规定的</w:t>
      </w:r>
      <w:r>
        <w:rPr>
          <w:rFonts w:ascii="宋体" w:hAnsi="宋体" w:eastAsia="宋体" w:cs="宋体"/>
          <w:sz w:val="21"/>
          <w:szCs w:val="21"/>
        </w:rPr>
        <w:t xml:space="preserve"> </w:t>
      </w:r>
      <w:r>
        <w:rPr>
          <w:rFonts w:ascii="宋体" w:hAnsi="宋体" w:eastAsia="宋体" w:cs="宋体"/>
          <w:spacing w:val="-5"/>
          <w:sz w:val="21"/>
          <w:szCs w:val="21"/>
        </w:rPr>
        <w:t>时间和地点召开投标预备会， 澄清投标人提出的问题。</w:t>
      </w:r>
    </w:p>
    <w:p w14:paraId="04DFE9B3">
      <w:pPr>
        <w:spacing w:before="110" w:line="268" w:lineRule="auto"/>
        <w:ind w:left="19" w:right="183" w:firstLine="438"/>
        <w:rPr>
          <w:rFonts w:ascii="宋体" w:hAnsi="宋体" w:eastAsia="宋体" w:cs="宋体"/>
          <w:sz w:val="21"/>
          <w:szCs w:val="21"/>
        </w:rPr>
      </w:pPr>
      <w:r>
        <w:rPr>
          <w:rFonts w:ascii="Times New Roman" w:hAnsi="Times New Roman" w:eastAsia="Times New Roman" w:cs="Times New Roman"/>
          <w:spacing w:val="3"/>
          <w:sz w:val="21"/>
          <w:szCs w:val="21"/>
        </w:rPr>
        <w:t>1.10.2</w:t>
      </w:r>
      <w:r>
        <w:rPr>
          <w:rFonts w:ascii="Times New Roman" w:hAnsi="Times New Roman" w:eastAsia="Times New Roman" w:cs="Times New Roman"/>
          <w:spacing w:val="36"/>
          <w:w w:val="101"/>
          <w:sz w:val="21"/>
          <w:szCs w:val="21"/>
        </w:rPr>
        <w:t xml:space="preserve"> </w:t>
      </w:r>
      <w:r>
        <w:rPr>
          <w:rFonts w:ascii="宋体" w:hAnsi="宋体" w:eastAsia="宋体" w:cs="宋体"/>
          <w:spacing w:val="3"/>
          <w:sz w:val="21"/>
          <w:szCs w:val="21"/>
        </w:rPr>
        <w:t>在投标人须知前附表规定的时间前，投标人应通过</w:t>
      </w:r>
      <w:r>
        <w:rPr>
          <w:rFonts w:ascii="宋体" w:hAnsi="宋体" w:eastAsia="宋体" w:cs="宋体"/>
          <w:spacing w:val="2"/>
          <w:sz w:val="21"/>
          <w:szCs w:val="21"/>
        </w:rPr>
        <w:t>电子交易系统以书面形式将</w:t>
      </w:r>
      <w:r>
        <w:rPr>
          <w:rFonts w:ascii="宋体" w:hAnsi="宋体" w:eastAsia="宋体" w:cs="宋体"/>
          <w:sz w:val="21"/>
          <w:szCs w:val="21"/>
        </w:rPr>
        <w:t xml:space="preserve"> </w:t>
      </w:r>
      <w:r>
        <w:rPr>
          <w:rFonts w:ascii="宋体" w:hAnsi="宋体" w:eastAsia="宋体" w:cs="宋体"/>
          <w:spacing w:val="-1"/>
          <w:sz w:val="21"/>
          <w:szCs w:val="21"/>
        </w:rPr>
        <w:t>提出的问题送达招标人，以便招标人在会议期间澄清。</w:t>
      </w:r>
    </w:p>
    <w:p w14:paraId="14075629">
      <w:pPr>
        <w:spacing w:before="109" w:line="285" w:lineRule="auto"/>
        <w:ind w:left="17" w:right="174" w:firstLine="440"/>
        <w:rPr>
          <w:rFonts w:ascii="宋体" w:hAnsi="宋体" w:eastAsia="宋体" w:cs="宋体"/>
          <w:sz w:val="21"/>
          <w:szCs w:val="21"/>
        </w:rPr>
      </w:pPr>
      <w:r>
        <w:rPr>
          <w:rFonts w:ascii="Times New Roman" w:hAnsi="Times New Roman" w:eastAsia="Times New Roman" w:cs="Times New Roman"/>
          <w:spacing w:val="-5"/>
          <w:sz w:val="21"/>
          <w:szCs w:val="21"/>
        </w:rPr>
        <w:t>1.10.3</w:t>
      </w:r>
      <w:r>
        <w:rPr>
          <w:rFonts w:ascii="Times New Roman" w:hAnsi="Times New Roman" w:eastAsia="Times New Roman" w:cs="Times New Roman"/>
          <w:spacing w:val="40"/>
          <w:w w:val="101"/>
          <w:sz w:val="21"/>
          <w:szCs w:val="21"/>
        </w:rPr>
        <w:t xml:space="preserve"> </w:t>
      </w:r>
      <w:r>
        <w:rPr>
          <w:rFonts w:ascii="宋体" w:hAnsi="宋体" w:eastAsia="宋体" w:cs="宋体"/>
          <w:spacing w:val="-5"/>
          <w:sz w:val="21"/>
          <w:szCs w:val="21"/>
        </w:rPr>
        <w:t xml:space="preserve">投标预备会后，招标人在本章第 </w:t>
      </w:r>
      <w:r>
        <w:rPr>
          <w:rFonts w:ascii="Times New Roman" w:hAnsi="Times New Roman" w:eastAsia="Times New Roman" w:cs="Times New Roman"/>
          <w:spacing w:val="-5"/>
          <w:sz w:val="21"/>
          <w:szCs w:val="21"/>
        </w:rPr>
        <w:t>2.2.2</w:t>
      </w:r>
      <w:r>
        <w:rPr>
          <w:rFonts w:ascii="Times New Roman" w:hAnsi="Times New Roman" w:eastAsia="Times New Roman" w:cs="Times New Roman"/>
          <w:spacing w:val="21"/>
          <w:w w:val="101"/>
          <w:sz w:val="21"/>
          <w:szCs w:val="21"/>
        </w:rPr>
        <w:t xml:space="preserve"> </w:t>
      </w:r>
      <w:r>
        <w:rPr>
          <w:rFonts w:ascii="宋体" w:hAnsi="宋体" w:eastAsia="宋体" w:cs="宋体"/>
          <w:spacing w:val="-5"/>
          <w:sz w:val="21"/>
          <w:szCs w:val="21"/>
        </w:rPr>
        <w:t>项规定的时间内，</w:t>
      </w:r>
      <w:r>
        <w:rPr>
          <w:rFonts w:ascii="宋体" w:hAnsi="宋体" w:eastAsia="宋体" w:cs="宋体"/>
          <w:spacing w:val="49"/>
          <w:sz w:val="21"/>
          <w:szCs w:val="21"/>
        </w:rPr>
        <w:t xml:space="preserve"> </w:t>
      </w:r>
      <w:r>
        <w:rPr>
          <w:rFonts w:ascii="宋体" w:hAnsi="宋体" w:eastAsia="宋体" w:cs="宋体"/>
          <w:spacing w:val="-5"/>
          <w:sz w:val="21"/>
          <w:szCs w:val="21"/>
        </w:rPr>
        <w:t>将对投标人所提问题的</w:t>
      </w:r>
      <w:r>
        <w:rPr>
          <w:rFonts w:ascii="宋体" w:hAnsi="宋体" w:eastAsia="宋体" w:cs="宋体"/>
          <w:sz w:val="21"/>
          <w:szCs w:val="21"/>
        </w:rPr>
        <w:t xml:space="preserve"> 澄清， 以书面形式通过法定公告公示信息发布媒介、电子交易系统（投标盲盒工具）等渠</w:t>
      </w:r>
      <w:r>
        <w:rPr>
          <w:rFonts w:ascii="宋体" w:hAnsi="宋体" w:eastAsia="宋体" w:cs="宋体"/>
          <w:spacing w:val="13"/>
          <w:sz w:val="21"/>
          <w:szCs w:val="21"/>
        </w:rPr>
        <w:t xml:space="preserve"> </w:t>
      </w:r>
      <w:r>
        <w:rPr>
          <w:rFonts w:ascii="宋体" w:hAnsi="宋体" w:eastAsia="宋体" w:cs="宋体"/>
          <w:spacing w:val="-1"/>
          <w:sz w:val="21"/>
          <w:szCs w:val="21"/>
        </w:rPr>
        <w:t>道通知所有下载招标文件的投标人。该澄清内容为招标文件的组成部分。</w:t>
      </w:r>
    </w:p>
    <w:p w14:paraId="322BE221">
      <w:pPr>
        <w:spacing w:before="84" w:line="220" w:lineRule="auto"/>
        <w:ind w:left="38"/>
        <w:rPr>
          <w:rFonts w:ascii="黑体" w:hAnsi="黑体" w:eastAsia="黑体" w:cs="黑体"/>
          <w:sz w:val="24"/>
          <w:szCs w:val="24"/>
        </w:rPr>
      </w:pPr>
      <w:r>
        <w:rPr>
          <w:rFonts w:ascii="Times New Roman" w:hAnsi="Times New Roman" w:eastAsia="Times New Roman" w:cs="Times New Roman"/>
          <w:spacing w:val="-8"/>
          <w:sz w:val="24"/>
          <w:szCs w:val="24"/>
        </w:rPr>
        <w:t>1.11</w:t>
      </w:r>
      <w:r>
        <w:rPr>
          <w:rFonts w:ascii="Times New Roman" w:hAnsi="Times New Roman" w:eastAsia="Times New Roman" w:cs="Times New Roman"/>
          <w:spacing w:val="22"/>
          <w:sz w:val="24"/>
          <w:szCs w:val="24"/>
        </w:rPr>
        <w:t xml:space="preserve"> </w:t>
      </w:r>
      <w:r>
        <w:rPr>
          <w:rFonts w:ascii="黑体" w:hAnsi="黑体" w:eastAsia="黑体" w:cs="黑体"/>
          <w:spacing w:val="-8"/>
          <w:sz w:val="24"/>
          <w:szCs w:val="24"/>
        </w:rPr>
        <w:t>分包</w:t>
      </w:r>
    </w:p>
    <w:p w14:paraId="39B7FBA3">
      <w:pPr>
        <w:spacing w:before="100" w:line="268" w:lineRule="auto"/>
        <w:ind w:left="20" w:right="177" w:firstLine="423"/>
        <w:rPr>
          <w:rFonts w:ascii="宋体" w:hAnsi="宋体" w:eastAsia="宋体" w:cs="宋体"/>
          <w:sz w:val="21"/>
          <w:szCs w:val="21"/>
        </w:rPr>
      </w:pPr>
      <w:r>
        <w:rPr>
          <w:rFonts w:ascii="宋体" w:hAnsi="宋体" w:eastAsia="宋体" w:cs="宋体"/>
          <w:spacing w:val="3"/>
          <w:sz w:val="21"/>
          <w:szCs w:val="21"/>
        </w:rPr>
        <w:t>投标人拟在中标后将中标项目的部分非主体、非关键性工作进行分包的，应符合投标</w:t>
      </w:r>
      <w:r>
        <w:rPr>
          <w:rFonts w:ascii="宋体" w:hAnsi="宋体" w:eastAsia="宋体" w:cs="宋体"/>
          <w:sz w:val="21"/>
          <w:szCs w:val="21"/>
        </w:rPr>
        <w:t xml:space="preserve"> </w:t>
      </w:r>
      <w:r>
        <w:rPr>
          <w:rFonts w:ascii="宋体" w:hAnsi="宋体" w:eastAsia="宋体" w:cs="宋体"/>
          <w:spacing w:val="-1"/>
          <w:sz w:val="21"/>
          <w:szCs w:val="21"/>
        </w:rPr>
        <w:t>人须知前附表规定的分包内容、分包金额和接受分包的第三人资质要求等限制性条件。</w:t>
      </w:r>
    </w:p>
    <w:p w14:paraId="1DBD6379">
      <w:pPr>
        <w:spacing w:before="85" w:line="220" w:lineRule="auto"/>
        <w:ind w:left="38"/>
        <w:rPr>
          <w:rFonts w:ascii="黑体" w:hAnsi="黑体" w:eastAsia="黑体" w:cs="黑体"/>
          <w:sz w:val="24"/>
          <w:szCs w:val="24"/>
        </w:rPr>
      </w:pPr>
      <w:r>
        <w:rPr>
          <w:rFonts w:ascii="Times New Roman" w:hAnsi="Times New Roman" w:eastAsia="Times New Roman" w:cs="Times New Roman"/>
          <w:spacing w:val="-6"/>
          <w:sz w:val="24"/>
          <w:szCs w:val="24"/>
        </w:rPr>
        <w:t>1.12</w:t>
      </w:r>
      <w:r>
        <w:rPr>
          <w:rFonts w:ascii="Times New Roman" w:hAnsi="Times New Roman" w:eastAsia="Times New Roman" w:cs="Times New Roman"/>
          <w:spacing w:val="16"/>
          <w:sz w:val="24"/>
          <w:szCs w:val="24"/>
        </w:rPr>
        <w:t xml:space="preserve"> </w:t>
      </w:r>
      <w:r>
        <w:rPr>
          <w:rFonts w:ascii="黑体" w:hAnsi="黑体" w:eastAsia="黑体" w:cs="黑体"/>
          <w:spacing w:val="-6"/>
          <w:sz w:val="24"/>
          <w:szCs w:val="24"/>
        </w:rPr>
        <w:t>偏离</w:t>
      </w:r>
    </w:p>
    <w:p w14:paraId="781D1950">
      <w:pPr>
        <w:spacing w:before="99" w:line="268" w:lineRule="auto"/>
        <w:ind w:left="23" w:right="177" w:firstLine="420"/>
        <w:rPr>
          <w:rFonts w:ascii="宋体" w:hAnsi="宋体" w:eastAsia="宋体" w:cs="宋体"/>
          <w:sz w:val="21"/>
          <w:szCs w:val="21"/>
        </w:rPr>
      </w:pPr>
      <w:r>
        <w:rPr>
          <w:rFonts w:ascii="宋体" w:hAnsi="宋体" w:eastAsia="宋体" w:cs="宋体"/>
          <w:sz w:val="21"/>
          <w:szCs w:val="21"/>
        </w:rPr>
        <w:t>投标人须知前附表允许投标文件偏离招标文件某些要求的， 偏离应当符合招标文件规</w:t>
      </w:r>
      <w:r>
        <w:rPr>
          <w:rFonts w:ascii="宋体" w:hAnsi="宋体" w:eastAsia="宋体" w:cs="宋体"/>
          <w:spacing w:val="6"/>
          <w:sz w:val="21"/>
          <w:szCs w:val="21"/>
        </w:rPr>
        <w:t xml:space="preserve"> </w:t>
      </w:r>
      <w:r>
        <w:rPr>
          <w:rFonts w:ascii="宋体" w:hAnsi="宋体" w:eastAsia="宋体" w:cs="宋体"/>
          <w:spacing w:val="-1"/>
          <w:sz w:val="21"/>
          <w:szCs w:val="21"/>
        </w:rPr>
        <w:t>定的偏离范围和幅度。</w:t>
      </w:r>
    </w:p>
    <w:p w14:paraId="4C7DE2C1">
      <w:pPr>
        <w:spacing w:before="153" w:line="225" w:lineRule="auto"/>
        <w:ind w:left="15"/>
        <w:rPr>
          <w:rFonts w:ascii="黑体" w:hAnsi="黑体" w:eastAsia="黑体" w:cs="黑体"/>
          <w:sz w:val="27"/>
          <w:szCs w:val="27"/>
        </w:rPr>
      </w:pPr>
      <w:r>
        <w:rPr>
          <w:rFonts w:ascii="Times New Roman" w:hAnsi="Times New Roman" w:eastAsia="Times New Roman" w:cs="Times New Roman"/>
          <w:spacing w:val="4"/>
          <w:sz w:val="27"/>
          <w:szCs w:val="27"/>
        </w:rPr>
        <w:t>2.</w:t>
      </w:r>
      <w:r>
        <w:rPr>
          <w:rFonts w:ascii="Times New Roman" w:hAnsi="Times New Roman" w:eastAsia="Times New Roman" w:cs="Times New Roman"/>
          <w:spacing w:val="17"/>
          <w:sz w:val="27"/>
          <w:szCs w:val="27"/>
        </w:rPr>
        <w:t xml:space="preserve"> </w:t>
      </w:r>
      <w:r>
        <w:rPr>
          <w:rFonts w:ascii="黑体" w:hAnsi="黑体" w:eastAsia="黑体" w:cs="黑体"/>
          <w:spacing w:val="4"/>
          <w:sz w:val="27"/>
          <w:szCs w:val="27"/>
        </w:rPr>
        <w:t>招标文件</w:t>
      </w:r>
    </w:p>
    <w:p w14:paraId="766DCE89">
      <w:pPr>
        <w:spacing w:before="65" w:line="219" w:lineRule="auto"/>
        <w:ind w:left="15"/>
        <w:rPr>
          <w:rFonts w:ascii="黑体" w:hAnsi="黑体" w:eastAsia="黑体" w:cs="黑体"/>
          <w:sz w:val="24"/>
          <w:szCs w:val="24"/>
        </w:rPr>
      </w:pPr>
      <w:r>
        <w:rPr>
          <w:rFonts w:ascii="Times New Roman" w:hAnsi="Times New Roman" w:eastAsia="Times New Roman" w:cs="Times New Roman"/>
          <w:sz w:val="24"/>
          <w:szCs w:val="24"/>
        </w:rPr>
        <w:t xml:space="preserve">2.1 </w:t>
      </w:r>
      <w:r>
        <w:rPr>
          <w:rFonts w:ascii="黑体" w:hAnsi="黑体" w:eastAsia="黑体" w:cs="黑体"/>
          <w:sz w:val="24"/>
          <w:szCs w:val="24"/>
        </w:rPr>
        <w:t>招标文件的组成</w:t>
      </w:r>
    </w:p>
    <w:p w14:paraId="07B1E25F">
      <w:pPr>
        <w:spacing w:before="100" w:line="220" w:lineRule="auto"/>
        <w:ind w:left="120"/>
        <w:rPr>
          <w:rFonts w:ascii="宋体" w:hAnsi="宋体" w:eastAsia="宋体" w:cs="宋体"/>
          <w:sz w:val="21"/>
          <w:szCs w:val="21"/>
        </w:rPr>
      </w:pPr>
      <w:r>
        <w:rPr>
          <w:rFonts w:ascii="Times New Roman" w:hAnsi="Times New Roman" w:eastAsia="Times New Roman" w:cs="Times New Roman"/>
          <w:spacing w:val="-3"/>
          <w:sz w:val="21"/>
          <w:szCs w:val="21"/>
        </w:rPr>
        <w:t xml:space="preserve">2.1.1 </w:t>
      </w:r>
      <w:r>
        <w:rPr>
          <w:rFonts w:ascii="宋体" w:hAnsi="宋体" w:eastAsia="宋体" w:cs="宋体"/>
          <w:spacing w:val="-3"/>
          <w:sz w:val="21"/>
          <w:szCs w:val="21"/>
        </w:rPr>
        <w:t>本招标文件包括：</w:t>
      </w:r>
    </w:p>
    <w:p w14:paraId="7B8E1769">
      <w:pPr>
        <w:spacing w:before="110" w:line="360" w:lineRule="exact"/>
        <w:ind w:left="385"/>
        <w:rPr>
          <w:rFonts w:ascii="宋体" w:hAnsi="宋体" w:eastAsia="宋体" w:cs="宋体"/>
          <w:sz w:val="21"/>
          <w:szCs w:val="21"/>
        </w:rPr>
      </w:pPr>
      <w:r>
        <w:rPr>
          <w:rFonts w:ascii="宋体" w:hAnsi="宋体" w:eastAsia="宋体" w:cs="宋体"/>
          <w:spacing w:val="-1"/>
          <w:position w:val="11"/>
          <w:sz w:val="21"/>
          <w:szCs w:val="21"/>
        </w:rPr>
        <w:t>（</w:t>
      </w:r>
      <w:r>
        <w:rPr>
          <w:rFonts w:ascii="Times New Roman" w:hAnsi="Times New Roman" w:eastAsia="Times New Roman" w:cs="Times New Roman"/>
          <w:spacing w:val="-1"/>
          <w:position w:val="11"/>
          <w:sz w:val="21"/>
          <w:szCs w:val="21"/>
        </w:rPr>
        <w:t>1</w:t>
      </w:r>
      <w:r>
        <w:rPr>
          <w:rFonts w:ascii="宋体" w:hAnsi="宋体" w:eastAsia="宋体" w:cs="宋体"/>
          <w:spacing w:val="-1"/>
          <w:position w:val="11"/>
          <w:sz w:val="21"/>
          <w:szCs w:val="21"/>
        </w:rPr>
        <w:t>）招标公告（或投标邀请书</w:t>
      </w:r>
      <w:r>
        <w:rPr>
          <w:rFonts w:ascii="宋体" w:hAnsi="宋体" w:eastAsia="宋体" w:cs="宋体"/>
          <w:spacing w:val="-54"/>
          <w:w w:val="97"/>
          <w:position w:val="11"/>
          <w:sz w:val="21"/>
          <w:szCs w:val="21"/>
        </w:rPr>
        <w:t>）；</w:t>
      </w:r>
    </w:p>
    <w:p w14:paraId="00B2563E">
      <w:pPr>
        <w:spacing w:line="221" w:lineRule="auto"/>
        <w:ind w:left="385"/>
        <w:rPr>
          <w:rFonts w:ascii="宋体" w:hAnsi="宋体" w:eastAsia="宋体" w:cs="宋体"/>
          <w:sz w:val="21"/>
          <w:szCs w:val="21"/>
        </w:rPr>
      </w:pPr>
      <w:r>
        <w:rPr>
          <w:rFonts w:ascii="宋体" w:hAnsi="宋体" w:eastAsia="宋体" w:cs="宋体"/>
          <w:spacing w:val="-6"/>
          <w:sz w:val="21"/>
          <w:szCs w:val="21"/>
        </w:rPr>
        <w:t>（</w:t>
      </w:r>
      <w:r>
        <w:rPr>
          <w:rFonts w:ascii="Times New Roman" w:hAnsi="Times New Roman" w:eastAsia="Times New Roman" w:cs="Times New Roman"/>
          <w:spacing w:val="-6"/>
          <w:sz w:val="21"/>
          <w:szCs w:val="21"/>
        </w:rPr>
        <w:t>2</w:t>
      </w:r>
      <w:r>
        <w:rPr>
          <w:rFonts w:ascii="宋体" w:hAnsi="宋体" w:eastAsia="宋体" w:cs="宋体"/>
          <w:spacing w:val="-6"/>
          <w:sz w:val="21"/>
          <w:szCs w:val="21"/>
        </w:rPr>
        <w:t>）投标人须知；</w:t>
      </w:r>
    </w:p>
    <w:p w14:paraId="1062C403">
      <w:pPr>
        <w:spacing w:before="108" w:line="221" w:lineRule="auto"/>
        <w:ind w:left="385"/>
        <w:rPr>
          <w:rFonts w:ascii="宋体" w:hAnsi="宋体" w:eastAsia="宋体" w:cs="宋体"/>
          <w:sz w:val="21"/>
          <w:szCs w:val="21"/>
        </w:rPr>
      </w:pPr>
      <w:r>
        <w:rPr>
          <w:rFonts w:ascii="宋体" w:hAnsi="宋体" w:eastAsia="宋体" w:cs="宋体"/>
          <w:spacing w:val="-6"/>
          <w:sz w:val="21"/>
          <w:szCs w:val="21"/>
        </w:rPr>
        <w:t>（</w:t>
      </w:r>
      <w:r>
        <w:rPr>
          <w:rFonts w:ascii="Times New Roman" w:hAnsi="Times New Roman" w:eastAsia="Times New Roman" w:cs="Times New Roman"/>
          <w:spacing w:val="-6"/>
          <w:sz w:val="21"/>
          <w:szCs w:val="21"/>
        </w:rPr>
        <w:t>3</w:t>
      </w:r>
      <w:r>
        <w:rPr>
          <w:rFonts w:ascii="宋体" w:hAnsi="宋体" w:eastAsia="宋体" w:cs="宋体"/>
          <w:spacing w:val="-6"/>
          <w:sz w:val="21"/>
          <w:szCs w:val="21"/>
        </w:rPr>
        <w:t>）评标办法；</w:t>
      </w:r>
    </w:p>
    <w:p w14:paraId="331A70AC">
      <w:pPr>
        <w:spacing w:before="109" w:line="360" w:lineRule="exact"/>
        <w:ind w:left="385"/>
        <w:rPr>
          <w:rFonts w:ascii="宋体" w:hAnsi="宋体" w:eastAsia="宋体" w:cs="宋体"/>
          <w:sz w:val="21"/>
          <w:szCs w:val="21"/>
        </w:rPr>
      </w:pPr>
      <w:r>
        <w:rPr>
          <w:rFonts w:ascii="宋体" w:hAnsi="宋体" w:eastAsia="宋体" w:cs="宋体"/>
          <w:spacing w:val="-1"/>
          <w:position w:val="11"/>
          <w:sz w:val="21"/>
          <w:szCs w:val="21"/>
        </w:rPr>
        <w:t>（</w:t>
      </w:r>
      <w:r>
        <w:rPr>
          <w:rFonts w:ascii="Times New Roman" w:hAnsi="Times New Roman" w:eastAsia="Times New Roman" w:cs="Times New Roman"/>
          <w:spacing w:val="-1"/>
          <w:position w:val="11"/>
          <w:sz w:val="21"/>
          <w:szCs w:val="21"/>
        </w:rPr>
        <w:t>4</w:t>
      </w:r>
      <w:r>
        <w:rPr>
          <w:rFonts w:ascii="宋体" w:hAnsi="宋体" w:eastAsia="宋体" w:cs="宋体"/>
          <w:spacing w:val="-1"/>
          <w:position w:val="11"/>
          <w:sz w:val="21"/>
          <w:szCs w:val="21"/>
        </w:rPr>
        <w:t>）合同条款及格式；</w:t>
      </w:r>
    </w:p>
    <w:p w14:paraId="19236734">
      <w:pPr>
        <w:spacing w:before="1" w:line="221" w:lineRule="auto"/>
        <w:ind w:left="385"/>
        <w:rPr>
          <w:rFonts w:ascii="宋体" w:hAnsi="宋体" w:eastAsia="宋体" w:cs="宋体"/>
          <w:sz w:val="21"/>
          <w:szCs w:val="21"/>
        </w:rPr>
      </w:pPr>
      <w:r>
        <w:rPr>
          <w:rFonts w:ascii="宋体" w:hAnsi="宋体" w:eastAsia="宋体" w:cs="宋体"/>
          <w:spacing w:val="-5"/>
          <w:sz w:val="21"/>
          <w:szCs w:val="21"/>
        </w:rPr>
        <w:t>（</w:t>
      </w:r>
      <w:r>
        <w:rPr>
          <w:rFonts w:ascii="Times New Roman" w:hAnsi="Times New Roman" w:eastAsia="Times New Roman" w:cs="Times New Roman"/>
          <w:spacing w:val="-5"/>
          <w:sz w:val="21"/>
          <w:szCs w:val="21"/>
        </w:rPr>
        <w:t>5</w:t>
      </w:r>
      <w:r>
        <w:rPr>
          <w:rFonts w:ascii="宋体" w:hAnsi="宋体" w:eastAsia="宋体" w:cs="宋体"/>
          <w:spacing w:val="-5"/>
          <w:sz w:val="21"/>
          <w:szCs w:val="21"/>
        </w:rPr>
        <w:t>）工程量清单；</w:t>
      </w:r>
    </w:p>
    <w:p w14:paraId="0C8E49E5">
      <w:pPr>
        <w:spacing w:before="108" w:line="222" w:lineRule="auto"/>
        <w:ind w:left="385"/>
        <w:rPr>
          <w:rFonts w:ascii="宋体" w:hAnsi="宋体" w:eastAsia="宋体" w:cs="宋体"/>
          <w:sz w:val="21"/>
          <w:szCs w:val="21"/>
        </w:rPr>
      </w:pPr>
      <w:r>
        <w:rPr>
          <w:rFonts w:ascii="宋体" w:hAnsi="宋体" w:eastAsia="宋体" w:cs="宋体"/>
          <w:spacing w:val="-8"/>
          <w:sz w:val="21"/>
          <w:szCs w:val="21"/>
        </w:rPr>
        <w:t>（</w:t>
      </w:r>
      <w:r>
        <w:rPr>
          <w:rFonts w:ascii="Times New Roman" w:hAnsi="Times New Roman" w:eastAsia="Times New Roman" w:cs="Times New Roman"/>
          <w:spacing w:val="-8"/>
          <w:sz w:val="21"/>
          <w:szCs w:val="21"/>
        </w:rPr>
        <w:t>6</w:t>
      </w:r>
      <w:r>
        <w:rPr>
          <w:rFonts w:ascii="宋体" w:hAnsi="宋体" w:eastAsia="宋体" w:cs="宋体"/>
          <w:spacing w:val="-8"/>
          <w:sz w:val="21"/>
          <w:szCs w:val="21"/>
        </w:rPr>
        <w:t>）图纸；</w:t>
      </w:r>
    </w:p>
    <w:p w14:paraId="5D995722">
      <w:pPr>
        <w:spacing w:before="107" w:line="361" w:lineRule="exact"/>
        <w:ind w:left="385"/>
        <w:rPr>
          <w:rFonts w:ascii="宋体" w:hAnsi="宋体" w:eastAsia="宋体" w:cs="宋体"/>
          <w:sz w:val="21"/>
          <w:szCs w:val="21"/>
        </w:rPr>
      </w:pPr>
      <w:r>
        <w:rPr>
          <w:rFonts w:ascii="宋体" w:hAnsi="宋体" w:eastAsia="宋体" w:cs="宋体"/>
          <w:spacing w:val="-1"/>
          <w:position w:val="11"/>
          <w:sz w:val="21"/>
          <w:szCs w:val="21"/>
        </w:rPr>
        <w:t>（</w:t>
      </w:r>
      <w:r>
        <w:rPr>
          <w:rFonts w:ascii="Times New Roman" w:hAnsi="Times New Roman" w:eastAsia="Times New Roman" w:cs="Times New Roman"/>
          <w:spacing w:val="-1"/>
          <w:position w:val="11"/>
          <w:sz w:val="21"/>
          <w:szCs w:val="21"/>
        </w:rPr>
        <w:t>7</w:t>
      </w:r>
      <w:r>
        <w:rPr>
          <w:rFonts w:ascii="宋体" w:hAnsi="宋体" w:eastAsia="宋体" w:cs="宋体"/>
          <w:spacing w:val="-1"/>
          <w:position w:val="11"/>
          <w:sz w:val="21"/>
          <w:szCs w:val="21"/>
        </w:rPr>
        <w:t>）技术标准和要求；</w:t>
      </w:r>
    </w:p>
    <w:p w14:paraId="1B155863">
      <w:pPr>
        <w:spacing w:before="1" w:line="220" w:lineRule="auto"/>
        <w:ind w:left="385"/>
        <w:rPr>
          <w:rFonts w:ascii="宋体" w:hAnsi="宋体" w:eastAsia="宋体" w:cs="宋体"/>
          <w:sz w:val="21"/>
          <w:szCs w:val="21"/>
        </w:rPr>
      </w:pPr>
      <w:r>
        <w:rPr>
          <w:rFonts w:ascii="宋体" w:hAnsi="宋体" w:eastAsia="宋体" w:cs="宋体"/>
          <w:spacing w:val="-5"/>
          <w:sz w:val="21"/>
          <w:szCs w:val="21"/>
        </w:rPr>
        <w:t>（</w:t>
      </w:r>
      <w:r>
        <w:rPr>
          <w:rFonts w:ascii="Times New Roman" w:hAnsi="Times New Roman" w:eastAsia="Times New Roman" w:cs="Times New Roman"/>
          <w:spacing w:val="-5"/>
          <w:sz w:val="21"/>
          <w:szCs w:val="21"/>
        </w:rPr>
        <w:t>8</w:t>
      </w:r>
      <w:r>
        <w:rPr>
          <w:rFonts w:ascii="宋体" w:hAnsi="宋体" w:eastAsia="宋体" w:cs="宋体"/>
          <w:spacing w:val="-5"/>
          <w:sz w:val="21"/>
          <w:szCs w:val="21"/>
        </w:rPr>
        <w:t>）投标文件格式；</w:t>
      </w:r>
    </w:p>
    <w:p w14:paraId="10C873EB">
      <w:pPr>
        <w:spacing w:before="108" w:line="220" w:lineRule="auto"/>
        <w:ind w:left="385"/>
        <w:rPr>
          <w:rFonts w:ascii="宋体" w:hAnsi="宋体" w:eastAsia="宋体" w:cs="宋体"/>
          <w:sz w:val="21"/>
          <w:szCs w:val="21"/>
        </w:rPr>
      </w:pPr>
      <w:r>
        <w:rPr>
          <w:rFonts w:ascii="宋体" w:hAnsi="宋体" w:eastAsia="宋体" w:cs="宋体"/>
          <w:spacing w:val="-1"/>
          <w:sz w:val="21"/>
          <w:szCs w:val="21"/>
        </w:rPr>
        <w:t>（</w:t>
      </w:r>
      <w:r>
        <w:rPr>
          <w:rFonts w:ascii="Times New Roman" w:hAnsi="Times New Roman" w:eastAsia="Times New Roman" w:cs="Times New Roman"/>
          <w:spacing w:val="-1"/>
          <w:sz w:val="21"/>
          <w:szCs w:val="21"/>
        </w:rPr>
        <w:t>9</w:t>
      </w:r>
      <w:r>
        <w:rPr>
          <w:rFonts w:ascii="宋体" w:hAnsi="宋体" w:eastAsia="宋体" w:cs="宋体"/>
          <w:spacing w:val="-1"/>
          <w:sz w:val="21"/>
          <w:szCs w:val="21"/>
        </w:rPr>
        <w:t>）投标人须知前附表规定的其他材料。</w:t>
      </w:r>
    </w:p>
    <w:p w14:paraId="5C17FD1B">
      <w:pPr>
        <w:spacing w:before="109" w:line="269" w:lineRule="auto"/>
        <w:ind w:left="35" w:right="174" w:firstLine="405"/>
        <w:rPr>
          <w:rFonts w:ascii="宋体" w:hAnsi="宋体" w:eastAsia="宋体" w:cs="宋体"/>
          <w:sz w:val="21"/>
          <w:szCs w:val="21"/>
        </w:rPr>
      </w:pPr>
      <w:r>
        <w:rPr>
          <w:rFonts w:ascii="宋体" w:hAnsi="宋体" w:eastAsia="宋体" w:cs="宋体"/>
          <w:spacing w:val="-5"/>
          <w:sz w:val="21"/>
          <w:szCs w:val="21"/>
        </w:rPr>
        <w:t>根据本章第</w:t>
      </w:r>
      <w:r>
        <w:rPr>
          <w:rFonts w:ascii="宋体" w:hAnsi="宋体" w:eastAsia="宋体" w:cs="宋体"/>
          <w:spacing w:val="-27"/>
          <w:sz w:val="21"/>
          <w:szCs w:val="21"/>
        </w:rPr>
        <w:t xml:space="preserve"> </w:t>
      </w:r>
      <w:r>
        <w:rPr>
          <w:rFonts w:ascii="Times New Roman" w:hAnsi="Times New Roman" w:eastAsia="Times New Roman" w:cs="Times New Roman"/>
          <w:spacing w:val="-5"/>
          <w:sz w:val="21"/>
          <w:szCs w:val="21"/>
        </w:rPr>
        <w:t xml:space="preserve">1.10 </w:t>
      </w:r>
      <w:r>
        <w:rPr>
          <w:rFonts w:ascii="宋体" w:hAnsi="宋体" w:eastAsia="宋体" w:cs="宋体"/>
          <w:spacing w:val="-5"/>
          <w:sz w:val="21"/>
          <w:szCs w:val="21"/>
        </w:rPr>
        <w:t>款、</w:t>
      </w:r>
      <w:r>
        <w:rPr>
          <w:rFonts w:ascii="宋体" w:hAnsi="宋体" w:eastAsia="宋体" w:cs="宋体"/>
          <w:spacing w:val="-32"/>
          <w:sz w:val="21"/>
          <w:szCs w:val="21"/>
        </w:rPr>
        <w:t xml:space="preserve"> </w:t>
      </w:r>
      <w:r>
        <w:rPr>
          <w:rFonts w:ascii="宋体" w:hAnsi="宋体" w:eastAsia="宋体" w:cs="宋体"/>
          <w:spacing w:val="-5"/>
          <w:sz w:val="21"/>
          <w:szCs w:val="21"/>
        </w:rPr>
        <w:t>第</w:t>
      </w:r>
      <w:r>
        <w:rPr>
          <w:rFonts w:ascii="宋体" w:hAnsi="宋体" w:eastAsia="宋体" w:cs="宋体"/>
          <w:spacing w:val="-47"/>
          <w:sz w:val="21"/>
          <w:szCs w:val="21"/>
        </w:rPr>
        <w:t xml:space="preserve"> </w:t>
      </w:r>
      <w:r>
        <w:rPr>
          <w:rFonts w:ascii="Times New Roman" w:hAnsi="Times New Roman" w:eastAsia="Times New Roman" w:cs="Times New Roman"/>
          <w:spacing w:val="-5"/>
          <w:sz w:val="21"/>
          <w:szCs w:val="21"/>
        </w:rPr>
        <w:t xml:space="preserve">2.2 </w:t>
      </w:r>
      <w:r>
        <w:rPr>
          <w:rFonts w:ascii="宋体" w:hAnsi="宋体" w:eastAsia="宋体" w:cs="宋体"/>
          <w:spacing w:val="-5"/>
          <w:sz w:val="21"/>
          <w:szCs w:val="21"/>
        </w:rPr>
        <w:t>款和第</w:t>
      </w:r>
      <w:r>
        <w:rPr>
          <w:rFonts w:ascii="宋体" w:hAnsi="宋体" w:eastAsia="宋体" w:cs="宋体"/>
          <w:spacing w:val="-48"/>
          <w:sz w:val="21"/>
          <w:szCs w:val="21"/>
        </w:rPr>
        <w:t xml:space="preserve"> </w:t>
      </w:r>
      <w:r>
        <w:rPr>
          <w:rFonts w:ascii="Times New Roman" w:hAnsi="Times New Roman" w:eastAsia="Times New Roman" w:cs="Times New Roman"/>
          <w:spacing w:val="-5"/>
          <w:sz w:val="21"/>
          <w:szCs w:val="21"/>
        </w:rPr>
        <w:t>2.</w:t>
      </w:r>
      <w:r>
        <w:rPr>
          <w:rFonts w:ascii="Times New Roman" w:hAnsi="Times New Roman" w:eastAsia="Times New Roman" w:cs="Times New Roman"/>
          <w:spacing w:val="-6"/>
          <w:sz w:val="21"/>
          <w:szCs w:val="21"/>
        </w:rPr>
        <w:t xml:space="preserve">3 </w:t>
      </w:r>
      <w:r>
        <w:rPr>
          <w:rFonts w:ascii="宋体" w:hAnsi="宋体" w:eastAsia="宋体" w:cs="宋体"/>
          <w:spacing w:val="-6"/>
          <w:sz w:val="21"/>
          <w:szCs w:val="21"/>
        </w:rPr>
        <w:t>款对招标文件所作的澄清、修改， 构成招标文件</w:t>
      </w:r>
      <w:r>
        <w:rPr>
          <w:rFonts w:ascii="宋体" w:hAnsi="宋体" w:eastAsia="宋体" w:cs="宋体"/>
          <w:sz w:val="21"/>
          <w:szCs w:val="21"/>
        </w:rPr>
        <w:t xml:space="preserve"> </w:t>
      </w:r>
      <w:r>
        <w:rPr>
          <w:rFonts w:ascii="宋体" w:hAnsi="宋体" w:eastAsia="宋体" w:cs="宋体"/>
          <w:spacing w:val="-4"/>
          <w:sz w:val="21"/>
          <w:szCs w:val="21"/>
        </w:rPr>
        <w:t>的组成部分。</w:t>
      </w:r>
    </w:p>
    <w:p w14:paraId="14A273B6">
      <w:pPr>
        <w:spacing w:before="84" w:line="219" w:lineRule="auto"/>
        <w:ind w:left="15"/>
        <w:rPr>
          <w:rFonts w:ascii="黑体" w:hAnsi="黑体" w:eastAsia="黑体" w:cs="黑体"/>
          <w:sz w:val="24"/>
          <w:szCs w:val="24"/>
        </w:rPr>
      </w:pPr>
      <w:r>
        <w:rPr>
          <w:rFonts w:ascii="Times New Roman" w:hAnsi="Times New Roman" w:eastAsia="Times New Roman" w:cs="Times New Roman"/>
          <w:sz w:val="24"/>
          <w:szCs w:val="24"/>
        </w:rPr>
        <w:t xml:space="preserve">2.2 </w:t>
      </w:r>
      <w:r>
        <w:rPr>
          <w:rFonts w:ascii="黑体" w:hAnsi="黑体" w:eastAsia="黑体" w:cs="黑体"/>
          <w:sz w:val="24"/>
          <w:szCs w:val="24"/>
        </w:rPr>
        <w:t>招标文件的澄清</w:t>
      </w:r>
    </w:p>
    <w:p w14:paraId="6A3EEA69">
      <w:pPr>
        <w:spacing w:before="99" w:line="293" w:lineRule="auto"/>
        <w:ind w:left="19" w:right="173" w:firstLine="418"/>
        <w:jc w:val="both"/>
        <w:rPr>
          <w:rFonts w:ascii="宋体" w:hAnsi="宋体" w:eastAsia="宋体" w:cs="宋体"/>
          <w:sz w:val="21"/>
          <w:szCs w:val="21"/>
        </w:rPr>
      </w:pPr>
      <w:r>
        <w:rPr>
          <w:rFonts w:ascii="Times New Roman" w:hAnsi="Times New Roman" w:eastAsia="Times New Roman" w:cs="Times New Roman"/>
          <w:spacing w:val="1"/>
          <w:sz w:val="21"/>
          <w:szCs w:val="21"/>
        </w:rPr>
        <w:t>2.2.1</w:t>
      </w:r>
      <w:r>
        <w:rPr>
          <w:rFonts w:ascii="Times New Roman" w:hAnsi="Times New Roman" w:eastAsia="Times New Roman" w:cs="Times New Roman"/>
          <w:spacing w:val="44"/>
          <w:w w:val="101"/>
          <w:sz w:val="21"/>
          <w:szCs w:val="21"/>
        </w:rPr>
        <w:t xml:space="preserve"> </w:t>
      </w:r>
      <w:r>
        <w:rPr>
          <w:rFonts w:ascii="宋体" w:hAnsi="宋体" w:eastAsia="宋体" w:cs="宋体"/>
          <w:spacing w:val="1"/>
          <w:sz w:val="21"/>
          <w:szCs w:val="21"/>
        </w:rPr>
        <w:t>投标人应仔细阅读和检查招标文件的全部内容</w:t>
      </w:r>
      <w:r>
        <w:rPr>
          <w:rFonts w:ascii="宋体" w:hAnsi="宋体" w:eastAsia="宋体" w:cs="宋体"/>
          <w:sz w:val="21"/>
          <w:szCs w:val="21"/>
        </w:rPr>
        <w:t xml:space="preserve">。如发现缺页或附件不全，应及时 </w:t>
      </w:r>
      <w:r>
        <w:rPr>
          <w:rFonts w:ascii="宋体" w:hAnsi="宋体" w:eastAsia="宋体" w:cs="宋体"/>
          <w:spacing w:val="1"/>
          <w:sz w:val="21"/>
          <w:szCs w:val="21"/>
        </w:rPr>
        <w:t>向招标人提出，以便补齐。</w:t>
      </w:r>
      <w:r>
        <w:rPr>
          <w:rFonts w:ascii="宋体" w:hAnsi="宋体" w:eastAsia="宋体" w:cs="宋体"/>
          <w:spacing w:val="-20"/>
          <w:sz w:val="21"/>
          <w:szCs w:val="21"/>
        </w:rPr>
        <w:t xml:space="preserve"> </w:t>
      </w:r>
      <w:r>
        <w:rPr>
          <w:rFonts w:ascii="宋体" w:hAnsi="宋体" w:eastAsia="宋体" w:cs="宋体"/>
          <w:spacing w:val="1"/>
          <w:sz w:val="21"/>
          <w:szCs w:val="21"/>
        </w:rPr>
        <w:t>如有疑问，应在投标人须知前附表规定的时</w:t>
      </w:r>
      <w:r>
        <w:rPr>
          <w:rFonts w:ascii="宋体" w:hAnsi="宋体" w:eastAsia="宋体" w:cs="宋体"/>
          <w:sz w:val="21"/>
          <w:szCs w:val="21"/>
        </w:rPr>
        <w:t xml:space="preserve">间前，通过法定公 </w:t>
      </w:r>
      <w:r>
        <w:rPr>
          <w:rFonts w:ascii="宋体" w:hAnsi="宋体" w:eastAsia="宋体" w:cs="宋体"/>
          <w:spacing w:val="-1"/>
          <w:sz w:val="21"/>
          <w:szCs w:val="21"/>
        </w:rPr>
        <w:t>告公示信息发布媒介、电子交易系统（投标盲盒工具）</w:t>
      </w:r>
      <w:r>
        <w:rPr>
          <w:rFonts w:ascii="宋体" w:hAnsi="宋体" w:eastAsia="宋体" w:cs="宋体"/>
          <w:spacing w:val="48"/>
          <w:sz w:val="21"/>
          <w:szCs w:val="21"/>
        </w:rPr>
        <w:t xml:space="preserve"> </w:t>
      </w:r>
      <w:r>
        <w:rPr>
          <w:rFonts w:ascii="宋体" w:hAnsi="宋体" w:eastAsia="宋体" w:cs="宋体"/>
          <w:spacing w:val="-1"/>
          <w:sz w:val="21"/>
          <w:szCs w:val="21"/>
        </w:rPr>
        <w:t>等渠道以书面形式要求招标人对招</w:t>
      </w:r>
      <w:r>
        <w:rPr>
          <w:rFonts w:ascii="宋体" w:hAnsi="宋体" w:eastAsia="宋体" w:cs="宋体"/>
          <w:sz w:val="21"/>
          <w:szCs w:val="21"/>
        </w:rPr>
        <w:t xml:space="preserve"> </w:t>
      </w:r>
      <w:r>
        <w:rPr>
          <w:rFonts w:ascii="宋体" w:hAnsi="宋体" w:eastAsia="宋体" w:cs="宋体"/>
          <w:spacing w:val="-4"/>
          <w:sz w:val="21"/>
          <w:szCs w:val="21"/>
        </w:rPr>
        <w:t>标文件予以澄清。</w:t>
      </w:r>
    </w:p>
    <w:p w14:paraId="1875AFF4">
      <w:pPr>
        <w:spacing w:before="110" w:line="268" w:lineRule="auto"/>
        <w:ind w:left="19" w:right="2" w:firstLine="418"/>
        <w:rPr>
          <w:rFonts w:ascii="宋体" w:hAnsi="宋体" w:eastAsia="宋体" w:cs="宋体"/>
          <w:sz w:val="21"/>
          <w:szCs w:val="21"/>
        </w:rPr>
      </w:pPr>
      <w:r>
        <w:rPr>
          <w:rFonts w:ascii="Times New Roman" w:hAnsi="Times New Roman" w:eastAsia="Times New Roman" w:cs="Times New Roman"/>
          <w:sz w:val="21"/>
          <w:szCs w:val="21"/>
        </w:rPr>
        <w:t>2.2.2</w:t>
      </w:r>
      <w:r>
        <w:rPr>
          <w:rFonts w:ascii="Times New Roman" w:hAnsi="Times New Roman" w:eastAsia="Times New Roman" w:cs="Times New Roman"/>
          <w:spacing w:val="51"/>
          <w:sz w:val="21"/>
          <w:szCs w:val="21"/>
        </w:rPr>
        <w:t xml:space="preserve"> </w:t>
      </w:r>
      <w:r>
        <w:rPr>
          <w:rFonts w:ascii="宋体" w:hAnsi="宋体" w:eastAsia="宋体" w:cs="宋体"/>
          <w:sz w:val="21"/>
          <w:szCs w:val="21"/>
        </w:rPr>
        <w:t>招标人对招标文件的澄清通过法定公告公示信息发布媒介、电子交易系统（投标  盲盒工具）</w:t>
      </w:r>
      <w:r>
        <w:rPr>
          <w:rFonts w:ascii="宋体" w:hAnsi="宋体" w:eastAsia="宋体" w:cs="宋体"/>
          <w:spacing w:val="-24"/>
          <w:sz w:val="21"/>
          <w:szCs w:val="21"/>
        </w:rPr>
        <w:t xml:space="preserve"> </w:t>
      </w:r>
      <w:r>
        <w:rPr>
          <w:rFonts w:ascii="宋体" w:hAnsi="宋体" w:eastAsia="宋体" w:cs="宋体"/>
          <w:sz w:val="21"/>
          <w:szCs w:val="21"/>
        </w:rPr>
        <w:t>等渠道以书面形式发给所有下载招标文件的投标人，但不指明澄清问题的来源。</w:t>
      </w:r>
    </w:p>
    <w:p w14:paraId="5CDB7FDB">
      <w:pPr>
        <w:spacing w:line="268" w:lineRule="auto"/>
        <w:rPr>
          <w:rFonts w:ascii="宋体" w:hAnsi="宋体" w:eastAsia="宋体" w:cs="宋体"/>
          <w:sz w:val="21"/>
          <w:szCs w:val="21"/>
        </w:rPr>
        <w:sectPr>
          <w:footerReference r:id="rId22" w:type="default"/>
          <w:pgSz w:w="11905" w:h="16839"/>
          <w:pgMar w:top="1431" w:right="1614" w:bottom="1036" w:left="1785" w:header="0" w:footer="847" w:gutter="0"/>
          <w:pgNumType w:fmt="decimal"/>
          <w:cols w:space="720" w:num="1"/>
        </w:sectPr>
      </w:pPr>
    </w:p>
    <w:p w14:paraId="68E763CA">
      <w:pPr>
        <w:spacing w:before="114" w:line="269" w:lineRule="auto"/>
        <w:ind w:left="22" w:right="208" w:hanging="1"/>
        <w:rPr>
          <w:rFonts w:ascii="宋体" w:hAnsi="宋体" w:eastAsia="宋体" w:cs="宋体"/>
          <w:sz w:val="21"/>
          <w:szCs w:val="21"/>
        </w:rPr>
      </w:pPr>
      <w:bookmarkStart w:id="76" w:name="bookmark90"/>
      <w:bookmarkEnd w:id="76"/>
      <w:r>
        <w:rPr>
          <w:rFonts w:ascii="宋体" w:hAnsi="宋体" w:eastAsia="宋体" w:cs="宋体"/>
          <w:spacing w:val="-3"/>
          <w:sz w:val="21"/>
          <w:szCs w:val="21"/>
        </w:rPr>
        <w:t xml:space="preserve">如果澄清通知发出的时间距投标人须知前附表第 </w:t>
      </w:r>
      <w:r>
        <w:rPr>
          <w:rFonts w:ascii="Times New Roman" w:hAnsi="Times New Roman" w:eastAsia="Times New Roman" w:cs="Times New Roman"/>
          <w:spacing w:val="-3"/>
          <w:sz w:val="21"/>
          <w:szCs w:val="21"/>
        </w:rPr>
        <w:t>4.2.1</w:t>
      </w:r>
      <w:r>
        <w:rPr>
          <w:rFonts w:ascii="Times New Roman" w:hAnsi="Times New Roman" w:eastAsia="Times New Roman" w:cs="Times New Roman"/>
          <w:spacing w:val="47"/>
          <w:sz w:val="21"/>
          <w:szCs w:val="21"/>
        </w:rPr>
        <w:t xml:space="preserve"> </w:t>
      </w:r>
      <w:r>
        <w:rPr>
          <w:rFonts w:ascii="宋体" w:hAnsi="宋体" w:eastAsia="宋体" w:cs="宋体"/>
          <w:spacing w:val="-3"/>
          <w:sz w:val="21"/>
          <w:szCs w:val="21"/>
        </w:rPr>
        <w:t xml:space="preserve">项规定的投标截止时间不足 </w:t>
      </w:r>
      <w:r>
        <w:rPr>
          <w:rFonts w:ascii="Times New Roman" w:hAnsi="Times New Roman" w:eastAsia="Times New Roman" w:cs="Times New Roman"/>
          <w:spacing w:val="-3"/>
          <w:sz w:val="21"/>
          <w:szCs w:val="21"/>
        </w:rPr>
        <w:t xml:space="preserve">15  </w:t>
      </w:r>
      <w:r>
        <w:rPr>
          <w:rFonts w:ascii="宋体" w:hAnsi="宋体" w:eastAsia="宋体" w:cs="宋体"/>
          <w:spacing w:val="-3"/>
          <w:sz w:val="21"/>
          <w:szCs w:val="21"/>
        </w:rPr>
        <w:t>日，</w:t>
      </w:r>
      <w:r>
        <w:rPr>
          <w:rFonts w:ascii="宋体" w:hAnsi="宋体" w:eastAsia="宋体" w:cs="宋体"/>
          <w:sz w:val="21"/>
          <w:szCs w:val="21"/>
        </w:rPr>
        <w:t xml:space="preserve"> </w:t>
      </w:r>
      <w:r>
        <w:rPr>
          <w:rFonts w:ascii="宋体" w:hAnsi="宋体" w:eastAsia="宋体" w:cs="宋体"/>
          <w:spacing w:val="-1"/>
          <w:sz w:val="21"/>
          <w:szCs w:val="21"/>
        </w:rPr>
        <w:t>并且澄清的内容确实影响投标文件编制的，应当相应延长投标截止时间。</w:t>
      </w:r>
    </w:p>
    <w:p w14:paraId="565E7E42">
      <w:pPr>
        <w:spacing w:before="108" w:line="285" w:lineRule="auto"/>
        <w:ind w:left="16" w:right="163" w:firstLine="420"/>
        <w:jc w:val="both"/>
        <w:rPr>
          <w:rFonts w:ascii="宋体" w:hAnsi="宋体" w:eastAsia="宋体" w:cs="宋体"/>
          <w:sz w:val="21"/>
          <w:szCs w:val="21"/>
        </w:rPr>
      </w:pPr>
      <w:r>
        <w:rPr>
          <w:rFonts w:ascii="Times New Roman" w:hAnsi="Times New Roman" w:eastAsia="Times New Roman" w:cs="Times New Roman"/>
          <w:sz w:val="21"/>
          <w:szCs w:val="21"/>
        </w:rPr>
        <w:t>2.2.3</w:t>
      </w:r>
      <w:r>
        <w:rPr>
          <w:rFonts w:ascii="Times New Roman" w:hAnsi="Times New Roman" w:eastAsia="Times New Roman" w:cs="Times New Roman"/>
          <w:spacing w:val="58"/>
          <w:w w:val="101"/>
          <w:sz w:val="21"/>
          <w:szCs w:val="21"/>
        </w:rPr>
        <w:t xml:space="preserve"> </w:t>
      </w:r>
      <w:r>
        <w:rPr>
          <w:rFonts w:ascii="宋体" w:hAnsi="宋体" w:eastAsia="宋体" w:cs="宋体"/>
          <w:sz w:val="21"/>
          <w:szCs w:val="21"/>
        </w:rPr>
        <w:t xml:space="preserve">投标人应实时自行关注法定公告公示信息发布媒介、电子交易系统（投标盲盒工 </w:t>
      </w:r>
      <w:r>
        <w:rPr>
          <w:rFonts w:ascii="宋体" w:hAnsi="宋体" w:eastAsia="宋体" w:cs="宋体"/>
          <w:spacing w:val="1"/>
          <w:sz w:val="21"/>
          <w:szCs w:val="21"/>
        </w:rPr>
        <w:t>具）</w:t>
      </w:r>
      <w:r>
        <w:rPr>
          <w:rFonts w:ascii="宋体" w:hAnsi="宋体" w:eastAsia="宋体" w:cs="宋体"/>
          <w:spacing w:val="-28"/>
          <w:sz w:val="21"/>
          <w:szCs w:val="21"/>
        </w:rPr>
        <w:t xml:space="preserve"> </w:t>
      </w:r>
      <w:r>
        <w:rPr>
          <w:rFonts w:ascii="宋体" w:hAnsi="宋体" w:eastAsia="宋体" w:cs="宋体"/>
          <w:spacing w:val="1"/>
          <w:sz w:val="21"/>
          <w:szCs w:val="21"/>
        </w:rPr>
        <w:t>等渠道上发出的澄清通知，因投标人自身原因未及时获知澄清内容而导致的任何后果</w:t>
      </w:r>
      <w:r>
        <w:rPr>
          <w:rFonts w:ascii="宋体" w:hAnsi="宋体" w:eastAsia="宋体" w:cs="宋体"/>
          <w:sz w:val="21"/>
          <w:szCs w:val="21"/>
        </w:rPr>
        <w:t xml:space="preserve"> </w:t>
      </w:r>
      <w:r>
        <w:rPr>
          <w:rFonts w:ascii="宋体" w:hAnsi="宋体" w:eastAsia="宋体" w:cs="宋体"/>
          <w:spacing w:val="-1"/>
          <w:sz w:val="21"/>
          <w:szCs w:val="21"/>
        </w:rPr>
        <w:t>将由投标人自行承担。</w:t>
      </w:r>
    </w:p>
    <w:p w14:paraId="2640F62E">
      <w:pPr>
        <w:spacing w:before="84" w:line="219" w:lineRule="auto"/>
        <w:ind w:left="15"/>
        <w:rPr>
          <w:rFonts w:ascii="黑体" w:hAnsi="黑体" w:eastAsia="黑体" w:cs="黑体"/>
          <w:sz w:val="24"/>
          <w:szCs w:val="24"/>
        </w:rPr>
      </w:pPr>
      <w:r>
        <w:rPr>
          <w:rFonts w:ascii="Times New Roman" w:hAnsi="Times New Roman" w:eastAsia="Times New Roman" w:cs="Times New Roman"/>
          <w:sz w:val="24"/>
          <w:szCs w:val="24"/>
        </w:rPr>
        <w:t xml:space="preserve">2.3 </w:t>
      </w:r>
      <w:r>
        <w:rPr>
          <w:rFonts w:ascii="黑体" w:hAnsi="黑体" w:eastAsia="黑体" w:cs="黑体"/>
          <w:sz w:val="24"/>
          <w:szCs w:val="24"/>
        </w:rPr>
        <w:t>招标文件的修改</w:t>
      </w:r>
    </w:p>
    <w:p w14:paraId="152A7403">
      <w:pPr>
        <w:spacing w:before="98" w:line="293" w:lineRule="auto"/>
        <w:ind w:left="18" w:right="161" w:firstLine="419"/>
        <w:jc w:val="both"/>
        <w:rPr>
          <w:rFonts w:ascii="宋体" w:hAnsi="宋体" w:eastAsia="宋体" w:cs="宋体"/>
          <w:sz w:val="21"/>
          <w:szCs w:val="21"/>
        </w:rPr>
      </w:pPr>
      <w:r>
        <w:rPr>
          <w:rFonts w:ascii="Times New Roman" w:hAnsi="Times New Roman" w:eastAsia="Times New Roman" w:cs="Times New Roman"/>
          <w:spacing w:val="1"/>
          <w:sz w:val="21"/>
          <w:szCs w:val="21"/>
        </w:rPr>
        <w:t>2.3.1</w:t>
      </w:r>
      <w:r>
        <w:rPr>
          <w:rFonts w:ascii="Times New Roman" w:hAnsi="Times New Roman" w:eastAsia="Times New Roman" w:cs="Times New Roman"/>
          <w:spacing w:val="34"/>
          <w:sz w:val="21"/>
          <w:szCs w:val="21"/>
        </w:rPr>
        <w:t xml:space="preserve"> </w:t>
      </w:r>
      <w:r>
        <w:rPr>
          <w:rFonts w:ascii="宋体" w:hAnsi="宋体" w:eastAsia="宋体" w:cs="宋体"/>
          <w:spacing w:val="1"/>
          <w:sz w:val="21"/>
          <w:szCs w:val="21"/>
        </w:rPr>
        <w:t>招标人可以书面形式修改招标文件，并通过法定公告公示信</w:t>
      </w:r>
      <w:r>
        <w:rPr>
          <w:rFonts w:ascii="宋体" w:hAnsi="宋体" w:eastAsia="宋体" w:cs="宋体"/>
          <w:sz w:val="21"/>
          <w:szCs w:val="21"/>
        </w:rPr>
        <w:t xml:space="preserve">息发布媒介、电子交 </w:t>
      </w:r>
      <w:r>
        <w:rPr>
          <w:rFonts w:ascii="宋体" w:hAnsi="宋体" w:eastAsia="宋体" w:cs="宋体"/>
          <w:spacing w:val="3"/>
          <w:sz w:val="21"/>
          <w:szCs w:val="21"/>
        </w:rPr>
        <w:t>易系统（投标盲盒工具）等渠道通知所有已下载招标文件的投标人。如果修改通</w:t>
      </w:r>
      <w:r>
        <w:rPr>
          <w:rFonts w:ascii="宋体" w:hAnsi="宋体" w:eastAsia="宋体" w:cs="宋体"/>
          <w:spacing w:val="2"/>
          <w:sz w:val="21"/>
          <w:szCs w:val="21"/>
        </w:rPr>
        <w:t>知发出的</w:t>
      </w:r>
      <w:r>
        <w:rPr>
          <w:rFonts w:ascii="宋体" w:hAnsi="宋体" w:eastAsia="宋体" w:cs="宋体"/>
          <w:sz w:val="21"/>
          <w:szCs w:val="21"/>
        </w:rPr>
        <w:t xml:space="preserve"> </w:t>
      </w:r>
      <w:r>
        <w:rPr>
          <w:rFonts w:ascii="宋体" w:hAnsi="宋体" w:eastAsia="宋体" w:cs="宋体"/>
          <w:spacing w:val="-1"/>
          <w:sz w:val="21"/>
          <w:szCs w:val="21"/>
        </w:rPr>
        <w:t xml:space="preserve">时间距投标人须知前附表第 </w:t>
      </w:r>
      <w:r>
        <w:rPr>
          <w:rFonts w:ascii="Times New Roman" w:hAnsi="Times New Roman" w:eastAsia="Times New Roman" w:cs="Times New Roman"/>
          <w:spacing w:val="-1"/>
          <w:sz w:val="21"/>
          <w:szCs w:val="21"/>
        </w:rPr>
        <w:t>4.2.1</w:t>
      </w:r>
      <w:r>
        <w:rPr>
          <w:rFonts w:ascii="Times New Roman" w:hAnsi="Times New Roman" w:eastAsia="Times New Roman" w:cs="Times New Roman"/>
          <w:spacing w:val="31"/>
          <w:sz w:val="21"/>
          <w:szCs w:val="21"/>
        </w:rPr>
        <w:t xml:space="preserve"> </w:t>
      </w:r>
      <w:r>
        <w:rPr>
          <w:rFonts w:ascii="宋体" w:hAnsi="宋体" w:eastAsia="宋体" w:cs="宋体"/>
          <w:spacing w:val="-1"/>
          <w:sz w:val="21"/>
          <w:szCs w:val="21"/>
        </w:rPr>
        <w:t>项规定</w:t>
      </w:r>
      <w:r>
        <w:rPr>
          <w:rFonts w:ascii="宋体" w:hAnsi="宋体" w:eastAsia="宋体" w:cs="宋体"/>
          <w:spacing w:val="-2"/>
          <w:sz w:val="21"/>
          <w:szCs w:val="21"/>
        </w:rPr>
        <w:t xml:space="preserve">的投标截止时间不足 </w:t>
      </w:r>
      <w:r>
        <w:rPr>
          <w:rFonts w:ascii="Times New Roman" w:hAnsi="Times New Roman" w:eastAsia="Times New Roman" w:cs="Times New Roman"/>
          <w:spacing w:val="-2"/>
          <w:sz w:val="21"/>
          <w:szCs w:val="21"/>
        </w:rPr>
        <w:t xml:space="preserve">15  </w:t>
      </w:r>
      <w:r>
        <w:rPr>
          <w:rFonts w:ascii="宋体" w:hAnsi="宋体" w:eastAsia="宋体" w:cs="宋体"/>
          <w:spacing w:val="-2"/>
          <w:sz w:val="21"/>
          <w:szCs w:val="21"/>
        </w:rPr>
        <w:t>日，并且修改的内容确实</w:t>
      </w:r>
      <w:r>
        <w:rPr>
          <w:rFonts w:ascii="宋体" w:hAnsi="宋体" w:eastAsia="宋体" w:cs="宋体"/>
          <w:sz w:val="21"/>
          <w:szCs w:val="21"/>
        </w:rPr>
        <w:t xml:space="preserve"> </w:t>
      </w:r>
      <w:r>
        <w:rPr>
          <w:rFonts w:ascii="宋体" w:hAnsi="宋体" w:eastAsia="宋体" w:cs="宋体"/>
          <w:spacing w:val="-1"/>
          <w:sz w:val="21"/>
          <w:szCs w:val="21"/>
        </w:rPr>
        <w:t>影响投标文件编制的，应当相应延长投标截止时间。</w:t>
      </w:r>
    </w:p>
    <w:p w14:paraId="5954B8FA">
      <w:pPr>
        <w:spacing w:before="107" w:line="285" w:lineRule="auto"/>
        <w:ind w:left="16" w:right="162" w:firstLine="420"/>
        <w:jc w:val="both"/>
        <w:rPr>
          <w:rFonts w:ascii="宋体" w:hAnsi="宋体" w:eastAsia="宋体" w:cs="宋体"/>
          <w:sz w:val="21"/>
          <w:szCs w:val="21"/>
        </w:rPr>
      </w:pPr>
      <w:r>
        <w:rPr>
          <w:rFonts w:ascii="Times New Roman" w:hAnsi="Times New Roman" w:eastAsia="Times New Roman" w:cs="Times New Roman"/>
          <w:sz w:val="21"/>
          <w:szCs w:val="21"/>
        </w:rPr>
        <w:t>2.3.2</w:t>
      </w:r>
      <w:r>
        <w:rPr>
          <w:rFonts w:ascii="Times New Roman" w:hAnsi="Times New Roman" w:eastAsia="Times New Roman" w:cs="Times New Roman"/>
          <w:spacing w:val="58"/>
          <w:w w:val="101"/>
          <w:sz w:val="21"/>
          <w:szCs w:val="21"/>
        </w:rPr>
        <w:t xml:space="preserve"> </w:t>
      </w:r>
      <w:r>
        <w:rPr>
          <w:rFonts w:ascii="宋体" w:hAnsi="宋体" w:eastAsia="宋体" w:cs="宋体"/>
          <w:sz w:val="21"/>
          <w:szCs w:val="21"/>
        </w:rPr>
        <w:t xml:space="preserve">投标人应实时自行关注法定公告公示信息发布媒介、电子交易系统（投标盲盒工 </w:t>
      </w:r>
      <w:r>
        <w:rPr>
          <w:rFonts w:ascii="宋体" w:hAnsi="宋体" w:eastAsia="宋体" w:cs="宋体"/>
          <w:spacing w:val="1"/>
          <w:sz w:val="21"/>
          <w:szCs w:val="21"/>
        </w:rPr>
        <w:t>具）</w:t>
      </w:r>
      <w:r>
        <w:rPr>
          <w:rFonts w:ascii="宋体" w:hAnsi="宋体" w:eastAsia="宋体" w:cs="宋体"/>
          <w:spacing w:val="-27"/>
          <w:sz w:val="21"/>
          <w:szCs w:val="21"/>
        </w:rPr>
        <w:t xml:space="preserve"> </w:t>
      </w:r>
      <w:r>
        <w:rPr>
          <w:rFonts w:ascii="宋体" w:hAnsi="宋体" w:eastAsia="宋体" w:cs="宋体"/>
          <w:spacing w:val="1"/>
          <w:sz w:val="21"/>
          <w:szCs w:val="21"/>
        </w:rPr>
        <w:t>等渠道上发出的修改通知，因投标人自身原因未及时获知修改内容而导致的任何后果</w:t>
      </w:r>
      <w:r>
        <w:rPr>
          <w:rFonts w:ascii="宋体" w:hAnsi="宋体" w:eastAsia="宋体" w:cs="宋体"/>
          <w:sz w:val="21"/>
          <w:szCs w:val="21"/>
        </w:rPr>
        <w:t xml:space="preserve"> </w:t>
      </w:r>
      <w:r>
        <w:rPr>
          <w:rFonts w:ascii="宋体" w:hAnsi="宋体" w:eastAsia="宋体" w:cs="宋体"/>
          <w:spacing w:val="-1"/>
          <w:sz w:val="21"/>
          <w:szCs w:val="21"/>
        </w:rPr>
        <w:t>将由投标人自行承担。</w:t>
      </w:r>
    </w:p>
    <w:p w14:paraId="182DDA14">
      <w:pPr>
        <w:spacing w:before="84" w:line="219" w:lineRule="auto"/>
        <w:ind w:left="15"/>
        <w:rPr>
          <w:rFonts w:ascii="黑体" w:hAnsi="黑体" w:eastAsia="黑体" w:cs="黑体"/>
          <w:sz w:val="24"/>
          <w:szCs w:val="24"/>
        </w:rPr>
      </w:pPr>
      <w:r>
        <w:rPr>
          <w:rFonts w:ascii="Times New Roman" w:hAnsi="Times New Roman" w:eastAsia="Times New Roman" w:cs="Times New Roman"/>
          <w:sz w:val="24"/>
          <w:szCs w:val="24"/>
        </w:rPr>
        <w:t xml:space="preserve">2.4 </w:t>
      </w:r>
      <w:r>
        <w:rPr>
          <w:rFonts w:ascii="黑体" w:hAnsi="黑体" w:eastAsia="黑体" w:cs="黑体"/>
          <w:sz w:val="24"/>
          <w:szCs w:val="24"/>
        </w:rPr>
        <w:t>招标文件的异议</w:t>
      </w:r>
    </w:p>
    <w:p w14:paraId="3FD00B8A">
      <w:pPr>
        <w:spacing w:before="101" w:line="297" w:lineRule="auto"/>
        <w:ind w:left="19" w:firstLine="418"/>
        <w:rPr>
          <w:rFonts w:ascii="宋体" w:hAnsi="宋体" w:eastAsia="宋体" w:cs="宋体"/>
          <w:sz w:val="21"/>
          <w:szCs w:val="21"/>
        </w:rPr>
      </w:pPr>
      <w:r>
        <w:rPr>
          <w:rFonts w:ascii="Times New Roman" w:hAnsi="Times New Roman" w:eastAsia="Times New Roman" w:cs="Times New Roman"/>
          <w:sz w:val="21"/>
          <w:szCs w:val="21"/>
        </w:rPr>
        <w:t>2.4.1</w:t>
      </w:r>
      <w:r>
        <w:rPr>
          <w:rFonts w:ascii="Times New Roman" w:hAnsi="Times New Roman" w:eastAsia="Times New Roman" w:cs="Times New Roman"/>
          <w:spacing w:val="45"/>
          <w:sz w:val="21"/>
          <w:szCs w:val="21"/>
        </w:rPr>
        <w:t xml:space="preserve"> </w:t>
      </w:r>
      <w:r>
        <w:rPr>
          <w:rFonts w:ascii="宋体" w:hAnsi="宋体" w:eastAsia="宋体" w:cs="宋体"/>
          <w:sz w:val="21"/>
          <w:szCs w:val="21"/>
        </w:rPr>
        <w:t>投标人或者其他利害关系人对招标文件（包括对招标文件澄清和修</w:t>
      </w:r>
      <w:r>
        <w:rPr>
          <w:rFonts w:ascii="宋体" w:hAnsi="宋体" w:eastAsia="宋体" w:cs="宋体"/>
          <w:spacing w:val="-1"/>
          <w:sz w:val="21"/>
          <w:szCs w:val="21"/>
        </w:rPr>
        <w:t xml:space="preserve">改的内容）有  </w:t>
      </w:r>
      <w:r>
        <w:rPr>
          <w:rFonts w:ascii="宋体" w:hAnsi="宋体" w:eastAsia="宋体" w:cs="宋体"/>
          <w:spacing w:val="-2"/>
          <w:sz w:val="21"/>
          <w:szCs w:val="21"/>
        </w:rPr>
        <w:t xml:space="preserve">异议的，应当在投标人须知前附表第 </w:t>
      </w:r>
      <w:r>
        <w:rPr>
          <w:rFonts w:ascii="Times New Roman" w:hAnsi="Times New Roman" w:eastAsia="Times New Roman" w:cs="Times New Roman"/>
          <w:spacing w:val="-2"/>
          <w:sz w:val="21"/>
          <w:szCs w:val="21"/>
        </w:rPr>
        <w:t>4.2.1</w:t>
      </w:r>
      <w:r>
        <w:rPr>
          <w:rFonts w:ascii="Times New Roman" w:hAnsi="Times New Roman" w:eastAsia="Times New Roman" w:cs="Times New Roman"/>
          <w:spacing w:val="32"/>
          <w:sz w:val="21"/>
          <w:szCs w:val="21"/>
        </w:rPr>
        <w:t xml:space="preserve"> </w:t>
      </w:r>
      <w:r>
        <w:rPr>
          <w:rFonts w:ascii="宋体" w:hAnsi="宋体" w:eastAsia="宋体" w:cs="宋体"/>
          <w:spacing w:val="-2"/>
          <w:sz w:val="21"/>
          <w:szCs w:val="21"/>
        </w:rPr>
        <w:t xml:space="preserve">项规定的投标截止时间 </w:t>
      </w:r>
      <w:r>
        <w:rPr>
          <w:rFonts w:ascii="Times New Roman" w:hAnsi="Times New Roman" w:eastAsia="Times New Roman" w:cs="Times New Roman"/>
          <w:spacing w:val="-2"/>
          <w:sz w:val="21"/>
          <w:szCs w:val="21"/>
        </w:rPr>
        <w:t xml:space="preserve">10  </w:t>
      </w:r>
      <w:r>
        <w:rPr>
          <w:rFonts w:ascii="宋体" w:hAnsi="宋体" w:eastAsia="宋体" w:cs="宋体"/>
          <w:spacing w:val="-2"/>
          <w:sz w:val="21"/>
          <w:szCs w:val="21"/>
        </w:rPr>
        <w:t>日前提出。</w:t>
      </w:r>
      <w:r>
        <w:rPr>
          <w:rFonts w:ascii="宋体" w:hAnsi="宋体" w:eastAsia="宋体" w:cs="宋体"/>
          <w:spacing w:val="-3"/>
          <w:sz w:val="21"/>
          <w:szCs w:val="21"/>
        </w:rPr>
        <w:t xml:space="preserve">招标人自  </w:t>
      </w:r>
      <w:r>
        <w:rPr>
          <w:rFonts w:ascii="宋体" w:hAnsi="宋体" w:eastAsia="宋体" w:cs="宋体"/>
          <w:spacing w:val="-2"/>
          <w:sz w:val="21"/>
          <w:szCs w:val="21"/>
        </w:rPr>
        <w:t xml:space="preserve">收到异议之日起 </w:t>
      </w:r>
      <w:r>
        <w:rPr>
          <w:rFonts w:ascii="Times New Roman" w:hAnsi="Times New Roman" w:eastAsia="Times New Roman" w:cs="Times New Roman"/>
          <w:spacing w:val="-2"/>
          <w:sz w:val="21"/>
          <w:szCs w:val="21"/>
        </w:rPr>
        <w:t>3</w:t>
      </w:r>
      <w:r>
        <w:rPr>
          <w:rFonts w:ascii="Times New Roman" w:hAnsi="Times New Roman" w:eastAsia="Times New Roman" w:cs="Times New Roman"/>
          <w:spacing w:val="22"/>
          <w:sz w:val="21"/>
          <w:szCs w:val="21"/>
        </w:rPr>
        <w:t xml:space="preserve">  </w:t>
      </w:r>
      <w:r>
        <w:rPr>
          <w:rFonts w:ascii="宋体" w:hAnsi="宋体" w:eastAsia="宋体" w:cs="宋体"/>
          <w:spacing w:val="-2"/>
          <w:sz w:val="21"/>
          <w:szCs w:val="21"/>
        </w:rPr>
        <w:t>日内作出答复；作出答复前，招标人将暂停招标投标活动。逾期提出的，</w:t>
      </w:r>
      <w:r>
        <w:rPr>
          <w:rFonts w:ascii="宋体" w:hAnsi="宋体" w:eastAsia="宋体" w:cs="宋体"/>
          <w:sz w:val="21"/>
          <w:szCs w:val="21"/>
        </w:rPr>
        <w:t xml:space="preserve"> </w:t>
      </w:r>
      <w:r>
        <w:rPr>
          <w:rFonts w:ascii="宋体" w:hAnsi="宋体" w:eastAsia="宋体" w:cs="宋体"/>
          <w:spacing w:val="2"/>
          <w:sz w:val="21"/>
          <w:szCs w:val="21"/>
        </w:rPr>
        <w:t xml:space="preserve">招标人可不予受理。异议与答复应通过电子招标投标系统（辽宁省工程建设项目招标投标  </w:t>
      </w:r>
      <w:r>
        <w:rPr>
          <w:rFonts w:ascii="宋体" w:hAnsi="宋体" w:eastAsia="宋体" w:cs="宋体"/>
          <w:spacing w:val="-11"/>
          <w:sz w:val="21"/>
          <w:szCs w:val="21"/>
        </w:rPr>
        <w:t>异议投诉处理系统）</w:t>
      </w:r>
      <w:r>
        <w:rPr>
          <w:rFonts w:ascii="宋体" w:hAnsi="宋体" w:eastAsia="宋体" w:cs="宋体"/>
          <w:spacing w:val="54"/>
          <w:sz w:val="21"/>
          <w:szCs w:val="21"/>
        </w:rPr>
        <w:t xml:space="preserve"> </w:t>
      </w:r>
      <w:r>
        <w:rPr>
          <w:rFonts w:ascii="宋体" w:hAnsi="宋体" w:eastAsia="宋体" w:cs="宋体"/>
          <w:spacing w:val="-11"/>
          <w:sz w:val="21"/>
          <w:szCs w:val="21"/>
        </w:rPr>
        <w:t>以书面形式进行。</w:t>
      </w:r>
    </w:p>
    <w:p w14:paraId="64754504">
      <w:pPr>
        <w:spacing w:before="109" w:line="285" w:lineRule="auto"/>
        <w:ind w:left="19" w:right="164" w:firstLine="422"/>
        <w:rPr>
          <w:rFonts w:ascii="宋体" w:hAnsi="宋体" w:eastAsia="宋体" w:cs="宋体"/>
          <w:sz w:val="21"/>
          <w:szCs w:val="21"/>
        </w:rPr>
      </w:pPr>
      <w:r>
        <w:rPr>
          <w:rFonts w:ascii="宋体" w:hAnsi="宋体" w:eastAsia="宋体" w:cs="宋体"/>
          <w:spacing w:val="2"/>
          <w:sz w:val="21"/>
          <w:szCs w:val="21"/>
        </w:rPr>
        <w:t>本条所称异议是指投标人或者其他利害关系人认为招标文件的内容违反法律、法规、</w:t>
      </w:r>
      <w:r>
        <w:rPr>
          <w:rFonts w:ascii="宋体" w:hAnsi="宋体" w:eastAsia="宋体" w:cs="宋体"/>
          <w:spacing w:val="8"/>
          <w:sz w:val="21"/>
          <w:szCs w:val="21"/>
        </w:rPr>
        <w:t xml:space="preserve"> </w:t>
      </w:r>
      <w:r>
        <w:rPr>
          <w:rFonts w:ascii="宋体" w:hAnsi="宋体" w:eastAsia="宋体" w:cs="宋体"/>
          <w:sz w:val="21"/>
          <w:szCs w:val="21"/>
        </w:rPr>
        <w:t>规章的强制性规定，违反公平竞争原则， 影响投标人投标而向招标人提出的质疑。未在法</w:t>
      </w:r>
      <w:r>
        <w:rPr>
          <w:rFonts w:ascii="宋体" w:hAnsi="宋体" w:eastAsia="宋体" w:cs="宋体"/>
          <w:spacing w:val="8"/>
          <w:sz w:val="21"/>
          <w:szCs w:val="21"/>
        </w:rPr>
        <w:t xml:space="preserve"> </w:t>
      </w:r>
      <w:r>
        <w:rPr>
          <w:rFonts w:ascii="宋体" w:hAnsi="宋体" w:eastAsia="宋体" w:cs="宋体"/>
          <w:spacing w:val="-2"/>
          <w:sz w:val="21"/>
          <w:szCs w:val="21"/>
        </w:rPr>
        <w:t>定时间期限内未提出异议视为投标人权利灭失。</w:t>
      </w:r>
    </w:p>
    <w:p w14:paraId="1FEE2D96">
      <w:pPr>
        <w:spacing w:before="109" w:line="220" w:lineRule="auto"/>
        <w:ind w:left="442"/>
        <w:rPr>
          <w:rFonts w:ascii="宋体" w:hAnsi="宋体" w:eastAsia="宋体" w:cs="宋体"/>
          <w:sz w:val="21"/>
          <w:szCs w:val="21"/>
        </w:rPr>
      </w:pPr>
      <w:r>
        <w:rPr>
          <w:rFonts w:ascii="宋体" w:hAnsi="宋体" w:eastAsia="宋体" w:cs="宋体"/>
          <w:spacing w:val="-1"/>
          <w:sz w:val="21"/>
          <w:szCs w:val="21"/>
        </w:rPr>
        <w:t>有关异议受理部门及联系方式见投标人须知前附表。</w:t>
      </w:r>
    </w:p>
    <w:p w14:paraId="5CD0973A">
      <w:pPr>
        <w:spacing w:before="109" w:line="269" w:lineRule="auto"/>
        <w:ind w:left="19" w:right="156" w:firstLine="418"/>
        <w:rPr>
          <w:rFonts w:ascii="宋体" w:hAnsi="宋体" w:eastAsia="宋体" w:cs="宋体"/>
          <w:sz w:val="21"/>
          <w:szCs w:val="21"/>
        </w:rPr>
      </w:pPr>
      <w:r>
        <w:rPr>
          <w:rFonts w:ascii="Times New Roman" w:hAnsi="Times New Roman" w:eastAsia="Times New Roman" w:cs="Times New Roman"/>
          <w:sz w:val="21"/>
          <w:szCs w:val="21"/>
        </w:rPr>
        <w:t>2.4.2</w:t>
      </w:r>
      <w:r>
        <w:rPr>
          <w:rFonts w:ascii="Times New Roman" w:hAnsi="Times New Roman" w:eastAsia="Times New Roman" w:cs="Times New Roman"/>
          <w:spacing w:val="38"/>
          <w:sz w:val="21"/>
          <w:szCs w:val="21"/>
        </w:rPr>
        <w:t xml:space="preserve"> </w:t>
      </w:r>
      <w:r>
        <w:rPr>
          <w:rFonts w:ascii="宋体" w:hAnsi="宋体" w:eastAsia="宋体" w:cs="宋体"/>
          <w:sz w:val="21"/>
          <w:szCs w:val="21"/>
        </w:rPr>
        <w:t>招标人对异议的答复构成对招标文件澄清</w:t>
      </w:r>
      <w:r>
        <w:rPr>
          <w:rFonts w:ascii="宋体" w:hAnsi="宋体" w:eastAsia="宋体" w:cs="宋体"/>
          <w:spacing w:val="-1"/>
          <w:sz w:val="21"/>
          <w:szCs w:val="21"/>
        </w:rPr>
        <w:t xml:space="preserve">或者修改的， 招标人将按照本章第 </w:t>
      </w:r>
      <w:r>
        <w:rPr>
          <w:rFonts w:ascii="Times New Roman" w:hAnsi="Times New Roman" w:eastAsia="Times New Roman" w:cs="Times New Roman"/>
          <w:spacing w:val="-1"/>
          <w:sz w:val="21"/>
          <w:szCs w:val="21"/>
        </w:rPr>
        <w:t>2.2</w:t>
      </w:r>
      <w:r>
        <w:rPr>
          <w:rFonts w:ascii="Times New Roman" w:hAnsi="Times New Roman" w:eastAsia="Times New Roman" w:cs="Times New Roman"/>
          <w:sz w:val="21"/>
          <w:szCs w:val="21"/>
        </w:rPr>
        <w:t xml:space="preserve"> </w:t>
      </w:r>
      <w:r>
        <w:rPr>
          <w:rFonts w:ascii="宋体" w:hAnsi="宋体" w:eastAsia="宋体" w:cs="宋体"/>
          <w:spacing w:val="-3"/>
          <w:sz w:val="21"/>
          <w:szCs w:val="21"/>
        </w:rPr>
        <w:t>款、第</w:t>
      </w:r>
      <w:r>
        <w:rPr>
          <w:rFonts w:ascii="宋体" w:hAnsi="宋体" w:eastAsia="宋体" w:cs="宋体"/>
          <w:spacing w:val="-44"/>
          <w:sz w:val="21"/>
          <w:szCs w:val="21"/>
        </w:rPr>
        <w:t xml:space="preserve"> </w:t>
      </w:r>
      <w:r>
        <w:rPr>
          <w:rFonts w:ascii="Times New Roman" w:hAnsi="Times New Roman" w:eastAsia="Times New Roman" w:cs="Times New Roman"/>
          <w:spacing w:val="-3"/>
          <w:sz w:val="21"/>
          <w:szCs w:val="21"/>
        </w:rPr>
        <w:t xml:space="preserve">2.3 </w:t>
      </w:r>
      <w:r>
        <w:rPr>
          <w:rFonts w:ascii="宋体" w:hAnsi="宋体" w:eastAsia="宋体" w:cs="宋体"/>
          <w:spacing w:val="-3"/>
          <w:sz w:val="21"/>
          <w:szCs w:val="21"/>
        </w:rPr>
        <w:t>款规定办理。</w:t>
      </w:r>
    </w:p>
    <w:p w14:paraId="5C6AF4BC">
      <w:pPr>
        <w:spacing w:before="151" w:line="225" w:lineRule="auto"/>
        <w:ind w:left="21"/>
        <w:rPr>
          <w:rFonts w:ascii="黑体" w:hAnsi="黑体" w:eastAsia="黑体" w:cs="黑体"/>
          <w:sz w:val="27"/>
          <w:szCs w:val="27"/>
        </w:rPr>
      </w:pPr>
      <w:r>
        <w:rPr>
          <w:rFonts w:ascii="Times New Roman" w:hAnsi="Times New Roman" w:eastAsia="Times New Roman" w:cs="Times New Roman"/>
          <w:spacing w:val="3"/>
          <w:sz w:val="27"/>
          <w:szCs w:val="27"/>
        </w:rPr>
        <w:t>3.</w:t>
      </w:r>
      <w:r>
        <w:rPr>
          <w:rFonts w:ascii="Times New Roman" w:hAnsi="Times New Roman" w:eastAsia="Times New Roman" w:cs="Times New Roman"/>
          <w:spacing w:val="16"/>
          <w:w w:val="101"/>
          <w:sz w:val="27"/>
          <w:szCs w:val="27"/>
        </w:rPr>
        <w:t xml:space="preserve"> </w:t>
      </w:r>
      <w:r>
        <w:rPr>
          <w:rFonts w:ascii="黑体" w:hAnsi="黑体" w:eastAsia="黑体" w:cs="黑体"/>
          <w:spacing w:val="3"/>
          <w:sz w:val="27"/>
          <w:szCs w:val="27"/>
        </w:rPr>
        <w:t>投标文件</w:t>
      </w:r>
    </w:p>
    <w:p w14:paraId="0E86E5F8">
      <w:pPr>
        <w:spacing w:before="65" w:line="219" w:lineRule="auto"/>
        <w:ind w:left="19"/>
        <w:rPr>
          <w:rFonts w:ascii="黑体" w:hAnsi="黑体" w:eastAsia="黑体" w:cs="黑体"/>
          <w:sz w:val="24"/>
          <w:szCs w:val="24"/>
        </w:rPr>
      </w:pPr>
      <w:r>
        <w:rPr>
          <w:rFonts w:ascii="Times New Roman" w:hAnsi="Times New Roman" w:eastAsia="Times New Roman" w:cs="Times New Roman"/>
          <w:spacing w:val="-1"/>
          <w:sz w:val="24"/>
          <w:szCs w:val="24"/>
        </w:rPr>
        <w:t xml:space="preserve">3.1 </w:t>
      </w:r>
      <w:r>
        <w:rPr>
          <w:rFonts w:ascii="黑体" w:hAnsi="黑体" w:eastAsia="黑体" w:cs="黑体"/>
          <w:spacing w:val="-1"/>
          <w:sz w:val="24"/>
          <w:szCs w:val="24"/>
        </w:rPr>
        <w:t>投标文件的组成</w:t>
      </w:r>
    </w:p>
    <w:p w14:paraId="7A5AD8C5">
      <w:pPr>
        <w:spacing w:before="101" w:line="360" w:lineRule="exact"/>
        <w:ind w:left="124"/>
        <w:rPr>
          <w:rFonts w:ascii="宋体" w:hAnsi="宋体" w:eastAsia="宋体" w:cs="宋体"/>
          <w:sz w:val="21"/>
          <w:szCs w:val="21"/>
        </w:rPr>
      </w:pPr>
      <w:r>
        <w:rPr>
          <w:rFonts w:ascii="Times New Roman" w:hAnsi="Times New Roman" w:eastAsia="Times New Roman" w:cs="Times New Roman"/>
          <w:spacing w:val="-3"/>
          <w:position w:val="11"/>
          <w:sz w:val="21"/>
          <w:szCs w:val="21"/>
        </w:rPr>
        <w:t xml:space="preserve">3.1.1 </w:t>
      </w:r>
      <w:r>
        <w:rPr>
          <w:rFonts w:ascii="宋体" w:hAnsi="宋体" w:eastAsia="宋体" w:cs="宋体"/>
          <w:spacing w:val="-3"/>
          <w:position w:val="11"/>
          <w:sz w:val="21"/>
          <w:szCs w:val="21"/>
        </w:rPr>
        <w:t>投标文件应包括下列内容：</w:t>
      </w:r>
    </w:p>
    <w:p w14:paraId="577CD5C9">
      <w:pPr>
        <w:spacing w:before="1" w:line="219" w:lineRule="auto"/>
        <w:ind w:left="385"/>
        <w:rPr>
          <w:rFonts w:ascii="宋体" w:hAnsi="宋体" w:eastAsia="宋体" w:cs="宋体"/>
          <w:sz w:val="21"/>
          <w:szCs w:val="21"/>
        </w:rPr>
      </w:pPr>
      <w:r>
        <w:rPr>
          <w:rFonts w:ascii="宋体" w:hAnsi="宋体" w:eastAsia="宋体" w:cs="宋体"/>
          <w:spacing w:val="-4"/>
          <w:sz w:val="21"/>
          <w:szCs w:val="21"/>
        </w:rPr>
        <w:t>（</w:t>
      </w:r>
      <w:r>
        <w:rPr>
          <w:rFonts w:ascii="Times New Roman" w:hAnsi="Times New Roman" w:eastAsia="Times New Roman" w:cs="Times New Roman"/>
          <w:spacing w:val="-4"/>
          <w:sz w:val="21"/>
          <w:szCs w:val="21"/>
        </w:rPr>
        <w:t>1</w:t>
      </w:r>
      <w:r>
        <w:rPr>
          <w:rFonts w:ascii="宋体" w:hAnsi="宋体" w:eastAsia="宋体" w:cs="宋体"/>
          <w:spacing w:val="-4"/>
          <w:sz w:val="21"/>
          <w:szCs w:val="21"/>
        </w:rPr>
        <w:t>）投标函及投标函附录等；</w:t>
      </w:r>
    </w:p>
    <w:p w14:paraId="5A372D68">
      <w:pPr>
        <w:spacing w:before="109" w:line="221" w:lineRule="auto"/>
        <w:ind w:left="385"/>
        <w:rPr>
          <w:rFonts w:ascii="宋体" w:hAnsi="宋体" w:eastAsia="宋体" w:cs="宋体"/>
          <w:sz w:val="21"/>
          <w:szCs w:val="21"/>
        </w:rPr>
      </w:pPr>
      <w:r>
        <w:rPr>
          <w:rFonts w:ascii="宋体" w:hAnsi="宋体" w:eastAsia="宋体" w:cs="宋体"/>
          <w:spacing w:val="-4"/>
          <w:sz w:val="21"/>
          <w:szCs w:val="21"/>
        </w:rPr>
        <w:t>（</w:t>
      </w:r>
      <w:r>
        <w:rPr>
          <w:rFonts w:ascii="Times New Roman" w:hAnsi="Times New Roman" w:eastAsia="Times New Roman" w:cs="Times New Roman"/>
          <w:spacing w:val="-4"/>
          <w:sz w:val="21"/>
          <w:szCs w:val="21"/>
        </w:rPr>
        <w:t>2</w:t>
      </w:r>
      <w:r>
        <w:rPr>
          <w:rFonts w:ascii="宋体" w:hAnsi="宋体" w:eastAsia="宋体" w:cs="宋体"/>
          <w:spacing w:val="-4"/>
          <w:sz w:val="21"/>
          <w:szCs w:val="21"/>
        </w:rPr>
        <w:t>）法定代表人身份证明；</w:t>
      </w:r>
    </w:p>
    <w:p w14:paraId="17184BAD">
      <w:pPr>
        <w:spacing w:before="109" w:line="220" w:lineRule="auto"/>
        <w:ind w:left="385"/>
        <w:rPr>
          <w:rFonts w:ascii="宋体" w:hAnsi="宋体" w:eastAsia="宋体" w:cs="宋体"/>
          <w:sz w:val="21"/>
          <w:szCs w:val="21"/>
        </w:rPr>
      </w:pPr>
      <w:r>
        <w:rPr>
          <w:rFonts w:ascii="宋体" w:hAnsi="宋体" w:eastAsia="宋体" w:cs="宋体"/>
          <w:spacing w:val="-6"/>
          <w:sz w:val="21"/>
          <w:szCs w:val="21"/>
        </w:rPr>
        <w:t>（</w:t>
      </w:r>
      <w:r>
        <w:rPr>
          <w:rFonts w:ascii="Times New Roman" w:hAnsi="Times New Roman" w:eastAsia="Times New Roman" w:cs="Times New Roman"/>
          <w:spacing w:val="-6"/>
          <w:sz w:val="21"/>
          <w:szCs w:val="21"/>
        </w:rPr>
        <w:t>2</w:t>
      </w:r>
      <w:r>
        <w:rPr>
          <w:rFonts w:ascii="宋体" w:hAnsi="宋体" w:eastAsia="宋体" w:cs="宋体"/>
          <w:spacing w:val="-6"/>
          <w:sz w:val="21"/>
          <w:szCs w:val="21"/>
        </w:rPr>
        <w:t>）授权委托书；</w:t>
      </w:r>
    </w:p>
    <w:p w14:paraId="6E4AACF7">
      <w:pPr>
        <w:spacing w:before="110" w:line="221" w:lineRule="auto"/>
        <w:ind w:left="385"/>
        <w:rPr>
          <w:rFonts w:ascii="宋体" w:hAnsi="宋体" w:eastAsia="宋体" w:cs="宋体"/>
          <w:sz w:val="21"/>
          <w:szCs w:val="21"/>
        </w:rPr>
      </w:pPr>
      <w:r>
        <w:rPr>
          <w:rFonts w:ascii="宋体" w:hAnsi="宋体" w:eastAsia="宋体" w:cs="宋体"/>
          <w:spacing w:val="-5"/>
          <w:sz w:val="21"/>
          <w:szCs w:val="21"/>
        </w:rPr>
        <w:t>（</w:t>
      </w:r>
      <w:r>
        <w:rPr>
          <w:rFonts w:ascii="Times New Roman" w:hAnsi="Times New Roman" w:eastAsia="Times New Roman" w:cs="Times New Roman"/>
          <w:spacing w:val="-5"/>
          <w:sz w:val="21"/>
          <w:szCs w:val="21"/>
        </w:rPr>
        <w:t>3</w:t>
      </w:r>
      <w:r>
        <w:rPr>
          <w:rFonts w:ascii="宋体" w:hAnsi="宋体" w:eastAsia="宋体" w:cs="宋体"/>
          <w:spacing w:val="-5"/>
          <w:sz w:val="21"/>
          <w:szCs w:val="21"/>
        </w:rPr>
        <w:t>）投标保证金；</w:t>
      </w:r>
    </w:p>
    <w:p w14:paraId="3F115CF6">
      <w:pPr>
        <w:spacing w:before="109" w:line="360" w:lineRule="exact"/>
        <w:ind w:left="385"/>
        <w:rPr>
          <w:rFonts w:ascii="宋体" w:hAnsi="宋体" w:eastAsia="宋体" w:cs="宋体"/>
          <w:sz w:val="21"/>
          <w:szCs w:val="21"/>
        </w:rPr>
      </w:pPr>
      <w:r>
        <w:rPr>
          <w:rFonts w:ascii="宋体" w:hAnsi="宋体" w:eastAsia="宋体" w:cs="宋体"/>
          <w:spacing w:val="-9"/>
          <w:position w:val="11"/>
          <w:sz w:val="21"/>
          <w:szCs w:val="21"/>
        </w:rPr>
        <w:t>（</w:t>
      </w:r>
      <w:r>
        <w:rPr>
          <w:rFonts w:ascii="Times New Roman" w:hAnsi="Times New Roman" w:eastAsia="Times New Roman" w:cs="Times New Roman"/>
          <w:spacing w:val="-9"/>
          <w:position w:val="11"/>
          <w:sz w:val="21"/>
          <w:szCs w:val="21"/>
        </w:rPr>
        <w:t>4</w:t>
      </w:r>
      <w:r>
        <w:rPr>
          <w:rFonts w:ascii="宋体" w:hAnsi="宋体" w:eastAsia="宋体" w:cs="宋体"/>
          <w:spacing w:val="-9"/>
          <w:position w:val="11"/>
          <w:sz w:val="21"/>
          <w:szCs w:val="21"/>
        </w:rPr>
        <w:t>）联合体协议书（如有</w:t>
      </w:r>
      <w:r>
        <w:rPr>
          <w:rFonts w:ascii="宋体" w:hAnsi="宋体" w:eastAsia="宋体" w:cs="宋体"/>
          <w:spacing w:val="-11"/>
          <w:position w:val="11"/>
          <w:sz w:val="21"/>
          <w:szCs w:val="21"/>
        </w:rPr>
        <w:t>）；</w:t>
      </w:r>
    </w:p>
    <w:p w14:paraId="025E06B8">
      <w:pPr>
        <w:spacing w:before="1" w:line="219" w:lineRule="auto"/>
        <w:ind w:left="385"/>
        <w:rPr>
          <w:rFonts w:ascii="宋体" w:hAnsi="宋体" w:eastAsia="宋体" w:cs="宋体"/>
          <w:sz w:val="21"/>
          <w:szCs w:val="21"/>
        </w:rPr>
      </w:pPr>
      <w:r>
        <w:rPr>
          <w:rFonts w:ascii="宋体" w:hAnsi="宋体" w:eastAsia="宋体" w:cs="宋体"/>
          <w:spacing w:val="-9"/>
          <w:sz w:val="21"/>
          <w:szCs w:val="21"/>
        </w:rPr>
        <w:t>（</w:t>
      </w:r>
      <w:r>
        <w:rPr>
          <w:rFonts w:ascii="Times New Roman" w:hAnsi="Times New Roman" w:eastAsia="Times New Roman" w:cs="Times New Roman"/>
          <w:spacing w:val="-9"/>
          <w:sz w:val="21"/>
          <w:szCs w:val="21"/>
        </w:rPr>
        <w:t>5</w:t>
      </w:r>
      <w:r>
        <w:rPr>
          <w:rFonts w:ascii="宋体" w:hAnsi="宋体" w:eastAsia="宋体" w:cs="宋体"/>
          <w:spacing w:val="-9"/>
          <w:sz w:val="21"/>
          <w:szCs w:val="21"/>
        </w:rPr>
        <w:t>）拟分包计划表（如有</w:t>
      </w:r>
      <w:r>
        <w:rPr>
          <w:rFonts w:ascii="宋体" w:hAnsi="宋体" w:eastAsia="宋体" w:cs="宋体"/>
          <w:spacing w:val="-11"/>
          <w:sz w:val="21"/>
          <w:szCs w:val="21"/>
        </w:rPr>
        <w:t>）；</w:t>
      </w:r>
    </w:p>
    <w:p w14:paraId="3DE92E80">
      <w:pPr>
        <w:spacing w:before="110" w:line="220" w:lineRule="auto"/>
        <w:ind w:left="385"/>
        <w:rPr>
          <w:rFonts w:ascii="宋体" w:hAnsi="宋体" w:eastAsia="宋体" w:cs="宋体"/>
          <w:sz w:val="21"/>
          <w:szCs w:val="21"/>
        </w:rPr>
      </w:pPr>
      <w:r>
        <w:rPr>
          <w:rFonts w:ascii="宋体" w:hAnsi="宋体" w:eastAsia="宋体" w:cs="宋体"/>
          <w:spacing w:val="-5"/>
          <w:sz w:val="21"/>
          <w:szCs w:val="21"/>
        </w:rPr>
        <w:t>（</w:t>
      </w:r>
      <w:r>
        <w:rPr>
          <w:rFonts w:ascii="Times New Roman" w:hAnsi="Times New Roman" w:eastAsia="Times New Roman" w:cs="Times New Roman"/>
          <w:spacing w:val="-5"/>
          <w:sz w:val="21"/>
          <w:szCs w:val="21"/>
        </w:rPr>
        <w:t>6</w:t>
      </w:r>
      <w:r>
        <w:rPr>
          <w:rFonts w:ascii="宋体" w:hAnsi="宋体" w:eastAsia="宋体" w:cs="宋体"/>
          <w:spacing w:val="-5"/>
          <w:sz w:val="21"/>
          <w:szCs w:val="21"/>
        </w:rPr>
        <w:t>）项目管理机构；</w:t>
      </w:r>
    </w:p>
    <w:p w14:paraId="1BE687D8">
      <w:pPr>
        <w:spacing w:before="109" w:line="221" w:lineRule="auto"/>
        <w:ind w:left="385"/>
        <w:rPr>
          <w:rFonts w:ascii="宋体" w:hAnsi="宋体" w:eastAsia="宋体" w:cs="宋体"/>
          <w:sz w:val="21"/>
          <w:szCs w:val="21"/>
        </w:rPr>
      </w:pPr>
      <w:r>
        <w:rPr>
          <w:rFonts w:ascii="宋体" w:hAnsi="宋体" w:eastAsia="宋体" w:cs="宋体"/>
          <w:spacing w:val="-6"/>
          <w:sz w:val="21"/>
          <w:szCs w:val="21"/>
        </w:rPr>
        <w:t>（</w:t>
      </w:r>
      <w:r>
        <w:rPr>
          <w:rFonts w:ascii="Times New Roman" w:hAnsi="Times New Roman" w:eastAsia="Times New Roman" w:cs="Times New Roman"/>
          <w:spacing w:val="-6"/>
          <w:sz w:val="21"/>
          <w:szCs w:val="21"/>
        </w:rPr>
        <w:t>7</w:t>
      </w:r>
      <w:r>
        <w:rPr>
          <w:rFonts w:ascii="宋体" w:hAnsi="宋体" w:eastAsia="宋体" w:cs="宋体"/>
          <w:spacing w:val="-6"/>
          <w:sz w:val="21"/>
          <w:szCs w:val="21"/>
        </w:rPr>
        <w:t>）资格审查资料；</w:t>
      </w:r>
    </w:p>
    <w:p w14:paraId="3D00933F">
      <w:pPr>
        <w:spacing w:before="109" w:line="361" w:lineRule="exact"/>
        <w:ind w:left="385"/>
        <w:rPr>
          <w:rFonts w:ascii="宋体" w:hAnsi="宋体" w:eastAsia="宋体" w:cs="宋体"/>
          <w:sz w:val="21"/>
          <w:szCs w:val="21"/>
        </w:rPr>
      </w:pPr>
      <w:r>
        <w:rPr>
          <w:rFonts w:ascii="宋体" w:hAnsi="宋体" w:eastAsia="宋体" w:cs="宋体"/>
          <w:spacing w:val="-1"/>
          <w:position w:val="11"/>
          <w:sz w:val="21"/>
          <w:szCs w:val="21"/>
        </w:rPr>
        <w:t>（</w:t>
      </w:r>
      <w:r>
        <w:rPr>
          <w:rFonts w:ascii="Times New Roman" w:hAnsi="Times New Roman" w:eastAsia="Times New Roman" w:cs="Times New Roman"/>
          <w:spacing w:val="-1"/>
          <w:position w:val="11"/>
          <w:sz w:val="21"/>
          <w:szCs w:val="21"/>
        </w:rPr>
        <w:t>8</w:t>
      </w:r>
      <w:r>
        <w:rPr>
          <w:rFonts w:ascii="宋体" w:hAnsi="宋体" w:eastAsia="宋体" w:cs="宋体"/>
          <w:spacing w:val="-1"/>
          <w:position w:val="11"/>
          <w:sz w:val="21"/>
          <w:szCs w:val="21"/>
        </w:rPr>
        <w:t>）已标价工程量清单；</w:t>
      </w:r>
    </w:p>
    <w:p w14:paraId="2C3FCB3D">
      <w:pPr>
        <w:spacing w:line="222" w:lineRule="auto"/>
        <w:ind w:left="385"/>
        <w:rPr>
          <w:rFonts w:ascii="宋体" w:hAnsi="宋体" w:eastAsia="宋体" w:cs="宋体"/>
          <w:sz w:val="21"/>
          <w:szCs w:val="21"/>
        </w:rPr>
      </w:pPr>
      <w:r>
        <w:rPr>
          <w:rFonts w:ascii="宋体" w:hAnsi="宋体" w:eastAsia="宋体" w:cs="宋体"/>
          <w:spacing w:val="-5"/>
          <w:sz w:val="21"/>
          <w:szCs w:val="21"/>
        </w:rPr>
        <w:t>（</w:t>
      </w:r>
      <w:r>
        <w:rPr>
          <w:rFonts w:ascii="Times New Roman" w:hAnsi="Times New Roman" w:eastAsia="Times New Roman" w:cs="Times New Roman"/>
          <w:spacing w:val="-5"/>
          <w:sz w:val="21"/>
          <w:szCs w:val="21"/>
        </w:rPr>
        <w:t>9</w:t>
      </w:r>
      <w:r>
        <w:rPr>
          <w:rFonts w:ascii="宋体" w:hAnsi="宋体" w:eastAsia="宋体" w:cs="宋体"/>
          <w:spacing w:val="-5"/>
          <w:sz w:val="21"/>
          <w:szCs w:val="21"/>
        </w:rPr>
        <w:t>）施工组织设计；</w:t>
      </w:r>
    </w:p>
    <w:p w14:paraId="03B569FE">
      <w:pPr>
        <w:spacing w:line="222" w:lineRule="auto"/>
        <w:rPr>
          <w:rFonts w:ascii="宋体" w:hAnsi="宋体" w:eastAsia="宋体" w:cs="宋体"/>
          <w:sz w:val="21"/>
          <w:szCs w:val="21"/>
        </w:rPr>
        <w:sectPr>
          <w:footerReference r:id="rId23" w:type="default"/>
          <w:pgSz w:w="11905" w:h="16839"/>
          <w:pgMar w:top="1431" w:right="1630" w:bottom="1036" w:left="1785" w:header="0" w:footer="847" w:gutter="0"/>
          <w:pgNumType w:fmt="decimal"/>
          <w:cols w:space="720" w:num="1"/>
        </w:sectPr>
      </w:pPr>
    </w:p>
    <w:p w14:paraId="074EA7B4">
      <w:pPr>
        <w:spacing w:before="115" w:line="220" w:lineRule="auto"/>
        <w:ind w:left="385"/>
        <w:rPr>
          <w:rFonts w:ascii="宋体" w:hAnsi="宋体" w:eastAsia="宋体" w:cs="宋体"/>
          <w:sz w:val="21"/>
          <w:szCs w:val="21"/>
        </w:rPr>
      </w:pPr>
      <w:bookmarkStart w:id="77" w:name="bookmark91"/>
      <w:bookmarkEnd w:id="77"/>
      <w:r>
        <w:rPr>
          <w:rFonts w:ascii="宋体" w:hAnsi="宋体" w:eastAsia="宋体" w:cs="宋体"/>
          <w:spacing w:val="-2"/>
          <w:sz w:val="21"/>
          <w:szCs w:val="21"/>
        </w:rPr>
        <w:t>（</w:t>
      </w:r>
      <w:r>
        <w:rPr>
          <w:rFonts w:ascii="Times New Roman" w:hAnsi="Times New Roman" w:eastAsia="Times New Roman" w:cs="Times New Roman"/>
          <w:spacing w:val="-2"/>
          <w:sz w:val="21"/>
          <w:szCs w:val="21"/>
        </w:rPr>
        <w:t>10</w:t>
      </w:r>
      <w:r>
        <w:rPr>
          <w:rFonts w:ascii="宋体" w:hAnsi="宋体" w:eastAsia="宋体" w:cs="宋体"/>
          <w:spacing w:val="-2"/>
          <w:sz w:val="21"/>
          <w:szCs w:val="21"/>
        </w:rPr>
        <w:t>）投标人须知前附表规定的其他材料。</w:t>
      </w:r>
    </w:p>
    <w:p w14:paraId="307E79B5">
      <w:pPr>
        <w:spacing w:before="110" w:line="268" w:lineRule="auto"/>
        <w:ind w:left="20" w:right="160" w:firstLine="359"/>
        <w:rPr>
          <w:rFonts w:ascii="宋体" w:hAnsi="宋体" w:eastAsia="宋体" w:cs="宋体"/>
          <w:sz w:val="21"/>
          <w:szCs w:val="21"/>
        </w:rPr>
      </w:pPr>
      <w:r>
        <w:rPr>
          <w:rFonts w:ascii="Times New Roman" w:hAnsi="Times New Roman" w:eastAsia="Times New Roman" w:cs="Times New Roman"/>
          <w:spacing w:val="2"/>
          <w:sz w:val="21"/>
          <w:szCs w:val="21"/>
        </w:rPr>
        <w:t>3.1.2</w:t>
      </w:r>
      <w:r>
        <w:rPr>
          <w:rFonts w:ascii="Times New Roman" w:hAnsi="Times New Roman" w:eastAsia="Times New Roman" w:cs="Times New Roman"/>
          <w:spacing w:val="44"/>
          <w:sz w:val="21"/>
          <w:szCs w:val="21"/>
        </w:rPr>
        <w:t xml:space="preserve"> </w:t>
      </w:r>
      <w:r>
        <w:rPr>
          <w:rFonts w:ascii="宋体" w:hAnsi="宋体" w:eastAsia="宋体" w:cs="宋体"/>
          <w:spacing w:val="2"/>
          <w:sz w:val="21"/>
          <w:szCs w:val="21"/>
        </w:rPr>
        <w:t>投标人须知前附表规定不接受联合体投标的，或投标人没有组成联合体的，投标</w:t>
      </w:r>
      <w:r>
        <w:rPr>
          <w:rFonts w:ascii="宋体" w:hAnsi="宋体" w:eastAsia="宋体" w:cs="宋体"/>
          <w:sz w:val="21"/>
          <w:szCs w:val="21"/>
        </w:rPr>
        <w:t xml:space="preserve"> </w:t>
      </w:r>
      <w:r>
        <w:rPr>
          <w:rFonts w:ascii="宋体" w:hAnsi="宋体" w:eastAsia="宋体" w:cs="宋体"/>
          <w:spacing w:val="-2"/>
          <w:sz w:val="21"/>
          <w:szCs w:val="21"/>
        </w:rPr>
        <w:t>文件不包括本章第</w:t>
      </w:r>
      <w:r>
        <w:rPr>
          <w:rFonts w:ascii="宋体" w:hAnsi="宋体" w:eastAsia="宋体" w:cs="宋体"/>
          <w:spacing w:val="-43"/>
          <w:sz w:val="21"/>
          <w:szCs w:val="21"/>
        </w:rPr>
        <w:t xml:space="preserve"> </w:t>
      </w:r>
      <w:r>
        <w:rPr>
          <w:rFonts w:ascii="Times New Roman" w:hAnsi="Times New Roman" w:eastAsia="Times New Roman" w:cs="Times New Roman"/>
          <w:spacing w:val="-2"/>
          <w:sz w:val="21"/>
          <w:szCs w:val="21"/>
        </w:rPr>
        <w:t>3.1.1</w:t>
      </w:r>
      <w:r>
        <w:rPr>
          <w:rFonts w:ascii="宋体" w:hAnsi="宋体" w:eastAsia="宋体" w:cs="宋体"/>
          <w:spacing w:val="-2"/>
          <w:sz w:val="21"/>
          <w:szCs w:val="21"/>
        </w:rPr>
        <w:t>（</w:t>
      </w:r>
      <w:r>
        <w:rPr>
          <w:rFonts w:ascii="Times New Roman" w:hAnsi="Times New Roman" w:eastAsia="Times New Roman" w:cs="Times New Roman"/>
          <w:spacing w:val="-2"/>
          <w:sz w:val="21"/>
          <w:szCs w:val="21"/>
        </w:rPr>
        <w:t>4</w:t>
      </w:r>
      <w:r>
        <w:rPr>
          <w:rFonts w:ascii="宋体" w:hAnsi="宋体" w:eastAsia="宋体" w:cs="宋体"/>
          <w:spacing w:val="-2"/>
          <w:sz w:val="21"/>
          <w:szCs w:val="21"/>
        </w:rPr>
        <w:t>）</w:t>
      </w:r>
      <w:r>
        <w:rPr>
          <w:rFonts w:ascii="宋体" w:hAnsi="宋体" w:eastAsia="宋体" w:cs="宋体"/>
          <w:spacing w:val="-60"/>
          <w:sz w:val="21"/>
          <w:szCs w:val="21"/>
        </w:rPr>
        <w:t xml:space="preserve"> </w:t>
      </w:r>
      <w:r>
        <w:rPr>
          <w:rFonts w:ascii="宋体" w:hAnsi="宋体" w:eastAsia="宋体" w:cs="宋体"/>
          <w:spacing w:val="-2"/>
          <w:sz w:val="21"/>
          <w:szCs w:val="21"/>
        </w:rPr>
        <w:t>目所指</w:t>
      </w:r>
      <w:r>
        <w:rPr>
          <w:rFonts w:ascii="宋体" w:hAnsi="宋体" w:eastAsia="宋体" w:cs="宋体"/>
          <w:spacing w:val="-3"/>
          <w:sz w:val="21"/>
          <w:szCs w:val="21"/>
        </w:rPr>
        <w:t>的联合体协议书。</w:t>
      </w:r>
    </w:p>
    <w:p w14:paraId="49DD2BE1">
      <w:pPr>
        <w:spacing w:before="85" w:line="219" w:lineRule="auto"/>
        <w:ind w:left="19"/>
        <w:rPr>
          <w:rFonts w:ascii="黑体" w:hAnsi="黑体" w:eastAsia="黑体" w:cs="黑体"/>
          <w:sz w:val="24"/>
          <w:szCs w:val="24"/>
        </w:rPr>
      </w:pPr>
      <w:r>
        <w:rPr>
          <w:rFonts w:ascii="Times New Roman" w:hAnsi="Times New Roman" w:eastAsia="Times New Roman" w:cs="Times New Roman"/>
          <w:spacing w:val="-1"/>
          <w:sz w:val="24"/>
          <w:szCs w:val="24"/>
        </w:rPr>
        <w:t xml:space="preserve">3.2 </w:t>
      </w:r>
      <w:r>
        <w:rPr>
          <w:rFonts w:ascii="黑体" w:hAnsi="黑体" w:eastAsia="黑体" w:cs="黑体"/>
          <w:spacing w:val="-1"/>
          <w:sz w:val="24"/>
          <w:szCs w:val="24"/>
        </w:rPr>
        <w:t>投标报价</w:t>
      </w:r>
    </w:p>
    <w:p w14:paraId="01B5BAC4">
      <w:pPr>
        <w:spacing w:before="100" w:line="220" w:lineRule="auto"/>
        <w:ind w:left="441"/>
        <w:rPr>
          <w:rFonts w:ascii="宋体" w:hAnsi="宋体" w:eastAsia="宋体" w:cs="宋体"/>
          <w:sz w:val="21"/>
          <w:szCs w:val="21"/>
        </w:rPr>
      </w:pPr>
      <w:r>
        <w:rPr>
          <w:rFonts w:ascii="Times New Roman" w:hAnsi="Times New Roman" w:eastAsia="Times New Roman" w:cs="Times New Roman"/>
          <w:spacing w:val="-1"/>
          <w:sz w:val="21"/>
          <w:szCs w:val="21"/>
        </w:rPr>
        <w:t xml:space="preserve">3.2.1 </w:t>
      </w:r>
      <w:r>
        <w:rPr>
          <w:rFonts w:ascii="宋体" w:hAnsi="宋体" w:eastAsia="宋体" w:cs="宋体"/>
          <w:spacing w:val="-1"/>
          <w:sz w:val="21"/>
          <w:szCs w:val="21"/>
        </w:rPr>
        <w:t>投标人应按第五章“工程量清单”的要求填写相应表格。</w:t>
      </w:r>
    </w:p>
    <w:p w14:paraId="22D61C31">
      <w:pPr>
        <w:spacing w:before="109" w:line="268" w:lineRule="auto"/>
        <w:ind w:left="18" w:right="163" w:firstLine="423"/>
        <w:rPr>
          <w:rFonts w:ascii="宋体" w:hAnsi="宋体" w:eastAsia="宋体" w:cs="宋体"/>
          <w:sz w:val="21"/>
          <w:szCs w:val="21"/>
        </w:rPr>
      </w:pPr>
      <w:r>
        <w:rPr>
          <w:rFonts w:ascii="Times New Roman" w:hAnsi="Times New Roman" w:eastAsia="Times New Roman" w:cs="Times New Roman"/>
          <w:spacing w:val="1"/>
          <w:sz w:val="21"/>
          <w:szCs w:val="21"/>
        </w:rPr>
        <w:t>3.2.2</w:t>
      </w:r>
      <w:r>
        <w:rPr>
          <w:rFonts w:ascii="Times New Roman" w:hAnsi="Times New Roman" w:eastAsia="Times New Roman" w:cs="Times New Roman"/>
          <w:spacing w:val="36"/>
          <w:sz w:val="21"/>
          <w:szCs w:val="21"/>
        </w:rPr>
        <w:t xml:space="preserve"> </w:t>
      </w:r>
      <w:r>
        <w:rPr>
          <w:rFonts w:ascii="宋体" w:hAnsi="宋体" w:eastAsia="宋体" w:cs="宋体"/>
          <w:spacing w:val="1"/>
          <w:sz w:val="21"/>
          <w:szCs w:val="21"/>
        </w:rPr>
        <w:t>投标人在投标截止时间前修改投标函中的</w:t>
      </w:r>
      <w:r>
        <w:rPr>
          <w:rFonts w:ascii="宋体" w:hAnsi="宋体" w:eastAsia="宋体" w:cs="宋体"/>
          <w:sz w:val="21"/>
          <w:szCs w:val="21"/>
        </w:rPr>
        <w:t xml:space="preserve">投标总报价，应同时修改第五章“工程 </w:t>
      </w:r>
      <w:r>
        <w:rPr>
          <w:rFonts w:ascii="宋体" w:hAnsi="宋体" w:eastAsia="宋体" w:cs="宋体"/>
          <w:spacing w:val="-2"/>
          <w:sz w:val="21"/>
          <w:szCs w:val="21"/>
        </w:rPr>
        <w:t>量清单”中的相应“</w:t>
      </w:r>
      <w:r>
        <w:rPr>
          <w:rFonts w:ascii="宋体" w:hAnsi="宋体" w:eastAsia="宋体" w:cs="宋体"/>
          <w:spacing w:val="-78"/>
          <w:sz w:val="21"/>
          <w:szCs w:val="21"/>
        </w:rPr>
        <w:t xml:space="preserve"> </w:t>
      </w:r>
      <w:r>
        <w:rPr>
          <w:rFonts w:ascii="宋体" w:hAnsi="宋体" w:eastAsia="宋体" w:cs="宋体"/>
          <w:spacing w:val="-2"/>
          <w:sz w:val="21"/>
          <w:szCs w:val="21"/>
        </w:rPr>
        <w:t>已标价工程量清单</w:t>
      </w:r>
      <w:r>
        <w:rPr>
          <w:rFonts w:ascii="宋体" w:hAnsi="宋体" w:eastAsia="宋体" w:cs="宋体"/>
          <w:spacing w:val="-81"/>
          <w:sz w:val="21"/>
          <w:szCs w:val="21"/>
        </w:rPr>
        <w:t xml:space="preserve"> </w:t>
      </w:r>
      <w:r>
        <w:rPr>
          <w:rFonts w:ascii="宋体" w:hAnsi="宋体" w:eastAsia="宋体" w:cs="宋体"/>
          <w:spacing w:val="-2"/>
          <w:sz w:val="21"/>
          <w:szCs w:val="21"/>
        </w:rPr>
        <w:t>”报价。此修改须符合本章第</w:t>
      </w:r>
      <w:r>
        <w:rPr>
          <w:rFonts w:ascii="宋体" w:hAnsi="宋体" w:eastAsia="宋体" w:cs="宋体"/>
          <w:spacing w:val="-48"/>
          <w:sz w:val="21"/>
          <w:szCs w:val="21"/>
        </w:rPr>
        <w:t xml:space="preserve"> </w:t>
      </w:r>
      <w:r>
        <w:rPr>
          <w:rFonts w:ascii="Times New Roman" w:hAnsi="Times New Roman" w:eastAsia="Times New Roman" w:cs="Times New Roman"/>
          <w:spacing w:val="-2"/>
          <w:sz w:val="21"/>
          <w:szCs w:val="21"/>
        </w:rPr>
        <w:t xml:space="preserve">4.3 </w:t>
      </w:r>
      <w:r>
        <w:rPr>
          <w:rFonts w:ascii="宋体" w:hAnsi="宋体" w:eastAsia="宋体" w:cs="宋体"/>
          <w:spacing w:val="-3"/>
          <w:sz w:val="21"/>
          <w:szCs w:val="21"/>
        </w:rPr>
        <w:t>款的有关要求。</w:t>
      </w:r>
    </w:p>
    <w:p w14:paraId="1B6D5807">
      <w:pPr>
        <w:spacing w:before="110" w:line="269" w:lineRule="auto"/>
        <w:ind w:left="19" w:firstLine="422"/>
        <w:rPr>
          <w:rFonts w:ascii="宋体" w:hAnsi="宋体" w:eastAsia="宋体" w:cs="宋体"/>
          <w:sz w:val="21"/>
          <w:szCs w:val="21"/>
        </w:rPr>
      </w:pPr>
      <w:r>
        <w:rPr>
          <w:rFonts w:ascii="Times New Roman" w:hAnsi="Times New Roman" w:eastAsia="Times New Roman" w:cs="Times New Roman"/>
          <w:spacing w:val="-1"/>
          <w:sz w:val="21"/>
          <w:szCs w:val="21"/>
        </w:rPr>
        <w:t>3.2.3</w:t>
      </w:r>
      <w:r>
        <w:rPr>
          <w:rFonts w:ascii="Times New Roman" w:hAnsi="Times New Roman" w:eastAsia="Times New Roman" w:cs="Times New Roman"/>
          <w:spacing w:val="53"/>
          <w:sz w:val="21"/>
          <w:szCs w:val="21"/>
        </w:rPr>
        <w:t xml:space="preserve"> </w:t>
      </w:r>
      <w:r>
        <w:rPr>
          <w:rFonts w:ascii="宋体" w:hAnsi="宋体" w:eastAsia="宋体" w:cs="宋体"/>
          <w:spacing w:val="-1"/>
          <w:sz w:val="21"/>
          <w:szCs w:val="21"/>
        </w:rPr>
        <w:t>投标人投标函中的大写报价或算术错误修正后的投标总报价大于最高投标限价的，</w:t>
      </w:r>
      <w:r>
        <w:rPr>
          <w:rFonts w:ascii="宋体" w:hAnsi="宋体" w:eastAsia="宋体" w:cs="宋体"/>
          <w:sz w:val="21"/>
          <w:szCs w:val="21"/>
        </w:rPr>
        <w:t xml:space="preserve"> </w:t>
      </w:r>
      <w:r>
        <w:rPr>
          <w:rFonts w:ascii="宋体" w:hAnsi="宋体" w:eastAsia="宋体" w:cs="宋体"/>
          <w:spacing w:val="-1"/>
          <w:sz w:val="21"/>
          <w:szCs w:val="21"/>
        </w:rPr>
        <w:t>其投标将被否决。</w:t>
      </w:r>
    </w:p>
    <w:p w14:paraId="061BE2DA">
      <w:pPr>
        <w:spacing w:before="109" w:line="219" w:lineRule="auto"/>
        <w:ind w:left="441"/>
        <w:rPr>
          <w:rFonts w:ascii="宋体" w:hAnsi="宋体" w:eastAsia="宋体" w:cs="宋体"/>
          <w:sz w:val="21"/>
          <w:szCs w:val="21"/>
        </w:rPr>
      </w:pPr>
      <w:r>
        <w:rPr>
          <w:rFonts w:ascii="Times New Roman" w:hAnsi="Times New Roman" w:eastAsia="Times New Roman" w:cs="Times New Roman"/>
          <w:spacing w:val="-1"/>
          <w:sz w:val="21"/>
          <w:szCs w:val="21"/>
        </w:rPr>
        <w:t xml:space="preserve">3.2.4 </w:t>
      </w:r>
      <w:r>
        <w:rPr>
          <w:rFonts w:ascii="宋体" w:hAnsi="宋体" w:eastAsia="宋体" w:cs="宋体"/>
          <w:spacing w:val="-1"/>
          <w:sz w:val="21"/>
          <w:szCs w:val="21"/>
        </w:rPr>
        <w:t>本项目最高投标限价及要求详见投标人须知</w:t>
      </w:r>
      <w:r>
        <w:rPr>
          <w:rFonts w:ascii="宋体" w:hAnsi="宋体" w:eastAsia="宋体" w:cs="宋体"/>
          <w:spacing w:val="-2"/>
          <w:sz w:val="21"/>
          <w:szCs w:val="21"/>
        </w:rPr>
        <w:t>前附表。</w:t>
      </w:r>
    </w:p>
    <w:p w14:paraId="58EC92F8">
      <w:pPr>
        <w:spacing w:before="111" w:line="335" w:lineRule="exact"/>
        <w:ind w:left="441"/>
        <w:rPr>
          <w:rFonts w:ascii="宋体" w:hAnsi="宋体" w:eastAsia="宋体" w:cs="宋体"/>
          <w:sz w:val="21"/>
          <w:szCs w:val="21"/>
        </w:rPr>
      </w:pPr>
      <w:r>
        <w:rPr>
          <w:rFonts w:ascii="Times New Roman" w:hAnsi="Times New Roman" w:eastAsia="Times New Roman" w:cs="Times New Roman"/>
          <w:spacing w:val="-1"/>
          <w:position w:val="9"/>
          <w:sz w:val="21"/>
          <w:szCs w:val="21"/>
        </w:rPr>
        <w:t xml:space="preserve">3.2.5 </w:t>
      </w:r>
      <w:r>
        <w:rPr>
          <w:rFonts w:ascii="宋体" w:hAnsi="宋体" w:eastAsia="宋体" w:cs="宋体"/>
          <w:spacing w:val="-1"/>
          <w:position w:val="9"/>
          <w:sz w:val="21"/>
          <w:szCs w:val="21"/>
        </w:rPr>
        <w:t>投标报价的其他要求见投标人须知前附表。</w:t>
      </w:r>
    </w:p>
    <w:p w14:paraId="0B1B482A">
      <w:pPr>
        <w:spacing w:line="218" w:lineRule="auto"/>
        <w:ind w:left="19"/>
        <w:rPr>
          <w:rFonts w:ascii="黑体" w:hAnsi="黑体" w:eastAsia="黑体" w:cs="黑体"/>
          <w:sz w:val="24"/>
          <w:szCs w:val="24"/>
        </w:rPr>
      </w:pPr>
      <w:r>
        <w:rPr>
          <w:rFonts w:ascii="Times New Roman" w:hAnsi="Times New Roman" w:eastAsia="Times New Roman" w:cs="Times New Roman"/>
          <w:spacing w:val="-1"/>
          <w:sz w:val="24"/>
          <w:szCs w:val="24"/>
        </w:rPr>
        <w:t xml:space="preserve">3.3 </w:t>
      </w:r>
      <w:r>
        <w:rPr>
          <w:rFonts w:ascii="黑体" w:hAnsi="黑体" w:eastAsia="黑体" w:cs="黑体"/>
          <w:spacing w:val="-1"/>
          <w:sz w:val="24"/>
          <w:szCs w:val="24"/>
        </w:rPr>
        <w:t>投标有效期</w:t>
      </w:r>
    </w:p>
    <w:p w14:paraId="0BE3DF2B">
      <w:pPr>
        <w:spacing w:before="101" w:line="269" w:lineRule="auto"/>
        <w:ind w:left="17" w:right="163" w:firstLine="424"/>
        <w:rPr>
          <w:rFonts w:ascii="宋体" w:hAnsi="宋体" w:eastAsia="宋体" w:cs="宋体"/>
          <w:sz w:val="21"/>
          <w:szCs w:val="21"/>
        </w:rPr>
      </w:pPr>
      <w:r>
        <w:rPr>
          <w:rFonts w:ascii="Times New Roman" w:hAnsi="Times New Roman" w:eastAsia="Times New Roman" w:cs="Times New Roman"/>
          <w:spacing w:val="1"/>
          <w:sz w:val="21"/>
          <w:szCs w:val="21"/>
        </w:rPr>
        <w:t>3.3.1</w:t>
      </w:r>
      <w:r>
        <w:rPr>
          <w:rFonts w:ascii="Times New Roman" w:hAnsi="Times New Roman" w:eastAsia="Times New Roman" w:cs="Times New Roman"/>
          <w:spacing w:val="32"/>
          <w:sz w:val="21"/>
          <w:szCs w:val="21"/>
        </w:rPr>
        <w:t xml:space="preserve"> </w:t>
      </w:r>
      <w:r>
        <w:rPr>
          <w:rFonts w:ascii="宋体" w:hAnsi="宋体" w:eastAsia="宋体" w:cs="宋体"/>
          <w:spacing w:val="1"/>
          <w:sz w:val="21"/>
          <w:szCs w:val="21"/>
        </w:rPr>
        <w:t>在投标人须知前附表规定的投标有效期内，投标人</w:t>
      </w:r>
      <w:r>
        <w:rPr>
          <w:rFonts w:ascii="宋体" w:hAnsi="宋体" w:eastAsia="宋体" w:cs="宋体"/>
          <w:sz w:val="21"/>
          <w:szCs w:val="21"/>
        </w:rPr>
        <w:t xml:space="preserve">不得要求撤销或修改其投标文 </w:t>
      </w:r>
      <w:r>
        <w:rPr>
          <w:rFonts w:ascii="宋体" w:hAnsi="宋体" w:eastAsia="宋体" w:cs="宋体"/>
          <w:spacing w:val="-10"/>
          <w:sz w:val="21"/>
          <w:szCs w:val="21"/>
        </w:rPr>
        <w:t>件。</w:t>
      </w:r>
    </w:p>
    <w:p w14:paraId="732D4DAC">
      <w:pPr>
        <w:spacing w:before="109" w:line="294" w:lineRule="auto"/>
        <w:ind w:left="18" w:right="158" w:firstLine="423"/>
        <w:rPr>
          <w:rFonts w:ascii="宋体" w:hAnsi="宋体" w:eastAsia="宋体" w:cs="宋体"/>
          <w:sz w:val="21"/>
          <w:szCs w:val="21"/>
        </w:rPr>
      </w:pPr>
      <w:r>
        <w:rPr>
          <w:rFonts w:ascii="Times New Roman" w:hAnsi="Times New Roman" w:eastAsia="Times New Roman" w:cs="Times New Roman"/>
          <w:sz w:val="21"/>
          <w:szCs w:val="21"/>
        </w:rPr>
        <w:t xml:space="preserve">3.3.2  </w:t>
      </w:r>
      <w:r>
        <w:rPr>
          <w:rFonts w:ascii="宋体" w:hAnsi="宋体" w:eastAsia="宋体" w:cs="宋体"/>
          <w:sz w:val="21"/>
          <w:szCs w:val="21"/>
        </w:rPr>
        <w:t>出现特殊情况需要延长投标有效期的，招标人以书面形式通知所有投标人延长投</w:t>
      </w:r>
      <w:r>
        <w:rPr>
          <w:rFonts w:ascii="宋体" w:hAnsi="宋体" w:eastAsia="宋体" w:cs="宋体"/>
          <w:spacing w:val="11"/>
          <w:sz w:val="21"/>
          <w:szCs w:val="21"/>
        </w:rPr>
        <w:t xml:space="preserve"> </w:t>
      </w:r>
      <w:r>
        <w:rPr>
          <w:rFonts w:ascii="宋体" w:hAnsi="宋体" w:eastAsia="宋体" w:cs="宋体"/>
          <w:spacing w:val="3"/>
          <w:sz w:val="21"/>
          <w:szCs w:val="21"/>
        </w:rPr>
        <w:t>标有效期。投标人同意延长的，应相应延长其投标保证金的有效期，但不得</w:t>
      </w:r>
      <w:r>
        <w:rPr>
          <w:rFonts w:ascii="宋体" w:hAnsi="宋体" w:eastAsia="宋体" w:cs="宋体"/>
          <w:spacing w:val="2"/>
          <w:sz w:val="21"/>
          <w:szCs w:val="21"/>
        </w:rPr>
        <w:t>要求或被允许</w:t>
      </w:r>
      <w:r>
        <w:rPr>
          <w:rFonts w:ascii="宋体" w:hAnsi="宋体" w:eastAsia="宋体" w:cs="宋体"/>
          <w:sz w:val="21"/>
          <w:szCs w:val="21"/>
        </w:rPr>
        <w:t xml:space="preserve"> </w:t>
      </w:r>
      <w:r>
        <w:rPr>
          <w:rFonts w:ascii="宋体" w:hAnsi="宋体" w:eastAsia="宋体" w:cs="宋体"/>
          <w:spacing w:val="-2"/>
          <w:sz w:val="21"/>
          <w:szCs w:val="21"/>
        </w:rPr>
        <w:t>修改或撤销其投标文件；投标人拒绝延长的， 其投标</w:t>
      </w:r>
      <w:r>
        <w:rPr>
          <w:rFonts w:ascii="宋体" w:hAnsi="宋体" w:eastAsia="宋体" w:cs="宋体"/>
          <w:spacing w:val="-3"/>
          <w:sz w:val="21"/>
          <w:szCs w:val="21"/>
        </w:rPr>
        <w:t>失效， 但投标人有权收回其投标保证</w:t>
      </w:r>
      <w:r>
        <w:rPr>
          <w:rFonts w:ascii="宋体" w:hAnsi="宋体" w:eastAsia="宋体" w:cs="宋体"/>
          <w:sz w:val="21"/>
          <w:szCs w:val="21"/>
        </w:rPr>
        <w:t xml:space="preserve"> </w:t>
      </w:r>
      <w:r>
        <w:rPr>
          <w:rFonts w:ascii="宋体" w:hAnsi="宋体" w:eastAsia="宋体" w:cs="宋体"/>
          <w:spacing w:val="-10"/>
          <w:sz w:val="21"/>
          <w:szCs w:val="21"/>
        </w:rPr>
        <w:t>金。</w:t>
      </w:r>
    </w:p>
    <w:p w14:paraId="2F63AA59">
      <w:pPr>
        <w:spacing w:before="77" w:line="220" w:lineRule="auto"/>
        <w:ind w:left="19"/>
        <w:rPr>
          <w:rFonts w:ascii="黑体" w:hAnsi="黑体" w:eastAsia="黑体" w:cs="黑体"/>
          <w:sz w:val="24"/>
          <w:szCs w:val="24"/>
        </w:rPr>
      </w:pPr>
      <w:r>
        <w:rPr>
          <w:rFonts w:ascii="Times New Roman" w:hAnsi="Times New Roman" w:eastAsia="Times New Roman" w:cs="Times New Roman"/>
          <w:spacing w:val="-1"/>
          <w:sz w:val="24"/>
          <w:szCs w:val="24"/>
        </w:rPr>
        <w:t xml:space="preserve">3.4 </w:t>
      </w:r>
      <w:r>
        <w:rPr>
          <w:rFonts w:ascii="黑体" w:hAnsi="黑体" w:eastAsia="黑体" w:cs="黑体"/>
          <w:spacing w:val="-1"/>
          <w:sz w:val="24"/>
          <w:szCs w:val="24"/>
        </w:rPr>
        <w:t>投标保证金</w:t>
      </w:r>
    </w:p>
    <w:p w14:paraId="6571E2C2">
      <w:pPr>
        <w:spacing w:before="101" w:line="292" w:lineRule="auto"/>
        <w:ind w:left="19" w:right="158" w:firstLine="422"/>
        <w:jc w:val="both"/>
        <w:rPr>
          <w:rFonts w:ascii="宋体" w:hAnsi="宋体" w:eastAsia="宋体" w:cs="宋体"/>
          <w:sz w:val="21"/>
          <w:szCs w:val="21"/>
        </w:rPr>
      </w:pPr>
      <w:r>
        <w:rPr>
          <w:rFonts w:ascii="Times New Roman" w:hAnsi="Times New Roman" w:eastAsia="Times New Roman" w:cs="Times New Roman"/>
          <w:spacing w:val="1"/>
          <w:sz w:val="21"/>
          <w:szCs w:val="21"/>
        </w:rPr>
        <w:t>3.4.1</w:t>
      </w:r>
      <w:r>
        <w:rPr>
          <w:rFonts w:ascii="Times New Roman" w:hAnsi="Times New Roman" w:eastAsia="Times New Roman" w:cs="Times New Roman"/>
          <w:spacing w:val="44"/>
          <w:w w:val="101"/>
          <w:sz w:val="21"/>
          <w:szCs w:val="21"/>
        </w:rPr>
        <w:t xml:space="preserve"> </w:t>
      </w:r>
      <w:r>
        <w:rPr>
          <w:rFonts w:ascii="宋体" w:hAnsi="宋体" w:eastAsia="宋体" w:cs="宋体"/>
          <w:spacing w:val="1"/>
          <w:sz w:val="21"/>
          <w:szCs w:val="21"/>
        </w:rPr>
        <w:t>投标人须知前附表规定提交投标</w:t>
      </w:r>
      <w:r>
        <w:rPr>
          <w:rFonts w:ascii="宋体" w:hAnsi="宋体" w:eastAsia="宋体" w:cs="宋体"/>
          <w:sz w:val="21"/>
          <w:szCs w:val="21"/>
        </w:rPr>
        <w:t>保证金的，投标人在递交投标文件的同时，应按 投标人须知前附表规定的形式、金额、递交截止时间、递交方式提交投标保证金， 并作为</w:t>
      </w:r>
      <w:r>
        <w:rPr>
          <w:rFonts w:ascii="宋体" w:hAnsi="宋体" w:eastAsia="宋体" w:cs="宋体"/>
          <w:spacing w:val="8"/>
          <w:sz w:val="21"/>
          <w:szCs w:val="21"/>
        </w:rPr>
        <w:t xml:space="preserve"> </w:t>
      </w:r>
      <w:r>
        <w:rPr>
          <w:rFonts w:ascii="宋体" w:hAnsi="宋体" w:eastAsia="宋体" w:cs="宋体"/>
          <w:spacing w:val="-2"/>
          <w:sz w:val="21"/>
          <w:szCs w:val="21"/>
        </w:rPr>
        <w:t>其投标文件的组成部分。联合体投标的， 其投标保证</w:t>
      </w:r>
      <w:r>
        <w:rPr>
          <w:rFonts w:ascii="宋体" w:hAnsi="宋体" w:eastAsia="宋体" w:cs="宋体"/>
          <w:spacing w:val="-3"/>
          <w:sz w:val="21"/>
          <w:szCs w:val="21"/>
        </w:rPr>
        <w:t>金由牵头人递交， 并应符合投标人须</w:t>
      </w:r>
      <w:r>
        <w:rPr>
          <w:rFonts w:ascii="宋体" w:hAnsi="宋体" w:eastAsia="宋体" w:cs="宋体"/>
          <w:sz w:val="21"/>
          <w:szCs w:val="21"/>
        </w:rPr>
        <w:t xml:space="preserve"> </w:t>
      </w:r>
      <w:r>
        <w:rPr>
          <w:rFonts w:ascii="宋体" w:hAnsi="宋体" w:eastAsia="宋体" w:cs="宋体"/>
          <w:spacing w:val="-4"/>
          <w:sz w:val="21"/>
          <w:szCs w:val="21"/>
        </w:rPr>
        <w:t>知前附表的规定。</w:t>
      </w:r>
    </w:p>
    <w:p w14:paraId="556E9AB6">
      <w:pPr>
        <w:spacing w:before="110" w:line="220" w:lineRule="auto"/>
        <w:ind w:left="441"/>
        <w:rPr>
          <w:rFonts w:ascii="宋体" w:hAnsi="宋体" w:eastAsia="宋体" w:cs="宋体"/>
          <w:sz w:val="21"/>
          <w:szCs w:val="21"/>
        </w:rPr>
      </w:pPr>
      <w:r>
        <w:rPr>
          <w:rFonts w:ascii="Times New Roman" w:hAnsi="Times New Roman" w:eastAsia="Times New Roman" w:cs="Times New Roman"/>
          <w:spacing w:val="-3"/>
          <w:sz w:val="21"/>
          <w:szCs w:val="21"/>
        </w:rPr>
        <w:t xml:space="preserve">3.4.2 </w:t>
      </w:r>
      <w:r>
        <w:rPr>
          <w:rFonts w:ascii="宋体" w:hAnsi="宋体" w:eastAsia="宋体" w:cs="宋体"/>
          <w:spacing w:val="-3"/>
          <w:sz w:val="21"/>
          <w:szCs w:val="21"/>
        </w:rPr>
        <w:t>投标人不按本章第</w:t>
      </w:r>
      <w:r>
        <w:rPr>
          <w:rFonts w:ascii="宋体" w:hAnsi="宋体" w:eastAsia="宋体" w:cs="宋体"/>
          <w:spacing w:val="-31"/>
          <w:sz w:val="21"/>
          <w:szCs w:val="21"/>
        </w:rPr>
        <w:t xml:space="preserve"> </w:t>
      </w:r>
      <w:r>
        <w:rPr>
          <w:rFonts w:ascii="Times New Roman" w:hAnsi="Times New Roman" w:eastAsia="Times New Roman" w:cs="Times New Roman"/>
          <w:spacing w:val="-3"/>
          <w:sz w:val="21"/>
          <w:szCs w:val="21"/>
        </w:rPr>
        <w:t xml:space="preserve">3.4.1 </w:t>
      </w:r>
      <w:r>
        <w:rPr>
          <w:rFonts w:ascii="宋体" w:hAnsi="宋体" w:eastAsia="宋体" w:cs="宋体"/>
          <w:spacing w:val="-3"/>
          <w:sz w:val="21"/>
          <w:szCs w:val="21"/>
        </w:rPr>
        <w:t>项要求提交投标保证金的，</w:t>
      </w:r>
      <w:r>
        <w:rPr>
          <w:rFonts w:ascii="宋体" w:hAnsi="宋体" w:eastAsia="宋体" w:cs="宋体"/>
          <w:spacing w:val="-19"/>
          <w:sz w:val="21"/>
          <w:szCs w:val="21"/>
        </w:rPr>
        <w:t xml:space="preserve"> </w:t>
      </w:r>
      <w:r>
        <w:rPr>
          <w:rFonts w:ascii="宋体" w:hAnsi="宋体" w:eastAsia="宋体" w:cs="宋体"/>
          <w:spacing w:val="-3"/>
          <w:sz w:val="21"/>
          <w:szCs w:val="21"/>
        </w:rPr>
        <w:t>其投标将被否决。</w:t>
      </w:r>
    </w:p>
    <w:p w14:paraId="446F781B">
      <w:pPr>
        <w:spacing w:before="111" w:line="284" w:lineRule="auto"/>
        <w:ind w:left="19" w:right="157" w:firstLine="422"/>
        <w:jc w:val="both"/>
        <w:rPr>
          <w:rFonts w:ascii="宋体" w:hAnsi="宋体" w:eastAsia="宋体" w:cs="宋体"/>
          <w:sz w:val="21"/>
          <w:szCs w:val="21"/>
        </w:rPr>
      </w:pPr>
      <w:r>
        <w:rPr>
          <w:rFonts w:ascii="Times New Roman" w:hAnsi="Times New Roman" w:eastAsia="Times New Roman" w:cs="Times New Roman"/>
          <w:spacing w:val="-2"/>
          <w:sz w:val="21"/>
          <w:szCs w:val="21"/>
        </w:rPr>
        <w:t>3.4.3</w:t>
      </w:r>
      <w:r>
        <w:rPr>
          <w:rFonts w:ascii="Times New Roman" w:hAnsi="Times New Roman" w:eastAsia="Times New Roman" w:cs="Times New Roman"/>
          <w:spacing w:val="45"/>
          <w:w w:val="101"/>
          <w:sz w:val="21"/>
          <w:szCs w:val="21"/>
        </w:rPr>
        <w:t xml:space="preserve"> </w:t>
      </w:r>
      <w:r>
        <w:rPr>
          <w:rFonts w:ascii="宋体" w:hAnsi="宋体" w:eastAsia="宋体" w:cs="宋体"/>
          <w:spacing w:val="-2"/>
          <w:sz w:val="21"/>
          <w:szCs w:val="21"/>
        </w:rPr>
        <w:t xml:space="preserve">招标人最迟在与中标人签订合同后 </w:t>
      </w:r>
      <w:r>
        <w:rPr>
          <w:rFonts w:ascii="Times New Roman" w:hAnsi="Times New Roman" w:eastAsia="Times New Roman" w:cs="Times New Roman"/>
          <w:spacing w:val="-2"/>
          <w:sz w:val="21"/>
          <w:szCs w:val="21"/>
        </w:rPr>
        <w:t xml:space="preserve">5  </w:t>
      </w:r>
      <w:r>
        <w:rPr>
          <w:rFonts w:ascii="宋体" w:hAnsi="宋体" w:eastAsia="宋体" w:cs="宋体"/>
          <w:spacing w:val="-2"/>
          <w:sz w:val="21"/>
          <w:szCs w:val="21"/>
        </w:rPr>
        <w:t>日内，向未中标的投标人和中标人退还投标</w:t>
      </w:r>
      <w:r>
        <w:rPr>
          <w:rFonts w:ascii="宋体" w:hAnsi="宋体" w:eastAsia="宋体" w:cs="宋体"/>
          <w:sz w:val="21"/>
          <w:szCs w:val="21"/>
        </w:rPr>
        <w:t xml:space="preserve"> </w:t>
      </w:r>
      <w:r>
        <w:rPr>
          <w:rFonts w:ascii="宋体" w:hAnsi="宋体" w:eastAsia="宋体" w:cs="宋体"/>
          <w:spacing w:val="3"/>
          <w:sz w:val="21"/>
          <w:szCs w:val="21"/>
        </w:rPr>
        <w:t>保证金。招标人同时退还投标保证金的银行同期存款利息。投标保证金及利</w:t>
      </w:r>
      <w:r>
        <w:rPr>
          <w:rFonts w:ascii="宋体" w:hAnsi="宋体" w:eastAsia="宋体" w:cs="宋体"/>
          <w:spacing w:val="2"/>
          <w:sz w:val="21"/>
          <w:szCs w:val="21"/>
        </w:rPr>
        <w:t>息的计息标准</w:t>
      </w:r>
      <w:r>
        <w:rPr>
          <w:rFonts w:ascii="宋体" w:hAnsi="宋体" w:eastAsia="宋体" w:cs="宋体"/>
          <w:sz w:val="21"/>
          <w:szCs w:val="21"/>
        </w:rPr>
        <w:t xml:space="preserve"> </w:t>
      </w:r>
      <w:r>
        <w:rPr>
          <w:rFonts w:ascii="宋体" w:hAnsi="宋体" w:eastAsia="宋体" w:cs="宋体"/>
          <w:spacing w:val="-2"/>
          <w:sz w:val="21"/>
          <w:szCs w:val="21"/>
        </w:rPr>
        <w:t>和退还方式见投标人须知前附表。</w:t>
      </w:r>
    </w:p>
    <w:p w14:paraId="61C69166">
      <w:pPr>
        <w:spacing w:before="109" w:line="221" w:lineRule="auto"/>
        <w:ind w:left="441"/>
        <w:rPr>
          <w:rFonts w:ascii="宋体" w:hAnsi="宋体" w:eastAsia="宋体" w:cs="宋体"/>
          <w:sz w:val="21"/>
          <w:szCs w:val="21"/>
        </w:rPr>
      </w:pPr>
      <w:r>
        <w:rPr>
          <w:rFonts w:ascii="Times New Roman" w:hAnsi="Times New Roman" w:eastAsia="Times New Roman" w:cs="Times New Roman"/>
          <w:sz w:val="21"/>
          <w:szCs w:val="21"/>
        </w:rPr>
        <w:t xml:space="preserve">3.4.4 </w:t>
      </w:r>
      <w:r>
        <w:rPr>
          <w:rFonts w:ascii="宋体" w:hAnsi="宋体" w:eastAsia="宋体" w:cs="宋体"/>
          <w:sz w:val="21"/>
          <w:szCs w:val="21"/>
        </w:rPr>
        <w:t>有下列情形之一的，投标保证金将不</w:t>
      </w:r>
      <w:r>
        <w:rPr>
          <w:rFonts w:ascii="宋体" w:hAnsi="宋体" w:eastAsia="宋体" w:cs="宋体"/>
          <w:spacing w:val="-1"/>
          <w:sz w:val="21"/>
          <w:szCs w:val="21"/>
        </w:rPr>
        <w:t>予退还：</w:t>
      </w:r>
    </w:p>
    <w:p w14:paraId="632E302E">
      <w:pPr>
        <w:spacing w:before="110" w:line="221" w:lineRule="auto"/>
        <w:ind w:left="745"/>
        <w:rPr>
          <w:rFonts w:ascii="宋体" w:hAnsi="宋体" w:eastAsia="宋体" w:cs="宋体"/>
          <w:sz w:val="21"/>
          <w:szCs w:val="21"/>
        </w:rPr>
      </w:pPr>
      <w:r>
        <w:rPr>
          <w:rFonts w:ascii="宋体" w:hAnsi="宋体" w:eastAsia="宋体" w:cs="宋体"/>
          <w:spacing w:val="-2"/>
          <w:sz w:val="21"/>
          <w:szCs w:val="21"/>
        </w:rPr>
        <w:t>（</w:t>
      </w:r>
      <w:r>
        <w:rPr>
          <w:rFonts w:ascii="Times New Roman" w:hAnsi="Times New Roman" w:eastAsia="Times New Roman" w:cs="Times New Roman"/>
          <w:spacing w:val="-2"/>
          <w:sz w:val="21"/>
          <w:szCs w:val="21"/>
        </w:rPr>
        <w:t>1</w:t>
      </w:r>
      <w:r>
        <w:rPr>
          <w:rFonts w:ascii="宋体" w:hAnsi="宋体" w:eastAsia="宋体" w:cs="宋体"/>
          <w:spacing w:val="-2"/>
          <w:sz w:val="21"/>
          <w:szCs w:val="21"/>
        </w:rPr>
        <w:t>）投标人在规定的投标有效期内撤销或修改其投标文件；</w:t>
      </w:r>
    </w:p>
    <w:p w14:paraId="367589B7">
      <w:pPr>
        <w:spacing w:before="109" w:line="268" w:lineRule="auto"/>
        <w:ind w:left="19" w:right="170" w:firstLine="725"/>
        <w:rPr>
          <w:rFonts w:ascii="宋体" w:hAnsi="宋体" w:eastAsia="宋体" w:cs="宋体"/>
          <w:sz w:val="21"/>
          <w:szCs w:val="21"/>
        </w:rPr>
      </w:pPr>
      <w:r>
        <w:rPr>
          <w:rFonts w:ascii="宋体" w:hAnsi="宋体" w:eastAsia="宋体" w:cs="宋体"/>
          <w:sz w:val="21"/>
          <w:szCs w:val="21"/>
        </w:rPr>
        <w:t>（</w:t>
      </w:r>
      <w:r>
        <w:rPr>
          <w:rFonts w:ascii="Times New Roman" w:hAnsi="Times New Roman" w:eastAsia="Times New Roman" w:cs="Times New Roman"/>
          <w:sz w:val="21"/>
          <w:szCs w:val="21"/>
        </w:rPr>
        <w:t>2</w:t>
      </w:r>
      <w:r>
        <w:rPr>
          <w:rFonts w:ascii="宋体" w:hAnsi="宋体" w:eastAsia="宋体" w:cs="宋体"/>
          <w:sz w:val="21"/>
          <w:szCs w:val="21"/>
        </w:rPr>
        <w:t>）中标人在收到中标通知书后， 无正当理由拒签合同、在签订合同时向招标人</w:t>
      </w:r>
      <w:r>
        <w:rPr>
          <w:rFonts w:ascii="宋体" w:hAnsi="宋体" w:eastAsia="宋体" w:cs="宋体"/>
          <w:spacing w:val="10"/>
          <w:sz w:val="21"/>
          <w:szCs w:val="21"/>
        </w:rPr>
        <w:t xml:space="preserve"> </w:t>
      </w:r>
      <w:r>
        <w:rPr>
          <w:rFonts w:ascii="宋体" w:hAnsi="宋体" w:eastAsia="宋体" w:cs="宋体"/>
          <w:spacing w:val="-1"/>
          <w:sz w:val="21"/>
          <w:szCs w:val="21"/>
        </w:rPr>
        <w:t>提出附加条件或未按招标文件规定提交履约保证金。</w:t>
      </w:r>
    </w:p>
    <w:p w14:paraId="7B454293">
      <w:pPr>
        <w:spacing w:before="85" w:line="219" w:lineRule="auto"/>
        <w:ind w:left="140"/>
        <w:rPr>
          <w:rFonts w:ascii="黑体" w:hAnsi="黑体" w:eastAsia="黑体" w:cs="黑体"/>
          <w:sz w:val="24"/>
          <w:szCs w:val="24"/>
        </w:rPr>
      </w:pPr>
      <w:r>
        <w:rPr>
          <w:rFonts w:ascii="Times New Roman" w:hAnsi="Times New Roman" w:eastAsia="Times New Roman" w:cs="Times New Roman"/>
          <w:spacing w:val="-2"/>
          <w:sz w:val="24"/>
          <w:szCs w:val="24"/>
        </w:rPr>
        <w:t>3.5</w:t>
      </w:r>
      <w:r>
        <w:rPr>
          <w:rFonts w:ascii="Times New Roman" w:hAnsi="Times New Roman" w:eastAsia="Times New Roman" w:cs="Times New Roman"/>
          <w:spacing w:val="38"/>
          <w:sz w:val="24"/>
          <w:szCs w:val="24"/>
        </w:rPr>
        <w:t xml:space="preserve"> </w:t>
      </w:r>
      <w:r>
        <w:rPr>
          <w:rFonts w:ascii="黑体" w:hAnsi="黑体" w:eastAsia="黑体" w:cs="黑体"/>
          <w:spacing w:val="-2"/>
          <w:sz w:val="24"/>
          <w:szCs w:val="24"/>
        </w:rPr>
        <w:t>资格审查资料（适用于已进行资格预审的）</w:t>
      </w:r>
    </w:p>
    <w:p w14:paraId="199E78B5">
      <w:pPr>
        <w:spacing w:before="134" w:line="399" w:lineRule="exact"/>
        <w:ind w:left="443"/>
        <w:rPr>
          <w:rFonts w:ascii="宋体" w:hAnsi="宋体" w:eastAsia="宋体" w:cs="宋体"/>
          <w:sz w:val="21"/>
          <w:szCs w:val="21"/>
        </w:rPr>
      </w:pPr>
      <w:r>
        <w:rPr>
          <w:rFonts w:ascii="宋体" w:hAnsi="宋体" w:eastAsia="宋体" w:cs="宋体"/>
          <w:position w:val="14"/>
          <w:sz w:val="21"/>
          <w:szCs w:val="21"/>
        </w:rPr>
        <w:t>投标人在递交投标文件前， 发生可能影响其投标资格的新情况的，应更新或补充其在</w:t>
      </w:r>
    </w:p>
    <w:p w14:paraId="70EE50C9">
      <w:pPr>
        <w:spacing w:before="1" w:line="219" w:lineRule="auto"/>
        <w:ind w:left="45"/>
        <w:rPr>
          <w:rFonts w:ascii="宋体" w:hAnsi="宋体" w:eastAsia="宋体" w:cs="宋体"/>
          <w:sz w:val="21"/>
          <w:szCs w:val="21"/>
        </w:rPr>
      </w:pPr>
      <w:r>
        <w:rPr>
          <w:rFonts w:ascii="宋体" w:hAnsi="宋体" w:eastAsia="宋体" w:cs="宋体"/>
          <w:spacing w:val="-2"/>
          <w:sz w:val="21"/>
          <w:szCs w:val="21"/>
        </w:rPr>
        <w:t>申请资格预审时提供的资料，</w:t>
      </w:r>
      <w:r>
        <w:rPr>
          <w:rFonts w:ascii="宋体" w:hAnsi="宋体" w:eastAsia="宋体" w:cs="宋体"/>
          <w:spacing w:val="51"/>
          <w:sz w:val="21"/>
          <w:szCs w:val="21"/>
        </w:rPr>
        <w:t xml:space="preserve"> </w:t>
      </w:r>
      <w:r>
        <w:rPr>
          <w:rFonts w:ascii="宋体" w:hAnsi="宋体" w:eastAsia="宋体" w:cs="宋体"/>
          <w:spacing w:val="-2"/>
          <w:sz w:val="21"/>
          <w:szCs w:val="21"/>
        </w:rPr>
        <w:t>以证实其各项资格条件仍能继续满足资格预审文件的要求，</w:t>
      </w:r>
    </w:p>
    <w:p w14:paraId="3772E779">
      <w:pPr>
        <w:spacing w:before="152" w:line="221" w:lineRule="auto"/>
        <w:ind w:left="18"/>
        <w:rPr>
          <w:rFonts w:ascii="宋体" w:hAnsi="宋体" w:eastAsia="宋体" w:cs="宋体"/>
          <w:sz w:val="21"/>
          <w:szCs w:val="21"/>
        </w:rPr>
      </w:pPr>
      <w:r>
        <w:rPr>
          <w:rFonts w:ascii="宋体" w:hAnsi="宋体" w:eastAsia="宋体" w:cs="宋体"/>
          <w:spacing w:val="-3"/>
          <w:sz w:val="21"/>
          <w:szCs w:val="21"/>
        </w:rPr>
        <w:t>且没有实质性降低。</w:t>
      </w:r>
    </w:p>
    <w:p w14:paraId="683A9B10">
      <w:pPr>
        <w:spacing w:before="89" w:line="219" w:lineRule="auto"/>
        <w:ind w:left="19"/>
        <w:rPr>
          <w:rFonts w:ascii="黑体" w:hAnsi="黑体" w:eastAsia="黑体" w:cs="黑体"/>
          <w:sz w:val="24"/>
          <w:szCs w:val="24"/>
        </w:rPr>
      </w:pPr>
      <w:r>
        <w:rPr>
          <w:rFonts w:ascii="Times New Roman" w:hAnsi="Times New Roman" w:eastAsia="Times New Roman" w:cs="Times New Roman"/>
          <w:spacing w:val="-9"/>
          <w:sz w:val="24"/>
          <w:szCs w:val="24"/>
        </w:rPr>
        <w:t>3.5</w:t>
      </w:r>
      <w:r>
        <w:rPr>
          <w:rFonts w:ascii="Times New Roman" w:hAnsi="Times New Roman" w:eastAsia="Times New Roman" w:cs="Times New Roman"/>
          <w:spacing w:val="26"/>
          <w:w w:val="101"/>
          <w:sz w:val="24"/>
          <w:szCs w:val="24"/>
        </w:rPr>
        <w:t xml:space="preserve"> </w:t>
      </w:r>
      <w:r>
        <w:rPr>
          <w:rFonts w:ascii="黑体" w:hAnsi="黑体" w:eastAsia="黑体" w:cs="黑体"/>
          <w:spacing w:val="-9"/>
          <w:sz w:val="24"/>
          <w:szCs w:val="24"/>
        </w:rPr>
        <w:t>资格审查资料</w:t>
      </w:r>
      <w:r>
        <w:rPr>
          <w:rFonts w:ascii="黑体" w:hAnsi="黑体" w:eastAsia="黑体" w:cs="黑体"/>
          <w:spacing w:val="25"/>
          <w:sz w:val="24"/>
          <w:szCs w:val="24"/>
        </w:rPr>
        <w:t xml:space="preserve"> </w:t>
      </w:r>
      <w:r>
        <w:rPr>
          <w:rFonts w:ascii="黑体" w:hAnsi="黑体" w:eastAsia="黑体" w:cs="黑体"/>
          <w:spacing w:val="-9"/>
          <w:sz w:val="24"/>
          <w:szCs w:val="24"/>
        </w:rPr>
        <w:t>（适用于未进行资格预审的）</w:t>
      </w:r>
    </w:p>
    <w:p w14:paraId="13CB3AE5">
      <w:pPr>
        <w:spacing w:before="101" w:line="268" w:lineRule="auto"/>
        <w:ind w:left="22" w:right="2" w:firstLine="419"/>
        <w:rPr>
          <w:rFonts w:ascii="宋体" w:hAnsi="宋体" w:eastAsia="宋体" w:cs="宋体"/>
          <w:sz w:val="21"/>
          <w:szCs w:val="21"/>
        </w:rPr>
      </w:pPr>
      <w:r>
        <w:rPr>
          <w:rFonts w:ascii="Times New Roman" w:hAnsi="Times New Roman" w:eastAsia="Times New Roman" w:cs="Times New Roman"/>
          <w:spacing w:val="2"/>
          <w:sz w:val="21"/>
          <w:szCs w:val="21"/>
        </w:rPr>
        <w:t>3.5.1</w:t>
      </w:r>
      <w:r>
        <w:rPr>
          <w:rFonts w:ascii="宋体" w:hAnsi="宋体" w:eastAsia="宋体" w:cs="宋体"/>
          <w:spacing w:val="2"/>
          <w:sz w:val="21"/>
          <w:szCs w:val="21"/>
        </w:rPr>
        <w:t>“投标人基本情况表”应附投标人营</w:t>
      </w:r>
      <w:r>
        <w:rPr>
          <w:rFonts w:ascii="宋体" w:hAnsi="宋体" w:eastAsia="宋体" w:cs="宋体"/>
          <w:spacing w:val="1"/>
          <w:sz w:val="21"/>
          <w:szCs w:val="21"/>
        </w:rPr>
        <w:t>业执照、资质证书和安全生产许可证等材料，</w:t>
      </w:r>
      <w:r>
        <w:rPr>
          <w:rFonts w:ascii="宋体" w:hAnsi="宋体" w:eastAsia="宋体" w:cs="宋体"/>
          <w:sz w:val="21"/>
          <w:szCs w:val="21"/>
        </w:rPr>
        <w:t xml:space="preserve"> </w:t>
      </w:r>
      <w:r>
        <w:rPr>
          <w:rFonts w:ascii="宋体" w:hAnsi="宋体" w:eastAsia="宋体" w:cs="宋体"/>
          <w:spacing w:val="-1"/>
          <w:sz w:val="21"/>
          <w:szCs w:val="21"/>
        </w:rPr>
        <w:t>具体要求见投标人须知前附表。</w:t>
      </w:r>
    </w:p>
    <w:p w14:paraId="05FB114B">
      <w:pPr>
        <w:spacing w:line="268" w:lineRule="auto"/>
        <w:rPr>
          <w:rFonts w:ascii="宋体" w:hAnsi="宋体" w:eastAsia="宋体" w:cs="宋体"/>
          <w:sz w:val="21"/>
          <w:szCs w:val="21"/>
        </w:rPr>
        <w:sectPr>
          <w:footerReference r:id="rId24" w:type="default"/>
          <w:pgSz w:w="11905" w:h="16839"/>
          <w:pgMar w:top="1431" w:right="1630" w:bottom="1036" w:left="1785" w:header="0" w:footer="847" w:gutter="0"/>
          <w:pgNumType w:fmt="decimal"/>
          <w:cols w:space="720" w:num="1"/>
        </w:sectPr>
      </w:pPr>
    </w:p>
    <w:p w14:paraId="2A3BB71D">
      <w:pPr>
        <w:spacing w:before="116" w:line="268" w:lineRule="auto"/>
        <w:ind w:left="19" w:right="204" w:firstLine="422"/>
        <w:rPr>
          <w:rFonts w:ascii="宋体" w:hAnsi="宋体" w:eastAsia="宋体" w:cs="宋体"/>
          <w:sz w:val="21"/>
          <w:szCs w:val="21"/>
        </w:rPr>
      </w:pPr>
      <w:bookmarkStart w:id="78" w:name="bookmark92"/>
      <w:bookmarkEnd w:id="78"/>
      <w:r>
        <w:rPr>
          <w:rFonts w:ascii="Times New Roman" w:hAnsi="Times New Roman" w:eastAsia="Times New Roman" w:cs="Times New Roman"/>
          <w:spacing w:val="-1"/>
          <w:sz w:val="21"/>
          <w:szCs w:val="21"/>
        </w:rPr>
        <w:t xml:space="preserve">3.5.2   </w:t>
      </w:r>
      <w:r>
        <w:rPr>
          <w:rFonts w:ascii="宋体" w:hAnsi="宋体" w:eastAsia="宋体" w:cs="宋体"/>
          <w:spacing w:val="-1"/>
          <w:sz w:val="21"/>
          <w:szCs w:val="21"/>
        </w:rPr>
        <w:t>“近年财务状况表”应附经会计师事务所或审计机构审计的财务会计报表</w:t>
      </w:r>
      <w:r>
        <w:rPr>
          <w:rFonts w:ascii="宋体" w:hAnsi="宋体" w:eastAsia="宋体" w:cs="宋体"/>
          <w:spacing w:val="-2"/>
          <w:sz w:val="21"/>
          <w:szCs w:val="21"/>
        </w:rPr>
        <w:t>，具体</w:t>
      </w:r>
      <w:r>
        <w:rPr>
          <w:rFonts w:ascii="宋体" w:hAnsi="宋体" w:eastAsia="宋体" w:cs="宋体"/>
          <w:sz w:val="21"/>
          <w:szCs w:val="21"/>
        </w:rPr>
        <w:t xml:space="preserve"> </w:t>
      </w:r>
      <w:r>
        <w:rPr>
          <w:rFonts w:ascii="宋体" w:hAnsi="宋体" w:eastAsia="宋体" w:cs="宋体"/>
          <w:spacing w:val="-1"/>
          <w:sz w:val="21"/>
          <w:szCs w:val="21"/>
        </w:rPr>
        <w:t>年份要求见投标人须知前附表。</w:t>
      </w:r>
    </w:p>
    <w:p w14:paraId="5346FB52">
      <w:pPr>
        <w:spacing w:before="110" w:line="268" w:lineRule="auto"/>
        <w:ind w:left="19" w:right="201" w:firstLine="422"/>
        <w:rPr>
          <w:rFonts w:ascii="宋体" w:hAnsi="宋体" w:eastAsia="宋体" w:cs="宋体"/>
          <w:sz w:val="21"/>
          <w:szCs w:val="21"/>
        </w:rPr>
      </w:pPr>
      <w:r>
        <w:rPr>
          <w:rFonts w:ascii="Times New Roman" w:hAnsi="Times New Roman" w:eastAsia="Times New Roman" w:cs="Times New Roman"/>
          <w:spacing w:val="-4"/>
          <w:sz w:val="21"/>
          <w:szCs w:val="21"/>
        </w:rPr>
        <w:t xml:space="preserve">3.5.3   </w:t>
      </w:r>
      <w:r>
        <w:rPr>
          <w:rFonts w:ascii="宋体" w:hAnsi="宋体" w:eastAsia="宋体" w:cs="宋体"/>
          <w:spacing w:val="-4"/>
          <w:sz w:val="21"/>
          <w:szCs w:val="21"/>
        </w:rPr>
        <w:t>“近年完成的类似项目情况表”应</w:t>
      </w:r>
      <w:r>
        <w:rPr>
          <w:rFonts w:ascii="宋体" w:hAnsi="宋体" w:eastAsia="宋体" w:cs="宋体"/>
          <w:spacing w:val="-5"/>
          <w:sz w:val="21"/>
          <w:szCs w:val="21"/>
        </w:rPr>
        <w:t>附中标通知书、合同、</w:t>
      </w:r>
      <w:r>
        <w:rPr>
          <w:rFonts w:ascii="宋体" w:hAnsi="宋体" w:eastAsia="宋体" w:cs="宋体"/>
          <w:spacing w:val="43"/>
          <w:sz w:val="21"/>
          <w:szCs w:val="21"/>
        </w:rPr>
        <w:t xml:space="preserve"> </w:t>
      </w:r>
      <w:r>
        <w:rPr>
          <w:rFonts w:ascii="宋体" w:hAnsi="宋体" w:eastAsia="宋体" w:cs="宋体"/>
          <w:spacing w:val="-5"/>
          <w:sz w:val="21"/>
          <w:szCs w:val="21"/>
        </w:rPr>
        <w:t>竣工验收等材料，具体</w:t>
      </w:r>
      <w:r>
        <w:rPr>
          <w:rFonts w:ascii="宋体" w:hAnsi="宋体" w:eastAsia="宋体" w:cs="宋体"/>
          <w:sz w:val="21"/>
          <w:szCs w:val="21"/>
        </w:rPr>
        <w:t xml:space="preserve"> </w:t>
      </w:r>
      <w:r>
        <w:rPr>
          <w:rFonts w:ascii="宋体" w:hAnsi="宋体" w:eastAsia="宋体" w:cs="宋体"/>
          <w:spacing w:val="-1"/>
          <w:sz w:val="21"/>
          <w:szCs w:val="21"/>
        </w:rPr>
        <w:t>年份要求见投标人须知前附表。每张表格只填写一个项目，并标明序号。</w:t>
      </w:r>
    </w:p>
    <w:p w14:paraId="4D934BCB">
      <w:pPr>
        <w:spacing w:before="108" w:line="269" w:lineRule="auto"/>
        <w:ind w:left="17" w:right="204" w:firstLine="424"/>
        <w:rPr>
          <w:rFonts w:ascii="宋体" w:hAnsi="宋体" w:eastAsia="宋体" w:cs="宋体"/>
          <w:sz w:val="21"/>
          <w:szCs w:val="21"/>
        </w:rPr>
      </w:pPr>
      <w:r>
        <w:rPr>
          <w:rFonts w:ascii="Times New Roman" w:hAnsi="Times New Roman" w:eastAsia="Times New Roman" w:cs="Times New Roman"/>
          <w:spacing w:val="-1"/>
          <w:sz w:val="21"/>
          <w:szCs w:val="21"/>
        </w:rPr>
        <w:t xml:space="preserve">3.5.4   </w:t>
      </w:r>
      <w:r>
        <w:rPr>
          <w:rFonts w:ascii="宋体" w:hAnsi="宋体" w:eastAsia="宋体" w:cs="宋体"/>
          <w:spacing w:val="-1"/>
          <w:sz w:val="21"/>
          <w:szCs w:val="21"/>
        </w:rPr>
        <w:t>“正在施工和新承接的项目情况表”应附中标通知书、合同协议书等材料</w:t>
      </w:r>
      <w:r>
        <w:rPr>
          <w:rFonts w:ascii="宋体" w:hAnsi="宋体" w:eastAsia="宋体" w:cs="宋体"/>
          <w:spacing w:val="-2"/>
          <w:sz w:val="21"/>
          <w:szCs w:val="21"/>
        </w:rPr>
        <w:t>。每张</w:t>
      </w:r>
      <w:r>
        <w:rPr>
          <w:rFonts w:ascii="宋体" w:hAnsi="宋体" w:eastAsia="宋体" w:cs="宋体"/>
          <w:sz w:val="21"/>
          <w:szCs w:val="21"/>
        </w:rPr>
        <w:t xml:space="preserve"> </w:t>
      </w:r>
      <w:r>
        <w:rPr>
          <w:rFonts w:ascii="宋体" w:hAnsi="宋体" w:eastAsia="宋体" w:cs="宋体"/>
          <w:spacing w:val="-2"/>
          <w:sz w:val="21"/>
          <w:szCs w:val="21"/>
        </w:rPr>
        <w:t>表格只填写一个项目，并标明序号。</w:t>
      </w:r>
    </w:p>
    <w:p w14:paraId="281660E1">
      <w:pPr>
        <w:spacing w:before="109" w:line="268" w:lineRule="auto"/>
        <w:ind w:left="24" w:right="204" w:firstLine="416"/>
        <w:rPr>
          <w:rFonts w:ascii="宋体" w:hAnsi="宋体" w:eastAsia="宋体" w:cs="宋体"/>
          <w:sz w:val="21"/>
          <w:szCs w:val="21"/>
        </w:rPr>
      </w:pPr>
      <w:r>
        <w:rPr>
          <w:rFonts w:ascii="Times New Roman" w:hAnsi="Times New Roman" w:eastAsia="Times New Roman" w:cs="Times New Roman"/>
          <w:spacing w:val="-1"/>
          <w:sz w:val="21"/>
          <w:szCs w:val="21"/>
        </w:rPr>
        <w:t xml:space="preserve">3.5.5   </w:t>
      </w:r>
      <w:r>
        <w:rPr>
          <w:rFonts w:ascii="宋体" w:hAnsi="宋体" w:eastAsia="宋体" w:cs="宋体"/>
          <w:spacing w:val="-1"/>
          <w:sz w:val="21"/>
          <w:szCs w:val="21"/>
        </w:rPr>
        <w:t>“近年发生的诉讼及仲裁情况”应说明相关情况，并附法院或仲裁机构作</w:t>
      </w:r>
      <w:r>
        <w:rPr>
          <w:rFonts w:ascii="宋体" w:hAnsi="宋体" w:eastAsia="宋体" w:cs="宋体"/>
          <w:spacing w:val="-2"/>
          <w:sz w:val="21"/>
          <w:szCs w:val="21"/>
        </w:rPr>
        <w:t>出的判</w:t>
      </w:r>
      <w:r>
        <w:rPr>
          <w:rFonts w:ascii="宋体" w:hAnsi="宋体" w:eastAsia="宋体" w:cs="宋体"/>
          <w:sz w:val="21"/>
          <w:szCs w:val="21"/>
        </w:rPr>
        <w:t xml:space="preserve"> </w:t>
      </w:r>
      <w:r>
        <w:rPr>
          <w:rFonts w:ascii="宋体" w:hAnsi="宋体" w:eastAsia="宋体" w:cs="宋体"/>
          <w:spacing w:val="-1"/>
          <w:sz w:val="21"/>
          <w:szCs w:val="21"/>
        </w:rPr>
        <w:t>决、裁决等有关法律文书，具体年份要求见</w:t>
      </w:r>
      <w:r>
        <w:rPr>
          <w:rFonts w:ascii="宋体" w:hAnsi="宋体" w:eastAsia="宋体" w:cs="宋体"/>
          <w:spacing w:val="-2"/>
          <w:sz w:val="21"/>
          <w:szCs w:val="21"/>
        </w:rPr>
        <w:t>投标人须知前附表。</w:t>
      </w:r>
    </w:p>
    <w:p w14:paraId="2E47BE48">
      <w:pPr>
        <w:spacing w:before="110" w:line="269" w:lineRule="auto"/>
        <w:ind w:left="19" w:right="197" w:firstLine="422"/>
        <w:rPr>
          <w:rFonts w:ascii="宋体" w:hAnsi="宋体" w:eastAsia="宋体" w:cs="宋体"/>
          <w:sz w:val="21"/>
          <w:szCs w:val="21"/>
        </w:rPr>
      </w:pPr>
      <w:r>
        <w:rPr>
          <w:rFonts w:ascii="Times New Roman" w:hAnsi="Times New Roman" w:eastAsia="Times New Roman" w:cs="Times New Roman"/>
          <w:spacing w:val="-2"/>
          <w:sz w:val="21"/>
          <w:szCs w:val="21"/>
        </w:rPr>
        <w:t>3.5.6</w:t>
      </w:r>
      <w:r>
        <w:rPr>
          <w:rFonts w:ascii="Times New Roman" w:hAnsi="Times New Roman" w:eastAsia="Times New Roman" w:cs="Times New Roman"/>
          <w:spacing w:val="20"/>
          <w:w w:val="101"/>
          <w:sz w:val="21"/>
          <w:szCs w:val="21"/>
        </w:rPr>
        <w:t xml:space="preserve"> </w:t>
      </w:r>
      <w:r>
        <w:rPr>
          <w:rFonts w:ascii="宋体" w:hAnsi="宋体" w:eastAsia="宋体" w:cs="宋体"/>
          <w:spacing w:val="-2"/>
          <w:sz w:val="21"/>
          <w:szCs w:val="21"/>
        </w:rPr>
        <w:t xml:space="preserve">投标人须知前附表第 </w:t>
      </w:r>
      <w:r>
        <w:rPr>
          <w:rFonts w:ascii="Times New Roman" w:hAnsi="Times New Roman" w:eastAsia="Times New Roman" w:cs="Times New Roman"/>
          <w:spacing w:val="-2"/>
          <w:sz w:val="21"/>
          <w:szCs w:val="21"/>
        </w:rPr>
        <w:t>1.4.2</w:t>
      </w:r>
      <w:r>
        <w:rPr>
          <w:rFonts w:ascii="Times New Roman" w:hAnsi="Times New Roman" w:eastAsia="Times New Roman" w:cs="Times New Roman"/>
          <w:spacing w:val="17"/>
          <w:sz w:val="21"/>
          <w:szCs w:val="21"/>
        </w:rPr>
        <w:t xml:space="preserve"> </w:t>
      </w:r>
      <w:r>
        <w:rPr>
          <w:rFonts w:ascii="宋体" w:hAnsi="宋体" w:eastAsia="宋体" w:cs="宋体"/>
          <w:spacing w:val="-2"/>
          <w:sz w:val="21"/>
          <w:szCs w:val="21"/>
        </w:rPr>
        <w:t xml:space="preserve">项规定接受联合体投标的，本章第 </w:t>
      </w:r>
      <w:r>
        <w:rPr>
          <w:rFonts w:ascii="Times New Roman" w:hAnsi="Times New Roman" w:eastAsia="Times New Roman" w:cs="Times New Roman"/>
          <w:spacing w:val="-2"/>
          <w:sz w:val="21"/>
          <w:szCs w:val="21"/>
        </w:rPr>
        <w:t>3.5.1</w:t>
      </w:r>
      <w:r>
        <w:rPr>
          <w:rFonts w:ascii="Times New Roman" w:hAnsi="Times New Roman" w:eastAsia="Times New Roman" w:cs="Times New Roman"/>
          <w:spacing w:val="21"/>
          <w:w w:val="101"/>
          <w:sz w:val="21"/>
          <w:szCs w:val="21"/>
        </w:rPr>
        <w:t xml:space="preserve"> </w:t>
      </w:r>
      <w:r>
        <w:rPr>
          <w:rFonts w:ascii="宋体" w:hAnsi="宋体" w:eastAsia="宋体" w:cs="宋体"/>
          <w:spacing w:val="-2"/>
          <w:sz w:val="21"/>
          <w:szCs w:val="21"/>
        </w:rPr>
        <w:t>项规</w:t>
      </w:r>
      <w:r>
        <w:rPr>
          <w:rFonts w:ascii="宋体" w:hAnsi="宋体" w:eastAsia="宋体" w:cs="宋体"/>
          <w:spacing w:val="-3"/>
          <w:sz w:val="21"/>
          <w:szCs w:val="21"/>
        </w:rPr>
        <w:t>定的表格</w:t>
      </w:r>
      <w:r>
        <w:rPr>
          <w:rFonts w:ascii="宋体" w:hAnsi="宋体" w:eastAsia="宋体" w:cs="宋体"/>
          <w:sz w:val="21"/>
          <w:szCs w:val="21"/>
        </w:rPr>
        <w:t xml:space="preserve"> </w:t>
      </w:r>
      <w:r>
        <w:rPr>
          <w:rFonts w:ascii="宋体" w:hAnsi="宋体" w:eastAsia="宋体" w:cs="宋体"/>
          <w:spacing w:val="-2"/>
          <w:sz w:val="21"/>
          <w:szCs w:val="21"/>
        </w:rPr>
        <w:t>和资料应包括联合体各方相关情况。</w:t>
      </w:r>
    </w:p>
    <w:p w14:paraId="5298D1EE">
      <w:pPr>
        <w:spacing w:before="109" w:line="268" w:lineRule="auto"/>
        <w:ind w:left="23" w:right="40" w:firstLine="418"/>
        <w:rPr>
          <w:rFonts w:ascii="宋体" w:hAnsi="宋体" w:eastAsia="宋体" w:cs="宋体"/>
          <w:sz w:val="21"/>
          <w:szCs w:val="21"/>
        </w:rPr>
      </w:pPr>
      <w:r>
        <w:rPr>
          <w:rFonts w:ascii="Times New Roman" w:hAnsi="Times New Roman" w:eastAsia="Times New Roman" w:cs="Times New Roman"/>
          <w:spacing w:val="-1"/>
          <w:sz w:val="21"/>
          <w:szCs w:val="21"/>
        </w:rPr>
        <w:t>3.5.7</w:t>
      </w:r>
      <w:r>
        <w:rPr>
          <w:rFonts w:ascii="Times New Roman" w:hAnsi="Times New Roman" w:eastAsia="Times New Roman" w:cs="Times New Roman"/>
          <w:spacing w:val="53"/>
          <w:sz w:val="21"/>
          <w:szCs w:val="21"/>
        </w:rPr>
        <w:t xml:space="preserve"> </w:t>
      </w:r>
      <w:r>
        <w:rPr>
          <w:rFonts w:ascii="宋体" w:hAnsi="宋体" w:eastAsia="宋体" w:cs="宋体"/>
          <w:spacing w:val="-1"/>
          <w:sz w:val="21"/>
          <w:szCs w:val="21"/>
        </w:rPr>
        <w:t>投标人应按招标文件第八章“投标文件格式”中规定的表格内容填写资格审查表，</w:t>
      </w:r>
      <w:r>
        <w:rPr>
          <w:rFonts w:ascii="宋体" w:hAnsi="宋体" w:eastAsia="宋体" w:cs="宋体"/>
          <w:sz w:val="21"/>
          <w:szCs w:val="21"/>
        </w:rPr>
        <w:t xml:space="preserve"> </w:t>
      </w:r>
      <w:r>
        <w:rPr>
          <w:rFonts w:ascii="宋体" w:hAnsi="宋体" w:eastAsia="宋体" w:cs="宋体"/>
          <w:spacing w:val="-1"/>
          <w:sz w:val="21"/>
          <w:szCs w:val="21"/>
        </w:rPr>
        <w:t>并按各资格审查表的具体要求提供相关证件及证明</w:t>
      </w:r>
      <w:r>
        <w:rPr>
          <w:rFonts w:ascii="宋体" w:hAnsi="宋体" w:eastAsia="宋体" w:cs="宋体"/>
          <w:spacing w:val="-2"/>
          <w:sz w:val="21"/>
          <w:szCs w:val="21"/>
        </w:rPr>
        <w:t>材料。</w:t>
      </w:r>
    </w:p>
    <w:p w14:paraId="41679BAC">
      <w:pPr>
        <w:spacing w:before="109" w:line="220" w:lineRule="auto"/>
        <w:ind w:left="441"/>
        <w:rPr>
          <w:rFonts w:ascii="宋体" w:hAnsi="宋体" w:eastAsia="宋体" w:cs="宋体"/>
          <w:sz w:val="21"/>
          <w:szCs w:val="21"/>
        </w:rPr>
      </w:pPr>
      <w:r>
        <w:rPr>
          <w:rFonts w:ascii="Times New Roman" w:hAnsi="Times New Roman" w:eastAsia="Times New Roman" w:cs="Times New Roman"/>
          <w:spacing w:val="-2"/>
          <w:sz w:val="21"/>
          <w:szCs w:val="21"/>
        </w:rPr>
        <w:t xml:space="preserve">3.5.8 </w:t>
      </w:r>
      <w:r>
        <w:rPr>
          <w:rFonts w:ascii="宋体" w:hAnsi="宋体" w:eastAsia="宋体" w:cs="宋体"/>
          <w:spacing w:val="-2"/>
          <w:sz w:val="21"/>
          <w:szCs w:val="21"/>
        </w:rPr>
        <w:t>本招标文件中“类似项目”的定义见投标人须知前附表第</w:t>
      </w:r>
      <w:r>
        <w:rPr>
          <w:rFonts w:ascii="宋体" w:hAnsi="宋体" w:eastAsia="宋体" w:cs="宋体"/>
          <w:spacing w:val="-10"/>
          <w:sz w:val="21"/>
          <w:szCs w:val="21"/>
        </w:rPr>
        <w:t xml:space="preserve"> </w:t>
      </w:r>
      <w:r>
        <w:rPr>
          <w:rFonts w:ascii="Times New Roman" w:hAnsi="Times New Roman" w:eastAsia="Times New Roman" w:cs="Times New Roman"/>
          <w:spacing w:val="-2"/>
          <w:sz w:val="21"/>
          <w:szCs w:val="21"/>
        </w:rPr>
        <w:t xml:space="preserve">10.1.1 </w:t>
      </w:r>
      <w:r>
        <w:rPr>
          <w:rFonts w:ascii="宋体" w:hAnsi="宋体" w:eastAsia="宋体" w:cs="宋体"/>
          <w:spacing w:val="-2"/>
          <w:sz w:val="21"/>
          <w:szCs w:val="21"/>
        </w:rPr>
        <w:t>条目规定。</w:t>
      </w:r>
    </w:p>
    <w:p w14:paraId="1BAA49AA">
      <w:pPr>
        <w:spacing w:before="110" w:line="254" w:lineRule="auto"/>
        <w:ind w:left="19" w:right="730" w:firstLine="421"/>
        <w:rPr>
          <w:rFonts w:ascii="黑体" w:hAnsi="黑体" w:eastAsia="黑体" w:cs="黑体"/>
          <w:sz w:val="24"/>
          <w:szCs w:val="24"/>
        </w:rPr>
      </w:pPr>
      <w:r>
        <w:rPr>
          <w:rFonts w:ascii="Times New Roman" w:hAnsi="Times New Roman" w:eastAsia="Times New Roman" w:cs="Times New Roman"/>
          <w:spacing w:val="-1"/>
          <w:sz w:val="21"/>
          <w:szCs w:val="21"/>
        </w:rPr>
        <w:t xml:space="preserve">3.5.9 </w:t>
      </w:r>
      <w:r>
        <w:rPr>
          <w:rFonts w:ascii="宋体" w:hAnsi="宋体" w:eastAsia="宋体" w:cs="宋体"/>
          <w:spacing w:val="-1"/>
          <w:sz w:val="21"/>
          <w:szCs w:val="21"/>
        </w:rPr>
        <w:t>项目经理的已完成的类似项目的业绩，具体年份要求见</w:t>
      </w:r>
      <w:r>
        <w:rPr>
          <w:rFonts w:ascii="宋体" w:hAnsi="宋体" w:eastAsia="宋体" w:cs="宋体"/>
          <w:spacing w:val="-2"/>
          <w:sz w:val="21"/>
          <w:szCs w:val="21"/>
        </w:rPr>
        <w:t>投标人须知前附表。</w:t>
      </w:r>
      <w:r>
        <w:rPr>
          <w:rFonts w:ascii="宋体" w:hAnsi="宋体" w:eastAsia="宋体" w:cs="宋体"/>
          <w:sz w:val="21"/>
          <w:szCs w:val="21"/>
        </w:rPr>
        <w:t xml:space="preserve"> </w:t>
      </w:r>
      <w:r>
        <w:rPr>
          <w:rFonts w:ascii="Times New Roman" w:hAnsi="Times New Roman" w:eastAsia="Times New Roman" w:cs="Times New Roman"/>
          <w:spacing w:val="-1"/>
          <w:sz w:val="24"/>
          <w:szCs w:val="24"/>
        </w:rPr>
        <w:t xml:space="preserve">3.6 </w:t>
      </w:r>
      <w:r>
        <w:rPr>
          <w:rFonts w:ascii="黑体" w:hAnsi="黑体" w:eastAsia="黑体" w:cs="黑体"/>
          <w:spacing w:val="-1"/>
          <w:sz w:val="24"/>
          <w:szCs w:val="24"/>
        </w:rPr>
        <w:t>备选投标方案</w:t>
      </w:r>
    </w:p>
    <w:p w14:paraId="285DDB19">
      <w:pPr>
        <w:spacing w:before="101" w:line="293" w:lineRule="auto"/>
        <w:ind w:left="17" w:right="202" w:firstLine="436"/>
        <w:jc w:val="both"/>
        <w:rPr>
          <w:rFonts w:ascii="宋体" w:hAnsi="宋体" w:eastAsia="宋体" w:cs="宋体"/>
          <w:sz w:val="21"/>
          <w:szCs w:val="21"/>
        </w:rPr>
      </w:pPr>
      <w:r>
        <w:rPr>
          <w:rFonts w:ascii="宋体" w:hAnsi="宋体" w:eastAsia="宋体" w:cs="宋体"/>
          <w:spacing w:val="3"/>
          <w:sz w:val="21"/>
          <w:szCs w:val="21"/>
        </w:rPr>
        <w:t>除投标人须知前附表另有规定外，投标人不得递交备选投标方</w:t>
      </w:r>
      <w:r>
        <w:rPr>
          <w:rFonts w:ascii="宋体" w:hAnsi="宋体" w:eastAsia="宋体" w:cs="宋体"/>
          <w:spacing w:val="2"/>
          <w:sz w:val="21"/>
          <w:szCs w:val="21"/>
        </w:rPr>
        <w:t>案。允许投标人递交备</w:t>
      </w:r>
      <w:r>
        <w:rPr>
          <w:rFonts w:ascii="宋体" w:hAnsi="宋体" w:eastAsia="宋体" w:cs="宋体"/>
          <w:sz w:val="21"/>
          <w:szCs w:val="21"/>
        </w:rPr>
        <w:t xml:space="preserve"> </w:t>
      </w:r>
      <w:r>
        <w:rPr>
          <w:rFonts w:ascii="宋体" w:hAnsi="宋体" w:eastAsia="宋体" w:cs="宋体"/>
          <w:spacing w:val="3"/>
          <w:sz w:val="21"/>
          <w:szCs w:val="21"/>
        </w:rPr>
        <w:t>选投标方案的，只有中标人所递交的备选投标方案方可予以考虑。评标委员会</w:t>
      </w:r>
      <w:r>
        <w:rPr>
          <w:rFonts w:ascii="宋体" w:hAnsi="宋体" w:eastAsia="宋体" w:cs="宋体"/>
          <w:spacing w:val="2"/>
          <w:sz w:val="21"/>
          <w:szCs w:val="21"/>
        </w:rPr>
        <w:t>认为中标候</w:t>
      </w:r>
      <w:r>
        <w:rPr>
          <w:rFonts w:ascii="宋体" w:hAnsi="宋体" w:eastAsia="宋体" w:cs="宋体"/>
          <w:sz w:val="21"/>
          <w:szCs w:val="21"/>
        </w:rPr>
        <w:t xml:space="preserve"> 选人的备选投标方案优于其按照招标文件要求编制的投标方案的， 该中标候选人被确定中</w:t>
      </w:r>
      <w:r>
        <w:rPr>
          <w:rFonts w:ascii="宋体" w:hAnsi="宋体" w:eastAsia="宋体" w:cs="宋体"/>
          <w:spacing w:val="7"/>
          <w:sz w:val="21"/>
          <w:szCs w:val="21"/>
        </w:rPr>
        <w:t xml:space="preserve"> </w:t>
      </w:r>
      <w:r>
        <w:rPr>
          <w:rFonts w:ascii="宋体" w:hAnsi="宋体" w:eastAsia="宋体" w:cs="宋体"/>
          <w:spacing w:val="-1"/>
          <w:sz w:val="21"/>
          <w:szCs w:val="21"/>
        </w:rPr>
        <w:t>标人后，招标人可以接受该备选投标方案。</w:t>
      </w:r>
    </w:p>
    <w:p w14:paraId="07B0A170">
      <w:pPr>
        <w:spacing w:before="83" w:line="218" w:lineRule="auto"/>
        <w:ind w:left="19"/>
        <w:rPr>
          <w:rFonts w:ascii="黑体" w:hAnsi="黑体" w:eastAsia="黑体" w:cs="黑体"/>
          <w:sz w:val="24"/>
          <w:szCs w:val="24"/>
        </w:rPr>
      </w:pPr>
      <w:r>
        <w:rPr>
          <w:rFonts w:ascii="Times New Roman" w:hAnsi="Times New Roman" w:eastAsia="Times New Roman" w:cs="Times New Roman"/>
          <w:spacing w:val="-1"/>
          <w:sz w:val="24"/>
          <w:szCs w:val="24"/>
        </w:rPr>
        <w:t xml:space="preserve">3.7 </w:t>
      </w:r>
      <w:r>
        <w:rPr>
          <w:rFonts w:ascii="黑体" w:hAnsi="黑体" w:eastAsia="黑体" w:cs="黑体"/>
          <w:spacing w:val="-1"/>
          <w:sz w:val="24"/>
          <w:szCs w:val="24"/>
        </w:rPr>
        <w:t>投标文件的编制</w:t>
      </w:r>
    </w:p>
    <w:p w14:paraId="1A4E0687">
      <w:pPr>
        <w:spacing w:before="100" w:line="285" w:lineRule="auto"/>
        <w:ind w:left="20" w:right="199" w:firstLine="420"/>
        <w:rPr>
          <w:rFonts w:ascii="宋体" w:hAnsi="宋体" w:eastAsia="宋体" w:cs="宋体"/>
          <w:sz w:val="21"/>
          <w:szCs w:val="21"/>
        </w:rPr>
      </w:pPr>
      <w:r>
        <w:rPr>
          <w:rFonts w:ascii="Times New Roman" w:hAnsi="Times New Roman" w:eastAsia="Times New Roman" w:cs="Times New Roman"/>
          <w:spacing w:val="1"/>
          <w:sz w:val="21"/>
          <w:szCs w:val="21"/>
        </w:rPr>
        <w:t>3.7.1</w:t>
      </w:r>
      <w:r>
        <w:rPr>
          <w:rFonts w:ascii="Times New Roman" w:hAnsi="Times New Roman" w:eastAsia="Times New Roman" w:cs="Times New Roman"/>
          <w:spacing w:val="44"/>
          <w:w w:val="101"/>
          <w:sz w:val="21"/>
          <w:szCs w:val="21"/>
        </w:rPr>
        <w:t xml:space="preserve"> </w:t>
      </w:r>
      <w:r>
        <w:rPr>
          <w:rFonts w:ascii="宋体" w:hAnsi="宋体" w:eastAsia="宋体" w:cs="宋体"/>
          <w:spacing w:val="1"/>
          <w:sz w:val="21"/>
          <w:szCs w:val="21"/>
        </w:rPr>
        <w:t>投标文件应按第八章“投标文件</w:t>
      </w:r>
      <w:r>
        <w:rPr>
          <w:rFonts w:ascii="宋体" w:hAnsi="宋体" w:eastAsia="宋体" w:cs="宋体"/>
          <w:sz w:val="21"/>
          <w:szCs w:val="21"/>
        </w:rPr>
        <w:t>格式”进行编写，如有必要，可以增加附页，作 为投标文件的组成部分。其中，投标函附录在满足招标文件实质性要求的基础上， 可以提</w:t>
      </w:r>
      <w:r>
        <w:rPr>
          <w:rFonts w:ascii="宋体" w:hAnsi="宋体" w:eastAsia="宋体" w:cs="宋体"/>
          <w:spacing w:val="4"/>
          <w:sz w:val="21"/>
          <w:szCs w:val="21"/>
        </w:rPr>
        <w:t xml:space="preserve"> </w:t>
      </w:r>
      <w:r>
        <w:rPr>
          <w:rFonts w:ascii="宋体" w:hAnsi="宋体" w:eastAsia="宋体" w:cs="宋体"/>
          <w:spacing w:val="-2"/>
          <w:sz w:val="21"/>
          <w:szCs w:val="21"/>
        </w:rPr>
        <w:t>出比招标文件要求更有利于招标人的承诺。</w:t>
      </w:r>
    </w:p>
    <w:p w14:paraId="20A4F7EA">
      <w:pPr>
        <w:spacing w:before="108" w:line="269" w:lineRule="auto"/>
        <w:ind w:left="19" w:right="234" w:firstLine="422"/>
        <w:rPr>
          <w:rFonts w:ascii="宋体" w:hAnsi="宋体" w:eastAsia="宋体" w:cs="宋体"/>
          <w:sz w:val="21"/>
          <w:szCs w:val="21"/>
        </w:rPr>
      </w:pPr>
      <w:r>
        <w:rPr>
          <w:rFonts w:ascii="Times New Roman" w:hAnsi="Times New Roman" w:eastAsia="Times New Roman" w:cs="Times New Roman"/>
          <w:sz w:val="21"/>
          <w:szCs w:val="21"/>
        </w:rPr>
        <w:t>3.7.2</w:t>
      </w:r>
      <w:r>
        <w:rPr>
          <w:rFonts w:ascii="Times New Roman" w:hAnsi="Times New Roman" w:eastAsia="Times New Roman" w:cs="Times New Roman"/>
          <w:spacing w:val="35"/>
          <w:w w:val="101"/>
          <w:sz w:val="21"/>
          <w:szCs w:val="21"/>
        </w:rPr>
        <w:t xml:space="preserve"> </w:t>
      </w:r>
      <w:r>
        <w:rPr>
          <w:rFonts w:ascii="宋体" w:hAnsi="宋体" w:eastAsia="宋体" w:cs="宋体"/>
          <w:sz w:val="21"/>
          <w:szCs w:val="21"/>
        </w:rPr>
        <w:t>投标文件应当对招标文件有关工期、投标有效期、质量要求、技</w:t>
      </w:r>
      <w:r>
        <w:rPr>
          <w:rFonts w:ascii="宋体" w:hAnsi="宋体" w:eastAsia="宋体" w:cs="宋体"/>
          <w:spacing w:val="-1"/>
          <w:sz w:val="21"/>
          <w:szCs w:val="21"/>
        </w:rPr>
        <w:t>术标准和要求、</w:t>
      </w:r>
      <w:r>
        <w:rPr>
          <w:rFonts w:ascii="宋体" w:hAnsi="宋体" w:eastAsia="宋体" w:cs="宋体"/>
          <w:sz w:val="21"/>
          <w:szCs w:val="21"/>
        </w:rPr>
        <w:t xml:space="preserve"> </w:t>
      </w:r>
      <w:r>
        <w:rPr>
          <w:rFonts w:ascii="宋体" w:hAnsi="宋体" w:eastAsia="宋体" w:cs="宋体"/>
          <w:spacing w:val="-2"/>
          <w:sz w:val="21"/>
          <w:szCs w:val="21"/>
        </w:rPr>
        <w:t>招标范围等实质性内容作出响应。</w:t>
      </w:r>
    </w:p>
    <w:p w14:paraId="531163AB">
      <w:pPr>
        <w:spacing w:before="109" w:line="221" w:lineRule="auto"/>
        <w:ind w:left="441"/>
        <w:rPr>
          <w:rFonts w:ascii="宋体" w:hAnsi="宋体" w:eastAsia="宋体" w:cs="宋体"/>
          <w:sz w:val="21"/>
          <w:szCs w:val="21"/>
        </w:rPr>
      </w:pPr>
      <w:r>
        <w:rPr>
          <w:rFonts w:ascii="Times New Roman" w:hAnsi="Times New Roman" w:eastAsia="Times New Roman" w:cs="Times New Roman"/>
          <w:spacing w:val="-1"/>
          <w:sz w:val="21"/>
          <w:szCs w:val="21"/>
        </w:rPr>
        <w:t xml:space="preserve">3.7.3 </w:t>
      </w:r>
      <w:r>
        <w:rPr>
          <w:rFonts w:ascii="宋体" w:hAnsi="宋体" w:eastAsia="宋体" w:cs="宋体"/>
          <w:spacing w:val="-1"/>
          <w:sz w:val="21"/>
          <w:szCs w:val="21"/>
        </w:rPr>
        <w:t>投标文件制作</w:t>
      </w:r>
    </w:p>
    <w:p w14:paraId="166BE055">
      <w:pPr>
        <w:spacing w:before="109" w:line="221" w:lineRule="auto"/>
        <w:ind w:left="447"/>
        <w:rPr>
          <w:rFonts w:ascii="宋体" w:hAnsi="宋体" w:eastAsia="宋体" w:cs="宋体"/>
          <w:sz w:val="21"/>
          <w:szCs w:val="21"/>
        </w:rPr>
      </w:pPr>
      <w:r>
        <w:rPr>
          <w:rFonts w:ascii="宋体" w:hAnsi="宋体" w:eastAsia="宋体" w:cs="宋体"/>
          <w:spacing w:val="-1"/>
          <w:sz w:val="21"/>
          <w:szCs w:val="21"/>
        </w:rPr>
        <w:t>（</w:t>
      </w:r>
      <w:r>
        <w:rPr>
          <w:rFonts w:ascii="Times New Roman" w:hAnsi="Times New Roman" w:eastAsia="Times New Roman" w:cs="Times New Roman"/>
          <w:spacing w:val="-1"/>
          <w:sz w:val="21"/>
          <w:szCs w:val="21"/>
        </w:rPr>
        <w:t>1</w:t>
      </w:r>
      <w:r>
        <w:rPr>
          <w:rFonts w:ascii="宋体" w:hAnsi="宋体" w:eastAsia="宋体" w:cs="宋体"/>
          <w:spacing w:val="-1"/>
          <w:sz w:val="21"/>
          <w:szCs w:val="21"/>
        </w:rPr>
        <w:t>）投标文件由投标人使用符合标准的数字化投标文件制作软件制作生成。</w:t>
      </w:r>
    </w:p>
    <w:p w14:paraId="006BCB38">
      <w:pPr>
        <w:spacing w:before="108" w:line="221" w:lineRule="auto"/>
        <w:ind w:left="447"/>
        <w:rPr>
          <w:rFonts w:ascii="宋体" w:hAnsi="宋体" w:eastAsia="宋体" w:cs="宋体"/>
          <w:sz w:val="21"/>
          <w:szCs w:val="21"/>
        </w:rPr>
      </w:pPr>
      <w:r>
        <w:rPr>
          <w:rFonts w:ascii="宋体" w:hAnsi="宋体" w:eastAsia="宋体" w:cs="宋体"/>
          <w:spacing w:val="-3"/>
          <w:sz w:val="21"/>
          <w:szCs w:val="21"/>
        </w:rPr>
        <w:t>（</w:t>
      </w:r>
      <w:r>
        <w:rPr>
          <w:rFonts w:ascii="Times New Roman" w:hAnsi="Times New Roman" w:eastAsia="Times New Roman" w:cs="Times New Roman"/>
          <w:spacing w:val="-3"/>
          <w:sz w:val="21"/>
          <w:szCs w:val="21"/>
        </w:rPr>
        <w:t>2</w:t>
      </w:r>
      <w:r>
        <w:rPr>
          <w:rFonts w:ascii="宋体" w:hAnsi="宋体" w:eastAsia="宋体" w:cs="宋体"/>
          <w:spacing w:val="-3"/>
          <w:sz w:val="21"/>
          <w:szCs w:val="21"/>
        </w:rPr>
        <w:t>）投标人在编制投标文件时应当建立分级目录，</w:t>
      </w:r>
      <w:r>
        <w:rPr>
          <w:rFonts w:ascii="宋体" w:hAnsi="宋体" w:eastAsia="宋体" w:cs="宋体"/>
          <w:spacing w:val="-17"/>
          <w:sz w:val="21"/>
          <w:szCs w:val="21"/>
        </w:rPr>
        <w:t xml:space="preserve"> </w:t>
      </w:r>
      <w:r>
        <w:rPr>
          <w:rFonts w:ascii="宋体" w:hAnsi="宋体" w:eastAsia="宋体" w:cs="宋体"/>
          <w:spacing w:val="-3"/>
          <w:sz w:val="21"/>
          <w:szCs w:val="21"/>
        </w:rPr>
        <w:t>并按照提示录入或填写相关内容。</w:t>
      </w:r>
    </w:p>
    <w:p w14:paraId="07F2EDBA">
      <w:pPr>
        <w:spacing w:before="108" w:line="293" w:lineRule="auto"/>
        <w:ind w:left="20" w:firstLine="427"/>
        <w:rPr>
          <w:rFonts w:ascii="宋体" w:hAnsi="宋体" w:eastAsia="宋体" w:cs="宋体"/>
          <w:sz w:val="21"/>
          <w:szCs w:val="21"/>
        </w:rPr>
      </w:pPr>
      <w:r>
        <w:rPr>
          <w:rFonts w:ascii="宋体" w:hAnsi="宋体" w:eastAsia="宋体" w:cs="宋体"/>
          <w:spacing w:val="3"/>
          <w:sz w:val="21"/>
          <w:szCs w:val="21"/>
        </w:rPr>
        <w:t>（</w:t>
      </w:r>
      <w:r>
        <w:rPr>
          <w:rFonts w:ascii="Times New Roman" w:hAnsi="Times New Roman" w:eastAsia="Times New Roman" w:cs="Times New Roman"/>
          <w:spacing w:val="3"/>
          <w:sz w:val="21"/>
          <w:szCs w:val="21"/>
        </w:rPr>
        <w:t>3</w:t>
      </w:r>
      <w:r>
        <w:rPr>
          <w:rFonts w:ascii="宋体" w:hAnsi="宋体" w:eastAsia="宋体" w:cs="宋体"/>
          <w:spacing w:val="3"/>
          <w:sz w:val="21"/>
          <w:szCs w:val="21"/>
        </w:rPr>
        <w:t>）投标人应当从从企业主体信息库（</w:t>
      </w:r>
      <w:r>
        <w:rPr>
          <w:rFonts w:ascii="Times New Roman" w:hAnsi="Times New Roman" w:eastAsia="Times New Roman" w:cs="Times New Roman"/>
          <w:spacing w:val="3"/>
          <w:sz w:val="21"/>
          <w:szCs w:val="21"/>
        </w:rPr>
        <w:t>2024</w:t>
      </w:r>
      <w:r>
        <w:rPr>
          <w:rFonts w:ascii="Times New Roman" w:hAnsi="Times New Roman" w:eastAsia="Times New Roman" w:cs="Times New Roman"/>
          <w:spacing w:val="38"/>
          <w:sz w:val="21"/>
          <w:szCs w:val="21"/>
        </w:rPr>
        <w:t xml:space="preserve"> </w:t>
      </w:r>
      <w:r>
        <w:rPr>
          <w:rFonts w:ascii="宋体" w:hAnsi="宋体" w:eastAsia="宋体" w:cs="宋体"/>
          <w:spacing w:val="3"/>
          <w:sz w:val="21"/>
          <w:szCs w:val="21"/>
        </w:rPr>
        <w:t>年新版本辽宁省工程建设项</w:t>
      </w:r>
      <w:r>
        <w:rPr>
          <w:rFonts w:ascii="宋体" w:hAnsi="宋体" w:eastAsia="宋体" w:cs="宋体"/>
          <w:spacing w:val="2"/>
          <w:sz w:val="21"/>
          <w:szCs w:val="21"/>
        </w:rPr>
        <w:t>目主体云库）</w:t>
      </w:r>
      <w:r>
        <w:rPr>
          <w:rFonts w:ascii="宋体" w:hAnsi="宋体" w:eastAsia="宋体" w:cs="宋体"/>
          <w:sz w:val="21"/>
          <w:szCs w:val="21"/>
        </w:rPr>
        <w:t xml:space="preserve"> 中选择用于评审的佐证或证明材料并获取相应的数据信息， 在制作投标文件时生成应用于</w:t>
      </w:r>
      <w:r>
        <w:rPr>
          <w:rFonts w:ascii="宋体" w:hAnsi="宋体" w:eastAsia="宋体" w:cs="宋体"/>
          <w:spacing w:val="1"/>
          <w:sz w:val="21"/>
          <w:szCs w:val="21"/>
        </w:rPr>
        <w:t xml:space="preserve">   </w:t>
      </w:r>
      <w:r>
        <w:rPr>
          <w:rFonts w:ascii="宋体" w:hAnsi="宋体" w:eastAsia="宋体" w:cs="宋体"/>
          <w:spacing w:val="3"/>
          <w:sz w:val="21"/>
          <w:szCs w:val="21"/>
        </w:rPr>
        <w:t>项目评审的数字证照或影印件。如发现获取信息内容有错误应当在企业主体信</w:t>
      </w:r>
      <w:r>
        <w:rPr>
          <w:rFonts w:ascii="宋体" w:hAnsi="宋体" w:eastAsia="宋体" w:cs="宋体"/>
          <w:spacing w:val="2"/>
          <w:sz w:val="21"/>
          <w:szCs w:val="21"/>
        </w:rPr>
        <w:t>息库修改和</w:t>
      </w:r>
      <w:r>
        <w:rPr>
          <w:rFonts w:ascii="宋体" w:hAnsi="宋体" w:eastAsia="宋体" w:cs="宋体"/>
          <w:sz w:val="21"/>
          <w:szCs w:val="21"/>
        </w:rPr>
        <w:t xml:space="preserve">   </w:t>
      </w:r>
      <w:r>
        <w:rPr>
          <w:rFonts w:ascii="宋体" w:hAnsi="宋体" w:eastAsia="宋体" w:cs="宋体"/>
          <w:spacing w:val="-1"/>
          <w:sz w:val="21"/>
          <w:szCs w:val="21"/>
        </w:rPr>
        <w:t>完善，并重新获取并生成数字证照或影印件。</w:t>
      </w:r>
    </w:p>
    <w:p w14:paraId="22EE876F">
      <w:pPr>
        <w:spacing w:before="108" w:line="269" w:lineRule="auto"/>
        <w:ind w:left="20" w:right="202" w:firstLine="422"/>
        <w:rPr>
          <w:rFonts w:ascii="宋体" w:hAnsi="宋体" w:eastAsia="宋体" w:cs="宋体"/>
          <w:sz w:val="21"/>
          <w:szCs w:val="21"/>
        </w:rPr>
      </w:pPr>
      <w:r>
        <w:rPr>
          <w:rFonts w:ascii="宋体" w:hAnsi="宋体" w:eastAsia="宋体" w:cs="宋体"/>
          <w:spacing w:val="3"/>
          <w:sz w:val="21"/>
          <w:szCs w:val="21"/>
        </w:rPr>
        <w:t>投标人投标文件中数字证照数据信息内容是专家评审凭证和依据，投标人应当自行校</w:t>
      </w:r>
      <w:r>
        <w:rPr>
          <w:rFonts w:ascii="宋体" w:hAnsi="宋体" w:eastAsia="宋体" w:cs="宋体"/>
          <w:sz w:val="21"/>
          <w:szCs w:val="21"/>
        </w:rPr>
        <w:t xml:space="preserve"> </w:t>
      </w:r>
      <w:r>
        <w:rPr>
          <w:rFonts w:ascii="宋体" w:hAnsi="宋体" w:eastAsia="宋体" w:cs="宋体"/>
          <w:spacing w:val="-1"/>
          <w:sz w:val="21"/>
          <w:szCs w:val="21"/>
        </w:rPr>
        <w:t>核和确认数字证照数据信息内容，确保其准确有效和响应招标文件要求。</w:t>
      </w:r>
    </w:p>
    <w:p w14:paraId="12DC0052">
      <w:pPr>
        <w:spacing w:before="111" w:line="292" w:lineRule="auto"/>
        <w:ind w:left="17" w:right="207" w:firstLine="426"/>
        <w:rPr>
          <w:rFonts w:ascii="宋体" w:hAnsi="宋体" w:eastAsia="宋体" w:cs="宋体"/>
          <w:sz w:val="21"/>
          <w:szCs w:val="21"/>
        </w:rPr>
      </w:pPr>
      <w:r>
        <w:rPr>
          <w:rFonts w:ascii="宋体" w:hAnsi="宋体" w:eastAsia="宋体" w:cs="宋体"/>
          <w:spacing w:val="3"/>
          <w:sz w:val="21"/>
          <w:szCs w:val="21"/>
        </w:rPr>
        <w:t>投标人应用于投标的数字证照可通过主体信息库调取、下载和追溯其数</w:t>
      </w:r>
      <w:r>
        <w:rPr>
          <w:rFonts w:ascii="宋体" w:hAnsi="宋体" w:eastAsia="宋体" w:cs="宋体"/>
          <w:spacing w:val="2"/>
          <w:sz w:val="21"/>
          <w:szCs w:val="21"/>
        </w:rPr>
        <w:t>据原始材料，</w:t>
      </w:r>
      <w:r>
        <w:rPr>
          <w:rFonts w:ascii="宋体" w:hAnsi="宋体" w:eastAsia="宋体" w:cs="宋体"/>
          <w:sz w:val="21"/>
          <w:szCs w:val="21"/>
        </w:rPr>
        <w:t xml:space="preserve"> </w:t>
      </w:r>
      <w:r>
        <w:rPr>
          <w:rFonts w:ascii="宋体" w:hAnsi="宋体" w:eastAsia="宋体" w:cs="宋体"/>
          <w:spacing w:val="3"/>
          <w:sz w:val="21"/>
          <w:szCs w:val="21"/>
        </w:rPr>
        <w:t>用于核查、归档、调查或异议投诉处理等事宜。如发现投标人投标文件中应用</w:t>
      </w:r>
      <w:r>
        <w:rPr>
          <w:rFonts w:ascii="宋体" w:hAnsi="宋体" w:eastAsia="宋体" w:cs="宋体"/>
          <w:spacing w:val="2"/>
          <w:sz w:val="21"/>
          <w:szCs w:val="21"/>
        </w:rPr>
        <w:t>于评审的数</w:t>
      </w:r>
      <w:r>
        <w:rPr>
          <w:rFonts w:ascii="宋体" w:hAnsi="宋体" w:eastAsia="宋体" w:cs="宋体"/>
          <w:sz w:val="21"/>
          <w:szCs w:val="21"/>
        </w:rPr>
        <w:t xml:space="preserve"> 据证照信息数据内容存在不实或弄虚作假的， 即按照弄虚作假骗取中标行为予以认定并依</w:t>
      </w:r>
      <w:r>
        <w:rPr>
          <w:rFonts w:ascii="宋体" w:hAnsi="宋体" w:eastAsia="宋体" w:cs="宋体"/>
          <w:spacing w:val="7"/>
          <w:sz w:val="21"/>
          <w:szCs w:val="21"/>
        </w:rPr>
        <w:t xml:space="preserve"> </w:t>
      </w:r>
      <w:r>
        <w:rPr>
          <w:rFonts w:ascii="宋体" w:hAnsi="宋体" w:eastAsia="宋体" w:cs="宋体"/>
          <w:spacing w:val="-1"/>
          <w:sz w:val="21"/>
          <w:szCs w:val="21"/>
        </w:rPr>
        <w:t>法依规处理。</w:t>
      </w:r>
    </w:p>
    <w:p w14:paraId="71395266">
      <w:pPr>
        <w:spacing w:line="292" w:lineRule="auto"/>
        <w:rPr>
          <w:rFonts w:ascii="宋体" w:hAnsi="宋体" w:eastAsia="宋体" w:cs="宋体"/>
          <w:sz w:val="21"/>
          <w:szCs w:val="21"/>
        </w:rPr>
        <w:sectPr>
          <w:footerReference r:id="rId25" w:type="default"/>
          <w:pgSz w:w="11905" w:h="16839"/>
          <w:pgMar w:top="1431" w:right="1589" w:bottom="1036" w:left="1785" w:header="0" w:footer="847" w:gutter="0"/>
          <w:pgNumType w:fmt="decimal"/>
          <w:cols w:space="720" w:num="1"/>
        </w:sectPr>
      </w:pPr>
    </w:p>
    <w:p w14:paraId="1E92AB5F">
      <w:pPr>
        <w:spacing w:before="115" w:line="220" w:lineRule="auto"/>
        <w:ind w:left="441"/>
        <w:rPr>
          <w:rFonts w:ascii="宋体" w:hAnsi="宋体" w:eastAsia="宋体" w:cs="宋体"/>
          <w:sz w:val="21"/>
          <w:szCs w:val="21"/>
        </w:rPr>
      </w:pPr>
      <w:bookmarkStart w:id="79" w:name="bookmark93"/>
      <w:bookmarkEnd w:id="79"/>
      <w:r>
        <w:rPr>
          <w:rFonts w:ascii="宋体" w:hAnsi="宋体" w:eastAsia="宋体" w:cs="宋体"/>
          <w:spacing w:val="-1"/>
          <w:sz w:val="21"/>
          <w:szCs w:val="21"/>
        </w:rPr>
        <w:t>应用数字证照评审的节点和材料内容见投标人须知前附</w:t>
      </w:r>
      <w:r>
        <w:rPr>
          <w:rFonts w:ascii="宋体" w:hAnsi="宋体" w:eastAsia="宋体" w:cs="宋体"/>
          <w:spacing w:val="-2"/>
          <w:sz w:val="21"/>
          <w:szCs w:val="21"/>
        </w:rPr>
        <w:t>表。</w:t>
      </w:r>
    </w:p>
    <w:p w14:paraId="32A86324">
      <w:pPr>
        <w:spacing w:before="107" w:line="301" w:lineRule="auto"/>
        <w:ind w:left="18" w:firstLine="429"/>
        <w:rPr>
          <w:rFonts w:ascii="宋体" w:hAnsi="宋体" w:eastAsia="宋体" w:cs="宋体"/>
          <w:sz w:val="21"/>
          <w:szCs w:val="21"/>
        </w:rPr>
      </w:pPr>
      <w:r>
        <w:rPr>
          <w:rFonts w:ascii="宋体" w:hAnsi="宋体" w:eastAsia="宋体" w:cs="宋体"/>
          <w:spacing w:val="12"/>
          <w:sz w:val="21"/>
          <w:szCs w:val="21"/>
        </w:rPr>
        <w:t>（</w:t>
      </w:r>
      <w:r>
        <w:rPr>
          <w:rFonts w:ascii="Times New Roman" w:hAnsi="Times New Roman" w:eastAsia="Times New Roman" w:cs="Times New Roman"/>
          <w:spacing w:val="12"/>
          <w:sz w:val="21"/>
          <w:szCs w:val="21"/>
        </w:rPr>
        <w:t>4</w:t>
      </w:r>
      <w:r>
        <w:rPr>
          <w:rFonts w:ascii="宋体" w:hAnsi="宋体" w:eastAsia="宋体" w:cs="宋体"/>
          <w:spacing w:val="12"/>
          <w:sz w:val="21"/>
          <w:szCs w:val="21"/>
        </w:rPr>
        <w:t>）第八章投标文件格式文件要求“盖单位</w:t>
      </w:r>
      <w:r>
        <w:rPr>
          <w:rFonts w:ascii="宋体" w:hAnsi="宋体" w:eastAsia="宋体" w:cs="宋体"/>
          <w:spacing w:val="11"/>
          <w:sz w:val="21"/>
          <w:szCs w:val="21"/>
        </w:rPr>
        <w:t>章”的地方，投标人应使用数字证书</w:t>
      </w:r>
      <w:r>
        <w:rPr>
          <w:rFonts w:ascii="宋体" w:hAnsi="宋体" w:eastAsia="宋体" w:cs="宋体"/>
          <w:sz w:val="21"/>
          <w:szCs w:val="21"/>
        </w:rPr>
        <w:t xml:space="preserve">   </w:t>
      </w:r>
      <w:r>
        <w:rPr>
          <w:rFonts w:ascii="宋体" w:hAnsi="宋体" w:eastAsia="宋体" w:cs="宋体"/>
          <w:spacing w:val="1"/>
          <w:sz w:val="21"/>
          <w:szCs w:val="21"/>
        </w:rPr>
        <w:t>（</w:t>
      </w:r>
      <w:r>
        <w:rPr>
          <w:rFonts w:ascii="Times New Roman" w:hAnsi="Times New Roman" w:eastAsia="Times New Roman" w:cs="Times New Roman"/>
          <w:sz w:val="21"/>
          <w:szCs w:val="21"/>
        </w:rPr>
        <w:t>CA</w:t>
      </w:r>
      <w:r>
        <w:rPr>
          <w:rFonts w:ascii="宋体" w:hAnsi="宋体" w:eastAsia="宋体" w:cs="宋体"/>
          <w:spacing w:val="1"/>
          <w:sz w:val="21"/>
          <w:szCs w:val="21"/>
        </w:rPr>
        <w:t>）加盖投标人的单位电子印章； 要求“签章”的地方，投标人应使用数字证书（</w:t>
      </w:r>
      <w:r>
        <w:rPr>
          <w:rFonts w:ascii="Times New Roman" w:hAnsi="Times New Roman" w:eastAsia="Times New Roman" w:cs="Times New Roman"/>
          <w:sz w:val="21"/>
          <w:szCs w:val="21"/>
        </w:rPr>
        <w:t>CA</w:t>
      </w:r>
      <w:r>
        <w:rPr>
          <w:rFonts w:ascii="宋体" w:hAnsi="宋体" w:eastAsia="宋体" w:cs="宋体"/>
          <w:spacing w:val="1"/>
          <w:sz w:val="21"/>
          <w:szCs w:val="21"/>
        </w:rPr>
        <w:t>）</w:t>
      </w:r>
      <w:r>
        <w:rPr>
          <w:rFonts w:ascii="宋体" w:hAnsi="宋体" w:eastAsia="宋体" w:cs="宋体"/>
          <w:spacing w:val="7"/>
          <w:sz w:val="21"/>
          <w:szCs w:val="21"/>
        </w:rPr>
        <w:t xml:space="preserve"> </w:t>
      </w:r>
      <w:r>
        <w:rPr>
          <w:rFonts w:ascii="宋体" w:hAnsi="宋体" w:eastAsia="宋体" w:cs="宋体"/>
          <w:spacing w:val="3"/>
          <w:sz w:val="21"/>
          <w:szCs w:val="21"/>
        </w:rPr>
        <w:t>加盖法定代表人（授权委托人）的个人电子印章或电子签名。联合体投标的，投标文</w:t>
      </w:r>
      <w:r>
        <w:rPr>
          <w:rFonts w:ascii="宋体" w:hAnsi="宋体" w:eastAsia="宋体" w:cs="宋体"/>
          <w:spacing w:val="2"/>
          <w:sz w:val="21"/>
          <w:szCs w:val="21"/>
        </w:rPr>
        <w:t>件由</w:t>
      </w:r>
      <w:r>
        <w:rPr>
          <w:rFonts w:ascii="宋体" w:hAnsi="宋体" w:eastAsia="宋体" w:cs="宋体"/>
          <w:sz w:val="21"/>
          <w:szCs w:val="21"/>
        </w:rPr>
        <w:t xml:space="preserve">   联合体牵头人按上述规定在要求“盖单位章”的地方加盖联合体牵头人单位电子印章； 在</w:t>
      </w:r>
      <w:r>
        <w:rPr>
          <w:rFonts w:ascii="宋体" w:hAnsi="宋体" w:eastAsia="宋体" w:cs="宋体"/>
          <w:spacing w:val="3"/>
          <w:sz w:val="21"/>
          <w:szCs w:val="21"/>
        </w:rPr>
        <w:t xml:space="preserve">   </w:t>
      </w:r>
      <w:r>
        <w:rPr>
          <w:rFonts w:ascii="宋体" w:hAnsi="宋体" w:eastAsia="宋体" w:cs="宋体"/>
          <w:sz w:val="21"/>
          <w:szCs w:val="21"/>
        </w:rPr>
        <w:t>要求“签章”的地方加盖联合体牵头人法定代表人（授权委托人） 的个人电子印章或电子</w:t>
      </w:r>
      <w:r>
        <w:rPr>
          <w:rFonts w:ascii="宋体" w:hAnsi="宋体" w:eastAsia="宋体" w:cs="宋体"/>
          <w:spacing w:val="3"/>
          <w:sz w:val="21"/>
          <w:szCs w:val="21"/>
        </w:rPr>
        <w:t xml:space="preserve">   </w:t>
      </w:r>
      <w:r>
        <w:rPr>
          <w:rFonts w:ascii="宋体" w:hAnsi="宋体" w:eastAsia="宋体" w:cs="宋体"/>
          <w:spacing w:val="-8"/>
          <w:sz w:val="21"/>
          <w:szCs w:val="21"/>
        </w:rPr>
        <w:t>签名。 招标文件有特别说明的除外。</w:t>
      </w:r>
    </w:p>
    <w:p w14:paraId="7013E936">
      <w:pPr>
        <w:spacing w:before="108" w:line="269" w:lineRule="auto"/>
        <w:ind w:left="19" w:right="192" w:firstLine="428"/>
        <w:rPr>
          <w:rFonts w:ascii="宋体" w:hAnsi="宋体" w:eastAsia="宋体" w:cs="宋体"/>
          <w:sz w:val="21"/>
          <w:szCs w:val="21"/>
        </w:rPr>
      </w:pPr>
      <w:r>
        <w:rPr>
          <w:rFonts w:ascii="宋体" w:hAnsi="宋体" w:eastAsia="宋体" w:cs="宋体"/>
          <w:sz w:val="21"/>
          <w:szCs w:val="21"/>
        </w:rPr>
        <w:t>（</w:t>
      </w:r>
      <w:r>
        <w:rPr>
          <w:rFonts w:ascii="Times New Roman" w:hAnsi="Times New Roman" w:eastAsia="Times New Roman" w:cs="Times New Roman"/>
          <w:sz w:val="21"/>
          <w:szCs w:val="21"/>
        </w:rPr>
        <w:t>5</w:t>
      </w:r>
      <w:r>
        <w:rPr>
          <w:rFonts w:ascii="宋体" w:hAnsi="宋体" w:eastAsia="宋体" w:cs="宋体"/>
          <w:sz w:val="21"/>
          <w:szCs w:val="21"/>
        </w:rPr>
        <w:t>）投标文件中的已标价工程量清单数据文件应符合辽宁省建设工程造价数据规范的</w:t>
      </w:r>
      <w:r>
        <w:rPr>
          <w:rFonts w:ascii="宋体" w:hAnsi="宋体" w:eastAsia="宋体" w:cs="宋体"/>
          <w:spacing w:val="7"/>
          <w:sz w:val="21"/>
          <w:szCs w:val="21"/>
        </w:rPr>
        <w:t xml:space="preserve"> </w:t>
      </w:r>
      <w:r>
        <w:rPr>
          <w:rFonts w:ascii="宋体" w:hAnsi="宋体" w:eastAsia="宋体" w:cs="宋体"/>
          <w:spacing w:val="-4"/>
          <w:sz w:val="21"/>
          <w:szCs w:val="21"/>
        </w:rPr>
        <w:t>要求，多个专业分别编制时， 应汇总合并为一个文</w:t>
      </w:r>
      <w:r>
        <w:rPr>
          <w:rFonts w:ascii="宋体" w:hAnsi="宋体" w:eastAsia="宋体" w:cs="宋体"/>
          <w:spacing w:val="-5"/>
          <w:sz w:val="21"/>
          <w:szCs w:val="21"/>
        </w:rPr>
        <w:t>件导入。</w:t>
      </w:r>
    </w:p>
    <w:p w14:paraId="67DC4CE6">
      <w:pPr>
        <w:spacing w:before="106" w:line="293" w:lineRule="auto"/>
        <w:ind w:left="19" w:right="192" w:firstLine="428"/>
        <w:rPr>
          <w:rFonts w:ascii="宋体" w:hAnsi="宋体" w:eastAsia="宋体" w:cs="宋体"/>
          <w:sz w:val="21"/>
          <w:szCs w:val="21"/>
        </w:rPr>
      </w:pPr>
      <w:r>
        <w:rPr>
          <w:rFonts w:ascii="宋体" w:hAnsi="宋体" w:eastAsia="宋体" w:cs="宋体"/>
          <w:spacing w:val="-4"/>
          <w:sz w:val="21"/>
          <w:szCs w:val="21"/>
        </w:rPr>
        <w:t>（</w:t>
      </w:r>
      <w:r>
        <w:rPr>
          <w:rFonts w:ascii="Times New Roman" w:hAnsi="Times New Roman" w:eastAsia="Times New Roman" w:cs="Times New Roman"/>
          <w:spacing w:val="-4"/>
          <w:sz w:val="21"/>
          <w:szCs w:val="21"/>
        </w:rPr>
        <w:t>6</w:t>
      </w:r>
      <w:r>
        <w:rPr>
          <w:rFonts w:ascii="宋体" w:hAnsi="宋体" w:eastAsia="宋体" w:cs="宋体"/>
          <w:spacing w:val="-4"/>
          <w:sz w:val="21"/>
          <w:szCs w:val="21"/>
        </w:rPr>
        <w:t>）投标文件制作完成后，将生成一份加密的电子投标文件。</w:t>
      </w:r>
      <w:r>
        <w:rPr>
          <w:rFonts w:ascii="宋体" w:hAnsi="宋体" w:eastAsia="宋体" w:cs="宋体"/>
          <w:spacing w:val="54"/>
          <w:sz w:val="21"/>
          <w:szCs w:val="21"/>
        </w:rPr>
        <w:t xml:space="preserve"> </w:t>
      </w:r>
      <w:r>
        <w:rPr>
          <w:rFonts w:ascii="宋体" w:hAnsi="宋体" w:eastAsia="宋体" w:cs="宋体"/>
          <w:spacing w:val="-4"/>
          <w:sz w:val="21"/>
          <w:szCs w:val="21"/>
        </w:rPr>
        <w:t>投标人应当自行验证电</w:t>
      </w:r>
      <w:r>
        <w:rPr>
          <w:rFonts w:ascii="宋体" w:hAnsi="宋体" w:eastAsia="宋体" w:cs="宋体"/>
          <w:sz w:val="21"/>
          <w:szCs w:val="21"/>
        </w:rPr>
        <w:t xml:space="preserve"> 子投标文件格式、内容和数据的准确性，原则上电子投</w:t>
      </w:r>
      <w:r>
        <w:rPr>
          <w:rFonts w:ascii="宋体" w:hAnsi="宋体" w:eastAsia="宋体" w:cs="宋体"/>
          <w:spacing w:val="-1"/>
          <w:sz w:val="21"/>
          <w:szCs w:val="21"/>
        </w:rPr>
        <w:t>标文件大小不得超过</w:t>
      </w:r>
      <w:r>
        <w:rPr>
          <w:rFonts w:ascii="宋体" w:hAnsi="宋体" w:eastAsia="宋体" w:cs="宋体"/>
          <w:spacing w:val="-53"/>
          <w:sz w:val="21"/>
          <w:szCs w:val="21"/>
        </w:rPr>
        <w:t xml:space="preserve"> </w:t>
      </w:r>
      <w:r>
        <w:rPr>
          <w:rFonts w:ascii="Times New Roman" w:hAnsi="Times New Roman" w:eastAsia="Times New Roman" w:cs="Times New Roman"/>
          <w:spacing w:val="-1"/>
          <w:sz w:val="21"/>
          <w:szCs w:val="21"/>
        </w:rPr>
        <w:t>500M</w:t>
      </w:r>
      <w:r>
        <w:rPr>
          <w:rFonts w:ascii="宋体" w:hAnsi="宋体" w:eastAsia="宋体" w:cs="宋体"/>
          <w:spacing w:val="-1"/>
          <w:sz w:val="21"/>
          <w:szCs w:val="21"/>
        </w:rPr>
        <w:t>。电子投</w:t>
      </w:r>
      <w:r>
        <w:rPr>
          <w:rFonts w:ascii="宋体" w:hAnsi="宋体" w:eastAsia="宋体" w:cs="宋体"/>
          <w:sz w:val="21"/>
          <w:szCs w:val="21"/>
        </w:rPr>
        <w:t xml:space="preserve"> 标文件由于格式、内容或数据存在错误造成无法解密或解析，视为撤回投标文件， 责任由</w:t>
      </w:r>
      <w:r>
        <w:rPr>
          <w:rFonts w:ascii="宋体" w:hAnsi="宋体" w:eastAsia="宋体" w:cs="宋体"/>
          <w:spacing w:val="6"/>
          <w:sz w:val="21"/>
          <w:szCs w:val="21"/>
        </w:rPr>
        <w:t xml:space="preserve"> </w:t>
      </w:r>
      <w:r>
        <w:rPr>
          <w:rFonts w:ascii="宋体" w:hAnsi="宋体" w:eastAsia="宋体" w:cs="宋体"/>
          <w:spacing w:val="-4"/>
          <w:sz w:val="21"/>
          <w:szCs w:val="21"/>
        </w:rPr>
        <w:t>投标人自行承担。</w:t>
      </w:r>
    </w:p>
    <w:p w14:paraId="413AFDDA">
      <w:pPr>
        <w:spacing w:before="109" w:line="221" w:lineRule="auto"/>
        <w:ind w:left="447"/>
        <w:rPr>
          <w:rFonts w:ascii="宋体" w:hAnsi="宋体" w:eastAsia="宋体" w:cs="宋体"/>
          <w:sz w:val="21"/>
          <w:szCs w:val="21"/>
        </w:rPr>
      </w:pPr>
      <w:r>
        <w:rPr>
          <w:rFonts w:ascii="宋体" w:hAnsi="宋体" w:eastAsia="宋体" w:cs="宋体"/>
          <w:spacing w:val="-1"/>
          <w:sz w:val="21"/>
          <w:szCs w:val="21"/>
        </w:rPr>
        <w:t>（</w:t>
      </w:r>
      <w:r>
        <w:rPr>
          <w:rFonts w:ascii="Times New Roman" w:hAnsi="Times New Roman" w:eastAsia="Times New Roman" w:cs="Times New Roman"/>
          <w:spacing w:val="-1"/>
          <w:sz w:val="21"/>
          <w:szCs w:val="21"/>
        </w:rPr>
        <w:t>7</w:t>
      </w:r>
      <w:r>
        <w:rPr>
          <w:rFonts w:ascii="宋体" w:hAnsi="宋体" w:eastAsia="宋体" w:cs="宋体"/>
          <w:spacing w:val="-1"/>
          <w:sz w:val="21"/>
          <w:szCs w:val="21"/>
        </w:rPr>
        <w:t>）投标文件制作的具体方法详见“数字化投标文件制作软件”中的操作说明。</w:t>
      </w:r>
    </w:p>
    <w:p w14:paraId="65C11726">
      <w:pPr>
        <w:spacing w:before="109" w:line="268" w:lineRule="auto"/>
        <w:ind w:left="20" w:right="197" w:firstLine="420"/>
        <w:rPr>
          <w:rFonts w:ascii="宋体" w:hAnsi="宋体" w:eastAsia="宋体" w:cs="宋体"/>
          <w:sz w:val="21"/>
          <w:szCs w:val="21"/>
        </w:rPr>
      </w:pPr>
      <w:r>
        <w:rPr>
          <w:rFonts w:ascii="Times New Roman" w:hAnsi="Times New Roman" w:eastAsia="Times New Roman" w:cs="Times New Roman"/>
          <w:spacing w:val="-5"/>
          <w:sz w:val="21"/>
          <w:szCs w:val="21"/>
        </w:rPr>
        <w:t>3.7.4</w:t>
      </w:r>
      <w:r>
        <w:rPr>
          <w:rFonts w:ascii="Times New Roman" w:hAnsi="Times New Roman" w:eastAsia="Times New Roman" w:cs="Times New Roman"/>
          <w:spacing w:val="55"/>
          <w:w w:val="101"/>
          <w:sz w:val="21"/>
          <w:szCs w:val="21"/>
        </w:rPr>
        <w:t xml:space="preserve"> </w:t>
      </w:r>
      <w:r>
        <w:rPr>
          <w:rFonts w:ascii="宋体" w:hAnsi="宋体" w:eastAsia="宋体" w:cs="宋体"/>
          <w:spacing w:val="-5"/>
          <w:sz w:val="21"/>
          <w:szCs w:val="21"/>
        </w:rPr>
        <w:t>投标人须知前附表规定“施工组织设计”（技术标）采用“模块化暗标”，“施工</w:t>
      </w:r>
      <w:r>
        <w:rPr>
          <w:rFonts w:ascii="宋体" w:hAnsi="宋体" w:eastAsia="宋体" w:cs="宋体"/>
          <w:sz w:val="21"/>
          <w:szCs w:val="21"/>
        </w:rPr>
        <w:t xml:space="preserve"> </w:t>
      </w:r>
      <w:r>
        <w:rPr>
          <w:rFonts w:ascii="宋体" w:hAnsi="宋体" w:eastAsia="宋体" w:cs="宋体"/>
          <w:spacing w:val="-1"/>
          <w:sz w:val="21"/>
          <w:szCs w:val="21"/>
        </w:rPr>
        <w:t>组织设计”应按本章第</w:t>
      </w:r>
      <w:r>
        <w:rPr>
          <w:rFonts w:ascii="宋体" w:hAnsi="宋体" w:eastAsia="宋体" w:cs="宋体"/>
          <w:spacing w:val="-36"/>
          <w:sz w:val="21"/>
          <w:szCs w:val="21"/>
        </w:rPr>
        <w:t xml:space="preserve"> </w:t>
      </w:r>
      <w:r>
        <w:rPr>
          <w:rFonts w:ascii="Times New Roman" w:hAnsi="Times New Roman" w:eastAsia="Times New Roman" w:cs="Times New Roman"/>
          <w:spacing w:val="-1"/>
          <w:sz w:val="21"/>
          <w:szCs w:val="21"/>
        </w:rPr>
        <w:t xml:space="preserve">3.7.3 </w:t>
      </w:r>
      <w:r>
        <w:rPr>
          <w:rFonts w:ascii="宋体" w:hAnsi="宋体" w:eastAsia="宋体" w:cs="宋体"/>
          <w:spacing w:val="-1"/>
          <w:sz w:val="21"/>
          <w:szCs w:val="21"/>
        </w:rPr>
        <w:t>项制作投标文件并应满足下列要求：</w:t>
      </w:r>
    </w:p>
    <w:p w14:paraId="1F1738BB">
      <w:pPr>
        <w:spacing w:before="112" w:line="292" w:lineRule="auto"/>
        <w:ind w:left="14" w:right="194" w:firstLine="433"/>
        <w:rPr>
          <w:rFonts w:ascii="宋体" w:hAnsi="宋体" w:eastAsia="宋体" w:cs="宋体"/>
          <w:sz w:val="21"/>
          <w:szCs w:val="21"/>
        </w:rPr>
      </w:pPr>
      <w:r>
        <w:rPr>
          <w:rFonts w:ascii="宋体" w:hAnsi="宋体" w:eastAsia="宋体" w:cs="宋体"/>
          <w:spacing w:val="-3"/>
          <w:sz w:val="21"/>
          <w:szCs w:val="21"/>
        </w:rPr>
        <w:t>（</w:t>
      </w:r>
      <w:r>
        <w:rPr>
          <w:rFonts w:ascii="Times New Roman" w:hAnsi="Times New Roman" w:eastAsia="Times New Roman" w:cs="Times New Roman"/>
          <w:spacing w:val="-3"/>
          <w:sz w:val="21"/>
          <w:szCs w:val="21"/>
        </w:rPr>
        <w:t>1</w:t>
      </w:r>
      <w:r>
        <w:rPr>
          <w:rFonts w:ascii="宋体" w:hAnsi="宋体" w:eastAsia="宋体" w:cs="宋体"/>
          <w:spacing w:val="-3"/>
          <w:sz w:val="21"/>
          <w:szCs w:val="21"/>
        </w:rPr>
        <w:t>）模块采用</w:t>
      </w:r>
      <w:r>
        <w:rPr>
          <w:rFonts w:ascii="宋体" w:hAnsi="宋体" w:eastAsia="宋体" w:cs="宋体"/>
          <w:spacing w:val="-60"/>
          <w:sz w:val="21"/>
          <w:szCs w:val="21"/>
        </w:rPr>
        <w:t xml:space="preserve"> </w:t>
      </w:r>
      <w:r>
        <w:rPr>
          <w:rFonts w:ascii="Times New Roman" w:hAnsi="Times New Roman" w:eastAsia="Times New Roman" w:cs="Times New Roman"/>
          <w:spacing w:val="-3"/>
          <w:sz w:val="21"/>
          <w:szCs w:val="21"/>
        </w:rPr>
        <w:t>A4</w:t>
      </w:r>
      <w:r>
        <w:rPr>
          <w:rFonts w:ascii="Times New Roman" w:hAnsi="Times New Roman" w:eastAsia="Times New Roman" w:cs="Times New Roman"/>
          <w:spacing w:val="-10"/>
          <w:sz w:val="21"/>
          <w:szCs w:val="21"/>
        </w:rPr>
        <w:t xml:space="preserve"> </w:t>
      </w:r>
      <w:r>
        <w:rPr>
          <w:rFonts w:ascii="宋体" w:hAnsi="宋体" w:eastAsia="宋体" w:cs="宋体"/>
          <w:spacing w:val="-3"/>
          <w:sz w:val="21"/>
          <w:szCs w:val="21"/>
        </w:rPr>
        <w:t>规格纸张，纸张方向为纵向，段落采用单</w:t>
      </w:r>
      <w:r>
        <w:rPr>
          <w:rFonts w:ascii="宋体" w:hAnsi="宋体" w:eastAsia="宋体" w:cs="宋体"/>
          <w:spacing w:val="-4"/>
          <w:sz w:val="21"/>
          <w:szCs w:val="21"/>
        </w:rPr>
        <w:t>倍行距，“文档网格”设置</w:t>
      </w:r>
      <w:r>
        <w:rPr>
          <w:rFonts w:ascii="宋体" w:hAnsi="宋体" w:eastAsia="宋体" w:cs="宋体"/>
          <w:sz w:val="21"/>
          <w:szCs w:val="21"/>
        </w:rPr>
        <w:t xml:space="preserve"> </w:t>
      </w:r>
      <w:r>
        <w:rPr>
          <w:rFonts w:ascii="宋体" w:hAnsi="宋体" w:eastAsia="宋体" w:cs="宋体"/>
          <w:spacing w:val="-3"/>
          <w:sz w:val="21"/>
          <w:szCs w:val="21"/>
        </w:rPr>
        <w:t>为“无网格”，对齐方式两端对齐，大纲级别正文文本，左侧、右侧缩进</w:t>
      </w:r>
      <w:r>
        <w:rPr>
          <w:rFonts w:ascii="宋体" w:hAnsi="宋体" w:eastAsia="宋体" w:cs="宋体"/>
          <w:spacing w:val="-19"/>
          <w:sz w:val="21"/>
          <w:szCs w:val="21"/>
        </w:rPr>
        <w:t xml:space="preserve"> </w:t>
      </w:r>
      <w:r>
        <w:rPr>
          <w:rFonts w:ascii="Times New Roman" w:hAnsi="Times New Roman" w:eastAsia="Times New Roman" w:cs="Times New Roman"/>
          <w:spacing w:val="-3"/>
          <w:sz w:val="21"/>
          <w:szCs w:val="21"/>
        </w:rPr>
        <w:t xml:space="preserve">0 </w:t>
      </w:r>
      <w:r>
        <w:rPr>
          <w:rFonts w:ascii="宋体" w:hAnsi="宋体" w:eastAsia="宋体" w:cs="宋体"/>
          <w:spacing w:val="-3"/>
          <w:sz w:val="21"/>
          <w:szCs w:val="21"/>
        </w:rPr>
        <w:t>个字符，首行缩</w:t>
      </w:r>
      <w:r>
        <w:rPr>
          <w:rFonts w:ascii="宋体" w:hAnsi="宋体" w:eastAsia="宋体" w:cs="宋体"/>
          <w:sz w:val="21"/>
          <w:szCs w:val="21"/>
        </w:rPr>
        <w:t xml:space="preserve"> </w:t>
      </w:r>
      <w:r>
        <w:rPr>
          <w:rFonts w:ascii="宋体" w:hAnsi="宋体" w:eastAsia="宋体" w:cs="宋体"/>
          <w:spacing w:val="-2"/>
          <w:sz w:val="21"/>
          <w:szCs w:val="21"/>
        </w:rPr>
        <w:t xml:space="preserve">进 </w:t>
      </w:r>
      <w:r>
        <w:rPr>
          <w:rFonts w:ascii="Times New Roman" w:hAnsi="Times New Roman" w:eastAsia="Times New Roman" w:cs="Times New Roman"/>
          <w:spacing w:val="-2"/>
          <w:sz w:val="21"/>
          <w:szCs w:val="21"/>
        </w:rPr>
        <w:t>2</w:t>
      </w:r>
      <w:r>
        <w:rPr>
          <w:rFonts w:ascii="Times New Roman" w:hAnsi="Times New Roman" w:eastAsia="Times New Roman" w:cs="Times New Roman"/>
          <w:spacing w:val="45"/>
          <w:w w:val="101"/>
          <w:sz w:val="21"/>
          <w:szCs w:val="21"/>
        </w:rPr>
        <w:t xml:space="preserve"> </w:t>
      </w:r>
      <w:r>
        <w:rPr>
          <w:rFonts w:ascii="宋体" w:hAnsi="宋体" w:eastAsia="宋体" w:cs="宋体"/>
          <w:spacing w:val="-2"/>
          <w:sz w:val="21"/>
          <w:szCs w:val="21"/>
        </w:rPr>
        <w:t xml:space="preserve">个字符，段前、段后 </w:t>
      </w:r>
      <w:r>
        <w:rPr>
          <w:rFonts w:ascii="Times New Roman" w:hAnsi="Times New Roman" w:eastAsia="Times New Roman" w:cs="Times New Roman"/>
          <w:spacing w:val="-2"/>
          <w:sz w:val="21"/>
          <w:szCs w:val="21"/>
        </w:rPr>
        <w:t>0</w:t>
      </w:r>
      <w:r>
        <w:rPr>
          <w:rFonts w:ascii="Times New Roman" w:hAnsi="Times New Roman" w:eastAsia="Times New Roman" w:cs="Times New Roman"/>
          <w:spacing w:val="27"/>
          <w:sz w:val="21"/>
          <w:szCs w:val="21"/>
        </w:rPr>
        <w:t xml:space="preserve"> </w:t>
      </w:r>
      <w:r>
        <w:rPr>
          <w:rFonts w:ascii="宋体" w:hAnsi="宋体" w:eastAsia="宋体" w:cs="宋体"/>
          <w:spacing w:val="-2"/>
          <w:sz w:val="21"/>
          <w:szCs w:val="21"/>
        </w:rPr>
        <w:t>行。编辑软件可采用</w:t>
      </w:r>
      <w:r>
        <w:rPr>
          <w:rFonts w:ascii="宋体" w:hAnsi="宋体" w:eastAsia="宋体" w:cs="宋体"/>
          <w:spacing w:val="-20"/>
          <w:sz w:val="21"/>
          <w:szCs w:val="21"/>
        </w:rPr>
        <w:t xml:space="preserve"> </w:t>
      </w:r>
      <w:r>
        <w:rPr>
          <w:rFonts w:ascii="Times New Roman" w:hAnsi="Times New Roman" w:eastAsia="Times New Roman" w:cs="Times New Roman"/>
          <w:spacing w:val="-2"/>
          <w:sz w:val="21"/>
          <w:szCs w:val="21"/>
        </w:rPr>
        <w:t>Microsoft</w:t>
      </w:r>
      <w:r>
        <w:rPr>
          <w:rFonts w:ascii="Times New Roman" w:hAnsi="Times New Roman" w:eastAsia="Times New Roman" w:cs="Times New Roman"/>
          <w:spacing w:val="21"/>
          <w:w w:val="101"/>
          <w:sz w:val="21"/>
          <w:szCs w:val="21"/>
        </w:rPr>
        <w:t xml:space="preserve"> </w:t>
      </w:r>
      <w:r>
        <w:rPr>
          <w:rFonts w:ascii="Times New Roman" w:hAnsi="Times New Roman" w:eastAsia="Times New Roman" w:cs="Times New Roman"/>
          <w:spacing w:val="-2"/>
          <w:sz w:val="21"/>
          <w:szCs w:val="21"/>
        </w:rPr>
        <w:t>Word</w:t>
      </w:r>
      <w:r>
        <w:rPr>
          <w:rFonts w:ascii="Times New Roman" w:hAnsi="Times New Roman" w:eastAsia="Times New Roman" w:cs="Times New Roman"/>
          <w:spacing w:val="28"/>
          <w:sz w:val="21"/>
          <w:szCs w:val="21"/>
        </w:rPr>
        <w:t xml:space="preserve"> </w:t>
      </w:r>
      <w:r>
        <w:rPr>
          <w:rFonts w:ascii="Times New Roman" w:hAnsi="Times New Roman" w:eastAsia="Times New Roman" w:cs="Times New Roman"/>
          <w:spacing w:val="-2"/>
          <w:sz w:val="21"/>
          <w:szCs w:val="21"/>
        </w:rPr>
        <w:t>2010</w:t>
      </w:r>
      <w:r>
        <w:rPr>
          <w:rFonts w:ascii="Times New Roman" w:hAnsi="Times New Roman" w:eastAsia="Times New Roman" w:cs="Times New Roman"/>
          <w:spacing w:val="29"/>
          <w:sz w:val="21"/>
          <w:szCs w:val="21"/>
        </w:rPr>
        <w:t xml:space="preserve"> </w:t>
      </w:r>
      <w:r>
        <w:rPr>
          <w:rFonts w:ascii="宋体" w:hAnsi="宋体" w:eastAsia="宋体" w:cs="宋体"/>
          <w:spacing w:val="-2"/>
          <w:sz w:val="21"/>
          <w:szCs w:val="21"/>
        </w:rPr>
        <w:t>及以上版本或</w:t>
      </w:r>
      <w:r>
        <w:rPr>
          <w:rFonts w:ascii="宋体" w:hAnsi="宋体" w:eastAsia="宋体" w:cs="宋体"/>
          <w:spacing w:val="-21"/>
          <w:sz w:val="21"/>
          <w:szCs w:val="21"/>
        </w:rPr>
        <w:t xml:space="preserve"> </w:t>
      </w:r>
      <w:r>
        <w:rPr>
          <w:rFonts w:ascii="Times New Roman" w:hAnsi="Times New Roman" w:eastAsia="Times New Roman" w:cs="Times New Roman"/>
          <w:spacing w:val="-2"/>
          <w:sz w:val="21"/>
          <w:szCs w:val="21"/>
        </w:rPr>
        <w:t>WPS</w:t>
      </w:r>
      <w:r>
        <w:rPr>
          <w:rFonts w:ascii="Times New Roman" w:hAnsi="Times New Roman" w:eastAsia="Times New Roman" w:cs="Times New Roman"/>
          <w:sz w:val="21"/>
          <w:szCs w:val="21"/>
        </w:rPr>
        <w:t xml:space="preserve"> </w:t>
      </w:r>
      <w:r>
        <w:rPr>
          <w:rFonts w:ascii="Times New Roman" w:hAnsi="Times New Roman" w:eastAsia="Times New Roman" w:cs="Times New Roman"/>
          <w:spacing w:val="-2"/>
          <w:sz w:val="21"/>
          <w:szCs w:val="21"/>
        </w:rPr>
        <w:t xml:space="preserve">2013 </w:t>
      </w:r>
      <w:r>
        <w:rPr>
          <w:rFonts w:ascii="宋体" w:hAnsi="宋体" w:eastAsia="宋体" w:cs="宋体"/>
          <w:spacing w:val="-2"/>
          <w:sz w:val="21"/>
          <w:szCs w:val="21"/>
        </w:rPr>
        <w:t>版本及以上版本。</w:t>
      </w:r>
    </w:p>
    <w:p w14:paraId="2E5DF00B">
      <w:pPr>
        <w:spacing w:before="110" w:line="269" w:lineRule="auto"/>
        <w:ind w:left="38" w:right="209" w:firstLine="409"/>
        <w:rPr>
          <w:rFonts w:ascii="宋体" w:hAnsi="宋体" w:eastAsia="宋体" w:cs="宋体"/>
          <w:sz w:val="21"/>
          <w:szCs w:val="21"/>
        </w:rPr>
      </w:pPr>
      <w:r>
        <w:rPr>
          <w:rFonts w:ascii="宋体" w:hAnsi="宋体" w:eastAsia="宋体" w:cs="宋体"/>
          <w:spacing w:val="-6"/>
          <w:sz w:val="21"/>
          <w:szCs w:val="21"/>
        </w:rPr>
        <w:t>（</w:t>
      </w:r>
      <w:r>
        <w:rPr>
          <w:rFonts w:ascii="Times New Roman" w:hAnsi="Times New Roman" w:eastAsia="Times New Roman" w:cs="Times New Roman"/>
          <w:spacing w:val="-6"/>
          <w:sz w:val="21"/>
          <w:szCs w:val="21"/>
        </w:rPr>
        <w:t>2</w:t>
      </w:r>
      <w:r>
        <w:rPr>
          <w:rFonts w:ascii="宋体" w:hAnsi="宋体" w:eastAsia="宋体" w:cs="宋体"/>
          <w:spacing w:val="-6"/>
          <w:sz w:val="21"/>
          <w:szCs w:val="21"/>
        </w:rPr>
        <w:t>）标题（包括章、节、条、款、项）、正文要求： 采用</w:t>
      </w:r>
      <w:r>
        <w:rPr>
          <w:rFonts w:ascii="宋体" w:hAnsi="宋体" w:eastAsia="宋体" w:cs="宋体"/>
          <w:spacing w:val="-61"/>
          <w:sz w:val="21"/>
          <w:szCs w:val="21"/>
        </w:rPr>
        <w:t xml:space="preserve"> </w:t>
      </w:r>
      <w:r>
        <w:rPr>
          <w:rFonts w:ascii="Times New Roman" w:hAnsi="Times New Roman" w:eastAsia="Times New Roman" w:cs="Times New Roman"/>
          <w:spacing w:val="-6"/>
          <w:sz w:val="21"/>
          <w:szCs w:val="21"/>
        </w:rPr>
        <w:t>A4</w:t>
      </w:r>
      <w:r>
        <w:rPr>
          <w:rFonts w:ascii="Times New Roman" w:hAnsi="Times New Roman" w:eastAsia="Times New Roman" w:cs="Times New Roman"/>
          <w:spacing w:val="-14"/>
          <w:sz w:val="21"/>
          <w:szCs w:val="21"/>
        </w:rPr>
        <w:t xml:space="preserve"> </w:t>
      </w:r>
      <w:r>
        <w:rPr>
          <w:rFonts w:ascii="宋体" w:hAnsi="宋体" w:eastAsia="宋体" w:cs="宋体"/>
          <w:spacing w:val="-6"/>
          <w:sz w:val="21"/>
          <w:szCs w:val="21"/>
        </w:rPr>
        <w:t>规格纸张，文字</w:t>
      </w:r>
      <w:r>
        <w:rPr>
          <w:rFonts w:ascii="宋体" w:hAnsi="宋体" w:eastAsia="宋体" w:cs="宋体"/>
          <w:spacing w:val="-7"/>
          <w:sz w:val="21"/>
          <w:szCs w:val="21"/>
        </w:rPr>
        <w:t>为黑色小</w:t>
      </w:r>
      <w:r>
        <w:rPr>
          <w:rFonts w:ascii="宋体" w:hAnsi="宋体" w:eastAsia="宋体" w:cs="宋体"/>
          <w:sz w:val="21"/>
          <w:szCs w:val="21"/>
        </w:rPr>
        <w:t xml:space="preserve"> </w:t>
      </w:r>
      <w:r>
        <w:rPr>
          <w:rFonts w:ascii="宋体" w:hAnsi="宋体" w:eastAsia="宋体" w:cs="宋体"/>
          <w:spacing w:val="-15"/>
          <w:sz w:val="21"/>
          <w:szCs w:val="21"/>
        </w:rPr>
        <w:t>四号宋体，</w:t>
      </w:r>
      <w:r>
        <w:rPr>
          <w:rFonts w:ascii="宋体" w:hAnsi="宋体" w:eastAsia="宋体" w:cs="宋体"/>
          <w:spacing w:val="20"/>
          <w:sz w:val="21"/>
          <w:szCs w:val="21"/>
        </w:rPr>
        <w:t xml:space="preserve"> </w:t>
      </w:r>
      <w:r>
        <w:rPr>
          <w:rFonts w:ascii="宋体" w:hAnsi="宋体" w:eastAsia="宋体" w:cs="宋体"/>
          <w:spacing w:val="-15"/>
          <w:sz w:val="21"/>
          <w:szCs w:val="21"/>
        </w:rPr>
        <w:t>标题可加粗。</w:t>
      </w:r>
    </w:p>
    <w:p w14:paraId="7A440DAD">
      <w:pPr>
        <w:spacing w:before="106" w:line="293" w:lineRule="auto"/>
        <w:ind w:left="18" w:right="191" w:firstLine="429"/>
        <w:rPr>
          <w:rFonts w:ascii="宋体" w:hAnsi="宋体" w:eastAsia="宋体" w:cs="宋体"/>
          <w:sz w:val="21"/>
          <w:szCs w:val="21"/>
        </w:rPr>
      </w:pPr>
      <w:r>
        <w:rPr>
          <w:rFonts w:ascii="宋体" w:hAnsi="宋体" w:eastAsia="宋体" w:cs="宋体"/>
          <w:spacing w:val="-3"/>
          <w:sz w:val="21"/>
          <w:szCs w:val="21"/>
        </w:rPr>
        <w:t>（</w:t>
      </w:r>
      <w:r>
        <w:rPr>
          <w:rFonts w:ascii="Times New Roman" w:hAnsi="Times New Roman" w:eastAsia="Times New Roman" w:cs="Times New Roman"/>
          <w:spacing w:val="-3"/>
          <w:sz w:val="21"/>
          <w:szCs w:val="21"/>
        </w:rPr>
        <w:t>3</w:t>
      </w:r>
      <w:r>
        <w:rPr>
          <w:rFonts w:ascii="宋体" w:hAnsi="宋体" w:eastAsia="宋体" w:cs="宋体"/>
          <w:spacing w:val="-3"/>
          <w:sz w:val="21"/>
          <w:szCs w:val="21"/>
        </w:rPr>
        <w:t>）图表要求： 图表应尽可能采用</w:t>
      </w:r>
      <w:r>
        <w:rPr>
          <w:rFonts w:ascii="宋体" w:hAnsi="宋体" w:eastAsia="宋体" w:cs="宋体"/>
          <w:spacing w:val="-59"/>
          <w:sz w:val="21"/>
          <w:szCs w:val="21"/>
        </w:rPr>
        <w:t xml:space="preserve"> </w:t>
      </w:r>
      <w:r>
        <w:rPr>
          <w:rFonts w:ascii="Times New Roman" w:hAnsi="Times New Roman" w:eastAsia="Times New Roman" w:cs="Times New Roman"/>
          <w:spacing w:val="-3"/>
          <w:sz w:val="21"/>
          <w:szCs w:val="21"/>
        </w:rPr>
        <w:t xml:space="preserve">A4 </w:t>
      </w:r>
      <w:r>
        <w:rPr>
          <w:rFonts w:ascii="宋体" w:hAnsi="宋体" w:eastAsia="宋体" w:cs="宋体"/>
          <w:spacing w:val="-3"/>
          <w:sz w:val="21"/>
          <w:szCs w:val="21"/>
        </w:rPr>
        <w:t>规格白色</w:t>
      </w:r>
      <w:r>
        <w:rPr>
          <w:rFonts w:ascii="宋体" w:hAnsi="宋体" w:eastAsia="宋体" w:cs="宋体"/>
          <w:spacing w:val="-4"/>
          <w:sz w:val="21"/>
          <w:szCs w:val="21"/>
        </w:rPr>
        <w:t>底色，对于比较大的图表可使用</w:t>
      </w:r>
      <w:r>
        <w:rPr>
          <w:rFonts w:ascii="宋体" w:hAnsi="宋体" w:eastAsia="宋体" w:cs="宋体"/>
          <w:spacing w:val="-54"/>
          <w:sz w:val="21"/>
          <w:szCs w:val="21"/>
        </w:rPr>
        <w:t xml:space="preserve"> </w:t>
      </w:r>
      <w:r>
        <w:rPr>
          <w:rFonts w:ascii="宋体" w:hAnsi="宋体" w:eastAsia="宋体" w:cs="宋体"/>
          <w:spacing w:val="-4"/>
          <w:sz w:val="21"/>
          <w:szCs w:val="21"/>
        </w:rPr>
        <w:t>A3</w:t>
      </w:r>
      <w:r>
        <w:rPr>
          <w:rFonts w:ascii="宋体" w:hAnsi="宋体" w:eastAsia="宋体" w:cs="宋体"/>
          <w:spacing w:val="-48"/>
          <w:sz w:val="21"/>
          <w:szCs w:val="21"/>
        </w:rPr>
        <w:t xml:space="preserve"> </w:t>
      </w:r>
      <w:r>
        <w:rPr>
          <w:rFonts w:ascii="宋体" w:hAnsi="宋体" w:eastAsia="宋体" w:cs="宋体"/>
          <w:spacing w:val="-4"/>
          <w:sz w:val="21"/>
          <w:szCs w:val="21"/>
        </w:rPr>
        <w:t>规</w:t>
      </w:r>
      <w:r>
        <w:rPr>
          <w:rFonts w:ascii="宋体" w:hAnsi="宋体" w:eastAsia="宋体" w:cs="宋体"/>
          <w:sz w:val="21"/>
          <w:szCs w:val="21"/>
        </w:rPr>
        <w:t xml:space="preserve"> 格白色底色。 图表中的文字采用黑色，字体、字号不限（不包括纯表格，纯表格中文字要</w:t>
      </w:r>
      <w:r>
        <w:rPr>
          <w:rFonts w:ascii="宋体" w:hAnsi="宋体" w:eastAsia="宋体" w:cs="宋体"/>
          <w:spacing w:val="11"/>
          <w:sz w:val="21"/>
          <w:szCs w:val="21"/>
        </w:rPr>
        <w:t xml:space="preserve"> </w:t>
      </w:r>
      <w:r>
        <w:rPr>
          <w:rFonts w:ascii="宋体" w:hAnsi="宋体" w:eastAsia="宋体" w:cs="宋体"/>
          <w:spacing w:val="-7"/>
          <w:sz w:val="21"/>
          <w:szCs w:val="21"/>
        </w:rPr>
        <w:t>求同正文要求）。</w:t>
      </w:r>
      <w:r>
        <w:rPr>
          <w:rFonts w:ascii="宋体" w:hAnsi="宋体" w:eastAsia="宋体" w:cs="宋体"/>
          <w:spacing w:val="-59"/>
          <w:sz w:val="21"/>
          <w:szCs w:val="21"/>
        </w:rPr>
        <w:t xml:space="preserve"> </w:t>
      </w:r>
      <w:r>
        <w:rPr>
          <w:rFonts w:ascii="宋体" w:hAnsi="宋体" w:eastAsia="宋体" w:cs="宋体"/>
          <w:spacing w:val="-7"/>
          <w:sz w:val="21"/>
          <w:szCs w:val="21"/>
        </w:rPr>
        <w:t>图表（包括框图、流程图、结构图等，不包括纯表</w:t>
      </w:r>
      <w:r>
        <w:rPr>
          <w:rFonts w:ascii="宋体" w:hAnsi="宋体" w:eastAsia="宋体" w:cs="宋体"/>
          <w:spacing w:val="-8"/>
          <w:sz w:val="21"/>
          <w:szCs w:val="21"/>
        </w:rPr>
        <w:t>格）</w:t>
      </w:r>
      <w:r>
        <w:rPr>
          <w:rFonts w:ascii="宋体" w:hAnsi="宋体" w:eastAsia="宋体" w:cs="宋体"/>
          <w:spacing w:val="43"/>
          <w:sz w:val="21"/>
          <w:szCs w:val="21"/>
        </w:rPr>
        <w:t xml:space="preserve"> </w:t>
      </w:r>
      <w:r>
        <w:rPr>
          <w:rFonts w:ascii="宋体" w:hAnsi="宋体" w:eastAsia="宋体" w:cs="宋体"/>
          <w:spacing w:val="-8"/>
          <w:sz w:val="21"/>
          <w:szCs w:val="21"/>
        </w:rPr>
        <w:t>内容需转换为“图</w:t>
      </w:r>
      <w:r>
        <w:rPr>
          <w:rFonts w:ascii="宋体" w:hAnsi="宋体" w:eastAsia="宋体" w:cs="宋体"/>
          <w:sz w:val="21"/>
          <w:szCs w:val="21"/>
        </w:rPr>
        <w:t xml:space="preserve"> </w:t>
      </w:r>
      <w:r>
        <w:rPr>
          <w:rFonts w:ascii="宋体" w:hAnsi="宋体" w:eastAsia="宋体" w:cs="宋体"/>
          <w:spacing w:val="-2"/>
          <w:sz w:val="21"/>
          <w:szCs w:val="21"/>
        </w:rPr>
        <w:t>片”格式插入到文件对应位置上。</w:t>
      </w:r>
    </w:p>
    <w:p w14:paraId="6AB0B396">
      <w:pPr>
        <w:spacing w:before="109" w:line="268" w:lineRule="auto"/>
        <w:ind w:left="17" w:right="212" w:firstLine="430"/>
        <w:rPr>
          <w:rFonts w:ascii="宋体" w:hAnsi="宋体" w:eastAsia="宋体" w:cs="宋体"/>
          <w:sz w:val="21"/>
          <w:szCs w:val="21"/>
        </w:rPr>
      </w:pPr>
      <w:r>
        <w:rPr>
          <w:rFonts w:ascii="宋体" w:hAnsi="宋体" w:eastAsia="宋体" w:cs="宋体"/>
          <w:sz w:val="21"/>
          <w:szCs w:val="21"/>
        </w:rPr>
        <w:t>（</w:t>
      </w:r>
      <w:r>
        <w:rPr>
          <w:rFonts w:ascii="Times New Roman" w:hAnsi="Times New Roman" w:eastAsia="Times New Roman" w:cs="Times New Roman"/>
          <w:sz w:val="21"/>
          <w:szCs w:val="21"/>
        </w:rPr>
        <w:t>4</w:t>
      </w:r>
      <w:r>
        <w:rPr>
          <w:rFonts w:ascii="宋体" w:hAnsi="宋体" w:eastAsia="宋体" w:cs="宋体"/>
          <w:sz w:val="21"/>
          <w:szCs w:val="21"/>
        </w:rPr>
        <w:t>）页眉和页脚（包括页码）设置要求：不允许出现页</w:t>
      </w:r>
      <w:r>
        <w:rPr>
          <w:rFonts w:ascii="宋体" w:hAnsi="宋体" w:eastAsia="宋体" w:cs="宋体"/>
          <w:spacing w:val="-1"/>
          <w:sz w:val="21"/>
          <w:szCs w:val="21"/>
        </w:rPr>
        <w:t>眉，且页脚只准出现页码，页</w:t>
      </w:r>
      <w:r>
        <w:rPr>
          <w:rFonts w:ascii="宋体" w:hAnsi="宋体" w:eastAsia="宋体" w:cs="宋体"/>
          <w:sz w:val="21"/>
          <w:szCs w:val="21"/>
        </w:rPr>
        <w:t xml:space="preserve"> </w:t>
      </w:r>
      <w:r>
        <w:rPr>
          <w:rFonts w:ascii="宋体" w:hAnsi="宋体" w:eastAsia="宋体" w:cs="宋体"/>
          <w:spacing w:val="-5"/>
          <w:sz w:val="21"/>
          <w:szCs w:val="21"/>
        </w:rPr>
        <w:t>码格式采用阿拉伯数字格式， 字体为五号</w:t>
      </w:r>
      <w:r>
        <w:rPr>
          <w:rFonts w:ascii="宋体" w:hAnsi="宋体" w:eastAsia="宋体" w:cs="宋体"/>
          <w:spacing w:val="-6"/>
          <w:sz w:val="21"/>
          <w:szCs w:val="21"/>
        </w:rPr>
        <w:t>宋体， 设在页脚居中位置，页码应当连续。</w:t>
      </w:r>
    </w:p>
    <w:p w14:paraId="7ED2DFF0">
      <w:pPr>
        <w:spacing w:before="111" w:line="221" w:lineRule="auto"/>
        <w:ind w:left="447"/>
        <w:rPr>
          <w:rFonts w:ascii="宋体" w:hAnsi="宋体" w:eastAsia="宋体" w:cs="宋体"/>
          <w:sz w:val="21"/>
          <w:szCs w:val="21"/>
        </w:rPr>
      </w:pPr>
      <w:r>
        <w:rPr>
          <w:rFonts w:ascii="宋体" w:hAnsi="宋体" w:eastAsia="宋体" w:cs="宋体"/>
          <w:spacing w:val="-4"/>
          <w:sz w:val="21"/>
          <w:szCs w:val="21"/>
        </w:rPr>
        <w:t>（</w:t>
      </w:r>
      <w:r>
        <w:rPr>
          <w:rFonts w:ascii="Times New Roman" w:hAnsi="Times New Roman" w:eastAsia="Times New Roman" w:cs="Times New Roman"/>
          <w:spacing w:val="-4"/>
          <w:sz w:val="21"/>
          <w:szCs w:val="21"/>
        </w:rPr>
        <w:t>5</w:t>
      </w:r>
      <w:r>
        <w:rPr>
          <w:rFonts w:ascii="宋体" w:hAnsi="宋体" w:eastAsia="宋体" w:cs="宋体"/>
          <w:spacing w:val="-4"/>
          <w:sz w:val="21"/>
          <w:szCs w:val="21"/>
        </w:rPr>
        <w:t>）不允许有目录， 不允许涂改或删除痕迹，不允许字体涂色。</w:t>
      </w:r>
    </w:p>
    <w:p w14:paraId="526FFD52">
      <w:pPr>
        <w:spacing w:before="108" w:line="269" w:lineRule="auto"/>
        <w:ind w:left="35" w:right="192" w:firstLine="411"/>
        <w:rPr>
          <w:rFonts w:ascii="宋体" w:hAnsi="宋体" w:eastAsia="宋体" w:cs="宋体"/>
          <w:sz w:val="21"/>
          <w:szCs w:val="21"/>
        </w:rPr>
      </w:pPr>
      <w:r>
        <w:rPr>
          <w:rFonts w:ascii="宋体" w:hAnsi="宋体" w:eastAsia="宋体" w:cs="宋体"/>
          <w:spacing w:val="-4"/>
          <w:sz w:val="21"/>
          <w:szCs w:val="21"/>
        </w:rPr>
        <w:t>（</w:t>
      </w:r>
      <w:r>
        <w:rPr>
          <w:rFonts w:ascii="Times New Roman" w:hAnsi="Times New Roman" w:eastAsia="Times New Roman" w:cs="Times New Roman"/>
          <w:spacing w:val="-4"/>
          <w:sz w:val="21"/>
          <w:szCs w:val="21"/>
        </w:rPr>
        <w:t>6</w:t>
      </w:r>
      <w:r>
        <w:rPr>
          <w:rFonts w:ascii="宋体" w:hAnsi="宋体" w:eastAsia="宋体" w:cs="宋体"/>
          <w:spacing w:val="-4"/>
          <w:sz w:val="21"/>
          <w:szCs w:val="21"/>
        </w:rPr>
        <w:t>）任何情况下，</w:t>
      </w:r>
      <w:r>
        <w:rPr>
          <w:rFonts w:ascii="宋体" w:hAnsi="宋体" w:eastAsia="宋体" w:cs="宋体"/>
          <w:spacing w:val="54"/>
          <w:sz w:val="21"/>
          <w:szCs w:val="21"/>
        </w:rPr>
        <w:t xml:space="preserve"> </w:t>
      </w:r>
      <w:r>
        <w:rPr>
          <w:rFonts w:ascii="宋体" w:hAnsi="宋体" w:eastAsia="宋体" w:cs="宋体"/>
          <w:spacing w:val="-4"/>
          <w:sz w:val="21"/>
          <w:szCs w:val="21"/>
        </w:rPr>
        <w:t>施工组织设计中不得出现投标人的名称和其它可以识别投标人身份</w:t>
      </w:r>
      <w:r>
        <w:rPr>
          <w:rFonts w:ascii="宋体" w:hAnsi="宋体" w:eastAsia="宋体" w:cs="宋体"/>
          <w:sz w:val="21"/>
          <w:szCs w:val="21"/>
        </w:rPr>
        <w:t xml:space="preserve"> </w:t>
      </w:r>
      <w:r>
        <w:rPr>
          <w:rFonts w:ascii="宋体" w:hAnsi="宋体" w:eastAsia="宋体" w:cs="宋体"/>
          <w:spacing w:val="-1"/>
          <w:sz w:val="21"/>
          <w:szCs w:val="21"/>
        </w:rPr>
        <w:t>的字符、徽标、人员名称等以及雷同性标记内容。</w:t>
      </w:r>
    </w:p>
    <w:p w14:paraId="7C65B6E5">
      <w:pPr>
        <w:spacing w:before="152" w:line="225" w:lineRule="auto"/>
        <w:ind w:left="14"/>
        <w:rPr>
          <w:rFonts w:ascii="黑体" w:hAnsi="黑体" w:eastAsia="黑体" w:cs="黑体"/>
          <w:sz w:val="27"/>
          <w:szCs w:val="27"/>
        </w:rPr>
      </w:pPr>
      <w:r>
        <w:rPr>
          <w:rFonts w:ascii="Times New Roman" w:hAnsi="Times New Roman" w:eastAsia="Times New Roman" w:cs="Times New Roman"/>
          <w:spacing w:val="2"/>
          <w:sz w:val="27"/>
          <w:szCs w:val="27"/>
        </w:rPr>
        <w:t>4.</w:t>
      </w:r>
      <w:r>
        <w:rPr>
          <w:rFonts w:ascii="Times New Roman" w:hAnsi="Times New Roman" w:eastAsia="Times New Roman" w:cs="Times New Roman"/>
          <w:spacing w:val="17"/>
          <w:sz w:val="27"/>
          <w:szCs w:val="27"/>
        </w:rPr>
        <w:t xml:space="preserve"> </w:t>
      </w:r>
      <w:r>
        <w:rPr>
          <w:rFonts w:ascii="黑体" w:hAnsi="黑体" w:eastAsia="黑体" w:cs="黑体"/>
          <w:spacing w:val="2"/>
          <w:sz w:val="27"/>
          <w:szCs w:val="27"/>
        </w:rPr>
        <w:t>投标</w:t>
      </w:r>
    </w:p>
    <w:p w14:paraId="3ACACB16">
      <w:pPr>
        <w:spacing w:before="64" w:line="218" w:lineRule="auto"/>
        <w:ind w:left="13"/>
        <w:rPr>
          <w:rFonts w:ascii="黑体" w:hAnsi="黑体" w:eastAsia="黑体" w:cs="黑体"/>
          <w:sz w:val="24"/>
          <w:szCs w:val="24"/>
        </w:rPr>
      </w:pPr>
      <w:r>
        <w:rPr>
          <w:rFonts w:ascii="Times New Roman" w:hAnsi="Times New Roman" w:eastAsia="Times New Roman" w:cs="Times New Roman"/>
          <w:sz w:val="24"/>
          <w:szCs w:val="24"/>
        </w:rPr>
        <w:t xml:space="preserve">4.1 </w:t>
      </w:r>
      <w:r>
        <w:rPr>
          <w:rFonts w:ascii="黑体" w:hAnsi="黑体" w:eastAsia="黑体" w:cs="黑体"/>
          <w:sz w:val="24"/>
          <w:szCs w:val="24"/>
        </w:rPr>
        <w:t>投标文件的加密</w:t>
      </w:r>
    </w:p>
    <w:p w14:paraId="1C3725D8">
      <w:pPr>
        <w:spacing w:before="100" w:line="269" w:lineRule="auto"/>
        <w:ind w:left="21" w:right="241" w:firstLine="422"/>
        <w:rPr>
          <w:rFonts w:ascii="宋体" w:hAnsi="宋体" w:eastAsia="宋体" w:cs="宋体"/>
          <w:sz w:val="21"/>
          <w:szCs w:val="21"/>
        </w:rPr>
      </w:pPr>
      <w:r>
        <w:rPr>
          <w:rFonts w:ascii="宋体" w:hAnsi="宋体" w:eastAsia="宋体" w:cs="宋体"/>
          <w:spacing w:val="-4"/>
          <w:sz w:val="21"/>
          <w:szCs w:val="21"/>
        </w:rPr>
        <w:t>投标人应当按照本章第</w:t>
      </w:r>
      <w:r>
        <w:rPr>
          <w:rFonts w:ascii="宋体" w:hAnsi="宋体" w:eastAsia="宋体" w:cs="宋体"/>
          <w:spacing w:val="-33"/>
          <w:sz w:val="21"/>
          <w:szCs w:val="21"/>
        </w:rPr>
        <w:t xml:space="preserve"> </w:t>
      </w:r>
      <w:r>
        <w:rPr>
          <w:rFonts w:ascii="Times New Roman" w:hAnsi="Times New Roman" w:eastAsia="Times New Roman" w:cs="Times New Roman"/>
          <w:spacing w:val="-4"/>
          <w:sz w:val="21"/>
          <w:szCs w:val="21"/>
        </w:rPr>
        <w:t>3.7.3</w:t>
      </w:r>
      <w:r>
        <w:rPr>
          <w:rFonts w:ascii="Times New Roman" w:hAnsi="Times New Roman" w:eastAsia="Times New Roman" w:cs="Times New Roman"/>
          <w:spacing w:val="12"/>
          <w:sz w:val="21"/>
          <w:szCs w:val="21"/>
        </w:rPr>
        <w:t xml:space="preserve"> </w:t>
      </w:r>
      <w:r>
        <w:rPr>
          <w:rFonts w:ascii="宋体" w:hAnsi="宋体" w:eastAsia="宋体" w:cs="宋体"/>
          <w:spacing w:val="-4"/>
          <w:sz w:val="21"/>
          <w:szCs w:val="21"/>
        </w:rPr>
        <w:t>项要求制作投标文件， 并在投标时</w:t>
      </w:r>
      <w:r>
        <w:rPr>
          <w:rFonts w:ascii="宋体" w:hAnsi="宋体" w:eastAsia="宋体" w:cs="宋体"/>
          <w:spacing w:val="-5"/>
          <w:sz w:val="21"/>
          <w:szCs w:val="21"/>
        </w:rPr>
        <w:t>上传加密的投标文件，</w:t>
      </w:r>
      <w:r>
        <w:rPr>
          <w:rFonts w:ascii="宋体" w:hAnsi="宋体" w:eastAsia="宋体" w:cs="宋体"/>
          <w:sz w:val="21"/>
          <w:szCs w:val="21"/>
        </w:rPr>
        <w:t xml:space="preserve"> </w:t>
      </w:r>
      <w:r>
        <w:rPr>
          <w:rFonts w:ascii="宋体" w:hAnsi="宋体" w:eastAsia="宋体" w:cs="宋体"/>
          <w:spacing w:val="-4"/>
          <w:sz w:val="21"/>
          <w:szCs w:val="21"/>
        </w:rPr>
        <w:t>未加密的投标文件， 招标人（电子招标投标系统）将拒收并提示。</w:t>
      </w:r>
    </w:p>
    <w:p w14:paraId="3AFEEE22">
      <w:pPr>
        <w:spacing w:before="84" w:line="219" w:lineRule="auto"/>
        <w:ind w:left="13"/>
        <w:rPr>
          <w:rFonts w:ascii="黑体" w:hAnsi="黑体" w:eastAsia="黑体" w:cs="黑体"/>
          <w:sz w:val="24"/>
          <w:szCs w:val="24"/>
        </w:rPr>
      </w:pPr>
      <w:r>
        <w:rPr>
          <w:rFonts w:ascii="Times New Roman" w:hAnsi="Times New Roman" w:eastAsia="Times New Roman" w:cs="Times New Roman"/>
          <w:sz w:val="24"/>
          <w:szCs w:val="24"/>
        </w:rPr>
        <w:t xml:space="preserve">4.2 </w:t>
      </w:r>
      <w:r>
        <w:rPr>
          <w:rFonts w:ascii="黑体" w:hAnsi="黑体" w:eastAsia="黑体" w:cs="黑体"/>
          <w:sz w:val="24"/>
          <w:szCs w:val="24"/>
        </w:rPr>
        <w:t>投标文件的递交</w:t>
      </w:r>
    </w:p>
    <w:p w14:paraId="184E1CB8">
      <w:pPr>
        <w:spacing w:before="101" w:line="220" w:lineRule="auto"/>
        <w:ind w:left="436"/>
        <w:rPr>
          <w:rFonts w:ascii="宋体" w:hAnsi="宋体" w:eastAsia="宋体" w:cs="宋体"/>
          <w:sz w:val="21"/>
          <w:szCs w:val="21"/>
        </w:rPr>
      </w:pPr>
      <w:r>
        <w:rPr>
          <w:rFonts w:ascii="Times New Roman" w:hAnsi="Times New Roman" w:eastAsia="Times New Roman" w:cs="Times New Roman"/>
          <w:sz w:val="21"/>
          <w:szCs w:val="21"/>
        </w:rPr>
        <w:t xml:space="preserve">4.2.1 </w:t>
      </w:r>
      <w:r>
        <w:rPr>
          <w:rFonts w:ascii="宋体" w:hAnsi="宋体" w:eastAsia="宋体" w:cs="宋体"/>
          <w:sz w:val="21"/>
          <w:szCs w:val="21"/>
        </w:rPr>
        <w:t>投标人递交投标文件的截止时间（投标截止时间</w:t>
      </w:r>
      <w:r>
        <w:rPr>
          <w:rFonts w:ascii="宋体" w:hAnsi="宋体" w:eastAsia="宋体" w:cs="宋体"/>
          <w:spacing w:val="-54"/>
          <w:w w:val="96"/>
          <w:sz w:val="21"/>
          <w:szCs w:val="21"/>
        </w:rPr>
        <w:t>）：</w:t>
      </w:r>
      <w:r>
        <w:rPr>
          <w:rFonts w:ascii="宋体" w:hAnsi="宋体" w:eastAsia="宋体" w:cs="宋体"/>
          <w:sz w:val="21"/>
          <w:szCs w:val="21"/>
        </w:rPr>
        <w:t>见投标人须知前附表。</w:t>
      </w:r>
    </w:p>
    <w:p w14:paraId="7D7A03D6">
      <w:pPr>
        <w:spacing w:before="110" w:line="221" w:lineRule="auto"/>
        <w:ind w:left="436"/>
        <w:rPr>
          <w:rFonts w:ascii="宋体" w:hAnsi="宋体" w:eastAsia="宋体" w:cs="宋体"/>
          <w:sz w:val="21"/>
          <w:szCs w:val="21"/>
        </w:rPr>
      </w:pPr>
      <w:r>
        <w:rPr>
          <w:rFonts w:ascii="Times New Roman" w:hAnsi="Times New Roman" w:eastAsia="Times New Roman" w:cs="Times New Roman"/>
          <w:spacing w:val="-6"/>
          <w:sz w:val="21"/>
          <w:szCs w:val="21"/>
        </w:rPr>
        <w:t>4.2.2</w:t>
      </w:r>
      <w:r>
        <w:rPr>
          <w:rFonts w:ascii="Times New Roman" w:hAnsi="Times New Roman" w:eastAsia="Times New Roman" w:cs="Times New Roman"/>
          <w:spacing w:val="35"/>
          <w:sz w:val="21"/>
          <w:szCs w:val="21"/>
        </w:rPr>
        <w:t xml:space="preserve"> </w:t>
      </w:r>
      <w:r>
        <w:rPr>
          <w:rFonts w:ascii="宋体" w:hAnsi="宋体" w:eastAsia="宋体" w:cs="宋体"/>
          <w:spacing w:val="-6"/>
          <w:sz w:val="21"/>
          <w:szCs w:val="21"/>
        </w:rPr>
        <w:t>投标人应当在投标截止时间前，</w:t>
      </w:r>
      <w:r>
        <w:rPr>
          <w:rFonts w:ascii="宋体" w:hAnsi="宋体" w:eastAsia="宋体" w:cs="宋体"/>
          <w:spacing w:val="57"/>
          <w:sz w:val="21"/>
          <w:szCs w:val="21"/>
        </w:rPr>
        <w:t xml:space="preserve"> </w:t>
      </w:r>
      <w:r>
        <w:rPr>
          <w:rFonts w:ascii="宋体" w:hAnsi="宋体" w:eastAsia="宋体" w:cs="宋体"/>
          <w:spacing w:val="-6"/>
          <w:sz w:val="21"/>
          <w:szCs w:val="21"/>
        </w:rPr>
        <w:t>通过电</w:t>
      </w:r>
      <w:r>
        <w:rPr>
          <w:rFonts w:ascii="宋体" w:hAnsi="宋体" w:eastAsia="宋体" w:cs="宋体"/>
          <w:spacing w:val="-7"/>
          <w:sz w:val="21"/>
          <w:szCs w:val="21"/>
        </w:rPr>
        <w:t>子交易系统（投标盲盒工具）</w:t>
      </w:r>
      <w:r>
        <w:rPr>
          <w:rFonts w:ascii="宋体" w:hAnsi="宋体" w:eastAsia="宋体" w:cs="宋体"/>
          <w:spacing w:val="22"/>
          <w:sz w:val="21"/>
          <w:szCs w:val="21"/>
        </w:rPr>
        <w:t xml:space="preserve"> </w:t>
      </w:r>
      <w:r>
        <w:rPr>
          <w:rFonts w:ascii="宋体" w:hAnsi="宋体" w:eastAsia="宋体" w:cs="宋体"/>
          <w:spacing w:val="-7"/>
          <w:sz w:val="21"/>
          <w:szCs w:val="21"/>
        </w:rPr>
        <w:t>选择所投标</w:t>
      </w:r>
    </w:p>
    <w:p w14:paraId="305489B4">
      <w:pPr>
        <w:spacing w:line="221" w:lineRule="auto"/>
        <w:rPr>
          <w:rFonts w:ascii="宋体" w:hAnsi="宋体" w:eastAsia="宋体" w:cs="宋体"/>
          <w:sz w:val="21"/>
          <w:szCs w:val="21"/>
        </w:rPr>
        <w:sectPr>
          <w:footerReference r:id="rId26" w:type="default"/>
          <w:pgSz w:w="11905" w:h="16839"/>
          <w:pgMar w:top="1431" w:right="1594" w:bottom="1036" w:left="1785" w:header="0" w:footer="847" w:gutter="0"/>
          <w:pgNumType w:fmt="decimal"/>
          <w:cols w:space="720" w:num="1"/>
        </w:sectPr>
      </w:pPr>
    </w:p>
    <w:p w14:paraId="4C1FFB1D">
      <w:pPr>
        <w:spacing w:before="114" w:line="285" w:lineRule="auto"/>
        <w:ind w:left="17" w:firstLine="1"/>
        <w:jc w:val="both"/>
        <w:rPr>
          <w:rFonts w:ascii="宋体" w:hAnsi="宋体" w:eastAsia="宋体" w:cs="宋体"/>
          <w:sz w:val="21"/>
          <w:szCs w:val="21"/>
        </w:rPr>
      </w:pPr>
      <w:bookmarkStart w:id="80" w:name="bookmark94"/>
      <w:bookmarkEnd w:id="80"/>
      <w:r>
        <w:rPr>
          <w:rFonts w:ascii="宋体" w:hAnsi="宋体" w:eastAsia="宋体" w:cs="宋体"/>
          <w:spacing w:val="-3"/>
          <w:sz w:val="21"/>
          <w:szCs w:val="21"/>
        </w:rPr>
        <w:t>段将加密的投标文件上传至电子招标投标系统（辽宁省工程建设项目数字化开标评标系统）。</w:t>
      </w:r>
      <w:r>
        <w:rPr>
          <w:rFonts w:ascii="宋体" w:hAnsi="宋体" w:eastAsia="宋体" w:cs="宋体"/>
          <w:sz w:val="21"/>
          <w:szCs w:val="21"/>
        </w:rPr>
        <w:t xml:space="preserve"> </w:t>
      </w:r>
      <w:r>
        <w:rPr>
          <w:rFonts w:ascii="宋体" w:hAnsi="宋体" w:eastAsia="宋体" w:cs="宋体"/>
          <w:spacing w:val="-1"/>
          <w:sz w:val="21"/>
          <w:szCs w:val="21"/>
        </w:rPr>
        <w:t>投标人应充分考虑上传文件时的不可预见因素， 投标文件未在投标截止时间前完成上传的，</w:t>
      </w:r>
      <w:r>
        <w:rPr>
          <w:rFonts w:ascii="宋体" w:hAnsi="宋体" w:eastAsia="宋体" w:cs="宋体"/>
          <w:spacing w:val="8"/>
          <w:sz w:val="21"/>
          <w:szCs w:val="21"/>
        </w:rPr>
        <w:t xml:space="preserve"> </w:t>
      </w:r>
      <w:r>
        <w:rPr>
          <w:rFonts w:ascii="宋体" w:hAnsi="宋体" w:eastAsia="宋体" w:cs="宋体"/>
          <w:sz w:val="21"/>
          <w:szCs w:val="21"/>
        </w:rPr>
        <w:t>视为逾期送达，招标人（电子交易系统）将拒收其</w:t>
      </w:r>
      <w:r>
        <w:rPr>
          <w:rFonts w:ascii="宋体" w:hAnsi="宋体" w:eastAsia="宋体" w:cs="宋体"/>
          <w:spacing w:val="-1"/>
          <w:sz w:val="21"/>
          <w:szCs w:val="21"/>
        </w:rPr>
        <w:t>投标文件。</w:t>
      </w:r>
    </w:p>
    <w:p w14:paraId="14B7F5CE">
      <w:pPr>
        <w:spacing w:before="108" w:line="269" w:lineRule="auto"/>
        <w:ind w:left="34" w:right="187" w:firstLine="408"/>
        <w:rPr>
          <w:rFonts w:ascii="宋体" w:hAnsi="宋体" w:eastAsia="宋体" w:cs="宋体"/>
          <w:sz w:val="21"/>
          <w:szCs w:val="21"/>
        </w:rPr>
      </w:pPr>
      <w:r>
        <w:rPr>
          <w:rFonts w:ascii="宋体" w:hAnsi="宋体" w:eastAsia="宋体" w:cs="宋体"/>
          <w:spacing w:val="3"/>
          <w:sz w:val="21"/>
          <w:szCs w:val="21"/>
        </w:rPr>
        <w:t>投标人完成投标文件上传成功后，电子交易系统向投标人发出电子签</w:t>
      </w:r>
      <w:r>
        <w:rPr>
          <w:rFonts w:ascii="宋体" w:hAnsi="宋体" w:eastAsia="宋体" w:cs="宋体"/>
          <w:spacing w:val="2"/>
          <w:sz w:val="21"/>
          <w:szCs w:val="21"/>
        </w:rPr>
        <w:t>收凭证，递交时</w:t>
      </w:r>
      <w:r>
        <w:rPr>
          <w:rFonts w:ascii="宋体" w:hAnsi="宋体" w:eastAsia="宋体" w:cs="宋体"/>
          <w:sz w:val="21"/>
          <w:szCs w:val="21"/>
        </w:rPr>
        <w:t xml:space="preserve"> </w:t>
      </w:r>
      <w:r>
        <w:rPr>
          <w:rFonts w:ascii="宋体" w:hAnsi="宋体" w:eastAsia="宋体" w:cs="宋体"/>
          <w:spacing w:val="-3"/>
          <w:sz w:val="21"/>
          <w:szCs w:val="21"/>
        </w:rPr>
        <w:t>间以电子签收凭证载明的时间为准。</w:t>
      </w:r>
    </w:p>
    <w:p w14:paraId="0587048F">
      <w:pPr>
        <w:spacing w:before="109" w:line="254" w:lineRule="auto"/>
        <w:ind w:left="13" w:right="1121" w:firstLine="422"/>
        <w:rPr>
          <w:rFonts w:ascii="黑体" w:hAnsi="黑体" w:eastAsia="黑体" w:cs="黑体"/>
          <w:sz w:val="24"/>
          <w:szCs w:val="24"/>
        </w:rPr>
      </w:pPr>
      <w:r>
        <w:rPr>
          <w:rFonts w:ascii="Times New Roman" w:hAnsi="Times New Roman" w:eastAsia="Times New Roman" w:cs="Times New Roman"/>
          <w:spacing w:val="-4"/>
          <w:sz w:val="21"/>
          <w:szCs w:val="21"/>
        </w:rPr>
        <w:t>4.2.3</w:t>
      </w:r>
      <w:r>
        <w:rPr>
          <w:rFonts w:ascii="Times New Roman" w:hAnsi="Times New Roman" w:eastAsia="Times New Roman" w:cs="Times New Roman"/>
          <w:spacing w:val="21"/>
          <w:sz w:val="21"/>
          <w:szCs w:val="21"/>
        </w:rPr>
        <w:t xml:space="preserve"> </w:t>
      </w:r>
      <w:r>
        <w:rPr>
          <w:rFonts w:ascii="宋体" w:hAnsi="宋体" w:eastAsia="宋体" w:cs="宋体"/>
          <w:spacing w:val="-4"/>
          <w:sz w:val="21"/>
          <w:szCs w:val="21"/>
        </w:rPr>
        <w:t>除投标人须知前附表另有规定外， 投标人</w:t>
      </w:r>
      <w:r>
        <w:rPr>
          <w:rFonts w:ascii="宋体" w:hAnsi="宋体" w:eastAsia="宋体" w:cs="宋体"/>
          <w:spacing w:val="-5"/>
          <w:sz w:val="21"/>
          <w:szCs w:val="21"/>
        </w:rPr>
        <w:t>所递交的投标文件不予退还。</w:t>
      </w:r>
      <w:r>
        <w:rPr>
          <w:rFonts w:ascii="宋体" w:hAnsi="宋体" w:eastAsia="宋体" w:cs="宋体"/>
          <w:sz w:val="21"/>
          <w:szCs w:val="21"/>
        </w:rPr>
        <w:t xml:space="preserve"> </w:t>
      </w:r>
      <w:r>
        <w:rPr>
          <w:rFonts w:ascii="Times New Roman" w:hAnsi="Times New Roman" w:eastAsia="Times New Roman" w:cs="Times New Roman"/>
          <w:sz w:val="24"/>
          <w:szCs w:val="24"/>
        </w:rPr>
        <w:t xml:space="preserve">4.3 </w:t>
      </w:r>
      <w:r>
        <w:rPr>
          <w:rFonts w:ascii="黑体" w:hAnsi="黑体" w:eastAsia="黑体" w:cs="黑体"/>
          <w:sz w:val="24"/>
          <w:szCs w:val="24"/>
        </w:rPr>
        <w:t>投标文件的修改与撤回</w:t>
      </w:r>
    </w:p>
    <w:p w14:paraId="53AC501F">
      <w:pPr>
        <w:spacing w:before="99" w:line="269" w:lineRule="auto"/>
        <w:ind w:left="17" w:right="177" w:firstLine="418"/>
        <w:rPr>
          <w:rFonts w:ascii="宋体" w:hAnsi="宋体" w:eastAsia="宋体" w:cs="宋体"/>
          <w:sz w:val="21"/>
          <w:szCs w:val="21"/>
        </w:rPr>
      </w:pPr>
      <w:r>
        <w:rPr>
          <w:rFonts w:ascii="Times New Roman" w:hAnsi="Times New Roman" w:eastAsia="Times New Roman" w:cs="Times New Roman"/>
          <w:spacing w:val="-1"/>
          <w:sz w:val="21"/>
          <w:szCs w:val="21"/>
        </w:rPr>
        <w:t xml:space="preserve">4.3.1 </w:t>
      </w:r>
      <w:r>
        <w:rPr>
          <w:rFonts w:ascii="宋体" w:hAnsi="宋体" w:eastAsia="宋体" w:cs="宋体"/>
          <w:spacing w:val="-1"/>
          <w:sz w:val="21"/>
          <w:szCs w:val="21"/>
        </w:rPr>
        <w:t>在本章第</w:t>
      </w:r>
      <w:r>
        <w:rPr>
          <w:rFonts w:ascii="宋体" w:hAnsi="宋体" w:eastAsia="宋体" w:cs="宋体"/>
          <w:spacing w:val="-44"/>
          <w:sz w:val="21"/>
          <w:szCs w:val="21"/>
        </w:rPr>
        <w:t xml:space="preserve"> </w:t>
      </w:r>
      <w:r>
        <w:rPr>
          <w:rFonts w:ascii="Times New Roman" w:hAnsi="Times New Roman" w:eastAsia="Times New Roman" w:cs="Times New Roman"/>
          <w:spacing w:val="-1"/>
          <w:sz w:val="21"/>
          <w:szCs w:val="21"/>
        </w:rPr>
        <w:t xml:space="preserve">4.2.1 </w:t>
      </w:r>
      <w:r>
        <w:rPr>
          <w:rFonts w:ascii="宋体" w:hAnsi="宋体" w:eastAsia="宋体" w:cs="宋体"/>
          <w:spacing w:val="-1"/>
          <w:sz w:val="21"/>
          <w:szCs w:val="21"/>
        </w:rPr>
        <w:t>项规定的投标截止时间前，投标人可以修改或撤回已递交的投标文</w:t>
      </w:r>
      <w:r>
        <w:rPr>
          <w:rFonts w:ascii="宋体" w:hAnsi="宋体" w:eastAsia="宋体" w:cs="宋体"/>
          <w:sz w:val="21"/>
          <w:szCs w:val="21"/>
        </w:rPr>
        <w:t xml:space="preserve"> </w:t>
      </w:r>
      <w:r>
        <w:rPr>
          <w:rFonts w:ascii="宋体" w:hAnsi="宋体" w:eastAsia="宋体" w:cs="宋体"/>
          <w:spacing w:val="-10"/>
          <w:sz w:val="21"/>
          <w:szCs w:val="21"/>
        </w:rPr>
        <w:t>件。</w:t>
      </w:r>
    </w:p>
    <w:p w14:paraId="1AB569C6">
      <w:pPr>
        <w:spacing w:before="108" w:line="221" w:lineRule="auto"/>
        <w:ind w:left="436"/>
        <w:rPr>
          <w:rFonts w:ascii="宋体" w:hAnsi="宋体" w:eastAsia="宋体" w:cs="宋体"/>
          <w:sz w:val="21"/>
          <w:szCs w:val="21"/>
        </w:rPr>
      </w:pPr>
      <w:r>
        <w:rPr>
          <w:rFonts w:ascii="Times New Roman" w:hAnsi="Times New Roman" w:eastAsia="Times New Roman" w:cs="Times New Roman"/>
          <w:spacing w:val="-5"/>
          <w:sz w:val="21"/>
          <w:szCs w:val="21"/>
        </w:rPr>
        <w:t xml:space="preserve">4.3.2 </w:t>
      </w:r>
      <w:r>
        <w:rPr>
          <w:rFonts w:ascii="宋体" w:hAnsi="宋体" w:eastAsia="宋体" w:cs="宋体"/>
          <w:spacing w:val="-5"/>
          <w:sz w:val="21"/>
          <w:szCs w:val="21"/>
        </w:rPr>
        <w:t>投标人撤回投标文件的， 在电子交易系统（投标盲盒工具） 直接进行撤回操作。</w:t>
      </w:r>
    </w:p>
    <w:p w14:paraId="0312B391">
      <w:pPr>
        <w:spacing w:before="110" w:line="284" w:lineRule="auto"/>
        <w:ind w:left="19" w:right="175" w:firstLine="417"/>
        <w:rPr>
          <w:rFonts w:ascii="宋体" w:hAnsi="宋体" w:eastAsia="宋体" w:cs="宋体"/>
          <w:sz w:val="21"/>
          <w:szCs w:val="21"/>
        </w:rPr>
      </w:pPr>
      <w:r>
        <w:rPr>
          <w:rFonts w:ascii="Times New Roman" w:hAnsi="Times New Roman" w:eastAsia="Times New Roman" w:cs="Times New Roman"/>
          <w:spacing w:val="-3"/>
          <w:sz w:val="21"/>
          <w:szCs w:val="21"/>
        </w:rPr>
        <w:t xml:space="preserve">4.3.3 </w:t>
      </w:r>
      <w:r>
        <w:rPr>
          <w:rFonts w:ascii="宋体" w:hAnsi="宋体" w:eastAsia="宋体" w:cs="宋体"/>
          <w:spacing w:val="-3"/>
          <w:sz w:val="21"/>
          <w:szCs w:val="21"/>
        </w:rPr>
        <w:t>投标人修改投标文件的， 应当先按本章第</w:t>
      </w:r>
      <w:r>
        <w:rPr>
          <w:rFonts w:ascii="宋体" w:hAnsi="宋体" w:eastAsia="宋体" w:cs="宋体"/>
          <w:spacing w:val="-53"/>
          <w:sz w:val="21"/>
          <w:szCs w:val="21"/>
        </w:rPr>
        <w:t xml:space="preserve"> </w:t>
      </w:r>
      <w:r>
        <w:rPr>
          <w:rFonts w:ascii="Times New Roman" w:hAnsi="Times New Roman" w:eastAsia="Times New Roman" w:cs="Times New Roman"/>
          <w:spacing w:val="-3"/>
          <w:sz w:val="21"/>
          <w:szCs w:val="21"/>
        </w:rPr>
        <w:t xml:space="preserve">4.3.2 </w:t>
      </w:r>
      <w:r>
        <w:rPr>
          <w:rFonts w:ascii="宋体" w:hAnsi="宋体" w:eastAsia="宋体" w:cs="宋体"/>
          <w:spacing w:val="-3"/>
          <w:sz w:val="21"/>
          <w:szCs w:val="21"/>
        </w:rPr>
        <w:t>项的规定撤回投标文件，再使用投</w:t>
      </w:r>
      <w:r>
        <w:rPr>
          <w:rFonts w:ascii="宋体" w:hAnsi="宋体" w:eastAsia="宋体" w:cs="宋体"/>
          <w:sz w:val="21"/>
          <w:szCs w:val="21"/>
        </w:rPr>
        <w:t xml:space="preserve"> 标文件制作软件制作成完整的投标文件，并按照本章第</w:t>
      </w:r>
      <w:r>
        <w:rPr>
          <w:rFonts w:ascii="宋体" w:hAnsi="宋体" w:eastAsia="宋体" w:cs="宋体"/>
          <w:spacing w:val="-61"/>
          <w:sz w:val="21"/>
          <w:szCs w:val="21"/>
        </w:rPr>
        <w:t xml:space="preserve"> </w:t>
      </w:r>
      <w:r>
        <w:rPr>
          <w:rFonts w:ascii="Times New Roman" w:hAnsi="Times New Roman" w:eastAsia="Times New Roman" w:cs="Times New Roman"/>
          <w:sz w:val="21"/>
          <w:szCs w:val="21"/>
        </w:rPr>
        <w:t>3</w:t>
      </w:r>
      <w:r>
        <w:rPr>
          <w:rFonts w:ascii="Times New Roman" w:hAnsi="Times New Roman" w:eastAsia="Times New Roman" w:cs="Times New Roman"/>
          <w:spacing w:val="-14"/>
          <w:sz w:val="21"/>
          <w:szCs w:val="21"/>
        </w:rPr>
        <w:t xml:space="preserve"> </w:t>
      </w:r>
      <w:r>
        <w:rPr>
          <w:rFonts w:ascii="宋体" w:hAnsi="宋体" w:eastAsia="宋体" w:cs="宋体"/>
          <w:sz w:val="21"/>
          <w:szCs w:val="21"/>
        </w:rPr>
        <w:t>条、第</w:t>
      </w:r>
      <w:r>
        <w:rPr>
          <w:rFonts w:ascii="Times New Roman" w:hAnsi="Times New Roman" w:eastAsia="Times New Roman" w:cs="Times New Roman"/>
          <w:sz w:val="21"/>
          <w:szCs w:val="21"/>
        </w:rPr>
        <w:t>4</w:t>
      </w:r>
      <w:r>
        <w:rPr>
          <w:rFonts w:ascii="Times New Roman" w:hAnsi="Times New Roman" w:eastAsia="Times New Roman" w:cs="Times New Roman"/>
          <w:spacing w:val="-14"/>
          <w:sz w:val="21"/>
          <w:szCs w:val="21"/>
        </w:rPr>
        <w:t xml:space="preserve"> </w:t>
      </w:r>
      <w:r>
        <w:rPr>
          <w:rFonts w:ascii="宋体" w:hAnsi="宋体" w:eastAsia="宋体" w:cs="宋体"/>
          <w:sz w:val="21"/>
          <w:szCs w:val="21"/>
        </w:rPr>
        <w:t xml:space="preserve">条规定进行编制和递交， </w:t>
      </w:r>
      <w:r>
        <w:rPr>
          <w:rFonts w:ascii="宋体" w:hAnsi="宋体" w:eastAsia="宋体" w:cs="宋体"/>
          <w:spacing w:val="-1"/>
          <w:sz w:val="21"/>
          <w:szCs w:val="21"/>
        </w:rPr>
        <w:t>递交时间以投标截止时间前最后完成上传的文件为准。</w:t>
      </w:r>
    </w:p>
    <w:p w14:paraId="04CBC2EB">
      <w:pPr>
        <w:spacing w:before="154" w:line="227" w:lineRule="auto"/>
        <w:ind w:left="23"/>
        <w:rPr>
          <w:rFonts w:ascii="黑体" w:hAnsi="黑体" w:eastAsia="黑体" w:cs="黑体"/>
          <w:sz w:val="27"/>
          <w:szCs w:val="27"/>
        </w:rPr>
      </w:pPr>
      <w:r>
        <w:rPr>
          <w:rFonts w:ascii="Times New Roman" w:hAnsi="Times New Roman" w:eastAsia="Times New Roman" w:cs="Times New Roman"/>
          <w:spacing w:val="-2"/>
          <w:sz w:val="27"/>
          <w:szCs w:val="27"/>
        </w:rPr>
        <w:t>5.</w:t>
      </w:r>
      <w:r>
        <w:rPr>
          <w:rFonts w:ascii="Times New Roman" w:hAnsi="Times New Roman" w:eastAsia="Times New Roman" w:cs="Times New Roman"/>
          <w:spacing w:val="24"/>
          <w:sz w:val="27"/>
          <w:szCs w:val="27"/>
        </w:rPr>
        <w:t xml:space="preserve"> </w:t>
      </w:r>
      <w:r>
        <w:rPr>
          <w:rFonts w:ascii="黑体" w:hAnsi="黑体" w:eastAsia="黑体" w:cs="黑体"/>
          <w:spacing w:val="-2"/>
          <w:sz w:val="27"/>
          <w:szCs w:val="27"/>
        </w:rPr>
        <w:t>开标</w:t>
      </w:r>
    </w:p>
    <w:p w14:paraId="007F3A3B">
      <w:pPr>
        <w:spacing w:before="61" w:line="220" w:lineRule="auto"/>
        <w:ind w:left="21"/>
        <w:rPr>
          <w:rFonts w:ascii="黑体" w:hAnsi="黑体" w:eastAsia="黑体" w:cs="黑体"/>
          <w:sz w:val="24"/>
          <w:szCs w:val="24"/>
        </w:rPr>
      </w:pPr>
      <w:r>
        <w:rPr>
          <w:rFonts w:ascii="Times New Roman" w:hAnsi="Times New Roman" w:eastAsia="Times New Roman" w:cs="Times New Roman"/>
          <w:spacing w:val="-3"/>
          <w:sz w:val="24"/>
          <w:szCs w:val="24"/>
        </w:rPr>
        <w:t>5.1</w:t>
      </w:r>
      <w:r>
        <w:rPr>
          <w:rFonts w:ascii="Times New Roman" w:hAnsi="Times New Roman" w:eastAsia="Times New Roman" w:cs="Times New Roman"/>
          <w:spacing w:val="24"/>
          <w:w w:val="101"/>
          <w:sz w:val="24"/>
          <w:szCs w:val="24"/>
        </w:rPr>
        <w:t xml:space="preserve"> </w:t>
      </w:r>
      <w:r>
        <w:rPr>
          <w:rFonts w:ascii="黑体" w:hAnsi="黑体" w:eastAsia="黑体" w:cs="黑体"/>
          <w:spacing w:val="-3"/>
          <w:sz w:val="24"/>
          <w:szCs w:val="24"/>
        </w:rPr>
        <w:t>开标时间和地点</w:t>
      </w:r>
    </w:p>
    <w:p w14:paraId="28712016">
      <w:pPr>
        <w:spacing w:before="99" w:line="284" w:lineRule="auto"/>
        <w:ind w:left="19" w:right="179" w:firstLine="423"/>
        <w:rPr>
          <w:rFonts w:ascii="宋体" w:hAnsi="宋体" w:eastAsia="宋体" w:cs="宋体"/>
          <w:sz w:val="21"/>
          <w:szCs w:val="21"/>
        </w:rPr>
      </w:pPr>
      <w:r>
        <w:rPr>
          <w:rFonts w:ascii="Times New Roman" w:hAnsi="Times New Roman" w:eastAsia="Times New Roman" w:cs="Times New Roman"/>
          <w:spacing w:val="-2"/>
          <w:sz w:val="21"/>
          <w:szCs w:val="21"/>
        </w:rPr>
        <w:t>5.1.1</w:t>
      </w:r>
      <w:r>
        <w:rPr>
          <w:rFonts w:ascii="Times New Roman" w:hAnsi="Times New Roman" w:eastAsia="Times New Roman" w:cs="Times New Roman"/>
          <w:spacing w:val="47"/>
          <w:sz w:val="21"/>
          <w:szCs w:val="21"/>
        </w:rPr>
        <w:t xml:space="preserve"> </w:t>
      </w:r>
      <w:r>
        <w:rPr>
          <w:rFonts w:ascii="宋体" w:hAnsi="宋体" w:eastAsia="宋体" w:cs="宋体"/>
          <w:spacing w:val="-2"/>
          <w:sz w:val="21"/>
          <w:szCs w:val="21"/>
        </w:rPr>
        <w:t xml:space="preserve">招标人在本章第 </w:t>
      </w:r>
      <w:r>
        <w:rPr>
          <w:rFonts w:ascii="Times New Roman" w:hAnsi="Times New Roman" w:eastAsia="Times New Roman" w:cs="Times New Roman"/>
          <w:spacing w:val="-2"/>
          <w:sz w:val="21"/>
          <w:szCs w:val="21"/>
        </w:rPr>
        <w:t xml:space="preserve">4.2.1  </w:t>
      </w:r>
      <w:r>
        <w:rPr>
          <w:rFonts w:ascii="宋体" w:hAnsi="宋体" w:eastAsia="宋体" w:cs="宋体"/>
          <w:spacing w:val="-2"/>
          <w:sz w:val="21"/>
          <w:szCs w:val="21"/>
        </w:rPr>
        <w:t>项规定的投标截止时间（开标时间） 在电子招标投标系统</w:t>
      </w:r>
      <w:r>
        <w:rPr>
          <w:rFonts w:ascii="宋体" w:hAnsi="宋体" w:eastAsia="宋体" w:cs="宋体"/>
          <w:sz w:val="21"/>
          <w:szCs w:val="21"/>
        </w:rPr>
        <w:t xml:space="preserve"> </w:t>
      </w:r>
      <w:r>
        <w:rPr>
          <w:rFonts w:ascii="宋体" w:hAnsi="宋体" w:eastAsia="宋体" w:cs="宋体"/>
          <w:spacing w:val="-2"/>
          <w:sz w:val="21"/>
          <w:szCs w:val="21"/>
        </w:rPr>
        <w:t>（辽宁省工程建设项目数字化开标评标系统）</w:t>
      </w:r>
      <w:r>
        <w:rPr>
          <w:rFonts w:ascii="宋体" w:hAnsi="宋体" w:eastAsia="宋体" w:cs="宋体"/>
          <w:spacing w:val="-15"/>
          <w:sz w:val="21"/>
          <w:szCs w:val="21"/>
        </w:rPr>
        <w:t xml:space="preserve"> </w:t>
      </w:r>
      <w:r>
        <w:rPr>
          <w:rFonts w:ascii="宋体" w:hAnsi="宋体" w:eastAsia="宋体" w:cs="宋体"/>
          <w:spacing w:val="-2"/>
          <w:sz w:val="21"/>
          <w:szCs w:val="21"/>
        </w:rPr>
        <w:t>上公开进行开标， 所有投标人均应当参加开</w:t>
      </w:r>
      <w:r>
        <w:rPr>
          <w:rFonts w:ascii="宋体" w:hAnsi="宋体" w:eastAsia="宋体" w:cs="宋体"/>
          <w:sz w:val="21"/>
          <w:szCs w:val="21"/>
        </w:rPr>
        <w:t xml:space="preserve"> </w:t>
      </w:r>
      <w:r>
        <w:rPr>
          <w:rFonts w:ascii="宋体" w:hAnsi="宋体" w:eastAsia="宋体" w:cs="宋体"/>
          <w:spacing w:val="-1"/>
          <w:sz w:val="21"/>
          <w:szCs w:val="21"/>
        </w:rPr>
        <w:t>标。招标人按照投标人须知前附表规定的方式组织开标。</w:t>
      </w:r>
    </w:p>
    <w:p w14:paraId="762619A9">
      <w:pPr>
        <w:spacing w:before="110" w:line="285" w:lineRule="auto"/>
        <w:ind w:left="19" w:right="180" w:firstLine="423"/>
        <w:rPr>
          <w:rFonts w:ascii="宋体" w:hAnsi="宋体" w:eastAsia="宋体" w:cs="宋体"/>
          <w:sz w:val="21"/>
          <w:szCs w:val="21"/>
        </w:rPr>
      </w:pPr>
      <w:r>
        <w:rPr>
          <w:rFonts w:ascii="Times New Roman" w:hAnsi="Times New Roman" w:eastAsia="Times New Roman" w:cs="Times New Roman"/>
          <w:spacing w:val="-2"/>
          <w:sz w:val="21"/>
          <w:szCs w:val="21"/>
        </w:rPr>
        <w:t xml:space="preserve">5.1.2 </w:t>
      </w:r>
      <w:r>
        <w:rPr>
          <w:rFonts w:ascii="宋体" w:hAnsi="宋体" w:eastAsia="宋体" w:cs="宋体"/>
          <w:spacing w:val="-2"/>
          <w:sz w:val="21"/>
          <w:szCs w:val="21"/>
        </w:rPr>
        <w:t>招标人在投标人须知前附表规定的地点组织开标，并在投标截止</w:t>
      </w:r>
      <w:r>
        <w:rPr>
          <w:rFonts w:ascii="宋体" w:hAnsi="宋体" w:eastAsia="宋体" w:cs="宋体"/>
          <w:spacing w:val="-3"/>
          <w:sz w:val="21"/>
          <w:szCs w:val="21"/>
        </w:rPr>
        <w:t>时间</w:t>
      </w:r>
      <w:r>
        <w:rPr>
          <w:rFonts w:ascii="宋体" w:hAnsi="宋体" w:eastAsia="宋体" w:cs="宋体"/>
          <w:spacing w:val="-46"/>
          <w:sz w:val="21"/>
          <w:szCs w:val="21"/>
        </w:rPr>
        <w:t xml:space="preserve"> </w:t>
      </w:r>
      <w:r>
        <w:rPr>
          <w:rFonts w:ascii="Times New Roman" w:hAnsi="Times New Roman" w:eastAsia="Times New Roman" w:cs="Times New Roman"/>
          <w:spacing w:val="-3"/>
          <w:sz w:val="21"/>
          <w:szCs w:val="21"/>
        </w:rPr>
        <w:t xml:space="preserve">30 </w:t>
      </w:r>
      <w:r>
        <w:rPr>
          <w:rFonts w:ascii="宋体" w:hAnsi="宋体" w:eastAsia="宋体" w:cs="宋体"/>
          <w:spacing w:val="-3"/>
          <w:sz w:val="21"/>
          <w:szCs w:val="21"/>
        </w:rPr>
        <w:t>分钟前，</w:t>
      </w:r>
      <w:r>
        <w:rPr>
          <w:rFonts w:ascii="宋体" w:hAnsi="宋体" w:eastAsia="宋体" w:cs="宋体"/>
          <w:sz w:val="21"/>
          <w:szCs w:val="21"/>
        </w:rPr>
        <w:t xml:space="preserve"> </w:t>
      </w:r>
      <w:r>
        <w:rPr>
          <w:rFonts w:ascii="宋体" w:hAnsi="宋体" w:eastAsia="宋体" w:cs="宋体"/>
          <w:spacing w:val="1"/>
          <w:sz w:val="21"/>
          <w:szCs w:val="21"/>
        </w:rPr>
        <w:t>登录并进入电子招标投标系统（辽宁省工程建设项目数字化开标评标系统）</w:t>
      </w:r>
      <w:r>
        <w:rPr>
          <w:rFonts w:ascii="宋体" w:hAnsi="宋体" w:eastAsia="宋体" w:cs="宋体"/>
          <w:spacing w:val="-28"/>
          <w:sz w:val="21"/>
          <w:szCs w:val="21"/>
        </w:rPr>
        <w:t xml:space="preserve"> </w:t>
      </w:r>
      <w:r>
        <w:rPr>
          <w:rFonts w:ascii="宋体" w:hAnsi="宋体" w:eastAsia="宋体" w:cs="宋体"/>
          <w:spacing w:val="1"/>
          <w:sz w:val="21"/>
          <w:szCs w:val="21"/>
        </w:rPr>
        <w:t>选择相应标段</w:t>
      </w:r>
      <w:r>
        <w:rPr>
          <w:rFonts w:ascii="宋体" w:hAnsi="宋体" w:eastAsia="宋体" w:cs="宋体"/>
          <w:sz w:val="21"/>
          <w:szCs w:val="21"/>
        </w:rPr>
        <w:t xml:space="preserve"> </w:t>
      </w:r>
      <w:r>
        <w:rPr>
          <w:rFonts w:ascii="宋体" w:hAnsi="宋体" w:eastAsia="宋体" w:cs="宋体"/>
          <w:spacing w:val="-3"/>
          <w:sz w:val="21"/>
          <w:szCs w:val="21"/>
        </w:rPr>
        <w:t>作开标的准备工作。</w:t>
      </w:r>
    </w:p>
    <w:p w14:paraId="4824D3A8">
      <w:pPr>
        <w:spacing w:before="106" w:line="293" w:lineRule="auto"/>
        <w:ind w:left="19" w:right="175" w:firstLine="423"/>
        <w:rPr>
          <w:rFonts w:ascii="宋体" w:hAnsi="宋体" w:eastAsia="宋体" w:cs="宋体"/>
          <w:sz w:val="21"/>
          <w:szCs w:val="21"/>
        </w:rPr>
      </w:pPr>
      <w:r>
        <w:rPr>
          <w:rFonts w:ascii="Times New Roman" w:hAnsi="Times New Roman" w:eastAsia="Times New Roman" w:cs="Times New Roman"/>
          <w:spacing w:val="-1"/>
          <w:sz w:val="21"/>
          <w:szCs w:val="21"/>
        </w:rPr>
        <w:t>5.1.3</w:t>
      </w:r>
      <w:r>
        <w:rPr>
          <w:rFonts w:ascii="Times New Roman" w:hAnsi="Times New Roman" w:eastAsia="Times New Roman" w:cs="Times New Roman"/>
          <w:spacing w:val="41"/>
          <w:w w:val="101"/>
          <w:sz w:val="21"/>
          <w:szCs w:val="21"/>
        </w:rPr>
        <w:t xml:space="preserve"> </w:t>
      </w:r>
      <w:r>
        <w:rPr>
          <w:rFonts w:ascii="宋体" w:hAnsi="宋体" w:eastAsia="宋体" w:cs="宋体"/>
          <w:spacing w:val="-1"/>
          <w:sz w:val="21"/>
          <w:szCs w:val="21"/>
        </w:rPr>
        <w:t>投标人应当在能够保证设施设备可靠、互联网畅通的任意地点，按照本章第</w:t>
      </w:r>
      <w:r>
        <w:rPr>
          <w:rFonts w:ascii="宋体" w:hAnsi="宋体" w:eastAsia="宋体" w:cs="宋体"/>
          <w:spacing w:val="-39"/>
          <w:sz w:val="21"/>
          <w:szCs w:val="21"/>
        </w:rPr>
        <w:t xml:space="preserve"> </w:t>
      </w:r>
      <w:r>
        <w:rPr>
          <w:rFonts w:ascii="Times New Roman" w:hAnsi="Times New Roman" w:eastAsia="Times New Roman" w:cs="Times New Roman"/>
          <w:spacing w:val="-1"/>
          <w:sz w:val="21"/>
          <w:szCs w:val="21"/>
        </w:rPr>
        <w:t>5.1.1</w:t>
      </w:r>
      <w:r>
        <w:rPr>
          <w:rFonts w:ascii="Times New Roman" w:hAnsi="Times New Roman" w:eastAsia="Times New Roman" w:cs="Times New Roman"/>
          <w:sz w:val="21"/>
          <w:szCs w:val="21"/>
        </w:rPr>
        <w:t xml:space="preserve"> </w:t>
      </w:r>
      <w:r>
        <w:rPr>
          <w:rFonts w:ascii="宋体" w:hAnsi="宋体" w:eastAsia="宋体" w:cs="宋体"/>
          <w:sz w:val="21"/>
          <w:szCs w:val="21"/>
        </w:rPr>
        <w:t>项规定的组织方式，通过互联网远程在线或现场集中参加开标， 使用加密其投标文件的数</w:t>
      </w:r>
      <w:r>
        <w:rPr>
          <w:rFonts w:ascii="宋体" w:hAnsi="宋体" w:eastAsia="宋体" w:cs="宋体"/>
          <w:spacing w:val="10"/>
          <w:sz w:val="21"/>
          <w:szCs w:val="21"/>
        </w:rPr>
        <w:t xml:space="preserve"> </w:t>
      </w:r>
      <w:r>
        <w:rPr>
          <w:rFonts w:ascii="宋体" w:hAnsi="宋体" w:eastAsia="宋体" w:cs="宋体"/>
          <w:spacing w:val="-2"/>
          <w:sz w:val="21"/>
          <w:szCs w:val="21"/>
        </w:rPr>
        <w:t>字证书（</w:t>
      </w:r>
      <w:r>
        <w:rPr>
          <w:rFonts w:ascii="Times New Roman" w:hAnsi="Times New Roman" w:eastAsia="Times New Roman" w:cs="Times New Roman"/>
          <w:spacing w:val="-2"/>
          <w:sz w:val="21"/>
          <w:szCs w:val="21"/>
        </w:rPr>
        <w:t>CA</w:t>
      </w:r>
      <w:r>
        <w:rPr>
          <w:rFonts w:ascii="宋体" w:hAnsi="宋体" w:eastAsia="宋体" w:cs="宋体"/>
          <w:spacing w:val="-2"/>
          <w:sz w:val="21"/>
          <w:szCs w:val="21"/>
        </w:rPr>
        <w:t>）登录电子招标投标系统（辽宁省工程建设项目数字化开标评标系统） 选择所</w:t>
      </w:r>
      <w:r>
        <w:rPr>
          <w:rFonts w:ascii="宋体" w:hAnsi="宋体" w:eastAsia="宋体" w:cs="宋体"/>
          <w:spacing w:val="12"/>
          <w:sz w:val="21"/>
          <w:szCs w:val="21"/>
        </w:rPr>
        <w:t xml:space="preserve"> </w:t>
      </w:r>
      <w:r>
        <w:rPr>
          <w:rFonts w:ascii="宋体" w:hAnsi="宋体" w:eastAsia="宋体" w:cs="宋体"/>
          <w:spacing w:val="-1"/>
          <w:sz w:val="21"/>
          <w:szCs w:val="21"/>
        </w:rPr>
        <w:t>投标段进行签到，并实时关注招标人的操作情况。</w:t>
      </w:r>
    </w:p>
    <w:p w14:paraId="791B3A53">
      <w:pPr>
        <w:spacing w:before="84" w:line="219" w:lineRule="auto"/>
        <w:ind w:left="21"/>
        <w:rPr>
          <w:rFonts w:ascii="黑体" w:hAnsi="黑体" w:eastAsia="黑体" w:cs="黑体"/>
          <w:sz w:val="24"/>
          <w:szCs w:val="24"/>
        </w:rPr>
      </w:pPr>
      <w:r>
        <w:rPr>
          <w:rFonts w:ascii="Times New Roman" w:hAnsi="Times New Roman" w:eastAsia="Times New Roman" w:cs="Times New Roman"/>
          <w:spacing w:val="-3"/>
          <w:sz w:val="24"/>
          <w:szCs w:val="24"/>
        </w:rPr>
        <w:t>5.2</w:t>
      </w:r>
      <w:r>
        <w:rPr>
          <w:rFonts w:ascii="Times New Roman" w:hAnsi="Times New Roman" w:eastAsia="Times New Roman" w:cs="Times New Roman"/>
          <w:spacing w:val="17"/>
          <w:sz w:val="24"/>
          <w:szCs w:val="24"/>
        </w:rPr>
        <w:t xml:space="preserve"> </w:t>
      </w:r>
      <w:r>
        <w:rPr>
          <w:rFonts w:ascii="黑体" w:hAnsi="黑体" w:eastAsia="黑体" w:cs="黑体"/>
          <w:spacing w:val="-3"/>
          <w:sz w:val="24"/>
          <w:szCs w:val="24"/>
        </w:rPr>
        <w:t>开标程序</w:t>
      </w:r>
    </w:p>
    <w:p w14:paraId="58599476">
      <w:pPr>
        <w:spacing w:before="101" w:line="269" w:lineRule="auto"/>
        <w:ind w:left="23" w:right="180" w:firstLine="419"/>
        <w:rPr>
          <w:rFonts w:ascii="宋体" w:hAnsi="宋体" w:eastAsia="宋体" w:cs="宋体"/>
          <w:sz w:val="21"/>
          <w:szCs w:val="21"/>
        </w:rPr>
      </w:pPr>
      <w:r>
        <w:rPr>
          <w:rFonts w:ascii="Times New Roman" w:hAnsi="Times New Roman" w:eastAsia="Times New Roman" w:cs="Times New Roman"/>
          <w:spacing w:val="1"/>
          <w:sz w:val="21"/>
          <w:szCs w:val="21"/>
        </w:rPr>
        <w:t>5.2.1</w:t>
      </w:r>
      <w:r>
        <w:rPr>
          <w:rFonts w:ascii="Times New Roman" w:hAnsi="Times New Roman" w:eastAsia="Times New Roman" w:cs="Times New Roman"/>
          <w:spacing w:val="34"/>
          <w:sz w:val="21"/>
          <w:szCs w:val="21"/>
        </w:rPr>
        <w:t xml:space="preserve"> </w:t>
      </w:r>
      <w:r>
        <w:rPr>
          <w:rFonts w:ascii="宋体" w:hAnsi="宋体" w:eastAsia="宋体" w:cs="宋体"/>
          <w:spacing w:val="1"/>
          <w:sz w:val="21"/>
          <w:szCs w:val="21"/>
        </w:rPr>
        <w:t>主持人按下列程序在电子招标投标系统（辽宁</w:t>
      </w:r>
      <w:r>
        <w:rPr>
          <w:rFonts w:ascii="宋体" w:hAnsi="宋体" w:eastAsia="宋体" w:cs="宋体"/>
          <w:sz w:val="21"/>
          <w:szCs w:val="21"/>
        </w:rPr>
        <w:t xml:space="preserve">省工程建设项目数字化开标评标系 </w:t>
      </w:r>
      <w:r>
        <w:rPr>
          <w:rFonts w:ascii="宋体" w:hAnsi="宋体" w:eastAsia="宋体" w:cs="宋体"/>
          <w:spacing w:val="-14"/>
          <w:sz w:val="21"/>
          <w:szCs w:val="21"/>
        </w:rPr>
        <w:t>统）</w:t>
      </w:r>
      <w:r>
        <w:rPr>
          <w:rFonts w:ascii="宋体" w:hAnsi="宋体" w:eastAsia="宋体" w:cs="宋体"/>
          <w:spacing w:val="-41"/>
          <w:sz w:val="21"/>
          <w:szCs w:val="21"/>
        </w:rPr>
        <w:t xml:space="preserve"> </w:t>
      </w:r>
      <w:r>
        <w:rPr>
          <w:rFonts w:ascii="宋体" w:hAnsi="宋体" w:eastAsia="宋体" w:cs="宋体"/>
          <w:spacing w:val="-14"/>
          <w:sz w:val="21"/>
          <w:szCs w:val="21"/>
        </w:rPr>
        <w:t>进行开标：</w:t>
      </w:r>
    </w:p>
    <w:p w14:paraId="3BB1DE9D">
      <w:pPr>
        <w:spacing w:before="108" w:line="220" w:lineRule="auto"/>
        <w:ind w:left="447"/>
        <w:rPr>
          <w:rFonts w:ascii="宋体" w:hAnsi="宋体" w:eastAsia="宋体" w:cs="宋体"/>
          <w:sz w:val="21"/>
          <w:szCs w:val="21"/>
        </w:rPr>
      </w:pPr>
      <w:r>
        <w:rPr>
          <w:rFonts w:ascii="宋体" w:hAnsi="宋体" w:eastAsia="宋体" w:cs="宋体"/>
          <w:spacing w:val="-5"/>
          <w:sz w:val="21"/>
          <w:szCs w:val="21"/>
        </w:rPr>
        <w:t>（</w:t>
      </w:r>
      <w:r>
        <w:rPr>
          <w:rFonts w:ascii="Times New Roman" w:hAnsi="Times New Roman" w:eastAsia="Times New Roman" w:cs="Times New Roman"/>
          <w:spacing w:val="-5"/>
          <w:sz w:val="21"/>
          <w:szCs w:val="21"/>
        </w:rPr>
        <w:t>1</w:t>
      </w:r>
      <w:r>
        <w:rPr>
          <w:rFonts w:ascii="宋体" w:hAnsi="宋体" w:eastAsia="宋体" w:cs="宋体"/>
          <w:spacing w:val="-5"/>
          <w:sz w:val="21"/>
          <w:szCs w:val="21"/>
        </w:rPr>
        <w:t>）宣布开标纪律；</w:t>
      </w:r>
    </w:p>
    <w:p w14:paraId="78004A07">
      <w:pPr>
        <w:spacing w:before="110" w:line="360" w:lineRule="exact"/>
        <w:ind w:left="447"/>
        <w:rPr>
          <w:rFonts w:ascii="宋体" w:hAnsi="宋体" w:eastAsia="宋体" w:cs="宋体"/>
          <w:sz w:val="21"/>
          <w:szCs w:val="21"/>
        </w:rPr>
      </w:pPr>
      <w:r>
        <w:rPr>
          <w:rFonts w:ascii="宋体" w:hAnsi="宋体" w:eastAsia="宋体" w:cs="宋体"/>
          <w:spacing w:val="-2"/>
          <w:position w:val="11"/>
          <w:sz w:val="21"/>
          <w:szCs w:val="21"/>
        </w:rPr>
        <w:t>（</w:t>
      </w:r>
      <w:r>
        <w:rPr>
          <w:rFonts w:ascii="Times New Roman" w:hAnsi="Times New Roman" w:eastAsia="Times New Roman" w:cs="Times New Roman"/>
          <w:spacing w:val="-2"/>
          <w:position w:val="11"/>
          <w:sz w:val="21"/>
          <w:szCs w:val="21"/>
        </w:rPr>
        <w:t>2</w:t>
      </w:r>
      <w:r>
        <w:rPr>
          <w:rFonts w:ascii="宋体" w:hAnsi="宋体" w:eastAsia="宋体" w:cs="宋体"/>
          <w:spacing w:val="-2"/>
          <w:position w:val="11"/>
          <w:sz w:val="21"/>
          <w:szCs w:val="21"/>
        </w:rPr>
        <w:t>）公布主持人、招标人代表、监标人等有关人员姓名；</w:t>
      </w:r>
    </w:p>
    <w:p w14:paraId="1A69D880">
      <w:pPr>
        <w:spacing w:before="1" w:line="219" w:lineRule="auto"/>
        <w:ind w:left="447"/>
        <w:rPr>
          <w:rFonts w:ascii="宋体" w:hAnsi="宋体" w:eastAsia="宋体" w:cs="宋体"/>
          <w:sz w:val="21"/>
          <w:szCs w:val="21"/>
        </w:rPr>
      </w:pPr>
      <w:r>
        <w:rPr>
          <w:rFonts w:ascii="宋体" w:hAnsi="宋体" w:eastAsia="宋体" w:cs="宋体"/>
          <w:spacing w:val="-2"/>
          <w:sz w:val="21"/>
          <w:szCs w:val="21"/>
        </w:rPr>
        <w:t>（</w:t>
      </w:r>
      <w:r>
        <w:rPr>
          <w:rFonts w:ascii="Times New Roman" w:hAnsi="Times New Roman" w:eastAsia="Times New Roman" w:cs="Times New Roman"/>
          <w:spacing w:val="-2"/>
          <w:sz w:val="21"/>
          <w:szCs w:val="21"/>
        </w:rPr>
        <w:t>3</w:t>
      </w:r>
      <w:r>
        <w:rPr>
          <w:rFonts w:ascii="宋体" w:hAnsi="宋体" w:eastAsia="宋体" w:cs="宋体"/>
          <w:spacing w:val="-2"/>
          <w:sz w:val="21"/>
          <w:szCs w:val="21"/>
        </w:rPr>
        <w:t>）公布在投标截止时间前投标文件的递交情况；</w:t>
      </w:r>
    </w:p>
    <w:p w14:paraId="001F8139">
      <w:pPr>
        <w:spacing w:before="109" w:line="285" w:lineRule="auto"/>
        <w:ind w:left="447" w:right="1399"/>
        <w:jc w:val="both"/>
        <w:rPr>
          <w:rFonts w:ascii="宋体" w:hAnsi="宋体" w:eastAsia="宋体" w:cs="宋体"/>
          <w:sz w:val="21"/>
          <w:szCs w:val="21"/>
        </w:rPr>
      </w:pPr>
      <w:r>
        <w:rPr>
          <w:rFonts w:ascii="宋体" w:hAnsi="宋体" w:eastAsia="宋体" w:cs="宋体"/>
          <w:spacing w:val="-3"/>
          <w:sz w:val="21"/>
          <w:szCs w:val="21"/>
        </w:rPr>
        <w:t>（</w:t>
      </w:r>
      <w:r>
        <w:rPr>
          <w:rFonts w:ascii="Times New Roman" w:hAnsi="Times New Roman" w:eastAsia="Times New Roman" w:cs="Times New Roman"/>
          <w:spacing w:val="-3"/>
          <w:sz w:val="21"/>
          <w:szCs w:val="21"/>
        </w:rPr>
        <w:t>4</w:t>
      </w:r>
      <w:r>
        <w:rPr>
          <w:rFonts w:ascii="宋体" w:hAnsi="宋体" w:eastAsia="宋体" w:cs="宋体"/>
          <w:spacing w:val="-3"/>
          <w:sz w:val="21"/>
          <w:szCs w:val="21"/>
        </w:rPr>
        <w:t>）公布投标保证金递交情况（对担保保函、保</w:t>
      </w:r>
      <w:r>
        <w:rPr>
          <w:rFonts w:ascii="宋体" w:hAnsi="宋体" w:eastAsia="宋体" w:cs="宋体"/>
          <w:spacing w:val="-4"/>
          <w:sz w:val="21"/>
          <w:szCs w:val="21"/>
        </w:rPr>
        <w:t>证保险进行实时验真</w:t>
      </w:r>
      <w:r>
        <w:rPr>
          <w:rFonts w:ascii="宋体" w:hAnsi="宋体" w:eastAsia="宋体" w:cs="宋体"/>
          <w:spacing w:val="-33"/>
          <w:sz w:val="21"/>
          <w:szCs w:val="21"/>
        </w:rPr>
        <w:t>）；</w:t>
      </w:r>
      <w:r>
        <w:rPr>
          <w:rFonts w:ascii="宋体" w:hAnsi="宋体" w:eastAsia="宋体" w:cs="宋体"/>
          <w:spacing w:val="1"/>
          <w:sz w:val="21"/>
          <w:szCs w:val="21"/>
        </w:rPr>
        <w:t xml:space="preserve"> </w:t>
      </w:r>
      <w:r>
        <w:rPr>
          <w:rFonts w:ascii="宋体" w:hAnsi="宋体" w:eastAsia="宋体" w:cs="宋体"/>
          <w:sz w:val="21"/>
          <w:szCs w:val="21"/>
        </w:rPr>
        <w:t>（</w:t>
      </w:r>
      <w:r>
        <w:rPr>
          <w:rFonts w:ascii="Times New Roman" w:hAnsi="Times New Roman" w:eastAsia="Times New Roman" w:cs="Times New Roman"/>
          <w:sz w:val="21"/>
          <w:szCs w:val="21"/>
        </w:rPr>
        <w:t>5</w:t>
      </w:r>
      <w:r>
        <w:rPr>
          <w:rFonts w:ascii="宋体" w:hAnsi="宋体" w:eastAsia="宋体" w:cs="宋体"/>
          <w:sz w:val="21"/>
          <w:szCs w:val="21"/>
        </w:rPr>
        <w:t>）投标人根据提示在投标人须知前附表规定</w:t>
      </w:r>
      <w:r>
        <w:rPr>
          <w:rFonts w:ascii="宋体" w:hAnsi="宋体" w:eastAsia="宋体" w:cs="宋体"/>
          <w:spacing w:val="-1"/>
          <w:sz w:val="21"/>
          <w:szCs w:val="21"/>
        </w:rPr>
        <w:t>的时间内解密投标文件；</w:t>
      </w:r>
      <w:r>
        <w:rPr>
          <w:rFonts w:ascii="宋体" w:hAnsi="宋体" w:eastAsia="宋体" w:cs="宋体"/>
          <w:sz w:val="21"/>
          <w:szCs w:val="21"/>
        </w:rPr>
        <w:t xml:space="preserve"> </w:t>
      </w:r>
      <w:r>
        <w:rPr>
          <w:rFonts w:ascii="宋体" w:hAnsi="宋体" w:eastAsia="宋体" w:cs="宋体"/>
          <w:spacing w:val="-1"/>
          <w:sz w:val="21"/>
          <w:szCs w:val="21"/>
        </w:rPr>
        <w:t>（</w:t>
      </w:r>
      <w:r>
        <w:rPr>
          <w:rFonts w:ascii="Times New Roman" w:hAnsi="Times New Roman" w:eastAsia="Times New Roman" w:cs="Times New Roman"/>
          <w:spacing w:val="-1"/>
          <w:sz w:val="21"/>
          <w:szCs w:val="21"/>
        </w:rPr>
        <w:t>6</w:t>
      </w:r>
      <w:r>
        <w:rPr>
          <w:rFonts w:ascii="宋体" w:hAnsi="宋体" w:eastAsia="宋体" w:cs="宋体"/>
          <w:spacing w:val="-1"/>
          <w:sz w:val="21"/>
          <w:szCs w:val="21"/>
        </w:rPr>
        <w:t>）读取已解密的投标文件的内容；</w:t>
      </w:r>
    </w:p>
    <w:p w14:paraId="5E60E762">
      <w:pPr>
        <w:spacing w:before="108" w:line="269" w:lineRule="auto"/>
        <w:ind w:left="17" w:right="202" w:firstLine="430"/>
        <w:rPr>
          <w:rFonts w:ascii="宋体" w:hAnsi="宋体" w:eastAsia="宋体" w:cs="宋体"/>
          <w:sz w:val="21"/>
          <w:szCs w:val="21"/>
        </w:rPr>
      </w:pPr>
      <w:r>
        <w:rPr>
          <w:rFonts w:ascii="宋体" w:hAnsi="宋体" w:eastAsia="宋体" w:cs="宋体"/>
          <w:spacing w:val="-5"/>
          <w:sz w:val="21"/>
          <w:szCs w:val="21"/>
        </w:rPr>
        <w:t>（</w:t>
      </w:r>
      <w:r>
        <w:rPr>
          <w:rFonts w:ascii="Times New Roman" w:hAnsi="Times New Roman" w:eastAsia="Times New Roman" w:cs="Times New Roman"/>
          <w:spacing w:val="-5"/>
          <w:sz w:val="21"/>
          <w:szCs w:val="21"/>
        </w:rPr>
        <w:t>7</w:t>
      </w:r>
      <w:r>
        <w:rPr>
          <w:rFonts w:ascii="宋体" w:hAnsi="宋体" w:eastAsia="宋体" w:cs="宋体"/>
          <w:spacing w:val="-5"/>
          <w:sz w:val="21"/>
          <w:szCs w:val="21"/>
        </w:rPr>
        <w:t>）公布投标人名称、</w:t>
      </w:r>
      <w:r>
        <w:rPr>
          <w:rFonts w:ascii="宋体" w:hAnsi="宋体" w:eastAsia="宋体" w:cs="宋体"/>
          <w:spacing w:val="-28"/>
          <w:sz w:val="21"/>
          <w:szCs w:val="21"/>
        </w:rPr>
        <w:t xml:space="preserve"> </w:t>
      </w:r>
      <w:r>
        <w:rPr>
          <w:rFonts w:ascii="宋体" w:hAnsi="宋体" w:eastAsia="宋体" w:cs="宋体"/>
          <w:spacing w:val="-5"/>
          <w:sz w:val="21"/>
          <w:szCs w:val="21"/>
        </w:rPr>
        <w:t>标段名称、投标保证金的递交情况、 投标报价</w:t>
      </w:r>
      <w:r>
        <w:rPr>
          <w:rFonts w:ascii="宋体" w:hAnsi="宋体" w:eastAsia="宋体" w:cs="宋体"/>
          <w:spacing w:val="-6"/>
          <w:sz w:val="21"/>
          <w:szCs w:val="21"/>
        </w:rPr>
        <w:t>、项目经理姓名</w:t>
      </w:r>
      <w:r>
        <w:rPr>
          <w:rFonts w:ascii="宋体" w:hAnsi="宋体" w:eastAsia="宋体" w:cs="宋体"/>
          <w:sz w:val="21"/>
          <w:szCs w:val="21"/>
        </w:rPr>
        <w:t xml:space="preserve"> </w:t>
      </w:r>
      <w:r>
        <w:rPr>
          <w:rFonts w:ascii="宋体" w:hAnsi="宋体" w:eastAsia="宋体" w:cs="宋体"/>
          <w:spacing w:val="-1"/>
          <w:sz w:val="21"/>
          <w:szCs w:val="21"/>
        </w:rPr>
        <w:t>及其他内容，并生成开标记录；</w:t>
      </w:r>
    </w:p>
    <w:p w14:paraId="17A1B75F">
      <w:pPr>
        <w:spacing w:before="109" w:line="360" w:lineRule="exact"/>
        <w:ind w:left="447"/>
        <w:rPr>
          <w:rFonts w:ascii="宋体" w:hAnsi="宋体" w:eastAsia="宋体" w:cs="宋体"/>
          <w:sz w:val="21"/>
          <w:szCs w:val="21"/>
        </w:rPr>
      </w:pPr>
      <w:r>
        <w:rPr>
          <w:rFonts w:ascii="宋体" w:hAnsi="宋体" w:eastAsia="宋体" w:cs="宋体"/>
          <w:spacing w:val="-3"/>
          <w:position w:val="11"/>
          <w:sz w:val="21"/>
          <w:szCs w:val="21"/>
        </w:rPr>
        <w:t>（</w:t>
      </w:r>
      <w:r>
        <w:rPr>
          <w:rFonts w:ascii="Times New Roman" w:hAnsi="Times New Roman" w:eastAsia="Times New Roman" w:cs="Times New Roman"/>
          <w:spacing w:val="-3"/>
          <w:position w:val="11"/>
          <w:sz w:val="21"/>
          <w:szCs w:val="21"/>
        </w:rPr>
        <w:t>8</w:t>
      </w:r>
      <w:r>
        <w:rPr>
          <w:rFonts w:ascii="宋体" w:hAnsi="宋体" w:eastAsia="宋体" w:cs="宋体"/>
          <w:spacing w:val="-3"/>
          <w:position w:val="11"/>
          <w:sz w:val="21"/>
          <w:szCs w:val="21"/>
        </w:rPr>
        <w:t>）投标人对开标记录进行确认；</w:t>
      </w:r>
    </w:p>
    <w:p w14:paraId="4AF8A684">
      <w:pPr>
        <w:spacing w:before="1" w:line="220" w:lineRule="auto"/>
        <w:ind w:left="447"/>
        <w:rPr>
          <w:rFonts w:ascii="宋体" w:hAnsi="宋体" w:eastAsia="宋体" w:cs="宋体"/>
          <w:sz w:val="21"/>
          <w:szCs w:val="21"/>
        </w:rPr>
      </w:pPr>
      <w:r>
        <w:rPr>
          <w:rFonts w:ascii="宋体" w:hAnsi="宋体" w:eastAsia="宋体" w:cs="宋体"/>
          <w:spacing w:val="-4"/>
          <w:sz w:val="21"/>
          <w:szCs w:val="21"/>
        </w:rPr>
        <w:t>（</w:t>
      </w:r>
      <w:r>
        <w:rPr>
          <w:rFonts w:ascii="Times New Roman" w:hAnsi="Times New Roman" w:eastAsia="Times New Roman" w:cs="Times New Roman"/>
          <w:spacing w:val="-4"/>
          <w:sz w:val="21"/>
          <w:szCs w:val="21"/>
        </w:rPr>
        <w:t>9</w:t>
      </w:r>
      <w:r>
        <w:rPr>
          <w:rFonts w:ascii="宋体" w:hAnsi="宋体" w:eastAsia="宋体" w:cs="宋体"/>
          <w:spacing w:val="-4"/>
          <w:sz w:val="21"/>
          <w:szCs w:val="21"/>
        </w:rPr>
        <w:t>）开标结束。</w:t>
      </w:r>
    </w:p>
    <w:p w14:paraId="1E52717A">
      <w:pPr>
        <w:spacing w:line="220" w:lineRule="auto"/>
        <w:rPr>
          <w:rFonts w:ascii="宋体" w:hAnsi="宋体" w:eastAsia="宋体" w:cs="宋体"/>
          <w:sz w:val="21"/>
          <w:szCs w:val="21"/>
        </w:rPr>
        <w:sectPr>
          <w:footerReference r:id="rId27" w:type="default"/>
          <w:pgSz w:w="11905" w:h="16839"/>
          <w:pgMar w:top="1431" w:right="1611" w:bottom="1036" w:left="1785" w:header="0" w:footer="847" w:gutter="0"/>
          <w:pgNumType w:fmt="decimal"/>
          <w:cols w:space="720" w:num="1"/>
        </w:sectPr>
      </w:pPr>
    </w:p>
    <w:p w14:paraId="3B68F270">
      <w:pPr>
        <w:spacing w:before="114" w:line="285" w:lineRule="auto"/>
        <w:ind w:left="19" w:right="155" w:firstLine="423"/>
        <w:rPr>
          <w:rFonts w:ascii="宋体" w:hAnsi="宋体" w:eastAsia="宋体" w:cs="宋体"/>
          <w:sz w:val="21"/>
          <w:szCs w:val="21"/>
        </w:rPr>
      </w:pPr>
      <w:bookmarkStart w:id="81" w:name="bookmark95"/>
      <w:bookmarkEnd w:id="81"/>
      <w:r>
        <w:rPr>
          <w:rFonts w:ascii="Times New Roman" w:hAnsi="Times New Roman" w:eastAsia="Times New Roman" w:cs="Times New Roman"/>
          <w:spacing w:val="-1"/>
          <w:sz w:val="21"/>
          <w:szCs w:val="21"/>
        </w:rPr>
        <w:t xml:space="preserve">5.2.2 </w:t>
      </w:r>
      <w:r>
        <w:rPr>
          <w:rFonts w:ascii="宋体" w:hAnsi="宋体" w:eastAsia="宋体" w:cs="宋体"/>
          <w:spacing w:val="-1"/>
          <w:sz w:val="21"/>
          <w:szCs w:val="21"/>
        </w:rPr>
        <w:t>生成开标记录后</w:t>
      </w:r>
      <w:r>
        <w:rPr>
          <w:rFonts w:ascii="宋体" w:hAnsi="宋体" w:eastAsia="宋体" w:cs="宋体"/>
          <w:spacing w:val="-31"/>
          <w:sz w:val="21"/>
          <w:szCs w:val="21"/>
        </w:rPr>
        <w:t xml:space="preserve"> </w:t>
      </w:r>
      <w:r>
        <w:rPr>
          <w:rFonts w:ascii="Times New Roman" w:hAnsi="Times New Roman" w:eastAsia="Times New Roman" w:cs="Times New Roman"/>
          <w:spacing w:val="-1"/>
          <w:sz w:val="21"/>
          <w:szCs w:val="21"/>
        </w:rPr>
        <w:t xml:space="preserve">10 </w:t>
      </w:r>
      <w:r>
        <w:rPr>
          <w:rFonts w:ascii="宋体" w:hAnsi="宋体" w:eastAsia="宋体" w:cs="宋体"/>
          <w:spacing w:val="-1"/>
          <w:sz w:val="21"/>
          <w:szCs w:val="21"/>
        </w:rPr>
        <w:t>分钟内，投标人通</w:t>
      </w:r>
      <w:r>
        <w:rPr>
          <w:rFonts w:ascii="宋体" w:hAnsi="宋体" w:eastAsia="宋体" w:cs="宋体"/>
          <w:spacing w:val="-2"/>
          <w:sz w:val="21"/>
          <w:szCs w:val="21"/>
        </w:rPr>
        <w:t>过电子招标投标系统（辽宁省工程建设项目</w:t>
      </w:r>
      <w:r>
        <w:rPr>
          <w:rFonts w:ascii="宋体" w:hAnsi="宋体" w:eastAsia="宋体" w:cs="宋体"/>
          <w:sz w:val="21"/>
          <w:szCs w:val="21"/>
        </w:rPr>
        <w:t xml:space="preserve"> </w:t>
      </w:r>
      <w:r>
        <w:rPr>
          <w:rFonts w:ascii="宋体" w:hAnsi="宋体" w:eastAsia="宋体" w:cs="宋体"/>
          <w:spacing w:val="1"/>
          <w:sz w:val="21"/>
          <w:szCs w:val="21"/>
        </w:rPr>
        <w:t>数字化开标评标系统）</w:t>
      </w:r>
      <w:r>
        <w:rPr>
          <w:rFonts w:ascii="宋体" w:hAnsi="宋体" w:eastAsia="宋体" w:cs="宋体"/>
          <w:spacing w:val="-28"/>
          <w:sz w:val="21"/>
          <w:szCs w:val="21"/>
        </w:rPr>
        <w:t xml:space="preserve"> </w:t>
      </w:r>
      <w:r>
        <w:rPr>
          <w:rFonts w:ascii="宋体" w:hAnsi="宋体" w:eastAsia="宋体" w:cs="宋体"/>
          <w:spacing w:val="1"/>
          <w:sz w:val="21"/>
          <w:szCs w:val="21"/>
        </w:rPr>
        <w:t>对开标结果予以确认。未在规定时间内确认或未确认的视</w:t>
      </w:r>
      <w:r>
        <w:rPr>
          <w:rFonts w:ascii="宋体" w:hAnsi="宋体" w:eastAsia="宋体" w:cs="宋体"/>
          <w:sz w:val="21"/>
          <w:szCs w:val="21"/>
        </w:rPr>
        <w:t xml:space="preserve">为对开标 </w:t>
      </w:r>
      <w:r>
        <w:rPr>
          <w:rFonts w:ascii="宋体" w:hAnsi="宋体" w:eastAsia="宋体" w:cs="宋体"/>
          <w:spacing w:val="-3"/>
          <w:sz w:val="21"/>
          <w:szCs w:val="21"/>
        </w:rPr>
        <w:t>过程及结果无异议。</w:t>
      </w:r>
    </w:p>
    <w:p w14:paraId="005A51B6">
      <w:pPr>
        <w:spacing w:before="108" w:line="269" w:lineRule="auto"/>
        <w:ind w:left="41" w:firstLine="401"/>
        <w:rPr>
          <w:rFonts w:ascii="宋体" w:hAnsi="宋体" w:eastAsia="宋体" w:cs="宋体"/>
          <w:sz w:val="21"/>
          <w:szCs w:val="21"/>
        </w:rPr>
      </w:pPr>
      <w:r>
        <w:rPr>
          <w:rFonts w:ascii="Times New Roman" w:hAnsi="Times New Roman" w:eastAsia="Times New Roman" w:cs="Times New Roman"/>
          <w:spacing w:val="-1"/>
          <w:sz w:val="21"/>
          <w:szCs w:val="21"/>
        </w:rPr>
        <w:t>5.2.3</w:t>
      </w:r>
      <w:r>
        <w:rPr>
          <w:rFonts w:ascii="Times New Roman" w:hAnsi="Times New Roman" w:eastAsia="Times New Roman" w:cs="Times New Roman"/>
          <w:spacing w:val="54"/>
          <w:w w:val="101"/>
          <w:sz w:val="21"/>
          <w:szCs w:val="21"/>
        </w:rPr>
        <w:t xml:space="preserve"> </w:t>
      </w:r>
      <w:r>
        <w:rPr>
          <w:rFonts w:ascii="宋体" w:hAnsi="宋体" w:eastAsia="宋体" w:cs="宋体"/>
          <w:spacing w:val="-1"/>
          <w:sz w:val="21"/>
          <w:szCs w:val="21"/>
        </w:rPr>
        <w:t xml:space="preserve">在本章第 </w:t>
      </w:r>
      <w:r>
        <w:rPr>
          <w:rFonts w:ascii="Times New Roman" w:hAnsi="Times New Roman" w:eastAsia="Times New Roman" w:cs="Times New Roman"/>
          <w:spacing w:val="-1"/>
          <w:sz w:val="21"/>
          <w:szCs w:val="21"/>
        </w:rPr>
        <w:t>5.2.1</w:t>
      </w:r>
      <w:r>
        <w:rPr>
          <w:rFonts w:ascii="宋体" w:hAnsi="宋体" w:eastAsia="宋体" w:cs="宋体"/>
          <w:spacing w:val="-1"/>
          <w:sz w:val="21"/>
          <w:szCs w:val="21"/>
        </w:rPr>
        <w:t>（</w:t>
      </w:r>
      <w:r>
        <w:rPr>
          <w:rFonts w:ascii="Times New Roman" w:hAnsi="Times New Roman" w:eastAsia="Times New Roman" w:cs="Times New Roman"/>
          <w:spacing w:val="-1"/>
          <w:sz w:val="21"/>
          <w:szCs w:val="21"/>
        </w:rPr>
        <w:t>5</w:t>
      </w:r>
      <w:r>
        <w:rPr>
          <w:rFonts w:ascii="宋体" w:hAnsi="宋体" w:eastAsia="宋体" w:cs="宋体"/>
          <w:spacing w:val="-1"/>
          <w:sz w:val="21"/>
          <w:szCs w:val="21"/>
        </w:rPr>
        <w:t>）目规定的时间内，已解密的投标文件少于三个的，招标失败；</w:t>
      </w:r>
      <w:r>
        <w:rPr>
          <w:rFonts w:ascii="宋体" w:hAnsi="宋体" w:eastAsia="宋体" w:cs="宋体"/>
          <w:sz w:val="21"/>
          <w:szCs w:val="21"/>
        </w:rPr>
        <w:t xml:space="preserve"> </w:t>
      </w:r>
      <w:r>
        <w:rPr>
          <w:rFonts w:ascii="宋体" w:hAnsi="宋体" w:eastAsia="宋体" w:cs="宋体"/>
          <w:spacing w:val="-3"/>
          <w:sz w:val="21"/>
          <w:szCs w:val="21"/>
        </w:rPr>
        <w:t>已解密的投标文件不少于三个，开标继续进行。</w:t>
      </w:r>
    </w:p>
    <w:p w14:paraId="50E4B1F4">
      <w:pPr>
        <w:spacing w:before="108" w:line="269" w:lineRule="auto"/>
        <w:ind w:left="20" w:right="170" w:firstLine="437"/>
        <w:rPr>
          <w:rFonts w:ascii="宋体" w:hAnsi="宋体" w:eastAsia="宋体" w:cs="宋体"/>
          <w:sz w:val="21"/>
          <w:szCs w:val="21"/>
        </w:rPr>
      </w:pPr>
      <w:r>
        <w:rPr>
          <w:rFonts w:ascii="宋体" w:hAnsi="宋体" w:eastAsia="宋体" w:cs="宋体"/>
          <w:sz w:val="21"/>
          <w:szCs w:val="21"/>
        </w:rPr>
        <w:t>因投标人原因（如数字证书（</w:t>
      </w:r>
      <w:r>
        <w:rPr>
          <w:rFonts w:ascii="Times New Roman" w:hAnsi="Times New Roman" w:eastAsia="Times New Roman" w:cs="Times New Roman"/>
          <w:sz w:val="21"/>
          <w:szCs w:val="21"/>
        </w:rPr>
        <w:t>CA</w:t>
      </w:r>
      <w:r>
        <w:rPr>
          <w:rFonts w:ascii="宋体" w:hAnsi="宋体" w:eastAsia="宋体" w:cs="宋体"/>
          <w:sz w:val="21"/>
          <w:szCs w:val="21"/>
        </w:rPr>
        <w:t>）损坏或密码丢失或输入错误、投标人自身网络中断</w:t>
      </w:r>
      <w:r>
        <w:rPr>
          <w:rFonts w:ascii="宋体" w:hAnsi="宋体" w:eastAsia="宋体" w:cs="宋体"/>
          <w:spacing w:val="5"/>
          <w:sz w:val="21"/>
          <w:szCs w:val="21"/>
        </w:rPr>
        <w:t xml:space="preserve"> </w:t>
      </w:r>
      <w:r>
        <w:rPr>
          <w:rFonts w:ascii="宋体" w:hAnsi="宋体" w:eastAsia="宋体" w:cs="宋体"/>
          <w:spacing w:val="-4"/>
          <w:sz w:val="21"/>
          <w:szCs w:val="21"/>
        </w:rPr>
        <w:t>等非开标系统原因） 造成投标文件未解密的，视为投标人撤回投标</w:t>
      </w:r>
      <w:r>
        <w:rPr>
          <w:rFonts w:ascii="宋体" w:hAnsi="宋体" w:eastAsia="宋体" w:cs="宋体"/>
          <w:spacing w:val="-5"/>
          <w:sz w:val="21"/>
          <w:szCs w:val="21"/>
        </w:rPr>
        <w:t>文件。</w:t>
      </w:r>
    </w:p>
    <w:p w14:paraId="1CC5FCA9">
      <w:pPr>
        <w:spacing w:before="107" w:line="293" w:lineRule="auto"/>
        <w:ind w:left="19" w:right="159" w:firstLine="438"/>
        <w:rPr>
          <w:rFonts w:ascii="宋体" w:hAnsi="宋体" w:eastAsia="宋体" w:cs="宋体"/>
          <w:sz w:val="21"/>
          <w:szCs w:val="21"/>
        </w:rPr>
      </w:pPr>
      <w:r>
        <w:rPr>
          <w:rFonts w:ascii="宋体" w:hAnsi="宋体" w:eastAsia="宋体" w:cs="宋体"/>
          <w:sz w:val="21"/>
          <w:szCs w:val="21"/>
        </w:rPr>
        <w:t>因投标人之外原因，如因网络、开标系统故障等非投标人自身原因，</w:t>
      </w:r>
      <w:r>
        <w:rPr>
          <w:rFonts w:ascii="宋体" w:hAnsi="宋体" w:eastAsia="宋体" w:cs="宋体"/>
          <w:spacing w:val="-1"/>
          <w:sz w:val="21"/>
          <w:szCs w:val="21"/>
        </w:rPr>
        <w:t xml:space="preserve"> 招标代理机构工</w:t>
      </w:r>
      <w:r>
        <w:rPr>
          <w:rFonts w:ascii="宋体" w:hAnsi="宋体" w:eastAsia="宋体" w:cs="宋体"/>
          <w:sz w:val="21"/>
          <w:szCs w:val="21"/>
        </w:rPr>
        <w:t xml:space="preserve"> 作人员应及时将情况反馈到交易平台运营单位、项目监管部门以及相关技术服务单位， 在</w:t>
      </w:r>
      <w:r>
        <w:rPr>
          <w:rFonts w:ascii="宋体" w:hAnsi="宋体" w:eastAsia="宋体" w:cs="宋体"/>
          <w:spacing w:val="6"/>
          <w:sz w:val="21"/>
          <w:szCs w:val="21"/>
        </w:rPr>
        <w:t xml:space="preserve"> </w:t>
      </w:r>
      <w:r>
        <w:rPr>
          <w:rFonts w:ascii="宋体" w:hAnsi="宋体" w:eastAsia="宋体" w:cs="宋体"/>
          <w:spacing w:val="-2"/>
          <w:sz w:val="21"/>
          <w:szCs w:val="21"/>
        </w:rPr>
        <w:t>监管部门指导下将立即启动应急响应机制，积极排查和</w:t>
      </w:r>
      <w:r>
        <w:rPr>
          <w:rFonts w:ascii="宋体" w:hAnsi="宋体" w:eastAsia="宋体" w:cs="宋体"/>
          <w:spacing w:val="-3"/>
          <w:sz w:val="21"/>
          <w:szCs w:val="21"/>
        </w:rPr>
        <w:t>解决问题， 投标人应予以配合， 监</w:t>
      </w:r>
      <w:r>
        <w:rPr>
          <w:rFonts w:ascii="宋体" w:hAnsi="宋体" w:eastAsia="宋体" w:cs="宋体"/>
          <w:sz w:val="21"/>
          <w:szCs w:val="21"/>
        </w:rPr>
        <w:t xml:space="preserve"> </w:t>
      </w:r>
      <w:r>
        <w:rPr>
          <w:rFonts w:ascii="宋体" w:hAnsi="宋体" w:eastAsia="宋体" w:cs="宋体"/>
          <w:spacing w:val="-2"/>
          <w:sz w:val="21"/>
          <w:szCs w:val="21"/>
        </w:rPr>
        <w:t>管部门应根据现场实际适当延长解密时间。</w:t>
      </w:r>
    </w:p>
    <w:p w14:paraId="06400041">
      <w:pPr>
        <w:spacing w:before="84" w:line="219" w:lineRule="auto"/>
        <w:ind w:left="21"/>
        <w:rPr>
          <w:rFonts w:ascii="黑体" w:hAnsi="黑体" w:eastAsia="黑体" w:cs="黑体"/>
          <w:sz w:val="24"/>
          <w:szCs w:val="24"/>
        </w:rPr>
      </w:pPr>
      <w:r>
        <w:rPr>
          <w:rFonts w:ascii="Times New Roman" w:hAnsi="Times New Roman" w:eastAsia="Times New Roman" w:cs="Times New Roman"/>
          <w:spacing w:val="-3"/>
          <w:sz w:val="24"/>
          <w:szCs w:val="24"/>
        </w:rPr>
        <w:t>5.3</w:t>
      </w:r>
      <w:r>
        <w:rPr>
          <w:rFonts w:ascii="Times New Roman" w:hAnsi="Times New Roman" w:eastAsia="Times New Roman" w:cs="Times New Roman"/>
          <w:spacing w:val="17"/>
          <w:sz w:val="24"/>
          <w:szCs w:val="24"/>
        </w:rPr>
        <w:t xml:space="preserve"> </w:t>
      </w:r>
      <w:r>
        <w:rPr>
          <w:rFonts w:ascii="黑体" w:hAnsi="黑体" w:eastAsia="黑体" w:cs="黑体"/>
          <w:spacing w:val="-3"/>
          <w:sz w:val="24"/>
          <w:szCs w:val="24"/>
        </w:rPr>
        <w:t>开标异议</w:t>
      </w:r>
    </w:p>
    <w:p w14:paraId="4E47A1F4">
      <w:pPr>
        <w:spacing w:before="101" w:line="284" w:lineRule="auto"/>
        <w:ind w:left="17" w:right="161" w:firstLine="425"/>
        <w:rPr>
          <w:rFonts w:ascii="宋体" w:hAnsi="宋体" w:eastAsia="宋体" w:cs="宋体"/>
          <w:sz w:val="21"/>
          <w:szCs w:val="21"/>
        </w:rPr>
      </w:pPr>
      <w:r>
        <w:rPr>
          <w:rFonts w:ascii="Times New Roman" w:hAnsi="Times New Roman" w:eastAsia="Times New Roman" w:cs="Times New Roman"/>
          <w:spacing w:val="-1"/>
          <w:sz w:val="21"/>
          <w:szCs w:val="21"/>
        </w:rPr>
        <w:t>5.3.1</w:t>
      </w:r>
      <w:r>
        <w:rPr>
          <w:rFonts w:ascii="Times New Roman" w:hAnsi="Times New Roman" w:eastAsia="Times New Roman" w:cs="Times New Roman"/>
          <w:spacing w:val="54"/>
          <w:w w:val="101"/>
          <w:sz w:val="21"/>
          <w:szCs w:val="21"/>
        </w:rPr>
        <w:t xml:space="preserve"> </w:t>
      </w:r>
      <w:r>
        <w:rPr>
          <w:rFonts w:ascii="宋体" w:hAnsi="宋体" w:eastAsia="宋体" w:cs="宋体"/>
          <w:spacing w:val="-1"/>
          <w:sz w:val="21"/>
          <w:szCs w:val="21"/>
        </w:rPr>
        <w:t>投标人对开标有异议的，应当在开标过程中提出；招标人当场对异议作出答复，</w:t>
      </w:r>
      <w:r>
        <w:rPr>
          <w:rFonts w:ascii="宋体" w:hAnsi="宋体" w:eastAsia="宋体" w:cs="宋体"/>
          <w:sz w:val="21"/>
          <w:szCs w:val="21"/>
        </w:rPr>
        <w:t xml:space="preserve"> </w:t>
      </w:r>
      <w:r>
        <w:rPr>
          <w:rFonts w:ascii="宋体" w:hAnsi="宋体" w:eastAsia="宋体" w:cs="宋体"/>
          <w:spacing w:val="3"/>
          <w:sz w:val="21"/>
          <w:szCs w:val="21"/>
        </w:rPr>
        <w:t>并记入开标记录。异议与答复应通过电子招标投标系统（辽宁省工程建设项目数字化开标</w:t>
      </w:r>
      <w:r>
        <w:rPr>
          <w:rFonts w:ascii="宋体" w:hAnsi="宋体" w:eastAsia="宋体" w:cs="宋体"/>
          <w:sz w:val="21"/>
          <w:szCs w:val="21"/>
        </w:rPr>
        <w:t xml:space="preserve"> </w:t>
      </w:r>
      <w:r>
        <w:rPr>
          <w:rFonts w:ascii="宋体" w:hAnsi="宋体" w:eastAsia="宋体" w:cs="宋体"/>
          <w:spacing w:val="-2"/>
          <w:sz w:val="21"/>
          <w:szCs w:val="21"/>
        </w:rPr>
        <w:t>评标系统）以书面形式进行。</w:t>
      </w:r>
    </w:p>
    <w:p w14:paraId="14B8162F">
      <w:pPr>
        <w:spacing w:before="108" w:line="269" w:lineRule="auto"/>
        <w:ind w:left="19" w:right="186" w:firstLine="422"/>
        <w:rPr>
          <w:rFonts w:ascii="宋体" w:hAnsi="宋体" w:eastAsia="宋体" w:cs="宋体"/>
          <w:sz w:val="21"/>
          <w:szCs w:val="21"/>
        </w:rPr>
      </w:pPr>
      <w:r>
        <w:rPr>
          <w:rFonts w:ascii="宋体" w:hAnsi="宋体" w:eastAsia="宋体" w:cs="宋体"/>
          <w:spacing w:val="2"/>
          <w:sz w:val="21"/>
          <w:szCs w:val="21"/>
        </w:rPr>
        <w:t>本条所称异议是指投标人在开标过程中对投标文件提交、投标截止时间、开标程序、</w:t>
      </w:r>
      <w:r>
        <w:rPr>
          <w:rFonts w:ascii="宋体" w:hAnsi="宋体" w:eastAsia="宋体" w:cs="宋体"/>
          <w:spacing w:val="12"/>
          <w:sz w:val="21"/>
          <w:szCs w:val="21"/>
        </w:rPr>
        <w:t xml:space="preserve"> </w:t>
      </w:r>
      <w:r>
        <w:rPr>
          <w:rFonts w:ascii="宋体" w:hAnsi="宋体" w:eastAsia="宋体" w:cs="宋体"/>
          <w:spacing w:val="-1"/>
          <w:sz w:val="21"/>
          <w:szCs w:val="21"/>
        </w:rPr>
        <w:t>开标记录以及投标人和招标人或者投标人相互之间存在利益冲突的情形等提出的质疑。</w:t>
      </w:r>
    </w:p>
    <w:p w14:paraId="0EFEA4D4">
      <w:pPr>
        <w:spacing w:before="109" w:line="269" w:lineRule="auto"/>
        <w:ind w:left="20" w:firstLine="422"/>
        <w:rPr>
          <w:rFonts w:ascii="宋体" w:hAnsi="宋体" w:eastAsia="宋体" w:cs="宋体"/>
          <w:sz w:val="21"/>
          <w:szCs w:val="21"/>
        </w:rPr>
      </w:pPr>
      <w:r>
        <w:rPr>
          <w:rFonts w:ascii="Times New Roman" w:hAnsi="Times New Roman" w:eastAsia="Times New Roman" w:cs="Times New Roman"/>
          <w:spacing w:val="-1"/>
          <w:sz w:val="21"/>
          <w:szCs w:val="21"/>
        </w:rPr>
        <w:t>5.3.2</w:t>
      </w:r>
      <w:r>
        <w:rPr>
          <w:rFonts w:ascii="Times New Roman" w:hAnsi="Times New Roman" w:eastAsia="Times New Roman" w:cs="Times New Roman"/>
          <w:spacing w:val="50"/>
          <w:w w:val="101"/>
          <w:sz w:val="21"/>
          <w:szCs w:val="21"/>
        </w:rPr>
        <w:t xml:space="preserve"> </w:t>
      </w:r>
      <w:r>
        <w:rPr>
          <w:rFonts w:ascii="宋体" w:hAnsi="宋体" w:eastAsia="宋体" w:cs="宋体"/>
          <w:spacing w:val="-1"/>
          <w:sz w:val="21"/>
          <w:szCs w:val="21"/>
        </w:rPr>
        <w:t>投标人异议成立的，招标人将及时采取纠正措施，或者提交评标委员会评审确认；</w:t>
      </w:r>
      <w:r>
        <w:rPr>
          <w:rFonts w:ascii="宋体" w:hAnsi="宋体" w:eastAsia="宋体" w:cs="宋体"/>
          <w:sz w:val="21"/>
          <w:szCs w:val="21"/>
        </w:rPr>
        <w:t xml:space="preserve"> </w:t>
      </w:r>
      <w:r>
        <w:rPr>
          <w:rFonts w:ascii="宋体" w:hAnsi="宋体" w:eastAsia="宋体" w:cs="宋体"/>
          <w:spacing w:val="-1"/>
          <w:sz w:val="21"/>
          <w:szCs w:val="21"/>
        </w:rPr>
        <w:t>投标人异议不成立的，招标人将当场给予解释说明。</w:t>
      </w:r>
    </w:p>
    <w:p w14:paraId="60B883C4">
      <w:pPr>
        <w:spacing w:before="109" w:line="254" w:lineRule="auto"/>
        <w:ind w:left="21" w:right="476" w:firstLine="421"/>
        <w:rPr>
          <w:rFonts w:ascii="黑体" w:hAnsi="黑体" w:eastAsia="黑体" w:cs="黑体"/>
          <w:sz w:val="24"/>
          <w:szCs w:val="24"/>
        </w:rPr>
      </w:pPr>
      <w:r>
        <w:rPr>
          <w:rFonts w:ascii="Times New Roman" w:hAnsi="Times New Roman" w:eastAsia="Times New Roman" w:cs="Times New Roman"/>
          <w:spacing w:val="-4"/>
          <w:sz w:val="21"/>
          <w:szCs w:val="21"/>
        </w:rPr>
        <w:t xml:space="preserve">5.3.3 </w:t>
      </w:r>
      <w:r>
        <w:rPr>
          <w:rFonts w:ascii="宋体" w:hAnsi="宋体" w:eastAsia="宋体" w:cs="宋体"/>
          <w:spacing w:val="-4"/>
          <w:sz w:val="21"/>
          <w:szCs w:val="21"/>
        </w:rPr>
        <w:t>投标人未在开标现场提出异议， 视为异议权利灭失，不可再对开标提出异议。</w:t>
      </w:r>
      <w:r>
        <w:rPr>
          <w:rFonts w:ascii="宋体" w:hAnsi="宋体" w:eastAsia="宋体" w:cs="宋体"/>
          <w:spacing w:val="12"/>
          <w:sz w:val="21"/>
          <w:szCs w:val="21"/>
        </w:rPr>
        <w:t xml:space="preserve"> </w:t>
      </w:r>
      <w:r>
        <w:rPr>
          <w:rFonts w:ascii="Times New Roman" w:hAnsi="Times New Roman" w:eastAsia="Times New Roman" w:cs="Times New Roman"/>
          <w:spacing w:val="-1"/>
          <w:sz w:val="24"/>
          <w:szCs w:val="24"/>
        </w:rPr>
        <w:t xml:space="preserve">5.4 </w:t>
      </w:r>
      <w:r>
        <w:rPr>
          <w:rFonts w:ascii="黑体" w:hAnsi="黑体" w:eastAsia="黑体" w:cs="黑体"/>
          <w:spacing w:val="-1"/>
          <w:sz w:val="24"/>
          <w:szCs w:val="24"/>
        </w:rPr>
        <w:t>特殊情况的处置</w:t>
      </w:r>
    </w:p>
    <w:p w14:paraId="792D26BE">
      <w:pPr>
        <w:spacing w:before="99" w:line="285" w:lineRule="auto"/>
        <w:ind w:left="20" w:right="154" w:firstLine="422"/>
        <w:rPr>
          <w:rFonts w:ascii="宋体" w:hAnsi="宋体" w:eastAsia="宋体" w:cs="宋体"/>
          <w:sz w:val="21"/>
          <w:szCs w:val="21"/>
        </w:rPr>
      </w:pPr>
      <w:r>
        <w:rPr>
          <w:rFonts w:ascii="Times New Roman" w:hAnsi="Times New Roman" w:eastAsia="Times New Roman" w:cs="Times New Roman"/>
          <w:spacing w:val="-3"/>
          <w:sz w:val="21"/>
          <w:szCs w:val="21"/>
        </w:rPr>
        <w:t xml:space="preserve">5.4.1  </w:t>
      </w:r>
      <w:r>
        <w:rPr>
          <w:rFonts w:ascii="宋体" w:hAnsi="宋体" w:eastAsia="宋体" w:cs="宋体"/>
          <w:spacing w:val="-3"/>
          <w:sz w:val="21"/>
          <w:szCs w:val="21"/>
        </w:rPr>
        <w:t>因电子招标投标系统（辽宁省工程建设项目数字化开标评标系统）</w:t>
      </w:r>
      <w:r>
        <w:rPr>
          <w:rFonts w:ascii="宋体" w:hAnsi="宋体" w:eastAsia="宋体" w:cs="宋体"/>
          <w:spacing w:val="33"/>
          <w:sz w:val="21"/>
          <w:szCs w:val="21"/>
        </w:rPr>
        <w:t xml:space="preserve"> </w:t>
      </w:r>
      <w:r>
        <w:rPr>
          <w:rFonts w:ascii="宋体" w:hAnsi="宋体" w:eastAsia="宋体" w:cs="宋体"/>
          <w:spacing w:val="-3"/>
          <w:sz w:val="21"/>
          <w:szCs w:val="21"/>
        </w:rPr>
        <w:t>故障导致无法</w:t>
      </w:r>
      <w:r>
        <w:rPr>
          <w:rFonts w:ascii="宋体" w:hAnsi="宋体" w:eastAsia="宋体" w:cs="宋体"/>
          <w:sz w:val="21"/>
          <w:szCs w:val="21"/>
        </w:rPr>
        <w:t xml:space="preserve"> 投标的，管理部门及时通知招标人，招标人视情况决定是否顺延投标截止时间。 因投标人</w:t>
      </w:r>
      <w:r>
        <w:rPr>
          <w:rFonts w:ascii="宋体" w:hAnsi="宋体" w:eastAsia="宋体" w:cs="宋体"/>
          <w:spacing w:val="9"/>
          <w:sz w:val="21"/>
          <w:szCs w:val="21"/>
        </w:rPr>
        <w:t xml:space="preserve"> </w:t>
      </w:r>
      <w:r>
        <w:rPr>
          <w:rFonts w:ascii="宋体" w:hAnsi="宋体" w:eastAsia="宋体" w:cs="宋体"/>
          <w:spacing w:val="-1"/>
          <w:sz w:val="21"/>
          <w:szCs w:val="21"/>
        </w:rPr>
        <w:t>自身原因导致无法完成投标的，由投标人自行承担后果。</w:t>
      </w:r>
    </w:p>
    <w:p w14:paraId="2DB25D36">
      <w:pPr>
        <w:spacing w:before="108" w:line="269" w:lineRule="auto"/>
        <w:ind w:left="22" w:right="154" w:firstLine="420"/>
        <w:rPr>
          <w:rFonts w:ascii="宋体" w:hAnsi="宋体" w:eastAsia="宋体" w:cs="宋体"/>
          <w:sz w:val="21"/>
          <w:szCs w:val="21"/>
        </w:rPr>
      </w:pPr>
      <w:r>
        <w:rPr>
          <w:rFonts w:ascii="Times New Roman" w:hAnsi="Times New Roman" w:eastAsia="Times New Roman" w:cs="Times New Roman"/>
          <w:spacing w:val="-3"/>
          <w:sz w:val="21"/>
          <w:szCs w:val="21"/>
        </w:rPr>
        <w:t xml:space="preserve">5.4.2  </w:t>
      </w:r>
      <w:r>
        <w:rPr>
          <w:rFonts w:ascii="宋体" w:hAnsi="宋体" w:eastAsia="宋体" w:cs="宋体"/>
          <w:spacing w:val="-3"/>
          <w:sz w:val="21"/>
          <w:szCs w:val="21"/>
        </w:rPr>
        <w:t>因电子招标投标系统（辽宁省工程建设项目数字化开标评标系统）</w:t>
      </w:r>
      <w:r>
        <w:rPr>
          <w:rFonts w:ascii="宋体" w:hAnsi="宋体" w:eastAsia="宋体" w:cs="宋体"/>
          <w:spacing w:val="33"/>
          <w:sz w:val="21"/>
          <w:szCs w:val="21"/>
        </w:rPr>
        <w:t xml:space="preserve"> </w:t>
      </w:r>
      <w:r>
        <w:rPr>
          <w:rFonts w:ascii="宋体" w:hAnsi="宋体" w:eastAsia="宋体" w:cs="宋体"/>
          <w:spacing w:val="-3"/>
          <w:sz w:val="21"/>
          <w:szCs w:val="21"/>
        </w:rPr>
        <w:t>故障导致无法</w:t>
      </w:r>
      <w:r>
        <w:rPr>
          <w:rFonts w:ascii="宋体" w:hAnsi="宋体" w:eastAsia="宋体" w:cs="宋体"/>
          <w:sz w:val="21"/>
          <w:szCs w:val="21"/>
        </w:rPr>
        <w:t xml:space="preserve"> </w:t>
      </w:r>
      <w:r>
        <w:rPr>
          <w:rFonts w:ascii="宋体" w:hAnsi="宋体" w:eastAsia="宋体" w:cs="宋体"/>
          <w:spacing w:val="-1"/>
          <w:sz w:val="21"/>
          <w:szCs w:val="21"/>
        </w:rPr>
        <w:t>正常开标的，招标人将暂停开标，待系统恢复正常后</w:t>
      </w:r>
      <w:r>
        <w:rPr>
          <w:rFonts w:ascii="宋体" w:hAnsi="宋体" w:eastAsia="宋体" w:cs="宋体"/>
          <w:spacing w:val="-2"/>
          <w:sz w:val="21"/>
          <w:szCs w:val="21"/>
        </w:rPr>
        <w:t>继续开标。</w:t>
      </w:r>
    </w:p>
    <w:p w14:paraId="0E0D1A03">
      <w:pPr>
        <w:spacing w:before="110" w:line="268" w:lineRule="auto"/>
        <w:ind w:left="22" w:right="155" w:firstLine="443"/>
        <w:rPr>
          <w:rFonts w:ascii="宋体" w:hAnsi="宋体" w:eastAsia="宋体" w:cs="宋体"/>
          <w:sz w:val="21"/>
          <w:szCs w:val="21"/>
        </w:rPr>
      </w:pPr>
      <w:r>
        <w:rPr>
          <w:rFonts w:ascii="宋体" w:hAnsi="宋体" w:eastAsia="宋体" w:cs="宋体"/>
          <w:sz w:val="21"/>
          <w:szCs w:val="21"/>
        </w:rPr>
        <w:t>电子招标投标系统（辽宁省工程建设项目数字化开标评标系统）</w:t>
      </w:r>
      <w:r>
        <w:rPr>
          <w:rFonts w:ascii="宋体" w:hAnsi="宋体" w:eastAsia="宋体" w:cs="宋体"/>
          <w:spacing w:val="-12"/>
          <w:sz w:val="21"/>
          <w:szCs w:val="21"/>
        </w:rPr>
        <w:t xml:space="preserve"> </w:t>
      </w:r>
      <w:r>
        <w:rPr>
          <w:rFonts w:ascii="宋体" w:hAnsi="宋体" w:eastAsia="宋体" w:cs="宋体"/>
          <w:sz w:val="21"/>
          <w:szCs w:val="21"/>
        </w:rPr>
        <w:t xml:space="preserve">技术服务单位将立即 </w:t>
      </w:r>
      <w:r>
        <w:rPr>
          <w:rFonts w:ascii="宋体" w:hAnsi="宋体" w:eastAsia="宋体" w:cs="宋体"/>
          <w:spacing w:val="-6"/>
          <w:sz w:val="21"/>
          <w:szCs w:val="21"/>
        </w:rPr>
        <w:t>启动应急响应机制， 积极排查系统故障，解决问题。</w:t>
      </w:r>
    </w:p>
    <w:p w14:paraId="506997E8">
      <w:pPr>
        <w:spacing w:before="110" w:line="270" w:lineRule="auto"/>
        <w:ind w:left="20" w:right="159" w:firstLine="422"/>
        <w:rPr>
          <w:rFonts w:ascii="宋体" w:hAnsi="宋体" w:eastAsia="宋体" w:cs="宋体"/>
          <w:sz w:val="21"/>
          <w:szCs w:val="21"/>
        </w:rPr>
      </w:pPr>
      <w:r>
        <w:rPr>
          <w:rFonts w:ascii="Times New Roman" w:hAnsi="Times New Roman" w:eastAsia="Times New Roman" w:cs="Times New Roman"/>
          <w:spacing w:val="-3"/>
          <w:sz w:val="21"/>
          <w:szCs w:val="21"/>
        </w:rPr>
        <w:t xml:space="preserve">5.4.3  </w:t>
      </w:r>
      <w:r>
        <w:rPr>
          <w:rFonts w:ascii="宋体" w:hAnsi="宋体" w:eastAsia="宋体" w:cs="宋体"/>
          <w:spacing w:val="-3"/>
          <w:sz w:val="21"/>
          <w:szCs w:val="21"/>
        </w:rPr>
        <w:t>电子招标投标系统（辽宁省工程建设项目数字化开标评标系统）</w:t>
      </w:r>
      <w:r>
        <w:rPr>
          <w:rFonts w:ascii="宋体" w:hAnsi="宋体" w:eastAsia="宋体" w:cs="宋体"/>
          <w:spacing w:val="28"/>
          <w:sz w:val="21"/>
          <w:szCs w:val="21"/>
        </w:rPr>
        <w:t xml:space="preserve"> </w:t>
      </w:r>
      <w:r>
        <w:rPr>
          <w:rFonts w:ascii="宋体" w:hAnsi="宋体" w:eastAsia="宋体" w:cs="宋体"/>
          <w:spacing w:val="-3"/>
          <w:sz w:val="21"/>
          <w:szCs w:val="21"/>
        </w:rPr>
        <w:t>故障是指下列情</w:t>
      </w:r>
      <w:r>
        <w:rPr>
          <w:rFonts w:ascii="宋体" w:hAnsi="宋体" w:eastAsia="宋体" w:cs="宋体"/>
          <w:sz w:val="21"/>
          <w:szCs w:val="21"/>
        </w:rPr>
        <w:t xml:space="preserve"> </w:t>
      </w:r>
      <w:r>
        <w:rPr>
          <w:rFonts w:ascii="宋体" w:hAnsi="宋体" w:eastAsia="宋体" w:cs="宋体"/>
          <w:spacing w:val="-15"/>
          <w:sz w:val="21"/>
          <w:szCs w:val="21"/>
        </w:rPr>
        <w:t>形：</w:t>
      </w:r>
    </w:p>
    <w:p w14:paraId="7E6AAC89">
      <w:pPr>
        <w:spacing w:before="106" w:line="221" w:lineRule="auto"/>
        <w:ind w:left="447"/>
        <w:rPr>
          <w:rFonts w:ascii="宋体" w:hAnsi="宋体" w:eastAsia="宋体" w:cs="宋体"/>
          <w:sz w:val="21"/>
          <w:szCs w:val="21"/>
        </w:rPr>
      </w:pPr>
      <w:r>
        <w:rPr>
          <w:rFonts w:ascii="宋体" w:hAnsi="宋体" w:eastAsia="宋体" w:cs="宋体"/>
          <w:spacing w:val="-2"/>
          <w:sz w:val="21"/>
          <w:szCs w:val="21"/>
        </w:rPr>
        <w:t>（</w:t>
      </w:r>
      <w:r>
        <w:rPr>
          <w:rFonts w:ascii="Times New Roman" w:hAnsi="Times New Roman" w:eastAsia="Times New Roman" w:cs="Times New Roman"/>
          <w:spacing w:val="-2"/>
          <w:sz w:val="21"/>
          <w:szCs w:val="21"/>
        </w:rPr>
        <w:t>1</w:t>
      </w:r>
      <w:r>
        <w:rPr>
          <w:rFonts w:ascii="宋体" w:hAnsi="宋体" w:eastAsia="宋体" w:cs="宋体"/>
          <w:spacing w:val="-2"/>
          <w:sz w:val="21"/>
          <w:szCs w:val="21"/>
        </w:rPr>
        <w:t>）系统服务器发生故障，无法访问或无法使用系统；</w:t>
      </w:r>
    </w:p>
    <w:p w14:paraId="05745BF8">
      <w:pPr>
        <w:spacing w:before="109" w:line="360" w:lineRule="exact"/>
        <w:ind w:left="447"/>
        <w:rPr>
          <w:rFonts w:ascii="宋体" w:hAnsi="宋体" w:eastAsia="宋体" w:cs="宋体"/>
          <w:sz w:val="21"/>
          <w:szCs w:val="21"/>
        </w:rPr>
      </w:pPr>
      <w:r>
        <w:rPr>
          <w:rFonts w:ascii="宋体" w:hAnsi="宋体" w:eastAsia="宋体" w:cs="宋体"/>
          <w:spacing w:val="-2"/>
          <w:position w:val="11"/>
          <w:sz w:val="21"/>
          <w:szCs w:val="21"/>
        </w:rPr>
        <w:t>（</w:t>
      </w:r>
      <w:r>
        <w:rPr>
          <w:rFonts w:ascii="Times New Roman" w:hAnsi="Times New Roman" w:eastAsia="Times New Roman" w:cs="Times New Roman"/>
          <w:spacing w:val="-2"/>
          <w:position w:val="11"/>
          <w:sz w:val="21"/>
          <w:szCs w:val="21"/>
        </w:rPr>
        <w:t>2</w:t>
      </w:r>
      <w:r>
        <w:rPr>
          <w:rFonts w:ascii="宋体" w:hAnsi="宋体" w:eastAsia="宋体" w:cs="宋体"/>
          <w:spacing w:val="-2"/>
          <w:position w:val="11"/>
          <w:sz w:val="21"/>
          <w:szCs w:val="21"/>
        </w:rPr>
        <w:t>）系统的软件或数据库出现错误，不能进行正常操作；</w:t>
      </w:r>
    </w:p>
    <w:p w14:paraId="159301AE">
      <w:pPr>
        <w:spacing w:line="221" w:lineRule="auto"/>
        <w:ind w:left="447"/>
        <w:rPr>
          <w:rFonts w:ascii="宋体" w:hAnsi="宋体" w:eastAsia="宋体" w:cs="宋体"/>
          <w:sz w:val="21"/>
          <w:szCs w:val="21"/>
        </w:rPr>
      </w:pPr>
      <w:r>
        <w:rPr>
          <w:rFonts w:ascii="宋体" w:hAnsi="宋体" w:eastAsia="宋体" w:cs="宋体"/>
          <w:spacing w:val="-1"/>
          <w:sz w:val="21"/>
          <w:szCs w:val="21"/>
        </w:rPr>
        <w:t>（</w:t>
      </w:r>
      <w:r>
        <w:rPr>
          <w:rFonts w:ascii="Times New Roman" w:hAnsi="Times New Roman" w:eastAsia="Times New Roman" w:cs="Times New Roman"/>
          <w:spacing w:val="-1"/>
          <w:sz w:val="21"/>
          <w:szCs w:val="21"/>
        </w:rPr>
        <w:t>3</w:t>
      </w:r>
      <w:r>
        <w:rPr>
          <w:rFonts w:ascii="宋体" w:hAnsi="宋体" w:eastAsia="宋体" w:cs="宋体"/>
          <w:spacing w:val="-1"/>
          <w:sz w:val="21"/>
          <w:szCs w:val="21"/>
        </w:rPr>
        <w:t>）系统发现有安全漏洞，有潜在的泄密危险；</w:t>
      </w:r>
    </w:p>
    <w:p w14:paraId="22F970BE">
      <w:pPr>
        <w:spacing w:before="109" w:line="221" w:lineRule="auto"/>
        <w:ind w:left="447"/>
        <w:rPr>
          <w:rFonts w:ascii="宋体" w:hAnsi="宋体" w:eastAsia="宋体" w:cs="宋体"/>
          <w:sz w:val="21"/>
          <w:szCs w:val="21"/>
        </w:rPr>
      </w:pPr>
      <w:r>
        <w:rPr>
          <w:rFonts w:ascii="宋体" w:hAnsi="宋体" w:eastAsia="宋体" w:cs="宋体"/>
          <w:spacing w:val="-3"/>
          <w:sz w:val="21"/>
          <w:szCs w:val="21"/>
        </w:rPr>
        <w:t>（</w:t>
      </w:r>
      <w:r>
        <w:rPr>
          <w:rFonts w:ascii="Times New Roman" w:hAnsi="Times New Roman" w:eastAsia="Times New Roman" w:cs="Times New Roman"/>
          <w:spacing w:val="-3"/>
          <w:sz w:val="21"/>
          <w:szCs w:val="21"/>
        </w:rPr>
        <w:t>4</w:t>
      </w:r>
      <w:r>
        <w:rPr>
          <w:rFonts w:ascii="宋体" w:hAnsi="宋体" w:eastAsia="宋体" w:cs="宋体"/>
          <w:spacing w:val="-3"/>
          <w:sz w:val="21"/>
          <w:szCs w:val="21"/>
        </w:rPr>
        <w:t>）系统出现网络攻击；</w:t>
      </w:r>
    </w:p>
    <w:p w14:paraId="1C41ED12">
      <w:pPr>
        <w:spacing w:before="108" w:line="221" w:lineRule="auto"/>
        <w:ind w:left="447"/>
        <w:rPr>
          <w:rFonts w:ascii="宋体" w:hAnsi="宋体" w:eastAsia="宋体" w:cs="宋体"/>
          <w:sz w:val="21"/>
          <w:szCs w:val="21"/>
        </w:rPr>
      </w:pPr>
      <w:r>
        <w:rPr>
          <w:rFonts w:ascii="宋体" w:hAnsi="宋体" w:eastAsia="宋体" w:cs="宋体"/>
          <w:spacing w:val="-4"/>
          <w:sz w:val="21"/>
          <w:szCs w:val="21"/>
        </w:rPr>
        <w:t>（</w:t>
      </w:r>
      <w:r>
        <w:rPr>
          <w:rFonts w:ascii="Times New Roman" w:hAnsi="Times New Roman" w:eastAsia="Times New Roman" w:cs="Times New Roman"/>
          <w:spacing w:val="-4"/>
          <w:sz w:val="21"/>
          <w:szCs w:val="21"/>
        </w:rPr>
        <w:t>5</w:t>
      </w:r>
      <w:r>
        <w:rPr>
          <w:rFonts w:ascii="宋体" w:hAnsi="宋体" w:eastAsia="宋体" w:cs="宋体"/>
          <w:spacing w:val="-4"/>
          <w:sz w:val="21"/>
          <w:szCs w:val="21"/>
        </w:rPr>
        <w:t>）出现断电、断网事故；</w:t>
      </w:r>
    </w:p>
    <w:p w14:paraId="06BB290B">
      <w:pPr>
        <w:spacing w:before="109" w:line="221" w:lineRule="auto"/>
        <w:ind w:left="447"/>
        <w:rPr>
          <w:rFonts w:ascii="宋体" w:hAnsi="宋体" w:eastAsia="宋体" w:cs="宋体"/>
          <w:sz w:val="21"/>
          <w:szCs w:val="21"/>
        </w:rPr>
      </w:pPr>
      <w:r>
        <w:rPr>
          <w:rFonts w:ascii="宋体" w:hAnsi="宋体" w:eastAsia="宋体" w:cs="宋体"/>
          <w:spacing w:val="-4"/>
          <w:sz w:val="21"/>
          <w:szCs w:val="21"/>
        </w:rPr>
        <w:t>（</w:t>
      </w:r>
      <w:r>
        <w:rPr>
          <w:rFonts w:ascii="Times New Roman" w:hAnsi="Times New Roman" w:eastAsia="Times New Roman" w:cs="Times New Roman"/>
          <w:spacing w:val="-4"/>
          <w:sz w:val="21"/>
          <w:szCs w:val="21"/>
        </w:rPr>
        <w:t>6</w:t>
      </w:r>
      <w:r>
        <w:rPr>
          <w:rFonts w:ascii="宋体" w:hAnsi="宋体" w:eastAsia="宋体" w:cs="宋体"/>
          <w:spacing w:val="-4"/>
          <w:sz w:val="21"/>
          <w:szCs w:val="21"/>
        </w:rPr>
        <w:t>）出现法定不可抗力因素；</w:t>
      </w:r>
    </w:p>
    <w:p w14:paraId="706943C8">
      <w:pPr>
        <w:spacing w:before="109" w:line="221" w:lineRule="auto"/>
        <w:ind w:left="447"/>
        <w:rPr>
          <w:rFonts w:ascii="宋体" w:hAnsi="宋体" w:eastAsia="宋体" w:cs="宋体"/>
          <w:sz w:val="21"/>
          <w:szCs w:val="21"/>
        </w:rPr>
      </w:pPr>
      <w:r>
        <w:rPr>
          <w:rFonts w:ascii="宋体" w:hAnsi="宋体" w:eastAsia="宋体" w:cs="宋体"/>
          <w:spacing w:val="-1"/>
          <w:sz w:val="21"/>
          <w:szCs w:val="21"/>
        </w:rPr>
        <w:t>（</w:t>
      </w:r>
      <w:r>
        <w:rPr>
          <w:rFonts w:ascii="Times New Roman" w:hAnsi="Times New Roman" w:eastAsia="Times New Roman" w:cs="Times New Roman"/>
          <w:spacing w:val="-1"/>
          <w:sz w:val="21"/>
          <w:szCs w:val="21"/>
        </w:rPr>
        <w:t>7</w:t>
      </w:r>
      <w:r>
        <w:rPr>
          <w:rFonts w:ascii="宋体" w:hAnsi="宋体" w:eastAsia="宋体" w:cs="宋体"/>
          <w:spacing w:val="-1"/>
          <w:sz w:val="21"/>
          <w:szCs w:val="21"/>
        </w:rPr>
        <w:t>）其他无法保证招投标过程正常进行的情形。</w:t>
      </w:r>
    </w:p>
    <w:p w14:paraId="56C97F75">
      <w:pPr>
        <w:spacing w:line="221" w:lineRule="auto"/>
        <w:rPr>
          <w:rFonts w:ascii="宋体" w:hAnsi="宋体" w:eastAsia="宋体" w:cs="宋体"/>
          <w:sz w:val="21"/>
          <w:szCs w:val="21"/>
        </w:rPr>
        <w:sectPr>
          <w:footerReference r:id="rId28" w:type="default"/>
          <w:pgSz w:w="11905" w:h="16839"/>
          <w:pgMar w:top="1431" w:right="1632" w:bottom="1036" w:left="1785" w:header="0" w:footer="847" w:gutter="0"/>
          <w:pgNumType w:fmt="decimal"/>
          <w:cols w:space="720" w:num="1"/>
        </w:sectPr>
      </w:pPr>
    </w:p>
    <w:p w14:paraId="77D9C7BC">
      <w:pPr>
        <w:spacing w:before="57" w:line="225" w:lineRule="auto"/>
        <w:ind w:left="22"/>
        <w:rPr>
          <w:rFonts w:ascii="黑体" w:hAnsi="黑体" w:eastAsia="黑体" w:cs="黑体"/>
          <w:sz w:val="27"/>
          <w:szCs w:val="27"/>
        </w:rPr>
      </w:pPr>
      <w:bookmarkStart w:id="82" w:name="bookmark96"/>
      <w:bookmarkEnd w:id="82"/>
      <w:r>
        <w:rPr>
          <w:rFonts w:ascii="Times New Roman" w:hAnsi="Times New Roman" w:eastAsia="Times New Roman" w:cs="Times New Roman"/>
          <w:sz w:val="27"/>
          <w:szCs w:val="27"/>
        </w:rPr>
        <w:t>6.</w:t>
      </w:r>
      <w:r>
        <w:rPr>
          <w:rFonts w:ascii="Times New Roman" w:hAnsi="Times New Roman" w:eastAsia="Times New Roman" w:cs="Times New Roman"/>
          <w:spacing w:val="17"/>
          <w:sz w:val="27"/>
          <w:szCs w:val="27"/>
        </w:rPr>
        <w:t xml:space="preserve"> </w:t>
      </w:r>
      <w:r>
        <w:rPr>
          <w:rFonts w:ascii="黑体" w:hAnsi="黑体" w:eastAsia="黑体" w:cs="黑体"/>
          <w:sz w:val="27"/>
          <w:szCs w:val="27"/>
        </w:rPr>
        <w:t>评标</w:t>
      </w:r>
    </w:p>
    <w:p w14:paraId="767C7DB2">
      <w:pPr>
        <w:spacing w:before="64" w:line="218" w:lineRule="auto"/>
        <w:ind w:left="20"/>
        <w:rPr>
          <w:rFonts w:ascii="黑体" w:hAnsi="黑体" w:eastAsia="黑体" w:cs="黑体"/>
          <w:sz w:val="24"/>
          <w:szCs w:val="24"/>
        </w:rPr>
      </w:pPr>
      <w:r>
        <w:rPr>
          <w:rFonts w:ascii="Times New Roman" w:hAnsi="Times New Roman" w:eastAsia="Times New Roman" w:cs="Times New Roman"/>
          <w:spacing w:val="-1"/>
          <w:sz w:val="24"/>
          <w:szCs w:val="24"/>
        </w:rPr>
        <w:t xml:space="preserve">6.1 </w:t>
      </w:r>
      <w:r>
        <w:rPr>
          <w:rFonts w:ascii="黑体" w:hAnsi="黑体" w:eastAsia="黑体" w:cs="黑体"/>
          <w:spacing w:val="-1"/>
          <w:sz w:val="24"/>
          <w:szCs w:val="24"/>
        </w:rPr>
        <w:t>评标委员会</w:t>
      </w:r>
    </w:p>
    <w:p w14:paraId="626E4056">
      <w:pPr>
        <w:spacing w:before="102" w:line="284" w:lineRule="auto"/>
        <w:ind w:left="17" w:right="8" w:firstLine="424"/>
        <w:jc w:val="both"/>
        <w:rPr>
          <w:rFonts w:ascii="宋体" w:hAnsi="宋体" w:eastAsia="宋体" w:cs="宋体"/>
          <w:sz w:val="21"/>
          <w:szCs w:val="21"/>
        </w:rPr>
      </w:pPr>
      <w:r>
        <w:rPr>
          <w:rFonts w:ascii="Times New Roman" w:hAnsi="Times New Roman" w:eastAsia="Times New Roman" w:cs="Times New Roman"/>
          <w:spacing w:val="1"/>
          <w:sz w:val="21"/>
          <w:szCs w:val="21"/>
        </w:rPr>
        <w:t>6.1.1</w:t>
      </w:r>
      <w:r>
        <w:rPr>
          <w:rFonts w:ascii="Times New Roman" w:hAnsi="Times New Roman" w:eastAsia="Times New Roman" w:cs="Times New Roman"/>
          <w:spacing w:val="32"/>
          <w:w w:val="101"/>
          <w:sz w:val="21"/>
          <w:szCs w:val="21"/>
        </w:rPr>
        <w:t xml:space="preserve"> </w:t>
      </w:r>
      <w:r>
        <w:rPr>
          <w:rFonts w:ascii="宋体" w:hAnsi="宋体" w:eastAsia="宋体" w:cs="宋体"/>
          <w:spacing w:val="1"/>
          <w:sz w:val="21"/>
          <w:szCs w:val="21"/>
        </w:rPr>
        <w:t>评标由招标人依法组建的评标委员会负责。评标</w:t>
      </w:r>
      <w:r>
        <w:rPr>
          <w:rFonts w:ascii="宋体" w:hAnsi="宋体" w:eastAsia="宋体" w:cs="宋体"/>
          <w:sz w:val="21"/>
          <w:szCs w:val="21"/>
        </w:rPr>
        <w:t xml:space="preserve">委员会由招标人或其委托的招标 </w:t>
      </w:r>
      <w:r>
        <w:rPr>
          <w:rFonts w:ascii="宋体" w:hAnsi="宋体" w:eastAsia="宋体" w:cs="宋体"/>
          <w:spacing w:val="3"/>
          <w:sz w:val="21"/>
          <w:szCs w:val="21"/>
        </w:rPr>
        <w:t>代理机构熟悉相关业务的代表，以及有关技术、经济等方面的专家组成。评标</w:t>
      </w:r>
      <w:r>
        <w:rPr>
          <w:rFonts w:ascii="宋体" w:hAnsi="宋体" w:eastAsia="宋体" w:cs="宋体"/>
          <w:spacing w:val="2"/>
          <w:sz w:val="21"/>
          <w:szCs w:val="21"/>
        </w:rPr>
        <w:t>委员会成员</w:t>
      </w:r>
      <w:r>
        <w:rPr>
          <w:rFonts w:ascii="宋体" w:hAnsi="宋体" w:eastAsia="宋体" w:cs="宋体"/>
          <w:sz w:val="21"/>
          <w:szCs w:val="21"/>
        </w:rPr>
        <w:t xml:space="preserve"> 人数以及技术、经济等方面专家的确定方式见投标人须知</w:t>
      </w:r>
      <w:r>
        <w:rPr>
          <w:rFonts w:ascii="宋体" w:hAnsi="宋体" w:eastAsia="宋体" w:cs="宋体"/>
          <w:spacing w:val="-1"/>
          <w:sz w:val="21"/>
          <w:szCs w:val="21"/>
        </w:rPr>
        <w:t>前附表。</w:t>
      </w:r>
    </w:p>
    <w:p w14:paraId="785FAEFE">
      <w:pPr>
        <w:spacing w:before="109" w:line="220" w:lineRule="auto"/>
        <w:ind w:left="442"/>
        <w:rPr>
          <w:rFonts w:ascii="宋体" w:hAnsi="宋体" w:eastAsia="宋体" w:cs="宋体"/>
          <w:sz w:val="21"/>
          <w:szCs w:val="21"/>
        </w:rPr>
      </w:pPr>
      <w:r>
        <w:rPr>
          <w:rFonts w:ascii="Times New Roman" w:hAnsi="Times New Roman" w:eastAsia="Times New Roman" w:cs="Times New Roman"/>
          <w:spacing w:val="-2"/>
          <w:sz w:val="21"/>
          <w:szCs w:val="21"/>
        </w:rPr>
        <w:t xml:space="preserve">6.1.2 </w:t>
      </w:r>
      <w:r>
        <w:rPr>
          <w:rFonts w:ascii="宋体" w:hAnsi="宋体" w:eastAsia="宋体" w:cs="宋体"/>
          <w:spacing w:val="-2"/>
          <w:sz w:val="21"/>
          <w:szCs w:val="21"/>
        </w:rPr>
        <w:t>评标委员会成员有下列情形之一的，应当回避：</w:t>
      </w:r>
    </w:p>
    <w:p w14:paraId="3B25F5AC">
      <w:pPr>
        <w:spacing w:before="109" w:line="221" w:lineRule="auto"/>
        <w:ind w:left="447"/>
        <w:rPr>
          <w:rFonts w:ascii="宋体" w:hAnsi="宋体" w:eastAsia="宋体" w:cs="宋体"/>
          <w:sz w:val="21"/>
          <w:szCs w:val="21"/>
        </w:rPr>
      </w:pPr>
      <w:r>
        <w:rPr>
          <w:rFonts w:ascii="宋体" w:hAnsi="宋体" w:eastAsia="宋体" w:cs="宋体"/>
          <w:spacing w:val="-2"/>
          <w:sz w:val="21"/>
          <w:szCs w:val="21"/>
        </w:rPr>
        <w:t>（</w:t>
      </w:r>
      <w:r>
        <w:rPr>
          <w:rFonts w:ascii="Times New Roman" w:hAnsi="Times New Roman" w:eastAsia="Times New Roman" w:cs="Times New Roman"/>
          <w:spacing w:val="-2"/>
          <w:sz w:val="21"/>
          <w:szCs w:val="21"/>
        </w:rPr>
        <w:t>1</w:t>
      </w:r>
      <w:r>
        <w:rPr>
          <w:rFonts w:ascii="宋体" w:hAnsi="宋体" w:eastAsia="宋体" w:cs="宋体"/>
          <w:spacing w:val="-2"/>
          <w:sz w:val="21"/>
          <w:szCs w:val="21"/>
        </w:rPr>
        <w:t>）投标人或投标人的主要负责人的近亲</w:t>
      </w:r>
      <w:r>
        <w:rPr>
          <w:rFonts w:ascii="宋体" w:hAnsi="宋体" w:eastAsia="宋体" w:cs="宋体"/>
          <w:spacing w:val="-3"/>
          <w:sz w:val="21"/>
          <w:szCs w:val="21"/>
        </w:rPr>
        <w:t>属；</w:t>
      </w:r>
    </w:p>
    <w:p w14:paraId="652F71AB">
      <w:pPr>
        <w:spacing w:before="109" w:line="221" w:lineRule="auto"/>
        <w:ind w:left="447"/>
        <w:rPr>
          <w:rFonts w:ascii="宋体" w:hAnsi="宋体" w:eastAsia="宋体" w:cs="宋体"/>
          <w:sz w:val="21"/>
          <w:szCs w:val="21"/>
        </w:rPr>
      </w:pPr>
      <w:r>
        <w:rPr>
          <w:rFonts w:ascii="宋体" w:hAnsi="宋体" w:eastAsia="宋体" w:cs="宋体"/>
          <w:spacing w:val="-2"/>
          <w:sz w:val="21"/>
          <w:szCs w:val="21"/>
        </w:rPr>
        <w:t>（</w:t>
      </w:r>
      <w:r>
        <w:rPr>
          <w:rFonts w:ascii="Times New Roman" w:hAnsi="Times New Roman" w:eastAsia="Times New Roman" w:cs="Times New Roman"/>
          <w:spacing w:val="-2"/>
          <w:sz w:val="21"/>
          <w:szCs w:val="21"/>
        </w:rPr>
        <w:t>2</w:t>
      </w:r>
      <w:r>
        <w:rPr>
          <w:rFonts w:ascii="宋体" w:hAnsi="宋体" w:eastAsia="宋体" w:cs="宋体"/>
          <w:spacing w:val="-2"/>
          <w:sz w:val="21"/>
          <w:szCs w:val="21"/>
        </w:rPr>
        <w:t>）项目主管部门或者行政监督部门的人</w:t>
      </w:r>
      <w:r>
        <w:rPr>
          <w:rFonts w:ascii="宋体" w:hAnsi="宋体" w:eastAsia="宋体" w:cs="宋体"/>
          <w:spacing w:val="-3"/>
          <w:sz w:val="21"/>
          <w:szCs w:val="21"/>
        </w:rPr>
        <w:t>员；</w:t>
      </w:r>
    </w:p>
    <w:p w14:paraId="5BCF45B6">
      <w:pPr>
        <w:spacing w:before="110" w:line="221" w:lineRule="auto"/>
        <w:ind w:left="447"/>
        <w:rPr>
          <w:rFonts w:ascii="宋体" w:hAnsi="宋体" w:eastAsia="宋体" w:cs="宋体"/>
          <w:sz w:val="21"/>
          <w:szCs w:val="21"/>
        </w:rPr>
      </w:pPr>
      <w:r>
        <w:rPr>
          <w:rFonts w:ascii="宋体" w:hAnsi="宋体" w:eastAsia="宋体" w:cs="宋体"/>
          <w:spacing w:val="-1"/>
          <w:sz w:val="21"/>
          <w:szCs w:val="21"/>
        </w:rPr>
        <w:t>（</w:t>
      </w:r>
      <w:r>
        <w:rPr>
          <w:rFonts w:ascii="Times New Roman" w:hAnsi="Times New Roman" w:eastAsia="Times New Roman" w:cs="Times New Roman"/>
          <w:spacing w:val="-1"/>
          <w:sz w:val="21"/>
          <w:szCs w:val="21"/>
        </w:rPr>
        <w:t>3</w:t>
      </w:r>
      <w:r>
        <w:rPr>
          <w:rFonts w:ascii="宋体" w:hAnsi="宋体" w:eastAsia="宋体" w:cs="宋体"/>
          <w:spacing w:val="-1"/>
          <w:sz w:val="21"/>
          <w:szCs w:val="21"/>
        </w:rPr>
        <w:t>）与投标人有经济利益关系或其他利害关系，可能</w:t>
      </w:r>
      <w:r>
        <w:rPr>
          <w:rFonts w:ascii="宋体" w:hAnsi="宋体" w:eastAsia="宋体" w:cs="宋体"/>
          <w:spacing w:val="-2"/>
          <w:sz w:val="21"/>
          <w:szCs w:val="21"/>
        </w:rPr>
        <w:t>影响对投标公正评审的；</w:t>
      </w:r>
    </w:p>
    <w:p w14:paraId="5FFED112">
      <w:pPr>
        <w:spacing w:before="109" w:line="221" w:lineRule="auto"/>
        <w:ind w:right="25"/>
        <w:jc w:val="right"/>
        <w:rPr>
          <w:rFonts w:ascii="宋体" w:hAnsi="宋体" w:eastAsia="宋体" w:cs="宋体"/>
          <w:sz w:val="21"/>
          <w:szCs w:val="21"/>
        </w:rPr>
      </w:pPr>
      <w:r>
        <w:rPr>
          <w:rFonts w:ascii="宋体" w:hAnsi="宋体" w:eastAsia="宋体" w:cs="宋体"/>
          <w:sz w:val="21"/>
          <w:szCs w:val="21"/>
        </w:rPr>
        <w:t>（</w:t>
      </w:r>
      <w:r>
        <w:rPr>
          <w:rFonts w:ascii="Times New Roman" w:hAnsi="Times New Roman" w:eastAsia="Times New Roman" w:cs="Times New Roman"/>
          <w:sz w:val="21"/>
          <w:szCs w:val="21"/>
        </w:rPr>
        <w:t>4</w:t>
      </w:r>
      <w:r>
        <w:rPr>
          <w:rFonts w:ascii="宋体" w:hAnsi="宋体" w:eastAsia="宋体" w:cs="宋体"/>
          <w:sz w:val="21"/>
          <w:szCs w:val="21"/>
        </w:rPr>
        <w:t>）曾因在招标、评标以及其他与招标投标有</w:t>
      </w:r>
      <w:r>
        <w:rPr>
          <w:rFonts w:ascii="宋体" w:hAnsi="宋体" w:eastAsia="宋体" w:cs="宋体"/>
          <w:spacing w:val="-1"/>
          <w:sz w:val="21"/>
          <w:szCs w:val="21"/>
        </w:rPr>
        <w:t>关活动中从事违法行为而受过行政处罚</w:t>
      </w:r>
    </w:p>
    <w:p w14:paraId="50397C94">
      <w:pPr>
        <w:spacing w:before="108" w:line="335" w:lineRule="exact"/>
        <w:ind w:left="20"/>
        <w:rPr>
          <w:rFonts w:ascii="宋体" w:hAnsi="宋体" w:eastAsia="宋体" w:cs="宋体"/>
          <w:sz w:val="21"/>
          <w:szCs w:val="21"/>
        </w:rPr>
      </w:pPr>
      <w:r>
        <w:rPr>
          <w:rFonts w:ascii="宋体" w:hAnsi="宋体" w:eastAsia="宋体" w:cs="宋体"/>
          <w:spacing w:val="-4"/>
          <w:position w:val="9"/>
          <w:sz w:val="21"/>
          <w:szCs w:val="21"/>
        </w:rPr>
        <w:t>或刑事处罚的。</w:t>
      </w:r>
    </w:p>
    <w:p w14:paraId="1700127F">
      <w:pPr>
        <w:spacing w:before="1" w:line="218" w:lineRule="auto"/>
        <w:ind w:left="20"/>
        <w:rPr>
          <w:rFonts w:ascii="黑体" w:hAnsi="黑体" w:eastAsia="黑体" w:cs="黑体"/>
          <w:sz w:val="24"/>
          <w:szCs w:val="24"/>
        </w:rPr>
      </w:pPr>
      <w:r>
        <w:rPr>
          <w:rFonts w:ascii="Times New Roman" w:hAnsi="Times New Roman" w:eastAsia="Times New Roman" w:cs="Times New Roman"/>
          <w:spacing w:val="-3"/>
          <w:sz w:val="24"/>
          <w:szCs w:val="24"/>
        </w:rPr>
        <w:t>6.2</w:t>
      </w:r>
      <w:r>
        <w:rPr>
          <w:rFonts w:ascii="Times New Roman" w:hAnsi="Times New Roman" w:eastAsia="Times New Roman" w:cs="Times New Roman"/>
          <w:spacing w:val="17"/>
          <w:sz w:val="24"/>
          <w:szCs w:val="24"/>
        </w:rPr>
        <w:t xml:space="preserve"> </w:t>
      </w:r>
      <w:r>
        <w:rPr>
          <w:rFonts w:ascii="黑体" w:hAnsi="黑体" w:eastAsia="黑体" w:cs="黑体"/>
          <w:spacing w:val="-3"/>
          <w:sz w:val="24"/>
          <w:szCs w:val="24"/>
        </w:rPr>
        <w:t>评标原则</w:t>
      </w:r>
    </w:p>
    <w:p w14:paraId="07645730">
      <w:pPr>
        <w:spacing w:before="100" w:line="336" w:lineRule="exact"/>
        <w:ind w:left="440"/>
        <w:rPr>
          <w:rFonts w:ascii="宋体" w:hAnsi="宋体" w:eastAsia="宋体" w:cs="宋体"/>
          <w:sz w:val="21"/>
          <w:szCs w:val="21"/>
        </w:rPr>
      </w:pPr>
      <w:r>
        <w:rPr>
          <w:rFonts w:ascii="宋体" w:hAnsi="宋体" w:eastAsia="宋体" w:cs="宋体"/>
          <w:spacing w:val="-2"/>
          <w:position w:val="9"/>
          <w:sz w:val="21"/>
          <w:szCs w:val="21"/>
        </w:rPr>
        <w:t>评标活动遵循公平、公正、科学和择优的原则。</w:t>
      </w:r>
    </w:p>
    <w:p w14:paraId="63C6F8A9">
      <w:pPr>
        <w:spacing w:before="1" w:line="218" w:lineRule="auto"/>
        <w:ind w:left="20"/>
        <w:rPr>
          <w:rFonts w:ascii="黑体" w:hAnsi="黑体" w:eastAsia="黑体" w:cs="黑体"/>
          <w:sz w:val="24"/>
          <w:szCs w:val="24"/>
        </w:rPr>
      </w:pPr>
      <w:r>
        <w:rPr>
          <w:rFonts w:ascii="Times New Roman" w:hAnsi="Times New Roman" w:eastAsia="Times New Roman" w:cs="Times New Roman"/>
          <w:spacing w:val="-3"/>
          <w:sz w:val="24"/>
          <w:szCs w:val="24"/>
        </w:rPr>
        <w:t>6.3</w:t>
      </w:r>
      <w:r>
        <w:rPr>
          <w:rFonts w:ascii="Times New Roman" w:hAnsi="Times New Roman" w:eastAsia="Times New Roman" w:cs="Times New Roman"/>
          <w:spacing w:val="13"/>
          <w:sz w:val="24"/>
          <w:szCs w:val="24"/>
        </w:rPr>
        <w:t xml:space="preserve"> </w:t>
      </w:r>
      <w:r>
        <w:rPr>
          <w:rFonts w:ascii="黑体" w:hAnsi="黑体" w:eastAsia="黑体" w:cs="黑体"/>
          <w:spacing w:val="-3"/>
          <w:sz w:val="24"/>
          <w:szCs w:val="24"/>
        </w:rPr>
        <w:t>评标</w:t>
      </w:r>
    </w:p>
    <w:p w14:paraId="230C03F2">
      <w:pPr>
        <w:spacing w:before="101" w:line="268" w:lineRule="auto"/>
        <w:ind w:left="16" w:right="6" w:firstLine="423"/>
        <w:rPr>
          <w:rFonts w:ascii="宋体" w:hAnsi="宋体" w:eastAsia="宋体" w:cs="宋体"/>
          <w:sz w:val="21"/>
          <w:szCs w:val="21"/>
        </w:rPr>
      </w:pPr>
      <w:r>
        <w:rPr>
          <w:rFonts w:ascii="宋体" w:hAnsi="宋体" w:eastAsia="宋体" w:cs="宋体"/>
          <w:spacing w:val="3"/>
          <w:sz w:val="21"/>
          <w:szCs w:val="21"/>
        </w:rPr>
        <w:t xml:space="preserve">评标委员会按照第三章“评标办法”规定的方法、评审因素、标准和程序对投标文件 </w:t>
      </w:r>
      <w:r>
        <w:rPr>
          <w:rFonts w:ascii="宋体" w:hAnsi="宋体" w:eastAsia="宋体" w:cs="宋体"/>
          <w:spacing w:val="-1"/>
          <w:sz w:val="21"/>
          <w:szCs w:val="21"/>
        </w:rPr>
        <w:t>进行评审。第三章“评标办法”没有规定的方法、评审因素和标准，不作为评标依据。</w:t>
      </w:r>
    </w:p>
    <w:p w14:paraId="6F00B83D">
      <w:pPr>
        <w:spacing w:before="110" w:line="335" w:lineRule="exact"/>
        <w:ind w:left="440"/>
        <w:rPr>
          <w:rFonts w:ascii="宋体" w:hAnsi="宋体" w:eastAsia="宋体" w:cs="宋体"/>
          <w:sz w:val="21"/>
          <w:szCs w:val="21"/>
        </w:rPr>
      </w:pPr>
      <w:r>
        <w:rPr>
          <w:rFonts w:ascii="宋体" w:hAnsi="宋体" w:eastAsia="宋体" w:cs="宋体"/>
          <w:spacing w:val="-2"/>
          <w:position w:val="9"/>
          <w:sz w:val="21"/>
          <w:szCs w:val="21"/>
        </w:rPr>
        <w:t>评标采用方式详见投标人须知前附表。</w:t>
      </w:r>
    </w:p>
    <w:p w14:paraId="798CE812">
      <w:pPr>
        <w:spacing w:before="1" w:line="218" w:lineRule="auto"/>
        <w:ind w:left="20"/>
        <w:rPr>
          <w:rFonts w:ascii="黑体" w:hAnsi="黑体" w:eastAsia="黑体" w:cs="黑体"/>
          <w:sz w:val="24"/>
          <w:szCs w:val="24"/>
        </w:rPr>
      </w:pPr>
      <w:r>
        <w:rPr>
          <w:rFonts w:ascii="Times New Roman" w:hAnsi="Times New Roman" w:eastAsia="Times New Roman" w:cs="Times New Roman"/>
          <w:spacing w:val="-1"/>
          <w:sz w:val="24"/>
          <w:szCs w:val="24"/>
        </w:rPr>
        <w:t xml:space="preserve">6.4 </w:t>
      </w:r>
      <w:r>
        <w:rPr>
          <w:rFonts w:ascii="黑体" w:hAnsi="黑体" w:eastAsia="黑体" w:cs="黑体"/>
          <w:spacing w:val="-1"/>
          <w:sz w:val="24"/>
          <w:szCs w:val="24"/>
        </w:rPr>
        <w:t>评标结果公示</w:t>
      </w:r>
    </w:p>
    <w:p w14:paraId="2860BD07">
      <w:pPr>
        <w:spacing w:before="102" w:line="292" w:lineRule="auto"/>
        <w:ind w:left="17" w:right="6" w:firstLine="424"/>
        <w:rPr>
          <w:rFonts w:ascii="宋体" w:hAnsi="宋体" w:eastAsia="宋体" w:cs="宋体"/>
          <w:sz w:val="21"/>
          <w:szCs w:val="21"/>
        </w:rPr>
      </w:pPr>
      <w:r>
        <w:rPr>
          <w:rFonts w:ascii="宋体" w:hAnsi="宋体" w:eastAsia="宋体" w:cs="宋体"/>
          <w:spacing w:val="-2"/>
          <w:sz w:val="21"/>
          <w:szCs w:val="21"/>
        </w:rPr>
        <w:t xml:space="preserve">招标人将自收到评标报告之日起 </w:t>
      </w:r>
      <w:r>
        <w:rPr>
          <w:rFonts w:ascii="Times New Roman" w:hAnsi="Times New Roman" w:eastAsia="Times New Roman" w:cs="Times New Roman"/>
          <w:spacing w:val="-2"/>
          <w:sz w:val="21"/>
          <w:szCs w:val="21"/>
        </w:rPr>
        <w:t>3</w:t>
      </w:r>
      <w:r>
        <w:rPr>
          <w:rFonts w:ascii="Times New Roman" w:hAnsi="Times New Roman" w:eastAsia="Times New Roman" w:cs="Times New Roman"/>
          <w:spacing w:val="20"/>
          <w:sz w:val="21"/>
          <w:szCs w:val="21"/>
        </w:rPr>
        <w:t xml:space="preserve">  </w:t>
      </w:r>
      <w:r>
        <w:rPr>
          <w:rFonts w:ascii="宋体" w:hAnsi="宋体" w:eastAsia="宋体" w:cs="宋体"/>
          <w:spacing w:val="-2"/>
          <w:sz w:val="21"/>
          <w:szCs w:val="21"/>
        </w:rPr>
        <w:t>日内，完成审查评标委员会提交的书面评标报告，</w:t>
      </w:r>
      <w:r>
        <w:rPr>
          <w:rFonts w:ascii="宋体" w:hAnsi="宋体" w:eastAsia="宋体" w:cs="宋体"/>
          <w:sz w:val="21"/>
          <w:szCs w:val="21"/>
        </w:rPr>
        <w:t xml:space="preserve"> 并在投标人须知前附表规定的媒介公示中标候选人。公示期不少于 </w:t>
      </w:r>
      <w:r>
        <w:rPr>
          <w:rFonts w:ascii="Times New Roman" w:hAnsi="Times New Roman" w:eastAsia="Times New Roman" w:cs="Times New Roman"/>
          <w:sz w:val="21"/>
          <w:szCs w:val="21"/>
        </w:rPr>
        <w:t xml:space="preserve">3  </w:t>
      </w:r>
      <w:r>
        <w:rPr>
          <w:rFonts w:ascii="宋体" w:hAnsi="宋体" w:eastAsia="宋体" w:cs="宋体"/>
          <w:sz w:val="21"/>
          <w:szCs w:val="21"/>
        </w:rPr>
        <w:t>日。招标人在中标候</w:t>
      </w:r>
      <w:r>
        <w:rPr>
          <w:rFonts w:ascii="宋体" w:hAnsi="宋体" w:eastAsia="宋体" w:cs="宋体"/>
          <w:spacing w:val="13"/>
          <w:sz w:val="21"/>
          <w:szCs w:val="21"/>
        </w:rPr>
        <w:t xml:space="preserve"> </w:t>
      </w:r>
      <w:r>
        <w:rPr>
          <w:rFonts w:ascii="宋体" w:hAnsi="宋体" w:eastAsia="宋体" w:cs="宋体"/>
          <w:spacing w:val="-1"/>
          <w:sz w:val="21"/>
          <w:szCs w:val="21"/>
        </w:rPr>
        <w:t>选人公示前将对评标委员会提交的评标报告进行审查，</w:t>
      </w:r>
      <w:r>
        <w:rPr>
          <w:rFonts w:ascii="宋体" w:hAnsi="宋体" w:eastAsia="宋体" w:cs="宋体"/>
          <w:spacing w:val="46"/>
          <w:sz w:val="21"/>
          <w:szCs w:val="21"/>
        </w:rPr>
        <w:t xml:space="preserve"> </w:t>
      </w:r>
      <w:r>
        <w:rPr>
          <w:rFonts w:ascii="宋体" w:hAnsi="宋体" w:eastAsia="宋体" w:cs="宋体"/>
          <w:spacing w:val="-1"/>
          <w:sz w:val="21"/>
          <w:szCs w:val="21"/>
        </w:rPr>
        <w:t>发现异常情形的，依照法定程序进</w:t>
      </w:r>
      <w:r>
        <w:rPr>
          <w:rFonts w:ascii="宋体" w:hAnsi="宋体" w:eastAsia="宋体" w:cs="宋体"/>
          <w:sz w:val="21"/>
          <w:szCs w:val="21"/>
        </w:rPr>
        <w:t xml:space="preserve"> </w:t>
      </w:r>
      <w:r>
        <w:rPr>
          <w:rFonts w:ascii="宋体" w:hAnsi="宋体" w:eastAsia="宋体" w:cs="宋体"/>
          <w:spacing w:val="-1"/>
          <w:sz w:val="21"/>
          <w:szCs w:val="21"/>
        </w:rPr>
        <w:t>行复核，确认存在问题的，依照法定程序予以纠正。</w:t>
      </w:r>
    </w:p>
    <w:p w14:paraId="44764795">
      <w:pPr>
        <w:spacing w:before="112" w:line="292" w:lineRule="auto"/>
        <w:ind w:left="21" w:right="6" w:firstLine="422"/>
        <w:rPr>
          <w:rFonts w:ascii="宋体" w:hAnsi="宋体" w:eastAsia="宋体" w:cs="宋体"/>
          <w:sz w:val="21"/>
          <w:szCs w:val="21"/>
        </w:rPr>
      </w:pPr>
      <w:r>
        <w:rPr>
          <w:rFonts w:ascii="宋体" w:hAnsi="宋体" w:eastAsia="宋体" w:cs="宋体"/>
          <w:spacing w:val="3"/>
          <w:sz w:val="21"/>
          <w:szCs w:val="21"/>
        </w:rPr>
        <w:t>投标人或者其他利害关系人对评标结果有异议的，应当在中标候选人公示（评标结果</w:t>
      </w:r>
      <w:r>
        <w:rPr>
          <w:rFonts w:ascii="宋体" w:hAnsi="宋体" w:eastAsia="宋体" w:cs="宋体"/>
          <w:sz w:val="21"/>
          <w:szCs w:val="21"/>
        </w:rPr>
        <w:t xml:space="preserve"> 公示）期间提出。招标人自收到异议之日起 </w:t>
      </w:r>
      <w:r>
        <w:rPr>
          <w:rFonts w:ascii="Times New Roman" w:hAnsi="Times New Roman" w:eastAsia="Times New Roman" w:cs="Times New Roman"/>
          <w:sz w:val="21"/>
          <w:szCs w:val="21"/>
        </w:rPr>
        <w:t xml:space="preserve">3  </w:t>
      </w:r>
      <w:r>
        <w:rPr>
          <w:rFonts w:ascii="宋体" w:hAnsi="宋体" w:eastAsia="宋体" w:cs="宋体"/>
          <w:sz w:val="21"/>
          <w:szCs w:val="21"/>
        </w:rPr>
        <w:t>日内作出答复；作出答复前，暂停招标投标</w:t>
      </w:r>
      <w:r>
        <w:rPr>
          <w:rFonts w:ascii="宋体" w:hAnsi="宋体" w:eastAsia="宋体" w:cs="宋体"/>
          <w:spacing w:val="7"/>
          <w:sz w:val="21"/>
          <w:szCs w:val="21"/>
        </w:rPr>
        <w:t xml:space="preserve"> </w:t>
      </w:r>
      <w:r>
        <w:rPr>
          <w:rFonts w:ascii="宋体" w:hAnsi="宋体" w:eastAsia="宋体" w:cs="宋体"/>
          <w:sz w:val="21"/>
          <w:szCs w:val="21"/>
        </w:rPr>
        <w:t>活动。在法定时间期限内未提出视为投标人权利灭失。 异议与答复应通过电子招标投标系</w:t>
      </w:r>
      <w:r>
        <w:rPr>
          <w:rFonts w:ascii="宋体" w:hAnsi="宋体" w:eastAsia="宋体" w:cs="宋体"/>
          <w:spacing w:val="7"/>
          <w:sz w:val="21"/>
          <w:szCs w:val="21"/>
        </w:rPr>
        <w:t xml:space="preserve"> </w:t>
      </w:r>
      <w:r>
        <w:rPr>
          <w:rFonts w:ascii="宋体" w:hAnsi="宋体" w:eastAsia="宋体" w:cs="宋体"/>
          <w:spacing w:val="-1"/>
          <w:sz w:val="21"/>
          <w:szCs w:val="21"/>
        </w:rPr>
        <w:t>统（辽宁省工程建设项目招标投标异议投诉处理系统）以书面形式</w:t>
      </w:r>
      <w:r>
        <w:rPr>
          <w:rFonts w:ascii="宋体" w:hAnsi="宋体" w:eastAsia="宋体" w:cs="宋体"/>
          <w:spacing w:val="-2"/>
          <w:sz w:val="21"/>
          <w:szCs w:val="21"/>
        </w:rPr>
        <w:t>进行。</w:t>
      </w:r>
    </w:p>
    <w:p w14:paraId="3C54457E">
      <w:pPr>
        <w:spacing w:before="85" w:line="219" w:lineRule="auto"/>
        <w:ind w:left="20"/>
        <w:rPr>
          <w:rFonts w:ascii="黑体" w:hAnsi="黑体" w:eastAsia="黑体" w:cs="黑体"/>
          <w:sz w:val="24"/>
          <w:szCs w:val="24"/>
        </w:rPr>
      </w:pPr>
      <w:r>
        <w:rPr>
          <w:rFonts w:ascii="Times New Roman" w:hAnsi="Times New Roman" w:eastAsia="Times New Roman" w:cs="Times New Roman"/>
          <w:spacing w:val="-7"/>
          <w:sz w:val="24"/>
          <w:szCs w:val="24"/>
        </w:rPr>
        <w:t xml:space="preserve">6.5 </w:t>
      </w:r>
      <w:r>
        <w:rPr>
          <w:rFonts w:ascii="黑体" w:hAnsi="黑体" w:eastAsia="黑体" w:cs="黑体"/>
          <w:spacing w:val="-7"/>
          <w:sz w:val="24"/>
          <w:szCs w:val="24"/>
        </w:rPr>
        <w:t>履约能力的核查 （如有）</w:t>
      </w:r>
    </w:p>
    <w:p w14:paraId="2E8CC466">
      <w:pPr>
        <w:spacing w:before="99" w:line="285" w:lineRule="auto"/>
        <w:ind w:left="18" w:right="6" w:firstLine="426"/>
        <w:jc w:val="both"/>
        <w:rPr>
          <w:rFonts w:ascii="宋体" w:hAnsi="宋体" w:eastAsia="宋体" w:cs="宋体"/>
          <w:sz w:val="21"/>
          <w:szCs w:val="21"/>
        </w:rPr>
      </w:pPr>
      <w:r>
        <w:rPr>
          <w:rFonts w:ascii="宋体" w:hAnsi="宋体" w:eastAsia="宋体" w:cs="宋体"/>
          <w:sz w:val="21"/>
          <w:szCs w:val="21"/>
        </w:rPr>
        <w:t>如果中标候选人的经营、财务状况发生较大变化或者存在违法行为， 招标人认为可能</w:t>
      </w:r>
      <w:r>
        <w:rPr>
          <w:rFonts w:ascii="宋体" w:hAnsi="宋体" w:eastAsia="宋体" w:cs="宋体"/>
          <w:spacing w:val="5"/>
          <w:sz w:val="21"/>
          <w:szCs w:val="21"/>
        </w:rPr>
        <w:t xml:space="preserve"> </w:t>
      </w:r>
      <w:r>
        <w:rPr>
          <w:rFonts w:ascii="宋体" w:hAnsi="宋体" w:eastAsia="宋体" w:cs="宋体"/>
          <w:sz w:val="21"/>
          <w:szCs w:val="21"/>
        </w:rPr>
        <w:t>影响其履约能力的，将在发出中标通知书前报请行政监督部门后， 召集原评标委员会按照</w:t>
      </w:r>
      <w:r>
        <w:rPr>
          <w:rFonts w:ascii="宋体" w:hAnsi="宋体" w:eastAsia="宋体" w:cs="宋体"/>
          <w:spacing w:val="6"/>
          <w:sz w:val="21"/>
          <w:szCs w:val="21"/>
        </w:rPr>
        <w:t xml:space="preserve"> </w:t>
      </w:r>
      <w:r>
        <w:rPr>
          <w:rFonts w:ascii="宋体" w:hAnsi="宋体" w:eastAsia="宋体" w:cs="宋体"/>
          <w:spacing w:val="-2"/>
          <w:sz w:val="21"/>
          <w:szCs w:val="21"/>
        </w:rPr>
        <w:t>招标文件规定的标准和方法核查确认。</w:t>
      </w:r>
    </w:p>
    <w:p w14:paraId="0471191C">
      <w:pPr>
        <w:spacing w:before="153" w:line="393" w:lineRule="exact"/>
        <w:ind w:left="20"/>
        <w:rPr>
          <w:rFonts w:ascii="黑体" w:hAnsi="黑体" w:eastAsia="黑体" w:cs="黑体"/>
          <w:sz w:val="27"/>
          <w:szCs w:val="27"/>
        </w:rPr>
      </w:pPr>
      <w:r>
        <w:rPr>
          <w:rFonts w:ascii="Times New Roman" w:hAnsi="Times New Roman" w:eastAsia="Times New Roman" w:cs="Times New Roman"/>
          <w:spacing w:val="2"/>
          <w:position w:val="8"/>
          <w:sz w:val="27"/>
          <w:szCs w:val="27"/>
        </w:rPr>
        <w:t>7.</w:t>
      </w:r>
      <w:r>
        <w:rPr>
          <w:rFonts w:ascii="Times New Roman" w:hAnsi="Times New Roman" w:eastAsia="Times New Roman" w:cs="Times New Roman"/>
          <w:spacing w:val="24"/>
          <w:position w:val="8"/>
          <w:sz w:val="27"/>
          <w:szCs w:val="27"/>
        </w:rPr>
        <w:t xml:space="preserve"> </w:t>
      </w:r>
      <w:r>
        <w:rPr>
          <w:rFonts w:ascii="黑体" w:hAnsi="黑体" w:eastAsia="黑体" w:cs="黑体"/>
          <w:spacing w:val="2"/>
          <w:position w:val="8"/>
          <w:sz w:val="27"/>
          <w:szCs w:val="27"/>
        </w:rPr>
        <w:t>合同授予</w:t>
      </w:r>
    </w:p>
    <w:p w14:paraId="313E7385">
      <w:pPr>
        <w:spacing w:line="218" w:lineRule="auto"/>
        <w:ind w:left="18"/>
        <w:rPr>
          <w:rFonts w:ascii="黑体" w:hAnsi="黑体" w:eastAsia="黑体" w:cs="黑体"/>
          <w:sz w:val="24"/>
          <w:szCs w:val="24"/>
        </w:rPr>
      </w:pPr>
      <w:r>
        <w:rPr>
          <w:rFonts w:ascii="Times New Roman" w:hAnsi="Times New Roman" w:eastAsia="Times New Roman" w:cs="Times New Roman"/>
          <w:spacing w:val="-1"/>
          <w:sz w:val="24"/>
          <w:szCs w:val="24"/>
        </w:rPr>
        <w:t xml:space="preserve">7.1 </w:t>
      </w:r>
      <w:r>
        <w:rPr>
          <w:rFonts w:ascii="黑体" w:hAnsi="黑体" w:eastAsia="黑体" w:cs="黑体"/>
          <w:spacing w:val="-1"/>
          <w:sz w:val="24"/>
          <w:szCs w:val="24"/>
        </w:rPr>
        <w:t>定标方式</w:t>
      </w:r>
    </w:p>
    <w:p w14:paraId="342164EB">
      <w:pPr>
        <w:spacing w:before="102" w:line="284" w:lineRule="auto"/>
        <w:ind w:left="17" w:right="6" w:firstLine="436"/>
        <w:rPr>
          <w:rFonts w:ascii="宋体" w:hAnsi="宋体" w:eastAsia="宋体" w:cs="宋体"/>
          <w:sz w:val="21"/>
          <w:szCs w:val="21"/>
        </w:rPr>
      </w:pPr>
      <w:r>
        <w:rPr>
          <w:rFonts w:ascii="宋体" w:hAnsi="宋体" w:eastAsia="宋体" w:cs="宋体"/>
          <w:spacing w:val="3"/>
          <w:sz w:val="21"/>
          <w:szCs w:val="21"/>
        </w:rPr>
        <w:t>除投标人须知前附表规定评标委员会直接确定中标人外，招标</w:t>
      </w:r>
      <w:r>
        <w:rPr>
          <w:rFonts w:ascii="宋体" w:hAnsi="宋体" w:eastAsia="宋体" w:cs="宋体"/>
          <w:spacing w:val="2"/>
          <w:sz w:val="21"/>
          <w:szCs w:val="21"/>
        </w:rPr>
        <w:t>人依据评标委员会推荐</w:t>
      </w:r>
      <w:r>
        <w:rPr>
          <w:rFonts w:ascii="宋体" w:hAnsi="宋体" w:eastAsia="宋体" w:cs="宋体"/>
          <w:sz w:val="21"/>
          <w:szCs w:val="21"/>
        </w:rPr>
        <w:t xml:space="preserve"> </w:t>
      </w:r>
      <w:r>
        <w:rPr>
          <w:rFonts w:ascii="宋体" w:hAnsi="宋体" w:eastAsia="宋体" w:cs="宋体"/>
          <w:spacing w:val="3"/>
          <w:sz w:val="21"/>
          <w:szCs w:val="21"/>
        </w:rPr>
        <w:t>的中标候选人确定中标人或从评标委员会推荐的中标候选人范围内自主研究确定中标人，</w:t>
      </w:r>
      <w:r>
        <w:rPr>
          <w:rFonts w:ascii="宋体" w:hAnsi="宋体" w:eastAsia="宋体" w:cs="宋体"/>
          <w:sz w:val="21"/>
          <w:szCs w:val="21"/>
        </w:rPr>
        <w:t xml:space="preserve"> </w:t>
      </w:r>
      <w:r>
        <w:rPr>
          <w:rFonts w:ascii="宋体" w:hAnsi="宋体" w:eastAsia="宋体" w:cs="宋体"/>
          <w:spacing w:val="-1"/>
          <w:sz w:val="21"/>
          <w:szCs w:val="21"/>
        </w:rPr>
        <w:t>评标委员会推荐中标候选人的人数见投标人须知前附表。</w:t>
      </w:r>
    </w:p>
    <w:p w14:paraId="44F737AC">
      <w:pPr>
        <w:spacing w:before="109" w:line="285" w:lineRule="auto"/>
        <w:ind w:left="17" w:right="6" w:firstLine="424"/>
        <w:rPr>
          <w:rFonts w:ascii="宋体" w:hAnsi="宋体" w:eastAsia="宋体" w:cs="宋体"/>
          <w:sz w:val="21"/>
          <w:szCs w:val="21"/>
        </w:rPr>
      </w:pPr>
      <w:r>
        <w:rPr>
          <w:rFonts w:ascii="宋体" w:hAnsi="宋体" w:eastAsia="宋体" w:cs="宋体"/>
          <w:spacing w:val="3"/>
          <w:sz w:val="21"/>
          <w:szCs w:val="21"/>
        </w:rPr>
        <w:t>招标人从评标委员会推荐的中标候选人范围内自主研究确定中标人的，招标人按照定</w:t>
      </w:r>
      <w:r>
        <w:rPr>
          <w:rFonts w:ascii="宋体" w:hAnsi="宋体" w:eastAsia="宋体" w:cs="宋体"/>
          <w:spacing w:val="2"/>
          <w:sz w:val="21"/>
          <w:szCs w:val="21"/>
        </w:rPr>
        <w:t xml:space="preserve"> </w:t>
      </w:r>
      <w:r>
        <w:rPr>
          <w:rFonts w:ascii="宋体" w:hAnsi="宋体" w:eastAsia="宋体" w:cs="宋体"/>
          <w:spacing w:val="3"/>
          <w:sz w:val="21"/>
          <w:szCs w:val="21"/>
        </w:rPr>
        <w:t>标办法规定的规则组建定标委员会，定标委员会按照定标办法规定的方法、规则、标准和</w:t>
      </w:r>
      <w:r>
        <w:rPr>
          <w:rFonts w:ascii="宋体" w:hAnsi="宋体" w:eastAsia="宋体" w:cs="宋体"/>
          <w:sz w:val="21"/>
          <w:szCs w:val="21"/>
        </w:rPr>
        <w:t xml:space="preserve"> </w:t>
      </w:r>
      <w:r>
        <w:rPr>
          <w:rFonts w:ascii="宋体" w:hAnsi="宋体" w:eastAsia="宋体" w:cs="宋体"/>
          <w:spacing w:val="-4"/>
          <w:sz w:val="21"/>
          <w:szCs w:val="21"/>
        </w:rPr>
        <w:t>程序在中标候选人中定标，确定中标人。 定标办法没有规定的方法、规则、标准，</w:t>
      </w:r>
      <w:r>
        <w:rPr>
          <w:rFonts w:ascii="宋体" w:hAnsi="宋体" w:eastAsia="宋体" w:cs="宋体"/>
          <w:spacing w:val="66"/>
          <w:sz w:val="21"/>
          <w:szCs w:val="21"/>
        </w:rPr>
        <w:t xml:space="preserve"> </w:t>
      </w:r>
      <w:r>
        <w:rPr>
          <w:rFonts w:ascii="宋体" w:hAnsi="宋体" w:eastAsia="宋体" w:cs="宋体"/>
          <w:spacing w:val="-4"/>
          <w:sz w:val="21"/>
          <w:szCs w:val="21"/>
        </w:rPr>
        <w:t>不得作</w:t>
      </w:r>
    </w:p>
    <w:p w14:paraId="5225DBB2">
      <w:pPr>
        <w:spacing w:line="285" w:lineRule="auto"/>
        <w:rPr>
          <w:rFonts w:ascii="宋体" w:hAnsi="宋体" w:eastAsia="宋体" w:cs="宋体"/>
          <w:sz w:val="21"/>
          <w:szCs w:val="21"/>
        </w:rPr>
        <w:sectPr>
          <w:footerReference r:id="rId29" w:type="default"/>
          <w:pgSz w:w="11905" w:h="16839"/>
          <w:pgMar w:top="1431" w:right="1785" w:bottom="1036" w:left="1785" w:header="0" w:footer="847" w:gutter="0"/>
          <w:pgNumType w:fmt="decimal"/>
          <w:cols w:space="720" w:num="1"/>
        </w:sectPr>
      </w:pPr>
    </w:p>
    <w:p w14:paraId="37F967B5">
      <w:pPr>
        <w:spacing w:before="115" w:line="220" w:lineRule="auto"/>
        <w:ind w:left="20"/>
        <w:rPr>
          <w:rFonts w:ascii="宋体" w:hAnsi="宋体" w:eastAsia="宋体" w:cs="宋体"/>
          <w:sz w:val="21"/>
          <w:szCs w:val="21"/>
        </w:rPr>
      </w:pPr>
      <w:r>
        <w:rPr>
          <w:rFonts w:ascii="宋体" w:hAnsi="宋体" w:eastAsia="宋体" w:cs="宋体"/>
          <w:spacing w:val="-1"/>
          <w:sz w:val="21"/>
          <w:szCs w:val="21"/>
        </w:rPr>
        <w:t>为定标依据。</w:t>
      </w:r>
    </w:p>
    <w:p w14:paraId="6EE343DF">
      <w:pPr>
        <w:spacing w:before="84" w:line="220" w:lineRule="auto"/>
        <w:ind w:left="18"/>
        <w:rPr>
          <w:rFonts w:ascii="黑体" w:hAnsi="黑体" w:eastAsia="黑体" w:cs="黑体"/>
          <w:sz w:val="24"/>
          <w:szCs w:val="24"/>
        </w:rPr>
      </w:pPr>
      <w:bookmarkStart w:id="83" w:name="bookmark97"/>
      <w:bookmarkEnd w:id="83"/>
      <w:r>
        <w:rPr>
          <w:rFonts w:ascii="Times New Roman" w:hAnsi="Times New Roman" w:eastAsia="Times New Roman" w:cs="Times New Roman"/>
          <w:spacing w:val="-4"/>
          <w:sz w:val="24"/>
          <w:szCs w:val="24"/>
        </w:rPr>
        <w:t>7.2</w:t>
      </w:r>
      <w:r>
        <w:rPr>
          <w:rFonts w:ascii="Times New Roman" w:hAnsi="Times New Roman" w:eastAsia="Times New Roman" w:cs="Times New Roman"/>
          <w:spacing w:val="31"/>
          <w:sz w:val="24"/>
          <w:szCs w:val="24"/>
        </w:rPr>
        <w:t xml:space="preserve"> </w:t>
      </w:r>
      <w:r>
        <w:rPr>
          <w:rFonts w:ascii="黑体" w:hAnsi="黑体" w:eastAsia="黑体" w:cs="黑体"/>
          <w:spacing w:val="-4"/>
          <w:sz w:val="24"/>
          <w:szCs w:val="24"/>
        </w:rPr>
        <w:t>中标通知</w:t>
      </w:r>
    </w:p>
    <w:p w14:paraId="7633E3BE">
      <w:pPr>
        <w:spacing w:before="99" w:line="285" w:lineRule="auto"/>
        <w:ind w:left="38" w:right="152" w:firstLine="402"/>
        <w:jc w:val="both"/>
        <w:rPr>
          <w:rFonts w:ascii="宋体" w:hAnsi="宋体" w:eastAsia="宋体" w:cs="宋体"/>
          <w:sz w:val="21"/>
          <w:szCs w:val="21"/>
        </w:rPr>
      </w:pPr>
      <w:r>
        <w:rPr>
          <w:rFonts w:ascii="宋体" w:hAnsi="宋体" w:eastAsia="宋体" w:cs="宋体"/>
          <w:sz w:val="21"/>
          <w:szCs w:val="21"/>
        </w:rPr>
        <w:t>评标结果公示期满后，在本章第</w:t>
      </w:r>
      <w:r>
        <w:rPr>
          <w:rFonts w:ascii="宋体" w:hAnsi="宋体" w:eastAsia="宋体" w:cs="宋体"/>
          <w:spacing w:val="-57"/>
          <w:sz w:val="21"/>
          <w:szCs w:val="21"/>
        </w:rPr>
        <w:t xml:space="preserve"> </w:t>
      </w:r>
      <w:r>
        <w:rPr>
          <w:rFonts w:ascii="Times New Roman" w:hAnsi="Times New Roman" w:eastAsia="Times New Roman" w:cs="Times New Roman"/>
          <w:sz w:val="21"/>
          <w:szCs w:val="21"/>
        </w:rPr>
        <w:t>3.3</w:t>
      </w:r>
      <w:r>
        <w:rPr>
          <w:rFonts w:ascii="Times New Roman" w:hAnsi="Times New Roman" w:eastAsia="Times New Roman" w:cs="Times New Roman"/>
          <w:spacing w:val="-14"/>
          <w:sz w:val="21"/>
          <w:szCs w:val="21"/>
        </w:rPr>
        <w:t xml:space="preserve"> </w:t>
      </w:r>
      <w:r>
        <w:rPr>
          <w:rFonts w:ascii="宋体" w:hAnsi="宋体" w:eastAsia="宋体" w:cs="宋体"/>
          <w:sz w:val="21"/>
          <w:szCs w:val="21"/>
        </w:rPr>
        <w:t>款规定</w:t>
      </w:r>
      <w:r>
        <w:rPr>
          <w:rFonts w:ascii="宋体" w:hAnsi="宋体" w:eastAsia="宋体" w:cs="宋体"/>
          <w:spacing w:val="-1"/>
          <w:sz w:val="21"/>
          <w:szCs w:val="21"/>
        </w:rPr>
        <w:t>的投标有效期内，招标人通过电子交易系统</w:t>
      </w:r>
      <w:r>
        <w:rPr>
          <w:rFonts w:ascii="宋体" w:hAnsi="宋体" w:eastAsia="宋体" w:cs="宋体"/>
          <w:sz w:val="21"/>
          <w:szCs w:val="21"/>
        </w:rPr>
        <w:t xml:space="preserve"> </w:t>
      </w:r>
      <w:r>
        <w:rPr>
          <w:rFonts w:ascii="宋体" w:hAnsi="宋体" w:eastAsia="宋体" w:cs="宋体"/>
          <w:spacing w:val="-1"/>
          <w:sz w:val="21"/>
          <w:szCs w:val="21"/>
        </w:rPr>
        <w:t>以书面形式向中标人发出经电子监督系统验证备案的中标通知书，</w:t>
      </w:r>
      <w:r>
        <w:rPr>
          <w:rFonts w:ascii="宋体" w:hAnsi="宋体" w:eastAsia="宋体" w:cs="宋体"/>
          <w:spacing w:val="34"/>
          <w:sz w:val="21"/>
          <w:szCs w:val="21"/>
        </w:rPr>
        <w:t xml:space="preserve"> </w:t>
      </w:r>
      <w:r>
        <w:rPr>
          <w:rFonts w:ascii="宋体" w:hAnsi="宋体" w:eastAsia="宋体" w:cs="宋体"/>
          <w:spacing w:val="-1"/>
          <w:sz w:val="21"/>
          <w:szCs w:val="21"/>
        </w:rPr>
        <w:t>同时</w:t>
      </w:r>
      <w:r>
        <w:rPr>
          <w:rFonts w:ascii="宋体" w:hAnsi="宋体" w:eastAsia="宋体" w:cs="宋体"/>
          <w:spacing w:val="-2"/>
          <w:sz w:val="21"/>
          <w:szCs w:val="21"/>
        </w:rPr>
        <w:t>将中标结果通知未</w:t>
      </w:r>
      <w:r>
        <w:rPr>
          <w:rFonts w:ascii="宋体" w:hAnsi="宋体" w:eastAsia="宋体" w:cs="宋体"/>
          <w:sz w:val="21"/>
          <w:szCs w:val="21"/>
        </w:rPr>
        <w:t xml:space="preserve"> </w:t>
      </w:r>
      <w:r>
        <w:rPr>
          <w:rFonts w:ascii="宋体" w:hAnsi="宋体" w:eastAsia="宋体" w:cs="宋体"/>
          <w:spacing w:val="-6"/>
          <w:sz w:val="21"/>
          <w:szCs w:val="21"/>
        </w:rPr>
        <w:t>中标的投标人。</w:t>
      </w:r>
    </w:p>
    <w:p w14:paraId="0BC47E40">
      <w:pPr>
        <w:spacing w:before="108" w:line="269" w:lineRule="auto"/>
        <w:ind w:left="22" w:right="154" w:firstLine="438"/>
        <w:rPr>
          <w:rFonts w:ascii="宋体" w:hAnsi="宋体" w:eastAsia="宋体" w:cs="宋体"/>
          <w:sz w:val="21"/>
          <w:szCs w:val="21"/>
        </w:rPr>
      </w:pPr>
      <w:r>
        <w:rPr>
          <w:rFonts w:ascii="宋体" w:hAnsi="宋体" w:eastAsia="宋体" w:cs="宋体"/>
          <w:spacing w:val="-1"/>
          <w:sz w:val="21"/>
          <w:szCs w:val="21"/>
        </w:rPr>
        <w:t>中标通知书发出的同时，招标人将在投标人须知前附表第</w:t>
      </w:r>
      <w:r>
        <w:rPr>
          <w:rFonts w:ascii="宋体" w:hAnsi="宋体" w:eastAsia="宋体" w:cs="宋体"/>
          <w:spacing w:val="-55"/>
          <w:sz w:val="21"/>
          <w:szCs w:val="21"/>
        </w:rPr>
        <w:t xml:space="preserve"> </w:t>
      </w:r>
      <w:r>
        <w:rPr>
          <w:rFonts w:ascii="Times New Roman" w:hAnsi="Times New Roman" w:eastAsia="Times New Roman" w:cs="Times New Roman"/>
          <w:spacing w:val="-1"/>
          <w:sz w:val="21"/>
          <w:szCs w:val="21"/>
        </w:rPr>
        <w:t>6.4</w:t>
      </w:r>
      <w:r>
        <w:rPr>
          <w:rFonts w:ascii="Times New Roman" w:hAnsi="Times New Roman" w:eastAsia="Times New Roman" w:cs="Times New Roman"/>
          <w:spacing w:val="-15"/>
          <w:sz w:val="21"/>
          <w:szCs w:val="21"/>
        </w:rPr>
        <w:t xml:space="preserve"> </w:t>
      </w:r>
      <w:r>
        <w:rPr>
          <w:rFonts w:ascii="宋体" w:hAnsi="宋体" w:eastAsia="宋体" w:cs="宋体"/>
          <w:spacing w:val="-1"/>
          <w:sz w:val="21"/>
          <w:szCs w:val="21"/>
        </w:rPr>
        <w:t>款规定的媒介发布</w:t>
      </w:r>
      <w:r>
        <w:rPr>
          <w:rFonts w:ascii="宋体" w:hAnsi="宋体" w:eastAsia="宋体" w:cs="宋体"/>
          <w:spacing w:val="-2"/>
          <w:sz w:val="21"/>
          <w:szCs w:val="21"/>
        </w:rPr>
        <w:t>中标结</w:t>
      </w:r>
      <w:r>
        <w:rPr>
          <w:rFonts w:ascii="宋体" w:hAnsi="宋体" w:eastAsia="宋体" w:cs="宋体"/>
          <w:sz w:val="21"/>
          <w:szCs w:val="21"/>
        </w:rPr>
        <w:t xml:space="preserve"> </w:t>
      </w:r>
      <w:r>
        <w:rPr>
          <w:rFonts w:ascii="宋体" w:hAnsi="宋体" w:eastAsia="宋体" w:cs="宋体"/>
          <w:spacing w:val="-8"/>
          <w:sz w:val="21"/>
          <w:szCs w:val="21"/>
        </w:rPr>
        <w:t>果公示。</w:t>
      </w:r>
    </w:p>
    <w:p w14:paraId="6CBF3209">
      <w:pPr>
        <w:spacing w:before="83" w:line="219" w:lineRule="auto"/>
        <w:ind w:left="18"/>
        <w:rPr>
          <w:rFonts w:ascii="黑体" w:hAnsi="黑体" w:eastAsia="黑体" w:cs="黑体"/>
          <w:sz w:val="24"/>
          <w:szCs w:val="24"/>
        </w:rPr>
      </w:pPr>
      <w:r>
        <w:rPr>
          <w:rFonts w:ascii="Times New Roman" w:hAnsi="Times New Roman" w:eastAsia="Times New Roman" w:cs="Times New Roman"/>
          <w:spacing w:val="-1"/>
          <w:sz w:val="24"/>
          <w:szCs w:val="24"/>
        </w:rPr>
        <w:t xml:space="preserve">7.3 </w:t>
      </w:r>
      <w:r>
        <w:rPr>
          <w:rFonts w:ascii="黑体" w:hAnsi="黑体" w:eastAsia="黑体" w:cs="黑体"/>
          <w:spacing w:val="-1"/>
          <w:sz w:val="24"/>
          <w:szCs w:val="24"/>
        </w:rPr>
        <w:t>履约保证金</w:t>
      </w:r>
    </w:p>
    <w:p w14:paraId="0BE2089E">
      <w:pPr>
        <w:spacing w:before="102" w:line="292" w:lineRule="auto"/>
        <w:ind w:left="18" w:right="155" w:firstLine="422"/>
        <w:jc w:val="both"/>
        <w:rPr>
          <w:rFonts w:ascii="宋体" w:hAnsi="宋体" w:eastAsia="宋体" w:cs="宋体"/>
          <w:sz w:val="21"/>
          <w:szCs w:val="21"/>
        </w:rPr>
      </w:pPr>
      <w:r>
        <w:rPr>
          <w:rFonts w:ascii="Times New Roman" w:hAnsi="Times New Roman" w:eastAsia="Times New Roman" w:cs="Times New Roman"/>
          <w:spacing w:val="1"/>
          <w:sz w:val="21"/>
          <w:szCs w:val="21"/>
        </w:rPr>
        <w:t>7.3.1</w:t>
      </w:r>
      <w:r>
        <w:rPr>
          <w:rFonts w:ascii="Times New Roman" w:hAnsi="Times New Roman" w:eastAsia="Times New Roman" w:cs="Times New Roman"/>
          <w:spacing w:val="41"/>
          <w:w w:val="101"/>
          <w:sz w:val="21"/>
          <w:szCs w:val="21"/>
        </w:rPr>
        <w:t xml:space="preserve"> </w:t>
      </w:r>
      <w:r>
        <w:rPr>
          <w:rFonts w:ascii="宋体" w:hAnsi="宋体" w:eastAsia="宋体" w:cs="宋体"/>
          <w:spacing w:val="1"/>
          <w:sz w:val="21"/>
          <w:szCs w:val="21"/>
        </w:rPr>
        <w:t>在签订合同前，中标人应按投标人须知前</w:t>
      </w:r>
      <w:r>
        <w:rPr>
          <w:rFonts w:ascii="宋体" w:hAnsi="宋体" w:eastAsia="宋体" w:cs="宋体"/>
          <w:sz w:val="21"/>
          <w:szCs w:val="21"/>
        </w:rPr>
        <w:t xml:space="preserve">附表规定的金额、担保形式和招标文件 </w:t>
      </w:r>
      <w:r>
        <w:rPr>
          <w:rFonts w:ascii="宋体" w:hAnsi="宋体" w:eastAsia="宋体" w:cs="宋体"/>
          <w:spacing w:val="3"/>
          <w:sz w:val="21"/>
          <w:szCs w:val="21"/>
        </w:rPr>
        <w:t>第四章“合同条款及格式”规定的履约保证金格式或者事先经过招标人书面</w:t>
      </w:r>
      <w:r>
        <w:rPr>
          <w:rFonts w:ascii="宋体" w:hAnsi="宋体" w:eastAsia="宋体" w:cs="宋体"/>
          <w:spacing w:val="2"/>
          <w:sz w:val="21"/>
          <w:szCs w:val="21"/>
        </w:rPr>
        <w:t>认可的履约保</w:t>
      </w:r>
      <w:r>
        <w:rPr>
          <w:rFonts w:ascii="宋体" w:hAnsi="宋体" w:eastAsia="宋体" w:cs="宋体"/>
          <w:sz w:val="21"/>
          <w:szCs w:val="21"/>
        </w:rPr>
        <w:t xml:space="preserve"> </w:t>
      </w:r>
      <w:r>
        <w:rPr>
          <w:rFonts w:ascii="宋体" w:hAnsi="宋体" w:eastAsia="宋体" w:cs="宋体"/>
          <w:spacing w:val="3"/>
          <w:sz w:val="21"/>
          <w:szCs w:val="21"/>
        </w:rPr>
        <w:t>证金格式向招标人提交履约担保。联合体中标的，其履约保证金由牵头人递</w:t>
      </w:r>
      <w:r>
        <w:rPr>
          <w:rFonts w:ascii="宋体" w:hAnsi="宋体" w:eastAsia="宋体" w:cs="宋体"/>
          <w:spacing w:val="2"/>
          <w:sz w:val="21"/>
          <w:szCs w:val="21"/>
        </w:rPr>
        <w:t>交，并应符合</w:t>
      </w:r>
      <w:r>
        <w:rPr>
          <w:rFonts w:ascii="宋体" w:hAnsi="宋体" w:eastAsia="宋体" w:cs="宋体"/>
          <w:sz w:val="21"/>
          <w:szCs w:val="21"/>
        </w:rPr>
        <w:t xml:space="preserve"> </w:t>
      </w:r>
      <w:r>
        <w:rPr>
          <w:rFonts w:ascii="宋体" w:hAnsi="宋体" w:eastAsia="宋体" w:cs="宋体"/>
          <w:spacing w:val="-2"/>
          <w:sz w:val="21"/>
          <w:szCs w:val="21"/>
        </w:rPr>
        <w:t>投标人须知前附表的规定。</w:t>
      </w:r>
    </w:p>
    <w:p w14:paraId="415218E2">
      <w:pPr>
        <w:spacing w:before="108" w:line="285" w:lineRule="auto"/>
        <w:ind w:left="18" w:right="155" w:firstLine="422"/>
        <w:jc w:val="both"/>
        <w:rPr>
          <w:rFonts w:ascii="宋体" w:hAnsi="宋体" w:eastAsia="宋体" w:cs="宋体"/>
          <w:sz w:val="21"/>
          <w:szCs w:val="21"/>
        </w:rPr>
      </w:pPr>
      <w:r>
        <w:rPr>
          <w:rFonts w:ascii="Times New Roman" w:hAnsi="Times New Roman" w:eastAsia="Times New Roman" w:cs="Times New Roman"/>
          <w:spacing w:val="-1"/>
          <w:sz w:val="21"/>
          <w:szCs w:val="21"/>
        </w:rPr>
        <w:t>7.3.2</w:t>
      </w:r>
      <w:r>
        <w:rPr>
          <w:rFonts w:ascii="Times New Roman" w:hAnsi="Times New Roman" w:eastAsia="Times New Roman" w:cs="Times New Roman"/>
          <w:spacing w:val="14"/>
          <w:w w:val="101"/>
          <w:sz w:val="21"/>
          <w:szCs w:val="21"/>
        </w:rPr>
        <w:t xml:space="preserve"> </w:t>
      </w:r>
      <w:r>
        <w:rPr>
          <w:rFonts w:ascii="宋体" w:hAnsi="宋体" w:eastAsia="宋体" w:cs="宋体"/>
          <w:spacing w:val="-1"/>
          <w:sz w:val="21"/>
          <w:szCs w:val="21"/>
        </w:rPr>
        <w:t>中标人不能按本章第</w:t>
      </w:r>
      <w:r>
        <w:rPr>
          <w:rFonts w:ascii="宋体" w:hAnsi="宋体" w:eastAsia="宋体" w:cs="宋体"/>
          <w:spacing w:val="-48"/>
          <w:sz w:val="21"/>
          <w:szCs w:val="21"/>
        </w:rPr>
        <w:t xml:space="preserve"> </w:t>
      </w:r>
      <w:r>
        <w:rPr>
          <w:rFonts w:ascii="Times New Roman" w:hAnsi="Times New Roman" w:eastAsia="Times New Roman" w:cs="Times New Roman"/>
          <w:spacing w:val="-1"/>
          <w:sz w:val="21"/>
          <w:szCs w:val="21"/>
        </w:rPr>
        <w:t xml:space="preserve">7.3.1 </w:t>
      </w:r>
      <w:r>
        <w:rPr>
          <w:rFonts w:ascii="宋体" w:hAnsi="宋体" w:eastAsia="宋体" w:cs="宋体"/>
          <w:spacing w:val="-1"/>
          <w:sz w:val="21"/>
          <w:szCs w:val="21"/>
        </w:rPr>
        <w:t>项要求提交履约保证</w:t>
      </w:r>
      <w:r>
        <w:rPr>
          <w:rFonts w:ascii="宋体" w:hAnsi="宋体" w:eastAsia="宋体" w:cs="宋体"/>
          <w:spacing w:val="-2"/>
          <w:sz w:val="21"/>
          <w:szCs w:val="21"/>
        </w:rPr>
        <w:t>金的，视为放弃中标，其投标保证</w:t>
      </w:r>
      <w:r>
        <w:rPr>
          <w:rFonts w:ascii="宋体" w:hAnsi="宋体" w:eastAsia="宋体" w:cs="宋体"/>
          <w:sz w:val="21"/>
          <w:szCs w:val="21"/>
        </w:rPr>
        <w:t xml:space="preserve"> </w:t>
      </w:r>
      <w:r>
        <w:rPr>
          <w:rFonts w:ascii="宋体" w:hAnsi="宋体" w:eastAsia="宋体" w:cs="宋体"/>
          <w:spacing w:val="-2"/>
          <w:sz w:val="21"/>
          <w:szCs w:val="21"/>
        </w:rPr>
        <w:t>金不予退还， 给招标人造成的损失超过投标保证金数</w:t>
      </w:r>
      <w:r>
        <w:rPr>
          <w:rFonts w:ascii="宋体" w:hAnsi="宋体" w:eastAsia="宋体" w:cs="宋体"/>
          <w:spacing w:val="-3"/>
          <w:sz w:val="21"/>
          <w:szCs w:val="21"/>
        </w:rPr>
        <w:t>额的， 中标人还应当对超过部分予以</w:t>
      </w:r>
      <w:r>
        <w:rPr>
          <w:rFonts w:ascii="宋体" w:hAnsi="宋体" w:eastAsia="宋体" w:cs="宋体"/>
          <w:sz w:val="21"/>
          <w:szCs w:val="21"/>
        </w:rPr>
        <w:t xml:space="preserve"> </w:t>
      </w:r>
      <w:r>
        <w:rPr>
          <w:rFonts w:ascii="宋体" w:hAnsi="宋体" w:eastAsia="宋体" w:cs="宋体"/>
          <w:spacing w:val="-8"/>
          <w:sz w:val="21"/>
          <w:szCs w:val="21"/>
        </w:rPr>
        <w:t>赔偿。</w:t>
      </w:r>
    </w:p>
    <w:p w14:paraId="29E9EB18">
      <w:pPr>
        <w:spacing w:before="85" w:line="220" w:lineRule="auto"/>
        <w:ind w:left="18"/>
        <w:rPr>
          <w:rFonts w:ascii="黑体" w:hAnsi="黑体" w:eastAsia="黑体" w:cs="黑体"/>
          <w:sz w:val="24"/>
          <w:szCs w:val="24"/>
        </w:rPr>
      </w:pPr>
      <w:r>
        <w:rPr>
          <w:rFonts w:ascii="Times New Roman" w:hAnsi="Times New Roman" w:eastAsia="Times New Roman" w:cs="Times New Roman"/>
          <w:spacing w:val="-2"/>
          <w:sz w:val="24"/>
          <w:szCs w:val="24"/>
        </w:rPr>
        <w:t>7.4</w:t>
      </w:r>
      <w:r>
        <w:rPr>
          <w:rFonts w:ascii="Times New Roman" w:hAnsi="Times New Roman" w:eastAsia="Times New Roman" w:cs="Times New Roman"/>
          <w:spacing w:val="12"/>
          <w:sz w:val="24"/>
          <w:szCs w:val="24"/>
        </w:rPr>
        <w:t xml:space="preserve"> </w:t>
      </w:r>
      <w:r>
        <w:rPr>
          <w:rFonts w:ascii="黑体" w:hAnsi="黑体" w:eastAsia="黑体" w:cs="黑体"/>
          <w:spacing w:val="-2"/>
          <w:sz w:val="24"/>
          <w:szCs w:val="24"/>
        </w:rPr>
        <w:t>签订合同</w:t>
      </w:r>
    </w:p>
    <w:p w14:paraId="0DFFA785">
      <w:pPr>
        <w:spacing w:before="100" w:line="297" w:lineRule="auto"/>
        <w:ind w:left="19" w:firstLine="421"/>
        <w:rPr>
          <w:rFonts w:ascii="宋体" w:hAnsi="宋体" w:eastAsia="宋体" w:cs="宋体"/>
          <w:sz w:val="21"/>
          <w:szCs w:val="21"/>
        </w:rPr>
      </w:pPr>
      <w:r>
        <w:rPr>
          <w:rFonts w:ascii="Times New Roman" w:hAnsi="Times New Roman" w:eastAsia="Times New Roman" w:cs="Times New Roman"/>
          <w:spacing w:val="-2"/>
          <w:sz w:val="21"/>
          <w:szCs w:val="21"/>
        </w:rPr>
        <w:t xml:space="preserve">7.4.1 </w:t>
      </w:r>
      <w:r>
        <w:rPr>
          <w:rFonts w:ascii="宋体" w:hAnsi="宋体" w:eastAsia="宋体" w:cs="宋体"/>
          <w:spacing w:val="-2"/>
          <w:sz w:val="21"/>
          <w:szCs w:val="21"/>
        </w:rPr>
        <w:t>招标人和中标人应当在投标有效期内并自</w:t>
      </w:r>
      <w:r>
        <w:rPr>
          <w:rFonts w:ascii="宋体" w:hAnsi="宋体" w:eastAsia="宋体" w:cs="宋体"/>
          <w:spacing w:val="-3"/>
          <w:sz w:val="21"/>
          <w:szCs w:val="21"/>
        </w:rPr>
        <w:t>中标通知书发出之日起</w:t>
      </w:r>
      <w:r>
        <w:rPr>
          <w:rFonts w:ascii="宋体" w:hAnsi="宋体" w:eastAsia="宋体" w:cs="宋体"/>
          <w:spacing w:val="-45"/>
          <w:sz w:val="21"/>
          <w:szCs w:val="21"/>
        </w:rPr>
        <w:t xml:space="preserve"> </w:t>
      </w:r>
      <w:r>
        <w:rPr>
          <w:rFonts w:ascii="Times New Roman" w:hAnsi="Times New Roman" w:eastAsia="Times New Roman" w:cs="Times New Roman"/>
          <w:spacing w:val="-3"/>
          <w:sz w:val="21"/>
          <w:szCs w:val="21"/>
        </w:rPr>
        <w:t>30</w:t>
      </w:r>
      <w:r>
        <w:rPr>
          <w:rFonts w:ascii="Times New Roman" w:hAnsi="Times New Roman" w:eastAsia="Times New Roman" w:cs="Times New Roman"/>
          <w:spacing w:val="25"/>
          <w:w w:val="101"/>
          <w:sz w:val="21"/>
          <w:szCs w:val="21"/>
        </w:rPr>
        <w:t xml:space="preserve"> </w:t>
      </w:r>
      <w:r>
        <w:rPr>
          <w:rFonts w:ascii="宋体" w:hAnsi="宋体" w:eastAsia="宋体" w:cs="宋体"/>
          <w:spacing w:val="-3"/>
          <w:sz w:val="21"/>
          <w:szCs w:val="21"/>
        </w:rPr>
        <w:t xml:space="preserve">日内，根据招  </w:t>
      </w:r>
      <w:r>
        <w:rPr>
          <w:rFonts w:ascii="宋体" w:hAnsi="宋体" w:eastAsia="宋体" w:cs="宋体"/>
          <w:spacing w:val="2"/>
          <w:sz w:val="21"/>
          <w:szCs w:val="21"/>
        </w:rPr>
        <w:t xml:space="preserve">标文件和中标人的投标文件（以经评标委员会评审的文件版本为准）订立书面合同。中标  </w:t>
      </w:r>
      <w:r>
        <w:rPr>
          <w:rFonts w:ascii="宋体" w:hAnsi="宋体" w:eastAsia="宋体" w:cs="宋体"/>
          <w:spacing w:val="-1"/>
          <w:sz w:val="21"/>
          <w:szCs w:val="21"/>
        </w:rPr>
        <w:t>人无正当理由拒签合同或在签订合同时向招标人提出附加条件的， 招标人取消其中标资格，</w:t>
      </w:r>
      <w:r>
        <w:rPr>
          <w:rFonts w:ascii="宋体" w:hAnsi="宋体" w:eastAsia="宋体" w:cs="宋体"/>
          <w:sz w:val="21"/>
          <w:szCs w:val="21"/>
        </w:rPr>
        <w:t xml:space="preserve"> 其投标保证金不予退还；给招标人造成的损失超</w:t>
      </w:r>
      <w:r>
        <w:rPr>
          <w:rFonts w:ascii="宋体" w:hAnsi="宋体" w:eastAsia="宋体" w:cs="宋体"/>
          <w:spacing w:val="-1"/>
          <w:sz w:val="21"/>
          <w:szCs w:val="21"/>
        </w:rPr>
        <w:t xml:space="preserve">过投标保证金数额的， 中标人还应当对超  </w:t>
      </w:r>
      <w:r>
        <w:rPr>
          <w:rFonts w:ascii="宋体" w:hAnsi="宋体" w:eastAsia="宋体" w:cs="宋体"/>
          <w:spacing w:val="-4"/>
          <w:sz w:val="21"/>
          <w:szCs w:val="21"/>
        </w:rPr>
        <w:t>过部分予以赔偿。</w:t>
      </w:r>
    </w:p>
    <w:p w14:paraId="40D263BE">
      <w:pPr>
        <w:spacing w:before="108" w:line="269" w:lineRule="auto"/>
        <w:ind w:left="18" w:right="160" w:firstLine="422"/>
        <w:rPr>
          <w:rFonts w:ascii="宋体" w:hAnsi="宋体" w:eastAsia="宋体" w:cs="宋体"/>
          <w:sz w:val="21"/>
          <w:szCs w:val="21"/>
        </w:rPr>
      </w:pPr>
      <w:r>
        <w:rPr>
          <w:rFonts w:ascii="Times New Roman" w:hAnsi="Times New Roman" w:eastAsia="Times New Roman" w:cs="Times New Roman"/>
          <w:spacing w:val="1"/>
          <w:sz w:val="21"/>
          <w:szCs w:val="21"/>
        </w:rPr>
        <w:t>7.4.2</w:t>
      </w:r>
      <w:r>
        <w:rPr>
          <w:rFonts w:ascii="Times New Roman" w:hAnsi="Times New Roman" w:eastAsia="Times New Roman" w:cs="Times New Roman"/>
          <w:spacing w:val="36"/>
          <w:w w:val="101"/>
          <w:sz w:val="21"/>
          <w:szCs w:val="21"/>
        </w:rPr>
        <w:t xml:space="preserve"> </w:t>
      </w:r>
      <w:r>
        <w:rPr>
          <w:rFonts w:ascii="宋体" w:hAnsi="宋体" w:eastAsia="宋体" w:cs="宋体"/>
          <w:spacing w:val="1"/>
          <w:sz w:val="21"/>
          <w:szCs w:val="21"/>
        </w:rPr>
        <w:t>发出中标通知书后，招标人无正当理由拒</w:t>
      </w:r>
      <w:r>
        <w:rPr>
          <w:rFonts w:ascii="宋体" w:hAnsi="宋体" w:eastAsia="宋体" w:cs="宋体"/>
          <w:sz w:val="21"/>
          <w:szCs w:val="21"/>
        </w:rPr>
        <w:t xml:space="preserve">签合同的，招标人向中标人退还投标保 </w:t>
      </w:r>
      <w:r>
        <w:rPr>
          <w:rFonts w:ascii="宋体" w:hAnsi="宋体" w:eastAsia="宋体" w:cs="宋体"/>
          <w:spacing w:val="-6"/>
          <w:sz w:val="21"/>
          <w:szCs w:val="21"/>
        </w:rPr>
        <w:t>证金；给中标人造成损失的， 还应当赔偿损失。</w:t>
      </w:r>
    </w:p>
    <w:p w14:paraId="5A719BB6">
      <w:pPr>
        <w:spacing w:before="109" w:line="269" w:lineRule="auto"/>
        <w:ind w:left="19" w:right="160" w:firstLine="421"/>
        <w:rPr>
          <w:rFonts w:ascii="宋体" w:hAnsi="宋体" w:eastAsia="宋体" w:cs="宋体"/>
          <w:sz w:val="21"/>
          <w:szCs w:val="21"/>
        </w:rPr>
      </w:pPr>
      <w:r>
        <w:rPr>
          <w:rFonts w:ascii="Times New Roman" w:hAnsi="Times New Roman" w:eastAsia="Times New Roman" w:cs="Times New Roman"/>
          <w:spacing w:val="1"/>
          <w:sz w:val="21"/>
          <w:szCs w:val="21"/>
        </w:rPr>
        <w:t>7.4.3</w:t>
      </w:r>
      <w:r>
        <w:rPr>
          <w:rFonts w:ascii="Times New Roman" w:hAnsi="Times New Roman" w:eastAsia="Times New Roman" w:cs="Times New Roman"/>
          <w:spacing w:val="33"/>
          <w:w w:val="101"/>
          <w:sz w:val="21"/>
          <w:szCs w:val="21"/>
        </w:rPr>
        <w:t xml:space="preserve"> </w:t>
      </w:r>
      <w:r>
        <w:rPr>
          <w:rFonts w:ascii="宋体" w:hAnsi="宋体" w:eastAsia="宋体" w:cs="宋体"/>
          <w:spacing w:val="1"/>
          <w:sz w:val="21"/>
          <w:szCs w:val="21"/>
        </w:rPr>
        <w:t>联合体中标的，联合体各方应当共同与招标人签</w:t>
      </w:r>
      <w:r>
        <w:rPr>
          <w:rFonts w:ascii="宋体" w:hAnsi="宋体" w:eastAsia="宋体" w:cs="宋体"/>
          <w:sz w:val="21"/>
          <w:szCs w:val="21"/>
        </w:rPr>
        <w:t xml:space="preserve">订合同，就中标项目向招标人承 </w:t>
      </w:r>
      <w:r>
        <w:rPr>
          <w:rFonts w:ascii="宋体" w:hAnsi="宋体" w:eastAsia="宋体" w:cs="宋体"/>
          <w:spacing w:val="-1"/>
          <w:sz w:val="21"/>
          <w:szCs w:val="21"/>
        </w:rPr>
        <w:t>担连带责任。</w:t>
      </w:r>
    </w:p>
    <w:p w14:paraId="086AA000">
      <w:pPr>
        <w:spacing w:before="109" w:line="219" w:lineRule="auto"/>
        <w:ind w:left="440"/>
        <w:rPr>
          <w:rFonts w:ascii="宋体" w:hAnsi="宋体" w:eastAsia="宋体" w:cs="宋体"/>
          <w:sz w:val="21"/>
          <w:szCs w:val="21"/>
        </w:rPr>
      </w:pPr>
      <w:r>
        <w:rPr>
          <w:rFonts w:ascii="Times New Roman" w:hAnsi="Times New Roman" w:eastAsia="Times New Roman" w:cs="Times New Roman"/>
          <w:spacing w:val="-2"/>
          <w:sz w:val="21"/>
          <w:szCs w:val="21"/>
        </w:rPr>
        <w:t xml:space="preserve">7.4.4 </w:t>
      </w:r>
      <w:r>
        <w:rPr>
          <w:rFonts w:ascii="宋体" w:hAnsi="宋体" w:eastAsia="宋体" w:cs="宋体"/>
          <w:spacing w:val="-2"/>
          <w:sz w:val="21"/>
          <w:szCs w:val="21"/>
        </w:rPr>
        <w:t>签约合同价的确定原则如下：</w:t>
      </w:r>
    </w:p>
    <w:p w14:paraId="2AC76E13">
      <w:pPr>
        <w:spacing w:before="111" w:line="284" w:lineRule="auto"/>
        <w:ind w:left="20" w:right="158" w:firstLine="421"/>
        <w:rPr>
          <w:rFonts w:ascii="宋体" w:hAnsi="宋体" w:eastAsia="宋体" w:cs="宋体"/>
          <w:sz w:val="21"/>
          <w:szCs w:val="21"/>
        </w:rPr>
      </w:pPr>
      <w:r>
        <w:rPr>
          <w:rFonts w:ascii="宋体" w:hAnsi="宋体" w:eastAsia="宋体" w:cs="宋体"/>
          <w:spacing w:val="3"/>
          <w:sz w:val="21"/>
          <w:szCs w:val="21"/>
        </w:rPr>
        <w:t>开标时投标函中大写投标总价应为签约合同价。按照第三章“评标办法”的规定，如</w:t>
      </w:r>
      <w:r>
        <w:rPr>
          <w:rFonts w:ascii="宋体" w:hAnsi="宋体" w:eastAsia="宋体" w:cs="宋体"/>
          <w:spacing w:val="2"/>
          <w:sz w:val="21"/>
          <w:szCs w:val="21"/>
        </w:rPr>
        <w:t xml:space="preserve"> </w:t>
      </w:r>
      <w:r>
        <w:rPr>
          <w:rFonts w:ascii="宋体" w:hAnsi="宋体" w:eastAsia="宋体" w:cs="宋体"/>
          <w:sz w:val="21"/>
          <w:szCs w:val="21"/>
        </w:rPr>
        <w:t>投标报价有算术错误的，修正的价格经投标人书面确认后， 以修正后的投标总价为签约合</w:t>
      </w:r>
      <w:r>
        <w:rPr>
          <w:rFonts w:ascii="宋体" w:hAnsi="宋体" w:eastAsia="宋体" w:cs="宋体"/>
          <w:spacing w:val="4"/>
          <w:sz w:val="21"/>
          <w:szCs w:val="21"/>
        </w:rPr>
        <w:t xml:space="preserve"> </w:t>
      </w:r>
      <w:r>
        <w:rPr>
          <w:rFonts w:ascii="宋体" w:hAnsi="宋体" w:eastAsia="宋体" w:cs="宋体"/>
          <w:spacing w:val="-9"/>
          <w:sz w:val="21"/>
          <w:szCs w:val="21"/>
        </w:rPr>
        <w:t>同价。</w:t>
      </w:r>
    </w:p>
    <w:p w14:paraId="4E945A84">
      <w:pPr>
        <w:spacing w:before="112" w:line="284" w:lineRule="auto"/>
        <w:ind w:left="17" w:right="153" w:firstLine="423"/>
        <w:rPr>
          <w:rFonts w:ascii="宋体" w:hAnsi="宋体" w:eastAsia="宋体" w:cs="宋体"/>
          <w:sz w:val="21"/>
          <w:szCs w:val="21"/>
        </w:rPr>
      </w:pPr>
      <w:r>
        <w:rPr>
          <w:rFonts w:ascii="Times New Roman" w:hAnsi="Times New Roman" w:eastAsia="Times New Roman" w:cs="Times New Roman"/>
          <w:spacing w:val="-2"/>
          <w:sz w:val="21"/>
          <w:szCs w:val="21"/>
        </w:rPr>
        <w:t xml:space="preserve">7.4.5 </w:t>
      </w:r>
      <w:r>
        <w:rPr>
          <w:rFonts w:ascii="宋体" w:hAnsi="宋体" w:eastAsia="宋体" w:cs="宋体"/>
          <w:spacing w:val="-2"/>
          <w:sz w:val="21"/>
          <w:szCs w:val="21"/>
        </w:rPr>
        <w:t>招标人和中标人应当在中标通知书发出之日起</w:t>
      </w:r>
      <w:r>
        <w:rPr>
          <w:rFonts w:ascii="宋体" w:hAnsi="宋体" w:eastAsia="宋体" w:cs="宋体"/>
          <w:spacing w:val="-37"/>
          <w:sz w:val="21"/>
          <w:szCs w:val="21"/>
        </w:rPr>
        <w:t xml:space="preserve"> </w:t>
      </w:r>
      <w:r>
        <w:rPr>
          <w:rFonts w:ascii="Times New Roman" w:hAnsi="Times New Roman" w:eastAsia="Times New Roman" w:cs="Times New Roman"/>
          <w:spacing w:val="-2"/>
          <w:sz w:val="21"/>
          <w:szCs w:val="21"/>
        </w:rPr>
        <w:t>30</w:t>
      </w:r>
      <w:r>
        <w:rPr>
          <w:rFonts w:ascii="Times New Roman" w:hAnsi="Times New Roman" w:eastAsia="Times New Roman" w:cs="Times New Roman"/>
          <w:spacing w:val="30"/>
          <w:sz w:val="21"/>
          <w:szCs w:val="21"/>
        </w:rPr>
        <w:t xml:space="preserve"> </w:t>
      </w:r>
      <w:r>
        <w:rPr>
          <w:rFonts w:ascii="宋体" w:hAnsi="宋体" w:eastAsia="宋体" w:cs="宋体"/>
          <w:spacing w:val="-2"/>
          <w:sz w:val="21"/>
          <w:szCs w:val="21"/>
        </w:rPr>
        <w:t>日内，登录辽宁省工程建设项目</w:t>
      </w:r>
      <w:r>
        <w:rPr>
          <w:rFonts w:ascii="宋体" w:hAnsi="宋体" w:eastAsia="宋体" w:cs="宋体"/>
          <w:sz w:val="21"/>
          <w:szCs w:val="21"/>
        </w:rPr>
        <w:t xml:space="preserve"> </w:t>
      </w:r>
      <w:r>
        <w:rPr>
          <w:rFonts w:ascii="宋体" w:hAnsi="宋体" w:eastAsia="宋体" w:cs="宋体"/>
          <w:spacing w:val="4"/>
          <w:sz w:val="21"/>
          <w:szCs w:val="21"/>
        </w:rPr>
        <w:t>合同履约管理系统签订合同并向电子监督系统提交电子合</w:t>
      </w:r>
      <w:r>
        <w:rPr>
          <w:rFonts w:ascii="宋体" w:hAnsi="宋体" w:eastAsia="宋体" w:cs="宋体"/>
          <w:spacing w:val="3"/>
          <w:sz w:val="21"/>
          <w:szCs w:val="21"/>
        </w:rPr>
        <w:t>同文件归档</w:t>
      </w:r>
      <w:r>
        <w:rPr>
          <w:rFonts w:ascii="宋体" w:hAnsi="宋体" w:eastAsia="宋体" w:cs="宋体"/>
          <w:spacing w:val="3"/>
          <w:sz w:val="19"/>
          <w:szCs w:val="19"/>
        </w:rPr>
        <w:t>。</w:t>
      </w:r>
      <w:r>
        <w:rPr>
          <w:rFonts w:ascii="宋体" w:hAnsi="宋体" w:eastAsia="宋体" w:cs="宋体"/>
          <w:spacing w:val="3"/>
          <w:sz w:val="21"/>
          <w:szCs w:val="21"/>
        </w:rPr>
        <w:t>按照信息公示规定</w:t>
      </w:r>
      <w:r>
        <w:rPr>
          <w:rFonts w:ascii="宋体" w:hAnsi="宋体" w:eastAsia="宋体" w:cs="宋体"/>
          <w:sz w:val="21"/>
          <w:szCs w:val="21"/>
        </w:rPr>
        <w:t xml:space="preserve"> 对合同签订等信息进行公示公开，依法应当保护的商业秘</w:t>
      </w:r>
      <w:r>
        <w:rPr>
          <w:rFonts w:ascii="宋体" w:hAnsi="宋体" w:eastAsia="宋体" w:cs="宋体"/>
          <w:spacing w:val="-1"/>
          <w:sz w:val="21"/>
          <w:szCs w:val="21"/>
        </w:rPr>
        <w:t>密除外。</w:t>
      </w:r>
    </w:p>
    <w:p w14:paraId="6EDE9E2A">
      <w:pPr>
        <w:spacing w:before="153" w:line="393" w:lineRule="exact"/>
        <w:ind w:left="27"/>
        <w:rPr>
          <w:rFonts w:ascii="黑体" w:hAnsi="黑体" w:eastAsia="黑体" w:cs="黑体"/>
          <w:sz w:val="27"/>
          <w:szCs w:val="27"/>
        </w:rPr>
      </w:pPr>
      <w:r>
        <w:rPr>
          <w:rFonts w:ascii="Times New Roman" w:hAnsi="Times New Roman" w:eastAsia="Times New Roman" w:cs="Times New Roman"/>
          <w:spacing w:val="6"/>
          <w:position w:val="8"/>
          <w:sz w:val="27"/>
          <w:szCs w:val="27"/>
        </w:rPr>
        <w:t>8.</w:t>
      </w:r>
      <w:r>
        <w:rPr>
          <w:rFonts w:ascii="Times New Roman" w:hAnsi="Times New Roman" w:eastAsia="Times New Roman" w:cs="Times New Roman"/>
          <w:spacing w:val="30"/>
          <w:w w:val="101"/>
          <w:position w:val="8"/>
          <w:sz w:val="27"/>
          <w:szCs w:val="27"/>
        </w:rPr>
        <w:t xml:space="preserve"> </w:t>
      </w:r>
      <w:r>
        <w:rPr>
          <w:rFonts w:ascii="黑体" w:hAnsi="黑体" w:eastAsia="黑体" w:cs="黑体"/>
          <w:spacing w:val="6"/>
          <w:position w:val="8"/>
          <w:sz w:val="27"/>
          <w:szCs w:val="27"/>
        </w:rPr>
        <w:t>重新招标、不再招标和终止招标</w:t>
      </w:r>
    </w:p>
    <w:p w14:paraId="25F6D47D">
      <w:pPr>
        <w:spacing w:before="1" w:line="218" w:lineRule="auto"/>
        <w:ind w:left="24"/>
        <w:rPr>
          <w:rFonts w:ascii="黑体" w:hAnsi="黑体" w:eastAsia="黑体" w:cs="黑体"/>
          <w:sz w:val="24"/>
          <w:szCs w:val="24"/>
        </w:rPr>
      </w:pPr>
      <w:r>
        <w:rPr>
          <w:rFonts w:ascii="Times New Roman" w:hAnsi="Times New Roman" w:eastAsia="Times New Roman" w:cs="Times New Roman"/>
          <w:spacing w:val="-4"/>
          <w:sz w:val="24"/>
          <w:szCs w:val="24"/>
        </w:rPr>
        <w:t>8.1</w:t>
      </w:r>
      <w:r>
        <w:rPr>
          <w:rFonts w:ascii="Times New Roman" w:hAnsi="Times New Roman" w:eastAsia="Times New Roman" w:cs="Times New Roman"/>
          <w:spacing w:val="21"/>
          <w:sz w:val="24"/>
          <w:szCs w:val="24"/>
        </w:rPr>
        <w:t xml:space="preserve"> </w:t>
      </w:r>
      <w:r>
        <w:rPr>
          <w:rFonts w:ascii="黑体" w:hAnsi="黑体" w:eastAsia="黑体" w:cs="黑体"/>
          <w:spacing w:val="-4"/>
          <w:sz w:val="24"/>
          <w:szCs w:val="24"/>
        </w:rPr>
        <w:t>重新招标</w:t>
      </w:r>
    </w:p>
    <w:p w14:paraId="7736A5A3">
      <w:pPr>
        <w:spacing w:before="100" w:line="221" w:lineRule="auto"/>
        <w:ind w:left="379"/>
        <w:rPr>
          <w:rFonts w:ascii="宋体" w:hAnsi="宋体" w:eastAsia="宋体" w:cs="宋体"/>
          <w:sz w:val="21"/>
          <w:szCs w:val="21"/>
        </w:rPr>
      </w:pPr>
      <w:r>
        <w:rPr>
          <w:rFonts w:ascii="宋体" w:hAnsi="宋体" w:eastAsia="宋体" w:cs="宋体"/>
          <w:spacing w:val="-5"/>
          <w:sz w:val="21"/>
          <w:szCs w:val="21"/>
        </w:rPr>
        <w:t>有下列情形之一的，</w:t>
      </w:r>
      <w:r>
        <w:rPr>
          <w:rFonts w:ascii="宋体" w:hAnsi="宋体" w:eastAsia="宋体" w:cs="宋体"/>
          <w:spacing w:val="-20"/>
          <w:sz w:val="21"/>
          <w:szCs w:val="21"/>
        </w:rPr>
        <w:t xml:space="preserve"> </w:t>
      </w:r>
      <w:r>
        <w:rPr>
          <w:rFonts w:ascii="宋体" w:hAnsi="宋体" w:eastAsia="宋体" w:cs="宋体"/>
          <w:spacing w:val="-5"/>
          <w:sz w:val="21"/>
          <w:szCs w:val="21"/>
        </w:rPr>
        <w:t>招标人将重新招标：</w:t>
      </w:r>
    </w:p>
    <w:p w14:paraId="130FD6F6">
      <w:pPr>
        <w:spacing w:before="109" w:line="221" w:lineRule="auto"/>
        <w:ind w:left="385"/>
        <w:rPr>
          <w:rFonts w:ascii="宋体" w:hAnsi="宋体" w:eastAsia="宋体" w:cs="宋体"/>
          <w:sz w:val="21"/>
          <w:szCs w:val="21"/>
        </w:rPr>
      </w:pPr>
      <w:r>
        <w:rPr>
          <w:rFonts w:ascii="宋体" w:hAnsi="宋体" w:eastAsia="宋体" w:cs="宋体"/>
          <w:spacing w:val="-3"/>
          <w:sz w:val="21"/>
          <w:szCs w:val="21"/>
        </w:rPr>
        <w:t>（</w:t>
      </w:r>
      <w:r>
        <w:rPr>
          <w:rFonts w:ascii="Times New Roman" w:hAnsi="Times New Roman" w:eastAsia="Times New Roman" w:cs="Times New Roman"/>
          <w:spacing w:val="-3"/>
          <w:sz w:val="21"/>
          <w:szCs w:val="21"/>
        </w:rPr>
        <w:t>1</w:t>
      </w:r>
      <w:r>
        <w:rPr>
          <w:rFonts w:ascii="宋体" w:hAnsi="宋体" w:eastAsia="宋体" w:cs="宋体"/>
          <w:spacing w:val="-3"/>
          <w:sz w:val="21"/>
          <w:szCs w:val="21"/>
        </w:rPr>
        <w:t>）投标截止时间止，投标人少于</w:t>
      </w:r>
      <w:r>
        <w:rPr>
          <w:rFonts w:ascii="宋体" w:hAnsi="宋体" w:eastAsia="宋体" w:cs="宋体"/>
          <w:spacing w:val="-41"/>
          <w:sz w:val="21"/>
          <w:szCs w:val="21"/>
        </w:rPr>
        <w:t xml:space="preserve"> </w:t>
      </w:r>
      <w:r>
        <w:rPr>
          <w:rFonts w:ascii="Times New Roman" w:hAnsi="Times New Roman" w:eastAsia="Times New Roman" w:cs="Times New Roman"/>
          <w:spacing w:val="-3"/>
          <w:sz w:val="21"/>
          <w:szCs w:val="21"/>
        </w:rPr>
        <w:t xml:space="preserve">3 </w:t>
      </w:r>
      <w:r>
        <w:rPr>
          <w:rFonts w:ascii="宋体" w:hAnsi="宋体" w:eastAsia="宋体" w:cs="宋体"/>
          <w:spacing w:val="-3"/>
          <w:sz w:val="21"/>
          <w:szCs w:val="21"/>
        </w:rPr>
        <w:t>个的；</w:t>
      </w:r>
    </w:p>
    <w:p w14:paraId="58304E43">
      <w:pPr>
        <w:spacing w:before="109" w:line="220" w:lineRule="auto"/>
        <w:ind w:left="385"/>
        <w:rPr>
          <w:rFonts w:ascii="宋体" w:hAnsi="宋体" w:eastAsia="宋体" w:cs="宋体"/>
          <w:sz w:val="21"/>
          <w:szCs w:val="21"/>
        </w:rPr>
      </w:pPr>
      <w:r>
        <w:rPr>
          <w:rFonts w:ascii="宋体" w:hAnsi="宋体" w:eastAsia="宋体" w:cs="宋体"/>
          <w:spacing w:val="-2"/>
          <w:sz w:val="21"/>
          <w:szCs w:val="21"/>
        </w:rPr>
        <w:t>（</w:t>
      </w:r>
      <w:r>
        <w:rPr>
          <w:rFonts w:ascii="Times New Roman" w:hAnsi="Times New Roman" w:eastAsia="Times New Roman" w:cs="Times New Roman"/>
          <w:spacing w:val="-2"/>
          <w:sz w:val="21"/>
          <w:szCs w:val="21"/>
        </w:rPr>
        <w:t>2</w:t>
      </w:r>
      <w:r>
        <w:rPr>
          <w:rFonts w:ascii="宋体" w:hAnsi="宋体" w:eastAsia="宋体" w:cs="宋体"/>
          <w:spacing w:val="-2"/>
          <w:sz w:val="21"/>
          <w:szCs w:val="21"/>
        </w:rPr>
        <w:t>）经评标委员会评审后否决所有投标的；</w:t>
      </w:r>
    </w:p>
    <w:p w14:paraId="549B9FAE">
      <w:pPr>
        <w:spacing w:before="110" w:line="221" w:lineRule="auto"/>
        <w:ind w:left="385"/>
        <w:rPr>
          <w:rFonts w:ascii="宋体" w:hAnsi="宋体" w:eastAsia="宋体" w:cs="宋体"/>
          <w:sz w:val="21"/>
          <w:szCs w:val="21"/>
        </w:rPr>
      </w:pPr>
      <w:r>
        <w:rPr>
          <w:rFonts w:ascii="宋体" w:hAnsi="宋体" w:eastAsia="宋体" w:cs="宋体"/>
          <w:spacing w:val="-6"/>
          <w:sz w:val="21"/>
          <w:szCs w:val="21"/>
        </w:rPr>
        <w:t>（</w:t>
      </w:r>
      <w:r>
        <w:rPr>
          <w:rFonts w:ascii="Times New Roman" w:hAnsi="Times New Roman" w:eastAsia="Times New Roman" w:cs="Times New Roman"/>
          <w:spacing w:val="-6"/>
          <w:sz w:val="21"/>
          <w:szCs w:val="21"/>
        </w:rPr>
        <w:t>3</w:t>
      </w:r>
      <w:r>
        <w:rPr>
          <w:rFonts w:ascii="宋体" w:hAnsi="宋体" w:eastAsia="宋体" w:cs="宋体"/>
          <w:spacing w:val="-6"/>
          <w:sz w:val="21"/>
          <w:szCs w:val="21"/>
        </w:rPr>
        <w:t>）第一中标候选人或所有中标候选人存在不同程度的问题，</w:t>
      </w:r>
      <w:r>
        <w:rPr>
          <w:rFonts w:ascii="宋体" w:hAnsi="宋体" w:eastAsia="宋体" w:cs="宋体"/>
          <w:spacing w:val="61"/>
          <w:sz w:val="21"/>
          <w:szCs w:val="21"/>
        </w:rPr>
        <w:t xml:space="preserve"> </w:t>
      </w:r>
      <w:r>
        <w:rPr>
          <w:rFonts w:ascii="宋体" w:hAnsi="宋体" w:eastAsia="宋体" w:cs="宋体"/>
          <w:spacing w:val="-6"/>
          <w:sz w:val="21"/>
          <w:szCs w:val="21"/>
        </w:rPr>
        <w:t>不能签订合同的；</w:t>
      </w:r>
    </w:p>
    <w:p w14:paraId="3DDFB6DB">
      <w:pPr>
        <w:spacing w:line="221" w:lineRule="auto"/>
        <w:rPr>
          <w:rFonts w:ascii="宋体" w:hAnsi="宋体" w:eastAsia="宋体" w:cs="宋体"/>
          <w:sz w:val="21"/>
          <w:szCs w:val="21"/>
        </w:rPr>
        <w:sectPr>
          <w:footerReference r:id="rId30" w:type="default"/>
          <w:pgSz w:w="11905" w:h="16839"/>
          <w:pgMar w:top="1431" w:right="1633" w:bottom="1036" w:left="1785" w:header="0" w:footer="847" w:gutter="0"/>
          <w:pgNumType w:fmt="decimal"/>
          <w:cols w:space="720" w:num="1"/>
        </w:sectPr>
      </w:pPr>
    </w:p>
    <w:p w14:paraId="43A47783">
      <w:pPr>
        <w:spacing w:before="115" w:line="360" w:lineRule="exact"/>
        <w:ind w:left="385"/>
        <w:rPr>
          <w:rFonts w:ascii="宋体" w:hAnsi="宋体" w:eastAsia="宋体" w:cs="宋体"/>
          <w:sz w:val="21"/>
          <w:szCs w:val="21"/>
        </w:rPr>
      </w:pPr>
      <w:bookmarkStart w:id="84" w:name="bookmark98"/>
      <w:bookmarkEnd w:id="84"/>
      <w:r>
        <w:rPr>
          <w:rFonts w:ascii="宋体" w:hAnsi="宋体" w:eastAsia="宋体" w:cs="宋体"/>
          <w:spacing w:val="-1"/>
          <w:position w:val="11"/>
          <w:sz w:val="21"/>
          <w:szCs w:val="21"/>
        </w:rPr>
        <w:t>（</w:t>
      </w:r>
      <w:r>
        <w:rPr>
          <w:rFonts w:ascii="Times New Roman" w:hAnsi="Times New Roman" w:eastAsia="Times New Roman" w:cs="Times New Roman"/>
          <w:spacing w:val="-1"/>
          <w:position w:val="11"/>
          <w:sz w:val="21"/>
          <w:szCs w:val="21"/>
        </w:rPr>
        <w:t>4</w:t>
      </w:r>
      <w:r>
        <w:rPr>
          <w:rFonts w:ascii="宋体" w:hAnsi="宋体" w:eastAsia="宋体" w:cs="宋体"/>
          <w:spacing w:val="-1"/>
          <w:position w:val="11"/>
          <w:sz w:val="21"/>
          <w:szCs w:val="21"/>
        </w:rPr>
        <w:t>）在投标有效期内同意延长投标有效期的投标人少于三个的；</w:t>
      </w:r>
    </w:p>
    <w:p w14:paraId="1E51007F">
      <w:pPr>
        <w:spacing w:line="220" w:lineRule="auto"/>
        <w:ind w:left="385"/>
        <w:rPr>
          <w:rFonts w:ascii="宋体" w:hAnsi="宋体" w:eastAsia="宋体" w:cs="宋体"/>
          <w:sz w:val="21"/>
          <w:szCs w:val="21"/>
        </w:rPr>
      </w:pPr>
      <w:r>
        <w:rPr>
          <w:rFonts w:ascii="宋体" w:hAnsi="宋体" w:eastAsia="宋体" w:cs="宋体"/>
          <w:spacing w:val="-2"/>
          <w:sz w:val="21"/>
          <w:szCs w:val="21"/>
        </w:rPr>
        <w:t>（</w:t>
      </w:r>
      <w:r>
        <w:rPr>
          <w:rFonts w:ascii="Times New Roman" w:hAnsi="Times New Roman" w:eastAsia="Times New Roman" w:cs="Times New Roman"/>
          <w:spacing w:val="-2"/>
          <w:sz w:val="21"/>
          <w:szCs w:val="21"/>
        </w:rPr>
        <w:t>5</w:t>
      </w:r>
      <w:r>
        <w:rPr>
          <w:rFonts w:ascii="宋体" w:hAnsi="宋体" w:eastAsia="宋体" w:cs="宋体"/>
          <w:spacing w:val="-2"/>
          <w:sz w:val="21"/>
          <w:szCs w:val="21"/>
        </w:rPr>
        <w:t>）法律、法规规定的其他情形。</w:t>
      </w:r>
    </w:p>
    <w:p w14:paraId="1AC9D4F9">
      <w:pPr>
        <w:spacing w:before="84" w:line="219" w:lineRule="auto"/>
        <w:ind w:left="24"/>
        <w:rPr>
          <w:rFonts w:ascii="黑体" w:hAnsi="黑体" w:eastAsia="黑体" w:cs="黑体"/>
          <w:sz w:val="24"/>
          <w:szCs w:val="24"/>
        </w:rPr>
      </w:pPr>
      <w:r>
        <w:rPr>
          <w:rFonts w:ascii="Times New Roman" w:hAnsi="Times New Roman" w:eastAsia="Times New Roman" w:cs="Times New Roman"/>
          <w:spacing w:val="-4"/>
          <w:sz w:val="24"/>
          <w:szCs w:val="24"/>
        </w:rPr>
        <w:t>8.2</w:t>
      </w:r>
      <w:r>
        <w:rPr>
          <w:rFonts w:ascii="Times New Roman" w:hAnsi="Times New Roman" w:eastAsia="Times New Roman" w:cs="Times New Roman"/>
          <w:spacing w:val="20"/>
          <w:w w:val="101"/>
          <w:sz w:val="24"/>
          <w:szCs w:val="24"/>
        </w:rPr>
        <w:t xml:space="preserve"> </w:t>
      </w:r>
      <w:r>
        <w:rPr>
          <w:rFonts w:ascii="黑体" w:hAnsi="黑体" w:eastAsia="黑体" w:cs="黑体"/>
          <w:spacing w:val="-4"/>
          <w:sz w:val="24"/>
          <w:szCs w:val="24"/>
        </w:rPr>
        <w:t>不再招标</w:t>
      </w:r>
    </w:p>
    <w:p w14:paraId="4217D150">
      <w:pPr>
        <w:spacing w:before="99" w:line="269" w:lineRule="auto"/>
        <w:ind w:left="21" w:right="171" w:firstLine="420"/>
        <w:rPr>
          <w:rFonts w:ascii="宋体" w:hAnsi="宋体" w:eastAsia="宋体" w:cs="宋体"/>
          <w:sz w:val="21"/>
          <w:szCs w:val="21"/>
        </w:rPr>
      </w:pPr>
      <w:r>
        <w:rPr>
          <w:rFonts w:ascii="宋体" w:hAnsi="宋体" w:eastAsia="宋体" w:cs="宋体"/>
          <w:spacing w:val="1"/>
          <w:sz w:val="21"/>
          <w:szCs w:val="21"/>
        </w:rPr>
        <w:t xml:space="preserve">重新招标后投标人仍少于 </w:t>
      </w:r>
      <w:r>
        <w:rPr>
          <w:rFonts w:ascii="Times New Roman" w:hAnsi="Times New Roman" w:eastAsia="Times New Roman" w:cs="Times New Roman"/>
          <w:spacing w:val="1"/>
          <w:sz w:val="21"/>
          <w:szCs w:val="21"/>
        </w:rPr>
        <w:t>3</w:t>
      </w:r>
      <w:r>
        <w:rPr>
          <w:rFonts w:ascii="Times New Roman" w:hAnsi="Times New Roman" w:eastAsia="Times New Roman" w:cs="Times New Roman"/>
          <w:spacing w:val="42"/>
          <w:sz w:val="21"/>
          <w:szCs w:val="21"/>
        </w:rPr>
        <w:t xml:space="preserve"> </w:t>
      </w:r>
      <w:r>
        <w:rPr>
          <w:rFonts w:ascii="宋体" w:hAnsi="宋体" w:eastAsia="宋体" w:cs="宋体"/>
          <w:spacing w:val="1"/>
          <w:sz w:val="21"/>
          <w:szCs w:val="21"/>
        </w:rPr>
        <w:t>个或者所有投标被否</w:t>
      </w:r>
      <w:r>
        <w:rPr>
          <w:rFonts w:ascii="宋体" w:hAnsi="宋体" w:eastAsia="宋体" w:cs="宋体"/>
          <w:sz w:val="21"/>
          <w:szCs w:val="21"/>
        </w:rPr>
        <w:t xml:space="preserve">决的，属于必须审批或核准的工程建 </w:t>
      </w:r>
      <w:r>
        <w:rPr>
          <w:rFonts w:ascii="宋体" w:hAnsi="宋体" w:eastAsia="宋体" w:cs="宋体"/>
          <w:spacing w:val="-1"/>
          <w:sz w:val="21"/>
          <w:szCs w:val="21"/>
        </w:rPr>
        <w:t>设项目，经原审批或核准部门批准后不再进行招标。</w:t>
      </w:r>
    </w:p>
    <w:p w14:paraId="48B61700">
      <w:pPr>
        <w:spacing w:before="84" w:line="220" w:lineRule="auto"/>
        <w:ind w:left="24"/>
        <w:rPr>
          <w:rFonts w:ascii="黑体" w:hAnsi="黑体" w:eastAsia="黑体" w:cs="黑体"/>
          <w:sz w:val="24"/>
          <w:szCs w:val="24"/>
        </w:rPr>
      </w:pPr>
      <w:r>
        <w:rPr>
          <w:rFonts w:ascii="Times New Roman" w:hAnsi="Times New Roman" w:eastAsia="Times New Roman" w:cs="Times New Roman"/>
          <w:spacing w:val="-3"/>
          <w:sz w:val="24"/>
          <w:szCs w:val="24"/>
        </w:rPr>
        <w:t>8.3</w:t>
      </w:r>
      <w:r>
        <w:rPr>
          <w:rFonts w:ascii="Times New Roman" w:hAnsi="Times New Roman" w:eastAsia="Times New Roman" w:cs="Times New Roman"/>
          <w:spacing w:val="12"/>
          <w:sz w:val="24"/>
          <w:szCs w:val="24"/>
        </w:rPr>
        <w:t xml:space="preserve"> </w:t>
      </w:r>
      <w:r>
        <w:rPr>
          <w:rFonts w:ascii="黑体" w:hAnsi="黑体" w:eastAsia="黑体" w:cs="黑体"/>
          <w:spacing w:val="-3"/>
          <w:sz w:val="24"/>
          <w:szCs w:val="24"/>
        </w:rPr>
        <w:t>终止招标</w:t>
      </w:r>
    </w:p>
    <w:p w14:paraId="53D5D2EB">
      <w:pPr>
        <w:spacing w:before="97" w:line="293" w:lineRule="auto"/>
        <w:ind w:left="20" w:right="171" w:firstLine="437"/>
        <w:jc w:val="both"/>
        <w:rPr>
          <w:rFonts w:ascii="宋体" w:hAnsi="宋体" w:eastAsia="宋体" w:cs="宋体"/>
          <w:sz w:val="21"/>
          <w:szCs w:val="21"/>
        </w:rPr>
      </w:pPr>
      <w:r>
        <w:rPr>
          <w:rFonts w:ascii="宋体" w:hAnsi="宋体" w:eastAsia="宋体" w:cs="宋体"/>
          <w:sz w:val="21"/>
          <w:szCs w:val="21"/>
        </w:rPr>
        <w:t>因不可抗力等原因，招标人终止招标的， 将通过法定公告公示信息发布媒介</w:t>
      </w:r>
      <w:r>
        <w:rPr>
          <w:rFonts w:ascii="宋体" w:hAnsi="宋体" w:eastAsia="宋体" w:cs="宋体"/>
          <w:spacing w:val="-1"/>
          <w:sz w:val="21"/>
          <w:szCs w:val="21"/>
        </w:rPr>
        <w:t>、电子交</w:t>
      </w:r>
      <w:r>
        <w:rPr>
          <w:rFonts w:ascii="宋体" w:hAnsi="宋体" w:eastAsia="宋体" w:cs="宋体"/>
          <w:sz w:val="21"/>
          <w:szCs w:val="21"/>
        </w:rPr>
        <w:t xml:space="preserve"> </w:t>
      </w:r>
      <w:r>
        <w:rPr>
          <w:rFonts w:ascii="宋体" w:hAnsi="宋体" w:eastAsia="宋体" w:cs="宋体"/>
          <w:spacing w:val="3"/>
          <w:sz w:val="21"/>
          <w:szCs w:val="21"/>
        </w:rPr>
        <w:t>易系统（投标盲盒工具）等渠道及时发布公告，或者以书面形式通知被邀请</w:t>
      </w:r>
      <w:r>
        <w:rPr>
          <w:rFonts w:ascii="宋体" w:hAnsi="宋体" w:eastAsia="宋体" w:cs="宋体"/>
          <w:spacing w:val="2"/>
          <w:sz w:val="21"/>
          <w:szCs w:val="21"/>
        </w:rPr>
        <w:t>的或者已经获</w:t>
      </w:r>
      <w:r>
        <w:rPr>
          <w:rFonts w:ascii="宋体" w:hAnsi="宋体" w:eastAsia="宋体" w:cs="宋体"/>
          <w:sz w:val="21"/>
          <w:szCs w:val="21"/>
        </w:rPr>
        <w:t xml:space="preserve"> </w:t>
      </w:r>
      <w:r>
        <w:rPr>
          <w:rFonts w:ascii="宋体" w:hAnsi="宋体" w:eastAsia="宋体" w:cs="宋体"/>
          <w:spacing w:val="3"/>
          <w:sz w:val="21"/>
          <w:szCs w:val="21"/>
        </w:rPr>
        <w:t>取招标文件的潜在投标人。已经收取投标保证金的，招标人将及时退还所</w:t>
      </w:r>
      <w:r>
        <w:rPr>
          <w:rFonts w:ascii="宋体" w:hAnsi="宋体" w:eastAsia="宋体" w:cs="宋体"/>
          <w:spacing w:val="2"/>
          <w:sz w:val="21"/>
          <w:szCs w:val="21"/>
        </w:rPr>
        <w:t>收取的投标保证</w:t>
      </w:r>
      <w:r>
        <w:rPr>
          <w:rFonts w:ascii="宋体" w:hAnsi="宋体" w:eastAsia="宋体" w:cs="宋体"/>
          <w:sz w:val="21"/>
          <w:szCs w:val="21"/>
        </w:rPr>
        <w:t xml:space="preserve"> </w:t>
      </w:r>
      <w:r>
        <w:rPr>
          <w:rFonts w:ascii="宋体" w:hAnsi="宋体" w:eastAsia="宋体" w:cs="宋体"/>
          <w:spacing w:val="-2"/>
          <w:sz w:val="21"/>
          <w:szCs w:val="21"/>
        </w:rPr>
        <w:t>金及银行同期存款利息。</w:t>
      </w:r>
    </w:p>
    <w:p w14:paraId="11A15D76">
      <w:pPr>
        <w:spacing w:before="152" w:line="224" w:lineRule="auto"/>
        <w:ind w:left="21"/>
        <w:rPr>
          <w:rFonts w:ascii="黑体" w:hAnsi="黑体" w:eastAsia="黑体" w:cs="黑体"/>
          <w:sz w:val="27"/>
          <w:szCs w:val="27"/>
        </w:rPr>
      </w:pPr>
      <w:r>
        <w:rPr>
          <w:rFonts w:ascii="Times New Roman" w:hAnsi="Times New Roman" w:eastAsia="Times New Roman" w:cs="Times New Roman"/>
          <w:spacing w:val="2"/>
          <w:sz w:val="27"/>
          <w:szCs w:val="27"/>
        </w:rPr>
        <w:t>9.</w:t>
      </w:r>
      <w:r>
        <w:rPr>
          <w:rFonts w:ascii="Times New Roman" w:hAnsi="Times New Roman" w:eastAsia="Times New Roman" w:cs="Times New Roman"/>
          <w:spacing w:val="29"/>
          <w:sz w:val="27"/>
          <w:szCs w:val="27"/>
        </w:rPr>
        <w:t xml:space="preserve"> </w:t>
      </w:r>
      <w:r>
        <w:rPr>
          <w:rFonts w:ascii="黑体" w:hAnsi="黑体" w:eastAsia="黑体" w:cs="黑体"/>
          <w:spacing w:val="2"/>
          <w:sz w:val="27"/>
          <w:szCs w:val="27"/>
        </w:rPr>
        <w:t>纪律和监督</w:t>
      </w:r>
    </w:p>
    <w:p w14:paraId="4EAE216A">
      <w:pPr>
        <w:spacing w:before="65" w:line="220" w:lineRule="auto"/>
        <w:ind w:left="19"/>
        <w:rPr>
          <w:rFonts w:ascii="黑体" w:hAnsi="黑体" w:eastAsia="黑体" w:cs="黑体"/>
          <w:sz w:val="24"/>
          <w:szCs w:val="24"/>
        </w:rPr>
      </w:pPr>
      <w:r>
        <w:rPr>
          <w:rFonts w:ascii="Times New Roman" w:hAnsi="Times New Roman" w:eastAsia="Times New Roman" w:cs="Times New Roman"/>
          <w:spacing w:val="-1"/>
          <w:sz w:val="24"/>
          <w:szCs w:val="24"/>
        </w:rPr>
        <w:t xml:space="preserve">9.1 </w:t>
      </w:r>
      <w:r>
        <w:rPr>
          <w:rFonts w:ascii="黑体" w:hAnsi="黑体" w:eastAsia="黑体" w:cs="黑体"/>
          <w:spacing w:val="-1"/>
          <w:sz w:val="24"/>
          <w:szCs w:val="24"/>
        </w:rPr>
        <w:t>对招标人的纪律要求</w:t>
      </w:r>
    </w:p>
    <w:p w14:paraId="33DCA41E">
      <w:pPr>
        <w:spacing w:before="100" w:line="268" w:lineRule="auto"/>
        <w:ind w:left="19" w:right="174" w:firstLine="422"/>
        <w:rPr>
          <w:rFonts w:ascii="宋体" w:hAnsi="宋体" w:eastAsia="宋体" w:cs="宋体"/>
          <w:sz w:val="21"/>
          <w:szCs w:val="21"/>
        </w:rPr>
      </w:pPr>
      <w:r>
        <w:rPr>
          <w:rFonts w:ascii="宋体" w:hAnsi="宋体" w:eastAsia="宋体" w:cs="宋体"/>
          <w:spacing w:val="3"/>
          <w:sz w:val="21"/>
          <w:szCs w:val="21"/>
        </w:rPr>
        <w:t>招标人不得泄漏招标投标活动中应当保密的情况和资料，不得与投标人串通损害国家</w:t>
      </w:r>
      <w:r>
        <w:rPr>
          <w:rFonts w:ascii="宋体" w:hAnsi="宋体" w:eastAsia="宋体" w:cs="宋体"/>
          <w:spacing w:val="2"/>
          <w:sz w:val="21"/>
          <w:szCs w:val="21"/>
        </w:rPr>
        <w:t xml:space="preserve"> </w:t>
      </w:r>
      <w:r>
        <w:rPr>
          <w:rFonts w:ascii="宋体" w:hAnsi="宋体" w:eastAsia="宋体" w:cs="宋体"/>
          <w:spacing w:val="-1"/>
          <w:sz w:val="21"/>
          <w:szCs w:val="21"/>
        </w:rPr>
        <w:t>利益、社会公共利益或者他人合法权益。</w:t>
      </w:r>
    </w:p>
    <w:p w14:paraId="74C5BE61">
      <w:pPr>
        <w:spacing w:before="85" w:line="220" w:lineRule="auto"/>
        <w:ind w:left="19"/>
        <w:rPr>
          <w:rFonts w:ascii="黑体" w:hAnsi="黑体" w:eastAsia="黑体" w:cs="黑体"/>
          <w:sz w:val="24"/>
          <w:szCs w:val="24"/>
        </w:rPr>
      </w:pPr>
      <w:r>
        <w:rPr>
          <w:rFonts w:ascii="Times New Roman" w:hAnsi="Times New Roman" w:eastAsia="Times New Roman" w:cs="Times New Roman"/>
          <w:spacing w:val="-1"/>
          <w:sz w:val="24"/>
          <w:szCs w:val="24"/>
        </w:rPr>
        <w:t xml:space="preserve">9.2 </w:t>
      </w:r>
      <w:r>
        <w:rPr>
          <w:rFonts w:ascii="黑体" w:hAnsi="黑体" w:eastAsia="黑体" w:cs="黑体"/>
          <w:spacing w:val="-1"/>
          <w:sz w:val="24"/>
          <w:szCs w:val="24"/>
        </w:rPr>
        <w:t>对投标人的纪律要求</w:t>
      </w:r>
    </w:p>
    <w:p w14:paraId="50D7C576">
      <w:pPr>
        <w:spacing w:before="100" w:line="284" w:lineRule="auto"/>
        <w:ind w:left="21" w:right="174" w:firstLine="422"/>
        <w:jc w:val="both"/>
        <w:rPr>
          <w:rFonts w:ascii="宋体" w:hAnsi="宋体" w:eastAsia="宋体" w:cs="宋体"/>
          <w:sz w:val="21"/>
          <w:szCs w:val="21"/>
        </w:rPr>
      </w:pPr>
      <w:r>
        <w:rPr>
          <w:rFonts w:ascii="宋体" w:hAnsi="宋体" w:eastAsia="宋体" w:cs="宋体"/>
          <w:spacing w:val="3"/>
          <w:sz w:val="21"/>
          <w:szCs w:val="21"/>
        </w:rPr>
        <w:t>投标人不得相互串通投标或者与招标人串通投标，不得向招标人或者评标委员会成员</w:t>
      </w:r>
      <w:r>
        <w:rPr>
          <w:rFonts w:ascii="宋体" w:hAnsi="宋体" w:eastAsia="宋体" w:cs="宋体"/>
          <w:sz w:val="21"/>
          <w:szCs w:val="21"/>
        </w:rPr>
        <w:t xml:space="preserve"> </w:t>
      </w:r>
      <w:r>
        <w:rPr>
          <w:rFonts w:ascii="宋体" w:hAnsi="宋体" w:eastAsia="宋体" w:cs="宋体"/>
          <w:spacing w:val="3"/>
          <w:sz w:val="21"/>
          <w:szCs w:val="21"/>
        </w:rPr>
        <w:t>行贿谋取中标，不得以他人名义投标或者以其他方式弄虚作假骗取中</w:t>
      </w:r>
      <w:r>
        <w:rPr>
          <w:rFonts w:ascii="宋体" w:hAnsi="宋体" w:eastAsia="宋体" w:cs="宋体"/>
          <w:spacing w:val="2"/>
          <w:sz w:val="21"/>
          <w:szCs w:val="21"/>
        </w:rPr>
        <w:t>标；投标人不得以任</w:t>
      </w:r>
      <w:r>
        <w:rPr>
          <w:rFonts w:ascii="宋体" w:hAnsi="宋体" w:eastAsia="宋体" w:cs="宋体"/>
          <w:sz w:val="21"/>
          <w:szCs w:val="21"/>
        </w:rPr>
        <w:t xml:space="preserve"> </w:t>
      </w:r>
      <w:r>
        <w:rPr>
          <w:rFonts w:ascii="宋体" w:hAnsi="宋体" w:eastAsia="宋体" w:cs="宋体"/>
          <w:spacing w:val="-3"/>
          <w:sz w:val="21"/>
          <w:szCs w:val="21"/>
        </w:rPr>
        <w:t>何方式干扰、影响评标工作。</w:t>
      </w:r>
    </w:p>
    <w:p w14:paraId="643FF03F">
      <w:pPr>
        <w:spacing w:before="86" w:line="218" w:lineRule="auto"/>
        <w:ind w:left="19"/>
        <w:rPr>
          <w:rFonts w:ascii="黑体" w:hAnsi="黑体" w:eastAsia="黑体" w:cs="黑体"/>
          <w:sz w:val="24"/>
          <w:szCs w:val="24"/>
        </w:rPr>
      </w:pPr>
      <w:r>
        <w:rPr>
          <w:rFonts w:ascii="Times New Roman" w:hAnsi="Times New Roman" w:eastAsia="Times New Roman" w:cs="Times New Roman"/>
          <w:spacing w:val="-1"/>
          <w:sz w:val="24"/>
          <w:szCs w:val="24"/>
        </w:rPr>
        <w:t xml:space="preserve">9.3 </w:t>
      </w:r>
      <w:r>
        <w:rPr>
          <w:rFonts w:ascii="黑体" w:hAnsi="黑体" w:eastAsia="黑体" w:cs="黑体"/>
          <w:spacing w:val="-1"/>
          <w:sz w:val="24"/>
          <w:szCs w:val="24"/>
        </w:rPr>
        <w:t>对评标委员会成员的纪律要求</w:t>
      </w:r>
    </w:p>
    <w:p w14:paraId="3936A6D3">
      <w:pPr>
        <w:spacing w:before="104" w:line="300" w:lineRule="auto"/>
        <w:ind w:left="19" w:right="174" w:firstLine="421"/>
        <w:rPr>
          <w:rFonts w:ascii="宋体" w:hAnsi="宋体" w:eastAsia="宋体" w:cs="宋体"/>
          <w:sz w:val="21"/>
          <w:szCs w:val="21"/>
        </w:rPr>
      </w:pPr>
      <w:r>
        <w:rPr>
          <w:rFonts w:ascii="宋体" w:hAnsi="宋体" w:eastAsia="宋体" w:cs="宋体"/>
          <w:sz w:val="21"/>
          <w:szCs w:val="21"/>
        </w:rPr>
        <w:t>评标委员会应当根据招标文件规定的评标标准和方法， 对投标文件进行系统地评审和</w:t>
      </w:r>
      <w:r>
        <w:rPr>
          <w:rFonts w:ascii="宋体" w:hAnsi="宋体" w:eastAsia="宋体" w:cs="宋体"/>
          <w:spacing w:val="9"/>
          <w:sz w:val="21"/>
          <w:szCs w:val="21"/>
        </w:rPr>
        <w:t xml:space="preserve"> </w:t>
      </w:r>
      <w:r>
        <w:rPr>
          <w:rFonts w:ascii="宋体" w:hAnsi="宋体" w:eastAsia="宋体" w:cs="宋体"/>
          <w:sz w:val="21"/>
          <w:szCs w:val="21"/>
        </w:rPr>
        <w:t>比较， 第三章“评标办法”没有规定的评审因素和标准不能作为评标依据。评标委员会成</w:t>
      </w:r>
      <w:r>
        <w:rPr>
          <w:rFonts w:ascii="宋体" w:hAnsi="宋体" w:eastAsia="宋体" w:cs="宋体"/>
          <w:spacing w:val="6"/>
          <w:sz w:val="21"/>
          <w:szCs w:val="21"/>
        </w:rPr>
        <w:t xml:space="preserve"> </w:t>
      </w:r>
      <w:r>
        <w:rPr>
          <w:rFonts w:ascii="宋体" w:hAnsi="宋体" w:eastAsia="宋体" w:cs="宋体"/>
          <w:spacing w:val="3"/>
          <w:sz w:val="21"/>
          <w:szCs w:val="21"/>
        </w:rPr>
        <w:t>员不得对其他评标委员会成员的独立评审施加不当影响，不得与任何投标人</w:t>
      </w:r>
      <w:r>
        <w:rPr>
          <w:rFonts w:ascii="宋体" w:hAnsi="宋体" w:eastAsia="宋体" w:cs="宋体"/>
          <w:spacing w:val="2"/>
          <w:sz w:val="21"/>
          <w:szCs w:val="21"/>
        </w:rPr>
        <w:t>或者与招标结</w:t>
      </w:r>
      <w:r>
        <w:rPr>
          <w:rFonts w:ascii="宋体" w:hAnsi="宋体" w:eastAsia="宋体" w:cs="宋体"/>
          <w:sz w:val="21"/>
          <w:szCs w:val="21"/>
        </w:rPr>
        <w:t xml:space="preserve"> 果有利害关系的人进行私下接触， 不得收受投标人、中介人、其他利害关系人的财物或者</w:t>
      </w:r>
      <w:r>
        <w:rPr>
          <w:rFonts w:ascii="宋体" w:hAnsi="宋体" w:eastAsia="宋体" w:cs="宋体"/>
          <w:spacing w:val="6"/>
          <w:sz w:val="21"/>
          <w:szCs w:val="21"/>
        </w:rPr>
        <w:t xml:space="preserve"> </w:t>
      </w:r>
      <w:r>
        <w:rPr>
          <w:rFonts w:ascii="宋体" w:hAnsi="宋体" w:eastAsia="宋体" w:cs="宋体"/>
          <w:spacing w:val="3"/>
          <w:sz w:val="21"/>
          <w:szCs w:val="21"/>
        </w:rPr>
        <w:t>其他好处，不得向他人透漏对投标文件的评审和比较、中标候选人的推荐情</w:t>
      </w:r>
      <w:r>
        <w:rPr>
          <w:rFonts w:ascii="宋体" w:hAnsi="宋体" w:eastAsia="宋体" w:cs="宋体"/>
          <w:spacing w:val="2"/>
          <w:sz w:val="21"/>
          <w:szCs w:val="21"/>
        </w:rPr>
        <w:t>况以及评标有</w:t>
      </w:r>
      <w:r>
        <w:rPr>
          <w:rFonts w:ascii="宋体" w:hAnsi="宋体" w:eastAsia="宋体" w:cs="宋体"/>
          <w:sz w:val="21"/>
          <w:szCs w:val="21"/>
        </w:rPr>
        <w:t xml:space="preserve"> </w:t>
      </w:r>
      <w:r>
        <w:rPr>
          <w:rFonts w:ascii="宋体" w:hAnsi="宋体" w:eastAsia="宋体" w:cs="宋体"/>
          <w:spacing w:val="3"/>
          <w:sz w:val="21"/>
          <w:szCs w:val="21"/>
        </w:rPr>
        <w:t>关的其他情况。在评标活动中，评标委员会成员不得应当回避</w:t>
      </w:r>
      <w:r>
        <w:rPr>
          <w:rFonts w:ascii="宋体" w:hAnsi="宋体" w:eastAsia="宋体" w:cs="宋体"/>
          <w:spacing w:val="2"/>
          <w:sz w:val="21"/>
          <w:szCs w:val="21"/>
        </w:rPr>
        <w:t>而不回避，不得擅离职守，</w:t>
      </w:r>
    </w:p>
    <w:p w14:paraId="455572A3">
      <w:pPr>
        <w:spacing w:before="112" w:line="297" w:lineRule="auto"/>
        <w:ind w:left="18"/>
        <w:rPr>
          <w:rFonts w:ascii="宋体" w:hAnsi="宋体" w:eastAsia="宋体" w:cs="宋体"/>
          <w:sz w:val="21"/>
          <w:szCs w:val="21"/>
        </w:rPr>
      </w:pPr>
      <w:r>
        <w:rPr>
          <w:rFonts w:ascii="宋体" w:hAnsi="宋体" w:eastAsia="宋体" w:cs="宋体"/>
          <w:sz w:val="21"/>
          <w:szCs w:val="21"/>
        </w:rPr>
        <w:t>影响评标程序正常进行，不得向招标人征询其确定中标人的意向， 不得接受任何单位</w:t>
      </w:r>
      <w:r>
        <w:rPr>
          <w:rFonts w:ascii="宋体" w:hAnsi="宋体" w:eastAsia="宋体" w:cs="宋体"/>
          <w:spacing w:val="-1"/>
          <w:sz w:val="21"/>
          <w:szCs w:val="21"/>
        </w:rPr>
        <w:t xml:space="preserve">或者  </w:t>
      </w:r>
      <w:r>
        <w:rPr>
          <w:rFonts w:ascii="宋体" w:hAnsi="宋体" w:eastAsia="宋体" w:cs="宋体"/>
          <w:sz w:val="21"/>
          <w:szCs w:val="21"/>
        </w:rPr>
        <w:t>个人明示或者暗示提出的倾向或者排斥特定投标人的要求， 不得对依法应当否决的投</w:t>
      </w:r>
      <w:r>
        <w:rPr>
          <w:rFonts w:ascii="宋体" w:hAnsi="宋体" w:eastAsia="宋体" w:cs="宋体"/>
          <w:spacing w:val="-1"/>
          <w:sz w:val="21"/>
          <w:szCs w:val="21"/>
        </w:rPr>
        <w:t xml:space="preserve">标不  </w:t>
      </w:r>
      <w:r>
        <w:rPr>
          <w:rFonts w:ascii="宋体" w:hAnsi="宋体" w:eastAsia="宋体" w:cs="宋体"/>
          <w:spacing w:val="2"/>
          <w:sz w:val="21"/>
          <w:szCs w:val="21"/>
        </w:rPr>
        <w:t>提出否决意见，不得暗示或者诱导投标人作出澄清、说明或者接受投标人主动提出的澄清、</w:t>
      </w:r>
      <w:r>
        <w:rPr>
          <w:rFonts w:ascii="宋体" w:hAnsi="宋体" w:eastAsia="宋体" w:cs="宋体"/>
          <w:spacing w:val="1"/>
          <w:sz w:val="21"/>
          <w:szCs w:val="21"/>
        </w:rPr>
        <w:t xml:space="preserve"> </w:t>
      </w:r>
      <w:r>
        <w:rPr>
          <w:rFonts w:ascii="宋体" w:hAnsi="宋体" w:eastAsia="宋体" w:cs="宋体"/>
          <w:sz w:val="21"/>
          <w:szCs w:val="21"/>
        </w:rPr>
        <w:t>说明， 不得敷衍塞责随意评标，不得在合法的评标劳务费之外额外索取、接受报酬或</w:t>
      </w:r>
      <w:r>
        <w:rPr>
          <w:rFonts w:ascii="宋体" w:hAnsi="宋体" w:eastAsia="宋体" w:cs="宋体"/>
          <w:spacing w:val="-1"/>
          <w:sz w:val="21"/>
          <w:szCs w:val="21"/>
        </w:rPr>
        <w:t xml:space="preserve">者其  </w:t>
      </w:r>
      <w:r>
        <w:rPr>
          <w:rFonts w:ascii="宋体" w:hAnsi="宋体" w:eastAsia="宋体" w:cs="宋体"/>
          <w:spacing w:val="-7"/>
          <w:sz w:val="21"/>
          <w:szCs w:val="21"/>
        </w:rPr>
        <w:t>他好处。</w:t>
      </w:r>
    </w:p>
    <w:p w14:paraId="620BD117">
      <w:pPr>
        <w:spacing w:before="85" w:line="218" w:lineRule="auto"/>
        <w:ind w:left="19"/>
        <w:rPr>
          <w:rFonts w:ascii="黑体" w:hAnsi="黑体" w:eastAsia="黑体" w:cs="黑体"/>
          <w:sz w:val="24"/>
          <w:szCs w:val="24"/>
        </w:rPr>
      </w:pPr>
      <w:r>
        <w:rPr>
          <w:rFonts w:ascii="Times New Roman" w:hAnsi="Times New Roman" w:eastAsia="Times New Roman" w:cs="Times New Roman"/>
          <w:spacing w:val="-1"/>
          <w:sz w:val="24"/>
          <w:szCs w:val="24"/>
        </w:rPr>
        <w:t xml:space="preserve">9.4 </w:t>
      </w:r>
      <w:r>
        <w:rPr>
          <w:rFonts w:ascii="黑体" w:hAnsi="黑体" w:eastAsia="黑体" w:cs="黑体"/>
          <w:spacing w:val="-1"/>
          <w:sz w:val="24"/>
          <w:szCs w:val="24"/>
        </w:rPr>
        <w:t>对与评标活动有关的工作人员的纪律要求</w:t>
      </w:r>
    </w:p>
    <w:p w14:paraId="3B4FABFD">
      <w:pPr>
        <w:spacing w:before="100" w:line="285" w:lineRule="auto"/>
        <w:ind w:left="19" w:right="174" w:firstLine="426"/>
        <w:rPr>
          <w:rFonts w:ascii="宋体" w:hAnsi="宋体" w:eastAsia="宋体" w:cs="宋体"/>
          <w:sz w:val="21"/>
          <w:szCs w:val="21"/>
        </w:rPr>
      </w:pPr>
      <w:r>
        <w:rPr>
          <w:rFonts w:ascii="宋体" w:hAnsi="宋体" w:eastAsia="宋体" w:cs="宋体"/>
          <w:sz w:val="21"/>
          <w:szCs w:val="21"/>
        </w:rPr>
        <w:t>与评标活动有关的工作人员不得收受他人的财物或者其他好处， 不得向他人透漏对投</w:t>
      </w:r>
      <w:r>
        <w:rPr>
          <w:rFonts w:ascii="宋体" w:hAnsi="宋体" w:eastAsia="宋体" w:cs="宋体"/>
          <w:spacing w:val="4"/>
          <w:sz w:val="21"/>
          <w:szCs w:val="21"/>
        </w:rPr>
        <w:t xml:space="preserve"> </w:t>
      </w:r>
      <w:r>
        <w:rPr>
          <w:rFonts w:ascii="宋体" w:hAnsi="宋体" w:eastAsia="宋体" w:cs="宋体"/>
          <w:spacing w:val="3"/>
          <w:sz w:val="21"/>
          <w:szCs w:val="21"/>
        </w:rPr>
        <w:t>标文件的评审和比较、中标候选人的推荐情况以及评标有关的</w:t>
      </w:r>
      <w:r>
        <w:rPr>
          <w:rFonts w:ascii="宋体" w:hAnsi="宋体" w:eastAsia="宋体" w:cs="宋体"/>
          <w:spacing w:val="2"/>
          <w:sz w:val="21"/>
          <w:szCs w:val="21"/>
        </w:rPr>
        <w:t>其他情况。在评标活动中，</w:t>
      </w:r>
      <w:r>
        <w:rPr>
          <w:rFonts w:ascii="宋体" w:hAnsi="宋体" w:eastAsia="宋体" w:cs="宋体"/>
          <w:sz w:val="21"/>
          <w:szCs w:val="21"/>
        </w:rPr>
        <w:t xml:space="preserve"> </w:t>
      </w:r>
      <w:r>
        <w:rPr>
          <w:rFonts w:ascii="宋体" w:hAnsi="宋体" w:eastAsia="宋体" w:cs="宋体"/>
          <w:spacing w:val="-1"/>
          <w:sz w:val="21"/>
          <w:szCs w:val="21"/>
        </w:rPr>
        <w:t>与评标活动有关的工作人员不得擅离职守，影响评标程序正常进行。</w:t>
      </w:r>
    </w:p>
    <w:p w14:paraId="57B3A4E7">
      <w:pPr>
        <w:spacing w:before="85" w:line="217" w:lineRule="auto"/>
        <w:ind w:left="19"/>
        <w:rPr>
          <w:rFonts w:ascii="黑体" w:hAnsi="黑体" w:eastAsia="黑体" w:cs="黑体"/>
          <w:sz w:val="24"/>
          <w:szCs w:val="24"/>
        </w:rPr>
      </w:pPr>
      <w:r>
        <w:rPr>
          <w:rFonts w:ascii="Times New Roman" w:hAnsi="Times New Roman" w:eastAsia="Times New Roman" w:cs="Times New Roman"/>
          <w:spacing w:val="-3"/>
          <w:sz w:val="24"/>
          <w:szCs w:val="24"/>
        </w:rPr>
        <w:t>9.5</w:t>
      </w:r>
      <w:r>
        <w:rPr>
          <w:rFonts w:ascii="Times New Roman" w:hAnsi="Times New Roman" w:eastAsia="Times New Roman" w:cs="Times New Roman"/>
          <w:spacing w:val="13"/>
          <w:sz w:val="24"/>
          <w:szCs w:val="24"/>
        </w:rPr>
        <w:t xml:space="preserve"> </w:t>
      </w:r>
      <w:r>
        <w:rPr>
          <w:rFonts w:ascii="黑体" w:hAnsi="黑体" w:eastAsia="黑体" w:cs="黑体"/>
          <w:spacing w:val="-3"/>
          <w:sz w:val="24"/>
          <w:szCs w:val="24"/>
        </w:rPr>
        <w:t>投诉</w:t>
      </w:r>
    </w:p>
    <w:p w14:paraId="3216F96D">
      <w:pPr>
        <w:spacing w:before="102" w:line="284" w:lineRule="auto"/>
        <w:ind w:left="17" w:right="169" w:firstLine="426"/>
        <w:jc w:val="both"/>
        <w:rPr>
          <w:rFonts w:ascii="宋体" w:hAnsi="宋体" w:eastAsia="宋体" w:cs="宋体"/>
          <w:sz w:val="21"/>
          <w:szCs w:val="21"/>
        </w:rPr>
      </w:pPr>
      <w:r>
        <w:rPr>
          <w:rFonts w:ascii="宋体" w:hAnsi="宋体" w:eastAsia="宋体" w:cs="宋体"/>
          <w:sz w:val="21"/>
          <w:szCs w:val="21"/>
        </w:rPr>
        <w:t>投标人和其他利害关系人认为本次招标活动违反法律、法规和规章规定的， 有权自知</w:t>
      </w:r>
      <w:r>
        <w:rPr>
          <w:rFonts w:ascii="宋体" w:hAnsi="宋体" w:eastAsia="宋体" w:cs="宋体"/>
          <w:spacing w:val="6"/>
          <w:sz w:val="21"/>
          <w:szCs w:val="21"/>
        </w:rPr>
        <w:t xml:space="preserve"> </w:t>
      </w:r>
      <w:r>
        <w:rPr>
          <w:rFonts w:ascii="宋体" w:hAnsi="宋体" w:eastAsia="宋体" w:cs="宋体"/>
          <w:spacing w:val="-2"/>
          <w:sz w:val="21"/>
          <w:szCs w:val="21"/>
        </w:rPr>
        <w:t xml:space="preserve">道或者应当知道之日起 </w:t>
      </w:r>
      <w:r>
        <w:rPr>
          <w:rFonts w:ascii="Times New Roman" w:hAnsi="Times New Roman" w:eastAsia="Times New Roman" w:cs="Times New Roman"/>
          <w:spacing w:val="-2"/>
          <w:sz w:val="21"/>
          <w:szCs w:val="21"/>
        </w:rPr>
        <w:t>10</w:t>
      </w:r>
      <w:r>
        <w:rPr>
          <w:rFonts w:ascii="Times New Roman" w:hAnsi="Times New Roman" w:eastAsia="Times New Roman" w:cs="Times New Roman"/>
          <w:spacing w:val="47"/>
          <w:w w:val="101"/>
          <w:sz w:val="21"/>
          <w:szCs w:val="21"/>
        </w:rPr>
        <w:t xml:space="preserve"> </w:t>
      </w:r>
      <w:r>
        <w:rPr>
          <w:rFonts w:ascii="宋体" w:hAnsi="宋体" w:eastAsia="宋体" w:cs="宋体"/>
          <w:spacing w:val="-2"/>
          <w:sz w:val="21"/>
          <w:szCs w:val="21"/>
        </w:rPr>
        <w:t>日内向有关行政监督部门投诉，其中对招标文件的内容（包括最</w:t>
      </w:r>
      <w:r>
        <w:rPr>
          <w:rFonts w:ascii="宋体" w:hAnsi="宋体" w:eastAsia="宋体" w:cs="宋体"/>
          <w:sz w:val="21"/>
          <w:szCs w:val="21"/>
        </w:rPr>
        <w:t xml:space="preserve"> </w:t>
      </w:r>
      <w:r>
        <w:rPr>
          <w:rFonts w:ascii="宋体" w:hAnsi="宋体" w:eastAsia="宋体" w:cs="宋体"/>
          <w:spacing w:val="-4"/>
          <w:sz w:val="21"/>
          <w:szCs w:val="21"/>
        </w:rPr>
        <w:t>高投标限价）、开标、评标结果进行投诉的，应当按本章第</w:t>
      </w:r>
      <w:r>
        <w:rPr>
          <w:rFonts w:ascii="宋体" w:hAnsi="宋体" w:eastAsia="宋体" w:cs="宋体"/>
          <w:spacing w:val="-28"/>
          <w:sz w:val="21"/>
          <w:szCs w:val="21"/>
        </w:rPr>
        <w:t xml:space="preserve"> </w:t>
      </w:r>
      <w:r>
        <w:rPr>
          <w:rFonts w:ascii="Times New Roman" w:hAnsi="Times New Roman" w:eastAsia="Times New Roman" w:cs="Times New Roman"/>
          <w:spacing w:val="-4"/>
          <w:sz w:val="21"/>
          <w:szCs w:val="21"/>
        </w:rPr>
        <w:t xml:space="preserve">2.4 </w:t>
      </w:r>
      <w:r>
        <w:rPr>
          <w:rFonts w:ascii="宋体" w:hAnsi="宋体" w:eastAsia="宋体" w:cs="宋体"/>
          <w:spacing w:val="-4"/>
          <w:sz w:val="21"/>
          <w:szCs w:val="21"/>
        </w:rPr>
        <w:t>款、第</w:t>
      </w:r>
      <w:r>
        <w:rPr>
          <w:rFonts w:ascii="宋体" w:hAnsi="宋体" w:eastAsia="宋体" w:cs="宋体"/>
          <w:spacing w:val="-42"/>
          <w:sz w:val="21"/>
          <w:szCs w:val="21"/>
        </w:rPr>
        <w:t xml:space="preserve"> </w:t>
      </w:r>
      <w:r>
        <w:rPr>
          <w:rFonts w:ascii="Times New Roman" w:hAnsi="Times New Roman" w:eastAsia="Times New Roman" w:cs="Times New Roman"/>
          <w:spacing w:val="-4"/>
          <w:sz w:val="21"/>
          <w:szCs w:val="21"/>
        </w:rPr>
        <w:t xml:space="preserve">5.3 </w:t>
      </w:r>
      <w:r>
        <w:rPr>
          <w:rFonts w:ascii="宋体" w:hAnsi="宋体" w:eastAsia="宋体" w:cs="宋体"/>
          <w:spacing w:val="-4"/>
          <w:sz w:val="21"/>
          <w:szCs w:val="21"/>
        </w:rPr>
        <w:t>款、第</w:t>
      </w:r>
      <w:r>
        <w:rPr>
          <w:rFonts w:ascii="宋体" w:hAnsi="宋体" w:eastAsia="宋体" w:cs="宋体"/>
          <w:spacing w:val="-43"/>
          <w:sz w:val="21"/>
          <w:szCs w:val="21"/>
        </w:rPr>
        <w:t xml:space="preserve"> </w:t>
      </w:r>
      <w:r>
        <w:rPr>
          <w:rFonts w:ascii="Times New Roman" w:hAnsi="Times New Roman" w:eastAsia="Times New Roman" w:cs="Times New Roman"/>
          <w:spacing w:val="-4"/>
          <w:sz w:val="21"/>
          <w:szCs w:val="21"/>
        </w:rPr>
        <w:t xml:space="preserve">6.4 </w:t>
      </w:r>
      <w:r>
        <w:rPr>
          <w:rFonts w:ascii="宋体" w:hAnsi="宋体" w:eastAsia="宋体" w:cs="宋体"/>
          <w:spacing w:val="-4"/>
          <w:sz w:val="21"/>
          <w:szCs w:val="21"/>
        </w:rPr>
        <w:t>款的规</w:t>
      </w:r>
    </w:p>
    <w:p w14:paraId="5182EC09">
      <w:pPr>
        <w:spacing w:line="284" w:lineRule="auto"/>
        <w:rPr>
          <w:rFonts w:ascii="宋体" w:hAnsi="宋体" w:eastAsia="宋体" w:cs="宋体"/>
          <w:sz w:val="21"/>
          <w:szCs w:val="21"/>
        </w:rPr>
        <w:sectPr>
          <w:footerReference r:id="rId31" w:type="default"/>
          <w:pgSz w:w="11905" w:h="16839"/>
          <w:pgMar w:top="1431" w:right="1617" w:bottom="1036" w:left="1785" w:header="0" w:footer="847" w:gutter="0"/>
          <w:pgNumType w:fmt="decimal"/>
          <w:cols w:space="720" w:num="1"/>
        </w:sectPr>
      </w:pPr>
    </w:p>
    <w:p w14:paraId="78128957">
      <w:pPr>
        <w:spacing w:before="114" w:line="269" w:lineRule="auto"/>
        <w:ind w:left="17" w:right="179" w:firstLine="5"/>
        <w:rPr>
          <w:rFonts w:ascii="宋体" w:hAnsi="宋体" w:eastAsia="宋体" w:cs="宋体"/>
          <w:sz w:val="21"/>
          <w:szCs w:val="21"/>
        </w:rPr>
      </w:pPr>
      <w:r>
        <w:rPr>
          <w:rFonts w:ascii="宋体" w:hAnsi="宋体" w:eastAsia="宋体" w:cs="宋体"/>
          <w:sz w:val="21"/>
          <w:szCs w:val="21"/>
        </w:rPr>
        <w:t>定先向招标人提出异议后，方可向有关行政监督部门投诉， 异议答复期不计算在规定的投</w:t>
      </w:r>
      <w:r>
        <w:rPr>
          <w:rFonts w:ascii="宋体" w:hAnsi="宋体" w:eastAsia="宋体" w:cs="宋体"/>
          <w:spacing w:val="7"/>
          <w:sz w:val="21"/>
          <w:szCs w:val="21"/>
        </w:rPr>
        <w:t xml:space="preserve"> </w:t>
      </w:r>
      <w:r>
        <w:rPr>
          <w:rFonts w:ascii="宋体" w:hAnsi="宋体" w:eastAsia="宋体" w:cs="宋体"/>
          <w:spacing w:val="-3"/>
          <w:sz w:val="21"/>
          <w:szCs w:val="21"/>
        </w:rPr>
        <w:t>诉时效期限内。</w:t>
      </w:r>
    </w:p>
    <w:p w14:paraId="025DEEF9">
      <w:pPr>
        <w:spacing w:before="109" w:line="269" w:lineRule="auto"/>
        <w:ind w:left="35" w:right="188" w:firstLine="408"/>
        <w:rPr>
          <w:rFonts w:ascii="宋体" w:hAnsi="宋体" w:eastAsia="宋体" w:cs="宋体"/>
          <w:sz w:val="21"/>
          <w:szCs w:val="21"/>
        </w:rPr>
      </w:pPr>
      <w:r>
        <w:rPr>
          <w:rFonts w:ascii="宋体" w:hAnsi="宋体" w:eastAsia="宋体" w:cs="宋体"/>
          <w:spacing w:val="3"/>
          <w:sz w:val="21"/>
          <w:szCs w:val="21"/>
        </w:rPr>
        <w:t>投标人和其他利害关系人的投诉应按照《工程建设项目招标投标</w:t>
      </w:r>
      <w:r>
        <w:rPr>
          <w:rFonts w:ascii="宋体" w:hAnsi="宋体" w:eastAsia="宋体" w:cs="宋体"/>
          <w:spacing w:val="2"/>
          <w:sz w:val="21"/>
          <w:szCs w:val="21"/>
        </w:rPr>
        <w:t>活动投诉处理办法》</w:t>
      </w:r>
      <w:r>
        <w:rPr>
          <w:rFonts w:ascii="宋体" w:hAnsi="宋体" w:eastAsia="宋体" w:cs="宋体"/>
          <w:sz w:val="21"/>
          <w:szCs w:val="21"/>
        </w:rPr>
        <w:t xml:space="preserve"> </w:t>
      </w:r>
      <w:r>
        <w:rPr>
          <w:rFonts w:ascii="宋体" w:hAnsi="宋体" w:eastAsia="宋体" w:cs="宋体"/>
          <w:spacing w:val="-4"/>
          <w:sz w:val="21"/>
          <w:szCs w:val="21"/>
        </w:rPr>
        <w:t>的规定进行。</w:t>
      </w:r>
    </w:p>
    <w:p w14:paraId="692B914F">
      <w:pPr>
        <w:spacing w:before="108" w:line="220" w:lineRule="auto"/>
        <w:ind w:left="442"/>
        <w:rPr>
          <w:rFonts w:ascii="宋体" w:hAnsi="宋体" w:eastAsia="宋体" w:cs="宋体"/>
          <w:sz w:val="21"/>
          <w:szCs w:val="21"/>
        </w:rPr>
      </w:pPr>
      <w:r>
        <w:rPr>
          <w:rFonts w:ascii="宋体" w:hAnsi="宋体" w:eastAsia="宋体" w:cs="宋体"/>
          <w:spacing w:val="-1"/>
          <w:sz w:val="21"/>
          <w:szCs w:val="21"/>
        </w:rPr>
        <w:t>有关行政监督部门的联系方式见投标人须知前附表。</w:t>
      </w:r>
    </w:p>
    <w:p w14:paraId="7F2F7A36">
      <w:pPr>
        <w:spacing w:before="152" w:line="393" w:lineRule="exact"/>
        <w:ind w:left="42"/>
        <w:rPr>
          <w:rFonts w:ascii="黑体" w:hAnsi="黑体" w:eastAsia="黑体" w:cs="黑体"/>
          <w:sz w:val="27"/>
          <w:szCs w:val="27"/>
        </w:rPr>
      </w:pPr>
      <w:bookmarkStart w:id="85" w:name="bookmark99"/>
      <w:bookmarkEnd w:id="85"/>
      <w:r>
        <w:rPr>
          <w:rFonts w:ascii="Times New Roman" w:hAnsi="Times New Roman" w:eastAsia="Times New Roman" w:cs="Times New Roman"/>
          <w:spacing w:val="3"/>
          <w:position w:val="8"/>
          <w:sz w:val="27"/>
          <w:szCs w:val="27"/>
        </w:rPr>
        <w:t>10.</w:t>
      </w:r>
      <w:r>
        <w:rPr>
          <w:rFonts w:ascii="Times New Roman" w:hAnsi="Times New Roman" w:eastAsia="Times New Roman" w:cs="Times New Roman"/>
          <w:spacing w:val="28"/>
          <w:position w:val="8"/>
          <w:sz w:val="27"/>
          <w:szCs w:val="27"/>
        </w:rPr>
        <w:t xml:space="preserve"> </w:t>
      </w:r>
      <w:r>
        <w:rPr>
          <w:rFonts w:ascii="黑体" w:hAnsi="黑体" w:eastAsia="黑体" w:cs="黑体"/>
          <w:spacing w:val="3"/>
          <w:position w:val="8"/>
          <w:sz w:val="27"/>
          <w:szCs w:val="27"/>
        </w:rPr>
        <w:t>需要补充的其他内容</w:t>
      </w:r>
    </w:p>
    <w:p w14:paraId="6C10168C">
      <w:pPr>
        <w:spacing w:line="219" w:lineRule="auto"/>
        <w:ind w:left="38"/>
        <w:rPr>
          <w:rFonts w:ascii="黑体" w:hAnsi="黑体" w:eastAsia="黑体" w:cs="黑体"/>
          <w:sz w:val="24"/>
          <w:szCs w:val="24"/>
        </w:rPr>
      </w:pPr>
      <w:r>
        <w:rPr>
          <w:rFonts w:ascii="Times New Roman" w:hAnsi="Times New Roman" w:eastAsia="Times New Roman" w:cs="Times New Roman"/>
          <w:spacing w:val="-5"/>
          <w:sz w:val="24"/>
          <w:szCs w:val="24"/>
        </w:rPr>
        <w:t>10.1</w:t>
      </w:r>
      <w:r>
        <w:rPr>
          <w:rFonts w:ascii="Times New Roman" w:hAnsi="Times New Roman" w:eastAsia="Times New Roman" w:cs="Times New Roman"/>
          <w:spacing w:val="19"/>
          <w:sz w:val="24"/>
          <w:szCs w:val="24"/>
        </w:rPr>
        <w:t xml:space="preserve"> </w:t>
      </w:r>
      <w:r>
        <w:rPr>
          <w:rFonts w:ascii="黑体" w:hAnsi="黑体" w:eastAsia="黑体" w:cs="黑体"/>
          <w:spacing w:val="-5"/>
          <w:sz w:val="24"/>
          <w:szCs w:val="24"/>
        </w:rPr>
        <w:t>词语定义</w:t>
      </w:r>
    </w:p>
    <w:p w14:paraId="0A10A883">
      <w:pPr>
        <w:spacing w:before="100" w:line="220" w:lineRule="auto"/>
        <w:ind w:left="442"/>
        <w:rPr>
          <w:rFonts w:ascii="宋体" w:hAnsi="宋体" w:eastAsia="宋体" w:cs="宋体"/>
          <w:sz w:val="21"/>
          <w:szCs w:val="21"/>
        </w:rPr>
      </w:pPr>
      <w:r>
        <w:rPr>
          <w:rFonts w:ascii="宋体" w:hAnsi="宋体" w:eastAsia="宋体" w:cs="宋体"/>
          <w:spacing w:val="-2"/>
          <w:sz w:val="21"/>
          <w:szCs w:val="21"/>
        </w:rPr>
        <w:t>词语定义规定：见投标人须知前附表。</w:t>
      </w:r>
    </w:p>
    <w:p w14:paraId="1F78354C">
      <w:pPr>
        <w:spacing w:before="85" w:line="219" w:lineRule="auto"/>
        <w:ind w:left="38"/>
        <w:rPr>
          <w:rFonts w:ascii="黑体" w:hAnsi="黑体" w:eastAsia="黑体" w:cs="黑体"/>
          <w:sz w:val="24"/>
          <w:szCs w:val="24"/>
        </w:rPr>
      </w:pPr>
      <w:r>
        <w:rPr>
          <w:rFonts w:ascii="Times New Roman" w:hAnsi="Times New Roman" w:eastAsia="Times New Roman" w:cs="Times New Roman"/>
          <w:spacing w:val="-5"/>
          <w:sz w:val="24"/>
          <w:szCs w:val="24"/>
        </w:rPr>
        <w:t>10.2</w:t>
      </w:r>
      <w:r>
        <w:rPr>
          <w:rFonts w:ascii="Times New Roman" w:hAnsi="Times New Roman" w:eastAsia="Times New Roman" w:cs="Times New Roman"/>
          <w:spacing w:val="39"/>
          <w:w w:val="101"/>
          <w:sz w:val="24"/>
          <w:szCs w:val="24"/>
        </w:rPr>
        <w:t xml:space="preserve"> </w:t>
      </w:r>
      <w:r>
        <w:rPr>
          <w:rFonts w:ascii="黑体" w:hAnsi="黑体" w:eastAsia="黑体" w:cs="黑体"/>
          <w:spacing w:val="-5"/>
          <w:sz w:val="24"/>
          <w:szCs w:val="24"/>
        </w:rPr>
        <w:t>中标人的投标文件</w:t>
      </w:r>
    </w:p>
    <w:p w14:paraId="73D437A9">
      <w:pPr>
        <w:spacing w:before="99" w:line="255" w:lineRule="auto"/>
        <w:ind w:left="38" w:firstLine="422"/>
        <w:rPr>
          <w:rFonts w:ascii="黑体" w:hAnsi="黑体" w:eastAsia="黑体" w:cs="黑体"/>
          <w:sz w:val="24"/>
          <w:szCs w:val="24"/>
        </w:rPr>
      </w:pPr>
      <w:r>
        <w:rPr>
          <w:rFonts w:ascii="宋体" w:hAnsi="宋体" w:eastAsia="宋体" w:cs="宋体"/>
          <w:spacing w:val="-1"/>
          <w:sz w:val="21"/>
          <w:szCs w:val="21"/>
        </w:rPr>
        <w:t>中标人在签订合同前须向招标人另行提交的纸质投标文件份数： 见投标人须知前附</w:t>
      </w:r>
      <w:r>
        <w:rPr>
          <w:rFonts w:ascii="宋体" w:hAnsi="宋体" w:eastAsia="宋体" w:cs="宋体"/>
          <w:spacing w:val="-2"/>
          <w:sz w:val="21"/>
          <w:szCs w:val="21"/>
        </w:rPr>
        <w:t>表。</w:t>
      </w:r>
      <w:r>
        <w:rPr>
          <w:rFonts w:ascii="宋体" w:hAnsi="宋体" w:eastAsia="宋体" w:cs="宋体"/>
          <w:sz w:val="21"/>
          <w:szCs w:val="21"/>
        </w:rPr>
        <w:t xml:space="preserve"> </w:t>
      </w:r>
      <w:r>
        <w:rPr>
          <w:rFonts w:ascii="Times New Roman" w:hAnsi="Times New Roman" w:eastAsia="Times New Roman" w:cs="Times New Roman"/>
          <w:spacing w:val="-5"/>
          <w:sz w:val="24"/>
          <w:szCs w:val="24"/>
        </w:rPr>
        <w:t>10.3</w:t>
      </w:r>
      <w:r>
        <w:rPr>
          <w:rFonts w:ascii="Times New Roman" w:hAnsi="Times New Roman" w:eastAsia="Times New Roman" w:cs="Times New Roman"/>
          <w:spacing w:val="20"/>
          <w:sz w:val="24"/>
          <w:szCs w:val="24"/>
        </w:rPr>
        <w:t xml:space="preserve"> </w:t>
      </w:r>
      <w:r>
        <w:rPr>
          <w:rFonts w:ascii="黑体" w:hAnsi="黑体" w:eastAsia="黑体" w:cs="黑体"/>
          <w:spacing w:val="-5"/>
          <w:sz w:val="24"/>
          <w:szCs w:val="24"/>
        </w:rPr>
        <w:t>知识产权</w:t>
      </w:r>
    </w:p>
    <w:p w14:paraId="4395A367">
      <w:pPr>
        <w:spacing w:before="101" w:line="284" w:lineRule="auto"/>
        <w:ind w:left="20" w:right="179" w:firstLine="423"/>
        <w:rPr>
          <w:rFonts w:ascii="宋体" w:hAnsi="宋体" w:eastAsia="宋体" w:cs="宋体"/>
          <w:sz w:val="21"/>
          <w:szCs w:val="21"/>
        </w:rPr>
      </w:pPr>
      <w:r>
        <w:rPr>
          <w:rFonts w:ascii="宋体" w:hAnsi="宋体" w:eastAsia="宋体" w:cs="宋体"/>
          <w:spacing w:val="3"/>
          <w:sz w:val="21"/>
          <w:szCs w:val="21"/>
        </w:rPr>
        <w:t>构成本招标文件各个组成部分的文件，未经招标人书面同意，投标人不得擅自复印和</w:t>
      </w:r>
      <w:r>
        <w:rPr>
          <w:rFonts w:ascii="宋体" w:hAnsi="宋体" w:eastAsia="宋体" w:cs="宋体"/>
          <w:sz w:val="21"/>
          <w:szCs w:val="21"/>
        </w:rPr>
        <w:t xml:space="preserve"> </w:t>
      </w:r>
      <w:r>
        <w:rPr>
          <w:rFonts w:ascii="宋体" w:hAnsi="宋体" w:eastAsia="宋体" w:cs="宋体"/>
          <w:spacing w:val="3"/>
          <w:sz w:val="21"/>
          <w:szCs w:val="21"/>
        </w:rPr>
        <w:t>用于非本招标项目所需的其他目的。招标人全部或者部分使用未中标人投</w:t>
      </w:r>
      <w:r>
        <w:rPr>
          <w:rFonts w:ascii="宋体" w:hAnsi="宋体" w:eastAsia="宋体" w:cs="宋体"/>
          <w:spacing w:val="2"/>
          <w:sz w:val="21"/>
          <w:szCs w:val="21"/>
        </w:rPr>
        <w:t>标文件中的技术</w:t>
      </w:r>
      <w:r>
        <w:rPr>
          <w:rFonts w:ascii="宋体" w:hAnsi="宋体" w:eastAsia="宋体" w:cs="宋体"/>
          <w:sz w:val="21"/>
          <w:szCs w:val="21"/>
        </w:rPr>
        <w:t xml:space="preserve"> </w:t>
      </w:r>
      <w:r>
        <w:rPr>
          <w:rFonts w:ascii="宋体" w:hAnsi="宋体" w:eastAsia="宋体" w:cs="宋体"/>
          <w:spacing w:val="-4"/>
          <w:sz w:val="21"/>
          <w:szCs w:val="21"/>
        </w:rPr>
        <w:t>成果或技术方案时，</w:t>
      </w:r>
      <w:r>
        <w:rPr>
          <w:rFonts w:ascii="宋体" w:hAnsi="宋体" w:eastAsia="宋体" w:cs="宋体"/>
          <w:spacing w:val="25"/>
          <w:sz w:val="21"/>
          <w:szCs w:val="21"/>
        </w:rPr>
        <w:t xml:space="preserve"> </w:t>
      </w:r>
      <w:r>
        <w:rPr>
          <w:rFonts w:ascii="宋体" w:hAnsi="宋体" w:eastAsia="宋体" w:cs="宋体"/>
          <w:spacing w:val="-4"/>
          <w:sz w:val="21"/>
          <w:szCs w:val="21"/>
        </w:rPr>
        <w:t>需征得其书面同意，并不得擅自复印或提供</w:t>
      </w:r>
      <w:r>
        <w:rPr>
          <w:rFonts w:ascii="宋体" w:hAnsi="宋体" w:eastAsia="宋体" w:cs="宋体"/>
          <w:spacing w:val="-5"/>
          <w:sz w:val="21"/>
          <w:szCs w:val="21"/>
        </w:rPr>
        <w:t>给第三人。</w:t>
      </w:r>
    </w:p>
    <w:p w14:paraId="4BB09220">
      <w:pPr>
        <w:spacing w:before="85" w:line="220" w:lineRule="auto"/>
        <w:ind w:left="38"/>
        <w:rPr>
          <w:rFonts w:ascii="黑体" w:hAnsi="黑体" w:eastAsia="黑体" w:cs="黑体"/>
          <w:sz w:val="24"/>
          <w:szCs w:val="24"/>
        </w:rPr>
      </w:pPr>
      <w:r>
        <w:rPr>
          <w:rFonts w:ascii="Times New Roman" w:hAnsi="Times New Roman" w:eastAsia="Times New Roman" w:cs="Times New Roman"/>
          <w:spacing w:val="-6"/>
          <w:sz w:val="24"/>
          <w:szCs w:val="24"/>
        </w:rPr>
        <w:t>10.4</w:t>
      </w:r>
      <w:r>
        <w:rPr>
          <w:rFonts w:ascii="Times New Roman" w:hAnsi="Times New Roman" w:eastAsia="Times New Roman" w:cs="Times New Roman"/>
          <w:spacing w:val="29"/>
          <w:w w:val="101"/>
          <w:sz w:val="24"/>
          <w:szCs w:val="24"/>
        </w:rPr>
        <w:t xml:space="preserve"> </w:t>
      </w:r>
      <w:r>
        <w:rPr>
          <w:rFonts w:ascii="黑体" w:hAnsi="黑体" w:eastAsia="黑体" w:cs="黑体"/>
          <w:spacing w:val="-6"/>
          <w:sz w:val="24"/>
          <w:szCs w:val="24"/>
        </w:rPr>
        <w:t>同义词语</w:t>
      </w:r>
    </w:p>
    <w:p w14:paraId="61DFAF5A">
      <w:pPr>
        <w:spacing w:before="98" w:line="285" w:lineRule="auto"/>
        <w:ind w:left="4" w:right="174" w:firstLine="439"/>
        <w:jc w:val="both"/>
        <w:rPr>
          <w:rFonts w:ascii="宋体" w:hAnsi="宋体" w:eastAsia="宋体" w:cs="宋体"/>
          <w:sz w:val="21"/>
          <w:szCs w:val="21"/>
        </w:rPr>
      </w:pPr>
      <w:r>
        <w:rPr>
          <w:rFonts w:ascii="宋体" w:hAnsi="宋体" w:eastAsia="宋体" w:cs="宋体"/>
          <w:spacing w:val="-8"/>
          <w:sz w:val="21"/>
          <w:szCs w:val="21"/>
        </w:rPr>
        <w:t>构成招标文件组成部分的“通用合同条款”、“专用合同条款”、“技术标准和要求”和</w:t>
      </w:r>
      <w:r>
        <w:rPr>
          <w:rFonts w:ascii="宋体" w:hAnsi="宋体" w:eastAsia="宋体" w:cs="宋体"/>
          <w:spacing w:val="8"/>
          <w:sz w:val="21"/>
          <w:szCs w:val="21"/>
        </w:rPr>
        <w:t xml:space="preserve"> </w:t>
      </w:r>
      <w:r>
        <w:rPr>
          <w:rFonts w:ascii="宋体" w:hAnsi="宋体" w:eastAsia="宋体" w:cs="宋体"/>
          <w:spacing w:val="-2"/>
          <w:sz w:val="21"/>
          <w:szCs w:val="21"/>
        </w:rPr>
        <w:t>“工程量清单”等章节中出现的措辞“发包人”和“承包人”，在招标投标阶段应当分</w:t>
      </w:r>
      <w:r>
        <w:rPr>
          <w:rFonts w:ascii="宋体" w:hAnsi="宋体" w:eastAsia="宋体" w:cs="宋体"/>
          <w:spacing w:val="-3"/>
          <w:sz w:val="21"/>
          <w:szCs w:val="21"/>
        </w:rPr>
        <w:t>别按</w:t>
      </w:r>
      <w:r>
        <w:rPr>
          <w:rFonts w:ascii="宋体" w:hAnsi="宋体" w:eastAsia="宋体" w:cs="宋体"/>
          <w:sz w:val="21"/>
          <w:szCs w:val="21"/>
        </w:rPr>
        <w:t xml:space="preserve"> </w:t>
      </w:r>
      <w:r>
        <w:rPr>
          <w:rFonts w:ascii="宋体" w:hAnsi="宋体" w:eastAsia="宋体" w:cs="宋体"/>
          <w:spacing w:val="-1"/>
          <w:sz w:val="21"/>
          <w:szCs w:val="21"/>
        </w:rPr>
        <w:t>“招标人”和“投标人”进行理解。</w:t>
      </w:r>
    </w:p>
    <w:p w14:paraId="5DD79300">
      <w:pPr>
        <w:spacing w:before="84" w:line="220" w:lineRule="auto"/>
        <w:ind w:left="38"/>
        <w:rPr>
          <w:rFonts w:ascii="黑体" w:hAnsi="黑体" w:eastAsia="黑体" w:cs="黑体"/>
          <w:sz w:val="24"/>
          <w:szCs w:val="24"/>
        </w:rPr>
      </w:pPr>
      <w:r>
        <w:rPr>
          <w:rFonts w:ascii="Times New Roman" w:hAnsi="Times New Roman" w:eastAsia="Times New Roman" w:cs="Times New Roman"/>
          <w:spacing w:val="-5"/>
          <w:sz w:val="24"/>
          <w:szCs w:val="24"/>
        </w:rPr>
        <w:t>10.5</w:t>
      </w:r>
      <w:r>
        <w:rPr>
          <w:rFonts w:ascii="Times New Roman" w:hAnsi="Times New Roman" w:eastAsia="Times New Roman" w:cs="Times New Roman"/>
          <w:spacing w:val="13"/>
          <w:sz w:val="24"/>
          <w:szCs w:val="24"/>
        </w:rPr>
        <w:t xml:space="preserve"> </w:t>
      </w:r>
      <w:r>
        <w:rPr>
          <w:rFonts w:ascii="黑体" w:hAnsi="黑体" w:eastAsia="黑体" w:cs="黑体"/>
          <w:spacing w:val="-5"/>
          <w:sz w:val="24"/>
          <w:szCs w:val="24"/>
        </w:rPr>
        <w:t>解释权</w:t>
      </w:r>
    </w:p>
    <w:p w14:paraId="35B0C7FE">
      <w:pPr>
        <w:spacing w:before="99" w:line="298" w:lineRule="auto"/>
        <w:ind w:left="19" w:right="5" w:firstLine="424"/>
        <w:jc w:val="both"/>
        <w:rPr>
          <w:rFonts w:ascii="黑体" w:hAnsi="黑体" w:eastAsia="黑体" w:cs="黑体"/>
          <w:sz w:val="24"/>
          <w:szCs w:val="24"/>
        </w:rPr>
      </w:pPr>
      <w:r>
        <w:rPr>
          <w:rFonts w:ascii="宋体" w:hAnsi="宋体" w:eastAsia="宋体" w:cs="宋体"/>
          <w:sz w:val="21"/>
          <w:szCs w:val="21"/>
        </w:rPr>
        <w:t>构成本招标文件的各个组成文件应互为解释，互为说明；如有不明确或</w:t>
      </w:r>
      <w:r>
        <w:rPr>
          <w:rFonts w:ascii="宋体" w:hAnsi="宋体" w:eastAsia="宋体" w:cs="宋体"/>
          <w:spacing w:val="-1"/>
          <w:sz w:val="21"/>
          <w:szCs w:val="21"/>
        </w:rPr>
        <w:t xml:space="preserve">不一致， 构成  </w:t>
      </w:r>
      <w:r>
        <w:rPr>
          <w:rFonts w:ascii="宋体" w:hAnsi="宋体" w:eastAsia="宋体" w:cs="宋体"/>
          <w:sz w:val="21"/>
          <w:szCs w:val="21"/>
        </w:rPr>
        <w:t>合同文件组成内容的， 以合同文件约定内容为准，且以专用合同条款约定的合同文件</w:t>
      </w:r>
      <w:r>
        <w:rPr>
          <w:rFonts w:ascii="宋体" w:hAnsi="宋体" w:eastAsia="宋体" w:cs="宋体"/>
          <w:spacing w:val="-1"/>
          <w:sz w:val="21"/>
          <w:szCs w:val="21"/>
        </w:rPr>
        <w:t xml:space="preserve">优先  </w:t>
      </w:r>
      <w:r>
        <w:rPr>
          <w:rFonts w:ascii="宋体" w:hAnsi="宋体" w:eastAsia="宋体" w:cs="宋体"/>
          <w:sz w:val="21"/>
          <w:szCs w:val="21"/>
        </w:rPr>
        <w:t>顺序解释；除招标文件中有特别规定外， 仅适用于招标投标阶段的规定，按招标公告</w:t>
      </w:r>
      <w:r>
        <w:rPr>
          <w:rFonts w:ascii="宋体" w:hAnsi="宋体" w:eastAsia="宋体" w:cs="宋体"/>
          <w:spacing w:val="-1"/>
          <w:sz w:val="21"/>
          <w:szCs w:val="21"/>
        </w:rPr>
        <w:t xml:space="preserve">（投  </w:t>
      </w:r>
      <w:r>
        <w:rPr>
          <w:rFonts w:ascii="宋体" w:hAnsi="宋体" w:eastAsia="宋体" w:cs="宋体"/>
          <w:spacing w:val="-3"/>
          <w:sz w:val="21"/>
          <w:szCs w:val="21"/>
        </w:rPr>
        <w:t xml:space="preserve">标邀请书）、投标人须知、评标办法、投标文件格式的先后顺序解释；同一组成文件中就同  </w:t>
      </w:r>
      <w:r>
        <w:rPr>
          <w:rFonts w:ascii="宋体" w:hAnsi="宋体" w:eastAsia="宋体" w:cs="宋体"/>
          <w:spacing w:val="3"/>
          <w:sz w:val="21"/>
          <w:szCs w:val="21"/>
        </w:rPr>
        <w:t>一事项的规定或约定不一致的，以编排顺序</w:t>
      </w:r>
      <w:r>
        <w:rPr>
          <w:rFonts w:ascii="宋体" w:hAnsi="宋体" w:eastAsia="宋体" w:cs="宋体"/>
          <w:spacing w:val="2"/>
          <w:sz w:val="21"/>
          <w:szCs w:val="21"/>
        </w:rPr>
        <w:t xml:space="preserve">在后者为准；同一组成文件不同版本之间有不  </w:t>
      </w:r>
      <w:r>
        <w:rPr>
          <w:rFonts w:ascii="宋体" w:hAnsi="宋体" w:eastAsia="宋体" w:cs="宋体"/>
          <w:spacing w:val="-1"/>
          <w:sz w:val="21"/>
          <w:szCs w:val="21"/>
        </w:rPr>
        <w:t>一致的，以形成时间在后者为准。按本款前述规定仍不能形成结论的， 由招标人负责解释。</w:t>
      </w:r>
      <w:r>
        <w:rPr>
          <w:rFonts w:ascii="宋体" w:hAnsi="宋体" w:eastAsia="宋体" w:cs="宋体"/>
          <w:spacing w:val="17"/>
          <w:sz w:val="21"/>
          <w:szCs w:val="21"/>
        </w:rPr>
        <w:t xml:space="preserve"> </w:t>
      </w:r>
      <w:r>
        <w:rPr>
          <w:rFonts w:ascii="Times New Roman" w:hAnsi="Times New Roman" w:eastAsia="Times New Roman" w:cs="Times New Roman"/>
          <w:spacing w:val="-1"/>
          <w:sz w:val="24"/>
          <w:szCs w:val="24"/>
        </w:rPr>
        <w:t xml:space="preserve">10.6 </w:t>
      </w:r>
      <w:r>
        <w:rPr>
          <w:rFonts w:ascii="黑体" w:hAnsi="黑体" w:eastAsia="黑体" w:cs="黑体"/>
          <w:spacing w:val="-1"/>
          <w:sz w:val="24"/>
          <w:szCs w:val="24"/>
        </w:rPr>
        <w:t>招标人补充的其他内容</w:t>
      </w:r>
    </w:p>
    <w:p w14:paraId="1A2BB66E">
      <w:pPr>
        <w:spacing w:before="99" w:line="220" w:lineRule="auto"/>
        <w:ind w:left="442"/>
        <w:rPr>
          <w:rFonts w:ascii="宋体" w:hAnsi="宋体" w:eastAsia="宋体" w:cs="宋体"/>
          <w:sz w:val="21"/>
          <w:szCs w:val="21"/>
        </w:rPr>
      </w:pPr>
      <w:r>
        <w:rPr>
          <w:rFonts w:ascii="宋体" w:hAnsi="宋体" w:eastAsia="宋体" w:cs="宋体"/>
          <w:spacing w:val="-2"/>
          <w:sz w:val="21"/>
          <w:szCs w:val="21"/>
        </w:rPr>
        <w:t>招标人补充的其他内容：见投标人须知前附表。</w:t>
      </w:r>
    </w:p>
    <w:p w14:paraId="5EF3F603">
      <w:pPr>
        <w:spacing w:line="220" w:lineRule="auto"/>
        <w:rPr>
          <w:rFonts w:ascii="宋体" w:hAnsi="宋体" w:eastAsia="宋体" w:cs="宋体"/>
          <w:sz w:val="21"/>
          <w:szCs w:val="21"/>
        </w:rPr>
        <w:sectPr>
          <w:footerReference r:id="rId32" w:type="default"/>
          <w:pgSz w:w="11905" w:h="16839"/>
          <w:pgMar w:top="1431" w:right="1612" w:bottom="1036" w:left="1785" w:header="0" w:footer="847" w:gutter="0"/>
          <w:pgNumType w:fmt="decimal"/>
          <w:cols w:space="720" w:num="1"/>
        </w:sectPr>
      </w:pPr>
    </w:p>
    <w:p w14:paraId="183F3C6D">
      <w:pPr>
        <w:spacing w:before="47" w:line="219" w:lineRule="auto"/>
        <w:ind w:left="32"/>
        <w:rPr>
          <w:rFonts w:ascii="黑体" w:hAnsi="黑体" w:eastAsia="黑体" w:cs="黑体"/>
          <w:sz w:val="24"/>
          <w:szCs w:val="24"/>
        </w:rPr>
      </w:pPr>
      <w:r>
        <w:rPr>
          <w:rFonts w:ascii="黑体" w:hAnsi="黑体" w:eastAsia="黑体" w:cs="黑体"/>
          <w:spacing w:val="-4"/>
          <w:sz w:val="24"/>
          <w:szCs w:val="24"/>
        </w:rPr>
        <w:t>附表一：招标文件澄清申请函</w:t>
      </w:r>
    </w:p>
    <w:p w14:paraId="5307E413">
      <w:pPr>
        <w:pStyle w:val="3"/>
        <w:spacing w:line="253" w:lineRule="auto"/>
      </w:pPr>
    </w:p>
    <w:p w14:paraId="1D698A3E">
      <w:pPr>
        <w:pStyle w:val="3"/>
        <w:spacing w:line="253" w:lineRule="auto"/>
      </w:pPr>
    </w:p>
    <w:p w14:paraId="7BB624C9">
      <w:pPr>
        <w:pStyle w:val="3"/>
        <w:spacing w:line="253" w:lineRule="auto"/>
      </w:pPr>
    </w:p>
    <w:p w14:paraId="42D5AC2D">
      <w:pPr>
        <w:pStyle w:val="3"/>
        <w:spacing w:line="253" w:lineRule="auto"/>
      </w:pPr>
    </w:p>
    <w:p w14:paraId="01F59840">
      <w:pPr>
        <w:pStyle w:val="3"/>
        <w:spacing w:line="253" w:lineRule="auto"/>
      </w:pPr>
    </w:p>
    <w:p w14:paraId="267B367C">
      <w:pPr>
        <w:pStyle w:val="3"/>
        <w:spacing w:line="254" w:lineRule="auto"/>
      </w:pPr>
    </w:p>
    <w:p w14:paraId="03F474DD">
      <w:pPr>
        <w:spacing w:before="88" w:line="225" w:lineRule="auto"/>
        <w:ind w:left="2915"/>
        <w:rPr>
          <w:rFonts w:ascii="黑体" w:hAnsi="黑体" w:eastAsia="黑体" w:cs="黑体"/>
          <w:sz w:val="27"/>
          <w:szCs w:val="27"/>
        </w:rPr>
      </w:pPr>
      <w:r>
        <w:rPr>
          <w:rFonts w:ascii="黑体" w:hAnsi="黑体" w:eastAsia="黑体" w:cs="黑体"/>
          <w:spacing w:val="8"/>
          <w:sz w:val="27"/>
          <w:szCs w:val="27"/>
        </w:rPr>
        <w:t>招标文件澄清申请函</w:t>
      </w:r>
    </w:p>
    <w:p w14:paraId="0EB40A23">
      <w:pPr>
        <w:pStyle w:val="3"/>
        <w:spacing w:line="474" w:lineRule="auto"/>
      </w:pPr>
    </w:p>
    <w:p w14:paraId="7427B71A">
      <w:pPr>
        <w:spacing w:before="68" w:line="221" w:lineRule="auto"/>
        <w:ind w:left="6219"/>
        <w:rPr>
          <w:rFonts w:ascii="宋体" w:hAnsi="宋体" w:eastAsia="宋体" w:cs="宋体"/>
          <w:sz w:val="21"/>
          <w:szCs w:val="21"/>
        </w:rPr>
      </w:pPr>
      <w:r>
        <w:rPr>
          <w:rFonts w:ascii="宋体" w:hAnsi="宋体" w:eastAsia="宋体" w:cs="宋体"/>
          <w:spacing w:val="-32"/>
          <w:w w:val="98"/>
          <w:sz w:val="21"/>
          <w:szCs w:val="21"/>
        </w:rPr>
        <w:t>编号：</w:t>
      </w:r>
      <w:r>
        <w:rPr>
          <w:rFonts w:ascii="宋体" w:hAnsi="宋体" w:eastAsia="宋体" w:cs="宋体"/>
          <w:spacing w:val="-4"/>
          <w:sz w:val="21"/>
          <w:szCs w:val="21"/>
        </w:rPr>
        <w:t xml:space="preserve"> </w:t>
      </w:r>
      <w:r>
        <w:rPr>
          <w:rFonts w:ascii="宋体" w:hAnsi="宋体" w:eastAsia="宋体" w:cs="宋体"/>
          <w:sz w:val="21"/>
          <w:szCs w:val="21"/>
          <w:u w:val="single" w:color="auto"/>
        </w:rPr>
        <w:t xml:space="preserve">          </w:t>
      </w:r>
    </w:p>
    <w:p w14:paraId="0D826DEB">
      <w:pPr>
        <w:pStyle w:val="3"/>
        <w:spacing w:line="250" w:lineRule="auto"/>
      </w:pPr>
    </w:p>
    <w:p w14:paraId="792AE81F">
      <w:pPr>
        <w:pStyle w:val="3"/>
        <w:spacing w:line="250" w:lineRule="auto"/>
      </w:pPr>
    </w:p>
    <w:p w14:paraId="666D853E">
      <w:pPr>
        <w:pStyle w:val="3"/>
        <w:spacing w:line="251" w:lineRule="auto"/>
      </w:pPr>
    </w:p>
    <w:p w14:paraId="5601901D">
      <w:pPr>
        <w:tabs>
          <w:tab w:val="left" w:pos="2218"/>
        </w:tabs>
        <w:spacing w:before="69" w:line="221" w:lineRule="auto"/>
        <w:ind w:left="10"/>
        <w:rPr>
          <w:rFonts w:ascii="宋体" w:hAnsi="宋体" w:eastAsia="宋体" w:cs="宋体"/>
          <w:sz w:val="21"/>
          <w:szCs w:val="21"/>
        </w:rPr>
      </w:pPr>
      <w:r>
        <w:rPr>
          <w:rFonts w:ascii="宋体" w:hAnsi="宋体" w:eastAsia="宋体" w:cs="宋体"/>
          <w:sz w:val="21"/>
          <w:szCs w:val="21"/>
          <w:u w:val="single" w:color="auto"/>
        </w:rPr>
        <w:tab/>
      </w:r>
      <w:r>
        <w:rPr>
          <w:rFonts w:ascii="宋体" w:hAnsi="宋体" w:eastAsia="宋体" w:cs="宋体"/>
          <w:sz w:val="21"/>
          <w:szCs w:val="21"/>
        </w:rPr>
        <w:t>（招标人名称</w:t>
      </w:r>
      <w:r>
        <w:rPr>
          <w:rFonts w:ascii="宋体" w:hAnsi="宋体" w:eastAsia="宋体" w:cs="宋体"/>
          <w:spacing w:val="-55"/>
          <w:w w:val="98"/>
          <w:sz w:val="21"/>
          <w:szCs w:val="21"/>
        </w:rPr>
        <w:t>）：</w:t>
      </w:r>
    </w:p>
    <w:p w14:paraId="3C0AD13F">
      <w:pPr>
        <w:spacing w:before="305" w:line="494" w:lineRule="auto"/>
        <w:jc w:val="right"/>
        <w:rPr>
          <w:rFonts w:ascii="宋体" w:hAnsi="宋体" w:eastAsia="宋体" w:cs="宋体"/>
          <w:sz w:val="21"/>
          <w:szCs w:val="21"/>
        </w:rPr>
      </w:pPr>
      <w:r>
        <w:rPr>
          <w:rFonts w:ascii="宋体" w:hAnsi="宋体" w:eastAsia="宋体" w:cs="宋体"/>
          <w:spacing w:val="-5"/>
          <w:sz w:val="21"/>
          <w:szCs w:val="21"/>
        </w:rPr>
        <w:t>经过仔细阅读</w:t>
      </w:r>
      <w:r>
        <w:rPr>
          <w:rFonts w:ascii="宋体" w:hAnsi="宋体" w:eastAsia="宋体" w:cs="宋体"/>
          <w:spacing w:val="-103"/>
          <w:sz w:val="21"/>
          <w:szCs w:val="21"/>
        </w:rPr>
        <w:t xml:space="preserve"> </w:t>
      </w:r>
      <w:r>
        <w:rPr>
          <w:rFonts w:ascii="宋体" w:hAnsi="宋体" w:eastAsia="宋体" w:cs="宋体"/>
          <w:spacing w:val="-5"/>
          <w:sz w:val="21"/>
          <w:szCs w:val="21"/>
          <w:u w:val="single" w:color="auto"/>
        </w:rPr>
        <w:t xml:space="preserve">                     </w:t>
      </w:r>
      <w:r>
        <w:rPr>
          <w:rFonts w:ascii="宋体" w:hAnsi="宋体" w:eastAsia="宋体" w:cs="宋体"/>
          <w:spacing w:val="-5"/>
          <w:sz w:val="21"/>
          <w:szCs w:val="21"/>
        </w:rPr>
        <w:t xml:space="preserve"> （标段名称）</w:t>
      </w:r>
      <w:r>
        <w:rPr>
          <w:rFonts w:ascii="宋体" w:hAnsi="宋体" w:eastAsia="宋体" w:cs="宋体"/>
          <w:spacing w:val="-21"/>
          <w:sz w:val="21"/>
          <w:szCs w:val="21"/>
        </w:rPr>
        <w:t xml:space="preserve"> </w:t>
      </w:r>
      <w:r>
        <w:rPr>
          <w:rFonts w:ascii="宋体" w:hAnsi="宋体" w:eastAsia="宋体" w:cs="宋体"/>
          <w:spacing w:val="-5"/>
          <w:sz w:val="21"/>
          <w:szCs w:val="21"/>
        </w:rPr>
        <w:t>项目（标段</w:t>
      </w:r>
      <w:r>
        <w:rPr>
          <w:rFonts w:ascii="宋体" w:hAnsi="宋体" w:eastAsia="宋体" w:cs="宋体"/>
          <w:spacing w:val="-6"/>
          <w:sz w:val="21"/>
          <w:szCs w:val="21"/>
        </w:rPr>
        <w:t>唯一标识码</w:t>
      </w:r>
      <w:r>
        <w:rPr>
          <w:rFonts w:ascii="宋体" w:hAnsi="宋体" w:eastAsia="宋体" w:cs="宋体"/>
          <w:spacing w:val="-12"/>
          <w:sz w:val="21"/>
          <w:szCs w:val="21"/>
        </w:rPr>
        <w:t>：</w:t>
      </w:r>
      <w:r>
        <w:rPr>
          <w:rFonts w:ascii="宋体" w:hAnsi="宋体" w:eastAsia="宋体" w:cs="宋体"/>
          <w:spacing w:val="34"/>
          <w:sz w:val="21"/>
          <w:szCs w:val="21"/>
          <w:u w:val="single" w:color="auto"/>
        </w:rPr>
        <w:t xml:space="preserve">   </w:t>
      </w:r>
      <w:r>
        <w:rPr>
          <w:rFonts w:ascii="宋体" w:hAnsi="宋体" w:eastAsia="宋体" w:cs="宋体"/>
          <w:spacing w:val="-26"/>
          <w:sz w:val="21"/>
          <w:szCs w:val="21"/>
        </w:rPr>
        <w:t xml:space="preserve"> </w:t>
      </w:r>
      <w:r>
        <w:rPr>
          <w:rFonts w:ascii="宋体" w:hAnsi="宋体" w:eastAsia="宋体" w:cs="宋体"/>
          <w:spacing w:val="-12"/>
          <w:sz w:val="21"/>
          <w:szCs w:val="21"/>
        </w:rPr>
        <w:t>）</w:t>
      </w:r>
      <w:r>
        <w:rPr>
          <w:rFonts w:ascii="宋体" w:hAnsi="宋体" w:eastAsia="宋体" w:cs="宋体"/>
          <w:spacing w:val="-6"/>
          <w:sz w:val="21"/>
          <w:szCs w:val="21"/>
        </w:rPr>
        <w:t>招</w:t>
      </w:r>
    </w:p>
    <w:p w14:paraId="7CF5945D">
      <w:pPr>
        <w:spacing w:line="220" w:lineRule="auto"/>
        <w:ind w:left="19"/>
        <w:rPr>
          <w:rFonts w:ascii="宋体" w:hAnsi="宋体" w:eastAsia="宋体" w:cs="宋体"/>
          <w:sz w:val="21"/>
          <w:szCs w:val="21"/>
        </w:rPr>
      </w:pPr>
      <w:r>
        <w:rPr>
          <w:rFonts w:ascii="宋体" w:hAnsi="宋体" w:eastAsia="宋体" w:cs="宋体"/>
          <w:spacing w:val="-10"/>
          <w:sz w:val="21"/>
          <w:szCs w:val="21"/>
        </w:rPr>
        <w:t>标文件后，</w:t>
      </w:r>
      <w:r>
        <w:rPr>
          <w:rFonts w:ascii="宋体" w:hAnsi="宋体" w:eastAsia="宋体" w:cs="宋体"/>
          <w:spacing w:val="54"/>
          <w:sz w:val="21"/>
          <w:szCs w:val="21"/>
        </w:rPr>
        <w:t xml:space="preserve"> </w:t>
      </w:r>
      <w:r>
        <w:rPr>
          <w:rFonts w:ascii="宋体" w:hAnsi="宋体" w:eastAsia="宋体" w:cs="宋体"/>
          <w:spacing w:val="-10"/>
          <w:sz w:val="21"/>
          <w:szCs w:val="21"/>
        </w:rPr>
        <w:t>我方申请对以下问题予以澄清：</w:t>
      </w:r>
    </w:p>
    <w:p w14:paraId="09350D78">
      <w:pPr>
        <w:pStyle w:val="3"/>
        <w:spacing w:line="241" w:lineRule="auto"/>
      </w:pPr>
    </w:p>
    <w:p w14:paraId="3F6F6B41">
      <w:pPr>
        <w:spacing w:before="68"/>
        <w:ind w:left="351"/>
        <w:rPr>
          <w:rFonts w:ascii="宋体" w:hAnsi="宋体" w:eastAsia="宋体" w:cs="宋体"/>
          <w:sz w:val="21"/>
          <w:szCs w:val="21"/>
        </w:rPr>
      </w:pPr>
      <w:r>
        <w:rPr>
          <w:rFonts w:ascii="宋体" w:hAnsi="宋体" w:eastAsia="宋体" w:cs="宋体"/>
          <w:spacing w:val="-6"/>
          <w:sz w:val="21"/>
          <w:szCs w:val="21"/>
        </w:rPr>
        <w:t>1.……</w:t>
      </w:r>
    </w:p>
    <w:p w14:paraId="673E2340">
      <w:pPr>
        <w:spacing w:before="284"/>
        <w:ind w:left="338"/>
        <w:rPr>
          <w:rFonts w:ascii="宋体" w:hAnsi="宋体" w:eastAsia="宋体" w:cs="宋体"/>
          <w:sz w:val="21"/>
          <w:szCs w:val="21"/>
        </w:rPr>
      </w:pPr>
      <w:r>
        <w:rPr>
          <w:rFonts w:ascii="宋体" w:hAnsi="宋体" w:eastAsia="宋体" w:cs="宋体"/>
          <w:spacing w:val="-2"/>
          <w:sz w:val="21"/>
          <w:szCs w:val="21"/>
        </w:rPr>
        <w:t>2.……</w:t>
      </w:r>
    </w:p>
    <w:p w14:paraId="0443B80A">
      <w:pPr>
        <w:spacing w:before="289" w:line="332" w:lineRule="exact"/>
        <w:ind w:left="454"/>
        <w:rPr>
          <w:rFonts w:ascii="宋体" w:hAnsi="宋体" w:eastAsia="宋体" w:cs="宋体"/>
          <w:sz w:val="21"/>
          <w:szCs w:val="21"/>
        </w:rPr>
      </w:pPr>
      <w:r>
        <w:rPr>
          <w:rFonts w:ascii="宋体" w:hAnsi="宋体" w:eastAsia="宋体" w:cs="宋体"/>
          <w:spacing w:val="-5"/>
          <w:position w:val="2"/>
          <w:sz w:val="21"/>
          <w:szCs w:val="21"/>
        </w:rPr>
        <w:t>……</w:t>
      </w:r>
    </w:p>
    <w:p w14:paraId="5E96C9DF">
      <w:pPr>
        <w:pStyle w:val="3"/>
        <w:spacing w:line="258" w:lineRule="auto"/>
      </w:pPr>
    </w:p>
    <w:p w14:paraId="64C8F6BA">
      <w:pPr>
        <w:pStyle w:val="3"/>
        <w:spacing w:line="258" w:lineRule="auto"/>
      </w:pPr>
    </w:p>
    <w:p w14:paraId="24F446CE">
      <w:pPr>
        <w:pStyle w:val="3"/>
        <w:spacing w:line="258" w:lineRule="auto"/>
      </w:pPr>
    </w:p>
    <w:p w14:paraId="70EB80B2">
      <w:pPr>
        <w:pStyle w:val="3"/>
        <w:spacing w:line="259" w:lineRule="auto"/>
      </w:pPr>
    </w:p>
    <w:p w14:paraId="03EA5969">
      <w:pPr>
        <w:spacing w:before="69" w:line="220" w:lineRule="auto"/>
        <w:ind w:right="14"/>
        <w:jc w:val="right"/>
        <w:rPr>
          <w:rFonts w:ascii="宋体" w:hAnsi="宋体" w:eastAsia="宋体" w:cs="宋体"/>
          <w:sz w:val="21"/>
          <w:szCs w:val="21"/>
        </w:rPr>
      </w:pPr>
      <w:r>
        <w:rPr>
          <w:rFonts w:ascii="宋体" w:hAnsi="宋体" w:eastAsia="宋体" w:cs="宋体"/>
          <w:spacing w:val="-23"/>
          <w:sz w:val="21"/>
          <w:szCs w:val="21"/>
        </w:rPr>
        <w:t>投标人</w:t>
      </w:r>
      <w:r>
        <w:rPr>
          <w:rFonts w:ascii="宋体" w:hAnsi="宋体" w:eastAsia="宋体" w:cs="宋体"/>
          <w:spacing w:val="1"/>
          <w:sz w:val="21"/>
          <w:szCs w:val="21"/>
        </w:rPr>
        <w:t>：</w:t>
      </w:r>
      <w:r>
        <w:rPr>
          <w:rFonts w:ascii="宋体" w:hAnsi="宋体" w:eastAsia="宋体" w:cs="宋体"/>
          <w:spacing w:val="-2"/>
          <w:sz w:val="21"/>
          <w:szCs w:val="21"/>
        </w:rPr>
        <w:t xml:space="preserve"> </w:t>
      </w:r>
      <w:r>
        <w:rPr>
          <w:rFonts w:ascii="宋体" w:hAnsi="宋体" w:eastAsia="宋体" w:cs="宋体"/>
          <w:sz w:val="21"/>
          <w:szCs w:val="21"/>
          <w:u w:val="single" w:color="auto"/>
        </w:rPr>
        <w:t xml:space="preserve">                </w:t>
      </w:r>
      <w:r>
        <w:rPr>
          <w:rFonts w:ascii="宋体" w:hAnsi="宋体" w:eastAsia="宋体" w:cs="宋体"/>
          <w:spacing w:val="52"/>
          <w:sz w:val="21"/>
          <w:szCs w:val="21"/>
        </w:rPr>
        <w:t xml:space="preserve"> </w:t>
      </w:r>
      <w:r>
        <w:rPr>
          <w:rFonts w:ascii="宋体" w:hAnsi="宋体" w:eastAsia="宋体" w:cs="宋体"/>
          <w:spacing w:val="1"/>
          <w:sz w:val="21"/>
          <w:szCs w:val="21"/>
        </w:rPr>
        <w:t>（</w:t>
      </w:r>
      <w:r>
        <w:rPr>
          <w:rFonts w:ascii="宋体" w:hAnsi="宋体" w:eastAsia="宋体" w:cs="宋体"/>
          <w:spacing w:val="-23"/>
          <w:sz w:val="21"/>
          <w:szCs w:val="21"/>
        </w:rPr>
        <w:t>盖单位章）</w:t>
      </w:r>
    </w:p>
    <w:p w14:paraId="27F31EA6">
      <w:pPr>
        <w:pStyle w:val="3"/>
        <w:spacing w:line="465" w:lineRule="auto"/>
      </w:pPr>
    </w:p>
    <w:p w14:paraId="3DE1C59C">
      <w:pPr>
        <w:tabs>
          <w:tab w:val="left" w:pos="6842"/>
        </w:tabs>
        <w:spacing w:before="69" w:line="221" w:lineRule="auto"/>
        <w:ind w:left="5897"/>
        <w:rPr>
          <w:rFonts w:ascii="宋体" w:hAnsi="宋体" w:eastAsia="宋体" w:cs="宋体"/>
          <w:sz w:val="21"/>
          <w:szCs w:val="21"/>
        </w:rPr>
      </w:pPr>
      <w:r>
        <w:rPr>
          <w:rFonts w:ascii="宋体" w:hAnsi="宋体" w:eastAsia="宋体" w:cs="宋体"/>
          <w:sz w:val="21"/>
          <w:szCs w:val="21"/>
          <w:u w:val="single" w:color="auto"/>
        </w:rPr>
        <w:tab/>
      </w:r>
      <w:r>
        <w:rPr>
          <w:rFonts w:ascii="宋体" w:hAnsi="宋体" w:eastAsia="宋体" w:cs="宋体"/>
          <w:spacing w:val="-94"/>
          <w:sz w:val="21"/>
          <w:szCs w:val="21"/>
        </w:rPr>
        <w:t xml:space="preserve"> </w:t>
      </w:r>
      <w:r>
        <w:rPr>
          <w:rFonts w:ascii="宋体" w:hAnsi="宋体" w:eastAsia="宋体" w:cs="宋体"/>
          <w:spacing w:val="-22"/>
          <w:sz w:val="21"/>
          <w:szCs w:val="21"/>
        </w:rPr>
        <w:t>年</w:t>
      </w:r>
      <w:r>
        <w:rPr>
          <w:rFonts w:ascii="宋体" w:hAnsi="宋体" w:eastAsia="宋体" w:cs="宋体"/>
          <w:spacing w:val="-105"/>
          <w:sz w:val="21"/>
          <w:szCs w:val="21"/>
        </w:rPr>
        <w:t xml:space="preserve"> </w:t>
      </w:r>
      <w:r>
        <w:rPr>
          <w:rFonts w:ascii="宋体" w:hAnsi="宋体" w:eastAsia="宋体" w:cs="宋体"/>
          <w:spacing w:val="34"/>
          <w:sz w:val="21"/>
          <w:szCs w:val="21"/>
          <w:u w:val="single" w:color="auto"/>
        </w:rPr>
        <w:t xml:space="preserve">   </w:t>
      </w:r>
      <w:r>
        <w:rPr>
          <w:rFonts w:ascii="宋体" w:hAnsi="宋体" w:eastAsia="宋体" w:cs="宋体"/>
          <w:spacing w:val="-91"/>
          <w:sz w:val="21"/>
          <w:szCs w:val="21"/>
        </w:rPr>
        <w:t xml:space="preserve"> </w:t>
      </w:r>
      <w:r>
        <w:rPr>
          <w:rFonts w:ascii="宋体" w:hAnsi="宋体" w:eastAsia="宋体" w:cs="宋体"/>
          <w:spacing w:val="-22"/>
          <w:sz w:val="21"/>
          <w:szCs w:val="21"/>
        </w:rPr>
        <w:t>月</w:t>
      </w:r>
      <w:r>
        <w:rPr>
          <w:rFonts w:ascii="宋体" w:hAnsi="宋体" w:eastAsia="宋体" w:cs="宋体"/>
          <w:spacing w:val="34"/>
          <w:sz w:val="21"/>
          <w:szCs w:val="21"/>
          <w:u w:val="single" w:color="auto"/>
        </w:rPr>
        <w:t xml:space="preserve">   </w:t>
      </w:r>
      <w:r>
        <w:rPr>
          <w:rFonts w:ascii="宋体" w:hAnsi="宋体" w:eastAsia="宋体" w:cs="宋体"/>
          <w:spacing w:val="-60"/>
          <w:sz w:val="21"/>
          <w:szCs w:val="21"/>
        </w:rPr>
        <w:t xml:space="preserve"> </w:t>
      </w:r>
      <w:r>
        <w:rPr>
          <w:rFonts w:ascii="宋体" w:hAnsi="宋体" w:eastAsia="宋体" w:cs="宋体"/>
          <w:spacing w:val="-22"/>
          <w:sz w:val="21"/>
          <w:szCs w:val="21"/>
        </w:rPr>
        <w:t>日</w:t>
      </w:r>
    </w:p>
    <w:p w14:paraId="6D4C994B">
      <w:pPr>
        <w:spacing w:line="221" w:lineRule="auto"/>
        <w:rPr>
          <w:rFonts w:ascii="宋体" w:hAnsi="宋体" w:eastAsia="宋体" w:cs="宋体"/>
          <w:sz w:val="21"/>
          <w:szCs w:val="21"/>
        </w:rPr>
        <w:sectPr>
          <w:footerReference r:id="rId33" w:type="default"/>
          <w:pgSz w:w="11905" w:h="16839"/>
          <w:pgMar w:top="1431" w:right="1785" w:bottom="1036" w:left="1785" w:header="0" w:footer="847" w:gutter="0"/>
          <w:pgNumType w:fmt="decimal"/>
          <w:cols w:space="720" w:num="1"/>
        </w:sectPr>
      </w:pPr>
    </w:p>
    <w:p w14:paraId="2E8CF60E">
      <w:pPr>
        <w:spacing w:before="47" w:line="219" w:lineRule="auto"/>
        <w:ind w:left="32"/>
        <w:rPr>
          <w:rFonts w:ascii="黑体" w:hAnsi="黑体" w:eastAsia="黑体" w:cs="黑体"/>
          <w:sz w:val="24"/>
          <w:szCs w:val="24"/>
        </w:rPr>
      </w:pPr>
      <w:r>
        <w:rPr>
          <w:rFonts w:ascii="黑体" w:hAnsi="黑体" w:eastAsia="黑体" w:cs="黑体"/>
          <w:spacing w:val="-11"/>
          <w:sz w:val="24"/>
          <w:szCs w:val="24"/>
        </w:rPr>
        <w:t>附表二： 招标文件澄清通知</w:t>
      </w:r>
    </w:p>
    <w:p w14:paraId="49CF8D5E">
      <w:pPr>
        <w:pStyle w:val="3"/>
        <w:spacing w:line="266" w:lineRule="auto"/>
      </w:pPr>
    </w:p>
    <w:p w14:paraId="7B17434B">
      <w:pPr>
        <w:pStyle w:val="3"/>
        <w:spacing w:line="266" w:lineRule="auto"/>
      </w:pPr>
    </w:p>
    <w:p w14:paraId="63D8FDC2">
      <w:pPr>
        <w:pStyle w:val="3"/>
        <w:spacing w:line="266" w:lineRule="auto"/>
      </w:pPr>
    </w:p>
    <w:p w14:paraId="22B71DD1">
      <w:pPr>
        <w:pStyle w:val="3"/>
        <w:spacing w:line="266" w:lineRule="auto"/>
      </w:pPr>
    </w:p>
    <w:p w14:paraId="761B0336">
      <w:pPr>
        <w:pStyle w:val="3"/>
        <w:spacing w:line="266" w:lineRule="auto"/>
      </w:pPr>
    </w:p>
    <w:p w14:paraId="401A2FDB">
      <w:pPr>
        <w:pStyle w:val="3"/>
        <w:spacing w:line="266" w:lineRule="auto"/>
      </w:pPr>
    </w:p>
    <w:p w14:paraId="041CB679">
      <w:pPr>
        <w:spacing w:before="87" w:line="225" w:lineRule="auto"/>
        <w:ind w:left="3054"/>
        <w:rPr>
          <w:rFonts w:ascii="黑体" w:hAnsi="黑体" w:eastAsia="黑体" w:cs="黑体"/>
          <w:sz w:val="27"/>
          <w:szCs w:val="27"/>
        </w:rPr>
      </w:pPr>
      <w:bookmarkStart w:id="86" w:name="bookmark100"/>
      <w:bookmarkEnd w:id="86"/>
      <w:bookmarkStart w:id="87" w:name="bookmark101"/>
      <w:bookmarkEnd w:id="87"/>
      <w:r>
        <w:rPr>
          <w:rFonts w:ascii="黑体" w:hAnsi="黑体" w:eastAsia="黑体" w:cs="黑体"/>
          <w:spacing w:val="8"/>
          <w:sz w:val="27"/>
          <w:szCs w:val="27"/>
        </w:rPr>
        <w:t>招标文件澄清通知</w:t>
      </w:r>
    </w:p>
    <w:p w14:paraId="118D1AC0">
      <w:pPr>
        <w:pStyle w:val="3"/>
        <w:spacing w:line="474" w:lineRule="auto"/>
      </w:pPr>
    </w:p>
    <w:p w14:paraId="58DE97D5">
      <w:pPr>
        <w:spacing w:before="68" w:line="221" w:lineRule="auto"/>
        <w:ind w:left="6007"/>
        <w:rPr>
          <w:rFonts w:ascii="宋体" w:hAnsi="宋体" w:eastAsia="宋体" w:cs="宋体"/>
          <w:sz w:val="21"/>
          <w:szCs w:val="21"/>
        </w:rPr>
      </w:pPr>
      <w:r>
        <w:rPr>
          <w:rFonts w:ascii="宋体" w:hAnsi="宋体" w:eastAsia="宋体" w:cs="宋体"/>
          <w:spacing w:val="-32"/>
          <w:w w:val="98"/>
          <w:sz w:val="21"/>
          <w:szCs w:val="21"/>
        </w:rPr>
        <w:t>编号：</w:t>
      </w:r>
      <w:r>
        <w:rPr>
          <w:rFonts w:ascii="宋体" w:hAnsi="宋体" w:eastAsia="宋体" w:cs="宋体"/>
          <w:spacing w:val="-4"/>
          <w:sz w:val="21"/>
          <w:szCs w:val="21"/>
        </w:rPr>
        <w:t xml:space="preserve"> </w:t>
      </w:r>
      <w:r>
        <w:rPr>
          <w:rFonts w:ascii="宋体" w:hAnsi="宋体" w:eastAsia="宋体" w:cs="宋体"/>
          <w:sz w:val="21"/>
          <w:szCs w:val="21"/>
          <w:u w:val="single" w:color="auto"/>
        </w:rPr>
        <w:t xml:space="preserve">          </w:t>
      </w:r>
    </w:p>
    <w:p w14:paraId="380C3C6A">
      <w:pPr>
        <w:pStyle w:val="3"/>
        <w:spacing w:line="465" w:lineRule="auto"/>
      </w:pPr>
    </w:p>
    <w:p w14:paraId="5D9A65DA">
      <w:pPr>
        <w:spacing w:before="68" w:line="221" w:lineRule="auto"/>
        <w:ind w:left="20"/>
        <w:rPr>
          <w:rFonts w:ascii="宋体" w:hAnsi="宋体" w:eastAsia="宋体" w:cs="宋体"/>
          <w:sz w:val="21"/>
          <w:szCs w:val="21"/>
        </w:rPr>
      </w:pPr>
      <w:r>
        <w:rPr>
          <w:rFonts w:ascii="宋体" w:hAnsi="宋体" w:eastAsia="宋体" w:cs="宋体"/>
          <w:spacing w:val="-9"/>
          <w:sz w:val="21"/>
          <w:szCs w:val="21"/>
        </w:rPr>
        <w:t>各投标人：</w:t>
      </w:r>
    </w:p>
    <w:p w14:paraId="67F8D236">
      <w:pPr>
        <w:pStyle w:val="3"/>
      </w:pPr>
    </w:p>
    <w:p w14:paraId="35656D3D">
      <w:pPr>
        <w:spacing w:before="69" w:line="490" w:lineRule="auto"/>
        <w:ind w:right="1"/>
        <w:jc w:val="right"/>
        <w:rPr>
          <w:rFonts w:ascii="宋体" w:hAnsi="宋体" w:eastAsia="宋体" w:cs="宋体"/>
          <w:sz w:val="21"/>
          <w:szCs w:val="21"/>
        </w:rPr>
      </w:pPr>
      <w:r>
        <w:rPr>
          <w:rFonts w:ascii="宋体" w:hAnsi="宋体" w:eastAsia="宋体" w:cs="宋体"/>
          <w:spacing w:val="-7"/>
          <w:sz w:val="21"/>
          <w:szCs w:val="21"/>
        </w:rPr>
        <w:t>经研究，对</w:t>
      </w:r>
      <w:r>
        <w:rPr>
          <w:rFonts w:ascii="宋体" w:hAnsi="宋体" w:eastAsia="宋体" w:cs="宋体"/>
          <w:spacing w:val="-7"/>
          <w:sz w:val="21"/>
          <w:szCs w:val="21"/>
          <w:u w:val="single" w:color="auto"/>
        </w:rPr>
        <w:t xml:space="preserve">                      </w:t>
      </w:r>
      <w:r>
        <w:rPr>
          <w:rFonts w:ascii="宋体" w:hAnsi="宋体" w:eastAsia="宋体" w:cs="宋体"/>
          <w:spacing w:val="-8"/>
          <w:sz w:val="21"/>
          <w:szCs w:val="21"/>
          <w:u w:val="single" w:color="auto"/>
        </w:rPr>
        <w:t xml:space="preserve">   </w:t>
      </w:r>
      <w:r>
        <w:rPr>
          <w:rFonts w:ascii="宋体" w:hAnsi="宋体" w:eastAsia="宋体" w:cs="宋体"/>
          <w:spacing w:val="-8"/>
          <w:sz w:val="21"/>
          <w:szCs w:val="21"/>
        </w:rPr>
        <w:t xml:space="preserve"> （标段名称）</w:t>
      </w:r>
      <w:r>
        <w:rPr>
          <w:rFonts w:ascii="宋体" w:hAnsi="宋体" w:eastAsia="宋体" w:cs="宋体"/>
          <w:spacing w:val="-25"/>
          <w:sz w:val="21"/>
          <w:szCs w:val="21"/>
        </w:rPr>
        <w:t xml:space="preserve"> </w:t>
      </w:r>
      <w:r>
        <w:rPr>
          <w:rFonts w:ascii="宋体" w:hAnsi="宋体" w:eastAsia="宋体" w:cs="宋体"/>
          <w:spacing w:val="-8"/>
          <w:sz w:val="21"/>
          <w:szCs w:val="21"/>
        </w:rPr>
        <w:t>项目（标段唯一标识码</w:t>
      </w:r>
      <w:r>
        <w:rPr>
          <w:rFonts w:ascii="宋体" w:hAnsi="宋体" w:eastAsia="宋体" w:cs="宋体"/>
          <w:sz w:val="21"/>
          <w:szCs w:val="21"/>
        </w:rPr>
        <w:t>：</w:t>
      </w:r>
      <w:r>
        <w:rPr>
          <w:rFonts w:ascii="宋体" w:hAnsi="宋体" w:eastAsia="宋体" w:cs="宋体"/>
          <w:spacing w:val="-28"/>
          <w:sz w:val="21"/>
          <w:szCs w:val="21"/>
        </w:rPr>
        <w:t xml:space="preserve"> </w:t>
      </w:r>
      <w:r>
        <w:rPr>
          <w:rFonts w:ascii="宋体" w:hAnsi="宋体" w:eastAsia="宋体" w:cs="宋体"/>
          <w:spacing w:val="12"/>
          <w:sz w:val="21"/>
          <w:szCs w:val="21"/>
          <w:u w:val="single" w:color="auto"/>
        </w:rPr>
        <w:t xml:space="preserve">    </w:t>
      </w:r>
      <w:r>
        <w:rPr>
          <w:rFonts w:ascii="宋体" w:hAnsi="宋体" w:eastAsia="宋体" w:cs="宋体"/>
          <w:spacing w:val="-55"/>
          <w:sz w:val="21"/>
          <w:szCs w:val="21"/>
        </w:rPr>
        <w:t xml:space="preserve"> </w:t>
      </w:r>
      <w:r>
        <w:rPr>
          <w:rFonts w:ascii="宋体" w:hAnsi="宋体" w:eastAsia="宋体" w:cs="宋体"/>
          <w:sz w:val="21"/>
          <w:szCs w:val="21"/>
        </w:rPr>
        <w:t>）</w:t>
      </w:r>
    </w:p>
    <w:p w14:paraId="5669D407">
      <w:pPr>
        <w:spacing w:line="220" w:lineRule="auto"/>
        <w:ind w:left="19"/>
        <w:rPr>
          <w:rFonts w:ascii="宋体" w:hAnsi="宋体" w:eastAsia="宋体" w:cs="宋体"/>
          <w:sz w:val="21"/>
          <w:szCs w:val="21"/>
        </w:rPr>
      </w:pPr>
      <w:r>
        <w:rPr>
          <w:rFonts w:ascii="宋体" w:hAnsi="宋体" w:eastAsia="宋体" w:cs="宋体"/>
          <w:spacing w:val="-17"/>
          <w:sz w:val="21"/>
          <w:szCs w:val="21"/>
        </w:rPr>
        <w:t>招标文件，</w:t>
      </w:r>
      <w:r>
        <w:rPr>
          <w:rFonts w:ascii="宋体" w:hAnsi="宋体" w:eastAsia="宋体" w:cs="宋体"/>
          <w:spacing w:val="52"/>
          <w:sz w:val="21"/>
          <w:szCs w:val="21"/>
        </w:rPr>
        <w:t xml:space="preserve"> </w:t>
      </w:r>
      <w:r>
        <w:rPr>
          <w:rFonts w:ascii="宋体" w:hAnsi="宋体" w:eastAsia="宋体" w:cs="宋体"/>
          <w:spacing w:val="-17"/>
          <w:sz w:val="21"/>
          <w:szCs w:val="21"/>
        </w:rPr>
        <w:t>作如下澄清：</w:t>
      </w:r>
    </w:p>
    <w:p w14:paraId="3BFC5943">
      <w:pPr>
        <w:pStyle w:val="3"/>
      </w:pPr>
    </w:p>
    <w:p w14:paraId="1A242E7A">
      <w:pPr>
        <w:spacing w:before="69" w:line="562" w:lineRule="exact"/>
        <w:ind w:left="456"/>
        <w:rPr>
          <w:rFonts w:ascii="宋体" w:hAnsi="宋体" w:eastAsia="宋体" w:cs="宋体"/>
          <w:sz w:val="21"/>
          <w:szCs w:val="21"/>
        </w:rPr>
      </w:pPr>
      <w:r>
        <w:rPr>
          <w:rFonts w:ascii="宋体" w:hAnsi="宋体" w:eastAsia="宋体" w:cs="宋体"/>
          <w:spacing w:val="-6"/>
          <w:position w:val="27"/>
          <w:sz w:val="21"/>
          <w:szCs w:val="21"/>
        </w:rPr>
        <w:t>1.……</w:t>
      </w:r>
    </w:p>
    <w:p w14:paraId="72C7C4E8">
      <w:pPr>
        <w:ind w:left="443"/>
        <w:rPr>
          <w:rFonts w:ascii="宋体" w:hAnsi="宋体" w:eastAsia="宋体" w:cs="宋体"/>
          <w:sz w:val="21"/>
          <w:szCs w:val="21"/>
        </w:rPr>
      </w:pPr>
      <w:r>
        <w:rPr>
          <w:rFonts w:ascii="宋体" w:hAnsi="宋体" w:eastAsia="宋体" w:cs="宋体"/>
          <w:spacing w:val="-2"/>
          <w:sz w:val="21"/>
          <w:szCs w:val="21"/>
        </w:rPr>
        <w:t>2.……</w:t>
      </w:r>
    </w:p>
    <w:p w14:paraId="1B1F4AED">
      <w:pPr>
        <w:spacing w:before="284" w:line="332" w:lineRule="exact"/>
        <w:ind w:left="454"/>
        <w:rPr>
          <w:rFonts w:ascii="宋体" w:hAnsi="宋体" w:eastAsia="宋体" w:cs="宋体"/>
          <w:sz w:val="21"/>
          <w:szCs w:val="21"/>
        </w:rPr>
      </w:pPr>
      <w:r>
        <w:rPr>
          <w:rFonts w:ascii="宋体" w:hAnsi="宋体" w:eastAsia="宋体" w:cs="宋体"/>
          <w:spacing w:val="-5"/>
          <w:position w:val="2"/>
          <w:sz w:val="21"/>
          <w:szCs w:val="21"/>
        </w:rPr>
        <w:t>……</w:t>
      </w:r>
    </w:p>
    <w:p w14:paraId="395C3C98">
      <w:pPr>
        <w:pStyle w:val="3"/>
        <w:spacing w:line="268" w:lineRule="auto"/>
      </w:pPr>
    </w:p>
    <w:p w14:paraId="79D07B54">
      <w:pPr>
        <w:pStyle w:val="3"/>
        <w:spacing w:line="268" w:lineRule="auto"/>
      </w:pPr>
    </w:p>
    <w:p w14:paraId="73BEB07D">
      <w:pPr>
        <w:pStyle w:val="3"/>
        <w:spacing w:line="268" w:lineRule="auto"/>
      </w:pPr>
    </w:p>
    <w:p w14:paraId="7413E63E">
      <w:pPr>
        <w:pStyle w:val="3"/>
        <w:spacing w:line="269" w:lineRule="auto"/>
      </w:pPr>
    </w:p>
    <w:p w14:paraId="7D1280B9">
      <w:pPr>
        <w:pStyle w:val="3"/>
        <w:spacing w:line="269" w:lineRule="auto"/>
      </w:pPr>
    </w:p>
    <w:p w14:paraId="491D3465">
      <w:pPr>
        <w:pStyle w:val="3"/>
        <w:spacing w:line="269" w:lineRule="auto"/>
      </w:pPr>
    </w:p>
    <w:p w14:paraId="28528138">
      <w:pPr>
        <w:pStyle w:val="3"/>
        <w:spacing w:line="269" w:lineRule="auto"/>
      </w:pPr>
    </w:p>
    <w:p w14:paraId="1DF169DD">
      <w:pPr>
        <w:pStyle w:val="3"/>
        <w:spacing w:line="269" w:lineRule="auto"/>
      </w:pPr>
    </w:p>
    <w:p w14:paraId="1A826204">
      <w:pPr>
        <w:spacing w:before="69" w:line="220" w:lineRule="auto"/>
        <w:ind w:right="15"/>
        <w:jc w:val="right"/>
        <w:rPr>
          <w:rFonts w:ascii="宋体" w:hAnsi="宋体" w:eastAsia="宋体" w:cs="宋体"/>
          <w:sz w:val="21"/>
          <w:szCs w:val="21"/>
        </w:rPr>
      </w:pPr>
      <w:r>
        <w:rPr>
          <w:rFonts w:ascii="宋体" w:hAnsi="宋体" w:eastAsia="宋体" w:cs="宋体"/>
          <w:spacing w:val="-12"/>
          <w:sz w:val="21"/>
          <w:szCs w:val="21"/>
        </w:rPr>
        <w:t>招标人</w:t>
      </w:r>
      <w:r>
        <w:rPr>
          <w:rFonts w:ascii="宋体" w:hAnsi="宋体" w:eastAsia="宋体" w:cs="宋体"/>
          <w:spacing w:val="-15"/>
          <w:sz w:val="21"/>
          <w:szCs w:val="21"/>
        </w:rPr>
        <w:t>：</w:t>
      </w:r>
      <w:r>
        <w:rPr>
          <w:rFonts w:ascii="宋体" w:hAnsi="宋体" w:eastAsia="宋体" w:cs="宋体"/>
          <w:spacing w:val="-2"/>
          <w:sz w:val="21"/>
          <w:szCs w:val="21"/>
        </w:rPr>
        <w:t xml:space="preserve"> </w:t>
      </w:r>
      <w:r>
        <w:rPr>
          <w:rFonts w:ascii="宋体" w:hAnsi="宋体" w:eastAsia="宋体" w:cs="宋体"/>
          <w:spacing w:val="6"/>
          <w:sz w:val="21"/>
          <w:szCs w:val="21"/>
          <w:u w:val="single" w:color="auto"/>
        </w:rPr>
        <w:t xml:space="preserve">                 </w:t>
      </w:r>
      <w:r>
        <w:rPr>
          <w:rFonts w:ascii="宋体" w:hAnsi="宋体" w:eastAsia="宋体" w:cs="宋体"/>
          <w:spacing w:val="1"/>
          <w:sz w:val="21"/>
          <w:szCs w:val="21"/>
        </w:rPr>
        <w:t xml:space="preserve"> </w:t>
      </w:r>
      <w:r>
        <w:rPr>
          <w:rFonts w:ascii="宋体" w:hAnsi="宋体" w:eastAsia="宋体" w:cs="宋体"/>
          <w:spacing w:val="-15"/>
          <w:sz w:val="21"/>
          <w:szCs w:val="21"/>
        </w:rPr>
        <w:t>（</w:t>
      </w:r>
      <w:r>
        <w:rPr>
          <w:rFonts w:ascii="宋体" w:hAnsi="宋体" w:eastAsia="宋体" w:cs="宋体"/>
          <w:spacing w:val="-12"/>
          <w:sz w:val="21"/>
          <w:szCs w:val="21"/>
        </w:rPr>
        <w:t>盖单位章）</w:t>
      </w:r>
    </w:p>
    <w:p w14:paraId="29A60A96">
      <w:pPr>
        <w:pStyle w:val="3"/>
        <w:spacing w:line="249" w:lineRule="auto"/>
      </w:pPr>
    </w:p>
    <w:p w14:paraId="0520A733">
      <w:pPr>
        <w:pStyle w:val="3"/>
        <w:spacing w:line="249" w:lineRule="auto"/>
      </w:pPr>
    </w:p>
    <w:p w14:paraId="6311F133">
      <w:pPr>
        <w:pStyle w:val="3"/>
        <w:spacing w:line="249" w:lineRule="auto"/>
      </w:pPr>
    </w:p>
    <w:p w14:paraId="5854F696">
      <w:pPr>
        <w:tabs>
          <w:tab w:val="left" w:pos="6842"/>
        </w:tabs>
        <w:spacing w:before="69" w:line="221" w:lineRule="auto"/>
        <w:ind w:left="5897"/>
        <w:rPr>
          <w:rFonts w:ascii="宋体" w:hAnsi="宋体" w:eastAsia="宋体" w:cs="宋体"/>
          <w:sz w:val="21"/>
          <w:szCs w:val="21"/>
        </w:rPr>
      </w:pPr>
      <w:r>
        <w:rPr>
          <w:rFonts w:ascii="宋体" w:hAnsi="宋体" w:eastAsia="宋体" w:cs="宋体"/>
          <w:sz w:val="21"/>
          <w:szCs w:val="21"/>
          <w:u w:val="single" w:color="auto"/>
        </w:rPr>
        <w:tab/>
      </w:r>
      <w:r>
        <w:rPr>
          <w:rFonts w:ascii="宋体" w:hAnsi="宋体" w:eastAsia="宋体" w:cs="宋体"/>
          <w:spacing w:val="-94"/>
          <w:sz w:val="21"/>
          <w:szCs w:val="21"/>
        </w:rPr>
        <w:t xml:space="preserve"> </w:t>
      </w:r>
      <w:r>
        <w:rPr>
          <w:rFonts w:ascii="宋体" w:hAnsi="宋体" w:eastAsia="宋体" w:cs="宋体"/>
          <w:spacing w:val="-22"/>
          <w:sz w:val="21"/>
          <w:szCs w:val="21"/>
        </w:rPr>
        <w:t>年</w:t>
      </w:r>
      <w:r>
        <w:rPr>
          <w:rFonts w:ascii="宋体" w:hAnsi="宋体" w:eastAsia="宋体" w:cs="宋体"/>
          <w:spacing w:val="-105"/>
          <w:sz w:val="21"/>
          <w:szCs w:val="21"/>
        </w:rPr>
        <w:t xml:space="preserve"> </w:t>
      </w:r>
      <w:r>
        <w:rPr>
          <w:rFonts w:ascii="宋体" w:hAnsi="宋体" w:eastAsia="宋体" w:cs="宋体"/>
          <w:spacing w:val="34"/>
          <w:sz w:val="21"/>
          <w:szCs w:val="21"/>
          <w:u w:val="single" w:color="auto"/>
        </w:rPr>
        <w:t xml:space="preserve">   </w:t>
      </w:r>
      <w:r>
        <w:rPr>
          <w:rFonts w:ascii="宋体" w:hAnsi="宋体" w:eastAsia="宋体" w:cs="宋体"/>
          <w:spacing w:val="-91"/>
          <w:sz w:val="21"/>
          <w:szCs w:val="21"/>
        </w:rPr>
        <w:t xml:space="preserve"> </w:t>
      </w:r>
      <w:r>
        <w:rPr>
          <w:rFonts w:ascii="宋体" w:hAnsi="宋体" w:eastAsia="宋体" w:cs="宋体"/>
          <w:spacing w:val="-22"/>
          <w:sz w:val="21"/>
          <w:szCs w:val="21"/>
        </w:rPr>
        <w:t>月</w:t>
      </w:r>
      <w:r>
        <w:rPr>
          <w:rFonts w:ascii="宋体" w:hAnsi="宋体" w:eastAsia="宋体" w:cs="宋体"/>
          <w:spacing w:val="34"/>
          <w:sz w:val="21"/>
          <w:szCs w:val="21"/>
          <w:u w:val="single" w:color="auto"/>
        </w:rPr>
        <w:t xml:space="preserve">   </w:t>
      </w:r>
      <w:r>
        <w:rPr>
          <w:rFonts w:ascii="宋体" w:hAnsi="宋体" w:eastAsia="宋体" w:cs="宋体"/>
          <w:spacing w:val="-60"/>
          <w:sz w:val="21"/>
          <w:szCs w:val="21"/>
        </w:rPr>
        <w:t xml:space="preserve"> </w:t>
      </w:r>
      <w:r>
        <w:rPr>
          <w:rFonts w:ascii="宋体" w:hAnsi="宋体" w:eastAsia="宋体" w:cs="宋体"/>
          <w:spacing w:val="-22"/>
          <w:sz w:val="21"/>
          <w:szCs w:val="21"/>
        </w:rPr>
        <w:t>日</w:t>
      </w:r>
    </w:p>
    <w:p w14:paraId="4BAB3E65">
      <w:pPr>
        <w:spacing w:line="221" w:lineRule="auto"/>
        <w:rPr>
          <w:rFonts w:ascii="宋体" w:hAnsi="宋体" w:eastAsia="宋体" w:cs="宋体"/>
          <w:sz w:val="21"/>
          <w:szCs w:val="21"/>
        </w:rPr>
        <w:sectPr>
          <w:footerReference r:id="rId34" w:type="default"/>
          <w:pgSz w:w="11905" w:h="16839"/>
          <w:pgMar w:top="1431" w:right="1785" w:bottom="1036" w:left="1785" w:header="0" w:footer="847" w:gutter="0"/>
          <w:pgNumType w:fmt="decimal"/>
          <w:cols w:space="720" w:num="1"/>
        </w:sectPr>
      </w:pPr>
    </w:p>
    <w:p w14:paraId="54C153D2">
      <w:pPr>
        <w:spacing w:before="47" w:line="219" w:lineRule="auto"/>
        <w:ind w:left="32"/>
        <w:rPr>
          <w:rFonts w:ascii="黑体" w:hAnsi="黑体" w:eastAsia="黑体" w:cs="黑体"/>
          <w:sz w:val="24"/>
          <w:szCs w:val="24"/>
        </w:rPr>
      </w:pPr>
      <w:r>
        <w:rPr>
          <w:rFonts w:ascii="黑体" w:hAnsi="黑体" w:eastAsia="黑体" w:cs="黑体"/>
          <w:spacing w:val="-11"/>
          <w:sz w:val="24"/>
          <w:szCs w:val="24"/>
        </w:rPr>
        <w:t>附表三： 招标文件修改通知</w:t>
      </w:r>
    </w:p>
    <w:p w14:paraId="37CDD35F">
      <w:pPr>
        <w:pStyle w:val="3"/>
        <w:spacing w:line="266" w:lineRule="auto"/>
      </w:pPr>
    </w:p>
    <w:p w14:paraId="5180BC87">
      <w:pPr>
        <w:pStyle w:val="3"/>
        <w:spacing w:line="266" w:lineRule="auto"/>
      </w:pPr>
    </w:p>
    <w:p w14:paraId="6B0DF639">
      <w:pPr>
        <w:pStyle w:val="3"/>
        <w:spacing w:line="266" w:lineRule="auto"/>
      </w:pPr>
    </w:p>
    <w:p w14:paraId="552E962B">
      <w:pPr>
        <w:pStyle w:val="3"/>
        <w:spacing w:line="266" w:lineRule="auto"/>
      </w:pPr>
    </w:p>
    <w:p w14:paraId="61657361">
      <w:pPr>
        <w:pStyle w:val="3"/>
        <w:spacing w:line="266" w:lineRule="auto"/>
      </w:pPr>
    </w:p>
    <w:p w14:paraId="23F1D0C0">
      <w:pPr>
        <w:pStyle w:val="3"/>
        <w:spacing w:line="266" w:lineRule="auto"/>
      </w:pPr>
    </w:p>
    <w:p w14:paraId="4C3A069F">
      <w:pPr>
        <w:spacing w:before="87" w:line="225" w:lineRule="auto"/>
        <w:ind w:left="3054"/>
        <w:rPr>
          <w:rFonts w:ascii="黑体" w:hAnsi="黑体" w:eastAsia="黑体" w:cs="黑体"/>
          <w:sz w:val="27"/>
          <w:szCs w:val="27"/>
        </w:rPr>
      </w:pPr>
      <w:r>
        <w:rPr>
          <w:rFonts w:ascii="黑体" w:hAnsi="黑体" w:eastAsia="黑体" w:cs="黑体"/>
          <w:spacing w:val="8"/>
          <w:sz w:val="27"/>
          <w:szCs w:val="27"/>
        </w:rPr>
        <w:t>招标文件修改通知</w:t>
      </w:r>
    </w:p>
    <w:p w14:paraId="161AFDA4">
      <w:pPr>
        <w:pStyle w:val="3"/>
        <w:spacing w:line="248" w:lineRule="auto"/>
      </w:pPr>
    </w:p>
    <w:p w14:paraId="034F042B">
      <w:pPr>
        <w:pStyle w:val="3"/>
        <w:spacing w:line="248" w:lineRule="auto"/>
      </w:pPr>
    </w:p>
    <w:p w14:paraId="3109C0FE">
      <w:pPr>
        <w:pStyle w:val="3"/>
        <w:spacing w:line="249" w:lineRule="auto"/>
      </w:pPr>
    </w:p>
    <w:p w14:paraId="226382D3">
      <w:pPr>
        <w:spacing w:before="69" w:line="221" w:lineRule="auto"/>
        <w:ind w:left="6007"/>
        <w:rPr>
          <w:rFonts w:ascii="宋体" w:hAnsi="宋体" w:eastAsia="宋体" w:cs="宋体"/>
          <w:sz w:val="21"/>
          <w:szCs w:val="21"/>
        </w:rPr>
      </w:pPr>
      <w:r>
        <w:rPr>
          <w:rFonts w:ascii="宋体" w:hAnsi="宋体" w:eastAsia="宋体" w:cs="宋体"/>
          <w:spacing w:val="-32"/>
          <w:w w:val="98"/>
          <w:sz w:val="21"/>
          <w:szCs w:val="21"/>
        </w:rPr>
        <w:t>编号：</w:t>
      </w:r>
      <w:r>
        <w:rPr>
          <w:rFonts w:ascii="宋体" w:hAnsi="宋体" w:eastAsia="宋体" w:cs="宋体"/>
          <w:spacing w:val="-4"/>
          <w:sz w:val="21"/>
          <w:szCs w:val="21"/>
        </w:rPr>
        <w:t xml:space="preserve"> </w:t>
      </w:r>
      <w:r>
        <w:rPr>
          <w:rFonts w:ascii="宋体" w:hAnsi="宋体" w:eastAsia="宋体" w:cs="宋体"/>
          <w:sz w:val="21"/>
          <w:szCs w:val="21"/>
          <w:u w:val="single" w:color="auto"/>
        </w:rPr>
        <w:t xml:space="preserve">          </w:t>
      </w:r>
    </w:p>
    <w:p w14:paraId="434AAF8E">
      <w:pPr>
        <w:pStyle w:val="3"/>
        <w:spacing w:line="465" w:lineRule="auto"/>
      </w:pPr>
    </w:p>
    <w:p w14:paraId="2A4A2697">
      <w:pPr>
        <w:spacing w:before="68" w:line="221" w:lineRule="auto"/>
        <w:ind w:left="20"/>
        <w:rPr>
          <w:rFonts w:ascii="宋体" w:hAnsi="宋体" w:eastAsia="宋体" w:cs="宋体"/>
          <w:sz w:val="21"/>
          <w:szCs w:val="21"/>
        </w:rPr>
      </w:pPr>
      <w:r>
        <w:rPr>
          <w:rFonts w:ascii="宋体" w:hAnsi="宋体" w:eastAsia="宋体" w:cs="宋体"/>
          <w:spacing w:val="-9"/>
          <w:sz w:val="21"/>
          <w:szCs w:val="21"/>
        </w:rPr>
        <w:t>各投标人：</w:t>
      </w:r>
    </w:p>
    <w:p w14:paraId="00CD9C24">
      <w:pPr>
        <w:spacing w:before="305" w:line="220" w:lineRule="auto"/>
        <w:jc w:val="right"/>
        <w:rPr>
          <w:rFonts w:ascii="宋体" w:hAnsi="宋体" w:eastAsia="宋体" w:cs="宋体"/>
          <w:sz w:val="21"/>
          <w:szCs w:val="21"/>
        </w:rPr>
      </w:pPr>
      <w:r>
        <w:rPr>
          <w:rFonts w:ascii="宋体" w:hAnsi="宋体" w:eastAsia="宋体" w:cs="宋体"/>
          <w:spacing w:val="-3"/>
          <w:sz w:val="21"/>
          <w:szCs w:val="21"/>
        </w:rPr>
        <w:t xml:space="preserve">经研究，对 </w:t>
      </w:r>
      <w:r>
        <w:rPr>
          <w:rFonts w:ascii="宋体" w:hAnsi="宋体" w:eastAsia="宋体" w:cs="宋体"/>
          <w:spacing w:val="-3"/>
          <w:sz w:val="21"/>
          <w:szCs w:val="21"/>
          <w:u w:val="single" w:color="auto"/>
        </w:rPr>
        <w:t xml:space="preserve">                         </w:t>
      </w:r>
      <w:r>
        <w:rPr>
          <w:rFonts w:ascii="宋体" w:hAnsi="宋体" w:eastAsia="宋体" w:cs="宋体"/>
          <w:spacing w:val="-4"/>
          <w:sz w:val="21"/>
          <w:szCs w:val="21"/>
          <w:u w:val="single" w:color="auto"/>
        </w:rPr>
        <w:t xml:space="preserve">         </w:t>
      </w:r>
      <w:r>
        <w:rPr>
          <w:rFonts w:ascii="宋体" w:hAnsi="宋体" w:eastAsia="宋体" w:cs="宋体"/>
          <w:spacing w:val="-4"/>
          <w:sz w:val="21"/>
          <w:szCs w:val="21"/>
        </w:rPr>
        <w:t xml:space="preserve">  （标段名称）项目（标段唯一标识</w:t>
      </w:r>
    </w:p>
    <w:p w14:paraId="3405B506">
      <w:pPr>
        <w:pStyle w:val="3"/>
        <w:spacing w:line="241" w:lineRule="auto"/>
      </w:pPr>
    </w:p>
    <w:p w14:paraId="739AEEFC">
      <w:pPr>
        <w:spacing w:before="69" w:line="221" w:lineRule="auto"/>
        <w:ind w:left="17"/>
        <w:rPr>
          <w:rFonts w:ascii="宋体" w:hAnsi="宋体" w:eastAsia="宋体" w:cs="宋体"/>
          <w:sz w:val="21"/>
          <w:szCs w:val="21"/>
        </w:rPr>
      </w:pPr>
      <w:r>
        <w:rPr>
          <w:rFonts w:ascii="宋体" w:hAnsi="宋体" w:eastAsia="宋体" w:cs="宋体"/>
          <w:spacing w:val="-11"/>
          <w:sz w:val="21"/>
          <w:szCs w:val="21"/>
        </w:rPr>
        <w:t>码</w:t>
      </w:r>
      <w:r>
        <w:rPr>
          <w:rFonts w:ascii="宋体" w:hAnsi="宋体" w:eastAsia="宋体" w:cs="宋体"/>
          <w:spacing w:val="-6"/>
          <w:sz w:val="21"/>
          <w:szCs w:val="21"/>
        </w:rPr>
        <w:t>：</w:t>
      </w:r>
      <w:r>
        <w:rPr>
          <w:rFonts w:ascii="宋体" w:hAnsi="宋体" w:eastAsia="宋体" w:cs="宋体"/>
          <w:spacing w:val="-29"/>
          <w:sz w:val="21"/>
          <w:szCs w:val="21"/>
        </w:rPr>
        <w:t xml:space="preserve"> </w:t>
      </w:r>
      <w:r>
        <w:rPr>
          <w:rFonts w:ascii="宋体" w:hAnsi="宋体" w:eastAsia="宋体" w:cs="宋体"/>
          <w:spacing w:val="11"/>
          <w:sz w:val="21"/>
          <w:szCs w:val="21"/>
          <w:u w:val="single" w:color="auto"/>
        </w:rPr>
        <w:t xml:space="preserve">     </w:t>
      </w:r>
      <w:r>
        <w:rPr>
          <w:rFonts w:ascii="宋体" w:hAnsi="宋体" w:eastAsia="宋体" w:cs="宋体"/>
          <w:spacing w:val="-26"/>
          <w:sz w:val="21"/>
          <w:szCs w:val="21"/>
        </w:rPr>
        <w:t xml:space="preserve"> </w:t>
      </w:r>
      <w:r>
        <w:rPr>
          <w:rFonts w:ascii="宋体" w:hAnsi="宋体" w:eastAsia="宋体" w:cs="宋体"/>
          <w:spacing w:val="-6"/>
          <w:sz w:val="21"/>
          <w:szCs w:val="21"/>
        </w:rPr>
        <w:t>）</w:t>
      </w:r>
      <w:r>
        <w:rPr>
          <w:rFonts w:ascii="宋体" w:hAnsi="宋体" w:eastAsia="宋体" w:cs="宋体"/>
          <w:spacing w:val="-11"/>
          <w:sz w:val="21"/>
          <w:szCs w:val="21"/>
        </w:rPr>
        <w:t>招标文件，作如下修改：</w:t>
      </w:r>
    </w:p>
    <w:p w14:paraId="3DD8BB7D">
      <w:pPr>
        <w:pStyle w:val="3"/>
      </w:pPr>
    </w:p>
    <w:p w14:paraId="3057FAE0">
      <w:pPr>
        <w:spacing w:before="69" w:line="557" w:lineRule="exact"/>
        <w:ind w:left="456"/>
        <w:rPr>
          <w:rFonts w:ascii="宋体" w:hAnsi="宋体" w:eastAsia="宋体" w:cs="宋体"/>
          <w:sz w:val="21"/>
          <w:szCs w:val="21"/>
        </w:rPr>
      </w:pPr>
      <w:r>
        <w:rPr>
          <w:rFonts w:ascii="宋体" w:hAnsi="宋体" w:eastAsia="宋体" w:cs="宋体"/>
          <w:spacing w:val="-6"/>
          <w:position w:val="27"/>
          <w:sz w:val="21"/>
          <w:szCs w:val="21"/>
        </w:rPr>
        <w:t>1.……</w:t>
      </w:r>
    </w:p>
    <w:p w14:paraId="16F405F3">
      <w:pPr>
        <w:ind w:left="443"/>
        <w:rPr>
          <w:rFonts w:ascii="宋体" w:hAnsi="宋体" w:eastAsia="宋体" w:cs="宋体"/>
          <w:sz w:val="21"/>
          <w:szCs w:val="21"/>
        </w:rPr>
      </w:pPr>
      <w:r>
        <w:rPr>
          <w:rFonts w:ascii="宋体" w:hAnsi="宋体" w:eastAsia="宋体" w:cs="宋体"/>
          <w:spacing w:val="-2"/>
          <w:sz w:val="21"/>
          <w:szCs w:val="21"/>
        </w:rPr>
        <w:t>2.……</w:t>
      </w:r>
    </w:p>
    <w:p w14:paraId="7E78726D">
      <w:pPr>
        <w:spacing w:before="289" w:line="332" w:lineRule="exact"/>
        <w:ind w:left="454"/>
        <w:rPr>
          <w:rFonts w:ascii="宋体" w:hAnsi="宋体" w:eastAsia="宋体" w:cs="宋体"/>
          <w:sz w:val="21"/>
          <w:szCs w:val="21"/>
        </w:rPr>
      </w:pPr>
      <w:r>
        <w:rPr>
          <w:rFonts w:ascii="宋体" w:hAnsi="宋体" w:eastAsia="宋体" w:cs="宋体"/>
          <w:spacing w:val="-5"/>
          <w:position w:val="2"/>
          <w:sz w:val="21"/>
          <w:szCs w:val="21"/>
        </w:rPr>
        <w:t>……</w:t>
      </w:r>
    </w:p>
    <w:p w14:paraId="2C423749">
      <w:pPr>
        <w:pStyle w:val="3"/>
        <w:spacing w:line="268" w:lineRule="auto"/>
      </w:pPr>
    </w:p>
    <w:p w14:paraId="561810B8">
      <w:pPr>
        <w:pStyle w:val="3"/>
        <w:spacing w:line="268" w:lineRule="auto"/>
      </w:pPr>
    </w:p>
    <w:p w14:paraId="0ED4CF4F">
      <w:pPr>
        <w:pStyle w:val="3"/>
        <w:spacing w:line="268" w:lineRule="auto"/>
      </w:pPr>
    </w:p>
    <w:p w14:paraId="5431D628">
      <w:pPr>
        <w:pStyle w:val="3"/>
        <w:spacing w:line="268" w:lineRule="auto"/>
      </w:pPr>
    </w:p>
    <w:p w14:paraId="57498F0A">
      <w:pPr>
        <w:pStyle w:val="3"/>
        <w:spacing w:line="268" w:lineRule="auto"/>
      </w:pPr>
    </w:p>
    <w:p w14:paraId="5D101501">
      <w:pPr>
        <w:pStyle w:val="3"/>
        <w:spacing w:line="268" w:lineRule="auto"/>
      </w:pPr>
    </w:p>
    <w:p w14:paraId="62501B5E">
      <w:pPr>
        <w:pStyle w:val="3"/>
        <w:spacing w:line="268" w:lineRule="auto"/>
      </w:pPr>
    </w:p>
    <w:p w14:paraId="0329DD32">
      <w:pPr>
        <w:pStyle w:val="3"/>
        <w:spacing w:line="269" w:lineRule="auto"/>
      </w:pPr>
    </w:p>
    <w:p w14:paraId="0C5FA5F7">
      <w:pPr>
        <w:spacing w:before="69" w:line="220" w:lineRule="auto"/>
        <w:ind w:right="15"/>
        <w:jc w:val="right"/>
        <w:rPr>
          <w:rFonts w:ascii="宋体" w:hAnsi="宋体" w:eastAsia="宋体" w:cs="宋体"/>
          <w:sz w:val="21"/>
          <w:szCs w:val="21"/>
        </w:rPr>
      </w:pPr>
      <w:r>
        <w:rPr>
          <w:rFonts w:ascii="宋体" w:hAnsi="宋体" w:eastAsia="宋体" w:cs="宋体"/>
          <w:spacing w:val="-12"/>
          <w:sz w:val="21"/>
          <w:szCs w:val="21"/>
        </w:rPr>
        <w:t>招标人</w:t>
      </w:r>
      <w:r>
        <w:rPr>
          <w:rFonts w:ascii="宋体" w:hAnsi="宋体" w:eastAsia="宋体" w:cs="宋体"/>
          <w:spacing w:val="-15"/>
          <w:sz w:val="21"/>
          <w:szCs w:val="21"/>
        </w:rPr>
        <w:t>：</w:t>
      </w:r>
      <w:r>
        <w:rPr>
          <w:rFonts w:ascii="宋体" w:hAnsi="宋体" w:eastAsia="宋体" w:cs="宋体"/>
          <w:spacing w:val="-2"/>
          <w:sz w:val="21"/>
          <w:szCs w:val="21"/>
        </w:rPr>
        <w:t xml:space="preserve"> </w:t>
      </w:r>
      <w:r>
        <w:rPr>
          <w:rFonts w:ascii="宋体" w:hAnsi="宋体" w:eastAsia="宋体" w:cs="宋体"/>
          <w:spacing w:val="6"/>
          <w:sz w:val="21"/>
          <w:szCs w:val="21"/>
          <w:u w:val="single" w:color="auto"/>
        </w:rPr>
        <w:t xml:space="preserve">                 </w:t>
      </w:r>
      <w:r>
        <w:rPr>
          <w:rFonts w:ascii="宋体" w:hAnsi="宋体" w:eastAsia="宋体" w:cs="宋体"/>
          <w:spacing w:val="1"/>
          <w:sz w:val="21"/>
          <w:szCs w:val="21"/>
        </w:rPr>
        <w:t xml:space="preserve"> </w:t>
      </w:r>
      <w:r>
        <w:rPr>
          <w:rFonts w:ascii="宋体" w:hAnsi="宋体" w:eastAsia="宋体" w:cs="宋体"/>
          <w:spacing w:val="-15"/>
          <w:sz w:val="21"/>
          <w:szCs w:val="21"/>
        </w:rPr>
        <w:t>（</w:t>
      </w:r>
      <w:r>
        <w:rPr>
          <w:rFonts w:ascii="宋体" w:hAnsi="宋体" w:eastAsia="宋体" w:cs="宋体"/>
          <w:spacing w:val="-12"/>
          <w:sz w:val="21"/>
          <w:szCs w:val="21"/>
        </w:rPr>
        <w:t>盖单位章）</w:t>
      </w:r>
    </w:p>
    <w:p w14:paraId="161F8036">
      <w:pPr>
        <w:pStyle w:val="3"/>
        <w:spacing w:line="250" w:lineRule="auto"/>
      </w:pPr>
    </w:p>
    <w:p w14:paraId="18778E1D">
      <w:pPr>
        <w:pStyle w:val="3"/>
        <w:spacing w:line="251" w:lineRule="auto"/>
      </w:pPr>
    </w:p>
    <w:p w14:paraId="212B6CD9">
      <w:pPr>
        <w:pStyle w:val="3"/>
        <w:spacing w:line="251" w:lineRule="auto"/>
      </w:pPr>
    </w:p>
    <w:p w14:paraId="13801B3B">
      <w:pPr>
        <w:tabs>
          <w:tab w:val="left" w:pos="6737"/>
        </w:tabs>
        <w:spacing w:before="68" w:line="221" w:lineRule="auto"/>
        <w:ind w:left="5791"/>
        <w:rPr>
          <w:rFonts w:ascii="宋体" w:hAnsi="宋体" w:eastAsia="宋体" w:cs="宋体"/>
          <w:sz w:val="21"/>
          <w:szCs w:val="21"/>
        </w:rPr>
      </w:pPr>
      <w:r>
        <w:rPr>
          <w:rFonts w:ascii="宋体" w:hAnsi="宋体" w:eastAsia="宋体" w:cs="宋体"/>
          <w:sz w:val="21"/>
          <w:szCs w:val="21"/>
          <w:u w:val="single" w:color="auto"/>
        </w:rPr>
        <w:tab/>
      </w:r>
      <w:r>
        <w:rPr>
          <w:rFonts w:ascii="宋体" w:hAnsi="宋体" w:eastAsia="宋体" w:cs="宋体"/>
          <w:spacing w:val="-96"/>
          <w:sz w:val="21"/>
          <w:szCs w:val="21"/>
        </w:rPr>
        <w:t xml:space="preserve"> </w:t>
      </w:r>
      <w:r>
        <w:rPr>
          <w:rFonts w:ascii="宋体" w:hAnsi="宋体" w:eastAsia="宋体" w:cs="宋体"/>
          <w:spacing w:val="-7"/>
          <w:sz w:val="21"/>
          <w:szCs w:val="21"/>
        </w:rPr>
        <w:t>年</w:t>
      </w:r>
      <w:r>
        <w:rPr>
          <w:rFonts w:ascii="宋体" w:hAnsi="宋体" w:eastAsia="宋体" w:cs="宋体"/>
          <w:spacing w:val="34"/>
          <w:sz w:val="21"/>
          <w:szCs w:val="21"/>
          <w:u w:val="single" w:color="auto"/>
        </w:rPr>
        <w:t xml:space="preserve">   </w:t>
      </w:r>
      <w:r>
        <w:rPr>
          <w:rFonts w:ascii="宋体" w:hAnsi="宋体" w:eastAsia="宋体" w:cs="宋体"/>
          <w:spacing w:val="-91"/>
          <w:sz w:val="21"/>
          <w:szCs w:val="21"/>
        </w:rPr>
        <w:t xml:space="preserve"> </w:t>
      </w:r>
      <w:r>
        <w:rPr>
          <w:rFonts w:ascii="宋体" w:hAnsi="宋体" w:eastAsia="宋体" w:cs="宋体"/>
          <w:spacing w:val="-7"/>
          <w:sz w:val="21"/>
          <w:szCs w:val="21"/>
        </w:rPr>
        <w:t>月</w:t>
      </w:r>
      <w:r>
        <w:rPr>
          <w:rFonts w:ascii="宋体" w:hAnsi="宋体" w:eastAsia="宋体" w:cs="宋体"/>
          <w:spacing w:val="-104"/>
          <w:sz w:val="21"/>
          <w:szCs w:val="21"/>
        </w:rPr>
        <w:t xml:space="preserve"> </w:t>
      </w:r>
      <w:r>
        <w:rPr>
          <w:rFonts w:ascii="宋体" w:hAnsi="宋体" w:eastAsia="宋体" w:cs="宋体"/>
          <w:spacing w:val="34"/>
          <w:sz w:val="21"/>
          <w:szCs w:val="21"/>
          <w:u w:val="single" w:color="auto"/>
        </w:rPr>
        <w:t xml:space="preserve">   </w:t>
      </w:r>
      <w:r>
        <w:rPr>
          <w:rFonts w:ascii="宋体" w:hAnsi="宋体" w:eastAsia="宋体" w:cs="宋体"/>
          <w:spacing w:val="-60"/>
          <w:sz w:val="21"/>
          <w:szCs w:val="21"/>
        </w:rPr>
        <w:t xml:space="preserve"> </w:t>
      </w:r>
      <w:r>
        <w:rPr>
          <w:rFonts w:ascii="宋体" w:hAnsi="宋体" w:eastAsia="宋体" w:cs="宋体"/>
          <w:spacing w:val="-7"/>
          <w:sz w:val="21"/>
          <w:szCs w:val="21"/>
        </w:rPr>
        <w:t>日</w:t>
      </w:r>
    </w:p>
    <w:p w14:paraId="77649331">
      <w:pPr>
        <w:spacing w:line="221" w:lineRule="auto"/>
        <w:rPr>
          <w:rFonts w:ascii="宋体" w:hAnsi="宋体" w:eastAsia="宋体" w:cs="宋体"/>
          <w:sz w:val="21"/>
          <w:szCs w:val="21"/>
        </w:rPr>
        <w:sectPr>
          <w:footerReference r:id="rId35" w:type="default"/>
          <w:pgSz w:w="11905" w:h="16839"/>
          <w:pgMar w:top="1431" w:right="1785" w:bottom="1036" w:left="1785" w:header="0" w:footer="847" w:gutter="0"/>
          <w:pgNumType w:fmt="decimal"/>
          <w:cols w:space="720" w:num="1"/>
        </w:sectPr>
      </w:pPr>
    </w:p>
    <w:p w14:paraId="69C88A5C">
      <w:pPr>
        <w:spacing w:before="48" w:line="218" w:lineRule="auto"/>
        <w:ind w:left="32"/>
        <w:rPr>
          <w:rFonts w:ascii="黑体" w:hAnsi="黑体" w:eastAsia="黑体" w:cs="黑体"/>
          <w:sz w:val="24"/>
          <w:szCs w:val="24"/>
        </w:rPr>
      </w:pPr>
      <w:r>
        <w:rPr>
          <w:rFonts w:ascii="黑体" w:hAnsi="黑体" w:eastAsia="黑体" w:cs="黑体"/>
          <w:spacing w:val="-9"/>
          <w:sz w:val="24"/>
          <w:szCs w:val="24"/>
        </w:rPr>
        <w:t>附表四： 投标文件递交电子签收凭证</w:t>
      </w:r>
    </w:p>
    <w:p w14:paraId="5EB9B9B9">
      <w:pPr>
        <w:pStyle w:val="3"/>
        <w:spacing w:line="249" w:lineRule="auto"/>
      </w:pPr>
    </w:p>
    <w:p w14:paraId="4017C2B7">
      <w:pPr>
        <w:pStyle w:val="3"/>
        <w:spacing w:line="250" w:lineRule="auto"/>
      </w:pPr>
    </w:p>
    <w:p w14:paraId="35C99613">
      <w:pPr>
        <w:pStyle w:val="3"/>
        <w:spacing w:line="250" w:lineRule="auto"/>
      </w:pPr>
    </w:p>
    <w:p w14:paraId="57E34B0B">
      <w:pPr>
        <w:pStyle w:val="3"/>
        <w:spacing w:line="250" w:lineRule="auto"/>
      </w:pPr>
    </w:p>
    <w:p w14:paraId="66E6F82D">
      <w:pPr>
        <w:pStyle w:val="3"/>
        <w:spacing w:line="250" w:lineRule="auto"/>
      </w:pPr>
    </w:p>
    <w:p w14:paraId="37A51ED1">
      <w:pPr>
        <w:spacing w:before="87" w:line="224" w:lineRule="auto"/>
        <w:ind w:left="2496"/>
        <w:rPr>
          <w:rFonts w:ascii="黑体" w:hAnsi="黑体" w:eastAsia="黑体" w:cs="黑体"/>
          <w:sz w:val="27"/>
          <w:szCs w:val="27"/>
        </w:rPr>
      </w:pPr>
      <w:r>
        <w:rPr>
          <w:rFonts w:ascii="黑体" w:hAnsi="黑体" w:eastAsia="黑体" w:cs="黑体"/>
          <w:spacing w:val="8"/>
          <w:sz w:val="27"/>
          <w:szCs w:val="27"/>
        </w:rPr>
        <w:t>投标文件递交电子签收凭证</w:t>
      </w:r>
    </w:p>
    <w:p w14:paraId="4E38270E">
      <w:pPr>
        <w:pStyle w:val="3"/>
        <w:spacing w:line="273" w:lineRule="auto"/>
      </w:pPr>
    </w:p>
    <w:p w14:paraId="1BF9838C">
      <w:pPr>
        <w:pStyle w:val="3"/>
        <w:spacing w:line="273" w:lineRule="auto"/>
      </w:pPr>
    </w:p>
    <w:p w14:paraId="08B76454">
      <w:pPr>
        <w:pStyle w:val="3"/>
        <w:spacing w:line="273" w:lineRule="auto"/>
      </w:pPr>
    </w:p>
    <w:p w14:paraId="216ACDB4">
      <w:pPr>
        <w:tabs>
          <w:tab w:val="left" w:pos="1801"/>
        </w:tabs>
        <w:spacing w:before="68" w:line="221" w:lineRule="auto"/>
        <w:ind w:left="10"/>
        <w:rPr>
          <w:rFonts w:ascii="宋体" w:hAnsi="宋体" w:eastAsia="宋体" w:cs="宋体"/>
          <w:sz w:val="21"/>
          <w:szCs w:val="21"/>
        </w:rPr>
      </w:pPr>
      <w:r>
        <w:rPr>
          <w:rFonts w:ascii="宋体" w:hAnsi="宋体" w:eastAsia="宋体" w:cs="宋体"/>
          <w:sz w:val="21"/>
          <w:szCs w:val="21"/>
          <w:u w:val="single" w:color="auto"/>
        </w:rPr>
        <w:tab/>
      </w:r>
      <w:r>
        <w:rPr>
          <w:rFonts w:ascii="宋体" w:hAnsi="宋体" w:eastAsia="宋体" w:cs="宋体"/>
          <w:spacing w:val="-10"/>
          <w:sz w:val="21"/>
          <w:szCs w:val="21"/>
        </w:rPr>
        <w:t>（投标人名称</w:t>
      </w:r>
      <w:r>
        <w:rPr>
          <w:rFonts w:ascii="宋体" w:hAnsi="宋体" w:eastAsia="宋体" w:cs="宋体"/>
          <w:spacing w:val="-31"/>
          <w:sz w:val="21"/>
          <w:szCs w:val="21"/>
        </w:rPr>
        <w:t>）：</w:t>
      </w:r>
    </w:p>
    <w:p w14:paraId="4B2EB231">
      <w:pPr>
        <w:spacing w:before="295" w:line="359" w:lineRule="auto"/>
        <w:ind w:left="442"/>
        <w:rPr>
          <w:rFonts w:ascii="宋体" w:hAnsi="宋体" w:eastAsia="宋体" w:cs="宋体"/>
          <w:sz w:val="21"/>
          <w:szCs w:val="21"/>
        </w:rPr>
      </w:pPr>
      <w:r>
        <w:rPr>
          <w:rFonts w:ascii="宋体" w:hAnsi="宋体" w:eastAsia="宋体" w:cs="宋体"/>
          <w:spacing w:val="-1"/>
          <w:sz w:val="21"/>
          <w:szCs w:val="21"/>
        </w:rPr>
        <w:t>您单位参与的</w:t>
      </w:r>
      <w:r>
        <w:rPr>
          <w:rFonts w:ascii="宋体" w:hAnsi="宋体" w:eastAsia="宋体" w:cs="宋体"/>
          <w:spacing w:val="-104"/>
          <w:sz w:val="21"/>
          <w:szCs w:val="21"/>
        </w:rPr>
        <w:t xml:space="preserve"> </w:t>
      </w:r>
      <w:r>
        <w:rPr>
          <w:rFonts w:ascii="宋体" w:hAnsi="宋体" w:eastAsia="宋体" w:cs="宋体"/>
          <w:spacing w:val="5"/>
          <w:sz w:val="21"/>
          <w:szCs w:val="21"/>
          <w:u w:val="single" w:color="auto"/>
        </w:rPr>
        <w:t xml:space="preserve">           </w:t>
      </w:r>
      <w:r>
        <w:rPr>
          <w:rFonts w:ascii="宋体" w:hAnsi="宋体" w:eastAsia="宋体" w:cs="宋体"/>
          <w:spacing w:val="-1"/>
          <w:sz w:val="21"/>
          <w:szCs w:val="21"/>
        </w:rPr>
        <w:t>（标段名称）项目（标段唯一标识码</w:t>
      </w:r>
      <w:r>
        <w:rPr>
          <w:rFonts w:ascii="宋体" w:hAnsi="宋体" w:eastAsia="宋体" w:cs="宋体"/>
          <w:spacing w:val="-35"/>
          <w:sz w:val="21"/>
          <w:szCs w:val="21"/>
        </w:rPr>
        <w:t>：</w:t>
      </w:r>
      <w:r>
        <w:rPr>
          <w:rFonts w:ascii="宋体" w:hAnsi="宋体" w:eastAsia="宋体" w:cs="宋体"/>
          <w:sz w:val="21"/>
          <w:szCs w:val="21"/>
          <w:u w:val="single" w:color="auto"/>
        </w:rPr>
        <w:t xml:space="preserve">           </w:t>
      </w:r>
      <w:r>
        <w:rPr>
          <w:rFonts w:ascii="宋体" w:hAnsi="宋体" w:eastAsia="宋体" w:cs="宋体"/>
          <w:spacing w:val="-50"/>
          <w:sz w:val="21"/>
          <w:szCs w:val="21"/>
        </w:rPr>
        <w:t xml:space="preserve"> </w:t>
      </w:r>
      <w:r>
        <w:rPr>
          <w:rFonts w:ascii="宋体" w:hAnsi="宋体" w:eastAsia="宋体" w:cs="宋体"/>
          <w:spacing w:val="-35"/>
          <w:sz w:val="21"/>
          <w:szCs w:val="21"/>
        </w:rPr>
        <w:t>），</w:t>
      </w:r>
      <w:r>
        <w:rPr>
          <w:rFonts w:ascii="宋体" w:hAnsi="宋体" w:eastAsia="宋体" w:cs="宋体"/>
          <w:spacing w:val="-1"/>
          <w:sz w:val="21"/>
          <w:szCs w:val="21"/>
        </w:rPr>
        <w:t>投</w:t>
      </w:r>
    </w:p>
    <w:p w14:paraId="40DE438F">
      <w:pPr>
        <w:spacing w:line="219" w:lineRule="auto"/>
        <w:ind w:left="19"/>
        <w:rPr>
          <w:rFonts w:ascii="宋体" w:hAnsi="宋体" w:eastAsia="宋体" w:cs="宋体"/>
          <w:sz w:val="21"/>
          <w:szCs w:val="21"/>
        </w:rPr>
      </w:pPr>
      <w:r>
        <w:rPr>
          <w:rFonts w:ascii="宋体" w:hAnsi="宋体" w:eastAsia="宋体" w:cs="宋体"/>
          <w:spacing w:val="-6"/>
          <w:sz w:val="21"/>
          <w:szCs w:val="21"/>
        </w:rPr>
        <w:t>标文件于</w:t>
      </w:r>
      <w:r>
        <w:rPr>
          <w:rFonts w:ascii="宋体" w:hAnsi="宋体" w:eastAsia="宋体" w:cs="宋体"/>
          <w:spacing w:val="-90"/>
          <w:sz w:val="21"/>
          <w:szCs w:val="21"/>
        </w:rPr>
        <w:t xml:space="preserve"> </w:t>
      </w:r>
      <w:r>
        <w:rPr>
          <w:rFonts w:ascii="宋体" w:hAnsi="宋体" w:eastAsia="宋体" w:cs="宋体"/>
          <w:spacing w:val="34"/>
          <w:sz w:val="21"/>
          <w:szCs w:val="21"/>
          <w:u w:val="single" w:color="auto"/>
        </w:rPr>
        <w:t xml:space="preserve">   </w:t>
      </w:r>
      <w:r>
        <w:rPr>
          <w:rFonts w:ascii="宋体" w:hAnsi="宋体" w:eastAsia="宋体" w:cs="宋体"/>
          <w:spacing w:val="-95"/>
          <w:sz w:val="21"/>
          <w:szCs w:val="21"/>
        </w:rPr>
        <w:t xml:space="preserve"> </w:t>
      </w:r>
      <w:r>
        <w:rPr>
          <w:rFonts w:ascii="宋体" w:hAnsi="宋体" w:eastAsia="宋体" w:cs="宋体"/>
          <w:spacing w:val="-6"/>
          <w:sz w:val="21"/>
          <w:szCs w:val="21"/>
        </w:rPr>
        <w:t>年</w:t>
      </w:r>
      <w:r>
        <w:rPr>
          <w:rFonts w:ascii="宋体" w:hAnsi="宋体" w:eastAsia="宋体" w:cs="宋体"/>
          <w:spacing w:val="-6"/>
          <w:sz w:val="21"/>
          <w:szCs w:val="21"/>
          <w:u w:val="single" w:color="auto"/>
        </w:rPr>
        <w:t xml:space="preserve">    </w:t>
      </w:r>
      <w:r>
        <w:rPr>
          <w:rFonts w:ascii="宋体" w:hAnsi="宋体" w:eastAsia="宋体" w:cs="宋体"/>
          <w:spacing w:val="-92"/>
          <w:sz w:val="21"/>
          <w:szCs w:val="21"/>
        </w:rPr>
        <w:t xml:space="preserve"> </w:t>
      </w:r>
      <w:r>
        <w:rPr>
          <w:rFonts w:ascii="宋体" w:hAnsi="宋体" w:eastAsia="宋体" w:cs="宋体"/>
          <w:spacing w:val="-6"/>
          <w:sz w:val="21"/>
          <w:szCs w:val="21"/>
        </w:rPr>
        <w:t>月</w:t>
      </w:r>
      <w:r>
        <w:rPr>
          <w:rFonts w:ascii="宋体" w:hAnsi="宋体" w:eastAsia="宋体" w:cs="宋体"/>
          <w:spacing w:val="-6"/>
          <w:sz w:val="21"/>
          <w:szCs w:val="21"/>
          <w:u w:val="single" w:color="auto"/>
        </w:rPr>
        <w:t xml:space="preserve">    </w:t>
      </w:r>
      <w:r>
        <w:rPr>
          <w:rFonts w:ascii="宋体" w:hAnsi="宋体" w:eastAsia="宋体" w:cs="宋体"/>
          <w:spacing w:val="-60"/>
          <w:sz w:val="21"/>
          <w:szCs w:val="21"/>
        </w:rPr>
        <w:t xml:space="preserve"> </w:t>
      </w:r>
      <w:r>
        <w:rPr>
          <w:rFonts w:ascii="宋体" w:hAnsi="宋体" w:eastAsia="宋体" w:cs="宋体"/>
          <w:spacing w:val="-6"/>
          <w:sz w:val="21"/>
          <w:szCs w:val="21"/>
        </w:rPr>
        <w:t>日</w:t>
      </w:r>
      <w:r>
        <w:rPr>
          <w:rFonts w:ascii="宋体" w:hAnsi="宋体" w:eastAsia="宋体" w:cs="宋体"/>
          <w:spacing w:val="34"/>
          <w:sz w:val="21"/>
          <w:szCs w:val="21"/>
          <w:u w:val="single" w:color="auto"/>
        </w:rPr>
        <w:t xml:space="preserve">   </w:t>
      </w:r>
      <w:r>
        <w:rPr>
          <w:rFonts w:ascii="宋体" w:hAnsi="宋体" w:eastAsia="宋体" w:cs="宋体"/>
          <w:spacing w:val="-86"/>
          <w:sz w:val="21"/>
          <w:szCs w:val="21"/>
        </w:rPr>
        <w:t xml:space="preserve"> </w:t>
      </w:r>
      <w:r>
        <w:rPr>
          <w:rFonts w:ascii="宋体" w:hAnsi="宋体" w:eastAsia="宋体" w:cs="宋体"/>
          <w:spacing w:val="-6"/>
          <w:sz w:val="21"/>
          <w:szCs w:val="21"/>
        </w:rPr>
        <w:t>时</w:t>
      </w:r>
      <w:r>
        <w:rPr>
          <w:rFonts w:ascii="宋体" w:hAnsi="宋体" w:eastAsia="宋体" w:cs="宋体"/>
          <w:spacing w:val="34"/>
          <w:sz w:val="21"/>
          <w:szCs w:val="21"/>
          <w:u w:val="single" w:color="auto"/>
        </w:rPr>
        <w:t xml:space="preserve">   </w:t>
      </w:r>
      <w:r>
        <w:rPr>
          <w:rFonts w:ascii="宋体" w:hAnsi="宋体" w:eastAsia="宋体" w:cs="宋体"/>
          <w:spacing w:val="-94"/>
          <w:sz w:val="21"/>
          <w:szCs w:val="21"/>
        </w:rPr>
        <w:t xml:space="preserve"> </w:t>
      </w:r>
      <w:r>
        <w:rPr>
          <w:rFonts w:ascii="宋体" w:hAnsi="宋体" w:eastAsia="宋体" w:cs="宋体"/>
          <w:spacing w:val="-6"/>
          <w:sz w:val="21"/>
          <w:szCs w:val="21"/>
        </w:rPr>
        <w:t>分</w:t>
      </w:r>
      <w:r>
        <w:rPr>
          <w:rFonts w:ascii="宋体" w:hAnsi="宋体" w:eastAsia="宋体" w:cs="宋体"/>
          <w:spacing w:val="34"/>
          <w:sz w:val="21"/>
          <w:szCs w:val="21"/>
          <w:u w:val="single" w:color="auto"/>
        </w:rPr>
        <w:t xml:space="preserve">   </w:t>
      </w:r>
      <w:r>
        <w:rPr>
          <w:rFonts w:ascii="宋体" w:hAnsi="宋体" w:eastAsia="宋体" w:cs="宋体"/>
          <w:spacing w:val="-97"/>
          <w:sz w:val="21"/>
          <w:szCs w:val="21"/>
        </w:rPr>
        <w:t xml:space="preserve"> </w:t>
      </w:r>
      <w:r>
        <w:rPr>
          <w:rFonts w:ascii="宋体" w:hAnsi="宋体" w:eastAsia="宋体" w:cs="宋体"/>
          <w:spacing w:val="-6"/>
          <w:sz w:val="21"/>
          <w:szCs w:val="21"/>
        </w:rPr>
        <w:t>秒上传成功。</w:t>
      </w:r>
    </w:p>
    <w:p w14:paraId="1BBFF100">
      <w:pPr>
        <w:pStyle w:val="3"/>
        <w:spacing w:line="247" w:lineRule="auto"/>
      </w:pPr>
    </w:p>
    <w:p w14:paraId="5D369DBB">
      <w:pPr>
        <w:pStyle w:val="3"/>
        <w:spacing w:line="248" w:lineRule="auto"/>
      </w:pPr>
    </w:p>
    <w:p w14:paraId="697BCA0F">
      <w:pPr>
        <w:spacing w:before="69" w:line="422" w:lineRule="auto"/>
        <w:ind w:left="444"/>
        <w:rPr>
          <w:rFonts w:ascii="宋体" w:hAnsi="宋体" w:eastAsia="宋体" w:cs="宋体"/>
          <w:sz w:val="21"/>
          <w:szCs w:val="21"/>
        </w:rPr>
      </w:pPr>
      <w:r>
        <w:rPr>
          <w:rFonts w:ascii="宋体" w:hAnsi="宋体" w:eastAsia="宋体" w:cs="宋体"/>
          <w:spacing w:val="-26"/>
          <w:sz w:val="21"/>
          <w:szCs w:val="21"/>
        </w:rPr>
        <w:t>项目经理：</w:t>
      </w:r>
      <w:r>
        <w:rPr>
          <w:rFonts w:ascii="宋体" w:hAnsi="宋体" w:eastAsia="宋体" w:cs="宋体"/>
          <w:spacing w:val="18"/>
          <w:sz w:val="21"/>
          <w:szCs w:val="21"/>
        </w:rPr>
        <w:t xml:space="preserve"> </w:t>
      </w:r>
      <w:r>
        <w:rPr>
          <w:rFonts w:ascii="宋体" w:hAnsi="宋体" w:eastAsia="宋体" w:cs="宋体"/>
          <w:sz w:val="21"/>
          <w:szCs w:val="21"/>
          <w:u w:val="single" w:color="auto"/>
        </w:rPr>
        <w:t xml:space="preserve">                               </w:t>
      </w:r>
    </w:p>
    <w:p w14:paraId="55DA3C70">
      <w:pPr>
        <w:spacing w:line="220" w:lineRule="auto"/>
        <w:ind w:left="461"/>
        <w:rPr>
          <w:rFonts w:ascii="宋体" w:hAnsi="宋体" w:eastAsia="宋体" w:cs="宋体"/>
          <w:sz w:val="21"/>
          <w:szCs w:val="21"/>
        </w:rPr>
      </w:pPr>
      <w:r>
        <w:rPr>
          <w:rFonts w:ascii="宋体" w:hAnsi="宋体" w:eastAsia="宋体" w:cs="宋体"/>
          <w:spacing w:val="-31"/>
          <w:w w:val="98"/>
          <w:sz w:val="21"/>
          <w:szCs w:val="21"/>
        </w:rPr>
        <w:t>回执码：</w:t>
      </w:r>
      <w:r>
        <w:rPr>
          <w:rFonts w:ascii="宋体" w:hAnsi="宋体" w:eastAsia="宋体" w:cs="宋体"/>
          <w:spacing w:val="11"/>
          <w:sz w:val="21"/>
          <w:szCs w:val="21"/>
        </w:rPr>
        <w:t xml:space="preserve"> </w:t>
      </w:r>
      <w:r>
        <w:rPr>
          <w:rFonts w:ascii="宋体" w:hAnsi="宋体" w:eastAsia="宋体" w:cs="宋体"/>
          <w:sz w:val="21"/>
          <w:szCs w:val="21"/>
          <w:u w:val="single" w:color="auto"/>
        </w:rPr>
        <w:t xml:space="preserve">                                 </w:t>
      </w:r>
    </w:p>
    <w:p w14:paraId="59051B7B">
      <w:pPr>
        <w:spacing w:line="220" w:lineRule="auto"/>
        <w:rPr>
          <w:rFonts w:ascii="宋体" w:hAnsi="宋体" w:eastAsia="宋体" w:cs="宋体"/>
          <w:sz w:val="21"/>
          <w:szCs w:val="21"/>
        </w:rPr>
        <w:sectPr>
          <w:footerReference r:id="rId36" w:type="default"/>
          <w:pgSz w:w="11905" w:h="16839"/>
          <w:pgMar w:top="1431" w:right="1785" w:bottom="1036" w:left="1785" w:header="0" w:footer="847" w:gutter="0"/>
          <w:pgNumType w:fmt="decimal"/>
          <w:cols w:space="720" w:num="1"/>
        </w:sectPr>
      </w:pPr>
    </w:p>
    <w:p w14:paraId="2656BB7E">
      <w:pPr>
        <w:pStyle w:val="3"/>
        <w:spacing w:line="246" w:lineRule="auto"/>
      </w:pPr>
    </w:p>
    <w:p w14:paraId="29C35B83">
      <w:pPr>
        <w:pStyle w:val="3"/>
        <w:spacing w:line="247" w:lineRule="auto"/>
      </w:pPr>
    </w:p>
    <w:p w14:paraId="072BD0FE">
      <w:pPr>
        <w:pStyle w:val="3"/>
        <w:spacing w:line="247" w:lineRule="auto"/>
      </w:pPr>
    </w:p>
    <w:p w14:paraId="36DCCC48">
      <w:pPr>
        <w:spacing w:before="78" w:line="219" w:lineRule="auto"/>
        <w:ind w:left="22"/>
        <w:rPr>
          <w:rFonts w:ascii="黑体" w:hAnsi="黑体" w:eastAsia="黑体" w:cs="黑体"/>
          <w:sz w:val="24"/>
          <w:szCs w:val="24"/>
        </w:rPr>
      </w:pPr>
      <w:r>
        <w:rPr>
          <w:rFonts w:ascii="黑体" w:hAnsi="黑体" w:eastAsia="黑体" w:cs="黑体"/>
          <w:spacing w:val="-3"/>
          <w:sz w:val="24"/>
          <w:szCs w:val="24"/>
        </w:rPr>
        <w:t>附表五：开标记录表</w:t>
      </w:r>
    </w:p>
    <w:p w14:paraId="306D519F">
      <w:pPr>
        <w:pStyle w:val="3"/>
        <w:spacing w:line="469" w:lineRule="auto"/>
      </w:pPr>
    </w:p>
    <w:p w14:paraId="1DC3ACC0">
      <w:pPr>
        <w:tabs>
          <w:tab w:val="left" w:pos="7840"/>
        </w:tabs>
        <w:spacing w:before="88" w:line="225" w:lineRule="auto"/>
        <w:ind w:left="4623"/>
        <w:rPr>
          <w:rFonts w:ascii="黑体" w:hAnsi="黑体" w:eastAsia="黑体" w:cs="黑体"/>
          <w:sz w:val="27"/>
          <w:szCs w:val="27"/>
        </w:rPr>
      </w:pPr>
      <w:r>
        <w:rPr>
          <w:rFonts w:ascii="黑体" w:hAnsi="黑体" w:eastAsia="黑体" w:cs="黑体"/>
          <w:sz w:val="27"/>
          <w:szCs w:val="27"/>
          <w:u w:val="single" w:color="auto"/>
        </w:rPr>
        <w:tab/>
      </w:r>
      <w:r>
        <w:rPr>
          <w:rFonts w:ascii="黑体" w:hAnsi="黑体" w:eastAsia="黑体" w:cs="黑体"/>
          <w:spacing w:val="-46"/>
          <w:sz w:val="27"/>
          <w:szCs w:val="27"/>
        </w:rPr>
        <w:t xml:space="preserve"> </w:t>
      </w:r>
      <w:r>
        <w:rPr>
          <w:rFonts w:ascii="黑体" w:hAnsi="黑体" w:eastAsia="黑体" w:cs="黑体"/>
          <w:spacing w:val="2"/>
          <w:sz w:val="27"/>
          <w:szCs w:val="27"/>
        </w:rPr>
        <w:t>（标段名称）项目开标记录表</w:t>
      </w:r>
    </w:p>
    <w:p w14:paraId="60CE2470">
      <w:pPr>
        <w:pStyle w:val="3"/>
        <w:spacing w:line="297" w:lineRule="auto"/>
      </w:pPr>
    </w:p>
    <w:p w14:paraId="1D4DD50E">
      <w:pPr>
        <w:spacing w:before="68" w:line="221" w:lineRule="auto"/>
        <w:ind w:left="114"/>
        <w:rPr>
          <w:rFonts w:ascii="宋体" w:hAnsi="宋体" w:eastAsia="宋体" w:cs="宋体"/>
          <w:sz w:val="21"/>
          <w:szCs w:val="21"/>
        </w:rPr>
      </w:pPr>
      <w:r>
        <w:rPr>
          <w:rFonts w:ascii="宋体" w:hAnsi="宋体" w:eastAsia="宋体" w:cs="宋体"/>
          <w:spacing w:val="-24"/>
          <w:sz w:val="21"/>
          <w:szCs w:val="21"/>
        </w:rPr>
        <w:t>开标时间：</w:t>
      </w:r>
      <w:r>
        <w:rPr>
          <w:rFonts w:ascii="宋体" w:hAnsi="宋体" w:eastAsia="宋体" w:cs="宋体"/>
          <w:spacing w:val="56"/>
          <w:sz w:val="21"/>
          <w:szCs w:val="21"/>
        </w:rPr>
        <w:t xml:space="preserve"> </w:t>
      </w:r>
      <w:r>
        <w:rPr>
          <w:rFonts w:ascii="宋体" w:hAnsi="宋体" w:eastAsia="宋体" w:cs="宋体"/>
          <w:spacing w:val="21"/>
          <w:sz w:val="21"/>
          <w:szCs w:val="21"/>
          <w:u w:val="single" w:color="auto"/>
        </w:rPr>
        <w:t xml:space="preserve">     </w:t>
      </w:r>
      <w:r>
        <w:rPr>
          <w:rFonts w:ascii="宋体" w:hAnsi="宋体" w:eastAsia="宋体" w:cs="宋体"/>
          <w:spacing w:val="-96"/>
          <w:sz w:val="21"/>
          <w:szCs w:val="21"/>
        </w:rPr>
        <w:t xml:space="preserve"> </w:t>
      </w:r>
      <w:r>
        <w:rPr>
          <w:rFonts w:ascii="宋体" w:hAnsi="宋体" w:eastAsia="宋体" w:cs="宋体"/>
          <w:spacing w:val="-24"/>
          <w:sz w:val="21"/>
          <w:szCs w:val="21"/>
        </w:rPr>
        <w:t>年</w:t>
      </w:r>
      <w:r>
        <w:rPr>
          <w:rFonts w:ascii="宋体" w:hAnsi="宋体" w:eastAsia="宋体" w:cs="宋体"/>
          <w:spacing w:val="34"/>
          <w:sz w:val="21"/>
          <w:szCs w:val="21"/>
          <w:u w:val="single" w:color="auto"/>
        </w:rPr>
        <w:t xml:space="preserve">   </w:t>
      </w:r>
      <w:r>
        <w:rPr>
          <w:rFonts w:ascii="宋体" w:hAnsi="宋体" w:eastAsia="宋体" w:cs="宋体"/>
          <w:spacing w:val="-91"/>
          <w:sz w:val="21"/>
          <w:szCs w:val="21"/>
        </w:rPr>
        <w:t xml:space="preserve"> </w:t>
      </w:r>
      <w:r>
        <w:rPr>
          <w:rFonts w:ascii="宋体" w:hAnsi="宋体" w:eastAsia="宋体" w:cs="宋体"/>
          <w:spacing w:val="-24"/>
          <w:sz w:val="21"/>
          <w:szCs w:val="21"/>
        </w:rPr>
        <w:t>月</w:t>
      </w:r>
      <w:r>
        <w:rPr>
          <w:rFonts w:ascii="宋体" w:hAnsi="宋体" w:eastAsia="宋体" w:cs="宋体"/>
          <w:spacing w:val="-105"/>
          <w:sz w:val="21"/>
          <w:szCs w:val="21"/>
        </w:rPr>
        <w:t xml:space="preserve"> </w:t>
      </w:r>
      <w:r>
        <w:rPr>
          <w:rFonts w:ascii="宋体" w:hAnsi="宋体" w:eastAsia="宋体" w:cs="宋体"/>
          <w:spacing w:val="34"/>
          <w:sz w:val="21"/>
          <w:szCs w:val="21"/>
          <w:u w:val="single" w:color="auto"/>
        </w:rPr>
        <w:t xml:space="preserve">   </w:t>
      </w:r>
      <w:r>
        <w:rPr>
          <w:rFonts w:ascii="宋体" w:hAnsi="宋体" w:eastAsia="宋体" w:cs="宋体"/>
          <w:spacing w:val="-60"/>
          <w:sz w:val="21"/>
          <w:szCs w:val="21"/>
        </w:rPr>
        <w:t xml:space="preserve"> </w:t>
      </w:r>
      <w:r>
        <w:rPr>
          <w:rFonts w:ascii="宋体" w:hAnsi="宋体" w:eastAsia="宋体" w:cs="宋体"/>
          <w:spacing w:val="-24"/>
          <w:sz w:val="21"/>
          <w:szCs w:val="21"/>
        </w:rPr>
        <w:t>日</w:t>
      </w:r>
      <w:r>
        <w:rPr>
          <w:rFonts w:ascii="宋体" w:hAnsi="宋体" w:eastAsia="宋体" w:cs="宋体"/>
          <w:spacing w:val="34"/>
          <w:sz w:val="21"/>
          <w:szCs w:val="21"/>
          <w:u w:val="single" w:color="auto"/>
        </w:rPr>
        <w:t xml:space="preserve">   </w:t>
      </w:r>
      <w:r>
        <w:rPr>
          <w:rFonts w:ascii="宋体" w:hAnsi="宋体" w:eastAsia="宋体" w:cs="宋体"/>
          <w:spacing w:val="-86"/>
          <w:sz w:val="21"/>
          <w:szCs w:val="21"/>
        </w:rPr>
        <w:t xml:space="preserve"> </w:t>
      </w:r>
      <w:r>
        <w:rPr>
          <w:rFonts w:ascii="宋体" w:hAnsi="宋体" w:eastAsia="宋体" w:cs="宋体"/>
          <w:spacing w:val="-24"/>
          <w:sz w:val="21"/>
          <w:szCs w:val="21"/>
        </w:rPr>
        <w:t>时</w:t>
      </w:r>
      <w:r>
        <w:rPr>
          <w:rFonts w:ascii="宋体" w:hAnsi="宋体" w:eastAsia="宋体" w:cs="宋体"/>
          <w:sz w:val="21"/>
          <w:szCs w:val="21"/>
          <w:u w:val="single" w:color="auto"/>
        </w:rPr>
        <w:t xml:space="preserve">    </w:t>
      </w:r>
      <w:r>
        <w:rPr>
          <w:rFonts w:ascii="宋体" w:hAnsi="宋体" w:eastAsia="宋体" w:cs="宋体"/>
          <w:spacing w:val="-92"/>
          <w:sz w:val="21"/>
          <w:szCs w:val="21"/>
        </w:rPr>
        <w:t xml:space="preserve"> </w:t>
      </w:r>
      <w:r>
        <w:rPr>
          <w:rFonts w:ascii="宋体" w:hAnsi="宋体" w:eastAsia="宋体" w:cs="宋体"/>
          <w:spacing w:val="-24"/>
          <w:sz w:val="21"/>
          <w:szCs w:val="21"/>
        </w:rPr>
        <w:t>分</w:t>
      </w:r>
      <w:r>
        <w:rPr>
          <w:rFonts w:ascii="宋体" w:hAnsi="宋体" w:eastAsia="宋体" w:cs="宋体"/>
          <w:sz w:val="21"/>
          <w:szCs w:val="21"/>
        </w:rPr>
        <w:t xml:space="preserve">     </w:t>
      </w:r>
      <w:r>
        <w:rPr>
          <w:rFonts w:ascii="宋体" w:hAnsi="宋体" w:eastAsia="宋体" w:cs="宋体"/>
          <w:spacing w:val="-24"/>
          <w:sz w:val="21"/>
          <w:szCs w:val="21"/>
        </w:rPr>
        <w:t>开标地点：</w:t>
      </w:r>
      <w:r>
        <w:rPr>
          <w:rFonts w:ascii="宋体" w:hAnsi="宋体" w:eastAsia="宋体" w:cs="宋体"/>
          <w:spacing w:val="48"/>
          <w:sz w:val="21"/>
          <w:szCs w:val="21"/>
        </w:rPr>
        <w:t xml:space="preserve"> </w:t>
      </w:r>
      <w:r>
        <w:rPr>
          <w:rFonts w:ascii="宋体" w:hAnsi="宋体" w:eastAsia="宋体" w:cs="宋体"/>
          <w:sz w:val="21"/>
          <w:szCs w:val="21"/>
          <w:u w:val="single" w:color="auto"/>
        </w:rPr>
        <w:t xml:space="preserve">                            </w:t>
      </w:r>
      <w:r>
        <w:rPr>
          <w:rFonts w:ascii="宋体" w:hAnsi="宋体" w:eastAsia="宋体" w:cs="宋体"/>
          <w:spacing w:val="-24"/>
          <w:sz w:val="21"/>
          <w:szCs w:val="21"/>
        </w:rPr>
        <w:t xml:space="preserve">        开标方式：</w:t>
      </w:r>
      <w:r>
        <w:rPr>
          <w:rFonts w:ascii="宋体" w:hAnsi="宋体" w:eastAsia="宋体" w:cs="宋体"/>
          <w:spacing w:val="53"/>
          <w:sz w:val="21"/>
          <w:szCs w:val="21"/>
        </w:rPr>
        <w:t xml:space="preserve"> </w:t>
      </w:r>
      <w:r>
        <w:rPr>
          <w:rFonts w:ascii="宋体" w:hAnsi="宋体" w:eastAsia="宋体" w:cs="宋体"/>
          <w:sz w:val="21"/>
          <w:szCs w:val="21"/>
          <w:u w:val="single" w:color="auto"/>
        </w:rPr>
        <w:t xml:space="preserve">                </w:t>
      </w:r>
    </w:p>
    <w:p w14:paraId="41A3FCAA">
      <w:pPr>
        <w:spacing w:line="126" w:lineRule="auto"/>
        <w:rPr>
          <w:rFonts w:ascii="Arial"/>
          <w:sz w:val="2"/>
        </w:rPr>
      </w:pPr>
    </w:p>
    <w:tbl>
      <w:tblPr>
        <w:tblStyle w:val="10"/>
        <w:tblW w:w="1407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71"/>
        <w:gridCol w:w="2482"/>
        <w:gridCol w:w="988"/>
        <w:gridCol w:w="1138"/>
        <w:gridCol w:w="1132"/>
        <w:gridCol w:w="1133"/>
        <w:gridCol w:w="1133"/>
        <w:gridCol w:w="1137"/>
        <w:gridCol w:w="1272"/>
        <w:gridCol w:w="1704"/>
        <w:gridCol w:w="1282"/>
      </w:tblGrid>
      <w:tr w14:paraId="262743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671" w:type="dxa"/>
            <w:vMerge w:val="restart"/>
            <w:tcBorders>
              <w:bottom w:val="nil"/>
            </w:tcBorders>
            <w:vAlign w:val="top"/>
          </w:tcPr>
          <w:p w14:paraId="46C803F4">
            <w:pPr>
              <w:pStyle w:val="11"/>
              <w:spacing w:before="307" w:line="222" w:lineRule="auto"/>
              <w:ind w:left="131"/>
            </w:pPr>
            <w:r>
              <w:rPr>
                <w:spacing w:val="-2"/>
              </w:rPr>
              <w:t>序号</w:t>
            </w:r>
          </w:p>
        </w:tc>
        <w:tc>
          <w:tcPr>
            <w:tcW w:w="2482" w:type="dxa"/>
            <w:vMerge w:val="restart"/>
            <w:tcBorders>
              <w:bottom w:val="nil"/>
            </w:tcBorders>
            <w:vAlign w:val="top"/>
          </w:tcPr>
          <w:p w14:paraId="5B304B44">
            <w:pPr>
              <w:pStyle w:val="11"/>
              <w:spacing w:before="308" w:line="221" w:lineRule="auto"/>
              <w:ind w:left="722"/>
            </w:pPr>
            <w:r>
              <w:rPr>
                <w:spacing w:val="-1"/>
              </w:rPr>
              <w:t>投标人名称</w:t>
            </w:r>
          </w:p>
        </w:tc>
        <w:tc>
          <w:tcPr>
            <w:tcW w:w="988" w:type="dxa"/>
            <w:vMerge w:val="restart"/>
            <w:tcBorders>
              <w:bottom w:val="nil"/>
            </w:tcBorders>
            <w:vAlign w:val="top"/>
          </w:tcPr>
          <w:p w14:paraId="519724F2">
            <w:pPr>
              <w:pStyle w:val="11"/>
              <w:spacing w:before="173" w:line="231" w:lineRule="auto"/>
              <w:ind w:left="193" w:right="64" w:hanging="109"/>
            </w:pPr>
            <w:r>
              <w:rPr>
                <w:spacing w:val="-2"/>
              </w:rPr>
              <w:t>投标报价</w:t>
            </w:r>
            <w:r>
              <w:rPr>
                <w:spacing w:val="1"/>
              </w:rPr>
              <w:t xml:space="preserve"> </w:t>
            </w:r>
            <w:r>
              <w:rPr>
                <w:spacing w:val="-6"/>
              </w:rPr>
              <w:t>（元）</w:t>
            </w:r>
          </w:p>
        </w:tc>
        <w:tc>
          <w:tcPr>
            <w:tcW w:w="1138" w:type="dxa"/>
            <w:vMerge w:val="restart"/>
            <w:tcBorders>
              <w:bottom w:val="nil"/>
            </w:tcBorders>
            <w:vAlign w:val="top"/>
          </w:tcPr>
          <w:p w14:paraId="6518B3C6">
            <w:pPr>
              <w:pStyle w:val="11"/>
              <w:spacing w:before="173" w:line="221" w:lineRule="auto"/>
              <w:ind w:left="368"/>
            </w:pPr>
            <w:r>
              <w:rPr>
                <w:spacing w:val="-3"/>
              </w:rPr>
              <w:t>工期</w:t>
            </w:r>
          </w:p>
          <w:p w14:paraId="4649E43B">
            <w:pPr>
              <w:pStyle w:val="11"/>
              <w:spacing w:before="22" w:line="221" w:lineRule="auto"/>
              <w:ind w:left="55"/>
            </w:pPr>
            <w:r>
              <w:rPr>
                <w:spacing w:val="-4"/>
              </w:rPr>
              <w:t>（日历天）</w:t>
            </w:r>
          </w:p>
        </w:tc>
        <w:tc>
          <w:tcPr>
            <w:tcW w:w="1132" w:type="dxa"/>
            <w:vMerge w:val="restart"/>
            <w:tcBorders>
              <w:bottom w:val="nil"/>
            </w:tcBorders>
            <w:vAlign w:val="top"/>
          </w:tcPr>
          <w:p w14:paraId="3A60A849">
            <w:pPr>
              <w:pStyle w:val="11"/>
              <w:spacing w:before="308" w:line="221" w:lineRule="auto"/>
              <w:ind w:left="150"/>
            </w:pPr>
            <w:r>
              <w:rPr>
                <w:spacing w:val="-1"/>
              </w:rPr>
              <w:t>质量目标</w:t>
            </w:r>
          </w:p>
        </w:tc>
        <w:tc>
          <w:tcPr>
            <w:tcW w:w="1133" w:type="dxa"/>
            <w:vMerge w:val="restart"/>
            <w:tcBorders>
              <w:bottom w:val="nil"/>
            </w:tcBorders>
            <w:vAlign w:val="top"/>
          </w:tcPr>
          <w:p w14:paraId="7C3EEC98">
            <w:pPr>
              <w:pStyle w:val="11"/>
              <w:spacing w:before="173" w:line="231" w:lineRule="auto"/>
              <w:ind w:left="153" w:right="140"/>
            </w:pPr>
            <w:r>
              <w:rPr>
                <w:spacing w:val="-2"/>
              </w:rPr>
              <w:t>投标有效</w:t>
            </w:r>
            <w:r>
              <w:rPr>
                <w:spacing w:val="1"/>
              </w:rPr>
              <w:t xml:space="preserve"> </w:t>
            </w:r>
            <w:r>
              <w:rPr>
                <w:spacing w:val="-4"/>
              </w:rPr>
              <w:t>期（天）</w:t>
            </w:r>
          </w:p>
        </w:tc>
        <w:tc>
          <w:tcPr>
            <w:tcW w:w="1133" w:type="dxa"/>
            <w:vMerge w:val="restart"/>
            <w:tcBorders>
              <w:bottom w:val="nil"/>
            </w:tcBorders>
            <w:vAlign w:val="top"/>
          </w:tcPr>
          <w:p w14:paraId="39C2DA4B">
            <w:pPr>
              <w:pStyle w:val="11"/>
              <w:spacing w:before="172" w:line="231" w:lineRule="auto"/>
              <w:ind w:left="365" w:right="135" w:hanging="207"/>
            </w:pPr>
            <w:r>
              <w:rPr>
                <w:spacing w:val="-2"/>
              </w:rPr>
              <w:t>项目经理</w:t>
            </w:r>
            <w:r>
              <w:t xml:space="preserve"> </w:t>
            </w:r>
            <w:r>
              <w:rPr>
                <w:spacing w:val="-2"/>
              </w:rPr>
              <w:t>姓名</w:t>
            </w:r>
          </w:p>
        </w:tc>
        <w:tc>
          <w:tcPr>
            <w:tcW w:w="2409" w:type="dxa"/>
            <w:gridSpan w:val="2"/>
            <w:vAlign w:val="top"/>
          </w:tcPr>
          <w:p w14:paraId="2A2FA3A0">
            <w:pPr>
              <w:pStyle w:val="11"/>
              <w:spacing w:before="29" w:line="210" w:lineRule="auto"/>
              <w:ind w:left="691"/>
            </w:pPr>
            <w:r>
              <w:rPr>
                <w:spacing w:val="-1"/>
              </w:rPr>
              <w:t>投标保证金</w:t>
            </w:r>
          </w:p>
        </w:tc>
        <w:tc>
          <w:tcPr>
            <w:tcW w:w="1704" w:type="dxa"/>
            <w:vMerge w:val="restart"/>
            <w:tcBorders>
              <w:bottom w:val="nil"/>
            </w:tcBorders>
            <w:vAlign w:val="top"/>
          </w:tcPr>
          <w:p w14:paraId="45A5999F">
            <w:pPr>
              <w:pStyle w:val="11"/>
              <w:spacing w:before="172" w:line="231" w:lineRule="auto"/>
              <w:ind w:left="227" w:right="110" w:hanging="103"/>
            </w:pPr>
            <w:r>
              <w:rPr>
                <w:spacing w:val="-1"/>
              </w:rPr>
              <w:t>法定代表人或授</w:t>
            </w:r>
            <w:r>
              <w:t xml:space="preserve"> </w:t>
            </w:r>
            <w:r>
              <w:rPr>
                <w:spacing w:val="-1"/>
              </w:rPr>
              <w:t>权委托人确认</w:t>
            </w:r>
          </w:p>
        </w:tc>
        <w:tc>
          <w:tcPr>
            <w:tcW w:w="1282" w:type="dxa"/>
            <w:vMerge w:val="restart"/>
            <w:tcBorders>
              <w:bottom w:val="nil"/>
            </w:tcBorders>
            <w:vAlign w:val="top"/>
          </w:tcPr>
          <w:p w14:paraId="1369ED8F">
            <w:pPr>
              <w:pStyle w:val="11"/>
              <w:spacing w:before="307" w:line="223" w:lineRule="auto"/>
              <w:ind w:left="225"/>
            </w:pPr>
            <w:r>
              <w:rPr>
                <w:spacing w:val="-1"/>
              </w:rPr>
              <w:t>联系电话</w:t>
            </w:r>
          </w:p>
        </w:tc>
      </w:tr>
      <w:tr w14:paraId="065F08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2" w:hRule="atLeast"/>
        </w:trPr>
        <w:tc>
          <w:tcPr>
            <w:tcW w:w="671" w:type="dxa"/>
            <w:vMerge w:val="continue"/>
            <w:tcBorders>
              <w:top w:val="nil"/>
            </w:tcBorders>
            <w:vAlign w:val="top"/>
          </w:tcPr>
          <w:p w14:paraId="6D8FBEA0">
            <w:pPr>
              <w:rPr>
                <w:rFonts w:ascii="Arial"/>
                <w:sz w:val="21"/>
              </w:rPr>
            </w:pPr>
          </w:p>
        </w:tc>
        <w:tc>
          <w:tcPr>
            <w:tcW w:w="2482" w:type="dxa"/>
            <w:vMerge w:val="continue"/>
            <w:tcBorders>
              <w:top w:val="nil"/>
            </w:tcBorders>
            <w:vAlign w:val="top"/>
          </w:tcPr>
          <w:p w14:paraId="04FFE95B">
            <w:pPr>
              <w:rPr>
                <w:rFonts w:ascii="Arial"/>
                <w:sz w:val="21"/>
              </w:rPr>
            </w:pPr>
          </w:p>
        </w:tc>
        <w:tc>
          <w:tcPr>
            <w:tcW w:w="988" w:type="dxa"/>
            <w:vMerge w:val="continue"/>
            <w:tcBorders>
              <w:top w:val="nil"/>
            </w:tcBorders>
            <w:vAlign w:val="top"/>
          </w:tcPr>
          <w:p w14:paraId="1F52C388">
            <w:pPr>
              <w:rPr>
                <w:rFonts w:ascii="Arial"/>
                <w:sz w:val="21"/>
              </w:rPr>
            </w:pPr>
          </w:p>
        </w:tc>
        <w:tc>
          <w:tcPr>
            <w:tcW w:w="1138" w:type="dxa"/>
            <w:vMerge w:val="continue"/>
            <w:tcBorders>
              <w:top w:val="nil"/>
            </w:tcBorders>
            <w:vAlign w:val="top"/>
          </w:tcPr>
          <w:p w14:paraId="561B964B">
            <w:pPr>
              <w:rPr>
                <w:rFonts w:ascii="Arial"/>
                <w:sz w:val="21"/>
              </w:rPr>
            </w:pPr>
          </w:p>
        </w:tc>
        <w:tc>
          <w:tcPr>
            <w:tcW w:w="1132" w:type="dxa"/>
            <w:vMerge w:val="continue"/>
            <w:tcBorders>
              <w:top w:val="nil"/>
            </w:tcBorders>
            <w:vAlign w:val="top"/>
          </w:tcPr>
          <w:p w14:paraId="3EF2DE59">
            <w:pPr>
              <w:rPr>
                <w:rFonts w:ascii="Arial"/>
                <w:sz w:val="21"/>
              </w:rPr>
            </w:pPr>
          </w:p>
        </w:tc>
        <w:tc>
          <w:tcPr>
            <w:tcW w:w="1133" w:type="dxa"/>
            <w:vMerge w:val="continue"/>
            <w:tcBorders>
              <w:top w:val="nil"/>
            </w:tcBorders>
            <w:vAlign w:val="top"/>
          </w:tcPr>
          <w:p w14:paraId="153F0E61">
            <w:pPr>
              <w:rPr>
                <w:rFonts w:ascii="Arial"/>
                <w:sz w:val="21"/>
              </w:rPr>
            </w:pPr>
          </w:p>
        </w:tc>
        <w:tc>
          <w:tcPr>
            <w:tcW w:w="1133" w:type="dxa"/>
            <w:vMerge w:val="continue"/>
            <w:tcBorders>
              <w:top w:val="nil"/>
            </w:tcBorders>
            <w:vAlign w:val="top"/>
          </w:tcPr>
          <w:p w14:paraId="581647E0">
            <w:pPr>
              <w:rPr>
                <w:rFonts w:ascii="Arial"/>
                <w:sz w:val="21"/>
              </w:rPr>
            </w:pPr>
          </w:p>
        </w:tc>
        <w:tc>
          <w:tcPr>
            <w:tcW w:w="1137" w:type="dxa"/>
            <w:vAlign w:val="top"/>
          </w:tcPr>
          <w:p w14:paraId="76973821">
            <w:pPr>
              <w:pStyle w:val="11"/>
              <w:spacing w:before="29" w:line="241" w:lineRule="auto"/>
              <w:ind w:left="368"/>
            </w:pPr>
            <w:r>
              <w:rPr>
                <w:spacing w:val="-2"/>
              </w:rPr>
              <w:t>金额</w:t>
            </w:r>
          </w:p>
          <w:p w14:paraId="1DFCB49F">
            <w:pPr>
              <w:pStyle w:val="11"/>
              <w:spacing w:line="209" w:lineRule="auto"/>
              <w:ind w:left="267"/>
            </w:pPr>
            <w:r>
              <w:rPr>
                <w:spacing w:val="-6"/>
              </w:rPr>
              <w:t>（元）</w:t>
            </w:r>
          </w:p>
        </w:tc>
        <w:tc>
          <w:tcPr>
            <w:tcW w:w="1272" w:type="dxa"/>
            <w:vAlign w:val="top"/>
          </w:tcPr>
          <w:p w14:paraId="2381C206">
            <w:pPr>
              <w:pStyle w:val="11"/>
              <w:spacing w:before="168" w:line="221" w:lineRule="auto"/>
              <w:ind w:left="217"/>
            </w:pPr>
            <w:r>
              <w:rPr>
                <w:spacing w:val="-1"/>
              </w:rPr>
              <w:t>缴纳方式</w:t>
            </w:r>
          </w:p>
        </w:tc>
        <w:tc>
          <w:tcPr>
            <w:tcW w:w="1704" w:type="dxa"/>
            <w:vMerge w:val="continue"/>
            <w:tcBorders>
              <w:top w:val="nil"/>
            </w:tcBorders>
            <w:vAlign w:val="top"/>
          </w:tcPr>
          <w:p w14:paraId="146A48C1">
            <w:pPr>
              <w:rPr>
                <w:rFonts w:ascii="Arial"/>
                <w:sz w:val="21"/>
              </w:rPr>
            </w:pPr>
          </w:p>
        </w:tc>
        <w:tc>
          <w:tcPr>
            <w:tcW w:w="1282" w:type="dxa"/>
            <w:vMerge w:val="continue"/>
            <w:tcBorders>
              <w:top w:val="nil"/>
            </w:tcBorders>
            <w:vAlign w:val="top"/>
          </w:tcPr>
          <w:p w14:paraId="0CBDB2CA">
            <w:pPr>
              <w:rPr>
                <w:rFonts w:ascii="Arial"/>
                <w:sz w:val="21"/>
              </w:rPr>
            </w:pPr>
          </w:p>
        </w:tc>
      </w:tr>
      <w:tr w14:paraId="3BC633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0" w:hRule="atLeast"/>
        </w:trPr>
        <w:tc>
          <w:tcPr>
            <w:tcW w:w="671" w:type="dxa"/>
            <w:vAlign w:val="top"/>
          </w:tcPr>
          <w:p w14:paraId="51ED51AB">
            <w:pPr>
              <w:rPr>
                <w:rFonts w:ascii="Arial"/>
                <w:sz w:val="21"/>
              </w:rPr>
            </w:pPr>
          </w:p>
        </w:tc>
        <w:tc>
          <w:tcPr>
            <w:tcW w:w="2482" w:type="dxa"/>
            <w:vAlign w:val="top"/>
          </w:tcPr>
          <w:p w14:paraId="072F4AD7">
            <w:pPr>
              <w:rPr>
                <w:rFonts w:ascii="Arial"/>
                <w:sz w:val="21"/>
              </w:rPr>
            </w:pPr>
          </w:p>
        </w:tc>
        <w:tc>
          <w:tcPr>
            <w:tcW w:w="988" w:type="dxa"/>
            <w:vAlign w:val="top"/>
          </w:tcPr>
          <w:p w14:paraId="659014F3">
            <w:pPr>
              <w:rPr>
                <w:rFonts w:ascii="Arial"/>
                <w:sz w:val="21"/>
              </w:rPr>
            </w:pPr>
          </w:p>
        </w:tc>
        <w:tc>
          <w:tcPr>
            <w:tcW w:w="1138" w:type="dxa"/>
            <w:vAlign w:val="top"/>
          </w:tcPr>
          <w:p w14:paraId="7C5A8148">
            <w:pPr>
              <w:rPr>
                <w:rFonts w:ascii="Arial"/>
                <w:sz w:val="21"/>
              </w:rPr>
            </w:pPr>
          </w:p>
        </w:tc>
        <w:tc>
          <w:tcPr>
            <w:tcW w:w="1132" w:type="dxa"/>
            <w:vAlign w:val="top"/>
          </w:tcPr>
          <w:p w14:paraId="09E8C059">
            <w:pPr>
              <w:rPr>
                <w:rFonts w:ascii="Arial"/>
                <w:sz w:val="21"/>
              </w:rPr>
            </w:pPr>
          </w:p>
        </w:tc>
        <w:tc>
          <w:tcPr>
            <w:tcW w:w="1133" w:type="dxa"/>
            <w:vAlign w:val="top"/>
          </w:tcPr>
          <w:p w14:paraId="4665974B">
            <w:pPr>
              <w:rPr>
                <w:rFonts w:ascii="Arial"/>
                <w:sz w:val="21"/>
              </w:rPr>
            </w:pPr>
          </w:p>
        </w:tc>
        <w:tc>
          <w:tcPr>
            <w:tcW w:w="1133" w:type="dxa"/>
            <w:vAlign w:val="top"/>
          </w:tcPr>
          <w:p w14:paraId="676D6159">
            <w:pPr>
              <w:rPr>
                <w:rFonts w:ascii="Arial"/>
                <w:sz w:val="21"/>
              </w:rPr>
            </w:pPr>
          </w:p>
        </w:tc>
        <w:tc>
          <w:tcPr>
            <w:tcW w:w="1137" w:type="dxa"/>
            <w:vAlign w:val="top"/>
          </w:tcPr>
          <w:p w14:paraId="69F682AE">
            <w:pPr>
              <w:rPr>
                <w:rFonts w:ascii="Arial"/>
                <w:sz w:val="21"/>
              </w:rPr>
            </w:pPr>
          </w:p>
        </w:tc>
        <w:tc>
          <w:tcPr>
            <w:tcW w:w="1272" w:type="dxa"/>
            <w:vAlign w:val="top"/>
          </w:tcPr>
          <w:p w14:paraId="68A8A689">
            <w:pPr>
              <w:rPr>
                <w:rFonts w:ascii="Arial"/>
                <w:sz w:val="21"/>
              </w:rPr>
            </w:pPr>
          </w:p>
        </w:tc>
        <w:tc>
          <w:tcPr>
            <w:tcW w:w="1704" w:type="dxa"/>
            <w:vAlign w:val="top"/>
          </w:tcPr>
          <w:p w14:paraId="1B019BCF">
            <w:pPr>
              <w:rPr>
                <w:rFonts w:ascii="Arial"/>
                <w:sz w:val="21"/>
              </w:rPr>
            </w:pPr>
          </w:p>
        </w:tc>
        <w:tc>
          <w:tcPr>
            <w:tcW w:w="1282" w:type="dxa"/>
            <w:vAlign w:val="top"/>
          </w:tcPr>
          <w:p w14:paraId="2A91B424">
            <w:pPr>
              <w:rPr>
                <w:rFonts w:ascii="Arial"/>
                <w:sz w:val="21"/>
              </w:rPr>
            </w:pPr>
          </w:p>
        </w:tc>
      </w:tr>
      <w:tr w14:paraId="487A69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0" w:hRule="atLeast"/>
        </w:trPr>
        <w:tc>
          <w:tcPr>
            <w:tcW w:w="671" w:type="dxa"/>
            <w:vAlign w:val="top"/>
          </w:tcPr>
          <w:p w14:paraId="529F5F97">
            <w:pPr>
              <w:rPr>
                <w:rFonts w:ascii="Arial"/>
                <w:sz w:val="21"/>
              </w:rPr>
            </w:pPr>
          </w:p>
        </w:tc>
        <w:tc>
          <w:tcPr>
            <w:tcW w:w="2482" w:type="dxa"/>
            <w:vAlign w:val="top"/>
          </w:tcPr>
          <w:p w14:paraId="40AF2164">
            <w:pPr>
              <w:rPr>
                <w:rFonts w:ascii="Arial"/>
                <w:sz w:val="21"/>
              </w:rPr>
            </w:pPr>
          </w:p>
        </w:tc>
        <w:tc>
          <w:tcPr>
            <w:tcW w:w="988" w:type="dxa"/>
            <w:vAlign w:val="top"/>
          </w:tcPr>
          <w:p w14:paraId="53032ECC">
            <w:pPr>
              <w:rPr>
                <w:rFonts w:ascii="Arial"/>
                <w:sz w:val="21"/>
              </w:rPr>
            </w:pPr>
          </w:p>
        </w:tc>
        <w:tc>
          <w:tcPr>
            <w:tcW w:w="1138" w:type="dxa"/>
            <w:vAlign w:val="top"/>
          </w:tcPr>
          <w:p w14:paraId="2E59C77D">
            <w:pPr>
              <w:rPr>
                <w:rFonts w:ascii="Arial"/>
                <w:sz w:val="21"/>
              </w:rPr>
            </w:pPr>
          </w:p>
        </w:tc>
        <w:tc>
          <w:tcPr>
            <w:tcW w:w="1132" w:type="dxa"/>
            <w:vAlign w:val="top"/>
          </w:tcPr>
          <w:p w14:paraId="379ADBBD">
            <w:pPr>
              <w:rPr>
                <w:rFonts w:ascii="Arial"/>
                <w:sz w:val="21"/>
              </w:rPr>
            </w:pPr>
          </w:p>
        </w:tc>
        <w:tc>
          <w:tcPr>
            <w:tcW w:w="1133" w:type="dxa"/>
            <w:vAlign w:val="top"/>
          </w:tcPr>
          <w:p w14:paraId="2CF43C2C">
            <w:pPr>
              <w:rPr>
                <w:rFonts w:ascii="Arial"/>
                <w:sz w:val="21"/>
              </w:rPr>
            </w:pPr>
          </w:p>
        </w:tc>
        <w:tc>
          <w:tcPr>
            <w:tcW w:w="1133" w:type="dxa"/>
            <w:vAlign w:val="top"/>
          </w:tcPr>
          <w:p w14:paraId="5F7C649B">
            <w:pPr>
              <w:rPr>
                <w:rFonts w:ascii="Arial"/>
                <w:sz w:val="21"/>
              </w:rPr>
            </w:pPr>
          </w:p>
        </w:tc>
        <w:tc>
          <w:tcPr>
            <w:tcW w:w="1137" w:type="dxa"/>
            <w:vAlign w:val="top"/>
          </w:tcPr>
          <w:p w14:paraId="5122807F">
            <w:pPr>
              <w:rPr>
                <w:rFonts w:ascii="Arial"/>
                <w:sz w:val="21"/>
              </w:rPr>
            </w:pPr>
          </w:p>
        </w:tc>
        <w:tc>
          <w:tcPr>
            <w:tcW w:w="1272" w:type="dxa"/>
            <w:vAlign w:val="top"/>
          </w:tcPr>
          <w:p w14:paraId="19D6997C">
            <w:pPr>
              <w:rPr>
                <w:rFonts w:ascii="Arial"/>
                <w:sz w:val="21"/>
              </w:rPr>
            </w:pPr>
          </w:p>
        </w:tc>
        <w:tc>
          <w:tcPr>
            <w:tcW w:w="1704" w:type="dxa"/>
            <w:vAlign w:val="top"/>
          </w:tcPr>
          <w:p w14:paraId="74BF4876">
            <w:pPr>
              <w:rPr>
                <w:rFonts w:ascii="Arial"/>
                <w:sz w:val="21"/>
              </w:rPr>
            </w:pPr>
          </w:p>
        </w:tc>
        <w:tc>
          <w:tcPr>
            <w:tcW w:w="1282" w:type="dxa"/>
            <w:vAlign w:val="top"/>
          </w:tcPr>
          <w:p w14:paraId="6CE21B85">
            <w:pPr>
              <w:rPr>
                <w:rFonts w:ascii="Arial"/>
                <w:sz w:val="21"/>
              </w:rPr>
            </w:pPr>
          </w:p>
        </w:tc>
      </w:tr>
      <w:tr w14:paraId="1D35AF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6" w:hRule="atLeast"/>
        </w:trPr>
        <w:tc>
          <w:tcPr>
            <w:tcW w:w="671" w:type="dxa"/>
            <w:vAlign w:val="top"/>
          </w:tcPr>
          <w:p w14:paraId="3786F06A">
            <w:pPr>
              <w:rPr>
                <w:rFonts w:ascii="Arial"/>
                <w:sz w:val="21"/>
              </w:rPr>
            </w:pPr>
          </w:p>
        </w:tc>
        <w:tc>
          <w:tcPr>
            <w:tcW w:w="2482" w:type="dxa"/>
            <w:vAlign w:val="top"/>
          </w:tcPr>
          <w:p w14:paraId="359A7946">
            <w:pPr>
              <w:rPr>
                <w:rFonts w:ascii="Arial"/>
                <w:sz w:val="21"/>
              </w:rPr>
            </w:pPr>
          </w:p>
        </w:tc>
        <w:tc>
          <w:tcPr>
            <w:tcW w:w="988" w:type="dxa"/>
            <w:vAlign w:val="top"/>
          </w:tcPr>
          <w:p w14:paraId="06215DE1">
            <w:pPr>
              <w:rPr>
                <w:rFonts w:ascii="Arial"/>
                <w:sz w:val="21"/>
              </w:rPr>
            </w:pPr>
          </w:p>
        </w:tc>
        <w:tc>
          <w:tcPr>
            <w:tcW w:w="1138" w:type="dxa"/>
            <w:vAlign w:val="top"/>
          </w:tcPr>
          <w:p w14:paraId="089F66FD">
            <w:pPr>
              <w:rPr>
                <w:rFonts w:ascii="Arial"/>
                <w:sz w:val="21"/>
              </w:rPr>
            </w:pPr>
          </w:p>
        </w:tc>
        <w:tc>
          <w:tcPr>
            <w:tcW w:w="1132" w:type="dxa"/>
            <w:vAlign w:val="top"/>
          </w:tcPr>
          <w:p w14:paraId="2E0B6FFD">
            <w:pPr>
              <w:rPr>
                <w:rFonts w:ascii="Arial"/>
                <w:sz w:val="21"/>
              </w:rPr>
            </w:pPr>
          </w:p>
        </w:tc>
        <w:tc>
          <w:tcPr>
            <w:tcW w:w="1133" w:type="dxa"/>
            <w:vAlign w:val="top"/>
          </w:tcPr>
          <w:p w14:paraId="52F47FDB">
            <w:pPr>
              <w:rPr>
                <w:rFonts w:ascii="Arial"/>
                <w:sz w:val="21"/>
              </w:rPr>
            </w:pPr>
          </w:p>
        </w:tc>
        <w:tc>
          <w:tcPr>
            <w:tcW w:w="1133" w:type="dxa"/>
            <w:vAlign w:val="top"/>
          </w:tcPr>
          <w:p w14:paraId="0A72B392">
            <w:pPr>
              <w:rPr>
                <w:rFonts w:ascii="Arial"/>
                <w:sz w:val="21"/>
              </w:rPr>
            </w:pPr>
          </w:p>
        </w:tc>
        <w:tc>
          <w:tcPr>
            <w:tcW w:w="1137" w:type="dxa"/>
            <w:vAlign w:val="top"/>
          </w:tcPr>
          <w:p w14:paraId="4C8C35EE">
            <w:pPr>
              <w:rPr>
                <w:rFonts w:ascii="Arial"/>
                <w:sz w:val="21"/>
              </w:rPr>
            </w:pPr>
          </w:p>
        </w:tc>
        <w:tc>
          <w:tcPr>
            <w:tcW w:w="1272" w:type="dxa"/>
            <w:vAlign w:val="top"/>
          </w:tcPr>
          <w:p w14:paraId="178E3248">
            <w:pPr>
              <w:rPr>
                <w:rFonts w:ascii="Arial"/>
                <w:sz w:val="21"/>
              </w:rPr>
            </w:pPr>
          </w:p>
        </w:tc>
        <w:tc>
          <w:tcPr>
            <w:tcW w:w="1704" w:type="dxa"/>
            <w:vAlign w:val="top"/>
          </w:tcPr>
          <w:p w14:paraId="0A81448D">
            <w:pPr>
              <w:rPr>
                <w:rFonts w:ascii="Arial"/>
                <w:sz w:val="21"/>
              </w:rPr>
            </w:pPr>
          </w:p>
        </w:tc>
        <w:tc>
          <w:tcPr>
            <w:tcW w:w="1282" w:type="dxa"/>
            <w:vAlign w:val="top"/>
          </w:tcPr>
          <w:p w14:paraId="2173CCB0">
            <w:pPr>
              <w:rPr>
                <w:rFonts w:ascii="Arial"/>
                <w:sz w:val="21"/>
              </w:rPr>
            </w:pPr>
          </w:p>
        </w:tc>
      </w:tr>
      <w:tr w14:paraId="710EF7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1" w:hRule="atLeast"/>
        </w:trPr>
        <w:tc>
          <w:tcPr>
            <w:tcW w:w="671" w:type="dxa"/>
            <w:vAlign w:val="top"/>
          </w:tcPr>
          <w:p w14:paraId="36660E34">
            <w:pPr>
              <w:rPr>
                <w:rFonts w:ascii="Arial"/>
                <w:sz w:val="21"/>
              </w:rPr>
            </w:pPr>
          </w:p>
        </w:tc>
        <w:tc>
          <w:tcPr>
            <w:tcW w:w="2482" w:type="dxa"/>
            <w:vAlign w:val="top"/>
          </w:tcPr>
          <w:p w14:paraId="33665FED">
            <w:pPr>
              <w:rPr>
                <w:rFonts w:ascii="Arial"/>
                <w:sz w:val="21"/>
              </w:rPr>
            </w:pPr>
          </w:p>
        </w:tc>
        <w:tc>
          <w:tcPr>
            <w:tcW w:w="988" w:type="dxa"/>
            <w:vAlign w:val="top"/>
          </w:tcPr>
          <w:p w14:paraId="313B66DC">
            <w:pPr>
              <w:rPr>
                <w:rFonts w:ascii="Arial"/>
                <w:sz w:val="21"/>
              </w:rPr>
            </w:pPr>
          </w:p>
        </w:tc>
        <w:tc>
          <w:tcPr>
            <w:tcW w:w="1138" w:type="dxa"/>
            <w:vAlign w:val="top"/>
          </w:tcPr>
          <w:p w14:paraId="7405A89A">
            <w:pPr>
              <w:rPr>
                <w:rFonts w:ascii="Arial"/>
                <w:sz w:val="21"/>
              </w:rPr>
            </w:pPr>
          </w:p>
        </w:tc>
        <w:tc>
          <w:tcPr>
            <w:tcW w:w="1132" w:type="dxa"/>
            <w:vAlign w:val="top"/>
          </w:tcPr>
          <w:p w14:paraId="452E9F2A">
            <w:pPr>
              <w:rPr>
                <w:rFonts w:ascii="Arial"/>
                <w:sz w:val="21"/>
              </w:rPr>
            </w:pPr>
          </w:p>
        </w:tc>
        <w:tc>
          <w:tcPr>
            <w:tcW w:w="1133" w:type="dxa"/>
            <w:vAlign w:val="top"/>
          </w:tcPr>
          <w:p w14:paraId="2C740DE3">
            <w:pPr>
              <w:rPr>
                <w:rFonts w:ascii="Arial"/>
                <w:sz w:val="21"/>
              </w:rPr>
            </w:pPr>
          </w:p>
        </w:tc>
        <w:tc>
          <w:tcPr>
            <w:tcW w:w="1133" w:type="dxa"/>
            <w:vAlign w:val="top"/>
          </w:tcPr>
          <w:p w14:paraId="7BC1FF52">
            <w:pPr>
              <w:rPr>
                <w:rFonts w:ascii="Arial"/>
                <w:sz w:val="21"/>
              </w:rPr>
            </w:pPr>
          </w:p>
        </w:tc>
        <w:tc>
          <w:tcPr>
            <w:tcW w:w="1137" w:type="dxa"/>
            <w:vAlign w:val="top"/>
          </w:tcPr>
          <w:p w14:paraId="6D9D763C">
            <w:pPr>
              <w:rPr>
                <w:rFonts w:ascii="Arial"/>
                <w:sz w:val="21"/>
              </w:rPr>
            </w:pPr>
          </w:p>
        </w:tc>
        <w:tc>
          <w:tcPr>
            <w:tcW w:w="1272" w:type="dxa"/>
            <w:vAlign w:val="top"/>
          </w:tcPr>
          <w:p w14:paraId="7D0F9D48">
            <w:pPr>
              <w:rPr>
                <w:rFonts w:ascii="Arial"/>
                <w:sz w:val="21"/>
              </w:rPr>
            </w:pPr>
          </w:p>
        </w:tc>
        <w:tc>
          <w:tcPr>
            <w:tcW w:w="1704" w:type="dxa"/>
            <w:vAlign w:val="top"/>
          </w:tcPr>
          <w:p w14:paraId="2093869D">
            <w:pPr>
              <w:rPr>
                <w:rFonts w:ascii="Arial"/>
                <w:sz w:val="21"/>
              </w:rPr>
            </w:pPr>
          </w:p>
        </w:tc>
        <w:tc>
          <w:tcPr>
            <w:tcW w:w="1282" w:type="dxa"/>
            <w:vAlign w:val="top"/>
          </w:tcPr>
          <w:p w14:paraId="6818EF8E">
            <w:pPr>
              <w:rPr>
                <w:rFonts w:ascii="Arial"/>
                <w:sz w:val="21"/>
              </w:rPr>
            </w:pPr>
          </w:p>
        </w:tc>
      </w:tr>
      <w:tr w14:paraId="513BFA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1" w:hRule="atLeast"/>
        </w:trPr>
        <w:tc>
          <w:tcPr>
            <w:tcW w:w="671" w:type="dxa"/>
            <w:tcBorders>
              <w:bottom w:val="single" w:color="000000" w:sz="4" w:space="0"/>
            </w:tcBorders>
            <w:vAlign w:val="top"/>
          </w:tcPr>
          <w:p w14:paraId="14405A27">
            <w:pPr>
              <w:rPr>
                <w:rFonts w:ascii="Arial"/>
                <w:sz w:val="21"/>
              </w:rPr>
            </w:pPr>
          </w:p>
        </w:tc>
        <w:tc>
          <w:tcPr>
            <w:tcW w:w="2482" w:type="dxa"/>
            <w:tcBorders>
              <w:bottom w:val="single" w:color="000000" w:sz="4" w:space="0"/>
            </w:tcBorders>
            <w:vAlign w:val="top"/>
          </w:tcPr>
          <w:p w14:paraId="1EAE1A78">
            <w:pPr>
              <w:rPr>
                <w:rFonts w:ascii="Arial"/>
                <w:sz w:val="21"/>
              </w:rPr>
            </w:pPr>
          </w:p>
        </w:tc>
        <w:tc>
          <w:tcPr>
            <w:tcW w:w="988" w:type="dxa"/>
            <w:tcBorders>
              <w:bottom w:val="single" w:color="000000" w:sz="4" w:space="0"/>
            </w:tcBorders>
            <w:vAlign w:val="top"/>
          </w:tcPr>
          <w:p w14:paraId="79343AA6">
            <w:pPr>
              <w:rPr>
                <w:rFonts w:ascii="Arial"/>
                <w:sz w:val="21"/>
              </w:rPr>
            </w:pPr>
          </w:p>
        </w:tc>
        <w:tc>
          <w:tcPr>
            <w:tcW w:w="1138" w:type="dxa"/>
            <w:tcBorders>
              <w:bottom w:val="single" w:color="000000" w:sz="4" w:space="0"/>
            </w:tcBorders>
            <w:vAlign w:val="top"/>
          </w:tcPr>
          <w:p w14:paraId="1F9BFF06">
            <w:pPr>
              <w:rPr>
                <w:rFonts w:ascii="Arial"/>
                <w:sz w:val="21"/>
              </w:rPr>
            </w:pPr>
          </w:p>
        </w:tc>
        <w:tc>
          <w:tcPr>
            <w:tcW w:w="1132" w:type="dxa"/>
            <w:tcBorders>
              <w:bottom w:val="single" w:color="000000" w:sz="4" w:space="0"/>
            </w:tcBorders>
            <w:vAlign w:val="top"/>
          </w:tcPr>
          <w:p w14:paraId="05F99D54">
            <w:pPr>
              <w:rPr>
                <w:rFonts w:ascii="Arial"/>
                <w:sz w:val="21"/>
              </w:rPr>
            </w:pPr>
          </w:p>
        </w:tc>
        <w:tc>
          <w:tcPr>
            <w:tcW w:w="1133" w:type="dxa"/>
            <w:tcBorders>
              <w:bottom w:val="single" w:color="000000" w:sz="4" w:space="0"/>
            </w:tcBorders>
            <w:vAlign w:val="top"/>
          </w:tcPr>
          <w:p w14:paraId="1DBB3EDB">
            <w:pPr>
              <w:rPr>
                <w:rFonts w:ascii="Arial"/>
                <w:sz w:val="21"/>
              </w:rPr>
            </w:pPr>
          </w:p>
        </w:tc>
        <w:tc>
          <w:tcPr>
            <w:tcW w:w="1133" w:type="dxa"/>
            <w:tcBorders>
              <w:bottom w:val="single" w:color="000000" w:sz="4" w:space="0"/>
            </w:tcBorders>
            <w:vAlign w:val="top"/>
          </w:tcPr>
          <w:p w14:paraId="375D7974">
            <w:pPr>
              <w:rPr>
                <w:rFonts w:ascii="Arial"/>
                <w:sz w:val="21"/>
              </w:rPr>
            </w:pPr>
          </w:p>
        </w:tc>
        <w:tc>
          <w:tcPr>
            <w:tcW w:w="1137" w:type="dxa"/>
            <w:tcBorders>
              <w:bottom w:val="single" w:color="000000" w:sz="4" w:space="0"/>
            </w:tcBorders>
            <w:vAlign w:val="top"/>
          </w:tcPr>
          <w:p w14:paraId="446405D0">
            <w:pPr>
              <w:rPr>
                <w:rFonts w:ascii="Arial"/>
                <w:sz w:val="21"/>
              </w:rPr>
            </w:pPr>
          </w:p>
        </w:tc>
        <w:tc>
          <w:tcPr>
            <w:tcW w:w="1272" w:type="dxa"/>
            <w:tcBorders>
              <w:bottom w:val="single" w:color="000000" w:sz="4" w:space="0"/>
            </w:tcBorders>
            <w:vAlign w:val="top"/>
          </w:tcPr>
          <w:p w14:paraId="6F1AF9E2">
            <w:pPr>
              <w:rPr>
                <w:rFonts w:ascii="Arial"/>
                <w:sz w:val="21"/>
              </w:rPr>
            </w:pPr>
          </w:p>
        </w:tc>
        <w:tc>
          <w:tcPr>
            <w:tcW w:w="1704" w:type="dxa"/>
            <w:tcBorders>
              <w:bottom w:val="single" w:color="000000" w:sz="4" w:space="0"/>
            </w:tcBorders>
            <w:vAlign w:val="top"/>
          </w:tcPr>
          <w:p w14:paraId="1F26526D">
            <w:pPr>
              <w:rPr>
                <w:rFonts w:ascii="Arial"/>
                <w:sz w:val="21"/>
              </w:rPr>
            </w:pPr>
          </w:p>
        </w:tc>
        <w:tc>
          <w:tcPr>
            <w:tcW w:w="1282" w:type="dxa"/>
            <w:tcBorders>
              <w:bottom w:val="single" w:color="000000" w:sz="4" w:space="0"/>
            </w:tcBorders>
            <w:vAlign w:val="top"/>
          </w:tcPr>
          <w:p w14:paraId="683D567B">
            <w:pPr>
              <w:rPr>
                <w:rFonts w:ascii="Arial"/>
                <w:sz w:val="21"/>
              </w:rPr>
            </w:pPr>
          </w:p>
        </w:tc>
      </w:tr>
      <w:tr w14:paraId="2B677D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6" w:hRule="atLeast"/>
        </w:trPr>
        <w:tc>
          <w:tcPr>
            <w:tcW w:w="671" w:type="dxa"/>
            <w:tcBorders>
              <w:top w:val="single" w:color="000000" w:sz="4" w:space="0"/>
            </w:tcBorders>
            <w:vAlign w:val="top"/>
          </w:tcPr>
          <w:p w14:paraId="5B0A4E88">
            <w:pPr>
              <w:rPr>
                <w:rFonts w:ascii="Arial"/>
                <w:sz w:val="21"/>
              </w:rPr>
            </w:pPr>
          </w:p>
        </w:tc>
        <w:tc>
          <w:tcPr>
            <w:tcW w:w="2482" w:type="dxa"/>
            <w:tcBorders>
              <w:top w:val="single" w:color="000000" w:sz="4" w:space="0"/>
            </w:tcBorders>
            <w:vAlign w:val="top"/>
          </w:tcPr>
          <w:p w14:paraId="44765BD6">
            <w:pPr>
              <w:rPr>
                <w:rFonts w:ascii="Arial"/>
                <w:sz w:val="21"/>
              </w:rPr>
            </w:pPr>
          </w:p>
        </w:tc>
        <w:tc>
          <w:tcPr>
            <w:tcW w:w="988" w:type="dxa"/>
            <w:tcBorders>
              <w:top w:val="single" w:color="000000" w:sz="4" w:space="0"/>
            </w:tcBorders>
            <w:vAlign w:val="top"/>
          </w:tcPr>
          <w:p w14:paraId="7CD837F4">
            <w:pPr>
              <w:rPr>
                <w:rFonts w:ascii="Arial"/>
                <w:sz w:val="21"/>
              </w:rPr>
            </w:pPr>
          </w:p>
        </w:tc>
        <w:tc>
          <w:tcPr>
            <w:tcW w:w="1138" w:type="dxa"/>
            <w:tcBorders>
              <w:top w:val="single" w:color="000000" w:sz="4" w:space="0"/>
            </w:tcBorders>
            <w:vAlign w:val="top"/>
          </w:tcPr>
          <w:p w14:paraId="6BAD7F74">
            <w:pPr>
              <w:rPr>
                <w:rFonts w:ascii="Arial"/>
                <w:sz w:val="21"/>
              </w:rPr>
            </w:pPr>
          </w:p>
        </w:tc>
        <w:tc>
          <w:tcPr>
            <w:tcW w:w="1132" w:type="dxa"/>
            <w:tcBorders>
              <w:top w:val="single" w:color="000000" w:sz="4" w:space="0"/>
            </w:tcBorders>
            <w:vAlign w:val="top"/>
          </w:tcPr>
          <w:p w14:paraId="4C6463CB">
            <w:pPr>
              <w:rPr>
                <w:rFonts w:ascii="Arial"/>
                <w:sz w:val="21"/>
              </w:rPr>
            </w:pPr>
          </w:p>
        </w:tc>
        <w:tc>
          <w:tcPr>
            <w:tcW w:w="1133" w:type="dxa"/>
            <w:tcBorders>
              <w:top w:val="single" w:color="000000" w:sz="4" w:space="0"/>
            </w:tcBorders>
            <w:vAlign w:val="top"/>
          </w:tcPr>
          <w:p w14:paraId="589C74DA">
            <w:pPr>
              <w:rPr>
                <w:rFonts w:ascii="Arial"/>
                <w:sz w:val="21"/>
              </w:rPr>
            </w:pPr>
          </w:p>
        </w:tc>
        <w:tc>
          <w:tcPr>
            <w:tcW w:w="1133" w:type="dxa"/>
            <w:tcBorders>
              <w:top w:val="single" w:color="000000" w:sz="4" w:space="0"/>
            </w:tcBorders>
            <w:vAlign w:val="top"/>
          </w:tcPr>
          <w:p w14:paraId="5655B480">
            <w:pPr>
              <w:rPr>
                <w:rFonts w:ascii="Arial"/>
                <w:sz w:val="21"/>
              </w:rPr>
            </w:pPr>
          </w:p>
        </w:tc>
        <w:tc>
          <w:tcPr>
            <w:tcW w:w="1137" w:type="dxa"/>
            <w:tcBorders>
              <w:top w:val="single" w:color="000000" w:sz="4" w:space="0"/>
            </w:tcBorders>
            <w:vAlign w:val="top"/>
          </w:tcPr>
          <w:p w14:paraId="66410372">
            <w:pPr>
              <w:rPr>
                <w:rFonts w:ascii="Arial"/>
                <w:sz w:val="21"/>
              </w:rPr>
            </w:pPr>
          </w:p>
        </w:tc>
        <w:tc>
          <w:tcPr>
            <w:tcW w:w="1272" w:type="dxa"/>
            <w:tcBorders>
              <w:top w:val="single" w:color="000000" w:sz="4" w:space="0"/>
            </w:tcBorders>
            <w:vAlign w:val="top"/>
          </w:tcPr>
          <w:p w14:paraId="02FA155C">
            <w:pPr>
              <w:rPr>
                <w:rFonts w:ascii="Arial"/>
                <w:sz w:val="21"/>
              </w:rPr>
            </w:pPr>
          </w:p>
        </w:tc>
        <w:tc>
          <w:tcPr>
            <w:tcW w:w="1704" w:type="dxa"/>
            <w:tcBorders>
              <w:top w:val="single" w:color="000000" w:sz="4" w:space="0"/>
            </w:tcBorders>
            <w:vAlign w:val="top"/>
          </w:tcPr>
          <w:p w14:paraId="475C7A7F">
            <w:pPr>
              <w:rPr>
                <w:rFonts w:ascii="Arial"/>
                <w:sz w:val="21"/>
              </w:rPr>
            </w:pPr>
          </w:p>
        </w:tc>
        <w:tc>
          <w:tcPr>
            <w:tcW w:w="1282" w:type="dxa"/>
            <w:tcBorders>
              <w:top w:val="single" w:color="000000" w:sz="4" w:space="0"/>
            </w:tcBorders>
            <w:vAlign w:val="top"/>
          </w:tcPr>
          <w:p w14:paraId="7F5A37EB">
            <w:pPr>
              <w:rPr>
                <w:rFonts w:ascii="Arial"/>
                <w:sz w:val="21"/>
              </w:rPr>
            </w:pPr>
          </w:p>
        </w:tc>
      </w:tr>
      <w:tr w14:paraId="34623F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0" w:hRule="atLeast"/>
        </w:trPr>
        <w:tc>
          <w:tcPr>
            <w:tcW w:w="671" w:type="dxa"/>
            <w:vAlign w:val="top"/>
          </w:tcPr>
          <w:p w14:paraId="3251139A">
            <w:pPr>
              <w:rPr>
                <w:rFonts w:ascii="Arial"/>
                <w:sz w:val="21"/>
              </w:rPr>
            </w:pPr>
          </w:p>
        </w:tc>
        <w:tc>
          <w:tcPr>
            <w:tcW w:w="2482" w:type="dxa"/>
            <w:vAlign w:val="top"/>
          </w:tcPr>
          <w:p w14:paraId="5E9DBB0D">
            <w:pPr>
              <w:rPr>
                <w:rFonts w:ascii="Arial"/>
                <w:sz w:val="21"/>
              </w:rPr>
            </w:pPr>
          </w:p>
        </w:tc>
        <w:tc>
          <w:tcPr>
            <w:tcW w:w="988" w:type="dxa"/>
            <w:vAlign w:val="top"/>
          </w:tcPr>
          <w:p w14:paraId="1FB75B67">
            <w:pPr>
              <w:rPr>
                <w:rFonts w:ascii="Arial"/>
                <w:sz w:val="21"/>
              </w:rPr>
            </w:pPr>
          </w:p>
        </w:tc>
        <w:tc>
          <w:tcPr>
            <w:tcW w:w="1138" w:type="dxa"/>
            <w:vAlign w:val="top"/>
          </w:tcPr>
          <w:p w14:paraId="59824CD1">
            <w:pPr>
              <w:rPr>
                <w:rFonts w:ascii="Arial"/>
                <w:sz w:val="21"/>
              </w:rPr>
            </w:pPr>
          </w:p>
        </w:tc>
        <w:tc>
          <w:tcPr>
            <w:tcW w:w="1132" w:type="dxa"/>
            <w:vAlign w:val="top"/>
          </w:tcPr>
          <w:p w14:paraId="3338C1E5">
            <w:pPr>
              <w:rPr>
                <w:rFonts w:ascii="Arial"/>
                <w:sz w:val="21"/>
              </w:rPr>
            </w:pPr>
          </w:p>
        </w:tc>
        <w:tc>
          <w:tcPr>
            <w:tcW w:w="1133" w:type="dxa"/>
            <w:vAlign w:val="top"/>
          </w:tcPr>
          <w:p w14:paraId="1BFD8233">
            <w:pPr>
              <w:rPr>
                <w:rFonts w:ascii="Arial"/>
                <w:sz w:val="21"/>
              </w:rPr>
            </w:pPr>
          </w:p>
        </w:tc>
        <w:tc>
          <w:tcPr>
            <w:tcW w:w="1133" w:type="dxa"/>
            <w:vAlign w:val="top"/>
          </w:tcPr>
          <w:p w14:paraId="474FB444">
            <w:pPr>
              <w:rPr>
                <w:rFonts w:ascii="Arial"/>
                <w:sz w:val="21"/>
              </w:rPr>
            </w:pPr>
          </w:p>
        </w:tc>
        <w:tc>
          <w:tcPr>
            <w:tcW w:w="1137" w:type="dxa"/>
            <w:vAlign w:val="top"/>
          </w:tcPr>
          <w:p w14:paraId="45329918">
            <w:pPr>
              <w:rPr>
                <w:rFonts w:ascii="Arial"/>
                <w:sz w:val="21"/>
              </w:rPr>
            </w:pPr>
          </w:p>
        </w:tc>
        <w:tc>
          <w:tcPr>
            <w:tcW w:w="1272" w:type="dxa"/>
            <w:vAlign w:val="top"/>
          </w:tcPr>
          <w:p w14:paraId="2886B554">
            <w:pPr>
              <w:rPr>
                <w:rFonts w:ascii="Arial"/>
                <w:sz w:val="21"/>
              </w:rPr>
            </w:pPr>
          </w:p>
        </w:tc>
        <w:tc>
          <w:tcPr>
            <w:tcW w:w="1704" w:type="dxa"/>
            <w:vAlign w:val="top"/>
          </w:tcPr>
          <w:p w14:paraId="181A6699">
            <w:pPr>
              <w:rPr>
                <w:rFonts w:ascii="Arial"/>
                <w:sz w:val="21"/>
              </w:rPr>
            </w:pPr>
          </w:p>
        </w:tc>
        <w:tc>
          <w:tcPr>
            <w:tcW w:w="1282" w:type="dxa"/>
            <w:vAlign w:val="top"/>
          </w:tcPr>
          <w:p w14:paraId="59079A79">
            <w:pPr>
              <w:rPr>
                <w:rFonts w:ascii="Arial"/>
                <w:sz w:val="21"/>
              </w:rPr>
            </w:pPr>
          </w:p>
        </w:tc>
      </w:tr>
      <w:tr w14:paraId="0FC39F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7" w:hRule="atLeast"/>
        </w:trPr>
        <w:tc>
          <w:tcPr>
            <w:tcW w:w="671" w:type="dxa"/>
            <w:vAlign w:val="top"/>
          </w:tcPr>
          <w:p w14:paraId="5495A461">
            <w:pPr>
              <w:rPr>
                <w:rFonts w:ascii="Arial"/>
                <w:sz w:val="21"/>
              </w:rPr>
            </w:pPr>
          </w:p>
        </w:tc>
        <w:tc>
          <w:tcPr>
            <w:tcW w:w="2482" w:type="dxa"/>
            <w:vAlign w:val="top"/>
          </w:tcPr>
          <w:p w14:paraId="2BA37255">
            <w:pPr>
              <w:rPr>
                <w:rFonts w:ascii="Arial"/>
                <w:sz w:val="21"/>
              </w:rPr>
            </w:pPr>
          </w:p>
        </w:tc>
        <w:tc>
          <w:tcPr>
            <w:tcW w:w="988" w:type="dxa"/>
            <w:vAlign w:val="top"/>
          </w:tcPr>
          <w:p w14:paraId="40B4298D">
            <w:pPr>
              <w:rPr>
                <w:rFonts w:ascii="Arial"/>
                <w:sz w:val="21"/>
              </w:rPr>
            </w:pPr>
          </w:p>
        </w:tc>
        <w:tc>
          <w:tcPr>
            <w:tcW w:w="1138" w:type="dxa"/>
            <w:vAlign w:val="top"/>
          </w:tcPr>
          <w:p w14:paraId="2585A4C7">
            <w:pPr>
              <w:rPr>
                <w:rFonts w:ascii="Arial"/>
                <w:sz w:val="21"/>
              </w:rPr>
            </w:pPr>
          </w:p>
        </w:tc>
        <w:tc>
          <w:tcPr>
            <w:tcW w:w="1132" w:type="dxa"/>
            <w:vAlign w:val="top"/>
          </w:tcPr>
          <w:p w14:paraId="15DA0F22">
            <w:pPr>
              <w:rPr>
                <w:rFonts w:ascii="Arial"/>
                <w:sz w:val="21"/>
              </w:rPr>
            </w:pPr>
          </w:p>
        </w:tc>
        <w:tc>
          <w:tcPr>
            <w:tcW w:w="1133" w:type="dxa"/>
            <w:vAlign w:val="top"/>
          </w:tcPr>
          <w:p w14:paraId="74A9D245">
            <w:pPr>
              <w:rPr>
                <w:rFonts w:ascii="Arial"/>
                <w:sz w:val="21"/>
              </w:rPr>
            </w:pPr>
          </w:p>
        </w:tc>
        <w:tc>
          <w:tcPr>
            <w:tcW w:w="1133" w:type="dxa"/>
            <w:vAlign w:val="top"/>
          </w:tcPr>
          <w:p w14:paraId="4D5EA051">
            <w:pPr>
              <w:rPr>
                <w:rFonts w:ascii="Arial"/>
                <w:sz w:val="21"/>
              </w:rPr>
            </w:pPr>
          </w:p>
        </w:tc>
        <w:tc>
          <w:tcPr>
            <w:tcW w:w="1137" w:type="dxa"/>
            <w:vAlign w:val="top"/>
          </w:tcPr>
          <w:p w14:paraId="638577A9">
            <w:pPr>
              <w:rPr>
                <w:rFonts w:ascii="Arial"/>
                <w:sz w:val="21"/>
              </w:rPr>
            </w:pPr>
          </w:p>
        </w:tc>
        <w:tc>
          <w:tcPr>
            <w:tcW w:w="1272" w:type="dxa"/>
            <w:vAlign w:val="top"/>
          </w:tcPr>
          <w:p w14:paraId="7C9969D3">
            <w:pPr>
              <w:rPr>
                <w:rFonts w:ascii="Arial"/>
                <w:sz w:val="21"/>
              </w:rPr>
            </w:pPr>
          </w:p>
        </w:tc>
        <w:tc>
          <w:tcPr>
            <w:tcW w:w="1704" w:type="dxa"/>
            <w:vAlign w:val="top"/>
          </w:tcPr>
          <w:p w14:paraId="1080D22B">
            <w:pPr>
              <w:rPr>
                <w:rFonts w:ascii="Arial"/>
                <w:sz w:val="21"/>
              </w:rPr>
            </w:pPr>
          </w:p>
        </w:tc>
        <w:tc>
          <w:tcPr>
            <w:tcW w:w="1282" w:type="dxa"/>
            <w:vAlign w:val="top"/>
          </w:tcPr>
          <w:p w14:paraId="67CFCA04">
            <w:pPr>
              <w:rPr>
                <w:rFonts w:ascii="Arial"/>
                <w:sz w:val="21"/>
              </w:rPr>
            </w:pPr>
          </w:p>
        </w:tc>
      </w:tr>
      <w:tr w14:paraId="30B3CF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6" w:hRule="atLeast"/>
        </w:trPr>
        <w:tc>
          <w:tcPr>
            <w:tcW w:w="3153" w:type="dxa"/>
            <w:gridSpan w:val="2"/>
            <w:vAlign w:val="top"/>
          </w:tcPr>
          <w:p w14:paraId="6F8D6658">
            <w:pPr>
              <w:pStyle w:val="11"/>
              <w:spacing w:before="159" w:line="219" w:lineRule="auto"/>
              <w:ind w:left="639"/>
            </w:pPr>
            <w:r>
              <w:rPr>
                <w:spacing w:val="-2"/>
              </w:rPr>
              <w:t>最高投标限价（元）</w:t>
            </w:r>
          </w:p>
        </w:tc>
        <w:tc>
          <w:tcPr>
            <w:tcW w:w="10919" w:type="dxa"/>
            <w:gridSpan w:val="9"/>
            <w:vAlign w:val="top"/>
          </w:tcPr>
          <w:p w14:paraId="431B9937">
            <w:pPr>
              <w:rPr>
                <w:rFonts w:ascii="Arial"/>
                <w:sz w:val="21"/>
              </w:rPr>
            </w:pPr>
          </w:p>
        </w:tc>
      </w:tr>
      <w:tr w14:paraId="11EC90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1" w:hRule="atLeast"/>
        </w:trPr>
        <w:tc>
          <w:tcPr>
            <w:tcW w:w="3153" w:type="dxa"/>
            <w:gridSpan w:val="2"/>
            <w:vAlign w:val="top"/>
          </w:tcPr>
          <w:p w14:paraId="7AEA187E">
            <w:pPr>
              <w:pStyle w:val="11"/>
              <w:spacing w:before="160" w:line="221" w:lineRule="auto"/>
              <w:ind w:left="320"/>
            </w:pPr>
            <w:r>
              <w:rPr>
                <w:spacing w:val="-1"/>
              </w:rPr>
              <w:t>开标过程需记录的其他事项</w:t>
            </w:r>
          </w:p>
        </w:tc>
        <w:tc>
          <w:tcPr>
            <w:tcW w:w="10919" w:type="dxa"/>
            <w:gridSpan w:val="9"/>
            <w:vAlign w:val="top"/>
          </w:tcPr>
          <w:p w14:paraId="01778068">
            <w:pPr>
              <w:rPr>
                <w:rFonts w:ascii="Arial"/>
                <w:sz w:val="21"/>
              </w:rPr>
            </w:pPr>
          </w:p>
        </w:tc>
      </w:tr>
    </w:tbl>
    <w:p w14:paraId="42516649">
      <w:pPr>
        <w:spacing w:before="140" w:line="221" w:lineRule="auto"/>
        <w:ind w:left="7365"/>
        <w:rPr>
          <w:rFonts w:ascii="宋体" w:hAnsi="宋体" w:eastAsia="宋体" w:cs="宋体"/>
          <w:sz w:val="21"/>
          <w:szCs w:val="21"/>
        </w:rPr>
      </w:pPr>
      <w:r>
        <w:rPr>
          <w:rFonts w:ascii="宋体" w:hAnsi="宋体" w:eastAsia="宋体" w:cs="宋体"/>
          <w:spacing w:val="-6"/>
          <w:sz w:val="21"/>
          <w:szCs w:val="21"/>
        </w:rPr>
        <w:t>主持人：</w:t>
      </w:r>
      <w:r>
        <w:rPr>
          <w:rFonts w:ascii="宋体" w:hAnsi="宋体" w:eastAsia="宋体" w:cs="宋体"/>
          <w:sz w:val="21"/>
          <w:szCs w:val="21"/>
          <w:u w:val="single" w:color="auto"/>
        </w:rPr>
        <w:t xml:space="preserve">        </w:t>
      </w:r>
      <w:r>
        <w:rPr>
          <w:rFonts w:ascii="宋体" w:hAnsi="宋体" w:eastAsia="宋体" w:cs="宋体"/>
          <w:spacing w:val="-95"/>
          <w:sz w:val="21"/>
          <w:szCs w:val="21"/>
        </w:rPr>
        <w:t xml:space="preserve"> </w:t>
      </w:r>
      <w:r>
        <w:rPr>
          <w:rFonts w:ascii="宋体" w:hAnsi="宋体" w:eastAsia="宋体" w:cs="宋体"/>
          <w:spacing w:val="-6"/>
          <w:sz w:val="21"/>
          <w:szCs w:val="21"/>
        </w:rPr>
        <w:t xml:space="preserve">招标人代表： </w:t>
      </w:r>
      <w:r>
        <w:rPr>
          <w:rFonts w:ascii="宋体" w:hAnsi="宋体" w:eastAsia="宋体" w:cs="宋体"/>
          <w:spacing w:val="-6"/>
          <w:sz w:val="21"/>
          <w:szCs w:val="21"/>
          <w:u w:val="single" w:color="auto"/>
        </w:rPr>
        <w:t xml:space="preserve">      </w:t>
      </w:r>
      <w:r>
        <w:rPr>
          <w:rFonts w:ascii="宋体" w:hAnsi="宋体" w:eastAsia="宋体" w:cs="宋体"/>
          <w:spacing w:val="-96"/>
          <w:sz w:val="21"/>
          <w:szCs w:val="21"/>
        </w:rPr>
        <w:t xml:space="preserve"> </w:t>
      </w:r>
      <w:r>
        <w:rPr>
          <w:rFonts w:ascii="宋体" w:hAnsi="宋体" w:eastAsia="宋体" w:cs="宋体"/>
          <w:spacing w:val="-6"/>
          <w:sz w:val="21"/>
          <w:szCs w:val="21"/>
        </w:rPr>
        <w:t>监标</w:t>
      </w:r>
      <w:r>
        <w:rPr>
          <w:rFonts w:ascii="宋体" w:hAnsi="宋体" w:eastAsia="宋体" w:cs="宋体"/>
          <w:spacing w:val="-7"/>
          <w:sz w:val="21"/>
          <w:szCs w:val="21"/>
        </w:rPr>
        <w:t>人：</w:t>
      </w:r>
      <w:r>
        <w:rPr>
          <w:rFonts w:ascii="宋体" w:hAnsi="宋体" w:eastAsia="宋体" w:cs="宋体"/>
          <w:spacing w:val="-7"/>
          <w:sz w:val="21"/>
          <w:szCs w:val="21"/>
          <w:u w:val="single" w:color="auto"/>
        </w:rPr>
        <w:t xml:space="preserve">                 </w:t>
      </w:r>
    </w:p>
    <w:p w14:paraId="7A21A813">
      <w:pPr>
        <w:spacing w:line="221" w:lineRule="auto"/>
        <w:rPr>
          <w:rFonts w:ascii="宋体" w:hAnsi="宋体" w:eastAsia="宋体" w:cs="宋体"/>
          <w:sz w:val="21"/>
          <w:szCs w:val="21"/>
        </w:rPr>
        <w:sectPr>
          <w:footerReference r:id="rId37" w:type="default"/>
          <w:pgSz w:w="16839" w:h="11905"/>
          <w:pgMar w:top="1011" w:right="1320" w:bottom="1034" w:left="1440" w:header="0" w:footer="832" w:gutter="0"/>
          <w:pgNumType w:fmt="decimal"/>
          <w:cols w:space="720" w:num="1"/>
        </w:sectPr>
      </w:pPr>
    </w:p>
    <w:p w14:paraId="2926F331">
      <w:pPr>
        <w:spacing w:before="306" w:line="219" w:lineRule="auto"/>
        <w:ind w:left="32"/>
        <w:rPr>
          <w:rFonts w:ascii="黑体" w:hAnsi="黑体" w:eastAsia="黑体" w:cs="黑体"/>
          <w:sz w:val="24"/>
          <w:szCs w:val="24"/>
        </w:rPr>
      </w:pPr>
      <w:r>
        <w:rPr>
          <w:rFonts w:ascii="黑体" w:hAnsi="黑体" w:eastAsia="黑体" w:cs="黑体"/>
          <w:spacing w:val="-2"/>
          <w:sz w:val="24"/>
          <w:szCs w:val="24"/>
        </w:rPr>
        <w:t>附表六：投标文件问题澄清通知</w:t>
      </w:r>
    </w:p>
    <w:p w14:paraId="73188B4B">
      <w:pPr>
        <w:pStyle w:val="3"/>
        <w:spacing w:line="315" w:lineRule="auto"/>
      </w:pPr>
    </w:p>
    <w:p w14:paraId="589513F3">
      <w:pPr>
        <w:pStyle w:val="3"/>
        <w:spacing w:line="316" w:lineRule="auto"/>
      </w:pPr>
    </w:p>
    <w:p w14:paraId="26241464">
      <w:pPr>
        <w:pStyle w:val="3"/>
        <w:spacing w:line="316" w:lineRule="auto"/>
      </w:pPr>
    </w:p>
    <w:p w14:paraId="73C2B270">
      <w:pPr>
        <w:spacing w:before="88" w:line="225" w:lineRule="auto"/>
        <w:ind w:left="2775"/>
        <w:rPr>
          <w:rFonts w:ascii="黑体" w:hAnsi="黑体" w:eastAsia="黑体" w:cs="黑体"/>
          <w:sz w:val="27"/>
          <w:szCs w:val="27"/>
        </w:rPr>
      </w:pPr>
      <w:r>
        <w:rPr>
          <w:rFonts w:ascii="黑体" w:hAnsi="黑体" w:eastAsia="黑体" w:cs="黑体"/>
          <w:spacing w:val="8"/>
          <w:sz w:val="27"/>
          <w:szCs w:val="27"/>
        </w:rPr>
        <w:t>投标文件问题澄清通知</w:t>
      </w:r>
    </w:p>
    <w:p w14:paraId="778CA754">
      <w:pPr>
        <w:pStyle w:val="3"/>
        <w:spacing w:line="297" w:lineRule="auto"/>
      </w:pPr>
    </w:p>
    <w:p w14:paraId="1CCA44DE">
      <w:pPr>
        <w:spacing w:before="68" w:line="221" w:lineRule="auto"/>
        <w:ind w:left="5379"/>
        <w:rPr>
          <w:rFonts w:ascii="宋体" w:hAnsi="宋体" w:eastAsia="宋体" w:cs="宋体"/>
          <w:sz w:val="21"/>
          <w:szCs w:val="21"/>
        </w:rPr>
      </w:pPr>
      <w:r>
        <w:rPr>
          <w:rFonts w:ascii="宋体" w:hAnsi="宋体" w:eastAsia="宋体" w:cs="宋体"/>
          <w:spacing w:val="-32"/>
          <w:w w:val="98"/>
          <w:sz w:val="21"/>
          <w:szCs w:val="21"/>
        </w:rPr>
        <w:t>编号：</w:t>
      </w:r>
      <w:r>
        <w:rPr>
          <w:rFonts w:ascii="宋体" w:hAnsi="宋体" w:eastAsia="宋体" w:cs="宋体"/>
          <w:spacing w:val="-4"/>
          <w:sz w:val="21"/>
          <w:szCs w:val="21"/>
        </w:rPr>
        <w:t xml:space="preserve"> </w:t>
      </w:r>
      <w:r>
        <w:rPr>
          <w:rFonts w:ascii="宋体" w:hAnsi="宋体" w:eastAsia="宋体" w:cs="宋体"/>
          <w:sz w:val="21"/>
          <w:szCs w:val="21"/>
          <w:u w:val="single" w:color="auto"/>
        </w:rPr>
        <w:t xml:space="preserve">         </w:t>
      </w:r>
    </w:p>
    <w:p w14:paraId="0A015587">
      <w:pPr>
        <w:tabs>
          <w:tab w:val="left" w:pos="1901"/>
        </w:tabs>
        <w:spacing w:before="215" w:line="221" w:lineRule="auto"/>
        <w:ind w:left="10"/>
        <w:rPr>
          <w:rFonts w:ascii="宋体" w:hAnsi="宋体" w:eastAsia="宋体" w:cs="宋体"/>
          <w:sz w:val="21"/>
          <w:szCs w:val="21"/>
        </w:rPr>
      </w:pPr>
      <w:r>
        <w:rPr>
          <w:rFonts w:ascii="宋体" w:hAnsi="宋体" w:eastAsia="宋体" w:cs="宋体"/>
          <w:sz w:val="21"/>
          <w:szCs w:val="21"/>
          <w:u w:val="single" w:color="auto"/>
        </w:rPr>
        <w:tab/>
      </w:r>
      <w:r>
        <w:rPr>
          <w:rFonts w:ascii="宋体" w:hAnsi="宋体" w:eastAsia="宋体" w:cs="宋体"/>
          <w:spacing w:val="15"/>
          <w:sz w:val="21"/>
          <w:szCs w:val="21"/>
        </w:rPr>
        <w:t xml:space="preserve"> </w:t>
      </w:r>
      <w:r>
        <w:rPr>
          <w:rFonts w:ascii="宋体" w:hAnsi="宋体" w:eastAsia="宋体" w:cs="宋体"/>
          <w:spacing w:val="-23"/>
          <w:w w:val="95"/>
          <w:sz w:val="21"/>
          <w:szCs w:val="21"/>
        </w:rPr>
        <w:t>（投标人名称</w:t>
      </w:r>
      <w:r>
        <w:rPr>
          <w:rFonts w:ascii="宋体" w:hAnsi="宋体" w:eastAsia="宋体" w:cs="宋体"/>
          <w:spacing w:val="-18"/>
          <w:sz w:val="21"/>
          <w:szCs w:val="21"/>
        </w:rPr>
        <w:t>）：</w:t>
      </w:r>
    </w:p>
    <w:p w14:paraId="668230CC">
      <w:pPr>
        <w:pStyle w:val="3"/>
        <w:spacing w:line="318" w:lineRule="auto"/>
      </w:pPr>
    </w:p>
    <w:p w14:paraId="73B1E1CF">
      <w:pPr>
        <w:pStyle w:val="3"/>
        <w:spacing w:line="318" w:lineRule="auto"/>
      </w:pPr>
    </w:p>
    <w:p w14:paraId="2684F2B3">
      <w:pPr>
        <w:tabs>
          <w:tab w:val="left" w:pos="1378"/>
        </w:tabs>
        <w:spacing w:before="68" w:line="422" w:lineRule="auto"/>
        <w:ind w:left="23" w:firstLine="510"/>
        <w:jc w:val="both"/>
        <w:rPr>
          <w:rFonts w:ascii="宋体" w:hAnsi="宋体" w:eastAsia="宋体" w:cs="宋体"/>
          <w:sz w:val="21"/>
          <w:szCs w:val="21"/>
        </w:rPr>
      </w:pPr>
      <w:r>
        <w:rPr>
          <w:rFonts w:ascii="宋体" w:hAnsi="宋体" w:eastAsia="宋体" w:cs="宋体"/>
          <w:sz w:val="21"/>
          <w:szCs w:val="21"/>
          <w:u w:val="single" w:color="auto"/>
        </w:rPr>
        <w:tab/>
      </w:r>
      <w:r>
        <w:rPr>
          <w:rFonts w:ascii="宋体" w:hAnsi="宋体" w:eastAsia="宋体" w:cs="宋体"/>
          <w:spacing w:val="-6"/>
          <w:sz w:val="21"/>
          <w:szCs w:val="21"/>
        </w:rPr>
        <w:t>（标段名称）项目（标段唯一标识码</w:t>
      </w:r>
      <w:r>
        <w:rPr>
          <w:rFonts w:ascii="宋体" w:hAnsi="宋体" w:eastAsia="宋体" w:cs="宋体"/>
          <w:spacing w:val="1"/>
          <w:sz w:val="21"/>
          <w:szCs w:val="21"/>
        </w:rPr>
        <w:t>：</w:t>
      </w:r>
      <w:r>
        <w:rPr>
          <w:rFonts w:ascii="宋体" w:hAnsi="宋体" w:eastAsia="宋体" w:cs="宋体"/>
          <w:spacing w:val="8"/>
          <w:sz w:val="21"/>
          <w:szCs w:val="21"/>
        </w:rPr>
        <w:t xml:space="preserve"> </w:t>
      </w:r>
      <w:r>
        <w:rPr>
          <w:rFonts w:ascii="宋体" w:hAnsi="宋体" w:eastAsia="宋体" w:cs="宋体"/>
          <w:spacing w:val="11"/>
          <w:sz w:val="21"/>
          <w:szCs w:val="21"/>
          <w:u w:val="single" w:color="auto"/>
        </w:rPr>
        <w:t xml:space="preserve">     </w:t>
      </w:r>
      <w:r>
        <w:rPr>
          <w:rFonts w:ascii="宋体" w:hAnsi="宋体" w:eastAsia="宋体" w:cs="宋体"/>
          <w:spacing w:val="-6"/>
          <w:sz w:val="21"/>
          <w:szCs w:val="21"/>
        </w:rPr>
        <w:t xml:space="preserve"> </w:t>
      </w:r>
      <w:r>
        <w:rPr>
          <w:rFonts w:ascii="宋体" w:hAnsi="宋体" w:eastAsia="宋体" w:cs="宋体"/>
          <w:spacing w:val="1"/>
          <w:sz w:val="21"/>
          <w:szCs w:val="21"/>
        </w:rPr>
        <w:t>）</w:t>
      </w:r>
      <w:r>
        <w:rPr>
          <w:rFonts w:ascii="宋体" w:hAnsi="宋体" w:eastAsia="宋体" w:cs="宋体"/>
          <w:spacing w:val="-6"/>
          <w:sz w:val="21"/>
          <w:szCs w:val="21"/>
        </w:rPr>
        <w:t xml:space="preserve">招标的评标委员会，对你方  </w:t>
      </w:r>
      <w:r>
        <w:rPr>
          <w:rFonts w:ascii="宋体" w:hAnsi="宋体" w:eastAsia="宋体" w:cs="宋体"/>
          <w:spacing w:val="2"/>
          <w:sz w:val="21"/>
          <w:szCs w:val="21"/>
        </w:rPr>
        <w:t>的投标文件进行了仔细的审查，现需你方对下</w:t>
      </w:r>
      <w:r>
        <w:rPr>
          <w:rFonts w:ascii="宋体" w:hAnsi="宋体" w:eastAsia="宋体" w:cs="宋体"/>
          <w:spacing w:val="1"/>
          <w:sz w:val="21"/>
          <w:szCs w:val="21"/>
        </w:rPr>
        <w:t>列问题以书面形式予以澄清、说明或者补正，</w:t>
      </w:r>
      <w:r>
        <w:rPr>
          <w:rFonts w:ascii="宋体" w:hAnsi="宋体" w:eastAsia="宋体" w:cs="宋体"/>
          <w:sz w:val="21"/>
          <w:szCs w:val="21"/>
        </w:rPr>
        <w:t xml:space="preserve"> </w:t>
      </w:r>
      <w:r>
        <w:rPr>
          <w:rFonts w:ascii="宋体" w:hAnsi="宋体" w:eastAsia="宋体" w:cs="宋体"/>
          <w:spacing w:val="-2"/>
          <w:sz w:val="21"/>
          <w:szCs w:val="21"/>
        </w:rPr>
        <w:t>并将投标文件的澄清、说明或者补正于</w:t>
      </w:r>
      <w:r>
        <w:rPr>
          <w:rFonts w:ascii="宋体" w:hAnsi="宋体" w:eastAsia="宋体" w:cs="宋体"/>
          <w:spacing w:val="-2"/>
          <w:sz w:val="21"/>
          <w:szCs w:val="21"/>
          <w:u w:val="single" w:color="auto"/>
        </w:rPr>
        <w:t xml:space="preserve">   </w:t>
      </w:r>
      <w:r>
        <w:rPr>
          <w:rFonts w:ascii="宋体" w:hAnsi="宋体" w:eastAsia="宋体" w:cs="宋体"/>
          <w:spacing w:val="-80"/>
          <w:sz w:val="21"/>
          <w:szCs w:val="21"/>
        </w:rPr>
        <w:t xml:space="preserve"> </w:t>
      </w:r>
      <w:r>
        <w:rPr>
          <w:rFonts w:ascii="宋体" w:hAnsi="宋体" w:eastAsia="宋体" w:cs="宋体"/>
          <w:spacing w:val="-2"/>
          <w:sz w:val="21"/>
          <w:szCs w:val="21"/>
        </w:rPr>
        <w:t>年</w:t>
      </w:r>
      <w:r>
        <w:rPr>
          <w:rFonts w:ascii="宋体" w:hAnsi="宋体" w:eastAsia="宋体" w:cs="宋体"/>
          <w:spacing w:val="15"/>
          <w:sz w:val="21"/>
          <w:szCs w:val="21"/>
          <w:u w:val="single" w:color="auto"/>
        </w:rPr>
        <w:t xml:space="preserve">   </w:t>
      </w:r>
      <w:r>
        <w:rPr>
          <w:rFonts w:ascii="宋体" w:hAnsi="宋体" w:eastAsia="宋体" w:cs="宋体"/>
          <w:spacing w:val="-92"/>
          <w:sz w:val="21"/>
          <w:szCs w:val="21"/>
        </w:rPr>
        <w:t xml:space="preserve"> </w:t>
      </w:r>
      <w:r>
        <w:rPr>
          <w:rFonts w:ascii="宋体" w:hAnsi="宋体" w:eastAsia="宋体" w:cs="宋体"/>
          <w:spacing w:val="-2"/>
          <w:sz w:val="21"/>
          <w:szCs w:val="21"/>
        </w:rPr>
        <w:t>月</w:t>
      </w:r>
      <w:r>
        <w:rPr>
          <w:rFonts w:ascii="宋体" w:hAnsi="宋体" w:eastAsia="宋体" w:cs="宋体"/>
          <w:spacing w:val="15"/>
          <w:sz w:val="21"/>
          <w:szCs w:val="21"/>
          <w:u w:val="single" w:color="auto"/>
        </w:rPr>
        <w:t xml:space="preserve">   </w:t>
      </w:r>
      <w:r>
        <w:rPr>
          <w:rFonts w:ascii="宋体" w:hAnsi="宋体" w:eastAsia="宋体" w:cs="宋体"/>
          <w:spacing w:val="-60"/>
          <w:sz w:val="21"/>
          <w:szCs w:val="21"/>
        </w:rPr>
        <w:t xml:space="preserve"> </w:t>
      </w:r>
      <w:r>
        <w:rPr>
          <w:rFonts w:ascii="宋体" w:hAnsi="宋体" w:eastAsia="宋体" w:cs="宋体"/>
          <w:spacing w:val="-2"/>
          <w:sz w:val="21"/>
          <w:szCs w:val="21"/>
        </w:rPr>
        <w:t>日</w:t>
      </w:r>
      <w:r>
        <w:rPr>
          <w:rFonts w:ascii="宋体" w:hAnsi="宋体" w:eastAsia="宋体" w:cs="宋体"/>
          <w:spacing w:val="62"/>
          <w:sz w:val="21"/>
          <w:szCs w:val="21"/>
          <w:u w:val="single" w:color="auto"/>
        </w:rPr>
        <w:t xml:space="preserve"> </w:t>
      </w:r>
      <w:r>
        <w:rPr>
          <w:rFonts w:ascii="宋体" w:hAnsi="宋体" w:eastAsia="宋体" w:cs="宋体"/>
          <w:spacing w:val="-2"/>
          <w:sz w:val="21"/>
          <w:szCs w:val="21"/>
        </w:rPr>
        <w:t>时</w:t>
      </w:r>
      <w:r>
        <w:rPr>
          <w:rFonts w:ascii="宋体" w:hAnsi="宋体" w:eastAsia="宋体" w:cs="宋体"/>
          <w:spacing w:val="-105"/>
          <w:sz w:val="21"/>
          <w:szCs w:val="21"/>
        </w:rPr>
        <w:t xml:space="preserve"> </w:t>
      </w:r>
      <w:r>
        <w:rPr>
          <w:rFonts w:ascii="宋体" w:hAnsi="宋体" w:eastAsia="宋体" w:cs="宋体"/>
          <w:spacing w:val="15"/>
          <w:sz w:val="21"/>
          <w:szCs w:val="21"/>
          <w:u w:val="single" w:color="auto"/>
        </w:rPr>
        <w:t xml:space="preserve">   </w:t>
      </w:r>
      <w:r>
        <w:rPr>
          <w:rFonts w:ascii="宋体" w:hAnsi="宋体" w:eastAsia="宋体" w:cs="宋体"/>
          <w:spacing w:val="-94"/>
          <w:sz w:val="21"/>
          <w:szCs w:val="21"/>
        </w:rPr>
        <w:t xml:space="preserve"> </w:t>
      </w:r>
      <w:r>
        <w:rPr>
          <w:rFonts w:ascii="宋体" w:hAnsi="宋体" w:eastAsia="宋体" w:cs="宋体"/>
          <w:spacing w:val="-2"/>
          <w:sz w:val="21"/>
          <w:szCs w:val="21"/>
        </w:rPr>
        <w:t>分前，通过电子招标投标</w:t>
      </w:r>
    </w:p>
    <w:p w14:paraId="05D1E5B6">
      <w:pPr>
        <w:spacing w:before="1" w:line="219" w:lineRule="auto"/>
        <w:ind w:left="22"/>
        <w:rPr>
          <w:rFonts w:ascii="宋体" w:hAnsi="宋体" w:eastAsia="宋体" w:cs="宋体"/>
          <w:sz w:val="21"/>
          <w:szCs w:val="21"/>
        </w:rPr>
      </w:pPr>
      <w:r>
        <w:rPr>
          <w:rFonts w:ascii="宋体" w:hAnsi="宋体" w:eastAsia="宋体" w:cs="宋体"/>
          <w:spacing w:val="-1"/>
          <w:sz w:val="21"/>
          <w:szCs w:val="21"/>
        </w:rPr>
        <w:t>系统（辽宁省工程建设项目数字化开标评标系统）提交给本评标委员会。</w:t>
      </w:r>
    </w:p>
    <w:p w14:paraId="50F8A8A2">
      <w:pPr>
        <w:spacing w:before="196" w:line="237" w:lineRule="auto"/>
        <w:ind w:left="457"/>
        <w:rPr>
          <w:rFonts w:ascii="宋体" w:hAnsi="宋体" w:eastAsia="宋体" w:cs="宋体"/>
          <w:sz w:val="21"/>
          <w:szCs w:val="21"/>
        </w:rPr>
      </w:pPr>
      <w:r>
        <w:rPr>
          <w:rFonts w:ascii="Times New Roman" w:hAnsi="Times New Roman" w:eastAsia="Times New Roman" w:cs="Times New Roman"/>
          <w:spacing w:val="-6"/>
          <w:sz w:val="21"/>
          <w:szCs w:val="21"/>
        </w:rPr>
        <w:t>1.</w:t>
      </w:r>
      <w:r>
        <w:rPr>
          <w:rFonts w:ascii="宋体" w:hAnsi="宋体" w:eastAsia="宋体" w:cs="宋体"/>
          <w:spacing w:val="-6"/>
          <w:sz w:val="21"/>
          <w:szCs w:val="21"/>
        </w:rPr>
        <w:t>……</w:t>
      </w:r>
    </w:p>
    <w:p w14:paraId="5CCB206D">
      <w:pPr>
        <w:spacing w:before="172" w:line="442" w:lineRule="exact"/>
        <w:ind w:left="437"/>
        <w:rPr>
          <w:rFonts w:ascii="宋体" w:hAnsi="宋体" w:eastAsia="宋体" w:cs="宋体"/>
          <w:sz w:val="21"/>
          <w:szCs w:val="21"/>
        </w:rPr>
      </w:pPr>
      <w:r>
        <w:rPr>
          <w:rFonts w:ascii="Times New Roman" w:hAnsi="Times New Roman" w:eastAsia="Times New Roman" w:cs="Times New Roman"/>
          <w:spacing w:val="-1"/>
          <w:position w:val="18"/>
          <w:sz w:val="21"/>
          <w:szCs w:val="21"/>
        </w:rPr>
        <w:t>2.</w:t>
      </w:r>
      <w:r>
        <w:rPr>
          <w:rFonts w:ascii="宋体" w:hAnsi="宋体" w:eastAsia="宋体" w:cs="宋体"/>
          <w:spacing w:val="-1"/>
          <w:position w:val="18"/>
          <w:sz w:val="21"/>
          <w:szCs w:val="21"/>
        </w:rPr>
        <w:t>……</w:t>
      </w:r>
    </w:p>
    <w:p w14:paraId="2C58494C">
      <w:pPr>
        <w:spacing w:line="332" w:lineRule="exact"/>
        <w:ind w:left="243"/>
        <w:rPr>
          <w:rFonts w:ascii="宋体" w:hAnsi="宋体" w:eastAsia="宋体" w:cs="宋体"/>
          <w:sz w:val="21"/>
          <w:szCs w:val="21"/>
        </w:rPr>
      </w:pPr>
      <w:r>
        <w:rPr>
          <w:rFonts w:ascii="宋体" w:hAnsi="宋体" w:eastAsia="宋体" w:cs="宋体"/>
          <w:spacing w:val="-5"/>
          <w:position w:val="2"/>
          <w:sz w:val="21"/>
          <w:szCs w:val="21"/>
        </w:rPr>
        <w:t>……</w:t>
      </w:r>
    </w:p>
    <w:p w14:paraId="1BD1BB04">
      <w:pPr>
        <w:pStyle w:val="3"/>
        <w:spacing w:line="273" w:lineRule="auto"/>
      </w:pPr>
    </w:p>
    <w:p w14:paraId="72E265A9">
      <w:pPr>
        <w:pStyle w:val="3"/>
        <w:spacing w:line="273" w:lineRule="auto"/>
      </w:pPr>
    </w:p>
    <w:p w14:paraId="6D144691">
      <w:pPr>
        <w:tabs>
          <w:tab w:val="left" w:pos="4005"/>
        </w:tabs>
        <w:spacing w:before="69" w:line="220" w:lineRule="auto"/>
        <w:ind w:left="2742"/>
        <w:rPr>
          <w:rFonts w:ascii="宋体" w:hAnsi="宋体" w:eastAsia="宋体" w:cs="宋体"/>
          <w:sz w:val="21"/>
          <w:szCs w:val="21"/>
        </w:rPr>
      </w:pPr>
      <w:r>
        <w:rPr>
          <w:rFonts w:ascii="宋体" w:hAnsi="宋体" w:eastAsia="宋体" w:cs="宋体"/>
          <w:sz w:val="21"/>
          <w:szCs w:val="21"/>
          <w:u w:val="single" w:color="auto"/>
        </w:rPr>
        <w:tab/>
      </w:r>
      <w:r>
        <w:rPr>
          <w:rFonts w:ascii="宋体" w:hAnsi="宋体" w:eastAsia="宋体" w:cs="宋体"/>
          <w:spacing w:val="-15"/>
          <w:sz w:val="21"/>
          <w:szCs w:val="21"/>
        </w:rPr>
        <w:t xml:space="preserve"> </w:t>
      </w:r>
      <w:r>
        <w:rPr>
          <w:rFonts w:ascii="宋体" w:hAnsi="宋体" w:eastAsia="宋体" w:cs="宋体"/>
          <w:spacing w:val="-12"/>
          <w:sz w:val="21"/>
          <w:szCs w:val="21"/>
        </w:rPr>
        <w:t>（标段名称） 项目招标评标委员会</w:t>
      </w:r>
    </w:p>
    <w:p w14:paraId="0EE46751">
      <w:pPr>
        <w:pStyle w:val="3"/>
        <w:spacing w:line="278" w:lineRule="auto"/>
      </w:pPr>
    </w:p>
    <w:p w14:paraId="6DFAF820">
      <w:pPr>
        <w:pStyle w:val="3"/>
        <w:spacing w:line="278" w:lineRule="auto"/>
      </w:pPr>
    </w:p>
    <w:p w14:paraId="08CF9CC6">
      <w:pPr>
        <w:pStyle w:val="3"/>
        <w:spacing w:line="279" w:lineRule="auto"/>
      </w:pPr>
    </w:p>
    <w:p w14:paraId="4044A634">
      <w:pPr>
        <w:pStyle w:val="3"/>
        <w:spacing w:line="279" w:lineRule="auto"/>
      </w:pPr>
    </w:p>
    <w:p w14:paraId="7E262984">
      <w:pPr>
        <w:tabs>
          <w:tab w:val="left" w:pos="5997"/>
        </w:tabs>
        <w:spacing w:before="69" w:line="221" w:lineRule="auto"/>
        <w:ind w:left="5575"/>
        <w:rPr>
          <w:rFonts w:ascii="宋体" w:hAnsi="宋体" w:eastAsia="宋体" w:cs="宋体"/>
          <w:sz w:val="21"/>
          <w:szCs w:val="21"/>
        </w:rPr>
      </w:pPr>
      <w:r>
        <w:rPr>
          <w:rFonts w:ascii="宋体" w:hAnsi="宋体" w:eastAsia="宋体" w:cs="宋体"/>
          <w:sz w:val="21"/>
          <w:szCs w:val="21"/>
          <w:u w:val="single" w:color="auto"/>
        </w:rPr>
        <w:tab/>
      </w:r>
      <w:r>
        <w:rPr>
          <w:rFonts w:ascii="宋体" w:hAnsi="宋体" w:eastAsia="宋体" w:cs="宋体"/>
          <w:spacing w:val="-95"/>
          <w:sz w:val="21"/>
          <w:szCs w:val="21"/>
        </w:rPr>
        <w:t xml:space="preserve"> </w:t>
      </w:r>
      <w:r>
        <w:rPr>
          <w:rFonts w:ascii="宋体" w:hAnsi="宋体" w:eastAsia="宋体" w:cs="宋体"/>
          <w:spacing w:val="-7"/>
          <w:sz w:val="21"/>
          <w:szCs w:val="21"/>
        </w:rPr>
        <w:t>年</w:t>
      </w:r>
      <w:r>
        <w:rPr>
          <w:rFonts w:ascii="宋体" w:hAnsi="宋体" w:eastAsia="宋体" w:cs="宋体"/>
          <w:spacing w:val="-105"/>
          <w:sz w:val="21"/>
          <w:szCs w:val="21"/>
        </w:rPr>
        <w:t xml:space="preserve"> </w:t>
      </w:r>
      <w:r>
        <w:rPr>
          <w:rFonts w:ascii="宋体" w:hAnsi="宋体" w:eastAsia="宋体" w:cs="宋体"/>
          <w:spacing w:val="18"/>
          <w:sz w:val="21"/>
          <w:szCs w:val="21"/>
          <w:u w:val="single" w:color="auto"/>
        </w:rPr>
        <w:t xml:space="preserve">   </w:t>
      </w:r>
      <w:r>
        <w:rPr>
          <w:rFonts w:ascii="宋体" w:hAnsi="宋体" w:eastAsia="宋体" w:cs="宋体"/>
          <w:spacing w:val="-91"/>
          <w:sz w:val="21"/>
          <w:szCs w:val="21"/>
        </w:rPr>
        <w:t xml:space="preserve"> </w:t>
      </w:r>
      <w:r>
        <w:rPr>
          <w:rFonts w:ascii="宋体" w:hAnsi="宋体" w:eastAsia="宋体" w:cs="宋体"/>
          <w:spacing w:val="-7"/>
          <w:sz w:val="21"/>
          <w:szCs w:val="21"/>
        </w:rPr>
        <w:t>月</w:t>
      </w:r>
      <w:r>
        <w:rPr>
          <w:rFonts w:ascii="宋体" w:hAnsi="宋体" w:eastAsia="宋体" w:cs="宋体"/>
          <w:spacing w:val="16"/>
          <w:sz w:val="21"/>
          <w:szCs w:val="21"/>
          <w:u w:val="single" w:color="auto"/>
        </w:rPr>
        <w:t xml:space="preserve">   </w:t>
      </w:r>
      <w:r>
        <w:rPr>
          <w:rFonts w:ascii="宋体" w:hAnsi="宋体" w:eastAsia="宋体" w:cs="宋体"/>
          <w:spacing w:val="-59"/>
          <w:sz w:val="21"/>
          <w:szCs w:val="21"/>
        </w:rPr>
        <w:t xml:space="preserve"> </w:t>
      </w:r>
      <w:r>
        <w:rPr>
          <w:rFonts w:ascii="宋体" w:hAnsi="宋体" w:eastAsia="宋体" w:cs="宋体"/>
          <w:spacing w:val="-7"/>
          <w:sz w:val="21"/>
          <w:szCs w:val="21"/>
        </w:rPr>
        <w:t>日</w:t>
      </w:r>
    </w:p>
    <w:p w14:paraId="63044E17">
      <w:pPr>
        <w:spacing w:line="221" w:lineRule="auto"/>
        <w:rPr>
          <w:rFonts w:ascii="宋体" w:hAnsi="宋体" w:eastAsia="宋体" w:cs="宋体"/>
          <w:sz w:val="21"/>
          <w:szCs w:val="21"/>
        </w:rPr>
        <w:sectPr>
          <w:footerReference r:id="rId38" w:type="default"/>
          <w:pgSz w:w="11905" w:h="16839"/>
          <w:pgMar w:top="1431" w:right="1633" w:bottom="996" w:left="1785" w:header="0" w:footer="791" w:gutter="0"/>
          <w:pgNumType w:fmt="decimal"/>
          <w:cols w:space="720" w:num="1"/>
        </w:sectPr>
      </w:pPr>
    </w:p>
    <w:p w14:paraId="23C7C3A9">
      <w:pPr>
        <w:spacing w:before="47" w:line="219" w:lineRule="auto"/>
        <w:ind w:left="32"/>
        <w:rPr>
          <w:rFonts w:ascii="黑体" w:hAnsi="黑体" w:eastAsia="黑体" w:cs="黑体"/>
          <w:sz w:val="24"/>
          <w:szCs w:val="24"/>
        </w:rPr>
      </w:pPr>
      <w:r>
        <w:rPr>
          <w:rFonts w:ascii="黑体" w:hAnsi="黑体" w:eastAsia="黑体" w:cs="黑体"/>
          <w:spacing w:val="-2"/>
          <w:sz w:val="24"/>
          <w:szCs w:val="24"/>
        </w:rPr>
        <w:t>附表七：投标文件问题的澄清</w:t>
      </w:r>
    </w:p>
    <w:p w14:paraId="54843026">
      <w:pPr>
        <w:pStyle w:val="3"/>
        <w:spacing w:line="249" w:lineRule="auto"/>
      </w:pPr>
    </w:p>
    <w:p w14:paraId="505BF219">
      <w:pPr>
        <w:pStyle w:val="3"/>
        <w:spacing w:line="249" w:lineRule="auto"/>
      </w:pPr>
    </w:p>
    <w:p w14:paraId="5C49E07D">
      <w:pPr>
        <w:pStyle w:val="3"/>
        <w:spacing w:line="250" w:lineRule="auto"/>
      </w:pPr>
    </w:p>
    <w:p w14:paraId="42F31A74">
      <w:pPr>
        <w:pStyle w:val="3"/>
        <w:spacing w:line="250" w:lineRule="auto"/>
      </w:pPr>
    </w:p>
    <w:p w14:paraId="75353658">
      <w:pPr>
        <w:pStyle w:val="3"/>
        <w:spacing w:line="250" w:lineRule="auto"/>
      </w:pPr>
    </w:p>
    <w:p w14:paraId="557C58AF">
      <w:pPr>
        <w:spacing w:before="88" w:line="224" w:lineRule="auto"/>
        <w:ind w:left="2074"/>
        <w:rPr>
          <w:rFonts w:ascii="黑体" w:hAnsi="黑体" w:eastAsia="黑体" w:cs="黑体"/>
          <w:sz w:val="27"/>
          <w:szCs w:val="27"/>
        </w:rPr>
      </w:pPr>
      <w:r>
        <w:rPr>
          <w:rFonts w:ascii="黑体" w:hAnsi="黑体" w:eastAsia="黑体" w:cs="黑体"/>
          <w:spacing w:val="9"/>
          <w:sz w:val="27"/>
          <w:szCs w:val="27"/>
        </w:rPr>
        <w:t>投标文件问题的澄清、说明或补正</w:t>
      </w:r>
    </w:p>
    <w:p w14:paraId="6ECDC100">
      <w:pPr>
        <w:pStyle w:val="3"/>
        <w:spacing w:line="317" w:lineRule="auto"/>
      </w:pPr>
    </w:p>
    <w:p w14:paraId="3E434E20">
      <w:pPr>
        <w:spacing w:before="68" w:line="221" w:lineRule="auto"/>
        <w:ind w:left="5379"/>
        <w:rPr>
          <w:rFonts w:ascii="宋体" w:hAnsi="宋体" w:eastAsia="宋体" w:cs="宋体"/>
          <w:sz w:val="21"/>
          <w:szCs w:val="21"/>
        </w:rPr>
      </w:pPr>
      <w:r>
        <w:rPr>
          <w:rFonts w:ascii="宋体" w:hAnsi="宋体" w:eastAsia="宋体" w:cs="宋体"/>
          <w:spacing w:val="-32"/>
          <w:w w:val="98"/>
          <w:sz w:val="21"/>
          <w:szCs w:val="21"/>
        </w:rPr>
        <w:t>编号：</w:t>
      </w:r>
      <w:r>
        <w:rPr>
          <w:rFonts w:ascii="宋体" w:hAnsi="宋体" w:eastAsia="宋体" w:cs="宋体"/>
          <w:spacing w:val="-4"/>
          <w:sz w:val="21"/>
          <w:szCs w:val="21"/>
        </w:rPr>
        <w:t xml:space="preserve"> </w:t>
      </w:r>
      <w:r>
        <w:rPr>
          <w:rFonts w:ascii="宋体" w:hAnsi="宋体" w:eastAsia="宋体" w:cs="宋体"/>
          <w:sz w:val="21"/>
          <w:szCs w:val="21"/>
          <w:u w:val="single" w:color="auto"/>
        </w:rPr>
        <w:t xml:space="preserve">         </w:t>
      </w:r>
    </w:p>
    <w:p w14:paraId="2A06A2A9">
      <w:pPr>
        <w:tabs>
          <w:tab w:val="left" w:pos="960"/>
        </w:tabs>
        <w:spacing w:before="210" w:line="220" w:lineRule="auto"/>
        <w:ind w:left="116"/>
        <w:rPr>
          <w:rFonts w:ascii="宋体" w:hAnsi="宋体" w:eastAsia="宋体" w:cs="宋体"/>
          <w:sz w:val="21"/>
          <w:szCs w:val="21"/>
        </w:rPr>
      </w:pPr>
      <w:r>
        <w:rPr>
          <w:rFonts w:ascii="宋体" w:hAnsi="宋体" w:eastAsia="宋体" w:cs="宋体"/>
          <w:sz w:val="21"/>
          <w:szCs w:val="21"/>
          <w:u w:val="single" w:color="auto"/>
        </w:rPr>
        <w:tab/>
      </w:r>
      <w:r>
        <w:rPr>
          <w:rFonts w:ascii="宋体" w:hAnsi="宋体" w:eastAsia="宋体" w:cs="宋体"/>
          <w:spacing w:val="-2"/>
          <w:sz w:val="21"/>
          <w:szCs w:val="21"/>
        </w:rPr>
        <w:t>（标段名称）项目招标评标委员会：</w:t>
      </w:r>
    </w:p>
    <w:p w14:paraId="3272A8EF">
      <w:pPr>
        <w:spacing w:before="229" w:line="422" w:lineRule="auto"/>
        <w:ind w:left="443"/>
        <w:rPr>
          <w:rFonts w:ascii="宋体" w:hAnsi="宋体" w:eastAsia="宋体" w:cs="宋体"/>
          <w:sz w:val="21"/>
          <w:szCs w:val="21"/>
        </w:rPr>
      </w:pPr>
      <w:r>
        <w:rPr>
          <w:rFonts w:ascii="宋体" w:hAnsi="宋体" w:eastAsia="宋体" w:cs="宋体"/>
          <w:spacing w:val="-2"/>
          <w:sz w:val="21"/>
          <w:szCs w:val="21"/>
        </w:rPr>
        <w:t>投标文件问题澄清通知（编号</w:t>
      </w:r>
      <w:r>
        <w:rPr>
          <w:rFonts w:ascii="宋体" w:hAnsi="宋体" w:eastAsia="宋体" w:cs="宋体"/>
          <w:spacing w:val="-3"/>
          <w:sz w:val="21"/>
          <w:szCs w:val="21"/>
        </w:rPr>
        <w:t>：</w:t>
      </w:r>
      <w:r>
        <w:rPr>
          <w:rFonts w:ascii="宋体" w:hAnsi="宋体" w:eastAsia="宋体" w:cs="宋体"/>
          <w:sz w:val="21"/>
          <w:szCs w:val="21"/>
          <w:u w:val="single" w:color="auto"/>
        </w:rPr>
        <w:t xml:space="preserve">     </w:t>
      </w:r>
      <w:r>
        <w:rPr>
          <w:rFonts w:ascii="宋体" w:hAnsi="宋体" w:eastAsia="宋体" w:cs="宋体"/>
          <w:spacing w:val="-71"/>
          <w:sz w:val="21"/>
          <w:szCs w:val="21"/>
        </w:rPr>
        <w:t xml:space="preserve"> </w:t>
      </w:r>
      <w:r>
        <w:rPr>
          <w:rFonts w:ascii="宋体" w:hAnsi="宋体" w:eastAsia="宋体" w:cs="宋体"/>
          <w:spacing w:val="-3"/>
          <w:sz w:val="21"/>
          <w:szCs w:val="21"/>
        </w:rPr>
        <w:t>）</w:t>
      </w:r>
      <w:r>
        <w:rPr>
          <w:rFonts w:ascii="宋体" w:hAnsi="宋体" w:eastAsia="宋体" w:cs="宋体"/>
          <w:spacing w:val="-2"/>
          <w:sz w:val="21"/>
          <w:szCs w:val="21"/>
        </w:rPr>
        <w:t>已收悉，现澄清、</w:t>
      </w:r>
      <w:r>
        <w:rPr>
          <w:rFonts w:ascii="宋体" w:hAnsi="宋体" w:eastAsia="宋体" w:cs="宋体"/>
          <w:spacing w:val="-3"/>
          <w:sz w:val="21"/>
          <w:szCs w:val="21"/>
        </w:rPr>
        <w:t>说明或者补正如下：</w:t>
      </w:r>
    </w:p>
    <w:p w14:paraId="368B1C23">
      <w:pPr>
        <w:spacing w:before="1" w:line="236" w:lineRule="auto"/>
        <w:ind w:left="457"/>
        <w:rPr>
          <w:rFonts w:ascii="宋体" w:hAnsi="宋体" w:eastAsia="宋体" w:cs="宋体"/>
          <w:sz w:val="21"/>
          <w:szCs w:val="21"/>
        </w:rPr>
      </w:pPr>
      <w:r>
        <w:rPr>
          <w:rFonts w:ascii="Times New Roman" w:hAnsi="Times New Roman" w:eastAsia="Times New Roman" w:cs="Times New Roman"/>
          <w:spacing w:val="-6"/>
          <w:sz w:val="21"/>
          <w:szCs w:val="21"/>
        </w:rPr>
        <w:t>1.</w:t>
      </w:r>
      <w:r>
        <w:rPr>
          <w:rFonts w:ascii="宋体" w:hAnsi="宋体" w:eastAsia="宋体" w:cs="宋体"/>
          <w:spacing w:val="-6"/>
          <w:sz w:val="21"/>
          <w:szCs w:val="21"/>
        </w:rPr>
        <w:t>……</w:t>
      </w:r>
    </w:p>
    <w:p w14:paraId="28ECC7DC">
      <w:pPr>
        <w:spacing w:before="210" w:line="237" w:lineRule="auto"/>
        <w:ind w:left="437"/>
        <w:rPr>
          <w:rFonts w:ascii="宋体" w:hAnsi="宋体" w:eastAsia="宋体" w:cs="宋体"/>
          <w:sz w:val="21"/>
          <w:szCs w:val="21"/>
        </w:rPr>
      </w:pPr>
      <w:r>
        <w:rPr>
          <w:rFonts w:ascii="Times New Roman" w:hAnsi="Times New Roman" w:eastAsia="Times New Roman" w:cs="Times New Roman"/>
          <w:spacing w:val="-1"/>
          <w:sz w:val="21"/>
          <w:szCs w:val="21"/>
        </w:rPr>
        <w:t>2.</w:t>
      </w:r>
      <w:r>
        <w:rPr>
          <w:rFonts w:ascii="宋体" w:hAnsi="宋体" w:eastAsia="宋体" w:cs="宋体"/>
          <w:spacing w:val="-1"/>
          <w:sz w:val="21"/>
          <w:szCs w:val="21"/>
        </w:rPr>
        <w:t>……</w:t>
      </w:r>
    </w:p>
    <w:p w14:paraId="0BEE5560">
      <w:pPr>
        <w:pStyle w:val="3"/>
        <w:spacing w:line="309" w:lineRule="auto"/>
      </w:pPr>
    </w:p>
    <w:p w14:paraId="1E6AF17B">
      <w:pPr>
        <w:pStyle w:val="3"/>
        <w:spacing w:line="310" w:lineRule="auto"/>
      </w:pPr>
    </w:p>
    <w:p w14:paraId="3C778890">
      <w:pPr>
        <w:spacing w:before="69" w:line="332" w:lineRule="exact"/>
        <w:ind w:left="454"/>
        <w:rPr>
          <w:rFonts w:ascii="宋体" w:hAnsi="宋体" w:eastAsia="宋体" w:cs="宋体"/>
          <w:sz w:val="21"/>
          <w:szCs w:val="21"/>
        </w:rPr>
      </w:pPr>
      <w:r>
        <w:rPr>
          <w:rFonts w:ascii="宋体" w:hAnsi="宋体" w:eastAsia="宋体" w:cs="宋体"/>
          <w:spacing w:val="-5"/>
          <w:position w:val="2"/>
          <w:sz w:val="21"/>
          <w:szCs w:val="21"/>
        </w:rPr>
        <w:t>……</w:t>
      </w:r>
    </w:p>
    <w:p w14:paraId="7BE3B121">
      <w:pPr>
        <w:pStyle w:val="3"/>
        <w:spacing w:line="245" w:lineRule="auto"/>
      </w:pPr>
    </w:p>
    <w:p w14:paraId="121EA8D3">
      <w:pPr>
        <w:pStyle w:val="3"/>
        <w:spacing w:line="245" w:lineRule="auto"/>
      </w:pPr>
    </w:p>
    <w:p w14:paraId="7DCC6204">
      <w:pPr>
        <w:pStyle w:val="3"/>
        <w:spacing w:line="245" w:lineRule="auto"/>
      </w:pPr>
    </w:p>
    <w:p w14:paraId="65487033">
      <w:pPr>
        <w:pStyle w:val="3"/>
        <w:spacing w:line="245" w:lineRule="auto"/>
      </w:pPr>
    </w:p>
    <w:p w14:paraId="4B5C8830">
      <w:pPr>
        <w:pStyle w:val="3"/>
        <w:spacing w:line="245" w:lineRule="auto"/>
      </w:pPr>
    </w:p>
    <w:p w14:paraId="17232ADC">
      <w:pPr>
        <w:pStyle w:val="3"/>
        <w:spacing w:line="245" w:lineRule="auto"/>
      </w:pPr>
    </w:p>
    <w:p w14:paraId="09B7598C">
      <w:pPr>
        <w:pStyle w:val="3"/>
        <w:spacing w:line="245" w:lineRule="auto"/>
      </w:pPr>
    </w:p>
    <w:p w14:paraId="463F9D4C">
      <w:pPr>
        <w:pStyle w:val="3"/>
        <w:spacing w:line="245" w:lineRule="auto"/>
      </w:pPr>
    </w:p>
    <w:p w14:paraId="0BABA807">
      <w:pPr>
        <w:pStyle w:val="3"/>
        <w:spacing w:line="245" w:lineRule="auto"/>
      </w:pPr>
    </w:p>
    <w:p w14:paraId="7A22C4EB">
      <w:pPr>
        <w:pStyle w:val="3"/>
        <w:spacing w:line="246" w:lineRule="auto"/>
      </w:pPr>
    </w:p>
    <w:p w14:paraId="30FBE5BA">
      <w:pPr>
        <w:pStyle w:val="3"/>
        <w:spacing w:line="246" w:lineRule="auto"/>
      </w:pPr>
    </w:p>
    <w:p w14:paraId="185ABBD7">
      <w:pPr>
        <w:pStyle w:val="3"/>
        <w:spacing w:line="246" w:lineRule="auto"/>
      </w:pPr>
    </w:p>
    <w:p w14:paraId="7F490F99">
      <w:pPr>
        <w:spacing w:before="68" w:line="527" w:lineRule="auto"/>
        <w:ind w:left="3188" w:right="125" w:firstLine="1"/>
        <w:jc w:val="right"/>
        <w:rPr>
          <w:rFonts w:ascii="宋体" w:hAnsi="宋体" w:eastAsia="宋体" w:cs="宋体"/>
          <w:sz w:val="21"/>
          <w:szCs w:val="21"/>
        </w:rPr>
      </w:pPr>
      <w:r>
        <w:rPr>
          <w:rFonts w:ascii="宋体" w:hAnsi="宋体" w:eastAsia="宋体" w:cs="宋体"/>
          <w:spacing w:val="-23"/>
          <w:w w:val="98"/>
          <w:sz w:val="21"/>
          <w:szCs w:val="21"/>
        </w:rPr>
        <w:t>投标人</w:t>
      </w:r>
      <w:r>
        <w:rPr>
          <w:rFonts w:ascii="宋体" w:hAnsi="宋体" w:eastAsia="宋体" w:cs="宋体"/>
          <w:sz w:val="21"/>
          <w:szCs w:val="21"/>
        </w:rPr>
        <w:t>：</w:t>
      </w:r>
      <w:r>
        <w:rPr>
          <w:rFonts w:ascii="宋体" w:hAnsi="宋体" w:eastAsia="宋体" w:cs="宋体"/>
          <w:spacing w:val="11"/>
          <w:sz w:val="21"/>
          <w:szCs w:val="21"/>
        </w:rPr>
        <w:t xml:space="preserve"> </w:t>
      </w:r>
      <w:r>
        <w:rPr>
          <w:rFonts w:ascii="宋体" w:hAnsi="宋体" w:eastAsia="宋体" w:cs="宋体"/>
          <w:spacing w:val="4"/>
          <w:sz w:val="21"/>
          <w:szCs w:val="21"/>
          <w:u w:val="single" w:color="auto"/>
        </w:rPr>
        <w:t xml:space="preserve">                     </w:t>
      </w:r>
      <w:r>
        <w:rPr>
          <w:rFonts w:ascii="宋体" w:hAnsi="宋体" w:eastAsia="宋体" w:cs="宋体"/>
          <w:spacing w:val="3"/>
          <w:sz w:val="21"/>
          <w:szCs w:val="21"/>
          <w:u w:val="single" w:color="auto"/>
        </w:rPr>
        <w:t xml:space="preserve">      </w:t>
      </w:r>
      <w:r>
        <w:rPr>
          <w:rFonts w:ascii="宋体" w:hAnsi="宋体" w:eastAsia="宋体" w:cs="宋体"/>
          <w:spacing w:val="-26"/>
          <w:sz w:val="21"/>
          <w:szCs w:val="21"/>
        </w:rPr>
        <w:t xml:space="preserve"> </w:t>
      </w:r>
      <w:r>
        <w:rPr>
          <w:rFonts w:ascii="宋体" w:hAnsi="宋体" w:eastAsia="宋体" w:cs="宋体"/>
          <w:sz w:val="21"/>
          <w:szCs w:val="21"/>
        </w:rPr>
        <w:t>（</w:t>
      </w:r>
      <w:r>
        <w:rPr>
          <w:rFonts w:ascii="宋体" w:hAnsi="宋体" w:eastAsia="宋体" w:cs="宋体"/>
          <w:spacing w:val="-23"/>
          <w:w w:val="98"/>
          <w:sz w:val="21"/>
          <w:szCs w:val="21"/>
        </w:rPr>
        <w:t>盖单位章）</w:t>
      </w:r>
      <w:r>
        <w:rPr>
          <w:rFonts w:ascii="宋体" w:hAnsi="宋体" w:eastAsia="宋体" w:cs="宋体"/>
          <w:sz w:val="21"/>
          <w:szCs w:val="21"/>
        </w:rPr>
        <w:t xml:space="preserve"> 法定代表人</w:t>
      </w:r>
      <w:r>
        <w:rPr>
          <w:rFonts w:ascii="宋体" w:hAnsi="宋体" w:eastAsia="宋体" w:cs="宋体"/>
          <w:spacing w:val="-14"/>
          <w:sz w:val="21"/>
          <w:szCs w:val="21"/>
        </w:rPr>
        <w:t>：</w:t>
      </w:r>
      <w:r>
        <w:rPr>
          <w:rFonts w:ascii="宋体" w:hAnsi="宋体" w:eastAsia="宋体" w:cs="宋体"/>
          <w:sz w:val="21"/>
          <w:szCs w:val="21"/>
          <w:u w:val="single" w:color="auto"/>
        </w:rPr>
        <w:t xml:space="preserve">                            </w:t>
      </w:r>
      <w:r>
        <w:rPr>
          <w:rFonts w:ascii="宋体" w:hAnsi="宋体" w:eastAsia="宋体" w:cs="宋体"/>
          <w:spacing w:val="-14"/>
          <w:sz w:val="21"/>
          <w:szCs w:val="21"/>
        </w:rPr>
        <w:t>（</w:t>
      </w:r>
      <w:r>
        <w:rPr>
          <w:rFonts w:ascii="宋体" w:hAnsi="宋体" w:eastAsia="宋体" w:cs="宋体"/>
          <w:sz w:val="21"/>
          <w:szCs w:val="21"/>
        </w:rPr>
        <w:t>签章）</w:t>
      </w:r>
    </w:p>
    <w:p w14:paraId="3A74C7AD">
      <w:pPr>
        <w:tabs>
          <w:tab w:val="left" w:pos="6420"/>
        </w:tabs>
        <w:spacing w:before="1" w:line="220" w:lineRule="auto"/>
        <w:ind w:left="5786"/>
        <w:rPr>
          <w:rFonts w:ascii="宋体" w:hAnsi="宋体" w:eastAsia="宋体" w:cs="宋体"/>
          <w:sz w:val="21"/>
          <w:szCs w:val="21"/>
        </w:rPr>
      </w:pPr>
      <w:r>
        <w:rPr>
          <w:rFonts w:ascii="宋体" w:hAnsi="宋体" w:eastAsia="宋体" w:cs="宋体"/>
          <w:sz w:val="21"/>
          <w:szCs w:val="21"/>
          <w:u w:val="single" w:color="auto"/>
        </w:rPr>
        <w:tab/>
      </w:r>
      <w:r>
        <w:rPr>
          <w:rFonts w:ascii="宋体" w:hAnsi="宋体" w:eastAsia="宋体" w:cs="宋体"/>
          <w:spacing w:val="-95"/>
          <w:sz w:val="21"/>
          <w:szCs w:val="21"/>
        </w:rPr>
        <w:t xml:space="preserve"> </w:t>
      </w:r>
      <w:r>
        <w:rPr>
          <w:rFonts w:ascii="宋体" w:hAnsi="宋体" w:eastAsia="宋体" w:cs="宋体"/>
          <w:spacing w:val="-7"/>
          <w:sz w:val="21"/>
          <w:szCs w:val="21"/>
        </w:rPr>
        <w:t>年</w:t>
      </w:r>
      <w:r>
        <w:rPr>
          <w:rFonts w:ascii="宋体" w:hAnsi="宋体" w:eastAsia="宋体" w:cs="宋体"/>
          <w:spacing w:val="25"/>
          <w:sz w:val="21"/>
          <w:szCs w:val="21"/>
          <w:u w:val="single" w:color="auto"/>
        </w:rPr>
        <w:t xml:space="preserve">    </w:t>
      </w:r>
      <w:r>
        <w:rPr>
          <w:rFonts w:ascii="宋体" w:hAnsi="宋体" w:eastAsia="宋体" w:cs="宋体"/>
          <w:spacing w:val="-89"/>
          <w:sz w:val="21"/>
          <w:szCs w:val="21"/>
        </w:rPr>
        <w:t xml:space="preserve"> </w:t>
      </w:r>
      <w:r>
        <w:rPr>
          <w:rFonts w:ascii="宋体" w:hAnsi="宋体" w:eastAsia="宋体" w:cs="宋体"/>
          <w:spacing w:val="-7"/>
          <w:sz w:val="21"/>
          <w:szCs w:val="21"/>
        </w:rPr>
        <w:t>月</w:t>
      </w:r>
      <w:r>
        <w:rPr>
          <w:rFonts w:ascii="宋体" w:hAnsi="宋体" w:eastAsia="宋体" w:cs="宋体"/>
          <w:spacing w:val="-105"/>
          <w:sz w:val="21"/>
          <w:szCs w:val="21"/>
        </w:rPr>
        <w:t xml:space="preserve"> </w:t>
      </w:r>
      <w:r>
        <w:rPr>
          <w:rFonts w:ascii="宋体" w:hAnsi="宋体" w:eastAsia="宋体" w:cs="宋体"/>
          <w:spacing w:val="26"/>
          <w:sz w:val="21"/>
          <w:szCs w:val="21"/>
          <w:u w:val="single" w:color="auto"/>
        </w:rPr>
        <w:t xml:space="preserve">    </w:t>
      </w:r>
      <w:r>
        <w:rPr>
          <w:rFonts w:ascii="宋体" w:hAnsi="宋体" w:eastAsia="宋体" w:cs="宋体"/>
          <w:spacing w:val="-61"/>
          <w:sz w:val="21"/>
          <w:szCs w:val="21"/>
        </w:rPr>
        <w:t xml:space="preserve"> </w:t>
      </w:r>
      <w:r>
        <w:rPr>
          <w:rFonts w:ascii="宋体" w:hAnsi="宋体" w:eastAsia="宋体" w:cs="宋体"/>
          <w:spacing w:val="-7"/>
          <w:sz w:val="21"/>
          <w:szCs w:val="21"/>
        </w:rPr>
        <w:t>日</w:t>
      </w:r>
    </w:p>
    <w:p w14:paraId="26969541">
      <w:pPr>
        <w:spacing w:line="220" w:lineRule="auto"/>
        <w:rPr>
          <w:rFonts w:ascii="宋体" w:hAnsi="宋体" w:eastAsia="宋体" w:cs="宋体"/>
          <w:sz w:val="21"/>
          <w:szCs w:val="21"/>
        </w:rPr>
        <w:sectPr>
          <w:footerReference r:id="rId39" w:type="default"/>
          <w:pgSz w:w="11905" w:h="16839"/>
          <w:pgMar w:top="1431" w:right="1785" w:bottom="996" w:left="1785" w:header="0" w:footer="791" w:gutter="0"/>
          <w:pgNumType w:fmt="decimal"/>
          <w:cols w:space="720" w:num="1"/>
        </w:sectPr>
      </w:pPr>
    </w:p>
    <w:p w14:paraId="17D88211">
      <w:pPr>
        <w:pStyle w:val="3"/>
        <w:spacing w:line="281" w:lineRule="auto"/>
      </w:pPr>
    </w:p>
    <w:p w14:paraId="1AD32DF1">
      <w:pPr>
        <w:spacing w:before="78" w:line="220" w:lineRule="auto"/>
        <w:ind w:left="22"/>
        <w:rPr>
          <w:rFonts w:ascii="黑体" w:hAnsi="黑体" w:eastAsia="黑体" w:cs="黑体"/>
          <w:sz w:val="24"/>
          <w:szCs w:val="24"/>
        </w:rPr>
      </w:pPr>
      <w:r>
        <w:rPr>
          <w:rFonts w:ascii="黑体" w:hAnsi="黑体" w:eastAsia="黑体" w:cs="黑体"/>
          <w:spacing w:val="-3"/>
          <w:sz w:val="24"/>
          <w:szCs w:val="24"/>
        </w:rPr>
        <w:t>附表八：中标通知书</w:t>
      </w:r>
    </w:p>
    <w:p w14:paraId="3B6F9B2E">
      <w:pPr>
        <w:spacing w:before="326" w:line="219" w:lineRule="auto"/>
        <w:ind w:left="5410"/>
        <w:rPr>
          <w:rFonts w:ascii="黑体" w:hAnsi="黑体" w:eastAsia="黑体" w:cs="黑体"/>
          <w:sz w:val="32"/>
          <w:szCs w:val="32"/>
        </w:rPr>
      </w:pPr>
      <w:r>
        <w:rPr>
          <w:rFonts w:ascii="黑体" w:hAnsi="黑体" w:eastAsia="黑体" w:cs="黑体"/>
          <w:spacing w:val="-5"/>
          <w:sz w:val="32"/>
          <w:szCs w:val="32"/>
          <w14:textOutline w14:w="5834" w14:cap="flat" w14:cmpd="sng">
            <w14:solidFill>
              <w14:srgbClr w14:val="000000"/>
            </w14:solidFill>
            <w14:prstDash w14:val="solid"/>
            <w14:miter w14:val="0"/>
          </w14:textOutline>
        </w:rPr>
        <w:t>中标通知书（工程类）</w:t>
      </w:r>
    </w:p>
    <w:p w14:paraId="7A2DB5BE">
      <w:pPr>
        <w:tabs>
          <w:tab w:val="left" w:pos="1366"/>
        </w:tabs>
        <w:spacing w:before="223" w:line="221" w:lineRule="auto"/>
        <w:ind w:left="105"/>
        <w:rPr>
          <w:rFonts w:ascii="宋体" w:hAnsi="宋体" w:eastAsia="宋体" w:cs="宋体"/>
          <w:sz w:val="21"/>
          <w:szCs w:val="21"/>
        </w:rPr>
      </w:pPr>
      <w:r>
        <w:rPr>
          <w:rFonts w:ascii="宋体" w:hAnsi="宋体" w:eastAsia="宋体" w:cs="宋体"/>
          <w:sz w:val="21"/>
          <w:szCs w:val="21"/>
          <w:u w:val="single" w:color="auto"/>
        </w:rPr>
        <w:tab/>
      </w:r>
      <w:r>
        <w:rPr>
          <w:rFonts w:ascii="宋体" w:hAnsi="宋体" w:eastAsia="宋体" w:cs="宋体"/>
          <w:spacing w:val="-76"/>
          <w:sz w:val="21"/>
          <w:szCs w:val="21"/>
        </w:rPr>
        <w:t xml:space="preserve"> </w:t>
      </w:r>
      <w:r>
        <w:rPr>
          <w:rFonts w:ascii="宋体" w:hAnsi="宋体" w:eastAsia="宋体" w:cs="宋体"/>
          <w:spacing w:val="-34"/>
          <w:sz w:val="21"/>
          <w:szCs w:val="21"/>
        </w:rPr>
        <w:t>：</w:t>
      </w:r>
      <w:r>
        <w:rPr>
          <w:rFonts w:ascii="宋体" w:hAnsi="宋体" w:eastAsia="宋体" w:cs="宋体"/>
          <w:sz w:val="21"/>
          <w:szCs w:val="21"/>
        </w:rPr>
        <w:t xml:space="preserve">                                                                                                   </w:t>
      </w:r>
      <w:r>
        <w:rPr>
          <w:rFonts w:ascii="宋体" w:hAnsi="宋体" w:eastAsia="宋体" w:cs="宋体"/>
          <w:spacing w:val="-34"/>
          <w:sz w:val="21"/>
          <w:szCs w:val="21"/>
        </w:rPr>
        <w:t>编号：</w:t>
      </w:r>
      <w:r>
        <w:rPr>
          <w:rFonts w:ascii="宋体" w:hAnsi="宋体" w:eastAsia="宋体" w:cs="宋体"/>
          <w:spacing w:val="2"/>
          <w:sz w:val="21"/>
          <w:szCs w:val="21"/>
        </w:rPr>
        <w:t xml:space="preserve"> </w:t>
      </w:r>
      <w:r>
        <w:rPr>
          <w:rFonts w:ascii="宋体" w:hAnsi="宋体" w:eastAsia="宋体" w:cs="宋体"/>
          <w:sz w:val="21"/>
          <w:szCs w:val="21"/>
          <w:u w:val="single" w:color="auto"/>
        </w:rPr>
        <w:t xml:space="preserve">             </w:t>
      </w:r>
    </w:p>
    <w:p w14:paraId="1A2473A8">
      <w:pPr>
        <w:spacing w:before="157" w:line="359" w:lineRule="auto"/>
        <w:ind w:left="431"/>
        <w:rPr>
          <w:rFonts w:ascii="宋体" w:hAnsi="宋体" w:eastAsia="宋体" w:cs="宋体"/>
          <w:sz w:val="21"/>
          <w:szCs w:val="21"/>
        </w:rPr>
      </w:pPr>
      <w:r>
        <w:rPr>
          <w:rFonts w:ascii="宋体" w:hAnsi="宋体" w:eastAsia="宋体" w:cs="宋体"/>
          <w:spacing w:val="-3"/>
          <w:sz w:val="21"/>
          <w:szCs w:val="21"/>
        </w:rPr>
        <w:t>你方于</w:t>
      </w:r>
      <w:r>
        <w:rPr>
          <w:rFonts w:ascii="宋体" w:hAnsi="宋体" w:eastAsia="宋体" w:cs="宋体"/>
          <w:spacing w:val="-3"/>
          <w:sz w:val="21"/>
          <w:szCs w:val="21"/>
          <w:u w:val="single" w:color="auto"/>
        </w:rPr>
        <w:t xml:space="preserve">     </w:t>
      </w:r>
      <w:r>
        <w:rPr>
          <w:rFonts w:ascii="宋体" w:hAnsi="宋体" w:eastAsia="宋体" w:cs="宋体"/>
          <w:spacing w:val="-97"/>
          <w:sz w:val="21"/>
          <w:szCs w:val="21"/>
        </w:rPr>
        <w:t xml:space="preserve"> </w:t>
      </w:r>
      <w:r>
        <w:rPr>
          <w:rFonts w:ascii="宋体" w:hAnsi="宋体" w:eastAsia="宋体" w:cs="宋体"/>
          <w:spacing w:val="-3"/>
          <w:sz w:val="21"/>
          <w:szCs w:val="21"/>
        </w:rPr>
        <w:t>年</w:t>
      </w:r>
      <w:r>
        <w:rPr>
          <w:rFonts w:ascii="宋体" w:hAnsi="宋体" w:eastAsia="宋体" w:cs="宋体"/>
          <w:spacing w:val="-105"/>
          <w:sz w:val="21"/>
          <w:szCs w:val="21"/>
        </w:rPr>
        <w:t xml:space="preserve"> </w:t>
      </w:r>
      <w:r>
        <w:rPr>
          <w:rFonts w:ascii="宋体" w:hAnsi="宋体" w:eastAsia="宋体" w:cs="宋体"/>
          <w:sz w:val="21"/>
          <w:szCs w:val="21"/>
          <w:u w:val="single" w:color="auto"/>
        </w:rPr>
        <w:t xml:space="preserve">    </w:t>
      </w:r>
      <w:r>
        <w:rPr>
          <w:rFonts w:ascii="宋体" w:hAnsi="宋体" w:eastAsia="宋体" w:cs="宋体"/>
          <w:spacing w:val="-90"/>
          <w:sz w:val="21"/>
          <w:szCs w:val="21"/>
        </w:rPr>
        <w:t xml:space="preserve"> </w:t>
      </w:r>
      <w:r>
        <w:rPr>
          <w:rFonts w:ascii="宋体" w:hAnsi="宋体" w:eastAsia="宋体" w:cs="宋体"/>
          <w:spacing w:val="-3"/>
          <w:sz w:val="21"/>
          <w:szCs w:val="21"/>
        </w:rPr>
        <w:t>月</w:t>
      </w:r>
      <w:r>
        <w:rPr>
          <w:rFonts w:ascii="宋体" w:hAnsi="宋体" w:eastAsia="宋体" w:cs="宋体"/>
          <w:spacing w:val="-3"/>
          <w:sz w:val="21"/>
          <w:szCs w:val="21"/>
          <w:u w:val="single" w:color="auto"/>
        </w:rPr>
        <w:t xml:space="preserve">    </w:t>
      </w:r>
      <w:r>
        <w:rPr>
          <w:rFonts w:ascii="宋体" w:hAnsi="宋体" w:eastAsia="宋体" w:cs="宋体"/>
          <w:spacing w:val="-60"/>
          <w:sz w:val="21"/>
          <w:szCs w:val="21"/>
        </w:rPr>
        <w:t xml:space="preserve"> </w:t>
      </w:r>
      <w:r>
        <w:rPr>
          <w:rFonts w:ascii="宋体" w:hAnsi="宋体" w:eastAsia="宋体" w:cs="宋体"/>
          <w:spacing w:val="-3"/>
          <w:sz w:val="21"/>
          <w:szCs w:val="21"/>
        </w:rPr>
        <w:t>日所递交的</w:t>
      </w:r>
      <w:r>
        <w:rPr>
          <w:rFonts w:ascii="宋体" w:hAnsi="宋体" w:eastAsia="宋体" w:cs="宋体"/>
          <w:spacing w:val="-3"/>
          <w:sz w:val="21"/>
          <w:szCs w:val="21"/>
          <w:u w:val="single" w:color="auto"/>
        </w:rPr>
        <w:t xml:space="preserve">    （标段名称）     </w:t>
      </w:r>
      <w:r>
        <w:rPr>
          <w:rFonts w:ascii="宋体" w:hAnsi="宋体" w:eastAsia="宋体" w:cs="宋体"/>
          <w:spacing w:val="-79"/>
          <w:sz w:val="21"/>
          <w:szCs w:val="21"/>
        </w:rPr>
        <w:t xml:space="preserve"> </w:t>
      </w:r>
      <w:r>
        <w:rPr>
          <w:rFonts w:ascii="宋体" w:hAnsi="宋体" w:eastAsia="宋体" w:cs="宋体"/>
          <w:spacing w:val="-3"/>
          <w:sz w:val="21"/>
          <w:szCs w:val="21"/>
        </w:rPr>
        <w:t>的投标文件已被我方接受，被确定为中标人，请你单位派代表持本通知书及相关资料在</w:t>
      </w:r>
    </w:p>
    <w:p w14:paraId="6E971B94">
      <w:pPr>
        <w:spacing w:line="219" w:lineRule="auto"/>
        <w:ind w:left="7"/>
        <w:rPr>
          <w:rFonts w:ascii="宋体" w:hAnsi="宋体" w:eastAsia="宋体" w:cs="宋体"/>
          <w:sz w:val="21"/>
          <w:szCs w:val="21"/>
        </w:rPr>
      </w:pPr>
      <w:r>
        <w:rPr>
          <w:rFonts w:ascii="宋体" w:hAnsi="宋体" w:eastAsia="宋体" w:cs="宋体"/>
          <w:spacing w:val="-2"/>
          <w:sz w:val="21"/>
          <w:szCs w:val="21"/>
        </w:rPr>
        <w:t>接到本通知书后</w:t>
      </w:r>
      <w:r>
        <w:rPr>
          <w:rFonts w:ascii="宋体" w:hAnsi="宋体" w:eastAsia="宋体" w:cs="宋体"/>
          <w:spacing w:val="-33"/>
          <w:sz w:val="21"/>
          <w:szCs w:val="21"/>
        </w:rPr>
        <w:t xml:space="preserve"> </w:t>
      </w:r>
      <w:r>
        <w:rPr>
          <w:rFonts w:ascii="宋体" w:hAnsi="宋体" w:eastAsia="宋体" w:cs="宋体"/>
          <w:spacing w:val="-2"/>
          <w:sz w:val="21"/>
          <w:szCs w:val="21"/>
        </w:rPr>
        <w:t>30 日内到</w:t>
      </w:r>
      <w:r>
        <w:rPr>
          <w:rFonts w:ascii="宋体" w:hAnsi="宋体" w:eastAsia="宋体" w:cs="宋体"/>
          <w:spacing w:val="-105"/>
          <w:sz w:val="21"/>
          <w:szCs w:val="21"/>
        </w:rPr>
        <w:t xml:space="preserve"> </w:t>
      </w:r>
      <w:r>
        <w:rPr>
          <w:rFonts w:ascii="宋体" w:hAnsi="宋体" w:eastAsia="宋体" w:cs="宋体"/>
          <w:spacing w:val="20"/>
          <w:sz w:val="21"/>
          <w:szCs w:val="21"/>
          <w:u w:val="single" w:color="auto"/>
        </w:rPr>
        <w:t xml:space="preserve">     </w:t>
      </w:r>
      <w:r>
        <w:rPr>
          <w:rFonts w:ascii="宋体" w:hAnsi="宋体" w:eastAsia="宋体" w:cs="宋体"/>
          <w:spacing w:val="-89"/>
          <w:sz w:val="21"/>
          <w:szCs w:val="21"/>
        </w:rPr>
        <w:t xml:space="preserve"> </w:t>
      </w:r>
      <w:r>
        <w:rPr>
          <w:rFonts w:ascii="宋体" w:hAnsi="宋体" w:eastAsia="宋体" w:cs="宋体"/>
          <w:spacing w:val="-2"/>
          <w:sz w:val="21"/>
          <w:szCs w:val="21"/>
        </w:rPr>
        <w:t>与我方签订承包合同。在此之前按照招标文件规定向我方提交履约担保。</w:t>
      </w:r>
    </w:p>
    <w:p w14:paraId="67C065EC">
      <w:pPr>
        <w:spacing w:before="158" w:line="221" w:lineRule="auto"/>
        <w:ind w:left="6041"/>
        <w:rPr>
          <w:rFonts w:ascii="宋体" w:hAnsi="宋体" w:eastAsia="宋体" w:cs="宋体"/>
          <w:sz w:val="21"/>
          <w:szCs w:val="21"/>
        </w:rPr>
      </w:pPr>
      <w:r>
        <w:rPr>
          <w:rFonts w:ascii="宋体" w:hAnsi="宋体" w:eastAsia="宋体" w:cs="宋体"/>
          <w:sz w:val="21"/>
          <w:szCs w:val="21"/>
          <w14:textOutline w14:w="3831" w14:cap="flat" w14:cmpd="sng">
            <w14:solidFill>
              <w14:srgbClr w14:val="000000"/>
            </w14:solidFill>
            <w14:prstDash w14:val="solid"/>
            <w14:miter w14:val="0"/>
          </w14:textOutline>
        </w:rPr>
        <w:t>工程概况及中标内容</w:t>
      </w:r>
    </w:p>
    <w:p w14:paraId="197D0967">
      <w:pPr>
        <w:spacing w:line="127" w:lineRule="exact"/>
      </w:pPr>
    </w:p>
    <w:tbl>
      <w:tblPr>
        <w:tblStyle w:val="10"/>
        <w:tblW w:w="1414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948"/>
        <w:gridCol w:w="2764"/>
        <w:gridCol w:w="2344"/>
        <w:gridCol w:w="2341"/>
        <w:gridCol w:w="20"/>
        <w:gridCol w:w="4727"/>
      </w:tblGrid>
      <w:tr w14:paraId="5E073B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trPr>
        <w:tc>
          <w:tcPr>
            <w:tcW w:w="1948" w:type="dxa"/>
            <w:vAlign w:val="top"/>
          </w:tcPr>
          <w:p w14:paraId="0895ABA9">
            <w:pPr>
              <w:pStyle w:val="11"/>
              <w:spacing w:before="97" w:line="221" w:lineRule="auto"/>
              <w:ind w:left="563"/>
            </w:pPr>
            <w:r>
              <w:rPr>
                <w:spacing w:val="-2"/>
              </w:rPr>
              <w:t>项目名称</w:t>
            </w:r>
          </w:p>
        </w:tc>
        <w:tc>
          <w:tcPr>
            <w:tcW w:w="12196" w:type="dxa"/>
            <w:gridSpan w:val="5"/>
            <w:vAlign w:val="top"/>
          </w:tcPr>
          <w:p w14:paraId="14C31903">
            <w:pPr>
              <w:rPr>
                <w:rFonts w:ascii="Arial"/>
                <w:sz w:val="21"/>
              </w:rPr>
            </w:pPr>
          </w:p>
        </w:tc>
      </w:tr>
      <w:tr w14:paraId="4E50C2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7" w:hRule="atLeast"/>
        </w:trPr>
        <w:tc>
          <w:tcPr>
            <w:tcW w:w="1948" w:type="dxa"/>
            <w:vAlign w:val="top"/>
          </w:tcPr>
          <w:p w14:paraId="21F54FE8">
            <w:pPr>
              <w:pStyle w:val="11"/>
              <w:spacing w:before="97" w:line="221" w:lineRule="auto"/>
              <w:ind w:left="560"/>
            </w:pPr>
            <w:r>
              <w:rPr>
                <w:spacing w:val="-1"/>
              </w:rPr>
              <w:t>标段名称</w:t>
            </w:r>
          </w:p>
        </w:tc>
        <w:tc>
          <w:tcPr>
            <w:tcW w:w="12196" w:type="dxa"/>
            <w:gridSpan w:val="5"/>
            <w:vAlign w:val="top"/>
          </w:tcPr>
          <w:p w14:paraId="30BFB71D">
            <w:pPr>
              <w:rPr>
                <w:rFonts w:ascii="Arial"/>
                <w:sz w:val="21"/>
              </w:rPr>
            </w:pPr>
          </w:p>
        </w:tc>
      </w:tr>
      <w:tr w14:paraId="1C86B4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trPr>
        <w:tc>
          <w:tcPr>
            <w:tcW w:w="1948" w:type="dxa"/>
            <w:vAlign w:val="top"/>
          </w:tcPr>
          <w:p w14:paraId="51D718DB">
            <w:pPr>
              <w:pStyle w:val="11"/>
              <w:spacing w:before="93" w:line="221" w:lineRule="auto"/>
              <w:ind w:left="562"/>
            </w:pPr>
            <w:r>
              <w:rPr>
                <w:spacing w:val="-2"/>
              </w:rPr>
              <w:t>工程性质</w:t>
            </w:r>
          </w:p>
        </w:tc>
        <w:tc>
          <w:tcPr>
            <w:tcW w:w="5108" w:type="dxa"/>
            <w:gridSpan w:val="2"/>
            <w:vAlign w:val="top"/>
          </w:tcPr>
          <w:p w14:paraId="0E59B255">
            <w:pPr>
              <w:rPr>
                <w:rFonts w:ascii="Arial"/>
                <w:sz w:val="21"/>
              </w:rPr>
            </w:pPr>
          </w:p>
        </w:tc>
        <w:tc>
          <w:tcPr>
            <w:tcW w:w="2341" w:type="dxa"/>
            <w:vAlign w:val="top"/>
          </w:tcPr>
          <w:p w14:paraId="1619D90B">
            <w:pPr>
              <w:pStyle w:val="11"/>
              <w:spacing w:before="92" w:line="221" w:lineRule="auto"/>
              <w:ind w:left="422"/>
            </w:pPr>
            <w:r>
              <w:rPr>
                <w:spacing w:val="-2"/>
              </w:rPr>
              <w:t>资金来源及比例</w:t>
            </w:r>
          </w:p>
        </w:tc>
        <w:tc>
          <w:tcPr>
            <w:tcW w:w="4747" w:type="dxa"/>
            <w:gridSpan w:val="2"/>
            <w:vAlign w:val="top"/>
          </w:tcPr>
          <w:p w14:paraId="39ABB36C">
            <w:pPr>
              <w:rPr>
                <w:rFonts w:ascii="Arial"/>
                <w:sz w:val="21"/>
              </w:rPr>
            </w:pPr>
          </w:p>
        </w:tc>
      </w:tr>
      <w:tr w14:paraId="19BBDD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trPr>
        <w:tc>
          <w:tcPr>
            <w:tcW w:w="1948" w:type="dxa"/>
            <w:vAlign w:val="top"/>
          </w:tcPr>
          <w:p w14:paraId="53629488">
            <w:pPr>
              <w:pStyle w:val="11"/>
              <w:spacing w:before="93" w:line="222" w:lineRule="auto"/>
              <w:ind w:left="562"/>
            </w:pPr>
            <w:r>
              <w:rPr>
                <w:spacing w:val="-2"/>
              </w:rPr>
              <w:t>建设地址</w:t>
            </w:r>
          </w:p>
        </w:tc>
        <w:tc>
          <w:tcPr>
            <w:tcW w:w="12196" w:type="dxa"/>
            <w:gridSpan w:val="5"/>
            <w:vAlign w:val="top"/>
          </w:tcPr>
          <w:p w14:paraId="497E5274">
            <w:pPr>
              <w:rPr>
                <w:rFonts w:ascii="Arial"/>
                <w:sz w:val="21"/>
              </w:rPr>
            </w:pPr>
          </w:p>
        </w:tc>
      </w:tr>
      <w:tr w14:paraId="72047A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trPr>
        <w:tc>
          <w:tcPr>
            <w:tcW w:w="1948" w:type="dxa"/>
            <w:vAlign w:val="top"/>
          </w:tcPr>
          <w:p w14:paraId="76DA14F1">
            <w:pPr>
              <w:pStyle w:val="11"/>
              <w:spacing w:before="92" w:line="221" w:lineRule="auto"/>
              <w:ind w:left="579"/>
            </w:pPr>
            <w:r>
              <w:rPr>
                <w:spacing w:val="-5"/>
              </w:rPr>
              <w:t>中标内容</w:t>
            </w:r>
          </w:p>
        </w:tc>
        <w:tc>
          <w:tcPr>
            <w:tcW w:w="12196" w:type="dxa"/>
            <w:gridSpan w:val="5"/>
            <w:vAlign w:val="top"/>
          </w:tcPr>
          <w:p w14:paraId="7FF43981">
            <w:pPr>
              <w:rPr>
                <w:rFonts w:ascii="Arial"/>
                <w:sz w:val="21"/>
              </w:rPr>
            </w:pPr>
          </w:p>
        </w:tc>
      </w:tr>
      <w:tr w14:paraId="63B8A9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7" w:hRule="atLeast"/>
        </w:trPr>
        <w:tc>
          <w:tcPr>
            <w:tcW w:w="1948" w:type="dxa"/>
            <w:vAlign w:val="top"/>
          </w:tcPr>
          <w:p w14:paraId="44E88BF4">
            <w:pPr>
              <w:pStyle w:val="11"/>
              <w:spacing w:before="103" w:line="221" w:lineRule="auto"/>
              <w:ind w:left="560"/>
            </w:pPr>
            <w:r>
              <w:rPr>
                <w:spacing w:val="-1"/>
              </w:rPr>
              <w:t>计划工期</w:t>
            </w:r>
          </w:p>
        </w:tc>
        <w:tc>
          <w:tcPr>
            <w:tcW w:w="5108" w:type="dxa"/>
            <w:gridSpan w:val="2"/>
            <w:vAlign w:val="top"/>
          </w:tcPr>
          <w:p w14:paraId="64E7ED3A">
            <w:pPr>
              <w:rPr>
                <w:rFonts w:ascii="Arial"/>
                <w:sz w:val="21"/>
              </w:rPr>
            </w:pPr>
          </w:p>
        </w:tc>
        <w:tc>
          <w:tcPr>
            <w:tcW w:w="2361" w:type="dxa"/>
            <w:gridSpan w:val="2"/>
            <w:vAlign w:val="top"/>
          </w:tcPr>
          <w:p w14:paraId="0F5C949C">
            <w:pPr>
              <w:pStyle w:val="11"/>
              <w:spacing w:before="103" w:line="221" w:lineRule="auto"/>
              <w:ind w:left="361"/>
            </w:pPr>
            <w:r>
              <w:rPr>
                <w:spacing w:val="-3"/>
              </w:rPr>
              <w:t>总工期（日历天）</w:t>
            </w:r>
          </w:p>
        </w:tc>
        <w:tc>
          <w:tcPr>
            <w:tcW w:w="4727" w:type="dxa"/>
            <w:vAlign w:val="top"/>
          </w:tcPr>
          <w:p w14:paraId="67982496">
            <w:pPr>
              <w:rPr>
                <w:rFonts w:ascii="Arial"/>
                <w:sz w:val="21"/>
              </w:rPr>
            </w:pPr>
          </w:p>
        </w:tc>
      </w:tr>
      <w:tr w14:paraId="2EC3F3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trPr>
        <w:tc>
          <w:tcPr>
            <w:tcW w:w="1948" w:type="dxa"/>
            <w:vAlign w:val="top"/>
          </w:tcPr>
          <w:p w14:paraId="449CC067">
            <w:pPr>
              <w:pStyle w:val="11"/>
              <w:spacing w:before="93" w:line="221" w:lineRule="auto"/>
              <w:ind w:left="569"/>
            </w:pPr>
            <w:r>
              <w:rPr>
                <w:spacing w:val="-3"/>
              </w:rPr>
              <w:t>资质等级</w:t>
            </w:r>
          </w:p>
        </w:tc>
        <w:tc>
          <w:tcPr>
            <w:tcW w:w="5108" w:type="dxa"/>
            <w:gridSpan w:val="2"/>
            <w:vAlign w:val="top"/>
          </w:tcPr>
          <w:p w14:paraId="3BA52DEE">
            <w:pPr>
              <w:rPr>
                <w:rFonts w:ascii="Arial"/>
                <w:sz w:val="21"/>
              </w:rPr>
            </w:pPr>
          </w:p>
        </w:tc>
        <w:tc>
          <w:tcPr>
            <w:tcW w:w="2361" w:type="dxa"/>
            <w:gridSpan w:val="2"/>
            <w:vAlign w:val="top"/>
          </w:tcPr>
          <w:p w14:paraId="68FAFC19">
            <w:pPr>
              <w:pStyle w:val="11"/>
              <w:spacing w:before="94" w:line="221" w:lineRule="auto"/>
              <w:ind w:left="774"/>
            </w:pPr>
            <w:r>
              <w:rPr>
                <w:spacing w:val="-1"/>
              </w:rPr>
              <w:t>质量标准</w:t>
            </w:r>
          </w:p>
        </w:tc>
        <w:tc>
          <w:tcPr>
            <w:tcW w:w="4727" w:type="dxa"/>
            <w:vAlign w:val="top"/>
          </w:tcPr>
          <w:p w14:paraId="1D1458BD">
            <w:pPr>
              <w:rPr>
                <w:rFonts w:ascii="Arial"/>
                <w:sz w:val="21"/>
              </w:rPr>
            </w:pPr>
          </w:p>
        </w:tc>
      </w:tr>
      <w:tr w14:paraId="7FB16F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7" w:hRule="atLeast"/>
        </w:trPr>
        <w:tc>
          <w:tcPr>
            <w:tcW w:w="1948" w:type="dxa"/>
            <w:vAlign w:val="top"/>
          </w:tcPr>
          <w:p w14:paraId="5F9803D1">
            <w:pPr>
              <w:pStyle w:val="11"/>
              <w:spacing w:before="99" w:line="221" w:lineRule="auto"/>
              <w:ind w:left="563"/>
            </w:pPr>
            <w:r>
              <w:rPr>
                <w:spacing w:val="-2"/>
              </w:rPr>
              <w:t>项目经理</w:t>
            </w:r>
          </w:p>
        </w:tc>
        <w:tc>
          <w:tcPr>
            <w:tcW w:w="2764" w:type="dxa"/>
            <w:vAlign w:val="top"/>
          </w:tcPr>
          <w:p w14:paraId="01568C26">
            <w:pPr>
              <w:rPr>
                <w:rFonts w:ascii="Arial"/>
                <w:sz w:val="21"/>
              </w:rPr>
            </w:pPr>
          </w:p>
        </w:tc>
        <w:tc>
          <w:tcPr>
            <w:tcW w:w="2344" w:type="dxa"/>
            <w:vAlign w:val="top"/>
          </w:tcPr>
          <w:p w14:paraId="194656FD">
            <w:pPr>
              <w:pStyle w:val="11"/>
              <w:spacing w:before="98" w:line="220" w:lineRule="auto"/>
              <w:ind w:left="461"/>
            </w:pPr>
            <w:r>
              <w:rPr>
                <w:spacing w:val="-2"/>
              </w:rPr>
              <w:t>资格证书及编号</w:t>
            </w:r>
          </w:p>
        </w:tc>
        <w:tc>
          <w:tcPr>
            <w:tcW w:w="7088" w:type="dxa"/>
            <w:gridSpan w:val="3"/>
            <w:vAlign w:val="top"/>
          </w:tcPr>
          <w:p w14:paraId="0B1CA253">
            <w:pPr>
              <w:rPr>
                <w:rFonts w:ascii="Arial"/>
                <w:sz w:val="21"/>
              </w:rPr>
            </w:pPr>
          </w:p>
        </w:tc>
      </w:tr>
      <w:tr w14:paraId="3B20D3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trPr>
        <w:tc>
          <w:tcPr>
            <w:tcW w:w="1948" w:type="dxa"/>
            <w:vMerge w:val="restart"/>
            <w:tcBorders>
              <w:bottom w:val="nil"/>
            </w:tcBorders>
            <w:vAlign w:val="top"/>
          </w:tcPr>
          <w:p w14:paraId="528CAD86">
            <w:pPr>
              <w:pStyle w:val="11"/>
              <w:spacing w:before="252" w:line="221" w:lineRule="auto"/>
              <w:ind w:left="579"/>
            </w:pPr>
            <w:r>
              <w:rPr>
                <w:spacing w:val="-5"/>
              </w:rPr>
              <w:t>中标金额</w:t>
            </w:r>
          </w:p>
        </w:tc>
        <w:tc>
          <w:tcPr>
            <w:tcW w:w="12196" w:type="dxa"/>
            <w:gridSpan w:val="5"/>
            <w:vAlign w:val="top"/>
          </w:tcPr>
          <w:p w14:paraId="18DA4319">
            <w:pPr>
              <w:pStyle w:val="11"/>
              <w:spacing w:before="95" w:line="221" w:lineRule="auto"/>
              <w:ind w:left="117"/>
            </w:pPr>
            <w:r>
              <w:rPr>
                <w:spacing w:val="-13"/>
              </w:rPr>
              <w:t>大写：</w:t>
            </w:r>
          </w:p>
        </w:tc>
      </w:tr>
      <w:tr w14:paraId="227706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trPr>
        <w:tc>
          <w:tcPr>
            <w:tcW w:w="1948" w:type="dxa"/>
            <w:vMerge w:val="continue"/>
            <w:tcBorders>
              <w:top w:val="nil"/>
            </w:tcBorders>
            <w:vAlign w:val="top"/>
          </w:tcPr>
          <w:p w14:paraId="4C2B09EF">
            <w:pPr>
              <w:rPr>
                <w:rFonts w:ascii="Arial"/>
                <w:sz w:val="21"/>
              </w:rPr>
            </w:pPr>
          </w:p>
        </w:tc>
        <w:tc>
          <w:tcPr>
            <w:tcW w:w="12196" w:type="dxa"/>
            <w:gridSpan w:val="5"/>
            <w:vAlign w:val="top"/>
          </w:tcPr>
          <w:p w14:paraId="5FA0668A">
            <w:pPr>
              <w:pStyle w:val="11"/>
              <w:spacing w:before="52" w:line="219" w:lineRule="auto"/>
              <w:ind w:left="120"/>
            </w:pPr>
            <w:r>
              <w:rPr>
                <w:spacing w:val="-14"/>
              </w:rPr>
              <w:t>小写：</w:t>
            </w:r>
          </w:p>
        </w:tc>
      </w:tr>
      <w:tr w14:paraId="1B7CE6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7" w:hRule="atLeast"/>
        </w:trPr>
        <w:tc>
          <w:tcPr>
            <w:tcW w:w="1948" w:type="dxa"/>
            <w:vAlign w:val="top"/>
          </w:tcPr>
          <w:p w14:paraId="13E126B3">
            <w:pPr>
              <w:pStyle w:val="11"/>
              <w:spacing w:before="94" w:line="221" w:lineRule="auto"/>
              <w:ind w:left="259"/>
            </w:pPr>
            <w:r>
              <w:rPr>
                <w:spacing w:val="-3"/>
              </w:rPr>
              <w:t>需要说明的事项</w:t>
            </w:r>
          </w:p>
        </w:tc>
        <w:tc>
          <w:tcPr>
            <w:tcW w:w="12196" w:type="dxa"/>
            <w:gridSpan w:val="5"/>
            <w:vAlign w:val="top"/>
          </w:tcPr>
          <w:p w14:paraId="4AE9F03A">
            <w:pPr>
              <w:rPr>
                <w:rFonts w:ascii="Arial"/>
                <w:sz w:val="21"/>
              </w:rPr>
            </w:pPr>
          </w:p>
        </w:tc>
      </w:tr>
      <w:tr w14:paraId="642F0D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07" w:hRule="atLeast"/>
        </w:trPr>
        <w:tc>
          <w:tcPr>
            <w:tcW w:w="4712" w:type="dxa"/>
            <w:gridSpan w:val="2"/>
            <w:vAlign w:val="top"/>
          </w:tcPr>
          <w:p w14:paraId="4232790E">
            <w:pPr>
              <w:spacing w:line="471" w:lineRule="auto"/>
              <w:rPr>
                <w:rFonts w:ascii="Arial"/>
                <w:sz w:val="21"/>
              </w:rPr>
            </w:pPr>
          </w:p>
          <w:p w14:paraId="5627DD90">
            <w:pPr>
              <w:pStyle w:val="11"/>
              <w:spacing w:before="68" w:line="220" w:lineRule="auto"/>
              <w:ind w:left="748"/>
            </w:pPr>
            <w:r>
              <w:rPr>
                <w:spacing w:val="-2"/>
              </w:rPr>
              <w:t>招标人（盖章）</w:t>
            </w:r>
          </w:p>
          <w:p w14:paraId="5AA09A34">
            <w:pPr>
              <w:pStyle w:val="11"/>
              <w:spacing w:before="152" w:line="220" w:lineRule="auto"/>
              <w:ind w:left="748"/>
            </w:pPr>
            <w:r>
              <w:rPr>
                <w:spacing w:val="-2"/>
              </w:rPr>
              <w:t>法定代表人（签章）</w:t>
            </w:r>
          </w:p>
          <w:p w14:paraId="4CCCB611">
            <w:pPr>
              <w:pStyle w:val="11"/>
              <w:spacing w:before="147" w:line="221" w:lineRule="auto"/>
              <w:ind w:left="2735"/>
            </w:pPr>
            <w:r>
              <w:rPr>
                <w:spacing w:val="-7"/>
              </w:rPr>
              <w:t>年</w:t>
            </w:r>
            <w:r>
              <w:rPr>
                <w:spacing w:val="5"/>
              </w:rPr>
              <w:t xml:space="preserve">  </w:t>
            </w:r>
            <w:r>
              <w:rPr>
                <w:spacing w:val="-7"/>
              </w:rPr>
              <w:t>月</w:t>
            </w:r>
            <w:r>
              <w:rPr>
                <w:spacing w:val="22"/>
              </w:rPr>
              <w:t xml:space="preserve">  </w:t>
            </w:r>
            <w:r>
              <w:rPr>
                <w:spacing w:val="-7"/>
              </w:rPr>
              <w:t>日</w:t>
            </w:r>
          </w:p>
        </w:tc>
        <w:tc>
          <w:tcPr>
            <w:tcW w:w="4705" w:type="dxa"/>
            <w:gridSpan w:val="3"/>
            <w:vAlign w:val="top"/>
          </w:tcPr>
          <w:p w14:paraId="08518EA7">
            <w:pPr>
              <w:spacing w:line="471" w:lineRule="auto"/>
              <w:rPr>
                <w:rFonts w:ascii="Arial"/>
                <w:sz w:val="21"/>
              </w:rPr>
            </w:pPr>
          </w:p>
          <w:p w14:paraId="3B836B70">
            <w:pPr>
              <w:pStyle w:val="11"/>
              <w:spacing w:before="68" w:line="220" w:lineRule="auto"/>
              <w:ind w:left="746"/>
            </w:pPr>
            <w:r>
              <w:rPr>
                <w:spacing w:val="-3"/>
              </w:rPr>
              <w:t>招标代理（盖章）</w:t>
            </w:r>
          </w:p>
          <w:p w14:paraId="13AA3DE1">
            <w:pPr>
              <w:pStyle w:val="11"/>
              <w:spacing w:before="152" w:line="220" w:lineRule="auto"/>
              <w:ind w:left="746"/>
            </w:pPr>
            <w:r>
              <w:rPr>
                <w:spacing w:val="-2"/>
              </w:rPr>
              <w:t>法定代表人（签章）</w:t>
            </w:r>
          </w:p>
          <w:p w14:paraId="053CAC91">
            <w:pPr>
              <w:pStyle w:val="11"/>
              <w:spacing w:before="147" w:line="221" w:lineRule="auto"/>
              <w:ind w:left="2786"/>
            </w:pPr>
            <w:r>
              <w:rPr>
                <w:spacing w:val="-7"/>
              </w:rPr>
              <w:t>年</w:t>
            </w:r>
            <w:r>
              <w:rPr>
                <w:spacing w:val="7"/>
              </w:rPr>
              <w:t xml:space="preserve">  </w:t>
            </w:r>
            <w:r>
              <w:rPr>
                <w:spacing w:val="-7"/>
              </w:rPr>
              <w:t>月</w:t>
            </w:r>
            <w:r>
              <w:rPr>
                <w:spacing w:val="20"/>
              </w:rPr>
              <w:t xml:space="preserve">  </w:t>
            </w:r>
            <w:r>
              <w:rPr>
                <w:spacing w:val="-7"/>
              </w:rPr>
              <w:t>日</w:t>
            </w:r>
          </w:p>
        </w:tc>
        <w:tc>
          <w:tcPr>
            <w:tcW w:w="4727" w:type="dxa"/>
            <w:vAlign w:val="top"/>
          </w:tcPr>
          <w:p w14:paraId="720AF59C">
            <w:pPr>
              <w:spacing w:line="471" w:lineRule="auto"/>
              <w:rPr>
                <w:rFonts w:ascii="Arial"/>
                <w:sz w:val="21"/>
              </w:rPr>
            </w:pPr>
          </w:p>
          <w:p w14:paraId="3CE6916D">
            <w:pPr>
              <w:pStyle w:val="11"/>
              <w:spacing w:before="69" w:line="403" w:lineRule="exact"/>
              <w:ind w:left="645"/>
            </w:pPr>
            <w:r>
              <w:rPr>
                <w:spacing w:val="-3"/>
                <w:position w:val="14"/>
              </w:rPr>
              <w:t>监管部门（盖章）</w:t>
            </w:r>
          </w:p>
          <w:p w14:paraId="449BF97F">
            <w:pPr>
              <w:pStyle w:val="11"/>
              <w:spacing w:line="219" w:lineRule="auto"/>
              <w:ind w:left="646"/>
            </w:pPr>
            <w:r>
              <w:rPr>
                <w:spacing w:val="-2"/>
              </w:rPr>
              <w:t>经办人（签章）</w:t>
            </w:r>
          </w:p>
          <w:p w14:paraId="7B3CEE7B">
            <w:pPr>
              <w:pStyle w:val="11"/>
              <w:spacing w:before="147" w:line="221" w:lineRule="auto"/>
              <w:ind w:left="2638"/>
            </w:pPr>
            <w:r>
              <w:rPr>
                <w:spacing w:val="-7"/>
              </w:rPr>
              <w:t>年</w:t>
            </w:r>
            <w:r>
              <w:rPr>
                <w:spacing w:val="4"/>
              </w:rPr>
              <w:t xml:space="preserve">  </w:t>
            </w:r>
            <w:r>
              <w:rPr>
                <w:spacing w:val="-7"/>
              </w:rPr>
              <w:t>月</w:t>
            </w:r>
            <w:r>
              <w:rPr>
                <w:spacing w:val="23"/>
              </w:rPr>
              <w:t xml:space="preserve">  </w:t>
            </w:r>
            <w:r>
              <w:rPr>
                <w:spacing w:val="-7"/>
              </w:rPr>
              <w:t>日</w:t>
            </w:r>
          </w:p>
        </w:tc>
      </w:tr>
    </w:tbl>
    <w:p w14:paraId="57D4E2F4">
      <w:pPr>
        <w:pStyle w:val="3"/>
      </w:pPr>
    </w:p>
    <w:p w14:paraId="0396FF52">
      <w:pPr>
        <w:sectPr>
          <w:footerReference r:id="rId40" w:type="default"/>
          <w:pgSz w:w="16839" w:h="11905"/>
          <w:pgMar w:top="1011" w:right="1248" w:bottom="991" w:left="1440" w:header="0" w:footer="786" w:gutter="0"/>
          <w:pgNumType w:fmt="decimal"/>
          <w:cols w:space="720" w:num="1"/>
        </w:sectPr>
      </w:pPr>
    </w:p>
    <w:p w14:paraId="7C464C1E">
      <w:pPr>
        <w:pStyle w:val="3"/>
        <w:spacing w:line="465" w:lineRule="auto"/>
      </w:pPr>
    </w:p>
    <w:p w14:paraId="5A3ECD25">
      <w:pPr>
        <w:spacing w:before="78" w:line="220" w:lineRule="auto"/>
        <w:ind w:left="32"/>
        <w:rPr>
          <w:rFonts w:ascii="黑体" w:hAnsi="黑体" w:eastAsia="黑体" w:cs="黑体"/>
          <w:sz w:val="24"/>
          <w:szCs w:val="24"/>
        </w:rPr>
      </w:pPr>
      <w:r>
        <w:rPr>
          <w:rFonts w:ascii="黑体" w:hAnsi="黑体" w:eastAsia="黑体" w:cs="黑体"/>
          <w:spacing w:val="-4"/>
          <w:sz w:val="24"/>
          <w:szCs w:val="24"/>
        </w:rPr>
        <w:t>附表九：中标结果通知书</w:t>
      </w:r>
    </w:p>
    <w:p w14:paraId="63571593">
      <w:pPr>
        <w:pStyle w:val="3"/>
        <w:spacing w:line="266" w:lineRule="auto"/>
      </w:pPr>
    </w:p>
    <w:p w14:paraId="3195E4A7">
      <w:pPr>
        <w:pStyle w:val="3"/>
        <w:spacing w:line="266" w:lineRule="auto"/>
      </w:pPr>
    </w:p>
    <w:p w14:paraId="00FDADA1">
      <w:pPr>
        <w:spacing w:before="88" w:line="225" w:lineRule="auto"/>
        <w:ind w:left="3221"/>
        <w:rPr>
          <w:rFonts w:ascii="黑体" w:hAnsi="黑体" w:eastAsia="黑体" w:cs="黑体"/>
          <w:sz w:val="27"/>
          <w:szCs w:val="27"/>
        </w:rPr>
      </w:pPr>
      <w:r>
        <w:rPr>
          <w:rFonts w:ascii="黑体" w:hAnsi="黑体" w:eastAsia="黑体" w:cs="黑体"/>
          <w:spacing w:val="4"/>
          <w:sz w:val="27"/>
          <w:szCs w:val="27"/>
        </w:rPr>
        <w:t>中标结果通知书</w:t>
      </w:r>
    </w:p>
    <w:p w14:paraId="1259FF49">
      <w:pPr>
        <w:pStyle w:val="3"/>
        <w:spacing w:line="378" w:lineRule="auto"/>
      </w:pPr>
    </w:p>
    <w:p w14:paraId="7C20D558">
      <w:pPr>
        <w:tabs>
          <w:tab w:val="left" w:pos="1166"/>
        </w:tabs>
        <w:spacing w:before="68" w:line="221" w:lineRule="auto"/>
        <w:ind w:left="10"/>
        <w:rPr>
          <w:rFonts w:ascii="宋体" w:hAnsi="宋体" w:eastAsia="宋体" w:cs="宋体"/>
          <w:sz w:val="21"/>
          <w:szCs w:val="21"/>
        </w:rPr>
      </w:pPr>
      <w:r>
        <w:rPr>
          <w:rFonts w:ascii="宋体" w:hAnsi="宋体" w:eastAsia="宋体" w:cs="宋体"/>
          <w:sz w:val="21"/>
          <w:szCs w:val="21"/>
          <w:u w:val="single" w:color="auto"/>
        </w:rPr>
        <w:tab/>
      </w:r>
      <w:r>
        <w:rPr>
          <w:rFonts w:ascii="宋体" w:hAnsi="宋体" w:eastAsia="宋体" w:cs="宋体"/>
          <w:spacing w:val="16"/>
          <w:sz w:val="21"/>
          <w:szCs w:val="21"/>
        </w:rPr>
        <w:t xml:space="preserve"> </w:t>
      </w:r>
      <w:r>
        <w:rPr>
          <w:rFonts w:ascii="宋体" w:hAnsi="宋体" w:eastAsia="宋体" w:cs="宋体"/>
          <w:spacing w:val="-27"/>
          <w:w w:val="98"/>
          <w:sz w:val="21"/>
          <w:szCs w:val="21"/>
        </w:rPr>
        <w:t>（未中标人名称</w:t>
      </w:r>
      <w:r>
        <w:rPr>
          <w:rFonts w:ascii="宋体" w:hAnsi="宋体" w:eastAsia="宋体" w:cs="宋体"/>
          <w:spacing w:val="-9"/>
          <w:sz w:val="21"/>
          <w:szCs w:val="21"/>
        </w:rPr>
        <w:t>）：</w:t>
      </w:r>
    </w:p>
    <w:p w14:paraId="6B923831">
      <w:pPr>
        <w:pStyle w:val="3"/>
        <w:spacing w:line="318" w:lineRule="auto"/>
      </w:pPr>
    </w:p>
    <w:p w14:paraId="64182877">
      <w:pPr>
        <w:pStyle w:val="3"/>
        <w:spacing w:line="318" w:lineRule="auto"/>
      </w:pPr>
    </w:p>
    <w:p w14:paraId="0B94581A">
      <w:pPr>
        <w:spacing w:before="68" w:line="422" w:lineRule="auto"/>
        <w:jc w:val="right"/>
        <w:rPr>
          <w:rFonts w:ascii="宋体" w:hAnsi="宋体" w:eastAsia="宋体" w:cs="宋体"/>
          <w:sz w:val="21"/>
          <w:szCs w:val="21"/>
        </w:rPr>
      </w:pPr>
      <w:r>
        <w:rPr>
          <w:rFonts w:ascii="宋体" w:hAnsi="宋体" w:eastAsia="宋体" w:cs="宋体"/>
          <w:spacing w:val="-6"/>
          <w:sz w:val="21"/>
          <w:szCs w:val="21"/>
        </w:rPr>
        <w:t>我方已接受</w:t>
      </w:r>
      <w:r>
        <w:rPr>
          <w:rFonts w:ascii="宋体" w:hAnsi="宋体" w:eastAsia="宋体" w:cs="宋体"/>
          <w:spacing w:val="-88"/>
          <w:sz w:val="21"/>
          <w:szCs w:val="21"/>
        </w:rPr>
        <w:t xml:space="preserve"> </w:t>
      </w:r>
      <w:r>
        <w:rPr>
          <w:rFonts w:ascii="宋体" w:hAnsi="宋体" w:eastAsia="宋体" w:cs="宋体"/>
          <w:spacing w:val="-6"/>
          <w:sz w:val="21"/>
          <w:szCs w:val="21"/>
          <w:u w:val="single" w:color="auto"/>
        </w:rPr>
        <w:t xml:space="preserve">         </w:t>
      </w:r>
      <w:r>
        <w:rPr>
          <w:rFonts w:ascii="宋体" w:hAnsi="宋体" w:eastAsia="宋体" w:cs="宋体"/>
          <w:spacing w:val="-6"/>
          <w:sz w:val="21"/>
          <w:szCs w:val="21"/>
        </w:rPr>
        <w:t>（中标人名称）于</w:t>
      </w:r>
      <w:r>
        <w:rPr>
          <w:rFonts w:ascii="宋体" w:hAnsi="宋体" w:eastAsia="宋体" w:cs="宋体"/>
          <w:spacing w:val="-104"/>
          <w:sz w:val="21"/>
          <w:szCs w:val="21"/>
        </w:rPr>
        <w:t xml:space="preserve"> </w:t>
      </w:r>
      <w:r>
        <w:rPr>
          <w:rFonts w:ascii="宋体" w:hAnsi="宋体" w:eastAsia="宋体" w:cs="宋体"/>
          <w:spacing w:val="-6"/>
          <w:sz w:val="21"/>
          <w:szCs w:val="21"/>
          <w:u w:val="single" w:color="auto"/>
        </w:rPr>
        <w:t xml:space="preserve">           </w:t>
      </w:r>
      <w:r>
        <w:rPr>
          <w:rFonts w:ascii="宋体" w:hAnsi="宋体" w:eastAsia="宋体" w:cs="宋体"/>
          <w:spacing w:val="-6"/>
          <w:sz w:val="21"/>
          <w:szCs w:val="21"/>
        </w:rPr>
        <w:t xml:space="preserve"> （投标日期）所递交的</w:t>
      </w:r>
      <w:r>
        <w:rPr>
          <w:rFonts w:ascii="宋体" w:hAnsi="宋体" w:eastAsia="宋体" w:cs="宋体"/>
          <w:spacing w:val="-104"/>
          <w:sz w:val="21"/>
          <w:szCs w:val="21"/>
        </w:rPr>
        <w:t xml:space="preserve"> </w:t>
      </w:r>
      <w:r>
        <w:rPr>
          <w:rFonts w:ascii="宋体" w:hAnsi="宋体" w:eastAsia="宋体" w:cs="宋体"/>
          <w:spacing w:val="19"/>
          <w:sz w:val="21"/>
          <w:szCs w:val="21"/>
          <w:u w:val="single" w:color="auto"/>
        </w:rPr>
        <w:t xml:space="preserve">     </w:t>
      </w:r>
      <w:r>
        <w:rPr>
          <w:rFonts w:ascii="宋体" w:hAnsi="宋体" w:eastAsia="宋体" w:cs="宋体"/>
          <w:spacing w:val="-44"/>
          <w:sz w:val="21"/>
          <w:szCs w:val="21"/>
        </w:rPr>
        <w:t xml:space="preserve"> </w:t>
      </w:r>
      <w:r>
        <w:rPr>
          <w:rFonts w:ascii="宋体" w:hAnsi="宋体" w:eastAsia="宋体" w:cs="宋体"/>
          <w:spacing w:val="-6"/>
          <w:sz w:val="21"/>
          <w:szCs w:val="21"/>
        </w:rPr>
        <w:t>（标</w:t>
      </w:r>
    </w:p>
    <w:p w14:paraId="2240D681">
      <w:pPr>
        <w:spacing w:line="220" w:lineRule="auto"/>
        <w:ind w:left="19"/>
        <w:rPr>
          <w:rFonts w:ascii="宋体" w:hAnsi="宋体" w:eastAsia="宋体" w:cs="宋体"/>
          <w:sz w:val="21"/>
          <w:szCs w:val="21"/>
        </w:rPr>
      </w:pPr>
      <w:r>
        <w:rPr>
          <w:rFonts w:ascii="宋体" w:hAnsi="宋体" w:eastAsia="宋体" w:cs="宋体"/>
          <w:spacing w:val="-6"/>
          <w:sz w:val="21"/>
          <w:szCs w:val="21"/>
        </w:rPr>
        <w:t>段名称）项目（标段唯一标识码</w:t>
      </w:r>
      <w:r>
        <w:rPr>
          <w:rFonts w:ascii="宋体" w:hAnsi="宋体" w:eastAsia="宋体" w:cs="宋体"/>
          <w:spacing w:val="-5"/>
          <w:sz w:val="21"/>
          <w:szCs w:val="21"/>
        </w:rPr>
        <w:t>：</w:t>
      </w:r>
      <w:r>
        <w:rPr>
          <w:rFonts w:ascii="宋体" w:hAnsi="宋体" w:eastAsia="宋体" w:cs="宋体"/>
          <w:spacing w:val="-27"/>
          <w:sz w:val="21"/>
          <w:szCs w:val="21"/>
        </w:rPr>
        <w:t xml:space="preserve"> </w:t>
      </w:r>
      <w:r>
        <w:rPr>
          <w:rFonts w:ascii="宋体" w:hAnsi="宋体" w:eastAsia="宋体" w:cs="宋体"/>
          <w:sz w:val="21"/>
          <w:szCs w:val="21"/>
          <w:u w:val="single" w:color="auto"/>
        </w:rPr>
        <w:t xml:space="preserve">    </w:t>
      </w:r>
      <w:r>
        <w:rPr>
          <w:rFonts w:ascii="宋体" w:hAnsi="宋体" w:eastAsia="宋体" w:cs="宋体"/>
          <w:spacing w:val="-24"/>
          <w:sz w:val="21"/>
          <w:szCs w:val="21"/>
        </w:rPr>
        <w:t xml:space="preserve"> </w:t>
      </w:r>
      <w:r>
        <w:rPr>
          <w:rFonts w:ascii="宋体" w:hAnsi="宋体" w:eastAsia="宋体" w:cs="宋体"/>
          <w:spacing w:val="-5"/>
          <w:sz w:val="21"/>
          <w:szCs w:val="21"/>
        </w:rPr>
        <w:t>）</w:t>
      </w:r>
      <w:r>
        <w:rPr>
          <w:rFonts w:ascii="宋体" w:hAnsi="宋体" w:eastAsia="宋体" w:cs="宋体"/>
          <w:spacing w:val="-6"/>
          <w:sz w:val="21"/>
          <w:szCs w:val="21"/>
        </w:rPr>
        <w:t>投标文件，</w:t>
      </w:r>
      <w:r>
        <w:rPr>
          <w:rFonts w:ascii="宋体" w:hAnsi="宋体" w:eastAsia="宋体" w:cs="宋体"/>
          <w:spacing w:val="-21"/>
          <w:sz w:val="21"/>
          <w:szCs w:val="21"/>
        </w:rPr>
        <w:t xml:space="preserve"> </w:t>
      </w:r>
      <w:r>
        <w:rPr>
          <w:rFonts w:ascii="宋体" w:hAnsi="宋体" w:eastAsia="宋体" w:cs="宋体"/>
          <w:spacing w:val="-6"/>
          <w:sz w:val="21"/>
          <w:szCs w:val="21"/>
        </w:rPr>
        <w:t>确定</w:t>
      </w:r>
      <w:r>
        <w:rPr>
          <w:rFonts w:ascii="宋体" w:hAnsi="宋体" w:eastAsia="宋体" w:cs="宋体"/>
          <w:spacing w:val="-104"/>
          <w:sz w:val="21"/>
          <w:szCs w:val="21"/>
        </w:rPr>
        <w:t xml:space="preserve"> </w:t>
      </w:r>
      <w:r>
        <w:rPr>
          <w:rFonts w:ascii="宋体" w:hAnsi="宋体" w:eastAsia="宋体" w:cs="宋体"/>
          <w:spacing w:val="13"/>
          <w:sz w:val="21"/>
          <w:szCs w:val="21"/>
          <w:u w:val="single" w:color="auto"/>
        </w:rPr>
        <w:t xml:space="preserve">    </w:t>
      </w:r>
      <w:r>
        <w:rPr>
          <w:rFonts w:ascii="宋体" w:hAnsi="宋体" w:eastAsia="宋体" w:cs="宋体"/>
          <w:spacing w:val="-6"/>
          <w:sz w:val="21"/>
          <w:szCs w:val="21"/>
        </w:rPr>
        <w:t>（</w:t>
      </w:r>
      <w:r>
        <w:rPr>
          <w:rFonts w:ascii="宋体" w:hAnsi="宋体" w:eastAsia="宋体" w:cs="宋体"/>
          <w:spacing w:val="-7"/>
          <w:sz w:val="21"/>
          <w:szCs w:val="21"/>
        </w:rPr>
        <w:t>中标人名称）为中标人。</w:t>
      </w:r>
    </w:p>
    <w:p w14:paraId="507DC73D">
      <w:pPr>
        <w:pStyle w:val="3"/>
        <w:spacing w:line="319" w:lineRule="auto"/>
      </w:pPr>
    </w:p>
    <w:p w14:paraId="11730E5A">
      <w:pPr>
        <w:pStyle w:val="3"/>
        <w:spacing w:line="319" w:lineRule="auto"/>
      </w:pPr>
    </w:p>
    <w:p w14:paraId="4CB7A35B">
      <w:pPr>
        <w:spacing w:before="68" w:line="234" w:lineRule="auto"/>
        <w:ind w:left="442"/>
        <w:rPr>
          <w:rFonts w:ascii="Times New Roman" w:hAnsi="Times New Roman" w:eastAsia="Times New Roman" w:cs="Times New Roman"/>
          <w:sz w:val="21"/>
          <w:szCs w:val="21"/>
        </w:rPr>
      </w:pPr>
      <w:r>
        <w:rPr>
          <w:rFonts w:ascii="宋体" w:hAnsi="宋体" w:eastAsia="宋体" w:cs="宋体"/>
          <w:spacing w:val="-1"/>
          <w:sz w:val="21"/>
          <w:szCs w:val="21"/>
        </w:rPr>
        <w:t>感谢你单位对我方工作的大力支持</w:t>
      </w:r>
      <w:r>
        <w:rPr>
          <w:rFonts w:ascii="Times New Roman" w:hAnsi="Times New Roman" w:eastAsia="Times New Roman" w:cs="Times New Roman"/>
          <w:spacing w:val="-1"/>
          <w:sz w:val="21"/>
          <w:szCs w:val="21"/>
        </w:rPr>
        <w:t>!</w:t>
      </w:r>
    </w:p>
    <w:p w14:paraId="63DCF04D">
      <w:pPr>
        <w:pStyle w:val="3"/>
        <w:spacing w:line="256" w:lineRule="auto"/>
      </w:pPr>
    </w:p>
    <w:p w14:paraId="5DD277C2">
      <w:pPr>
        <w:pStyle w:val="3"/>
        <w:spacing w:line="256" w:lineRule="auto"/>
      </w:pPr>
    </w:p>
    <w:p w14:paraId="2C85CFB8">
      <w:pPr>
        <w:pStyle w:val="3"/>
        <w:spacing w:line="256" w:lineRule="auto"/>
      </w:pPr>
    </w:p>
    <w:p w14:paraId="63308736">
      <w:pPr>
        <w:pStyle w:val="3"/>
        <w:spacing w:line="256" w:lineRule="auto"/>
      </w:pPr>
    </w:p>
    <w:p w14:paraId="4228765F">
      <w:pPr>
        <w:pStyle w:val="3"/>
        <w:spacing w:line="257" w:lineRule="auto"/>
      </w:pPr>
    </w:p>
    <w:p w14:paraId="6F9C9884">
      <w:pPr>
        <w:pStyle w:val="3"/>
        <w:spacing w:line="257" w:lineRule="auto"/>
      </w:pPr>
    </w:p>
    <w:p w14:paraId="0E557995">
      <w:pPr>
        <w:pStyle w:val="3"/>
        <w:spacing w:line="257" w:lineRule="auto"/>
      </w:pPr>
    </w:p>
    <w:p w14:paraId="21F56B02">
      <w:pPr>
        <w:pStyle w:val="3"/>
        <w:spacing w:line="257" w:lineRule="auto"/>
      </w:pPr>
    </w:p>
    <w:p w14:paraId="0E3930B6">
      <w:pPr>
        <w:spacing w:before="69" w:line="422" w:lineRule="auto"/>
        <w:ind w:left="4557" w:right="116"/>
        <w:jc w:val="right"/>
        <w:rPr>
          <w:rFonts w:ascii="宋体" w:hAnsi="宋体" w:eastAsia="宋体" w:cs="宋体"/>
          <w:sz w:val="21"/>
          <w:szCs w:val="21"/>
        </w:rPr>
      </w:pPr>
      <w:r>
        <w:rPr>
          <w:rFonts w:ascii="宋体" w:hAnsi="宋体" w:eastAsia="宋体" w:cs="宋体"/>
          <w:spacing w:val="-24"/>
          <w:sz w:val="21"/>
          <w:szCs w:val="21"/>
        </w:rPr>
        <w:t>招标人</w:t>
      </w:r>
      <w:r>
        <w:rPr>
          <w:rFonts w:ascii="宋体" w:hAnsi="宋体" w:eastAsia="宋体" w:cs="宋体"/>
          <w:spacing w:val="1"/>
          <w:sz w:val="21"/>
          <w:szCs w:val="21"/>
        </w:rPr>
        <w:t>：</w:t>
      </w:r>
      <w:r>
        <w:rPr>
          <w:rFonts w:ascii="宋体" w:hAnsi="宋体" w:eastAsia="宋体" w:cs="宋体"/>
          <w:spacing w:val="11"/>
          <w:sz w:val="21"/>
          <w:szCs w:val="21"/>
        </w:rPr>
        <w:t xml:space="preserve"> </w:t>
      </w:r>
      <w:r>
        <w:rPr>
          <w:rFonts w:ascii="宋体" w:hAnsi="宋体" w:eastAsia="宋体" w:cs="宋体"/>
          <w:spacing w:val="7"/>
          <w:sz w:val="21"/>
          <w:szCs w:val="21"/>
          <w:u w:val="single" w:color="auto"/>
        </w:rPr>
        <w:t xml:space="preserve">              </w:t>
      </w:r>
      <w:r>
        <w:rPr>
          <w:rFonts w:ascii="宋体" w:hAnsi="宋体" w:eastAsia="宋体" w:cs="宋体"/>
          <w:spacing w:val="-42"/>
          <w:sz w:val="21"/>
          <w:szCs w:val="21"/>
        </w:rPr>
        <w:t xml:space="preserve"> </w:t>
      </w:r>
      <w:r>
        <w:rPr>
          <w:rFonts w:ascii="宋体" w:hAnsi="宋体" w:eastAsia="宋体" w:cs="宋体"/>
          <w:spacing w:val="1"/>
          <w:sz w:val="21"/>
          <w:szCs w:val="21"/>
        </w:rPr>
        <w:t>（</w:t>
      </w:r>
      <w:r>
        <w:rPr>
          <w:rFonts w:ascii="宋体" w:hAnsi="宋体" w:eastAsia="宋体" w:cs="宋体"/>
          <w:spacing w:val="-24"/>
          <w:sz w:val="21"/>
          <w:szCs w:val="21"/>
        </w:rPr>
        <w:t>盖单位章）</w:t>
      </w:r>
      <w:r>
        <w:rPr>
          <w:rFonts w:ascii="宋体" w:hAnsi="宋体" w:eastAsia="宋体" w:cs="宋体"/>
          <w:sz w:val="21"/>
          <w:szCs w:val="21"/>
        </w:rPr>
        <w:t xml:space="preserve"> </w:t>
      </w:r>
      <w:r>
        <w:rPr>
          <w:rFonts w:ascii="宋体" w:hAnsi="宋体" w:eastAsia="宋体" w:cs="宋体"/>
          <w:spacing w:val="2"/>
          <w:sz w:val="21"/>
          <w:szCs w:val="21"/>
        </w:rPr>
        <w:t>法定代表人</w:t>
      </w:r>
      <w:r>
        <w:rPr>
          <w:rFonts w:ascii="宋体" w:hAnsi="宋体" w:eastAsia="宋体" w:cs="宋体"/>
          <w:spacing w:val="-17"/>
          <w:sz w:val="21"/>
          <w:szCs w:val="21"/>
        </w:rPr>
        <w:t>：</w:t>
      </w:r>
      <w:r>
        <w:rPr>
          <w:rFonts w:ascii="宋体" w:hAnsi="宋体" w:eastAsia="宋体" w:cs="宋体"/>
          <w:sz w:val="21"/>
          <w:szCs w:val="21"/>
          <w:u w:val="single" w:color="auto"/>
        </w:rPr>
        <w:t xml:space="preserve">              </w:t>
      </w:r>
      <w:r>
        <w:rPr>
          <w:rFonts w:ascii="宋体" w:hAnsi="宋体" w:eastAsia="宋体" w:cs="宋体"/>
          <w:spacing w:val="1"/>
          <w:sz w:val="21"/>
          <w:szCs w:val="21"/>
        </w:rPr>
        <w:t xml:space="preserve"> </w:t>
      </w:r>
      <w:r>
        <w:rPr>
          <w:rFonts w:ascii="宋体" w:hAnsi="宋体" w:eastAsia="宋体" w:cs="宋体"/>
          <w:spacing w:val="-17"/>
          <w:sz w:val="21"/>
          <w:szCs w:val="21"/>
        </w:rPr>
        <w:t>（</w:t>
      </w:r>
      <w:r>
        <w:rPr>
          <w:rFonts w:ascii="宋体" w:hAnsi="宋体" w:eastAsia="宋体" w:cs="宋体"/>
          <w:spacing w:val="2"/>
          <w:sz w:val="21"/>
          <w:szCs w:val="21"/>
        </w:rPr>
        <w:t>签章）</w:t>
      </w:r>
    </w:p>
    <w:p w14:paraId="57CF6C76">
      <w:pPr>
        <w:tabs>
          <w:tab w:val="left" w:pos="6020"/>
        </w:tabs>
        <w:spacing w:before="1" w:line="220" w:lineRule="auto"/>
        <w:ind w:left="5282"/>
        <w:rPr>
          <w:rFonts w:ascii="宋体" w:hAnsi="宋体" w:eastAsia="宋体" w:cs="宋体"/>
          <w:sz w:val="21"/>
          <w:szCs w:val="21"/>
        </w:rPr>
      </w:pPr>
      <w:r>
        <w:rPr>
          <w:rFonts w:ascii="宋体" w:hAnsi="宋体" w:eastAsia="宋体" w:cs="宋体"/>
          <w:sz w:val="21"/>
          <w:szCs w:val="21"/>
          <w:u w:val="single" w:color="auto"/>
        </w:rPr>
        <w:tab/>
      </w:r>
      <w:r>
        <w:rPr>
          <w:rFonts w:ascii="宋体" w:hAnsi="宋体" w:eastAsia="宋体" w:cs="宋体"/>
          <w:spacing w:val="-95"/>
          <w:sz w:val="21"/>
          <w:szCs w:val="21"/>
        </w:rPr>
        <w:t xml:space="preserve"> </w:t>
      </w:r>
      <w:r>
        <w:rPr>
          <w:rFonts w:ascii="宋体" w:hAnsi="宋体" w:eastAsia="宋体" w:cs="宋体"/>
          <w:spacing w:val="-7"/>
          <w:sz w:val="21"/>
          <w:szCs w:val="21"/>
        </w:rPr>
        <w:t>年</w:t>
      </w:r>
      <w:r>
        <w:rPr>
          <w:rFonts w:ascii="宋体" w:hAnsi="宋体" w:eastAsia="宋体" w:cs="宋体"/>
          <w:spacing w:val="-105"/>
          <w:sz w:val="21"/>
          <w:szCs w:val="21"/>
        </w:rPr>
        <w:t xml:space="preserve"> </w:t>
      </w:r>
      <w:r>
        <w:rPr>
          <w:rFonts w:ascii="宋体" w:hAnsi="宋体" w:eastAsia="宋体" w:cs="宋体"/>
          <w:spacing w:val="17"/>
          <w:sz w:val="21"/>
          <w:szCs w:val="21"/>
          <w:u w:val="single" w:color="auto"/>
        </w:rPr>
        <w:t xml:space="preserve">      </w:t>
      </w:r>
      <w:r>
        <w:rPr>
          <w:rFonts w:ascii="宋体" w:hAnsi="宋体" w:eastAsia="宋体" w:cs="宋体"/>
          <w:spacing w:val="-89"/>
          <w:sz w:val="21"/>
          <w:szCs w:val="21"/>
        </w:rPr>
        <w:t xml:space="preserve"> </w:t>
      </w:r>
      <w:r>
        <w:rPr>
          <w:rFonts w:ascii="宋体" w:hAnsi="宋体" w:eastAsia="宋体" w:cs="宋体"/>
          <w:spacing w:val="-7"/>
          <w:sz w:val="21"/>
          <w:szCs w:val="21"/>
        </w:rPr>
        <w:t>月</w:t>
      </w:r>
      <w:r>
        <w:rPr>
          <w:rFonts w:ascii="宋体" w:hAnsi="宋体" w:eastAsia="宋体" w:cs="宋体"/>
          <w:spacing w:val="17"/>
          <w:sz w:val="21"/>
          <w:szCs w:val="21"/>
          <w:u w:val="single" w:color="auto"/>
        </w:rPr>
        <w:t xml:space="preserve">      </w:t>
      </w:r>
      <w:r>
        <w:rPr>
          <w:rFonts w:ascii="宋体" w:hAnsi="宋体" w:eastAsia="宋体" w:cs="宋体"/>
          <w:spacing w:val="-58"/>
          <w:sz w:val="21"/>
          <w:szCs w:val="21"/>
        </w:rPr>
        <w:t xml:space="preserve"> </w:t>
      </w:r>
      <w:r>
        <w:rPr>
          <w:rFonts w:ascii="宋体" w:hAnsi="宋体" w:eastAsia="宋体" w:cs="宋体"/>
          <w:spacing w:val="-7"/>
          <w:sz w:val="21"/>
          <w:szCs w:val="21"/>
        </w:rPr>
        <w:t>日</w:t>
      </w:r>
    </w:p>
    <w:p w14:paraId="59A3625A">
      <w:pPr>
        <w:spacing w:line="220" w:lineRule="auto"/>
        <w:rPr>
          <w:rFonts w:ascii="宋体" w:hAnsi="宋体" w:eastAsia="宋体" w:cs="宋体"/>
          <w:sz w:val="21"/>
          <w:szCs w:val="21"/>
        </w:rPr>
        <w:sectPr>
          <w:footerReference r:id="rId41" w:type="default"/>
          <w:pgSz w:w="11905" w:h="16839"/>
          <w:pgMar w:top="1431" w:right="1785" w:bottom="996" w:left="1785" w:header="0" w:footer="791" w:gutter="0"/>
          <w:pgNumType w:fmt="decimal"/>
          <w:cols w:space="720" w:num="1"/>
        </w:sectPr>
      </w:pPr>
    </w:p>
    <w:p w14:paraId="1501D584">
      <w:pPr>
        <w:spacing w:before="47" w:line="219" w:lineRule="auto"/>
        <w:ind w:left="32"/>
        <w:rPr>
          <w:rFonts w:ascii="黑体" w:hAnsi="黑体" w:eastAsia="黑体" w:cs="黑体"/>
          <w:sz w:val="24"/>
          <w:szCs w:val="24"/>
        </w:rPr>
      </w:pPr>
      <w:r>
        <w:rPr>
          <w:rFonts w:ascii="黑体" w:hAnsi="黑体" w:eastAsia="黑体" w:cs="黑体"/>
          <w:spacing w:val="-3"/>
          <w:sz w:val="24"/>
          <w:szCs w:val="24"/>
        </w:rPr>
        <w:t>附表十：异议书</w:t>
      </w:r>
    </w:p>
    <w:p w14:paraId="647D76D8">
      <w:pPr>
        <w:pStyle w:val="3"/>
        <w:spacing w:line="266" w:lineRule="auto"/>
      </w:pPr>
    </w:p>
    <w:p w14:paraId="1FC840FA">
      <w:pPr>
        <w:pStyle w:val="3"/>
        <w:spacing w:line="266" w:lineRule="auto"/>
      </w:pPr>
    </w:p>
    <w:p w14:paraId="1B581C2D">
      <w:pPr>
        <w:spacing w:before="88" w:line="225" w:lineRule="auto"/>
        <w:ind w:left="3762"/>
        <w:rPr>
          <w:rFonts w:ascii="黑体" w:hAnsi="黑体" w:eastAsia="黑体" w:cs="黑体"/>
          <w:sz w:val="27"/>
          <w:szCs w:val="27"/>
        </w:rPr>
      </w:pPr>
      <w:r>
        <w:rPr>
          <w:rFonts w:ascii="黑体" w:hAnsi="黑体" w:eastAsia="黑体" w:cs="黑体"/>
          <w:spacing w:val="2"/>
          <w:sz w:val="27"/>
          <w:szCs w:val="27"/>
        </w:rPr>
        <w:t>异议书</w:t>
      </w:r>
    </w:p>
    <w:p w14:paraId="0F444796">
      <w:pPr>
        <w:pStyle w:val="3"/>
        <w:spacing w:line="392" w:lineRule="auto"/>
      </w:pPr>
    </w:p>
    <w:p w14:paraId="2E95BEDA">
      <w:pPr>
        <w:spacing w:before="69" w:line="220" w:lineRule="auto"/>
        <w:ind w:left="21"/>
        <w:outlineLvl w:val="0"/>
        <w:rPr>
          <w:rFonts w:ascii="宋体" w:hAnsi="宋体" w:eastAsia="宋体" w:cs="宋体"/>
          <w:sz w:val="21"/>
          <w:szCs w:val="21"/>
        </w:rPr>
      </w:pPr>
      <w:r>
        <w:rPr>
          <w:rFonts w:ascii="宋体" w:hAnsi="宋体" w:eastAsia="宋体" w:cs="宋体"/>
          <w:spacing w:val="-1"/>
          <w:sz w:val="21"/>
          <w:szCs w:val="21"/>
          <w14:textOutline w14:w="3831" w14:cap="flat" w14:cmpd="sng">
            <w14:solidFill>
              <w14:srgbClr w14:val="000000"/>
            </w14:solidFill>
            <w14:prstDash w14:val="solid"/>
            <w14:miter w14:val="0"/>
          </w14:textOutline>
        </w:rPr>
        <w:t>一、异议项目基本情况</w:t>
      </w:r>
    </w:p>
    <w:p w14:paraId="6D628523">
      <w:pPr>
        <w:tabs>
          <w:tab w:val="left" w:pos="8144"/>
          <w:tab w:val="left" w:pos="8149"/>
        </w:tabs>
        <w:spacing w:before="249" w:line="439" w:lineRule="auto"/>
        <w:ind w:left="442" w:right="183"/>
        <w:jc w:val="both"/>
        <w:rPr>
          <w:rFonts w:ascii="宋体" w:hAnsi="宋体" w:eastAsia="宋体" w:cs="宋体"/>
          <w:sz w:val="21"/>
          <w:szCs w:val="21"/>
        </w:rPr>
      </w:pPr>
      <w:r>
        <w:rPr>
          <w:rFonts w:ascii="宋体" w:hAnsi="宋体" w:eastAsia="宋体" w:cs="宋体"/>
          <w:spacing w:val="-23"/>
          <w:w w:val="95"/>
          <w:sz w:val="21"/>
          <w:szCs w:val="21"/>
        </w:rPr>
        <w:t>标段名称：</w:t>
      </w:r>
      <w:r>
        <w:rPr>
          <w:rFonts w:ascii="宋体" w:hAnsi="宋体" w:eastAsia="宋体" w:cs="宋体"/>
          <w:spacing w:val="54"/>
          <w:sz w:val="21"/>
          <w:szCs w:val="21"/>
        </w:rPr>
        <w:t xml:space="preserve"> </w:t>
      </w:r>
      <w:r>
        <w:rPr>
          <w:rFonts w:ascii="宋体" w:hAnsi="宋体" w:eastAsia="宋体" w:cs="宋体"/>
          <w:sz w:val="21"/>
          <w:szCs w:val="21"/>
          <w:u w:val="single" w:color="auto"/>
        </w:rPr>
        <w:tab/>
      </w:r>
      <w:r>
        <w:rPr>
          <w:rFonts w:ascii="宋体" w:hAnsi="宋体" w:eastAsia="宋体" w:cs="宋体"/>
          <w:sz w:val="21"/>
          <w:szCs w:val="21"/>
          <w:u w:val="single" w:color="auto"/>
        </w:rPr>
        <w:tab/>
      </w:r>
      <w:r>
        <w:rPr>
          <w:rFonts w:ascii="宋体" w:hAnsi="宋体" w:eastAsia="宋体" w:cs="宋体"/>
          <w:sz w:val="21"/>
          <w:szCs w:val="21"/>
        </w:rPr>
        <w:t xml:space="preserve"> </w:t>
      </w:r>
      <w:r>
        <w:rPr>
          <w:rFonts w:ascii="宋体" w:hAnsi="宋体" w:eastAsia="宋体" w:cs="宋体"/>
          <w:spacing w:val="-13"/>
          <w:sz w:val="21"/>
          <w:szCs w:val="21"/>
        </w:rPr>
        <w:t xml:space="preserve">标段唯一标识码： </w:t>
      </w:r>
      <w:r>
        <w:rPr>
          <w:rFonts w:ascii="宋体" w:hAnsi="宋体" w:eastAsia="宋体" w:cs="宋体"/>
          <w:sz w:val="21"/>
          <w:szCs w:val="21"/>
          <w:u w:val="single" w:color="auto"/>
        </w:rPr>
        <w:tab/>
      </w:r>
      <w:r>
        <w:rPr>
          <w:rFonts w:ascii="宋体" w:hAnsi="宋体" w:eastAsia="宋体" w:cs="宋体"/>
          <w:sz w:val="21"/>
          <w:szCs w:val="21"/>
        </w:rPr>
        <w:t xml:space="preserve"> </w:t>
      </w:r>
      <w:r>
        <w:rPr>
          <w:rFonts w:ascii="宋体" w:hAnsi="宋体" w:eastAsia="宋体" w:cs="宋体"/>
          <w:spacing w:val="-1"/>
          <w:sz w:val="21"/>
          <w:szCs w:val="21"/>
        </w:rPr>
        <w:t>招标人名称：</w:t>
      </w:r>
      <w:r>
        <w:rPr>
          <w:rFonts w:ascii="宋体" w:hAnsi="宋体" w:eastAsia="宋体" w:cs="宋体"/>
          <w:spacing w:val="-1"/>
          <w:sz w:val="21"/>
          <w:szCs w:val="21"/>
          <w:u w:val="single" w:color="auto"/>
        </w:rPr>
        <w:t xml:space="preserve">                                                              </w:t>
      </w:r>
    </w:p>
    <w:p w14:paraId="382880E0">
      <w:pPr>
        <w:spacing w:line="219" w:lineRule="auto"/>
        <w:ind w:left="442"/>
        <w:rPr>
          <w:rFonts w:ascii="宋体" w:hAnsi="宋体" w:eastAsia="宋体" w:cs="宋体"/>
          <w:sz w:val="21"/>
          <w:szCs w:val="21"/>
        </w:rPr>
      </w:pPr>
      <w:r>
        <w:rPr>
          <w:rFonts w:ascii="宋体" w:hAnsi="宋体" w:eastAsia="宋体" w:cs="宋体"/>
          <w:spacing w:val="-12"/>
          <w:sz w:val="21"/>
          <w:szCs w:val="21"/>
        </w:rPr>
        <w:t xml:space="preserve">招标代理机构名称： </w:t>
      </w:r>
      <w:r>
        <w:rPr>
          <w:rFonts w:ascii="宋体" w:hAnsi="宋体" w:eastAsia="宋体" w:cs="宋体"/>
          <w:sz w:val="21"/>
          <w:szCs w:val="21"/>
          <w:u w:val="single" w:color="auto"/>
        </w:rPr>
        <w:t xml:space="preserve">                                                        </w:t>
      </w:r>
    </w:p>
    <w:p w14:paraId="6820C5ED">
      <w:pPr>
        <w:spacing w:before="248" w:line="220" w:lineRule="auto"/>
        <w:ind w:left="21"/>
        <w:outlineLvl w:val="0"/>
        <w:rPr>
          <w:rFonts w:ascii="宋体" w:hAnsi="宋体" w:eastAsia="宋体" w:cs="宋体"/>
          <w:sz w:val="21"/>
          <w:szCs w:val="21"/>
        </w:rPr>
      </w:pPr>
      <w:r>
        <w:rPr>
          <w:rFonts w:ascii="宋体" w:hAnsi="宋体" w:eastAsia="宋体" w:cs="宋体"/>
          <w:spacing w:val="-1"/>
          <w:sz w:val="21"/>
          <w:szCs w:val="21"/>
          <w14:textOutline w14:w="3831" w14:cap="flat" w14:cmpd="sng">
            <w14:solidFill>
              <w14:srgbClr w14:val="000000"/>
            </w14:solidFill>
            <w14:prstDash w14:val="solid"/>
            <w14:miter w14:val="0"/>
          </w14:textOutline>
        </w:rPr>
        <w:t>二、异议人基本情况</w:t>
      </w:r>
    </w:p>
    <w:p w14:paraId="73905207">
      <w:pPr>
        <w:tabs>
          <w:tab w:val="left" w:pos="8139"/>
          <w:tab w:val="left" w:pos="8149"/>
        </w:tabs>
        <w:spacing w:before="255" w:line="439" w:lineRule="auto"/>
        <w:ind w:left="440" w:right="183" w:firstLine="2"/>
        <w:jc w:val="both"/>
        <w:rPr>
          <w:rFonts w:ascii="宋体" w:hAnsi="宋体" w:eastAsia="宋体" w:cs="宋体"/>
          <w:sz w:val="21"/>
          <w:szCs w:val="21"/>
        </w:rPr>
      </w:pPr>
      <w:r>
        <w:rPr>
          <w:rFonts w:ascii="宋体" w:hAnsi="宋体" w:eastAsia="宋体" w:cs="宋体"/>
          <w:spacing w:val="-23"/>
          <w:w w:val="98"/>
          <w:sz w:val="21"/>
          <w:szCs w:val="21"/>
        </w:rPr>
        <w:t>单位名称：</w:t>
      </w:r>
      <w:r>
        <w:rPr>
          <w:rFonts w:ascii="宋体" w:hAnsi="宋体" w:eastAsia="宋体" w:cs="宋体"/>
          <w:spacing w:val="21"/>
          <w:sz w:val="21"/>
          <w:szCs w:val="21"/>
        </w:rPr>
        <w:t xml:space="preserve"> </w:t>
      </w:r>
      <w:r>
        <w:rPr>
          <w:rFonts w:ascii="宋体" w:hAnsi="宋体" w:eastAsia="宋体" w:cs="宋体"/>
          <w:sz w:val="21"/>
          <w:szCs w:val="21"/>
          <w:u w:val="single" w:color="auto"/>
        </w:rPr>
        <w:tab/>
      </w:r>
      <w:r>
        <w:rPr>
          <w:rFonts w:ascii="宋体" w:hAnsi="宋体" w:eastAsia="宋体" w:cs="宋体"/>
          <w:sz w:val="21"/>
          <w:szCs w:val="21"/>
          <w:u w:val="single" w:color="auto"/>
        </w:rPr>
        <w:tab/>
      </w:r>
      <w:r>
        <w:rPr>
          <w:rFonts w:ascii="宋体" w:hAnsi="宋体" w:eastAsia="宋体" w:cs="宋体"/>
          <w:sz w:val="21"/>
          <w:szCs w:val="21"/>
        </w:rPr>
        <w:t xml:space="preserve"> </w:t>
      </w:r>
      <w:r>
        <w:rPr>
          <w:rFonts w:ascii="宋体" w:hAnsi="宋体" w:eastAsia="宋体" w:cs="宋体"/>
          <w:spacing w:val="-21"/>
          <w:sz w:val="21"/>
          <w:szCs w:val="21"/>
        </w:rPr>
        <w:t>住所地：</w:t>
      </w:r>
      <w:r>
        <w:rPr>
          <w:rFonts w:ascii="宋体" w:hAnsi="宋体" w:eastAsia="宋体" w:cs="宋体"/>
          <w:spacing w:val="8"/>
          <w:sz w:val="21"/>
          <w:szCs w:val="21"/>
        </w:rPr>
        <w:t xml:space="preserve"> </w:t>
      </w:r>
      <w:r>
        <w:rPr>
          <w:rFonts w:ascii="宋体" w:hAnsi="宋体" w:eastAsia="宋体" w:cs="宋体"/>
          <w:spacing w:val="1"/>
          <w:sz w:val="21"/>
          <w:szCs w:val="21"/>
          <w:u w:val="single" w:color="auto"/>
        </w:rPr>
        <w:t xml:space="preserve">                                 </w:t>
      </w:r>
      <w:r>
        <w:rPr>
          <w:rFonts w:ascii="宋体" w:hAnsi="宋体" w:eastAsia="宋体" w:cs="宋体"/>
          <w:sz w:val="21"/>
          <w:szCs w:val="21"/>
          <w:u w:val="single" w:color="auto"/>
        </w:rPr>
        <w:t xml:space="preserve">     </w:t>
      </w:r>
      <w:r>
        <w:rPr>
          <w:rFonts w:ascii="宋体" w:hAnsi="宋体" w:eastAsia="宋体" w:cs="宋体"/>
          <w:spacing w:val="-80"/>
          <w:sz w:val="21"/>
          <w:szCs w:val="21"/>
        </w:rPr>
        <w:t xml:space="preserve"> </w:t>
      </w:r>
      <w:r>
        <w:rPr>
          <w:rFonts w:ascii="宋体" w:hAnsi="宋体" w:eastAsia="宋体" w:cs="宋体"/>
          <w:spacing w:val="-21"/>
          <w:sz w:val="21"/>
          <w:szCs w:val="21"/>
        </w:rPr>
        <w:t>邮编：</w:t>
      </w:r>
      <w:r>
        <w:rPr>
          <w:rFonts w:ascii="宋体" w:hAnsi="宋体" w:eastAsia="宋体" w:cs="宋体"/>
          <w:sz w:val="21"/>
          <w:szCs w:val="21"/>
          <w:u w:val="single" w:color="auto"/>
        </w:rPr>
        <w:tab/>
      </w:r>
      <w:r>
        <w:rPr>
          <w:rFonts w:ascii="宋体" w:hAnsi="宋体" w:eastAsia="宋体" w:cs="宋体"/>
          <w:sz w:val="21"/>
          <w:szCs w:val="21"/>
          <w:u w:val="single" w:color="auto"/>
        </w:rPr>
        <w:tab/>
      </w:r>
      <w:r>
        <w:rPr>
          <w:rFonts w:ascii="宋体" w:hAnsi="宋体" w:eastAsia="宋体" w:cs="宋体"/>
          <w:sz w:val="21"/>
          <w:szCs w:val="21"/>
        </w:rPr>
        <w:t xml:space="preserve"> </w:t>
      </w:r>
      <w:r>
        <w:rPr>
          <w:rFonts w:ascii="宋体" w:hAnsi="宋体" w:eastAsia="宋体" w:cs="宋体"/>
          <w:spacing w:val="-15"/>
          <w:sz w:val="21"/>
          <w:szCs w:val="21"/>
        </w:rPr>
        <w:t>法定代表人：</w:t>
      </w:r>
      <w:r>
        <w:rPr>
          <w:rFonts w:ascii="宋体" w:hAnsi="宋体" w:eastAsia="宋体" w:cs="宋体"/>
          <w:spacing w:val="1"/>
          <w:sz w:val="21"/>
          <w:szCs w:val="21"/>
          <w:u w:val="single" w:color="auto"/>
        </w:rPr>
        <w:t xml:space="preserve">                           </w:t>
      </w:r>
      <w:r>
        <w:rPr>
          <w:rFonts w:ascii="宋体" w:hAnsi="宋体" w:eastAsia="宋体" w:cs="宋体"/>
          <w:sz w:val="21"/>
          <w:szCs w:val="21"/>
          <w:u w:val="single" w:color="auto"/>
        </w:rPr>
        <w:t xml:space="preserve">       </w:t>
      </w:r>
      <w:r>
        <w:rPr>
          <w:rFonts w:ascii="宋体" w:hAnsi="宋体" w:eastAsia="宋体" w:cs="宋体"/>
          <w:spacing w:val="-95"/>
          <w:sz w:val="21"/>
          <w:szCs w:val="21"/>
        </w:rPr>
        <w:t xml:space="preserve"> </w:t>
      </w:r>
      <w:r>
        <w:rPr>
          <w:rFonts w:ascii="宋体" w:hAnsi="宋体" w:eastAsia="宋体" w:cs="宋体"/>
          <w:spacing w:val="-15"/>
          <w:sz w:val="21"/>
          <w:szCs w:val="21"/>
        </w:rPr>
        <w:t>联系电话：</w:t>
      </w:r>
      <w:r>
        <w:rPr>
          <w:rFonts w:ascii="宋体" w:hAnsi="宋体" w:eastAsia="宋体" w:cs="宋体"/>
          <w:spacing w:val="45"/>
          <w:sz w:val="21"/>
          <w:szCs w:val="21"/>
        </w:rPr>
        <w:t xml:space="preserve"> </w:t>
      </w:r>
      <w:r>
        <w:rPr>
          <w:rFonts w:ascii="宋体" w:hAnsi="宋体" w:eastAsia="宋体" w:cs="宋体"/>
          <w:sz w:val="21"/>
          <w:szCs w:val="21"/>
          <w:u w:val="single" w:color="auto"/>
        </w:rPr>
        <w:tab/>
      </w:r>
      <w:r>
        <w:rPr>
          <w:rFonts w:ascii="宋体" w:hAnsi="宋体" w:eastAsia="宋体" w:cs="宋体"/>
          <w:sz w:val="21"/>
          <w:szCs w:val="21"/>
        </w:rPr>
        <w:t xml:space="preserve"> </w:t>
      </w:r>
      <w:r>
        <w:rPr>
          <w:rFonts w:ascii="宋体" w:hAnsi="宋体" w:eastAsia="宋体" w:cs="宋体"/>
          <w:spacing w:val="-11"/>
          <w:sz w:val="21"/>
          <w:szCs w:val="21"/>
        </w:rPr>
        <w:t xml:space="preserve">异议人授权代表： </w:t>
      </w:r>
      <w:r>
        <w:rPr>
          <w:rFonts w:ascii="宋体" w:hAnsi="宋体" w:eastAsia="宋体" w:cs="宋体"/>
          <w:spacing w:val="-11"/>
          <w:sz w:val="21"/>
          <w:szCs w:val="21"/>
          <w:u w:val="single" w:color="auto"/>
        </w:rPr>
        <w:t xml:space="preserve">                      </w:t>
      </w:r>
      <w:r>
        <w:rPr>
          <w:rFonts w:ascii="宋体" w:hAnsi="宋体" w:eastAsia="宋体" w:cs="宋体"/>
          <w:spacing w:val="-12"/>
          <w:sz w:val="21"/>
          <w:szCs w:val="21"/>
          <w:u w:val="single" w:color="auto"/>
        </w:rPr>
        <w:t xml:space="preserve">           </w:t>
      </w:r>
      <w:r>
        <w:rPr>
          <w:rFonts w:ascii="宋体" w:hAnsi="宋体" w:eastAsia="宋体" w:cs="宋体"/>
          <w:spacing w:val="-94"/>
          <w:sz w:val="21"/>
          <w:szCs w:val="21"/>
        </w:rPr>
        <w:t xml:space="preserve"> </w:t>
      </w:r>
      <w:r>
        <w:rPr>
          <w:rFonts w:ascii="宋体" w:hAnsi="宋体" w:eastAsia="宋体" w:cs="宋体"/>
          <w:spacing w:val="-12"/>
          <w:sz w:val="21"/>
          <w:szCs w:val="21"/>
        </w:rPr>
        <w:t xml:space="preserve">性别： </w:t>
      </w:r>
      <w:r>
        <w:rPr>
          <w:rFonts w:ascii="宋体" w:hAnsi="宋体" w:eastAsia="宋体" w:cs="宋体"/>
          <w:sz w:val="21"/>
          <w:szCs w:val="21"/>
          <w:u w:val="single" w:color="auto"/>
        </w:rPr>
        <w:t xml:space="preserve">                      </w:t>
      </w:r>
    </w:p>
    <w:p w14:paraId="163F6120">
      <w:pPr>
        <w:spacing w:line="222" w:lineRule="auto"/>
        <w:ind w:left="441"/>
        <w:rPr>
          <w:rFonts w:ascii="宋体" w:hAnsi="宋体" w:eastAsia="宋体" w:cs="宋体"/>
          <w:sz w:val="21"/>
          <w:szCs w:val="21"/>
        </w:rPr>
      </w:pPr>
      <w:r>
        <w:rPr>
          <w:rFonts w:ascii="宋体" w:hAnsi="宋体" w:eastAsia="宋体" w:cs="宋体"/>
          <w:spacing w:val="-31"/>
          <w:sz w:val="21"/>
          <w:szCs w:val="21"/>
        </w:rPr>
        <w:t xml:space="preserve">地址： </w:t>
      </w:r>
      <w:r>
        <w:rPr>
          <w:rFonts w:ascii="宋体" w:hAnsi="宋体" w:eastAsia="宋体" w:cs="宋体"/>
          <w:spacing w:val="1"/>
          <w:sz w:val="21"/>
          <w:szCs w:val="21"/>
          <w:u w:val="single" w:color="auto"/>
        </w:rPr>
        <w:t xml:space="preserve">                                        </w:t>
      </w:r>
      <w:r>
        <w:rPr>
          <w:rFonts w:ascii="宋体" w:hAnsi="宋体" w:eastAsia="宋体" w:cs="宋体"/>
          <w:spacing w:val="11"/>
          <w:sz w:val="21"/>
          <w:szCs w:val="21"/>
        </w:rPr>
        <w:t xml:space="preserve"> </w:t>
      </w:r>
      <w:r>
        <w:rPr>
          <w:rFonts w:ascii="宋体" w:hAnsi="宋体" w:eastAsia="宋体" w:cs="宋体"/>
          <w:spacing w:val="-31"/>
          <w:sz w:val="21"/>
          <w:szCs w:val="21"/>
        </w:rPr>
        <w:t>联系电话：</w:t>
      </w:r>
      <w:r>
        <w:rPr>
          <w:rFonts w:ascii="宋体" w:hAnsi="宋体" w:eastAsia="宋体" w:cs="宋体"/>
          <w:spacing w:val="45"/>
          <w:sz w:val="21"/>
          <w:szCs w:val="21"/>
        </w:rPr>
        <w:t xml:space="preserve"> </w:t>
      </w:r>
      <w:r>
        <w:rPr>
          <w:rFonts w:ascii="宋体" w:hAnsi="宋体" w:eastAsia="宋体" w:cs="宋体"/>
          <w:sz w:val="21"/>
          <w:szCs w:val="21"/>
          <w:u w:val="single" w:color="auto"/>
        </w:rPr>
        <w:t xml:space="preserve">                 </w:t>
      </w:r>
    </w:p>
    <w:p w14:paraId="42E55511">
      <w:pPr>
        <w:spacing w:before="246" w:line="220" w:lineRule="auto"/>
        <w:ind w:left="18"/>
        <w:outlineLvl w:val="0"/>
        <w:rPr>
          <w:rFonts w:ascii="宋体" w:hAnsi="宋体" w:eastAsia="宋体" w:cs="宋体"/>
          <w:sz w:val="21"/>
          <w:szCs w:val="21"/>
        </w:rPr>
      </w:pPr>
      <w:r>
        <w:rPr>
          <w:rFonts w:ascii="宋体" w:hAnsi="宋体" w:eastAsia="宋体" w:cs="宋体"/>
          <w:sz w:val="21"/>
          <w:szCs w:val="21"/>
          <w14:textOutline w14:w="3831" w14:cap="flat" w14:cmpd="sng">
            <w14:solidFill>
              <w14:srgbClr w14:val="000000"/>
            </w14:solidFill>
            <w14:prstDash w14:val="solid"/>
            <w14:miter w14:val="0"/>
          </w14:textOutline>
        </w:rPr>
        <w:t>三、异议事项基本事实</w:t>
      </w:r>
    </w:p>
    <w:p w14:paraId="1E66090B">
      <w:pPr>
        <w:spacing w:before="254" w:line="221" w:lineRule="auto"/>
        <w:ind w:right="21"/>
        <w:jc w:val="right"/>
        <w:rPr>
          <w:rFonts w:ascii="宋体" w:hAnsi="宋体" w:eastAsia="宋体" w:cs="宋体"/>
          <w:sz w:val="21"/>
          <w:szCs w:val="21"/>
        </w:rPr>
      </w:pPr>
      <w:r>
        <w:rPr>
          <w:rFonts w:ascii="宋体" w:hAnsi="宋体" w:eastAsia="宋体" w:cs="宋体"/>
          <w:spacing w:val="-6"/>
          <w:sz w:val="21"/>
          <w:szCs w:val="21"/>
        </w:rPr>
        <w:t>异议事项</w:t>
      </w:r>
      <w:r>
        <w:rPr>
          <w:rFonts w:ascii="宋体" w:hAnsi="宋体" w:eastAsia="宋体" w:cs="宋体"/>
          <w:spacing w:val="-28"/>
          <w:sz w:val="21"/>
          <w:szCs w:val="21"/>
        </w:rPr>
        <w:t xml:space="preserve"> </w:t>
      </w:r>
      <w:r>
        <w:rPr>
          <w:rFonts w:ascii="宋体" w:hAnsi="宋体" w:eastAsia="宋体" w:cs="宋体"/>
          <w:spacing w:val="-6"/>
          <w:sz w:val="21"/>
          <w:szCs w:val="21"/>
        </w:rPr>
        <w:t>1</w:t>
      </w:r>
      <w:r>
        <w:rPr>
          <w:rFonts w:ascii="宋体" w:hAnsi="宋体" w:eastAsia="宋体" w:cs="宋体"/>
          <w:spacing w:val="-2"/>
          <w:sz w:val="21"/>
          <w:szCs w:val="21"/>
        </w:rPr>
        <w:t>：</w:t>
      </w:r>
      <w:r>
        <w:rPr>
          <w:rFonts w:ascii="宋体" w:hAnsi="宋体" w:eastAsia="宋体" w:cs="宋体"/>
          <w:spacing w:val="1"/>
          <w:sz w:val="21"/>
          <w:szCs w:val="21"/>
          <w:u w:val="single" w:color="auto"/>
        </w:rPr>
        <w:t xml:space="preserve">                                                    </w:t>
      </w:r>
      <w:r>
        <w:rPr>
          <w:rFonts w:ascii="宋体" w:hAnsi="宋体" w:eastAsia="宋体" w:cs="宋体"/>
          <w:sz w:val="21"/>
          <w:szCs w:val="21"/>
          <w:u w:val="single" w:color="auto"/>
        </w:rPr>
        <w:t xml:space="preserve">         </w:t>
      </w:r>
      <w:r>
        <w:rPr>
          <w:rFonts w:ascii="宋体" w:hAnsi="宋体" w:eastAsia="宋体" w:cs="宋体"/>
          <w:spacing w:val="-2"/>
          <w:sz w:val="21"/>
          <w:szCs w:val="21"/>
        </w:rPr>
        <w:t>；</w:t>
      </w:r>
    </w:p>
    <w:p w14:paraId="3C75D533">
      <w:pPr>
        <w:spacing w:before="248" w:line="221" w:lineRule="auto"/>
        <w:ind w:right="21"/>
        <w:jc w:val="right"/>
        <w:rPr>
          <w:rFonts w:ascii="宋体" w:hAnsi="宋体" w:eastAsia="宋体" w:cs="宋体"/>
          <w:sz w:val="21"/>
          <w:szCs w:val="21"/>
        </w:rPr>
      </w:pPr>
      <w:r>
        <w:rPr>
          <w:rFonts w:ascii="宋体" w:hAnsi="宋体" w:eastAsia="宋体" w:cs="宋体"/>
          <w:spacing w:val="-4"/>
          <w:sz w:val="21"/>
          <w:szCs w:val="21"/>
        </w:rPr>
        <w:t>异议事项</w:t>
      </w:r>
      <w:r>
        <w:rPr>
          <w:rFonts w:ascii="宋体" w:hAnsi="宋体" w:eastAsia="宋体" w:cs="宋体"/>
          <w:spacing w:val="-40"/>
          <w:sz w:val="21"/>
          <w:szCs w:val="21"/>
        </w:rPr>
        <w:t xml:space="preserve"> </w:t>
      </w:r>
      <w:r>
        <w:rPr>
          <w:rFonts w:ascii="宋体" w:hAnsi="宋体" w:eastAsia="宋体" w:cs="宋体"/>
          <w:spacing w:val="-4"/>
          <w:sz w:val="21"/>
          <w:szCs w:val="21"/>
        </w:rPr>
        <w:t>2</w:t>
      </w:r>
      <w:r>
        <w:rPr>
          <w:rFonts w:ascii="宋体" w:hAnsi="宋体" w:eastAsia="宋体" w:cs="宋体"/>
          <w:spacing w:val="-1"/>
          <w:sz w:val="21"/>
          <w:szCs w:val="21"/>
        </w:rPr>
        <w:t>：</w:t>
      </w:r>
      <w:r>
        <w:rPr>
          <w:rFonts w:ascii="宋体" w:hAnsi="宋体" w:eastAsia="宋体" w:cs="宋体"/>
          <w:spacing w:val="1"/>
          <w:sz w:val="21"/>
          <w:szCs w:val="21"/>
          <w:u w:val="single" w:color="auto"/>
        </w:rPr>
        <w:t xml:space="preserve">                                                    </w:t>
      </w:r>
      <w:r>
        <w:rPr>
          <w:rFonts w:ascii="宋体" w:hAnsi="宋体" w:eastAsia="宋体" w:cs="宋体"/>
          <w:sz w:val="21"/>
          <w:szCs w:val="21"/>
          <w:u w:val="single" w:color="auto"/>
        </w:rPr>
        <w:t xml:space="preserve">         </w:t>
      </w:r>
      <w:r>
        <w:rPr>
          <w:rFonts w:ascii="宋体" w:hAnsi="宋体" w:eastAsia="宋体" w:cs="宋体"/>
          <w:spacing w:val="-1"/>
          <w:sz w:val="21"/>
          <w:szCs w:val="21"/>
        </w:rPr>
        <w:t>；</w:t>
      </w:r>
    </w:p>
    <w:p w14:paraId="30F038D2">
      <w:pPr>
        <w:spacing w:before="248" w:line="221" w:lineRule="auto"/>
        <w:ind w:right="21"/>
        <w:jc w:val="right"/>
        <w:rPr>
          <w:rFonts w:ascii="宋体" w:hAnsi="宋体" w:eastAsia="宋体" w:cs="宋体"/>
          <w:sz w:val="21"/>
          <w:szCs w:val="21"/>
        </w:rPr>
      </w:pPr>
      <w:r>
        <w:rPr>
          <w:rFonts w:ascii="宋体" w:hAnsi="宋体" w:eastAsia="宋体" w:cs="宋体"/>
          <w:spacing w:val="-1"/>
          <w:sz w:val="21"/>
          <w:szCs w:val="21"/>
        </w:rPr>
        <w:t>异议事项</w:t>
      </w:r>
      <w:r>
        <w:rPr>
          <w:rFonts w:ascii="宋体" w:hAnsi="宋体" w:eastAsia="宋体" w:cs="宋体"/>
          <w:spacing w:val="-39"/>
          <w:sz w:val="21"/>
          <w:szCs w:val="21"/>
        </w:rPr>
        <w:t xml:space="preserve"> </w:t>
      </w:r>
      <w:r>
        <w:rPr>
          <w:rFonts w:ascii="宋体" w:hAnsi="宋体" w:eastAsia="宋体" w:cs="宋体"/>
          <w:spacing w:val="-1"/>
          <w:sz w:val="21"/>
          <w:szCs w:val="21"/>
        </w:rPr>
        <w:t>3：</w:t>
      </w:r>
      <w:r>
        <w:rPr>
          <w:rFonts w:ascii="宋体" w:hAnsi="宋体" w:eastAsia="宋体" w:cs="宋体"/>
          <w:spacing w:val="-1"/>
          <w:sz w:val="21"/>
          <w:szCs w:val="21"/>
          <w:u w:val="single" w:color="auto"/>
        </w:rPr>
        <w:t xml:space="preserve">                                                         </w:t>
      </w:r>
      <w:r>
        <w:rPr>
          <w:rFonts w:ascii="宋体" w:hAnsi="宋体" w:eastAsia="宋体" w:cs="宋体"/>
          <w:spacing w:val="-2"/>
          <w:sz w:val="21"/>
          <w:szCs w:val="21"/>
          <w:u w:val="single" w:color="auto"/>
        </w:rPr>
        <w:t xml:space="preserve">     </w:t>
      </w:r>
      <w:r>
        <w:rPr>
          <w:rFonts w:ascii="宋体" w:hAnsi="宋体" w:eastAsia="宋体" w:cs="宋体"/>
          <w:spacing w:val="-2"/>
          <w:sz w:val="21"/>
          <w:szCs w:val="21"/>
        </w:rPr>
        <w:t>。</w:t>
      </w:r>
    </w:p>
    <w:p w14:paraId="71287E5C">
      <w:pPr>
        <w:spacing w:before="248" w:line="499" w:lineRule="exact"/>
        <w:ind w:left="38"/>
        <w:rPr>
          <w:rFonts w:ascii="宋体" w:hAnsi="宋体" w:eastAsia="宋体" w:cs="宋体"/>
          <w:sz w:val="21"/>
          <w:szCs w:val="21"/>
        </w:rPr>
      </w:pPr>
      <w:r>
        <w:rPr>
          <w:rFonts w:ascii="宋体" w:hAnsi="宋体" w:eastAsia="宋体" w:cs="宋体"/>
          <w:spacing w:val="-1"/>
          <w:position w:val="22"/>
          <w:sz w:val="21"/>
          <w:szCs w:val="21"/>
          <w14:textOutline w14:w="3831" w14:cap="flat" w14:cmpd="sng">
            <w14:solidFill>
              <w14:srgbClr w14:val="000000"/>
            </w14:solidFill>
            <w14:prstDash w14:val="solid"/>
            <w14:miter w14:val="0"/>
          </w14:textOutline>
        </w:rPr>
        <w:t>四、有效线索和相关证明材料：见附件</w:t>
      </w:r>
    </w:p>
    <w:p w14:paraId="1B50DBA9">
      <w:pPr>
        <w:spacing w:line="221" w:lineRule="auto"/>
        <w:ind w:left="21"/>
        <w:rPr>
          <w:rFonts w:ascii="宋体" w:hAnsi="宋体" w:eastAsia="宋体" w:cs="宋体"/>
          <w:sz w:val="21"/>
          <w:szCs w:val="21"/>
        </w:rPr>
      </w:pPr>
      <w:r>
        <w:rPr>
          <w:rFonts w:ascii="宋体" w:hAnsi="宋体" w:eastAsia="宋体" w:cs="宋体"/>
          <w:spacing w:val="-5"/>
          <w:sz w:val="21"/>
          <w:szCs w:val="21"/>
          <w14:textOutline w14:w="3831" w14:cap="flat" w14:cmpd="sng">
            <w14:solidFill>
              <w14:srgbClr w14:val="000000"/>
            </w14:solidFill>
            <w14:prstDash w14:val="solid"/>
            <w14:miter w14:val="0"/>
          </w14:textOutline>
        </w:rPr>
        <w:t>五、相关请求及主张：</w:t>
      </w:r>
    </w:p>
    <w:p w14:paraId="7B76A3C2">
      <w:pPr>
        <w:spacing w:before="248" w:line="441" w:lineRule="auto"/>
        <w:ind w:left="447" w:right="118"/>
        <w:jc w:val="both"/>
        <w:rPr>
          <w:rFonts w:ascii="宋体" w:hAnsi="宋体" w:eastAsia="宋体" w:cs="宋体"/>
          <w:sz w:val="21"/>
          <w:szCs w:val="21"/>
        </w:rPr>
      </w:pPr>
      <w:r>
        <w:rPr>
          <w:rFonts w:ascii="宋体" w:hAnsi="宋体" w:eastAsia="宋体" w:cs="宋体"/>
          <w:spacing w:val="-7"/>
          <w:sz w:val="21"/>
          <w:szCs w:val="21"/>
        </w:rPr>
        <w:t>（一</w:t>
      </w:r>
      <w:r>
        <w:rPr>
          <w:rFonts w:ascii="宋体" w:hAnsi="宋体" w:eastAsia="宋体" w:cs="宋体"/>
          <w:spacing w:val="-24"/>
          <w:sz w:val="21"/>
          <w:szCs w:val="21"/>
        </w:rPr>
        <w:t>）</w:t>
      </w:r>
      <w:r>
        <w:rPr>
          <w:rFonts w:ascii="宋体" w:hAnsi="宋体" w:eastAsia="宋体" w:cs="宋体"/>
          <w:spacing w:val="-3"/>
          <w:sz w:val="21"/>
          <w:szCs w:val="21"/>
        </w:rPr>
        <w:t xml:space="preserve"> </w:t>
      </w:r>
      <w:r>
        <w:rPr>
          <w:rFonts w:ascii="宋体" w:hAnsi="宋体" w:eastAsia="宋体" w:cs="宋体"/>
          <w:spacing w:val="1"/>
          <w:sz w:val="21"/>
          <w:szCs w:val="21"/>
          <w:u w:val="single" w:color="auto"/>
        </w:rPr>
        <w:t xml:space="preserve">                                                            </w:t>
      </w:r>
      <w:r>
        <w:rPr>
          <w:rFonts w:ascii="宋体" w:hAnsi="宋体" w:eastAsia="宋体" w:cs="宋体"/>
          <w:sz w:val="21"/>
          <w:szCs w:val="21"/>
          <w:u w:val="single" w:color="auto"/>
        </w:rPr>
        <w:t xml:space="preserve">     </w:t>
      </w:r>
      <w:r>
        <w:rPr>
          <w:rFonts w:ascii="宋体" w:hAnsi="宋体" w:eastAsia="宋体" w:cs="宋体"/>
          <w:spacing w:val="-24"/>
          <w:sz w:val="21"/>
          <w:szCs w:val="21"/>
        </w:rPr>
        <w:t>；</w:t>
      </w:r>
      <w:r>
        <w:rPr>
          <w:rFonts w:ascii="宋体" w:hAnsi="宋体" w:eastAsia="宋体" w:cs="宋体"/>
          <w:spacing w:val="1"/>
          <w:sz w:val="21"/>
          <w:szCs w:val="21"/>
        </w:rPr>
        <w:t xml:space="preserve"> </w:t>
      </w:r>
      <w:r>
        <w:rPr>
          <w:rFonts w:ascii="宋体" w:hAnsi="宋体" w:eastAsia="宋体" w:cs="宋体"/>
          <w:spacing w:val="-41"/>
          <w:w w:val="98"/>
          <w:sz w:val="21"/>
          <w:szCs w:val="21"/>
        </w:rPr>
        <w:t>（二</w:t>
      </w:r>
      <w:r>
        <w:rPr>
          <w:rFonts w:ascii="宋体" w:hAnsi="宋体" w:eastAsia="宋体" w:cs="宋体"/>
          <w:spacing w:val="-24"/>
          <w:sz w:val="21"/>
          <w:szCs w:val="21"/>
        </w:rPr>
        <w:t>）</w:t>
      </w:r>
      <w:r>
        <w:rPr>
          <w:rFonts w:ascii="宋体" w:hAnsi="宋体" w:eastAsia="宋体" w:cs="宋体"/>
          <w:spacing w:val="-33"/>
          <w:sz w:val="21"/>
          <w:szCs w:val="21"/>
        </w:rPr>
        <w:t xml:space="preserve"> </w:t>
      </w:r>
      <w:r>
        <w:rPr>
          <w:rFonts w:ascii="宋体" w:hAnsi="宋体" w:eastAsia="宋体" w:cs="宋体"/>
          <w:spacing w:val="1"/>
          <w:sz w:val="21"/>
          <w:szCs w:val="21"/>
          <w:u w:val="single" w:color="auto"/>
        </w:rPr>
        <w:t xml:space="preserve">                                                             </w:t>
      </w:r>
      <w:r>
        <w:rPr>
          <w:rFonts w:ascii="宋体" w:hAnsi="宋体" w:eastAsia="宋体" w:cs="宋体"/>
          <w:sz w:val="21"/>
          <w:szCs w:val="21"/>
          <w:u w:val="single" w:color="auto"/>
        </w:rPr>
        <w:t xml:space="preserve">     </w:t>
      </w:r>
      <w:r>
        <w:rPr>
          <w:rFonts w:ascii="宋体" w:hAnsi="宋体" w:eastAsia="宋体" w:cs="宋体"/>
          <w:spacing w:val="-24"/>
          <w:sz w:val="21"/>
          <w:szCs w:val="21"/>
        </w:rPr>
        <w:t>；</w:t>
      </w:r>
    </w:p>
    <w:p w14:paraId="53780EFC">
      <w:pPr>
        <w:spacing w:before="1" w:line="232" w:lineRule="auto"/>
        <w:ind w:left="447"/>
        <w:rPr>
          <w:rFonts w:ascii="宋体" w:hAnsi="宋体" w:eastAsia="宋体" w:cs="宋体"/>
          <w:sz w:val="21"/>
          <w:szCs w:val="21"/>
        </w:rPr>
      </w:pPr>
      <w:r>
        <w:rPr>
          <w:rFonts w:ascii="宋体" w:hAnsi="宋体" w:eastAsia="宋体" w:cs="宋体"/>
          <w:spacing w:val="-22"/>
          <w:sz w:val="21"/>
          <w:szCs w:val="21"/>
        </w:rPr>
        <w:t>（三）</w:t>
      </w:r>
      <w:r>
        <w:rPr>
          <w:rFonts w:ascii="宋体" w:hAnsi="宋体" w:eastAsia="宋体" w:cs="宋体"/>
          <w:spacing w:val="-34"/>
          <w:sz w:val="21"/>
          <w:szCs w:val="21"/>
        </w:rPr>
        <w:t xml:space="preserve"> </w:t>
      </w:r>
      <w:r>
        <w:rPr>
          <w:rFonts w:ascii="宋体" w:hAnsi="宋体" w:eastAsia="宋体" w:cs="宋体"/>
          <w:spacing w:val="1"/>
          <w:sz w:val="21"/>
          <w:szCs w:val="21"/>
          <w:u w:val="single" w:color="auto"/>
        </w:rPr>
        <w:t xml:space="preserve">                                                            </w:t>
      </w:r>
      <w:r>
        <w:rPr>
          <w:rFonts w:ascii="宋体" w:hAnsi="宋体" w:eastAsia="宋体" w:cs="宋体"/>
          <w:sz w:val="21"/>
          <w:szCs w:val="21"/>
          <w:u w:val="single" w:color="auto"/>
        </w:rPr>
        <w:t xml:space="preserve">      </w:t>
      </w:r>
      <w:r>
        <w:rPr>
          <w:rFonts w:ascii="宋体" w:hAnsi="宋体" w:eastAsia="宋体" w:cs="宋体"/>
          <w:spacing w:val="-22"/>
          <w:sz w:val="21"/>
          <w:szCs w:val="21"/>
        </w:rPr>
        <w:t>。</w:t>
      </w:r>
    </w:p>
    <w:p w14:paraId="30CE944A">
      <w:pPr>
        <w:pStyle w:val="3"/>
        <w:spacing w:line="475" w:lineRule="auto"/>
      </w:pPr>
    </w:p>
    <w:p w14:paraId="228EEB43">
      <w:pPr>
        <w:spacing w:before="69" w:line="220" w:lineRule="auto"/>
        <w:ind w:left="4323"/>
        <w:rPr>
          <w:rFonts w:ascii="宋体" w:hAnsi="宋体" w:eastAsia="宋体" w:cs="宋体"/>
          <w:sz w:val="21"/>
          <w:szCs w:val="21"/>
        </w:rPr>
      </w:pPr>
      <w:r>
        <w:rPr>
          <w:rFonts w:ascii="宋体" w:hAnsi="宋体" w:eastAsia="宋体" w:cs="宋体"/>
          <w:spacing w:val="-10"/>
          <w:sz w:val="21"/>
          <w:szCs w:val="21"/>
        </w:rPr>
        <w:t>异议人（公章</w:t>
      </w:r>
      <w:r>
        <w:rPr>
          <w:rFonts w:ascii="宋体" w:hAnsi="宋体" w:eastAsia="宋体" w:cs="宋体"/>
          <w:spacing w:val="-25"/>
          <w:sz w:val="21"/>
          <w:szCs w:val="21"/>
        </w:rPr>
        <w:t>）：</w:t>
      </w:r>
      <w:r>
        <w:rPr>
          <w:rFonts w:ascii="宋体" w:hAnsi="宋体" w:eastAsia="宋体" w:cs="宋体"/>
          <w:spacing w:val="-2"/>
          <w:sz w:val="21"/>
          <w:szCs w:val="21"/>
        </w:rPr>
        <w:t xml:space="preserve"> </w:t>
      </w:r>
      <w:r>
        <w:rPr>
          <w:rFonts w:ascii="宋体" w:hAnsi="宋体" w:eastAsia="宋体" w:cs="宋体"/>
          <w:sz w:val="21"/>
          <w:szCs w:val="21"/>
          <w:u w:val="single" w:color="auto"/>
        </w:rPr>
        <w:t xml:space="preserve">                 </w:t>
      </w:r>
    </w:p>
    <w:p w14:paraId="3B7F72E6">
      <w:pPr>
        <w:spacing w:before="158" w:line="220" w:lineRule="auto"/>
        <w:ind w:left="2641"/>
        <w:rPr>
          <w:rFonts w:ascii="宋体" w:hAnsi="宋体" w:eastAsia="宋体" w:cs="宋体"/>
          <w:sz w:val="21"/>
          <w:szCs w:val="21"/>
        </w:rPr>
      </w:pPr>
      <w:r>
        <w:rPr>
          <w:rFonts w:ascii="宋体" w:hAnsi="宋体" w:eastAsia="宋体" w:cs="宋体"/>
          <w:spacing w:val="-6"/>
          <w:sz w:val="21"/>
          <w:szCs w:val="21"/>
        </w:rPr>
        <w:t xml:space="preserve">法定代表人或授权代表（签字或盖章） </w:t>
      </w:r>
      <w:r>
        <w:rPr>
          <w:rFonts w:ascii="宋体" w:hAnsi="宋体" w:eastAsia="宋体" w:cs="宋体"/>
          <w:spacing w:val="-6"/>
          <w:sz w:val="21"/>
          <w:szCs w:val="21"/>
          <w:u w:val="single" w:color="auto"/>
        </w:rPr>
        <w:t xml:space="preserve">                    </w:t>
      </w:r>
    </w:p>
    <w:p w14:paraId="7A0120A8">
      <w:pPr>
        <w:spacing w:before="157" w:line="221" w:lineRule="auto"/>
        <w:ind w:left="4261"/>
        <w:rPr>
          <w:rFonts w:ascii="宋体" w:hAnsi="宋体" w:eastAsia="宋体" w:cs="宋体"/>
          <w:sz w:val="21"/>
          <w:szCs w:val="21"/>
        </w:rPr>
      </w:pPr>
      <w:r>
        <w:rPr>
          <w:rFonts w:ascii="宋体" w:hAnsi="宋体" w:eastAsia="宋体" w:cs="宋体"/>
          <w:spacing w:val="-25"/>
          <w:sz w:val="21"/>
          <w:szCs w:val="21"/>
        </w:rPr>
        <w:t>日</w:t>
      </w:r>
      <w:r>
        <w:rPr>
          <w:rFonts w:ascii="宋体" w:hAnsi="宋体" w:eastAsia="宋体" w:cs="宋体"/>
          <w:spacing w:val="3"/>
          <w:sz w:val="21"/>
          <w:szCs w:val="21"/>
        </w:rPr>
        <w:t xml:space="preserve">    </w:t>
      </w:r>
      <w:r>
        <w:rPr>
          <w:rFonts w:ascii="宋体" w:hAnsi="宋体" w:eastAsia="宋体" w:cs="宋体"/>
          <w:spacing w:val="-25"/>
          <w:sz w:val="21"/>
          <w:szCs w:val="21"/>
        </w:rPr>
        <w:t>期：</w:t>
      </w:r>
      <w:r>
        <w:rPr>
          <w:rFonts w:ascii="宋体" w:hAnsi="宋体" w:eastAsia="宋体" w:cs="宋体"/>
          <w:spacing w:val="13"/>
          <w:sz w:val="21"/>
          <w:szCs w:val="21"/>
        </w:rPr>
        <w:t xml:space="preserve">      </w:t>
      </w:r>
      <w:r>
        <w:rPr>
          <w:rFonts w:ascii="宋体" w:hAnsi="宋体" w:eastAsia="宋体" w:cs="宋体"/>
          <w:spacing w:val="-25"/>
          <w:sz w:val="21"/>
          <w:szCs w:val="21"/>
        </w:rPr>
        <w:t>年</w:t>
      </w:r>
      <w:r>
        <w:rPr>
          <w:rFonts w:ascii="宋体" w:hAnsi="宋体" w:eastAsia="宋体" w:cs="宋体"/>
          <w:spacing w:val="3"/>
          <w:sz w:val="21"/>
          <w:szCs w:val="21"/>
        </w:rPr>
        <w:t xml:space="preserve">    </w:t>
      </w:r>
      <w:r>
        <w:rPr>
          <w:rFonts w:ascii="宋体" w:hAnsi="宋体" w:eastAsia="宋体" w:cs="宋体"/>
          <w:spacing w:val="-25"/>
          <w:sz w:val="21"/>
          <w:szCs w:val="21"/>
        </w:rPr>
        <w:t>月</w:t>
      </w:r>
      <w:r>
        <w:rPr>
          <w:rFonts w:ascii="宋体" w:hAnsi="宋体" w:eastAsia="宋体" w:cs="宋体"/>
          <w:spacing w:val="16"/>
          <w:sz w:val="21"/>
          <w:szCs w:val="21"/>
        </w:rPr>
        <w:t xml:space="preserve">   </w:t>
      </w:r>
      <w:r>
        <w:rPr>
          <w:rFonts w:ascii="宋体" w:hAnsi="宋体" w:eastAsia="宋体" w:cs="宋体"/>
          <w:spacing w:val="-25"/>
          <w:sz w:val="21"/>
          <w:szCs w:val="21"/>
        </w:rPr>
        <w:t>日</w:t>
      </w:r>
    </w:p>
    <w:p w14:paraId="0F5F9B72">
      <w:pPr>
        <w:spacing w:line="221" w:lineRule="auto"/>
        <w:rPr>
          <w:rFonts w:ascii="宋体" w:hAnsi="宋体" w:eastAsia="宋体" w:cs="宋体"/>
          <w:sz w:val="21"/>
          <w:szCs w:val="21"/>
        </w:rPr>
        <w:sectPr>
          <w:footerReference r:id="rId42" w:type="default"/>
          <w:pgSz w:w="11905" w:h="16839"/>
          <w:pgMar w:top="1431" w:right="1785" w:bottom="996" w:left="1785" w:header="0" w:footer="791" w:gutter="0"/>
          <w:pgNumType w:fmt="decimal"/>
          <w:cols w:space="720" w:num="1"/>
        </w:sectPr>
      </w:pPr>
    </w:p>
    <w:p w14:paraId="0BE065F0">
      <w:pPr>
        <w:pStyle w:val="3"/>
        <w:spacing w:line="249" w:lineRule="auto"/>
      </w:pPr>
    </w:p>
    <w:p w14:paraId="06AC84FC">
      <w:pPr>
        <w:pStyle w:val="3"/>
        <w:spacing w:line="250" w:lineRule="auto"/>
      </w:pPr>
    </w:p>
    <w:p w14:paraId="5DF09F3A">
      <w:pPr>
        <w:spacing w:before="78" w:line="219" w:lineRule="auto"/>
        <w:ind w:left="32"/>
        <w:rPr>
          <w:rFonts w:ascii="黑体" w:hAnsi="黑体" w:eastAsia="黑体" w:cs="黑体"/>
          <w:sz w:val="24"/>
          <w:szCs w:val="24"/>
        </w:rPr>
      </w:pPr>
      <w:r>
        <w:rPr>
          <w:rFonts w:ascii="黑体" w:hAnsi="黑体" w:eastAsia="黑体" w:cs="黑体"/>
          <w:spacing w:val="-4"/>
          <w:sz w:val="24"/>
          <w:szCs w:val="24"/>
        </w:rPr>
        <w:t>附表十一：异议答复函</w:t>
      </w:r>
    </w:p>
    <w:p w14:paraId="37BD2062">
      <w:pPr>
        <w:pStyle w:val="3"/>
        <w:spacing w:line="263" w:lineRule="auto"/>
      </w:pPr>
    </w:p>
    <w:p w14:paraId="0EF78011">
      <w:pPr>
        <w:pStyle w:val="3"/>
        <w:spacing w:line="264" w:lineRule="auto"/>
      </w:pPr>
    </w:p>
    <w:p w14:paraId="6AA95E11">
      <w:pPr>
        <w:spacing w:before="88" w:line="225" w:lineRule="auto"/>
        <w:ind w:left="3484"/>
        <w:rPr>
          <w:rFonts w:ascii="黑体" w:hAnsi="黑体" w:eastAsia="黑体" w:cs="黑体"/>
          <w:sz w:val="27"/>
          <w:szCs w:val="27"/>
        </w:rPr>
      </w:pPr>
      <w:bookmarkStart w:id="88" w:name="bookmark103"/>
      <w:bookmarkEnd w:id="88"/>
      <w:bookmarkStart w:id="89" w:name="bookmark102"/>
      <w:bookmarkEnd w:id="89"/>
      <w:bookmarkStart w:id="90" w:name="bookmark107"/>
      <w:bookmarkEnd w:id="90"/>
      <w:bookmarkStart w:id="91" w:name="bookmark108"/>
      <w:bookmarkEnd w:id="91"/>
      <w:bookmarkStart w:id="92" w:name="bookmark106"/>
      <w:bookmarkEnd w:id="92"/>
      <w:bookmarkStart w:id="93" w:name="bookmark105"/>
      <w:bookmarkEnd w:id="93"/>
      <w:bookmarkStart w:id="94" w:name="bookmark104"/>
      <w:bookmarkEnd w:id="94"/>
      <w:r>
        <w:rPr>
          <w:rFonts w:ascii="黑体" w:hAnsi="黑体" w:eastAsia="黑体" w:cs="黑体"/>
          <w:spacing w:val="6"/>
          <w:sz w:val="27"/>
          <w:szCs w:val="27"/>
        </w:rPr>
        <w:t>异议答复函</w:t>
      </w:r>
    </w:p>
    <w:p w14:paraId="0E0D6FA7">
      <w:pPr>
        <w:tabs>
          <w:tab w:val="left" w:pos="128"/>
        </w:tabs>
        <w:spacing w:before="276" w:line="212" w:lineRule="auto"/>
        <w:ind w:left="10"/>
        <w:rPr>
          <w:rFonts w:ascii="宋体" w:hAnsi="宋体" w:eastAsia="宋体" w:cs="宋体"/>
          <w:sz w:val="21"/>
          <w:szCs w:val="21"/>
        </w:rPr>
      </w:pPr>
      <w:r>
        <w:rPr>
          <w:rFonts w:ascii="宋体" w:hAnsi="宋体" w:eastAsia="宋体" w:cs="宋体"/>
          <w:sz w:val="21"/>
          <w:szCs w:val="21"/>
          <w:u w:val="single" w:color="auto"/>
        </w:rPr>
        <w:tab/>
      </w:r>
      <w:r>
        <w:rPr>
          <w:rFonts w:ascii="宋体" w:hAnsi="宋体" w:eastAsia="宋体" w:cs="宋体"/>
          <w:spacing w:val="-18"/>
          <w:sz w:val="21"/>
          <w:szCs w:val="21"/>
          <w:u w:val="single" w:color="auto"/>
        </w:rPr>
        <w:t>（</w:t>
      </w:r>
      <w:r>
        <w:rPr>
          <w:rFonts w:ascii="宋体" w:hAnsi="宋体" w:eastAsia="宋体" w:cs="宋体"/>
          <w:i/>
          <w:iCs/>
          <w:spacing w:val="-18"/>
          <w:sz w:val="22"/>
          <w:szCs w:val="22"/>
          <w:u w:val="single" w:color="auto"/>
        </w:rPr>
        <w:t>异议人名称</w:t>
      </w:r>
      <w:r>
        <w:rPr>
          <w:rFonts w:ascii="宋体" w:hAnsi="宋体" w:eastAsia="宋体" w:cs="宋体"/>
          <w:spacing w:val="-29"/>
          <w:sz w:val="21"/>
          <w:szCs w:val="21"/>
          <w:u w:val="single" w:color="auto"/>
        </w:rPr>
        <w:t>）</w:t>
      </w:r>
      <w:r>
        <w:rPr>
          <w:rFonts w:ascii="宋体" w:hAnsi="宋体" w:eastAsia="宋体" w:cs="宋体"/>
          <w:spacing w:val="-29"/>
          <w:sz w:val="21"/>
          <w:szCs w:val="21"/>
        </w:rPr>
        <w:t>：</w:t>
      </w:r>
    </w:p>
    <w:p w14:paraId="56B6CF4A">
      <w:pPr>
        <w:pStyle w:val="3"/>
        <w:spacing w:line="358" w:lineRule="auto"/>
      </w:pPr>
    </w:p>
    <w:p w14:paraId="0FDF1C9F">
      <w:pPr>
        <w:spacing w:before="68" w:line="359" w:lineRule="auto"/>
        <w:jc w:val="right"/>
        <w:rPr>
          <w:rFonts w:ascii="宋体" w:hAnsi="宋体" w:eastAsia="宋体" w:cs="宋体"/>
          <w:sz w:val="21"/>
          <w:szCs w:val="21"/>
        </w:rPr>
      </w:pPr>
      <w:r>
        <w:rPr>
          <w:rFonts w:ascii="宋体" w:hAnsi="宋体" w:eastAsia="宋体" w:cs="宋体"/>
          <w:spacing w:val="-5"/>
          <w:sz w:val="21"/>
          <w:szCs w:val="21"/>
        </w:rPr>
        <w:t>您单位对</w:t>
      </w:r>
      <w:r>
        <w:rPr>
          <w:rFonts w:ascii="宋体" w:hAnsi="宋体" w:eastAsia="宋体" w:cs="宋体"/>
          <w:spacing w:val="-104"/>
          <w:sz w:val="21"/>
          <w:szCs w:val="21"/>
        </w:rPr>
        <w:t xml:space="preserve"> </w:t>
      </w:r>
      <w:r>
        <w:rPr>
          <w:rFonts w:ascii="宋体" w:hAnsi="宋体" w:eastAsia="宋体" w:cs="宋体"/>
          <w:spacing w:val="-5"/>
          <w:sz w:val="21"/>
          <w:szCs w:val="21"/>
          <w:u w:val="single" w:color="auto"/>
        </w:rPr>
        <w:t xml:space="preserve">      </w:t>
      </w:r>
      <w:r>
        <w:rPr>
          <w:rFonts w:ascii="宋体" w:hAnsi="宋体" w:eastAsia="宋体" w:cs="宋体"/>
          <w:spacing w:val="-5"/>
          <w:sz w:val="21"/>
          <w:szCs w:val="21"/>
        </w:rPr>
        <w:t xml:space="preserve"> （标段名称）项目（标段唯一标识码</w:t>
      </w:r>
      <w:r>
        <w:rPr>
          <w:rFonts w:ascii="宋体" w:hAnsi="宋体" w:eastAsia="宋体" w:cs="宋体"/>
          <w:spacing w:val="2"/>
          <w:sz w:val="21"/>
          <w:szCs w:val="21"/>
        </w:rPr>
        <w:t>：</w:t>
      </w:r>
      <w:r>
        <w:rPr>
          <w:rFonts w:ascii="宋体" w:hAnsi="宋体" w:eastAsia="宋体" w:cs="宋体"/>
          <w:spacing w:val="15"/>
          <w:sz w:val="21"/>
          <w:szCs w:val="21"/>
          <w:u w:val="single" w:color="auto"/>
        </w:rPr>
        <w:t xml:space="preserve">    </w:t>
      </w:r>
      <w:r>
        <w:rPr>
          <w:rFonts w:ascii="宋体" w:hAnsi="宋体" w:eastAsia="宋体" w:cs="宋体"/>
          <w:spacing w:val="-75"/>
          <w:sz w:val="21"/>
          <w:szCs w:val="21"/>
        </w:rPr>
        <w:t xml:space="preserve"> </w:t>
      </w:r>
      <w:r>
        <w:rPr>
          <w:rFonts w:ascii="宋体" w:hAnsi="宋体" w:eastAsia="宋体" w:cs="宋体"/>
          <w:spacing w:val="2"/>
          <w:sz w:val="21"/>
          <w:szCs w:val="21"/>
        </w:rPr>
        <w:t>）</w:t>
      </w:r>
      <w:r>
        <w:rPr>
          <w:rFonts w:ascii="宋体" w:hAnsi="宋体" w:eastAsia="宋体" w:cs="宋体"/>
          <w:spacing w:val="-5"/>
          <w:sz w:val="21"/>
          <w:szCs w:val="21"/>
        </w:rPr>
        <w:t>的异议书于</w:t>
      </w:r>
      <w:r>
        <w:rPr>
          <w:rFonts w:ascii="宋体" w:hAnsi="宋体" w:eastAsia="宋体" w:cs="宋体"/>
          <w:spacing w:val="-104"/>
          <w:sz w:val="21"/>
          <w:szCs w:val="21"/>
        </w:rPr>
        <w:t xml:space="preserve"> </w:t>
      </w:r>
      <w:r>
        <w:rPr>
          <w:rFonts w:ascii="宋体" w:hAnsi="宋体" w:eastAsia="宋体" w:cs="宋体"/>
          <w:spacing w:val="23"/>
          <w:sz w:val="21"/>
          <w:szCs w:val="21"/>
          <w:u w:val="single" w:color="auto"/>
        </w:rPr>
        <w:t xml:space="preserve">   </w:t>
      </w:r>
      <w:r>
        <w:rPr>
          <w:rFonts w:ascii="宋体" w:hAnsi="宋体" w:eastAsia="宋体" w:cs="宋体"/>
          <w:spacing w:val="-96"/>
          <w:sz w:val="21"/>
          <w:szCs w:val="21"/>
        </w:rPr>
        <w:t xml:space="preserve"> </w:t>
      </w:r>
      <w:r>
        <w:rPr>
          <w:rFonts w:ascii="宋体" w:hAnsi="宋体" w:eastAsia="宋体" w:cs="宋体"/>
          <w:spacing w:val="-5"/>
          <w:sz w:val="21"/>
          <w:szCs w:val="21"/>
        </w:rPr>
        <w:t>年</w:t>
      </w:r>
      <w:r>
        <w:rPr>
          <w:rFonts w:ascii="宋体" w:hAnsi="宋体" w:eastAsia="宋体" w:cs="宋体"/>
          <w:spacing w:val="-5"/>
          <w:sz w:val="21"/>
          <w:szCs w:val="21"/>
          <w:u w:val="single" w:color="auto"/>
        </w:rPr>
        <w:t xml:space="preserve">   </w:t>
      </w:r>
      <w:r>
        <w:rPr>
          <w:rFonts w:ascii="宋体" w:hAnsi="宋体" w:eastAsia="宋体" w:cs="宋体"/>
          <w:spacing w:val="-91"/>
          <w:sz w:val="21"/>
          <w:szCs w:val="21"/>
        </w:rPr>
        <w:t xml:space="preserve"> </w:t>
      </w:r>
      <w:r>
        <w:rPr>
          <w:rFonts w:ascii="宋体" w:hAnsi="宋体" w:eastAsia="宋体" w:cs="宋体"/>
          <w:spacing w:val="-5"/>
          <w:sz w:val="21"/>
          <w:szCs w:val="21"/>
        </w:rPr>
        <w:t>月</w:t>
      </w:r>
    </w:p>
    <w:p w14:paraId="30E5FBD3">
      <w:pPr>
        <w:spacing w:line="220" w:lineRule="auto"/>
        <w:ind w:left="54"/>
        <w:rPr>
          <w:rFonts w:ascii="宋体" w:hAnsi="宋体" w:eastAsia="宋体" w:cs="宋体"/>
          <w:sz w:val="21"/>
          <w:szCs w:val="21"/>
        </w:rPr>
      </w:pPr>
      <w:r>
        <w:rPr>
          <w:rFonts w:ascii="宋体" w:hAnsi="宋体" w:eastAsia="宋体" w:cs="宋体"/>
          <w:spacing w:val="-4"/>
          <w:sz w:val="21"/>
          <w:szCs w:val="21"/>
        </w:rPr>
        <w:t>日收悉。经查，针对异议内容，现答复如下：</w:t>
      </w:r>
    </w:p>
    <w:p w14:paraId="62CF4848">
      <w:pPr>
        <w:spacing w:before="161" w:line="221" w:lineRule="auto"/>
        <w:ind w:left="443"/>
        <w:rPr>
          <w:rFonts w:ascii="宋体" w:hAnsi="宋体" w:eastAsia="宋体" w:cs="宋体"/>
          <w:sz w:val="21"/>
          <w:szCs w:val="21"/>
        </w:rPr>
      </w:pPr>
      <w:r>
        <w:rPr>
          <w:rFonts w:ascii="宋体" w:hAnsi="宋体" w:eastAsia="宋体" w:cs="宋体"/>
          <w:spacing w:val="-6"/>
          <w:sz w:val="21"/>
          <w:szCs w:val="21"/>
        </w:rPr>
        <w:t>异议事项</w:t>
      </w:r>
      <w:r>
        <w:rPr>
          <w:rFonts w:ascii="宋体" w:hAnsi="宋体" w:eastAsia="宋体" w:cs="宋体"/>
          <w:spacing w:val="-26"/>
          <w:sz w:val="21"/>
          <w:szCs w:val="21"/>
        </w:rPr>
        <w:t xml:space="preserve"> </w:t>
      </w:r>
      <w:r>
        <w:rPr>
          <w:rFonts w:ascii="宋体" w:hAnsi="宋体" w:eastAsia="宋体" w:cs="宋体"/>
          <w:spacing w:val="-6"/>
          <w:sz w:val="21"/>
          <w:szCs w:val="21"/>
        </w:rPr>
        <w:t>1：</w:t>
      </w:r>
      <w:r>
        <w:rPr>
          <w:rFonts w:ascii="宋体" w:hAnsi="宋体" w:eastAsia="宋体" w:cs="宋体"/>
          <w:sz w:val="21"/>
          <w:szCs w:val="21"/>
          <w:u w:val="single" w:color="auto"/>
        </w:rPr>
        <w:t xml:space="preserve">                                                                </w:t>
      </w:r>
    </w:p>
    <w:p w14:paraId="72CCDEC2">
      <w:pPr>
        <w:pStyle w:val="3"/>
        <w:spacing w:line="247" w:lineRule="auto"/>
      </w:pPr>
    </w:p>
    <w:p w14:paraId="563A1EA9">
      <w:pPr>
        <w:pStyle w:val="3"/>
        <w:spacing w:line="247" w:lineRule="auto"/>
      </w:pPr>
    </w:p>
    <w:p w14:paraId="7825F5A2">
      <w:pPr>
        <w:spacing w:before="69" w:line="221" w:lineRule="auto"/>
        <w:ind w:left="441"/>
        <w:rPr>
          <w:rFonts w:ascii="宋体" w:hAnsi="宋体" w:eastAsia="宋体" w:cs="宋体"/>
          <w:sz w:val="21"/>
          <w:szCs w:val="21"/>
        </w:rPr>
      </w:pPr>
      <w:r>
        <w:rPr>
          <w:rFonts w:ascii="宋体" w:hAnsi="宋体" w:eastAsia="宋体" w:cs="宋体"/>
          <w:spacing w:val="-7"/>
          <w:sz w:val="21"/>
          <w:szCs w:val="21"/>
        </w:rPr>
        <w:t>答复</w:t>
      </w:r>
      <w:r>
        <w:rPr>
          <w:rFonts w:ascii="宋体" w:hAnsi="宋体" w:eastAsia="宋体" w:cs="宋体"/>
          <w:spacing w:val="-29"/>
          <w:sz w:val="21"/>
          <w:szCs w:val="21"/>
        </w:rPr>
        <w:t xml:space="preserve"> </w:t>
      </w:r>
      <w:r>
        <w:rPr>
          <w:rFonts w:ascii="宋体" w:hAnsi="宋体" w:eastAsia="宋体" w:cs="宋体"/>
          <w:spacing w:val="-7"/>
          <w:sz w:val="21"/>
          <w:szCs w:val="21"/>
        </w:rPr>
        <w:t>1：</w:t>
      </w:r>
      <w:r>
        <w:rPr>
          <w:rFonts w:ascii="宋体" w:hAnsi="宋体" w:eastAsia="宋体" w:cs="宋体"/>
          <w:sz w:val="21"/>
          <w:szCs w:val="21"/>
          <w:u w:val="single" w:color="auto"/>
        </w:rPr>
        <w:t xml:space="preserve">                                                                    </w:t>
      </w:r>
    </w:p>
    <w:p w14:paraId="0DAC8DD8">
      <w:pPr>
        <w:pStyle w:val="3"/>
        <w:spacing w:line="246" w:lineRule="auto"/>
      </w:pPr>
    </w:p>
    <w:p w14:paraId="60A41CBF">
      <w:pPr>
        <w:pStyle w:val="3"/>
        <w:spacing w:line="247" w:lineRule="auto"/>
      </w:pPr>
    </w:p>
    <w:p w14:paraId="1ECDDBEA">
      <w:pPr>
        <w:spacing w:before="68" w:line="221" w:lineRule="auto"/>
        <w:ind w:left="443"/>
        <w:rPr>
          <w:rFonts w:ascii="宋体" w:hAnsi="宋体" w:eastAsia="宋体" w:cs="宋体"/>
          <w:sz w:val="21"/>
          <w:szCs w:val="21"/>
        </w:rPr>
      </w:pPr>
      <w:r>
        <w:rPr>
          <w:rFonts w:ascii="宋体" w:hAnsi="宋体" w:eastAsia="宋体" w:cs="宋体"/>
          <w:spacing w:val="-2"/>
          <w:sz w:val="21"/>
          <w:szCs w:val="21"/>
        </w:rPr>
        <w:t>异议事项</w:t>
      </w:r>
      <w:r>
        <w:rPr>
          <w:rFonts w:ascii="宋体" w:hAnsi="宋体" w:eastAsia="宋体" w:cs="宋体"/>
          <w:spacing w:val="-41"/>
          <w:sz w:val="21"/>
          <w:szCs w:val="21"/>
        </w:rPr>
        <w:t xml:space="preserve"> </w:t>
      </w:r>
      <w:r>
        <w:rPr>
          <w:rFonts w:ascii="宋体" w:hAnsi="宋体" w:eastAsia="宋体" w:cs="宋体"/>
          <w:spacing w:val="-2"/>
          <w:sz w:val="21"/>
          <w:szCs w:val="21"/>
        </w:rPr>
        <w:t>2：</w:t>
      </w:r>
      <w:r>
        <w:rPr>
          <w:rFonts w:ascii="宋体" w:hAnsi="宋体" w:eastAsia="宋体" w:cs="宋体"/>
          <w:spacing w:val="-2"/>
          <w:sz w:val="21"/>
          <w:szCs w:val="21"/>
          <w:u w:val="single" w:color="auto"/>
        </w:rPr>
        <w:t xml:space="preserve">                                             </w:t>
      </w:r>
      <w:r>
        <w:rPr>
          <w:rFonts w:ascii="宋体" w:hAnsi="宋体" w:eastAsia="宋体" w:cs="宋体"/>
          <w:spacing w:val="-3"/>
          <w:sz w:val="21"/>
          <w:szCs w:val="21"/>
          <w:u w:val="single" w:color="auto"/>
        </w:rPr>
        <w:t xml:space="preserve">                    </w:t>
      </w:r>
    </w:p>
    <w:p w14:paraId="4779F049">
      <w:pPr>
        <w:pStyle w:val="3"/>
        <w:spacing w:line="247" w:lineRule="auto"/>
      </w:pPr>
    </w:p>
    <w:p w14:paraId="4CCCE56A">
      <w:pPr>
        <w:pStyle w:val="3"/>
        <w:spacing w:line="247" w:lineRule="auto"/>
      </w:pPr>
    </w:p>
    <w:p w14:paraId="0F2BF4F7">
      <w:pPr>
        <w:spacing w:before="69" w:line="221" w:lineRule="auto"/>
        <w:ind w:left="441"/>
        <w:rPr>
          <w:rFonts w:ascii="宋体" w:hAnsi="宋体" w:eastAsia="宋体" w:cs="宋体"/>
          <w:sz w:val="21"/>
          <w:szCs w:val="21"/>
        </w:rPr>
      </w:pPr>
      <w:r>
        <w:rPr>
          <w:rFonts w:ascii="宋体" w:hAnsi="宋体" w:eastAsia="宋体" w:cs="宋体"/>
          <w:spacing w:val="-3"/>
          <w:sz w:val="21"/>
          <w:szCs w:val="21"/>
        </w:rPr>
        <w:t>答复</w:t>
      </w:r>
      <w:r>
        <w:rPr>
          <w:rFonts w:ascii="宋体" w:hAnsi="宋体" w:eastAsia="宋体" w:cs="宋体"/>
          <w:spacing w:val="-25"/>
          <w:sz w:val="21"/>
          <w:szCs w:val="21"/>
        </w:rPr>
        <w:t xml:space="preserve"> </w:t>
      </w:r>
      <w:r>
        <w:rPr>
          <w:rFonts w:ascii="宋体" w:hAnsi="宋体" w:eastAsia="宋体" w:cs="宋体"/>
          <w:spacing w:val="-3"/>
          <w:sz w:val="21"/>
          <w:szCs w:val="21"/>
        </w:rPr>
        <w:t>2：</w:t>
      </w:r>
      <w:r>
        <w:rPr>
          <w:rFonts w:ascii="宋体" w:hAnsi="宋体" w:eastAsia="宋体" w:cs="宋体"/>
          <w:spacing w:val="-3"/>
          <w:sz w:val="21"/>
          <w:szCs w:val="21"/>
          <w:u w:val="single" w:color="auto"/>
        </w:rPr>
        <w:t xml:space="preserve">                                                                     </w:t>
      </w:r>
    </w:p>
    <w:p w14:paraId="79CAB2D7">
      <w:pPr>
        <w:pStyle w:val="3"/>
        <w:spacing w:line="246" w:lineRule="auto"/>
      </w:pPr>
    </w:p>
    <w:p w14:paraId="78855F13">
      <w:pPr>
        <w:pStyle w:val="3"/>
        <w:spacing w:line="246" w:lineRule="auto"/>
      </w:pPr>
    </w:p>
    <w:p w14:paraId="48F4006D">
      <w:pPr>
        <w:spacing w:before="69" w:line="221" w:lineRule="auto"/>
        <w:ind w:left="443"/>
        <w:rPr>
          <w:rFonts w:ascii="宋体" w:hAnsi="宋体" w:eastAsia="宋体" w:cs="宋体"/>
          <w:sz w:val="21"/>
          <w:szCs w:val="21"/>
        </w:rPr>
      </w:pPr>
      <w:r>
        <w:rPr>
          <w:rFonts w:ascii="宋体" w:hAnsi="宋体" w:eastAsia="宋体" w:cs="宋体"/>
          <w:spacing w:val="-2"/>
          <w:sz w:val="21"/>
          <w:szCs w:val="21"/>
        </w:rPr>
        <w:t>异议事项</w:t>
      </w:r>
      <w:r>
        <w:rPr>
          <w:rFonts w:ascii="宋体" w:hAnsi="宋体" w:eastAsia="宋体" w:cs="宋体"/>
          <w:spacing w:val="-39"/>
          <w:sz w:val="21"/>
          <w:szCs w:val="21"/>
        </w:rPr>
        <w:t xml:space="preserve"> </w:t>
      </w:r>
      <w:r>
        <w:rPr>
          <w:rFonts w:ascii="宋体" w:hAnsi="宋体" w:eastAsia="宋体" w:cs="宋体"/>
          <w:spacing w:val="-2"/>
          <w:sz w:val="21"/>
          <w:szCs w:val="21"/>
        </w:rPr>
        <w:t>3：</w:t>
      </w:r>
      <w:r>
        <w:rPr>
          <w:rFonts w:ascii="宋体" w:hAnsi="宋体" w:eastAsia="宋体" w:cs="宋体"/>
          <w:spacing w:val="-2"/>
          <w:sz w:val="21"/>
          <w:szCs w:val="21"/>
          <w:u w:val="single" w:color="auto"/>
        </w:rPr>
        <w:t xml:space="preserve">                                           </w:t>
      </w:r>
      <w:r>
        <w:rPr>
          <w:rFonts w:ascii="宋体" w:hAnsi="宋体" w:eastAsia="宋体" w:cs="宋体"/>
          <w:spacing w:val="-3"/>
          <w:sz w:val="21"/>
          <w:szCs w:val="21"/>
          <w:u w:val="single" w:color="auto"/>
        </w:rPr>
        <w:t xml:space="preserve">                      </w:t>
      </w:r>
    </w:p>
    <w:p w14:paraId="459C00D7">
      <w:pPr>
        <w:pStyle w:val="3"/>
        <w:spacing w:line="249" w:lineRule="auto"/>
      </w:pPr>
    </w:p>
    <w:p w14:paraId="2D5FD86A">
      <w:pPr>
        <w:pStyle w:val="3"/>
        <w:spacing w:line="249" w:lineRule="auto"/>
      </w:pPr>
    </w:p>
    <w:p w14:paraId="5F680FA2">
      <w:pPr>
        <w:spacing w:before="69" w:line="221" w:lineRule="auto"/>
        <w:ind w:left="441"/>
        <w:rPr>
          <w:rFonts w:ascii="宋体" w:hAnsi="宋体" w:eastAsia="宋体" w:cs="宋体"/>
          <w:sz w:val="21"/>
          <w:szCs w:val="21"/>
        </w:rPr>
      </w:pPr>
      <w:r>
        <w:rPr>
          <w:rFonts w:ascii="宋体" w:hAnsi="宋体" w:eastAsia="宋体" w:cs="宋体"/>
          <w:spacing w:val="-3"/>
          <w:sz w:val="21"/>
          <w:szCs w:val="21"/>
        </w:rPr>
        <w:t>答复</w:t>
      </w:r>
      <w:r>
        <w:rPr>
          <w:rFonts w:ascii="宋体" w:hAnsi="宋体" w:eastAsia="宋体" w:cs="宋体"/>
          <w:spacing w:val="-25"/>
          <w:sz w:val="21"/>
          <w:szCs w:val="21"/>
        </w:rPr>
        <w:t xml:space="preserve"> </w:t>
      </w:r>
      <w:r>
        <w:rPr>
          <w:rFonts w:ascii="宋体" w:hAnsi="宋体" w:eastAsia="宋体" w:cs="宋体"/>
          <w:spacing w:val="-3"/>
          <w:sz w:val="21"/>
          <w:szCs w:val="21"/>
        </w:rPr>
        <w:t>3：</w:t>
      </w:r>
      <w:r>
        <w:rPr>
          <w:rFonts w:ascii="宋体" w:hAnsi="宋体" w:eastAsia="宋体" w:cs="宋体"/>
          <w:spacing w:val="-3"/>
          <w:sz w:val="21"/>
          <w:szCs w:val="21"/>
          <w:u w:val="single" w:color="auto"/>
        </w:rPr>
        <w:t xml:space="preserve">                                                                     </w:t>
      </w:r>
    </w:p>
    <w:p w14:paraId="2EE561FA">
      <w:pPr>
        <w:spacing w:before="156" w:line="220" w:lineRule="auto"/>
        <w:ind w:left="441"/>
        <w:rPr>
          <w:rFonts w:ascii="宋体" w:hAnsi="宋体" w:eastAsia="宋体" w:cs="宋体"/>
          <w:sz w:val="21"/>
          <w:szCs w:val="21"/>
        </w:rPr>
      </w:pPr>
      <w:r>
        <w:rPr>
          <w:rFonts w:ascii="宋体" w:hAnsi="宋体" w:eastAsia="宋体" w:cs="宋体"/>
          <w:spacing w:val="-1"/>
          <w:sz w:val="21"/>
          <w:szCs w:val="21"/>
          <w14:textOutline w14:w="3831" w14:cap="flat" w14:cmpd="sng">
            <w14:solidFill>
              <w14:srgbClr w14:val="000000"/>
            </w14:solidFill>
            <w14:prstDash w14:val="solid"/>
            <w14:miter w14:val="0"/>
          </w14:textOutline>
        </w:rPr>
        <w:t>相关证明材料：见附件（如有）</w:t>
      </w:r>
    </w:p>
    <w:p w14:paraId="77111388">
      <w:pPr>
        <w:pStyle w:val="3"/>
        <w:spacing w:line="361" w:lineRule="auto"/>
      </w:pPr>
    </w:p>
    <w:p w14:paraId="6C5F55E9">
      <w:pPr>
        <w:spacing w:before="69" w:line="408" w:lineRule="exact"/>
        <w:ind w:right="1"/>
        <w:jc w:val="right"/>
        <w:rPr>
          <w:rFonts w:ascii="宋体" w:hAnsi="宋体" w:eastAsia="宋体" w:cs="宋体"/>
          <w:sz w:val="21"/>
          <w:szCs w:val="21"/>
        </w:rPr>
      </w:pPr>
      <w:r>
        <w:rPr>
          <w:rFonts w:ascii="宋体" w:hAnsi="宋体" w:eastAsia="宋体" w:cs="宋体"/>
          <w:position w:val="15"/>
          <w:sz w:val="21"/>
          <w:szCs w:val="21"/>
        </w:rPr>
        <w:t>如您单位对本答复不满意， 可以在异议答复期满十日内向有关行政监督部门依法提起</w:t>
      </w:r>
    </w:p>
    <w:p w14:paraId="24D727CD">
      <w:pPr>
        <w:spacing w:line="220" w:lineRule="auto"/>
        <w:ind w:left="20"/>
        <w:rPr>
          <w:rFonts w:ascii="宋体" w:hAnsi="宋体" w:eastAsia="宋体" w:cs="宋体"/>
          <w:sz w:val="21"/>
          <w:szCs w:val="21"/>
        </w:rPr>
      </w:pPr>
      <w:r>
        <w:rPr>
          <w:rFonts w:ascii="宋体" w:hAnsi="宋体" w:eastAsia="宋体" w:cs="宋体"/>
          <w:spacing w:val="-1"/>
          <w:sz w:val="21"/>
          <w:szCs w:val="21"/>
        </w:rPr>
        <w:t>投诉。感谢您对我们工作的监督和支持。</w:t>
      </w:r>
    </w:p>
    <w:p w14:paraId="6FEBB2AC">
      <w:pPr>
        <w:pStyle w:val="3"/>
        <w:spacing w:line="261" w:lineRule="auto"/>
      </w:pPr>
    </w:p>
    <w:p w14:paraId="6E9639E4">
      <w:pPr>
        <w:pStyle w:val="3"/>
        <w:spacing w:line="261" w:lineRule="auto"/>
      </w:pPr>
    </w:p>
    <w:p w14:paraId="574116A6">
      <w:pPr>
        <w:pStyle w:val="3"/>
        <w:spacing w:line="261" w:lineRule="auto"/>
      </w:pPr>
    </w:p>
    <w:p w14:paraId="5C6C7C22">
      <w:pPr>
        <w:pStyle w:val="3"/>
        <w:spacing w:line="261" w:lineRule="auto"/>
      </w:pPr>
    </w:p>
    <w:p w14:paraId="3462CA75">
      <w:pPr>
        <w:pStyle w:val="3"/>
        <w:spacing w:line="261" w:lineRule="auto"/>
      </w:pPr>
    </w:p>
    <w:p w14:paraId="2832BDC8">
      <w:pPr>
        <w:spacing w:before="69" w:line="359" w:lineRule="auto"/>
        <w:ind w:left="4221"/>
        <w:rPr>
          <w:rFonts w:ascii="宋体" w:hAnsi="宋体" w:eastAsia="宋体" w:cs="宋体"/>
          <w:sz w:val="21"/>
          <w:szCs w:val="21"/>
        </w:rPr>
      </w:pPr>
      <w:r>
        <w:rPr>
          <w:rFonts w:ascii="宋体" w:hAnsi="宋体" w:eastAsia="宋体" w:cs="宋体"/>
          <w:spacing w:val="-1"/>
          <w:sz w:val="21"/>
          <w:szCs w:val="21"/>
        </w:rPr>
        <w:t>招标人或招标代理机构（公章</w:t>
      </w:r>
      <w:r>
        <w:rPr>
          <w:rFonts w:ascii="宋体" w:hAnsi="宋体" w:eastAsia="宋体" w:cs="宋体"/>
          <w:spacing w:val="-35"/>
          <w:sz w:val="21"/>
          <w:szCs w:val="21"/>
        </w:rPr>
        <w:t>）：</w:t>
      </w:r>
      <w:r>
        <w:rPr>
          <w:rFonts w:ascii="宋体" w:hAnsi="宋体" w:eastAsia="宋体" w:cs="宋体"/>
          <w:spacing w:val="-28"/>
          <w:sz w:val="21"/>
          <w:szCs w:val="21"/>
        </w:rPr>
        <w:t xml:space="preserve"> </w:t>
      </w:r>
      <w:r>
        <w:rPr>
          <w:rFonts w:ascii="宋体" w:hAnsi="宋体" w:eastAsia="宋体" w:cs="宋体"/>
          <w:sz w:val="21"/>
          <w:szCs w:val="21"/>
          <w:u w:val="single" w:color="auto"/>
        </w:rPr>
        <w:t xml:space="preserve">         </w:t>
      </w:r>
    </w:p>
    <w:p w14:paraId="5BAA49F5">
      <w:pPr>
        <w:spacing w:before="1" w:line="219" w:lineRule="auto"/>
        <w:ind w:left="3899"/>
        <w:rPr>
          <w:rFonts w:ascii="宋体" w:hAnsi="宋体" w:eastAsia="宋体" w:cs="宋体"/>
          <w:sz w:val="21"/>
          <w:szCs w:val="21"/>
        </w:rPr>
      </w:pPr>
      <w:r>
        <w:rPr>
          <w:rFonts w:ascii="宋体" w:hAnsi="宋体" w:eastAsia="宋体" w:cs="宋体"/>
          <w:spacing w:val="-6"/>
          <w:sz w:val="21"/>
          <w:szCs w:val="21"/>
        </w:rPr>
        <w:t xml:space="preserve">法定代表人或授权代表（签字或盖章） </w:t>
      </w:r>
      <w:r>
        <w:rPr>
          <w:rFonts w:ascii="宋体" w:hAnsi="宋体" w:eastAsia="宋体" w:cs="宋体"/>
          <w:sz w:val="21"/>
          <w:szCs w:val="21"/>
          <w:u w:val="single" w:color="auto"/>
        </w:rPr>
        <w:t xml:space="preserve">    </w:t>
      </w:r>
    </w:p>
    <w:p w14:paraId="67D2E7A9">
      <w:pPr>
        <w:spacing w:before="157" w:line="221" w:lineRule="auto"/>
        <w:ind w:left="4261"/>
        <w:rPr>
          <w:rFonts w:ascii="宋体" w:hAnsi="宋体" w:eastAsia="宋体" w:cs="宋体"/>
          <w:sz w:val="21"/>
          <w:szCs w:val="21"/>
        </w:rPr>
      </w:pPr>
      <w:r>
        <w:rPr>
          <w:rFonts w:ascii="宋体" w:hAnsi="宋体" w:eastAsia="宋体" w:cs="宋体"/>
          <w:spacing w:val="-25"/>
          <w:sz w:val="21"/>
          <w:szCs w:val="21"/>
        </w:rPr>
        <w:t>日</w:t>
      </w:r>
      <w:r>
        <w:rPr>
          <w:rFonts w:ascii="宋体" w:hAnsi="宋体" w:eastAsia="宋体" w:cs="宋体"/>
          <w:spacing w:val="1"/>
          <w:sz w:val="21"/>
          <w:szCs w:val="21"/>
        </w:rPr>
        <w:t xml:space="preserve">    </w:t>
      </w:r>
      <w:r>
        <w:rPr>
          <w:rFonts w:ascii="宋体" w:hAnsi="宋体" w:eastAsia="宋体" w:cs="宋体"/>
          <w:spacing w:val="-25"/>
          <w:sz w:val="21"/>
          <w:szCs w:val="21"/>
        </w:rPr>
        <w:t>期：</w:t>
      </w:r>
      <w:r>
        <w:rPr>
          <w:rFonts w:ascii="宋体" w:hAnsi="宋体" w:eastAsia="宋体" w:cs="宋体"/>
          <w:spacing w:val="17"/>
          <w:sz w:val="21"/>
          <w:szCs w:val="21"/>
        </w:rPr>
        <w:t xml:space="preserve">     </w:t>
      </w:r>
      <w:r>
        <w:rPr>
          <w:rFonts w:ascii="宋体" w:hAnsi="宋体" w:eastAsia="宋体" w:cs="宋体"/>
          <w:spacing w:val="-25"/>
          <w:sz w:val="21"/>
          <w:szCs w:val="21"/>
        </w:rPr>
        <w:t>年</w:t>
      </w:r>
      <w:r>
        <w:rPr>
          <w:rFonts w:ascii="宋体" w:hAnsi="宋体" w:eastAsia="宋体" w:cs="宋体"/>
          <w:spacing w:val="3"/>
          <w:sz w:val="21"/>
          <w:szCs w:val="21"/>
        </w:rPr>
        <w:t xml:space="preserve">    </w:t>
      </w:r>
      <w:r>
        <w:rPr>
          <w:rFonts w:ascii="宋体" w:hAnsi="宋体" w:eastAsia="宋体" w:cs="宋体"/>
          <w:spacing w:val="-25"/>
          <w:sz w:val="21"/>
          <w:szCs w:val="21"/>
        </w:rPr>
        <w:t>月</w:t>
      </w:r>
      <w:r>
        <w:rPr>
          <w:rFonts w:ascii="宋体" w:hAnsi="宋体" w:eastAsia="宋体" w:cs="宋体"/>
          <w:spacing w:val="15"/>
          <w:sz w:val="21"/>
          <w:szCs w:val="21"/>
        </w:rPr>
        <w:t xml:space="preserve">   </w:t>
      </w:r>
      <w:r>
        <w:rPr>
          <w:rFonts w:ascii="宋体" w:hAnsi="宋体" w:eastAsia="宋体" w:cs="宋体"/>
          <w:spacing w:val="-25"/>
          <w:sz w:val="21"/>
          <w:szCs w:val="21"/>
        </w:rPr>
        <w:t>日</w:t>
      </w:r>
    </w:p>
    <w:p w14:paraId="263D6CA2">
      <w:pPr>
        <w:spacing w:line="221" w:lineRule="auto"/>
        <w:rPr>
          <w:rFonts w:ascii="宋体" w:hAnsi="宋体" w:eastAsia="宋体" w:cs="宋体"/>
          <w:sz w:val="21"/>
          <w:szCs w:val="21"/>
        </w:rPr>
        <w:sectPr>
          <w:footerReference r:id="rId43" w:type="default"/>
          <w:pgSz w:w="11905" w:h="16839"/>
          <w:pgMar w:top="1431" w:right="1785" w:bottom="996" w:left="1785" w:header="0" w:footer="791" w:gutter="0"/>
          <w:pgNumType w:fmt="decimal"/>
          <w:cols w:space="720" w:num="1"/>
        </w:sectPr>
      </w:pPr>
    </w:p>
    <w:p w14:paraId="6856429B">
      <w:pPr>
        <w:pStyle w:val="3"/>
        <w:spacing w:line="248" w:lineRule="auto"/>
      </w:pPr>
    </w:p>
    <w:p w14:paraId="2E3A825E">
      <w:pPr>
        <w:pStyle w:val="3"/>
        <w:spacing w:line="248" w:lineRule="auto"/>
      </w:pPr>
    </w:p>
    <w:p w14:paraId="532AB382">
      <w:pPr>
        <w:pStyle w:val="3"/>
        <w:spacing w:line="248" w:lineRule="auto"/>
      </w:pPr>
    </w:p>
    <w:p w14:paraId="37A21540">
      <w:pPr>
        <w:pStyle w:val="3"/>
        <w:spacing w:line="248" w:lineRule="auto"/>
      </w:pPr>
    </w:p>
    <w:p w14:paraId="26DF8D54">
      <w:pPr>
        <w:pStyle w:val="3"/>
        <w:spacing w:line="248" w:lineRule="auto"/>
      </w:pPr>
    </w:p>
    <w:p w14:paraId="370D1A08">
      <w:pPr>
        <w:pStyle w:val="3"/>
        <w:spacing w:line="248" w:lineRule="auto"/>
      </w:pPr>
    </w:p>
    <w:p w14:paraId="64945525">
      <w:pPr>
        <w:pStyle w:val="3"/>
        <w:spacing w:line="248" w:lineRule="auto"/>
      </w:pPr>
    </w:p>
    <w:p w14:paraId="04D66EBE">
      <w:pPr>
        <w:pStyle w:val="3"/>
        <w:spacing w:line="248" w:lineRule="auto"/>
      </w:pPr>
    </w:p>
    <w:p w14:paraId="15298823">
      <w:pPr>
        <w:pStyle w:val="3"/>
        <w:spacing w:line="248" w:lineRule="auto"/>
      </w:pPr>
    </w:p>
    <w:p w14:paraId="7D6A9D76">
      <w:pPr>
        <w:pStyle w:val="3"/>
        <w:spacing w:line="248" w:lineRule="auto"/>
      </w:pPr>
    </w:p>
    <w:p w14:paraId="6A63AE9C">
      <w:pPr>
        <w:pStyle w:val="3"/>
        <w:spacing w:line="249" w:lineRule="auto"/>
      </w:pPr>
    </w:p>
    <w:p w14:paraId="62D3F1F6">
      <w:pPr>
        <w:pStyle w:val="3"/>
        <w:spacing w:line="249" w:lineRule="auto"/>
      </w:pPr>
    </w:p>
    <w:p w14:paraId="3E39CE1D">
      <w:pPr>
        <w:pStyle w:val="3"/>
        <w:spacing w:line="249" w:lineRule="auto"/>
      </w:pPr>
    </w:p>
    <w:p w14:paraId="518C02CC">
      <w:pPr>
        <w:pStyle w:val="3"/>
        <w:spacing w:line="249" w:lineRule="auto"/>
      </w:pPr>
    </w:p>
    <w:p w14:paraId="5F650A47">
      <w:pPr>
        <w:pStyle w:val="3"/>
        <w:spacing w:line="249" w:lineRule="auto"/>
      </w:pPr>
    </w:p>
    <w:p w14:paraId="0827018B">
      <w:pPr>
        <w:spacing w:before="104" w:line="219" w:lineRule="auto"/>
        <w:ind w:left="2899"/>
        <w:rPr>
          <w:rFonts w:ascii="黑体" w:hAnsi="黑体" w:eastAsia="黑体" w:cs="黑体"/>
          <w:sz w:val="32"/>
          <w:szCs w:val="32"/>
        </w:rPr>
      </w:pPr>
      <w:bookmarkStart w:id="95" w:name="bookmark109"/>
      <w:bookmarkEnd w:id="95"/>
      <w:r>
        <w:rPr>
          <w:rFonts w:ascii="黑体" w:hAnsi="黑体" w:eastAsia="黑体" w:cs="黑体"/>
          <w:spacing w:val="-1"/>
          <w:sz w:val="32"/>
          <w:szCs w:val="32"/>
        </w:rPr>
        <w:t>第三章  评标办法</w:t>
      </w:r>
    </w:p>
    <w:p w14:paraId="58C5C74C">
      <w:pPr>
        <w:spacing w:line="219" w:lineRule="auto"/>
        <w:rPr>
          <w:rFonts w:ascii="黑体" w:hAnsi="黑体" w:eastAsia="黑体" w:cs="黑体"/>
          <w:sz w:val="32"/>
          <w:szCs w:val="32"/>
        </w:rPr>
        <w:sectPr>
          <w:footerReference r:id="rId44" w:type="default"/>
          <w:pgSz w:w="11905" w:h="16839"/>
          <w:pgMar w:top="1431" w:right="1785" w:bottom="996" w:left="1785" w:header="0" w:footer="791" w:gutter="0"/>
          <w:pgNumType w:fmt="decimal"/>
          <w:cols w:space="720" w:num="1"/>
        </w:sectPr>
      </w:pPr>
    </w:p>
    <w:p w14:paraId="4437C2D4">
      <w:pPr>
        <w:spacing w:before="64" w:line="219" w:lineRule="auto"/>
        <w:ind w:left="3201"/>
        <w:rPr>
          <w:rFonts w:ascii="黑体" w:hAnsi="黑体" w:eastAsia="黑体" w:cs="黑体"/>
          <w:sz w:val="32"/>
          <w:szCs w:val="32"/>
        </w:rPr>
      </w:pPr>
      <w:bookmarkStart w:id="96" w:name="bookmark111"/>
      <w:bookmarkEnd w:id="96"/>
      <w:bookmarkStart w:id="97" w:name="bookmark110"/>
      <w:bookmarkEnd w:id="97"/>
      <w:r>
        <w:rPr>
          <w:rFonts w:ascii="黑体" w:hAnsi="黑体" w:eastAsia="黑体" w:cs="黑体"/>
          <w:spacing w:val="-1"/>
          <w:sz w:val="32"/>
          <w:szCs w:val="32"/>
        </w:rPr>
        <w:t>第三章  评标办法</w:t>
      </w:r>
    </w:p>
    <w:p w14:paraId="433BFFC7">
      <w:pPr>
        <w:pStyle w:val="3"/>
        <w:spacing w:line="426" w:lineRule="auto"/>
      </w:pPr>
    </w:p>
    <w:p w14:paraId="6D8F4E31">
      <w:pPr>
        <w:spacing w:before="88" w:line="224" w:lineRule="auto"/>
        <w:ind w:left="2516"/>
        <w:rPr>
          <w:rFonts w:ascii="黑体" w:hAnsi="黑体" w:eastAsia="黑体" w:cs="黑体"/>
          <w:sz w:val="27"/>
          <w:szCs w:val="27"/>
        </w:rPr>
      </w:pPr>
      <w:r>
        <w:rPr>
          <w:rFonts w:ascii="黑体" w:hAnsi="黑体" w:eastAsia="黑体" w:cs="黑体"/>
          <w:spacing w:val="8"/>
          <w:sz w:val="27"/>
          <w:szCs w:val="27"/>
        </w:rPr>
        <w:t>评标办法前附表（综合评估法）</w:t>
      </w:r>
    </w:p>
    <w:p w14:paraId="421E696C">
      <w:pPr>
        <w:spacing w:before="111"/>
      </w:pPr>
    </w:p>
    <w:tbl>
      <w:tblPr>
        <w:tblStyle w:val="10"/>
        <w:tblW w:w="894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44"/>
        <w:gridCol w:w="1099"/>
        <w:gridCol w:w="2303"/>
        <w:gridCol w:w="4794"/>
      </w:tblGrid>
      <w:tr w14:paraId="09F693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1843" w:type="dxa"/>
            <w:gridSpan w:val="2"/>
            <w:vAlign w:val="top"/>
          </w:tcPr>
          <w:p w14:paraId="1048E44E">
            <w:pPr>
              <w:pStyle w:val="11"/>
              <w:spacing w:before="182" w:line="221" w:lineRule="auto"/>
              <w:ind w:left="610"/>
            </w:pPr>
            <w:r>
              <w:rPr>
                <w:spacing w:val="-2"/>
                <w14:textOutline w14:w="3831" w14:cap="flat" w14:cmpd="sng">
                  <w14:solidFill>
                    <w14:srgbClr w14:val="000000"/>
                  </w14:solidFill>
                  <w14:prstDash w14:val="solid"/>
                  <w14:miter w14:val="0"/>
                </w14:textOutline>
              </w:rPr>
              <w:t>条款号</w:t>
            </w:r>
          </w:p>
        </w:tc>
        <w:tc>
          <w:tcPr>
            <w:tcW w:w="2303" w:type="dxa"/>
            <w:vAlign w:val="top"/>
          </w:tcPr>
          <w:p w14:paraId="796DD1F3">
            <w:pPr>
              <w:pStyle w:val="11"/>
              <w:spacing w:before="182" w:line="221" w:lineRule="auto"/>
              <w:ind w:left="728"/>
            </w:pPr>
            <w:r>
              <w:rPr>
                <w:spacing w:val="-1"/>
                <w14:textOutline w14:w="3831" w14:cap="flat" w14:cmpd="sng">
                  <w14:solidFill>
                    <w14:srgbClr w14:val="000000"/>
                  </w14:solidFill>
                  <w14:prstDash w14:val="solid"/>
                  <w14:miter w14:val="0"/>
                </w14:textOutline>
              </w:rPr>
              <w:t>评审因素</w:t>
            </w:r>
          </w:p>
        </w:tc>
        <w:tc>
          <w:tcPr>
            <w:tcW w:w="4794" w:type="dxa"/>
            <w:vAlign w:val="top"/>
          </w:tcPr>
          <w:p w14:paraId="6EFB10DD">
            <w:pPr>
              <w:pStyle w:val="11"/>
              <w:spacing w:before="183" w:line="221" w:lineRule="auto"/>
              <w:ind w:left="1973"/>
            </w:pPr>
            <w:r>
              <w:rPr>
                <w:spacing w:val="-1"/>
                <w14:textOutline w14:w="3831" w14:cap="flat" w14:cmpd="sng">
                  <w14:solidFill>
                    <w14:srgbClr w14:val="000000"/>
                  </w14:solidFill>
                  <w14:prstDash w14:val="solid"/>
                  <w14:miter w14:val="0"/>
                </w14:textOutline>
              </w:rPr>
              <w:t>评审标准</w:t>
            </w:r>
          </w:p>
        </w:tc>
      </w:tr>
      <w:tr w14:paraId="4872A8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744" w:type="dxa"/>
            <w:vMerge w:val="restart"/>
            <w:tcBorders>
              <w:bottom w:val="nil"/>
            </w:tcBorders>
            <w:vAlign w:val="top"/>
          </w:tcPr>
          <w:p w14:paraId="2E02794A">
            <w:pPr>
              <w:spacing w:line="255" w:lineRule="auto"/>
              <w:rPr>
                <w:rFonts w:ascii="Arial"/>
                <w:sz w:val="21"/>
              </w:rPr>
            </w:pPr>
          </w:p>
          <w:p w14:paraId="458B7929">
            <w:pPr>
              <w:spacing w:line="255" w:lineRule="auto"/>
              <w:rPr>
                <w:rFonts w:ascii="Arial"/>
                <w:sz w:val="21"/>
              </w:rPr>
            </w:pPr>
          </w:p>
          <w:p w14:paraId="4FEF953F">
            <w:pPr>
              <w:spacing w:line="255" w:lineRule="auto"/>
              <w:rPr>
                <w:rFonts w:ascii="Arial"/>
                <w:sz w:val="21"/>
              </w:rPr>
            </w:pPr>
          </w:p>
          <w:p w14:paraId="6CCA5328">
            <w:pPr>
              <w:spacing w:line="256" w:lineRule="auto"/>
              <w:rPr>
                <w:rFonts w:ascii="Arial"/>
                <w:sz w:val="21"/>
              </w:rPr>
            </w:pPr>
          </w:p>
          <w:p w14:paraId="37D62A16">
            <w:pPr>
              <w:spacing w:line="256" w:lineRule="auto"/>
              <w:rPr>
                <w:rFonts w:ascii="Arial"/>
                <w:sz w:val="21"/>
              </w:rPr>
            </w:pPr>
          </w:p>
          <w:p w14:paraId="5A9918B1">
            <w:pPr>
              <w:spacing w:line="256" w:lineRule="auto"/>
              <w:rPr>
                <w:rFonts w:ascii="Arial"/>
                <w:sz w:val="21"/>
              </w:rPr>
            </w:pPr>
          </w:p>
          <w:p w14:paraId="7A1B7557">
            <w:pPr>
              <w:spacing w:line="256" w:lineRule="auto"/>
              <w:rPr>
                <w:rFonts w:ascii="Arial"/>
                <w:sz w:val="21"/>
              </w:rPr>
            </w:pPr>
          </w:p>
          <w:p w14:paraId="41F212CD">
            <w:pPr>
              <w:spacing w:line="256" w:lineRule="auto"/>
              <w:rPr>
                <w:rFonts w:ascii="Arial"/>
                <w:sz w:val="21"/>
              </w:rPr>
            </w:pPr>
          </w:p>
          <w:p w14:paraId="2D776EFB">
            <w:pPr>
              <w:spacing w:line="256" w:lineRule="auto"/>
              <w:rPr>
                <w:rFonts w:ascii="Arial"/>
                <w:sz w:val="21"/>
              </w:rPr>
            </w:pPr>
          </w:p>
          <w:p w14:paraId="41F487D8">
            <w:pPr>
              <w:spacing w:line="256" w:lineRule="auto"/>
              <w:rPr>
                <w:rFonts w:ascii="Arial"/>
                <w:sz w:val="21"/>
              </w:rPr>
            </w:pPr>
          </w:p>
          <w:p w14:paraId="4DFFA258">
            <w:pPr>
              <w:spacing w:line="256" w:lineRule="auto"/>
              <w:rPr>
                <w:rFonts w:ascii="Arial"/>
                <w:sz w:val="21"/>
              </w:rPr>
            </w:pPr>
          </w:p>
          <w:p w14:paraId="4E62B5DA">
            <w:pPr>
              <w:spacing w:line="256" w:lineRule="auto"/>
              <w:rPr>
                <w:rFonts w:ascii="Arial"/>
                <w:sz w:val="21"/>
              </w:rPr>
            </w:pPr>
          </w:p>
          <w:p w14:paraId="67211C9C">
            <w:pPr>
              <w:spacing w:line="256" w:lineRule="auto"/>
              <w:rPr>
                <w:rFonts w:ascii="Arial"/>
                <w:sz w:val="21"/>
              </w:rPr>
            </w:pPr>
          </w:p>
          <w:p w14:paraId="1F6934C0">
            <w:pPr>
              <w:spacing w:line="256" w:lineRule="auto"/>
              <w:rPr>
                <w:rFonts w:ascii="Arial"/>
                <w:sz w:val="21"/>
              </w:rPr>
            </w:pPr>
          </w:p>
          <w:p w14:paraId="265F7D45">
            <w:pPr>
              <w:spacing w:line="256" w:lineRule="auto"/>
              <w:rPr>
                <w:rFonts w:ascii="Arial"/>
                <w:sz w:val="21"/>
              </w:rPr>
            </w:pPr>
          </w:p>
          <w:p w14:paraId="6FF98D5A">
            <w:pPr>
              <w:spacing w:before="61" w:line="189" w:lineRule="auto"/>
              <w:ind w:left="162"/>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2.1.1</w:t>
            </w:r>
          </w:p>
        </w:tc>
        <w:tc>
          <w:tcPr>
            <w:tcW w:w="1099" w:type="dxa"/>
            <w:vMerge w:val="restart"/>
            <w:tcBorders>
              <w:bottom w:val="nil"/>
            </w:tcBorders>
            <w:vAlign w:val="top"/>
          </w:tcPr>
          <w:p w14:paraId="022920E0">
            <w:pPr>
              <w:spacing w:line="241" w:lineRule="auto"/>
              <w:rPr>
                <w:rFonts w:ascii="Arial"/>
                <w:sz w:val="21"/>
              </w:rPr>
            </w:pPr>
          </w:p>
          <w:p w14:paraId="5CF0765E">
            <w:pPr>
              <w:spacing w:line="241" w:lineRule="auto"/>
              <w:rPr>
                <w:rFonts w:ascii="Arial"/>
                <w:sz w:val="21"/>
              </w:rPr>
            </w:pPr>
          </w:p>
          <w:p w14:paraId="540A59FC">
            <w:pPr>
              <w:spacing w:line="241" w:lineRule="auto"/>
              <w:rPr>
                <w:rFonts w:ascii="Arial"/>
                <w:sz w:val="21"/>
              </w:rPr>
            </w:pPr>
          </w:p>
          <w:p w14:paraId="23F2764F">
            <w:pPr>
              <w:spacing w:line="241" w:lineRule="auto"/>
              <w:rPr>
                <w:rFonts w:ascii="Arial"/>
                <w:sz w:val="21"/>
              </w:rPr>
            </w:pPr>
          </w:p>
          <w:p w14:paraId="2A6E82CE">
            <w:pPr>
              <w:spacing w:line="241" w:lineRule="auto"/>
              <w:rPr>
                <w:rFonts w:ascii="Arial"/>
                <w:sz w:val="21"/>
              </w:rPr>
            </w:pPr>
          </w:p>
          <w:p w14:paraId="2C26FD66">
            <w:pPr>
              <w:spacing w:line="241" w:lineRule="auto"/>
              <w:rPr>
                <w:rFonts w:ascii="Arial"/>
                <w:sz w:val="21"/>
              </w:rPr>
            </w:pPr>
          </w:p>
          <w:p w14:paraId="2680532E">
            <w:pPr>
              <w:spacing w:line="241" w:lineRule="auto"/>
              <w:rPr>
                <w:rFonts w:ascii="Arial"/>
                <w:sz w:val="21"/>
              </w:rPr>
            </w:pPr>
          </w:p>
          <w:p w14:paraId="74E9826E">
            <w:pPr>
              <w:spacing w:line="241" w:lineRule="auto"/>
              <w:rPr>
                <w:rFonts w:ascii="Arial"/>
                <w:sz w:val="21"/>
              </w:rPr>
            </w:pPr>
          </w:p>
          <w:p w14:paraId="7FCBCD90">
            <w:pPr>
              <w:spacing w:line="241" w:lineRule="auto"/>
              <w:rPr>
                <w:rFonts w:ascii="Arial"/>
                <w:sz w:val="21"/>
              </w:rPr>
            </w:pPr>
          </w:p>
          <w:p w14:paraId="17666C13">
            <w:pPr>
              <w:spacing w:line="241" w:lineRule="auto"/>
              <w:rPr>
                <w:rFonts w:ascii="Arial"/>
                <w:sz w:val="21"/>
              </w:rPr>
            </w:pPr>
          </w:p>
          <w:p w14:paraId="786E31E1">
            <w:pPr>
              <w:spacing w:line="242" w:lineRule="auto"/>
              <w:rPr>
                <w:rFonts w:ascii="Arial"/>
                <w:sz w:val="21"/>
              </w:rPr>
            </w:pPr>
          </w:p>
          <w:p w14:paraId="37670BCC">
            <w:pPr>
              <w:spacing w:line="242" w:lineRule="auto"/>
              <w:rPr>
                <w:rFonts w:ascii="Arial"/>
                <w:sz w:val="21"/>
              </w:rPr>
            </w:pPr>
          </w:p>
          <w:p w14:paraId="7409623B">
            <w:pPr>
              <w:spacing w:line="242" w:lineRule="auto"/>
              <w:rPr>
                <w:rFonts w:ascii="Arial"/>
                <w:sz w:val="21"/>
              </w:rPr>
            </w:pPr>
          </w:p>
          <w:p w14:paraId="023E2AFD">
            <w:pPr>
              <w:spacing w:line="242" w:lineRule="auto"/>
              <w:rPr>
                <w:rFonts w:ascii="Arial"/>
                <w:sz w:val="21"/>
              </w:rPr>
            </w:pPr>
          </w:p>
          <w:p w14:paraId="25C916D0">
            <w:pPr>
              <w:pStyle w:val="11"/>
              <w:spacing w:before="68" w:line="418" w:lineRule="exact"/>
              <w:ind w:left="347"/>
            </w:pPr>
            <w:r>
              <w:rPr>
                <w:spacing w:val="-3"/>
                <w:position w:val="15"/>
              </w:rPr>
              <w:t>形式</w:t>
            </w:r>
          </w:p>
          <w:p w14:paraId="5E33F670">
            <w:pPr>
              <w:pStyle w:val="11"/>
              <w:spacing w:line="221" w:lineRule="auto"/>
              <w:ind w:left="343"/>
            </w:pPr>
            <w:r>
              <w:rPr>
                <w:spacing w:val="-2"/>
              </w:rPr>
              <w:t>评审</w:t>
            </w:r>
          </w:p>
          <w:p w14:paraId="6CAFCDEB">
            <w:pPr>
              <w:pStyle w:val="11"/>
              <w:spacing w:before="171" w:line="221" w:lineRule="auto"/>
              <w:ind w:left="345"/>
            </w:pPr>
            <w:r>
              <w:rPr>
                <w:spacing w:val="-2"/>
              </w:rPr>
              <w:t>标准</w:t>
            </w:r>
          </w:p>
        </w:tc>
        <w:tc>
          <w:tcPr>
            <w:tcW w:w="2303" w:type="dxa"/>
            <w:vAlign w:val="top"/>
          </w:tcPr>
          <w:p w14:paraId="2C8EC298">
            <w:pPr>
              <w:pStyle w:val="11"/>
              <w:spacing w:before="174" w:line="221" w:lineRule="auto"/>
              <w:ind w:left="630"/>
            </w:pPr>
            <w:r>
              <w:rPr>
                <w:spacing w:val="-1"/>
              </w:rPr>
              <w:t>投标人名称</w:t>
            </w:r>
          </w:p>
        </w:tc>
        <w:tc>
          <w:tcPr>
            <w:tcW w:w="4794" w:type="dxa"/>
            <w:vAlign w:val="top"/>
          </w:tcPr>
          <w:p w14:paraId="4401AE27">
            <w:pPr>
              <w:pStyle w:val="11"/>
              <w:spacing w:before="173" w:line="220" w:lineRule="auto"/>
              <w:ind w:left="116"/>
            </w:pPr>
            <w:r>
              <w:rPr>
                <w:spacing w:val="-1"/>
              </w:rPr>
              <w:t>与营业执照、资质证书、安全生产许可证一致</w:t>
            </w:r>
          </w:p>
        </w:tc>
      </w:tr>
      <w:tr w14:paraId="4FA5E3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6" w:hRule="atLeast"/>
        </w:trPr>
        <w:tc>
          <w:tcPr>
            <w:tcW w:w="744" w:type="dxa"/>
            <w:vMerge w:val="continue"/>
            <w:tcBorders>
              <w:top w:val="nil"/>
              <w:bottom w:val="nil"/>
            </w:tcBorders>
            <w:vAlign w:val="top"/>
          </w:tcPr>
          <w:p w14:paraId="7131F8F2">
            <w:pPr>
              <w:rPr>
                <w:rFonts w:ascii="Arial"/>
                <w:sz w:val="21"/>
              </w:rPr>
            </w:pPr>
          </w:p>
        </w:tc>
        <w:tc>
          <w:tcPr>
            <w:tcW w:w="1099" w:type="dxa"/>
            <w:vMerge w:val="continue"/>
            <w:tcBorders>
              <w:top w:val="nil"/>
              <w:bottom w:val="nil"/>
            </w:tcBorders>
            <w:vAlign w:val="top"/>
          </w:tcPr>
          <w:p w14:paraId="2AF66DB7">
            <w:pPr>
              <w:rPr>
                <w:rFonts w:ascii="Arial"/>
                <w:sz w:val="21"/>
              </w:rPr>
            </w:pPr>
          </w:p>
        </w:tc>
        <w:tc>
          <w:tcPr>
            <w:tcW w:w="2303" w:type="dxa"/>
            <w:vAlign w:val="top"/>
          </w:tcPr>
          <w:p w14:paraId="72720FA1">
            <w:pPr>
              <w:pStyle w:val="11"/>
              <w:spacing w:before="174" w:line="220" w:lineRule="auto"/>
              <w:ind w:left="314"/>
            </w:pPr>
            <w:r>
              <w:rPr>
                <w:spacing w:val="-1"/>
              </w:rPr>
              <w:t>投标文件签字盖章</w:t>
            </w:r>
          </w:p>
        </w:tc>
        <w:tc>
          <w:tcPr>
            <w:tcW w:w="4794" w:type="dxa"/>
            <w:vAlign w:val="top"/>
          </w:tcPr>
          <w:p w14:paraId="599659D3">
            <w:pPr>
              <w:pStyle w:val="11"/>
              <w:spacing w:before="174" w:line="220" w:lineRule="auto"/>
              <w:ind w:left="113"/>
            </w:pPr>
            <w:r>
              <w:rPr>
                <w:spacing w:val="-1"/>
              </w:rPr>
              <w:t>符合第二章“投标人须知”第</w:t>
            </w:r>
            <w:r>
              <w:rPr>
                <w:spacing w:val="-43"/>
              </w:rPr>
              <w:t xml:space="preserve"> </w:t>
            </w:r>
            <w:r>
              <w:rPr>
                <w:spacing w:val="-1"/>
              </w:rPr>
              <w:t>3.7.3（4）目规定</w:t>
            </w:r>
          </w:p>
        </w:tc>
      </w:tr>
      <w:tr w14:paraId="092F68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9" w:hRule="atLeast"/>
        </w:trPr>
        <w:tc>
          <w:tcPr>
            <w:tcW w:w="744" w:type="dxa"/>
            <w:vMerge w:val="continue"/>
            <w:tcBorders>
              <w:top w:val="nil"/>
              <w:bottom w:val="nil"/>
            </w:tcBorders>
            <w:vAlign w:val="top"/>
          </w:tcPr>
          <w:p w14:paraId="331F5097">
            <w:pPr>
              <w:rPr>
                <w:rFonts w:ascii="Arial"/>
                <w:sz w:val="21"/>
              </w:rPr>
            </w:pPr>
          </w:p>
        </w:tc>
        <w:tc>
          <w:tcPr>
            <w:tcW w:w="1099" w:type="dxa"/>
            <w:vMerge w:val="continue"/>
            <w:tcBorders>
              <w:top w:val="nil"/>
              <w:bottom w:val="nil"/>
            </w:tcBorders>
            <w:vAlign w:val="top"/>
          </w:tcPr>
          <w:p w14:paraId="08CFDC5E">
            <w:pPr>
              <w:rPr>
                <w:rFonts w:ascii="Arial"/>
                <w:sz w:val="21"/>
              </w:rPr>
            </w:pPr>
          </w:p>
        </w:tc>
        <w:tc>
          <w:tcPr>
            <w:tcW w:w="2303" w:type="dxa"/>
            <w:vAlign w:val="top"/>
          </w:tcPr>
          <w:p w14:paraId="0FB36040">
            <w:pPr>
              <w:spacing w:line="300" w:lineRule="auto"/>
              <w:rPr>
                <w:rFonts w:ascii="Arial"/>
                <w:sz w:val="21"/>
              </w:rPr>
            </w:pPr>
          </w:p>
          <w:p w14:paraId="27184A03">
            <w:pPr>
              <w:pStyle w:val="11"/>
              <w:spacing w:before="69" w:line="221" w:lineRule="auto"/>
              <w:ind w:left="208"/>
            </w:pPr>
            <w:r>
              <w:rPr>
                <w:spacing w:val="-1"/>
              </w:rPr>
              <w:t>投标文件格式、内容</w:t>
            </w:r>
          </w:p>
        </w:tc>
        <w:tc>
          <w:tcPr>
            <w:tcW w:w="4794" w:type="dxa"/>
            <w:vAlign w:val="top"/>
          </w:tcPr>
          <w:p w14:paraId="6531307D">
            <w:pPr>
              <w:pStyle w:val="11"/>
              <w:spacing w:before="160" w:line="422" w:lineRule="exact"/>
              <w:ind w:left="113"/>
            </w:pPr>
            <w:r>
              <w:rPr>
                <w:spacing w:val="7"/>
                <w:position w:val="16"/>
              </w:rPr>
              <w:t>符合第八章“投标文件格式”的要求且实质性内</w:t>
            </w:r>
          </w:p>
          <w:p w14:paraId="6A098EDA">
            <w:pPr>
              <w:pStyle w:val="11"/>
              <w:spacing w:line="220" w:lineRule="auto"/>
              <w:ind w:left="114"/>
            </w:pPr>
            <w:r>
              <w:rPr>
                <w:spacing w:val="-2"/>
              </w:rPr>
              <w:t>容齐全</w:t>
            </w:r>
          </w:p>
        </w:tc>
      </w:tr>
      <w:tr w14:paraId="623DE0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4" w:hRule="atLeast"/>
        </w:trPr>
        <w:tc>
          <w:tcPr>
            <w:tcW w:w="744" w:type="dxa"/>
            <w:vMerge w:val="continue"/>
            <w:tcBorders>
              <w:top w:val="nil"/>
              <w:bottom w:val="nil"/>
            </w:tcBorders>
            <w:vAlign w:val="top"/>
          </w:tcPr>
          <w:p w14:paraId="681B6B91">
            <w:pPr>
              <w:rPr>
                <w:rFonts w:ascii="Arial"/>
                <w:sz w:val="21"/>
              </w:rPr>
            </w:pPr>
          </w:p>
        </w:tc>
        <w:tc>
          <w:tcPr>
            <w:tcW w:w="1099" w:type="dxa"/>
            <w:vMerge w:val="continue"/>
            <w:tcBorders>
              <w:top w:val="nil"/>
              <w:bottom w:val="nil"/>
            </w:tcBorders>
            <w:vAlign w:val="top"/>
          </w:tcPr>
          <w:p w14:paraId="7E515B5A">
            <w:pPr>
              <w:rPr>
                <w:rFonts w:ascii="Arial"/>
                <w:sz w:val="21"/>
              </w:rPr>
            </w:pPr>
          </w:p>
        </w:tc>
        <w:tc>
          <w:tcPr>
            <w:tcW w:w="2303" w:type="dxa"/>
            <w:vAlign w:val="center"/>
          </w:tcPr>
          <w:p w14:paraId="7E8185BB">
            <w:pPr>
              <w:pStyle w:val="11"/>
              <w:spacing w:before="155" w:line="423" w:lineRule="exact"/>
              <w:ind w:left="312"/>
              <w:jc w:val="center"/>
            </w:pPr>
            <w:r>
              <w:rPr>
                <w:spacing w:val="-1"/>
                <w:position w:val="16"/>
              </w:rPr>
              <w:t>联合体投标人</w:t>
            </w:r>
          </w:p>
        </w:tc>
        <w:tc>
          <w:tcPr>
            <w:tcW w:w="4794" w:type="dxa"/>
            <w:vAlign w:val="top"/>
          </w:tcPr>
          <w:p w14:paraId="35A99A96">
            <w:pPr>
              <w:pStyle w:val="11"/>
              <w:spacing w:before="155" w:line="423" w:lineRule="exact"/>
              <w:ind w:left="112"/>
            </w:pPr>
            <w:r>
              <w:rPr>
                <w:spacing w:val="7"/>
                <w:position w:val="16"/>
              </w:rPr>
              <w:t>提交联合体协议书，并明确联合体牵头人和各方</w:t>
            </w:r>
          </w:p>
          <w:p w14:paraId="6D831A8B">
            <w:pPr>
              <w:pStyle w:val="11"/>
              <w:spacing w:line="220" w:lineRule="auto"/>
              <w:ind w:left="129"/>
            </w:pPr>
            <w:r>
              <w:rPr>
                <w:spacing w:val="-4"/>
              </w:rPr>
              <w:t>的权利义务</w:t>
            </w:r>
          </w:p>
        </w:tc>
      </w:tr>
      <w:tr w14:paraId="4A3A22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5" w:hRule="atLeast"/>
        </w:trPr>
        <w:tc>
          <w:tcPr>
            <w:tcW w:w="744" w:type="dxa"/>
            <w:vMerge w:val="continue"/>
            <w:tcBorders>
              <w:top w:val="nil"/>
              <w:bottom w:val="nil"/>
            </w:tcBorders>
            <w:vAlign w:val="top"/>
          </w:tcPr>
          <w:p w14:paraId="065D6CBF">
            <w:pPr>
              <w:rPr>
                <w:rFonts w:ascii="Arial"/>
                <w:sz w:val="21"/>
              </w:rPr>
            </w:pPr>
          </w:p>
        </w:tc>
        <w:tc>
          <w:tcPr>
            <w:tcW w:w="1099" w:type="dxa"/>
            <w:vMerge w:val="continue"/>
            <w:tcBorders>
              <w:top w:val="nil"/>
              <w:bottom w:val="nil"/>
            </w:tcBorders>
            <w:vAlign w:val="top"/>
          </w:tcPr>
          <w:p w14:paraId="683D5043">
            <w:pPr>
              <w:rPr>
                <w:rFonts w:ascii="Arial"/>
                <w:sz w:val="21"/>
              </w:rPr>
            </w:pPr>
          </w:p>
        </w:tc>
        <w:tc>
          <w:tcPr>
            <w:tcW w:w="2303" w:type="dxa"/>
            <w:vAlign w:val="top"/>
          </w:tcPr>
          <w:p w14:paraId="33D3C8CD">
            <w:pPr>
              <w:spacing w:line="298" w:lineRule="auto"/>
              <w:rPr>
                <w:rFonts w:ascii="Arial"/>
                <w:sz w:val="21"/>
              </w:rPr>
            </w:pPr>
          </w:p>
          <w:p w14:paraId="2005E99E">
            <w:pPr>
              <w:pStyle w:val="11"/>
              <w:spacing w:before="68" w:line="219" w:lineRule="auto"/>
              <w:ind w:left="732"/>
            </w:pPr>
            <w:r>
              <w:rPr>
                <w:spacing w:val="2"/>
              </w:rPr>
              <w:t>报价唯一</w:t>
            </w:r>
          </w:p>
        </w:tc>
        <w:tc>
          <w:tcPr>
            <w:tcW w:w="4794" w:type="dxa"/>
            <w:vAlign w:val="top"/>
          </w:tcPr>
          <w:p w14:paraId="2E1B6A14">
            <w:pPr>
              <w:pStyle w:val="11"/>
              <w:spacing w:before="157" w:line="422" w:lineRule="exact"/>
              <w:ind w:left="114"/>
            </w:pPr>
            <w:r>
              <w:rPr>
                <w:spacing w:val="7"/>
                <w:position w:val="16"/>
              </w:rPr>
              <w:t>投标报价文件（包括投标函）中的任何单价、合</w:t>
            </w:r>
          </w:p>
          <w:p w14:paraId="23C5916E">
            <w:pPr>
              <w:pStyle w:val="11"/>
              <w:spacing w:line="219" w:lineRule="auto"/>
              <w:ind w:left="112"/>
            </w:pPr>
            <w:r>
              <w:rPr>
                <w:spacing w:val="-1"/>
              </w:rPr>
              <w:t>价或总价只能有一个有效报价</w:t>
            </w:r>
          </w:p>
        </w:tc>
      </w:tr>
      <w:tr w14:paraId="71FCB1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6" w:hRule="atLeast"/>
        </w:trPr>
        <w:tc>
          <w:tcPr>
            <w:tcW w:w="744" w:type="dxa"/>
            <w:vMerge w:val="continue"/>
            <w:tcBorders>
              <w:top w:val="nil"/>
              <w:bottom w:val="nil"/>
            </w:tcBorders>
            <w:vAlign w:val="top"/>
          </w:tcPr>
          <w:p w14:paraId="31E63431">
            <w:pPr>
              <w:rPr>
                <w:rFonts w:ascii="Arial"/>
                <w:sz w:val="21"/>
              </w:rPr>
            </w:pPr>
          </w:p>
        </w:tc>
        <w:tc>
          <w:tcPr>
            <w:tcW w:w="1099" w:type="dxa"/>
            <w:vMerge w:val="continue"/>
            <w:tcBorders>
              <w:top w:val="nil"/>
              <w:bottom w:val="nil"/>
            </w:tcBorders>
            <w:vAlign w:val="top"/>
          </w:tcPr>
          <w:p w14:paraId="7F016233">
            <w:pPr>
              <w:rPr>
                <w:rFonts w:ascii="Arial"/>
                <w:sz w:val="21"/>
              </w:rPr>
            </w:pPr>
          </w:p>
        </w:tc>
        <w:tc>
          <w:tcPr>
            <w:tcW w:w="2303" w:type="dxa"/>
            <w:vAlign w:val="top"/>
          </w:tcPr>
          <w:p w14:paraId="38517439">
            <w:pPr>
              <w:pStyle w:val="11"/>
              <w:spacing w:before="176" w:line="219" w:lineRule="auto"/>
              <w:ind w:left="309"/>
            </w:pPr>
            <w:r>
              <w:rPr>
                <w:spacing w:val="-1"/>
              </w:rPr>
              <w:t>报价表格的完整性</w:t>
            </w:r>
          </w:p>
        </w:tc>
        <w:tc>
          <w:tcPr>
            <w:tcW w:w="4794" w:type="dxa"/>
            <w:vAlign w:val="top"/>
          </w:tcPr>
          <w:p w14:paraId="61F7F39C">
            <w:pPr>
              <w:pStyle w:val="11"/>
              <w:spacing w:before="176" w:line="219" w:lineRule="auto"/>
              <w:ind w:left="111"/>
            </w:pPr>
            <w:r>
              <w:rPr>
                <w:spacing w:val="-1"/>
              </w:rPr>
              <w:t>应按招标文件的要求完整报送投标报价应有表格</w:t>
            </w:r>
          </w:p>
        </w:tc>
      </w:tr>
      <w:tr w14:paraId="646405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5" w:hRule="atLeast"/>
        </w:trPr>
        <w:tc>
          <w:tcPr>
            <w:tcW w:w="744" w:type="dxa"/>
            <w:vMerge w:val="continue"/>
            <w:tcBorders>
              <w:top w:val="nil"/>
              <w:bottom w:val="nil"/>
            </w:tcBorders>
            <w:vAlign w:val="top"/>
          </w:tcPr>
          <w:p w14:paraId="0F564317">
            <w:pPr>
              <w:rPr>
                <w:rFonts w:ascii="Arial"/>
                <w:sz w:val="21"/>
              </w:rPr>
            </w:pPr>
          </w:p>
        </w:tc>
        <w:tc>
          <w:tcPr>
            <w:tcW w:w="1099" w:type="dxa"/>
            <w:vMerge w:val="continue"/>
            <w:tcBorders>
              <w:top w:val="nil"/>
              <w:bottom w:val="nil"/>
            </w:tcBorders>
            <w:vAlign w:val="top"/>
          </w:tcPr>
          <w:p w14:paraId="1A1A00D4">
            <w:pPr>
              <w:rPr>
                <w:rFonts w:ascii="Arial"/>
                <w:sz w:val="21"/>
              </w:rPr>
            </w:pPr>
          </w:p>
        </w:tc>
        <w:tc>
          <w:tcPr>
            <w:tcW w:w="2303" w:type="dxa"/>
            <w:vAlign w:val="top"/>
          </w:tcPr>
          <w:p w14:paraId="2DC88800">
            <w:pPr>
              <w:spacing w:line="303" w:lineRule="auto"/>
              <w:rPr>
                <w:rFonts w:ascii="Arial"/>
                <w:sz w:val="21"/>
              </w:rPr>
            </w:pPr>
          </w:p>
          <w:p w14:paraId="595A1AAE">
            <w:pPr>
              <w:pStyle w:val="11"/>
              <w:spacing w:before="68" w:line="221" w:lineRule="auto"/>
              <w:ind w:left="314"/>
            </w:pPr>
            <w:r>
              <w:rPr>
                <w:spacing w:val="-1"/>
              </w:rPr>
              <w:t>项目经理实名认证</w:t>
            </w:r>
          </w:p>
        </w:tc>
        <w:tc>
          <w:tcPr>
            <w:tcW w:w="4794" w:type="dxa"/>
            <w:vAlign w:val="top"/>
          </w:tcPr>
          <w:p w14:paraId="3A4993D2">
            <w:pPr>
              <w:pStyle w:val="11"/>
              <w:spacing w:before="161" w:line="418" w:lineRule="exact"/>
              <w:ind w:left="115"/>
            </w:pPr>
            <w:r>
              <w:rPr>
                <w:spacing w:val="7"/>
                <w:position w:val="15"/>
              </w:rPr>
              <w:t>项目经理通过二次刷卡实名认证（无在建工程和</w:t>
            </w:r>
          </w:p>
          <w:p w14:paraId="12853F0E">
            <w:pPr>
              <w:pStyle w:val="11"/>
              <w:spacing w:line="221" w:lineRule="auto"/>
              <w:ind w:left="115"/>
            </w:pPr>
            <w:r>
              <w:rPr>
                <w:spacing w:val="-4"/>
              </w:rPr>
              <w:t>不良行为）</w:t>
            </w:r>
          </w:p>
        </w:tc>
      </w:tr>
      <w:tr w14:paraId="3EDC1E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9" w:hRule="atLeast"/>
        </w:trPr>
        <w:tc>
          <w:tcPr>
            <w:tcW w:w="744" w:type="dxa"/>
            <w:vMerge w:val="continue"/>
            <w:tcBorders>
              <w:top w:val="nil"/>
              <w:bottom w:val="nil"/>
            </w:tcBorders>
            <w:vAlign w:val="top"/>
          </w:tcPr>
          <w:p w14:paraId="1941716A">
            <w:pPr>
              <w:rPr>
                <w:rFonts w:ascii="Arial"/>
                <w:sz w:val="21"/>
              </w:rPr>
            </w:pPr>
          </w:p>
        </w:tc>
        <w:tc>
          <w:tcPr>
            <w:tcW w:w="1099" w:type="dxa"/>
            <w:vMerge w:val="continue"/>
            <w:tcBorders>
              <w:top w:val="nil"/>
              <w:bottom w:val="nil"/>
            </w:tcBorders>
            <w:vAlign w:val="top"/>
          </w:tcPr>
          <w:p w14:paraId="26BEB7F9">
            <w:pPr>
              <w:rPr>
                <w:rFonts w:ascii="Arial"/>
                <w:sz w:val="21"/>
              </w:rPr>
            </w:pPr>
          </w:p>
        </w:tc>
        <w:tc>
          <w:tcPr>
            <w:tcW w:w="2303" w:type="dxa"/>
            <w:vAlign w:val="top"/>
          </w:tcPr>
          <w:p w14:paraId="16024AC3">
            <w:pPr>
              <w:spacing w:line="302" w:lineRule="auto"/>
              <w:rPr>
                <w:rFonts w:ascii="Arial"/>
                <w:sz w:val="21"/>
              </w:rPr>
            </w:pPr>
          </w:p>
          <w:p w14:paraId="1A465C4A">
            <w:pPr>
              <w:pStyle w:val="11"/>
              <w:spacing w:before="69" w:line="221" w:lineRule="auto"/>
              <w:ind w:left="525"/>
            </w:pPr>
            <w:r>
              <w:rPr>
                <w:spacing w:val="-1"/>
              </w:rPr>
              <w:t>备选投标方案</w:t>
            </w:r>
          </w:p>
        </w:tc>
        <w:tc>
          <w:tcPr>
            <w:tcW w:w="4794" w:type="dxa"/>
            <w:vAlign w:val="top"/>
          </w:tcPr>
          <w:p w14:paraId="70B45419">
            <w:pPr>
              <w:pStyle w:val="11"/>
              <w:spacing w:before="161" w:line="422" w:lineRule="exact"/>
              <w:ind w:left="124"/>
            </w:pPr>
            <w:r>
              <w:rPr>
                <w:spacing w:val="6"/>
                <w:position w:val="16"/>
              </w:rPr>
              <w:t>除招标文件明确允许提交备选投标方案外，投标</w:t>
            </w:r>
          </w:p>
          <w:p w14:paraId="77F2B491">
            <w:pPr>
              <w:pStyle w:val="11"/>
              <w:spacing w:line="220" w:lineRule="auto"/>
              <w:ind w:left="113"/>
            </w:pPr>
            <w:r>
              <w:rPr>
                <w:spacing w:val="-1"/>
              </w:rPr>
              <w:t>人不得提交备选投标方案</w:t>
            </w:r>
          </w:p>
        </w:tc>
      </w:tr>
      <w:tr w14:paraId="0745E8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5" w:hRule="atLeast"/>
        </w:trPr>
        <w:tc>
          <w:tcPr>
            <w:tcW w:w="744" w:type="dxa"/>
            <w:vMerge w:val="continue"/>
            <w:tcBorders>
              <w:top w:val="nil"/>
              <w:bottom w:val="nil"/>
            </w:tcBorders>
            <w:vAlign w:val="top"/>
          </w:tcPr>
          <w:p w14:paraId="62ADC730">
            <w:pPr>
              <w:rPr>
                <w:rFonts w:ascii="Arial"/>
                <w:sz w:val="21"/>
              </w:rPr>
            </w:pPr>
          </w:p>
        </w:tc>
        <w:tc>
          <w:tcPr>
            <w:tcW w:w="1099" w:type="dxa"/>
            <w:vMerge w:val="continue"/>
            <w:tcBorders>
              <w:top w:val="nil"/>
              <w:bottom w:val="nil"/>
            </w:tcBorders>
            <w:vAlign w:val="top"/>
          </w:tcPr>
          <w:p w14:paraId="07886DE1">
            <w:pPr>
              <w:rPr>
                <w:rFonts w:ascii="Arial"/>
                <w:sz w:val="21"/>
              </w:rPr>
            </w:pPr>
          </w:p>
        </w:tc>
        <w:tc>
          <w:tcPr>
            <w:tcW w:w="2303" w:type="dxa"/>
            <w:vAlign w:val="top"/>
          </w:tcPr>
          <w:p w14:paraId="73927C46">
            <w:pPr>
              <w:pStyle w:val="11"/>
              <w:spacing w:before="156" w:line="423" w:lineRule="exact"/>
              <w:ind w:left="206"/>
            </w:pPr>
            <w:r>
              <w:rPr>
                <w:spacing w:val="-1"/>
                <w:position w:val="16"/>
              </w:rPr>
              <w:t>法定代表人或授权委</w:t>
            </w:r>
          </w:p>
          <w:p w14:paraId="1B5D5175">
            <w:pPr>
              <w:pStyle w:val="11"/>
              <w:spacing w:line="221" w:lineRule="auto"/>
              <w:ind w:left="522"/>
            </w:pPr>
            <w:r>
              <w:rPr>
                <w:spacing w:val="-1"/>
              </w:rPr>
              <w:t>托人实名认证</w:t>
            </w:r>
          </w:p>
        </w:tc>
        <w:tc>
          <w:tcPr>
            <w:tcW w:w="4794" w:type="dxa"/>
            <w:vAlign w:val="top"/>
          </w:tcPr>
          <w:p w14:paraId="45D9FB1F">
            <w:pPr>
              <w:spacing w:line="297" w:lineRule="auto"/>
              <w:rPr>
                <w:rFonts w:ascii="Arial"/>
                <w:sz w:val="21"/>
              </w:rPr>
            </w:pPr>
          </w:p>
          <w:p w14:paraId="3EFA71E9">
            <w:pPr>
              <w:pStyle w:val="11"/>
              <w:spacing w:before="68" w:line="221" w:lineRule="auto"/>
              <w:ind w:left="112"/>
            </w:pPr>
            <w:r>
              <w:rPr>
                <w:spacing w:val="-1"/>
              </w:rPr>
              <w:t>法定代表人或授权委托人完成实名认证</w:t>
            </w:r>
          </w:p>
        </w:tc>
      </w:tr>
      <w:tr w14:paraId="7D45D6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6" w:hRule="atLeast"/>
        </w:trPr>
        <w:tc>
          <w:tcPr>
            <w:tcW w:w="744" w:type="dxa"/>
            <w:vMerge w:val="continue"/>
            <w:tcBorders>
              <w:top w:val="nil"/>
              <w:bottom w:val="nil"/>
            </w:tcBorders>
            <w:vAlign w:val="top"/>
          </w:tcPr>
          <w:p w14:paraId="1B861071">
            <w:pPr>
              <w:rPr>
                <w:rFonts w:ascii="Arial"/>
                <w:sz w:val="21"/>
              </w:rPr>
            </w:pPr>
          </w:p>
        </w:tc>
        <w:tc>
          <w:tcPr>
            <w:tcW w:w="1099" w:type="dxa"/>
            <w:vMerge w:val="continue"/>
            <w:tcBorders>
              <w:top w:val="nil"/>
              <w:bottom w:val="nil"/>
            </w:tcBorders>
            <w:vAlign w:val="top"/>
          </w:tcPr>
          <w:p w14:paraId="7FF1E900">
            <w:pPr>
              <w:rPr>
                <w:rFonts w:ascii="Arial"/>
                <w:sz w:val="21"/>
              </w:rPr>
            </w:pPr>
          </w:p>
        </w:tc>
        <w:tc>
          <w:tcPr>
            <w:tcW w:w="2303" w:type="dxa"/>
            <w:vAlign w:val="top"/>
          </w:tcPr>
          <w:p w14:paraId="59C2D4A4">
            <w:pPr>
              <w:pStyle w:val="11"/>
              <w:spacing w:before="175" w:line="221" w:lineRule="auto"/>
              <w:ind w:left="627"/>
            </w:pPr>
            <w:r>
              <w:rPr>
                <w:spacing w:val="-1"/>
              </w:rPr>
              <w:t>模块化暗标</w:t>
            </w:r>
          </w:p>
        </w:tc>
        <w:tc>
          <w:tcPr>
            <w:tcW w:w="4794" w:type="dxa"/>
            <w:vAlign w:val="top"/>
          </w:tcPr>
          <w:p w14:paraId="7D3A6B43">
            <w:pPr>
              <w:pStyle w:val="11"/>
              <w:spacing w:before="176" w:line="220" w:lineRule="auto"/>
              <w:ind w:left="113"/>
            </w:pPr>
            <w:r>
              <w:rPr>
                <w:spacing w:val="-1"/>
              </w:rPr>
              <w:t>符合第二章“投标人须知”第</w:t>
            </w:r>
            <w:r>
              <w:rPr>
                <w:spacing w:val="-46"/>
              </w:rPr>
              <w:t xml:space="preserve"> </w:t>
            </w:r>
            <w:r>
              <w:rPr>
                <w:rFonts w:ascii="Times New Roman" w:hAnsi="Times New Roman" w:eastAsia="Times New Roman" w:cs="Times New Roman"/>
                <w:spacing w:val="-1"/>
              </w:rPr>
              <w:t xml:space="preserve">3.7.4 </w:t>
            </w:r>
            <w:r>
              <w:rPr>
                <w:spacing w:val="-1"/>
              </w:rPr>
              <w:t>项规定</w:t>
            </w:r>
          </w:p>
        </w:tc>
      </w:tr>
      <w:tr w14:paraId="14B98D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744" w:type="dxa"/>
            <w:vMerge w:val="continue"/>
            <w:tcBorders>
              <w:top w:val="nil"/>
              <w:bottom w:val="nil"/>
            </w:tcBorders>
            <w:vAlign w:val="top"/>
          </w:tcPr>
          <w:p w14:paraId="6066C180">
            <w:pPr>
              <w:rPr>
                <w:rFonts w:ascii="Arial"/>
                <w:sz w:val="21"/>
              </w:rPr>
            </w:pPr>
          </w:p>
        </w:tc>
        <w:tc>
          <w:tcPr>
            <w:tcW w:w="1099" w:type="dxa"/>
            <w:vMerge w:val="continue"/>
            <w:tcBorders>
              <w:top w:val="nil"/>
              <w:bottom w:val="nil"/>
            </w:tcBorders>
            <w:vAlign w:val="top"/>
          </w:tcPr>
          <w:p w14:paraId="169362AC">
            <w:pPr>
              <w:rPr>
                <w:rFonts w:ascii="Arial"/>
                <w:sz w:val="21"/>
              </w:rPr>
            </w:pPr>
          </w:p>
        </w:tc>
        <w:tc>
          <w:tcPr>
            <w:tcW w:w="2303" w:type="dxa"/>
            <w:vAlign w:val="top"/>
          </w:tcPr>
          <w:p w14:paraId="4934C6BF">
            <w:pPr>
              <w:pStyle w:val="11"/>
              <w:spacing w:before="176" w:line="221" w:lineRule="auto"/>
              <w:ind w:left="526"/>
            </w:pPr>
            <w:r>
              <w:rPr>
                <w:spacing w:val="-1"/>
              </w:rPr>
              <w:t>行为雷同分析</w:t>
            </w:r>
          </w:p>
        </w:tc>
        <w:tc>
          <w:tcPr>
            <w:tcW w:w="4794" w:type="dxa"/>
            <w:vAlign w:val="top"/>
          </w:tcPr>
          <w:p w14:paraId="3566F9A6">
            <w:pPr>
              <w:pStyle w:val="11"/>
              <w:spacing w:before="175" w:line="221" w:lineRule="auto"/>
              <w:ind w:left="115"/>
            </w:pPr>
            <w:r>
              <w:rPr>
                <w:spacing w:val="-1"/>
              </w:rPr>
              <w:t>不存在投标行为雷同情形</w:t>
            </w:r>
          </w:p>
        </w:tc>
      </w:tr>
      <w:tr w14:paraId="27F70B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6" w:hRule="atLeast"/>
        </w:trPr>
        <w:tc>
          <w:tcPr>
            <w:tcW w:w="744" w:type="dxa"/>
            <w:vMerge w:val="restart"/>
            <w:tcBorders>
              <w:bottom w:val="nil"/>
            </w:tcBorders>
            <w:vAlign w:val="top"/>
          </w:tcPr>
          <w:p w14:paraId="43334DCD">
            <w:pPr>
              <w:spacing w:line="246" w:lineRule="auto"/>
              <w:rPr>
                <w:rFonts w:ascii="Arial"/>
                <w:sz w:val="21"/>
              </w:rPr>
            </w:pPr>
          </w:p>
          <w:p w14:paraId="0C57B9C9">
            <w:pPr>
              <w:spacing w:line="246" w:lineRule="auto"/>
              <w:rPr>
                <w:rFonts w:ascii="Arial"/>
                <w:sz w:val="21"/>
              </w:rPr>
            </w:pPr>
          </w:p>
          <w:p w14:paraId="5BDD8C77">
            <w:pPr>
              <w:spacing w:line="247" w:lineRule="auto"/>
              <w:rPr>
                <w:rFonts w:ascii="Arial"/>
                <w:sz w:val="21"/>
              </w:rPr>
            </w:pPr>
          </w:p>
          <w:p w14:paraId="75E1AB59">
            <w:pPr>
              <w:spacing w:line="247" w:lineRule="auto"/>
              <w:rPr>
                <w:rFonts w:ascii="Arial"/>
                <w:sz w:val="21"/>
              </w:rPr>
            </w:pPr>
          </w:p>
          <w:p w14:paraId="310E9D9D">
            <w:pPr>
              <w:spacing w:line="247" w:lineRule="auto"/>
              <w:rPr>
                <w:rFonts w:ascii="Arial"/>
                <w:sz w:val="21"/>
              </w:rPr>
            </w:pPr>
          </w:p>
          <w:p w14:paraId="71AC2725">
            <w:pPr>
              <w:spacing w:line="247" w:lineRule="auto"/>
              <w:rPr>
                <w:rFonts w:ascii="Arial"/>
                <w:sz w:val="21"/>
              </w:rPr>
            </w:pPr>
          </w:p>
          <w:p w14:paraId="524FC79C">
            <w:pPr>
              <w:spacing w:line="247" w:lineRule="auto"/>
              <w:rPr>
                <w:rFonts w:ascii="Arial"/>
                <w:sz w:val="21"/>
              </w:rPr>
            </w:pPr>
          </w:p>
          <w:p w14:paraId="4DDA5E80">
            <w:pPr>
              <w:spacing w:before="61" w:line="189" w:lineRule="auto"/>
              <w:ind w:left="162"/>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2.1.2</w:t>
            </w:r>
          </w:p>
        </w:tc>
        <w:tc>
          <w:tcPr>
            <w:tcW w:w="1099" w:type="dxa"/>
            <w:vMerge w:val="restart"/>
            <w:tcBorders>
              <w:bottom w:val="nil"/>
            </w:tcBorders>
            <w:vAlign w:val="top"/>
          </w:tcPr>
          <w:p w14:paraId="2C07B0EE">
            <w:pPr>
              <w:spacing w:line="252" w:lineRule="auto"/>
              <w:rPr>
                <w:rFonts w:ascii="Arial"/>
                <w:sz w:val="21"/>
              </w:rPr>
            </w:pPr>
          </w:p>
          <w:p w14:paraId="7442A686">
            <w:pPr>
              <w:spacing w:line="252" w:lineRule="auto"/>
              <w:rPr>
                <w:rFonts w:ascii="Arial"/>
                <w:sz w:val="21"/>
              </w:rPr>
            </w:pPr>
          </w:p>
          <w:p w14:paraId="0B8F0090">
            <w:pPr>
              <w:spacing w:line="253" w:lineRule="auto"/>
              <w:rPr>
                <w:rFonts w:ascii="Arial"/>
                <w:sz w:val="21"/>
              </w:rPr>
            </w:pPr>
          </w:p>
          <w:p w14:paraId="4E75F6E2">
            <w:pPr>
              <w:spacing w:line="253" w:lineRule="auto"/>
              <w:rPr>
                <w:rFonts w:ascii="Arial"/>
                <w:sz w:val="21"/>
              </w:rPr>
            </w:pPr>
          </w:p>
          <w:p w14:paraId="32FA1E44">
            <w:pPr>
              <w:spacing w:line="253" w:lineRule="auto"/>
              <w:rPr>
                <w:rFonts w:ascii="Arial"/>
                <w:sz w:val="21"/>
              </w:rPr>
            </w:pPr>
          </w:p>
          <w:p w14:paraId="57353333">
            <w:pPr>
              <w:pStyle w:val="11"/>
              <w:spacing w:before="68" w:line="423" w:lineRule="exact"/>
              <w:ind w:left="353"/>
            </w:pPr>
            <w:r>
              <w:rPr>
                <w:spacing w:val="-4"/>
                <w:position w:val="16"/>
              </w:rPr>
              <w:t>资格</w:t>
            </w:r>
          </w:p>
          <w:p w14:paraId="48AF19DB">
            <w:pPr>
              <w:pStyle w:val="11"/>
              <w:spacing w:line="221" w:lineRule="auto"/>
              <w:ind w:left="343"/>
            </w:pPr>
            <w:r>
              <w:rPr>
                <w:spacing w:val="-2"/>
              </w:rPr>
              <w:t>评审</w:t>
            </w:r>
          </w:p>
          <w:p w14:paraId="2F707AD2">
            <w:pPr>
              <w:pStyle w:val="11"/>
              <w:spacing w:before="166" w:line="221" w:lineRule="auto"/>
              <w:ind w:left="345"/>
            </w:pPr>
            <w:r>
              <w:rPr>
                <w:spacing w:val="-2"/>
              </w:rPr>
              <w:t>标准</w:t>
            </w:r>
          </w:p>
        </w:tc>
        <w:tc>
          <w:tcPr>
            <w:tcW w:w="2303" w:type="dxa"/>
            <w:vAlign w:val="top"/>
          </w:tcPr>
          <w:p w14:paraId="55BE6846">
            <w:pPr>
              <w:pStyle w:val="11"/>
              <w:spacing w:before="177" w:line="221" w:lineRule="auto"/>
              <w:ind w:left="740"/>
            </w:pPr>
            <w:r>
              <w:rPr>
                <w:spacing w:val="-2"/>
              </w:rPr>
              <w:t>营业执照</w:t>
            </w:r>
          </w:p>
        </w:tc>
        <w:tc>
          <w:tcPr>
            <w:tcW w:w="4794" w:type="dxa"/>
            <w:vAlign w:val="top"/>
          </w:tcPr>
          <w:p w14:paraId="3C8F6A0C">
            <w:pPr>
              <w:pStyle w:val="11"/>
              <w:spacing w:before="177" w:line="221" w:lineRule="auto"/>
              <w:ind w:left="116"/>
            </w:pPr>
            <w:r>
              <w:rPr>
                <w:spacing w:val="-1"/>
              </w:rPr>
              <w:t>具备有效的营业执照</w:t>
            </w:r>
          </w:p>
        </w:tc>
      </w:tr>
      <w:tr w14:paraId="0E36C9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1" w:hRule="atLeast"/>
        </w:trPr>
        <w:tc>
          <w:tcPr>
            <w:tcW w:w="744" w:type="dxa"/>
            <w:vMerge w:val="continue"/>
            <w:tcBorders>
              <w:top w:val="nil"/>
              <w:bottom w:val="nil"/>
            </w:tcBorders>
            <w:vAlign w:val="top"/>
          </w:tcPr>
          <w:p w14:paraId="6EDC07BD">
            <w:pPr>
              <w:rPr>
                <w:rFonts w:ascii="Arial"/>
                <w:sz w:val="21"/>
              </w:rPr>
            </w:pPr>
          </w:p>
        </w:tc>
        <w:tc>
          <w:tcPr>
            <w:tcW w:w="1099" w:type="dxa"/>
            <w:vMerge w:val="continue"/>
            <w:tcBorders>
              <w:top w:val="nil"/>
              <w:bottom w:val="nil"/>
            </w:tcBorders>
            <w:vAlign w:val="top"/>
          </w:tcPr>
          <w:p w14:paraId="067D0187">
            <w:pPr>
              <w:rPr>
                <w:rFonts w:ascii="Arial"/>
                <w:sz w:val="21"/>
              </w:rPr>
            </w:pPr>
          </w:p>
        </w:tc>
        <w:tc>
          <w:tcPr>
            <w:tcW w:w="2303" w:type="dxa"/>
            <w:vAlign w:val="top"/>
          </w:tcPr>
          <w:p w14:paraId="509E3FBB">
            <w:pPr>
              <w:pStyle w:val="11"/>
              <w:spacing w:before="177" w:line="221" w:lineRule="auto"/>
              <w:ind w:left="421"/>
            </w:pPr>
            <w:r>
              <w:rPr>
                <w:spacing w:val="-2"/>
              </w:rPr>
              <w:t>安全生产许可证</w:t>
            </w:r>
          </w:p>
        </w:tc>
        <w:tc>
          <w:tcPr>
            <w:tcW w:w="4794" w:type="dxa"/>
            <w:vAlign w:val="top"/>
          </w:tcPr>
          <w:p w14:paraId="0B7DB790">
            <w:pPr>
              <w:pStyle w:val="11"/>
              <w:spacing w:before="177" w:line="221" w:lineRule="auto"/>
              <w:ind w:left="116"/>
            </w:pPr>
            <w:r>
              <w:rPr>
                <w:spacing w:val="-1"/>
              </w:rPr>
              <w:t>具备有效的安全生产许可证</w:t>
            </w:r>
          </w:p>
        </w:tc>
      </w:tr>
      <w:tr w14:paraId="499EF3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744" w:type="dxa"/>
            <w:vMerge w:val="continue"/>
            <w:tcBorders>
              <w:top w:val="nil"/>
              <w:bottom w:val="nil"/>
            </w:tcBorders>
            <w:vAlign w:val="top"/>
          </w:tcPr>
          <w:p w14:paraId="67DBCF2F">
            <w:pPr>
              <w:rPr>
                <w:rFonts w:ascii="Arial"/>
                <w:sz w:val="21"/>
              </w:rPr>
            </w:pPr>
          </w:p>
        </w:tc>
        <w:tc>
          <w:tcPr>
            <w:tcW w:w="1099" w:type="dxa"/>
            <w:vMerge w:val="continue"/>
            <w:tcBorders>
              <w:top w:val="nil"/>
              <w:bottom w:val="nil"/>
            </w:tcBorders>
            <w:vAlign w:val="top"/>
          </w:tcPr>
          <w:p w14:paraId="4743691D">
            <w:pPr>
              <w:rPr>
                <w:rFonts w:ascii="Arial"/>
                <w:sz w:val="21"/>
              </w:rPr>
            </w:pPr>
          </w:p>
        </w:tc>
        <w:tc>
          <w:tcPr>
            <w:tcW w:w="2303" w:type="dxa"/>
            <w:vAlign w:val="top"/>
          </w:tcPr>
          <w:p w14:paraId="02260DC3">
            <w:pPr>
              <w:pStyle w:val="11"/>
              <w:spacing w:before="176" w:line="221" w:lineRule="auto"/>
              <w:ind w:left="743"/>
            </w:pPr>
            <w:r>
              <w:rPr>
                <w:spacing w:val="-3"/>
              </w:rPr>
              <w:t>资质等级</w:t>
            </w:r>
          </w:p>
        </w:tc>
        <w:tc>
          <w:tcPr>
            <w:tcW w:w="4794" w:type="dxa"/>
            <w:vAlign w:val="top"/>
          </w:tcPr>
          <w:p w14:paraId="55113B97">
            <w:pPr>
              <w:pStyle w:val="11"/>
              <w:spacing w:before="177" w:line="220" w:lineRule="auto"/>
              <w:ind w:left="113"/>
            </w:pPr>
            <w:r>
              <w:rPr>
                <w:spacing w:val="-2"/>
              </w:rPr>
              <w:t>符合第二章“投标人须知”第</w:t>
            </w:r>
            <w:r>
              <w:rPr>
                <w:spacing w:val="-24"/>
              </w:rPr>
              <w:t xml:space="preserve"> </w:t>
            </w:r>
            <w:r>
              <w:rPr>
                <w:rFonts w:ascii="Times New Roman" w:hAnsi="Times New Roman" w:eastAsia="Times New Roman" w:cs="Times New Roman"/>
                <w:spacing w:val="-2"/>
              </w:rPr>
              <w:t xml:space="preserve">1.4.1 </w:t>
            </w:r>
            <w:r>
              <w:rPr>
                <w:spacing w:val="-2"/>
              </w:rPr>
              <w:t>项规定</w:t>
            </w:r>
          </w:p>
        </w:tc>
      </w:tr>
      <w:tr w14:paraId="035443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1" w:hRule="atLeast"/>
        </w:trPr>
        <w:tc>
          <w:tcPr>
            <w:tcW w:w="744" w:type="dxa"/>
            <w:vMerge w:val="continue"/>
            <w:tcBorders>
              <w:top w:val="nil"/>
              <w:bottom w:val="nil"/>
            </w:tcBorders>
            <w:vAlign w:val="top"/>
          </w:tcPr>
          <w:p w14:paraId="0B0270CE">
            <w:pPr>
              <w:rPr>
                <w:rFonts w:ascii="Arial"/>
                <w:sz w:val="21"/>
              </w:rPr>
            </w:pPr>
          </w:p>
        </w:tc>
        <w:tc>
          <w:tcPr>
            <w:tcW w:w="1099" w:type="dxa"/>
            <w:vMerge w:val="continue"/>
            <w:tcBorders>
              <w:top w:val="nil"/>
              <w:bottom w:val="nil"/>
            </w:tcBorders>
            <w:vAlign w:val="top"/>
          </w:tcPr>
          <w:p w14:paraId="2DE8B06B">
            <w:pPr>
              <w:rPr>
                <w:rFonts w:ascii="Arial"/>
                <w:sz w:val="21"/>
              </w:rPr>
            </w:pPr>
          </w:p>
        </w:tc>
        <w:tc>
          <w:tcPr>
            <w:tcW w:w="2303" w:type="dxa"/>
            <w:vAlign w:val="top"/>
          </w:tcPr>
          <w:p w14:paraId="481CD1D8">
            <w:pPr>
              <w:pStyle w:val="11"/>
              <w:spacing w:before="177" w:line="221" w:lineRule="auto"/>
              <w:ind w:left="526"/>
            </w:pPr>
            <w:r>
              <w:rPr>
                <w:spacing w:val="-2"/>
              </w:rPr>
              <w:t>项目经理资格</w:t>
            </w:r>
          </w:p>
        </w:tc>
        <w:tc>
          <w:tcPr>
            <w:tcW w:w="4794" w:type="dxa"/>
            <w:vAlign w:val="top"/>
          </w:tcPr>
          <w:p w14:paraId="1493343D">
            <w:pPr>
              <w:pStyle w:val="11"/>
              <w:spacing w:before="177" w:line="220" w:lineRule="auto"/>
              <w:ind w:left="113"/>
            </w:pPr>
            <w:r>
              <w:rPr>
                <w:spacing w:val="-2"/>
              </w:rPr>
              <w:t>符合第二章“投标人须知”第</w:t>
            </w:r>
            <w:r>
              <w:rPr>
                <w:spacing w:val="-24"/>
              </w:rPr>
              <w:t xml:space="preserve"> </w:t>
            </w:r>
            <w:r>
              <w:rPr>
                <w:rFonts w:ascii="Times New Roman" w:hAnsi="Times New Roman" w:eastAsia="Times New Roman" w:cs="Times New Roman"/>
                <w:spacing w:val="-2"/>
              </w:rPr>
              <w:t xml:space="preserve">1.4.1 </w:t>
            </w:r>
            <w:r>
              <w:rPr>
                <w:spacing w:val="-2"/>
              </w:rPr>
              <w:t>项规定</w:t>
            </w:r>
          </w:p>
        </w:tc>
      </w:tr>
      <w:tr w14:paraId="149FE4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744" w:type="dxa"/>
            <w:vMerge w:val="continue"/>
            <w:tcBorders>
              <w:top w:val="nil"/>
              <w:bottom w:val="nil"/>
            </w:tcBorders>
            <w:vAlign w:val="top"/>
          </w:tcPr>
          <w:p w14:paraId="7866A8A4">
            <w:pPr>
              <w:rPr>
                <w:rFonts w:ascii="Arial"/>
                <w:sz w:val="21"/>
              </w:rPr>
            </w:pPr>
          </w:p>
        </w:tc>
        <w:tc>
          <w:tcPr>
            <w:tcW w:w="1099" w:type="dxa"/>
            <w:vMerge w:val="continue"/>
            <w:tcBorders>
              <w:top w:val="nil"/>
              <w:bottom w:val="nil"/>
            </w:tcBorders>
            <w:vAlign w:val="top"/>
          </w:tcPr>
          <w:p w14:paraId="61CFD716">
            <w:pPr>
              <w:rPr>
                <w:rFonts w:ascii="Arial"/>
                <w:sz w:val="21"/>
              </w:rPr>
            </w:pPr>
          </w:p>
        </w:tc>
        <w:tc>
          <w:tcPr>
            <w:tcW w:w="2303" w:type="dxa"/>
            <w:vAlign w:val="top"/>
          </w:tcPr>
          <w:p w14:paraId="74A3DC0B">
            <w:pPr>
              <w:pStyle w:val="11"/>
              <w:spacing w:before="177" w:line="221" w:lineRule="auto"/>
              <w:ind w:left="944"/>
            </w:pPr>
            <w:r>
              <w:rPr>
                <w:spacing w:val="-2"/>
              </w:rPr>
              <w:t>业绩</w:t>
            </w:r>
          </w:p>
        </w:tc>
        <w:tc>
          <w:tcPr>
            <w:tcW w:w="4794" w:type="dxa"/>
            <w:vAlign w:val="top"/>
          </w:tcPr>
          <w:p w14:paraId="7C0CDAF2">
            <w:pPr>
              <w:pStyle w:val="11"/>
              <w:spacing w:before="177" w:line="220" w:lineRule="auto"/>
              <w:ind w:left="113"/>
            </w:pPr>
            <w:r>
              <w:rPr>
                <w:spacing w:val="-2"/>
              </w:rPr>
              <w:t>符合第二章“投标人须知”第</w:t>
            </w:r>
            <w:r>
              <w:rPr>
                <w:spacing w:val="-24"/>
              </w:rPr>
              <w:t xml:space="preserve"> </w:t>
            </w:r>
            <w:r>
              <w:rPr>
                <w:rFonts w:ascii="Times New Roman" w:hAnsi="Times New Roman" w:eastAsia="Times New Roman" w:cs="Times New Roman"/>
                <w:spacing w:val="-2"/>
              </w:rPr>
              <w:t xml:space="preserve">1.4.1 </w:t>
            </w:r>
            <w:r>
              <w:rPr>
                <w:spacing w:val="-2"/>
              </w:rPr>
              <w:t>项规定</w:t>
            </w:r>
          </w:p>
        </w:tc>
      </w:tr>
    </w:tbl>
    <w:p w14:paraId="6FBC32A2">
      <w:pPr>
        <w:pStyle w:val="3"/>
      </w:pPr>
    </w:p>
    <w:p w14:paraId="4BD325CD">
      <w:pPr>
        <w:sectPr>
          <w:footerReference r:id="rId45" w:type="default"/>
          <w:pgSz w:w="11905" w:h="16839"/>
          <w:pgMar w:top="1421" w:right="1474" w:bottom="996" w:left="1483" w:header="0" w:footer="793" w:gutter="0"/>
          <w:pgNumType w:fmt="decimal"/>
          <w:cols w:space="720" w:num="1"/>
        </w:sectPr>
      </w:pPr>
    </w:p>
    <w:p w14:paraId="49385312">
      <w:pPr>
        <w:spacing w:line="95" w:lineRule="auto"/>
        <w:rPr>
          <w:rFonts w:ascii="Arial"/>
          <w:sz w:val="2"/>
        </w:rPr>
      </w:pPr>
    </w:p>
    <w:tbl>
      <w:tblPr>
        <w:tblStyle w:val="10"/>
        <w:tblW w:w="894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44"/>
        <w:gridCol w:w="1099"/>
        <w:gridCol w:w="2303"/>
        <w:gridCol w:w="4794"/>
      </w:tblGrid>
      <w:tr w14:paraId="680F04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744" w:type="dxa"/>
            <w:vMerge w:val="restart"/>
            <w:tcBorders>
              <w:bottom w:val="nil"/>
            </w:tcBorders>
            <w:vAlign w:val="top"/>
          </w:tcPr>
          <w:p w14:paraId="0B213EB9">
            <w:pPr>
              <w:rPr>
                <w:rFonts w:ascii="Arial"/>
                <w:sz w:val="21"/>
              </w:rPr>
            </w:pPr>
          </w:p>
        </w:tc>
        <w:tc>
          <w:tcPr>
            <w:tcW w:w="1099" w:type="dxa"/>
            <w:vMerge w:val="restart"/>
            <w:tcBorders>
              <w:bottom w:val="nil"/>
            </w:tcBorders>
            <w:vAlign w:val="top"/>
          </w:tcPr>
          <w:p w14:paraId="3C6C3C9C">
            <w:pPr>
              <w:rPr>
                <w:rFonts w:ascii="Arial"/>
                <w:sz w:val="21"/>
              </w:rPr>
            </w:pPr>
          </w:p>
        </w:tc>
        <w:tc>
          <w:tcPr>
            <w:tcW w:w="2303" w:type="dxa"/>
            <w:vAlign w:val="top"/>
          </w:tcPr>
          <w:p w14:paraId="41669BAE">
            <w:pPr>
              <w:pStyle w:val="11"/>
              <w:spacing w:before="178" w:line="221" w:lineRule="auto"/>
              <w:ind w:left="734"/>
            </w:pPr>
            <w:bookmarkStart w:id="98" w:name="bookmark116"/>
            <w:bookmarkEnd w:id="98"/>
            <w:bookmarkStart w:id="99" w:name="bookmark115"/>
            <w:bookmarkEnd w:id="99"/>
            <w:bookmarkStart w:id="100" w:name="bookmark113"/>
            <w:bookmarkEnd w:id="100"/>
            <w:bookmarkStart w:id="101" w:name="bookmark112"/>
            <w:bookmarkEnd w:id="101"/>
            <w:bookmarkStart w:id="102" w:name="bookmark114"/>
            <w:bookmarkEnd w:id="102"/>
            <w:bookmarkStart w:id="103" w:name="bookmark117"/>
            <w:bookmarkEnd w:id="103"/>
            <w:r>
              <w:rPr>
                <w:spacing w:val="-1"/>
              </w:rPr>
              <w:t>其他要求</w:t>
            </w:r>
          </w:p>
        </w:tc>
        <w:tc>
          <w:tcPr>
            <w:tcW w:w="4794" w:type="dxa"/>
            <w:vAlign w:val="top"/>
          </w:tcPr>
          <w:p w14:paraId="09EB7D03">
            <w:pPr>
              <w:pStyle w:val="11"/>
              <w:spacing w:before="178" w:line="220" w:lineRule="auto"/>
              <w:ind w:left="113"/>
            </w:pPr>
            <w:r>
              <w:rPr>
                <w:spacing w:val="-2"/>
              </w:rPr>
              <w:t>符合第二章“投标人须知”第</w:t>
            </w:r>
            <w:r>
              <w:rPr>
                <w:spacing w:val="-24"/>
              </w:rPr>
              <w:t xml:space="preserve"> </w:t>
            </w:r>
            <w:r>
              <w:rPr>
                <w:rFonts w:ascii="Times New Roman" w:hAnsi="Times New Roman" w:eastAsia="Times New Roman" w:cs="Times New Roman"/>
                <w:spacing w:val="-2"/>
              </w:rPr>
              <w:t xml:space="preserve">1.4.1 </w:t>
            </w:r>
            <w:r>
              <w:rPr>
                <w:spacing w:val="-2"/>
              </w:rPr>
              <w:t>项规定</w:t>
            </w:r>
          </w:p>
        </w:tc>
      </w:tr>
      <w:tr w14:paraId="330C47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5" w:hRule="atLeast"/>
        </w:trPr>
        <w:tc>
          <w:tcPr>
            <w:tcW w:w="744" w:type="dxa"/>
            <w:vMerge w:val="continue"/>
            <w:tcBorders>
              <w:top w:val="nil"/>
              <w:bottom w:val="nil"/>
            </w:tcBorders>
            <w:vAlign w:val="top"/>
          </w:tcPr>
          <w:p w14:paraId="0A86FB3E">
            <w:pPr>
              <w:rPr>
                <w:rFonts w:ascii="Arial"/>
                <w:sz w:val="21"/>
              </w:rPr>
            </w:pPr>
          </w:p>
        </w:tc>
        <w:tc>
          <w:tcPr>
            <w:tcW w:w="1099" w:type="dxa"/>
            <w:vMerge w:val="continue"/>
            <w:tcBorders>
              <w:top w:val="nil"/>
              <w:bottom w:val="nil"/>
            </w:tcBorders>
            <w:vAlign w:val="top"/>
          </w:tcPr>
          <w:p w14:paraId="4F6DA9F9">
            <w:pPr>
              <w:rPr>
                <w:rFonts w:ascii="Arial"/>
                <w:sz w:val="21"/>
              </w:rPr>
            </w:pPr>
          </w:p>
        </w:tc>
        <w:tc>
          <w:tcPr>
            <w:tcW w:w="2303" w:type="dxa"/>
            <w:vAlign w:val="center"/>
          </w:tcPr>
          <w:p w14:paraId="67132613">
            <w:pPr>
              <w:pStyle w:val="11"/>
              <w:spacing w:before="155" w:line="221" w:lineRule="auto"/>
              <w:ind w:left="312"/>
              <w:jc w:val="center"/>
            </w:pPr>
            <w:r>
              <w:rPr>
                <w:spacing w:val="-2"/>
              </w:rPr>
              <w:t>联合体投标人</w:t>
            </w:r>
          </w:p>
        </w:tc>
        <w:tc>
          <w:tcPr>
            <w:tcW w:w="4794" w:type="dxa"/>
            <w:vAlign w:val="top"/>
          </w:tcPr>
          <w:p w14:paraId="794B80E9">
            <w:pPr>
              <w:spacing w:line="295" w:lineRule="auto"/>
              <w:rPr>
                <w:rFonts w:ascii="Arial"/>
                <w:sz w:val="21"/>
              </w:rPr>
            </w:pPr>
          </w:p>
          <w:p w14:paraId="58087C9E">
            <w:pPr>
              <w:pStyle w:val="11"/>
              <w:spacing w:before="68" w:line="220" w:lineRule="auto"/>
              <w:ind w:left="113"/>
            </w:pPr>
            <w:r>
              <w:rPr>
                <w:spacing w:val="-2"/>
              </w:rPr>
              <w:t>符合第二章“投标人须知”第</w:t>
            </w:r>
            <w:r>
              <w:rPr>
                <w:spacing w:val="-24"/>
              </w:rPr>
              <w:t xml:space="preserve"> </w:t>
            </w:r>
            <w:r>
              <w:rPr>
                <w:rFonts w:ascii="Times New Roman" w:hAnsi="Times New Roman" w:eastAsia="Times New Roman" w:cs="Times New Roman"/>
                <w:spacing w:val="-2"/>
              </w:rPr>
              <w:t xml:space="preserve">1.4.2 </w:t>
            </w:r>
            <w:r>
              <w:rPr>
                <w:spacing w:val="-2"/>
              </w:rPr>
              <w:t>项规定</w:t>
            </w:r>
          </w:p>
        </w:tc>
      </w:tr>
      <w:tr w14:paraId="16A74E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4" w:hRule="atLeast"/>
        </w:trPr>
        <w:tc>
          <w:tcPr>
            <w:tcW w:w="744" w:type="dxa"/>
            <w:vMerge w:val="continue"/>
            <w:tcBorders>
              <w:top w:val="nil"/>
              <w:bottom w:val="nil"/>
            </w:tcBorders>
            <w:vAlign w:val="top"/>
          </w:tcPr>
          <w:p w14:paraId="67A3EFF7">
            <w:pPr>
              <w:rPr>
                <w:rFonts w:ascii="Arial"/>
                <w:sz w:val="21"/>
              </w:rPr>
            </w:pPr>
          </w:p>
        </w:tc>
        <w:tc>
          <w:tcPr>
            <w:tcW w:w="1099" w:type="dxa"/>
            <w:vMerge w:val="continue"/>
            <w:tcBorders>
              <w:top w:val="nil"/>
              <w:bottom w:val="nil"/>
            </w:tcBorders>
            <w:vAlign w:val="top"/>
          </w:tcPr>
          <w:p w14:paraId="1D1DF082">
            <w:pPr>
              <w:rPr>
                <w:rFonts w:ascii="Arial"/>
                <w:sz w:val="21"/>
              </w:rPr>
            </w:pPr>
          </w:p>
        </w:tc>
        <w:tc>
          <w:tcPr>
            <w:tcW w:w="2303" w:type="dxa"/>
            <w:vAlign w:val="top"/>
          </w:tcPr>
          <w:p w14:paraId="4ADB3831">
            <w:pPr>
              <w:pStyle w:val="11"/>
              <w:spacing w:before="154" w:line="423" w:lineRule="exact"/>
              <w:ind w:left="209"/>
            </w:pPr>
            <w:r>
              <w:rPr>
                <w:spacing w:val="-1"/>
                <w:position w:val="16"/>
              </w:rPr>
              <w:t>不存在禁止投标的情</w:t>
            </w:r>
          </w:p>
          <w:p w14:paraId="5465AFC5">
            <w:pPr>
              <w:pStyle w:val="11"/>
              <w:spacing w:line="222" w:lineRule="auto"/>
              <w:ind w:left="1049"/>
            </w:pPr>
            <w:r>
              <w:t>形</w:t>
            </w:r>
          </w:p>
        </w:tc>
        <w:tc>
          <w:tcPr>
            <w:tcW w:w="4794" w:type="dxa"/>
            <w:vAlign w:val="top"/>
          </w:tcPr>
          <w:p w14:paraId="4F74CA2D">
            <w:pPr>
              <w:pStyle w:val="11"/>
              <w:spacing w:before="154" w:line="423" w:lineRule="exact"/>
              <w:ind w:left="115"/>
            </w:pPr>
            <w:r>
              <w:rPr>
                <w:spacing w:val="-2"/>
                <w:position w:val="16"/>
              </w:rPr>
              <w:t xml:space="preserve">不存在第二章“投标人须知”第 </w:t>
            </w:r>
            <w:r>
              <w:rPr>
                <w:rFonts w:ascii="Times New Roman" w:hAnsi="Times New Roman" w:eastAsia="Times New Roman" w:cs="Times New Roman"/>
                <w:spacing w:val="-2"/>
                <w:position w:val="16"/>
              </w:rPr>
              <w:t>1.4.3</w:t>
            </w:r>
            <w:r>
              <w:rPr>
                <w:rFonts w:ascii="Times New Roman" w:hAnsi="Times New Roman" w:eastAsia="Times New Roman" w:cs="Times New Roman"/>
                <w:spacing w:val="50"/>
                <w:position w:val="16"/>
              </w:rPr>
              <w:t xml:space="preserve"> </w:t>
            </w:r>
            <w:r>
              <w:rPr>
                <w:spacing w:val="-2"/>
                <w:position w:val="16"/>
              </w:rPr>
              <w:t>项规定的任</w:t>
            </w:r>
          </w:p>
          <w:p w14:paraId="01A84F89">
            <w:pPr>
              <w:pStyle w:val="11"/>
              <w:spacing w:line="221" w:lineRule="auto"/>
              <w:ind w:left="115"/>
            </w:pPr>
            <w:r>
              <w:rPr>
                <w:spacing w:val="-2"/>
              </w:rPr>
              <w:t>何一种情形</w:t>
            </w:r>
          </w:p>
        </w:tc>
      </w:tr>
      <w:tr w14:paraId="58974D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1" w:hRule="atLeast"/>
        </w:trPr>
        <w:tc>
          <w:tcPr>
            <w:tcW w:w="744" w:type="dxa"/>
            <w:vMerge w:val="restart"/>
            <w:tcBorders>
              <w:bottom w:val="nil"/>
            </w:tcBorders>
            <w:vAlign w:val="top"/>
          </w:tcPr>
          <w:p w14:paraId="5D9D1F2F">
            <w:pPr>
              <w:spacing w:line="248" w:lineRule="auto"/>
              <w:rPr>
                <w:rFonts w:ascii="Arial"/>
                <w:sz w:val="21"/>
              </w:rPr>
            </w:pPr>
          </w:p>
          <w:p w14:paraId="46951C0E">
            <w:pPr>
              <w:spacing w:line="249" w:lineRule="auto"/>
              <w:rPr>
                <w:rFonts w:ascii="Arial"/>
                <w:sz w:val="21"/>
              </w:rPr>
            </w:pPr>
          </w:p>
          <w:p w14:paraId="428C1CC4">
            <w:pPr>
              <w:spacing w:line="249" w:lineRule="auto"/>
              <w:rPr>
                <w:rFonts w:ascii="Arial"/>
                <w:sz w:val="21"/>
              </w:rPr>
            </w:pPr>
          </w:p>
          <w:p w14:paraId="7D67A49D">
            <w:pPr>
              <w:spacing w:line="249" w:lineRule="auto"/>
              <w:rPr>
                <w:rFonts w:ascii="Arial"/>
                <w:sz w:val="21"/>
              </w:rPr>
            </w:pPr>
          </w:p>
          <w:p w14:paraId="3D98F754">
            <w:pPr>
              <w:spacing w:line="249" w:lineRule="auto"/>
              <w:rPr>
                <w:rFonts w:ascii="Arial"/>
                <w:sz w:val="21"/>
              </w:rPr>
            </w:pPr>
          </w:p>
          <w:p w14:paraId="4677E644">
            <w:pPr>
              <w:spacing w:line="249" w:lineRule="auto"/>
              <w:rPr>
                <w:rFonts w:ascii="Arial"/>
                <w:sz w:val="21"/>
              </w:rPr>
            </w:pPr>
          </w:p>
          <w:p w14:paraId="3825DD7B">
            <w:pPr>
              <w:spacing w:line="249" w:lineRule="auto"/>
              <w:rPr>
                <w:rFonts w:ascii="Arial"/>
                <w:sz w:val="21"/>
              </w:rPr>
            </w:pPr>
          </w:p>
          <w:p w14:paraId="38EA9612">
            <w:pPr>
              <w:spacing w:line="249" w:lineRule="auto"/>
              <w:rPr>
                <w:rFonts w:ascii="Arial"/>
                <w:sz w:val="21"/>
              </w:rPr>
            </w:pPr>
          </w:p>
          <w:p w14:paraId="4AE5F3D7">
            <w:pPr>
              <w:spacing w:line="249" w:lineRule="auto"/>
              <w:rPr>
                <w:rFonts w:ascii="Arial"/>
                <w:sz w:val="21"/>
              </w:rPr>
            </w:pPr>
          </w:p>
          <w:p w14:paraId="3B56D211">
            <w:pPr>
              <w:spacing w:line="249" w:lineRule="auto"/>
              <w:rPr>
                <w:rFonts w:ascii="Arial"/>
                <w:sz w:val="21"/>
              </w:rPr>
            </w:pPr>
          </w:p>
          <w:p w14:paraId="2706D0E2">
            <w:pPr>
              <w:spacing w:line="249" w:lineRule="auto"/>
              <w:rPr>
                <w:rFonts w:ascii="Arial"/>
                <w:sz w:val="21"/>
              </w:rPr>
            </w:pPr>
          </w:p>
          <w:p w14:paraId="5A8AFBEF">
            <w:pPr>
              <w:spacing w:line="249" w:lineRule="auto"/>
              <w:rPr>
                <w:rFonts w:ascii="Arial"/>
                <w:sz w:val="21"/>
              </w:rPr>
            </w:pPr>
          </w:p>
          <w:p w14:paraId="781F2BAD">
            <w:pPr>
              <w:spacing w:line="249" w:lineRule="auto"/>
              <w:rPr>
                <w:rFonts w:ascii="Arial"/>
                <w:sz w:val="21"/>
              </w:rPr>
            </w:pPr>
          </w:p>
          <w:p w14:paraId="4709AFED">
            <w:pPr>
              <w:spacing w:line="249" w:lineRule="auto"/>
              <w:rPr>
                <w:rFonts w:ascii="Arial"/>
                <w:sz w:val="21"/>
              </w:rPr>
            </w:pPr>
          </w:p>
          <w:p w14:paraId="0E4B4B50">
            <w:pPr>
              <w:spacing w:before="60" w:line="189" w:lineRule="auto"/>
              <w:ind w:left="162"/>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2.1.3</w:t>
            </w:r>
          </w:p>
        </w:tc>
        <w:tc>
          <w:tcPr>
            <w:tcW w:w="1099" w:type="dxa"/>
            <w:vMerge w:val="restart"/>
            <w:tcBorders>
              <w:bottom w:val="nil"/>
            </w:tcBorders>
            <w:vAlign w:val="top"/>
          </w:tcPr>
          <w:p w14:paraId="36A3BD4D">
            <w:pPr>
              <w:spacing w:line="248" w:lineRule="auto"/>
              <w:rPr>
                <w:rFonts w:ascii="Arial"/>
                <w:sz w:val="21"/>
              </w:rPr>
            </w:pPr>
          </w:p>
          <w:p w14:paraId="548A8228">
            <w:pPr>
              <w:spacing w:line="248" w:lineRule="auto"/>
              <w:rPr>
                <w:rFonts w:ascii="Arial"/>
                <w:sz w:val="21"/>
              </w:rPr>
            </w:pPr>
          </w:p>
          <w:p w14:paraId="10006FAB">
            <w:pPr>
              <w:spacing w:line="248" w:lineRule="auto"/>
              <w:rPr>
                <w:rFonts w:ascii="Arial"/>
                <w:sz w:val="21"/>
              </w:rPr>
            </w:pPr>
          </w:p>
          <w:p w14:paraId="64E66995">
            <w:pPr>
              <w:spacing w:line="248" w:lineRule="auto"/>
              <w:rPr>
                <w:rFonts w:ascii="Arial"/>
                <w:sz w:val="21"/>
              </w:rPr>
            </w:pPr>
          </w:p>
          <w:p w14:paraId="086CA7A8">
            <w:pPr>
              <w:spacing w:line="248" w:lineRule="auto"/>
              <w:rPr>
                <w:rFonts w:ascii="Arial"/>
                <w:sz w:val="21"/>
              </w:rPr>
            </w:pPr>
          </w:p>
          <w:p w14:paraId="3F971FBC">
            <w:pPr>
              <w:spacing w:line="248" w:lineRule="auto"/>
              <w:rPr>
                <w:rFonts w:ascii="Arial"/>
                <w:sz w:val="21"/>
              </w:rPr>
            </w:pPr>
          </w:p>
          <w:p w14:paraId="59CA0E6E">
            <w:pPr>
              <w:spacing w:line="249" w:lineRule="auto"/>
              <w:rPr>
                <w:rFonts w:ascii="Arial"/>
                <w:sz w:val="21"/>
              </w:rPr>
            </w:pPr>
          </w:p>
          <w:p w14:paraId="2FFA4217">
            <w:pPr>
              <w:spacing w:line="249" w:lineRule="auto"/>
              <w:rPr>
                <w:rFonts w:ascii="Arial"/>
                <w:sz w:val="21"/>
              </w:rPr>
            </w:pPr>
          </w:p>
          <w:p w14:paraId="14B5FB17">
            <w:pPr>
              <w:spacing w:line="249" w:lineRule="auto"/>
              <w:rPr>
                <w:rFonts w:ascii="Arial"/>
                <w:sz w:val="21"/>
              </w:rPr>
            </w:pPr>
          </w:p>
          <w:p w14:paraId="6AB38C9D">
            <w:pPr>
              <w:spacing w:line="249" w:lineRule="auto"/>
              <w:rPr>
                <w:rFonts w:ascii="Arial"/>
                <w:sz w:val="21"/>
              </w:rPr>
            </w:pPr>
          </w:p>
          <w:p w14:paraId="486A8219">
            <w:pPr>
              <w:spacing w:line="249" w:lineRule="auto"/>
              <w:rPr>
                <w:rFonts w:ascii="Arial"/>
                <w:sz w:val="21"/>
              </w:rPr>
            </w:pPr>
          </w:p>
          <w:p w14:paraId="6F81EFB8">
            <w:pPr>
              <w:spacing w:line="249" w:lineRule="auto"/>
              <w:rPr>
                <w:rFonts w:ascii="Arial"/>
                <w:sz w:val="21"/>
              </w:rPr>
            </w:pPr>
          </w:p>
          <w:p w14:paraId="44096477">
            <w:pPr>
              <w:spacing w:line="249" w:lineRule="auto"/>
              <w:rPr>
                <w:rFonts w:ascii="Arial"/>
                <w:sz w:val="21"/>
              </w:rPr>
            </w:pPr>
          </w:p>
          <w:p w14:paraId="4F83B845">
            <w:pPr>
              <w:pStyle w:val="11"/>
              <w:spacing w:before="68" w:line="423" w:lineRule="exact"/>
              <w:ind w:left="249"/>
            </w:pPr>
            <w:r>
              <w:rPr>
                <w:spacing w:val="-4"/>
                <w:position w:val="16"/>
              </w:rPr>
              <w:t>响应性</w:t>
            </w:r>
          </w:p>
          <w:p w14:paraId="5626151A">
            <w:pPr>
              <w:pStyle w:val="11"/>
              <w:spacing w:line="221" w:lineRule="auto"/>
              <w:ind w:left="132"/>
            </w:pPr>
            <w:r>
              <w:rPr>
                <w:spacing w:val="-1"/>
              </w:rPr>
              <w:t>评审标准</w:t>
            </w:r>
          </w:p>
        </w:tc>
        <w:tc>
          <w:tcPr>
            <w:tcW w:w="2303" w:type="dxa"/>
            <w:vAlign w:val="top"/>
          </w:tcPr>
          <w:p w14:paraId="4B870B0E">
            <w:pPr>
              <w:pStyle w:val="11"/>
              <w:spacing w:before="179" w:line="221" w:lineRule="auto"/>
              <w:ind w:left="736"/>
            </w:pPr>
            <w:r>
              <w:rPr>
                <w:spacing w:val="-2"/>
              </w:rPr>
              <w:t>投标内容</w:t>
            </w:r>
          </w:p>
        </w:tc>
        <w:tc>
          <w:tcPr>
            <w:tcW w:w="4794" w:type="dxa"/>
            <w:vAlign w:val="top"/>
          </w:tcPr>
          <w:p w14:paraId="787E6B1C">
            <w:pPr>
              <w:pStyle w:val="11"/>
              <w:spacing w:before="179" w:line="220" w:lineRule="auto"/>
              <w:ind w:left="113"/>
            </w:pPr>
            <w:r>
              <w:rPr>
                <w:spacing w:val="-2"/>
              </w:rPr>
              <w:t>符合第二章“投标人须知”第</w:t>
            </w:r>
            <w:r>
              <w:rPr>
                <w:spacing w:val="-24"/>
              </w:rPr>
              <w:t xml:space="preserve"> </w:t>
            </w:r>
            <w:r>
              <w:rPr>
                <w:rFonts w:ascii="Times New Roman" w:hAnsi="Times New Roman" w:eastAsia="Times New Roman" w:cs="Times New Roman"/>
                <w:spacing w:val="-2"/>
              </w:rPr>
              <w:t xml:space="preserve">1.3.1 </w:t>
            </w:r>
            <w:r>
              <w:rPr>
                <w:spacing w:val="-2"/>
              </w:rPr>
              <w:t>项规定</w:t>
            </w:r>
          </w:p>
        </w:tc>
      </w:tr>
      <w:tr w14:paraId="413166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744" w:type="dxa"/>
            <w:vMerge w:val="continue"/>
            <w:tcBorders>
              <w:top w:val="nil"/>
              <w:bottom w:val="nil"/>
            </w:tcBorders>
            <w:vAlign w:val="top"/>
          </w:tcPr>
          <w:p w14:paraId="2AAA3CC9">
            <w:pPr>
              <w:rPr>
                <w:rFonts w:ascii="Arial"/>
                <w:sz w:val="21"/>
              </w:rPr>
            </w:pPr>
          </w:p>
        </w:tc>
        <w:tc>
          <w:tcPr>
            <w:tcW w:w="1099" w:type="dxa"/>
            <w:vMerge w:val="continue"/>
            <w:tcBorders>
              <w:top w:val="nil"/>
              <w:bottom w:val="nil"/>
            </w:tcBorders>
            <w:vAlign w:val="top"/>
          </w:tcPr>
          <w:p w14:paraId="1CCF3B78">
            <w:pPr>
              <w:rPr>
                <w:rFonts w:ascii="Arial"/>
                <w:sz w:val="21"/>
              </w:rPr>
            </w:pPr>
          </w:p>
        </w:tc>
        <w:tc>
          <w:tcPr>
            <w:tcW w:w="2303" w:type="dxa"/>
            <w:vAlign w:val="top"/>
          </w:tcPr>
          <w:p w14:paraId="1049A3E1">
            <w:pPr>
              <w:pStyle w:val="11"/>
              <w:spacing w:before="174" w:line="221" w:lineRule="auto"/>
              <w:ind w:left="733"/>
            </w:pPr>
            <w:r>
              <w:rPr>
                <w:spacing w:val="-1"/>
              </w:rPr>
              <w:t>计划工期</w:t>
            </w:r>
          </w:p>
        </w:tc>
        <w:tc>
          <w:tcPr>
            <w:tcW w:w="4794" w:type="dxa"/>
            <w:vAlign w:val="top"/>
          </w:tcPr>
          <w:p w14:paraId="7F97861F">
            <w:pPr>
              <w:pStyle w:val="11"/>
              <w:spacing w:before="174" w:line="220" w:lineRule="auto"/>
              <w:ind w:left="113"/>
            </w:pPr>
            <w:r>
              <w:rPr>
                <w:spacing w:val="-2"/>
              </w:rPr>
              <w:t>符合第二章“投标人须知”第</w:t>
            </w:r>
            <w:r>
              <w:rPr>
                <w:spacing w:val="-24"/>
              </w:rPr>
              <w:t xml:space="preserve"> </w:t>
            </w:r>
            <w:r>
              <w:rPr>
                <w:rFonts w:ascii="Times New Roman" w:hAnsi="Times New Roman" w:eastAsia="Times New Roman" w:cs="Times New Roman"/>
                <w:spacing w:val="-2"/>
              </w:rPr>
              <w:t xml:space="preserve">1.3.2 </w:t>
            </w:r>
            <w:r>
              <w:rPr>
                <w:spacing w:val="-2"/>
              </w:rPr>
              <w:t>项规定</w:t>
            </w:r>
          </w:p>
        </w:tc>
      </w:tr>
      <w:tr w14:paraId="742DAD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6" w:hRule="atLeast"/>
        </w:trPr>
        <w:tc>
          <w:tcPr>
            <w:tcW w:w="744" w:type="dxa"/>
            <w:vMerge w:val="continue"/>
            <w:tcBorders>
              <w:top w:val="nil"/>
              <w:bottom w:val="nil"/>
            </w:tcBorders>
            <w:vAlign w:val="top"/>
          </w:tcPr>
          <w:p w14:paraId="29F284BF">
            <w:pPr>
              <w:rPr>
                <w:rFonts w:ascii="Arial"/>
                <w:sz w:val="21"/>
              </w:rPr>
            </w:pPr>
          </w:p>
        </w:tc>
        <w:tc>
          <w:tcPr>
            <w:tcW w:w="1099" w:type="dxa"/>
            <w:vMerge w:val="continue"/>
            <w:tcBorders>
              <w:top w:val="nil"/>
              <w:bottom w:val="nil"/>
            </w:tcBorders>
            <w:vAlign w:val="top"/>
          </w:tcPr>
          <w:p w14:paraId="1E776FE3">
            <w:pPr>
              <w:rPr>
                <w:rFonts w:ascii="Arial"/>
                <w:sz w:val="21"/>
              </w:rPr>
            </w:pPr>
          </w:p>
        </w:tc>
        <w:tc>
          <w:tcPr>
            <w:tcW w:w="2303" w:type="dxa"/>
            <w:vAlign w:val="top"/>
          </w:tcPr>
          <w:p w14:paraId="6760BF26">
            <w:pPr>
              <w:pStyle w:val="11"/>
              <w:spacing w:before="175" w:line="221" w:lineRule="auto"/>
              <w:ind w:left="736"/>
            </w:pPr>
            <w:r>
              <w:rPr>
                <w:spacing w:val="-2"/>
              </w:rPr>
              <w:t>工程质量</w:t>
            </w:r>
          </w:p>
        </w:tc>
        <w:tc>
          <w:tcPr>
            <w:tcW w:w="4794" w:type="dxa"/>
            <w:vAlign w:val="top"/>
          </w:tcPr>
          <w:p w14:paraId="4EEA544D">
            <w:pPr>
              <w:pStyle w:val="11"/>
              <w:spacing w:before="175" w:line="220" w:lineRule="auto"/>
              <w:ind w:left="113"/>
            </w:pPr>
            <w:r>
              <w:rPr>
                <w:spacing w:val="-2"/>
              </w:rPr>
              <w:t>符合第二章“投标人须知”第</w:t>
            </w:r>
            <w:r>
              <w:rPr>
                <w:spacing w:val="-24"/>
              </w:rPr>
              <w:t xml:space="preserve"> </w:t>
            </w:r>
            <w:r>
              <w:rPr>
                <w:rFonts w:ascii="Times New Roman" w:hAnsi="Times New Roman" w:eastAsia="Times New Roman" w:cs="Times New Roman"/>
                <w:spacing w:val="-2"/>
              </w:rPr>
              <w:t xml:space="preserve">1.3.3 </w:t>
            </w:r>
            <w:r>
              <w:rPr>
                <w:spacing w:val="-2"/>
              </w:rPr>
              <w:t>项规定</w:t>
            </w:r>
          </w:p>
        </w:tc>
      </w:tr>
      <w:tr w14:paraId="45EBE8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744" w:type="dxa"/>
            <w:vMerge w:val="continue"/>
            <w:tcBorders>
              <w:top w:val="nil"/>
              <w:bottom w:val="nil"/>
            </w:tcBorders>
            <w:vAlign w:val="top"/>
          </w:tcPr>
          <w:p w14:paraId="66D130E3">
            <w:pPr>
              <w:rPr>
                <w:rFonts w:ascii="Arial"/>
                <w:sz w:val="21"/>
              </w:rPr>
            </w:pPr>
          </w:p>
        </w:tc>
        <w:tc>
          <w:tcPr>
            <w:tcW w:w="1099" w:type="dxa"/>
            <w:vMerge w:val="continue"/>
            <w:tcBorders>
              <w:top w:val="nil"/>
              <w:bottom w:val="nil"/>
            </w:tcBorders>
            <w:vAlign w:val="top"/>
          </w:tcPr>
          <w:p w14:paraId="260C8165">
            <w:pPr>
              <w:rPr>
                <w:rFonts w:ascii="Arial"/>
                <w:sz w:val="21"/>
              </w:rPr>
            </w:pPr>
          </w:p>
        </w:tc>
        <w:tc>
          <w:tcPr>
            <w:tcW w:w="2303" w:type="dxa"/>
            <w:vAlign w:val="top"/>
          </w:tcPr>
          <w:p w14:paraId="0CE179A6">
            <w:pPr>
              <w:pStyle w:val="11"/>
              <w:spacing w:before="180" w:line="221" w:lineRule="auto"/>
              <w:ind w:left="630"/>
            </w:pPr>
            <w:r>
              <w:rPr>
                <w:spacing w:val="-1"/>
              </w:rPr>
              <w:t>投标有效期</w:t>
            </w:r>
          </w:p>
        </w:tc>
        <w:tc>
          <w:tcPr>
            <w:tcW w:w="4794" w:type="dxa"/>
            <w:vAlign w:val="top"/>
          </w:tcPr>
          <w:p w14:paraId="4A9DD8FE">
            <w:pPr>
              <w:pStyle w:val="11"/>
              <w:spacing w:before="179" w:line="220" w:lineRule="auto"/>
              <w:ind w:left="113"/>
            </w:pPr>
            <w:r>
              <w:rPr>
                <w:spacing w:val="-1"/>
              </w:rPr>
              <w:t>符合第二章“投标人须知”第</w:t>
            </w:r>
            <w:r>
              <w:rPr>
                <w:spacing w:val="-46"/>
              </w:rPr>
              <w:t xml:space="preserve"> </w:t>
            </w:r>
            <w:r>
              <w:rPr>
                <w:rFonts w:ascii="Times New Roman" w:hAnsi="Times New Roman" w:eastAsia="Times New Roman" w:cs="Times New Roman"/>
                <w:spacing w:val="-1"/>
              </w:rPr>
              <w:t xml:space="preserve">3.3.1 </w:t>
            </w:r>
            <w:r>
              <w:rPr>
                <w:spacing w:val="-1"/>
              </w:rPr>
              <w:t>项规定</w:t>
            </w:r>
          </w:p>
        </w:tc>
      </w:tr>
      <w:tr w14:paraId="183096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1" w:hRule="atLeast"/>
        </w:trPr>
        <w:tc>
          <w:tcPr>
            <w:tcW w:w="744" w:type="dxa"/>
            <w:vMerge w:val="continue"/>
            <w:tcBorders>
              <w:top w:val="nil"/>
              <w:bottom w:val="nil"/>
            </w:tcBorders>
            <w:vAlign w:val="top"/>
          </w:tcPr>
          <w:p w14:paraId="3F4865E8">
            <w:pPr>
              <w:rPr>
                <w:rFonts w:ascii="Arial"/>
                <w:sz w:val="21"/>
              </w:rPr>
            </w:pPr>
          </w:p>
        </w:tc>
        <w:tc>
          <w:tcPr>
            <w:tcW w:w="1099" w:type="dxa"/>
            <w:vMerge w:val="continue"/>
            <w:tcBorders>
              <w:top w:val="nil"/>
              <w:bottom w:val="nil"/>
            </w:tcBorders>
            <w:vAlign w:val="top"/>
          </w:tcPr>
          <w:p w14:paraId="54049F6E">
            <w:pPr>
              <w:rPr>
                <w:rFonts w:ascii="Arial"/>
                <w:sz w:val="21"/>
              </w:rPr>
            </w:pPr>
          </w:p>
        </w:tc>
        <w:tc>
          <w:tcPr>
            <w:tcW w:w="2303" w:type="dxa"/>
            <w:vAlign w:val="top"/>
          </w:tcPr>
          <w:p w14:paraId="40AADC1B">
            <w:pPr>
              <w:pStyle w:val="11"/>
              <w:spacing w:before="176" w:line="221" w:lineRule="auto"/>
              <w:ind w:left="630"/>
            </w:pPr>
            <w:r>
              <w:rPr>
                <w:spacing w:val="-1"/>
              </w:rPr>
              <w:t>投标保证金</w:t>
            </w:r>
          </w:p>
        </w:tc>
        <w:tc>
          <w:tcPr>
            <w:tcW w:w="4794" w:type="dxa"/>
            <w:vAlign w:val="top"/>
          </w:tcPr>
          <w:p w14:paraId="51EE68B6">
            <w:pPr>
              <w:pStyle w:val="11"/>
              <w:spacing w:before="176" w:line="220" w:lineRule="auto"/>
              <w:ind w:left="113"/>
            </w:pPr>
            <w:r>
              <w:rPr>
                <w:spacing w:val="-1"/>
              </w:rPr>
              <w:t>符合第二章“投标人须知”第</w:t>
            </w:r>
            <w:r>
              <w:rPr>
                <w:spacing w:val="-46"/>
              </w:rPr>
              <w:t xml:space="preserve"> </w:t>
            </w:r>
            <w:r>
              <w:rPr>
                <w:rFonts w:ascii="Times New Roman" w:hAnsi="Times New Roman" w:eastAsia="Times New Roman" w:cs="Times New Roman"/>
                <w:spacing w:val="-1"/>
              </w:rPr>
              <w:t xml:space="preserve">3.4.1 </w:t>
            </w:r>
            <w:r>
              <w:rPr>
                <w:spacing w:val="-1"/>
              </w:rPr>
              <w:t>项规定</w:t>
            </w:r>
          </w:p>
        </w:tc>
      </w:tr>
      <w:tr w14:paraId="4B9E63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4" w:hRule="atLeast"/>
        </w:trPr>
        <w:tc>
          <w:tcPr>
            <w:tcW w:w="744" w:type="dxa"/>
            <w:vMerge w:val="continue"/>
            <w:tcBorders>
              <w:top w:val="nil"/>
              <w:bottom w:val="nil"/>
            </w:tcBorders>
            <w:vAlign w:val="top"/>
          </w:tcPr>
          <w:p w14:paraId="35C2DBB7">
            <w:pPr>
              <w:rPr>
                <w:rFonts w:ascii="Arial"/>
                <w:sz w:val="21"/>
              </w:rPr>
            </w:pPr>
          </w:p>
        </w:tc>
        <w:tc>
          <w:tcPr>
            <w:tcW w:w="1099" w:type="dxa"/>
            <w:vMerge w:val="continue"/>
            <w:tcBorders>
              <w:top w:val="nil"/>
              <w:bottom w:val="nil"/>
            </w:tcBorders>
            <w:vAlign w:val="top"/>
          </w:tcPr>
          <w:p w14:paraId="0966AE47">
            <w:pPr>
              <w:rPr>
                <w:rFonts w:ascii="Arial"/>
                <w:sz w:val="21"/>
              </w:rPr>
            </w:pPr>
          </w:p>
        </w:tc>
        <w:tc>
          <w:tcPr>
            <w:tcW w:w="2303" w:type="dxa"/>
            <w:vAlign w:val="top"/>
          </w:tcPr>
          <w:p w14:paraId="71E6E086">
            <w:pPr>
              <w:spacing w:line="297" w:lineRule="auto"/>
              <w:rPr>
                <w:rFonts w:ascii="Arial"/>
                <w:sz w:val="21"/>
              </w:rPr>
            </w:pPr>
          </w:p>
          <w:p w14:paraId="0C80E5B0">
            <w:pPr>
              <w:pStyle w:val="11"/>
              <w:spacing w:before="68" w:line="221" w:lineRule="auto"/>
              <w:ind w:left="733"/>
            </w:pPr>
            <w:r>
              <w:rPr>
                <w:spacing w:val="-1"/>
              </w:rPr>
              <w:t>权利义务</w:t>
            </w:r>
          </w:p>
        </w:tc>
        <w:tc>
          <w:tcPr>
            <w:tcW w:w="4794" w:type="dxa"/>
            <w:vAlign w:val="top"/>
          </w:tcPr>
          <w:p w14:paraId="00B0835B">
            <w:pPr>
              <w:pStyle w:val="11"/>
              <w:spacing w:before="156" w:line="422" w:lineRule="exact"/>
              <w:ind w:left="114"/>
            </w:pPr>
            <w:r>
              <w:rPr>
                <w:spacing w:val="7"/>
                <w:position w:val="16"/>
              </w:rPr>
              <w:t>投标函附录中的相关承诺符合或优于第四章“合</w:t>
            </w:r>
          </w:p>
          <w:p w14:paraId="21880C05">
            <w:pPr>
              <w:pStyle w:val="11"/>
              <w:spacing w:line="220" w:lineRule="auto"/>
              <w:ind w:left="132"/>
            </w:pPr>
            <w:r>
              <w:rPr>
                <w:spacing w:val="-2"/>
              </w:rPr>
              <w:t>同条款及格式”的相关规定</w:t>
            </w:r>
          </w:p>
        </w:tc>
      </w:tr>
      <w:tr w14:paraId="49A268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4" w:hRule="atLeast"/>
        </w:trPr>
        <w:tc>
          <w:tcPr>
            <w:tcW w:w="744" w:type="dxa"/>
            <w:vMerge w:val="continue"/>
            <w:tcBorders>
              <w:top w:val="nil"/>
              <w:bottom w:val="nil"/>
            </w:tcBorders>
            <w:vAlign w:val="top"/>
          </w:tcPr>
          <w:p w14:paraId="1ACFB097">
            <w:pPr>
              <w:rPr>
                <w:rFonts w:ascii="Arial"/>
                <w:sz w:val="21"/>
              </w:rPr>
            </w:pPr>
          </w:p>
        </w:tc>
        <w:tc>
          <w:tcPr>
            <w:tcW w:w="1099" w:type="dxa"/>
            <w:vMerge w:val="continue"/>
            <w:tcBorders>
              <w:top w:val="nil"/>
              <w:bottom w:val="nil"/>
            </w:tcBorders>
            <w:vAlign w:val="top"/>
          </w:tcPr>
          <w:p w14:paraId="0E9E4590">
            <w:pPr>
              <w:rPr>
                <w:rFonts w:ascii="Arial"/>
                <w:sz w:val="21"/>
              </w:rPr>
            </w:pPr>
          </w:p>
        </w:tc>
        <w:tc>
          <w:tcPr>
            <w:tcW w:w="2303" w:type="dxa"/>
            <w:vAlign w:val="top"/>
          </w:tcPr>
          <w:p w14:paraId="07833071">
            <w:pPr>
              <w:pStyle w:val="11"/>
              <w:spacing w:before="199" w:line="221" w:lineRule="auto"/>
              <w:ind w:left="418"/>
            </w:pPr>
            <w:r>
              <w:rPr>
                <w:spacing w:val="-1"/>
              </w:rPr>
              <w:t>技术标准和要求</w:t>
            </w:r>
          </w:p>
        </w:tc>
        <w:tc>
          <w:tcPr>
            <w:tcW w:w="4794" w:type="dxa"/>
            <w:vAlign w:val="top"/>
          </w:tcPr>
          <w:p w14:paraId="6DDCD31E">
            <w:pPr>
              <w:pStyle w:val="11"/>
              <w:spacing w:before="200" w:line="220" w:lineRule="auto"/>
              <w:ind w:left="113"/>
            </w:pPr>
            <w:r>
              <w:rPr>
                <w:spacing w:val="-1"/>
              </w:rPr>
              <w:t>符合第七章“技术标准和要求”规定</w:t>
            </w:r>
          </w:p>
        </w:tc>
      </w:tr>
      <w:tr w14:paraId="0D4735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4" w:hRule="atLeast"/>
        </w:trPr>
        <w:tc>
          <w:tcPr>
            <w:tcW w:w="744" w:type="dxa"/>
            <w:vMerge w:val="continue"/>
            <w:tcBorders>
              <w:top w:val="nil"/>
              <w:bottom w:val="nil"/>
            </w:tcBorders>
            <w:vAlign w:val="top"/>
          </w:tcPr>
          <w:p w14:paraId="565CB511">
            <w:pPr>
              <w:rPr>
                <w:rFonts w:ascii="Arial"/>
                <w:sz w:val="21"/>
              </w:rPr>
            </w:pPr>
          </w:p>
        </w:tc>
        <w:tc>
          <w:tcPr>
            <w:tcW w:w="1099" w:type="dxa"/>
            <w:vMerge w:val="continue"/>
            <w:tcBorders>
              <w:top w:val="nil"/>
              <w:bottom w:val="nil"/>
            </w:tcBorders>
            <w:vAlign w:val="top"/>
          </w:tcPr>
          <w:p w14:paraId="59A33768">
            <w:pPr>
              <w:rPr>
                <w:rFonts w:ascii="Arial"/>
                <w:sz w:val="21"/>
              </w:rPr>
            </w:pPr>
          </w:p>
        </w:tc>
        <w:tc>
          <w:tcPr>
            <w:tcW w:w="2303" w:type="dxa"/>
            <w:vAlign w:val="top"/>
          </w:tcPr>
          <w:p w14:paraId="188333B1">
            <w:pPr>
              <w:pStyle w:val="11"/>
              <w:spacing w:before="199" w:line="221" w:lineRule="auto"/>
              <w:ind w:left="524"/>
            </w:pPr>
            <w:r>
              <w:rPr>
                <w:spacing w:val="-1"/>
              </w:rPr>
              <w:t>算术错误修正</w:t>
            </w:r>
          </w:p>
        </w:tc>
        <w:tc>
          <w:tcPr>
            <w:tcW w:w="4794" w:type="dxa"/>
            <w:vAlign w:val="top"/>
          </w:tcPr>
          <w:p w14:paraId="51C046C3">
            <w:pPr>
              <w:pStyle w:val="11"/>
              <w:spacing w:before="200" w:line="219" w:lineRule="auto"/>
              <w:ind w:left="114"/>
            </w:pPr>
            <w:r>
              <w:rPr>
                <w:spacing w:val="-1"/>
              </w:rPr>
              <w:t>投标人接受算术错误修正后的报价</w:t>
            </w:r>
          </w:p>
        </w:tc>
      </w:tr>
      <w:tr w14:paraId="65D77D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9" w:hRule="atLeast"/>
        </w:trPr>
        <w:tc>
          <w:tcPr>
            <w:tcW w:w="744" w:type="dxa"/>
            <w:vMerge w:val="continue"/>
            <w:tcBorders>
              <w:top w:val="nil"/>
              <w:bottom w:val="nil"/>
            </w:tcBorders>
            <w:vAlign w:val="top"/>
          </w:tcPr>
          <w:p w14:paraId="66B213A0">
            <w:pPr>
              <w:rPr>
                <w:rFonts w:ascii="Arial"/>
                <w:sz w:val="21"/>
              </w:rPr>
            </w:pPr>
          </w:p>
        </w:tc>
        <w:tc>
          <w:tcPr>
            <w:tcW w:w="1099" w:type="dxa"/>
            <w:vMerge w:val="continue"/>
            <w:tcBorders>
              <w:top w:val="nil"/>
              <w:bottom w:val="nil"/>
            </w:tcBorders>
            <w:vAlign w:val="top"/>
          </w:tcPr>
          <w:p w14:paraId="6F55863D">
            <w:pPr>
              <w:rPr>
                <w:rFonts w:ascii="Arial"/>
                <w:sz w:val="21"/>
              </w:rPr>
            </w:pPr>
          </w:p>
        </w:tc>
        <w:tc>
          <w:tcPr>
            <w:tcW w:w="2303" w:type="dxa"/>
            <w:vAlign w:val="top"/>
          </w:tcPr>
          <w:p w14:paraId="69F67F1B">
            <w:pPr>
              <w:spacing w:line="302" w:lineRule="auto"/>
              <w:rPr>
                <w:rFonts w:ascii="Arial"/>
                <w:sz w:val="21"/>
              </w:rPr>
            </w:pPr>
          </w:p>
          <w:p w14:paraId="60F5132B">
            <w:pPr>
              <w:pStyle w:val="11"/>
              <w:spacing w:before="69" w:line="219" w:lineRule="auto"/>
              <w:ind w:left="736"/>
            </w:pPr>
            <w:r>
              <w:rPr>
                <w:spacing w:val="-2"/>
              </w:rPr>
              <w:t>投标价格</w:t>
            </w:r>
          </w:p>
        </w:tc>
        <w:tc>
          <w:tcPr>
            <w:tcW w:w="4794" w:type="dxa"/>
            <w:vAlign w:val="top"/>
          </w:tcPr>
          <w:p w14:paraId="7598BA76">
            <w:pPr>
              <w:pStyle w:val="11"/>
              <w:spacing w:before="161" w:line="423" w:lineRule="exact"/>
              <w:ind w:left="114"/>
            </w:pPr>
            <w:r>
              <w:rPr>
                <w:spacing w:val="7"/>
                <w:position w:val="16"/>
              </w:rPr>
              <w:t>投标报价（含修正后）不大于本标段最高投标限</w:t>
            </w:r>
          </w:p>
          <w:p w14:paraId="7111618C">
            <w:pPr>
              <w:pStyle w:val="11"/>
              <w:spacing w:line="219" w:lineRule="auto"/>
              <w:ind w:left="112"/>
            </w:pPr>
            <w:r>
              <w:t>价</w:t>
            </w:r>
          </w:p>
        </w:tc>
      </w:tr>
      <w:tr w14:paraId="662531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4" w:hRule="atLeast"/>
        </w:trPr>
        <w:tc>
          <w:tcPr>
            <w:tcW w:w="744" w:type="dxa"/>
            <w:vMerge w:val="continue"/>
            <w:tcBorders>
              <w:top w:val="nil"/>
              <w:bottom w:val="nil"/>
            </w:tcBorders>
            <w:vAlign w:val="top"/>
          </w:tcPr>
          <w:p w14:paraId="34F1EA01">
            <w:pPr>
              <w:rPr>
                <w:rFonts w:ascii="Arial"/>
                <w:sz w:val="21"/>
              </w:rPr>
            </w:pPr>
          </w:p>
        </w:tc>
        <w:tc>
          <w:tcPr>
            <w:tcW w:w="1099" w:type="dxa"/>
            <w:vMerge w:val="continue"/>
            <w:tcBorders>
              <w:top w:val="nil"/>
              <w:bottom w:val="nil"/>
            </w:tcBorders>
            <w:vAlign w:val="top"/>
          </w:tcPr>
          <w:p w14:paraId="26CFC917">
            <w:pPr>
              <w:rPr>
                <w:rFonts w:ascii="Arial"/>
                <w:sz w:val="21"/>
              </w:rPr>
            </w:pPr>
          </w:p>
        </w:tc>
        <w:tc>
          <w:tcPr>
            <w:tcW w:w="2303" w:type="dxa"/>
            <w:vAlign w:val="top"/>
          </w:tcPr>
          <w:p w14:paraId="2A517FDA">
            <w:pPr>
              <w:spacing w:line="298" w:lineRule="auto"/>
              <w:rPr>
                <w:rFonts w:ascii="Arial"/>
                <w:sz w:val="21"/>
              </w:rPr>
            </w:pPr>
          </w:p>
          <w:p w14:paraId="6804D5D6">
            <w:pPr>
              <w:pStyle w:val="11"/>
              <w:spacing w:before="69" w:line="219" w:lineRule="auto"/>
              <w:ind w:left="334"/>
            </w:pPr>
            <w:r>
              <w:rPr>
                <w:spacing w:val="-4"/>
              </w:rPr>
              <w:t>已标价工程量清单</w:t>
            </w:r>
          </w:p>
        </w:tc>
        <w:tc>
          <w:tcPr>
            <w:tcW w:w="4794" w:type="dxa"/>
            <w:vAlign w:val="top"/>
          </w:tcPr>
          <w:p w14:paraId="5CDF2A6E">
            <w:pPr>
              <w:pStyle w:val="11"/>
              <w:spacing w:before="157" w:line="422" w:lineRule="exact"/>
              <w:ind w:left="113"/>
            </w:pPr>
            <w:r>
              <w:rPr>
                <w:spacing w:val="7"/>
                <w:position w:val="16"/>
              </w:rPr>
              <w:t>按照招标人提供的工程量清单及其报价要求进行</w:t>
            </w:r>
          </w:p>
          <w:p w14:paraId="26C2402E">
            <w:pPr>
              <w:pStyle w:val="11"/>
              <w:spacing w:line="219" w:lineRule="auto"/>
              <w:ind w:left="111"/>
            </w:pPr>
            <w:r>
              <w:rPr>
                <w:spacing w:val="-1"/>
              </w:rPr>
              <w:t>全面准确的报价</w:t>
            </w:r>
          </w:p>
        </w:tc>
      </w:tr>
      <w:tr w14:paraId="6ADB55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67" w:hRule="atLeast"/>
        </w:trPr>
        <w:tc>
          <w:tcPr>
            <w:tcW w:w="1843" w:type="dxa"/>
            <w:gridSpan w:val="2"/>
            <w:vAlign w:val="top"/>
          </w:tcPr>
          <w:p w14:paraId="7E70D506">
            <w:pPr>
              <w:spacing w:line="277" w:lineRule="auto"/>
              <w:rPr>
                <w:rFonts w:ascii="Arial"/>
                <w:sz w:val="21"/>
              </w:rPr>
            </w:pPr>
          </w:p>
          <w:p w14:paraId="6C823CC5">
            <w:pPr>
              <w:spacing w:line="277" w:lineRule="auto"/>
              <w:rPr>
                <w:rFonts w:ascii="Arial"/>
                <w:sz w:val="21"/>
              </w:rPr>
            </w:pPr>
          </w:p>
          <w:p w14:paraId="6079E0AB">
            <w:pPr>
              <w:spacing w:before="60" w:line="189" w:lineRule="auto"/>
              <w:ind w:left="714"/>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3.1.2</w:t>
            </w:r>
          </w:p>
        </w:tc>
        <w:tc>
          <w:tcPr>
            <w:tcW w:w="7097" w:type="dxa"/>
            <w:gridSpan w:val="2"/>
            <w:vAlign w:val="top"/>
          </w:tcPr>
          <w:p w14:paraId="1858EFFA">
            <w:pPr>
              <w:pStyle w:val="11"/>
              <w:spacing w:before="163" w:line="221" w:lineRule="auto"/>
              <w:ind w:left="112"/>
            </w:pPr>
            <w:r>
              <w:rPr>
                <w:spacing w:val="-4"/>
              </w:rPr>
              <w:t>投标人不得存在的其他情形：</w:t>
            </w:r>
          </w:p>
          <w:p w14:paraId="0B7FA9F7">
            <w:pPr>
              <w:pStyle w:val="11"/>
              <w:spacing w:before="166" w:line="220" w:lineRule="auto"/>
              <w:ind w:left="116"/>
            </w:pPr>
            <w:r>
              <w:rPr>
                <w:spacing w:val="-3"/>
              </w:rPr>
              <w:t>（1）不按评标委员会要求澄清、说明或补正；</w:t>
            </w:r>
          </w:p>
          <w:p w14:paraId="7BA96D44">
            <w:pPr>
              <w:pStyle w:val="11"/>
              <w:spacing w:before="172" w:line="220" w:lineRule="auto"/>
              <w:ind w:left="116"/>
            </w:pPr>
            <w:r>
              <w:rPr>
                <w:spacing w:val="-1"/>
              </w:rPr>
              <w:t>（2）有串通投标、弄虚作假、行贿或有其他</w:t>
            </w:r>
            <w:r>
              <w:rPr>
                <w:spacing w:val="-2"/>
              </w:rPr>
              <w:t>违法行为。</w:t>
            </w:r>
          </w:p>
        </w:tc>
      </w:tr>
      <w:tr w14:paraId="7636B5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29" w:hRule="atLeast"/>
        </w:trPr>
        <w:tc>
          <w:tcPr>
            <w:tcW w:w="1843" w:type="dxa"/>
            <w:gridSpan w:val="2"/>
            <w:vAlign w:val="top"/>
          </w:tcPr>
          <w:p w14:paraId="211C3DC6">
            <w:pPr>
              <w:spacing w:line="294" w:lineRule="auto"/>
              <w:rPr>
                <w:rFonts w:ascii="Arial"/>
                <w:sz w:val="21"/>
              </w:rPr>
            </w:pPr>
          </w:p>
          <w:p w14:paraId="6A7B0158">
            <w:pPr>
              <w:spacing w:line="295" w:lineRule="auto"/>
              <w:rPr>
                <w:rFonts w:ascii="Arial"/>
                <w:sz w:val="21"/>
              </w:rPr>
            </w:pPr>
          </w:p>
          <w:p w14:paraId="724B679C">
            <w:pPr>
              <w:spacing w:line="295" w:lineRule="auto"/>
              <w:rPr>
                <w:rFonts w:ascii="Arial"/>
                <w:sz w:val="21"/>
              </w:rPr>
            </w:pPr>
          </w:p>
          <w:p w14:paraId="78967C24">
            <w:pPr>
              <w:spacing w:line="295" w:lineRule="auto"/>
              <w:rPr>
                <w:rFonts w:ascii="Arial"/>
                <w:sz w:val="21"/>
              </w:rPr>
            </w:pPr>
          </w:p>
          <w:p w14:paraId="08E20D0F">
            <w:pPr>
              <w:spacing w:before="60" w:line="189" w:lineRule="auto"/>
              <w:ind w:left="714"/>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3.1.4</w:t>
            </w:r>
          </w:p>
        </w:tc>
        <w:tc>
          <w:tcPr>
            <w:tcW w:w="7097" w:type="dxa"/>
            <w:gridSpan w:val="2"/>
            <w:vAlign w:val="top"/>
          </w:tcPr>
          <w:p w14:paraId="0E61623E">
            <w:pPr>
              <w:pStyle w:val="11"/>
              <w:spacing w:before="159" w:line="219" w:lineRule="auto"/>
              <w:ind w:left="110"/>
            </w:pPr>
            <w:r>
              <w:rPr>
                <w:spacing w:val="-1"/>
              </w:rPr>
              <w:t>合理最低价：</w:t>
            </w:r>
          </w:p>
          <w:p w14:paraId="771A8FF0">
            <w:pPr>
              <w:pStyle w:val="11"/>
              <w:spacing w:before="173" w:line="219" w:lineRule="auto"/>
              <w:ind w:left="116"/>
            </w:pPr>
            <w:r>
              <w:rPr>
                <w:spacing w:val="-1"/>
              </w:rPr>
              <w:t>（1）合同方式：</w:t>
            </w:r>
            <w:r>
              <w:rPr>
                <w:spacing w:val="-1"/>
              </w:rPr>
              <w:sym w:font="Wingdings 2" w:char="0052"/>
            </w:r>
            <w:r>
              <w:rPr>
                <w:spacing w:val="-1"/>
              </w:rPr>
              <w:t>固定单价合同   □固定总价合同</w:t>
            </w:r>
          </w:p>
          <w:p w14:paraId="460B9225">
            <w:pPr>
              <w:pStyle w:val="11"/>
              <w:spacing w:before="168" w:line="423" w:lineRule="exact"/>
              <w:ind w:left="116"/>
            </w:pPr>
            <w:r>
              <w:rPr>
                <w:spacing w:val="-2"/>
                <w:position w:val="16"/>
              </w:rPr>
              <w:t>（2）计算方法：依据辽住建发【2020】4</w:t>
            </w:r>
            <w:r>
              <w:rPr>
                <w:spacing w:val="-27"/>
                <w:position w:val="16"/>
              </w:rPr>
              <w:t xml:space="preserve"> </w:t>
            </w:r>
            <w:r>
              <w:rPr>
                <w:spacing w:val="-2"/>
                <w:position w:val="16"/>
              </w:rPr>
              <w:t>号文件第十七条。</w:t>
            </w:r>
          </w:p>
          <w:p w14:paraId="61D6B7DD">
            <w:pPr>
              <w:pStyle w:val="11"/>
              <w:spacing w:line="222" w:lineRule="auto"/>
              <w:ind w:left="116"/>
              <w:rPr>
                <w:highlight w:val="none"/>
              </w:rPr>
            </w:pPr>
            <w:r>
              <w:rPr>
                <w:spacing w:val="-10"/>
                <w:highlight w:val="none"/>
              </w:rPr>
              <w:t>（3）下浮比例：</w:t>
            </w:r>
            <w:r>
              <w:rPr>
                <w:spacing w:val="-18"/>
                <w:highlight w:val="none"/>
              </w:rPr>
              <w:t xml:space="preserve"> </w:t>
            </w:r>
            <w:r>
              <w:rPr>
                <w:highlight w:val="none"/>
                <w:u w:val="single" w:color="auto"/>
              </w:rPr>
              <w:t xml:space="preserve">  </w:t>
            </w:r>
            <w:r>
              <w:rPr>
                <w:rFonts w:hint="eastAsia"/>
                <w:highlight w:val="none"/>
                <w:u w:val="single" w:color="auto"/>
                <w:lang w:val="en-US" w:eastAsia="zh-CN"/>
              </w:rPr>
              <w:t>0</w:t>
            </w:r>
            <w:r>
              <w:rPr>
                <w:highlight w:val="none"/>
                <w:u w:val="single" w:color="auto"/>
              </w:rPr>
              <w:t xml:space="preserve">   </w:t>
            </w:r>
            <w:r>
              <w:rPr>
                <w:spacing w:val="-100"/>
                <w:highlight w:val="none"/>
              </w:rPr>
              <w:t xml:space="preserve"> </w:t>
            </w:r>
            <w:r>
              <w:rPr>
                <w:spacing w:val="-10"/>
                <w:highlight w:val="none"/>
              </w:rPr>
              <w:t>%。</w:t>
            </w:r>
          </w:p>
          <w:p w14:paraId="656739B6">
            <w:pPr>
              <w:pStyle w:val="11"/>
              <w:spacing w:line="220" w:lineRule="auto"/>
            </w:pPr>
          </w:p>
        </w:tc>
      </w:tr>
    </w:tbl>
    <w:p w14:paraId="6A171A3F">
      <w:pPr>
        <w:pStyle w:val="3"/>
      </w:pPr>
    </w:p>
    <w:p w14:paraId="491021FC">
      <w:pPr>
        <w:sectPr>
          <w:footerReference r:id="rId46" w:type="default"/>
          <w:pgSz w:w="11905" w:h="16839"/>
          <w:pgMar w:top="1431" w:right="1474" w:bottom="996" w:left="1483" w:header="0" w:footer="793" w:gutter="0"/>
          <w:pgNumType w:fmt="decimal"/>
          <w:cols w:space="720" w:num="1"/>
        </w:sectPr>
      </w:pPr>
    </w:p>
    <w:p w14:paraId="004F7F47">
      <w:pPr>
        <w:spacing w:line="95" w:lineRule="auto"/>
        <w:rPr>
          <w:rFonts w:ascii="Arial"/>
          <w:sz w:val="2"/>
        </w:rPr>
      </w:pPr>
    </w:p>
    <w:tbl>
      <w:tblPr>
        <w:tblStyle w:val="10"/>
        <w:tblW w:w="894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843"/>
        <w:gridCol w:w="7097"/>
      </w:tblGrid>
      <w:tr w14:paraId="1A6472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875" w:hRule="atLeast"/>
        </w:trPr>
        <w:tc>
          <w:tcPr>
            <w:tcW w:w="1843" w:type="dxa"/>
            <w:vAlign w:val="top"/>
          </w:tcPr>
          <w:p w14:paraId="2BE7E01E">
            <w:pPr>
              <w:spacing w:line="243" w:lineRule="auto"/>
              <w:rPr>
                <w:rFonts w:ascii="Arial"/>
                <w:sz w:val="21"/>
              </w:rPr>
            </w:pPr>
          </w:p>
          <w:p w14:paraId="4F709AFF">
            <w:pPr>
              <w:spacing w:line="243" w:lineRule="auto"/>
              <w:rPr>
                <w:rFonts w:ascii="Arial"/>
                <w:sz w:val="21"/>
              </w:rPr>
            </w:pPr>
          </w:p>
          <w:p w14:paraId="2DA91E34">
            <w:pPr>
              <w:spacing w:line="243" w:lineRule="auto"/>
              <w:rPr>
                <w:rFonts w:ascii="Arial"/>
                <w:sz w:val="21"/>
              </w:rPr>
            </w:pPr>
          </w:p>
          <w:p w14:paraId="553C9E09">
            <w:pPr>
              <w:spacing w:line="243" w:lineRule="auto"/>
              <w:rPr>
                <w:rFonts w:ascii="Arial"/>
                <w:sz w:val="21"/>
              </w:rPr>
            </w:pPr>
          </w:p>
          <w:p w14:paraId="54364286">
            <w:pPr>
              <w:spacing w:line="243" w:lineRule="auto"/>
              <w:rPr>
                <w:rFonts w:ascii="Arial"/>
                <w:sz w:val="21"/>
              </w:rPr>
            </w:pPr>
          </w:p>
          <w:p w14:paraId="530EEB83">
            <w:pPr>
              <w:spacing w:line="243" w:lineRule="auto"/>
              <w:rPr>
                <w:rFonts w:ascii="Arial"/>
                <w:sz w:val="21"/>
              </w:rPr>
            </w:pPr>
          </w:p>
          <w:p w14:paraId="28C0CF82">
            <w:pPr>
              <w:spacing w:line="243" w:lineRule="auto"/>
              <w:rPr>
                <w:rFonts w:ascii="Arial"/>
                <w:sz w:val="21"/>
              </w:rPr>
            </w:pPr>
          </w:p>
          <w:p w14:paraId="3B2C5CCE">
            <w:pPr>
              <w:spacing w:line="243" w:lineRule="auto"/>
              <w:rPr>
                <w:rFonts w:ascii="Arial"/>
                <w:sz w:val="21"/>
              </w:rPr>
            </w:pPr>
          </w:p>
          <w:p w14:paraId="67F6A028">
            <w:pPr>
              <w:spacing w:line="243" w:lineRule="auto"/>
              <w:rPr>
                <w:rFonts w:ascii="Arial"/>
                <w:sz w:val="21"/>
              </w:rPr>
            </w:pPr>
          </w:p>
          <w:p w14:paraId="2CCA5082">
            <w:pPr>
              <w:spacing w:line="243" w:lineRule="auto"/>
              <w:rPr>
                <w:rFonts w:ascii="Arial"/>
                <w:sz w:val="21"/>
              </w:rPr>
            </w:pPr>
          </w:p>
          <w:p w14:paraId="2425B9CC">
            <w:pPr>
              <w:spacing w:line="243" w:lineRule="auto"/>
              <w:rPr>
                <w:rFonts w:ascii="Arial"/>
                <w:sz w:val="21"/>
              </w:rPr>
            </w:pPr>
          </w:p>
          <w:p w14:paraId="3EBBE768">
            <w:pPr>
              <w:spacing w:line="243" w:lineRule="auto"/>
              <w:rPr>
                <w:rFonts w:ascii="Arial"/>
                <w:sz w:val="21"/>
              </w:rPr>
            </w:pPr>
          </w:p>
          <w:p w14:paraId="18C6C54E">
            <w:pPr>
              <w:spacing w:line="244" w:lineRule="auto"/>
              <w:rPr>
                <w:rFonts w:ascii="Arial"/>
                <w:sz w:val="21"/>
              </w:rPr>
            </w:pPr>
          </w:p>
          <w:p w14:paraId="32FA2F29">
            <w:pPr>
              <w:spacing w:line="244" w:lineRule="auto"/>
              <w:rPr>
                <w:rFonts w:ascii="Arial"/>
                <w:sz w:val="21"/>
              </w:rPr>
            </w:pPr>
          </w:p>
          <w:p w14:paraId="6A6E58CD">
            <w:pPr>
              <w:spacing w:line="244" w:lineRule="auto"/>
              <w:rPr>
                <w:rFonts w:ascii="Arial"/>
                <w:sz w:val="21"/>
              </w:rPr>
            </w:pPr>
          </w:p>
          <w:p w14:paraId="43E9ADE1">
            <w:pPr>
              <w:spacing w:line="244" w:lineRule="auto"/>
              <w:rPr>
                <w:rFonts w:ascii="Arial"/>
                <w:sz w:val="21"/>
              </w:rPr>
            </w:pPr>
          </w:p>
          <w:p w14:paraId="57D8D859">
            <w:pPr>
              <w:spacing w:line="244" w:lineRule="auto"/>
              <w:rPr>
                <w:rFonts w:ascii="Arial"/>
                <w:sz w:val="21"/>
              </w:rPr>
            </w:pPr>
          </w:p>
          <w:p w14:paraId="03B8F28A">
            <w:pPr>
              <w:spacing w:line="244" w:lineRule="auto"/>
              <w:rPr>
                <w:rFonts w:ascii="Arial"/>
                <w:sz w:val="21"/>
              </w:rPr>
            </w:pPr>
          </w:p>
          <w:p w14:paraId="09E10609">
            <w:pPr>
              <w:spacing w:line="244" w:lineRule="auto"/>
              <w:rPr>
                <w:rFonts w:ascii="Arial"/>
                <w:sz w:val="21"/>
              </w:rPr>
            </w:pPr>
          </w:p>
          <w:p w14:paraId="494EA634">
            <w:pPr>
              <w:spacing w:line="244" w:lineRule="auto"/>
              <w:rPr>
                <w:rFonts w:ascii="Arial"/>
                <w:sz w:val="21"/>
              </w:rPr>
            </w:pPr>
          </w:p>
          <w:p w14:paraId="0B3DE3F1">
            <w:pPr>
              <w:spacing w:line="244" w:lineRule="auto"/>
              <w:rPr>
                <w:rFonts w:ascii="Arial"/>
                <w:sz w:val="21"/>
              </w:rPr>
            </w:pPr>
          </w:p>
          <w:p w14:paraId="17464484">
            <w:pPr>
              <w:spacing w:line="244" w:lineRule="auto"/>
              <w:rPr>
                <w:rFonts w:ascii="Arial"/>
                <w:sz w:val="21"/>
              </w:rPr>
            </w:pPr>
          </w:p>
          <w:p w14:paraId="563F124F">
            <w:pPr>
              <w:spacing w:line="244" w:lineRule="auto"/>
              <w:rPr>
                <w:rFonts w:ascii="Arial"/>
                <w:sz w:val="21"/>
              </w:rPr>
            </w:pPr>
          </w:p>
          <w:p w14:paraId="33ED03FA">
            <w:pPr>
              <w:spacing w:line="244" w:lineRule="auto"/>
              <w:rPr>
                <w:rFonts w:ascii="Arial"/>
                <w:sz w:val="21"/>
              </w:rPr>
            </w:pPr>
          </w:p>
          <w:p w14:paraId="74E76842">
            <w:pPr>
              <w:spacing w:line="244" w:lineRule="auto"/>
              <w:rPr>
                <w:rFonts w:ascii="Arial"/>
                <w:sz w:val="21"/>
              </w:rPr>
            </w:pPr>
          </w:p>
          <w:p w14:paraId="488A77E0">
            <w:pPr>
              <w:spacing w:line="244" w:lineRule="auto"/>
              <w:rPr>
                <w:rFonts w:ascii="Arial"/>
                <w:sz w:val="21"/>
              </w:rPr>
            </w:pPr>
          </w:p>
          <w:p w14:paraId="12204168">
            <w:pPr>
              <w:spacing w:line="244" w:lineRule="auto"/>
              <w:rPr>
                <w:rFonts w:ascii="Arial"/>
                <w:sz w:val="21"/>
              </w:rPr>
            </w:pPr>
          </w:p>
          <w:p w14:paraId="3554E8A0">
            <w:pPr>
              <w:spacing w:line="244" w:lineRule="auto"/>
              <w:rPr>
                <w:rFonts w:ascii="Arial"/>
                <w:sz w:val="21"/>
              </w:rPr>
            </w:pPr>
          </w:p>
          <w:p w14:paraId="1843A0F3">
            <w:pPr>
              <w:spacing w:before="60" w:line="189" w:lineRule="auto"/>
              <w:ind w:left="714"/>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3.2.1</w:t>
            </w:r>
          </w:p>
        </w:tc>
        <w:tc>
          <w:tcPr>
            <w:tcW w:w="7097" w:type="dxa"/>
            <w:vAlign w:val="top"/>
          </w:tcPr>
          <w:p w14:paraId="254DBB63">
            <w:pPr>
              <w:pStyle w:val="11"/>
              <w:spacing w:before="163" w:line="220" w:lineRule="auto"/>
              <w:ind w:left="116"/>
            </w:pPr>
            <w:bookmarkStart w:id="104" w:name="bookmark120"/>
            <w:bookmarkEnd w:id="104"/>
            <w:bookmarkStart w:id="105" w:name="bookmark119"/>
            <w:bookmarkEnd w:id="105"/>
            <w:bookmarkStart w:id="106" w:name="bookmark118"/>
            <w:bookmarkEnd w:id="106"/>
            <w:r>
              <w:rPr>
                <w:spacing w:val="-12"/>
              </w:rPr>
              <w:t>（1）</w:t>
            </w:r>
            <w:r>
              <w:rPr>
                <w:spacing w:val="-12"/>
                <w:highlight w:val="yellow"/>
              </w:rPr>
              <w:t>是否采用入围：</w:t>
            </w:r>
            <w:r>
              <w:rPr>
                <w:spacing w:val="37"/>
                <w:highlight w:val="yellow"/>
              </w:rPr>
              <w:t xml:space="preserve"> </w:t>
            </w:r>
            <w:r>
              <w:rPr>
                <w:spacing w:val="-12"/>
                <w:highlight w:val="yellow"/>
              </w:rPr>
              <w:sym w:font="Wingdings 2" w:char="00A3"/>
            </w:r>
            <w:r>
              <w:rPr>
                <w:spacing w:val="-12"/>
                <w:highlight w:val="yellow"/>
              </w:rPr>
              <w:t>是</w:t>
            </w:r>
            <w:r>
              <w:rPr>
                <w:spacing w:val="9"/>
                <w:highlight w:val="yellow"/>
              </w:rPr>
              <w:t xml:space="preserve">   </w:t>
            </w:r>
            <w:r>
              <w:rPr>
                <w:rFonts w:hint="eastAsia"/>
                <w:spacing w:val="-12"/>
                <w:highlight w:val="yellow"/>
                <w:lang w:eastAsia="zh-CN"/>
              </w:rPr>
              <w:t>☑</w:t>
            </w:r>
            <w:r>
              <w:rPr>
                <w:spacing w:val="-12"/>
                <w:highlight w:val="yellow"/>
              </w:rPr>
              <w:t>否</w:t>
            </w:r>
          </w:p>
          <w:p w14:paraId="03844C57">
            <w:pPr>
              <w:pStyle w:val="11"/>
              <w:spacing w:before="167" w:line="219" w:lineRule="auto"/>
              <w:ind w:left="116"/>
              <w:rPr>
                <w:highlight w:val="yellow"/>
              </w:rPr>
            </w:pPr>
            <w:r>
              <w:rPr>
                <w:spacing w:val="-1"/>
              </w:rPr>
              <w:t>（2）入围方式：</w:t>
            </w:r>
            <w:r>
              <w:rPr>
                <w:spacing w:val="-1"/>
              </w:rPr>
              <w:sym w:font="Wingdings 2" w:char="00A3"/>
            </w:r>
            <w:r>
              <w:rPr>
                <w:spacing w:val="-1"/>
              </w:rPr>
              <w:t xml:space="preserve">投标报价入围  </w:t>
            </w:r>
            <w:r>
              <w:rPr>
                <w:spacing w:val="-1"/>
              </w:rPr>
              <w:sym w:font="Wingdings 2" w:char="00A3"/>
            </w:r>
            <w:r>
              <w:rPr>
                <w:spacing w:val="-1"/>
              </w:rPr>
              <w:t>技术标</w:t>
            </w:r>
            <w:r>
              <w:rPr>
                <w:spacing w:val="-2"/>
              </w:rPr>
              <w:t>入围</w:t>
            </w:r>
            <w:r>
              <w:rPr>
                <w:spacing w:val="9"/>
              </w:rPr>
              <w:t xml:space="preserve">  </w:t>
            </w:r>
            <w:r>
              <w:rPr>
                <w:spacing w:val="9"/>
                <w:highlight w:val="none"/>
              </w:rPr>
              <w:t xml:space="preserve"> </w:t>
            </w:r>
            <w:r>
              <w:rPr>
                <w:spacing w:val="-2"/>
                <w:highlight w:val="none"/>
              </w:rPr>
              <w:sym w:font="Wingdings 2" w:char="00A3"/>
            </w:r>
            <w:r>
              <w:rPr>
                <w:spacing w:val="-2"/>
                <w:highlight w:val="none"/>
              </w:rPr>
              <w:t>综合性入围</w:t>
            </w:r>
          </w:p>
          <w:p w14:paraId="4D6FCDE6">
            <w:pPr>
              <w:pStyle w:val="11"/>
              <w:spacing w:before="173" w:line="221" w:lineRule="auto"/>
              <w:ind w:left="116"/>
            </w:pPr>
            <w:r>
              <w:rPr>
                <w:spacing w:val="-1"/>
              </w:rPr>
              <w:t>（3）入围数量：共计</w:t>
            </w:r>
            <w:r>
              <w:rPr>
                <w:rFonts w:hint="eastAsia"/>
                <w:spacing w:val="-1"/>
                <w:u w:val="single" w:color="auto"/>
                <w:lang w:val="en-US" w:eastAsia="zh-CN"/>
              </w:rPr>
              <w:t>/</w:t>
            </w:r>
            <w:r>
              <w:rPr>
                <w:spacing w:val="-1"/>
                <w:u w:val="single" w:color="auto"/>
              </w:rPr>
              <w:t xml:space="preserve"> </w:t>
            </w:r>
            <w:r>
              <w:rPr>
                <w:spacing w:val="-89"/>
              </w:rPr>
              <w:t xml:space="preserve"> </w:t>
            </w:r>
            <w:r>
              <w:rPr>
                <w:spacing w:val="-1"/>
              </w:rPr>
              <w:t>家</w:t>
            </w:r>
          </w:p>
          <w:p w14:paraId="7377398A">
            <w:pPr>
              <w:pStyle w:val="11"/>
              <w:spacing w:before="167" w:line="369" w:lineRule="auto"/>
              <w:ind w:left="109" w:right="106" w:firstLine="544"/>
              <w:jc w:val="both"/>
            </w:pPr>
            <w:r>
              <w:rPr>
                <w:spacing w:val="-5"/>
              </w:rPr>
              <w:t>□报价入围基准值以上</w:t>
            </w:r>
            <w:r>
              <w:rPr>
                <w:spacing w:val="-104"/>
              </w:rPr>
              <w:t xml:space="preserve"> </w:t>
            </w:r>
            <w:r>
              <w:rPr>
                <w:spacing w:val="5"/>
                <w:u w:val="single" w:color="auto"/>
              </w:rPr>
              <w:t xml:space="preserve"> </w:t>
            </w:r>
            <w:r>
              <w:rPr>
                <w:spacing w:val="-94"/>
              </w:rPr>
              <w:t xml:space="preserve"> </w:t>
            </w:r>
            <w:r>
              <w:rPr>
                <w:spacing w:val="-5"/>
              </w:rPr>
              <w:t>家，</w:t>
            </w:r>
            <w:r>
              <w:rPr>
                <w:spacing w:val="-29"/>
              </w:rPr>
              <w:t xml:space="preserve"> </w:t>
            </w:r>
            <w:r>
              <w:rPr>
                <w:spacing w:val="-5"/>
              </w:rPr>
              <w:t>基准值以下</w:t>
            </w:r>
            <w:r>
              <w:rPr>
                <w:spacing w:val="-104"/>
              </w:rPr>
              <w:t xml:space="preserve"> </w:t>
            </w:r>
            <w:r>
              <w:rPr>
                <w:spacing w:val="5"/>
                <w:u w:val="single" w:color="auto"/>
              </w:rPr>
              <w:t xml:space="preserve">     </w:t>
            </w:r>
            <w:r>
              <w:rPr>
                <w:spacing w:val="-93"/>
              </w:rPr>
              <w:t xml:space="preserve"> </w:t>
            </w:r>
            <w:r>
              <w:rPr>
                <w:spacing w:val="-5"/>
              </w:rPr>
              <w:t>家，投标报价等于</w:t>
            </w:r>
            <w:r>
              <w:t xml:space="preserve"> </w:t>
            </w:r>
            <w:r>
              <w:rPr>
                <w:spacing w:val="5"/>
              </w:rPr>
              <w:t>基准值的或最后一名报价相同的，则同时入围，若基准值上</w:t>
            </w:r>
            <w:r>
              <w:rPr>
                <w:spacing w:val="4"/>
              </w:rPr>
              <w:t>下选取数量不</w:t>
            </w:r>
          </w:p>
          <w:p w14:paraId="4D3F368B">
            <w:pPr>
              <w:pStyle w:val="11"/>
              <w:spacing w:line="219" w:lineRule="auto"/>
              <w:ind w:left="113"/>
            </w:pPr>
            <w:r>
              <w:rPr>
                <w:spacing w:val="-6"/>
              </w:rPr>
              <w:t>足时， 按照与基准价离散度由小到大依次补齐。</w:t>
            </w:r>
          </w:p>
          <w:p w14:paraId="6F4B112D">
            <w:pPr>
              <w:pStyle w:val="11"/>
              <w:spacing w:before="172" w:line="221" w:lineRule="auto"/>
              <w:ind w:left="654"/>
            </w:pPr>
            <w:r>
              <w:rPr>
                <w:spacing w:val="-3"/>
              </w:rPr>
              <w:sym w:font="Wingdings 2" w:char="00A3"/>
            </w:r>
            <w:r>
              <w:rPr>
                <w:spacing w:val="-3"/>
              </w:rPr>
              <w:t>技术标入围按照得分高低排序取前</w:t>
            </w:r>
            <w:r>
              <w:rPr>
                <w:spacing w:val="-104"/>
              </w:rPr>
              <w:t xml:space="preserve"> </w:t>
            </w:r>
            <w:r>
              <w:rPr>
                <w:spacing w:val="25"/>
                <w:u w:val="single" w:color="auto"/>
              </w:rPr>
              <w:t xml:space="preserve">  </w:t>
            </w:r>
            <w:r>
              <w:rPr>
                <w:spacing w:val="-3"/>
              </w:rPr>
              <w:t>家；</w:t>
            </w:r>
          </w:p>
          <w:p w14:paraId="2670EF26">
            <w:pPr>
              <w:pStyle w:val="11"/>
              <w:spacing w:before="167" w:line="221" w:lineRule="auto"/>
              <w:ind w:left="654"/>
              <w:rPr>
                <w:highlight w:val="none"/>
              </w:rPr>
            </w:pPr>
            <w:r>
              <w:rPr>
                <w:spacing w:val="-5"/>
                <w:highlight w:val="none"/>
              </w:rPr>
              <w:sym w:font="Wingdings 2" w:char="00A3"/>
            </w:r>
            <w:r>
              <w:rPr>
                <w:spacing w:val="-5"/>
                <w:highlight w:val="none"/>
              </w:rPr>
              <w:t>综合性入围（技术标+资信标+其他） 按照得分高低排序取前</w:t>
            </w:r>
            <w:r>
              <w:rPr>
                <w:spacing w:val="2"/>
                <w:highlight w:val="none"/>
                <w:u w:val="single" w:color="auto"/>
              </w:rPr>
              <w:t xml:space="preserve"> </w:t>
            </w:r>
            <w:r>
              <w:rPr>
                <w:rFonts w:hint="eastAsia"/>
                <w:spacing w:val="2"/>
                <w:highlight w:val="none"/>
                <w:u w:val="single" w:color="auto"/>
                <w:lang w:val="en-US" w:eastAsia="zh-CN"/>
              </w:rPr>
              <w:t>7</w:t>
            </w:r>
            <w:r>
              <w:rPr>
                <w:spacing w:val="2"/>
                <w:highlight w:val="none"/>
                <w:u w:val="single" w:color="auto"/>
              </w:rPr>
              <w:t xml:space="preserve"> </w:t>
            </w:r>
          </w:p>
          <w:p w14:paraId="41D8EF35">
            <w:pPr>
              <w:pStyle w:val="11"/>
              <w:spacing w:before="172" w:line="221" w:lineRule="auto"/>
              <w:ind w:left="111"/>
              <w:rPr>
                <w:highlight w:val="none"/>
              </w:rPr>
            </w:pPr>
            <w:r>
              <w:rPr>
                <w:spacing w:val="-10"/>
                <w:highlight w:val="none"/>
              </w:rPr>
              <w:t>家。</w:t>
            </w:r>
          </w:p>
          <w:p w14:paraId="4DEB0433">
            <w:pPr>
              <w:pStyle w:val="11"/>
              <w:spacing w:before="166" w:line="219" w:lineRule="auto"/>
              <w:ind w:left="116"/>
            </w:pPr>
            <w:r>
              <w:rPr>
                <w:spacing w:val="-1"/>
              </w:rPr>
              <w:t>（4）报价入围基准值计算方法：</w:t>
            </w:r>
          </w:p>
          <w:p w14:paraId="0412EE73">
            <w:pPr>
              <w:pStyle w:val="11"/>
              <w:spacing w:before="175" w:line="369" w:lineRule="auto"/>
              <w:ind w:left="109" w:right="104" w:firstLine="443"/>
            </w:pPr>
            <w:r>
              <w:rPr>
                <w:rFonts w:hint="eastAsia"/>
                <w:spacing w:val="-1"/>
                <w:lang w:eastAsia="zh-CN"/>
              </w:rPr>
              <w:t>□</w:t>
            </w:r>
            <w:r>
              <w:rPr>
                <w:spacing w:val="-1"/>
              </w:rPr>
              <w:t>通过初步评审且投标报价不低于合理最低价的投</w:t>
            </w:r>
            <w:r>
              <w:rPr>
                <w:spacing w:val="-2"/>
              </w:rPr>
              <w:t>标人超过</w:t>
            </w:r>
            <w:r>
              <w:rPr>
                <w:spacing w:val="-102"/>
              </w:rPr>
              <w:t xml:space="preserve"> </w:t>
            </w:r>
            <w:r>
              <w:rPr>
                <w:spacing w:val="16"/>
                <w:u w:val="single" w:color="auto"/>
              </w:rPr>
              <w:t xml:space="preserve">   </w:t>
            </w:r>
            <w:r>
              <w:rPr>
                <w:spacing w:val="-93"/>
              </w:rPr>
              <w:t xml:space="preserve"> </w:t>
            </w:r>
            <w:r>
              <w:rPr>
                <w:spacing w:val="-2"/>
              </w:rPr>
              <w:t>家（包</w:t>
            </w:r>
            <w:r>
              <w:t xml:space="preserve"> </w:t>
            </w:r>
            <w:r>
              <w:rPr>
                <w:spacing w:val="-3"/>
              </w:rPr>
              <w:t>含</w:t>
            </w:r>
            <w:r>
              <w:rPr>
                <w:spacing w:val="18"/>
                <w:u w:val="single" w:color="auto"/>
              </w:rPr>
              <w:t xml:space="preserve">   </w:t>
            </w:r>
            <w:r>
              <w:rPr>
                <w:spacing w:val="-94"/>
              </w:rPr>
              <w:t xml:space="preserve"> </w:t>
            </w:r>
            <w:r>
              <w:rPr>
                <w:spacing w:val="-3"/>
              </w:rPr>
              <w:t>家</w:t>
            </w:r>
            <w:r>
              <w:rPr>
                <w:spacing w:val="-21"/>
              </w:rPr>
              <w:t>），</w:t>
            </w:r>
            <w:r>
              <w:rPr>
                <w:spacing w:val="-3"/>
              </w:rPr>
              <w:t>去掉报价最高</w:t>
            </w:r>
            <w:r>
              <w:rPr>
                <w:spacing w:val="-40"/>
              </w:rPr>
              <w:t xml:space="preserve"> </w:t>
            </w:r>
            <w:r>
              <w:rPr>
                <w:spacing w:val="-3"/>
              </w:rPr>
              <w:t>20%家和报价最低</w:t>
            </w:r>
            <w:r>
              <w:rPr>
                <w:spacing w:val="-41"/>
              </w:rPr>
              <w:t xml:space="preserve"> </w:t>
            </w:r>
            <w:r>
              <w:rPr>
                <w:spacing w:val="-3"/>
              </w:rPr>
              <w:t>20%家投</w:t>
            </w:r>
            <w:r>
              <w:rPr>
                <w:spacing w:val="-4"/>
              </w:rPr>
              <w:t>标报价（小数点后不保</w:t>
            </w:r>
            <w:r>
              <w:t xml:space="preserve"> </w:t>
            </w:r>
            <w:r>
              <w:rPr>
                <w:spacing w:val="-7"/>
              </w:rPr>
              <w:t>留有效数字，个位数向下取整</w:t>
            </w:r>
            <w:r>
              <w:rPr>
                <w:spacing w:val="-11"/>
              </w:rPr>
              <w:t>）；</w:t>
            </w:r>
            <w:r>
              <w:rPr>
                <w:spacing w:val="-7"/>
              </w:rPr>
              <w:t>若小于</w:t>
            </w:r>
            <w:r>
              <w:rPr>
                <w:spacing w:val="-97"/>
              </w:rPr>
              <w:t xml:space="preserve"> </w:t>
            </w:r>
            <w:r>
              <w:rPr>
                <w:spacing w:val="14"/>
                <w:u w:val="single" w:color="auto"/>
              </w:rPr>
              <w:t xml:space="preserve">    </w:t>
            </w:r>
            <w:r>
              <w:rPr>
                <w:spacing w:val="-95"/>
              </w:rPr>
              <w:t xml:space="preserve"> </w:t>
            </w:r>
            <w:r>
              <w:rPr>
                <w:spacing w:val="-7"/>
              </w:rPr>
              <w:t>家，则不去； 取</w:t>
            </w:r>
            <w:r>
              <w:rPr>
                <w:spacing w:val="-8"/>
              </w:rPr>
              <w:t>其投标报价算</w:t>
            </w:r>
            <w:r>
              <w:t xml:space="preserve"> </w:t>
            </w:r>
            <w:r>
              <w:rPr>
                <w:spacing w:val="-2"/>
              </w:rPr>
              <w:t>术平均值的</w:t>
            </w:r>
            <w:r>
              <w:rPr>
                <w:spacing w:val="-105"/>
              </w:rPr>
              <w:t xml:space="preserve"> </w:t>
            </w:r>
            <w:r>
              <w:rPr>
                <w:spacing w:val="26"/>
                <w:u w:val="single" w:color="auto"/>
              </w:rPr>
              <w:t xml:space="preserve">    </w:t>
            </w:r>
            <w:r>
              <w:rPr>
                <w:spacing w:val="-103"/>
              </w:rPr>
              <w:t xml:space="preserve"> </w:t>
            </w:r>
            <w:r>
              <w:rPr>
                <w:spacing w:val="-2"/>
              </w:rPr>
              <w:t>%与□最高投标限价</w:t>
            </w:r>
            <w:r>
              <w:rPr>
                <w:spacing w:val="27"/>
              </w:rPr>
              <w:t xml:space="preserve"> </w:t>
            </w:r>
            <w:r>
              <w:rPr>
                <w:spacing w:val="-2"/>
              </w:rPr>
              <w:t>□报价最高</w:t>
            </w:r>
            <w:r>
              <w:rPr>
                <w:spacing w:val="-41"/>
              </w:rPr>
              <w:t xml:space="preserve"> </w:t>
            </w:r>
            <w:r>
              <w:rPr>
                <w:spacing w:val="-2"/>
              </w:rPr>
              <w:t>20%家的平均</w:t>
            </w:r>
            <w:r>
              <w:rPr>
                <w:spacing w:val="-3"/>
              </w:rPr>
              <w:t>值</w:t>
            </w:r>
            <w:r>
              <w:rPr>
                <w:spacing w:val="26"/>
              </w:rPr>
              <w:t xml:space="preserve"> </w:t>
            </w:r>
            <w:r>
              <w:rPr>
                <w:spacing w:val="-3"/>
              </w:rPr>
              <w:t>□报价最</w:t>
            </w:r>
          </w:p>
          <w:p w14:paraId="3EA26530">
            <w:pPr>
              <w:pStyle w:val="11"/>
              <w:spacing w:line="220" w:lineRule="auto"/>
              <w:ind w:left="109"/>
            </w:pPr>
            <w:r>
              <w:rPr>
                <w:spacing w:val="-1"/>
              </w:rPr>
              <w:t>低</w:t>
            </w:r>
            <w:r>
              <w:rPr>
                <w:spacing w:val="-42"/>
              </w:rPr>
              <w:t xml:space="preserve"> </w:t>
            </w:r>
            <w:r>
              <w:rPr>
                <w:spacing w:val="-1"/>
              </w:rPr>
              <w:t>20%家的平均值的</w:t>
            </w:r>
            <w:r>
              <w:rPr>
                <w:spacing w:val="-1"/>
                <w:u w:val="single" w:color="auto"/>
              </w:rPr>
              <w:t xml:space="preserve">     </w:t>
            </w:r>
            <w:r>
              <w:rPr>
                <w:spacing w:val="-102"/>
              </w:rPr>
              <w:t xml:space="preserve"> </w:t>
            </w:r>
            <w:r>
              <w:rPr>
                <w:spacing w:val="-1"/>
              </w:rPr>
              <w:t>%之和。</w:t>
            </w:r>
          </w:p>
          <w:p w14:paraId="3EFE1E28">
            <w:pPr>
              <w:pStyle w:val="11"/>
              <w:spacing w:before="168" w:line="369" w:lineRule="auto"/>
              <w:ind w:left="109" w:right="104" w:firstLine="443"/>
              <w:rPr>
                <w:highlight w:val="yellow"/>
              </w:rPr>
            </w:pPr>
            <w:r>
              <w:rPr>
                <w:rFonts w:hint="eastAsia"/>
                <w:spacing w:val="-1"/>
                <w:highlight w:val="yellow"/>
                <w:lang w:eastAsia="zh-CN"/>
              </w:rPr>
              <w:t>☑</w:t>
            </w:r>
            <w:r>
              <w:rPr>
                <w:spacing w:val="-1"/>
                <w:highlight w:val="yellow"/>
              </w:rPr>
              <w:t>通过初步评审且投标报价不低于合理最低价的投</w:t>
            </w:r>
            <w:r>
              <w:rPr>
                <w:spacing w:val="-2"/>
                <w:highlight w:val="yellow"/>
              </w:rPr>
              <w:t>标人超过</w:t>
            </w:r>
            <w:r>
              <w:rPr>
                <w:spacing w:val="-102"/>
                <w:highlight w:val="yellow"/>
              </w:rPr>
              <w:t xml:space="preserve"> </w:t>
            </w:r>
            <w:r>
              <w:rPr>
                <w:spacing w:val="16"/>
                <w:highlight w:val="yellow"/>
                <w:u w:val="single" w:color="auto"/>
              </w:rPr>
              <w:t xml:space="preserve"> </w:t>
            </w:r>
            <w:r>
              <w:rPr>
                <w:rFonts w:hint="eastAsia"/>
                <w:spacing w:val="16"/>
                <w:highlight w:val="yellow"/>
                <w:u w:val="single" w:color="auto"/>
                <w:lang w:val="en-US" w:eastAsia="zh-CN"/>
              </w:rPr>
              <w:t>7</w:t>
            </w:r>
            <w:r>
              <w:rPr>
                <w:spacing w:val="16"/>
                <w:highlight w:val="yellow"/>
                <w:u w:val="single" w:color="auto"/>
              </w:rPr>
              <w:t xml:space="preserve">  </w:t>
            </w:r>
            <w:r>
              <w:rPr>
                <w:spacing w:val="-93"/>
                <w:highlight w:val="yellow"/>
              </w:rPr>
              <w:t xml:space="preserve"> </w:t>
            </w:r>
            <w:r>
              <w:rPr>
                <w:spacing w:val="-2"/>
                <w:highlight w:val="yellow"/>
              </w:rPr>
              <w:t>家（包</w:t>
            </w:r>
            <w:r>
              <w:rPr>
                <w:highlight w:val="yellow"/>
              </w:rPr>
              <w:t xml:space="preserve"> </w:t>
            </w:r>
            <w:r>
              <w:rPr>
                <w:spacing w:val="-7"/>
                <w:highlight w:val="yellow"/>
              </w:rPr>
              <w:t>含</w:t>
            </w:r>
            <w:r>
              <w:rPr>
                <w:spacing w:val="32"/>
                <w:highlight w:val="yellow"/>
                <w:u w:val="single" w:color="auto"/>
              </w:rPr>
              <w:t xml:space="preserve"> </w:t>
            </w:r>
            <w:r>
              <w:rPr>
                <w:rFonts w:hint="eastAsia"/>
                <w:spacing w:val="32"/>
                <w:highlight w:val="yellow"/>
                <w:u w:val="single" w:color="auto"/>
                <w:lang w:val="en-US" w:eastAsia="zh-CN"/>
              </w:rPr>
              <w:t>7</w:t>
            </w:r>
            <w:r>
              <w:rPr>
                <w:spacing w:val="32"/>
                <w:highlight w:val="yellow"/>
                <w:u w:val="single" w:color="auto"/>
              </w:rPr>
              <w:t xml:space="preserve"> </w:t>
            </w:r>
            <w:r>
              <w:rPr>
                <w:spacing w:val="-95"/>
                <w:highlight w:val="yellow"/>
              </w:rPr>
              <w:t xml:space="preserve"> </w:t>
            </w:r>
            <w:r>
              <w:rPr>
                <w:spacing w:val="-7"/>
                <w:highlight w:val="yellow"/>
              </w:rPr>
              <w:t>家</w:t>
            </w:r>
            <w:r>
              <w:rPr>
                <w:spacing w:val="-31"/>
                <w:highlight w:val="yellow"/>
              </w:rPr>
              <w:t>），</w:t>
            </w:r>
            <w:r>
              <w:rPr>
                <w:spacing w:val="-7"/>
                <w:highlight w:val="yellow"/>
              </w:rPr>
              <w:t>则去掉</w:t>
            </w:r>
            <w:r>
              <w:rPr>
                <w:spacing w:val="-94"/>
                <w:highlight w:val="yellow"/>
              </w:rPr>
              <w:t xml:space="preserve"> </w:t>
            </w:r>
            <w:r>
              <w:rPr>
                <w:spacing w:val="31"/>
                <w:highlight w:val="yellow"/>
                <w:u w:val="single" w:color="auto"/>
              </w:rPr>
              <w:t xml:space="preserve"> </w:t>
            </w:r>
            <w:r>
              <w:rPr>
                <w:rFonts w:hint="eastAsia"/>
                <w:spacing w:val="31"/>
                <w:highlight w:val="yellow"/>
                <w:u w:val="single" w:color="auto"/>
                <w:lang w:val="en-US" w:eastAsia="zh-CN"/>
              </w:rPr>
              <w:t>1</w:t>
            </w:r>
            <w:r>
              <w:rPr>
                <w:spacing w:val="31"/>
                <w:highlight w:val="yellow"/>
                <w:u w:val="single" w:color="auto"/>
              </w:rPr>
              <w:t xml:space="preserve"> </w:t>
            </w:r>
            <w:r>
              <w:rPr>
                <w:spacing w:val="-96"/>
                <w:highlight w:val="yellow"/>
              </w:rPr>
              <w:t xml:space="preserve"> </w:t>
            </w:r>
            <w:r>
              <w:rPr>
                <w:spacing w:val="-7"/>
                <w:highlight w:val="yellow"/>
              </w:rPr>
              <w:t>个最高投标报价，</w:t>
            </w:r>
            <w:r>
              <w:rPr>
                <w:spacing w:val="-29"/>
                <w:highlight w:val="yellow"/>
              </w:rPr>
              <w:t xml:space="preserve"> </w:t>
            </w:r>
            <w:r>
              <w:rPr>
                <w:spacing w:val="32"/>
                <w:highlight w:val="yellow"/>
                <w:u w:val="single" w:color="auto"/>
              </w:rPr>
              <w:t xml:space="preserve"> </w:t>
            </w:r>
            <w:r>
              <w:rPr>
                <w:rFonts w:hint="eastAsia"/>
                <w:spacing w:val="32"/>
                <w:highlight w:val="yellow"/>
                <w:u w:val="single" w:color="auto"/>
                <w:lang w:val="en-US" w:eastAsia="zh-CN"/>
              </w:rPr>
              <w:t>1</w:t>
            </w:r>
            <w:r>
              <w:rPr>
                <w:spacing w:val="32"/>
                <w:highlight w:val="yellow"/>
                <w:u w:val="single" w:color="auto"/>
              </w:rPr>
              <w:t xml:space="preserve"> </w:t>
            </w:r>
            <w:r>
              <w:rPr>
                <w:spacing w:val="-97"/>
                <w:highlight w:val="yellow"/>
              </w:rPr>
              <w:t xml:space="preserve"> </w:t>
            </w:r>
            <w:r>
              <w:rPr>
                <w:spacing w:val="-7"/>
                <w:highlight w:val="yellow"/>
              </w:rPr>
              <w:t>个最低投标报价；若</w:t>
            </w:r>
            <w:r>
              <w:rPr>
                <w:spacing w:val="-8"/>
                <w:highlight w:val="yellow"/>
              </w:rPr>
              <w:t>小于</w:t>
            </w:r>
            <w:r>
              <w:rPr>
                <w:spacing w:val="-104"/>
                <w:highlight w:val="yellow"/>
              </w:rPr>
              <w:t xml:space="preserve"> </w:t>
            </w:r>
            <w:r>
              <w:rPr>
                <w:spacing w:val="32"/>
                <w:highlight w:val="yellow"/>
                <w:u w:val="single" w:color="auto"/>
              </w:rPr>
              <w:t xml:space="preserve"> </w:t>
            </w:r>
            <w:r>
              <w:rPr>
                <w:rFonts w:hint="eastAsia"/>
                <w:spacing w:val="32"/>
                <w:highlight w:val="yellow"/>
                <w:u w:val="single" w:color="auto"/>
                <w:lang w:val="en-US" w:eastAsia="zh-CN"/>
              </w:rPr>
              <w:t>7</w:t>
            </w:r>
            <w:r>
              <w:rPr>
                <w:spacing w:val="32"/>
                <w:highlight w:val="yellow"/>
                <w:u w:val="single" w:color="auto"/>
              </w:rPr>
              <w:t xml:space="preserve"> </w:t>
            </w:r>
            <w:r>
              <w:rPr>
                <w:spacing w:val="-95"/>
                <w:highlight w:val="yellow"/>
              </w:rPr>
              <w:t xml:space="preserve"> </w:t>
            </w:r>
            <w:r>
              <w:rPr>
                <w:spacing w:val="-8"/>
                <w:highlight w:val="yellow"/>
              </w:rPr>
              <w:t>家，</w:t>
            </w:r>
            <w:r>
              <w:rPr>
                <w:spacing w:val="-1"/>
                <w:highlight w:val="yellow"/>
              </w:rPr>
              <w:t>则不去；将其投标报价取算术平均值下浮</w:t>
            </w:r>
            <w:r>
              <w:rPr>
                <w:spacing w:val="-97"/>
                <w:highlight w:val="yellow"/>
              </w:rPr>
              <w:t xml:space="preserve"> </w:t>
            </w:r>
            <w:r>
              <w:rPr>
                <w:highlight w:val="yellow"/>
                <w:u w:val="single" w:color="auto"/>
              </w:rPr>
              <w:t xml:space="preserve">  </w:t>
            </w:r>
            <w:r>
              <w:rPr>
                <w:rFonts w:hint="eastAsia"/>
                <w:highlight w:val="yellow"/>
                <w:u w:val="single" w:color="auto"/>
                <w:lang w:val="en-US" w:eastAsia="zh-CN"/>
              </w:rPr>
              <w:t>0</w:t>
            </w:r>
            <w:r>
              <w:rPr>
                <w:highlight w:val="yellow"/>
                <w:u w:val="single" w:color="auto"/>
              </w:rPr>
              <w:t xml:space="preserve">   </w:t>
            </w:r>
            <w:r>
              <w:rPr>
                <w:spacing w:val="-100"/>
                <w:highlight w:val="yellow"/>
              </w:rPr>
              <w:t xml:space="preserve"> </w:t>
            </w:r>
            <w:r>
              <w:rPr>
                <w:spacing w:val="-1"/>
                <w:highlight w:val="yellow"/>
              </w:rPr>
              <w:t>%。</w:t>
            </w:r>
          </w:p>
          <w:p w14:paraId="67666FE8">
            <w:pPr>
              <w:pStyle w:val="11"/>
              <w:spacing w:before="173" w:line="418" w:lineRule="exact"/>
              <w:ind w:left="553"/>
            </w:pPr>
            <w:r>
              <w:rPr>
                <w:spacing w:val="4"/>
                <w:position w:val="15"/>
              </w:rPr>
              <w:t>□通过初步评审且投标报价不低于合理最低价的投标人投标报价的算</w:t>
            </w:r>
          </w:p>
          <w:p w14:paraId="509D59E4">
            <w:pPr>
              <w:pStyle w:val="11"/>
              <w:spacing w:before="1" w:line="220" w:lineRule="auto"/>
              <w:ind w:left="111"/>
            </w:pPr>
            <w:r>
              <w:rPr>
                <w:spacing w:val="-2"/>
              </w:rPr>
              <w:t>术平均值下浮</w:t>
            </w:r>
            <w:r>
              <w:rPr>
                <w:spacing w:val="-99"/>
              </w:rPr>
              <w:t xml:space="preserve"> </w:t>
            </w:r>
            <w:r>
              <w:rPr>
                <w:u w:val="single" w:color="auto"/>
              </w:rPr>
              <w:t xml:space="preserve">     </w:t>
            </w:r>
            <w:r>
              <w:rPr>
                <w:spacing w:val="-100"/>
              </w:rPr>
              <w:t xml:space="preserve"> </w:t>
            </w:r>
            <w:r>
              <w:rPr>
                <w:spacing w:val="-2"/>
              </w:rPr>
              <w:t>%。</w:t>
            </w:r>
          </w:p>
          <w:p w14:paraId="6C0F78A2">
            <w:pPr>
              <w:pStyle w:val="11"/>
              <w:spacing w:before="171" w:line="418" w:lineRule="exact"/>
              <w:ind w:left="553"/>
            </w:pPr>
            <w:r>
              <w:rPr>
                <w:spacing w:val="4"/>
                <w:position w:val="15"/>
              </w:rPr>
              <w:t>□通过初步评审且投标报价不低于合理最低价的投标人投标报价的算</w:t>
            </w:r>
          </w:p>
          <w:p w14:paraId="3B91EFBC">
            <w:pPr>
              <w:pStyle w:val="11"/>
              <w:spacing w:line="219" w:lineRule="auto"/>
              <w:ind w:left="111"/>
            </w:pPr>
            <w:r>
              <w:rPr>
                <w:spacing w:val="-1"/>
              </w:rPr>
              <w:t>术平均值的</w:t>
            </w:r>
            <w:r>
              <w:rPr>
                <w:spacing w:val="-93"/>
              </w:rPr>
              <w:t xml:space="preserve"> </w:t>
            </w:r>
            <w:r>
              <w:rPr>
                <w:spacing w:val="25"/>
                <w:u w:val="single" w:color="auto"/>
              </w:rPr>
              <w:t xml:space="preserve">    </w:t>
            </w:r>
            <w:r>
              <w:rPr>
                <w:spacing w:val="-100"/>
              </w:rPr>
              <w:t xml:space="preserve"> </w:t>
            </w:r>
            <w:r>
              <w:rPr>
                <w:spacing w:val="-1"/>
              </w:rPr>
              <w:t>%与最高投标限价的</w:t>
            </w:r>
            <w:r>
              <w:rPr>
                <w:spacing w:val="-104"/>
              </w:rPr>
              <w:t xml:space="preserve"> </w:t>
            </w:r>
            <w:r>
              <w:rPr>
                <w:spacing w:val="25"/>
                <w:u w:val="single" w:color="auto"/>
              </w:rPr>
              <w:t xml:space="preserve">    </w:t>
            </w:r>
            <w:r>
              <w:rPr>
                <w:spacing w:val="-99"/>
              </w:rPr>
              <w:t xml:space="preserve"> </w:t>
            </w:r>
            <w:r>
              <w:rPr>
                <w:spacing w:val="-1"/>
              </w:rPr>
              <w:t>%之和。</w:t>
            </w:r>
          </w:p>
          <w:p w14:paraId="462E32A3">
            <w:pPr>
              <w:pStyle w:val="11"/>
              <w:spacing w:before="173" w:line="418" w:lineRule="exact"/>
              <w:ind w:left="553"/>
            </w:pPr>
            <w:r>
              <w:rPr>
                <w:spacing w:val="4"/>
                <w:position w:val="15"/>
              </w:rPr>
              <w:t>□通过初步评审且投标报价不低于合理最低价的投标人投标报价由低</w:t>
            </w:r>
          </w:p>
          <w:p w14:paraId="797019D5">
            <w:pPr>
              <w:pStyle w:val="11"/>
              <w:spacing w:line="219" w:lineRule="auto"/>
              <w:ind w:left="115"/>
            </w:pPr>
            <w:r>
              <w:rPr>
                <w:spacing w:val="-7"/>
              </w:rPr>
              <w:t xml:space="preserve">到高排序， </w:t>
            </w:r>
            <w:r>
              <w:rPr>
                <w:spacing w:val="-7"/>
                <w:u w:val="single" w:color="auto"/>
              </w:rPr>
              <w:t xml:space="preserve">奇数位（偶数位） </w:t>
            </w:r>
            <w:r>
              <w:rPr>
                <w:spacing w:val="-7"/>
              </w:rPr>
              <w:t>投标人的投标报价的算术平均值下浮</w:t>
            </w:r>
            <w:r>
              <w:rPr>
                <w:spacing w:val="-98"/>
              </w:rPr>
              <w:t xml:space="preserve"> </w:t>
            </w:r>
            <w:r>
              <w:rPr>
                <w:u w:val="single" w:color="auto"/>
              </w:rPr>
              <w:t xml:space="preserve">    </w:t>
            </w:r>
            <w:r>
              <w:rPr>
                <w:spacing w:val="-100"/>
              </w:rPr>
              <w:t xml:space="preserve"> </w:t>
            </w:r>
            <w:r>
              <w:rPr>
                <w:spacing w:val="-7"/>
              </w:rPr>
              <w:t>%。</w:t>
            </w:r>
          </w:p>
          <w:p w14:paraId="666B514D">
            <w:pPr>
              <w:pStyle w:val="11"/>
              <w:spacing w:before="174" w:line="369" w:lineRule="auto"/>
              <w:ind w:left="116" w:right="105" w:firstLine="437"/>
            </w:pPr>
            <w:r>
              <w:rPr>
                <w:spacing w:val="4"/>
              </w:rPr>
              <w:t>□通过初步评审且投标报价不低于合理最低价的投标人投标报价去掉</w:t>
            </w:r>
            <w:r>
              <w:rPr>
                <w:spacing w:val="9"/>
              </w:rPr>
              <w:t xml:space="preserve"> </w:t>
            </w:r>
            <w:r>
              <w:rPr>
                <w:spacing w:val="-2"/>
              </w:rPr>
              <w:t>（最高投标限价-投标报价） /最高投标限价小于</w:t>
            </w:r>
            <w:r>
              <w:rPr>
                <w:spacing w:val="-2"/>
                <w:u w:val="single" w:color="auto"/>
              </w:rPr>
              <w:t xml:space="preserve">    </w:t>
            </w:r>
            <w:r>
              <w:rPr>
                <w:spacing w:val="-92"/>
              </w:rPr>
              <w:t xml:space="preserve"> </w:t>
            </w:r>
            <w:r>
              <w:rPr>
                <w:spacing w:val="-2"/>
              </w:rPr>
              <w:t>%的投标报价后算术平</w:t>
            </w:r>
          </w:p>
          <w:p w14:paraId="12CD90E5">
            <w:pPr>
              <w:pStyle w:val="11"/>
              <w:spacing w:before="1" w:line="220" w:lineRule="auto"/>
              <w:ind w:left="110"/>
            </w:pPr>
            <w:r>
              <w:rPr>
                <w:spacing w:val="-1"/>
              </w:rPr>
              <w:t>均值下浮</w:t>
            </w:r>
            <w:r>
              <w:rPr>
                <w:spacing w:val="-1"/>
                <w:u w:val="single" w:color="auto"/>
              </w:rPr>
              <w:t xml:space="preserve">     </w:t>
            </w:r>
            <w:r>
              <w:rPr>
                <w:spacing w:val="-100"/>
              </w:rPr>
              <w:t xml:space="preserve"> </w:t>
            </w:r>
            <w:r>
              <w:rPr>
                <w:spacing w:val="-1"/>
              </w:rPr>
              <w:t>%。</w:t>
            </w:r>
          </w:p>
          <w:p w14:paraId="6C675EE4">
            <w:pPr>
              <w:pStyle w:val="11"/>
              <w:spacing w:before="166" w:line="423" w:lineRule="exact"/>
              <w:ind w:left="534"/>
            </w:pPr>
            <w:r>
              <w:rPr>
                <w:spacing w:val="5"/>
                <w:position w:val="16"/>
              </w:rPr>
              <w:t>说明：下浮比例也可开标现场随机抽取（明确抽取范围）产生或明确</w:t>
            </w:r>
          </w:p>
          <w:p w14:paraId="5D01DF9E">
            <w:pPr>
              <w:pStyle w:val="11"/>
              <w:spacing w:before="1" w:line="220" w:lineRule="auto"/>
              <w:ind w:left="116"/>
            </w:pPr>
            <w:r>
              <w:rPr>
                <w:spacing w:val="-4"/>
              </w:rPr>
              <w:t>下浮比例产生规则。</w:t>
            </w:r>
          </w:p>
          <w:p w14:paraId="6DCE7E64">
            <w:pPr>
              <w:pStyle w:val="11"/>
              <w:spacing w:before="166" w:line="221" w:lineRule="auto"/>
              <w:ind w:left="116"/>
            </w:pPr>
            <w:r>
              <w:rPr>
                <w:spacing w:val="-2"/>
              </w:rPr>
              <w:t>（5）技术标入围最终得分计算或排序方法：</w:t>
            </w:r>
          </w:p>
          <w:p w14:paraId="492981FF">
            <w:pPr>
              <w:pStyle w:val="11"/>
              <w:spacing w:before="171" w:line="221" w:lineRule="auto"/>
              <w:ind w:left="553"/>
            </w:pPr>
            <w:r>
              <w:rPr>
                <w:spacing w:val="-1"/>
              </w:rPr>
              <w:t>□最终得分=经济标+技术标+资信标+其</w:t>
            </w:r>
            <w:r>
              <w:rPr>
                <w:spacing w:val="-2"/>
              </w:rPr>
              <w:t>他（按照得分排序）</w:t>
            </w:r>
          </w:p>
          <w:p w14:paraId="4323F016">
            <w:pPr>
              <w:pStyle w:val="11"/>
              <w:spacing w:before="166" w:line="221" w:lineRule="auto"/>
              <w:ind w:left="553"/>
            </w:pPr>
            <w:r>
              <w:rPr>
                <w:spacing w:val="-2"/>
              </w:rPr>
              <w:t>□最终得分=经济标+资信标+其他（按照得分排序）</w:t>
            </w:r>
          </w:p>
          <w:p w14:paraId="6C9CE8B2">
            <w:pPr>
              <w:pStyle w:val="11"/>
              <w:spacing w:before="172" w:line="221" w:lineRule="auto"/>
              <w:ind w:left="553"/>
            </w:pPr>
            <w:r>
              <w:rPr>
                <w:spacing w:val="-2"/>
              </w:rPr>
              <w:t>□最终得分=经济标（按照得分排序）</w:t>
            </w:r>
          </w:p>
        </w:tc>
      </w:tr>
    </w:tbl>
    <w:p w14:paraId="5B6D54BE">
      <w:pPr>
        <w:pStyle w:val="3"/>
      </w:pPr>
    </w:p>
    <w:p w14:paraId="008EA3A1">
      <w:pPr>
        <w:sectPr>
          <w:footerReference r:id="rId47" w:type="default"/>
          <w:pgSz w:w="11905" w:h="16839"/>
          <w:pgMar w:top="1431" w:right="1474" w:bottom="996" w:left="1483" w:header="0" w:footer="791" w:gutter="0"/>
          <w:pgNumType w:fmt="decimal"/>
          <w:cols w:space="720" w:num="1"/>
        </w:sectPr>
      </w:pPr>
    </w:p>
    <w:p w14:paraId="569ECEA8">
      <w:pPr>
        <w:spacing w:line="95" w:lineRule="auto"/>
        <w:rPr>
          <w:rFonts w:ascii="Arial"/>
          <w:sz w:val="2"/>
        </w:rPr>
      </w:pPr>
    </w:p>
    <w:tbl>
      <w:tblPr>
        <w:tblStyle w:val="10"/>
        <w:tblW w:w="894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843"/>
        <w:gridCol w:w="2044"/>
        <w:gridCol w:w="5053"/>
      </w:tblGrid>
      <w:tr w14:paraId="1D1B2D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29" w:hRule="atLeast"/>
        </w:trPr>
        <w:tc>
          <w:tcPr>
            <w:tcW w:w="1843" w:type="dxa"/>
            <w:vAlign w:val="top"/>
          </w:tcPr>
          <w:p w14:paraId="7A383464">
            <w:pPr>
              <w:rPr>
                <w:rFonts w:ascii="Arial"/>
                <w:sz w:val="21"/>
              </w:rPr>
            </w:pPr>
          </w:p>
        </w:tc>
        <w:tc>
          <w:tcPr>
            <w:tcW w:w="7097" w:type="dxa"/>
            <w:gridSpan w:val="2"/>
            <w:vAlign w:val="top"/>
          </w:tcPr>
          <w:p w14:paraId="3470F070">
            <w:pPr>
              <w:pStyle w:val="11"/>
              <w:spacing w:before="163" w:line="418" w:lineRule="exact"/>
              <w:ind w:left="553"/>
            </w:pPr>
            <w:bookmarkStart w:id="107" w:name="bookmark126"/>
            <w:bookmarkEnd w:id="107"/>
            <w:bookmarkStart w:id="108" w:name="bookmark124"/>
            <w:bookmarkEnd w:id="108"/>
            <w:bookmarkStart w:id="109" w:name="bookmark125"/>
            <w:bookmarkEnd w:id="109"/>
            <w:bookmarkStart w:id="110" w:name="bookmark123"/>
            <w:bookmarkEnd w:id="110"/>
            <w:bookmarkStart w:id="111" w:name="bookmark122"/>
            <w:bookmarkEnd w:id="111"/>
            <w:bookmarkStart w:id="112" w:name="bookmark121"/>
            <w:bookmarkEnd w:id="112"/>
            <w:bookmarkStart w:id="113" w:name="bookmark127"/>
            <w:bookmarkEnd w:id="113"/>
            <w:bookmarkStart w:id="114" w:name="bookmark128"/>
            <w:bookmarkEnd w:id="114"/>
            <w:r>
              <w:rPr>
                <w:spacing w:val="-1"/>
                <w:position w:val="15"/>
              </w:rPr>
              <w:t>□最终排序=按照报价由低到高排序（按照报</w:t>
            </w:r>
            <w:r>
              <w:rPr>
                <w:spacing w:val="-2"/>
                <w:position w:val="15"/>
              </w:rPr>
              <w:t>价排序）</w:t>
            </w:r>
          </w:p>
          <w:p w14:paraId="396B43F2">
            <w:pPr>
              <w:pStyle w:val="11"/>
              <w:spacing w:line="220" w:lineRule="auto"/>
              <w:ind w:left="116"/>
            </w:pPr>
            <w:r>
              <w:rPr>
                <w:spacing w:val="-2"/>
              </w:rPr>
              <w:t>（6）综合性入围最终得分计算或排序方法：</w:t>
            </w:r>
          </w:p>
          <w:p w14:paraId="1E8CBC38">
            <w:pPr>
              <w:pStyle w:val="11"/>
              <w:spacing w:before="171" w:line="221" w:lineRule="auto"/>
              <w:ind w:left="553"/>
              <w:rPr>
                <w:highlight w:val="none"/>
              </w:rPr>
            </w:pPr>
            <w:r>
              <w:rPr>
                <w:spacing w:val="-1"/>
                <w:highlight w:val="none"/>
              </w:rPr>
              <w:sym w:font="Wingdings 2" w:char="00A3"/>
            </w:r>
            <w:r>
              <w:rPr>
                <w:spacing w:val="-1"/>
                <w:highlight w:val="none"/>
              </w:rPr>
              <w:t>最终得分=经济标+技术标+资信标+其</w:t>
            </w:r>
            <w:r>
              <w:rPr>
                <w:spacing w:val="-2"/>
                <w:highlight w:val="none"/>
              </w:rPr>
              <w:t>他（按照得分排序）</w:t>
            </w:r>
          </w:p>
          <w:p w14:paraId="7E33BB0D">
            <w:pPr>
              <w:pStyle w:val="11"/>
              <w:spacing w:before="166" w:line="221" w:lineRule="auto"/>
              <w:ind w:left="553"/>
            </w:pPr>
            <w:r>
              <w:rPr>
                <w:spacing w:val="-2"/>
              </w:rPr>
              <w:t>□最终得分=经济标（按照得分排序）</w:t>
            </w:r>
          </w:p>
          <w:p w14:paraId="0D373044">
            <w:pPr>
              <w:pStyle w:val="11"/>
              <w:spacing w:before="171" w:line="219" w:lineRule="auto"/>
              <w:ind w:left="553"/>
            </w:pPr>
            <w:r>
              <w:rPr>
                <w:spacing w:val="-1"/>
              </w:rPr>
              <w:t>□最终排序=按照报价由低到高排序（按照报</w:t>
            </w:r>
            <w:r>
              <w:rPr>
                <w:spacing w:val="-2"/>
              </w:rPr>
              <w:t>价排序）</w:t>
            </w:r>
          </w:p>
          <w:p w14:paraId="06B1F116">
            <w:pPr>
              <w:pStyle w:val="11"/>
              <w:spacing w:before="168" w:line="221" w:lineRule="auto"/>
              <w:ind w:left="116"/>
            </w:pPr>
            <w:r>
              <w:rPr>
                <w:spacing w:val="-1"/>
              </w:rPr>
              <w:t>（7）当通过初步评审的投标人数量小于等于入围数量，则全部</w:t>
            </w:r>
            <w:r>
              <w:rPr>
                <w:spacing w:val="-2"/>
              </w:rPr>
              <w:t>入围。</w:t>
            </w:r>
          </w:p>
        </w:tc>
      </w:tr>
      <w:tr w14:paraId="1749C9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1" w:hRule="atLeast"/>
        </w:trPr>
        <w:tc>
          <w:tcPr>
            <w:tcW w:w="1843" w:type="dxa"/>
            <w:vAlign w:val="top"/>
          </w:tcPr>
          <w:p w14:paraId="5CDF8522">
            <w:pPr>
              <w:spacing w:line="250" w:lineRule="auto"/>
              <w:rPr>
                <w:rFonts w:ascii="Arial"/>
                <w:sz w:val="21"/>
              </w:rPr>
            </w:pPr>
          </w:p>
          <w:p w14:paraId="1B050BE3">
            <w:pPr>
              <w:spacing w:line="250" w:lineRule="auto"/>
              <w:rPr>
                <w:rFonts w:ascii="Arial"/>
                <w:sz w:val="21"/>
              </w:rPr>
            </w:pPr>
          </w:p>
          <w:p w14:paraId="3159FCCC">
            <w:pPr>
              <w:spacing w:line="250" w:lineRule="auto"/>
              <w:rPr>
                <w:rFonts w:ascii="Arial"/>
                <w:sz w:val="21"/>
              </w:rPr>
            </w:pPr>
          </w:p>
          <w:p w14:paraId="5ECA4450">
            <w:pPr>
              <w:spacing w:line="250" w:lineRule="auto"/>
              <w:rPr>
                <w:rFonts w:ascii="Arial"/>
                <w:sz w:val="21"/>
              </w:rPr>
            </w:pPr>
          </w:p>
          <w:p w14:paraId="2B2ED666">
            <w:pPr>
              <w:spacing w:line="251" w:lineRule="auto"/>
              <w:rPr>
                <w:rFonts w:ascii="Arial"/>
                <w:sz w:val="21"/>
              </w:rPr>
            </w:pPr>
          </w:p>
          <w:p w14:paraId="0E78223E">
            <w:pPr>
              <w:spacing w:line="251" w:lineRule="auto"/>
              <w:rPr>
                <w:rFonts w:ascii="Arial"/>
                <w:sz w:val="21"/>
              </w:rPr>
            </w:pPr>
          </w:p>
          <w:p w14:paraId="4522B9C0">
            <w:pPr>
              <w:spacing w:line="251" w:lineRule="auto"/>
              <w:rPr>
                <w:rFonts w:ascii="Arial"/>
                <w:sz w:val="21"/>
              </w:rPr>
            </w:pPr>
          </w:p>
          <w:p w14:paraId="0493E053">
            <w:pPr>
              <w:spacing w:before="60" w:line="189" w:lineRule="auto"/>
              <w:ind w:left="791"/>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3.3</w:t>
            </w:r>
          </w:p>
        </w:tc>
        <w:tc>
          <w:tcPr>
            <w:tcW w:w="7097" w:type="dxa"/>
            <w:gridSpan w:val="2"/>
            <w:vAlign w:val="top"/>
          </w:tcPr>
          <w:p w14:paraId="188355B5">
            <w:pPr>
              <w:pStyle w:val="11"/>
              <w:spacing w:before="30" w:line="359" w:lineRule="auto"/>
              <w:ind w:left="110" w:right="107" w:firstLine="420"/>
              <w:jc w:val="both"/>
            </w:pPr>
            <w:r>
              <w:rPr>
                <w:spacing w:val="5"/>
              </w:rPr>
              <w:t>评标委员会在评标过程中，如要求投标人澄清或说明的，评标委员会</w:t>
            </w:r>
            <w:r>
              <w:rPr>
                <w:spacing w:val="2"/>
              </w:rPr>
              <w:t xml:space="preserve"> </w:t>
            </w:r>
            <w:r>
              <w:rPr>
                <w:spacing w:val="5"/>
              </w:rPr>
              <w:t>要求投标人在线澄清或说明的时间距投标人收到</w:t>
            </w:r>
            <w:r>
              <w:rPr>
                <w:spacing w:val="4"/>
              </w:rPr>
              <w:t>评标委员会通知的时间不</w:t>
            </w:r>
          </w:p>
          <w:p w14:paraId="1F6B8AA7">
            <w:pPr>
              <w:pStyle w:val="11"/>
              <w:spacing w:line="220" w:lineRule="auto"/>
              <w:ind w:left="110"/>
            </w:pPr>
            <w:r>
              <w:rPr>
                <w:spacing w:val="-4"/>
              </w:rPr>
              <w:t>得少于</w:t>
            </w:r>
            <w:r>
              <w:rPr>
                <w:rFonts w:hint="eastAsia"/>
                <w:spacing w:val="-4"/>
                <w:u w:val="single" w:color="auto"/>
                <w:lang w:val="en-US" w:eastAsia="zh-CN"/>
              </w:rPr>
              <w:t>30</w:t>
            </w:r>
            <w:r>
              <w:rPr>
                <w:spacing w:val="-4"/>
              </w:rPr>
              <w:t>分钟。</w:t>
            </w:r>
          </w:p>
          <w:p w14:paraId="6D4540EB">
            <w:pPr>
              <w:pStyle w:val="11"/>
              <w:spacing w:before="157" w:line="361" w:lineRule="auto"/>
              <w:ind w:left="113" w:right="107" w:firstLine="418"/>
              <w:jc w:val="both"/>
            </w:pPr>
            <w:r>
              <w:rPr>
                <w:spacing w:val="5"/>
              </w:rPr>
              <w:t>评标委员会认为投标人的澄清或说明不够明确，应再次要求投标人对</w:t>
            </w:r>
            <w:r>
              <w:rPr>
                <w:spacing w:val="2"/>
              </w:rPr>
              <w:t xml:space="preserve"> </w:t>
            </w:r>
            <w:r>
              <w:rPr>
                <w:spacing w:val="4"/>
              </w:rPr>
              <w:t>不明确的内容进行澄清或说明，评标委员会要求投标人再次在线澄清或说</w:t>
            </w:r>
          </w:p>
          <w:p w14:paraId="7F2F8074">
            <w:pPr>
              <w:pStyle w:val="11"/>
              <w:spacing w:line="219" w:lineRule="auto"/>
              <w:ind w:left="129"/>
            </w:pPr>
            <w:r>
              <w:rPr>
                <w:spacing w:val="-2"/>
              </w:rPr>
              <w:t>明的时间距投标人收到评标委员会通知的时间不得少于</w:t>
            </w:r>
            <w:r>
              <w:rPr>
                <w:spacing w:val="-87"/>
              </w:rPr>
              <w:t xml:space="preserve"> </w:t>
            </w:r>
            <w:r>
              <w:rPr>
                <w:rFonts w:hint="eastAsia"/>
                <w:u w:val="single" w:color="auto"/>
                <w:lang w:val="en-US" w:eastAsia="zh-CN"/>
              </w:rPr>
              <w:t>30</w:t>
            </w:r>
            <w:r>
              <w:rPr>
                <w:spacing w:val="-92"/>
              </w:rPr>
              <w:t xml:space="preserve"> </w:t>
            </w:r>
            <w:r>
              <w:rPr>
                <w:spacing w:val="-2"/>
              </w:rPr>
              <w:t>分钟。</w:t>
            </w:r>
          </w:p>
          <w:p w14:paraId="6441EEC4">
            <w:pPr>
              <w:pStyle w:val="11"/>
              <w:spacing w:before="157" w:line="359" w:lineRule="auto"/>
              <w:ind w:left="113" w:right="107" w:firstLine="421"/>
              <w:jc w:val="both"/>
            </w:pPr>
            <w:r>
              <w:rPr>
                <w:spacing w:val="-1"/>
              </w:rPr>
              <w:t>投标人未在规定时间内作出澄清或说明的，或者评标委员会成员认为</w:t>
            </w:r>
            <w:r>
              <w:t xml:space="preserve"> </w:t>
            </w:r>
            <w:r>
              <w:rPr>
                <w:spacing w:val="11"/>
              </w:rPr>
              <w:t>该投标人的澄清或说明始终都不符合评标委员会要求的，作否决投标处</w:t>
            </w:r>
          </w:p>
          <w:p w14:paraId="4A91B364">
            <w:pPr>
              <w:pStyle w:val="11"/>
              <w:spacing w:before="1" w:line="230" w:lineRule="auto"/>
              <w:ind w:left="112"/>
            </w:pPr>
            <w:r>
              <w:rPr>
                <w:spacing w:val="-10"/>
              </w:rPr>
              <w:t>理。</w:t>
            </w:r>
          </w:p>
        </w:tc>
      </w:tr>
      <w:tr w14:paraId="70904C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6" w:hRule="atLeast"/>
        </w:trPr>
        <w:tc>
          <w:tcPr>
            <w:tcW w:w="1843" w:type="dxa"/>
            <w:vAlign w:val="top"/>
          </w:tcPr>
          <w:p w14:paraId="22AD54AE">
            <w:pPr>
              <w:pStyle w:val="11"/>
              <w:spacing w:before="175" w:line="221" w:lineRule="auto"/>
              <w:ind w:left="610"/>
            </w:pPr>
            <w:r>
              <w:rPr>
                <w:spacing w:val="-2"/>
                <w14:textOutline w14:w="3831" w14:cap="flat" w14:cmpd="sng">
                  <w14:solidFill>
                    <w14:srgbClr w14:val="000000"/>
                  </w14:solidFill>
                  <w14:prstDash w14:val="solid"/>
                  <w14:miter w14:val="0"/>
                </w14:textOutline>
              </w:rPr>
              <w:t>条款号</w:t>
            </w:r>
          </w:p>
        </w:tc>
        <w:tc>
          <w:tcPr>
            <w:tcW w:w="2044" w:type="dxa"/>
            <w:vAlign w:val="top"/>
          </w:tcPr>
          <w:p w14:paraId="4E862BC7">
            <w:pPr>
              <w:pStyle w:val="11"/>
              <w:spacing w:before="175" w:line="221" w:lineRule="auto"/>
              <w:ind w:left="601"/>
            </w:pPr>
            <w:r>
              <w:rPr>
                <w:spacing w:val="-1"/>
                <w14:textOutline w14:w="3831" w14:cap="flat" w14:cmpd="sng">
                  <w14:solidFill>
                    <w14:srgbClr w14:val="000000"/>
                  </w14:solidFill>
                  <w14:prstDash w14:val="solid"/>
                  <w14:miter w14:val="0"/>
                </w14:textOutline>
              </w:rPr>
              <w:t>条款内容</w:t>
            </w:r>
          </w:p>
        </w:tc>
        <w:tc>
          <w:tcPr>
            <w:tcW w:w="5053" w:type="dxa"/>
            <w:vAlign w:val="top"/>
          </w:tcPr>
          <w:p w14:paraId="7CDCB4D4">
            <w:pPr>
              <w:pStyle w:val="11"/>
              <w:spacing w:before="175" w:line="221" w:lineRule="auto"/>
              <w:ind w:left="2110"/>
            </w:pPr>
            <w:r>
              <w:rPr>
                <w:spacing w:val="-1"/>
                <w14:textOutline w14:w="3831" w14:cap="flat" w14:cmpd="sng">
                  <w14:solidFill>
                    <w14:srgbClr w14:val="000000"/>
                  </w14:solidFill>
                  <w14:prstDash w14:val="solid"/>
                  <w14:miter w14:val="0"/>
                </w14:textOutline>
              </w:rPr>
              <w:t>编列内容</w:t>
            </w:r>
          </w:p>
        </w:tc>
      </w:tr>
      <w:tr w14:paraId="1A9A15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84" w:hRule="atLeast"/>
        </w:trPr>
        <w:tc>
          <w:tcPr>
            <w:tcW w:w="1843" w:type="dxa"/>
            <w:vAlign w:val="top"/>
          </w:tcPr>
          <w:p w14:paraId="3ACC2DD8">
            <w:pPr>
              <w:spacing w:line="254" w:lineRule="auto"/>
              <w:rPr>
                <w:rFonts w:ascii="Arial"/>
                <w:sz w:val="21"/>
              </w:rPr>
            </w:pPr>
          </w:p>
          <w:p w14:paraId="58C3647E">
            <w:pPr>
              <w:spacing w:line="254" w:lineRule="auto"/>
              <w:rPr>
                <w:rFonts w:ascii="Arial"/>
                <w:sz w:val="21"/>
              </w:rPr>
            </w:pPr>
          </w:p>
          <w:p w14:paraId="06F306D6">
            <w:pPr>
              <w:spacing w:line="254" w:lineRule="auto"/>
              <w:rPr>
                <w:rFonts w:ascii="Arial"/>
                <w:sz w:val="21"/>
              </w:rPr>
            </w:pPr>
          </w:p>
          <w:p w14:paraId="4FE7DC96">
            <w:pPr>
              <w:spacing w:before="60" w:line="189" w:lineRule="auto"/>
              <w:ind w:left="710"/>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2.2.1</w:t>
            </w:r>
          </w:p>
        </w:tc>
        <w:tc>
          <w:tcPr>
            <w:tcW w:w="2044" w:type="dxa"/>
            <w:vAlign w:val="top"/>
          </w:tcPr>
          <w:p w14:paraId="0EA561FC">
            <w:pPr>
              <w:spacing w:line="253" w:lineRule="auto"/>
              <w:rPr>
                <w:rFonts w:ascii="Arial"/>
                <w:sz w:val="21"/>
              </w:rPr>
            </w:pPr>
          </w:p>
          <w:p w14:paraId="1207BF54">
            <w:pPr>
              <w:spacing w:line="254" w:lineRule="auto"/>
              <w:rPr>
                <w:rFonts w:ascii="Arial"/>
                <w:sz w:val="21"/>
              </w:rPr>
            </w:pPr>
          </w:p>
          <w:p w14:paraId="55879126">
            <w:pPr>
              <w:pStyle w:val="11"/>
              <w:spacing w:before="68" w:line="221" w:lineRule="auto"/>
              <w:ind w:left="606"/>
            </w:pPr>
            <w:r>
              <w:rPr>
                <w:spacing w:val="-2"/>
              </w:rPr>
              <w:t>分值构成</w:t>
            </w:r>
          </w:p>
          <w:p w14:paraId="19F0C0F0">
            <w:pPr>
              <w:pStyle w:val="11"/>
              <w:spacing w:before="167" w:line="221" w:lineRule="auto"/>
              <w:ind w:left="293"/>
            </w:pPr>
            <w:r>
              <w:rPr>
                <w:spacing w:val="-7"/>
              </w:rPr>
              <w:t>（总分</w:t>
            </w:r>
            <w:r>
              <w:rPr>
                <w:spacing w:val="-18"/>
              </w:rPr>
              <w:t xml:space="preserve"> </w:t>
            </w:r>
            <w:r>
              <w:rPr>
                <w:spacing w:val="-7"/>
              </w:rPr>
              <w:t>100</w:t>
            </w:r>
            <w:r>
              <w:rPr>
                <w:spacing w:val="-46"/>
              </w:rPr>
              <w:t xml:space="preserve"> </w:t>
            </w:r>
            <w:r>
              <w:rPr>
                <w:spacing w:val="-7"/>
              </w:rPr>
              <w:t>分）</w:t>
            </w:r>
          </w:p>
        </w:tc>
        <w:tc>
          <w:tcPr>
            <w:tcW w:w="5053" w:type="dxa"/>
            <w:vAlign w:val="top"/>
          </w:tcPr>
          <w:p w14:paraId="3AC12838">
            <w:pPr>
              <w:pStyle w:val="11"/>
              <w:spacing w:before="157" w:line="221" w:lineRule="auto"/>
              <w:ind w:left="117"/>
            </w:pPr>
            <w:r>
              <w:rPr>
                <w:spacing w:val="-25"/>
              </w:rPr>
              <w:t>经济标：</w:t>
            </w:r>
            <w:r>
              <w:rPr>
                <w:spacing w:val="10"/>
              </w:rPr>
              <w:t xml:space="preserve"> </w:t>
            </w:r>
            <w:r>
              <w:rPr>
                <w:rFonts w:hint="eastAsia"/>
                <w:spacing w:val="11"/>
                <w:u w:val="single" w:color="auto"/>
                <w:lang w:val="en-US" w:eastAsia="zh-CN"/>
              </w:rPr>
              <w:t>50</w:t>
            </w:r>
            <w:r>
              <w:rPr>
                <w:spacing w:val="11"/>
                <w:u w:val="single" w:color="auto"/>
              </w:rPr>
              <w:t xml:space="preserve"> </w:t>
            </w:r>
            <w:r>
              <w:rPr>
                <w:spacing w:val="-92"/>
              </w:rPr>
              <w:t xml:space="preserve"> </w:t>
            </w:r>
            <w:r>
              <w:rPr>
                <w:spacing w:val="-25"/>
              </w:rPr>
              <w:t>分；</w:t>
            </w:r>
          </w:p>
          <w:p w14:paraId="1A67DEFE">
            <w:pPr>
              <w:pStyle w:val="11"/>
              <w:spacing w:before="170" w:line="221" w:lineRule="auto"/>
              <w:ind w:left="117"/>
            </w:pPr>
            <w:r>
              <w:rPr>
                <w:spacing w:val="-25"/>
              </w:rPr>
              <w:t>技术标：</w:t>
            </w:r>
            <w:r>
              <w:rPr>
                <w:spacing w:val="10"/>
              </w:rPr>
              <w:t xml:space="preserve"> </w:t>
            </w:r>
            <w:r>
              <w:rPr>
                <w:rFonts w:hint="eastAsia"/>
                <w:spacing w:val="11"/>
                <w:u w:val="single" w:color="auto"/>
                <w:lang w:val="en-US" w:eastAsia="zh-CN"/>
              </w:rPr>
              <w:t>40</w:t>
            </w:r>
            <w:r>
              <w:rPr>
                <w:spacing w:val="11"/>
                <w:u w:val="single" w:color="auto"/>
              </w:rPr>
              <w:t xml:space="preserve"> </w:t>
            </w:r>
            <w:r>
              <w:rPr>
                <w:spacing w:val="-91"/>
              </w:rPr>
              <w:t xml:space="preserve"> </w:t>
            </w:r>
            <w:r>
              <w:rPr>
                <w:spacing w:val="-25"/>
              </w:rPr>
              <w:t>分；</w:t>
            </w:r>
          </w:p>
          <w:p w14:paraId="58C541FF">
            <w:pPr>
              <w:pStyle w:val="11"/>
              <w:spacing w:before="166" w:line="221" w:lineRule="auto"/>
              <w:ind w:left="125"/>
            </w:pPr>
            <w:r>
              <w:rPr>
                <w:spacing w:val="-20"/>
              </w:rPr>
              <w:t>资信标：</w:t>
            </w:r>
            <w:r>
              <w:rPr>
                <w:spacing w:val="-27"/>
              </w:rPr>
              <w:t xml:space="preserve"> </w:t>
            </w:r>
            <w:r>
              <w:rPr>
                <w:rFonts w:hint="eastAsia"/>
                <w:spacing w:val="11"/>
                <w:u w:val="single" w:color="auto"/>
                <w:lang w:val="en-US" w:eastAsia="zh-CN"/>
              </w:rPr>
              <w:t>10</w:t>
            </w:r>
            <w:r>
              <w:rPr>
                <w:spacing w:val="11"/>
                <w:u w:val="single" w:color="auto"/>
              </w:rPr>
              <w:t xml:space="preserve">  </w:t>
            </w:r>
            <w:r>
              <w:rPr>
                <w:spacing w:val="-92"/>
              </w:rPr>
              <w:t xml:space="preserve"> </w:t>
            </w:r>
            <w:r>
              <w:rPr>
                <w:spacing w:val="-20"/>
              </w:rPr>
              <w:t>分；</w:t>
            </w:r>
          </w:p>
          <w:p w14:paraId="0FB7378F">
            <w:pPr>
              <w:pStyle w:val="11"/>
              <w:spacing w:before="171" w:line="221" w:lineRule="auto"/>
              <w:ind w:left="117"/>
            </w:pPr>
            <w:r>
              <w:rPr>
                <w:spacing w:val="-12"/>
              </w:rPr>
              <w:t>其他评分因素：</w:t>
            </w:r>
            <w:r>
              <w:rPr>
                <w:rFonts w:hint="eastAsia"/>
                <w:spacing w:val="-12"/>
                <w:lang w:val="en-US" w:eastAsia="zh-CN"/>
              </w:rPr>
              <w:t>0</w:t>
            </w:r>
            <w:r>
              <w:rPr>
                <w:spacing w:val="34"/>
                <w:u w:val="single" w:color="auto"/>
              </w:rPr>
              <w:t xml:space="preserve"> </w:t>
            </w:r>
            <w:r>
              <w:rPr>
                <w:spacing w:val="-94"/>
              </w:rPr>
              <w:t xml:space="preserve"> </w:t>
            </w:r>
            <w:r>
              <w:rPr>
                <w:spacing w:val="-12"/>
              </w:rPr>
              <w:t>分。</w:t>
            </w:r>
          </w:p>
        </w:tc>
      </w:tr>
      <w:tr w14:paraId="78A020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4" w:hRule="atLeast"/>
        </w:trPr>
        <w:tc>
          <w:tcPr>
            <w:tcW w:w="1843" w:type="dxa"/>
            <w:vAlign w:val="top"/>
          </w:tcPr>
          <w:p w14:paraId="566755B9">
            <w:pPr>
              <w:spacing w:before="194" w:line="386" w:lineRule="exact"/>
              <w:ind w:left="710"/>
              <w:rPr>
                <w:rFonts w:ascii="Times New Roman" w:hAnsi="Times New Roman" w:eastAsia="Times New Roman" w:cs="Times New Roman"/>
                <w:sz w:val="21"/>
                <w:szCs w:val="21"/>
              </w:rPr>
            </w:pPr>
            <w:r>
              <w:rPr>
                <w:rFonts w:ascii="Times New Roman" w:hAnsi="Times New Roman" w:eastAsia="Times New Roman" w:cs="Times New Roman"/>
                <w:spacing w:val="-1"/>
                <w:position w:val="17"/>
                <w:sz w:val="21"/>
                <w:szCs w:val="21"/>
              </w:rPr>
              <w:t>2.2.2</w:t>
            </w:r>
          </w:p>
          <w:p w14:paraId="6B3FCEC5">
            <w:pPr>
              <w:pStyle w:val="11"/>
              <w:spacing w:before="1" w:line="222" w:lineRule="auto"/>
              <w:ind w:left="667"/>
            </w:pPr>
            <w:r>
              <w:rPr>
                <w:spacing w:val="-5"/>
              </w:rPr>
              <w:t>（</w:t>
            </w:r>
            <w:r>
              <w:rPr>
                <w:rFonts w:ascii="Times New Roman" w:hAnsi="Times New Roman" w:eastAsia="Times New Roman" w:cs="Times New Roman"/>
                <w:spacing w:val="-5"/>
              </w:rPr>
              <w:t>1</w:t>
            </w:r>
            <w:r>
              <w:rPr>
                <w:spacing w:val="-5"/>
              </w:rPr>
              <w:t>）</w:t>
            </w:r>
          </w:p>
        </w:tc>
        <w:tc>
          <w:tcPr>
            <w:tcW w:w="2044" w:type="dxa"/>
            <w:vAlign w:val="top"/>
          </w:tcPr>
          <w:p w14:paraId="26C344EF">
            <w:pPr>
              <w:spacing w:line="299" w:lineRule="auto"/>
              <w:rPr>
                <w:rFonts w:ascii="Arial"/>
                <w:sz w:val="21"/>
              </w:rPr>
            </w:pPr>
          </w:p>
          <w:p w14:paraId="0960FD8D">
            <w:pPr>
              <w:pStyle w:val="11"/>
              <w:spacing w:before="68" w:line="219" w:lineRule="auto"/>
              <w:ind w:left="286"/>
            </w:pPr>
            <w:r>
              <w:rPr>
                <w:spacing w:val="-1"/>
              </w:rPr>
              <w:t>评标价确定方法</w:t>
            </w:r>
          </w:p>
        </w:tc>
        <w:tc>
          <w:tcPr>
            <w:tcW w:w="5053" w:type="dxa"/>
            <w:vAlign w:val="top"/>
          </w:tcPr>
          <w:p w14:paraId="40EEF298">
            <w:pPr>
              <w:pStyle w:val="11"/>
              <w:spacing w:before="157" w:line="423" w:lineRule="exact"/>
              <w:ind w:left="115"/>
            </w:pPr>
            <w:r>
              <w:rPr>
                <w:spacing w:val="4"/>
                <w:position w:val="16"/>
              </w:rPr>
              <w:t>评标价＝投标函大写投标报价（或经投标人书面确</w:t>
            </w:r>
          </w:p>
          <w:p w14:paraId="750600E8">
            <w:pPr>
              <w:pStyle w:val="11"/>
              <w:spacing w:line="219" w:lineRule="auto"/>
              <w:ind w:left="116"/>
            </w:pPr>
            <w:r>
              <w:rPr>
                <w:spacing w:val="-8"/>
              </w:rPr>
              <w:t>认的算术错误修正后的投标总报价）。</w:t>
            </w:r>
          </w:p>
        </w:tc>
      </w:tr>
      <w:tr w14:paraId="112684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32" w:hRule="atLeast"/>
        </w:trPr>
        <w:tc>
          <w:tcPr>
            <w:tcW w:w="1843" w:type="dxa"/>
            <w:vAlign w:val="top"/>
          </w:tcPr>
          <w:p w14:paraId="1C8513A2">
            <w:pPr>
              <w:spacing w:line="251" w:lineRule="auto"/>
              <w:rPr>
                <w:rFonts w:ascii="Arial"/>
                <w:sz w:val="21"/>
              </w:rPr>
            </w:pPr>
          </w:p>
          <w:p w14:paraId="79DE9104">
            <w:pPr>
              <w:spacing w:line="251" w:lineRule="auto"/>
              <w:rPr>
                <w:rFonts w:ascii="Arial"/>
                <w:sz w:val="21"/>
              </w:rPr>
            </w:pPr>
          </w:p>
          <w:p w14:paraId="6DF8DB9A">
            <w:pPr>
              <w:spacing w:line="252" w:lineRule="auto"/>
              <w:rPr>
                <w:rFonts w:ascii="Arial"/>
                <w:sz w:val="21"/>
              </w:rPr>
            </w:pPr>
          </w:p>
          <w:p w14:paraId="446F003C">
            <w:pPr>
              <w:spacing w:line="252" w:lineRule="auto"/>
              <w:rPr>
                <w:rFonts w:ascii="Arial"/>
                <w:sz w:val="21"/>
              </w:rPr>
            </w:pPr>
          </w:p>
          <w:p w14:paraId="426B2A7C">
            <w:pPr>
              <w:spacing w:line="252" w:lineRule="auto"/>
              <w:rPr>
                <w:rFonts w:ascii="Arial"/>
                <w:sz w:val="21"/>
              </w:rPr>
            </w:pPr>
          </w:p>
          <w:p w14:paraId="3172A9ED">
            <w:pPr>
              <w:spacing w:line="252" w:lineRule="auto"/>
              <w:rPr>
                <w:rFonts w:ascii="Arial"/>
                <w:sz w:val="21"/>
              </w:rPr>
            </w:pPr>
          </w:p>
          <w:p w14:paraId="0D425AFA">
            <w:pPr>
              <w:spacing w:line="252" w:lineRule="auto"/>
              <w:rPr>
                <w:rFonts w:ascii="Arial"/>
                <w:sz w:val="21"/>
              </w:rPr>
            </w:pPr>
          </w:p>
          <w:p w14:paraId="32F09E95">
            <w:pPr>
              <w:spacing w:line="252" w:lineRule="auto"/>
              <w:rPr>
                <w:rFonts w:ascii="Arial"/>
                <w:sz w:val="21"/>
              </w:rPr>
            </w:pPr>
          </w:p>
          <w:p w14:paraId="52DD4F64">
            <w:pPr>
              <w:spacing w:before="60" w:line="386" w:lineRule="exact"/>
              <w:ind w:left="710"/>
              <w:rPr>
                <w:rFonts w:ascii="Times New Roman" w:hAnsi="Times New Roman" w:eastAsia="Times New Roman" w:cs="Times New Roman"/>
                <w:sz w:val="21"/>
                <w:szCs w:val="21"/>
              </w:rPr>
            </w:pPr>
            <w:r>
              <w:rPr>
                <w:rFonts w:ascii="Times New Roman" w:hAnsi="Times New Roman" w:eastAsia="Times New Roman" w:cs="Times New Roman"/>
                <w:spacing w:val="-1"/>
                <w:position w:val="17"/>
                <w:sz w:val="21"/>
                <w:szCs w:val="21"/>
              </w:rPr>
              <w:t>2.2.2</w:t>
            </w:r>
          </w:p>
          <w:p w14:paraId="40E906AF">
            <w:pPr>
              <w:pStyle w:val="11"/>
              <w:spacing w:line="232" w:lineRule="auto"/>
              <w:ind w:left="667"/>
            </w:pPr>
            <w:r>
              <w:rPr>
                <w:spacing w:val="-5"/>
              </w:rPr>
              <w:t>（</w:t>
            </w:r>
            <w:r>
              <w:rPr>
                <w:rFonts w:ascii="Times New Roman" w:hAnsi="Times New Roman" w:eastAsia="Times New Roman" w:cs="Times New Roman"/>
                <w:spacing w:val="-5"/>
              </w:rPr>
              <w:t>2</w:t>
            </w:r>
            <w:r>
              <w:rPr>
                <w:spacing w:val="-5"/>
              </w:rPr>
              <w:t>）</w:t>
            </w:r>
          </w:p>
        </w:tc>
        <w:tc>
          <w:tcPr>
            <w:tcW w:w="2044" w:type="dxa"/>
            <w:vAlign w:val="top"/>
          </w:tcPr>
          <w:p w14:paraId="2E5F68E5">
            <w:pPr>
              <w:spacing w:line="246" w:lineRule="auto"/>
              <w:rPr>
                <w:rFonts w:ascii="Arial"/>
                <w:sz w:val="21"/>
              </w:rPr>
            </w:pPr>
          </w:p>
          <w:p w14:paraId="3DC496C6">
            <w:pPr>
              <w:spacing w:line="246" w:lineRule="auto"/>
              <w:rPr>
                <w:rFonts w:ascii="Arial"/>
                <w:sz w:val="21"/>
              </w:rPr>
            </w:pPr>
          </w:p>
          <w:p w14:paraId="578AAA83">
            <w:pPr>
              <w:spacing w:line="246" w:lineRule="auto"/>
              <w:rPr>
                <w:rFonts w:ascii="Arial"/>
                <w:sz w:val="21"/>
              </w:rPr>
            </w:pPr>
          </w:p>
          <w:p w14:paraId="0DB1F90C">
            <w:pPr>
              <w:spacing w:line="246" w:lineRule="auto"/>
              <w:rPr>
                <w:rFonts w:ascii="Arial"/>
                <w:sz w:val="21"/>
              </w:rPr>
            </w:pPr>
          </w:p>
          <w:p w14:paraId="3B284CE9">
            <w:pPr>
              <w:spacing w:line="246" w:lineRule="auto"/>
              <w:rPr>
                <w:rFonts w:ascii="Arial"/>
                <w:sz w:val="21"/>
              </w:rPr>
            </w:pPr>
          </w:p>
          <w:p w14:paraId="34222268">
            <w:pPr>
              <w:spacing w:line="246" w:lineRule="auto"/>
              <w:rPr>
                <w:rFonts w:ascii="Arial"/>
                <w:sz w:val="21"/>
              </w:rPr>
            </w:pPr>
          </w:p>
          <w:p w14:paraId="56F59B6E">
            <w:pPr>
              <w:spacing w:line="246" w:lineRule="auto"/>
              <w:rPr>
                <w:rFonts w:ascii="Arial"/>
                <w:sz w:val="21"/>
              </w:rPr>
            </w:pPr>
          </w:p>
          <w:p w14:paraId="14CB7F81">
            <w:pPr>
              <w:spacing w:line="247" w:lineRule="auto"/>
              <w:rPr>
                <w:rFonts w:ascii="Arial"/>
                <w:sz w:val="21"/>
              </w:rPr>
            </w:pPr>
          </w:p>
          <w:p w14:paraId="2363BEAA">
            <w:pPr>
              <w:pStyle w:val="11"/>
              <w:spacing w:before="69" w:line="423" w:lineRule="exact"/>
              <w:ind w:left="286"/>
            </w:pPr>
            <w:r>
              <w:rPr>
                <w:spacing w:val="-1"/>
                <w:position w:val="16"/>
              </w:rPr>
              <w:t>评标基准价计算</w:t>
            </w:r>
          </w:p>
          <w:p w14:paraId="3320984D">
            <w:pPr>
              <w:pStyle w:val="11"/>
              <w:spacing w:line="222" w:lineRule="auto"/>
              <w:ind w:left="816"/>
            </w:pPr>
            <w:r>
              <w:rPr>
                <w:spacing w:val="-2"/>
              </w:rPr>
              <w:t>方法</w:t>
            </w:r>
          </w:p>
        </w:tc>
        <w:tc>
          <w:tcPr>
            <w:tcW w:w="5053" w:type="dxa"/>
            <w:vAlign w:val="top"/>
          </w:tcPr>
          <w:p w14:paraId="21019149">
            <w:pPr>
              <w:pStyle w:val="11"/>
              <w:spacing w:before="163" w:line="219" w:lineRule="auto"/>
              <w:ind w:left="116"/>
            </w:pPr>
            <w:r>
              <w:rPr>
                <w:spacing w:val="-5"/>
              </w:rPr>
              <w:t>基准价计算方法：</w:t>
            </w:r>
          </w:p>
          <w:p w14:paraId="1CBCA908">
            <w:pPr>
              <w:pStyle w:val="11"/>
              <w:spacing w:before="168" w:line="219" w:lineRule="auto"/>
              <w:ind w:left="122"/>
            </w:pPr>
            <w:r>
              <w:rPr>
                <w:spacing w:val="-1"/>
              </w:rPr>
              <w:t>（1）最高投标限价是否参与基准价计算：</w:t>
            </w:r>
          </w:p>
          <w:p w14:paraId="043958EA">
            <w:pPr>
              <w:pStyle w:val="11"/>
              <w:spacing w:before="174" w:line="221" w:lineRule="auto"/>
              <w:ind w:left="661"/>
            </w:pPr>
            <w:r>
              <w:rPr>
                <w:spacing w:val="-11"/>
              </w:rPr>
              <w:t>□是</w:t>
            </w:r>
            <w:r>
              <w:rPr>
                <w:spacing w:val="16"/>
              </w:rPr>
              <w:t xml:space="preserve">  </w:t>
            </w:r>
            <w:r>
              <w:rPr>
                <w:spacing w:val="-11"/>
              </w:rPr>
              <w:sym w:font="Wingdings 2" w:char="0052"/>
            </w:r>
            <w:r>
              <w:rPr>
                <w:spacing w:val="-11"/>
              </w:rPr>
              <w:t>否</w:t>
            </w:r>
          </w:p>
          <w:p w14:paraId="2786F34D">
            <w:pPr>
              <w:pStyle w:val="11"/>
              <w:spacing w:before="165" w:line="220" w:lineRule="auto"/>
              <w:ind w:left="122"/>
            </w:pPr>
            <w:r>
              <w:rPr>
                <w:spacing w:val="-1"/>
              </w:rPr>
              <w:t>（2）采用入围方式的：</w:t>
            </w:r>
          </w:p>
          <w:p w14:paraId="744942C4">
            <w:pPr>
              <w:pStyle w:val="11"/>
              <w:spacing w:before="172" w:line="417" w:lineRule="exact"/>
              <w:ind w:left="560"/>
            </w:pPr>
            <w:r>
              <w:rPr>
                <w:spacing w:val="-2"/>
                <w:position w:val="15"/>
              </w:rPr>
              <w:sym w:font="Wingdings 2" w:char="00A3"/>
            </w:r>
            <w:r>
              <w:rPr>
                <w:spacing w:val="-2"/>
                <w:position w:val="15"/>
              </w:rPr>
              <w:t>入围单位且投标报价不低于合理最低价的投标</w:t>
            </w:r>
          </w:p>
          <w:p w14:paraId="2BC59DF5">
            <w:pPr>
              <w:pStyle w:val="11"/>
              <w:spacing w:line="219" w:lineRule="auto"/>
              <w:ind w:left="114"/>
            </w:pPr>
            <w:r>
              <w:rPr>
                <w:spacing w:val="-2"/>
              </w:rPr>
              <w:t>报价参与基准价得分计算。</w:t>
            </w:r>
          </w:p>
          <w:p w14:paraId="1E235295">
            <w:pPr>
              <w:pStyle w:val="11"/>
              <w:spacing w:before="174" w:line="418" w:lineRule="exact"/>
              <w:ind w:left="560"/>
            </w:pPr>
            <w:r>
              <w:rPr>
                <w:spacing w:val="-2"/>
                <w:position w:val="15"/>
              </w:rPr>
              <w:sym w:font="Wingdings 2" w:char="0052"/>
            </w:r>
            <w:r>
              <w:rPr>
                <w:spacing w:val="-2"/>
                <w:position w:val="15"/>
              </w:rPr>
              <w:t>通过初步评审且投标报价不低于合理最低价的</w:t>
            </w:r>
          </w:p>
          <w:p w14:paraId="252123ED">
            <w:pPr>
              <w:pStyle w:val="11"/>
              <w:spacing w:line="219" w:lineRule="auto"/>
              <w:ind w:left="118"/>
            </w:pPr>
            <w:r>
              <w:rPr>
                <w:spacing w:val="-2"/>
              </w:rPr>
              <w:t>投标人投标报价参与基准价得分计算。</w:t>
            </w:r>
          </w:p>
          <w:p w14:paraId="686CC08C">
            <w:pPr>
              <w:pStyle w:val="11"/>
              <w:spacing w:before="173" w:line="219" w:lineRule="auto"/>
              <w:ind w:left="122"/>
            </w:pPr>
            <w:r>
              <w:rPr>
                <w:spacing w:val="-1"/>
              </w:rPr>
              <w:t>（3）基准价计算规则：</w:t>
            </w:r>
          </w:p>
          <w:p w14:paraId="29176211">
            <w:pPr>
              <w:pStyle w:val="11"/>
              <w:spacing w:before="168" w:line="423" w:lineRule="exact"/>
              <w:ind w:left="560"/>
            </w:pPr>
            <w:r>
              <w:rPr>
                <w:spacing w:val="3"/>
                <w:position w:val="16"/>
              </w:rPr>
              <w:sym w:font="Wingdings 2" w:char="0052"/>
            </w:r>
            <w:r>
              <w:rPr>
                <w:spacing w:val="3"/>
                <w:position w:val="16"/>
              </w:rPr>
              <w:t>通过初步评审（或入围单位）且投标报价不</w:t>
            </w:r>
          </w:p>
          <w:p w14:paraId="07599BBE">
            <w:pPr>
              <w:pStyle w:val="11"/>
              <w:spacing w:line="219" w:lineRule="auto"/>
              <w:ind w:left="115"/>
            </w:pPr>
            <w:r>
              <w:rPr>
                <w:spacing w:val="4"/>
              </w:rPr>
              <w:t>低于合理最低价的投标人投标报价的算术平均值下</w:t>
            </w:r>
          </w:p>
        </w:tc>
      </w:tr>
    </w:tbl>
    <w:p w14:paraId="4EE55710">
      <w:pPr>
        <w:pStyle w:val="3"/>
      </w:pPr>
    </w:p>
    <w:p w14:paraId="570F8B73">
      <w:pPr>
        <w:sectPr>
          <w:footerReference r:id="rId48" w:type="default"/>
          <w:pgSz w:w="11905" w:h="16839"/>
          <w:pgMar w:top="1431" w:right="1474" w:bottom="996" w:left="1483" w:header="0" w:footer="793" w:gutter="0"/>
          <w:pgNumType w:fmt="decimal"/>
          <w:cols w:space="720" w:num="1"/>
        </w:sectPr>
      </w:pPr>
    </w:p>
    <w:p w14:paraId="0E244DEF">
      <w:pPr>
        <w:spacing w:line="95" w:lineRule="auto"/>
        <w:rPr>
          <w:rFonts w:ascii="Arial"/>
          <w:sz w:val="2"/>
        </w:rPr>
      </w:pPr>
    </w:p>
    <w:tbl>
      <w:tblPr>
        <w:tblStyle w:val="10"/>
        <w:tblW w:w="894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843"/>
        <w:gridCol w:w="2044"/>
        <w:gridCol w:w="936"/>
        <w:gridCol w:w="4117"/>
      </w:tblGrid>
      <w:tr w14:paraId="0DFBC5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1843" w:type="dxa"/>
            <w:vAlign w:val="top"/>
          </w:tcPr>
          <w:p w14:paraId="55283158">
            <w:pPr>
              <w:rPr>
                <w:rFonts w:ascii="Arial"/>
                <w:sz w:val="21"/>
              </w:rPr>
            </w:pPr>
          </w:p>
        </w:tc>
        <w:tc>
          <w:tcPr>
            <w:tcW w:w="2044" w:type="dxa"/>
            <w:vAlign w:val="top"/>
          </w:tcPr>
          <w:p w14:paraId="20FC07DB">
            <w:pPr>
              <w:rPr>
                <w:rFonts w:ascii="Arial"/>
                <w:sz w:val="21"/>
              </w:rPr>
            </w:pPr>
          </w:p>
        </w:tc>
        <w:tc>
          <w:tcPr>
            <w:tcW w:w="5053" w:type="dxa"/>
            <w:gridSpan w:val="2"/>
            <w:vAlign w:val="top"/>
          </w:tcPr>
          <w:p w14:paraId="476ED953">
            <w:pPr>
              <w:pStyle w:val="11"/>
              <w:spacing w:before="163" w:line="222" w:lineRule="auto"/>
              <w:ind w:left="117"/>
            </w:pPr>
            <w:bookmarkStart w:id="115" w:name="bookmark132"/>
            <w:bookmarkEnd w:id="115"/>
            <w:bookmarkStart w:id="116" w:name="bookmark133"/>
            <w:bookmarkEnd w:id="116"/>
            <w:bookmarkStart w:id="117" w:name="bookmark130"/>
            <w:bookmarkEnd w:id="117"/>
            <w:bookmarkStart w:id="118" w:name="bookmark134"/>
            <w:bookmarkEnd w:id="118"/>
            <w:bookmarkStart w:id="119" w:name="bookmark129"/>
            <w:bookmarkEnd w:id="119"/>
            <w:bookmarkStart w:id="120" w:name="bookmark131"/>
            <w:bookmarkEnd w:id="120"/>
            <w:bookmarkStart w:id="121" w:name="bookmark135"/>
            <w:bookmarkEnd w:id="121"/>
            <w:r>
              <w:rPr>
                <w:spacing w:val="-4"/>
              </w:rPr>
              <w:t>浮</w:t>
            </w:r>
            <w:r>
              <w:rPr>
                <w:spacing w:val="-105"/>
              </w:rPr>
              <w:t xml:space="preserve"> </w:t>
            </w:r>
            <w:r>
              <w:rPr>
                <w:u w:val="single" w:color="auto"/>
              </w:rPr>
              <w:t xml:space="preserve"> </w:t>
            </w:r>
            <w:r>
              <w:rPr>
                <w:rFonts w:hint="eastAsia"/>
                <w:u w:val="single" w:color="auto"/>
                <w:lang w:val="en-US" w:eastAsia="zh-CN"/>
              </w:rPr>
              <w:t>0</w:t>
            </w:r>
            <w:r>
              <w:rPr>
                <w:u w:val="single" w:color="auto"/>
              </w:rPr>
              <w:t xml:space="preserve"> </w:t>
            </w:r>
            <w:r>
              <w:rPr>
                <w:spacing w:val="-99"/>
              </w:rPr>
              <w:t xml:space="preserve"> </w:t>
            </w:r>
            <w:r>
              <w:rPr>
                <w:spacing w:val="-4"/>
              </w:rPr>
              <w:t>%。</w:t>
            </w:r>
          </w:p>
          <w:p w14:paraId="4D257BAA">
            <w:pPr>
              <w:pStyle w:val="11"/>
              <w:spacing w:line="220" w:lineRule="auto"/>
              <w:ind w:left="118"/>
            </w:pPr>
          </w:p>
        </w:tc>
      </w:tr>
      <w:tr w14:paraId="04ACE9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38" w:hRule="atLeast"/>
        </w:trPr>
        <w:tc>
          <w:tcPr>
            <w:tcW w:w="1843" w:type="dxa"/>
            <w:vAlign w:val="top"/>
          </w:tcPr>
          <w:p w14:paraId="43322CE0">
            <w:pPr>
              <w:spacing w:line="265" w:lineRule="auto"/>
              <w:rPr>
                <w:rFonts w:ascii="Arial"/>
                <w:sz w:val="21"/>
              </w:rPr>
            </w:pPr>
          </w:p>
          <w:p w14:paraId="766C35B2">
            <w:pPr>
              <w:spacing w:line="266" w:lineRule="auto"/>
              <w:rPr>
                <w:rFonts w:ascii="Arial"/>
                <w:sz w:val="21"/>
              </w:rPr>
            </w:pPr>
          </w:p>
          <w:p w14:paraId="513EBD71">
            <w:pPr>
              <w:spacing w:before="61" w:line="189" w:lineRule="auto"/>
              <w:ind w:left="710"/>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2.2.3</w:t>
            </w:r>
          </w:p>
        </w:tc>
        <w:tc>
          <w:tcPr>
            <w:tcW w:w="2044" w:type="dxa"/>
            <w:vAlign w:val="top"/>
          </w:tcPr>
          <w:p w14:paraId="2BBECC70">
            <w:pPr>
              <w:spacing w:line="277" w:lineRule="auto"/>
              <w:rPr>
                <w:rFonts w:ascii="Arial"/>
                <w:sz w:val="21"/>
              </w:rPr>
            </w:pPr>
          </w:p>
          <w:p w14:paraId="1AC74AC7">
            <w:pPr>
              <w:pStyle w:val="11"/>
              <w:spacing w:before="69" w:line="417" w:lineRule="exact"/>
              <w:ind w:left="112"/>
            </w:pPr>
            <w:r>
              <w:rPr>
                <w:spacing w:val="-1"/>
                <w:position w:val="15"/>
              </w:rPr>
              <w:t>投标报价的偏差率</w:t>
            </w:r>
          </w:p>
          <w:p w14:paraId="3A9CE00A">
            <w:pPr>
              <w:pStyle w:val="11"/>
              <w:spacing w:line="220" w:lineRule="auto"/>
              <w:ind w:left="604"/>
            </w:pPr>
            <w:r>
              <w:rPr>
                <w:spacing w:val="-1"/>
              </w:rPr>
              <w:t>计算公式</w:t>
            </w:r>
          </w:p>
        </w:tc>
        <w:tc>
          <w:tcPr>
            <w:tcW w:w="5053" w:type="dxa"/>
            <w:gridSpan w:val="2"/>
            <w:vAlign w:val="top"/>
          </w:tcPr>
          <w:p w14:paraId="10297D7A">
            <w:pPr>
              <w:pStyle w:val="11"/>
              <w:spacing w:before="167" w:line="221" w:lineRule="auto"/>
              <w:ind w:left="119"/>
              <w:rPr>
                <w:rFonts w:hint="eastAsia" w:eastAsia="宋体"/>
                <w:lang w:eastAsia="zh-CN"/>
              </w:rPr>
            </w:pPr>
            <w:r>
              <w:rPr>
                <w:rStyle w:val="8"/>
                <w:rFonts w:ascii="宋体" w:hAnsi="宋体" w:eastAsia="宋体" w:cs="宋体"/>
                <w:b w:val="0"/>
                <w:sz w:val="21"/>
                <w:szCs w:val="24"/>
              </w:rPr>
              <w:t>以入围投标人的最低投标价格做为基准值。投标报价等于基准价的得50分，投标报价与基准价相比的差额率，每高1%扣0.1分，最多扣50分</w:t>
            </w:r>
            <w:r>
              <w:rPr>
                <w:rStyle w:val="8"/>
                <w:rFonts w:hint="eastAsia" w:cs="宋体"/>
                <w:b w:val="0"/>
                <w:sz w:val="21"/>
                <w:szCs w:val="24"/>
                <w:lang w:eastAsia="zh-CN"/>
              </w:rPr>
              <w:t>。</w:t>
            </w:r>
          </w:p>
        </w:tc>
      </w:tr>
      <w:tr w14:paraId="1F7F47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6" w:hRule="atLeast"/>
        </w:trPr>
        <w:tc>
          <w:tcPr>
            <w:tcW w:w="1843" w:type="dxa"/>
            <w:vAlign w:val="top"/>
          </w:tcPr>
          <w:p w14:paraId="3161F06D">
            <w:pPr>
              <w:pStyle w:val="11"/>
              <w:spacing w:before="179" w:line="221" w:lineRule="auto"/>
              <w:ind w:left="610"/>
            </w:pPr>
            <w:r>
              <w:rPr>
                <w:spacing w:val="-2"/>
                <w14:textOutline w14:w="3831" w14:cap="flat" w14:cmpd="sng">
                  <w14:solidFill>
                    <w14:srgbClr w14:val="000000"/>
                  </w14:solidFill>
                  <w14:prstDash w14:val="solid"/>
                  <w14:miter w14:val="0"/>
                </w14:textOutline>
              </w:rPr>
              <w:t>条款号</w:t>
            </w:r>
          </w:p>
        </w:tc>
        <w:tc>
          <w:tcPr>
            <w:tcW w:w="2044" w:type="dxa"/>
            <w:vAlign w:val="top"/>
          </w:tcPr>
          <w:p w14:paraId="7E7FA711">
            <w:pPr>
              <w:pStyle w:val="11"/>
              <w:spacing w:before="179" w:line="221" w:lineRule="auto"/>
              <w:ind w:left="598"/>
            </w:pPr>
            <w:r>
              <w:rPr>
                <w:spacing w:val="-1"/>
                <w14:textOutline w14:w="3831" w14:cap="flat" w14:cmpd="sng">
                  <w14:solidFill>
                    <w14:srgbClr w14:val="000000"/>
                  </w14:solidFill>
                  <w14:prstDash w14:val="solid"/>
                  <w14:miter w14:val="0"/>
                </w14:textOutline>
              </w:rPr>
              <w:t>评分因素</w:t>
            </w:r>
          </w:p>
        </w:tc>
        <w:tc>
          <w:tcPr>
            <w:tcW w:w="936" w:type="dxa"/>
            <w:vAlign w:val="top"/>
          </w:tcPr>
          <w:p w14:paraId="69B1DF9F">
            <w:pPr>
              <w:pStyle w:val="11"/>
              <w:spacing w:before="180" w:line="221" w:lineRule="auto"/>
              <w:ind w:left="160"/>
            </w:pPr>
            <w:r>
              <w:rPr>
                <w:spacing w:val="-2"/>
                <w14:textOutline w14:w="3831" w14:cap="flat" w14:cmpd="sng">
                  <w14:solidFill>
                    <w14:srgbClr w14:val="000000"/>
                  </w14:solidFill>
                  <w14:prstDash w14:val="solid"/>
                  <w14:miter w14:val="0"/>
                </w14:textOutline>
              </w:rPr>
              <w:t>标准分</w:t>
            </w:r>
          </w:p>
        </w:tc>
        <w:tc>
          <w:tcPr>
            <w:tcW w:w="4117" w:type="dxa"/>
            <w:vAlign w:val="top"/>
          </w:tcPr>
          <w:p w14:paraId="0035A845">
            <w:pPr>
              <w:pStyle w:val="11"/>
              <w:spacing w:before="180" w:line="221" w:lineRule="auto"/>
              <w:ind w:left="1637"/>
            </w:pPr>
            <w:r>
              <w:rPr>
                <w:spacing w:val="-1"/>
                <w14:textOutline w14:w="3831" w14:cap="flat" w14:cmpd="sng">
                  <w14:solidFill>
                    <w14:srgbClr w14:val="000000"/>
                  </w14:solidFill>
                  <w14:prstDash w14:val="solid"/>
                  <w14:miter w14:val="0"/>
                </w14:textOutline>
              </w:rPr>
              <w:t>评分标准</w:t>
            </w:r>
          </w:p>
        </w:tc>
      </w:tr>
    </w:tbl>
    <w:p w14:paraId="2E412BCA">
      <w:pPr>
        <w:spacing w:line="95" w:lineRule="auto"/>
        <w:rPr>
          <w:rFonts w:ascii="Arial"/>
          <w:sz w:val="2"/>
        </w:rPr>
      </w:pPr>
    </w:p>
    <w:tbl>
      <w:tblPr>
        <w:tblStyle w:val="10"/>
        <w:tblW w:w="894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44"/>
        <w:gridCol w:w="1099"/>
        <w:gridCol w:w="2044"/>
        <w:gridCol w:w="936"/>
        <w:gridCol w:w="4117"/>
      </w:tblGrid>
      <w:tr w14:paraId="4927A2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02" w:hRule="exact"/>
        </w:trPr>
        <w:tc>
          <w:tcPr>
            <w:tcW w:w="744" w:type="dxa"/>
            <w:tcBorders>
              <w:bottom w:val="nil"/>
            </w:tcBorders>
            <w:vAlign w:val="top"/>
          </w:tcPr>
          <w:p w14:paraId="62FACF4D">
            <w:pPr>
              <w:spacing w:line="244" w:lineRule="auto"/>
              <w:rPr>
                <w:rFonts w:ascii="Arial"/>
                <w:sz w:val="21"/>
              </w:rPr>
            </w:pPr>
          </w:p>
          <w:p w14:paraId="1B91074D">
            <w:pPr>
              <w:spacing w:line="244" w:lineRule="auto"/>
              <w:rPr>
                <w:rFonts w:ascii="Arial"/>
                <w:sz w:val="21"/>
              </w:rPr>
            </w:pPr>
          </w:p>
          <w:p w14:paraId="1DDABA03">
            <w:pPr>
              <w:spacing w:line="244" w:lineRule="auto"/>
              <w:rPr>
                <w:rFonts w:ascii="Arial"/>
                <w:sz w:val="21"/>
              </w:rPr>
            </w:pPr>
          </w:p>
          <w:p w14:paraId="25AF0088">
            <w:pPr>
              <w:spacing w:line="244" w:lineRule="auto"/>
              <w:rPr>
                <w:rFonts w:ascii="Arial"/>
                <w:sz w:val="21"/>
              </w:rPr>
            </w:pPr>
          </w:p>
          <w:p w14:paraId="166C5565">
            <w:pPr>
              <w:spacing w:line="244" w:lineRule="auto"/>
              <w:rPr>
                <w:rFonts w:ascii="Arial"/>
                <w:sz w:val="21"/>
              </w:rPr>
            </w:pPr>
          </w:p>
          <w:p w14:paraId="42BA138C">
            <w:pPr>
              <w:spacing w:line="244" w:lineRule="auto"/>
              <w:rPr>
                <w:rFonts w:ascii="Arial"/>
                <w:sz w:val="21"/>
              </w:rPr>
            </w:pPr>
          </w:p>
          <w:p w14:paraId="3485A322">
            <w:pPr>
              <w:spacing w:line="244" w:lineRule="auto"/>
              <w:rPr>
                <w:rFonts w:ascii="Arial"/>
                <w:sz w:val="21"/>
              </w:rPr>
            </w:pPr>
          </w:p>
          <w:p w14:paraId="0F9B018A">
            <w:pPr>
              <w:spacing w:line="244" w:lineRule="auto"/>
              <w:rPr>
                <w:rFonts w:ascii="Arial"/>
                <w:sz w:val="21"/>
              </w:rPr>
            </w:pPr>
          </w:p>
          <w:p w14:paraId="5C11271E">
            <w:pPr>
              <w:spacing w:line="244" w:lineRule="auto"/>
              <w:rPr>
                <w:rFonts w:ascii="Arial"/>
                <w:sz w:val="21"/>
              </w:rPr>
            </w:pPr>
          </w:p>
          <w:p w14:paraId="4DB21876">
            <w:pPr>
              <w:spacing w:line="245" w:lineRule="auto"/>
              <w:rPr>
                <w:rFonts w:ascii="Arial"/>
                <w:sz w:val="21"/>
              </w:rPr>
            </w:pPr>
          </w:p>
          <w:p w14:paraId="5A50676C">
            <w:pPr>
              <w:spacing w:line="245" w:lineRule="auto"/>
              <w:rPr>
                <w:rFonts w:ascii="Arial"/>
                <w:sz w:val="21"/>
              </w:rPr>
            </w:pPr>
          </w:p>
          <w:p w14:paraId="403F35BE">
            <w:pPr>
              <w:spacing w:line="245" w:lineRule="auto"/>
              <w:rPr>
                <w:rFonts w:ascii="Arial"/>
                <w:sz w:val="21"/>
              </w:rPr>
            </w:pPr>
          </w:p>
          <w:p w14:paraId="4A7F40DA">
            <w:pPr>
              <w:spacing w:before="60" w:line="386" w:lineRule="exact"/>
              <w:ind w:left="162"/>
              <w:rPr>
                <w:rFonts w:ascii="Times New Roman" w:hAnsi="Times New Roman" w:eastAsia="Times New Roman" w:cs="Times New Roman"/>
                <w:sz w:val="21"/>
                <w:szCs w:val="21"/>
              </w:rPr>
            </w:pPr>
            <w:r>
              <w:rPr>
                <w:rFonts w:ascii="Times New Roman" w:hAnsi="Times New Roman" w:eastAsia="Times New Roman" w:cs="Times New Roman"/>
                <w:spacing w:val="-1"/>
                <w:position w:val="17"/>
                <w:sz w:val="21"/>
                <w:szCs w:val="21"/>
              </w:rPr>
              <w:t>2.2.4</w:t>
            </w:r>
          </w:p>
          <w:p w14:paraId="386771C3">
            <w:pPr>
              <w:pStyle w:val="11"/>
              <w:spacing w:line="232" w:lineRule="auto"/>
              <w:ind w:left="119"/>
            </w:pPr>
            <w:r>
              <w:rPr>
                <w:spacing w:val="-5"/>
              </w:rPr>
              <w:t>（</w:t>
            </w:r>
            <w:r>
              <w:rPr>
                <w:rFonts w:ascii="Times New Roman" w:hAnsi="Times New Roman" w:eastAsia="Times New Roman" w:cs="Times New Roman"/>
                <w:spacing w:val="-5"/>
              </w:rPr>
              <w:t>1</w:t>
            </w:r>
            <w:r>
              <w:rPr>
                <w:spacing w:val="-5"/>
              </w:rPr>
              <w:t>）</w:t>
            </w:r>
          </w:p>
        </w:tc>
        <w:tc>
          <w:tcPr>
            <w:tcW w:w="1099" w:type="dxa"/>
            <w:tcBorders>
              <w:bottom w:val="nil"/>
            </w:tcBorders>
            <w:vAlign w:val="center"/>
          </w:tcPr>
          <w:p w14:paraId="52B0947A">
            <w:pPr>
              <w:jc w:val="center"/>
              <w:rPr>
                <w:rFonts w:ascii="Arial"/>
                <w:sz w:val="21"/>
              </w:rPr>
            </w:pPr>
          </w:p>
          <w:p w14:paraId="6CE04BF9">
            <w:pPr>
              <w:jc w:val="center"/>
              <w:rPr>
                <w:rFonts w:ascii="Arial"/>
                <w:sz w:val="21"/>
              </w:rPr>
            </w:pPr>
          </w:p>
          <w:p w14:paraId="314EE0F8">
            <w:pPr>
              <w:jc w:val="center"/>
              <w:rPr>
                <w:rFonts w:ascii="Arial"/>
                <w:sz w:val="21"/>
              </w:rPr>
            </w:pPr>
          </w:p>
          <w:p w14:paraId="15998F87">
            <w:pPr>
              <w:jc w:val="center"/>
              <w:rPr>
                <w:rFonts w:ascii="Arial"/>
                <w:sz w:val="21"/>
              </w:rPr>
            </w:pPr>
          </w:p>
          <w:p w14:paraId="322CFB8F">
            <w:pPr>
              <w:jc w:val="center"/>
              <w:rPr>
                <w:rFonts w:ascii="Arial"/>
                <w:sz w:val="21"/>
              </w:rPr>
            </w:pPr>
          </w:p>
          <w:p w14:paraId="560B7D92">
            <w:pPr>
              <w:spacing w:line="241" w:lineRule="auto"/>
              <w:jc w:val="center"/>
              <w:rPr>
                <w:rFonts w:ascii="Arial"/>
                <w:sz w:val="21"/>
              </w:rPr>
            </w:pPr>
          </w:p>
          <w:p w14:paraId="28705654">
            <w:pPr>
              <w:spacing w:line="241" w:lineRule="auto"/>
              <w:jc w:val="center"/>
              <w:rPr>
                <w:rFonts w:ascii="Arial"/>
                <w:sz w:val="21"/>
              </w:rPr>
            </w:pPr>
          </w:p>
          <w:p w14:paraId="21AB3FAA">
            <w:pPr>
              <w:spacing w:line="241" w:lineRule="auto"/>
              <w:jc w:val="center"/>
              <w:rPr>
                <w:rFonts w:ascii="Arial"/>
                <w:sz w:val="21"/>
              </w:rPr>
            </w:pPr>
          </w:p>
          <w:p w14:paraId="7BAA18D5">
            <w:pPr>
              <w:spacing w:line="241" w:lineRule="auto"/>
              <w:jc w:val="center"/>
              <w:rPr>
                <w:rFonts w:ascii="Arial"/>
                <w:sz w:val="21"/>
              </w:rPr>
            </w:pPr>
          </w:p>
          <w:p w14:paraId="3A795EBC">
            <w:pPr>
              <w:spacing w:line="241" w:lineRule="auto"/>
              <w:jc w:val="center"/>
              <w:rPr>
                <w:rFonts w:ascii="Arial"/>
                <w:sz w:val="21"/>
              </w:rPr>
            </w:pPr>
          </w:p>
          <w:p w14:paraId="5C7DC100">
            <w:pPr>
              <w:spacing w:line="241" w:lineRule="auto"/>
              <w:jc w:val="center"/>
              <w:rPr>
                <w:rFonts w:ascii="Arial"/>
                <w:sz w:val="21"/>
              </w:rPr>
            </w:pPr>
          </w:p>
          <w:p w14:paraId="389907A3">
            <w:pPr>
              <w:spacing w:line="241" w:lineRule="auto"/>
              <w:jc w:val="center"/>
              <w:rPr>
                <w:rFonts w:ascii="Arial"/>
                <w:sz w:val="21"/>
              </w:rPr>
            </w:pPr>
          </w:p>
          <w:p w14:paraId="6F68E1C0">
            <w:pPr>
              <w:pStyle w:val="11"/>
              <w:spacing w:before="68" w:line="221" w:lineRule="auto"/>
              <w:ind w:left="135"/>
              <w:jc w:val="center"/>
            </w:pPr>
            <w:r>
              <w:rPr>
                <w:spacing w:val="-1"/>
              </w:rPr>
              <w:t>经济标评</w:t>
            </w:r>
          </w:p>
          <w:p w14:paraId="1A7F1A27">
            <w:pPr>
              <w:pStyle w:val="11"/>
              <w:spacing w:before="171" w:line="221" w:lineRule="auto"/>
              <w:ind w:left="241"/>
              <w:jc w:val="center"/>
            </w:pPr>
            <w:r>
              <w:rPr>
                <w:spacing w:val="-2"/>
              </w:rPr>
              <w:t>分标准</w:t>
            </w:r>
          </w:p>
        </w:tc>
        <w:tc>
          <w:tcPr>
            <w:tcW w:w="2044" w:type="dxa"/>
            <w:vAlign w:val="center"/>
          </w:tcPr>
          <w:p w14:paraId="1782BE8D">
            <w:pPr>
              <w:spacing w:line="283" w:lineRule="auto"/>
              <w:jc w:val="center"/>
              <w:rPr>
                <w:rFonts w:ascii="Arial"/>
                <w:sz w:val="21"/>
              </w:rPr>
            </w:pPr>
          </w:p>
          <w:p w14:paraId="2025EEC1">
            <w:pPr>
              <w:pStyle w:val="11"/>
              <w:spacing w:before="69" w:line="219" w:lineRule="auto"/>
              <w:ind w:left="606"/>
              <w:jc w:val="both"/>
            </w:pPr>
            <w:r>
              <w:rPr>
                <w:rFonts w:hint="eastAsia"/>
                <w:spacing w:val="-2"/>
                <w:lang w:val="en-US" w:eastAsia="zh-CN"/>
              </w:rPr>
              <w:t>投</w:t>
            </w:r>
            <w:r>
              <w:rPr>
                <w:spacing w:val="-2"/>
              </w:rPr>
              <w:t>标报价</w:t>
            </w:r>
          </w:p>
        </w:tc>
        <w:tc>
          <w:tcPr>
            <w:tcW w:w="936" w:type="dxa"/>
            <w:vAlign w:val="center"/>
          </w:tcPr>
          <w:p w14:paraId="3F818626">
            <w:pPr>
              <w:spacing w:line="284" w:lineRule="auto"/>
              <w:jc w:val="center"/>
              <w:rPr>
                <w:rFonts w:ascii="Arial"/>
                <w:sz w:val="21"/>
              </w:rPr>
            </w:pPr>
          </w:p>
          <w:p w14:paraId="01672519">
            <w:pPr>
              <w:pStyle w:val="11"/>
              <w:spacing w:before="68" w:line="221" w:lineRule="auto"/>
              <w:ind w:left="234" w:firstLine="208" w:firstLineChars="100"/>
              <w:jc w:val="both"/>
              <w:rPr>
                <w:rFonts w:hint="default" w:eastAsia="宋体"/>
                <w:lang w:val="en-US" w:eastAsia="zh-CN"/>
              </w:rPr>
            </w:pPr>
            <w:r>
              <w:rPr>
                <w:rFonts w:hint="eastAsia"/>
                <w:spacing w:val="-1"/>
                <w:lang w:val="en-US" w:eastAsia="zh-CN"/>
              </w:rPr>
              <w:t>50</w:t>
            </w:r>
          </w:p>
        </w:tc>
        <w:tc>
          <w:tcPr>
            <w:tcW w:w="4117" w:type="dxa"/>
            <w:vAlign w:val="center"/>
          </w:tcPr>
          <w:p w14:paraId="2E4AE1F7">
            <w:pPr>
              <w:pStyle w:val="11"/>
              <w:spacing w:line="219" w:lineRule="auto"/>
              <w:jc w:val="left"/>
            </w:pPr>
            <w:bookmarkStart w:id="122" w:name="bookmark138"/>
            <w:bookmarkEnd w:id="122"/>
            <w:bookmarkStart w:id="123" w:name="bookmark136"/>
            <w:bookmarkEnd w:id="123"/>
            <w:bookmarkStart w:id="124" w:name="bookmark139"/>
            <w:bookmarkEnd w:id="124"/>
            <w:bookmarkStart w:id="125" w:name="bookmark140"/>
            <w:bookmarkEnd w:id="125"/>
            <w:bookmarkStart w:id="126" w:name="bookmark137"/>
            <w:bookmarkEnd w:id="126"/>
            <w:r>
              <w:rPr>
                <w:rFonts w:hint="eastAsia"/>
                <w:highlight w:val="none"/>
                <w:lang w:val="en-US" w:eastAsia="zh-CN"/>
              </w:rPr>
              <w:t>将全部有效投标报价取平均值后做为基</w:t>
            </w:r>
            <w:r>
              <w:rPr>
                <w:rFonts w:hint="default"/>
                <w:highlight w:val="none"/>
                <w:lang w:val="en-US" w:eastAsia="zh-CN"/>
              </w:rPr>
              <w:t>准价。投标报价与基准价相比的差额率，每</w:t>
            </w:r>
            <w:r>
              <w:rPr>
                <w:rFonts w:hint="eastAsia"/>
                <w:highlight w:val="none"/>
                <w:lang w:val="en-US" w:eastAsia="zh-CN"/>
              </w:rPr>
              <w:t xml:space="preserve">高 1%扣 0.2 分，每低 1%扣 0.1 分。不足 1%按差 </w:t>
            </w:r>
            <w:r>
              <w:rPr>
                <w:rFonts w:hint="default"/>
                <w:highlight w:val="none"/>
                <w:lang w:val="en-US" w:eastAsia="zh-CN"/>
              </w:rPr>
              <w:t>值法计算，报价得分保留小数点后 2 位，第 3 位四舍五入。</w:t>
            </w:r>
          </w:p>
        </w:tc>
      </w:tr>
      <w:tr w14:paraId="4D69E7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2" w:hRule="atLeast"/>
        </w:trPr>
        <w:tc>
          <w:tcPr>
            <w:tcW w:w="744" w:type="dxa"/>
            <w:vMerge w:val="restart"/>
            <w:tcBorders>
              <w:bottom w:val="nil"/>
            </w:tcBorders>
            <w:vAlign w:val="top"/>
          </w:tcPr>
          <w:p w14:paraId="0B39D290">
            <w:pPr>
              <w:spacing w:line="257" w:lineRule="auto"/>
              <w:rPr>
                <w:rFonts w:ascii="Arial"/>
                <w:sz w:val="21"/>
              </w:rPr>
            </w:pPr>
          </w:p>
          <w:p w14:paraId="612824B8">
            <w:pPr>
              <w:spacing w:line="257" w:lineRule="auto"/>
              <w:rPr>
                <w:rFonts w:ascii="Arial"/>
                <w:sz w:val="21"/>
              </w:rPr>
            </w:pPr>
          </w:p>
          <w:p w14:paraId="29361934">
            <w:pPr>
              <w:spacing w:line="257" w:lineRule="auto"/>
              <w:rPr>
                <w:rFonts w:ascii="Arial"/>
                <w:sz w:val="21"/>
              </w:rPr>
            </w:pPr>
          </w:p>
          <w:p w14:paraId="3E82071C">
            <w:pPr>
              <w:spacing w:line="257" w:lineRule="auto"/>
              <w:rPr>
                <w:rFonts w:ascii="Arial"/>
                <w:sz w:val="21"/>
              </w:rPr>
            </w:pPr>
          </w:p>
          <w:p w14:paraId="7129B95B">
            <w:pPr>
              <w:spacing w:line="257" w:lineRule="auto"/>
              <w:rPr>
                <w:rFonts w:ascii="Arial"/>
                <w:sz w:val="21"/>
              </w:rPr>
            </w:pPr>
          </w:p>
          <w:p w14:paraId="201A8DC2">
            <w:pPr>
              <w:spacing w:line="257" w:lineRule="auto"/>
              <w:rPr>
                <w:rFonts w:ascii="Arial"/>
                <w:sz w:val="21"/>
              </w:rPr>
            </w:pPr>
          </w:p>
          <w:p w14:paraId="57576F53">
            <w:pPr>
              <w:spacing w:line="257" w:lineRule="auto"/>
              <w:rPr>
                <w:rFonts w:ascii="Arial"/>
                <w:sz w:val="21"/>
              </w:rPr>
            </w:pPr>
          </w:p>
          <w:p w14:paraId="2230C9CC">
            <w:pPr>
              <w:spacing w:line="257" w:lineRule="auto"/>
              <w:rPr>
                <w:rFonts w:ascii="Arial"/>
                <w:sz w:val="21"/>
              </w:rPr>
            </w:pPr>
          </w:p>
          <w:p w14:paraId="5DA66CB4">
            <w:pPr>
              <w:spacing w:line="257" w:lineRule="auto"/>
              <w:rPr>
                <w:rFonts w:ascii="Arial"/>
                <w:sz w:val="21"/>
              </w:rPr>
            </w:pPr>
          </w:p>
          <w:p w14:paraId="718CB702">
            <w:pPr>
              <w:spacing w:line="257" w:lineRule="auto"/>
              <w:rPr>
                <w:rFonts w:ascii="Arial"/>
                <w:sz w:val="21"/>
              </w:rPr>
            </w:pPr>
          </w:p>
          <w:p w14:paraId="3E5C1A4C">
            <w:pPr>
              <w:spacing w:line="257" w:lineRule="auto"/>
              <w:rPr>
                <w:rFonts w:ascii="Arial"/>
                <w:sz w:val="21"/>
              </w:rPr>
            </w:pPr>
          </w:p>
          <w:p w14:paraId="790A3D34">
            <w:pPr>
              <w:spacing w:line="258" w:lineRule="auto"/>
              <w:rPr>
                <w:rFonts w:ascii="Arial"/>
                <w:sz w:val="21"/>
              </w:rPr>
            </w:pPr>
          </w:p>
          <w:p w14:paraId="17A5E706">
            <w:pPr>
              <w:spacing w:line="258" w:lineRule="auto"/>
              <w:rPr>
                <w:rFonts w:ascii="Arial"/>
                <w:sz w:val="21"/>
              </w:rPr>
            </w:pPr>
          </w:p>
          <w:p w14:paraId="0117579C">
            <w:pPr>
              <w:spacing w:before="61" w:line="386" w:lineRule="exact"/>
              <w:ind w:left="162"/>
              <w:rPr>
                <w:rFonts w:ascii="Times New Roman" w:hAnsi="Times New Roman" w:eastAsia="Times New Roman" w:cs="Times New Roman"/>
                <w:sz w:val="21"/>
                <w:szCs w:val="21"/>
              </w:rPr>
            </w:pPr>
            <w:r>
              <w:rPr>
                <w:rFonts w:ascii="Times New Roman" w:hAnsi="Times New Roman" w:eastAsia="Times New Roman" w:cs="Times New Roman"/>
                <w:spacing w:val="-1"/>
                <w:position w:val="17"/>
                <w:sz w:val="21"/>
                <w:szCs w:val="21"/>
              </w:rPr>
              <w:t>2.2.4</w:t>
            </w:r>
          </w:p>
          <w:p w14:paraId="46CB9B57">
            <w:pPr>
              <w:pStyle w:val="11"/>
              <w:spacing w:line="232" w:lineRule="auto"/>
              <w:ind w:left="119"/>
            </w:pPr>
            <w:r>
              <w:rPr>
                <w:spacing w:val="-5"/>
              </w:rPr>
              <w:t>（</w:t>
            </w:r>
            <w:r>
              <w:rPr>
                <w:rFonts w:ascii="Times New Roman" w:hAnsi="Times New Roman" w:eastAsia="Times New Roman" w:cs="Times New Roman"/>
                <w:spacing w:val="-5"/>
              </w:rPr>
              <w:t>2</w:t>
            </w:r>
            <w:r>
              <w:rPr>
                <w:spacing w:val="-5"/>
              </w:rPr>
              <w:t>）</w:t>
            </w:r>
          </w:p>
        </w:tc>
        <w:tc>
          <w:tcPr>
            <w:tcW w:w="1099" w:type="dxa"/>
            <w:vMerge w:val="restart"/>
            <w:tcBorders>
              <w:bottom w:val="nil"/>
            </w:tcBorders>
            <w:vAlign w:val="top"/>
          </w:tcPr>
          <w:p w14:paraId="036A9CF8">
            <w:pPr>
              <w:rPr>
                <w:rFonts w:ascii="Arial"/>
                <w:sz w:val="21"/>
              </w:rPr>
            </w:pPr>
          </w:p>
          <w:p w14:paraId="4910947E">
            <w:pPr>
              <w:rPr>
                <w:rFonts w:ascii="Arial"/>
                <w:sz w:val="21"/>
              </w:rPr>
            </w:pPr>
          </w:p>
          <w:p w14:paraId="27F992C7">
            <w:pPr>
              <w:rPr>
                <w:rFonts w:ascii="Arial"/>
                <w:sz w:val="21"/>
              </w:rPr>
            </w:pPr>
          </w:p>
          <w:p w14:paraId="438D4C7C">
            <w:pPr>
              <w:rPr>
                <w:rFonts w:ascii="Arial"/>
                <w:sz w:val="21"/>
              </w:rPr>
            </w:pPr>
          </w:p>
          <w:p w14:paraId="5B0CF22B">
            <w:pPr>
              <w:rPr>
                <w:rFonts w:ascii="Arial"/>
                <w:sz w:val="21"/>
              </w:rPr>
            </w:pPr>
          </w:p>
          <w:p w14:paraId="3D2E7528">
            <w:pPr>
              <w:rPr>
                <w:rFonts w:ascii="Arial"/>
                <w:sz w:val="21"/>
              </w:rPr>
            </w:pPr>
          </w:p>
          <w:p w14:paraId="5481963C">
            <w:pPr>
              <w:rPr>
                <w:rFonts w:ascii="Arial"/>
                <w:sz w:val="21"/>
              </w:rPr>
            </w:pPr>
          </w:p>
          <w:p w14:paraId="230DEC92">
            <w:pPr>
              <w:rPr>
                <w:rFonts w:ascii="Arial"/>
                <w:sz w:val="21"/>
              </w:rPr>
            </w:pPr>
          </w:p>
          <w:p w14:paraId="16CB48D0">
            <w:pPr>
              <w:rPr>
                <w:rFonts w:ascii="Arial"/>
                <w:sz w:val="21"/>
              </w:rPr>
            </w:pPr>
          </w:p>
          <w:p w14:paraId="50235EDB">
            <w:pPr>
              <w:spacing w:line="241" w:lineRule="auto"/>
              <w:rPr>
                <w:rFonts w:ascii="Arial"/>
                <w:sz w:val="21"/>
              </w:rPr>
            </w:pPr>
          </w:p>
          <w:p w14:paraId="57B66FFD">
            <w:pPr>
              <w:spacing w:line="241" w:lineRule="auto"/>
              <w:rPr>
                <w:rFonts w:ascii="Arial"/>
                <w:sz w:val="21"/>
              </w:rPr>
            </w:pPr>
          </w:p>
          <w:p w14:paraId="0517A18B">
            <w:pPr>
              <w:spacing w:line="241" w:lineRule="auto"/>
              <w:rPr>
                <w:rFonts w:ascii="Arial"/>
                <w:sz w:val="21"/>
              </w:rPr>
            </w:pPr>
          </w:p>
          <w:p w14:paraId="129130E6">
            <w:pPr>
              <w:pStyle w:val="11"/>
              <w:spacing w:before="68" w:line="369" w:lineRule="auto"/>
              <w:ind w:left="136" w:right="124" w:firstLine="103"/>
            </w:pPr>
            <w:r>
              <w:rPr>
                <w:spacing w:val="-2"/>
              </w:rPr>
              <w:t>技术标</w:t>
            </w:r>
            <w:r>
              <w:t xml:space="preserve">  </w:t>
            </w:r>
            <w:r>
              <w:rPr>
                <w:spacing w:val="-2"/>
              </w:rPr>
              <w:t>（施工组</w:t>
            </w:r>
            <w:r>
              <w:t xml:space="preserve"> </w:t>
            </w:r>
            <w:r>
              <w:rPr>
                <w:spacing w:val="-3"/>
              </w:rPr>
              <w:t>织设计）</w:t>
            </w:r>
          </w:p>
          <w:p w14:paraId="3D58A1BE">
            <w:pPr>
              <w:pStyle w:val="11"/>
              <w:spacing w:line="221" w:lineRule="auto"/>
              <w:ind w:left="132"/>
              <w:rPr>
                <w:rFonts w:hint="default" w:eastAsia="宋体"/>
                <w:lang w:val="en-US" w:eastAsia="zh-CN"/>
              </w:rPr>
            </w:pPr>
            <w:r>
              <w:rPr>
                <w:spacing w:val="-1"/>
              </w:rPr>
              <w:t>评分标准</w:t>
            </w:r>
            <w:r>
              <w:rPr>
                <w:rFonts w:hint="eastAsia"/>
                <w:spacing w:val="-1"/>
                <w:lang w:eastAsia="zh-CN"/>
              </w:rPr>
              <w:t>（</w:t>
            </w:r>
            <w:r>
              <w:rPr>
                <w:rFonts w:hint="eastAsia"/>
                <w:spacing w:val="-1"/>
                <w:lang w:val="en-US" w:eastAsia="zh-CN"/>
              </w:rPr>
              <w:t>40分）</w:t>
            </w:r>
          </w:p>
        </w:tc>
        <w:tc>
          <w:tcPr>
            <w:tcW w:w="2044" w:type="dxa"/>
            <w:tcBorders>
              <w:bottom w:val="nil"/>
            </w:tcBorders>
            <w:vAlign w:val="center"/>
          </w:tcPr>
          <w:p w14:paraId="5D4C159F">
            <w:pPr>
              <w:pStyle w:val="12"/>
              <w:jc w:val="left"/>
            </w:pPr>
            <w:r>
              <w:rPr>
                <w:rStyle w:val="8"/>
                <w:rFonts w:ascii="宋体" w:hAnsi="宋体" w:eastAsia="宋体" w:cs="宋体"/>
                <w:b w:val="0"/>
                <w:sz w:val="21"/>
                <w:szCs w:val="24"/>
              </w:rPr>
              <w:t>1、项目总体概述(2.0分)</w:t>
            </w:r>
          </w:p>
        </w:tc>
        <w:tc>
          <w:tcPr>
            <w:tcW w:w="936" w:type="dxa"/>
            <w:tcBorders>
              <w:bottom w:val="nil"/>
            </w:tcBorders>
            <w:vAlign w:val="center"/>
          </w:tcPr>
          <w:p w14:paraId="2643299E">
            <w:pPr>
              <w:jc w:val="center"/>
              <w:rPr>
                <w:rFonts w:hint="default" w:ascii="Arial" w:eastAsia="宋体"/>
                <w:sz w:val="21"/>
                <w:lang w:val="en-US" w:eastAsia="zh-CN"/>
              </w:rPr>
            </w:pPr>
            <w:r>
              <w:rPr>
                <w:rFonts w:hint="eastAsia" w:eastAsia="宋体"/>
                <w:sz w:val="21"/>
                <w:lang w:val="en-US" w:eastAsia="zh-CN"/>
              </w:rPr>
              <w:t>2</w:t>
            </w:r>
          </w:p>
        </w:tc>
        <w:tc>
          <w:tcPr>
            <w:tcW w:w="4117" w:type="dxa"/>
            <w:vAlign w:val="top"/>
          </w:tcPr>
          <w:p w14:paraId="2A643623">
            <w:pPr>
              <w:pStyle w:val="11"/>
              <w:spacing w:before="156" w:line="221" w:lineRule="auto"/>
              <w:ind w:left="115"/>
            </w:pPr>
            <w:r>
              <w:rPr>
                <w:rStyle w:val="8"/>
                <w:rFonts w:ascii="宋体" w:hAnsi="宋体" w:eastAsia="宋体" w:cs="宋体"/>
                <w:b w:val="0"/>
                <w:sz w:val="21"/>
                <w:szCs w:val="24"/>
              </w:rPr>
              <w:t>对项目总体全面认识深刻，论述完整，逻辑关系清晰，总体组织符合实际，总体组织设计符合规范，总体计划合理，综合措施科学、总体目标满足招标文件要求。最佳1.6-2.0分；良好1.0-1.5分；一般0.5-0.9分；较差0-0.4分。</w:t>
            </w:r>
          </w:p>
        </w:tc>
      </w:tr>
      <w:tr w14:paraId="115153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2" w:hRule="atLeast"/>
        </w:trPr>
        <w:tc>
          <w:tcPr>
            <w:tcW w:w="744" w:type="dxa"/>
            <w:vMerge w:val="continue"/>
            <w:vAlign w:val="top"/>
          </w:tcPr>
          <w:p w14:paraId="4B9AFF0C">
            <w:pPr>
              <w:pStyle w:val="11"/>
              <w:spacing w:line="232" w:lineRule="auto"/>
              <w:ind w:left="119"/>
              <w:rPr>
                <w:spacing w:val="-5"/>
              </w:rPr>
            </w:pPr>
          </w:p>
        </w:tc>
        <w:tc>
          <w:tcPr>
            <w:tcW w:w="1099" w:type="dxa"/>
            <w:vMerge w:val="continue"/>
            <w:vAlign w:val="top"/>
          </w:tcPr>
          <w:p w14:paraId="7F083E03">
            <w:pPr>
              <w:pStyle w:val="11"/>
              <w:spacing w:line="221" w:lineRule="auto"/>
              <w:ind w:left="132"/>
              <w:rPr>
                <w:spacing w:val="-1"/>
              </w:rPr>
            </w:pPr>
          </w:p>
        </w:tc>
        <w:tc>
          <w:tcPr>
            <w:tcW w:w="2044" w:type="dxa"/>
            <w:tcBorders>
              <w:bottom w:val="nil"/>
            </w:tcBorders>
            <w:shd w:val="clear" w:color="auto" w:fill="auto"/>
            <w:vAlign w:val="center"/>
          </w:tcPr>
          <w:p w14:paraId="03575CD3">
            <w:pPr>
              <w:pStyle w:val="12"/>
              <w:jc w:val="left"/>
              <w:rPr>
                <w:rFonts w:ascii="Times New Roman" w:hAnsi="Times New Roman" w:eastAsia="Times New Roman" w:cs="Times New Roman"/>
                <w:sz w:val="24"/>
                <w:szCs w:val="24"/>
              </w:rPr>
            </w:pPr>
            <w:r>
              <w:rPr>
                <w:rStyle w:val="8"/>
                <w:rFonts w:hint="eastAsia" w:ascii="宋体" w:hAnsi="宋体" w:eastAsia="宋体" w:cs="宋体"/>
                <w:b w:val="0"/>
                <w:sz w:val="21"/>
                <w:szCs w:val="24"/>
                <w:lang w:val="en-US" w:eastAsia="zh-CN"/>
              </w:rPr>
              <w:t>2</w:t>
            </w:r>
            <w:r>
              <w:rPr>
                <w:rStyle w:val="8"/>
                <w:rFonts w:ascii="宋体" w:hAnsi="宋体" w:eastAsia="宋体" w:cs="宋体"/>
                <w:b w:val="0"/>
                <w:sz w:val="21"/>
                <w:szCs w:val="24"/>
              </w:rPr>
              <w:t>、施工总平面布置(2.0分)</w:t>
            </w:r>
          </w:p>
        </w:tc>
        <w:tc>
          <w:tcPr>
            <w:tcW w:w="936" w:type="dxa"/>
            <w:tcBorders>
              <w:bottom w:val="nil"/>
            </w:tcBorders>
            <w:shd w:val="clear" w:color="auto" w:fill="auto"/>
            <w:vAlign w:val="center"/>
          </w:tcPr>
          <w:p w14:paraId="33C17028">
            <w:pPr>
              <w:jc w:val="center"/>
              <w:rPr>
                <w:rFonts w:hint="eastAsia" w:ascii="Arial" w:hAnsi="Arial" w:eastAsia="宋体" w:cs="Arial"/>
                <w:snapToGrid w:val="0"/>
                <w:color w:val="000000"/>
                <w:kern w:val="0"/>
                <w:sz w:val="21"/>
                <w:szCs w:val="21"/>
                <w:lang w:val="en-US" w:eastAsia="zh-CN" w:bidi="ar-SA"/>
              </w:rPr>
            </w:pPr>
            <w:r>
              <w:rPr>
                <w:rFonts w:hint="eastAsia" w:eastAsia="宋体"/>
                <w:sz w:val="21"/>
                <w:lang w:val="en-US" w:eastAsia="zh-CN"/>
              </w:rPr>
              <w:t>2</w:t>
            </w:r>
          </w:p>
        </w:tc>
        <w:tc>
          <w:tcPr>
            <w:tcW w:w="4117" w:type="dxa"/>
            <w:shd w:val="clear" w:color="auto" w:fill="auto"/>
            <w:vAlign w:val="top"/>
          </w:tcPr>
          <w:p w14:paraId="47E1219A">
            <w:pPr>
              <w:pStyle w:val="11"/>
              <w:spacing w:before="162" w:line="221" w:lineRule="auto"/>
              <w:ind w:left="115" w:leftChars="0"/>
              <w:rPr>
                <w:rFonts w:ascii="宋体" w:hAnsi="宋体" w:eastAsia="宋体" w:cs="宋体"/>
                <w:snapToGrid w:val="0"/>
                <w:color w:val="000000"/>
                <w:kern w:val="0"/>
                <w:sz w:val="21"/>
                <w:szCs w:val="21"/>
                <w:lang w:val="en-US" w:eastAsia="en-US" w:bidi="ar-SA"/>
              </w:rPr>
            </w:pPr>
            <w:r>
              <w:rPr>
                <w:rStyle w:val="8"/>
                <w:rFonts w:ascii="宋体" w:hAnsi="宋体" w:eastAsia="宋体" w:cs="宋体"/>
                <w:b w:val="0"/>
                <w:sz w:val="21"/>
                <w:szCs w:val="24"/>
              </w:rPr>
              <w:t>布置科学、合理，符合现场实际情况及地方的相关规定，最佳1.6-2.0分；良好1.0-1.5分；一般0.5-0.9分；较差0-0.4分</w:t>
            </w:r>
          </w:p>
        </w:tc>
      </w:tr>
      <w:tr w14:paraId="143224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2" w:hRule="atLeast"/>
        </w:trPr>
        <w:tc>
          <w:tcPr>
            <w:tcW w:w="744" w:type="dxa"/>
            <w:vMerge w:val="continue"/>
            <w:tcBorders>
              <w:top w:val="nil"/>
              <w:bottom w:val="nil"/>
            </w:tcBorders>
            <w:vAlign w:val="top"/>
          </w:tcPr>
          <w:p w14:paraId="25CA857C">
            <w:pPr>
              <w:rPr>
                <w:rFonts w:ascii="Arial"/>
                <w:sz w:val="21"/>
              </w:rPr>
            </w:pPr>
          </w:p>
        </w:tc>
        <w:tc>
          <w:tcPr>
            <w:tcW w:w="1099" w:type="dxa"/>
            <w:vMerge w:val="continue"/>
            <w:tcBorders>
              <w:top w:val="nil"/>
              <w:bottom w:val="nil"/>
            </w:tcBorders>
            <w:vAlign w:val="top"/>
          </w:tcPr>
          <w:p w14:paraId="501002D8">
            <w:pPr>
              <w:rPr>
                <w:rFonts w:ascii="Arial"/>
                <w:sz w:val="21"/>
              </w:rPr>
            </w:pPr>
          </w:p>
        </w:tc>
        <w:tc>
          <w:tcPr>
            <w:tcW w:w="2044" w:type="dxa"/>
            <w:tcBorders>
              <w:bottom w:val="nil"/>
            </w:tcBorders>
            <w:vAlign w:val="center"/>
          </w:tcPr>
          <w:p w14:paraId="04982BF7">
            <w:pPr>
              <w:pStyle w:val="12"/>
              <w:jc w:val="left"/>
            </w:pPr>
            <w:r>
              <w:rPr>
                <w:rStyle w:val="8"/>
                <w:rFonts w:hint="eastAsia" w:ascii="宋体" w:hAnsi="宋体" w:eastAsia="宋体" w:cs="宋体"/>
                <w:b w:val="0"/>
                <w:sz w:val="21"/>
                <w:szCs w:val="24"/>
                <w:lang w:val="en-US" w:eastAsia="zh-CN"/>
              </w:rPr>
              <w:t>3</w:t>
            </w:r>
            <w:r>
              <w:rPr>
                <w:rStyle w:val="8"/>
                <w:rFonts w:ascii="宋体" w:hAnsi="宋体" w:eastAsia="宋体" w:cs="宋体"/>
                <w:b w:val="0"/>
                <w:sz w:val="21"/>
                <w:szCs w:val="24"/>
              </w:rPr>
              <w:t>、施工技术方案(2.0分)</w:t>
            </w:r>
          </w:p>
        </w:tc>
        <w:tc>
          <w:tcPr>
            <w:tcW w:w="936" w:type="dxa"/>
            <w:tcBorders>
              <w:bottom w:val="nil"/>
            </w:tcBorders>
            <w:vAlign w:val="center"/>
          </w:tcPr>
          <w:p w14:paraId="328808D5">
            <w:pPr>
              <w:jc w:val="center"/>
              <w:rPr>
                <w:rFonts w:hint="default" w:ascii="Arial" w:eastAsia="宋体"/>
                <w:sz w:val="21"/>
                <w:lang w:val="en-US" w:eastAsia="zh-CN"/>
              </w:rPr>
            </w:pPr>
            <w:r>
              <w:rPr>
                <w:rFonts w:hint="eastAsia" w:eastAsia="宋体"/>
                <w:sz w:val="21"/>
                <w:lang w:val="en-US" w:eastAsia="zh-CN"/>
              </w:rPr>
              <w:t>2</w:t>
            </w:r>
          </w:p>
        </w:tc>
        <w:tc>
          <w:tcPr>
            <w:tcW w:w="4117" w:type="dxa"/>
            <w:vAlign w:val="top"/>
          </w:tcPr>
          <w:p w14:paraId="18346884">
            <w:pPr>
              <w:pStyle w:val="11"/>
              <w:spacing w:before="157" w:line="221" w:lineRule="auto"/>
              <w:ind w:left="115"/>
            </w:pPr>
            <w:r>
              <w:rPr>
                <w:rStyle w:val="8"/>
                <w:rFonts w:ascii="宋体" w:hAnsi="宋体" w:eastAsia="宋体" w:cs="宋体"/>
                <w:b w:val="0"/>
                <w:sz w:val="21"/>
                <w:szCs w:val="24"/>
              </w:rPr>
              <w:t>各分项工程的施工方法、施工工艺科学、合理、描述详细、可行，思路清晰、准确、完整、可操作性强，最佳1.6-2.0分；良好1.0-1.5分；一般0.5-0.9分；较差0-0.4分。</w:t>
            </w:r>
          </w:p>
        </w:tc>
      </w:tr>
      <w:tr w14:paraId="52CD73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2" w:hRule="atLeast"/>
        </w:trPr>
        <w:tc>
          <w:tcPr>
            <w:tcW w:w="744" w:type="dxa"/>
            <w:vMerge w:val="continue"/>
            <w:tcBorders>
              <w:top w:val="nil"/>
              <w:bottom w:val="nil"/>
            </w:tcBorders>
            <w:vAlign w:val="top"/>
          </w:tcPr>
          <w:p w14:paraId="5CF166B6">
            <w:pPr>
              <w:rPr>
                <w:rFonts w:ascii="Arial"/>
                <w:sz w:val="21"/>
              </w:rPr>
            </w:pPr>
          </w:p>
        </w:tc>
        <w:tc>
          <w:tcPr>
            <w:tcW w:w="1099" w:type="dxa"/>
            <w:vMerge w:val="continue"/>
            <w:tcBorders>
              <w:top w:val="nil"/>
              <w:bottom w:val="nil"/>
            </w:tcBorders>
            <w:vAlign w:val="top"/>
          </w:tcPr>
          <w:p w14:paraId="34456530">
            <w:pPr>
              <w:rPr>
                <w:rFonts w:ascii="Arial"/>
                <w:sz w:val="21"/>
              </w:rPr>
            </w:pPr>
          </w:p>
        </w:tc>
        <w:tc>
          <w:tcPr>
            <w:tcW w:w="2044" w:type="dxa"/>
            <w:tcBorders>
              <w:bottom w:val="nil"/>
            </w:tcBorders>
            <w:vAlign w:val="center"/>
          </w:tcPr>
          <w:p w14:paraId="39FD624A">
            <w:pPr>
              <w:pStyle w:val="12"/>
              <w:jc w:val="left"/>
            </w:pPr>
            <w:r>
              <w:rPr>
                <w:rStyle w:val="8"/>
                <w:rFonts w:hint="eastAsia" w:ascii="宋体" w:hAnsi="宋体" w:eastAsia="宋体" w:cs="宋体"/>
                <w:b w:val="0"/>
                <w:sz w:val="21"/>
                <w:szCs w:val="24"/>
                <w:lang w:val="en-US" w:eastAsia="zh-CN"/>
              </w:rPr>
              <w:t>4</w:t>
            </w:r>
            <w:r>
              <w:rPr>
                <w:rStyle w:val="8"/>
                <w:rFonts w:ascii="宋体" w:hAnsi="宋体" w:eastAsia="宋体" w:cs="宋体"/>
                <w:b w:val="0"/>
                <w:sz w:val="21"/>
                <w:szCs w:val="24"/>
              </w:rPr>
              <w:t>、技术难点、重点部位及相应解决方案(2.0分)</w:t>
            </w:r>
          </w:p>
        </w:tc>
        <w:tc>
          <w:tcPr>
            <w:tcW w:w="936" w:type="dxa"/>
            <w:tcBorders>
              <w:bottom w:val="nil"/>
            </w:tcBorders>
            <w:vAlign w:val="center"/>
          </w:tcPr>
          <w:p w14:paraId="624FDFC5">
            <w:pPr>
              <w:jc w:val="center"/>
              <w:rPr>
                <w:rFonts w:hint="eastAsia" w:ascii="Arial" w:eastAsia="宋体"/>
                <w:sz w:val="21"/>
                <w:lang w:val="en-US" w:eastAsia="zh-CN"/>
              </w:rPr>
            </w:pPr>
            <w:r>
              <w:rPr>
                <w:rFonts w:hint="eastAsia" w:eastAsia="宋体"/>
                <w:sz w:val="21"/>
                <w:lang w:val="en-US" w:eastAsia="zh-CN"/>
              </w:rPr>
              <w:t>2</w:t>
            </w:r>
          </w:p>
        </w:tc>
        <w:tc>
          <w:tcPr>
            <w:tcW w:w="4117" w:type="dxa"/>
            <w:vAlign w:val="top"/>
          </w:tcPr>
          <w:p w14:paraId="38B116FE">
            <w:pPr>
              <w:pStyle w:val="11"/>
              <w:spacing w:before="157" w:line="221" w:lineRule="auto"/>
              <w:ind w:left="115"/>
            </w:pPr>
            <w:r>
              <w:rPr>
                <w:rStyle w:val="8"/>
                <w:rFonts w:ascii="宋体" w:hAnsi="宋体" w:eastAsia="宋体" w:cs="宋体"/>
                <w:b w:val="0"/>
                <w:sz w:val="21"/>
                <w:szCs w:val="24"/>
              </w:rPr>
              <w:t>对工程重点、难点认识深刻、表述全面准确，解决方案科学、系统、安全、经济，可操作性强，保障措施得力，对施工关键技术、工艺把握准确，应用到位，阐释清晰，最佳1.6-2.0分；良好1.0-1.5分；一般0.5-0.9分；较差0-0.4分。</w:t>
            </w:r>
          </w:p>
        </w:tc>
      </w:tr>
      <w:tr w14:paraId="599E5A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7" w:hRule="atLeast"/>
        </w:trPr>
        <w:tc>
          <w:tcPr>
            <w:tcW w:w="744" w:type="dxa"/>
            <w:vMerge w:val="continue"/>
            <w:tcBorders>
              <w:top w:val="nil"/>
              <w:bottom w:val="nil"/>
            </w:tcBorders>
            <w:vAlign w:val="top"/>
          </w:tcPr>
          <w:p w14:paraId="5F0A4551">
            <w:pPr>
              <w:rPr>
                <w:rFonts w:ascii="Arial"/>
                <w:sz w:val="21"/>
              </w:rPr>
            </w:pPr>
          </w:p>
        </w:tc>
        <w:tc>
          <w:tcPr>
            <w:tcW w:w="1099" w:type="dxa"/>
            <w:vMerge w:val="continue"/>
            <w:tcBorders>
              <w:top w:val="nil"/>
              <w:bottom w:val="nil"/>
            </w:tcBorders>
            <w:vAlign w:val="top"/>
          </w:tcPr>
          <w:p w14:paraId="63FF5BB6">
            <w:pPr>
              <w:rPr>
                <w:rFonts w:ascii="Arial"/>
                <w:sz w:val="21"/>
              </w:rPr>
            </w:pPr>
          </w:p>
        </w:tc>
        <w:tc>
          <w:tcPr>
            <w:tcW w:w="2044" w:type="dxa"/>
            <w:tcBorders>
              <w:bottom w:val="nil"/>
            </w:tcBorders>
            <w:shd w:val="clear" w:color="auto" w:fill="auto"/>
            <w:vAlign w:val="center"/>
          </w:tcPr>
          <w:p w14:paraId="67795C23">
            <w:pPr>
              <w:pStyle w:val="12"/>
              <w:jc w:val="left"/>
              <w:rPr>
                <w:rFonts w:ascii="Times New Roman" w:hAnsi="Times New Roman" w:eastAsia="Times New Roman" w:cs="Times New Roman"/>
                <w:sz w:val="24"/>
                <w:szCs w:val="24"/>
              </w:rPr>
            </w:pPr>
            <w:r>
              <w:rPr>
                <w:rStyle w:val="8"/>
                <w:rFonts w:hint="eastAsia" w:ascii="宋体" w:hAnsi="宋体" w:eastAsia="宋体" w:cs="宋体"/>
                <w:b w:val="0"/>
                <w:sz w:val="21"/>
                <w:szCs w:val="24"/>
                <w:lang w:val="en-US" w:eastAsia="zh-CN"/>
              </w:rPr>
              <w:t>5</w:t>
            </w:r>
            <w:r>
              <w:rPr>
                <w:rStyle w:val="8"/>
                <w:rFonts w:ascii="宋体" w:hAnsi="宋体" w:eastAsia="宋体" w:cs="宋体"/>
                <w:b w:val="0"/>
                <w:sz w:val="21"/>
                <w:szCs w:val="24"/>
              </w:rPr>
              <w:t>、</w:t>
            </w:r>
            <w:r>
              <w:rPr>
                <w:rStyle w:val="8"/>
                <w:rFonts w:hint="eastAsia" w:ascii="宋体" w:hAnsi="宋体" w:eastAsia="宋体" w:cs="宋体"/>
                <w:b w:val="0"/>
                <w:sz w:val="21"/>
                <w:szCs w:val="24"/>
                <w:lang w:val="en-US" w:eastAsia="zh-CN"/>
              </w:rPr>
              <w:t>雨季</w:t>
            </w:r>
            <w:r>
              <w:rPr>
                <w:rStyle w:val="8"/>
                <w:rFonts w:ascii="宋体" w:hAnsi="宋体" w:eastAsia="宋体" w:cs="宋体"/>
                <w:b w:val="0"/>
                <w:sz w:val="21"/>
                <w:szCs w:val="24"/>
              </w:rPr>
              <w:t>施工的应对措施(2.0分)</w:t>
            </w:r>
          </w:p>
        </w:tc>
        <w:tc>
          <w:tcPr>
            <w:tcW w:w="936" w:type="dxa"/>
            <w:tcBorders>
              <w:bottom w:val="nil"/>
            </w:tcBorders>
            <w:shd w:val="clear" w:color="auto" w:fill="auto"/>
            <w:vAlign w:val="center"/>
          </w:tcPr>
          <w:p w14:paraId="17BEDEDD">
            <w:pPr>
              <w:spacing w:line="420" w:lineRule="exact"/>
              <w:jc w:val="center"/>
              <w:rPr>
                <w:rFonts w:hint="eastAsia" w:ascii="Arial" w:hAnsi="Arial" w:eastAsia="宋体" w:cs="Arial"/>
                <w:snapToGrid w:val="0"/>
                <w:color w:val="000000"/>
                <w:kern w:val="0"/>
                <w:sz w:val="21"/>
                <w:szCs w:val="21"/>
                <w:lang w:val="en-US" w:eastAsia="zh-CN" w:bidi="ar-SA"/>
              </w:rPr>
            </w:pPr>
            <w:r>
              <w:rPr>
                <w:rFonts w:hint="eastAsia" w:eastAsia="宋体"/>
                <w:sz w:val="21"/>
                <w:lang w:val="en-US" w:eastAsia="zh-CN"/>
              </w:rPr>
              <w:t>2</w:t>
            </w:r>
          </w:p>
        </w:tc>
        <w:tc>
          <w:tcPr>
            <w:tcW w:w="4117" w:type="dxa"/>
            <w:shd w:val="clear" w:color="auto" w:fill="auto"/>
            <w:vAlign w:val="center"/>
          </w:tcPr>
          <w:p w14:paraId="508D8E9A">
            <w:pPr>
              <w:spacing w:line="420" w:lineRule="exact"/>
              <w:jc w:val="left"/>
              <w:rPr>
                <w:rFonts w:ascii="Arial" w:hAnsi="Arial" w:eastAsia="Arial" w:cs="Arial"/>
                <w:snapToGrid w:val="0"/>
                <w:color w:val="000000"/>
                <w:kern w:val="0"/>
                <w:sz w:val="21"/>
                <w:szCs w:val="21"/>
                <w:lang w:val="en-US" w:eastAsia="en-US" w:bidi="ar-SA"/>
              </w:rPr>
            </w:pPr>
            <w:r>
              <w:rPr>
                <w:rStyle w:val="8"/>
                <w:rFonts w:ascii="宋体" w:hAnsi="宋体" w:eastAsia="宋体" w:cs="宋体"/>
                <w:b w:val="0"/>
                <w:sz w:val="21"/>
                <w:szCs w:val="24"/>
              </w:rPr>
              <w:t>针对工期内</w:t>
            </w:r>
            <w:r>
              <w:rPr>
                <w:rStyle w:val="8"/>
                <w:rFonts w:hint="eastAsia" w:ascii="宋体" w:hAnsi="宋体" w:eastAsia="宋体" w:cs="宋体"/>
                <w:b w:val="0"/>
                <w:sz w:val="21"/>
                <w:szCs w:val="24"/>
                <w:lang w:val="en-US" w:eastAsia="zh-CN"/>
              </w:rPr>
              <w:t>雨季</w:t>
            </w:r>
            <w:r>
              <w:rPr>
                <w:rStyle w:val="8"/>
                <w:rFonts w:ascii="宋体" w:hAnsi="宋体" w:eastAsia="宋体" w:cs="宋体"/>
                <w:b w:val="0"/>
                <w:sz w:val="21"/>
                <w:szCs w:val="24"/>
              </w:rPr>
              <w:t>的天气变化，提出的应对措施非常合理，可实施性非常强，最佳1.6-2.0分；良好1.0-1.5分；一般0.5-0.9分；较差0-0.4分。</w:t>
            </w:r>
          </w:p>
        </w:tc>
      </w:tr>
      <w:tr w14:paraId="2108C2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7" w:hRule="atLeast"/>
        </w:trPr>
        <w:tc>
          <w:tcPr>
            <w:tcW w:w="744" w:type="dxa"/>
            <w:vMerge w:val="continue"/>
            <w:tcBorders>
              <w:top w:val="nil"/>
              <w:bottom w:val="nil"/>
            </w:tcBorders>
            <w:vAlign w:val="top"/>
          </w:tcPr>
          <w:p w14:paraId="5255F2BF">
            <w:pPr>
              <w:rPr>
                <w:rFonts w:ascii="Arial"/>
                <w:sz w:val="21"/>
              </w:rPr>
            </w:pPr>
          </w:p>
        </w:tc>
        <w:tc>
          <w:tcPr>
            <w:tcW w:w="1099" w:type="dxa"/>
            <w:vMerge w:val="continue"/>
            <w:tcBorders>
              <w:top w:val="nil"/>
              <w:bottom w:val="nil"/>
            </w:tcBorders>
            <w:vAlign w:val="top"/>
          </w:tcPr>
          <w:p w14:paraId="5B9DBF21">
            <w:pPr>
              <w:rPr>
                <w:rFonts w:ascii="Arial"/>
                <w:sz w:val="21"/>
              </w:rPr>
            </w:pPr>
          </w:p>
        </w:tc>
        <w:tc>
          <w:tcPr>
            <w:tcW w:w="2044" w:type="dxa"/>
            <w:tcBorders>
              <w:bottom w:val="nil"/>
            </w:tcBorders>
            <w:vAlign w:val="center"/>
          </w:tcPr>
          <w:p w14:paraId="76072C36">
            <w:pPr>
              <w:pStyle w:val="12"/>
              <w:jc w:val="left"/>
              <w:rPr>
                <w:rStyle w:val="8"/>
                <w:rFonts w:ascii="宋体" w:hAnsi="宋体" w:eastAsia="宋体" w:cs="宋体"/>
                <w:b w:val="0"/>
                <w:sz w:val="21"/>
                <w:szCs w:val="24"/>
              </w:rPr>
            </w:pPr>
            <w:r>
              <w:rPr>
                <w:rStyle w:val="8"/>
                <w:rFonts w:hint="eastAsia" w:ascii="宋体" w:hAnsi="宋体" w:eastAsia="宋体" w:cs="宋体"/>
                <w:b w:val="0"/>
                <w:sz w:val="21"/>
                <w:szCs w:val="24"/>
                <w:lang w:val="en-US" w:eastAsia="zh-CN"/>
              </w:rPr>
              <w:t>6</w:t>
            </w:r>
            <w:r>
              <w:rPr>
                <w:rStyle w:val="8"/>
                <w:rFonts w:ascii="宋体" w:hAnsi="宋体" w:eastAsia="宋体" w:cs="宋体"/>
                <w:b w:val="0"/>
                <w:sz w:val="21"/>
                <w:szCs w:val="24"/>
              </w:rPr>
              <w:t>、</w:t>
            </w:r>
            <w:r>
              <w:rPr>
                <w:rStyle w:val="8"/>
                <w:rFonts w:hint="eastAsia" w:ascii="宋体" w:hAnsi="宋体" w:eastAsia="宋体" w:cs="宋体"/>
                <w:b w:val="0"/>
                <w:sz w:val="21"/>
                <w:szCs w:val="24"/>
              </w:rPr>
              <w:t>紧急情况的处理措施、预案以及抵抗风险的措施</w:t>
            </w:r>
          </w:p>
        </w:tc>
        <w:tc>
          <w:tcPr>
            <w:tcW w:w="936" w:type="dxa"/>
            <w:tcBorders>
              <w:bottom w:val="nil"/>
            </w:tcBorders>
            <w:vAlign w:val="center"/>
          </w:tcPr>
          <w:p w14:paraId="1041A209">
            <w:pPr>
              <w:pStyle w:val="12"/>
              <w:jc w:val="center"/>
              <w:rPr>
                <w:rStyle w:val="8"/>
                <w:rFonts w:hint="eastAsia" w:ascii="宋体" w:hAnsi="宋体" w:eastAsia="宋体" w:cs="宋体"/>
                <w:b w:val="0"/>
                <w:sz w:val="21"/>
                <w:szCs w:val="24"/>
                <w:lang w:val="en-US" w:eastAsia="zh-CN"/>
              </w:rPr>
            </w:pPr>
            <w:r>
              <w:rPr>
                <w:rStyle w:val="8"/>
                <w:rFonts w:hint="eastAsia" w:ascii="宋体" w:hAnsi="宋体" w:eastAsia="宋体" w:cs="宋体"/>
                <w:b w:val="0"/>
                <w:sz w:val="21"/>
                <w:szCs w:val="24"/>
                <w:lang w:val="en-US" w:eastAsia="zh-CN"/>
              </w:rPr>
              <w:t>2</w:t>
            </w:r>
          </w:p>
        </w:tc>
        <w:tc>
          <w:tcPr>
            <w:tcW w:w="4117" w:type="dxa"/>
            <w:vAlign w:val="center"/>
          </w:tcPr>
          <w:p w14:paraId="378B8938">
            <w:pPr>
              <w:pStyle w:val="12"/>
              <w:jc w:val="left"/>
              <w:rPr>
                <w:rStyle w:val="8"/>
                <w:rFonts w:hint="eastAsia" w:ascii="宋体" w:hAnsi="宋体" w:eastAsia="宋体" w:cs="宋体"/>
                <w:b w:val="0"/>
                <w:sz w:val="21"/>
                <w:szCs w:val="24"/>
                <w:lang w:eastAsia="zh-CN"/>
              </w:rPr>
            </w:pPr>
            <w:r>
              <w:rPr>
                <w:rStyle w:val="8"/>
                <w:rFonts w:hint="eastAsia" w:ascii="宋体" w:hAnsi="宋体" w:eastAsia="宋体" w:cs="宋体"/>
                <w:b w:val="0"/>
                <w:sz w:val="21"/>
                <w:szCs w:val="24"/>
              </w:rPr>
              <w:t>紧急情况的处理措施、预案以及抵抗风险的措施</w:t>
            </w:r>
            <w:r>
              <w:rPr>
                <w:rStyle w:val="8"/>
                <w:rFonts w:hint="eastAsia" w:ascii="宋体" w:hAnsi="宋体" w:eastAsia="宋体" w:cs="宋体"/>
                <w:b w:val="0"/>
                <w:sz w:val="21"/>
                <w:szCs w:val="24"/>
                <w:lang w:eastAsia="zh-CN"/>
              </w:rPr>
              <w:t>，</w:t>
            </w:r>
            <w:r>
              <w:rPr>
                <w:rStyle w:val="8"/>
                <w:rFonts w:ascii="宋体" w:hAnsi="宋体" w:eastAsia="宋体" w:cs="宋体"/>
                <w:b w:val="0"/>
                <w:sz w:val="21"/>
                <w:szCs w:val="24"/>
              </w:rPr>
              <w:t>提出的应对措施非常合理，可实施性非常强，最佳1.6-2.0分；良好1.0-1.5分；一般0.5-0.9分；较差0-0.4分。</w:t>
            </w:r>
          </w:p>
        </w:tc>
      </w:tr>
      <w:tr w14:paraId="032A40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7" w:hRule="atLeast"/>
        </w:trPr>
        <w:tc>
          <w:tcPr>
            <w:tcW w:w="744" w:type="dxa"/>
            <w:vMerge w:val="continue"/>
            <w:tcBorders>
              <w:top w:val="nil"/>
              <w:bottom w:val="nil"/>
            </w:tcBorders>
            <w:vAlign w:val="top"/>
          </w:tcPr>
          <w:p w14:paraId="0B498AF5">
            <w:pPr>
              <w:rPr>
                <w:rFonts w:ascii="Arial"/>
                <w:sz w:val="21"/>
              </w:rPr>
            </w:pPr>
          </w:p>
        </w:tc>
        <w:tc>
          <w:tcPr>
            <w:tcW w:w="1099" w:type="dxa"/>
            <w:vMerge w:val="continue"/>
            <w:tcBorders>
              <w:top w:val="nil"/>
              <w:bottom w:val="nil"/>
            </w:tcBorders>
            <w:vAlign w:val="top"/>
          </w:tcPr>
          <w:p w14:paraId="0DFA0F1E">
            <w:pPr>
              <w:rPr>
                <w:rFonts w:ascii="Arial"/>
                <w:sz w:val="21"/>
              </w:rPr>
            </w:pPr>
          </w:p>
        </w:tc>
        <w:tc>
          <w:tcPr>
            <w:tcW w:w="2044" w:type="dxa"/>
            <w:tcBorders>
              <w:bottom w:val="nil"/>
            </w:tcBorders>
            <w:vAlign w:val="center"/>
          </w:tcPr>
          <w:p w14:paraId="2FBE40BD">
            <w:pPr>
              <w:pStyle w:val="12"/>
              <w:jc w:val="left"/>
              <w:rPr>
                <w:rFonts w:hint="eastAsia" w:ascii="宋体" w:hAnsi="宋体" w:eastAsia="宋体" w:cs="宋体"/>
                <w:b w:val="0"/>
                <w:i w:val="0"/>
                <w:color w:val="auto"/>
                <w:highlight w:val="yellow"/>
                <w:u w:val="none" w:color="auto"/>
              </w:rPr>
            </w:pPr>
            <w:r>
              <w:rPr>
                <w:rStyle w:val="8"/>
                <w:rFonts w:ascii="宋体" w:hAnsi="宋体" w:eastAsia="宋体" w:cs="宋体"/>
                <w:b w:val="0"/>
                <w:sz w:val="21"/>
                <w:szCs w:val="24"/>
              </w:rPr>
              <w:t>7、质量管理体系与措施(2.0分)</w:t>
            </w:r>
          </w:p>
        </w:tc>
        <w:tc>
          <w:tcPr>
            <w:tcW w:w="936" w:type="dxa"/>
            <w:tcBorders>
              <w:bottom w:val="nil"/>
            </w:tcBorders>
            <w:vAlign w:val="center"/>
          </w:tcPr>
          <w:p w14:paraId="0B0AFD72">
            <w:pPr>
              <w:spacing w:line="420" w:lineRule="exact"/>
              <w:jc w:val="center"/>
              <w:rPr>
                <w:rFonts w:hint="eastAsia" w:ascii="宋体" w:hAnsi="宋体" w:eastAsia="宋体" w:cs="宋体"/>
                <w:b w:val="0"/>
                <w:bCs/>
                <w:i w:val="0"/>
                <w:color w:val="auto"/>
                <w:szCs w:val="21"/>
                <w:highlight w:val="yellow"/>
                <w:u w:val="none" w:color="auto"/>
              </w:rPr>
            </w:pPr>
            <w:r>
              <w:rPr>
                <w:rFonts w:hint="eastAsia" w:eastAsia="宋体"/>
                <w:sz w:val="21"/>
                <w:lang w:val="en-US" w:eastAsia="zh-CN"/>
              </w:rPr>
              <w:t>2</w:t>
            </w:r>
          </w:p>
        </w:tc>
        <w:tc>
          <w:tcPr>
            <w:tcW w:w="4117" w:type="dxa"/>
            <w:vAlign w:val="center"/>
          </w:tcPr>
          <w:p w14:paraId="12896F02">
            <w:pPr>
              <w:spacing w:line="420" w:lineRule="exact"/>
              <w:jc w:val="left"/>
              <w:rPr>
                <w:rFonts w:hint="eastAsia" w:ascii="宋体" w:hAnsi="宋体" w:eastAsia="宋体" w:cs="宋体"/>
                <w:b w:val="0"/>
                <w:bCs/>
                <w:i w:val="0"/>
                <w:color w:val="auto"/>
                <w:szCs w:val="21"/>
                <w:highlight w:val="yellow"/>
                <w:u w:val="none" w:color="auto"/>
              </w:rPr>
            </w:pPr>
            <w:r>
              <w:rPr>
                <w:rStyle w:val="8"/>
                <w:rFonts w:ascii="宋体" w:hAnsi="宋体" w:eastAsia="宋体" w:cs="宋体"/>
                <w:b w:val="0"/>
                <w:sz w:val="21"/>
                <w:szCs w:val="24"/>
              </w:rPr>
              <w:t>质量管理体系科学、合理，控制质量的措施得力、针对性强，对工程质量的保障作用强，最佳1.6-2.0分；良好1.0-1.5分；一般0.5-0.9分；较差0-0.4分。</w:t>
            </w:r>
          </w:p>
        </w:tc>
      </w:tr>
      <w:tr w14:paraId="64B2CD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7" w:hRule="atLeast"/>
        </w:trPr>
        <w:tc>
          <w:tcPr>
            <w:tcW w:w="744" w:type="dxa"/>
            <w:vMerge w:val="continue"/>
            <w:tcBorders>
              <w:top w:val="nil"/>
              <w:bottom w:val="nil"/>
            </w:tcBorders>
            <w:vAlign w:val="top"/>
          </w:tcPr>
          <w:p w14:paraId="489E945A">
            <w:pPr>
              <w:rPr>
                <w:rFonts w:ascii="Arial"/>
                <w:sz w:val="21"/>
              </w:rPr>
            </w:pPr>
          </w:p>
        </w:tc>
        <w:tc>
          <w:tcPr>
            <w:tcW w:w="1099" w:type="dxa"/>
            <w:vMerge w:val="continue"/>
            <w:tcBorders>
              <w:top w:val="nil"/>
              <w:bottom w:val="nil"/>
            </w:tcBorders>
            <w:vAlign w:val="top"/>
          </w:tcPr>
          <w:p w14:paraId="15DCB022">
            <w:pPr>
              <w:rPr>
                <w:rFonts w:ascii="Arial"/>
                <w:sz w:val="21"/>
              </w:rPr>
            </w:pPr>
          </w:p>
        </w:tc>
        <w:tc>
          <w:tcPr>
            <w:tcW w:w="2044" w:type="dxa"/>
            <w:tcBorders>
              <w:bottom w:val="nil"/>
            </w:tcBorders>
            <w:vAlign w:val="center"/>
          </w:tcPr>
          <w:p w14:paraId="05C77A69">
            <w:pPr>
              <w:pStyle w:val="12"/>
              <w:jc w:val="left"/>
              <w:rPr>
                <w:rFonts w:hint="eastAsia" w:ascii="宋体" w:hAnsi="宋体" w:eastAsia="宋体" w:cs="宋体"/>
                <w:b w:val="0"/>
                <w:i w:val="0"/>
                <w:color w:val="auto"/>
                <w:highlight w:val="none"/>
                <w:u w:val="none" w:color="auto"/>
              </w:rPr>
            </w:pPr>
            <w:r>
              <w:rPr>
                <w:rStyle w:val="8"/>
                <w:rFonts w:ascii="宋体" w:hAnsi="宋体" w:eastAsia="宋体" w:cs="宋体"/>
                <w:b w:val="0"/>
                <w:sz w:val="21"/>
                <w:szCs w:val="24"/>
              </w:rPr>
              <w:t>8、工程进度计划与措施(2.0分)</w:t>
            </w:r>
          </w:p>
        </w:tc>
        <w:tc>
          <w:tcPr>
            <w:tcW w:w="936" w:type="dxa"/>
            <w:tcBorders>
              <w:bottom w:val="nil"/>
            </w:tcBorders>
            <w:vAlign w:val="center"/>
          </w:tcPr>
          <w:p w14:paraId="1248CB5A">
            <w:pPr>
              <w:spacing w:line="420" w:lineRule="exact"/>
              <w:jc w:val="center"/>
              <w:rPr>
                <w:rFonts w:hint="default" w:ascii="宋体" w:hAnsi="宋体" w:eastAsia="宋体" w:cs="宋体"/>
                <w:b w:val="0"/>
                <w:bCs/>
                <w:i w:val="0"/>
                <w:color w:val="auto"/>
                <w:szCs w:val="21"/>
                <w:highlight w:val="none"/>
                <w:u w:val="none" w:color="auto"/>
                <w:lang w:val="en-US" w:eastAsia="zh-CN"/>
              </w:rPr>
            </w:pPr>
            <w:r>
              <w:rPr>
                <w:rFonts w:hint="eastAsia" w:ascii="宋体" w:hAnsi="宋体" w:eastAsia="宋体" w:cs="宋体"/>
                <w:b w:val="0"/>
                <w:bCs/>
                <w:i w:val="0"/>
                <w:color w:val="auto"/>
                <w:szCs w:val="21"/>
                <w:highlight w:val="none"/>
                <w:u w:val="none" w:color="auto"/>
                <w:lang w:val="en-US" w:eastAsia="zh-CN"/>
              </w:rPr>
              <w:t>2</w:t>
            </w:r>
          </w:p>
        </w:tc>
        <w:tc>
          <w:tcPr>
            <w:tcW w:w="4117" w:type="dxa"/>
            <w:vAlign w:val="center"/>
          </w:tcPr>
          <w:p w14:paraId="2268CC44">
            <w:pPr>
              <w:spacing w:line="420" w:lineRule="exact"/>
              <w:jc w:val="left"/>
              <w:rPr>
                <w:rFonts w:hint="eastAsia" w:ascii="宋体" w:hAnsi="宋体" w:eastAsia="宋体" w:cs="宋体"/>
                <w:b w:val="0"/>
                <w:bCs/>
                <w:i w:val="0"/>
                <w:color w:val="auto"/>
                <w:szCs w:val="21"/>
                <w:highlight w:val="none"/>
                <w:u w:val="none" w:color="auto"/>
              </w:rPr>
            </w:pPr>
            <w:r>
              <w:rPr>
                <w:rStyle w:val="8"/>
                <w:rFonts w:ascii="宋体" w:hAnsi="宋体" w:eastAsia="宋体" w:cs="宋体"/>
                <w:b w:val="0"/>
                <w:sz w:val="21"/>
                <w:szCs w:val="24"/>
              </w:rPr>
              <w:t>编制了完善的施工总体进度网络图或横道图，工程进度计划科学、合理，保证工程进度措施得力，最佳1.6-2.0分；良好1.0-1.5分；一般0.5-0.9分；较差0-0.4分。</w:t>
            </w:r>
          </w:p>
        </w:tc>
      </w:tr>
      <w:tr w14:paraId="04D39C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2" w:hRule="atLeast"/>
        </w:trPr>
        <w:tc>
          <w:tcPr>
            <w:tcW w:w="744" w:type="dxa"/>
            <w:vMerge w:val="continue"/>
            <w:tcBorders>
              <w:top w:val="nil"/>
              <w:bottom w:val="nil"/>
            </w:tcBorders>
            <w:vAlign w:val="top"/>
          </w:tcPr>
          <w:p w14:paraId="78EDEBFF">
            <w:pPr>
              <w:rPr>
                <w:rFonts w:ascii="Arial"/>
                <w:sz w:val="21"/>
              </w:rPr>
            </w:pPr>
          </w:p>
        </w:tc>
        <w:tc>
          <w:tcPr>
            <w:tcW w:w="1099" w:type="dxa"/>
            <w:vMerge w:val="continue"/>
            <w:tcBorders>
              <w:top w:val="nil"/>
              <w:bottom w:val="nil"/>
            </w:tcBorders>
            <w:vAlign w:val="top"/>
          </w:tcPr>
          <w:p w14:paraId="0EAFB9A6">
            <w:pPr>
              <w:rPr>
                <w:rFonts w:ascii="Arial"/>
                <w:sz w:val="21"/>
              </w:rPr>
            </w:pPr>
          </w:p>
        </w:tc>
        <w:tc>
          <w:tcPr>
            <w:tcW w:w="2044" w:type="dxa"/>
            <w:tcBorders>
              <w:bottom w:val="nil"/>
            </w:tcBorders>
            <w:vAlign w:val="center"/>
          </w:tcPr>
          <w:p w14:paraId="31C8846D">
            <w:pPr>
              <w:pStyle w:val="12"/>
              <w:jc w:val="left"/>
            </w:pPr>
            <w:r>
              <w:rPr>
                <w:rStyle w:val="8"/>
                <w:rFonts w:ascii="宋体" w:hAnsi="宋体" w:eastAsia="宋体" w:cs="宋体"/>
                <w:b w:val="0"/>
                <w:sz w:val="21"/>
                <w:szCs w:val="24"/>
              </w:rPr>
              <w:t>9、安全管理体系与措施(2.0分)</w:t>
            </w:r>
          </w:p>
        </w:tc>
        <w:tc>
          <w:tcPr>
            <w:tcW w:w="936" w:type="dxa"/>
            <w:tcBorders>
              <w:bottom w:val="nil"/>
            </w:tcBorders>
            <w:vAlign w:val="center"/>
          </w:tcPr>
          <w:p w14:paraId="26D96A7C">
            <w:pPr>
              <w:jc w:val="center"/>
              <w:rPr>
                <w:rFonts w:hint="default"/>
                <w:lang w:val="en-US" w:eastAsia="zh-CN"/>
              </w:rPr>
            </w:pPr>
            <w:r>
              <w:rPr>
                <w:rFonts w:hint="eastAsia" w:eastAsia="宋体"/>
                <w:sz w:val="21"/>
                <w:lang w:val="en-US" w:eastAsia="zh-CN"/>
              </w:rPr>
              <w:t>2</w:t>
            </w:r>
          </w:p>
        </w:tc>
        <w:tc>
          <w:tcPr>
            <w:tcW w:w="4117" w:type="dxa"/>
            <w:vAlign w:val="top"/>
          </w:tcPr>
          <w:p w14:paraId="68AAB0A9">
            <w:r>
              <w:rPr>
                <w:rStyle w:val="8"/>
                <w:rFonts w:ascii="宋体" w:hAnsi="宋体" w:eastAsia="宋体" w:cs="宋体"/>
                <w:b w:val="0"/>
                <w:sz w:val="21"/>
                <w:szCs w:val="24"/>
              </w:rPr>
              <w:t>安全管理体系科学、合理，控制安全的措施得力、针对性强，对工程安全的保障作用强，最佳1.6-2.0分；良好1.0-1.5分；一般0.5-0.9分；较差0-0.4分。</w:t>
            </w:r>
          </w:p>
        </w:tc>
      </w:tr>
      <w:tr w14:paraId="13B92D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2" w:hRule="atLeast"/>
        </w:trPr>
        <w:tc>
          <w:tcPr>
            <w:tcW w:w="744" w:type="dxa"/>
            <w:vMerge w:val="continue"/>
            <w:tcBorders>
              <w:top w:val="nil"/>
              <w:bottom w:val="nil"/>
            </w:tcBorders>
            <w:vAlign w:val="top"/>
          </w:tcPr>
          <w:p w14:paraId="21F569EB">
            <w:pPr>
              <w:rPr>
                <w:rFonts w:ascii="Arial"/>
                <w:sz w:val="21"/>
              </w:rPr>
            </w:pPr>
          </w:p>
        </w:tc>
        <w:tc>
          <w:tcPr>
            <w:tcW w:w="1099" w:type="dxa"/>
            <w:vMerge w:val="continue"/>
            <w:tcBorders>
              <w:top w:val="nil"/>
              <w:bottom w:val="nil"/>
            </w:tcBorders>
            <w:vAlign w:val="top"/>
          </w:tcPr>
          <w:p w14:paraId="1805B35B">
            <w:pPr>
              <w:rPr>
                <w:rFonts w:ascii="Arial"/>
                <w:sz w:val="21"/>
              </w:rPr>
            </w:pPr>
          </w:p>
        </w:tc>
        <w:tc>
          <w:tcPr>
            <w:tcW w:w="2044" w:type="dxa"/>
            <w:vAlign w:val="center"/>
          </w:tcPr>
          <w:p w14:paraId="4534E1A3">
            <w:pPr>
              <w:pStyle w:val="12"/>
              <w:jc w:val="left"/>
            </w:pPr>
            <w:r>
              <w:rPr>
                <w:rStyle w:val="8"/>
                <w:rFonts w:ascii="宋体" w:hAnsi="宋体" w:eastAsia="宋体" w:cs="宋体"/>
                <w:b w:val="0"/>
                <w:sz w:val="21"/>
                <w:szCs w:val="24"/>
              </w:rPr>
              <w:t>10、扬尘污染治理及措施(2.0分)</w:t>
            </w:r>
          </w:p>
        </w:tc>
        <w:tc>
          <w:tcPr>
            <w:tcW w:w="936" w:type="dxa"/>
            <w:vAlign w:val="center"/>
          </w:tcPr>
          <w:p w14:paraId="162D1A9F">
            <w:pPr>
              <w:jc w:val="center"/>
              <w:rPr>
                <w:rFonts w:ascii="Arial"/>
                <w:sz w:val="21"/>
              </w:rPr>
            </w:pPr>
            <w:r>
              <w:rPr>
                <w:rFonts w:hint="eastAsia" w:eastAsia="宋体"/>
                <w:sz w:val="21"/>
                <w:lang w:val="en-US" w:eastAsia="zh-CN"/>
              </w:rPr>
              <w:t>2</w:t>
            </w:r>
          </w:p>
        </w:tc>
        <w:tc>
          <w:tcPr>
            <w:tcW w:w="4117" w:type="dxa"/>
            <w:vAlign w:val="top"/>
          </w:tcPr>
          <w:p w14:paraId="69FC88D5">
            <w:pPr>
              <w:pStyle w:val="11"/>
              <w:spacing w:before="159" w:line="221" w:lineRule="auto"/>
              <w:ind w:left="115"/>
            </w:pPr>
            <w:r>
              <w:rPr>
                <w:rStyle w:val="8"/>
                <w:rFonts w:ascii="宋体" w:hAnsi="宋体" w:eastAsia="宋体" w:cs="宋体"/>
                <w:b w:val="0"/>
                <w:sz w:val="21"/>
                <w:szCs w:val="24"/>
              </w:rPr>
              <w:t>扬尘污染治理及</w:t>
            </w:r>
            <w:r>
              <w:rPr>
                <w:rStyle w:val="8"/>
                <w:rFonts w:hint="eastAsia" w:cs="宋体"/>
                <w:b w:val="0"/>
                <w:sz w:val="21"/>
                <w:szCs w:val="24"/>
                <w:lang w:val="en-US" w:eastAsia="zh-CN"/>
              </w:rPr>
              <w:t>措施</w:t>
            </w:r>
            <w:r>
              <w:rPr>
                <w:rStyle w:val="8"/>
                <w:rFonts w:ascii="宋体" w:hAnsi="宋体" w:eastAsia="宋体" w:cs="宋体"/>
                <w:b w:val="0"/>
                <w:sz w:val="21"/>
                <w:szCs w:val="24"/>
              </w:rPr>
              <w:t>满足相关规定，内容全面具体、科学有效、措施可靠，最佳1.6-2.0分；良好1.0-1.5分；一般0.5-0.9分；较差0-0.4分。</w:t>
            </w:r>
          </w:p>
        </w:tc>
      </w:tr>
      <w:tr w14:paraId="77FEF5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2" w:hRule="atLeast"/>
        </w:trPr>
        <w:tc>
          <w:tcPr>
            <w:tcW w:w="744" w:type="dxa"/>
            <w:tcBorders>
              <w:top w:val="nil"/>
              <w:bottom w:val="nil"/>
            </w:tcBorders>
            <w:vAlign w:val="top"/>
          </w:tcPr>
          <w:p w14:paraId="5A0A03F6">
            <w:pPr>
              <w:rPr>
                <w:rFonts w:ascii="Arial"/>
                <w:sz w:val="21"/>
              </w:rPr>
            </w:pPr>
          </w:p>
        </w:tc>
        <w:tc>
          <w:tcPr>
            <w:tcW w:w="1099" w:type="dxa"/>
            <w:tcBorders>
              <w:top w:val="nil"/>
              <w:bottom w:val="nil"/>
            </w:tcBorders>
            <w:vAlign w:val="top"/>
          </w:tcPr>
          <w:p w14:paraId="6650D310">
            <w:pPr>
              <w:rPr>
                <w:rFonts w:ascii="Arial"/>
                <w:sz w:val="21"/>
              </w:rPr>
            </w:pPr>
          </w:p>
        </w:tc>
        <w:tc>
          <w:tcPr>
            <w:tcW w:w="2044" w:type="dxa"/>
            <w:vAlign w:val="center"/>
          </w:tcPr>
          <w:p w14:paraId="6498CC45">
            <w:pPr>
              <w:pStyle w:val="12"/>
              <w:jc w:val="left"/>
              <w:rPr>
                <w:rStyle w:val="8"/>
                <w:rFonts w:ascii="宋体" w:hAnsi="宋体" w:eastAsia="宋体" w:cs="宋体"/>
                <w:b w:val="0"/>
                <w:sz w:val="21"/>
                <w:szCs w:val="24"/>
              </w:rPr>
            </w:pPr>
            <w:r>
              <w:rPr>
                <w:rStyle w:val="8"/>
                <w:rFonts w:ascii="宋体" w:hAnsi="宋体" w:eastAsia="宋体" w:cs="宋体"/>
                <w:b w:val="0"/>
                <w:sz w:val="21"/>
                <w:szCs w:val="24"/>
              </w:rPr>
              <w:t>11、文明施工管理体系与措施(2.0分)</w:t>
            </w:r>
          </w:p>
        </w:tc>
        <w:tc>
          <w:tcPr>
            <w:tcW w:w="936" w:type="dxa"/>
            <w:vAlign w:val="center"/>
          </w:tcPr>
          <w:p w14:paraId="5869A2E7">
            <w:pPr>
              <w:jc w:val="center"/>
              <w:rPr>
                <w:rFonts w:ascii="Arial"/>
                <w:sz w:val="21"/>
              </w:rPr>
            </w:pPr>
            <w:r>
              <w:rPr>
                <w:rFonts w:hint="eastAsia" w:eastAsia="宋体"/>
                <w:sz w:val="21"/>
                <w:lang w:val="en-US" w:eastAsia="zh-CN"/>
              </w:rPr>
              <w:t>2</w:t>
            </w:r>
          </w:p>
        </w:tc>
        <w:tc>
          <w:tcPr>
            <w:tcW w:w="4117" w:type="dxa"/>
            <w:vAlign w:val="top"/>
          </w:tcPr>
          <w:p w14:paraId="5E86827A">
            <w:pPr>
              <w:pStyle w:val="12"/>
              <w:jc w:val="left"/>
              <w:rPr>
                <w:rStyle w:val="8"/>
                <w:rFonts w:ascii="宋体" w:hAnsi="宋体" w:eastAsia="宋体" w:cs="宋体"/>
                <w:b w:val="0"/>
                <w:sz w:val="21"/>
                <w:szCs w:val="24"/>
              </w:rPr>
            </w:pPr>
            <w:r>
              <w:rPr>
                <w:rStyle w:val="8"/>
                <w:rFonts w:ascii="宋体" w:hAnsi="宋体" w:eastAsia="宋体" w:cs="宋体"/>
                <w:b w:val="0"/>
                <w:sz w:val="21"/>
                <w:szCs w:val="24"/>
              </w:rPr>
              <w:t xml:space="preserve">1、承诺无条件免费清理施工现场范围内因施工所产生垃圾，保证现场及现场附近清洁卫生，得1分； </w:t>
            </w:r>
          </w:p>
          <w:p w14:paraId="221A64AD">
            <w:pPr>
              <w:pStyle w:val="11"/>
              <w:spacing w:before="159" w:line="221" w:lineRule="auto"/>
              <w:ind w:left="115"/>
            </w:pPr>
            <w:r>
              <w:rPr>
                <w:rStyle w:val="8"/>
                <w:rFonts w:ascii="宋体" w:hAnsi="宋体" w:eastAsia="宋体" w:cs="宋体"/>
                <w:b w:val="0"/>
                <w:sz w:val="21"/>
                <w:szCs w:val="24"/>
              </w:rPr>
              <w:t>2、文明施工管理体系科学、合理，措施得力，针对性强，最佳0.7-1.0分；良好0.3-0.6分；一般及较差0-0.2 分。</w:t>
            </w:r>
          </w:p>
        </w:tc>
      </w:tr>
      <w:tr w14:paraId="7DBEB0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2" w:hRule="atLeast"/>
        </w:trPr>
        <w:tc>
          <w:tcPr>
            <w:tcW w:w="744" w:type="dxa"/>
            <w:tcBorders>
              <w:top w:val="nil"/>
              <w:bottom w:val="nil"/>
            </w:tcBorders>
            <w:vAlign w:val="top"/>
          </w:tcPr>
          <w:p w14:paraId="727B2ADD">
            <w:pPr>
              <w:rPr>
                <w:rFonts w:ascii="Arial"/>
                <w:sz w:val="21"/>
              </w:rPr>
            </w:pPr>
          </w:p>
        </w:tc>
        <w:tc>
          <w:tcPr>
            <w:tcW w:w="1099" w:type="dxa"/>
            <w:tcBorders>
              <w:top w:val="nil"/>
              <w:bottom w:val="nil"/>
            </w:tcBorders>
            <w:vAlign w:val="top"/>
          </w:tcPr>
          <w:p w14:paraId="59338606">
            <w:pPr>
              <w:rPr>
                <w:rFonts w:ascii="Arial"/>
                <w:sz w:val="21"/>
              </w:rPr>
            </w:pPr>
          </w:p>
        </w:tc>
        <w:tc>
          <w:tcPr>
            <w:tcW w:w="2044" w:type="dxa"/>
            <w:vAlign w:val="center"/>
          </w:tcPr>
          <w:p w14:paraId="3B396A84">
            <w:pPr>
              <w:pStyle w:val="12"/>
              <w:jc w:val="left"/>
              <w:rPr>
                <w:rStyle w:val="8"/>
                <w:rFonts w:ascii="宋体" w:hAnsi="宋体" w:eastAsia="宋体" w:cs="宋体"/>
                <w:b w:val="0"/>
                <w:sz w:val="21"/>
                <w:szCs w:val="24"/>
              </w:rPr>
            </w:pPr>
            <w:r>
              <w:rPr>
                <w:rStyle w:val="8"/>
                <w:rFonts w:ascii="宋体" w:hAnsi="宋体" w:eastAsia="宋体" w:cs="宋体"/>
                <w:b w:val="0"/>
                <w:sz w:val="21"/>
                <w:szCs w:val="24"/>
              </w:rPr>
              <w:t>12、劳动力安排计划(2.0分)</w:t>
            </w:r>
          </w:p>
        </w:tc>
        <w:tc>
          <w:tcPr>
            <w:tcW w:w="936" w:type="dxa"/>
            <w:vAlign w:val="center"/>
          </w:tcPr>
          <w:p w14:paraId="28C6E167">
            <w:pPr>
              <w:jc w:val="center"/>
              <w:rPr>
                <w:rFonts w:ascii="Arial"/>
                <w:sz w:val="21"/>
              </w:rPr>
            </w:pPr>
            <w:r>
              <w:rPr>
                <w:rFonts w:hint="eastAsia" w:eastAsia="宋体"/>
                <w:sz w:val="21"/>
                <w:lang w:val="en-US" w:eastAsia="zh-CN"/>
              </w:rPr>
              <w:t>2</w:t>
            </w:r>
          </w:p>
        </w:tc>
        <w:tc>
          <w:tcPr>
            <w:tcW w:w="4117" w:type="dxa"/>
            <w:vAlign w:val="top"/>
          </w:tcPr>
          <w:p w14:paraId="366C9E30">
            <w:pPr>
              <w:pStyle w:val="11"/>
              <w:spacing w:before="159" w:line="221" w:lineRule="auto"/>
              <w:ind w:left="115"/>
            </w:pPr>
            <w:r>
              <w:rPr>
                <w:rStyle w:val="8"/>
                <w:rFonts w:ascii="宋体" w:hAnsi="宋体" w:eastAsia="宋体" w:cs="宋体"/>
                <w:b w:val="0"/>
                <w:sz w:val="21"/>
                <w:szCs w:val="24"/>
              </w:rPr>
              <w:t>劳动力资源配备齐全、合理，数量充足，进场计划时间明确，与进度计划及施工程序相符，最佳1.6-2.0分；良好1.0-1.5分；一般0.5-0.9分；较差0-0.4分。</w:t>
            </w:r>
          </w:p>
        </w:tc>
      </w:tr>
      <w:tr w14:paraId="1FF586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2" w:hRule="atLeast"/>
        </w:trPr>
        <w:tc>
          <w:tcPr>
            <w:tcW w:w="744" w:type="dxa"/>
            <w:tcBorders>
              <w:top w:val="nil"/>
              <w:bottom w:val="nil"/>
            </w:tcBorders>
            <w:vAlign w:val="top"/>
          </w:tcPr>
          <w:p w14:paraId="03E96CFD">
            <w:pPr>
              <w:rPr>
                <w:rFonts w:ascii="Arial"/>
                <w:sz w:val="21"/>
              </w:rPr>
            </w:pPr>
          </w:p>
        </w:tc>
        <w:tc>
          <w:tcPr>
            <w:tcW w:w="1099" w:type="dxa"/>
            <w:tcBorders>
              <w:top w:val="nil"/>
              <w:bottom w:val="nil"/>
            </w:tcBorders>
            <w:vAlign w:val="top"/>
          </w:tcPr>
          <w:p w14:paraId="780FA75F">
            <w:pPr>
              <w:rPr>
                <w:rFonts w:ascii="Arial"/>
                <w:sz w:val="21"/>
              </w:rPr>
            </w:pPr>
          </w:p>
        </w:tc>
        <w:tc>
          <w:tcPr>
            <w:tcW w:w="2044" w:type="dxa"/>
            <w:vAlign w:val="center"/>
          </w:tcPr>
          <w:p w14:paraId="5F4A9D96">
            <w:pPr>
              <w:pStyle w:val="12"/>
              <w:jc w:val="left"/>
              <w:rPr>
                <w:rStyle w:val="8"/>
                <w:rFonts w:ascii="宋体" w:hAnsi="宋体" w:eastAsia="宋体" w:cs="宋体"/>
                <w:b w:val="0"/>
                <w:sz w:val="21"/>
                <w:szCs w:val="24"/>
              </w:rPr>
            </w:pPr>
            <w:r>
              <w:rPr>
                <w:rStyle w:val="8"/>
                <w:rFonts w:ascii="宋体" w:hAnsi="宋体" w:eastAsia="宋体" w:cs="宋体"/>
                <w:b w:val="0"/>
                <w:sz w:val="21"/>
                <w:szCs w:val="24"/>
              </w:rPr>
              <w:t>13、材料（周转和非周转材料）投入计划(2.0分)</w:t>
            </w:r>
          </w:p>
        </w:tc>
        <w:tc>
          <w:tcPr>
            <w:tcW w:w="936" w:type="dxa"/>
            <w:vAlign w:val="center"/>
          </w:tcPr>
          <w:p w14:paraId="10AEB785">
            <w:pPr>
              <w:jc w:val="center"/>
              <w:rPr>
                <w:rFonts w:ascii="Arial"/>
                <w:sz w:val="21"/>
              </w:rPr>
            </w:pPr>
            <w:r>
              <w:rPr>
                <w:rFonts w:hint="eastAsia" w:eastAsia="宋体"/>
                <w:sz w:val="21"/>
                <w:lang w:val="en-US" w:eastAsia="zh-CN"/>
              </w:rPr>
              <w:t>2</w:t>
            </w:r>
          </w:p>
        </w:tc>
        <w:tc>
          <w:tcPr>
            <w:tcW w:w="4117" w:type="dxa"/>
            <w:vAlign w:val="top"/>
          </w:tcPr>
          <w:p w14:paraId="57627996">
            <w:pPr>
              <w:pStyle w:val="11"/>
              <w:spacing w:before="159" w:line="221" w:lineRule="auto"/>
              <w:ind w:left="115"/>
            </w:pPr>
            <w:r>
              <w:rPr>
                <w:rStyle w:val="8"/>
                <w:rFonts w:ascii="宋体" w:hAnsi="宋体" w:eastAsia="宋体" w:cs="宋体"/>
                <w:b w:val="0"/>
                <w:sz w:val="21"/>
                <w:szCs w:val="24"/>
              </w:rPr>
              <w:t>施工材料资源配备齐全、合理，数量充足，进场计划时间明确，与进度计划及施工程序相符，最佳1.6-2.0分；良好1.0-1.5分；一般0.5-0.9分；较差0-0.4分。</w:t>
            </w:r>
          </w:p>
        </w:tc>
      </w:tr>
      <w:tr w14:paraId="4632AB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2" w:hRule="atLeast"/>
        </w:trPr>
        <w:tc>
          <w:tcPr>
            <w:tcW w:w="744" w:type="dxa"/>
            <w:tcBorders>
              <w:top w:val="nil"/>
              <w:bottom w:val="nil"/>
            </w:tcBorders>
            <w:vAlign w:val="top"/>
          </w:tcPr>
          <w:p w14:paraId="5EF3FA23">
            <w:pPr>
              <w:rPr>
                <w:rFonts w:ascii="Arial"/>
                <w:sz w:val="21"/>
              </w:rPr>
            </w:pPr>
          </w:p>
        </w:tc>
        <w:tc>
          <w:tcPr>
            <w:tcW w:w="1099" w:type="dxa"/>
            <w:tcBorders>
              <w:top w:val="nil"/>
              <w:bottom w:val="nil"/>
            </w:tcBorders>
            <w:vAlign w:val="top"/>
          </w:tcPr>
          <w:p w14:paraId="6E4B5AE9">
            <w:pPr>
              <w:rPr>
                <w:rFonts w:ascii="Arial"/>
                <w:sz w:val="21"/>
              </w:rPr>
            </w:pPr>
          </w:p>
        </w:tc>
        <w:tc>
          <w:tcPr>
            <w:tcW w:w="2044" w:type="dxa"/>
            <w:vAlign w:val="center"/>
          </w:tcPr>
          <w:p w14:paraId="22F66A6A">
            <w:pPr>
              <w:pStyle w:val="12"/>
              <w:jc w:val="left"/>
              <w:rPr>
                <w:rStyle w:val="8"/>
                <w:rFonts w:ascii="宋体" w:hAnsi="宋体" w:eastAsia="宋体" w:cs="宋体"/>
                <w:b w:val="0"/>
                <w:sz w:val="21"/>
                <w:szCs w:val="24"/>
              </w:rPr>
            </w:pPr>
            <w:r>
              <w:rPr>
                <w:rStyle w:val="8"/>
                <w:rFonts w:ascii="宋体" w:hAnsi="宋体" w:eastAsia="宋体" w:cs="宋体"/>
                <w:b w:val="0"/>
                <w:sz w:val="21"/>
                <w:szCs w:val="24"/>
              </w:rPr>
              <w:t>14、施工机械设备投入计划(2.0分)</w:t>
            </w:r>
          </w:p>
        </w:tc>
        <w:tc>
          <w:tcPr>
            <w:tcW w:w="936" w:type="dxa"/>
            <w:vAlign w:val="center"/>
          </w:tcPr>
          <w:p w14:paraId="5B22B606">
            <w:pPr>
              <w:jc w:val="center"/>
              <w:rPr>
                <w:rFonts w:hint="eastAsia" w:ascii="Arial" w:eastAsia="宋体"/>
                <w:sz w:val="21"/>
                <w:lang w:val="en-US" w:eastAsia="zh-CN"/>
              </w:rPr>
            </w:pPr>
            <w:r>
              <w:rPr>
                <w:rFonts w:hint="eastAsia" w:eastAsia="宋体"/>
                <w:sz w:val="21"/>
                <w:lang w:val="en-US" w:eastAsia="zh-CN"/>
              </w:rPr>
              <w:t>2</w:t>
            </w:r>
          </w:p>
        </w:tc>
        <w:tc>
          <w:tcPr>
            <w:tcW w:w="4117" w:type="dxa"/>
            <w:vAlign w:val="top"/>
          </w:tcPr>
          <w:p w14:paraId="0C29C180">
            <w:pPr>
              <w:pStyle w:val="11"/>
              <w:spacing w:before="159" w:line="221" w:lineRule="auto"/>
              <w:ind w:left="115"/>
            </w:pPr>
            <w:r>
              <w:rPr>
                <w:rStyle w:val="8"/>
                <w:rFonts w:ascii="宋体" w:hAnsi="宋体" w:eastAsia="宋体" w:cs="宋体"/>
                <w:b w:val="0"/>
                <w:sz w:val="21"/>
                <w:szCs w:val="24"/>
              </w:rPr>
              <w:t>施工机械设备资源配备齐全、合理，数量充足，进场计划时间明确，与进度计划及施工程序完全相符，最佳1.6-2.0分；良好1.0-1.5分；一般0.5-0.9分；较差0-0.4分。</w:t>
            </w:r>
          </w:p>
        </w:tc>
      </w:tr>
      <w:tr w14:paraId="22E995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2" w:hRule="atLeast"/>
        </w:trPr>
        <w:tc>
          <w:tcPr>
            <w:tcW w:w="744" w:type="dxa"/>
            <w:tcBorders>
              <w:top w:val="nil"/>
              <w:bottom w:val="nil"/>
            </w:tcBorders>
            <w:vAlign w:val="top"/>
          </w:tcPr>
          <w:p w14:paraId="5EF31312">
            <w:pPr>
              <w:rPr>
                <w:rFonts w:ascii="Arial"/>
                <w:sz w:val="21"/>
              </w:rPr>
            </w:pPr>
          </w:p>
          <w:p w14:paraId="1A5966FF">
            <w:pPr>
              <w:rPr>
                <w:rFonts w:ascii="Arial"/>
                <w:sz w:val="21"/>
              </w:rPr>
            </w:pPr>
          </w:p>
        </w:tc>
        <w:tc>
          <w:tcPr>
            <w:tcW w:w="1099" w:type="dxa"/>
            <w:tcBorders>
              <w:top w:val="nil"/>
              <w:bottom w:val="nil"/>
            </w:tcBorders>
            <w:vAlign w:val="top"/>
          </w:tcPr>
          <w:p w14:paraId="153DA858">
            <w:pPr>
              <w:rPr>
                <w:rFonts w:ascii="Arial"/>
                <w:sz w:val="21"/>
              </w:rPr>
            </w:pPr>
          </w:p>
        </w:tc>
        <w:tc>
          <w:tcPr>
            <w:tcW w:w="2044" w:type="dxa"/>
            <w:vAlign w:val="center"/>
          </w:tcPr>
          <w:p w14:paraId="71822B4A">
            <w:pPr>
              <w:pStyle w:val="12"/>
              <w:jc w:val="left"/>
              <w:rPr>
                <w:rStyle w:val="8"/>
                <w:rFonts w:ascii="宋体" w:hAnsi="宋体" w:eastAsia="宋体" w:cs="宋体"/>
                <w:b w:val="0"/>
                <w:sz w:val="21"/>
                <w:szCs w:val="24"/>
              </w:rPr>
            </w:pPr>
            <w:r>
              <w:rPr>
                <w:rStyle w:val="8"/>
                <w:rFonts w:ascii="宋体" w:hAnsi="宋体" w:eastAsia="宋体" w:cs="宋体"/>
                <w:b w:val="0"/>
                <w:sz w:val="21"/>
                <w:szCs w:val="24"/>
              </w:rPr>
              <w:t>15、工程半成品及成品保护措施(2.0分)</w:t>
            </w:r>
          </w:p>
        </w:tc>
        <w:tc>
          <w:tcPr>
            <w:tcW w:w="936" w:type="dxa"/>
            <w:vAlign w:val="center"/>
          </w:tcPr>
          <w:p w14:paraId="70B2807C">
            <w:pPr>
              <w:jc w:val="center"/>
              <w:rPr>
                <w:rFonts w:ascii="Arial"/>
                <w:sz w:val="21"/>
              </w:rPr>
            </w:pPr>
            <w:r>
              <w:rPr>
                <w:rFonts w:hint="eastAsia" w:eastAsia="宋体"/>
                <w:sz w:val="21"/>
                <w:lang w:val="en-US" w:eastAsia="zh-CN"/>
              </w:rPr>
              <w:t>2</w:t>
            </w:r>
          </w:p>
        </w:tc>
        <w:tc>
          <w:tcPr>
            <w:tcW w:w="4117" w:type="dxa"/>
            <w:vAlign w:val="top"/>
          </w:tcPr>
          <w:p w14:paraId="46A0B0D4">
            <w:pPr>
              <w:pStyle w:val="11"/>
              <w:spacing w:before="159" w:line="221" w:lineRule="auto"/>
              <w:ind w:left="115"/>
            </w:pPr>
            <w:r>
              <w:rPr>
                <w:rStyle w:val="8"/>
                <w:rFonts w:ascii="宋体" w:hAnsi="宋体" w:eastAsia="宋体" w:cs="宋体"/>
                <w:b w:val="0"/>
                <w:sz w:val="21"/>
                <w:szCs w:val="24"/>
              </w:rPr>
              <w:t>各项措施完整可行，与进度计划及施工程序完全相符，最佳1.6-2.0分；良好1.0-1.5分；一般0.5-0.9分；较差0-0.4分。</w:t>
            </w:r>
          </w:p>
        </w:tc>
      </w:tr>
      <w:tr w14:paraId="71F530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2" w:hRule="atLeast"/>
        </w:trPr>
        <w:tc>
          <w:tcPr>
            <w:tcW w:w="744" w:type="dxa"/>
            <w:tcBorders>
              <w:top w:val="nil"/>
              <w:bottom w:val="nil"/>
            </w:tcBorders>
            <w:vAlign w:val="top"/>
          </w:tcPr>
          <w:p w14:paraId="0E23B5FE">
            <w:pPr>
              <w:rPr>
                <w:rFonts w:ascii="Arial"/>
                <w:sz w:val="21"/>
              </w:rPr>
            </w:pPr>
          </w:p>
        </w:tc>
        <w:tc>
          <w:tcPr>
            <w:tcW w:w="1099" w:type="dxa"/>
            <w:tcBorders>
              <w:top w:val="nil"/>
              <w:bottom w:val="nil"/>
            </w:tcBorders>
            <w:vAlign w:val="top"/>
          </w:tcPr>
          <w:p w14:paraId="4EEF3DDC">
            <w:pPr>
              <w:rPr>
                <w:rFonts w:ascii="Arial"/>
                <w:sz w:val="21"/>
              </w:rPr>
            </w:pPr>
          </w:p>
        </w:tc>
        <w:tc>
          <w:tcPr>
            <w:tcW w:w="2044" w:type="dxa"/>
            <w:vAlign w:val="center"/>
          </w:tcPr>
          <w:p w14:paraId="398290CF">
            <w:pPr>
              <w:pStyle w:val="12"/>
              <w:jc w:val="left"/>
              <w:rPr>
                <w:rStyle w:val="8"/>
                <w:rFonts w:ascii="宋体" w:hAnsi="宋体" w:eastAsia="宋体" w:cs="宋体"/>
                <w:b w:val="0"/>
                <w:sz w:val="21"/>
                <w:szCs w:val="24"/>
              </w:rPr>
            </w:pPr>
            <w:r>
              <w:rPr>
                <w:rStyle w:val="8"/>
                <w:rFonts w:ascii="宋体" w:hAnsi="宋体" w:eastAsia="宋体" w:cs="宋体"/>
                <w:b w:val="0"/>
                <w:sz w:val="21"/>
                <w:szCs w:val="24"/>
              </w:rPr>
              <w:t>16、实名制及确保农民工工资(2.0分)</w:t>
            </w:r>
          </w:p>
        </w:tc>
        <w:tc>
          <w:tcPr>
            <w:tcW w:w="936" w:type="dxa"/>
            <w:vAlign w:val="center"/>
          </w:tcPr>
          <w:p w14:paraId="0AF72C00">
            <w:pPr>
              <w:jc w:val="center"/>
              <w:rPr>
                <w:rFonts w:ascii="Arial"/>
                <w:sz w:val="21"/>
              </w:rPr>
            </w:pPr>
            <w:r>
              <w:rPr>
                <w:rFonts w:hint="eastAsia" w:eastAsia="宋体"/>
                <w:sz w:val="21"/>
                <w:lang w:val="en-US" w:eastAsia="zh-CN"/>
              </w:rPr>
              <w:t>2</w:t>
            </w:r>
          </w:p>
        </w:tc>
        <w:tc>
          <w:tcPr>
            <w:tcW w:w="4117" w:type="dxa"/>
            <w:vAlign w:val="top"/>
          </w:tcPr>
          <w:p w14:paraId="6BEDA3D0">
            <w:pPr>
              <w:pStyle w:val="11"/>
              <w:spacing w:before="159" w:line="221" w:lineRule="auto"/>
              <w:ind w:left="115"/>
            </w:pPr>
            <w:r>
              <w:rPr>
                <w:rStyle w:val="8"/>
                <w:rFonts w:ascii="宋体" w:hAnsi="宋体" w:eastAsia="宋体" w:cs="宋体"/>
                <w:b w:val="0"/>
                <w:sz w:val="21"/>
                <w:szCs w:val="24"/>
              </w:rPr>
              <w:t>措施科学、具体、可行、可靠，对国家、省、市规定进行了响应，最佳1.6-2.0分；良好1.0-1.5分；一般0.5-0.9分；较差0-0.4分。</w:t>
            </w:r>
          </w:p>
        </w:tc>
      </w:tr>
      <w:tr w14:paraId="7096EC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2" w:hRule="atLeast"/>
        </w:trPr>
        <w:tc>
          <w:tcPr>
            <w:tcW w:w="744" w:type="dxa"/>
            <w:tcBorders>
              <w:top w:val="nil"/>
              <w:bottom w:val="nil"/>
            </w:tcBorders>
            <w:vAlign w:val="top"/>
          </w:tcPr>
          <w:p w14:paraId="65342DE6">
            <w:pPr>
              <w:rPr>
                <w:rFonts w:ascii="Arial"/>
                <w:sz w:val="21"/>
              </w:rPr>
            </w:pPr>
          </w:p>
        </w:tc>
        <w:tc>
          <w:tcPr>
            <w:tcW w:w="1099" w:type="dxa"/>
            <w:tcBorders>
              <w:top w:val="nil"/>
              <w:bottom w:val="nil"/>
            </w:tcBorders>
            <w:vAlign w:val="top"/>
          </w:tcPr>
          <w:p w14:paraId="44CBBB6C">
            <w:pPr>
              <w:rPr>
                <w:rFonts w:ascii="Arial"/>
                <w:sz w:val="21"/>
              </w:rPr>
            </w:pPr>
          </w:p>
        </w:tc>
        <w:tc>
          <w:tcPr>
            <w:tcW w:w="2044" w:type="dxa"/>
            <w:vAlign w:val="center"/>
          </w:tcPr>
          <w:p w14:paraId="00D3AA0F">
            <w:pPr>
              <w:pStyle w:val="12"/>
              <w:jc w:val="left"/>
              <w:rPr>
                <w:rStyle w:val="8"/>
                <w:rFonts w:ascii="宋体" w:hAnsi="宋体" w:eastAsia="宋体" w:cs="宋体"/>
                <w:b w:val="0"/>
                <w:sz w:val="21"/>
                <w:szCs w:val="24"/>
              </w:rPr>
            </w:pPr>
            <w:r>
              <w:rPr>
                <w:rStyle w:val="8"/>
                <w:rFonts w:ascii="宋体" w:hAnsi="宋体" w:eastAsia="宋体" w:cs="宋体"/>
                <w:b w:val="0"/>
                <w:sz w:val="21"/>
                <w:szCs w:val="24"/>
              </w:rPr>
              <w:t>17、工程档案(2.0分)</w:t>
            </w:r>
          </w:p>
        </w:tc>
        <w:tc>
          <w:tcPr>
            <w:tcW w:w="936" w:type="dxa"/>
            <w:vAlign w:val="center"/>
          </w:tcPr>
          <w:p w14:paraId="6849C747">
            <w:pPr>
              <w:jc w:val="center"/>
              <w:rPr>
                <w:rFonts w:ascii="Arial"/>
                <w:sz w:val="21"/>
              </w:rPr>
            </w:pPr>
            <w:r>
              <w:rPr>
                <w:rFonts w:hint="eastAsia" w:eastAsia="宋体"/>
                <w:sz w:val="21"/>
                <w:lang w:val="en-US" w:eastAsia="zh-CN"/>
              </w:rPr>
              <w:t>2</w:t>
            </w:r>
          </w:p>
        </w:tc>
        <w:tc>
          <w:tcPr>
            <w:tcW w:w="4117" w:type="dxa"/>
            <w:vAlign w:val="top"/>
          </w:tcPr>
          <w:p w14:paraId="4166DFBE">
            <w:pPr>
              <w:pStyle w:val="11"/>
              <w:spacing w:before="159" w:line="221" w:lineRule="auto"/>
              <w:ind w:left="115"/>
            </w:pPr>
            <w:r>
              <w:rPr>
                <w:rStyle w:val="8"/>
                <w:rFonts w:ascii="宋体" w:hAnsi="宋体" w:eastAsia="宋体" w:cs="宋体"/>
                <w:b w:val="0"/>
                <w:sz w:val="21"/>
                <w:szCs w:val="24"/>
              </w:rPr>
              <w:t>工程档案材料收集及整理措施科学、规范、严密，手段先进，最佳1.6-2.0分；良好1.0-1.5分；一般0.5-0.9分；较差0-0.4分。</w:t>
            </w:r>
          </w:p>
        </w:tc>
      </w:tr>
      <w:tr w14:paraId="126B45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2" w:hRule="atLeast"/>
        </w:trPr>
        <w:tc>
          <w:tcPr>
            <w:tcW w:w="744" w:type="dxa"/>
            <w:tcBorders>
              <w:top w:val="nil"/>
              <w:bottom w:val="nil"/>
            </w:tcBorders>
            <w:vAlign w:val="top"/>
          </w:tcPr>
          <w:p w14:paraId="5F54E5B3">
            <w:pPr>
              <w:rPr>
                <w:rFonts w:ascii="Arial"/>
                <w:sz w:val="21"/>
              </w:rPr>
            </w:pPr>
          </w:p>
        </w:tc>
        <w:tc>
          <w:tcPr>
            <w:tcW w:w="1099" w:type="dxa"/>
            <w:tcBorders>
              <w:top w:val="nil"/>
              <w:bottom w:val="nil"/>
            </w:tcBorders>
            <w:vAlign w:val="top"/>
          </w:tcPr>
          <w:p w14:paraId="618860A2">
            <w:pPr>
              <w:rPr>
                <w:rFonts w:ascii="Arial"/>
                <w:sz w:val="21"/>
              </w:rPr>
            </w:pPr>
          </w:p>
        </w:tc>
        <w:tc>
          <w:tcPr>
            <w:tcW w:w="2044" w:type="dxa"/>
            <w:vAlign w:val="center"/>
          </w:tcPr>
          <w:p w14:paraId="6CDC1FCF">
            <w:pPr>
              <w:pStyle w:val="12"/>
              <w:jc w:val="left"/>
              <w:rPr>
                <w:rStyle w:val="8"/>
                <w:rFonts w:ascii="宋体" w:hAnsi="宋体" w:eastAsia="宋体" w:cs="宋体"/>
                <w:b w:val="0"/>
                <w:sz w:val="21"/>
                <w:szCs w:val="24"/>
              </w:rPr>
            </w:pPr>
            <w:r>
              <w:rPr>
                <w:rStyle w:val="8"/>
                <w:rFonts w:ascii="宋体" w:hAnsi="宋体" w:eastAsia="宋体" w:cs="宋体"/>
                <w:b w:val="0"/>
                <w:sz w:val="21"/>
                <w:szCs w:val="24"/>
              </w:rPr>
              <w:t>18、质量保修(2.0分)</w:t>
            </w:r>
          </w:p>
        </w:tc>
        <w:tc>
          <w:tcPr>
            <w:tcW w:w="936" w:type="dxa"/>
            <w:vAlign w:val="center"/>
          </w:tcPr>
          <w:p w14:paraId="52BBA08E">
            <w:pPr>
              <w:jc w:val="center"/>
              <w:rPr>
                <w:rFonts w:ascii="Arial"/>
                <w:sz w:val="21"/>
              </w:rPr>
            </w:pPr>
            <w:r>
              <w:rPr>
                <w:rFonts w:hint="eastAsia" w:eastAsia="宋体"/>
                <w:sz w:val="21"/>
                <w:lang w:val="en-US" w:eastAsia="zh-CN"/>
              </w:rPr>
              <w:t>2</w:t>
            </w:r>
          </w:p>
        </w:tc>
        <w:tc>
          <w:tcPr>
            <w:tcW w:w="4117" w:type="dxa"/>
            <w:vAlign w:val="top"/>
          </w:tcPr>
          <w:p w14:paraId="7D6CC8F4">
            <w:pPr>
              <w:pStyle w:val="11"/>
              <w:spacing w:before="159" w:line="221" w:lineRule="auto"/>
              <w:ind w:left="115"/>
            </w:pPr>
            <w:r>
              <w:rPr>
                <w:rStyle w:val="8"/>
                <w:rFonts w:ascii="宋体" w:hAnsi="宋体" w:eastAsia="宋体" w:cs="宋体"/>
                <w:b w:val="0"/>
                <w:sz w:val="21"/>
                <w:szCs w:val="24"/>
              </w:rPr>
              <w:t>质量保修方案科学、合理、可行，建设单位权益能得到有效保障，最佳1.6-2.0分；良好1.0-1.5分；一般0.5-0.9分；较差0-0.4分。</w:t>
            </w:r>
          </w:p>
        </w:tc>
      </w:tr>
      <w:tr w14:paraId="14E214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2" w:hRule="atLeast"/>
        </w:trPr>
        <w:tc>
          <w:tcPr>
            <w:tcW w:w="744" w:type="dxa"/>
            <w:tcBorders>
              <w:top w:val="nil"/>
              <w:bottom w:val="nil"/>
            </w:tcBorders>
            <w:vAlign w:val="top"/>
          </w:tcPr>
          <w:p w14:paraId="3A0D0536">
            <w:pPr>
              <w:rPr>
                <w:rFonts w:ascii="Arial"/>
                <w:sz w:val="21"/>
              </w:rPr>
            </w:pPr>
          </w:p>
        </w:tc>
        <w:tc>
          <w:tcPr>
            <w:tcW w:w="1099" w:type="dxa"/>
            <w:tcBorders>
              <w:top w:val="nil"/>
              <w:bottom w:val="nil"/>
            </w:tcBorders>
            <w:vAlign w:val="top"/>
          </w:tcPr>
          <w:p w14:paraId="3B684EFB">
            <w:pPr>
              <w:rPr>
                <w:rFonts w:ascii="Arial"/>
                <w:sz w:val="21"/>
              </w:rPr>
            </w:pPr>
          </w:p>
        </w:tc>
        <w:tc>
          <w:tcPr>
            <w:tcW w:w="2044" w:type="dxa"/>
            <w:vAlign w:val="center"/>
          </w:tcPr>
          <w:p w14:paraId="2991DCED">
            <w:pPr>
              <w:pStyle w:val="12"/>
              <w:jc w:val="left"/>
              <w:rPr>
                <w:rStyle w:val="8"/>
                <w:rFonts w:ascii="宋体" w:hAnsi="宋体" w:eastAsia="宋体" w:cs="宋体"/>
                <w:b w:val="0"/>
                <w:sz w:val="21"/>
                <w:szCs w:val="24"/>
              </w:rPr>
            </w:pPr>
            <w:r>
              <w:rPr>
                <w:rStyle w:val="8"/>
                <w:rFonts w:ascii="宋体" w:hAnsi="宋体" w:eastAsia="宋体" w:cs="宋体"/>
                <w:b w:val="0"/>
                <w:sz w:val="21"/>
                <w:szCs w:val="24"/>
              </w:rPr>
              <w:t>19、与业主、设计单位及其它相关单位的配合(2.0分)</w:t>
            </w:r>
          </w:p>
        </w:tc>
        <w:tc>
          <w:tcPr>
            <w:tcW w:w="936" w:type="dxa"/>
            <w:vAlign w:val="center"/>
          </w:tcPr>
          <w:p w14:paraId="2C1D8876">
            <w:pPr>
              <w:jc w:val="center"/>
              <w:rPr>
                <w:rFonts w:hint="eastAsia" w:ascii="Arial" w:eastAsia="宋体"/>
                <w:sz w:val="21"/>
                <w:lang w:val="en-US" w:eastAsia="zh-CN"/>
              </w:rPr>
            </w:pPr>
            <w:r>
              <w:rPr>
                <w:rFonts w:hint="eastAsia" w:eastAsia="宋体"/>
                <w:sz w:val="21"/>
                <w:lang w:val="en-US" w:eastAsia="zh-CN"/>
              </w:rPr>
              <w:t>2</w:t>
            </w:r>
          </w:p>
        </w:tc>
        <w:tc>
          <w:tcPr>
            <w:tcW w:w="4117" w:type="dxa"/>
            <w:vAlign w:val="top"/>
          </w:tcPr>
          <w:p w14:paraId="165B71E8">
            <w:pPr>
              <w:pStyle w:val="11"/>
              <w:spacing w:before="159" w:line="221" w:lineRule="auto"/>
              <w:ind w:left="115"/>
            </w:pPr>
            <w:r>
              <w:rPr>
                <w:rStyle w:val="8"/>
                <w:rFonts w:ascii="宋体" w:hAnsi="宋体" w:eastAsia="宋体" w:cs="宋体"/>
                <w:b w:val="0"/>
                <w:sz w:val="21"/>
                <w:szCs w:val="24"/>
              </w:rPr>
              <w:t>配合协调方案措施可行、可靠、合理、针对性好，承诺具体，最佳1.6-2.0分；良好1.0-1.5分；一般0.5-0.9分；较差0-0.4分。</w:t>
            </w:r>
          </w:p>
        </w:tc>
      </w:tr>
      <w:tr w14:paraId="5355C1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2" w:hRule="atLeast"/>
        </w:trPr>
        <w:tc>
          <w:tcPr>
            <w:tcW w:w="744" w:type="dxa"/>
            <w:tcBorders>
              <w:top w:val="nil"/>
            </w:tcBorders>
            <w:vAlign w:val="top"/>
          </w:tcPr>
          <w:p w14:paraId="532F37FD">
            <w:pPr>
              <w:rPr>
                <w:rFonts w:ascii="Arial"/>
                <w:sz w:val="21"/>
              </w:rPr>
            </w:pPr>
          </w:p>
        </w:tc>
        <w:tc>
          <w:tcPr>
            <w:tcW w:w="1099" w:type="dxa"/>
            <w:tcBorders>
              <w:top w:val="nil"/>
            </w:tcBorders>
            <w:vAlign w:val="top"/>
          </w:tcPr>
          <w:p w14:paraId="36273582">
            <w:pPr>
              <w:rPr>
                <w:rFonts w:ascii="Arial"/>
                <w:sz w:val="21"/>
              </w:rPr>
            </w:pPr>
          </w:p>
        </w:tc>
        <w:tc>
          <w:tcPr>
            <w:tcW w:w="2044" w:type="dxa"/>
            <w:vAlign w:val="center"/>
          </w:tcPr>
          <w:p w14:paraId="65FF99D0">
            <w:pPr>
              <w:pStyle w:val="12"/>
              <w:jc w:val="left"/>
              <w:rPr>
                <w:rStyle w:val="8"/>
                <w:rFonts w:ascii="宋体" w:hAnsi="宋体" w:eastAsia="宋体" w:cs="宋体"/>
                <w:b w:val="0"/>
                <w:sz w:val="21"/>
                <w:szCs w:val="24"/>
              </w:rPr>
            </w:pPr>
            <w:r>
              <w:rPr>
                <w:rStyle w:val="8"/>
                <w:rFonts w:ascii="宋体" w:hAnsi="宋体" w:eastAsia="宋体" w:cs="宋体"/>
                <w:b w:val="0"/>
                <w:sz w:val="21"/>
                <w:szCs w:val="24"/>
              </w:rPr>
              <w:t>20、合理化建议及降低成本措施(2.0分)</w:t>
            </w:r>
          </w:p>
        </w:tc>
        <w:tc>
          <w:tcPr>
            <w:tcW w:w="936" w:type="dxa"/>
            <w:vAlign w:val="center"/>
          </w:tcPr>
          <w:p w14:paraId="1D1CEFF8">
            <w:pPr>
              <w:jc w:val="center"/>
              <w:rPr>
                <w:rFonts w:ascii="Arial"/>
                <w:sz w:val="21"/>
              </w:rPr>
            </w:pPr>
            <w:r>
              <w:rPr>
                <w:rFonts w:hint="eastAsia" w:eastAsia="宋体"/>
                <w:sz w:val="21"/>
                <w:lang w:val="en-US" w:eastAsia="zh-CN"/>
              </w:rPr>
              <w:t>2</w:t>
            </w:r>
          </w:p>
        </w:tc>
        <w:tc>
          <w:tcPr>
            <w:tcW w:w="4117" w:type="dxa"/>
            <w:vAlign w:val="top"/>
          </w:tcPr>
          <w:p w14:paraId="1F2C85E2">
            <w:pPr>
              <w:pStyle w:val="11"/>
              <w:spacing w:before="159" w:line="221" w:lineRule="auto"/>
              <w:ind w:left="115"/>
            </w:pPr>
            <w:r>
              <w:rPr>
                <w:rStyle w:val="8"/>
                <w:rFonts w:ascii="宋体" w:hAnsi="宋体" w:eastAsia="宋体" w:cs="宋体"/>
                <w:b w:val="0"/>
                <w:sz w:val="21"/>
                <w:szCs w:val="24"/>
              </w:rPr>
              <w:t>提出了符合本工程特点的合理化建议并具备可行性，降低成本措施适合本项目并具备可行性，最佳1.6-2.0分；良好1.0-1.5分；一般0.5-0.9分；较差0-0.4分。</w:t>
            </w:r>
          </w:p>
        </w:tc>
      </w:tr>
    </w:tbl>
    <w:p w14:paraId="3757392C">
      <w:pPr>
        <w:spacing w:line="95" w:lineRule="auto"/>
        <w:rPr>
          <w:rFonts w:ascii="Arial"/>
          <w:sz w:val="2"/>
        </w:rPr>
      </w:pPr>
    </w:p>
    <w:tbl>
      <w:tblPr>
        <w:tblStyle w:val="10"/>
        <w:tblW w:w="894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44"/>
        <w:gridCol w:w="1099"/>
        <w:gridCol w:w="2044"/>
        <w:gridCol w:w="936"/>
        <w:gridCol w:w="4117"/>
      </w:tblGrid>
      <w:tr w14:paraId="479C4A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79" w:hRule="atLeast"/>
        </w:trPr>
        <w:tc>
          <w:tcPr>
            <w:tcW w:w="744" w:type="dxa"/>
            <w:vMerge w:val="restart"/>
            <w:tcBorders>
              <w:bottom w:val="nil"/>
            </w:tcBorders>
            <w:vAlign w:val="top"/>
          </w:tcPr>
          <w:p w14:paraId="4DD0DEA9">
            <w:pPr>
              <w:spacing w:line="246" w:lineRule="auto"/>
              <w:rPr>
                <w:rFonts w:ascii="Arial"/>
                <w:sz w:val="21"/>
              </w:rPr>
            </w:pPr>
          </w:p>
          <w:p w14:paraId="585A8029">
            <w:pPr>
              <w:spacing w:line="246" w:lineRule="auto"/>
              <w:rPr>
                <w:rFonts w:ascii="Arial"/>
                <w:sz w:val="21"/>
              </w:rPr>
            </w:pPr>
          </w:p>
          <w:p w14:paraId="089A1708">
            <w:pPr>
              <w:spacing w:line="246" w:lineRule="auto"/>
              <w:rPr>
                <w:rFonts w:ascii="Arial"/>
                <w:sz w:val="21"/>
              </w:rPr>
            </w:pPr>
          </w:p>
          <w:p w14:paraId="422C04B5">
            <w:pPr>
              <w:spacing w:line="246" w:lineRule="auto"/>
              <w:rPr>
                <w:rFonts w:ascii="Arial"/>
                <w:sz w:val="21"/>
              </w:rPr>
            </w:pPr>
          </w:p>
          <w:p w14:paraId="29E5D130">
            <w:pPr>
              <w:spacing w:line="246" w:lineRule="auto"/>
              <w:rPr>
                <w:rFonts w:ascii="Arial"/>
                <w:sz w:val="21"/>
              </w:rPr>
            </w:pPr>
          </w:p>
          <w:p w14:paraId="24AC03A2">
            <w:pPr>
              <w:spacing w:line="246" w:lineRule="auto"/>
              <w:rPr>
                <w:rFonts w:ascii="Arial"/>
                <w:sz w:val="21"/>
              </w:rPr>
            </w:pPr>
          </w:p>
          <w:p w14:paraId="614FA578">
            <w:pPr>
              <w:spacing w:line="246" w:lineRule="auto"/>
              <w:rPr>
                <w:rFonts w:ascii="Arial"/>
                <w:sz w:val="21"/>
              </w:rPr>
            </w:pPr>
          </w:p>
          <w:p w14:paraId="430B19DD">
            <w:pPr>
              <w:spacing w:line="246" w:lineRule="auto"/>
              <w:rPr>
                <w:rFonts w:ascii="Arial"/>
                <w:sz w:val="21"/>
              </w:rPr>
            </w:pPr>
          </w:p>
          <w:p w14:paraId="6C6FC682">
            <w:pPr>
              <w:spacing w:line="246" w:lineRule="auto"/>
              <w:rPr>
                <w:rFonts w:ascii="Arial"/>
                <w:sz w:val="21"/>
              </w:rPr>
            </w:pPr>
          </w:p>
          <w:p w14:paraId="4F63C8A5">
            <w:pPr>
              <w:spacing w:line="247" w:lineRule="auto"/>
              <w:rPr>
                <w:rFonts w:ascii="Arial"/>
                <w:sz w:val="21"/>
              </w:rPr>
            </w:pPr>
          </w:p>
          <w:p w14:paraId="26F68EED">
            <w:pPr>
              <w:spacing w:line="247" w:lineRule="auto"/>
              <w:rPr>
                <w:rFonts w:ascii="Arial"/>
                <w:sz w:val="21"/>
              </w:rPr>
            </w:pPr>
          </w:p>
          <w:p w14:paraId="1854D59C">
            <w:pPr>
              <w:spacing w:line="247" w:lineRule="auto"/>
              <w:rPr>
                <w:rFonts w:ascii="Arial"/>
                <w:sz w:val="21"/>
              </w:rPr>
            </w:pPr>
          </w:p>
          <w:p w14:paraId="7F2AA156">
            <w:pPr>
              <w:spacing w:line="247" w:lineRule="auto"/>
              <w:rPr>
                <w:rFonts w:ascii="Arial"/>
                <w:sz w:val="21"/>
              </w:rPr>
            </w:pPr>
          </w:p>
          <w:p w14:paraId="43EEE78F">
            <w:pPr>
              <w:spacing w:line="247" w:lineRule="auto"/>
              <w:rPr>
                <w:rFonts w:ascii="Arial"/>
                <w:sz w:val="21"/>
              </w:rPr>
            </w:pPr>
          </w:p>
          <w:p w14:paraId="040E3042">
            <w:pPr>
              <w:spacing w:line="247" w:lineRule="auto"/>
              <w:rPr>
                <w:rFonts w:ascii="Arial"/>
                <w:sz w:val="21"/>
              </w:rPr>
            </w:pPr>
          </w:p>
          <w:p w14:paraId="7B1D88ED">
            <w:pPr>
              <w:spacing w:line="247" w:lineRule="auto"/>
              <w:rPr>
                <w:rFonts w:ascii="Arial"/>
                <w:sz w:val="21"/>
              </w:rPr>
            </w:pPr>
          </w:p>
          <w:p w14:paraId="1027DEDF">
            <w:pPr>
              <w:spacing w:line="247" w:lineRule="auto"/>
              <w:rPr>
                <w:rFonts w:ascii="Arial"/>
                <w:sz w:val="21"/>
              </w:rPr>
            </w:pPr>
          </w:p>
          <w:p w14:paraId="568B4BA6">
            <w:pPr>
              <w:spacing w:line="247" w:lineRule="auto"/>
              <w:rPr>
                <w:rFonts w:ascii="Arial"/>
                <w:sz w:val="21"/>
              </w:rPr>
            </w:pPr>
          </w:p>
          <w:p w14:paraId="101C7E07">
            <w:pPr>
              <w:spacing w:line="247" w:lineRule="auto"/>
              <w:rPr>
                <w:rFonts w:ascii="Arial"/>
                <w:sz w:val="21"/>
              </w:rPr>
            </w:pPr>
          </w:p>
          <w:p w14:paraId="5A09C94F">
            <w:pPr>
              <w:spacing w:line="247" w:lineRule="auto"/>
              <w:rPr>
                <w:rFonts w:ascii="Arial"/>
                <w:sz w:val="21"/>
              </w:rPr>
            </w:pPr>
          </w:p>
          <w:p w14:paraId="3E9094E4">
            <w:pPr>
              <w:spacing w:line="247" w:lineRule="auto"/>
              <w:rPr>
                <w:rFonts w:ascii="Arial"/>
                <w:sz w:val="21"/>
              </w:rPr>
            </w:pPr>
          </w:p>
          <w:p w14:paraId="2CD6AC8E">
            <w:pPr>
              <w:spacing w:line="247" w:lineRule="auto"/>
              <w:rPr>
                <w:rFonts w:ascii="Arial"/>
                <w:sz w:val="21"/>
              </w:rPr>
            </w:pPr>
          </w:p>
          <w:p w14:paraId="11F78570">
            <w:pPr>
              <w:spacing w:line="247" w:lineRule="auto"/>
              <w:rPr>
                <w:rFonts w:ascii="Arial"/>
                <w:sz w:val="21"/>
              </w:rPr>
            </w:pPr>
          </w:p>
          <w:p w14:paraId="3B35CECA">
            <w:pPr>
              <w:spacing w:line="247" w:lineRule="auto"/>
              <w:rPr>
                <w:rFonts w:ascii="Arial"/>
                <w:sz w:val="21"/>
              </w:rPr>
            </w:pPr>
          </w:p>
          <w:p w14:paraId="7F4D337F">
            <w:pPr>
              <w:spacing w:line="247" w:lineRule="auto"/>
              <w:rPr>
                <w:rFonts w:ascii="Arial"/>
                <w:sz w:val="21"/>
              </w:rPr>
            </w:pPr>
          </w:p>
          <w:p w14:paraId="788B7455">
            <w:pPr>
              <w:spacing w:before="61" w:line="381" w:lineRule="exact"/>
              <w:ind w:left="162"/>
              <w:rPr>
                <w:rFonts w:ascii="Times New Roman" w:hAnsi="Times New Roman" w:eastAsia="Times New Roman" w:cs="Times New Roman"/>
                <w:sz w:val="21"/>
                <w:szCs w:val="21"/>
              </w:rPr>
            </w:pPr>
            <w:r>
              <w:rPr>
                <w:rFonts w:ascii="Times New Roman" w:hAnsi="Times New Roman" w:eastAsia="Times New Roman" w:cs="Times New Roman"/>
                <w:spacing w:val="-1"/>
                <w:position w:val="16"/>
                <w:sz w:val="21"/>
                <w:szCs w:val="21"/>
              </w:rPr>
              <w:t>2.2.4</w:t>
            </w:r>
          </w:p>
          <w:p w14:paraId="0AEF6E91">
            <w:pPr>
              <w:pStyle w:val="11"/>
              <w:spacing w:line="232" w:lineRule="auto"/>
              <w:ind w:left="119"/>
            </w:pPr>
            <w:r>
              <w:rPr>
                <w:spacing w:val="-5"/>
              </w:rPr>
              <w:t>（</w:t>
            </w:r>
            <w:r>
              <w:rPr>
                <w:rFonts w:ascii="Times New Roman" w:hAnsi="Times New Roman" w:eastAsia="Times New Roman" w:cs="Times New Roman"/>
                <w:spacing w:val="-5"/>
              </w:rPr>
              <w:t>3</w:t>
            </w:r>
            <w:r>
              <w:rPr>
                <w:spacing w:val="-5"/>
              </w:rPr>
              <w:t>）</w:t>
            </w:r>
          </w:p>
        </w:tc>
        <w:tc>
          <w:tcPr>
            <w:tcW w:w="1099" w:type="dxa"/>
            <w:vMerge w:val="restart"/>
            <w:tcBorders>
              <w:bottom w:val="nil"/>
            </w:tcBorders>
            <w:vAlign w:val="top"/>
          </w:tcPr>
          <w:p w14:paraId="54D3B497">
            <w:pPr>
              <w:spacing w:line="244" w:lineRule="auto"/>
              <w:rPr>
                <w:rFonts w:ascii="Arial"/>
                <w:sz w:val="21"/>
              </w:rPr>
            </w:pPr>
          </w:p>
          <w:p w14:paraId="35EBE65C">
            <w:pPr>
              <w:spacing w:line="244" w:lineRule="auto"/>
              <w:rPr>
                <w:rFonts w:ascii="Arial"/>
                <w:sz w:val="21"/>
              </w:rPr>
            </w:pPr>
          </w:p>
          <w:p w14:paraId="7349245E">
            <w:pPr>
              <w:spacing w:line="244" w:lineRule="auto"/>
              <w:rPr>
                <w:rFonts w:ascii="Arial"/>
                <w:sz w:val="21"/>
              </w:rPr>
            </w:pPr>
          </w:p>
          <w:p w14:paraId="136D46E7">
            <w:pPr>
              <w:spacing w:line="245" w:lineRule="auto"/>
              <w:rPr>
                <w:rFonts w:ascii="Arial"/>
                <w:sz w:val="21"/>
              </w:rPr>
            </w:pPr>
          </w:p>
          <w:p w14:paraId="580537FD">
            <w:pPr>
              <w:spacing w:line="245" w:lineRule="auto"/>
              <w:rPr>
                <w:rFonts w:ascii="Arial"/>
                <w:sz w:val="21"/>
              </w:rPr>
            </w:pPr>
          </w:p>
          <w:p w14:paraId="34182769">
            <w:pPr>
              <w:spacing w:line="245" w:lineRule="auto"/>
              <w:rPr>
                <w:rFonts w:ascii="Arial"/>
                <w:sz w:val="21"/>
              </w:rPr>
            </w:pPr>
          </w:p>
          <w:p w14:paraId="3EFB19D9">
            <w:pPr>
              <w:spacing w:line="245" w:lineRule="auto"/>
              <w:rPr>
                <w:rFonts w:ascii="Arial"/>
                <w:sz w:val="21"/>
              </w:rPr>
            </w:pPr>
          </w:p>
          <w:p w14:paraId="6E9B06E8">
            <w:pPr>
              <w:spacing w:line="245" w:lineRule="auto"/>
              <w:rPr>
                <w:rFonts w:ascii="Arial"/>
                <w:sz w:val="21"/>
              </w:rPr>
            </w:pPr>
          </w:p>
          <w:p w14:paraId="0313A229">
            <w:pPr>
              <w:spacing w:line="245" w:lineRule="auto"/>
              <w:rPr>
                <w:rFonts w:ascii="Arial"/>
                <w:sz w:val="21"/>
              </w:rPr>
            </w:pPr>
          </w:p>
          <w:p w14:paraId="6F3AC589">
            <w:pPr>
              <w:spacing w:line="245" w:lineRule="auto"/>
              <w:rPr>
                <w:rFonts w:ascii="Arial"/>
                <w:sz w:val="21"/>
              </w:rPr>
            </w:pPr>
          </w:p>
          <w:p w14:paraId="5E0F09DA">
            <w:pPr>
              <w:spacing w:line="245" w:lineRule="auto"/>
              <w:rPr>
                <w:rFonts w:ascii="Arial"/>
                <w:sz w:val="21"/>
              </w:rPr>
            </w:pPr>
          </w:p>
          <w:p w14:paraId="58BE89E8">
            <w:pPr>
              <w:spacing w:line="245" w:lineRule="auto"/>
              <w:rPr>
                <w:rFonts w:ascii="Arial"/>
                <w:sz w:val="21"/>
              </w:rPr>
            </w:pPr>
          </w:p>
          <w:p w14:paraId="7CAEE122">
            <w:pPr>
              <w:spacing w:line="245" w:lineRule="auto"/>
              <w:rPr>
                <w:rFonts w:ascii="Arial"/>
                <w:sz w:val="21"/>
              </w:rPr>
            </w:pPr>
          </w:p>
          <w:p w14:paraId="5FCE2432">
            <w:pPr>
              <w:spacing w:line="245" w:lineRule="auto"/>
              <w:rPr>
                <w:rFonts w:ascii="Arial"/>
                <w:sz w:val="21"/>
              </w:rPr>
            </w:pPr>
          </w:p>
          <w:p w14:paraId="29A3BE83">
            <w:pPr>
              <w:spacing w:line="245" w:lineRule="auto"/>
              <w:rPr>
                <w:rFonts w:ascii="Arial"/>
                <w:sz w:val="21"/>
              </w:rPr>
            </w:pPr>
          </w:p>
          <w:p w14:paraId="71F71926">
            <w:pPr>
              <w:spacing w:line="245" w:lineRule="auto"/>
              <w:rPr>
                <w:rFonts w:ascii="Arial"/>
                <w:sz w:val="21"/>
              </w:rPr>
            </w:pPr>
          </w:p>
          <w:p w14:paraId="7FC973BF">
            <w:pPr>
              <w:spacing w:line="245" w:lineRule="auto"/>
              <w:rPr>
                <w:rFonts w:ascii="Arial"/>
                <w:sz w:val="21"/>
              </w:rPr>
            </w:pPr>
          </w:p>
          <w:p w14:paraId="375AF106">
            <w:pPr>
              <w:spacing w:line="245" w:lineRule="auto"/>
              <w:rPr>
                <w:rFonts w:ascii="Arial"/>
                <w:sz w:val="21"/>
              </w:rPr>
            </w:pPr>
          </w:p>
          <w:p w14:paraId="5DE8E8F9">
            <w:pPr>
              <w:spacing w:line="245" w:lineRule="auto"/>
              <w:rPr>
                <w:rFonts w:ascii="Arial"/>
                <w:sz w:val="21"/>
              </w:rPr>
            </w:pPr>
          </w:p>
          <w:p w14:paraId="0DC101E9">
            <w:pPr>
              <w:spacing w:line="245" w:lineRule="auto"/>
              <w:rPr>
                <w:rFonts w:ascii="Arial"/>
                <w:sz w:val="21"/>
              </w:rPr>
            </w:pPr>
          </w:p>
          <w:p w14:paraId="4484208F">
            <w:pPr>
              <w:spacing w:line="245" w:lineRule="auto"/>
              <w:rPr>
                <w:rFonts w:ascii="Arial"/>
                <w:sz w:val="21"/>
              </w:rPr>
            </w:pPr>
          </w:p>
          <w:p w14:paraId="5D514A21">
            <w:pPr>
              <w:spacing w:line="245" w:lineRule="auto"/>
              <w:rPr>
                <w:rFonts w:ascii="Arial"/>
                <w:sz w:val="21"/>
              </w:rPr>
            </w:pPr>
          </w:p>
          <w:p w14:paraId="203C8AC1">
            <w:pPr>
              <w:spacing w:line="245" w:lineRule="auto"/>
              <w:rPr>
                <w:rFonts w:ascii="Arial"/>
                <w:sz w:val="21"/>
              </w:rPr>
            </w:pPr>
          </w:p>
          <w:p w14:paraId="22B4D178">
            <w:pPr>
              <w:spacing w:line="245" w:lineRule="auto"/>
              <w:rPr>
                <w:rFonts w:ascii="Arial"/>
                <w:sz w:val="21"/>
              </w:rPr>
            </w:pPr>
          </w:p>
          <w:p w14:paraId="62802E06">
            <w:pPr>
              <w:spacing w:line="245" w:lineRule="auto"/>
              <w:rPr>
                <w:rFonts w:ascii="Arial"/>
                <w:sz w:val="21"/>
              </w:rPr>
            </w:pPr>
          </w:p>
          <w:p w14:paraId="75C2B298">
            <w:pPr>
              <w:pStyle w:val="11"/>
              <w:spacing w:before="68" w:line="418" w:lineRule="exact"/>
              <w:ind w:left="142"/>
            </w:pPr>
            <w:r>
              <w:rPr>
                <w:spacing w:val="-3"/>
                <w:position w:val="15"/>
              </w:rPr>
              <w:t>资信业绩</w:t>
            </w:r>
          </w:p>
          <w:p w14:paraId="4D82462F">
            <w:pPr>
              <w:pStyle w:val="11"/>
              <w:spacing w:line="221" w:lineRule="auto"/>
              <w:ind w:left="132"/>
            </w:pPr>
            <w:r>
              <w:rPr>
                <w:spacing w:val="-1"/>
              </w:rPr>
              <w:t>评分标准</w:t>
            </w:r>
          </w:p>
        </w:tc>
        <w:tc>
          <w:tcPr>
            <w:tcW w:w="2044" w:type="dxa"/>
            <w:vAlign w:val="center"/>
          </w:tcPr>
          <w:p w14:paraId="1483C356">
            <w:pPr>
              <w:spacing w:line="319" w:lineRule="auto"/>
              <w:jc w:val="center"/>
              <w:rPr>
                <w:rFonts w:ascii="Arial"/>
                <w:sz w:val="21"/>
              </w:rPr>
            </w:pPr>
          </w:p>
          <w:p w14:paraId="570FAD4D">
            <w:pPr>
              <w:pStyle w:val="11"/>
              <w:spacing w:before="69" w:line="221" w:lineRule="auto"/>
              <w:ind w:firstLine="412" w:firstLineChars="200"/>
              <w:jc w:val="both"/>
            </w:pPr>
            <w:r>
              <w:rPr>
                <w:spacing w:val="-2"/>
              </w:rPr>
              <w:t>企业业绩</w:t>
            </w:r>
          </w:p>
        </w:tc>
        <w:tc>
          <w:tcPr>
            <w:tcW w:w="936" w:type="dxa"/>
            <w:vAlign w:val="center"/>
          </w:tcPr>
          <w:p w14:paraId="7CA435F0">
            <w:pPr>
              <w:jc w:val="center"/>
              <w:rPr>
                <w:rFonts w:hint="eastAsia" w:eastAsia="宋体"/>
                <w:sz w:val="21"/>
                <w:lang w:val="en-US" w:eastAsia="zh-CN"/>
              </w:rPr>
            </w:pPr>
            <w:r>
              <w:rPr>
                <w:rFonts w:hint="eastAsia" w:eastAsia="宋体"/>
                <w:sz w:val="21"/>
                <w:lang w:val="en-US" w:eastAsia="zh-CN"/>
              </w:rPr>
              <w:t>2</w:t>
            </w:r>
          </w:p>
        </w:tc>
        <w:tc>
          <w:tcPr>
            <w:tcW w:w="4117" w:type="dxa"/>
            <w:vAlign w:val="top"/>
          </w:tcPr>
          <w:p w14:paraId="41072938">
            <w:pPr>
              <w:pStyle w:val="11"/>
              <w:spacing w:before="24" w:line="231" w:lineRule="auto"/>
              <w:ind w:left="115" w:right="104"/>
            </w:pPr>
            <w:r>
              <w:rPr>
                <w:spacing w:val="-14"/>
              </w:rPr>
              <w:t>业绩类别及专业：</w:t>
            </w:r>
            <w:r>
              <w:rPr>
                <w:spacing w:val="75"/>
              </w:rPr>
              <w:t xml:space="preserve"> </w:t>
            </w:r>
            <w:r>
              <w:rPr>
                <w:spacing w:val="-14"/>
                <w:u w:val="single" w:color="auto"/>
              </w:rPr>
              <w:t>施工类-</w:t>
            </w:r>
            <w:r>
              <w:rPr>
                <w:spacing w:val="-5"/>
                <w:u w:val="single" w:color="auto"/>
              </w:rPr>
              <w:t xml:space="preserve"> </w:t>
            </w:r>
            <w:r>
              <w:rPr>
                <w:rFonts w:hint="eastAsia"/>
                <w:spacing w:val="-5"/>
                <w:highlight w:val="yellow"/>
                <w:u w:val="single" w:color="auto"/>
                <w:lang w:val="en-US" w:eastAsia="zh-CN"/>
              </w:rPr>
              <w:t>类似铁路工程</w:t>
            </w:r>
            <w:r>
              <w:rPr>
                <w:spacing w:val="17"/>
                <w:u w:val="single" w:color="auto"/>
              </w:rPr>
              <w:t xml:space="preserve"> </w:t>
            </w:r>
          </w:p>
          <w:p w14:paraId="2B0385EB">
            <w:pPr>
              <w:pStyle w:val="11"/>
              <w:spacing w:before="22" w:line="221" w:lineRule="auto"/>
              <w:ind w:left="117"/>
            </w:pPr>
            <w:r>
              <w:rPr>
                <w:spacing w:val="-15"/>
              </w:rPr>
              <w:t>年份</w:t>
            </w:r>
            <w:r>
              <w:rPr>
                <w:spacing w:val="-13"/>
              </w:rPr>
              <w:t>：</w:t>
            </w:r>
            <w:r>
              <w:rPr>
                <w:spacing w:val="-3"/>
              </w:rPr>
              <w:t xml:space="preserve"> </w:t>
            </w:r>
            <w:r>
              <w:rPr>
                <w:rFonts w:hint="eastAsia"/>
                <w:spacing w:val="2"/>
                <w:u w:val="single" w:color="auto"/>
                <w:lang w:val="en-US" w:eastAsia="zh-CN"/>
              </w:rPr>
              <w:t>2023年1月1日</w:t>
            </w:r>
            <w:r>
              <w:rPr>
                <w:spacing w:val="18"/>
                <w:u w:val="single" w:color="auto"/>
              </w:rPr>
              <w:t xml:space="preserve"> </w:t>
            </w:r>
            <w:r>
              <w:rPr>
                <w:spacing w:val="-94"/>
              </w:rPr>
              <w:t xml:space="preserve"> </w:t>
            </w:r>
            <w:r>
              <w:rPr>
                <w:spacing w:val="-15"/>
              </w:rPr>
              <w:t>至投标截止时间</w:t>
            </w:r>
          </w:p>
          <w:p w14:paraId="7DC74019">
            <w:pPr>
              <w:pStyle w:val="11"/>
              <w:spacing w:before="22" w:line="221" w:lineRule="auto"/>
              <w:ind w:left="118"/>
            </w:pPr>
            <w:r>
              <w:rPr>
                <w:spacing w:val="-24"/>
              </w:rPr>
              <w:t>金额：</w:t>
            </w:r>
            <w:r>
              <w:rPr>
                <w:rFonts w:hint="eastAsia"/>
                <w:spacing w:val="-24"/>
                <w:highlight w:val="yellow"/>
                <w:lang w:val="en-US" w:eastAsia="zh-CN"/>
              </w:rPr>
              <w:t>0</w:t>
            </w:r>
            <w:r>
              <w:rPr>
                <w:spacing w:val="-24"/>
                <w:highlight w:val="yellow"/>
              </w:rPr>
              <w:t>万元</w:t>
            </w:r>
            <w:r>
              <w:rPr>
                <w:spacing w:val="-24"/>
              </w:rPr>
              <w:t>（含）</w:t>
            </w:r>
            <w:r>
              <w:rPr>
                <w:spacing w:val="42"/>
              </w:rPr>
              <w:t xml:space="preserve"> </w:t>
            </w:r>
            <w:r>
              <w:rPr>
                <w:spacing w:val="-24"/>
              </w:rPr>
              <w:t>以上</w:t>
            </w:r>
          </w:p>
          <w:p w14:paraId="1E5D3052">
            <w:pPr>
              <w:pStyle w:val="11"/>
              <w:spacing w:before="17" w:line="221" w:lineRule="auto"/>
              <w:ind w:left="119"/>
            </w:pPr>
            <w:r>
              <w:rPr>
                <w:spacing w:val="-10"/>
              </w:rPr>
              <w:t xml:space="preserve">分值： </w:t>
            </w:r>
            <w:r>
              <w:rPr>
                <w:rFonts w:hint="eastAsia"/>
                <w:spacing w:val="-10"/>
                <w:u w:val="single" w:color="auto"/>
                <w:lang w:val="en-US" w:eastAsia="zh-CN"/>
              </w:rPr>
              <w:t>1</w:t>
            </w:r>
            <w:r>
              <w:rPr>
                <w:spacing w:val="-10"/>
              </w:rPr>
              <w:t>分/个，最多得</w:t>
            </w:r>
            <w:r>
              <w:rPr>
                <w:spacing w:val="-104"/>
              </w:rPr>
              <w:t xml:space="preserve"> </w:t>
            </w:r>
            <w:r>
              <w:rPr>
                <w:u w:val="single" w:color="auto"/>
              </w:rPr>
              <w:t xml:space="preserve"> </w:t>
            </w:r>
            <w:r>
              <w:rPr>
                <w:rFonts w:hint="eastAsia"/>
                <w:u w:val="single" w:color="auto"/>
                <w:lang w:val="en-US" w:eastAsia="zh-CN"/>
              </w:rPr>
              <w:t>2</w:t>
            </w:r>
            <w:r>
              <w:rPr>
                <w:spacing w:val="-92"/>
              </w:rPr>
              <w:t xml:space="preserve"> </w:t>
            </w:r>
            <w:r>
              <w:rPr>
                <w:spacing w:val="-10"/>
              </w:rPr>
              <w:t>分。</w:t>
            </w:r>
          </w:p>
          <w:p w14:paraId="03EDBCFE">
            <w:pPr>
              <w:pStyle w:val="11"/>
              <w:spacing w:before="21" w:line="229" w:lineRule="auto"/>
              <w:ind w:left="118" w:right="110" w:hanging="2"/>
            </w:pPr>
            <w:r>
              <w:rPr>
                <w:spacing w:val="-1"/>
              </w:rPr>
              <w:t>注： 业绩以住建领域主体信息库入库信息</w:t>
            </w:r>
            <w:r>
              <w:rPr>
                <w:spacing w:val="16"/>
              </w:rPr>
              <w:t xml:space="preserve"> </w:t>
            </w:r>
            <w:r>
              <w:rPr>
                <w:spacing w:val="5"/>
              </w:rPr>
              <w:t>为准，时间以合同签订时间或竣工验收时</w:t>
            </w:r>
            <w:r>
              <w:rPr>
                <w:spacing w:val="11"/>
              </w:rPr>
              <w:t xml:space="preserve"> </w:t>
            </w:r>
            <w:r>
              <w:rPr>
                <w:spacing w:val="-2"/>
              </w:rPr>
              <w:t>间为准</w:t>
            </w:r>
          </w:p>
        </w:tc>
      </w:tr>
      <w:tr w14:paraId="1D0282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41" w:hRule="atLeast"/>
        </w:trPr>
        <w:tc>
          <w:tcPr>
            <w:tcW w:w="744" w:type="dxa"/>
            <w:vMerge w:val="continue"/>
            <w:tcBorders>
              <w:top w:val="nil"/>
              <w:bottom w:val="nil"/>
            </w:tcBorders>
            <w:vAlign w:val="top"/>
          </w:tcPr>
          <w:p w14:paraId="4F7F19C0">
            <w:pPr>
              <w:rPr>
                <w:rFonts w:ascii="Arial"/>
                <w:sz w:val="21"/>
              </w:rPr>
            </w:pPr>
          </w:p>
        </w:tc>
        <w:tc>
          <w:tcPr>
            <w:tcW w:w="1099" w:type="dxa"/>
            <w:vMerge w:val="continue"/>
            <w:tcBorders>
              <w:top w:val="nil"/>
              <w:bottom w:val="nil"/>
            </w:tcBorders>
            <w:vAlign w:val="top"/>
          </w:tcPr>
          <w:p w14:paraId="0F593807">
            <w:pPr>
              <w:rPr>
                <w:rFonts w:ascii="Arial"/>
                <w:sz w:val="21"/>
              </w:rPr>
            </w:pPr>
          </w:p>
        </w:tc>
        <w:tc>
          <w:tcPr>
            <w:tcW w:w="2044" w:type="dxa"/>
            <w:vAlign w:val="top"/>
          </w:tcPr>
          <w:p w14:paraId="3CE0B34C">
            <w:pPr>
              <w:spacing w:line="347" w:lineRule="auto"/>
              <w:rPr>
                <w:rFonts w:ascii="Arial"/>
                <w:sz w:val="21"/>
              </w:rPr>
            </w:pPr>
          </w:p>
          <w:p w14:paraId="0CFC6CD7">
            <w:pPr>
              <w:spacing w:line="347" w:lineRule="auto"/>
              <w:rPr>
                <w:rFonts w:ascii="Arial"/>
                <w:sz w:val="21"/>
              </w:rPr>
            </w:pPr>
          </w:p>
          <w:p w14:paraId="5D28A5AA">
            <w:pPr>
              <w:pStyle w:val="11"/>
              <w:spacing w:before="68" w:line="222" w:lineRule="auto"/>
              <w:ind w:left="607"/>
            </w:pPr>
            <w:r>
              <w:rPr>
                <w:spacing w:val="-2"/>
              </w:rPr>
              <w:t>企业认证</w:t>
            </w:r>
          </w:p>
        </w:tc>
        <w:tc>
          <w:tcPr>
            <w:tcW w:w="936" w:type="dxa"/>
            <w:vAlign w:val="center"/>
          </w:tcPr>
          <w:p w14:paraId="0921C7DA">
            <w:pPr>
              <w:jc w:val="center"/>
              <w:rPr>
                <w:rFonts w:hint="eastAsia" w:eastAsia="宋体"/>
                <w:sz w:val="21"/>
                <w:lang w:val="en-US" w:eastAsia="zh-CN"/>
              </w:rPr>
            </w:pPr>
            <w:r>
              <w:rPr>
                <w:rFonts w:hint="eastAsia" w:eastAsia="宋体"/>
                <w:sz w:val="21"/>
                <w:lang w:val="en-US" w:eastAsia="zh-CN"/>
              </w:rPr>
              <w:t>3</w:t>
            </w:r>
          </w:p>
        </w:tc>
        <w:tc>
          <w:tcPr>
            <w:tcW w:w="4117" w:type="dxa"/>
            <w:vAlign w:val="top"/>
          </w:tcPr>
          <w:p w14:paraId="44125C78">
            <w:pPr>
              <w:pStyle w:val="11"/>
              <w:spacing w:before="31" w:line="221" w:lineRule="auto"/>
              <w:ind w:left="115"/>
            </w:pPr>
            <w:r>
              <w:rPr>
                <w:spacing w:val="-9"/>
              </w:rPr>
              <w:t>评审内容：</w:t>
            </w:r>
          </w:p>
          <w:p w14:paraId="73FF14EF">
            <w:pPr>
              <w:pStyle w:val="11"/>
              <w:spacing w:before="22" w:line="241" w:lineRule="auto"/>
              <w:ind w:left="122"/>
            </w:pPr>
            <w:r>
              <w:rPr>
                <w:spacing w:val="-10"/>
              </w:rPr>
              <w:t>（1）</w:t>
            </w:r>
            <w:r>
              <w:rPr>
                <w:rStyle w:val="8"/>
                <w:rFonts w:ascii="宋体" w:hAnsi="宋体" w:eastAsia="宋体" w:cs="宋体"/>
                <w:b w:val="0"/>
                <w:sz w:val="21"/>
                <w:szCs w:val="24"/>
              </w:rPr>
              <w:t>质量管理体系</w:t>
            </w:r>
            <w:r>
              <w:rPr>
                <w:spacing w:val="-10"/>
                <w:u w:val="single" w:color="auto"/>
              </w:rPr>
              <w:t xml:space="preserve">认证证书 </w:t>
            </w:r>
            <w:r>
              <w:rPr>
                <w:spacing w:val="-10"/>
              </w:rPr>
              <w:t>分值：</w:t>
            </w:r>
            <w:r>
              <w:rPr>
                <w:rFonts w:hint="eastAsia"/>
                <w:spacing w:val="-10"/>
                <w:lang w:val="en-US" w:eastAsia="zh-CN"/>
              </w:rPr>
              <w:t>1</w:t>
            </w:r>
            <w:r>
              <w:rPr>
                <w:spacing w:val="-10"/>
              </w:rPr>
              <w:t>分</w:t>
            </w:r>
          </w:p>
          <w:p w14:paraId="6EFF432C">
            <w:pPr>
              <w:pStyle w:val="11"/>
              <w:spacing w:line="219" w:lineRule="auto"/>
              <w:ind w:left="122"/>
            </w:pPr>
            <w:r>
              <w:rPr>
                <w:spacing w:val="-10"/>
              </w:rPr>
              <w:t>（2）</w:t>
            </w:r>
            <w:r>
              <w:rPr>
                <w:rStyle w:val="8"/>
                <w:rFonts w:ascii="宋体" w:hAnsi="宋体" w:eastAsia="宋体" w:cs="宋体"/>
                <w:b w:val="0"/>
                <w:sz w:val="21"/>
                <w:szCs w:val="24"/>
              </w:rPr>
              <w:t>环境管理体系</w:t>
            </w:r>
            <w:r>
              <w:rPr>
                <w:spacing w:val="-10"/>
                <w:u w:val="single" w:color="auto"/>
              </w:rPr>
              <w:t xml:space="preserve">认证证书 </w:t>
            </w:r>
            <w:r>
              <w:rPr>
                <w:spacing w:val="-10"/>
              </w:rPr>
              <w:t xml:space="preserve">分值： </w:t>
            </w:r>
            <w:r>
              <w:rPr>
                <w:rFonts w:hint="eastAsia"/>
                <w:spacing w:val="51"/>
                <w:u w:val="single" w:color="auto"/>
                <w:lang w:val="en-US" w:eastAsia="zh-CN"/>
              </w:rPr>
              <w:t>1</w:t>
            </w:r>
            <w:r>
              <w:rPr>
                <w:spacing w:val="-93"/>
              </w:rPr>
              <w:t xml:space="preserve"> </w:t>
            </w:r>
            <w:r>
              <w:rPr>
                <w:spacing w:val="-10"/>
              </w:rPr>
              <w:t>分</w:t>
            </w:r>
          </w:p>
          <w:p w14:paraId="1297CA6E">
            <w:pPr>
              <w:pStyle w:val="11"/>
              <w:spacing w:before="18" w:line="220" w:lineRule="auto"/>
              <w:ind w:left="122"/>
            </w:pPr>
            <w:r>
              <w:rPr>
                <w:spacing w:val="-10"/>
              </w:rPr>
              <w:t>（3）</w:t>
            </w:r>
            <w:r>
              <w:rPr>
                <w:rStyle w:val="8"/>
                <w:rFonts w:ascii="宋体" w:hAnsi="宋体" w:eastAsia="宋体" w:cs="宋体"/>
                <w:b w:val="0"/>
                <w:sz w:val="21"/>
                <w:szCs w:val="24"/>
              </w:rPr>
              <w:t>职业健康安全管理体系</w:t>
            </w:r>
            <w:r>
              <w:rPr>
                <w:spacing w:val="-10"/>
                <w:u w:val="single" w:color="auto"/>
              </w:rPr>
              <w:t xml:space="preserve">认证证书 </w:t>
            </w:r>
            <w:r>
              <w:rPr>
                <w:spacing w:val="-10"/>
              </w:rPr>
              <w:t>分值：</w:t>
            </w:r>
            <w:r>
              <w:rPr>
                <w:rFonts w:hint="eastAsia"/>
                <w:spacing w:val="-10"/>
                <w:lang w:val="en-US" w:eastAsia="zh-CN"/>
              </w:rPr>
              <w:t>1</w:t>
            </w:r>
            <w:r>
              <w:rPr>
                <w:spacing w:val="-93"/>
              </w:rPr>
              <w:t xml:space="preserve"> </w:t>
            </w:r>
            <w:r>
              <w:rPr>
                <w:spacing w:val="-10"/>
              </w:rPr>
              <w:t>分</w:t>
            </w:r>
          </w:p>
          <w:p w14:paraId="2B3A2628">
            <w:pPr>
              <w:pStyle w:val="11"/>
              <w:spacing w:before="23" w:line="224" w:lineRule="auto"/>
              <w:ind w:left="141" w:right="110" w:hanging="25"/>
            </w:pPr>
            <w:r>
              <w:t xml:space="preserve">注： 以住建领域主体信息库入库的有效期 </w:t>
            </w:r>
            <w:r>
              <w:rPr>
                <w:spacing w:val="-4"/>
              </w:rPr>
              <w:t>内的认证证书为准</w:t>
            </w:r>
          </w:p>
        </w:tc>
      </w:tr>
      <w:tr w14:paraId="2CAC1E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41" w:hRule="atLeast"/>
        </w:trPr>
        <w:tc>
          <w:tcPr>
            <w:tcW w:w="744" w:type="dxa"/>
            <w:vMerge w:val="continue"/>
            <w:tcBorders>
              <w:top w:val="nil"/>
              <w:bottom w:val="nil"/>
            </w:tcBorders>
            <w:vAlign w:val="top"/>
          </w:tcPr>
          <w:p w14:paraId="1D8FBF3A">
            <w:pPr>
              <w:rPr>
                <w:rFonts w:ascii="Arial"/>
                <w:sz w:val="21"/>
              </w:rPr>
            </w:pPr>
          </w:p>
        </w:tc>
        <w:tc>
          <w:tcPr>
            <w:tcW w:w="1099" w:type="dxa"/>
            <w:vMerge w:val="continue"/>
            <w:tcBorders>
              <w:top w:val="nil"/>
              <w:bottom w:val="nil"/>
            </w:tcBorders>
            <w:vAlign w:val="top"/>
          </w:tcPr>
          <w:p w14:paraId="4C33E67F">
            <w:pPr>
              <w:rPr>
                <w:rFonts w:ascii="Arial"/>
                <w:sz w:val="21"/>
              </w:rPr>
            </w:pPr>
          </w:p>
        </w:tc>
        <w:tc>
          <w:tcPr>
            <w:tcW w:w="2044" w:type="dxa"/>
            <w:shd w:val="clear" w:color="auto" w:fill="auto"/>
            <w:vAlign w:val="center"/>
          </w:tcPr>
          <w:p w14:paraId="0AB62F95">
            <w:pPr>
              <w:spacing w:line="347" w:lineRule="auto"/>
              <w:jc w:val="center"/>
              <w:rPr>
                <w:rFonts w:ascii="Arial"/>
                <w:sz w:val="21"/>
              </w:rPr>
            </w:pPr>
          </w:p>
          <w:p w14:paraId="518E483C">
            <w:pPr>
              <w:spacing w:line="347" w:lineRule="auto"/>
              <w:jc w:val="center"/>
              <w:rPr>
                <w:rFonts w:ascii="Arial" w:hAnsi="Arial" w:eastAsia="Arial" w:cs="Arial"/>
                <w:snapToGrid w:val="0"/>
                <w:color w:val="000000"/>
                <w:kern w:val="0"/>
                <w:sz w:val="21"/>
                <w:szCs w:val="21"/>
                <w:lang w:val="en-US" w:eastAsia="en-US" w:bidi="ar-SA"/>
              </w:rPr>
            </w:pPr>
            <w:r>
              <w:rPr>
                <w:rFonts w:hint="eastAsia" w:ascii="Arial"/>
                <w:sz w:val="21"/>
              </w:rPr>
              <w:t>拟派项目管理班子资历（施工现场专业人员职业培训合格证）</w:t>
            </w:r>
          </w:p>
        </w:tc>
        <w:tc>
          <w:tcPr>
            <w:tcW w:w="936" w:type="dxa"/>
            <w:shd w:val="clear" w:color="auto" w:fill="auto"/>
            <w:vAlign w:val="center"/>
          </w:tcPr>
          <w:p w14:paraId="5E88717C">
            <w:pPr>
              <w:jc w:val="center"/>
              <w:rPr>
                <w:rFonts w:hint="eastAsia" w:ascii="Arial" w:hAnsi="Arial" w:eastAsia="宋体" w:cs="Arial"/>
                <w:snapToGrid w:val="0"/>
                <w:color w:val="000000"/>
                <w:kern w:val="0"/>
                <w:sz w:val="21"/>
                <w:szCs w:val="21"/>
                <w:lang w:val="en-US" w:eastAsia="zh-CN" w:bidi="ar-SA"/>
              </w:rPr>
            </w:pPr>
            <w:r>
              <w:rPr>
                <w:rFonts w:hint="eastAsia" w:eastAsia="宋体"/>
                <w:sz w:val="21"/>
                <w:lang w:val="en-US" w:eastAsia="zh-CN"/>
              </w:rPr>
              <w:t>3</w:t>
            </w:r>
          </w:p>
        </w:tc>
        <w:tc>
          <w:tcPr>
            <w:tcW w:w="4117" w:type="dxa"/>
            <w:shd w:val="clear" w:color="auto" w:fill="auto"/>
            <w:vAlign w:val="top"/>
          </w:tcPr>
          <w:p w14:paraId="1AED78F6">
            <w:pPr>
              <w:pStyle w:val="11"/>
              <w:spacing w:before="18" w:line="209" w:lineRule="auto"/>
              <w:ind w:left="119"/>
              <w:rPr>
                <w:rFonts w:hint="eastAsia" w:ascii="宋体" w:hAnsi="宋体" w:eastAsia="宋体" w:cs="宋体"/>
                <w:b w:val="0"/>
                <w:bCs/>
                <w:i w:val="0"/>
                <w:color w:val="auto"/>
                <w:szCs w:val="21"/>
                <w:highlight w:val="none"/>
                <w:u w:val="none" w:color="auto"/>
              </w:rPr>
            </w:pPr>
            <w:r>
              <w:rPr>
                <w:rFonts w:hint="eastAsia" w:ascii="宋体" w:hAnsi="宋体" w:eastAsia="宋体" w:cs="宋体"/>
                <w:b w:val="0"/>
                <w:bCs/>
                <w:i w:val="0"/>
                <w:color w:val="auto"/>
                <w:szCs w:val="21"/>
                <w:highlight w:val="none"/>
                <w:u w:val="none" w:color="auto"/>
              </w:rPr>
              <w:t>评审内容：施工现场专业人员职业培训合格证</w:t>
            </w:r>
            <w:r>
              <w:rPr>
                <w:rFonts w:hint="eastAsia" w:ascii="宋体" w:hAnsi="宋体" w:eastAsia="宋体" w:cs="宋体"/>
                <w:b w:val="0"/>
                <w:bCs/>
                <w:i w:val="0"/>
                <w:color w:val="auto"/>
                <w:szCs w:val="21"/>
                <w:highlight w:val="none"/>
                <w:u w:val="none" w:color="auto"/>
              </w:rPr>
              <w:br w:type="textWrapping"/>
            </w:r>
            <w:r>
              <w:rPr>
                <w:rFonts w:hint="eastAsia" w:ascii="宋体" w:hAnsi="宋体" w:eastAsia="宋体" w:cs="宋体"/>
                <w:b w:val="0"/>
                <w:bCs/>
                <w:i w:val="0"/>
                <w:color w:val="auto"/>
                <w:szCs w:val="21"/>
                <w:highlight w:val="none"/>
                <w:u w:val="none" w:color="auto"/>
              </w:rPr>
              <w:t>（1）造价员 分值：0.</w:t>
            </w:r>
            <w:r>
              <w:rPr>
                <w:rFonts w:hint="eastAsia" w:ascii="宋体" w:hAnsi="宋体" w:eastAsia="宋体" w:cs="宋体"/>
                <w:b w:val="0"/>
                <w:bCs/>
                <w:i w:val="0"/>
                <w:color w:val="auto"/>
                <w:szCs w:val="21"/>
                <w:highlight w:val="none"/>
                <w:u w:val="none" w:color="auto"/>
                <w:lang w:val="en-US" w:eastAsia="zh-CN"/>
              </w:rPr>
              <w:t>5</w:t>
            </w:r>
            <w:r>
              <w:rPr>
                <w:rFonts w:hint="eastAsia" w:ascii="宋体" w:hAnsi="宋体" w:eastAsia="宋体" w:cs="宋体"/>
                <w:b w:val="0"/>
                <w:bCs/>
                <w:i w:val="0"/>
                <w:color w:val="auto"/>
                <w:szCs w:val="21"/>
                <w:highlight w:val="none"/>
                <w:u w:val="none" w:color="auto"/>
              </w:rPr>
              <w:t>分/个，最多得：0.</w:t>
            </w:r>
            <w:r>
              <w:rPr>
                <w:rFonts w:hint="eastAsia" w:ascii="宋体" w:hAnsi="宋体" w:eastAsia="宋体" w:cs="宋体"/>
                <w:b w:val="0"/>
                <w:bCs/>
                <w:i w:val="0"/>
                <w:color w:val="auto"/>
                <w:szCs w:val="21"/>
                <w:highlight w:val="none"/>
                <w:u w:val="none" w:color="auto"/>
                <w:lang w:val="en-US" w:eastAsia="zh-CN"/>
              </w:rPr>
              <w:t>5</w:t>
            </w:r>
            <w:r>
              <w:rPr>
                <w:rFonts w:hint="eastAsia" w:ascii="宋体" w:hAnsi="宋体" w:eastAsia="宋体" w:cs="宋体"/>
                <w:b w:val="0"/>
                <w:bCs/>
                <w:i w:val="0"/>
                <w:color w:val="auto"/>
                <w:szCs w:val="21"/>
                <w:highlight w:val="none"/>
                <w:u w:val="none" w:color="auto"/>
              </w:rPr>
              <w:t>分</w:t>
            </w:r>
            <w:r>
              <w:rPr>
                <w:rFonts w:hint="eastAsia" w:ascii="宋体" w:hAnsi="宋体" w:eastAsia="宋体" w:cs="宋体"/>
                <w:b w:val="0"/>
                <w:bCs/>
                <w:i w:val="0"/>
                <w:color w:val="auto"/>
                <w:szCs w:val="21"/>
                <w:highlight w:val="none"/>
                <w:u w:val="none" w:color="auto"/>
              </w:rPr>
              <w:br w:type="textWrapping"/>
            </w:r>
            <w:r>
              <w:rPr>
                <w:rFonts w:hint="eastAsia" w:ascii="宋体" w:hAnsi="宋体" w:eastAsia="宋体" w:cs="宋体"/>
                <w:b w:val="0"/>
                <w:bCs/>
                <w:i w:val="0"/>
                <w:color w:val="auto"/>
                <w:szCs w:val="21"/>
                <w:highlight w:val="none"/>
                <w:u w:val="none" w:color="auto"/>
              </w:rPr>
              <w:t>（2）施工员 分值：0.</w:t>
            </w:r>
            <w:r>
              <w:rPr>
                <w:rFonts w:hint="eastAsia" w:ascii="宋体" w:hAnsi="宋体" w:eastAsia="宋体" w:cs="宋体"/>
                <w:b w:val="0"/>
                <w:bCs/>
                <w:i w:val="0"/>
                <w:color w:val="auto"/>
                <w:szCs w:val="21"/>
                <w:highlight w:val="none"/>
                <w:u w:val="none" w:color="auto"/>
                <w:lang w:val="en-US" w:eastAsia="zh-CN"/>
              </w:rPr>
              <w:t>5</w:t>
            </w:r>
            <w:r>
              <w:rPr>
                <w:rFonts w:hint="eastAsia" w:ascii="宋体" w:hAnsi="宋体" w:eastAsia="宋体" w:cs="宋体"/>
                <w:b w:val="0"/>
                <w:bCs/>
                <w:i w:val="0"/>
                <w:color w:val="auto"/>
                <w:szCs w:val="21"/>
                <w:highlight w:val="none"/>
                <w:u w:val="none" w:color="auto"/>
              </w:rPr>
              <w:t>分/个，最多得：0.</w:t>
            </w:r>
            <w:r>
              <w:rPr>
                <w:rFonts w:hint="eastAsia" w:ascii="宋体" w:hAnsi="宋体" w:eastAsia="宋体" w:cs="宋体"/>
                <w:b w:val="0"/>
                <w:bCs/>
                <w:i w:val="0"/>
                <w:color w:val="auto"/>
                <w:szCs w:val="21"/>
                <w:highlight w:val="none"/>
                <w:u w:val="none" w:color="auto"/>
                <w:lang w:val="en-US" w:eastAsia="zh-CN"/>
              </w:rPr>
              <w:t>5</w:t>
            </w:r>
            <w:r>
              <w:rPr>
                <w:rFonts w:hint="eastAsia" w:ascii="宋体" w:hAnsi="宋体" w:eastAsia="宋体" w:cs="宋体"/>
                <w:b w:val="0"/>
                <w:bCs/>
                <w:i w:val="0"/>
                <w:color w:val="auto"/>
                <w:szCs w:val="21"/>
                <w:highlight w:val="none"/>
                <w:u w:val="none" w:color="auto"/>
              </w:rPr>
              <w:t>分</w:t>
            </w:r>
            <w:r>
              <w:rPr>
                <w:rFonts w:hint="eastAsia" w:ascii="宋体" w:hAnsi="宋体" w:eastAsia="宋体" w:cs="宋体"/>
                <w:b w:val="0"/>
                <w:bCs/>
                <w:i w:val="0"/>
                <w:color w:val="auto"/>
                <w:szCs w:val="21"/>
                <w:highlight w:val="none"/>
                <w:u w:val="none" w:color="auto"/>
              </w:rPr>
              <w:br w:type="textWrapping"/>
            </w:r>
            <w:r>
              <w:rPr>
                <w:rFonts w:hint="eastAsia" w:ascii="宋体" w:hAnsi="宋体" w:eastAsia="宋体" w:cs="宋体"/>
                <w:b w:val="0"/>
                <w:bCs/>
                <w:i w:val="0"/>
                <w:color w:val="auto"/>
                <w:szCs w:val="21"/>
                <w:highlight w:val="none"/>
                <w:u w:val="none" w:color="auto"/>
              </w:rPr>
              <w:t>（3）材料员 分值：0.</w:t>
            </w:r>
            <w:r>
              <w:rPr>
                <w:rFonts w:hint="eastAsia" w:ascii="宋体" w:hAnsi="宋体" w:eastAsia="宋体" w:cs="宋体"/>
                <w:b w:val="0"/>
                <w:bCs/>
                <w:i w:val="0"/>
                <w:color w:val="auto"/>
                <w:szCs w:val="21"/>
                <w:highlight w:val="none"/>
                <w:u w:val="none" w:color="auto"/>
                <w:lang w:val="en-US" w:eastAsia="zh-CN"/>
              </w:rPr>
              <w:t>5</w:t>
            </w:r>
            <w:r>
              <w:rPr>
                <w:rFonts w:hint="eastAsia" w:ascii="宋体" w:hAnsi="宋体" w:eastAsia="宋体" w:cs="宋体"/>
                <w:b w:val="0"/>
                <w:bCs/>
                <w:i w:val="0"/>
                <w:color w:val="auto"/>
                <w:szCs w:val="21"/>
                <w:highlight w:val="none"/>
                <w:u w:val="none" w:color="auto"/>
              </w:rPr>
              <w:t>分/个，最多得：0.</w:t>
            </w:r>
            <w:r>
              <w:rPr>
                <w:rFonts w:hint="eastAsia" w:ascii="宋体" w:hAnsi="宋体" w:eastAsia="宋体" w:cs="宋体"/>
                <w:b w:val="0"/>
                <w:bCs/>
                <w:i w:val="0"/>
                <w:color w:val="auto"/>
                <w:szCs w:val="21"/>
                <w:highlight w:val="none"/>
                <w:u w:val="none" w:color="auto"/>
                <w:lang w:val="en-US" w:eastAsia="zh-CN"/>
              </w:rPr>
              <w:t>5</w:t>
            </w:r>
            <w:r>
              <w:rPr>
                <w:rFonts w:hint="eastAsia" w:ascii="宋体" w:hAnsi="宋体" w:eastAsia="宋体" w:cs="宋体"/>
                <w:b w:val="0"/>
                <w:bCs/>
                <w:i w:val="0"/>
                <w:color w:val="auto"/>
                <w:szCs w:val="21"/>
                <w:highlight w:val="none"/>
                <w:u w:val="none" w:color="auto"/>
              </w:rPr>
              <w:t>分</w:t>
            </w:r>
            <w:r>
              <w:rPr>
                <w:rFonts w:hint="eastAsia" w:ascii="宋体" w:hAnsi="宋体" w:eastAsia="宋体" w:cs="宋体"/>
                <w:b w:val="0"/>
                <w:bCs/>
                <w:i w:val="0"/>
                <w:color w:val="auto"/>
                <w:szCs w:val="21"/>
                <w:highlight w:val="none"/>
                <w:u w:val="none" w:color="auto"/>
              </w:rPr>
              <w:br w:type="textWrapping"/>
            </w:r>
            <w:r>
              <w:rPr>
                <w:rFonts w:hint="eastAsia" w:ascii="宋体" w:hAnsi="宋体" w:eastAsia="宋体" w:cs="宋体"/>
                <w:b w:val="0"/>
                <w:bCs/>
                <w:i w:val="0"/>
                <w:color w:val="auto"/>
                <w:szCs w:val="21"/>
                <w:highlight w:val="none"/>
                <w:u w:val="none" w:color="auto"/>
              </w:rPr>
              <w:t>（4）安全员 分值：0.</w:t>
            </w:r>
            <w:r>
              <w:rPr>
                <w:rFonts w:hint="eastAsia" w:ascii="宋体" w:hAnsi="宋体" w:eastAsia="宋体" w:cs="宋体"/>
                <w:b w:val="0"/>
                <w:bCs/>
                <w:i w:val="0"/>
                <w:color w:val="auto"/>
                <w:szCs w:val="21"/>
                <w:highlight w:val="none"/>
                <w:u w:val="none" w:color="auto"/>
                <w:lang w:val="en-US" w:eastAsia="zh-CN"/>
              </w:rPr>
              <w:t>5</w:t>
            </w:r>
            <w:r>
              <w:rPr>
                <w:rFonts w:hint="eastAsia" w:ascii="宋体" w:hAnsi="宋体" w:eastAsia="宋体" w:cs="宋体"/>
                <w:b w:val="0"/>
                <w:bCs/>
                <w:i w:val="0"/>
                <w:color w:val="auto"/>
                <w:szCs w:val="21"/>
                <w:highlight w:val="none"/>
                <w:u w:val="none" w:color="auto"/>
              </w:rPr>
              <w:t>分/个，最多得：0.</w:t>
            </w:r>
            <w:r>
              <w:rPr>
                <w:rFonts w:hint="eastAsia" w:ascii="宋体" w:hAnsi="宋体" w:eastAsia="宋体" w:cs="宋体"/>
                <w:b w:val="0"/>
                <w:bCs/>
                <w:i w:val="0"/>
                <w:color w:val="auto"/>
                <w:szCs w:val="21"/>
                <w:highlight w:val="none"/>
                <w:u w:val="none" w:color="auto"/>
                <w:lang w:val="en-US" w:eastAsia="zh-CN"/>
              </w:rPr>
              <w:t>5</w:t>
            </w:r>
            <w:r>
              <w:rPr>
                <w:rFonts w:hint="eastAsia" w:ascii="宋体" w:hAnsi="宋体" w:eastAsia="宋体" w:cs="宋体"/>
                <w:b w:val="0"/>
                <w:bCs/>
                <w:i w:val="0"/>
                <w:color w:val="auto"/>
                <w:szCs w:val="21"/>
                <w:highlight w:val="none"/>
                <w:u w:val="none" w:color="auto"/>
              </w:rPr>
              <w:t>分</w:t>
            </w:r>
            <w:r>
              <w:rPr>
                <w:rFonts w:hint="eastAsia" w:ascii="宋体" w:hAnsi="宋体" w:eastAsia="宋体" w:cs="宋体"/>
                <w:b w:val="0"/>
                <w:bCs/>
                <w:i w:val="0"/>
                <w:color w:val="auto"/>
                <w:szCs w:val="21"/>
                <w:highlight w:val="none"/>
                <w:u w:val="none" w:color="auto"/>
              </w:rPr>
              <w:br w:type="textWrapping"/>
            </w:r>
            <w:r>
              <w:rPr>
                <w:rFonts w:hint="eastAsia" w:ascii="宋体" w:hAnsi="宋体" w:eastAsia="宋体" w:cs="宋体"/>
                <w:b w:val="0"/>
                <w:bCs/>
                <w:i w:val="0"/>
                <w:color w:val="auto"/>
                <w:szCs w:val="21"/>
                <w:highlight w:val="none"/>
                <w:u w:val="none" w:color="auto"/>
              </w:rPr>
              <w:t>（5）资料员 分值：0.</w:t>
            </w:r>
            <w:r>
              <w:rPr>
                <w:rFonts w:hint="eastAsia" w:ascii="宋体" w:hAnsi="宋体" w:eastAsia="宋体" w:cs="宋体"/>
                <w:b w:val="0"/>
                <w:bCs/>
                <w:i w:val="0"/>
                <w:color w:val="auto"/>
                <w:szCs w:val="21"/>
                <w:highlight w:val="none"/>
                <w:u w:val="none" w:color="auto"/>
                <w:lang w:val="en-US" w:eastAsia="zh-CN"/>
              </w:rPr>
              <w:t>5</w:t>
            </w:r>
            <w:r>
              <w:rPr>
                <w:rFonts w:hint="eastAsia" w:ascii="宋体" w:hAnsi="宋体" w:eastAsia="宋体" w:cs="宋体"/>
                <w:b w:val="0"/>
                <w:bCs/>
                <w:i w:val="0"/>
                <w:color w:val="auto"/>
                <w:szCs w:val="21"/>
                <w:highlight w:val="none"/>
                <w:u w:val="none" w:color="auto"/>
              </w:rPr>
              <w:t>分/个，最多得：0.</w:t>
            </w:r>
            <w:r>
              <w:rPr>
                <w:rFonts w:hint="eastAsia" w:ascii="宋体" w:hAnsi="宋体" w:eastAsia="宋体" w:cs="宋体"/>
                <w:b w:val="0"/>
                <w:bCs/>
                <w:i w:val="0"/>
                <w:color w:val="auto"/>
                <w:szCs w:val="21"/>
                <w:highlight w:val="none"/>
                <w:u w:val="none" w:color="auto"/>
                <w:lang w:val="en-US" w:eastAsia="zh-CN"/>
              </w:rPr>
              <w:t>5</w:t>
            </w:r>
            <w:r>
              <w:rPr>
                <w:rFonts w:hint="eastAsia" w:ascii="宋体" w:hAnsi="宋体" w:eastAsia="宋体" w:cs="宋体"/>
                <w:b w:val="0"/>
                <w:bCs/>
                <w:i w:val="0"/>
                <w:color w:val="auto"/>
                <w:szCs w:val="21"/>
                <w:highlight w:val="none"/>
                <w:u w:val="none" w:color="auto"/>
              </w:rPr>
              <w:t>分</w:t>
            </w:r>
          </w:p>
          <w:p w14:paraId="0010D580">
            <w:pPr>
              <w:pStyle w:val="11"/>
              <w:numPr>
                <w:ilvl w:val="0"/>
                <w:numId w:val="2"/>
              </w:numPr>
              <w:spacing w:before="18" w:line="209" w:lineRule="auto"/>
              <w:ind w:left="119"/>
              <w:rPr>
                <w:rFonts w:hint="eastAsia" w:ascii="宋体" w:hAnsi="宋体" w:eastAsia="宋体" w:cs="宋体"/>
                <w:b w:val="0"/>
                <w:bCs/>
                <w:i w:val="0"/>
                <w:color w:val="auto"/>
                <w:szCs w:val="21"/>
                <w:highlight w:val="none"/>
                <w:u w:val="none" w:color="auto"/>
              </w:rPr>
            </w:pPr>
            <w:r>
              <w:rPr>
                <w:rStyle w:val="8"/>
                <w:rFonts w:ascii="宋体" w:hAnsi="宋体" w:eastAsia="宋体" w:cs="宋体"/>
                <w:b w:val="0"/>
                <w:sz w:val="21"/>
                <w:szCs w:val="24"/>
              </w:rPr>
              <w:t>质量员</w:t>
            </w:r>
            <w:r>
              <w:rPr>
                <w:rFonts w:hint="eastAsia" w:ascii="宋体" w:hAnsi="宋体" w:eastAsia="宋体" w:cs="宋体"/>
                <w:b w:val="0"/>
                <w:bCs/>
                <w:i w:val="0"/>
                <w:color w:val="auto"/>
                <w:szCs w:val="21"/>
                <w:highlight w:val="none"/>
                <w:u w:val="none" w:color="auto"/>
              </w:rPr>
              <w:t>分值：0.</w:t>
            </w:r>
            <w:r>
              <w:rPr>
                <w:rFonts w:hint="eastAsia" w:ascii="宋体" w:hAnsi="宋体" w:eastAsia="宋体" w:cs="宋体"/>
                <w:b w:val="0"/>
                <w:bCs/>
                <w:i w:val="0"/>
                <w:color w:val="auto"/>
                <w:szCs w:val="21"/>
                <w:highlight w:val="none"/>
                <w:u w:val="none" w:color="auto"/>
                <w:lang w:val="en-US" w:eastAsia="zh-CN"/>
              </w:rPr>
              <w:t>5</w:t>
            </w:r>
            <w:r>
              <w:rPr>
                <w:rFonts w:hint="eastAsia" w:ascii="宋体" w:hAnsi="宋体" w:eastAsia="宋体" w:cs="宋体"/>
                <w:b w:val="0"/>
                <w:bCs/>
                <w:i w:val="0"/>
                <w:color w:val="auto"/>
                <w:szCs w:val="21"/>
                <w:highlight w:val="none"/>
                <w:u w:val="none" w:color="auto"/>
              </w:rPr>
              <w:t>分/个，最多得：</w:t>
            </w:r>
          </w:p>
          <w:p w14:paraId="19DBE0DE">
            <w:pPr>
              <w:pStyle w:val="11"/>
              <w:numPr>
                <w:ilvl w:val="0"/>
                <w:numId w:val="0"/>
              </w:numPr>
              <w:spacing w:before="18" w:line="209" w:lineRule="auto"/>
              <w:ind w:left="0" w:leftChars="0" w:firstLine="0" w:firstLineChars="0"/>
              <w:rPr>
                <w:rFonts w:ascii="宋体" w:hAnsi="宋体" w:eastAsia="宋体" w:cs="宋体"/>
                <w:snapToGrid w:val="0"/>
                <w:color w:val="000000"/>
                <w:kern w:val="0"/>
                <w:sz w:val="21"/>
                <w:szCs w:val="21"/>
                <w:lang w:val="en-US" w:eastAsia="en-US" w:bidi="ar-SA"/>
              </w:rPr>
            </w:pPr>
            <w:r>
              <w:rPr>
                <w:rFonts w:hint="eastAsia" w:ascii="宋体" w:hAnsi="宋体" w:eastAsia="宋体" w:cs="宋体"/>
                <w:b w:val="0"/>
                <w:bCs/>
                <w:i w:val="0"/>
                <w:color w:val="auto"/>
                <w:szCs w:val="21"/>
                <w:highlight w:val="none"/>
                <w:u w:val="none" w:color="auto"/>
              </w:rPr>
              <w:t>0.</w:t>
            </w:r>
            <w:r>
              <w:rPr>
                <w:rFonts w:hint="eastAsia" w:ascii="宋体" w:hAnsi="宋体" w:eastAsia="宋体" w:cs="宋体"/>
                <w:b w:val="0"/>
                <w:bCs/>
                <w:i w:val="0"/>
                <w:color w:val="auto"/>
                <w:szCs w:val="21"/>
                <w:highlight w:val="none"/>
                <w:u w:val="none" w:color="auto"/>
                <w:lang w:val="en-US" w:eastAsia="zh-CN"/>
              </w:rPr>
              <w:t>5</w:t>
            </w:r>
            <w:r>
              <w:rPr>
                <w:rFonts w:hint="eastAsia" w:ascii="宋体" w:hAnsi="宋体" w:eastAsia="宋体" w:cs="宋体"/>
                <w:b w:val="0"/>
                <w:bCs/>
                <w:i w:val="0"/>
                <w:color w:val="auto"/>
                <w:szCs w:val="21"/>
                <w:highlight w:val="none"/>
                <w:u w:val="none" w:color="auto"/>
              </w:rPr>
              <w:t>分</w:t>
            </w:r>
            <w:r>
              <w:rPr>
                <w:rFonts w:hint="eastAsia" w:ascii="宋体" w:hAnsi="宋体" w:eastAsia="宋体" w:cs="宋体"/>
                <w:b w:val="0"/>
                <w:bCs/>
                <w:i w:val="0"/>
                <w:color w:val="auto"/>
                <w:szCs w:val="21"/>
                <w:highlight w:val="none"/>
                <w:u w:val="none" w:color="auto"/>
              </w:rPr>
              <w:br w:type="textWrapping"/>
            </w:r>
            <w:r>
              <w:rPr>
                <w:rFonts w:hint="eastAsia" w:ascii="宋体" w:hAnsi="宋体" w:eastAsia="宋体" w:cs="宋体"/>
                <w:b w:val="0"/>
                <w:bCs/>
                <w:i w:val="0"/>
                <w:color w:val="auto"/>
                <w:szCs w:val="21"/>
                <w:highlight w:val="none"/>
                <w:u w:val="none" w:color="auto"/>
              </w:rPr>
              <w:t>满分：3分。</w:t>
            </w:r>
            <w:r>
              <w:rPr>
                <w:rFonts w:hint="eastAsia" w:ascii="宋体" w:hAnsi="宋体" w:eastAsia="宋体" w:cs="宋体"/>
                <w:b w:val="0"/>
                <w:bCs/>
                <w:i w:val="0"/>
                <w:color w:val="auto"/>
                <w:szCs w:val="21"/>
                <w:highlight w:val="none"/>
                <w:u w:val="none" w:color="auto"/>
              </w:rPr>
              <w:br w:type="textWrapping"/>
            </w:r>
            <w:r>
              <w:rPr>
                <w:rFonts w:hint="eastAsia" w:ascii="宋体" w:hAnsi="宋体" w:eastAsia="宋体" w:cs="宋体"/>
                <w:b w:val="0"/>
                <w:bCs/>
                <w:i w:val="0"/>
                <w:color w:val="auto"/>
                <w:szCs w:val="21"/>
                <w:highlight w:val="none"/>
                <w:u w:val="none" w:color="auto"/>
              </w:rPr>
              <w:t>注：以住建领域主体信息库入库的有效证书为准。</w:t>
            </w:r>
          </w:p>
        </w:tc>
      </w:tr>
      <w:tr w14:paraId="1942E4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8" w:hRule="atLeast"/>
        </w:trPr>
        <w:tc>
          <w:tcPr>
            <w:tcW w:w="744" w:type="dxa"/>
            <w:vMerge w:val="continue"/>
            <w:tcBorders>
              <w:top w:val="nil"/>
            </w:tcBorders>
            <w:vAlign w:val="top"/>
          </w:tcPr>
          <w:p w14:paraId="6BE42B8C">
            <w:pPr>
              <w:rPr>
                <w:rFonts w:ascii="Arial"/>
                <w:sz w:val="21"/>
              </w:rPr>
            </w:pPr>
          </w:p>
        </w:tc>
        <w:tc>
          <w:tcPr>
            <w:tcW w:w="1099" w:type="dxa"/>
            <w:vMerge w:val="continue"/>
            <w:tcBorders>
              <w:top w:val="nil"/>
            </w:tcBorders>
            <w:vAlign w:val="top"/>
          </w:tcPr>
          <w:p w14:paraId="5010D7F2">
            <w:pPr>
              <w:rPr>
                <w:rFonts w:ascii="Arial"/>
                <w:sz w:val="21"/>
              </w:rPr>
            </w:pPr>
          </w:p>
        </w:tc>
        <w:tc>
          <w:tcPr>
            <w:tcW w:w="2044" w:type="dxa"/>
            <w:vAlign w:val="center"/>
          </w:tcPr>
          <w:p w14:paraId="7E3922E9">
            <w:pPr>
              <w:spacing w:line="347" w:lineRule="auto"/>
              <w:jc w:val="center"/>
              <w:rPr>
                <w:rFonts w:hint="eastAsia" w:ascii="Arial"/>
                <w:sz w:val="21"/>
              </w:rPr>
            </w:pPr>
            <w:r>
              <w:rPr>
                <w:rFonts w:hint="eastAsia" w:ascii="Arial"/>
                <w:sz w:val="21"/>
              </w:rPr>
              <w:t>服务承诺</w:t>
            </w:r>
          </w:p>
        </w:tc>
        <w:tc>
          <w:tcPr>
            <w:tcW w:w="936" w:type="dxa"/>
            <w:vAlign w:val="center"/>
          </w:tcPr>
          <w:p w14:paraId="2AB4810F">
            <w:pPr>
              <w:spacing w:line="347" w:lineRule="auto"/>
              <w:jc w:val="center"/>
              <w:rPr>
                <w:rFonts w:hint="default" w:ascii="Arial"/>
                <w:sz w:val="21"/>
                <w:lang w:val="en-US" w:eastAsia="zh-CN"/>
              </w:rPr>
            </w:pPr>
            <w:r>
              <w:rPr>
                <w:rFonts w:hint="eastAsia" w:ascii="Arial"/>
                <w:sz w:val="21"/>
                <w:lang w:val="en-US" w:eastAsia="zh-CN"/>
              </w:rPr>
              <w:t>2</w:t>
            </w:r>
          </w:p>
        </w:tc>
        <w:tc>
          <w:tcPr>
            <w:tcW w:w="4117" w:type="dxa"/>
            <w:vAlign w:val="top"/>
          </w:tcPr>
          <w:p w14:paraId="33A6F602">
            <w:pPr>
              <w:spacing w:line="347" w:lineRule="auto"/>
              <w:jc w:val="left"/>
              <w:rPr>
                <w:rFonts w:hint="eastAsia" w:ascii="Arial"/>
                <w:sz w:val="21"/>
              </w:rPr>
            </w:pPr>
            <w:r>
              <w:rPr>
                <w:rFonts w:hint="eastAsia" w:ascii="Arial"/>
                <w:sz w:val="21"/>
              </w:rPr>
              <w:t>对投标人提出的合理</w:t>
            </w:r>
            <w:r>
              <w:rPr>
                <w:rFonts w:hint="eastAsia" w:ascii="Arial"/>
                <w:sz w:val="21"/>
                <w:lang w:val="en-US" w:eastAsia="zh-CN"/>
              </w:rPr>
              <w:t>服务承诺</w:t>
            </w:r>
            <w:r>
              <w:rPr>
                <w:rFonts w:hint="eastAsia" w:ascii="Arial"/>
                <w:sz w:val="21"/>
              </w:rPr>
              <w:t>进行综合评价；</w:t>
            </w:r>
            <w:r>
              <w:rPr>
                <w:rStyle w:val="8"/>
                <w:rFonts w:ascii="宋体" w:hAnsi="宋体" w:eastAsia="宋体" w:cs="宋体"/>
                <w:b w:val="0"/>
                <w:sz w:val="21"/>
                <w:szCs w:val="24"/>
              </w:rPr>
              <w:t>承诺具体，最佳1.6-2.0分；良好1.0-1.5分；一般0.5-0.9分；较差0-0.4分。</w:t>
            </w:r>
            <w:r>
              <w:rPr>
                <w:rFonts w:hint="eastAsia" w:ascii="Arial"/>
                <w:sz w:val="21"/>
              </w:rPr>
              <w:t>。</w:t>
            </w:r>
          </w:p>
        </w:tc>
      </w:tr>
    </w:tbl>
    <w:p w14:paraId="048D065E">
      <w:pPr>
        <w:pStyle w:val="3"/>
      </w:pPr>
    </w:p>
    <w:p w14:paraId="33213939">
      <w:pPr>
        <w:spacing w:line="95" w:lineRule="auto"/>
        <w:rPr>
          <w:rFonts w:ascii="Arial"/>
          <w:sz w:val="2"/>
        </w:rPr>
      </w:pPr>
    </w:p>
    <w:tbl>
      <w:tblPr>
        <w:tblStyle w:val="10"/>
        <w:tblW w:w="894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0"/>
        <w:gridCol w:w="1133"/>
        <w:gridCol w:w="7097"/>
      </w:tblGrid>
      <w:tr w14:paraId="22A903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1" w:hRule="atLeast"/>
        </w:trPr>
        <w:tc>
          <w:tcPr>
            <w:tcW w:w="1843" w:type="dxa"/>
            <w:gridSpan w:val="2"/>
            <w:vAlign w:val="top"/>
          </w:tcPr>
          <w:p w14:paraId="6422CB8A">
            <w:pPr>
              <w:pStyle w:val="11"/>
              <w:spacing w:before="164" w:line="221" w:lineRule="auto"/>
              <w:ind w:left="610"/>
            </w:pPr>
            <w:r>
              <w:rPr>
                <w:spacing w:val="-2"/>
                <w14:textOutline w14:w="3831" w14:cap="flat" w14:cmpd="sng">
                  <w14:solidFill>
                    <w14:srgbClr w14:val="000000"/>
                  </w14:solidFill>
                  <w14:prstDash w14:val="solid"/>
                  <w14:miter w14:val="0"/>
                </w14:textOutline>
              </w:rPr>
              <w:t>条款号</w:t>
            </w:r>
          </w:p>
        </w:tc>
        <w:tc>
          <w:tcPr>
            <w:tcW w:w="7097" w:type="dxa"/>
            <w:vAlign w:val="top"/>
          </w:tcPr>
          <w:p w14:paraId="5B441780">
            <w:pPr>
              <w:pStyle w:val="11"/>
              <w:spacing w:before="164" w:line="221" w:lineRule="auto"/>
              <w:ind w:left="3129"/>
            </w:pPr>
            <w:r>
              <w:rPr>
                <w:spacing w:val="-2"/>
                <w14:textOutline w14:w="3831" w14:cap="flat" w14:cmpd="sng">
                  <w14:solidFill>
                    <w14:srgbClr w14:val="000000"/>
                  </w14:solidFill>
                  <w14:prstDash w14:val="solid"/>
                  <w14:miter w14:val="0"/>
                </w14:textOutline>
              </w:rPr>
              <w:t>具体内容</w:t>
            </w:r>
          </w:p>
        </w:tc>
      </w:tr>
      <w:tr w14:paraId="42019D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03" w:hRule="atLeast"/>
        </w:trPr>
        <w:tc>
          <w:tcPr>
            <w:tcW w:w="710" w:type="dxa"/>
            <w:vAlign w:val="top"/>
          </w:tcPr>
          <w:p w14:paraId="34E84339">
            <w:pPr>
              <w:spacing w:line="359" w:lineRule="auto"/>
              <w:rPr>
                <w:rFonts w:ascii="Arial"/>
                <w:sz w:val="21"/>
              </w:rPr>
            </w:pPr>
          </w:p>
          <w:p w14:paraId="47F9BFB1">
            <w:pPr>
              <w:spacing w:line="359" w:lineRule="auto"/>
              <w:rPr>
                <w:rFonts w:ascii="Arial"/>
                <w:sz w:val="21"/>
              </w:rPr>
            </w:pPr>
          </w:p>
          <w:p w14:paraId="0BFC3193">
            <w:pPr>
              <w:spacing w:before="61" w:line="189" w:lineRule="auto"/>
              <w:ind w:left="147"/>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3.2.5</w:t>
            </w:r>
          </w:p>
        </w:tc>
        <w:tc>
          <w:tcPr>
            <w:tcW w:w="1133" w:type="dxa"/>
            <w:vAlign w:val="top"/>
          </w:tcPr>
          <w:p w14:paraId="1EC270EF">
            <w:pPr>
              <w:spacing w:line="464" w:lineRule="auto"/>
              <w:rPr>
                <w:rFonts w:ascii="Arial"/>
                <w:sz w:val="21"/>
              </w:rPr>
            </w:pPr>
          </w:p>
          <w:p w14:paraId="3684DB45">
            <w:pPr>
              <w:pStyle w:val="11"/>
              <w:spacing w:before="68" w:line="423" w:lineRule="exact"/>
              <w:ind w:left="147"/>
            </w:pPr>
            <w:r>
              <w:rPr>
                <w:spacing w:val="-1"/>
                <w:position w:val="16"/>
              </w:rPr>
              <w:t>评分结果</w:t>
            </w:r>
          </w:p>
          <w:p w14:paraId="095BAB69">
            <w:pPr>
              <w:pStyle w:val="11"/>
              <w:spacing w:line="226" w:lineRule="auto"/>
              <w:ind w:left="359"/>
            </w:pPr>
            <w:r>
              <w:rPr>
                <w:spacing w:val="-2"/>
              </w:rPr>
              <w:t>汇总</w:t>
            </w:r>
          </w:p>
        </w:tc>
        <w:tc>
          <w:tcPr>
            <w:tcW w:w="7097" w:type="dxa"/>
            <w:vAlign w:val="top"/>
          </w:tcPr>
          <w:p w14:paraId="28EAA7DB">
            <w:pPr>
              <w:pStyle w:val="11"/>
              <w:spacing w:before="155" w:line="221" w:lineRule="auto"/>
              <w:ind w:left="112"/>
            </w:pPr>
            <w:r>
              <w:rPr>
                <w:spacing w:val="-4"/>
              </w:rPr>
              <w:t>最终（含分项）</w:t>
            </w:r>
            <w:r>
              <w:rPr>
                <w:spacing w:val="-39"/>
              </w:rPr>
              <w:t xml:space="preserve"> </w:t>
            </w:r>
            <w:r>
              <w:rPr>
                <w:spacing w:val="-4"/>
              </w:rPr>
              <w:t>评分结果汇总确定办法：</w:t>
            </w:r>
          </w:p>
          <w:p w14:paraId="4E746C13">
            <w:pPr>
              <w:pStyle w:val="11"/>
              <w:spacing w:before="171" w:line="220" w:lineRule="auto"/>
              <w:ind w:left="553"/>
            </w:pPr>
            <w:r>
              <w:rPr>
                <w:spacing w:val="-2"/>
              </w:rPr>
              <w:t>□所有评标委员会成员评分的算术平均值。</w:t>
            </w:r>
          </w:p>
          <w:p w14:paraId="16038DCA">
            <w:pPr>
              <w:pStyle w:val="11"/>
              <w:spacing w:before="133" w:line="380" w:lineRule="exact"/>
              <w:ind w:left="553"/>
              <w:rPr>
                <w:highlight w:val="yellow"/>
              </w:rPr>
            </w:pPr>
            <w:r>
              <w:rPr>
                <w:rFonts w:hint="eastAsia"/>
                <w:spacing w:val="4"/>
                <w:position w:val="12"/>
                <w:highlight w:val="yellow"/>
                <w:lang w:eastAsia="zh-CN"/>
              </w:rPr>
              <w:t>☑</w:t>
            </w:r>
            <w:r>
              <w:rPr>
                <w:spacing w:val="4"/>
                <w:position w:val="12"/>
                <w:highlight w:val="yellow"/>
              </w:rPr>
              <w:t>所有评标委员会成员评分去掉一个最高分和一个最低分后计算平均</w:t>
            </w:r>
          </w:p>
          <w:p w14:paraId="27CF29A5">
            <w:pPr>
              <w:pStyle w:val="11"/>
              <w:spacing w:line="220" w:lineRule="auto"/>
              <w:ind w:left="109"/>
            </w:pPr>
            <w:r>
              <w:rPr>
                <w:spacing w:val="-4"/>
                <w:highlight w:val="yellow"/>
              </w:rPr>
              <w:t>值（分项评审成员</w:t>
            </w:r>
            <w:r>
              <w:rPr>
                <w:spacing w:val="-31"/>
                <w:highlight w:val="yellow"/>
              </w:rPr>
              <w:t xml:space="preserve"> </w:t>
            </w:r>
            <w:r>
              <w:rPr>
                <w:spacing w:val="-4"/>
                <w:highlight w:val="yellow"/>
              </w:rPr>
              <w:t>3</w:t>
            </w:r>
            <w:r>
              <w:rPr>
                <w:spacing w:val="-46"/>
                <w:highlight w:val="yellow"/>
              </w:rPr>
              <w:t xml:space="preserve"> </w:t>
            </w:r>
            <w:r>
              <w:rPr>
                <w:spacing w:val="-4"/>
                <w:highlight w:val="yellow"/>
              </w:rPr>
              <w:t>名（含</w:t>
            </w:r>
            <w:r>
              <w:rPr>
                <w:spacing w:val="-39"/>
                <w:highlight w:val="yellow"/>
              </w:rPr>
              <w:t xml:space="preserve"> </w:t>
            </w:r>
            <w:r>
              <w:rPr>
                <w:spacing w:val="-4"/>
                <w:highlight w:val="yellow"/>
              </w:rPr>
              <w:t>3</w:t>
            </w:r>
            <w:r>
              <w:rPr>
                <w:spacing w:val="-46"/>
                <w:highlight w:val="yellow"/>
              </w:rPr>
              <w:t xml:space="preserve"> </w:t>
            </w:r>
            <w:r>
              <w:rPr>
                <w:spacing w:val="-4"/>
                <w:highlight w:val="yellow"/>
              </w:rPr>
              <w:t>名）以下时，按照算术平均值进行计算）。</w:t>
            </w:r>
          </w:p>
        </w:tc>
      </w:tr>
      <w:tr w14:paraId="5B05A3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26" w:hRule="atLeast"/>
        </w:trPr>
        <w:tc>
          <w:tcPr>
            <w:tcW w:w="710" w:type="dxa"/>
            <w:vAlign w:val="top"/>
          </w:tcPr>
          <w:p w14:paraId="2D01AB91">
            <w:pPr>
              <w:spacing w:line="246" w:lineRule="auto"/>
              <w:rPr>
                <w:rFonts w:ascii="Arial"/>
                <w:sz w:val="21"/>
              </w:rPr>
            </w:pPr>
          </w:p>
          <w:p w14:paraId="26F54CED">
            <w:pPr>
              <w:spacing w:line="246" w:lineRule="auto"/>
              <w:rPr>
                <w:rFonts w:ascii="Arial"/>
                <w:sz w:val="21"/>
              </w:rPr>
            </w:pPr>
          </w:p>
          <w:p w14:paraId="090DA2BF">
            <w:pPr>
              <w:spacing w:line="247" w:lineRule="auto"/>
              <w:rPr>
                <w:rFonts w:ascii="Arial"/>
                <w:sz w:val="21"/>
              </w:rPr>
            </w:pPr>
          </w:p>
          <w:p w14:paraId="2237A342">
            <w:pPr>
              <w:spacing w:line="247" w:lineRule="auto"/>
              <w:rPr>
                <w:rFonts w:ascii="Arial"/>
                <w:sz w:val="21"/>
              </w:rPr>
            </w:pPr>
          </w:p>
          <w:p w14:paraId="278ECD92">
            <w:pPr>
              <w:spacing w:line="247" w:lineRule="auto"/>
              <w:rPr>
                <w:rFonts w:ascii="Arial"/>
                <w:sz w:val="21"/>
              </w:rPr>
            </w:pPr>
          </w:p>
          <w:p w14:paraId="13E5D6E4">
            <w:pPr>
              <w:spacing w:line="247" w:lineRule="auto"/>
              <w:rPr>
                <w:rFonts w:ascii="Arial"/>
                <w:sz w:val="21"/>
              </w:rPr>
            </w:pPr>
          </w:p>
          <w:p w14:paraId="2978CC60">
            <w:pPr>
              <w:spacing w:line="247" w:lineRule="auto"/>
              <w:rPr>
                <w:rFonts w:ascii="Arial"/>
                <w:sz w:val="21"/>
              </w:rPr>
            </w:pPr>
          </w:p>
          <w:p w14:paraId="6A82DC66">
            <w:pPr>
              <w:spacing w:line="247" w:lineRule="auto"/>
              <w:rPr>
                <w:rFonts w:ascii="Arial"/>
                <w:sz w:val="21"/>
              </w:rPr>
            </w:pPr>
          </w:p>
          <w:p w14:paraId="36BF86FC">
            <w:pPr>
              <w:spacing w:line="247" w:lineRule="auto"/>
              <w:rPr>
                <w:rFonts w:ascii="Arial"/>
                <w:sz w:val="21"/>
              </w:rPr>
            </w:pPr>
          </w:p>
          <w:p w14:paraId="68D84F9D">
            <w:pPr>
              <w:spacing w:before="61" w:line="189" w:lineRule="auto"/>
              <w:ind w:left="147"/>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3.4.1</w:t>
            </w:r>
          </w:p>
        </w:tc>
        <w:tc>
          <w:tcPr>
            <w:tcW w:w="1133" w:type="dxa"/>
            <w:vAlign w:val="top"/>
          </w:tcPr>
          <w:p w14:paraId="35D87C21">
            <w:pPr>
              <w:spacing w:line="245" w:lineRule="auto"/>
              <w:rPr>
                <w:rFonts w:ascii="Arial"/>
                <w:sz w:val="21"/>
              </w:rPr>
            </w:pPr>
          </w:p>
          <w:p w14:paraId="4943DEFA">
            <w:pPr>
              <w:spacing w:line="246" w:lineRule="auto"/>
              <w:rPr>
                <w:rFonts w:ascii="Arial"/>
                <w:sz w:val="21"/>
              </w:rPr>
            </w:pPr>
          </w:p>
          <w:p w14:paraId="7879E19E">
            <w:pPr>
              <w:spacing w:line="246" w:lineRule="auto"/>
              <w:rPr>
                <w:rFonts w:ascii="Arial"/>
                <w:sz w:val="21"/>
              </w:rPr>
            </w:pPr>
          </w:p>
          <w:p w14:paraId="6013EA44">
            <w:pPr>
              <w:spacing w:line="246" w:lineRule="auto"/>
              <w:rPr>
                <w:rFonts w:ascii="Arial"/>
                <w:sz w:val="21"/>
              </w:rPr>
            </w:pPr>
          </w:p>
          <w:p w14:paraId="152F7795">
            <w:pPr>
              <w:spacing w:line="246" w:lineRule="auto"/>
              <w:rPr>
                <w:rFonts w:ascii="Arial"/>
                <w:sz w:val="21"/>
              </w:rPr>
            </w:pPr>
          </w:p>
          <w:p w14:paraId="7CB4B3F4">
            <w:pPr>
              <w:spacing w:line="246" w:lineRule="auto"/>
              <w:rPr>
                <w:rFonts w:ascii="Arial"/>
                <w:sz w:val="21"/>
              </w:rPr>
            </w:pPr>
          </w:p>
          <w:p w14:paraId="1341093B">
            <w:pPr>
              <w:spacing w:line="246" w:lineRule="auto"/>
              <w:rPr>
                <w:rFonts w:ascii="Arial"/>
                <w:sz w:val="21"/>
              </w:rPr>
            </w:pPr>
          </w:p>
          <w:p w14:paraId="37395FAD">
            <w:pPr>
              <w:spacing w:line="246" w:lineRule="auto"/>
              <w:rPr>
                <w:rFonts w:ascii="Arial"/>
                <w:sz w:val="21"/>
              </w:rPr>
            </w:pPr>
          </w:p>
          <w:p w14:paraId="5532690F">
            <w:pPr>
              <w:pStyle w:val="11"/>
              <w:spacing w:before="68" w:line="220" w:lineRule="auto"/>
              <w:ind w:left="148"/>
            </w:pPr>
            <w:r>
              <w:rPr>
                <w:spacing w:val="-1"/>
              </w:rPr>
              <w:t>推荐中标</w:t>
            </w:r>
          </w:p>
          <w:p w14:paraId="17D77F31">
            <w:pPr>
              <w:pStyle w:val="11"/>
              <w:spacing w:before="172" w:line="221" w:lineRule="auto"/>
              <w:ind w:left="254"/>
            </w:pPr>
            <w:r>
              <w:rPr>
                <w:spacing w:val="-2"/>
              </w:rPr>
              <w:t>候选人</w:t>
            </w:r>
          </w:p>
        </w:tc>
        <w:tc>
          <w:tcPr>
            <w:tcW w:w="7097" w:type="dxa"/>
            <w:vAlign w:val="top"/>
          </w:tcPr>
          <w:p w14:paraId="62192651">
            <w:pPr>
              <w:pStyle w:val="11"/>
              <w:spacing w:before="162" w:line="369" w:lineRule="auto"/>
              <w:ind w:left="109" w:right="111" w:firstLine="428"/>
            </w:pPr>
            <w:r>
              <w:rPr>
                <w:spacing w:val="-1"/>
              </w:rPr>
              <w:t>（</w:t>
            </w:r>
            <w:r>
              <w:rPr>
                <w:rFonts w:ascii="Times New Roman" w:hAnsi="Times New Roman" w:eastAsia="Times New Roman" w:cs="Times New Roman"/>
                <w:spacing w:val="-1"/>
              </w:rPr>
              <w:t>1</w:t>
            </w:r>
            <w:r>
              <w:rPr>
                <w:spacing w:val="-1"/>
              </w:rPr>
              <w:t>）评标委员会向招标人推荐不超过</w:t>
            </w:r>
            <w:r>
              <w:rPr>
                <w:spacing w:val="-104"/>
              </w:rPr>
              <w:t xml:space="preserve"> </w:t>
            </w:r>
            <w:r>
              <w:rPr>
                <w:spacing w:val="12"/>
                <w:u w:val="single" w:color="auto"/>
              </w:rPr>
              <w:t xml:space="preserve"> </w:t>
            </w:r>
            <w:r>
              <w:rPr>
                <w:rFonts w:hint="eastAsia"/>
                <w:spacing w:val="12"/>
                <w:u w:val="single" w:color="auto"/>
                <w:lang w:val="en-US" w:eastAsia="zh-CN"/>
              </w:rPr>
              <w:t>3</w:t>
            </w:r>
            <w:r>
              <w:rPr>
                <w:spacing w:val="-1"/>
              </w:rPr>
              <w:t>家合格的中标候选人，且对</w:t>
            </w:r>
            <w:r>
              <w:t xml:space="preserve"> </w:t>
            </w:r>
            <w:r>
              <w:rPr>
                <w:spacing w:val="5"/>
              </w:rPr>
              <w:t>每个中标候选人的技术咨询建议、优势、不足、</w:t>
            </w:r>
            <w:r>
              <w:rPr>
                <w:spacing w:val="4"/>
              </w:rPr>
              <w:t>风险等情况进行说明，提</w:t>
            </w:r>
          </w:p>
          <w:p w14:paraId="6D8B9828">
            <w:pPr>
              <w:pStyle w:val="11"/>
              <w:spacing w:line="219" w:lineRule="auto"/>
              <w:ind w:left="128"/>
            </w:pPr>
            <w:r>
              <w:rPr>
                <w:spacing w:val="-5"/>
              </w:rPr>
              <w:t>出推荐意见和建议。</w:t>
            </w:r>
          </w:p>
          <w:p w14:paraId="5122878E">
            <w:pPr>
              <w:pStyle w:val="11"/>
              <w:spacing w:before="164" w:line="370" w:lineRule="auto"/>
              <w:ind w:left="109" w:right="104" w:firstLine="429"/>
            </w:pPr>
            <w:r>
              <w:rPr>
                <w:spacing w:val="1"/>
              </w:rPr>
              <w:t>（</w:t>
            </w:r>
            <w:r>
              <w:rPr>
                <w:rFonts w:ascii="Times New Roman" w:hAnsi="Times New Roman" w:eastAsia="Times New Roman" w:cs="Times New Roman"/>
                <w:spacing w:val="1"/>
              </w:rPr>
              <w:t>2</w:t>
            </w:r>
            <w:r>
              <w:rPr>
                <w:spacing w:val="1"/>
              </w:rPr>
              <w:t>）除评标办法前附表规定采用技术标或综合性入围方式的（按前附</w:t>
            </w:r>
            <w:r>
              <w:t xml:space="preserve"> </w:t>
            </w:r>
            <w:r>
              <w:rPr>
                <w:spacing w:val="4"/>
              </w:rPr>
              <w:t>表设定规则计算最终得分和排序</w:t>
            </w:r>
            <w:r>
              <w:rPr>
                <w:spacing w:val="-36"/>
              </w:rPr>
              <w:t>），</w:t>
            </w:r>
            <w:r>
              <w:rPr>
                <w:spacing w:val="4"/>
              </w:rPr>
              <w:t>最终得分计算和排序方法按照经济标+</w:t>
            </w:r>
            <w:r>
              <w:t xml:space="preserve"> </w:t>
            </w:r>
            <w:r>
              <w:rPr>
                <w:spacing w:val="5"/>
              </w:rPr>
              <w:t>技术标+资信标+其他评审汇总得分排序，并按得</w:t>
            </w:r>
            <w:r>
              <w:rPr>
                <w:spacing w:val="4"/>
              </w:rPr>
              <w:t>分由高到低顺序推荐中标</w:t>
            </w:r>
            <w:r>
              <w:t xml:space="preserve"> </w:t>
            </w:r>
            <w:r>
              <w:rPr>
                <w:spacing w:val="5"/>
              </w:rPr>
              <w:t>候选人，或根据招标人授权直接确定中标人，但投</w:t>
            </w:r>
            <w:r>
              <w:rPr>
                <w:spacing w:val="4"/>
              </w:rPr>
              <w:t>标报价低于其成本的除</w:t>
            </w:r>
            <w:r>
              <w:t xml:space="preserve"> </w:t>
            </w:r>
            <w:r>
              <w:rPr>
                <w:spacing w:val="-4"/>
              </w:rPr>
              <w:t>外。综合评分相等时，</w:t>
            </w:r>
            <w:r>
              <w:rPr>
                <w:spacing w:val="60"/>
              </w:rPr>
              <w:t xml:space="preserve"> </w:t>
            </w:r>
            <w:r>
              <w:rPr>
                <w:spacing w:val="-4"/>
              </w:rPr>
              <w:t>依次按下列因素排序</w:t>
            </w:r>
            <w:r>
              <w:rPr>
                <w:spacing w:val="-57"/>
              </w:rPr>
              <w:t>：（</w:t>
            </w:r>
            <w:r>
              <w:rPr>
                <w:spacing w:val="-4"/>
              </w:rPr>
              <w:t>1）投标报价由低到高（2）</w:t>
            </w:r>
            <w:r>
              <w:t xml:space="preserve"> </w:t>
            </w:r>
            <w:r>
              <w:rPr>
                <w:spacing w:val="5"/>
              </w:rPr>
              <w:t>施工组织设计得分由高到低（3）资信业绩得分由高到</w:t>
            </w:r>
            <w:r>
              <w:rPr>
                <w:spacing w:val="4"/>
              </w:rPr>
              <w:t>低（4）其他因素得</w:t>
            </w:r>
            <w:r>
              <w:t xml:space="preserve"> </w:t>
            </w:r>
            <w:r>
              <w:rPr>
                <w:spacing w:val="3"/>
              </w:rPr>
              <w:t>分由高到低；上述因素仍不能排定顺序的，</w:t>
            </w:r>
            <w:r>
              <w:rPr>
                <w:spacing w:val="-51"/>
              </w:rPr>
              <w:t xml:space="preserve"> </w:t>
            </w:r>
            <w:r>
              <w:rPr>
                <w:spacing w:val="3"/>
              </w:rPr>
              <w:t>由招标人或者招标人授权的评</w:t>
            </w:r>
          </w:p>
          <w:p w14:paraId="410904D5">
            <w:pPr>
              <w:pStyle w:val="11"/>
              <w:spacing w:before="1" w:line="219" w:lineRule="auto"/>
              <w:ind w:left="110"/>
            </w:pPr>
            <w:r>
              <w:rPr>
                <w:spacing w:val="-3"/>
              </w:rPr>
              <w:t>标委员会自行确定。</w:t>
            </w:r>
          </w:p>
        </w:tc>
      </w:tr>
    </w:tbl>
    <w:p w14:paraId="1FBE2A43">
      <w:pPr>
        <w:sectPr>
          <w:footerReference r:id="rId49" w:type="default"/>
          <w:pgSz w:w="11905" w:h="16839"/>
          <w:pgMar w:top="1431" w:right="1474" w:bottom="996" w:left="1483" w:header="0" w:footer="791" w:gutter="0"/>
          <w:pgNumType w:fmt="decimal"/>
          <w:cols w:space="720" w:num="1"/>
        </w:sectPr>
      </w:pPr>
    </w:p>
    <w:p w14:paraId="7C70C973">
      <w:pPr>
        <w:spacing w:before="86" w:line="499" w:lineRule="exact"/>
        <w:ind w:left="19"/>
        <w:rPr>
          <w:rFonts w:ascii="黑体" w:hAnsi="黑体" w:eastAsia="黑体" w:cs="黑体"/>
          <w:sz w:val="27"/>
          <w:szCs w:val="27"/>
        </w:rPr>
      </w:pPr>
      <w:r>
        <w:rPr>
          <w:rFonts w:ascii="黑体" w:hAnsi="黑体" w:eastAsia="黑体" w:cs="黑体"/>
          <w:spacing w:val="8"/>
          <w:position w:val="16"/>
          <w:sz w:val="27"/>
          <w:szCs w:val="27"/>
        </w:rPr>
        <w:t>评标办法正文部分</w:t>
      </w:r>
    </w:p>
    <w:p w14:paraId="416EAF6F">
      <w:pPr>
        <w:spacing w:before="1" w:line="223" w:lineRule="auto"/>
        <w:ind w:left="42"/>
        <w:rPr>
          <w:rFonts w:ascii="黑体" w:hAnsi="黑体" w:eastAsia="黑体" w:cs="黑体"/>
          <w:sz w:val="27"/>
          <w:szCs w:val="27"/>
        </w:rPr>
      </w:pPr>
      <w:r>
        <w:rPr>
          <w:rFonts w:ascii="Times New Roman" w:hAnsi="Times New Roman" w:eastAsia="Times New Roman" w:cs="Times New Roman"/>
          <w:spacing w:val="-1"/>
          <w:sz w:val="27"/>
          <w:szCs w:val="27"/>
        </w:rPr>
        <w:t>1.</w:t>
      </w:r>
      <w:r>
        <w:rPr>
          <w:rFonts w:ascii="Times New Roman" w:hAnsi="Times New Roman" w:eastAsia="Times New Roman" w:cs="Times New Roman"/>
          <w:spacing w:val="19"/>
          <w:w w:val="101"/>
          <w:sz w:val="27"/>
          <w:szCs w:val="27"/>
        </w:rPr>
        <w:t xml:space="preserve"> </w:t>
      </w:r>
      <w:r>
        <w:rPr>
          <w:rFonts w:ascii="黑体" w:hAnsi="黑体" w:eastAsia="黑体" w:cs="黑体"/>
          <w:spacing w:val="-1"/>
          <w:sz w:val="27"/>
          <w:szCs w:val="27"/>
        </w:rPr>
        <w:t>评标方法</w:t>
      </w:r>
    </w:p>
    <w:p w14:paraId="347339A1">
      <w:pPr>
        <w:spacing w:before="119" w:line="379" w:lineRule="exact"/>
        <w:ind w:right="6"/>
        <w:jc w:val="right"/>
        <w:rPr>
          <w:rFonts w:ascii="宋体" w:hAnsi="宋体" w:eastAsia="宋体" w:cs="宋体"/>
          <w:sz w:val="21"/>
          <w:szCs w:val="21"/>
        </w:rPr>
      </w:pPr>
      <w:r>
        <w:rPr>
          <w:rFonts w:ascii="宋体" w:hAnsi="宋体" w:eastAsia="宋体" w:cs="宋体"/>
          <w:position w:val="12"/>
          <w:sz w:val="21"/>
          <w:szCs w:val="21"/>
        </w:rPr>
        <w:t>本次评标采用综合评估法。评标委员会对满足招标文件实质性要求的投标文件， 按照</w:t>
      </w:r>
    </w:p>
    <w:p w14:paraId="0F8582BD">
      <w:pPr>
        <w:spacing w:before="1" w:line="219" w:lineRule="auto"/>
        <w:ind w:left="19"/>
        <w:rPr>
          <w:rFonts w:ascii="宋体" w:hAnsi="宋体" w:eastAsia="宋体" w:cs="宋体"/>
          <w:sz w:val="21"/>
          <w:szCs w:val="21"/>
        </w:rPr>
      </w:pPr>
      <w:r>
        <w:rPr>
          <w:rFonts w:ascii="宋体" w:hAnsi="宋体" w:eastAsia="宋体" w:cs="宋体"/>
          <w:spacing w:val="-1"/>
          <w:sz w:val="21"/>
          <w:szCs w:val="21"/>
        </w:rPr>
        <w:t>本章第</w:t>
      </w:r>
      <w:r>
        <w:rPr>
          <w:rFonts w:ascii="宋体" w:hAnsi="宋体" w:eastAsia="宋体" w:cs="宋体"/>
          <w:spacing w:val="-29"/>
          <w:sz w:val="21"/>
          <w:szCs w:val="21"/>
        </w:rPr>
        <w:t xml:space="preserve"> </w:t>
      </w:r>
      <w:r>
        <w:rPr>
          <w:rFonts w:ascii="Times New Roman" w:hAnsi="Times New Roman" w:eastAsia="Times New Roman" w:cs="Times New Roman"/>
          <w:spacing w:val="-1"/>
          <w:sz w:val="21"/>
          <w:szCs w:val="21"/>
        </w:rPr>
        <w:t xml:space="preserve">2.2 </w:t>
      </w:r>
      <w:r>
        <w:rPr>
          <w:rFonts w:ascii="宋体" w:hAnsi="宋体" w:eastAsia="宋体" w:cs="宋体"/>
          <w:spacing w:val="-1"/>
          <w:sz w:val="21"/>
          <w:szCs w:val="21"/>
        </w:rPr>
        <w:t>款规定的评分标准进行打分，并按评标办法前附表的规定推荐中标候选人。</w:t>
      </w:r>
    </w:p>
    <w:p w14:paraId="5F9F3D5F">
      <w:pPr>
        <w:spacing w:before="186" w:line="225" w:lineRule="auto"/>
        <w:ind w:left="15"/>
        <w:rPr>
          <w:rFonts w:ascii="黑体" w:hAnsi="黑体" w:eastAsia="黑体" w:cs="黑体"/>
          <w:sz w:val="27"/>
          <w:szCs w:val="27"/>
        </w:rPr>
      </w:pPr>
      <w:r>
        <w:rPr>
          <w:rFonts w:ascii="Times New Roman" w:hAnsi="Times New Roman" w:eastAsia="Times New Roman" w:cs="Times New Roman"/>
          <w:spacing w:val="4"/>
          <w:sz w:val="27"/>
          <w:szCs w:val="27"/>
        </w:rPr>
        <w:t>2.</w:t>
      </w:r>
      <w:r>
        <w:rPr>
          <w:rFonts w:ascii="Times New Roman" w:hAnsi="Times New Roman" w:eastAsia="Times New Roman" w:cs="Times New Roman"/>
          <w:spacing w:val="17"/>
          <w:sz w:val="27"/>
          <w:szCs w:val="27"/>
        </w:rPr>
        <w:t xml:space="preserve"> </w:t>
      </w:r>
      <w:r>
        <w:rPr>
          <w:rFonts w:ascii="黑体" w:hAnsi="黑体" w:eastAsia="黑体" w:cs="黑体"/>
          <w:spacing w:val="4"/>
          <w:sz w:val="27"/>
          <w:szCs w:val="27"/>
        </w:rPr>
        <w:t>评审标准</w:t>
      </w:r>
    </w:p>
    <w:p w14:paraId="59D9E01E">
      <w:pPr>
        <w:spacing w:before="107" w:line="219" w:lineRule="auto"/>
        <w:ind w:left="15"/>
        <w:rPr>
          <w:rFonts w:ascii="黑体" w:hAnsi="黑体" w:eastAsia="黑体" w:cs="黑体"/>
          <w:sz w:val="24"/>
          <w:szCs w:val="24"/>
        </w:rPr>
      </w:pPr>
      <w:r>
        <w:rPr>
          <w:rFonts w:ascii="Times New Roman" w:hAnsi="Times New Roman" w:eastAsia="Times New Roman" w:cs="Times New Roman"/>
          <w:sz w:val="24"/>
          <w:szCs w:val="24"/>
        </w:rPr>
        <w:t xml:space="preserve">2.1 </w:t>
      </w:r>
      <w:r>
        <w:rPr>
          <w:rFonts w:ascii="黑体" w:hAnsi="黑体" w:eastAsia="黑体" w:cs="黑体"/>
          <w:sz w:val="24"/>
          <w:szCs w:val="24"/>
        </w:rPr>
        <w:t>初步评审标准</w:t>
      </w:r>
    </w:p>
    <w:p w14:paraId="6B5747CC">
      <w:pPr>
        <w:spacing w:before="119" w:line="220" w:lineRule="auto"/>
        <w:ind w:left="437"/>
        <w:rPr>
          <w:rFonts w:ascii="宋体" w:hAnsi="宋体" w:eastAsia="宋体" w:cs="宋体"/>
          <w:sz w:val="21"/>
          <w:szCs w:val="21"/>
        </w:rPr>
      </w:pPr>
      <w:r>
        <w:rPr>
          <w:rFonts w:ascii="Times New Roman" w:hAnsi="Times New Roman" w:eastAsia="Times New Roman" w:cs="Times New Roman"/>
          <w:spacing w:val="-6"/>
          <w:sz w:val="21"/>
          <w:szCs w:val="21"/>
        </w:rPr>
        <w:t>2.1.1</w:t>
      </w:r>
      <w:r>
        <w:rPr>
          <w:rFonts w:ascii="Times New Roman" w:hAnsi="Times New Roman" w:eastAsia="Times New Roman" w:cs="Times New Roman"/>
          <w:spacing w:val="27"/>
          <w:w w:val="101"/>
          <w:sz w:val="21"/>
          <w:szCs w:val="21"/>
        </w:rPr>
        <w:t xml:space="preserve"> </w:t>
      </w:r>
      <w:r>
        <w:rPr>
          <w:rFonts w:ascii="宋体" w:hAnsi="宋体" w:eastAsia="宋体" w:cs="宋体"/>
          <w:spacing w:val="-6"/>
          <w:sz w:val="21"/>
          <w:szCs w:val="21"/>
        </w:rPr>
        <w:t>形式评审标准： 见评标办法前附表。</w:t>
      </w:r>
    </w:p>
    <w:p w14:paraId="72014955">
      <w:pPr>
        <w:spacing w:before="135" w:line="220" w:lineRule="auto"/>
        <w:ind w:left="437"/>
        <w:rPr>
          <w:rFonts w:ascii="宋体" w:hAnsi="宋体" w:eastAsia="宋体" w:cs="宋体"/>
          <w:sz w:val="21"/>
          <w:szCs w:val="21"/>
        </w:rPr>
      </w:pPr>
      <w:r>
        <w:rPr>
          <w:rFonts w:ascii="Times New Roman" w:hAnsi="Times New Roman" w:eastAsia="Times New Roman" w:cs="Times New Roman"/>
          <w:spacing w:val="-6"/>
          <w:sz w:val="21"/>
          <w:szCs w:val="21"/>
        </w:rPr>
        <w:t>2.1.2</w:t>
      </w:r>
      <w:r>
        <w:rPr>
          <w:rFonts w:ascii="Times New Roman" w:hAnsi="Times New Roman" w:eastAsia="Times New Roman" w:cs="Times New Roman"/>
          <w:spacing w:val="27"/>
          <w:w w:val="101"/>
          <w:sz w:val="21"/>
          <w:szCs w:val="21"/>
        </w:rPr>
        <w:t xml:space="preserve"> </w:t>
      </w:r>
      <w:r>
        <w:rPr>
          <w:rFonts w:ascii="宋体" w:hAnsi="宋体" w:eastAsia="宋体" w:cs="宋体"/>
          <w:spacing w:val="-6"/>
          <w:sz w:val="21"/>
          <w:szCs w:val="21"/>
        </w:rPr>
        <w:t>资格评审标准： 见评标办法前附表。</w:t>
      </w:r>
    </w:p>
    <w:p w14:paraId="26856189">
      <w:pPr>
        <w:spacing w:before="129" w:line="220" w:lineRule="auto"/>
        <w:ind w:left="437"/>
        <w:rPr>
          <w:rFonts w:ascii="宋体" w:hAnsi="宋体" w:eastAsia="宋体" w:cs="宋体"/>
          <w:sz w:val="21"/>
          <w:szCs w:val="21"/>
        </w:rPr>
      </w:pPr>
      <w:r>
        <w:rPr>
          <w:rFonts w:ascii="Times New Roman" w:hAnsi="Times New Roman" w:eastAsia="Times New Roman" w:cs="Times New Roman"/>
          <w:spacing w:val="-2"/>
          <w:sz w:val="21"/>
          <w:szCs w:val="21"/>
        </w:rPr>
        <w:t>2.1.3</w:t>
      </w:r>
      <w:r>
        <w:rPr>
          <w:rFonts w:ascii="Times New Roman" w:hAnsi="Times New Roman" w:eastAsia="Times New Roman" w:cs="Times New Roman"/>
          <w:spacing w:val="27"/>
          <w:w w:val="101"/>
          <w:sz w:val="21"/>
          <w:szCs w:val="21"/>
        </w:rPr>
        <w:t xml:space="preserve"> </w:t>
      </w:r>
      <w:r>
        <w:rPr>
          <w:rFonts w:ascii="宋体" w:hAnsi="宋体" w:eastAsia="宋体" w:cs="宋体"/>
          <w:spacing w:val="-2"/>
          <w:sz w:val="21"/>
          <w:szCs w:val="21"/>
        </w:rPr>
        <w:t>响应性评审标准：见评标办法前附表。</w:t>
      </w:r>
    </w:p>
    <w:p w14:paraId="131D4231">
      <w:pPr>
        <w:spacing w:before="123" w:line="219" w:lineRule="auto"/>
        <w:ind w:left="15"/>
        <w:rPr>
          <w:rFonts w:ascii="黑体" w:hAnsi="黑体" w:eastAsia="黑体" w:cs="黑体"/>
          <w:sz w:val="24"/>
          <w:szCs w:val="24"/>
        </w:rPr>
      </w:pPr>
      <w:r>
        <w:rPr>
          <w:rFonts w:ascii="Times New Roman" w:hAnsi="Times New Roman" w:eastAsia="Times New Roman" w:cs="Times New Roman"/>
          <w:spacing w:val="-2"/>
          <w:sz w:val="24"/>
          <w:szCs w:val="24"/>
        </w:rPr>
        <w:t>2.2</w:t>
      </w:r>
      <w:r>
        <w:rPr>
          <w:rFonts w:ascii="Times New Roman" w:hAnsi="Times New Roman" w:eastAsia="Times New Roman" w:cs="Times New Roman"/>
          <w:spacing w:val="24"/>
          <w:w w:val="101"/>
          <w:sz w:val="24"/>
          <w:szCs w:val="24"/>
        </w:rPr>
        <w:t xml:space="preserve"> </w:t>
      </w:r>
      <w:r>
        <w:rPr>
          <w:rFonts w:ascii="黑体" w:hAnsi="黑体" w:eastAsia="黑体" w:cs="黑体"/>
          <w:spacing w:val="-2"/>
          <w:sz w:val="24"/>
          <w:szCs w:val="24"/>
        </w:rPr>
        <w:t>分值构成与评分标准</w:t>
      </w:r>
    </w:p>
    <w:p w14:paraId="2A003D41">
      <w:pPr>
        <w:spacing w:before="138" w:line="221" w:lineRule="auto"/>
        <w:ind w:left="437"/>
        <w:rPr>
          <w:rFonts w:ascii="黑体" w:hAnsi="黑体" w:eastAsia="黑体" w:cs="黑体"/>
          <w:sz w:val="21"/>
          <w:szCs w:val="21"/>
        </w:rPr>
      </w:pPr>
      <w:r>
        <w:rPr>
          <w:rFonts w:ascii="Times New Roman" w:hAnsi="Times New Roman" w:eastAsia="Times New Roman" w:cs="Times New Roman"/>
          <w:spacing w:val="-2"/>
          <w:sz w:val="21"/>
          <w:szCs w:val="21"/>
        </w:rPr>
        <w:t>2.2.1</w:t>
      </w:r>
      <w:r>
        <w:rPr>
          <w:rFonts w:ascii="Times New Roman" w:hAnsi="Times New Roman" w:eastAsia="Times New Roman" w:cs="Times New Roman"/>
          <w:spacing w:val="18"/>
          <w:w w:val="101"/>
          <w:sz w:val="21"/>
          <w:szCs w:val="21"/>
        </w:rPr>
        <w:t xml:space="preserve"> </w:t>
      </w:r>
      <w:r>
        <w:rPr>
          <w:rFonts w:ascii="黑体" w:hAnsi="黑体" w:eastAsia="黑体" w:cs="黑体"/>
          <w:spacing w:val="-2"/>
          <w:sz w:val="21"/>
          <w:szCs w:val="21"/>
        </w:rPr>
        <w:t>分值构成</w:t>
      </w:r>
    </w:p>
    <w:p w14:paraId="0A449C84">
      <w:pPr>
        <w:spacing w:before="134" w:line="219" w:lineRule="auto"/>
        <w:ind w:left="447"/>
        <w:rPr>
          <w:rFonts w:ascii="宋体" w:hAnsi="宋体" w:eastAsia="宋体" w:cs="宋体"/>
          <w:sz w:val="21"/>
          <w:szCs w:val="21"/>
        </w:rPr>
      </w:pPr>
      <w:r>
        <w:rPr>
          <w:rFonts w:ascii="宋体" w:hAnsi="宋体" w:eastAsia="宋体" w:cs="宋体"/>
          <w:spacing w:val="-5"/>
          <w:sz w:val="21"/>
          <w:szCs w:val="21"/>
        </w:rPr>
        <w:t>（</w:t>
      </w:r>
      <w:r>
        <w:rPr>
          <w:rFonts w:ascii="Times New Roman" w:hAnsi="Times New Roman" w:eastAsia="Times New Roman" w:cs="Times New Roman"/>
          <w:spacing w:val="-5"/>
          <w:sz w:val="21"/>
          <w:szCs w:val="21"/>
        </w:rPr>
        <w:t>1</w:t>
      </w:r>
      <w:r>
        <w:rPr>
          <w:rFonts w:ascii="宋体" w:hAnsi="宋体" w:eastAsia="宋体" w:cs="宋体"/>
          <w:spacing w:val="-5"/>
          <w:sz w:val="21"/>
          <w:szCs w:val="21"/>
        </w:rPr>
        <w:t>）投标报价（经济标</w:t>
      </w:r>
      <w:r>
        <w:rPr>
          <w:rFonts w:ascii="宋体" w:hAnsi="宋体" w:eastAsia="宋体" w:cs="宋体"/>
          <w:spacing w:val="-27"/>
          <w:sz w:val="21"/>
          <w:szCs w:val="21"/>
        </w:rPr>
        <w:t>）：</w:t>
      </w:r>
      <w:r>
        <w:rPr>
          <w:rFonts w:ascii="宋体" w:hAnsi="宋体" w:eastAsia="宋体" w:cs="宋体"/>
          <w:spacing w:val="-5"/>
          <w:sz w:val="21"/>
          <w:szCs w:val="21"/>
        </w:rPr>
        <w:t>见评标办法前附表；</w:t>
      </w:r>
    </w:p>
    <w:p w14:paraId="5E55A072">
      <w:pPr>
        <w:spacing w:before="129" w:line="277" w:lineRule="auto"/>
        <w:ind w:left="447" w:right="3116"/>
        <w:rPr>
          <w:rFonts w:ascii="宋体" w:hAnsi="宋体" w:eastAsia="宋体" w:cs="宋体"/>
          <w:sz w:val="21"/>
          <w:szCs w:val="21"/>
        </w:rPr>
      </w:pPr>
      <w:r>
        <w:rPr>
          <w:rFonts w:ascii="宋体" w:hAnsi="宋体" w:eastAsia="宋体" w:cs="宋体"/>
          <w:spacing w:val="-7"/>
          <w:sz w:val="21"/>
          <w:szCs w:val="21"/>
        </w:rPr>
        <w:t>（</w:t>
      </w:r>
      <w:r>
        <w:rPr>
          <w:rFonts w:ascii="Times New Roman" w:hAnsi="Times New Roman" w:eastAsia="Times New Roman" w:cs="Times New Roman"/>
          <w:spacing w:val="-7"/>
          <w:sz w:val="21"/>
          <w:szCs w:val="21"/>
        </w:rPr>
        <w:t>2</w:t>
      </w:r>
      <w:r>
        <w:rPr>
          <w:rFonts w:ascii="宋体" w:hAnsi="宋体" w:eastAsia="宋体" w:cs="宋体"/>
          <w:spacing w:val="-7"/>
          <w:sz w:val="21"/>
          <w:szCs w:val="21"/>
        </w:rPr>
        <w:t>）施工组织设计（技术标）：见评标办法前附表；</w:t>
      </w:r>
      <w:r>
        <w:rPr>
          <w:rFonts w:ascii="宋体" w:hAnsi="宋体" w:eastAsia="宋体" w:cs="宋体"/>
          <w:sz w:val="21"/>
          <w:szCs w:val="21"/>
        </w:rPr>
        <w:t xml:space="preserve"> </w:t>
      </w:r>
      <w:r>
        <w:rPr>
          <w:rFonts w:ascii="宋体" w:hAnsi="宋体" w:eastAsia="宋体" w:cs="宋体"/>
          <w:spacing w:val="-3"/>
          <w:sz w:val="21"/>
          <w:szCs w:val="21"/>
        </w:rPr>
        <w:t>（</w:t>
      </w:r>
      <w:r>
        <w:rPr>
          <w:rFonts w:ascii="Times New Roman" w:hAnsi="Times New Roman" w:eastAsia="Times New Roman" w:cs="Times New Roman"/>
          <w:spacing w:val="-3"/>
          <w:sz w:val="21"/>
          <w:szCs w:val="21"/>
        </w:rPr>
        <w:t>3</w:t>
      </w:r>
      <w:r>
        <w:rPr>
          <w:rFonts w:ascii="宋体" w:hAnsi="宋体" w:eastAsia="宋体" w:cs="宋体"/>
          <w:spacing w:val="-3"/>
          <w:sz w:val="21"/>
          <w:szCs w:val="21"/>
        </w:rPr>
        <w:t>）资信业绩：见评标办法前附表；</w:t>
      </w:r>
    </w:p>
    <w:p w14:paraId="5E8FD897">
      <w:pPr>
        <w:spacing w:before="129" w:line="220" w:lineRule="auto"/>
        <w:ind w:left="447"/>
        <w:rPr>
          <w:rFonts w:ascii="宋体" w:hAnsi="宋体" w:eastAsia="宋体" w:cs="宋体"/>
          <w:sz w:val="21"/>
          <w:szCs w:val="21"/>
        </w:rPr>
      </w:pPr>
      <w:r>
        <w:rPr>
          <w:rFonts w:ascii="宋体" w:hAnsi="宋体" w:eastAsia="宋体" w:cs="宋体"/>
          <w:spacing w:val="-2"/>
          <w:sz w:val="21"/>
          <w:szCs w:val="21"/>
        </w:rPr>
        <w:t>（</w:t>
      </w:r>
      <w:r>
        <w:rPr>
          <w:rFonts w:ascii="Times New Roman" w:hAnsi="Times New Roman" w:eastAsia="Times New Roman" w:cs="Times New Roman"/>
          <w:spacing w:val="-2"/>
          <w:sz w:val="21"/>
          <w:szCs w:val="21"/>
        </w:rPr>
        <w:t>4</w:t>
      </w:r>
      <w:r>
        <w:rPr>
          <w:rFonts w:ascii="宋体" w:hAnsi="宋体" w:eastAsia="宋体" w:cs="宋体"/>
          <w:spacing w:val="-2"/>
          <w:sz w:val="21"/>
          <w:szCs w:val="21"/>
        </w:rPr>
        <w:t>）其他因素：见评标办法前附表。</w:t>
      </w:r>
    </w:p>
    <w:p w14:paraId="54CDC2FD">
      <w:pPr>
        <w:spacing w:before="148" w:line="220" w:lineRule="auto"/>
        <w:ind w:left="437"/>
        <w:rPr>
          <w:rFonts w:ascii="黑体" w:hAnsi="黑体" w:eastAsia="黑体" w:cs="黑体"/>
          <w:sz w:val="21"/>
          <w:szCs w:val="21"/>
        </w:rPr>
      </w:pPr>
      <w:r>
        <w:rPr>
          <w:rFonts w:ascii="Times New Roman" w:hAnsi="Times New Roman" w:eastAsia="Times New Roman" w:cs="Times New Roman"/>
          <w:sz w:val="21"/>
          <w:szCs w:val="21"/>
        </w:rPr>
        <w:t xml:space="preserve">2.2.2 </w:t>
      </w:r>
      <w:r>
        <w:rPr>
          <w:rFonts w:ascii="黑体" w:hAnsi="黑体" w:eastAsia="黑体" w:cs="黑体"/>
          <w:sz w:val="21"/>
          <w:szCs w:val="21"/>
        </w:rPr>
        <w:t>评标基准价计算</w:t>
      </w:r>
    </w:p>
    <w:p w14:paraId="25C5A015">
      <w:pPr>
        <w:spacing w:before="135" w:line="219" w:lineRule="auto"/>
        <w:ind w:left="447"/>
        <w:rPr>
          <w:rFonts w:ascii="宋体" w:hAnsi="宋体" w:eastAsia="宋体" w:cs="宋体"/>
          <w:sz w:val="21"/>
          <w:szCs w:val="21"/>
        </w:rPr>
      </w:pPr>
      <w:r>
        <w:rPr>
          <w:rFonts w:ascii="宋体" w:hAnsi="宋体" w:eastAsia="宋体" w:cs="宋体"/>
          <w:spacing w:val="-2"/>
          <w:sz w:val="21"/>
          <w:szCs w:val="21"/>
        </w:rPr>
        <w:t>（</w:t>
      </w:r>
      <w:r>
        <w:rPr>
          <w:rFonts w:ascii="Times New Roman" w:hAnsi="Times New Roman" w:eastAsia="Times New Roman" w:cs="Times New Roman"/>
          <w:spacing w:val="-2"/>
          <w:sz w:val="21"/>
          <w:szCs w:val="21"/>
        </w:rPr>
        <w:t>1</w:t>
      </w:r>
      <w:r>
        <w:rPr>
          <w:rFonts w:ascii="宋体" w:hAnsi="宋体" w:eastAsia="宋体" w:cs="宋体"/>
          <w:spacing w:val="-2"/>
          <w:sz w:val="21"/>
          <w:szCs w:val="21"/>
        </w:rPr>
        <w:t>）评标价确定方法：见评标办法前附表；</w:t>
      </w:r>
    </w:p>
    <w:p w14:paraId="680F22D5">
      <w:pPr>
        <w:spacing w:before="130" w:line="219" w:lineRule="auto"/>
        <w:ind w:left="447"/>
        <w:rPr>
          <w:rFonts w:ascii="宋体" w:hAnsi="宋体" w:eastAsia="宋体" w:cs="宋体"/>
          <w:sz w:val="21"/>
          <w:szCs w:val="21"/>
        </w:rPr>
      </w:pPr>
      <w:r>
        <w:rPr>
          <w:rFonts w:ascii="宋体" w:hAnsi="宋体" w:eastAsia="宋体" w:cs="宋体"/>
          <w:spacing w:val="-1"/>
          <w:sz w:val="21"/>
          <w:szCs w:val="21"/>
        </w:rPr>
        <w:t>（</w:t>
      </w:r>
      <w:r>
        <w:rPr>
          <w:rFonts w:ascii="Times New Roman" w:hAnsi="Times New Roman" w:eastAsia="Times New Roman" w:cs="Times New Roman"/>
          <w:spacing w:val="-1"/>
          <w:sz w:val="21"/>
          <w:szCs w:val="21"/>
        </w:rPr>
        <w:t>2</w:t>
      </w:r>
      <w:r>
        <w:rPr>
          <w:rFonts w:ascii="宋体" w:hAnsi="宋体" w:eastAsia="宋体" w:cs="宋体"/>
          <w:spacing w:val="-1"/>
          <w:sz w:val="21"/>
          <w:szCs w:val="21"/>
        </w:rPr>
        <w:t>）评标基准价计算方法：见评标办法前附表。</w:t>
      </w:r>
    </w:p>
    <w:p w14:paraId="4A67AE09">
      <w:pPr>
        <w:spacing w:before="149" w:line="220" w:lineRule="auto"/>
        <w:ind w:left="437"/>
        <w:rPr>
          <w:rFonts w:ascii="黑体" w:hAnsi="黑体" w:eastAsia="黑体" w:cs="黑体"/>
          <w:sz w:val="21"/>
          <w:szCs w:val="21"/>
        </w:rPr>
      </w:pPr>
      <w:r>
        <w:rPr>
          <w:rFonts w:ascii="Times New Roman" w:hAnsi="Times New Roman" w:eastAsia="Times New Roman" w:cs="Times New Roman"/>
          <w:sz w:val="21"/>
          <w:szCs w:val="21"/>
        </w:rPr>
        <w:t xml:space="preserve">2.2.3 </w:t>
      </w:r>
      <w:r>
        <w:rPr>
          <w:rFonts w:ascii="黑体" w:hAnsi="黑体" w:eastAsia="黑体" w:cs="黑体"/>
          <w:sz w:val="21"/>
          <w:szCs w:val="21"/>
        </w:rPr>
        <w:t>投标报价的偏差率计算</w:t>
      </w:r>
    </w:p>
    <w:p w14:paraId="31BE8B1E">
      <w:pPr>
        <w:spacing w:before="129" w:line="398" w:lineRule="exact"/>
        <w:ind w:left="443"/>
        <w:rPr>
          <w:rFonts w:ascii="宋体" w:hAnsi="宋体" w:eastAsia="宋体" w:cs="宋体"/>
          <w:sz w:val="21"/>
          <w:szCs w:val="21"/>
        </w:rPr>
      </w:pPr>
      <w:r>
        <w:rPr>
          <w:rFonts w:ascii="宋体" w:hAnsi="宋体" w:eastAsia="宋体" w:cs="宋体"/>
          <w:spacing w:val="-5"/>
          <w:position w:val="14"/>
          <w:sz w:val="21"/>
          <w:szCs w:val="21"/>
        </w:rPr>
        <w:t>投标报价的偏差率计算公式： 见评标办法前附表。</w:t>
      </w:r>
    </w:p>
    <w:p w14:paraId="4028AEDC">
      <w:pPr>
        <w:spacing w:before="1" w:line="219" w:lineRule="auto"/>
        <w:ind w:left="437"/>
        <w:rPr>
          <w:rFonts w:ascii="黑体" w:hAnsi="黑体" w:eastAsia="黑体" w:cs="黑体"/>
          <w:sz w:val="21"/>
          <w:szCs w:val="21"/>
        </w:rPr>
      </w:pPr>
      <w:r>
        <w:rPr>
          <w:rFonts w:ascii="Times New Roman" w:hAnsi="Times New Roman" w:eastAsia="Times New Roman" w:cs="Times New Roman"/>
          <w:sz w:val="21"/>
          <w:szCs w:val="21"/>
        </w:rPr>
        <w:t xml:space="preserve">2.2.4 </w:t>
      </w:r>
      <w:r>
        <w:rPr>
          <w:rFonts w:ascii="黑体" w:hAnsi="黑体" w:eastAsia="黑体" w:cs="黑体"/>
          <w:sz w:val="21"/>
          <w:szCs w:val="21"/>
        </w:rPr>
        <w:t>评分标准</w:t>
      </w:r>
    </w:p>
    <w:p w14:paraId="4B2D64B2">
      <w:pPr>
        <w:spacing w:before="134" w:line="220" w:lineRule="auto"/>
        <w:ind w:left="447"/>
        <w:rPr>
          <w:rFonts w:ascii="宋体" w:hAnsi="宋体" w:eastAsia="宋体" w:cs="宋体"/>
          <w:sz w:val="21"/>
          <w:szCs w:val="21"/>
        </w:rPr>
      </w:pPr>
      <w:r>
        <w:rPr>
          <w:rFonts w:ascii="宋体" w:hAnsi="宋体" w:eastAsia="宋体" w:cs="宋体"/>
          <w:spacing w:val="-2"/>
          <w:sz w:val="21"/>
          <w:szCs w:val="21"/>
        </w:rPr>
        <w:t>（</w:t>
      </w:r>
      <w:r>
        <w:rPr>
          <w:rFonts w:ascii="Times New Roman" w:hAnsi="Times New Roman" w:eastAsia="Times New Roman" w:cs="Times New Roman"/>
          <w:spacing w:val="-2"/>
          <w:sz w:val="21"/>
          <w:szCs w:val="21"/>
        </w:rPr>
        <w:t>1</w:t>
      </w:r>
      <w:r>
        <w:rPr>
          <w:rFonts w:ascii="宋体" w:hAnsi="宋体" w:eastAsia="宋体" w:cs="宋体"/>
          <w:spacing w:val="-2"/>
          <w:sz w:val="21"/>
          <w:szCs w:val="21"/>
        </w:rPr>
        <w:t>）经济标评分标准：见评标办法前附表；</w:t>
      </w:r>
    </w:p>
    <w:p w14:paraId="676DF657">
      <w:pPr>
        <w:spacing w:before="129" w:line="220" w:lineRule="auto"/>
        <w:ind w:left="447"/>
        <w:rPr>
          <w:rFonts w:ascii="宋体" w:hAnsi="宋体" w:eastAsia="宋体" w:cs="宋体"/>
          <w:sz w:val="21"/>
          <w:szCs w:val="21"/>
        </w:rPr>
      </w:pPr>
      <w:r>
        <w:rPr>
          <w:rFonts w:ascii="宋体" w:hAnsi="宋体" w:eastAsia="宋体" w:cs="宋体"/>
          <w:spacing w:val="-2"/>
          <w:sz w:val="21"/>
          <w:szCs w:val="21"/>
        </w:rPr>
        <w:t>（</w:t>
      </w:r>
      <w:r>
        <w:rPr>
          <w:rFonts w:ascii="Times New Roman" w:hAnsi="Times New Roman" w:eastAsia="Times New Roman" w:cs="Times New Roman"/>
          <w:spacing w:val="-2"/>
          <w:sz w:val="21"/>
          <w:szCs w:val="21"/>
        </w:rPr>
        <w:t>2</w:t>
      </w:r>
      <w:r>
        <w:rPr>
          <w:rFonts w:ascii="宋体" w:hAnsi="宋体" w:eastAsia="宋体" w:cs="宋体"/>
          <w:spacing w:val="-2"/>
          <w:sz w:val="21"/>
          <w:szCs w:val="21"/>
        </w:rPr>
        <w:t>）技术标评分标准：见评标办法前附表；</w:t>
      </w:r>
    </w:p>
    <w:p w14:paraId="0C225754">
      <w:pPr>
        <w:spacing w:before="129" w:line="220" w:lineRule="auto"/>
        <w:ind w:left="447"/>
        <w:rPr>
          <w:rFonts w:ascii="宋体" w:hAnsi="宋体" w:eastAsia="宋体" w:cs="宋体"/>
          <w:sz w:val="21"/>
          <w:szCs w:val="21"/>
        </w:rPr>
      </w:pPr>
      <w:r>
        <w:rPr>
          <w:rFonts w:ascii="宋体" w:hAnsi="宋体" w:eastAsia="宋体" w:cs="宋体"/>
          <w:spacing w:val="-2"/>
          <w:sz w:val="21"/>
          <w:szCs w:val="21"/>
        </w:rPr>
        <w:t>（</w:t>
      </w:r>
      <w:r>
        <w:rPr>
          <w:rFonts w:ascii="Times New Roman" w:hAnsi="Times New Roman" w:eastAsia="Times New Roman" w:cs="Times New Roman"/>
          <w:spacing w:val="-2"/>
          <w:sz w:val="21"/>
          <w:szCs w:val="21"/>
        </w:rPr>
        <w:t>3</w:t>
      </w:r>
      <w:r>
        <w:rPr>
          <w:rFonts w:ascii="宋体" w:hAnsi="宋体" w:eastAsia="宋体" w:cs="宋体"/>
          <w:spacing w:val="-2"/>
          <w:sz w:val="21"/>
          <w:szCs w:val="21"/>
        </w:rPr>
        <w:t>）资信标评分标准：见评标办法前附表；</w:t>
      </w:r>
    </w:p>
    <w:p w14:paraId="7AEA6A17">
      <w:pPr>
        <w:spacing w:before="129" w:line="220" w:lineRule="auto"/>
        <w:ind w:left="447"/>
        <w:rPr>
          <w:rFonts w:ascii="宋体" w:hAnsi="宋体" w:eastAsia="宋体" w:cs="宋体"/>
          <w:sz w:val="21"/>
          <w:szCs w:val="21"/>
        </w:rPr>
      </w:pPr>
      <w:r>
        <w:rPr>
          <w:rFonts w:ascii="宋体" w:hAnsi="宋体" w:eastAsia="宋体" w:cs="宋体"/>
          <w:spacing w:val="-2"/>
          <w:sz w:val="21"/>
          <w:szCs w:val="21"/>
        </w:rPr>
        <w:t>（</w:t>
      </w:r>
      <w:r>
        <w:rPr>
          <w:rFonts w:ascii="Times New Roman" w:hAnsi="Times New Roman" w:eastAsia="Times New Roman" w:cs="Times New Roman"/>
          <w:spacing w:val="-2"/>
          <w:sz w:val="21"/>
          <w:szCs w:val="21"/>
        </w:rPr>
        <w:t>4</w:t>
      </w:r>
      <w:r>
        <w:rPr>
          <w:rFonts w:ascii="宋体" w:hAnsi="宋体" w:eastAsia="宋体" w:cs="宋体"/>
          <w:spacing w:val="-2"/>
          <w:sz w:val="21"/>
          <w:szCs w:val="21"/>
        </w:rPr>
        <w:t>）其他因素评分标准：见评标办法前附表。</w:t>
      </w:r>
    </w:p>
    <w:p w14:paraId="7E284A9E">
      <w:pPr>
        <w:spacing w:before="187" w:line="441" w:lineRule="exact"/>
        <w:ind w:left="21"/>
        <w:rPr>
          <w:rFonts w:ascii="黑体" w:hAnsi="黑体" w:eastAsia="黑体" w:cs="黑体"/>
          <w:sz w:val="27"/>
          <w:szCs w:val="27"/>
        </w:rPr>
      </w:pPr>
      <w:r>
        <w:rPr>
          <w:rFonts w:ascii="Times New Roman" w:hAnsi="Times New Roman" w:eastAsia="Times New Roman" w:cs="Times New Roman"/>
          <w:spacing w:val="3"/>
          <w:position w:val="12"/>
          <w:sz w:val="27"/>
          <w:szCs w:val="27"/>
        </w:rPr>
        <w:t>3.</w:t>
      </w:r>
      <w:r>
        <w:rPr>
          <w:rFonts w:ascii="Times New Roman" w:hAnsi="Times New Roman" w:eastAsia="Times New Roman" w:cs="Times New Roman"/>
          <w:spacing w:val="17"/>
          <w:position w:val="12"/>
          <w:sz w:val="27"/>
          <w:szCs w:val="27"/>
        </w:rPr>
        <w:t xml:space="preserve"> </w:t>
      </w:r>
      <w:r>
        <w:rPr>
          <w:rFonts w:ascii="黑体" w:hAnsi="黑体" w:eastAsia="黑体" w:cs="黑体"/>
          <w:spacing w:val="3"/>
          <w:position w:val="12"/>
          <w:sz w:val="27"/>
          <w:szCs w:val="27"/>
        </w:rPr>
        <w:t>评标程序</w:t>
      </w:r>
    </w:p>
    <w:p w14:paraId="55714AA8">
      <w:pPr>
        <w:spacing w:before="1" w:line="218" w:lineRule="auto"/>
        <w:ind w:left="19"/>
        <w:rPr>
          <w:rFonts w:ascii="黑体" w:hAnsi="黑体" w:eastAsia="黑体" w:cs="黑体"/>
          <w:sz w:val="24"/>
          <w:szCs w:val="24"/>
        </w:rPr>
      </w:pPr>
      <w:r>
        <w:rPr>
          <w:rFonts w:ascii="Times New Roman" w:hAnsi="Times New Roman" w:eastAsia="Times New Roman" w:cs="Times New Roman"/>
          <w:spacing w:val="-1"/>
          <w:sz w:val="24"/>
          <w:szCs w:val="24"/>
        </w:rPr>
        <w:t xml:space="preserve">3.1 </w:t>
      </w:r>
      <w:r>
        <w:rPr>
          <w:rFonts w:ascii="黑体" w:hAnsi="黑体" w:eastAsia="黑体" w:cs="黑体"/>
          <w:spacing w:val="-1"/>
          <w:sz w:val="24"/>
          <w:szCs w:val="24"/>
        </w:rPr>
        <w:t>初步评审</w:t>
      </w:r>
    </w:p>
    <w:p w14:paraId="38275F07">
      <w:pPr>
        <w:spacing w:before="120" w:line="379" w:lineRule="exact"/>
        <w:ind w:right="3"/>
        <w:jc w:val="right"/>
        <w:rPr>
          <w:rFonts w:ascii="宋体" w:hAnsi="宋体" w:eastAsia="宋体" w:cs="宋体"/>
          <w:sz w:val="21"/>
          <w:szCs w:val="21"/>
        </w:rPr>
      </w:pPr>
      <w:r>
        <w:rPr>
          <w:rFonts w:ascii="Times New Roman" w:hAnsi="Times New Roman" w:eastAsia="Times New Roman" w:cs="Times New Roman"/>
          <w:position w:val="12"/>
          <w:sz w:val="21"/>
          <w:szCs w:val="21"/>
        </w:rPr>
        <w:t>3.1.1</w:t>
      </w:r>
      <w:r>
        <w:rPr>
          <w:rFonts w:ascii="Times New Roman" w:hAnsi="Times New Roman" w:eastAsia="Times New Roman" w:cs="Times New Roman"/>
          <w:spacing w:val="41"/>
          <w:position w:val="12"/>
          <w:sz w:val="21"/>
          <w:szCs w:val="21"/>
        </w:rPr>
        <w:t xml:space="preserve"> </w:t>
      </w:r>
      <w:r>
        <w:rPr>
          <w:rFonts w:ascii="宋体" w:hAnsi="宋体" w:eastAsia="宋体" w:cs="宋体"/>
          <w:position w:val="12"/>
          <w:sz w:val="21"/>
          <w:szCs w:val="21"/>
        </w:rPr>
        <w:t xml:space="preserve">评标委员会依据本章第 </w:t>
      </w:r>
      <w:r>
        <w:rPr>
          <w:rFonts w:ascii="Times New Roman" w:hAnsi="Times New Roman" w:eastAsia="Times New Roman" w:cs="Times New Roman"/>
          <w:position w:val="12"/>
          <w:sz w:val="21"/>
          <w:szCs w:val="21"/>
        </w:rPr>
        <w:t>2.1</w:t>
      </w:r>
      <w:r>
        <w:rPr>
          <w:rFonts w:ascii="Times New Roman" w:hAnsi="Times New Roman" w:eastAsia="Times New Roman" w:cs="Times New Roman"/>
          <w:spacing w:val="43"/>
          <w:w w:val="101"/>
          <w:position w:val="12"/>
          <w:sz w:val="21"/>
          <w:szCs w:val="21"/>
        </w:rPr>
        <w:t xml:space="preserve"> </w:t>
      </w:r>
      <w:r>
        <w:rPr>
          <w:rFonts w:ascii="宋体" w:hAnsi="宋体" w:eastAsia="宋体" w:cs="宋体"/>
          <w:position w:val="12"/>
          <w:sz w:val="21"/>
          <w:szCs w:val="21"/>
        </w:rPr>
        <w:t>款规定</w:t>
      </w:r>
      <w:r>
        <w:rPr>
          <w:rFonts w:ascii="宋体" w:hAnsi="宋体" w:eastAsia="宋体" w:cs="宋体"/>
          <w:spacing w:val="-1"/>
          <w:position w:val="12"/>
          <w:sz w:val="21"/>
          <w:szCs w:val="21"/>
        </w:rPr>
        <w:t>的标准对投标文件进行初步评审。有一项不符</w:t>
      </w:r>
    </w:p>
    <w:p w14:paraId="65C52DC7">
      <w:pPr>
        <w:spacing w:before="1" w:line="219" w:lineRule="auto"/>
        <w:ind w:left="19"/>
        <w:rPr>
          <w:rFonts w:ascii="宋体" w:hAnsi="宋体" w:eastAsia="宋体" w:cs="宋体"/>
          <w:sz w:val="21"/>
          <w:szCs w:val="21"/>
        </w:rPr>
      </w:pPr>
      <w:r>
        <w:rPr>
          <w:rFonts w:ascii="宋体" w:hAnsi="宋体" w:eastAsia="宋体" w:cs="宋体"/>
          <w:spacing w:val="-2"/>
          <w:sz w:val="21"/>
          <w:szCs w:val="21"/>
        </w:rPr>
        <w:t>合评审标准的，评标委员会应当否决其投标。</w:t>
      </w:r>
    </w:p>
    <w:p w14:paraId="74FF6406">
      <w:pPr>
        <w:spacing w:before="129" w:line="380" w:lineRule="exact"/>
        <w:ind w:left="441"/>
        <w:rPr>
          <w:rFonts w:ascii="宋体" w:hAnsi="宋体" w:eastAsia="宋体" w:cs="宋体"/>
          <w:sz w:val="21"/>
          <w:szCs w:val="21"/>
        </w:rPr>
      </w:pPr>
      <w:r>
        <w:rPr>
          <w:rFonts w:ascii="Times New Roman" w:hAnsi="Times New Roman" w:eastAsia="Times New Roman" w:cs="Times New Roman"/>
          <w:spacing w:val="-1"/>
          <w:position w:val="12"/>
          <w:sz w:val="21"/>
          <w:szCs w:val="21"/>
        </w:rPr>
        <w:t xml:space="preserve">3.1.2 </w:t>
      </w:r>
      <w:r>
        <w:rPr>
          <w:rFonts w:ascii="宋体" w:hAnsi="宋体" w:eastAsia="宋体" w:cs="宋体"/>
          <w:spacing w:val="-1"/>
          <w:position w:val="12"/>
          <w:sz w:val="21"/>
          <w:szCs w:val="21"/>
        </w:rPr>
        <w:t>投标人有以下情形之一的，评</w:t>
      </w:r>
      <w:r>
        <w:rPr>
          <w:rFonts w:ascii="宋体" w:hAnsi="宋体" w:eastAsia="宋体" w:cs="宋体"/>
          <w:spacing w:val="-2"/>
          <w:position w:val="12"/>
          <w:sz w:val="21"/>
          <w:szCs w:val="21"/>
        </w:rPr>
        <w:t>标委员会应当否决其投标：</w:t>
      </w:r>
    </w:p>
    <w:p w14:paraId="48C30A12">
      <w:pPr>
        <w:spacing w:before="1" w:line="219" w:lineRule="auto"/>
        <w:ind w:left="447"/>
        <w:rPr>
          <w:rFonts w:ascii="宋体" w:hAnsi="宋体" w:eastAsia="宋体" w:cs="宋体"/>
          <w:sz w:val="21"/>
          <w:szCs w:val="21"/>
        </w:rPr>
      </w:pPr>
      <w:r>
        <w:rPr>
          <w:rFonts w:ascii="宋体" w:hAnsi="宋体" w:eastAsia="宋体" w:cs="宋体"/>
          <w:spacing w:val="-2"/>
          <w:sz w:val="21"/>
          <w:szCs w:val="21"/>
        </w:rPr>
        <w:t>（</w:t>
      </w:r>
      <w:r>
        <w:rPr>
          <w:rFonts w:ascii="Times New Roman" w:hAnsi="Times New Roman" w:eastAsia="Times New Roman" w:cs="Times New Roman"/>
          <w:spacing w:val="-2"/>
          <w:sz w:val="21"/>
          <w:szCs w:val="21"/>
        </w:rPr>
        <w:t>1</w:t>
      </w:r>
      <w:r>
        <w:rPr>
          <w:rFonts w:ascii="宋体" w:hAnsi="宋体" w:eastAsia="宋体" w:cs="宋体"/>
          <w:spacing w:val="-2"/>
          <w:sz w:val="21"/>
          <w:szCs w:val="21"/>
        </w:rPr>
        <w:t>）不按评标委员会要求澄清、说明或补正。</w:t>
      </w:r>
    </w:p>
    <w:p w14:paraId="4413A5CD">
      <w:pPr>
        <w:spacing w:before="133" w:line="220" w:lineRule="auto"/>
        <w:ind w:left="447"/>
        <w:rPr>
          <w:rFonts w:ascii="宋体" w:hAnsi="宋体" w:eastAsia="宋体" w:cs="宋体"/>
          <w:sz w:val="21"/>
          <w:szCs w:val="21"/>
        </w:rPr>
      </w:pPr>
      <w:r>
        <w:rPr>
          <w:rFonts w:ascii="宋体" w:hAnsi="宋体" w:eastAsia="宋体" w:cs="宋体"/>
          <w:spacing w:val="-2"/>
          <w:sz w:val="21"/>
          <w:szCs w:val="21"/>
        </w:rPr>
        <w:t>（</w:t>
      </w:r>
      <w:r>
        <w:rPr>
          <w:rFonts w:ascii="Times New Roman" w:hAnsi="Times New Roman" w:eastAsia="Times New Roman" w:cs="Times New Roman"/>
          <w:spacing w:val="-2"/>
          <w:sz w:val="21"/>
          <w:szCs w:val="21"/>
        </w:rPr>
        <w:t>2</w:t>
      </w:r>
      <w:r>
        <w:rPr>
          <w:rFonts w:ascii="宋体" w:hAnsi="宋体" w:eastAsia="宋体" w:cs="宋体"/>
          <w:spacing w:val="-2"/>
          <w:sz w:val="21"/>
          <w:szCs w:val="21"/>
        </w:rPr>
        <w:t>）有串通投标、弄虚作假、行贿或有其他违法行为；</w:t>
      </w:r>
    </w:p>
    <w:p w14:paraId="3C505946">
      <w:pPr>
        <w:spacing w:before="130" w:line="379" w:lineRule="exact"/>
        <w:ind w:left="457"/>
        <w:rPr>
          <w:rFonts w:ascii="宋体" w:hAnsi="宋体" w:eastAsia="宋体" w:cs="宋体"/>
          <w:sz w:val="21"/>
          <w:szCs w:val="21"/>
        </w:rPr>
      </w:pPr>
      <w:r>
        <w:rPr>
          <w:rFonts w:ascii="Times New Roman" w:hAnsi="Times New Roman" w:eastAsia="Times New Roman" w:cs="Times New Roman"/>
          <w:spacing w:val="-2"/>
          <w:position w:val="12"/>
          <w:sz w:val="21"/>
          <w:szCs w:val="21"/>
        </w:rPr>
        <w:t>1</w:t>
      </w:r>
      <w:r>
        <w:rPr>
          <w:rFonts w:ascii="宋体" w:hAnsi="宋体" w:eastAsia="宋体" w:cs="宋体"/>
          <w:spacing w:val="-2"/>
          <w:position w:val="12"/>
          <w:sz w:val="21"/>
          <w:szCs w:val="21"/>
        </w:rPr>
        <w:t>）有下列情形之一的，视为投标人相互串通投标：</w:t>
      </w:r>
    </w:p>
    <w:p w14:paraId="17DD19BF">
      <w:pPr>
        <w:spacing w:line="218" w:lineRule="auto"/>
        <w:ind w:left="440"/>
        <w:rPr>
          <w:rFonts w:ascii="宋体" w:hAnsi="宋体" w:eastAsia="宋体" w:cs="宋体"/>
          <w:sz w:val="21"/>
          <w:szCs w:val="21"/>
        </w:rPr>
      </w:pPr>
      <w:r>
        <w:rPr>
          <w:rFonts w:ascii="宋体" w:hAnsi="宋体" w:eastAsia="宋体" w:cs="宋体"/>
          <w:spacing w:val="-2"/>
          <w:sz w:val="21"/>
          <w:szCs w:val="21"/>
        </w:rPr>
        <w:t>①</w:t>
      </w:r>
      <w:r>
        <w:rPr>
          <w:rFonts w:ascii="宋体" w:hAnsi="宋体" w:eastAsia="宋体" w:cs="宋体"/>
          <w:spacing w:val="-36"/>
          <w:sz w:val="21"/>
          <w:szCs w:val="21"/>
        </w:rPr>
        <w:t xml:space="preserve"> </w:t>
      </w:r>
      <w:r>
        <w:rPr>
          <w:rFonts w:ascii="宋体" w:hAnsi="宋体" w:eastAsia="宋体" w:cs="宋体"/>
          <w:spacing w:val="-2"/>
          <w:sz w:val="21"/>
          <w:szCs w:val="21"/>
        </w:rPr>
        <w:t>不同投标人的投标文件由同一单位或者个人编制；</w:t>
      </w:r>
    </w:p>
    <w:p w14:paraId="44235997">
      <w:pPr>
        <w:spacing w:before="132" w:line="218" w:lineRule="auto"/>
        <w:ind w:left="439"/>
        <w:rPr>
          <w:rFonts w:ascii="宋体" w:hAnsi="宋体" w:eastAsia="宋体" w:cs="宋体"/>
          <w:sz w:val="21"/>
          <w:szCs w:val="21"/>
        </w:rPr>
      </w:pPr>
      <w:r>
        <w:rPr>
          <w:rFonts w:ascii="宋体" w:hAnsi="宋体" w:eastAsia="宋体" w:cs="宋体"/>
          <w:spacing w:val="-2"/>
          <w:sz w:val="21"/>
          <w:szCs w:val="21"/>
        </w:rPr>
        <w:t>②</w:t>
      </w:r>
      <w:r>
        <w:rPr>
          <w:rFonts w:ascii="宋体" w:hAnsi="宋体" w:eastAsia="宋体" w:cs="宋体"/>
          <w:spacing w:val="-35"/>
          <w:sz w:val="21"/>
          <w:szCs w:val="21"/>
        </w:rPr>
        <w:t xml:space="preserve"> </w:t>
      </w:r>
      <w:r>
        <w:rPr>
          <w:rFonts w:ascii="宋体" w:hAnsi="宋体" w:eastAsia="宋体" w:cs="宋体"/>
          <w:spacing w:val="-2"/>
          <w:sz w:val="21"/>
          <w:szCs w:val="21"/>
        </w:rPr>
        <w:t>不同投标人委托同一单位或者个人办理投标事宜；</w:t>
      </w:r>
    </w:p>
    <w:p w14:paraId="576CCF16">
      <w:pPr>
        <w:spacing w:line="218" w:lineRule="auto"/>
        <w:rPr>
          <w:rFonts w:ascii="宋体" w:hAnsi="宋体" w:eastAsia="宋体" w:cs="宋体"/>
          <w:sz w:val="21"/>
          <w:szCs w:val="21"/>
        </w:rPr>
        <w:sectPr>
          <w:footerReference r:id="rId50" w:type="default"/>
          <w:pgSz w:w="11905" w:h="16839"/>
          <w:pgMar w:top="1431" w:right="1785" w:bottom="996" w:left="1785" w:header="0" w:footer="791" w:gutter="0"/>
          <w:pgNumType w:fmt="decimal"/>
          <w:cols w:space="720" w:num="1"/>
        </w:sectPr>
      </w:pPr>
    </w:p>
    <w:p w14:paraId="17FA46DB">
      <w:pPr>
        <w:spacing w:before="130" w:line="379" w:lineRule="exact"/>
        <w:jc w:val="right"/>
        <w:rPr>
          <w:rFonts w:ascii="宋体" w:hAnsi="宋体" w:eastAsia="宋体" w:cs="宋体"/>
          <w:sz w:val="21"/>
          <w:szCs w:val="21"/>
        </w:rPr>
      </w:pPr>
      <w:r>
        <w:rPr>
          <w:rFonts w:ascii="宋体" w:hAnsi="宋体" w:eastAsia="宋体" w:cs="宋体"/>
          <w:spacing w:val="-1"/>
          <w:position w:val="12"/>
          <w:sz w:val="21"/>
          <w:szCs w:val="21"/>
        </w:rPr>
        <w:t>③ 不同投标人使用同一电脑等电子设备办理投标事宜（下载招标文件、上传投标文件、</w:t>
      </w:r>
    </w:p>
    <w:p w14:paraId="229F3A35">
      <w:pPr>
        <w:spacing w:line="220" w:lineRule="auto"/>
        <w:ind w:left="17"/>
        <w:rPr>
          <w:rFonts w:ascii="宋体" w:hAnsi="宋体" w:eastAsia="宋体" w:cs="宋体"/>
          <w:sz w:val="21"/>
          <w:szCs w:val="21"/>
        </w:rPr>
      </w:pPr>
      <w:r>
        <w:rPr>
          <w:rFonts w:ascii="宋体" w:hAnsi="宋体" w:eastAsia="宋体" w:cs="宋体"/>
          <w:spacing w:val="-5"/>
          <w:sz w:val="21"/>
          <w:szCs w:val="21"/>
        </w:rPr>
        <w:t>授权委托人或项目经理实名认证等关键环节</w:t>
      </w:r>
      <w:r>
        <w:rPr>
          <w:rFonts w:ascii="宋体" w:hAnsi="宋体" w:eastAsia="宋体" w:cs="宋体"/>
          <w:spacing w:val="-15"/>
          <w:sz w:val="21"/>
          <w:szCs w:val="21"/>
        </w:rPr>
        <w:t>）；</w:t>
      </w:r>
    </w:p>
    <w:p w14:paraId="66DAA812">
      <w:pPr>
        <w:spacing w:before="128" w:line="218" w:lineRule="auto"/>
        <w:ind w:left="439"/>
        <w:rPr>
          <w:rFonts w:ascii="宋体" w:hAnsi="宋体" w:eastAsia="宋体" w:cs="宋体"/>
          <w:sz w:val="21"/>
          <w:szCs w:val="21"/>
        </w:rPr>
      </w:pPr>
      <w:r>
        <w:rPr>
          <w:rFonts w:ascii="宋体" w:hAnsi="宋体" w:eastAsia="宋体" w:cs="宋体"/>
          <w:spacing w:val="-2"/>
          <w:sz w:val="21"/>
          <w:szCs w:val="21"/>
        </w:rPr>
        <w:t>④</w:t>
      </w:r>
      <w:r>
        <w:rPr>
          <w:rFonts w:ascii="宋体" w:hAnsi="宋体" w:eastAsia="宋体" w:cs="宋体"/>
          <w:spacing w:val="-33"/>
          <w:sz w:val="21"/>
          <w:szCs w:val="21"/>
        </w:rPr>
        <w:t xml:space="preserve"> </w:t>
      </w:r>
      <w:r>
        <w:rPr>
          <w:rFonts w:ascii="宋体" w:hAnsi="宋体" w:eastAsia="宋体" w:cs="宋体"/>
          <w:spacing w:val="-2"/>
          <w:sz w:val="21"/>
          <w:szCs w:val="21"/>
        </w:rPr>
        <w:t>不同投标人的投标文件载明的项目管理成员为同一人；</w:t>
      </w:r>
    </w:p>
    <w:p w14:paraId="18C15F44">
      <w:pPr>
        <w:spacing w:before="136" w:line="218" w:lineRule="auto"/>
        <w:ind w:left="439"/>
        <w:rPr>
          <w:rFonts w:ascii="宋体" w:hAnsi="宋体" w:eastAsia="宋体" w:cs="宋体"/>
          <w:sz w:val="21"/>
          <w:szCs w:val="21"/>
        </w:rPr>
      </w:pPr>
      <w:r>
        <w:rPr>
          <w:rFonts w:ascii="宋体" w:hAnsi="宋体" w:eastAsia="宋体" w:cs="宋体"/>
          <w:spacing w:val="-1"/>
          <w:sz w:val="21"/>
          <w:szCs w:val="21"/>
        </w:rPr>
        <w:t>⑤</w:t>
      </w:r>
      <w:r>
        <w:rPr>
          <w:rFonts w:ascii="宋体" w:hAnsi="宋体" w:eastAsia="宋体" w:cs="宋体"/>
          <w:spacing w:val="-27"/>
          <w:sz w:val="21"/>
          <w:szCs w:val="21"/>
        </w:rPr>
        <w:t xml:space="preserve"> </w:t>
      </w:r>
      <w:r>
        <w:rPr>
          <w:rFonts w:ascii="宋体" w:hAnsi="宋体" w:eastAsia="宋体" w:cs="宋体"/>
          <w:spacing w:val="-1"/>
          <w:sz w:val="21"/>
          <w:szCs w:val="21"/>
        </w:rPr>
        <w:t>不同投标人的投标文件非典型一致或者投标报价呈规律性差异；</w:t>
      </w:r>
    </w:p>
    <w:p w14:paraId="394E246F">
      <w:pPr>
        <w:spacing w:before="131" w:line="218" w:lineRule="auto"/>
        <w:ind w:left="439"/>
        <w:rPr>
          <w:rFonts w:ascii="宋体" w:hAnsi="宋体" w:eastAsia="宋体" w:cs="宋体"/>
          <w:sz w:val="21"/>
          <w:szCs w:val="21"/>
        </w:rPr>
      </w:pPr>
      <w:r>
        <w:rPr>
          <w:rFonts w:ascii="宋体" w:hAnsi="宋体" w:eastAsia="宋体" w:cs="宋体"/>
          <w:spacing w:val="-3"/>
          <w:sz w:val="21"/>
          <w:szCs w:val="21"/>
        </w:rPr>
        <w:t>⑥</w:t>
      </w:r>
      <w:r>
        <w:rPr>
          <w:rFonts w:ascii="宋体" w:hAnsi="宋体" w:eastAsia="宋体" w:cs="宋体"/>
          <w:spacing w:val="-41"/>
          <w:sz w:val="21"/>
          <w:szCs w:val="21"/>
        </w:rPr>
        <w:t xml:space="preserve"> </w:t>
      </w:r>
      <w:r>
        <w:rPr>
          <w:rFonts w:ascii="宋体" w:hAnsi="宋体" w:eastAsia="宋体" w:cs="宋体"/>
          <w:spacing w:val="-3"/>
          <w:sz w:val="21"/>
          <w:szCs w:val="21"/>
        </w:rPr>
        <w:t>不同投标人的投标文件相互混装；</w:t>
      </w:r>
    </w:p>
    <w:p w14:paraId="7FA0918E">
      <w:pPr>
        <w:spacing w:before="131" w:line="218" w:lineRule="auto"/>
        <w:ind w:right="15"/>
        <w:jc w:val="right"/>
        <w:rPr>
          <w:rFonts w:ascii="宋体" w:hAnsi="宋体" w:eastAsia="宋体" w:cs="宋体"/>
          <w:sz w:val="21"/>
          <w:szCs w:val="21"/>
        </w:rPr>
      </w:pPr>
      <w:r>
        <w:rPr>
          <w:rFonts w:ascii="宋体" w:hAnsi="宋体" w:eastAsia="宋体" w:cs="宋体"/>
          <w:spacing w:val="-1"/>
          <w:sz w:val="21"/>
          <w:szCs w:val="21"/>
        </w:rPr>
        <w:t>⑦ 不同投标人的投标保证金或保函（保险）财务费用从同一单位或者个人的账户转出；</w:t>
      </w:r>
    </w:p>
    <w:p w14:paraId="41EA57DB">
      <w:pPr>
        <w:spacing w:before="131" w:line="380" w:lineRule="exact"/>
        <w:ind w:left="439"/>
        <w:rPr>
          <w:rFonts w:ascii="宋体" w:hAnsi="宋体" w:eastAsia="宋体" w:cs="宋体"/>
          <w:sz w:val="21"/>
          <w:szCs w:val="21"/>
        </w:rPr>
      </w:pPr>
      <w:r>
        <w:rPr>
          <w:rFonts w:ascii="宋体" w:hAnsi="宋体" w:eastAsia="宋体" w:cs="宋体"/>
          <w:spacing w:val="-8"/>
          <w:position w:val="12"/>
          <w:sz w:val="21"/>
          <w:szCs w:val="21"/>
        </w:rPr>
        <w:t>⑧</w:t>
      </w:r>
      <w:r>
        <w:rPr>
          <w:rFonts w:ascii="宋体" w:hAnsi="宋体" w:eastAsia="宋体" w:cs="宋体"/>
          <w:spacing w:val="-54"/>
          <w:position w:val="12"/>
          <w:sz w:val="21"/>
          <w:szCs w:val="21"/>
        </w:rPr>
        <w:t xml:space="preserve"> </w:t>
      </w:r>
      <w:r>
        <w:rPr>
          <w:rFonts w:ascii="宋体" w:hAnsi="宋体" w:eastAsia="宋体" w:cs="宋体"/>
          <w:spacing w:val="-8"/>
          <w:position w:val="12"/>
          <w:sz w:val="21"/>
          <w:szCs w:val="21"/>
        </w:rPr>
        <w:t>不同投标人的投标文件存在“</w:t>
      </w:r>
      <w:r>
        <w:rPr>
          <w:rFonts w:ascii="Times New Roman" w:hAnsi="Times New Roman" w:eastAsia="Times New Roman" w:cs="Times New Roman"/>
          <w:spacing w:val="-8"/>
          <w:position w:val="12"/>
          <w:sz w:val="21"/>
          <w:szCs w:val="21"/>
        </w:rPr>
        <w:t>MAC</w:t>
      </w:r>
      <w:r>
        <w:rPr>
          <w:rFonts w:ascii="Times New Roman" w:hAnsi="Times New Roman" w:eastAsia="Times New Roman" w:cs="Times New Roman"/>
          <w:spacing w:val="-22"/>
          <w:position w:val="12"/>
          <w:sz w:val="21"/>
          <w:szCs w:val="21"/>
        </w:rPr>
        <w:t xml:space="preserve"> </w:t>
      </w:r>
      <w:r>
        <w:rPr>
          <w:rFonts w:ascii="宋体" w:hAnsi="宋体" w:eastAsia="宋体" w:cs="宋体"/>
          <w:spacing w:val="-8"/>
          <w:position w:val="12"/>
          <w:sz w:val="21"/>
          <w:szCs w:val="21"/>
        </w:rPr>
        <w:t>地址”、“文件</w:t>
      </w:r>
      <w:r>
        <w:rPr>
          <w:rFonts w:ascii="宋体" w:hAnsi="宋体" w:eastAsia="宋体" w:cs="宋体"/>
          <w:spacing w:val="-9"/>
          <w:position w:val="12"/>
          <w:sz w:val="21"/>
          <w:szCs w:val="21"/>
        </w:rPr>
        <w:t>创建标识码”、“文件制作机器码”</w:t>
      </w:r>
    </w:p>
    <w:p w14:paraId="48A24DDD">
      <w:pPr>
        <w:spacing w:line="220" w:lineRule="auto"/>
        <w:ind w:left="20"/>
        <w:rPr>
          <w:rFonts w:ascii="宋体" w:hAnsi="宋体" w:eastAsia="宋体" w:cs="宋体"/>
          <w:sz w:val="21"/>
          <w:szCs w:val="21"/>
        </w:rPr>
      </w:pPr>
      <w:r>
        <w:rPr>
          <w:rFonts w:ascii="宋体" w:hAnsi="宋体" w:eastAsia="宋体" w:cs="宋体"/>
          <w:spacing w:val="-3"/>
          <w:sz w:val="21"/>
          <w:szCs w:val="21"/>
        </w:rPr>
        <w:t>等唯一性标识一致等情形。</w:t>
      </w:r>
    </w:p>
    <w:p w14:paraId="7A45DF0A">
      <w:pPr>
        <w:spacing w:before="128" w:line="220" w:lineRule="auto"/>
        <w:ind w:left="437"/>
        <w:rPr>
          <w:rFonts w:ascii="宋体" w:hAnsi="宋体" w:eastAsia="宋体" w:cs="宋体"/>
          <w:sz w:val="21"/>
          <w:szCs w:val="21"/>
        </w:rPr>
      </w:pPr>
      <w:r>
        <w:rPr>
          <w:rFonts w:ascii="Times New Roman" w:hAnsi="Times New Roman" w:eastAsia="Times New Roman" w:cs="Times New Roman"/>
          <w:spacing w:val="-2"/>
          <w:sz w:val="21"/>
          <w:szCs w:val="21"/>
        </w:rPr>
        <w:t>2</w:t>
      </w:r>
      <w:r>
        <w:rPr>
          <w:rFonts w:ascii="宋体" w:hAnsi="宋体" w:eastAsia="宋体" w:cs="宋体"/>
          <w:spacing w:val="-2"/>
          <w:sz w:val="21"/>
          <w:szCs w:val="21"/>
        </w:rPr>
        <w:t>）有下列情形之一的，属于弄虚作假行为：</w:t>
      </w:r>
    </w:p>
    <w:p w14:paraId="540D6A3A">
      <w:pPr>
        <w:spacing w:before="135" w:line="218" w:lineRule="auto"/>
        <w:jc w:val="right"/>
        <w:rPr>
          <w:rFonts w:ascii="宋体" w:hAnsi="宋体" w:eastAsia="宋体" w:cs="宋体"/>
          <w:sz w:val="21"/>
          <w:szCs w:val="21"/>
        </w:rPr>
      </w:pPr>
      <w:r>
        <w:rPr>
          <w:rFonts w:ascii="宋体" w:hAnsi="宋体" w:eastAsia="宋体" w:cs="宋体"/>
          <w:sz w:val="21"/>
          <w:szCs w:val="21"/>
        </w:rPr>
        <w:t>①</w:t>
      </w:r>
      <w:r>
        <w:rPr>
          <w:rFonts w:ascii="宋体" w:hAnsi="宋体" w:eastAsia="宋体" w:cs="宋体"/>
          <w:spacing w:val="-19"/>
          <w:sz w:val="21"/>
          <w:szCs w:val="21"/>
        </w:rPr>
        <w:t xml:space="preserve"> </w:t>
      </w:r>
      <w:r>
        <w:rPr>
          <w:rFonts w:ascii="宋体" w:hAnsi="宋体" w:eastAsia="宋体" w:cs="宋体"/>
          <w:sz w:val="21"/>
          <w:szCs w:val="21"/>
        </w:rPr>
        <w:t>使用通过受让或者租借等方式获取的资格、资质证书投标的，即以他人名义</w:t>
      </w:r>
      <w:r>
        <w:rPr>
          <w:rFonts w:ascii="宋体" w:hAnsi="宋体" w:eastAsia="宋体" w:cs="宋体"/>
          <w:spacing w:val="-1"/>
          <w:sz w:val="21"/>
          <w:szCs w:val="21"/>
        </w:rPr>
        <w:t>投标的。</w:t>
      </w:r>
    </w:p>
    <w:p w14:paraId="7D50A783">
      <w:pPr>
        <w:spacing w:before="131" w:line="218" w:lineRule="auto"/>
        <w:ind w:left="439"/>
        <w:rPr>
          <w:rFonts w:ascii="宋体" w:hAnsi="宋体" w:eastAsia="宋体" w:cs="宋体"/>
          <w:sz w:val="21"/>
          <w:szCs w:val="21"/>
        </w:rPr>
      </w:pPr>
      <w:r>
        <w:rPr>
          <w:rFonts w:ascii="宋体" w:hAnsi="宋体" w:eastAsia="宋体" w:cs="宋体"/>
          <w:spacing w:val="-1"/>
          <w:sz w:val="21"/>
          <w:szCs w:val="21"/>
        </w:rPr>
        <w:t>②</w:t>
      </w:r>
      <w:r>
        <w:rPr>
          <w:rFonts w:ascii="宋体" w:hAnsi="宋体" w:eastAsia="宋体" w:cs="宋体"/>
          <w:spacing w:val="-40"/>
          <w:sz w:val="21"/>
          <w:szCs w:val="21"/>
        </w:rPr>
        <w:t xml:space="preserve"> </w:t>
      </w:r>
      <w:r>
        <w:rPr>
          <w:rFonts w:ascii="宋体" w:hAnsi="宋体" w:eastAsia="宋体" w:cs="宋体"/>
          <w:spacing w:val="-1"/>
          <w:sz w:val="21"/>
          <w:szCs w:val="21"/>
        </w:rPr>
        <w:t>使用伪造、变造的许可证件；</w:t>
      </w:r>
    </w:p>
    <w:p w14:paraId="3EA0D9E4">
      <w:pPr>
        <w:spacing w:before="131" w:line="218" w:lineRule="auto"/>
        <w:ind w:left="439"/>
        <w:rPr>
          <w:rFonts w:ascii="宋体" w:hAnsi="宋体" w:eastAsia="宋体" w:cs="宋体"/>
          <w:sz w:val="21"/>
          <w:szCs w:val="21"/>
        </w:rPr>
      </w:pPr>
      <w:r>
        <w:rPr>
          <w:rFonts w:ascii="宋体" w:hAnsi="宋体" w:eastAsia="宋体" w:cs="宋体"/>
          <w:spacing w:val="-3"/>
          <w:sz w:val="21"/>
          <w:szCs w:val="21"/>
        </w:rPr>
        <w:t>③</w:t>
      </w:r>
      <w:r>
        <w:rPr>
          <w:rFonts w:ascii="宋体" w:hAnsi="宋体" w:eastAsia="宋体" w:cs="宋体"/>
          <w:spacing w:val="-36"/>
          <w:sz w:val="21"/>
          <w:szCs w:val="21"/>
        </w:rPr>
        <w:t xml:space="preserve"> </w:t>
      </w:r>
      <w:r>
        <w:rPr>
          <w:rFonts w:ascii="宋体" w:hAnsi="宋体" w:eastAsia="宋体" w:cs="宋体"/>
          <w:spacing w:val="-3"/>
          <w:sz w:val="21"/>
          <w:szCs w:val="21"/>
        </w:rPr>
        <w:t>提供虚假的财务状况或者业绩；</w:t>
      </w:r>
    </w:p>
    <w:p w14:paraId="384BBB57">
      <w:pPr>
        <w:spacing w:before="132" w:line="218" w:lineRule="auto"/>
        <w:ind w:left="439"/>
        <w:rPr>
          <w:rFonts w:ascii="宋体" w:hAnsi="宋体" w:eastAsia="宋体" w:cs="宋体"/>
          <w:sz w:val="21"/>
          <w:szCs w:val="21"/>
        </w:rPr>
      </w:pPr>
      <w:r>
        <w:rPr>
          <w:rFonts w:ascii="宋体" w:hAnsi="宋体" w:eastAsia="宋体" w:cs="宋体"/>
          <w:spacing w:val="-1"/>
          <w:sz w:val="21"/>
          <w:szCs w:val="21"/>
        </w:rPr>
        <w:t>④</w:t>
      </w:r>
      <w:r>
        <w:rPr>
          <w:rFonts w:ascii="宋体" w:hAnsi="宋体" w:eastAsia="宋体" w:cs="宋体"/>
          <w:spacing w:val="-27"/>
          <w:sz w:val="21"/>
          <w:szCs w:val="21"/>
        </w:rPr>
        <w:t xml:space="preserve"> </w:t>
      </w:r>
      <w:r>
        <w:rPr>
          <w:rFonts w:ascii="宋体" w:hAnsi="宋体" w:eastAsia="宋体" w:cs="宋体"/>
          <w:spacing w:val="-1"/>
          <w:sz w:val="21"/>
          <w:szCs w:val="21"/>
        </w:rPr>
        <w:t>提供虚假的项目负责人或者主要技术人员简历、社会保险证明；</w:t>
      </w:r>
    </w:p>
    <w:p w14:paraId="62069165">
      <w:pPr>
        <w:spacing w:before="131" w:line="218" w:lineRule="auto"/>
        <w:ind w:left="439"/>
        <w:rPr>
          <w:rFonts w:ascii="宋体" w:hAnsi="宋体" w:eastAsia="宋体" w:cs="宋体"/>
          <w:sz w:val="21"/>
          <w:szCs w:val="21"/>
        </w:rPr>
      </w:pPr>
      <w:r>
        <w:rPr>
          <w:rFonts w:ascii="宋体" w:hAnsi="宋体" w:eastAsia="宋体" w:cs="宋体"/>
          <w:spacing w:val="-4"/>
          <w:sz w:val="21"/>
          <w:szCs w:val="21"/>
        </w:rPr>
        <w:t>⑤</w:t>
      </w:r>
      <w:r>
        <w:rPr>
          <w:rFonts w:ascii="宋体" w:hAnsi="宋体" w:eastAsia="宋体" w:cs="宋体"/>
          <w:spacing w:val="-37"/>
          <w:sz w:val="21"/>
          <w:szCs w:val="21"/>
        </w:rPr>
        <w:t xml:space="preserve"> </w:t>
      </w:r>
      <w:r>
        <w:rPr>
          <w:rFonts w:ascii="宋体" w:hAnsi="宋体" w:eastAsia="宋体" w:cs="宋体"/>
          <w:spacing w:val="-4"/>
          <w:sz w:val="21"/>
          <w:szCs w:val="21"/>
        </w:rPr>
        <w:t>提供虚假的信用状况；</w:t>
      </w:r>
    </w:p>
    <w:p w14:paraId="128D6F0D">
      <w:pPr>
        <w:spacing w:before="132" w:line="218" w:lineRule="auto"/>
        <w:ind w:left="439"/>
        <w:rPr>
          <w:rFonts w:ascii="宋体" w:hAnsi="宋体" w:eastAsia="宋体" w:cs="宋体"/>
          <w:sz w:val="21"/>
          <w:szCs w:val="21"/>
        </w:rPr>
      </w:pPr>
      <w:r>
        <w:rPr>
          <w:rFonts w:ascii="宋体" w:hAnsi="宋体" w:eastAsia="宋体" w:cs="宋体"/>
          <w:spacing w:val="-3"/>
          <w:sz w:val="21"/>
          <w:szCs w:val="21"/>
        </w:rPr>
        <w:t>⑥</w:t>
      </w:r>
      <w:r>
        <w:rPr>
          <w:rFonts w:ascii="宋体" w:hAnsi="宋体" w:eastAsia="宋体" w:cs="宋体"/>
          <w:spacing w:val="-38"/>
          <w:sz w:val="21"/>
          <w:szCs w:val="21"/>
        </w:rPr>
        <w:t xml:space="preserve"> </w:t>
      </w:r>
      <w:r>
        <w:rPr>
          <w:rFonts w:ascii="宋体" w:hAnsi="宋体" w:eastAsia="宋体" w:cs="宋体"/>
          <w:spacing w:val="-3"/>
          <w:sz w:val="21"/>
          <w:szCs w:val="21"/>
        </w:rPr>
        <w:t>其他弄虚作假的行为。</w:t>
      </w:r>
    </w:p>
    <w:p w14:paraId="19E725E9">
      <w:pPr>
        <w:spacing w:before="134" w:line="334" w:lineRule="auto"/>
        <w:ind w:left="18" w:right="175" w:firstLine="423"/>
        <w:rPr>
          <w:rFonts w:ascii="宋体" w:hAnsi="宋体" w:eastAsia="宋体" w:cs="宋体"/>
          <w:sz w:val="21"/>
          <w:szCs w:val="21"/>
        </w:rPr>
      </w:pPr>
      <w:r>
        <w:rPr>
          <w:rFonts w:ascii="Times New Roman" w:hAnsi="Times New Roman" w:eastAsia="Times New Roman" w:cs="Times New Roman"/>
          <w:spacing w:val="1"/>
          <w:sz w:val="21"/>
          <w:szCs w:val="21"/>
        </w:rPr>
        <w:t>3.1.3</w:t>
      </w:r>
      <w:r>
        <w:rPr>
          <w:rFonts w:ascii="Times New Roman" w:hAnsi="Times New Roman" w:eastAsia="Times New Roman" w:cs="Times New Roman"/>
          <w:spacing w:val="44"/>
          <w:w w:val="101"/>
          <w:sz w:val="21"/>
          <w:szCs w:val="21"/>
        </w:rPr>
        <w:t xml:space="preserve"> </w:t>
      </w:r>
      <w:r>
        <w:rPr>
          <w:rFonts w:ascii="宋体" w:hAnsi="宋体" w:eastAsia="宋体" w:cs="宋体"/>
          <w:spacing w:val="1"/>
          <w:sz w:val="21"/>
          <w:szCs w:val="21"/>
        </w:rPr>
        <w:t>投标报价有算术错误的，评标委</w:t>
      </w:r>
      <w:r>
        <w:rPr>
          <w:rFonts w:ascii="宋体" w:hAnsi="宋体" w:eastAsia="宋体" w:cs="宋体"/>
          <w:sz w:val="21"/>
          <w:szCs w:val="21"/>
        </w:rPr>
        <w:t xml:space="preserve">员会按以下原则对投标报价进行修正，修正的价 </w:t>
      </w:r>
      <w:r>
        <w:rPr>
          <w:rFonts w:ascii="宋体" w:hAnsi="宋体" w:eastAsia="宋体" w:cs="宋体"/>
          <w:spacing w:val="3"/>
          <w:sz w:val="21"/>
          <w:szCs w:val="21"/>
        </w:rPr>
        <w:t>格经投标人书面确认后具有约束力。投标人不接受修正价格的，或者修正后</w:t>
      </w:r>
      <w:r>
        <w:rPr>
          <w:rFonts w:ascii="宋体" w:hAnsi="宋体" w:eastAsia="宋体" w:cs="宋体"/>
          <w:spacing w:val="2"/>
          <w:sz w:val="21"/>
          <w:szCs w:val="21"/>
        </w:rPr>
        <w:t>的投标报价超</w:t>
      </w:r>
    </w:p>
    <w:p w14:paraId="3E9CEE4F">
      <w:pPr>
        <w:spacing w:line="219" w:lineRule="auto"/>
        <w:ind w:left="19"/>
        <w:rPr>
          <w:rFonts w:ascii="宋体" w:hAnsi="宋体" w:eastAsia="宋体" w:cs="宋体"/>
          <w:sz w:val="21"/>
          <w:szCs w:val="21"/>
        </w:rPr>
      </w:pPr>
      <w:r>
        <w:rPr>
          <w:rFonts w:ascii="宋体" w:hAnsi="宋体" w:eastAsia="宋体" w:cs="宋体"/>
          <w:spacing w:val="-5"/>
          <w:sz w:val="21"/>
          <w:szCs w:val="21"/>
        </w:rPr>
        <w:t>过最高投标限价的（如有</w:t>
      </w:r>
      <w:r>
        <w:rPr>
          <w:rFonts w:ascii="宋体" w:hAnsi="宋体" w:eastAsia="宋体" w:cs="宋体"/>
          <w:spacing w:val="-7"/>
          <w:sz w:val="21"/>
          <w:szCs w:val="21"/>
        </w:rPr>
        <w:t>），</w:t>
      </w:r>
      <w:r>
        <w:rPr>
          <w:rFonts w:ascii="宋体" w:hAnsi="宋体" w:eastAsia="宋体" w:cs="宋体"/>
          <w:spacing w:val="-5"/>
          <w:sz w:val="21"/>
          <w:szCs w:val="21"/>
        </w:rPr>
        <w:t>评标委员会应当否决其投标。</w:t>
      </w:r>
    </w:p>
    <w:p w14:paraId="303138FE">
      <w:pPr>
        <w:spacing w:before="130" w:line="221" w:lineRule="auto"/>
        <w:ind w:left="447"/>
        <w:rPr>
          <w:rFonts w:ascii="宋体" w:hAnsi="宋体" w:eastAsia="宋体" w:cs="宋体"/>
          <w:sz w:val="21"/>
          <w:szCs w:val="21"/>
        </w:rPr>
      </w:pPr>
      <w:r>
        <w:rPr>
          <w:rFonts w:ascii="宋体" w:hAnsi="宋体" w:eastAsia="宋体" w:cs="宋体"/>
          <w:spacing w:val="-5"/>
          <w:sz w:val="21"/>
          <w:szCs w:val="21"/>
        </w:rPr>
        <w:t>（</w:t>
      </w:r>
      <w:r>
        <w:rPr>
          <w:rFonts w:ascii="Times New Roman" w:hAnsi="Times New Roman" w:eastAsia="Times New Roman" w:cs="Times New Roman"/>
          <w:spacing w:val="-5"/>
          <w:sz w:val="21"/>
          <w:szCs w:val="21"/>
        </w:rPr>
        <w:t>1</w:t>
      </w:r>
      <w:r>
        <w:rPr>
          <w:rFonts w:ascii="宋体" w:hAnsi="宋体" w:eastAsia="宋体" w:cs="宋体"/>
          <w:spacing w:val="-5"/>
          <w:sz w:val="21"/>
          <w:szCs w:val="21"/>
        </w:rPr>
        <w:t>）投标文件中的大写金额与小写金额不一致的， 以大写金额为准；</w:t>
      </w:r>
    </w:p>
    <w:p w14:paraId="41C933C5">
      <w:pPr>
        <w:spacing w:before="128" w:line="379" w:lineRule="exact"/>
        <w:ind w:left="447"/>
        <w:rPr>
          <w:rFonts w:ascii="宋体" w:hAnsi="宋体" w:eastAsia="宋体" w:cs="宋体"/>
          <w:sz w:val="21"/>
          <w:szCs w:val="21"/>
        </w:rPr>
      </w:pPr>
      <w:r>
        <w:rPr>
          <w:rFonts w:ascii="宋体" w:hAnsi="宋体" w:eastAsia="宋体" w:cs="宋体"/>
          <w:position w:val="12"/>
          <w:sz w:val="21"/>
          <w:szCs w:val="21"/>
        </w:rPr>
        <w:t>（</w:t>
      </w:r>
      <w:r>
        <w:rPr>
          <w:rFonts w:ascii="Times New Roman" w:hAnsi="Times New Roman" w:eastAsia="Times New Roman" w:cs="Times New Roman"/>
          <w:position w:val="12"/>
          <w:sz w:val="21"/>
          <w:szCs w:val="21"/>
        </w:rPr>
        <w:t>2</w:t>
      </w:r>
      <w:r>
        <w:rPr>
          <w:rFonts w:ascii="宋体" w:hAnsi="宋体" w:eastAsia="宋体" w:cs="宋体"/>
          <w:position w:val="12"/>
          <w:sz w:val="21"/>
          <w:szCs w:val="21"/>
        </w:rPr>
        <w:t>）总价金额与依据单价计算出的结果不一致的，以单价金额为准修正总价，但单价</w:t>
      </w:r>
    </w:p>
    <w:p w14:paraId="5843F60C">
      <w:pPr>
        <w:spacing w:before="1" w:line="220" w:lineRule="auto"/>
        <w:ind w:left="20"/>
        <w:rPr>
          <w:rFonts w:ascii="宋体" w:hAnsi="宋体" w:eastAsia="宋体" w:cs="宋体"/>
          <w:sz w:val="21"/>
          <w:szCs w:val="21"/>
        </w:rPr>
      </w:pPr>
      <w:r>
        <w:rPr>
          <w:rFonts w:ascii="宋体" w:hAnsi="宋体" w:eastAsia="宋体" w:cs="宋体"/>
          <w:spacing w:val="-1"/>
          <w:sz w:val="21"/>
          <w:szCs w:val="21"/>
        </w:rPr>
        <w:t>金额小数点有明显错误的除外。</w:t>
      </w:r>
    </w:p>
    <w:p w14:paraId="26A92F91">
      <w:pPr>
        <w:spacing w:before="135" w:line="333" w:lineRule="auto"/>
        <w:ind w:left="28" w:right="179" w:firstLine="413"/>
        <w:rPr>
          <w:rFonts w:ascii="宋体" w:hAnsi="宋体" w:eastAsia="宋体" w:cs="宋体"/>
          <w:sz w:val="21"/>
          <w:szCs w:val="21"/>
        </w:rPr>
      </w:pPr>
      <w:r>
        <w:rPr>
          <w:rFonts w:ascii="Times New Roman" w:hAnsi="Times New Roman" w:eastAsia="Times New Roman" w:cs="Times New Roman"/>
          <w:spacing w:val="1"/>
          <w:sz w:val="21"/>
          <w:szCs w:val="21"/>
        </w:rPr>
        <w:t>3.1.4</w:t>
      </w:r>
      <w:r>
        <w:rPr>
          <w:rFonts w:ascii="Times New Roman" w:hAnsi="Times New Roman" w:eastAsia="Times New Roman" w:cs="Times New Roman"/>
          <w:spacing w:val="32"/>
          <w:sz w:val="21"/>
          <w:szCs w:val="21"/>
        </w:rPr>
        <w:t xml:space="preserve"> </w:t>
      </w:r>
      <w:r>
        <w:rPr>
          <w:rFonts w:ascii="宋体" w:hAnsi="宋体" w:eastAsia="宋体" w:cs="宋体"/>
          <w:spacing w:val="1"/>
          <w:sz w:val="21"/>
          <w:szCs w:val="21"/>
        </w:rPr>
        <w:t>评标委员会发现投标人的报价明显低于其他投标报</w:t>
      </w:r>
      <w:r>
        <w:rPr>
          <w:rFonts w:ascii="宋体" w:hAnsi="宋体" w:eastAsia="宋体" w:cs="宋体"/>
          <w:sz w:val="21"/>
          <w:szCs w:val="21"/>
        </w:rPr>
        <w:t xml:space="preserve">价，或者在设有最高投标限价 </w:t>
      </w:r>
      <w:r>
        <w:rPr>
          <w:rFonts w:ascii="宋体" w:hAnsi="宋体" w:eastAsia="宋体" w:cs="宋体"/>
          <w:spacing w:val="3"/>
          <w:sz w:val="21"/>
          <w:szCs w:val="21"/>
        </w:rPr>
        <w:t>时明显低于最高投标限价，使得其投标报价可能低于</w:t>
      </w:r>
      <w:r>
        <w:rPr>
          <w:rFonts w:ascii="宋体" w:hAnsi="宋体" w:eastAsia="宋体" w:cs="宋体"/>
          <w:spacing w:val="2"/>
          <w:sz w:val="21"/>
          <w:szCs w:val="21"/>
        </w:rPr>
        <w:t>其个别成本的，应当要求该投标人作</w:t>
      </w:r>
      <w:r>
        <w:rPr>
          <w:rFonts w:ascii="宋体" w:hAnsi="宋体" w:eastAsia="宋体" w:cs="宋体"/>
          <w:sz w:val="21"/>
          <w:szCs w:val="21"/>
        </w:rPr>
        <w:t xml:space="preserve"> </w:t>
      </w:r>
      <w:r>
        <w:rPr>
          <w:rFonts w:ascii="宋体" w:hAnsi="宋体" w:eastAsia="宋体" w:cs="宋体"/>
          <w:spacing w:val="2"/>
          <w:sz w:val="21"/>
          <w:szCs w:val="21"/>
        </w:rPr>
        <w:t>出书面说明并提供相应的证明材料。投标人不能合理说明或者不能提供相应证明材料的，</w:t>
      </w:r>
    </w:p>
    <w:p w14:paraId="478A369B">
      <w:pPr>
        <w:spacing w:line="219" w:lineRule="auto"/>
        <w:ind w:left="43"/>
        <w:rPr>
          <w:rFonts w:ascii="宋体" w:hAnsi="宋体" w:eastAsia="宋体" w:cs="宋体"/>
          <w:sz w:val="21"/>
          <w:szCs w:val="21"/>
        </w:rPr>
      </w:pPr>
      <w:r>
        <w:rPr>
          <w:rFonts w:ascii="宋体" w:hAnsi="宋体" w:eastAsia="宋体" w:cs="宋体"/>
          <w:spacing w:val="-2"/>
          <w:sz w:val="21"/>
          <w:szCs w:val="21"/>
        </w:rPr>
        <w:t>由评标委员会认定该投标人以低于成本报价竞标，否决其</w:t>
      </w:r>
      <w:r>
        <w:rPr>
          <w:rFonts w:ascii="宋体" w:hAnsi="宋体" w:eastAsia="宋体" w:cs="宋体"/>
          <w:spacing w:val="-3"/>
          <w:sz w:val="21"/>
          <w:szCs w:val="21"/>
        </w:rPr>
        <w:t>投标。</w:t>
      </w:r>
    </w:p>
    <w:p w14:paraId="24506937">
      <w:pPr>
        <w:spacing w:before="130" w:line="379" w:lineRule="exact"/>
        <w:ind w:left="441"/>
        <w:rPr>
          <w:rFonts w:ascii="宋体" w:hAnsi="宋体" w:eastAsia="宋体" w:cs="宋体"/>
          <w:sz w:val="21"/>
          <w:szCs w:val="21"/>
        </w:rPr>
      </w:pPr>
      <w:r>
        <w:rPr>
          <w:rFonts w:ascii="Times New Roman" w:hAnsi="Times New Roman" w:eastAsia="Times New Roman" w:cs="Times New Roman"/>
          <w:position w:val="12"/>
          <w:sz w:val="21"/>
          <w:szCs w:val="21"/>
        </w:rPr>
        <w:t>3.1.5</w:t>
      </w:r>
      <w:r>
        <w:rPr>
          <w:rFonts w:ascii="Times New Roman" w:hAnsi="Times New Roman" w:eastAsia="Times New Roman" w:cs="Times New Roman"/>
          <w:spacing w:val="31"/>
          <w:w w:val="101"/>
          <w:position w:val="12"/>
          <w:sz w:val="21"/>
          <w:szCs w:val="21"/>
        </w:rPr>
        <w:t xml:space="preserve"> </w:t>
      </w:r>
      <w:r>
        <w:rPr>
          <w:rFonts w:ascii="宋体" w:hAnsi="宋体" w:eastAsia="宋体" w:cs="宋体"/>
          <w:position w:val="12"/>
          <w:sz w:val="21"/>
          <w:szCs w:val="21"/>
        </w:rPr>
        <w:t>评标委员会否决不合格投标后，因</w:t>
      </w:r>
      <w:r>
        <w:rPr>
          <w:rFonts w:ascii="宋体" w:hAnsi="宋体" w:eastAsia="宋体" w:cs="宋体"/>
          <w:spacing w:val="-1"/>
          <w:position w:val="12"/>
          <w:sz w:val="21"/>
          <w:szCs w:val="21"/>
        </w:rPr>
        <w:t>有效投标不足三个使得投标明显缺乏竞争的，</w:t>
      </w:r>
    </w:p>
    <w:p w14:paraId="70380D04">
      <w:pPr>
        <w:spacing w:before="1" w:line="219" w:lineRule="auto"/>
        <w:ind w:left="17"/>
        <w:rPr>
          <w:rFonts w:ascii="宋体" w:hAnsi="宋体" w:eastAsia="宋体" w:cs="宋体"/>
          <w:sz w:val="21"/>
          <w:szCs w:val="21"/>
        </w:rPr>
      </w:pPr>
      <w:r>
        <w:rPr>
          <w:rFonts w:ascii="宋体" w:hAnsi="宋体" w:eastAsia="宋体" w:cs="宋体"/>
          <w:spacing w:val="-1"/>
          <w:sz w:val="21"/>
          <w:szCs w:val="21"/>
        </w:rPr>
        <w:t>评标委员会可以否决全部投标。</w:t>
      </w:r>
    </w:p>
    <w:p w14:paraId="3BC32F36">
      <w:pPr>
        <w:spacing w:before="129" w:line="219" w:lineRule="auto"/>
        <w:ind w:left="19"/>
        <w:rPr>
          <w:rFonts w:ascii="黑体" w:hAnsi="黑体" w:eastAsia="黑体" w:cs="黑体"/>
          <w:sz w:val="24"/>
          <w:szCs w:val="24"/>
        </w:rPr>
      </w:pPr>
      <w:r>
        <w:rPr>
          <w:rFonts w:ascii="Times New Roman" w:hAnsi="Times New Roman" w:eastAsia="Times New Roman" w:cs="Times New Roman"/>
          <w:spacing w:val="-2"/>
          <w:sz w:val="24"/>
          <w:szCs w:val="24"/>
        </w:rPr>
        <w:t>3.2</w:t>
      </w:r>
      <w:r>
        <w:rPr>
          <w:rFonts w:ascii="Times New Roman" w:hAnsi="Times New Roman" w:eastAsia="Times New Roman" w:cs="Times New Roman"/>
          <w:spacing w:val="11"/>
          <w:sz w:val="24"/>
          <w:szCs w:val="24"/>
        </w:rPr>
        <w:t xml:space="preserve"> </w:t>
      </w:r>
      <w:r>
        <w:rPr>
          <w:rFonts w:ascii="黑体" w:hAnsi="黑体" w:eastAsia="黑体" w:cs="黑体"/>
          <w:spacing w:val="-2"/>
          <w:sz w:val="24"/>
          <w:szCs w:val="24"/>
        </w:rPr>
        <w:t>详细评审</w:t>
      </w:r>
    </w:p>
    <w:p w14:paraId="7FA2B0A1">
      <w:pPr>
        <w:spacing w:before="119" w:line="379" w:lineRule="exact"/>
        <w:ind w:left="441"/>
        <w:rPr>
          <w:rFonts w:ascii="宋体" w:hAnsi="宋体" w:eastAsia="宋体" w:cs="宋体"/>
          <w:sz w:val="21"/>
          <w:szCs w:val="21"/>
        </w:rPr>
      </w:pPr>
      <w:r>
        <w:rPr>
          <w:rFonts w:ascii="Times New Roman" w:hAnsi="Times New Roman" w:eastAsia="Times New Roman" w:cs="Times New Roman"/>
          <w:spacing w:val="1"/>
          <w:position w:val="12"/>
          <w:sz w:val="21"/>
          <w:szCs w:val="21"/>
        </w:rPr>
        <w:t>3.2.1</w:t>
      </w:r>
      <w:r>
        <w:rPr>
          <w:rFonts w:ascii="Times New Roman" w:hAnsi="Times New Roman" w:eastAsia="Times New Roman" w:cs="Times New Roman"/>
          <w:spacing w:val="32"/>
          <w:position w:val="12"/>
          <w:sz w:val="21"/>
          <w:szCs w:val="21"/>
        </w:rPr>
        <w:t xml:space="preserve"> </w:t>
      </w:r>
      <w:r>
        <w:rPr>
          <w:rFonts w:ascii="宋体" w:hAnsi="宋体" w:eastAsia="宋体" w:cs="宋体"/>
          <w:spacing w:val="1"/>
          <w:position w:val="12"/>
          <w:sz w:val="21"/>
          <w:szCs w:val="21"/>
        </w:rPr>
        <w:t>评标委员会对通过了初步评审的投标文件进行详细</w:t>
      </w:r>
      <w:r>
        <w:rPr>
          <w:rFonts w:ascii="宋体" w:hAnsi="宋体" w:eastAsia="宋体" w:cs="宋体"/>
          <w:position w:val="12"/>
          <w:sz w:val="21"/>
          <w:szCs w:val="21"/>
        </w:rPr>
        <w:t>评审。如采用入围方式的，则</w:t>
      </w:r>
    </w:p>
    <w:p w14:paraId="5BE1EA20">
      <w:pPr>
        <w:spacing w:before="1" w:line="219" w:lineRule="auto"/>
        <w:ind w:left="20"/>
        <w:rPr>
          <w:rFonts w:ascii="宋体" w:hAnsi="宋体" w:eastAsia="宋体" w:cs="宋体"/>
          <w:sz w:val="21"/>
          <w:szCs w:val="21"/>
        </w:rPr>
      </w:pPr>
      <w:r>
        <w:rPr>
          <w:rFonts w:ascii="宋体" w:hAnsi="宋体" w:eastAsia="宋体" w:cs="宋体"/>
          <w:spacing w:val="-2"/>
          <w:sz w:val="21"/>
          <w:szCs w:val="21"/>
        </w:rPr>
        <w:t>按照评标办法前附表规定的方式进行入围。</w:t>
      </w:r>
    </w:p>
    <w:p w14:paraId="276CCA98">
      <w:pPr>
        <w:spacing w:before="129" w:line="380" w:lineRule="exact"/>
        <w:ind w:left="441"/>
        <w:rPr>
          <w:rFonts w:ascii="宋体" w:hAnsi="宋体" w:eastAsia="宋体" w:cs="宋体"/>
          <w:sz w:val="21"/>
          <w:szCs w:val="21"/>
        </w:rPr>
      </w:pPr>
      <w:r>
        <w:rPr>
          <w:rFonts w:ascii="Times New Roman" w:hAnsi="Times New Roman" w:eastAsia="Times New Roman" w:cs="Times New Roman"/>
          <w:position w:val="12"/>
          <w:sz w:val="21"/>
          <w:szCs w:val="21"/>
        </w:rPr>
        <w:t>3.2.2</w:t>
      </w:r>
      <w:r>
        <w:rPr>
          <w:rFonts w:ascii="Times New Roman" w:hAnsi="Times New Roman" w:eastAsia="Times New Roman" w:cs="Times New Roman"/>
          <w:spacing w:val="31"/>
          <w:w w:val="101"/>
          <w:position w:val="12"/>
          <w:sz w:val="21"/>
          <w:szCs w:val="21"/>
        </w:rPr>
        <w:t xml:space="preserve"> </w:t>
      </w:r>
      <w:r>
        <w:rPr>
          <w:rFonts w:ascii="宋体" w:hAnsi="宋体" w:eastAsia="宋体" w:cs="宋体"/>
          <w:position w:val="12"/>
          <w:sz w:val="21"/>
          <w:szCs w:val="21"/>
        </w:rPr>
        <w:t xml:space="preserve">评标委员会按本章第 </w:t>
      </w:r>
      <w:r>
        <w:rPr>
          <w:rFonts w:ascii="Times New Roman" w:hAnsi="Times New Roman" w:eastAsia="Times New Roman" w:cs="Times New Roman"/>
          <w:position w:val="12"/>
          <w:sz w:val="21"/>
          <w:szCs w:val="21"/>
        </w:rPr>
        <w:t>2.2</w:t>
      </w:r>
      <w:r>
        <w:rPr>
          <w:rFonts w:ascii="Times New Roman" w:hAnsi="Times New Roman" w:eastAsia="Times New Roman" w:cs="Times New Roman"/>
          <w:spacing w:val="43"/>
          <w:position w:val="12"/>
          <w:sz w:val="21"/>
          <w:szCs w:val="21"/>
        </w:rPr>
        <w:t xml:space="preserve"> </w:t>
      </w:r>
      <w:r>
        <w:rPr>
          <w:rFonts w:ascii="宋体" w:hAnsi="宋体" w:eastAsia="宋体" w:cs="宋体"/>
          <w:position w:val="12"/>
          <w:sz w:val="21"/>
          <w:szCs w:val="21"/>
        </w:rPr>
        <w:t>款规定的量化因素和分值进行打分</w:t>
      </w:r>
      <w:r>
        <w:rPr>
          <w:rFonts w:ascii="宋体" w:hAnsi="宋体" w:eastAsia="宋体" w:cs="宋体"/>
          <w:spacing w:val="-1"/>
          <w:position w:val="12"/>
          <w:sz w:val="21"/>
          <w:szCs w:val="21"/>
        </w:rPr>
        <w:t>，并计算出综合评估</w:t>
      </w:r>
    </w:p>
    <w:p w14:paraId="6E7B6FF9">
      <w:pPr>
        <w:spacing w:before="1" w:line="220" w:lineRule="auto"/>
        <w:ind w:left="19"/>
        <w:rPr>
          <w:rFonts w:ascii="宋体" w:hAnsi="宋体" w:eastAsia="宋体" w:cs="宋体"/>
          <w:sz w:val="21"/>
          <w:szCs w:val="21"/>
        </w:rPr>
      </w:pPr>
      <w:r>
        <w:rPr>
          <w:rFonts w:ascii="宋体" w:hAnsi="宋体" w:eastAsia="宋体" w:cs="宋体"/>
          <w:spacing w:val="-9"/>
          <w:sz w:val="21"/>
          <w:szCs w:val="21"/>
        </w:rPr>
        <w:t>得分。</w:t>
      </w:r>
    </w:p>
    <w:p w14:paraId="0EF343F7">
      <w:pPr>
        <w:spacing w:before="132" w:line="220" w:lineRule="auto"/>
        <w:ind w:left="447"/>
        <w:rPr>
          <w:rFonts w:ascii="宋体" w:hAnsi="宋体" w:eastAsia="宋体" w:cs="宋体"/>
          <w:sz w:val="21"/>
          <w:szCs w:val="21"/>
        </w:rPr>
      </w:pPr>
      <w:r>
        <w:rPr>
          <w:rFonts w:ascii="宋体" w:hAnsi="宋体" w:eastAsia="宋体" w:cs="宋体"/>
          <w:sz w:val="21"/>
          <w:szCs w:val="21"/>
        </w:rPr>
        <w:t>（</w:t>
      </w:r>
      <w:r>
        <w:rPr>
          <w:rFonts w:ascii="Times New Roman" w:hAnsi="Times New Roman" w:eastAsia="Times New Roman" w:cs="Times New Roman"/>
          <w:sz w:val="21"/>
          <w:szCs w:val="21"/>
        </w:rPr>
        <w:t>1</w:t>
      </w:r>
      <w:r>
        <w:rPr>
          <w:rFonts w:ascii="宋体" w:hAnsi="宋体" w:eastAsia="宋体" w:cs="宋体"/>
          <w:sz w:val="21"/>
          <w:szCs w:val="21"/>
        </w:rPr>
        <w:t>）按本章第</w:t>
      </w:r>
      <w:r>
        <w:rPr>
          <w:rFonts w:ascii="宋体" w:hAnsi="宋体" w:eastAsia="宋体" w:cs="宋体"/>
          <w:spacing w:val="-48"/>
          <w:sz w:val="21"/>
          <w:szCs w:val="21"/>
        </w:rPr>
        <w:t xml:space="preserve"> </w:t>
      </w:r>
      <w:r>
        <w:rPr>
          <w:rFonts w:ascii="Times New Roman" w:hAnsi="Times New Roman" w:eastAsia="Times New Roman" w:cs="Times New Roman"/>
          <w:sz w:val="21"/>
          <w:szCs w:val="21"/>
        </w:rPr>
        <w:t>2.2.4</w:t>
      </w:r>
      <w:r>
        <w:rPr>
          <w:rFonts w:ascii="宋体" w:hAnsi="宋体" w:eastAsia="宋体" w:cs="宋体"/>
          <w:sz w:val="21"/>
          <w:szCs w:val="21"/>
        </w:rPr>
        <w:t>（</w:t>
      </w:r>
      <w:r>
        <w:rPr>
          <w:rFonts w:ascii="Times New Roman" w:hAnsi="Times New Roman" w:eastAsia="Times New Roman" w:cs="Times New Roman"/>
          <w:sz w:val="21"/>
          <w:szCs w:val="21"/>
        </w:rPr>
        <w:t>1</w:t>
      </w:r>
      <w:r>
        <w:rPr>
          <w:rFonts w:ascii="宋体" w:hAnsi="宋体" w:eastAsia="宋体" w:cs="宋体"/>
          <w:sz w:val="21"/>
          <w:szCs w:val="21"/>
        </w:rPr>
        <w:t>）目规定的评</w:t>
      </w:r>
      <w:r>
        <w:rPr>
          <w:rFonts w:ascii="宋体" w:hAnsi="宋体" w:eastAsia="宋体" w:cs="宋体"/>
          <w:spacing w:val="-1"/>
          <w:sz w:val="21"/>
          <w:szCs w:val="21"/>
        </w:rPr>
        <w:t>审因素和分值对经济标计算出得分</w:t>
      </w:r>
      <w:r>
        <w:rPr>
          <w:rFonts w:ascii="宋体" w:hAnsi="宋体" w:eastAsia="宋体" w:cs="宋体"/>
          <w:spacing w:val="-53"/>
          <w:sz w:val="21"/>
          <w:szCs w:val="21"/>
        </w:rPr>
        <w:t xml:space="preserve"> </w:t>
      </w:r>
      <w:r>
        <w:rPr>
          <w:rFonts w:ascii="Times New Roman" w:hAnsi="Times New Roman" w:eastAsia="Times New Roman" w:cs="Times New Roman"/>
          <w:spacing w:val="-1"/>
          <w:sz w:val="21"/>
          <w:szCs w:val="21"/>
        </w:rPr>
        <w:t>A</w:t>
      </w:r>
      <w:r>
        <w:rPr>
          <w:rFonts w:ascii="宋体" w:hAnsi="宋体" w:eastAsia="宋体" w:cs="宋体"/>
          <w:spacing w:val="-1"/>
          <w:sz w:val="21"/>
          <w:szCs w:val="21"/>
        </w:rPr>
        <w:t>；</w:t>
      </w:r>
    </w:p>
    <w:p w14:paraId="68E44EE2">
      <w:pPr>
        <w:spacing w:before="129" w:line="220" w:lineRule="auto"/>
        <w:ind w:left="447"/>
        <w:rPr>
          <w:rFonts w:ascii="宋体" w:hAnsi="宋体" w:eastAsia="宋体" w:cs="宋体"/>
          <w:sz w:val="21"/>
          <w:szCs w:val="21"/>
        </w:rPr>
      </w:pPr>
      <w:r>
        <w:rPr>
          <w:rFonts w:ascii="宋体" w:hAnsi="宋体" w:eastAsia="宋体" w:cs="宋体"/>
          <w:spacing w:val="-1"/>
          <w:sz w:val="21"/>
          <w:szCs w:val="21"/>
        </w:rPr>
        <w:t>（</w:t>
      </w:r>
      <w:r>
        <w:rPr>
          <w:rFonts w:ascii="Times New Roman" w:hAnsi="Times New Roman" w:eastAsia="Times New Roman" w:cs="Times New Roman"/>
          <w:spacing w:val="-1"/>
          <w:sz w:val="21"/>
          <w:szCs w:val="21"/>
        </w:rPr>
        <w:t>2</w:t>
      </w:r>
      <w:r>
        <w:rPr>
          <w:rFonts w:ascii="宋体" w:hAnsi="宋体" w:eastAsia="宋体" w:cs="宋体"/>
          <w:spacing w:val="-1"/>
          <w:sz w:val="21"/>
          <w:szCs w:val="21"/>
        </w:rPr>
        <w:t>）按本章第</w:t>
      </w:r>
      <w:r>
        <w:rPr>
          <w:rFonts w:ascii="宋体" w:hAnsi="宋体" w:eastAsia="宋体" w:cs="宋体"/>
          <w:spacing w:val="-30"/>
          <w:sz w:val="21"/>
          <w:szCs w:val="21"/>
        </w:rPr>
        <w:t xml:space="preserve"> </w:t>
      </w:r>
      <w:r>
        <w:rPr>
          <w:rFonts w:ascii="Times New Roman" w:hAnsi="Times New Roman" w:eastAsia="Times New Roman" w:cs="Times New Roman"/>
          <w:spacing w:val="-1"/>
          <w:sz w:val="21"/>
          <w:szCs w:val="21"/>
        </w:rPr>
        <w:t>2.2.4</w:t>
      </w:r>
      <w:r>
        <w:rPr>
          <w:rFonts w:ascii="宋体" w:hAnsi="宋体" w:eastAsia="宋体" w:cs="宋体"/>
          <w:spacing w:val="-1"/>
          <w:sz w:val="21"/>
          <w:szCs w:val="21"/>
        </w:rPr>
        <w:t>（</w:t>
      </w:r>
      <w:r>
        <w:rPr>
          <w:rFonts w:ascii="Times New Roman" w:hAnsi="Times New Roman" w:eastAsia="Times New Roman" w:cs="Times New Roman"/>
          <w:spacing w:val="-1"/>
          <w:sz w:val="21"/>
          <w:szCs w:val="21"/>
        </w:rPr>
        <w:t>2</w:t>
      </w:r>
      <w:r>
        <w:rPr>
          <w:rFonts w:ascii="宋体" w:hAnsi="宋体" w:eastAsia="宋体" w:cs="宋体"/>
          <w:spacing w:val="-1"/>
          <w:sz w:val="21"/>
          <w:szCs w:val="21"/>
        </w:rPr>
        <w:t>）目规定的评审因素和分值对技术标计算出得分</w:t>
      </w:r>
      <w:r>
        <w:rPr>
          <w:rFonts w:ascii="宋体" w:hAnsi="宋体" w:eastAsia="宋体" w:cs="宋体"/>
          <w:spacing w:val="-47"/>
          <w:sz w:val="21"/>
          <w:szCs w:val="21"/>
        </w:rPr>
        <w:t xml:space="preserve"> </w:t>
      </w:r>
      <w:r>
        <w:rPr>
          <w:rFonts w:ascii="Times New Roman" w:hAnsi="Times New Roman" w:eastAsia="Times New Roman" w:cs="Times New Roman"/>
          <w:spacing w:val="-1"/>
          <w:sz w:val="21"/>
          <w:szCs w:val="21"/>
        </w:rPr>
        <w:t>B</w:t>
      </w:r>
      <w:r>
        <w:rPr>
          <w:rFonts w:ascii="宋体" w:hAnsi="宋体" w:eastAsia="宋体" w:cs="宋体"/>
          <w:spacing w:val="-1"/>
          <w:sz w:val="21"/>
          <w:szCs w:val="21"/>
        </w:rPr>
        <w:t>；</w:t>
      </w:r>
    </w:p>
    <w:p w14:paraId="61455C26">
      <w:pPr>
        <w:spacing w:before="129" w:line="220" w:lineRule="auto"/>
        <w:ind w:left="447"/>
        <w:rPr>
          <w:rFonts w:ascii="宋体" w:hAnsi="宋体" w:eastAsia="宋体" w:cs="宋体"/>
          <w:sz w:val="21"/>
          <w:szCs w:val="21"/>
        </w:rPr>
      </w:pPr>
      <w:r>
        <w:rPr>
          <w:rFonts w:ascii="宋体" w:hAnsi="宋体" w:eastAsia="宋体" w:cs="宋体"/>
          <w:spacing w:val="-1"/>
          <w:sz w:val="21"/>
          <w:szCs w:val="21"/>
        </w:rPr>
        <w:t>（</w:t>
      </w:r>
      <w:r>
        <w:rPr>
          <w:rFonts w:ascii="Times New Roman" w:hAnsi="Times New Roman" w:eastAsia="Times New Roman" w:cs="Times New Roman"/>
          <w:spacing w:val="-1"/>
          <w:sz w:val="21"/>
          <w:szCs w:val="21"/>
        </w:rPr>
        <w:t>3</w:t>
      </w:r>
      <w:r>
        <w:rPr>
          <w:rFonts w:ascii="宋体" w:hAnsi="宋体" w:eastAsia="宋体" w:cs="宋体"/>
          <w:spacing w:val="-1"/>
          <w:sz w:val="21"/>
          <w:szCs w:val="21"/>
        </w:rPr>
        <w:t>）按本章第</w:t>
      </w:r>
      <w:r>
        <w:rPr>
          <w:rFonts w:ascii="宋体" w:hAnsi="宋体" w:eastAsia="宋体" w:cs="宋体"/>
          <w:spacing w:val="-33"/>
          <w:sz w:val="21"/>
          <w:szCs w:val="21"/>
        </w:rPr>
        <w:t xml:space="preserve"> </w:t>
      </w:r>
      <w:r>
        <w:rPr>
          <w:rFonts w:ascii="Times New Roman" w:hAnsi="Times New Roman" w:eastAsia="Times New Roman" w:cs="Times New Roman"/>
          <w:spacing w:val="-1"/>
          <w:sz w:val="21"/>
          <w:szCs w:val="21"/>
        </w:rPr>
        <w:t>2.2.4</w:t>
      </w:r>
      <w:r>
        <w:rPr>
          <w:rFonts w:ascii="宋体" w:hAnsi="宋体" w:eastAsia="宋体" w:cs="宋体"/>
          <w:spacing w:val="-1"/>
          <w:sz w:val="21"/>
          <w:szCs w:val="21"/>
        </w:rPr>
        <w:t>（</w:t>
      </w:r>
      <w:r>
        <w:rPr>
          <w:rFonts w:ascii="Times New Roman" w:hAnsi="Times New Roman" w:eastAsia="Times New Roman" w:cs="Times New Roman"/>
          <w:spacing w:val="-1"/>
          <w:sz w:val="21"/>
          <w:szCs w:val="21"/>
        </w:rPr>
        <w:t>3</w:t>
      </w:r>
      <w:r>
        <w:rPr>
          <w:rFonts w:ascii="宋体" w:hAnsi="宋体" w:eastAsia="宋体" w:cs="宋体"/>
          <w:spacing w:val="-1"/>
          <w:sz w:val="21"/>
          <w:szCs w:val="21"/>
        </w:rPr>
        <w:t>）目规定的评审因素和分值对资信标计算出得分</w:t>
      </w:r>
      <w:r>
        <w:rPr>
          <w:rFonts w:ascii="宋体" w:hAnsi="宋体" w:eastAsia="宋体" w:cs="宋体"/>
          <w:spacing w:val="-44"/>
          <w:sz w:val="21"/>
          <w:szCs w:val="21"/>
        </w:rPr>
        <w:t xml:space="preserve"> </w:t>
      </w:r>
      <w:r>
        <w:rPr>
          <w:rFonts w:ascii="Times New Roman" w:hAnsi="Times New Roman" w:eastAsia="Times New Roman" w:cs="Times New Roman"/>
          <w:spacing w:val="-1"/>
          <w:sz w:val="21"/>
          <w:szCs w:val="21"/>
        </w:rPr>
        <w:t>C</w:t>
      </w:r>
      <w:r>
        <w:rPr>
          <w:rFonts w:ascii="宋体" w:hAnsi="宋体" w:eastAsia="宋体" w:cs="宋体"/>
          <w:spacing w:val="-1"/>
          <w:sz w:val="21"/>
          <w:szCs w:val="21"/>
        </w:rPr>
        <w:t>；</w:t>
      </w:r>
    </w:p>
    <w:p w14:paraId="5BD945BA">
      <w:pPr>
        <w:spacing w:before="129" w:line="220" w:lineRule="auto"/>
        <w:ind w:left="447"/>
        <w:rPr>
          <w:rFonts w:ascii="宋体" w:hAnsi="宋体" w:eastAsia="宋体" w:cs="宋体"/>
          <w:sz w:val="21"/>
          <w:szCs w:val="21"/>
        </w:rPr>
      </w:pPr>
      <w:r>
        <w:rPr>
          <w:rFonts w:ascii="宋体" w:hAnsi="宋体" w:eastAsia="宋体" w:cs="宋体"/>
          <w:sz w:val="21"/>
          <w:szCs w:val="21"/>
        </w:rPr>
        <w:t>（</w:t>
      </w:r>
      <w:r>
        <w:rPr>
          <w:rFonts w:ascii="Times New Roman" w:hAnsi="Times New Roman" w:eastAsia="Times New Roman" w:cs="Times New Roman"/>
          <w:sz w:val="21"/>
          <w:szCs w:val="21"/>
        </w:rPr>
        <w:t>4</w:t>
      </w:r>
      <w:r>
        <w:rPr>
          <w:rFonts w:ascii="宋体" w:hAnsi="宋体" w:eastAsia="宋体" w:cs="宋体"/>
          <w:sz w:val="21"/>
          <w:szCs w:val="21"/>
        </w:rPr>
        <w:t>）按本章第</w:t>
      </w:r>
      <w:r>
        <w:rPr>
          <w:rFonts w:ascii="宋体" w:hAnsi="宋体" w:eastAsia="宋体" w:cs="宋体"/>
          <w:spacing w:val="-47"/>
          <w:sz w:val="21"/>
          <w:szCs w:val="21"/>
        </w:rPr>
        <w:t xml:space="preserve"> </w:t>
      </w:r>
      <w:r>
        <w:rPr>
          <w:rFonts w:ascii="Times New Roman" w:hAnsi="Times New Roman" w:eastAsia="Times New Roman" w:cs="Times New Roman"/>
          <w:sz w:val="21"/>
          <w:szCs w:val="21"/>
        </w:rPr>
        <w:t>2.2.4</w:t>
      </w:r>
      <w:r>
        <w:rPr>
          <w:rFonts w:ascii="宋体" w:hAnsi="宋体" w:eastAsia="宋体" w:cs="宋体"/>
          <w:sz w:val="21"/>
          <w:szCs w:val="21"/>
        </w:rPr>
        <w:t>（</w:t>
      </w:r>
      <w:r>
        <w:rPr>
          <w:rFonts w:ascii="Times New Roman" w:hAnsi="Times New Roman" w:eastAsia="Times New Roman" w:cs="Times New Roman"/>
          <w:sz w:val="21"/>
          <w:szCs w:val="21"/>
        </w:rPr>
        <w:t>4</w:t>
      </w:r>
      <w:r>
        <w:rPr>
          <w:rFonts w:ascii="宋体" w:hAnsi="宋体" w:eastAsia="宋体" w:cs="宋体"/>
          <w:sz w:val="21"/>
          <w:szCs w:val="21"/>
        </w:rPr>
        <w:t>）目规定的评审</w:t>
      </w:r>
      <w:r>
        <w:rPr>
          <w:rFonts w:ascii="宋体" w:hAnsi="宋体" w:eastAsia="宋体" w:cs="宋体"/>
          <w:spacing w:val="-1"/>
          <w:sz w:val="21"/>
          <w:szCs w:val="21"/>
        </w:rPr>
        <w:t>因素和分值对其他因素计算出得分</w:t>
      </w:r>
      <w:r>
        <w:rPr>
          <w:rFonts w:ascii="宋体" w:hAnsi="宋体" w:eastAsia="宋体" w:cs="宋体"/>
          <w:spacing w:val="-53"/>
          <w:sz w:val="21"/>
          <w:szCs w:val="21"/>
        </w:rPr>
        <w:t xml:space="preserve"> </w:t>
      </w:r>
      <w:r>
        <w:rPr>
          <w:rFonts w:ascii="Times New Roman" w:hAnsi="Times New Roman" w:eastAsia="Times New Roman" w:cs="Times New Roman"/>
          <w:spacing w:val="-1"/>
          <w:sz w:val="21"/>
          <w:szCs w:val="21"/>
        </w:rPr>
        <w:t>D</w:t>
      </w:r>
      <w:r>
        <w:rPr>
          <w:rFonts w:ascii="宋体" w:hAnsi="宋体" w:eastAsia="宋体" w:cs="宋体"/>
          <w:spacing w:val="-1"/>
          <w:sz w:val="21"/>
          <w:szCs w:val="21"/>
        </w:rPr>
        <w:t>。</w:t>
      </w:r>
    </w:p>
    <w:p w14:paraId="126BD618">
      <w:pPr>
        <w:spacing w:line="220" w:lineRule="auto"/>
        <w:rPr>
          <w:rFonts w:ascii="宋体" w:hAnsi="宋体" w:eastAsia="宋体" w:cs="宋体"/>
          <w:sz w:val="21"/>
          <w:szCs w:val="21"/>
        </w:rPr>
        <w:sectPr>
          <w:footerReference r:id="rId51" w:type="default"/>
          <w:pgSz w:w="11905" w:h="16839"/>
          <w:pgMar w:top="1431" w:right="1614" w:bottom="996" w:left="1785" w:header="0" w:footer="791" w:gutter="0"/>
          <w:pgNumType w:fmt="decimal"/>
          <w:cols w:space="720" w:num="1"/>
        </w:sectPr>
      </w:pPr>
    </w:p>
    <w:p w14:paraId="512EEF40">
      <w:pPr>
        <w:spacing w:before="129" w:line="221" w:lineRule="auto"/>
        <w:ind w:left="441"/>
        <w:rPr>
          <w:rFonts w:ascii="宋体" w:hAnsi="宋体" w:eastAsia="宋体" w:cs="宋体"/>
          <w:sz w:val="21"/>
          <w:szCs w:val="21"/>
        </w:rPr>
      </w:pPr>
      <w:bookmarkStart w:id="127" w:name="bookmark150"/>
      <w:bookmarkEnd w:id="127"/>
      <w:bookmarkStart w:id="128" w:name="bookmark151"/>
      <w:bookmarkEnd w:id="128"/>
      <w:r>
        <w:rPr>
          <w:rFonts w:ascii="Times New Roman" w:hAnsi="Times New Roman" w:eastAsia="Times New Roman" w:cs="Times New Roman"/>
          <w:spacing w:val="-3"/>
          <w:sz w:val="21"/>
          <w:szCs w:val="21"/>
        </w:rPr>
        <w:t xml:space="preserve">3.2.3 </w:t>
      </w:r>
      <w:r>
        <w:rPr>
          <w:rFonts w:ascii="宋体" w:hAnsi="宋体" w:eastAsia="宋体" w:cs="宋体"/>
          <w:spacing w:val="-3"/>
          <w:sz w:val="21"/>
          <w:szCs w:val="21"/>
        </w:rPr>
        <w:t>评分分值计算保留小数点后两位， 小数点后第三位“四</w:t>
      </w:r>
      <w:r>
        <w:rPr>
          <w:rFonts w:ascii="宋体" w:hAnsi="宋体" w:eastAsia="宋体" w:cs="宋体"/>
          <w:spacing w:val="-4"/>
          <w:sz w:val="21"/>
          <w:szCs w:val="21"/>
        </w:rPr>
        <w:t>舍五入”。</w:t>
      </w:r>
    </w:p>
    <w:p w14:paraId="19CC6492">
      <w:pPr>
        <w:spacing w:before="127" w:line="221" w:lineRule="auto"/>
        <w:ind w:left="441"/>
        <w:rPr>
          <w:rFonts w:ascii="宋体" w:hAnsi="宋体" w:eastAsia="宋体" w:cs="宋体"/>
          <w:sz w:val="21"/>
          <w:szCs w:val="21"/>
        </w:rPr>
      </w:pPr>
      <w:r>
        <w:rPr>
          <w:rFonts w:ascii="Times New Roman" w:hAnsi="Times New Roman" w:eastAsia="Times New Roman" w:cs="Times New Roman"/>
          <w:spacing w:val="-1"/>
          <w:sz w:val="21"/>
          <w:szCs w:val="21"/>
        </w:rPr>
        <w:t xml:space="preserve">3.2.4 </w:t>
      </w:r>
      <w:r>
        <w:rPr>
          <w:rFonts w:ascii="宋体" w:hAnsi="宋体" w:eastAsia="宋体" w:cs="宋体"/>
          <w:spacing w:val="-1"/>
          <w:sz w:val="21"/>
          <w:szCs w:val="21"/>
        </w:rPr>
        <w:t>投标人得分</w:t>
      </w:r>
      <w:r>
        <w:rPr>
          <w:rFonts w:ascii="Times New Roman" w:hAnsi="Times New Roman" w:eastAsia="Times New Roman" w:cs="Times New Roman"/>
          <w:spacing w:val="-1"/>
          <w:sz w:val="21"/>
          <w:szCs w:val="21"/>
        </w:rPr>
        <w:t>=A+B+C+D</w:t>
      </w:r>
      <w:r>
        <w:rPr>
          <w:rFonts w:ascii="宋体" w:hAnsi="宋体" w:eastAsia="宋体" w:cs="宋体"/>
          <w:spacing w:val="-1"/>
          <w:sz w:val="21"/>
          <w:szCs w:val="21"/>
        </w:rPr>
        <w:t>。</w:t>
      </w:r>
    </w:p>
    <w:p w14:paraId="406ADFF0">
      <w:pPr>
        <w:spacing w:before="128" w:line="220" w:lineRule="auto"/>
        <w:ind w:left="441"/>
        <w:rPr>
          <w:rFonts w:ascii="宋体" w:hAnsi="宋体" w:eastAsia="宋体" w:cs="宋体"/>
          <w:sz w:val="21"/>
          <w:szCs w:val="21"/>
        </w:rPr>
      </w:pPr>
      <w:r>
        <w:rPr>
          <w:rFonts w:ascii="Times New Roman" w:hAnsi="Times New Roman" w:eastAsia="Times New Roman" w:cs="Times New Roman"/>
          <w:sz w:val="21"/>
          <w:szCs w:val="21"/>
        </w:rPr>
        <w:t xml:space="preserve">3.2.5 </w:t>
      </w:r>
      <w:r>
        <w:rPr>
          <w:rFonts w:ascii="宋体" w:hAnsi="宋体" w:eastAsia="宋体" w:cs="宋体"/>
          <w:sz w:val="21"/>
          <w:szCs w:val="21"/>
        </w:rPr>
        <w:t>各投标人评分结果汇总确定办法详见评</w:t>
      </w:r>
      <w:r>
        <w:rPr>
          <w:rFonts w:ascii="宋体" w:hAnsi="宋体" w:eastAsia="宋体" w:cs="宋体"/>
          <w:spacing w:val="-1"/>
          <w:sz w:val="21"/>
          <w:szCs w:val="21"/>
        </w:rPr>
        <w:t>标办法前附表。</w:t>
      </w:r>
    </w:p>
    <w:p w14:paraId="24CD1294">
      <w:pPr>
        <w:spacing w:before="128" w:line="219" w:lineRule="auto"/>
        <w:ind w:left="19"/>
        <w:rPr>
          <w:rFonts w:ascii="黑体" w:hAnsi="黑体" w:eastAsia="黑体" w:cs="黑体"/>
          <w:sz w:val="24"/>
          <w:szCs w:val="24"/>
        </w:rPr>
      </w:pPr>
      <w:r>
        <w:rPr>
          <w:rFonts w:ascii="Times New Roman" w:hAnsi="Times New Roman" w:eastAsia="Times New Roman" w:cs="Times New Roman"/>
          <w:spacing w:val="-1"/>
          <w:sz w:val="24"/>
          <w:szCs w:val="24"/>
        </w:rPr>
        <w:t xml:space="preserve">3.3 </w:t>
      </w:r>
      <w:r>
        <w:rPr>
          <w:rFonts w:ascii="黑体" w:hAnsi="黑体" w:eastAsia="黑体" w:cs="黑体"/>
          <w:spacing w:val="-1"/>
          <w:sz w:val="24"/>
          <w:szCs w:val="24"/>
        </w:rPr>
        <w:t>投标文件的澄清和补正</w:t>
      </w:r>
    </w:p>
    <w:p w14:paraId="58CA71DC">
      <w:pPr>
        <w:spacing w:before="121" w:line="333" w:lineRule="auto"/>
        <w:ind w:left="17" w:right="11" w:firstLine="424"/>
        <w:rPr>
          <w:rFonts w:ascii="宋体" w:hAnsi="宋体" w:eastAsia="宋体" w:cs="宋体"/>
          <w:sz w:val="21"/>
          <w:szCs w:val="21"/>
        </w:rPr>
      </w:pPr>
      <w:r>
        <w:rPr>
          <w:rFonts w:ascii="Times New Roman" w:hAnsi="Times New Roman" w:eastAsia="Times New Roman" w:cs="Times New Roman"/>
          <w:sz w:val="21"/>
          <w:szCs w:val="21"/>
        </w:rPr>
        <w:t>3.3.1</w:t>
      </w:r>
      <w:r>
        <w:rPr>
          <w:rFonts w:ascii="Times New Roman" w:hAnsi="Times New Roman" w:eastAsia="Times New Roman" w:cs="Times New Roman"/>
          <w:spacing w:val="41"/>
          <w:w w:val="101"/>
          <w:sz w:val="21"/>
          <w:szCs w:val="21"/>
        </w:rPr>
        <w:t xml:space="preserve"> </w:t>
      </w:r>
      <w:r>
        <w:rPr>
          <w:rFonts w:ascii="宋体" w:hAnsi="宋体" w:eastAsia="宋体" w:cs="宋体"/>
          <w:sz w:val="21"/>
          <w:szCs w:val="21"/>
        </w:rPr>
        <w:t>在评标过程中，评标委员会可以书面形式要求投标人对投标</w:t>
      </w:r>
      <w:r>
        <w:rPr>
          <w:rFonts w:ascii="宋体" w:hAnsi="宋体" w:eastAsia="宋体" w:cs="宋体"/>
          <w:spacing w:val="-1"/>
          <w:sz w:val="21"/>
          <w:szCs w:val="21"/>
        </w:rPr>
        <w:t>文件中含义不明确、</w:t>
      </w:r>
      <w:r>
        <w:rPr>
          <w:rFonts w:ascii="宋体" w:hAnsi="宋体" w:eastAsia="宋体" w:cs="宋体"/>
          <w:sz w:val="21"/>
          <w:szCs w:val="21"/>
        </w:rPr>
        <w:t xml:space="preserve"> </w:t>
      </w:r>
      <w:r>
        <w:rPr>
          <w:rFonts w:ascii="宋体" w:hAnsi="宋体" w:eastAsia="宋体" w:cs="宋体"/>
          <w:spacing w:val="3"/>
          <w:sz w:val="21"/>
          <w:szCs w:val="21"/>
        </w:rPr>
        <w:t>对同类问题表述不一致或者有明显文字和计算错误的内容作必要的澄清、说明</w:t>
      </w:r>
      <w:r>
        <w:rPr>
          <w:rFonts w:ascii="宋体" w:hAnsi="宋体" w:eastAsia="宋体" w:cs="宋体"/>
          <w:spacing w:val="2"/>
          <w:sz w:val="21"/>
          <w:szCs w:val="21"/>
        </w:rPr>
        <w:t>或补正。澄</w:t>
      </w:r>
      <w:r>
        <w:rPr>
          <w:rFonts w:ascii="宋体" w:hAnsi="宋体" w:eastAsia="宋体" w:cs="宋体"/>
          <w:sz w:val="21"/>
          <w:szCs w:val="21"/>
        </w:rPr>
        <w:t xml:space="preserve"> </w:t>
      </w:r>
      <w:r>
        <w:rPr>
          <w:rFonts w:ascii="宋体" w:hAnsi="宋体" w:eastAsia="宋体" w:cs="宋体"/>
          <w:spacing w:val="3"/>
          <w:sz w:val="21"/>
          <w:szCs w:val="21"/>
        </w:rPr>
        <w:t>清、说明或补正应以书面方式进行。评标委员会不接受投标人主动提出的澄清</w:t>
      </w:r>
      <w:r>
        <w:rPr>
          <w:rFonts w:ascii="宋体" w:hAnsi="宋体" w:eastAsia="宋体" w:cs="宋体"/>
          <w:spacing w:val="2"/>
          <w:sz w:val="21"/>
          <w:szCs w:val="21"/>
        </w:rPr>
        <w:t>、说明或补</w:t>
      </w:r>
    </w:p>
    <w:p w14:paraId="5B19C5AE">
      <w:pPr>
        <w:spacing w:before="1" w:line="233" w:lineRule="auto"/>
        <w:ind w:left="22"/>
        <w:rPr>
          <w:rFonts w:ascii="宋体" w:hAnsi="宋体" w:eastAsia="宋体" w:cs="宋体"/>
          <w:sz w:val="21"/>
          <w:szCs w:val="21"/>
        </w:rPr>
      </w:pPr>
      <w:r>
        <w:rPr>
          <w:rFonts w:ascii="宋体" w:hAnsi="宋体" w:eastAsia="宋体" w:cs="宋体"/>
          <w:spacing w:val="-11"/>
          <w:sz w:val="21"/>
          <w:szCs w:val="21"/>
        </w:rPr>
        <w:t>正。</w:t>
      </w:r>
    </w:p>
    <w:p w14:paraId="07BF24A2">
      <w:pPr>
        <w:spacing w:before="118" w:line="379" w:lineRule="exact"/>
        <w:ind w:right="10"/>
        <w:jc w:val="right"/>
        <w:rPr>
          <w:rFonts w:ascii="宋体" w:hAnsi="宋体" w:eastAsia="宋体" w:cs="宋体"/>
          <w:sz w:val="21"/>
          <w:szCs w:val="21"/>
        </w:rPr>
      </w:pPr>
      <w:r>
        <w:rPr>
          <w:rFonts w:ascii="Times New Roman" w:hAnsi="Times New Roman" w:eastAsia="Times New Roman" w:cs="Times New Roman"/>
          <w:spacing w:val="6"/>
          <w:position w:val="12"/>
          <w:sz w:val="21"/>
          <w:szCs w:val="21"/>
        </w:rPr>
        <w:t>3.3.2</w:t>
      </w:r>
      <w:r>
        <w:rPr>
          <w:rFonts w:ascii="Times New Roman" w:hAnsi="Times New Roman" w:eastAsia="Times New Roman" w:cs="Times New Roman"/>
          <w:spacing w:val="38"/>
          <w:position w:val="12"/>
          <w:sz w:val="21"/>
          <w:szCs w:val="21"/>
        </w:rPr>
        <w:t xml:space="preserve"> </w:t>
      </w:r>
      <w:r>
        <w:rPr>
          <w:rFonts w:ascii="宋体" w:hAnsi="宋体" w:eastAsia="宋体" w:cs="宋体"/>
          <w:spacing w:val="6"/>
          <w:position w:val="12"/>
          <w:sz w:val="21"/>
          <w:szCs w:val="21"/>
        </w:rPr>
        <w:t>澄清、说明和补正不得超出投标文件的范围且不得改变投标文件的</w:t>
      </w:r>
      <w:r>
        <w:rPr>
          <w:rFonts w:ascii="宋体" w:hAnsi="宋体" w:eastAsia="宋体" w:cs="宋体"/>
          <w:spacing w:val="5"/>
          <w:position w:val="12"/>
          <w:sz w:val="21"/>
          <w:szCs w:val="21"/>
        </w:rPr>
        <w:t>实质性内容</w:t>
      </w:r>
    </w:p>
    <w:p w14:paraId="58D804BE">
      <w:pPr>
        <w:spacing w:before="1" w:line="219" w:lineRule="auto"/>
        <w:ind w:left="24"/>
        <w:rPr>
          <w:rFonts w:ascii="宋体" w:hAnsi="宋体" w:eastAsia="宋体" w:cs="宋体"/>
          <w:sz w:val="21"/>
          <w:szCs w:val="21"/>
        </w:rPr>
      </w:pPr>
      <w:r>
        <w:rPr>
          <w:rFonts w:ascii="宋体" w:hAnsi="宋体" w:eastAsia="宋体" w:cs="宋体"/>
          <w:spacing w:val="-4"/>
          <w:sz w:val="21"/>
          <w:szCs w:val="21"/>
        </w:rPr>
        <w:t>（算术错误修正的除外）。投标人的书面澄清、说明和补正属于投标文件的组成部分。</w:t>
      </w:r>
    </w:p>
    <w:p w14:paraId="7AC35280">
      <w:pPr>
        <w:spacing w:before="129" w:line="379" w:lineRule="exact"/>
        <w:ind w:right="8"/>
        <w:jc w:val="right"/>
        <w:rPr>
          <w:rFonts w:ascii="宋体" w:hAnsi="宋体" w:eastAsia="宋体" w:cs="宋体"/>
          <w:sz w:val="21"/>
          <w:szCs w:val="21"/>
        </w:rPr>
      </w:pPr>
      <w:r>
        <w:rPr>
          <w:rFonts w:ascii="Times New Roman" w:hAnsi="Times New Roman" w:eastAsia="Times New Roman" w:cs="Times New Roman"/>
          <w:spacing w:val="1"/>
          <w:position w:val="12"/>
          <w:sz w:val="21"/>
          <w:szCs w:val="21"/>
        </w:rPr>
        <w:t>3.3.3</w:t>
      </w:r>
      <w:r>
        <w:rPr>
          <w:rFonts w:ascii="Times New Roman" w:hAnsi="Times New Roman" w:eastAsia="Times New Roman" w:cs="Times New Roman"/>
          <w:spacing w:val="32"/>
          <w:position w:val="12"/>
          <w:sz w:val="21"/>
          <w:szCs w:val="21"/>
        </w:rPr>
        <w:t xml:space="preserve"> </w:t>
      </w:r>
      <w:r>
        <w:rPr>
          <w:rFonts w:ascii="宋体" w:hAnsi="宋体" w:eastAsia="宋体" w:cs="宋体"/>
          <w:spacing w:val="1"/>
          <w:position w:val="12"/>
          <w:sz w:val="21"/>
          <w:szCs w:val="21"/>
        </w:rPr>
        <w:t>评标委员会对投标人提交的澄清、说明或补正有疑</w:t>
      </w:r>
      <w:r>
        <w:rPr>
          <w:rFonts w:ascii="宋体" w:hAnsi="宋体" w:eastAsia="宋体" w:cs="宋体"/>
          <w:position w:val="12"/>
          <w:sz w:val="21"/>
          <w:szCs w:val="21"/>
        </w:rPr>
        <w:t>问的，可以要求投标人进一步</w:t>
      </w:r>
    </w:p>
    <w:p w14:paraId="5E4496D8">
      <w:pPr>
        <w:spacing w:before="1" w:line="219" w:lineRule="auto"/>
        <w:ind w:left="18"/>
        <w:rPr>
          <w:rFonts w:ascii="宋体" w:hAnsi="宋体" w:eastAsia="宋体" w:cs="宋体"/>
          <w:sz w:val="21"/>
          <w:szCs w:val="21"/>
        </w:rPr>
      </w:pPr>
      <w:r>
        <w:rPr>
          <w:rFonts w:ascii="宋体" w:hAnsi="宋体" w:eastAsia="宋体" w:cs="宋体"/>
          <w:spacing w:val="-5"/>
          <w:sz w:val="21"/>
          <w:szCs w:val="21"/>
        </w:rPr>
        <w:t>澄清、说明或补正， 直至满足评标委员会的要求。</w:t>
      </w:r>
    </w:p>
    <w:p w14:paraId="201A06D6">
      <w:pPr>
        <w:spacing w:before="129" w:line="335" w:lineRule="auto"/>
        <w:ind w:left="18" w:right="3" w:firstLine="423"/>
        <w:rPr>
          <w:rFonts w:ascii="宋体" w:hAnsi="宋体" w:eastAsia="宋体" w:cs="宋体"/>
          <w:sz w:val="21"/>
          <w:szCs w:val="21"/>
        </w:rPr>
      </w:pPr>
      <w:r>
        <w:rPr>
          <w:rFonts w:ascii="Times New Roman" w:hAnsi="Times New Roman" w:eastAsia="Times New Roman" w:cs="Times New Roman"/>
          <w:spacing w:val="1"/>
          <w:sz w:val="21"/>
          <w:szCs w:val="21"/>
        </w:rPr>
        <w:t>3.3.4</w:t>
      </w:r>
      <w:r>
        <w:rPr>
          <w:rFonts w:ascii="Times New Roman" w:hAnsi="Times New Roman" w:eastAsia="Times New Roman" w:cs="Times New Roman"/>
          <w:spacing w:val="41"/>
          <w:w w:val="101"/>
          <w:sz w:val="21"/>
          <w:szCs w:val="21"/>
        </w:rPr>
        <w:t xml:space="preserve"> </w:t>
      </w:r>
      <w:r>
        <w:rPr>
          <w:rFonts w:ascii="宋体" w:hAnsi="宋体" w:eastAsia="宋体" w:cs="宋体"/>
          <w:spacing w:val="1"/>
          <w:sz w:val="21"/>
          <w:szCs w:val="21"/>
        </w:rPr>
        <w:t>评标委员会要求投标人对投标文件问题</w:t>
      </w:r>
      <w:r>
        <w:rPr>
          <w:rFonts w:ascii="宋体" w:hAnsi="宋体" w:eastAsia="宋体" w:cs="宋体"/>
          <w:sz w:val="21"/>
          <w:szCs w:val="21"/>
        </w:rPr>
        <w:t>澄清的通知，以及投标人对投标文件的澄 清通过电子招标投标系统（辽宁省工程建设项</w:t>
      </w:r>
      <w:r>
        <w:rPr>
          <w:rFonts w:ascii="宋体" w:hAnsi="宋体" w:eastAsia="宋体" w:cs="宋体"/>
          <w:spacing w:val="-1"/>
          <w:sz w:val="21"/>
          <w:szCs w:val="21"/>
        </w:rPr>
        <w:t>目数字化开标评标系统） 以书面形式进行。</w:t>
      </w:r>
      <w:r>
        <w:rPr>
          <w:rFonts w:ascii="宋体" w:hAnsi="宋体" w:eastAsia="宋体" w:cs="宋体"/>
          <w:sz w:val="21"/>
          <w:szCs w:val="21"/>
        </w:rPr>
        <w:t xml:space="preserve"> </w:t>
      </w:r>
      <w:r>
        <w:rPr>
          <w:rFonts w:ascii="宋体" w:hAnsi="宋体" w:eastAsia="宋体" w:cs="宋体"/>
          <w:spacing w:val="3"/>
          <w:sz w:val="21"/>
          <w:szCs w:val="21"/>
        </w:rPr>
        <w:t>投标人的澄清、说明或补正应在评标办法前附表通知规定的时间要求内提交，否则评标委</w:t>
      </w:r>
    </w:p>
    <w:p w14:paraId="6C3E5587">
      <w:pPr>
        <w:spacing w:before="1" w:line="219" w:lineRule="auto"/>
        <w:ind w:left="26"/>
        <w:rPr>
          <w:rFonts w:ascii="宋体" w:hAnsi="宋体" w:eastAsia="宋体" w:cs="宋体"/>
          <w:sz w:val="21"/>
          <w:szCs w:val="21"/>
        </w:rPr>
      </w:pPr>
      <w:r>
        <w:rPr>
          <w:rFonts w:ascii="宋体" w:hAnsi="宋体" w:eastAsia="宋体" w:cs="宋体"/>
          <w:spacing w:val="-1"/>
          <w:sz w:val="21"/>
          <w:szCs w:val="21"/>
        </w:rPr>
        <w:t>员会（电子招标投标系统）将拒绝接收。</w:t>
      </w:r>
    </w:p>
    <w:p w14:paraId="129B5570">
      <w:pPr>
        <w:spacing w:before="124" w:line="219" w:lineRule="auto"/>
        <w:ind w:left="19"/>
        <w:rPr>
          <w:rFonts w:ascii="黑体" w:hAnsi="黑体" w:eastAsia="黑体" w:cs="黑体"/>
          <w:sz w:val="24"/>
          <w:szCs w:val="24"/>
        </w:rPr>
      </w:pPr>
      <w:r>
        <w:rPr>
          <w:rFonts w:ascii="Times New Roman" w:hAnsi="Times New Roman" w:eastAsia="Times New Roman" w:cs="Times New Roman"/>
          <w:spacing w:val="-2"/>
          <w:sz w:val="24"/>
          <w:szCs w:val="24"/>
        </w:rPr>
        <w:t>3.4</w:t>
      </w:r>
      <w:r>
        <w:rPr>
          <w:rFonts w:ascii="Times New Roman" w:hAnsi="Times New Roman" w:eastAsia="Times New Roman" w:cs="Times New Roman"/>
          <w:spacing w:val="11"/>
          <w:sz w:val="24"/>
          <w:szCs w:val="24"/>
        </w:rPr>
        <w:t xml:space="preserve"> </w:t>
      </w:r>
      <w:r>
        <w:rPr>
          <w:rFonts w:ascii="黑体" w:hAnsi="黑体" w:eastAsia="黑体" w:cs="黑体"/>
          <w:spacing w:val="-2"/>
          <w:sz w:val="24"/>
          <w:szCs w:val="24"/>
        </w:rPr>
        <w:t>评标结果</w:t>
      </w:r>
    </w:p>
    <w:p w14:paraId="64E9F124">
      <w:pPr>
        <w:spacing w:before="119" w:line="380" w:lineRule="exact"/>
        <w:ind w:right="3"/>
        <w:jc w:val="right"/>
        <w:rPr>
          <w:rFonts w:ascii="宋体" w:hAnsi="宋体" w:eastAsia="宋体" w:cs="宋体"/>
          <w:sz w:val="21"/>
          <w:szCs w:val="21"/>
        </w:rPr>
      </w:pPr>
      <w:r>
        <w:rPr>
          <w:rFonts w:ascii="Times New Roman" w:hAnsi="Times New Roman" w:eastAsia="Times New Roman" w:cs="Times New Roman"/>
          <w:spacing w:val="1"/>
          <w:position w:val="12"/>
          <w:sz w:val="21"/>
          <w:szCs w:val="21"/>
        </w:rPr>
        <w:t>3.4.1</w:t>
      </w:r>
      <w:r>
        <w:rPr>
          <w:rFonts w:ascii="Times New Roman" w:hAnsi="Times New Roman" w:eastAsia="Times New Roman" w:cs="Times New Roman"/>
          <w:spacing w:val="41"/>
          <w:w w:val="101"/>
          <w:position w:val="12"/>
          <w:sz w:val="21"/>
          <w:szCs w:val="21"/>
        </w:rPr>
        <w:t xml:space="preserve"> </w:t>
      </w:r>
      <w:r>
        <w:rPr>
          <w:rFonts w:ascii="宋体" w:hAnsi="宋体" w:eastAsia="宋体" w:cs="宋体"/>
          <w:spacing w:val="1"/>
          <w:position w:val="12"/>
          <w:sz w:val="21"/>
          <w:szCs w:val="21"/>
        </w:rPr>
        <w:t>评标委员会按照本章评标办法前附表规</w:t>
      </w:r>
      <w:r>
        <w:rPr>
          <w:rFonts w:ascii="宋体" w:hAnsi="宋体" w:eastAsia="宋体" w:cs="宋体"/>
          <w:position w:val="12"/>
          <w:sz w:val="21"/>
          <w:szCs w:val="21"/>
        </w:rPr>
        <w:t>定的推荐方法和第二章“投标人须知”前</w:t>
      </w:r>
    </w:p>
    <w:p w14:paraId="0E09CD26">
      <w:pPr>
        <w:spacing w:before="1" w:line="219" w:lineRule="auto"/>
        <w:ind w:left="34"/>
        <w:rPr>
          <w:rFonts w:ascii="宋体" w:hAnsi="宋体" w:eastAsia="宋体" w:cs="宋体"/>
          <w:sz w:val="21"/>
          <w:szCs w:val="21"/>
        </w:rPr>
      </w:pPr>
      <w:r>
        <w:rPr>
          <w:rFonts w:ascii="宋体" w:hAnsi="宋体" w:eastAsia="宋体" w:cs="宋体"/>
          <w:spacing w:val="-2"/>
          <w:sz w:val="21"/>
          <w:szCs w:val="21"/>
        </w:rPr>
        <w:t>附表第</w:t>
      </w:r>
      <w:r>
        <w:rPr>
          <w:rFonts w:ascii="宋体" w:hAnsi="宋体" w:eastAsia="宋体" w:cs="宋体"/>
          <w:spacing w:val="-33"/>
          <w:sz w:val="21"/>
          <w:szCs w:val="21"/>
        </w:rPr>
        <w:t xml:space="preserve"> </w:t>
      </w:r>
      <w:r>
        <w:rPr>
          <w:rFonts w:ascii="Times New Roman" w:hAnsi="Times New Roman" w:eastAsia="Times New Roman" w:cs="Times New Roman"/>
          <w:spacing w:val="-2"/>
          <w:sz w:val="21"/>
          <w:szCs w:val="21"/>
        </w:rPr>
        <w:t xml:space="preserve">7.1 </w:t>
      </w:r>
      <w:r>
        <w:rPr>
          <w:rFonts w:ascii="宋体" w:hAnsi="宋体" w:eastAsia="宋体" w:cs="宋体"/>
          <w:spacing w:val="-2"/>
          <w:sz w:val="21"/>
          <w:szCs w:val="21"/>
        </w:rPr>
        <w:t>款推荐的中标候选人数量推荐中标候选人。</w:t>
      </w:r>
    </w:p>
    <w:p w14:paraId="0CA59BCD">
      <w:pPr>
        <w:spacing w:before="134" w:line="219" w:lineRule="auto"/>
        <w:ind w:left="441"/>
        <w:rPr>
          <w:rFonts w:ascii="宋体" w:hAnsi="宋体" w:eastAsia="宋体" w:cs="宋体"/>
          <w:sz w:val="21"/>
          <w:szCs w:val="21"/>
        </w:rPr>
      </w:pPr>
      <w:r>
        <w:rPr>
          <w:rFonts w:ascii="Times New Roman" w:hAnsi="Times New Roman" w:eastAsia="Times New Roman" w:cs="Times New Roman"/>
          <w:spacing w:val="-1"/>
          <w:sz w:val="21"/>
          <w:szCs w:val="21"/>
        </w:rPr>
        <w:t xml:space="preserve">3.4.2 </w:t>
      </w:r>
      <w:r>
        <w:rPr>
          <w:rFonts w:ascii="宋体" w:hAnsi="宋体" w:eastAsia="宋体" w:cs="宋体"/>
          <w:spacing w:val="-1"/>
          <w:sz w:val="21"/>
          <w:szCs w:val="21"/>
        </w:rPr>
        <w:t>评标委员会完成评标后，应当向招标人提</w:t>
      </w:r>
      <w:r>
        <w:rPr>
          <w:rFonts w:ascii="宋体" w:hAnsi="宋体" w:eastAsia="宋体" w:cs="宋体"/>
          <w:spacing w:val="-2"/>
          <w:sz w:val="21"/>
          <w:szCs w:val="21"/>
        </w:rPr>
        <w:t>交书面评标报告。</w:t>
      </w:r>
    </w:p>
    <w:p w14:paraId="2E98A518">
      <w:pPr>
        <w:spacing w:before="132" w:line="333" w:lineRule="auto"/>
        <w:ind w:left="18" w:right="11" w:firstLine="423"/>
        <w:rPr>
          <w:rFonts w:ascii="宋体" w:hAnsi="宋体" w:eastAsia="宋体" w:cs="宋体"/>
          <w:sz w:val="21"/>
          <w:szCs w:val="21"/>
        </w:rPr>
      </w:pPr>
      <w:r>
        <w:rPr>
          <w:rFonts w:ascii="Times New Roman" w:hAnsi="Times New Roman" w:eastAsia="Times New Roman" w:cs="Times New Roman"/>
          <w:spacing w:val="-1"/>
          <w:sz w:val="21"/>
          <w:szCs w:val="21"/>
        </w:rPr>
        <w:t>3.4.3</w:t>
      </w:r>
      <w:r>
        <w:rPr>
          <w:rFonts w:ascii="Times New Roman" w:hAnsi="Times New Roman" w:eastAsia="Times New Roman" w:cs="Times New Roman"/>
          <w:spacing w:val="56"/>
          <w:sz w:val="21"/>
          <w:szCs w:val="21"/>
        </w:rPr>
        <w:t xml:space="preserve"> </w:t>
      </w:r>
      <w:r>
        <w:rPr>
          <w:rFonts w:ascii="宋体" w:hAnsi="宋体" w:eastAsia="宋体" w:cs="宋体"/>
          <w:spacing w:val="-1"/>
          <w:sz w:val="21"/>
          <w:szCs w:val="21"/>
        </w:rPr>
        <w:t>投标人串通投标或弄虚作假或有其他违法行为，评标委员会在评标过程中发现，</w:t>
      </w:r>
      <w:r>
        <w:rPr>
          <w:rFonts w:ascii="宋体" w:hAnsi="宋体" w:eastAsia="宋体" w:cs="宋体"/>
          <w:sz w:val="21"/>
          <w:szCs w:val="21"/>
        </w:rPr>
        <w:t xml:space="preserve"> 证据确凿的， 经评标委员会成员三分之二以上同意，其投标作否决投标处理；证据不够确</w:t>
      </w:r>
      <w:r>
        <w:rPr>
          <w:rFonts w:ascii="宋体" w:hAnsi="宋体" w:eastAsia="宋体" w:cs="宋体"/>
          <w:spacing w:val="6"/>
          <w:sz w:val="21"/>
          <w:szCs w:val="21"/>
        </w:rPr>
        <w:t xml:space="preserve"> </w:t>
      </w:r>
      <w:r>
        <w:rPr>
          <w:rFonts w:ascii="宋体" w:hAnsi="宋体" w:eastAsia="宋体" w:cs="宋体"/>
          <w:sz w:val="21"/>
          <w:szCs w:val="21"/>
        </w:rPr>
        <w:t>凿的， 其投标不能作否决投标处理，但评标委员会在向招标人提交书面评标报告时，应予</w:t>
      </w:r>
      <w:r>
        <w:rPr>
          <w:rFonts w:ascii="宋体" w:hAnsi="宋体" w:eastAsia="宋体" w:cs="宋体"/>
          <w:spacing w:val="6"/>
          <w:sz w:val="21"/>
          <w:szCs w:val="21"/>
        </w:rPr>
        <w:t xml:space="preserve"> </w:t>
      </w:r>
      <w:r>
        <w:rPr>
          <w:rFonts w:ascii="宋体" w:hAnsi="宋体" w:eastAsia="宋体" w:cs="宋体"/>
          <w:sz w:val="21"/>
          <w:szCs w:val="21"/>
        </w:rPr>
        <w:t>说明。在评标结束后发现投标人串通投标或弄虚作假或有其他违法行为，查证属实的， 取</w:t>
      </w:r>
    </w:p>
    <w:p w14:paraId="17309A18">
      <w:pPr>
        <w:spacing w:line="220" w:lineRule="auto"/>
        <w:ind w:left="22"/>
        <w:rPr>
          <w:rFonts w:ascii="宋体" w:hAnsi="宋体" w:eastAsia="宋体" w:cs="宋体"/>
          <w:sz w:val="21"/>
          <w:szCs w:val="21"/>
        </w:rPr>
      </w:pPr>
      <w:r>
        <w:rPr>
          <w:rFonts w:ascii="宋体" w:hAnsi="宋体" w:eastAsia="宋体" w:cs="宋体"/>
          <w:spacing w:val="-4"/>
          <w:sz w:val="21"/>
          <w:szCs w:val="21"/>
        </w:rPr>
        <w:t>消其中标资格。</w:t>
      </w:r>
    </w:p>
    <w:p w14:paraId="3E67A8CF">
      <w:pPr>
        <w:spacing w:line="220" w:lineRule="auto"/>
        <w:rPr>
          <w:rFonts w:ascii="宋体" w:hAnsi="宋体" w:eastAsia="宋体" w:cs="宋体"/>
          <w:sz w:val="21"/>
          <w:szCs w:val="21"/>
        </w:rPr>
        <w:sectPr>
          <w:footerReference r:id="rId52" w:type="default"/>
          <w:pgSz w:w="11905" w:h="16839"/>
          <w:pgMar w:top="1431" w:right="1785" w:bottom="996" w:left="1785" w:header="0" w:footer="791" w:gutter="0"/>
          <w:pgNumType w:fmt="decimal"/>
          <w:cols w:space="720" w:num="1"/>
        </w:sectPr>
      </w:pPr>
    </w:p>
    <w:p w14:paraId="26FF0491">
      <w:pPr>
        <w:pStyle w:val="3"/>
        <w:spacing w:before="306" w:line="219" w:lineRule="auto"/>
        <w:ind w:left="32"/>
        <w:rPr>
          <w:rFonts w:ascii="黑体" w:hAnsi="黑体" w:eastAsia="黑体" w:cs="黑体"/>
          <w:sz w:val="24"/>
          <w:szCs w:val="24"/>
        </w:rPr>
      </w:pPr>
      <w:r>
        <w:rPr>
          <w:rFonts w:ascii="黑体" w:hAnsi="黑体" w:eastAsia="黑体" w:cs="黑体"/>
          <w:spacing w:val="-3"/>
          <w:sz w:val="24"/>
          <w:szCs w:val="24"/>
        </w:rPr>
        <w:t>附件</w:t>
      </w:r>
      <w:r>
        <w:rPr>
          <w:rFonts w:ascii="黑体" w:hAnsi="黑体" w:eastAsia="黑体" w:cs="黑体"/>
          <w:spacing w:val="-56"/>
          <w:sz w:val="24"/>
          <w:szCs w:val="24"/>
        </w:rPr>
        <w:t xml:space="preserve"> </w:t>
      </w:r>
      <w:r>
        <w:rPr>
          <w:spacing w:val="-3"/>
          <w:sz w:val="24"/>
          <w:szCs w:val="24"/>
        </w:rPr>
        <w:t>A</w:t>
      </w:r>
      <w:r>
        <w:rPr>
          <w:rFonts w:ascii="黑体" w:hAnsi="黑体" w:eastAsia="黑体" w:cs="黑体"/>
          <w:spacing w:val="-3"/>
          <w:sz w:val="24"/>
          <w:szCs w:val="24"/>
        </w:rPr>
        <w:t>：评标详细程序</w:t>
      </w:r>
    </w:p>
    <w:p w14:paraId="28F3E2FB">
      <w:pPr>
        <w:pStyle w:val="3"/>
        <w:spacing w:line="427" w:lineRule="auto"/>
      </w:pPr>
    </w:p>
    <w:p w14:paraId="6FAF67D5">
      <w:pPr>
        <w:spacing w:before="88" w:line="225" w:lineRule="auto"/>
        <w:ind w:left="3333"/>
        <w:rPr>
          <w:rFonts w:ascii="黑体" w:hAnsi="黑体" w:eastAsia="黑体" w:cs="黑体"/>
          <w:sz w:val="27"/>
          <w:szCs w:val="27"/>
        </w:rPr>
      </w:pPr>
      <w:bookmarkStart w:id="129" w:name="bookmark153"/>
      <w:bookmarkEnd w:id="129"/>
      <w:bookmarkStart w:id="130" w:name="bookmark155"/>
      <w:bookmarkEnd w:id="130"/>
      <w:bookmarkStart w:id="131" w:name="bookmark157"/>
      <w:bookmarkEnd w:id="131"/>
      <w:bookmarkStart w:id="132" w:name="bookmark152"/>
      <w:bookmarkEnd w:id="132"/>
      <w:bookmarkStart w:id="133" w:name="bookmark156"/>
      <w:bookmarkEnd w:id="133"/>
      <w:bookmarkStart w:id="134" w:name="bookmark154"/>
      <w:bookmarkEnd w:id="134"/>
      <w:r>
        <w:rPr>
          <w:rFonts w:ascii="黑体" w:hAnsi="黑体" w:eastAsia="黑体" w:cs="黑体"/>
          <w:spacing w:val="9"/>
          <w:sz w:val="27"/>
          <w:szCs w:val="27"/>
          <w14:textOutline w14:w="5050" w14:cap="flat" w14:cmpd="sng">
            <w14:solidFill>
              <w14:srgbClr w14:val="000000"/>
            </w14:solidFill>
            <w14:prstDash w14:val="solid"/>
            <w14:miter w14:val="0"/>
          </w14:textOutline>
        </w:rPr>
        <w:t>评标详细程序</w:t>
      </w:r>
    </w:p>
    <w:p w14:paraId="4912A5D5">
      <w:pPr>
        <w:spacing w:before="107" w:line="219" w:lineRule="auto"/>
        <w:ind w:left="11"/>
        <w:rPr>
          <w:rFonts w:ascii="黑体" w:hAnsi="黑体" w:eastAsia="黑体" w:cs="黑体"/>
          <w:sz w:val="24"/>
          <w:szCs w:val="24"/>
        </w:rPr>
      </w:pPr>
      <w:r>
        <w:rPr>
          <w:rFonts w:ascii="Times New Roman" w:hAnsi="Times New Roman" w:eastAsia="Times New Roman" w:cs="Times New Roman"/>
          <w:sz w:val="24"/>
          <w:szCs w:val="24"/>
        </w:rPr>
        <w:t>A0.</w:t>
      </w:r>
      <w:r>
        <w:rPr>
          <w:rFonts w:ascii="黑体" w:hAnsi="黑体" w:eastAsia="黑体" w:cs="黑体"/>
          <w:sz w:val="24"/>
          <w:szCs w:val="24"/>
        </w:rPr>
        <w:t>总</w:t>
      </w:r>
      <w:r>
        <w:rPr>
          <w:rFonts w:ascii="黑体" w:hAnsi="黑体" w:eastAsia="黑体" w:cs="黑体"/>
          <w:spacing w:val="13"/>
          <w:sz w:val="24"/>
          <w:szCs w:val="24"/>
        </w:rPr>
        <w:t xml:space="preserve"> </w:t>
      </w:r>
      <w:r>
        <w:rPr>
          <w:rFonts w:ascii="黑体" w:hAnsi="黑体" w:eastAsia="黑体" w:cs="黑体"/>
          <w:sz w:val="24"/>
          <w:szCs w:val="24"/>
        </w:rPr>
        <w:t>则</w:t>
      </w:r>
    </w:p>
    <w:p w14:paraId="3B76A13E">
      <w:pPr>
        <w:spacing w:before="143" w:line="398" w:lineRule="exact"/>
        <w:jc w:val="right"/>
        <w:rPr>
          <w:rFonts w:ascii="宋体" w:hAnsi="宋体" w:eastAsia="宋体" w:cs="宋体"/>
          <w:sz w:val="21"/>
          <w:szCs w:val="21"/>
        </w:rPr>
      </w:pPr>
      <w:r>
        <w:rPr>
          <w:rFonts w:ascii="宋体" w:hAnsi="宋体" w:eastAsia="宋体" w:cs="宋体"/>
          <w:position w:val="14"/>
          <w:sz w:val="21"/>
          <w:szCs w:val="21"/>
        </w:rPr>
        <w:t>本附件是本章“评标办法”的组成部分，是对本章第 3 条所规定的评标程序的进一步</w:t>
      </w:r>
    </w:p>
    <w:p w14:paraId="2B00B741">
      <w:pPr>
        <w:spacing w:before="1" w:line="219" w:lineRule="auto"/>
        <w:ind w:left="19"/>
        <w:rPr>
          <w:rFonts w:ascii="宋体" w:hAnsi="宋体" w:eastAsia="宋体" w:cs="宋体"/>
          <w:sz w:val="21"/>
          <w:szCs w:val="21"/>
        </w:rPr>
      </w:pPr>
      <w:r>
        <w:rPr>
          <w:rFonts w:ascii="宋体" w:hAnsi="宋体" w:eastAsia="宋体" w:cs="宋体"/>
          <w:sz w:val="21"/>
          <w:szCs w:val="21"/>
        </w:rPr>
        <w:t>细化，评标委员会应当按照本附件所规定的详细程序开展并完成评</w:t>
      </w:r>
      <w:r>
        <w:rPr>
          <w:rFonts w:ascii="宋体" w:hAnsi="宋体" w:eastAsia="宋体" w:cs="宋体"/>
          <w:spacing w:val="-1"/>
          <w:sz w:val="21"/>
          <w:szCs w:val="21"/>
        </w:rPr>
        <w:t>标工作。</w:t>
      </w:r>
    </w:p>
    <w:p w14:paraId="736944ED">
      <w:pPr>
        <w:spacing w:before="123" w:line="219" w:lineRule="auto"/>
        <w:ind w:left="11"/>
        <w:rPr>
          <w:rFonts w:ascii="黑体" w:hAnsi="黑体" w:eastAsia="黑体" w:cs="黑体"/>
          <w:sz w:val="24"/>
          <w:szCs w:val="24"/>
        </w:rPr>
      </w:pPr>
      <w:r>
        <w:rPr>
          <w:rFonts w:ascii="Times New Roman" w:hAnsi="Times New Roman" w:eastAsia="Times New Roman" w:cs="Times New Roman"/>
          <w:sz w:val="24"/>
          <w:szCs w:val="24"/>
        </w:rPr>
        <w:t>A1.</w:t>
      </w:r>
      <w:r>
        <w:rPr>
          <w:rFonts w:ascii="黑体" w:hAnsi="黑体" w:eastAsia="黑体" w:cs="黑体"/>
          <w:sz w:val="24"/>
          <w:szCs w:val="24"/>
        </w:rPr>
        <w:t>基本程序</w:t>
      </w:r>
    </w:p>
    <w:p w14:paraId="087EBD46">
      <w:pPr>
        <w:spacing w:before="144" w:line="398" w:lineRule="exact"/>
        <w:ind w:left="440"/>
        <w:rPr>
          <w:rFonts w:ascii="宋体" w:hAnsi="宋体" w:eastAsia="宋体" w:cs="宋体"/>
          <w:sz w:val="21"/>
          <w:szCs w:val="21"/>
        </w:rPr>
      </w:pPr>
      <w:r>
        <w:rPr>
          <w:rFonts w:ascii="宋体" w:hAnsi="宋体" w:eastAsia="宋体" w:cs="宋体"/>
          <w:spacing w:val="-2"/>
          <w:position w:val="14"/>
          <w:sz w:val="21"/>
          <w:szCs w:val="21"/>
        </w:rPr>
        <w:t>评标活动将按以下五个步骤进行：</w:t>
      </w:r>
    </w:p>
    <w:p w14:paraId="145B1FBB">
      <w:pPr>
        <w:spacing w:before="1" w:line="221" w:lineRule="auto"/>
        <w:ind w:left="447"/>
        <w:rPr>
          <w:rFonts w:ascii="宋体" w:hAnsi="宋体" w:eastAsia="宋体" w:cs="宋体"/>
          <w:sz w:val="21"/>
          <w:szCs w:val="21"/>
        </w:rPr>
      </w:pPr>
      <w:r>
        <w:rPr>
          <w:rFonts w:ascii="宋体" w:hAnsi="宋体" w:eastAsia="宋体" w:cs="宋体"/>
          <w:spacing w:val="-5"/>
          <w:sz w:val="21"/>
          <w:szCs w:val="21"/>
        </w:rPr>
        <w:t>（1）评标准备；</w:t>
      </w:r>
    </w:p>
    <w:p w14:paraId="6C4C827F">
      <w:pPr>
        <w:spacing w:before="146" w:line="221" w:lineRule="auto"/>
        <w:ind w:left="447"/>
        <w:rPr>
          <w:rFonts w:ascii="宋体" w:hAnsi="宋体" w:eastAsia="宋体" w:cs="宋体"/>
          <w:sz w:val="21"/>
          <w:szCs w:val="21"/>
        </w:rPr>
      </w:pPr>
      <w:r>
        <w:rPr>
          <w:rFonts w:ascii="宋体" w:hAnsi="宋体" w:eastAsia="宋体" w:cs="宋体"/>
          <w:spacing w:val="-5"/>
          <w:sz w:val="21"/>
          <w:szCs w:val="21"/>
        </w:rPr>
        <w:t>（2）初步评审；</w:t>
      </w:r>
    </w:p>
    <w:p w14:paraId="1D89FC29">
      <w:pPr>
        <w:spacing w:before="152" w:line="221" w:lineRule="auto"/>
        <w:ind w:left="447"/>
        <w:rPr>
          <w:rFonts w:ascii="宋体" w:hAnsi="宋体" w:eastAsia="宋体" w:cs="宋体"/>
          <w:sz w:val="21"/>
          <w:szCs w:val="21"/>
        </w:rPr>
      </w:pPr>
      <w:r>
        <w:rPr>
          <w:rFonts w:ascii="宋体" w:hAnsi="宋体" w:eastAsia="宋体" w:cs="宋体"/>
          <w:spacing w:val="-5"/>
          <w:sz w:val="21"/>
          <w:szCs w:val="21"/>
        </w:rPr>
        <w:t>（3）详细评审；</w:t>
      </w:r>
    </w:p>
    <w:p w14:paraId="0B40F748">
      <w:pPr>
        <w:spacing w:before="147" w:line="221" w:lineRule="auto"/>
        <w:ind w:left="447"/>
        <w:rPr>
          <w:rFonts w:ascii="宋体" w:hAnsi="宋体" w:eastAsia="宋体" w:cs="宋体"/>
          <w:sz w:val="21"/>
          <w:szCs w:val="21"/>
        </w:rPr>
      </w:pPr>
      <w:r>
        <w:rPr>
          <w:rFonts w:ascii="宋体" w:hAnsi="宋体" w:eastAsia="宋体" w:cs="宋体"/>
          <w:spacing w:val="-1"/>
          <w:sz w:val="21"/>
          <w:szCs w:val="21"/>
        </w:rPr>
        <w:t>（4）澄清、说明或补正；</w:t>
      </w:r>
    </w:p>
    <w:p w14:paraId="70AC1E14">
      <w:pPr>
        <w:spacing w:before="148" w:line="378" w:lineRule="exact"/>
        <w:ind w:left="447"/>
        <w:rPr>
          <w:rFonts w:ascii="宋体" w:hAnsi="宋体" w:eastAsia="宋体" w:cs="宋体"/>
          <w:sz w:val="21"/>
          <w:szCs w:val="21"/>
        </w:rPr>
      </w:pPr>
      <w:r>
        <w:rPr>
          <w:rFonts w:ascii="宋体" w:hAnsi="宋体" w:eastAsia="宋体" w:cs="宋体"/>
          <w:spacing w:val="-2"/>
          <w:position w:val="12"/>
          <w:sz w:val="21"/>
          <w:szCs w:val="21"/>
        </w:rPr>
        <w:t>（5）推荐中标候选人或者直接确定中标人及提交评标报告。</w:t>
      </w:r>
    </w:p>
    <w:p w14:paraId="52B4FE27">
      <w:pPr>
        <w:spacing w:before="1" w:line="218" w:lineRule="auto"/>
        <w:ind w:left="11"/>
        <w:rPr>
          <w:rFonts w:ascii="黑体" w:hAnsi="黑体" w:eastAsia="黑体" w:cs="黑体"/>
          <w:sz w:val="24"/>
          <w:szCs w:val="24"/>
        </w:rPr>
      </w:pPr>
      <w:r>
        <w:rPr>
          <w:rFonts w:ascii="Times New Roman" w:hAnsi="Times New Roman" w:eastAsia="Times New Roman" w:cs="Times New Roman"/>
          <w:sz w:val="24"/>
          <w:szCs w:val="24"/>
        </w:rPr>
        <w:t>A2.</w:t>
      </w:r>
      <w:r>
        <w:rPr>
          <w:rFonts w:ascii="黑体" w:hAnsi="黑体" w:eastAsia="黑体" w:cs="黑体"/>
          <w:sz w:val="24"/>
          <w:szCs w:val="24"/>
        </w:rPr>
        <w:t>评标准备</w:t>
      </w:r>
    </w:p>
    <w:p w14:paraId="126FD179">
      <w:pPr>
        <w:spacing w:before="139" w:line="219" w:lineRule="auto"/>
        <w:ind w:left="11"/>
        <w:rPr>
          <w:rFonts w:ascii="黑体" w:hAnsi="黑体" w:eastAsia="黑体" w:cs="黑体"/>
          <w:sz w:val="21"/>
          <w:szCs w:val="21"/>
        </w:rPr>
      </w:pPr>
      <w:r>
        <w:rPr>
          <w:rFonts w:ascii="Times New Roman" w:hAnsi="Times New Roman" w:eastAsia="Times New Roman" w:cs="Times New Roman"/>
          <w:spacing w:val="-1"/>
          <w:sz w:val="21"/>
          <w:szCs w:val="21"/>
        </w:rPr>
        <w:t xml:space="preserve">A2.1 </w:t>
      </w:r>
      <w:r>
        <w:rPr>
          <w:rFonts w:ascii="黑体" w:hAnsi="黑体" w:eastAsia="黑体" w:cs="黑体"/>
          <w:spacing w:val="-1"/>
          <w:sz w:val="21"/>
          <w:szCs w:val="21"/>
        </w:rPr>
        <w:t>评标委员会成员签到</w:t>
      </w:r>
    </w:p>
    <w:p w14:paraId="71AA2CF4">
      <w:pPr>
        <w:spacing w:before="150" w:line="403" w:lineRule="exact"/>
        <w:ind w:right="3"/>
        <w:jc w:val="right"/>
        <w:rPr>
          <w:rFonts w:ascii="宋体" w:hAnsi="宋体" w:eastAsia="宋体" w:cs="宋体"/>
          <w:sz w:val="21"/>
          <w:szCs w:val="21"/>
        </w:rPr>
      </w:pPr>
      <w:r>
        <w:rPr>
          <w:rFonts w:ascii="宋体" w:hAnsi="宋体" w:eastAsia="宋体" w:cs="宋体"/>
          <w:spacing w:val="3"/>
          <w:position w:val="14"/>
          <w:sz w:val="21"/>
          <w:szCs w:val="21"/>
        </w:rPr>
        <w:t>评标委员会成员到达评标现场时应在签到表上签到以证明其出席。评标委员会签到表</w:t>
      </w:r>
    </w:p>
    <w:p w14:paraId="3E32451B">
      <w:pPr>
        <w:spacing w:before="1" w:line="219" w:lineRule="auto"/>
        <w:ind w:left="21"/>
        <w:rPr>
          <w:rFonts w:ascii="宋体" w:hAnsi="宋体" w:eastAsia="宋体" w:cs="宋体"/>
          <w:sz w:val="21"/>
          <w:szCs w:val="21"/>
        </w:rPr>
      </w:pPr>
      <w:r>
        <w:rPr>
          <w:rFonts w:ascii="宋体" w:hAnsi="宋体" w:eastAsia="宋体" w:cs="宋体"/>
          <w:spacing w:val="-1"/>
          <w:sz w:val="21"/>
          <w:szCs w:val="21"/>
        </w:rPr>
        <w:t>见</w:t>
      </w:r>
      <w:r>
        <w:rPr>
          <w:rFonts w:ascii="宋体" w:hAnsi="宋体" w:eastAsia="宋体" w:cs="宋体"/>
          <w:spacing w:val="-1"/>
          <w:sz w:val="21"/>
          <w:szCs w:val="21"/>
          <w14:textOutline w14:w="3831" w14:cap="flat" w14:cmpd="sng">
            <w14:solidFill>
              <w14:srgbClr w14:val="000000"/>
            </w14:solidFill>
            <w14:prstDash w14:val="solid"/>
            <w14:miter w14:val="0"/>
          </w14:textOutline>
        </w:rPr>
        <w:t>附表</w:t>
      </w:r>
      <w:r>
        <w:rPr>
          <w:rFonts w:ascii="宋体" w:hAnsi="宋体" w:eastAsia="宋体" w:cs="宋体"/>
          <w:spacing w:val="-36"/>
          <w:sz w:val="21"/>
          <w:szCs w:val="21"/>
        </w:rPr>
        <w:t xml:space="preserve"> </w:t>
      </w:r>
      <w:r>
        <w:rPr>
          <w:rFonts w:ascii="宋体" w:hAnsi="宋体" w:eastAsia="宋体" w:cs="宋体"/>
          <w:spacing w:val="-1"/>
          <w:sz w:val="21"/>
          <w:szCs w:val="21"/>
          <w14:textOutline w14:w="3831" w14:cap="flat" w14:cmpd="sng">
            <w14:solidFill>
              <w14:srgbClr w14:val="000000"/>
            </w14:solidFill>
            <w14:prstDash w14:val="solid"/>
            <w14:miter w14:val="0"/>
          </w14:textOutline>
        </w:rPr>
        <w:t>A-1</w:t>
      </w:r>
      <w:r>
        <w:rPr>
          <w:rFonts w:ascii="宋体" w:hAnsi="宋体" w:eastAsia="宋体" w:cs="宋体"/>
          <w:spacing w:val="-1"/>
          <w:sz w:val="21"/>
          <w:szCs w:val="21"/>
        </w:rPr>
        <w:t>。并按照要求阅读评标纪律。</w:t>
      </w:r>
    </w:p>
    <w:p w14:paraId="25421861">
      <w:pPr>
        <w:spacing w:before="147" w:line="352" w:lineRule="auto"/>
        <w:ind w:left="18" w:right="6" w:firstLine="422"/>
        <w:rPr>
          <w:rFonts w:ascii="宋体" w:hAnsi="宋体" w:eastAsia="宋体" w:cs="宋体"/>
          <w:sz w:val="21"/>
          <w:szCs w:val="21"/>
        </w:rPr>
      </w:pPr>
      <w:r>
        <w:rPr>
          <w:rFonts w:ascii="宋体" w:hAnsi="宋体" w:eastAsia="宋体" w:cs="宋体"/>
          <w:sz w:val="21"/>
          <w:szCs w:val="21"/>
        </w:rPr>
        <w:t>评标委员会成员在评标前， 应当签订签署评标专家告知承诺函。评标专家告知承诺函</w:t>
      </w:r>
      <w:r>
        <w:rPr>
          <w:rFonts w:ascii="宋体" w:hAnsi="宋体" w:eastAsia="宋体" w:cs="宋体"/>
          <w:spacing w:val="9"/>
          <w:sz w:val="21"/>
          <w:szCs w:val="21"/>
        </w:rPr>
        <w:t xml:space="preserve"> </w:t>
      </w:r>
      <w:r>
        <w:rPr>
          <w:rFonts w:ascii="宋体" w:hAnsi="宋体" w:eastAsia="宋体" w:cs="宋体"/>
          <w:sz w:val="21"/>
          <w:szCs w:val="21"/>
        </w:rPr>
        <w:t>见</w:t>
      </w:r>
      <w:r>
        <w:rPr>
          <w:rFonts w:ascii="宋体" w:hAnsi="宋体" w:eastAsia="宋体" w:cs="宋体"/>
          <w:sz w:val="21"/>
          <w:szCs w:val="21"/>
          <w14:textOutline w14:w="3831" w14:cap="flat" w14:cmpd="sng">
            <w14:solidFill>
              <w14:srgbClr w14:val="000000"/>
            </w14:solidFill>
            <w14:prstDash w14:val="solid"/>
            <w14:miter w14:val="0"/>
          </w14:textOutline>
        </w:rPr>
        <w:t>附表</w:t>
      </w:r>
      <w:r>
        <w:rPr>
          <w:rFonts w:ascii="宋体" w:hAnsi="宋体" w:eastAsia="宋体" w:cs="宋体"/>
          <w:sz w:val="21"/>
          <w:szCs w:val="21"/>
        </w:rPr>
        <w:t xml:space="preserve"> </w:t>
      </w:r>
      <w:r>
        <w:rPr>
          <w:rFonts w:ascii="宋体" w:hAnsi="宋体" w:eastAsia="宋体" w:cs="宋体"/>
          <w:sz w:val="21"/>
          <w:szCs w:val="21"/>
          <w14:textOutline w14:w="3831" w14:cap="flat" w14:cmpd="sng">
            <w14:solidFill>
              <w14:srgbClr w14:val="000000"/>
            </w14:solidFill>
            <w14:prstDash w14:val="solid"/>
            <w14:miter w14:val="0"/>
          </w14:textOutline>
        </w:rPr>
        <w:t>A-2。</w:t>
      </w:r>
      <w:r>
        <w:rPr>
          <w:rFonts w:ascii="宋体" w:hAnsi="宋体" w:eastAsia="宋体" w:cs="宋体"/>
          <w:sz w:val="21"/>
          <w:szCs w:val="21"/>
        </w:rPr>
        <w:t>评标委员会成员对尽职、回避、保密、廉洁， 不参与串通投标等进行承诺，</w:t>
      </w:r>
      <w:r>
        <w:rPr>
          <w:rFonts w:ascii="宋体" w:hAnsi="宋体" w:eastAsia="宋体" w:cs="宋体"/>
          <w:spacing w:val="2"/>
          <w:sz w:val="21"/>
          <w:szCs w:val="21"/>
        </w:rPr>
        <w:t xml:space="preserve"> </w:t>
      </w:r>
      <w:r>
        <w:rPr>
          <w:rFonts w:ascii="宋体" w:hAnsi="宋体" w:eastAsia="宋体" w:cs="宋体"/>
          <w:spacing w:val="3"/>
          <w:sz w:val="21"/>
          <w:szCs w:val="21"/>
        </w:rPr>
        <w:t>承诺遵守有关评标管理规定以及评标纪律，客观、公正地进行评标，并接受</w:t>
      </w:r>
      <w:r>
        <w:rPr>
          <w:rFonts w:ascii="宋体" w:hAnsi="宋体" w:eastAsia="宋体" w:cs="宋体"/>
          <w:spacing w:val="2"/>
          <w:sz w:val="21"/>
          <w:szCs w:val="21"/>
        </w:rPr>
        <w:t>招投标监管部</w:t>
      </w:r>
    </w:p>
    <w:p w14:paraId="4CE0F36C">
      <w:pPr>
        <w:spacing w:line="222" w:lineRule="auto"/>
        <w:ind w:left="42"/>
        <w:rPr>
          <w:rFonts w:ascii="宋体" w:hAnsi="宋体" w:eastAsia="宋体" w:cs="宋体"/>
          <w:sz w:val="21"/>
          <w:szCs w:val="21"/>
        </w:rPr>
      </w:pPr>
      <w:r>
        <w:rPr>
          <w:rFonts w:ascii="宋体" w:hAnsi="宋体" w:eastAsia="宋体" w:cs="宋体"/>
          <w:spacing w:val="-10"/>
          <w:sz w:val="21"/>
          <w:szCs w:val="21"/>
        </w:rPr>
        <w:t>门的监督。</w:t>
      </w:r>
    </w:p>
    <w:p w14:paraId="29EF6308">
      <w:pPr>
        <w:spacing w:before="146" w:line="219" w:lineRule="auto"/>
        <w:ind w:left="11"/>
        <w:rPr>
          <w:rFonts w:ascii="黑体" w:hAnsi="黑体" w:eastAsia="黑体" w:cs="黑体"/>
          <w:sz w:val="21"/>
          <w:szCs w:val="21"/>
        </w:rPr>
      </w:pPr>
      <w:r>
        <w:rPr>
          <w:rFonts w:ascii="Times New Roman" w:hAnsi="Times New Roman" w:eastAsia="Times New Roman" w:cs="Times New Roman"/>
          <w:spacing w:val="-1"/>
          <w:sz w:val="21"/>
          <w:szCs w:val="21"/>
        </w:rPr>
        <w:t xml:space="preserve">A2.2 </w:t>
      </w:r>
      <w:r>
        <w:rPr>
          <w:rFonts w:ascii="黑体" w:hAnsi="黑体" w:eastAsia="黑体" w:cs="黑体"/>
          <w:spacing w:val="-1"/>
          <w:sz w:val="21"/>
          <w:szCs w:val="21"/>
        </w:rPr>
        <w:t>评标委员会的分工</w:t>
      </w:r>
    </w:p>
    <w:p w14:paraId="6957C395">
      <w:pPr>
        <w:spacing w:before="169" w:line="422" w:lineRule="exact"/>
        <w:ind w:right="4"/>
        <w:jc w:val="right"/>
        <w:rPr>
          <w:rFonts w:ascii="宋体" w:hAnsi="宋体" w:eastAsia="宋体" w:cs="宋体"/>
          <w:sz w:val="21"/>
          <w:szCs w:val="21"/>
        </w:rPr>
      </w:pPr>
      <w:r>
        <w:rPr>
          <w:rFonts w:ascii="宋体" w:hAnsi="宋体" w:eastAsia="宋体" w:cs="宋体"/>
          <w:position w:val="16"/>
          <w:sz w:val="21"/>
          <w:szCs w:val="21"/>
        </w:rPr>
        <w:t>A2.2.1 评标委员会首先推选一名评标委员会主任。评标委员会主任负责评标活动的组</w:t>
      </w:r>
    </w:p>
    <w:p w14:paraId="7DA62BBA">
      <w:pPr>
        <w:spacing w:line="221" w:lineRule="auto"/>
        <w:ind w:left="21"/>
        <w:rPr>
          <w:rFonts w:ascii="宋体" w:hAnsi="宋体" w:eastAsia="宋体" w:cs="宋体"/>
          <w:sz w:val="21"/>
          <w:szCs w:val="21"/>
        </w:rPr>
      </w:pPr>
      <w:r>
        <w:rPr>
          <w:rFonts w:ascii="宋体" w:hAnsi="宋体" w:eastAsia="宋体" w:cs="宋体"/>
          <w:spacing w:val="-8"/>
          <w:sz w:val="21"/>
          <w:szCs w:val="21"/>
        </w:rPr>
        <w:t>织工作。</w:t>
      </w:r>
    </w:p>
    <w:p w14:paraId="7EF3D25E">
      <w:pPr>
        <w:spacing w:before="153" w:line="398" w:lineRule="exact"/>
        <w:jc w:val="right"/>
        <w:rPr>
          <w:rFonts w:ascii="宋体" w:hAnsi="宋体" w:eastAsia="宋体" w:cs="宋体"/>
          <w:sz w:val="21"/>
          <w:szCs w:val="21"/>
        </w:rPr>
      </w:pPr>
      <w:r>
        <w:rPr>
          <w:rFonts w:ascii="宋体" w:hAnsi="宋体" w:eastAsia="宋体" w:cs="宋体"/>
          <w:spacing w:val="1"/>
          <w:position w:val="14"/>
          <w:sz w:val="21"/>
          <w:szCs w:val="21"/>
        </w:rPr>
        <w:t>A2.2.2 评标委员会主任除履行自己作为</w:t>
      </w:r>
      <w:r>
        <w:rPr>
          <w:rFonts w:ascii="宋体" w:hAnsi="宋体" w:eastAsia="宋体" w:cs="宋体"/>
          <w:position w:val="14"/>
          <w:sz w:val="21"/>
          <w:szCs w:val="21"/>
        </w:rPr>
        <w:t>评标委员会成员独立评标的职责外，主要负责</w:t>
      </w:r>
    </w:p>
    <w:p w14:paraId="48A9E165">
      <w:pPr>
        <w:spacing w:line="221" w:lineRule="auto"/>
        <w:ind w:left="42"/>
        <w:rPr>
          <w:rFonts w:ascii="宋体" w:hAnsi="宋体" w:eastAsia="宋体" w:cs="宋体"/>
          <w:sz w:val="21"/>
          <w:szCs w:val="21"/>
        </w:rPr>
      </w:pPr>
      <w:r>
        <w:rPr>
          <w:rFonts w:ascii="宋体" w:hAnsi="宋体" w:eastAsia="宋体" w:cs="宋体"/>
          <w:spacing w:val="-13"/>
          <w:sz w:val="21"/>
          <w:szCs w:val="21"/>
        </w:rPr>
        <w:t>以下工作：</w:t>
      </w:r>
    </w:p>
    <w:p w14:paraId="59612046">
      <w:pPr>
        <w:spacing w:before="147" w:line="220" w:lineRule="auto"/>
        <w:ind w:left="447"/>
        <w:rPr>
          <w:rFonts w:ascii="宋体" w:hAnsi="宋体" w:eastAsia="宋体" w:cs="宋体"/>
          <w:sz w:val="21"/>
          <w:szCs w:val="21"/>
        </w:rPr>
      </w:pPr>
      <w:r>
        <w:rPr>
          <w:rFonts w:ascii="宋体" w:hAnsi="宋体" w:eastAsia="宋体" w:cs="宋体"/>
          <w:spacing w:val="-1"/>
          <w:sz w:val="21"/>
          <w:szCs w:val="21"/>
        </w:rPr>
        <w:t>（1）组织评标委员会成员学习招标文件中载明的评</w:t>
      </w:r>
      <w:r>
        <w:rPr>
          <w:rFonts w:ascii="宋体" w:hAnsi="宋体" w:eastAsia="宋体" w:cs="宋体"/>
          <w:spacing w:val="-2"/>
          <w:sz w:val="21"/>
          <w:szCs w:val="21"/>
        </w:rPr>
        <w:t>标标准和方法；</w:t>
      </w:r>
    </w:p>
    <w:p w14:paraId="18FC2718">
      <w:pPr>
        <w:spacing w:before="172" w:line="220" w:lineRule="auto"/>
        <w:ind w:left="447"/>
        <w:rPr>
          <w:rFonts w:ascii="宋体" w:hAnsi="宋体" w:eastAsia="宋体" w:cs="宋体"/>
          <w:sz w:val="21"/>
          <w:szCs w:val="21"/>
        </w:rPr>
      </w:pPr>
      <w:r>
        <w:rPr>
          <w:rFonts w:ascii="宋体" w:hAnsi="宋体" w:eastAsia="宋体" w:cs="宋体"/>
          <w:spacing w:val="-2"/>
          <w:sz w:val="21"/>
          <w:szCs w:val="21"/>
        </w:rPr>
        <w:t>（2）提醒招标人做好评标准备工作，包括提供所需的评标基础资料；</w:t>
      </w:r>
    </w:p>
    <w:p w14:paraId="080FF80A">
      <w:pPr>
        <w:spacing w:before="158" w:line="220" w:lineRule="auto"/>
        <w:ind w:right="7"/>
        <w:jc w:val="right"/>
        <w:rPr>
          <w:rFonts w:ascii="宋体" w:hAnsi="宋体" w:eastAsia="宋体" w:cs="宋体"/>
          <w:sz w:val="21"/>
          <w:szCs w:val="21"/>
        </w:rPr>
      </w:pPr>
      <w:r>
        <w:rPr>
          <w:rFonts w:ascii="宋体" w:hAnsi="宋体" w:eastAsia="宋体" w:cs="宋体"/>
          <w:sz w:val="21"/>
          <w:szCs w:val="21"/>
        </w:rPr>
        <w:t>（3）汇总各评标委员会成员认为需要投标人澄清、说明或者补正的问题，组织评标委</w:t>
      </w:r>
    </w:p>
    <w:p w14:paraId="024CC721">
      <w:pPr>
        <w:spacing w:before="153" w:line="220" w:lineRule="auto"/>
        <w:ind w:left="26"/>
        <w:rPr>
          <w:rFonts w:ascii="宋体" w:hAnsi="宋体" w:eastAsia="宋体" w:cs="宋体"/>
          <w:sz w:val="21"/>
          <w:szCs w:val="21"/>
        </w:rPr>
      </w:pPr>
      <w:r>
        <w:rPr>
          <w:rFonts w:ascii="宋体" w:hAnsi="宋体" w:eastAsia="宋体" w:cs="宋体"/>
          <w:spacing w:val="-3"/>
          <w:sz w:val="21"/>
          <w:szCs w:val="21"/>
        </w:rPr>
        <w:t>员会对投标人质询并对投标人的答复进行评审；</w:t>
      </w:r>
    </w:p>
    <w:p w14:paraId="508B50A1">
      <w:pPr>
        <w:spacing w:before="148" w:line="220" w:lineRule="auto"/>
        <w:ind w:left="447"/>
        <w:rPr>
          <w:rFonts w:ascii="宋体" w:hAnsi="宋体" w:eastAsia="宋体" w:cs="宋体"/>
          <w:sz w:val="21"/>
          <w:szCs w:val="21"/>
        </w:rPr>
      </w:pPr>
      <w:r>
        <w:rPr>
          <w:rFonts w:ascii="宋体" w:hAnsi="宋体" w:eastAsia="宋体" w:cs="宋体"/>
          <w:spacing w:val="-2"/>
          <w:sz w:val="21"/>
          <w:szCs w:val="21"/>
        </w:rPr>
        <w:t>（4）对出现较大争议的事项进行书面记录；</w:t>
      </w:r>
    </w:p>
    <w:p w14:paraId="115892A8">
      <w:pPr>
        <w:spacing w:before="148" w:line="404" w:lineRule="exact"/>
        <w:ind w:left="447"/>
        <w:rPr>
          <w:rFonts w:ascii="宋体" w:hAnsi="宋体" w:eastAsia="宋体" w:cs="宋体"/>
          <w:sz w:val="21"/>
          <w:szCs w:val="21"/>
        </w:rPr>
      </w:pPr>
      <w:r>
        <w:rPr>
          <w:rFonts w:ascii="宋体" w:hAnsi="宋体" w:eastAsia="宋体" w:cs="宋体"/>
          <w:spacing w:val="-1"/>
          <w:position w:val="14"/>
          <w:sz w:val="21"/>
          <w:szCs w:val="21"/>
        </w:rPr>
        <w:t>（5）查验评标用表格和评标记录的完整性及有效性；</w:t>
      </w:r>
    </w:p>
    <w:p w14:paraId="5F38816D">
      <w:pPr>
        <w:spacing w:line="221" w:lineRule="auto"/>
        <w:ind w:left="447"/>
        <w:rPr>
          <w:rFonts w:ascii="宋体" w:hAnsi="宋体" w:eastAsia="宋体" w:cs="宋体"/>
          <w:sz w:val="21"/>
          <w:szCs w:val="21"/>
        </w:rPr>
      </w:pPr>
      <w:r>
        <w:rPr>
          <w:rFonts w:ascii="宋体" w:hAnsi="宋体" w:eastAsia="宋体" w:cs="宋体"/>
          <w:spacing w:val="-1"/>
          <w:sz w:val="21"/>
          <w:szCs w:val="21"/>
        </w:rPr>
        <w:t>（6）组织对评标结论进行复核确认；</w:t>
      </w:r>
    </w:p>
    <w:p w14:paraId="2A24DE18">
      <w:pPr>
        <w:spacing w:before="147" w:line="219" w:lineRule="auto"/>
        <w:ind w:left="447"/>
        <w:rPr>
          <w:rFonts w:ascii="宋体" w:hAnsi="宋体" w:eastAsia="宋体" w:cs="宋体"/>
          <w:sz w:val="21"/>
          <w:szCs w:val="21"/>
        </w:rPr>
      </w:pPr>
      <w:r>
        <w:rPr>
          <w:rFonts w:ascii="宋体" w:hAnsi="宋体" w:eastAsia="宋体" w:cs="宋体"/>
          <w:spacing w:val="-2"/>
          <w:sz w:val="21"/>
          <w:szCs w:val="21"/>
        </w:rPr>
        <w:t>（7）组织编写评标报告，推荐中标候选人。</w:t>
      </w:r>
    </w:p>
    <w:p w14:paraId="4CEDE4D7">
      <w:pPr>
        <w:spacing w:line="219" w:lineRule="auto"/>
        <w:rPr>
          <w:rFonts w:ascii="宋体" w:hAnsi="宋体" w:eastAsia="宋体" w:cs="宋体"/>
          <w:sz w:val="21"/>
          <w:szCs w:val="21"/>
        </w:rPr>
        <w:sectPr>
          <w:footerReference r:id="rId53" w:type="default"/>
          <w:pgSz w:w="11905" w:h="16839"/>
          <w:pgMar w:top="1431" w:right="1785" w:bottom="996" w:left="1785" w:header="0" w:footer="791" w:gutter="0"/>
          <w:pgNumType w:fmt="decimal"/>
          <w:cols w:space="720" w:num="1"/>
        </w:sectPr>
      </w:pPr>
    </w:p>
    <w:p w14:paraId="67D979A2">
      <w:pPr>
        <w:spacing w:before="168" w:line="418" w:lineRule="exact"/>
        <w:ind w:right="4"/>
        <w:jc w:val="right"/>
        <w:rPr>
          <w:rFonts w:ascii="宋体" w:hAnsi="宋体" w:eastAsia="宋体" w:cs="宋体"/>
          <w:sz w:val="21"/>
          <w:szCs w:val="21"/>
        </w:rPr>
      </w:pPr>
      <w:bookmarkStart w:id="135" w:name="bookmark158"/>
      <w:bookmarkEnd w:id="135"/>
      <w:bookmarkStart w:id="136" w:name="bookmark159"/>
      <w:bookmarkEnd w:id="136"/>
      <w:r>
        <w:rPr>
          <w:rFonts w:ascii="宋体" w:hAnsi="宋体" w:eastAsia="宋体" w:cs="宋体"/>
          <w:position w:val="15"/>
          <w:sz w:val="21"/>
          <w:szCs w:val="21"/>
        </w:rPr>
        <w:t>A2.2.3 评标委员会主任在与其他评标委员会成员商议的基础上可以将评标委员会按照</w:t>
      </w:r>
    </w:p>
    <w:p w14:paraId="1BEBED5C">
      <w:pPr>
        <w:spacing w:line="220" w:lineRule="auto"/>
        <w:ind w:left="17"/>
        <w:rPr>
          <w:rFonts w:ascii="宋体" w:hAnsi="宋体" w:eastAsia="宋体" w:cs="宋体"/>
          <w:sz w:val="21"/>
          <w:szCs w:val="21"/>
        </w:rPr>
      </w:pPr>
      <w:r>
        <w:rPr>
          <w:rFonts w:ascii="宋体" w:hAnsi="宋体" w:eastAsia="宋体" w:cs="宋体"/>
          <w:spacing w:val="-1"/>
          <w:sz w:val="21"/>
          <w:szCs w:val="21"/>
        </w:rPr>
        <w:t>评标专家抽取专业划分为技术组和经济组。</w:t>
      </w:r>
    </w:p>
    <w:p w14:paraId="2752C3FD">
      <w:pPr>
        <w:spacing w:before="152" w:line="219" w:lineRule="auto"/>
        <w:ind w:left="11"/>
        <w:rPr>
          <w:rFonts w:ascii="黑体" w:hAnsi="黑体" w:eastAsia="黑体" w:cs="黑体"/>
          <w:sz w:val="21"/>
          <w:szCs w:val="21"/>
        </w:rPr>
      </w:pPr>
      <w:r>
        <w:rPr>
          <w:rFonts w:ascii="Times New Roman" w:hAnsi="Times New Roman" w:eastAsia="Times New Roman" w:cs="Times New Roman"/>
          <w:spacing w:val="-1"/>
          <w:sz w:val="21"/>
          <w:szCs w:val="21"/>
        </w:rPr>
        <w:t xml:space="preserve">A2.3 </w:t>
      </w:r>
      <w:r>
        <w:rPr>
          <w:rFonts w:ascii="黑体" w:hAnsi="黑体" w:eastAsia="黑体" w:cs="黑体"/>
          <w:spacing w:val="-1"/>
          <w:sz w:val="21"/>
          <w:szCs w:val="21"/>
        </w:rPr>
        <w:t>熟悉文件资料</w:t>
      </w:r>
    </w:p>
    <w:p w14:paraId="7928C810">
      <w:pPr>
        <w:spacing w:before="151" w:line="352" w:lineRule="auto"/>
        <w:ind w:left="19" w:right="4" w:firstLine="415"/>
        <w:jc w:val="both"/>
        <w:rPr>
          <w:rFonts w:ascii="宋体" w:hAnsi="宋体" w:eastAsia="宋体" w:cs="宋体"/>
          <w:sz w:val="21"/>
          <w:szCs w:val="21"/>
        </w:rPr>
      </w:pPr>
      <w:r>
        <w:rPr>
          <w:rFonts w:ascii="宋体" w:hAnsi="宋体" w:eastAsia="宋体" w:cs="宋体"/>
          <w:sz w:val="21"/>
          <w:szCs w:val="21"/>
        </w:rPr>
        <w:t>A2.3.1 评标委员会主任应组织评标委员会成员认真研究招标文件，了解和熟悉招标目</w:t>
      </w:r>
      <w:r>
        <w:rPr>
          <w:rFonts w:ascii="宋体" w:hAnsi="宋体" w:eastAsia="宋体" w:cs="宋体"/>
          <w:spacing w:val="18"/>
          <w:sz w:val="21"/>
          <w:szCs w:val="21"/>
        </w:rPr>
        <w:t xml:space="preserve"> </w:t>
      </w:r>
      <w:r>
        <w:rPr>
          <w:rFonts w:ascii="宋体" w:hAnsi="宋体" w:eastAsia="宋体" w:cs="宋体"/>
          <w:spacing w:val="3"/>
          <w:sz w:val="21"/>
          <w:szCs w:val="21"/>
        </w:rPr>
        <w:t>的、招标范围、主要合同条件、技术标准和要求、质量标准和工期要求，掌</w:t>
      </w:r>
      <w:r>
        <w:rPr>
          <w:rFonts w:ascii="宋体" w:hAnsi="宋体" w:eastAsia="宋体" w:cs="宋体"/>
          <w:spacing w:val="2"/>
          <w:sz w:val="21"/>
          <w:szCs w:val="21"/>
        </w:rPr>
        <w:t>握评标标准和</w:t>
      </w:r>
      <w:r>
        <w:rPr>
          <w:rFonts w:ascii="宋体" w:hAnsi="宋体" w:eastAsia="宋体" w:cs="宋体"/>
          <w:sz w:val="21"/>
          <w:szCs w:val="21"/>
        </w:rPr>
        <w:t xml:space="preserve"> 方法， 熟悉本章及附件中包括的评标表格的使用，如果本章及附件所附的表格不能满足评</w:t>
      </w:r>
      <w:r>
        <w:rPr>
          <w:rFonts w:ascii="宋体" w:hAnsi="宋体" w:eastAsia="宋体" w:cs="宋体"/>
          <w:spacing w:val="6"/>
          <w:sz w:val="21"/>
          <w:szCs w:val="21"/>
        </w:rPr>
        <w:t xml:space="preserve"> </w:t>
      </w:r>
      <w:r>
        <w:rPr>
          <w:rFonts w:ascii="宋体" w:hAnsi="宋体" w:eastAsia="宋体" w:cs="宋体"/>
          <w:spacing w:val="3"/>
          <w:sz w:val="21"/>
          <w:szCs w:val="21"/>
        </w:rPr>
        <w:t>标所需时，评标委员会应补充编制评标所需的表格。未在招标文件中规定的</w:t>
      </w:r>
      <w:r>
        <w:rPr>
          <w:rFonts w:ascii="宋体" w:hAnsi="宋体" w:eastAsia="宋体" w:cs="宋体"/>
          <w:spacing w:val="2"/>
          <w:sz w:val="21"/>
          <w:szCs w:val="21"/>
        </w:rPr>
        <w:t>标准和方法不</w:t>
      </w:r>
    </w:p>
    <w:p w14:paraId="72F1C07E">
      <w:pPr>
        <w:spacing w:line="219" w:lineRule="auto"/>
        <w:ind w:left="19"/>
        <w:rPr>
          <w:rFonts w:ascii="宋体" w:hAnsi="宋体" w:eastAsia="宋体" w:cs="宋体"/>
          <w:sz w:val="21"/>
          <w:szCs w:val="21"/>
        </w:rPr>
      </w:pPr>
      <w:r>
        <w:rPr>
          <w:rFonts w:ascii="宋体" w:hAnsi="宋体" w:eastAsia="宋体" w:cs="宋体"/>
          <w:spacing w:val="-3"/>
          <w:sz w:val="21"/>
          <w:szCs w:val="21"/>
        </w:rPr>
        <w:t>得作为评标的依据。</w:t>
      </w:r>
    </w:p>
    <w:p w14:paraId="41B091C4">
      <w:pPr>
        <w:spacing w:before="173" w:line="408" w:lineRule="exact"/>
        <w:ind w:left="434"/>
        <w:rPr>
          <w:rFonts w:ascii="宋体" w:hAnsi="宋体" w:eastAsia="宋体" w:cs="宋体"/>
          <w:sz w:val="21"/>
          <w:szCs w:val="21"/>
        </w:rPr>
      </w:pPr>
      <w:r>
        <w:rPr>
          <w:rFonts w:ascii="宋体" w:hAnsi="宋体" w:eastAsia="宋体" w:cs="宋体"/>
          <w:spacing w:val="-1"/>
          <w:position w:val="15"/>
          <w:sz w:val="21"/>
          <w:szCs w:val="21"/>
        </w:rPr>
        <w:t>A2.3.2</w:t>
      </w:r>
      <w:r>
        <w:rPr>
          <w:rFonts w:ascii="宋体" w:hAnsi="宋体" w:eastAsia="宋体" w:cs="宋体"/>
          <w:spacing w:val="-43"/>
          <w:position w:val="15"/>
          <w:sz w:val="21"/>
          <w:szCs w:val="21"/>
        </w:rPr>
        <w:t xml:space="preserve"> </w:t>
      </w:r>
      <w:r>
        <w:rPr>
          <w:rFonts w:ascii="宋体" w:hAnsi="宋体" w:eastAsia="宋体" w:cs="宋体"/>
          <w:spacing w:val="-1"/>
          <w:position w:val="15"/>
          <w:sz w:val="21"/>
          <w:szCs w:val="21"/>
        </w:rPr>
        <w:t>招标人或招标代理机构应向评标委员会提供评标所需的信息和</w:t>
      </w:r>
      <w:r>
        <w:rPr>
          <w:rFonts w:ascii="宋体" w:hAnsi="宋体" w:eastAsia="宋体" w:cs="宋体"/>
          <w:spacing w:val="-2"/>
          <w:position w:val="15"/>
          <w:sz w:val="21"/>
          <w:szCs w:val="21"/>
        </w:rPr>
        <w:t>数据，包括：</w:t>
      </w:r>
    </w:p>
    <w:p w14:paraId="66B6BF9F">
      <w:pPr>
        <w:spacing w:line="220" w:lineRule="auto"/>
        <w:ind w:left="447"/>
        <w:rPr>
          <w:rFonts w:ascii="宋体" w:hAnsi="宋体" w:eastAsia="宋体" w:cs="宋体"/>
          <w:sz w:val="21"/>
          <w:szCs w:val="21"/>
        </w:rPr>
      </w:pPr>
      <w:r>
        <w:rPr>
          <w:rFonts w:ascii="宋体" w:hAnsi="宋体" w:eastAsia="宋体" w:cs="宋体"/>
          <w:spacing w:val="-1"/>
          <w:sz w:val="21"/>
          <w:szCs w:val="21"/>
        </w:rPr>
        <w:t>（1）招标文件及其澄清、修改文件；</w:t>
      </w:r>
    </w:p>
    <w:p w14:paraId="4D9C4851">
      <w:pPr>
        <w:spacing w:before="147" w:line="221" w:lineRule="auto"/>
        <w:ind w:left="447"/>
        <w:rPr>
          <w:rFonts w:ascii="宋体" w:hAnsi="宋体" w:eastAsia="宋体" w:cs="宋体"/>
          <w:sz w:val="21"/>
          <w:szCs w:val="21"/>
        </w:rPr>
      </w:pPr>
      <w:r>
        <w:rPr>
          <w:rFonts w:ascii="宋体" w:hAnsi="宋体" w:eastAsia="宋体" w:cs="宋体"/>
          <w:spacing w:val="-3"/>
          <w:sz w:val="21"/>
          <w:szCs w:val="21"/>
        </w:rPr>
        <w:t>（2）投标人的投标文件；</w:t>
      </w:r>
    </w:p>
    <w:p w14:paraId="6435F56D">
      <w:pPr>
        <w:spacing w:before="172" w:line="221" w:lineRule="auto"/>
        <w:ind w:left="447"/>
        <w:rPr>
          <w:rFonts w:ascii="宋体" w:hAnsi="宋体" w:eastAsia="宋体" w:cs="宋体"/>
          <w:sz w:val="21"/>
          <w:szCs w:val="21"/>
        </w:rPr>
      </w:pPr>
      <w:r>
        <w:rPr>
          <w:rFonts w:ascii="宋体" w:hAnsi="宋体" w:eastAsia="宋体" w:cs="宋体"/>
          <w:spacing w:val="-1"/>
          <w:sz w:val="21"/>
          <w:szCs w:val="21"/>
        </w:rPr>
        <w:t>（3）开标记录表以及二次刷卡、保证金缴纳等信息；</w:t>
      </w:r>
    </w:p>
    <w:p w14:paraId="3EABA778">
      <w:pPr>
        <w:spacing w:before="157" w:line="399" w:lineRule="exact"/>
        <w:ind w:left="447"/>
        <w:rPr>
          <w:rFonts w:ascii="宋体" w:hAnsi="宋体" w:eastAsia="宋体" w:cs="宋体"/>
          <w:sz w:val="21"/>
          <w:szCs w:val="21"/>
        </w:rPr>
      </w:pPr>
      <w:r>
        <w:rPr>
          <w:rFonts w:ascii="宋体" w:hAnsi="宋体" w:eastAsia="宋体" w:cs="宋体"/>
          <w:spacing w:val="-5"/>
          <w:position w:val="14"/>
          <w:sz w:val="21"/>
          <w:szCs w:val="21"/>
        </w:rPr>
        <w:t>（4）最高投标限价；</w:t>
      </w:r>
    </w:p>
    <w:p w14:paraId="00AE7190">
      <w:pPr>
        <w:spacing w:line="220" w:lineRule="auto"/>
        <w:ind w:left="447"/>
        <w:rPr>
          <w:rFonts w:ascii="宋体" w:hAnsi="宋体" w:eastAsia="宋体" w:cs="宋体"/>
          <w:sz w:val="21"/>
          <w:szCs w:val="21"/>
        </w:rPr>
      </w:pPr>
      <w:r>
        <w:rPr>
          <w:rFonts w:ascii="宋体" w:hAnsi="宋体" w:eastAsia="宋体" w:cs="宋体"/>
          <w:spacing w:val="-5"/>
          <w:sz w:val="21"/>
          <w:szCs w:val="21"/>
        </w:rPr>
        <w:t>（5）评标表格；</w:t>
      </w:r>
    </w:p>
    <w:p w14:paraId="51C3A9CF">
      <w:pPr>
        <w:spacing w:before="152" w:line="399" w:lineRule="exact"/>
        <w:ind w:right="5"/>
        <w:jc w:val="right"/>
        <w:rPr>
          <w:rFonts w:ascii="宋体" w:hAnsi="宋体" w:eastAsia="宋体" w:cs="宋体"/>
          <w:sz w:val="21"/>
          <w:szCs w:val="21"/>
        </w:rPr>
      </w:pPr>
      <w:r>
        <w:rPr>
          <w:rFonts w:ascii="宋体" w:hAnsi="宋体" w:eastAsia="宋体" w:cs="宋体"/>
          <w:position w:val="14"/>
          <w:sz w:val="21"/>
          <w:szCs w:val="21"/>
        </w:rPr>
        <w:t>（6）有关的法律、法规、规章、国家标准以及招标人或评标委员会认为必要的其他信</w:t>
      </w:r>
    </w:p>
    <w:p w14:paraId="4CFB288A">
      <w:pPr>
        <w:spacing w:before="1" w:line="220" w:lineRule="auto"/>
        <w:ind w:left="27"/>
        <w:rPr>
          <w:rFonts w:ascii="宋体" w:hAnsi="宋体" w:eastAsia="宋体" w:cs="宋体"/>
          <w:sz w:val="21"/>
          <w:szCs w:val="21"/>
        </w:rPr>
      </w:pPr>
      <w:r>
        <w:rPr>
          <w:rFonts w:ascii="宋体" w:hAnsi="宋体" w:eastAsia="宋体" w:cs="宋体"/>
          <w:spacing w:val="-7"/>
          <w:sz w:val="21"/>
          <w:szCs w:val="21"/>
        </w:rPr>
        <w:t>息和数据。</w:t>
      </w:r>
    </w:p>
    <w:p w14:paraId="785B323B">
      <w:pPr>
        <w:spacing w:before="148" w:line="219" w:lineRule="auto"/>
        <w:ind w:left="11"/>
        <w:rPr>
          <w:rFonts w:ascii="黑体" w:hAnsi="黑体" w:eastAsia="黑体" w:cs="黑体"/>
          <w:sz w:val="21"/>
          <w:szCs w:val="21"/>
        </w:rPr>
      </w:pPr>
      <w:r>
        <w:rPr>
          <w:rFonts w:ascii="Times New Roman" w:hAnsi="Times New Roman" w:eastAsia="Times New Roman" w:cs="Times New Roman"/>
          <w:spacing w:val="-1"/>
          <w:sz w:val="21"/>
          <w:szCs w:val="21"/>
        </w:rPr>
        <w:t xml:space="preserve">A2.4 </w:t>
      </w:r>
      <w:r>
        <w:rPr>
          <w:rFonts w:ascii="黑体" w:hAnsi="黑体" w:eastAsia="黑体" w:cs="黑体"/>
          <w:spacing w:val="-1"/>
          <w:sz w:val="21"/>
          <w:szCs w:val="21"/>
        </w:rPr>
        <w:t>暗标编号</w:t>
      </w:r>
    </w:p>
    <w:p w14:paraId="37B9FE93">
      <w:pPr>
        <w:spacing w:before="155" w:line="351" w:lineRule="auto"/>
        <w:ind w:left="18" w:right="1" w:firstLine="422"/>
        <w:jc w:val="both"/>
        <w:rPr>
          <w:rFonts w:ascii="宋体" w:hAnsi="宋体" w:eastAsia="宋体" w:cs="宋体"/>
          <w:sz w:val="21"/>
          <w:szCs w:val="21"/>
        </w:rPr>
      </w:pPr>
      <w:r>
        <w:rPr>
          <w:rFonts w:ascii="宋体" w:hAnsi="宋体" w:eastAsia="宋体" w:cs="宋体"/>
          <w:sz w:val="21"/>
          <w:szCs w:val="21"/>
        </w:rPr>
        <w:t>第二章“投标人须知”前附表第 3.7.4 款要求对技术标采用“模块化暗标”评审方式</w:t>
      </w:r>
      <w:r>
        <w:rPr>
          <w:rFonts w:ascii="宋体" w:hAnsi="宋体" w:eastAsia="宋体" w:cs="宋体"/>
          <w:spacing w:val="13"/>
          <w:sz w:val="21"/>
          <w:szCs w:val="21"/>
        </w:rPr>
        <w:t xml:space="preserve"> </w:t>
      </w:r>
      <w:r>
        <w:rPr>
          <w:rFonts w:ascii="宋体" w:hAnsi="宋体" w:eastAsia="宋体" w:cs="宋体"/>
          <w:spacing w:val="3"/>
          <w:sz w:val="21"/>
          <w:szCs w:val="21"/>
        </w:rPr>
        <w:t>且编制有模块化暗标要求的，则在评标工作开始前，就暗标模块编号与投标人的对应关系</w:t>
      </w:r>
      <w:r>
        <w:rPr>
          <w:rFonts w:ascii="宋体" w:hAnsi="宋体" w:eastAsia="宋体" w:cs="宋体"/>
          <w:sz w:val="21"/>
          <w:szCs w:val="21"/>
        </w:rPr>
        <w:t xml:space="preserve"> 使用</w:t>
      </w:r>
      <w:r>
        <w:rPr>
          <w:rFonts w:ascii="宋体" w:hAnsi="宋体" w:eastAsia="宋体" w:cs="宋体"/>
          <w:sz w:val="21"/>
          <w:szCs w:val="21"/>
          <w14:textOutline w14:w="3831" w14:cap="flat" w14:cmpd="sng">
            <w14:solidFill>
              <w14:srgbClr w14:val="000000"/>
            </w14:solidFill>
            <w14:prstDash w14:val="solid"/>
            <w14:miter w14:val="0"/>
          </w14:textOutline>
        </w:rPr>
        <w:t>附表</w:t>
      </w:r>
      <w:r>
        <w:rPr>
          <w:rFonts w:ascii="宋体" w:hAnsi="宋体" w:eastAsia="宋体" w:cs="宋体"/>
          <w:sz w:val="21"/>
          <w:szCs w:val="21"/>
        </w:rPr>
        <w:t xml:space="preserve"> </w:t>
      </w:r>
      <w:r>
        <w:rPr>
          <w:rFonts w:ascii="宋体" w:hAnsi="宋体" w:eastAsia="宋体" w:cs="宋体"/>
          <w:sz w:val="21"/>
          <w:szCs w:val="21"/>
          <w14:textOutline w14:w="3831" w14:cap="flat" w14:cmpd="sng">
            <w14:solidFill>
              <w14:srgbClr w14:val="000000"/>
            </w14:solidFill>
            <w14:prstDash w14:val="solid"/>
            <w14:miter w14:val="0"/>
          </w14:textOutline>
        </w:rPr>
        <w:t>A-3</w:t>
      </w:r>
      <w:r>
        <w:rPr>
          <w:rFonts w:ascii="宋体" w:hAnsi="宋体" w:eastAsia="宋体" w:cs="宋体"/>
          <w:sz w:val="21"/>
          <w:szCs w:val="21"/>
        </w:rPr>
        <w:t xml:space="preserve"> 做好暗标编号记录，暗标模块编号按随机方式编排。在评标委员会技术标成</w:t>
      </w:r>
      <w:r>
        <w:rPr>
          <w:rFonts w:ascii="宋体" w:hAnsi="宋体" w:eastAsia="宋体" w:cs="宋体"/>
          <w:spacing w:val="17"/>
          <w:sz w:val="21"/>
          <w:szCs w:val="21"/>
        </w:rPr>
        <w:t xml:space="preserve"> </w:t>
      </w:r>
      <w:r>
        <w:rPr>
          <w:rFonts w:ascii="宋体" w:hAnsi="宋体" w:eastAsia="宋体" w:cs="宋体"/>
          <w:spacing w:val="3"/>
          <w:sz w:val="21"/>
          <w:szCs w:val="21"/>
        </w:rPr>
        <w:t>员均完成暗标部分评审并对评审结果签字确认和汇总后，招标人方可向评标委员会公</w:t>
      </w:r>
      <w:r>
        <w:rPr>
          <w:rFonts w:ascii="宋体" w:hAnsi="宋体" w:eastAsia="宋体" w:cs="宋体"/>
          <w:spacing w:val="2"/>
          <w:sz w:val="21"/>
          <w:szCs w:val="21"/>
        </w:rPr>
        <w:t>布暗</w:t>
      </w:r>
    </w:p>
    <w:p w14:paraId="2C69FCF2">
      <w:pPr>
        <w:spacing w:before="1" w:line="220" w:lineRule="auto"/>
        <w:ind w:left="19"/>
        <w:rPr>
          <w:rFonts w:ascii="宋体" w:hAnsi="宋体" w:eastAsia="宋体" w:cs="宋体"/>
          <w:sz w:val="21"/>
          <w:szCs w:val="21"/>
        </w:rPr>
      </w:pPr>
      <w:r>
        <w:rPr>
          <w:rFonts w:ascii="宋体" w:hAnsi="宋体" w:eastAsia="宋体" w:cs="宋体"/>
          <w:spacing w:val="-2"/>
          <w:sz w:val="21"/>
          <w:szCs w:val="21"/>
        </w:rPr>
        <w:t>标编号。</w:t>
      </w:r>
    </w:p>
    <w:p w14:paraId="5DCCE77D">
      <w:pPr>
        <w:spacing w:before="148" w:line="219" w:lineRule="auto"/>
        <w:ind w:left="11"/>
        <w:rPr>
          <w:rFonts w:ascii="黑体" w:hAnsi="黑体" w:eastAsia="黑体" w:cs="黑体"/>
          <w:sz w:val="21"/>
          <w:szCs w:val="21"/>
        </w:rPr>
      </w:pPr>
      <w:r>
        <w:rPr>
          <w:rFonts w:ascii="Times New Roman" w:hAnsi="Times New Roman" w:eastAsia="Times New Roman" w:cs="Times New Roman"/>
          <w:spacing w:val="-1"/>
          <w:sz w:val="21"/>
          <w:szCs w:val="21"/>
        </w:rPr>
        <w:t xml:space="preserve">A2.5 </w:t>
      </w:r>
      <w:r>
        <w:rPr>
          <w:rFonts w:ascii="黑体" w:hAnsi="黑体" w:eastAsia="黑体" w:cs="黑体"/>
          <w:spacing w:val="-1"/>
          <w:sz w:val="21"/>
          <w:szCs w:val="21"/>
        </w:rPr>
        <w:t>对投标文件进行基础性数据分析和整理工作</w:t>
      </w:r>
    </w:p>
    <w:p w14:paraId="24D91849">
      <w:pPr>
        <w:spacing w:before="155" w:line="351" w:lineRule="auto"/>
        <w:ind w:left="18" w:right="1" w:firstLine="416"/>
        <w:jc w:val="both"/>
        <w:rPr>
          <w:rFonts w:ascii="宋体" w:hAnsi="宋体" w:eastAsia="宋体" w:cs="宋体"/>
          <w:sz w:val="21"/>
          <w:szCs w:val="21"/>
        </w:rPr>
      </w:pPr>
      <w:r>
        <w:rPr>
          <w:rFonts w:ascii="宋体" w:hAnsi="宋体" w:eastAsia="宋体" w:cs="宋体"/>
          <w:spacing w:val="1"/>
          <w:sz w:val="21"/>
          <w:szCs w:val="21"/>
        </w:rPr>
        <w:t>A2.5.1 在不改变投标人投标文件实质性</w:t>
      </w:r>
      <w:r>
        <w:rPr>
          <w:rFonts w:ascii="宋体" w:hAnsi="宋体" w:eastAsia="宋体" w:cs="宋体"/>
          <w:sz w:val="21"/>
          <w:szCs w:val="21"/>
        </w:rPr>
        <w:t xml:space="preserve">内容的前提下，评标委员会应当借助计算机辅 </w:t>
      </w:r>
      <w:r>
        <w:rPr>
          <w:rFonts w:ascii="宋体" w:hAnsi="宋体" w:eastAsia="宋体" w:cs="宋体"/>
          <w:spacing w:val="3"/>
          <w:sz w:val="21"/>
          <w:szCs w:val="21"/>
        </w:rPr>
        <w:t>助评标系统对投标文件进行基础性数据分析和整理，评标委员会对分析成果审</w:t>
      </w:r>
      <w:r>
        <w:rPr>
          <w:rFonts w:ascii="宋体" w:hAnsi="宋体" w:eastAsia="宋体" w:cs="宋体"/>
          <w:spacing w:val="2"/>
          <w:sz w:val="21"/>
          <w:szCs w:val="21"/>
        </w:rPr>
        <w:t>议后，决定</w:t>
      </w:r>
      <w:r>
        <w:rPr>
          <w:rFonts w:ascii="宋体" w:hAnsi="宋体" w:eastAsia="宋体" w:cs="宋体"/>
          <w:sz w:val="21"/>
          <w:szCs w:val="21"/>
        </w:rPr>
        <w:t xml:space="preserve"> </w:t>
      </w:r>
      <w:r>
        <w:rPr>
          <w:rFonts w:ascii="宋体" w:hAnsi="宋体" w:eastAsia="宋体" w:cs="宋体"/>
          <w:spacing w:val="3"/>
          <w:sz w:val="21"/>
          <w:szCs w:val="21"/>
        </w:rPr>
        <w:t>需要投标人进行书面澄清、说明或补正的，通过电子招标投标系统（辽宁省工程建设项目</w:t>
      </w:r>
      <w:r>
        <w:rPr>
          <w:rFonts w:ascii="宋体" w:hAnsi="宋体" w:eastAsia="宋体" w:cs="宋体"/>
          <w:sz w:val="21"/>
          <w:szCs w:val="21"/>
        </w:rPr>
        <w:t xml:space="preserve"> </w:t>
      </w:r>
      <w:r>
        <w:rPr>
          <w:rFonts w:ascii="宋体" w:hAnsi="宋体" w:eastAsia="宋体" w:cs="宋体"/>
          <w:spacing w:val="-2"/>
          <w:sz w:val="21"/>
          <w:szCs w:val="21"/>
        </w:rPr>
        <w:t>数字化开标评标系统）向投标人发出投标文件澄清通知。《投标</w:t>
      </w:r>
      <w:r>
        <w:rPr>
          <w:rFonts w:ascii="宋体" w:hAnsi="宋体" w:eastAsia="宋体" w:cs="宋体"/>
          <w:spacing w:val="-3"/>
          <w:sz w:val="21"/>
          <w:szCs w:val="21"/>
        </w:rPr>
        <w:t>文件问题澄清通知》采用投</w:t>
      </w:r>
    </w:p>
    <w:p w14:paraId="330989F2">
      <w:pPr>
        <w:spacing w:before="1" w:line="219" w:lineRule="auto"/>
        <w:ind w:left="19"/>
        <w:rPr>
          <w:rFonts w:ascii="宋体" w:hAnsi="宋体" w:eastAsia="宋体" w:cs="宋体"/>
          <w:sz w:val="21"/>
          <w:szCs w:val="21"/>
        </w:rPr>
      </w:pPr>
      <w:r>
        <w:rPr>
          <w:rFonts w:ascii="宋体" w:hAnsi="宋体" w:eastAsia="宋体" w:cs="宋体"/>
          <w:spacing w:val="-1"/>
          <w:sz w:val="21"/>
          <w:szCs w:val="21"/>
        </w:rPr>
        <w:t>标人须知附表六所提供的格式。</w:t>
      </w:r>
    </w:p>
    <w:p w14:paraId="6A9830C3">
      <w:pPr>
        <w:spacing w:before="148" w:line="352" w:lineRule="auto"/>
        <w:ind w:left="19" w:right="2" w:firstLine="415"/>
        <w:jc w:val="both"/>
        <w:rPr>
          <w:rFonts w:ascii="宋体" w:hAnsi="宋体" w:eastAsia="宋体" w:cs="宋体"/>
          <w:sz w:val="21"/>
          <w:szCs w:val="21"/>
        </w:rPr>
      </w:pPr>
      <w:r>
        <w:rPr>
          <w:rFonts w:ascii="宋体" w:hAnsi="宋体" w:eastAsia="宋体" w:cs="宋体"/>
          <w:spacing w:val="-2"/>
          <w:sz w:val="21"/>
          <w:szCs w:val="21"/>
        </w:rPr>
        <w:t>A2.5.2 投标人接到评标委员会发出的投标文件澄清通知后，</w:t>
      </w:r>
      <w:r>
        <w:rPr>
          <w:rFonts w:ascii="宋体" w:hAnsi="宋体" w:eastAsia="宋体" w:cs="宋体"/>
          <w:spacing w:val="-3"/>
          <w:sz w:val="21"/>
          <w:szCs w:val="21"/>
        </w:rPr>
        <w:t xml:space="preserve"> </w:t>
      </w:r>
      <w:r>
        <w:rPr>
          <w:rFonts w:ascii="宋体" w:hAnsi="宋体" w:eastAsia="宋体" w:cs="宋体"/>
          <w:spacing w:val="-2"/>
          <w:sz w:val="21"/>
          <w:szCs w:val="21"/>
        </w:rPr>
        <w:t>应按评标委员会的要求在</w:t>
      </w:r>
      <w:r>
        <w:rPr>
          <w:rFonts w:ascii="宋体" w:hAnsi="宋体" w:eastAsia="宋体" w:cs="宋体"/>
          <w:sz w:val="21"/>
          <w:szCs w:val="21"/>
        </w:rPr>
        <w:t xml:space="preserve"> 规定的时间内， 通过电子招标投标系统（辽宁省工程建设项目数字化开标评标系统）提交</w:t>
      </w:r>
      <w:r>
        <w:rPr>
          <w:rFonts w:ascii="宋体" w:hAnsi="宋体" w:eastAsia="宋体" w:cs="宋体"/>
          <w:spacing w:val="11"/>
          <w:sz w:val="21"/>
          <w:szCs w:val="21"/>
        </w:rPr>
        <w:t xml:space="preserve"> </w:t>
      </w:r>
      <w:r>
        <w:rPr>
          <w:rFonts w:ascii="宋体" w:hAnsi="宋体" w:eastAsia="宋体" w:cs="宋体"/>
          <w:spacing w:val="-3"/>
          <w:sz w:val="21"/>
          <w:szCs w:val="21"/>
        </w:rPr>
        <w:t>投标文件的澄清和相关资料（如有）</w:t>
      </w:r>
      <w:r>
        <w:rPr>
          <w:rFonts w:ascii="宋体" w:hAnsi="宋体" w:eastAsia="宋体" w:cs="宋体"/>
          <w:spacing w:val="-56"/>
          <w:sz w:val="21"/>
          <w:szCs w:val="21"/>
        </w:rPr>
        <w:t xml:space="preserve"> </w:t>
      </w:r>
      <w:r>
        <w:rPr>
          <w:rFonts w:ascii="宋体" w:hAnsi="宋体" w:eastAsia="宋体" w:cs="宋体"/>
          <w:spacing w:val="-3"/>
          <w:sz w:val="21"/>
          <w:szCs w:val="21"/>
        </w:rPr>
        <w:t>。《投标</w:t>
      </w:r>
      <w:r>
        <w:rPr>
          <w:rFonts w:ascii="宋体" w:hAnsi="宋体" w:eastAsia="宋体" w:cs="宋体"/>
          <w:spacing w:val="-4"/>
          <w:sz w:val="21"/>
          <w:szCs w:val="21"/>
        </w:rPr>
        <w:t>文件问题的澄清》采用投标人须知附表七所提</w:t>
      </w:r>
    </w:p>
    <w:p w14:paraId="05469C9B">
      <w:pPr>
        <w:spacing w:before="1" w:line="219" w:lineRule="auto"/>
        <w:ind w:left="18"/>
        <w:rPr>
          <w:rFonts w:ascii="宋体" w:hAnsi="宋体" w:eastAsia="宋体" w:cs="宋体"/>
          <w:sz w:val="21"/>
          <w:szCs w:val="21"/>
        </w:rPr>
      </w:pPr>
      <w:r>
        <w:rPr>
          <w:rFonts w:ascii="宋体" w:hAnsi="宋体" w:eastAsia="宋体" w:cs="宋体"/>
          <w:spacing w:val="-6"/>
          <w:sz w:val="21"/>
          <w:szCs w:val="21"/>
        </w:rPr>
        <w:t>供的格式。</w:t>
      </w:r>
    </w:p>
    <w:p w14:paraId="5B418206">
      <w:pPr>
        <w:spacing w:line="219" w:lineRule="auto"/>
        <w:rPr>
          <w:rFonts w:ascii="宋体" w:hAnsi="宋体" w:eastAsia="宋体" w:cs="宋体"/>
          <w:sz w:val="21"/>
          <w:szCs w:val="21"/>
        </w:rPr>
        <w:sectPr>
          <w:footerReference r:id="rId54" w:type="default"/>
          <w:pgSz w:w="11905" w:h="16839"/>
          <w:pgMar w:top="1431" w:right="1785" w:bottom="996" w:left="1785" w:header="0" w:footer="791" w:gutter="0"/>
          <w:pgNumType w:fmt="decimal"/>
          <w:cols w:space="720" w:num="1"/>
        </w:sectPr>
      </w:pPr>
    </w:p>
    <w:p w14:paraId="022AEF66">
      <w:pPr>
        <w:spacing w:before="124" w:line="423" w:lineRule="exact"/>
        <w:ind w:left="11"/>
        <w:rPr>
          <w:rFonts w:ascii="黑体" w:hAnsi="黑体" w:eastAsia="黑体" w:cs="黑体"/>
          <w:sz w:val="24"/>
          <w:szCs w:val="24"/>
        </w:rPr>
      </w:pPr>
      <w:bookmarkStart w:id="137" w:name="bookmark160"/>
      <w:bookmarkEnd w:id="137"/>
      <w:r>
        <w:rPr>
          <w:rFonts w:ascii="Times New Roman" w:hAnsi="Times New Roman" w:eastAsia="Times New Roman" w:cs="Times New Roman"/>
          <w:position w:val="13"/>
          <w:sz w:val="24"/>
          <w:szCs w:val="24"/>
        </w:rPr>
        <w:t>A3.</w:t>
      </w:r>
      <w:r>
        <w:rPr>
          <w:rFonts w:ascii="黑体" w:hAnsi="黑体" w:eastAsia="黑体" w:cs="黑体"/>
          <w:position w:val="13"/>
          <w:sz w:val="24"/>
          <w:szCs w:val="24"/>
        </w:rPr>
        <w:t>初步评审</w:t>
      </w:r>
    </w:p>
    <w:p w14:paraId="47C623C9">
      <w:pPr>
        <w:spacing w:line="219" w:lineRule="auto"/>
        <w:ind w:left="11"/>
        <w:rPr>
          <w:rFonts w:ascii="黑体" w:hAnsi="黑体" w:eastAsia="黑体" w:cs="黑体"/>
          <w:sz w:val="21"/>
          <w:szCs w:val="21"/>
        </w:rPr>
      </w:pPr>
      <w:r>
        <w:rPr>
          <w:rFonts w:ascii="Times New Roman" w:hAnsi="Times New Roman" w:eastAsia="Times New Roman" w:cs="Times New Roman"/>
          <w:spacing w:val="-1"/>
          <w:sz w:val="21"/>
          <w:szCs w:val="21"/>
        </w:rPr>
        <w:t xml:space="preserve">A3.1 </w:t>
      </w:r>
      <w:r>
        <w:rPr>
          <w:rFonts w:ascii="黑体" w:hAnsi="黑体" w:eastAsia="黑体" w:cs="黑体"/>
          <w:spacing w:val="-1"/>
          <w:sz w:val="21"/>
          <w:szCs w:val="21"/>
        </w:rPr>
        <w:t>形式评审</w:t>
      </w:r>
    </w:p>
    <w:p w14:paraId="77CE082B">
      <w:pPr>
        <w:spacing w:before="153" w:line="399" w:lineRule="exact"/>
        <w:ind w:right="6"/>
        <w:jc w:val="right"/>
        <w:rPr>
          <w:rFonts w:ascii="宋体" w:hAnsi="宋体" w:eastAsia="宋体" w:cs="宋体"/>
          <w:sz w:val="21"/>
          <w:szCs w:val="21"/>
        </w:rPr>
      </w:pPr>
      <w:r>
        <w:rPr>
          <w:rFonts w:ascii="宋体" w:hAnsi="宋体" w:eastAsia="宋体" w:cs="宋体"/>
          <w:position w:val="14"/>
          <w:sz w:val="21"/>
          <w:szCs w:val="21"/>
        </w:rPr>
        <w:t>评标委员会根据评标办法前附表中规定的评审因素和评审标准， 对投标人的投标文件</w:t>
      </w:r>
    </w:p>
    <w:p w14:paraId="57400F51">
      <w:pPr>
        <w:spacing w:line="219" w:lineRule="auto"/>
        <w:ind w:left="16"/>
        <w:rPr>
          <w:rFonts w:ascii="宋体" w:hAnsi="宋体" w:eastAsia="宋体" w:cs="宋体"/>
          <w:sz w:val="21"/>
          <w:szCs w:val="21"/>
        </w:rPr>
      </w:pPr>
      <w:r>
        <w:rPr>
          <w:rFonts w:ascii="宋体" w:hAnsi="宋体" w:eastAsia="宋体" w:cs="宋体"/>
          <w:spacing w:val="-2"/>
          <w:sz w:val="21"/>
          <w:szCs w:val="21"/>
        </w:rPr>
        <w:t>进行形式评审，并使用</w:t>
      </w:r>
      <w:r>
        <w:rPr>
          <w:rFonts w:ascii="宋体" w:hAnsi="宋体" w:eastAsia="宋体" w:cs="宋体"/>
          <w:spacing w:val="-2"/>
          <w:sz w:val="21"/>
          <w:szCs w:val="21"/>
          <w14:textOutline w14:w="3831" w14:cap="flat" w14:cmpd="sng">
            <w14:solidFill>
              <w14:srgbClr w14:val="000000"/>
            </w14:solidFill>
            <w14:prstDash w14:val="solid"/>
            <w14:miter w14:val="0"/>
          </w14:textOutline>
        </w:rPr>
        <w:t>附表</w:t>
      </w:r>
      <w:r>
        <w:rPr>
          <w:rFonts w:ascii="宋体" w:hAnsi="宋体" w:eastAsia="宋体" w:cs="宋体"/>
          <w:spacing w:val="-40"/>
          <w:sz w:val="21"/>
          <w:szCs w:val="21"/>
        </w:rPr>
        <w:t xml:space="preserve"> </w:t>
      </w:r>
      <w:r>
        <w:rPr>
          <w:rFonts w:ascii="宋体" w:hAnsi="宋体" w:eastAsia="宋体" w:cs="宋体"/>
          <w:spacing w:val="-2"/>
          <w:sz w:val="21"/>
          <w:szCs w:val="21"/>
          <w14:textOutline w14:w="3831" w14:cap="flat" w14:cmpd="sng">
            <w14:solidFill>
              <w14:srgbClr w14:val="000000"/>
            </w14:solidFill>
            <w14:prstDash w14:val="solid"/>
            <w14:miter w14:val="0"/>
          </w14:textOutline>
        </w:rPr>
        <w:t>A-4</w:t>
      </w:r>
      <w:r>
        <w:rPr>
          <w:rFonts w:ascii="宋体" w:hAnsi="宋体" w:eastAsia="宋体" w:cs="宋体"/>
          <w:spacing w:val="-40"/>
          <w:sz w:val="21"/>
          <w:szCs w:val="21"/>
        </w:rPr>
        <w:t xml:space="preserve"> </w:t>
      </w:r>
      <w:r>
        <w:rPr>
          <w:rFonts w:ascii="宋体" w:hAnsi="宋体" w:eastAsia="宋体" w:cs="宋体"/>
          <w:spacing w:val="-2"/>
          <w:sz w:val="21"/>
          <w:szCs w:val="21"/>
        </w:rPr>
        <w:t>记录评审结果。</w:t>
      </w:r>
    </w:p>
    <w:p w14:paraId="671B37CC">
      <w:pPr>
        <w:spacing w:before="148" w:line="220" w:lineRule="auto"/>
        <w:ind w:left="11"/>
        <w:rPr>
          <w:rFonts w:ascii="黑体" w:hAnsi="黑体" w:eastAsia="黑体" w:cs="黑体"/>
          <w:sz w:val="21"/>
          <w:szCs w:val="21"/>
        </w:rPr>
      </w:pPr>
      <w:r>
        <w:rPr>
          <w:rFonts w:ascii="Times New Roman" w:hAnsi="Times New Roman" w:eastAsia="Times New Roman" w:cs="Times New Roman"/>
          <w:spacing w:val="-1"/>
          <w:sz w:val="21"/>
          <w:szCs w:val="21"/>
        </w:rPr>
        <w:t xml:space="preserve">A3.2 </w:t>
      </w:r>
      <w:r>
        <w:rPr>
          <w:rFonts w:ascii="黑体" w:hAnsi="黑体" w:eastAsia="黑体" w:cs="黑体"/>
          <w:spacing w:val="-1"/>
          <w:sz w:val="21"/>
          <w:szCs w:val="21"/>
        </w:rPr>
        <w:t>资格评审</w:t>
      </w:r>
    </w:p>
    <w:p w14:paraId="4B623266">
      <w:pPr>
        <w:spacing w:before="154" w:line="398" w:lineRule="exact"/>
        <w:ind w:right="6"/>
        <w:jc w:val="right"/>
        <w:rPr>
          <w:rFonts w:ascii="宋体" w:hAnsi="宋体" w:eastAsia="宋体" w:cs="宋体"/>
          <w:sz w:val="21"/>
          <w:szCs w:val="21"/>
        </w:rPr>
      </w:pPr>
      <w:r>
        <w:rPr>
          <w:rFonts w:ascii="宋体" w:hAnsi="宋体" w:eastAsia="宋体" w:cs="宋体"/>
          <w:position w:val="14"/>
          <w:sz w:val="21"/>
          <w:szCs w:val="21"/>
        </w:rPr>
        <w:t>评标委员会根据评标办法前附表中规定的评审因素和评审标准， 对投标人的投标文件</w:t>
      </w:r>
    </w:p>
    <w:p w14:paraId="73FF150F">
      <w:pPr>
        <w:spacing w:before="1" w:line="219" w:lineRule="auto"/>
        <w:ind w:left="16"/>
        <w:rPr>
          <w:rFonts w:ascii="宋体" w:hAnsi="宋体" w:eastAsia="宋体" w:cs="宋体"/>
          <w:sz w:val="21"/>
          <w:szCs w:val="21"/>
        </w:rPr>
      </w:pPr>
      <w:r>
        <w:rPr>
          <w:rFonts w:ascii="宋体" w:hAnsi="宋体" w:eastAsia="宋体" w:cs="宋体"/>
          <w:spacing w:val="-2"/>
          <w:sz w:val="21"/>
          <w:szCs w:val="21"/>
        </w:rPr>
        <w:t>进行资格评审，并使用</w:t>
      </w:r>
      <w:r>
        <w:rPr>
          <w:rFonts w:ascii="宋体" w:hAnsi="宋体" w:eastAsia="宋体" w:cs="宋体"/>
          <w:spacing w:val="-2"/>
          <w:sz w:val="21"/>
          <w:szCs w:val="21"/>
          <w14:textOutline w14:w="3831" w14:cap="flat" w14:cmpd="sng">
            <w14:solidFill>
              <w14:srgbClr w14:val="000000"/>
            </w14:solidFill>
            <w14:prstDash w14:val="solid"/>
            <w14:miter w14:val="0"/>
          </w14:textOutline>
        </w:rPr>
        <w:t>附表</w:t>
      </w:r>
      <w:r>
        <w:rPr>
          <w:rFonts w:ascii="宋体" w:hAnsi="宋体" w:eastAsia="宋体" w:cs="宋体"/>
          <w:spacing w:val="-40"/>
          <w:sz w:val="21"/>
          <w:szCs w:val="21"/>
        </w:rPr>
        <w:t xml:space="preserve"> </w:t>
      </w:r>
      <w:r>
        <w:rPr>
          <w:rFonts w:ascii="宋体" w:hAnsi="宋体" w:eastAsia="宋体" w:cs="宋体"/>
          <w:spacing w:val="-2"/>
          <w:sz w:val="21"/>
          <w:szCs w:val="21"/>
          <w14:textOutline w14:w="3831" w14:cap="flat" w14:cmpd="sng">
            <w14:solidFill>
              <w14:srgbClr w14:val="000000"/>
            </w14:solidFill>
            <w14:prstDash w14:val="solid"/>
            <w14:miter w14:val="0"/>
          </w14:textOutline>
        </w:rPr>
        <w:t>A-5</w:t>
      </w:r>
      <w:r>
        <w:rPr>
          <w:rFonts w:ascii="宋体" w:hAnsi="宋体" w:eastAsia="宋体" w:cs="宋体"/>
          <w:spacing w:val="-40"/>
          <w:sz w:val="21"/>
          <w:szCs w:val="21"/>
        </w:rPr>
        <w:t xml:space="preserve"> </w:t>
      </w:r>
      <w:r>
        <w:rPr>
          <w:rFonts w:ascii="宋体" w:hAnsi="宋体" w:eastAsia="宋体" w:cs="宋体"/>
          <w:spacing w:val="-2"/>
          <w:sz w:val="21"/>
          <w:szCs w:val="21"/>
        </w:rPr>
        <w:t>记录评审结果。</w:t>
      </w:r>
    </w:p>
    <w:p w14:paraId="4D3D4E59">
      <w:pPr>
        <w:spacing w:before="148" w:line="220" w:lineRule="auto"/>
        <w:ind w:left="11"/>
        <w:rPr>
          <w:rFonts w:ascii="黑体" w:hAnsi="黑体" w:eastAsia="黑体" w:cs="黑体"/>
          <w:sz w:val="21"/>
          <w:szCs w:val="21"/>
        </w:rPr>
      </w:pPr>
      <w:r>
        <w:rPr>
          <w:rFonts w:ascii="Times New Roman" w:hAnsi="Times New Roman" w:eastAsia="Times New Roman" w:cs="Times New Roman"/>
          <w:spacing w:val="-1"/>
          <w:sz w:val="21"/>
          <w:szCs w:val="21"/>
        </w:rPr>
        <w:t xml:space="preserve">A3.3 </w:t>
      </w:r>
      <w:r>
        <w:rPr>
          <w:rFonts w:ascii="黑体" w:hAnsi="黑体" w:eastAsia="黑体" w:cs="黑体"/>
          <w:spacing w:val="-1"/>
          <w:sz w:val="21"/>
          <w:szCs w:val="21"/>
        </w:rPr>
        <w:t>响应性评审</w:t>
      </w:r>
    </w:p>
    <w:p w14:paraId="3CD1A5D6">
      <w:pPr>
        <w:spacing w:before="154" w:line="398" w:lineRule="exact"/>
        <w:ind w:right="4"/>
        <w:jc w:val="right"/>
        <w:rPr>
          <w:rFonts w:ascii="宋体" w:hAnsi="宋体" w:eastAsia="宋体" w:cs="宋体"/>
          <w:sz w:val="21"/>
          <w:szCs w:val="21"/>
        </w:rPr>
      </w:pPr>
      <w:r>
        <w:rPr>
          <w:rFonts w:ascii="宋体" w:hAnsi="宋体" w:eastAsia="宋体" w:cs="宋体"/>
          <w:position w:val="14"/>
          <w:sz w:val="21"/>
          <w:szCs w:val="21"/>
        </w:rPr>
        <w:t>A3.3.1 评标委员会根据评标办法前附表中规定的评审因素和评审标准，对投标人的投</w:t>
      </w:r>
    </w:p>
    <w:p w14:paraId="4DAAB0C7">
      <w:pPr>
        <w:spacing w:before="1" w:line="219" w:lineRule="auto"/>
        <w:ind w:left="19"/>
        <w:rPr>
          <w:rFonts w:ascii="宋体" w:hAnsi="宋体" w:eastAsia="宋体" w:cs="宋体"/>
          <w:sz w:val="21"/>
          <w:szCs w:val="21"/>
        </w:rPr>
      </w:pPr>
      <w:r>
        <w:rPr>
          <w:rFonts w:ascii="宋体" w:hAnsi="宋体" w:eastAsia="宋体" w:cs="宋体"/>
          <w:spacing w:val="-1"/>
          <w:sz w:val="21"/>
          <w:szCs w:val="21"/>
        </w:rPr>
        <w:t>标文件进行响应性评审，并使用</w:t>
      </w:r>
      <w:r>
        <w:rPr>
          <w:rFonts w:ascii="宋体" w:hAnsi="宋体" w:eastAsia="宋体" w:cs="宋体"/>
          <w:spacing w:val="-1"/>
          <w:sz w:val="21"/>
          <w:szCs w:val="21"/>
          <w14:textOutline w14:w="3831" w14:cap="flat" w14:cmpd="sng">
            <w14:solidFill>
              <w14:srgbClr w14:val="000000"/>
            </w14:solidFill>
            <w14:prstDash w14:val="solid"/>
            <w14:miter w14:val="0"/>
          </w14:textOutline>
        </w:rPr>
        <w:t>附表</w:t>
      </w:r>
      <w:r>
        <w:rPr>
          <w:rFonts w:ascii="宋体" w:hAnsi="宋体" w:eastAsia="宋体" w:cs="宋体"/>
          <w:spacing w:val="-51"/>
          <w:sz w:val="21"/>
          <w:szCs w:val="21"/>
        </w:rPr>
        <w:t xml:space="preserve"> </w:t>
      </w:r>
      <w:r>
        <w:rPr>
          <w:rFonts w:ascii="宋体" w:hAnsi="宋体" w:eastAsia="宋体" w:cs="宋体"/>
          <w:spacing w:val="-1"/>
          <w:sz w:val="21"/>
          <w:szCs w:val="21"/>
          <w14:textOutline w14:w="3831" w14:cap="flat" w14:cmpd="sng">
            <w14:solidFill>
              <w14:srgbClr w14:val="000000"/>
            </w14:solidFill>
            <w14:prstDash w14:val="solid"/>
            <w14:miter w14:val="0"/>
          </w14:textOutline>
        </w:rPr>
        <w:t>A-6</w:t>
      </w:r>
      <w:r>
        <w:rPr>
          <w:rFonts w:ascii="宋体" w:hAnsi="宋体" w:eastAsia="宋体" w:cs="宋体"/>
          <w:spacing w:val="-39"/>
          <w:sz w:val="21"/>
          <w:szCs w:val="21"/>
        </w:rPr>
        <w:t xml:space="preserve"> </w:t>
      </w:r>
      <w:r>
        <w:rPr>
          <w:rFonts w:ascii="宋体" w:hAnsi="宋体" w:eastAsia="宋体" w:cs="宋体"/>
          <w:spacing w:val="-1"/>
          <w:sz w:val="21"/>
          <w:szCs w:val="21"/>
        </w:rPr>
        <w:t>记</w:t>
      </w:r>
      <w:r>
        <w:rPr>
          <w:rFonts w:ascii="宋体" w:hAnsi="宋体" w:eastAsia="宋体" w:cs="宋体"/>
          <w:spacing w:val="-2"/>
          <w:sz w:val="21"/>
          <w:szCs w:val="21"/>
        </w:rPr>
        <w:t>录评审结果。</w:t>
      </w:r>
    </w:p>
    <w:p w14:paraId="09766AA4">
      <w:pPr>
        <w:spacing w:before="148" w:line="352" w:lineRule="auto"/>
        <w:ind w:left="22" w:right="2" w:firstLine="412"/>
        <w:rPr>
          <w:rFonts w:ascii="宋体" w:hAnsi="宋体" w:eastAsia="宋体" w:cs="宋体"/>
          <w:sz w:val="21"/>
          <w:szCs w:val="21"/>
        </w:rPr>
      </w:pPr>
      <w:r>
        <w:rPr>
          <w:rFonts w:ascii="宋体" w:hAnsi="宋体" w:eastAsia="宋体" w:cs="宋体"/>
          <w:spacing w:val="1"/>
          <w:sz w:val="21"/>
          <w:szCs w:val="21"/>
        </w:rPr>
        <w:t>A3.3.2 投标人投标价格不得超出（</w:t>
      </w:r>
      <w:r>
        <w:rPr>
          <w:rFonts w:ascii="宋体" w:hAnsi="宋体" w:eastAsia="宋体" w:cs="宋体"/>
          <w:sz w:val="21"/>
          <w:szCs w:val="21"/>
        </w:rPr>
        <w:t xml:space="preserve">不含等于）按照第二章“投标人须知”前附表载明 </w:t>
      </w:r>
      <w:r>
        <w:rPr>
          <w:rFonts w:ascii="宋体" w:hAnsi="宋体" w:eastAsia="宋体" w:cs="宋体"/>
          <w:spacing w:val="3"/>
          <w:sz w:val="21"/>
          <w:szCs w:val="21"/>
        </w:rPr>
        <w:t>的最高投标限价（投标人投标价格是指投标函中的大写报价或经投标人</w:t>
      </w:r>
      <w:r>
        <w:rPr>
          <w:rFonts w:ascii="宋体" w:hAnsi="宋体" w:eastAsia="宋体" w:cs="宋体"/>
          <w:spacing w:val="2"/>
          <w:sz w:val="21"/>
          <w:szCs w:val="21"/>
        </w:rPr>
        <w:t>确认的算术错误修</w:t>
      </w:r>
      <w:r>
        <w:rPr>
          <w:rFonts w:ascii="宋体" w:hAnsi="宋体" w:eastAsia="宋体" w:cs="宋体"/>
          <w:sz w:val="21"/>
          <w:szCs w:val="21"/>
        </w:rPr>
        <w:t xml:space="preserve"> </w:t>
      </w:r>
      <w:r>
        <w:rPr>
          <w:rFonts w:ascii="宋体" w:hAnsi="宋体" w:eastAsia="宋体" w:cs="宋体"/>
          <w:spacing w:val="-6"/>
          <w:sz w:val="21"/>
          <w:szCs w:val="21"/>
        </w:rPr>
        <w:t>正后的价格不超过本项目最高投标限价</w:t>
      </w:r>
      <w:r>
        <w:rPr>
          <w:rFonts w:ascii="宋体" w:hAnsi="宋体" w:eastAsia="宋体" w:cs="宋体"/>
          <w:spacing w:val="-14"/>
          <w:sz w:val="21"/>
          <w:szCs w:val="21"/>
        </w:rPr>
        <w:t>），</w:t>
      </w:r>
      <w:r>
        <w:rPr>
          <w:rFonts w:ascii="宋体" w:hAnsi="宋体" w:eastAsia="宋体" w:cs="宋体"/>
          <w:spacing w:val="-6"/>
          <w:sz w:val="21"/>
          <w:szCs w:val="21"/>
        </w:rPr>
        <w:t>凡投标人的投标价格超出最高投标限价的，</w:t>
      </w:r>
      <w:r>
        <w:rPr>
          <w:rFonts w:ascii="宋体" w:hAnsi="宋体" w:eastAsia="宋体" w:cs="宋体"/>
          <w:spacing w:val="55"/>
          <w:sz w:val="21"/>
          <w:szCs w:val="21"/>
        </w:rPr>
        <w:t xml:space="preserve"> </w:t>
      </w:r>
      <w:r>
        <w:rPr>
          <w:rFonts w:ascii="宋体" w:hAnsi="宋体" w:eastAsia="宋体" w:cs="宋体"/>
          <w:spacing w:val="-6"/>
          <w:sz w:val="21"/>
          <w:szCs w:val="21"/>
        </w:rPr>
        <w:t>该投</w:t>
      </w:r>
    </w:p>
    <w:p w14:paraId="495F7F31">
      <w:pPr>
        <w:spacing w:line="220" w:lineRule="auto"/>
        <w:ind w:left="19"/>
        <w:rPr>
          <w:rFonts w:ascii="宋体" w:hAnsi="宋体" w:eastAsia="宋体" w:cs="宋体"/>
          <w:sz w:val="21"/>
          <w:szCs w:val="21"/>
        </w:rPr>
      </w:pPr>
      <w:r>
        <w:rPr>
          <w:rFonts w:ascii="宋体" w:hAnsi="宋体" w:eastAsia="宋体" w:cs="宋体"/>
          <w:spacing w:val="-2"/>
          <w:sz w:val="21"/>
          <w:szCs w:val="21"/>
        </w:rPr>
        <w:t>标人的投标文件不能通过响应性评审。</w:t>
      </w:r>
    </w:p>
    <w:p w14:paraId="123E8751">
      <w:pPr>
        <w:spacing w:before="152" w:line="220" w:lineRule="auto"/>
        <w:ind w:left="11"/>
        <w:rPr>
          <w:rFonts w:ascii="黑体" w:hAnsi="黑体" w:eastAsia="黑体" w:cs="黑体"/>
          <w:sz w:val="21"/>
          <w:szCs w:val="21"/>
        </w:rPr>
      </w:pPr>
      <w:r>
        <w:rPr>
          <w:rFonts w:ascii="Times New Roman" w:hAnsi="Times New Roman" w:eastAsia="Times New Roman" w:cs="Times New Roman"/>
          <w:spacing w:val="-1"/>
          <w:sz w:val="21"/>
          <w:szCs w:val="21"/>
        </w:rPr>
        <w:t xml:space="preserve">A3.4 </w:t>
      </w:r>
      <w:r>
        <w:rPr>
          <w:rFonts w:ascii="黑体" w:hAnsi="黑体" w:eastAsia="黑体" w:cs="黑体"/>
          <w:spacing w:val="-1"/>
          <w:sz w:val="21"/>
          <w:szCs w:val="21"/>
        </w:rPr>
        <w:t>算术错误修正</w:t>
      </w:r>
    </w:p>
    <w:p w14:paraId="29381957">
      <w:pPr>
        <w:spacing w:before="148" w:line="353" w:lineRule="auto"/>
        <w:ind w:left="35" w:right="6" w:firstLine="404"/>
        <w:jc w:val="both"/>
        <w:rPr>
          <w:rFonts w:ascii="宋体" w:hAnsi="宋体" w:eastAsia="宋体" w:cs="宋体"/>
          <w:sz w:val="21"/>
          <w:szCs w:val="21"/>
        </w:rPr>
      </w:pPr>
      <w:r>
        <w:rPr>
          <w:rFonts w:ascii="宋体" w:hAnsi="宋体" w:eastAsia="宋体" w:cs="宋体"/>
          <w:sz w:val="21"/>
          <w:szCs w:val="21"/>
        </w:rPr>
        <w:t>评标委员会依据本章中规定的相关原则对投标报价中存在的算术错误进行修正， 修正</w:t>
      </w:r>
      <w:r>
        <w:rPr>
          <w:rFonts w:ascii="宋体" w:hAnsi="宋体" w:eastAsia="宋体" w:cs="宋体"/>
          <w:spacing w:val="9"/>
          <w:sz w:val="21"/>
          <w:szCs w:val="21"/>
        </w:rPr>
        <w:t xml:space="preserve"> </w:t>
      </w:r>
      <w:r>
        <w:rPr>
          <w:rFonts w:ascii="宋体" w:hAnsi="宋体" w:eastAsia="宋体" w:cs="宋体"/>
          <w:spacing w:val="2"/>
          <w:sz w:val="21"/>
          <w:szCs w:val="21"/>
        </w:rPr>
        <w:t>的价格经投标人书面确认后具有约束力。投标人不接受修正价格的，或者修正后的投标价</w:t>
      </w:r>
    </w:p>
    <w:p w14:paraId="24B8ADF5">
      <w:pPr>
        <w:spacing w:line="219" w:lineRule="auto"/>
        <w:ind w:left="18"/>
        <w:rPr>
          <w:rFonts w:ascii="宋体" w:hAnsi="宋体" w:eastAsia="宋体" w:cs="宋体"/>
          <w:sz w:val="21"/>
          <w:szCs w:val="21"/>
        </w:rPr>
      </w:pPr>
      <w:r>
        <w:rPr>
          <w:rFonts w:ascii="宋体" w:hAnsi="宋体" w:eastAsia="宋体" w:cs="宋体"/>
          <w:spacing w:val="-4"/>
          <w:sz w:val="21"/>
          <w:szCs w:val="21"/>
        </w:rPr>
        <w:t>格超过最高投标限价的（如有</w:t>
      </w:r>
      <w:r>
        <w:rPr>
          <w:rFonts w:ascii="宋体" w:hAnsi="宋体" w:eastAsia="宋体" w:cs="宋体"/>
          <w:spacing w:val="-12"/>
          <w:sz w:val="21"/>
          <w:szCs w:val="21"/>
        </w:rPr>
        <w:t>），</w:t>
      </w:r>
      <w:r>
        <w:rPr>
          <w:rFonts w:ascii="宋体" w:hAnsi="宋体" w:eastAsia="宋体" w:cs="宋体"/>
          <w:spacing w:val="-4"/>
          <w:sz w:val="21"/>
          <w:szCs w:val="21"/>
        </w:rPr>
        <w:t>其投标应当被否决。</w:t>
      </w:r>
    </w:p>
    <w:p w14:paraId="585621B8">
      <w:pPr>
        <w:spacing w:before="149" w:line="220" w:lineRule="auto"/>
        <w:ind w:left="11"/>
        <w:rPr>
          <w:rFonts w:ascii="黑体" w:hAnsi="黑体" w:eastAsia="黑体" w:cs="黑体"/>
          <w:sz w:val="21"/>
          <w:szCs w:val="21"/>
        </w:rPr>
      </w:pPr>
      <w:r>
        <w:rPr>
          <w:rFonts w:ascii="Times New Roman" w:hAnsi="Times New Roman" w:eastAsia="Times New Roman" w:cs="Times New Roman"/>
          <w:spacing w:val="-1"/>
          <w:sz w:val="21"/>
          <w:szCs w:val="21"/>
        </w:rPr>
        <w:t xml:space="preserve">A3.5 </w:t>
      </w:r>
      <w:r>
        <w:rPr>
          <w:rFonts w:ascii="黑体" w:hAnsi="黑体" w:eastAsia="黑体" w:cs="黑体"/>
          <w:spacing w:val="-1"/>
          <w:sz w:val="21"/>
          <w:szCs w:val="21"/>
        </w:rPr>
        <w:t>判断投标报价是否低于成本</w:t>
      </w:r>
    </w:p>
    <w:p w14:paraId="7A83EDA9">
      <w:pPr>
        <w:spacing w:before="147" w:line="353" w:lineRule="auto"/>
        <w:ind w:left="21" w:right="2" w:firstLine="419"/>
        <w:jc w:val="both"/>
        <w:rPr>
          <w:rFonts w:ascii="宋体" w:hAnsi="宋体" w:eastAsia="宋体" w:cs="宋体"/>
          <w:sz w:val="21"/>
          <w:szCs w:val="21"/>
        </w:rPr>
      </w:pPr>
      <w:r>
        <w:rPr>
          <w:rFonts w:ascii="宋体" w:hAnsi="宋体" w:eastAsia="宋体" w:cs="宋体"/>
          <w:spacing w:val="-2"/>
          <w:sz w:val="21"/>
          <w:szCs w:val="21"/>
        </w:rPr>
        <w:t>根据本章第 3.1.4 项的规定， 评标委员会根据评审程序、标准和方</w:t>
      </w:r>
      <w:r>
        <w:rPr>
          <w:rFonts w:ascii="宋体" w:hAnsi="宋体" w:eastAsia="宋体" w:cs="宋体"/>
          <w:spacing w:val="-3"/>
          <w:sz w:val="21"/>
          <w:szCs w:val="21"/>
        </w:rPr>
        <w:t>法，判断投标报价</w:t>
      </w:r>
      <w:r>
        <w:rPr>
          <w:rFonts w:ascii="宋体" w:hAnsi="宋体" w:eastAsia="宋体" w:cs="宋体"/>
          <w:sz w:val="21"/>
          <w:szCs w:val="21"/>
        </w:rPr>
        <w:t xml:space="preserve"> </w:t>
      </w:r>
      <w:r>
        <w:rPr>
          <w:rFonts w:ascii="宋体" w:hAnsi="宋体" w:eastAsia="宋体" w:cs="宋体"/>
          <w:spacing w:val="3"/>
          <w:sz w:val="21"/>
          <w:szCs w:val="21"/>
        </w:rPr>
        <w:t>是否低于其成本。评标委员会认定投标人以低于成本竞标的，其投标</w:t>
      </w:r>
      <w:r>
        <w:rPr>
          <w:rFonts w:ascii="宋体" w:hAnsi="宋体" w:eastAsia="宋体" w:cs="宋体"/>
          <w:spacing w:val="2"/>
          <w:sz w:val="21"/>
          <w:szCs w:val="21"/>
        </w:rPr>
        <w:t>应当被否决。并使用</w:t>
      </w:r>
    </w:p>
    <w:p w14:paraId="6AE6B000">
      <w:pPr>
        <w:spacing w:before="1" w:line="219" w:lineRule="auto"/>
        <w:ind w:left="34"/>
        <w:rPr>
          <w:rFonts w:ascii="宋体" w:hAnsi="宋体" w:eastAsia="宋体" w:cs="宋体"/>
          <w:sz w:val="21"/>
          <w:szCs w:val="21"/>
        </w:rPr>
      </w:pPr>
      <w:r>
        <w:rPr>
          <w:rFonts w:ascii="宋体" w:hAnsi="宋体" w:eastAsia="宋体" w:cs="宋体"/>
          <w:spacing w:val="-4"/>
          <w:sz w:val="21"/>
          <w:szCs w:val="21"/>
          <w14:textOutline w14:w="3831" w14:cap="flat" w14:cmpd="sng">
            <w14:solidFill>
              <w14:srgbClr w14:val="000000"/>
            </w14:solidFill>
            <w14:prstDash w14:val="solid"/>
            <w14:miter w14:val="0"/>
          </w14:textOutline>
        </w:rPr>
        <w:t>附表</w:t>
      </w:r>
      <w:r>
        <w:rPr>
          <w:rFonts w:ascii="宋体" w:hAnsi="宋体" w:eastAsia="宋体" w:cs="宋体"/>
          <w:spacing w:val="-36"/>
          <w:sz w:val="21"/>
          <w:szCs w:val="21"/>
        </w:rPr>
        <w:t xml:space="preserve"> </w:t>
      </w:r>
      <w:r>
        <w:rPr>
          <w:rFonts w:ascii="宋体" w:hAnsi="宋体" w:eastAsia="宋体" w:cs="宋体"/>
          <w:spacing w:val="-4"/>
          <w:sz w:val="21"/>
          <w:szCs w:val="21"/>
          <w14:textOutline w14:w="3831" w14:cap="flat" w14:cmpd="sng">
            <w14:solidFill>
              <w14:srgbClr w14:val="000000"/>
            </w14:solidFill>
            <w14:prstDash w14:val="solid"/>
            <w14:miter w14:val="0"/>
          </w14:textOutline>
        </w:rPr>
        <w:t>C-1</w:t>
      </w:r>
      <w:r>
        <w:rPr>
          <w:rFonts w:ascii="宋体" w:hAnsi="宋体" w:eastAsia="宋体" w:cs="宋体"/>
          <w:spacing w:val="-40"/>
          <w:sz w:val="21"/>
          <w:szCs w:val="21"/>
        </w:rPr>
        <w:t xml:space="preserve"> </w:t>
      </w:r>
      <w:r>
        <w:rPr>
          <w:rFonts w:ascii="宋体" w:hAnsi="宋体" w:eastAsia="宋体" w:cs="宋体"/>
          <w:spacing w:val="-4"/>
          <w:sz w:val="21"/>
          <w:szCs w:val="21"/>
        </w:rPr>
        <w:t>记录评审结果</w:t>
      </w:r>
    </w:p>
    <w:p w14:paraId="24F5818C">
      <w:pPr>
        <w:spacing w:before="148" w:line="221" w:lineRule="auto"/>
        <w:ind w:left="11"/>
        <w:rPr>
          <w:rFonts w:ascii="黑体" w:hAnsi="黑体" w:eastAsia="黑体" w:cs="黑体"/>
          <w:sz w:val="21"/>
          <w:szCs w:val="21"/>
        </w:rPr>
      </w:pPr>
      <w:r>
        <w:rPr>
          <w:rFonts w:ascii="Times New Roman" w:hAnsi="Times New Roman" w:eastAsia="Times New Roman" w:cs="Times New Roman"/>
          <w:sz w:val="21"/>
          <w:szCs w:val="21"/>
        </w:rPr>
        <w:t xml:space="preserve">A3.6 </w:t>
      </w:r>
      <w:r>
        <w:rPr>
          <w:rFonts w:ascii="黑体" w:hAnsi="黑体" w:eastAsia="黑体" w:cs="黑体"/>
          <w:sz w:val="21"/>
          <w:szCs w:val="21"/>
        </w:rPr>
        <w:t>判断投标是否为应当被否决</w:t>
      </w:r>
    </w:p>
    <w:p w14:paraId="235F13E0">
      <w:pPr>
        <w:spacing w:before="152" w:line="399" w:lineRule="exact"/>
        <w:ind w:right="1"/>
        <w:jc w:val="right"/>
        <w:rPr>
          <w:rFonts w:ascii="宋体" w:hAnsi="宋体" w:eastAsia="宋体" w:cs="宋体"/>
          <w:sz w:val="21"/>
          <w:szCs w:val="21"/>
        </w:rPr>
      </w:pPr>
      <w:r>
        <w:rPr>
          <w:rFonts w:ascii="宋体" w:hAnsi="宋体" w:eastAsia="宋体" w:cs="宋体"/>
          <w:spacing w:val="3"/>
          <w:position w:val="14"/>
          <w:sz w:val="21"/>
          <w:szCs w:val="21"/>
        </w:rPr>
        <w:t>A3.6.1判断投标人的投标是否应当被否决的全部条件（包括本章第3.1</w:t>
      </w:r>
      <w:r>
        <w:rPr>
          <w:rFonts w:ascii="宋体" w:hAnsi="宋体" w:eastAsia="宋体" w:cs="宋体"/>
          <w:spacing w:val="2"/>
          <w:position w:val="14"/>
          <w:sz w:val="21"/>
          <w:szCs w:val="21"/>
        </w:rPr>
        <w:t>.2项、第3.1.3</w:t>
      </w:r>
    </w:p>
    <w:p w14:paraId="5C26C1C0">
      <w:pPr>
        <w:spacing w:before="1" w:line="219" w:lineRule="auto"/>
        <w:ind w:left="21"/>
        <w:rPr>
          <w:rFonts w:ascii="宋体" w:hAnsi="宋体" w:eastAsia="宋体" w:cs="宋体"/>
          <w:sz w:val="21"/>
          <w:szCs w:val="21"/>
        </w:rPr>
      </w:pPr>
      <w:r>
        <w:rPr>
          <w:rFonts w:ascii="宋体" w:hAnsi="宋体" w:eastAsia="宋体" w:cs="宋体"/>
          <w:spacing w:val="-1"/>
          <w:sz w:val="21"/>
          <w:szCs w:val="21"/>
        </w:rPr>
        <w:t>项中规定的条件</w:t>
      </w:r>
      <w:r>
        <w:rPr>
          <w:rFonts w:ascii="宋体" w:hAnsi="宋体" w:eastAsia="宋体" w:cs="宋体"/>
          <w:spacing w:val="-53"/>
          <w:sz w:val="21"/>
          <w:szCs w:val="21"/>
        </w:rPr>
        <w:t>），</w:t>
      </w:r>
      <w:r>
        <w:rPr>
          <w:rFonts w:ascii="宋体" w:hAnsi="宋体" w:eastAsia="宋体" w:cs="宋体"/>
          <w:spacing w:val="-1"/>
          <w:sz w:val="21"/>
          <w:szCs w:val="21"/>
        </w:rPr>
        <w:t>在本章前附表中集中列示。并使用</w:t>
      </w:r>
      <w:r>
        <w:rPr>
          <w:rFonts w:ascii="宋体" w:hAnsi="宋体" w:eastAsia="宋体" w:cs="宋体"/>
          <w:spacing w:val="-1"/>
          <w:sz w:val="21"/>
          <w:szCs w:val="21"/>
          <w14:textOutline w14:w="3831" w14:cap="flat" w14:cmpd="sng">
            <w14:solidFill>
              <w14:srgbClr w14:val="000000"/>
            </w14:solidFill>
            <w14:prstDash w14:val="solid"/>
            <w14:miter w14:val="0"/>
          </w14:textOutline>
        </w:rPr>
        <w:t>附表</w:t>
      </w:r>
      <w:r>
        <w:rPr>
          <w:rFonts w:ascii="宋体" w:hAnsi="宋体" w:eastAsia="宋体" w:cs="宋体"/>
          <w:spacing w:val="-49"/>
          <w:sz w:val="21"/>
          <w:szCs w:val="21"/>
        </w:rPr>
        <w:t xml:space="preserve"> </w:t>
      </w:r>
      <w:r>
        <w:rPr>
          <w:rFonts w:ascii="宋体" w:hAnsi="宋体" w:eastAsia="宋体" w:cs="宋体"/>
          <w:spacing w:val="-1"/>
          <w:sz w:val="21"/>
          <w:szCs w:val="21"/>
          <w14:textOutline w14:w="3831" w14:cap="flat" w14:cmpd="sng">
            <w14:solidFill>
              <w14:srgbClr w14:val="000000"/>
            </w14:solidFill>
            <w14:prstDash w14:val="solid"/>
            <w14:miter w14:val="0"/>
          </w14:textOutline>
        </w:rPr>
        <w:t>A-9</w:t>
      </w:r>
      <w:r>
        <w:rPr>
          <w:rFonts w:ascii="宋体" w:hAnsi="宋体" w:eastAsia="宋体" w:cs="宋体"/>
          <w:spacing w:val="-44"/>
          <w:sz w:val="21"/>
          <w:szCs w:val="21"/>
        </w:rPr>
        <w:t xml:space="preserve"> </w:t>
      </w:r>
      <w:r>
        <w:rPr>
          <w:rFonts w:ascii="宋体" w:hAnsi="宋体" w:eastAsia="宋体" w:cs="宋体"/>
          <w:spacing w:val="-1"/>
          <w:sz w:val="21"/>
          <w:szCs w:val="21"/>
        </w:rPr>
        <w:t>记录评审结果。</w:t>
      </w:r>
    </w:p>
    <w:p w14:paraId="3C483F13">
      <w:pPr>
        <w:spacing w:before="149" w:line="352" w:lineRule="auto"/>
        <w:ind w:left="34" w:right="3" w:firstLine="399"/>
        <w:rPr>
          <w:rFonts w:ascii="宋体" w:hAnsi="宋体" w:eastAsia="宋体" w:cs="宋体"/>
          <w:sz w:val="21"/>
          <w:szCs w:val="21"/>
        </w:rPr>
      </w:pPr>
      <w:r>
        <w:rPr>
          <w:rFonts w:ascii="宋体" w:hAnsi="宋体" w:eastAsia="宋体" w:cs="宋体"/>
          <w:spacing w:val="-1"/>
          <w:sz w:val="21"/>
          <w:szCs w:val="21"/>
        </w:rPr>
        <w:t>A3.6.2</w:t>
      </w:r>
      <w:r>
        <w:rPr>
          <w:rFonts w:ascii="宋体" w:hAnsi="宋体" w:eastAsia="宋体" w:cs="宋体"/>
          <w:spacing w:val="-2"/>
          <w:sz w:val="21"/>
          <w:szCs w:val="21"/>
        </w:rPr>
        <w:t xml:space="preserve"> </w:t>
      </w:r>
      <w:r>
        <w:rPr>
          <w:rFonts w:ascii="宋体" w:hAnsi="宋体" w:eastAsia="宋体" w:cs="宋体"/>
          <w:spacing w:val="-1"/>
          <w:sz w:val="21"/>
          <w:szCs w:val="21"/>
        </w:rPr>
        <w:t>本章</w:t>
      </w:r>
      <w:r>
        <w:rPr>
          <w:rFonts w:ascii="宋体" w:hAnsi="宋体" w:eastAsia="宋体" w:cs="宋体"/>
          <w:spacing w:val="-1"/>
          <w:sz w:val="21"/>
          <w:szCs w:val="21"/>
          <w14:textOutline w14:w="3831" w14:cap="flat" w14:cmpd="sng">
            <w14:solidFill>
              <w14:srgbClr w14:val="000000"/>
            </w14:solidFill>
            <w14:prstDash w14:val="solid"/>
            <w14:miter w14:val="0"/>
          </w14:textOutline>
        </w:rPr>
        <w:t>附件</w:t>
      </w:r>
      <w:r>
        <w:rPr>
          <w:rFonts w:ascii="宋体" w:hAnsi="宋体" w:eastAsia="宋体" w:cs="宋体"/>
          <w:spacing w:val="-25"/>
          <w:sz w:val="21"/>
          <w:szCs w:val="21"/>
        </w:rPr>
        <w:t xml:space="preserve"> </w:t>
      </w:r>
      <w:r>
        <w:rPr>
          <w:rFonts w:ascii="宋体" w:hAnsi="宋体" w:eastAsia="宋体" w:cs="宋体"/>
          <w:spacing w:val="-1"/>
          <w:sz w:val="21"/>
          <w:szCs w:val="21"/>
          <w14:textOutline w14:w="3831" w14:cap="flat" w14:cmpd="sng">
            <w14:solidFill>
              <w14:srgbClr w14:val="000000"/>
            </w14:solidFill>
            <w14:prstDash w14:val="solid"/>
            <w14:miter w14:val="0"/>
          </w14:textOutline>
        </w:rPr>
        <w:t>B</w:t>
      </w:r>
      <w:r>
        <w:rPr>
          <w:rFonts w:ascii="宋体" w:hAnsi="宋体" w:eastAsia="宋体" w:cs="宋体"/>
          <w:spacing w:val="-20"/>
          <w:sz w:val="21"/>
          <w:szCs w:val="21"/>
        </w:rPr>
        <w:t xml:space="preserve"> </w:t>
      </w:r>
      <w:r>
        <w:rPr>
          <w:rFonts w:ascii="宋体" w:hAnsi="宋体" w:eastAsia="宋体" w:cs="宋体"/>
          <w:spacing w:val="-1"/>
          <w:sz w:val="21"/>
          <w:szCs w:val="21"/>
        </w:rPr>
        <w:t>集中列示的否决投标的条件不应与第二章“投标人须知”和本章前</w:t>
      </w:r>
      <w:r>
        <w:rPr>
          <w:rFonts w:ascii="宋体" w:hAnsi="宋体" w:eastAsia="宋体" w:cs="宋体"/>
          <w:sz w:val="21"/>
          <w:szCs w:val="21"/>
        </w:rPr>
        <w:t xml:space="preserve"> 附表和正文部分包括的否决投标的条件抵触， 如果出现相互矛盾的情况，</w:t>
      </w:r>
      <w:r>
        <w:rPr>
          <w:rFonts w:ascii="宋体" w:hAnsi="宋体" w:eastAsia="宋体" w:cs="宋体"/>
          <w:spacing w:val="-1"/>
          <w:sz w:val="21"/>
          <w:szCs w:val="21"/>
        </w:rPr>
        <w:t>以本章前附表和</w:t>
      </w:r>
    </w:p>
    <w:p w14:paraId="47224975">
      <w:pPr>
        <w:spacing w:before="1" w:line="220" w:lineRule="auto"/>
        <w:ind w:left="22"/>
        <w:rPr>
          <w:rFonts w:ascii="宋体" w:hAnsi="宋体" w:eastAsia="宋体" w:cs="宋体"/>
          <w:sz w:val="21"/>
          <w:szCs w:val="21"/>
        </w:rPr>
      </w:pPr>
      <w:r>
        <w:rPr>
          <w:rFonts w:ascii="宋体" w:hAnsi="宋体" w:eastAsia="宋体" w:cs="宋体"/>
          <w:spacing w:val="-1"/>
          <w:sz w:val="21"/>
          <w:szCs w:val="21"/>
        </w:rPr>
        <w:t>正文部分的规定为准。</w:t>
      </w:r>
    </w:p>
    <w:p w14:paraId="08D6BE63">
      <w:pPr>
        <w:spacing w:before="147" w:line="404" w:lineRule="exact"/>
        <w:ind w:right="2"/>
        <w:jc w:val="right"/>
        <w:rPr>
          <w:rFonts w:ascii="宋体" w:hAnsi="宋体" w:eastAsia="宋体" w:cs="宋体"/>
          <w:sz w:val="21"/>
          <w:szCs w:val="21"/>
        </w:rPr>
      </w:pPr>
      <w:r>
        <w:rPr>
          <w:rFonts w:ascii="宋体" w:hAnsi="宋体" w:eastAsia="宋体" w:cs="宋体"/>
          <w:spacing w:val="1"/>
          <w:position w:val="14"/>
          <w:sz w:val="21"/>
          <w:szCs w:val="21"/>
        </w:rPr>
        <w:t>A3.6.3 评标委员会在评标（包括初步</w:t>
      </w:r>
      <w:r>
        <w:rPr>
          <w:rFonts w:ascii="宋体" w:hAnsi="宋体" w:eastAsia="宋体" w:cs="宋体"/>
          <w:position w:val="14"/>
          <w:sz w:val="21"/>
          <w:szCs w:val="21"/>
        </w:rPr>
        <w:t>评审和详细评审）过程中，依据本章前附表和正</w:t>
      </w:r>
    </w:p>
    <w:p w14:paraId="6D59C638">
      <w:pPr>
        <w:spacing w:before="1" w:line="220" w:lineRule="auto"/>
        <w:ind w:left="20"/>
        <w:rPr>
          <w:rFonts w:ascii="宋体" w:hAnsi="宋体" w:eastAsia="宋体" w:cs="宋体"/>
          <w:sz w:val="21"/>
          <w:szCs w:val="21"/>
        </w:rPr>
      </w:pPr>
      <w:r>
        <w:rPr>
          <w:rFonts w:ascii="宋体" w:hAnsi="宋体" w:eastAsia="宋体" w:cs="宋体"/>
          <w:spacing w:val="-1"/>
          <w:sz w:val="21"/>
          <w:szCs w:val="21"/>
        </w:rPr>
        <w:t>文部分中规定的否决投标的条件判断投标人的投标是否为应当被否决。</w:t>
      </w:r>
    </w:p>
    <w:p w14:paraId="4B90D1EA">
      <w:pPr>
        <w:spacing w:before="147" w:line="219" w:lineRule="auto"/>
        <w:ind w:left="11"/>
        <w:rPr>
          <w:rFonts w:ascii="黑体" w:hAnsi="黑体" w:eastAsia="黑体" w:cs="黑体"/>
          <w:sz w:val="21"/>
          <w:szCs w:val="21"/>
        </w:rPr>
      </w:pPr>
      <w:r>
        <w:rPr>
          <w:rFonts w:ascii="Times New Roman" w:hAnsi="Times New Roman" w:eastAsia="Times New Roman" w:cs="Times New Roman"/>
          <w:sz w:val="21"/>
          <w:szCs w:val="21"/>
        </w:rPr>
        <w:t xml:space="preserve">A3.7 </w:t>
      </w:r>
      <w:r>
        <w:rPr>
          <w:rFonts w:ascii="黑体" w:hAnsi="黑体" w:eastAsia="黑体" w:cs="黑体"/>
          <w:sz w:val="21"/>
          <w:szCs w:val="21"/>
        </w:rPr>
        <w:t>澄清、说明或补正</w:t>
      </w:r>
    </w:p>
    <w:p w14:paraId="10228DBB">
      <w:pPr>
        <w:spacing w:before="150" w:line="352" w:lineRule="auto"/>
        <w:ind w:left="18" w:right="3" w:firstLine="422"/>
        <w:jc w:val="both"/>
        <w:rPr>
          <w:rFonts w:ascii="宋体" w:hAnsi="宋体" w:eastAsia="宋体" w:cs="宋体"/>
          <w:sz w:val="21"/>
          <w:szCs w:val="21"/>
        </w:rPr>
      </w:pPr>
      <w:r>
        <w:rPr>
          <w:rFonts w:ascii="宋体" w:hAnsi="宋体" w:eastAsia="宋体" w:cs="宋体"/>
          <w:spacing w:val="3"/>
          <w:sz w:val="21"/>
          <w:szCs w:val="21"/>
        </w:rPr>
        <w:t>在初步评审过程中，评标委员会应当就投标文件中含义不明确、对同类问题表述不一</w:t>
      </w:r>
      <w:r>
        <w:rPr>
          <w:rFonts w:ascii="宋体" w:hAnsi="宋体" w:eastAsia="宋体" w:cs="宋体"/>
          <w:spacing w:val="7"/>
          <w:sz w:val="21"/>
          <w:szCs w:val="21"/>
        </w:rPr>
        <w:t xml:space="preserve"> </w:t>
      </w:r>
      <w:r>
        <w:rPr>
          <w:rFonts w:ascii="宋体" w:hAnsi="宋体" w:eastAsia="宋体" w:cs="宋体"/>
          <w:spacing w:val="3"/>
          <w:sz w:val="21"/>
          <w:szCs w:val="21"/>
        </w:rPr>
        <w:t>致或者有明显文字和计算错误的内容要求投标人进行澄清、说明或者补正。投标人</w:t>
      </w:r>
      <w:r>
        <w:rPr>
          <w:rFonts w:ascii="宋体" w:hAnsi="宋体" w:eastAsia="宋体" w:cs="宋体"/>
          <w:spacing w:val="2"/>
          <w:sz w:val="21"/>
          <w:szCs w:val="21"/>
        </w:rPr>
        <w:t>对此以</w:t>
      </w:r>
    </w:p>
    <w:p w14:paraId="4F3BDBFE">
      <w:pPr>
        <w:spacing w:before="1" w:line="219" w:lineRule="auto"/>
        <w:jc w:val="right"/>
        <w:rPr>
          <w:rFonts w:ascii="宋体" w:hAnsi="宋体" w:eastAsia="宋体" w:cs="宋体"/>
          <w:sz w:val="21"/>
          <w:szCs w:val="21"/>
        </w:rPr>
      </w:pPr>
      <w:r>
        <w:rPr>
          <w:rFonts w:ascii="宋体" w:hAnsi="宋体" w:eastAsia="宋体" w:cs="宋体"/>
          <w:spacing w:val="-5"/>
          <w:sz w:val="21"/>
          <w:szCs w:val="21"/>
        </w:rPr>
        <w:t>书面形式予以澄清、说明或者补正。澄清、说明或补正根据本章第</w:t>
      </w:r>
      <w:r>
        <w:rPr>
          <w:rFonts w:ascii="宋体" w:hAnsi="宋体" w:eastAsia="宋体" w:cs="宋体"/>
          <w:spacing w:val="-22"/>
          <w:sz w:val="21"/>
          <w:szCs w:val="21"/>
        </w:rPr>
        <w:t xml:space="preserve"> </w:t>
      </w:r>
      <w:r>
        <w:rPr>
          <w:rFonts w:ascii="宋体" w:hAnsi="宋体" w:eastAsia="宋体" w:cs="宋体"/>
          <w:spacing w:val="-5"/>
          <w:sz w:val="21"/>
          <w:szCs w:val="21"/>
        </w:rPr>
        <w:t>3.3</w:t>
      </w:r>
      <w:r>
        <w:rPr>
          <w:rFonts w:ascii="宋体" w:hAnsi="宋体" w:eastAsia="宋体" w:cs="宋体"/>
          <w:spacing w:val="-33"/>
          <w:sz w:val="21"/>
          <w:szCs w:val="21"/>
        </w:rPr>
        <w:t xml:space="preserve"> </w:t>
      </w:r>
      <w:r>
        <w:rPr>
          <w:rFonts w:ascii="宋体" w:hAnsi="宋体" w:eastAsia="宋体" w:cs="宋体"/>
          <w:spacing w:val="-5"/>
          <w:sz w:val="21"/>
          <w:szCs w:val="21"/>
        </w:rPr>
        <w:t>款的规定执行。</w:t>
      </w:r>
      <w:r>
        <w:rPr>
          <w:rFonts w:ascii="宋体" w:hAnsi="宋体" w:eastAsia="宋体" w:cs="宋体"/>
          <w:spacing w:val="-56"/>
          <w:sz w:val="21"/>
          <w:szCs w:val="21"/>
        </w:rPr>
        <w:t xml:space="preserve"> </w:t>
      </w:r>
      <w:r>
        <w:rPr>
          <w:rFonts w:ascii="宋体" w:hAnsi="宋体" w:eastAsia="宋体" w:cs="宋体"/>
          <w:spacing w:val="-5"/>
          <w:sz w:val="21"/>
          <w:szCs w:val="21"/>
        </w:rPr>
        <w:t>《投</w:t>
      </w:r>
    </w:p>
    <w:p w14:paraId="738771BD">
      <w:pPr>
        <w:spacing w:line="219" w:lineRule="auto"/>
        <w:rPr>
          <w:rFonts w:ascii="宋体" w:hAnsi="宋体" w:eastAsia="宋体" w:cs="宋体"/>
          <w:sz w:val="21"/>
          <w:szCs w:val="21"/>
        </w:rPr>
        <w:sectPr>
          <w:footerReference r:id="rId55" w:type="default"/>
          <w:pgSz w:w="11905" w:h="16839"/>
          <w:pgMar w:top="1431" w:right="1785" w:bottom="992" w:left="1785" w:header="0" w:footer="791" w:gutter="0"/>
          <w:pgNumType w:fmt="decimal"/>
          <w:cols w:space="720" w:num="1"/>
        </w:sectPr>
      </w:pPr>
    </w:p>
    <w:p w14:paraId="08B21EE3">
      <w:pPr>
        <w:spacing w:before="150" w:line="352" w:lineRule="auto"/>
        <w:ind w:left="17" w:firstLine="1"/>
        <w:jc w:val="both"/>
        <w:rPr>
          <w:rFonts w:ascii="宋体" w:hAnsi="宋体" w:eastAsia="宋体" w:cs="宋体"/>
          <w:sz w:val="21"/>
          <w:szCs w:val="21"/>
        </w:rPr>
      </w:pPr>
      <w:r>
        <w:rPr>
          <w:rFonts w:ascii="宋体" w:hAnsi="宋体" w:eastAsia="宋体" w:cs="宋体"/>
          <w:spacing w:val="1"/>
          <w:sz w:val="21"/>
          <w:szCs w:val="21"/>
        </w:rPr>
        <w:t>标文件问题澄清通知》</w:t>
      </w:r>
      <w:r>
        <w:rPr>
          <w:rFonts w:ascii="宋体" w:hAnsi="宋体" w:eastAsia="宋体" w:cs="宋体"/>
          <w:spacing w:val="-30"/>
          <w:sz w:val="21"/>
          <w:szCs w:val="21"/>
        </w:rPr>
        <w:t xml:space="preserve"> </w:t>
      </w:r>
      <w:r>
        <w:rPr>
          <w:rFonts w:ascii="宋体" w:hAnsi="宋体" w:eastAsia="宋体" w:cs="宋体"/>
          <w:spacing w:val="1"/>
          <w:sz w:val="21"/>
          <w:szCs w:val="21"/>
        </w:rPr>
        <w:t>及《投标文件问题的澄清》采用投标人须知附表六与投标人须知附</w:t>
      </w:r>
      <w:r>
        <w:rPr>
          <w:rFonts w:ascii="宋体" w:hAnsi="宋体" w:eastAsia="宋体" w:cs="宋体"/>
          <w:sz w:val="21"/>
          <w:szCs w:val="21"/>
        </w:rPr>
        <w:t xml:space="preserve">   </w:t>
      </w:r>
      <w:r>
        <w:rPr>
          <w:rFonts w:ascii="宋体" w:hAnsi="宋体" w:eastAsia="宋体" w:cs="宋体"/>
          <w:spacing w:val="3"/>
          <w:sz w:val="21"/>
          <w:szCs w:val="21"/>
        </w:rPr>
        <w:t>表七所提供的格式，并通过电子招标投标系统（辽</w:t>
      </w:r>
      <w:r>
        <w:rPr>
          <w:rFonts w:ascii="宋体" w:hAnsi="宋体" w:eastAsia="宋体" w:cs="宋体"/>
          <w:spacing w:val="2"/>
          <w:sz w:val="21"/>
          <w:szCs w:val="21"/>
        </w:rPr>
        <w:t>宁省工程建设项目数字化开标评标系统）</w:t>
      </w:r>
    </w:p>
    <w:p w14:paraId="7BF6E09D">
      <w:pPr>
        <w:spacing w:line="219" w:lineRule="auto"/>
        <w:ind w:left="42"/>
        <w:rPr>
          <w:rFonts w:ascii="宋体" w:hAnsi="宋体" w:eastAsia="宋体" w:cs="宋体"/>
          <w:sz w:val="21"/>
          <w:szCs w:val="21"/>
        </w:rPr>
      </w:pPr>
      <w:r>
        <w:rPr>
          <w:rFonts w:ascii="宋体" w:hAnsi="宋体" w:eastAsia="宋体" w:cs="宋体"/>
          <w:spacing w:val="-6"/>
          <w:sz w:val="21"/>
          <w:szCs w:val="21"/>
        </w:rPr>
        <w:t>以书面形式进行。</w:t>
      </w:r>
    </w:p>
    <w:p w14:paraId="76978B00">
      <w:pPr>
        <w:spacing w:before="123" w:line="219" w:lineRule="auto"/>
        <w:ind w:left="11"/>
        <w:rPr>
          <w:rFonts w:ascii="黑体" w:hAnsi="黑体" w:eastAsia="黑体" w:cs="黑体"/>
          <w:sz w:val="24"/>
          <w:szCs w:val="24"/>
        </w:rPr>
      </w:pPr>
      <w:r>
        <w:rPr>
          <w:rFonts w:ascii="Times New Roman" w:hAnsi="Times New Roman" w:eastAsia="Times New Roman" w:cs="Times New Roman"/>
          <w:sz w:val="24"/>
          <w:szCs w:val="24"/>
        </w:rPr>
        <w:t>A4.</w:t>
      </w:r>
      <w:r>
        <w:rPr>
          <w:rFonts w:ascii="黑体" w:hAnsi="黑体" w:eastAsia="黑体" w:cs="黑体"/>
          <w:sz w:val="24"/>
          <w:szCs w:val="24"/>
        </w:rPr>
        <w:t>详细评审</w:t>
      </w:r>
    </w:p>
    <w:p w14:paraId="247B2A77">
      <w:pPr>
        <w:spacing w:before="138" w:line="403" w:lineRule="exact"/>
        <w:ind w:left="453"/>
        <w:rPr>
          <w:rFonts w:ascii="宋体" w:hAnsi="宋体" w:eastAsia="宋体" w:cs="宋体"/>
          <w:sz w:val="21"/>
          <w:szCs w:val="21"/>
        </w:rPr>
      </w:pPr>
      <w:r>
        <w:rPr>
          <w:rFonts w:ascii="宋体" w:hAnsi="宋体" w:eastAsia="宋体" w:cs="宋体"/>
          <w:spacing w:val="3"/>
          <w:position w:val="14"/>
          <w:sz w:val="21"/>
          <w:szCs w:val="21"/>
        </w:rPr>
        <w:t>只有通过了初步评审、被判定为合格的投标方可进入详细评审。初步评审通过后</w:t>
      </w:r>
      <w:r>
        <w:rPr>
          <w:rFonts w:ascii="宋体" w:hAnsi="宋体" w:eastAsia="宋体" w:cs="宋体"/>
          <w:spacing w:val="2"/>
          <w:position w:val="14"/>
          <w:sz w:val="21"/>
          <w:szCs w:val="21"/>
        </w:rPr>
        <w:t>，使</w:t>
      </w:r>
    </w:p>
    <w:p w14:paraId="2262577B">
      <w:pPr>
        <w:spacing w:before="1" w:line="219" w:lineRule="auto"/>
        <w:ind w:left="20"/>
        <w:rPr>
          <w:rFonts w:ascii="黑体" w:hAnsi="黑体" w:eastAsia="黑体" w:cs="黑体"/>
          <w:sz w:val="21"/>
          <w:szCs w:val="21"/>
        </w:rPr>
      </w:pPr>
      <w:r>
        <w:rPr>
          <w:rFonts w:ascii="宋体" w:hAnsi="宋体" w:eastAsia="宋体" w:cs="宋体"/>
          <w:spacing w:val="-1"/>
          <w:sz w:val="21"/>
          <w:szCs w:val="21"/>
        </w:rPr>
        <w:t>用</w:t>
      </w:r>
      <w:r>
        <w:rPr>
          <w:rFonts w:ascii="宋体" w:hAnsi="宋体" w:eastAsia="宋体" w:cs="宋体"/>
          <w:spacing w:val="-1"/>
          <w:sz w:val="21"/>
          <w:szCs w:val="21"/>
          <w14:textOutline w14:w="3831" w14:cap="flat" w14:cmpd="sng">
            <w14:solidFill>
              <w14:srgbClr w14:val="000000"/>
            </w14:solidFill>
            <w14:prstDash w14:val="solid"/>
            <w14:miter w14:val="0"/>
          </w14:textOutline>
        </w:rPr>
        <w:t>附表</w:t>
      </w:r>
      <w:r>
        <w:rPr>
          <w:rFonts w:ascii="宋体" w:hAnsi="宋体" w:eastAsia="宋体" w:cs="宋体"/>
          <w:spacing w:val="-45"/>
          <w:sz w:val="21"/>
          <w:szCs w:val="21"/>
        </w:rPr>
        <w:t xml:space="preserve"> </w:t>
      </w:r>
      <w:r>
        <w:rPr>
          <w:rFonts w:ascii="宋体" w:hAnsi="宋体" w:eastAsia="宋体" w:cs="宋体"/>
          <w:spacing w:val="-1"/>
          <w:sz w:val="21"/>
          <w:szCs w:val="21"/>
          <w14:textOutline w14:w="3831" w14:cap="flat" w14:cmpd="sng">
            <w14:solidFill>
              <w14:srgbClr w14:val="000000"/>
            </w14:solidFill>
            <w14:prstDash w14:val="solid"/>
            <w14:miter w14:val="0"/>
          </w14:textOutline>
        </w:rPr>
        <w:t>A-8</w:t>
      </w:r>
      <w:r>
        <w:rPr>
          <w:rFonts w:ascii="宋体" w:hAnsi="宋体" w:eastAsia="宋体" w:cs="宋体"/>
          <w:spacing w:val="-45"/>
          <w:sz w:val="21"/>
          <w:szCs w:val="21"/>
        </w:rPr>
        <w:t xml:space="preserve"> </w:t>
      </w:r>
      <w:r>
        <w:rPr>
          <w:rFonts w:ascii="宋体" w:hAnsi="宋体" w:eastAsia="宋体" w:cs="宋体"/>
          <w:spacing w:val="-1"/>
          <w:sz w:val="21"/>
          <w:szCs w:val="21"/>
        </w:rPr>
        <w:t>记录初步评审结果</w:t>
      </w:r>
      <w:r>
        <w:rPr>
          <w:rFonts w:ascii="黑体" w:hAnsi="黑体" w:eastAsia="黑体" w:cs="黑体"/>
          <w:spacing w:val="-1"/>
          <w:sz w:val="21"/>
          <w:szCs w:val="21"/>
        </w:rPr>
        <w:t>。</w:t>
      </w:r>
    </w:p>
    <w:p w14:paraId="57D00A2C">
      <w:pPr>
        <w:spacing w:before="149" w:line="220" w:lineRule="auto"/>
        <w:ind w:left="11"/>
        <w:rPr>
          <w:rFonts w:ascii="黑体" w:hAnsi="黑体" w:eastAsia="黑体" w:cs="黑体"/>
          <w:sz w:val="21"/>
          <w:szCs w:val="21"/>
        </w:rPr>
      </w:pPr>
      <w:r>
        <w:rPr>
          <w:rFonts w:ascii="Times New Roman" w:hAnsi="Times New Roman" w:eastAsia="Times New Roman" w:cs="Times New Roman"/>
          <w:spacing w:val="-1"/>
          <w:sz w:val="21"/>
          <w:szCs w:val="21"/>
        </w:rPr>
        <w:t xml:space="preserve">A4.1 </w:t>
      </w:r>
      <w:r>
        <w:rPr>
          <w:rFonts w:ascii="黑体" w:hAnsi="黑体" w:eastAsia="黑体" w:cs="黑体"/>
          <w:spacing w:val="-1"/>
          <w:sz w:val="21"/>
          <w:szCs w:val="21"/>
        </w:rPr>
        <w:t>详细评审的程序</w:t>
      </w:r>
    </w:p>
    <w:p w14:paraId="74B28013">
      <w:pPr>
        <w:spacing w:before="148" w:line="403" w:lineRule="exact"/>
        <w:ind w:left="440"/>
        <w:rPr>
          <w:rFonts w:ascii="宋体" w:hAnsi="宋体" w:eastAsia="宋体" w:cs="宋体"/>
          <w:sz w:val="21"/>
          <w:szCs w:val="21"/>
        </w:rPr>
      </w:pPr>
      <w:r>
        <w:rPr>
          <w:rFonts w:ascii="宋体" w:hAnsi="宋体" w:eastAsia="宋体" w:cs="宋体"/>
          <w:spacing w:val="-2"/>
          <w:position w:val="14"/>
          <w:sz w:val="21"/>
          <w:szCs w:val="21"/>
        </w:rPr>
        <w:t>评标委员会按照本章第</w:t>
      </w:r>
      <w:r>
        <w:rPr>
          <w:rFonts w:ascii="宋体" w:hAnsi="宋体" w:eastAsia="宋体" w:cs="宋体"/>
          <w:spacing w:val="-39"/>
          <w:position w:val="14"/>
          <w:sz w:val="21"/>
          <w:szCs w:val="21"/>
        </w:rPr>
        <w:t xml:space="preserve"> </w:t>
      </w:r>
      <w:r>
        <w:rPr>
          <w:rFonts w:ascii="宋体" w:hAnsi="宋体" w:eastAsia="宋体" w:cs="宋体"/>
          <w:spacing w:val="-2"/>
          <w:position w:val="14"/>
          <w:sz w:val="21"/>
          <w:szCs w:val="21"/>
        </w:rPr>
        <w:t>3.2</w:t>
      </w:r>
      <w:r>
        <w:rPr>
          <w:rFonts w:ascii="宋体" w:hAnsi="宋体" w:eastAsia="宋体" w:cs="宋体"/>
          <w:spacing w:val="-43"/>
          <w:position w:val="14"/>
          <w:sz w:val="21"/>
          <w:szCs w:val="21"/>
        </w:rPr>
        <w:t xml:space="preserve"> </w:t>
      </w:r>
      <w:r>
        <w:rPr>
          <w:rFonts w:ascii="宋体" w:hAnsi="宋体" w:eastAsia="宋体" w:cs="宋体"/>
          <w:spacing w:val="-2"/>
          <w:position w:val="14"/>
          <w:sz w:val="21"/>
          <w:szCs w:val="21"/>
        </w:rPr>
        <w:t>款中规定的程序</w:t>
      </w:r>
      <w:r>
        <w:rPr>
          <w:rFonts w:ascii="宋体" w:hAnsi="宋体" w:eastAsia="宋体" w:cs="宋体"/>
          <w:spacing w:val="-3"/>
          <w:position w:val="14"/>
          <w:sz w:val="21"/>
          <w:szCs w:val="21"/>
        </w:rPr>
        <w:t>进行详细评审：</w:t>
      </w:r>
    </w:p>
    <w:p w14:paraId="5B1EE1C3">
      <w:pPr>
        <w:spacing w:before="1" w:line="221" w:lineRule="auto"/>
        <w:ind w:left="447"/>
        <w:rPr>
          <w:rFonts w:ascii="宋体" w:hAnsi="宋体" w:eastAsia="宋体" w:cs="宋体"/>
          <w:sz w:val="21"/>
          <w:szCs w:val="21"/>
        </w:rPr>
      </w:pPr>
      <w:r>
        <w:rPr>
          <w:rFonts w:ascii="宋体" w:hAnsi="宋体" w:eastAsia="宋体" w:cs="宋体"/>
          <w:spacing w:val="-3"/>
          <w:sz w:val="21"/>
          <w:szCs w:val="21"/>
        </w:rPr>
        <w:t>（1）经济标评审和评分；</w:t>
      </w:r>
    </w:p>
    <w:p w14:paraId="120B1A58">
      <w:pPr>
        <w:spacing w:before="146" w:line="221" w:lineRule="auto"/>
        <w:ind w:left="447"/>
        <w:rPr>
          <w:rFonts w:ascii="宋体" w:hAnsi="宋体" w:eastAsia="宋体" w:cs="宋体"/>
          <w:sz w:val="21"/>
          <w:szCs w:val="21"/>
        </w:rPr>
      </w:pPr>
      <w:r>
        <w:rPr>
          <w:rFonts w:ascii="宋体" w:hAnsi="宋体" w:eastAsia="宋体" w:cs="宋体"/>
          <w:spacing w:val="-3"/>
          <w:sz w:val="21"/>
          <w:szCs w:val="21"/>
        </w:rPr>
        <w:t>（2）技术标评审和评分；</w:t>
      </w:r>
    </w:p>
    <w:p w14:paraId="3C61FFC8">
      <w:pPr>
        <w:spacing w:before="147" w:line="221" w:lineRule="auto"/>
        <w:ind w:left="447"/>
        <w:rPr>
          <w:rFonts w:ascii="宋体" w:hAnsi="宋体" w:eastAsia="宋体" w:cs="宋体"/>
          <w:sz w:val="21"/>
          <w:szCs w:val="21"/>
        </w:rPr>
      </w:pPr>
      <w:r>
        <w:rPr>
          <w:rFonts w:ascii="宋体" w:hAnsi="宋体" w:eastAsia="宋体" w:cs="宋体"/>
          <w:spacing w:val="-3"/>
          <w:sz w:val="21"/>
          <w:szCs w:val="21"/>
        </w:rPr>
        <w:t>（3）资信标评审和评分；</w:t>
      </w:r>
    </w:p>
    <w:p w14:paraId="02C1BD39">
      <w:pPr>
        <w:spacing w:before="152" w:line="399" w:lineRule="exact"/>
        <w:ind w:left="447"/>
        <w:rPr>
          <w:rFonts w:ascii="宋体" w:hAnsi="宋体" w:eastAsia="宋体" w:cs="宋体"/>
          <w:sz w:val="21"/>
          <w:szCs w:val="21"/>
        </w:rPr>
      </w:pPr>
      <w:r>
        <w:rPr>
          <w:rFonts w:ascii="宋体" w:hAnsi="宋体" w:eastAsia="宋体" w:cs="宋体"/>
          <w:spacing w:val="-1"/>
          <w:position w:val="14"/>
          <w:sz w:val="21"/>
          <w:szCs w:val="21"/>
        </w:rPr>
        <w:t>（4）其他因素评审和评分；</w:t>
      </w:r>
    </w:p>
    <w:p w14:paraId="69902C55">
      <w:pPr>
        <w:spacing w:before="1" w:line="221" w:lineRule="auto"/>
        <w:ind w:left="447"/>
        <w:rPr>
          <w:rFonts w:ascii="宋体" w:hAnsi="宋体" w:eastAsia="宋体" w:cs="宋体"/>
          <w:sz w:val="21"/>
          <w:szCs w:val="21"/>
        </w:rPr>
      </w:pPr>
      <w:r>
        <w:rPr>
          <w:rFonts w:ascii="宋体" w:hAnsi="宋体" w:eastAsia="宋体" w:cs="宋体"/>
          <w:spacing w:val="-4"/>
          <w:sz w:val="21"/>
          <w:szCs w:val="21"/>
        </w:rPr>
        <w:t>（5）汇总评分结果。</w:t>
      </w:r>
    </w:p>
    <w:p w14:paraId="56ED3779">
      <w:pPr>
        <w:spacing w:before="146" w:line="220" w:lineRule="auto"/>
        <w:ind w:left="11"/>
        <w:rPr>
          <w:rFonts w:ascii="黑体" w:hAnsi="黑体" w:eastAsia="黑体" w:cs="黑体"/>
          <w:sz w:val="21"/>
          <w:szCs w:val="21"/>
        </w:rPr>
      </w:pPr>
      <w:r>
        <w:rPr>
          <w:rFonts w:ascii="Times New Roman" w:hAnsi="Times New Roman" w:eastAsia="Times New Roman" w:cs="Times New Roman"/>
          <w:spacing w:val="-1"/>
          <w:sz w:val="21"/>
          <w:szCs w:val="21"/>
        </w:rPr>
        <w:t xml:space="preserve">A4.2 </w:t>
      </w:r>
      <w:r>
        <w:rPr>
          <w:rFonts w:ascii="黑体" w:hAnsi="黑体" w:eastAsia="黑体" w:cs="黑体"/>
          <w:spacing w:val="-1"/>
          <w:sz w:val="21"/>
          <w:szCs w:val="21"/>
        </w:rPr>
        <w:t>经济标评审和评分</w:t>
      </w:r>
    </w:p>
    <w:p w14:paraId="3B7C9534">
      <w:pPr>
        <w:spacing w:before="153" w:line="399" w:lineRule="exact"/>
        <w:ind w:left="434"/>
        <w:rPr>
          <w:rFonts w:ascii="宋体" w:hAnsi="宋体" w:eastAsia="宋体" w:cs="宋体"/>
          <w:sz w:val="21"/>
          <w:szCs w:val="21"/>
        </w:rPr>
      </w:pPr>
      <w:r>
        <w:rPr>
          <w:rFonts w:ascii="宋体" w:hAnsi="宋体" w:eastAsia="宋体" w:cs="宋体"/>
          <w:position w:val="14"/>
          <w:sz w:val="21"/>
          <w:szCs w:val="21"/>
        </w:rPr>
        <w:t>A4.2.1</w:t>
      </w:r>
      <w:r>
        <w:rPr>
          <w:rFonts w:ascii="宋体" w:hAnsi="宋体" w:eastAsia="宋体" w:cs="宋体"/>
          <w:spacing w:val="-42"/>
          <w:position w:val="14"/>
          <w:sz w:val="21"/>
          <w:szCs w:val="21"/>
        </w:rPr>
        <w:t xml:space="preserve"> </w:t>
      </w:r>
      <w:r>
        <w:rPr>
          <w:rFonts w:ascii="宋体" w:hAnsi="宋体" w:eastAsia="宋体" w:cs="宋体"/>
          <w:position w:val="14"/>
          <w:sz w:val="21"/>
          <w:szCs w:val="21"/>
        </w:rPr>
        <w:t>按照评标办法前附表中规定的方法计算</w:t>
      </w:r>
      <w:r>
        <w:rPr>
          <w:rFonts w:ascii="宋体" w:hAnsi="宋体" w:eastAsia="宋体" w:cs="宋体"/>
          <w:spacing w:val="-1"/>
          <w:position w:val="14"/>
          <w:sz w:val="21"/>
          <w:szCs w:val="21"/>
        </w:rPr>
        <w:t>各投标人的“评标价”。</w:t>
      </w:r>
    </w:p>
    <w:p w14:paraId="18D18E0E">
      <w:pPr>
        <w:spacing w:line="219" w:lineRule="auto"/>
        <w:ind w:left="434"/>
        <w:rPr>
          <w:rFonts w:ascii="宋体" w:hAnsi="宋体" w:eastAsia="宋体" w:cs="宋体"/>
          <w:sz w:val="21"/>
          <w:szCs w:val="21"/>
        </w:rPr>
      </w:pPr>
      <w:r>
        <w:rPr>
          <w:rFonts w:ascii="宋体" w:hAnsi="宋体" w:eastAsia="宋体" w:cs="宋体"/>
          <w:sz w:val="21"/>
          <w:szCs w:val="21"/>
        </w:rPr>
        <w:t>A4.2.2</w:t>
      </w:r>
      <w:r>
        <w:rPr>
          <w:rFonts w:ascii="宋体" w:hAnsi="宋体" w:eastAsia="宋体" w:cs="宋体"/>
          <w:spacing w:val="-42"/>
          <w:sz w:val="21"/>
          <w:szCs w:val="21"/>
        </w:rPr>
        <w:t xml:space="preserve"> </w:t>
      </w:r>
      <w:r>
        <w:rPr>
          <w:rFonts w:ascii="宋体" w:hAnsi="宋体" w:eastAsia="宋体" w:cs="宋体"/>
          <w:sz w:val="21"/>
          <w:szCs w:val="21"/>
        </w:rPr>
        <w:t>按照评标办法前附表中规定的方法计</w:t>
      </w:r>
      <w:r>
        <w:rPr>
          <w:rFonts w:ascii="宋体" w:hAnsi="宋体" w:eastAsia="宋体" w:cs="宋体"/>
          <w:spacing w:val="-1"/>
          <w:sz w:val="21"/>
          <w:szCs w:val="21"/>
        </w:rPr>
        <w:t>算“评标基准价”。</w:t>
      </w:r>
    </w:p>
    <w:p w14:paraId="1B562E3D">
      <w:pPr>
        <w:spacing w:before="149" w:line="404" w:lineRule="exact"/>
        <w:ind w:left="434"/>
        <w:rPr>
          <w:rFonts w:ascii="宋体" w:hAnsi="宋体" w:eastAsia="宋体" w:cs="宋体"/>
          <w:sz w:val="21"/>
          <w:szCs w:val="21"/>
        </w:rPr>
      </w:pPr>
      <w:r>
        <w:rPr>
          <w:rFonts w:ascii="宋体" w:hAnsi="宋体" w:eastAsia="宋体" w:cs="宋体"/>
          <w:spacing w:val="1"/>
          <w:position w:val="14"/>
          <w:sz w:val="21"/>
          <w:szCs w:val="21"/>
        </w:rPr>
        <w:t>A4.2.3 按照评标办法前附表中规定</w:t>
      </w:r>
      <w:r>
        <w:rPr>
          <w:rFonts w:ascii="宋体" w:hAnsi="宋体" w:eastAsia="宋体" w:cs="宋体"/>
          <w:position w:val="14"/>
          <w:sz w:val="21"/>
          <w:szCs w:val="21"/>
        </w:rPr>
        <w:t>的方法，计算各个已通过了初步评审的投标报价的</w:t>
      </w:r>
    </w:p>
    <w:p w14:paraId="430D9444">
      <w:pPr>
        <w:spacing w:line="220" w:lineRule="auto"/>
        <w:ind w:left="4"/>
        <w:rPr>
          <w:rFonts w:ascii="宋体" w:hAnsi="宋体" w:eastAsia="宋体" w:cs="宋体"/>
          <w:sz w:val="21"/>
          <w:szCs w:val="21"/>
        </w:rPr>
      </w:pPr>
      <w:r>
        <w:rPr>
          <w:rFonts w:ascii="宋体" w:hAnsi="宋体" w:eastAsia="宋体" w:cs="宋体"/>
          <w:spacing w:val="1"/>
          <w:sz w:val="21"/>
          <w:szCs w:val="21"/>
        </w:rPr>
        <w:t>“偏差率”。</w:t>
      </w:r>
    </w:p>
    <w:p w14:paraId="0ECB0A19">
      <w:pPr>
        <w:spacing w:before="148" w:line="398" w:lineRule="exact"/>
        <w:ind w:left="434"/>
        <w:rPr>
          <w:rFonts w:ascii="宋体" w:hAnsi="宋体" w:eastAsia="宋体" w:cs="宋体"/>
          <w:sz w:val="21"/>
          <w:szCs w:val="21"/>
        </w:rPr>
      </w:pPr>
      <w:r>
        <w:rPr>
          <w:rFonts w:ascii="宋体" w:hAnsi="宋体" w:eastAsia="宋体" w:cs="宋体"/>
          <w:spacing w:val="-3"/>
          <w:position w:val="14"/>
          <w:sz w:val="21"/>
          <w:szCs w:val="21"/>
        </w:rPr>
        <w:t>A4.2.4 按照评标办法前附表中规定的评分标准</w:t>
      </w:r>
      <w:r>
        <w:rPr>
          <w:rFonts w:ascii="宋体" w:hAnsi="宋体" w:eastAsia="宋体" w:cs="宋体"/>
          <w:spacing w:val="-4"/>
          <w:position w:val="14"/>
          <w:sz w:val="21"/>
          <w:szCs w:val="21"/>
        </w:rPr>
        <w:t>，对照投标报价的偏差率，</w:t>
      </w:r>
      <w:r>
        <w:rPr>
          <w:rFonts w:ascii="宋体" w:hAnsi="宋体" w:eastAsia="宋体" w:cs="宋体"/>
          <w:spacing w:val="53"/>
          <w:position w:val="14"/>
          <w:sz w:val="21"/>
          <w:szCs w:val="21"/>
        </w:rPr>
        <w:t xml:space="preserve"> </w:t>
      </w:r>
      <w:r>
        <w:rPr>
          <w:rFonts w:ascii="宋体" w:hAnsi="宋体" w:eastAsia="宋体" w:cs="宋体"/>
          <w:spacing w:val="-4"/>
          <w:position w:val="14"/>
          <w:sz w:val="21"/>
          <w:szCs w:val="21"/>
        </w:rPr>
        <w:t>分别对各个</w:t>
      </w:r>
    </w:p>
    <w:p w14:paraId="35CFB5A0">
      <w:pPr>
        <w:spacing w:line="219" w:lineRule="auto"/>
        <w:ind w:left="20"/>
        <w:rPr>
          <w:rFonts w:ascii="宋体" w:hAnsi="宋体" w:eastAsia="宋体" w:cs="宋体"/>
          <w:sz w:val="21"/>
          <w:szCs w:val="21"/>
        </w:rPr>
      </w:pPr>
      <w:r>
        <w:rPr>
          <w:rFonts w:ascii="宋体" w:hAnsi="宋体" w:eastAsia="宋体" w:cs="宋体"/>
          <w:spacing w:val="-7"/>
          <w:sz w:val="21"/>
          <w:szCs w:val="21"/>
        </w:rPr>
        <w:t>投标报价进行评分， 使用</w:t>
      </w:r>
      <w:r>
        <w:rPr>
          <w:rFonts w:ascii="宋体" w:hAnsi="宋体" w:eastAsia="宋体" w:cs="宋体"/>
          <w:spacing w:val="-7"/>
          <w:sz w:val="21"/>
          <w:szCs w:val="21"/>
          <w14:textOutline w14:w="3831" w14:cap="flat" w14:cmpd="sng">
            <w14:solidFill>
              <w14:srgbClr w14:val="000000"/>
            </w14:solidFill>
            <w14:prstDash w14:val="solid"/>
            <w14:miter w14:val="0"/>
          </w14:textOutline>
        </w:rPr>
        <w:t>附表</w:t>
      </w:r>
      <w:r>
        <w:rPr>
          <w:rFonts w:ascii="宋体" w:hAnsi="宋体" w:eastAsia="宋体" w:cs="宋体"/>
          <w:spacing w:val="-48"/>
          <w:sz w:val="21"/>
          <w:szCs w:val="21"/>
        </w:rPr>
        <w:t xml:space="preserve"> </w:t>
      </w:r>
      <w:r>
        <w:rPr>
          <w:rFonts w:ascii="宋体" w:hAnsi="宋体" w:eastAsia="宋体" w:cs="宋体"/>
          <w:spacing w:val="-7"/>
          <w:sz w:val="21"/>
          <w:szCs w:val="21"/>
          <w14:textOutline w14:w="3831" w14:cap="flat" w14:cmpd="sng">
            <w14:solidFill>
              <w14:srgbClr w14:val="000000"/>
            </w14:solidFill>
            <w14:prstDash w14:val="solid"/>
            <w14:miter w14:val="0"/>
          </w14:textOutline>
        </w:rPr>
        <w:t>A-10</w:t>
      </w:r>
      <w:r>
        <w:rPr>
          <w:rFonts w:ascii="宋体" w:hAnsi="宋体" w:eastAsia="宋体" w:cs="宋体"/>
          <w:spacing w:val="-40"/>
          <w:sz w:val="21"/>
          <w:szCs w:val="21"/>
        </w:rPr>
        <w:t xml:space="preserve"> </w:t>
      </w:r>
      <w:r>
        <w:rPr>
          <w:rFonts w:ascii="宋体" w:hAnsi="宋体" w:eastAsia="宋体" w:cs="宋体"/>
          <w:spacing w:val="-7"/>
          <w:sz w:val="21"/>
          <w:szCs w:val="21"/>
        </w:rPr>
        <w:t>记录对经济标的评分结果，</w:t>
      </w:r>
      <w:r>
        <w:rPr>
          <w:rFonts w:ascii="宋体" w:hAnsi="宋体" w:eastAsia="宋体" w:cs="宋体"/>
          <w:spacing w:val="53"/>
          <w:sz w:val="21"/>
          <w:szCs w:val="21"/>
        </w:rPr>
        <w:t xml:space="preserve"> </w:t>
      </w:r>
      <w:r>
        <w:rPr>
          <w:rFonts w:ascii="宋体" w:hAnsi="宋体" w:eastAsia="宋体" w:cs="宋体"/>
          <w:spacing w:val="-7"/>
          <w:sz w:val="21"/>
          <w:szCs w:val="21"/>
        </w:rPr>
        <w:t>经济标的得分记录为</w:t>
      </w:r>
      <w:r>
        <w:rPr>
          <w:rFonts w:ascii="宋体" w:hAnsi="宋体" w:eastAsia="宋体" w:cs="宋体"/>
          <w:spacing w:val="-53"/>
          <w:sz w:val="21"/>
          <w:szCs w:val="21"/>
        </w:rPr>
        <w:t xml:space="preserve"> </w:t>
      </w:r>
      <w:r>
        <w:rPr>
          <w:rFonts w:ascii="宋体" w:hAnsi="宋体" w:eastAsia="宋体" w:cs="宋体"/>
          <w:spacing w:val="-7"/>
          <w:sz w:val="21"/>
          <w:szCs w:val="21"/>
          <w14:textOutline w14:w="3831" w14:cap="flat" w14:cmpd="sng">
            <w14:solidFill>
              <w14:srgbClr w14:val="000000"/>
            </w14:solidFill>
            <w14:prstDash w14:val="solid"/>
            <w14:miter w14:val="0"/>
          </w14:textOutline>
        </w:rPr>
        <w:t>A</w:t>
      </w:r>
      <w:r>
        <w:rPr>
          <w:rFonts w:ascii="宋体" w:hAnsi="宋体" w:eastAsia="宋体" w:cs="宋体"/>
          <w:spacing w:val="-7"/>
          <w:sz w:val="21"/>
          <w:szCs w:val="21"/>
        </w:rPr>
        <w:t>。</w:t>
      </w:r>
    </w:p>
    <w:p w14:paraId="62DDE313">
      <w:pPr>
        <w:spacing w:before="154" w:line="220" w:lineRule="auto"/>
        <w:ind w:left="11"/>
        <w:rPr>
          <w:rFonts w:ascii="黑体" w:hAnsi="黑体" w:eastAsia="黑体" w:cs="黑体"/>
          <w:sz w:val="21"/>
          <w:szCs w:val="21"/>
        </w:rPr>
      </w:pPr>
      <w:r>
        <w:rPr>
          <w:rFonts w:ascii="Times New Roman" w:hAnsi="Times New Roman" w:eastAsia="Times New Roman" w:cs="Times New Roman"/>
          <w:sz w:val="21"/>
          <w:szCs w:val="21"/>
        </w:rPr>
        <w:t xml:space="preserve">A4.3 </w:t>
      </w:r>
      <w:r>
        <w:rPr>
          <w:rFonts w:ascii="黑体" w:hAnsi="黑体" w:eastAsia="黑体" w:cs="黑体"/>
          <w:sz w:val="21"/>
          <w:szCs w:val="21"/>
        </w:rPr>
        <w:t>技术标评审和评分</w:t>
      </w:r>
    </w:p>
    <w:p w14:paraId="3DA2F26A">
      <w:pPr>
        <w:spacing w:before="149" w:line="398" w:lineRule="exact"/>
        <w:ind w:left="442"/>
        <w:rPr>
          <w:rFonts w:ascii="宋体" w:hAnsi="宋体" w:eastAsia="宋体" w:cs="宋体"/>
          <w:sz w:val="21"/>
          <w:szCs w:val="21"/>
        </w:rPr>
      </w:pPr>
      <w:r>
        <w:rPr>
          <w:rFonts w:ascii="宋体" w:hAnsi="宋体" w:eastAsia="宋体" w:cs="宋体"/>
          <w:position w:val="14"/>
          <w:sz w:val="21"/>
          <w:szCs w:val="21"/>
        </w:rPr>
        <w:t>按照评标办法前附表中规定的分值设定、各项评分因素、评分标准， 对施工组织设计</w:t>
      </w:r>
    </w:p>
    <w:p w14:paraId="49BF18A6">
      <w:pPr>
        <w:spacing w:before="1" w:line="219" w:lineRule="auto"/>
        <w:ind w:left="16"/>
        <w:rPr>
          <w:rFonts w:ascii="宋体" w:hAnsi="宋体" w:eastAsia="宋体" w:cs="宋体"/>
          <w:sz w:val="21"/>
          <w:szCs w:val="21"/>
        </w:rPr>
      </w:pPr>
      <w:r>
        <w:rPr>
          <w:rFonts w:ascii="宋体" w:hAnsi="宋体" w:eastAsia="宋体" w:cs="宋体"/>
          <w:spacing w:val="-4"/>
          <w:sz w:val="21"/>
          <w:szCs w:val="21"/>
        </w:rPr>
        <w:t>进行评审和评分，并使用</w:t>
      </w:r>
      <w:r>
        <w:rPr>
          <w:rFonts w:ascii="宋体" w:hAnsi="宋体" w:eastAsia="宋体" w:cs="宋体"/>
          <w:spacing w:val="-4"/>
          <w:sz w:val="21"/>
          <w:szCs w:val="21"/>
          <w14:textOutline w14:w="3831" w14:cap="flat" w14:cmpd="sng">
            <w14:solidFill>
              <w14:srgbClr w14:val="000000"/>
            </w14:solidFill>
            <w14:prstDash w14:val="solid"/>
            <w14:miter w14:val="0"/>
          </w14:textOutline>
        </w:rPr>
        <w:t>附表</w:t>
      </w:r>
      <w:r>
        <w:rPr>
          <w:rFonts w:ascii="宋体" w:hAnsi="宋体" w:eastAsia="宋体" w:cs="宋体"/>
          <w:spacing w:val="-50"/>
          <w:sz w:val="21"/>
          <w:szCs w:val="21"/>
        </w:rPr>
        <w:t xml:space="preserve"> </w:t>
      </w:r>
      <w:r>
        <w:rPr>
          <w:rFonts w:ascii="宋体" w:hAnsi="宋体" w:eastAsia="宋体" w:cs="宋体"/>
          <w:spacing w:val="-4"/>
          <w:sz w:val="21"/>
          <w:szCs w:val="21"/>
          <w14:textOutline w14:w="3831" w14:cap="flat" w14:cmpd="sng">
            <w14:solidFill>
              <w14:srgbClr w14:val="000000"/>
            </w14:solidFill>
            <w14:prstDash w14:val="solid"/>
            <w14:miter w14:val="0"/>
          </w14:textOutline>
        </w:rPr>
        <w:t>A-11</w:t>
      </w:r>
      <w:r>
        <w:rPr>
          <w:rFonts w:ascii="宋体" w:hAnsi="宋体" w:eastAsia="宋体" w:cs="宋体"/>
          <w:spacing w:val="-40"/>
          <w:sz w:val="21"/>
          <w:szCs w:val="21"/>
        </w:rPr>
        <w:t xml:space="preserve"> </w:t>
      </w:r>
      <w:r>
        <w:rPr>
          <w:rFonts w:ascii="宋体" w:hAnsi="宋体" w:eastAsia="宋体" w:cs="宋体"/>
          <w:spacing w:val="-4"/>
          <w:sz w:val="21"/>
          <w:szCs w:val="21"/>
        </w:rPr>
        <w:t>记录对技术标的</w:t>
      </w:r>
      <w:r>
        <w:rPr>
          <w:rFonts w:ascii="宋体" w:hAnsi="宋体" w:eastAsia="宋体" w:cs="宋体"/>
          <w:spacing w:val="-5"/>
          <w:sz w:val="21"/>
          <w:szCs w:val="21"/>
        </w:rPr>
        <w:t>评分结果，</w:t>
      </w:r>
      <w:r>
        <w:rPr>
          <w:rFonts w:ascii="宋体" w:hAnsi="宋体" w:eastAsia="宋体" w:cs="宋体"/>
          <w:spacing w:val="52"/>
          <w:sz w:val="21"/>
          <w:szCs w:val="21"/>
        </w:rPr>
        <w:t xml:space="preserve"> </w:t>
      </w:r>
      <w:r>
        <w:rPr>
          <w:rFonts w:ascii="宋体" w:hAnsi="宋体" w:eastAsia="宋体" w:cs="宋体"/>
          <w:spacing w:val="-5"/>
          <w:sz w:val="21"/>
          <w:szCs w:val="21"/>
        </w:rPr>
        <w:t>技术标的得分记录为</w:t>
      </w:r>
      <w:r>
        <w:rPr>
          <w:rFonts w:ascii="宋体" w:hAnsi="宋体" w:eastAsia="宋体" w:cs="宋体"/>
          <w:spacing w:val="-52"/>
          <w:sz w:val="21"/>
          <w:szCs w:val="21"/>
        </w:rPr>
        <w:t xml:space="preserve"> </w:t>
      </w:r>
      <w:r>
        <w:rPr>
          <w:rFonts w:ascii="宋体" w:hAnsi="宋体" w:eastAsia="宋体" w:cs="宋体"/>
          <w:spacing w:val="-5"/>
          <w:sz w:val="21"/>
          <w:szCs w:val="21"/>
          <w14:textOutline w14:w="3831" w14:cap="flat" w14:cmpd="sng">
            <w14:solidFill>
              <w14:srgbClr w14:val="000000"/>
            </w14:solidFill>
            <w14:prstDash w14:val="solid"/>
            <w14:miter w14:val="0"/>
          </w14:textOutline>
        </w:rPr>
        <w:t>B</w:t>
      </w:r>
      <w:r>
        <w:rPr>
          <w:rFonts w:ascii="宋体" w:hAnsi="宋体" w:eastAsia="宋体" w:cs="宋体"/>
          <w:spacing w:val="-5"/>
          <w:sz w:val="21"/>
          <w:szCs w:val="21"/>
        </w:rPr>
        <w:t>。</w:t>
      </w:r>
    </w:p>
    <w:p w14:paraId="5C8260FF">
      <w:pPr>
        <w:spacing w:before="153" w:line="220" w:lineRule="auto"/>
        <w:ind w:left="11"/>
        <w:rPr>
          <w:rFonts w:ascii="黑体" w:hAnsi="黑体" w:eastAsia="黑体" w:cs="黑体"/>
          <w:sz w:val="21"/>
          <w:szCs w:val="21"/>
        </w:rPr>
      </w:pPr>
      <w:r>
        <w:rPr>
          <w:rFonts w:ascii="Times New Roman" w:hAnsi="Times New Roman" w:eastAsia="Times New Roman" w:cs="Times New Roman"/>
          <w:spacing w:val="-1"/>
          <w:sz w:val="21"/>
          <w:szCs w:val="21"/>
        </w:rPr>
        <w:t xml:space="preserve">A4.4 </w:t>
      </w:r>
      <w:r>
        <w:rPr>
          <w:rFonts w:ascii="黑体" w:hAnsi="黑体" w:eastAsia="黑体" w:cs="黑体"/>
          <w:spacing w:val="-1"/>
          <w:sz w:val="21"/>
          <w:szCs w:val="21"/>
        </w:rPr>
        <w:t>资信标评审和评分</w:t>
      </w:r>
    </w:p>
    <w:p w14:paraId="0D81E107">
      <w:pPr>
        <w:spacing w:before="147" w:line="353" w:lineRule="auto"/>
        <w:ind w:left="18" w:right="194" w:firstLine="424"/>
        <w:rPr>
          <w:rFonts w:ascii="宋体" w:hAnsi="宋体" w:eastAsia="宋体" w:cs="宋体"/>
          <w:sz w:val="21"/>
          <w:szCs w:val="21"/>
        </w:rPr>
      </w:pPr>
      <w:r>
        <w:rPr>
          <w:rFonts w:ascii="宋体" w:hAnsi="宋体" w:eastAsia="宋体" w:cs="宋体"/>
          <w:sz w:val="21"/>
          <w:szCs w:val="21"/>
        </w:rPr>
        <w:t>按照评标办法前附表中规定的分值设定、各项评分因素、评分标准， 对企业业绩、资</w:t>
      </w:r>
      <w:r>
        <w:rPr>
          <w:rFonts w:ascii="宋体" w:hAnsi="宋体" w:eastAsia="宋体" w:cs="宋体"/>
          <w:spacing w:val="7"/>
          <w:sz w:val="21"/>
          <w:szCs w:val="21"/>
        </w:rPr>
        <w:t xml:space="preserve"> </w:t>
      </w:r>
      <w:r>
        <w:rPr>
          <w:rFonts w:ascii="宋体" w:hAnsi="宋体" w:eastAsia="宋体" w:cs="宋体"/>
          <w:spacing w:val="-5"/>
          <w:sz w:val="21"/>
          <w:szCs w:val="21"/>
        </w:rPr>
        <w:t>信和项目管理机构等进行评审和评分， 并使用</w:t>
      </w:r>
      <w:r>
        <w:rPr>
          <w:rFonts w:ascii="宋体" w:hAnsi="宋体" w:eastAsia="宋体" w:cs="宋体"/>
          <w:spacing w:val="-5"/>
          <w:sz w:val="21"/>
          <w:szCs w:val="21"/>
          <w14:textOutline w14:w="3831" w14:cap="flat" w14:cmpd="sng">
            <w14:solidFill>
              <w14:srgbClr w14:val="000000"/>
            </w14:solidFill>
            <w14:prstDash w14:val="solid"/>
            <w14:miter w14:val="0"/>
          </w14:textOutline>
        </w:rPr>
        <w:t>附表</w:t>
      </w:r>
      <w:r>
        <w:rPr>
          <w:rFonts w:ascii="宋体" w:hAnsi="宋体" w:eastAsia="宋体" w:cs="宋体"/>
          <w:spacing w:val="-46"/>
          <w:sz w:val="21"/>
          <w:szCs w:val="21"/>
        </w:rPr>
        <w:t xml:space="preserve"> </w:t>
      </w:r>
      <w:r>
        <w:rPr>
          <w:rFonts w:ascii="宋体" w:hAnsi="宋体" w:eastAsia="宋体" w:cs="宋体"/>
          <w:spacing w:val="-5"/>
          <w:sz w:val="21"/>
          <w:szCs w:val="21"/>
          <w14:textOutline w14:w="3831" w14:cap="flat" w14:cmpd="sng">
            <w14:solidFill>
              <w14:srgbClr w14:val="000000"/>
            </w14:solidFill>
            <w14:prstDash w14:val="solid"/>
            <w14:miter w14:val="0"/>
          </w14:textOutline>
        </w:rPr>
        <w:t>A-13</w:t>
      </w:r>
      <w:r>
        <w:rPr>
          <w:rFonts w:ascii="宋体" w:hAnsi="宋体" w:eastAsia="宋体" w:cs="宋体"/>
          <w:spacing w:val="-35"/>
          <w:sz w:val="21"/>
          <w:szCs w:val="21"/>
        </w:rPr>
        <w:t xml:space="preserve"> </w:t>
      </w:r>
      <w:r>
        <w:rPr>
          <w:rFonts w:ascii="宋体" w:hAnsi="宋体" w:eastAsia="宋体" w:cs="宋体"/>
          <w:spacing w:val="-5"/>
          <w:sz w:val="21"/>
          <w:szCs w:val="21"/>
        </w:rPr>
        <w:t>记录对资信标的评分</w:t>
      </w:r>
      <w:r>
        <w:rPr>
          <w:rFonts w:ascii="宋体" w:hAnsi="宋体" w:eastAsia="宋体" w:cs="宋体"/>
          <w:spacing w:val="-6"/>
          <w:sz w:val="21"/>
          <w:szCs w:val="21"/>
        </w:rPr>
        <w:t>结果， 资信标</w:t>
      </w:r>
    </w:p>
    <w:p w14:paraId="314CF096">
      <w:pPr>
        <w:spacing w:before="1" w:line="220" w:lineRule="auto"/>
        <w:ind w:left="35"/>
        <w:rPr>
          <w:rFonts w:ascii="宋体" w:hAnsi="宋体" w:eastAsia="宋体" w:cs="宋体"/>
          <w:sz w:val="21"/>
          <w:szCs w:val="21"/>
        </w:rPr>
      </w:pPr>
      <w:r>
        <w:rPr>
          <w:rFonts w:ascii="宋体" w:hAnsi="宋体" w:eastAsia="宋体" w:cs="宋体"/>
          <w:spacing w:val="-4"/>
          <w:sz w:val="21"/>
          <w:szCs w:val="21"/>
        </w:rPr>
        <w:t>的得分记录为</w:t>
      </w:r>
      <w:r>
        <w:rPr>
          <w:rFonts w:ascii="宋体" w:hAnsi="宋体" w:eastAsia="宋体" w:cs="宋体"/>
          <w:spacing w:val="-48"/>
          <w:sz w:val="21"/>
          <w:szCs w:val="21"/>
        </w:rPr>
        <w:t xml:space="preserve"> </w:t>
      </w:r>
      <w:r>
        <w:rPr>
          <w:rFonts w:ascii="宋体" w:hAnsi="宋体" w:eastAsia="宋体" w:cs="宋体"/>
          <w:spacing w:val="-4"/>
          <w:sz w:val="21"/>
          <w:szCs w:val="21"/>
          <w14:textOutline w14:w="3831" w14:cap="flat" w14:cmpd="sng">
            <w14:solidFill>
              <w14:srgbClr w14:val="000000"/>
            </w14:solidFill>
            <w14:prstDash w14:val="solid"/>
            <w14:miter w14:val="0"/>
          </w14:textOutline>
        </w:rPr>
        <w:t>C</w:t>
      </w:r>
      <w:r>
        <w:rPr>
          <w:rFonts w:ascii="宋体" w:hAnsi="宋体" w:eastAsia="宋体" w:cs="宋体"/>
          <w:spacing w:val="-4"/>
          <w:sz w:val="21"/>
          <w:szCs w:val="21"/>
        </w:rPr>
        <w:t>。</w:t>
      </w:r>
    </w:p>
    <w:p w14:paraId="0A3668F4">
      <w:pPr>
        <w:spacing w:before="147" w:line="220" w:lineRule="auto"/>
        <w:ind w:left="11"/>
        <w:rPr>
          <w:rFonts w:ascii="黑体" w:hAnsi="黑体" w:eastAsia="黑体" w:cs="黑体"/>
          <w:sz w:val="21"/>
          <w:szCs w:val="21"/>
        </w:rPr>
      </w:pPr>
      <w:r>
        <w:rPr>
          <w:rFonts w:ascii="Times New Roman" w:hAnsi="Times New Roman" w:eastAsia="Times New Roman" w:cs="Times New Roman"/>
          <w:sz w:val="21"/>
          <w:szCs w:val="21"/>
        </w:rPr>
        <w:t xml:space="preserve">A4.5 </w:t>
      </w:r>
      <w:r>
        <w:rPr>
          <w:rFonts w:ascii="黑体" w:hAnsi="黑体" w:eastAsia="黑体" w:cs="黑体"/>
          <w:sz w:val="21"/>
          <w:szCs w:val="21"/>
        </w:rPr>
        <w:t>其他因素的评审和评分</w:t>
      </w:r>
    </w:p>
    <w:p w14:paraId="6BC2D8D6">
      <w:pPr>
        <w:spacing w:before="148" w:line="353" w:lineRule="auto"/>
        <w:ind w:left="20" w:right="190" w:firstLine="420"/>
        <w:jc w:val="both"/>
        <w:rPr>
          <w:rFonts w:ascii="宋体" w:hAnsi="宋体" w:eastAsia="宋体" w:cs="宋体"/>
          <w:sz w:val="21"/>
          <w:szCs w:val="21"/>
        </w:rPr>
      </w:pPr>
      <w:r>
        <w:rPr>
          <w:rFonts w:ascii="宋体" w:hAnsi="宋体" w:eastAsia="宋体" w:cs="宋体"/>
          <w:sz w:val="21"/>
          <w:szCs w:val="21"/>
        </w:rPr>
        <w:t>根据评标办法前附表中规定的分值设定、各项评分因素和相应的评分标准， 对其他因</w:t>
      </w:r>
      <w:r>
        <w:rPr>
          <w:rFonts w:ascii="宋体" w:hAnsi="宋体" w:eastAsia="宋体" w:cs="宋体"/>
          <w:spacing w:val="9"/>
          <w:sz w:val="21"/>
          <w:szCs w:val="21"/>
        </w:rPr>
        <w:t xml:space="preserve"> </w:t>
      </w:r>
      <w:r>
        <w:rPr>
          <w:rFonts w:ascii="宋体" w:hAnsi="宋体" w:eastAsia="宋体" w:cs="宋体"/>
          <w:sz w:val="21"/>
          <w:szCs w:val="21"/>
        </w:rPr>
        <w:t>素（如果有）进行评审和评分，并使用</w:t>
      </w:r>
      <w:r>
        <w:rPr>
          <w:rFonts w:ascii="宋体" w:hAnsi="宋体" w:eastAsia="宋体" w:cs="宋体"/>
          <w:sz w:val="21"/>
          <w:szCs w:val="21"/>
          <w14:textOutline w14:w="3831" w14:cap="flat" w14:cmpd="sng">
            <w14:solidFill>
              <w14:srgbClr w14:val="000000"/>
            </w14:solidFill>
            <w14:prstDash w14:val="solid"/>
            <w14:miter w14:val="0"/>
          </w14:textOutline>
        </w:rPr>
        <w:t>附表</w:t>
      </w:r>
      <w:r>
        <w:rPr>
          <w:rFonts w:ascii="宋体" w:hAnsi="宋体" w:eastAsia="宋体" w:cs="宋体"/>
          <w:spacing w:val="-45"/>
          <w:sz w:val="21"/>
          <w:szCs w:val="21"/>
        </w:rPr>
        <w:t xml:space="preserve"> </w:t>
      </w:r>
      <w:r>
        <w:rPr>
          <w:rFonts w:ascii="宋体" w:hAnsi="宋体" w:eastAsia="宋体" w:cs="宋体"/>
          <w:sz w:val="21"/>
          <w:szCs w:val="21"/>
          <w14:textOutline w14:w="3831" w14:cap="flat" w14:cmpd="sng">
            <w14:solidFill>
              <w14:srgbClr w14:val="000000"/>
            </w14:solidFill>
            <w14:prstDash w14:val="solid"/>
            <w14:miter w14:val="0"/>
          </w14:textOutline>
        </w:rPr>
        <w:t>A-14</w:t>
      </w:r>
      <w:r>
        <w:rPr>
          <w:rFonts w:ascii="宋体" w:hAnsi="宋体" w:eastAsia="宋体" w:cs="宋体"/>
          <w:spacing w:val="-36"/>
          <w:sz w:val="21"/>
          <w:szCs w:val="21"/>
        </w:rPr>
        <w:t xml:space="preserve"> </w:t>
      </w:r>
      <w:r>
        <w:rPr>
          <w:rFonts w:ascii="宋体" w:hAnsi="宋体" w:eastAsia="宋体" w:cs="宋体"/>
          <w:sz w:val="21"/>
          <w:szCs w:val="21"/>
        </w:rPr>
        <w:t>记录对其他因素</w:t>
      </w:r>
      <w:r>
        <w:rPr>
          <w:rFonts w:ascii="宋体" w:hAnsi="宋体" w:eastAsia="宋体" w:cs="宋体"/>
          <w:spacing w:val="-1"/>
          <w:sz w:val="21"/>
          <w:szCs w:val="21"/>
        </w:rPr>
        <w:t>的评分结果，其他因素的</w:t>
      </w:r>
    </w:p>
    <w:p w14:paraId="047C4AE3">
      <w:pPr>
        <w:spacing w:line="220" w:lineRule="auto"/>
        <w:ind w:left="19"/>
        <w:rPr>
          <w:rFonts w:ascii="宋体" w:hAnsi="宋体" w:eastAsia="宋体" w:cs="宋体"/>
          <w:sz w:val="21"/>
          <w:szCs w:val="21"/>
        </w:rPr>
      </w:pPr>
      <w:r>
        <w:rPr>
          <w:rFonts w:ascii="宋体" w:hAnsi="宋体" w:eastAsia="宋体" w:cs="宋体"/>
          <w:spacing w:val="-1"/>
          <w:sz w:val="21"/>
          <w:szCs w:val="21"/>
        </w:rPr>
        <w:t>得分记录为</w:t>
      </w:r>
      <w:r>
        <w:rPr>
          <w:rFonts w:ascii="宋体" w:hAnsi="宋体" w:eastAsia="宋体" w:cs="宋体"/>
          <w:spacing w:val="-53"/>
          <w:sz w:val="21"/>
          <w:szCs w:val="21"/>
        </w:rPr>
        <w:t xml:space="preserve"> </w:t>
      </w:r>
      <w:r>
        <w:rPr>
          <w:rFonts w:ascii="宋体" w:hAnsi="宋体" w:eastAsia="宋体" w:cs="宋体"/>
          <w:spacing w:val="-1"/>
          <w:sz w:val="21"/>
          <w:szCs w:val="21"/>
          <w14:textOutline w14:w="3831" w14:cap="flat" w14:cmpd="sng">
            <w14:solidFill>
              <w14:srgbClr w14:val="000000"/>
            </w14:solidFill>
            <w14:prstDash w14:val="solid"/>
            <w14:miter w14:val="0"/>
          </w14:textOutline>
        </w:rPr>
        <w:t>D</w:t>
      </w:r>
      <w:r>
        <w:rPr>
          <w:rFonts w:ascii="宋体" w:hAnsi="宋体" w:eastAsia="宋体" w:cs="宋体"/>
          <w:spacing w:val="-1"/>
          <w:sz w:val="21"/>
          <w:szCs w:val="21"/>
        </w:rPr>
        <w:t>。</w:t>
      </w:r>
    </w:p>
    <w:p w14:paraId="4521E9AF">
      <w:pPr>
        <w:spacing w:before="148" w:line="219" w:lineRule="auto"/>
        <w:ind w:left="11"/>
        <w:rPr>
          <w:rFonts w:ascii="黑体" w:hAnsi="黑体" w:eastAsia="黑体" w:cs="黑体"/>
          <w:sz w:val="21"/>
          <w:szCs w:val="21"/>
        </w:rPr>
      </w:pPr>
      <w:r>
        <w:rPr>
          <w:rFonts w:ascii="Times New Roman" w:hAnsi="Times New Roman" w:eastAsia="Times New Roman" w:cs="Times New Roman"/>
          <w:sz w:val="21"/>
          <w:szCs w:val="21"/>
        </w:rPr>
        <w:t xml:space="preserve">A4.6 </w:t>
      </w:r>
      <w:r>
        <w:rPr>
          <w:rFonts w:ascii="黑体" w:hAnsi="黑体" w:eastAsia="黑体" w:cs="黑体"/>
          <w:sz w:val="21"/>
          <w:szCs w:val="21"/>
        </w:rPr>
        <w:t>澄清、说明或补正</w:t>
      </w:r>
    </w:p>
    <w:p w14:paraId="1AC81F1A">
      <w:pPr>
        <w:spacing w:before="154" w:line="398" w:lineRule="exact"/>
        <w:ind w:left="440"/>
        <w:rPr>
          <w:rFonts w:ascii="宋体" w:hAnsi="宋体" w:eastAsia="宋体" w:cs="宋体"/>
          <w:sz w:val="21"/>
          <w:szCs w:val="21"/>
        </w:rPr>
      </w:pPr>
      <w:r>
        <w:rPr>
          <w:rFonts w:ascii="宋体" w:hAnsi="宋体" w:eastAsia="宋体" w:cs="宋体"/>
          <w:spacing w:val="3"/>
          <w:position w:val="14"/>
          <w:sz w:val="21"/>
          <w:szCs w:val="21"/>
        </w:rPr>
        <w:t>在详细评审过程中，评标委员会应当就投标文件中含义不明确、对同类问题表述不一</w:t>
      </w:r>
    </w:p>
    <w:p w14:paraId="05D1A2AA">
      <w:pPr>
        <w:spacing w:before="1" w:line="220" w:lineRule="auto"/>
        <w:ind w:left="18"/>
        <w:rPr>
          <w:rFonts w:ascii="宋体" w:hAnsi="宋体" w:eastAsia="宋体" w:cs="宋体"/>
          <w:sz w:val="21"/>
          <w:szCs w:val="21"/>
        </w:rPr>
      </w:pPr>
      <w:r>
        <w:rPr>
          <w:rFonts w:ascii="宋体" w:hAnsi="宋体" w:eastAsia="宋体" w:cs="宋体"/>
          <w:spacing w:val="3"/>
          <w:sz w:val="21"/>
          <w:szCs w:val="21"/>
        </w:rPr>
        <w:t>致或者有明显文字和计算错误的内容要求投标人进行澄清、说明或者补正。投标人</w:t>
      </w:r>
      <w:r>
        <w:rPr>
          <w:rFonts w:ascii="宋体" w:hAnsi="宋体" w:eastAsia="宋体" w:cs="宋体"/>
          <w:spacing w:val="2"/>
          <w:sz w:val="21"/>
          <w:szCs w:val="21"/>
        </w:rPr>
        <w:t>对此以</w:t>
      </w:r>
    </w:p>
    <w:p w14:paraId="5E622161">
      <w:pPr>
        <w:spacing w:line="220" w:lineRule="auto"/>
        <w:rPr>
          <w:rFonts w:ascii="宋体" w:hAnsi="宋体" w:eastAsia="宋体" w:cs="宋体"/>
          <w:sz w:val="21"/>
          <w:szCs w:val="21"/>
        </w:rPr>
        <w:sectPr>
          <w:footerReference r:id="rId56" w:type="default"/>
          <w:pgSz w:w="11905" w:h="16839"/>
          <w:pgMar w:top="1431" w:right="1597" w:bottom="996" w:left="1785" w:header="0" w:footer="791" w:gutter="0"/>
          <w:pgNumType w:fmt="decimal"/>
          <w:cols w:space="720" w:num="1"/>
        </w:sectPr>
      </w:pPr>
    </w:p>
    <w:p w14:paraId="463771A4">
      <w:pPr>
        <w:spacing w:before="148" w:line="352" w:lineRule="auto"/>
        <w:ind w:left="17" w:firstLine="5"/>
        <w:jc w:val="both"/>
        <w:rPr>
          <w:rFonts w:ascii="宋体" w:hAnsi="宋体" w:eastAsia="宋体" w:cs="宋体"/>
          <w:sz w:val="21"/>
          <w:szCs w:val="21"/>
        </w:rPr>
      </w:pPr>
      <w:r>
        <w:rPr>
          <w:rFonts w:ascii="宋体" w:hAnsi="宋体" w:eastAsia="宋体" w:cs="宋体"/>
          <w:spacing w:val="-5"/>
          <w:sz w:val="21"/>
          <w:szCs w:val="21"/>
        </w:rPr>
        <w:t>书面形式予以澄清、说明或者补正。澄清、说明或补正根据本章第</w:t>
      </w:r>
      <w:r>
        <w:rPr>
          <w:rFonts w:ascii="宋体" w:hAnsi="宋体" w:eastAsia="宋体" w:cs="宋体"/>
          <w:spacing w:val="-22"/>
          <w:sz w:val="21"/>
          <w:szCs w:val="21"/>
        </w:rPr>
        <w:t xml:space="preserve"> </w:t>
      </w:r>
      <w:r>
        <w:rPr>
          <w:rFonts w:ascii="宋体" w:hAnsi="宋体" w:eastAsia="宋体" w:cs="宋体"/>
          <w:spacing w:val="-5"/>
          <w:sz w:val="21"/>
          <w:szCs w:val="21"/>
        </w:rPr>
        <w:t>3.3</w:t>
      </w:r>
      <w:r>
        <w:rPr>
          <w:rFonts w:ascii="宋体" w:hAnsi="宋体" w:eastAsia="宋体" w:cs="宋体"/>
          <w:spacing w:val="-33"/>
          <w:sz w:val="21"/>
          <w:szCs w:val="21"/>
        </w:rPr>
        <w:t xml:space="preserve"> </w:t>
      </w:r>
      <w:r>
        <w:rPr>
          <w:rFonts w:ascii="宋体" w:hAnsi="宋体" w:eastAsia="宋体" w:cs="宋体"/>
          <w:spacing w:val="-5"/>
          <w:sz w:val="21"/>
          <w:szCs w:val="21"/>
        </w:rPr>
        <w:t>款的规定执行。</w:t>
      </w:r>
      <w:r>
        <w:rPr>
          <w:rFonts w:ascii="宋体" w:hAnsi="宋体" w:eastAsia="宋体" w:cs="宋体"/>
          <w:spacing w:val="-56"/>
          <w:sz w:val="21"/>
          <w:szCs w:val="21"/>
        </w:rPr>
        <w:t xml:space="preserve"> </w:t>
      </w:r>
      <w:r>
        <w:rPr>
          <w:rFonts w:ascii="宋体" w:hAnsi="宋体" w:eastAsia="宋体" w:cs="宋体"/>
          <w:spacing w:val="-5"/>
          <w:sz w:val="21"/>
          <w:szCs w:val="21"/>
        </w:rPr>
        <w:t>《投</w:t>
      </w:r>
      <w:r>
        <w:rPr>
          <w:rFonts w:ascii="宋体" w:hAnsi="宋体" w:eastAsia="宋体" w:cs="宋体"/>
          <w:sz w:val="21"/>
          <w:szCs w:val="21"/>
        </w:rPr>
        <w:t xml:space="preserve">   </w:t>
      </w:r>
      <w:r>
        <w:rPr>
          <w:rFonts w:ascii="宋体" w:hAnsi="宋体" w:eastAsia="宋体" w:cs="宋体"/>
          <w:spacing w:val="1"/>
          <w:sz w:val="21"/>
          <w:szCs w:val="21"/>
        </w:rPr>
        <w:t>标文件问题澄清通知》</w:t>
      </w:r>
      <w:r>
        <w:rPr>
          <w:rFonts w:ascii="宋体" w:hAnsi="宋体" w:eastAsia="宋体" w:cs="宋体"/>
          <w:spacing w:val="-27"/>
          <w:sz w:val="21"/>
          <w:szCs w:val="21"/>
        </w:rPr>
        <w:t xml:space="preserve"> </w:t>
      </w:r>
      <w:r>
        <w:rPr>
          <w:rFonts w:ascii="宋体" w:hAnsi="宋体" w:eastAsia="宋体" w:cs="宋体"/>
          <w:spacing w:val="1"/>
          <w:sz w:val="21"/>
          <w:szCs w:val="21"/>
        </w:rPr>
        <w:t>及《投标文件问题的澄清》采用投标人须知附表六与投标人须知附</w:t>
      </w:r>
      <w:r>
        <w:rPr>
          <w:rFonts w:ascii="宋体" w:hAnsi="宋体" w:eastAsia="宋体" w:cs="宋体"/>
          <w:sz w:val="21"/>
          <w:szCs w:val="21"/>
        </w:rPr>
        <w:t xml:space="preserve">   </w:t>
      </w:r>
      <w:r>
        <w:rPr>
          <w:rFonts w:ascii="宋体" w:hAnsi="宋体" w:eastAsia="宋体" w:cs="宋体"/>
          <w:spacing w:val="3"/>
          <w:sz w:val="21"/>
          <w:szCs w:val="21"/>
        </w:rPr>
        <w:t>表七所提供的格式，并通过电子招标投标系统</w:t>
      </w:r>
      <w:r>
        <w:rPr>
          <w:rFonts w:ascii="宋体" w:hAnsi="宋体" w:eastAsia="宋体" w:cs="宋体"/>
          <w:spacing w:val="2"/>
          <w:sz w:val="21"/>
          <w:szCs w:val="21"/>
        </w:rPr>
        <w:t>（辽宁省工程建设项目数字化开标评标系统）</w:t>
      </w:r>
    </w:p>
    <w:p w14:paraId="0A014DE0">
      <w:pPr>
        <w:spacing w:line="219" w:lineRule="auto"/>
        <w:ind w:left="42"/>
        <w:rPr>
          <w:rFonts w:ascii="宋体" w:hAnsi="宋体" w:eastAsia="宋体" w:cs="宋体"/>
          <w:sz w:val="21"/>
          <w:szCs w:val="21"/>
        </w:rPr>
      </w:pPr>
      <w:r>
        <w:rPr>
          <w:rFonts w:ascii="宋体" w:hAnsi="宋体" w:eastAsia="宋体" w:cs="宋体"/>
          <w:spacing w:val="-4"/>
          <w:sz w:val="21"/>
          <w:szCs w:val="21"/>
        </w:rPr>
        <w:t>以书面形式进行。</w:t>
      </w:r>
    </w:p>
    <w:p w14:paraId="70E5665F">
      <w:pPr>
        <w:spacing w:before="148" w:line="220" w:lineRule="auto"/>
        <w:ind w:left="11"/>
        <w:rPr>
          <w:rFonts w:ascii="黑体" w:hAnsi="黑体" w:eastAsia="黑体" w:cs="黑体"/>
          <w:sz w:val="21"/>
          <w:szCs w:val="21"/>
        </w:rPr>
      </w:pPr>
      <w:r>
        <w:rPr>
          <w:rFonts w:ascii="Times New Roman" w:hAnsi="Times New Roman" w:eastAsia="Times New Roman" w:cs="Times New Roman"/>
          <w:spacing w:val="-1"/>
          <w:sz w:val="21"/>
          <w:szCs w:val="21"/>
        </w:rPr>
        <w:t xml:space="preserve">A4.7 </w:t>
      </w:r>
      <w:r>
        <w:rPr>
          <w:rFonts w:ascii="黑体" w:hAnsi="黑体" w:eastAsia="黑体" w:cs="黑体"/>
          <w:spacing w:val="-1"/>
          <w:sz w:val="21"/>
          <w:szCs w:val="21"/>
        </w:rPr>
        <w:t>汇总评分（评审）结果</w:t>
      </w:r>
    </w:p>
    <w:p w14:paraId="6E0FD845">
      <w:pPr>
        <w:spacing w:before="153" w:line="398" w:lineRule="exact"/>
        <w:ind w:right="9"/>
        <w:jc w:val="right"/>
        <w:rPr>
          <w:rFonts w:ascii="宋体" w:hAnsi="宋体" w:eastAsia="宋体" w:cs="宋体"/>
          <w:sz w:val="21"/>
          <w:szCs w:val="21"/>
        </w:rPr>
      </w:pPr>
      <w:r>
        <w:rPr>
          <w:rFonts w:ascii="宋体" w:hAnsi="宋体" w:eastAsia="宋体" w:cs="宋体"/>
          <w:spacing w:val="-2"/>
          <w:position w:val="14"/>
          <w:sz w:val="21"/>
          <w:szCs w:val="21"/>
        </w:rPr>
        <w:t>评标委员会成员应按照</w:t>
      </w:r>
      <w:r>
        <w:rPr>
          <w:rFonts w:ascii="宋体" w:hAnsi="宋体" w:eastAsia="宋体" w:cs="宋体"/>
          <w:spacing w:val="-2"/>
          <w:position w:val="14"/>
          <w:sz w:val="21"/>
          <w:szCs w:val="21"/>
          <w14:textOutline w14:w="3831" w14:cap="flat" w14:cmpd="sng">
            <w14:solidFill>
              <w14:srgbClr w14:val="000000"/>
            </w14:solidFill>
            <w14:prstDash w14:val="solid"/>
            <w14:miter w14:val="0"/>
          </w14:textOutline>
        </w:rPr>
        <w:t>附表</w:t>
      </w:r>
      <w:r>
        <w:rPr>
          <w:rFonts w:ascii="宋体" w:hAnsi="宋体" w:eastAsia="宋体" w:cs="宋体"/>
          <w:spacing w:val="-40"/>
          <w:position w:val="14"/>
          <w:sz w:val="21"/>
          <w:szCs w:val="21"/>
        </w:rPr>
        <w:t xml:space="preserve"> </w:t>
      </w:r>
      <w:r>
        <w:rPr>
          <w:rFonts w:ascii="宋体" w:hAnsi="宋体" w:eastAsia="宋体" w:cs="宋体"/>
          <w:spacing w:val="-2"/>
          <w:position w:val="14"/>
          <w:sz w:val="21"/>
          <w:szCs w:val="21"/>
          <w14:textOutline w14:w="3831" w14:cap="flat" w14:cmpd="sng">
            <w14:solidFill>
              <w14:srgbClr w14:val="000000"/>
            </w14:solidFill>
            <w14:prstDash w14:val="solid"/>
            <w14:miter w14:val="0"/>
          </w14:textOutline>
        </w:rPr>
        <w:t>A-15</w:t>
      </w:r>
      <w:r>
        <w:rPr>
          <w:rFonts w:ascii="宋体" w:hAnsi="宋体" w:eastAsia="宋体" w:cs="宋体"/>
          <w:spacing w:val="-2"/>
          <w:position w:val="14"/>
          <w:sz w:val="21"/>
          <w:szCs w:val="21"/>
        </w:rPr>
        <w:t xml:space="preserve"> 的格式汇总各个评标委员会成员的详细评审评分结果，</w:t>
      </w:r>
    </w:p>
    <w:p w14:paraId="1FEA6AA1">
      <w:pPr>
        <w:spacing w:before="1" w:line="220" w:lineRule="auto"/>
        <w:ind w:left="23"/>
        <w:rPr>
          <w:rFonts w:ascii="宋体" w:hAnsi="宋体" w:eastAsia="宋体" w:cs="宋体"/>
          <w:sz w:val="21"/>
          <w:szCs w:val="21"/>
        </w:rPr>
      </w:pPr>
      <w:r>
        <w:rPr>
          <w:rFonts w:ascii="宋体" w:hAnsi="宋体" w:eastAsia="宋体" w:cs="宋体"/>
          <w:spacing w:val="-1"/>
          <w:sz w:val="21"/>
          <w:szCs w:val="21"/>
        </w:rPr>
        <w:t>并按照详细评审最终得分由高至低的次序对</w:t>
      </w:r>
      <w:r>
        <w:rPr>
          <w:rFonts w:ascii="宋体" w:hAnsi="宋体" w:eastAsia="宋体" w:cs="宋体"/>
          <w:spacing w:val="-2"/>
          <w:sz w:val="21"/>
          <w:szCs w:val="21"/>
        </w:rPr>
        <w:t>投标人进行排序。</w:t>
      </w:r>
    </w:p>
    <w:p w14:paraId="11538DC5">
      <w:pPr>
        <w:spacing w:before="123" w:line="428" w:lineRule="exact"/>
        <w:ind w:left="11"/>
        <w:rPr>
          <w:rFonts w:ascii="黑体" w:hAnsi="黑体" w:eastAsia="黑体" w:cs="黑体"/>
          <w:sz w:val="24"/>
          <w:szCs w:val="24"/>
        </w:rPr>
      </w:pPr>
      <w:r>
        <w:rPr>
          <w:rFonts w:ascii="Times New Roman" w:hAnsi="Times New Roman" w:eastAsia="Times New Roman" w:cs="Times New Roman"/>
          <w:position w:val="14"/>
          <w:sz w:val="24"/>
          <w:szCs w:val="24"/>
        </w:rPr>
        <w:t>A5.</w:t>
      </w:r>
      <w:r>
        <w:rPr>
          <w:rFonts w:ascii="黑体" w:hAnsi="黑体" w:eastAsia="黑体" w:cs="黑体"/>
          <w:position w:val="14"/>
          <w:sz w:val="24"/>
          <w:szCs w:val="24"/>
        </w:rPr>
        <w:t>推荐中标候选人或者直接确定中标人</w:t>
      </w:r>
    </w:p>
    <w:p w14:paraId="291FCA6F">
      <w:pPr>
        <w:spacing w:line="220" w:lineRule="auto"/>
        <w:ind w:left="11"/>
        <w:rPr>
          <w:rFonts w:ascii="黑体" w:hAnsi="黑体" w:eastAsia="黑体" w:cs="黑体"/>
          <w:sz w:val="21"/>
          <w:szCs w:val="21"/>
        </w:rPr>
      </w:pPr>
      <w:r>
        <w:rPr>
          <w:rFonts w:ascii="Times New Roman" w:hAnsi="Times New Roman" w:eastAsia="Times New Roman" w:cs="Times New Roman"/>
          <w:spacing w:val="-1"/>
          <w:sz w:val="21"/>
          <w:szCs w:val="21"/>
        </w:rPr>
        <w:t xml:space="preserve">A5.1 </w:t>
      </w:r>
      <w:r>
        <w:rPr>
          <w:rFonts w:ascii="黑体" w:hAnsi="黑体" w:eastAsia="黑体" w:cs="黑体"/>
          <w:spacing w:val="-1"/>
          <w:sz w:val="21"/>
          <w:szCs w:val="21"/>
        </w:rPr>
        <w:t>推荐中标候选人</w:t>
      </w:r>
    </w:p>
    <w:p w14:paraId="152289E2">
      <w:pPr>
        <w:spacing w:before="149" w:line="352" w:lineRule="auto"/>
        <w:ind w:left="21" w:right="85" w:firstLine="412"/>
        <w:rPr>
          <w:rFonts w:ascii="宋体" w:hAnsi="宋体" w:eastAsia="宋体" w:cs="宋体"/>
          <w:sz w:val="21"/>
          <w:szCs w:val="21"/>
        </w:rPr>
      </w:pPr>
      <w:r>
        <w:rPr>
          <w:rFonts w:ascii="宋体" w:hAnsi="宋体" w:eastAsia="宋体" w:cs="宋体"/>
          <w:spacing w:val="3"/>
          <w:sz w:val="21"/>
          <w:szCs w:val="21"/>
        </w:rPr>
        <w:t>A5.1.1 评标委员会按照本章评标办法前附表规定的推荐方法和第二章“投标人须知”</w:t>
      </w:r>
      <w:r>
        <w:rPr>
          <w:rFonts w:ascii="宋体" w:hAnsi="宋体" w:eastAsia="宋体" w:cs="宋体"/>
          <w:sz w:val="21"/>
          <w:szCs w:val="21"/>
        </w:rPr>
        <w:t xml:space="preserve"> </w:t>
      </w:r>
      <w:r>
        <w:rPr>
          <w:rFonts w:ascii="宋体" w:hAnsi="宋体" w:eastAsia="宋体" w:cs="宋体"/>
          <w:spacing w:val="-3"/>
          <w:sz w:val="21"/>
          <w:szCs w:val="21"/>
        </w:rPr>
        <w:t>前附表第</w:t>
      </w:r>
      <w:r>
        <w:rPr>
          <w:rFonts w:ascii="宋体" w:hAnsi="宋体" w:eastAsia="宋体" w:cs="宋体"/>
          <w:spacing w:val="-15"/>
          <w:sz w:val="21"/>
          <w:szCs w:val="21"/>
        </w:rPr>
        <w:t xml:space="preserve"> </w:t>
      </w:r>
      <w:r>
        <w:rPr>
          <w:rFonts w:ascii="Times New Roman" w:hAnsi="Times New Roman" w:eastAsia="Times New Roman" w:cs="Times New Roman"/>
          <w:spacing w:val="-3"/>
          <w:sz w:val="21"/>
          <w:szCs w:val="21"/>
        </w:rPr>
        <w:t xml:space="preserve">7.1 </w:t>
      </w:r>
      <w:r>
        <w:rPr>
          <w:rFonts w:ascii="宋体" w:hAnsi="宋体" w:eastAsia="宋体" w:cs="宋体"/>
          <w:spacing w:val="-3"/>
          <w:sz w:val="21"/>
          <w:szCs w:val="21"/>
        </w:rPr>
        <w:t>款推荐的中标候选人数量，按照</w:t>
      </w:r>
      <w:r>
        <w:rPr>
          <w:rFonts w:ascii="宋体" w:hAnsi="宋体" w:eastAsia="宋体" w:cs="宋体"/>
          <w:spacing w:val="-3"/>
          <w:sz w:val="21"/>
          <w:szCs w:val="21"/>
          <w14:textOutline w14:w="3831" w14:cap="flat" w14:cmpd="sng">
            <w14:solidFill>
              <w14:srgbClr w14:val="000000"/>
            </w14:solidFill>
            <w14:prstDash w14:val="solid"/>
            <w14:miter w14:val="0"/>
          </w14:textOutline>
        </w:rPr>
        <w:t>附表</w:t>
      </w:r>
      <w:r>
        <w:rPr>
          <w:rFonts w:ascii="宋体" w:hAnsi="宋体" w:eastAsia="宋体" w:cs="宋体"/>
          <w:spacing w:val="-31"/>
          <w:sz w:val="21"/>
          <w:szCs w:val="21"/>
        </w:rPr>
        <w:t xml:space="preserve"> </w:t>
      </w:r>
      <w:r>
        <w:rPr>
          <w:rFonts w:ascii="宋体" w:hAnsi="宋体" w:eastAsia="宋体" w:cs="宋体"/>
          <w:spacing w:val="-3"/>
          <w:sz w:val="21"/>
          <w:szCs w:val="21"/>
          <w14:textOutline w14:w="3831" w14:cap="flat" w14:cmpd="sng">
            <w14:solidFill>
              <w14:srgbClr w14:val="000000"/>
            </w14:solidFill>
            <w14:prstDash w14:val="solid"/>
            <w14:miter w14:val="0"/>
          </w14:textOutline>
        </w:rPr>
        <w:t>A-17</w:t>
      </w:r>
      <w:r>
        <w:rPr>
          <w:rFonts w:ascii="宋体" w:hAnsi="宋体" w:eastAsia="宋体" w:cs="宋体"/>
          <w:spacing w:val="-20"/>
          <w:sz w:val="21"/>
          <w:szCs w:val="21"/>
        </w:rPr>
        <w:t xml:space="preserve"> </w:t>
      </w:r>
      <w:r>
        <w:rPr>
          <w:rFonts w:ascii="宋体" w:hAnsi="宋体" w:eastAsia="宋体" w:cs="宋体"/>
          <w:spacing w:val="-3"/>
          <w:sz w:val="21"/>
          <w:szCs w:val="21"/>
        </w:rPr>
        <w:t>格式推荐中标候选人。 评标委员会</w:t>
      </w:r>
    </w:p>
    <w:p w14:paraId="41CC0731">
      <w:pPr>
        <w:spacing w:before="1" w:line="219" w:lineRule="auto"/>
        <w:ind w:left="17"/>
        <w:rPr>
          <w:rFonts w:ascii="宋体" w:hAnsi="宋体" w:eastAsia="宋体" w:cs="宋体"/>
          <w:sz w:val="21"/>
          <w:szCs w:val="21"/>
        </w:rPr>
      </w:pPr>
      <w:r>
        <w:rPr>
          <w:rFonts w:ascii="宋体" w:hAnsi="宋体" w:eastAsia="宋体" w:cs="宋体"/>
          <w:spacing w:val="2"/>
          <w:sz w:val="21"/>
          <w:szCs w:val="21"/>
        </w:rPr>
        <w:t>在推荐中标候选人时，应遵照以下原则:</w:t>
      </w:r>
    </w:p>
    <w:p w14:paraId="11940D72">
      <w:pPr>
        <w:spacing w:before="149" w:line="352" w:lineRule="auto"/>
        <w:ind w:left="28" w:right="192" w:firstLine="419"/>
        <w:rPr>
          <w:rFonts w:ascii="宋体" w:hAnsi="宋体" w:eastAsia="宋体" w:cs="宋体"/>
          <w:sz w:val="21"/>
          <w:szCs w:val="21"/>
        </w:rPr>
      </w:pPr>
      <w:r>
        <w:rPr>
          <w:rFonts w:ascii="宋体" w:hAnsi="宋体" w:eastAsia="宋体" w:cs="宋体"/>
          <w:sz w:val="21"/>
          <w:szCs w:val="21"/>
        </w:rPr>
        <w:t>（1）评标委员会按照本章评标办法前附表规定的方法推荐中标候选人。招标文件允许</w:t>
      </w:r>
      <w:r>
        <w:rPr>
          <w:rFonts w:ascii="宋体" w:hAnsi="宋体" w:eastAsia="宋体" w:cs="宋体"/>
          <w:spacing w:val="3"/>
          <w:sz w:val="21"/>
          <w:szCs w:val="21"/>
        </w:rPr>
        <w:t xml:space="preserve"> </w:t>
      </w:r>
      <w:r>
        <w:rPr>
          <w:rFonts w:ascii="宋体" w:hAnsi="宋体" w:eastAsia="宋体" w:cs="宋体"/>
          <w:sz w:val="21"/>
          <w:szCs w:val="21"/>
        </w:rPr>
        <w:t>多标段投标、多标段中标的， 各标段中标候选人的推荐按规定执行，对某些标段</w:t>
      </w:r>
      <w:r>
        <w:rPr>
          <w:rFonts w:ascii="宋体" w:hAnsi="宋体" w:eastAsia="宋体" w:cs="宋体"/>
          <w:spacing w:val="-1"/>
          <w:sz w:val="21"/>
          <w:szCs w:val="21"/>
        </w:rPr>
        <w:t>由此产生</w:t>
      </w:r>
    </w:p>
    <w:p w14:paraId="2972AB4D">
      <w:pPr>
        <w:spacing w:before="1" w:line="219" w:lineRule="auto"/>
        <w:ind w:left="35"/>
        <w:rPr>
          <w:rFonts w:ascii="宋体" w:hAnsi="宋体" w:eastAsia="宋体" w:cs="宋体"/>
          <w:sz w:val="21"/>
          <w:szCs w:val="21"/>
        </w:rPr>
      </w:pPr>
      <w:r>
        <w:rPr>
          <w:rFonts w:ascii="宋体" w:hAnsi="宋体" w:eastAsia="宋体" w:cs="宋体"/>
          <w:spacing w:val="-3"/>
          <w:sz w:val="21"/>
          <w:szCs w:val="21"/>
        </w:rPr>
        <w:t>的空缺由排序在后的投标人依次替补。</w:t>
      </w:r>
    </w:p>
    <w:p w14:paraId="71B466A8">
      <w:pPr>
        <w:spacing w:before="148" w:line="352" w:lineRule="auto"/>
        <w:ind w:left="19" w:right="195" w:firstLine="428"/>
        <w:rPr>
          <w:rFonts w:ascii="宋体" w:hAnsi="宋体" w:eastAsia="宋体" w:cs="宋体"/>
          <w:sz w:val="21"/>
          <w:szCs w:val="21"/>
        </w:rPr>
      </w:pPr>
      <w:r>
        <w:rPr>
          <w:rFonts w:ascii="宋体" w:hAnsi="宋体" w:eastAsia="宋体" w:cs="宋体"/>
          <w:sz w:val="21"/>
          <w:szCs w:val="21"/>
        </w:rPr>
        <w:t>（2）如果评标委员会根据本章的规定否决有关投标后，有效投标不足三个，且少于第 二章“投标人须知”前附表第 7.1 款规定的中标候选人数量的，则评标委员会可以将所有</w:t>
      </w:r>
      <w:r>
        <w:rPr>
          <w:rFonts w:ascii="宋体" w:hAnsi="宋体" w:eastAsia="宋体" w:cs="宋体"/>
          <w:spacing w:val="9"/>
          <w:sz w:val="21"/>
          <w:szCs w:val="21"/>
        </w:rPr>
        <w:t xml:space="preserve"> </w:t>
      </w:r>
      <w:r>
        <w:rPr>
          <w:rFonts w:ascii="宋体" w:hAnsi="宋体" w:eastAsia="宋体" w:cs="宋体"/>
          <w:spacing w:val="3"/>
          <w:sz w:val="21"/>
          <w:szCs w:val="21"/>
        </w:rPr>
        <w:t>有效投标人作为中标候选人向招标人推荐。如果因有效投标不足三个使得投标明显</w:t>
      </w:r>
      <w:r>
        <w:rPr>
          <w:rFonts w:ascii="宋体" w:hAnsi="宋体" w:eastAsia="宋体" w:cs="宋体"/>
          <w:spacing w:val="2"/>
          <w:sz w:val="21"/>
          <w:szCs w:val="21"/>
        </w:rPr>
        <w:t>缺乏竞</w:t>
      </w:r>
    </w:p>
    <w:p w14:paraId="3CF3AB26">
      <w:pPr>
        <w:spacing w:before="1" w:line="219" w:lineRule="auto"/>
        <w:ind w:left="22"/>
        <w:rPr>
          <w:rFonts w:ascii="宋体" w:hAnsi="宋体" w:eastAsia="宋体" w:cs="宋体"/>
          <w:sz w:val="21"/>
          <w:szCs w:val="21"/>
        </w:rPr>
      </w:pPr>
      <w:r>
        <w:rPr>
          <w:rFonts w:ascii="宋体" w:hAnsi="宋体" w:eastAsia="宋体" w:cs="宋体"/>
          <w:spacing w:val="-5"/>
          <w:sz w:val="21"/>
          <w:szCs w:val="21"/>
        </w:rPr>
        <w:t>争的，评标委员会可以否决所有投标， 并建议招标人重新招标。</w:t>
      </w:r>
    </w:p>
    <w:p w14:paraId="5C71E76B">
      <w:pPr>
        <w:spacing w:before="148" w:line="404" w:lineRule="exact"/>
        <w:ind w:left="434"/>
        <w:rPr>
          <w:rFonts w:ascii="宋体" w:hAnsi="宋体" w:eastAsia="宋体" w:cs="宋体"/>
          <w:sz w:val="21"/>
          <w:szCs w:val="21"/>
        </w:rPr>
      </w:pPr>
      <w:r>
        <w:rPr>
          <w:rFonts w:ascii="宋体" w:hAnsi="宋体" w:eastAsia="宋体" w:cs="宋体"/>
          <w:spacing w:val="-3"/>
          <w:position w:val="14"/>
          <w:sz w:val="21"/>
          <w:szCs w:val="21"/>
        </w:rPr>
        <w:t>A5.1.2</w:t>
      </w:r>
      <w:r>
        <w:rPr>
          <w:rFonts w:ascii="宋体" w:hAnsi="宋体" w:eastAsia="宋体" w:cs="宋体"/>
          <w:spacing w:val="-38"/>
          <w:position w:val="14"/>
          <w:sz w:val="21"/>
          <w:szCs w:val="21"/>
        </w:rPr>
        <w:t xml:space="preserve"> </w:t>
      </w:r>
      <w:r>
        <w:rPr>
          <w:rFonts w:ascii="宋体" w:hAnsi="宋体" w:eastAsia="宋体" w:cs="宋体"/>
          <w:spacing w:val="-3"/>
          <w:position w:val="14"/>
          <w:sz w:val="21"/>
          <w:szCs w:val="21"/>
        </w:rPr>
        <w:t>投标人数量少于三个或者所有投标被否决的，</w:t>
      </w:r>
      <w:r>
        <w:rPr>
          <w:rFonts w:ascii="宋体" w:hAnsi="宋体" w:eastAsia="宋体" w:cs="宋体"/>
          <w:spacing w:val="-26"/>
          <w:position w:val="14"/>
          <w:sz w:val="21"/>
          <w:szCs w:val="21"/>
        </w:rPr>
        <w:t xml:space="preserve"> </w:t>
      </w:r>
      <w:r>
        <w:rPr>
          <w:rFonts w:ascii="宋体" w:hAnsi="宋体" w:eastAsia="宋体" w:cs="宋体"/>
          <w:spacing w:val="-3"/>
          <w:position w:val="14"/>
          <w:sz w:val="21"/>
          <w:szCs w:val="21"/>
        </w:rPr>
        <w:t>招标人应当依法重新招标。</w:t>
      </w:r>
    </w:p>
    <w:p w14:paraId="6AC41A44">
      <w:pPr>
        <w:spacing w:before="1" w:line="219" w:lineRule="auto"/>
        <w:ind w:left="11"/>
        <w:rPr>
          <w:rFonts w:ascii="黑体" w:hAnsi="黑体" w:eastAsia="黑体" w:cs="黑体"/>
          <w:sz w:val="21"/>
          <w:szCs w:val="21"/>
        </w:rPr>
      </w:pPr>
      <w:r>
        <w:rPr>
          <w:rFonts w:ascii="Times New Roman" w:hAnsi="Times New Roman" w:eastAsia="Times New Roman" w:cs="Times New Roman"/>
          <w:spacing w:val="-1"/>
          <w:sz w:val="21"/>
          <w:szCs w:val="21"/>
        </w:rPr>
        <w:t xml:space="preserve">A5.2 </w:t>
      </w:r>
      <w:r>
        <w:rPr>
          <w:rFonts w:ascii="黑体" w:hAnsi="黑体" w:eastAsia="黑体" w:cs="黑体"/>
          <w:spacing w:val="-1"/>
          <w:sz w:val="21"/>
          <w:szCs w:val="21"/>
        </w:rPr>
        <w:t>直接确定中标人</w:t>
      </w:r>
    </w:p>
    <w:p w14:paraId="6F613CB1">
      <w:pPr>
        <w:spacing w:before="148" w:line="398" w:lineRule="exact"/>
        <w:ind w:left="441"/>
        <w:rPr>
          <w:rFonts w:ascii="宋体" w:hAnsi="宋体" w:eastAsia="宋体" w:cs="宋体"/>
          <w:sz w:val="21"/>
          <w:szCs w:val="21"/>
        </w:rPr>
      </w:pPr>
      <w:r>
        <w:rPr>
          <w:rFonts w:ascii="宋体" w:hAnsi="宋体" w:eastAsia="宋体" w:cs="宋体"/>
          <w:spacing w:val="3"/>
          <w:position w:val="14"/>
          <w:sz w:val="21"/>
          <w:szCs w:val="21"/>
        </w:rPr>
        <w:t>第二章“投标人须知”前附表授权评标委员会直接确定中标人的，评标委员会按照最</w:t>
      </w:r>
    </w:p>
    <w:p w14:paraId="763EA2F0">
      <w:pPr>
        <w:spacing w:before="1" w:line="220" w:lineRule="auto"/>
        <w:ind w:left="21"/>
        <w:rPr>
          <w:rFonts w:ascii="宋体" w:hAnsi="宋体" w:eastAsia="宋体" w:cs="宋体"/>
          <w:sz w:val="21"/>
          <w:szCs w:val="21"/>
        </w:rPr>
      </w:pPr>
      <w:r>
        <w:rPr>
          <w:rFonts w:ascii="宋体" w:hAnsi="宋体" w:eastAsia="宋体" w:cs="宋体"/>
          <w:spacing w:val="-3"/>
          <w:sz w:val="21"/>
          <w:szCs w:val="21"/>
        </w:rPr>
        <w:t>终得分由高至低的次序排列。</w:t>
      </w:r>
    </w:p>
    <w:p w14:paraId="3B427EB1">
      <w:pPr>
        <w:spacing w:before="152" w:line="219" w:lineRule="auto"/>
        <w:ind w:left="11"/>
        <w:rPr>
          <w:rFonts w:ascii="黑体" w:hAnsi="黑体" w:eastAsia="黑体" w:cs="黑体"/>
          <w:sz w:val="21"/>
          <w:szCs w:val="21"/>
        </w:rPr>
      </w:pPr>
      <w:r>
        <w:rPr>
          <w:rFonts w:ascii="Times New Roman" w:hAnsi="Times New Roman" w:eastAsia="Times New Roman" w:cs="Times New Roman"/>
          <w:spacing w:val="-1"/>
          <w:sz w:val="21"/>
          <w:szCs w:val="21"/>
        </w:rPr>
        <w:t xml:space="preserve">A5.3 </w:t>
      </w:r>
      <w:r>
        <w:rPr>
          <w:rFonts w:ascii="黑体" w:hAnsi="黑体" w:eastAsia="黑体" w:cs="黑体"/>
          <w:spacing w:val="-1"/>
          <w:sz w:val="21"/>
          <w:szCs w:val="21"/>
        </w:rPr>
        <w:t>编制评标报告</w:t>
      </w:r>
    </w:p>
    <w:p w14:paraId="113C977B">
      <w:pPr>
        <w:spacing w:before="149" w:line="353" w:lineRule="auto"/>
        <w:ind w:left="17" w:right="189" w:firstLine="422"/>
        <w:jc w:val="both"/>
        <w:rPr>
          <w:rFonts w:ascii="宋体" w:hAnsi="宋体" w:eastAsia="宋体" w:cs="宋体"/>
          <w:sz w:val="21"/>
          <w:szCs w:val="21"/>
        </w:rPr>
      </w:pPr>
      <w:r>
        <w:rPr>
          <w:rFonts w:ascii="宋体" w:hAnsi="宋体" w:eastAsia="宋体" w:cs="宋体"/>
          <w:sz w:val="21"/>
          <w:szCs w:val="21"/>
        </w:rPr>
        <w:t>评标委员会根据本章第 3.4.2 项的规定向招标人提交评标报告。评标报告应当由全体</w:t>
      </w:r>
      <w:r>
        <w:rPr>
          <w:rFonts w:ascii="宋体" w:hAnsi="宋体" w:eastAsia="宋体" w:cs="宋体"/>
          <w:spacing w:val="13"/>
          <w:sz w:val="21"/>
          <w:szCs w:val="21"/>
        </w:rPr>
        <w:t xml:space="preserve"> </w:t>
      </w:r>
      <w:r>
        <w:rPr>
          <w:rFonts w:ascii="宋体" w:hAnsi="宋体" w:eastAsia="宋体" w:cs="宋体"/>
          <w:sz w:val="21"/>
          <w:szCs w:val="21"/>
        </w:rPr>
        <w:t>评标委员会成员签字， 并于评标结束时抄送有关行政监督部门。评标报告应当包括以下内</w:t>
      </w:r>
    </w:p>
    <w:p w14:paraId="7489ACB3">
      <w:pPr>
        <w:spacing w:line="221" w:lineRule="auto"/>
        <w:ind w:left="20"/>
        <w:rPr>
          <w:rFonts w:ascii="宋体" w:hAnsi="宋体" w:eastAsia="宋体" w:cs="宋体"/>
          <w:sz w:val="21"/>
          <w:szCs w:val="21"/>
        </w:rPr>
      </w:pPr>
      <w:r>
        <w:rPr>
          <w:rFonts w:ascii="宋体" w:hAnsi="宋体" w:eastAsia="宋体" w:cs="宋体"/>
          <w:spacing w:val="-15"/>
          <w:sz w:val="21"/>
          <w:szCs w:val="21"/>
        </w:rPr>
        <w:t>容：</w:t>
      </w:r>
    </w:p>
    <w:p w14:paraId="71A1D37F">
      <w:pPr>
        <w:spacing w:before="147" w:line="220" w:lineRule="auto"/>
        <w:ind w:left="447"/>
        <w:rPr>
          <w:rFonts w:ascii="宋体" w:hAnsi="宋体" w:eastAsia="宋体" w:cs="宋体"/>
          <w:sz w:val="21"/>
          <w:szCs w:val="21"/>
        </w:rPr>
      </w:pPr>
      <w:r>
        <w:rPr>
          <w:rFonts w:ascii="宋体" w:hAnsi="宋体" w:eastAsia="宋体" w:cs="宋体"/>
          <w:spacing w:val="-3"/>
          <w:sz w:val="21"/>
          <w:szCs w:val="21"/>
        </w:rPr>
        <w:t>（1）基本情况和数据表；</w:t>
      </w:r>
    </w:p>
    <w:p w14:paraId="0DEB0822">
      <w:pPr>
        <w:spacing w:before="148" w:line="403" w:lineRule="exact"/>
        <w:ind w:left="447"/>
        <w:rPr>
          <w:rFonts w:ascii="宋体" w:hAnsi="宋体" w:eastAsia="宋体" w:cs="宋体"/>
          <w:sz w:val="21"/>
          <w:szCs w:val="21"/>
        </w:rPr>
      </w:pPr>
      <w:r>
        <w:rPr>
          <w:rFonts w:ascii="宋体" w:hAnsi="宋体" w:eastAsia="宋体" w:cs="宋体"/>
          <w:spacing w:val="-4"/>
          <w:position w:val="14"/>
          <w:sz w:val="21"/>
          <w:szCs w:val="21"/>
        </w:rPr>
        <w:t>（2）评标委员会成员名单；</w:t>
      </w:r>
    </w:p>
    <w:p w14:paraId="4839D73A">
      <w:pPr>
        <w:spacing w:before="1" w:line="221" w:lineRule="auto"/>
        <w:ind w:left="447"/>
        <w:rPr>
          <w:rFonts w:ascii="宋体" w:hAnsi="宋体" w:eastAsia="宋体" w:cs="宋体"/>
          <w:sz w:val="21"/>
          <w:szCs w:val="21"/>
        </w:rPr>
      </w:pPr>
      <w:r>
        <w:rPr>
          <w:rFonts w:ascii="宋体" w:hAnsi="宋体" w:eastAsia="宋体" w:cs="宋体"/>
          <w:spacing w:val="-5"/>
          <w:sz w:val="21"/>
          <w:szCs w:val="21"/>
        </w:rPr>
        <w:t>（3）开标记录；</w:t>
      </w:r>
    </w:p>
    <w:p w14:paraId="21CCB737">
      <w:pPr>
        <w:spacing w:before="146" w:line="399" w:lineRule="exact"/>
        <w:ind w:left="447"/>
        <w:rPr>
          <w:rFonts w:ascii="宋体" w:hAnsi="宋体" w:eastAsia="宋体" w:cs="宋体"/>
          <w:sz w:val="21"/>
          <w:szCs w:val="21"/>
        </w:rPr>
      </w:pPr>
      <w:r>
        <w:rPr>
          <w:rFonts w:ascii="宋体" w:hAnsi="宋体" w:eastAsia="宋体" w:cs="宋体"/>
          <w:spacing w:val="-3"/>
          <w:position w:val="14"/>
          <w:sz w:val="21"/>
          <w:szCs w:val="21"/>
        </w:rPr>
        <w:t>（4）通过初步评审的投标人一览表；</w:t>
      </w:r>
    </w:p>
    <w:p w14:paraId="3F382C3F">
      <w:pPr>
        <w:spacing w:line="220" w:lineRule="auto"/>
        <w:ind w:left="447"/>
        <w:rPr>
          <w:rFonts w:ascii="宋体" w:hAnsi="宋体" w:eastAsia="宋体" w:cs="宋体"/>
          <w:sz w:val="21"/>
          <w:szCs w:val="21"/>
        </w:rPr>
      </w:pPr>
      <w:r>
        <w:rPr>
          <w:rFonts w:ascii="宋体" w:hAnsi="宋体" w:eastAsia="宋体" w:cs="宋体"/>
          <w:spacing w:val="-4"/>
          <w:sz w:val="21"/>
          <w:szCs w:val="21"/>
        </w:rPr>
        <w:t>（5）被否决投标的情况说明；</w:t>
      </w:r>
    </w:p>
    <w:p w14:paraId="327AE1A8">
      <w:pPr>
        <w:spacing w:before="152" w:line="221" w:lineRule="auto"/>
        <w:ind w:left="447"/>
        <w:rPr>
          <w:rFonts w:ascii="宋体" w:hAnsi="宋体" w:eastAsia="宋体" w:cs="宋体"/>
          <w:sz w:val="21"/>
          <w:szCs w:val="21"/>
        </w:rPr>
      </w:pPr>
      <w:r>
        <w:rPr>
          <w:rFonts w:ascii="宋体" w:hAnsi="宋体" w:eastAsia="宋体" w:cs="宋体"/>
          <w:spacing w:val="-1"/>
          <w:sz w:val="21"/>
          <w:szCs w:val="21"/>
        </w:rPr>
        <w:t>（6）评标标准、评标方法或者评标因素一览表；</w:t>
      </w:r>
    </w:p>
    <w:p w14:paraId="13855DB4">
      <w:pPr>
        <w:spacing w:before="148" w:line="219" w:lineRule="auto"/>
        <w:jc w:val="right"/>
        <w:rPr>
          <w:rFonts w:ascii="宋体" w:hAnsi="宋体" w:eastAsia="宋体" w:cs="宋体"/>
          <w:sz w:val="21"/>
          <w:szCs w:val="21"/>
        </w:rPr>
      </w:pPr>
      <w:r>
        <w:rPr>
          <w:rFonts w:ascii="宋体" w:hAnsi="宋体" w:eastAsia="宋体" w:cs="宋体"/>
          <w:spacing w:val="-1"/>
          <w:sz w:val="21"/>
          <w:szCs w:val="21"/>
        </w:rPr>
        <w:t>（7）经评审的价格一览表（包括评标委员会在评标过程中所形成的所有记载评标结果、</w:t>
      </w:r>
    </w:p>
    <w:p w14:paraId="543A56F2">
      <w:pPr>
        <w:spacing w:line="219" w:lineRule="auto"/>
        <w:rPr>
          <w:rFonts w:ascii="宋体" w:hAnsi="宋体" w:eastAsia="宋体" w:cs="宋体"/>
          <w:sz w:val="21"/>
          <w:szCs w:val="21"/>
        </w:rPr>
        <w:sectPr>
          <w:footerReference r:id="rId57" w:type="default"/>
          <w:pgSz w:w="11905" w:h="16839"/>
          <w:pgMar w:top="1431" w:right="1598" w:bottom="992" w:left="1785" w:header="0" w:footer="791" w:gutter="0"/>
          <w:pgNumType w:fmt="decimal"/>
          <w:cols w:space="720" w:num="1"/>
        </w:sectPr>
      </w:pPr>
    </w:p>
    <w:p w14:paraId="6F34B116">
      <w:pPr>
        <w:spacing w:before="149" w:line="398" w:lineRule="exact"/>
        <w:ind w:left="23"/>
        <w:rPr>
          <w:rFonts w:ascii="宋体" w:hAnsi="宋体" w:eastAsia="宋体" w:cs="宋体"/>
          <w:sz w:val="21"/>
          <w:szCs w:val="21"/>
        </w:rPr>
      </w:pPr>
      <w:bookmarkStart w:id="138" w:name="bookmark166"/>
      <w:bookmarkEnd w:id="138"/>
      <w:bookmarkStart w:id="139" w:name="bookmark167"/>
      <w:bookmarkEnd w:id="139"/>
      <w:bookmarkStart w:id="140" w:name="bookmark162"/>
      <w:bookmarkEnd w:id="140"/>
      <w:bookmarkStart w:id="141" w:name="bookmark161"/>
      <w:bookmarkEnd w:id="141"/>
      <w:bookmarkStart w:id="142" w:name="bookmark164"/>
      <w:bookmarkEnd w:id="142"/>
      <w:bookmarkStart w:id="143" w:name="bookmark165"/>
      <w:bookmarkEnd w:id="143"/>
      <w:bookmarkStart w:id="144" w:name="bookmark163"/>
      <w:bookmarkEnd w:id="144"/>
      <w:r>
        <w:rPr>
          <w:rFonts w:ascii="宋体" w:hAnsi="宋体" w:eastAsia="宋体" w:cs="宋体"/>
          <w:spacing w:val="-1"/>
          <w:position w:val="14"/>
          <w:sz w:val="21"/>
          <w:szCs w:val="21"/>
        </w:rPr>
        <w:t>结论的表格、说明、记录等文件</w:t>
      </w:r>
      <w:r>
        <w:rPr>
          <w:rFonts w:ascii="宋体" w:hAnsi="宋体" w:eastAsia="宋体" w:cs="宋体"/>
          <w:spacing w:val="-55"/>
          <w:w w:val="98"/>
          <w:position w:val="14"/>
          <w:sz w:val="21"/>
          <w:szCs w:val="21"/>
        </w:rPr>
        <w:t>）；</w:t>
      </w:r>
    </w:p>
    <w:p w14:paraId="02D69C9D">
      <w:pPr>
        <w:spacing w:line="221" w:lineRule="auto"/>
        <w:ind w:left="447"/>
        <w:rPr>
          <w:rFonts w:ascii="宋体" w:hAnsi="宋体" w:eastAsia="宋体" w:cs="宋体"/>
          <w:sz w:val="21"/>
          <w:szCs w:val="21"/>
        </w:rPr>
      </w:pPr>
      <w:r>
        <w:rPr>
          <w:rFonts w:ascii="宋体" w:hAnsi="宋体" w:eastAsia="宋体" w:cs="宋体"/>
          <w:spacing w:val="-4"/>
          <w:sz w:val="21"/>
          <w:szCs w:val="21"/>
        </w:rPr>
        <w:t>（8）经评审的投标人排序；</w:t>
      </w:r>
    </w:p>
    <w:p w14:paraId="57BF155C">
      <w:pPr>
        <w:spacing w:before="151" w:line="399" w:lineRule="exact"/>
        <w:ind w:left="447"/>
        <w:rPr>
          <w:rFonts w:ascii="宋体" w:hAnsi="宋体" w:eastAsia="宋体" w:cs="宋体"/>
          <w:sz w:val="21"/>
          <w:szCs w:val="21"/>
        </w:rPr>
      </w:pPr>
      <w:r>
        <w:rPr>
          <w:rFonts w:ascii="宋体" w:hAnsi="宋体" w:eastAsia="宋体" w:cs="宋体"/>
          <w:position w:val="14"/>
          <w:sz w:val="21"/>
          <w:szCs w:val="21"/>
        </w:rPr>
        <w:t>（9）推荐的中标候选人名单（如果第二章“投标人须知”前附表授权评标委员会直接</w:t>
      </w:r>
    </w:p>
    <w:p w14:paraId="49FCD3B7">
      <w:pPr>
        <w:spacing w:line="221" w:lineRule="auto"/>
        <w:ind w:left="18"/>
        <w:rPr>
          <w:rFonts w:ascii="宋体" w:hAnsi="宋体" w:eastAsia="宋体" w:cs="宋体"/>
          <w:sz w:val="21"/>
          <w:szCs w:val="21"/>
        </w:rPr>
      </w:pPr>
      <w:r>
        <w:rPr>
          <w:rFonts w:ascii="宋体" w:hAnsi="宋体" w:eastAsia="宋体" w:cs="宋体"/>
          <w:spacing w:val="-5"/>
          <w:sz w:val="21"/>
          <w:szCs w:val="21"/>
        </w:rPr>
        <w:t>确定中标人，则为“确定的中标人”）与签订合同前要处理的事宜；</w:t>
      </w:r>
    </w:p>
    <w:p w14:paraId="50A1CE1B">
      <w:pPr>
        <w:spacing w:before="146" w:line="379" w:lineRule="exact"/>
        <w:ind w:left="447"/>
        <w:rPr>
          <w:rFonts w:ascii="宋体" w:hAnsi="宋体" w:eastAsia="宋体" w:cs="宋体"/>
          <w:sz w:val="21"/>
          <w:szCs w:val="21"/>
        </w:rPr>
      </w:pPr>
      <w:r>
        <w:rPr>
          <w:rFonts w:ascii="宋体" w:hAnsi="宋体" w:eastAsia="宋体" w:cs="宋体"/>
          <w:spacing w:val="-2"/>
          <w:position w:val="12"/>
          <w:sz w:val="21"/>
          <w:szCs w:val="21"/>
        </w:rPr>
        <w:t>（10）澄清、说明、补正事项纪要。</w:t>
      </w:r>
    </w:p>
    <w:p w14:paraId="1A91AB6E">
      <w:pPr>
        <w:spacing w:before="1" w:line="218" w:lineRule="auto"/>
        <w:ind w:left="11"/>
        <w:rPr>
          <w:rFonts w:ascii="黑体" w:hAnsi="黑体" w:eastAsia="黑体" w:cs="黑体"/>
          <w:sz w:val="24"/>
          <w:szCs w:val="24"/>
        </w:rPr>
      </w:pPr>
      <w:r>
        <w:rPr>
          <w:rFonts w:ascii="Times New Roman" w:hAnsi="Times New Roman" w:eastAsia="Times New Roman" w:cs="Times New Roman"/>
          <w:sz w:val="24"/>
          <w:szCs w:val="24"/>
        </w:rPr>
        <w:t>A6.</w:t>
      </w:r>
      <w:r>
        <w:rPr>
          <w:rFonts w:ascii="黑体" w:hAnsi="黑体" w:eastAsia="黑体" w:cs="黑体"/>
          <w:sz w:val="24"/>
          <w:szCs w:val="24"/>
        </w:rPr>
        <w:t>特殊情况的处置程序</w:t>
      </w:r>
    </w:p>
    <w:p w14:paraId="3C6CD1F0">
      <w:pPr>
        <w:spacing w:before="138" w:line="220" w:lineRule="auto"/>
        <w:ind w:left="11"/>
        <w:rPr>
          <w:rFonts w:ascii="黑体" w:hAnsi="黑体" w:eastAsia="黑体" w:cs="黑体"/>
          <w:sz w:val="21"/>
          <w:szCs w:val="21"/>
        </w:rPr>
      </w:pPr>
      <w:r>
        <w:rPr>
          <w:rFonts w:ascii="Times New Roman" w:hAnsi="Times New Roman" w:eastAsia="Times New Roman" w:cs="Times New Roman"/>
          <w:sz w:val="21"/>
          <w:szCs w:val="21"/>
        </w:rPr>
        <w:t xml:space="preserve">A6.1 </w:t>
      </w:r>
      <w:r>
        <w:rPr>
          <w:rFonts w:ascii="黑体" w:hAnsi="黑体" w:eastAsia="黑体" w:cs="黑体"/>
          <w:sz w:val="21"/>
          <w:szCs w:val="21"/>
        </w:rPr>
        <w:t>暗标评审的评审程序规定（适用于对技术标进行暗</w:t>
      </w:r>
      <w:r>
        <w:rPr>
          <w:rFonts w:ascii="黑体" w:hAnsi="黑体" w:eastAsia="黑体" w:cs="黑体"/>
          <w:spacing w:val="-1"/>
          <w:sz w:val="21"/>
          <w:szCs w:val="21"/>
        </w:rPr>
        <w:t>标评审的）</w:t>
      </w:r>
    </w:p>
    <w:p w14:paraId="25015A2F">
      <w:pPr>
        <w:spacing w:before="150" w:line="352" w:lineRule="auto"/>
        <w:ind w:left="17" w:right="174" w:firstLine="427"/>
        <w:jc w:val="both"/>
        <w:rPr>
          <w:rFonts w:ascii="宋体" w:hAnsi="宋体" w:eastAsia="宋体" w:cs="宋体"/>
          <w:sz w:val="21"/>
          <w:szCs w:val="21"/>
        </w:rPr>
      </w:pPr>
      <w:r>
        <w:rPr>
          <w:rFonts w:ascii="宋体" w:hAnsi="宋体" w:eastAsia="宋体" w:cs="宋体"/>
          <w:spacing w:val="-3"/>
          <w:sz w:val="21"/>
          <w:szCs w:val="21"/>
        </w:rPr>
        <w:t>如果第二章“投标人须知”前附表第</w:t>
      </w:r>
      <w:r>
        <w:rPr>
          <w:rFonts w:ascii="宋体" w:hAnsi="宋体" w:eastAsia="宋体" w:cs="宋体"/>
          <w:spacing w:val="-22"/>
          <w:sz w:val="21"/>
          <w:szCs w:val="21"/>
        </w:rPr>
        <w:t xml:space="preserve"> </w:t>
      </w:r>
      <w:r>
        <w:rPr>
          <w:rFonts w:ascii="Times New Roman" w:hAnsi="Times New Roman" w:eastAsia="Times New Roman" w:cs="Times New Roman"/>
          <w:spacing w:val="-3"/>
          <w:sz w:val="21"/>
          <w:szCs w:val="21"/>
        </w:rPr>
        <w:t xml:space="preserve">3.7.4 </w:t>
      </w:r>
      <w:r>
        <w:rPr>
          <w:rFonts w:ascii="宋体" w:hAnsi="宋体" w:eastAsia="宋体" w:cs="宋体"/>
          <w:spacing w:val="-3"/>
          <w:sz w:val="21"/>
          <w:szCs w:val="21"/>
        </w:rPr>
        <w:t>项要求对技术标采用模块化暗标方式， 如果</w:t>
      </w:r>
      <w:r>
        <w:rPr>
          <w:rFonts w:ascii="宋体" w:hAnsi="宋体" w:eastAsia="宋体" w:cs="宋体"/>
          <w:sz w:val="21"/>
          <w:szCs w:val="21"/>
        </w:rPr>
        <w:t xml:space="preserve"> </w:t>
      </w:r>
      <w:r>
        <w:rPr>
          <w:rFonts w:ascii="宋体" w:hAnsi="宋体" w:eastAsia="宋体" w:cs="宋体"/>
          <w:spacing w:val="3"/>
          <w:sz w:val="21"/>
          <w:szCs w:val="21"/>
        </w:rPr>
        <w:t>技术标是详细评审阶段的评审内容的，则评标委员会需将技术标（暗标）的格式类评审在</w:t>
      </w:r>
      <w:r>
        <w:rPr>
          <w:rFonts w:ascii="宋体" w:hAnsi="宋体" w:eastAsia="宋体" w:cs="宋体"/>
          <w:sz w:val="21"/>
          <w:szCs w:val="21"/>
        </w:rPr>
        <w:t xml:space="preserve"> </w:t>
      </w:r>
      <w:r>
        <w:rPr>
          <w:rFonts w:ascii="宋体" w:hAnsi="宋体" w:eastAsia="宋体" w:cs="宋体"/>
          <w:spacing w:val="3"/>
          <w:sz w:val="21"/>
          <w:szCs w:val="21"/>
        </w:rPr>
        <w:t>初步评审阶段完成，详细评审阶段发现某个模块存在出现投标人的名称和其它可识别投标</w:t>
      </w:r>
      <w:r>
        <w:rPr>
          <w:rFonts w:ascii="宋体" w:hAnsi="宋体" w:eastAsia="宋体" w:cs="宋体"/>
          <w:sz w:val="21"/>
          <w:szCs w:val="21"/>
        </w:rPr>
        <w:t xml:space="preserve"> </w:t>
      </w:r>
      <w:r>
        <w:rPr>
          <w:rFonts w:ascii="宋体" w:hAnsi="宋体" w:eastAsia="宋体" w:cs="宋体"/>
          <w:spacing w:val="3"/>
          <w:sz w:val="21"/>
          <w:szCs w:val="21"/>
        </w:rPr>
        <w:t>人身份的字符、徽标、人员名称等以及雷同性标记内容，仍可对投标人的投标</w:t>
      </w:r>
      <w:r>
        <w:rPr>
          <w:rFonts w:ascii="宋体" w:hAnsi="宋体" w:eastAsia="宋体" w:cs="宋体"/>
          <w:spacing w:val="2"/>
          <w:sz w:val="21"/>
          <w:szCs w:val="21"/>
        </w:rPr>
        <w:t>文件进行否</w:t>
      </w:r>
      <w:r>
        <w:rPr>
          <w:rFonts w:ascii="宋体" w:hAnsi="宋体" w:eastAsia="宋体" w:cs="宋体"/>
          <w:sz w:val="21"/>
          <w:szCs w:val="21"/>
        </w:rPr>
        <w:t xml:space="preserve"> 决，否决任一模块代表着本投标人的投标文件全部被否决。 电子招标投标系统（辽宁省工</w:t>
      </w:r>
      <w:r>
        <w:rPr>
          <w:rFonts w:ascii="宋体" w:hAnsi="宋体" w:eastAsia="宋体" w:cs="宋体"/>
          <w:spacing w:val="12"/>
          <w:sz w:val="21"/>
          <w:szCs w:val="21"/>
        </w:rPr>
        <w:t xml:space="preserve"> </w:t>
      </w:r>
      <w:r>
        <w:rPr>
          <w:rFonts w:ascii="宋体" w:hAnsi="宋体" w:eastAsia="宋体" w:cs="宋体"/>
          <w:spacing w:val="1"/>
          <w:sz w:val="21"/>
          <w:szCs w:val="21"/>
        </w:rPr>
        <w:t>程建设项目数字化开标评标系统）</w:t>
      </w:r>
      <w:r>
        <w:rPr>
          <w:rFonts w:ascii="宋体" w:hAnsi="宋体" w:eastAsia="宋体" w:cs="宋体"/>
          <w:spacing w:val="-27"/>
          <w:sz w:val="21"/>
          <w:szCs w:val="21"/>
        </w:rPr>
        <w:t xml:space="preserve"> </w:t>
      </w:r>
      <w:r>
        <w:rPr>
          <w:rFonts w:ascii="宋体" w:hAnsi="宋体" w:eastAsia="宋体" w:cs="宋体"/>
          <w:spacing w:val="1"/>
          <w:sz w:val="21"/>
          <w:szCs w:val="21"/>
        </w:rPr>
        <w:t>应采取措施，在经济标、技术标、资信标、其他因素的</w:t>
      </w:r>
      <w:r>
        <w:rPr>
          <w:rFonts w:ascii="宋体" w:hAnsi="宋体" w:eastAsia="宋体" w:cs="宋体"/>
          <w:sz w:val="21"/>
          <w:szCs w:val="21"/>
        </w:rPr>
        <w:t xml:space="preserve"> 评审完成后， 再公开相应暗标编号与投标人名称之间的对应关系。初步评审被否决的投标</w:t>
      </w:r>
    </w:p>
    <w:p w14:paraId="0E9A3E5B">
      <w:pPr>
        <w:spacing w:line="221" w:lineRule="auto"/>
        <w:ind w:left="21"/>
        <w:rPr>
          <w:rFonts w:ascii="宋体" w:hAnsi="宋体" w:eastAsia="宋体" w:cs="宋体"/>
          <w:sz w:val="21"/>
          <w:szCs w:val="21"/>
        </w:rPr>
      </w:pPr>
      <w:r>
        <w:rPr>
          <w:rFonts w:ascii="宋体" w:hAnsi="宋体" w:eastAsia="宋体" w:cs="宋体"/>
          <w:spacing w:val="-3"/>
          <w:sz w:val="21"/>
          <w:szCs w:val="21"/>
        </w:rPr>
        <w:t>不再进入详细评审阶段。</w:t>
      </w:r>
    </w:p>
    <w:p w14:paraId="4FE4395F">
      <w:pPr>
        <w:spacing w:before="147" w:line="220" w:lineRule="auto"/>
        <w:ind w:left="11"/>
        <w:rPr>
          <w:rFonts w:ascii="黑体" w:hAnsi="黑体" w:eastAsia="黑体" w:cs="黑体"/>
          <w:sz w:val="21"/>
          <w:szCs w:val="21"/>
        </w:rPr>
      </w:pPr>
      <w:r>
        <w:rPr>
          <w:rFonts w:ascii="Times New Roman" w:hAnsi="Times New Roman" w:eastAsia="Times New Roman" w:cs="Times New Roman"/>
          <w:spacing w:val="-1"/>
          <w:sz w:val="21"/>
          <w:szCs w:val="21"/>
        </w:rPr>
        <w:t xml:space="preserve">A6.2 </w:t>
      </w:r>
      <w:r>
        <w:rPr>
          <w:rFonts w:ascii="黑体" w:hAnsi="黑体" w:eastAsia="黑体" w:cs="黑体"/>
          <w:spacing w:val="-1"/>
          <w:sz w:val="21"/>
          <w:szCs w:val="21"/>
        </w:rPr>
        <w:t>关于评标活动暂停</w:t>
      </w:r>
    </w:p>
    <w:p w14:paraId="0FD12A52">
      <w:pPr>
        <w:spacing w:before="148" w:line="404" w:lineRule="exact"/>
        <w:jc w:val="right"/>
        <w:rPr>
          <w:rFonts w:ascii="宋体" w:hAnsi="宋体" w:eastAsia="宋体" w:cs="宋体"/>
          <w:sz w:val="21"/>
          <w:szCs w:val="21"/>
        </w:rPr>
      </w:pPr>
      <w:r>
        <w:rPr>
          <w:rFonts w:ascii="宋体" w:hAnsi="宋体" w:eastAsia="宋体" w:cs="宋体"/>
          <w:spacing w:val="-4"/>
          <w:position w:val="14"/>
          <w:sz w:val="21"/>
          <w:szCs w:val="21"/>
        </w:rPr>
        <w:t>A6.2.1 评标委员会应当执行连续评标的原则，</w:t>
      </w:r>
      <w:r>
        <w:rPr>
          <w:rFonts w:ascii="宋体" w:hAnsi="宋体" w:eastAsia="宋体" w:cs="宋体"/>
          <w:spacing w:val="53"/>
          <w:position w:val="14"/>
          <w:sz w:val="21"/>
          <w:szCs w:val="21"/>
        </w:rPr>
        <w:t xml:space="preserve"> </w:t>
      </w:r>
      <w:r>
        <w:rPr>
          <w:rFonts w:ascii="宋体" w:hAnsi="宋体" w:eastAsia="宋体" w:cs="宋体"/>
          <w:spacing w:val="-4"/>
          <w:position w:val="14"/>
          <w:sz w:val="21"/>
          <w:szCs w:val="21"/>
        </w:rPr>
        <w:t>按评标办法中规定的程序</w:t>
      </w:r>
      <w:r>
        <w:rPr>
          <w:rFonts w:ascii="宋体" w:hAnsi="宋体" w:eastAsia="宋体" w:cs="宋体"/>
          <w:spacing w:val="-5"/>
          <w:position w:val="14"/>
          <w:sz w:val="21"/>
          <w:szCs w:val="21"/>
        </w:rPr>
        <w:t>、内容、方法、</w:t>
      </w:r>
    </w:p>
    <w:p w14:paraId="6AA72304">
      <w:pPr>
        <w:spacing w:line="220" w:lineRule="auto"/>
        <w:jc w:val="right"/>
        <w:rPr>
          <w:rFonts w:ascii="宋体" w:hAnsi="宋体" w:eastAsia="宋体" w:cs="宋体"/>
          <w:sz w:val="21"/>
          <w:szCs w:val="21"/>
        </w:rPr>
      </w:pPr>
      <w:r>
        <w:rPr>
          <w:rFonts w:ascii="宋体" w:hAnsi="宋体" w:eastAsia="宋体" w:cs="宋体"/>
          <w:sz w:val="21"/>
          <w:szCs w:val="21"/>
        </w:rPr>
        <w:t>标准完成全部评标工作。只有发生不可抗力导</w:t>
      </w:r>
      <w:r>
        <w:rPr>
          <w:rFonts w:ascii="宋体" w:hAnsi="宋体" w:eastAsia="宋体" w:cs="宋体"/>
          <w:spacing w:val="-1"/>
          <w:sz w:val="21"/>
          <w:szCs w:val="21"/>
        </w:rPr>
        <w:t>致评标工作无法继续时， 评标活动方可暂停。</w:t>
      </w:r>
    </w:p>
    <w:p w14:paraId="4437FD15">
      <w:pPr>
        <w:spacing w:before="148" w:line="398" w:lineRule="exact"/>
        <w:ind w:left="434"/>
        <w:rPr>
          <w:rFonts w:ascii="宋体" w:hAnsi="宋体" w:eastAsia="宋体" w:cs="宋体"/>
          <w:sz w:val="21"/>
          <w:szCs w:val="21"/>
        </w:rPr>
      </w:pPr>
      <w:r>
        <w:rPr>
          <w:rFonts w:ascii="宋体" w:hAnsi="宋体" w:eastAsia="宋体" w:cs="宋体"/>
          <w:spacing w:val="-3"/>
          <w:position w:val="14"/>
          <w:sz w:val="21"/>
          <w:szCs w:val="21"/>
        </w:rPr>
        <w:t>A6.2.2 发生评标暂停情况时，</w:t>
      </w:r>
      <w:r>
        <w:rPr>
          <w:rFonts w:ascii="宋体" w:hAnsi="宋体" w:eastAsia="宋体" w:cs="宋体"/>
          <w:spacing w:val="51"/>
          <w:position w:val="14"/>
          <w:sz w:val="21"/>
          <w:szCs w:val="21"/>
        </w:rPr>
        <w:t xml:space="preserve"> </w:t>
      </w:r>
      <w:r>
        <w:rPr>
          <w:rFonts w:ascii="宋体" w:hAnsi="宋体" w:eastAsia="宋体" w:cs="宋体"/>
          <w:spacing w:val="-3"/>
          <w:position w:val="14"/>
          <w:sz w:val="21"/>
          <w:szCs w:val="21"/>
        </w:rPr>
        <w:t>评标委员会应当封存</w:t>
      </w:r>
      <w:r>
        <w:rPr>
          <w:rFonts w:ascii="宋体" w:hAnsi="宋体" w:eastAsia="宋体" w:cs="宋体"/>
          <w:spacing w:val="-4"/>
          <w:position w:val="14"/>
          <w:sz w:val="21"/>
          <w:szCs w:val="21"/>
        </w:rPr>
        <w:t>全部投标文件和评标记录，待不可</w:t>
      </w:r>
    </w:p>
    <w:p w14:paraId="6413D5C3">
      <w:pPr>
        <w:spacing w:before="1" w:line="219" w:lineRule="auto"/>
        <w:ind w:left="18"/>
        <w:rPr>
          <w:rFonts w:ascii="宋体" w:hAnsi="宋体" w:eastAsia="宋体" w:cs="宋体"/>
          <w:sz w:val="21"/>
          <w:szCs w:val="21"/>
        </w:rPr>
      </w:pPr>
      <w:r>
        <w:rPr>
          <w:rFonts w:ascii="宋体" w:hAnsi="宋体" w:eastAsia="宋体" w:cs="宋体"/>
          <w:spacing w:val="-1"/>
          <w:sz w:val="21"/>
          <w:szCs w:val="21"/>
        </w:rPr>
        <w:t>抗力的影响结束且具备继续评标的条件时，由原评标委员会继续评标。</w:t>
      </w:r>
    </w:p>
    <w:p w14:paraId="791C05A3">
      <w:pPr>
        <w:spacing w:before="154" w:line="219" w:lineRule="auto"/>
        <w:ind w:left="11"/>
        <w:rPr>
          <w:rFonts w:ascii="黑体" w:hAnsi="黑体" w:eastAsia="黑体" w:cs="黑体"/>
          <w:sz w:val="21"/>
          <w:szCs w:val="21"/>
        </w:rPr>
      </w:pPr>
      <w:r>
        <w:rPr>
          <w:rFonts w:ascii="Times New Roman" w:hAnsi="Times New Roman" w:eastAsia="Times New Roman" w:cs="Times New Roman"/>
          <w:spacing w:val="-1"/>
          <w:sz w:val="21"/>
          <w:szCs w:val="21"/>
        </w:rPr>
        <w:t xml:space="preserve">A6.3 </w:t>
      </w:r>
      <w:r>
        <w:rPr>
          <w:rFonts w:ascii="黑体" w:hAnsi="黑体" w:eastAsia="黑体" w:cs="黑体"/>
          <w:spacing w:val="-1"/>
          <w:sz w:val="21"/>
          <w:szCs w:val="21"/>
        </w:rPr>
        <w:t>关于评标中途更换评标委员会成员</w:t>
      </w:r>
    </w:p>
    <w:p w14:paraId="1F29B4CF">
      <w:pPr>
        <w:spacing w:before="150" w:line="352" w:lineRule="auto"/>
        <w:ind w:left="446" w:right="1482" w:hanging="12"/>
        <w:jc w:val="both"/>
        <w:rPr>
          <w:rFonts w:ascii="宋体" w:hAnsi="宋体" w:eastAsia="宋体" w:cs="宋体"/>
          <w:sz w:val="21"/>
          <w:szCs w:val="21"/>
        </w:rPr>
      </w:pPr>
      <w:r>
        <w:rPr>
          <w:rFonts w:ascii="宋体" w:hAnsi="宋体" w:eastAsia="宋体" w:cs="宋体"/>
          <w:spacing w:val="-2"/>
          <w:sz w:val="21"/>
          <w:szCs w:val="21"/>
        </w:rPr>
        <w:t>A6.3.1</w:t>
      </w:r>
      <w:r>
        <w:rPr>
          <w:rFonts w:ascii="宋体" w:hAnsi="宋体" w:eastAsia="宋体" w:cs="宋体"/>
          <w:spacing w:val="-31"/>
          <w:sz w:val="21"/>
          <w:szCs w:val="21"/>
        </w:rPr>
        <w:t xml:space="preserve"> </w:t>
      </w:r>
      <w:r>
        <w:rPr>
          <w:rFonts w:ascii="宋体" w:hAnsi="宋体" w:eastAsia="宋体" w:cs="宋体"/>
          <w:spacing w:val="-2"/>
          <w:sz w:val="21"/>
          <w:szCs w:val="21"/>
        </w:rPr>
        <w:t>除非发生下列情况之一，评标委员会成</w:t>
      </w:r>
      <w:r>
        <w:rPr>
          <w:rFonts w:ascii="宋体" w:hAnsi="宋体" w:eastAsia="宋体" w:cs="宋体"/>
          <w:spacing w:val="-3"/>
          <w:sz w:val="21"/>
          <w:szCs w:val="21"/>
        </w:rPr>
        <w:t xml:space="preserve">员不得在评标中途更换： </w:t>
      </w:r>
      <w:r>
        <w:rPr>
          <w:rFonts w:ascii="宋体" w:hAnsi="宋体" w:eastAsia="宋体" w:cs="宋体"/>
          <w:spacing w:val="-4"/>
          <w:sz w:val="21"/>
          <w:szCs w:val="21"/>
        </w:rPr>
        <w:t>（1）因不可抗拒的客观原因， 不能到场</w:t>
      </w:r>
      <w:r>
        <w:rPr>
          <w:rFonts w:ascii="宋体" w:hAnsi="宋体" w:eastAsia="宋体" w:cs="宋体"/>
          <w:spacing w:val="-5"/>
          <w:sz w:val="21"/>
          <w:szCs w:val="21"/>
        </w:rPr>
        <w:t>或需在评标中途退出评标活动。</w:t>
      </w:r>
    </w:p>
    <w:p w14:paraId="2F0E5038">
      <w:pPr>
        <w:spacing w:before="1" w:line="219" w:lineRule="auto"/>
        <w:ind w:left="447"/>
        <w:rPr>
          <w:rFonts w:ascii="宋体" w:hAnsi="宋体" w:eastAsia="宋体" w:cs="宋体"/>
          <w:sz w:val="21"/>
          <w:szCs w:val="21"/>
        </w:rPr>
      </w:pPr>
      <w:r>
        <w:rPr>
          <w:rFonts w:ascii="宋体" w:hAnsi="宋体" w:eastAsia="宋体" w:cs="宋体"/>
          <w:spacing w:val="-1"/>
          <w:sz w:val="21"/>
          <w:szCs w:val="21"/>
        </w:rPr>
        <w:t>（2）根据法律法规规定，某个或某几个评标委员会成员需要回避。</w:t>
      </w:r>
    </w:p>
    <w:p w14:paraId="69B59148">
      <w:pPr>
        <w:spacing w:before="148" w:line="399" w:lineRule="exact"/>
        <w:ind w:left="434"/>
        <w:rPr>
          <w:rFonts w:ascii="宋体" w:hAnsi="宋体" w:eastAsia="宋体" w:cs="宋体"/>
          <w:sz w:val="21"/>
          <w:szCs w:val="21"/>
        </w:rPr>
      </w:pPr>
      <w:r>
        <w:rPr>
          <w:rFonts w:ascii="宋体" w:hAnsi="宋体" w:eastAsia="宋体" w:cs="宋体"/>
          <w:spacing w:val="1"/>
          <w:position w:val="14"/>
          <w:sz w:val="21"/>
          <w:szCs w:val="21"/>
        </w:rPr>
        <w:t>A6.3.2 退出评标的评标委员会成员，</w:t>
      </w:r>
      <w:r>
        <w:rPr>
          <w:rFonts w:ascii="宋体" w:hAnsi="宋体" w:eastAsia="宋体" w:cs="宋体"/>
          <w:position w:val="14"/>
          <w:sz w:val="21"/>
          <w:szCs w:val="21"/>
        </w:rPr>
        <w:t>其已完成的评标行为无效。由招标人根据本招标</w:t>
      </w:r>
    </w:p>
    <w:p w14:paraId="50F3D099">
      <w:pPr>
        <w:spacing w:before="1" w:line="219" w:lineRule="auto"/>
        <w:ind w:left="20"/>
        <w:rPr>
          <w:rFonts w:ascii="宋体" w:hAnsi="宋体" w:eastAsia="宋体" w:cs="宋体"/>
          <w:sz w:val="21"/>
          <w:szCs w:val="21"/>
        </w:rPr>
      </w:pPr>
      <w:r>
        <w:rPr>
          <w:rFonts w:ascii="宋体" w:hAnsi="宋体" w:eastAsia="宋体" w:cs="宋体"/>
          <w:spacing w:val="-1"/>
          <w:sz w:val="21"/>
          <w:szCs w:val="21"/>
        </w:rPr>
        <w:t>文件规定的评标委员会成员生产方式另行确定替代者进</w:t>
      </w:r>
      <w:r>
        <w:rPr>
          <w:rFonts w:ascii="宋体" w:hAnsi="宋体" w:eastAsia="宋体" w:cs="宋体"/>
          <w:spacing w:val="-2"/>
          <w:sz w:val="21"/>
          <w:szCs w:val="21"/>
        </w:rPr>
        <w:t>行评标。</w:t>
      </w:r>
    </w:p>
    <w:p w14:paraId="7EF754B6">
      <w:pPr>
        <w:spacing w:before="153" w:line="220" w:lineRule="auto"/>
        <w:ind w:left="11"/>
        <w:rPr>
          <w:rFonts w:ascii="黑体" w:hAnsi="黑体" w:eastAsia="黑体" w:cs="黑体"/>
          <w:sz w:val="21"/>
          <w:szCs w:val="21"/>
        </w:rPr>
      </w:pPr>
      <w:r>
        <w:rPr>
          <w:rFonts w:ascii="Times New Roman" w:hAnsi="Times New Roman" w:eastAsia="Times New Roman" w:cs="Times New Roman"/>
          <w:sz w:val="21"/>
          <w:szCs w:val="21"/>
        </w:rPr>
        <w:t xml:space="preserve">A6.4 </w:t>
      </w:r>
      <w:r>
        <w:rPr>
          <w:rFonts w:ascii="黑体" w:hAnsi="黑体" w:eastAsia="黑体" w:cs="黑体"/>
          <w:sz w:val="21"/>
          <w:szCs w:val="21"/>
        </w:rPr>
        <w:t>评标争议处理</w:t>
      </w:r>
    </w:p>
    <w:p w14:paraId="27CCB447">
      <w:pPr>
        <w:spacing w:before="148" w:line="220" w:lineRule="auto"/>
        <w:ind w:left="434"/>
        <w:rPr>
          <w:rFonts w:ascii="宋体" w:hAnsi="宋体" w:eastAsia="宋体" w:cs="宋体"/>
          <w:sz w:val="21"/>
          <w:szCs w:val="21"/>
        </w:rPr>
      </w:pPr>
      <w:r>
        <w:rPr>
          <w:rFonts w:ascii="宋体" w:hAnsi="宋体" w:eastAsia="宋体" w:cs="宋体"/>
          <w:spacing w:val="-1"/>
          <w:sz w:val="21"/>
          <w:szCs w:val="21"/>
        </w:rPr>
        <w:t>A6.4.1</w:t>
      </w:r>
      <w:r>
        <w:rPr>
          <w:rFonts w:ascii="宋体" w:hAnsi="宋体" w:eastAsia="宋体" w:cs="宋体"/>
          <w:spacing w:val="-29"/>
          <w:sz w:val="21"/>
          <w:szCs w:val="21"/>
        </w:rPr>
        <w:t xml:space="preserve"> </w:t>
      </w:r>
      <w:r>
        <w:rPr>
          <w:rFonts w:ascii="宋体" w:hAnsi="宋体" w:eastAsia="宋体" w:cs="宋体"/>
          <w:spacing w:val="-1"/>
          <w:sz w:val="21"/>
          <w:szCs w:val="21"/>
        </w:rPr>
        <w:t>评标委员会全体成员应独立评审，对所提出的评审意见承担个人责任。</w:t>
      </w:r>
    </w:p>
    <w:p w14:paraId="70E97CE9">
      <w:pPr>
        <w:spacing w:before="147" w:line="353" w:lineRule="auto"/>
        <w:ind w:left="17" w:right="174" w:firstLine="417"/>
        <w:rPr>
          <w:rFonts w:ascii="宋体" w:hAnsi="宋体" w:eastAsia="宋体" w:cs="宋体"/>
          <w:sz w:val="21"/>
          <w:szCs w:val="21"/>
        </w:rPr>
      </w:pPr>
      <w:r>
        <w:rPr>
          <w:rFonts w:ascii="宋体" w:hAnsi="宋体" w:eastAsia="宋体" w:cs="宋体"/>
          <w:spacing w:val="1"/>
          <w:sz w:val="21"/>
          <w:szCs w:val="21"/>
        </w:rPr>
        <w:t>A6.4.2 在任何评标环节中，需评标委</w:t>
      </w:r>
      <w:r>
        <w:rPr>
          <w:rFonts w:ascii="宋体" w:hAnsi="宋体" w:eastAsia="宋体" w:cs="宋体"/>
          <w:sz w:val="21"/>
          <w:szCs w:val="21"/>
        </w:rPr>
        <w:t xml:space="preserve">员会就某项定性的评审结论做出表决的，由评标 </w:t>
      </w:r>
      <w:r>
        <w:rPr>
          <w:rFonts w:ascii="宋体" w:hAnsi="宋体" w:eastAsia="宋体" w:cs="宋体"/>
          <w:spacing w:val="3"/>
          <w:sz w:val="21"/>
          <w:szCs w:val="21"/>
        </w:rPr>
        <w:t>委员会全体成员按照少数服从多数的原则，以记名投票方式表决。表决不得违</w:t>
      </w:r>
      <w:r>
        <w:rPr>
          <w:rFonts w:ascii="宋体" w:hAnsi="宋体" w:eastAsia="宋体" w:cs="宋体"/>
          <w:spacing w:val="2"/>
          <w:sz w:val="21"/>
          <w:szCs w:val="21"/>
        </w:rPr>
        <w:t>背法律、法</w:t>
      </w:r>
    </w:p>
    <w:p w14:paraId="68E2E8EF">
      <w:pPr>
        <w:spacing w:before="1" w:line="219" w:lineRule="auto"/>
        <w:ind w:left="19"/>
        <w:rPr>
          <w:rFonts w:ascii="宋体" w:hAnsi="宋体" w:eastAsia="宋体" w:cs="宋体"/>
          <w:sz w:val="21"/>
          <w:szCs w:val="21"/>
        </w:rPr>
      </w:pPr>
      <w:r>
        <w:rPr>
          <w:rFonts w:ascii="宋体" w:hAnsi="宋体" w:eastAsia="宋体" w:cs="宋体"/>
          <w:spacing w:val="-3"/>
          <w:sz w:val="21"/>
          <w:szCs w:val="21"/>
        </w:rPr>
        <w:t>规、规章和招标文件的规定。</w:t>
      </w:r>
    </w:p>
    <w:p w14:paraId="5A64BDC6">
      <w:pPr>
        <w:spacing w:before="149" w:line="352" w:lineRule="auto"/>
        <w:ind w:left="19" w:right="173" w:firstLine="415"/>
        <w:rPr>
          <w:rFonts w:ascii="宋体" w:hAnsi="宋体" w:eastAsia="宋体" w:cs="宋体"/>
          <w:sz w:val="21"/>
          <w:szCs w:val="21"/>
        </w:rPr>
      </w:pPr>
      <w:r>
        <w:rPr>
          <w:rFonts w:ascii="宋体" w:hAnsi="宋体" w:eastAsia="宋体" w:cs="宋体"/>
          <w:spacing w:val="-2"/>
          <w:sz w:val="21"/>
          <w:szCs w:val="21"/>
        </w:rPr>
        <w:t>A6.4.3 评标委员会成员对书面决议或评审结论持有异议的， 可以书面阐述其不同意见</w:t>
      </w:r>
      <w:r>
        <w:rPr>
          <w:rFonts w:ascii="宋体" w:hAnsi="宋体" w:eastAsia="宋体" w:cs="宋体"/>
          <w:sz w:val="21"/>
          <w:szCs w:val="21"/>
        </w:rPr>
        <w:t xml:space="preserve"> 和理由。拒绝在书面决议或评标报告上签名， 且不陈述其不同意见和理由的，视为同意书</w:t>
      </w:r>
    </w:p>
    <w:p w14:paraId="546ABC4A">
      <w:pPr>
        <w:spacing w:before="1" w:line="219" w:lineRule="auto"/>
        <w:ind w:left="19"/>
        <w:rPr>
          <w:rFonts w:ascii="宋体" w:hAnsi="宋体" w:eastAsia="宋体" w:cs="宋体"/>
          <w:sz w:val="21"/>
          <w:szCs w:val="21"/>
        </w:rPr>
      </w:pPr>
      <w:r>
        <w:rPr>
          <w:rFonts w:ascii="宋体" w:hAnsi="宋体" w:eastAsia="宋体" w:cs="宋体"/>
          <w:spacing w:val="-4"/>
          <w:sz w:val="21"/>
          <w:szCs w:val="21"/>
        </w:rPr>
        <w:t>面决议或评标结论， 评标委员会应当对此在评标报告中做出书面</w:t>
      </w:r>
      <w:r>
        <w:rPr>
          <w:rFonts w:ascii="宋体" w:hAnsi="宋体" w:eastAsia="宋体" w:cs="宋体"/>
          <w:spacing w:val="-5"/>
          <w:sz w:val="21"/>
          <w:szCs w:val="21"/>
        </w:rPr>
        <w:t>说明。</w:t>
      </w:r>
    </w:p>
    <w:p w14:paraId="640E4922">
      <w:pPr>
        <w:spacing w:line="219" w:lineRule="auto"/>
        <w:rPr>
          <w:rFonts w:ascii="宋体" w:hAnsi="宋体" w:eastAsia="宋体" w:cs="宋体"/>
          <w:sz w:val="21"/>
          <w:szCs w:val="21"/>
        </w:rPr>
        <w:sectPr>
          <w:footerReference r:id="rId58" w:type="default"/>
          <w:pgSz w:w="11905" w:h="16839"/>
          <w:pgMar w:top="1431" w:right="1613" w:bottom="996" w:left="1785" w:header="0" w:footer="791" w:gutter="0"/>
          <w:pgNumType w:fmt="decimal"/>
          <w:cols w:space="720" w:num="1"/>
        </w:sectPr>
      </w:pPr>
    </w:p>
    <w:p w14:paraId="2C9C4AF8">
      <w:pPr>
        <w:spacing w:before="123" w:line="220" w:lineRule="auto"/>
        <w:ind w:left="11"/>
        <w:rPr>
          <w:rFonts w:ascii="黑体" w:hAnsi="黑体" w:eastAsia="黑体" w:cs="黑体"/>
          <w:sz w:val="24"/>
          <w:szCs w:val="24"/>
        </w:rPr>
      </w:pPr>
      <w:bookmarkStart w:id="145" w:name="bookmark170"/>
      <w:bookmarkEnd w:id="145"/>
      <w:bookmarkStart w:id="146" w:name="bookmark168"/>
      <w:bookmarkEnd w:id="146"/>
      <w:bookmarkStart w:id="147" w:name="bookmark169"/>
      <w:bookmarkEnd w:id="147"/>
      <w:r>
        <w:rPr>
          <w:rFonts w:ascii="Times New Roman" w:hAnsi="Times New Roman" w:eastAsia="Times New Roman" w:cs="Times New Roman"/>
          <w:sz w:val="24"/>
          <w:szCs w:val="24"/>
        </w:rPr>
        <w:t>A7.</w:t>
      </w:r>
      <w:r>
        <w:rPr>
          <w:rFonts w:ascii="黑体" w:hAnsi="黑体" w:eastAsia="黑体" w:cs="黑体"/>
          <w:sz w:val="24"/>
          <w:szCs w:val="24"/>
        </w:rPr>
        <w:t>补充条款</w:t>
      </w:r>
    </w:p>
    <w:p w14:paraId="1D5B9F46">
      <w:pPr>
        <w:pStyle w:val="3"/>
        <w:spacing w:line="257" w:lineRule="auto"/>
      </w:pPr>
    </w:p>
    <w:p w14:paraId="21AF9206">
      <w:pPr>
        <w:spacing w:line="35" w:lineRule="exact"/>
        <w:ind w:firstLine="454"/>
      </w:pPr>
      <w:r>
        <w:drawing>
          <wp:inline distT="0" distB="0" distL="0" distR="0">
            <wp:extent cx="229870" cy="22225"/>
            <wp:effectExtent l="0" t="0" r="0" b="0"/>
            <wp:docPr id="2"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237"/>
                    <a:stretch>
                      <a:fillRect/>
                    </a:stretch>
                  </pic:blipFill>
                  <pic:spPr>
                    <a:xfrm>
                      <a:off x="0" y="0"/>
                      <a:ext cx="230302" cy="22352"/>
                    </a:xfrm>
                    <a:prstGeom prst="rect">
                      <a:avLst/>
                    </a:prstGeom>
                  </pic:spPr>
                </pic:pic>
              </a:graphicData>
            </a:graphic>
          </wp:inline>
        </w:drawing>
      </w:r>
    </w:p>
    <w:p w14:paraId="7F4BDD47">
      <w:pPr>
        <w:spacing w:line="35" w:lineRule="exact"/>
        <w:sectPr>
          <w:footerReference r:id="rId59" w:type="default"/>
          <w:pgSz w:w="11905" w:h="16839"/>
          <w:pgMar w:top="1431" w:right="1785" w:bottom="996" w:left="1785" w:header="0" w:footer="791" w:gutter="0"/>
          <w:pgNumType w:fmt="decimal"/>
          <w:cols w:space="720" w:num="1"/>
        </w:sectPr>
      </w:pPr>
    </w:p>
    <w:p w14:paraId="433EF29A">
      <w:pPr>
        <w:pStyle w:val="3"/>
        <w:spacing w:before="306" w:line="220" w:lineRule="auto"/>
        <w:ind w:left="32"/>
        <w:rPr>
          <w:rFonts w:ascii="黑体" w:hAnsi="黑体" w:eastAsia="黑体" w:cs="黑体"/>
          <w:sz w:val="24"/>
          <w:szCs w:val="24"/>
        </w:rPr>
      </w:pPr>
      <w:r>
        <w:rPr>
          <w:rFonts w:ascii="黑体" w:hAnsi="黑体" w:eastAsia="黑体" w:cs="黑体"/>
          <w:spacing w:val="-5"/>
          <w:sz w:val="24"/>
          <w:szCs w:val="24"/>
        </w:rPr>
        <w:t>附件</w:t>
      </w:r>
      <w:r>
        <w:rPr>
          <w:rFonts w:ascii="黑体" w:hAnsi="黑体" w:eastAsia="黑体" w:cs="黑体"/>
          <w:spacing w:val="-42"/>
          <w:sz w:val="24"/>
          <w:szCs w:val="24"/>
        </w:rPr>
        <w:t xml:space="preserve"> </w:t>
      </w:r>
      <w:r>
        <w:rPr>
          <w:spacing w:val="-5"/>
          <w:sz w:val="24"/>
          <w:szCs w:val="24"/>
        </w:rPr>
        <w:t>B</w:t>
      </w:r>
      <w:r>
        <w:rPr>
          <w:rFonts w:ascii="黑体" w:hAnsi="黑体" w:eastAsia="黑体" w:cs="黑体"/>
          <w:spacing w:val="-5"/>
          <w:sz w:val="24"/>
          <w:szCs w:val="24"/>
        </w:rPr>
        <w:t>：否决投标的条件</w:t>
      </w:r>
    </w:p>
    <w:p w14:paraId="5FD4E45C">
      <w:pPr>
        <w:pStyle w:val="3"/>
        <w:spacing w:line="427" w:lineRule="auto"/>
      </w:pPr>
    </w:p>
    <w:p w14:paraId="14F5F04E">
      <w:pPr>
        <w:spacing w:before="88" w:line="225" w:lineRule="auto"/>
        <w:ind w:left="3195"/>
        <w:rPr>
          <w:rFonts w:ascii="黑体" w:hAnsi="黑体" w:eastAsia="黑体" w:cs="黑体"/>
          <w:sz w:val="27"/>
          <w:szCs w:val="27"/>
        </w:rPr>
      </w:pPr>
      <w:r>
        <w:rPr>
          <w:rFonts w:ascii="黑体" w:hAnsi="黑体" w:eastAsia="黑体" w:cs="黑体"/>
          <w:spacing w:val="9"/>
          <w:sz w:val="27"/>
          <w:szCs w:val="27"/>
          <w14:textOutline w14:w="5050" w14:cap="flat" w14:cmpd="sng">
            <w14:solidFill>
              <w14:srgbClr w14:val="000000"/>
            </w14:solidFill>
            <w14:prstDash w14:val="solid"/>
            <w14:miter w14:val="0"/>
          </w14:textOutline>
        </w:rPr>
        <w:t>否决投标的条件</w:t>
      </w:r>
    </w:p>
    <w:p w14:paraId="291EC4A2">
      <w:pPr>
        <w:spacing w:before="106" w:line="219" w:lineRule="auto"/>
        <w:ind w:left="14"/>
        <w:rPr>
          <w:rFonts w:ascii="黑体" w:hAnsi="黑体" w:eastAsia="黑体" w:cs="黑体"/>
          <w:sz w:val="24"/>
          <w:szCs w:val="24"/>
        </w:rPr>
      </w:pPr>
      <w:r>
        <w:rPr>
          <w:rFonts w:ascii="Times New Roman" w:hAnsi="Times New Roman" w:eastAsia="Times New Roman" w:cs="Times New Roman"/>
          <w:spacing w:val="-1"/>
          <w:sz w:val="24"/>
          <w:szCs w:val="24"/>
        </w:rPr>
        <w:t>B0.</w:t>
      </w:r>
      <w:r>
        <w:rPr>
          <w:rFonts w:ascii="黑体" w:hAnsi="黑体" w:eastAsia="黑体" w:cs="黑体"/>
          <w:spacing w:val="-1"/>
          <w:sz w:val="24"/>
          <w:szCs w:val="24"/>
        </w:rPr>
        <w:t>总</w:t>
      </w:r>
      <w:r>
        <w:rPr>
          <w:rFonts w:ascii="黑体" w:hAnsi="黑体" w:eastAsia="黑体" w:cs="黑体"/>
          <w:spacing w:val="14"/>
          <w:sz w:val="24"/>
          <w:szCs w:val="24"/>
        </w:rPr>
        <w:t xml:space="preserve"> </w:t>
      </w:r>
      <w:r>
        <w:rPr>
          <w:rFonts w:ascii="黑体" w:hAnsi="黑体" w:eastAsia="黑体" w:cs="黑体"/>
          <w:spacing w:val="-1"/>
          <w:sz w:val="24"/>
          <w:szCs w:val="24"/>
        </w:rPr>
        <w:t>则</w:t>
      </w:r>
    </w:p>
    <w:p w14:paraId="7B06BC9C">
      <w:pPr>
        <w:spacing w:before="162" w:line="432" w:lineRule="exact"/>
        <w:ind w:left="442"/>
        <w:rPr>
          <w:rFonts w:ascii="宋体" w:hAnsi="宋体" w:eastAsia="宋体" w:cs="宋体"/>
          <w:sz w:val="21"/>
          <w:szCs w:val="21"/>
        </w:rPr>
      </w:pPr>
      <w:r>
        <w:rPr>
          <w:rFonts w:ascii="宋体" w:hAnsi="宋体" w:eastAsia="宋体" w:cs="宋体"/>
          <w:spacing w:val="3"/>
          <w:position w:val="16"/>
          <w:sz w:val="21"/>
          <w:szCs w:val="21"/>
        </w:rPr>
        <w:t>本附件所集中列示的否决投标的条件，是本章“评标办法”的组成部分，是对第二章</w:t>
      </w:r>
    </w:p>
    <w:p w14:paraId="36618A2F">
      <w:pPr>
        <w:spacing w:line="219" w:lineRule="auto"/>
        <w:ind w:left="4"/>
        <w:rPr>
          <w:rFonts w:ascii="宋体" w:hAnsi="宋体" w:eastAsia="宋体" w:cs="宋体"/>
          <w:sz w:val="21"/>
          <w:szCs w:val="21"/>
        </w:rPr>
      </w:pPr>
      <w:r>
        <w:rPr>
          <w:rFonts w:ascii="宋体" w:hAnsi="宋体" w:eastAsia="宋体" w:cs="宋体"/>
          <w:spacing w:val="3"/>
          <w:sz w:val="21"/>
          <w:szCs w:val="21"/>
        </w:rPr>
        <w:t>“投标人须知”和本章正文部分所规定的否决投标的条件的总结和补充，如果出现不一致</w:t>
      </w:r>
    </w:p>
    <w:p w14:paraId="2B4F6633">
      <w:pPr>
        <w:spacing w:before="178" w:line="383" w:lineRule="exact"/>
        <w:ind w:left="35"/>
        <w:rPr>
          <w:rFonts w:ascii="宋体" w:hAnsi="宋体" w:eastAsia="宋体" w:cs="宋体"/>
          <w:sz w:val="21"/>
          <w:szCs w:val="21"/>
        </w:rPr>
      </w:pPr>
      <w:r>
        <w:rPr>
          <w:rFonts w:ascii="宋体" w:hAnsi="宋体" w:eastAsia="宋体" w:cs="宋体"/>
          <w:spacing w:val="-9"/>
          <w:position w:val="13"/>
          <w:sz w:val="21"/>
          <w:szCs w:val="21"/>
        </w:rPr>
        <w:t>的情况，</w:t>
      </w:r>
      <w:r>
        <w:rPr>
          <w:rFonts w:ascii="宋体" w:hAnsi="宋体" w:eastAsia="宋体" w:cs="宋体"/>
          <w:spacing w:val="40"/>
          <w:position w:val="13"/>
          <w:sz w:val="21"/>
          <w:szCs w:val="21"/>
        </w:rPr>
        <w:t xml:space="preserve"> </w:t>
      </w:r>
      <w:r>
        <w:rPr>
          <w:rFonts w:ascii="宋体" w:hAnsi="宋体" w:eastAsia="宋体" w:cs="宋体"/>
          <w:spacing w:val="-9"/>
          <w:position w:val="13"/>
          <w:sz w:val="21"/>
          <w:szCs w:val="21"/>
        </w:rPr>
        <w:t>以本章前附表和正文部分的规定为准。</w:t>
      </w:r>
    </w:p>
    <w:p w14:paraId="33E71A2A">
      <w:pPr>
        <w:spacing w:before="1" w:line="219" w:lineRule="auto"/>
        <w:ind w:left="14"/>
        <w:rPr>
          <w:rFonts w:ascii="黑体" w:hAnsi="黑体" w:eastAsia="黑体" w:cs="黑体"/>
          <w:sz w:val="24"/>
          <w:szCs w:val="24"/>
        </w:rPr>
      </w:pPr>
      <w:r>
        <w:rPr>
          <w:rFonts w:ascii="Times New Roman" w:hAnsi="Times New Roman" w:eastAsia="Times New Roman" w:cs="Times New Roman"/>
          <w:spacing w:val="-1"/>
          <w:sz w:val="24"/>
          <w:szCs w:val="24"/>
        </w:rPr>
        <w:t>B1.</w:t>
      </w:r>
      <w:r>
        <w:rPr>
          <w:rFonts w:ascii="黑体" w:hAnsi="黑体" w:eastAsia="黑体" w:cs="黑体"/>
          <w:spacing w:val="-1"/>
          <w:sz w:val="24"/>
          <w:szCs w:val="24"/>
        </w:rPr>
        <w:t>否决投标的条件</w:t>
      </w:r>
    </w:p>
    <w:p w14:paraId="09D1AC24">
      <w:pPr>
        <w:spacing w:before="161" w:line="220" w:lineRule="auto"/>
        <w:ind w:left="443"/>
        <w:rPr>
          <w:rFonts w:ascii="宋体" w:hAnsi="宋体" w:eastAsia="宋体" w:cs="宋体"/>
          <w:sz w:val="21"/>
          <w:szCs w:val="21"/>
        </w:rPr>
      </w:pPr>
      <w:r>
        <w:rPr>
          <w:rFonts w:ascii="宋体" w:hAnsi="宋体" w:eastAsia="宋体" w:cs="宋体"/>
          <w:sz w:val="21"/>
          <w:szCs w:val="21"/>
        </w:rPr>
        <w:t>投标人或其投标文件有下列情形之一的，评标委员</w:t>
      </w:r>
      <w:r>
        <w:rPr>
          <w:rFonts w:ascii="宋体" w:hAnsi="宋体" w:eastAsia="宋体" w:cs="宋体"/>
          <w:spacing w:val="-1"/>
          <w:sz w:val="21"/>
          <w:szCs w:val="21"/>
        </w:rPr>
        <w:t>会应当否决其投标：</w:t>
      </w:r>
    </w:p>
    <w:p w14:paraId="5E78D5BB">
      <w:pPr>
        <w:spacing w:before="182" w:line="432" w:lineRule="exact"/>
        <w:ind w:left="436"/>
        <w:rPr>
          <w:rFonts w:ascii="宋体" w:hAnsi="宋体" w:eastAsia="宋体" w:cs="宋体"/>
          <w:sz w:val="21"/>
          <w:szCs w:val="21"/>
        </w:rPr>
      </w:pPr>
      <w:r>
        <w:rPr>
          <w:rFonts w:ascii="宋体" w:hAnsi="宋体" w:eastAsia="宋体" w:cs="宋体"/>
          <w:spacing w:val="-3"/>
          <w:position w:val="16"/>
          <w:sz w:val="21"/>
          <w:szCs w:val="21"/>
        </w:rPr>
        <w:t>B1.1 在形式评审、资格评审、响应性评审</w:t>
      </w:r>
      <w:r>
        <w:rPr>
          <w:rFonts w:ascii="宋体" w:hAnsi="宋体" w:eastAsia="宋体" w:cs="宋体"/>
          <w:spacing w:val="-4"/>
          <w:position w:val="16"/>
          <w:sz w:val="21"/>
          <w:szCs w:val="21"/>
        </w:rPr>
        <w:t>中，</w:t>
      </w:r>
      <w:r>
        <w:rPr>
          <w:rFonts w:ascii="宋体" w:hAnsi="宋体" w:eastAsia="宋体" w:cs="宋体"/>
          <w:spacing w:val="50"/>
          <w:position w:val="16"/>
          <w:sz w:val="21"/>
          <w:szCs w:val="21"/>
        </w:rPr>
        <w:t xml:space="preserve"> </w:t>
      </w:r>
      <w:r>
        <w:rPr>
          <w:rFonts w:ascii="宋体" w:hAnsi="宋体" w:eastAsia="宋体" w:cs="宋体"/>
          <w:spacing w:val="-4"/>
          <w:position w:val="16"/>
          <w:sz w:val="21"/>
          <w:szCs w:val="21"/>
        </w:rPr>
        <w:t>评标委员会认定投标人的投标文件不符</w:t>
      </w:r>
    </w:p>
    <w:p w14:paraId="69570FD9">
      <w:pPr>
        <w:spacing w:before="1" w:line="219" w:lineRule="auto"/>
        <w:ind w:left="19"/>
        <w:rPr>
          <w:rFonts w:ascii="宋体" w:hAnsi="宋体" w:eastAsia="宋体" w:cs="宋体"/>
          <w:sz w:val="21"/>
          <w:szCs w:val="21"/>
        </w:rPr>
      </w:pPr>
      <w:r>
        <w:rPr>
          <w:rFonts w:ascii="宋体" w:hAnsi="宋体" w:eastAsia="宋体" w:cs="宋体"/>
          <w:spacing w:val="-1"/>
          <w:sz w:val="21"/>
          <w:szCs w:val="21"/>
        </w:rPr>
        <w:t>合评标办法前附表中规定的任何一项评审标准的。</w:t>
      </w:r>
      <w:r>
        <w:rPr>
          <w:rFonts w:ascii="宋体" w:hAnsi="宋体" w:eastAsia="宋体" w:cs="宋体"/>
          <w:spacing w:val="-2"/>
          <w:sz w:val="21"/>
          <w:szCs w:val="21"/>
        </w:rPr>
        <w:t>主要包括以下内容：</w:t>
      </w:r>
    </w:p>
    <w:p w14:paraId="7EC8F8B9">
      <w:pPr>
        <w:spacing w:before="178" w:line="432" w:lineRule="exact"/>
        <w:ind w:left="447"/>
        <w:rPr>
          <w:rFonts w:ascii="宋体" w:hAnsi="宋体" w:eastAsia="宋体" w:cs="宋体"/>
          <w:sz w:val="21"/>
          <w:szCs w:val="21"/>
        </w:rPr>
      </w:pPr>
      <w:r>
        <w:rPr>
          <w:rFonts w:ascii="宋体" w:hAnsi="宋体" w:eastAsia="宋体" w:cs="宋体"/>
          <w:position w:val="16"/>
          <w:sz w:val="21"/>
          <w:szCs w:val="21"/>
        </w:rPr>
        <w:t>（</w:t>
      </w:r>
      <w:r>
        <w:rPr>
          <w:rFonts w:ascii="Times New Roman" w:hAnsi="Times New Roman" w:eastAsia="Times New Roman" w:cs="Times New Roman"/>
          <w:position w:val="16"/>
          <w:sz w:val="21"/>
          <w:szCs w:val="21"/>
        </w:rPr>
        <w:t>1</w:t>
      </w:r>
      <w:r>
        <w:rPr>
          <w:rFonts w:ascii="宋体" w:hAnsi="宋体" w:eastAsia="宋体" w:cs="宋体"/>
          <w:position w:val="16"/>
          <w:sz w:val="21"/>
          <w:szCs w:val="21"/>
        </w:rPr>
        <w:t>）投标人名称与营业执照、资质证书、安全生产许可证不一致；或提供无效的营业</w:t>
      </w:r>
    </w:p>
    <w:p w14:paraId="65F4CBD9">
      <w:pPr>
        <w:spacing w:before="1" w:line="219" w:lineRule="auto"/>
        <w:ind w:left="18"/>
        <w:rPr>
          <w:rFonts w:ascii="宋体" w:hAnsi="宋体" w:eastAsia="宋体" w:cs="宋体"/>
          <w:sz w:val="21"/>
          <w:szCs w:val="21"/>
        </w:rPr>
      </w:pPr>
      <w:r>
        <w:rPr>
          <w:rFonts w:ascii="宋体" w:hAnsi="宋体" w:eastAsia="宋体" w:cs="宋体"/>
          <w:spacing w:val="-3"/>
          <w:sz w:val="21"/>
          <w:szCs w:val="21"/>
        </w:rPr>
        <w:t>执照、资质证书、安全生产许可证的；</w:t>
      </w:r>
    </w:p>
    <w:p w14:paraId="6688A4F2">
      <w:pPr>
        <w:spacing w:before="177" w:line="432" w:lineRule="exact"/>
        <w:ind w:left="447"/>
        <w:rPr>
          <w:rFonts w:ascii="宋体" w:hAnsi="宋体" w:eastAsia="宋体" w:cs="宋体"/>
          <w:sz w:val="21"/>
          <w:szCs w:val="21"/>
        </w:rPr>
      </w:pPr>
      <w:r>
        <w:rPr>
          <w:rFonts w:ascii="宋体" w:hAnsi="宋体" w:eastAsia="宋体" w:cs="宋体"/>
          <w:spacing w:val="-1"/>
          <w:position w:val="16"/>
          <w:sz w:val="21"/>
          <w:szCs w:val="21"/>
        </w:rPr>
        <w:t>（</w:t>
      </w:r>
      <w:r>
        <w:rPr>
          <w:rFonts w:ascii="Times New Roman" w:hAnsi="Times New Roman" w:eastAsia="Times New Roman" w:cs="Times New Roman"/>
          <w:spacing w:val="-1"/>
          <w:position w:val="16"/>
          <w:sz w:val="21"/>
          <w:szCs w:val="21"/>
        </w:rPr>
        <w:t>2</w:t>
      </w:r>
      <w:r>
        <w:rPr>
          <w:rFonts w:ascii="宋体" w:hAnsi="宋体" w:eastAsia="宋体" w:cs="宋体"/>
          <w:spacing w:val="-1"/>
          <w:position w:val="16"/>
          <w:sz w:val="21"/>
          <w:szCs w:val="21"/>
        </w:rPr>
        <w:t xml:space="preserve">）未按照第二章“投标人须知”第 </w:t>
      </w:r>
      <w:r>
        <w:rPr>
          <w:rFonts w:ascii="Times New Roman" w:hAnsi="Times New Roman" w:eastAsia="Times New Roman" w:cs="Times New Roman"/>
          <w:spacing w:val="-1"/>
          <w:position w:val="16"/>
          <w:sz w:val="21"/>
          <w:szCs w:val="21"/>
        </w:rPr>
        <w:t>3.7.3</w:t>
      </w:r>
      <w:r>
        <w:rPr>
          <w:rFonts w:ascii="宋体" w:hAnsi="宋体" w:eastAsia="宋体" w:cs="宋体"/>
          <w:spacing w:val="-1"/>
          <w:position w:val="16"/>
          <w:sz w:val="21"/>
          <w:szCs w:val="21"/>
        </w:rPr>
        <w:t>（</w:t>
      </w:r>
      <w:r>
        <w:rPr>
          <w:rFonts w:ascii="Times New Roman" w:hAnsi="Times New Roman" w:eastAsia="Times New Roman" w:cs="Times New Roman"/>
          <w:spacing w:val="-1"/>
          <w:position w:val="16"/>
          <w:sz w:val="21"/>
          <w:szCs w:val="21"/>
        </w:rPr>
        <w:t>4</w:t>
      </w:r>
      <w:r>
        <w:rPr>
          <w:rFonts w:ascii="宋体" w:hAnsi="宋体" w:eastAsia="宋体" w:cs="宋体"/>
          <w:spacing w:val="-1"/>
          <w:position w:val="16"/>
          <w:sz w:val="21"/>
          <w:szCs w:val="21"/>
        </w:rPr>
        <w:t>）</w:t>
      </w:r>
      <w:r>
        <w:rPr>
          <w:rFonts w:ascii="宋体" w:hAnsi="宋体" w:eastAsia="宋体" w:cs="宋体"/>
          <w:spacing w:val="-55"/>
          <w:position w:val="16"/>
          <w:sz w:val="21"/>
          <w:szCs w:val="21"/>
        </w:rPr>
        <w:t xml:space="preserve"> </w:t>
      </w:r>
      <w:r>
        <w:rPr>
          <w:rFonts w:ascii="宋体" w:hAnsi="宋体" w:eastAsia="宋体" w:cs="宋体"/>
          <w:spacing w:val="-1"/>
          <w:position w:val="16"/>
          <w:sz w:val="21"/>
          <w:szCs w:val="21"/>
        </w:rPr>
        <w:t>目规定和第八章“投标文件格式</w:t>
      </w:r>
      <w:r>
        <w:rPr>
          <w:rFonts w:ascii="宋体" w:hAnsi="宋体" w:eastAsia="宋体" w:cs="宋体"/>
          <w:spacing w:val="-2"/>
          <w:position w:val="16"/>
          <w:sz w:val="21"/>
          <w:szCs w:val="21"/>
        </w:rPr>
        <w:t>”的</w:t>
      </w:r>
    </w:p>
    <w:p w14:paraId="3F7637F4">
      <w:pPr>
        <w:spacing w:before="1" w:line="219" w:lineRule="auto"/>
        <w:ind w:left="19"/>
        <w:rPr>
          <w:rFonts w:ascii="宋体" w:hAnsi="宋体" w:eastAsia="宋体" w:cs="宋体"/>
          <w:sz w:val="21"/>
          <w:szCs w:val="21"/>
        </w:rPr>
      </w:pPr>
      <w:r>
        <w:rPr>
          <w:rFonts w:ascii="宋体" w:hAnsi="宋体" w:eastAsia="宋体" w:cs="宋体"/>
          <w:spacing w:val="-1"/>
          <w:sz w:val="21"/>
          <w:szCs w:val="21"/>
        </w:rPr>
        <w:t>要求进行电子签章的；</w:t>
      </w:r>
    </w:p>
    <w:p w14:paraId="2502113D">
      <w:pPr>
        <w:spacing w:before="177" w:line="380" w:lineRule="auto"/>
        <w:ind w:left="19" w:firstLine="428"/>
        <w:rPr>
          <w:rFonts w:ascii="宋体" w:hAnsi="宋体" w:eastAsia="宋体" w:cs="宋体"/>
          <w:sz w:val="21"/>
          <w:szCs w:val="21"/>
        </w:rPr>
      </w:pPr>
      <w:r>
        <w:rPr>
          <w:rFonts w:ascii="宋体" w:hAnsi="宋体" w:eastAsia="宋体" w:cs="宋体"/>
          <w:spacing w:val="-1"/>
          <w:sz w:val="21"/>
          <w:szCs w:val="21"/>
        </w:rPr>
        <w:t>（</w:t>
      </w:r>
      <w:r>
        <w:rPr>
          <w:rFonts w:ascii="Times New Roman" w:hAnsi="Times New Roman" w:eastAsia="Times New Roman" w:cs="Times New Roman"/>
          <w:spacing w:val="-1"/>
          <w:sz w:val="21"/>
          <w:szCs w:val="21"/>
        </w:rPr>
        <w:t>3</w:t>
      </w:r>
      <w:r>
        <w:rPr>
          <w:rFonts w:ascii="宋体" w:hAnsi="宋体" w:eastAsia="宋体" w:cs="宋体"/>
          <w:spacing w:val="-1"/>
          <w:sz w:val="21"/>
          <w:szCs w:val="21"/>
        </w:rPr>
        <w:t>）联合体投标没有提交共同投标协议或共同投标协议未按招标文件提供的格式签署、</w:t>
      </w:r>
      <w:r>
        <w:rPr>
          <w:rFonts w:ascii="宋体" w:hAnsi="宋体" w:eastAsia="宋体" w:cs="宋体"/>
          <w:spacing w:val="9"/>
          <w:sz w:val="21"/>
          <w:szCs w:val="21"/>
        </w:rPr>
        <w:t xml:space="preserve"> </w:t>
      </w:r>
      <w:r>
        <w:rPr>
          <w:rFonts w:ascii="宋体" w:hAnsi="宋体" w:eastAsia="宋体" w:cs="宋体"/>
          <w:sz w:val="21"/>
          <w:szCs w:val="21"/>
        </w:rPr>
        <w:t>提交， 未明确联合体牵头人和各方权利与义务，未承诺就中标项目向招标人承担连带责任</w:t>
      </w:r>
    </w:p>
    <w:p w14:paraId="65377A8F">
      <w:pPr>
        <w:spacing w:line="221" w:lineRule="auto"/>
        <w:ind w:left="35"/>
        <w:rPr>
          <w:rFonts w:ascii="宋体" w:hAnsi="宋体" w:eastAsia="宋体" w:cs="宋体"/>
          <w:sz w:val="21"/>
          <w:szCs w:val="21"/>
        </w:rPr>
      </w:pPr>
      <w:r>
        <w:rPr>
          <w:rFonts w:ascii="宋体" w:hAnsi="宋体" w:eastAsia="宋体" w:cs="宋体"/>
          <w:spacing w:val="-28"/>
          <w:sz w:val="21"/>
          <w:szCs w:val="21"/>
        </w:rPr>
        <w:t>的（如有</w:t>
      </w:r>
      <w:r>
        <w:rPr>
          <w:rFonts w:ascii="宋体" w:hAnsi="宋体" w:eastAsia="宋体" w:cs="宋体"/>
          <w:spacing w:val="-14"/>
          <w:sz w:val="21"/>
          <w:szCs w:val="21"/>
        </w:rPr>
        <w:t>）；</w:t>
      </w:r>
    </w:p>
    <w:p w14:paraId="11D6C827">
      <w:pPr>
        <w:spacing w:before="176" w:line="432" w:lineRule="exact"/>
        <w:ind w:left="447"/>
        <w:rPr>
          <w:rFonts w:ascii="宋体" w:hAnsi="宋体" w:eastAsia="宋体" w:cs="宋体"/>
          <w:sz w:val="21"/>
          <w:szCs w:val="21"/>
        </w:rPr>
      </w:pPr>
      <w:r>
        <w:rPr>
          <w:rFonts w:ascii="宋体" w:hAnsi="宋体" w:eastAsia="宋体" w:cs="宋体"/>
          <w:position w:val="17"/>
          <w:sz w:val="21"/>
          <w:szCs w:val="21"/>
        </w:rPr>
        <w:t>（</w:t>
      </w:r>
      <w:r>
        <w:rPr>
          <w:rFonts w:ascii="Times New Roman" w:hAnsi="Times New Roman" w:eastAsia="Times New Roman" w:cs="Times New Roman"/>
          <w:position w:val="17"/>
          <w:sz w:val="21"/>
          <w:szCs w:val="21"/>
        </w:rPr>
        <w:t>4</w:t>
      </w:r>
      <w:r>
        <w:rPr>
          <w:rFonts w:ascii="宋体" w:hAnsi="宋体" w:eastAsia="宋体" w:cs="宋体"/>
          <w:position w:val="17"/>
          <w:sz w:val="21"/>
          <w:szCs w:val="21"/>
        </w:rPr>
        <w:t>）同一投标人提交两个以上不同的投标文件或者投标报价的（但招标文件要求提交</w:t>
      </w:r>
    </w:p>
    <w:p w14:paraId="4E127C65">
      <w:pPr>
        <w:spacing w:before="1" w:line="220" w:lineRule="auto"/>
        <w:ind w:left="20"/>
        <w:rPr>
          <w:rFonts w:ascii="宋体" w:hAnsi="宋体" w:eastAsia="宋体" w:cs="宋体"/>
          <w:sz w:val="21"/>
          <w:szCs w:val="21"/>
        </w:rPr>
      </w:pPr>
      <w:r>
        <w:rPr>
          <w:rFonts w:ascii="宋体" w:hAnsi="宋体" w:eastAsia="宋体" w:cs="宋体"/>
          <w:spacing w:val="-13"/>
          <w:sz w:val="21"/>
          <w:szCs w:val="21"/>
        </w:rPr>
        <w:t>备选投标的除外</w:t>
      </w:r>
      <w:r>
        <w:rPr>
          <w:rFonts w:ascii="宋体" w:hAnsi="宋体" w:eastAsia="宋体" w:cs="宋体"/>
          <w:spacing w:val="-18"/>
          <w:sz w:val="21"/>
          <w:szCs w:val="21"/>
        </w:rPr>
        <w:t>）；</w:t>
      </w:r>
    </w:p>
    <w:p w14:paraId="2B016692">
      <w:pPr>
        <w:spacing w:before="176" w:line="219" w:lineRule="auto"/>
        <w:ind w:left="447"/>
        <w:rPr>
          <w:rFonts w:ascii="宋体" w:hAnsi="宋体" w:eastAsia="宋体" w:cs="宋体"/>
          <w:sz w:val="21"/>
          <w:szCs w:val="21"/>
        </w:rPr>
      </w:pPr>
      <w:r>
        <w:rPr>
          <w:rFonts w:ascii="宋体" w:hAnsi="宋体" w:eastAsia="宋体" w:cs="宋体"/>
          <w:spacing w:val="-2"/>
          <w:sz w:val="21"/>
          <w:szCs w:val="21"/>
        </w:rPr>
        <w:t>（</w:t>
      </w:r>
      <w:r>
        <w:rPr>
          <w:rFonts w:ascii="Times New Roman" w:hAnsi="Times New Roman" w:eastAsia="Times New Roman" w:cs="Times New Roman"/>
          <w:spacing w:val="-2"/>
          <w:sz w:val="21"/>
          <w:szCs w:val="21"/>
        </w:rPr>
        <w:t>5</w:t>
      </w:r>
      <w:r>
        <w:rPr>
          <w:rFonts w:ascii="宋体" w:hAnsi="宋体" w:eastAsia="宋体" w:cs="宋体"/>
          <w:spacing w:val="-2"/>
          <w:sz w:val="21"/>
          <w:szCs w:val="21"/>
        </w:rPr>
        <w:t>）未按照招标文件的要求报送应有的投标报价表格的；</w:t>
      </w:r>
    </w:p>
    <w:p w14:paraId="35436DDD">
      <w:pPr>
        <w:spacing w:before="182" w:line="221" w:lineRule="auto"/>
        <w:ind w:left="447"/>
        <w:rPr>
          <w:rFonts w:ascii="宋体" w:hAnsi="宋体" w:eastAsia="宋体" w:cs="宋体"/>
          <w:sz w:val="21"/>
          <w:szCs w:val="21"/>
        </w:rPr>
      </w:pPr>
      <w:r>
        <w:rPr>
          <w:rFonts w:ascii="宋体" w:hAnsi="宋体" w:eastAsia="宋体" w:cs="宋体"/>
          <w:spacing w:val="-2"/>
          <w:sz w:val="21"/>
          <w:szCs w:val="21"/>
        </w:rPr>
        <w:t>（</w:t>
      </w:r>
      <w:r>
        <w:rPr>
          <w:rFonts w:ascii="Times New Roman" w:hAnsi="Times New Roman" w:eastAsia="Times New Roman" w:cs="Times New Roman"/>
          <w:spacing w:val="-2"/>
          <w:sz w:val="21"/>
          <w:szCs w:val="21"/>
        </w:rPr>
        <w:t>6</w:t>
      </w:r>
      <w:r>
        <w:rPr>
          <w:rFonts w:ascii="宋体" w:hAnsi="宋体" w:eastAsia="宋体" w:cs="宋体"/>
          <w:spacing w:val="-2"/>
          <w:sz w:val="21"/>
          <w:szCs w:val="21"/>
        </w:rPr>
        <w:t>）项目经理二次刷卡实名认证未通过的；</w:t>
      </w:r>
    </w:p>
    <w:p w14:paraId="37E683EA">
      <w:pPr>
        <w:spacing w:before="181" w:line="221" w:lineRule="auto"/>
        <w:ind w:left="447"/>
        <w:rPr>
          <w:rFonts w:ascii="宋体" w:hAnsi="宋体" w:eastAsia="宋体" w:cs="宋体"/>
          <w:sz w:val="21"/>
          <w:szCs w:val="21"/>
        </w:rPr>
      </w:pPr>
      <w:r>
        <w:rPr>
          <w:rFonts w:ascii="宋体" w:hAnsi="宋体" w:eastAsia="宋体" w:cs="宋体"/>
          <w:spacing w:val="-2"/>
          <w:sz w:val="21"/>
          <w:szCs w:val="21"/>
        </w:rPr>
        <w:t>（</w:t>
      </w:r>
      <w:r>
        <w:rPr>
          <w:rFonts w:ascii="Times New Roman" w:hAnsi="Times New Roman" w:eastAsia="Times New Roman" w:cs="Times New Roman"/>
          <w:spacing w:val="-2"/>
          <w:sz w:val="21"/>
          <w:szCs w:val="21"/>
        </w:rPr>
        <w:t>7</w:t>
      </w:r>
      <w:r>
        <w:rPr>
          <w:rFonts w:ascii="宋体" w:hAnsi="宋体" w:eastAsia="宋体" w:cs="宋体"/>
          <w:spacing w:val="-2"/>
          <w:sz w:val="21"/>
          <w:szCs w:val="21"/>
        </w:rPr>
        <w:t>）法定代表人或授权委托人未完成实名认证的；</w:t>
      </w:r>
    </w:p>
    <w:p w14:paraId="543AD12D">
      <w:pPr>
        <w:spacing w:before="177" w:line="221" w:lineRule="auto"/>
        <w:ind w:left="447"/>
        <w:rPr>
          <w:rFonts w:ascii="宋体" w:hAnsi="宋体" w:eastAsia="宋体" w:cs="宋体"/>
          <w:sz w:val="21"/>
          <w:szCs w:val="21"/>
        </w:rPr>
      </w:pPr>
      <w:r>
        <w:rPr>
          <w:rFonts w:ascii="宋体" w:hAnsi="宋体" w:eastAsia="宋体" w:cs="宋体"/>
          <w:spacing w:val="-2"/>
          <w:sz w:val="21"/>
          <w:szCs w:val="21"/>
        </w:rPr>
        <w:t>（</w:t>
      </w:r>
      <w:r>
        <w:rPr>
          <w:rFonts w:ascii="Times New Roman" w:hAnsi="Times New Roman" w:eastAsia="Times New Roman" w:cs="Times New Roman"/>
          <w:spacing w:val="-2"/>
          <w:sz w:val="21"/>
          <w:szCs w:val="21"/>
        </w:rPr>
        <w:t>8</w:t>
      </w:r>
      <w:r>
        <w:rPr>
          <w:rFonts w:ascii="宋体" w:hAnsi="宋体" w:eastAsia="宋体" w:cs="宋体"/>
          <w:spacing w:val="-2"/>
          <w:sz w:val="21"/>
          <w:szCs w:val="21"/>
        </w:rPr>
        <w:t>）未按招标文件要求编制技术标（暗标）投标文件的；</w:t>
      </w:r>
    </w:p>
    <w:p w14:paraId="177A59B0">
      <w:pPr>
        <w:spacing w:before="180" w:line="221" w:lineRule="auto"/>
        <w:ind w:left="447"/>
        <w:rPr>
          <w:rFonts w:ascii="宋体" w:hAnsi="宋体" w:eastAsia="宋体" w:cs="宋体"/>
          <w:sz w:val="21"/>
          <w:szCs w:val="21"/>
        </w:rPr>
      </w:pPr>
      <w:r>
        <w:rPr>
          <w:rFonts w:ascii="宋体" w:hAnsi="宋体" w:eastAsia="宋体" w:cs="宋体"/>
          <w:spacing w:val="-2"/>
          <w:sz w:val="21"/>
          <w:szCs w:val="21"/>
        </w:rPr>
        <w:t>（</w:t>
      </w:r>
      <w:r>
        <w:rPr>
          <w:rFonts w:ascii="Times New Roman" w:hAnsi="Times New Roman" w:eastAsia="Times New Roman" w:cs="Times New Roman"/>
          <w:spacing w:val="-2"/>
          <w:sz w:val="21"/>
          <w:szCs w:val="21"/>
        </w:rPr>
        <w:t>9</w:t>
      </w:r>
      <w:r>
        <w:rPr>
          <w:rFonts w:ascii="宋体" w:hAnsi="宋体" w:eastAsia="宋体" w:cs="宋体"/>
          <w:spacing w:val="-2"/>
          <w:sz w:val="21"/>
          <w:szCs w:val="21"/>
        </w:rPr>
        <w:t>）投标人资质条件不符合国家规定和招标文件要求的；</w:t>
      </w:r>
    </w:p>
    <w:p w14:paraId="21C5F98E">
      <w:pPr>
        <w:spacing w:before="176" w:line="432" w:lineRule="exact"/>
        <w:ind w:left="447"/>
        <w:rPr>
          <w:rFonts w:ascii="宋体" w:hAnsi="宋体" w:eastAsia="宋体" w:cs="宋体"/>
          <w:sz w:val="21"/>
          <w:szCs w:val="21"/>
        </w:rPr>
      </w:pPr>
      <w:r>
        <w:rPr>
          <w:rFonts w:ascii="宋体" w:hAnsi="宋体" w:eastAsia="宋体" w:cs="宋体"/>
          <w:spacing w:val="3"/>
          <w:position w:val="16"/>
          <w:sz w:val="21"/>
          <w:szCs w:val="21"/>
        </w:rPr>
        <w:t>（</w:t>
      </w:r>
      <w:r>
        <w:rPr>
          <w:rFonts w:ascii="Times New Roman" w:hAnsi="Times New Roman" w:eastAsia="Times New Roman" w:cs="Times New Roman"/>
          <w:spacing w:val="3"/>
          <w:position w:val="16"/>
          <w:sz w:val="21"/>
          <w:szCs w:val="21"/>
        </w:rPr>
        <w:t>10</w:t>
      </w:r>
      <w:r>
        <w:rPr>
          <w:rFonts w:ascii="宋体" w:hAnsi="宋体" w:eastAsia="宋体" w:cs="宋体"/>
          <w:spacing w:val="3"/>
          <w:position w:val="16"/>
          <w:sz w:val="21"/>
          <w:szCs w:val="21"/>
        </w:rPr>
        <w:t>）项目负责人资格不符合招标文件规定的专业等级要</w:t>
      </w:r>
      <w:r>
        <w:rPr>
          <w:rFonts w:ascii="宋体" w:hAnsi="宋体" w:eastAsia="宋体" w:cs="宋体"/>
          <w:spacing w:val="2"/>
          <w:position w:val="16"/>
          <w:sz w:val="21"/>
          <w:szCs w:val="21"/>
        </w:rPr>
        <w:t>求，或已在其他在建工程担</w:t>
      </w:r>
    </w:p>
    <w:p w14:paraId="6B43F2E8">
      <w:pPr>
        <w:spacing w:before="1" w:line="220" w:lineRule="auto"/>
        <w:ind w:left="17"/>
        <w:rPr>
          <w:rFonts w:ascii="宋体" w:hAnsi="宋体" w:eastAsia="宋体" w:cs="宋体"/>
          <w:sz w:val="21"/>
          <w:szCs w:val="21"/>
        </w:rPr>
      </w:pPr>
      <w:r>
        <w:rPr>
          <w:rFonts w:ascii="宋体" w:hAnsi="宋体" w:eastAsia="宋体" w:cs="宋体"/>
          <w:spacing w:val="-4"/>
          <w:sz w:val="21"/>
          <w:szCs w:val="21"/>
        </w:rPr>
        <w:t>任项目经理（同一工程相邻分段发包或者分期施工的除外</w:t>
      </w:r>
      <w:r>
        <w:rPr>
          <w:rFonts w:ascii="宋体" w:hAnsi="宋体" w:eastAsia="宋体" w:cs="宋体"/>
          <w:spacing w:val="-13"/>
          <w:sz w:val="21"/>
          <w:szCs w:val="21"/>
        </w:rPr>
        <w:t>）；</w:t>
      </w:r>
    </w:p>
    <w:p w14:paraId="1907545E">
      <w:pPr>
        <w:spacing w:before="176" w:line="221" w:lineRule="auto"/>
        <w:ind w:left="447"/>
        <w:rPr>
          <w:rFonts w:ascii="宋体" w:hAnsi="宋体" w:eastAsia="宋体" w:cs="宋体"/>
          <w:sz w:val="21"/>
          <w:szCs w:val="21"/>
        </w:rPr>
      </w:pPr>
      <w:r>
        <w:rPr>
          <w:rFonts w:ascii="宋体" w:hAnsi="宋体" w:eastAsia="宋体" w:cs="宋体"/>
          <w:spacing w:val="-1"/>
          <w:sz w:val="21"/>
          <w:szCs w:val="21"/>
        </w:rPr>
        <w:t>（</w:t>
      </w:r>
      <w:r>
        <w:rPr>
          <w:rFonts w:ascii="Times New Roman" w:hAnsi="Times New Roman" w:eastAsia="Times New Roman" w:cs="Times New Roman"/>
          <w:spacing w:val="-1"/>
          <w:sz w:val="21"/>
          <w:szCs w:val="21"/>
        </w:rPr>
        <w:t>11</w:t>
      </w:r>
      <w:r>
        <w:rPr>
          <w:rFonts w:ascii="宋体" w:hAnsi="宋体" w:eastAsia="宋体" w:cs="宋体"/>
          <w:spacing w:val="-1"/>
          <w:sz w:val="21"/>
          <w:szCs w:val="21"/>
        </w:rPr>
        <w:t>）具有投标人须知第</w:t>
      </w:r>
      <w:r>
        <w:rPr>
          <w:rFonts w:ascii="宋体" w:hAnsi="宋体" w:eastAsia="宋体" w:cs="宋体"/>
          <w:spacing w:val="-26"/>
          <w:sz w:val="21"/>
          <w:szCs w:val="21"/>
        </w:rPr>
        <w:t xml:space="preserve"> </w:t>
      </w:r>
      <w:r>
        <w:rPr>
          <w:rFonts w:ascii="Times New Roman" w:hAnsi="Times New Roman" w:eastAsia="Times New Roman" w:cs="Times New Roman"/>
          <w:spacing w:val="-1"/>
          <w:sz w:val="21"/>
          <w:szCs w:val="21"/>
        </w:rPr>
        <w:t>1.4.3</w:t>
      </w:r>
      <w:r>
        <w:rPr>
          <w:rFonts w:ascii="宋体" w:hAnsi="宋体" w:eastAsia="宋体" w:cs="宋体"/>
          <w:spacing w:val="-1"/>
          <w:sz w:val="21"/>
          <w:szCs w:val="21"/>
        </w:rPr>
        <w:t>（</w:t>
      </w:r>
      <w:r>
        <w:rPr>
          <w:rFonts w:ascii="Times New Roman" w:hAnsi="Times New Roman" w:eastAsia="Times New Roman" w:cs="Times New Roman"/>
          <w:spacing w:val="-1"/>
          <w:sz w:val="21"/>
          <w:szCs w:val="21"/>
        </w:rPr>
        <w:t>10</w:t>
      </w:r>
      <w:r>
        <w:rPr>
          <w:rFonts w:ascii="宋体" w:hAnsi="宋体" w:eastAsia="宋体" w:cs="宋体"/>
          <w:spacing w:val="-1"/>
          <w:sz w:val="21"/>
          <w:szCs w:val="21"/>
        </w:rPr>
        <w:t>）</w:t>
      </w:r>
      <w:r>
        <w:rPr>
          <w:rFonts w:ascii="宋体" w:hAnsi="宋体" w:eastAsia="宋体" w:cs="宋体"/>
          <w:spacing w:val="-2"/>
          <w:sz w:val="21"/>
          <w:szCs w:val="21"/>
        </w:rPr>
        <w:t>至（</w:t>
      </w:r>
      <w:r>
        <w:rPr>
          <w:rFonts w:ascii="Times New Roman" w:hAnsi="Times New Roman" w:eastAsia="Times New Roman" w:cs="Times New Roman"/>
          <w:spacing w:val="-2"/>
          <w:sz w:val="21"/>
          <w:szCs w:val="21"/>
        </w:rPr>
        <w:t>17</w:t>
      </w:r>
      <w:r>
        <w:rPr>
          <w:rFonts w:ascii="宋体" w:hAnsi="宋体" w:eastAsia="宋体" w:cs="宋体"/>
          <w:spacing w:val="-2"/>
          <w:sz w:val="21"/>
          <w:szCs w:val="21"/>
        </w:rPr>
        <w:t>）条目规定的情形；</w:t>
      </w:r>
    </w:p>
    <w:p w14:paraId="4E92FA60">
      <w:pPr>
        <w:spacing w:before="181" w:line="221" w:lineRule="auto"/>
        <w:ind w:left="447"/>
        <w:rPr>
          <w:rFonts w:ascii="宋体" w:hAnsi="宋体" w:eastAsia="宋体" w:cs="宋体"/>
          <w:sz w:val="21"/>
          <w:szCs w:val="21"/>
        </w:rPr>
      </w:pPr>
      <w:r>
        <w:rPr>
          <w:rFonts w:ascii="宋体" w:hAnsi="宋体" w:eastAsia="宋体" w:cs="宋体"/>
          <w:spacing w:val="-2"/>
          <w:sz w:val="21"/>
          <w:szCs w:val="21"/>
        </w:rPr>
        <w:t>（</w:t>
      </w:r>
      <w:r>
        <w:rPr>
          <w:rFonts w:ascii="Times New Roman" w:hAnsi="Times New Roman" w:eastAsia="Times New Roman" w:cs="Times New Roman"/>
          <w:spacing w:val="-2"/>
          <w:sz w:val="21"/>
          <w:szCs w:val="21"/>
        </w:rPr>
        <w:t>12</w:t>
      </w:r>
      <w:r>
        <w:rPr>
          <w:rFonts w:ascii="宋体" w:hAnsi="宋体" w:eastAsia="宋体" w:cs="宋体"/>
          <w:spacing w:val="-2"/>
          <w:sz w:val="21"/>
          <w:szCs w:val="21"/>
        </w:rPr>
        <w:t>）未按招标文件要求提交投标保证金</w:t>
      </w:r>
      <w:r>
        <w:rPr>
          <w:rFonts w:ascii="宋体" w:hAnsi="宋体" w:eastAsia="宋体" w:cs="宋体"/>
          <w:spacing w:val="-3"/>
          <w:sz w:val="21"/>
          <w:szCs w:val="21"/>
        </w:rPr>
        <w:t>的；</w:t>
      </w:r>
    </w:p>
    <w:p w14:paraId="27F69473">
      <w:pPr>
        <w:spacing w:before="181" w:line="427" w:lineRule="exact"/>
        <w:ind w:left="447"/>
        <w:rPr>
          <w:rFonts w:ascii="宋体" w:hAnsi="宋体" w:eastAsia="宋体" w:cs="宋体"/>
          <w:sz w:val="21"/>
          <w:szCs w:val="21"/>
        </w:rPr>
      </w:pPr>
      <w:r>
        <w:rPr>
          <w:rFonts w:ascii="宋体" w:hAnsi="宋体" w:eastAsia="宋体" w:cs="宋体"/>
          <w:spacing w:val="3"/>
          <w:position w:val="16"/>
          <w:sz w:val="21"/>
          <w:szCs w:val="21"/>
        </w:rPr>
        <w:t>（</w:t>
      </w:r>
      <w:r>
        <w:rPr>
          <w:rFonts w:ascii="Times New Roman" w:hAnsi="Times New Roman" w:eastAsia="Times New Roman" w:cs="Times New Roman"/>
          <w:spacing w:val="3"/>
          <w:position w:val="16"/>
          <w:sz w:val="21"/>
          <w:szCs w:val="21"/>
        </w:rPr>
        <w:t>13</w:t>
      </w:r>
      <w:r>
        <w:rPr>
          <w:rFonts w:ascii="宋体" w:hAnsi="宋体" w:eastAsia="宋体" w:cs="宋体"/>
          <w:spacing w:val="3"/>
          <w:position w:val="16"/>
          <w:sz w:val="21"/>
          <w:szCs w:val="21"/>
        </w:rPr>
        <w:t>）投标人填写的清单编码、清单名称、项目特征、计</w:t>
      </w:r>
      <w:r>
        <w:rPr>
          <w:rFonts w:ascii="宋体" w:hAnsi="宋体" w:eastAsia="宋体" w:cs="宋体"/>
          <w:spacing w:val="2"/>
          <w:position w:val="16"/>
          <w:sz w:val="21"/>
          <w:szCs w:val="21"/>
        </w:rPr>
        <w:t>量单位、工程量与招标文件</w:t>
      </w:r>
    </w:p>
    <w:p w14:paraId="26D2D351">
      <w:pPr>
        <w:spacing w:before="1" w:line="221" w:lineRule="auto"/>
        <w:ind w:left="19"/>
        <w:rPr>
          <w:rFonts w:ascii="宋体" w:hAnsi="宋体" w:eastAsia="宋体" w:cs="宋体"/>
          <w:sz w:val="21"/>
          <w:szCs w:val="21"/>
        </w:rPr>
      </w:pPr>
      <w:r>
        <w:rPr>
          <w:rFonts w:ascii="宋体" w:hAnsi="宋体" w:eastAsia="宋体" w:cs="宋体"/>
          <w:spacing w:val="-3"/>
          <w:sz w:val="21"/>
          <w:szCs w:val="21"/>
        </w:rPr>
        <w:t>给定的工程量清单不一致的；</w:t>
      </w:r>
    </w:p>
    <w:p w14:paraId="015B3D8D">
      <w:pPr>
        <w:spacing w:before="180" w:line="219" w:lineRule="auto"/>
        <w:ind w:left="447"/>
        <w:rPr>
          <w:rFonts w:ascii="宋体" w:hAnsi="宋体" w:eastAsia="宋体" w:cs="宋体"/>
          <w:sz w:val="21"/>
          <w:szCs w:val="21"/>
        </w:rPr>
      </w:pPr>
      <w:r>
        <w:rPr>
          <w:rFonts w:ascii="宋体" w:hAnsi="宋体" w:eastAsia="宋体" w:cs="宋体"/>
          <w:spacing w:val="3"/>
          <w:sz w:val="21"/>
          <w:szCs w:val="21"/>
        </w:rPr>
        <w:t>（</w:t>
      </w:r>
      <w:r>
        <w:rPr>
          <w:rFonts w:ascii="Times New Roman" w:hAnsi="Times New Roman" w:eastAsia="Times New Roman" w:cs="Times New Roman"/>
          <w:spacing w:val="3"/>
          <w:sz w:val="21"/>
          <w:szCs w:val="21"/>
        </w:rPr>
        <w:t>14</w:t>
      </w:r>
      <w:r>
        <w:rPr>
          <w:rFonts w:ascii="宋体" w:hAnsi="宋体" w:eastAsia="宋体" w:cs="宋体"/>
          <w:spacing w:val="3"/>
          <w:sz w:val="21"/>
          <w:szCs w:val="21"/>
        </w:rPr>
        <w:t>）投标人修改招标文件给定的工程量清单中所列价格</w:t>
      </w:r>
      <w:r>
        <w:rPr>
          <w:rFonts w:ascii="宋体" w:hAnsi="宋体" w:eastAsia="宋体" w:cs="宋体"/>
          <w:spacing w:val="2"/>
          <w:sz w:val="21"/>
          <w:szCs w:val="21"/>
        </w:rPr>
        <w:t>（包括暂列金额、材料暂估</w:t>
      </w:r>
    </w:p>
    <w:p w14:paraId="766718BE">
      <w:pPr>
        <w:spacing w:line="219" w:lineRule="auto"/>
        <w:rPr>
          <w:rFonts w:ascii="宋体" w:hAnsi="宋体" w:eastAsia="宋体" w:cs="宋体"/>
          <w:sz w:val="21"/>
          <w:szCs w:val="21"/>
        </w:rPr>
        <w:sectPr>
          <w:footerReference r:id="rId60" w:type="default"/>
          <w:pgSz w:w="11905" w:h="16839"/>
          <w:pgMar w:top="1431" w:right="1614" w:bottom="996" w:left="1785" w:header="0" w:footer="791" w:gutter="0"/>
          <w:pgNumType w:fmt="decimal"/>
          <w:cols w:space="720" w:num="1"/>
        </w:sectPr>
      </w:pPr>
    </w:p>
    <w:p w14:paraId="7BBF31F3">
      <w:pPr>
        <w:spacing w:before="173" w:line="219" w:lineRule="auto"/>
        <w:ind w:left="19"/>
        <w:rPr>
          <w:rFonts w:ascii="宋体" w:hAnsi="宋体" w:eastAsia="宋体" w:cs="宋体"/>
          <w:sz w:val="21"/>
          <w:szCs w:val="21"/>
        </w:rPr>
      </w:pPr>
      <w:bookmarkStart w:id="148" w:name="bookmark171"/>
      <w:bookmarkEnd w:id="148"/>
      <w:bookmarkStart w:id="149" w:name="bookmark175"/>
      <w:bookmarkEnd w:id="149"/>
      <w:bookmarkStart w:id="150" w:name="bookmark172"/>
      <w:bookmarkEnd w:id="150"/>
      <w:bookmarkStart w:id="151" w:name="bookmark173"/>
      <w:bookmarkEnd w:id="151"/>
      <w:bookmarkStart w:id="152" w:name="bookmark174"/>
      <w:bookmarkEnd w:id="152"/>
      <w:bookmarkStart w:id="153" w:name="bookmark176"/>
      <w:bookmarkEnd w:id="153"/>
      <w:r>
        <w:rPr>
          <w:rFonts w:ascii="宋体" w:hAnsi="宋体" w:eastAsia="宋体" w:cs="宋体"/>
          <w:spacing w:val="-4"/>
          <w:sz w:val="21"/>
          <w:szCs w:val="21"/>
        </w:rPr>
        <w:t>价、专业工程暂估价等）的；</w:t>
      </w:r>
    </w:p>
    <w:p w14:paraId="4BC59091">
      <w:pPr>
        <w:spacing w:before="177" w:line="221" w:lineRule="auto"/>
        <w:ind w:left="447"/>
        <w:rPr>
          <w:rFonts w:ascii="宋体" w:hAnsi="宋体" w:eastAsia="宋体" w:cs="宋体"/>
          <w:sz w:val="21"/>
          <w:szCs w:val="21"/>
        </w:rPr>
      </w:pPr>
      <w:r>
        <w:rPr>
          <w:rFonts w:ascii="宋体" w:hAnsi="宋体" w:eastAsia="宋体" w:cs="宋体"/>
          <w:spacing w:val="-3"/>
          <w:sz w:val="21"/>
          <w:szCs w:val="21"/>
        </w:rPr>
        <w:t>（</w:t>
      </w:r>
      <w:r>
        <w:rPr>
          <w:rFonts w:ascii="Times New Roman" w:hAnsi="Times New Roman" w:eastAsia="Times New Roman" w:cs="Times New Roman"/>
          <w:spacing w:val="-3"/>
          <w:sz w:val="21"/>
          <w:szCs w:val="21"/>
        </w:rPr>
        <w:t>15</w:t>
      </w:r>
      <w:r>
        <w:rPr>
          <w:rFonts w:ascii="宋体" w:hAnsi="宋体" w:eastAsia="宋体" w:cs="宋体"/>
          <w:spacing w:val="-3"/>
          <w:sz w:val="21"/>
          <w:szCs w:val="21"/>
        </w:rPr>
        <w:t>）工期未响应招标文件规定的；</w:t>
      </w:r>
    </w:p>
    <w:p w14:paraId="682AF825">
      <w:pPr>
        <w:spacing w:before="181" w:line="219" w:lineRule="auto"/>
        <w:ind w:left="447"/>
        <w:rPr>
          <w:rFonts w:ascii="宋体" w:hAnsi="宋体" w:eastAsia="宋体" w:cs="宋体"/>
          <w:sz w:val="21"/>
          <w:szCs w:val="21"/>
        </w:rPr>
      </w:pPr>
      <w:r>
        <w:rPr>
          <w:rFonts w:ascii="宋体" w:hAnsi="宋体" w:eastAsia="宋体" w:cs="宋体"/>
          <w:spacing w:val="-2"/>
          <w:sz w:val="21"/>
          <w:szCs w:val="21"/>
        </w:rPr>
        <w:t>（</w:t>
      </w:r>
      <w:r>
        <w:rPr>
          <w:rFonts w:ascii="Times New Roman" w:hAnsi="Times New Roman" w:eastAsia="Times New Roman" w:cs="Times New Roman"/>
          <w:spacing w:val="-2"/>
          <w:sz w:val="21"/>
          <w:szCs w:val="21"/>
        </w:rPr>
        <w:t>16</w:t>
      </w:r>
      <w:r>
        <w:rPr>
          <w:rFonts w:ascii="宋体" w:hAnsi="宋体" w:eastAsia="宋体" w:cs="宋体"/>
          <w:spacing w:val="-2"/>
          <w:sz w:val="21"/>
          <w:szCs w:val="21"/>
        </w:rPr>
        <w:t>）投标人不接受算术错误修正后的报</w:t>
      </w:r>
      <w:r>
        <w:rPr>
          <w:rFonts w:ascii="宋体" w:hAnsi="宋体" w:eastAsia="宋体" w:cs="宋体"/>
          <w:spacing w:val="-3"/>
          <w:sz w:val="21"/>
          <w:szCs w:val="21"/>
        </w:rPr>
        <w:t>价；</w:t>
      </w:r>
    </w:p>
    <w:p w14:paraId="4992DC8D">
      <w:pPr>
        <w:spacing w:before="177" w:line="432" w:lineRule="exact"/>
        <w:ind w:left="447"/>
        <w:rPr>
          <w:rFonts w:ascii="宋体" w:hAnsi="宋体" w:eastAsia="宋体" w:cs="宋体"/>
          <w:sz w:val="21"/>
          <w:szCs w:val="21"/>
        </w:rPr>
      </w:pPr>
      <w:r>
        <w:rPr>
          <w:rFonts w:ascii="宋体" w:hAnsi="宋体" w:eastAsia="宋体" w:cs="宋体"/>
          <w:spacing w:val="-4"/>
          <w:position w:val="16"/>
          <w:sz w:val="21"/>
          <w:szCs w:val="21"/>
        </w:rPr>
        <w:t>（</w:t>
      </w:r>
      <w:r>
        <w:rPr>
          <w:rFonts w:ascii="Times New Roman" w:hAnsi="Times New Roman" w:eastAsia="Times New Roman" w:cs="Times New Roman"/>
          <w:spacing w:val="-4"/>
          <w:position w:val="16"/>
          <w:sz w:val="21"/>
          <w:szCs w:val="21"/>
        </w:rPr>
        <w:t>17</w:t>
      </w:r>
      <w:r>
        <w:rPr>
          <w:rFonts w:ascii="宋体" w:hAnsi="宋体" w:eastAsia="宋体" w:cs="宋体"/>
          <w:spacing w:val="-4"/>
          <w:position w:val="16"/>
          <w:sz w:val="21"/>
          <w:szCs w:val="21"/>
        </w:rPr>
        <w:t>）投标报价（含修正后） 高于招标文件设定的最高投标限价的；</w:t>
      </w:r>
    </w:p>
    <w:p w14:paraId="66865D07">
      <w:pPr>
        <w:spacing w:before="1" w:line="220" w:lineRule="auto"/>
        <w:ind w:left="447"/>
        <w:rPr>
          <w:rFonts w:ascii="宋体" w:hAnsi="宋体" w:eastAsia="宋体" w:cs="宋体"/>
          <w:sz w:val="21"/>
          <w:szCs w:val="21"/>
        </w:rPr>
      </w:pPr>
      <w:r>
        <w:rPr>
          <w:rFonts w:ascii="宋体" w:hAnsi="宋体" w:eastAsia="宋体" w:cs="宋体"/>
          <w:spacing w:val="-3"/>
          <w:sz w:val="21"/>
          <w:szCs w:val="21"/>
        </w:rPr>
        <w:t>（</w:t>
      </w:r>
      <w:r>
        <w:rPr>
          <w:rFonts w:ascii="Times New Roman" w:hAnsi="Times New Roman" w:eastAsia="Times New Roman" w:cs="Times New Roman"/>
          <w:spacing w:val="-3"/>
          <w:sz w:val="21"/>
          <w:szCs w:val="21"/>
        </w:rPr>
        <w:t>18</w:t>
      </w:r>
      <w:r>
        <w:rPr>
          <w:rFonts w:ascii="宋体" w:hAnsi="宋体" w:eastAsia="宋体" w:cs="宋体"/>
          <w:spacing w:val="-3"/>
          <w:sz w:val="21"/>
          <w:szCs w:val="21"/>
        </w:rPr>
        <w:t>）质量不满足招标文件规定的；</w:t>
      </w:r>
    </w:p>
    <w:p w14:paraId="2829B04C">
      <w:pPr>
        <w:spacing w:before="180" w:line="221" w:lineRule="auto"/>
        <w:ind w:left="447"/>
        <w:rPr>
          <w:rFonts w:ascii="宋体" w:hAnsi="宋体" w:eastAsia="宋体" w:cs="宋体"/>
          <w:sz w:val="21"/>
          <w:szCs w:val="21"/>
        </w:rPr>
      </w:pPr>
      <w:r>
        <w:rPr>
          <w:rFonts w:ascii="宋体" w:hAnsi="宋体" w:eastAsia="宋体" w:cs="宋体"/>
          <w:spacing w:val="-2"/>
          <w:sz w:val="21"/>
          <w:szCs w:val="21"/>
        </w:rPr>
        <w:t>（</w:t>
      </w:r>
      <w:r>
        <w:rPr>
          <w:rFonts w:ascii="Times New Roman" w:hAnsi="Times New Roman" w:eastAsia="Times New Roman" w:cs="Times New Roman"/>
          <w:spacing w:val="-2"/>
          <w:sz w:val="21"/>
          <w:szCs w:val="21"/>
        </w:rPr>
        <w:t>19</w:t>
      </w:r>
      <w:r>
        <w:rPr>
          <w:rFonts w:ascii="宋体" w:hAnsi="宋体" w:eastAsia="宋体" w:cs="宋体"/>
          <w:spacing w:val="-2"/>
          <w:sz w:val="21"/>
          <w:szCs w:val="21"/>
        </w:rPr>
        <w:t>）投标有效期不符合招标文件规定的；</w:t>
      </w:r>
    </w:p>
    <w:p w14:paraId="385BCCD8">
      <w:pPr>
        <w:spacing w:before="177" w:line="432" w:lineRule="exact"/>
        <w:ind w:left="447"/>
        <w:rPr>
          <w:rFonts w:ascii="宋体" w:hAnsi="宋体" w:eastAsia="宋体" w:cs="宋体"/>
          <w:sz w:val="21"/>
          <w:szCs w:val="21"/>
        </w:rPr>
      </w:pPr>
      <w:r>
        <w:rPr>
          <w:rFonts w:ascii="宋体" w:hAnsi="宋体" w:eastAsia="宋体" w:cs="宋体"/>
          <w:spacing w:val="-2"/>
          <w:position w:val="16"/>
          <w:sz w:val="21"/>
          <w:szCs w:val="21"/>
        </w:rPr>
        <w:t>（</w:t>
      </w:r>
      <w:r>
        <w:rPr>
          <w:rFonts w:ascii="Times New Roman" w:hAnsi="Times New Roman" w:eastAsia="Times New Roman" w:cs="Times New Roman"/>
          <w:spacing w:val="-2"/>
          <w:position w:val="16"/>
          <w:sz w:val="21"/>
          <w:szCs w:val="21"/>
        </w:rPr>
        <w:t>20</w:t>
      </w:r>
      <w:r>
        <w:rPr>
          <w:rFonts w:ascii="宋体" w:hAnsi="宋体" w:eastAsia="宋体" w:cs="宋体"/>
          <w:spacing w:val="-2"/>
          <w:position w:val="16"/>
          <w:sz w:val="21"/>
          <w:szCs w:val="21"/>
        </w:rPr>
        <w:t>）权利义务承诺不符合或低于招标文件规定的；</w:t>
      </w:r>
    </w:p>
    <w:p w14:paraId="38A29008">
      <w:pPr>
        <w:spacing w:before="1" w:line="220" w:lineRule="auto"/>
        <w:ind w:left="447"/>
        <w:rPr>
          <w:rFonts w:ascii="宋体" w:hAnsi="宋体" w:eastAsia="宋体" w:cs="宋体"/>
          <w:sz w:val="21"/>
          <w:szCs w:val="21"/>
        </w:rPr>
      </w:pPr>
      <w:r>
        <w:rPr>
          <w:rFonts w:ascii="宋体" w:hAnsi="宋体" w:eastAsia="宋体" w:cs="宋体"/>
          <w:spacing w:val="-3"/>
          <w:sz w:val="21"/>
          <w:szCs w:val="21"/>
        </w:rPr>
        <w:t>（</w:t>
      </w:r>
      <w:r>
        <w:rPr>
          <w:rFonts w:ascii="Times New Roman" w:hAnsi="Times New Roman" w:eastAsia="Times New Roman" w:cs="Times New Roman"/>
          <w:spacing w:val="-3"/>
          <w:sz w:val="21"/>
          <w:szCs w:val="21"/>
        </w:rPr>
        <w:t>21</w:t>
      </w:r>
      <w:r>
        <w:rPr>
          <w:rFonts w:ascii="宋体" w:hAnsi="宋体" w:eastAsia="宋体" w:cs="宋体"/>
          <w:spacing w:val="-3"/>
          <w:sz w:val="21"/>
          <w:szCs w:val="21"/>
        </w:rPr>
        <w:t>）技术标准和要求不符合招标文件规定的；</w:t>
      </w:r>
    </w:p>
    <w:p w14:paraId="09C5F3BB">
      <w:pPr>
        <w:spacing w:before="176" w:line="221" w:lineRule="auto"/>
        <w:ind w:left="447"/>
        <w:rPr>
          <w:rFonts w:ascii="宋体" w:hAnsi="宋体" w:eastAsia="宋体" w:cs="宋体"/>
          <w:sz w:val="21"/>
          <w:szCs w:val="21"/>
        </w:rPr>
      </w:pPr>
      <w:r>
        <w:rPr>
          <w:rFonts w:ascii="宋体" w:hAnsi="宋体" w:eastAsia="宋体" w:cs="宋体"/>
          <w:spacing w:val="-1"/>
          <w:sz w:val="21"/>
          <w:szCs w:val="21"/>
        </w:rPr>
        <w:t>（</w:t>
      </w:r>
      <w:r>
        <w:rPr>
          <w:rFonts w:ascii="Times New Roman" w:hAnsi="Times New Roman" w:eastAsia="Times New Roman" w:cs="Times New Roman"/>
          <w:spacing w:val="-1"/>
          <w:sz w:val="21"/>
          <w:szCs w:val="21"/>
        </w:rPr>
        <w:t>22</w:t>
      </w:r>
      <w:r>
        <w:rPr>
          <w:rFonts w:ascii="宋体" w:hAnsi="宋体" w:eastAsia="宋体" w:cs="宋体"/>
          <w:spacing w:val="-1"/>
          <w:sz w:val="21"/>
          <w:szCs w:val="21"/>
        </w:rPr>
        <w:t>）分包计划不符合招标文件规定的。</w:t>
      </w:r>
    </w:p>
    <w:p w14:paraId="6A30482B">
      <w:pPr>
        <w:spacing w:before="181" w:line="220" w:lineRule="auto"/>
        <w:ind w:left="436"/>
        <w:rPr>
          <w:rFonts w:ascii="宋体" w:hAnsi="宋体" w:eastAsia="宋体" w:cs="宋体"/>
          <w:sz w:val="21"/>
          <w:szCs w:val="21"/>
        </w:rPr>
      </w:pPr>
      <w:r>
        <w:rPr>
          <w:rFonts w:ascii="宋体" w:hAnsi="宋体" w:eastAsia="宋体" w:cs="宋体"/>
          <w:spacing w:val="-2"/>
          <w:sz w:val="21"/>
          <w:szCs w:val="21"/>
        </w:rPr>
        <w:t>B1.2</w:t>
      </w:r>
      <w:r>
        <w:rPr>
          <w:rFonts w:ascii="宋体" w:hAnsi="宋体" w:eastAsia="宋体" w:cs="宋体"/>
          <w:spacing w:val="-31"/>
          <w:sz w:val="21"/>
          <w:szCs w:val="21"/>
        </w:rPr>
        <w:t xml:space="preserve"> </w:t>
      </w:r>
      <w:r>
        <w:rPr>
          <w:rFonts w:ascii="宋体" w:hAnsi="宋体" w:eastAsia="宋体" w:cs="宋体"/>
          <w:spacing w:val="-2"/>
          <w:sz w:val="21"/>
          <w:szCs w:val="21"/>
        </w:rPr>
        <w:t>不按评标委员会要求澄清、说明或补正的。</w:t>
      </w:r>
    </w:p>
    <w:p w14:paraId="7F462DB6">
      <w:pPr>
        <w:spacing w:before="177" w:line="220" w:lineRule="auto"/>
        <w:ind w:left="436"/>
        <w:rPr>
          <w:rFonts w:ascii="宋体" w:hAnsi="宋体" w:eastAsia="宋体" w:cs="宋体"/>
          <w:sz w:val="21"/>
          <w:szCs w:val="21"/>
        </w:rPr>
      </w:pPr>
      <w:r>
        <w:rPr>
          <w:rFonts w:ascii="宋体" w:hAnsi="宋体" w:eastAsia="宋体" w:cs="宋体"/>
          <w:sz w:val="21"/>
          <w:szCs w:val="21"/>
        </w:rPr>
        <w:t>B1.3</w:t>
      </w:r>
      <w:r>
        <w:rPr>
          <w:rFonts w:ascii="宋体" w:hAnsi="宋体" w:eastAsia="宋体" w:cs="宋体"/>
          <w:spacing w:val="-43"/>
          <w:sz w:val="21"/>
          <w:szCs w:val="21"/>
        </w:rPr>
        <w:t xml:space="preserve"> </w:t>
      </w:r>
      <w:r>
        <w:rPr>
          <w:rFonts w:ascii="宋体" w:hAnsi="宋体" w:eastAsia="宋体" w:cs="宋体"/>
          <w:sz w:val="21"/>
          <w:szCs w:val="21"/>
        </w:rPr>
        <w:t>有串通投标、弄虚作假或有其他违法行为的</w:t>
      </w:r>
      <w:r>
        <w:rPr>
          <w:rFonts w:ascii="宋体" w:hAnsi="宋体" w:eastAsia="宋体" w:cs="宋体"/>
          <w:spacing w:val="-1"/>
          <w:sz w:val="21"/>
          <w:szCs w:val="21"/>
        </w:rPr>
        <w:t>。包括以下内容：</w:t>
      </w:r>
    </w:p>
    <w:p w14:paraId="64807DEE">
      <w:pPr>
        <w:spacing w:before="139" w:line="384" w:lineRule="exact"/>
        <w:ind w:left="447"/>
        <w:rPr>
          <w:rFonts w:ascii="宋体" w:hAnsi="宋体" w:eastAsia="宋体" w:cs="宋体"/>
          <w:sz w:val="21"/>
          <w:szCs w:val="21"/>
        </w:rPr>
      </w:pPr>
      <w:r>
        <w:rPr>
          <w:rFonts w:ascii="宋体" w:hAnsi="宋体" w:eastAsia="宋体" w:cs="宋体"/>
          <w:spacing w:val="-1"/>
          <w:position w:val="13"/>
          <w:sz w:val="21"/>
          <w:szCs w:val="21"/>
        </w:rPr>
        <w:t>（</w:t>
      </w:r>
      <w:r>
        <w:rPr>
          <w:rFonts w:ascii="Times New Roman" w:hAnsi="Times New Roman" w:eastAsia="Times New Roman" w:cs="Times New Roman"/>
          <w:spacing w:val="-1"/>
          <w:position w:val="13"/>
          <w:sz w:val="21"/>
          <w:szCs w:val="21"/>
        </w:rPr>
        <w:t>1</w:t>
      </w:r>
      <w:r>
        <w:rPr>
          <w:rFonts w:ascii="宋体" w:hAnsi="宋体" w:eastAsia="宋体" w:cs="宋体"/>
          <w:spacing w:val="-1"/>
          <w:position w:val="13"/>
          <w:sz w:val="21"/>
          <w:szCs w:val="21"/>
        </w:rPr>
        <w:t>）有下列情形之一的，视为投标人相互串通投标：</w:t>
      </w:r>
    </w:p>
    <w:p w14:paraId="5FEC55C5">
      <w:pPr>
        <w:spacing w:line="218" w:lineRule="auto"/>
        <w:ind w:left="440"/>
        <w:rPr>
          <w:rFonts w:ascii="宋体" w:hAnsi="宋体" w:eastAsia="宋体" w:cs="宋体"/>
          <w:sz w:val="21"/>
          <w:szCs w:val="21"/>
        </w:rPr>
      </w:pPr>
      <w:r>
        <w:rPr>
          <w:rFonts w:ascii="宋体" w:hAnsi="宋体" w:eastAsia="宋体" w:cs="宋体"/>
          <w:spacing w:val="-2"/>
          <w:sz w:val="21"/>
          <w:szCs w:val="21"/>
        </w:rPr>
        <w:t>①</w:t>
      </w:r>
      <w:r>
        <w:rPr>
          <w:rFonts w:ascii="宋体" w:hAnsi="宋体" w:eastAsia="宋体" w:cs="宋体"/>
          <w:spacing w:val="-36"/>
          <w:sz w:val="21"/>
          <w:szCs w:val="21"/>
        </w:rPr>
        <w:t xml:space="preserve"> </w:t>
      </w:r>
      <w:r>
        <w:rPr>
          <w:rFonts w:ascii="宋体" w:hAnsi="宋体" w:eastAsia="宋体" w:cs="宋体"/>
          <w:spacing w:val="-2"/>
          <w:sz w:val="21"/>
          <w:szCs w:val="21"/>
        </w:rPr>
        <w:t>不同投标人的投标文件由同一单位或者个人编制；</w:t>
      </w:r>
    </w:p>
    <w:p w14:paraId="50DB13EB">
      <w:pPr>
        <w:spacing w:before="132" w:line="218" w:lineRule="auto"/>
        <w:ind w:left="439"/>
        <w:rPr>
          <w:rFonts w:ascii="宋体" w:hAnsi="宋体" w:eastAsia="宋体" w:cs="宋体"/>
          <w:sz w:val="21"/>
          <w:szCs w:val="21"/>
        </w:rPr>
      </w:pPr>
      <w:r>
        <w:rPr>
          <w:rFonts w:ascii="宋体" w:hAnsi="宋体" w:eastAsia="宋体" w:cs="宋体"/>
          <w:spacing w:val="-2"/>
          <w:sz w:val="21"/>
          <w:szCs w:val="21"/>
        </w:rPr>
        <w:t>②</w:t>
      </w:r>
      <w:r>
        <w:rPr>
          <w:rFonts w:ascii="宋体" w:hAnsi="宋体" w:eastAsia="宋体" w:cs="宋体"/>
          <w:spacing w:val="-35"/>
          <w:sz w:val="21"/>
          <w:szCs w:val="21"/>
        </w:rPr>
        <w:t xml:space="preserve"> </w:t>
      </w:r>
      <w:r>
        <w:rPr>
          <w:rFonts w:ascii="宋体" w:hAnsi="宋体" w:eastAsia="宋体" w:cs="宋体"/>
          <w:spacing w:val="-2"/>
          <w:sz w:val="21"/>
          <w:szCs w:val="21"/>
        </w:rPr>
        <w:t>不同投标人委托同一单位或者个人办理投标事宜；</w:t>
      </w:r>
    </w:p>
    <w:p w14:paraId="78D4BC44">
      <w:pPr>
        <w:spacing w:before="130" w:line="380" w:lineRule="exact"/>
        <w:jc w:val="right"/>
        <w:rPr>
          <w:rFonts w:ascii="宋体" w:hAnsi="宋体" w:eastAsia="宋体" w:cs="宋体"/>
          <w:sz w:val="21"/>
          <w:szCs w:val="21"/>
        </w:rPr>
      </w:pPr>
      <w:r>
        <w:rPr>
          <w:rFonts w:ascii="宋体" w:hAnsi="宋体" w:eastAsia="宋体" w:cs="宋体"/>
          <w:spacing w:val="-1"/>
          <w:position w:val="12"/>
          <w:sz w:val="21"/>
          <w:szCs w:val="21"/>
        </w:rPr>
        <w:t>③ 不同投标人使用同一电脑等电子设备办理投标事宜（下载招标文件、上传投标文件、</w:t>
      </w:r>
    </w:p>
    <w:p w14:paraId="5ED1E909">
      <w:pPr>
        <w:spacing w:before="1" w:line="220" w:lineRule="auto"/>
        <w:ind w:left="17"/>
        <w:rPr>
          <w:rFonts w:ascii="宋体" w:hAnsi="宋体" w:eastAsia="宋体" w:cs="宋体"/>
          <w:sz w:val="21"/>
          <w:szCs w:val="21"/>
        </w:rPr>
      </w:pPr>
      <w:r>
        <w:rPr>
          <w:rFonts w:ascii="宋体" w:hAnsi="宋体" w:eastAsia="宋体" w:cs="宋体"/>
          <w:spacing w:val="-5"/>
          <w:sz w:val="21"/>
          <w:szCs w:val="21"/>
        </w:rPr>
        <w:t>授权委托人或项目经理实名认证等关键环节</w:t>
      </w:r>
      <w:r>
        <w:rPr>
          <w:rFonts w:ascii="宋体" w:hAnsi="宋体" w:eastAsia="宋体" w:cs="宋体"/>
          <w:spacing w:val="-15"/>
          <w:sz w:val="21"/>
          <w:szCs w:val="21"/>
        </w:rPr>
        <w:t>）；</w:t>
      </w:r>
    </w:p>
    <w:p w14:paraId="712FB440">
      <w:pPr>
        <w:spacing w:before="128" w:line="218" w:lineRule="auto"/>
        <w:ind w:left="439"/>
        <w:rPr>
          <w:rFonts w:ascii="宋体" w:hAnsi="宋体" w:eastAsia="宋体" w:cs="宋体"/>
          <w:sz w:val="21"/>
          <w:szCs w:val="21"/>
        </w:rPr>
      </w:pPr>
      <w:r>
        <w:rPr>
          <w:rFonts w:ascii="宋体" w:hAnsi="宋体" w:eastAsia="宋体" w:cs="宋体"/>
          <w:spacing w:val="-2"/>
          <w:sz w:val="21"/>
          <w:szCs w:val="21"/>
        </w:rPr>
        <w:t>④</w:t>
      </w:r>
      <w:r>
        <w:rPr>
          <w:rFonts w:ascii="宋体" w:hAnsi="宋体" w:eastAsia="宋体" w:cs="宋体"/>
          <w:spacing w:val="-33"/>
          <w:sz w:val="21"/>
          <w:szCs w:val="21"/>
        </w:rPr>
        <w:t xml:space="preserve"> </w:t>
      </w:r>
      <w:r>
        <w:rPr>
          <w:rFonts w:ascii="宋体" w:hAnsi="宋体" w:eastAsia="宋体" w:cs="宋体"/>
          <w:spacing w:val="-2"/>
          <w:sz w:val="21"/>
          <w:szCs w:val="21"/>
        </w:rPr>
        <w:t>不同投标人的投标文件载明的项目管理成员为同一人；</w:t>
      </w:r>
    </w:p>
    <w:p w14:paraId="377E693A">
      <w:pPr>
        <w:spacing w:before="131" w:line="384" w:lineRule="exact"/>
        <w:ind w:left="439"/>
        <w:rPr>
          <w:rFonts w:ascii="宋体" w:hAnsi="宋体" w:eastAsia="宋体" w:cs="宋体"/>
          <w:sz w:val="21"/>
          <w:szCs w:val="21"/>
        </w:rPr>
      </w:pPr>
      <w:r>
        <w:rPr>
          <w:rFonts w:ascii="宋体" w:hAnsi="宋体" w:eastAsia="宋体" w:cs="宋体"/>
          <w:spacing w:val="-1"/>
          <w:position w:val="13"/>
          <w:sz w:val="21"/>
          <w:szCs w:val="21"/>
        </w:rPr>
        <w:t>⑤</w:t>
      </w:r>
      <w:r>
        <w:rPr>
          <w:rFonts w:ascii="宋体" w:hAnsi="宋体" w:eastAsia="宋体" w:cs="宋体"/>
          <w:spacing w:val="-27"/>
          <w:position w:val="13"/>
          <w:sz w:val="21"/>
          <w:szCs w:val="21"/>
        </w:rPr>
        <w:t xml:space="preserve"> </w:t>
      </w:r>
      <w:r>
        <w:rPr>
          <w:rFonts w:ascii="宋体" w:hAnsi="宋体" w:eastAsia="宋体" w:cs="宋体"/>
          <w:spacing w:val="-1"/>
          <w:position w:val="13"/>
          <w:sz w:val="21"/>
          <w:szCs w:val="21"/>
        </w:rPr>
        <w:t>不同投标人的投标文件非典型一致或者投标报价呈规律性差异；</w:t>
      </w:r>
    </w:p>
    <w:p w14:paraId="142CAED0">
      <w:pPr>
        <w:spacing w:before="1" w:line="218" w:lineRule="auto"/>
        <w:ind w:left="439"/>
        <w:rPr>
          <w:rFonts w:ascii="宋体" w:hAnsi="宋体" w:eastAsia="宋体" w:cs="宋体"/>
          <w:sz w:val="21"/>
          <w:szCs w:val="21"/>
        </w:rPr>
      </w:pPr>
      <w:r>
        <w:rPr>
          <w:rFonts w:ascii="宋体" w:hAnsi="宋体" w:eastAsia="宋体" w:cs="宋体"/>
          <w:spacing w:val="-3"/>
          <w:sz w:val="21"/>
          <w:szCs w:val="21"/>
        </w:rPr>
        <w:t>⑥</w:t>
      </w:r>
      <w:r>
        <w:rPr>
          <w:rFonts w:ascii="宋体" w:hAnsi="宋体" w:eastAsia="宋体" w:cs="宋体"/>
          <w:spacing w:val="-41"/>
          <w:sz w:val="21"/>
          <w:szCs w:val="21"/>
        </w:rPr>
        <w:t xml:space="preserve"> </w:t>
      </w:r>
      <w:r>
        <w:rPr>
          <w:rFonts w:ascii="宋体" w:hAnsi="宋体" w:eastAsia="宋体" w:cs="宋体"/>
          <w:spacing w:val="-3"/>
          <w:sz w:val="21"/>
          <w:szCs w:val="21"/>
        </w:rPr>
        <w:t>不同投标人的投标文件相互混装；</w:t>
      </w:r>
    </w:p>
    <w:p w14:paraId="21435C9C">
      <w:pPr>
        <w:spacing w:before="130" w:line="380" w:lineRule="exact"/>
        <w:ind w:right="15"/>
        <w:jc w:val="right"/>
        <w:rPr>
          <w:rFonts w:ascii="宋体" w:hAnsi="宋体" w:eastAsia="宋体" w:cs="宋体"/>
          <w:sz w:val="21"/>
          <w:szCs w:val="21"/>
        </w:rPr>
      </w:pPr>
      <w:r>
        <w:rPr>
          <w:rFonts w:ascii="宋体" w:hAnsi="宋体" w:eastAsia="宋体" w:cs="宋体"/>
          <w:spacing w:val="-1"/>
          <w:position w:val="12"/>
          <w:sz w:val="21"/>
          <w:szCs w:val="21"/>
        </w:rPr>
        <w:t>⑦ 不同投标人的投标保证金或保函（保险）财务费用从同一单位或者个人的账户转出；</w:t>
      </w:r>
    </w:p>
    <w:p w14:paraId="3759F8AC">
      <w:pPr>
        <w:spacing w:line="218" w:lineRule="auto"/>
        <w:ind w:left="439"/>
        <w:rPr>
          <w:rFonts w:ascii="宋体" w:hAnsi="宋体" w:eastAsia="宋体" w:cs="宋体"/>
          <w:sz w:val="21"/>
          <w:szCs w:val="21"/>
        </w:rPr>
      </w:pPr>
      <w:r>
        <w:rPr>
          <w:rFonts w:ascii="宋体" w:hAnsi="宋体" w:eastAsia="宋体" w:cs="宋体"/>
          <w:spacing w:val="-8"/>
          <w:sz w:val="21"/>
          <w:szCs w:val="21"/>
        </w:rPr>
        <w:t>⑧</w:t>
      </w:r>
      <w:r>
        <w:rPr>
          <w:rFonts w:ascii="宋体" w:hAnsi="宋体" w:eastAsia="宋体" w:cs="宋体"/>
          <w:spacing w:val="-54"/>
          <w:sz w:val="21"/>
          <w:szCs w:val="21"/>
        </w:rPr>
        <w:t xml:space="preserve"> </w:t>
      </w:r>
      <w:r>
        <w:rPr>
          <w:rFonts w:ascii="宋体" w:hAnsi="宋体" w:eastAsia="宋体" w:cs="宋体"/>
          <w:spacing w:val="-8"/>
          <w:sz w:val="21"/>
          <w:szCs w:val="21"/>
        </w:rPr>
        <w:t>不同投标人的投标文件存在“</w:t>
      </w:r>
      <w:r>
        <w:rPr>
          <w:rFonts w:ascii="Times New Roman" w:hAnsi="Times New Roman" w:eastAsia="Times New Roman" w:cs="Times New Roman"/>
          <w:spacing w:val="-8"/>
          <w:sz w:val="21"/>
          <w:szCs w:val="21"/>
        </w:rPr>
        <w:t>MAC</w:t>
      </w:r>
      <w:r>
        <w:rPr>
          <w:rFonts w:ascii="Times New Roman" w:hAnsi="Times New Roman" w:eastAsia="Times New Roman" w:cs="Times New Roman"/>
          <w:spacing w:val="-22"/>
          <w:sz w:val="21"/>
          <w:szCs w:val="21"/>
        </w:rPr>
        <w:t xml:space="preserve"> </w:t>
      </w:r>
      <w:r>
        <w:rPr>
          <w:rFonts w:ascii="宋体" w:hAnsi="宋体" w:eastAsia="宋体" w:cs="宋体"/>
          <w:spacing w:val="-8"/>
          <w:sz w:val="21"/>
          <w:szCs w:val="21"/>
        </w:rPr>
        <w:t>地址”、“文件</w:t>
      </w:r>
      <w:r>
        <w:rPr>
          <w:rFonts w:ascii="宋体" w:hAnsi="宋体" w:eastAsia="宋体" w:cs="宋体"/>
          <w:spacing w:val="-9"/>
          <w:sz w:val="21"/>
          <w:szCs w:val="21"/>
        </w:rPr>
        <w:t>创建标识码”、“文件制作机器码”</w:t>
      </w:r>
    </w:p>
    <w:p w14:paraId="6C6A87EB">
      <w:pPr>
        <w:spacing w:before="131" w:line="221" w:lineRule="auto"/>
        <w:ind w:left="20"/>
        <w:rPr>
          <w:rFonts w:ascii="宋体" w:hAnsi="宋体" w:eastAsia="宋体" w:cs="宋体"/>
          <w:sz w:val="21"/>
          <w:szCs w:val="21"/>
        </w:rPr>
      </w:pPr>
      <w:r>
        <w:rPr>
          <w:rFonts w:ascii="宋体" w:hAnsi="宋体" w:eastAsia="宋体" w:cs="宋体"/>
          <w:spacing w:val="-3"/>
          <w:sz w:val="21"/>
          <w:szCs w:val="21"/>
        </w:rPr>
        <w:t>等唯一性标识一致等情形。</w:t>
      </w:r>
    </w:p>
    <w:p w14:paraId="6FFFD0B6">
      <w:pPr>
        <w:spacing w:before="128" w:line="220" w:lineRule="auto"/>
        <w:ind w:left="447"/>
        <w:rPr>
          <w:rFonts w:ascii="宋体" w:hAnsi="宋体" w:eastAsia="宋体" w:cs="宋体"/>
          <w:sz w:val="21"/>
          <w:szCs w:val="21"/>
        </w:rPr>
      </w:pPr>
      <w:r>
        <w:rPr>
          <w:rFonts w:ascii="宋体" w:hAnsi="宋体" w:eastAsia="宋体" w:cs="宋体"/>
          <w:spacing w:val="-2"/>
          <w:sz w:val="21"/>
          <w:szCs w:val="21"/>
        </w:rPr>
        <w:t>（</w:t>
      </w:r>
      <w:r>
        <w:rPr>
          <w:rFonts w:ascii="Times New Roman" w:hAnsi="Times New Roman" w:eastAsia="Times New Roman" w:cs="Times New Roman"/>
          <w:spacing w:val="-2"/>
          <w:sz w:val="21"/>
          <w:szCs w:val="21"/>
        </w:rPr>
        <w:t>2</w:t>
      </w:r>
      <w:r>
        <w:rPr>
          <w:rFonts w:ascii="宋体" w:hAnsi="宋体" w:eastAsia="宋体" w:cs="宋体"/>
          <w:spacing w:val="-2"/>
          <w:sz w:val="21"/>
          <w:szCs w:val="21"/>
        </w:rPr>
        <w:t>）有下列情形之一的，属于弄虚作假行为：</w:t>
      </w:r>
    </w:p>
    <w:p w14:paraId="1BFC8CB9">
      <w:pPr>
        <w:spacing w:before="129" w:line="384" w:lineRule="exact"/>
        <w:jc w:val="right"/>
        <w:rPr>
          <w:rFonts w:ascii="宋体" w:hAnsi="宋体" w:eastAsia="宋体" w:cs="宋体"/>
          <w:sz w:val="21"/>
          <w:szCs w:val="21"/>
        </w:rPr>
      </w:pPr>
      <w:r>
        <w:rPr>
          <w:rFonts w:ascii="宋体" w:hAnsi="宋体" w:eastAsia="宋体" w:cs="宋体"/>
          <w:position w:val="13"/>
          <w:sz w:val="21"/>
          <w:szCs w:val="21"/>
        </w:rPr>
        <w:t>①</w:t>
      </w:r>
      <w:r>
        <w:rPr>
          <w:rFonts w:ascii="宋体" w:hAnsi="宋体" w:eastAsia="宋体" w:cs="宋体"/>
          <w:spacing w:val="-19"/>
          <w:position w:val="13"/>
          <w:sz w:val="21"/>
          <w:szCs w:val="21"/>
        </w:rPr>
        <w:t xml:space="preserve"> </w:t>
      </w:r>
      <w:r>
        <w:rPr>
          <w:rFonts w:ascii="宋体" w:hAnsi="宋体" w:eastAsia="宋体" w:cs="宋体"/>
          <w:position w:val="13"/>
          <w:sz w:val="21"/>
          <w:szCs w:val="21"/>
        </w:rPr>
        <w:t>使用通过受让或者租借等方式获取的资格、资质证书投标的，即以他人名义</w:t>
      </w:r>
      <w:r>
        <w:rPr>
          <w:rFonts w:ascii="宋体" w:hAnsi="宋体" w:eastAsia="宋体" w:cs="宋体"/>
          <w:spacing w:val="-1"/>
          <w:position w:val="13"/>
          <w:sz w:val="21"/>
          <w:szCs w:val="21"/>
        </w:rPr>
        <w:t>投标的。</w:t>
      </w:r>
    </w:p>
    <w:p w14:paraId="64EB3D9F">
      <w:pPr>
        <w:spacing w:line="218" w:lineRule="auto"/>
        <w:ind w:left="439"/>
        <w:rPr>
          <w:rFonts w:ascii="宋体" w:hAnsi="宋体" w:eastAsia="宋体" w:cs="宋体"/>
          <w:sz w:val="21"/>
          <w:szCs w:val="21"/>
        </w:rPr>
      </w:pPr>
      <w:r>
        <w:rPr>
          <w:rFonts w:ascii="宋体" w:hAnsi="宋体" w:eastAsia="宋体" w:cs="宋体"/>
          <w:spacing w:val="-1"/>
          <w:sz w:val="21"/>
          <w:szCs w:val="21"/>
        </w:rPr>
        <w:t>②</w:t>
      </w:r>
      <w:r>
        <w:rPr>
          <w:rFonts w:ascii="宋体" w:hAnsi="宋体" w:eastAsia="宋体" w:cs="宋体"/>
          <w:spacing w:val="-40"/>
          <w:sz w:val="21"/>
          <w:szCs w:val="21"/>
        </w:rPr>
        <w:t xml:space="preserve"> </w:t>
      </w:r>
      <w:r>
        <w:rPr>
          <w:rFonts w:ascii="宋体" w:hAnsi="宋体" w:eastAsia="宋体" w:cs="宋体"/>
          <w:spacing w:val="-1"/>
          <w:sz w:val="21"/>
          <w:szCs w:val="21"/>
        </w:rPr>
        <w:t>使用伪造、变造的许可证件；</w:t>
      </w:r>
    </w:p>
    <w:p w14:paraId="1CA27413">
      <w:pPr>
        <w:spacing w:before="132" w:line="218" w:lineRule="auto"/>
        <w:ind w:left="439"/>
        <w:rPr>
          <w:rFonts w:ascii="宋体" w:hAnsi="宋体" w:eastAsia="宋体" w:cs="宋体"/>
          <w:sz w:val="21"/>
          <w:szCs w:val="21"/>
        </w:rPr>
      </w:pPr>
      <w:r>
        <w:rPr>
          <w:rFonts w:ascii="宋体" w:hAnsi="宋体" w:eastAsia="宋体" w:cs="宋体"/>
          <w:spacing w:val="-3"/>
          <w:sz w:val="21"/>
          <w:szCs w:val="21"/>
        </w:rPr>
        <w:t>③</w:t>
      </w:r>
      <w:r>
        <w:rPr>
          <w:rFonts w:ascii="宋体" w:hAnsi="宋体" w:eastAsia="宋体" w:cs="宋体"/>
          <w:spacing w:val="-36"/>
          <w:sz w:val="21"/>
          <w:szCs w:val="21"/>
        </w:rPr>
        <w:t xml:space="preserve"> </w:t>
      </w:r>
      <w:r>
        <w:rPr>
          <w:rFonts w:ascii="宋体" w:hAnsi="宋体" w:eastAsia="宋体" w:cs="宋体"/>
          <w:spacing w:val="-3"/>
          <w:sz w:val="21"/>
          <w:szCs w:val="21"/>
        </w:rPr>
        <w:t>提供虚假的财务状况或者业绩；</w:t>
      </w:r>
    </w:p>
    <w:p w14:paraId="6621F264">
      <w:pPr>
        <w:spacing w:before="131" w:line="218" w:lineRule="auto"/>
        <w:ind w:left="439"/>
        <w:rPr>
          <w:rFonts w:ascii="宋体" w:hAnsi="宋体" w:eastAsia="宋体" w:cs="宋体"/>
          <w:sz w:val="21"/>
          <w:szCs w:val="21"/>
        </w:rPr>
      </w:pPr>
      <w:r>
        <w:rPr>
          <w:rFonts w:ascii="宋体" w:hAnsi="宋体" w:eastAsia="宋体" w:cs="宋体"/>
          <w:spacing w:val="-1"/>
          <w:sz w:val="21"/>
          <w:szCs w:val="21"/>
        </w:rPr>
        <w:t>④</w:t>
      </w:r>
      <w:r>
        <w:rPr>
          <w:rFonts w:ascii="宋体" w:hAnsi="宋体" w:eastAsia="宋体" w:cs="宋体"/>
          <w:spacing w:val="-27"/>
          <w:sz w:val="21"/>
          <w:szCs w:val="21"/>
        </w:rPr>
        <w:t xml:space="preserve"> </w:t>
      </w:r>
      <w:r>
        <w:rPr>
          <w:rFonts w:ascii="宋体" w:hAnsi="宋体" w:eastAsia="宋体" w:cs="宋体"/>
          <w:spacing w:val="-1"/>
          <w:sz w:val="21"/>
          <w:szCs w:val="21"/>
        </w:rPr>
        <w:t>提供虚假的项目负责人或者主要技术人员简历、社会保险证明；</w:t>
      </w:r>
    </w:p>
    <w:p w14:paraId="492F5E24">
      <w:pPr>
        <w:spacing w:before="131" w:line="379" w:lineRule="exact"/>
        <w:ind w:left="439"/>
        <w:rPr>
          <w:rFonts w:ascii="宋体" w:hAnsi="宋体" w:eastAsia="宋体" w:cs="宋体"/>
          <w:sz w:val="21"/>
          <w:szCs w:val="21"/>
        </w:rPr>
      </w:pPr>
      <w:r>
        <w:rPr>
          <w:rFonts w:ascii="宋体" w:hAnsi="宋体" w:eastAsia="宋体" w:cs="宋体"/>
          <w:spacing w:val="-4"/>
          <w:position w:val="12"/>
          <w:sz w:val="21"/>
          <w:szCs w:val="21"/>
        </w:rPr>
        <w:t>⑤</w:t>
      </w:r>
      <w:r>
        <w:rPr>
          <w:rFonts w:ascii="宋体" w:hAnsi="宋体" w:eastAsia="宋体" w:cs="宋体"/>
          <w:spacing w:val="-37"/>
          <w:position w:val="12"/>
          <w:sz w:val="21"/>
          <w:szCs w:val="21"/>
        </w:rPr>
        <w:t xml:space="preserve"> </w:t>
      </w:r>
      <w:r>
        <w:rPr>
          <w:rFonts w:ascii="宋体" w:hAnsi="宋体" w:eastAsia="宋体" w:cs="宋体"/>
          <w:spacing w:val="-4"/>
          <w:position w:val="12"/>
          <w:sz w:val="21"/>
          <w:szCs w:val="21"/>
        </w:rPr>
        <w:t>提供虚假的信用状况；</w:t>
      </w:r>
    </w:p>
    <w:p w14:paraId="4805D729">
      <w:pPr>
        <w:spacing w:before="1" w:line="218" w:lineRule="auto"/>
        <w:ind w:left="439"/>
        <w:rPr>
          <w:rFonts w:ascii="宋体" w:hAnsi="宋体" w:eastAsia="宋体" w:cs="宋体"/>
          <w:sz w:val="21"/>
          <w:szCs w:val="21"/>
        </w:rPr>
      </w:pPr>
      <w:r>
        <w:rPr>
          <w:rFonts w:ascii="宋体" w:hAnsi="宋体" w:eastAsia="宋体" w:cs="宋体"/>
          <w:spacing w:val="-3"/>
          <w:sz w:val="21"/>
          <w:szCs w:val="21"/>
        </w:rPr>
        <w:t>⑥</w:t>
      </w:r>
      <w:r>
        <w:rPr>
          <w:rFonts w:ascii="宋体" w:hAnsi="宋体" w:eastAsia="宋体" w:cs="宋体"/>
          <w:spacing w:val="-38"/>
          <w:sz w:val="21"/>
          <w:szCs w:val="21"/>
        </w:rPr>
        <w:t xml:space="preserve"> </w:t>
      </w:r>
      <w:r>
        <w:rPr>
          <w:rFonts w:ascii="宋体" w:hAnsi="宋体" w:eastAsia="宋体" w:cs="宋体"/>
          <w:spacing w:val="-3"/>
          <w:sz w:val="21"/>
          <w:szCs w:val="21"/>
        </w:rPr>
        <w:t>其他弄虚作假的行为。</w:t>
      </w:r>
    </w:p>
    <w:p w14:paraId="30E1515D">
      <w:pPr>
        <w:spacing w:before="174" w:line="375" w:lineRule="exact"/>
        <w:ind w:left="436"/>
        <w:rPr>
          <w:rFonts w:ascii="宋体" w:hAnsi="宋体" w:eastAsia="宋体" w:cs="宋体"/>
          <w:sz w:val="21"/>
          <w:szCs w:val="21"/>
        </w:rPr>
      </w:pPr>
      <w:r>
        <w:rPr>
          <w:rFonts w:ascii="宋体" w:hAnsi="宋体" w:eastAsia="宋体" w:cs="宋体"/>
          <w:spacing w:val="-2"/>
          <w:position w:val="12"/>
          <w:sz w:val="21"/>
          <w:szCs w:val="21"/>
        </w:rPr>
        <w:t>B1.4</w:t>
      </w:r>
      <w:r>
        <w:rPr>
          <w:rFonts w:ascii="宋体" w:hAnsi="宋体" w:eastAsia="宋体" w:cs="宋体"/>
          <w:spacing w:val="-40"/>
          <w:position w:val="12"/>
          <w:sz w:val="21"/>
          <w:szCs w:val="21"/>
        </w:rPr>
        <w:t xml:space="preserve"> </w:t>
      </w:r>
      <w:r>
        <w:rPr>
          <w:rFonts w:ascii="宋体" w:hAnsi="宋体" w:eastAsia="宋体" w:cs="宋体"/>
          <w:spacing w:val="-2"/>
          <w:position w:val="12"/>
          <w:sz w:val="21"/>
          <w:szCs w:val="21"/>
        </w:rPr>
        <w:t>有第二章“投标人须知”第</w:t>
      </w:r>
      <w:r>
        <w:rPr>
          <w:rFonts w:ascii="宋体" w:hAnsi="宋体" w:eastAsia="宋体" w:cs="宋体"/>
          <w:spacing w:val="-27"/>
          <w:position w:val="12"/>
          <w:sz w:val="21"/>
          <w:szCs w:val="21"/>
        </w:rPr>
        <w:t xml:space="preserve"> </w:t>
      </w:r>
      <w:r>
        <w:rPr>
          <w:rFonts w:ascii="宋体" w:hAnsi="宋体" w:eastAsia="宋体" w:cs="宋体"/>
          <w:spacing w:val="-2"/>
          <w:position w:val="12"/>
          <w:sz w:val="21"/>
          <w:szCs w:val="21"/>
        </w:rPr>
        <w:t>1.4.3</w:t>
      </w:r>
      <w:r>
        <w:rPr>
          <w:rFonts w:ascii="宋体" w:hAnsi="宋体" w:eastAsia="宋体" w:cs="宋体"/>
          <w:spacing w:val="-45"/>
          <w:position w:val="12"/>
          <w:sz w:val="21"/>
          <w:szCs w:val="21"/>
        </w:rPr>
        <w:t xml:space="preserve"> </w:t>
      </w:r>
      <w:r>
        <w:rPr>
          <w:rFonts w:ascii="宋体" w:hAnsi="宋体" w:eastAsia="宋体" w:cs="宋体"/>
          <w:spacing w:val="-2"/>
          <w:position w:val="12"/>
          <w:sz w:val="21"/>
          <w:szCs w:val="21"/>
        </w:rPr>
        <w:t>项规定的任何一种情形。包括以下内容：</w:t>
      </w:r>
    </w:p>
    <w:p w14:paraId="398515E9">
      <w:pPr>
        <w:spacing w:before="1" w:line="219" w:lineRule="auto"/>
        <w:ind w:left="447"/>
        <w:rPr>
          <w:rFonts w:ascii="宋体" w:hAnsi="宋体" w:eastAsia="宋体" w:cs="宋体"/>
          <w:sz w:val="21"/>
          <w:szCs w:val="21"/>
        </w:rPr>
      </w:pPr>
      <w:r>
        <w:rPr>
          <w:rFonts w:ascii="宋体" w:hAnsi="宋体" w:eastAsia="宋体" w:cs="宋体"/>
          <w:spacing w:val="-4"/>
          <w:sz w:val="21"/>
          <w:szCs w:val="21"/>
        </w:rPr>
        <w:t>（</w:t>
      </w:r>
      <w:r>
        <w:rPr>
          <w:rFonts w:ascii="Times New Roman" w:hAnsi="Times New Roman" w:eastAsia="Times New Roman" w:cs="Times New Roman"/>
          <w:spacing w:val="-4"/>
          <w:sz w:val="21"/>
          <w:szCs w:val="21"/>
        </w:rPr>
        <w:t>1</w:t>
      </w:r>
      <w:r>
        <w:rPr>
          <w:rFonts w:ascii="宋体" w:hAnsi="宋体" w:eastAsia="宋体" w:cs="宋体"/>
          <w:spacing w:val="-4"/>
          <w:sz w:val="21"/>
          <w:szCs w:val="21"/>
        </w:rPr>
        <w:t>）为招标人不具有独立法人资格的附属机构（单位</w:t>
      </w:r>
      <w:r>
        <w:rPr>
          <w:rFonts w:ascii="宋体" w:hAnsi="宋体" w:eastAsia="宋体" w:cs="宋体"/>
          <w:spacing w:val="-20"/>
          <w:sz w:val="21"/>
          <w:szCs w:val="21"/>
        </w:rPr>
        <w:t>）；</w:t>
      </w:r>
    </w:p>
    <w:p w14:paraId="4655AD17">
      <w:pPr>
        <w:spacing w:before="110" w:line="268" w:lineRule="auto"/>
        <w:ind w:left="447" w:right="1084"/>
        <w:rPr>
          <w:rFonts w:ascii="宋体" w:hAnsi="宋体" w:eastAsia="宋体" w:cs="宋体"/>
          <w:sz w:val="21"/>
          <w:szCs w:val="21"/>
        </w:rPr>
      </w:pPr>
      <w:r>
        <w:rPr>
          <w:rFonts w:ascii="宋体" w:hAnsi="宋体" w:eastAsia="宋体" w:cs="宋体"/>
          <w:spacing w:val="-2"/>
          <w:sz w:val="21"/>
          <w:szCs w:val="21"/>
        </w:rPr>
        <w:t>（</w:t>
      </w:r>
      <w:r>
        <w:rPr>
          <w:rFonts w:ascii="Times New Roman" w:hAnsi="Times New Roman" w:eastAsia="Times New Roman" w:cs="Times New Roman"/>
          <w:spacing w:val="-2"/>
          <w:sz w:val="21"/>
          <w:szCs w:val="21"/>
        </w:rPr>
        <w:t>2</w:t>
      </w:r>
      <w:r>
        <w:rPr>
          <w:rFonts w:ascii="宋体" w:hAnsi="宋体" w:eastAsia="宋体" w:cs="宋体"/>
          <w:spacing w:val="-2"/>
          <w:sz w:val="21"/>
          <w:szCs w:val="21"/>
        </w:rPr>
        <w:t>）为本标段前期准备提供设计或咨询服务的，但设计施工总承包的除外；</w:t>
      </w:r>
      <w:r>
        <w:rPr>
          <w:rFonts w:ascii="宋体" w:hAnsi="宋体" w:eastAsia="宋体" w:cs="宋体"/>
          <w:spacing w:val="3"/>
          <w:sz w:val="21"/>
          <w:szCs w:val="21"/>
        </w:rPr>
        <w:t xml:space="preserve"> </w:t>
      </w:r>
      <w:r>
        <w:rPr>
          <w:rFonts w:ascii="宋体" w:hAnsi="宋体" w:eastAsia="宋体" w:cs="宋体"/>
          <w:spacing w:val="-3"/>
          <w:sz w:val="21"/>
          <w:szCs w:val="21"/>
        </w:rPr>
        <w:t>（</w:t>
      </w:r>
      <w:r>
        <w:rPr>
          <w:rFonts w:ascii="Times New Roman" w:hAnsi="Times New Roman" w:eastAsia="Times New Roman" w:cs="Times New Roman"/>
          <w:spacing w:val="-3"/>
          <w:sz w:val="21"/>
          <w:szCs w:val="21"/>
        </w:rPr>
        <w:t>3</w:t>
      </w:r>
      <w:r>
        <w:rPr>
          <w:rFonts w:ascii="宋体" w:hAnsi="宋体" w:eastAsia="宋体" w:cs="宋体"/>
          <w:spacing w:val="-3"/>
          <w:sz w:val="21"/>
          <w:szCs w:val="21"/>
        </w:rPr>
        <w:t>）为本标段的监理人；</w:t>
      </w:r>
    </w:p>
    <w:p w14:paraId="7EBF20ED">
      <w:pPr>
        <w:spacing w:before="110" w:line="220" w:lineRule="auto"/>
        <w:ind w:left="447"/>
        <w:rPr>
          <w:rFonts w:ascii="宋体" w:hAnsi="宋体" w:eastAsia="宋体" w:cs="宋体"/>
          <w:sz w:val="21"/>
          <w:szCs w:val="21"/>
        </w:rPr>
      </w:pPr>
      <w:r>
        <w:rPr>
          <w:rFonts w:ascii="宋体" w:hAnsi="宋体" w:eastAsia="宋体" w:cs="宋体"/>
          <w:spacing w:val="-3"/>
          <w:sz w:val="21"/>
          <w:szCs w:val="21"/>
        </w:rPr>
        <w:t>（</w:t>
      </w:r>
      <w:r>
        <w:rPr>
          <w:rFonts w:ascii="Times New Roman" w:hAnsi="Times New Roman" w:eastAsia="Times New Roman" w:cs="Times New Roman"/>
          <w:spacing w:val="-3"/>
          <w:sz w:val="21"/>
          <w:szCs w:val="21"/>
        </w:rPr>
        <w:t>4</w:t>
      </w:r>
      <w:r>
        <w:rPr>
          <w:rFonts w:ascii="宋体" w:hAnsi="宋体" w:eastAsia="宋体" w:cs="宋体"/>
          <w:spacing w:val="-3"/>
          <w:sz w:val="21"/>
          <w:szCs w:val="21"/>
        </w:rPr>
        <w:t>）为本标段的代建人；</w:t>
      </w:r>
    </w:p>
    <w:p w14:paraId="0065A355">
      <w:pPr>
        <w:spacing w:before="110" w:line="220" w:lineRule="auto"/>
        <w:ind w:left="447"/>
        <w:rPr>
          <w:rFonts w:ascii="宋体" w:hAnsi="宋体" w:eastAsia="宋体" w:cs="宋体"/>
          <w:sz w:val="21"/>
          <w:szCs w:val="21"/>
        </w:rPr>
      </w:pPr>
      <w:r>
        <w:rPr>
          <w:rFonts w:ascii="宋体" w:hAnsi="宋体" w:eastAsia="宋体" w:cs="宋体"/>
          <w:spacing w:val="-3"/>
          <w:sz w:val="21"/>
          <w:szCs w:val="21"/>
        </w:rPr>
        <w:t>（</w:t>
      </w:r>
      <w:r>
        <w:rPr>
          <w:rFonts w:ascii="Times New Roman" w:hAnsi="Times New Roman" w:eastAsia="Times New Roman" w:cs="Times New Roman"/>
          <w:spacing w:val="-3"/>
          <w:sz w:val="21"/>
          <w:szCs w:val="21"/>
        </w:rPr>
        <w:t>5</w:t>
      </w:r>
      <w:r>
        <w:rPr>
          <w:rFonts w:ascii="宋体" w:hAnsi="宋体" w:eastAsia="宋体" w:cs="宋体"/>
          <w:spacing w:val="-3"/>
          <w:sz w:val="21"/>
          <w:szCs w:val="21"/>
        </w:rPr>
        <w:t>）为本标段提供招标代理服务；</w:t>
      </w:r>
    </w:p>
    <w:p w14:paraId="4CAB1138">
      <w:pPr>
        <w:spacing w:line="220" w:lineRule="auto"/>
        <w:rPr>
          <w:rFonts w:ascii="宋体" w:hAnsi="宋体" w:eastAsia="宋体" w:cs="宋体"/>
          <w:sz w:val="21"/>
          <w:szCs w:val="21"/>
        </w:rPr>
        <w:sectPr>
          <w:footerReference r:id="rId61" w:type="default"/>
          <w:pgSz w:w="11905" w:h="16839"/>
          <w:pgMar w:top="1431" w:right="1614" w:bottom="996" w:left="1785" w:header="0" w:footer="791" w:gutter="0"/>
          <w:pgNumType w:fmt="decimal"/>
          <w:cols w:space="720" w:num="1"/>
        </w:sectPr>
      </w:pPr>
    </w:p>
    <w:p w14:paraId="052EA202">
      <w:pPr>
        <w:spacing w:before="116" w:line="268" w:lineRule="auto"/>
        <w:ind w:left="447" w:right="173"/>
        <w:rPr>
          <w:rFonts w:ascii="宋体" w:hAnsi="宋体" w:eastAsia="宋体" w:cs="宋体"/>
          <w:sz w:val="21"/>
          <w:szCs w:val="21"/>
        </w:rPr>
      </w:pPr>
      <w:bookmarkStart w:id="154" w:name="bookmark178"/>
      <w:bookmarkEnd w:id="154"/>
      <w:bookmarkStart w:id="155" w:name="bookmark179"/>
      <w:bookmarkEnd w:id="155"/>
      <w:bookmarkStart w:id="156" w:name="bookmark177"/>
      <w:bookmarkEnd w:id="156"/>
      <w:r>
        <w:rPr>
          <w:rFonts w:ascii="宋体" w:hAnsi="宋体" w:eastAsia="宋体" w:cs="宋体"/>
          <w:spacing w:val="-2"/>
          <w:sz w:val="21"/>
          <w:szCs w:val="21"/>
        </w:rPr>
        <w:t>（</w:t>
      </w:r>
      <w:r>
        <w:rPr>
          <w:rFonts w:ascii="Times New Roman" w:hAnsi="Times New Roman" w:eastAsia="Times New Roman" w:cs="Times New Roman"/>
          <w:spacing w:val="-2"/>
          <w:sz w:val="21"/>
          <w:szCs w:val="21"/>
        </w:rPr>
        <w:t>6</w:t>
      </w:r>
      <w:r>
        <w:rPr>
          <w:rFonts w:ascii="宋体" w:hAnsi="宋体" w:eastAsia="宋体" w:cs="宋体"/>
          <w:spacing w:val="-2"/>
          <w:sz w:val="21"/>
          <w:szCs w:val="21"/>
        </w:rPr>
        <w:t>）与本标段的监理人或代建人或招标代理机构同为一个法定代表人或单位负责人；</w:t>
      </w:r>
      <w:r>
        <w:rPr>
          <w:rFonts w:ascii="宋体" w:hAnsi="宋体" w:eastAsia="宋体" w:cs="宋体"/>
          <w:spacing w:val="11"/>
          <w:sz w:val="21"/>
          <w:szCs w:val="21"/>
        </w:rPr>
        <w:t xml:space="preserve"> </w:t>
      </w:r>
      <w:r>
        <w:rPr>
          <w:rFonts w:ascii="宋体" w:hAnsi="宋体" w:eastAsia="宋体" w:cs="宋体"/>
          <w:spacing w:val="-1"/>
          <w:sz w:val="21"/>
          <w:szCs w:val="21"/>
        </w:rPr>
        <w:t>（</w:t>
      </w:r>
      <w:r>
        <w:rPr>
          <w:rFonts w:ascii="Times New Roman" w:hAnsi="Times New Roman" w:eastAsia="Times New Roman" w:cs="Times New Roman"/>
          <w:spacing w:val="-1"/>
          <w:sz w:val="21"/>
          <w:szCs w:val="21"/>
        </w:rPr>
        <w:t>7</w:t>
      </w:r>
      <w:r>
        <w:rPr>
          <w:rFonts w:ascii="宋体" w:hAnsi="宋体" w:eastAsia="宋体" w:cs="宋体"/>
          <w:spacing w:val="-1"/>
          <w:sz w:val="21"/>
          <w:szCs w:val="21"/>
        </w:rPr>
        <w:t>）与本标段的监理人或代建人或招标代理机构</w:t>
      </w:r>
      <w:r>
        <w:rPr>
          <w:rFonts w:ascii="宋体" w:hAnsi="宋体" w:eastAsia="宋体" w:cs="宋体"/>
          <w:spacing w:val="-2"/>
          <w:sz w:val="21"/>
          <w:szCs w:val="21"/>
        </w:rPr>
        <w:t>相互控股或参股；</w:t>
      </w:r>
    </w:p>
    <w:p w14:paraId="5FF5E5B3">
      <w:pPr>
        <w:spacing w:before="110" w:line="269" w:lineRule="auto"/>
        <w:ind w:left="20" w:right="116" w:firstLine="426"/>
        <w:rPr>
          <w:rFonts w:ascii="宋体" w:hAnsi="宋体" w:eastAsia="宋体" w:cs="宋体"/>
          <w:sz w:val="21"/>
          <w:szCs w:val="21"/>
        </w:rPr>
      </w:pPr>
      <w:r>
        <w:rPr>
          <w:rFonts w:ascii="宋体" w:hAnsi="宋体" w:eastAsia="宋体" w:cs="宋体"/>
          <w:sz w:val="21"/>
          <w:szCs w:val="21"/>
        </w:rPr>
        <w:t>（</w:t>
      </w:r>
      <w:r>
        <w:rPr>
          <w:rFonts w:ascii="Times New Roman" w:hAnsi="Times New Roman" w:eastAsia="Times New Roman" w:cs="Times New Roman"/>
          <w:sz w:val="21"/>
          <w:szCs w:val="21"/>
        </w:rPr>
        <w:t>8</w:t>
      </w:r>
      <w:r>
        <w:rPr>
          <w:rFonts w:ascii="宋体" w:hAnsi="宋体" w:eastAsia="宋体" w:cs="宋体"/>
          <w:sz w:val="21"/>
          <w:szCs w:val="21"/>
        </w:rPr>
        <w:t>）与本标段的监理人或代建人或招标代理机构的法定代表人或单位</w:t>
      </w:r>
      <w:r>
        <w:rPr>
          <w:rFonts w:ascii="宋体" w:hAnsi="宋体" w:eastAsia="宋体" w:cs="宋体"/>
          <w:spacing w:val="-1"/>
          <w:sz w:val="21"/>
          <w:szCs w:val="21"/>
        </w:rPr>
        <w:t>负责人相互任职</w:t>
      </w:r>
      <w:r>
        <w:rPr>
          <w:rFonts w:ascii="宋体" w:hAnsi="宋体" w:eastAsia="宋体" w:cs="宋体"/>
          <w:sz w:val="21"/>
          <w:szCs w:val="21"/>
        </w:rPr>
        <w:t xml:space="preserve"> </w:t>
      </w:r>
      <w:r>
        <w:rPr>
          <w:rFonts w:ascii="宋体" w:hAnsi="宋体" w:eastAsia="宋体" w:cs="宋体"/>
          <w:spacing w:val="-11"/>
          <w:sz w:val="21"/>
          <w:szCs w:val="21"/>
        </w:rPr>
        <w:t>或工作；</w:t>
      </w:r>
    </w:p>
    <w:p w14:paraId="1C4A58D2">
      <w:pPr>
        <w:spacing w:before="107" w:line="270" w:lineRule="auto"/>
        <w:ind w:left="35" w:right="104" w:firstLine="411"/>
        <w:rPr>
          <w:rFonts w:ascii="宋体" w:hAnsi="宋体" w:eastAsia="宋体" w:cs="宋体"/>
          <w:sz w:val="21"/>
          <w:szCs w:val="21"/>
        </w:rPr>
      </w:pPr>
      <w:r>
        <w:rPr>
          <w:rFonts w:ascii="宋体" w:hAnsi="宋体" w:eastAsia="宋体" w:cs="宋体"/>
          <w:sz w:val="21"/>
          <w:szCs w:val="21"/>
        </w:rPr>
        <w:t>（</w:t>
      </w:r>
      <w:r>
        <w:rPr>
          <w:rFonts w:ascii="Times New Roman" w:hAnsi="Times New Roman" w:eastAsia="Times New Roman" w:cs="Times New Roman"/>
          <w:sz w:val="21"/>
          <w:szCs w:val="21"/>
        </w:rPr>
        <w:t>9</w:t>
      </w:r>
      <w:r>
        <w:rPr>
          <w:rFonts w:ascii="宋体" w:hAnsi="宋体" w:eastAsia="宋体" w:cs="宋体"/>
          <w:sz w:val="21"/>
          <w:szCs w:val="21"/>
        </w:rPr>
        <w:t>）单位负责人为同一人或者存在控股、管理关系的不同单位，同时参加本标段投标</w:t>
      </w:r>
      <w:r>
        <w:rPr>
          <w:rFonts w:ascii="宋体" w:hAnsi="宋体" w:eastAsia="宋体" w:cs="宋体"/>
          <w:spacing w:val="5"/>
          <w:sz w:val="21"/>
          <w:szCs w:val="21"/>
        </w:rPr>
        <w:t xml:space="preserve"> </w:t>
      </w:r>
      <w:r>
        <w:rPr>
          <w:rFonts w:ascii="宋体" w:hAnsi="宋体" w:eastAsia="宋体" w:cs="宋体"/>
          <w:spacing w:val="-19"/>
          <w:sz w:val="21"/>
          <w:szCs w:val="21"/>
        </w:rPr>
        <w:t>的；</w:t>
      </w:r>
    </w:p>
    <w:p w14:paraId="489450A6">
      <w:pPr>
        <w:spacing w:before="105" w:line="285" w:lineRule="auto"/>
        <w:ind w:left="20" w:right="111" w:firstLine="427"/>
        <w:rPr>
          <w:rFonts w:ascii="宋体" w:hAnsi="宋体" w:eastAsia="宋体" w:cs="宋体"/>
          <w:sz w:val="21"/>
          <w:szCs w:val="21"/>
        </w:rPr>
      </w:pPr>
      <w:r>
        <w:rPr>
          <w:rFonts w:ascii="宋体" w:hAnsi="宋体" w:eastAsia="宋体" w:cs="宋体"/>
          <w:spacing w:val="3"/>
          <w:sz w:val="21"/>
          <w:szCs w:val="21"/>
        </w:rPr>
        <w:t>（</w:t>
      </w:r>
      <w:r>
        <w:rPr>
          <w:rFonts w:ascii="Times New Roman" w:hAnsi="Times New Roman" w:eastAsia="Times New Roman" w:cs="Times New Roman"/>
          <w:spacing w:val="3"/>
          <w:sz w:val="21"/>
          <w:szCs w:val="21"/>
        </w:rPr>
        <w:t>10</w:t>
      </w:r>
      <w:r>
        <w:rPr>
          <w:rFonts w:ascii="宋体" w:hAnsi="宋体" w:eastAsia="宋体" w:cs="宋体"/>
          <w:spacing w:val="3"/>
          <w:sz w:val="21"/>
          <w:szCs w:val="21"/>
        </w:rPr>
        <w:t>）被依法暂停或取消投标资格（指被本招标项目所在</w:t>
      </w:r>
      <w:r>
        <w:rPr>
          <w:rFonts w:ascii="宋体" w:hAnsi="宋体" w:eastAsia="宋体" w:cs="宋体"/>
          <w:spacing w:val="2"/>
          <w:sz w:val="21"/>
          <w:szCs w:val="21"/>
        </w:rPr>
        <w:t>地县级及以上住房城乡建设</w:t>
      </w:r>
      <w:r>
        <w:rPr>
          <w:rFonts w:ascii="宋体" w:hAnsi="宋体" w:eastAsia="宋体" w:cs="宋体"/>
          <w:sz w:val="21"/>
          <w:szCs w:val="21"/>
        </w:rPr>
        <w:t xml:space="preserve"> </w:t>
      </w:r>
      <w:r>
        <w:rPr>
          <w:rFonts w:ascii="宋体" w:hAnsi="宋体" w:eastAsia="宋体" w:cs="宋体"/>
          <w:spacing w:val="3"/>
          <w:sz w:val="21"/>
          <w:szCs w:val="21"/>
        </w:rPr>
        <w:t>主管部门或其他行政主管部门暂停或取消投标资格或禁止进入该区域建设</w:t>
      </w:r>
      <w:r>
        <w:rPr>
          <w:rFonts w:ascii="宋体" w:hAnsi="宋体" w:eastAsia="宋体" w:cs="宋体"/>
          <w:spacing w:val="2"/>
          <w:sz w:val="21"/>
          <w:szCs w:val="21"/>
        </w:rPr>
        <w:t>市场且处于有效</w:t>
      </w:r>
      <w:r>
        <w:rPr>
          <w:rFonts w:ascii="宋体" w:hAnsi="宋体" w:eastAsia="宋体" w:cs="宋体"/>
          <w:sz w:val="21"/>
          <w:szCs w:val="21"/>
        </w:rPr>
        <w:t xml:space="preserve"> </w:t>
      </w:r>
      <w:r>
        <w:rPr>
          <w:rFonts w:ascii="宋体" w:hAnsi="宋体" w:eastAsia="宋体" w:cs="宋体"/>
          <w:spacing w:val="-38"/>
          <w:w w:val="98"/>
          <w:sz w:val="21"/>
          <w:szCs w:val="21"/>
        </w:rPr>
        <w:t>期内</w:t>
      </w:r>
      <w:r>
        <w:rPr>
          <w:rFonts w:ascii="宋体" w:hAnsi="宋体" w:eastAsia="宋体" w:cs="宋体"/>
          <w:spacing w:val="-21"/>
          <w:sz w:val="21"/>
          <w:szCs w:val="21"/>
        </w:rPr>
        <w:t>）；</w:t>
      </w:r>
    </w:p>
    <w:p w14:paraId="3435D7EE">
      <w:pPr>
        <w:spacing w:before="108" w:line="220" w:lineRule="auto"/>
        <w:ind w:left="447"/>
        <w:rPr>
          <w:rFonts w:ascii="宋体" w:hAnsi="宋体" w:eastAsia="宋体" w:cs="宋体"/>
          <w:sz w:val="21"/>
          <w:szCs w:val="21"/>
        </w:rPr>
      </w:pPr>
      <w:r>
        <w:rPr>
          <w:rFonts w:ascii="宋体" w:hAnsi="宋体" w:eastAsia="宋体" w:cs="宋体"/>
          <w:spacing w:val="-2"/>
          <w:sz w:val="21"/>
          <w:szCs w:val="21"/>
        </w:rPr>
        <w:t>（</w:t>
      </w:r>
      <w:r>
        <w:rPr>
          <w:rFonts w:ascii="Times New Roman" w:hAnsi="Times New Roman" w:eastAsia="Times New Roman" w:cs="Times New Roman"/>
          <w:spacing w:val="-2"/>
          <w:sz w:val="21"/>
          <w:szCs w:val="21"/>
        </w:rPr>
        <w:t>11</w:t>
      </w:r>
      <w:r>
        <w:rPr>
          <w:rFonts w:ascii="宋体" w:hAnsi="宋体" w:eastAsia="宋体" w:cs="宋体"/>
          <w:spacing w:val="-2"/>
          <w:sz w:val="21"/>
          <w:szCs w:val="21"/>
        </w:rPr>
        <w:t>）被责令停产停业、暂扣或者吊销许可证、暂扣或者吊销执照；</w:t>
      </w:r>
    </w:p>
    <w:p w14:paraId="044E626C">
      <w:pPr>
        <w:spacing w:before="110" w:line="219" w:lineRule="auto"/>
        <w:ind w:left="447"/>
        <w:rPr>
          <w:rFonts w:ascii="宋体" w:hAnsi="宋体" w:eastAsia="宋体" w:cs="宋体"/>
          <w:sz w:val="21"/>
          <w:szCs w:val="21"/>
        </w:rPr>
      </w:pPr>
      <w:r>
        <w:rPr>
          <w:rFonts w:ascii="宋体" w:hAnsi="宋体" w:eastAsia="宋体" w:cs="宋体"/>
          <w:spacing w:val="-4"/>
          <w:sz w:val="21"/>
          <w:szCs w:val="21"/>
        </w:rPr>
        <w:t>（</w:t>
      </w:r>
      <w:r>
        <w:rPr>
          <w:rFonts w:ascii="Times New Roman" w:hAnsi="Times New Roman" w:eastAsia="Times New Roman" w:cs="Times New Roman"/>
          <w:spacing w:val="-4"/>
          <w:sz w:val="21"/>
          <w:szCs w:val="21"/>
        </w:rPr>
        <w:t>12</w:t>
      </w:r>
      <w:r>
        <w:rPr>
          <w:rFonts w:ascii="宋体" w:hAnsi="宋体" w:eastAsia="宋体" w:cs="宋体"/>
          <w:spacing w:val="-4"/>
          <w:sz w:val="21"/>
          <w:szCs w:val="21"/>
        </w:rPr>
        <w:t>）进入清算程序，或被宣告破产， 或其他丧失履约能力的情形；</w:t>
      </w:r>
    </w:p>
    <w:p w14:paraId="3CE839AA">
      <w:pPr>
        <w:spacing w:before="111" w:line="268" w:lineRule="auto"/>
        <w:ind w:left="20" w:right="101" w:firstLine="426"/>
        <w:rPr>
          <w:rFonts w:ascii="宋体" w:hAnsi="宋体" w:eastAsia="宋体" w:cs="宋体"/>
          <w:sz w:val="21"/>
          <w:szCs w:val="21"/>
        </w:rPr>
      </w:pPr>
      <w:r>
        <w:rPr>
          <w:rFonts w:ascii="宋体" w:hAnsi="宋体" w:eastAsia="宋体" w:cs="宋体"/>
          <w:spacing w:val="-2"/>
          <w:sz w:val="21"/>
          <w:szCs w:val="21"/>
        </w:rPr>
        <w:t>（</w:t>
      </w:r>
      <w:r>
        <w:rPr>
          <w:rFonts w:ascii="Times New Roman" w:hAnsi="Times New Roman" w:eastAsia="Times New Roman" w:cs="Times New Roman"/>
          <w:spacing w:val="-2"/>
          <w:sz w:val="21"/>
          <w:szCs w:val="21"/>
        </w:rPr>
        <w:t>13</w:t>
      </w:r>
      <w:r>
        <w:rPr>
          <w:rFonts w:ascii="宋体" w:hAnsi="宋体" w:eastAsia="宋体" w:cs="宋体"/>
          <w:spacing w:val="-2"/>
          <w:sz w:val="21"/>
          <w:szCs w:val="21"/>
        </w:rPr>
        <w:t>）在最近三年内有骗取中标或严重违约或重大工程质量问题的 （以相关行业主</w:t>
      </w:r>
      <w:r>
        <w:rPr>
          <w:rFonts w:ascii="宋体" w:hAnsi="宋体" w:eastAsia="宋体" w:cs="宋体"/>
          <w:spacing w:val="-19"/>
          <w:sz w:val="21"/>
          <w:szCs w:val="21"/>
        </w:rPr>
        <w:t xml:space="preserve"> </w:t>
      </w:r>
      <w:r>
        <w:rPr>
          <w:rFonts w:ascii="宋体" w:hAnsi="宋体" w:eastAsia="宋体" w:cs="宋体"/>
          <w:spacing w:val="-2"/>
          <w:sz w:val="21"/>
          <w:szCs w:val="21"/>
        </w:rPr>
        <w:t>管</w:t>
      </w:r>
      <w:r>
        <w:rPr>
          <w:rFonts w:ascii="宋体" w:hAnsi="宋体" w:eastAsia="宋体" w:cs="宋体"/>
          <w:sz w:val="21"/>
          <w:szCs w:val="21"/>
        </w:rPr>
        <w:t xml:space="preserve"> </w:t>
      </w:r>
      <w:r>
        <w:rPr>
          <w:rFonts w:ascii="宋体" w:hAnsi="宋体" w:eastAsia="宋体" w:cs="宋体"/>
          <w:spacing w:val="-4"/>
          <w:sz w:val="21"/>
          <w:szCs w:val="21"/>
        </w:rPr>
        <w:t>部门的行政处罚决定或司法机关出具的有关法律文书为准</w:t>
      </w:r>
      <w:r>
        <w:rPr>
          <w:rFonts w:ascii="宋体" w:hAnsi="宋体" w:eastAsia="宋体" w:cs="宋体"/>
          <w:spacing w:val="-15"/>
          <w:sz w:val="21"/>
          <w:szCs w:val="21"/>
        </w:rPr>
        <w:t>）；</w:t>
      </w:r>
    </w:p>
    <w:p w14:paraId="7C36A6F3">
      <w:pPr>
        <w:spacing w:before="110" w:line="269" w:lineRule="auto"/>
        <w:ind w:left="21" w:right="106" w:firstLine="425"/>
        <w:rPr>
          <w:rFonts w:ascii="宋体" w:hAnsi="宋体" w:eastAsia="宋体" w:cs="宋体"/>
          <w:sz w:val="21"/>
          <w:szCs w:val="21"/>
        </w:rPr>
      </w:pPr>
      <w:r>
        <w:rPr>
          <w:rFonts w:ascii="宋体" w:hAnsi="宋体" w:eastAsia="宋体" w:cs="宋体"/>
          <w:sz w:val="21"/>
          <w:szCs w:val="21"/>
        </w:rPr>
        <w:t>（</w:t>
      </w:r>
      <w:r>
        <w:rPr>
          <w:rFonts w:ascii="Times New Roman" w:hAnsi="Times New Roman" w:eastAsia="Times New Roman" w:cs="Times New Roman"/>
          <w:sz w:val="21"/>
          <w:szCs w:val="21"/>
        </w:rPr>
        <w:t>14</w:t>
      </w:r>
      <w:r>
        <w:rPr>
          <w:rFonts w:ascii="宋体" w:hAnsi="宋体" w:eastAsia="宋体" w:cs="宋体"/>
          <w:sz w:val="21"/>
          <w:szCs w:val="21"/>
        </w:rPr>
        <w:t>）在“国家企业信用信息公示系统”（</w:t>
      </w:r>
      <w:r>
        <w:rPr>
          <w:rFonts w:ascii="Times New Roman" w:hAnsi="Times New Roman" w:eastAsia="Times New Roman" w:cs="Times New Roman"/>
          <w:sz w:val="21"/>
          <w:szCs w:val="21"/>
        </w:rPr>
        <w:t>www.gsxt.gov.cn</w:t>
      </w:r>
      <w:r>
        <w:rPr>
          <w:rFonts w:ascii="宋体" w:hAnsi="宋体" w:eastAsia="宋体" w:cs="宋体"/>
          <w:sz w:val="21"/>
          <w:szCs w:val="21"/>
        </w:rPr>
        <w:t>）中被列入严重违法</w:t>
      </w:r>
      <w:r>
        <w:rPr>
          <w:rFonts w:ascii="宋体" w:hAnsi="宋体" w:eastAsia="宋体" w:cs="宋体"/>
          <w:spacing w:val="-1"/>
          <w:sz w:val="21"/>
          <w:szCs w:val="21"/>
        </w:rPr>
        <w:t>失 信</w:t>
      </w:r>
      <w:r>
        <w:rPr>
          <w:rFonts w:ascii="宋体" w:hAnsi="宋体" w:eastAsia="宋体" w:cs="宋体"/>
          <w:sz w:val="21"/>
          <w:szCs w:val="21"/>
        </w:rPr>
        <w:t xml:space="preserve"> </w:t>
      </w:r>
      <w:r>
        <w:rPr>
          <w:rFonts w:ascii="宋体" w:hAnsi="宋体" w:eastAsia="宋体" w:cs="宋体"/>
          <w:spacing w:val="-9"/>
          <w:sz w:val="21"/>
          <w:szCs w:val="21"/>
        </w:rPr>
        <w:t>企业名单；</w:t>
      </w:r>
    </w:p>
    <w:p w14:paraId="05A8026C">
      <w:pPr>
        <w:spacing w:before="108" w:line="265" w:lineRule="auto"/>
        <w:ind w:left="24" w:firstLine="422"/>
        <w:rPr>
          <w:rFonts w:ascii="宋体" w:hAnsi="宋体" w:eastAsia="宋体" w:cs="宋体"/>
          <w:sz w:val="21"/>
          <w:szCs w:val="21"/>
        </w:rPr>
      </w:pPr>
      <w:r>
        <w:rPr>
          <w:rFonts w:ascii="宋体" w:hAnsi="宋体" w:eastAsia="宋体" w:cs="宋体"/>
          <w:spacing w:val="15"/>
          <w:sz w:val="21"/>
          <w:szCs w:val="21"/>
        </w:rPr>
        <w:t>（</w:t>
      </w:r>
      <w:r>
        <w:rPr>
          <w:rFonts w:ascii="Times New Roman" w:hAnsi="Times New Roman" w:eastAsia="Times New Roman" w:cs="Times New Roman"/>
          <w:spacing w:val="15"/>
          <w:sz w:val="21"/>
          <w:szCs w:val="21"/>
        </w:rPr>
        <w:t>15</w:t>
      </w:r>
      <w:r>
        <w:rPr>
          <w:rFonts w:ascii="宋体" w:hAnsi="宋体" w:eastAsia="宋体" w:cs="宋体"/>
          <w:spacing w:val="15"/>
          <w:sz w:val="21"/>
          <w:szCs w:val="21"/>
        </w:rPr>
        <w:t>）在“信用中国”网站（</w:t>
      </w:r>
      <w:r>
        <w:rPr>
          <w:rFonts w:ascii="Times New Roman" w:hAnsi="Times New Roman" w:eastAsia="Times New Roman" w:cs="Times New Roman"/>
          <w:sz w:val="21"/>
          <w:szCs w:val="21"/>
        </w:rPr>
        <w:t>www</w:t>
      </w:r>
      <w:r>
        <w:rPr>
          <w:rFonts w:ascii="Times New Roman" w:hAnsi="Times New Roman" w:eastAsia="Times New Roman" w:cs="Times New Roman"/>
          <w:spacing w:val="15"/>
          <w:sz w:val="21"/>
          <w:szCs w:val="21"/>
        </w:rPr>
        <w:t>.</w:t>
      </w:r>
      <w:r>
        <w:rPr>
          <w:rFonts w:ascii="Times New Roman" w:hAnsi="Times New Roman" w:eastAsia="Times New Roman" w:cs="Times New Roman"/>
          <w:sz w:val="21"/>
          <w:szCs w:val="21"/>
        </w:rPr>
        <w:t>creditchina</w:t>
      </w:r>
      <w:r>
        <w:rPr>
          <w:rFonts w:ascii="Times New Roman" w:hAnsi="Times New Roman" w:eastAsia="Times New Roman" w:cs="Times New Roman"/>
          <w:spacing w:val="15"/>
          <w:sz w:val="21"/>
          <w:szCs w:val="21"/>
        </w:rPr>
        <w:t>.</w:t>
      </w:r>
      <w:r>
        <w:rPr>
          <w:rFonts w:ascii="Times New Roman" w:hAnsi="Times New Roman" w:eastAsia="Times New Roman" w:cs="Times New Roman"/>
          <w:sz w:val="21"/>
          <w:szCs w:val="21"/>
        </w:rPr>
        <w:t>gov</w:t>
      </w:r>
      <w:r>
        <w:rPr>
          <w:rFonts w:ascii="Times New Roman" w:hAnsi="Times New Roman" w:eastAsia="Times New Roman" w:cs="Times New Roman"/>
          <w:spacing w:val="15"/>
          <w:sz w:val="21"/>
          <w:szCs w:val="21"/>
        </w:rPr>
        <w:t>.</w:t>
      </w:r>
      <w:r>
        <w:rPr>
          <w:rFonts w:ascii="Times New Roman" w:hAnsi="Times New Roman" w:eastAsia="Times New Roman" w:cs="Times New Roman"/>
          <w:sz w:val="21"/>
          <w:szCs w:val="21"/>
        </w:rPr>
        <w:t>cn</w:t>
      </w:r>
      <w:r>
        <w:rPr>
          <w:rFonts w:ascii="宋体" w:hAnsi="宋体" w:eastAsia="宋体" w:cs="宋体"/>
          <w:spacing w:val="15"/>
          <w:sz w:val="21"/>
          <w:szCs w:val="21"/>
        </w:rPr>
        <w:t>）或“中国执行信息公开网”</w:t>
      </w:r>
      <w:r>
        <w:rPr>
          <w:rFonts w:ascii="宋体" w:hAnsi="宋体" w:eastAsia="宋体" w:cs="宋体"/>
          <w:spacing w:val="16"/>
          <w:sz w:val="21"/>
          <w:szCs w:val="21"/>
        </w:rPr>
        <w:t xml:space="preserve"> </w:t>
      </w:r>
      <w:r>
        <w:rPr>
          <w:rFonts w:ascii="宋体" w:hAnsi="宋体" w:eastAsia="宋体" w:cs="宋体"/>
          <w:spacing w:val="-2"/>
          <w:sz w:val="21"/>
          <w:szCs w:val="21"/>
        </w:rPr>
        <w:t>（</w:t>
      </w:r>
      <w:r>
        <w:fldChar w:fldCharType="begin"/>
      </w:r>
      <w:r>
        <w:instrText xml:space="preserve"> HYPERLINK "http://zxgk.court.gov.cn/shixin/" </w:instrText>
      </w:r>
      <w:r>
        <w:fldChar w:fldCharType="separate"/>
      </w:r>
      <w:r>
        <w:rPr>
          <w:rFonts w:ascii="Times New Roman" w:hAnsi="Times New Roman" w:eastAsia="Times New Roman" w:cs="Times New Roman"/>
          <w:spacing w:val="-2"/>
          <w:sz w:val="21"/>
          <w:szCs w:val="21"/>
        </w:rPr>
        <w:t>http://zxgk.court.gov.cn/shixin/</w:t>
      </w:r>
      <w:r>
        <w:rPr>
          <w:rFonts w:ascii="Times New Roman" w:hAnsi="Times New Roman" w:eastAsia="Times New Roman" w:cs="Times New Roman"/>
          <w:spacing w:val="-2"/>
          <w:sz w:val="21"/>
          <w:szCs w:val="21"/>
        </w:rPr>
        <w:fldChar w:fldCharType="end"/>
      </w:r>
      <w:r>
        <w:rPr>
          <w:rFonts w:ascii="Times New Roman" w:hAnsi="Times New Roman" w:eastAsia="Times New Roman" w:cs="Times New Roman"/>
          <w:spacing w:val="-22"/>
          <w:sz w:val="21"/>
          <w:szCs w:val="21"/>
        </w:rPr>
        <w:t xml:space="preserve"> </w:t>
      </w:r>
      <w:r>
        <w:rPr>
          <w:rFonts w:ascii="宋体" w:hAnsi="宋体" w:eastAsia="宋体" w:cs="宋体"/>
          <w:spacing w:val="-2"/>
          <w:sz w:val="21"/>
          <w:szCs w:val="21"/>
        </w:rPr>
        <w:t>）</w:t>
      </w:r>
      <w:r>
        <w:rPr>
          <w:rFonts w:ascii="宋体" w:hAnsi="宋体" w:eastAsia="宋体" w:cs="宋体"/>
          <w:spacing w:val="-43"/>
          <w:sz w:val="21"/>
          <w:szCs w:val="21"/>
        </w:rPr>
        <w:t xml:space="preserve"> </w:t>
      </w:r>
      <w:r>
        <w:rPr>
          <w:rFonts w:ascii="宋体" w:hAnsi="宋体" w:eastAsia="宋体" w:cs="宋体"/>
          <w:spacing w:val="-2"/>
          <w:sz w:val="21"/>
          <w:szCs w:val="21"/>
        </w:rPr>
        <w:t>被列入</w:t>
      </w:r>
      <w:r>
        <w:rPr>
          <w:rFonts w:ascii="宋体" w:hAnsi="宋体" w:eastAsia="宋体" w:cs="宋体"/>
          <w:spacing w:val="-3"/>
          <w:sz w:val="21"/>
          <w:szCs w:val="21"/>
        </w:rPr>
        <w:t>失信被执行人名单；</w:t>
      </w:r>
    </w:p>
    <w:p w14:paraId="648AABCF">
      <w:pPr>
        <w:spacing w:before="118" w:line="268" w:lineRule="auto"/>
        <w:ind w:left="18" w:right="112" w:firstLine="429"/>
        <w:rPr>
          <w:rFonts w:ascii="宋体" w:hAnsi="宋体" w:eastAsia="宋体" w:cs="宋体"/>
          <w:sz w:val="21"/>
          <w:szCs w:val="21"/>
        </w:rPr>
      </w:pPr>
      <w:r>
        <w:rPr>
          <w:rFonts w:ascii="宋体" w:hAnsi="宋体" w:eastAsia="宋体" w:cs="宋体"/>
          <w:spacing w:val="1"/>
          <w:sz w:val="21"/>
          <w:szCs w:val="21"/>
        </w:rPr>
        <w:t>（</w:t>
      </w:r>
      <w:r>
        <w:rPr>
          <w:rFonts w:ascii="Times New Roman" w:hAnsi="Times New Roman" w:eastAsia="Times New Roman" w:cs="Times New Roman"/>
          <w:spacing w:val="1"/>
          <w:sz w:val="21"/>
          <w:szCs w:val="21"/>
        </w:rPr>
        <w:t>16</w:t>
      </w:r>
      <w:r>
        <w:rPr>
          <w:rFonts w:ascii="宋体" w:hAnsi="宋体" w:eastAsia="宋体" w:cs="宋体"/>
          <w:spacing w:val="1"/>
          <w:sz w:val="21"/>
          <w:szCs w:val="21"/>
        </w:rPr>
        <w:t>）在辽宁省建设工程招投标监督平台</w:t>
      </w:r>
      <w:r>
        <w:rPr>
          <w:rFonts w:ascii="Times New Roman" w:hAnsi="Times New Roman" w:eastAsia="Times New Roman" w:cs="Times New Roman"/>
          <w:spacing w:val="1"/>
          <w:sz w:val="21"/>
          <w:szCs w:val="21"/>
        </w:rPr>
        <w:t>-</w:t>
      </w:r>
      <w:r>
        <w:rPr>
          <w:rFonts w:ascii="宋体" w:hAnsi="宋体" w:eastAsia="宋体" w:cs="宋体"/>
          <w:spacing w:val="1"/>
          <w:sz w:val="21"/>
          <w:szCs w:val="21"/>
        </w:rPr>
        <w:t>辽宁建设工程信息网上被列</w:t>
      </w:r>
      <w:r>
        <w:rPr>
          <w:rFonts w:ascii="宋体" w:hAnsi="宋体" w:eastAsia="宋体" w:cs="宋体"/>
          <w:sz w:val="21"/>
          <w:szCs w:val="21"/>
        </w:rPr>
        <w:t xml:space="preserve">入不良行为记录 </w:t>
      </w:r>
      <w:r>
        <w:rPr>
          <w:rFonts w:ascii="宋体" w:hAnsi="宋体" w:eastAsia="宋体" w:cs="宋体"/>
          <w:spacing w:val="-5"/>
          <w:sz w:val="21"/>
          <w:szCs w:val="21"/>
        </w:rPr>
        <w:t>且在公布期内的；</w:t>
      </w:r>
    </w:p>
    <w:p w14:paraId="45862E21">
      <w:pPr>
        <w:spacing w:before="110" w:line="221" w:lineRule="auto"/>
        <w:ind w:left="447"/>
        <w:rPr>
          <w:rFonts w:ascii="宋体" w:hAnsi="宋体" w:eastAsia="宋体" w:cs="宋体"/>
          <w:sz w:val="21"/>
          <w:szCs w:val="21"/>
        </w:rPr>
      </w:pPr>
      <w:r>
        <w:rPr>
          <w:rFonts w:ascii="宋体" w:hAnsi="宋体" w:eastAsia="宋体" w:cs="宋体"/>
          <w:spacing w:val="-2"/>
          <w:sz w:val="21"/>
          <w:szCs w:val="21"/>
        </w:rPr>
        <w:t>（</w:t>
      </w:r>
      <w:r>
        <w:rPr>
          <w:rFonts w:ascii="Times New Roman" w:hAnsi="Times New Roman" w:eastAsia="Times New Roman" w:cs="Times New Roman"/>
          <w:spacing w:val="-2"/>
          <w:sz w:val="21"/>
          <w:szCs w:val="21"/>
        </w:rPr>
        <w:t>17</w:t>
      </w:r>
      <w:r>
        <w:rPr>
          <w:rFonts w:ascii="宋体" w:hAnsi="宋体" w:eastAsia="宋体" w:cs="宋体"/>
          <w:spacing w:val="-2"/>
          <w:sz w:val="21"/>
          <w:szCs w:val="21"/>
        </w:rPr>
        <w:t>）法律法规规定的其他情形。</w:t>
      </w:r>
    </w:p>
    <w:p w14:paraId="49DEC073">
      <w:pPr>
        <w:spacing w:before="108" w:line="221" w:lineRule="auto"/>
        <w:ind w:left="436"/>
        <w:rPr>
          <w:rFonts w:ascii="宋体" w:hAnsi="宋体" w:eastAsia="宋体" w:cs="宋体"/>
          <w:sz w:val="21"/>
          <w:szCs w:val="21"/>
        </w:rPr>
      </w:pPr>
      <w:r>
        <w:rPr>
          <w:rFonts w:ascii="宋体" w:hAnsi="宋体" w:eastAsia="宋体" w:cs="宋体"/>
          <w:spacing w:val="-1"/>
          <w:sz w:val="21"/>
          <w:szCs w:val="21"/>
        </w:rPr>
        <w:t>B1.5</w:t>
      </w:r>
      <w:r>
        <w:rPr>
          <w:rFonts w:ascii="宋体" w:hAnsi="宋体" w:eastAsia="宋体" w:cs="宋体"/>
          <w:spacing w:val="-41"/>
          <w:sz w:val="21"/>
          <w:szCs w:val="21"/>
        </w:rPr>
        <w:t xml:space="preserve"> </w:t>
      </w:r>
      <w:r>
        <w:rPr>
          <w:rFonts w:ascii="宋体" w:hAnsi="宋体" w:eastAsia="宋体" w:cs="宋体"/>
          <w:spacing w:val="-1"/>
          <w:sz w:val="21"/>
          <w:szCs w:val="21"/>
        </w:rPr>
        <w:t>未如实填写近年发生的诉讼及仲裁情况，隐</w:t>
      </w:r>
      <w:r>
        <w:rPr>
          <w:rFonts w:ascii="宋体" w:hAnsi="宋体" w:eastAsia="宋体" w:cs="宋体"/>
          <w:spacing w:val="-2"/>
          <w:sz w:val="21"/>
          <w:szCs w:val="21"/>
        </w:rPr>
        <w:t>瞒真实情况的。</w:t>
      </w:r>
    </w:p>
    <w:p w14:paraId="4AA963F7">
      <w:pPr>
        <w:spacing w:before="167" w:line="428" w:lineRule="exact"/>
        <w:ind w:left="436"/>
        <w:rPr>
          <w:rFonts w:ascii="宋体" w:hAnsi="宋体" w:eastAsia="宋体" w:cs="宋体"/>
          <w:sz w:val="21"/>
          <w:szCs w:val="21"/>
        </w:rPr>
      </w:pPr>
      <w:r>
        <w:rPr>
          <w:rFonts w:ascii="宋体" w:hAnsi="宋体" w:eastAsia="宋体" w:cs="宋体"/>
          <w:position w:val="16"/>
          <w:sz w:val="21"/>
          <w:szCs w:val="21"/>
        </w:rPr>
        <w:t>B1.6 未按招标文件要求进行实名身份认证的或同一标段实名身份认证中存在不同投标</w:t>
      </w:r>
    </w:p>
    <w:p w14:paraId="49ABC902">
      <w:pPr>
        <w:spacing w:line="220" w:lineRule="auto"/>
        <w:ind w:left="20"/>
        <w:rPr>
          <w:rFonts w:ascii="宋体" w:hAnsi="宋体" w:eastAsia="宋体" w:cs="宋体"/>
          <w:sz w:val="21"/>
          <w:szCs w:val="21"/>
        </w:rPr>
      </w:pPr>
      <w:r>
        <w:rPr>
          <w:rFonts w:ascii="宋体" w:hAnsi="宋体" w:eastAsia="宋体" w:cs="宋体"/>
          <w:spacing w:val="-1"/>
          <w:sz w:val="21"/>
          <w:szCs w:val="21"/>
        </w:rPr>
        <w:t>人之间身份证识别器码一致的。</w:t>
      </w:r>
    </w:p>
    <w:p w14:paraId="4633E9F5">
      <w:pPr>
        <w:spacing w:before="181" w:line="219" w:lineRule="auto"/>
        <w:ind w:left="436"/>
        <w:rPr>
          <w:rFonts w:ascii="宋体" w:hAnsi="宋体" w:eastAsia="宋体" w:cs="宋体"/>
          <w:sz w:val="21"/>
          <w:szCs w:val="21"/>
        </w:rPr>
      </w:pPr>
      <w:r>
        <w:rPr>
          <w:rFonts w:ascii="宋体" w:hAnsi="宋体" w:eastAsia="宋体" w:cs="宋体"/>
          <w:spacing w:val="-1"/>
          <w:sz w:val="21"/>
          <w:szCs w:val="21"/>
        </w:rPr>
        <w:t>B1.7</w:t>
      </w:r>
      <w:r>
        <w:rPr>
          <w:rFonts w:ascii="宋体" w:hAnsi="宋体" w:eastAsia="宋体" w:cs="宋体"/>
          <w:spacing w:val="-27"/>
          <w:sz w:val="21"/>
          <w:szCs w:val="21"/>
        </w:rPr>
        <w:t xml:space="preserve"> </w:t>
      </w:r>
      <w:r>
        <w:rPr>
          <w:rFonts w:ascii="宋体" w:hAnsi="宋体" w:eastAsia="宋体" w:cs="宋体"/>
          <w:spacing w:val="-1"/>
          <w:sz w:val="21"/>
          <w:szCs w:val="21"/>
        </w:rPr>
        <w:t>投标报价明显低于企业成本可能影响履约的。</w:t>
      </w:r>
    </w:p>
    <w:p w14:paraId="3C8D169B">
      <w:pPr>
        <w:spacing w:before="178" w:line="220" w:lineRule="auto"/>
        <w:ind w:left="436"/>
        <w:rPr>
          <w:rFonts w:ascii="宋体" w:hAnsi="宋体" w:eastAsia="宋体" w:cs="宋体"/>
          <w:sz w:val="21"/>
          <w:szCs w:val="21"/>
        </w:rPr>
      </w:pPr>
      <w:r>
        <w:rPr>
          <w:rFonts w:ascii="宋体" w:hAnsi="宋体" w:eastAsia="宋体" w:cs="宋体"/>
          <w:spacing w:val="-5"/>
          <w:sz w:val="21"/>
          <w:szCs w:val="21"/>
        </w:rPr>
        <w:t>B1.8</w:t>
      </w:r>
      <w:r>
        <w:rPr>
          <w:rFonts w:ascii="宋体" w:hAnsi="宋体" w:eastAsia="宋体" w:cs="宋体"/>
          <w:spacing w:val="-36"/>
          <w:sz w:val="21"/>
          <w:szCs w:val="21"/>
        </w:rPr>
        <w:t xml:space="preserve"> </w:t>
      </w:r>
      <w:r>
        <w:rPr>
          <w:rFonts w:ascii="宋体" w:hAnsi="宋体" w:eastAsia="宋体" w:cs="宋体"/>
          <w:spacing w:val="-5"/>
          <w:sz w:val="21"/>
          <w:szCs w:val="21"/>
        </w:rPr>
        <w:t>未按招标文件要求采用建筑信息模型技术的（如有）。</w:t>
      </w:r>
    </w:p>
    <w:p w14:paraId="43601786">
      <w:pPr>
        <w:spacing w:before="182" w:line="221" w:lineRule="auto"/>
        <w:ind w:left="436"/>
        <w:rPr>
          <w:rFonts w:ascii="宋体" w:hAnsi="宋体" w:eastAsia="宋体" w:cs="宋体"/>
          <w:sz w:val="21"/>
          <w:szCs w:val="21"/>
        </w:rPr>
      </w:pPr>
      <w:r>
        <w:rPr>
          <w:rFonts w:ascii="宋体" w:hAnsi="宋体" w:eastAsia="宋体" w:cs="宋体"/>
          <w:spacing w:val="-1"/>
          <w:sz w:val="21"/>
          <w:szCs w:val="21"/>
        </w:rPr>
        <w:t>B1.9</w:t>
      </w:r>
      <w:r>
        <w:rPr>
          <w:rFonts w:ascii="宋体" w:hAnsi="宋体" w:eastAsia="宋体" w:cs="宋体"/>
          <w:spacing w:val="-38"/>
          <w:sz w:val="21"/>
          <w:szCs w:val="21"/>
        </w:rPr>
        <w:t xml:space="preserve"> </w:t>
      </w:r>
      <w:r>
        <w:rPr>
          <w:rFonts w:ascii="宋体" w:hAnsi="宋体" w:eastAsia="宋体" w:cs="宋体"/>
          <w:spacing w:val="-1"/>
          <w:sz w:val="21"/>
          <w:szCs w:val="21"/>
        </w:rPr>
        <w:t>技术标不同模块赋分点之间多个模块固定位置存在内容表述非必要性雷同的。</w:t>
      </w:r>
    </w:p>
    <w:p w14:paraId="34625C3B">
      <w:pPr>
        <w:pStyle w:val="3"/>
        <w:spacing w:line="245" w:lineRule="auto"/>
      </w:pPr>
    </w:p>
    <w:p w14:paraId="4189638A">
      <w:pPr>
        <w:spacing w:before="68" w:line="147" w:lineRule="exact"/>
        <w:ind w:left="467"/>
        <w:rPr>
          <w:rFonts w:ascii="仿宋" w:hAnsi="仿宋" w:eastAsia="仿宋" w:cs="仿宋"/>
          <w:sz w:val="21"/>
          <w:szCs w:val="21"/>
        </w:rPr>
      </w:pPr>
      <w:r>
        <w:rPr>
          <w:rFonts w:ascii="仿宋" w:hAnsi="仿宋" w:eastAsia="仿宋" w:cs="仿宋"/>
          <w:spacing w:val="-9"/>
          <w:position w:val="-3"/>
          <w:sz w:val="21"/>
          <w:szCs w:val="21"/>
        </w:rPr>
        <w:t>……</w:t>
      </w:r>
    </w:p>
    <w:p w14:paraId="50446653">
      <w:pPr>
        <w:spacing w:line="147" w:lineRule="exact"/>
        <w:rPr>
          <w:rFonts w:ascii="仿宋" w:hAnsi="仿宋" w:eastAsia="仿宋" w:cs="仿宋"/>
          <w:sz w:val="21"/>
          <w:szCs w:val="21"/>
        </w:rPr>
        <w:sectPr>
          <w:footerReference r:id="rId62" w:type="default"/>
          <w:pgSz w:w="11905" w:h="16839"/>
          <w:pgMar w:top="1431" w:right="1685" w:bottom="996" w:left="1785" w:header="0" w:footer="791" w:gutter="0"/>
          <w:pgNumType w:fmt="decimal"/>
          <w:cols w:space="720" w:num="1"/>
        </w:sectPr>
      </w:pPr>
    </w:p>
    <w:p w14:paraId="67C47C8F">
      <w:pPr>
        <w:pStyle w:val="3"/>
        <w:spacing w:before="307" w:line="218" w:lineRule="auto"/>
        <w:ind w:left="262"/>
        <w:rPr>
          <w:rFonts w:ascii="黑体" w:hAnsi="黑体" w:eastAsia="黑体" w:cs="黑体"/>
          <w:sz w:val="24"/>
          <w:szCs w:val="24"/>
        </w:rPr>
      </w:pPr>
      <w:r>
        <w:rPr>
          <w:rFonts w:ascii="黑体" w:hAnsi="黑体" w:eastAsia="黑体" w:cs="黑体"/>
          <w:spacing w:val="-6"/>
          <w:sz w:val="24"/>
          <w:szCs w:val="24"/>
        </w:rPr>
        <w:t>附件</w:t>
      </w:r>
      <w:r>
        <w:rPr>
          <w:rFonts w:ascii="黑体" w:hAnsi="黑体" w:eastAsia="黑体" w:cs="黑体"/>
          <w:spacing w:val="-48"/>
          <w:sz w:val="24"/>
          <w:szCs w:val="24"/>
        </w:rPr>
        <w:t xml:space="preserve"> </w:t>
      </w:r>
      <w:r>
        <w:rPr>
          <w:spacing w:val="-6"/>
          <w:sz w:val="24"/>
          <w:szCs w:val="24"/>
        </w:rPr>
        <w:t>C</w:t>
      </w:r>
      <w:r>
        <w:rPr>
          <w:rFonts w:ascii="黑体" w:hAnsi="黑体" w:eastAsia="黑体" w:cs="黑体"/>
          <w:spacing w:val="-6"/>
          <w:sz w:val="24"/>
          <w:szCs w:val="24"/>
        </w:rPr>
        <w:t>：定标办法</w:t>
      </w:r>
    </w:p>
    <w:p w14:paraId="1427143D">
      <w:pPr>
        <w:pStyle w:val="3"/>
        <w:spacing w:line="471" w:lineRule="auto"/>
      </w:pPr>
    </w:p>
    <w:p w14:paraId="55BE51A7">
      <w:pPr>
        <w:spacing w:before="88" w:line="216" w:lineRule="auto"/>
        <w:ind w:left="3426"/>
        <w:rPr>
          <w:rFonts w:ascii="黑体" w:hAnsi="黑体" w:eastAsia="黑体" w:cs="黑体"/>
          <w:sz w:val="27"/>
          <w:szCs w:val="27"/>
        </w:rPr>
      </w:pPr>
      <w:bookmarkStart w:id="157" w:name="bookmark181"/>
      <w:bookmarkEnd w:id="157"/>
      <w:bookmarkStart w:id="158" w:name="bookmark184"/>
      <w:bookmarkEnd w:id="158"/>
      <w:bookmarkStart w:id="159" w:name="bookmark180"/>
      <w:bookmarkEnd w:id="159"/>
      <w:bookmarkStart w:id="160" w:name="bookmark183"/>
      <w:bookmarkEnd w:id="160"/>
      <w:bookmarkStart w:id="161" w:name="bookmark187"/>
      <w:bookmarkEnd w:id="161"/>
      <w:bookmarkStart w:id="162" w:name="bookmark185"/>
      <w:bookmarkEnd w:id="162"/>
      <w:bookmarkStart w:id="163" w:name="bookmark186"/>
      <w:bookmarkEnd w:id="163"/>
      <w:bookmarkStart w:id="164" w:name="bookmark182"/>
      <w:bookmarkEnd w:id="164"/>
      <w:r>
        <w:rPr>
          <w:rFonts w:ascii="黑体" w:hAnsi="黑体" w:eastAsia="黑体" w:cs="黑体"/>
          <w:spacing w:val="7"/>
          <w:sz w:val="27"/>
          <w:szCs w:val="27"/>
        </w:rPr>
        <w:t>定标办法前附表</w:t>
      </w:r>
    </w:p>
    <w:tbl>
      <w:tblPr>
        <w:tblStyle w:val="10"/>
        <w:tblW w:w="8791" w:type="dxa"/>
        <w:tblInd w:w="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63"/>
        <w:gridCol w:w="707"/>
        <w:gridCol w:w="2030"/>
        <w:gridCol w:w="3827"/>
        <w:gridCol w:w="1564"/>
      </w:tblGrid>
      <w:tr w14:paraId="0738B1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6" w:hRule="atLeast"/>
        </w:trPr>
        <w:tc>
          <w:tcPr>
            <w:tcW w:w="1370" w:type="dxa"/>
            <w:gridSpan w:val="2"/>
            <w:tcBorders>
              <w:top w:val="single" w:color="000000" w:sz="2" w:space="0"/>
              <w:left w:val="single" w:color="000000" w:sz="2" w:space="0"/>
            </w:tcBorders>
            <w:vAlign w:val="top"/>
          </w:tcPr>
          <w:p w14:paraId="2DBD2F62">
            <w:pPr>
              <w:pStyle w:val="11"/>
              <w:spacing w:before="34" w:line="212" w:lineRule="auto"/>
              <w:ind w:left="379"/>
            </w:pPr>
            <w:r>
              <w:rPr>
                <w:spacing w:val="-2"/>
                <w14:textOutline w14:w="3831" w14:cap="flat" w14:cmpd="sng">
                  <w14:solidFill>
                    <w14:srgbClr w14:val="000000"/>
                  </w14:solidFill>
                  <w14:prstDash w14:val="solid"/>
                  <w14:miter w14:val="0"/>
                </w14:textOutline>
              </w:rPr>
              <w:t>条款号</w:t>
            </w:r>
          </w:p>
        </w:tc>
        <w:tc>
          <w:tcPr>
            <w:tcW w:w="2030" w:type="dxa"/>
            <w:tcBorders>
              <w:top w:val="single" w:color="000000" w:sz="2" w:space="0"/>
            </w:tcBorders>
            <w:vAlign w:val="top"/>
          </w:tcPr>
          <w:p w14:paraId="2DEC2F4D">
            <w:pPr>
              <w:pStyle w:val="11"/>
              <w:spacing w:before="34" w:line="212" w:lineRule="auto"/>
              <w:ind w:left="601"/>
            </w:pPr>
            <w:r>
              <w:rPr>
                <w:spacing w:val="-1"/>
                <w14:textOutline w14:w="3831" w14:cap="flat" w14:cmpd="sng">
                  <w14:solidFill>
                    <w14:srgbClr w14:val="000000"/>
                  </w14:solidFill>
                  <w14:prstDash w14:val="solid"/>
                  <w14:miter w14:val="0"/>
                </w14:textOutline>
              </w:rPr>
              <w:t>条款内容</w:t>
            </w:r>
          </w:p>
        </w:tc>
        <w:tc>
          <w:tcPr>
            <w:tcW w:w="5391" w:type="dxa"/>
            <w:gridSpan w:val="2"/>
            <w:tcBorders>
              <w:top w:val="single" w:color="000000" w:sz="2" w:space="0"/>
              <w:right w:val="single" w:color="000000" w:sz="2" w:space="0"/>
            </w:tcBorders>
            <w:vAlign w:val="top"/>
          </w:tcPr>
          <w:p w14:paraId="43DC6803">
            <w:pPr>
              <w:pStyle w:val="11"/>
              <w:spacing w:before="34" w:line="212" w:lineRule="auto"/>
              <w:ind w:left="2451"/>
            </w:pPr>
            <w:r>
              <w:rPr>
                <w:spacing w:val="-1"/>
                <w14:textOutline w14:w="3831" w14:cap="flat" w14:cmpd="sng">
                  <w14:solidFill>
                    <w14:srgbClr w14:val="000000"/>
                  </w14:solidFill>
                  <w14:prstDash w14:val="solid"/>
                  <w14:miter w14:val="0"/>
                </w14:textOutline>
              </w:rPr>
              <w:t>编列内容</w:t>
            </w:r>
          </w:p>
        </w:tc>
      </w:tr>
      <w:tr w14:paraId="5DE62A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0" w:hRule="atLeast"/>
        </w:trPr>
        <w:tc>
          <w:tcPr>
            <w:tcW w:w="663" w:type="dxa"/>
            <w:vMerge w:val="restart"/>
            <w:tcBorders>
              <w:left w:val="single" w:color="000000" w:sz="2" w:space="0"/>
              <w:bottom w:val="nil"/>
              <w:right w:val="single" w:color="000000" w:sz="2" w:space="0"/>
            </w:tcBorders>
            <w:vAlign w:val="top"/>
          </w:tcPr>
          <w:p w14:paraId="553CE5EF">
            <w:pPr>
              <w:spacing w:line="270" w:lineRule="auto"/>
              <w:rPr>
                <w:rFonts w:ascii="Arial"/>
                <w:sz w:val="21"/>
              </w:rPr>
            </w:pPr>
          </w:p>
          <w:p w14:paraId="1987B242">
            <w:pPr>
              <w:spacing w:line="271" w:lineRule="auto"/>
              <w:rPr>
                <w:rFonts w:ascii="Arial"/>
                <w:sz w:val="21"/>
              </w:rPr>
            </w:pPr>
          </w:p>
          <w:p w14:paraId="07974A73">
            <w:pPr>
              <w:pStyle w:val="11"/>
              <w:spacing w:before="68" w:line="183" w:lineRule="auto"/>
              <w:ind w:left="183"/>
            </w:pPr>
            <w:r>
              <w:rPr>
                <w:spacing w:val="-2"/>
              </w:rPr>
              <w:t>2.1</w:t>
            </w:r>
          </w:p>
        </w:tc>
        <w:tc>
          <w:tcPr>
            <w:tcW w:w="707" w:type="dxa"/>
            <w:vMerge w:val="restart"/>
            <w:tcBorders>
              <w:left w:val="single" w:color="000000" w:sz="2" w:space="0"/>
              <w:bottom w:val="nil"/>
            </w:tcBorders>
            <w:vAlign w:val="top"/>
          </w:tcPr>
          <w:p w14:paraId="7DABFEF2">
            <w:pPr>
              <w:spacing w:line="369" w:lineRule="auto"/>
              <w:rPr>
                <w:rFonts w:ascii="Arial"/>
                <w:sz w:val="21"/>
              </w:rPr>
            </w:pPr>
          </w:p>
          <w:p w14:paraId="159DEE3C">
            <w:pPr>
              <w:pStyle w:val="11"/>
              <w:spacing w:before="68" w:line="231" w:lineRule="auto"/>
              <w:ind w:left="148" w:right="138" w:firstLine="3"/>
            </w:pPr>
            <w:r>
              <w:rPr>
                <w:spacing w:val="-6"/>
              </w:rPr>
              <w:t>定标</w:t>
            </w:r>
            <w:r>
              <w:t xml:space="preserve"> </w:t>
            </w:r>
            <w:r>
              <w:rPr>
                <w:spacing w:val="-4"/>
              </w:rPr>
              <w:t>准备</w:t>
            </w:r>
          </w:p>
        </w:tc>
        <w:tc>
          <w:tcPr>
            <w:tcW w:w="2030" w:type="dxa"/>
            <w:vAlign w:val="top"/>
          </w:tcPr>
          <w:p w14:paraId="7BF08918">
            <w:pPr>
              <w:pStyle w:val="11"/>
              <w:spacing w:before="160" w:line="220" w:lineRule="auto"/>
              <w:ind w:left="292"/>
            </w:pPr>
            <w:r>
              <w:rPr>
                <w:spacing w:val="-2"/>
              </w:rPr>
              <w:t>定标委员会组成</w:t>
            </w:r>
          </w:p>
        </w:tc>
        <w:tc>
          <w:tcPr>
            <w:tcW w:w="5391" w:type="dxa"/>
            <w:gridSpan w:val="2"/>
            <w:tcBorders>
              <w:right w:val="single" w:color="000000" w:sz="2" w:space="0"/>
            </w:tcBorders>
            <w:vAlign w:val="top"/>
          </w:tcPr>
          <w:p w14:paraId="518562D5">
            <w:pPr>
              <w:pStyle w:val="11"/>
              <w:spacing w:before="25" w:line="213" w:lineRule="auto"/>
              <w:ind w:left="115" w:right="101" w:firstLine="346"/>
            </w:pPr>
            <w:r>
              <w:rPr>
                <w:spacing w:val="-1"/>
              </w:rPr>
              <w:t>定标委员会由本单位或本系统在职人员或邀请外部专</w:t>
            </w:r>
            <w:r>
              <w:rPr>
                <w:spacing w:val="12"/>
              </w:rPr>
              <w:t xml:space="preserve"> </w:t>
            </w:r>
            <w:r>
              <w:rPr>
                <w:spacing w:val="-4"/>
              </w:rPr>
              <w:t>业技术人员共</w:t>
            </w:r>
            <w:r>
              <w:rPr>
                <w:spacing w:val="22"/>
              </w:rPr>
              <w:t xml:space="preserve">   </w:t>
            </w:r>
            <w:r>
              <w:rPr>
                <w:spacing w:val="-4"/>
              </w:rPr>
              <w:t>人组成。</w:t>
            </w:r>
          </w:p>
        </w:tc>
      </w:tr>
      <w:tr w14:paraId="095149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7" w:hRule="atLeast"/>
        </w:trPr>
        <w:tc>
          <w:tcPr>
            <w:tcW w:w="663" w:type="dxa"/>
            <w:vMerge w:val="continue"/>
            <w:tcBorders>
              <w:top w:val="nil"/>
              <w:left w:val="single" w:color="000000" w:sz="2" w:space="0"/>
              <w:right w:val="single" w:color="000000" w:sz="2" w:space="0"/>
            </w:tcBorders>
            <w:vAlign w:val="top"/>
          </w:tcPr>
          <w:p w14:paraId="64762720">
            <w:pPr>
              <w:rPr>
                <w:rFonts w:ascii="Arial"/>
                <w:sz w:val="21"/>
              </w:rPr>
            </w:pPr>
          </w:p>
        </w:tc>
        <w:tc>
          <w:tcPr>
            <w:tcW w:w="707" w:type="dxa"/>
            <w:vMerge w:val="continue"/>
            <w:tcBorders>
              <w:top w:val="nil"/>
              <w:left w:val="single" w:color="000000" w:sz="2" w:space="0"/>
            </w:tcBorders>
            <w:vAlign w:val="top"/>
          </w:tcPr>
          <w:p w14:paraId="104CB7F1">
            <w:pPr>
              <w:rPr>
                <w:rFonts w:ascii="Arial"/>
                <w:sz w:val="21"/>
              </w:rPr>
            </w:pPr>
          </w:p>
        </w:tc>
        <w:tc>
          <w:tcPr>
            <w:tcW w:w="2030" w:type="dxa"/>
            <w:vAlign w:val="top"/>
          </w:tcPr>
          <w:p w14:paraId="30185C97">
            <w:pPr>
              <w:spacing w:line="257" w:lineRule="auto"/>
              <w:rPr>
                <w:rFonts w:ascii="Arial"/>
                <w:sz w:val="21"/>
              </w:rPr>
            </w:pPr>
          </w:p>
          <w:p w14:paraId="179F3C7E">
            <w:pPr>
              <w:pStyle w:val="11"/>
              <w:spacing w:before="68" w:line="221" w:lineRule="auto"/>
              <w:ind w:left="604"/>
            </w:pPr>
            <w:r>
              <w:rPr>
                <w:spacing w:val="-2"/>
              </w:rPr>
              <w:t>定标原则</w:t>
            </w:r>
          </w:p>
        </w:tc>
        <w:tc>
          <w:tcPr>
            <w:tcW w:w="5391" w:type="dxa"/>
            <w:gridSpan w:val="2"/>
            <w:tcBorders>
              <w:right w:val="single" w:color="000000" w:sz="2" w:space="0"/>
            </w:tcBorders>
            <w:vAlign w:val="top"/>
          </w:tcPr>
          <w:p w14:paraId="3D157793">
            <w:pPr>
              <w:pStyle w:val="11"/>
              <w:spacing w:before="52" w:line="227" w:lineRule="auto"/>
              <w:ind w:left="115" w:right="101" w:firstLine="345"/>
              <w:jc w:val="both"/>
            </w:pPr>
            <w:r>
              <w:rPr>
                <w:spacing w:val="-1"/>
              </w:rPr>
              <w:t>定标工作由招标人组建的定标委员会负责。招标人应</w:t>
            </w:r>
            <w:r>
              <w:rPr>
                <w:spacing w:val="12"/>
              </w:rPr>
              <w:t xml:space="preserve"> </w:t>
            </w:r>
            <w:r>
              <w:rPr>
                <w:spacing w:val="5"/>
              </w:rPr>
              <w:t>当根据招标项目类型、项目具体特点和实现履约需要分</w:t>
            </w:r>
            <w:r>
              <w:t xml:space="preserve"> </w:t>
            </w:r>
            <w:r>
              <w:rPr>
                <w:spacing w:val="-2"/>
              </w:rPr>
              <w:t>类确定单一或若干定标因素。</w:t>
            </w:r>
          </w:p>
        </w:tc>
      </w:tr>
      <w:tr w14:paraId="656E8D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8" w:hRule="atLeast"/>
        </w:trPr>
        <w:tc>
          <w:tcPr>
            <w:tcW w:w="1370" w:type="dxa"/>
            <w:gridSpan w:val="2"/>
            <w:tcBorders>
              <w:left w:val="single" w:color="000000" w:sz="2" w:space="0"/>
            </w:tcBorders>
            <w:vAlign w:val="top"/>
          </w:tcPr>
          <w:p w14:paraId="31AB2FD4">
            <w:pPr>
              <w:pStyle w:val="11"/>
              <w:spacing w:before="41" w:line="199" w:lineRule="auto"/>
              <w:ind w:left="379"/>
            </w:pPr>
            <w:r>
              <w:rPr>
                <w:spacing w:val="-2"/>
                <w14:textOutline w14:w="3831" w14:cap="flat" w14:cmpd="sng">
                  <w14:solidFill>
                    <w14:srgbClr w14:val="000000"/>
                  </w14:solidFill>
                  <w14:prstDash w14:val="solid"/>
                  <w14:miter w14:val="0"/>
                </w14:textOutline>
              </w:rPr>
              <w:t>条款号</w:t>
            </w:r>
          </w:p>
        </w:tc>
        <w:tc>
          <w:tcPr>
            <w:tcW w:w="2030" w:type="dxa"/>
            <w:vAlign w:val="top"/>
          </w:tcPr>
          <w:p w14:paraId="23018F5B">
            <w:pPr>
              <w:pStyle w:val="11"/>
              <w:spacing w:before="41" w:line="199" w:lineRule="auto"/>
              <w:ind w:left="604"/>
            </w:pPr>
            <w:r>
              <w:rPr>
                <w:spacing w:val="-2"/>
                <w14:textOutline w14:w="3831" w14:cap="flat" w14:cmpd="sng">
                  <w14:solidFill>
                    <w14:srgbClr w14:val="000000"/>
                  </w14:solidFill>
                  <w14:prstDash w14:val="solid"/>
                  <w14:miter w14:val="0"/>
                </w14:textOutline>
              </w:rPr>
              <w:t>定标因素</w:t>
            </w:r>
          </w:p>
        </w:tc>
        <w:tc>
          <w:tcPr>
            <w:tcW w:w="3827" w:type="dxa"/>
            <w:tcBorders>
              <w:right w:val="single" w:color="000000" w:sz="2" w:space="0"/>
            </w:tcBorders>
            <w:vAlign w:val="top"/>
          </w:tcPr>
          <w:p w14:paraId="0EA1814C">
            <w:pPr>
              <w:pStyle w:val="11"/>
              <w:spacing w:before="41" w:line="199" w:lineRule="auto"/>
              <w:ind w:left="1671"/>
            </w:pPr>
            <w:r>
              <w:rPr>
                <w:spacing w:val="-2"/>
                <w14:textOutline w14:w="3831" w14:cap="flat" w14:cmpd="sng">
                  <w14:solidFill>
                    <w14:srgbClr w14:val="000000"/>
                  </w14:solidFill>
                  <w14:prstDash w14:val="solid"/>
                  <w14:miter w14:val="0"/>
                </w14:textOutline>
              </w:rPr>
              <w:t>定标规则</w:t>
            </w:r>
          </w:p>
        </w:tc>
        <w:tc>
          <w:tcPr>
            <w:tcW w:w="1564" w:type="dxa"/>
            <w:tcBorders>
              <w:left w:val="single" w:color="000000" w:sz="2" w:space="0"/>
              <w:right w:val="single" w:color="000000" w:sz="2" w:space="0"/>
            </w:tcBorders>
            <w:vAlign w:val="top"/>
          </w:tcPr>
          <w:p w14:paraId="4F0E0572">
            <w:pPr>
              <w:pStyle w:val="11"/>
              <w:spacing w:before="41" w:line="199" w:lineRule="auto"/>
              <w:ind w:left="314"/>
            </w:pPr>
            <w:r>
              <w:rPr>
                <w:spacing w:val="-1"/>
                <w14:textOutline w14:w="3831" w14:cap="flat" w14:cmpd="sng">
                  <w14:solidFill>
                    <w14:srgbClr w14:val="000000"/>
                  </w14:solidFill>
                  <w14:prstDash w14:val="solid"/>
                  <w14:miter w14:val="0"/>
                </w14:textOutline>
              </w:rPr>
              <w:t>权重（%）</w:t>
            </w:r>
          </w:p>
        </w:tc>
      </w:tr>
      <w:tr w14:paraId="1D80EE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8" w:hRule="atLeast"/>
        </w:trPr>
        <w:tc>
          <w:tcPr>
            <w:tcW w:w="1370" w:type="dxa"/>
            <w:gridSpan w:val="2"/>
            <w:vMerge w:val="restart"/>
            <w:tcBorders>
              <w:left w:val="single" w:color="000000" w:sz="2" w:space="0"/>
              <w:bottom w:val="nil"/>
            </w:tcBorders>
            <w:vAlign w:val="top"/>
          </w:tcPr>
          <w:p w14:paraId="5D000F70">
            <w:pPr>
              <w:spacing w:line="252" w:lineRule="auto"/>
              <w:rPr>
                <w:rFonts w:ascii="Arial"/>
                <w:sz w:val="21"/>
              </w:rPr>
            </w:pPr>
          </w:p>
          <w:p w14:paraId="574531C8">
            <w:pPr>
              <w:spacing w:line="252" w:lineRule="auto"/>
              <w:rPr>
                <w:rFonts w:ascii="Arial"/>
                <w:sz w:val="21"/>
              </w:rPr>
            </w:pPr>
          </w:p>
          <w:p w14:paraId="04A05A3C">
            <w:pPr>
              <w:spacing w:line="253" w:lineRule="auto"/>
              <w:rPr>
                <w:rFonts w:ascii="Arial"/>
                <w:sz w:val="21"/>
              </w:rPr>
            </w:pPr>
          </w:p>
          <w:p w14:paraId="1D2D4B93">
            <w:pPr>
              <w:spacing w:line="253" w:lineRule="auto"/>
              <w:rPr>
                <w:rFonts w:ascii="Arial"/>
                <w:sz w:val="21"/>
              </w:rPr>
            </w:pPr>
          </w:p>
          <w:p w14:paraId="166B1EFD">
            <w:pPr>
              <w:spacing w:line="253" w:lineRule="auto"/>
              <w:rPr>
                <w:rFonts w:ascii="Arial"/>
                <w:sz w:val="21"/>
              </w:rPr>
            </w:pPr>
          </w:p>
          <w:p w14:paraId="4F25DF82">
            <w:pPr>
              <w:spacing w:line="253" w:lineRule="auto"/>
              <w:rPr>
                <w:rFonts w:ascii="Arial"/>
                <w:sz w:val="21"/>
              </w:rPr>
            </w:pPr>
          </w:p>
          <w:p w14:paraId="10AE944F">
            <w:pPr>
              <w:spacing w:line="253" w:lineRule="auto"/>
              <w:rPr>
                <w:rFonts w:ascii="Arial"/>
                <w:sz w:val="21"/>
              </w:rPr>
            </w:pPr>
          </w:p>
          <w:p w14:paraId="03D6E1AA">
            <w:pPr>
              <w:spacing w:line="253" w:lineRule="auto"/>
              <w:rPr>
                <w:rFonts w:ascii="Arial"/>
                <w:sz w:val="21"/>
              </w:rPr>
            </w:pPr>
          </w:p>
          <w:p w14:paraId="15A9FF68">
            <w:pPr>
              <w:spacing w:line="253" w:lineRule="auto"/>
              <w:rPr>
                <w:rFonts w:ascii="Arial"/>
                <w:sz w:val="21"/>
              </w:rPr>
            </w:pPr>
          </w:p>
          <w:p w14:paraId="217796F4">
            <w:pPr>
              <w:spacing w:line="253" w:lineRule="auto"/>
              <w:rPr>
                <w:rFonts w:ascii="Arial"/>
                <w:sz w:val="21"/>
              </w:rPr>
            </w:pPr>
          </w:p>
          <w:p w14:paraId="3DE994BA">
            <w:pPr>
              <w:spacing w:line="253" w:lineRule="auto"/>
              <w:rPr>
                <w:rFonts w:ascii="Arial"/>
                <w:sz w:val="21"/>
              </w:rPr>
            </w:pPr>
          </w:p>
          <w:p w14:paraId="7548E452">
            <w:pPr>
              <w:pStyle w:val="11"/>
              <w:spacing w:before="68" w:line="182" w:lineRule="auto"/>
              <w:ind w:left="539"/>
            </w:pPr>
            <w:r>
              <w:rPr>
                <w:spacing w:val="-2"/>
              </w:rPr>
              <w:t>2.2</w:t>
            </w:r>
          </w:p>
        </w:tc>
        <w:tc>
          <w:tcPr>
            <w:tcW w:w="2030" w:type="dxa"/>
            <w:vAlign w:val="top"/>
          </w:tcPr>
          <w:p w14:paraId="355D5D78">
            <w:pPr>
              <w:pStyle w:val="11"/>
              <w:spacing w:before="41" w:line="199" w:lineRule="auto"/>
              <w:ind w:left="181"/>
            </w:pPr>
            <w:r>
              <w:rPr>
                <w:spacing w:val="-1"/>
              </w:rPr>
              <w:t>评标报告审核报告</w:t>
            </w:r>
          </w:p>
        </w:tc>
        <w:tc>
          <w:tcPr>
            <w:tcW w:w="3827" w:type="dxa"/>
            <w:tcBorders>
              <w:right w:val="single" w:color="000000" w:sz="2" w:space="0"/>
            </w:tcBorders>
            <w:vAlign w:val="top"/>
          </w:tcPr>
          <w:p w14:paraId="7B9F08CC">
            <w:pPr>
              <w:rPr>
                <w:rFonts w:ascii="Arial"/>
                <w:sz w:val="21"/>
              </w:rPr>
            </w:pPr>
          </w:p>
        </w:tc>
        <w:tc>
          <w:tcPr>
            <w:tcW w:w="1564" w:type="dxa"/>
            <w:tcBorders>
              <w:left w:val="single" w:color="000000" w:sz="2" w:space="0"/>
              <w:right w:val="single" w:color="000000" w:sz="2" w:space="0"/>
            </w:tcBorders>
            <w:vAlign w:val="top"/>
          </w:tcPr>
          <w:p w14:paraId="0FFB7C95">
            <w:pPr>
              <w:pStyle w:val="11"/>
              <w:spacing w:before="41" w:line="199" w:lineRule="auto"/>
              <w:ind w:left="160"/>
            </w:pPr>
            <w:r>
              <w:rPr>
                <w:spacing w:val="-1"/>
                <w14:textOutline w14:w="3831" w14:cap="flat" w14:cmpd="sng">
                  <w14:solidFill>
                    <w14:srgbClr w14:val="000000"/>
                  </w14:solidFill>
                  <w14:prstDash w14:val="solid"/>
                  <w14:miter w14:val="0"/>
                </w14:textOutline>
              </w:rPr>
              <w:t>非必须设定项</w:t>
            </w:r>
          </w:p>
        </w:tc>
      </w:tr>
      <w:tr w14:paraId="3CA403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4" w:hRule="atLeast"/>
        </w:trPr>
        <w:tc>
          <w:tcPr>
            <w:tcW w:w="1370" w:type="dxa"/>
            <w:gridSpan w:val="2"/>
            <w:vMerge w:val="continue"/>
            <w:tcBorders>
              <w:top w:val="nil"/>
              <w:left w:val="single" w:color="000000" w:sz="2" w:space="0"/>
              <w:bottom w:val="nil"/>
            </w:tcBorders>
            <w:vAlign w:val="top"/>
          </w:tcPr>
          <w:p w14:paraId="272F4CF1">
            <w:pPr>
              <w:rPr>
                <w:rFonts w:ascii="Arial"/>
                <w:sz w:val="21"/>
              </w:rPr>
            </w:pPr>
          </w:p>
        </w:tc>
        <w:tc>
          <w:tcPr>
            <w:tcW w:w="2030" w:type="dxa"/>
            <w:vAlign w:val="top"/>
          </w:tcPr>
          <w:p w14:paraId="1B6B9885">
            <w:pPr>
              <w:pStyle w:val="11"/>
              <w:spacing w:before="36" w:line="200" w:lineRule="auto"/>
              <w:ind w:left="185"/>
            </w:pPr>
            <w:r>
              <w:rPr>
                <w:spacing w:val="-1"/>
              </w:rPr>
              <w:t>履约能力核查报告</w:t>
            </w:r>
          </w:p>
        </w:tc>
        <w:tc>
          <w:tcPr>
            <w:tcW w:w="3827" w:type="dxa"/>
            <w:tcBorders>
              <w:right w:val="single" w:color="000000" w:sz="2" w:space="0"/>
            </w:tcBorders>
            <w:vAlign w:val="top"/>
          </w:tcPr>
          <w:p w14:paraId="4F80E9B3">
            <w:pPr>
              <w:rPr>
                <w:rFonts w:ascii="Arial"/>
                <w:sz w:val="21"/>
              </w:rPr>
            </w:pPr>
          </w:p>
        </w:tc>
        <w:tc>
          <w:tcPr>
            <w:tcW w:w="1564" w:type="dxa"/>
            <w:tcBorders>
              <w:left w:val="single" w:color="000000" w:sz="2" w:space="0"/>
              <w:right w:val="single" w:color="000000" w:sz="2" w:space="0"/>
            </w:tcBorders>
            <w:vAlign w:val="top"/>
          </w:tcPr>
          <w:p w14:paraId="2EE6B751">
            <w:pPr>
              <w:rPr>
                <w:rFonts w:ascii="Arial"/>
                <w:sz w:val="21"/>
              </w:rPr>
            </w:pPr>
          </w:p>
        </w:tc>
      </w:tr>
      <w:tr w14:paraId="693CA8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8" w:hRule="atLeast"/>
        </w:trPr>
        <w:tc>
          <w:tcPr>
            <w:tcW w:w="1370" w:type="dxa"/>
            <w:gridSpan w:val="2"/>
            <w:vMerge w:val="continue"/>
            <w:tcBorders>
              <w:top w:val="nil"/>
              <w:left w:val="single" w:color="000000" w:sz="2" w:space="0"/>
              <w:bottom w:val="nil"/>
            </w:tcBorders>
            <w:vAlign w:val="top"/>
          </w:tcPr>
          <w:p w14:paraId="29799DC3">
            <w:pPr>
              <w:rPr>
                <w:rFonts w:ascii="Arial"/>
                <w:sz w:val="21"/>
              </w:rPr>
            </w:pPr>
          </w:p>
        </w:tc>
        <w:tc>
          <w:tcPr>
            <w:tcW w:w="2030" w:type="dxa"/>
            <w:vAlign w:val="top"/>
          </w:tcPr>
          <w:p w14:paraId="43690622">
            <w:pPr>
              <w:pStyle w:val="11"/>
              <w:spacing w:before="40" w:line="200" w:lineRule="auto"/>
              <w:ind w:left="602"/>
            </w:pPr>
            <w:r>
              <w:rPr>
                <w:spacing w:val="-2"/>
              </w:rPr>
              <w:t>投标报价</w:t>
            </w:r>
          </w:p>
        </w:tc>
        <w:tc>
          <w:tcPr>
            <w:tcW w:w="3827" w:type="dxa"/>
            <w:tcBorders>
              <w:right w:val="single" w:color="000000" w:sz="2" w:space="0"/>
            </w:tcBorders>
            <w:vAlign w:val="top"/>
          </w:tcPr>
          <w:p w14:paraId="683B1B23">
            <w:pPr>
              <w:rPr>
                <w:rFonts w:ascii="Arial"/>
                <w:sz w:val="21"/>
              </w:rPr>
            </w:pPr>
          </w:p>
        </w:tc>
        <w:tc>
          <w:tcPr>
            <w:tcW w:w="1564" w:type="dxa"/>
            <w:tcBorders>
              <w:left w:val="single" w:color="000000" w:sz="2" w:space="0"/>
              <w:right w:val="single" w:color="000000" w:sz="2" w:space="0"/>
            </w:tcBorders>
            <w:vAlign w:val="top"/>
          </w:tcPr>
          <w:p w14:paraId="5CEFBC99">
            <w:pPr>
              <w:rPr>
                <w:rFonts w:ascii="Arial"/>
                <w:sz w:val="21"/>
              </w:rPr>
            </w:pPr>
          </w:p>
        </w:tc>
      </w:tr>
      <w:tr w14:paraId="7930A0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8" w:hRule="atLeast"/>
        </w:trPr>
        <w:tc>
          <w:tcPr>
            <w:tcW w:w="1370" w:type="dxa"/>
            <w:gridSpan w:val="2"/>
            <w:vMerge w:val="continue"/>
            <w:tcBorders>
              <w:top w:val="nil"/>
              <w:left w:val="single" w:color="000000" w:sz="2" w:space="0"/>
              <w:bottom w:val="nil"/>
            </w:tcBorders>
            <w:vAlign w:val="top"/>
          </w:tcPr>
          <w:p w14:paraId="32524184">
            <w:pPr>
              <w:rPr>
                <w:rFonts w:ascii="Arial"/>
                <w:sz w:val="21"/>
              </w:rPr>
            </w:pPr>
          </w:p>
        </w:tc>
        <w:tc>
          <w:tcPr>
            <w:tcW w:w="2030" w:type="dxa"/>
            <w:vAlign w:val="top"/>
          </w:tcPr>
          <w:p w14:paraId="3ADF794C">
            <w:pPr>
              <w:pStyle w:val="11"/>
              <w:spacing w:before="40" w:line="200" w:lineRule="auto"/>
              <w:ind w:left="618"/>
            </w:pPr>
            <w:r>
              <w:rPr>
                <w:spacing w:val="-5"/>
              </w:rPr>
              <w:t>团队实力</w:t>
            </w:r>
          </w:p>
        </w:tc>
        <w:tc>
          <w:tcPr>
            <w:tcW w:w="3827" w:type="dxa"/>
            <w:tcBorders>
              <w:right w:val="single" w:color="000000" w:sz="2" w:space="0"/>
            </w:tcBorders>
            <w:vAlign w:val="top"/>
          </w:tcPr>
          <w:p w14:paraId="7DF707CA">
            <w:pPr>
              <w:rPr>
                <w:rFonts w:ascii="Arial"/>
                <w:sz w:val="21"/>
              </w:rPr>
            </w:pPr>
          </w:p>
        </w:tc>
        <w:tc>
          <w:tcPr>
            <w:tcW w:w="1564" w:type="dxa"/>
            <w:tcBorders>
              <w:left w:val="single" w:color="000000" w:sz="2" w:space="0"/>
              <w:right w:val="single" w:color="000000" w:sz="2" w:space="0"/>
            </w:tcBorders>
            <w:vAlign w:val="top"/>
          </w:tcPr>
          <w:p w14:paraId="17D99329">
            <w:pPr>
              <w:rPr>
                <w:rFonts w:ascii="Arial"/>
                <w:sz w:val="21"/>
              </w:rPr>
            </w:pPr>
          </w:p>
        </w:tc>
      </w:tr>
      <w:tr w14:paraId="61BDEB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9" w:hRule="atLeast"/>
        </w:trPr>
        <w:tc>
          <w:tcPr>
            <w:tcW w:w="1370" w:type="dxa"/>
            <w:gridSpan w:val="2"/>
            <w:vMerge w:val="continue"/>
            <w:tcBorders>
              <w:top w:val="nil"/>
              <w:left w:val="single" w:color="000000" w:sz="2" w:space="0"/>
              <w:bottom w:val="nil"/>
            </w:tcBorders>
            <w:vAlign w:val="top"/>
          </w:tcPr>
          <w:p w14:paraId="2742A536">
            <w:pPr>
              <w:rPr>
                <w:rFonts w:ascii="Arial"/>
                <w:sz w:val="21"/>
              </w:rPr>
            </w:pPr>
          </w:p>
        </w:tc>
        <w:tc>
          <w:tcPr>
            <w:tcW w:w="2030" w:type="dxa"/>
            <w:vAlign w:val="top"/>
          </w:tcPr>
          <w:p w14:paraId="25B358F7">
            <w:pPr>
              <w:pStyle w:val="11"/>
              <w:spacing w:before="41" w:line="200" w:lineRule="auto"/>
              <w:ind w:left="604"/>
            </w:pPr>
            <w:r>
              <w:rPr>
                <w:spacing w:val="-2"/>
              </w:rPr>
              <w:t>实施方案</w:t>
            </w:r>
          </w:p>
        </w:tc>
        <w:tc>
          <w:tcPr>
            <w:tcW w:w="3827" w:type="dxa"/>
            <w:tcBorders>
              <w:right w:val="single" w:color="000000" w:sz="2" w:space="0"/>
            </w:tcBorders>
            <w:vAlign w:val="top"/>
          </w:tcPr>
          <w:p w14:paraId="7B81B678">
            <w:pPr>
              <w:rPr>
                <w:rFonts w:ascii="Arial"/>
                <w:sz w:val="21"/>
              </w:rPr>
            </w:pPr>
          </w:p>
        </w:tc>
        <w:tc>
          <w:tcPr>
            <w:tcW w:w="1564" w:type="dxa"/>
            <w:tcBorders>
              <w:left w:val="single" w:color="000000" w:sz="2" w:space="0"/>
              <w:right w:val="single" w:color="000000" w:sz="2" w:space="0"/>
            </w:tcBorders>
            <w:vAlign w:val="top"/>
          </w:tcPr>
          <w:p w14:paraId="3A9FC6E1">
            <w:pPr>
              <w:rPr>
                <w:rFonts w:ascii="Arial"/>
                <w:sz w:val="21"/>
              </w:rPr>
            </w:pPr>
          </w:p>
        </w:tc>
      </w:tr>
      <w:tr w14:paraId="49C345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8" w:hRule="atLeast"/>
        </w:trPr>
        <w:tc>
          <w:tcPr>
            <w:tcW w:w="1370" w:type="dxa"/>
            <w:gridSpan w:val="2"/>
            <w:vMerge w:val="continue"/>
            <w:tcBorders>
              <w:top w:val="nil"/>
              <w:left w:val="single" w:color="000000" w:sz="2" w:space="0"/>
              <w:bottom w:val="nil"/>
            </w:tcBorders>
            <w:vAlign w:val="top"/>
          </w:tcPr>
          <w:p w14:paraId="05765891">
            <w:pPr>
              <w:rPr>
                <w:rFonts w:ascii="Arial"/>
                <w:sz w:val="21"/>
              </w:rPr>
            </w:pPr>
          </w:p>
        </w:tc>
        <w:tc>
          <w:tcPr>
            <w:tcW w:w="2030" w:type="dxa"/>
            <w:vAlign w:val="top"/>
          </w:tcPr>
          <w:p w14:paraId="7D3AC2D6">
            <w:pPr>
              <w:pStyle w:val="11"/>
              <w:spacing w:before="40" w:line="200" w:lineRule="auto"/>
              <w:ind w:left="182"/>
            </w:pPr>
            <w:r>
              <w:rPr>
                <w:spacing w:val="-1"/>
              </w:rPr>
              <w:t>相匹配的履约能力</w:t>
            </w:r>
          </w:p>
        </w:tc>
        <w:tc>
          <w:tcPr>
            <w:tcW w:w="3827" w:type="dxa"/>
            <w:tcBorders>
              <w:right w:val="single" w:color="000000" w:sz="2" w:space="0"/>
            </w:tcBorders>
            <w:vAlign w:val="top"/>
          </w:tcPr>
          <w:p w14:paraId="064BA574">
            <w:pPr>
              <w:rPr>
                <w:rFonts w:ascii="Arial"/>
                <w:sz w:val="21"/>
              </w:rPr>
            </w:pPr>
          </w:p>
        </w:tc>
        <w:tc>
          <w:tcPr>
            <w:tcW w:w="1564" w:type="dxa"/>
            <w:tcBorders>
              <w:left w:val="single" w:color="000000" w:sz="2" w:space="0"/>
              <w:right w:val="single" w:color="000000" w:sz="2" w:space="0"/>
            </w:tcBorders>
            <w:vAlign w:val="top"/>
          </w:tcPr>
          <w:p w14:paraId="081EB835">
            <w:pPr>
              <w:rPr>
                <w:rFonts w:ascii="Arial"/>
                <w:sz w:val="21"/>
              </w:rPr>
            </w:pPr>
          </w:p>
        </w:tc>
      </w:tr>
      <w:tr w14:paraId="62D434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8" w:hRule="atLeast"/>
        </w:trPr>
        <w:tc>
          <w:tcPr>
            <w:tcW w:w="1370" w:type="dxa"/>
            <w:gridSpan w:val="2"/>
            <w:vMerge w:val="continue"/>
            <w:tcBorders>
              <w:top w:val="nil"/>
              <w:left w:val="single" w:color="000000" w:sz="2" w:space="0"/>
              <w:bottom w:val="nil"/>
            </w:tcBorders>
            <w:vAlign w:val="top"/>
          </w:tcPr>
          <w:p w14:paraId="764F5928">
            <w:pPr>
              <w:rPr>
                <w:rFonts w:ascii="Arial"/>
                <w:sz w:val="21"/>
              </w:rPr>
            </w:pPr>
          </w:p>
        </w:tc>
        <w:tc>
          <w:tcPr>
            <w:tcW w:w="2030" w:type="dxa"/>
            <w:vAlign w:val="top"/>
          </w:tcPr>
          <w:p w14:paraId="6B2DEA03">
            <w:pPr>
              <w:pStyle w:val="11"/>
              <w:spacing w:before="40" w:line="200" w:lineRule="auto"/>
              <w:ind w:left="603"/>
            </w:pPr>
            <w:r>
              <w:rPr>
                <w:spacing w:val="-2"/>
              </w:rPr>
              <w:t>履约评价</w:t>
            </w:r>
          </w:p>
        </w:tc>
        <w:tc>
          <w:tcPr>
            <w:tcW w:w="3827" w:type="dxa"/>
            <w:tcBorders>
              <w:right w:val="single" w:color="000000" w:sz="2" w:space="0"/>
            </w:tcBorders>
            <w:vAlign w:val="top"/>
          </w:tcPr>
          <w:p w14:paraId="039CFE41">
            <w:pPr>
              <w:rPr>
                <w:rFonts w:ascii="Arial"/>
                <w:sz w:val="21"/>
              </w:rPr>
            </w:pPr>
          </w:p>
        </w:tc>
        <w:tc>
          <w:tcPr>
            <w:tcW w:w="1564" w:type="dxa"/>
            <w:tcBorders>
              <w:left w:val="single" w:color="000000" w:sz="2" w:space="0"/>
              <w:right w:val="single" w:color="000000" w:sz="2" w:space="0"/>
            </w:tcBorders>
            <w:vAlign w:val="top"/>
          </w:tcPr>
          <w:p w14:paraId="2BBEAD6A">
            <w:pPr>
              <w:rPr>
                <w:rFonts w:ascii="Arial"/>
                <w:sz w:val="21"/>
              </w:rPr>
            </w:pPr>
          </w:p>
        </w:tc>
      </w:tr>
      <w:tr w14:paraId="1123B2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8" w:hRule="atLeast"/>
        </w:trPr>
        <w:tc>
          <w:tcPr>
            <w:tcW w:w="1370" w:type="dxa"/>
            <w:gridSpan w:val="2"/>
            <w:vMerge w:val="continue"/>
            <w:tcBorders>
              <w:top w:val="nil"/>
              <w:left w:val="single" w:color="000000" w:sz="2" w:space="0"/>
              <w:bottom w:val="nil"/>
            </w:tcBorders>
            <w:vAlign w:val="top"/>
          </w:tcPr>
          <w:p w14:paraId="3F8B1E00">
            <w:pPr>
              <w:rPr>
                <w:rFonts w:ascii="Arial"/>
                <w:sz w:val="21"/>
              </w:rPr>
            </w:pPr>
          </w:p>
        </w:tc>
        <w:tc>
          <w:tcPr>
            <w:tcW w:w="2030" w:type="dxa"/>
            <w:vAlign w:val="top"/>
          </w:tcPr>
          <w:p w14:paraId="6EA31E5B">
            <w:pPr>
              <w:pStyle w:val="11"/>
              <w:spacing w:before="40" w:line="200" w:lineRule="auto"/>
              <w:ind w:left="810"/>
            </w:pPr>
            <w:r>
              <w:rPr>
                <w:spacing w:val="-2"/>
              </w:rPr>
              <w:t>信用</w:t>
            </w:r>
          </w:p>
        </w:tc>
        <w:tc>
          <w:tcPr>
            <w:tcW w:w="3827" w:type="dxa"/>
            <w:tcBorders>
              <w:right w:val="single" w:color="000000" w:sz="2" w:space="0"/>
            </w:tcBorders>
            <w:vAlign w:val="top"/>
          </w:tcPr>
          <w:p w14:paraId="6E739F47">
            <w:pPr>
              <w:rPr>
                <w:rFonts w:ascii="Arial"/>
                <w:sz w:val="21"/>
              </w:rPr>
            </w:pPr>
          </w:p>
        </w:tc>
        <w:tc>
          <w:tcPr>
            <w:tcW w:w="1564" w:type="dxa"/>
            <w:tcBorders>
              <w:left w:val="single" w:color="000000" w:sz="2" w:space="0"/>
              <w:right w:val="single" w:color="000000" w:sz="2" w:space="0"/>
            </w:tcBorders>
            <w:vAlign w:val="top"/>
          </w:tcPr>
          <w:p w14:paraId="05B95127">
            <w:pPr>
              <w:rPr>
                <w:rFonts w:ascii="Arial"/>
                <w:sz w:val="21"/>
              </w:rPr>
            </w:pPr>
          </w:p>
        </w:tc>
      </w:tr>
      <w:tr w14:paraId="34620C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4" w:hRule="atLeast"/>
        </w:trPr>
        <w:tc>
          <w:tcPr>
            <w:tcW w:w="1370" w:type="dxa"/>
            <w:gridSpan w:val="2"/>
            <w:vMerge w:val="continue"/>
            <w:tcBorders>
              <w:top w:val="nil"/>
              <w:left w:val="single" w:color="000000" w:sz="2" w:space="0"/>
              <w:bottom w:val="nil"/>
            </w:tcBorders>
            <w:vAlign w:val="top"/>
          </w:tcPr>
          <w:p w14:paraId="1B2F9F58">
            <w:pPr>
              <w:rPr>
                <w:rFonts w:ascii="Arial"/>
                <w:sz w:val="21"/>
              </w:rPr>
            </w:pPr>
          </w:p>
        </w:tc>
        <w:tc>
          <w:tcPr>
            <w:tcW w:w="2030" w:type="dxa"/>
            <w:vAlign w:val="top"/>
          </w:tcPr>
          <w:p w14:paraId="2A54E418">
            <w:pPr>
              <w:pStyle w:val="11"/>
              <w:spacing w:before="35" w:line="201" w:lineRule="auto"/>
              <w:ind w:left="602"/>
            </w:pPr>
            <w:r>
              <w:rPr>
                <w:spacing w:val="-2"/>
              </w:rPr>
              <w:t>综合实力</w:t>
            </w:r>
          </w:p>
        </w:tc>
        <w:tc>
          <w:tcPr>
            <w:tcW w:w="3827" w:type="dxa"/>
            <w:tcBorders>
              <w:right w:val="single" w:color="000000" w:sz="2" w:space="0"/>
            </w:tcBorders>
            <w:vAlign w:val="top"/>
          </w:tcPr>
          <w:p w14:paraId="5669AB65">
            <w:pPr>
              <w:rPr>
                <w:rFonts w:ascii="Arial"/>
                <w:sz w:val="21"/>
              </w:rPr>
            </w:pPr>
          </w:p>
        </w:tc>
        <w:tc>
          <w:tcPr>
            <w:tcW w:w="1564" w:type="dxa"/>
            <w:tcBorders>
              <w:left w:val="single" w:color="000000" w:sz="2" w:space="0"/>
              <w:right w:val="single" w:color="000000" w:sz="2" w:space="0"/>
            </w:tcBorders>
            <w:vAlign w:val="top"/>
          </w:tcPr>
          <w:p w14:paraId="78D35FCC">
            <w:pPr>
              <w:rPr>
                <w:rFonts w:ascii="Arial"/>
                <w:sz w:val="21"/>
              </w:rPr>
            </w:pPr>
          </w:p>
        </w:tc>
      </w:tr>
      <w:tr w14:paraId="762119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8" w:hRule="atLeast"/>
        </w:trPr>
        <w:tc>
          <w:tcPr>
            <w:tcW w:w="1370" w:type="dxa"/>
            <w:gridSpan w:val="2"/>
            <w:vMerge w:val="continue"/>
            <w:tcBorders>
              <w:top w:val="nil"/>
              <w:left w:val="single" w:color="000000" w:sz="2" w:space="0"/>
              <w:bottom w:val="nil"/>
            </w:tcBorders>
            <w:vAlign w:val="top"/>
          </w:tcPr>
          <w:p w14:paraId="78DB4CBB">
            <w:pPr>
              <w:rPr>
                <w:rFonts w:ascii="Arial"/>
                <w:sz w:val="21"/>
              </w:rPr>
            </w:pPr>
          </w:p>
        </w:tc>
        <w:tc>
          <w:tcPr>
            <w:tcW w:w="2030" w:type="dxa"/>
            <w:vAlign w:val="top"/>
          </w:tcPr>
          <w:p w14:paraId="34D91EA5">
            <w:pPr>
              <w:pStyle w:val="11"/>
              <w:spacing w:before="39" w:line="201" w:lineRule="auto"/>
              <w:ind w:left="393"/>
            </w:pPr>
            <w:r>
              <w:rPr>
                <w:spacing w:val="-1"/>
              </w:rPr>
              <w:t>产品性能指标</w:t>
            </w:r>
          </w:p>
        </w:tc>
        <w:tc>
          <w:tcPr>
            <w:tcW w:w="3827" w:type="dxa"/>
            <w:tcBorders>
              <w:right w:val="single" w:color="000000" w:sz="2" w:space="0"/>
            </w:tcBorders>
            <w:vAlign w:val="top"/>
          </w:tcPr>
          <w:p w14:paraId="26689783">
            <w:pPr>
              <w:rPr>
                <w:rFonts w:ascii="Arial"/>
                <w:sz w:val="21"/>
              </w:rPr>
            </w:pPr>
          </w:p>
        </w:tc>
        <w:tc>
          <w:tcPr>
            <w:tcW w:w="1564" w:type="dxa"/>
            <w:tcBorders>
              <w:left w:val="single" w:color="000000" w:sz="2" w:space="0"/>
              <w:right w:val="single" w:color="000000" w:sz="2" w:space="0"/>
            </w:tcBorders>
            <w:vAlign w:val="top"/>
          </w:tcPr>
          <w:p w14:paraId="155E4493">
            <w:pPr>
              <w:rPr>
                <w:rFonts w:ascii="Arial"/>
                <w:sz w:val="21"/>
              </w:rPr>
            </w:pPr>
          </w:p>
        </w:tc>
      </w:tr>
      <w:tr w14:paraId="712991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9" w:hRule="atLeast"/>
        </w:trPr>
        <w:tc>
          <w:tcPr>
            <w:tcW w:w="1370" w:type="dxa"/>
            <w:gridSpan w:val="2"/>
            <w:vMerge w:val="continue"/>
            <w:tcBorders>
              <w:top w:val="nil"/>
              <w:left w:val="single" w:color="000000" w:sz="2" w:space="0"/>
              <w:bottom w:val="nil"/>
            </w:tcBorders>
            <w:vAlign w:val="top"/>
          </w:tcPr>
          <w:p w14:paraId="4D1DC155">
            <w:pPr>
              <w:rPr>
                <w:rFonts w:ascii="Arial"/>
                <w:sz w:val="21"/>
              </w:rPr>
            </w:pPr>
          </w:p>
        </w:tc>
        <w:tc>
          <w:tcPr>
            <w:tcW w:w="2030" w:type="dxa"/>
            <w:vAlign w:val="top"/>
          </w:tcPr>
          <w:p w14:paraId="0108818C">
            <w:pPr>
              <w:pStyle w:val="11"/>
              <w:spacing w:before="39" w:line="202" w:lineRule="auto"/>
              <w:ind w:left="494"/>
            </w:pPr>
            <w:r>
              <w:rPr>
                <w:spacing w:val="-1"/>
              </w:rPr>
              <w:t>产品性价比</w:t>
            </w:r>
          </w:p>
        </w:tc>
        <w:tc>
          <w:tcPr>
            <w:tcW w:w="3827" w:type="dxa"/>
            <w:tcBorders>
              <w:right w:val="single" w:color="000000" w:sz="2" w:space="0"/>
            </w:tcBorders>
            <w:vAlign w:val="top"/>
          </w:tcPr>
          <w:p w14:paraId="766631D1">
            <w:pPr>
              <w:rPr>
                <w:rFonts w:ascii="Arial"/>
                <w:sz w:val="21"/>
              </w:rPr>
            </w:pPr>
          </w:p>
        </w:tc>
        <w:tc>
          <w:tcPr>
            <w:tcW w:w="1564" w:type="dxa"/>
            <w:tcBorders>
              <w:left w:val="single" w:color="000000" w:sz="2" w:space="0"/>
              <w:right w:val="single" w:color="000000" w:sz="2" w:space="0"/>
            </w:tcBorders>
            <w:vAlign w:val="top"/>
          </w:tcPr>
          <w:p w14:paraId="0C3E0513">
            <w:pPr>
              <w:rPr>
                <w:rFonts w:ascii="Arial"/>
                <w:sz w:val="21"/>
              </w:rPr>
            </w:pPr>
          </w:p>
        </w:tc>
      </w:tr>
      <w:tr w14:paraId="5A77F7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8" w:hRule="atLeast"/>
        </w:trPr>
        <w:tc>
          <w:tcPr>
            <w:tcW w:w="1370" w:type="dxa"/>
            <w:gridSpan w:val="2"/>
            <w:vMerge w:val="continue"/>
            <w:tcBorders>
              <w:top w:val="nil"/>
              <w:left w:val="single" w:color="000000" w:sz="2" w:space="0"/>
              <w:bottom w:val="nil"/>
            </w:tcBorders>
            <w:vAlign w:val="top"/>
          </w:tcPr>
          <w:p w14:paraId="7DC012DE">
            <w:pPr>
              <w:rPr>
                <w:rFonts w:ascii="Arial"/>
                <w:sz w:val="21"/>
              </w:rPr>
            </w:pPr>
          </w:p>
        </w:tc>
        <w:tc>
          <w:tcPr>
            <w:tcW w:w="2030" w:type="dxa"/>
            <w:vAlign w:val="top"/>
          </w:tcPr>
          <w:p w14:paraId="0497995B">
            <w:pPr>
              <w:pStyle w:val="11"/>
              <w:spacing w:before="39" w:line="201" w:lineRule="auto"/>
              <w:ind w:left="291"/>
            </w:pPr>
            <w:r>
              <w:rPr>
                <w:spacing w:val="-2"/>
              </w:rPr>
              <w:t>商务条款响应度</w:t>
            </w:r>
          </w:p>
        </w:tc>
        <w:tc>
          <w:tcPr>
            <w:tcW w:w="3827" w:type="dxa"/>
            <w:tcBorders>
              <w:right w:val="single" w:color="000000" w:sz="2" w:space="0"/>
            </w:tcBorders>
            <w:vAlign w:val="top"/>
          </w:tcPr>
          <w:p w14:paraId="2C06963F">
            <w:pPr>
              <w:rPr>
                <w:rFonts w:ascii="Arial"/>
                <w:sz w:val="21"/>
              </w:rPr>
            </w:pPr>
          </w:p>
        </w:tc>
        <w:tc>
          <w:tcPr>
            <w:tcW w:w="1564" w:type="dxa"/>
            <w:tcBorders>
              <w:left w:val="single" w:color="000000" w:sz="2" w:space="0"/>
              <w:right w:val="single" w:color="000000" w:sz="2" w:space="0"/>
            </w:tcBorders>
            <w:vAlign w:val="top"/>
          </w:tcPr>
          <w:p w14:paraId="57FEF3DF">
            <w:pPr>
              <w:rPr>
                <w:rFonts w:ascii="Arial"/>
                <w:sz w:val="21"/>
              </w:rPr>
            </w:pPr>
          </w:p>
        </w:tc>
      </w:tr>
      <w:tr w14:paraId="5EC201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8" w:hRule="atLeast"/>
        </w:trPr>
        <w:tc>
          <w:tcPr>
            <w:tcW w:w="1370" w:type="dxa"/>
            <w:gridSpan w:val="2"/>
            <w:vMerge w:val="continue"/>
            <w:tcBorders>
              <w:top w:val="nil"/>
              <w:left w:val="single" w:color="000000" w:sz="2" w:space="0"/>
              <w:bottom w:val="nil"/>
            </w:tcBorders>
            <w:vAlign w:val="top"/>
          </w:tcPr>
          <w:p w14:paraId="4DDD239A">
            <w:pPr>
              <w:rPr>
                <w:rFonts w:ascii="Arial"/>
                <w:sz w:val="21"/>
              </w:rPr>
            </w:pPr>
          </w:p>
        </w:tc>
        <w:tc>
          <w:tcPr>
            <w:tcW w:w="2030" w:type="dxa"/>
            <w:vAlign w:val="top"/>
          </w:tcPr>
          <w:p w14:paraId="4DCE667E">
            <w:pPr>
              <w:pStyle w:val="11"/>
              <w:spacing w:before="39" w:line="201" w:lineRule="auto"/>
              <w:ind w:left="600"/>
            </w:pPr>
            <w:r>
              <w:rPr>
                <w:spacing w:val="-1"/>
              </w:rPr>
              <w:t>质保服务</w:t>
            </w:r>
          </w:p>
        </w:tc>
        <w:tc>
          <w:tcPr>
            <w:tcW w:w="3827" w:type="dxa"/>
            <w:tcBorders>
              <w:right w:val="single" w:color="000000" w:sz="2" w:space="0"/>
            </w:tcBorders>
            <w:vAlign w:val="top"/>
          </w:tcPr>
          <w:p w14:paraId="7E0D71C4">
            <w:pPr>
              <w:rPr>
                <w:rFonts w:ascii="Arial"/>
                <w:sz w:val="21"/>
              </w:rPr>
            </w:pPr>
          </w:p>
        </w:tc>
        <w:tc>
          <w:tcPr>
            <w:tcW w:w="1564" w:type="dxa"/>
            <w:tcBorders>
              <w:left w:val="single" w:color="000000" w:sz="2" w:space="0"/>
              <w:right w:val="single" w:color="000000" w:sz="2" w:space="0"/>
            </w:tcBorders>
            <w:vAlign w:val="top"/>
          </w:tcPr>
          <w:p w14:paraId="00AA3452">
            <w:pPr>
              <w:rPr>
                <w:rFonts w:ascii="Arial"/>
                <w:sz w:val="21"/>
              </w:rPr>
            </w:pPr>
          </w:p>
        </w:tc>
      </w:tr>
      <w:tr w14:paraId="2F5C91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2" w:hRule="atLeast"/>
        </w:trPr>
        <w:tc>
          <w:tcPr>
            <w:tcW w:w="1370" w:type="dxa"/>
            <w:gridSpan w:val="2"/>
            <w:vMerge w:val="continue"/>
            <w:tcBorders>
              <w:top w:val="nil"/>
              <w:left w:val="single" w:color="000000" w:sz="2" w:space="0"/>
              <w:bottom w:val="nil"/>
            </w:tcBorders>
            <w:vAlign w:val="top"/>
          </w:tcPr>
          <w:p w14:paraId="1D1FA4F9">
            <w:pPr>
              <w:rPr>
                <w:rFonts w:ascii="Arial"/>
                <w:sz w:val="21"/>
              </w:rPr>
            </w:pPr>
          </w:p>
        </w:tc>
        <w:tc>
          <w:tcPr>
            <w:tcW w:w="2030" w:type="dxa"/>
            <w:vAlign w:val="top"/>
          </w:tcPr>
          <w:p w14:paraId="6F159C63">
            <w:pPr>
              <w:pStyle w:val="11"/>
              <w:spacing w:before="39" w:line="221" w:lineRule="auto"/>
              <w:ind w:left="812" w:right="161" w:hanging="630"/>
            </w:pPr>
            <w:r>
              <w:rPr>
                <w:spacing w:val="-1"/>
              </w:rPr>
              <w:t>科技创新（四新技</w:t>
            </w:r>
            <w:r>
              <w:rPr>
                <w:spacing w:val="3"/>
              </w:rPr>
              <w:t xml:space="preserve"> </w:t>
            </w:r>
            <w:r>
              <w:rPr>
                <w:spacing w:val="-6"/>
              </w:rPr>
              <w:t>术）</w:t>
            </w:r>
          </w:p>
        </w:tc>
        <w:tc>
          <w:tcPr>
            <w:tcW w:w="3827" w:type="dxa"/>
            <w:tcBorders>
              <w:right w:val="single" w:color="000000" w:sz="2" w:space="0"/>
            </w:tcBorders>
            <w:vAlign w:val="top"/>
          </w:tcPr>
          <w:p w14:paraId="101EAE43">
            <w:pPr>
              <w:rPr>
                <w:rFonts w:ascii="Arial"/>
                <w:sz w:val="21"/>
              </w:rPr>
            </w:pPr>
          </w:p>
        </w:tc>
        <w:tc>
          <w:tcPr>
            <w:tcW w:w="1564" w:type="dxa"/>
            <w:tcBorders>
              <w:left w:val="single" w:color="000000" w:sz="2" w:space="0"/>
              <w:right w:val="single" w:color="000000" w:sz="2" w:space="0"/>
            </w:tcBorders>
            <w:vAlign w:val="top"/>
          </w:tcPr>
          <w:p w14:paraId="4C566DD3">
            <w:pPr>
              <w:rPr>
                <w:rFonts w:ascii="Arial"/>
                <w:sz w:val="21"/>
              </w:rPr>
            </w:pPr>
          </w:p>
        </w:tc>
      </w:tr>
      <w:tr w14:paraId="3BFA57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4" w:hRule="atLeast"/>
        </w:trPr>
        <w:tc>
          <w:tcPr>
            <w:tcW w:w="1370" w:type="dxa"/>
            <w:gridSpan w:val="2"/>
            <w:vMerge w:val="continue"/>
            <w:tcBorders>
              <w:top w:val="nil"/>
              <w:left w:val="single" w:color="000000" w:sz="2" w:space="0"/>
              <w:bottom w:val="nil"/>
            </w:tcBorders>
            <w:vAlign w:val="top"/>
          </w:tcPr>
          <w:p w14:paraId="5984A2A9">
            <w:pPr>
              <w:rPr>
                <w:rFonts w:ascii="Arial"/>
                <w:sz w:val="21"/>
              </w:rPr>
            </w:pPr>
          </w:p>
        </w:tc>
        <w:tc>
          <w:tcPr>
            <w:tcW w:w="2030" w:type="dxa"/>
            <w:vAlign w:val="top"/>
          </w:tcPr>
          <w:p w14:paraId="3082C45A">
            <w:pPr>
              <w:pStyle w:val="11"/>
              <w:spacing w:before="34" w:line="202" w:lineRule="auto"/>
              <w:ind w:left="601"/>
            </w:pPr>
            <w:r>
              <w:rPr>
                <w:spacing w:val="-1"/>
              </w:rPr>
              <w:t>绿色低碳</w:t>
            </w:r>
          </w:p>
        </w:tc>
        <w:tc>
          <w:tcPr>
            <w:tcW w:w="3827" w:type="dxa"/>
            <w:tcBorders>
              <w:right w:val="single" w:color="000000" w:sz="2" w:space="0"/>
            </w:tcBorders>
            <w:vAlign w:val="top"/>
          </w:tcPr>
          <w:p w14:paraId="7B5C2EAB">
            <w:pPr>
              <w:rPr>
                <w:rFonts w:ascii="Arial"/>
                <w:sz w:val="21"/>
              </w:rPr>
            </w:pPr>
          </w:p>
        </w:tc>
        <w:tc>
          <w:tcPr>
            <w:tcW w:w="1564" w:type="dxa"/>
            <w:tcBorders>
              <w:left w:val="single" w:color="000000" w:sz="2" w:space="0"/>
              <w:right w:val="single" w:color="000000" w:sz="2" w:space="0"/>
            </w:tcBorders>
            <w:vAlign w:val="top"/>
          </w:tcPr>
          <w:p w14:paraId="5EFFAFC8">
            <w:pPr>
              <w:rPr>
                <w:rFonts w:ascii="Arial"/>
                <w:sz w:val="21"/>
              </w:rPr>
            </w:pPr>
          </w:p>
        </w:tc>
      </w:tr>
      <w:tr w14:paraId="0A45E4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9" w:hRule="atLeast"/>
        </w:trPr>
        <w:tc>
          <w:tcPr>
            <w:tcW w:w="1370" w:type="dxa"/>
            <w:gridSpan w:val="2"/>
            <w:vMerge w:val="continue"/>
            <w:tcBorders>
              <w:top w:val="nil"/>
              <w:left w:val="single" w:color="000000" w:sz="2" w:space="0"/>
              <w:bottom w:val="nil"/>
            </w:tcBorders>
            <w:vAlign w:val="top"/>
          </w:tcPr>
          <w:p w14:paraId="26E44E61">
            <w:pPr>
              <w:rPr>
                <w:rFonts w:ascii="Arial"/>
                <w:sz w:val="21"/>
              </w:rPr>
            </w:pPr>
          </w:p>
        </w:tc>
        <w:tc>
          <w:tcPr>
            <w:tcW w:w="2030" w:type="dxa"/>
            <w:vAlign w:val="top"/>
          </w:tcPr>
          <w:p w14:paraId="1B5060F7">
            <w:pPr>
              <w:pStyle w:val="11"/>
              <w:spacing w:before="38" w:line="203" w:lineRule="auto"/>
              <w:ind w:left="604"/>
            </w:pPr>
            <w:r>
              <w:rPr>
                <w:spacing w:val="-2"/>
              </w:rPr>
              <w:t>智能建造</w:t>
            </w:r>
          </w:p>
        </w:tc>
        <w:tc>
          <w:tcPr>
            <w:tcW w:w="3827" w:type="dxa"/>
            <w:tcBorders>
              <w:right w:val="single" w:color="000000" w:sz="2" w:space="0"/>
            </w:tcBorders>
            <w:vAlign w:val="top"/>
          </w:tcPr>
          <w:p w14:paraId="1E91CD82">
            <w:pPr>
              <w:rPr>
                <w:rFonts w:ascii="Arial"/>
                <w:sz w:val="21"/>
              </w:rPr>
            </w:pPr>
          </w:p>
        </w:tc>
        <w:tc>
          <w:tcPr>
            <w:tcW w:w="1564" w:type="dxa"/>
            <w:tcBorders>
              <w:left w:val="single" w:color="000000" w:sz="2" w:space="0"/>
              <w:right w:val="single" w:color="000000" w:sz="2" w:space="0"/>
            </w:tcBorders>
            <w:vAlign w:val="top"/>
          </w:tcPr>
          <w:p w14:paraId="3EB90D6C">
            <w:pPr>
              <w:rPr>
                <w:rFonts w:ascii="Arial"/>
                <w:sz w:val="21"/>
              </w:rPr>
            </w:pPr>
          </w:p>
        </w:tc>
      </w:tr>
      <w:tr w14:paraId="5585EF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2" w:hRule="atLeast"/>
        </w:trPr>
        <w:tc>
          <w:tcPr>
            <w:tcW w:w="1370" w:type="dxa"/>
            <w:gridSpan w:val="2"/>
            <w:vMerge w:val="continue"/>
            <w:tcBorders>
              <w:top w:val="nil"/>
              <w:left w:val="single" w:color="000000" w:sz="2" w:space="0"/>
              <w:bottom w:val="nil"/>
            </w:tcBorders>
            <w:vAlign w:val="top"/>
          </w:tcPr>
          <w:p w14:paraId="3A1B7E34">
            <w:pPr>
              <w:rPr>
                <w:rFonts w:ascii="Arial"/>
                <w:sz w:val="21"/>
              </w:rPr>
            </w:pPr>
          </w:p>
        </w:tc>
        <w:tc>
          <w:tcPr>
            <w:tcW w:w="2030" w:type="dxa"/>
            <w:vAlign w:val="top"/>
          </w:tcPr>
          <w:p w14:paraId="34AA3BA8">
            <w:pPr>
              <w:pStyle w:val="11"/>
              <w:spacing w:before="36" w:line="222" w:lineRule="auto"/>
              <w:ind w:left="391" w:right="161" w:hanging="207"/>
            </w:pPr>
            <w:r>
              <w:rPr>
                <w:spacing w:val="-1"/>
              </w:rPr>
              <w:t>大型企业与中小企</w:t>
            </w:r>
            <w:r>
              <w:t xml:space="preserve"> </w:t>
            </w:r>
            <w:r>
              <w:rPr>
                <w:spacing w:val="-1"/>
              </w:rPr>
              <w:t>业组成联合体</w:t>
            </w:r>
          </w:p>
        </w:tc>
        <w:tc>
          <w:tcPr>
            <w:tcW w:w="3827" w:type="dxa"/>
            <w:tcBorders>
              <w:right w:val="single" w:color="000000" w:sz="2" w:space="0"/>
            </w:tcBorders>
            <w:vAlign w:val="top"/>
          </w:tcPr>
          <w:p w14:paraId="63E3F652">
            <w:pPr>
              <w:rPr>
                <w:rFonts w:ascii="Arial"/>
                <w:sz w:val="21"/>
              </w:rPr>
            </w:pPr>
          </w:p>
        </w:tc>
        <w:tc>
          <w:tcPr>
            <w:tcW w:w="1564" w:type="dxa"/>
            <w:tcBorders>
              <w:left w:val="single" w:color="000000" w:sz="2" w:space="0"/>
              <w:right w:val="single" w:color="000000" w:sz="2" w:space="0"/>
            </w:tcBorders>
            <w:vAlign w:val="top"/>
          </w:tcPr>
          <w:p w14:paraId="34239ADD">
            <w:pPr>
              <w:rPr>
                <w:rFonts w:ascii="Arial"/>
                <w:sz w:val="21"/>
              </w:rPr>
            </w:pPr>
          </w:p>
        </w:tc>
      </w:tr>
      <w:tr w14:paraId="58141A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3" w:hRule="atLeast"/>
        </w:trPr>
        <w:tc>
          <w:tcPr>
            <w:tcW w:w="1370" w:type="dxa"/>
            <w:gridSpan w:val="2"/>
            <w:vMerge w:val="continue"/>
            <w:tcBorders>
              <w:top w:val="nil"/>
              <w:left w:val="single" w:color="000000" w:sz="2" w:space="0"/>
            </w:tcBorders>
            <w:vAlign w:val="top"/>
          </w:tcPr>
          <w:p w14:paraId="67541E37">
            <w:pPr>
              <w:rPr>
                <w:rFonts w:ascii="Arial"/>
                <w:sz w:val="21"/>
              </w:rPr>
            </w:pPr>
          </w:p>
        </w:tc>
        <w:tc>
          <w:tcPr>
            <w:tcW w:w="2030" w:type="dxa"/>
            <w:vAlign w:val="top"/>
          </w:tcPr>
          <w:p w14:paraId="399300D5">
            <w:pPr>
              <w:pStyle w:val="11"/>
              <w:spacing w:before="161" w:line="221" w:lineRule="auto"/>
              <w:ind w:left="824"/>
            </w:pPr>
            <w:r>
              <w:rPr>
                <w:spacing w:val="-5"/>
              </w:rPr>
              <w:t>……</w:t>
            </w:r>
          </w:p>
        </w:tc>
        <w:tc>
          <w:tcPr>
            <w:tcW w:w="3827" w:type="dxa"/>
            <w:tcBorders>
              <w:right w:val="single" w:color="000000" w:sz="2" w:space="0"/>
            </w:tcBorders>
            <w:vAlign w:val="top"/>
          </w:tcPr>
          <w:p w14:paraId="24AF0668">
            <w:pPr>
              <w:rPr>
                <w:rFonts w:ascii="Arial"/>
                <w:sz w:val="21"/>
              </w:rPr>
            </w:pPr>
          </w:p>
        </w:tc>
        <w:tc>
          <w:tcPr>
            <w:tcW w:w="1564" w:type="dxa"/>
            <w:tcBorders>
              <w:left w:val="single" w:color="000000" w:sz="2" w:space="0"/>
              <w:right w:val="single" w:color="000000" w:sz="2" w:space="0"/>
            </w:tcBorders>
            <w:vAlign w:val="top"/>
          </w:tcPr>
          <w:p w14:paraId="058FA9DB">
            <w:pPr>
              <w:rPr>
                <w:rFonts w:ascii="Arial"/>
                <w:sz w:val="21"/>
              </w:rPr>
            </w:pPr>
          </w:p>
        </w:tc>
      </w:tr>
      <w:tr w14:paraId="5215C5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8" w:hRule="atLeast"/>
        </w:trPr>
        <w:tc>
          <w:tcPr>
            <w:tcW w:w="1370" w:type="dxa"/>
            <w:gridSpan w:val="2"/>
            <w:tcBorders>
              <w:left w:val="single" w:color="000000" w:sz="2" w:space="0"/>
            </w:tcBorders>
            <w:vAlign w:val="top"/>
          </w:tcPr>
          <w:p w14:paraId="2D2C9454">
            <w:pPr>
              <w:pStyle w:val="11"/>
              <w:spacing w:before="35" w:line="204" w:lineRule="auto"/>
              <w:ind w:left="379"/>
            </w:pPr>
            <w:r>
              <w:rPr>
                <w:spacing w:val="-2"/>
                <w14:textOutline w14:w="3831" w14:cap="flat" w14:cmpd="sng">
                  <w14:solidFill>
                    <w14:srgbClr w14:val="000000"/>
                  </w14:solidFill>
                  <w14:prstDash w14:val="solid"/>
                  <w14:miter w14:val="0"/>
                </w14:textOutline>
              </w:rPr>
              <w:t>条款号</w:t>
            </w:r>
          </w:p>
        </w:tc>
        <w:tc>
          <w:tcPr>
            <w:tcW w:w="2030" w:type="dxa"/>
            <w:vAlign w:val="top"/>
          </w:tcPr>
          <w:p w14:paraId="163AC653">
            <w:pPr>
              <w:pStyle w:val="11"/>
              <w:spacing w:before="35" w:line="204" w:lineRule="auto"/>
              <w:ind w:left="601"/>
            </w:pPr>
            <w:r>
              <w:rPr>
                <w:spacing w:val="-1"/>
                <w14:textOutline w14:w="3831" w14:cap="flat" w14:cmpd="sng">
                  <w14:solidFill>
                    <w14:srgbClr w14:val="000000"/>
                  </w14:solidFill>
                  <w14:prstDash w14:val="solid"/>
                  <w14:miter w14:val="0"/>
                </w14:textOutline>
              </w:rPr>
              <w:t>条款内容</w:t>
            </w:r>
          </w:p>
        </w:tc>
        <w:tc>
          <w:tcPr>
            <w:tcW w:w="5391" w:type="dxa"/>
            <w:gridSpan w:val="2"/>
            <w:tcBorders>
              <w:right w:val="single" w:color="000000" w:sz="2" w:space="0"/>
            </w:tcBorders>
            <w:vAlign w:val="top"/>
          </w:tcPr>
          <w:p w14:paraId="2B93801C">
            <w:pPr>
              <w:pStyle w:val="11"/>
              <w:spacing w:before="35" w:line="204" w:lineRule="auto"/>
              <w:ind w:left="2451"/>
            </w:pPr>
            <w:r>
              <w:rPr>
                <w:spacing w:val="-1"/>
                <w14:textOutline w14:w="3831" w14:cap="flat" w14:cmpd="sng">
                  <w14:solidFill>
                    <w14:srgbClr w14:val="000000"/>
                  </w14:solidFill>
                  <w14:prstDash w14:val="solid"/>
                  <w14:miter w14:val="0"/>
                </w14:textOutline>
              </w:rPr>
              <w:t>编列内容</w:t>
            </w:r>
          </w:p>
        </w:tc>
      </w:tr>
      <w:tr w14:paraId="5DCB64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56" w:hRule="atLeast"/>
        </w:trPr>
        <w:tc>
          <w:tcPr>
            <w:tcW w:w="1370" w:type="dxa"/>
            <w:gridSpan w:val="2"/>
            <w:tcBorders>
              <w:left w:val="single" w:color="000000" w:sz="2" w:space="0"/>
              <w:bottom w:val="single" w:color="000000" w:sz="2" w:space="0"/>
            </w:tcBorders>
            <w:vAlign w:val="top"/>
          </w:tcPr>
          <w:p w14:paraId="044FEE3F">
            <w:pPr>
              <w:spacing w:line="261" w:lineRule="auto"/>
              <w:rPr>
                <w:rFonts w:ascii="Arial"/>
                <w:sz w:val="21"/>
              </w:rPr>
            </w:pPr>
          </w:p>
          <w:p w14:paraId="7D8DB7FE">
            <w:pPr>
              <w:spacing w:line="261" w:lineRule="auto"/>
              <w:rPr>
                <w:rFonts w:ascii="Arial"/>
                <w:sz w:val="21"/>
              </w:rPr>
            </w:pPr>
          </w:p>
          <w:p w14:paraId="2FC017E4">
            <w:pPr>
              <w:spacing w:line="261" w:lineRule="auto"/>
              <w:rPr>
                <w:rFonts w:ascii="Arial"/>
                <w:sz w:val="21"/>
              </w:rPr>
            </w:pPr>
          </w:p>
          <w:p w14:paraId="7E3799A2">
            <w:pPr>
              <w:spacing w:line="261" w:lineRule="auto"/>
              <w:rPr>
                <w:rFonts w:ascii="Arial"/>
                <w:sz w:val="21"/>
              </w:rPr>
            </w:pPr>
          </w:p>
          <w:p w14:paraId="2BE0AF8A">
            <w:pPr>
              <w:spacing w:line="262" w:lineRule="auto"/>
              <w:rPr>
                <w:rFonts w:ascii="Arial"/>
                <w:sz w:val="21"/>
              </w:rPr>
            </w:pPr>
          </w:p>
          <w:p w14:paraId="529901CA">
            <w:pPr>
              <w:spacing w:line="262" w:lineRule="auto"/>
              <w:rPr>
                <w:rFonts w:ascii="Arial"/>
                <w:sz w:val="21"/>
              </w:rPr>
            </w:pPr>
          </w:p>
          <w:p w14:paraId="4C0B1F94">
            <w:pPr>
              <w:spacing w:line="262" w:lineRule="auto"/>
              <w:rPr>
                <w:rFonts w:ascii="Arial"/>
                <w:sz w:val="21"/>
              </w:rPr>
            </w:pPr>
          </w:p>
          <w:p w14:paraId="18C591F2">
            <w:pPr>
              <w:pStyle w:val="11"/>
              <w:spacing w:before="69" w:line="182" w:lineRule="auto"/>
              <w:ind w:left="539"/>
            </w:pPr>
            <w:r>
              <w:rPr>
                <w:spacing w:val="-2"/>
              </w:rPr>
              <w:t>2.3</w:t>
            </w:r>
          </w:p>
        </w:tc>
        <w:tc>
          <w:tcPr>
            <w:tcW w:w="2030" w:type="dxa"/>
            <w:tcBorders>
              <w:bottom w:val="single" w:color="000000" w:sz="2" w:space="0"/>
            </w:tcBorders>
            <w:vAlign w:val="top"/>
          </w:tcPr>
          <w:p w14:paraId="5D5739DC">
            <w:pPr>
              <w:spacing w:line="256" w:lineRule="auto"/>
              <w:rPr>
                <w:rFonts w:ascii="Arial"/>
                <w:sz w:val="21"/>
              </w:rPr>
            </w:pPr>
          </w:p>
          <w:p w14:paraId="2C984936">
            <w:pPr>
              <w:spacing w:line="256" w:lineRule="auto"/>
              <w:rPr>
                <w:rFonts w:ascii="Arial"/>
                <w:sz w:val="21"/>
              </w:rPr>
            </w:pPr>
          </w:p>
          <w:p w14:paraId="762B84BC">
            <w:pPr>
              <w:spacing w:line="256" w:lineRule="auto"/>
              <w:rPr>
                <w:rFonts w:ascii="Arial"/>
                <w:sz w:val="21"/>
              </w:rPr>
            </w:pPr>
          </w:p>
          <w:p w14:paraId="6C084CFB">
            <w:pPr>
              <w:spacing w:line="256" w:lineRule="auto"/>
              <w:rPr>
                <w:rFonts w:ascii="Arial"/>
                <w:sz w:val="21"/>
              </w:rPr>
            </w:pPr>
          </w:p>
          <w:p w14:paraId="62A3BDD0">
            <w:pPr>
              <w:spacing w:line="257" w:lineRule="auto"/>
              <w:rPr>
                <w:rFonts w:ascii="Arial"/>
                <w:sz w:val="21"/>
              </w:rPr>
            </w:pPr>
          </w:p>
          <w:p w14:paraId="4DC420A6">
            <w:pPr>
              <w:spacing w:line="257" w:lineRule="auto"/>
              <w:rPr>
                <w:rFonts w:ascii="Arial"/>
                <w:sz w:val="21"/>
              </w:rPr>
            </w:pPr>
          </w:p>
          <w:p w14:paraId="6299AB3C">
            <w:pPr>
              <w:spacing w:line="257" w:lineRule="auto"/>
              <w:rPr>
                <w:rFonts w:ascii="Arial"/>
                <w:sz w:val="21"/>
              </w:rPr>
            </w:pPr>
          </w:p>
          <w:p w14:paraId="394EDAC2">
            <w:pPr>
              <w:pStyle w:val="11"/>
              <w:spacing w:before="68" w:line="221" w:lineRule="auto"/>
              <w:ind w:left="604"/>
            </w:pPr>
            <w:r>
              <w:rPr>
                <w:spacing w:val="-2"/>
              </w:rPr>
              <w:t>定标办法</w:t>
            </w:r>
          </w:p>
        </w:tc>
        <w:tc>
          <w:tcPr>
            <w:tcW w:w="5391" w:type="dxa"/>
            <w:gridSpan w:val="2"/>
            <w:tcBorders>
              <w:bottom w:val="single" w:color="000000" w:sz="2" w:space="0"/>
              <w:right w:val="single" w:color="000000" w:sz="2" w:space="0"/>
            </w:tcBorders>
            <w:vAlign w:val="top"/>
          </w:tcPr>
          <w:p w14:paraId="5CB96647">
            <w:pPr>
              <w:pStyle w:val="11"/>
              <w:spacing w:before="126" w:line="221" w:lineRule="auto"/>
              <w:ind w:left="137"/>
            </w:pPr>
            <w:r>
              <w:rPr>
                <w:spacing w:val="-4"/>
                <w14:textOutline w14:w="3831" w14:cap="flat" w14:cmpd="sng">
                  <w14:solidFill>
                    <w14:srgbClr w14:val="000000"/>
                  </w14:solidFill>
                  <w14:prstDash w14:val="solid"/>
                  <w14:miter w14:val="0"/>
                </w14:textOutline>
              </w:rPr>
              <w:t>□集中票决法</w:t>
            </w:r>
          </w:p>
          <w:p w14:paraId="26509EEE">
            <w:pPr>
              <w:pStyle w:val="11"/>
              <w:spacing w:before="133" w:line="221" w:lineRule="auto"/>
              <w:ind w:left="559"/>
            </w:pPr>
            <w:r>
              <w:rPr>
                <w:spacing w:val="-4"/>
              </w:rPr>
              <w:t>□直接票决定标法</w:t>
            </w:r>
          </w:p>
          <w:p w14:paraId="2FAD871A">
            <w:pPr>
              <w:pStyle w:val="11"/>
              <w:spacing w:before="127" w:line="221" w:lineRule="auto"/>
              <w:ind w:left="559"/>
            </w:pPr>
            <w:r>
              <w:rPr>
                <w:spacing w:val="-4"/>
              </w:rPr>
              <w:t>□逐轮票决定标法</w:t>
            </w:r>
          </w:p>
          <w:p w14:paraId="15026162">
            <w:pPr>
              <w:pStyle w:val="11"/>
              <w:spacing w:before="128" w:line="219" w:lineRule="auto"/>
              <w:ind w:left="559"/>
            </w:pPr>
            <w:r>
              <w:rPr>
                <w:spacing w:val="-4"/>
              </w:rPr>
              <w:t>□票决低价定标法</w:t>
            </w:r>
          </w:p>
          <w:p w14:paraId="2FCC6EB2">
            <w:pPr>
              <w:pStyle w:val="11"/>
              <w:spacing w:before="129" w:line="221" w:lineRule="auto"/>
              <w:ind w:left="559"/>
            </w:pPr>
            <w:r>
              <w:rPr>
                <w:spacing w:val="-4"/>
              </w:rPr>
              <w:t>□票决抽签定标法</w:t>
            </w:r>
          </w:p>
          <w:p w14:paraId="7AB89627">
            <w:pPr>
              <w:pStyle w:val="11"/>
              <w:spacing w:before="128" w:line="336" w:lineRule="auto"/>
              <w:ind w:left="115" w:right="106" w:firstLine="428"/>
              <w:jc w:val="both"/>
            </w:pPr>
            <w:r>
              <w:rPr>
                <w:spacing w:val="5"/>
              </w:rPr>
              <w:t>定标委员会成员按照票决方法、规则独立行使投票</w:t>
            </w:r>
            <w:r>
              <w:rPr>
                <w:spacing w:val="2"/>
              </w:rPr>
              <w:t xml:space="preserve"> </w:t>
            </w:r>
            <w:r>
              <w:rPr>
                <w:spacing w:val="5"/>
              </w:rPr>
              <w:t>权，不得弃权或产生废票。投票采用实名方式，定标委</w:t>
            </w:r>
          </w:p>
          <w:p w14:paraId="4706DC04">
            <w:pPr>
              <w:pStyle w:val="11"/>
              <w:spacing w:before="1" w:line="219" w:lineRule="auto"/>
              <w:ind w:left="124"/>
            </w:pPr>
            <w:r>
              <w:rPr>
                <w:spacing w:val="-2"/>
              </w:rPr>
              <w:t>员会在投票时应当写明投票理由。</w:t>
            </w:r>
          </w:p>
          <w:p w14:paraId="3907FDFD">
            <w:pPr>
              <w:pStyle w:val="11"/>
              <w:spacing w:before="128" w:line="221" w:lineRule="auto"/>
              <w:ind w:left="137"/>
            </w:pPr>
            <w:r>
              <w:rPr>
                <w:spacing w:val="-26"/>
                <w14:textOutline w14:w="3831" w14:cap="flat" w14:cmpd="sng">
                  <w14:solidFill>
                    <w14:srgbClr w14:val="000000"/>
                  </w14:solidFill>
                  <w14:prstDash w14:val="solid"/>
                  <w14:miter w14:val="0"/>
                </w14:textOutline>
              </w:rPr>
              <w:t>□集体议事法：</w:t>
            </w:r>
            <w:r>
              <w:rPr>
                <w:spacing w:val="55"/>
              </w:rPr>
              <w:t xml:space="preserve"> </w:t>
            </w:r>
            <w:r>
              <w:rPr>
                <w:u w:val="single" w:color="auto"/>
              </w:rPr>
              <w:t xml:space="preserve">            </w:t>
            </w:r>
          </w:p>
          <w:p w14:paraId="0A9D448F">
            <w:pPr>
              <w:pStyle w:val="11"/>
              <w:spacing w:before="162" w:line="221" w:lineRule="auto"/>
              <w:ind w:left="137"/>
            </w:pPr>
            <w:r>
              <w:rPr>
                <w:spacing w:val="-3"/>
                <w14:textOutline w14:w="3831" w14:cap="flat" w14:cmpd="sng">
                  <w14:solidFill>
                    <w14:srgbClr w14:val="000000"/>
                  </w14:solidFill>
                  <w14:prstDash w14:val="solid"/>
                  <w14:miter w14:val="0"/>
                </w14:textOutline>
              </w:rPr>
              <w:t>□其他定标法：</w:t>
            </w:r>
            <w:r>
              <w:rPr>
                <w:u w:val="single" w:color="auto"/>
              </w:rPr>
              <w:t xml:space="preserve">            </w:t>
            </w:r>
          </w:p>
        </w:tc>
      </w:tr>
    </w:tbl>
    <w:p w14:paraId="50F81D38">
      <w:pPr>
        <w:pStyle w:val="3"/>
      </w:pPr>
    </w:p>
    <w:p w14:paraId="4634EE29">
      <w:pPr>
        <w:sectPr>
          <w:footerReference r:id="rId63" w:type="default"/>
          <w:pgSz w:w="11905" w:h="16839"/>
          <w:pgMar w:top="1431" w:right="1551" w:bottom="996" w:left="1555" w:header="0" w:footer="791" w:gutter="0"/>
          <w:pgNumType w:fmt="decimal"/>
          <w:cols w:space="720" w:num="1"/>
        </w:sectPr>
      </w:pPr>
    </w:p>
    <w:p w14:paraId="516BBDD2">
      <w:pPr>
        <w:spacing w:before="86" w:line="499" w:lineRule="exact"/>
        <w:ind w:left="17"/>
        <w:rPr>
          <w:rFonts w:ascii="黑体" w:hAnsi="黑体" w:eastAsia="黑体" w:cs="黑体"/>
          <w:sz w:val="27"/>
          <w:szCs w:val="27"/>
        </w:rPr>
      </w:pPr>
      <w:bookmarkStart w:id="165" w:name="bookmark194"/>
      <w:bookmarkEnd w:id="165"/>
      <w:bookmarkStart w:id="166" w:name="bookmark188"/>
      <w:bookmarkEnd w:id="166"/>
      <w:bookmarkStart w:id="167" w:name="bookmark191"/>
      <w:bookmarkEnd w:id="167"/>
      <w:bookmarkStart w:id="168" w:name="bookmark189"/>
      <w:bookmarkEnd w:id="168"/>
      <w:bookmarkStart w:id="169" w:name="bookmark190"/>
      <w:bookmarkEnd w:id="169"/>
      <w:bookmarkStart w:id="170" w:name="bookmark192"/>
      <w:bookmarkEnd w:id="170"/>
      <w:bookmarkStart w:id="171" w:name="bookmark193"/>
      <w:bookmarkEnd w:id="171"/>
      <w:r>
        <w:rPr>
          <w:rFonts w:ascii="黑体" w:hAnsi="黑体" w:eastAsia="黑体" w:cs="黑体"/>
          <w:spacing w:val="7"/>
          <w:position w:val="16"/>
          <w:sz w:val="27"/>
          <w:szCs w:val="27"/>
        </w:rPr>
        <w:t>定标办法正文</w:t>
      </w:r>
    </w:p>
    <w:p w14:paraId="1B18F161">
      <w:pPr>
        <w:spacing w:before="1" w:line="223" w:lineRule="auto"/>
        <w:ind w:left="42"/>
        <w:rPr>
          <w:rFonts w:ascii="黑体" w:hAnsi="黑体" w:eastAsia="黑体" w:cs="黑体"/>
          <w:sz w:val="27"/>
          <w:szCs w:val="27"/>
        </w:rPr>
      </w:pPr>
      <w:r>
        <w:rPr>
          <w:rFonts w:ascii="Times New Roman" w:hAnsi="Times New Roman" w:eastAsia="Times New Roman" w:cs="Times New Roman"/>
          <w:spacing w:val="1"/>
          <w:sz w:val="27"/>
          <w:szCs w:val="27"/>
        </w:rPr>
        <w:t>1.</w:t>
      </w:r>
      <w:r>
        <w:rPr>
          <w:rFonts w:ascii="黑体" w:hAnsi="黑体" w:eastAsia="黑体" w:cs="黑体"/>
          <w:spacing w:val="1"/>
          <w:sz w:val="27"/>
          <w:szCs w:val="27"/>
        </w:rPr>
        <w:t>定标方法</w:t>
      </w:r>
    </w:p>
    <w:p w14:paraId="449732B2">
      <w:pPr>
        <w:spacing w:before="119" w:line="379" w:lineRule="exact"/>
        <w:ind w:left="457"/>
        <w:rPr>
          <w:rFonts w:ascii="宋体" w:hAnsi="宋体" w:eastAsia="宋体" w:cs="宋体"/>
          <w:sz w:val="21"/>
          <w:szCs w:val="21"/>
        </w:rPr>
      </w:pPr>
      <w:r>
        <w:rPr>
          <w:rFonts w:ascii="Times New Roman" w:hAnsi="Times New Roman" w:eastAsia="Times New Roman" w:cs="Times New Roman"/>
          <w:spacing w:val="-5"/>
          <w:position w:val="12"/>
          <w:sz w:val="21"/>
          <w:szCs w:val="21"/>
        </w:rPr>
        <w:t>1.1</w:t>
      </w:r>
      <w:r>
        <w:rPr>
          <w:rFonts w:ascii="Times New Roman" w:hAnsi="Times New Roman" w:eastAsia="Times New Roman" w:cs="Times New Roman"/>
          <w:spacing w:val="31"/>
          <w:w w:val="101"/>
          <w:position w:val="12"/>
          <w:sz w:val="21"/>
          <w:szCs w:val="21"/>
        </w:rPr>
        <w:t xml:space="preserve"> </w:t>
      </w:r>
      <w:r>
        <w:rPr>
          <w:rFonts w:ascii="宋体" w:hAnsi="宋体" w:eastAsia="宋体" w:cs="宋体"/>
          <w:spacing w:val="-5"/>
          <w:position w:val="12"/>
          <w:sz w:val="21"/>
          <w:szCs w:val="21"/>
        </w:rPr>
        <w:t>定标委员会应严格按照评定分离操作规程及相关规定执行，</w:t>
      </w:r>
      <w:r>
        <w:rPr>
          <w:rFonts w:ascii="宋体" w:hAnsi="宋体" w:eastAsia="宋体" w:cs="宋体"/>
          <w:spacing w:val="54"/>
          <w:position w:val="12"/>
          <w:sz w:val="21"/>
          <w:szCs w:val="21"/>
        </w:rPr>
        <w:t xml:space="preserve"> </w:t>
      </w:r>
      <w:r>
        <w:rPr>
          <w:rFonts w:ascii="宋体" w:hAnsi="宋体" w:eastAsia="宋体" w:cs="宋体"/>
          <w:spacing w:val="-5"/>
          <w:position w:val="12"/>
          <w:sz w:val="21"/>
          <w:szCs w:val="21"/>
        </w:rPr>
        <w:t>不得随意改变已确定且</w:t>
      </w:r>
    </w:p>
    <w:p w14:paraId="3335E4C9">
      <w:pPr>
        <w:spacing w:line="220" w:lineRule="auto"/>
        <w:ind w:left="20"/>
        <w:rPr>
          <w:rFonts w:ascii="宋体" w:hAnsi="宋体" w:eastAsia="宋体" w:cs="宋体"/>
          <w:sz w:val="21"/>
          <w:szCs w:val="21"/>
        </w:rPr>
      </w:pPr>
      <w:r>
        <w:rPr>
          <w:rFonts w:ascii="宋体" w:hAnsi="宋体" w:eastAsia="宋体" w:cs="宋体"/>
          <w:spacing w:val="-1"/>
          <w:sz w:val="21"/>
          <w:szCs w:val="21"/>
        </w:rPr>
        <w:t>备案登记的定标程序、定标因素和规则、定</w:t>
      </w:r>
      <w:r>
        <w:rPr>
          <w:rFonts w:ascii="宋体" w:hAnsi="宋体" w:eastAsia="宋体" w:cs="宋体"/>
          <w:spacing w:val="-2"/>
          <w:sz w:val="21"/>
          <w:szCs w:val="21"/>
        </w:rPr>
        <w:t>标方法。</w:t>
      </w:r>
    </w:p>
    <w:p w14:paraId="2A30191B">
      <w:pPr>
        <w:spacing w:before="128" w:line="220" w:lineRule="auto"/>
        <w:jc w:val="right"/>
        <w:rPr>
          <w:rFonts w:ascii="宋体" w:hAnsi="宋体" w:eastAsia="宋体" w:cs="宋体"/>
          <w:sz w:val="21"/>
          <w:szCs w:val="21"/>
        </w:rPr>
      </w:pPr>
      <w:r>
        <w:rPr>
          <w:rFonts w:ascii="Times New Roman" w:hAnsi="Times New Roman" w:eastAsia="Times New Roman" w:cs="Times New Roman"/>
          <w:spacing w:val="-1"/>
          <w:sz w:val="21"/>
          <w:szCs w:val="21"/>
        </w:rPr>
        <w:t>1.2</w:t>
      </w:r>
      <w:r>
        <w:rPr>
          <w:rFonts w:ascii="Times New Roman" w:hAnsi="Times New Roman" w:eastAsia="Times New Roman" w:cs="Times New Roman"/>
          <w:spacing w:val="23"/>
          <w:w w:val="101"/>
          <w:sz w:val="21"/>
          <w:szCs w:val="21"/>
        </w:rPr>
        <w:t xml:space="preserve"> </w:t>
      </w:r>
      <w:r>
        <w:rPr>
          <w:rFonts w:ascii="宋体" w:hAnsi="宋体" w:eastAsia="宋体" w:cs="宋体"/>
          <w:spacing w:val="-1"/>
          <w:sz w:val="21"/>
          <w:szCs w:val="21"/>
        </w:rPr>
        <w:t>招标人根据招标项目类型、项目具体特点</w:t>
      </w:r>
      <w:r>
        <w:rPr>
          <w:rFonts w:ascii="宋体" w:hAnsi="宋体" w:eastAsia="宋体" w:cs="宋体"/>
          <w:spacing w:val="-2"/>
          <w:sz w:val="21"/>
          <w:szCs w:val="21"/>
        </w:rPr>
        <w:t>和实现履约确定的定标因素作为定标依据。</w:t>
      </w:r>
    </w:p>
    <w:p w14:paraId="3B7791F8">
      <w:pPr>
        <w:spacing w:before="130" w:line="379" w:lineRule="exact"/>
        <w:ind w:left="457"/>
        <w:rPr>
          <w:rFonts w:ascii="宋体" w:hAnsi="宋体" w:eastAsia="宋体" w:cs="宋体"/>
          <w:sz w:val="21"/>
          <w:szCs w:val="21"/>
        </w:rPr>
      </w:pPr>
      <w:r>
        <w:rPr>
          <w:rFonts w:ascii="Times New Roman" w:hAnsi="Times New Roman" w:eastAsia="Times New Roman" w:cs="Times New Roman"/>
          <w:spacing w:val="-1"/>
          <w:position w:val="12"/>
          <w:sz w:val="21"/>
          <w:szCs w:val="21"/>
        </w:rPr>
        <w:t>1.3</w:t>
      </w:r>
      <w:r>
        <w:rPr>
          <w:rFonts w:ascii="Times New Roman" w:hAnsi="Times New Roman" w:eastAsia="Times New Roman" w:cs="Times New Roman"/>
          <w:spacing w:val="28"/>
          <w:w w:val="101"/>
          <w:position w:val="12"/>
          <w:sz w:val="21"/>
          <w:szCs w:val="21"/>
        </w:rPr>
        <w:t xml:space="preserve"> </w:t>
      </w:r>
      <w:r>
        <w:rPr>
          <w:rFonts w:ascii="宋体" w:hAnsi="宋体" w:eastAsia="宋体" w:cs="宋体"/>
          <w:spacing w:val="-1"/>
          <w:position w:val="12"/>
          <w:sz w:val="21"/>
          <w:szCs w:val="21"/>
        </w:rPr>
        <w:t>定标委员会按照招标文件明确规定的定标因素、定标规则和定标方法进行定标</w:t>
      </w:r>
      <w:r>
        <w:rPr>
          <w:rFonts w:ascii="宋体" w:hAnsi="宋体" w:eastAsia="宋体" w:cs="宋体"/>
          <w:spacing w:val="-2"/>
          <w:position w:val="12"/>
          <w:sz w:val="21"/>
          <w:szCs w:val="21"/>
        </w:rPr>
        <w:t>，确</w:t>
      </w:r>
    </w:p>
    <w:p w14:paraId="743324BF">
      <w:pPr>
        <w:spacing w:line="221" w:lineRule="auto"/>
        <w:ind w:left="23"/>
        <w:rPr>
          <w:rFonts w:ascii="宋体" w:hAnsi="宋体" w:eastAsia="宋体" w:cs="宋体"/>
          <w:sz w:val="21"/>
          <w:szCs w:val="21"/>
        </w:rPr>
      </w:pPr>
      <w:r>
        <w:rPr>
          <w:rFonts w:ascii="宋体" w:hAnsi="宋体" w:eastAsia="宋体" w:cs="宋体"/>
          <w:spacing w:val="-7"/>
          <w:sz w:val="21"/>
          <w:szCs w:val="21"/>
        </w:rPr>
        <w:t>定中标人。</w:t>
      </w:r>
    </w:p>
    <w:p w14:paraId="4A3A9533">
      <w:pPr>
        <w:spacing w:before="185" w:line="441" w:lineRule="exact"/>
        <w:ind w:left="15"/>
        <w:rPr>
          <w:rFonts w:ascii="黑体" w:hAnsi="黑体" w:eastAsia="黑体" w:cs="黑体"/>
          <w:sz w:val="27"/>
          <w:szCs w:val="27"/>
        </w:rPr>
      </w:pPr>
      <w:r>
        <w:rPr>
          <w:rFonts w:ascii="Times New Roman" w:hAnsi="Times New Roman" w:eastAsia="Times New Roman" w:cs="Times New Roman"/>
          <w:spacing w:val="7"/>
          <w:position w:val="12"/>
          <w:sz w:val="27"/>
          <w:szCs w:val="27"/>
        </w:rPr>
        <w:t>2.</w:t>
      </w:r>
      <w:r>
        <w:rPr>
          <w:rFonts w:ascii="黑体" w:hAnsi="黑体" w:eastAsia="黑体" w:cs="黑体"/>
          <w:spacing w:val="7"/>
          <w:position w:val="12"/>
          <w:sz w:val="27"/>
          <w:szCs w:val="27"/>
        </w:rPr>
        <w:t>定标流程及规则</w:t>
      </w:r>
    </w:p>
    <w:p w14:paraId="3660F62B">
      <w:pPr>
        <w:spacing w:before="1" w:line="218" w:lineRule="auto"/>
        <w:ind w:left="15"/>
        <w:rPr>
          <w:rFonts w:ascii="黑体" w:hAnsi="黑体" w:eastAsia="黑体" w:cs="黑体"/>
          <w:sz w:val="24"/>
          <w:szCs w:val="24"/>
        </w:rPr>
      </w:pPr>
      <w:r>
        <w:rPr>
          <w:rFonts w:ascii="Times New Roman" w:hAnsi="Times New Roman" w:eastAsia="Times New Roman" w:cs="Times New Roman"/>
          <w:spacing w:val="-4"/>
          <w:sz w:val="24"/>
          <w:szCs w:val="24"/>
        </w:rPr>
        <w:t>2.</w:t>
      </w:r>
      <w:r>
        <w:rPr>
          <w:rFonts w:ascii="Times New Roman" w:hAnsi="Times New Roman" w:eastAsia="Times New Roman" w:cs="Times New Roman"/>
          <w:spacing w:val="-30"/>
          <w:sz w:val="24"/>
          <w:szCs w:val="24"/>
        </w:rPr>
        <w:t xml:space="preserve"> </w:t>
      </w:r>
      <w:r>
        <w:rPr>
          <w:rFonts w:ascii="Times New Roman" w:hAnsi="Times New Roman" w:eastAsia="Times New Roman" w:cs="Times New Roman"/>
          <w:spacing w:val="-4"/>
          <w:sz w:val="24"/>
          <w:szCs w:val="24"/>
        </w:rPr>
        <w:t xml:space="preserve">1 </w:t>
      </w:r>
      <w:r>
        <w:rPr>
          <w:rFonts w:ascii="黑体" w:hAnsi="黑体" w:eastAsia="黑体" w:cs="黑体"/>
          <w:spacing w:val="-4"/>
          <w:sz w:val="24"/>
          <w:szCs w:val="24"/>
        </w:rPr>
        <w:t>组建定标委员会</w:t>
      </w:r>
    </w:p>
    <w:p w14:paraId="489D8DC7">
      <w:pPr>
        <w:spacing w:before="29" w:line="247" w:lineRule="auto"/>
        <w:ind w:left="22" w:right="182" w:firstLine="423"/>
        <w:rPr>
          <w:rFonts w:ascii="宋体" w:hAnsi="宋体" w:eastAsia="宋体" w:cs="宋体"/>
          <w:sz w:val="21"/>
          <w:szCs w:val="21"/>
        </w:rPr>
      </w:pPr>
      <w:r>
        <w:rPr>
          <w:rFonts w:ascii="宋体" w:hAnsi="宋体" w:eastAsia="宋体" w:cs="宋体"/>
          <w:spacing w:val="3"/>
          <w:sz w:val="21"/>
          <w:szCs w:val="21"/>
        </w:rPr>
        <w:t>定标前，招标人负责组建定标委员会，负责定标工作。定标委员会人员组成详见</w:t>
      </w:r>
      <w:r>
        <w:rPr>
          <w:rFonts w:ascii="宋体" w:hAnsi="宋体" w:eastAsia="宋体" w:cs="宋体"/>
          <w:spacing w:val="2"/>
          <w:sz w:val="21"/>
          <w:szCs w:val="21"/>
        </w:rPr>
        <w:t>定标</w:t>
      </w:r>
      <w:r>
        <w:rPr>
          <w:rFonts w:ascii="宋体" w:hAnsi="宋体" w:eastAsia="宋体" w:cs="宋体"/>
          <w:sz w:val="21"/>
          <w:szCs w:val="21"/>
        </w:rPr>
        <w:t xml:space="preserve"> </w:t>
      </w:r>
      <w:r>
        <w:rPr>
          <w:rFonts w:ascii="宋体" w:hAnsi="宋体" w:eastAsia="宋体" w:cs="宋体"/>
          <w:spacing w:val="-2"/>
          <w:sz w:val="21"/>
          <w:szCs w:val="21"/>
        </w:rPr>
        <w:t>办法前附表。</w:t>
      </w:r>
    </w:p>
    <w:p w14:paraId="0D75AE63">
      <w:pPr>
        <w:spacing w:before="147" w:line="219" w:lineRule="auto"/>
        <w:ind w:left="15"/>
        <w:rPr>
          <w:rFonts w:ascii="黑体" w:hAnsi="黑体" w:eastAsia="黑体" w:cs="黑体"/>
          <w:sz w:val="24"/>
          <w:szCs w:val="24"/>
        </w:rPr>
      </w:pPr>
      <w:r>
        <w:rPr>
          <w:rFonts w:ascii="Times New Roman" w:hAnsi="Times New Roman" w:eastAsia="Times New Roman" w:cs="Times New Roman"/>
          <w:spacing w:val="-2"/>
          <w:sz w:val="24"/>
          <w:szCs w:val="24"/>
        </w:rPr>
        <w:t xml:space="preserve">2.2 </w:t>
      </w:r>
      <w:r>
        <w:rPr>
          <w:rFonts w:ascii="黑体" w:hAnsi="黑体" w:eastAsia="黑体" w:cs="黑体"/>
          <w:spacing w:val="-2"/>
          <w:sz w:val="24"/>
          <w:szCs w:val="24"/>
        </w:rPr>
        <w:t>定标因素及规则</w:t>
      </w:r>
    </w:p>
    <w:p w14:paraId="07F4D962">
      <w:pPr>
        <w:spacing w:before="125" w:line="379" w:lineRule="exact"/>
        <w:ind w:left="447"/>
        <w:rPr>
          <w:rFonts w:ascii="宋体" w:hAnsi="宋体" w:eastAsia="宋体" w:cs="宋体"/>
          <w:sz w:val="21"/>
          <w:szCs w:val="21"/>
        </w:rPr>
      </w:pPr>
      <w:r>
        <w:rPr>
          <w:rFonts w:ascii="宋体" w:hAnsi="宋体" w:eastAsia="宋体" w:cs="宋体"/>
          <w:spacing w:val="-9"/>
          <w:position w:val="12"/>
          <w:sz w:val="21"/>
          <w:szCs w:val="21"/>
        </w:rPr>
        <w:t>（</w:t>
      </w:r>
      <w:r>
        <w:rPr>
          <w:rFonts w:ascii="Times New Roman" w:hAnsi="Times New Roman" w:eastAsia="Times New Roman" w:cs="Times New Roman"/>
          <w:spacing w:val="-9"/>
          <w:position w:val="12"/>
          <w:sz w:val="21"/>
          <w:szCs w:val="21"/>
        </w:rPr>
        <w:t>1</w:t>
      </w:r>
      <w:r>
        <w:rPr>
          <w:rFonts w:ascii="宋体" w:hAnsi="宋体" w:eastAsia="宋体" w:cs="宋体"/>
          <w:spacing w:val="-9"/>
          <w:position w:val="12"/>
          <w:sz w:val="21"/>
          <w:szCs w:val="21"/>
        </w:rPr>
        <w:t>）定标因素： 见定标办法前附表；</w:t>
      </w:r>
    </w:p>
    <w:p w14:paraId="5C5821EF">
      <w:pPr>
        <w:spacing w:before="1" w:line="219" w:lineRule="auto"/>
        <w:ind w:left="447"/>
        <w:rPr>
          <w:rFonts w:ascii="宋体" w:hAnsi="宋体" w:eastAsia="宋体" w:cs="宋体"/>
          <w:sz w:val="21"/>
          <w:szCs w:val="21"/>
        </w:rPr>
      </w:pPr>
      <w:r>
        <w:rPr>
          <w:rFonts w:ascii="宋体" w:hAnsi="宋体" w:eastAsia="宋体" w:cs="宋体"/>
          <w:spacing w:val="-8"/>
          <w:sz w:val="21"/>
          <w:szCs w:val="21"/>
        </w:rPr>
        <w:t>（</w:t>
      </w:r>
      <w:r>
        <w:rPr>
          <w:rFonts w:ascii="Times New Roman" w:hAnsi="Times New Roman" w:eastAsia="Times New Roman" w:cs="Times New Roman"/>
          <w:spacing w:val="-8"/>
          <w:sz w:val="21"/>
          <w:szCs w:val="21"/>
        </w:rPr>
        <w:t>2</w:t>
      </w:r>
      <w:r>
        <w:rPr>
          <w:rFonts w:ascii="宋体" w:hAnsi="宋体" w:eastAsia="宋体" w:cs="宋体"/>
          <w:spacing w:val="-8"/>
          <w:sz w:val="21"/>
          <w:szCs w:val="21"/>
        </w:rPr>
        <w:t>）定标规则： 见定标办法前附表。</w:t>
      </w:r>
    </w:p>
    <w:p w14:paraId="4CCA8583">
      <w:pPr>
        <w:spacing w:before="124" w:line="218" w:lineRule="auto"/>
        <w:ind w:left="15"/>
        <w:rPr>
          <w:rFonts w:ascii="黑体" w:hAnsi="黑体" w:eastAsia="黑体" w:cs="黑体"/>
          <w:sz w:val="24"/>
          <w:szCs w:val="24"/>
        </w:rPr>
      </w:pPr>
      <w:r>
        <w:rPr>
          <w:rFonts w:ascii="Times New Roman" w:hAnsi="Times New Roman" w:eastAsia="Times New Roman" w:cs="Times New Roman"/>
          <w:spacing w:val="-2"/>
          <w:sz w:val="24"/>
          <w:szCs w:val="24"/>
        </w:rPr>
        <w:t xml:space="preserve">2.3 </w:t>
      </w:r>
      <w:r>
        <w:rPr>
          <w:rFonts w:ascii="黑体" w:hAnsi="黑体" w:eastAsia="黑体" w:cs="黑体"/>
          <w:spacing w:val="-2"/>
          <w:sz w:val="24"/>
          <w:szCs w:val="24"/>
        </w:rPr>
        <w:t>定标办法</w:t>
      </w:r>
    </w:p>
    <w:p w14:paraId="67D26772">
      <w:pPr>
        <w:spacing w:before="120" w:line="380" w:lineRule="exact"/>
        <w:ind w:left="446"/>
        <w:rPr>
          <w:rFonts w:ascii="宋体" w:hAnsi="宋体" w:eastAsia="宋体" w:cs="宋体"/>
          <w:sz w:val="21"/>
          <w:szCs w:val="21"/>
        </w:rPr>
      </w:pPr>
      <w:r>
        <w:rPr>
          <w:rFonts w:ascii="宋体" w:hAnsi="宋体" w:eastAsia="宋体" w:cs="宋体"/>
          <w:spacing w:val="3"/>
          <w:position w:val="12"/>
          <w:sz w:val="21"/>
          <w:szCs w:val="21"/>
        </w:rPr>
        <w:t>定标办法包括集中票决法、集体议事法或招标人结合项目具体特点和实际情况制</w:t>
      </w:r>
      <w:r>
        <w:rPr>
          <w:rFonts w:ascii="宋体" w:hAnsi="宋体" w:eastAsia="宋体" w:cs="宋体"/>
          <w:spacing w:val="2"/>
          <w:position w:val="12"/>
          <w:sz w:val="21"/>
          <w:szCs w:val="21"/>
        </w:rPr>
        <w:t>定的</w:t>
      </w:r>
    </w:p>
    <w:p w14:paraId="73991494">
      <w:pPr>
        <w:spacing w:line="221" w:lineRule="auto"/>
        <w:ind w:left="19"/>
        <w:rPr>
          <w:rFonts w:ascii="宋体" w:hAnsi="宋体" w:eastAsia="宋体" w:cs="宋体"/>
          <w:sz w:val="21"/>
          <w:szCs w:val="21"/>
        </w:rPr>
      </w:pPr>
      <w:r>
        <w:rPr>
          <w:rFonts w:ascii="宋体" w:hAnsi="宋体" w:eastAsia="宋体" w:cs="宋体"/>
          <w:spacing w:val="-1"/>
          <w:sz w:val="21"/>
          <w:szCs w:val="21"/>
        </w:rPr>
        <w:t>其他定标法。</w:t>
      </w:r>
    </w:p>
    <w:p w14:paraId="15618D53">
      <w:pPr>
        <w:spacing w:before="133" w:line="379" w:lineRule="exact"/>
        <w:ind w:left="437"/>
        <w:rPr>
          <w:rFonts w:ascii="宋体" w:hAnsi="宋体" w:eastAsia="宋体" w:cs="宋体"/>
          <w:sz w:val="21"/>
          <w:szCs w:val="21"/>
        </w:rPr>
      </w:pPr>
      <w:r>
        <w:rPr>
          <w:rFonts w:ascii="Times New Roman" w:hAnsi="Times New Roman" w:eastAsia="Times New Roman" w:cs="Times New Roman"/>
          <w:spacing w:val="1"/>
          <w:position w:val="12"/>
          <w:sz w:val="21"/>
          <w:szCs w:val="21"/>
        </w:rPr>
        <w:t>2.3.1</w:t>
      </w:r>
      <w:r>
        <w:rPr>
          <w:rFonts w:ascii="Times New Roman" w:hAnsi="Times New Roman" w:eastAsia="Times New Roman" w:cs="Times New Roman"/>
          <w:spacing w:val="43"/>
          <w:position w:val="12"/>
          <w:sz w:val="21"/>
          <w:szCs w:val="21"/>
        </w:rPr>
        <w:t xml:space="preserve"> </w:t>
      </w:r>
      <w:r>
        <w:rPr>
          <w:rFonts w:ascii="宋体" w:hAnsi="宋体" w:eastAsia="宋体" w:cs="宋体"/>
          <w:spacing w:val="1"/>
          <w:position w:val="12"/>
          <w:sz w:val="21"/>
          <w:szCs w:val="21"/>
        </w:rPr>
        <w:t>集中票决法包括直接票决定标法、逐轮票决定</w:t>
      </w:r>
      <w:r>
        <w:rPr>
          <w:rFonts w:ascii="宋体" w:hAnsi="宋体" w:eastAsia="宋体" w:cs="宋体"/>
          <w:position w:val="12"/>
          <w:sz w:val="21"/>
          <w:szCs w:val="21"/>
        </w:rPr>
        <w:t>标法、票决低价定标法、票决抽签</w:t>
      </w:r>
    </w:p>
    <w:p w14:paraId="02AF9B0D">
      <w:pPr>
        <w:spacing w:line="221" w:lineRule="auto"/>
        <w:ind w:left="23"/>
        <w:rPr>
          <w:rFonts w:ascii="宋体" w:hAnsi="宋体" w:eastAsia="宋体" w:cs="宋体"/>
          <w:sz w:val="21"/>
          <w:szCs w:val="21"/>
        </w:rPr>
      </w:pPr>
      <w:r>
        <w:rPr>
          <w:rFonts w:ascii="宋体" w:hAnsi="宋体" w:eastAsia="宋体" w:cs="宋体"/>
          <w:spacing w:val="-8"/>
          <w:sz w:val="21"/>
          <w:szCs w:val="21"/>
        </w:rPr>
        <w:t>定标法。</w:t>
      </w:r>
    </w:p>
    <w:p w14:paraId="52B7C3C4">
      <w:pPr>
        <w:spacing w:before="127" w:line="334" w:lineRule="auto"/>
        <w:ind w:left="20" w:right="181" w:firstLine="417"/>
        <w:rPr>
          <w:rFonts w:ascii="宋体" w:hAnsi="宋体" w:eastAsia="宋体" w:cs="宋体"/>
          <w:sz w:val="21"/>
          <w:szCs w:val="21"/>
        </w:rPr>
      </w:pPr>
      <w:r>
        <w:fldChar w:fldCharType="begin"/>
      </w:r>
      <w:r>
        <w:instrText xml:space="preserve"> HYPERLINK "2.3.1.1" </w:instrText>
      </w:r>
      <w:r>
        <w:fldChar w:fldCharType="separate"/>
      </w:r>
      <w:r>
        <w:rPr>
          <w:rFonts w:ascii="Times New Roman" w:hAnsi="Times New Roman" w:eastAsia="Times New Roman" w:cs="Times New Roman"/>
          <w:spacing w:val="2"/>
          <w:sz w:val="21"/>
          <w:szCs w:val="21"/>
        </w:rPr>
        <w:t>2.3.1.1</w:t>
      </w:r>
      <w:r>
        <w:rPr>
          <w:rFonts w:ascii="Times New Roman" w:hAnsi="Times New Roman" w:eastAsia="Times New Roman" w:cs="Times New Roman"/>
          <w:spacing w:val="2"/>
          <w:sz w:val="21"/>
          <w:szCs w:val="21"/>
        </w:rPr>
        <w:fldChar w:fldCharType="end"/>
      </w:r>
      <w:r>
        <w:rPr>
          <w:rFonts w:ascii="Times New Roman" w:hAnsi="Times New Roman" w:eastAsia="Times New Roman" w:cs="Times New Roman"/>
          <w:spacing w:val="39"/>
          <w:w w:val="101"/>
          <w:sz w:val="21"/>
          <w:szCs w:val="21"/>
        </w:rPr>
        <w:t xml:space="preserve"> </w:t>
      </w:r>
      <w:r>
        <w:rPr>
          <w:rFonts w:ascii="宋体" w:hAnsi="宋体" w:eastAsia="宋体" w:cs="宋体"/>
          <w:spacing w:val="2"/>
          <w:sz w:val="21"/>
          <w:szCs w:val="21"/>
        </w:rPr>
        <w:t>直接票决定标法。通过投票，取票数最多且超过半数的为中标人。若中</w:t>
      </w:r>
      <w:r>
        <w:rPr>
          <w:rFonts w:ascii="宋体" w:hAnsi="宋体" w:eastAsia="宋体" w:cs="宋体"/>
          <w:spacing w:val="1"/>
          <w:sz w:val="21"/>
          <w:szCs w:val="21"/>
        </w:rPr>
        <w:t>标候选</w:t>
      </w:r>
      <w:r>
        <w:rPr>
          <w:rFonts w:ascii="宋体" w:hAnsi="宋体" w:eastAsia="宋体" w:cs="宋体"/>
          <w:sz w:val="21"/>
          <w:szCs w:val="21"/>
        </w:rPr>
        <w:t xml:space="preserve"> </w:t>
      </w:r>
      <w:r>
        <w:rPr>
          <w:rFonts w:ascii="宋体" w:hAnsi="宋体" w:eastAsia="宋体" w:cs="宋体"/>
          <w:spacing w:val="-2"/>
          <w:sz w:val="21"/>
          <w:szCs w:val="21"/>
        </w:rPr>
        <w:t xml:space="preserve">人票数均未超过半数的，取票数前 </w:t>
      </w:r>
      <w:r>
        <w:rPr>
          <w:rFonts w:ascii="Times New Roman" w:hAnsi="Times New Roman" w:eastAsia="Times New Roman" w:cs="Times New Roman"/>
          <w:spacing w:val="-2"/>
          <w:sz w:val="21"/>
          <w:szCs w:val="21"/>
        </w:rPr>
        <w:t>2</w:t>
      </w:r>
      <w:r>
        <w:rPr>
          <w:rFonts w:ascii="Times New Roman" w:hAnsi="Times New Roman" w:eastAsia="Times New Roman" w:cs="Times New Roman"/>
          <w:spacing w:val="38"/>
          <w:sz w:val="21"/>
          <w:szCs w:val="21"/>
        </w:rPr>
        <w:t xml:space="preserve"> </w:t>
      </w:r>
      <w:r>
        <w:rPr>
          <w:rFonts w:ascii="宋体" w:hAnsi="宋体" w:eastAsia="宋体" w:cs="宋体"/>
          <w:spacing w:val="-2"/>
          <w:sz w:val="21"/>
          <w:szCs w:val="21"/>
        </w:rPr>
        <w:t xml:space="preserve">名再次票决确定中标人。因并列无法确定前 </w:t>
      </w:r>
      <w:r>
        <w:rPr>
          <w:rFonts w:ascii="Times New Roman" w:hAnsi="Times New Roman" w:eastAsia="Times New Roman" w:cs="Times New Roman"/>
          <w:spacing w:val="-2"/>
          <w:sz w:val="21"/>
          <w:szCs w:val="21"/>
        </w:rPr>
        <w:t>2</w:t>
      </w:r>
      <w:r>
        <w:rPr>
          <w:rFonts w:ascii="Times New Roman" w:hAnsi="Times New Roman" w:eastAsia="Times New Roman" w:cs="Times New Roman"/>
          <w:spacing w:val="30"/>
          <w:sz w:val="21"/>
          <w:szCs w:val="21"/>
        </w:rPr>
        <w:t xml:space="preserve"> </w:t>
      </w:r>
      <w:r>
        <w:rPr>
          <w:rFonts w:ascii="宋体" w:hAnsi="宋体" w:eastAsia="宋体" w:cs="宋体"/>
          <w:spacing w:val="-2"/>
          <w:sz w:val="21"/>
          <w:szCs w:val="21"/>
        </w:rPr>
        <w:t>名时，</w:t>
      </w:r>
    </w:p>
    <w:p w14:paraId="7057B98B">
      <w:pPr>
        <w:spacing w:line="219" w:lineRule="auto"/>
        <w:ind w:left="20"/>
        <w:rPr>
          <w:rFonts w:ascii="宋体" w:hAnsi="宋体" w:eastAsia="宋体" w:cs="宋体"/>
          <w:sz w:val="21"/>
          <w:szCs w:val="21"/>
        </w:rPr>
      </w:pPr>
      <w:r>
        <w:rPr>
          <w:rFonts w:ascii="宋体" w:hAnsi="宋体" w:eastAsia="宋体" w:cs="宋体"/>
          <w:spacing w:val="-3"/>
          <w:sz w:val="21"/>
          <w:szCs w:val="21"/>
        </w:rPr>
        <w:t>按价格由低到高选取前</w:t>
      </w:r>
      <w:r>
        <w:rPr>
          <w:rFonts w:ascii="宋体" w:hAnsi="宋体" w:eastAsia="宋体" w:cs="宋体"/>
          <w:spacing w:val="-38"/>
          <w:sz w:val="21"/>
          <w:szCs w:val="21"/>
        </w:rPr>
        <w:t xml:space="preserve"> </w:t>
      </w:r>
      <w:r>
        <w:rPr>
          <w:rFonts w:ascii="Times New Roman" w:hAnsi="Times New Roman" w:eastAsia="Times New Roman" w:cs="Times New Roman"/>
          <w:spacing w:val="-3"/>
          <w:sz w:val="21"/>
          <w:szCs w:val="21"/>
        </w:rPr>
        <w:t xml:space="preserve">2 </w:t>
      </w:r>
      <w:r>
        <w:rPr>
          <w:rFonts w:ascii="宋体" w:hAnsi="宋体" w:eastAsia="宋体" w:cs="宋体"/>
          <w:spacing w:val="-3"/>
          <w:sz w:val="21"/>
          <w:szCs w:val="21"/>
        </w:rPr>
        <w:t>名。</w:t>
      </w:r>
    </w:p>
    <w:p w14:paraId="7E988565">
      <w:pPr>
        <w:spacing w:before="130" w:line="384" w:lineRule="exact"/>
        <w:ind w:left="437"/>
        <w:rPr>
          <w:rFonts w:ascii="宋体" w:hAnsi="宋体" w:eastAsia="宋体" w:cs="宋体"/>
          <w:sz w:val="21"/>
          <w:szCs w:val="21"/>
        </w:rPr>
      </w:pPr>
      <w:r>
        <w:fldChar w:fldCharType="begin"/>
      </w:r>
      <w:r>
        <w:instrText xml:space="preserve"> HYPERLINK "2.3.1.2" </w:instrText>
      </w:r>
      <w:r>
        <w:fldChar w:fldCharType="separate"/>
      </w:r>
      <w:r>
        <w:rPr>
          <w:rFonts w:ascii="Times New Roman" w:hAnsi="Times New Roman" w:eastAsia="Times New Roman" w:cs="Times New Roman"/>
          <w:spacing w:val="-4"/>
          <w:position w:val="13"/>
          <w:sz w:val="21"/>
          <w:szCs w:val="21"/>
        </w:rPr>
        <w:t>2.3.1.2</w:t>
      </w:r>
      <w:r>
        <w:rPr>
          <w:rFonts w:ascii="Times New Roman" w:hAnsi="Times New Roman" w:eastAsia="Times New Roman" w:cs="Times New Roman"/>
          <w:spacing w:val="-4"/>
          <w:position w:val="13"/>
          <w:sz w:val="21"/>
          <w:szCs w:val="21"/>
        </w:rPr>
        <w:fldChar w:fldCharType="end"/>
      </w:r>
      <w:r>
        <w:rPr>
          <w:rFonts w:ascii="Times New Roman" w:hAnsi="Times New Roman" w:eastAsia="Times New Roman" w:cs="Times New Roman"/>
          <w:spacing w:val="43"/>
          <w:w w:val="101"/>
          <w:position w:val="13"/>
          <w:sz w:val="21"/>
          <w:szCs w:val="21"/>
        </w:rPr>
        <w:t xml:space="preserve"> </w:t>
      </w:r>
      <w:r>
        <w:rPr>
          <w:rFonts w:ascii="宋体" w:hAnsi="宋体" w:eastAsia="宋体" w:cs="宋体"/>
          <w:spacing w:val="-4"/>
          <w:position w:val="13"/>
          <w:sz w:val="21"/>
          <w:szCs w:val="21"/>
        </w:rPr>
        <w:t xml:space="preserve">逐轮票决定标法。通过投票，每轮淘汰 </w:t>
      </w:r>
      <w:r>
        <w:rPr>
          <w:rFonts w:ascii="Times New Roman" w:hAnsi="Times New Roman" w:eastAsia="Times New Roman" w:cs="Times New Roman"/>
          <w:spacing w:val="-4"/>
          <w:position w:val="13"/>
          <w:sz w:val="21"/>
          <w:szCs w:val="21"/>
        </w:rPr>
        <w:t xml:space="preserve">1  </w:t>
      </w:r>
      <w:r>
        <w:rPr>
          <w:rFonts w:ascii="宋体" w:hAnsi="宋体" w:eastAsia="宋体" w:cs="宋体"/>
          <w:spacing w:val="-4"/>
          <w:position w:val="13"/>
          <w:sz w:val="21"/>
          <w:szCs w:val="21"/>
        </w:rPr>
        <w:t>名票数最少的中标</w:t>
      </w:r>
      <w:r>
        <w:rPr>
          <w:rFonts w:ascii="宋体" w:hAnsi="宋体" w:eastAsia="宋体" w:cs="宋体"/>
          <w:spacing w:val="-5"/>
          <w:position w:val="13"/>
          <w:sz w:val="21"/>
          <w:szCs w:val="21"/>
        </w:rPr>
        <w:t>候选人，</w:t>
      </w:r>
      <w:r>
        <w:rPr>
          <w:rFonts w:ascii="宋体" w:hAnsi="宋体" w:eastAsia="宋体" w:cs="宋体"/>
          <w:spacing w:val="53"/>
          <w:position w:val="13"/>
          <w:sz w:val="21"/>
          <w:szCs w:val="21"/>
        </w:rPr>
        <w:t xml:space="preserve"> </w:t>
      </w:r>
      <w:r>
        <w:rPr>
          <w:rFonts w:ascii="宋体" w:hAnsi="宋体" w:eastAsia="宋体" w:cs="宋体"/>
          <w:spacing w:val="-5"/>
          <w:position w:val="13"/>
          <w:sz w:val="21"/>
          <w:szCs w:val="21"/>
        </w:rPr>
        <w:t>最终确定</w:t>
      </w:r>
    </w:p>
    <w:p w14:paraId="2FB538BA">
      <w:pPr>
        <w:spacing w:line="219" w:lineRule="auto"/>
        <w:ind w:left="38"/>
        <w:rPr>
          <w:rFonts w:ascii="宋体" w:hAnsi="宋体" w:eastAsia="宋体" w:cs="宋体"/>
          <w:sz w:val="21"/>
          <w:szCs w:val="21"/>
        </w:rPr>
      </w:pPr>
      <w:r>
        <w:rPr>
          <w:rFonts w:ascii="宋体" w:hAnsi="宋体" w:eastAsia="宋体" w:cs="宋体"/>
          <w:spacing w:val="-2"/>
          <w:sz w:val="21"/>
          <w:szCs w:val="21"/>
        </w:rPr>
        <w:t>中标人。票数最少中标候选人出现并列时，淘汰报价高者。</w:t>
      </w:r>
    </w:p>
    <w:p w14:paraId="2FD85E1E">
      <w:pPr>
        <w:spacing w:before="130" w:line="379" w:lineRule="exact"/>
        <w:ind w:left="437"/>
        <w:rPr>
          <w:rFonts w:ascii="宋体" w:hAnsi="宋体" w:eastAsia="宋体" w:cs="宋体"/>
          <w:sz w:val="21"/>
          <w:szCs w:val="21"/>
        </w:rPr>
      </w:pPr>
      <w:r>
        <w:fldChar w:fldCharType="begin"/>
      </w:r>
      <w:r>
        <w:instrText xml:space="preserve"> HYPERLINK "2.3.1.3" </w:instrText>
      </w:r>
      <w:r>
        <w:fldChar w:fldCharType="separate"/>
      </w:r>
      <w:r>
        <w:rPr>
          <w:rFonts w:ascii="Times New Roman" w:hAnsi="Times New Roman" w:eastAsia="Times New Roman" w:cs="Times New Roman"/>
          <w:spacing w:val="2"/>
          <w:position w:val="12"/>
          <w:sz w:val="21"/>
          <w:szCs w:val="21"/>
        </w:rPr>
        <w:t>2.3.1.3</w:t>
      </w:r>
      <w:r>
        <w:rPr>
          <w:rFonts w:ascii="Times New Roman" w:hAnsi="Times New Roman" w:eastAsia="Times New Roman" w:cs="Times New Roman"/>
          <w:spacing w:val="2"/>
          <w:position w:val="12"/>
          <w:sz w:val="21"/>
          <w:szCs w:val="21"/>
        </w:rPr>
        <w:fldChar w:fldCharType="end"/>
      </w:r>
      <w:r>
        <w:rPr>
          <w:rFonts w:ascii="Times New Roman" w:hAnsi="Times New Roman" w:eastAsia="Times New Roman" w:cs="Times New Roman"/>
          <w:spacing w:val="39"/>
          <w:w w:val="101"/>
          <w:position w:val="12"/>
          <w:sz w:val="21"/>
          <w:szCs w:val="21"/>
        </w:rPr>
        <w:t xml:space="preserve"> </w:t>
      </w:r>
      <w:r>
        <w:rPr>
          <w:rFonts w:ascii="宋体" w:hAnsi="宋体" w:eastAsia="宋体" w:cs="宋体"/>
          <w:spacing w:val="2"/>
          <w:position w:val="12"/>
          <w:sz w:val="21"/>
          <w:szCs w:val="21"/>
        </w:rPr>
        <w:t>票决低价定标法。由定标委员会从进入票决定标的投标人中，以投票表</w:t>
      </w:r>
      <w:r>
        <w:rPr>
          <w:rFonts w:ascii="宋体" w:hAnsi="宋体" w:eastAsia="宋体" w:cs="宋体"/>
          <w:spacing w:val="1"/>
          <w:position w:val="12"/>
          <w:sz w:val="21"/>
          <w:szCs w:val="21"/>
        </w:rPr>
        <w:t>决方式</w:t>
      </w:r>
    </w:p>
    <w:p w14:paraId="5CEEDFF5">
      <w:pPr>
        <w:spacing w:line="219" w:lineRule="auto"/>
        <w:ind w:left="18"/>
        <w:rPr>
          <w:rFonts w:ascii="宋体" w:hAnsi="宋体" w:eastAsia="宋体" w:cs="宋体"/>
          <w:sz w:val="21"/>
          <w:szCs w:val="21"/>
        </w:rPr>
      </w:pPr>
      <w:r>
        <w:rPr>
          <w:rFonts w:ascii="宋体" w:hAnsi="宋体" w:eastAsia="宋体" w:cs="宋体"/>
          <w:spacing w:val="-2"/>
          <w:sz w:val="21"/>
          <w:szCs w:val="21"/>
        </w:rPr>
        <w:t>确定不少于</w:t>
      </w:r>
      <w:r>
        <w:rPr>
          <w:rFonts w:ascii="宋体" w:hAnsi="宋体" w:eastAsia="宋体" w:cs="宋体"/>
          <w:spacing w:val="-34"/>
          <w:sz w:val="21"/>
          <w:szCs w:val="21"/>
        </w:rPr>
        <w:t xml:space="preserve"> </w:t>
      </w:r>
      <w:r>
        <w:rPr>
          <w:rFonts w:ascii="Times New Roman" w:hAnsi="Times New Roman" w:eastAsia="Times New Roman" w:cs="Times New Roman"/>
          <w:spacing w:val="-2"/>
          <w:sz w:val="21"/>
          <w:szCs w:val="21"/>
        </w:rPr>
        <w:t xml:space="preserve">3 </w:t>
      </w:r>
      <w:r>
        <w:rPr>
          <w:rFonts w:ascii="宋体" w:hAnsi="宋体" w:eastAsia="宋体" w:cs="宋体"/>
          <w:spacing w:val="-2"/>
          <w:sz w:val="21"/>
          <w:szCs w:val="21"/>
        </w:rPr>
        <w:t>名投标人，以投标报价最低投标人确定为中标人。</w:t>
      </w:r>
    </w:p>
    <w:p w14:paraId="30253B0E">
      <w:pPr>
        <w:spacing w:before="131" w:line="379" w:lineRule="exact"/>
        <w:ind w:left="437"/>
        <w:rPr>
          <w:rFonts w:ascii="宋体" w:hAnsi="宋体" w:eastAsia="宋体" w:cs="宋体"/>
          <w:sz w:val="21"/>
          <w:szCs w:val="21"/>
        </w:rPr>
      </w:pPr>
      <w:r>
        <w:fldChar w:fldCharType="begin"/>
      </w:r>
      <w:r>
        <w:instrText xml:space="preserve"> HYPERLINK "2.3.1.4" </w:instrText>
      </w:r>
      <w:r>
        <w:fldChar w:fldCharType="separate"/>
      </w:r>
      <w:r>
        <w:rPr>
          <w:rFonts w:ascii="Times New Roman" w:hAnsi="Times New Roman" w:eastAsia="Times New Roman" w:cs="Times New Roman"/>
          <w:spacing w:val="2"/>
          <w:position w:val="12"/>
          <w:sz w:val="21"/>
          <w:szCs w:val="21"/>
        </w:rPr>
        <w:t>2.3.1.4</w:t>
      </w:r>
      <w:r>
        <w:rPr>
          <w:rFonts w:ascii="Times New Roman" w:hAnsi="Times New Roman" w:eastAsia="Times New Roman" w:cs="Times New Roman"/>
          <w:spacing w:val="2"/>
          <w:position w:val="12"/>
          <w:sz w:val="21"/>
          <w:szCs w:val="21"/>
        </w:rPr>
        <w:fldChar w:fldCharType="end"/>
      </w:r>
      <w:r>
        <w:rPr>
          <w:rFonts w:ascii="Times New Roman" w:hAnsi="Times New Roman" w:eastAsia="Times New Roman" w:cs="Times New Roman"/>
          <w:spacing w:val="39"/>
          <w:w w:val="101"/>
          <w:position w:val="12"/>
          <w:sz w:val="21"/>
          <w:szCs w:val="21"/>
        </w:rPr>
        <w:t xml:space="preserve"> </w:t>
      </w:r>
      <w:r>
        <w:rPr>
          <w:rFonts w:ascii="宋体" w:hAnsi="宋体" w:eastAsia="宋体" w:cs="宋体"/>
          <w:spacing w:val="2"/>
          <w:position w:val="12"/>
          <w:sz w:val="21"/>
          <w:szCs w:val="21"/>
        </w:rPr>
        <w:t>票决抽签定标法。由定标委员会从进入票决定标的投标人中，以投票表</w:t>
      </w:r>
      <w:r>
        <w:rPr>
          <w:rFonts w:ascii="宋体" w:hAnsi="宋体" w:eastAsia="宋体" w:cs="宋体"/>
          <w:spacing w:val="1"/>
          <w:position w:val="12"/>
          <w:sz w:val="21"/>
          <w:szCs w:val="21"/>
        </w:rPr>
        <w:t>决方式</w:t>
      </w:r>
    </w:p>
    <w:p w14:paraId="4BA63371">
      <w:pPr>
        <w:spacing w:before="1" w:line="219" w:lineRule="auto"/>
        <w:ind w:left="18"/>
        <w:rPr>
          <w:rFonts w:ascii="宋体" w:hAnsi="宋体" w:eastAsia="宋体" w:cs="宋体"/>
          <w:sz w:val="21"/>
          <w:szCs w:val="21"/>
        </w:rPr>
      </w:pPr>
      <w:r>
        <w:rPr>
          <w:rFonts w:ascii="宋体" w:hAnsi="宋体" w:eastAsia="宋体" w:cs="宋体"/>
          <w:spacing w:val="-1"/>
          <w:sz w:val="21"/>
          <w:szCs w:val="21"/>
        </w:rPr>
        <w:t>确定不少于</w:t>
      </w:r>
      <w:r>
        <w:rPr>
          <w:rFonts w:ascii="宋体" w:hAnsi="宋体" w:eastAsia="宋体" w:cs="宋体"/>
          <w:spacing w:val="-43"/>
          <w:sz w:val="21"/>
          <w:szCs w:val="21"/>
        </w:rPr>
        <w:t xml:space="preserve"> </w:t>
      </w:r>
      <w:r>
        <w:rPr>
          <w:rFonts w:ascii="Times New Roman" w:hAnsi="Times New Roman" w:eastAsia="Times New Roman" w:cs="Times New Roman"/>
          <w:spacing w:val="-1"/>
          <w:sz w:val="21"/>
          <w:szCs w:val="21"/>
        </w:rPr>
        <w:t xml:space="preserve">3 </w:t>
      </w:r>
      <w:r>
        <w:rPr>
          <w:rFonts w:ascii="宋体" w:hAnsi="宋体" w:eastAsia="宋体" w:cs="宋体"/>
          <w:spacing w:val="-1"/>
          <w:sz w:val="21"/>
          <w:szCs w:val="21"/>
        </w:rPr>
        <w:t>名投标人，以随机抽签方式确定中标人。</w:t>
      </w:r>
    </w:p>
    <w:p w14:paraId="1ED08478">
      <w:pPr>
        <w:spacing w:before="128" w:line="221" w:lineRule="auto"/>
        <w:ind w:left="437"/>
        <w:rPr>
          <w:rFonts w:ascii="宋体" w:hAnsi="宋体" w:eastAsia="宋体" w:cs="宋体"/>
          <w:sz w:val="21"/>
          <w:szCs w:val="21"/>
        </w:rPr>
      </w:pPr>
      <w:r>
        <w:rPr>
          <w:rFonts w:ascii="Times New Roman" w:hAnsi="Times New Roman" w:eastAsia="Times New Roman" w:cs="Times New Roman"/>
          <w:spacing w:val="-1"/>
          <w:sz w:val="21"/>
          <w:szCs w:val="21"/>
        </w:rPr>
        <w:t xml:space="preserve">2.3.2 </w:t>
      </w:r>
      <w:r>
        <w:rPr>
          <w:rFonts w:ascii="宋体" w:hAnsi="宋体" w:eastAsia="宋体" w:cs="宋体"/>
          <w:spacing w:val="-1"/>
          <w:sz w:val="21"/>
          <w:szCs w:val="21"/>
        </w:rPr>
        <w:t>集体议事法</w:t>
      </w:r>
    </w:p>
    <w:p w14:paraId="70F84F94">
      <w:pPr>
        <w:spacing w:before="134" w:line="379" w:lineRule="exact"/>
        <w:ind w:left="443"/>
        <w:rPr>
          <w:rFonts w:ascii="宋体" w:hAnsi="宋体" w:eastAsia="宋体" w:cs="宋体"/>
          <w:sz w:val="21"/>
          <w:szCs w:val="21"/>
        </w:rPr>
      </w:pPr>
      <w:r>
        <w:rPr>
          <w:rFonts w:ascii="宋体" w:hAnsi="宋体" w:eastAsia="宋体" w:cs="宋体"/>
          <w:position w:val="12"/>
          <w:sz w:val="21"/>
          <w:szCs w:val="21"/>
        </w:rPr>
        <w:t>指定标委员会进行集体商议，定标委员各自发表意见， 最终由定标委员会组长确定中</w:t>
      </w:r>
    </w:p>
    <w:p w14:paraId="0E75E1E8">
      <w:pPr>
        <w:spacing w:before="1" w:line="219" w:lineRule="auto"/>
        <w:ind w:left="19"/>
        <w:rPr>
          <w:rFonts w:ascii="宋体" w:hAnsi="宋体" w:eastAsia="宋体" w:cs="宋体"/>
          <w:sz w:val="21"/>
          <w:szCs w:val="21"/>
        </w:rPr>
      </w:pPr>
      <w:r>
        <w:rPr>
          <w:rFonts w:ascii="宋体" w:hAnsi="宋体" w:eastAsia="宋体" w:cs="宋体"/>
          <w:spacing w:val="-2"/>
          <w:sz w:val="21"/>
          <w:szCs w:val="21"/>
        </w:rPr>
        <w:t>标人的定标方法，具体方法见定标办法前附表。</w:t>
      </w:r>
    </w:p>
    <w:p w14:paraId="6B3C3F25">
      <w:pPr>
        <w:spacing w:before="130" w:line="221" w:lineRule="auto"/>
        <w:ind w:left="437"/>
        <w:rPr>
          <w:rFonts w:ascii="宋体" w:hAnsi="宋体" w:eastAsia="宋体" w:cs="宋体"/>
          <w:sz w:val="21"/>
          <w:szCs w:val="21"/>
        </w:rPr>
      </w:pPr>
      <w:r>
        <w:rPr>
          <w:rFonts w:ascii="Times New Roman" w:hAnsi="Times New Roman" w:eastAsia="Times New Roman" w:cs="Times New Roman"/>
          <w:spacing w:val="-1"/>
          <w:sz w:val="21"/>
          <w:szCs w:val="21"/>
        </w:rPr>
        <w:t xml:space="preserve">2.3.3 </w:t>
      </w:r>
      <w:r>
        <w:rPr>
          <w:rFonts w:ascii="宋体" w:hAnsi="宋体" w:eastAsia="宋体" w:cs="宋体"/>
          <w:spacing w:val="-1"/>
          <w:sz w:val="21"/>
          <w:szCs w:val="21"/>
        </w:rPr>
        <w:t>其他定标法</w:t>
      </w:r>
    </w:p>
    <w:p w14:paraId="7E27E615">
      <w:pPr>
        <w:spacing w:before="127" w:line="379" w:lineRule="exact"/>
        <w:ind w:left="442"/>
        <w:rPr>
          <w:rFonts w:ascii="宋体" w:hAnsi="宋体" w:eastAsia="宋体" w:cs="宋体"/>
          <w:sz w:val="21"/>
          <w:szCs w:val="21"/>
        </w:rPr>
      </w:pPr>
      <w:r>
        <w:rPr>
          <w:rFonts w:ascii="宋体" w:hAnsi="宋体" w:eastAsia="宋体" w:cs="宋体"/>
          <w:spacing w:val="3"/>
          <w:position w:val="12"/>
          <w:sz w:val="21"/>
          <w:szCs w:val="21"/>
        </w:rPr>
        <w:t>招标人结合项目具体特点和实际情况制定的合理且规则明确的定标办法，具体方法见</w:t>
      </w:r>
    </w:p>
    <w:p w14:paraId="5D22CEAA">
      <w:pPr>
        <w:spacing w:before="1" w:line="219" w:lineRule="auto"/>
        <w:ind w:left="23"/>
        <w:rPr>
          <w:rFonts w:ascii="宋体" w:hAnsi="宋体" w:eastAsia="宋体" w:cs="宋体"/>
          <w:sz w:val="21"/>
          <w:szCs w:val="21"/>
        </w:rPr>
      </w:pPr>
      <w:r>
        <w:rPr>
          <w:rFonts w:ascii="宋体" w:hAnsi="宋体" w:eastAsia="宋体" w:cs="宋体"/>
          <w:spacing w:val="-4"/>
          <w:sz w:val="21"/>
          <w:szCs w:val="21"/>
        </w:rPr>
        <w:t>定标办法前附表。</w:t>
      </w:r>
    </w:p>
    <w:p w14:paraId="669B3017">
      <w:pPr>
        <w:spacing w:line="219" w:lineRule="auto"/>
        <w:rPr>
          <w:rFonts w:ascii="宋体" w:hAnsi="宋体" w:eastAsia="宋体" w:cs="宋体"/>
          <w:sz w:val="21"/>
          <w:szCs w:val="21"/>
        </w:rPr>
        <w:sectPr>
          <w:footerReference r:id="rId64" w:type="default"/>
          <w:pgSz w:w="11905" w:h="16839"/>
          <w:pgMar w:top="1431" w:right="1609" w:bottom="996" w:left="1785" w:header="0" w:footer="791" w:gutter="0"/>
          <w:pgNumType w:fmt="decimal"/>
          <w:cols w:space="720" w:num="1"/>
        </w:sectPr>
      </w:pPr>
    </w:p>
    <w:p w14:paraId="33E4E65C">
      <w:pPr>
        <w:spacing w:before="86" w:line="224" w:lineRule="auto"/>
        <w:ind w:left="21"/>
        <w:rPr>
          <w:rFonts w:ascii="黑体" w:hAnsi="黑体" w:eastAsia="黑体" w:cs="黑体"/>
          <w:sz w:val="27"/>
          <w:szCs w:val="27"/>
        </w:rPr>
      </w:pPr>
      <w:bookmarkStart w:id="172" w:name="bookmark196"/>
      <w:bookmarkEnd w:id="172"/>
      <w:bookmarkStart w:id="173" w:name="bookmark199"/>
      <w:bookmarkEnd w:id="173"/>
      <w:bookmarkStart w:id="174" w:name="bookmark197"/>
      <w:bookmarkEnd w:id="174"/>
      <w:bookmarkStart w:id="175" w:name="bookmark198"/>
      <w:bookmarkEnd w:id="175"/>
      <w:bookmarkStart w:id="176" w:name="bookmark195"/>
      <w:bookmarkEnd w:id="176"/>
      <w:r>
        <w:rPr>
          <w:rFonts w:ascii="Times New Roman" w:hAnsi="Times New Roman" w:eastAsia="Times New Roman" w:cs="Times New Roman"/>
          <w:spacing w:val="5"/>
          <w:sz w:val="27"/>
          <w:szCs w:val="27"/>
        </w:rPr>
        <w:t>3.</w:t>
      </w:r>
      <w:r>
        <w:rPr>
          <w:rFonts w:ascii="黑体" w:hAnsi="黑体" w:eastAsia="黑体" w:cs="黑体"/>
          <w:spacing w:val="5"/>
          <w:sz w:val="27"/>
          <w:szCs w:val="27"/>
        </w:rPr>
        <w:t>重新定标</w:t>
      </w:r>
    </w:p>
    <w:p w14:paraId="54473578">
      <w:pPr>
        <w:spacing w:before="114" w:line="384" w:lineRule="exact"/>
        <w:ind w:right="6"/>
        <w:jc w:val="right"/>
        <w:rPr>
          <w:rFonts w:ascii="宋体" w:hAnsi="宋体" w:eastAsia="宋体" w:cs="宋体"/>
          <w:sz w:val="21"/>
          <w:szCs w:val="21"/>
        </w:rPr>
      </w:pPr>
      <w:r>
        <w:rPr>
          <w:rFonts w:ascii="宋体" w:hAnsi="宋体" w:eastAsia="宋体" w:cs="宋体"/>
          <w:position w:val="13"/>
          <w:sz w:val="21"/>
          <w:szCs w:val="21"/>
        </w:rPr>
        <w:t>定标后有下列情形之一的， 招标人可从其他定标候选人中采用原定标方办法，由原定</w:t>
      </w:r>
    </w:p>
    <w:p w14:paraId="0D2C7F88">
      <w:pPr>
        <w:spacing w:line="219" w:lineRule="auto"/>
        <w:ind w:left="19"/>
        <w:rPr>
          <w:rFonts w:ascii="宋体" w:hAnsi="宋体" w:eastAsia="宋体" w:cs="宋体"/>
          <w:sz w:val="21"/>
          <w:szCs w:val="21"/>
        </w:rPr>
      </w:pPr>
      <w:r>
        <w:rPr>
          <w:rFonts w:ascii="宋体" w:hAnsi="宋体" w:eastAsia="宋体" w:cs="宋体"/>
          <w:spacing w:val="-4"/>
          <w:sz w:val="21"/>
          <w:szCs w:val="21"/>
        </w:rPr>
        <w:t>标委员会重新确定中标人：</w:t>
      </w:r>
    </w:p>
    <w:p w14:paraId="5DB2F102">
      <w:pPr>
        <w:spacing w:before="129" w:line="221" w:lineRule="auto"/>
        <w:ind w:left="441"/>
        <w:rPr>
          <w:rFonts w:ascii="宋体" w:hAnsi="宋体" w:eastAsia="宋体" w:cs="宋体"/>
          <w:sz w:val="21"/>
          <w:szCs w:val="21"/>
        </w:rPr>
      </w:pPr>
      <w:r>
        <w:rPr>
          <w:rFonts w:ascii="Times New Roman" w:hAnsi="Times New Roman" w:eastAsia="Times New Roman" w:cs="Times New Roman"/>
          <w:spacing w:val="-3"/>
          <w:sz w:val="21"/>
          <w:szCs w:val="21"/>
        </w:rPr>
        <w:t>3.1</w:t>
      </w:r>
      <w:r>
        <w:rPr>
          <w:rFonts w:ascii="Times New Roman" w:hAnsi="Times New Roman" w:eastAsia="Times New Roman" w:cs="Times New Roman"/>
          <w:spacing w:val="19"/>
          <w:w w:val="101"/>
          <w:sz w:val="21"/>
          <w:szCs w:val="21"/>
        </w:rPr>
        <w:t xml:space="preserve"> </w:t>
      </w:r>
      <w:r>
        <w:rPr>
          <w:rFonts w:ascii="宋体" w:hAnsi="宋体" w:eastAsia="宋体" w:cs="宋体"/>
          <w:spacing w:val="-3"/>
          <w:sz w:val="21"/>
          <w:szCs w:val="21"/>
        </w:rPr>
        <w:t>中标人放弃中标或者拒不签订合同的；</w:t>
      </w:r>
    </w:p>
    <w:p w14:paraId="518960D9">
      <w:pPr>
        <w:spacing w:before="127" w:line="221" w:lineRule="auto"/>
        <w:ind w:left="441"/>
        <w:rPr>
          <w:rFonts w:ascii="宋体" w:hAnsi="宋体" w:eastAsia="宋体" w:cs="宋体"/>
          <w:sz w:val="21"/>
          <w:szCs w:val="21"/>
        </w:rPr>
      </w:pPr>
      <w:r>
        <w:rPr>
          <w:rFonts w:ascii="Times New Roman" w:hAnsi="Times New Roman" w:eastAsia="Times New Roman" w:cs="Times New Roman"/>
          <w:spacing w:val="-2"/>
          <w:sz w:val="21"/>
          <w:szCs w:val="21"/>
        </w:rPr>
        <w:t>3.2</w:t>
      </w:r>
      <w:r>
        <w:rPr>
          <w:rFonts w:ascii="Times New Roman" w:hAnsi="Times New Roman" w:eastAsia="Times New Roman" w:cs="Times New Roman"/>
          <w:spacing w:val="31"/>
          <w:w w:val="101"/>
          <w:sz w:val="21"/>
          <w:szCs w:val="21"/>
        </w:rPr>
        <w:t xml:space="preserve"> </w:t>
      </w:r>
      <w:r>
        <w:rPr>
          <w:rFonts w:ascii="宋体" w:hAnsi="宋体" w:eastAsia="宋体" w:cs="宋体"/>
          <w:spacing w:val="-2"/>
          <w:sz w:val="21"/>
          <w:szCs w:val="21"/>
        </w:rPr>
        <w:t>中标人不按照招标文件要求提交履约担保的；</w:t>
      </w:r>
    </w:p>
    <w:p w14:paraId="5706AC5A">
      <w:pPr>
        <w:spacing w:before="128" w:line="221" w:lineRule="auto"/>
        <w:ind w:left="441"/>
        <w:rPr>
          <w:rFonts w:ascii="宋体" w:hAnsi="宋体" w:eastAsia="宋体" w:cs="宋体"/>
          <w:sz w:val="21"/>
          <w:szCs w:val="21"/>
        </w:rPr>
      </w:pPr>
      <w:r>
        <w:rPr>
          <w:rFonts w:ascii="Times New Roman" w:hAnsi="Times New Roman" w:eastAsia="Times New Roman" w:cs="Times New Roman"/>
          <w:spacing w:val="-3"/>
          <w:sz w:val="21"/>
          <w:szCs w:val="21"/>
        </w:rPr>
        <w:t xml:space="preserve">3.3 </w:t>
      </w:r>
      <w:r>
        <w:rPr>
          <w:rFonts w:ascii="宋体" w:hAnsi="宋体" w:eastAsia="宋体" w:cs="宋体"/>
          <w:spacing w:val="-3"/>
          <w:sz w:val="21"/>
          <w:szCs w:val="21"/>
        </w:rPr>
        <w:t>被查实存在影响中标结果的违法行为的；</w:t>
      </w:r>
    </w:p>
    <w:p w14:paraId="127589B7">
      <w:pPr>
        <w:spacing w:before="128" w:line="221" w:lineRule="auto"/>
        <w:ind w:left="441"/>
        <w:rPr>
          <w:rFonts w:ascii="宋体" w:hAnsi="宋体" w:eastAsia="宋体" w:cs="宋体"/>
          <w:sz w:val="21"/>
          <w:szCs w:val="21"/>
        </w:rPr>
      </w:pPr>
      <w:r>
        <w:rPr>
          <w:rFonts w:ascii="Times New Roman" w:hAnsi="Times New Roman" w:eastAsia="Times New Roman" w:cs="Times New Roman"/>
          <w:spacing w:val="-1"/>
          <w:sz w:val="21"/>
          <w:szCs w:val="21"/>
        </w:rPr>
        <w:t xml:space="preserve">3.4 </w:t>
      </w:r>
      <w:r>
        <w:rPr>
          <w:rFonts w:ascii="宋体" w:hAnsi="宋体" w:eastAsia="宋体" w:cs="宋体"/>
          <w:spacing w:val="-1"/>
          <w:sz w:val="21"/>
          <w:szCs w:val="21"/>
        </w:rPr>
        <w:t>法律法规规定的其他情形。</w:t>
      </w:r>
    </w:p>
    <w:p w14:paraId="5F071295">
      <w:pPr>
        <w:spacing w:before="186" w:line="224" w:lineRule="auto"/>
        <w:ind w:left="14"/>
        <w:rPr>
          <w:rFonts w:ascii="黑体" w:hAnsi="黑体" w:eastAsia="黑体" w:cs="黑体"/>
          <w:sz w:val="27"/>
          <w:szCs w:val="27"/>
        </w:rPr>
      </w:pPr>
      <w:r>
        <w:rPr>
          <w:rFonts w:ascii="Times New Roman" w:hAnsi="Times New Roman" w:eastAsia="Times New Roman" w:cs="Times New Roman"/>
          <w:spacing w:val="5"/>
          <w:sz w:val="27"/>
          <w:szCs w:val="27"/>
        </w:rPr>
        <w:t>4.</w:t>
      </w:r>
      <w:r>
        <w:rPr>
          <w:rFonts w:ascii="黑体" w:hAnsi="黑体" w:eastAsia="黑体" w:cs="黑体"/>
          <w:spacing w:val="5"/>
          <w:sz w:val="27"/>
          <w:szCs w:val="27"/>
        </w:rPr>
        <w:t>监督</w:t>
      </w:r>
    </w:p>
    <w:p w14:paraId="13FEE65B">
      <w:pPr>
        <w:spacing w:before="119" w:line="379" w:lineRule="exact"/>
        <w:ind w:right="6"/>
        <w:jc w:val="right"/>
        <w:rPr>
          <w:rFonts w:ascii="宋体" w:hAnsi="宋体" w:eastAsia="宋体" w:cs="宋体"/>
          <w:sz w:val="21"/>
          <w:szCs w:val="21"/>
        </w:rPr>
      </w:pPr>
      <w:r>
        <w:rPr>
          <w:rFonts w:ascii="宋体" w:hAnsi="宋体" w:eastAsia="宋体" w:cs="宋体"/>
          <w:position w:val="12"/>
          <w:sz w:val="21"/>
          <w:szCs w:val="21"/>
        </w:rPr>
        <w:t>招标人负责组建监督小组， 对“评定分离”招投标活动全过程进行监督，重点监督招</w:t>
      </w:r>
    </w:p>
    <w:p w14:paraId="1533C318">
      <w:pPr>
        <w:spacing w:before="1" w:line="220" w:lineRule="auto"/>
        <w:ind w:left="19"/>
        <w:rPr>
          <w:rFonts w:ascii="宋体" w:hAnsi="宋体" w:eastAsia="宋体" w:cs="宋体"/>
          <w:sz w:val="21"/>
          <w:szCs w:val="21"/>
        </w:rPr>
      </w:pPr>
      <w:r>
        <w:rPr>
          <w:rFonts w:ascii="宋体" w:hAnsi="宋体" w:eastAsia="宋体" w:cs="宋体"/>
          <w:spacing w:val="-2"/>
          <w:sz w:val="21"/>
          <w:szCs w:val="21"/>
        </w:rPr>
        <w:t>标人是否按照确定的定标办法定标。</w:t>
      </w:r>
    </w:p>
    <w:p w14:paraId="0A7B8A59">
      <w:pPr>
        <w:spacing w:line="220" w:lineRule="auto"/>
        <w:rPr>
          <w:rFonts w:ascii="宋体" w:hAnsi="宋体" w:eastAsia="宋体" w:cs="宋体"/>
          <w:sz w:val="21"/>
          <w:szCs w:val="21"/>
        </w:rPr>
        <w:sectPr>
          <w:footerReference r:id="rId65" w:type="default"/>
          <w:pgSz w:w="11905" w:h="16839"/>
          <w:pgMar w:top="1431" w:right="1785" w:bottom="996" w:left="1785" w:header="0" w:footer="791" w:gutter="0"/>
          <w:pgNumType w:fmt="decimal"/>
          <w:cols w:space="720" w:num="1"/>
        </w:sectPr>
      </w:pPr>
    </w:p>
    <w:p w14:paraId="5463C568">
      <w:pPr>
        <w:spacing w:before="43"/>
      </w:pPr>
      <w:bookmarkStart w:id="177" w:name="bookmark200"/>
      <w:bookmarkEnd w:id="177"/>
      <w:bookmarkStart w:id="178" w:name="bookmark201"/>
      <w:bookmarkEnd w:id="178"/>
      <w:bookmarkStart w:id="179" w:name="bookmark202"/>
      <w:bookmarkEnd w:id="179"/>
    </w:p>
    <w:p w14:paraId="155B4D86">
      <w:pPr>
        <w:spacing w:before="42"/>
      </w:pPr>
    </w:p>
    <w:p w14:paraId="1F8135F5">
      <w:pPr>
        <w:spacing w:before="42"/>
      </w:pPr>
    </w:p>
    <w:p w14:paraId="2B2FF7D5">
      <w:pPr>
        <w:sectPr>
          <w:footerReference r:id="rId66" w:type="default"/>
          <w:pgSz w:w="16839" w:h="11905"/>
          <w:pgMar w:top="1011" w:right="1483" w:bottom="991" w:left="1449" w:header="0" w:footer="786" w:gutter="0"/>
          <w:pgNumType w:fmt="decimal"/>
          <w:cols w:equalWidth="0" w:num="1">
            <w:col w:w="13906"/>
          </w:cols>
        </w:sectPr>
      </w:pPr>
    </w:p>
    <w:p w14:paraId="382DBACE">
      <w:pPr>
        <w:spacing w:before="48" w:line="218" w:lineRule="auto"/>
        <w:ind w:left="13"/>
        <w:rPr>
          <w:rFonts w:ascii="黑体" w:hAnsi="黑体" w:eastAsia="黑体" w:cs="黑体"/>
          <w:sz w:val="24"/>
          <w:szCs w:val="24"/>
        </w:rPr>
      </w:pPr>
      <w:r>
        <w:rPr>
          <w:rFonts w:ascii="黑体" w:hAnsi="黑体" w:eastAsia="黑体" w:cs="黑体"/>
          <w:spacing w:val="-5"/>
          <w:sz w:val="24"/>
          <w:szCs w:val="24"/>
        </w:rPr>
        <w:t>附表</w:t>
      </w:r>
      <w:r>
        <w:rPr>
          <w:rFonts w:ascii="黑体" w:hAnsi="黑体" w:eastAsia="黑体" w:cs="黑体"/>
          <w:spacing w:val="-53"/>
          <w:sz w:val="24"/>
          <w:szCs w:val="24"/>
        </w:rPr>
        <w:t xml:space="preserve"> </w:t>
      </w:r>
      <w:r>
        <w:rPr>
          <w:rFonts w:ascii="Times New Roman" w:hAnsi="Times New Roman" w:eastAsia="Times New Roman" w:cs="Times New Roman"/>
          <w:spacing w:val="-5"/>
          <w:sz w:val="24"/>
          <w:szCs w:val="24"/>
        </w:rPr>
        <w:t>A-</w:t>
      </w:r>
      <w:r>
        <w:rPr>
          <w:rFonts w:ascii="Times New Roman" w:hAnsi="Times New Roman" w:eastAsia="Times New Roman" w:cs="Times New Roman"/>
          <w:spacing w:val="-31"/>
          <w:sz w:val="24"/>
          <w:szCs w:val="24"/>
        </w:rPr>
        <w:t xml:space="preserve"> </w:t>
      </w:r>
      <w:r>
        <w:rPr>
          <w:rFonts w:ascii="Times New Roman" w:hAnsi="Times New Roman" w:eastAsia="Times New Roman" w:cs="Times New Roman"/>
          <w:spacing w:val="-5"/>
          <w:sz w:val="24"/>
          <w:szCs w:val="24"/>
        </w:rPr>
        <w:t>1</w:t>
      </w:r>
      <w:r>
        <w:rPr>
          <w:rFonts w:ascii="黑体" w:hAnsi="黑体" w:eastAsia="黑体" w:cs="黑体"/>
          <w:spacing w:val="-5"/>
          <w:sz w:val="24"/>
          <w:szCs w:val="24"/>
        </w:rPr>
        <w:t>：评标委员会签到表</w:t>
      </w:r>
    </w:p>
    <w:p w14:paraId="7998282F">
      <w:pPr>
        <w:spacing w:before="290" w:line="218" w:lineRule="auto"/>
        <w:ind w:left="5544"/>
        <w:rPr>
          <w:rFonts w:ascii="黑体" w:hAnsi="黑体" w:eastAsia="黑体" w:cs="黑体"/>
          <w:sz w:val="36"/>
          <w:szCs w:val="36"/>
        </w:rPr>
      </w:pPr>
      <w:bookmarkStart w:id="180" w:name="bookmark216"/>
      <w:bookmarkEnd w:id="180"/>
      <w:r>
        <w:rPr>
          <w:rFonts w:ascii="黑体" w:hAnsi="黑体" w:eastAsia="黑体" w:cs="黑体"/>
          <w:spacing w:val="-2"/>
          <w:sz w:val="36"/>
          <w:szCs w:val="36"/>
        </w:rPr>
        <w:t>评标委员会签到表</w:t>
      </w:r>
    </w:p>
    <w:p w14:paraId="1AE6C5DC">
      <w:pPr>
        <w:spacing w:before="236" w:line="221" w:lineRule="auto"/>
        <w:rPr>
          <w:rFonts w:ascii="宋体" w:hAnsi="宋体" w:eastAsia="宋体" w:cs="宋体"/>
          <w:sz w:val="21"/>
          <w:szCs w:val="21"/>
        </w:rPr>
      </w:pPr>
      <w:r>
        <w:rPr>
          <w:rFonts w:ascii="宋体" w:hAnsi="宋体" w:eastAsia="宋体" w:cs="宋体"/>
          <w:spacing w:val="-9"/>
          <w:sz w:val="21"/>
          <w:szCs w:val="21"/>
        </w:rPr>
        <w:t>标段名称：</w:t>
      </w:r>
    </w:p>
    <w:p w14:paraId="158E81A4">
      <w:pPr>
        <w:spacing w:before="21" w:line="186" w:lineRule="auto"/>
        <w:rPr>
          <w:rFonts w:ascii="宋体" w:hAnsi="宋体" w:eastAsia="宋体" w:cs="宋体"/>
          <w:sz w:val="21"/>
          <w:szCs w:val="21"/>
        </w:rPr>
      </w:pPr>
      <w:r>
        <w:rPr>
          <w:rFonts w:ascii="宋体" w:hAnsi="宋体" w:eastAsia="宋体" w:cs="宋体"/>
          <w:spacing w:val="-1"/>
          <w:sz w:val="21"/>
          <w:szCs w:val="21"/>
        </w:rPr>
        <w:t>标段唯一标识码</w:t>
      </w:r>
    </w:p>
    <w:p w14:paraId="62836A2A">
      <w:pPr>
        <w:pStyle w:val="3"/>
        <w:spacing w:line="14" w:lineRule="auto"/>
        <w:rPr>
          <w:sz w:val="2"/>
        </w:rPr>
      </w:pPr>
      <w:r>
        <w:rPr>
          <w:sz w:val="2"/>
          <w:szCs w:val="2"/>
        </w:rPr>
        <w:br w:type="column"/>
      </w:r>
    </w:p>
    <w:p w14:paraId="1389EBCB">
      <w:pPr>
        <w:pStyle w:val="3"/>
        <w:spacing w:line="246" w:lineRule="auto"/>
      </w:pPr>
    </w:p>
    <w:p w14:paraId="0DDE4C7E">
      <w:pPr>
        <w:pStyle w:val="3"/>
        <w:spacing w:line="246" w:lineRule="auto"/>
      </w:pPr>
    </w:p>
    <w:p w14:paraId="126DCF7F">
      <w:pPr>
        <w:pStyle w:val="3"/>
        <w:spacing w:line="246" w:lineRule="auto"/>
      </w:pPr>
    </w:p>
    <w:p w14:paraId="656D463B">
      <w:pPr>
        <w:pStyle w:val="3"/>
        <w:spacing w:line="246" w:lineRule="auto"/>
      </w:pPr>
    </w:p>
    <w:p w14:paraId="3AE37C43">
      <w:pPr>
        <w:pStyle w:val="3"/>
        <w:spacing w:line="246" w:lineRule="auto"/>
      </w:pPr>
    </w:p>
    <w:p w14:paraId="73263E60">
      <w:pPr>
        <w:pStyle w:val="3"/>
        <w:spacing w:line="247" w:lineRule="auto"/>
      </w:pPr>
    </w:p>
    <w:p w14:paraId="3497FA1A">
      <w:pPr>
        <w:spacing w:before="68" w:line="186" w:lineRule="auto"/>
        <w:rPr>
          <w:rFonts w:ascii="宋体" w:hAnsi="宋体" w:eastAsia="宋体" w:cs="宋体"/>
          <w:sz w:val="21"/>
          <w:szCs w:val="21"/>
        </w:rPr>
      </w:pPr>
      <w:r>
        <w:rPr>
          <w:rFonts w:ascii="宋体" w:hAnsi="宋体" w:eastAsia="宋体" w:cs="宋体"/>
          <w:spacing w:val="-13"/>
          <w:sz w:val="21"/>
          <w:szCs w:val="21"/>
        </w:rPr>
        <w:t>评标时间：      年</w:t>
      </w:r>
      <w:r>
        <w:rPr>
          <w:rFonts w:ascii="宋体" w:hAnsi="宋体" w:eastAsia="宋体" w:cs="宋体"/>
          <w:spacing w:val="7"/>
          <w:sz w:val="21"/>
          <w:szCs w:val="21"/>
        </w:rPr>
        <w:t xml:space="preserve">  </w:t>
      </w:r>
      <w:r>
        <w:rPr>
          <w:rFonts w:ascii="宋体" w:hAnsi="宋体" w:eastAsia="宋体" w:cs="宋体"/>
          <w:spacing w:val="-13"/>
          <w:sz w:val="21"/>
          <w:szCs w:val="21"/>
        </w:rPr>
        <w:t>月</w:t>
      </w:r>
      <w:r>
        <w:rPr>
          <w:rFonts w:ascii="宋体" w:hAnsi="宋体" w:eastAsia="宋体" w:cs="宋体"/>
          <w:spacing w:val="23"/>
          <w:sz w:val="21"/>
          <w:szCs w:val="21"/>
        </w:rPr>
        <w:t xml:space="preserve">  </w:t>
      </w:r>
      <w:r>
        <w:rPr>
          <w:rFonts w:ascii="宋体" w:hAnsi="宋体" w:eastAsia="宋体" w:cs="宋体"/>
          <w:spacing w:val="-13"/>
          <w:sz w:val="21"/>
          <w:szCs w:val="21"/>
        </w:rPr>
        <w:t>日</w:t>
      </w:r>
    </w:p>
    <w:p w14:paraId="5EBBEB4E">
      <w:pPr>
        <w:spacing w:line="186" w:lineRule="auto"/>
        <w:rPr>
          <w:rFonts w:ascii="宋体" w:hAnsi="宋体" w:eastAsia="宋体" w:cs="宋体"/>
          <w:sz w:val="21"/>
          <w:szCs w:val="21"/>
        </w:rPr>
        <w:sectPr>
          <w:type w:val="continuous"/>
          <w:pgSz w:w="16839" w:h="11905"/>
          <w:pgMar w:top="1011" w:right="1483" w:bottom="991" w:left="1449" w:header="0" w:footer="786" w:gutter="0"/>
          <w:pgNumType w:fmt="decimal"/>
          <w:cols w:equalWidth="0" w:num="2">
            <w:col w:w="10563" w:space="100"/>
            <w:col w:w="3244"/>
          </w:cols>
        </w:sectPr>
      </w:pPr>
    </w:p>
    <w:p w14:paraId="7F6489E9">
      <w:pPr>
        <w:spacing w:line="32" w:lineRule="exact"/>
      </w:pPr>
    </w:p>
    <w:tbl>
      <w:tblPr>
        <w:tblStyle w:val="10"/>
        <w:tblW w:w="13856" w:type="dxa"/>
        <w:tblInd w:w="46"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11"/>
        <w:gridCol w:w="1166"/>
        <w:gridCol w:w="1795"/>
        <w:gridCol w:w="1934"/>
        <w:gridCol w:w="1790"/>
        <w:gridCol w:w="1430"/>
        <w:gridCol w:w="1522"/>
        <w:gridCol w:w="1704"/>
        <w:gridCol w:w="1704"/>
      </w:tblGrid>
      <w:tr w14:paraId="4E66CE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811" w:type="dxa"/>
            <w:tcBorders>
              <w:bottom w:val="single" w:color="000000" w:sz="4" w:space="0"/>
            </w:tcBorders>
            <w:vAlign w:val="top"/>
          </w:tcPr>
          <w:p w14:paraId="5A5CE723">
            <w:pPr>
              <w:pStyle w:val="11"/>
              <w:spacing w:before="255" w:line="222" w:lineRule="auto"/>
              <w:ind w:left="194"/>
            </w:pPr>
            <w:r>
              <w:rPr>
                <w:spacing w:val="-2"/>
                <w14:textOutline w14:w="3831" w14:cap="flat" w14:cmpd="sng">
                  <w14:solidFill>
                    <w14:srgbClr w14:val="000000"/>
                  </w14:solidFill>
                  <w14:prstDash w14:val="solid"/>
                  <w14:miter w14:val="0"/>
                </w14:textOutline>
              </w:rPr>
              <w:t>序号</w:t>
            </w:r>
          </w:p>
        </w:tc>
        <w:tc>
          <w:tcPr>
            <w:tcW w:w="1166" w:type="dxa"/>
            <w:tcBorders>
              <w:bottom w:val="single" w:color="000000" w:sz="4" w:space="0"/>
            </w:tcBorders>
            <w:vAlign w:val="top"/>
          </w:tcPr>
          <w:p w14:paraId="0F3532EA">
            <w:pPr>
              <w:pStyle w:val="11"/>
              <w:spacing w:before="254" w:line="221" w:lineRule="auto"/>
              <w:ind w:left="373"/>
            </w:pPr>
            <w:r>
              <w:rPr>
                <w:spacing w:val="-2"/>
                <w14:textOutline w14:w="3831" w14:cap="flat" w14:cmpd="sng">
                  <w14:solidFill>
                    <w14:srgbClr w14:val="000000"/>
                  </w14:solidFill>
                  <w14:prstDash w14:val="solid"/>
                  <w14:miter w14:val="0"/>
                </w14:textOutline>
              </w:rPr>
              <w:t>姓名</w:t>
            </w:r>
          </w:p>
        </w:tc>
        <w:tc>
          <w:tcPr>
            <w:tcW w:w="1795" w:type="dxa"/>
            <w:tcBorders>
              <w:bottom w:val="single" w:color="000000" w:sz="4" w:space="0"/>
            </w:tcBorders>
            <w:vAlign w:val="top"/>
          </w:tcPr>
          <w:p w14:paraId="30A14CF8">
            <w:pPr>
              <w:pStyle w:val="11"/>
              <w:spacing w:before="255" w:line="221" w:lineRule="auto"/>
              <w:ind w:left="474"/>
            </w:pPr>
            <w:r>
              <w:rPr>
                <w:spacing w:val="-1"/>
                <w14:textOutline w14:w="3831" w14:cap="flat" w14:cmpd="sng">
                  <w14:solidFill>
                    <w14:srgbClr w14:val="000000"/>
                  </w14:solidFill>
                  <w14:prstDash w14:val="solid"/>
                  <w14:miter w14:val="0"/>
                </w14:textOutline>
              </w:rPr>
              <w:t>所在单位</w:t>
            </w:r>
          </w:p>
        </w:tc>
        <w:tc>
          <w:tcPr>
            <w:tcW w:w="1934" w:type="dxa"/>
            <w:tcBorders>
              <w:bottom w:val="single" w:color="000000" w:sz="4" w:space="0"/>
            </w:tcBorders>
            <w:vAlign w:val="top"/>
          </w:tcPr>
          <w:p w14:paraId="7F6E1BA5">
            <w:pPr>
              <w:pStyle w:val="11"/>
              <w:spacing w:before="254" w:line="221" w:lineRule="auto"/>
              <w:ind w:left="548"/>
            </w:pPr>
            <w:r>
              <w:rPr>
                <w:spacing w:val="-2"/>
                <w14:textOutline w14:w="3831" w14:cap="flat" w14:cmpd="sng">
                  <w14:solidFill>
                    <w14:srgbClr w14:val="000000"/>
                  </w14:solidFill>
                  <w14:prstDash w14:val="solid"/>
                  <w14:miter w14:val="0"/>
                </w14:textOutline>
              </w:rPr>
              <w:t>身份证号</w:t>
            </w:r>
          </w:p>
        </w:tc>
        <w:tc>
          <w:tcPr>
            <w:tcW w:w="1790" w:type="dxa"/>
            <w:tcBorders>
              <w:bottom w:val="single" w:color="000000" w:sz="4" w:space="0"/>
            </w:tcBorders>
            <w:vAlign w:val="top"/>
          </w:tcPr>
          <w:p w14:paraId="5A7E228C">
            <w:pPr>
              <w:pStyle w:val="11"/>
              <w:spacing w:before="255" w:line="222" w:lineRule="auto"/>
              <w:ind w:left="477"/>
            </w:pPr>
            <w:r>
              <w:rPr>
                <w:spacing w:val="-1"/>
                <w14:textOutline w14:w="3831" w14:cap="flat" w14:cmpd="sng">
                  <w14:solidFill>
                    <w14:srgbClr w14:val="000000"/>
                  </w14:solidFill>
                  <w14:prstDash w14:val="solid"/>
                  <w14:miter w14:val="0"/>
                </w14:textOutline>
              </w:rPr>
              <w:t>联系方式</w:t>
            </w:r>
          </w:p>
        </w:tc>
        <w:tc>
          <w:tcPr>
            <w:tcW w:w="1430" w:type="dxa"/>
            <w:tcBorders>
              <w:bottom w:val="single" w:color="000000" w:sz="4" w:space="0"/>
            </w:tcBorders>
            <w:vAlign w:val="top"/>
          </w:tcPr>
          <w:p w14:paraId="349F48FF">
            <w:pPr>
              <w:pStyle w:val="11"/>
              <w:spacing w:before="254" w:line="221" w:lineRule="auto"/>
              <w:ind w:left="293"/>
            </w:pPr>
            <w:r>
              <w:rPr>
                <w:spacing w:val="-1"/>
                <w14:textOutline w14:w="3831" w14:cap="flat" w14:cmpd="sng">
                  <w14:solidFill>
                    <w14:srgbClr w14:val="000000"/>
                  </w14:solidFill>
                  <w14:prstDash w14:val="solid"/>
                  <w14:miter w14:val="0"/>
                </w14:textOutline>
              </w:rPr>
              <w:t>评审内容</w:t>
            </w:r>
          </w:p>
        </w:tc>
        <w:tc>
          <w:tcPr>
            <w:tcW w:w="1522" w:type="dxa"/>
            <w:tcBorders>
              <w:bottom w:val="single" w:color="000000" w:sz="4" w:space="0"/>
            </w:tcBorders>
            <w:vAlign w:val="top"/>
          </w:tcPr>
          <w:p w14:paraId="07DE2F88">
            <w:pPr>
              <w:pStyle w:val="11"/>
              <w:spacing w:before="255" w:line="220" w:lineRule="auto"/>
              <w:ind w:left="342"/>
            </w:pPr>
            <w:r>
              <w:rPr>
                <w:spacing w:val="-1"/>
                <w14:textOutline w14:w="3831" w14:cap="flat" w14:cmpd="sng">
                  <w14:solidFill>
                    <w14:srgbClr w14:val="000000"/>
                  </w14:solidFill>
                  <w14:prstDash w14:val="solid"/>
                  <w14:miter w14:val="0"/>
                </w14:textOutline>
              </w:rPr>
              <w:t>评审角色</w:t>
            </w:r>
          </w:p>
        </w:tc>
        <w:tc>
          <w:tcPr>
            <w:tcW w:w="1704" w:type="dxa"/>
            <w:tcBorders>
              <w:bottom w:val="single" w:color="000000" w:sz="4" w:space="0"/>
            </w:tcBorders>
            <w:vAlign w:val="top"/>
          </w:tcPr>
          <w:p w14:paraId="2C8B1C4B">
            <w:pPr>
              <w:pStyle w:val="11"/>
              <w:spacing w:before="255" w:line="221" w:lineRule="auto"/>
              <w:ind w:left="222"/>
            </w:pPr>
            <w:r>
              <w:rPr>
                <w:spacing w:val="-1"/>
                <w14:textOutline w14:w="3831" w14:cap="flat" w14:cmpd="sng">
                  <w14:solidFill>
                    <w14:srgbClr w14:val="000000"/>
                  </w14:solidFill>
                  <w14:prstDash w14:val="solid"/>
                  <w14:miter w14:val="0"/>
                </w14:textOutline>
              </w:rPr>
              <w:t>评标签到时间</w:t>
            </w:r>
          </w:p>
        </w:tc>
        <w:tc>
          <w:tcPr>
            <w:tcW w:w="1704" w:type="dxa"/>
            <w:tcBorders>
              <w:bottom w:val="single" w:color="000000" w:sz="4" w:space="0"/>
            </w:tcBorders>
            <w:vAlign w:val="top"/>
          </w:tcPr>
          <w:p w14:paraId="2910C53F">
            <w:pPr>
              <w:pStyle w:val="11"/>
              <w:spacing w:before="255" w:line="224" w:lineRule="auto"/>
              <w:ind w:left="641"/>
            </w:pPr>
            <w:r>
              <w:rPr>
                <w:spacing w:val="-2"/>
                <w14:textOutline w14:w="3831" w14:cap="flat" w14:cmpd="sng">
                  <w14:solidFill>
                    <w14:srgbClr w14:val="000000"/>
                  </w14:solidFill>
                  <w14:prstDash w14:val="solid"/>
                  <w14:miter w14:val="0"/>
                </w14:textOutline>
              </w:rPr>
              <w:t>签名</w:t>
            </w:r>
          </w:p>
        </w:tc>
      </w:tr>
      <w:tr w14:paraId="4454F5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9" w:hRule="atLeast"/>
        </w:trPr>
        <w:tc>
          <w:tcPr>
            <w:tcW w:w="811" w:type="dxa"/>
            <w:tcBorders>
              <w:top w:val="single" w:color="000000" w:sz="4" w:space="0"/>
            </w:tcBorders>
            <w:vAlign w:val="top"/>
          </w:tcPr>
          <w:p w14:paraId="0C126D6A">
            <w:pPr>
              <w:pStyle w:val="11"/>
              <w:spacing w:before="281" w:line="183" w:lineRule="auto"/>
              <w:ind w:left="369"/>
            </w:pPr>
            <w:r>
              <w:t>1</w:t>
            </w:r>
          </w:p>
        </w:tc>
        <w:tc>
          <w:tcPr>
            <w:tcW w:w="1166" w:type="dxa"/>
            <w:tcBorders>
              <w:top w:val="single" w:color="000000" w:sz="4" w:space="0"/>
            </w:tcBorders>
            <w:vAlign w:val="top"/>
          </w:tcPr>
          <w:p w14:paraId="686F215D">
            <w:pPr>
              <w:rPr>
                <w:rFonts w:ascii="Arial"/>
                <w:sz w:val="21"/>
              </w:rPr>
            </w:pPr>
          </w:p>
        </w:tc>
        <w:tc>
          <w:tcPr>
            <w:tcW w:w="1795" w:type="dxa"/>
            <w:tcBorders>
              <w:top w:val="single" w:color="000000" w:sz="4" w:space="0"/>
            </w:tcBorders>
            <w:vAlign w:val="top"/>
          </w:tcPr>
          <w:p w14:paraId="77876C7D">
            <w:pPr>
              <w:rPr>
                <w:rFonts w:ascii="Arial"/>
                <w:sz w:val="21"/>
              </w:rPr>
            </w:pPr>
          </w:p>
        </w:tc>
        <w:tc>
          <w:tcPr>
            <w:tcW w:w="1934" w:type="dxa"/>
            <w:tcBorders>
              <w:top w:val="single" w:color="000000" w:sz="4" w:space="0"/>
            </w:tcBorders>
            <w:vAlign w:val="top"/>
          </w:tcPr>
          <w:p w14:paraId="329ED2BB">
            <w:pPr>
              <w:rPr>
                <w:rFonts w:ascii="Arial"/>
                <w:sz w:val="21"/>
              </w:rPr>
            </w:pPr>
          </w:p>
        </w:tc>
        <w:tc>
          <w:tcPr>
            <w:tcW w:w="1790" w:type="dxa"/>
            <w:tcBorders>
              <w:top w:val="single" w:color="000000" w:sz="4" w:space="0"/>
            </w:tcBorders>
            <w:vAlign w:val="top"/>
          </w:tcPr>
          <w:p w14:paraId="2C0CF28F">
            <w:pPr>
              <w:rPr>
                <w:rFonts w:ascii="Arial"/>
                <w:sz w:val="21"/>
              </w:rPr>
            </w:pPr>
          </w:p>
        </w:tc>
        <w:tc>
          <w:tcPr>
            <w:tcW w:w="1430" w:type="dxa"/>
            <w:tcBorders>
              <w:top w:val="single" w:color="000000" w:sz="4" w:space="0"/>
            </w:tcBorders>
            <w:vAlign w:val="top"/>
          </w:tcPr>
          <w:p w14:paraId="01E6CAEA">
            <w:pPr>
              <w:rPr>
                <w:rFonts w:ascii="Arial"/>
                <w:sz w:val="21"/>
              </w:rPr>
            </w:pPr>
          </w:p>
        </w:tc>
        <w:tc>
          <w:tcPr>
            <w:tcW w:w="1522" w:type="dxa"/>
            <w:tcBorders>
              <w:top w:val="single" w:color="000000" w:sz="4" w:space="0"/>
            </w:tcBorders>
            <w:vAlign w:val="top"/>
          </w:tcPr>
          <w:p w14:paraId="57BCF4A6">
            <w:pPr>
              <w:rPr>
                <w:rFonts w:ascii="Arial"/>
                <w:sz w:val="21"/>
              </w:rPr>
            </w:pPr>
          </w:p>
        </w:tc>
        <w:tc>
          <w:tcPr>
            <w:tcW w:w="1704" w:type="dxa"/>
            <w:tcBorders>
              <w:top w:val="single" w:color="000000" w:sz="4" w:space="0"/>
            </w:tcBorders>
            <w:vAlign w:val="top"/>
          </w:tcPr>
          <w:p w14:paraId="5B7560A4">
            <w:pPr>
              <w:rPr>
                <w:rFonts w:ascii="Arial"/>
                <w:sz w:val="21"/>
              </w:rPr>
            </w:pPr>
          </w:p>
        </w:tc>
        <w:tc>
          <w:tcPr>
            <w:tcW w:w="1704" w:type="dxa"/>
            <w:tcBorders>
              <w:top w:val="single" w:color="000000" w:sz="4" w:space="0"/>
            </w:tcBorders>
            <w:vAlign w:val="top"/>
          </w:tcPr>
          <w:p w14:paraId="1F8D4DFF">
            <w:pPr>
              <w:rPr>
                <w:rFonts w:ascii="Arial"/>
                <w:sz w:val="21"/>
              </w:rPr>
            </w:pPr>
          </w:p>
        </w:tc>
      </w:tr>
      <w:tr w14:paraId="12777B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3" w:hRule="atLeast"/>
        </w:trPr>
        <w:tc>
          <w:tcPr>
            <w:tcW w:w="811" w:type="dxa"/>
            <w:tcBorders>
              <w:bottom w:val="single" w:color="000000" w:sz="4" w:space="0"/>
            </w:tcBorders>
            <w:vAlign w:val="top"/>
          </w:tcPr>
          <w:p w14:paraId="3E378BD1">
            <w:pPr>
              <w:pStyle w:val="11"/>
              <w:spacing w:before="287" w:line="182" w:lineRule="auto"/>
              <w:ind w:left="356"/>
            </w:pPr>
            <w:r>
              <w:t>2</w:t>
            </w:r>
          </w:p>
        </w:tc>
        <w:tc>
          <w:tcPr>
            <w:tcW w:w="1166" w:type="dxa"/>
            <w:tcBorders>
              <w:bottom w:val="single" w:color="000000" w:sz="4" w:space="0"/>
            </w:tcBorders>
            <w:vAlign w:val="top"/>
          </w:tcPr>
          <w:p w14:paraId="093D643D">
            <w:pPr>
              <w:rPr>
                <w:rFonts w:ascii="Arial"/>
                <w:sz w:val="21"/>
              </w:rPr>
            </w:pPr>
          </w:p>
        </w:tc>
        <w:tc>
          <w:tcPr>
            <w:tcW w:w="1795" w:type="dxa"/>
            <w:tcBorders>
              <w:bottom w:val="single" w:color="000000" w:sz="4" w:space="0"/>
            </w:tcBorders>
            <w:vAlign w:val="top"/>
          </w:tcPr>
          <w:p w14:paraId="6E690D8D">
            <w:pPr>
              <w:rPr>
                <w:rFonts w:ascii="Arial"/>
                <w:sz w:val="21"/>
              </w:rPr>
            </w:pPr>
          </w:p>
        </w:tc>
        <w:tc>
          <w:tcPr>
            <w:tcW w:w="1934" w:type="dxa"/>
            <w:tcBorders>
              <w:bottom w:val="single" w:color="000000" w:sz="4" w:space="0"/>
            </w:tcBorders>
            <w:vAlign w:val="top"/>
          </w:tcPr>
          <w:p w14:paraId="0B9682BA">
            <w:pPr>
              <w:rPr>
                <w:rFonts w:ascii="Arial"/>
                <w:sz w:val="21"/>
              </w:rPr>
            </w:pPr>
          </w:p>
        </w:tc>
        <w:tc>
          <w:tcPr>
            <w:tcW w:w="1790" w:type="dxa"/>
            <w:tcBorders>
              <w:bottom w:val="single" w:color="000000" w:sz="4" w:space="0"/>
            </w:tcBorders>
            <w:vAlign w:val="top"/>
          </w:tcPr>
          <w:p w14:paraId="4B9884E0">
            <w:pPr>
              <w:rPr>
                <w:rFonts w:ascii="Arial"/>
                <w:sz w:val="21"/>
              </w:rPr>
            </w:pPr>
          </w:p>
        </w:tc>
        <w:tc>
          <w:tcPr>
            <w:tcW w:w="1430" w:type="dxa"/>
            <w:tcBorders>
              <w:bottom w:val="single" w:color="000000" w:sz="4" w:space="0"/>
            </w:tcBorders>
            <w:vAlign w:val="top"/>
          </w:tcPr>
          <w:p w14:paraId="549AC7BD">
            <w:pPr>
              <w:rPr>
                <w:rFonts w:ascii="Arial"/>
                <w:sz w:val="21"/>
              </w:rPr>
            </w:pPr>
          </w:p>
        </w:tc>
        <w:tc>
          <w:tcPr>
            <w:tcW w:w="1522" w:type="dxa"/>
            <w:tcBorders>
              <w:bottom w:val="single" w:color="000000" w:sz="4" w:space="0"/>
            </w:tcBorders>
            <w:vAlign w:val="top"/>
          </w:tcPr>
          <w:p w14:paraId="0D3F187E">
            <w:pPr>
              <w:rPr>
                <w:rFonts w:ascii="Arial"/>
                <w:sz w:val="21"/>
              </w:rPr>
            </w:pPr>
          </w:p>
        </w:tc>
        <w:tc>
          <w:tcPr>
            <w:tcW w:w="1704" w:type="dxa"/>
            <w:tcBorders>
              <w:bottom w:val="single" w:color="000000" w:sz="4" w:space="0"/>
            </w:tcBorders>
            <w:vAlign w:val="top"/>
          </w:tcPr>
          <w:p w14:paraId="261E5D8B">
            <w:pPr>
              <w:rPr>
                <w:rFonts w:ascii="Arial"/>
                <w:sz w:val="21"/>
              </w:rPr>
            </w:pPr>
          </w:p>
        </w:tc>
        <w:tc>
          <w:tcPr>
            <w:tcW w:w="1704" w:type="dxa"/>
            <w:tcBorders>
              <w:bottom w:val="single" w:color="000000" w:sz="4" w:space="0"/>
            </w:tcBorders>
            <w:vAlign w:val="top"/>
          </w:tcPr>
          <w:p w14:paraId="1A8AF5A1">
            <w:pPr>
              <w:rPr>
                <w:rFonts w:ascii="Arial"/>
                <w:sz w:val="21"/>
              </w:rPr>
            </w:pPr>
          </w:p>
        </w:tc>
      </w:tr>
      <w:tr w14:paraId="4D7B27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9" w:hRule="atLeast"/>
        </w:trPr>
        <w:tc>
          <w:tcPr>
            <w:tcW w:w="811" w:type="dxa"/>
            <w:tcBorders>
              <w:top w:val="single" w:color="000000" w:sz="4" w:space="0"/>
            </w:tcBorders>
            <w:vAlign w:val="top"/>
          </w:tcPr>
          <w:p w14:paraId="4A43D1E6">
            <w:pPr>
              <w:pStyle w:val="11"/>
              <w:spacing w:before="284" w:line="182" w:lineRule="auto"/>
              <w:ind w:left="357"/>
            </w:pPr>
            <w:r>
              <w:t>3</w:t>
            </w:r>
          </w:p>
        </w:tc>
        <w:tc>
          <w:tcPr>
            <w:tcW w:w="1166" w:type="dxa"/>
            <w:tcBorders>
              <w:top w:val="single" w:color="000000" w:sz="4" w:space="0"/>
            </w:tcBorders>
            <w:vAlign w:val="top"/>
          </w:tcPr>
          <w:p w14:paraId="2FF77DEB">
            <w:pPr>
              <w:rPr>
                <w:rFonts w:ascii="Arial"/>
                <w:sz w:val="21"/>
              </w:rPr>
            </w:pPr>
          </w:p>
        </w:tc>
        <w:tc>
          <w:tcPr>
            <w:tcW w:w="1795" w:type="dxa"/>
            <w:tcBorders>
              <w:top w:val="single" w:color="000000" w:sz="4" w:space="0"/>
            </w:tcBorders>
            <w:vAlign w:val="top"/>
          </w:tcPr>
          <w:p w14:paraId="36696DEF">
            <w:pPr>
              <w:rPr>
                <w:rFonts w:ascii="Arial"/>
                <w:sz w:val="21"/>
              </w:rPr>
            </w:pPr>
          </w:p>
        </w:tc>
        <w:tc>
          <w:tcPr>
            <w:tcW w:w="1934" w:type="dxa"/>
            <w:tcBorders>
              <w:top w:val="single" w:color="000000" w:sz="4" w:space="0"/>
            </w:tcBorders>
            <w:vAlign w:val="top"/>
          </w:tcPr>
          <w:p w14:paraId="035E4FB6">
            <w:pPr>
              <w:rPr>
                <w:rFonts w:ascii="Arial"/>
                <w:sz w:val="21"/>
              </w:rPr>
            </w:pPr>
          </w:p>
        </w:tc>
        <w:tc>
          <w:tcPr>
            <w:tcW w:w="1790" w:type="dxa"/>
            <w:tcBorders>
              <w:top w:val="single" w:color="000000" w:sz="4" w:space="0"/>
            </w:tcBorders>
            <w:vAlign w:val="top"/>
          </w:tcPr>
          <w:p w14:paraId="23D2ED17">
            <w:pPr>
              <w:rPr>
                <w:rFonts w:ascii="Arial"/>
                <w:sz w:val="21"/>
              </w:rPr>
            </w:pPr>
          </w:p>
        </w:tc>
        <w:tc>
          <w:tcPr>
            <w:tcW w:w="1430" w:type="dxa"/>
            <w:tcBorders>
              <w:top w:val="single" w:color="000000" w:sz="4" w:space="0"/>
            </w:tcBorders>
            <w:vAlign w:val="top"/>
          </w:tcPr>
          <w:p w14:paraId="73236C8A">
            <w:pPr>
              <w:rPr>
                <w:rFonts w:ascii="Arial"/>
                <w:sz w:val="21"/>
              </w:rPr>
            </w:pPr>
          </w:p>
        </w:tc>
        <w:tc>
          <w:tcPr>
            <w:tcW w:w="1522" w:type="dxa"/>
            <w:tcBorders>
              <w:top w:val="single" w:color="000000" w:sz="4" w:space="0"/>
            </w:tcBorders>
            <w:vAlign w:val="top"/>
          </w:tcPr>
          <w:p w14:paraId="60B79F78">
            <w:pPr>
              <w:rPr>
                <w:rFonts w:ascii="Arial"/>
                <w:sz w:val="21"/>
              </w:rPr>
            </w:pPr>
          </w:p>
        </w:tc>
        <w:tc>
          <w:tcPr>
            <w:tcW w:w="1704" w:type="dxa"/>
            <w:tcBorders>
              <w:top w:val="single" w:color="000000" w:sz="4" w:space="0"/>
            </w:tcBorders>
            <w:vAlign w:val="top"/>
          </w:tcPr>
          <w:p w14:paraId="1D2950DE">
            <w:pPr>
              <w:rPr>
                <w:rFonts w:ascii="Arial"/>
                <w:sz w:val="21"/>
              </w:rPr>
            </w:pPr>
          </w:p>
        </w:tc>
        <w:tc>
          <w:tcPr>
            <w:tcW w:w="1704" w:type="dxa"/>
            <w:tcBorders>
              <w:top w:val="single" w:color="000000" w:sz="4" w:space="0"/>
            </w:tcBorders>
            <w:vAlign w:val="top"/>
          </w:tcPr>
          <w:p w14:paraId="1BB98DCD">
            <w:pPr>
              <w:rPr>
                <w:rFonts w:ascii="Arial"/>
                <w:sz w:val="21"/>
              </w:rPr>
            </w:pPr>
          </w:p>
        </w:tc>
      </w:tr>
      <w:tr w14:paraId="1CF1BA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4" w:hRule="atLeast"/>
        </w:trPr>
        <w:tc>
          <w:tcPr>
            <w:tcW w:w="811" w:type="dxa"/>
            <w:vAlign w:val="top"/>
          </w:tcPr>
          <w:p w14:paraId="0CC41F5E">
            <w:pPr>
              <w:pStyle w:val="11"/>
              <w:spacing w:before="289" w:line="182" w:lineRule="auto"/>
              <w:ind w:left="352"/>
            </w:pPr>
            <w:r>
              <w:t>4</w:t>
            </w:r>
          </w:p>
        </w:tc>
        <w:tc>
          <w:tcPr>
            <w:tcW w:w="1166" w:type="dxa"/>
            <w:vAlign w:val="top"/>
          </w:tcPr>
          <w:p w14:paraId="47AC54A6">
            <w:pPr>
              <w:rPr>
                <w:rFonts w:ascii="Arial"/>
                <w:sz w:val="21"/>
              </w:rPr>
            </w:pPr>
          </w:p>
        </w:tc>
        <w:tc>
          <w:tcPr>
            <w:tcW w:w="1795" w:type="dxa"/>
            <w:vAlign w:val="top"/>
          </w:tcPr>
          <w:p w14:paraId="2EFC70F3">
            <w:pPr>
              <w:rPr>
                <w:rFonts w:ascii="Arial"/>
                <w:sz w:val="21"/>
              </w:rPr>
            </w:pPr>
          </w:p>
        </w:tc>
        <w:tc>
          <w:tcPr>
            <w:tcW w:w="1934" w:type="dxa"/>
            <w:vAlign w:val="top"/>
          </w:tcPr>
          <w:p w14:paraId="1EC0F248">
            <w:pPr>
              <w:rPr>
                <w:rFonts w:ascii="Arial"/>
                <w:sz w:val="21"/>
              </w:rPr>
            </w:pPr>
          </w:p>
        </w:tc>
        <w:tc>
          <w:tcPr>
            <w:tcW w:w="1790" w:type="dxa"/>
            <w:vAlign w:val="top"/>
          </w:tcPr>
          <w:p w14:paraId="534B4A5B">
            <w:pPr>
              <w:rPr>
                <w:rFonts w:ascii="Arial"/>
                <w:sz w:val="21"/>
              </w:rPr>
            </w:pPr>
          </w:p>
        </w:tc>
        <w:tc>
          <w:tcPr>
            <w:tcW w:w="1430" w:type="dxa"/>
            <w:vAlign w:val="top"/>
          </w:tcPr>
          <w:p w14:paraId="3099932D">
            <w:pPr>
              <w:rPr>
                <w:rFonts w:ascii="Arial"/>
                <w:sz w:val="21"/>
              </w:rPr>
            </w:pPr>
          </w:p>
        </w:tc>
        <w:tc>
          <w:tcPr>
            <w:tcW w:w="1522" w:type="dxa"/>
            <w:vAlign w:val="top"/>
          </w:tcPr>
          <w:p w14:paraId="5F221ADD">
            <w:pPr>
              <w:rPr>
                <w:rFonts w:ascii="Arial"/>
                <w:sz w:val="21"/>
              </w:rPr>
            </w:pPr>
          </w:p>
        </w:tc>
        <w:tc>
          <w:tcPr>
            <w:tcW w:w="1704" w:type="dxa"/>
            <w:vAlign w:val="top"/>
          </w:tcPr>
          <w:p w14:paraId="6E4FB4F0">
            <w:pPr>
              <w:rPr>
                <w:rFonts w:ascii="Arial"/>
                <w:sz w:val="21"/>
              </w:rPr>
            </w:pPr>
          </w:p>
        </w:tc>
        <w:tc>
          <w:tcPr>
            <w:tcW w:w="1704" w:type="dxa"/>
            <w:vAlign w:val="top"/>
          </w:tcPr>
          <w:p w14:paraId="4B5FD3B2">
            <w:pPr>
              <w:rPr>
                <w:rFonts w:ascii="Arial"/>
                <w:sz w:val="21"/>
              </w:rPr>
            </w:pPr>
          </w:p>
        </w:tc>
      </w:tr>
      <w:tr w14:paraId="656C48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3" w:hRule="atLeast"/>
        </w:trPr>
        <w:tc>
          <w:tcPr>
            <w:tcW w:w="811" w:type="dxa"/>
            <w:vAlign w:val="top"/>
          </w:tcPr>
          <w:p w14:paraId="58614995">
            <w:pPr>
              <w:pStyle w:val="11"/>
              <w:spacing w:before="291" w:line="181" w:lineRule="auto"/>
              <w:ind w:left="357"/>
            </w:pPr>
            <w:r>
              <w:t>5</w:t>
            </w:r>
          </w:p>
        </w:tc>
        <w:tc>
          <w:tcPr>
            <w:tcW w:w="1166" w:type="dxa"/>
            <w:vAlign w:val="top"/>
          </w:tcPr>
          <w:p w14:paraId="4D2A0B36">
            <w:pPr>
              <w:rPr>
                <w:rFonts w:ascii="Arial"/>
                <w:sz w:val="21"/>
              </w:rPr>
            </w:pPr>
          </w:p>
        </w:tc>
        <w:tc>
          <w:tcPr>
            <w:tcW w:w="1795" w:type="dxa"/>
            <w:vAlign w:val="top"/>
          </w:tcPr>
          <w:p w14:paraId="7E0292BA">
            <w:pPr>
              <w:rPr>
                <w:rFonts w:ascii="Arial"/>
                <w:sz w:val="21"/>
              </w:rPr>
            </w:pPr>
          </w:p>
        </w:tc>
        <w:tc>
          <w:tcPr>
            <w:tcW w:w="1934" w:type="dxa"/>
            <w:vAlign w:val="top"/>
          </w:tcPr>
          <w:p w14:paraId="3D123A5B">
            <w:pPr>
              <w:rPr>
                <w:rFonts w:ascii="Arial"/>
                <w:sz w:val="21"/>
              </w:rPr>
            </w:pPr>
          </w:p>
        </w:tc>
        <w:tc>
          <w:tcPr>
            <w:tcW w:w="1790" w:type="dxa"/>
            <w:vAlign w:val="top"/>
          </w:tcPr>
          <w:p w14:paraId="62CBD4A6">
            <w:pPr>
              <w:rPr>
                <w:rFonts w:ascii="Arial"/>
                <w:sz w:val="21"/>
              </w:rPr>
            </w:pPr>
          </w:p>
        </w:tc>
        <w:tc>
          <w:tcPr>
            <w:tcW w:w="1430" w:type="dxa"/>
            <w:vAlign w:val="top"/>
          </w:tcPr>
          <w:p w14:paraId="69755C11">
            <w:pPr>
              <w:rPr>
                <w:rFonts w:ascii="Arial"/>
                <w:sz w:val="21"/>
              </w:rPr>
            </w:pPr>
          </w:p>
        </w:tc>
        <w:tc>
          <w:tcPr>
            <w:tcW w:w="1522" w:type="dxa"/>
            <w:vAlign w:val="top"/>
          </w:tcPr>
          <w:p w14:paraId="3D19F183">
            <w:pPr>
              <w:rPr>
                <w:rFonts w:ascii="Arial"/>
                <w:sz w:val="21"/>
              </w:rPr>
            </w:pPr>
          </w:p>
        </w:tc>
        <w:tc>
          <w:tcPr>
            <w:tcW w:w="1704" w:type="dxa"/>
            <w:vAlign w:val="top"/>
          </w:tcPr>
          <w:p w14:paraId="1B146677">
            <w:pPr>
              <w:rPr>
                <w:rFonts w:ascii="Arial"/>
                <w:sz w:val="21"/>
              </w:rPr>
            </w:pPr>
          </w:p>
        </w:tc>
        <w:tc>
          <w:tcPr>
            <w:tcW w:w="1704" w:type="dxa"/>
            <w:vAlign w:val="top"/>
          </w:tcPr>
          <w:p w14:paraId="753B06B5">
            <w:pPr>
              <w:rPr>
                <w:rFonts w:ascii="Arial"/>
                <w:sz w:val="21"/>
              </w:rPr>
            </w:pPr>
          </w:p>
        </w:tc>
      </w:tr>
      <w:tr w14:paraId="165760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4" w:hRule="atLeast"/>
        </w:trPr>
        <w:tc>
          <w:tcPr>
            <w:tcW w:w="811" w:type="dxa"/>
            <w:vAlign w:val="top"/>
          </w:tcPr>
          <w:p w14:paraId="0D116EF0">
            <w:pPr>
              <w:pStyle w:val="11"/>
              <w:spacing w:before="291" w:line="182" w:lineRule="auto"/>
              <w:ind w:left="355"/>
            </w:pPr>
            <w:r>
              <w:t>6</w:t>
            </w:r>
          </w:p>
        </w:tc>
        <w:tc>
          <w:tcPr>
            <w:tcW w:w="1166" w:type="dxa"/>
            <w:vAlign w:val="top"/>
          </w:tcPr>
          <w:p w14:paraId="3D239D2E">
            <w:pPr>
              <w:rPr>
                <w:rFonts w:ascii="Arial"/>
                <w:sz w:val="21"/>
              </w:rPr>
            </w:pPr>
          </w:p>
        </w:tc>
        <w:tc>
          <w:tcPr>
            <w:tcW w:w="1795" w:type="dxa"/>
            <w:vAlign w:val="top"/>
          </w:tcPr>
          <w:p w14:paraId="50715DA1">
            <w:pPr>
              <w:rPr>
                <w:rFonts w:ascii="Arial"/>
                <w:sz w:val="21"/>
              </w:rPr>
            </w:pPr>
          </w:p>
        </w:tc>
        <w:tc>
          <w:tcPr>
            <w:tcW w:w="1934" w:type="dxa"/>
            <w:vAlign w:val="top"/>
          </w:tcPr>
          <w:p w14:paraId="7EECE4B2">
            <w:pPr>
              <w:rPr>
                <w:rFonts w:ascii="Arial"/>
                <w:sz w:val="21"/>
              </w:rPr>
            </w:pPr>
          </w:p>
        </w:tc>
        <w:tc>
          <w:tcPr>
            <w:tcW w:w="1790" w:type="dxa"/>
            <w:vAlign w:val="top"/>
          </w:tcPr>
          <w:p w14:paraId="5AF2B225">
            <w:pPr>
              <w:rPr>
                <w:rFonts w:ascii="Arial"/>
                <w:sz w:val="21"/>
              </w:rPr>
            </w:pPr>
          </w:p>
        </w:tc>
        <w:tc>
          <w:tcPr>
            <w:tcW w:w="1430" w:type="dxa"/>
            <w:vAlign w:val="top"/>
          </w:tcPr>
          <w:p w14:paraId="64EBE913">
            <w:pPr>
              <w:rPr>
                <w:rFonts w:ascii="Arial"/>
                <w:sz w:val="21"/>
              </w:rPr>
            </w:pPr>
          </w:p>
        </w:tc>
        <w:tc>
          <w:tcPr>
            <w:tcW w:w="1522" w:type="dxa"/>
            <w:vAlign w:val="top"/>
          </w:tcPr>
          <w:p w14:paraId="301AC828">
            <w:pPr>
              <w:rPr>
                <w:rFonts w:ascii="Arial"/>
                <w:sz w:val="21"/>
              </w:rPr>
            </w:pPr>
          </w:p>
        </w:tc>
        <w:tc>
          <w:tcPr>
            <w:tcW w:w="1704" w:type="dxa"/>
            <w:vAlign w:val="top"/>
          </w:tcPr>
          <w:p w14:paraId="21517AF6">
            <w:pPr>
              <w:rPr>
                <w:rFonts w:ascii="Arial"/>
                <w:sz w:val="21"/>
              </w:rPr>
            </w:pPr>
          </w:p>
        </w:tc>
        <w:tc>
          <w:tcPr>
            <w:tcW w:w="1704" w:type="dxa"/>
            <w:vAlign w:val="top"/>
          </w:tcPr>
          <w:p w14:paraId="2C633A28">
            <w:pPr>
              <w:rPr>
                <w:rFonts w:ascii="Arial"/>
                <w:sz w:val="21"/>
              </w:rPr>
            </w:pPr>
          </w:p>
        </w:tc>
      </w:tr>
      <w:tr w14:paraId="628CBB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811" w:type="dxa"/>
            <w:vAlign w:val="top"/>
          </w:tcPr>
          <w:p w14:paraId="3A17C03A">
            <w:pPr>
              <w:pStyle w:val="11"/>
              <w:spacing w:before="297" w:line="181" w:lineRule="auto"/>
              <w:ind w:left="358"/>
            </w:pPr>
            <w:r>
              <w:t>7</w:t>
            </w:r>
          </w:p>
        </w:tc>
        <w:tc>
          <w:tcPr>
            <w:tcW w:w="1166" w:type="dxa"/>
            <w:vAlign w:val="top"/>
          </w:tcPr>
          <w:p w14:paraId="1AB51672">
            <w:pPr>
              <w:rPr>
                <w:rFonts w:ascii="Arial"/>
                <w:sz w:val="21"/>
              </w:rPr>
            </w:pPr>
          </w:p>
        </w:tc>
        <w:tc>
          <w:tcPr>
            <w:tcW w:w="1795" w:type="dxa"/>
            <w:vAlign w:val="top"/>
          </w:tcPr>
          <w:p w14:paraId="03152F67">
            <w:pPr>
              <w:rPr>
                <w:rFonts w:ascii="Arial"/>
                <w:sz w:val="21"/>
              </w:rPr>
            </w:pPr>
          </w:p>
        </w:tc>
        <w:tc>
          <w:tcPr>
            <w:tcW w:w="1934" w:type="dxa"/>
            <w:vAlign w:val="top"/>
          </w:tcPr>
          <w:p w14:paraId="2DFF2501">
            <w:pPr>
              <w:rPr>
                <w:rFonts w:ascii="Arial"/>
                <w:sz w:val="21"/>
              </w:rPr>
            </w:pPr>
          </w:p>
        </w:tc>
        <w:tc>
          <w:tcPr>
            <w:tcW w:w="1790" w:type="dxa"/>
            <w:vAlign w:val="top"/>
          </w:tcPr>
          <w:p w14:paraId="17B27837">
            <w:pPr>
              <w:rPr>
                <w:rFonts w:ascii="Arial"/>
                <w:sz w:val="21"/>
              </w:rPr>
            </w:pPr>
          </w:p>
        </w:tc>
        <w:tc>
          <w:tcPr>
            <w:tcW w:w="1430" w:type="dxa"/>
            <w:vAlign w:val="top"/>
          </w:tcPr>
          <w:p w14:paraId="79216AAC">
            <w:pPr>
              <w:rPr>
                <w:rFonts w:ascii="Arial"/>
                <w:sz w:val="21"/>
              </w:rPr>
            </w:pPr>
          </w:p>
        </w:tc>
        <w:tc>
          <w:tcPr>
            <w:tcW w:w="1522" w:type="dxa"/>
            <w:vAlign w:val="top"/>
          </w:tcPr>
          <w:p w14:paraId="58566F4F">
            <w:pPr>
              <w:rPr>
                <w:rFonts w:ascii="Arial"/>
                <w:sz w:val="21"/>
              </w:rPr>
            </w:pPr>
          </w:p>
        </w:tc>
        <w:tc>
          <w:tcPr>
            <w:tcW w:w="1704" w:type="dxa"/>
            <w:vAlign w:val="top"/>
          </w:tcPr>
          <w:p w14:paraId="48E3E6B7">
            <w:pPr>
              <w:rPr>
                <w:rFonts w:ascii="Arial"/>
                <w:sz w:val="21"/>
              </w:rPr>
            </w:pPr>
          </w:p>
        </w:tc>
        <w:tc>
          <w:tcPr>
            <w:tcW w:w="1704" w:type="dxa"/>
            <w:vAlign w:val="top"/>
          </w:tcPr>
          <w:p w14:paraId="42AEEE9B">
            <w:pPr>
              <w:rPr>
                <w:rFonts w:ascii="Arial"/>
                <w:sz w:val="21"/>
              </w:rPr>
            </w:pPr>
          </w:p>
        </w:tc>
      </w:tr>
    </w:tbl>
    <w:p w14:paraId="38253C58">
      <w:pPr>
        <w:pStyle w:val="3"/>
        <w:spacing w:line="14" w:lineRule="auto"/>
        <w:rPr>
          <w:sz w:val="2"/>
        </w:rPr>
      </w:pPr>
    </w:p>
    <w:p w14:paraId="6E5C4B94">
      <w:pPr>
        <w:spacing w:line="14" w:lineRule="auto"/>
        <w:rPr>
          <w:sz w:val="2"/>
          <w:szCs w:val="2"/>
        </w:rPr>
        <w:sectPr>
          <w:type w:val="continuous"/>
          <w:pgSz w:w="16839" w:h="11905"/>
          <w:pgMar w:top="1011" w:right="1483" w:bottom="991" w:left="1449" w:header="0" w:footer="786" w:gutter="0"/>
          <w:pgNumType w:fmt="decimal"/>
          <w:cols w:equalWidth="0" w:num="1">
            <w:col w:w="13906"/>
          </w:cols>
        </w:sectPr>
      </w:pPr>
    </w:p>
    <w:p w14:paraId="4FE68EC8">
      <w:pPr>
        <w:spacing w:before="124" w:line="219" w:lineRule="auto"/>
        <w:ind w:left="32"/>
        <w:rPr>
          <w:rFonts w:ascii="黑体" w:hAnsi="黑体" w:eastAsia="黑体" w:cs="黑体"/>
          <w:sz w:val="24"/>
          <w:szCs w:val="24"/>
        </w:rPr>
      </w:pPr>
      <w:r>
        <w:rPr>
          <w:rFonts w:ascii="黑体" w:hAnsi="黑体" w:eastAsia="黑体" w:cs="黑体"/>
          <w:spacing w:val="-2"/>
          <w:sz w:val="24"/>
          <w:szCs w:val="24"/>
        </w:rPr>
        <w:t>附表</w:t>
      </w:r>
      <w:r>
        <w:rPr>
          <w:rFonts w:ascii="黑体" w:hAnsi="黑体" w:eastAsia="黑体" w:cs="黑体"/>
          <w:spacing w:val="-54"/>
          <w:sz w:val="24"/>
          <w:szCs w:val="24"/>
        </w:rPr>
        <w:t xml:space="preserve"> </w:t>
      </w:r>
      <w:r>
        <w:rPr>
          <w:rFonts w:ascii="Times New Roman" w:hAnsi="Times New Roman" w:eastAsia="Times New Roman" w:cs="Times New Roman"/>
          <w:spacing w:val="-2"/>
          <w:sz w:val="24"/>
          <w:szCs w:val="24"/>
        </w:rPr>
        <w:t>A-2</w:t>
      </w:r>
      <w:r>
        <w:rPr>
          <w:rFonts w:ascii="黑体" w:hAnsi="黑体" w:eastAsia="黑体" w:cs="黑体"/>
          <w:spacing w:val="-2"/>
          <w:sz w:val="24"/>
          <w:szCs w:val="24"/>
        </w:rPr>
        <w:t>：评标专家告知承诺函</w:t>
      </w:r>
    </w:p>
    <w:p w14:paraId="36C44FF3">
      <w:pPr>
        <w:pStyle w:val="3"/>
        <w:spacing w:line="302" w:lineRule="auto"/>
      </w:pPr>
    </w:p>
    <w:p w14:paraId="31D0DED1">
      <w:pPr>
        <w:pStyle w:val="3"/>
        <w:spacing w:line="303" w:lineRule="auto"/>
      </w:pPr>
    </w:p>
    <w:p w14:paraId="34F41E61">
      <w:pPr>
        <w:spacing w:before="117" w:line="219" w:lineRule="auto"/>
        <w:ind w:left="2558"/>
        <w:rPr>
          <w:rFonts w:ascii="黑体" w:hAnsi="黑体" w:eastAsia="黑体" w:cs="黑体"/>
          <w:sz w:val="36"/>
          <w:szCs w:val="36"/>
        </w:rPr>
      </w:pPr>
      <w:bookmarkStart w:id="181" w:name="bookmark217"/>
      <w:bookmarkEnd w:id="181"/>
      <w:r>
        <w:rPr>
          <w:rFonts w:ascii="黑体" w:hAnsi="黑体" w:eastAsia="黑体" w:cs="黑体"/>
          <w:spacing w:val="-2"/>
          <w:sz w:val="36"/>
          <w:szCs w:val="36"/>
        </w:rPr>
        <w:t>评标专家告知承诺函</w:t>
      </w:r>
    </w:p>
    <w:p w14:paraId="31A61FD7">
      <w:pPr>
        <w:pStyle w:val="3"/>
        <w:spacing w:line="263" w:lineRule="auto"/>
      </w:pPr>
    </w:p>
    <w:p w14:paraId="649E17C4">
      <w:pPr>
        <w:pStyle w:val="3"/>
        <w:spacing w:line="264" w:lineRule="auto"/>
      </w:pPr>
    </w:p>
    <w:p w14:paraId="319FF468">
      <w:pPr>
        <w:spacing w:before="68" w:line="220" w:lineRule="auto"/>
        <w:ind w:left="442"/>
        <w:rPr>
          <w:rFonts w:ascii="宋体" w:hAnsi="宋体" w:eastAsia="宋体" w:cs="宋体"/>
          <w:sz w:val="21"/>
          <w:szCs w:val="21"/>
        </w:rPr>
      </w:pPr>
      <w:r>
        <w:rPr>
          <w:rFonts w:ascii="宋体" w:hAnsi="宋体" w:eastAsia="宋体" w:cs="宋体"/>
          <w:spacing w:val="-6"/>
          <w:sz w:val="21"/>
          <w:szCs w:val="21"/>
        </w:rPr>
        <w:t>本人接受招标人邀请，担任</w:t>
      </w:r>
      <w:r>
        <w:rPr>
          <w:rFonts w:ascii="宋体" w:hAnsi="宋体" w:eastAsia="宋体" w:cs="宋体"/>
          <w:spacing w:val="-42"/>
          <w:sz w:val="21"/>
          <w:szCs w:val="21"/>
        </w:rPr>
        <w:t xml:space="preserve"> </w:t>
      </w:r>
      <w:r>
        <w:rPr>
          <w:rFonts w:ascii="宋体" w:hAnsi="宋体" w:eastAsia="宋体" w:cs="宋体"/>
          <w:spacing w:val="12"/>
          <w:sz w:val="21"/>
          <w:szCs w:val="21"/>
          <w:u w:val="single" w:color="auto"/>
        </w:rPr>
        <w:t xml:space="preserve">        </w:t>
      </w:r>
      <w:r>
        <w:rPr>
          <w:rFonts w:ascii="宋体" w:hAnsi="宋体" w:eastAsia="宋体" w:cs="宋体"/>
          <w:spacing w:val="-16"/>
          <w:sz w:val="21"/>
          <w:szCs w:val="21"/>
        </w:rPr>
        <w:t xml:space="preserve"> </w:t>
      </w:r>
      <w:r>
        <w:rPr>
          <w:rFonts w:ascii="宋体" w:hAnsi="宋体" w:eastAsia="宋体" w:cs="宋体"/>
          <w:spacing w:val="-6"/>
          <w:sz w:val="21"/>
          <w:szCs w:val="21"/>
        </w:rPr>
        <w:t>（标段名称）</w:t>
      </w:r>
      <w:r>
        <w:rPr>
          <w:rFonts w:ascii="宋体" w:hAnsi="宋体" w:eastAsia="宋体" w:cs="宋体"/>
          <w:spacing w:val="-26"/>
          <w:sz w:val="21"/>
          <w:szCs w:val="21"/>
        </w:rPr>
        <w:t xml:space="preserve"> </w:t>
      </w:r>
      <w:r>
        <w:rPr>
          <w:rFonts w:ascii="宋体" w:hAnsi="宋体" w:eastAsia="宋体" w:cs="宋体"/>
          <w:spacing w:val="-6"/>
          <w:sz w:val="21"/>
          <w:szCs w:val="21"/>
        </w:rPr>
        <w:t>项目招标</w:t>
      </w:r>
      <w:r>
        <w:rPr>
          <w:rFonts w:ascii="宋体" w:hAnsi="宋体" w:eastAsia="宋体" w:cs="宋体"/>
          <w:spacing w:val="-7"/>
          <w:sz w:val="21"/>
          <w:szCs w:val="21"/>
        </w:rPr>
        <w:t>的评标专家。</w:t>
      </w:r>
    </w:p>
    <w:p w14:paraId="2F65BFFA">
      <w:pPr>
        <w:spacing w:before="157" w:line="409" w:lineRule="exact"/>
        <w:jc w:val="right"/>
        <w:rPr>
          <w:rFonts w:ascii="宋体" w:hAnsi="宋体" w:eastAsia="宋体" w:cs="宋体"/>
          <w:sz w:val="21"/>
          <w:szCs w:val="21"/>
        </w:rPr>
      </w:pPr>
      <w:r>
        <w:rPr>
          <w:rFonts w:ascii="宋体" w:hAnsi="宋体" w:eastAsia="宋体" w:cs="宋体"/>
          <w:spacing w:val="-1"/>
          <w:position w:val="15"/>
          <w:sz w:val="21"/>
          <w:szCs w:val="21"/>
        </w:rPr>
        <w:t>本人作为辽宁省评标专家库评标专家， 已知悉相关权利义务，已熟知告知承诺函内容，</w:t>
      </w:r>
    </w:p>
    <w:p w14:paraId="7B60E01A">
      <w:pPr>
        <w:spacing w:line="220" w:lineRule="auto"/>
        <w:ind w:left="23"/>
        <w:rPr>
          <w:rFonts w:ascii="宋体" w:hAnsi="宋体" w:eastAsia="宋体" w:cs="宋体"/>
          <w:sz w:val="21"/>
          <w:szCs w:val="21"/>
        </w:rPr>
      </w:pPr>
      <w:r>
        <w:rPr>
          <w:rFonts w:ascii="宋体" w:hAnsi="宋体" w:eastAsia="宋体" w:cs="宋体"/>
          <w:spacing w:val="3"/>
          <w:sz w:val="21"/>
          <w:szCs w:val="21"/>
        </w:rPr>
        <w:t>并在此郑重承诺:</w:t>
      </w:r>
    </w:p>
    <w:p w14:paraId="085DFB2C">
      <w:pPr>
        <w:spacing w:before="156" w:line="221" w:lineRule="auto"/>
        <w:ind w:left="444"/>
        <w:rPr>
          <w:rFonts w:ascii="宋体" w:hAnsi="宋体" w:eastAsia="宋体" w:cs="宋体"/>
          <w:sz w:val="21"/>
          <w:szCs w:val="21"/>
        </w:rPr>
      </w:pPr>
      <w:r>
        <w:rPr>
          <w:rFonts w:ascii="宋体" w:hAnsi="宋体" w:eastAsia="宋体" w:cs="宋体"/>
          <w:spacing w:val="-3"/>
          <w:sz w:val="21"/>
          <w:szCs w:val="21"/>
        </w:rPr>
        <w:t>一、尽职承诺</w:t>
      </w:r>
    </w:p>
    <w:p w14:paraId="13E61912">
      <w:pPr>
        <w:spacing w:before="162" w:line="408" w:lineRule="exact"/>
        <w:ind w:left="447"/>
        <w:rPr>
          <w:rFonts w:ascii="宋体" w:hAnsi="宋体" w:eastAsia="宋体" w:cs="宋体"/>
          <w:sz w:val="21"/>
          <w:szCs w:val="21"/>
        </w:rPr>
      </w:pPr>
      <w:r>
        <w:rPr>
          <w:rFonts w:ascii="宋体" w:hAnsi="宋体" w:eastAsia="宋体" w:cs="宋体"/>
          <w:position w:val="14"/>
          <w:sz w:val="21"/>
          <w:szCs w:val="21"/>
        </w:rPr>
        <w:t>（一）客观、公正地履行职务， 严格按照法律法规规定、评标办法独立完成该</w:t>
      </w:r>
      <w:r>
        <w:rPr>
          <w:rFonts w:ascii="宋体" w:hAnsi="宋体" w:eastAsia="宋体" w:cs="宋体"/>
          <w:spacing w:val="-1"/>
          <w:position w:val="14"/>
          <w:sz w:val="21"/>
          <w:szCs w:val="21"/>
        </w:rPr>
        <w:t>项目的</w:t>
      </w:r>
    </w:p>
    <w:p w14:paraId="7D46E450">
      <w:pPr>
        <w:spacing w:before="1" w:line="221" w:lineRule="auto"/>
        <w:ind w:left="17"/>
        <w:rPr>
          <w:rFonts w:ascii="宋体" w:hAnsi="宋体" w:eastAsia="宋体" w:cs="宋体"/>
          <w:sz w:val="21"/>
          <w:szCs w:val="21"/>
        </w:rPr>
      </w:pPr>
      <w:r>
        <w:rPr>
          <w:rFonts w:ascii="宋体" w:hAnsi="宋体" w:eastAsia="宋体" w:cs="宋体"/>
          <w:spacing w:val="-6"/>
          <w:sz w:val="21"/>
          <w:szCs w:val="21"/>
        </w:rPr>
        <w:t>评标工作。</w:t>
      </w:r>
    </w:p>
    <w:p w14:paraId="363DAE68">
      <w:pPr>
        <w:spacing w:before="156" w:line="408" w:lineRule="exact"/>
        <w:ind w:left="447"/>
        <w:rPr>
          <w:rFonts w:ascii="宋体" w:hAnsi="宋体" w:eastAsia="宋体" w:cs="宋体"/>
          <w:sz w:val="21"/>
          <w:szCs w:val="21"/>
        </w:rPr>
      </w:pPr>
      <w:r>
        <w:rPr>
          <w:rFonts w:ascii="宋体" w:hAnsi="宋体" w:eastAsia="宋体" w:cs="宋体"/>
          <w:spacing w:val="-4"/>
          <w:position w:val="14"/>
          <w:sz w:val="21"/>
          <w:szCs w:val="21"/>
        </w:rPr>
        <w:t>（二） 严格遵守评标纪律， 保证评标过程中不发表任何涉及实质性内容的倾向性、引</w:t>
      </w:r>
    </w:p>
    <w:p w14:paraId="674FCEDE">
      <w:pPr>
        <w:spacing w:before="1" w:line="221" w:lineRule="auto"/>
        <w:ind w:left="24"/>
        <w:rPr>
          <w:rFonts w:ascii="宋体" w:hAnsi="宋体" w:eastAsia="宋体" w:cs="宋体"/>
          <w:sz w:val="21"/>
          <w:szCs w:val="21"/>
        </w:rPr>
      </w:pPr>
      <w:r>
        <w:rPr>
          <w:rFonts w:ascii="宋体" w:hAnsi="宋体" w:eastAsia="宋体" w:cs="宋体"/>
          <w:spacing w:val="-14"/>
          <w:sz w:val="21"/>
          <w:szCs w:val="21"/>
        </w:rPr>
        <w:t>导性言论，</w:t>
      </w:r>
      <w:r>
        <w:rPr>
          <w:rFonts w:ascii="宋体" w:hAnsi="宋体" w:eastAsia="宋体" w:cs="宋体"/>
          <w:spacing w:val="23"/>
          <w:sz w:val="21"/>
          <w:szCs w:val="21"/>
        </w:rPr>
        <w:t xml:space="preserve"> </w:t>
      </w:r>
      <w:r>
        <w:rPr>
          <w:rFonts w:ascii="宋体" w:hAnsi="宋体" w:eastAsia="宋体" w:cs="宋体"/>
          <w:spacing w:val="-14"/>
          <w:sz w:val="21"/>
          <w:szCs w:val="21"/>
        </w:rPr>
        <w:t>不擅离职守。</w:t>
      </w:r>
    </w:p>
    <w:p w14:paraId="2F2C2105">
      <w:pPr>
        <w:spacing w:before="155" w:line="359" w:lineRule="auto"/>
        <w:ind w:left="19" w:right="193" w:firstLine="427"/>
        <w:rPr>
          <w:rFonts w:ascii="宋体" w:hAnsi="宋体" w:eastAsia="宋体" w:cs="宋体"/>
          <w:sz w:val="21"/>
          <w:szCs w:val="21"/>
        </w:rPr>
      </w:pPr>
      <w:r>
        <w:rPr>
          <w:rFonts w:ascii="宋体" w:hAnsi="宋体" w:eastAsia="宋体" w:cs="宋体"/>
          <w:spacing w:val="3"/>
          <w:sz w:val="21"/>
          <w:szCs w:val="21"/>
        </w:rPr>
        <w:t>（三）严格遵守《中华人民共和国招标投标法</w:t>
      </w:r>
      <w:r>
        <w:rPr>
          <w:rFonts w:ascii="宋体" w:hAnsi="宋体" w:eastAsia="宋体" w:cs="宋体"/>
          <w:spacing w:val="2"/>
          <w:sz w:val="21"/>
          <w:szCs w:val="21"/>
        </w:rPr>
        <w:t>》《中华人民共和国保守国家秘密法》</w:t>
      </w:r>
      <w:r>
        <w:rPr>
          <w:rFonts w:ascii="宋体" w:hAnsi="宋体" w:eastAsia="宋体" w:cs="宋体"/>
          <w:sz w:val="21"/>
          <w:szCs w:val="21"/>
        </w:rPr>
        <w:t xml:space="preserve"> </w:t>
      </w:r>
      <w:r>
        <w:rPr>
          <w:rFonts w:ascii="宋体" w:hAnsi="宋体" w:eastAsia="宋体" w:cs="宋体"/>
          <w:spacing w:val="3"/>
          <w:sz w:val="21"/>
          <w:szCs w:val="21"/>
        </w:rPr>
        <w:t>《中华人民共和国招标投标法实施条例》相关规定，遵守职</w:t>
      </w:r>
      <w:r>
        <w:rPr>
          <w:rFonts w:ascii="宋体" w:hAnsi="宋体" w:eastAsia="宋体" w:cs="宋体"/>
          <w:spacing w:val="2"/>
          <w:sz w:val="21"/>
          <w:szCs w:val="21"/>
        </w:rPr>
        <w:t>业道德，对所提出的评审意见</w:t>
      </w:r>
    </w:p>
    <w:p w14:paraId="21081B7F">
      <w:pPr>
        <w:spacing w:before="1" w:line="219" w:lineRule="auto"/>
        <w:ind w:left="18"/>
        <w:rPr>
          <w:rFonts w:ascii="宋体" w:hAnsi="宋体" w:eastAsia="宋体" w:cs="宋体"/>
          <w:sz w:val="21"/>
          <w:szCs w:val="21"/>
        </w:rPr>
      </w:pPr>
      <w:r>
        <w:rPr>
          <w:rFonts w:ascii="宋体" w:hAnsi="宋体" w:eastAsia="宋体" w:cs="宋体"/>
          <w:spacing w:val="-1"/>
          <w:sz w:val="21"/>
          <w:szCs w:val="21"/>
        </w:rPr>
        <w:t>承担个人责任，自觉维护国家利益、社会公共利益。</w:t>
      </w:r>
    </w:p>
    <w:p w14:paraId="570BC9B9">
      <w:pPr>
        <w:spacing w:before="158" w:line="220" w:lineRule="auto"/>
        <w:ind w:left="447"/>
        <w:rPr>
          <w:rFonts w:ascii="宋体" w:hAnsi="宋体" w:eastAsia="宋体" w:cs="宋体"/>
          <w:sz w:val="21"/>
          <w:szCs w:val="21"/>
        </w:rPr>
      </w:pPr>
      <w:r>
        <w:rPr>
          <w:rFonts w:ascii="宋体" w:hAnsi="宋体" w:eastAsia="宋体" w:cs="宋体"/>
          <w:spacing w:val="-2"/>
          <w:sz w:val="21"/>
          <w:szCs w:val="21"/>
        </w:rPr>
        <w:t>（四）对依法应当否决的投标提出否决意见。</w:t>
      </w:r>
    </w:p>
    <w:p w14:paraId="3721081E">
      <w:pPr>
        <w:spacing w:before="158" w:line="221" w:lineRule="auto"/>
        <w:ind w:left="444"/>
        <w:rPr>
          <w:rFonts w:ascii="宋体" w:hAnsi="宋体" w:eastAsia="宋体" w:cs="宋体"/>
          <w:sz w:val="21"/>
          <w:szCs w:val="21"/>
        </w:rPr>
      </w:pPr>
      <w:r>
        <w:rPr>
          <w:rFonts w:ascii="宋体" w:hAnsi="宋体" w:eastAsia="宋体" w:cs="宋体"/>
          <w:spacing w:val="-1"/>
          <w:sz w:val="21"/>
          <w:szCs w:val="21"/>
        </w:rPr>
        <w:t>二、回避承诺</w:t>
      </w:r>
    </w:p>
    <w:p w14:paraId="17293C3F">
      <w:pPr>
        <w:spacing w:before="161" w:line="221" w:lineRule="auto"/>
        <w:ind w:left="447"/>
        <w:rPr>
          <w:rFonts w:ascii="宋体" w:hAnsi="宋体" w:eastAsia="宋体" w:cs="宋体"/>
          <w:sz w:val="21"/>
          <w:szCs w:val="21"/>
        </w:rPr>
      </w:pPr>
      <w:r>
        <w:rPr>
          <w:rFonts w:ascii="宋体" w:hAnsi="宋体" w:eastAsia="宋体" w:cs="宋体"/>
          <w:spacing w:val="-2"/>
          <w:sz w:val="21"/>
          <w:szCs w:val="21"/>
        </w:rPr>
        <w:t>（一）与招标人或投标人的主要负责人不存在近亲属关系。</w:t>
      </w:r>
    </w:p>
    <w:p w14:paraId="05B8EC7A">
      <w:pPr>
        <w:spacing w:before="157" w:line="221" w:lineRule="auto"/>
        <w:ind w:left="447"/>
        <w:rPr>
          <w:rFonts w:ascii="宋体" w:hAnsi="宋体" w:eastAsia="宋体" w:cs="宋体"/>
          <w:sz w:val="21"/>
          <w:szCs w:val="21"/>
        </w:rPr>
      </w:pPr>
      <w:r>
        <w:rPr>
          <w:rFonts w:ascii="宋体" w:hAnsi="宋体" w:eastAsia="宋体" w:cs="宋体"/>
          <w:spacing w:val="-1"/>
          <w:sz w:val="21"/>
          <w:szCs w:val="21"/>
        </w:rPr>
        <w:t>（二）非项目主管部门或者行政监督部门的人员。</w:t>
      </w:r>
    </w:p>
    <w:p w14:paraId="1D2BB35D">
      <w:pPr>
        <w:spacing w:before="157" w:line="220" w:lineRule="auto"/>
        <w:ind w:left="447"/>
        <w:rPr>
          <w:rFonts w:ascii="宋体" w:hAnsi="宋体" w:eastAsia="宋体" w:cs="宋体"/>
          <w:sz w:val="21"/>
          <w:szCs w:val="21"/>
        </w:rPr>
      </w:pPr>
      <w:r>
        <w:rPr>
          <w:rFonts w:ascii="宋体" w:hAnsi="宋体" w:eastAsia="宋体" w:cs="宋体"/>
          <w:spacing w:val="-1"/>
          <w:sz w:val="21"/>
          <w:szCs w:val="21"/>
        </w:rPr>
        <w:t>（三）近</w:t>
      </w:r>
      <w:r>
        <w:rPr>
          <w:rFonts w:ascii="宋体" w:hAnsi="宋体" w:eastAsia="宋体" w:cs="宋体"/>
          <w:spacing w:val="-31"/>
          <w:sz w:val="21"/>
          <w:szCs w:val="21"/>
        </w:rPr>
        <w:t xml:space="preserve"> </w:t>
      </w:r>
      <w:r>
        <w:rPr>
          <w:rFonts w:ascii="宋体" w:hAnsi="宋体" w:eastAsia="宋体" w:cs="宋体"/>
          <w:spacing w:val="-1"/>
          <w:sz w:val="21"/>
          <w:szCs w:val="21"/>
        </w:rPr>
        <w:t>5</w:t>
      </w:r>
      <w:r>
        <w:rPr>
          <w:rFonts w:ascii="宋体" w:hAnsi="宋体" w:eastAsia="宋体" w:cs="宋体"/>
          <w:spacing w:val="-48"/>
          <w:sz w:val="21"/>
          <w:szCs w:val="21"/>
        </w:rPr>
        <w:t xml:space="preserve"> </w:t>
      </w:r>
      <w:r>
        <w:rPr>
          <w:rFonts w:ascii="宋体" w:hAnsi="宋体" w:eastAsia="宋体" w:cs="宋体"/>
          <w:spacing w:val="-1"/>
          <w:sz w:val="21"/>
          <w:szCs w:val="21"/>
        </w:rPr>
        <w:t>年未与投标人或者投标人主要负责人有其他社会关系或者经济利益关系。</w:t>
      </w:r>
    </w:p>
    <w:p w14:paraId="0D6D60E1">
      <w:pPr>
        <w:spacing w:before="158" w:line="408" w:lineRule="exact"/>
        <w:ind w:left="447"/>
        <w:rPr>
          <w:rFonts w:ascii="宋体" w:hAnsi="宋体" w:eastAsia="宋体" w:cs="宋体"/>
          <w:sz w:val="21"/>
          <w:szCs w:val="21"/>
        </w:rPr>
      </w:pPr>
      <w:r>
        <w:rPr>
          <w:rFonts w:ascii="宋体" w:hAnsi="宋体" w:eastAsia="宋体" w:cs="宋体"/>
          <w:position w:val="14"/>
          <w:sz w:val="21"/>
          <w:szCs w:val="21"/>
        </w:rPr>
        <w:t>（四） 未曾因在招标、评标以及其他与招标投标有关活动中从事违法行为而受</w:t>
      </w:r>
      <w:r>
        <w:rPr>
          <w:rFonts w:ascii="宋体" w:hAnsi="宋体" w:eastAsia="宋体" w:cs="宋体"/>
          <w:spacing w:val="-1"/>
          <w:position w:val="14"/>
          <w:sz w:val="21"/>
          <w:szCs w:val="21"/>
        </w:rPr>
        <w:t>过行政</w:t>
      </w:r>
    </w:p>
    <w:p w14:paraId="364DC242">
      <w:pPr>
        <w:spacing w:line="221" w:lineRule="auto"/>
        <w:ind w:left="22"/>
        <w:rPr>
          <w:rFonts w:ascii="宋体" w:hAnsi="宋体" w:eastAsia="宋体" w:cs="宋体"/>
          <w:sz w:val="21"/>
          <w:szCs w:val="21"/>
        </w:rPr>
      </w:pPr>
      <w:r>
        <w:rPr>
          <w:rFonts w:ascii="宋体" w:hAnsi="宋体" w:eastAsia="宋体" w:cs="宋体"/>
          <w:spacing w:val="-4"/>
          <w:sz w:val="21"/>
          <w:szCs w:val="21"/>
        </w:rPr>
        <w:t>处罚或刑事处罚的。</w:t>
      </w:r>
    </w:p>
    <w:p w14:paraId="4E689561">
      <w:pPr>
        <w:spacing w:before="156" w:line="221" w:lineRule="auto"/>
        <w:ind w:left="441"/>
        <w:rPr>
          <w:rFonts w:ascii="宋体" w:hAnsi="宋体" w:eastAsia="宋体" w:cs="宋体"/>
          <w:sz w:val="21"/>
          <w:szCs w:val="21"/>
        </w:rPr>
      </w:pPr>
      <w:r>
        <w:rPr>
          <w:rFonts w:ascii="宋体" w:hAnsi="宋体" w:eastAsia="宋体" w:cs="宋体"/>
          <w:spacing w:val="-1"/>
          <w:sz w:val="21"/>
          <w:szCs w:val="21"/>
        </w:rPr>
        <w:t>三、保密承诺</w:t>
      </w:r>
    </w:p>
    <w:p w14:paraId="3EB545B6">
      <w:pPr>
        <w:spacing w:before="158" w:line="408" w:lineRule="exact"/>
        <w:ind w:left="447"/>
        <w:rPr>
          <w:rFonts w:ascii="宋体" w:hAnsi="宋体" w:eastAsia="宋体" w:cs="宋体"/>
          <w:sz w:val="21"/>
          <w:szCs w:val="21"/>
        </w:rPr>
      </w:pPr>
      <w:r>
        <w:rPr>
          <w:rFonts w:ascii="宋体" w:hAnsi="宋体" w:eastAsia="宋体" w:cs="宋体"/>
          <w:spacing w:val="-4"/>
          <w:position w:val="15"/>
          <w:sz w:val="21"/>
          <w:szCs w:val="21"/>
        </w:rPr>
        <w:t>（一）不在公共社交网站、媒体、平台，如微信群、QQ 群、朋友圈、个人微博等，</w:t>
      </w:r>
      <w:r>
        <w:rPr>
          <w:rFonts w:ascii="宋体" w:hAnsi="宋体" w:eastAsia="宋体" w:cs="宋体"/>
          <w:spacing w:val="60"/>
          <w:position w:val="15"/>
          <w:sz w:val="21"/>
          <w:szCs w:val="21"/>
        </w:rPr>
        <w:t xml:space="preserve"> </w:t>
      </w:r>
      <w:r>
        <w:rPr>
          <w:rFonts w:ascii="宋体" w:hAnsi="宋体" w:eastAsia="宋体" w:cs="宋体"/>
          <w:spacing w:val="-4"/>
          <w:position w:val="15"/>
          <w:sz w:val="21"/>
          <w:szCs w:val="21"/>
        </w:rPr>
        <w:t>通</w:t>
      </w:r>
    </w:p>
    <w:p w14:paraId="6EAFCB98">
      <w:pPr>
        <w:spacing w:before="1" w:line="220" w:lineRule="auto"/>
        <w:ind w:left="19"/>
        <w:rPr>
          <w:rFonts w:ascii="宋体" w:hAnsi="宋体" w:eastAsia="宋体" w:cs="宋体"/>
          <w:sz w:val="21"/>
          <w:szCs w:val="21"/>
        </w:rPr>
      </w:pPr>
      <w:r>
        <w:rPr>
          <w:rFonts w:ascii="宋体" w:hAnsi="宋体" w:eastAsia="宋体" w:cs="宋体"/>
          <w:spacing w:val="-2"/>
          <w:sz w:val="21"/>
          <w:szCs w:val="21"/>
        </w:rPr>
        <w:t>过视频、图片、暗语等方式泄露评标任务。</w:t>
      </w:r>
    </w:p>
    <w:p w14:paraId="58FCC019">
      <w:pPr>
        <w:spacing w:before="157" w:line="408" w:lineRule="exact"/>
        <w:ind w:left="447"/>
        <w:rPr>
          <w:rFonts w:ascii="宋体" w:hAnsi="宋体" w:eastAsia="宋体" w:cs="宋体"/>
          <w:sz w:val="21"/>
          <w:szCs w:val="21"/>
        </w:rPr>
      </w:pPr>
      <w:r>
        <w:rPr>
          <w:rFonts w:ascii="宋体" w:hAnsi="宋体" w:eastAsia="宋体" w:cs="宋体"/>
          <w:spacing w:val="-3"/>
          <w:position w:val="14"/>
          <w:sz w:val="21"/>
          <w:szCs w:val="21"/>
        </w:rPr>
        <w:t>（二） 评审结束时，全部清退不应由个人持有的评审项目所有文件和资料， 不向任何</w:t>
      </w:r>
    </w:p>
    <w:p w14:paraId="48431DE4">
      <w:pPr>
        <w:spacing w:before="1" w:line="219" w:lineRule="auto"/>
        <w:ind w:left="20"/>
        <w:rPr>
          <w:rFonts w:ascii="宋体" w:hAnsi="宋体" w:eastAsia="宋体" w:cs="宋体"/>
          <w:sz w:val="21"/>
          <w:szCs w:val="21"/>
        </w:rPr>
      </w:pPr>
      <w:r>
        <w:rPr>
          <w:rFonts w:ascii="宋体" w:hAnsi="宋体" w:eastAsia="宋体" w:cs="宋体"/>
          <w:spacing w:val="-1"/>
          <w:sz w:val="21"/>
          <w:szCs w:val="21"/>
        </w:rPr>
        <w:t>人透露投标文件的评审和比较情况、中标候选人推荐情况以及与评审有关的其他情况。</w:t>
      </w:r>
    </w:p>
    <w:p w14:paraId="5B9D590B">
      <w:pPr>
        <w:spacing w:before="162" w:line="221" w:lineRule="auto"/>
        <w:ind w:left="461"/>
        <w:rPr>
          <w:rFonts w:ascii="宋体" w:hAnsi="宋体" w:eastAsia="宋体" w:cs="宋体"/>
          <w:sz w:val="21"/>
          <w:szCs w:val="21"/>
        </w:rPr>
      </w:pPr>
      <w:r>
        <w:rPr>
          <w:rFonts w:ascii="宋体" w:hAnsi="宋体" w:eastAsia="宋体" w:cs="宋体"/>
          <w:spacing w:val="-4"/>
          <w:sz w:val="21"/>
          <w:szCs w:val="21"/>
        </w:rPr>
        <w:t>四、廉洁承诺</w:t>
      </w:r>
    </w:p>
    <w:p w14:paraId="20D686DB">
      <w:pPr>
        <w:spacing w:before="157" w:line="408" w:lineRule="exact"/>
        <w:ind w:left="447"/>
        <w:rPr>
          <w:rFonts w:ascii="宋体" w:hAnsi="宋体" w:eastAsia="宋体" w:cs="宋体"/>
          <w:sz w:val="21"/>
          <w:szCs w:val="21"/>
        </w:rPr>
      </w:pPr>
      <w:r>
        <w:rPr>
          <w:rFonts w:ascii="宋体" w:hAnsi="宋体" w:eastAsia="宋体" w:cs="宋体"/>
          <w:position w:val="14"/>
          <w:sz w:val="21"/>
          <w:szCs w:val="21"/>
        </w:rPr>
        <w:t>（一）严格履行廉政自律责任， 遵守评标廉政纪律，没有私下接触招标人、招</w:t>
      </w:r>
      <w:r>
        <w:rPr>
          <w:rFonts w:ascii="宋体" w:hAnsi="宋体" w:eastAsia="宋体" w:cs="宋体"/>
          <w:spacing w:val="-1"/>
          <w:position w:val="14"/>
          <w:sz w:val="21"/>
          <w:szCs w:val="21"/>
        </w:rPr>
        <w:t>标代理</w:t>
      </w:r>
    </w:p>
    <w:p w14:paraId="419C68C0">
      <w:pPr>
        <w:spacing w:before="1" w:line="219" w:lineRule="auto"/>
        <w:ind w:left="17"/>
        <w:rPr>
          <w:rFonts w:ascii="宋体" w:hAnsi="宋体" w:eastAsia="宋体" w:cs="宋体"/>
          <w:sz w:val="21"/>
          <w:szCs w:val="21"/>
        </w:rPr>
      </w:pPr>
      <w:r>
        <w:rPr>
          <w:rFonts w:ascii="宋体" w:hAnsi="宋体" w:eastAsia="宋体" w:cs="宋体"/>
          <w:spacing w:val="-2"/>
          <w:sz w:val="21"/>
          <w:szCs w:val="21"/>
        </w:rPr>
        <w:t>机构、投标人，没有收受利益相关人或企业的财物、好处。</w:t>
      </w:r>
    </w:p>
    <w:p w14:paraId="25FE3707">
      <w:pPr>
        <w:spacing w:before="158" w:line="408" w:lineRule="exact"/>
        <w:ind w:left="447"/>
        <w:rPr>
          <w:rFonts w:ascii="宋体" w:hAnsi="宋体" w:eastAsia="宋体" w:cs="宋体"/>
          <w:sz w:val="21"/>
          <w:szCs w:val="21"/>
        </w:rPr>
      </w:pPr>
      <w:r>
        <w:rPr>
          <w:rFonts w:ascii="宋体" w:hAnsi="宋体" w:eastAsia="宋体" w:cs="宋体"/>
          <w:position w:val="14"/>
          <w:sz w:val="21"/>
          <w:szCs w:val="21"/>
        </w:rPr>
        <w:t>（二） 不向招标人征询确定中标人的意向或者接受任何单位、个人明示暗示特</w:t>
      </w:r>
      <w:r>
        <w:rPr>
          <w:rFonts w:ascii="宋体" w:hAnsi="宋体" w:eastAsia="宋体" w:cs="宋体"/>
          <w:spacing w:val="-1"/>
          <w:position w:val="14"/>
          <w:sz w:val="21"/>
          <w:szCs w:val="21"/>
        </w:rPr>
        <w:t>定投标</w:t>
      </w:r>
    </w:p>
    <w:p w14:paraId="3521EA8B">
      <w:pPr>
        <w:spacing w:line="222" w:lineRule="auto"/>
        <w:ind w:left="20"/>
        <w:rPr>
          <w:rFonts w:ascii="宋体" w:hAnsi="宋体" w:eastAsia="宋体" w:cs="宋体"/>
          <w:sz w:val="21"/>
          <w:szCs w:val="21"/>
        </w:rPr>
      </w:pPr>
      <w:r>
        <w:rPr>
          <w:rFonts w:ascii="宋体" w:hAnsi="宋体" w:eastAsia="宋体" w:cs="宋体"/>
          <w:spacing w:val="-6"/>
          <w:sz w:val="21"/>
          <w:szCs w:val="21"/>
        </w:rPr>
        <w:t>人的要求。</w:t>
      </w:r>
    </w:p>
    <w:p w14:paraId="59BB9738">
      <w:pPr>
        <w:spacing w:before="156" w:line="221" w:lineRule="auto"/>
        <w:jc w:val="right"/>
        <w:rPr>
          <w:rFonts w:ascii="宋体" w:hAnsi="宋体" w:eastAsia="宋体" w:cs="宋体"/>
          <w:sz w:val="21"/>
          <w:szCs w:val="21"/>
        </w:rPr>
      </w:pPr>
      <w:r>
        <w:rPr>
          <w:rFonts w:ascii="宋体" w:hAnsi="宋体" w:eastAsia="宋体" w:cs="宋体"/>
          <w:spacing w:val="-1"/>
          <w:sz w:val="21"/>
          <w:szCs w:val="21"/>
        </w:rPr>
        <w:t>（三） 不暗示或者诱导投标人作出澄清、说明或者接受投标人主动提出的澄清、说明。</w:t>
      </w:r>
    </w:p>
    <w:p w14:paraId="63B64FBC">
      <w:pPr>
        <w:spacing w:line="221" w:lineRule="auto"/>
        <w:rPr>
          <w:rFonts w:ascii="宋体" w:hAnsi="宋体" w:eastAsia="宋体" w:cs="宋体"/>
          <w:sz w:val="21"/>
          <w:szCs w:val="21"/>
        </w:rPr>
        <w:sectPr>
          <w:footerReference r:id="rId67" w:type="default"/>
          <w:pgSz w:w="11905" w:h="16839"/>
          <w:pgMar w:top="1431" w:right="1612" w:bottom="996" w:left="1785" w:header="0" w:footer="791" w:gutter="0"/>
          <w:pgNumType w:fmt="decimal"/>
          <w:cols w:space="720" w:num="1"/>
        </w:sectPr>
      </w:pPr>
    </w:p>
    <w:p w14:paraId="6B54AFD2">
      <w:pPr>
        <w:spacing w:before="42" w:line="408" w:lineRule="exact"/>
        <w:ind w:right="12"/>
        <w:jc w:val="right"/>
        <w:rPr>
          <w:rFonts w:ascii="宋体" w:hAnsi="宋体" w:eastAsia="宋体" w:cs="宋体"/>
          <w:sz w:val="21"/>
          <w:szCs w:val="21"/>
        </w:rPr>
      </w:pPr>
      <w:bookmarkStart w:id="182" w:name="bookmark218"/>
      <w:bookmarkEnd w:id="182"/>
      <w:r>
        <w:rPr>
          <w:rFonts w:ascii="宋体" w:hAnsi="宋体" w:eastAsia="宋体" w:cs="宋体"/>
          <w:position w:val="14"/>
          <w:sz w:val="21"/>
          <w:szCs w:val="21"/>
        </w:rPr>
        <w:t>（四） 自觉抵制招标投标活动中的违法违规行为，积极配合协助行政监督部门</w:t>
      </w:r>
      <w:r>
        <w:rPr>
          <w:rFonts w:ascii="宋体" w:hAnsi="宋体" w:eastAsia="宋体" w:cs="宋体"/>
          <w:spacing w:val="-1"/>
          <w:position w:val="14"/>
          <w:sz w:val="21"/>
          <w:szCs w:val="21"/>
        </w:rPr>
        <w:t>、纪检</w:t>
      </w:r>
    </w:p>
    <w:p w14:paraId="4F36FB80">
      <w:pPr>
        <w:spacing w:line="219" w:lineRule="auto"/>
        <w:ind w:left="19"/>
        <w:rPr>
          <w:rFonts w:ascii="宋体" w:hAnsi="宋体" w:eastAsia="宋体" w:cs="宋体"/>
          <w:sz w:val="21"/>
          <w:szCs w:val="21"/>
        </w:rPr>
      </w:pPr>
      <w:r>
        <w:rPr>
          <w:rFonts w:ascii="宋体" w:hAnsi="宋体" w:eastAsia="宋体" w:cs="宋体"/>
          <w:spacing w:val="-1"/>
          <w:sz w:val="21"/>
          <w:szCs w:val="21"/>
        </w:rPr>
        <w:t>监察部门、公安部门、检察机关等依法进行监督。</w:t>
      </w:r>
    </w:p>
    <w:p w14:paraId="5F73ABD6">
      <w:pPr>
        <w:spacing w:before="157" w:line="221" w:lineRule="auto"/>
        <w:ind w:left="444"/>
        <w:rPr>
          <w:rFonts w:ascii="宋体" w:hAnsi="宋体" w:eastAsia="宋体" w:cs="宋体"/>
          <w:sz w:val="21"/>
          <w:szCs w:val="21"/>
        </w:rPr>
      </w:pPr>
      <w:r>
        <w:rPr>
          <w:rFonts w:ascii="宋体" w:hAnsi="宋体" w:eastAsia="宋体" w:cs="宋体"/>
          <w:spacing w:val="-1"/>
          <w:sz w:val="21"/>
          <w:szCs w:val="21"/>
        </w:rPr>
        <w:t>五、不参与串通投标承诺</w:t>
      </w:r>
    </w:p>
    <w:p w14:paraId="676664F6">
      <w:pPr>
        <w:spacing w:before="157" w:line="220" w:lineRule="auto"/>
        <w:ind w:left="447"/>
        <w:rPr>
          <w:rFonts w:ascii="宋体" w:hAnsi="宋体" w:eastAsia="宋体" w:cs="宋体"/>
          <w:sz w:val="21"/>
          <w:szCs w:val="21"/>
        </w:rPr>
      </w:pPr>
      <w:r>
        <w:rPr>
          <w:rFonts w:ascii="宋体" w:hAnsi="宋体" w:eastAsia="宋体" w:cs="宋体"/>
          <w:spacing w:val="-1"/>
          <w:sz w:val="21"/>
          <w:szCs w:val="21"/>
        </w:rPr>
        <w:t>（一）依法依规参加本招标项目的评标工作</w:t>
      </w:r>
      <w:r>
        <w:rPr>
          <w:rFonts w:ascii="宋体" w:hAnsi="宋体" w:eastAsia="宋体" w:cs="宋体"/>
          <w:spacing w:val="-2"/>
          <w:sz w:val="21"/>
          <w:szCs w:val="21"/>
        </w:rPr>
        <w:t>，不参与串通投标。</w:t>
      </w:r>
    </w:p>
    <w:p w14:paraId="65924163">
      <w:pPr>
        <w:spacing w:before="157" w:line="360" w:lineRule="auto"/>
        <w:ind w:left="18" w:right="1" w:firstLine="429"/>
        <w:rPr>
          <w:rFonts w:ascii="宋体" w:hAnsi="宋体" w:eastAsia="宋体" w:cs="宋体"/>
          <w:sz w:val="21"/>
          <w:szCs w:val="21"/>
        </w:rPr>
      </w:pPr>
      <w:r>
        <w:rPr>
          <w:rFonts w:ascii="宋体" w:hAnsi="宋体" w:eastAsia="宋体" w:cs="宋体"/>
          <w:spacing w:val="-2"/>
          <w:sz w:val="21"/>
          <w:szCs w:val="21"/>
        </w:rPr>
        <w:t>（二） 清楚并知晓《中华人民共和国刑法</w:t>
      </w:r>
      <w:r>
        <w:rPr>
          <w:rFonts w:ascii="宋体" w:hAnsi="宋体" w:eastAsia="宋体" w:cs="宋体"/>
          <w:spacing w:val="-3"/>
          <w:sz w:val="21"/>
          <w:szCs w:val="21"/>
        </w:rPr>
        <w:t>》第一百六十三条“公司、 企业或者其他单</w:t>
      </w:r>
      <w:r>
        <w:rPr>
          <w:rFonts w:ascii="宋体" w:hAnsi="宋体" w:eastAsia="宋体" w:cs="宋体"/>
          <w:sz w:val="21"/>
          <w:szCs w:val="21"/>
        </w:rPr>
        <w:t xml:space="preserve"> 位的工作人员，利用职务上的便利，索取他人财物或者非法收受他人财物， 为他人谋取利</w:t>
      </w:r>
      <w:r>
        <w:rPr>
          <w:rFonts w:ascii="宋体" w:hAnsi="宋体" w:eastAsia="宋体" w:cs="宋体"/>
          <w:spacing w:val="11"/>
          <w:sz w:val="21"/>
          <w:szCs w:val="21"/>
        </w:rPr>
        <w:t xml:space="preserve"> </w:t>
      </w:r>
      <w:r>
        <w:rPr>
          <w:rFonts w:ascii="宋体" w:hAnsi="宋体" w:eastAsia="宋体" w:cs="宋体"/>
          <w:spacing w:val="3"/>
          <w:sz w:val="21"/>
          <w:szCs w:val="21"/>
        </w:rPr>
        <w:t>益，数额较大的，处三年以下有期徒刑或者拘役，并处罚金；数额巨大或者有其</w:t>
      </w:r>
      <w:r>
        <w:rPr>
          <w:rFonts w:ascii="宋体" w:hAnsi="宋体" w:eastAsia="宋体" w:cs="宋体"/>
          <w:spacing w:val="2"/>
          <w:sz w:val="21"/>
          <w:szCs w:val="21"/>
        </w:rPr>
        <w:t>他严重情</w:t>
      </w:r>
      <w:r>
        <w:rPr>
          <w:rFonts w:ascii="宋体" w:hAnsi="宋体" w:eastAsia="宋体" w:cs="宋体"/>
          <w:sz w:val="21"/>
          <w:szCs w:val="21"/>
        </w:rPr>
        <w:t xml:space="preserve"> 节的， 处三年以上十年以下有期徒刑，并处罚金；数额特别巨大或者有其他特别严重情节</w:t>
      </w:r>
    </w:p>
    <w:p w14:paraId="68064E8A">
      <w:pPr>
        <w:spacing w:line="220" w:lineRule="auto"/>
        <w:ind w:left="35"/>
        <w:rPr>
          <w:rFonts w:ascii="宋体" w:hAnsi="宋体" w:eastAsia="宋体" w:cs="宋体"/>
          <w:sz w:val="21"/>
          <w:szCs w:val="21"/>
        </w:rPr>
      </w:pPr>
      <w:r>
        <w:rPr>
          <w:rFonts w:ascii="宋体" w:hAnsi="宋体" w:eastAsia="宋体" w:cs="宋体"/>
          <w:spacing w:val="-2"/>
          <w:sz w:val="21"/>
          <w:szCs w:val="21"/>
        </w:rPr>
        <w:t>的，处十年以上有期徒刑或者无期徒刑，并处罚金”的规定。</w:t>
      </w:r>
    </w:p>
    <w:p w14:paraId="14B8DB56">
      <w:pPr>
        <w:spacing w:before="158" w:line="408" w:lineRule="exact"/>
        <w:ind w:right="12"/>
        <w:jc w:val="right"/>
        <w:rPr>
          <w:rFonts w:ascii="宋体" w:hAnsi="宋体" w:eastAsia="宋体" w:cs="宋体"/>
          <w:sz w:val="21"/>
          <w:szCs w:val="21"/>
        </w:rPr>
      </w:pPr>
      <w:r>
        <w:rPr>
          <w:rFonts w:ascii="宋体" w:hAnsi="宋体" w:eastAsia="宋体" w:cs="宋体"/>
          <w:spacing w:val="-3"/>
          <w:position w:val="15"/>
          <w:sz w:val="21"/>
          <w:szCs w:val="21"/>
        </w:rPr>
        <w:t>（三） 本人如被查实在本招标项目评标工作中参与串通投标的， 自愿承担相应法律责</w:t>
      </w:r>
    </w:p>
    <w:p w14:paraId="7B21C1B3">
      <w:pPr>
        <w:spacing w:line="220" w:lineRule="auto"/>
        <w:ind w:left="17"/>
        <w:rPr>
          <w:rFonts w:ascii="宋体" w:hAnsi="宋体" w:eastAsia="宋体" w:cs="宋体"/>
          <w:sz w:val="21"/>
          <w:szCs w:val="21"/>
        </w:rPr>
      </w:pPr>
      <w:r>
        <w:rPr>
          <w:rFonts w:ascii="宋体" w:hAnsi="宋体" w:eastAsia="宋体" w:cs="宋体"/>
          <w:spacing w:val="-1"/>
          <w:sz w:val="21"/>
          <w:szCs w:val="21"/>
        </w:rPr>
        <w:t>任，接受相应刑事和纪律、行政处罚以及失信惩戒。</w:t>
      </w:r>
    </w:p>
    <w:p w14:paraId="59913177">
      <w:pPr>
        <w:spacing w:before="157" w:line="220" w:lineRule="auto"/>
        <w:ind w:left="442"/>
        <w:rPr>
          <w:rFonts w:ascii="宋体" w:hAnsi="宋体" w:eastAsia="宋体" w:cs="宋体"/>
          <w:sz w:val="21"/>
          <w:szCs w:val="21"/>
        </w:rPr>
      </w:pPr>
      <w:r>
        <w:rPr>
          <w:rFonts w:ascii="宋体" w:hAnsi="宋体" w:eastAsia="宋体" w:cs="宋体"/>
          <w:spacing w:val="-2"/>
          <w:sz w:val="21"/>
          <w:szCs w:val="21"/>
        </w:rPr>
        <w:t>六、本承诺函由我本人亲自签字确认。</w:t>
      </w:r>
    </w:p>
    <w:p w14:paraId="7ECD4E0C">
      <w:pPr>
        <w:pStyle w:val="3"/>
        <w:spacing w:line="301" w:lineRule="auto"/>
      </w:pPr>
    </w:p>
    <w:p w14:paraId="09B4F29A">
      <w:pPr>
        <w:pStyle w:val="3"/>
        <w:spacing w:line="302" w:lineRule="auto"/>
      </w:pPr>
    </w:p>
    <w:p w14:paraId="405378ED">
      <w:pPr>
        <w:pStyle w:val="3"/>
        <w:spacing w:line="302" w:lineRule="auto"/>
      </w:pPr>
    </w:p>
    <w:p w14:paraId="3427B727">
      <w:pPr>
        <w:spacing w:before="69" w:line="220" w:lineRule="auto"/>
        <w:ind w:left="442"/>
        <w:rPr>
          <w:rFonts w:ascii="宋体" w:hAnsi="宋体" w:eastAsia="宋体" w:cs="宋体"/>
          <w:sz w:val="21"/>
          <w:szCs w:val="21"/>
        </w:rPr>
      </w:pPr>
      <w:r>
        <w:rPr>
          <w:rFonts w:ascii="宋体" w:hAnsi="宋体" w:eastAsia="宋体" w:cs="宋体"/>
          <w:spacing w:val="-2"/>
          <w:sz w:val="21"/>
          <w:szCs w:val="21"/>
        </w:rPr>
        <w:t>本人是□ 否□</w:t>
      </w:r>
      <w:r>
        <w:rPr>
          <w:rFonts w:ascii="宋体" w:hAnsi="宋体" w:eastAsia="宋体" w:cs="宋体"/>
          <w:spacing w:val="19"/>
          <w:sz w:val="21"/>
          <w:szCs w:val="21"/>
        </w:rPr>
        <w:t xml:space="preserve"> </w:t>
      </w:r>
      <w:r>
        <w:rPr>
          <w:rFonts w:ascii="宋体" w:hAnsi="宋体" w:eastAsia="宋体" w:cs="宋体"/>
          <w:spacing w:val="-2"/>
          <w:sz w:val="21"/>
          <w:szCs w:val="21"/>
        </w:rPr>
        <w:t>为中共党员</w:t>
      </w:r>
    </w:p>
    <w:p w14:paraId="453A5E8D">
      <w:pPr>
        <w:spacing w:before="157" w:line="221" w:lineRule="auto"/>
        <w:ind w:left="1705"/>
        <w:rPr>
          <w:rFonts w:ascii="宋体" w:hAnsi="宋体" w:eastAsia="宋体" w:cs="宋体"/>
          <w:sz w:val="21"/>
          <w:szCs w:val="21"/>
        </w:rPr>
      </w:pPr>
      <w:r>
        <w:rPr>
          <w:rFonts w:ascii="宋体" w:hAnsi="宋体" w:eastAsia="宋体" w:cs="宋体"/>
          <w:spacing w:val="-15"/>
          <w:sz w:val="21"/>
          <w:szCs w:val="21"/>
        </w:rPr>
        <w:t>（应单选，</w:t>
      </w:r>
      <w:r>
        <w:rPr>
          <w:rFonts w:ascii="宋体" w:hAnsi="宋体" w:eastAsia="宋体" w:cs="宋体"/>
          <w:spacing w:val="28"/>
          <w:sz w:val="21"/>
          <w:szCs w:val="21"/>
        </w:rPr>
        <w:t xml:space="preserve"> </w:t>
      </w:r>
      <w:r>
        <w:rPr>
          <w:rFonts w:ascii="宋体" w:hAnsi="宋体" w:eastAsia="宋体" w:cs="宋体"/>
          <w:spacing w:val="-15"/>
          <w:sz w:val="21"/>
          <w:szCs w:val="21"/>
          <w14:textOutline w14:w="3831" w14:cap="flat" w14:cmpd="sng">
            <w14:solidFill>
              <w14:srgbClr w14:val="000000"/>
            </w14:solidFill>
            <w14:prstDash w14:val="solid"/>
            <w14:miter w14:val="0"/>
          </w14:textOutline>
        </w:rPr>
        <w:t>并在方框内打“</w:t>
      </w:r>
      <w:r>
        <w:rPr>
          <w:rFonts w:ascii="宋体" w:hAnsi="宋体" w:eastAsia="宋体" w:cs="宋体"/>
          <w:spacing w:val="-45"/>
          <w:sz w:val="21"/>
          <w:szCs w:val="21"/>
        </w:rPr>
        <w:t xml:space="preserve"> </w:t>
      </w:r>
      <w:r>
        <w:rPr>
          <w:rFonts w:ascii="宋体" w:hAnsi="宋体" w:eastAsia="宋体" w:cs="宋体"/>
          <w:spacing w:val="-15"/>
          <w:sz w:val="21"/>
          <w:szCs w:val="21"/>
          <w14:textOutline w14:w="3831" w14:cap="flat" w14:cmpd="sng">
            <w14:solidFill>
              <w14:srgbClr w14:val="000000"/>
            </w14:solidFill>
            <w14:prstDash w14:val="solid"/>
            <w14:miter w14:val="0"/>
          </w14:textOutline>
        </w:rPr>
        <w:t>√</w:t>
      </w:r>
      <w:r>
        <w:rPr>
          <w:rFonts w:ascii="宋体" w:hAnsi="宋体" w:eastAsia="宋体" w:cs="宋体"/>
          <w:spacing w:val="-76"/>
          <w:sz w:val="21"/>
          <w:szCs w:val="21"/>
        </w:rPr>
        <w:t xml:space="preserve"> </w:t>
      </w:r>
      <w:r>
        <w:rPr>
          <w:rFonts w:ascii="宋体" w:hAnsi="宋体" w:eastAsia="宋体" w:cs="宋体"/>
          <w:spacing w:val="-15"/>
          <w:sz w:val="21"/>
          <w:szCs w:val="21"/>
          <w14:textOutline w14:w="3831" w14:cap="flat" w14:cmpd="sng">
            <w14:solidFill>
              <w14:srgbClr w14:val="000000"/>
            </w14:solidFill>
            <w14:prstDash w14:val="solid"/>
            <w14:miter w14:val="0"/>
          </w14:textOutline>
        </w:rPr>
        <w:t>”</w:t>
      </w:r>
      <w:r>
        <w:rPr>
          <w:rFonts w:ascii="宋体" w:hAnsi="宋体" w:eastAsia="宋体" w:cs="宋体"/>
          <w:spacing w:val="-15"/>
          <w:sz w:val="21"/>
          <w:szCs w:val="21"/>
        </w:rPr>
        <w:t>)</w:t>
      </w:r>
    </w:p>
    <w:p w14:paraId="0391A05E">
      <w:pPr>
        <w:pStyle w:val="3"/>
        <w:spacing w:line="260" w:lineRule="auto"/>
      </w:pPr>
    </w:p>
    <w:p w14:paraId="2B7FA189">
      <w:pPr>
        <w:pStyle w:val="3"/>
        <w:spacing w:line="261" w:lineRule="auto"/>
      </w:pPr>
    </w:p>
    <w:p w14:paraId="18659D32">
      <w:pPr>
        <w:pStyle w:val="3"/>
        <w:spacing w:line="261" w:lineRule="auto"/>
      </w:pPr>
    </w:p>
    <w:p w14:paraId="38B6AD9A">
      <w:pPr>
        <w:pStyle w:val="3"/>
        <w:spacing w:line="261" w:lineRule="auto"/>
      </w:pPr>
    </w:p>
    <w:p w14:paraId="3B3ED91B">
      <w:pPr>
        <w:pStyle w:val="3"/>
        <w:spacing w:line="261" w:lineRule="auto"/>
      </w:pPr>
    </w:p>
    <w:p w14:paraId="2CB74785">
      <w:pPr>
        <w:spacing w:before="69" w:line="221" w:lineRule="auto"/>
        <w:ind w:left="4810"/>
        <w:rPr>
          <w:rFonts w:ascii="宋体" w:hAnsi="宋体" w:eastAsia="宋体" w:cs="宋体"/>
          <w:sz w:val="21"/>
          <w:szCs w:val="21"/>
        </w:rPr>
      </w:pPr>
      <w:r>
        <w:rPr>
          <w:rFonts w:ascii="宋体" w:hAnsi="宋体" w:eastAsia="宋体" w:cs="宋体"/>
          <w:spacing w:val="-11"/>
          <w:sz w:val="21"/>
          <w:szCs w:val="21"/>
        </w:rPr>
        <w:t>承 诺</w:t>
      </w:r>
      <w:r>
        <w:rPr>
          <w:rFonts w:ascii="宋体" w:hAnsi="宋体" w:eastAsia="宋体" w:cs="宋体"/>
          <w:spacing w:val="6"/>
          <w:sz w:val="21"/>
          <w:szCs w:val="21"/>
        </w:rPr>
        <w:t xml:space="preserve"> </w:t>
      </w:r>
      <w:r>
        <w:rPr>
          <w:rFonts w:ascii="宋体" w:hAnsi="宋体" w:eastAsia="宋体" w:cs="宋体"/>
          <w:spacing w:val="-11"/>
          <w:sz w:val="21"/>
          <w:szCs w:val="21"/>
        </w:rPr>
        <w:t>人</w:t>
      </w:r>
      <w:r>
        <w:rPr>
          <w:rFonts w:ascii="宋体" w:hAnsi="宋体" w:eastAsia="宋体" w:cs="宋体"/>
          <w:spacing w:val="-15"/>
          <w:sz w:val="21"/>
          <w:szCs w:val="21"/>
        </w:rPr>
        <w:t>：</w:t>
      </w:r>
      <w:r>
        <w:rPr>
          <w:rFonts w:ascii="宋体" w:hAnsi="宋体" w:eastAsia="宋体" w:cs="宋体"/>
          <w:spacing w:val="5"/>
          <w:sz w:val="21"/>
          <w:szCs w:val="21"/>
        </w:rPr>
        <w:t xml:space="preserve">             </w:t>
      </w:r>
      <w:r>
        <w:rPr>
          <w:rFonts w:ascii="宋体" w:hAnsi="宋体" w:eastAsia="宋体" w:cs="宋体"/>
          <w:spacing w:val="-15"/>
          <w:sz w:val="21"/>
          <w:szCs w:val="21"/>
        </w:rPr>
        <w:t>（</w:t>
      </w:r>
      <w:r>
        <w:rPr>
          <w:rFonts w:ascii="宋体" w:hAnsi="宋体" w:eastAsia="宋体" w:cs="宋体"/>
          <w:spacing w:val="-11"/>
          <w:sz w:val="21"/>
          <w:szCs w:val="21"/>
        </w:rPr>
        <w:t>签字）</w:t>
      </w:r>
    </w:p>
    <w:p w14:paraId="362EA8DB">
      <w:pPr>
        <w:pStyle w:val="3"/>
        <w:spacing w:line="246" w:lineRule="auto"/>
      </w:pPr>
    </w:p>
    <w:p w14:paraId="32F45456">
      <w:pPr>
        <w:pStyle w:val="3"/>
        <w:spacing w:line="247" w:lineRule="auto"/>
      </w:pPr>
    </w:p>
    <w:p w14:paraId="2880BDFB">
      <w:pPr>
        <w:spacing w:before="69" w:line="221" w:lineRule="auto"/>
        <w:ind w:left="4705"/>
        <w:rPr>
          <w:rFonts w:ascii="宋体" w:hAnsi="宋体" w:eastAsia="宋体" w:cs="宋体"/>
          <w:sz w:val="21"/>
          <w:szCs w:val="21"/>
        </w:rPr>
      </w:pPr>
      <w:r>
        <w:rPr>
          <w:rFonts w:ascii="宋体" w:hAnsi="宋体" w:eastAsia="宋体" w:cs="宋体"/>
          <w:spacing w:val="-10"/>
          <w:sz w:val="21"/>
          <w:szCs w:val="21"/>
        </w:rPr>
        <w:t>承诺时间：     年</w:t>
      </w:r>
      <w:r>
        <w:rPr>
          <w:rFonts w:ascii="宋体" w:hAnsi="宋体" w:eastAsia="宋体" w:cs="宋体"/>
          <w:spacing w:val="4"/>
          <w:sz w:val="21"/>
          <w:szCs w:val="21"/>
        </w:rPr>
        <w:t xml:space="preserve">   </w:t>
      </w:r>
      <w:r>
        <w:rPr>
          <w:rFonts w:ascii="宋体" w:hAnsi="宋体" w:eastAsia="宋体" w:cs="宋体"/>
          <w:spacing w:val="-10"/>
          <w:sz w:val="21"/>
          <w:szCs w:val="21"/>
        </w:rPr>
        <w:t>月</w:t>
      </w:r>
      <w:r>
        <w:rPr>
          <w:rFonts w:ascii="宋体" w:hAnsi="宋体" w:eastAsia="宋体" w:cs="宋体"/>
          <w:spacing w:val="24"/>
          <w:sz w:val="21"/>
          <w:szCs w:val="21"/>
        </w:rPr>
        <w:t xml:space="preserve">  </w:t>
      </w:r>
      <w:r>
        <w:rPr>
          <w:rFonts w:ascii="宋体" w:hAnsi="宋体" w:eastAsia="宋体" w:cs="宋体"/>
          <w:spacing w:val="-10"/>
          <w:sz w:val="21"/>
          <w:szCs w:val="21"/>
        </w:rPr>
        <w:t>日</w:t>
      </w:r>
    </w:p>
    <w:p w14:paraId="2B805275">
      <w:pPr>
        <w:spacing w:line="221" w:lineRule="auto"/>
        <w:rPr>
          <w:rFonts w:ascii="宋体" w:hAnsi="宋体" w:eastAsia="宋体" w:cs="宋体"/>
          <w:sz w:val="21"/>
          <w:szCs w:val="21"/>
        </w:rPr>
        <w:sectPr>
          <w:footerReference r:id="rId68" w:type="default"/>
          <w:pgSz w:w="11905" w:h="16839"/>
          <w:pgMar w:top="1427" w:right="1785" w:bottom="996" w:left="1785" w:header="0" w:footer="791" w:gutter="0"/>
          <w:pgNumType w:fmt="decimal"/>
          <w:cols w:space="720" w:num="1"/>
        </w:sectPr>
      </w:pPr>
    </w:p>
    <w:p w14:paraId="05C6A5E7">
      <w:pPr>
        <w:spacing w:before="124" w:line="218" w:lineRule="auto"/>
        <w:ind w:left="531"/>
        <w:rPr>
          <w:rFonts w:ascii="黑体" w:hAnsi="黑体" w:eastAsia="黑体" w:cs="黑体"/>
          <w:sz w:val="24"/>
          <w:szCs w:val="24"/>
        </w:rPr>
      </w:pPr>
      <w:r>
        <w:rPr>
          <w:rFonts w:ascii="黑体" w:hAnsi="黑体" w:eastAsia="黑体" w:cs="黑体"/>
          <w:spacing w:val="-3"/>
          <w:sz w:val="24"/>
          <w:szCs w:val="24"/>
        </w:rPr>
        <w:t>附表</w:t>
      </w:r>
      <w:r>
        <w:rPr>
          <w:rFonts w:ascii="黑体" w:hAnsi="黑体" w:eastAsia="黑体" w:cs="黑体"/>
          <w:spacing w:val="-49"/>
          <w:sz w:val="24"/>
          <w:szCs w:val="24"/>
        </w:rPr>
        <w:t xml:space="preserve"> </w:t>
      </w:r>
      <w:r>
        <w:rPr>
          <w:rFonts w:ascii="Times New Roman" w:hAnsi="Times New Roman" w:eastAsia="Times New Roman" w:cs="Times New Roman"/>
          <w:spacing w:val="-3"/>
          <w:sz w:val="24"/>
          <w:szCs w:val="24"/>
        </w:rPr>
        <w:t>A-3</w:t>
      </w:r>
      <w:r>
        <w:rPr>
          <w:rFonts w:ascii="黑体" w:hAnsi="黑体" w:eastAsia="黑体" w:cs="黑体"/>
          <w:spacing w:val="-3"/>
          <w:sz w:val="24"/>
          <w:szCs w:val="24"/>
        </w:rPr>
        <w:t>：技术暗标编号确认表</w:t>
      </w:r>
    </w:p>
    <w:p w14:paraId="39655198">
      <w:pPr>
        <w:pStyle w:val="3"/>
        <w:spacing w:line="411" w:lineRule="auto"/>
      </w:pPr>
    </w:p>
    <w:p w14:paraId="256C50AE">
      <w:pPr>
        <w:spacing w:before="117" w:line="218" w:lineRule="auto"/>
        <w:ind w:left="2938"/>
        <w:rPr>
          <w:rFonts w:ascii="黑体" w:hAnsi="黑体" w:eastAsia="黑体" w:cs="黑体"/>
          <w:sz w:val="36"/>
          <w:szCs w:val="36"/>
        </w:rPr>
      </w:pPr>
      <w:bookmarkStart w:id="183" w:name="bookmark219"/>
      <w:bookmarkEnd w:id="183"/>
      <w:r>
        <w:rPr>
          <w:rFonts w:ascii="黑体" w:hAnsi="黑体" w:eastAsia="黑体" w:cs="黑体"/>
          <w:spacing w:val="-2"/>
          <w:sz w:val="36"/>
          <w:szCs w:val="36"/>
        </w:rPr>
        <w:t>技术暗标编号确认表</w:t>
      </w:r>
    </w:p>
    <w:p w14:paraId="283993FA">
      <w:pPr>
        <w:spacing w:before="235" w:line="221" w:lineRule="auto"/>
        <w:ind w:left="397"/>
        <w:rPr>
          <w:rFonts w:ascii="宋体" w:hAnsi="宋体" w:eastAsia="宋体" w:cs="宋体"/>
          <w:sz w:val="21"/>
          <w:szCs w:val="21"/>
        </w:rPr>
      </w:pPr>
      <w:r>
        <w:rPr>
          <w:rFonts w:ascii="宋体" w:hAnsi="宋体" w:eastAsia="宋体" w:cs="宋体"/>
          <w:spacing w:val="-9"/>
          <w:sz w:val="21"/>
          <w:szCs w:val="21"/>
        </w:rPr>
        <w:t>标段名称：</w:t>
      </w:r>
    </w:p>
    <w:p w14:paraId="4ABC4DA9">
      <w:pPr>
        <w:spacing w:before="22" w:line="214" w:lineRule="auto"/>
        <w:ind w:left="397"/>
        <w:rPr>
          <w:rFonts w:ascii="宋体" w:hAnsi="宋体" w:eastAsia="宋体" w:cs="宋体"/>
          <w:sz w:val="21"/>
          <w:szCs w:val="21"/>
        </w:rPr>
      </w:pPr>
      <w:r>
        <w:rPr>
          <w:rFonts w:ascii="宋体" w:hAnsi="宋体" w:eastAsia="宋体" w:cs="宋体"/>
          <w:spacing w:val="-5"/>
          <w:sz w:val="21"/>
          <w:szCs w:val="21"/>
        </w:rPr>
        <w:t>标段唯一标识码：</w:t>
      </w:r>
    </w:p>
    <w:tbl>
      <w:tblPr>
        <w:tblStyle w:val="10"/>
        <w:tblW w:w="909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14"/>
        <w:gridCol w:w="1938"/>
        <w:gridCol w:w="754"/>
        <w:gridCol w:w="748"/>
        <w:gridCol w:w="749"/>
        <w:gridCol w:w="754"/>
        <w:gridCol w:w="748"/>
        <w:gridCol w:w="754"/>
        <w:gridCol w:w="748"/>
        <w:gridCol w:w="754"/>
        <w:gridCol w:w="629"/>
      </w:tblGrid>
      <w:tr w14:paraId="54E5ED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1" w:hRule="atLeast"/>
        </w:trPr>
        <w:tc>
          <w:tcPr>
            <w:tcW w:w="514" w:type="dxa"/>
            <w:vMerge w:val="restart"/>
            <w:tcBorders>
              <w:bottom w:val="nil"/>
            </w:tcBorders>
            <w:textDirection w:val="tbRlV"/>
            <w:vAlign w:val="top"/>
          </w:tcPr>
          <w:p w14:paraId="15F0E6AC">
            <w:pPr>
              <w:pStyle w:val="11"/>
              <w:spacing w:before="149" w:line="211" w:lineRule="auto"/>
              <w:ind w:left="207"/>
            </w:pPr>
            <w:r>
              <w:rPr>
                <w:spacing w:val="1"/>
                <w14:textOutline w14:w="3831" w14:cap="flat" w14:cmpd="sng">
                  <w14:solidFill>
                    <w14:srgbClr w14:val="000000"/>
                  </w14:solidFill>
                  <w14:prstDash w14:val="solid"/>
                  <w14:miter w14:val="0"/>
                </w14:textOutline>
              </w:rPr>
              <w:t>序</w:t>
            </w:r>
            <w:r>
              <w:rPr>
                <w:spacing w:val="-43"/>
              </w:rPr>
              <w:t xml:space="preserve"> </w:t>
            </w:r>
            <w:r>
              <w:rPr>
                <w:spacing w:val="1"/>
                <w14:textOutline w14:w="3831" w14:cap="flat" w14:cmpd="sng">
                  <w14:solidFill>
                    <w14:srgbClr w14:val="000000"/>
                  </w14:solidFill>
                  <w14:prstDash w14:val="solid"/>
                  <w14:miter w14:val="0"/>
                </w14:textOutline>
              </w:rPr>
              <w:t>号</w:t>
            </w:r>
          </w:p>
        </w:tc>
        <w:tc>
          <w:tcPr>
            <w:tcW w:w="1938" w:type="dxa"/>
            <w:vMerge w:val="restart"/>
            <w:tcBorders>
              <w:bottom w:val="nil"/>
            </w:tcBorders>
            <w:vAlign w:val="top"/>
          </w:tcPr>
          <w:p w14:paraId="636CEC5D">
            <w:pPr>
              <w:spacing w:line="271" w:lineRule="auto"/>
              <w:rPr>
                <w:rFonts w:ascii="Arial"/>
                <w:sz w:val="21"/>
              </w:rPr>
            </w:pPr>
          </w:p>
          <w:p w14:paraId="2A51F4C4">
            <w:pPr>
              <w:pStyle w:val="11"/>
              <w:spacing w:before="69" w:line="221" w:lineRule="auto"/>
              <w:ind w:left="452"/>
            </w:pPr>
            <w:r>
              <w:rPr>
                <w:spacing w:val="-1"/>
                <w14:textOutline w14:w="3831" w14:cap="flat" w14:cmpd="sng">
                  <w14:solidFill>
                    <w14:srgbClr w14:val="000000"/>
                  </w14:solidFill>
                  <w14:prstDash w14:val="solid"/>
                  <w14:miter w14:val="0"/>
                </w14:textOutline>
              </w:rPr>
              <w:t>投标人名称</w:t>
            </w:r>
          </w:p>
        </w:tc>
        <w:tc>
          <w:tcPr>
            <w:tcW w:w="6638" w:type="dxa"/>
            <w:gridSpan w:val="9"/>
            <w:vAlign w:val="top"/>
          </w:tcPr>
          <w:p w14:paraId="087761A5">
            <w:pPr>
              <w:pStyle w:val="11"/>
              <w:spacing w:before="33" w:line="221" w:lineRule="auto"/>
              <w:ind w:left="2371"/>
            </w:pPr>
            <w:r>
              <w:rPr>
                <w14:textOutline w14:w="3831" w14:cap="flat" w14:cmpd="sng">
                  <w14:solidFill>
                    <w14:srgbClr w14:val="000000"/>
                  </w14:solidFill>
                  <w14:prstDash w14:val="solid"/>
                  <w14:miter w14:val="0"/>
                </w14:textOutline>
              </w:rPr>
              <w:t>评审因素及暗标编号</w:t>
            </w:r>
          </w:p>
        </w:tc>
      </w:tr>
      <w:tr w14:paraId="1B22B7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6" w:hRule="atLeast"/>
        </w:trPr>
        <w:tc>
          <w:tcPr>
            <w:tcW w:w="514" w:type="dxa"/>
            <w:vMerge w:val="continue"/>
            <w:tcBorders>
              <w:top w:val="nil"/>
            </w:tcBorders>
            <w:textDirection w:val="tbRlV"/>
            <w:vAlign w:val="top"/>
          </w:tcPr>
          <w:p w14:paraId="05EC11B3">
            <w:pPr>
              <w:rPr>
                <w:rFonts w:ascii="Arial"/>
                <w:sz w:val="21"/>
              </w:rPr>
            </w:pPr>
          </w:p>
        </w:tc>
        <w:tc>
          <w:tcPr>
            <w:tcW w:w="1938" w:type="dxa"/>
            <w:vMerge w:val="continue"/>
            <w:tcBorders>
              <w:top w:val="nil"/>
            </w:tcBorders>
            <w:vAlign w:val="top"/>
          </w:tcPr>
          <w:p w14:paraId="6456956F">
            <w:pPr>
              <w:rPr>
                <w:rFonts w:ascii="Arial"/>
                <w:sz w:val="21"/>
              </w:rPr>
            </w:pPr>
          </w:p>
        </w:tc>
        <w:tc>
          <w:tcPr>
            <w:tcW w:w="754" w:type="dxa"/>
            <w:vAlign w:val="top"/>
          </w:tcPr>
          <w:p w14:paraId="2C33D7BD">
            <w:pPr>
              <w:rPr>
                <w:rFonts w:ascii="Arial"/>
                <w:sz w:val="21"/>
              </w:rPr>
            </w:pPr>
          </w:p>
        </w:tc>
        <w:tc>
          <w:tcPr>
            <w:tcW w:w="748" w:type="dxa"/>
            <w:vAlign w:val="top"/>
          </w:tcPr>
          <w:p w14:paraId="067D5694">
            <w:pPr>
              <w:rPr>
                <w:rFonts w:ascii="Arial"/>
                <w:sz w:val="21"/>
              </w:rPr>
            </w:pPr>
          </w:p>
        </w:tc>
        <w:tc>
          <w:tcPr>
            <w:tcW w:w="749" w:type="dxa"/>
            <w:vAlign w:val="top"/>
          </w:tcPr>
          <w:p w14:paraId="6D67CCA6">
            <w:pPr>
              <w:rPr>
                <w:rFonts w:ascii="Arial"/>
                <w:sz w:val="21"/>
              </w:rPr>
            </w:pPr>
          </w:p>
        </w:tc>
        <w:tc>
          <w:tcPr>
            <w:tcW w:w="754" w:type="dxa"/>
            <w:vAlign w:val="top"/>
          </w:tcPr>
          <w:p w14:paraId="38D94A05">
            <w:pPr>
              <w:rPr>
                <w:rFonts w:ascii="Arial"/>
                <w:sz w:val="21"/>
              </w:rPr>
            </w:pPr>
          </w:p>
        </w:tc>
        <w:tc>
          <w:tcPr>
            <w:tcW w:w="748" w:type="dxa"/>
            <w:vAlign w:val="top"/>
          </w:tcPr>
          <w:p w14:paraId="0866BEBC">
            <w:pPr>
              <w:rPr>
                <w:rFonts w:ascii="Arial"/>
                <w:sz w:val="21"/>
              </w:rPr>
            </w:pPr>
          </w:p>
        </w:tc>
        <w:tc>
          <w:tcPr>
            <w:tcW w:w="754" w:type="dxa"/>
            <w:vAlign w:val="top"/>
          </w:tcPr>
          <w:p w14:paraId="2557CC16">
            <w:pPr>
              <w:rPr>
                <w:rFonts w:ascii="Arial"/>
                <w:sz w:val="21"/>
              </w:rPr>
            </w:pPr>
          </w:p>
        </w:tc>
        <w:tc>
          <w:tcPr>
            <w:tcW w:w="748" w:type="dxa"/>
            <w:vAlign w:val="top"/>
          </w:tcPr>
          <w:p w14:paraId="537B8473">
            <w:pPr>
              <w:rPr>
                <w:rFonts w:ascii="Arial"/>
                <w:sz w:val="21"/>
              </w:rPr>
            </w:pPr>
          </w:p>
        </w:tc>
        <w:tc>
          <w:tcPr>
            <w:tcW w:w="754" w:type="dxa"/>
            <w:vAlign w:val="top"/>
          </w:tcPr>
          <w:p w14:paraId="4D2EFE84">
            <w:pPr>
              <w:rPr>
                <w:rFonts w:ascii="Arial"/>
                <w:sz w:val="21"/>
              </w:rPr>
            </w:pPr>
          </w:p>
        </w:tc>
        <w:tc>
          <w:tcPr>
            <w:tcW w:w="629" w:type="dxa"/>
            <w:vAlign w:val="top"/>
          </w:tcPr>
          <w:p w14:paraId="3E51BFCC">
            <w:pPr>
              <w:rPr>
                <w:rFonts w:ascii="Arial"/>
                <w:sz w:val="21"/>
              </w:rPr>
            </w:pPr>
          </w:p>
        </w:tc>
      </w:tr>
      <w:tr w14:paraId="5B325F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4" w:hRule="atLeast"/>
        </w:trPr>
        <w:tc>
          <w:tcPr>
            <w:tcW w:w="514" w:type="dxa"/>
            <w:vAlign w:val="top"/>
          </w:tcPr>
          <w:p w14:paraId="56B0BAA3">
            <w:pPr>
              <w:pStyle w:val="11"/>
              <w:spacing w:before="222" w:line="183" w:lineRule="auto"/>
              <w:ind w:left="225"/>
            </w:pPr>
            <w:r>
              <w:t>1</w:t>
            </w:r>
          </w:p>
        </w:tc>
        <w:tc>
          <w:tcPr>
            <w:tcW w:w="1938" w:type="dxa"/>
            <w:vAlign w:val="top"/>
          </w:tcPr>
          <w:p w14:paraId="175FADEE">
            <w:pPr>
              <w:rPr>
                <w:rFonts w:ascii="Arial"/>
                <w:sz w:val="21"/>
              </w:rPr>
            </w:pPr>
          </w:p>
        </w:tc>
        <w:tc>
          <w:tcPr>
            <w:tcW w:w="754" w:type="dxa"/>
            <w:vAlign w:val="top"/>
          </w:tcPr>
          <w:p w14:paraId="60DBD04C">
            <w:pPr>
              <w:rPr>
                <w:rFonts w:ascii="Arial"/>
                <w:sz w:val="21"/>
              </w:rPr>
            </w:pPr>
          </w:p>
        </w:tc>
        <w:tc>
          <w:tcPr>
            <w:tcW w:w="748" w:type="dxa"/>
            <w:vAlign w:val="top"/>
          </w:tcPr>
          <w:p w14:paraId="091EA7D1">
            <w:pPr>
              <w:rPr>
                <w:rFonts w:ascii="Arial"/>
                <w:sz w:val="21"/>
              </w:rPr>
            </w:pPr>
          </w:p>
        </w:tc>
        <w:tc>
          <w:tcPr>
            <w:tcW w:w="749" w:type="dxa"/>
            <w:vAlign w:val="top"/>
          </w:tcPr>
          <w:p w14:paraId="00675ECF">
            <w:pPr>
              <w:rPr>
                <w:rFonts w:ascii="Arial"/>
                <w:sz w:val="21"/>
              </w:rPr>
            </w:pPr>
          </w:p>
        </w:tc>
        <w:tc>
          <w:tcPr>
            <w:tcW w:w="754" w:type="dxa"/>
            <w:vAlign w:val="top"/>
          </w:tcPr>
          <w:p w14:paraId="3217E6E3">
            <w:pPr>
              <w:rPr>
                <w:rFonts w:ascii="Arial"/>
                <w:sz w:val="21"/>
              </w:rPr>
            </w:pPr>
          </w:p>
        </w:tc>
        <w:tc>
          <w:tcPr>
            <w:tcW w:w="748" w:type="dxa"/>
            <w:vAlign w:val="top"/>
          </w:tcPr>
          <w:p w14:paraId="1ED242CF">
            <w:pPr>
              <w:rPr>
                <w:rFonts w:ascii="Arial"/>
                <w:sz w:val="21"/>
              </w:rPr>
            </w:pPr>
          </w:p>
        </w:tc>
        <w:tc>
          <w:tcPr>
            <w:tcW w:w="754" w:type="dxa"/>
            <w:vAlign w:val="top"/>
          </w:tcPr>
          <w:p w14:paraId="0AA9D930">
            <w:pPr>
              <w:rPr>
                <w:rFonts w:ascii="Arial"/>
                <w:sz w:val="21"/>
              </w:rPr>
            </w:pPr>
          </w:p>
        </w:tc>
        <w:tc>
          <w:tcPr>
            <w:tcW w:w="748" w:type="dxa"/>
            <w:vAlign w:val="top"/>
          </w:tcPr>
          <w:p w14:paraId="1008E1A1">
            <w:pPr>
              <w:rPr>
                <w:rFonts w:ascii="Arial"/>
                <w:sz w:val="21"/>
              </w:rPr>
            </w:pPr>
          </w:p>
        </w:tc>
        <w:tc>
          <w:tcPr>
            <w:tcW w:w="754" w:type="dxa"/>
            <w:vAlign w:val="top"/>
          </w:tcPr>
          <w:p w14:paraId="6D2A4819">
            <w:pPr>
              <w:rPr>
                <w:rFonts w:ascii="Arial"/>
                <w:sz w:val="21"/>
              </w:rPr>
            </w:pPr>
          </w:p>
        </w:tc>
        <w:tc>
          <w:tcPr>
            <w:tcW w:w="629" w:type="dxa"/>
            <w:vAlign w:val="top"/>
          </w:tcPr>
          <w:p w14:paraId="0F706732">
            <w:pPr>
              <w:rPr>
                <w:rFonts w:ascii="Arial"/>
                <w:sz w:val="21"/>
              </w:rPr>
            </w:pPr>
          </w:p>
        </w:tc>
      </w:tr>
      <w:tr w14:paraId="2271D3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9" w:hRule="atLeast"/>
        </w:trPr>
        <w:tc>
          <w:tcPr>
            <w:tcW w:w="514" w:type="dxa"/>
            <w:vAlign w:val="top"/>
          </w:tcPr>
          <w:p w14:paraId="63D613A2">
            <w:pPr>
              <w:pStyle w:val="11"/>
              <w:spacing w:before="224" w:line="182" w:lineRule="auto"/>
              <w:ind w:left="212"/>
            </w:pPr>
            <w:r>
              <w:t>2</w:t>
            </w:r>
          </w:p>
        </w:tc>
        <w:tc>
          <w:tcPr>
            <w:tcW w:w="1938" w:type="dxa"/>
            <w:vAlign w:val="top"/>
          </w:tcPr>
          <w:p w14:paraId="01D13C6E">
            <w:pPr>
              <w:rPr>
                <w:rFonts w:ascii="Arial"/>
                <w:sz w:val="21"/>
              </w:rPr>
            </w:pPr>
          </w:p>
        </w:tc>
        <w:tc>
          <w:tcPr>
            <w:tcW w:w="754" w:type="dxa"/>
            <w:vAlign w:val="top"/>
          </w:tcPr>
          <w:p w14:paraId="6AAC4D37">
            <w:pPr>
              <w:rPr>
                <w:rFonts w:ascii="Arial"/>
                <w:sz w:val="21"/>
              </w:rPr>
            </w:pPr>
          </w:p>
        </w:tc>
        <w:tc>
          <w:tcPr>
            <w:tcW w:w="748" w:type="dxa"/>
            <w:vAlign w:val="top"/>
          </w:tcPr>
          <w:p w14:paraId="4FF36A66">
            <w:pPr>
              <w:rPr>
                <w:rFonts w:ascii="Arial"/>
                <w:sz w:val="21"/>
              </w:rPr>
            </w:pPr>
          </w:p>
        </w:tc>
        <w:tc>
          <w:tcPr>
            <w:tcW w:w="749" w:type="dxa"/>
            <w:vAlign w:val="top"/>
          </w:tcPr>
          <w:p w14:paraId="157E0B94">
            <w:pPr>
              <w:rPr>
                <w:rFonts w:ascii="Arial"/>
                <w:sz w:val="21"/>
              </w:rPr>
            </w:pPr>
          </w:p>
        </w:tc>
        <w:tc>
          <w:tcPr>
            <w:tcW w:w="754" w:type="dxa"/>
            <w:vAlign w:val="top"/>
          </w:tcPr>
          <w:p w14:paraId="02657E3E">
            <w:pPr>
              <w:rPr>
                <w:rFonts w:ascii="Arial"/>
                <w:sz w:val="21"/>
              </w:rPr>
            </w:pPr>
          </w:p>
        </w:tc>
        <w:tc>
          <w:tcPr>
            <w:tcW w:w="748" w:type="dxa"/>
            <w:vAlign w:val="top"/>
          </w:tcPr>
          <w:p w14:paraId="23BDECC2">
            <w:pPr>
              <w:rPr>
                <w:rFonts w:ascii="Arial"/>
                <w:sz w:val="21"/>
              </w:rPr>
            </w:pPr>
          </w:p>
        </w:tc>
        <w:tc>
          <w:tcPr>
            <w:tcW w:w="754" w:type="dxa"/>
            <w:vAlign w:val="top"/>
          </w:tcPr>
          <w:p w14:paraId="18244944">
            <w:pPr>
              <w:rPr>
                <w:rFonts w:ascii="Arial"/>
                <w:sz w:val="21"/>
              </w:rPr>
            </w:pPr>
          </w:p>
        </w:tc>
        <w:tc>
          <w:tcPr>
            <w:tcW w:w="748" w:type="dxa"/>
            <w:vAlign w:val="top"/>
          </w:tcPr>
          <w:p w14:paraId="73ED06E9">
            <w:pPr>
              <w:rPr>
                <w:rFonts w:ascii="Arial"/>
                <w:sz w:val="21"/>
              </w:rPr>
            </w:pPr>
          </w:p>
        </w:tc>
        <w:tc>
          <w:tcPr>
            <w:tcW w:w="754" w:type="dxa"/>
            <w:vAlign w:val="top"/>
          </w:tcPr>
          <w:p w14:paraId="181627FA">
            <w:pPr>
              <w:rPr>
                <w:rFonts w:ascii="Arial"/>
                <w:sz w:val="21"/>
              </w:rPr>
            </w:pPr>
          </w:p>
        </w:tc>
        <w:tc>
          <w:tcPr>
            <w:tcW w:w="629" w:type="dxa"/>
            <w:vAlign w:val="top"/>
          </w:tcPr>
          <w:p w14:paraId="4A129950">
            <w:pPr>
              <w:rPr>
                <w:rFonts w:ascii="Arial"/>
                <w:sz w:val="21"/>
              </w:rPr>
            </w:pPr>
          </w:p>
        </w:tc>
      </w:tr>
      <w:tr w14:paraId="1F25FE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5" w:hRule="atLeast"/>
        </w:trPr>
        <w:tc>
          <w:tcPr>
            <w:tcW w:w="514" w:type="dxa"/>
            <w:vAlign w:val="top"/>
          </w:tcPr>
          <w:p w14:paraId="19421396">
            <w:pPr>
              <w:pStyle w:val="11"/>
              <w:spacing w:before="226" w:line="182" w:lineRule="auto"/>
              <w:ind w:left="213"/>
            </w:pPr>
            <w:r>
              <w:t>3</w:t>
            </w:r>
          </w:p>
        </w:tc>
        <w:tc>
          <w:tcPr>
            <w:tcW w:w="1938" w:type="dxa"/>
            <w:vAlign w:val="top"/>
          </w:tcPr>
          <w:p w14:paraId="0A410DF8">
            <w:pPr>
              <w:rPr>
                <w:rFonts w:ascii="Arial"/>
                <w:sz w:val="21"/>
              </w:rPr>
            </w:pPr>
          </w:p>
        </w:tc>
        <w:tc>
          <w:tcPr>
            <w:tcW w:w="754" w:type="dxa"/>
            <w:vAlign w:val="top"/>
          </w:tcPr>
          <w:p w14:paraId="2843266A">
            <w:pPr>
              <w:rPr>
                <w:rFonts w:ascii="Arial"/>
                <w:sz w:val="21"/>
              </w:rPr>
            </w:pPr>
          </w:p>
        </w:tc>
        <w:tc>
          <w:tcPr>
            <w:tcW w:w="748" w:type="dxa"/>
            <w:vAlign w:val="top"/>
          </w:tcPr>
          <w:p w14:paraId="234822F2">
            <w:pPr>
              <w:rPr>
                <w:rFonts w:ascii="Arial"/>
                <w:sz w:val="21"/>
              </w:rPr>
            </w:pPr>
          </w:p>
        </w:tc>
        <w:tc>
          <w:tcPr>
            <w:tcW w:w="749" w:type="dxa"/>
            <w:vAlign w:val="top"/>
          </w:tcPr>
          <w:p w14:paraId="5CB3E3DB">
            <w:pPr>
              <w:rPr>
                <w:rFonts w:ascii="Arial"/>
                <w:sz w:val="21"/>
              </w:rPr>
            </w:pPr>
          </w:p>
        </w:tc>
        <w:tc>
          <w:tcPr>
            <w:tcW w:w="754" w:type="dxa"/>
            <w:vAlign w:val="top"/>
          </w:tcPr>
          <w:p w14:paraId="57C5B19F">
            <w:pPr>
              <w:rPr>
                <w:rFonts w:ascii="Arial"/>
                <w:sz w:val="21"/>
              </w:rPr>
            </w:pPr>
          </w:p>
        </w:tc>
        <w:tc>
          <w:tcPr>
            <w:tcW w:w="748" w:type="dxa"/>
            <w:vAlign w:val="top"/>
          </w:tcPr>
          <w:p w14:paraId="6183657E">
            <w:pPr>
              <w:rPr>
                <w:rFonts w:ascii="Arial"/>
                <w:sz w:val="21"/>
              </w:rPr>
            </w:pPr>
          </w:p>
        </w:tc>
        <w:tc>
          <w:tcPr>
            <w:tcW w:w="754" w:type="dxa"/>
            <w:vAlign w:val="top"/>
          </w:tcPr>
          <w:p w14:paraId="7194127D">
            <w:pPr>
              <w:rPr>
                <w:rFonts w:ascii="Arial"/>
                <w:sz w:val="21"/>
              </w:rPr>
            </w:pPr>
          </w:p>
        </w:tc>
        <w:tc>
          <w:tcPr>
            <w:tcW w:w="748" w:type="dxa"/>
            <w:vAlign w:val="top"/>
          </w:tcPr>
          <w:p w14:paraId="1BA2302B">
            <w:pPr>
              <w:rPr>
                <w:rFonts w:ascii="Arial"/>
                <w:sz w:val="21"/>
              </w:rPr>
            </w:pPr>
          </w:p>
        </w:tc>
        <w:tc>
          <w:tcPr>
            <w:tcW w:w="754" w:type="dxa"/>
            <w:vAlign w:val="top"/>
          </w:tcPr>
          <w:p w14:paraId="15D984CA">
            <w:pPr>
              <w:rPr>
                <w:rFonts w:ascii="Arial"/>
                <w:sz w:val="21"/>
              </w:rPr>
            </w:pPr>
          </w:p>
        </w:tc>
        <w:tc>
          <w:tcPr>
            <w:tcW w:w="629" w:type="dxa"/>
            <w:vAlign w:val="top"/>
          </w:tcPr>
          <w:p w14:paraId="03F8CEAC">
            <w:pPr>
              <w:rPr>
                <w:rFonts w:ascii="Arial"/>
                <w:sz w:val="21"/>
              </w:rPr>
            </w:pPr>
          </w:p>
        </w:tc>
      </w:tr>
      <w:tr w14:paraId="5219A7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4" w:hRule="atLeast"/>
        </w:trPr>
        <w:tc>
          <w:tcPr>
            <w:tcW w:w="514" w:type="dxa"/>
            <w:vAlign w:val="top"/>
          </w:tcPr>
          <w:p w14:paraId="45F7CC29">
            <w:pPr>
              <w:pStyle w:val="11"/>
              <w:spacing w:before="226" w:line="182" w:lineRule="auto"/>
              <w:ind w:left="208"/>
            </w:pPr>
            <w:r>
              <w:t>4</w:t>
            </w:r>
          </w:p>
        </w:tc>
        <w:tc>
          <w:tcPr>
            <w:tcW w:w="1938" w:type="dxa"/>
            <w:vAlign w:val="top"/>
          </w:tcPr>
          <w:p w14:paraId="19857DC5">
            <w:pPr>
              <w:rPr>
                <w:rFonts w:ascii="Arial"/>
                <w:sz w:val="21"/>
              </w:rPr>
            </w:pPr>
          </w:p>
        </w:tc>
        <w:tc>
          <w:tcPr>
            <w:tcW w:w="754" w:type="dxa"/>
            <w:vAlign w:val="top"/>
          </w:tcPr>
          <w:p w14:paraId="7CFCDB88">
            <w:pPr>
              <w:rPr>
                <w:rFonts w:ascii="Arial"/>
                <w:sz w:val="21"/>
              </w:rPr>
            </w:pPr>
          </w:p>
        </w:tc>
        <w:tc>
          <w:tcPr>
            <w:tcW w:w="748" w:type="dxa"/>
            <w:vAlign w:val="top"/>
          </w:tcPr>
          <w:p w14:paraId="534FCA39">
            <w:pPr>
              <w:rPr>
                <w:rFonts w:ascii="Arial"/>
                <w:sz w:val="21"/>
              </w:rPr>
            </w:pPr>
          </w:p>
        </w:tc>
        <w:tc>
          <w:tcPr>
            <w:tcW w:w="749" w:type="dxa"/>
            <w:vAlign w:val="top"/>
          </w:tcPr>
          <w:p w14:paraId="04147226">
            <w:pPr>
              <w:rPr>
                <w:rFonts w:ascii="Arial"/>
                <w:sz w:val="21"/>
              </w:rPr>
            </w:pPr>
          </w:p>
        </w:tc>
        <w:tc>
          <w:tcPr>
            <w:tcW w:w="754" w:type="dxa"/>
            <w:vAlign w:val="top"/>
          </w:tcPr>
          <w:p w14:paraId="643D974F">
            <w:pPr>
              <w:rPr>
                <w:rFonts w:ascii="Arial"/>
                <w:sz w:val="21"/>
              </w:rPr>
            </w:pPr>
          </w:p>
        </w:tc>
        <w:tc>
          <w:tcPr>
            <w:tcW w:w="748" w:type="dxa"/>
            <w:vAlign w:val="top"/>
          </w:tcPr>
          <w:p w14:paraId="121D493C">
            <w:pPr>
              <w:rPr>
                <w:rFonts w:ascii="Arial"/>
                <w:sz w:val="21"/>
              </w:rPr>
            </w:pPr>
          </w:p>
        </w:tc>
        <w:tc>
          <w:tcPr>
            <w:tcW w:w="754" w:type="dxa"/>
            <w:vAlign w:val="top"/>
          </w:tcPr>
          <w:p w14:paraId="414AE484">
            <w:pPr>
              <w:rPr>
                <w:rFonts w:ascii="Arial"/>
                <w:sz w:val="21"/>
              </w:rPr>
            </w:pPr>
          </w:p>
        </w:tc>
        <w:tc>
          <w:tcPr>
            <w:tcW w:w="748" w:type="dxa"/>
            <w:vAlign w:val="top"/>
          </w:tcPr>
          <w:p w14:paraId="204F516A">
            <w:pPr>
              <w:rPr>
                <w:rFonts w:ascii="Arial"/>
                <w:sz w:val="21"/>
              </w:rPr>
            </w:pPr>
          </w:p>
        </w:tc>
        <w:tc>
          <w:tcPr>
            <w:tcW w:w="754" w:type="dxa"/>
            <w:vAlign w:val="top"/>
          </w:tcPr>
          <w:p w14:paraId="746E4955">
            <w:pPr>
              <w:rPr>
                <w:rFonts w:ascii="Arial"/>
                <w:sz w:val="21"/>
              </w:rPr>
            </w:pPr>
          </w:p>
        </w:tc>
        <w:tc>
          <w:tcPr>
            <w:tcW w:w="629" w:type="dxa"/>
            <w:vAlign w:val="top"/>
          </w:tcPr>
          <w:p w14:paraId="4CB139AE">
            <w:pPr>
              <w:rPr>
                <w:rFonts w:ascii="Arial"/>
                <w:sz w:val="21"/>
              </w:rPr>
            </w:pPr>
          </w:p>
        </w:tc>
      </w:tr>
      <w:tr w14:paraId="198A13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0" w:hRule="atLeast"/>
        </w:trPr>
        <w:tc>
          <w:tcPr>
            <w:tcW w:w="514" w:type="dxa"/>
            <w:vAlign w:val="top"/>
          </w:tcPr>
          <w:p w14:paraId="06FDD64C">
            <w:pPr>
              <w:pStyle w:val="11"/>
              <w:spacing w:before="224" w:line="181" w:lineRule="auto"/>
              <w:ind w:left="213"/>
            </w:pPr>
            <w:r>
              <w:t>5</w:t>
            </w:r>
          </w:p>
        </w:tc>
        <w:tc>
          <w:tcPr>
            <w:tcW w:w="1938" w:type="dxa"/>
            <w:vAlign w:val="top"/>
          </w:tcPr>
          <w:p w14:paraId="71CB153A">
            <w:pPr>
              <w:rPr>
                <w:rFonts w:ascii="Arial"/>
                <w:sz w:val="21"/>
              </w:rPr>
            </w:pPr>
          </w:p>
        </w:tc>
        <w:tc>
          <w:tcPr>
            <w:tcW w:w="754" w:type="dxa"/>
            <w:vAlign w:val="top"/>
          </w:tcPr>
          <w:p w14:paraId="09564BE0">
            <w:pPr>
              <w:rPr>
                <w:rFonts w:ascii="Arial"/>
                <w:sz w:val="21"/>
              </w:rPr>
            </w:pPr>
          </w:p>
        </w:tc>
        <w:tc>
          <w:tcPr>
            <w:tcW w:w="748" w:type="dxa"/>
            <w:vAlign w:val="top"/>
          </w:tcPr>
          <w:p w14:paraId="6512F970">
            <w:pPr>
              <w:rPr>
                <w:rFonts w:ascii="Arial"/>
                <w:sz w:val="21"/>
              </w:rPr>
            </w:pPr>
          </w:p>
        </w:tc>
        <w:tc>
          <w:tcPr>
            <w:tcW w:w="749" w:type="dxa"/>
            <w:vAlign w:val="top"/>
          </w:tcPr>
          <w:p w14:paraId="67E0BCA5">
            <w:pPr>
              <w:rPr>
                <w:rFonts w:ascii="Arial"/>
                <w:sz w:val="21"/>
              </w:rPr>
            </w:pPr>
          </w:p>
        </w:tc>
        <w:tc>
          <w:tcPr>
            <w:tcW w:w="754" w:type="dxa"/>
            <w:vAlign w:val="top"/>
          </w:tcPr>
          <w:p w14:paraId="6D9F2A4A">
            <w:pPr>
              <w:rPr>
                <w:rFonts w:ascii="Arial"/>
                <w:sz w:val="21"/>
              </w:rPr>
            </w:pPr>
          </w:p>
        </w:tc>
        <w:tc>
          <w:tcPr>
            <w:tcW w:w="748" w:type="dxa"/>
            <w:vAlign w:val="top"/>
          </w:tcPr>
          <w:p w14:paraId="1D38A245">
            <w:pPr>
              <w:rPr>
                <w:rFonts w:ascii="Arial"/>
                <w:sz w:val="21"/>
              </w:rPr>
            </w:pPr>
          </w:p>
        </w:tc>
        <w:tc>
          <w:tcPr>
            <w:tcW w:w="754" w:type="dxa"/>
            <w:vAlign w:val="top"/>
          </w:tcPr>
          <w:p w14:paraId="096774E0">
            <w:pPr>
              <w:rPr>
                <w:rFonts w:ascii="Arial"/>
                <w:sz w:val="21"/>
              </w:rPr>
            </w:pPr>
          </w:p>
        </w:tc>
        <w:tc>
          <w:tcPr>
            <w:tcW w:w="748" w:type="dxa"/>
            <w:vAlign w:val="top"/>
          </w:tcPr>
          <w:p w14:paraId="0D27D1FA">
            <w:pPr>
              <w:rPr>
                <w:rFonts w:ascii="Arial"/>
                <w:sz w:val="21"/>
              </w:rPr>
            </w:pPr>
          </w:p>
        </w:tc>
        <w:tc>
          <w:tcPr>
            <w:tcW w:w="754" w:type="dxa"/>
            <w:vAlign w:val="top"/>
          </w:tcPr>
          <w:p w14:paraId="07736CAD">
            <w:pPr>
              <w:rPr>
                <w:rFonts w:ascii="Arial"/>
                <w:sz w:val="21"/>
              </w:rPr>
            </w:pPr>
          </w:p>
        </w:tc>
        <w:tc>
          <w:tcPr>
            <w:tcW w:w="629" w:type="dxa"/>
            <w:vAlign w:val="top"/>
          </w:tcPr>
          <w:p w14:paraId="0E8C0909">
            <w:pPr>
              <w:rPr>
                <w:rFonts w:ascii="Arial"/>
                <w:sz w:val="21"/>
              </w:rPr>
            </w:pPr>
          </w:p>
        </w:tc>
      </w:tr>
      <w:tr w14:paraId="432432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9" w:hRule="atLeast"/>
        </w:trPr>
        <w:tc>
          <w:tcPr>
            <w:tcW w:w="514" w:type="dxa"/>
            <w:vAlign w:val="top"/>
          </w:tcPr>
          <w:p w14:paraId="3B6D7B88">
            <w:pPr>
              <w:spacing w:before="192" w:line="332" w:lineRule="exact"/>
              <w:ind w:left="168"/>
              <w:rPr>
                <w:rFonts w:ascii="黑体" w:hAnsi="黑体" w:eastAsia="黑体" w:cs="黑体"/>
                <w:sz w:val="21"/>
                <w:szCs w:val="21"/>
              </w:rPr>
            </w:pPr>
            <w:r>
              <w:rPr>
                <w:rFonts w:ascii="黑体" w:hAnsi="黑体" w:eastAsia="黑体" w:cs="黑体"/>
                <w:position w:val="2"/>
                <w:sz w:val="21"/>
                <w:szCs w:val="21"/>
              </w:rPr>
              <w:t>…</w:t>
            </w:r>
          </w:p>
        </w:tc>
        <w:tc>
          <w:tcPr>
            <w:tcW w:w="1938" w:type="dxa"/>
            <w:vAlign w:val="top"/>
          </w:tcPr>
          <w:p w14:paraId="53EB0531">
            <w:pPr>
              <w:rPr>
                <w:rFonts w:ascii="Arial"/>
                <w:sz w:val="21"/>
              </w:rPr>
            </w:pPr>
          </w:p>
        </w:tc>
        <w:tc>
          <w:tcPr>
            <w:tcW w:w="754" w:type="dxa"/>
            <w:vAlign w:val="top"/>
          </w:tcPr>
          <w:p w14:paraId="747E0260">
            <w:pPr>
              <w:rPr>
                <w:rFonts w:ascii="Arial"/>
                <w:sz w:val="21"/>
              </w:rPr>
            </w:pPr>
          </w:p>
        </w:tc>
        <w:tc>
          <w:tcPr>
            <w:tcW w:w="748" w:type="dxa"/>
            <w:vAlign w:val="top"/>
          </w:tcPr>
          <w:p w14:paraId="262FBE9C">
            <w:pPr>
              <w:rPr>
                <w:rFonts w:ascii="Arial"/>
                <w:sz w:val="21"/>
              </w:rPr>
            </w:pPr>
          </w:p>
        </w:tc>
        <w:tc>
          <w:tcPr>
            <w:tcW w:w="749" w:type="dxa"/>
            <w:vAlign w:val="top"/>
          </w:tcPr>
          <w:p w14:paraId="2FDAED06">
            <w:pPr>
              <w:rPr>
                <w:rFonts w:ascii="Arial"/>
                <w:sz w:val="21"/>
              </w:rPr>
            </w:pPr>
          </w:p>
        </w:tc>
        <w:tc>
          <w:tcPr>
            <w:tcW w:w="754" w:type="dxa"/>
            <w:vAlign w:val="top"/>
          </w:tcPr>
          <w:p w14:paraId="282F60BD">
            <w:pPr>
              <w:rPr>
                <w:rFonts w:ascii="Arial"/>
                <w:sz w:val="21"/>
              </w:rPr>
            </w:pPr>
          </w:p>
        </w:tc>
        <w:tc>
          <w:tcPr>
            <w:tcW w:w="748" w:type="dxa"/>
            <w:vAlign w:val="top"/>
          </w:tcPr>
          <w:p w14:paraId="3D61EADB">
            <w:pPr>
              <w:rPr>
                <w:rFonts w:ascii="Arial"/>
                <w:sz w:val="21"/>
              </w:rPr>
            </w:pPr>
          </w:p>
        </w:tc>
        <w:tc>
          <w:tcPr>
            <w:tcW w:w="754" w:type="dxa"/>
            <w:vAlign w:val="top"/>
          </w:tcPr>
          <w:p w14:paraId="2F03A069">
            <w:pPr>
              <w:rPr>
                <w:rFonts w:ascii="Arial"/>
                <w:sz w:val="21"/>
              </w:rPr>
            </w:pPr>
          </w:p>
        </w:tc>
        <w:tc>
          <w:tcPr>
            <w:tcW w:w="748" w:type="dxa"/>
            <w:vAlign w:val="top"/>
          </w:tcPr>
          <w:p w14:paraId="72949588">
            <w:pPr>
              <w:rPr>
                <w:rFonts w:ascii="Arial"/>
                <w:sz w:val="21"/>
              </w:rPr>
            </w:pPr>
          </w:p>
        </w:tc>
        <w:tc>
          <w:tcPr>
            <w:tcW w:w="754" w:type="dxa"/>
            <w:vAlign w:val="top"/>
          </w:tcPr>
          <w:p w14:paraId="03806F89">
            <w:pPr>
              <w:rPr>
                <w:rFonts w:ascii="Arial"/>
                <w:sz w:val="21"/>
              </w:rPr>
            </w:pPr>
          </w:p>
        </w:tc>
        <w:tc>
          <w:tcPr>
            <w:tcW w:w="629" w:type="dxa"/>
            <w:vAlign w:val="top"/>
          </w:tcPr>
          <w:p w14:paraId="2AB478E2">
            <w:pPr>
              <w:rPr>
                <w:rFonts w:ascii="Arial"/>
                <w:sz w:val="21"/>
              </w:rPr>
            </w:pPr>
          </w:p>
        </w:tc>
      </w:tr>
    </w:tbl>
    <w:p w14:paraId="33D7AD4B">
      <w:pPr>
        <w:spacing w:before="269" w:line="221" w:lineRule="auto"/>
        <w:ind w:left="6805"/>
        <w:rPr>
          <w:rFonts w:ascii="宋体" w:hAnsi="宋体" w:eastAsia="宋体" w:cs="宋体"/>
          <w:sz w:val="21"/>
          <w:szCs w:val="21"/>
        </w:rPr>
      </w:pPr>
      <w:r>
        <w:rPr>
          <w:rFonts w:ascii="宋体" w:hAnsi="宋体" w:eastAsia="宋体" w:cs="宋体"/>
          <w:spacing w:val="-26"/>
          <w:sz w:val="21"/>
          <w:szCs w:val="21"/>
        </w:rPr>
        <w:t>日期：</w:t>
      </w:r>
      <w:r>
        <w:rPr>
          <w:rFonts w:ascii="宋体" w:hAnsi="宋体" w:eastAsia="宋体" w:cs="宋体"/>
          <w:spacing w:val="34"/>
          <w:sz w:val="21"/>
          <w:szCs w:val="21"/>
        </w:rPr>
        <w:t xml:space="preserve">   </w:t>
      </w:r>
      <w:r>
        <w:rPr>
          <w:rFonts w:ascii="宋体" w:hAnsi="宋体" w:eastAsia="宋体" w:cs="宋体"/>
          <w:spacing w:val="-26"/>
          <w:sz w:val="21"/>
          <w:szCs w:val="21"/>
        </w:rPr>
        <w:t>年</w:t>
      </w:r>
      <w:r>
        <w:rPr>
          <w:rFonts w:ascii="宋体" w:hAnsi="宋体" w:eastAsia="宋体" w:cs="宋体"/>
          <w:spacing w:val="6"/>
          <w:sz w:val="21"/>
          <w:szCs w:val="21"/>
        </w:rPr>
        <w:t xml:space="preserve">  </w:t>
      </w:r>
      <w:r>
        <w:rPr>
          <w:rFonts w:ascii="宋体" w:hAnsi="宋体" w:eastAsia="宋体" w:cs="宋体"/>
          <w:spacing w:val="-26"/>
          <w:sz w:val="21"/>
          <w:szCs w:val="21"/>
        </w:rPr>
        <w:t>月</w:t>
      </w:r>
      <w:r>
        <w:rPr>
          <w:rFonts w:ascii="宋体" w:hAnsi="宋体" w:eastAsia="宋体" w:cs="宋体"/>
          <w:spacing w:val="98"/>
          <w:sz w:val="21"/>
          <w:szCs w:val="21"/>
        </w:rPr>
        <w:t xml:space="preserve"> </w:t>
      </w:r>
      <w:r>
        <w:rPr>
          <w:rFonts w:ascii="宋体" w:hAnsi="宋体" w:eastAsia="宋体" w:cs="宋体"/>
          <w:spacing w:val="-26"/>
          <w:sz w:val="21"/>
          <w:szCs w:val="21"/>
        </w:rPr>
        <w:t>日</w:t>
      </w:r>
    </w:p>
    <w:p w14:paraId="26188D61">
      <w:pPr>
        <w:spacing w:line="221" w:lineRule="auto"/>
        <w:rPr>
          <w:rFonts w:ascii="宋体" w:hAnsi="宋体" w:eastAsia="宋体" w:cs="宋体"/>
          <w:sz w:val="21"/>
          <w:szCs w:val="21"/>
        </w:rPr>
        <w:sectPr>
          <w:footerReference r:id="rId69" w:type="default"/>
          <w:pgSz w:w="11905" w:h="16839"/>
          <w:pgMar w:top="1431" w:right="1402" w:bottom="996" w:left="1406" w:header="0" w:footer="791" w:gutter="0"/>
          <w:pgNumType w:fmt="decimal"/>
          <w:cols w:space="720" w:num="1"/>
        </w:sectPr>
      </w:pPr>
    </w:p>
    <w:p w14:paraId="4C2B0780">
      <w:pPr>
        <w:pStyle w:val="3"/>
        <w:spacing w:line="297" w:lineRule="auto"/>
      </w:pPr>
    </w:p>
    <w:p w14:paraId="3C69CF5E">
      <w:pPr>
        <w:pStyle w:val="3"/>
        <w:spacing w:line="297" w:lineRule="auto"/>
      </w:pPr>
    </w:p>
    <w:p w14:paraId="6F1D407C">
      <w:pPr>
        <w:spacing w:before="78" w:line="219" w:lineRule="auto"/>
        <w:ind w:left="32"/>
        <w:rPr>
          <w:rFonts w:ascii="黑体" w:hAnsi="黑体" w:eastAsia="黑体" w:cs="黑体"/>
          <w:sz w:val="24"/>
          <w:szCs w:val="24"/>
        </w:rPr>
      </w:pPr>
      <w:r>
        <w:rPr>
          <w:rFonts w:ascii="黑体" w:hAnsi="黑体" w:eastAsia="黑体" w:cs="黑体"/>
          <w:spacing w:val="-3"/>
          <w:sz w:val="24"/>
          <w:szCs w:val="24"/>
        </w:rPr>
        <w:t>附表</w:t>
      </w:r>
      <w:r>
        <w:rPr>
          <w:rFonts w:ascii="黑体" w:hAnsi="黑体" w:eastAsia="黑体" w:cs="黑体"/>
          <w:spacing w:val="-54"/>
          <w:sz w:val="24"/>
          <w:szCs w:val="24"/>
        </w:rPr>
        <w:t xml:space="preserve"> </w:t>
      </w:r>
      <w:r>
        <w:rPr>
          <w:rFonts w:ascii="Times New Roman" w:hAnsi="Times New Roman" w:eastAsia="Times New Roman" w:cs="Times New Roman"/>
          <w:spacing w:val="-3"/>
          <w:sz w:val="24"/>
          <w:szCs w:val="24"/>
        </w:rPr>
        <w:t>A-4</w:t>
      </w:r>
      <w:r>
        <w:rPr>
          <w:rFonts w:ascii="黑体" w:hAnsi="黑体" w:eastAsia="黑体" w:cs="黑体"/>
          <w:spacing w:val="-3"/>
          <w:sz w:val="24"/>
          <w:szCs w:val="24"/>
        </w:rPr>
        <w:t>：形式评审记录表</w:t>
      </w:r>
    </w:p>
    <w:p w14:paraId="49F1325C">
      <w:pPr>
        <w:pStyle w:val="3"/>
        <w:spacing w:line="405" w:lineRule="auto"/>
      </w:pPr>
    </w:p>
    <w:p w14:paraId="136B7940">
      <w:pPr>
        <w:spacing w:before="117" w:line="219" w:lineRule="auto"/>
        <w:ind w:left="2922"/>
        <w:rPr>
          <w:rFonts w:ascii="黑体" w:hAnsi="黑体" w:eastAsia="黑体" w:cs="黑体"/>
          <w:sz w:val="36"/>
          <w:szCs w:val="36"/>
        </w:rPr>
      </w:pPr>
      <w:bookmarkStart w:id="184" w:name="bookmark220"/>
      <w:bookmarkEnd w:id="184"/>
      <w:r>
        <w:rPr>
          <w:rFonts w:ascii="黑体" w:hAnsi="黑体" w:eastAsia="黑体" w:cs="黑体"/>
          <w:spacing w:val="-3"/>
          <w:sz w:val="36"/>
          <w:szCs w:val="36"/>
        </w:rPr>
        <w:t>形式评审记录表</w:t>
      </w:r>
    </w:p>
    <w:p w14:paraId="2F03D76F">
      <w:pPr>
        <w:spacing w:before="239" w:line="221" w:lineRule="auto"/>
        <w:ind w:left="19"/>
        <w:rPr>
          <w:rFonts w:ascii="宋体" w:hAnsi="宋体" w:eastAsia="宋体" w:cs="宋体"/>
          <w:sz w:val="21"/>
          <w:szCs w:val="21"/>
        </w:rPr>
      </w:pPr>
      <w:r>
        <w:rPr>
          <w:rFonts w:ascii="宋体" w:hAnsi="宋体" w:eastAsia="宋体" w:cs="宋体"/>
          <w:spacing w:val="-9"/>
          <w:sz w:val="21"/>
          <w:szCs w:val="21"/>
        </w:rPr>
        <w:t>标段名称：</w:t>
      </w:r>
    </w:p>
    <w:p w14:paraId="783887E2">
      <w:pPr>
        <w:spacing w:before="22" w:line="214" w:lineRule="auto"/>
        <w:ind w:left="19"/>
        <w:rPr>
          <w:rFonts w:ascii="宋体" w:hAnsi="宋体" w:eastAsia="宋体" w:cs="宋体"/>
          <w:sz w:val="21"/>
          <w:szCs w:val="21"/>
        </w:rPr>
      </w:pPr>
      <w:r>
        <w:rPr>
          <w:rFonts w:ascii="宋体" w:hAnsi="宋体" w:eastAsia="宋体" w:cs="宋体"/>
          <w:spacing w:val="-5"/>
          <w:sz w:val="21"/>
          <w:szCs w:val="21"/>
        </w:rPr>
        <w:t>标段唯一标识码：</w:t>
      </w:r>
    </w:p>
    <w:tbl>
      <w:tblPr>
        <w:tblStyle w:val="10"/>
        <w:tblW w:w="8311"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91"/>
        <w:gridCol w:w="1286"/>
        <w:gridCol w:w="615"/>
        <w:gridCol w:w="614"/>
        <w:gridCol w:w="619"/>
        <w:gridCol w:w="614"/>
        <w:gridCol w:w="614"/>
        <w:gridCol w:w="619"/>
        <w:gridCol w:w="615"/>
        <w:gridCol w:w="614"/>
        <w:gridCol w:w="619"/>
        <w:gridCol w:w="791"/>
      </w:tblGrid>
      <w:tr w14:paraId="0221CC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7" w:hRule="atLeast"/>
        </w:trPr>
        <w:tc>
          <w:tcPr>
            <w:tcW w:w="691" w:type="dxa"/>
            <w:vMerge w:val="restart"/>
            <w:tcBorders>
              <w:bottom w:val="nil"/>
            </w:tcBorders>
            <w:vAlign w:val="top"/>
          </w:tcPr>
          <w:p w14:paraId="603C526D">
            <w:pPr>
              <w:spacing w:line="252" w:lineRule="auto"/>
              <w:rPr>
                <w:rFonts w:ascii="Arial"/>
                <w:sz w:val="21"/>
              </w:rPr>
            </w:pPr>
          </w:p>
          <w:p w14:paraId="31B05633">
            <w:pPr>
              <w:pStyle w:val="11"/>
              <w:spacing w:before="69" w:line="222" w:lineRule="auto"/>
              <w:ind w:left="142"/>
            </w:pPr>
            <w:r>
              <w:rPr>
                <w:spacing w:val="-2"/>
                <w14:textOutline w14:w="3831" w14:cap="flat" w14:cmpd="sng">
                  <w14:solidFill>
                    <w14:srgbClr w14:val="000000"/>
                  </w14:solidFill>
                  <w14:prstDash w14:val="solid"/>
                  <w14:miter w14:val="0"/>
                </w14:textOutline>
              </w:rPr>
              <w:t>序号</w:t>
            </w:r>
          </w:p>
        </w:tc>
        <w:tc>
          <w:tcPr>
            <w:tcW w:w="1286" w:type="dxa"/>
            <w:vMerge w:val="restart"/>
            <w:tcBorders>
              <w:bottom w:val="nil"/>
            </w:tcBorders>
            <w:vAlign w:val="top"/>
          </w:tcPr>
          <w:p w14:paraId="7A87E6BF">
            <w:pPr>
              <w:spacing w:line="253" w:lineRule="auto"/>
              <w:rPr>
                <w:rFonts w:ascii="Arial"/>
                <w:sz w:val="21"/>
              </w:rPr>
            </w:pPr>
          </w:p>
          <w:p w14:paraId="67FC0283">
            <w:pPr>
              <w:pStyle w:val="11"/>
              <w:spacing w:before="68" w:line="221" w:lineRule="auto"/>
              <w:ind w:left="121"/>
            </w:pPr>
            <w:r>
              <w:rPr>
                <w:spacing w:val="-1"/>
                <w14:textOutline w14:w="3831" w14:cap="flat" w14:cmpd="sng">
                  <w14:solidFill>
                    <w14:srgbClr w14:val="000000"/>
                  </w14:solidFill>
                  <w14:prstDash w14:val="solid"/>
                  <w14:miter w14:val="0"/>
                </w14:textOutline>
              </w:rPr>
              <w:t>投标人名称</w:t>
            </w:r>
          </w:p>
        </w:tc>
        <w:tc>
          <w:tcPr>
            <w:tcW w:w="5543" w:type="dxa"/>
            <w:gridSpan w:val="9"/>
            <w:vAlign w:val="top"/>
          </w:tcPr>
          <w:p w14:paraId="112C5B8C">
            <w:pPr>
              <w:pStyle w:val="11"/>
              <w:spacing w:before="105" w:line="221" w:lineRule="auto"/>
              <w:ind w:left="1828"/>
            </w:pPr>
            <w:r>
              <w:rPr>
                <w14:textOutline w14:w="3831" w14:cap="flat" w14:cmpd="sng">
                  <w14:solidFill>
                    <w14:srgbClr w14:val="000000"/>
                  </w14:solidFill>
                  <w14:prstDash w14:val="solid"/>
                  <w14:miter w14:val="0"/>
                </w14:textOutline>
              </w:rPr>
              <w:t>评审标准及评审意见</w:t>
            </w:r>
          </w:p>
        </w:tc>
        <w:tc>
          <w:tcPr>
            <w:tcW w:w="791" w:type="dxa"/>
            <w:vMerge w:val="restart"/>
            <w:tcBorders>
              <w:bottom w:val="nil"/>
            </w:tcBorders>
            <w:vAlign w:val="top"/>
          </w:tcPr>
          <w:p w14:paraId="5365873C">
            <w:pPr>
              <w:pStyle w:val="11"/>
              <w:spacing w:before="183" w:line="241" w:lineRule="auto"/>
              <w:ind w:left="189"/>
            </w:pPr>
            <w:r>
              <w:rPr>
                <w:spacing w:val="-2"/>
                <w14:textOutline w14:w="3831" w14:cap="flat" w14:cmpd="sng">
                  <w14:solidFill>
                    <w14:srgbClr w14:val="000000"/>
                  </w14:solidFill>
                  <w14:prstDash w14:val="solid"/>
                  <w14:miter w14:val="0"/>
                </w14:textOutline>
              </w:rPr>
              <w:t>评审</w:t>
            </w:r>
          </w:p>
          <w:p w14:paraId="742C98D1">
            <w:pPr>
              <w:pStyle w:val="11"/>
              <w:spacing w:line="222" w:lineRule="auto"/>
              <w:ind w:left="195"/>
            </w:pPr>
            <w:r>
              <w:rPr>
                <w:spacing w:val="-3"/>
                <w14:textOutline w14:w="3831" w14:cap="flat" w14:cmpd="sng">
                  <w14:solidFill>
                    <w14:srgbClr w14:val="000000"/>
                  </w14:solidFill>
                  <w14:prstDash w14:val="solid"/>
                  <w14:miter w14:val="0"/>
                </w14:textOutline>
              </w:rPr>
              <w:t>结论</w:t>
            </w:r>
          </w:p>
        </w:tc>
      </w:tr>
      <w:tr w14:paraId="753ADA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7" w:hRule="atLeast"/>
        </w:trPr>
        <w:tc>
          <w:tcPr>
            <w:tcW w:w="691" w:type="dxa"/>
            <w:vMerge w:val="continue"/>
            <w:tcBorders>
              <w:top w:val="nil"/>
            </w:tcBorders>
            <w:vAlign w:val="top"/>
          </w:tcPr>
          <w:p w14:paraId="2725D4C4">
            <w:pPr>
              <w:rPr>
                <w:rFonts w:ascii="Arial"/>
                <w:sz w:val="21"/>
              </w:rPr>
            </w:pPr>
          </w:p>
        </w:tc>
        <w:tc>
          <w:tcPr>
            <w:tcW w:w="1286" w:type="dxa"/>
            <w:vMerge w:val="continue"/>
            <w:tcBorders>
              <w:top w:val="nil"/>
            </w:tcBorders>
            <w:vAlign w:val="top"/>
          </w:tcPr>
          <w:p w14:paraId="6A0DE3D8">
            <w:pPr>
              <w:rPr>
                <w:rFonts w:ascii="Arial"/>
                <w:sz w:val="21"/>
              </w:rPr>
            </w:pPr>
          </w:p>
        </w:tc>
        <w:tc>
          <w:tcPr>
            <w:tcW w:w="615" w:type="dxa"/>
            <w:vAlign w:val="top"/>
          </w:tcPr>
          <w:p w14:paraId="318E2C6A">
            <w:pPr>
              <w:rPr>
                <w:rFonts w:ascii="Arial"/>
                <w:sz w:val="21"/>
              </w:rPr>
            </w:pPr>
          </w:p>
        </w:tc>
        <w:tc>
          <w:tcPr>
            <w:tcW w:w="614" w:type="dxa"/>
            <w:vAlign w:val="top"/>
          </w:tcPr>
          <w:p w14:paraId="6870AB51">
            <w:pPr>
              <w:rPr>
                <w:rFonts w:ascii="Arial"/>
                <w:sz w:val="21"/>
              </w:rPr>
            </w:pPr>
          </w:p>
        </w:tc>
        <w:tc>
          <w:tcPr>
            <w:tcW w:w="619" w:type="dxa"/>
            <w:vAlign w:val="top"/>
          </w:tcPr>
          <w:p w14:paraId="6A80DDD4">
            <w:pPr>
              <w:rPr>
                <w:rFonts w:ascii="Arial"/>
                <w:sz w:val="21"/>
              </w:rPr>
            </w:pPr>
          </w:p>
        </w:tc>
        <w:tc>
          <w:tcPr>
            <w:tcW w:w="614" w:type="dxa"/>
            <w:vAlign w:val="top"/>
          </w:tcPr>
          <w:p w14:paraId="663369BD">
            <w:pPr>
              <w:rPr>
                <w:rFonts w:ascii="Arial"/>
                <w:sz w:val="21"/>
              </w:rPr>
            </w:pPr>
          </w:p>
        </w:tc>
        <w:tc>
          <w:tcPr>
            <w:tcW w:w="614" w:type="dxa"/>
            <w:vAlign w:val="top"/>
          </w:tcPr>
          <w:p w14:paraId="17BEF55D">
            <w:pPr>
              <w:rPr>
                <w:rFonts w:ascii="Arial"/>
                <w:sz w:val="21"/>
              </w:rPr>
            </w:pPr>
          </w:p>
        </w:tc>
        <w:tc>
          <w:tcPr>
            <w:tcW w:w="619" w:type="dxa"/>
            <w:vAlign w:val="top"/>
          </w:tcPr>
          <w:p w14:paraId="71EDB8AF">
            <w:pPr>
              <w:rPr>
                <w:rFonts w:ascii="Arial"/>
                <w:sz w:val="21"/>
              </w:rPr>
            </w:pPr>
          </w:p>
        </w:tc>
        <w:tc>
          <w:tcPr>
            <w:tcW w:w="615" w:type="dxa"/>
            <w:vAlign w:val="top"/>
          </w:tcPr>
          <w:p w14:paraId="79EF036E">
            <w:pPr>
              <w:rPr>
                <w:rFonts w:ascii="Arial"/>
                <w:sz w:val="21"/>
              </w:rPr>
            </w:pPr>
          </w:p>
        </w:tc>
        <w:tc>
          <w:tcPr>
            <w:tcW w:w="614" w:type="dxa"/>
            <w:vAlign w:val="top"/>
          </w:tcPr>
          <w:p w14:paraId="3CE89530">
            <w:pPr>
              <w:rPr>
                <w:rFonts w:ascii="Arial"/>
                <w:sz w:val="21"/>
              </w:rPr>
            </w:pPr>
          </w:p>
        </w:tc>
        <w:tc>
          <w:tcPr>
            <w:tcW w:w="619" w:type="dxa"/>
            <w:vAlign w:val="top"/>
          </w:tcPr>
          <w:p w14:paraId="6980866A">
            <w:pPr>
              <w:rPr>
                <w:rFonts w:ascii="Arial"/>
                <w:sz w:val="21"/>
              </w:rPr>
            </w:pPr>
          </w:p>
        </w:tc>
        <w:tc>
          <w:tcPr>
            <w:tcW w:w="791" w:type="dxa"/>
            <w:vMerge w:val="continue"/>
            <w:tcBorders>
              <w:top w:val="nil"/>
            </w:tcBorders>
            <w:vAlign w:val="top"/>
          </w:tcPr>
          <w:p w14:paraId="548A1E07">
            <w:pPr>
              <w:rPr>
                <w:rFonts w:ascii="Arial"/>
                <w:sz w:val="21"/>
              </w:rPr>
            </w:pPr>
          </w:p>
        </w:tc>
      </w:tr>
      <w:tr w14:paraId="0E94D1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691" w:type="dxa"/>
            <w:vAlign w:val="top"/>
          </w:tcPr>
          <w:p w14:paraId="0D6E572B">
            <w:pPr>
              <w:pStyle w:val="11"/>
              <w:spacing w:before="208" w:line="183" w:lineRule="auto"/>
              <w:ind w:left="316"/>
            </w:pPr>
            <w:r>
              <w:t>1</w:t>
            </w:r>
          </w:p>
        </w:tc>
        <w:tc>
          <w:tcPr>
            <w:tcW w:w="1286" w:type="dxa"/>
            <w:vAlign w:val="top"/>
          </w:tcPr>
          <w:p w14:paraId="24FECC8F">
            <w:pPr>
              <w:rPr>
                <w:rFonts w:ascii="Arial"/>
                <w:sz w:val="21"/>
              </w:rPr>
            </w:pPr>
          </w:p>
        </w:tc>
        <w:tc>
          <w:tcPr>
            <w:tcW w:w="615" w:type="dxa"/>
            <w:vAlign w:val="top"/>
          </w:tcPr>
          <w:p w14:paraId="797388ED">
            <w:pPr>
              <w:rPr>
                <w:rFonts w:ascii="Arial"/>
                <w:sz w:val="21"/>
              </w:rPr>
            </w:pPr>
          </w:p>
        </w:tc>
        <w:tc>
          <w:tcPr>
            <w:tcW w:w="614" w:type="dxa"/>
            <w:vAlign w:val="top"/>
          </w:tcPr>
          <w:p w14:paraId="5920C42F">
            <w:pPr>
              <w:rPr>
                <w:rFonts w:ascii="Arial"/>
                <w:sz w:val="21"/>
              </w:rPr>
            </w:pPr>
          </w:p>
        </w:tc>
        <w:tc>
          <w:tcPr>
            <w:tcW w:w="619" w:type="dxa"/>
            <w:vAlign w:val="top"/>
          </w:tcPr>
          <w:p w14:paraId="699D9F81">
            <w:pPr>
              <w:rPr>
                <w:rFonts w:ascii="Arial"/>
                <w:sz w:val="21"/>
              </w:rPr>
            </w:pPr>
          </w:p>
        </w:tc>
        <w:tc>
          <w:tcPr>
            <w:tcW w:w="614" w:type="dxa"/>
            <w:vAlign w:val="top"/>
          </w:tcPr>
          <w:p w14:paraId="35AF63B5">
            <w:pPr>
              <w:rPr>
                <w:rFonts w:ascii="Arial"/>
                <w:sz w:val="21"/>
              </w:rPr>
            </w:pPr>
          </w:p>
        </w:tc>
        <w:tc>
          <w:tcPr>
            <w:tcW w:w="614" w:type="dxa"/>
            <w:vAlign w:val="top"/>
          </w:tcPr>
          <w:p w14:paraId="7144658F">
            <w:pPr>
              <w:rPr>
                <w:rFonts w:ascii="Arial"/>
                <w:sz w:val="21"/>
              </w:rPr>
            </w:pPr>
          </w:p>
        </w:tc>
        <w:tc>
          <w:tcPr>
            <w:tcW w:w="619" w:type="dxa"/>
            <w:vAlign w:val="top"/>
          </w:tcPr>
          <w:p w14:paraId="2876A6CA">
            <w:pPr>
              <w:rPr>
                <w:rFonts w:ascii="Arial"/>
                <w:sz w:val="21"/>
              </w:rPr>
            </w:pPr>
          </w:p>
        </w:tc>
        <w:tc>
          <w:tcPr>
            <w:tcW w:w="615" w:type="dxa"/>
            <w:vAlign w:val="top"/>
          </w:tcPr>
          <w:p w14:paraId="1449441B">
            <w:pPr>
              <w:rPr>
                <w:rFonts w:ascii="Arial"/>
                <w:sz w:val="21"/>
              </w:rPr>
            </w:pPr>
          </w:p>
        </w:tc>
        <w:tc>
          <w:tcPr>
            <w:tcW w:w="614" w:type="dxa"/>
            <w:vAlign w:val="top"/>
          </w:tcPr>
          <w:p w14:paraId="0ADFD848">
            <w:pPr>
              <w:rPr>
                <w:rFonts w:ascii="Arial"/>
                <w:sz w:val="21"/>
              </w:rPr>
            </w:pPr>
          </w:p>
        </w:tc>
        <w:tc>
          <w:tcPr>
            <w:tcW w:w="619" w:type="dxa"/>
            <w:vAlign w:val="top"/>
          </w:tcPr>
          <w:p w14:paraId="0C67F9EB">
            <w:pPr>
              <w:rPr>
                <w:rFonts w:ascii="Arial"/>
                <w:sz w:val="21"/>
              </w:rPr>
            </w:pPr>
          </w:p>
        </w:tc>
        <w:tc>
          <w:tcPr>
            <w:tcW w:w="791" w:type="dxa"/>
            <w:vAlign w:val="top"/>
          </w:tcPr>
          <w:p w14:paraId="795AF3CC">
            <w:pPr>
              <w:rPr>
                <w:rFonts w:ascii="Arial"/>
                <w:sz w:val="21"/>
              </w:rPr>
            </w:pPr>
          </w:p>
        </w:tc>
      </w:tr>
      <w:tr w14:paraId="583114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0" w:hRule="atLeast"/>
        </w:trPr>
        <w:tc>
          <w:tcPr>
            <w:tcW w:w="691" w:type="dxa"/>
            <w:vAlign w:val="top"/>
          </w:tcPr>
          <w:p w14:paraId="62809690">
            <w:pPr>
              <w:pStyle w:val="11"/>
              <w:spacing w:before="214" w:line="182" w:lineRule="auto"/>
              <w:ind w:left="303"/>
            </w:pPr>
            <w:r>
              <w:t>2</w:t>
            </w:r>
          </w:p>
        </w:tc>
        <w:tc>
          <w:tcPr>
            <w:tcW w:w="1286" w:type="dxa"/>
            <w:vAlign w:val="top"/>
          </w:tcPr>
          <w:p w14:paraId="0D1ECB66">
            <w:pPr>
              <w:rPr>
                <w:rFonts w:ascii="Arial"/>
                <w:sz w:val="21"/>
              </w:rPr>
            </w:pPr>
          </w:p>
        </w:tc>
        <w:tc>
          <w:tcPr>
            <w:tcW w:w="615" w:type="dxa"/>
            <w:vAlign w:val="top"/>
          </w:tcPr>
          <w:p w14:paraId="729442B8">
            <w:pPr>
              <w:rPr>
                <w:rFonts w:ascii="Arial"/>
                <w:sz w:val="21"/>
              </w:rPr>
            </w:pPr>
          </w:p>
        </w:tc>
        <w:tc>
          <w:tcPr>
            <w:tcW w:w="614" w:type="dxa"/>
            <w:vAlign w:val="top"/>
          </w:tcPr>
          <w:p w14:paraId="45C266F4">
            <w:pPr>
              <w:rPr>
                <w:rFonts w:ascii="Arial"/>
                <w:sz w:val="21"/>
              </w:rPr>
            </w:pPr>
          </w:p>
        </w:tc>
        <w:tc>
          <w:tcPr>
            <w:tcW w:w="619" w:type="dxa"/>
            <w:vAlign w:val="top"/>
          </w:tcPr>
          <w:p w14:paraId="64276D89">
            <w:pPr>
              <w:rPr>
                <w:rFonts w:ascii="Arial"/>
                <w:sz w:val="21"/>
              </w:rPr>
            </w:pPr>
          </w:p>
        </w:tc>
        <w:tc>
          <w:tcPr>
            <w:tcW w:w="614" w:type="dxa"/>
            <w:vAlign w:val="top"/>
          </w:tcPr>
          <w:p w14:paraId="30E0B523">
            <w:pPr>
              <w:rPr>
                <w:rFonts w:ascii="Arial"/>
                <w:sz w:val="21"/>
              </w:rPr>
            </w:pPr>
          </w:p>
        </w:tc>
        <w:tc>
          <w:tcPr>
            <w:tcW w:w="614" w:type="dxa"/>
            <w:vAlign w:val="top"/>
          </w:tcPr>
          <w:p w14:paraId="0B71C379">
            <w:pPr>
              <w:rPr>
                <w:rFonts w:ascii="Arial"/>
                <w:sz w:val="21"/>
              </w:rPr>
            </w:pPr>
          </w:p>
        </w:tc>
        <w:tc>
          <w:tcPr>
            <w:tcW w:w="619" w:type="dxa"/>
            <w:vAlign w:val="top"/>
          </w:tcPr>
          <w:p w14:paraId="6D45CDE9">
            <w:pPr>
              <w:rPr>
                <w:rFonts w:ascii="Arial"/>
                <w:sz w:val="21"/>
              </w:rPr>
            </w:pPr>
          </w:p>
        </w:tc>
        <w:tc>
          <w:tcPr>
            <w:tcW w:w="615" w:type="dxa"/>
            <w:vAlign w:val="top"/>
          </w:tcPr>
          <w:p w14:paraId="41FBE8CC">
            <w:pPr>
              <w:rPr>
                <w:rFonts w:ascii="Arial"/>
                <w:sz w:val="21"/>
              </w:rPr>
            </w:pPr>
          </w:p>
        </w:tc>
        <w:tc>
          <w:tcPr>
            <w:tcW w:w="614" w:type="dxa"/>
            <w:vAlign w:val="top"/>
          </w:tcPr>
          <w:p w14:paraId="2C136A4B">
            <w:pPr>
              <w:rPr>
                <w:rFonts w:ascii="Arial"/>
                <w:sz w:val="21"/>
              </w:rPr>
            </w:pPr>
          </w:p>
        </w:tc>
        <w:tc>
          <w:tcPr>
            <w:tcW w:w="619" w:type="dxa"/>
            <w:vAlign w:val="top"/>
          </w:tcPr>
          <w:p w14:paraId="5CABAB52">
            <w:pPr>
              <w:rPr>
                <w:rFonts w:ascii="Arial"/>
                <w:sz w:val="21"/>
              </w:rPr>
            </w:pPr>
          </w:p>
        </w:tc>
        <w:tc>
          <w:tcPr>
            <w:tcW w:w="791" w:type="dxa"/>
            <w:vAlign w:val="top"/>
          </w:tcPr>
          <w:p w14:paraId="0DAE31B6">
            <w:pPr>
              <w:rPr>
                <w:rFonts w:ascii="Arial"/>
                <w:sz w:val="21"/>
              </w:rPr>
            </w:pPr>
          </w:p>
        </w:tc>
      </w:tr>
      <w:tr w14:paraId="238CC7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691" w:type="dxa"/>
            <w:vAlign w:val="top"/>
          </w:tcPr>
          <w:p w14:paraId="52F4D812">
            <w:pPr>
              <w:pStyle w:val="11"/>
              <w:spacing w:before="215" w:line="182" w:lineRule="auto"/>
              <w:ind w:left="305"/>
            </w:pPr>
            <w:r>
              <w:t>3</w:t>
            </w:r>
          </w:p>
        </w:tc>
        <w:tc>
          <w:tcPr>
            <w:tcW w:w="1286" w:type="dxa"/>
            <w:vAlign w:val="top"/>
          </w:tcPr>
          <w:p w14:paraId="7EC1D04D">
            <w:pPr>
              <w:rPr>
                <w:rFonts w:ascii="Arial"/>
                <w:sz w:val="21"/>
              </w:rPr>
            </w:pPr>
          </w:p>
        </w:tc>
        <w:tc>
          <w:tcPr>
            <w:tcW w:w="615" w:type="dxa"/>
            <w:vAlign w:val="top"/>
          </w:tcPr>
          <w:p w14:paraId="0D2EFE8B">
            <w:pPr>
              <w:rPr>
                <w:rFonts w:ascii="Arial"/>
                <w:sz w:val="21"/>
              </w:rPr>
            </w:pPr>
          </w:p>
        </w:tc>
        <w:tc>
          <w:tcPr>
            <w:tcW w:w="614" w:type="dxa"/>
            <w:vAlign w:val="top"/>
          </w:tcPr>
          <w:p w14:paraId="7E3CD526">
            <w:pPr>
              <w:rPr>
                <w:rFonts w:ascii="Arial"/>
                <w:sz w:val="21"/>
              </w:rPr>
            </w:pPr>
          </w:p>
        </w:tc>
        <w:tc>
          <w:tcPr>
            <w:tcW w:w="619" w:type="dxa"/>
            <w:vAlign w:val="top"/>
          </w:tcPr>
          <w:p w14:paraId="25933087">
            <w:pPr>
              <w:rPr>
                <w:rFonts w:ascii="Arial"/>
                <w:sz w:val="21"/>
              </w:rPr>
            </w:pPr>
          </w:p>
        </w:tc>
        <w:tc>
          <w:tcPr>
            <w:tcW w:w="614" w:type="dxa"/>
            <w:vAlign w:val="top"/>
          </w:tcPr>
          <w:p w14:paraId="528E8B33">
            <w:pPr>
              <w:rPr>
                <w:rFonts w:ascii="Arial"/>
                <w:sz w:val="21"/>
              </w:rPr>
            </w:pPr>
          </w:p>
        </w:tc>
        <w:tc>
          <w:tcPr>
            <w:tcW w:w="614" w:type="dxa"/>
            <w:vAlign w:val="top"/>
          </w:tcPr>
          <w:p w14:paraId="6969836C">
            <w:pPr>
              <w:rPr>
                <w:rFonts w:ascii="Arial"/>
                <w:sz w:val="21"/>
              </w:rPr>
            </w:pPr>
          </w:p>
        </w:tc>
        <w:tc>
          <w:tcPr>
            <w:tcW w:w="619" w:type="dxa"/>
            <w:vAlign w:val="top"/>
          </w:tcPr>
          <w:p w14:paraId="720B6E4F">
            <w:pPr>
              <w:rPr>
                <w:rFonts w:ascii="Arial"/>
                <w:sz w:val="21"/>
              </w:rPr>
            </w:pPr>
          </w:p>
        </w:tc>
        <w:tc>
          <w:tcPr>
            <w:tcW w:w="615" w:type="dxa"/>
            <w:vAlign w:val="top"/>
          </w:tcPr>
          <w:p w14:paraId="05D54D36">
            <w:pPr>
              <w:rPr>
                <w:rFonts w:ascii="Arial"/>
                <w:sz w:val="21"/>
              </w:rPr>
            </w:pPr>
          </w:p>
        </w:tc>
        <w:tc>
          <w:tcPr>
            <w:tcW w:w="614" w:type="dxa"/>
            <w:vAlign w:val="top"/>
          </w:tcPr>
          <w:p w14:paraId="26587082">
            <w:pPr>
              <w:rPr>
                <w:rFonts w:ascii="Arial"/>
                <w:sz w:val="21"/>
              </w:rPr>
            </w:pPr>
          </w:p>
        </w:tc>
        <w:tc>
          <w:tcPr>
            <w:tcW w:w="619" w:type="dxa"/>
            <w:vAlign w:val="top"/>
          </w:tcPr>
          <w:p w14:paraId="6A890707">
            <w:pPr>
              <w:rPr>
                <w:rFonts w:ascii="Arial"/>
                <w:sz w:val="21"/>
              </w:rPr>
            </w:pPr>
          </w:p>
        </w:tc>
        <w:tc>
          <w:tcPr>
            <w:tcW w:w="791" w:type="dxa"/>
            <w:vAlign w:val="top"/>
          </w:tcPr>
          <w:p w14:paraId="0BD92AE3">
            <w:pPr>
              <w:rPr>
                <w:rFonts w:ascii="Arial"/>
                <w:sz w:val="21"/>
              </w:rPr>
            </w:pPr>
          </w:p>
        </w:tc>
      </w:tr>
      <w:tr w14:paraId="0271E9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5" w:hRule="atLeast"/>
        </w:trPr>
        <w:tc>
          <w:tcPr>
            <w:tcW w:w="691" w:type="dxa"/>
            <w:vAlign w:val="top"/>
          </w:tcPr>
          <w:p w14:paraId="5F0EBE39">
            <w:pPr>
              <w:pStyle w:val="11"/>
              <w:spacing w:before="215" w:line="182" w:lineRule="auto"/>
              <w:ind w:left="300"/>
            </w:pPr>
            <w:r>
              <w:t>4</w:t>
            </w:r>
          </w:p>
        </w:tc>
        <w:tc>
          <w:tcPr>
            <w:tcW w:w="1286" w:type="dxa"/>
            <w:vAlign w:val="top"/>
          </w:tcPr>
          <w:p w14:paraId="334F4A4A">
            <w:pPr>
              <w:rPr>
                <w:rFonts w:ascii="Arial"/>
                <w:sz w:val="21"/>
              </w:rPr>
            </w:pPr>
          </w:p>
        </w:tc>
        <w:tc>
          <w:tcPr>
            <w:tcW w:w="615" w:type="dxa"/>
            <w:vAlign w:val="top"/>
          </w:tcPr>
          <w:p w14:paraId="128B16E5">
            <w:pPr>
              <w:rPr>
                <w:rFonts w:ascii="Arial"/>
                <w:sz w:val="21"/>
              </w:rPr>
            </w:pPr>
          </w:p>
        </w:tc>
        <w:tc>
          <w:tcPr>
            <w:tcW w:w="614" w:type="dxa"/>
            <w:vAlign w:val="top"/>
          </w:tcPr>
          <w:p w14:paraId="79A7CC8A">
            <w:pPr>
              <w:rPr>
                <w:rFonts w:ascii="Arial"/>
                <w:sz w:val="21"/>
              </w:rPr>
            </w:pPr>
          </w:p>
        </w:tc>
        <w:tc>
          <w:tcPr>
            <w:tcW w:w="619" w:type="dxa"/>
            <w:vAlign w:val="top"/>
          </w:tcPr>
          <w:p w14:paraId="09C5E0BE">
            <w:pPr>
              <w:rPr>
                <w:rFonts w:ascii="Arial"/>
                <w:sz w:val="21"/>
              </w:rPr>
            </w:pPr>
          </w:p>
        </w:tc>
        <w:tc>
          <w:tcPr>
            <w:tcW w:w="614" w:type="dxa"/>
            <w:vAlign w:val="top"/>
          </w:tcPr>
          <w:p w14:paraId="6B098CA0">
            <w:pPr>
              <w:rPr>
                <w:rFonts w:ascii="Arial"/>
                <w:sz w:val="21"/>
              </w:rPr>
            </w:pPr>
          </w:p>
        </w:tc>
        <w:tc>
          <w:tcPr>
            <w:tcW w:w="614" w:type="dxa"/>
            <w:vAlign w:val="top"/>
          </w:tcPr>
          <w:p w14:paraId="516757AB">
            <w:pPr>
              <w:rPr>
                <w:rFonts w:ascii="Arial"/>
                <w:sz w:val="21"/>
              </w:rPr>
            </w:pPr>
          </w:p>
        </w:tc>
        <w:tc>
          <w:tcPr>
            <w:tcW w:w="619" w:type="dxa"/>
            <w:vAlign w:val="top"/>
          </w:tcPr>
          <w:p w14:paraId="6920CA03">
            <w:pPr>
              <w:rPr>
                <w:rFonts w:ascii="Arial"/>
                <w:sz w:val="21"/>
              </w:rPr>
            </w:pPr>
          </w:p>
        </w:tc>
        <w:tc>
          <w:tcPr>
            <w:tcW w:w="615" w:type="dxa"/>
            <w:vAlign w:val="top"/>
          </w:tcPr>
          <w:p w14:paraId="2E6A1589">
            <w:pPr>
              <w:rPr>
                <w:rFonts w:ascii="Arial"/>
                <w:sz w:val="21"/>
              </w:rPr>
            </w:pPr>
          </w:p>
        </w:tc>
        <w:tc>
          <w:tcPr>
            <w:tcW w:w="614" w:type="dxa"/>
            <w:vAlign w:val="top"/>
          </w:tcPr>
          <w:p w14:paraId="516C9C76">
            <w:pPr>
              <w:rPr>
                <w:rFonts w:ascii="Arial"/>
                <w:sz w:val="21"/>
              </w:rPr>
            </w:pPr>
          </w:p>
        </w:tc>
        <w:tc>
          <w:tcPr>
            <w:tcW w:w="619" w:type="dxa"/>
            <w:vAlign w:val="top"/>
          </w:tcPr>
          <w:p w14:paraId="7BD67C01">
            <w:pPr>
              <w:rPr>
                <w:rFonts w:ascii="Arial"/>
                <w:sz w:val="21"/>
              </w:rPr>
            </w:pPr>
          </w:p>
        </w:tc>
        <w:tc>
          <w:tcPr>
            <w:tcW w:w="791" w:type="dxa"/>
            <w:vAlign w:val="top"/>
          </w:tcPr>
          <w:p w14:paraId="4E22AFB5">
            <w:pPr>
              <w:rPr>
                <w:rFonts w:ascii="Arial"/>
                <w:sz w:val="21"/>
              </w:rPr>
            </w:pPr>
          </w:p>
        </w:tc>
      </w:tr>
      <w:tr w14:paraId="303243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0" w:hRule="atLeast"/>
        </w:trPr>
        <w:tc>
          <w:tcPr>
            <w:tcW w:w="691" w:type="dxa"/>
            <w:vAlign w:val="top"/>
          </w:tcPr>
          <w:p w14:paraId="73F33948">
            <w:pPr>
              <w:pStyle w:val="11"/>
              <w:spacing w:before="212" w:line="181" w:lineRule="auto"/>
              <w:ind w:left="305"/>
            </w:pPr>
            <w:r>
              <w:t>5</w:t>
            </w:r>
          </w:p>
        </w:tc>
        <w:tc>
          <w:tcPr>
            <w:tcW w:w="1286" w:type="dxa"/>
            <w:vAlign w:val="top"/>
          </w:tcPr>
          <w:p w14:paraId="0CFB15C0">
            <w:pPr>
              <w:rPr>
                <w:rFonts w:ascii="Arial"/>
                <w:sz w:val="21"/>
              </w:rPr>
            </w:pPr>
          </w:p>
        </w:tc>
        <w:tc>
          <w:tcPr>
            <w:tcW w:w="615" w:type="dxa"/>
            <w:vAlign w:val="top"/>
          </w:tcPr>
          <w:p w14:paraId="4428530E">
            <w:pPr>
              <w:rPr>
                <w:rFonts w:ascii="Arial"/>
                <w:sz w:val="21"/>
              </w:rPr>
            </w:pPr>
          </w:p>
        </w:tc>
        <w:tc>
          <w:tcPr>
            <w:tcW w:w="614" w:type="dxa"/>
            <w:vAlign w:val="top"/>
          </w:tcPr>
          <w:p w14:paraId="79850BFD">
            <w:pPr>
              <w:rPr>
                <w:rFonts w:ascii="Arial"/>
                <w:sz w:val="21"/>
              </w:rPr>
            </w:pPr>
          </w:p>
        </w:tc>
        <w:tc>
          <w:tcPr>
            <w:tcW w:w="619" w:type="dxa"/>
            <w:vAlign w:val="top"/>
          </w:tcPr>
          <w:p w14:paraId="6DAFA818">
            <w:pPr>
              <w:rPr>
                <w:rFonts w:ascii="Arial"/>
                <w:sz w:val="21"/>
              </w:rPr>
            </w:pPr>
          </w:p>
        </w:tc>
        <w:tc>
          <w:tcPr>
            <w:tcW w:w="614" w:type="dxa"/>
            <w:vAlign w:val="top"/>
          </w:tcPr>
          <w:p w14:paraId="5044380E">
            <w:pPr>
              <w:rPr>
                <w:rFonts w:ascii="Arial"/>
                <w:sz w:val="21"/>
              </w:rPr>
            </w:pPr>
          </w:p>
        </w:tc>
        <w:tc>
          <w:tcPr>
            <w:tcW w:w="614" w:type="dxa"/>
            <w:vAlign w:val="top"/>
          </w:tcPr>
          <w:p w14:paraId="097C614A">
            <w:pPr>
              <w:rPr>
                <w:rFonts w:ascii="Arial"/>
                <w:sz w:val="21"/>
              </w:rPr>
            </w:pPr>
          </w:p>
        </w:tc>
        <w:tc>
          <w:tcPr>
            <w:tcW w:w="619" w:type="dxa"/>
            <w:vAlign w:val="top"/>
          </w:tcPr>
          <w:p w14:paraId="6A4D0518">
            <w:pPr>
              <w:rPr>
                <w:rFonts w:ascii="Arial"/>
                <w:sz w:val="21"/>
              </w:rPr>
            </w:pPr>
          </w:p>
        </w:tc>
        <w:tc>
          <w:tcPr>
            <w:tcW w:w="615" w:type="dxa"/>
            <w:vAlign w:val="top"/>
          </w:tcPr>
          <w:p w14:paraId="0B0CF1C9">
            <w:pPr>
              <w:rPr>
                <w:rFonts w:ascii="Arial"/>
                <w:sz w:val="21"/>
              </w:rPr>
            </w:pPr>
          </w:p>
        </w:tc>
        <w:tc>
          <w:tcPr>
            <w:tcW w:w="614" w:type="dxa"/>
            <w:vAlign w:val="top"/>
          </w:tcPr>
          <w:p w14:paraId="0A2F19B4">
            <w:pPr>
              <w:rPr>
                <w:rFonts w:ascii="Arial"/>
                <w:sz w:val="21"/>
              </w:rPr>
            </w:pPr>
          </w:p>
        </w:tc>
        <w:tc>
          <w:tcPr>
            <w:tcW w:w="619" w:type="dxa"/>
            <w:vAlign w:val="top"/>
          </w:tcPr>
          <w:p w14:paraId="10FA556D">
            <w:pPr>
              <w:rPr>
                <w:rFonts w:ascii="Arial"/>
                <w:sz w:val="21"/>
              </w:rPr>
            </w:pPr>
          </w:p>
        </w:tc>
        <w:tc>
          <w:tcPr>
            <w:tcW w:w="791" w:type="dxa"/>
            <w:vAlign w:val="top"/>
          </w:tcPr>
          <w:p w14:paraId="60979ED1">
            <w:pPr>
              <w:rPr>
                <w:rFonts w:ascii="Arial"/>
                <w:sz w:val="21"/>
              </w:rPr>
            </w:pPr>
          </w:p>
        </w:tc>
      </w:tr>
      <w:tr w14:paraId="480D04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691" w:type="dxa"/>
            <w:vAlign w:val="top"/>
          </w:tcPr>
          <w:p w14:paraId="764A6D81">
            <w:pPr>
              <w:pStyle w:val="11"/>
              <w:spacing w:before="213" w:line="182" w:lineRule="auto"/>
              <w:ind w:left="303"/>
            </w:pPr>
            <w:r>
              <w:t>6</w:t>
            </w:r>
          </w:p>
        </w:tc>
        <w:tc>
          <w:tcPr>
            <w:tcW w:w="1286" w:type="dxa"/>
            <w:vAlign w:val="top"/>
          </w:tcPr>
          <w:p w14:paraId="0EAD6B50">
            <w:pPr>
              <w:rPr>
                <w:rFonts w:ascii="Arial"/>
                <w:sz w:val="21"/>
              </w:rPr>
            </w:pPr>
          </w:p>
        </w:tc>
        <w:tc>
          <w:tcPr>
            <w:tcW w:w="615" w:type="dxa"/>
            <w:vAlign w:val="top"/>
          </w:tcPr>
          <w:p w14:paraId="4595BA66">
            <w:pPr>
              <w:rPr>
                <w:rFonts w:ascii="Arial"/>
                <w:sz w:val="21"/>
              </w:rPr>
            </w:pPr>
          </w:p>
        </w:tc>
        <w:tc>
          <w:tcPr>
            <w:tcW w:w="614" w:type="dxa"/>
            <w:vAlign w:val="top"/>
          </w:tcPr>
          <w:p w14:paraId="1A0D315D">
            <w:pPr>
              <w:rPr>
                <w:rFonts w:ascii="Arial"/>
                <w:sz w:val="21"/>
              </w:rPr>
            </w:pPr>
          </w:p>
        </w:tc>
        <w:tc>
          <w:tcPr>
            <w:tcW w:w="619" w:type="dxa"/>
            <w:vAlign w:val="top"/>
          </w:tcPr>
          <w:p w14:paraId="5FC989C4">
            <w:pPr>
              <w:rPr>
                <w:rFonts w:ascii="Arial"/>
                <w:sz w:val="21"/>
              </w:rPr>
            </w:pPr>
          </w:p>
        </w:tc>
        <w:tc>
          <w:tcPr>
            <w:tcW w:w="614" w:type="dxa"/>
            <w:vAlign w:val="top"/>
          </w:tcPr>
          <w:p w14:paraId="6F94DCA2">
            <w:pPr>
              <w:rPr>
                <w:rFonts w:ascii="Arial"/>
                <w:sz w:val="21"/>
              </w:rPr>
            </w:pPr>
          </w:p>
        </w:tc>
        <w:tc>
          <w:tcPr>
            <w:tcW w:w="614" w:type="dxa"/>
            <w:vAlign w:val="top"/>
          </w:tcPr>
          <w:p w14:paraId="5CFC5CB2">
            <w:pPr>
              <w:rPr>
                <w:rFonts w:ascii="Arial"/>
                <w:sz w:val="21"/>
              </w:rPr>
            </w:pPr>
          </w:p>
        </w:tc>
        <w:tc>
          <w:tcPr>
            <w:tcW w:w="619" w:type="dxa"/>
            <w:vAlign w:val="top"/>
          </w:tcPr>
          <w:p w14:paraId="23406F70">
            <w:pPr>
              <w:rPr>
                <w:rFonts w:ascii="Arial"/>
                <w:sz w:val="21"/>
              </w:rPr>
            </w:pPr>
          </w:p>
        </w:tc>
        <w:tc>
          <w:tcPr>
            <w:tcW w:w="615" w:type="dxa"/>
            <w:vAlign w:val="top"/>
          </w:tcPr>
          <w:p w14:paraId="3C4AC301">
            <w:pPr>
              <w:rPr>
                <w:rFonts w:ascii="Arial"/>
                <w:sz w:val="21"/>
              </w:rPr>
            </w:pPr>
          </w:p>
        </w:tc>
        <w:tc>
          <w:tcPr>
            <w:tcW w:w="614" w:type="dxa"/>
            <w:vAlign w:val="top"/>
          </w:tcPr>
          <w:p w14:paraId="37CCF525">
            <w:pPr>
              <w:rPr>
                <w:rFonts w:ascii="Arial"/>
                <w:sz w:val="21"/>
              </w:rPr>
            </w:pPr>
          </w:p>
        </w:tc>
        <w:tc>
          <w:tcPr>
            <w:tcW w:w="619" w:type="dxa"/>
            <w:vAlign w:val="top"/>
          </w:tcPr>
          <w:p w14:paraId="6784DB1C">
            <w:pPr>
              <w:rPr>
                <w:rFonts w:ascii="Arial"/>
                <w:sz w:val="21"/>
              </w:rPr>
            </w:pPr>
          </w:p>
        </w:tc>
        <w:tc>
          <w:tcPr>
            <w:tcW w:w="791" w:type="dxa"/>
            <w:vAlign w:val="top"/>
          </w:tcPr>
          <w:p w14:paraId="46BC1784">
            <w:pPr>
              <w:rPr>
                <w:rFonts w:ascii="Arial"/>
                <w:sz w:val="21"/>
              </w:rPr>
            </w:pPr>
          </w:p>
        </w:tc>
      </w:tr>
      <w:tr w14:paraId="2B2DCF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691" w:type="dxa"/>
            <w:vAlign w:val="top"/>
          </w:tcPr>
          <w:p w14:paraId="6C0DF9D2">
            <w:pPr>
              <w:pStyle w:val="11"/>
              <w:spacing w:before="182" w:line="332" w:lineRule="exact"/>
              <w:ind w:left="261"/>
            </w:pPr>
            <w:r>
              <w:rPr>
                <w:position w:val="2"/>
              </w:rPr>
              <w:t>…</w:t>
            </w:r>
          </w:p>
        </w:tc>
        <w:tc>
          <w:tcPr>
            <w:tcW w:w="1286" w:type="dxa"/>
            <w:vAlign w:val="top"/>
          </w:tcPr>
          <w:p w14:paraId="2F4B74A2">
            <w:pPr>
              <w:rPr>
                <w:rFonts w:ascii="Arial"/>
                <w:sz w:val="21"/>
              </w:rPr>
            </w:pPr>
          </w:p>
        </w:tc>
        <w:tc>
          <w:tcPr>
            <w:tcW w:w="615" w:type="dxa"/>
            <w:vAlign w:val="top"/>
          </w:tcPr>
          <w:p w14:paraId="4386B981">
            <w:pPr>
              <w:rPr>
                <w:rFonts w:ascii="Arial"/>
                <w:sz w:val="21"/>
              </w:rPr>
            </w:pPr>
          </w:p>
        </w:tc>
        <w:tc>
          <w:tcPr>
            <w:tcW w:w="614" w:type="dxa"/>
            <w:vAlign w:val="top"/>
          </w:tcPr>
          <w:p w14:paraId="734F8A39">
            <w:pPr>
              <w:rPr>
                <w:rFonts w:ascii="Arial"/>
                <w:sz w:val="21"/>
              </w:rPr>
            </w:pPr>
          </w:p>
        </w:tc>
        <w:tc>
          <w:tcPr>
            <w:tcW w:w="619" w:type="dxa"/>
            <w:vAlign w:val="top"/>
          </w:tcPr>
          <w:p w14:paraId="1989FDA3">
            <w:pPr>
              <w:rPr>
                <w:rFonts w:ascii="Arial"/>
                <w:sz w:val="21"/>
              </w:rPr>
            </w:pPr>
          </w:p>
        </w:tc>
        <w:tc>
          <w:tcPr>
            <w:tcW w:w="614" w:type="dxa"/>
            <w:vAlign w:val="top"/>
          </w:tcPr>
          <w:p w14:paraId="10A672C0">
            <w:pPr>
              <w:rPr>
                <w:rFonts w:ascii="Arial"/>
                <w:sz w:val="21"/>
              </w:rPr>
            </w:pPr>
          </w:p>
        </w:tc>
        <w:tc>
          <w:tcPr>
            <w:tcW w:w="614" w:type="dxa"/>
            <w:vAlign w:val="top"/>
          </w:tcPr>
          <w:p w14:paraId="19ACFB37">
            <w:pPr>
              <w:rPr>
                <w:rFonts w:ascii="Arial"/>
                <w:sz w:val="21"/>
              </w:rPr>
            </w:pPr>
          </w:p>
        </w:tc>
        <w:tc>
          <w:tcPr>
            <w:tcW w:w="619" w:type="dxa"/>
            <w:vAlign w:val="top"/>
          </w:tcPr>
          <w:p w14:paraId="57E449E0">
            <w:pPr>
              <w:rPr>
                <w:rFonts w:ascii="Arial"/>
                <w:sz w:val="21"/>
              </w:rPr>
            </w:pPr>
          </w:p>
        </w:tc>
        <w:tc>
          <w:tcPr>
            <w:tcW w:w="615" w:type="dxa"/>
            <w:vAlign w:val="top"/>
          </w:tcPr>
          <w:p w14:paraId="5C0F8507">
            <w:pPr>
              <w:rPr>
                <w:rFonts w:ascii="Arial"/>
                <w:sz w:val="21"/>
              </w:rPr>
            </w:pPr>
          </w:p>
        </w:tc>
        <w:tc>
          <w:tcPr>
            <w:tcW w:w="614" w:type="dxa"/>
            <w:vAlign w:val="top"/>
          </w:tcPr>
          <w:p w14:paraId="436559B6">
            <w:pPr>
              <w:rPr>
                <w:rFonts w:ascii="Arial"/>
                <w:sz w:val="21"/>
              </w:rPr>
            </w:pPr>
          </w:p>
        </w:tc>
        <w:tc>
          <w:tcPr>
            <w:tcW w:w="619" w:type="dxa"/>
            <w:vAlign w:val="top"/>
          </w:tcPr>
          <w:p w14:paraId="5268D461">
            <w:pPr>
              <w:rPr>
                <w:rFonts w:ascii="Arial"/>
                <w:sz w:val="21"/>
              </w:rPr>
            </w:pPr>
          </w:p>
        </w:tc>
        <w:tc>
          <w:tcPr>
            <w:tcW w:w="791" w:type="dxa"/>
            <w:vAlign w:val="top"/>
          </w:tcPr>
          <w:p w14:paraId="46B3F0A9">
            <w:pPr>
              <w:rPr>
                <w:rFonts w:ascii="Arial"/>
                <w:sz w:val="21"/>
              </w:rPr>
            </w:pPr>
          </w:p>
        </w:tc>
      </w:tr>
      <w:tr w14:paraId="74EE58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54" w:hRule="atLeast"/>
        </w:trPr>
        <w:tc>
          <w:tcPr>
            <w:tcW w:w="8311" w:type="dxa"/>
            <w:gridSpan w:val="12"/>
            <w:vAlign w:val="top"/>
          </w:tcPr>
          <w:p w14:paraId="147184BC">
            <w:pPr>
              <w:pStyle w:val="11"/>
              <w:spacing w:before="288" w:line="220" w:lineRule="auto"/>
              <w:ind w:left="118"/>
            </w:pPr>
            <w:r>
              <w:rPr>
                <w:spacing w:val="-3"/>
              </w:rPr>
              <w:t>评标委员会全体成员签名：</w:t>
            </w:r>
          </w:p>
        </w:tc>
      </w:tr>
    </w:tbl>
    <w:p w14:paraId="1041AF4D">
      <w:pPr>
        <w:spacing w:before="139" w:line="221" w:lineRule="auto"/>
        <w:ind w:left="5730"/>
        <w:rPr>
          <w:rFonts w:ascii="宋体" w:hAnsi="宋体" w:eastAsia="宋体" w:cs="宋体"/>
          <w:sz w:val="21"/>
          <w:szCs w:val="21"/>
        </w:rPr>
      </w:pPr>
      <w:r>
        <w:rPr>
          <w:rFonts w:ascii="宋体" w:hAnsi="宋体" w:eastAsia="宋体" w:cs="宋体"/>
          <w:spacing w:val="-19"/>
          <w:sz w:val="21"/>
          <w:szCs w:val="21"/>
        </w:rPr>
        <w:t>日期：</w:t>
      </w:r>
      <w:r>
        <w:rPr>
          <w:rFonts w:ascii="宋体" w:hAnsi="宋体" w:eastAsia="宋体" w:cs="宋体"/>
          <w:spacing w:val="24"/>
          <w:sz w:val="21"/>
          <w:szCs w:val="21"/>
        </w:rPr>
        <w:t xml:space="preserve">    </w:t>
      </w:r>
      <w:r>
        <w:rPr>
          <w:rFonts w:ascii="宋体" w:hAnsi="宋体" w:eastAsia="宋体" w:cs="宋体"/>
          <w:spacing w:val="-19"/>
          <w:sz w:val="21"/>
          <w:szCs w:val="21"/>
        </w:rPr>
        <w:t>年</w:t>
      </w:r>
      <w:r>
        <w:rPr>
          <w:rFonts w:ascii="宋体" w:hAnsi="宋体" w:eastAsia="宋体" w:cs="宋体"/>
          <w:spacing w:val="2"/>
          <w:sz w:val="21"/>
          <w:szCs w:val="21"/>
        </w:rPr>
        <w:t xml:space="preserve">    </w:t>
      </w:r>
      <w:r>
        <w:rPr>
          <w:rFonts w:ascii="宋体" w:hAnsi="宋体" w:eastAsia="宋体" w:cs="宋体"/>
          <w:spacing w:val="-19"/>
          <w:sz w:val="21"/>
          <w:szCs w:val="21"/>
        </w:rPr>
        <w:t>月     日</w:t>
      </w:r>
    </w:p>
    <w:p w14:paraId="26F680B4">
      <w:pPr>
        <w:spacing w:line="221" w:lineRule="auto"/>
        <w:rPr>
          <w:rFonts w:ascii="宋体" w:hAnsi="宋体" w:eastAsia="宋体" w:cs="宋体"/>
          <w:sz w:val="21"/>
          <w:szCs w:val="21"/>
        </w:rPr>
        <w:sectPr>
          <w:footerReference r:id="rId70" w:type="default"/>
          <w:pgSz w:w="11905" w:h="16839"/>
          <w:pgMar w:top="1431" w:right="1785" w:bottom="996" w:left="1785" w:header="0" w:footer="791" w:gutter="0"/>
          <w:pgNumType w:fmt="decimal"/>
          <w:cols w:space="720" w:num="1"/>
        </w:sectPr>
      </w:pPr>
    </w:p>
    <w:p w14:paraId="4ADEEE65">
      <w:pPr>
        <w:spacing w:before="124" w:line="219" w:lineRule="auto"/>
        <w:ind w:left="32"/>
        <w:rPr>
          <w:rFonts w:ascii="黑体" w:hAnsi="黑体" w:eastAsia="黑体" w:cs="黑体"/>
          <w:sz w:val="24"/>
          <w:szCs w:val="24"/>
        </w:rPr>
      </w:pPr>
      <w:r>
        <w:rPr>
          <w:rFonts w:ascii="黑体" w:hAnsi="黑体" w:eastAsia="黑体" w:cs="黑体"/>
          <w:spacing w:val="-3"/>
          <w:sz w:val="24"/>
          <w:szCs w:val="24"/>
        </w:rPr>
        <w:t>附表</w:t>
      </w:r>
      <w:r>
        <w:rPr>
          <w:rFonts w:ascii="黑体" w:hAnsi="黑体" w:eastAsia="黑体" w:cs="黑体"/>
          <w:spacing w:val="-54"/>
          <w:sz w:val="24"/>
          <w:szCs w:val="24"/>
        </w:rPr>
        <w:t xml:space="preserve"> </w:t>
      </w:r>
      <w:r>
        <w:rPr>
          <w:rFonts w:ascii="Times New Roman" w:hAnsi="Times New Roman" w:eastAsia="Times New Roman" w:cs="Times New Roman"/>
          <w:spacing w:val="-3"/>
          <w:sz w:val="24"/>
          <w:szCs w:val="24"/>
        </w:rPr>
        <w:t>A-5</w:t>
      </w:r>
      <w:r>
        <w:rPr>
          <w:rFonts w:ascii="黑体" w:hAnsi="黑体" w:eastAsia="黑体" w:cs="黑体"/>
          <w:spacing w:val="-3"/>
          <w:sz w:val="24"/>
          <w:szCs w:val="24"/>
        </w:rPr>
        <w:t>：资格评审记录表</w:t>
      </w:r>
    </w:p>
    <w:p w14:paraId="2B134B9C">
      <w:pPr>
        <w:pStyle w:val="3"/>
        <w:spacing w:line="317" w:lineRule="auto"/>
      </w:pPr>
    </w:p>
    <w:p w14:paraId="5013B634">
      <w:pPr>
        <w:pStyle w:val="3"/>
        <w:spacing w:line="317" w:lineRule="auto"/>
      </w:pPr>
    </w:p>
    <w:p w14:paraId="6C34E3D1">
      <w:pPr>
        <w:spacing w:before="117" w:line="219" w:lineRule="auto"/>
        <w:ind w:left="2932"/>
        <w:rPr>
          <w:rFonts w:ascii="黑体" w:hAnsi="黑体" w:eastAsia="黑体" w:cs="黑体"/>
          <w:sz w:val="36"/>
          <w:szCs w:val="36"/>
        </w:rPr>
      </w:pPr>
      <w:bookmarkStart w:id="185" w:name="bookmark221"/>
      <w:bookmarkEnd w:id="185"/>
      <w:r>
        <w:rPr>
          <w:rFonts w:ascii="黑体" w:hAnsi="黑体" w:eastAsia="黑体" w:cs="黑体"/>
          <w:spacing w:val="-4"/>
          <w:sz w:val="36"/>
          <w:szCs w:val="36"/>
        </w:rPr>
        <w:t>资格评审记录表</w:t>
      </w:r>
    </w:p>
    <w:p w14:paraId="3A3C2F45">
      <w:pPr>
        <w:spacing w:before="234" w:line="221" w:lineRule="auto"/>
        <w:ind w:left="19"/>
        <w:rPr>
          <w:rFonts w:ascii="宋体" w:hAnsi="宋体" w:eastAsia="宋体" w:cs="宋体"/>
          <w:sz w:val="21"/>
          <w:szCs w:val="21"/>
        </w:rPr>
      </w:pPr>
      <w:r>
        <w:rPr>
          <w:rFonts w:ascii="宋体" w:hAnsi="宋体" w:eastAsia="宋体" w:cs="宋体"/>
          <w:spacing w:val="-9"/>
          <w:sz w:val="21"/>
          <w:szCs w:val="21"/>
        </w:rPr>
        <w:t>标段名称：</w:t>
      </w:r>
    </w:p>
    <w:p w14:paraId="465170FC">
      <w:pPr>
        <w:spacing w:before="22" w:line="214" w:lineRule="auto"/>
        <w:ind w:left="19"/>
        <w:rPr>
          <w:rFonts w:ascii="宋体" w:hAnsi="宋体" w:eastAsia="宋体" w:cs="宋体"/>
          <w:sz w:val="21"/>
          <w:szCs w:val="21"/>
        </w:rPr>
      </w:pPr>
      <w:r>
        <w:rPr>
          <w:rFonts w:ascii="宋体" w:hAnsi="宋体" w:eastAsia="宋体" w:cs="宋体"/>
          <w:spacing w:val="-5"/>
          <w:sz w:val="21"/>
          <w:szCs w:val="21"/>
        </w:rPr>
        <w:t>标段唯一标识码：</w:t>
      </w:r>
    </w:p>
    <w:tbl>
      <w:tblPr>
        <w:tblStyle w:val="10"/>
        <w:tblW w:w="8311"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29"/>
        <w:gridCol w:w="1348"/>
        <w:gridCol w:w="615"/>
        <w:gridCol w:w="614"/>
        <w:gridCol w:w="619"/>
        <w:gridCol w:w="614"/>
        <w:gridCol w:w="614"/>
        <w:gridCol w:w="619"/>
        <w:gridCol w:w="615"/>
        <w:gridCol w:w="614"/>
        <w:gridCol w:w="619"/>
        <w:gridCol w:w="791"/>
      </w:tblGrid>
      <w:tr w14:paraId="269DC5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7" w:hRule="atLeast"/>
        </w:trPr>
        <w:tc>
          <w:tcPr>
            <w:tcW w:w="629" w:type="dxa"/>
            <w:vMerge w:val="restart"/>
            <w:tcBorders>
              <w:bottom w:val="nil"/>
            </w:tcBorders>
            <w:textDirection w:val="tbRlV"/>
            <w:vAlign w:val="top"/>
          </w:tcPr>
          <w:p w14:paraId="63FC48F3">
            <w:pPr>
              <w:pStyle w:val="11"/>
              <w:spacing w:before="205" w:line="211" w:lineRule="auto"/>
              <w:ind w:left="183"/>
            </w:pPr>
            <w:r>
              <w:rPr>
                <w:spacing w:val="1"/>
                <w14:textOutline w14:w="3831" w14:cap="flat" w14:cmpd="sng">
                  <w14:solidFill>
                    <w14:srgbClr w14:val="000000"/>
                  </w14:solidFill>
                  <w14:prstDash w14:val="solid"/>
                  <w14:miter w14:val="0"/>
                </w14:textOutline>
              </w:rPr>
              <w:t>序</w:t>
            </w:r>
            <w:r>
              <w:rPr>
                <w:spacing w:val="-43"/>
              </w:rPr>
              <w:t xml:space="preserve"> </w:t>
            </w:r>
            <w:r>
              <w:rPr>
                <w:spacing w:val="1"/>
                <w14:textOutline w14:w="3831" w14:cap="flat" w14:cmpd="sng">
                  <w14:solidFill>
                    <w14:srgbClr w14:val="000000"/>
                  </w14:solidFill>
                  <w14:prstDash w14:val="solid"/>
                  <w14:miter w14:val="0"/>
                </w14:textOutline>
              </w:rPr>
              <w:t>号</w:t>
            </w:r>
          </w:p>
        </w:tc>
        <w:tc>
          <w:tcPr>
            <w:tcW w:w="1348" w:type="dxa"/>
            <w:vMerge w:val="restart"/>
            <w:tcBorders>
              <w:bottom w:val="nil"/>
            </w:tcBorders>
            <w:vAlign w:val="top"/>
          </w:tcPr>
          <w:p w14:paraId="1EC91FB0">
            <w:pPr>
              <w:spacing w:line="252" w:lineRule="auto"/>
              <w:rPr>
                <w:rFonts w:ascii="Arial"/>
                <w:sz w:val="21"/>
              </w:rPr>
            </w:pPr>
          </w:p>
          <w:p w14:paraId="06B5F27D">
            <w:pPr>
              <w:pStyle w:val="11"/>
              <w:spacing w:before="69" w:line="221" w:lineRule="auto"/>
              <w:ind w:left="154"/>
            </w:pPr>
            <w:r>
              <w:rPr>
                <w:spacing w:val="-1"/>
                <w14:textOutline w14:w="3831" w14:cap="flat" w14:cmpd="sng">
                  <w14:solidFill>
                    <w14:srgbClr w14:val="000000"/>
                  </w14:solidFill>
                  <w14:prstDash w14:val="solid"/>
                  <w14:miter w14:val="0"/>
                </w14:textOutline>
              </w:rPr>
              <w:t>投标人名称</w:t>
            </w:r>
          </w:p>
        </w:tc>
        <w:tc>
          <w:tcPr>
            <w:tcW w:w="5543" w:type="dxa"/>
            <w:gridSpan w:val="9"/>
            <w:vAlign w:val="top"/>
          </w:tcPr>
          <w:p w14:paraId="38773F15">
            <w:pPr>
              <w:pStyle w:val="11"/>
              <w:spacing w:before="105" w:line="221" w:lineRule="auto"/>
              <w:ind w:left="1828"/>
            </w:pPr>
            <w:r>
              <w:rPr>
                <w14:textOutline w14:w="3831" w14:cap="flat" w14:cmpd="sng">
                  <w14:solidFill>
                    <w14:srgbClr w14:val="000000"/>
                  </w14:solidFill>
                  <w14:prstDash w14:val="solid"/>
                  <w14:miter w14:val="0"/>
                </w14:textOutline>
              </w:rPr>
              <w:t>评审标准及评审意见</w:t>
            </w:r>
          </w:p>
        </w:tc>
        <w:tc>
          <w:tcPr>
            <w:tcW w:w="791" w:type="dxa"/>
            <w:vMerge w:val="restart"/>
            <w:tcBorders>
              <w:bottom w:val="nil"/>
            </w:tcBorders>
            <w:vAlign w:val="top"/>
          </w:tcPr>
          <w:p w14:paraId="119E3AC8">
            <w:pPr>
              <w:pStyle w:val="11"/>
              <w:spacing w:before="183" w:line="241" w:lineRule="auto"/>
              <w:ind w:left="189"/>
            </w:pPr>
            <w:r>
              <w:rPr>
                <w:spacing w:val="-2"/>
                <w14:textOutline w14:w="3831" w14:cap="flat" w14:cmpd="sng">
                  <w14:solidFill>
                    <w14:srgbClr w14:val="000000"/>
                  </w14:solidFill>
                  <w14:prstDash w14:val="solid"/>
                  <w14:miter w14:val="0"/>
                </w14:textOutline>
              </w:rPr>
              <w:t>评审</w:t>
            </w:r>
          </w:p>
          <w:p w14:paraId="2B7A9B95">
            <w:pPr>
              <w:pStyle w:val="11"/>
              <w:spacing w:line="222" w:lineRule="auto"/>
              <w:ind w:left="195"/>
            </w:pPr>
            <w:r>
              <w:rPr>
                <w:spacing w:val="-3"/>
                <w14:textOutline w14:w="3831" w14:cap="flat" w14:cmpd="sng">
                  <w14:solidFill>
                    <w14:srgbClr w14:val="000000"/>
                  </w14:solidFill>
                  <w14:prstDash w14:val="solid"/>
                  <w14:miter w14:val="0"/>
                </w14:textOutline>
              </w:rPr>
              <w:t>结论</w:t>
            </w:r>
          </w:p>
        </w:tc>
      </w:tr>
      <w:tr w14:paraId="75F5A0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7" w:hRule="atLeast"/>
        </w:trPr>
        <w:tc>
          <w:tcPr>
            <w:tcW w:w="629" w:type="dxa"/>
            <w:vMerge w:val="continue"/>
            <w:tcBorders>
              <w:top w:val="nil"/>
            </w:tcBorders>
            <w:textDirection w:val="tbRlV"/>
            <w:vAlign w:val="top"/>
          </w:tcPr>
          <w:p w14:paraId="29787DDD">
            <w:pPr>
              <w:rPr>
                <w:rFonts w:ascii="Arial"/>
                <w:sz w:val="21"/>
              </w:rPr>
            </w:pPr>
          </w:p>
        </w:tc>
        <w:tc>
          <w:tcPr>
            <w:tcW w:w="1348" w:type="dxa"/>
            <w:vMerge w:val="continue"/>
            <w:tcBorders>
              <w:top w:val="nil"/>
            </w:tcBorders>
            <w:vAlign w:val="top"/>
          </w:tcPr>
          <w:p w14:paraId="7231E039">
            <w:pPr>
              <w:rPr>
                <w:rFonts w:ascii="Arial"/>
                <w:sz w:val="21"/>
              </w:rPr>
            </w:pPr>
          </w:p>
        </w:tc>
        <w:tc>
          <w:tcPr>
            <w:tcW w:w="615" w:type="dxa"/>
            <w:vAlign w:val="top"/>
          </w:tcPr>
          <w:p w14:paraId="58B2DA6D">
            <w:pPr>
              <w:rPr>
                <w:rFonts w:ascii="Arial"/>
                <w:sz w:val="21"/>
              </w:rPr>
            </w:pPr>
          </w:p>
        </w:tc>
        <w:tc>
          <w:tcPr>
            <w:tcW w:w="614" w:type="dxa"/>
            <w:vAlign w:val="top"/>
          </w:tcPr>
          <w:p w14:paraId="4473BBFF">
            <w:pPr>
              <w:rPr>
                <w:rFonts w:ascii="Arial"/>
                <w:sz w:val="21"/>
              </w:rPr>
            </w:pPr>
          </w:p>
        </w:tc>
        <w:tc>
          <w:tcPr>
            <w:tcW w:w="619" w:type="dxa"/>
            <w:vAlign w:val="top"/>
          </w:tcPr>
          <w:p w14:paraId="245E1B02">
            <w:pPr>
              <w:rPr>
                <w:rFonts w:ascii="Arial"/>
                <w:sz w:val="21"/>
              </w:rPr>
            </w:pPr>
          </w:p>
        </w:tc>
        <w:tc>
          <w:tcPr>
            <w:tcW w:w="614" w:type="dxa"/>
            <w:vAlign w:val="top"/>
          </w:tcPr>
          <w:p w14:paraId="695D28E6">
            <w:pPr>
              <w:rPr>
                <w:rFonts w:ascii="Arial"/>
                <w:sz w:val="21"/>
              </w:rPr>
            </w:pPr>
          </w:p>
        </w:tc>
        <w:tc>
          <w:tcPr>
            <w:tcW w:w="614" w:type="dxa"/>
            <w:vAlign w:val="top"/>
          </w:tcPr>
          <w:p w14:paraId="650A8BC6">
            <w:pPr>
              <w:rPr>
                <w:rFonts w:ascii="Arial"/>
                <w:sz w:val="21"/>
              </w:rPr>
            </w:pPr>
          </w:p>
        </w:tc>
        <w:tc>
          <w:tcPr>
            <w:tcW w:w="619" w:type="dxa"/>
            <w:vAlign w:val="top"/>
          </w:tcPr>
          <w:p w14:paraId="6F10CE21">
            <w:pPr>
              <w:rPr>
                <w:rFonts w:ascii="Arial"/>
                <w:sz w:val="21"/>
              </w:rPr>
            </w:pPr>
          </w:p>
        </w:tc>
        <w:tc>
          <w:tcPr>
            <w:tcW w:w="615" w:type="dxa"/>
            <w:vAlign w:val="top"/>
          </w:tcPr>
          <w:p w14:paraId="3B915007">
            <w:pPr>
              <w:rPr>
                <w:rFonts w:ascii="Arial"/>
                <w:sz w:val="21"/>
              </w:rPr>
            </w:pPr>
          </w:p>
        </w:tc>
        <w:tc>
          <w:tcPr>
            <w:tcW w:w="614" w:type="dxa"/>
            <w:vAlign w:val="top"/>
          </w:tcPr>
          <w:p w14:paraId="4F7F96B2">
            <w:pPr>
              <w:rPr>
                <w:rFonts w:ascii="Arial"/>
                <w:sz w:val="21"/>
              </w:rPr>
            </w:pPr>
          </w:p>
        </w:tc>
        <w:tc>
          <w:tcPr>
            <w:tcW w:w="619" w:type="dxa"/>
            <w:vAlign w:val="top"/>
          </w:tcPr>
          <w:p w14:paraId="4EF1FF69">
            <w:pPr>
              <w:rPr>
                <w:rFonts w:ascii="Arial"/>
                <w:sz w:val="21"/>
              </w:rPr>
            </w:pPr>
          </w:p>
        </w:tc>
        <w:tc>
          <w:tcPr>
            <w:tcW w:w="791" w:type="dxa"/>
            <w:vMerge w:val="continue"/>
            <w:tcBorders>
              <w:top w:val="nil"/>
            </w:tcBorders>
            <w:vAlign w:val="top"/>
          </w:tcPr>
          <w:p w14:paraId="555113E5">
            <w:pPr>
              <w:rPr>
                <w:rFonts w:ascii="Arial"/>
                <w:sz w:val="21"/>
              </w:rPr>
            </w:pPr>
          </w:p>
        </w:tc>
      </w:tr>
      <w:tr w14:paraId="7AFABB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0" w:hRule="atLeast"/>
        </w:trPr>
        <w:tc>
          <w:tcPr>
            <w:tcW w:w="629" w:type="dxa"/>
            <w:vAlign w:val="top"/>
          </w:tcPr>
          <w:p w14:paraId="438C7F19">
            <w:pPr>
              <w:pStyle w:val="11"/>
              <w:spacing w:before="208" w:line="183" w:lineRule="auto"/>
              <w:ind w:left="283"/>
            </w:pPr>
            <w:r>
              <w:t>1</w:t>
            </w:r>
          </w:p>
        </w:tc>
        <w:tc>
          <w:tcPr>
            <w:tcW w:w="1348" w:type="dxa"/>
            <w:vAlign w:val="top"/>
          </w:tcPr>
          <w:p w14:paraId="781AFEC9">
            <w:pPr>
              <w:rPr>
                <w:rFonts w:ascii="Arial"/>
                <w:sz w:val="21"/>
              </w:rPr>
            </w:pPr>
          </w:p>
        </w:tc>
        <w:tc>
          <w:tcPr>
            <w:tcW w:w="615" w:type="dxa"/>
            <w:vAlign w:val="top"/>
          </w:tcPr>
          <w:p w14:paraId="6B585178">
            <w:pPr>
              <w:rPr>
                <w:rFonts w:ascii="Arial"/>
                <w:sz w:val="21"/>
              </w:rPr>
            </w:pPr>
          </w:p>
        </w:tc>
        <w:tc>
          <w:tcPr>
            <w:tcW w:w="614" w:type="dxa"/>
            <w:vAlign w:val="top"/>
          </w:tcPr>
          <w:p w14:paraId="514D4039">
            <w:pPr>
              <w:rPr>
                <w:rFonts w:ascii="Arial"/>
                <w:sz w:val="21"/>
              </w:rPr>
            </w:pPr>
          </w:p>
        </w:tc>
        <w:tc>
          <w:tcPr>
            <w:tcW w:w="619" w:type="dxa"/>
            <w:vAlign w:val="top"/>
          </w:tcPr>
          <w:p w14:paraId="0E32F6BE">
            <w:pPr>
              <w:rPr>
                <w:rFonts w:ascii="Arial"/>
                <w:sz w:val="21"/>
              </w:rPr>
            </w:pPr>
          </w:p>
        </w:tc>
        <w:tc>
          <w:tcPr>
            <w:tcW w:w="614" w:type="dxa"/>
            <w:vAlign w:val="top"/>
          </w:tcPr>
          <w:p w14:paraId="0618BCCC">
            <w:pPr>
              <w:rPr>
                <w:rFonts w:ascii="Arial"/>
                <w:sz w:val="21"/>
              </w:rPr>
            </w:pPr>
          </w:p>
        </w:tc>
        <w:tc>
          <w:tcPr>
            <w:tcW w:w="614" w:type="dxa"/>
            <w:vAlign w:val="top"/>
          </w:tcPr>
          <w:p w14:paraId="10BEEE98">
            <w:pPr>
              <w:rPr>
                <w:rFonts w:ascii="Arial"/>
                <w:sz w:val="21"/>
              </w:rPr>
            </w:pPr>
          </w:p>
        </w:tc>
        <w:tc>
          <w:tcPr>
            <w:tcW w:w="619" w:type="dxa"/>
            <w:vAlign w:val="top"/>
          </w:tcPr>
          <w:p w14:paraId="6B5066B2">
            <w:pPr>
              <w:rPr>
                <w:rFonts w:ascii="Arial"/>
                <w:sz w:val="21"/>
              </w:rPr>
            </w:pPr>
          </w:p>
        </w:tc>
        <w:tc>
          <w:tcPr>
            <w:tcW w:w="615" w:type="dxa"/>
            <w:vAlign w:val="top"/>
          </w:tcPr>
          <w:p w14:paraId="7B6E3965">
            <w:pPr>
              <w:rPr>
                <w:rFonts w:ascii="Arial"/>
                <w:sz w:val="21"/>
              </w:rPr>
            </w:pPr>
          </w:p>
        </w:tc>
        <w:tc>
          <w:tcPr>
            <w:tcW w:w="614" w:type="dxa"/>
            <w:vAlign w:val="top"/>
          </w:tcPr>
          <w:p w14:paraId="4F583840">
            <w:pPr>
              <w:rPr>
                <w:rFonts w:ascii="Arial"/>
                <w:sz w:val="21"/>
              </w:rPr>
            </w:pPr>
          </w:p>
        </w:tc>
        <w:tc>
          <w:tcPr>
            <w:tcW w:w="619" w:type="dxa"/>
            <w:vAlign w:val="top"/>
          </w:tcPr>
          <w:p w14:paraId="5FD95440">
            <w:pPr>
              <w:rPr>
                <w:rFonts w:ascii="Arial"/>
                <w:sz w:val="21"/>
              </w:rPr>
            </w:pPr>
          </w:p>
        </w:tc>
        <w:tc>
          <w:tcPr>
            <w:tcW w:w="791" w:type="dxa"/>
            <w:vAlign w:val="top"/>
          </w:tcPr>
          <w:p w14:paraId="149846C3">
            <w:pPr>
              <w:rPr>
                <w:rFonts w:ascii="Arial"/>
                <w:sz w:val="21"/>
              </w:rPr>
            </w:pPr>
          </w:p>
        </w:tc>
      </w:tr>
      <w:tr w14:paraId="2E7591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629" w:type="dxa"/>
            <w:vAlign w:val="top"/>
          </w:tcPr>
          <w:p w14:paraId="40C7EE00">
            <w:pPr>
              <w:pStyle w:val="11"/>
              <w:spacing w:before="215" w:line="182" w:lineRule="auto"/>
              <w:ind w:left="270"/>
            </w:pPr>
            <w:r>
              <w:t>2</w:t>
            </w:r>
          </w:p>
        </w:tc>
        <w:tc>
          <w:tcPr>
            <w:tcW w:w="1348" w:type="dxa"/>
            <w:vAlign w:val="top"/>
          </w:tcPr>
          <w:p w14:paraId="664FB875">
            <w:pPr>
              <w:rPr>
                <w:rFonts w:ascii="Arial"/>
                <w:sz w:val="21"/>
              </w:rPr>
            </w:pPr>
          </w:p>
        </w:tc>
        <w:tc>
          <w:tcPr>
            <w:tcW w:w="615" w:type="dxa"/>
            <w:vAlign w:val="top"/>
          </w:tcPr>
          <w:p w14:paraId="472D22F9">
            <w:pPr>
              <w:rPr>
                <w:rFonts w:ascii="Arial"/>
                <w:sz w:val="21"/>
              </w:rPr>
            </w:pPr>
          </w:p>
        </w:tc>
        <w:tc>
          <w:tcPr>
            <w:tcW w:w="614" w:type="dxa"/>
            <w:vAlign w:val="top"/>
          </w:tcPr>
          <w:p w14:paraId="5E808E17">
            <w:pPr>
              <w:rPr>
                <w:rFonts w:ascii="Arial"/>
                <w:sz w:val="21"/>
              </w:rPr>
            </w:pPr>
          </w:p>
        </w:tc>
        <w:tc>
          <w:tcPr>
            <w:tcW w:w="619" w:type="dxa"/>
            <w:vAlign w:val="top"/>
          </w:tcPr>
          <w:p w14:paraId="6CDCF81E">
            <w:pPr>
              <w:rPr>
                <w:rFonts w:ascii="Arial"/>
                <w:sz w:val="21"/>
              </w:rPr>
            </w:pPr>
          </w:p>
        </w:tc>
        <w:tc>
          <w:tcPr>
            <w:tcW w:w="614" w:type="dxa"/>
            <w:vAlign w:val="top"/>
          </w:tcPr>
          <w:p w14:paraId="2D014EA5">
            <w:pPr>
              <w:rPr>
                <w:rFonts w:ascii="Arial"/>
                <w:sz w:val="21"/>
              </w:rPr>
            </w:pPr>
          </w:p>
        </w:tc>
        <w:tc>
          <w:tcPr>
            <w:tcW w:w="614" w:type="dxa"/>
            <w:vAlign w:val="top"/>
          </w:tcPr>
          <w:p w14:paraId="017BAAB5">
            <w:pPr>
              <w:rPr>
                <w:rFonts w:ascii="Arial"/>
                <w:sz w:val="21"/>
              </w:rPr>
            </w:pPr>
          </w:p>
        </w:tc>
        <w:tc>
          <w:tcPr>
            <w:tcW w:w="619" w:type="dxa"/>
            <w:vAlign w:val="top"/>
          </w:tcPr>
          <w:p w14:paraId="0F734FE1">
            <w:pPr>
              <w:rPr>
                <w:rFonts w:ascii="Arial"/>
                <w:sz w:val="21"/>
              </w:rPr>
            </w:pPr>
          </w:p>
        </w:tc>
        <w:tc>
          <w:tcPr>
            <w:tcW w:w="615" w:type="dxa"/>
            <w:vAlign w:val="top"/>
          </w:tcPr>
          <w:p w14:paraId="3E6C7C1B">
            <w:pPr>
              <w:rPr>
                <w:rFonts w:ascii="Arial"/>
                <w:sz w:val="21"/>
              </w:rPr>
            </w:pPr>
          </w:p>
        </w:tc>
        <w:tc>
          <w:tcPr>
            <w:tcW w:w="614" w:type="dxa"/>
            <w:vAlign w:val="top"/>
          </w:tcPr>
          <w:p w14:paraId="5A086B39">
            <w:pPr>
              <w:rPr>
                <w:rFonts w:ascii="Arial"/>
                <w:sz w:val="21"/>
              </w:rPr>
            </w:pPr>
          </w:p>
        </w:tc>
        <w:tc>
          <w:tcPr>
            <w:tcW w:w="619" w:type="dxa"/>
            <w:vAlign w:val="top"/>
          </w:tcPr>
          <w:p w14:paraId="01BBCDDA">
            <w:pPr>
              <w:rPr>
                <w:rFonts w:ascii="Arial"/>
                <w:sz w:val="21"/>
              </w:rPr>
            </w:pPr>
          </w:p>
        </w:tc>
        <w:tc>
          <w:tcPr>
            <w:tcW w:w="791" w:type="dxa"/>
            <w:vAlign w:val="top"/>
          </w:tcPr>
          <w:p w14:paraId="69299825">
            <w:pPr>
              <w:rPr>
                <w:rFonts w:ascii="Arial"/>
                <w:sz w:val="21"/>
              </w:rPr>
            </w:pPr>
          </w:p>
        </w:tc>
      </w:tr>
      <w:tr w14:paraId="6236C8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6" w:hRule="atLeast"/>
        </w:trPr>
        <w:tc>
          <w:tcPr>
            <w:tcW w:w="629" w:type="dxa"/>
            <w:vAlign w:val="top"/>
          </w:tcPr>
          <w:p w14:paraId="55257C93">
            <w:pPr>
              <w:pStyle w:val="11"/>
              <w:spacing w:before="215" w:line="182" w:lineRule="auto"/>
              <w:ind w:left="271"/>
            </w:pPr>
            <w:r>
              <w:t>3</w:t>
            </w:r>
          </w:p>
        </w:tc>
        <w:tc>
          <w:tcPr>
            <w:tcW w:w="1348" w:type="dxa"/>
            <w:vAlign w:val="top"/>
          </w:tcPr>
          <w:p w14:paraId="47F4F3DE">
            <w:pPr>
              <w:rPr>
                <w:rFonts w:ascii="Arial"/>
                <w:sz w:val="21"/>
              </w:rPr>
            </w:pPr>
          </w:p>
        </w:tc>
        <w:tc>
          <w:tcPr>
            <w:tcW w:w="615" w:type="dxa"/>
            <w:vAlign w:val="top"/>
          </w:tcPr>
          <w:p w14:paraId="7DB3670A">
            <w:pPr>
              <w:rPr>
                <w:rFonts w:ascii="Arial"/>
                <w:sz w:val="21"/>
              </w:rPr>
            </w:pPr>
          </w:p>
        </w:tc>
        <w:tc>
          <w:tcPr>
            <w:tcW w:w="614" w:type="dxa"/>
            <w:vAlign w:val="top"/>
          </w:tcPr>
          <w:p w14:paraId="67681929">
            <w:pPr>
              <w:rPr>
                <w:rFonts w:ascii="Arial"/>
                <w:sz w:val="21"/>
              </w:rPr>
            </w:pPr>
          </w:p>
        </w:tc>
        <w:tc>
          <w:tcPr>
            <w:tcW w:w="619" w:type="dxa"/>
            <w:vAlign w:val="top"/>
          </w:tcPr>
          <w:p w14:paraId="56FCE06A">
            <w:pPr>
              <w:rPr>
                <w:rFonts w:ascii="Arial"/>
                <w:sz w:val="21"/>
              </w:rPr>
            </w:pPr>
          </w:p>
        </w:tc>
        <w:tc>
          <w:tcPr>
            <w:tcW w:w="614" w:type="dxa"/>
            <w:vAlign w:val="top"/>
          </w:tcPr>
          <w:p w14:paraId="17CA9741">
            <w:pPr>
              <w:rPr>
                <w:rFonts w:ascii="Arial"/>
                <w:sz w:val="21"/>
              </w:rPr>
            </w:pPr>
          </w:p>
        </w:tc>
        <w:tc>
          <w:tcPr>
            <w:tcW w:w="614" w:type="dxa"/>
            <w:vAlign w:val="top"/>
          </w:tcPr>
          <w:p w14:paraId="5FF2B073">
            <w:pPr>
              <w:rPr>
                <w:rFonts w:ascii="Arial"/>
                <w:sz w:val="21"/>
              </w:rPr>
            </w:pPr>
          </w:p>
        </w:tc>
        <w:tc>
          <w:tcPr>
            <w:tcW w:w="619" w:type="dxa"/>
            <w:vAlign w:val="top"/>
          </w:tcPr>
          <w:p w14:paraId="0CD3677D">
            <w:pPr>
              <w:rPr>
                <w:rFonts w:ascii="Arial"/>
                <w:sz w:val="21"/>
              </w:rPr>
            </w:pPr>
          </w:p>
        </w:tc>
        <w:tc>
          <w:tcPr>
            <w:tcW w:w="615" w:type="dxa"/>
            <w:vAlign w:val="top"/>
          </w:tcPr>
          <w:p w14:paraId="7B8EC2C9">
            <w:pPr>
              <w:rPr>
                <w:rFonts w:ascii="Arial"/>
                <w:sz w:val="21"/>
              </w:rPr>
            </w:pPr>
          </w:p>
        </w:tc>
        <w:tc>
          <w:tcPr>
            <w:tcW w:w="614" w:type="dxa"/>
            <w:vAlign w:val="top"/>
          </w:tcPr>
          <w:p w14:paraId="238503CB">
            <w:pPr>
              <w:rPr>
                <w:rFonts w:ascii="Arial"/>
                <w:sz w:val="21"/>
              </w:rPr>
            </w:pPr>
          </w:p>
        </w:tc>
        <w:tc>
          <w:tcPr>
            <w:tcW w:w="619" w:type="dxa"/>
            <w:vAlign w:val="top"/>
          </w:tcPr>
          <w:p w14:paraId="5C834840">
            <w:pPr>
              <w:rPr>
                <w:rFonts w:ascii="Arial"/>
                <w:sz w:val="21"/>
              </w:rPr>
            </w:pPr>
          </w:p>
        </w:tc>
        <w:tc>
          <w:tcPr>
            <w:tcW w:w="791" w:type="dxa"/>
            <w:vAlign w:val="top"/>
          </w:tcPr>
          <w:p w14:paraId="46886D10">
            <w:pPr>
              <w:rPr>
                <w:rFonts w:ascii="Arial"/>
                <w:sz w:val="21"/>
              </w:rPr>
            </w:pPr>
          </w:p>
        </w:tc>
      </w:tr>
      <w:tr w14:paraId="121ED8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0" w:hRule="atLeast"/>
        </w:trPr>
        <w:tc>
          <w:tcPr>
            <w:tcW w:w="629" w:type="dxa"/>
            <w:vAlign w:val="top"/>
          </w:tcPr>
          <w:p w14:paraId="374A0855">
            <w:pPr>
              <w:pStyle w:val="11"/>
              <w:spacing w:before="210" w:line="182" w:lineRule="auto"/>
              <w:ind w:left="266"/>
            </w:pPr>
            <w:r>
              <w:t>4</w:t>
            </w:r>
          </w:p>
        </w:tc>
        <w:tc>
          <w:tcPr>
            <w:tcW w:w="1348" w:type="dxa"/>
            <w:vAlign w:val="top"/>
          </w:tcPr>
          <w:p w14:paraId="36C67601">
            <w:pPr>
              <w:rPr>
                <w:rFonts w:ascii="Arial"/>
                <w:sz w:val="21"/>
              </w:rPr>
            </w:pPr>
          </w:p>
        </w:tc>
        <w:tc>
          <w:tcPr>
            <w:tcW w:w="615" w:type="dxa"/>
            <w:vAlign w:val="top"/>
          </w:tcPr>
          <w:p w14:paraId="3335D452">
            <w:pPr>
              <w:rPr>
                <w:rFonts w:ascii="Arial"/>
                <w:sz w:val="21"/>
              </w:rPr>
            </w:pPr>
          </w:p>
        </w:tc>
        <w:tc>
          <w:tcPr>
            <w:tcW w:w="614" w:type="dxa"/>
            <w:vAlign w:val="top"/>
          </w:tcPr>
          <w:p w14:paraId="7E5782F4">
            <w:pPr>
              <w:rPr>
                <w:rFonts w:ascii="Arial"/>
                <w:sz w:val="21"/>
              </w:rPr>
            </w:pPr>
          </w:p>
        </w:tc>
        <w:tc>
          <w:tcPr>
            <w:tcW w:w="619" w:type="dxa"/>
            <w:vAlign w:val="top"/>
          </w:tcPr>
          <w:p w14:paraId="7D303685">
            <w:pPr>
              <w:rPr>
                <w:rFonts w:ascii="Arial"/>
                <w:sz w:val="21"/>
              </w:rPr>
            </w:pPr>
          </w:p>
        </w:tc>
        <w:tc>
          <w:tcPr>
            <w:tcW w:w="614" w:type="dxa"/>
            <w:vAlign w:val="top"/>
          </w:tcPr>
          <w:p w14:paraId="76676EDB">
            <w:pPr>
              <w:rPr>
                <w:rFonts w:ascii="Arial"/>
                <w:sz w:val="21"/>
              </w:rPr>
            </w:pPr>
          </w:p>
        </w:tc>
        <w:tc>
          <w:tcPr>
            <w:tcW w:w="614" w:type="dxa"/>
            <w:vAlign w:val="top"/>
          </w:tcPr>
          <w:p w14:paraId="59B51658">
            <w:pPr>
              <w:rPr>
                <w:rFonts w:ascii="Arial"/>
                <w:sz w:val="21"/>
              </w:rPr>
            </w:pPr>
          </w:p>
        </w:tc>
        <w:tc>
          <w:tcPr>
            <w:tcW w:w="619" w:type="dxa"/>
            <w:vAlign w:val="top"/>
          </w:tcPr>
          <w:p w14:paraId="1DA32073">
            <w:pPr>
              <w:rPr>
                <w:rFonts w:ascii="Arial"/>
                <w:sz w:val="21"/>
              </w:rPr>
            </w:pPr>
          </w:p>
        </w:tc>
        <w:tc>
          <w:tcPr>
            <w:tcW w:w="615" w:type="dxa"/>
            <w:vAlign w:val="top"/>
          </w:tcPr>
          <w:p w14:paraId="0FA747E8">
            <w:pPr>
              <w:rPr>
                <w:rFonts w:ascii="Arial"/>
                <w:sz w:val="21"/>
              </w:rPr>
            </w:pPr>
          </w:p>
        </w:tc>
        <w:tc>
          <w:tcPr>
            <w:tcW w:w="614" w:type="dxa"/>
            <w:vAlign w:val="top"/>
          </w:tcPr>
          <w:p w14:paraId="67EC5748">
            <w:pPr>
              <w:rPr>
                <w:rFonts w:ascii="Arial"/>
                <w:sz w:val="21"/>
              </w:rPr>
            </w:pPr>
          </w:p>
        </w:tc>
        <w:tc>
          <w:tcPr>
            <w:tcW w:w="619" w:type="dxa"/>
            <w:vAlign w:val="top"/>
          </w:tcPr>
          <w:p w14:paraId="0AB7AFBA">
            <w:pPr>
              <w:rPr>
                <w:rFonts w:ascii="Arial"/>
                <w:sz w:val="21"/>
              </w:rPr>
            </w:pPr>
          </w:p>
        </w:tc>
        <w:tc>
          <w:tcPr>
            <w:tcW w:w="791" w:type="dxa"/>
            <w:vAlign w:val="top"/>
          </w:tcPr>
          <w:p w14:paraId="7954AC7E">
            <w:pPr>
              <w:rPr>
                <w:rFonts w:ascii="Arial"/>
                <w:sz w:val="21"/>
              </w:rPr>
            </w:pPr>
          </w:p>
        </w:tc>
      </w:tr>
      <w:tr w14:paraId="7BB955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0" w:hRule="atLeast"/>
        </w:trPr>
        <w:tc>
          <w:tcPr>
            <w:tcW w:w="629" w:type="dxa"/>
            <w:vAlign w:val="top"/>
          </w:tcPr>
          <w:p w14:paraId="34357185">
            <w:pPr>
              <w:pStyle w:val="11"/>
              <w:spacing w:before="212" w:line="181" w:lineRule="auto"/>
              <w:ind w:left="271"/>
            </w:pPr>
            <w:r>
              <w:t>5</w:t>
            </w:r>
          </w:p>
        </w:tc>
        <w:tc>
          <w:tcPr>
            <w:tcW w:w="1348" w:type="dxa"/>
            <w:vAlign w:val="top"/>
          </w:tcPr>
          <w:p w14:paraId="6DFDB63D">
            <w:pPr>
              <w:rPr>
                <w:rFonts w:ascii="Arial"/>
                <w:sz w:val="21"/>
              </w:rPr>
            </w:pPr>
          </w:p>
        </w:tc>
        <w:tc>
          <w:tcPr>
            <w:tcW w:w="615" w:type="dxa"/>
            <w:vAlign w:val="top"/>
          </w:tcPr>
          <w:p w14:paraId="4C20289B">
            <w:pPr>
              <w:rPr>
                <w:rFonts w:ascii="Arial"/>
                <w:sz w:val="21"/>
              </w:rPr>
            </w:pPr>
          </w:p>
        </w:tc>
        <w:tc>
          <w:tcPr>
            <w:tcW w:w="614" w:type="dxa"/>
            <w:vAlign w:val="top"/>
          </w:tcPr>
          <w:p w14:paraId="344C3BF1">
            <w:pPr>
              <w:rPr>
                <w:rFonts w:ascii="Arial"/>
                <w:sz w:val="21"/>
              </w:rPr>
            </w:pPr>
          </w:p>
        </w:tc>
        <w:tc>
          <w:tcPr>
            <w:tcW w:w="619" w:type="dxa"/>
            <w:vAlign w:val="top"/>
          </w:tcPr>
          <w:p w14:paraId="762424A3">
            <w:pPr>
              <w:rPr>
                <w:rFonts w:ascii="Arial"/>
                <w:sz w:val="21"/>
              </w:rPr>
            </w:pPr>
          </w:p>
        </w:tc>
        <w:tc>
          <w:tcPr>
            <w:tcW w:w="614" w:type="dxa"/>
            <w:vAlign w:val="top"/>
          </w:tcPr>
          <w:p w14:paraId="7002A22B">
            <w:pPr>
              <w:rPr>
                <w:rFonts w:ascii="Arial"/>
                <w:sz w:val="21"/>
              </w:rPr>
            </w:pPr>
          </w:p>
        </w:tc>
        <w:tc>
          <w:tcPr>
            <w:tcW w:w="614" w:type="dxa"/>
            <w:vAlign w:val="top"/>
          </w:tcPr>
          <w:p w14:paraId="57A6FF30">
            <w:pPr>
              <w:rPr>
                <w:rFonts w:ascii="Arial"/>
                <w:sz w:val="21"/>
              </w:rPr>
            </w:pPr>
          </w:p>
        </w:tc>
        <w:tc>
          <w:tcPr>
            <w:tcW w:w="619" w:type="dxa"/>
            <w:vAlign w:val="top"/>
          </w:tcPr>
          <w:p w14:paraId="60286FFE">
            <w:pPr>
              <w:rPr>
                <w:rFonts w:ascii="Arial"/>
                <w:sz w:val="21"/>
              </w:rPr>
            </w:pPr>
          </w:p>
        </w:tc>
        <w:tc>
          <w:tcPr>
            <w:tcW w:w="615" w:type="dxa"/>
            <w:vAlign w:val="top"/>
          </w:tcPr>
          <w:p w14:paraId="0FB59AE0">
            <w:pPr>
              <w:rPr>
                <w:rFonts w:ascii="Arial"/>
                <w:sz w:val="21"/>
              </w:rPr>
            </w:pPr>
          </w:p>
        </w:tc>
        <w:tc>
          <w:tcPr>
            <w:tcW w:w="614" w:type="dxa"/>
            <w:vAlign w:val="top"/>
          </w:tcPr>
          <w:p w14:paraId="61E90E12">
            <w:pPr>
              <w:rPr>
                <w:rFonts w:ascii="Arial"/>
                <w:sz w:val="21"/>
              </w:rPr>
            </w:pPr>
          </w:p>
        </w:tc>
        <w:tc>
          <w:tcPr>
            <w:tcW w:w="619" w:type="dxa"/>
            <w:vAlign w:val="top"/>
          </w:tcPr>
          <w:p w14:paraId="530E966C">
            <w:pPr>
              <w:rPr>
                <w:rFonts w:ascii="Arial"/>
                <w:sz w:val="21"/>
              </w:rPr>
            </w:pPr>
          </w:p>
        </w:tc>
        <w:tc>
          <w:tcPr>
            <w:tcW w:w="791" w:type="dxa"/>
            <w:vAlign w:val="top"/>
          </w:tcPr>
          <w:p w14:paraId="7779109E">
            <w:pPr>
              <w:rPr>
                <w:rFonts w:ascii="Arial"/>
                <w:sz w:val="21"/>
              </w:rPr>
            </w:pPr>
          </w:p>
        </w:tc>
      </w:tr>
      <w:tr w14:paraId="717570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629" w:type="dxa"/>
            <w:vAlign w:val="top"/>
          </w:tcPr>
          <w:p w14:paraId="586DF6D4">
            <w:pPr>
              <w:pStyle w:val="11"/>
              <w:spacing w:before="212" w:line="182" w:lineRule="auto"/>
              <w:ind w:left="269"/>
            </w:pPr>
            <w:r>
              <w:t>6</w:t>
            </w:r>
          </w:p>
        </w:tc>
        <w:tc>
          <w:tcPr>
            <w:tcW w:w="1348" w:type="dxa"/>
            <w:vAlign w:val="top"/>
          </w:tcPr>
          <w:p w14:paraId="09B06F65">
            <w:pPr>
              <w:rPr>
                <w:rFonts w:ascii="Arial"/>
                <w:sz w:val="21"/>
              </w:rPr>
            </w:pPr>
          </w:p>
        </w:tc>
        <w:tc>
          <w:tcPr>
            <w:tcW w:w="615" w:type="dxa"/>
            <w:vAlign w:val="top"/>
          </w:tcPr>
          <w:p w14:paraId="2FC3B5AB">
            <w:pPr>
              <w:rPr>
                <w:rFonts w:ascii="Arial"/>
                <w:sz w:val="21"/>
              </w:rPr>
            </w:pPr>
          </w:p>
        </w:tc>
        <w:tc>
          <w:tcPr>
            <w:tcW w:w="614" w:type="dxa"/>
            <w:vAlign w:val="top"/>
          </w:tcPr>
          <w:p w14:paraId="01802DFF">
            <w:pPr>
              <w:rPr>
                <w:rFonts w:ascii="Arial"/>
                <w:sz w:val="21"/>
              </w:rPr>
            </w:pPr>
          </w:p>
        </w:tc>
        <w:tc>
          <w:tcPr>
            <w:tcW w:w="619" w:type="dxa"/>
            <w:vAlign w:val="top"/>
          </w:tcPr>
          <w:p w14:paraId="2D950BF4">
            <w:pPr>
              <w:rPr>
                <w:rFonts w:ascii="Arial"/>
                <w:sz w:val="21"/>
              </w:rPr>
            </w:pPr>
          </w:p>
        </w:tc>
        <w:tc>
          <w:tcPr>
            <w:tcW w:w="614" w:type="dxa"/>
            <w:vAlign w:val="top"/>
          </w:tcPr>
          <w:p w14:paraId="12448C15">
            <w:pPr>
              <w:rPr>
                <w:rFonts w:ascii="Arial"/>
                <w:sz w:val="21"/>
              </w:rPr>
            </w:pPr>
          </w:p>
        </w:tc>
        <w:tc>
          <w:tcPr>
            <w:tcW w:w="614" w:type="dxa"/>
            <w:vAlign w:val="top"/>
          </w:tcPr>
          <w:p w14:paraId="55CDEF99">
            <w:pPr>
              <w:rPr>
                <w:rFonts w:ascii="Arial"/>
                <w:sz w:val="21"/>
              </w:rPr>
            </w:pPr>
          </w:p>
        </w:tc>
        <w:tc>
          <w:tcPr>
            <w:tcW w:w="619" w:type="dxa"/>
            <w:vAlign w:val="top"/>
          </w:tcPr>
          <w:p w14:paraId="2C48740E">
            <w:pPr>
              <w:rPr>
                <w:rFonts w:ascii="Arial"/>
                <w:sz w:val="21"/>
              </w:rPr>
            </w:pPr>
          </w:p>
        </w:tc>
        <w:tc>
          <w:tcPr>
            <w:tcW w:w="615" w:type="dxa"/>
            <w:vAlign w:val="top"/>
          </w:tcPr>
          <w:p w14:paraId="1D67138B">
            <w:pPr>
              <w:rPr>
                <w:rFonts w:ascii="Arial"/>
                <w:sz w:val="21"/>
              </w:rPr>
            </w:pPr>
          </w:p>
        </w:tc>
        <w:tc>
          <w:tcPr>
            <w:tcW w:w="614" w:type="dxa"/>
            <w:vAlign w:val="top"/>
          </w:tcPr>
          <w:p w14:paraId="376FB98D">
            <w:pPr>
              <w:rPr>
                <w:rFonts w:ascii="Arial"/>
                <w:sz w:val="21"/>
              </w:rPr>
            </w:pPr>
          </w:p>
        </w:tc>
        <w:tc>
          <w:tcPr>
            <w:tcW w:w="619" w:type="dxa"/>
            <w:vAlign w:val="top"/>
          </w:tcPr>
          <w:p w14:paraId="5850B755">
            <w:pPr>
              <w:rPr>
                <w:rFonts w:ascii="Arial"/>
                <w:sz w:val="21"/>
              </w:rPr>
            </w:pPr>
          </w:p>
        </w:tc>
        <w:tc>
          <w:tcPr>
            <w:tcW w:w="791" w:type="dxa"/>
            <w:vAlign w:val="top"/>
          </w:tcPr>
          <w:p w14:paraId="27AFF972">
            <w:pPr>
              <w:rPr>
                <w:rFonts w:ascii="Arial"/>
                <w:sz w:val="21"/>
              </w:rPr>
            </w:pPr>
          </w:p>
        </w:tc>
      </w:tr>
      <w:tr w14:paraId="6D1636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629" w:type="dxa"/>
            <w:vAlign w:val="top"/>
          </w:tcPr>
          <w:p w14:paraId="461A6677">
            <w:pPr>
              <w:pStyle w:val="11"/>
              <w:spacing w:before="182" w:line="332" w:lineRule="exact"/>
              <w:ind w:left="228"/>
            </w:pPr>
            <w:r>
              <w:rPr>
                <w:position w:val="2"/>
              </w:rPr>
              <w:t>…</w:t>
            </w:r>
          </w:p>
        </w:tc>
        <w:tc>
          <w:tcPr>
            <w:tcW w:w="1348" w:type="dxa"/>
            <w:vAlign w:val="top"/>
          </w:tcPr>
          <w:p w14:paraId="5ED3B618">
            <w:pPr>
              <w:rPr>
                <w:rFonts w:ascii="Arial"/>
                <w:sz w:val="21"/>
              </w:rPr>
            </w:pPr>
          </w:p>
        </w:tc>
        <w:tc>
          <w:tcPr>
            <w:tcW w:w="615" w:type="dxa"/>
            <w:vAlign w:val="top"/>
          </w:tcPr>
          <w:p w14:paraId="2B1E8759">
            <w:pPr>
              <w:rPr>
                <w:rFonts w:ascii="Arial"/>
                <w:sz w:val="21"/>
              </w:rPr>
            </w:pPr>
          </w:p>
        </w:tc>
        <w:tc>
          <w:tcPr>
            <w:tcW w:w="614" w:type="dxa"/>
            <w:vAlign w:val="top"/>
          </w:tcPr>
          <w:p w14:paraId="398E1078">
            <w:pPr>
              <w:rPr>
                <w:rFonts w:ascii="Arial"/>
                <w:sz w:val="21"/>
              </w:rPr>
            </w:pPr>
          </w:p>
        </w:tc>
        <w:tc>
          <w:tcPr>
            <w:tcW w:w="619" w:type="dxa"/>
            <w:vAlign w:val="top"/>
          </w:tcPr>
          <w:p w14:paraId="5465C2D6">
            <w:pPr>
              <w:rPr>
                <w:rFonts w:ascii="Arial"/>
                <w:sz w:val="21"/>
              </w:rPr>
            </w:pPr>
          </w:p>
        </w:tc>
        <w:tc>
          <w:tcPr>
            <w:tcW w:w="614" w:type="dxa"/>
            <w:vAlign w:val="top"/>
          </w:tcPr>
          <w:p w14:paraId="34362E4E">
            <w:pPr>
              <w:rPr>
                <w:rFonts w:ascii="Arial"/>
                <w:sz w:val="21"/>
              </w:rPr>
            </w:pPr>
          </w:p>
        </w:tc>
        <w:tc>
          <w:tcPr>
            <w:tcW w:w="614" w:type="dxa"/>
            <w:vAlign w:val="top"/>
          </w:tcPr>
          <w:p w14:paraId="194E3850">
            <w:pPr>
              <w:rPr>
                <w:rFonts w:ascii="Arial"/>
                <w:sz w:val="21"/>
              </w:rPr>
            </w:pPr>
          </w:p>
        </w:tc>
        <w:tc>
          <w:tcPr>
            <w:tcW w:w="619" w:type="dxa"/>
            <w:vAlign w:val="top"/>
          </w:tcPr>
          <w:p w14:paraId="05592BA3">
            <w:pPr>
              <w:rPr>
                <w:rFonts w:ascii="Arial"/>
                <w:sz w:val="21"/>
              </w:rPr>
            </w:pPr>
          </w:p>
        </w:tc>
        <w:tc>
          <w:tcPr>
            <w:tcW w:w="615" w:type="dxa"/>
            <w:vAlign w:val="top"/>
          </w:tcPr>
          <w:p w14:paraId="466BA1A0">
            <w:pPr>
              <w:rPr>
                <w:rFonts w:ascii="Arial"/>
                <w:sz w:val="21"/>
              </w:rPr>
            </w:pPr>
          </w:p>
        </w:tc>
        <w:tc>
          <w:tcPr>
            <w:tcW w:w="614" w:type="dxa"/>
            <w:vAlign w:val="top"/>
          </w:tcPr>
          <w:p w14:paraId="2A6B0611">
            <w:pPr>
              <w:rPr>
                <w:rFonts w:ascii="Arial"/>
                <w:sz w:val="21"/>
              </w:rPr>
            </w:pPr>
          </w:p>
        </w:tc>
        <w:tc>
          <w:tcPr>
            <w:tcW w:w="619" w:type="dxa"/>
            <w:vAlign w:val="top"/>
          </w:tcPr>
          <w:p w14:paraId="2DC80770">
            <w:pPr>
              <w:rPr>
                <w:rFonts w:ascii="Arial"/>
                <w:sz w:val="21"/>
              </w:rPr>
            </w:pPr>
          </w:p>
        </w:tc>
        <w:tc>
          <w:tcPr>
            <w:tcW w:w="791" w:type="dxa"/>
            <w:vAlign w:val="top"/>
          </w:tcPr>
          <w:p w14:paraId="106BDE9B">
            <w:pPr>
              <w:rPr>
                <w:rFonts w:ascii="Arial"/>
                <w:sz w:val="21"/>
              </w:rPr>
            </w:pPr>
          </w:p>
        </w:tc>
      </w:tr>
      <w:tr w14:paraId="167E06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15" w:hRule="atLeast"/>
        </w:trPr>
        <w:tc>
          <w:tcPr>
            <w:tcW w:w="8311" w:type="dxa"/>
            <w:gridSpan w:val="12"/>
            <w:vAlign w:val="top"/>
          </w:tcPr>
          <w:p w14:paraId="30E7DAB8">
            <w:pPr>
              <w:spacing w:line="285" w:lineRule="auto"/>
              <w:rPr>
                <w:rFonts w:ascii="Arial"/>
                <w:sz w:val="21"/>
              </w:rPr>
            </w:pPr>
          </w:p>
          <w:p w14:paraId="3DE48A3F">
            <w:pPr>
              <w:pStyle w:val="11"/>
              <w:spacing w:before="68" w:line="220" w:lineRule="auto"/>
              <w:ind w:left="118"/>
            </w:pPr>
            <w:r>
              <w:rPr>
                <w:spacing w:val="-3"/>
              </w:rPr>
              <w:t>评标委员会全体成员签名：</w:t>
            </w:r>
          </w:p>
        </w:tc>
      </w:tr>
    </w:tbl>
    <w:p w14:paraId="4BC4AC58">
      <w:pPr>
        <w:spacing w:before="24" w:line="221" w:lineRule="auto"/>
        <w:ind w:left="5730"/>
        <w:rPr>
          <w:rFonts w:ascii="宋体" w:hAnsi="宋体" w:eastAsia="宋体" w:cs="宋体"/>
          <w:sz w:val="21"/>
          <w:szCs w:val="21"/>
        </w:rPr>
      </w:pPr>
      <w:r>
        <w:rPr>
          <w:rFonts w:ascii="宋体" w:hAnsi="宋体" w:eastAsia="宋体" w:cs="宋体"/>
          <w:spacing w:val="-24"/>
          <w:sz w:val="21"/>
          <w:szCs w:val="21"/>
        </w:rPr>
        <w:t>日期：</w:t>
      </w:r>
      <w:r>
        <w:rPr>
          <w:rFonts w:ascii="宋体" w:hAnsi="宋体" w:eastAsia="宋体" w:cs="宋体"/>
          <w:spacing w:val="21"/>
          <w:sz w:val="21"/>
          <w:szCs w:val="21"/>
        </w:rPr>
        <w:t xml:space="preserve">    </w:t>
      </w:r>
      <w:r>
        <w:rPr>
          <w:rFonts w:ascii="宋体" w:hAnsi="宋体" w:eastAsia="宋体" w:cs="宋体"/>
          <w:spacing w:val="-24"/>
          <w:sz w:val="21"/>
          <w:szCs w:val="21"/>
        </w:rPr>
        <w:t>年</w:t>
      </w:r>
      <w:r>
        <w:rPr>
          <w:rFonts w:ascii="宋体" w:hAnsi="宋体" w:eastAsia="宋体" w:cs="宋体"/>
          <w:spacing w:val="4"/>
          <w:sz w:val="21"/>
          <w:szCs w:val="21"/>
        </w:rPr>
        <w:t xml:space="preserve">    </w:t>
      </w:r>
      <w:r>
        <w:rPr>
          <w:rFonts w:ascii="宋体" w:hAnsi="宋体" w:eastAsia="宋体" w:cs="宋体"/>
          <w:spacing w:val="-24"/>
          <w:sz w:val="21"/>
          <w:szCs w:val="21"/>
        </w:rPr>
        <w:t>月</w:t>
      </w:r>
      <w:r>
        <w:rPr>
          <w:rFonts w:ascii="宋体" w:hAnsi="宋体" w:eastAsia="宋体" w:cs="宋体"/>
          <w:spacing w:val="10"/>
          <w:sz w:val="21"/>
          <w:szCs w:val="21"/>
        </w:rPr>
        <w:t xml:space="preserve">    </w:t>
      </w:r>
      <w:r>
        <w:rPr>
          <w:rFonts w:ascii="宋体" w:hAnsi="宋体" w:eastAsia="宋体" w:cs="宋体"/>
          <w:spacing w:val="-24"/>
          <w:sz w:val="21"/>
          <w:szCs w:val="21"/>
        </w:rPr>
        <w:t>日</w:t>
      </w:r>
    </w:p>
    <w:p w14:paraId="062E677B">
      <w:pPr>
        <w:spacing w:line="221" w:lineRule="auto"/>
        <w:rPr>
          <w:rFonts w:ascii="宋体" w:hAnsi="宋体" w:eastAsia="宋体" w:cs="宋体"/>
          <w:sz w:val="21"/>
          <w:szCs w:val="21"/>
        </w:rPr>
        <w:sectPr>
          <w:footerReference r:id="rId71" w:type="default"/>
          <w:pgSz w:w="11905" w:h="16839"/>
          <w:pgMar w:top="1431" w:right="1785" w:bottom="996" w:left="1785" w:header="0" w:footer="791" w:gutter="0"/>
          <w:pgNumType w:fmt="decimal"/>
          <w:cols w:space="720" w:num="1"/>
        </w:sectPr>
      </w:pPr>
    </w:p>
    <w:p w14:paraId="5A66192A">
      <w:pPr>
        <w:spacing w:before="124" w:line="219" w:lineRule="auto"/>
        <w:ind w:left="32"/>
        <w:rPr>
          <w:rFonts w:ascii="黑体" w:hAnsi="黑体" w:eastAsia="黑体" w:cs="黑体"/>
          <w:sz w:val="24"/>
          <w:szCs w:val="24"/>
        </w:rPr>
      </w:pPr>
      <w:r>
        <w:rPr>
          <w:rFonts w:ascii="黑体" w:hAnsi="黑体" w:eastAsia="黑体" w:cs="黑体"/>
          <w:spacing w:val="-3"/>
          <w:sz w:val="24"/>
          <w:szCs w:val="24"/>
        </w:rPr>
        <w:t>附表</w:t>
      </w:r>
      <w:r>
        <w:rPr>
          <w:rFonts w:ascii="黑体" w:hAnsi="黑体" w:eastAsia="黑体" w:cs="黑体"/>
          <w:spacing w:val="-51"/>
          <w:sz w:val="24"/>
          <w:szCs w:val="24"/>
        </w:rPr>
        <w:t xml:space="preserve"> </w:t>
      </w:r>
      <w:r>
        <w:rPr>
          <w:rFonts w:ascii="Times New Roman" w:hAnsi="Times New Roman" w:eastAsia="Times New Roman" w:cs="Times New Roman"/>
          <w:spacing w:val="-3"/>
          <w:sz w:val="24"/>
          <w:szCs w:val="24"/>
        </w:rPr>
        <w:t>A-6</w:t>
      </w:r>
      <w:r>
        <w:rPr>
          <w:rFonts w:ascii="黑体" w:hAnsi="黑体" w:eastAsia="黑体" w:cs="黑体"/>
          <w:spacing w:val="-3"/>
          <w:sz w:val="24"/>
          <w:szCs w:val="24"/>
        </w:rPr>
        <w:t>：响应性评审记录表</w:t>
      </w:r>
    </w:p>
    <w:p w14:paraId="212FF6E3">
      <w:pPr>
        <w:pStyle w:val="3"/>
        <w:spacing w:line="317" w:lineRule="auto"/>
      </w:pPr>
    </w:p>
    <w:p w14:paraId="4CCC6F87">
      <w:pPr>
        <w:pStyle w:val="3"/>
        <w:spacing w:line="317" w:lineRule="auto"/>
      </w:pPr>
    </w:p>
    <w:p w14:paraId="27B8B0D3">
      <w:pPr>
        <w:spacing w:before="117" w:line="219" w:lineRule="auto"/>
        <w:ind w:left="2756"/>
        <w:rPr>
          <w:rFonts w:ascii="黑体" w:hAnsi="黑体" w:eastAsia="黑体" w:cs="黑体"/>
          <w:sz w:val="36"/>
          <w:szCs w:val="36"/>
        </w:rPr>
      </w:pPr>
      <w:bookmarkStart w:id="186" w:name="bookmark222"/>
      <w:bookmarkEnd w:id="186"/>
      <w:r>
        <w:rPr>
          <w:rFonts w:ascii="黑体" w:hAnsi="黑体" w:eastAsia="黑体" w:cs="黑体"/>
          <w:spacing w:val="-4"/>
          <w:sz w:val="36"/>
          <w:szCs w:val="36"/>
        </w:rPr>
        <w:t>响应性评审记录表</w:t>
      </w:r>
    </w:p>
    <w:p w14:paraId="059D2563">
      <w:pPr>
        <w:spacing w:before="234" w:line="221" w:lineRule="auto"/>
        <w:ind w:left="19"/>
        <w:rPr>
          <w:rFonts w:ascii="宋体" w:hAnsi="宋体" w:eastAsia="宋体" w:cs="宋体"/>
          <w:sz w:val="21"/>
          <w:szCs w:val="21"/>
        </w:rPr>
      </w:pPr>
      <w:r>
        <w:rPr>
          <w:rFonts w:ascii="宋体" w:hAnsi="宋体" w:eastAsia="宋体" w:cs="宋体"/>
          <w:spacing w:val="-9"/>
          <w:sz w:val="21"/>
          <w:szCs w:val="21"/>
        </w:rPr>
        <w:t>标段名称：</w:t>
      </w:r>
    </w:p>
    <w:p w14:paraId="5140393F">
      <w:pPr>
        <w:spacing w:before="22" w:line="214" w:lineRule="auto"/>
        <w:ind w:left="19"/>
        <w:rPr>
          <w:rFonts w:ascii="宋体" w:hAnsi="宋体" w:eastAsia="宋体" w:cs="宋体"/>
          <w:sz w:val="21"/>
          <w:szCs w:val="21"/>
        </w:rPr>
      </w:pPr>
      <w:r>
        <w:rPr>
          <w:rFonts w:ascii="宋体" w:hAnsi="宋体" w:eastAsia="宋体" w:cs="宋体"/>
          <w:spacing w:val="-5"/>
          <w:sz w:val="21"/>
          <w:szCs w:val="21"/>
        </w:rPr>
        <w:t>标段唯一标识码：</w:t>
      </w:r>
    </w:p>
    <w:tbl>
      <w:tblPr>
        <w:tblStyle w:val="10"/>
        <w:tblW w:w="8311"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63"/>
        <w:gridCol w:w="1224"/>
        <w:gridCol w:w="615"/>
        <w:gridCol w:w="614"/>
        <w:gridCol w:w="614"/>
        <w:gridCol w:w="614"/>
        <w:gridCol w:w="614"/>
        <w:gridCol w:w="614"/>
        <w:gridCol w:w="615"/>
        <w:gridCol w:w="619"/>
        <w:gridCol w:w="614"/>
        <w:gridCol w:w="791"/>
      </w:tblGrid>
      <w:tr w14:paraId="4248CC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7" w:hRule="atLeast"/>
        </w:trPr>
        <w:tc>
          <w:tcPr>
            <w:tcW w:w="763" w:type="dxa"/>
            <w:vMerge w:val="restart"/>
            <w:tcBorders>
              <w:bottom w:val="nil"/>
            </w:tcBorders>
            <w:vAlign w:val="top"/>
          </w:tcPr>
          <w:p w14:paraId="0412A8D4">
            <w:pPr>
              <w:spacing w:line="252" w:lineRule="auto"/>
              <w:rPr>
                <w:rFonts w:ascii="Arial"/>
                <w:sz w:val="21"/>
              </w:rPr>
            </w:pPr>
          </w:p>
          <w:p w14:paraId="3E87AA89">
            <w:pPr>
              <w:pStyle w:val="11"/>
              <w:spacing w:before="68" w:line="222" w:lineRule="auto"/>
              <w:ind w:left="175"/>
            </w:pPr>
            <w:r>
              <w:rPr>
                <w:spacing w:val="-2"/>
                <w14:textOutline w14:w="3831" w14:cap="flat" w14:cmpd="sng">
                  <w14:solidFill>
                    <w14:srgbClr w14:val="000000"/>
                  </w14:solidFill>
                  <w14:prstDash w14:val="solid"/>
                  <w14:miter w14:val="0"/>
                </w14:textOutline>
              </w:rPr>
              <w:t>序号</w:t>
            </w:r>
          </w:p>
        </w:tc>
        <w:tc>
          <w:tcPr>
            <w:tcW w:w="1224" w:type="dxa"/>
            <w:vMerge w:val="restart"/>
            <w:tcBorders>
              <w:bottom w:val="nil"/>
            </w:tcBorders>
            <w:vAlign w:val="top"/>
          </w:tcPr>
          <w:p w14:paraId="1FF4F8BF">
            <w:pPr>
              <w:pStyle w:val="11"/>
              <w:spacing w:before="182" w:line="232" w:lineRule="auto"/>
              <w:ind w:left="511" w:right="186" w:hanging="313"/>
            </w:pPr>
            <w:r>
              <w:rPr>
                <w:spacing w:val="-2"/>
                <w14:textOutline w14:w="3831" w14:cap="flat" w14:cmpd="sng">
                  <w14:solidFill>
                    <w14:srgbClr w14:val="000000"/>
                  </w14:solidFill>
                  <w14:prstDash w14:val="solid"/>
                  <w14:miter w14:val="0"/>
                </w14:textOutline>
              </w:rPr>
              <w:t>投标人名</w:t>
            </w:r>
            <w:r>
              <w:rPr>
                <w:spacing w:val="1"/>
              </w:rPr>
              <w:t xml:space="preserve"> </w:t>
            </w:r>
            <w:r>
              <w:rPr>
                <w14:textOutline w14:w="3831" w14:cap="flat" w14:cmpd="sng">
                  <w14:solidFill>
                    <w14:srgbClr w14:val="000000"/>
                  </w14:solidFill>
                  <w14:prstDash w14:val="solid"/>
                  <w14:miter w14:val="0"/>
                </w14:textOutline>
              </w:rPr>
              <w:t>称</w:t>
            </w:r>
          </w:p>
        </w:tc>
        <w:tc>
          <w:tcPr>
            <w:tcW w:w="5533" w:type="dxa"/>
            <w:gridSpan w:val="9"/>
            <w:vAlign w:val="top"/>
          </w:tcPr>
          <w:p w14:paraId="07105B4C">
            <w:pPr>
              <w:pStyle w:val="11"/>
              <w:spacing w:before="105" w:line="221" w:lineRule="auto"/>
              <w:ind w:left="1818"/>
            </w:pPr>
            <w:r>
              <w:rPr>
                <w14:textOutline w14:w="3831" w14:cap="flat" w14:cmpd="sng">
                  <w14:solidFill>
                    <w14:srgbClr w14:val="000000"/>
                  </w14:solidFill>
                  <w14:prstDash w14:val="solid"/>
                  <w14:miter w14:val="0"/>
                </w14:textOutline>
              </w:rPr>
              <w:t>评审标准及评审意见</w:t>
            </w:r>
          </w:p>
        </w:tc>
        <w:tc>
          <w:tcPr>
            <w:tcW w:w="791" w:type="dxa"/>
            <w:vMerge w:val="restart"/>
            <w:tcBorders>
              <w:bottom w:val="nil"/>
            </w:tcBorders>
            <w:vAlign w:val="top"/>
          </w:tcPr>
          <w:p w14:paraId="3555D87C">
            <w:pPr>
              <w:pStyle w:val="11"/>
              <w:spacing w:before="183" w:line="241" w:lineRule="auto"/>
              <w:ind w:left="189"/>
            </w:pPr>
            <w:r>
              <w:rPr>
                <w:spacing w:val="-2"/>
                <w14:textOutline w14:w="3831" w14:cap="flat" w14:cmpd="sng">
                  <w14:solidFill>
                    <w14:srgbClr w14:val="000000"/>
                  </w14:solidFill>
                  <w14:prstDash w14:val="solid"/>
                  <w14:miter w14:val="0"/>
                </w14:textOutline>
              </w:rPr>
              <w:t>评审</w:t>
            </w:r>
          </w:p>
          <w:p w14:paraId="3842FDBE">
            <w:pPr>
              <w:pStyle w:val="11"/>
              <w:spacing w:line="222" w:lineRule="auto"/>
              <w:ind w:left="195"/>
            </w:pPr>
            <w:r>
              <w:rPr>
                <w:spacing w:val="-3"/>
                <w14:textOutline w14:w="3831" w14:cap="flat" w14:cmpd="sng">
                  <w14:solidFill>
                    <w14:srgbClr w14:val="000000"/>
                  </w14:solidFill>
                  <w14:prstDash w14:val="solid"/>
                  <w14:miter w14:val="0"/>
                </w14:textOutline>
              </w:rPr>
              <w:t>结论</w:t>
            </w:r>
          </w:p>
        </w:tc>
      </w:tr>
      <w:tr w14:paraId="59A365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7" w:hRule="atLeast"/>
        </w:trPr>
        <w:tc>
          <w:tcPr>
            <w:tcW w:w="763" w:type="dxa"/>
            <w:vMerge w:val="continue"/>
            <w:tcBorders>
              <w:top w:val="nil"/>
            </w:tcBorders>
            <w:vAlign w:val="top"/>
          </w:tcPr>
          <w:p w14:paraId="59F5FE7E">
            <w:pPr>
              <w:rPr>
                <w:rFonts w:ascii="Arial"/>
                <w:sz w:val="21"/>
              </w:rPr>
            </w:pPr>
          </w:p>
        </w:tc>
        <w:tc>
          <w:tcPr>
            <w:tcW w:w="1224" w:type="dxa"/>
            <w:vMerge w:val="continue"/>
            <w:tcBorders>
              <w:top w:val="nil"/>
            </w:tcBorders>
            <w:vAlign w:val="top"/>
          </w:tcPr>
          <w:p w14:paraId="08F5ABC2">
            <w:pPr>
              <w:rPr>
                <w:rFonts w:ascii="Arial"/>
                <w:sz w:val="21"/>
              </w:rPr>
            </w:pPr>
          </w:p>
        </w:tc>
        <w:tc>
          <w:tcPr>
            <w:tcW w:w="615" w:type="dxa"/>
            <w:vAlign w:val="top"/>
          </w:tcPr>
          <w:p w14:paraId="493DE8B4">
            <w:pPr>
              <w:rPr>
                <w:rFonts w:ascii="Arial"/>
                <w:sz w:val="21"/>
              </w:rPr>
            </w:pPr>
          </w:p>
        </w:tc>
        <w:tc>
          <w:tcPr>
            <w:tcW w:w="614" w:type="dxa"/>
            <w:vAlign w:val="top"/>
          </w:tcPr>
          <w:p w14:paraId="6C6C8E90">
            <w:pPr>
              <w:rPr>
                <w:rFonts w:ascii="Arial"/>
                <w:sz w:val="21"/>
              </w:rPr>
            </w:pPr>
          </w:p>
        </w:tc>
        <w:tc>
          <w:tcPr>
            <w:tcW w:w="614" w:type="dxa"/>
            <w:vAlign w:val="top"/>
          </w:tcPr>
          <w:p w14:paraId="5EA2EF90">
            <w:pPr>
              <w:rPr>
                <w:rFonts w:ascii="Arial"/>
                <w:sz w:val="21"/>
              </w:rPr>
            </w:pPr>
          </w:p>
        </w:tc>
        <w:tc>
          <w:tcPr>
            <w:tcW w:w="614" w:type="dxa"/>
            <w:vAlign w:val="top"/>
          </w:tcPr>
          <w:p w14:paraId="0ED25FF8">
            <w:pPr>
              <w:rPr>
                <w:rFonts w:ascii="Arial"/>
                <w:sz w:val="21"/>
              </w:rPr>
            </w:pPr>
          </w:p>
        </w:tc>
        <w:tc>
          <w:tcPr>
            <w:tcW w:w="614" w:type="dxa"/>
            <w:vAlign w:val="top"/>
          </w:tcPr>
          <w:p w14:paraId="27CE30E4">
            <w:pPr>
              <w:rPr>
                <w:rFonts w:ascii="Arial"/>
                <w:sz w:val="21"/>
              </w:rPr>
            </w:pPr>
          </w:p>
        </w:tc>
        <w:tc>
          <w:tcPr>
            <w:tcW w:w="614" w:type="dxa"/>
            <w:vAlign w:val="top"/>
          </w:tcPr>
          <w:p w14:paraId="100E96FB">
            <w:pPr>
              <w:rPr>
                <w:rFonts w:ascii="Arial"/>
                <w:sz w:val="21"/>
              </w:rPr>
            </w:pPr>
          </w:p>
        </w:tc>
        <w:tc>
          <w:tcPr>
            <w:tcW w:w="615" w:type="dxa"/>
            <w:vAlign w:val="top"/>
          </w:tcPr>
          <w:p w14:paraId="0432DAD0">
            <w:pPr>
              <w:rPr>
                <w:rFonts w:ascii="Arial"/>
                <w:sz w:val="21"/>
              </w:rPr>
            </w:pPr>
          </w:p>
        </w:tc>
        <w:tc>
          <w:tcPr>
            <w:tcW w:w="619" w:type="dxa"/>
            <w:vAlign w:val="top"/>
          </w:tcPr>
          <w:p w14:paraId="2FAEB056">
            <w:pPr>
              <w:rPr>
                <w:rFonts w:ascii="Arial"/>
                <w:sz w:val="21"/>
              </w:rPr>
            </w:pPr>
          </w:p>
        </w:tc>
        <w:tc>
          <w:tcPr>
            <w:tcW w:w="614" w:type="dxa"/>
            <w:vAlign w:val="top"/>
          </w:tcPr>
          <w:p w14:paraId="5F8E6D84">
            <w:pPr>
              <w:rPr>
                <w:rFonts w:ascii="Arial"/>
                <w:sz w:val="21"/>
              </w:rPr>
            </w:pPr>
          </w:p>
        </w:tc>
        <w:tc>
          <w:tcPr>
            <w:tcW w:w="791" w:type="dxa"/>
            <w:vMerge w:val="continue"/>
            <w:tcBorders>
              <w:top w:val="nil"/>
            </w:tcBorders>
            <w:vAlign w:val="top"/>
          </w:tcPr>
          <w:p w14:paraId="0DD50EB0">
            <w:pPr>
              <w:rPr>
                <w:rFonts w:ascii="Arial"/>
                <w:sz w:val="21"/>
              </w:rPr>
            </w:pPr>
          </w:p>
        </w:tc>
      </w:tr>
      <w:tr w14:paraId="6E97BB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0" w:hRule="atLeast"/>
        </w:trPr>
        <w:tc>
          <w:tcPr>
            <w:tcW w:w="763" w:type="dxa"/>
            <w:vAlign w:val="top"/>
          </w:tcPr>
          <w:p w14:paraId="0DA56C23">
            <w:pPr>
              <w:pStyle w:val="11"/>
              <w:spacing w:before="208" w:line="183" w:lineRule="auto"/>
              <w:ind w:left="350"/>
            </w:pPr>
            <w:r>
              <w:t>1</w:t>
            </w:r>
          </w:p>
        </w:tc>
        <w:tc>
          <w:tcPr>
            <w:tcW w:w="1224" w:type="dxa"/>
            <w:vAlign w:val="top"/>
          </w:tcPr>
          <w:p w14:paraId="33012F5A">
            <w:pPr>
              <w:rPr>
                <w:rFonts w:ascii="Arial"/>
                <w:sz w:val="21"/>
              </w:rPr>
            </w:pPr>
          </w:p>
        </w:tc>
        <w:tc>
          <w:tcPr>
            <w:tcW w:w="615" w:type="dxa"/>
            <w:vAlign w:val="top"/>
          </w:tcPr>
          <w:p w14:paraId="5AFEA374">
            <w:pPr>
              <w:rPr>
                <w:rFonts w:ascii="Arial"/>
                <w:sz w:val="21"/>
              </w:rPr>
            </w:pPr>
          </w:p>
        </w:tc>
        <w:tc>
          <w:tcPr>
            <w:tcW w:w="614" w:type="dxa"/>
            <w:vAlign w:val="top"/>
          </w:tcPr>
          <w:p w14:paraId="75581532">
            <w:pPr>
              <w:rPr>
                <w:rFonts w:ascii="Arial"/>
                <w:sz w:val="21"/>
              </w:rPr>
            </w:pPr>
          </w:p>
        </w:tc>
        <w:tc>
          <w:tcPr>
            <w:tcW w:w="614" w:type="dxa"/>
            <w:vAlign w:val="top"/>
          </w:tcPr>
          <w:p w14:paraId="7FEAE6D4">
            <w:pPr>
              <w:rPr>
                <w:rFonts w:ascii="Arial"/>
                <w:sz w:val="21"/>
              </w:rPr>
            </w:pPr>
          </w:p>
        </w:tc>
        <w:tc>
          <w:tcPr>
            <w:tcW w:w="614" w:type="dxa"/>
            <w:vAlign w:val="top"/>
          </w:tcPr>
          <w:p w14:paraId="6DC781DE">
            <w:pPr>
              <w:rPr>
                <w:rFonts w:ascii="Arial"/>
                <w:sz w:val="21"/>
              </w:rPr>
            </w:pPr>
          </w:p>
        </w:tc>
        <w:tc>
          <w:tcPr>
            <w:tcW w:w="614" w:type="dxa"/>
            <w:vAlign w:val="top"/>
          </w:tcPr>
          <w:p w14:paraId="7B12E615">
            <w:pPr>
              <w:rPr>
                <w:rFonts w:ascii="Arial"/>
                <w:sz w:val="21"/>
              </w:rPr>
            </w:pPr>
          </w:p>
        </w:tc>
        <w:tc>
          <w:tcPr>
            <w:tcW w:w="614" w:type="dxa"/>
            <w:vAlign w:val="top"/>
          </w:tcPr>
          <w:p w14:paraId="0CA63D91">
            <w:pPr>
              <w:rPr>
                <w:rFonts w:ascii="Arial"/>
                <w:sz w:val="21"/>
              </w:rPr>
            </w:pPr>
          </w:p>
        </w:tc>
        <w:tc>
          <w:tcPr>
            <w:tcW w:w="615" w:type="dxa"/>
            <w:vAlign w:val="top"/>
          </w:tcPr>
          <w:p w14:paraId="160E3140">
            <w:pPr>
              <w:rPr>
                <w:rFonts w:ascii="Arial"/>
                <w:sz w:val="21"/>
              </w:rPr>
            </w:pPr>
          </w:p>
        </w:tc>
        <w:tc>
          <w:tcPr>
            <w:tcW w:w="619" w:type="dxa"/>
            <w:vAlign w:val="top"/>
          </w:tcPr>
          <w:p w14:paraId="6C306A46">
            <w:pPr>
              <w:rPr>
                <w:rFonts w:ascii="Arial"/>
                <w:sz w:val="21"/>
              </w:rPr>
            </w:pPr>
          </w:p>
        </w:tc>
        <w:tc>
          <w:tcPr>
            <w:tcW w:w="614" w:type="dxa"/>
            <w:vAlign w:val="top"/>
          </w:tcPr>
          <w:p w14:paraId="416A5112">
            <w:pPr>
              <w:rPr>
                <w:rFonts w:ascii="Arial"/>
                <w:sz w:val="21"/>
              </w:rPr>
            </w:pPr>
          </w:p>
        </w:tc>
        <w:tc>
          <w:tcPr>
            <w:tcW w:w="791" w:type="dxa"/>
            <w:vAlign w:val="top"/>
          </w:tcPr>
          <w:p w14:paraId="04327DDE">
            <w:pPr>
              <w:rPr>
                <w:rFonts w:ascii="Arial"/>
                <w:sz w:val="21"/>
              </w:rPr>
            </w:pPr>
          </w:p>
        </w:tc>
      </w:tr>
      <w:tr w14:paraId="39BBA0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763" w:type="dxa"/>
            <w:vAlign w:val="top"/>
          </w:tcPr>
          <w:p w14:paraId="665E39F7">
            <w:pPr>
              <w:pStyle w:val="11"/>
              <w:spacing w:before="215" w:line="182" w:lineRule="auto"/>
              <w:ind w:left="337"/>
            </w:pPr>
            <w:r>
              <w:t>2</w:t>
            </w:r>
          </w:p>
        </w:tc>
        <w:tc>
          <w:tcPr>
            <w:tcW w:w="1224" w:type="dxa"/>
            <w:vAlign w:val="top"/>
          </w:tcPr>
          <w:p w14:paraId="1E8B4861">
            <w:pPr>
              <w:rPr>
                <w:rFonts w:ascii="Arial"/>
                <w:sz w:val="21"/>
              </w:rPr>
            </w:pPr>
          </w:p>
        </w:tc>
        <w:tc>
          <w:tcPr>
            <w:tcW w:w="615" w:type="dxa"/>
            <w:vAlign w:val="top"/>
          </w:tcPr>
          <w:p w14:paraId="71E6638B">
            <w:pPr>
              <w:rPr>
                <w:rFonts w:ascii="Arial"/>
                <w:sz w:val="21"/>
              </w:rPr>
            </w:pPr>
          </w:p>
        </w:tc>
        <w:tc>
          <w:tcPr>
            <w:tcW w:w="614" w:type="dxa"/>
            <w:vAlign w:val="top"/>
          </w:tcPr>
          <w:p w14:paraId="2EF668BE">
            <w:pPr>
              <w:rPr>
                <w:rFonts w:ascii="Arial"/>
                <w:sz w:val="21"/>
              </w:rPr>
            </w:pPr>
          </w:p>
        </w:tc>
        <w:tc>
          <w:tcPr>
            <w:tcW w:w="614" w:type="dxa"/>
            <w:vAlign w:val="top"/>
          </w:tcPr>
          <w:p w14:paraId="7601B5D1">
            <w:pPr>
              <w:rPr>
                <w:rFonts w:ascii="Arial"/>
                <w:sz w:val="21"/>
              </w:rPr>
            </w:pPr>
          </w:p>
        </w:tc>
        <w:tc>
          <w:tcPr>
            <w:tcW w:w="614" w:type="dxa"/>
            <w:vAlign w:val="top"/>
          </w:tcPr>
          <w:p w14:paraId="68A17B2F">
            <w:pPr>
              <w:rPr>
                <w:rFonts w:ascii="Arial"/>
                <w:sz w:val="21"/>
              </w:rPr>
            </w:pPr>
          </w:p>
        </w:tc>
        <w:tc>
          <w:tcPr>
            <w:tcW w:w="614" w:type="dxa"/>
            <w:vAlign w:val="top"/>
          </w:tcPr>
          <w:p w14:paraId="49B6D581">
            <w:pPr>
              <w:rPr>
                <w:rFonts w:ascii="Arial"/>
                <w:sz w:val="21"/>
              </w:rPr>
            </w:pPr>
          </w:p>
        </w:tc>
        <w:tc>
          <w:tcPr>
            <w:tcW w:w="614" w:type="dxa"/>
            <w:vAlign w:val="top"/>
          </w:tcPr>
          <w:p w14:paraId="0B1786B2">
            <w:pPr>
              <w:rPr>
                <w:rFonts w:ascii="Arial"/>
                <w:sz w:val="21"/>
              </w:rPr>
            </w:pPr>
          </w:p>
        </w:tc>
        <w:tc>
          <w:tcPr>
            <w:tcW w:w="615" w:type="dxa"/>
            <w:vAlign w:val="top"/>
          </w:tcPr>
          <w:p w14:paraId="70F8EB18">
            <w:pPr>
              <w:rPr>
                <w:rFonts w:ascii="Arial"/>
                <w:sz w:val="21"/>
              </w:rPr>
            </w:pPr>
          </w:p>
        </w:tc>
        <w:tc>
          <w:tcPr>
            <w:tcW w:w="619" w:type="dxa"/>
            <w:vAlign w:val="top"/>
          </w:tcPr>
          <w:p w14:paraId="1FF2DF73">
            <w:pPr>
              <w:rPr>
                <w:rFonts w:ascii="Arial"/>
                <w:sz w:val="21"/>
              </w:rPr>
            </w:pPr>
          </w:p>
        </w:tc>
        <w:tc>
          <w:tcPr>
            <w:tcW w:w="614" w:type="dxa"/>
            <w:vAlign w:val="top"/>
          </w:tcPr>
          <w:p w14:paraId="3326DE39">
            <w:pPr>
              <w:rPr>
                <w:rFonts w:ascii="Arial"/>
                <w:sz w:val="21"/>
              </w:rPr>
            </w:pPr>
          </w:p>
        </w:tc>
        <w:tc>
          <w:tcPr>
            <w:tcW w:w="791" w:type="dxa"/>
            <w:vAlign w:val="top"/>
          </w:tcPr>
          <w:p w14:paraId="2AE5C18A">
            <w:pPr>
              <w:rPr>
                <w:rFonts w:ascii="Arial"/>
                <w:sz w:val="21"/>
              </w:rPr>
            </w:pPr>
          </w:p>
        </w:tc>
      </w:tr>
      <w:tr w14:paraId="77234C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6" w:hRule="atLeast"/>
        </w:trPr>
        <w:tc>
          <w:tcPr>
            <w:tcW w:w="763" w:type="dxa"/>
            <w:vAlign w:val="top"/>
          </w:tcPr>
          <w:p w14:paraId="60135C29">
            <w:pPr>
              <w:pStyle w:val="11"/>
              <w:spacing w:before="215" w:line="182" w:lineRule="auto"/>
              <w:ind w:left="339"/>
            </w:pPr>
            <w:r>
              <w:t>3</w:t>
            </w:r>
          </w:p>
        </w:tc>
        <w:tc>
          <w:tcPr>
            <w:tcW w:w="1224" w:type="dxa"/>
            <w:vAlign w:val="top"/>
          </w:tcPr>
          <w:p w14:paraId="7A54BD3B">
            <w:pPr>
              <w:rPr>
                <w:rFonts w:ascii="Arial"/>
                <w:sz w:val="21"/>
              </w:rPr>
            </w:pPr>
          </w:p>
        </w:tc>
        <w:tc>
          <w:tcPr>
            <w:tcW w:w="615" w:type="dxa"/>
            <w:vAlign w:val="top"/>
          </w:tcPr>
          <w:p w14:paraId="7DEBCF99">
            <w:pPr>
              <w:rPr>
                <w:rFonts w:ascii="Arial"/>
                <w:sz w:val="21"/>
              </w:rPr>
            </w:pPr>
          </w:p>
        </w:tc>
        <w:tc>
          <w:tcPr>
            <w:tcW w:w="614" w:type="dxa"/>
            <w:vAlign w:val="top"/>
          </w:tcPr>
          <w:p w14:paraId="35EDA813">
            <w:pPr>
              <w:rPr>
                <w:rFonts w:ascii="Arial"/>
                <w:sz w:val="21"/>
              </w:rPr>
            </w:pPr>
          </w:p>
        </w:tc>
        <w:tc>
          <w:tcPr>
            <w:tcW w:w="614" w:type="dxa"/>
            <w:vAlign w:val="top"/>
          </w:tcPr>
          <w:p w14:paraId="2DBFE577">
            <w:pPr>
              <w:rPr>
                <w:rFonts w:ascii="Arial"/>
                <w:sz w:val="21"/>
              </w:rPr>
            </w:pPr>
          </w:p>
        </w:tc>
        <w:tc>
          <w:tcPr>
            <w:tcW w:w="614" w:type="dxa"/>
            <w:vAlign w:val="top"/>
          </w:tcPr>
          <w:p w14:paraId="31DAAE43">
            <w:pPr>
              <w:rPr>
                <w:rFonts w:ascii="Arial"/>
                <w:sz w:val="21"/>
              </w:rPr>
            </w:pPr>
          </w:p>
        </w:tc>
        <w:tc>
          <w:tcPr>
            <w:tcW w:w="614" w:type="dxa"/>
            <w:vAlign w:val="top"/>
          </w:tcPr>
          <w:p w14:paraId="0F500CB6">
            <w:pPr>
              <w:rPr>
                <w:rFonts w:ascii="Arial"/>
                <w:sz w:val="21"/>
              </w:rPr>
            </w:pPr>
          </w:p>
        </w:tc>
        <w:tc>
          <w:tcPr>
            <w:tcW w:w="614" w:type="dxa"/>
            <w:vAlign w:val="top"/>
          </w:tcPr>
          <w:p w14:paraId="21AF535C">
            <w:pPr>
              <w:rPr>
                <w:rFonts w:ascii="Arial"/>
                <w:sz w:val="21"/>
              </w:rPr>
            </w:pPr>
          </w:p>
        </w:tc>
        <w:tc>
          <w:tcPr>
            <w:tcW w:w="615" w:type="dxa"/>
            <w:vAlign w:val="top"/>
          </w:tcPr>
          <w:p w14:paraId="2A7B05FD">
            <w:pPr>
              <w:rPr>
                <w:rFonts w:ascii="Arial"/>
                <w:sz w:val="21"/>
              </w:rPr>
            </w:pPr>
          </w:p>
        </w:tc>
        <w:tc>
          <w:tcPr>
            <w:tcW w:w="619" w:type="dxa"/>
            <w:vAlign w:val="top"/>
          </w:tcPr>
          <w:p w14:paraId="3F0D45A6">
            <w:pPr>
              <w:rPr>
                <w:rFonts w:ascii="Arial"/>
                <w:sz w:val="21"/>
              </w:rPr>
            </w:pPr>
          </w:p>
        </w:tc>
        <w:tc>
          <w:tcPr>
            <w:tcW w:w="614" w:type="dxa"/>
            <w:vAlign w:val="top"/>
          </w:tcPr>
          <w:p w14:paraId="0CCB3882">
            <w:pPr>
              <w:rPr>
                <w:rFonts w:ascii="Arial"/>
                <w:sz w:val="21"/>
              </w:rPr>
            </w:pPr>
          </w:p>
        </w:tc>
        <w:tc>
          <w:tcPr>
            <w:tcW w:w="791" w:type="dxa"/>
            <w:vAlign w:val="top"/>
          </w:tcPr>
          <w:p w14:paraId="02D91DB0">
            <w:pPr>
              <w:rPr>
                <w:rFonts w:ascii="Arial"/>
                <w:sz w:val="21"/>
              </w:rPr>
            </w:pPr>
          </w:p>
        </w:tc>
      </w:tr>
      <w:tr w14:paraId="360351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0" w:hRule="atLeast"/>
        </w:trPr>
        <w:tc>
          <w:tcPr>
            <w:tcW w:w="763" w:type="dxa"/>
            <w:vAlign w:val="top"/>
          </w:tcPr>
          <w:p w14:paraId="7F834B28">
            <w:pPr>
              <w:pStyle w:val="11"/>
              <w:spacing w:before="210" w:line="182" w:lineRule="auto"/>
              <w:ind w:left="334"/>
            </w:pPr>
            <w:r>
              <w:t>4</w:t>
            </w:r>
          </w:p>
        </w:tc>
        <w:tc>
          <w:tcPr>
            <w:tcW w:w="1224" w:type="dxa"/>
            <w:vAlign w:val="top"/>
          </w:tcPr>
          <w:p w14:paraId="6FC4CE5A">
            <w:pPr>
              <w:rPr>
                <w:rFonts w:ascii="Arial"/>
                <w:sz w:val="21"/>
              </w:rPr>
            </w:pPr>
          </w:p>
        </w:tc>
        <w:tc>
          <w:tcPr>
            <w:tcW w:w="615" w:type="dxa"/>
            <w:vAlign w:val="top"/>
          </w:tcPr>
          <w:p w14:paraId="701A41DA">
            <w:pPr>
              <w:rPr>
                <w:rFonts w:ascii="Arial"/>
                <w:sz w:val="21"/>
              </w:rPr>
            </w:pPr>
          </w:p>
        </w:tc>
        <w:tc>
          <w:tcPr>
            <w:tcW w:w="614" w:type="dxa"/>
            <w:vAlign w:val="top"/>
          </w:tcPr>
          <w:p w14:paraId="038A7D2A">
            <w:pPr>
              <w:rPr>
                <w:rFonts w:ascii="Arial"/>
                <w:sz w:val="21"/>
              </w:rPr>
            </w:pPr>
          </w:p>
        </w:tc>
        <w:tc>
          <w:tcPr>
            <w:tcW w:w="614" w:type="dxa"/>
            <w:vAlign w:val="top"/>
          </w:tcPr>
          <w:p w14:paraId="100E35DC">
            <w:pPr>
              <w:rPr>
                <w:rFonts w:ascii="Arial"/>
                <w:sz w:val="21"/>
              </w:rPr>
            </w:pPr>
          </w:p>
        </w:tc>
        <w:tc>
          <w:tcPr>
            <w:tcW w:w="614" w:type="dxa"/>
            <w:vAlign w:val="top"/>
          </w:tcPr>
          <w:p w14:paraId="19EEDF6E">
            <w:pPr>
              <w:rPr>
                <w:rFonts w:ascii="Arial"/>
                <w:sz w:val="21"/>
              </w:rPr>
            </w:pPr>
          </w:p>
        </w:tc>
        <w:tc>
          <w:tcPr>
            <w:tcW w:w="614" w:type="dxa"/>
            <w:vAlign w:val="top"/>
          </w:tcPr>
          <w:p w14:paraId="5F71309E">
            <w:pPr>
              <w:rPr>
                <w:rFonts w:ascii="Arial"/>
                <w:sz w:val="21"/>
              </w:rPr>
            </w:pPr>
          </w:p>
        </w:tc>
        <w:tc>
          <w:tcPr>
            <w:tcW w:w="614" w:type="dxa"/>
            <w:vAlign w:val="top"/>
          </w:tcPr>
          <w:p w14:paraId="392FAC14">
            <w:pPr>
              <w:rPr>
                <w:rFonts w:ascii="Arial"/>
                <w:sz w:val="21"/>
              </w:rPr>
            </w:pPr>
          </w:p>
        </w:tc>
        <w:tc>
          <w:tcPr>
            <w:tcW w:w="615" w:type="dxa"/>
            <w:vAlign w:val="top"/>
          </w:tcPr>
          <w:p w14:paraId="3A1F1791">
            <w:pPr>
              <w:rPr>
                <w:rFonts w:ascii="Arial"/>
                <w:sz w:val="21"/>
              </w:rPr>
            </w:pPr>
          </w:p>
        </w:tc>
        <w:tc>
          <w:tcPr>
            <w:tcW w:w="619" w:type="dxa"/>
            <w:vAlign w:val="top"/>
          </w:tcPr>
          <w:p w14:paraId="52B06E7F">
            <w:pPr>
              <w:rPr>
                <w:rFonts w:ascii="Arial"/>
                <w:sz w:val="21"/>
              </w:rPr>
            </w:pPr>
          </w:p>
        </w:tc>
        <w:tc>
          <w:tcPr>
            <w:tcW w:w="614" w:type="dxa"/>
            <w:vAlign w:val="top"/>
          </w:tcPr>
          <w:p w14:paraId="2ACB1E05">
            <w:pPr>
              <w:rPr>
                <w:rFonts w:ascii="Arial"/>
                <w:sz w:val="21"/>
              </w:rPr>
            </w:pPr>
          </w:p>
        </w:tc>
        <w:tc>
          <w:tcPr>
            <w:tcW w:w="791" w:type="dxa"/>
            <w:vAlign w:val="top"/>
          </w:tcPr>
          <w:p w14:paraId="5A7F5A40">
            <w:pPr>
              <w:rPr>
                <w:rFonts w:ascii="Arial"/>
                <w:sz w:val="21"/>
              </w:rPr>
            </w:pPr>
          </w:p>
        </w:tc>
      </w:tr>
      <w:tr w14:paraId="4C9615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763" w:type="dxa"/>
            <w:vAlign w:val="top"/>
          </w:tcPr>
          <w:p w14:paraId="10A522E1">
            <w:pPr>
              <w:pStyle w:val="11"/>
              <w:spacing w:before="212" w:line="181" w:lineRule="auto"/>
              <w:ind w:left="339"/>
            </w:pPr>
            <w:r>
              <w:t>5</w:t>
            </w:r>
          </w:p>
        </w:tc>
        <w:tc>
          <w:tcPr>
            <w:tcW w:w="1224" w:type="dxa"/>
            <w:vAlign w:val="top"/>
          </w:tcPr>
          <w:p w14:paraId="4988ACD6">
            <w:pPr>
              <w:rPr>
                <w:rFonts w:ascii="Arial"/>
                <w:sz w:val="21"/>
              </w:rPr>
            </w:pPr>
          </w:p>
        </w:tc>
        <w:tc>
          <w:tcPr>
            <w:tcW w:w="615" w:type="dxa"/>
            <w:vAlign w:val="top"/>
          </w:tcPr>
          <w:p w14:paraId="7BB440B8">
            <w:pPr>
              <w:rPr>
                <w:rFonts w:ascii="Arial"/>
                <w:sz w:val="21"/>
              </w:rPr>
            </w:pPr>
          </w:p>
        </w:tc>
        <w:tc>
          <w:tcPr>
            <w:tcW w:w="614" w:type="dxa"/>
            <w:vAlign w:val="top"/>
          </w:tcPr>
          <w:p w14:paraId="18127532">
            <w:pPr>
              <w:rPr>
                <w:rFonts w:ascii="Arial"/>
                <w:sz w:val="21"/>
              </w:rPr>
            </w:pPr>
          </w:p>
        </w:tc>
        <w:tc>
          <w:tcPr>
            <w:tcW w:w="614" w:type="dxa"/>
            <w:vAlign w:val="top"/>
          </w:tcPr>
          <w:p w14:paraId="0704BB04">
            <w:pPr>
              <w:rPr>
                <w:rFonts w:ascii="Arial"/>
                <w:sz w:val="21"/>
              </w:rPr>
            </w:pPr>
          </w:p>
        </w:tc>
        <w:tc>
          <w:tcPr>
            <w:tcW w:w="614" w:type="dxa"/>
            <w:vAlign w:val="top"/>
          </w:tcPr>
          <w:p w14:paraId="4695F12F">
            <w:pPr>
              <w:rPr>
                <w:rFonts w:ascii="Arial"/>
                <w:sz w:val="21"/>
              </w:rPr>
            </w:pPr>
          </w:p>
        </w:tc>
        <w:tc>
          <w:tcPr>
            <w:tcW w:w="614" w:type="dxa"/>
            <w:vAlign w:val="top"/>
          </w:tcPr>
          <w:p w14:paraId="7A57A4A6">
            <w:pPr>
              <w:rPr>
                <w:rFonts w:ascii="Arial"/>
                <w:sz w:val="21"/>
              </w:rPr>
            </w:pPr>
          </w:p>
        </w:tc>
        <w:tc>
          <w:tcPr>
            <w:tcW w:w="614" w:type="dxa"/>
            <w:vAlign w:val="top"/>
          </w:tcPr>
          <w:p w14:paraId="56F386A6">
            <w:pPr>
              <w:rPr>
                <w:rFonts w:ascii="Arial"/>
                <w:sz w:val="21"/>
              </w:rPr>
            </w:pPr>
          </w:p>
        </w:tc>
        <w:tc>
          <w:tcPr>
            <w:tcW w:w="615" w:type="dxa"/>
            <w:vAlign w:val="top"/>
          </w:tcPr>
          <w:p w14:paraId="683315A8">
            <w:pPr>
              <w:rPr>
                <w:rFonts w:ascii="Arial"/>
                <w:sz w:val="21"/>
              </w:rPr>
            </w:pPr>
          </w:p>
        </w:tc>
        <w:tc>
          <w:tcPr>
            <w:tcW w:w="619" w:type="dxa"/>
            <w:vAlign w:val="top"/>
          </w:tcPr>
          <w:p w14:paraId="333FF9E2">
            <w:pPr>
              <w:rPr>
                <w:rFonts w:ascii="Arial"/>
                <w:sz w:val="21"/>
              </w:rPr>
            </w:pPr>
          </w:p>
        </w:tc>
        <w:tc>
          <w:tcPr>
            <w:tcW w:w="614" w:type="dxa"/>
            <w:vAlign w:val="top"/>
          </w:tcPr>
          <w:p w14:paraId="17C4BCF6">
            <w:pPr>
              <w:rPr>
                <w:rFonts w:ascii="Arial"/>
                <w:sz w:val="21"/>
              </w:rPr>
            </w:pPr>
          </w:p>
        </w:tc>
        <w:tc>
          <w:tcPr>
            <w:tcW w:w="791" w:type="dxa"/>
            <w:vAlign w:val="top"/>
          </w:tcPr>
          <w:p w14:paraId="4ECA666E">
            <w:pPr>
              <w:rPr>
                <w:rFonts w:ascii="Arial"/>
                <w:sz w:val="21"/>
              </w:rPr>
            </w:pPr>
          </w:p>
        </w:tc>
      </w:tr>
      <w:tr w14:paraId="67F14A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763" w:type="dxa"/>
            <w:vAlign w:val="top"/>
          </w:tcPr>
          <w:p w14:paraId="6C9044D1">
            <w:pPr>
              <w:pStyle w:val="11"/>
              <w:spacing w:before="211" w:line="182" w:lineRule="auto"/>
              <w:ind w:left="336"/>
            </w:pPr>
            <w:r>
              <w:t>6</w:t>
            </w:r>
          </w:p>
        </w:tc>
        <w:tc>
          <w:tcPr>
            <w:tcW w:w="1224" w:type="dxa"/>
            <w:vAlign w:val="top"/>
          </w:tcPr>
          <w:p w14:paraId="574DDE4D">
            <w:pPr>
              <w:rPr>
                <w:rFonts w:ascii="Arial"/>
                <w:sz w:val="21"/>
              </w:rPr>
            </w:pPr>
          </w:p>
        </w:tc>
        <w:tc>
          <w:tcPr>
            <w:tcW w:w="615" w:type="dxa"/>
            <w:vAlign w:val="top"/>
          </w:tcPr>
          <w:p w14:paraId="63F078CC">
            <w:pPr>
              <w:rPr>
                <w:rFonts w:ascii="Arial"/>
                <w:sz w:val="21"/>
              </w:rPr>
            </w:pPr>
          </w:p>
        </w:tc>
        <w:tc>
          <w:tcPr>
            <w:tcW w:w="614" w:type="dxa"/>
            <w:vAlign w:val="top"/>
          </w:tcPr>
          <w:p w14:paraId="742EC632">
            <w:pPr>
              <w:rPr>
                <w:rFonts w:ascii="Arial"/>
                <w:sz w:val="21"/>
              </w:rPr>
            </w:pPr>
          </w:p>
        </w:tc>
        <w:tc>
          <w:tcPr>
            <w:tcW w:w="614" w:type="dxa"/>
            <w:vAlign w:val="top"/>
          </w:tcPr>
          <w:p w14:paraId="05BB79F9">
            <w:pPr>
              <w:rPr>
                <w:rFonts w:ascii="Arial"/>
                <w:sz w:val="21"/>
              </w:rPr>
            </w:pPr>
          </w:p>
        </w:tc>
        <w:tc>
          <w:tcPr>
            <w:tcW w:w="614" w:type="dxa"/>
            <w:vAlign w:val="top"/>
          </w:tcPr>
          <w:p w14:paraId="0EC241E1">
            <w:pPr>
              <w:rPr>
                <w:rFonts w:ascii="Arial"/>
                <w:sz w:val="21"/>
              </w:rPr>
            </w:pPr>
          </w:p>
        </w:tc>
        <w:tc>
          <w:tcPr>
            <w:tcW w:w="614" w:type="dxa"/>
            <w:vAlign w:val="top"/>
          </w:tcPr>
          <w:p w14:paraId="090AAE13">
            <w:pPr>
              <w:rPr>
                <w:rFonts w:ascii="Arial"/>
                <w:sz w:val="21"/>
              </w:rPr>
            </w:pPr>
          </w:p>
        </w:tc>
        <w:tc>
          <w:tcPr>
            <w:tcW w:w="614" w:type="dxa"/>
            <w:vAlign w:val="top"/>
          </w:tcPr>
          <w:p w14:paraId="37DAF2ED">
            <w:pPr>
              <w:rPr>
                <w:rFonts w:ascii="Arial"/>
                <w:sz w:val="21"/>
              </w:rPr>
            </w:pPr>
          </w:p>
        </w:tc>
        <w:tc>
          <w:tcPr>
            <w:tcW w:w="615" w:type="dxa"/>
            <w:vAlign w:val="top"/>
          </w:tcPr>
          <w:p w14:paraId="172CABEB">
            <w:pPr>
              <w:rPr>
                <w:rFonts w:ascii="Arial"/>
                <w:sz w:val="21"/>
              </w:rPr>
            </w:pPr>
          </w:p>
        </w:tc>
        <w:tc>
          <w:tcPr>
            <w:tcW w:w="619" w:type="dxa"/>
            <w:vAlign w:val="top"/>
          </w:tcPr>
          <w:p w14:paraId="65C8520F">
            <w:pPr>
              <w:rPr>
                <w:rFonts w:ascii="Arial"/>
                <w:sz w:val="21"/>
              </w:rPr>
            </w:pPr>
          </w:p>
        </w:tc>
        <w:tc>
          <w:tcPr>
            <w:tcW w:w="614" w:type="dxa"/>
            <w:vAlign w:val="top"/>
          </w:tcPr>
          <w:p w14:paraId="64A75F94">
            <w:pPr>
              <w:rPr>
                <w:rFonts w:ascii="Arial"/>
                <w:sz w:val="21"/>
              </w:rPr>
            </w:pPr>
          </w:p>
        </w:tc>
        <w:tc>
          <w:tcPr>
            <w:tcW w:w="791" w:type="dxa"/>
            <w:vAlign w:val="top"/>
          </w:tcPr>
          <w:p w14:paraId="31B6E018">
            <w:pPr>
              <w:rPr>
                <w:rFonts w:ascii="Arial"/>
                <w:sz w:val="21"/>
              </w:rPr>
            </w:pPr>
          </w:p>
        </w:tc>
      </w:tr>
      <w:tr w14:paraId="5128B6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763" w:type="dxa"/>
            <w:vAlign w:val="top"/>
          </w:tcPr>
          <w:p w14:paraId="342F2657">
            <w:pPr>
              <w:pStyle w:val="11"/>
              <w:spacing w:before="181" w:line="332" w:lineRule="exact"/>
              <w:ind w:left="295"/>
            </w:pPr>
            <w:r>
              <w:rPr>
                <w:position w:val="2"/>
              </w:rPr>
              <w:t>…</w:t>
            </w:r>
          </w:p>
        </w:tc>
        <w:tc>
          <w:tcPr>
            <w:tcW w:w="1224" w:type="dxa"/>
            <w:vAlign w:val="top"/>
          </w:tcPr>
          <w:p w14:paraId="36893D24">
            <w:pPr>
              <w:rPr>
                <w:rFonts w:ascii="Arial"/>
                <w:sz w:val="21"/>
              </w:rPr>
            </w:pPr>
          </w:p>
        </w:tc>
        <w:tc>
          <w:tcPr>
            <w:tcW w:w="615" w:type="dxa"/>
            <w:vAlign w:val="top"/>
          </w:tcPr>
          <w:p w14:paraId="0085524C">
            <w:pPr>
              <w:rPr>
                <w:rFonts w:ascii="Arial"/>
                <w:sz w:val="21"/>
              </w:rPr>
            </w:pPr>
          </w:p>
        </w:tc>
        <w:tc>
          <w:tcPr>
            <w:tcW w:w="614" w:type="dxa"/>
            <w:vAlign w:val="top"/>
          </w:tcPr>
          <w:p w14:paraId="3FE6B432">
            <w:pPr>
              <w:rPr>
                <w:rFonts w:ascii="Arial"/>
                <w:sz w:val="21"/>
              </w:rPr>
            </w:pPr>
          </w:p>
        </w:tc>
        <w:tc>
          <w:tcPr>
            <w:tcW w:w="614" w:type="dxa"/>
            <w:vAlign w:val="top"/>
          </w:tcPr>
          <w:p w14:paraId="37974CFD">
            <w:pPr>
              <w:rPr>
                <w:rFonts w:ascii="Arial"/>
                <w:sz w:val="21"/>
              </w:rPr>
            </w:pPr>
          </w:p>
        </w:tc>
        <w:tc>
          <w:tcPr>
            <w:tcW w:w="614" w:type="dxa"/>
            <w:vAlign w:val="top"/>
          </w:tcPr>
          <w:p w14:paraId="6F290AB2">
            <w:pPr>
              <w:rPr>
                <w:rFonts w:ascii="Arial"/>
                <w:sz w:val="21"/>
              </w:rPr>
            </w:pPr>
          </w:p>
        </w:tc>
        <w:tc>
          <w:tcPr>
            <w:tcW w:w="614" w:type="dxa"/>
            <w:vAlign w:val="top"/>
          </w:tcPr>
          <w:p w14:paraId="04F8AA2A">
            <w:pPr>
              <w:rPr>
                <w:rFonts w:ascii="Arial"/>
                <w:sz w:val="21"/>
              </w:rPr>
            </w:pPr>
          </w:p>
        </w:tc>
        <w:tc>
          <w:tcPr>
            <w:tcW w:w="614" w:type="dxa"/>
            <w:vAlign w:val="top"/>
          </w:tcPr>
          <w:p w14:paraId="2CB0E676">
            <w:pPr>
              <w:rPr>
                <w:rFonts w:ascii="Arial"/>
                <w:sz w:val="21"/>
              </w:rPr>
            </w:pPr>
          </w:p>
        </w:tc>
        <w:tc>
          <w:tcPr>
            <w:tcW w:w="615" w:type="dxa"/>
            <w:vAlign w:val="top"/>
          </w:tcPr>
          <w:p w14:paraId="61E581F3">
            <w:pPr>
              <w:rPr>
                <w:rFonts w:ascii="Arial"/>
                <w:sz w:val="21"/>
              </w:rPr>
            </w:pPr>
          </w:p>
        </w:tc>
        <w:tc>
          <w:tcPr>
            <w:tcW w:w="619" w:type="dxa"/>
            <w:vAlign w:val="top"/>
          </w:tcPr>
          <w:p w14:paraId="422C000B">
            <w:pPr>
              <w:rPr>
                <w:rFonts w:ascii="Arial"/>
                <w:sz w:val="21"/>
              </w:rPr>
            </w:pPr>
          </w:p>
        </w:tc>
        <w:tc>
          <w:tcPr>
            <w:tcW w:w="614" w:type="dxa"/>
            <w:vAlign w:val="top"/>
          </w:tcPr>
          <w:p w14:paraId="45238D95">
            <w:pPr>
              <w:rPr>
                <w:rFonts w:ascii="Arial"/>
                <w:sz w:val="21"/>
              </w:rPr>
            </w:pPr>
          </w:p>
        </w:tc>
        <w:tc>
          <w:tcPr>
            <w:tcW w:w="791" w:type="dxa"/>
            <w:vAlign w:val="top"/>
          </w:tcPr>
          <w:p w14:paraId="441FAD47">
            <w:pPr>
              <w:rPr>
                <w:rFonts w:ascii="Arial"/>
                <w:sz w:val="21"/>
              </w:rPr>
            </w:pPr>
          </w:p>
        </w:tc>
      </w:tr>
      <w:tr w14:paraId="15B8B5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87" w:hRule="atLeast"/>
        </w:trPr>
        <w:tc>
          <w:tcPr>
            <w:tcW w:w="8311" w:type="dxa"/>
            <w:gridSpan w:val="12"/>
            <w:vAlign w:val="top"/>
          </w:tcPr>
          <w:p w14:paraId="2797B733">
            <w:pPr>
              <w:pStyle w:val="11"/>
              <w:spacing w:before="32" w:line="220" w:lineRule="auto"/>
              <w:ind w:left="118"/>
            </w:pPr>
            <w:r>
              <w:rPr>
                <w:spacing w:val="-3"/>
              </w:rPr>
              <w:t>评标委员会全体成员签名：</w:t>
            </w:r>
          </w:p>
        </w:tc>
      </w:tr>
    </w:tbl>
    <w:p w14:paraId="47B02F9C">
      <w:pPr>
        <w:spacing w:before="29" w:line="221" w:lineRule="auto"/>
        <w:ind w:left="5730"/>
        <w:rPr>
          <w:rFonts w:ascii="宋体" w:hAnsi="宋体" w:eastAsia="宋体" w:cs="宋体"/>
          <w:sz w:val="21"/>
          <w:szCs w:val="21"/>
        </w:rPr>
      </w:pPr>
      <w:r>
        <w:rPr>
          <w:rFonts w:ascii="宋体" w:hAnsi="宋体" w:eastAsia="宋体" w:cs="宋体"/>
          <w:spacing w:val="-24"/>
          <w:sz w:val="21"/>
          <w:szCs w:val="21"/>
        </w:rPr>
        <w:t>日期：</w:t>
      </w:r>
      <w:r>
        <w:rPr>
          <w:rFonts w:ascii="宋体" w:hAnsi="宋体" w:eastAsia="宋体" w:cs="宋体"/>
          <w:spacing w:val="21"/>
          <w:sz w:val="21"/>
          <w:szCs w:val="21"/>
        </w:rPr>
        <w:t xml:space="preserve">    </w:t>
      </w:r>
      <w:r>
        <w:rPr>
          <w:rFonts w:ascii="宋体" w:hAnsi="宋体" w:eastAsia="宋体" w:cs="宋体"/>
          <w:spacing w:val="-24"/>
          <w:sz w:val="21"/>
          <w:szCs w:val="21"/>
        </w:rPr>
        <w:t>年</w:t>
      </w:r>
      <w:r>
        <w:rPr>
          <w:rFonts w:ascii="宋体" w:hAnsi="宋体" w:eastAsia="宋体" w:cs="宋体"/>
          <w:spacing w:val="4"/>
          <w:sz w:val="21"/>
          <w:szCs w:val="21"/>
        </w:rPr>
        <w:t xml:space="preserve">    </w:t>
      </w:r>
      <w:r>
        <w:rPr>
          <w:rFonts w:ascii="宋体" w:hAnsi="宋体" w:eastAsia="宋体" w:cs="宋体"/>
          <w:spacing w:val="-24"/>
          <w:sz w:val="21"/>
          <w:szCs w:val="21"/>
        </w:rPr>
        <w:t>月</w:t>
      </w:r>
      <w:r>
        <w:rPr>
          <w:rFonts w:ascii="宋体" w:hAnsi="宋体" w:eastAsia="宋体" w:cs="宋体"/>
          <w:spacing w:val="10"/>
          <w:sz w:val="21"/>
          <w:szCs w:val="21"/>
        </w:rPr>
        <w:t xml:space="preserve">    </w:t>
      </w:r>
      <w:r>
        <w:rPr>
          <w:rFonts w:ascii="宋体" w:hAnsi="宋体" w:eastAsia="宋体" w:cs="宋体"/>
          <w:spacing w:val="-24"/>
          <w:sz w:val="21"/>
          <w:szCs w:val="21"/>
        </w:rPr>
        <w:t>日</w:t>
      </w:r>
    </w:p>
    <w:p w14:paraId="1FA32CB8">
      <w:pPr>
        <w:spacing w:line="221" w:lineRule="auto"/>
        <w:rPr>
          <w:rFonts w:ascii="宋体" w:hAnsi="宋体" w:eastAsia="宋体" w:cs="宋体"/>
          <w:sz w:val="21"/>
          <w:szCs w:val="21"/>
        </w:rPr>
        <w:sectPr>
          <w:footerReference r:id="rId72" w:type="default"/>
          <w:pgSz w:w="11905" w:h="16839"/>
          <w:pgMar w:top="1431" w:right="1785" w:bottom="996" w:left="1785" w:header="0" w:footer="791" w:gutter="0"/>
          <w:pgNumType w:fmt="decimal"/>
          <w:cols w:space="720" w:num="1"/>
        </w:sectPr>
      </w:pPr>
    </w:p>
    <w:p w14:paraId="5EB1A280">
      <w:pPr>
        <w:spacing w:before="124" w:line="219" w:lineRule="auto"/>
        <w:ind w:left="32"/>
        <w:rPr>
          <w:rFonts w:ascii="黑体" w:hAnsi="黑体" w:eastAsia="黑体" w:cs="黑体"/>
          <w:sz w:val="24"/>
          <w:szCs w:val="24"/>
        </w:rPr>
      </w:pPr>
      <w:r>
        <w:rPr>
          <w:rFonts w:ascii="黑体" w:hAnsi="黑体" w:eastAsia="黑体" w:cs="黑体"/>
          <w:spacing w:val="-3"/>
          <w:sz w:val="24"/>
          <w:szCs w:val="24"/>
        </w:rPr>
        <w:t>附表</w:t>
      </w:r>
      <w:r>
        <w:rPr>
          <w:rFonts w:ascii="黑体" w:hAnsi="黑体" w:eastAsia="黑体" w:cs="黑体"/>
          <w:spacing w:val="-49"/>
          <w:sz w:val="24"/>
          <w:szCs w:val="24"/>
        </w:rPr>
        <w:t xml:space="preserve"> </w:t>
      </w:r>
      <w:r>
        <w:rPr>
          <w:rFonts w:ascii="Times New Roman" w:hAnsi="Times New Roman" w:eastAsia="Times New Roman" w:cs="Times New Roman"/>
          <w:spacing w:val="-3"/>
          <w:sz w:val="24"/>
          <w:szCs w:val="24"/>
        </w:rPr>
        <w:t>A-7</w:t>
      </w:r>
      <w:r>
        <w:rPr>
          <w:rFonts w:ascii="黑体" w:hAnsi="黑体" w:eastAsia="黑体" w:cs="黑体"/>
          <w:spacing w:val="-3"/>
          <w:sz w:val="24"/>
          <w:szCs w:val="24"/>
        </w:rPr>
        <w:t>：技术标评审记录表（合格性）</w:t>
      </w:r>
    </w:p>
    <w:p w14:paraId="351E3AD0">
      <w:pPr>
        <w:pStyle w:val="3"/>
        <w:spacing w:line="317" w:lineRule="auto"/>
      </w:pPr>
    </w:p>
    <w:p w14:paraId="56C7C131">
      <w:pPr>
        <w:pStyle w:val="3"/>
        <w:spacing w:line="317" w:lineRule="auto"/>
      </w:pPr>
    </w:p>
    <w:p w14:paraId="40981586">
      <w:pPr>
        <w:spacing w:before="117" w:line="219" w:lineRule="auto"/>
        <w:ind w:left="2742"/>
        <w:rPr>
          <w:rFonts w:ascii="黑体" w:hAnsi="黑体" w:eastAsia="黑体" w:cs="黑体"/>
          <w:sz w:val="36"/>
          <w:szCs w:val="36"/>
        </w:rPr>
      </w:pPr>
      <w:bookmarkStart w:id="187" w:name="bookmark223"/>
      <w:bookmarkEnd w:id="187"/>
      <w:r>
        <w:rPr>
          <w:rFonts w:ascii="黑体" w:hAnsi="黑体" w:eastAsia="黑体" w:cs="黑体"/>
          <w:spacing w:val="-2"/>
          <w:sz w:val="36"/>
          <w:szCs w:val="36"/>
        </w:rPr>
        <w:t>技术标评审记录表</w:t>
      </w:r>
    </w:p>
    <w:p w14:paraId="20A1C2E7">
      <w:pPr>
        <w:spacing w:before="217" w:line="213" w:lineRule="auto"/>
        <w:ind w:left="1503"/>
        <w:rPr>
          <w:rFonts w:ascii="黑体" w:hAnsi="黑体" w:eastAsia="黑体" w:cs="黑体"/>
          <w:sz w:val="36"/>
          <w:szCs w:val="36"/>
        </w:rPr>
      </w:pPr>
      <w:r>
        <w:rPr>
          <w:rFonts w:ascii="黑体" w:hAnsi="黑体" w:eastAsia="黑体" w:cs="黑体"/>
          <w:spacing w:val="-5"/>
          <w:sz w:val="36"/>
          <w:szCs w:val="36"/>
        </w:rPr>
        <w:t>（适用于经评审的最低投标价法）</w:t>
      </w:r>
    </w:p>
    <w:p w14:paraId="39BE7D49">
      <w:pPr>
        <w:spacing w:line="221" w:lineRule="auto"/>
        <w:ind w:left="19"/>
        <w:rPr>
          <w:rFonts w:ascii="宋体" w:hAnsi="宋体" w:eastAsia="宋体" w:cs="宋体"/>
          <w:sz w:val="21"/>
          <w:szCs w:val="21"/>
        </w:rPr>
      </w:pPr>
      <w:r>
        <w:rPr>
          <w:rFonts w:ascii="宋体" w:hAnsi="宋体" w:eastAsia="宋体" w:cs="宋体"/>
          <w:spacing w:val="-9"/>
          <w:sz w:val="21"/>
          <w:szCs w:val="21"/>
        </w:rPr>
        <w:t>标段名称：</w:t>
      </w:r>
    </w:p>
    <w:p w14:paraId="4B6A7F20">
      <w:pPr>
        <w:spacing w:before="22" w:line="214" w:lineRule="auto"/>
        <w:ind w:left="19"/>
        <w:rPr>
          <w:rFonts w:ascii="宋体" w:hAnsi="宋体" w:eastAsia="宋体" w:cs="宋体"/>
          <w:sz w:val="21"/>
          <w:szCs w:val="21"/>
        </w:rPr>
      </w:pPr>
      <w:r>
        <w:rPr>
          <w:rFonts w:ascii="宋体" w:hAnsi="宋体" w:eastAsia="宋体" w:cs="宋体"/>
          <w:spacing w:val="-5"/>
          <w:sz w:val="21"/>
          <w:szCs w:val="21"/>
        </w:rPr>
        <w:t>标段唯一标识码：</w:t>
      </w:r>
    </w:p>
    <w:tbl>
      <w:tblPr>
        <w:tblStyle w:val="10"/>
        <w:tblW w:w="8311"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97"/>
        <w:gridCol w:w="1252"/>
        <w:gridCol w:w="605"/>
        <w:gridCol w:w="609"/>
        <w:gridCol w:w="609"/>
        <w:gridCol w:w="609"/>
        <w:gridCol w:w="610"/>
        <w:gridCol w:w="609"/>
        <w:gridCol w:w="605"/>
        <w:gridCol w:w="609"/>
        <w:gridCol w:w="610"/>
        <w:gridCol w:w="787"/>
      </w:tblGrid>
      <w:tr w14:paraId="621F39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32" w:hRule="atLeast"/>
        </w:trPr>
        <w:tc>
          <w:tcPr>
            <w:tcW w:w="797" w:type="dxa"/>
            <w:vMerge w:val="restart"/>
            <w:tcBorders>
              <w:bottom w:val="nil"/>
            </w:tcBorders>
            <w:vAlign w:val="top"/>
          </w:tcPr>
          <w:p w14:paraId="5D70DF83">
            <w:pPr>
              <w:spacing w:line="252" w:lineRule="auto"/>
              <w:rPr>
                <w:rFonts w:ascii="Arial"/>
                <w:sz w:val="21"/>
              </w:rPr>
            </w:pPr>
          </w:p>
          <w:p w14:paraId="364477CA">
            <w:pPr>
              <w:pStyle w:val="11"/>
              <w:spacing w:before="69" w:line="222" w:lineRule="auto"/>
              <w:ind w:left="194"/>
            </w:pPr>
            <w:r>
              <w:rPr>
                <w:spacing w:val="-2"/>
                <w14:textOutline w14:w="3831" w14:cap="flat" w14:cmpd="sng">
                  <w14:solidFill>
                    <w14:srgbClr w14:val="000000"/>
                  </w14:solidFill>
                  <w14:prstDash w14:val="solid"/>
                  <w14:miter w14:val="0"/>
                </w14:textOutline>
              </w:rPr>
              <w:t>序号</w:t>
            </w:r>
          </w:p>
        </w:tc>
        <w:tc>
          <w:tcPr>
            <w:tcW w:w="1252" w:type="dxa"/>
            <w:vMerge w:val="restart"/>
            <w:tcBorders>
              <w:bottom w:val="nil"/>
            </w:tcBorders>
            <w:vAlign w:val="top"/>
          </w:tcPr>
          <w:p w14:paraId="67F6B93B">
            <w:pPr>
              <w:pStyle w:val="11"/>
              <w:spacing w:before="187" w:line="230" w:lineRule="auto"/>
              <w:ind w:left="525" w:right="200" w:hanging="313"/>
            </w:pPr>
            <w:r>
              <w:rPr>
                <w:spacing w:val="-2"/>
                <w14:textOutline w14:w="3831" w14:cap="flat" w14:cmpd="sng">
                  <w14:solidFill>
                    <w14:srgbClr w14:val="000000"/>
                  </w14:solidFill>
                  <w14:prstDash w14:val="solid"/>
                  <w14:miter w14:val="0"/>
                </w14:textOutline>
              </w:rPr>
              <w:t>投标人名</w:t>
            </w:r>
            <w:r>
              <w:rPr>
                <w:spacing w:val="1"/>
              </w:rPr>
              <w:t xml:space="preserve"> </w:t>
            </w:r>
            <w:r>
              <w:rPr>
                <w14:textOutline w14:w="3831" w14:cap="flat" w14:cmpd="sng">
                  <w14:solidFill>
                    <w14:srgbClr w14:val="000000"/>
                  </w14:solidFill>
                  <w14:prstDash w14:val="solid"/>
                  <w14:miter w14:val="0"/>
                </w14:textOutline>
              </w:rPr>
              <w:t>称</w:t>
            </w:r>
          </w:p>
        </w:tc>
        <w:tc>
          <w:tcPr>
            <w:tcW w:w="5475" w:type="dxa"/>
            <w:gridSpan w:val="9"/>
            <w:vAlign w:val="top"/>
          </w:tcPr>
          <w:p w14:paraId="68E95F94">
            <w:pPr>
              <w:pStyle w:val="11"/>
              <w:spacing w:before="106" w:line="221" w:lineRule="auto"/>
              <w:ind w:left="1795"/>
            </w:pPr>
            <w:r>
              <w:rPr>
                <w14:textOutline w14:w="3831" w14:cap="flat" w14:cmpd="sng">
                  <w14:solidFill>
                    <w14:srgbClr w14:val="000000"/>
                  </w14:solidFill>
                  <w14:prstDash w14:val="solid"/>
                  <w14:miter w14:val="0"/>
                </w14:textOutline>
              </w:rPr>
              <w:t>评审标准及评审意见</w:t>
            </w:r>
          </w:p>
        </w:tc>
        <w:tc>
          <w:tcPr>
            <w:tcW w:w="787" w:type="dxa"/>
            <w:vMerge w:val="restart"/>
            <w:tcBorders>
              <w:bottom w:val="nil"/>
            </w:tcBorders>
            <w:vAlign w:val="top"/>
          </w:tcPr>
          <w:p w14:paraId="5F7488AB">
            <w:pPr>
              <w:pStyle w:val="11"/>
              <w:spacing w:before="188" w:line="236" w:lineRule="auto"/>
              <w:ind w:left="185"/>
            </w:pPr>
            <w:r>
              <w:rPr>
                <w:spacing w:val="-2"/>
                <w14:textOutline w14:w="3831" w14:cap="flat" w14:cmpd="sng">
                  <w14:solidFill>
                    <w14:srgbClr w14:val="000000"/>
                  </w14:solidFill>
                  <w14:prstDash w14:val="solid"/>
                  <w14:miter w14:val="0"/>
                </w14:textOutline>
              </w:rPr>
              <w:t>评审</w:t>
            </w:r>
          </w:p>
          <w:p w14:paraId="60703FE2">
            <w:pPr>
              <w:pStyle w:val="11"/>
              <w:spacing w:line="222" w:lineRule="auto"/>
              <w:ind w:left="191"/>
            </w:pPr>
            <w:r>
              <w:rPr>
                <w:spacing w:val="-3"/>
                <w14:textOutline w14:w="3831" w14:cap="flat" w14:cmpd="sng">
                  <w14:solidFill>
                    <w14:srgbClr w14:val="000000"/>
                  </w14:solidFill>
                  <w14:prstDash w14:val="solid"/>
                  <w14:miter w14:val="0"/>
                </w14:textOutline>
              </w:rPr>
              <w:t>结论</w:t>
            </w:r>
          </w:p>
        </w:tc>
      </w:tr>
      <w:tr w14:paraId="143C43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2" w:hRule="atLeast"/>
        </w:trPr>
        <w:tc>
          <w:tcPr>
            <w:tcW w:w="797" w:type="dxa"/>
            <w:vMerge w:val="continue"/>
            <w:tcBorders>
              <w:top w:val="nil"/>
            </w:tcBorders>
            <w:vAlign w:val="top"/>
          </w:tcPr>
          <w:p w14:paraId="1F89B0EB">
            <w:pPr>
              <w:rPr>
                <w:rFonts w:ascii="Arial"/>
                <w:sz w:val="21"/>
              </w:rPr>
            </w:pPr>
          </w:p>
        </w:tc>
        <w:tc>
          <w:tcPr>
            <w:tcW w:w="1252" w:type="dxa"/>
            <w:vMerge w:val="continue"/>
            <w:tcBorders>
              <w:top w:val="nil"/>
            </w:tcBorders>
            <w:vAlign w:val="top"/>
          </w:tcPr>
          <w:p w14:paraId="783C71C6">
            <w:pPr>
              <w:rPr>
                <w:rFonts w:ascii="Arial"/>
                <w:sz w:val="21"/>
              </w:rPr>
            </w:pPr>
          </w:p>
        </w:tc>
        <w:tc>
          <w:tcPr>
            <w:tcW w:w="605" w:type="dxa"/>
            <w:vAlign w:val="top"/>
          </w:tcPr>
          <w:p w14:paraId="640E3EE0">
            <w:pPr>
              <w:rPr>
                <w:rFonts w:ascii="Arial"/>
                <w:sz w:val="21"/>
              </w:rPr>
            </w:pPr>
          </w:p>
        </w:tc>
        <w:tc>
          <w:tcPr>
            <w:tcW w:w="609" w:type="dxa"/>
            <w:vAlign w:val="top"/>
          </w:tcPr>
          <w:p w14:paraId="302DA29C">
            <w:pPr>
              <w:rPr>
                <w:rFonts w:ascii="Arial"/>
                <w:sz w:val="21"/>
              </w:rPr>
            </w:pPr>
          </w:p>
        </w:tc>
        <w:tc>
          <w:tcPr>
            <w:tcW w:w="609" w:type="dxa"/>
            <w:vAlign w:val="top"/>
          </w:tcPr>
          <w:p w14:paraId="2858AC24">
            <w:pPr>
              <w:rPr>
                <w:rFonts w:ascii="Arial"/>
                <w:sz w:val="21"/>
              </w:rPr>
            </w:pPr>
          </w:p>
        </w:tc>
        <w:tc>
          <w:tcPr>
            <w:tcW w:w="609" w:type="dxa"/>
            <w:vAlign w:val="top"/>
          </w:tcPr>
          <w:p w14:paraId="1F4FCCFB">
            <w:pPr>
              <w:rPr>
                <w:rFonts w:ascii="Arial"/>
                <w:sz w:val="21"/>
              </w:rPr>
            </w:pPr>
          </w:p>
        </w:tc>
        <w:tc>
          <w:tcPr>
            <w:tcW w:w="610" w:type="dxa"/>
            <w:vAlign w:val="top"/>
          </w:tcPr>
          <w:p w14:paraId="049A043C">
            <w:pPr>
              <w:rPr>
                <w:rFonts w:ascii="Arial"/>
                <w:sz w:val="21"/>
              </w:rPr>
            </w:pPr>
          </w:p>
        </w:tc>
        <w:tc>
          <w:tcPr>
            <w:tcW w:w="609" w:type="dxa"/>
            <w:vAlign w:val="top"/>
          </w:tcPr>
          <w:p w14:paraId="771ADB13">
            <w:pPr>
              <w:rPr>
                <w:rFonts w:ascii="Arial"/>
                <w:sz w:val="21"/>
              </w:rPr>
            </w:pPr>
          </w:p>
        </w:tc>
        <w:tc>
          <w:tcPr>
            <w:tcW w:w="605" w:type="dxa"/>
            <w:vAlign w:val="top"/>
          </w:tcPr>
          <w:p w14:paraId="2169CF92">
            <w:pPr>
              <w:rPr>
                <w:rFonts w:ascii="Arial"/>
                <w:sz w:val="21"/>
              </w:rPr>
            </w:pPr>
          </w:p>
        </w:tc>
        <w:tc>
          <w:tcPr>
            <w:tcW w:w="609" w:type="dxa"/>
            <w:vAlign w:val="top"/>
          </w:tcPr>
          <w:p w14:paraId="69835CF3">
            <w:pPr>
              <w:rPr>
                <w:rFonts w:ascii="Arial"/>
                <w:sz w:val="21"/>
              </w:rPr>
            </w:pPr>
          </w:p>
        </w:tc>
        <w:tc>
          <w:tcPr>
            <w:tcW w:w="610" w:type="dxa"/>
            <w:vAlign w:val="top"/>
          </w:tcPr>
          <w:p w14:paraId="50AD1259">
            <w:pPr>
              <w:rPr>
                <w:rFonts w:ascii="Arial"/>
                <w:sz w:val="21"/>
              </w:rPr>
            </w:pPr>
          </w:p>
        </w:tc>
        <w:tc>
          <w:tcPr>
            <w:tcW w:w="787" w:type="dxa"/>
            <w:vMerge w:val="continue"/>
            <w:tcBorders>
              <w:top w:val="nil"/>
            </w:tcBorders>
            <w:vAlign w:val="top"/>
          </w:tcPr>
          <w:p w14:paraId="5C0FA6A2">
            <w:pPr>
              <w:rPr>
                <w:rFonts w:ascii="Arial"/>
                <w:sz w:val="21"/>
              </w:rPr>
            </w:pPr>
          </w:p>
        </w:tc>
      </w:tr>
      <w:tr w14:paraId="7117DA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0" w:hRule="atLeast"/>
        </w:trPr>
        <w:tc>
          <w:tcPr>
            <w:tcW w:w="797" w:type="dxa"/>
            <w:vAlign w:val="top"/>
          </w:tcPr>
          <w:p w14:paraId="1DC37B85">
            <w:pPr>
              <w:pStyle w:val="11"/>
              <w:spacing w:before="212" w:line="183" w:lineRule="auto"/>
              <w:ind w:left="369"/>
            </w:pPr>
            <w:r>
              <w:t>1</w:t>
            </w:r>
          </w:p>
        </w:tc>
        <w:tc>
          <w:tcPr>
            <w:tcW w:w="1252" w:type="dxa"/>
            <w:vAlign w:val="top"/>
          </w:tcPr>
          <w:p w14:paraId="31617EAF">
            <w:pPr>
              <w:rPr>
                <w:rFonts w:ascii="Arial"/>
                <w:sz w:val="21"/>
              </w:rPr>
            </w:pPr>
          </w:p>
        </w:tc>
        <w:tc>
          <w:tcPr>
            <w:tcW w:w="605" w:type="dxa"/>
            <w:vAlign w:val="top"/>
          </w:tcPr>
          <w:p w14:paraId="560F869D">
            <w:pPr>
              <w:rPr>
                <w:rFonts w:ascii="Arial"/>
                <w:sz w:val="21"/>
              </w:rPr>
            </w:pPr>
          </w:p>
        </w:tc>
        <w:tc>
          <w:tcPr>
            <w:tcW w:w="609" w:type="dxa"/>
            <w:vAlign w:val="top"/>
          </w:tcPr>
          <w:p w14:paraId="0077CD7B">
            <w:pPr>
              <w:rPr>
                <w:rFonts w:ascii="Arial"/>
                <w:sz w:val="21"/>
              </w:rPr>
            </w:pPr>
          </w:p>
        </w:tc>
        <w:tc>
          <w:tcPr>
            <w:tcW w:w="609" w:type="dxa"/>
            <w:vAlign w:val="top"/>
          </w:tcPr>
          <w:p w14:paraId="7E527E1F">
            <w:pPr>
              <w:rPr>
                <w:rFonts w:ascii="Arial"/>
                <w:sz w:val="21"/>
              </w:rPr>
            </w:pPr>
          </w:p>
        </w:tc>
        <w:tc>
          <w:tcPr>
            <w:tcW w:w="609" w:type="dxa"/>
            <w:vAlign w:val="top"/>
          </w:tcPr>
          <w:p w14:paraId="64C804AF">
            <w:pPr>
              <w:rPr>
                <w:rFonts w:ascii="Arial"/>
                <w:sz w:val="21"/>
              </w:rPr>
            </w:pPr>
          </w:p>
        </w:tc>
        <w:tc>
          <w:tcPr>
            <w:tcW w:w="610" w:type="dxa"/>
            <w:vAlign w:val="top"/>
          </w:tcPr>
          <w:p w14:paraId="0CC88F83">
            <w:pPr>
              <w:rPr>
                <w:rFonts w:ascii="Arial"/>
                <w:sz w:val="21"/>
              </w:rPr>
            </w:pPr>
          </w:p>
        </w:tc>
        <w:tc>
          <w:tcPr>
            <w:tcW w:w="609" w:type="dxa"/>
            <w:vAlign w:val="top"/>
          </w:tcPr>
          <w:p w14:paraId="3B0DE096">
            <w:pPr>
              <w:rPr>
                <w:rFonts w:ascii="Arial"/>
                <w:sz w:val="21"/>
              </w:rPr>
            </w:pPr>
          </w:p>
        </w:tc>
        <w:tc>
          <w:tcPr>
            <w:tcW w:w="605" w:type="dxa"/>
            <w:vAlign w:val="top"/>
          </w:tcPr>
          <w:p w14:paraId="402BA885">
            <w:pPr>
              <w:rPr>
                <w:rFonts w:ascii="Arial"/>
                <w:sz w:val="21"/>
              </w:rPr>
            </w:pPr>
          </w:p>
        </w:tc>
        <w:tc>
          <w:tcPr>
            <w:tcW w:w="609" w:type="dxa"/>
            <w:vAlign w:val="top"/>
          </w:tcPr>
          <w:p w14:paraId="1A7DBF95">
            <w:pPr>
              <w:rPr>
                <w:rFonts w:ascii="Arial"/>
                <w:sz w:val="21"/>
              </w:rPr>
            </w:pPr>
          </w:p>
        </w:tc>
        <w:tc>
          <w:tcPr>
            <w:tcW w:w="610" w:type="dxa"/>
            <w:vAlign w:val="top"/>
          </w:tcPr>
          <w:p w14:paraId="5D435FAF">
            <w:pPr>
              <w:rPr>
                <w:rFonts w:ascii="Arial"/>
                <w:sz w:val="21"/>
              </w:rPr>
            </w:pPr>
          </w:p>
        </w:tc>
        <w:tc>
          <w:tcPr>
            <w:tcW w:w="787" w:type="dxa"/>
            <w:vAlign w:val="top"/>
          </w:tcPr>
          <w:p w14:paraId="59FCED25">
            <w:pPr>
              <w:rPr>
                <w:rFonts w:ascii="Arial"/>
                <w:sz w:val="21"/>
              </w:rPr>
            </w:pPr>
          </w:p>
        </w:tc>
      </w:tr>
      <w:tr w14:paraId="5AFBBC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6" w:hRule="atLeast"/>
        </w:trPr>
        <w:tc>
          <w:tcPr>
            <w:tcW w:w="797" w:type="dxa"/>
            <w:vAlign w:val="top"/>
          </w:tcPr>
          <w:p w14:paraId="667F3A5D">
            <w:pPr>
              <w:pStyle w:val="11"/>
              <w:spacing w:before="215" w:line="182" w:lineRule="auto"/>
              <w:ind w:left="356"/>
            </w:pPr>
            <w:r>
              <w:t>2</w:t>
            </w:r>
          </w:p>
        </w:tc>
        <w:tc>
          <w:tcPr>
            <w:tcW w:w="1252" w:type="dxa"/>
            <w:vAlign w:val="top"/>
          </w:tcPr>
          <w:p w14:paraId="60E0009D">
            <w:pPr>
              <w:rPr>
                <w:rFonts w:ascii="Arial"/>
                <w:sz w:val="21"/>
              </w:rPr>
            </w:pPr>
          </w:p>
        </w:tc>
        <w:tc>
          <w:tcPr>
            <w:tcW w:w="605" w:type="dxa"/>
            <w:vAlign w:val="top"/>
          </w:tcPr>
          <w:p w14:paraId="79560A4F">
            <w:pPr>
              <w:rPr>
                <w:rFonts w:ascii="Arial"/>
                <w:sz w:val="21"/>
              </w:rPr>
            </w:pPr>
          </w:p>
        </w:tc>
        <w:tc>
          <w:tcPr>
            <w:tcW w:w="609" w:type="dxa"/>
            <w:vAlign w:val="top"/>
          </w:tcPr>
          <w:p w14:paraId="5ED2B0CD">
            <w:pPr>
              <w:rPr>
                <w:rFonts w:ascii="Arial"/>
                <w:sz w:val="21"/>
              </w:rPr>
            </w:pPr>
          </w:p>
        </w:tc>
        <w:tc>
          <w:tcPr>
            <w:tcW w:w="609" w:type="dxa"/>
            <w:vAlign w:val="top"/>
          </w:tcPr>
          <w:p w14:paraId="71E7C339">
            <w:pPr>
              <w:rPr>
                <w:rFonts w:ascii="Arial"/>
                <w:sz w:val="21"/>
              </w:rPr>
            </w:pPr>
          </w:p>
        </w:tc>
        <w:tc>
          <w:tcPr>
            <w:tcW w:w="609" w:type="dxa"/>
            <w:vAlign w:val="top"/>
          </w:tcPr>
          <w:p w14:paraId="75995FF4">
            <w:pPr>
              <w:rPr>
                <w:rFonts w:ascii="Arial"/>
                <w:sz w:val="21"/>
              </w:rPr>
            </w:pPr>
          </w:p>
        </w:tc>
        <w:tc>
          <w:tcPr>
            <w:tcW w:w="610" w:type="dxa"/>
            <w:vAlign w:val="top"/>
          </w:tcPr>
          <w:p w14:paraId="498A3011">
            <w:pPr>
              <w:rPr>
                <w:rFonts w:ascii="Arial"/>
                <w:sz w:val="21"/>
              </w:rPr>
            </w:pPr>
          </w:p>
        </w:tc>
        <w:tc>
          <w:tcPr>
            <w:tcW w:w="609" w:type="dxa"/>
            <w:vAlign w:val="top"/>
          </w:tcPr>
          <w:p w14:paraId="42BBF632">
            <w:pPr>
              <w:rPr>
                <w:rFonts w:ascii="Arial"/>
                <w:sz w:val="21"/>
              </w:rPr>
            </w:pPr>
          </w:p>
        </w:tc>
        <w:tc>
          <w:tcPr>
            <w:tcW w:w="605" w:type="dxa"/>
            <w:vAlign w:val="top"/>
          </w:tcPr>
          <w:p w14:paraId="015E1E3D">
            <w:pPr>
              <w:rPr>
                <w:rFonts w:ascii="Arial"/>
                <w:sz w:val="21"/>
              </w:rPr>
            </w:pPr>
          </w:p>
        </w:tc>
        <w:tc>
          <w:tcPr>
            <w:tcW w:w="609" w:type="dxa"/>
            <w:vAlign w:val="top"/>
          </w:tcPr>
          <w:p w14:paraId="2D5B740C">
            <w:pPr>
              <w:rPr>
                <w:rFonts w:ascii="Arial"/>
                <w:sz w:val="21"/>
              </w:rPr>
            </w:pPr>
          </w:p>
        </w:tc>
        <w:tc>
          <w:tcPr>
            <w:tcW w:w="610" w:type="dxa"/>
            <w:vAlign w:val="top"/>
          </w:tcPr>
          <w:p w14:paraId="4E4145B2">
            <w:pPr>
              <w:rPr>
                <w:rFonts w:ascii="Arial"/>
                <w:sz w:val="21"/>
              </w:rPr>
            </w:pPr>
          </w:p>
        </w:tc>
        <w:tc>
          <w:tcPr>
            <w:tcW w:w="787" w:type="dxa"/>
            <w:vAlign w:val="top"/>
          </w:tcPr>
          <w:p w14:paraId="4C468BC5">
            <w:pPr>
              <w:rPr>
                <w:rFonts w:ascii="Arial"/>
                <w:sz w:val="21"/>
              </w:rPr>
            </w:pPr>
          </w:p>
        </w:tc>
      </w:tr>
      <w:tr w14:paraId="37EC3B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797" w:type="dxa"/>
            <w:vAlign w:val="top"/>
          </w:tcPr>
          <w:p w14:paraId="15458BCF">
            <w:pPr>
              <w:pStyle w:val="11"/>
              <w:spacing w:before="210" w:line="182" w:lineRule="auto"/>
              <w:ind w:left="358"/>
            </w:pPr>
            <w:r>
              <w:t>3</w:t>
            </w:r>
          </w:p>
        </w:tc>
        <w:tc>
          <w:tcPr>
            <w:tcW w:w="1252" w:type="dxa"/>
            <w:vAlign w:val="top"/>
          </w:tcPr>
          <w:p w14:paraId="49CC3015">
            <w:pPr>
              <w:rPr>
                <w:rFonts w:ascii="Arial"/>
                <w:sz w:val="21"/>
              </w:rPr>
            </w:pPr>
          </w:p>
        </w:tc>
        <w:tc>
          <w:tcPr>
            <w:tcW w:w="605" w:type="dxa"/>
            <w:vAlign w:val="top"/>
          </w:tcPr>
          <w:p w14:paraId="5B9A74C4">
            <w:pPr>
              <w:rPr>
                <w:rFonts w:ascii="Arial"/>
                <w:sz w:val="21"/>
              </w:rPr>
            </w:pPr>
          </w:p>
        </w:tc>
        <w:tc>
          <w:tcPr>
            <w:tcW w:w="609" w:type="dxa"/>
            <w:vAlign w:val="top"/>
          </w:tcPr>
          <w:p w14:paraId="36B1CB33">
            <w:pPr>
              <w:rPr>
                <w:rFonts w:ascii="Arial"/>
                <w:sz w:val="21"/>
              </w:rPr>
            </w:pPr>
          </w:p>
        </w:tc>
        <w:tc>
          <w:tcPr>
            <w:tcW w:w="609" w:type="dxa"/>
            <w:vAlign w:val="top"/>
          </w:tcPr>
          <w:p w14:paraId="32053A39">
            <w:pPr>
              <w:rPr>
                <w:rFonts w:ascii="Arial"/>
                <w:sz w:val="21"/>
              </w:rPr>
            </w:pPr>
          </w:p>
        </w:tc>
        <w:tc>
          <w:tcPr>
            <w:tcW w:w="609" w:type="dxa"/>
            <w:vAlign w:val="top"/>
          </w:tcPr>
          <w:p w14:paraId="68E67DA6">
            <w:pPr>
              <w:rPr>
                <w:rFonts w:ascii="Arial"/>
                <w:sz w:val="21"/>
              </w:rPr>
            </w:pPr>
          </w:p>
        </w:tc>
        <w:tc>
          <w:tcPr>
            <w:tcW w:w="610" w:type="dxa"/>
            <w:vAlign w:val="top"/>
          </w:tcPr>
          <w:p w14:paraId="19CA11ED">
            <w:pPr>
              <w:rPr>
                <w:rFonts w:ascii="Arial"/>
                <w:sz w:val="21"/>
              </w:rPr>
            </w:pPr>
          </w:p>
        </w:tc>
        <w:tc>
          <w:tcPr>
            <w:tcW w:w="609" w:type="dxa"/>
            <w:vAlign w:val="top"/>
          </w:tcPr>
          <w:p w14:paraId="771BA2A2">
            <w:pPr>
              <w:rPr>
                <w:rFonts w:ascii="Arial"/>
                <w:sz w:val="21"/>
              </w:rPr>
            </w:pPr>
          </w:p>
        </w:tc>
        <w:tc>
          <w:tcPr>
            <w:tcW w:w="605" w:type="dxa"/>
            <w:vAlign w:val="top"/>
          </w:tcPr>
          <w:p w14:paraId="5B7DAFFC">
            <w:pPr>
              <w:rPr>
                <w:rFonts w:ascii="Arial"/>
                <w:sz w:val="21"/>
              </w:rPr>
            </w:pPr>
          </w:p>
        </w:tc>
        <w:tc>
          <w:tcPr>
            <w:tcW w:w="609" w:type="dxa"/>
            <w:vAlign w:val="top"/>
          </w:tcPr>
          <w:p w14:paraId="3ED6F7AC">
            <w:pPr>
              <w:rPr>
                <w:rFonts w:ascii="Arial"/>
                <w:sz w:val="21"/>
              </w:rPr>
            </w:pPr>
          </w:p>
        </w:tc>
        <w:tc>
          <w:tcPr>
            <w:tcW w:w="610" w:type="dxa"/>
            <w:vAlign w:val="top"/>
          </w:tcPr>
          <w:p w14:paraId="110A23AC">
            <w:pPr>
              <w:rPr>
                <w:rFonts w:ascii="Arial"/>
                <w:sz w:val="21"/>
              </w:rPr>
            </w:pPr>
          </w:p>
        </w:tc>
        <w:tc>
          <w:tcPr>
            <w:tcW w:w="787" w:type="dxa"/>
            <w:vAlign w:val="top"/>
          </w:tcPr>
          <w:p w14:paraId="0137008B">
            <w:pPr>
              <w:rPr>
                <w:rFonts w:ascii="Arial"/>
                <w:sz w:val="21"/>
              </w:rPr>
            </w:pPr>
          </w:p>
        </w:tc>
      </w:tr>
      <w:tr w14:paraId="440851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0" w:hRule="atLeast"/>
        </w:trPr>
        <w:tc>
          <w:tcPr>
            <w:tcW w:w="797" w:type="dxa"/>
            <w:vAlign w:val="top"/>
          </w:tcPr>
          <w:p w14:paraId="51B63A68">
            <w:pPr>
              <w:pStyle w:val="11"/>
              <w:spacing w:before="210" w:line="182" w:lineRule="auto"/>
              <w:ind w:left="353"/>
            </w:pPr>
            <w:r>
              <w:t>4</w:t>
            </w:r>
          </w:p>
        </w:tc>
        <w:tc>
          <w:tcPr>
            <w:tcW w:w="1252" w:type="dxa"/>
            <w:vAlign w:val="top"/>
          </w:tcPr>
          <w:p w14:paraId="4168B18E">
            <w:pPr>
              <w:rPr>
                <w:rFonts w:ascii="Arial"/>
                <w:sz w:val="21"/>
              </w:rPr>
            </w:pPr>
          </w:p>
        </w:tc>
        <w:tc>
          <w:tcPr>
            <w:tcW w:w="605" w:type="dxa"/>
            <w:vAlign w:val="top"/>
          </w:tcPr>
          <w:p w14:paraId="158AFEC5">
            <w:pPr>
              <w:rPr>
                <w:rFonts w:ascii="Arial"/>
                <w:sz w:val="21"/>
              </w:rPr>
            </w:pPr>
          </w:p>
        </w:tc>
        <w:tc>
          <w:tcPr>
            <w:tcW w:w="609" w:type="dxa"/>
            <w:vAlign w:val="top"/>
          </w:tcPr>
          <w:p w14:paraId="5CE7A3CF">
            <w:pPr>
              <w:rPr>
                <w:rFonts w:ascii="Arial"/>
                <w:sz w:val="21"/>
              </w:rPr>
            </w:pPr>
          </w:p>
        </w:tc>
        <w:tc>
          <w:tcPr>
            <w:tcW w:w="609" w:type="dxa"/>
            <w:vAlign w:val="top"/>
          </w:tcPr>
          <w:p w14:paraId="48F14757">
            <w:pPr>
              <w:rPr>
                <w:rFonts w:ascii="Arial"/>
                <w:sz w:val="21"/>
              </w:rPr>
            </w:pPr>
          </w:p>
        </w:tc>
        <w:tc>
          <w:tcPr>
            <w:tcW w:w="609" w:type="dxa"/>
            <w:vAlign w:val="top"/>
          </w:tcPr>
          <w:p w14:paraId="5F9509EF">
            <w:pPr>
              <w:rPr>
                <w:rFonts w:ascii="Arial"/>
                <w:sz w:val="21"/>
              </w:rPr>
            </w:pPr>
          </w:p>
        </w:tc>
        <w:tc>
          <w:tcPr>
            <w:tcW w:w="610" w:type="dxa"/>
            <w:vAlign w:val="top"/>
          </w:tcPr>
          <w:p w14:paraId="015B3DF5">
            <w:pPr>
              <w:rPr>
                <w:rFonts w:ascii="Arial"/>
                <w:sz w:val="21"/>
              </w:rPr>
            </w:pPr>
          </w:p>
        </w:tc>
        <w:tc>
          <w:tcPr>
            <w:tcW w:w="609" w:type="dxa"/>
            <w:vAlign w:val="top"/>
          </w:tcPr>
          <w:p w14:paraId="372941C1">
            <w:pPr>
              <w:rPr>
                <w:rFonts w:ascii="Arial"/>
                <w:sz w:val="21"/>
              </w:rPr>
            </w:pPr>
          </w:p>
        </w:tc>
        <w:tc>
          <w:tcPr>
            <w:tcW w:w="605" w:type="dxa"/>
            <w:vAlign w:val="top"/>
          </w:tcPr>
          <w:p w14:paraId="46DB442D">
            <w:pPr>
              <w:rPr>
                <w:rFonts w:ascii="Arial"/>
                <w:sz w:val="21"/>
              </w:rPr>
            </w:pPr>
          </w:p>
        </w:tc>
        <w:tc>
          <w:tcPr>
            <w:tcW w:w="609" w:type="dxa"/>
            <w:vAlign w:val="top"/>
          </w:tcPr>
          <w:p w14:paraId="7C932FAF">
            <w:pPr>
              <w:rPr>
                <w:rFonts w:ascii="Arial"/>
                <w:sz w:val="21"/>
              </w:rPr>
            </w:pPr>
          </w:p>
        </w:tc>
        <w:tc>
          <w:tcPr>
            <w:tcW w:w="610" w:type="dxa"/>
            <w:vAlign w:val="top"/>
          </w:tcPr>
          <w:p w14:paraId="35BAA155">
            <w:pPr>
              <w:rPr>
                <w:rFonts w:ascii="Arial"/>
                <w:sz w:val="21"/>
              </w:rPr>
            </w:pPr>
          </w:p>
        </w:tc>
        <w:tc>
          <w:tcPr>
            <w:tcW w:w="787" w:type="dxa"/>
            <w:vAlign w:val="top"/>
          </w:tcPr>
          <w:p w14:paraId="3D071871">
            <w:pPr>
              <w:rPr>
                <w:rFonts w:ascii="Arial"/>
                <w:sz w:val="21"/>
              </w:rPr>
            </w:pPr>
          </w:p>
        </w:tc>
      </w:tr>
      <w:tr w14:paraId="2802B9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797" w:type="dxa"/>
            <w:vAlign w:val="top"/>
          </w:tcPr>
          <w:p w14:paraId="0694B997">
            <w:pPr>
              <w:pStyle w:val="11"/>
              <w:spacing w:before="217" w:line="181" w:lineRule="auto"/>
              <w:ind w:left="358"/>
            </w:pPr>
            <w:r>
              <w:t>5</w:t>
            </w:r>
          </w:p>
        </w:tc>
        <w:tc>
          <w:tcPr>
            <w:tcW w:w="1252" w:type="dxa"/>
            <w:vAlign w:val="top"/>
          </w:tcPr>
          <w:p w14:paraId="33B6CA97">
            <w:pPr>
              <w:rPr>
                <w:rFonts w:ascii="Arial"/>
                <w:sz w:val="21"/>
              </w:rPr>
            </w:pPr>
          </w:p>
        </w:tc>
        <w:tc>
          <w:tcPr>
            <w:tcW w:w="605" w:type="dxa"/>
            <w:vAlign w:val="top"/>
          </w:tcPr>
          <w:p w14:paraId="633624E6">
            <w:pPr>
              <w:rPr>
                <w:rFonts w:ascii="Arial"/>
                <w:sz w:val="21"/>
              </w:rPr>
            </w:pPr>
          </w:p>
        </w:tc>
        <w:tc>
          <w:tcPr>
            <w:tcW w:w="609" w:type="dxa"/>
            <w:vAlign w:val="top"/>
          </w:tcPr>
          <w:p w14:paraId="36F42870">
            <w:pPr>
              <w:rPr>
                <w:rFonts w:ascii="Arial"/>
                <w:sz w:val="21"/>
              </w:rPr>
            </w:pPr>
          </w:p>
        </w:tc>
        <w:tc>
          <w:tcPr>
            <w:tcW w:w="609" w:type="dxa"/>
            <w:vAlign w:val="top"/>
          </w:tcPr>
          <w:p w14:paraId="7F12CC1C">
            <w:pPr>
              <w:rPr>
                <w:rFonts w:ascii="Arial"/>
                <w:sz w:val="21"/>
              </w:rPr>
            </w:pPr>
          </w:p>
        </w:tc>
        <w:tc>
          <w:tcPr>
            <w:tcW w:w="609" w:type="dxa"/>
            <w:vAlign w:val="top"/>
          </w:tcPr>
          <w:p w14:paraId="6967685D">
            <w:pPr>
              <w:rPr>
                <w:rFonts w:ascii="Arial"/>
                <w:sz w:val="21"/>
              </w:rPr>
            </w:pPr>
          </w:p>
        </w:tc>
        <w:tc>
          <w:tcPr>
            <w:tcW w:w="610" w:type="dxa"/>
            <w:vAlign w:val="top"/>
          </w:tcPr>
          <w:p w14:paraId="44EB12C8">
            <w:pPr>
              <w:rPr>
                <w:rFonts w:ascii="Arial"/>
                <w:sz w:val="21"/>
              </w:rPr>
            </w:pPr>
          </w:p>
        </w:tc>
        <w:tc>
          <w:tcPr>
            <w:tcW w:w="609" w:type="dxa"/>
            <w:vAlign w:val="top"/>
          </w:tcPr>
          <w:p w14:paraId="29A54438">
            <w:pPr>
              <w:rPr>
                <w:rFonts w:ascii="Arial"/>
                <w:sz w:val="21"/>
              </w:rPr>
            </w:pPr>
          </w:p>
        </w:tc>
        <w:tc>
          <w:tcPr>
            <w:tcW w:w="605" w:type="dxa"/>
            <w:vAlign w:val="top"/>
          </w:tcPr>
          <w:p w14:paraId="200AF3AC">
            <w:pPr>
              <w:rPr>
                <w:rFonts w:ascii="Arial"/>
                <w:sz w:val="21"/>
              </w:rPr>
            </w:pPr>
          </w:p>
        </w:tc>
        <w:tc>
          <w:tcPr>
            <w:tcW w:w="609" w:type="dxa"/>
            <w:vAlign w:val="top"/>
          </w:tcPr>
          <w:p w14:paraId="75285BF8">
            <w:pPr>
              <w:rPr>
                <w:rFonts w:ascii="Arial"/>
                <w:sz w:val="21"/>
              </w:rPr>
            </w:pPr>
          </w:p>
        </w:tc>
        <w:tc>
          <w:tcPr>
            <w:tcW w:w="610" w:type="dxa"/>
            <w:vAlign w:val="top"/>
          </w:tcPr>
          <w:p w14:paraId="436C29E4">
            <w:pPr>
              <w:rPr>
                <w:rFonts w:ascii="Arial"/>
                <w:sz w:val="21"/>
              </w:rPr>
            </w:pPr>
          </w:p>
        </w:tc>
        <w:tc>
          <w:tcPr>
            <w:tcW w:w="787" w:type="dxa"/>
            <w:vAlign w:val="top"/>
          </w:tcPr>
          <w:p w14:paraId="0DC66D1E">
            <w:pPr>
              <w:rPr>
                <w:rFonts w:ascii="Arial"/>
                <w:sz w:val="21"/>
              </w:rPr>
            </w:pPr>
          </w:p>
        </w:tc>
      </w:tr>
      <w:tr w14:paraId="23F071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797" w:type="dxa"/>
            <w:vAlign w:val="top"/>
          </w:tcPr>
          <w:p w14:paraId="416C0061">
            <w:pPr>
              <w:pStyle w:val="11"/>
              <w:spacing w:before="216" w:line="182" w:lineRule="auto"/>
              <w:ind w:left="355"/>
            </w:pPr>
            <w:r>
              <w:t>6</w:t>
            </w:r>
          </w:p>
        </w:tc>
        <w:tc>
          <w:tcPr>
            <w:tcW w:w="1252" w:type="dxa"/>
            <w:vAlign w:val="top"/>
          </w:tcPr>
          <w:p w14:paraId="1D3F6C9B">
            <w:pPr>
              <w:rPr>
                <w:rFonts w:ascii="Arial"/>
                <w:sz w:val="21"/>
              </w:rPr>
            </w:pPr>
          </w:p>
        </w:tc>
        <w:tc>
          <w:tcPr>
            <w:tcW w:w="605" w:type="dxa"/>
            <w:vAlign w:val="top"/>
          </w:tcPr>
          <w:p w14:paraId="306D20A6">
            <w:pPr>
              <w:rPr>
                <w:rFonts w:ascii="Arial"/>
                <w:sz w:val="21"/>
              </w:rPr>
            </w:pPr>
          </w:p>
        </w:tc>
        <w:tc>
          <w:tcPr>
            <w:tcW w:w="609" w:type="dxa"/>
            <w:vAlign w:val="top"/>
          </w:tcPr>
          <w:p w14:paraId="105FEF0A">
            <w:pPr>
              <w:rPr>
                <w:rFonts w:ascii="Arial"/>
                <w:sz w:val="21"/>
              </w:rPr>
            </w:pPr>
          </w:p>
        </w:tc>
        <w:tc>
          <w:tcPr>
            <w:tcW w:w="609" w:type="dxa"/>
            <w:vAlign w:val="top"/>
          </w:tcPr>
          <w:p w14:paraId="71AFEA73">
            <w:pPr>
              <w:rPr>
                <w:rFonts w:ascii="Arial"/>
                <w:sz w:val="21"/>
              </w:rPr>
            </w:pPr>
          </w:p>
        </w:tc>
        <w:tc>
          <w:tcPr>
            <w:tcW w:w="609" w:type="dxa"/>
            <w:vAlign w:val="top"/>
          </w:tcPr>
          <w:p w14:paraId="7F0C03BB">
            <w:pPr>
              <w:rPr>
                <w:rFonts w:ascii="Arial"/>
                <w:sz w:val="21"/>
              </w:rPr>
            </w:pPr>
          </w:p>
        </w:tc>
        <w:tc>
          <w:tcPr>
            <w:tcW w:w="610" w:type="dxa"/>
            <w:vAlign w:val="top"/>
          </w:tcPr>
          <w:p w14:paraId="71FF54ED">
            <w:pPr>
              <w:rPr>
                <w:rFonts w:ascii="Arial"/>
                <w:sz w:val="21"/>
              </w:rPr>
            </w:pPr>
          </w:p>
        </w:tc>
        <w:tc>
          <w:tcPr>
            <w:tcW w:w="609" w:type="dxa"/>
            <w:vAlign w:val="top"/>
          </w:tcPr>
          <w:p w14:paraId="44A095B6">
            <w:pPr>
              <w:rPr>
                <w:rFonts w:ascii="Arial"/>
                <w:sz w:val="21"/>
              </w:rPr>
            </w:pPr>
          </w:p>
        </w:tc>
        <w:tc>
          <w:tcPr>
            <w:tcW w:w="605" w:type="dxa"/>
            <w:vAlign w:val="top"/>
          </w:tcPr>
          <w:p w14:paraId="193A68E8">
            <w:pPr>
              <w:rPr>
                <w:rFonts w:ascii="Arial"/>
                <w:sz w:val="21"/>
              </w:rPr>
            </w:pPr>
          </w:p>
        </w:tc>
        <w:tc>
          <w:tcPr>
            <w:tcW w:w="609" w:type="dxa"/>
            <w:vAlign w:val="top"/>
          </w:tcPr>
          <w:p w14:paraId="3F0A5379">
            <w:pPr>
              <w:rPr>
                <w:rFonts w:ascii="Arial"/>
                <w:sz w:val="21"/>
              </w:rPr>
            </w:pPr>
          </w:p>
        </w:tc>
        <w:tc>
          <w:tcPr>
            <w:tcW w:w="610" w:type="dxa"/>
            <w:vAlign w:val="top"/>
          </w:tcPr>
          <w:p w14:paraId="58FB2C51">
            <w:pPr>
              <w:rPr>
                <w:rFonts w:ascii="Arial"/>
                <w:sz w:val="21"/>
              </w:rPr>
            </w:pPr>
          </w:p>
        </w:tc>
        <w:tc>
          <w:tcPr>
            <w:tcW w:w="787" w:type="dxa"/>
            <w:vAlign w:val="top"/>
          </w:tcPr>
          <w:p w14:paraId="55AC7844">
            <w:pPr>
              <w:rPr>
                <w:rFonts w:ascii="Arial"/>
                <w:sz w:val="21"/>
              </w:rPr>
            </w:pPr>
          </w:p>
        </w:tc>
      </w:tr>
      <w:tr w14:paraId="10BA9C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5" w:hRule="atLeast"/>
        </w:trPr>
        <w:tc>
          <w:tcPr>
            <w:tcW w:w="797" w:type="dxa"/>
            <w:vAlign w:val="top"/>
          </w:tcPr>
          <w:p w14:paraId="1406509F">
            <w:pPr>
              <w:pStyle w:val="11"/>
              <w:spacing w:before="181" w:line="332" w:lineRule="exact"/>
              <w:ind w:left="314"/>
            </w:pPr>
            <w:r>
              <w:rPr>
                <w:position w:val="2"/>
              </w:rPr>
              <w:t>…</w:t>
            </w:r>
          </w:p>
        </w:tc>
        <w:tc>
          <w:tcPr>
            <w:tcW w:w="1252" w:type="dxa"/>
            <w:vAlign w:val="top"/>
          </w:tcPr>
          <w:p w14:paraId="4738F5F1">
            <w:pPr>
              <w:rPr>
                <w:rFonts w:ascii="Arial"/>
                <w:sz w:val="21"/>
              </w:rPr>
            </w:pPr>
          </w:p>
        </w:tc>
        <w:tc>
          <w:tcPr>
            <w:tcW w:w="605" w:type="dxa"/>
            <w:vAlign w:val="top"/>
          </w:tcPr>
          <w:p w14:paraId="6EB916CA">
            <w:pPr>
              <w:rPr>
                <w:rFonts w:ascii="Arial"/>
                <w:sz w:val="21"/>
              </w:rPr>
            </w:pPr>
          </w:p>
        </w:tc>
        <w:tc>
          <w:tcPr>
            <w:tcW w:w="609" w:type="dxa"/>
            <w:vAlign w:val="top"/>
          </w:tcPr>
          <w:p w14:paraId="7E78E959">
            <w:pPr>
              <w:rPr>
                <w:rFonts w:ascii="Arial"/>
                <w:sz w:val="21"/>
              </w:rPr>
            </w:pPr>
          </w:p>
        </w:tc>
        <w:tc>
          <w:tcPr>
            <w:tcW w:w="609" w:type="dxa"/>
            <w:vAlign w:val="top"/>
          </w:tcPr>
          <w:p w14:paraId="625275A2">
            <w:pPr>
              <w:rPr>
                <w:rFonts w:ascii="Arial"/>
                <w:sz w:val="21"/>
              </w:rPr>
            </w:pPr>
          </w:p>
        </w:tc>
        <w:tc>
          <w:tcPr>
            <w:tcW w:w="609" w:type="dxa"/>
            <w:vAlign w:val="top"/>
          </w:tcPr>
          <w:p w14:paraId="2C1DDAFA">
            <w:pPr>
              <w:rPr>
                <w:rFonts w:ascii="Arial"/>
                <w:sz w:val="21"/>
              </w:rPr>
            </w:pPr>
          </w:p>
        </w:tc>
        <w:tc>
          <w:tcPr>
            <w:tcW w:w="610" w:type="dxa"/>
            <w:vAlign w:val="top"/>
          </w:tcPr>
          <w:p w14:paraId="22AD500B">
            <w:pPr>
              <w:rPr>
                <w:rFonts w:ascii="Arial"/>
                <w:sz w:val="21"/>
              </w:rPr>
            </w:pPr>
          </w:p>
        </w:tc>
        <w:tc>
          <w:tcPr>
            <w:tcW w:w="609" w:type="dxa"/>
            <w:vAlign w:val="top"/>
          </w:tcPr>
          <w:p w14:paraId="0F1ADAC9">
            <w:pPr>
              <w:rPr>
                <w:rFonts w:ascii="Arial"/>
                <w:sz w:val="21"/>
              </w:rPr>
            </w:pPr>
          </w:p>
        </w:tc>
        <w:tc>
          <w:tcPr>
            <w:tcW w:w="605" w:type="dxa"/>
            <w:vAlign w:val="top"/>
          </w:tcPr>
          <w:p w14:paraId="7FF2320E">
            <w:pPr>
              <w:rPr>
                <w:rFonts w:ascii="Arial"/>
                <w:sz w:val="21"/>
              </w:rPr>
            </w:pPr>
          </w:p>
        </w:tc>
        <w:tc>
          <w:tcPr>
            <w:tcW w:w="609" w:type="dxa"/>
            <w:vAlign w:val="top"/>
          </w:tcPr>
          <w:p w14:paraId="16045602">
            <w:pPr>
              <w:rPr>
                <w:rFonts w:ascii="Arial"/>
                <w:sz w:val="21"/>
              </w:rPr>
            </w:pPr>
          </w:p>
        </w:tc>
        <w:tc>
          <w:tcPr>
            <w:tcW w:w="610" w:type="dxa"/>
            <w:vAlign w:val="top"/>
          </w:tcPr>
          <w:p w14:paraId="1EAE3E99">
            <w:pPr>
              <w:rPr>
                <w:rFonts w:ascii="Arial"/>
                <w:sz w:val="21"/>
              </w:rPr>
            </w:pPr>
          </w:p>
        </w:tc>
        <w:tc>
          <w:tcPr>
            <w:tcW w:w="787" w:type="dxa"/>
            <w:vAlign w:val="top"/>
          </w:tcPr>
          <w:p w14:paraId="3B3D9710">
            <w:pPr>
              <w:rPr>
                <w:rFonts w:ascii="Arial"/>
                <w:sz w:val="21"/>
              </w:rPr>
            </w:pPr>
          </w:p>
        </w:tc>
      </w:tr>
      <w:tr w14:paraId="068F60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87" w:hRule="atLeast"/>
        </w:trPr>
        <w:tc>
          <w:tcPr>
            <w:tcW w:w="8311" w:type="dxa"/>
            <w:gridSpan w:val="12"/>
            <w:vAlign w:val="top"/>
          </w:tcPr>
          <w:p w14:paraId="69D75E52">
            <w:pPr>
              <w:pStyle w:val="11"/>
              <w:spacing w:before="33" w:line="220" w:lineRule="auto"/>
              <w:ind w:left="118"/>
            </w:pPr>
            <w:r>
              <w:rPr>
                <w:spacing w:val="-3"/>
              </w:rPr>
              <w:t>评标委员会全体成员签名：</w:t>
            </w:r>
          </w:p>
        </w:tc>
      </w:tr>
    </w:tbl>
    <w:p w14:paraId="05788D71">
      <w:pPr>
        <w:spacing w:before="140" w:line="221" w:lineRule="auto"/>
        <w:ind w:left="5624"/>
        <w:rPr>
          <w:rFonts w:ascii="宋体" w:hAnsi="宋体" w:eastAsia="宋体" w:cs="宋体"/>
          <w:sz w:val="21"/>
          <w:szCs w:val="21"/>
        </w:rPr>
      </w:pPr>
      <w:r>
        <w:rPr>
          <w:rFonts w:ascii="宋体" w:hAnsi="宋体" w:eastAsia="宋体" w:cs="宋体"/>
          <w:spacing w:val="-19"/>
          <w:sz w:val="21"/>
          <w:szCs w:val="21"/>
        </w:rPr>
        <w:t>日期：</w:t>
      </w:r>
      <w:r>
        <w:rPr>
          <w:rFonts w:ascii="宋体" w:hAnsi="宋体" w:eastAsia="宋体" w:cs="宋体"/>
          <w:spacing w:val="24"/>
          <w:sz w:val="21"/>
          <w:szCs w:val="21"/>
        </w:rPr>
        <w:t xml:space="preserve">    </w:t>
      </w:r>
      <w:r>
        <w:rPr>
          <w:rFonts w:ascii="宋体" w:hAnsi="宋体" w:eastAsia="宋体" w:cs="宋体"/>
          <w:spacing w:val="-19"/>
          <w:sz w:val="21"/>
          <w:szCs w:val="21"/>
        </w:rPr>
        <w:t>年</w:t>
      </w:r>
      <w:r>
        <w:rPr>
          <w:rFonts w:ascii="宋体" w:hAnsi="宋体" w:eastAsia="宋体" w:cs="宋体"/>
          <w:spacing w:val="2"/>
          <w:sz w:val="21"/>
          <w:szCs w:val="21"/>
        </w:rPr>
        <w:t xml:space="preserve">    </w:t>
      </w:r>
      <w:r>
        <w:rPr>
          <w:rFonts w:ascii="宋体" w:hAnsi="宋体" w:eastAsia="宋体" w:cs="宋体"/>
          <w:spacing w:val="-19"/>
          <w:sz w:val="21"/>
          <w:szCs w:val="21"/>
        </w:rPr>
        <w:t>月     日</w:t>
      </w:r>
    </w:p>
    <w:p w14:paraId="7D4A0C1F">
      <w:pPr>
        <w:spacing w:line="221" w:lineRule="auto"/>
        <w:rPr>
          <w:rFonts w:ascii="宋体" w:hAnsi="宋体" w:eastAsia="宋体" w:cs="宋体"/>
          <w:sz w:val="21"/>
          <w:szCs w:val="21"/>
        </w:rPr>
        <w:sectPr>
          <w:footerReference r:id="rId73" w:type="default"/>
          <w:pgSz w:w="11905" w:h="16839"/>
          <w:pgMar w:top="1431" w:right="1785" w:bottom="996" w:left="1785" w:header="0" w:footer="791" w:gutter="0"/>
          <w:pgNumType w:fmt="decimal"/>
          <w:cols w:space="720" w:num="1"/>
        </w:sectPr>
      </w:pPr>
    </w:p>
    <w:p w14:paraId="759A5639">
      <w:pPr>
        <w:spacing w:before="124" w:line="219" w:lineRule="auto"/>
        <w:ind w:left="137"/>
        <w:rPr>
          <w:rFonts w:ascii="黑体" w:hAnsi="黑体" w:eastAsia="黑体" w:cs="黑体"/>
          <w:sz w:val="24"/>
          <w:szCs w:val="24"/>
        </w:rPr>
      </w:pPr>
      <w:r>
        <w:rPr>
          <w:rFonts w:ascii="黑体" w:hAnsi="黑体" w:eastAsia="黑体" w:cs="黑体"/>
          <w:spacing w:val="-3"/>
          <w:sz w:val="24"/>
          <w:szCs w:val="24"/>
        </w:rPr>
        <w:t>附表</w:t>
      </w:r>
      <w:r>
        <w:rPr>
          <w:rFonts w:ascii="黑体" w:hAnsi="黑体" w:eastAsia="黑体" w:cs="黑体"/>
          <w:spacing w:val="-48"/>
          <w:sz w:val="24"/>
          <w:szCs w:val="24"/>
        </w:rPr>
        <w:t xml:space="preserve"> </w:t>
      </w:r>
      <w:r>
        <w:rPr>
          <w:rFonts w:ascii="Times New Roman" w:hAnsi="Times New Roman" w:eastAsia="Times New Roman" w:cs="Times New Roman"/>
          <w:spacing w:val="-3"/>
          <w:sz w:val="24"/>
          <w:szCs w:val="24"/>
        </w:rPr>
        <w:t>A-8</w:t>
      </w:r>
      <w:r>
        <w:rPr>
          <w:rFonts w:ascii="黑体" w:hAnsi="黑体" w:eastAsia="黑体" w:cs="黑体"/>
          <w:spacing w:val="-3"/>
          <w:sz w:val="24"/>
          <w:szCs w:val="24"/>
        </w:rPr>
        <w:t>：初步评审汇总记录表</w:t>
      </w:r>
    </w:p>
    <w:p w14:paraId="438A1464">
      <w:pPr>
        <w:pStyle w:val="3"/>
        <w:spacing w:line="317" w:lineRule="auto"/>
      </w:pPr>
    </w:p>
    <w:p w14:paraId="36B98701">
      <w:pPr>
        <w:pStyle w:val="3"/>
        <w:spacing w:line="317" w:lineRule="auto"/>
      </w:pPr>
    </w:p>
    <w:p w14:paraId="4BB3EEB0">
      <w:pPr>
        <w:spacing w:before="117" w:line="219" w:lineRule="auto"/>
        <w:ind w:left="2662"/>
        <w:rPr>
          <w:rFonts w:ascii="黑体" w:hAnsi="黑体" w:eastAsia="黑体" w:cs="黑体"/>
          <w:sz w:val="36"/>
          <w:szCs w:val="36"/>
        </w:rPr>
      </w:pPr>
      <w:bookmarkStart w:id="188" w:name="bookmark224"/>
      <w:bookmarkEnd w:id="188"/>
      <w:r>
        <w:rPr>
          <w:rFonts w:ascii="黑体" w:hAnsi="黑体" w:eastAsia="黑体" w:cs="黑体"/>
          <w:spacing w:val="-2"/>
          <w:sz w:val="36"/>
          <w:szCs w:val="36"/>
        </w:rPr>
        <w:t>初步评审汇总记录表</w:t>
      </w:r>
    </w:p>
    <w:p w14:paraId="1F78C1AF">
      <w:pPr>
        <w:spacing w:line="191" w:lineRule="exact"/>
      </w:pPr>
    </w:p>
    <w:p w14:paraId="616C9EF7">
      <w:pPr>
        <w:spacing w:line="191" w:lineRule="exact"/>
        <w:sectPr>
          <w:footerReference r:id="rId74" w:type="default"/>
          <w:pgSz w:w="11905" w:h="16839"/>
          <w:pgMar w:top="1431" w:right="1785" w:bottom="996" w:left="1680" w:header="0" w:footer="791" w:gutter="0"/>
          <w:pgNumType w:fmt="decimal"/>
          <w:cols w:equalWidth="0" w:num="1">
            <w:col w:w="8438"/>
          </w:cols>
        </w:sectPr>
      </w:pPr>
    </w:p>
    <w:p w14:paraId="62424C20">
      <w:pPr>
        <w:spacing w:before="42" w:line="221" w:lineRule="auto"/>
        <w:ind w:left="124"/>
        <w:rPr>
          <w:rFonts w:ascii="宋体" w:hAnsi="宋体" w:eastAsia="宋体" w:cs="宋体"/>
          <w:sz w:val="21"/>
          <w:szCs w:val="21"/>
        </w:rPr>
      </w:pPr>
      <w:r>
        <w:rPr>
          <w:rFonts w:ascii="宋体" w:hAnsi="宋体" w:eastAsia="宋体" w:cs="宋体"/>
          <w:spacing w:val="-9"/>
          <w:sz w:val="21"/>
          <w:szCs w:val="21"/>
        </w:rPr>
        <w:t>标段名称：</w:t>
      </w:r>
    </w:p>
    <w:p w14:paraId="180BF392">
      <w:pPr>
        <w:spacing w:before="21" w:line="186" w:lineRule="auto"/>
        <w:ind w:left="124"/>
        <w:rPr>
          <w:rFonts w:ascii="宋体" w:hAnsi="宋体" w:eastAsia="宋体" w:cs="宋体"/>
          <w:sz w:val="21"/>
          <w:szCs w:val="21"/>
        </w:rPr>
      </w:pPr>
      <w:r>
        <w:rPr>
          <w:rFonts w:ascii="宋体" w:hAnsi="宋体" w:eastAsia="宋体" w:cs="宋体"/>
          <w:spacing w:val="-5"/>
          <w:sz w:val="21"/>
          <w:szCs w:val="21"/>
        </w:rPr>
        <w:t>标段唯一标识码：</w:t>
      </w:r>
    </w:p>
    <w:p w14:paraId="4E51178C">
      <w:pPr>
        <w:pStyle w:val="3"/>
        <w:spacing w:line="14" w:lineRule="auto"/>
        <w:rPr>
          <w:sz w:val="2"/>
        </w:rPr>
      </w:pPr>
      <w:r>
        <w:rPr>
          <w:sz w:val="2"/>
          <w:szCs w:val="2"/>
        </w:rPr>
        <w:br w:type="column"/>
      </w:r>
    </w:p>
    <w:p w14:paraId="58007A27">
      <w:pPr>
        <w:pStyle w:val="3"/>
        <w:spacing w:line="244" w:lineRule="auto"/>
      </w:pPr>
    </w:p>
    <w:p w14:paraId="193EE495">
      <w:pPr>
        <w:spacing w:before="68" w:line="186" w:lineRule="auto"/>
        <w:rPr>
          <w:rFonts w:ascii="宋体" w:hAnsi="宋体" w:eastAsia="宋体" w:cs="宋体"/>
          <w:sz w:val="21"/>
          <w:szCs w:val="21"/>
        </w:rPr>
      </w:pPr>
      <w:r>
        <w:rPr>
          <w:rFonts w:ascii="宋体" w:hAnsi="宋体" w:eastAsia="宋体" w:cs="宋体"/>
          <w:spacing w:val="-14"/>
          <w:sz w:val="21"/>
          <w:szCs w:val="21"/>
        </w:rPr>
        <w:t>单位： 人民币元</w:t>
      </w:r>
    </w:p>
    <w:p w14:paraId="4CA95F24">
      <w:pPr>
        <w:spacing w:line="186" w:lineRule="auto"/>
        <w:rPr>
          <w:rFonts w:ascii="宋体" w:hAnsi="宋体" w:eastAsia="宋体" w:cs="宋体"/>
          <w:sz w:val="21"/>
          <w:szCs w:val="21"/>
        </w:rPr>
        <w:sectPr>
          <w:type w:val="continuous"/>
          <w:pgSz w:w="11905" w:h="16839"/>
          <w:pgMar w:top="1431" w:right="1785" w:bottom="996" w:left="1680" w:header="0" w:footer="791" w:gutter="0"/>
          <w:pgNumType w:fmt="decimal"/>
          <w:cols w:equalWidth="0" w:num="2">
            <w:col w:w="6119" w:space="100"/>
            <w:col w:w="2220"/>
          </w:cols>
        </w:sectPr>
      </w:pPr>
    </w:p>
    <w:p w14:paraId="4909CABC">
      <w:pPr>
        <w:spacing w:line="32" w:lineRule="exact"/>
      </w:pPr>
    </w:p>
    <w:tbl>
      <w:tblPr>
        <w:tblStyle w:val="10"/>
        <w:tblW w:w="8427"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29"/>
        <w:gridCol w:w="998"/>
        <w:gridCol w:w="994"/>
        <w:gridCol w:w="998"/>
        <w:gridCol w:w="1080"/>
        <w:gridCol w:w="1992"/>
        <w:gridCol w:w="873"/>
        <w:gridCol w:w="863"/>
      </w:tblGrid>
      <w:tr w14:paraId="17C109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1" w:hRule="atLeast"/>
        </w:trPr>
        <w:tc>
          <w:tcPr>
            <w:tcW w:w="629" w:type="dxa"/>
            <w:textDirection w:val="tbRlV"/>
            <w:vAlign w:val="top"/>
          </w:tcPr>
          <w:p w14:paraId="39A3A7F3">
            <w:pPr>
              <w:pStyle w:val="11"/>
              <w:spacing w:before="206" w:line="211" w:lineRule="auto"/>
              <w:ind w:left="34"/>
            </w:pPr>
            <w:r>
              <w:rPr>
                <w:spacing w:val="30"/>
                <w14:textOutline w14:w="3831" w14:cap="flat" w14:cmpd="sng">
                  <w14:solidFill>
                    <w14:srgbClr w14:val="000000"/>
                  </w14:solidFill>
                  <w14:prstDash w14:val="solid"/>
                  <w14:miter w14:val="0"/>
                </w14:textOutline>
              </w:rPr>
              <w:t>序号</w:t>
            </w:r>
          </w:p>
        </w:tc>
        <w:tc>
          <w:tcPr>
            <w:tcW w:w="998" w:type="dxa"/>
            <w:vAlign w:val="top"/>
          </w:tcPr>
          <w:p w14:paraId="600D1373">
            <w:pPr>
              <w:pStyle w:val="11"/>
              <w:spacing w:before="33" w:line="223" w:lineRule="auto"/>
              <w:ind w:left="293" w:right="181" w:hanging="105"/>
            </w:pPr>
            <w:r>
              <w:rPr>
                <w:spacing w:val="-3"/>
                <w14:textOutline w14:w="3831" w14:cap="flat" w14:cmpd="sng">
                  <w14:solidFill>
                    <w14:srgbClr w14:val="000000"/>
                  </w14:solidFill>
                  <w14:prstDash w14:val="solid"/>
                  <w14:miter w14:val="0"/>
                </w14:textOutline>
              </w:rPr>
              <w:t>投标人</w:t>
            </w:r>
            <w:r>
              <w:t xml:space="preserve"> </w:t>
            </w:r>
            <w:r>
              <w:rPr>
                <w:spacing w:val="-3"/>
                <w14:textOutline w14:w="3831" w14:cap="flat" w14:cmpd="sng">
                  <w14:solidFill>
                    <w14:srgbClr w14:val="000000"/>
                  </w14:solidFill>
                  <w14:prstDash w14:val="solid"/>
                  <w14:miter w14:val="0"/>
                </w14:textOutline>
              </w:rPr>
              <w:t>名称</w:t>
            </w:r>
          </w:p>
        </w:tc>
        <w:tc>
          <w:tcPr>
            <w:tcW w:w="994" w:type="dxa"/>
            <w:vAlign w:val="top"/>
          </w:tcPr>
          <w:p w14:paraId="6EE41FD2">
            <w:pPr>
              <w:pStyle w:val="11"/>
              <w:spacing w:before="33" w:line="223" w:lineRule="auto"/>
              <w:ind w:left="192" w:right="181" w:hanging="8"/>
            </w:pPr>
            <w:r>
              <w:rPr>
                <w:spacing w:val="-3"/>
                <w14:textOutline w14:w="3831" w14:cap="flat" w14:cmpd="sng">
                  <w14:solidFill>
                    <w14:srgbClr w14:val="000000"/>
                  </w14:solidFill>
                  <w14:prstDash w14:val="solid"/>
                  <w14:miter w14:val="0"/>
                </w14:textOutline>
              </w:rPr>
              <w:t>形式评</w:t>
            </w:r>
            <w:r>
              <w:t xml:space="preserve"> </w:t>
            </w:r>
            <w:r>
              <w:rPr>
                <w:spacing w:val="-6"/>
                <w14:textOutline w14:w="3831" w14:cap="flat" w14:cmpd="sng">
                  <w14:solidFill>
                    <w14:srgbClr w14:val="000000"/>
                  </w14:solidFill>
                  <w14:prstDash w14:val="solid"/>
                  <w14:miter w14:val="0"/>
                </w14:textOutline>
              </w:rPr>
              <w:t>审结果</w:t>
            </w:r>
          </w:p>
        </w:tc>
        <w:tc>
          <w:tcPr>
            <w:tcW w:w="998" w:type="dxa"/>
            <w:vAlign w:val="top"/>
          </w:tcPr>
          <w:p w14:paraId="2DD2DA9A">
            <w:pPr>
              <w:pStyle w:val="11"/>
              <w:spacing w:before="33" w:line="223" w:lineRule="auto"/>
              <w:ind w:left="197" w:right="180" w:hanging="1"/>
            </w:pPr>
            <w:r>
              <w:rPr>
                <w:spacing w:val="-5"/>
                <w14:textOutline w14:w="3831" w14:cap="flat" w14:cmpd="sng">
                  <w14:solidFill>
                    <w14:srgbClr w14:val="000000"/>
                  </w14:solidFill>
                  <w14:prstDash w14:val="solid"/>
                  <w14:miter w14:val="0"/>
                </w14:textOutline>
              </w:rPr>
              <w:t>资格评</w:t>
            </w:r>
            <w:r>
              <w:t xml:space="preserve"> </w:t>
            </w:r>
            <w:r>
              <w:rPr>
                <w:spacing w:val="-6"/>
                <w14:textOutline w14:w="3831" w14:cap="flat" w14:cmpd="sng">
                  <w14:solidFill>
                    <w14:srgbClr w14:val="000000"/>
                  </w14:solidFill>
                  <w14:prstDash w14:val="solid"/>
                  <w14:miter w14:val="0"/>
                </w14:textOutline>
              </w:rPr>
              <w:t>审结果</w:t>
            </w:r>
          </w:p>
        </w:tc>
        <w:tc>
          <w:tcPr>
            <w:tcW w:w="1080" w:type="dxa"/>
            <w:vAlign w:val="top"/>
          </w:tcPr>
          <w:p w14:paraId="617BF473">
            <w:pPr>
              <w:pStyle w:val="11"/>
              <w:spacing w:before="34" w:line="221" w:lineRule="auto"/>
              <w:ind w:left="135"/>
            </w:pPr>
            <w:r>
              <w:rPr>
                <w:spacing w:val="-3"/>
                <w14:textOutline w14:w="3831" w14:cap="flat" w14:cmpd="sng">
                  <w14:solidFill>
                    <w14:srgbClr w14:val="000000"/>
                  </w14:solidFill>
                  <w14:prstDash w14:val="solid"/>
                  <w14:miter w14:val="0"/>
                </w14:textOutline>
              </w:rPr>
              <w:t>响应性评</w:t>
            </w:r>
          </w:p>
          <w:p w14:paraId="493460B3">
            <w:pPr>
              <w:pStyle w:val="11"/>
              <w:spacing w:before="17" w:line="209" w:lineRule="auto"/>
              <w:ind w:left="241"/>
            </w:pPr>
            <w:r>
              <w:rPr>
                <w:spacing w:val="-4"/>
                <w14:textOutline w14:w="3831" w14:cap="flat" w14:cmpd="sng">
                  <w14:solidFill>
                    <w14:srgbClr w14:val="000000"/>
                  </w14:solidFill>
                  <w14:prstDash w14:val="solid"/>
                  <w14:miter w14:val="0"/>
                </w14:textOutline>
              </w:rPr>
              <w:t>审结果</w:t>
            </w:r>
          </w:p>
        </w:tc>
        <w:tc>
          <w:tcPr>
            <w:tcW w:w="1992" w:type="dxa"/>
            <w:vAlign w:val="top"/>
          </w:tcPr>
          <w:p w14:paraId="77640B8F">
            <w:pPr>
              <w:pStyle w:val="11"/>
              <w:spacing w:before="33" w:line="221" w:lineRule="auto"/>
              <w:ind w:left="265"/>
            </w:pPr>
            <w:r>
              <w:rPr>
                <w:spacing w:val="-1"/>
                <w14:textOutline w14:w="3831" w14:cap="flat" w14:cmpd="sng">
                  <w14:solidFill>
                    <w14:srgbClr w14:val="000000"/>
                  </w14:solidFill>
                  <w14:prstDash w14:val="solid"/>
                  <w14:miter w14:val="0"/>
                </w14:textOutline>
              </w:rPr>
              <w:t>技术标评审结果</w:t>
            </w:r>
          </w:p>
          <w:p w14:paraId="3F56EB42">
            <w:pPr>
              <w:pStyle w:val="11"/>
              <w:spacing w:before="17" w:line="209" w:lineRule="auto"/>
              <w:ind w:left="588"/>
            </w:pPr>
            <w:r>
              <w:rPr>
                <w:spacing w:val="-5"/>
                <w14:textOutline w14:w="3831" w14:cap="flat" w14:cmpd="sng">
                  <w14:solidFill>
                    <w14:srgbClr w14:val="000000"/>
                  </w14:solidFill>
                  <w14:prstDash w14:val="solid"/>
                  <w14:miter w14:val="0"/>
                </w14:textOutline>
              </w:rPr>
              <w:t>（如有）</w:t>
            </w:r>
          </w:p>
        </w:tc>
        <w:tc>
          <w:tcPr>
            <w:tcW w:w="873" w:type="dxa"/>
            <w:vAlign w:val="top"/>
          </w:tcPr>
          <w:p w14:paraId="4079D752">
            <w:pPr>
              <w:pStyle w:val="11"/>
              <w:spacing w:before="33" w:line="223" w:lineRule="auto"/>
              <w:ind w:left="390" w:right="63" w:hanging="209"/>
            </w:pPr>
            <w:r>
              <w:rPr>
                <w:spacing w:val="-3"/>
                <w14:textOutline w14:w="3831" w14:cap="flat" w14:cmpd="sng">
                  <w14:solidFill>
                    <w14:srgbClr w14:val="000000"/>
                  </w14:solidFill>
                  <w14:prstDash w14:val="solid"/>
                  <w14:miter w14:val="0"/>
                </w14:textOutline>
              </w:rPr>
              <w:t>投标报</w:t>
            </w:r>
            <w:r>
              <w:t xml:space="preserve"> </w:t>
            </w:r>
            <w:r>
              <w:rPr>
                <w14:textOutline w14:w="3831" w14:cap="flat" w14:cmpd="sng">
                  <w14:solidFill>
                    <w14:srgbClr w14:val="000000"/>
                  </w14:solidFill>
                  <w14:prstDash w14:val="solid"/>
                  <w14:miter w14:val="0"/>
                </w14:textOutline>
              </w:rPr>
              <w:t>价</w:t>
            </w:r>
          </w:p>
        </w:tc>
        <w:tc>
          <w:tcPr>
            <w:tcW w:w="863" w:type="dxa"/>
            <w:vAlign w:val="top"/>
          </w:tcPr>
          <w:p w14:paraId="3B8A9DBF">
            <w:pPr>
              <w:pStyle w:val="11"/>
              <w:spacing w:before="33" w:line="223" w:lineRule="auto"/>
              <w:ind w:left="387" w:right="57" w:hanging="213"/>
            </w:pPr>
            <w:r>
              <w:rPr>
                <w:spacing w:val="-2"/>
                <w14:textOutline w14:w="3831" w14:cap="flat" w14:cmpd="sng">
                  <w14:solidFill>
                    <w14:srgbClr w14:val="000000"/>
                  </w14:solidFill>
                  <w14:prstDash w14:val="solid"/>
                  <w14:miter w14:val="0"/>
                </w14:textOutline>
              </w:rPr>
              <w:t>评审结</w:t>
            </w:r>
            <w:r>
              <w:rPr>
                <w:spacing w:val="1"/>
              </w:rPr>
              <w:t xml:space="preserve"> </w:t>
            </w:r>
            <w:r>
              <w:rPr>
                <w14:textOutline w14:w="3831" w14:cap="flat" w14:cmpd="sng">
                  <w14:solidFill>
                    <w14:srgbClr w14:val="000000"/>
                  </w14:solidFill>
                  <w14:prstDash w14:val="solid"/>
                  <w14:miter w14:val="0"/>
                </w14:textOutline>
              </w:rPr>
              <w:t>论</w:t>
            </w:r>
          </w:p>
        </w:tc>
      </w:tr>
      <w:tr w14:paraId="473A17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0" w:hRule="atLeast"/>
        </w:trPr>
        <w:tc>
          <w:tcPr>
            <w:tcW w:w="629" w:type="dxa"/>
            <w:vAlign w:val="top"/>
          </w:tcPr>
          <w:p w14:paraId="04DE0E9B">
            <w:pPr>
              <w:spacing w:before="165" w:line="183" w:lineRule="auto"/>
              <w:ind w:left="278"/>
              <w:rPr>
                <w:rFonts w:ascii="黑体" w:hAnsi="黑体" w:eastAsia="黑体" w:cs="黑体"/>
                <w:sz w:val="21"/>
                <w:szCs w:val="21"/>
              </w:rPr>
            </w:pPr>
            <w:r>
              <w:rPr>
                <w:rFonts w:ascii="黑体" w:hAnsi="黑体" w:eastAsia="黑体" w:cs="黑体"/>
                <w:sz w:val="21"/>
                <w:szCs w:val="21"/>
              </w:rPr>
              <w:t>1</w:t>
            </w:r>
          </w:p>
        </w:tc>
        <w:tc>
          <w:tcPr>
            <w:tcW w:w="998" w:type="dxa"/>
            <w:vAlign w:val="top"/>
          </w:tcPr>
          <w:p w14:paraId="580EED7E">
            <w:pPr>
              <w:rPr>
                <w:rFonts w:ascii="Arial"/>
                <w:sz w:val="21"/>
              </w:rPr>
            </w:pPr>
          </w:p>
        </w:tc>
        <w:tc>
          <w:tcPr>
            <w:tcW w:w="994" w:type="dxa"/>
            <w:vAlign w:val="top"/>
          </w:tcPr>
          <w:p w14:paraId="1507FEDC">
            <w:pPr>
              <w:rPr>
                <w:rFonts w:ascii="Arial"/>
                <w:sz w:val="21"/>
              </w:rPr>
            </w:pPr>
          </w:p>
        </w:tc>
        <w:tc>
          <w:tcPr>
            <w:tcW w:w="998" w:type="dxa"/>
            <w:vAlign w:val="top"/>
          </w:tcPr>
          <w:p w14:paraId="10B561F1">
            <w:pPr>
              <w:rPr>
                <w:rFonts w:ascii="Arial"/>
                <w:sz w:val="21"/>
              </w:rPr>
            </w:pPr>
          </w:p>
        </w:tc>
        <w:tc>
          <w:tcPr>
            <w:tcW w:w="1080" w:type="dxa"/>
            <w:vAlign w:val="top"/>
          </w:tcPr>
          <w:p w14:paraId="32968F70">
            <w:pPr>
              <w:rPr>
                <w:rFonts w:ascii="Arial"/>
                <w:sz w:val="21"/>
              </w:rPr>
            </w:pPr>
          </w:p>
        </w:tc>
        <w:tc>
          <w:tcPr>
            <w:tcW w:w="1992" w:type="dxa"/>
            <w:vAlign w:val="top"/>
          </w:tcPr>
          <w:p w14:paraId="3D826FB1">
            <w:pPr>
              <w:rPr>
                <w:rFonts w:ascii="Arial"/>
                <w:sz w:val="21"/>
              </w:rPr>
            </w:pPr>
          </w:p>
        </w:tc>
        <w:tc>
          <w:tcPr>
            <w:tcW w:w="873" w:type="dxa"/>
            <w:vAlign w:val="top"/>
          </w:tcPr>
          <w:p w14:paraId="21F83F64">
            <w:pPr>
              <w:rPr>
                <w:rFonts w:ascii="Arial"/>
                <w:sz w:val="21"/>
              </w:rPr>
            </w:pPr>
          </w:p>
        </w:tc>
        <w:tc>
          <w:tcPr>
            <w:tcW w:w="863" w:type="dxa"/>
            <w:vAlign w:val="top"/>
          </w:tcPr>
          <w:p w14:paraId="1DFE2641">
            <w:pPr>
              <w:rPr>
                <w:rFonts w:ascii="Arial"/>
                <w:sz w:val="21"/>
              </w:rPr>
            </w:pPr>
          </w:p>
        </w:tc>
      </w:tr>
      <w:tr w14:paraId="68B5D6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9" w:hRule="atLeast"/>
        </w:trPr>
        <w:tc>
          <w:tcPr>
            <w:tcW w:w="629" w:type="dxa"/>
            <w:vAlign w:val="top"/>
          </w:tcPr>
          <w:p w14:paraId="4EDB7717">
            <w:pPr>
              <w:spacing w:before="164" w:line="184" w:lineRule="auto"/>
              <w:ind w:left="266"/>
              <w:rPr>
                <w:rFonts w:ascii="黑体" w:hAnsi="黑体" w:eastAsia="黑体" w:cs="黑体"/>
                <w:sz w:val="21"/>
                <w:szCs w:val="21"/>
              </w:rPr>
            </w:pPr>
            <w:r>
              <w:rPr>
                <w:rFonts w:ascii="黑体" w:hAnsi="黑体" w:eastAsia="黑体" w:cs="黑体"/>
                <w:sz w:val="21"/>
                <w:szCs w:val="21"/>
              </w:rPr>
              <w:t>2</w:t>
            </w:r>
          </w:p>
        </w:tc>
        <w:tc>
          <w:tcPr>
            <w:tcW w:w="998" w:type="dxa"/>
            <w:vAlign w:val="top"/>
          </w:tcPr>
          <w:p w14:paraId="16B4587D">
            <w:pPr>
              <w:rPr>
                <w:rFonts w:ascii="Arial"/>
                <w:sz w:val="21"/>
              </w:rPr>
            </w:pPr>
          </w:p>
        </w:tc>
        <w:tc>
          <w:tcPr>
            <w:tcW w:w="994" w:type="dxa"/>
            <w:vAlign w:val="top"/>
          </w:tcPr>
          <w:p w14:paraId="03EC2DA3">
            <w:pPr>
              <w:rPr>
                <w:rFonts w:ascii="Arial"/>
                <w:sz w:val="21"/>
              </w:rPr>
            </w:pPr>
          </w:p>
        </w:tc>
        <w:tc>
          <w:tcPr>
            <w:tcW w:w="998" w:type="dxa"/>
            <w:vAlign w:val="top"/>
          </w:tcPr>
          <w:p w14:paraId="2941E586">
            <w:pPr>
              <w:rPr>
                <w:rFonts w:ascii="Arial"/>
                <w:sz w:val="21"/>
              </w:rPr>
            </w:pPr>
          </w:p>
        </w:tc>
        <w:tc>
          <w:tcPr>
            <w:tcW w:w="1080" w:type="dxa"/>
            <w:vAlign w:val="top"/>
          </w:tcPr>
          <w:p w14:paraId="1209E32A">
            <w:pPr>
              <w:rPr>
                <w:rFonts w:ascii="Arial"/>
                <w:sz w:val="21"/>
              </w:rPr>
            </w:pPr>
          </w:p>
        </w:tc>
        <w:tc>
          <w:tcPr>
            <w:tcW w:w="1992" w:type="dxa"/>
            <w:vAlign w:val="top"/>
          </w:tcPr>
          <w:p w14:paraId="7AB45D65">
            <w:pPr>
              <w:rPr>
                <w:rFonts w:ascii="Arial"/>
                <w:sz w:val="21"/>
              </w:rPr>
            </w:pPr>
          </w:p>
        </w:tc>
        <w:tc>
          <w:tcPr>
            <w:tcW w:w="873" w:type="dxa"/>
            <w:vAlign w:val="top"/>
          </w:tcPr>
          <w:p w14:paraId="7DB5926B">
            <w:pPr>
              <w:rPr>
                <w:rFonts w:ascii="Arial"/>
                <w:sz w:val="21"/>
              </w:rPr>
            </w:pPr>
          </w:p>
        </w:tc>
        <w:tc>
          <w:tcPr>
            <w:tcW w:w="863" w:type="dxa"/>
            <w:vAlign w:val="top"/>
          </w:tcPr>
          <w:p w14:paraId="5C38D84B">
            <w:pPr>
              <w:rPr>
                <w:rFonts w:ascii="Arial"/>
                <w:sz w:val="21"/>
              </w:rPr>
            </w:pPr>
          </w:p>
        </w:tc>
      </w:tr>
      <w:tr w14:paraId="09D18D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9" w:hRule="atLeast"/>
        </w:trPr>
        <w:tc>
          <w:tcPr>
            <w:tcW w:w="629" w:type="dxa"/>
            <w:vAlign w:val="top"/>
          </w:tcPr>
          <w:p w14:paraId="0732BA56">
            <w:pPr>
              <w:spacing w:before="165" w:line="184" w:lineRule="auto"/>
              <w:ind w:left="267"/>
              <w:rPr>
                <w:rFonts w:ascii="黑体" w:hAnsi="黑体" w:eastAsia="黑体" w:cs="黑体"/>
                <w:sz w:val="21"/>
                <w:szCs w:val="21"/>
              </w:rPr>
            </w:pPr>
            <w:r>
              <w:rPr>
                <w:rFonts w:ascii="黑体" w:hAnsi="黑体" w:eastAsia="黑体" w:cs="黑体"/>
                <w:sz w:val="21"/>
                <w:szCs w:val="21"/>
              </w:rPr>
              <w:t>3</w:t>
            </w:r>
          </w:p>
        </w:tc>
        <w:tc>
          <w:tcPr>
            <w:tcW w:w="998" w:type="dxa"/>
            <w:vAlign w:val="top"/>
          </w:tcPr>
          <w:p w14:paraId="1634E35E">
            <w:pPr>
              <w:rPr>
                <w:rFonts w:ascii="Arial"/>
                <w:sz w:val="21"/>
              </w:rPr>
            </w:pPr>
          </w:p>
        </w:tc>
        <w:tc>
          <w:tcPr>
            <w:tcW w:w="994" w:type="dxa"/>
            <w:vAlign w:val="top"/>
          </w:tcPr>
          <w:p w14:paraId="6E831621">
            <w:pPr>
              <w:rPr>
                <w:rFonts w:ascii="Arial"/>
                <w:sz w:val="21"/>
              </w:rPr>
            </w:pPr>
          </w:p>
        </w:tc>
        <w:tc>
          <w:tcPr>
            <w:tcW w:w="998" w:type="dxa"/>
            <w:vAlign w:val="top"/>
          </w:tcPr>
          <w:p w14:paraId="76F3CFEA">
            <w:pPr>
              <w:rPr>
                <w:rFonts w:ascii="Arial"/>
                <w:sz w:val="21"/>
              </w:rPr>
            </w:pPr>
          </w:p>
        </w:tc>
        <w:tc>
          <w:tcPr>
            <w:tcW w:w="1080" w:type="dxa"/>
            <w:vAlign w:val="top"/>
          </w:tcPr>
          <w:p w14:paraId="1A656255">
            <w:pPr>
              <w:rPr>
                <w:rFonts w:ascii="Arial"/>
                <w:sz w:val="21"/>
              </w:rPr>
            </w:pPr>
          </w:p>
        </w:tc>
        <w:tc>
          <w:tcPr>
            <w:tcW w:w="1992" w:type="dxa"/>
            <w:vAlign w:val="top"/>
          </w:tcPr>
          <w:p w14:paraId="7D036E11">
            <w:pPr>
              <w:rPr>
                <w:rFonts w:ascii="Arial"/>
                <w:sz w:val="21"/>
              </w:rPr>
            </w:pPr>
          </w:p>
        </w:tc>
        <w:tc>
          <w:tcPr>
            <w:tcW w:w="873" w:type="dxa"/>
            <w:vAlign w:val="top"/>
          </w:tcPr>
          <w:p w14:paraId="5619140A">
            <w:pPr>
              <w:rPr>
                <w:rFonts w:ascii="Arial"/>
                <w:sz w:val="21"/>
              </w:rPr>
            </w:pPr>
          </w:p>
        </w:tc>
        <w:tc>
          <w:tcPr>
            <w:tcW w:w="863" w:type="dxa"/>
            <w:vAlign w:val="top"/>
          </w:tcPr>
          <w:p w14:paraId="31950663">
            <w:pPr>
              <w:rPr>
                <w:rFonts w:ascii="Arial"/>
                <w:sz w:val="21"/>
              </w:rPr>
            </w:pPr>
          </w:p>
        </w:tc>
      </w:tr>
      <w:tr w14:paraId="562990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0" w:hRule="atLeast"/>
        </w:trPr>
        <w:tc>
          <w:tcPr>
            <w:tcW w:w="629" w:type="dxa"/>
            <w:vAlign w:val="top"/>
          </w:tcPr>
          <w:p w14:paraId="7D52254A">
            <w:pPr>
              <w:spacing w:before="167" w:line="183" w:lineRule="auto"/>
              <w:ind w:left="262"/>
              <w:rPr>
                <w:rFonts w:ascii="黑体" w:hAnsi="黑体" w:eastAsia="黑体" w:cs="黑体"/>
                <w:sz w:val="21"/>
                <w:szCs w:val="21"/>
              </w:rPr>
            </w:pPr>
            <w:r>
              <w:rPr>
                <w:rFonts w:ascii="黑体" w:hAnsi="黑体" w:eastAsia="黑体" w:cs="黑体"/>
                <w:sz w:val="21"/>
                <w:szCs w:val="21"/>
              </w:rPr>
              <w:t>4</w:t>
            </w:r>
          </w:p>
        </w:tc>
        <w:tc>
          <w:tcPr>
            <w:tcW w:w="998" w:type="dxa"/>
            <w:vAlign w:val="top"/>
          </w:tcPr>
          <w:p w14:paraId="154DBAC9">
            <w:pPr>
              <w:rPr>
                <w:rFonts w:ascii="Arial"/>
                <w:sz w:val="21"/>
              </w:rPr>
            </w:pPr>
          </w:p>
        </w:tc>
        <w:tc>
          <w:tcPr>
            <w:tcW w:w="994" w:type="dxa"/>
            <w:vAlign w:val="top"/>
          </w:tcPr>
          <w:p w14:paraId="56C4580C">
            <w:pPr>
              <w:rPr>
                <w:rFonts w:ascii="Arial"/>
                <w:sz w:val="21"/>
              </w:rPr>
            </w:pPr>
          </w:p>
        </w:tc>
        <w:tc>
          <w:tcPr>
            <w:tcW w:w="998" w:type="dxa"/>
            <w:vAlign w:val="top"/>
          </w:tcPr>
          <w:p w14:paraId="0E37A6A5">
            <w:pPr>
              <w:rPr>
                <w:rFonts w:ascii="Arial"/>
                <w:sz w:val="21"/>
              </w:rPr>
            </w:pPr>
          </w:p>
        </w:tc>
        <w:tc>
          <w:tcPr>
            <w:tcW w:w="1080" w:type="dxa"/>
            <w:vAlign w:val="top"/>
          </w:tcPr>
          <w:p w14:paraId="58B39520">
            <w:pPr>
              <w:rPr>
                <w:rFonts w:ascii="Arial"/>
                <w:sz w:val="21"/>
              </w:rPr>
            </w:pPr>
          </w:p>
        </w:tc>
        <w:tc>
          <w:tcPr>
            <w:tcW w:w="1992" w:type="dxa"/>
            <w:vAlign w:val="top"/>
          </w:tcPr>
          <w:p w14:paraId="570F55C1">
            <w:pPr>
              <w:rPr>
                <w:rFonts w:ascii="Arial"/>
                <w:sz w:val="21"/>
              </w:rPr>
            </w:pPr>
          </w:p>
        </w:tc>
        <w:tc>
          <w:tcPr>
            <w:tcW w:w="873" w:type="dxa"/>
            <w:vAlign w:val="top"/>
          </w:tcPr>
          <w:p w14:paraId="035E46A2">
            <w:pPr>
              <w:rPr>
                <w:rFonts w:ascii="Arial"/>
                <w:sz w:val="21"/>
              </w:rPr>
            </w:pPr>
          </w:p>
        </w:tc>
        <w:tc>
          <w:tcPr>
            <w:tcW w:w="863" w:type="dxa"/>
            <w:vAlign w:val="top"/>
          </w:tcPr>
          <w:p w14:paraId="0C741AA8">
            <w:pPr>
              <w:rPr>
                <w:rFonts w:ascii="Arial"/>
                <w:sz w:val="21"/>
              </w:rPr>
            </w:pPr>
          </w:p>
        </w:tc>
      </w:tr>
      <w:tr w14:paraId="5B75D8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4" w:hRule="atLeast"/>
        </w:trPr>
        <w:tc>
          <w:tcPr>
            <w:tcW w:w="629" w:type="dxa"/>
            <w:vAlign w:val="top"/>
          </w:tcPr>
          <w:p w14:paraId="1F8B8306">
            <w:pPr>
              <w:spacing w:before="169" w:line="181" w:lineRule="auto"/>
              <w:ind w:left="262"/>
              <w:rPr>
                <w:rFonts w:ascii="黑体" w:hAnsi="黑体" w:eastAsia="黑体" w:cs="黑体"/>
                <w:sz w:val="21"/>
                <w:szCs w:val="21"/>
              </w:rPr>
            </w:pPr>
            <w:r>
              <w:rPr>
                <w:rFonts w:ascii="黑体" w:hAnsi="黑体" w:eastAsia="黑体" w:cs="黑体"/>
                <w:sz w:val="21"/>
                <w:szCs w:val="21"/>
              </w:rPr>
              <w:t>5</w:t>
            </w:r>
          </w:p>
        </w:tc>
        <w:tc>
          <w:tcPr>
            <w:tcW w:w="998" w:type="dxa"/>
            <w:vAlign w:val="top"/>
          </w:tcPr>
          <w:p w14:paraId="0E2AE580">
            <w:pPr>
              <w:rPr>
                <w:rFonts w:ascii="Arial"/>
                <w:sz w:val="21"/>
              </w:rPr>
            </w:pPr>
          </w:p>
        </w:tc>
        <w:tc>
          <w:tcPr>
            <w:tcW w:w="994" w:type="dxa"/>
            <w:vAlign w:val="top"/>
          </w:tcPr>
          <w:p w14:paraId="37355284">
            <w:pPr>
              <w:rPr>
                <w:rFonts w:ascii="Arial"/>
                <w:sz w:val="21"/>
              </w:rPr>
            </w:pPr>
          </w:p>
        </w:tc>
        <w:tc>
          <w:tcPr>
            <w:tcW w:w="998" w:type="dxa"/>
            <w:vAlign w:val="top"/>
          </w:tcPr>
          <w:p w14:paraId="4C94BE67">
            <w:pPr>
              <w:rPr>
                <w:rFonts w:ascii="Arial"/>
                <w:sz w:val="21"/>
              </w:rPr>
            </w:pPr>
          </w:p>
        </w:tc>
        <w:tc>
          <w:tcPr>
            <w:tcW w:w="1080" w:type="dxa"/>
            <w:vAlign w:val="top"/>
          </w:tcPr>
          <w:p w14:paraId="413DB384">
            <w:pPr>
              <w:rPr>
                <w:rFonts w:ascii="Arial"/>
                <w:sz w:val="21"/>
              </w:rPr>
            </w:pPr>
          </w:p>
        </w:tc>
        <w:tc>
          <w:tcPr>
            <w:tcW w:w="1992" w:type="dxa"/>
            <w:vAlign w:val="top"/>
          </w:tcPr>
          <w:p w14:paraId="0E819B85">
            <w:pPr>
              <w:rPr>
                <w:rFonts w:ascii="Arial"/>
                <w:sz w:val="21"/>
              </w:rPr>
            </w:pPr>
          </w:p>
        </w:tc>
        <w:tc>
          <w:tcPr>
            <w:tcW w:w="873" w:type="dxa"/>
            <w:vAlign w:val="top"/>
          </w:tcPr>
          <w:p w14:paraId="55DF0D59">
            <w:pPr>
              <w:rPr>
                <w:rFonts w:ascii="Arial"/>
                <w:sz w:val="21"/>
              </w:rPr>
            </w:pPr>
          </w:p>
        </w:tc>
        <w:tc>
          <w:tcPr>
            <w:tcW w:w="863" w:type="dxa"/>
            <w:vAlign w:val="top"/>
          </w:tcPr>
          <w:p w14:paraId="5E1C4042">
            <w:pPr>
              <w:rPr>
                <w:rFonts w:ascii="Arial"/>
                <w:sz w:val="21"/>
              </w:rPr>
            </w:pPr>
          </w:p>
        </w:tc>
      </w:tr>
      <w:tr w14:paraId="319B77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0" w:hRule="atLeast"/>
        </w:trPr>
        <w:tc>
          <w:tcPr>
            <w:tcW w:w="629" w:type="dxa"/>
            <w:vAlign w:val="top"/>
          </w:tcPr>
          <w:p w14:paraId="4513E515">
            <w:pPr>
              <w:spacing w:before="129" w:line="332" w:lineRule="exact"/>
              <w:ind w:left="226"/>
              <w:rPr>
                <w:rFonts w:ascii="黑体" w:hAnsi="黑体" w:eastAsia="黑体" w:cs="黑体"/>
                <w:sz w:val="21"/>
                <w:szCs w:val="21"/>
              </w:rPr>
            </w:pPr>
            <w:r>
              <w:rPr>
                <w:rFonts w:ascii="黑体" w:hAnsi="黑体" w:eastAsia="黑体" w:cs="黑体"/>
                <w:position w:val="2"/>
                <w:sz w:val="21"/>
                <w:szCs w:val="21"/>
              </w:rPr>
              <w:t>…</w:t>
            </w:r>
          </w:p>
        </w:tc>
        <w:tc>
          <w:tcPr>
            <w:tcW w:w="998" w:type="dxa"/>
            <w:vAlign w:val="top"/>
          </w:tcPr>
          <w:p w14:paraId="4AA16D6B">
            <w:pPr>
              <w:rPr>
                <w:rFonts w:ascii="Arial"/>
                <w:sz w:val="21"/>
              </w:rPr>
            </w:pPr>
          </w:p>
        </w:tc>
        <w:tc>
          <w:tcPr>
            <w:tcW w:w="994" w:type="dxa"/>
            <w:vAlign w:val="top"/>
          </w:tcPr>
          <w:p w14:paraId="77F8E25A">
            <w:pPr>
              <w:rPr>
                <w:rFonts w:ascii="Arial"/>
                <w:sz w:val="21"/>
              </w:rPr>
            </w:pPr>
          </w:p>
        </w:tc>
        <w:tc>
          <w:tcPr>
            <w:tcW w:w="998" w:type="dxa"/>
            <w:vAlign w:val="top"/>
          </w:tcPr>
          <w:p w14:paraId="0B40D741">
            <w:pPr>
              <w:rPr>
                <w:rFonts w:ascii="Arial"/>
                <w:sz w:val="21"/>
              </w:rPr>
            </w:pPr>
          </w:p>
        </w:tc>
        <w:tc>
          <w:tcPr>
            <w:tcW w:w="1080" w:type="dxa"/>
            <w:vAlign w:val="top"/>
          </w:tcPr>
          <w:p w14:paraId="394EE631">
            <w:pPr>
              <w:rPr>
                <w:rFonts w:ascii="Arial"/>
                <w:sz w:val="21"/>
              </w:rPr>
            </w:pPr>
          </w:p>
        </w:tc>
        <w:tc>
          <w:tcPr>
            <w:tcW w:w="1992" w:type="dxa"/>
            <w:vAlign w:val="top"/>
          </w:tcPr>
          <w:p w14:paraId="1D4B7B57">
            <w:pPr>
              <w:rPr>
                <w:rFonts w:ascii="Arial"/>
                <w:sz w:val="21"/>
              </w:rPr>
            </w:pPr>
          </w:p>
        </w:tc>
        <w:tc>
          <w:tcPr>
            <w:tcW w:w="873" w:type="dxa"/>
            <w:vAlign w:val="top"/>
          </w:tcPr>
          <w:p w14:paraId="14DE8A0B">
            <w:pPr>
              <w:rPr>
                <w:rFonts w:ascii="Arial"/>
                <w:sz w:val="21"/>
              </w:rPr>
            </w:pPr>
          </w:p>
        </w:tc>
        <w:tc>
          <w:tcPr>
            <w:tcW w:w="863" w:type="dxa"/>
            <w:vAlign w:val="top"/>
          </w:tcPr>
          <w:p w14:paraId="0571ADF0">
            <w:pPr>
              <w:rPr>
                <w:rFonts w:ascii="Arial"/>
                <w:sz w:val="21"/>
              </w:rPr>
            </w:pPr>
          </w:p>
        </w:tc>
      </w:tr>
      <w:tr w14:paraId="6B901B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87" w:hRule="atLeast"/>
        </w:trPr>
        <w:tc>
          <w:tcPr>
            <w:tcW w:w="8427" w:type="dxa"/>
            <w:gridSpan w:val="8"/>
            <w:vAlign w:val="top"/>
          </w:tcPr>
          <w:p w14:paraId="7414FEDE">
            <w:pPr>
              <w:pStyle w:val="11"/>
              <w:spacing w:before="28" w:line="220" w:lineRule="auto"/>
              <w:ind w:left="117"/>
            </w:pPr>
            <w:r>
              <w:rPr>
                <w:spacing w:val="-3"/>
              </w:rPr>
              <w:t>评标委员会全体成员签名：</w:t>
            </w:r>
          </w:p>
        </w:tc>
      </w:tr>
    </w:tbl>
    <w:p w14:paraId="3A5EA57A">
      <w:pPr>
        <w:spacing w:before="299" w:line="186" w:lineRule="auto"/>
        <w:ind w:left="5624"/>
        <w:rPr>
          <w:rFonts w:ascii="宋体" w:hAnsi="宋体" w:eastAsia="宋体" w:cs="宋体"/>
          <w:sz w:val="21"/>
          <w:szCs w:val="21"/>
        </w:rPr>
      </w:pPr>
      <w:r>
        <w:rPr>
          <w:rFonts w:ascii="宋体" w:hAnsi="宋体" w:eastAsia="宋体" w:cs="宋体"/>
          <w:spacing w:val="-20"/>
          <w:sz w:val="21"/>
          <w:szCs w:val="21"/>
        </w:rPr>
        <w:t>日期：</w:t>
      </w:r>
      <w:r>
        <w:rPr>
          <w:rFonts w:ascii="宋体" w:hAnsi="宋体" w:eastAsia="宋体" w:cs="宋体"/>
          <w:spacing w:val="25"/>
          <w:sz w:val="21"/>
          <w:szCs w:val="21"/>
        </w:rPr>
        <w:t xml:space="preserve">    </w:t>
      </w:r>
      <w:r>
        <w:rPr>
          <w:rFonts w:ascii="宋体" w:hAnsi="宋体" w:eastAsia="宋体" w:cs="宋体"/>
          <w:spacing w:val="-20"/>
          <w:sz w:val="21"/>
          <w:szCs w:val="21"/>
        </w:rPr>
        <w:t>年</w:t>
      </w:r>
      <w:r>
        <w:rPr>
          <w:rFonts w:ascii="宋体" w:hAnsi="宋体" w:eastAsia="宋体" w:cs="宋体"/>
          <w:spacing w:val="4"/>
          <w:sz w:val="21"/>
          <w:szCs w:val="21"/>
        </w:rPr>
        <w:t xml:space="preserve">    </w:t>
      </w:r>
      <w:r>
        <w:rPr>
          <w:rFonts w:ascii="宋体" w:hAnsi="宋体" w:eastAsia="宋体" w:cs="宋体"/>
          <w:spacing w:val="-20"/>
          <w:sz w:val="21"/>
          <w:szCs w:val="21"/>
        </w:rPr>
        <w:t>月     日</w:t>
      </w:r>
    </w:p>
    <w:p w14:paraId="0423D0C6">
      <w:pPr>
        <w:spacing w:line="186" w:lineRule="auto"/>
        <w:rPr>
          <w:rFonts w:ascii="宋体" w:hAnsi="宋体" w:eastAsia="宋体" w:cs="宋体"/>
          <w:sz w:val="21"/>
          <w:szCs w:val="21"/>
        </w:rPr>
        <w:sectPr>
          <w:type w:val="continuous"/>
          <w:pgSz w:w="11905" w:h="16839"/>
          <w:pgMar w:top="1431" w:right="1785" w:bottom="996" w:left="1680" w:header="0" w:footer="791" w:gutter="0"/>
          <w:pgNumType w:fmt="decimal"/>
          <w:cols w:equalWidth="0" w:num="1">
            <w:col w:w="8438"/>
          </w:cols>
        </w:sectPr>
      </w:pPr>
    </w:p>
    <w:p w14:paraId="03313C34">
      <w:pPr>
        <w:spacing w:before="124" w:line="218" w:lineRule="auto"/>
        <w:ind w:left="238"/>
        <w:rPr>
          <w:rFonts w:ascii="黑体" w:hAnsi="黑体" w:eastAsia="黑体" w:cs="黑体"/>
          <w:sz w:val="24"/>
          <w:szCs w:val="24"/>
        </w:rPr>
      </w:pPr>
      <w:r>
        <w:rPr>
          <w:rFonts w:ascii="黑体" w:hAnsi="黑体" w:eastAsia="黑体" w:cs="黑体"/>
          <w:spacing w:val="-3"/>
          <w:sz w:val="24"/>
          <w:szCs w:val="24"/>
        </w:rPr>
        <w:t>附表</w:t>
      </w:r>
      <w:r>
        <w:rPr>
          <w:rFonts w:ascii="黑体" w:hAnsi="黑体" w:eastAsia="黑体" w:cs="黑体"/>
          <w:spacing w:val="-60"/>
          <w:sz w:val="24"/>
          <w:szCs w:val="24"/>
        </w:rPr>
        <w:t xml:space="preserve"> </w:t>
      </w:r>
      <w:r>
        <w:rPr>
          <w:rFonts w:ascii="Times New Roman" w:hAnsi="Times New Roman" w:eastAsia="Times New Roman" w:cs="Times New Roman"/>
          <w:spacing w:val="-3"/>
          <w:sz w:val="24"/>
          <w:szCs w:val="24"/>
        </w:rPr>
        <w:t>A-9</w:t>
      </w:r>
      <w:r>
        <w:rPr>
          <w:rFonts w:ascii="黑体" w:hAnsi="黑体" w:eastAsia="黑体" w:cs="黑体"/>
          <w:spacing w:val="-3"/>
          <w:sz w:val="24"/>
          <w:szCs w:val="24"/>
        </w:rPr>
        <w:t>：否决投标的情况说明</w:t>
      </w:r>
    </w:p>
    <w:p w14:paraId="08DDB364">
      <w:pPr>
        <w:pStyle w:val="3"/>
        <w:spacing w:line="317" w:lineRule="auto"/>
      </w:pPr>
    </w:p>
    <w:p w14:paraId="028A879F">
      <w:pPr>
        <w:pStyle w:val="3"/>
        <w:spacing w:line="318" w:lineRule="auto"/>
      </w:pPr>
    </w:p>
    <w:p w14:paraId="44A15987">
      <w:pPr>
        <w:spacing w:before="117" w:line="218" w:lineRule="auto"/>
        <w:ind w:left="2765"/>
        <w:rPr>
          <w:rFonts w:ascii="黑体" w:hAnsi="黑体" w:eastAsia="黑体" w:cs="黑体"/>
          <w:sz w:val="36"/>
          <w:szCs w:val="36"/>
        </w:rPr>
      </w:pPr>
      <w:bookmarkStart w:id="189" w:name="bookmark225"/>
      <w:bookmarkEnd w:id="189"/>
      <w:r>
        <w:rPr>
          <w:rFonts w:ascii="黑体" w:hAnsi="黑体" w:eastAsia="黑体" w:cs="黑体"/>
          <w:spacing w:val="-2"/>
          <w:sz w:val="36"/>
          <w:szCs w:val="36"/>
        </w:rPr>
        <w:t>否决投标的情况说明</w:t>
      </w:r>
    </w:p>
    <w:p w14:paraId="61DE6DCB">
      <w:pPr>
        <w:spacing w:before="235" w:line="221" w:lineRule="auto"/>
        <w:ind w:left="225"/>
        <w:rPr>
          <w:rFonts w:ascii="宋体" w:hAnsi="宋体" w:eastAsia="宋体" w:cs="宋体"/>
          <w:sz w:val="21"/>
          <w:szCs w:val="21"/>
        </w:rPr>
      </w:pPr>
      <w:r>
        <w:rPr>
          <w:rFonts w:ascii="宋体" w:hAnsi="宋体" w:eastAsia="宋体" w:cs="宋体"/>
          <w:spacing w:val="-9"/>
          <w:sz w:val="21"/>
          <w:szCs w:val="21"/>
        </w:rPr>
        <w:t>标段名称：</w:t>
      </w:r>
    </w:p>
    <w:p w14:paraId="093A9099">
      <w:pPr>
        <w:spacing w:before="22" w:line="214" w:lineRule="auto"/>
        <w:ind w:left="225"/>
        <w:rPr>
          <w:rFonts w:ascii="宋体" w:hAnsi="宋体" w:eastAsia="宋体" w:cs="宋体"/>
          <w:sz w:val="21"/>
          <w:szCs w:val="21"/>
        </w:rPr>
      </w:pPr>
      <w:r>
        <w:rPr>
          <w:rFonts w:ascii="宋体" w:hAnsi="宋体" w:eastAsia="宋体" w:cs="宋体"/>
          <w:spacing w:val="-5"/>
          <w:sz w:val="21"/>
          <w:szCs w:val="21"/>
        </w:rPr>
        <w:t>标段唯一标识码：</w:t>
      </w:r>
    </w:p>
    <w:tbl>
      <w:tblPr>
        <w:tblStyle w:val="10"/>
        <w:tblW w:w="874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91"/>
        <w:gridCol w:w="1545"/>
        <w:gridCol w:w="1781"/>
        <w:gridCol w:w="4731"/>
      </w:tblGrid>
      <w:tr w14:paraId="682407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9" w:hRule="atLeast"/>
        </w:trPr>
        <w:tc>
          <w:tcPr>
            <w:tcW w:w="691" w:type="dxa"/>
            <w:vAlign w:val="top"/>
          </w:tcPr>
          <w:p w14:paraId="0F630CC3">
            <w:pPr>
              <w:pStyle w:val="11"/>
              <w:spacing w:before="135" w:line="222" w:lineRule="auto"/>
              <w:ind w:left="136"/>
            </w:pPr>
            <w:r>
              <w:rPr>
                <w:spacing w:val="-2"/>
                <w14:textOutline w14:w="3831" w14:cap="flat" w14:cmpd="sng">
                  <w14:solidFill>
                    <w14:srgbClr w14:val="000000"/>
                  </w14:solidFill>
                  <w14:prstDash w14:val="solid"/>
                  <w14:miter w14:val="0"/>
                </w14:textOutline>
              </w:rPr>
              <w:t>序号</w:t>
            </w:r>
          </w:p>
        </w:tc>
        <w:tc>
          <w:tcPr>
            <w:tcW w:w="1545" w:type="dxa"/>
            <w:vAlign w:val="top"/>
          </w:tcPr>
          <w:p w14:paraId="43E23313">
            <w:pPr>
              <w:pStyle w:val="11"/>
              <w:spacing w:before="135" w:line="221" w:lineRule="auto"/>
              <w:ind w:left="251"/>
            </w:pPr>
            <w:r>
              <w:rPr>
                <w:spacing w:val="-1"/>
                <w14:textOutline w14:w="3831" w14:cap="flat" w14:cmpd="sng">
                  <w14:solidFill>
                    <w14:srgbClr w14:val="000000"/>
                  </w14:solidFill>
                  <w14:prstDash w14:val="solid"/>
                  <w14:miter w14:val="0"/>
                </w14:textOutline>
              </w:rPr>
              <w:t>投标人名称</w:t>
            </w:r>
          </w:p>
        </w:tc>
        <w:tc>
          <w:tcPr>
            <w:tcW w:w="1781" w:type="dxa"/>
            <w:vAlign w:val="top"/>
          </w:tcPr>
          <w:p w14:paraId="180BF41F">
            <w:pPr>
              <w:pStyle w:val="11"/>
              <w:spacing w:before="135" w:line="220" w:lineRule="auto"/>
              <w:ind w:left="160"/>
            </w:pPr>
            <w:r>
              <w:rPr>
                <w:spacing w:val="-1"/>
                <w14:textOutline w14:w="3831" w14:cap="flat" w14:cmpd="sng">
                  <w14:solidFill>
                    <w14:srgbClr w14:val="000000"/>
                  </w14:solidFill>
                  <w14:prstDash w14:val="solid"/>
                  <w14:miter w14:val="0"/>
                </w14:textOutline>
              </w:rPr>
              <w:t>否决投标的依据</w:t>
            </w:r>
          </w:p>
        </w:tc>
        <w:tc>
          <w:tcPr>
            <w:tcW w:w="4731" w:type="dxa"/>
            <w:vAlign w:val="top"/>
          </w:tcPr>
          <w:p w14:paraId="13C089EC">
            <w:pPr>
              <w:pStyle w:val="11"/>
              <w:spacing w:before="134" w:line="221" w:lineRule="auto"/>
              <w:ind w:left="997"/>
            </w:pPr>
            <w:r>
              <w:rPr>
                <w14:textOutline w14:w="3831" w14:cap="flat" w14:cmpd="sng">
                  <w14:solidFill>
                    <w14:srgbClr w14:val="000000"/>
                  </w14:solidFill>
                  <w14:prstDash w14:val="solid"/>
                  <w14:miter w14:val="0"/>
                </w14:textOutline>
              </w:rPr>
              <w:t>投标文件存在的具体问题描述</w:t>
            </w:r>
          </w:p>
        </w:tc>
      </w:tr>
      <w:tr w14:paraId="7DD274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5" w:hRule="atLeast"/>
        </w:trPr>
        <w:tc>
          <w:tcPr>
            <w:tcW w:w="691" w:type="dxa"/>
            <w:vAlign w:val="top"/>
          </w:tcPr>
          <w:p w14:paraId="58411529">
            <w:pPr>
              <w:pStyle w:val="11"/>
              <w:spacing w:before="160" w:line="182" w:lineRule="auto"/>
              <w:ind w:left="305"/>
              <w:rPr>
                <w:sz w:val="24"/>
                <w:szCs w:val="24"/>
              </w:rPr>
            </w:pPr>
            <w:r>
              <w:rPr>
                <w:sz w:val="24"/>
                <w:szCs w:val="24"/>
              </w:rPr>
              <w:t>1</w:t>
            </w:r>
          </w:p>
        </w:tc>
        <w:tc>
          <w:tcPr>
            <w:tcW w:w="1545" w:type="dxa"/>
            <w:vAlign w:val="top"/>
          </w:tcPr>
          <w:p w14:paraId="410448AF">
            <w:pPr>
              <w:rPr>
                <w:rFonts w:ascii="Arial"/>
                <w:sz w:val="21"/>
              </w:rPr>
            </w:pPr>
          </w:p>
        </w:tc>
        <w:tc>
          <w:tcPr>
            <w:tcW w:w="1781" w:type="dxa"/>
            <w:vAlign w:val="top"/>
          </w:tcPr>
          <w:p w14:paraId="4ED8AEAB">
            <w:pPr>
              <w:rPr>
                <w:rFonts w:ascii="Arial"/>
                <w:sz w:val="21"/>
              </w:rPr>
            </w:pPr>
          </w:p>
        </w:tc>
        <w:tc>
          <w:tcPr>
            <w:tcW w:w="4731" w:type="dxa"/>
            <w:vAlign w:val="top"/>
          </w:tcPr>
          <w:p w14:paraId="05D95AF4">
            <w:pPr>
              <w:rPr>
                <w:rFonts w:ascii="Arial"/>
                <w:sz w:val="21"/>
              </w:rPr>
            </w:pPr>
          </w:p>
        </w:tc>
      </w:tr>
      <w:tr w14:paraId="224AA3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4" w:hRule="atLeast"/>
        </w:trPr>
        <w:tc>
          <w:tcPr>
            <w:tcW w:w="691" w:type="dxa"/>
            <w:vAlign w:val="top"/>
          </w:tcPr>
          <w:p w14:paraId="347BBAF9">
            <w:pPr>
              <w:pStyle w:val="11"/>
              <w:spacing w:before="160" w:line="181" w:lineRule="auto"/>
              <w:ind w:left="290"/>
              <w:rPr>
                <w:sz w:val="24"/>
                <w:szCs w:val="24"/>
              </w:rPr>
            </w:pPr>
            <w:r>
              <w:rPr>
                <w:sz w:val="24"/>
                <w:szCs w:val="24"/>
              </w:rPr>
              <w:t>2</w:t>
            </w:r>
          </w:p>
        </w:tc>
        <w:tc>
          <w:tcPr>
            <w:tcW w:w="1545" w:type="dxa"/>
            <w:vAlign w:val="top"/>
          </w:tcPr>
          <w:p w14:paraId="767E8773">
            <w:pPr>
              <w:rPr>
                <w:rFonts w:ascii="Arial"/>
                <w:sz w:val="21"/>
              </w:rPr>
            </w:pPr>
          </w:p>
        </w:tc>
        <w:tc>
          <w:tcPr>
            <w:tcW w:w="1781" w:type="dxa"/>
            <w:vAlign w:val="top"/>
          </w:tcPr>
          <w:p w14:paraId="1FEC5473">
            <w:pPr>
              <w:rPr>
                <w:rFonts w:ascii="Arial"/>
                <w:sz w:val="21"/>
              </w:rPr>
            </w:pPr>
          </w:p>
        </w:tc>
        <w:tc>
          <w:tcPr>
            <w:tcW w:w="4731" w:type="dxa"/>
            <w:vAlign w:val="top"/>
          </w:tcPr>
          <w:p w14:paraId="4E6DD46A">
            <w:pPr>
              <w:rPr>
                <w:rFonts w:ascii="Arial"/>
                <w:sz w:val="21"/>
              </w:rPr>
            </w:pPr>
          </w:p>
        </w:tc>
      </w:tr>
      <w:tr w14:paraId="4C6AB3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3" w:hRule="atLeast"/>
        </w:trPr>
        <w:tc>
          <w:tcPr>
            <w:tcW w:w="691" w:type="dxa"/>
            <w:vAlign w:val="top"/>
          </w:tcPr>
          <w:p w14:paraId="5035B4F8">
            <w:pPr>
              <w:pStyle w:val="11"/>
              <w:spacing w:before="233" w:line="181" w:lineRule="auto"/>
              <w:ind w:left="292"/>
              <w:rPr>
                <w:sz w:val="24"/>
                <w:szCs w:val="24"/>
              </w:rPr>
            </w:pPr>
            <w:r>
              <w:rPr>
                <w:sz w:val="24"/>
                <w:szCs w:val="24"/>
              </w:rPr>
              <w:t>3</w:t>
            </w:r>
          </w:p>
        </w:tc>
        <w:tc>
          <w:tcPr>
            <w:tcW w:w="1545" w:type="dxa"/>
            <w:vAlign w:val="top"/>
          </w:tcPr>
          <w:p w14:paraId="7855ABED">
            <w:pPr>
              <w:rPr>
                <w:rFonts w:ascii="Arial"/>
                <w:sz w:val="21"/>
              </w:rPr>
            </w:pPr>
          </w:p>
        </w:tc>
        <w:tc>
          <w:tcPr>
            <w:tcW w:w="1781" w:type="dxa"/>
            <w:vAlign w:val="top"/>
          </w:tcPr>
          <w:p w14:paraId="248E4967">
            <w:pPr>
              <w:rPr>
                <w:rFonts w:ascii="Arial"/>
                <w:sz w:val="21"/>
              </w:rPr>
            </w:pPr>
          </w:p>
        </w:tc>
        <w:tc>
          <w:tcPr>
            <w:tcW w:w="4731" w:type="dxa"/>
            <w:vAlign w:val="top"/>
          </w:tcPr>
          <w:p w14:paraId="42689FE0">
            <w:pPr>
              <w:rPr>
                <w:rFonts w:ascii="Arial"/>
                <w:sz w:val="21"/>
              </w:rPr>
            </w:pPr>
          </w:p>
        </w:tc>
      </w:tr>
      <w:tr w14:paraId="68C5A3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5" w:hRule="atLeast"/>
        </w:trPr>
        <w:tc>
          <w:tcPr>
            <w:tcW w:w="691" w:type="dxa"/>
            <w:vAlign w:val="top"/>
          </w:tcPr>
          <w:p w14:paraId="1DDB7345">
            <w:pPr>
              <w:pStyle w:val="11"/>
              <w:spacing w:before="162" w:line="181" w:lineRule="auto"/>
              <w:ind w:left="287"/>
              <w:rPr>
                <w:sz w:val="24"/>
                <w:szCs w:val="24"/>
              </w:rPr>
            </w:pPr>
            <w:r>
              <w:rPr>
                <w:sz w:val="24"/>
                <w:szCs w:val="24"/>
              </w:rPr>
              <w:t>4</w:t>
            </w:r>
          </w:p>
        </w:tc>
        <w:tc>
          <w:tcPr>
            <w:tcW w:w="1545" w:type="dxa"/>
            <w:vAlign w:val="top"/>
          </w:tcPr>
          <w:p w14:paraId="288FEF68">
            <w:pPr>
              <w:rPr>
                <w:rFonts w:ascii="Arial"/>
                <w:sz w:val="21"/>
              </w:rPr>
            </w:pPr>
          </w:p>
        </w:tc>
        <w:tc>
          <w:tcPr>
            <w:tcW w:w="1781" w:type="dxa"/>
            <w:vAlign w:val="top"/>
          </w:tcPr>
          <w:p w14:paraId="7B6FC9A7">
            <w:pPr>
              <w:rPr>
                <w:rFonts w:ascii="Arial"/>
                <w:sz w:val="21"/>
              </w:rPr>
            </w:pPr>
          </w:p>
        </w:tc>
        <w:tc>
          <w:tcPr>
            <w:tcW w:w="4731" w:type="dxa"/>
            <w:vAlign w:val="top"/>
          </w:tcPr>
          <w:p w14:paraId="1881D395">
            <w:pPr>
              <w:rPr>
                <w:rFonts w:ascii="Arial"/>
                <w:sz w:val="21"/>
              </w:rPr>
            </w:pPr>
          </w:p>
        </w:tc>
      </w:tr>
      <w:tr w14:paraId="276BAD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4" w:hRule="atLeast"/>
        </w:trPr>
        <w:tc>
          <w:tcPr>
            <w:tcW w:w="691" w:type="dxa"/>
            <w:vAlign w:val="top"/>
          </w:tcPr>
          <w:p w14:paraId="5233C29D">
            <w:pPr>
              <w:pStyle w:val="11"/>
              <w:spacing w:before="163" w:line="180" w:lineRule="auto"/>
              <w:ind w:left="292"/>
              <w:rPr>
                <w:sz w:val="24"/>
                <w:szCs w:val="24"/>
              </w:rPr>
            </w:pPr>
            <w:r>
              <w:rPr>
                <w:sz w:val="24"/>
                <w:szCs w:val="24"/>
              </w:rPr>
              <w:t>5</w:t>
            </w:r>
          </w:p>
        </w:tc>
        <w:tc>
          <w:tcPr>
            <w:tcW w:w="1545" w:type="dxa"/>
            <w:vAlign w:val="top"/>
          </w:tcPr>
          <w:p w14:paraId="51B46584">
            <w:pPr>
              <w:rPr>
                <w:rFonts w:ascii="Arial"/>
                <w:sz w:val="21"/>
              </w:rPr>
            </w:pPr>
          </w:p>
        </w:tc>
        <w:tc>
          <w:tcPr>
            <w:tcW w:w="1781" w:type="dxa"/>
            <w:vAlign w:val="top"/>
          </w:tcPr>
          <w:p w14:paraId="039C19E0">
            <w:pPr>
              <w:rPr>
                <w:rFonts w:ascii="Arial"/>
                <w:sz w:val="21"/>
              </w:rPr>
            </w:pPr>
          </w:p>
        </w:tc>
        <w:tc>
          <w:tcPr>
            <w:tcW w:w="4731" w:type="dxa"/>
            <w:vAlign w:val="top"/>
          </w:tcPr>
          <w:p w14:paraId="57CCD3A4">
            <w:pPr>
              <w:rPr>
                <w:rFonts w:ascii="Arial"/>
                <w:sz w:val="21"/>
              </w:rPr>
            </w:pPr>
          </w:p>
        </w:tc>
      </w:tr>
      <w:tr w14:paraId="3A1C63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4" w:hRule="atLeast"/>
        </w:trPr>
        <w:tc>
          <w:tcPr>
            <w:tcW w:w="691" w:type="dxa"/>
            <w:vAlign w:val="top"/>
          </w:tcPr>
          <w:p w14:paraId="2E96F18E">
            <w:pPr>
              <w:pStyle w:val="11"/>
              <w:spacing w:before="163" w:line="181" w:lineRule="auto"/>
              <w:ind w:left="289"/>
              <w:rPr>
                <w:sz w:val="24"/>
                <w:szCs w:val="24"/>
              </w:rPr>
            </w:pPr>
            <w:r>
              <w:rPr>
                <w:sz w:val="24"/>
                <w:szCs w:val="24"/>
              </w:rPr>
              <w:t>6</w:t>
            </w:r>
          </w:p>
        </w:tc>
        <w:tc>
          <w:tcPr>
            <w:tcW w:w="1545" w:type="dxa"/>
            <w:vAlign w:val="top"/>
          </w:tcPr>
          <w:p w14:paraId="5139B775">
            <w:pPr>
              <w:rPr>
                <w:rFonts w:ascii="Arial"/>
                <w:sz w:val="21"/>
              </w:rPr>
            </w:pPr>
          </w:p>
        </w:tc>
        <w:tc>
          <w:tcPr>
            <w:tcW w:w="1781" w:type="dxa"/>
            <w:vAlign w:val="top"/>
          </w:tcPr>
          <w:p w14:paraId="6F0E925A">
            <w:pPr>
              <w:rPr>
                <w:rFonts w:ascii="Arial"/>
                <w:sz w:val="21"/>
              </w:rPr>
            </w:pPr>
          </w:p>
        </w:tc>
        <w:tc>
          <w:tcPr>
            <w:tcW w:w="4731" w:type="dxa"/>
            <w:vAlign w:val="top"/>
          </w:tcPr>
          <w:p w14:paraId="597628C1">
            <w:pPr>
              <w:rPr>
                <w:rFonts w:ascii="Arial"/>
                <w:sz w:val="21"/>
              </w:rPr>
            </w:pPr>
          </w:p>
        </w:tc>
      </w:tr>
      <w:tr w14:paraId="71C721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4" w:hRule="atLeast"/>
        </w:trPr>
        <w:tc>
          <w:tcPr>
            <w:tcW w:w="691" w:type="dxa"/>
            <w:vAlign w:val="top"/>
          </w:tcPr>
          <w:p w14:paraId="70859DF5">
            <w:pPr>
              <w:pStyle w:val="11"/>
              <w:spacing w:before="169" w:line="180" w:lineRule="auto"/>
              <w:ind w:left="293"/>
              <w:rPr>
                <w:sz w:val="24"/>
                <w:szCs w:val="24"/>
              </w:rPr>
            </w:pPr>
            <w:r>
              <w:rPr>
                <w:sz w:val="24"/>
                <w:szCs w:val="24"/>
              </w:rPr>
              <w:t>7</w:t>
            </w:r>
          </w:p>
        </w:tc>
        <w:tc>
          <w:tcPr>
            <w:tcW w:w="1545" w:type="dxa"/>
            <w:vAlign w:val="top"/>
          </w:tcPr>
          <w:p w14:paraId="09FB951D">
            <w:pPr>
              <w:rPr>
                <w:rFonts w:ascii="Arial"/>
                <w:sz w:val="21"/>
              </w:rPr>
            </w:pPr>
          </w:p>
        </w:tc>
        <w:tc>
          <w:tcPr>
            <w:tcW w:w="1781" w:type="dxa"/>
            <w:vAlign w:val="top"/>
          </w:tcPr>
          <w:p w14:paraId="2197505A">
            <w:pPr>
              <w:rPr>
                <w:rFonts w:ascii="Arial"/>
                <w:sz w:val="21"/>
              </w:rPr>
            </w:pPr>
          </w:p>
        </w:tc>
        <w:tc>
          <w:tcPr>
            <w:tcW w:w="4731" w:type="dxa"/>
            <w:vAlign w:val="top"/>
          </w:tcPr>
          <w:p w14:paraId="7EEA72BE">
            <w:pPr>
              <w:rPr>
                <w:rFonts w:ascii="Arial"/>
                <w:sz w:val="21"/>
              </w:rPr>
            </w:pPr>
          </w:p>
        </w:tc>
      </w:tr>
      <w:tr w14:paraId="4C64A8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5" w:hRule="atLeast"/>
        </w:trPr>
        <w:tc>
          <w:tcPr>
            <w:tcW w:w="691" w:type="dxa"/>
            <w:vAlign w:val="top"/>
          </w:tcPr>
          <w:p w14:paraId="4905DEA8">
            <w:pPr>
              <w:pStyle w:val="11"/>
              <w:spacing w:before="169" w:line="181" w:lineRule="auto"/>
              <w:ind w:left="288"/>
              <w:rPr>
                <w:sz w:val="24"/>
                <w:szCs w:val="24"/>
              </w:rPr>
            </w:pPr>
            <w:r>
              <w:rPr>
                <w:sz w:val="24"/>
                <w:szCs w:val="24"/>
              </w:rPr>
              <w:t>8</w:t>
            </w:r>
          </w:p>
        </w:tc>
        <w:tc>
          <w:tcPr>
            <w:tcW w:w="1545" w:type="dxa"/>
            <w:vAlign w:val="top"/>
          </w:tcPr>
          <w:p w14:paraId="0EEC4FC6">
            <w:pPr>
              <w:rPr>
                <w:rFonts w:ascii="Arial"/>
                <w:sz w:val="21"/>
              </w:rPr>
            </w:pPr>
          </w:p>
        </w:tc>
        <w:tc>
          <w:tcPr>
            <w:tcW w:w="1781" w:type="dxa"/>
            <w:vAlign w:val="top"/>
          </w:tcPr>
          <w:p w14:paraId="499FEF41">
            <w:pPr>
              <w:rPr>
                <w:rFonts w:ascii="Arial"/>
                <w:sz w:val="21"/>
              </w:rPr>
            </w:pPr>
          </w:p>
        </w:tc>
        <w:tc>
          <w:tcPr>
            <w:tcW w:w="4731" w:type="dxa"/>
            <w:vAlign w:val="top"/>
          </w:tcPr>
          <w:p w14:paraId="3AECC842">
            <w:pPr>
              <w:rPr>
                <w:rFonts w:ascii="Arial"/>
                <w:sz w:val="21"/>
              </w:rPr>
            </w:pPr>
          </w:p>
        </w:tc>
      </w:tr>
      <w:tr w14:paraId="1C2E79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4" w:hRule="atLeast"/>
        </w:trPr>
        <w:tc>
          <w:tcPr>
            <w:tcW w:w="691" w:type="dxa"/>
            <w:vAlign w:val="top"/>
          </w:tcPr>
          <w:p w14:paraId="6C37B6C6">
            <w:pPr>
              <w:pStyle w:val="11"/>
              <w:spacing w:before="138" w:line="333" w:lineRule="exact"/>
              <w:ind w:left="257"/>
            </w:pPr>
            <w:r>
              <w:rPr>
                <w:position w:val="2"/>
              </w:rPr>
              <w:t>…</w:t>
            </w:r>
          </w:p>
        </w:tc>
        <w:tc>
          <w:tcPr>
            <w:tcW w:w="1545" w:type="dxa"/>
            <w:vAlign w:val="top"/>
          </w:tcPr>
          <w:p w14:paraId="7D6EBDD3">
            <w:pPr>
              <w:rPr>
                <w:rFonts w:ascii="Arial"/>
                <w:sz w:val="21"/>
              </w:rPr>
            </w:pPr>
          </w:p>
        </w:tc>
        <w:tc>
          <w:tcPr>
            <w:tcW w:w="1781" w:type="dxa"/>
            <w:vAlign w:val="top"/>
          </w:tcPr>
          <w:p w14:paraId="075AE5A7">
            <w:pPr>
              <w:rPr>
                <w:rFonts w:ascii="Arial"/>
                <w:sz w:val="21"/>
              </w:rPr>
            </w:pPr>
          </w:p>
        </w:tc>
        <w:tc>
          <w:tcPr>
            <w:tcW w:w="4731" w:type="dxa"/>
            <w:vAlign w:val="top"/>
          </w:tcPr>
          <w:p w14:paraId="71A790E0">
            <w:pPr>
              <w:rPr>
                <w:rFonts w:ascii="Arial"/>
                <w:sz w:val="21"/>
              </w:rPr>
            </w:pPr>
          </w:p>
        </w:tc>
      </w:tr>
      <w:tr w14:paraId="40F710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88" w:hRule="atLeast"/>
        </w:trPr>
        <w:tc>
          <w:tcPr>
            <w:tcW w:w="8748" w:type="dxa"/>
            <w:gridSpan w:val="4"/>
            <w:vAlign w:val="top"/>
          </w:tcPr>
          <w:p w14:paraId="48300ACF">
            <w:pPr>
              <w:pStyle w:val="11"/>
              <w:spacing w:before="33" w:line="220" w:lineRule="auto"/>
              <w:ind w:left="112"/>
            </w:pPr>
            <w:r>
              <w:rPr>
                <w:spacing w:val="-3"/>
              </w:rPr>
              <w:t>评标委员会全体成员签名：</w:t>
            </w:r>
          </w:p>
        </w:tc>
      </w:tr>
    </w:tbl>
    <w:p w14:paraId="498DC758">
      <w:pPr>
        <w:spacing w:before="29" w:line="221" w:lineRule="auto"/>
        <w:ind w:left="5936"/>
        <w:rPr>
          <w:rFonts w:ascii="宋体" w:hAnsi="宋体" w:eastAsia="宋体" w:cs="宋体"/>
          <w:sz w:val="21"/>
          <w:szCs w:val="21"/>
        </w:rPr>
      </w:pPr>
      <w:r>
        <w:rPr>
          <w:rFonts w:ascii="宋体" w:hAnsi="宋体" w:eastAsia="宋体" w:cs="宋体"/>
          <w:spacing w:val="-24"/>
          <w:sz w:val="21"/>
          <w:szCs w:val="21"/>
        </w:rPr>
        <w:t>日期：</w:t>
      </w:r>
      <w:r>
        <w:rPr>
          <w:rFonts w:ascii="宋体" w:hAnsi="宋体" w:eastAsia="宋体" w:cs="宋体"/>
          <w:spacing w:val="21"/>
          <w:sz w:val="21"/>
          <w:szCs w:val="21"/>
        </w:rPr>
        <w:t xml:space="preserve">    </w:t>
      </w:r>
      <w:r>
        <w:rPr>
          <w:rFonts w:ascii="宋体" w:hAnsi="宋体" w:eastAsia="宋体" w:cs="宋体"/>
          <w:spacing w:val="-24"/>
          <w:sz w:val="21"/>
          <w:szCs w:val="21"/>
        </w:rPr>
        <w:t>年</w:t>
      </w:r>
      <w:r>
        <w:rPr>
          <w:rFonts w:ascii="宋体" w:hAnsi="宋体" w:eastAsia="宋体" w:cs="宋体"/>
          <w:spacing w:val="4"/>
          <w:sz w:val="21"/>
          <w:szCs w:val="21"/>
        </w:rPr>
        <w:t xml:space="preserve">    </w:t>
      </w:r>
      <w:r>
        <w:rPr>
          <w:rFonts w:ascii="宋体" w:hAnsi="宋体" w:eastAsia="宋体" w:cs="宋体"/>
          <w:spacing w:val="-24"/>
          <w:sz w:val="21"/>
          <w:szCs w:val="21"/>
        </w:rPr>
        <w:t>月</w:t>
      </w:r>
      <w:r>
        <w:rPr>
          <w:rFonts w:ascii="宋体" w:hAnsi="宋体" w:eastAsia="宋体" w:cs="宋体"/>
          <w:spacing w:val="10"/>
          <w:sz w:val="21"/>
          <w:szCs w:val="21"/>
        </w:rPr>
        <w:t xml:space="preserve">    </w:t>
      </w:r>
      <w:r>
        <w:rPr>
          <w:rFonts w:ascii="宋体" w:hAnsi="宋体" w:eastAsia="宋体" w:cs="宋体"/>
          <w:spacing w:val="-24"/>
          <w:sz w:val="21"/>
          <w:szCs w:val="21"/>
        </w:rPr>
        <w:t>日</w:t>
      </w:r>
    </w:p>
    <w:p w14:paraId="6D9D20EC">
      <w:pPr>
        <w:spacing w:line="221" w:lineRule="auto"/>
        <w:rPr>
          <w:rFonts w:ascii="宋体" w:hAnsi="宋体" w:eastAsia="宋体" w:cs="宋体"/>
          <w:sz w:val="21"/>
          <w:szCs w:val="21"/>
        </w:rPr>
        <w:sectPr>
          <w:footerReference r:id="rId75" w:type="default"/>
          <w:pgSz w:w="11905" w:h="16839"/>
          <w:pgMar w:top="1431" w:right="1570" w:bottom="996" w:left="1579" w:header="0" w:footer="791" w:gutter="0"/>
          <w:pgNumType w:fmt="decimal"/>
          <w:cols w:space="720" w:num="1"/>
        </w:sectPr>
      </w:pPr>
    </w:p>
    <w:p w14:paraId="2B52E91D">
      <w:pPr>
        <w:spacing w:before="124" w:line="219" w:lineRule="auto"/>
        <w:ind w:left="118"/>
        <w:rPr>
          <w:rFonts w:ascii="黑体" w:hAnsi="黑体" w:eastAsia="黑体" w:cs="黑体"/>
          <w:sz w:val="24"/>
          <w:szCs w:val="24"/>
        </w:rPr>
      </w:pPr>
      <w:r>
        <w:rPr>
          <w:rFonts w:ascii="黑体" w:hAnsi="黑体" w:eastAsia="黑体" w:cs="黑体"/>
          <w:spacing w:val="-5"/>
          <w:sz w:val="24"/>
          <w:szCs w:val="24"/>
        </w:rPr>
        <w:t>附表</w:t>
      </w:r>
      <w:r>
        <w:rPr>
          <w:rFonts w:ascii="黑体" w:hAnsi="黑体" w:eastAsia="黑体" w:cs="黑体"/>
          <w:spacing w:val="-48"/>
          <w:sz w:val="24"/>
          <w:szCs w:val="24"/>
        </w:rPr>
        <w:t xml:space="preserve"> </w:t>
      </w:r>
      <w:r>
        <w:rPr>
          <w:rFonts w:ascii="Times New Roman" w:hAnsi="Times New Roman" w:eastAsia="Times New Roman" w:cs="Times New Roman"/>
          <w:spacing w:val="-5"/>
          <w:sz w:val="24"/>
          <w:szCs w:val="24"/>
        </w:rPr>
        <w:t>A-</w:t>
      </w:r>
      <w:r>
        <w:rPr>
          <w:rFonts w:ascii="Times New Roman" w:hAnsi="Times New Roman" w:eastAsia="Times New Roman" w:cs="Times New Roman"/>
          <w:spacing w:val="-30"/>
          <w:sz w:val="24"/>
          <w:szCs w:val="24"/>
        </w:rPr>
        <w:t xml:space="preserve"> </w:t>
      </w:r>
      <w:r>
        <w:rPr>
          <w:rFonts w:ascii="Times New Roman" w:hAnsi="Times New Roman" w:eastAsia="Times New Roman" w:cs="Times New Roman"/>
          <w:spacing w:val="-5"/>
          <w:sz w:val="24"/>
          <w:szCs w:val="24"/>
        </w:rPr>
        <w:t>10</w:t>
      </w:r>
      <w:r>
        <w:rPr>
          <w:rFonts w:ascii="黑体" w:hAnsi="黑体" w:eastAsia="黑体" w:cs="黑体"/>
          <w:spacing w:val="-5"/>
          <w:sz w:val="24"/>
          <w:szCs w:val="24"/>
        </w:rPr>
        <w:t>：经济标评分记录表</w:t>
      </w:r>
    </w:p>
    <w:p w14:paraId="549BB77F">
      <w:pPr>
        <w:spacing w:before="100"/>
      </w:pPr>
    </w:p>
    <w:p w14:paraId="2C4A3308">
      <w:pPr>
        <w:spacing w:before="100"/>
      </w:pPr>
    </w:p>
    <w:p w14:paraId="552ADF38">
      <w:pPr>
        <w:sectPr>
          <w:footerReference r:id="rId76" w:type="default"/>
          <w:pgSz w:w="11905" w:h="16839"/>
          <w:pgMar w:top="1431" w:right="1690" w:bottom="996" w:left="1699" w:header="0" w:footer="791" w:gutter="0"/>
          <w:pgNumType w:fmt="decimal"/>
          <w:cols w:equalWidth="0" w:num="1">
            <w:col w:w="8514"/>
          </w:cols>
        </w:sectPr>
      </w:pPr>
    </w:p>
    <w:p w14:paraId="6950DC21">
      <w:pPr>
        <w:spacing w:before="71" w:line="219" w:lineRule="auto"/>
        <w:ind w:left="2832"/>
        <w:rPr>
          <w:rFonts w:ascii="黑体" w:hAnsi="黑体" w:eastAsia="黑体" w:cs="黑体"/>
          <w:sz w:val="36"/>
          <w:szCs w:val="36"/>
        </w:rPr>
      </w:pPr>
      <w:r>
        <w:rPr>
          <w:rFonts w:ascii="黑体" w:hAnsi="黑体" w:eastAsia="黑体" w:cs="黑体"/>
          <w:spacing w:val="-3"/>
          <w:sz w:val="36"/>
          <w:szCs w:val="36"/>
        </w:rPr>
        <w:t>经济标评分记录表</w:t>
      </w:r>
    </w:p>
    <w:p w14:paraId="26E2219E">
      <w:pPr>
        <w:spacing w:before="234" w:line="221" w:lineRule="auto"/>
        <w:ind w:left="105"/>
        <w:rPr>
          <w:rFonts w:ascii="宋体" w:hAnsi="宋体" w:eastAsia="宋体" w:cs="宋体"/>
          <w:sz w:val="21"/>
          <w:szCs w:val="21"/>
        </w:rPr>
      </w:pPr>
      <w:r>
        <w:rPr>
          <w:rFonts w:ascii="宋体" w:hAnsi="宋体" w:eastAsia="宋体" w:cs="宋体"/>
          <w:spacing w:val="-9"/>
          <w:sz w:val="21"/>
          <w:szCs w:val="21"/>
        </w:rPr>
        <w:t>标段名称：</w:t>
      </w:r>
    </w:p>
    <w:p w14:paraId="1C8CA19D">
      <w:pPr>
        <w:spacing w:before="21" w:line="186" w:lineRule="auto"/>
        <w:ind w:left="105"/>
        <w:rPr>
          <w:rFonts w:ascii="宋体" w:hAnsi="宋体" w:eastAsia="宋体" w:cs="宋体"/>
          <w:sz w:val="21"/>
          <w:szCs w:val="21"/>
        </w:rPr>
      </w:pPr>
      <w:r>
        <w:rPr>
          <w:rFonts w:ascii="宋体" w:hAnsi="宋体" w:eastAsia="宋体" w:cs="宋体"/>
          <w:spacing w:val="-5"/>
          <w:sz w:val="21"/>
          <w:szCs w:val="21"/>
        </w:rPr>
        <w:t>标段唯一标识码：</w:t>
      </w:r>
    </w:p>
    <w:p w14:paraId="19363F14">
      <w:pPr>
        <w:pStyle w:val="3"/>
        <w:spacing w:line="14" w:lineRule="auto"/>
        <w:rPr>
          <w:sz w:val="2"/>
        </w:rPr>
      </w:pPr>
      <w:r>
        <w:rPr>
          <w:sz w:val="2"/>
          <w:szCs w:val="2"/>
        </w:rPr>
        <w:br w:type="column"/>
      </w:r>
    </w:p>
    <w:p w14:paraId="7FE995B8">
      <w:pPr>
        <w:pStyle w:val="3"/>
        <w:spacing w:line="310" w:lineRule="auto"/>
      </w:pPr>
    </w:p>
    <w:p w14:paraId="47657C4B">
      <w:pPr>
        <w:pStyle w:val="3"/>
        <w:spacing w:line="310" w:lineRule="auto"/>
      </w:pPr>
    </w:p>
    <w:p w14:paraId="7CB95AE8">
      <w:pPr>
        <w:pStyle w:val="3"/>
        <w:spacing w:line="310" w:lineRule="auto"/>
      </w:pPr>
    </w:p>
    <w:p w14:paraId="0CBD2134">
      <w:pPr>
        <w:spacing w:before="68" w:line="186" w:lineRule="auto"/>
        <w:rPr>
          <w:rFonts w:ascii="宋体" w:hAnsi="宋体" w:eastAsia="宋体" w:cs="宋体"/>
          <w:sz w:val="21"/>
          <w:szCs w:val="21"/>
        </w:rPr>
      </w:pPr>
      <w:r>
        <w:rPr>
          <w:rFonts w:ascii="宋体" w:hAnsi="宋体" w:eastAsia="宋体" w:cs="宋体"/>
          <w:spacing w:val="-2"/>
          <w:sz w:val="21"/>
          <w:szCs w:val="21"/>
        </w:rPr>
        <w:t>单位：人民币元</w:t>
      </w:r>
    </w:p>
    <w:p w14:paraId="6BE74011">
      <w:pPr>
        <w:spacing w:line="186" w:lineRule="auto"/>
        <w:rPr>
          <w:rFonts w:ascii="宋体" w:hAnsi="宋体" w:eastAsia="宋体" w:cs="宋体"/>
          <w:sz w:val="21"/>
          <w:szCs w:val="21"/>
        </w:rPr>
        <w:sectPr>
          <w:type w:val="continuous"/>
          <w:pgSz w:w="11905" w:h="16839"/>
          <w:pgMar w:top="1431" w:right="1690" w:bottom="996" w:left="1699" w:header="0" w:footer="791" w:gutter="0"/>
          <w:pgNumType w:fmt="decimal"/>
          <w:cols w:equalWidth="0" w:num="2">
            <w:col w:w="6312" w:space="100"/>
            <w:col w:w="2103"/>
          </w:cols>
        </w:sectPr>
      </w:pPr>
    </w:p>
    <w:p w14:paraId="24ADCAB8">
      <w:pPr>
        <w:spacing w:line="32" w:lineRule="exact"/>
      </w:pPr>
    </w:p>
    <w:tbl>
      <w:tblPr>
        <w:tblStyle w:val="10"/>
        <w:tblW w:w="850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81"/>
        <w:gridCol w:w="1334"/>
        <w:gridCol w:w="701"/>
        <w:gridCol w:w="993"/>
        <w:gridCol w:w="739"/>
        <w:gridCol w:w="945"/>
        <w:gridCol w:w="839"/>
        <w:gridCol w:w="845"/>
        <w:gridCol w:w="1531"/>
      </w:tblGrid>
      <w:tr w14:paraId="2854B2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8" w:hRule="atLeast"/>
        </w:trPr>
        <w:tc>
          <w:tcPr>
            <w:tcW w:w="581" w:type="dxa"/>
            <w:vMerge w:val="restart"/>
            <w:tcBorders>
              <w:bottom w:val="nil"/>
            </w:tcBorders>
            <w:textDirection w:val="tbRlV"/>
            <w:vAlign w:val="top"/>
          </w:tcPr>
          <w:p w14:paraId="356F9DF2">
            <w:pPr>
              <w:pStyle w:val="11"/>
              <w:spacing w:before="186" w:line="211" w:lineRule="auto"/>
              <w:ind w:left="557"/>
            </w:pPr>
            <w:r>
              <w:rPr>
                <w:spacing w:val="1"/>
                <w14:textOutline w14:w="3831" w14:cap="flat" w14:cmpd="sng">
                  <w14:solidFill>
                    <w14:srgbClr w14:val="000000"/>
                  </w14:solidFill>
                  <w14:prstDash w14:val="solid"/>
                  <w14:miter w14:val="0"/>
                </w14:textOutline>
              </w:rPr>
              <w:t>序</w:t>
            </w:r>
            <w:r>
              <w:rPr>
                <w:spacing w:val="-43"/>
              </w:rPr>
              <w:t xml:space="preserve"> </w:t>
            </w:r>
            <w:r>
              <w:rPr>
                <w:spacing w:val="1"/>
                <w14:textOutline w14:w="3831" w14:cap="flat" w14:cmpd="sng">
                  <w14:solidFill>
                    <w14:srgbClr w14:val="000000"/>
                  </w14:solidFill>
                  <w14:prstDash w14:val="solid"/>
                  <w14:miter w14:val="0"/>
                </w14:textOutline>
              </w:rPr>
              <w:t>号</w:t>
            </w:r>
          </w:p>
        </w:tc>
        <w:tc>
          <w:tcPr>
            <w:tcW w:w="1334" w:type="dxa"/>
            <w:vMerge w:val="restart"/>
            <w:tcBorders>
              <w:bottom w:val="nil"/>
            </w:tcBorders>
            <w:vAlign w:val="top"/>
          </w:tcPr>
          <w:p w14:paraId="72496436">
            <w:pPr>
              <w:spacing w:line="312" w:lineRule="auto"/>
              <w:rPr>
                <w:rFonts w:ascii="Arial"/>
                <w:sz w:val="21"/>
              </w:rPr>
            </w:pPr>
          </w:p>
          <w:p w14:paraId="65496D57">
            <w:pPr>
              <w:spacing w:line="313" w:lineRule="auto"/>
              <w:rPr>
                <w:rFonts w:ascii="Arial"/>
                <w:sz w:val="21"/>
              </w:rPr>
            </w:pPr>
          </w:p>
          <w:p w14:paraId="55F72AAD">
            <w:pPr>
              <w:pStyle w:val="11"/>
              <w:spacing w:before="68" w:line="221" w:lineRule="auto"/>
              <w:ind w:left="145"/>
            </w:pPr>
            <w:r>
              <w:rPr>
                <w:spacing w:val="-1"/>
                <w14:textOutline w14:w="3831" w14:cap="flat" w14:cmpd="sng">
                  <w14:solidFill>
                    <w14:srgbClr w14:val="000000"/>
                  </w14:solidFill>
                  <w14:prstDash w14:val="solid"/>
                  <w14:miter w14:val="0"/>
                </w14:textOutline>
              </w:rPr>
              <w:t>投标人名称</w:t>
            </w:r>
          </w:p>
        </w:tc>
        <w:tc>
          <w:tcPr>
            <w:tcW w:w="6593" w:type="dxa"/>
            <w:gridSpan w:val="7"/>
            <w:vAlign w:val="top"/>
          </w:tcPr>
          <w:p w14:paraId="6BADB2CF">
            <w:pPr>
              <w:pStyle w:val="11"/>
              <w:spacing w:before="145" w:line="221" w:lineRule="auto"/>
              <w:ind w:left="2874"/>
            </w:pPr>
            <w:r>
              <w:rPr>
                <w:spacing w:val="-1"/>
                <w14:textOutline w14:w="3831" w14:cap="flat" w14:cmpd="sng">
                  <w14:solidFill>
                    <w14:srgbClr w14:val="000000"/>
                  </w14:solidFill>
                  <w14:prstDash w14:val="solid"/>
                  <w14:miter w14:val="0"/>
                </w14:textOutline>
              </w:rPr>
              <w:t>评审项目</w:t>
            </w:r>
          </w:p>
        </w:tc>
      </w:tr>
      <w:tr w14:paraId="087075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4" w:hRule="atLeast"/>
        </w:trPr>
        <w:tc>
          <w:tcPr>
            <w:tcW w:w="581" w:type="dxa"/>
            <w:vMerge w:val="continue"/>
            <w:tcBorders>
              <w:top w:val="nil"/>
            </w:tcBorders>
            <w:textDirection w:val="tbRlV"/>
            <w:vAlign w:val="top"/>
          </w:tcPr>
          <w:p w14:paraId="2C6CDDCA">
            <w:pPr>
              <w:rPr>
                <w:rFonts w:ascii="Arial"/>
                <w:sz w:val="21"/>
              </w:rPr>
            </w:pPr>
          </w:p>
        </w:tc>
        <w:tc>
          <w:tcPr>
            <w:tcW w:w="1334" w:type="dxa"/>
            <w:vMerge w:val="continue"/>
            <w:tcBorders>
              <w:top w:val="nil"/>
            </w:tcBorders>
            <w:vAlign w:val="top"/>
          </w:tcPr>
          <w:p w14:paraId="1FAD09E8">
            <w:pPr>
              <w:rPr>
                <w:rFonts w:ascii="Arial"/>
                <w:sz w:val="21"/>
              </w:rPr>
            </w:pPr>
          </w:p>
        </w:tc>
        <w:tc>
          <w:tcPr>
            <w:tcW w:w="701" w:type="dxa"/>
            <w:vAlign w:val="top"/>
          </w:tcPr>
          <w:p w14:paraId="757DB174">
            <w:pPr>
              <w:pStyle w:val="11"/>
              <w:spacing w:before="304" w:line="236" w:lineRule="auto"/>
              <w:ind w:left="141"/>
            </w:pPr>
            <w:r>
              <w:rPr>
                <w:spacing w:val="-3"/>
                <w14:textOutline w14:w="3831" w14:cap="flat" w14:cmpd="sng">
                  <w14:solidFill>
                    <w14:srgbClr w14:val="000000"/>
                  </w14:solidFill>
                  <w14:prstDash w14:val="solid"/>
                  <w14:miter w14:val="0"/>
                </w14:textOutline>
              </w:rPr>
              <w:t>投标</w:t>
            </w:r>
          </w:p>
          <w:p w14:paraId="74494490">
            <w:pPr>
              <w:pStyle w:val="11"/>
              <w:spacing w:line="219" w:lineRule="auto"/>
              <w:ind w:left="137"/>
            </w:pPr>
            <w:r>
              <w:rPr>
                <w:spacing w:val="-2"/>
                <w14:textOutline w14:w="3831" w14:cap="flat" w14:cmpd="sng">
                  <w14:solidFill>
                    <w14:srgbClr w14:val="000000"/>
                  </w14:solidFill>
                  <w14:prstDash w14:val="solid"/>
                  <w14:miter w14:val="0"/>
                </w14:textOutline>
              </w:rPr>
              <w:t>报价</w:t>
            </w:r>
          </w:p>
        </w:tc>
        <w:tc>
          <w:tcPr>
            <w:tcW w:w="993" w:type="dxa"/>
            <w:vAlign w:val="top"/>
          </w:tcPr>
          <w:p w14:paraId="17167EFC">
            <w:pPr>
              <w:pStyle w:val="11"/>
              <w:spacing w:before="30" w:line="232" w:lineRule="auto"/>
              <w:ind w:left="182" w:right="180"/>
              <w:jc w:val="both"/>
            </w:pPr>
            <w:r>
              <w:rPr>
                <w:spacing w:val="-2"/>
                <w14:textOutline w14:w="3831" w14:cap="flat" w14:cmpd="sng">
                  <w14:solidFill>
                    <w14:srgbClr w14:val="000000"/>
                  </w14:solidFill>
                  <w14:prstDash w14:val="solid"/>
                  <w14:miter w14:val="0"/>
                </w14:textOutline>
              </w:rPr>
              <w:t>修正后</w:t>
            </w:r>
            <w:r>
              <w:t xml:space="preserve"> </w:t>
            </w:r>
            <w:r>
              <w:rPr>
                <w:spacing w:val="-2"/>
                <w14:textOutline w14:w="3831" w14:cap="flat" w14:cmpd="sng">
                  <w14:solidFill>
                    <w14:srgbClr w14:val="000000"/>
                  </w14:solidFill>
                  <w14:prstDash w14:val="solid"/>
                  <w14:miter w14:val="0"/>
                </w14:textOutline>
              </w:rPr>
              <w:t>投标报</w:t>
            </w:r>
            <w:r>
              <w:t xml:space="preserve"> </w:t>
            </w:r>
            <w:r>
              <w:rPr>
                <w:spacing w:val="-2"/>
                <w14:textOutline w14:w="3831" w14:cap="flat" w14:cmpd="sng">
                  <w14:solidFill>
                    <w14:srgbClr w14:val="000000"/>
                  </w14:solidFill>
                  <w14:prstDash w14:val="solid"/>
                  <w14:miter w14:val="0"/>
                </w14:textOutline>
              </w:rPr>
              <w:t>价（如</w:t>
            </w:r>
          </w:p>
          <w:p w14:paraId="710A1916">
            <w:pPr>
              <w:pStyle w:val="11"/>
              <w:spacing w:before="24" w:line="209" w:lineRule="auto"/>
              <w:ind w:left="288"/>
            </w:pPr>
            <w:r>
              <w:rPr>
                <w:spacing w:val="-6"/>
                <w14:textOutline w14:w="3831" w14:cap="flat" w14:cmpd="sng">
                  <w14:solidFill>
                    <w14:srgbClr w14:val="000000"/>
                  </w14:solidFill>
                  <w14:prstDash w14:val="solid"/>
                  <w14:miter w14:val="0"/>
                </w14:textOutline>
              </w:rPr>
              <w:t>有）</w:t>
            </w:r>
          </w:p>
        </w:tc>
        <w:tc>
          <w:tcPr>
            <w:tcW w:w="739" w:type="dxa"/>
            <w:vAlign w:val="top"/>
          </w:tcPr>
          <w:p w14:paraId="64F4BD43">
            <w:pPr>
              <w:pStyle w:val="11"/>
              <w:spacing w:before="304" w:line="221" w:lineRule="auto"/>
              <w:ind w:left="162"/>
            </w:pPr>
            <w:r>
              <w:rPr>
                <w:spacing w:val="-2"/>
                <w14:textOutline w14:w="3831" w14:cap="flat" w14:cmpd="sng">
                  <w14:solidFill>
                    <w14:srgbClr w14:val="000000"/>
                  </w14:solidFill>
                  <w14:prstDash w14:val="solid"/>
                  <w14:miter w14:val="0"/>
                </w14:textOutline>
              </w:rPr>
              <w:t>评标</w:t>
            </w:r>
          </w:p>
          <w:p w14:paraId="767342AA">
            <w:pPr>
              <w:pStyle w:val="11"/>
              <w:spacing w:before="17" w:line="219" w:lineRule="auto"/>
              <w:ind w:left="270"/>
            </w:pPr>
            <w:r>
              <w:rPr>
                <w14:textOutline w14:w="3831" w14:cap="flat" w14:cmpd="sng">
                  <w14:solidFill>
                    <w14:srgbClr w14:val="000000"/>
                  </w14:solidFill>
                  <w14:prstDash w14:val="solid"/>
                  <w14:miter w14:val="0"/>
                </w14:textOutline>
              </w:rPr>
              <w:t>价</w:t>
            </w:r>
          </w:p>
        </w:tc>
        <w:tc>
          <w:tcPr>
            <w:tcW w:w="945" w:type="dxa"/>
            <w:vAlign w:val="top"/>
          </w:tcPr>
          <w:p w14:paraId="60C28F2C">
            <w:pPr>
              <w:pStyle w:val="11"/>
              <w:spacing w:before="304" w:line="221" w:lineRule="auto"/>
              <w:ind w:left="158"/>
            </w:pPr>
            <w:r>
              <w:rPr>
                <w:spacing w:val="-1"/>
                <w14:textOutline w14:w="3831" w14:cap="flat" w14:cmpd="sng">
                  <w14:solidFill>
                    <w14:srgbClr w14:val="000000"/>
                  </w14:solidFill>
                  <w14:prstDash w14:val="solid"/>
                  <w14:miter w14:val="0"/>
                </w14:textOutline>
              </w:rPr>
              <w:t>评标基</w:t>
            </w:r>
          </w:p>
          <w:p w14:paraId="67ED39CB">
            <w:pPr>
              <w:pStyle w:val="11"/>
              <w:spacing w:before="17" w:line="219" w:lineRule="auto"/>
              <w:ind w:left="266"/>
            </w:pPr>
            <w:r>
              <w:rPr>
                <w:spacing w:val="-2"/>
                <w14:textOutline w14:w="3831" w14:cap="flat" w14:cmpd="sng">
                  <w14:solidFill>
                    <w14:srgbClr w14:val="000000"/>
                  </w14:solidFill>
                  <w14:prstDash w14:val="solid"/>
                  <w14:miter w14:val="0"/>
                </w14:textOutline>
              </w:rPr>
              <w:t>准价</w:t>
            </w:r>
          </w:p>
        </w:tc>
        <w:tc>
          <w:tcPr>
            <w:tcW w:w="839" w:type="dxa"/>
            <w:vAlign w:val="top"/>
          </w:tcPr>
          <w:p w14:paraId="30665583">
            <w:pPr>
              <w:pStyle w:val="11"/>
              <w:spacing w:before="303" w:line="221" w:lineRule="auto"/>
              <w:ind w:left="213"/>
            </w:pPr>
            <w:r>
              <w:rPr>
                <w:spacing w:val="-2"/>
                <w14:textOutline w14:w="3831" w14:cap="flat" w14:cmpd="sng">
                  <w14:solidFill>
                    <w14:srgbClr w14:val="000000"/>
                  </w14:solidFill>
                  <w14:prstDash w14:val="solid"/>
                  <w14:miter w14:val="0"/>
                </w14:textOutline>
              </w:rPr>
              <w:t>偏差</w:t>
            </w:r>
          </w:p>
          <w:p w14:paraId="302CF567">
            <w:pPr>
              <w:pStyle w:val="11"/>
              <w:spacing w:before="17" w:line="221" w:lineRule="auto"/>
              <w:ind w:left="320"/>
            </w:pPr>
            <w:r>
              <w:rPr>
                <w14:textOutline w14:w="3831" w14:cap="flat" w14:cmpd="sng">
                  <w14:solidFill>
                    <w14:srgbClr w14:val="000000"/>
                  </w14:solidFill>
                  <w14:prstDash w14:val="solid"/>
                  <w14:miter w14:val="0"/>
                </w14:textOutline>
              </w:rPr>
              <w:t>率</w:t>
            </w:r>
          </w:p>
        </w:tc>
        <w:tc>
          <w:tcPr>
            <w:tcW w:w="845" w:type="dxa"/>
            <w:vAlign w:val="top"/>
          </w:tcPr>
          <w:p w14:paraId="1CD57FC7">
            <w:pPr>
              <w:pStyle w:val="11"/>
              <w:spacing w:before="30" w:line="241" w:lineRule="auto"/>
              <w:ind w:left="219"/>
            </w:pPr>
            <w:r>
              <w:rPr>
                <w:spacing w:val="-2"/>
                <w14:textOutline w14:w="3831" w14:cap="flat" w14:cmpd="sng">
                  <w14:solidFill>
                    <w14:srgbClr w14:val="000000"/>
                  </w14:solidFill>
                  <w14:prstDash w14:val="solid"/>
                  <w14:miter w14:val="0"/>
                </w14:textOutline>
              </w:rPr>
              <w:t>计算</w:t>
            </w:r>
          </w:p>
          <w:p w14:paraId="20234F20">
            <w:pPr>
              <w:pStyle w:val="11"/>
              <w:spacing w:line="221" w:lineRule="auto"/>
              <w:ind w:left="222"/>
            </w:pPr>
            <w:r>
              <w:rPr>
                <w:spacing w:val="-3"/>
                <w14:textOutline w14:w="3831" w14:cap="flat" w14:cmpd="sng">
                  <w14:solidFill>
                    <w14:srgbClr w14:val="000000"/>
                  </w14:solidFill>
                  <w14:prstDash w14:val="solid"/>
                  <w14:miter w14:val="0"/>
                </w14:textOutline>
              </w:rPr>
              <w:t>投标</w:t>
            </w:r>
          </w:p>
          <w:p w14:paraId="105F0BDC">
            <w:pPr>
              <w:pStyle w:val="11"/>
              <w:spacing w:before="17" w:line="219" w:lineRule="auto"/>
              <w:ind w:left="218"/>
            </w:pPr>
            <w:r>
              <w:rPr>
                <w:spacing w:val="-2"/>
                <w14:textOutline w14:w="3831" w14:cap="flat" w14:cmpd="sng">
                  <w14:solidFill>
                    <w14:srgbClr w14:val="000000"/>
                  </w14:solidFill>
                  <w14:prstDash w14:val="solid"/>
                  <w14:miter w14:val="0"/>
                </w14:textOutline>
              </w:rPr>
              <w:t>报价</w:t>
            </w:r>
          </w:p>
          <w:p w14:paraId="535FF726">
            <w:pPr>
              <w:pStyle w:val="11"/>
              <w:spacing w:before="24" w:line="209" w:lineRule="auto"/>
              <w:ind w:left="220"/>
            </w:pPr>
            <w:r>
              <w:rPr>
                <w:spacing w:val="-2"/>
                <w14:textOutline w14:w="3831" w14:cap="flat" w14:cmpd="sng">
                  <w14:solidFill>
                    <w14:srgbClr w14:val="000000"/>
                  </w14:solidFill>
                  <w14:prstDash w14:val="solid"/>
                  <w14:miter w14:val="0"/>
                </w14:textOutline>
              </w:rPr>
              <w:t>得分</w:t>
            </w:r>
          </w:p>
        </w:tc>
        <w:tc>
          <w:tcPr>
            <w:tcW w:w="1531" w:type="dxa"/>
            <w:vAlign w:val="top"/>
          </w:tcPr>
          <w:p w14:paraId="1EA94B01">
            <w:pPr>
              <w:pStyle w:val="11"/>
              <w:spacing w:before="163" w:line="231" w:lineRule="auto"/>
              <w:ind w:left="555" w:right="129" w:hanging="415"/>
            </w:pPr>
            <w:r>
              <w:rPr>
                <w:spacing w:val="-1"/>
                <w14:textOutline w14:w="3831" w14:cap="flat" w14:cmpd="sng">
                  <w14:solidFill>
                    <w14:srgbClr w14:val="000000"/>
                  </w14:solidFill>
                  <w14:prstDash w14:val="solid"/>
                  <w14:miter w14:val="0"/>
                </w14:textOutline>
              </w:rPr>
              <w:t>投标报价最终</w:t>
            </w:r>
            <w:r>
              <w:rPr>
                <w:spacing w:val="1"/>
              </w:rPr>
              <w:t xml:space="preserve"> </w:t>
            </w:r>
            <w:r>
              <w:rPr>
                <w:spacing w:val="-2"/>
                <w14:textOutline w14:w="3831" w14:cap="flat" w14:cmpd="sng">
                  <w14:solidFill>
                    <w14:srgbClr w14:val="000000"/>
                  </w14:solidFill>
                  <w14:prstDash w14:val="solid"/>
                  <w14:miter w14:val="0"/>
                </w14:textOutline>
              </w:rPr>
              <w:t>得分</w:t>
            </w:r>
          </w:p>
          <w:p w14:paraId="065F289F">
            <w:pPr>
              <w:pStyle w:val="11"/>
              <w:spacing w:before="22" w:line="221" w:lineRule="auto"/>
              <w:ind w:left="139"/>
            </w:pPr>
            <w:r>
              <w:rPr>
                <w:spacing w:val="-6"/>
                <w14:textOutline w14:w="3831" w14:cap="flat" w14:cmpd="sng">
                  <w14:solidFill>
                    <w14:srgbClr w14:val="000000"/>
                  </w14:solidFill>
                  <w14:prstDash w14:val="solid"/>
                  <w14:miter w14:val="0"/>
                </w14:textOutline>
              </w:rPr>
              <w:t>（满分</w:t>
            </w:r>
            <w:r>
              <w:rPr>
                <w:spacing w:val="10"/>
              </w:rPr>
              <w:t xml:space="preserve">  </w:t>
            </w:r>
            <w:r>
              <w:rPr>
                <w:spacing w:val="-6"/>
                <w14:textOutline w14:w="3831" w14:cap="flat" w14:cmpd="sng">
                  <w14:solidFill>
                    <w14:srgbClr w14:val="000000"/>
                  </w14:solidFill>
                  <w14:prstDash w14:val="solid"/>
                  <w14:miter w14:val="0"/>
                </w14:textOutline>
              </w:rPr>
              <w:t>分）</w:t>
            </w:r>
          </w:p>
        </w:tc>
      </w:tr>
      <w:tr w14:paraId="1F762C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581" w:type="dxa"/>
            <w:vAlign w:val="top"/>
          </w:tcPr>
          <w:p w14:paraId="2F20110C">
            <w:pPr>
              <w:spacing w:before="158" w:line="189" w:lineRule="auto"/>
              <w:ind w:left="255"/>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1334" w:type="dxa"/>
            <w:vAlign w:val="top"/>
          </w:tcPr>
          <w:p w14:paraId="0180CEBC">
            <w:pPr>
              <w:rPr>
                <w:rFonts w:ascii="Arial"/>
                <w:sz w:val="21"/>
              </w:rPr>
            </w:pPr>
          </w:p>
        </w:tc>
        <w:tc>
          <w:tcPr>
            <w:tcW w:w="701" w:type="dxa"/>
            <w:vAlign w:val="top"/>
          </w:tcPr>
          <w:p w14:paraId="02A971D1">
            <w:pPr>
              <w:rPr>
                <w:rFonts w:ascii="Arial"/>
                <w:sz w:val="21"/>
              </w:rPr>
            </w:pPr>
          </w:p>
        </w:tc>
        <w:tc>
          <w:tcPr>
            <w:tcW w:w="993" w:type="dxa"/>
            <w:vAlign w:val="top"/>
          </w:tcPr>
          <w:p w14:paraId="4D7AC9CE">
            <w:pPr>
              <w:rPr>
                <w:rFonts w:ascii="Arial"/>
                <w:sz w:val="21"/>
              </w:rPr>
            </w:pPr>
          </w:p>
        </w:tc>
        <w:tc>
          <w:tcPr>
            <w:tcW w:w="739" w:type="dxa"/>
            <w:vAlign w:val="top"/>
          </w:tcPr>
          <w:p w14:paraId="5C56B851">
            <w:pPr>
              <w:rPr>
                <w:rFonts w:ascii="Arial"/>
                <w:sz w:val="21"/>
              </w:rPr>
            </w:pPr>
          </w:p>
        </w:tc>
        <w:tc>
          <w:tcPr>
            <w:tcW w:w="945" w:type="dxa"/>
            <w:vMerge w:val="restart"/>
            <w:tcBorders>
              <w:bottom w:val="nil"/>
            </w:tcBorders>
            <w:vAlign w:val="top"/>
          </w:tcPr>
          <w:p w14:paraId="486A3475">
            <w:pPr>
              <w:rPr>
                <w:rFonts w:ascii="Arial"/>
                <w:sz w:val="21"/>
              </w:rPr>
            </w:pPr>
          </w:p>
        </w:tc>
        <w:tc>
          <w:tcPr>
            <w:tcW w:w="839" w:type="dxa"/>
            <w:vAlign w:val="top"/>
          </w:tcPr>
          <w:p w14:paraId="3E143DBE">
            <w:pPr>
              <w:rPr>
                <w:rFonts w:ascii="Arial"/>
                <w:sz w:val="21"/>
              </w:rPr>
            </w:pPr>
          </w:p>
        </w:tc>
        <w:tc>
          <w:tcPr>
            <w:tcW w:w="845" w:type="dxa"/>
            <w:vAlign w:val="top"/>
          </w:tcPr>
          <w:p w14:paraId="7AC94774">
            <w:pPr>
              <w:rPr>
                <w:rFonts w:ascii="Arial"/>
                <w:sz w:val="21"/>
              </w:rPr>
            </w:pPr>
          </w:p>
        </w:tc>
        <w:tc>
          <w:tcPr>
            <w:tcW w:w="1531" w:type="dxa"/>
            <w:vAlign w:val="top"/>
          </w:tcPr>
          <w:p w14:paraId="7879B45B">
            <w:pPr>
              <w:rPr>
                <w:rFonts w:ascii="Arial"/>
                <w:sz w:val="21"/>
              </w:rPr>
            </w:pPr>
          </w:p>
        </w:tc>
      </w:tr>
      <w:tr w14:paraId="63BAD3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1" w:hRule="atLeast"/>
        </w:trPr>
        <w:tc>
          <w:tcPr>
            <w:tcW w:w="581" w:type="dxa"/>
            <w:vAlign w:val="top"/>
          </w:tcPr>
          <w:p w14:paraId="4D0BEFA5">
            <w:pPr>
              <w:pStyle w:val="11"/>
              <w:spacing w:before="95" w:line="182" w:lineRule="auto"/>
              <w:ind w:left="241"/>
            </w:pPr>
            <w:r>
              <w:t>2</w:t>
            </w:r>
          </w:p>
        </w:tc>
        <w:tc>
          <w:tcPr>
            <w:tcW w:w="1334" w:type="dxa"/>
            <w:vAlign w:val="top"/>
          </w:tcPr>
          <w:p w14:paraId="5FE9254B">
            <w:pPr>
              <w:rPr>
                <w:rFonts w:ascii="Arial"/>
                <w:sz w:val="21"/>
              </w:rPr>
            </w:pPr>
          </w:p>
        </w:tc>
        <w:tc>
          <w:tcPr>
            <w:tcW w:w="701" w:type="dxa"/>
            <w:vAlign w:val="top"/>
          </w:tcPr>
          <w:p w14:paraId="6F420042">
            <w:pPr>
              <w:rPr>
                <w:rFonts w:ascii="Arial"/>
                <w:sz w:val="21"/>
              </w:rPr>
            </w:pPr>
          </w:p>
        </w:tc>
        <w:tc>
          <w:tcPr>
            <w:tcW w:w="993" w:type="dxa"/>
            <w:vAlign w:val="top"/>
          </w:tcPr>
          <w:p w14:paraId="0321120D">
            <w:pPr>
              <w:rPr>
                <w:rFonts w:ascii="Arial"/>
                <w:sz w:val="21"/>
              </w:rPr>
            </w:pPr>
          </w:p>
        </w:tc>
        <w:tc>
          <w:tcPr>
            <w:tcW w:w="739" w:type="dxa"/>
            <w:vAlign w:val="top"/>
          </w:tcPr>
          <w:p w14:paraId="60E74BB6">
            <w:pPr>
              <w:rPr>
                <w:rFonts w:ascii="Arial"/>
                <w:sz w:val="21"/>
              </w:rPr>
            </w:pPr>
          </w:p>
        </w:tc>
        <w:tc>
          <w:tcPr>
            <w:tcW w:w="945" w:type="dxa"/>
            <w:vMerge w:val="continue"/>
            <w:tcBorders>
              <w:top w:val="nil"/>
              <w:bottom w:val="nil"/>
            </w:tcBorders>
            <w:vAlign w:val="top"/>
          </w:tcPr>
          <w:p w14:paraId="70BADA6B">
            <w:pPr>
              <w:rPr>
                <w:rFonts w:ascii="Arial"/>
                <w:sz w:val="21"/>
              </w:rPr>
            </w:pPr>
          </w:p>
        </w:tc>
        <w:tc>
          <w:tcPr>
            <w:tcW w:w="839" w:type="dxa"/>
            <w:vAlign w:val="top"/>
          </w:tcPr>
          <w:p w14:paraId="17B7194B">
            <w:pPr>
              <w:rPr>
                <w:rFonts w:ascii="Arial"/>
                <w:sz w:val="21"/>
              </w:rPr>
            </w:pPr>
          </w:p>
        </w:tc>
        <w:tc>
          <w:tcPr>
            <w:tcW w:w="845" w:type="dxa"/>
            <w:vAlign w:val="top"/>
          </w:tcPr>
          <w:p w14:paraId="3F13F6D2">
            <w:pPr>
              <w:rPr>
                <w:rFonts w:ascii="Arial"/>
                <w:sz w:val="21"/>
              </w:rPr>
            </w:pPr>
          </w:p>
        </w:tc>
        <w:tc>
          <w:tcPr>
            <w:tcW w:w="1531" w:type="dxa"/>
            <w:vAlign w:val="top"/>
          </w:tcPr>
          <w:p w14:paraId="25CF4F46">
            <w:pPr>
              <w:rPr>
                <w:rFonts w:ascii="Arial"/>
                <w:sz w:val="21"/>
              </w:rPr>
            </w:pPr>
          </w:p>
        </w:tc>
      </w:tr>
      <w:tr w14:paraId="1CC45E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581" w:type="dxa"/>
            <w:vAlign w:val="top"/>
          </w:tcPr>
          <w:p w14:paraId="4A605A25">
            <w:pPr>
              <w:spacing w:before="169" w:line="189" w:lineRule="auto"/>
              <w:ind w:left="239"/>
              <w:rPr>
                <w:rFonts w:ascii="Times New Roman" w:hAnsi="Times New Roman" w:eastAsia="Times New Roman" w:cs="Times New Roman"/>
                <w:sz w:val="21"/>
                <w:szCs w:val="21"/>
              </w:rPr>
            </w:pPr>
            <w:r>
              <w:rPr>
                <w:rFonts w:ascii="Times New Roman" w:hAnsi="Times New Roman" w:eastAsia="Times New Roman" w:cs="Times New Roman"/>
                <w:sz w:val="21"/>
                <w:szCs w:val="21"/>
              </w:rPr>
              <w:t>3</w:t>
            </w:r>
          </w:p>
        </w:tc>
        <w:tc>
          <w:tcPr>
            <w:tcW w:w="1334" w:type="dxa"/>
            <w:vAlign w:val="top"/>
          </w:tcPr>
          <w:p w14:paraId="495D1A11">
            <w:pPr>
              <w:rPr>
                <w:rFonts w:ascii="Arial"/>
                <w:sz w:val="21"/>
              </w:rPr>
            </w:pPr>
          </w:p>
        </w:tc>
        <w:tc>
          <w:tcPr>
            <w:tcW w:w="701" w:type="dxa"/>
            <w:vAlign w:val="top"/>
          </w:tcPr>
          <w:p w14:paraId="749754D8">
            <w:pPr>
              <w:rPr>
                <w:rFonts w:ascii="Arial"/>
                <w:sz w:val="21"/>
              </w:rPr>
            </w:pPr>
          </w:p>
        </w:tc>
        <w:tc>
          <w:tcPr>
            <w:tcW w:w="993" w:type="dxa"/>
            <w:vAlign w:val="top"/>
          </w:tcPr>
          <w:p w14:paraId="19894CBC">
            <w:pPr>
              <w:rPr>
                <w:rFonts w:ascii="Arial"/>
                <w:sz w:val="21"/>
              </w:rPr>
            </w:pPr>
          </w:p>
        </w:tc>
        <w:tc>
          <w:tcPr>
            <w:tcW w:w="739" w:type="dxa"/>
            <w:vAlign w:val="top"/>
          </w:tcPr>
          <w:p w14:paraId="57D1D3CB">
            <w:pPr>
              <w:rPr>
                <w:rFonts w:ascii="Arial"/>
                <w:sz w:val="21"/>
              </w:rPr>
            </w:pPr>
          </w:p>
        </w:tc>
        <w:tc>
          <w:tcPr>
            <w:tcW w:w="945" w:type="dxa"/>
            <w:vMerge w:val="continue"/>
            <w:tcBorders>
              <w:top w:val="nil"/>
              <w:bottom w:val="nil"/>
            </w:tcBorders>
            <w:vAlign w:val="top"/>
          </w:tcPr>
          <w:p w14:paraId="2C17BD0C">
            <w:pPr>
              <w:rPr>
                <w:rFonts w:ascii="Arial"/>
                <w:sz w:val="21"/>
              </w:rPr>
            </w:pPr>
          </w:p>
        </w:tc>
        <w:tc>
          <w:tcPr>
            <w:tcW w:w="839" w:type="dxa"/>
            <w:vAlign w:val="top"/>
          </w:tcPr>
          <w:p w14:paraId="5000A73D">
            <w:pPr>
              <w:rPr>
                <w:rFonts w:ascii="Arial"/>
                <w:sz w:val="21"/>
              </w:rPr>
            </w:pPr>
          </w:p>
        </w:tc>
        <w:tc>
          <w:tcPr>
            <w:tcW w:w="845" w:type="dxa"/>
            <w:vAlign w:val="top"/>
          </w:tcPr>
          <w:p w14:paraId="5AD1B488">
            <w:pPr>
              <w:rPr>
                <w:rFonts w:ascii="Arial"/>
                <w:sz w:val="21"/>
              </w:rPr>
            </w:pPr>
          </w:p>
        </w:tc>
        <w:tc>
          <w:tcPr>
            <w:tcW w:w="1531" w:type="dxa"/>
            <w:vAlign w:val="top"/>
          </w:tcPr>
          <w:p w14:paraId="71B9E0CC">
            <w:pPr>
              <w:rPr>
                <w:rFonts w:ascii="Arial"/>
                <w:sz w:val="21"/>
              </w:rPr>
            </w:pPr>
          </w:p>
        </w:tc>
      </w:tr>
      <w:tr w14:paraId="70A8F3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5" w:hRule="atLeast"/>
        </w:trPr>
        <w:tc>
          <w:tcPr>
            <w:tcW w:w="581" w:type="dxa"/>
            <w:vAlign w:val="top"/>
          </w:tcPr>
          <w:p w14:paraId="177E46A3">
            <w:pPr>
              <w:pStyle w:val="11"/>
              <w:spacing w:before="168" w:line="182" w:lineRule="auto"/>
              <w:ind w:left="238"/>
            </w:pPr>
            <w:r>
              <w:t>4</w:t>
            </w:r>
          </w:p>
        </w:tc>
        <w:tc>
          <w:tcPr>
            <w:tcW w:w="1334" w:type="dxa"/>
            <w:vAlign w:val="top"/>
          </w:tcPr>
          <w:p w14:paraId="78FA29C7">
            <w:pPr>
              <w:rPr>
                <w:rFonts w:ascii="Arial"/>
                <w:sz w:val="21"/>
              </w:rPr>
            </w:pPr>
          </w:p>
        </w:tc>
        <w:tc>
          <w:tcPr>
            <w:tcW w:w="701" w:type="dxa"/>
            <w:vAlign w:val="top"/>
          </w:tcPr>
          <w:p w14:paraId="2F23DEDB">
            <w:pPr>
              <w:rPr>
                <w:rFonts w:ascii="Arial"/>
                <w:sz w:val="21"/>
              </w:rPr>
            </w:pPr>
          </w:p>
        </w:tc>
        <w:tc>
          <w:tcPr>
            <w:tcW w:w="993" w:type="dxa"/>
            <w:vAlign w:val="top"/>
          </w:tcPr>
          <w:p w14:paraId="6953E73F">
            <w:pPr>
              <w:rPr>
                <w:rFonts w:ascii="Arial"/>
                <w:sz w:val="21"/>
              </w:rPr>
            </w:pPr>
          </w:p>
        </w:tc>
        <w:tc>
          <w:tcPr>
            <w:tcW w:w="739" w:type="dxa"/>
            <w:vAlign w:val="top"/>
          </w:tcPr>
          <w:p w14:paraId="7683ADF4">
            <w:pPr>
              <w:rPr>
                <w:rFonts w:ascii="Arial"/>
                <w:sz w:val="21"/>
              </w:rPr>
            </w:pPr>
          </w:p>
        </w:tc>
        <w:tc>
          <w:tcPr>
            <w:tcW w:w="945" w:type="dxa"/>
            <w:vMerge w:val="continue"/>
            <w:tcBorders>
              <w:top w:val="nil"/>
              <w:bottom w:val="nil"/>
            </w:tcBorders>
            <w:vAlign w:val="top"/>
          </w:tcPr>
          <w:p w14:paraId="7EACDF8E">
            <w:pPr>
              <w:rPr>
                <w:rFonts w:ascii="Arial"/>
                <w:sz w:val="21"/>
              </w:rPr>
            </w:pPr>
          </w:p>
        </w:tc>
        <w:tc>
          <w:tcPr>
            <w:tcW w:w="839" w:type="dxa"/>
            <w:vAlign w:val="top"/>
          </w:tcPr>
          <w:p w14:paraId="5B2E5C34">
            <w:pPr>
              <w:rPr>
                <w:rFonts w:ascii="Arial"/>
                <w:sz w:val="21"/>
              </w:rPr>
            </w:pPr>
          </w:p>
        </w:tc>
        <w:tc>
          <w:tcPr>
            <w:tcW w:w="845" w:type="dxa"/>
            <w:vAlign w:val="top"/>
          </w:tcPr>
          <w:p w14:paraId="778BA067">
            <w:pPr>
              <w:rPr>
                <w:rFonts w:ascii="Arial"/>
                <w:sz w:val="21"/>
              </w:rPr>
            </w:pPr>
          </w:p>
        </w:tc>
        <w:tc>
          <w:tcPr>
            <w:tcW w:w="1531" w:type="dxa"/>
            <w:vAlign w:val="top"/>
          </w:tcPr>
          <w:p w14:paraId="4B1EE66B">
            <w:pPr>
              <w:rPr>
                <w:rFonts w:ascii="Arial"/>
                <w:sz w:val="21"/>
              </w:rPr>
            </w:pPr>
          </w:p>
        </w:tc>
      </w:tr>
      <w:tr w14:paraId="48A126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581" w:type="dxa"/>
            <w:vAlign w:val="top"/>
          </w:tcPr>
          <w:p w14:paraId="277AAA4D">
            <w:pPr>
              <w:spacing w:before="167" w:line="186" w:lineRule="auto"/>
              <w:ind w:left="240"/>
              <w:rPr>
                <w:rFonts w:ascii="Times New Roman" w:hAnsi="Times New Roman" w:eastAsia="Times New Roman" w:cs="Times New Roman"/>
                <w:sz w:val="21"/>
                <w:szCs w:val="21"/>
              </w:rPr>
            </w:pPr>
            <w:r>
              <w:rPr>
                <w:rFonts w:ascii="Times New Roman" w:hAnsi="Times New Roman" w:eastAsia="Times New Roman" w:cs="Times New Roman"/>
                <w:sz w:val="21"/>
                <w:szCs w:val="21"/>
              </w:rPr>
              <w:t>5</w:t>
            </w:r>
          </w:p>
        </w:tc>
        <w:tc>
          <w:tcPr>
            <w:tcW w:w="1334" w:type="dxa"/>
            <w:vAlign w:val="top"/>
          </w:tcPr>
          <w:p w14:paraId="118F2BE7">
            <w:pPr>
              <w:rPr>
                <w:rFonts w:ascii="Arial"/>
                <w:sz w:val="21"/>
              </w:rPr>
            </w:pPr>
          </w:p>
        </w:tc>
        <w:tc>
          <w:tcPr>
            <w:tcW w:w="701" w:type="dxa"/>
            <w:vAlign w:val="top"/>
          </w:tcPr>
          <w:p w14:paraId="6378E75C">
            <w:pPr>
              <w:rPr>
                <w:rFonts w:ascii="Arial"/>
                <w:sz w:val="21"/>
              </w:rPr>
            </w:pPr>
          </w:p>
        </w:tc>
        <w:tc>
          <w:tcPr>
            <w:tcW w:w="993" w:type="dxa"/>
            <w:vAlign w:val="top"/>
          </w:tcPr>
          <w:p w14:paraId="01BF0808">
            <w:pPr>
              <w:rPr>
                <w:rFonts w:ascii="Arial"/>
                <w:sz w:val="21"/>
              </w:rPr>
            </w:pPr>
          </w:p>
        </w:tc>
        <w:tc>
          <w:tcPr>
            <w:tcW w:w="739" w:type="dxa"/>
            <w:vAlign w:val="top"/>
          </w:tcPr>
          <w:p w14:paraId="4FC8FC52">
            <w:pPr>
              <w:rPr>
                <w:rFonts w:ascii="Arial"/>
                <w:sz w:val="21"/>
              </w:rPr>
            </w:pPr>
          </w:p>
        </w:tc>
        <w:tc>
          <w:tcPr>
            <w:tcW w:w="945" w:type="dxa"/>
            <w:vMerge w:val="continue"/>
            <w:tcBorders>
              <w:top w:val="nil"/>
              <w:bottom w:val="nil"/>
            </w:tcBorders>
            <w:vAlign w:val="top"/>
          </w:tcPr>
          <w:p w14:paraId="26ED6927">
            <w:pPr>
              <w:rPr>
                <w:rFonts w:ascii="Arial"/>
                <w:sz w:val="21"/>
              </w:rPr>
            </w:pPr>
          </w:p>
        </w:tc>
        <w:tc>
          <w:tcPr>
            <w:tcW w:w="839" w:type="dxa"/>
            <w:vAlign w:val="top"/>
          </w:tcPr>
          <w:p w14:paraId="4FA75C57">
            <w:pPr>
              <w:rPr>
                <w:rFonts w:ascii="Arial"/>
                <w:sz w:val="21"/>
              </w:rPr>
            </w:pPr>
          </w:p>
        </w:tc>
        <w:tc>
          <w:tcPr>
            <w:tcW w:w="845" w:type="dxa"/>
            <w:vAlign w:val="top"/>
          </w:tcPr>
          <w:p w14:paraId="520AD4D4">
            <w:pPr>
              <w:rPr>
                <w:rFonts w:ascii="Arial"/>
                <w:sz w:val="21"/>
              </w:rPr>
            </w:pPr>
          </w:p>
        </w:tc>
        <w:tc>
          <w:tcPr>
            <w:tcW w:w="1531" w:type="dxa"/>
            <w:vAlign w:val="top"/>
          </w:tcPr>
          <w:p w14:paraId="451B22C3">
            <w:pPr>
              <w:rPr>
                <w:rFonts w:ascii="Arial"/>
                <w:sz w:val="21"/>
              </w:rPr>
            </w:pPr>
          </w:p>
        </w:tc>
      </w:tr>
      <w:tr w14:paraId="35F303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581" w:type="dxa"/>
            <w:vAlign w:val="top"/>
          </w:tcPr>
          <w:p w14:paraId="087F260F">
            <w:pPr>
              <w:spacing w:before="165" w:line="189" w:lineRule="auto"/>
              <w:ind w:left="239"/>
              <w:rPr>
                <w:rFonts w:ascii="Times New Roman" w:hAnsi="Times New Roman" w:eastAsia="Times New Roman" w:cs="Times New Roman"/>
                <w:sz w:val="21"/>
                <w:szCs w:val="21"/>
              </w:rPr>
            </w:pPr>
            <w:r>
              <w:rPr>
                <w:rFonts w:ascii="Times New Roman" w:hAnsi="Times New Roman" w:eastAsia="Times New Roman" w:cs="Times New Roman"/>
                <w:sz w:val="21"/>
                <w:szCs w:val="21"/>
              </w:rPr>
              <w:t>6</w:t>
            </w:r>
          </w:p>
        </w:tc>
        <w:tc>
          <w:tcPr>
            <w:tcW w:w="1334" w:type="dxa"/>
            <w:vAlign w:val="top"/>
          </w:tcPr>
          <w:p w14:paraId="58817EA8">
            <w:pPr>
              <w:rPr>
                <w:rFonts w:ascii="Arial"/>
                <w:sz w:val="21"/>
              </w:rPr>
            </w:pPr>
          </w:p>
        </w:tc>
        <w:tc>
          <w:tcPr>
            <w:tcW w:w="701" w:type="dxa"/>
            <w:vAlign w:val="top"/>
          </w:tcPr>
          <w:p w14:paraId="209B7334">
            <w:pPr>
              <w:rPr>
                <w:rFonts w:ascii="Arial"/>
                <w:sz w:val="21"/>
              </w:rPr>
            </w:pPr>
          </w:p>
        </w:tc>
        <w:tc>
          <w:tcPr>
            <w:tcW w:w="993" w:type="dxa"/>
            <w:vAlign w:val="top"/>
          </w:tcPr>
          <w:p w14:paraId="45739072">
            <w:pPr>
              <w:rPr>
                <w:rFonts w:ascii="Arial"/>
                <w:sz w:val="21"/>
              </w:rPr>
            </w:pPr>
          </w:p>
        </w:tc>
        <w:tc>
          <w:tcPr>
            <w:tcW w:w="739" w:type="dxa"/>
            <w:vAlign w:val="top"/>
          </w:tcPr>
          <w:p w14:paraId="5B144A88">
            <w:pPr>
              <w:rPr>
                <w:rFonts w:ascii="Arial"/>
                <w:sz w:val="21"/>
              </w:rPr>
            </w:pPr>
          </w:p>
        </w:tc>
        <w:tc>
          <w:tcPr>
            <w:tcW w:w="945" w:type="dxa"/>
            <w:vMerge w:val="continue"/>
            <w:tcBorders>
              <w:top w:val="nil"/>
              <w:bottom w:val="nil"/>
            </w:tcBorders>
            <w:vAlign w:val="top"/>
          </w:tcPr>
          <w:p w14:paraId="74BC8573">
            <w:pPr>
              <w:rPr>
                <w:rFonts w:ascii="Arial"/>
                <w:sz w:val="21"/>
              </w:rPr>
            </w:pPr>
          </w:p>
        </w:tc>
        <w:tc>
          <w:tcPr>
            <w:tcW w:w="839" w:type="dxa"/>
            <w:vAlign w:val="top"/>
          </w:tcPr>
          <w:p w14:paraId="130019C0">
            <w:pPr>
              <w:rPr>
                <w:rFonts w:ascii="Arial"/>
                <w:sz w:val="21"/>
              </w:rPr>
            </w:pPr>
          </w:p>
        </w:tc>
        <w:tc>
          <w:tcPr>
            <w:tcW w:w="845" w:type="dxa"/>
            <w:vAlign w:val="top"/>
          </w:tcPr>
          <w:p w14:paraId="47E86A92">
            <w:pPr>
              <w:rPr>
                <w:rFonts w:ascii="Arial"/>
                <w:sz w:val="21"/>
              </w:rPr>
            </w:pPr>
          </w:p>
        </w:tc>
        <w:tc>
          <w:tcPr>
            <w:tcW w:w="1531" w:type="dxa"/>
            <w:vAlign w:val="top"/>
          </w:tcPr>
          <w:p w14:paraId="155DB87C">
            <w:pPr>
              <w:rPr>
                <w:rFonts w:ascii="Arial"/>
                <w:sz w:val="21"/>
              </w:rPr>
            </w:pPr>
          </w:p>
        </w:tc>
      </w:tr>
      <w:tr w14:paraId="6C43CE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5" w:hRule="atLeast"/>
        </w:trPr>
        <w:tc>
          <w:tcPr>
            <w:tcW w:w="581" w:type="dxa"/>
            <w:vAlign w:val="top"/>
          </w:tcPr>
          <w:p w14:paraId="7A0F1A2B">
            <w:pPr>
              <w:pStyle w:val="11"/>
              <w:spacing w:before="129" w:line="332" w:lineRule="exact"/>
              <w:ind w:left="199"/>
            </w:pPr>
            <w:r>
              <w:rPr>
                <w:position w:val="2"/>
              </w:rPr>
              <w:t>…</w:t>
            </w:r>
          </w:p>
        </w:tc>
        <w:tc>
          <w:tcPr>
            <w:tcW w:w="1334" w:type="dxa"/>
            <w:vAlign w:val="top"/>
          </w:tcPr>
          <w:p w14:paraId="4F739EA1">
            <w:pPr>
              <w:rPr>
                <w:rFonts w:ascii="Arial"/>
                <w:sz w:val="21"/>
              </w:rPr>
            </w:pPr>
          </w:p>
        </w:tc>
        <w:tc>
          <w:tcPr>
            <w:tcW w:w="701" w:type="dxa"/>
            <w:vAlign w:val="top"/>
          </w:tcPr>
          <w:p w14:paraId="6E49B194">
            <w:pPr>
              <w:rPr>
                <w:rFonts w:ascii="Arial"/>
                <w:sz w:val="21"/>
              </w:rPr>
            </w:pPr>
          </w:p>
        </w:tc>
        <w:tc>
          <w:tcPr>
            <w:tcW w:w="993" w:type="dxa"/>
            <w:vAlign w:val="top"/>
          </w:tcPr>
          <w:p w14:paraId="61E7D324">
            <w:pPr>
              <w:rPr>
                <w:rFonts w:ascii="Arial"/>
                <w:sz w:val="21"/>
              </w:rPr>
            </w:pPr>
          </w:p>
        </w:tc>
        <w:tc>
          <w:tcPr>
            <w:tcW w:w="739" w:type="dxa"/>
            <w:vAlign w:val="top"/>
          </w:tcPr>
          <w:p w14:paraId="1C352273">
            <w:pPr>
              <w:rPr>
                <w:rFonts w:ascii="Arial"/>
                <w:sz w:val="21"/>
              </w:rPr>
            </w:pPr>
          </w:p>
        </w:tc>
        <w:tc>
          <w:tcPr>
            <w:tcW w:w="945" w:type="dxa"/>
            <w:vMerge w:val="continue"/>
            <w:tcBorders>
              <w:top w:val="nil"/>
            </w:tcBorders>
            <w:vAlign w:val="top"/>
          </w:tcPr>
          <w:p w14:paraId="49E9B5F0">
            <w:pPr>
              <w:rPr>
                <w:rFonts w:ascii="Arial"/>
                <w:sz w:val="21"/>
              </w:rPr>
            </w:pPr>
          </w:p>
        </w:tc>
        <w:tc>
          <w:tcPr>
            <w:tcW w:w="839" w:type="dxa"/>
            <w:vAlign w:val="top"/>
          </w:tcPr>
          <w:p w14:paraId="448F3085">
            <w:pPr>
              <w:rPr>
                <w:rFonts w:ascii="Arial"/>
                <w:sz w:val="21"/>
              </w:rPr>
            </w:pPr>
          </w:p>
        </w:tc>
        <w:tc>
          <w:tcPr>
            <w:tcW w:w="845" w:type="dxa"/>
            <w:vAlign w:val="top"/>
          </w:tcPr>
          <w:p w14:paraId="5B7A0F20">
            <w:pPr>
              <w:rPr>
                <w:rFonts w:ascii="Arial"/>
                <w:sz w:val="21"/>
              </w:rPr>
            </w:pPr>
          </w:p>
        </w:tc>
        <w:tc>
          <w:tcPr>
            <w:tcW w:w="1531" w:type="dxa"/>
            <w:vAlign w:val="top"/>
          </w:tcPr>
          <w:p w14:paraId="01A7D189">
            <w:pPr>
              <w:rPr>
                <w:rFonts w:ascii="Arial"/>
                <w:sz w:val="21"/>
              </w:rPr>
            </w:pPr>
          </w:p>
        </w:tc>
      </w:tr>
      <w:tr w14:paraId="2EC81C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51" w:hRule="atLeast"/>
        </w:trPr>
        <w:tc>
          <w:tcPr>
            <w:tcW w:w="8508" w:type="dxa"/>
            <w:gridSpan w:val="9"/>
            <w:vAlign w:val="top"/>
          </w:tcPr>
          <w:p w14:paraId="60E968EC">
            <w:pPr>
              <w:pStyle w:val="11"/>
              <w:spacing w:before="273" w:line="221" w:lineRule="auto"/>
              <w:ind w:left="115"/>
            </w:pPr>
            <w:r>
              <w:rPr>
                <w:spacing w:val="-5"/>
              </w:rPr>
              <w:t>经济标评委签名：</w:t>
            </w:r>
          </w:p>
        </w:tc>
      </w:tr>
    </w:tbl>
    <w:p w14:paraId="2DA705C7">
      <w:pPr>
        <w:spacing w:before="29" w:line="186" w:lineRule="auto"/>
        <w:ind w:left="5394"/>
        <w:rPr>
          <w:rFonts w:ascii="宋体" w:hAnsi="宋体" w:eastAsia="宋体" w:cs="宋体"/>
          <w:sz w:val="21"/>
          <w:szCs w:val="21"/>
        </w:rPr>
      </w:pPr>
      <w:r>
        <w:rPr>
          <w:rFonts w:ascii="宋体" w:hAnsi="宋体" w:eastAsia="宋体" w:cs="宋体"/>
          <w:spacing w:val="-20"/>
          <w:sz w:val="21"/>
          <w:szCs w:val="21"/>
        </w:rPr>
        <w:t>日期：</w:t>
      </w:r>
      <w:r>
        <w:rPr>
          <w:rFonts w:ascii="宋体" w:hAnsi="宋体" w:eastAsia="宋体" w:cs="宋体"/>
          <w:spacing w:val="25"/>
          <w:sz w:val="21"/>
          <w:szCs w:val="21"/>
        </w:rPr>
        <w:t xml:space="preserve">    </w:t>
      </w:r>
      <w:r>
        <w:rPr>
          <w:rFonts w:ascii="宋体" w:hAnsi="宋体" w:eastAsia="宋体" w:cs="宋体"/>
          <w:spacing w:val="-20"/>
          <w:sz w:val="21"/>
          <w:szCs w:val="21"/>
        </w:rPr>
        <w:t>年</w:t>
      </w:r>
      <w:r>
        <w:rPr>
          <w:rFonts w:ascii="宋体" w:hAnsi="宋体" w:eastAsia="宋体" w:cs="宋体"/>
          <w:spacing w:val="3"/>
          <w:sz w:val="21"/>
          <w:szCs w:val="21"/>
        </w:rPr>
        <w:t xml:space="preserve">    </w:t>
      </w:r>
      <w:r>
        <w:rPr>
          <w:rFonts w:ascii="宋体" w:hAnsi="宋体" w:eastAsia="宋体" w:cs="宋体"/>
          <w:spacing w:val="-20"/>
          <w:sz w:val="21"/>
          <w:szCs w:val="21"/>
        </w:rPr>
        <w:t>月     日</w:t>
      </w:r>
    </w:p>
    <w:p w14:paraId="620C2A4A">
      <w:pPr>
        <w:spacing w:line="186" w:lineRule="auto"/>
        <w:rPr>
          <w:rFonts w:ascii="宋体" w:hAnsi="宋体" w:eastAsia="宋体" w:cs="宋体"/>
          <w:sz w:val="21"/>
          <w:szCs w:val="21"/>
        </w:rPr>
        <w:sectPr>
          <w:type w:val="continuous"/>
          <w:pgSz w:w="11905" w:h="16839"/>
          <w:pgMar w:top="1431" w:right="1690" w:bottom="996" w:left="1699" w:header="0" w:footer="791" w:gutter="0"/>
          <w:pgNumType w:fmt="decimal"/>
          <w:cols w:equalWidth="0" w:num="1">
            <w:col w:w="8514"/>
          </w:cols>
        </w:sectPr>
      </w:pPr>
    </w:p>
    <w:p w14:paraId="234D8E2C">
      <w:pPr>
        <w:pStyle w:val="3"/>
        <w:spacing w:line="272" w:lineRule="auto"/>
      </w:pPr>
    </w:p>
    <w:p w14:paraId="50CFDE46">
      <w:pPr>
        <w:pStyle w:val="3"/>
        <w:spacing w:line="272" w:lineRule="auto"/>
      </w:pPr>
    </w:p>
    <w:p w14:paraId="6B3CE01B">
      <w:pPr>
        <w:pStyle w:val="3"/>
        <w:spacing w:line="272" w:lineRule="auto"/>
      </w:pPr>
    </w:p>
    <w:p w14:paraId="720BF420">
      <w:pPr>
        <w:spacing w:before="78" w:line="219" w:lineRule="auto"/>
        <w:ind w:left="13"/>
        <w:rPr>
          <w:rFonts w:ascii="黑体" w:hAnsi="黑体" w:eastAsia="黑体" w:cs="黑体"/>
          <w:sz w:val="24"/>
          <w:szCs w:val="24"/>
        </w:rPr>
      </w:pPr>
      <w:r>
        <w:rPr>
          <w:rFonts w:ascii="黑体" w:hAnsi="黑体" w:eastAsia="黑体" w:cs="黑体"/>
          <w:spacing w:val="-5"/>
          <w:sz w:val="24"/>
          <w:szCs w:val="24"/>
        </w:rPr>
        <w:t>附表</w:t>
      </w:r>
      <w:r>
        <w:rPr>
          <w:rFonts w:ascii="黑体" w:hAnsi="黑体" w:eastAsia="黑体" w:cs="黑体"/>
          <w:spacing w:val="-52"/>
          <w:sz w:val="24"/>
          <w:szCs w:val="24"/>
        </w:rPr>
        <w:t xml:space="preserve"> </w:t>
      </w:r>
      <w:r>
        <w:rPr>
          <w:rFonts w:ascii="Times New Roman" w:hAnsi="Times New Roman" w:eastAsia="Times New Roman" w:cs="Times New Roman"/>
          <w:spacing w:val="-5"/>
          <w:sz w:val="24"/>
          <w:szCs w:val="24"/>
        </w:rPr>
        <w:t>A-</w:t>
      </w:r>
      <w:r>
        <w:rPr>
          <w:rFonts w:ascii="Times New Roman" w:hAnsi="Times New Roman" w:eastAsia="Times New Roman" w:cs="Times New Roman"/>
          <w:spacing w:val="-31"/>
          <w:sz w:val="24"/>
          <w:szCs w:val="24"/>
        </w:rPr>
        <w:t xml:space="preserve"> </w:t>
      </w:r>
      <w:r>
        <w:rPr>
          <w:rFonts w:ascii="Times New Roman" w:hAnsi="Times New Roman" w:eastAsia="Times New Roman" w:cs="Times New Roman"/>
          <w:spacing w:val="-5"/>
          <w:sz w:val="24"/>
          <w:szCs w:val="24"/>
        </w:rPr>
        <w:t>11</w:t>
      </w:r>
      <w:r>
        <w:rPr>
          <w:rFonts w:ascii="黑体" w:hAnsi="黑体" w:eastAsia="黑体" w:cs="黑体"/>
          <w:spacing w:val="-5"/>
          <w:sz w:val="24"/>
          <w:szCs w:val="24"/>
        </w:rPr>
        <w:t>：技术标评审记录表（评分）</w:t>
      </w:r>
    </w:p>
    <w:p w14:paraId="68B39BE6">
      <w:pPr>
        <w:spacing w:before="288" w:line="219" w:lineRule="auto"/>
        <w:ind w:left="5545"/>
        <w:rPr>
          <w:rFonts w:ascii="黑体" w:hAnsi="黑体" w:eastAsia="黑体" w:cs="黑体"/>
          <w:sz w:val="36"/>
          <w:szCs w:val="36"/>
        </w:rPr>
      </w:pPr>
      <w:r>
        <w:rPr>
          <w:rFonts w:ascii="黑体" w:hAnsi="黑体" w:eastAsia="黑体" w:cs="黑体"/>
          <w:spacing w:val="-2"/>
          <w:sz w:val="36"/>
          <w:szCs w:val="36"/>
        </w:rPr>
        <w:t>技术标评审记录表</w:t>
      </w:r>
    </w:p>
    <w:p w14:paraId="378CAF02">
      <w:pPr>
        <w:spacing w:before="234" w:line="221" w:lineRule="auto"/>
        <w:rPr>
          <w:rFonts w:ascii="宋体" w:hAnsi="宋体" w:eastAsia="宋体" w:cs="宋体"/>
          <w:sz w:val="21"/>
          <w:szCs w:val="21"/>
        </w:rPr>
      </w:pPr>
      <w:r>
        <w:rPr>
          <w:rFonts w:ascii="宋体" w:hAnsi="宋体" w:eastAsia="宋体" w:cs="宋体"/>
          <w:spacing w:val="-9"/>
          <w:sz w:val="21"/>
          <w:szCs w:val="21"/>
        </w:rPr>
        <w:t>标段名称：</w:t>
      </w:r>
    </w:p>
    <w:p w14:paraId="1BE4E75D">
      <w:pPr>
        <w:spacing w:before="22" w:line="214" w:lineRule="auto"/>
        <w:rPr>
          <w:rFonts w:ascii="宋体" w:hAnsi="宋体" w:eastAsia="宋体" w:cs="宋体"/>
          <w:sz w:val="21"/>
          <w:szCs w:val="21"/>
        </w:rPr>
      </w:pPr>
      <w:r>
        <w:rPr>
          <w:rFonts w:ascii="宋体" w:hAnsi="宋体" w:eastAsia="宋体" w:cs="宋体"/>
          <w:spacing w:val="-5"/>
          <w:sz w:val="21"/>
          <w:szCs w:val="21"/>
        </w:rPr>
        <w:t>标段唯一标识码：</w:t>
      </w:r>
    </w:p>
    <w:tbl>
      <w:tblPr>
        <w:tblStyle w:val="10"/>
        <w:tblW w:w="13760" w:type="dxa"/>
        <w:tblInd w:w="9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91"/>
        <w:gridCol w:w="1790"/>
        <w:gridCol w:w="1339"/>
        <w:gridCol w:w="1339"/>
        <w:gridCol w:w="1344"/>
        <w:gridCol w:w="1339"/>
        <w:gridCol w:w="1344"/>
        <w:gridCol w:w="1344"/>
        <w:gridCol w:w="1349"/>
        <w:gridCol w:w="1781"/>
      </w:tblGrid>
      <w:tr w14:paraId="05CA04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2" w:hRule="atLeast"/>
        </w:trPr>
        <w:tc>
          <w:tcPr>
            <w:tcW w:w="791" w:type="dxa"/>
            <w:vMerge w:val="restart"/>
            <w:tcBorders>
              <w:bottom w:val="nil"/>
            </w:tcBorders>
            <w:vAlign w:val="top"/>
          </w:tcPr>
          <w:p w14:paraId="47FB70AB">
            <w:pPr>
              <w:spacing w:line="243" w:lineRule="auto"/>
              <w:rPr>
                <w:rFonts w:ascii="Arial"/>
                <w:sz w:val="21"/>
              </w:rPr>
            </w:pPr>
          </w:p>
          <w:p w14:paraId="16A5B5AB">
            <w:pPr>
              <w:pStyle w:val="11"/>
              <w:spacing w:before="68" w:line="222" w:lineRule="auto"/>
              <w:ind w:left="184"/>
            </w:pPr>
            <w:r>
              <w:rPr>
                <w:spacing w:val="-2"/>
                <w14:textOutline w14:w="3831" w14:cap="flat" w14:cmpd="sng">
                  <w14:solidFill>
                    <w14:srgbClr w14:val="000000"/>
                  </w14:solidFill>
                  <w14:prstDash w14:val="solid"/>
                  <w14:miter w14:val="0"/>
                </w14:textOutline>
              </w:rPr>
              <w:t>序号</w:t>
            </w:r>
          </w:p>
        </w:tc>
        <w:tc>
          <w:tcPr>
            <w:tcW w:w="1790" w:type="dxa"/>
            <w:vMerge w:val="restart"/>
            <w:tcBorders>
              <w:bottom w:val="nil"/>
            </w:tcBorders>
            <w:vAlign w:val="top"/>
          </w:tcPr>
          <w:p w14:paraId="48257168">
            <w:pPr>
              <w:spacing w:line="243" w:lineRule="auto"/>
              <w:rPr>
                <w:rFonts w:ascii="Arial"/>
                <w:sz w:val="21"/>
              </w:rPr>
            </w:pPr>
          </w:p>
          <w:p w14:paraId="1B95AB7D">
            <w:pPr>
              <w:pStyle w:val="11"/>
              <w:spacing w:before="68" w:line="221" w:lineRule="auto"/>
              <w:ind w:left="372"/>
            </w:pPr>
            <w:r>
              <w:rPr>
                <w:spacing w:val="-1"/>
                <w14:textOutline w14:w="3831" w14:cap="flat" w14:cmpd="sng">
                  <w14:solidFill>
                    <w14:srgbClr w14:val="000000"/>
                  </w14:solidFill>
                  <w14:prstDash w14:val="solid"/>
                  <w14:miter w14:val="0"/>
                </w14:textOutline>
              </w:rPr>
              <w:t>投标人名称</w:t>
            </w:r>
          </w:p>
        </w:tc>
        <w:tc>
          <w:tcPr>
            <w:tcW w:w="9398" w:type="dxa"/>
            <w:gridSpan w:val="7"/>
            <w:vAlign w:val="top"/>
          </w:tcPr>
          <w:p w14:paraId="0E97DB05">
            <w:pPr>
              <w:pStyle w:val="11"/>
              <w:spacing w:before="101" w:line="221" w:lineRule="auto"/>
              <w:ind w:left="3965"/>
            </w:pPr>
            <w:r>
              <w:rPr>
                <w14:textOutline w14:w="3831" w14:cap="flat" w14:cmpd="sng">
                  <w14:solidFill>
                    <w14:srgbClr w14:val="000000"/>
                  </w14:solidFill>
                  <w14:prstDash w14:val="solid"/>
                  <w14:miter w14:val="0"/>
                </w14:textOutline>
              </w:rPr>
              <w:t>评委姓名及得分</w:t>
            </w:r>
          </w:p>
        </w:tc>
        <w:tc>
          <w:tcPr>
            <w:tcW w:w="1781" w:type="dxa"/>
            <w:vMerge w:val="restart"/>
            <w:tcBorders>
              <w:bottom w:val="nil"/>
            </w:tcBorders>
            <w:vAlign w:val="top"/>
          </w:tcPr>
          <w:p w14:paraId="34095E01">
            <w:pPr>
              <w:pStyle w:val="11"/>
              <w:spacing w:before="177" w:line="229" w:lineRule="auto"/>
              <w:ind w:left="211" w:right="148" w:hanging="53"/>
            </w:pPr>
            <w:r>
              <w:rPr>
                <w:spacing w:val="-1"/>
                <w14:textOutline w14:w="3831" w14:cap="flat" w14:cmpd="sng">
                  <w14:solidFill>
                    <w14:srgbClr w14:val="000000"/>
                  </w14:solidFill>
                  <w14:prstDash w14:val="solid"/>
                  <w14:miter w14:val="0"/>
                </w14:textOutline>
              </w:rPr>
              <w:t>技术标最终得分</w:t>
            </w:r>
            <w:r>
              <w:rPr>
                <w:spacing w:val="5"/>
              </w:rPr>
              <w:t xml:space="preserve"> </w:t>
            </w:r>
            <w:r>
              <w:rPr>
                <w:spacing w:val="-7"/>
                <w14:textOutline w14:w="3831" w14:cap="flat" w14:cmpd="sng">
                  <w14:solidFill>
                    <w14:srgbClr w14:val="000000"/>
                  </w14:solidFill>
                  <w14:prstDash w14:val="solid"/>
                  <w14:miter w14:val="0"/>
                </w14:textOutline>
              </w:rPr>
              <w:t>（满分</w:t>
            </w:r>
            <w:r>
              <w:rPr>
                <w:spacing w:val="8"/>
              </w:rPr>
              <w:t xml:space="preserve">   </w:t>
            </w:r>
            <w:r>
              <w:rPr>
                <w:spacing w:val="-7"/>
                <w14:textOutline w14:w="3831" w14:cap="flat" w14:cmpd="sng">
                  <w14:solidFill>
                    <w14:srgbClr w14:val="000000"/>
                  </w14:solidFill>
                  <w14:prstDash w14:val="solid"/>
                  <w14:miter w14:val="0"/>
                </w14:textOutline>
              </w:rPr>
              <w:t>分）</w:t>
            </w:r>
          </w:p>
        </w:tc>
      </w:tr>
      <w:tr w14:paraId="34409B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3" w:hRule="atLeast"/>
        </w:trPr>
        <w:tc>
          <w:tcPr>
            <w:tcW w:w="791" w:type="dxa"/>
            <w:vMerge w:val="continue"/>
            <w:tcBorders>
              <w:top w:val="nil"/>
            </w:tcBorders>
            <w:vAlign w:val="top"/>
          </w:tcPr>
          <w:p w14:paraId="48EE325C">
            <w:pPr>
              <w:rPr>
                <w:rFonts w:ascii="Arial"/>
                <w:sz w:val="21"/>
              </w:rPr>
            </w:pPr>
          </w:p>
        </w:tc>
        <w:tc>
          <w:tcPr>
            <w:tcW w:w="1790" w:type="dxa"/>
            <w:vMerge w:val="continue"/>
            <w:tcBorders>
              <w:top w:val="nil"/>
            </w:tcBorders>
            <w:vAlign w:val="top"/>
          </w:tcPr>
          <w:p w14:paraId="4F6DE173">
            <w:pPr>
              <w:rPr>
                <w:rFonts w:ascii="Arial"/>
                <w:sz w:val="21"/>
              </w:rPr>
            </w:pPr>
          </w:p>
        </w:tc>
        <w:tc>
          <w:tcPr>
            <w:tcW w:w="1339" w:type="dxa"/>
            <w:vAlign w:val="top"/>
          </w:tcPr>
          <w:p w14:paraId="3DA63F21">
            <w:pPr>
              <w:pStyle w:val="11"/>
              <w:spacing w:before="97" w:line="221" w:lineRule="auto"/>
              <w:ind w:left="379"/>
            </w:pPr>
            <w:r>
              <w:rPr>
                <w:spacing w:val="-2"/>
                <w14:textOutline w14:w="3831" w14:cap="flat" w14:cmpd="sng">
                  <w14:solidFill>
                    <w14:srgbClr w14:val="000000"/>
                  </w14:solidFill>
                  <w14:prstDash w14:val="solid"/>
                  <w14:miter w14:val="0"/>
                </w14:textOutline>
              </w:rPr>
              <w:t>评委</w:t>
            </w:r>
            <w:r>
              <w:rPr>
                <w:spacing w:val="-29"/>
              </w:rPr>
              <w:t xml:space="preserve"> </w:t>
            </w:r>
            <w:r>
              <w:rPr>
                <w:spacing w:val="-2"/>
                <w14:textOutline w14:w="3831" w14:cap="flat" w14:cmpd="sng">
                  <w14:solidFill>
                    <w14:srgbClr w14:val="000000"/>
                  </w14:solidFill>
                  <w14:prstDash w14:val="solid"/>
                  <w14:miter w14:val="0"/>
                </w14:textOutline>
              </w:rPr>
              <w:t>1</w:t>
            </w:r>
          </w:p>
        </w:tc>
        <w:tc>
          <w:tcPr>
            <w:tcW w:w="1339" w:type="dxa"/>
            <w:vAlign w:val="top"/>
          </w:tcPr>
          <w:p w14:paraId="69F4F11D">
            <w:pPr>
              <w:pStyle w:val="11"/>
              <w:spacing w:before="97" w:line="221" w:lineRule="auto"/>
              <w:ind w:left="384"/>
            </w:pPr>
            <w:r>
              <w:rPr>
                <w:spacing w:val="-2"/>
                <w14:textOutline w14:w="3831" w14:cap="flat" w14:cmpd="sng">
                  <w14:solidFill>
                    <w14:srgbClr w14:val="000000"/>
                  </w14:solidFill>
                  <w14:prstDash w14:val="solid"/>
                  <w14:miter w14:val="0"/>
                </w14:textOutline>
              </w:rPr>
              <w:t>评委</w:t>
            </w:r>
            <w:r>
              <w:rPr>
                <w:spacing w:val="-41"/>
              </w:rPr>
              <w:t xml:space="preserve"> </w:t>
            </w:r>
            <w:r>
              <w:rPr>
                <w:spacing w:val="-2"/>
                <w14:textOutline w14:w="3831" w14:cap="flat" w14:cmpd="sng">
                  <w14:solidFill>
                    <w14:srgbClr w14:val="000000"/>
                  </w14:solidFill>
                  <w14:prstDash w14:val="solid"/>
                  <w14:miter w14:val="0"/>
                </w14:textOutline>
              </w:rPr>
              <w:t>2</w:t>
            </w:r>
          </w:p>
        </w:tc>
        <w:tc>
          <w:tcPr>
            <w:tcW w:w="1344" w:type="dxa"/>
            <w:vAlign w:val="top"/>
          </w:tcPr>
          <w:p w14:paraId="13D2DCDF">
            <w:pPr>
              <w:pStyle w:val="11"/>
              <w:spacing w:before="97" w:line="305" w:lineRule="exact"/>
              <w:ind w:left="480"/>
            </w:pPr>
            <w:r>
              <w:rPr>
                <w:spacing w:val="-5"/>
                <w:position w:val="2"/>
                <w14:textOutline w14:w="3831" w14:cap="flat" w14:cmpd="sng">
                  <w14:solidFill>
                    <w14:srgbClr w14:val="000000"/>
                  </w14:solidFill>
                  <w14:prstDash w14:val="solid"/>
                  <w14:miter w14:val="0"/>
                </w14:textOutline>
              </w:rPr>
              <w:t>……</w:t>
            </w:r>
          </w:p>
        </w:tc>
        <w:tc>
          <w:tcPr>
            <w:tcW w:w="1339" w:type="dxa"/>
            <w:vAlign w:val="top"/>
          </w:tcPr>
          <w:p w14:paraId="6F16B763">
            <w:pPr>
              <w:rPr>
                <w:rFonts w:ascii="Arial"/>
                <w:sz w:val="21"/>
              </w:rPr>
            </w:pPr>
          </w:p>
        </w:tc>
        <w:tc>
          <w:tcPr>
            <w:tcW w:w="1344" w:type="dxa"/>
            <w:vAlign w:val="top"/>
          </w:tcPr>
          <w:p w14:paraId="3DC05D92">
            <w:pPr>
              <w:rPr>
                <w:rFonts w:ascii="Arial"/>
                <w:sz w:val="21"/>
              </w:rPr>
            </w:pPr>
          </w:p>
        </w:tc>
        <w:tc>
          <w:tcPr>
            <w:tcW w:w="1344" w:type="dxa"/>
            <w:vAlign w:val="top"/>
          </w:tcPr>
          <w:p w14:paraId="270C8C62">
            <w:pPr>
              <w:rPr>
                <w:rFonts w:ascii="Arial"/>
                <w:sz w:val="21"/>
              </w:rPr>
            </w:pPr>
          </w:p>
        </w:tc>
        <w:tc>
          <w:tcPr>
            <w:tcW w:w="1349" w:type="dxa"/>
            <w:vAlign w:val="top"/>
          </w:tcPr>
          <w:p w14:paraId="32C563DB">
            <w:pPr>
              <w:rPr>
                <w:rFonts w:ascii="Arial"/>
                <w:sz w:val="21"/>
              </w:rPr>
            </w:pPr>
          </w:p>
        </w:tc>
        <w:tc>
          <w:tcPr>
            <w:tcW w:w="1781" w:type="dxa"/>
            <w:vMerge w:val="continue"/>
            <w:tcBorders>
              <w:top w:val="nil"/>
            </w:tcBorders>
            <w:vAlign w:val="top"/>
          </w:tcPr>
          <w:p w14:paraId="0F9D1921">
            <w:pPr>
              <w:rPr>
                <w:rFonts w:ascii="Arial"/>
                <w:sz w:val="21"/>
              </w:rPr>
            </w:pPr>
          </w:p>
        </w:tc>
      </w:tr>
      <w:tr w14:paraId="431A32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1" w:hRule="atLeast"/>
        </w:trPr>
        <w:tc>
          <w:tcPr>
            <w:tcW w:w="791" w:type="dxa"/>
            <w:vAlign w:val="top"/>
          </w:tcPr>
          <w:p w14:paraId="3514B828">
            <w:pPr>
              <w:pStyle w:val="11"/>
              <w:spacing w:before="208" w:line="183" w:lineRule="auto"/>
              <w:ind w:left="359"/>
            </w:pPr>
            <w:r>
              <w:t>1</w:t>
            </w:r>
          </w:p>
        </w:tc>
        <w:tc>
          <w:tcPr>
            <w:tcW w:w="1790" w:type="dxa"/>
            <w:vAlign w:val="top"/>
          </w:tcPr>
          <w:p w14:paraId="7DD4F996">
            <w:pPr>
              <w:rPr>
                <w:rFonts w:ascii="Arial"/>
                <w:sz w:val="21"/>
              </w:rPr>
            </w:pPr>
          </w:p>
        </w:tc>
        <w:tc>
          <w:tcPr>
            <w:tcW w:w="1339" w:type="dxa"/>
            <w:vAlign w:val="top"/>
          </w:tcPr>
          <w:p w14:paraId="240B4FEF">
            <w:pPr>
              <w:rPr>
                <w:rFonts w:ascii="Arial"/>
                <w:sz w:val="21"/>
              </w:rPr>
            </w:pPr>
          </w:p>
        </w:tc>
        <w:tc>
          <w:tcPr>
            <w:tcW w:w="1339" w:type="dxa"/>
            <w:vAlign w:val="top"/>
          </w:tcPr>
          <w:p w14:paraId="7665B9E5">
            <w:pPr>
              <w:rPr>
                <w:rFonts w:ascii="Arial"/>
                <w:sz w:val="21"/>
              </w:rPr>
            </w:pPr>
          </w:p>
        </w:tc>
        <w:tc>
          <w:tcPr>
            <w:tcW w:w="1344" w:type="dxa"/>
            <w:vAlign w:val="top"/>
          </w:tcPr>
          <w:p w14:paraId="669D8F72">
            <w:pPr>
              <w:rPr>
                <w:rFonts w:ascii="Arial"/>
                <w:sz w:val="21"/>
              </w:rPr>
            </w:pPr>
          </w:p>
        </w:tc>
        <w:tc>
          <w:tcPr>
            <w:tcW w:w="1339" w:type="dxa"/>
            <w:vAlign w:val="top"/>
          </w:tcPr>
          <w:p w14:paraId="543F4FD9">
            <w:pPr>
              <w:rPr>
                <w:rFonts w:ascii="Arial"/>
                <w:sz w:val="21"/>
              </w:rPr>
            </w:pPr>
          </w:p>
        </w:tc>
        <w:tc>
          <w:tcPr>
            <w:tcW w:w="1344" w:type="dxa"/>
            <w:vAlign w:val="top"/>
          </w:tcPr>
          <w:p w14:paraId="2EE26D2B">
            <w:pPr>
              <w:rPr>
                <w:rFonts w:ascii="Arial"/>
                <w:sz w:val="21"/>
              </w:rPr>
            </w:pPr>
          </w:p>
        </w:tc>
        <w:tc>
          <w:tcPr>
            <w:tcW w:w="1344" w:type="dxa"/>
            <w:vAlign w:val="top"/>
          </w:tcPr>
          <w:p w14:paraId="52717FEE">
            <w:pPr>
              <w:rPr>
                <w:rFonts w:ascii="Arial"/>
                <w:sz w:val="21"/>
              </w:rPr>
            </w:pPr>
          </w:p>
        </w:tc>
        <w:tc>
          <w:tcPr>
            <w:tcW w:w="1349" w:type="dxa"/>
            <w:vAlign w:val="top"/>
          </w:tcPr>
          <w:p w14:paraId="73E7DB9B">
            <w:pPr>
              <w:rPr>
                <w:rFonts w:ascii="Arial"/>
                <w:sz w:val="21"/>
              </w:rPr>
            </w:pPr>
          </w:p>
        </w:tc>
        <w:tc>
          <w:tcPr>
            <w:tcW w:w="1781" w:type="dxa"/>
            <w:vAlign w:val="top"/>
          </w:tcPr>
          <w:p w14:paraId="535406FC">
            <w:pPr>
              <w:rPr>
                <w:rFonts w:ascii="Arial"/>
                <w:sz w:val="21"/>
              </w:rPr>
            </w:pPr>
          </w:p>
        </w:tc>
      </w:tr>
      <w:tr w14:paraId="759790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1" w:hRule="atLeast"/>
        </w:trPr>
        <w:tc>
          <w:tcPr>
            <w:tcW w:w="791" w:type="dxa"/>
            <w:vAlign w:val="top"/>
          </w:tcPr>
          <w:p w14:paraId="07077A42">
            <w:pPr>
              <w:pStyle w:val="11"/>
              <w:spacing w:before="209" w:line="182" w:lineRule="auto"/>
              <w:ind w:left="346"/>
            </w:pPr>
            <w:r>
              <w:t>2</w:t>
            </w:r>
          </w:p>
        </w:tc>
        <w:tc>
          <w:tcPr>
            <w:tcW w:w="1790" w:type="dxa"/>
            <w:vAlign w:val="top"/>
          </w:tcPr>
          <w:p w14:paraId="1A8D0F91">
            <w:pPr>
              <w:rPr>
                <w:rFonts w:ascii="Arial"/>
                <w:sz w:val="21"/>
              </w:rPr>
            </w:pPr>
          </w:p>
        </w:tc>
        <w:tc>
          <w:tcPr>
            <w:tcW w:w="1339" w:type="dxa"/>
            <w:vAlign w:val="top"/>
          </w:tcPr>
          <w:p w14:paraId="18D6D88D">
            <w:pPr>
              <w:rPr>
                <w:rFonts w:ascii="Arial"/>
                <w:sz w:val="21"/>
              </w:rPr>
            </w:pPr>
          </w:p>
        </w:tc>
        <w:tc>
          <w:tcPr>
            <w:tcW w:w="1339" w:type="dxa"/>
            <w:vAlign w:val="top"/>
          </w:tcPr>
          <w:p w14:paraId="5B11A6BF">
            <w:pPr>
              <w:rPr>
                <w:rFonts w:ascii="Arial"/>
                <w:sz w:val="21"/>
              </w:rPr>
            </w:pPr>
          </w:p>
        </w:tc>
        <w:tc>
          <w:tcPr>
            <w:tcW w:w="1344" w:type="dxa"/>
            <w:vAlign w:val="top"/>
          </w:tcPr>
          <w:p w14:paraId="6E3B4704">
            <w:pPr>
              <w:rPr>
                <w:rFonts w:ascii="Arial"/>
                <w:sz w:val="21"/>
              </w:rPr>
            </w:pPr>
          </w:p>
        </w:tc>
        <w:tc>
          <w:tcPr>
            <w:tcW w:w="1339" w:type="dxa"/>
            <w:vAlign w:val="top"/>
          </w:tcPr>
          <w:p w14:paraId="27680A33">
            <w:pPr>
              <w:rPr>
                <w:rFonts w:ascii="Arial"/>
                <w:sz w:val="21"/>
              </w:rPr>
            </w:pPr>
          </w:p>
        </w:tc>
        <w:tc>
          <w:tcPr>
            <w:tcW w:w="1344" w:type="dxa"/>
            <w:vAlign w:val="top"/>
          </w:tcPr>
          <w:p w14:paraId="47EC3210">
            <w:pPr>
              <w:rPr>
                <w:rFonts w:ascii="Arial"/>
                <w:sz w:val="21"/>
              </w:rPr>
            </w:pPr>
          </w:p>
        </w:tc>
        <w:tc>
          <w:tcPr>
            <w:tcW w:w="1344" w:type="dxa"/>
            <w:vAlign w:val="top"/>
          </w:tcPr>
          <w:p w14:paraId="4AF9A28B">
            <w:pPr>
              <w:rPr>
                <w:rFonts w:ascii="Arial"/>
                <w:sz w:val="21"/>
              </w:rPr>
            </w:pPr>
          </w:p>
        </w:tc>
        <w:tc>
          <w:tcPr>
            <w:tcW w:w="1349" w:type="dxa"/>
            <w:vAlign w:val="top"/>
          </w:tcPr>
          <w:p w14:paraId="48651472">
            <w:pPr>
              <w:rPr>
                <w:rFonts w:ascii="Arial"/>
                <w:sz w:val="21"/>
              </w:rPr>
            </w:pPr>
          </w:p>
        </w:tc>
        <w:tc>
          <w:tcPr>
            <w:tcW w:w="1781" w:type="dxa"/>
            <w:vAlign w:val="top"/>
          </w:tcPr>
          <w:p w14:paraId="07C6698E">
            <w:pPr>
              <w:rPr>
                <w:rFonts w:ascii="Arial"/>
                <w:sz w:val="21"/>
              </w:rPr>
            </w:pPr>
          </w:p>
        </w:tc>
      </w:tr>
      <w:tr w14:paraId="471533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1" w:hRule="atLeast"/>
        </w:trPr>
        <w:tc>
          <w:tcPr>
            <w:tcW w:w="791" w:type="dxa"/>
            <w:vAlign w:val="top"/>
          </w:tcPr>
          <w:p w14:paraId="32DBA6C4">
            <w:pPr>
              <w:pStyle w:val="11"/>
              <w:spacing w:before="205" w:line="182" w:lineRule="auto"/>
              <w:ind w:left="348"/>
            </w:pPr>
            <w:r>
              <w:t>3</w:t>
            </w:r>
          </w:p>
        </w:tc>
        <w:tc>
          <w:tcPr>
            <w:tcW w:w="1790" w:type="dxa"/>
            <w:vAlign w:val="top"/>
          </w:tcPr>
          <w:p w14:paraId="34E450A6">
            <w:pPr>
              <w:rPr>
                <w:rFonts w:ascii="Arial"/>
                <w:sz w:val="21"/>
              </w:rPr>
            </w:pPr>
          </w:p>
        </w:tc>
        <w:tc>
          <w:tcPr>
            <w:tcW w:w="1339" w:type="dxa"/>
            <w:vAlign w:val="top"/>
          </w:tcPr>
          <w:p w14:paraId="13DE22EB">
            <w:pPr>
              <w:rPr>
                <w:rFonts w:ascii="Arial"/>
                <w:sz w:val="21"/>
              </w:rPr>
            </w:pPr>
          </w:p>
        </w:tc>
        <w:tc>
          <w:tcPr>
            <w:tcW w:w="1339" w:type="dxa"/>
            <w:vAlign w:val="top"/>
          </w:tcPr>
          <w:p w14:paraId="227EB5E5">
            <w:pPr>
              <w:rPr>
                <w:rFonts w:ascii="Arial"/>
                <w:sz w:val="21"/>
              </w:rPr>
            </w:pPr>
          </w:p>
        </w:tc>
        <w:tc>
          <w:tcPr>
            <w:tcW w:w="1344" w:type="dxa"/>
            <w:vAlign w:val="top"/>
          </w:tcPr>
          <w:p w14:paraId="1BEBBB63">
            <w:pPr>
              <w:rPr>
                <w:rFonts w:ascii="Arial"/>
                <w:sz w:val="21"/>
              </w:rPr>
            </w:pPr>
          </w:p>
        </w:tc>
        <w:tc>
          <w:tcPr>
            <w:tcW w:w="1339" w:type="dxa"/>
            <w:vAlign w:val="top"/>
          </w:tcPr>
          <w:p w14:paraId="36F95A6C">
            <w:pPr>
              <w:rPr>
                <w:rFonts w:ascii="Arial"/>
                <w:sz w:val="21"/>
              </w:rPr>
            </w:pPr>
          </w:p>
        </w:tc>
        <w:tc>
          <w:tcPr>
            <w:tcW w:w="1344" w:type="dxa"/>
            <w:vAlign w:val="top"/>
          </w:tcPr>
          <w:p w14:paraId="64044E22">
            <w:pPr>
              <w:rPr>
                <w:rFonts w:ascii="Arial"/>
                <w:sz w:val="21"/>
              </w:rPr>
            </w:pPr>
          </w:p>
        </w:tc>
        <w:tc>
          <w:tcPr>
            <w:tcW w:w="1344" w:type="dxa"/>
            <w:vAlign w:val="top"/>
          </w:tcPr>
          <w:p w14:paraId="65C1A8BC">
            <w:pPr>
              <w:rPr>
                <w:rFonts w:ascii="Arial"/>
                <w:sz w:val="21"/>
              </w:rPr>
            </w:pPr>
          </w:p>
        </w:tc>
        <w:tc>
          <w:tcPr>
            <w:tcW w:w="1349" w:type="dxa"/>
            <w:vAlign w:val="top"/>
          </w:tcPr>
          <w:p w14:paraId="5B94FC72">
            <w:pPr>
              <w:rPr>
                <w:rFonts w:ascii="Arial"/>
                <w:sz w:val="21"/>
              </w:rPr>
            </w:pPr>
          </w:p>
        </w:tc>
        <w:tc>
          <w:tcPr>
            <w:tcW w:w="1781" w:type="dxa"/>
            <w:vAlign w:val="top"/>
          </w:tcPr>
          <w:p w14:paraId="78421A0A">
            <w:pPr>
              <w:rPr>
                <w:rFonts w:ascii="Arial"/>
                <w:sz w:val="21"/>
              </w:rPr>
            </w:pPr>
          </w:p>
        </w:tc>
      </w:tr>
      <w:tr w14:paraId="0AE0FE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1" w:hRule="atLeast"/>
        </w:trPr>
        <w:tc>
          <w:tcPr>
            <w:tcW w:w="791" w:type="dxa"/>
            <w:vAlign w:val="top"/>
          </w:tcPr>
          <w:p w14:paraId="2EC5B107">
            <w:pPr>
              <w:pStyle w:val="11"/>
              <w:spacing w:before="206" w:line="182" w:lineRule="auto"/>
              <w:ind w:left="343"/>
            </w:pPr>
            <w:r>
              <w:t>4</w:t>
            </w:r>
          </w:p>
        </w:tc>
        <w:tc>
          <w:tcPr>
            <w:tcW w:w="1790" w:type="dxa"/>
            <w:vAlign w:val="top"/>
          </w:tcPr>
          <w:p w14:paraId="7A3A3978">
            <w:pPr>
              <w:rPr>
                <w:rFonts w:ascii="Arial"/>
                <w:sz w:val="21"/>
              </w:rPr>
            </w:pPr>
          </w:p>
        </w:tc>
        <w:tc>
          <w:tcPr>
            <w:tcW w:w="1339" w:type="dxa"/>
            <w:vAlign w:val="top"/>
          </w:tcPr>
          <w:p w14:paraId="15EEFD08">
            <w:pPr>
              <w:rPr>
                <w:rFonts w:ascii="Arial"/>
                <w:sz w:val="21"/>
              </w:rPr>
            </w:pPr>
          </w:p>
        </w:tc>
        <w:tc>
          <w:tcPr>
            <w:tcW w:w="1339" w:type="dxa"/>
            <w:vAlign w:val="top"/>
          </w:tcPr>
          <w:p w14:paraId="56FFD87F">
            <w:pPr>
              <w:rPr>
                <w:rFonts w:ascii="Arial"/>
                <w:sz w:val="21"/>
              </w:rPr>
            </w:pPr>
          </w:p>
        </w:tc>
        <w:tc>
          <w:tcPr>
            <w:tcW w:w="1344" w:type="dxa"/>
            <w:vAlign w:val="top"/>
          </w:tcPr>
          <w:p w14:paraId="48D44245">
            <w:pPr>
              <w:rPr>
                <w:rFonts w:ascii="Arial"/>
                <w:sz w:val="21"/>
              </w:rPr>
            </w:pPr>
          </w:p>
        </w:tc>
        <w:tc>
          <w:tcPr>
            <w:tcW w:w="1339" w:type="dxa"/>
            <w:vAlign w:val="top"/>
          </w:tcPr>
          <w:p w14:paraId="55CAD3EB">
            <w:pPr>
              <w:rPr>
                <w:rFonts w:ascii="Arial"/>
                <w:sz w:val="21"/>
              </w:rPr>
            </w:pPr>
          </w:p>
        </w:tc>
        <w:tc>
          <w:tcPr>
            <w:tcW w:w="1344" w:type="dxa"/>
            <w:vAlign w:val="top"/>
          </w:tcPr>
          <w:p w14:paraId="76CE6341">
            <w:pPr>
              <w:rPr>
                <w:rFonts w:ascii="Arial"/>
                <w:sz w:val="21"/>
              </w:rPr>
            </w:pPr>
          </w:p>
        </w:tc>
        <w:tc>
          <w:tcPr>
            <w:tcW w:w="1344" w:type="dxa"/>
            <w:vAlign w:val="top"/>
          </w:tcPr>
          <w:p w14:paraId="290B5D23">
            <w:pPr>
              <w:rPr>
                <w:rFonts w:ascii="Arial"/>
                <w:sz w:val="21"/>
              </w:rPr>
            </w:pPr>
          </w:p>
        </w:tc>
        <w:tc>
          <w:tcPr>
            <w:tcW w:w="1349" w:type="dxa"/>
            <w:vAlign w:val="top"/>
          </w:tcPr>
          <w:p w14:paraId="567A3593">
            <w:pPr>
              <w:rPr>
                <w:rFonts w:ascii="Arial"/>
                <w:sz w:val="21"/>
              </w:rPr>
            </w:pPr>
          </w:p>
        </w:tc>
        <w:tc>
          <w:tcPr>
            <w:tcW w:w="1781" w:type="dxa"/>
            <w:vAlign w:val="top"/>
          </w:tcPr>
          <w:p w14:paraId="31A61F3F">
            <w:pPr>
              <w:rPr>
                <w:rFonts w:ascii="Arial"/>
                <w:sz w:val="21"/>
              </w:rPr>
            </w:pPr>
          </w:p>
        </w:tc>
      </w:tr>
      <w:tr w14:paraId="7DA9BB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1" w:hRule="atLeast"/>
        </w:trPr>
        <w:tc>
          <w:tcPr>
            <w:tcW w:w="791" w:type="dxa"/>
            <w:vAlign w:val="top"/>
          </w:tcPr>
          <w:p w14:paraId="1CF2144B">
            <w:pPr>
              <w:pStyle w:val="11"/>
              <w:spacing w:before="208" w:line="181" w:lineRule="auto"/>
              <w:ind w:left="348"/>
            </w:pPr>
            <w:r>
              <w:t>5</w:t>
            </w:r>
          </w:p>
        </w:tc>
        <w:tc>
          <w:tcPr>
            <w:tcW w:w="1790" w:type="dxa"/>
            <w:vAlign w:val="top"/>
          </w:tcPr>
          <w:p w14:paraId="31CCECB9">
            <w:pPr>
              <w:rPr>
                <w:rFonts w:ascii="Arial"/>
                <w:sz w:val="21"/>
              </w:rPr>
            </w:pPr>
          </w:p>
        </w:tc>
        <w:tc>
          <w:tcPr>
            <w:tcW w:w="1339" w:type="dxa"/>
            <w:vAlign w:val="top"/>
          </w:tcPr>
          <w:p w14:paraId="48C92971">
            <w:pPr>
              <w:rPr>
                <w:rFonts w:ascii="Arial"/>
                <w:sz w:val="21"/>
              </w:rPr>
            </w:pPr>
          </w:p>
        </w:tc>
        <w:tc>
          <w:tcPr>
            <w:tcW w:w="1339" w:type="dxa"/>
            <w:vAlign w:val="top"/>
          </w:tcPr>
          <w:p w14:paraId="0B1B922E">
            <w:pPr>
              <w:rPr>
                <w:rFonts w:ascii="Arial"/>
                <w:sz w:val="21"/>
              </w:rPr>
            </w:pPr>
          </w:p>
        </w:tc>
        <w:tc>
          <w:tcPr>
            <w:tcW w:w="1344" w:type="dxa"/>
            <w:vAlign w:val="top"/>
          </w:tcPr>
          <w:p w14:paraId="6AD70FC1">
            <w:pPr>
              <w:rPr>
                <w:rFonts w:ascii="Arial"/>
                <w:sz w:val="21"/>
              </w:rPr>
            </w:pPr>
          </w:p>
        </w:tc>
        <w:tc>
          <w:tcPr>
            <w:tcW w:w="1339" w:type="dxa"/>
            <w:vAlign w:val="top"/>
          </w:tcPr>
          <w:p w14:paraId="4B0D4144">
            <w:pPr>
              <w:rPr>
                <w:rFonts w:ascii="Arial"/>
                <w:sz w:val="21"/>
              </w:rPr>
            </w:pPr>
          </w:p>
        </w:tc>
        <w:tc>
          <w:tcPr>
            <w:tcW w:w="1344" w:type="dxa"/>
            <w:vAlign w:val="top"/>
          </w:tcPr>
          <w:p w14:paraId="423581D8">
            <w:pPr>
              <w:rPr>
                <w:rFonts w:ascii="Arial"/>
                <w:sz w:val="21"/>
              </w:rPr>
            </w:pPr>
          </w:p>
        </w:tc>
        <w:tc>
          <w:tcPr>
            <w:tcW w:w="1344" w:type="dxa"/>
            <w:vAlign w:val="top"/>
          </w:tcPr>
          <w:p w14:paraId="1BD83E50">
            <w:pPr>
              <w:rPr>
                <w:rFonts w:ascii="Arial"/>
                <w:sz w:val="21"/>
              </w:rPr>
            </w:pPr>
          </w:p>
        </w:tc>
        <w:tc>
          <w:tcPr>
            <w:tcW w:w="1349" w:type="dxa"/>
            <w:vAlign w:val="top"/>
          </w:tcPr>
          <w:p w14:paraId="2302FC95">
            <w:pPr>
              <w:rPr>
                <w:rFonts w:ascii="Arial"/>
                <w:sz w:val="21"/>
              </w:rPr>
            </w:pPr>
          </w:p>
        </w:tc>
        <w:tc>
          <w:tcPr>
            <w:tcW w:w="1781" w:type="dxa"/>
            <w:vAlign w:val="top"/>
          </w:tcPr>
          <w:p w14:paraId="55CC0D38">
            <w:pPr>
              <w:rPr>
                <w:rFonts w:ascii="Arial"/>
                <w:sz w:val="21"/>
              </w:rPr>
            </w:pPr>
          </w:p>
        </w:tc>
      </w:tr>
      <w:tr w14:paraId="3D47E7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1" w:hRule="atLeast"/>
        </w:trPr>
        <w:tc>
          <w:tcPr>
            <w:tcW w:w="791" w:type="dxa"/>
            <w:vAlign w:val="top"/>
          </w:tcPr>
          <w:p w14:paraId="2F065645">
            <w:pPr>
              <w:pStyle w:val="11"/>
              <w:spacing w:before="207" w:line="182" w:lineRule="auto"/>
              <w:ind w:left="345"/>
            </w:pPr>
            <w:r>
              <w:t>6</w:t>
            </w:r>
          </w:p>
        </w:tc>
        <w:tc>
          <w:tcPr>
            <w:tcW w:w="1790" w:type="dxa"/>
            <w:vAlign w:val="top"/>
          </w:tcPr>
          <w:p w14:paraId="095E40E5">
            <w:pPr>
              <w:rPr>
                <w:rFonts w:ascii="Arial"/>
                <w:sz w:val="21"/>
              </w:rPr>
            </w:pPr>
          </w:p>
        </w:tc>
        <w:tc>
          <w:tcPr>
            <w:tcW w:w="1339" w:type="dxa"/>
            <w:vAlign w:val="top"/>
          </w:tcPr>
          <w:p w14:paraId="07E891AC">
            <w:pPr>
              <w:rPr>
                <w:rFonts w:ascii="Arial"/>
                <w:sz w:val="21"/>
              </w:rPr>
            </w:pPr>
          </w:p>
        </w:tc>
        <w:tc>
          <w:tcPr>
            <w:tcW w:w="1339" w:type="dxa"/>
            <w:vAlign w:val="top"/>
          </w:tcPr>
          <w:p w14:paraId="067DB06F">
            <w:pPr>
              <w:rPr>
                <w:rFonts w:ascii="Arial"/>
                <w:sz w:val="21"/>
              </w:rPr>
            </w:pPr>
          </w:p>
        </w:tc>
        <w:tc>
          <w:tcPr>
            <w:tcW w:w="1344" w:type="dxa"/>
            <w:vAlign w:val="top"/>
          </w:tcPr>
          <w:p w14:paraId="1250DAD9">
            <w:pPr>
              <w:rPr>
                <w:rFonts w:ascii="Arial"/>
                <w:sz w:val="21"/>
              </w:rPr>
            </w:pPr>
          </w:p>
        </w:tc>
        <w:tc>
          <w:tcPr>
            <w:tcW w:w="1339" w:type="dxa"/>
            <w:vAlign w:val="top"/>
          </w:tcPr>
          <w:p w14:paraId="48A039FB">
            <w:pPr>
              <w:rPr>
                <w:rFonts w:ascii="Arial"/>
                <w:sz w:val="21"/>
              </w:rPr>
            </w:pPr>
          </w:p>
        </w:tc>
        <w:tc>
          <w:tcPr>
            <w:tcW w:w="1344" w:type="dxa"/>
            <w:vAlign w:val="top"/>
          </w:tcPr>
          <w:p w14:paraId="7C9E309F">
            <w:pPr>
              <w:rPr>
                <w:rFonts w:ascii="Arial"/>
                <w:sz w:val="21"/>
              </w:rPr>
            </w:pPr>
          </w:p>
        </w:tc>
        <w:tc>
          <w:tcPr>
            <w:tcW w:w="1344" w:type="dxa"/>
            <w:vAlign w:val="top"/>
          </w:tcPr>
          <w:p w14:paraId="4C37820B">
            <w:pPr>
              <w:rPr>
                <w:rFonts w:ascii="Arial"/>
                <w:sz w:val="21"/>
              </w:rPr>
            </w:pPr>
          </w:p>
        </w:tc>
        <w:tc>
          <w:tcPr>
            <w:tcW w:w="1349" w:type="dxa"/>
            <w:vAlign w:val="top"/>
          </w:tcPr>
          <w:p w14:paraId="415068CA">
            <w:pPr>
              <w:rPr>
                <w:rFonts w:ascii="Arial"/>
                <w:sz w:val="21"/>
              </w:rPr>
            </w:pPr>
          </w:p>
        </w:tc>
        <w:tc>
          <w:tcPr>
            <w:tcW w:w="1781" w:type="dxa"/>
            <w:vAlign w:val="top"/>
          </w:tcPr>
          <w:p w14:paraId="67FA6FB8">
            <w:pPr>
              <w:rPr>
                <w:rFonts w:ascii="Arial"/>
                <w:sz w:val="21"/>
              </w:rPr>
            </w:pPr>
          </w:p>
        </w:tc>
      </w:tr>
      <w:tr w14:paraId="3E5784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2" w:hRule="atLeast"/>
        </w:trPr>
        <w:tc>
          <w:tcPr>
            <w:tcW w:w="791" w:type="dxa"/>
            <w:vAlign w:val="top"/>
          </w:tcPr>
          <w:p w14:paraId="31210A97">
            <w:pPr>
              <w:pStyle w:val="11"/>
              <w:spacing w:before="172" w:line="333" w:lineRule="exact"/>
              <w:ind w:left="203"/>
            </w:pPr>
            <w:r>
              <w:rPr>
                <w:spacing w:val="-10"/>
                <w:position w:val="2"/>
              </w:rPr>
              <w:t>……</w:t>
            </w:r>
          </w:p>
        </w:tc>
        <w:tc>
          <w:tcPr>
            <w:tcW w:w="1790" w:type="dxa"/>
            <w:vAlign w:val="top"/>
          </w:tcPr>
          <w:p w14:paraId="2B78EF13">
            <w:pPr>
              <w:rPr>
                <w:rFonts w:ascii="Arial"/>
                <w:sz w:val="21"/>
              </w:rPr>
            </w:pPr>
          </w:p>
        </w:tc>
        <w:tc>
          <w:tcPr>
            <w:tcW w:w="1339" w:type="dxa"/>
            <w:vAlign w:val="top"/>
          </w:tcPr>
          <w:p w14:paraId="0AB41CA0">
            <w:pPr>
              <w:rPr>
                <w:rFonts w:ascii="Arial"/>
                <w:sz w:val="21"/>
              </w:rPr>
            </w:pPr>
          </w:p>
        </w:tc>
        <w:tc>
          <w:tcPr>
            <w:tcW w:w="1339" w:type="dxa"/>
            <w:vAlign w:val="top"/>
          </w:tcPr>
          <w:p w14:paraId="58E0483D">
            <w:pPr>
              <w:rPr>
                <w:rFonts w:ascii="Arial"/>
                <w:sz w:val="21"/>
              </w:rPr>
            </w:pPr>
          </w:p>
        </w:tc>
        <w:tc>
          <w:tcPr>
            <w:tcW w:w="1344" w:type="dxa"/>
            <w:vAlign w:val="top"/>
          </w:tcPr>
          <w:p w14:paraId="6A7B1BB1">
            <w:pPr>
              <w:rPr>
                <w:rFonts w:ascii="Arial"/>
                <w:sz w:val="21"/>
              </w:rPr>
            </w:pPr>
          </w:p>
        </w:tc>
        <w:tc>
          <w:tcPr>
            <w:tcW w:w="1339" w:type="dxa"/>
            <w:vAlign w:val="top"/>
          </w:tcPr>
          <w:p w14:paraId="3E46302A">
            <w:pPr>
              <w:rPr>
                <w:rFonts w:ascii="Arial"/>
                <w:sz w:val="21"/>
              </w:rPr>
            </w:pPr>
          </w:p>
        </w:tc>
        <w:tc>
          <w:tcPr>
            <w:tcW w:w="1344" w:type="dxa"/>
            <w:vAlign w:val="top"/>
          </w:tcPr>
          <w:p w14:paraId="6D169089">
            <w:pPr>
              <w:rPr>
                <w:rFonts w:ascii="Arial"/>
                <w:sz w:val="21"/>
              </w:rPr>
            </w:pPr>
          </w:p>
        </w:tc>
        <w:tc>
          <w:tcPr>
            <w:tcW w:w="1344" w:type="dxa"/>
            <w:vAlign w:val="top"/>
          </w:tcPr>
          <w:p w14:paraId="4651C8E3">
            <w:pPr>
              <w:rPr>
                <w:rFonts w:ascii="Arial"/>
                <w:sz w:val="21"/>
              </w:rPr>
            </w:pPr>
          </w:p>
        </w:tc>
        <w:tc>
          <w:tcPr>
            <w:tcW w:w="1349" w:type="dxa"/>
            <w:vAlign w:val="top"/>
          </w:tcPr>
          <w:p w14:paraId="05C97A9A">
            <w:pPr>
              <w:rPr>
                <w:rFonts w:ascii="Arial"/>
                <w:sz w:val="21"/>
              </w:rPr>
            </w:pPr>
          </w:p>
        </w:tc>
        <w:tc>
          <w:tcPr>
            <w:tcW w:w="1781" w:type="dxa"/>
            <w:vAlign w:val="top"/>
          </w:tcPr>
          <w:p w14:paraId="45ECBED2">
            <w:pPr>
              <w:rPr>
                <w:rFonts w:ascii="Arial"/>
                <w:sz w:val="21"/>
              </w:rPr>
            </w:pPr>
          </w:p>
        </w:tc>
      </w:tr>
      <w:tr w14:paraId="5708FF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8" w:hRule="atLeast"/>
        </w:trPr>
        <w:tc>
          <w:tcPr>
            <w:tcW w:w="13760" w:type="dxa"/>
            <w:gridSpan w:val="10"/>
            <w:vAlign w:val="top"/>
          </w:tcPr>
          <w:p w14:paraId="483DDADD">
            <w:pPr>
              <w:pStyle w:val="11"/>
              <w:spacing w:before="32" w:line="221" w:lineRule="auto"/>
              <w:ind w:left="114"/>
            </w:pPr>
            <w:r>
              <w:rPr>
                <w:spacing w:val="-5"/>
              </w:rPr>
              <w:t>技术标评委签名：</w:t>
            </w:r>
          </w:p>
        </w:tc>
      </w:tr>
    </w:tbl>
    <w:p w14:paraId="498270CE">
      <w:pPr>
        <w:spacing w:before="29" w:line="221" w:lineRule="auto"/>
        <w:ind w:left="11630"/>
        <w:rPr>
          <w:rFonts w:ascii="宋体" w:hAnsi="宋体" w:eastAsia="宋体" w:cs="宋体"/>
          <w:sz w:val="21"/>
          <w:szCs w:val="21"/>
        </w:rPr>
      </w:pPr>
      <w:r>
        <w:rPr>
          <w:rFonts w:ascii="宋体" w:hAnsi="宋体" w:eastAsia="宋体" w:cs="宋体"/>
          <w:spacing w:val="-26"/>
          <w:sz w:val="21"/>
          <w:szCs w:val="21"/>
        </w:rPr>
        <w:t>日期：</w:t>
      </w:r>
      <w:r>
        <w:rPr>
          <w:rFonts w:ascii="宋体" w:hAnsi="宋体" w:eastAsia="宋体" w:cs="宋体"/>
          <w:spacing w:val="52"/>
          <w:sz w:val="21"/>
          <w:szCs w:val="21"/>
        </w:rPr>
        <w:t xml:space="preserve">  </w:t>
      </w:r>
      <w:r>
        <w:rPr>
          <w:rFonts w:ascii="宋体" w:hAnsi="宋体" w:eastAsia="宋体" w:cs="宋体"/>
          <w:spacing w:val="-26"/>
          <w:sz w:val="21"/>
          <w:szCs w:val="21"/>
        </w:rPr>
        <w:t>年</w:t>
      </w:r>
      <w:r>
        <w:rPr>
          <w:rFonts w:ascii="宋体" w:hAnsi="宋体" w:eastAsia="宋体" w:cs="宋体"/>
          <w:spacing w:val="31"/>
          <w:sz w:val="21"/>
          <w:szCs w:val="21"/>
        </w:rPr>
        <w:t xml:space="preserve">  </w:t>
      </w:r>
      <w:r>
        <w:rPr>
          <w:rFonts w:ascii="宋体" w:hAnsi="宋体" w:eastAsia="宋体" w:cs="宋体"/>
          <w:spacing w:val="-26"/>
          <w:sz w:val="21"/>
          <w:szCs w:val="21"/>
        </w:rPr>
        <w:t>月</w:t>
      </w:r>
      <w:r>
        <w:rPr>
          <w:rFonts w:ascii="宋体" w:hAnsi="宋体" w:eastAsia="宋体" w:cs="宋体"/>
          <w:spacing w:val="23"/>
          <w:sz w:val="21"/>
          <w:szCs w:val="21"/>
        </w:rPr>
        <w:t xml:space="preserve">  </w:t>
      </w:r>
      <w:r>
        <w:rPr>
          <w:rFonts w:ascii="宋体" w:hAnsi="宋体" w:eastAsia="宋体" w:cs="宋体"/>
          <w:spacing w:val="-26"/>
          <w:sz w:val="21"/>
          <w:szCs w:val="21"/>
        </w:rPr>
        <w:t>日</w:t>
      </w:r>
    </w:p>
    <w:p w14:paraId="6180F328">
      <w:pPr>
        <w:spacing w:line="221" w:lineRule="auto"/>
        <w:rPr>
          <w:rFonts w:ascii="宋体" w:hAnsi="宋体" w:eastAsia="宋体" w:cs="宋体"/>
          <w:sz w:val="21"/>
          <w:szCs w:val="21"/>
        </w:rPr>
        <w:sectPr>
          <w:footerReference r:id="rId77" w:type="default"/>
          <w:pgSz w:w="16839" w:h="11905"/>
          <w:pgMar w:top="1011" w:right="1531" w:bottom="991" w:left="1449" w:header="0" w:footer="786" w:gutter="0"/>
          <w:pgNumType w:fmt="decimal"/>
          <w:cols w:space="720" w:num="1"/>
        </w:sectPr>
      </w:pPr>
    </w:p>
    <w:p w14:paraId="7E546651">
      <w:pPr>
        <w:pStyle w:val="3"/>
        <w:spacing w:line="272" w:lineRule="auto"/>
      </w:pPr>
    </w:p>
    <w:p w14:paraId="12AF10FC">
      <w:pPr>
        <w:pStyle w:val="3"/>
        <w:spacing w:line="272" w:lineRule="auto"/>
      </w:pPr>
    </w:p>
    <w:p w14:paraId="27B2A199">
      <w:pPr>
        <w:pStyle w:val="3"/>
        <w:spacing w:line="272" w:lineRule="auto"/>
      </w:pPr>
    </w:p>
    <w:p w14:paraId="71BE8FE0">
      <w:pPr>
        <w:spacing w:before="78" w:line="219" w:lineRule="auto"/>
        <w:ind w:left="27"/>
        <w:rPr>
          <w:rFonts w:ascii="黑体" w:hAnsi="黑体" w:eastAsia="黑体" w:cs="黑体"/>
          <w:sz w:val="24"/>
          <w:szCs w:val="24"/>
        </w:rPr>
      </w:pPr>
      <w:r>
        <w:rPr>
          <w:rFonts w:ascii="黑体" w:hAnsi="黑体" w:eastAsia="黑体" w:cs="黑体"/>
          <w:spacing w:val="-4"/>
          <w:sz w:val="24"/>
          <w:szCs w:val="24"/>
        </w:rPr>
        <w:t>附表</w:t>
      </w:r>
      <w:r>
        <w:rPr>
          <w:rFonts w:ascii="黑体" w:hAnsi="黑体" w:eastAsia="黑体" w:cs="黑体"/>
          <w:spacing w:val="-61"/>
          <w:sz w:val="24"/>
          <w:szCs w:val="24"/>
        </w:rPr>
        <w:t xml:space="preserve"> </w:t>
      </w:r>
      <w:r>
        <w:rPr>
          <w:rFonts w:ascii="Times New Roman" w:hAnsi="Times New Roman" w:eastAsia="Times New Roman" w:cs="Times New Roman"/>
          <w:spacing w:val="-4"/>
          <w:sz w:val="24"/>
          <w:szCs w:val="24"/>
        </w:rPr>
        <w:t>A-</w:t>
      </w:r>
      <w:r>
        <w:rPr>
          <w:rFonts w:ascii="Times New Roman" w:hAnsi="Times New Roman" w:eastAsia="Times New Roman" w:cs="Times New Roman"/>
          <w:spacing w:val="-31"/>
          <w:sz w:val="24"/>
          <w:szCs w:val="24"/>
        </w:rPr>
        <w:t xml:space="preserve"> </w:t>
      </w:r>
      <w:r>
        <w:rPr>
          <w:rFonts w:ascii="Times New Roman" w:hAnsi="Times New Roman" w:eastAsia="Times New Roman" w:cs="Times New Roman"/>
          <w:spacing w:val="-4"/>
          <w:sz w:val="24"/>
          <w:szCs w:val="24"/>
        </w:rPr>
        <w:t>12</w:t>
      </w:r>
      <w:r>
        <w:rPr>
          <w:rFonts w:ascii="黑体" w:hAnsi="黑体" w:eastAsia="黑体" w:cs="黑体"/>
          <w:spacing w:val="-4"/>
          <w:sz w:val="24"/>
          <w:szCs w:val="24"/>
        </w:rPr>
        <w:t>：技术标评审记录表（个人）</w:t>
      </w:r>
    </w:p>
    <w:p w14:paraId="37CE7B47">
      <w:pPr>
        <w:spacing w:before="288" w:line="219" w:lineRule="auto"/>
        <w:ind w:left="4839"/>
        <w:rPr>
          <w:rFonts w:ascii="黑体" w:hAnsi="黑体" w:eastAsia="黑体" w:cs="黑体"/>
          <w:sz w:val="36"/>
          <w:szCs w:val="36"/>
        </w:rPr>
      </w:pPr>
      <w:r>
        <w:rPr>
          <w:rFonts w:ascii="黑体" w:hAnsi="黑体" w:eastAsia="黑体" w:cs="黑体"/>
          <w:spacing w:val="-4"/>
          <w:sz w:val="36"/>
          <w:szCs w:val="36"/>
        </w:rPr>
        <w:t>技术标评审记录表（个人）</w:t>
      </w:r>
    </w:p>
    <w:p w14:paraId="172AA06C">
      <w:pPr>
        <w:spacing w:before="234" w:line="221" w:lineRule="auto"/>
        <w:ind w:left="13"/>
        <w:rPr>
          <w:rFonts w:ascii="宋体" w:hAnsi="宋体" w:eastAsia="宋体" w:cs="宋体"/>
          <w:sz w:val="21"/>
          <w:szCs w:val="21"/>
        </w:rPr>
      </w:pPr>
      <w:r>
        <w:rPr>
          <w:rFonts w:ascii="宋体" w:hAnsi="宋体" w:eastAsia="宋体" w:cs="宋体"/>
          <w:spacing w:val="-9"/>
          <w:sz w:val="21"/>
          <w:szCs w:val="21"/>
        </w:rPr>
        <w:t>标段名称：</w:t>
      </w:r>
    </w:p>
    <w:p w14:paraId="55923B26">
      <w:pPr>
        <w:spacing w:before="22" w:line="214" w:lineRule="auto"/>
        <w:ind w:left="13"/>
        <w:rPr>
          <w:rFonts w:ascii="宋体" w:hAnsi="宋体" w:eastAsia="宋体" w:cs="宋体"/>
          <w:sz w:val="21"/>
          <w:szCs w:val="21"/>
        </w:rPr>
      </w:pPr>
      <w:r>
        <w:rPr>
          <w:rFonts w:ascii="宋体" w:hAnsi="宋体" w:eastAsia="宋体" w:cs="宋体"/>
          <w:spacing w:val="-5"/>
          <w:sz w:val="21"/>
          <w:szCs w:val="21"/>
        </w:rPr>
        <w:t>标段唯一标识码：</w:t>
      </w:r>
    </w:p>
    <w:tbl>
      <w:tblPr>
        <w:tblStyle w:val="10"/>
        <w:tblW w:w="1396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38"/>
        <w:gridCol w:w="2203"/>
        <w:gridCol w:w="557"/>
        <w:gridCol w:w="556"/>
        <w:gridCol w:w="552"/>
        <w:gridCol w:w="557"/>
        <w:gridCol w:w="557"/>
        <w:gridCol w:w="556"/>
        <w:gridCol w:w="557"/>
        <w:gridCol w:w="557"/>
        <w:gridCol w:w="552"/>
        <w:gridCol w:w="557"/>
        <w:gridCol w:w="557"/>
        <w:gridCol w:w="557"/>
        <w:gridCol w:w="557"/>
        <w:gridCol w:w="552"/>
        <w:gridCol w:w="556"/>
        <w:gridCol w:w="557"/>
        <w:gridCol w:w="557"/>
        <w:gridCol w:w="470"/>
        <w:gridCol w:w="1200"/>
      </w:tblGrid>
      <w:tr w14:paraId="292EB7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7" w:hRule="atLeast"/>
        </w:trPr>
        <w:tc>
          <w:tcPr>
            <w:tcW w:w="638" w:type="dxa"/>
            <w:vMerge w:val="restart"/>
            <w:tcBorders>
              <w:bottom w:val="nil"/>
            </w:tcBorders>
            <w:textDirection w:val="tbRlV"/>
            <w:vAlign w:val="top"/>
          </w:tcPr>
          <w:p w14:paraId="54EF7DD0">
            <w:pPr>
              <w:pStyle w:val="11"/>
              <w:spacing w:before="210" w:line="211" w:lineRule="auto"/>
              <w:ind w:left="663"/>
            </w:pPr>
            <w:bookmarkStart w:id="190" w:name="bookmark226"/>
            <w:bookmarkEnd w:id="190"/>
            <w:r>
              <w:rPr>
                <w:spacing w:val="1"/>
                <w14:textOutline w14:w="3831" w14:cap="flat" w14:cmpd="sng">
                  <w14:solidFill>
                    <w14:srgbClr w14:val="000000"/>
                  </w14:solidFill>
                  <w14:prstDash w14:val="solid"/>
                  <w14:miter w14:val="0"/>
                </w14:textOutline>
              </w:rPr>
              <w:t>序</w:t>
            </w:r>
            <w:r>
              <w:rPr>
                <w:spacing w:val="-43"/>
              </w:rPr>
              <w:t xml:space="preserve"> </w:t>
            </w:r>
            <w:r>
              <w:rPr>
                <w:spacing w:val="1"/>
                <w14:textOutline w14:w="3831" w14:cap="flat" w14:cmpd="sng">
                  <w14:solidFill>
                    <w14:srgbClr w14:val="000000"/>
                  </w14:solidFill>
                  <w14:prstDash w14:val="solid"/>
                  <w14:miter w14:val="0"/>
                </w14:textOutline>
              </w:rPr>
              <w:t>号</w:t>
            </w:r>
          </w:p>
        </w:tc>
        <w:tc>
          <w:tcPr>
            <w:tcW w:w="2203" w:type="dxa"/>
            <w:vMerge w:val="restart"/>
            <w:tcBorders>
              <w:bottom w:val="nil"/>
            </w:tcBorders>
            <w:vAlign w:val="top"/>
          </w:tcPr>
          <w:p w14:paraId="3AF8E652">
            <w:pPr>
              <w:spacing w:line="241" w:lineRule="auto"/>
              <w:rPr>
                <w:rFonts w:ascii="Arial"/>
                <w:sz w:val="21"/>
              </w:rPr>
            </w:pPr>
          </w:p>
          <w:p w14:paraId="5A76F24E">
            <w:pPr>
              <w:spacing w:line="242" w:lineRule="auto"/>
              <w:rPr>
                <w:rFonts w:ascii="Arial"/>
                <w:sz w:val="21"/>
              </w:rPr>
            </w:pPr>
          </w:p>
          <w:p w14:paraId="79F74AFB">
            <w:pPr>
              <w:spacing w:line="242" w:lineRule="auto"/>
              <w:rPr>
                <w:rFonts w:ascii="Arial"/>
                <w:sz w:val="21"/>
              </w:rPr>
            </w:pPr>
          </w:p>
          <w:p w14:paraId="70A18B00">
            <w:pPr>
              <w:pStyle w:val="11"/>
              <w:spacing w:before="69" w:line="221" w:lineRule="auto"/>
              <w:ind w:left="582"/>
            </w:pPr>
            <w:r>
              <w:rPr>
                <w:spacing w:val="-1"/>
                <w14:textOutline w14:w="3831" w14:cap="flat" w14:cmpd="sng">
                  <w14:solidFill>
                    <w14:srgbClr w14:val="000000"/>
                  </w14:solidFill>
                  <w14:prstDash w14:val="solid"/>
                  <w14:miter w14:val="0"/>
                </w14:textOutline>
              </w:rPr>
              <w:t>投标人名称</w:t>
            </w:r>
          </w:p>
        </w:tc>
        <w:tc>
          <w:tcPr>
            <w:tcW w:w="9921" w:type="dxa"/>
            <w:gridSpan w:val="18"/>
            <w:vAlign w:val="top"/>
          </w:tcPr>
          <w:p w14:paraId="5FCDF0C6">
            <w:pPr>
              <w:pStyle w:val="11"/>
              <w:spacing w:before="33" w:line="221" w:lineRule="auto"/>
              <w:ind w:left="4017"/>
            </w:pPr>
            <w:r>
              <w:rPr>
                <w14:textOutline w14:w="3831" w14:cap="flat" w14:cmpd="sng">
                  <w14:solidFill>
                    <w14:srgbClr w14:val="000000"/>
                  </w14:solidFill>
                  <w14:prstDash w14:val="solid"/>
                  <w14:miter w14:val="0"/>
                </w14:textOutline>
              </w:rPr>
              <w:t>评审因素及评审得分</w:t>
            </w:r>
          </w:p>
        </w:tc>
        <w:tc>
          <w:tcPr>
            <w:tcW w:w="1200" w:type="dxa"/>
            <w:vMerge w:val="restart"/>
            <w:tcBorders>
              <w:bottom w:val="nil"/>
            </w:tcBorders>
            <w:vAlign w:val="top"/>
          </w:tcPr>
          <w:p w14:paraId="7098A612">
            <w:pPr>
              <w:spacing w:line="241" w:lineRule="auto"/>
              <w:rPr>
                <w:rFonts w:ascii="Arial"/>
                <w:sz w:val="21"/>
              </w:rPr>
            </w:pPr>
          </w:p>
          <w:p w14:paraId="4248239A">
            <w:pPr>
              <w:spacing w:line="241" w:lineRule="auto"/>
              <w:rPr>
                <w:rFonts w:ascii="Arial"/>
                <w:sz w:val="21"/>
              </w:rPr>
            </w:pPr>
          </w:p>
          <w:p w14:paraId="06D6114E">
            <w:pPr>
              <w:spacing w:line="242" w:lineRule="auto"/>
              <w:rPr>
                <w:rFonts w:ascii="Arial"/>
                <w:sz w:val="21"/>
              </w:rPr>
            </w:pPr>
          </w:p>
          <w:p w14:paraId="5334A972">
            <w:pPr>
              <w:pStyle w:val="11"/>
              <w:spacing w:before="69" w:line="221" w:lineRule="auto"/>
              <w:ind w:left="397"/>
            </w:pPr>
            <w:r>
              <w:rPr>
                <w:spacing w:val="-2"/>
                <w14:textOutline w14:w="3831" w14:cap="flat" w14:cmpd="sng">
                  <w14:solidFill>
                    <w14:srgbClr w14:val="000000"/>
                  </w14:solidFill>
                  <w14:prstDash w14:val="solid"/>
                  <w14:miter w14:val="0"/>
                </w14:textOutline>
              </w:rPr>
              <w:t>得分</w:t>
            </w:r>
          </w:p>
        </w:tc>
      </w:tr>
      <w:tr w14:paraId="7DA9B3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trPr>
        <w:tc>
          <w:tcPr>
            <w:tcW w:w="638" w:type="dxa"/>
            <w:vMerge w:val="continue"/>
            <w:tcBorders>
              <w:top w:val="nil"/>
              <w:bottom w:val="nil"/>
            </w:tcBorders>
            <w:textDirection w:val="tbRlV"/>
            <w:vAlign w:val="top"/>
          </w:tcPr>
          <w:p w14:paraId="0F6AA49A">
            <w:pPr>
              <w:rPr>
                <w:rFonts w:ascii="Arial"/>
                <w:sz w:val="21"/>
              </w:rPr>
            </w:pPr>
          </w:p>
        </w:tc>
        <w:tc>
          <w:tcPr>
            <w:tcW w:w="2203" w:type="dxa"/>
            <w:vMerge w:val="continue"/>
            <w:tcBorders>
              <w:top w:val="nil"/>
              <w:bottom w:val="nil"/>
            </w:tcBorders>
            <w:vAlign w:val="top"/>
          </w:tcPr>
          <w:p w14:paraId="2563CD37">
            <w:pPr>
              <w:rPr>
                <w:rFonts w:ascii="Arial"/>
                <w:sz w:val="21"/>
              </w:rPr>
            </w:pPr>
          </w:p>
        </w:tc>
        <w:tc>
          <w:tcPr>
            <w:tcW w:w="1113" w:type="dxa"/>
            <w:gridSpan w:val="2"/>
            <w:vAlign w:val="top"/>
          </w:tcPr>
          <w:p w14:paraId="0DBE9067">
            <w:pPr>
              <w:rPr>
                <w:rFonts w:ascii="Arial"/>
                <w:sz w:val="21"/>
              </w:rPr>
            </w:pPr>
          </w:p>
        </w:tc>
        <w:tc>
          <w:tcPr>
            <w:tcW w:w="1109" w:type="dxa"/>
            <w:gridSpan w:val="2"/>
            <w:vAlign w:val="top"/>
          </w:tcPr>
          <w:p w14:paraId="2AD01376">
            <w:pPr>
              <w:rPr>
                <w:rFonts w:ascii="Arial"/>
                <w:sz w:val="21"/>
              </w:rPr>
            </w:pPr>
          </w:p>
        </w:tc>
        <w:tc>
          <w:tcPr>
            <w:tcW w:w="1113" w:type="dxa"/>
            <w:gridSpan w:val="2"/>
            <w:vAlign w:val="top"/>
          </w:tcPr>
          <w:p w14:paraId="4FE210EE">
            <w:pPr>
              <w:rPr>
                <w:rFonts w:ascii="Arial"/>
                <w:sz w:val="21"/>
              </w:rPr>
            </w:pPr>
          </w:p>
        </w:tc>
        <w:tc>
          <w:tcPr>
            <w:tcW w:w="1114" w:type="dxa"/>
            <w:gridSpan w:val="2"/>
            <w:vAlign w:val="top"/>
          </w:tcPr>
          <w:p w14:paraId="076947F1">
            <w:pPr>
              <w:rPr>
                <w:rFonts w:ascii="Arial"/>
                <w:sz w:val="21"/>
              </w:rPr>
            </w:pPr>
          </w:p>
        </w:tc>
        <w:tc>
          <w:tcPr>
            <w:tcW w:w="1109" w:type="dxa"/>
            <w:gridSpan w:val="2"/>
            <w:vAlign w:val="top"/>
          </w:tcPr>
          <w:p w14:paraId="0BC530B9">
            <w:pPr>
              <w:rPr>
                <w:rFonts w:ascii="Arial"/>
                <w:sz w:val="21"/>
              </w:rPr>
            </w:pPr>
          </w:p>
        </w:tc>
        <w:tc>
          <w:tcPr>
            <w:tcW w:w="1114" w:type="dxa"/>
            <w:gridSpan w:val="2"/>
            <w:vAlign w:val="top"/>
          </w:tcPr>
          <w:p w14:paraId="633BB492">
            <w:pPr>
              <w:rPr>
                <w:rFonts w:ascii="Arial"/>
                <w:sz w:val="21"/>
              </w:rPr>
            </w:pPr>
          </w:p>
        </w:tc>
        <w:tc>
          <w:tcPr>
            <w:tcW w:w="1109" w:type="dxa"/>
            <w:gridSpan w:val="2"/>
            <w:vAlign w:val="top"/>
          </w:tcPr>
          <w:p w14:paraId="5590A184">
            <w:pPr>
              <w:rPr>
                <w:rFonts w:ascii="Arial"/>
                <w:sz w:val="21"/>
              </w:rPr>
            </w:pPr>
          </w:p>
        </w:tc>
        <w:tc>
          <w:tcPr>
            <w:tcW w:w="1113" w:type="dxa"/>
            <w:gridSpan w:val="2"/>
            <w:vAlign w:val="top"/>
          </w:tcPr>
          <w:p w14:paraId="54212542">
            <w:pPr>
              <w:rPr>
                <w:rFonts w:ascii="Arial"/>
                <w:sz w:val="21"/>
              </w:rPr>
            </w:pPr>
          </w:p>
        </w:tc>
        <w:tc>
          <w:tcPr>
            <w:tcW w:w="1027" w:type="dxa"/>
            <w:gridSpan w:val="2"/>
            <w:vAlign w:val="top"/>
          </w:tcPr>
          <w:p w14:paraId="6E7698A2">
            <w:pPr>
              <w:rPr>
                <w:rFonts w:ascii="Arial"/>
                <w:sz w:val="21"/>
              </w:rPr>
            </w:pPr>
          </w:p>
        </w:tc>
        <w:tc>
          <w:tcPr>
            <w:tcW w:w="1200" w:type="dxa"/>
            <w:vMerge w:val="continue"/>
            <w:tcBorders>
              <w:top w:val="nil"/>
              <w:bottom w:val="nil"/>
            </w:tcBorders>
            <w:vAlign w:val="top"/>
          </w:tcPr>
          <w:p w14:paraId="78BF8785">
            <w:pPr>
              <w:rPr>
                <w:rFonts w:ascii="Arial"/>
                <w:sz w:val="21"/>
              </w:rPr>
            </w:pPr>
          </w:p>
        </w:tc>
      </w:tr>
      <w:tr w14:paraId="191DB9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3" w:hRule="atLeast"/>
        </w:trPr>
        <w:tc>
          <w:tcPr>
            <w:tcW w:w="638" w:type="dxa"/>
            <w:vMerge w:val="continue"/>
            <w:tcBorders>
              <w:top w:val="nil"/>
            </w:tcBorders>
            <w:textDirection w:val="tbRlV"/>
            <w:vAlign w:val="top"/>
          </w:tcPr>
          <w:p w14:paraId="412979AB">
            <w:pPr>
              <w:rPr>
                <w:rFonts w:ascii="Arial"/>
                <w:sz w:val="21"/>
              </w:rPr>
            </w:pPr>
          </w:p>
        </w:tc>
        <w:tc>
          <w:tcPr>
            <w:tcW w:w="2203" w:type="dxa"/>
            <w:vMerge w:val="continue"/>
            <w:tcBorders>
              <w:top w:val="nil"/>
            </w:tcBorders>
            <w:vAlign w:val="top"/>
          </w:tcPr>
          <w:p w14:paraId="340AFAF4">
            <w:pPr>
              <w:rPr>
                <w:rFonts w:ascii="Arial"/>
                <w:sz w:val="21"/>
              </w:rPr>
            </w:pPr>
          </w:p>
        </w:tc>
        <w:tc>
          <w:tcPr>
            <w:tcW w:w="557" w:type="dxa"/>
            <w:textDirection w:val="tbRlV"/>
            <w:vAlign w:val="top"/>
          </w:tcPr>
          <w:p w14:paraId="5030B4C6">
            <w:pPr>
              <w:pStyle w:val="11"/>
              <w:spacing w:before="171" w:line="208" w:lineRule="auto"/>
              <w:ind w:left="30"/>
            </w:pPr>
            <w:r>
              <w:rPr>
                <w:spacing w:val="1"/>
                <w14:textOutline w14:w="3831" w14:cap="flat" w14:cmpd="sng">
                  <w14:solidFill>
                    <w14:srgbClr w14:val="000000"/>
                  </w14:solidFill>
                  <w14:prstDash w14:val="solid"/>
                  <w14:miter w14:val="0"/>
                </w14:textOutline>
              </w:rPr>
              <w:t>暗</w:t>
            </w:r>
            <w:r>
              <w:rPr>
                <w:spacing w:val="-48"/>
              </w:rPr>
              <w:t xml:space="preserve"> </w:t>
            </w:r>
            <w:r>
              <w:rPr>
                <w:spacing w:val="1"/>
                <w14:textOutline w14:w="3831" w14:cap="flat" w14:cmpd="sng">
                  <w14:solidFill>
                    <w14:srgbClr w14:val="000000"/>
                  </w14:solidFill>
                  <w14:prstDash w14:val="solid"/>
                  <w14:miter w14:val="0"/>
                </w14:textOutline>
              </w:rPr>
              <w:t>标</w:t>
            </w:r>
            <w:r>
              <w:rPr>
                <w:spacing w:val="-43"/>
              </w:rPr>
              <w:t xml:space="preserve"> </w:t>
            </w:r>
            <w:r>
              <w:rPr>
                <w:spacing w:val="1"/>
                <w14:textOutline w14:w="3831" w14:cap="flat" w14:cmpd="sng">
                  <w14:solidFill>
                    <w14:srgbClr w14:val="000000"/>
                  </w14:solidFill>
                  <w14:prstDash w14:val="solid"/>
                  <w14:miter w14:val="0"/>
                </w14:textOutline>
              </w:rPr>
              <w:t>编</w:t>
            </w:r>
            <w:r>
              <w:rPr>
                <w:spacing w:val="-42"/>
              </w:rPr>
              <w:t xml:space="preserve"> </w:t>
            </w:r>
            <w:r>
              <w:rPr>
                <w:spacing w:val="1"/>
                <w14:textOutline w14:w="3831" w14:cap="flat" w14:cmpd="sng">
                  <w14:solidFill>
                    <w14:srgbClr w14:val="000000"/>
                  </w14:solidFill>
                  <w14:prstDash w14:val="solid"/>
                  <w14:miter w14:val="0"/>
                </w14:textOutline>
              </w:rPr>
              <w:t>号</w:t>
            </w:r>
          </w:p>
        </w:tc>
        <w:tc>
          <w:tcPr>
            <w:tcW w:w="556" w:type="dxa"/>
            <w:textDirection w:val="tbRlV"/>
            <w:vAlign w:val="top"/>
          </w:tcPr>
          <w:p w14:paraId="4CA67147">
            <w:pPr>
              <w:pStyle w:val="11"/>
              <w:spacing w:before="175" w:line="208" w:lineRule="auto"/>
              <w:ind w:left="298"/>
            </w:pPr>
            <w:r>
              <w:rPr>
                <w:spacing w:val="1"/>
                <w14:textOutline w14:w="3831" w14:cap="flat" w14:cmpd="sng">
                  <w14:solidFill>
                    <w14:srgbClr w14:val="000000"/>
                  </w14:solidFill>
                  <w14:prstDash w14:val="solid"/>
                  <w14:miter w14:val="0"/>
                </w14:textOutline>
              </w:rPr>
              <w:t>得</w:t>
            </w:r>
            <w:r>
              <w:rPr>
                <w:spacing w:val="-43"/>
              </w:rPr>
              <w:t xml:space="preserve"> </w:t>
            </w:r>
            <w:r>
              <w:rPr>
                <w:spacing w:val="1"/>
                <w14:textOutline w14:w="3831" w14:cap="flat" w14:cmpd="sng">
                  <w14:solidFill>
                    <w14:srgbClr w14:val="000000"/>
                  </w14:solidFill>
                  <w14:prstDash w14:val="solid"/>
                  <w14:miter w14:val="0"/>
                </w14:textOutline>
              </w:rPr>
              <w:t>分</w:t>
            </w:r>
          </w:p>
        </w:tc>
        <w:tc>
          <w:tcPr>
            <w:tcW w:w="552" w:type="dxa"/>
            <w:textDirection w:val="tbRlV"/>
            <w:vAlign w:val="top"/>
          </w:tcPr>
          <w:p w14:paraId="72F78F39">
            <w:pPr>
              <w:pStyle w:val="11"/>
              <w:spacing w:before="170" w:line="208" w:lineRule="auto"/>
              <w:ind w:left="30"/>
            </w:pPr>
            <w:r>
              <w:rPr>
                <w:spacing w:val="1"/>
                <w14:textOutline w14:w="3831" w14:cap="flat" w14:cmpd="sng">
                  <w14:solidFill>
                    <w14:srgbClr w14:val="000000"/>
                  </w14:solidFill>
                  <w14:prstDash w14:val="solid"/>
                  <w14:miter w14:val="0"/>
                </w14:textOutline>
              </w:rPr>
              <w:t>暗</w:t>
            </w:r>
            <w:r>
              <w:rPr>
                <w:spacing w:val="-48"/>
              </w:rPr>
              <w:t xml:space="preserve"> </w:t>
            </w:r>
            <w:r>
              <w:rPr>
                <w:spacing w:val="1"/>
                <w14:textOutline w14:w="3831" w14:cap="flat" w14:cmpd="sng">
                  <w14:solidFill>
                    <w14:srgbClr w14:val="000000"/>
                  </w14:solidFill>
                  <w14:prstDash w14:val="solid"/>
                  <w14:miter w14:val="0"/>
                </w14:textOutline>
              </w:rPr>
              <w:t>标</w:t>
            </w:r>
            <w:r>
              <w:rPr>
                <w:spacing w:val="-43"/>
              </w:rPr>
              <w:t xml:space="preserve"> </w:t>
            </w:r>
            <w:r>
              <w:rPr>
                <w:spacing w:val="1"/>
                <w14:textOutline w14:w="3831" w14:cap="flat" w14:cmpd="sng">
                  <w14:solidFill>
                    <w14:srgbClr w14:val="000000"/>
                  </w14:solidFill>
                  <w14:prstDash w14:val="solid"/>
                  <w14:miter w14:val="0"/>
                </w14:textOutline>
              </w:rPr>
              <w:t>编</w:t>
            </w:r>
            <w:r>
              <w:rPr>
                <w:spacing w:val="-42"/>
              </w:rPr>
              <w:t xml:space="preserve"> </w:t>
            </w:r>
            <w:r>
              <w:rPr>
                <w:spacing w:val="1"/>
                <w14:textOutline w14:w="3831" w14:cap="flat" w14:cmpd="sng">
                  <w14:solidFill>
                    <w14:srgbClr w14:val="000000"/>
                  </w14:solidFill>
                  <w14:prstDash w14:val="solid"/>
                  <w14:miter w14:val="0"/>
                </w14:textOutline>
              </w:rPr>
              <w:t>号</w:t>
            </w:r>
          </w:p>
        </w:tc>
        <w:tc>
          <w:tcPr>
            <w:tcW w:w="557" w:type="dxa"/>
            <w:textDirection w:val="tbRlV"/>
            <w:vAlign w:val="top"/>
          </w:tcPr>
          <w:p w14:paraId="39D22E35">
            <w:pPr>
              <w:pStyle w:val="11"/>
              <w:spacing w:before="170" w:line="208" w:lineRule="auto"/>
              <w:ind w:left="298"/>
            </w:pPr>
            <w:r>
              <w:rPr>
                <w:spacing w:val="1"/>
                <w14:textOutline w14:w="3831" w14:cap="flat" w14:cmpd="sng">
                  <w14:solidFill>
                    <w14:srgbClr w14:val="000000"/>
                  </w14:solidFill>
                  <w14:prstDash w14:val="solid"/>
                  <w14:miter w14:val="0"/>
                </w14:textOutline>
              </w:rPr>
              <w:t>得</w:t>
            </w:r>
            <w:r>
              <w:rPr>
                <w:spacing w:val="-43"/>
              </w:rPr>
              <w:t xml:space="preserve"> </w:t>
            </w:r>
            <w:r>
              <w:rPr>
                <w:spacing w:val="1"/>
                <w14:textOutline w14:w="3831" w14:cap="flat" w14:cmpd="sng">
                  <w14:solidFill>
                    <w14:srgbClr w14:val="000000"/>
                  </w14:solidFill>
                  <w14:prstDash w14:val="solid"/>
                  <w14:miter w14:val="0"/>
                </w14:textOutline>
              </w:rPr>
              <w:t>分</w:t>
            </w:r>
          </w:p>
        </w:tc>
        <w:tc>
          <w:tcPr>
            <w:tcW w:w="557" w:type="dxa"/>
            <w:textDirection w:val="tbRlV"/>
            <w:vAlign w:val="top"/>
          </w:tcPr>
          <w:p w14:paraId="4E612A51">
            <w:pPr>
              <w:pStyle w:val="11"/>
              <w:spacing w:before="170" w:line="208" w:lineRule="auto"/>
              <w:ind w:left="30"/>
            </w:pPr>
            <w:r>
              <w:rPr>
                <w:spacing w:val="1"/>
                <w14:textOutline w14:w="3831" w14:cap="flat" w14:cmpd="sng">
                  <w14:solidFill>
                    <w14:srgbClr w14:val="000000"/>
                  </w14:solidFill>
                  <w14:prstDash w14:val="solid"/>
                  <w14:miter w14:val="0"/>
                </w14:textOutline>
              </w:rPr>
              <w:t>暗</w:t>
            </w:r>
            <w:r>
              <w:rPr>
                <w:spacing w:val="-48"/>
              </w:rPr>
              <w:t xml:space="preserve"> </w:t>
            </w:r>
            <w:r>
              <w:rPr>
                <w:spacing w:val="1"/>
                <w14:textOutline w14:w="3831" w14:cap="flat" w14:cmpd="sng">
                  <w14:solidFill>
                    <w14:srgbClr w14:val="000000"/>
                  </w14:solidFill>
                  <w14:prstDash w14:val="solid"/>
                  <w14:miter w14:val="0"/>
                </w14:textOutline>
              </w:rPr>
              <w:t>标</w:t>
            </w:r>
            <w:r>
              <w:rPr>
                <w:spacing w:val="-43"/>
              </w:rPr>
              <w:t xml:space="preserve"> </w:t>
            </w:r>
            <w:r>
              <w:rPr>
                <w:spacing w:val="1"/>
                <w14:textOutline w14:w="3831" w14:cap="flat" w14:cmpd="sng">
                  <w14:solidFill>
                    <w14:srgbClr w14:val="000000"/>
                  </w14:solidFill>
                  <w14:prstDash w14:val="solid"/>
                  <w14:miter w14:val="0"/>
                </w14:textOutline>
              </w:rPr>
              <w:t>编</w:t>
            </w:r>
            <w:r>
              <w:rPr>
                <w:spacing w:val="-42"/>
              </w:rPr>
              <w:t xml:space="preserve"> </w:t>
            </w:r>
            <w:r>
              <w:rPr>
                <w:spacing w:val="1"/>
                <w14:textOutline w14:w="3831" w14:cap="flat" w14:cmpd="sng">
                  <w14:solidFill>
                    <w14:srgbClr w14:val="000000"/>
                  </w14:solidFill>
                  <w14:prstDash w14:val="solid"/>
                  <w14:miter w14:val="0"/>
                </w14:textOutline>
              </w:rPr>
              <w:t>号</w:t>
            </w:r>
          </w:p>
        </w:tc>
        <w:tc>
          <w:tcPr>
            <w:tcW w:w="556" w:type="dxa"/>
            <w:textDirection w:val="tbRlV"/>
            <w:vAlign w:val="top"/>
          </w:tcPr>
          <w:p w14:paraId="53058632">
            <w:pPr>
              <w:pStyle w:val="11"/>
              <w:spacing w:before="169" w:line="208" w:lineRule="auto"/>
              <w:ind w:left="298"/>
            </w:pPr>
            <w:r>
              <w:rPr>
                <w:spacing w:val="1"/>
                <w14:textOutline w14:w="3831" w14:cap="flat" w14:cmpd="sng">
                  <w14:solidFill>
                    <w14:srgbClr w14:val="000000"/>
                  </w14:solidFill>
                  <w14:prstDash w14:val="solid"/>
                  <w14:miter w14:val="0"/>
                </w14:textOutline>
              </w:rPr>
              <w:t>得</w:t>
            </w:r>
            <w:r>
              <w:rPr>
                <w:spacing w:val="-43"/>
              </w:rPr>
              <w:t xml:space="preserve"> </w:t>
            </w:r>
            <w:r>
              <w:rPr>
                <w:spacing w:val="1"/>
                <w14:textOutline w14:w="3831" w14:cap="flat" w14:cmpd="sng">
                  <w14:solidFill>
                    <w14:srgbClr w14:val="000000"/>
                  </w14:solidFill>
                  <w14:prstDash w14:val="solid"/>
                  <w14:miter w14:val="0"/>
                </w14:textOutline>
              </w:rPr>
              <w:t>分</w:t>
            </w:r>
          </w:p>
        </w:tc>
        <w:tc>
          <w:tcPr>
            <w:tcW w:w="557" w:type="dxa"/>
            <w:textDirection w:val="tbRlV"/>
            <w:vAlign w:val="top"/>
          </w:tcPr>
          <w:p w14:paraId="6F66BDC4">
            <w:pPr>
              <w:pStyle w:val="11"/>
              <w:spacing w:before="169" w:line="208" w:lineRule="auto"/>
              <w:ind w:left="30"/>
            </w:pPr>
            <w:r>
              <w:rPr>
                <w:spacing w:val="1"/>
                <w14:textOutline w14:w="3831" w14:cap="flat" w14:cmpd="sng">
                  <w14:solidFill>
                    <w14:srgbClr w14:val="000000"/>
                  </w14:solidFill>
                  <w14:prstDash w14:val="solid"/>
                  <w14:miter w14:val="0"/>
                </w14:textOutline>
              </w:rPr>
              <w:t>暗</w:t>
            </w:r>
            <w:r>
              <w:rPr>
                <w:spacing w:val="-48"/>
              </w:rPr>
              <w:t xml:space="preserve"> </w:t>
            </w:r>
            <w:r>
              <w:rPr>
                <w:spacing w:val="1"/>
                <w14:textOutline w14:w="3831" w14:cap="flat" w14:cmpd="sng">
                  <w14:solidFill>
                    <w14:srgbClr w14:val="000000"/>
                  </w14:solidFill>
                  <w14:prstDash w14:val="solid"/>
                  <w14:miter w14:val="0"/>
                </w14:textOutline>
              </w:rPr>
              <w:t>标</w:t>
            </w:r>
            <w:r>
              <w:rPr>
                <w:spacing w:val="-43"/>
              </w:rPr>
              <w:t xml:space="preserve"> </w:t>
            </w:r>
            <w:r>
              <w:rPr>
                <w:spacing w:val="1"/>
                <w14:textOutline w14:w="3831" w14:cap="flat" w14:cmpd="sng">
                  <w14:solidFill>
                    <w14:srgbClr w14:val="000000"/>
                  </w14:solidFill>
                  <w14:prstDash w14:val="solid"/>
                  <w14:miter w14:val="0"/>
                </w14:textOutline>
              </w:rPr>
              <w:t>编</w:t>
            </w:r>
            <w:r>
              <w:rPr>
                <w:spacing w:val="-42"/>
              </w:rPr>
              <w:t xml:space="preserve"> </w:t>
            </w:r>
            <w:r>
              <w:rPr>
                <w:spacing w:val="1"/>
                <w14:textOutline w14:w="3831" w14:cap="flat" w14:cmpd="sng">
                  <w14:solidFill>
                    <w14:srgbClr w14:val="000000"/>
                  </w14:solidFill>
                  <w14:prstDash w14:val="solid"/>
                  <w14:miter w14:val="0"/>
                </w14:textOutline>
              </w:rPr>
              <w:t>号</w:t>
            </w:r>
          </w:p>
        </w:tc>
        <w:tc>
          <w:tcPr>
            <w:tcW w:w="557" w:type="dxa"/>
            <w:textDirection w:val="tbRlV"/>
            <w:vAlign w:val="top"/>
          </w:tcPr>
          <w:p w14:paraId="0120485F">
            <w:pPr>
              <w:pStyle w:val="11"/>
              <w:spacing w:before="174" w:line="208" w:lineRule="auto"/>
              <w:ind w:left="298"/>
            </w:pPr>
            <w:r>
              <w:rPr>
                <w:spacing w:val="1"/>
                <w14:textOutline w14:w="3831" w14:cap="flat" w14:cmpd="sng">
                  <w14:solidFill>
                    <w14:srgbClr w14:val="000000"/>
                  </w14:solidFill>
                  <w14:prstDash w14:val="solid"/>
                  <w14:miter w14:val="0"/>
                </w14:textOutline>
              </w:rPr>
              <w:t>得</w:t>
            </w:r>
            <w:r>
              <w:rPr>
                <w:spacing w:val="-43"/>
              </w:rPr>
              <w:t xml:space="preserve"> </w:t>
            </w:r>
            <w:r>
              <w:rPr>
                <w:spacing w:val="1"/>
                <w14:textOutline w14:w="3831" w14:cap="flat" w14:cmpd="sng">
                  <w14:solidFill>
                    <w14:srgbClr w14:val="000000"/>
                  </w14:solidFill>
                  <w14:prstDash w14:val="solid"/>
                  <w14:miter w14:val="0"/>
                </w14:textOutline>
              </w:rPr>
              <w:t>分</w:t>
            </w:r>
          </w:p>
        </w:tc>
        <w:tc>
          <w:tcPr>
            <w:tcW w:w="552" w:type="dxa"/>
            <w:textDirection w:val="tbRlV"/>
            <w:vAlign w:val="top"/>
          </w:tcPr>
          <w:p w14:paraId="3CAC3BFB">
            <w:pPr>
              <w:pStyle w:val="11"/>
              <w:spacing w:before="169" w:line="208" w:lineRule="auto"/>
              <w:ind w:left="30"/>
            </w:pPr>
            <w:r>
              <w:rPr>
                <w:spacing w:val="1"/>
                <w14:textOutline w14:w="3831" w14:cap="flat" w14:cmpd="sng">
                  <w14:solidFill>
                    <w14:srgbClr w14:val="000000"/>
                  </w14:solidFill>
                  <w14:prstDash w14:val="solid"/>
                  <w14:miter w14:val="0"/>
                </w14:textOutline>
              </w:rPr>
              <w:t>暗</w:t>
            </w:r>
            <w:r>
              <w:rPr>
                <w:spacing w:val="-48"/>
              </w:rPr>
              <w:t xml:space="preserve"> </w:t>
            </w:r>
            <w:r>
              <w:rPr>
                <w:spacing w:val="1"/>
                <w14:textOutline w14:w="3831" w14:cap="flat" w14:cmpd="sng">
                  <w14:solidFill>
                    <w14:srgbClr w14:val="000000"/>
                  </w14:solidFill>
                  <w14:prstDash w14:val="solid"/>
                  <w14:miter w14:val="0"/>
                </w14:textOutline>
              </w:rPr>
              <w:t>标</w:t>
            </w:r>
            <w:r>
              <w:rPr>
                <w:spacing w:val="-43"/>
              </w:rPr>
              <w:t xml:space="preserve"> </w:t>
            </w:r>
            <w:r>
              <w:rPr>
                <w:spacing w:val="1"/>
                <w14:textOutline w14:w="3831" w14:cap="flat" w14:cmpd="sng">
                  <w14:solidFill>
                    <w14:srgbClr w14:val="000000"/>
                  </w14:solidFill>
                  <w14:prstDash w14:val="solid"/>
                  <w14:miter w14:val="0"/>
                </w14:textOutline>
              </w:rPr>
              <w:t>编</w:t>
            </w:r>
            <w:r>
              <w:rPr>
                <w:spacing w:val="-42"/>
              </w:rPr>
              <w:t xml:space="preserve"> </w:t>
            </w:r>
            <w:r>
              <w:rPr>
                <w:spacing w:val="1"/>
                <w14:textOutline w14:w="3831" w14:cap="flat" w14:cmpd="sng">
                  <w14:solidFill>
                    <w14:srgbClr w14:val="000000"/>
                  </w14:solidFill>
                  <w14:prstDash w14:val="solid"/>
                  <w14:miter w14:val="0"/>
                </w14:textOutline>
              </w:rPr>
              <w:t>号</w:t>
            </w:r>
          </w:p>
        </w:tc>
        <w:tc>
          <w:tcPr>
            <w:tcW w:w="557" w:type="dxa"/>
            <w:textDirection w:val="tbRlV"/>
            <w:vAlign w:val="top"/>
          </w:tcPr>
          <w:p w14:paraId="31A0FAF5">
            <w:pPr>
              <w:pStyle w:val="11"/>
              <w:spacing w:before="169" w:line="208" w:lineRule="auto"/>
              <w:ind w:left="298"/>
            </w:pPr>
            <w:r>
              <w:rPr>
                <w:spacing w:val="1"/>
                <w14:textOutline w14:w="3831" w14:cap="flat" w14:cmpd="sng">
                  <w14:solidFill>
                    <w14:srgbClr w14:val="000000"/>
                  </w14:solidFill>
                  <w14:prstDash w14:val="solid"/>
                  <w14:miter w14:val="0"/>
                </w14:textOutline>
              </w:rPr>
              <w:t>得</w:t>
            </w:r>
            <w:r>
              <w:rPr>
                <w:spacing w:val="-43"/>
              </w:rPr>
              <w:t xml:space="preserve"> </w:t>
            </w:r>
            <w:r>
              <w:rPr>
                <w:spacing w:val="1"/>
                <w14:textOutline w14:w="3831" w14:cap="flat" w14:cmpd="sng">
                  <w14:solidFill>
                    <w14:srgbClr w14:val="000000"/>
                  </w14:solidFill>
                  <w14:prstDash w14:val="solid"/>
                  <w14:miter w14:val="0"/>
                </w14:textOutline>
              </w:rPr>
              <w:t>分</w:t>
            </w:r>
          </w:p>
        </w:tc>
        <w:tc>
          <w:tcPr>
            <w:tcW w:w="557" w:type="dxa"/>
            <w:textDirection w:val="tbRlV"/>
            <w:vAlign w:val="top"/>
          </w:tcPr>
          <w:p w14:paraId="0DF76858">
            <w:pPr>
              <w:pStyle w:val="11"/>
              <w:spacing w:before="169" w:line="208" w:lineRule="auto"/>
              <w:ind w:left="30"/>
            </w:pPr>
            <w:r>
              <w:rPr>
                <w:spacing w:val="1"/>
                <w14:textOutline w14:w="3831" w14:cap="flat" w14:cmpd="sng">
                  <w14:solidFill>
                    <w14:srgbClr w14:val="000000"/>
                  </w14:solidFill>
                  <w14:prstDash w14:val="solid"/>
                  <w14:miter w14:val="0"/>
                </w14:textOutline>
              </w:rPr>
              <w:t>暗</w:t>
            </w:r>
            <w:r>
              <w:rPr>
                <w:spacing w:val="-48"/>
              </w:rPr>
              <w:t xml:space="preserve"> </w:t>
            </w:r>
            <w:r>
              <w:rPr>
                <w:spacing w:val="1"/>
                <w14:textOutline w14:w="3831" w14:cap="flat" w14:cmpd="sng">
                  <w14:solidFill>
                    <w14:srgbClr w14:val="000000"/>
                  </w14:solidFill>
                  <w14:prstDash w14:val="solid"/>
                  <w14:miter w14:val="0"/>
                </w14:textOutline>
              </w:rPr>
              <w:t>标</w:t>
            </w:r>
            <w:r>
              <w:rPr>
                <w:spacing w:val="-43"/>
              </w:rPr>
              <w:t xml:space="preserve"> </w:t>
            </w:r>
            <w:r>
              <w:rPr>
                <w:spacing w:val="1"/>
                <w14:textOutline w14:w="3831" w14:cap="flat" w14:cmpd="sng">
                  <w14:solidFill>
                    <w14:srgbClr w14:val="000000"/>
                  </w14:solidFill>
                  <w14:prstDash w14:val="solid"/>
                  <w14:miter w14:val="0"/>
                </w14:textOutline>
              </w:rPr>
              <w:t>编</w:t>
            </w:r>
            <w:r>
              <w:rPr>
                <w:spacing w:val="-42"/>
              </w:rPr>
              <w:t xml:space="preserve"> </w:t>
            </w:r>
            <w:r>
              <w:rPr>
                <w:spacing w:val="1"/>
                <w14:textOutline w14:w="3831" w14:cap="flat" w14:cmpd="sng">
                  <w14:solidFill>
                    <w14:srgbClr w14:val="000000"/>
                  </w14:solidFill>
                  <w14:prstDash w14:val="solid"/>
                  <w14:miter w14:val="0"/>
                </w14:textOutline>
              </w:rPr>
              <w:t>号</w:t>
            </w:r>
          </w:p>
        </w:tc>
        <w:tc>
          <w:tcPr>
            <w:tcW w:w="557" w:type="dxa"/>
            <w:textDirection w:val="tbRlV"/>
            <w:vAlign w:val="top"/>
          </w:tcPr>
          <w:p w14:paraId="6ACE7923">
            <w:pPr>
              <w:pStyle w:val="11"/>
              <w:spacing w:before="169" w:line="208" w:lineRule="auto"/>
              <w:ind w:left="298"/>
            </w:pPr>
            <w:r>
              <w:rPr>
                <w:spacing w:val="1"/>
                <w14:textOutline w14:w="3831" w14:cap="flat" w14:cmpd="sng">
                  <w14:solidFill>
                    <w14:srgbClr w14:val="000000"/>
                  </w14:solidFill>
                  <w14:prstDash w14:val="solid"/>
                  <w14:miter w14:val="0"/>
                </w14:textOutline>
              </w:rPr>
              <w:t>得</w:t>
            </w:r>
            <w:r>
              <w:rPr>
                <w:spacing w:val="-43"/>
              </w:rPr>
              <w:t xml:space="preserve"> </w:t>
            </w:r>
            <w:r>
              <w:rPr>
                <w:spacing w:val="1"/>
                <w14:textOutline w14:w="3831" w14:cap="flat" w14:cmpd="sng">
                  <w14:solidFill>
                    <w14:srgbClr w14:val="000000"/>
                  </w14:solidFill>
                  <w14:prstDash w14:val="solid"/>
                  <w14:miter w14:val="0"/>
                </w14:textOutline>
              </w:rPr>
              <w:t>分</w:t>
            </w:r>
          </w:p>
        </w:tc>
        <w:tc>
          <w:tcPr>
            <w:tcW w:w="557" w:type="dxa"/>
            <w:textDirection w:val="tbRlV"/>
            <w:vAlign w:val="top"/>
          </w:tcPr>
          <w:p w14:paraId="298F9A5B">
            <w:pPr>
              <w:pStyle w:val="11"/>
              <w:spacing w:before="174" w:line="208" w:lineRule="auto"/>
              <w:ind w:left="30"/>
            </w:pPr>
            <w:r>
              <w:rPr>
                <w:spacing w:val="1"/>
                <w14:textOutline w14:w="3831" w14:cap="flat" w14:cmpd="sng">
                  <w14:solidFill>
                    <w14:srgbClr w14:val="000000"/>
                  </w14:solidFill>
                  <w14:prstDash w14:val="solid"/>
                  <w14:miter w14:val="0"/>
                </w14:textOutline>
              </w:rPr>
              <w:t>暗</w:t>
            </w:r>
            <w:r>
              <w:rPr>
                <w:spacing w:val="-48"/>
              </w:rPr>
              <w:t xml:space="preserve"> </w:t>
            </w:r>
            <w:r>
              <w:rPr>
                <w:spacing w:val="1"/>
                <w14:textOutline w14:w="3831" w14:cap="flat" w14:cmpd="sng">
                  <w14:solidFill>
                    <w14:srgbClr w14:val="000000"/>
                  </w14:solidFill>
                  <w14:prstDash w14:val="solid"/>
                  <w14:miter w14:val="0"/>
                </w14:textOutline>
              </w:rPr>
              <w:t>标</w:t>
            </w:r>
            <w:r>
              <w:rPr>
                <w:spacing w:val="-43"/>
              </w:rPr>
              <w:t xml:space="preserve"> </w:t>
            </w:r>
            <w:r>
              <w:rPr>
                <w:spacing w:val="1"/>
                <w14:textOutline w14:w="3831" w14:cap="flat" w14:cmpd="sng">
                  <w14:solidFill>
                    <w14:srgbClr w14:val="000000"/>
                  </w14:solidFill>
                  <w14:prstDash w14:val="solid"/>
                  <w14:miter w14:val="0"/>
                </w14:textOutline>
              </w:rPr>
              <w:t>编</w:t>
            </w:r>
            <w:r>
              <w:rPr>
                <w:spacing w:val="-42"/>
              </w:rPr>
              <w:t xml:space="preserve"> </w:t>
            </w:r>
            <w:r>
              <w:rPr>
                <w:spacing w:val="1"/>
                <w14:textOutline w14:w="3831" w14:cap="flat" w14:cmpd="sng">
                  <w14:solidFill>
                    <w14:srgbClr w14:val="000000"/>
                  </w14:solidFill>
                  <w14:prstDash w14:val="solid"/>
                  <w14:miter w14:val="0"/>
                </w14:textOutline>
              </w:rPr>
              <w:t>号</w:t>
            </w:r>
          </w:p>
        </w:tc>
        <w:tc>
          <w:tcPr>
            <w:tcW w:w="552" w:type="dxa"/>
            <w:textDirection w:val="tbRlV"/>
            <w:vAlign w:val="top"/>
          </w:tcPr>
          <w:p w14:paraId="725A21BE">
            <w:pPr>
              <w:pStyle w:val="11"/>
              <w:spacing w:before="169" w:line="208" w:lineRule="auto"/>
              <w:ind w:left="298"/>
            </w:pPr>
            <w:r>
              <w:rPr>
                <w:spacing w:val="1"/>
                <w14:textOutline w14:w="3831" w14:cap="flat" w14:cmpd="sng">
                  <w14:solidFill>
                    <w14:srgbClr w14:val="000000"/>
                  </w14:solidFill>
                  <w14:prstDash w14:val="solid"/>
                  <w14:miter w14:val="0"/>
                </w14:textOutline>
              </w:rPr>
              <w:t>得</w:t>
            </w:r>
            <w:r>
              <w:rPr>
                <w:spacing w:val="-43"/>
              </w:rPr>
              <w:t xml:space="preserve"> </w:t>
            </w:r>
            <w:r>
              <w:rPr>
                <w:spacing w:val="1"/>
                <w14:textOutline w14:w="3831" w14:cap="flat" w14:cmpd="sng">
                  <w14:solidFill>
                    <w14:srgbClr w14:val="000000"/>
                  </w14:solidFill>
                  <w14:prstDash w14:val="solid"/>
                  <w14:miter w14:val="0"/>
                </w14:textOutline>
              </w:rPr>
              <w:t>分</w:t>
            </w:r>
          </w:p>
        </w:tc>
        <w:tc>
          <w:tcPr>
            <w:tcW w:w="556" w:type="dxa"/>
            <w:textDirection w:val="tbRlV"/>
            <w:vAlign w:val="top"/>
          </w:tcPr>
          <w:p w14:paraId="2F18BE2C">
            <w:pPr>
              <w:pStyle w:val="11"/>
              <w:spacing w:before="168" w:line="208" w:lineRule="auto"/>
              <w:ind w:left="30"/>
            </w:pPr>
            <w:r>
              <w:rPr>
                <w:spacing w:val="1"/>
                <w14:textOutline w14:w="3831" w14:cap="flat" w14:cmpd="sng">
                  <w14:solidFill>
                    <w14:srgbClr w14:val="000000"/>
                  </w14:solidFill>
                  <w14:prstDash w14:val="solid"/>
                  <w14:miter w14:val="0"/>
                </w14:textOutline>
              </w:rPr>
              <w:t>暗</w:t>
            </w:r>
            <w:r>
              <w:rPr>
                <w:spacing w:val="-48"/>
              </w:rPr>
              <w:t xml:space="preserve"> </w:t>
            </w:r>
            <w:r>
              <w:rPr>
                <w:spacing w:val="1"/>
                <w14:textOutline w14:w="3831" w14:cap="flat" w14:cmpd="sng">
                  <w14:solidFill>
                    <w14:srgbClr w14:val="000000"/>
                  </w14:solidFill>
                  <w14:prstDash w14:val="solid"/>
                  <w14:miter w14:val="0"/>
                </w14:textOutline>
              </w:rPr>
              <w:t>标</w:t>
            </w:r>
            <w:r>
              <w:rPr>
                <w:spacing w:val="-43"/>
              </w:rPr>
              <w:t xml:space="preserve"> </w:t>
            </w:r>
            <w:r>
              <w:rPr>
                <w:spacing w:val="1"/>
                <w14:textOutline w14:w="3831" w14:cap="flat" w14:cmpd="sng">
                  <w14:solidFill>
                    <w14:srgbClr w14:val="000000"/>
                  </w14:solidFill>
                  <w14:prstDash w14:val="solid"/>
                  <w14:miter w14:val="0"/>
                </w14:textOutline>
              </w:rPr>
              <w:t>编</w:t>
            </w:r>
            <w:r>
              <w:rPr>
                <w:spacing w:val="-42"/>
              </w:rPr>
              <w:t xml:space="preserve"> </w:t>
            </w:r>
            <w:r>
              <w:rPr>
                <w:spacing w:val="1"/>
                <w14:textOutline w14:w="3831" w14:cap="flat" w14:cmpd="sng">
                  <w14:solidFill>
                    <w14:srgbClr w14:val="000000"/>
                  </w14:solidFill>
                  <w14:prstDash w14:val="solid"/>
                  <w14:miter w14:val="0"/>
                </w14:textOutline>
              </w:rPr>
              <w:t>号</w:t>
            </w:r>
          </w:p>
        </w:tc>
        <w:tc>
          <w:tcPr>
            <w:tcW w:w="557" w:type="dxa"/>
            <w:textDirection w:val="tbRlV"/>
            <w:vAlign w:val="top"/>
          </w:tcPr>
          <w:p w14:paraId="046CE679">
            <w:pPr>
              <w:pStyle w:val="11"/>
              <w:spacing w:before="168" w:line="208" w:lineRule="auto"/>
              <w:ind w:left="298"/>
            </w:pPr>
            <w:r>
              <w:rPr>
                <w:spacing w:val="1"/>
                <w14:textOutline w14:w="3831" w14:cap="flat" w14:cmpd="sng">
                  <w14:solidFill>
                    <w14:srgbClr w14:val="000000"/>
                  </w14:solidFill>
                  <w14:prstDash w14:val="solid"/>
                  <w14:miter w14:val="0"/>
                </w14:textOutline>
              </w:rPr>
              <w:t>得</w:t>
            </w:r>
            <w:r>
              <w:rPr>
                <w:spacing w:val="-43"/>
              </w:rPr>
              <w:t xml:space="preserve"> </w:t>
            </w:r>
            <w:r>
              <w:rPr>
                <w:spacing w:val="1"/>
                <w14:textOutline w14:w="3831" w14:cap="flat" w14:cmpd="sng">
                  <w14:solidFill>
                    <w14:srgbClr w14:val="000000"/>
                  </w14:solidFill>
                  <w14:prstDash w14:val="solid"/>
                  <w14:miter w14:val="0"/>
                </w14:textOutline>
              </w:rPr>
              <w:t>分</w:t>
            </w:r>
          </w:p>
        </w:tc>
        <w:tc>
          <w:tcPr>
            <w:tcW w:w="557" w:type="dxa"/>
            <w:textDirection w:val="tbRlV"/>
            <w:vAlign w:val="top"/>
          </w:tcPr>
          <w:p w14:paraId="0AA78719">
            <w:pPr>
              <w:pStyle w:val="11"/>
              <w:spacing w:before="168" w:line="208" w:lineRule="auto"/>
              <w:ind w:left="30"/>
            </w:pPr>
            <w:r>
              <w:rPr>
                <w:spacing w:val="1"/>
                <w14:textOutline w14:w="3831" w14:cap="flat" w14:cmpd="sng">
                  <w14:solidFill>
                    <w14:srgbClr w14:val="000000"/>
                  </w14:solidFill>
                  <w14:prstDash w14:val="solid"/>
                  <w14:miter w14:val="0"/>
                </w14:textOutline>
              </w:rPr>
              <w:t>暗</w:t>
            </w:r>
            <w:r>
              <w:rPr>
                <w:spacing w:val="-48"/>
              </w:rPr>
              <w:t xml:space="preserve"> </w:t>
            </w:r>
            <w:r>
              <w:rPr>
                <w:spacing w:val="1"/>
                <w14:textOutline w14:w="3831" w14:cap="flat" w14:cmpd="sng">
                  <w14:solidFill>
                    <w14:srgbClr w14:val="000000"/>
                  </w14:solidFill>
                  <w14:prstDash w14:val="solid"/>
                  <w14:miter w14:val="0"/>
                </w14:textOutline>
              </w:rPr>
              <w:t>标</w:t>
            </w:r>
            <w:r>
              <w:rPr>
                <w:spacing w:val="-43"/>
              </w:rPr>
              <w:t xml:space="preserve"> </w:t>
            </w:r>
            <w:r>
              <w:rPr>
                <w:spacing w:val="1"/>
                <w14:textOutline w14:w="3831" w14:cap="flat" w14:cmpd="sng">
                  <w14:solidFill>
                    <w14:srgbClr w14:val="000000"/>
                  </w14:solidFill>
                  <w14:prstDash w14:val="solid"/>
                  <w14:miter w14:val="0"/>
                </w14:textOutline>
              </w:rPr>
              <w:t>编</w:t>
            </w:r>
            <w:r>
              <w:rPr>
                <w:spacing w:val="-42"/>
              </w:rPr>
              <w:t xml:space="preserve"> </w:t>
            </w:r>
            <w:r>
              <w:rPr>
                <w:spacing w:val="1"/>
                <w14:textOutline w14:w="3831" w14:cap="flat" w14:cmpd="sng">
                  <w14:solidFill>
                    <w14:srgbClr w14:val="000000"/>
                  </w14:solidFill>
                  <w14:prstDash w14:val="solid"/>
                  <w14:miter w14:val="0"/>
                </w14:textOutline>
              </w:rPr>
              <w:t>号</w:t>
            </w:r>
          </w:p>
        </w:tc>
        <w:tc>
          <w:tcPr>
            <w:tcW w:w="470" w:type="dxa"/>
            <w:textDirection w:val="tbRlV"/>
            <w:vAlign w:val="top"/>
          </w:tcPr>
          <w:p w14:paraId="3095CAF7">
            <w:pPr>
              <w:pStyle w:val="11"/>
              <w:spacing w:before="125" w:line="208" w:lineRule="auto"/>
              <w:ind w:left="298"/>
            </w:pPr>
            <w:r>
              <w:rPr>
                <w:spacing w:val="1"/>
                <w14:textOutline w14:w="3831" w14:cap="flat" w14:cmpd="sng">
                  <w14:solidFill>
                    <w14:srgbClr w14:val="000000"/>
                  </w14:solidFill>
                  <w14:prstDash w14:val="solid"/>
                  <w14:miter w14:val="0"/>
                </w14:textOutline>
              </w:rPr>
              <w:t>得</w:t>
            </w:r>
            <w:r>
              <w:rPr>
                <w:spacing w:val="-43"/>
              </w:rPr>
              <w:t xml:space="preserve"> </w:t>
            </w:r>
            <w:r>
              <w:rPr>
                <w:spacing w:val="1"/>
                <w14:textOutline w14:w="3831" w14:cap="flat" w14:cmpd="sng">
                  <w14:solidFill>
                    <w14:srgbClr w14:val="000000"/>
                  </w14:solidFill>
                  <w14:prstDash w14:val="solid"/>
                  <w14:miter w14:val="0"/>
                </w14:textOutline>
              </w:rPr>
              <w:t>分</w:t>
            </w:r>
          </w:p>
        </w:tc>
        <w:tc>
          <w:tcPr>
            <w:tcW w:w="1200" w:type="dxa"/>
            <w:vMerge w:val="continue"/>
            <w:tcBorders>
              <w:top w:val="nil"/>
            </w:tcBorders>
            <w:vAlign w:val="top"/>
          </w:tcPr>
          <w:p w14:paraId="4E37493A">
            <w:pPr>
              <w:rPr>
                <w:rFonts w:ascii="Arial"/>
                <w:sz w:val="21"/>
              </w:rPr>
            </w:pPr>
          </w:p>
        </w:tc>
      </w:tr>
      <w:tr w14:paraId="05826A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638" w:type="dxa"/>
            <w:vAlign w:val="top"/>
          </w:tcPr>
          <w:p w14:paraId="1D6E8440">
            <w:pPr>
              <w:pStyle w:val="11"/>
              <w:spacing w:before="209" w:line="183" w:lineRule="auto"/>
              <w:ind w:left="287"/>
            </w:pPr>
            <w:r>
              <w:t>1</w:t>
            </w:r>
          </w:p>
        </w:tc>
        <w:tc>
          <w:tcPr>
            <w:tcW w:w="2203" w:type="dxa"/>
            <w:vAlign w:val="top"/>
          </w:tcPr>
          <w:p w14:paraId="706CD6E9">
            <w:pPr>
              <w:rPr>
                <w:rFonts w:ascii="Arial"/>
                <w:sz w:val="21"/>
              </w:rPr>
            </w:pPr>
          </w:p>
        </w:tc>
        <w:tc>
          <w:tcPr>
            <w:tcW w:w="557" w:type="dxa"/>
            <w:vAlign w:val="top"/>
          </w:tcPr>
          <w:p w14:paraId="32BCB6F9">
            <w:pPr>
              <w:rPr>
                <w:rFonts w:ascii="Arial"/>
                <w:sz w:val="21"/>
              </w:rPr>
            </w:pPr>
          </w:p>
        </w:tc>
        <w:tc>
          <w:tcPr>
            <w:tcW w:w="556" w:type="dxa"/>
            <w:vAlign w:val="top"/>
          </w:tcPr>
          <w:p w14:paraId="3D61AE8C">
            <w:pPr>
              <w:rPr>
                <w:rFonts w:ascii="Arial"/>
                <w:sz w:val="21"/>
              </w:rPr>
            </w:pPr>
          </w:p>
        </w:tc>
        <w:tc>
          <w:tcPr>
            <w:tcW w:w="552" w:type="dxa"/>
            <w:vAlign w:val="top"/>
          </w:tcPr>
          <w:p w14:paraId="5D6B22AB">
            <w:pPr>
              <w:rPr>
                <w:rFonts w:ascii="Arial"/>
                <w:sz w:val="21"/>
              </w:rPr>
            </w:pPr>
          </w:p>
        </w:tc>
        <w:tc>
          <w:tcPr>
            <w:tcW w:w="557" w:type="dxa"/>
            <w:vAlign w:val="top"/>
          </w:tcPr>
          <w:p w14:paraId="3F6FD1F2">
            <w:pPr>
              <w:rPr>
                <w:rFonts w:ascii="Arial"/>
                <w:sz w:val="21"/>
              </w:rPr>
            </w:pPr>
          </w:p>
        </w:tc>
        <w:tc>
          <w:tcPr>
            <w:tcW w:w="557" w:type="dxa"/>
            <w:vAlign w:val="top"/>
          </w:tcPr>
          <w:p w14:paraId="0E09C7D6">
            <w:pPr>
              <w:rPr>
                <w:rFonts w:ascii="Arial"/>
                <w:sz w:val="21"/>
              </w:rPr>
            </w:pPr>
          </w:p>
        </w:tc>
        <w:tc>
          <w:tcPr>
            <w:tcW w:w="556" w:type="dxa"/>
            <w:vAlign w:val="top"/>
          </w:tcPr>
          <w:p w14:paraId="08FAC472">
            <w:pPr>
              <w:rPr>
                <w:rFonts w:ascii="Arial"/>
                <w:sz w:val="21"/>
              </w:rPr>
            </w:pPr>
          </w:p>
        </w:tc>
        <w:tc>
          <w:tcPr>
            <w:tcW w:w="557" w:type="dxa"/>
            <w:vAlign w:val="top"/>
          </w:tcPr>
          <w:p w14:paraId="50E6CB56">
            <w:pPr>
              <w:rPr>
                <w:rFonts w:ascii="Arial"/>
                <w:sz w:val="21"/>
              </w:rPr>
            </w:pPr>
          </w:p>
        </w:tc>
        <w:tc>
          <w:tcPr>
            <w:tcW w:w="557" w:type="dxa"/>
            <w:vAlign w:val="top"/>
          </w:tcPr>
          <w:p w14:paraId="6EA0A144">
            <w:pPr>
              <w:rPr>
                <w:rFonts w:ascii="Arial"/>
                <w:sz w:val="21"/>
              </w:rPr>
            </w:pPr>
          </w:p>
        </w:tc>
        <w:tc>
          <w:tcPr>
            <w:tcW w:w="552" w:type="dxa"/>
            <w:vAlign w:val="top"/>
          </w:tcPr>
          <w:p w14:paraId="1C3E91FE">
            <w:pPr>
              <w:rPr>
                <w:rFonts w:ascii="Arial"/>
                <w:sz w:val="21"/>
              </w:rPr>
            </w:pPr>
          </w:p>
        </w:tc>
        <w:tc>
          <w:tcPr>
            <w:tcW w:w="557" w:type="dxa"/>
            <w:vAlign w:val="top"/>
          </w:tcPr>
          <w:p w14:paraId="067171DD">
            <w:pPr>
              <w:rPr>
                <w:rFonts w:ascii="Arial"/>
                <w:sz w:val="21"/>
              </w:rPr>
            </w:pPr>
          </w:p>
        </w:tc>
        <w:tc>
          <w:tcPr>
            <w:tcW w:w="557" w:type="dxa"/>
            <w:vAlign w:val="top"/>
          </w:tcPr>
          <w:p w14:paraId="190BE772">
            <w:pPr>
              <w:rPr>
                <w:rFonts w:ascii="Arial"/>
                <w:sz w:val="21"/>
              </w:rPr>
            </w:pPr>
          </w:p>
        </w:tc>
        <w:tc>
          <w:tcPr>
            <w:tcW w:w="557" w:type="dxa"/>
            <w:vAlign w:val="top"/>
          </w:tcPr>
          <w:p w14:paraId="73341B3D">
            <w:pPr>
              <w:rPr>
                <w:rFonts w:ascii="Arial"/>
                <w:sz w:val="21"/>
              </w:rPr>
            </w:pPr>
          </w:p>
        </w:tc>
        <w:tc>
          <w:tcPr>
            <w:tcW w:w="557" w:type="dxa"/>
            <w:vAlign w:val="top"/>
          </w:tcPr>
          <w:p w14:paraId="584A2F9D">
            <w:pPr>
              <w:rPr>
                <w:rFonts w:ascii="Arial"/>
                <w:sz w:val="21"/>
              </w:rPr>
            </w:pPr>
          </w:p>
        </w:tc>
        <w:tc>
          <w:tcPr>
            <w:tcW w:w="552" w:type="dxa"/>
            <w:vAlign w:val="top"/>
          </w:tcPr>
          <w:p w14:paraId="39C782DC">
            <w:pPr>
              <w:rPr>
                <w:rFonts w:ascii="Arial"/>
                <w:sz w:val="21"/>
              </w:rPr>
            </w:pPr>
          </w:p>
        </w:tc>
        <w:tc>
          <w:tcPr>
            <w:tcW w:w="556" w:type="dxa"/>
            <w:vAlign w:val="top"/>
          </w:tcPr>
          <w:p w14:paraId="6E33F364">
            <w:pPr>
              <w:rPr>
                <w:rFonts w:ascii="Arial"/>
                <w:sz w:val="21"/>
              </w:rPr>
            </w:pPr>
          </w:p>
        </w:tc>
        <w:tc>
          <w:tcPr>
            <w:tcW w:w="557" w:type="dxa"/>
            <w:vAlign w:val="top"/>
          </w:tcPr>
          <w:p w14:paraId="508F0C25">
            <w:pPr>
              <w:rPr>
                <w:rFonts w:ascii="Arial"/>
                <w:sz w:val="21"/>
              </w:rPr>
            </w:pPr>
          </w:p>
        </w:tc>
        <w:tc>
          <w:tcPr>
            <w:tcW w:w="557" w:type="dxa"/>
            <w:vAlign w:val="top"/>
          </w:tcPr>
          <w:p w14:paraId="6C937009">
            <w:pPr>
              <w:rPr>
                <w:rFonts w:ascii="Arial"/>
                <w:sz w:val="21"/>
              </w:rPr>
            </w:pPr>
          </w:p>
        </w:tc>
        <w:tc>
          <w:tcPr>
            <w:tcW w:w="470" w:type="dxa"/>
            <w:vAlign w:val="top"/>
          </w:tcPr>
          <w:p w14:paraId="45A1FBA9">
            <w:pPr>
              <w:rPr>
                <w:rFonts w:ascii="Arial"/>
                <w:sz w:val="21"/>
              </w:rPr>
            </w:pPr>
          </w:p>
        </w:tc>
        <w:tc>
          <w:tcPr>
            <w:tcW w:w="1200" w:type="dxa"/>
            <w:vAlign w:val="top"/>
          </w:tcPr>
          <w:p w14:paraId="4CA3E945">
            <w:pPr>
              <w:rPr>
                <w:rFonts w:ascii="Arial"/>
                <w:sz w:val="21"/>
              </w:rPr>
            </w:pPr>
          </w:p>
        </w:tc>
      </w:tr>
      <w:tr w14:paraId="69A169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70" w:hRule="atLeast"/>
        </w:trPr>
        <w:tc>
          <w:tcPr>
            <w:tcW w:w="638" w:type="dxa"/>
            <w:vAlign w:val="top"/>
          </w:tcPr>
          <w:p w14:paraId="4D44EA6A">
            <w:pPr>
              <w:pStyle w:val="11"/>
              <w:spacing w:before="215" w:line="182" w:lineRule="auto"/>
              <w:ind w:left="274"/>
            </w:pPr>
            <w:r>
              <w:t>2</w:t>
            </w:r>
          </w:p>
        </w:tc>
        <w:tc>
          <w:tcPr>
            <w:tcW w:w="2203" w:type="dxa"/>
            <w:vAlign w:val="top"/>
          </w:tcPr>
          <w:p w14:paraId="62C8918E">
            <w:pPr>
              <w:rPr>
                <w:rFonts w:ascii="Arial"/>
                <w:sz w:val="21"/>
              </w:rPr>
            </w:pPr>
          </w:p>
        </w:tc>
        <w:tc>
          <w:tcPr>
            <w:tcW w:w="557" w:type="dxa"/>
            <w:vAlign w:val="top"/>
          </w:tcPr>
          <w:p w14:paraId="2C230F72">
            <w:pPr>
              <w:rPr>
                <w:rFonts w:ascii="Arial"/>
                <w:sz w:val="21"/>
              </w:rPr>
            </w:pPr>
          </w:p>
        </w:tc>
        <w:tc>
          <w:tcPr>
            <w:tcW w:w="556" w:type="dxa"/>
            <w:vAlign w:val="top"/>
          </w:tcPr>
          <w:p w14:paraId="1179E7B2">
            <w:pPr>
              <w:rPr>
                <w:rFonts w:ascii="Arial"/>
                <w:sz w:val="21"/>
              </w:rPr>
            </w:pPr>
          </w:p>
        </w:tc>
        <w:tc>
          <w:tcPr>
            <w:tcW w:w="552" w:type="dxa"/>
            <w:vAlign w:val="top"/>
          </w:tcPr>
          <w:p w14:paraId="1C2FDDCD">
            <w:pPr>
              <w:rPr>
                <w:rFonts w:ascii="Arial"/>
                <w:sz w:val="21"/>
              </w:rPr>
            </w:pPr>
          </w:p>
        </w:tc>
        <w:tc>
          <w:tcPr>
            <w:tcW w:w="557" w:type="dxa"/>
            <w:vAlign w:val="top"/>
          </w:tcPr>
          <w:p w14:paraId="4B321F08">
            <w:pPr>
              <w:rPr>
                <w:rFonts w:ascii="Arial"/>
                <w:sz w:val="21"/>
              </w:rPr>
            </w:pPr>
          </w:p>
        </w:tc>
        <w:tc>
          <w:tcPr>
            <w:tcW w:w="557" w:type="dxa"/>
            <w:vAlign w:val="top"/>
          </w:tcPr>
          <w:p w14:paraId="3D3D3DCB">
            <w:pPr>
              <w:rPr>
                <w:rFonts w:ascii="Arial"/>
                <w:sz w:val="21"/>
              </w:rPr>
            </w:pPr>
          </w:p>
        </w:tc>
        <w:tc>
          <w:tcPr>
            <w:tcW w:w="556" w:type="dxa"/>
            <w:vAlign w:val="top"/>
          </w:tcPr>
          <w:p w14:paraId="4561B428">
            <w:pPr>
              <w:rPr>
                <w:rFonts w:ascii="Arial"/>
                <w:sz w:val="21"/>
              </w:rPr>
            </w:pPr>
          </w:p>
        </w:tc>
        <w:tc>
          <w:tcPr>
            <w:tcW w:w="557" w:type="dxa"/>
            <w:vAlign w:val="top"/>
          </w:tcPr>
          <w:p w14:paraId="45035E6E">
            <w:pPr>
              <w:rPr>
                <w:rFonts w:ascii="Arial"/>
                <w:sz w:val="21"/>
              </w:rPr>
            </w:pPr>
          </w:p>
        </w:tc>
        <w:tc>
          <w:tcPr>
            <w:tcW w:w="557" w:type="dxa"/>
            <w:vAlign w:val="top"/>
          </w:tcPr>
          <w:p w14:paraId="174DCE89">
            <w:pPr>
              <w:rPr>
                <w:rFonts w:ascii="Arial"/>
                <w:sz w:val="21"/>
              </w:rPr>
            </w:pPr>
          </w:p>
        </w:tc>
        <w:tc>
          <w:tcPr>
            <w:tcW w:w="552" w:type="dxa"/>
            <w:vAlign w:val="top"/>
          </w:tcPr>
          <w:p w14:paraId="6EFEAB41">
            <w:pPr>
              <w:rPr>
                <w:rFonts w:ascii="Arial"/>
                <w:sz w:val="21"/>
              </w:rPr>
            </w:pPr>
          </w:p>
        </w:tc>
        <w:tc>
          <w:tcPr>
            <w:tcW w:w="557" w:type="dxa"/>
            <w:vAlign w:val="top"/>
          </w:tcPr>
          <w:p w14:paraId="7A08FB90">
            <w:pPr>
              <w:rPr>
                <w:rFonts w:ascii="Arial"/>
                <w:sz w:val="21"/>
              </w:rPr>
            </w:pPr>
          </w:p>
        </w:tc>
        <w:tc>
          <w:tcPr>
            <w:tcW w:w="557" w:type="dxa"/>
            <w:vAlign w:val="top"/>
          </w:tcPr>
          <w:p w14:paraId="4F3467D6">
            <w:pPr>
              <w:rPr>
                <w:rFonts w:ascii="Arial"/>
                <w:sz w:val="21"/>
              </w:rPr>
            </w:pPr>
          </w:p>
        </w:tc>
        <w:tc>
          <w:tcPr>
            <w:tcW w:w="557" w:type="dxa"/>
            <w:vAlign w:val="top"/>
          </w:tcPr>
          <w:p w14:paraId="4B1B9368">
            <w:pPr>
              <w:rPr>
                <w:rFonts w:ascii="Arial"/>
                <w:sz w:val="21"/>
              </w:rPr>
            </w:pPr>
          </w:p>
        </w:tc>
        <w:tc>
          <w:tcPr>
            <w:tcW w:w="557" w:type="dxa"/>
            <w:vAlign w:val="top"/>
          </w:tcPr>
          <w:p w14:paraId="181D8989">
            <w:pPr>
              <w:rPr>
                <w:rFonts w:ascii="Arial"/>
                <w:sz w:val="21"/>
              </w:rPr>
            </w:pPr>
          </w:p>
        </w:tc>
        <w:tc>
          <w:tcPr>
            <w:tcW w:w="552" w:type="dxa"/>
            <w:vAlign w:val="top"/>
          </w:tcPr>
          <w:p w14:paraId="124C254A">
            <w:pPr>
              <w:rPr>
                <w:rFonts w:ascii="Arial"/>
                <w:sz w:val="21"/>
              </w:rPr>
            </w:pPr>
          </w:p>
        </w:tc>
        <w:tc>
          <w:tcPr>
            <w:tcW w:w="556" w:type="dxa"/>
            <w:vAlign w:val="top"/>
          </w:tcPr>
          <w:p w14:paraId="33846BF5">
            <w:pPr>
              <w:rPr>
                <w:rFonts w:ascii="Arial"/>
                <w:sz w:val="21"/>
              </w:rPr>
            </w:pPr>
          </w:p>
        </w:tc>
        <w:tc>
          <w:tcPr>
            <w:tcW w:w="557" w:type="dxa"/>
            <w:vAlign w:val="top"/>
          </w:tcPr>
          <w:p w14:paraId="3EE52818">
            <w:pPr>
              <w:rPr>
                <w:rFonts w:ascii="Arial"/>
                <w:sz w:val="21"/>
              </w:rPr>
            </w:pPr>
          </w:p>
        </w:tc>
        <w:tc>
          <w:tcPr>
            <w:tcW w:w="557" w:type="dxa"/>
            <w:vAlign w:val="top"/>
          </w:tcPr>
          <w:p w14:paraId="7CFC622E">
            <w:pPr>
              <w:rPr>
                <w:rFonts w:ascii="Arial"/>
                <w:sz w:val="21"/>
              </w:rPr>
            </w:pPr>
          </w:p>
        </w:tc>
        <w:tc>
          <w:tcPr>
            <w:tcW w:w="470" w:type="dxa"/>
            <w:vAlign w:val="top"/>
          </w:tcPr>
          <w:p w14:paraId="14FD1CD8">
            <w:pPr>
              <w:rPr>
                <w:rFonts w:ascii="Arial"/>
                <w:sz w:val="21"/>
              </w:rPr>
            </w:pPr>
          </w:p>
        </w:tc>
        <w:tc>
          <w:tcPr>
            <w:tcW w:w="1200" w:type="dxa"/>
            <w:vAlign w:val="top"/>
          </w:tcPr>
          <w:p w14:paraId="5FC256B8">
            <w:pPr>
              <w:rPr>
                <w:rFonts w:ascii="Arial"/>
                <w:sz w:val="21"/>
              </w:rPr>
            </w:pPr>
          </w:p>
        </w:tc>
      </w:tr>
      <w:tr w14:paraId="385432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638" w:type="dxa"/>
            <w:vAlign w:val="top"/>
          </w:tcPr>
          <w:p w14:paraId="605F7199">
            <w:pPr>
              <w:pStyle w:val="11"/>
              <w:spacing w:before="217" w:line="182" w:lineRule="auto"/>
              <w:ind w:left="276"/>
            </w:pPr>
            <w:r>
              <w:t>3</w:t>
            </w:r>
          </w:p>
        </w:tc>
        <w:tc>
          <w:tcPr>
            <w:tcW w:w="2203" w:type="dxa"/>
            <w:vAlign w:val="top"/>
          </w:tcPr>
          <w:p w14:paraId="525F017A">
            <w:pPr>
              <w:rPr>
                <w:rFonts w:ascii="Arial"/>
                <w:sz w:val="21"/>
              </w:rPr>
            </w:pPr>
          </w:p>
        </w:tc>
        <w:tc>
          <w:tcPr>
            <w:tcW w:w="557" w:type="dxa"/>
            <w:vAlign w:val="top"/>
          </w:tcPr>
          <w:p w14:paraId="5B7C9355">
            <w:pPr>
              <w:rPr>
                <w:rFonts w:ascii="Arial"/>
                <w:sz w:val="21"/>
              </w:rPr>
            </w:pPr>
          </w:p>
        </w:tc>
        <w:tc>
          <w:tcPr>
            <w:tcW w:w="556" w:type="dxa"/>
            <w:vAlign w:val="top"/>
          </w:tcPr>
          <w:p w14:paraId="44500A76">
            <w:pPr>
              <w:rPr>
                <w:rFonts w:ascii="Arial"/>
                <w:sz w:val="21"/>
              </w:rPr>
            </w:pPr>
          </w:p>
        </w:tc>
        <w:tc>
          <w:tcPr>
            <w:tcW w:w="552" w:type="dxa"/>
            <w:vAlign w:val="top"/>
          </w:tcPr>
          <w:p w14:paraId="0D019940">
            <w:pPr>
              <w:rPr>
                <w:rFonts w:ascii="Arial"/>
                <w:sz w:val="21"/>
              </w:rPr>
            </w:pPr>
          </w:p>
        </w:tc>
        <w:tc>
          <w:tcPr>
            <w:tcW w:w="557" w:type="dxa"/>
            <w:vAlign w:val="top"/>
          </w:tcPr>
          <w:p w14:paraId="24AB1FD9">
            <w:pPr>
              <w:rPr>
                <w:rFonts w:ascii="Arial"/>
                <w:sz w:val="21"/>
              </w:rPr>
            </w:pPr>
          </w:p>
        </w:tc>
        <w:tc>
          <w:tcPr>
            <w:tcW w:w="557" w:type="dxa"/>
            <w:vAlign w:val="top"/>
          </w:tcPr>
          <w:p w14:paraId="6F8E855C">
            <w:pPr>
              <w:rPr>
                <w:rFonts w:ascii="Arial"/>
                <w:sz w:val="21"/>
              </w:rPr>
            </w:pPr>
          </w:p>
        </w:tc>
        <w:tc>
          <w:tcPr>
            <w:tcW w:w="556" w:type="dxa"/>
            <w:vAlign w:val="top"/>
          </w:tcPr>
          <w:p w14:paraId="6C8FD91C">
            <w:pPr>
              <w:rPr>
                <w:rFonts w:ascii="Arial"/>
                <w:sz w:val="21"/>
              </w:rPr>
            </w:pPr>
          </w:p>
        </w:tc>
        <w:tc>
          <w:tcPr>
            <w:tcW w:w="557" w:type="dxa"/>
            <w:vAlign w:val="top"/>
          </w:tcPr>
          <w:p w14:paraId="492A3C5F">
            <w:pPr>
              <w:rPr>
                <w:rFonts w:ascii="Arial"/>
                <w:sz w:val="21"/>
              </w:rPr>
            </w:pPr>
          </w:p>
        </w:tc>
        <w:tc>
          <w:tcPr>
            <w:tcW w:w="557" w:type="dxa"/>
            <w:vAlign w:val="top"/>
          </w:tcPr>
          <w:p w14:paraId="26DDA6F3">
            <w:pPr>
              <w:rPr>
                <w:rFonts w:ascii="Arial"/>
                <w:sz w:val="21"/>
              </w:rPr>
            </w:pPr>
          </w:p>
        </w:tc>
        <w:tc>
          <w:tcPr>
            <w:tcW w:w="552" w:type="dxa"/>
            <w:vAlign w:val="top"/>
          </w:tcPr>
          <w:p w14:paraId="47EF5F1F">
            <w:pPr>
              <w:rPr>
                <w:rFonts w:ascii="Arial"/>
                <w:sz w:val="21"/>
              </w:rPr>
            </w:pPr>
          </w:p>
        </w:tc>
        <w:tc>
          <w:tcPr>
            <w:tcW w:w="557" w:type="dxa"/>
            <w:vAlign w:val="top"/>
          </w:tcPr>
          <w:p w14:paraId="015AFFF3">
            <w:pPr>
              <w:rPr>
                <w:rFonts w:ascii="Arial"/>
                <w:sz w:val="21"/>
              </w:rPr>
            </w:pPr>
          </w:p>
        </w:tc>
        <w:tc>
          <w:tcPr>
            <w:tcW w:w="557" w:type="dxa"/>
            <w:vAlign w:val="top"/>
          </w:tcPr>
          <w:p w14:paraId="77DFEEBA">
            <w:pPr>
              <w:rPr>
                <w:rFonts w:ascii="Arial"/>
                <w:sz w:val="21"/>
              </w:rPr>
            </w:pPr>
          </w:p>
        </w:tc>
        <w:tc>
          <w:tcPr>
            <w:tcW w:w="557" w:type="dxa"/>
            <w:vAlign w:val="top"/>
          </w:tcPr>
          <w:p w14:paraId="43FF7475">
            <w:pPr>
              <w:rPr>
                <w:rFonts w:ascii="Arial"/>
                <w:sz w:val="21"/>
              </w:rPr>
            </w:pPr>
          </w:p>
        </w:tc>
        <w:tc>
          <w:tcPr>
            <w:tcW w:w="557" w:type="dxa"/>
            <w:vAlign w:val="top"/>
          </w:tcPr>
          <w:p w14:paraId="4871E8FB">
            <w:pPr>
              <w:rPr>
                <w:rFonts w:ascii="Arial"/>
                <w:sz w:val="21"/>
              </w:rPr>
            </w:pPr>
          </w:p>
        </w:tc>
        <w:tc>
          <w:tcPr>
            <w:tcW w:w="552" w:type="dxa"/>
            <w:vAlign w:val="top"/>
          </w:tcPr>
          <w:p w14:paraId="2F6F2CED">
            <w:pPr>
              <w:rPr>
                <w:rFonts w:ascii="Arial"/>
                <w:sz w:val="21"/>
              </w:rPr>
            </w:pPr>
          </w:p>
        </w:tc>
        <w:tc>
          <w:tcPr>
            <w:tcW w:w="556" w:type="dxa"/>
            <w:vAlign w:val="top"/>
          </w:tcPr>
          <w:p w14:paraId="286AEABB">
            <w:pPr>
              <w:rPr>
                <w:rFonts w:ascii="Arial"/>
                <w:sz w:val="21"/>
              </w:rPr>
            </w:pPr>
          </w:p>
        </w:tc>
        <w:tc>
          <w:tcPr>
            <w:tcW w:w="557" w:type="dxa"/>
            <w:vAlign w:val="top"/>
          </w:tcPr>
          <w:p w14:paraId="1D8C848D">
            <w:pPr>
              <w:rPr>
                <w:rFonts w:ascii="Arial"/>
                <w:sz w:val="21"/>
              </w:rPr>
            </w:pPr>
          </w:p>
        </w:tc>
        <w:tc>
          <w:tcPr>
            <w:tcW w:w="557" w:type="dxa"/>
            <w:vAlign w:val="top"/>
          </w:tcPr>
          <w:p w14:paraId="6DAC1281">
            <w:pPr>
              <w:rPr>
                <w:rFonts w:ascii="Arial"/>
                <w:sz w:val="21"/>
              </w:rPr>
            </w:pPr>
          </w:p>
        </w:tc>
        <w:tc>
          <w:tcPr>
            <w:tcW w:w="470" w:type="dxa"/>
            <w:vAlign w:val="top"/>
          </w:tcPr>
          <w:p w14:paraId="6ED7F978">
            <w:pPr>
              <w:rPr>
                <w:rFonts w:ascii="Arial"/>
                <w:sz w:val="21"/>
              </w:rPr>
            </w:pPr>
          </w:p>
        </w:tc>
        <w:tc>
          <w:tcPr>
            <w:tcW w:w="1200" w:type="dxa"/>
            <w:vAlign w:val="top"/>
          </w:tcPr>
          <w:p w14:paraId="5B7D9386">
            <w:pPr>
              <w:rPr>
                <w:rFonts w:ascii="Arial"/>
                <w:sz w:val="21"/>
              </w:rPr>
            </w:pPr>
          </w:p>
        </w:tc>
      </w:tr>
      <w:tr w14:paraId="597052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5" w:hRule="atLeast"/>
        </w:trPr>
        <w:tc>
          <w:tcPr>
            <w:tcW w:w="638" w:type="dxa"/>
            <w:vAlign w:val="top"/>
          </w:tcPr>
          <w:p w14:paraId="1539C143">
            <w:pPr>
              <w:pStyle w:val="11"/>
              <w:spacing w:before="217" w:line="182" w:lineRule="auto"/>
              <w:ind w:left="271"/>
            </w:pPr>
            <w:r>
              <w:t>4</w:t>
            </w:r>
          </w:p>
        </w:tc>
        <w:tc>
          <w:tcPr>
            <w:tcW w:w="2203" w:type="dxa"/>
            <w:vAlign w:val="top"/>
          </w:tcPr>
          <w:p w14:paraId="55127A65">
            <w:pPr>
              <w:rPr>
                <w:rFonts w:ascii="Arial"/>
                <w:sz w:val="21"/>
              </w:rPr>
            </w:pPr>
          </w:p>
        </w:tc>
        <w:tc>
          <w:tcPr>
            <w:tcW w:w="557" w:type="dxa"/>
            <w:vAlign w:val="top"/>
          </w:tcPr>
          <w:p w14:paraId="61A34949">
            <w:pPr>
              <w:rPr>
                <w:rFonts w:ascii="Arial"/>
                <w:sz w:val="21"/>
              </w:rPr>
            </w:pPr>
          </w:p>
        </w:tc>
        <w:tc>
          <w:tcPr>
            <w:tcW w:w="556" w:type="dxa"/>
            <w:vAlign w:val="top"/>
          </w:tcPr>
          <w:p w14:paraId="1FAD14C1">
            <w:pPr>
              <w:rPr>
                <w:rFonts w:ascii="Arial"/>
                <w:sz w:val="21"/>
              </w:rPr>
            </w:pPr>
          </w:p>
        </w:tc>
        <w:tc>
          <w:tcPr>
            <w:tcW w:w="552" w:type="dxa"/>
            <w:vAlign w:val="top"/>
          </w:tcPr>
          <w:p w14:paraId="3878BBAB">
            <w:pPr>
              <w:rPr>
                <w:rFonts w:ascii="Arial"/>
                <w:sz w:val="21"/>
              </w:rPr>
            </w:pPr>
          </w:p>
        </w:tc>
        <w:tc>
          <w:tcPr>
            <w:tcW w:w="557" w:type="dxa"/>
            <w:vAlign w:val="top"/>
          </w:tcPr>
          <w:p w14:paraId="61EE3548">
            <w:pPr>
              <w:rPr>
                <w:rFonts w:ascii="Arial"/>
                <w:sz w:val="21"/>
              </w:rPr>
            </w:pPr>
          </w:p>
        </w:tc>
        <w:tc>
          <w:tcPr>
            <w:tcW w:w="557" w:type="dxa"/>
            <w:vAlign w:val="top"/>
          </w:tcPr>
          <w:p w14:paraId="7F315C17">
            <w:pPr>
              <w:rPr>
                <w:rFonts w:ascii="Arial"/>
                <w:sz w:val="21"/>
              </w:rPr>
            </w:pPr>
          </w:p>
        </w:tc>
        <w:tc>
          <w:tcPr>
            <w:tcW w:w="556" w:type="dxa"/>
            <w:vAlign w:val="top"/>
          </w:tcPr>
          <w:p w14:paraId="0054D755">
            <w:pPr>
              <w:rPr>
                <w:rFonts w:ascii="Arial"/>
                <w:sz w:val="21"/>
              </w:rPr>
            </w:pPr>
          </w:p>
        </w:tc>
        <w:tc>
          <w:tcPr>
            <w:tcW w:w="557" w:type="dxa"/>
            <w:vAlign w:val="top"/>
          </w:tcPr>
          <w:p w14:paraId="18527322">
            <w:pPr>
              <w:rPr>
                <w:rFonts w:ascii="Arial"/>
                <w:sz w:val="21"/>
              </w:rPr>
            </w:pPr>
          </w:p>
        </w:tc>
        <w:tc>
          <w:tcPr>
            <w:tcW w:w="557" w:type="dxa"/>
            <w:vAlign w:val="top"/>
          </w:tcPr>
          <w:p w14:paraId="46D5B688">
            <w:pPr>
              <w:rPr>
                <w:rFonts w:ascii="Arial"/>
                <w:sz w:val="21"/>
              </w:rPr>
            </w:pPr>
          </w:p>
        </w:tc>
        <w:tc>
          <w:tcPr>
            <w:tcW w:w="552" w:type="dxa"/>
            <w:vAlign w:val="top"/>
          </w:tcPr>
          <w:p w14:paraId="642C5BCC">
            <w:pPr>
              <w:rPr>
                <w:rFonts w:ascii="Arial"/>
                <w:sz w:val="21"/>
              </w:rPr>
            </w:pPr>
          </w:p>
        </w:tc>
        <w:tc>
          <w:tcPr>
            <w:tcW w:w="557" w:type="dxa"/>
            <w:vAlign w:val="top"/>
          </w:tcPr>
          <w:p w14:paraId="5CC5675E">
            <w:pPr>
              <w:rPr>
                <w:rFonts w:ascii="Arial"/>
                <w:sz w:val="21"/>
              </w:rPr>
            </w:pPr>
          </w:p>
        </w:tc>
        <w:tc>
          <w:tcPr>
            <w:tcW w:w="557" w:type="dxa"/>
            <w:vAlign w:val="top"/>
          </w:tcPr>
          <w:p w14:paraId="2E6247AC">
            <w:pPr>
              <w:rPr>
                <w:rFonts w:ascii="Arial"/>
                <w:sz w:val="21"/>
              </w:rPr>
            </w:pPr>
          </w:p>
        </w:tc>
        <w:tc>
          <w:tcPr>
            <w:tcW w:w="557" w:type="dxa"/>
            <w:vAlign w:val="top"/>
          </w:tcPr>
          <w:p w14:paraId="10E371AA">
            <w:pPr>
              <w:rPr>
                <w:rFonts w:ascii="Arial"/>
                <w:sz w:val="21"/>
              </w:rPr>
            </w:pPr>
          </w:p>
        </w:tc>
        <w:tc>
          <w:tcPr>
            <w:tcW w:w="557" w:type="dxa"/>
            <w:vAlign w:val="top"/>
          </w:tcPr>
          <w:p w14:paraId="67A59805">
            <w:pPr>
              <w:rPr>
                <w:rFonts w:ascii="Arial"/>
                <w:sz w:val="21"/>
              </w:rPr>
            </w:pPr>
          </w:p>
        </w:tc>
        <w:tc>
          <w:tcPr>
            <w:tcW w:w="552" w:type="dxa"/>
            <w:vAlign w:val="top"/>
          </w:tcPr>
          <w:p w14:paraId="2D93295A">
            <w:pPr>
              <w:rPr>
                <w:rFonts w:ascii="Arial"/>
                <w:sz w:val="21"/>
              </w:rPr>
            </w:pPr>
          </w:p>
        </w:tc>
        <w:tc>
          <w:tcPr>
            <w:tcW w:w="556" w:type="dxa"/>
            <w:vAlign w:val="top"/>
          </w:tcPr>
          <w:p w14:paraId="459EE452">
            <w:pPr>
              <w:rPr>
                <w:rFonts w:ascii="Arial"/>
                <w:sz w:val="21"/>
              </w:rPr>
            </w:pPr>
          </w:p>
        </w:tc>
        <w:tc>
          <w:tcPr>
            <w:tcW w:w="557" w:type="dxa"/>
            <w:vAlign w:val="top"/>
          </w:tcPr>
          <w:p w14:paraId="4125A3B2">
            <w:pPr>
              <w:rPr>
                <w:rFonts w:ascii="Arial"/>
                <w:sz w:val="21"/>
              </w:rPr>
            </w:pPr>
          </w:p>
        </w:tc>
        <w:tc>
          <w:tcPr>
            <w:tcW w:w="557" w:type="dxa"/>
            <w:vAlign w:val="top"/>
          </w:tcPr>
          <w:p w14:paraId="06DC8581">
            <w:pPr>
              <w:rPr>
                <w:rFonts w:ascii="Arial"/>
                <w:sz w:val="21"/>
              </w:rPr>
            </w:pPr>
          </w:p>
        </w:tc>
        <w:tc>
          <w:tcPr>
            <w:tcW w:w="470" w:type="dxa"/>
            <w:vAlign w:val="top"/>
          </w:tcPr>
          <w:p w14:paraId="6847395F">
            <w:pPr>
              <w:rPr>
                <w:rFonts w:ascii="Arial"/>
                <w:sz w:val="21"/>
              </w:rPr>
            </w:pPr>
          </w:p>
        </w:tc>
        <w:tc>
          <w:tcPr>
            <w:tcW w:w="1200" w:type="dxa"/>
            <w:vAlign w:val="top"/>
          </w:tcPr>
          <w:p w14:paraId="0CFA6608">
            <w:pPr>
              <w:rPr>
                <w:rFonts w:ascii="Arial"/>
                <w:sz w:val="21"/>
              </w:rPr>
            </w:pPr>
          </w:p>
        </w:tc>
      </w:tr>
      <w:tr w14:paraId="6266E4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638" w:type="dxa"/>
            <w:vAlign w:val="top"/>
          </w:tcPr>
          <w:p w14:paraId="396148B3">
            <w:pPr>
              <w:pStyle w:val="11"/>
              <w:spacing w:before="215" w:line="181" w:lineRule="auto"/>
              <w:ind w:left="276"/>
            </w:pPr>
            <w:r>
              <w:t>5</w:t>
            </w:r>
          </w:p>
        </w:tc>
        <w:tc>
          <w:tcPr>
            <w:tcW w:w="2203" w:type="dxa"/>
            <w:vAlign w:val="top"/>
          </w:tcPr>
          <w:p w14:paraId="65247F99">
            <w:pPr>
              <w:rPr>
                <w:rFonts w:ascii="Arial"/>
                <w:sz w:val="21"/>
              </w:rPr>
            </w:pPr>
          </w:p>
        </w:tc>
        <w:tc>
          <w:tcPr>
            <w:tcW w:w="557" w:type="dxa"/>
            <w:vAlign w:val="top"/>
          </w:tcPr>
          <w:p w14:paraId="31214280">
            <w:pPr>
              <w:rPr>
                <w:rFonts w:ascii="Arial"/>
                <w:sz w:val="21"/>
              </w:rPr>
            </w:pPr>
          </w:p>
        </w:tc>
        <w:tc>
          <w:tcPr>
            <w:tcW w:w="556" w:type="dxa"/>
            <w:vAlign w:val="top"/>
          </w:tcPr>
          <w:p w14:paraId="3E040900">
            <w:pPr>
              <w:rPr>
                <w:rFonts w:ascii="Arial"/>
                <w:sz w:val="21"/>
              </w:rPr>
            </w:pPr>
          </w:p>
        </w:tc>
        <w:tc>
          <w:tcPr>
            <w:tcW w:w="552" w:type="dxa"/>
            <w:vAlign w:val="top"/>
          </w:tcPr>
          <w:p w14:paraId="1019C081">
            <w:pPr>
              <w:rPr>
                <w:rFonts w:ascii="Arial"/>
                <w:sz w:val="21"/>
              </w:rPr>
            </w:pPr>
          </w:p>
        </w:tc>
        <w:tc>
          <w:tcPr>
            <w:tcW w:w="557" w:type="dxa"/>
            <w:vAlign w:val="top"/>
          </w:tcPr>
          <w:p w14:paraId="2EDCE97D">
            <w:pPr>
              <w:rPr>
                <w:rFonts w:ascii="Arial"/>
                <w:sz w:val="21"/>
              </w:rPr>
            </w:pPr>
          </w:p>
        </w:tc>
        <w:tc>
          <w:tcPr>
            <w:tcW w:w="557" w:type="dxa"/>
            <w:vAlign w:val="top"/>
          </w:tcPr>
          <w:p w14:paraId="7B4634A1">
            <w:pPr>
              <w:rPr>
                <w:rFonts w:ascii="Arial"/>
                <w:sz w:val="21"/>
              </w:rPr>
            </w:pPr>
          </w:p>
        </w:tc>
        <w:tc>
          <w:tcPr>
            <w:tcW w:w="556" w:type="dxa"/>
            <w:vAlign w:val="top"/>
          </w:tcPr>
          <w:p w14:paraId="7727630B">
            <w:pPr>
              <w:rPr>
                <w:rFonts w:ascii="Arial"/>
                <w:sz w:val="21"/>
              </w:rPr>
            </w:pPr>
          </w:p>
        </w:tc>
        <w:tc>
          <w:tcPr>
            <w:tcW w:w="557" w:type="dxa"/>
            <w:vAlign w:val="top"/>
          </w:tcPr>
          <w:p w14:paraId="3EF6BEBE">
            <w:pPr>
              <w:rPr>
                <w:rFonts w:ascii="Arial"/>
                <w:sz w:val="21"/>
              </w:rPr>
            </w:pPr>
          </w:p>
        </w:tc>
        <w:tc>
          <w:tcPr>
            <w:tcW w:w="557" w:type="dxa"/>
            <w:vAlign w:val="top"/>
          </w:tcPr>
          <w:p w14:paraId="6BF5C398">
            <w:pPr>
              <w:rPr>
                <w:rFonts w:ascii="Arial"/>
                <w:sz w:val="21"/>
              </w:rPr>
            </w:pPr>
          </w:p>
        </w:tc>
        <w:tc>
          <w:tcPr>
            <w:tcW w:w="552" w:type="dxa"/>
            <w:vAlign w:val="top"/>
          </w:tcPr>
          <w:p w14:paraId="3A464DF8">
            <w:pPr>
              <w:rPr>
                <w:rFonts w:ascii="Arial"/>
                <w:sz w:val="21"/>
              </w:rPr>
            </w:pPr>
          </w:p>
        </w:tc>
        <w:tc>
          <w:tcPr>
            <w:tcW w:w="557" w:type="dxa"/>
            <w:vAlign w:val="top"/>
          </w:tcPr>
          <w:p w14:paraId="56F7E882">
            <w:pPr>
              <w:rPr>
                <w:rFonts w:ascii="Arial"/>
                <w:sz w:val="21"/>
              </w:rPr>
            </w:pPr>
          </w:p>
        </w:tc>
        <w:tc>
          <w:tcPr>
            <w:tcW w:w="557" w:type="dxa"/>
            <w:vAlign w:val="top"/>
          </w:tcPr>
          <w:p w14:paraId="35AFF5E9">
            <w:pPr>
              <w:rPr>
                <w:rFonts w:ascii="Arial"/>
                <w:sz w:val="21"/>
              </w:rPr>
            </w:pPr>
          </w:p>
        </w:tc>
        <w:tc>
          <w:tcPr>
            <w:tcW w:w="557" w:type="dxa"/>
            <w:vAlign w:val="top"/>
          </w:tcPr>
          <w:p w14:paraId="15415E94">
            <w:pPr>
              <w:rPr>
                <w:rFonts w:ascii="Arial"/>
                <w:sz w:val="21"/>
              </w:rPr>
            </w:pPr>
          </w:p>
        </w:tc>
        <w:tc>
          <w:tcPr>
            <w:tcW w:w="557" w:type="dxa"/>
            <w:vAlign w:val="top"/>
          </w:tcPr>
          <w:p w14:paraId="08B5E6FB">
            <w:pPr>
              <w:rPr>
                <w:rFonts w:ascii="Arial"/>
                <w:sz w:val="21"/>
              </w:rPr>
            </w:pPr>
          </w:p>
        </w:tc>
        <w:tc>
          <w:tcPr>
            <w:tcW w:w="552" w:type="dxa"/>
            <w:vAlign w:val="top"/>
          </w:tcPr>
          <w:p w14:paraId="4B8B2256">
            <w:pPr>
              <w:rPr>
                <w:rFonts w:ascii="Arial"/>
                <w:sz w:val="21"/>
              </w:rPr>
            </w:pPr>
          </w:p>
        </w:tc>
        <w:tc>
          <w:tcPr>
            <w:tcW w:w="556" w:type="dxa"/>
            <w:vAlign w:val="top"/>
          </w:tcPr>
          <w:p w14:paraId="3F731A62">
            <w:pPr>
              <w:rPr>
                <w:rFonts w:ascii="Arial"/>
                <w:sz w:val="21"/>
              </w:rPr>
            </w:pPr>
          </w:p>
        </w:tc>
        <w:tc>
          <w:tcPr>
            <w:tcW w:w="557" w:type="dxa"/>
            <w:vAlign w:val="top"/>
          </w:tcPr>
          <w:p w14:paraId="52ECA0DE">
            <w:pPr>
              <w:rPr>
                <w:rFonts w:ascii="Arial"/>
                <w:sz w:val="21"/>
              </w:rPr>
            </w:pPr>
          </w:p>
        </w:tc>
        <w:tc>
          <w:tcPr>
            <w:tcW w:w="557" w:type="dxa"/>
            <w:vAlign w:val="top"/>
          </w:tcPr>
          <w:p w14:paraId="3F9A4114">
            <w:pPr>
              <w:rPr>
                <w:rFonts w:ascii="Arial"/>
                <w:sz w:val="21"/>
              </w:rPr>
            </w:pPr>
          </w:p>
        </w:tc>
        <w:tc>
          <w:tcPr>
            <w:tcW w:w="470" w:type="dxa"/>
            <w:vAlign w:val="top"/>
          </w:tcPr>
          <w:p w14:paraId="1A137B67">
            <w:pPr>
              <w:rPr>
                <w:rFonts w:ascii="Arial"/>
                <w:sz w:val="21"/>
              </w:rPr>
            </w:pPr>
          </w:p>
        </w:tc>
        <w:tc>
          <w:tcPr>
            <w:tcW w:w="1200" w:type="dxa"/>
            <w:vAlign w:val="top"/>
          </w:tcPr>
          <w:p w14:paraId="28CE5CA9">
            <w:pPr>
              <w:rPr>
                <w:rFonts w:ascii="Arial"/>
                <w:sz w:val="21"/>
              </w:rPr>
            </w:pPr>
          </w:p>
        </w:tc>
      </w:tr>
      <w:tr w14:paraId="08E6B9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75" w:hRule="atLeast"/>
        </w:trPr>
        <w:tc>
          <w:tcPr>
            <w:tcW w:w="638" w:type="dxa"/>
            <w:vAlign w:val="top"/>
          </w:tcPr>
          <w:p w14:paraId="57DE12D8">
            <w:pPr>
              <w:spacing w:before="178" w:line="332" w:lineRule="exact"/>
              <w:ind w:left="230"/>
              <w:rPr>
                <w:rFonts w:ascii="黑体" w:hAnsi="黑体" w:eastAsia="黑体" w:cs="黑体"/>
                <w:sz w:val="21"/>
                <w:szCs w:val="21"/>
              </w:rPr>
            </w:pPr>
            <w:r>
              <w:rPr>
                <w:rFonts w:ascii="黑体" w:hAnsi="黑体" w:eastAsia="黑体" w:cs="黑体"/>
                <w:position w:val="2"/>
                <w:sz w:val="21"/>
                <w:szCs w:val="21"/>
              </w:rPr>
              <w:t>…</w:t>
            </w:r>
          </w:p>
        </w:tc>
        <w:tc>
          <w:tcPr>
            <w:tcW w:w="2203" w:type="dxa"/>
            <w:vAlign w:val="top"/>
          </w:tcPr>
          <w:p w14:paraId="15B8AF1F">
            <w:pPr>
              <w:rPr>
                <w:rFonts w:ascii="Arial"/>
                <w:sz w:val="21"/>
              </w:rPr>
            </w:pPr>
          </w:p>
        </w:tc>
        <w:tc>
          <w:tcPr>
            <w:tcW w:w="557" w:type="dxa"/>
            <w:vAlign w:val="top"/>
          </w:tcPr>
          <w:p w14:paraId="7A7D2677">
            <w:pPr>
              <w:rPr>
                <w:rFonts w:ascii="Arial"/>
                <w:sz w:val="21"/>
              </w:rPr>
            </w:pPr>
          </w:p>
        </w:tc>
        <w:tc>
          <w:tcPr>
            <w:tcW w:w="556" w:type="dxa"/>
            <w:vAlign w:val="top"/>
          </w:tcPr>
          <w:p w14:paraId="1B24D6A6">
            <w:pPr>
              <w:rPr>
                <w:rFonts w:ascii="Arial"/>
                <w:sz w:val="21"/>
              </w:rPr>
            </w:pPr>
          </w:p>
        </w:tc>
        <w:tc>
          <w:tcPr>
            <w:tcW w:w="552" w:type="dxa"/>
            <w:vAlign w:val="top"/>
          </w:tcPr>
          <w:p w14:paraId="40C4DD32">
            <w:pPr>
              <w:rPr>
                <w:rFonts w:ascii="Arial"/>
                <w:sz w:val="21"/>
              </w:rPr>
            </w:pPr>
          </w:p>
        </w:tc>
        <w:tc>
          <w:tcPr>
            <w:tcW w:w="557" w:type="dxa"/>
            <w:vAlign w:val="top"/>
          </w:tcPr>
          <w:p w14:paraId="0EB047AC">
            <w:pPr>
              <w:rPr>
                <w:rFonts w:ascii="Arial"/>
                <w:sz w:val="21"/>
              </w:rPr>
            </w:pPr>
          </w:p>
        </w:tc>
        <w:tc>
          <w:tcPr>
            <w:tcW w:w="557" w:type="dxa"/>
            <w:vAlign w:val="top"/>
          </w:tcPr>
          <w:p w14:paraId="7337953D">
            <w:pPr>
              <w:rPr>
                <w:rFonts w:ascii="Arial"/>
                <w:sz w:val="21"/>
              </w:rPr>
            </w:pPr>
          </w:p>
        </w:tc>
        <w:tc>
          <w:tcPr>
            <w:tcW w:w="556" w:type="dxa"/>
            <w:vAlign w:val="top"/>
          </w:tcPr>
          <w:p w14:paraId="3419A6FA">
            <w:pPr>
              <w:rPr>
                <w:rFonts w:ascii="Arial"/>
                <w:sz w:val="21"/>
              </w:rPr>
            </w:pPr>
          </w:p>
        </w:tc>
        <w:tc>
          <w:tcPr>
            <w:tcW w:w="557" w:type="dxa"/>
            <w:vAlign w:val="top"/>
          </w:tcPr>
          <w:p w14:paraId="50A16194">
            <w:pPr>
              <w:rPr>
                <w:rFonts w:ascii="Arial"/>
                <w:sz w:val="21"/>
              </w:rPr>
            </w:pPr>
          </w:p>
        </w:tc>
        <w:tc>
          <w:tcPr>
            <w:tcW w:w="557" w:type="dxa"/>
            <w:vAlign w:val="top"/>
          </w:tcPr>
          <w:p w14:paraId="680BD5AA">
            <w:pPr>
              <w:rPr>
                <w:rFonts w:ascii="Arial"/>
                <w:sz w:val="21"/>
              </w:rPr>
            </w:pPr>
          </w:p>
        </w:tc>
        <w:tc>
          <w:tcPr>
            <w:tcW w:w="552" w:type="dxa"/>
            <w:vAlign w:val="top"/>
          </w:tcPr>
          <w:p w14:paraId="472A4A29">
            <w:pPr>
              <w:rPr>
                <w:rFonts w:ascii="Arial"/>
                <w:sz w:val="21"/>
              </w:rPr>
            </w:pPr>
          </w:p>
        </w:tc>
        <w:tc>
          <w:tcPr>
            <w:tcW w:w="557" w:type="dxa"/>
            <w:vAlign w:val="top"/>
          </w:tcPr>
          <w:p w14:paraId="6F243DA5">
            <w:pPr>
              <w:rPr>
                <w:rFonts w:ascii="Arial"/>
                <w:sz w:val="21"/>
              </w:rPr>
            </w:pPr>
          </w:p>
        </w:tc>
        <w:tc>
          <w:tcPr>
            <w:tcW w:w="557" w:type="dxa"/>
            <w:vAlign w:val="top"/>
          </w:tcPr>
          <w:p w14:paraId="2FE8D462">
            <w:pPr>
              <w:rPr>
                <w:rFonts w:ascii="Arial"/>
                <w:sz w:val="21"/>
              </w:rPr>
            </w:pPr>
          </w:p>
        </w:tc>
        <w:tc>
          <w:tcPr>
            <w:tcW w:w="557" w:type="dxa"/>
            <w:vAlign w:val="top"/>
          </w:tcPr>
          <w:p w14:paraId="5661375F">
            <w:pPr>
              <w:rPr>
                <w:rFonts w:ascii="Arial"/>
                <w:sz w:val="21"/>
              </w:rPr>
            </w:pPr>
          </w:p>
        </w:tc>
        <w:tc>
          <w:tcPr>
            <w:tcW w:w="557" w:type="dxa"/>
            <w:vAlign w:val="top"/>
          </w:tcPr>
          <w:p w14:paraId="495935ED">
            <w:pPr>
              <w:rPr>
                <w:rFonts w:ascii="Arial"/>
                <w:sz w:val="21"/>
              </w:rPr>
            </w:pPr>
          </w:p>
        </w:tc>
        <w:tc>
          <w:tcPr>
            <w:tcW w:w="552" w:type="dxa"/>
            <w:vAlign w:val="top"/>
          </w:tcPr>
          <w:p w14:paraId="375B041A">
            <w:pPr>
              <w:rPr>
                <w:rFonts w:ascii="Arial"/>
                <w:sz w:val="21"/>
              </w:rPr>
            </w:pPr>
          </w:p>
        </w:tc>
        <w:tc>
          <w:tcPr>
            <w:tcW w:w="556" w:type="dxa"/>
            <w:vAlign w:val="top"/>
          </w:tcPr>
          <w:p w14:paraId="58FEFBF3">
            <w:pPr>
              <w:rPr>
                <w:rFonts w:ascii="Arial"/>
                <w:sz w:val="21"/>
              </w:rPr>
            </w:pPr>
          </w:p>
        </w:tc>
        <w:tc>
          <w:tcPr>
            <w:tcW w:w="557" w:type="dxa"/>
            <w:vAlign w:val="top"/>
          </w:tcPr>
          <w:p w14:paraId="77B9985C">
            <w:pPr>
              <w:rPr>
                <w:rFonts w:ascii="Arial"/>
                <w:sz w:val="21"/>
              </w:rPr>
            </w:pPr>
          </w:p>
        </w:tc>
        <w:tc>
          <w:tcPr>
            <w:tcW w:w="557" w:type="dxa"/>
            <w:vAlign w:val="top"/>
          </w:tcPr>
          <w:p w14:paraId="791A089F">
            <w:pPr>
              <w:rPr>
                <w:rFonts w:ascii="Arial"/>
                <w:sz w:val="21"/>
              </w:rPr>
            </w:pPr>
          </w:p>
        </w:tc>
        <w:tc>
          <w:tcPr>
            <w:tcW w:w="470" w:type="dxa"/>
            <w:vAlign w:val="top"/>
          </w:tcPr>
          <w:p w14:paraId="048B28E2">
            <w:pPr>
              <w:rPr>
                <w:rFonts w:ascii="Arial"/>
                <w:sz w:val="21"/>
              </w:rPr>
            </w:pPr>
          </w:p>
        </w:tc>
        <w:tc>
          <w:tcPr>
            <w:tcW w:w="1200" w:type="dxa"/>
            <w:vAlign w:val="top"/>
          </w:tcPr>
          <w:p w14:paraId="50639C9C">
            <w:pPr>
              <w:rPr>
                <w:rFonts w:ascii="Arial"/>
                <w:sz w:val="21"/>
              </w:rPr>
            </w:pPr>
          </w:p>
        </w:tc>
      </w:tr>
    </w:tbl>
    <w:p w14:paraId="50C3D787">
      <w:pPr>
        <w:spacing w:before="270" w:line="221" w:lineRule="auto"/>
        <w:ind w:left="13"/>
        <w:rPr>
          <w:rFonts w:ascii="宋体" w:hAnsi="宋体" w:eastAsia="宋体" w:cs="宋体"/>
          <w:sz w:val="21"/>
          <w:szCs w:val="21"/>
        </w:rPr>
      </w:pPr>
      <w:r>
        <w:rPr>
          <w:rFonts w:ascii="宋体" w:hAnsi="宋体" w:eastAsia="宋体" w:cs="宋体"/>
          <w:spacing w:val="-14"/>
          <w:sz w:val="21"/>
          <w:szCs w:val="21"/>
        </w:rPr>
        <w:t>技术标评委签名：</w:t>
      </w:r>
      <w:r>
        <w:rPr>
          <w:rFonts w:ascii="宋体" w:hAnsi="宋体" w:eastAsia="宋体" w:cs="宋体"/>
          <w:spacing w:val="1"/>
          <w:sz w:val="21"/>
          <w:szCs w:val="21"/>
        </w:rPr>
        <w:t xml:space="preserve">                                                                                      </w:t>
      </w:r>
      <w:r>
        <w:rPr>
          <w:rFonts w:ascii="宋体" w:hAnsi="宋体" w:eastAsia="宋体" w:cs="宋体"/>
          <w:spacing w:val="-14"/>
          <w:sz w:val="21"/>
          <w:szCs w:val="21"/>
        </w:rPr>
        <w:t>日期：    年</w:t>
      </w:r>
      <w:r>
        <w:rPr>
          <w:rFonts w:ascii="宋体" w:hAnsi="宋体" w:eastAsia="宋体" w:cs="宋体"/>
          <w:spacing w:val="12"/>
          <w:sz w:val="21"/>
          <w:szCs w:val="21"/>
        </w:rPr>
        <w:t xml:space="preserve">  </w:t>
      </w:r>
      <w:r>
        <w:rPr>
          <w:rFonts w:ascii="宋体" w:hAnsi="宋体" w:eastAsia="宋体" w:cs="宋体"/>
          <w:spacing w:val="-14"/>
          <w:sz w:val="21"/>
          <w:szCs w:val="21"/>
        </w:rPr>
        <w:t>月  日</w:t>
      </w:r>
    </w:p>
    <w:p w14:paraId="358632C1">
      <w:pPr>
        <w:spacing w:line="221" w:lineRule="auto"/>
        <w:rPr>
          <w:rFonts w:ascii="宋体" w:hAnsi="宋体" w:eastAsia="宋体" w:cs="宋体"/>
          <w:sz w:val="21"/>
          <w:szCs w:val="21"/>
        </w:rPr>
        <w:sectPr>
          <w:footerReference r:id="rId78" w:type="default"/>
          <w:pgSz w:w="16839" w:h="11905"/>
          <w:pgMar w:top="1011" w:right="1435" w:bottom="991" w:left="1435" w:header="0" w:footer="786" w:gutter="0"/>
          <w:pgNumType w:fmt="decimal"/>
          <w:cols w:space="720" w:num="1"/>
        </w:sectPr>
      </w:pPr>
    </w:p>
    <w:p w14:paraId="5B02DAF8">
      <w:pPr>
        <w:pStyle w:val="3"/>
        <w:spacing w:line="272" w:lineRule="auto"/>
      </w:pPr>
    </w:p>
    <w:p w14:paraId="49ADB9E3">
      <w:pPr>
        <w:pStyle w:val="3"/>
        <w:spacing w:line="272" w:lineRule="auto"/>
      </w:pPr>
    </w:p>
    <w:p w14:paraId="0B67CBB9">
      <w:pPr>
        <w:pStyle w:val="3"/>
        <w:spacing w:line="272" w:lineRule="auto"/>
      </w:pPr>
    </w:p>
    <w:p w14:paraId="54FE8F08">
      <w:pPr>
        <w:spacing w:before="78" w:line="219" w:lineRule="auto"/>
        <w:ind w:left="13"/>
        <w:rPr>
          <w:rFonts w:ascii="黑体" w:hAnsi="黑体" w:eastAsia="黑体" w:cs="黑体"/>
          <w:sz w:val="24"/>
          <w:szCs w:val="24"/>
        </w:rPr>
      </w:pPr>
      <w:r>
        <w:rPr>
          <w:rFonts w:ascii="黑体" w:hAnsi="黑体" w:eastAsia="黑体" w:cs="黑体"/>
          <w:spacing w:val="-4"/>
          <w:sz w:val="24"/>
          <w:szCs w:val="24"/>
        </w:rPr>
        <w:t>附表</w:t>
      </w:r>
      <w:r>
        <w:rPr>
          <w:rFonts w:ascii="黑体" w:hAnsi="黑体" w:eastAsia="黑体" w:cs="黑体"/>
          <w:spacing w:val="-55"/>
          <w:sz w:val="24"/>
          <w:szCs w:val="24"/>
        </w:rPr>
        <w:t xml:space="preserve"> </w:t>
      </w:r>
      <w:r>
        <w:rPr>
          <w:rFonts w:ascii="Times New Roman" w:hAnsi="Times New Roman" w:eastAsia="Times New Roman" w:cs="Times New Roman"/>
          <w:spacing w:val="-4"/>
          <w:sz w:val="24"/>
          <w:szCs w:val="24"/>
        </w:rPr>
        <w:t>A-</w:t>
      </w:r>
      <w:r>
        <w:rPr>
          <w:rFonts w:ascii="Times New Roman" w:hAnsi="Times New Roman" w:eastAsia="Times New Roman" w:cs="Times New Roman"/>
          <w:spacing w:val="-30"/>
          <w:sz w:val="24"/>
          <w:szCs w:val="24"/>
        </w:rPr>
        <w:t xml:space="preserve"> </w:t>
      </w:r>
      <w:r>
        <w:rPr>
          <w:rFonts w:ascii="Times New Roman" w:hAnsi="Times New Roman" w:eastAsia="Times New Roman" w:cs="Times New Roman"/>
          <w:spacing w:val="-4"/>
          <w:sz w:val="24"/>
          <w:szCs w:val="24"/>
        </w:rPr>
        <w:t>13</w:t>
      </w:r>
      <w:r>
        <w:rPr>
          <w:rFonts w:ascii="黑体" w:hAnsi="黑体" w:eastAsia="黑体" w:cs="黑体"/>
          <w:spacing w:val="-4"/>
          <w:sz w:val="24"/>
          <w:szCs w:val="24"/>
        </w:rPr>
        <w:t>：资信标评审记录表</w:t>
      </w:r>
    </w:p>
    <w:p w14:paraId="26AC1BC6">
      <w:pPr>
        <w:spacing w:before="288" w:line="219" w:lineRule="auto"/>
        <w:ind w:left="5558"/>
        <w:rPr>
          <w:rFonts w:ascii="黑体" w:hAnsi="黑体" w:eastAsia="黑体" w:cs="黑体"/>
          <w:sz w:val="36"/>
          <w:szCs w:val="36"/>
        </w:rPr>
      </w:pPr>
      <w:r>
        <w:rPr>
          <w:rFonts w:ascii="黑体" w:hAnsi="黑体" w:eastAsia="黑体" w:cs="黑体"/>
          <w:spacing w:val="-4"/>
          <w:sz w:val="36"/>
          <w:szCs w:val="36"/>
        </w:rPr>
        <w:t>资信标评审记录表</w:t>
      </w:r>
    </w:p>
    <w:p w14:paraId="07D64B76">
      <w:pPr>
        <w:spacing w:before="234" w:line="221" w:lineRule="auto"/>
        <w:rPr>
          <w:rFonts w:ascii="宋体" w:hAnsi="宋体" w:eastAsia="宋体" w:cs="宋体"/>
          <w:sz w:val="21"/>
          <w:szCs w:val="21"/>
        </w:rPr>
      </w:pPr>
      <w:r>
        <w:rPr>
          <w:rFonts w:ascii="宋体" w:hAnsi="宋体" w:eastAsia="宋体" w:cs="宋体"/>
          <w:spacing w:val="-9"/>
          <w:sz w:val="21"/>
          <w:szCs w:val="21"/>
        </w:rPr>
        <w:t>标段名称：</w:t>
      </w:r>
    </w:p>
    <w:p w14:paraId="6066D9F9">
      <w:pPr>
        <w:spacing w:before="22" w:line="214" w:lineRule="auto"/>
        <w:rPr>
          <w:rFonts w:ascii="宋体" w:hAnsi="宋体" w:eastAsia="宋体" w:cs="宋体"/>
          <w:sz w:val="21"/>
          <w:szCs w:val="21"/>
        </w:rPr>
      </w:pPr>
      <w:r>
        <w:rPr>
          <w:rFonts w:ascii="宋体" w:hAnsi="宋体" w:eastAsia="宋体" w:cs="宋体"/>
          <w:spacing w:val="-5"/>
          <w:sz w:val="21"/>
          <w:szCs w:val="21"/>
        </w:rPr>
        <w:t>标段唯一标识码：</w:t>
      </w:r>
    </w:p>
    <w:tbl>
      <w:tblPr>
        <w:tblStyle w:val="10"/>
        <w:tblW w:w="13909" w:type="dxa"/>
        <w:tblInd w:w="1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96"/>
        <w:gridCol w:w="1810"/>
        <w:gridCol w:w="1358"/>
        <w:gridCol w:w="1358"/>
        <w:gridCol w:w="1353"/>
        <w:gridCol w:w="1358"/>
        <w:gridCol w:w="1354"/>
        <w:gridCol w:w="1359"/>
        <w:gridCol w:w="1363"/>
        <w:gridCol w:w="1800"/>
      </w:tblGrid>
      <w:tr w14:paraId="21629D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4" w:hRule="atLeast"/>
        </w:trPr>
        <w:tc>
          <w:tcPr>
            <w:tcW w:w="796" w:type="dxa"/>
            <w:vMerge w:val="restart"/>
            <w:tcBorders>
              <w:bottom w:val="nil"/>
            </w:tcBorders>
            <w:vAlign w:val="top"/>
          </w:tcPr>
          <w:p w14:paraId="423387AA">
            <w:pPr>
              <w:pStyle w:val="11"/>
              <w:spacing w:before="269" w:line="222" w:lineRule="auto"/>
              <w:ind w:left="194"/>
            </w:pPr>
            <w:r>
              <w:rPr>
                <w:spacing w:val="-2"/>
                <w14:textOutline w14:w="3831" w14:cap="flat" w14:cmpd="sng">
                  <w14:solidFill>
                    <w14:srgbClr w14:val="000000"/>
                  </w14:solidFill>
                  <w14:prstDash w14:val="solid"/>
                  <w14:miter w14:val="0"/>
                </w14:textOutline>
              </w:rPr>
              <w:t>序号</w:t>
            </w:r>
          </w:p>
        </w:tc>
        <w:tc>
          <w:tcPr>
            <w:tcW w:w="1810" w:type="dxa"/>
            <w:vMerge w:val="restart"/>
            <w:tcBorders>
              <w:bottom w:val="nil"/>
            </w:tcBorders>
            <w:vAlign w:val="top"/>
          </w:tcPr>
          <w:p w14:paraId="76E39B96">
            <w:pPr>
              <w:pStyle w:val="11"/>
              <w:spacing w:before="269" w:line="221" w:lineRule="auto"/>
              <w:ind w:left="386"/>
            </w:pPr>
            <w:r>
              <w:rPr>
                <w:spacing w:val="-1"/>
                <w14:textOutline w14:w="3831" w14:cap="flat" w14:cmpd="sng">
                  <w14:solidFill>
                    <w14:srgbClr w14:val="000000"/>
                  </w14:solidFill>
                  <w14:prstDash w14:val="solid"/>
                  <w14:miter w14:val="0"/>
                </w14:textOutline>
              </w:rPr>
              <w:t>投标人名称</w:t>
            </w:r>
          </w:p>
        </w:tc>
        <w:tc>
          <w:tcPr>
            <w:tcW w:w="9503" w:type="dxa"/>
            <w:gridSpan w:val="7"/>
            <w:vAlign w:val="top"/>
          </w:tcPr>
          <w:p w14:paraId="0F2C6C85">
            <w:pPr>
              <w:pStyle w:val="11"/>
              <w:spacing w:before="81" w:line="221" w:lineRule="auto"/>
              <w:ind w:left="4022"/>
            </w:pPr>
            <w:r>
              <w:rPr>
                <w14:textOutline w14:w="3831" w14:cap="flat" w14:cmpd="sng">
                  <w14:solidFill>
                    <w14:srgbClr w14:val="000000"/>
                  </w14:solidFill>
                  <w14:prstDash w14:val="solid"/>
                  <w14:miter w14:val="0"/>
                </w14:textOutline>
              </w:rPr>
              <w:t>评委姓名及得分</w:t>
            </w:r>
          </w:p>
        </w:tc>
        <w:tc>
          <w:tcPr>
            <w:tcW w:w="1800" w:type="dxa"/>
            <w:vMerge w:val="restart"/>
            <w:tcBorders>
              <w:bottom w:val="nil"/>
            </w:tcBorders>
            <w:vAlign w:val="top"/>
          </w:tcPr>
          <w:p w14:paraId="12495A7D">
            <w:pPr>
              <w:pStyle w:val="11"/>
              <w:spacing w:before="269" w:line="221" w:lineRule="auto"/>
              <w:ind w:left="180"/>
            </w:pPr>
            <w:r>
              <w:rPr>
                <w:spacing w:val="-2"/>
                <w14:textOutline w14:w="3831" w14:cap="flat" w14:cmpd="sng">
                  <w14:solidFill>
                    <w14:srgbClr w14:val="000000"/>
                  </w14:solidFill>
                  <w14:prstDash w14:val="solid"/>
                  <w14:miter w14:val="0"/>
                </w14:textOutline>
              </w:rPr>
              <w:t>资信标最终得分</w:t>
            </w:r>
          </w:p>
        </w:tc>
      </w:tr>
      <w:tr w14:paraId="77F1BF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4" w:hRule="atLeast"/>
        </w:trPr>
        <w:tc>
          <w:tcPr>
            <w:tcW w:w="796" w:type="dxa"/>
            <w:vMerge w:val="continue"/>
            <w:tcBorders>
              <w:top w:val="nil"/>
            </w:tcBorders>
            <w:vAlign w:val="top"/>
          </w:tcPr>
          <w:p w14:paraId="26802C83">
            <w:pPr>
              <w:rPr>
                <w:rFonts w:ascii="Arial"/>
                <w:sz w:val="21"/>
              </w:rPr>
            </w:pPr>
          </w:p>
        </w:tc>
        <w:tc>
          <w:tcPr>
            <w:tcW w:w="1810" w:type="dxa"/>
            <w:vMerge w:val="continue"/>
            <w:tcBorders>
              <w:top w:val="nil"/>
            </w:tcBorders>
            <w:vAlign w:val="top"/>
          </w:tcPr>
          <w:p w14:paraId="6462F6BD">
            <w:pPr>
              <w:rPr>
                <w:rFonts w:ascii="Arial"/>
                <w:sz w:val="21"/>
              </w:rPr>
            </w:pPr>
          </w:p>
        </w:tc>
        <w:tc>
          <w:tcPr>
            <w:tcW w:w="1358" w:type="dxa"/>
            <w:vAlign w:val="top"/>
          </w:tcPr>
          <w:p w14:paraId="0FA86A12">
            <w:pPr>
              <w:pStyle w:val="11"/>
              <w:spacing w:before="78" w:line="221" w:lineRule="auto"/>
              <w:ind w:left="392"/>
            </w:pPr>
            <w:r>
              <w:rPr>
                <w:spacing w:val="-2"/>
                <w14:textOutline w14:w="3831" w14:cap="flat" w14:cmpd="sng">
                  <w14:solidFill>
                    <w14:srgbClr w14:val="000000"/>
                  </w14:solidFill>
                  <w14:prstDash w14:val="solid"/>
                  <w14:miter w14:val="0"/>
                </w14:textOutline>
              </w:rPr>
              <w:t>评委</w:t>
            </w:r>
            <w:r>
              <w:rPr>
                <w:spacing w:val="-29"/>
              </w:rPr>
              <w:t xml:space="preserve"> </w:t>
            </w:r>
            <w:r>
              <w:rPr>
                <w:spacing w:val="-2"/>
                <w14:textOutline w14:w="3831" w14:cap="flat" w14:cmpd="sng">
                  <w14:solidFill>
                    <w14:srgbClr w14:val="000000"/>
                  </w14:solidFill>
                  <w14:prstDash w14:val="solid"/>
                  <w14:miter w14:val="0"/>
                </w14:textOutline>
              </w:rPr>
              <w:t>1</w:t>
            </w:r>
          </w:p>
        </w:tc>
        <w:tc>
          <w:tcPr>
            <w:tcW w:w="1358" w:type="dxa"/>
            <w:vAlign w:val="top"/>
          </w:tcPr>
          <w:p w14:paraId="498C092E">
            <w:pPr>
              <w:pStyle w:val="11"/>
              <w:spacing w:before="78" w:line="221" w:lineRule="auto"/>
              <w:ind w:left="388"/>
            </w:pPr>
            <w:r>
              <w:rPr>
                <w:spacing w:val="-2"/>
                <w14:textOutline w14:w="3831" w14:cap="flat" w14:cmpd="sng">
                  <w14:solidFill>
                    <w14:srgbClr w14:val="000000"/>
                  </w14:solidFill>
                  <w14:prstDash w14:val="solid"/>
                  <w14:miter w14:val="0"/>
                </w14:textOutline>
              </w:rPr>
              <w:t>评委</w:t>
            </w:r>
            <w:r>
              <w:rPr>
                <w:spacing w:val="-41"/>
              </w:rPr>
              <w:t xml:space="preserve"> </w:t>
            </w:r>
            <w:r>
              <w:rPr>
                <w:spacing w:val="-2"/>
                <w14:textOutline w14:w="3831" w14:cap="flat" w14:cmpd="sng">
                  <w14:solidFill>
                    <w14:srgbClr w14:val="000000"/>
                  </w14:solidFill>
                  <w14:prstDash w14:val="solid"/>
                  <w14:miter w14:val="0"/>
                </w14:textOutline>
              </w:rPr>
              <w:t>2</w:t>
            </w:r>
          </w:p>
        </w:tc>
        <w:tc>
          <w:tcPr>
            <w:tcW w:w="1353" w:type="dxa"/>
            <w:vAlign w:val="top"/>
          </w:tcPr>
          <w:p w14:paraId="3EA28B17">
            <w:pPr>
              <w:pStyle w:val="11"/>
              <w:spacing w:before="78" w:line="286" w:lineRule="exact"/>
              <w:ind w:left="484"/>
            </w:pPr>
            <w:r>
              <w:rPr>
                <w:spacing w:val="-5"/>
                <w:position w:val="1"/>
                <w14:textOutline w14:w="3831" w14:cap="flat" w14:cmpd="sng">
                  <w14:solidFill>
                    <w14:srgbClr w14:val="000000"/>
                  </w14:solidFill>
                  <w14:prstDash w14:val="solid"/>
                  <w14:miter w14:val="0"/>
                </w14:textOutline>
              </w:rPr>
              <w:t>……</w:t>
            </w:r>
          </w:p>
        </w:tc>
        <w:tc>
          <w:tcPr>
            <w:tcW w:w="1358" w:type="dxa"/>
            <w:vAlign w:val="top"/>
          </w:tcPr>
          <w:p w14:paraId="04C41F3B">
            <w:pPr>
              <w:rPr>
                <w:rFonts w:ascii="Arial"/>
                <w:sz w:val="21"/>
              </w:rPr>
            </w:pPr>
          </w:p>
        </w:tc>
        <w:tc>
          <w:tcPr>
            <w:tcW w:w="1354" w:type="dxa"/>
            <w:vAlign w:val="top"/>
          </w:tcPr>
          <w:p w14:paraId="74A031E7">
            <w:pPr>
              <w:rPr>
                <w:rFonts w:ascii="Arial"/>
                <w:sz w:val="21"/>
              </w:rPr>
            </w:pPr>
          </w:p>
        </w:tc>
        <w:tc>
          <w:tcPr>
            <w:tcW w:w="1359" w:type="dxa"/>
            <w:vAlign w:val="top"/>
          </w:tcPr>
          <w:p w14:paraId="52D4466D">
            <w:pPr>
              <w:rPr>
                <w:rFonts w:ascii="Arial"/>
                <w:sz w:val="21"/>
              </w:rPr>
            </w:pPr>
          </w:p>
        </w:tc>
        <w:tc>
          <w:tcPr>
            <w:tcW w:w="1363" w:type="dxa"/>
            <w:vAlign w:val="top"/>
          </w:tcPr>
          <w:p w14:paraId="47ABC1DB">
            <w:pPr>
              <w:rPr>
                <w:rFonts w:ascii="Arial"/>
                <w:sz w:val="21"/>
              </w:rPr>
            </w:pPr>
          </w:p>
        </w:tc>
        <w:tc>
          <w:tcPr>
            <w:tcW w:w="1800" w:type="dxa"/>
            <w:vMerge w:val="continue"/>
            <w:tcBorders>
              <w:top w:val="nil"/>
            </w:tcBorders>
            <w:vAlign w:val="top"/>
          </w:tcPr>
          <w:p w14:paraId="22909CE0">
            <w:pPr>
              <w:rPr>
                <w:rFonts w:ascii="Arial"/>
                <w:sz w:val="21"/>
              </w:rPr>
            </w:pPr>
          </w:p>
        </w:tc>
      </w:tr>
      <w:tr w14:paraId="2FEFD6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9" w:hRule="atLeast"/>
        </w:trPr>
        <w:tc>
          <w:tcPr>
            <w:tcW w:w="796" w:type="dxa"/>
            <w:vAlign w:val="top"/>
          </w:tcPr>
          <w:p w14:paraId="2B4D3240">
            <w:pPr>
              <w:pStyle w:val="11"/>
              <w:spacing w:before="175" w:line="183" w:lineRule="auto"/>
              <w:ind w:left="369"/>
            </w:pPr>
            <w:r>
              <w:t>1</w:t>
            </w:r>
          </w:p>
        </w:tc>
        <w:tc>
          <w:tcPr>
            <w:tcW w:w="1810" w:type="dxa"/>
            <w:vAlign w:val="top"/>
          </w:tcPr>
          <w:p w14:paraId="4EBC01ED">
            <w:pPr>
              <w:rPr>
                <w:rFonts w:ascii="Arial"/>
                <w:sz w:val="21"/>
              </w:rPr>
            </w:pPr>
          </w:p>
        </w:tc>
        <w:tc>
          <w:tcPr>
            <w:tcW w:w="1358" w:type="dxa"/>
            <w:vAlign w:val="top"/>
          </w:tcPr>
          <w:p w14:paraId="586205A2">
            <w:pPr>
              <w:rPr>
                <w:rFonts w:ascii="Arial"/>
                <w:sz w:val="21"/>
              </w:rPr>
            </w:pPr>
          </w:p>
        </w:tc>
        <w:tc>
          <w:tcPr>
            <w:tcW w:w="1358" w:type="dxa"/>
            <w:vAlign w:val="top"/>
          </w:tcPr>
          <w:p w14:paraId="27A04583">
            <w:pPr>
              <w:rPr>
                <w:rFonts w:ascii="Arial"/>
                <w:sz w:val="21"/>
              </w:rPr>
            </w:pPr>
          </w:p>
        </w:tc>
        <w:tc>
          <w:tcPr>
            <w:tcW w:w="1353" w:type="dxa"/>
            <w:vAlign w:val="top"/>
          </w:tcPr>
          <w:p w14:paraId="19037337">
            <w:pPr>
              <w:rPr>
                <w:rFonts w:ascii="Arial"/>
                <w:sz w:val="21"/>
              </w:rPr>
            </w:pPr>
          </w:p>
        </w:tc>
        <w:tc>
          <w:tcPr>
            <w:tcW w:w="1358" w:type="dxa"/>
            <w:vAlign w:val="top"/>
          </w:tcPr>
          <w:p w14:paraId="494E9438">
            <w:pPr>
              <w:rPr>
                <w:rFonts w:ascii="Arial"/>
                <w:sz w:val="21"/>
              </w:rPr>
            </w:pPr>
          </w:p>
        </w:tc>
        <w:tc>
          <w:tcPr>
            <w:tcW w:w="1354" w:type="dxa"/>
            <w:vAlign w:val="top"/>
          </w:tcPr>
          <w:p w14:paraId="5782294F">
            <w:pPr>
              <w:rPr>
                <w:rFonts w:ascii="Arial"/>
                <w:sz w:val="21"/>
              </w:rPr>
            </w:pPr>
          </w:p>
        </w:tc>
        <w:tc>
          <w:tcPr>
            <w:tcW w:w="1359" w:type="dxa"/>
            <w:vAlign w:val="top"/>
          </w:tcPr>
          <w:p w14:paraId="2455B561">
            <w:pPr>
              <w:rPr>
                <w:rFonts w:ascii="Arial"/>
                <w:sz w:val="21"/>
              </w:rPr>
            </w:pPr>
          </w:p>
        </w:tc>
        <w:tc>
          <w:tcPr>
            <w:tcW w:w="1363" w:type="dxa"/>
            <w:vAlign w:val="top"/>
          </w:tcPr>
          <w:p w14:paraId="3A565C9E">
            <w:pPr>
              <w:rPr>
                <w:rFonts w:ascii="Arial"/>
                <w:sz w:val="21"/>
              </w:rPr>
            </w:pPr>
          </w:p>
        </w:tc>
        <w:tc>
          <w:tcPr>
            <w:tcW w:w="1800" w:type="dxa"/>
            <w:vAlign w:val="top"/>
          </w:tcPr>
          <w:p w14:paraId="54EE14C4">
            <w:pPr>
              <w:rPr>
                <w:rFonts w:ascii="Arial"/>
                <w:sz w:val="21"/>
              </w:rPr>
            </w:pPr>
          </w:p>
        </w:tc>
      </w:tr>
      <w:tr w14:paraId="6AF28D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3" w:hRule="atLeast"/>
        </w:trPr>
        <w:tc>
          <w:tcPr>
            <w:tcW w:w="796" w:type="dxa"/>
            <w:vAlign w:val="top"/>
          </w:tcPr>
          <w:p w14:paraId="1682F5E0">
            <w:pPr>
              <w:pStyle w:val="11"/>
              <w:spacing w:before="176" w:line="182" w:lineRule="auto"/>
              <w:ind w:left="356"/>
            </w:pPr>
            <w:r>
              <w:t>2</w:t>
            </w:r>
          </w:p>
        </w:tc>
        <w:tc>
          <w:tcPr>
            <w:tcW w:w="1810" w:type="dxa"/>
            <w:vAlign w:val="top"/>
          </w:tcPr>
          <w:p w14:paraId="36A4C23A">
            <w:pPr>
              <w:rPr>
                <w:rFonts w:ascii="Arial"/>
                <w:sz w:val="21"/>
              </w:rPr>
            </w:pPr>
          </w:p>
        </w:tc>
        <w:tc>
          <w:tcPr>
            <w:tcW w:w="1358" w:type="dxa"/>
            <w:vAlign w:val="top"/>
          </w:tcPr>
          <w:p w14:paraId="04C59A81">
            <w:pPr>
              <w:rPr>
                <w:rFonts w:ascii="Arial"/>
                <w:sz w:val="21"/>
              </w:rPr>
            </w:pPr>
          </w:p>
        </w:tc>
        <w:tc>
          <w:tcPr>
            <w:tcW w:w="1358" w:type="dxa"/>
            <w:vAlign w:val="top"/>
          </w:tcPr>
          <w:p w14:paraId="270CEC85">
            <w:pPr>
              <w:rPr>
                <w:rFonts w:ascii="Arial"/>
                <w:sz w:val="21"/>
              </w:rPr>
            </w:pPr>
          </w:p>
        </w:tc>
        <w:tc>
          <w:tcPr>
            <w:tcW w:w="1353" w:type="dxa"/>
            <w:vAlign w:val="top"/>
          </w:tcPr>
          <w:p w14:paraId="23FC361F">
            <w:pPr>
              <w:rPr>
                <w:rFonts w:ascii="Arial"/>
                <w:sz w:val="21"/>
              </w:rPr>
            </w:pPr>
          </w:p>
        </w:tc>
        <w:tc>
          <w:tcPr>
            <w:tcW w:w="1358" w:type="dxa"/>
            <w:vAlign w:val="top"/>
          </w:tcPr>
          <w:p w14:paraId="5C52A9B8">
            <w:pPr>
              <w:rPr>
                <w:rFonts w:ascii="Arial"/>
                <w:sz w:val="21"/>
              </w:rPr>
            </w:pPr>
          </w:p>
        </w:tc>
        <w:tc>
          <w:tcPr>
            <w:tcW w:w="1354" w:type="dxa"/>
            <w:vAlign w:val="top"/>
          </w:tcPr>
          <w:p w14:paraId="57585F57">
            <w:pPr>
              <w:rPr>
                <w:rFonts w:ascii="Arial"/>
                <w:sz w:val="21"/>
              </w:rPr>
            </w:pPr>
          </w:p>
        </w:tc>
        <w:tc>
          <w:tcPr>
            <w:tcW w:w="1359" w:type="dxa"/>
            <w:vAlign w:val="top"/>
          </w:tcPr>
          <w:p w14:paraId="0C5A6A5D">
            <w:pPr>
              <w:rPr>
                <w:rFonts w:ascii="Arial"/>
                <w:sz w:val="21"/>
              </w:rPr>
            </w:pPr>
          </w:p>
        </w:tc>
        <w:tc>
          <w:tcPr>
            <w:tcW w:w="1363" w:type="dxa"/>
            <w:vAlign w:val="top"/>
          </w:tcPr>
          <w:p w14:paraId="0B72CCB0">
            <w:pPr>
              <w:rPr>
                <w:rFonts w:ascii="Arial"/>
                <w:sz w:val="21"/>
              </w:rPr>
            </w:pPr>
          </w:p>
        </w:tc>
        <w:tc>
          <w:tcPr>
            <w:tcW w:w="1800" w:type="dxa"/>
            <w:vAlign w:val="top"/>
          </w:tcPr>
          <w:p w14:paraId="75FC1B16">
            <w:pPr>
              <w:rPr>
                <w:rFonts w:ascii="Arial"/>
                <w:sz w:val="21"/>
              </w:rPr>
            </w:pPr>
          </w:p>
        </w:tc>
      </w:tr>
      <w:tr w14:paraId="2CB956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9" w:hRule="atLeast"/>
        </w:trPr>
        <w:tc>
          <w:tcPr>
            <w:tcW w:w="796" w:type="dxa"/>
            <w:vAlign w:val="top"/>
          </w:tcPr>
          <w:p w14:paraId="46A5D4B9">
            <w:pPr>
              <w:pStyle w:val="11"/>
              <w:spacing w:before="177" w:line="182" w:lineRule="auto"/>
              <w:ind w:left="357"/>
            </w:pPr>
            <w:r>
              <w:t>3</w:t>
            </w:r>
          </w:p>
        </w:tc>
        <w:tc>
          <w:tcPr>
            <w:tcW w:w="1810" w:type="dxa"/>
            <w:vAlign w:val="top"/>
          </w:tcPr>
          <w:p w14:paraId="42273426">
            <w:pPr>
              <w:rPr>
                <w:rFonts w:ascii="Arial"/>
                <w:sz w:val="21"/>
              </w:rPr>
            </w:pPr>
          </w:p>
        </w:tc>
        <w:tc>
          <w:tcPr>
            <w:tcW w:w="1358" w:type="dxa"/>
            <w:vAlign w:val="top"/>
          </w:tcPr>
          <w:p w14:paraId="6DD765A7">
            <w:pPr>
              <w:rPr>
                <w:rFonts w:ascii="Arial"/>
                <w:sz w:val="21"/>
              </w:rPr>
            </w:pPr>
          </w:p>
        </w:tc>
        <w:tc>
          <w:tcPr>
            <w:tcW w:w="1358" w:type="dxa"/>
            <w:vAlign w:val="top"/>
          </w:tcPr>
          <w:p w14:paraId="7CE9934C">
            <w:pPr>
              <w:rPr>
                <w:rFonts w:ascii="Arial"/>
                <w:sz w:val="21"/>
              </w:rPr>
            </w:pPr>
          </w:p>
        </w:tc>
        <w:tc>
          <w:tcPr>
            <w:tcW w:w="1353" w:type="dxa"/>
            <w:vAlign w:val="top"/>
          </w:tcPr>
          <w:p w14:paraId="2B570EFA">
            <w:pPr>
              <w:rPr>
                <w:rFonts w:ascii="Arial"/>
                <w:sz w:val="21"/>
              </w:rPr>
            </w:pPr>
          </w:p>
        </w:tc>
        <w:tc>
          <w:tcPr>
            <w:tcW w:w="1358" w:type="dxa"/>
            <w:vAlign w:val="top"/>
          </w:tcPr>
          <w:p w14:paraId="784310F3">
            <w:pPr>
              <w:rPr>
                <w:rFonts w:ascii="Arial"/>
                <w:sz w:val="21"/>
              </w:rPr>
            </w:pPr>
          </w:p>
        </w:tc>
        <w:tc>
          <w:tcPr>
            <w:tcW w:w="1354" w:type="dxa"/>
            <w:vAlign w:val="top"/>
          </w:tcPr>
          <w:p w14:paraId="13B56BAE">
            <w:pPr>
              <w:rPr>
                <w:rFonts w:ascii="Arial"/>
                <w:sz w:val="21"/>
              </w:rPr>
            </w:pPr>
          </w:p>
        </w:tc>
        <w:tc>
          <w:tcPr>
            <w:tcW w:w="1359" w:type="dxa"/>
            <w:vAlign w:val="top"/>
          </w:tcPr>
          <w:p w14:paraId="5EB9BDCB">
            <w:pPr>
              <w:rPr>
                <w:rFonts w:ascii="Arial"/>
                <w:sz w:val="21"/>
              </w:rPr>
            </w:pPr>
          </w:p>
        </w:tc>
        <w:tc>
          <w:tcPr>
            <w:tcW w:w="1363" w:type="dxa"/>
            <w:vAlign w:val="top"/>
          </w:tcPr>
          <w:p w14:paraId="2ED6ED20">
            <w:pPr>
              <w:rPr>
                <w:rFonts w:ascii="Arial"/>
                <w:sz w:val="21"/>
              </w:rPr>
            </w:pPr>
          </w:p>
        </w:tc>
        <w:tc>
          <w:tcPr>
            <w:tcW w:w="1800" w:type="dxa"/>
            <w:vAlign w:val="top"/>
          </w:tcPr>
          <w:p w14:paraId="61D8FD06">
            <w:pPr>
              <w:rPr>
                <w:rFonts w:ascii="Arial"/>
                <w:sz w:val="21"/>
              </w:rPr>
            </w:pPr>
          </w:p>
        </w:tc>
      </w:tr>
      <w:tr w14:paraId="7349A4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3" w:hRule="atLeast"/>
        </w:trPr>
        <w:tc>
          <w:tcPr>
            <w:tcW w:w="796" w:type="dxa"/>
            <w:vAlign w:val="top"/>
          </w:tcPr>
          <w:p w14:paraId="50C685CD">
            <w:pPr>
              <w:pStyle w:val="11"/>
              <w:spacing w:before="177" w:line="182" w:lineRule="auto"/>
              <w:ind w:left="352"/>
            </w:pPr>
            <w:r>
              <w:t>4</w:t>
            </w:r>
          </w:p>
        </w:tc>
        <w:tc>
          <w:tcPr>
            <w:tcW w:w="1810" w:type="dxa"/>
            <w:vAlign w:val="top"/>
          </w:tcPr>
          <w:p w14:paraId="1ECB4AA8">
            <w:pPr>
              <w:rPr>
                <w:rFonts w:ascii="Arial"/>
                <w:sz w:val="21"/>
              </w:rPr>
            </w:pPr>
          </w:p>
        </w:tc>
        <w:tc>
          <w:tcPr>
            <w:tcW w:w="1358" w:type="dxa"/>
            <w:vAlign w:val="top"/>
          </w:tcPr>
          <w:p w14:paraId="2611A938">
            <w:pPr>
              <w:rPr>
                <w:rFonts w:ascii="Arial"/>
                <w:sz w:val="21"/>
              </w:rPr>
            </w:pPr>
          </w:p>
        </w:tc>
        <w:tc>
          <w:tcPr>
            <w:tcW w:w="1358" w:type="dxa"/>
            <w:vAlign w:val="top"/>
          </w:tcPr>
          <w:p w14:paraId="2276407D">
            <w:pPr>
              <w:rPr>
                <w:rFonts w:ascii="Arial"/>
                <w:sz w:val="21"/>
              </w:rPr>
            </w:pPr>
          </w:p>
        </w:tc>
        <w:tc>
          <w:tcPr>
            <w:tcW w:w="1353" w:type="dxa"/>
            <w:vAlign w:val="top"/>
          </w:tcPr>
          <w:p w14:paraId="41D0C9C6">
            <w:pPr>
              <w:rPr>
                <w:rFonts w:ascii="Arial"/>
                <w:sz w:val="21"/>
              </w:rPr>
            </w:pPr>
          </w:p>
        </w:tc>
        <w:tc>
          <w:tcPr>
            <w:tcW w:w="1358" w:type="dxa"/>
            <w:vAlign w:val="top"/>
          </w:tcPr>
          <w:p w14:paraId="0FA9C2FB">
            <w:pPr>
              <w:rPr>
                <w:rFonts w:ascii="Arial"/>
                <w:sz w:val="21"/>
              </w:rPr>
            </w:pPr>
          </w:p>
        </w:tc>
        <w:tc>
          <w:tcPr>
            <w:tcW w:w="1354" w:type="dxa"/>
            <w:vAlign w:val="top"/>
          </w:tcPr>
          <w:p w14:paraId="73570478">
            <w:pPr>
              <w:rPr>
                <w:rFonts w:ascii="Arial"/>
                <w:sz w:val="21"/>
              </w:rPr>
            </w:pPr>
          </w:p>
        </w:tc>
        <w:tc>
          <w:tcPr>
            <w:tcW w:w="1359" w:type="dxa"/>
            <w:vAlign w:val="top"/>
          </w:tcPr>
          <w:p w14:paraId="0F2D7C4D">
            <w:pPr>
              <w:rPr>
                <w:rFonts w:ascii="Arial"/>
                <w:sz w:val="21"/>
              </w:rPr>
            </w:pPr>
          </w:p>
        </w:tc>
        <w:tc>
          <w:tcPr>
            <w:tcW w:w="1363" w:type="dxa"/>
            <w:vAlign w:val="top"/>
          </w:tcPr>
          <w:p w14:paraId="5CE89DE3">
            <w:pPr>
              <w:rPr>
                <w:rFonts w:ascii="Arial"/>
                <w:sz w:val="21"/>
              </w:rPr>
            </w:pPr>
          </w:p>
        </w:tc>
        <w:tc>
          <w:tcPr>
            <w:tcW w:w="1800" w:type="dxa"/>
            <w:vAlign w:val="top"/>
          </w:tcPr>
          <w:p w14:paraId="398069DC">
            <w:pPr>
              <w:rPr>
                <w:rFonts w:ascii="Arial"/>
                <w:sz w:val="21"/>
              </w:rPr>
            </w:pPr>
          </w:p>
        </w:tc>
      </w:tr>
      <w:tr w14:paraId="0E2244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9" w:hRule="atLeast"/>
        </w:trPr>
        <w:tc>
          <w:tcPr>
            <w:tcW w:w="796" w:type="dxa"/>
            <w:vAlign w:val="top"/>
          </w:tcPr>
          <w:p w14:paraId="5ADB5B16">
            <w:pPr>
              <w:pStyle w:val="11"/>
              <w:spacing w:before="179" w:line="181" w:lineRule="auto"/>
              <w:ind w:left="357"/>
            </w:pPr>
            <w:r>
              <w:t>5</w:t>
            </w:r>
          </w:p>
        </w:tc>
        <w:tc>
          <w:tcPr>
            <w:tcW w:w="1810" w:type="dxa"/>
            <w:vAlign w:val="top"/>
          </w:tcPr>
          <w:p w14:paraId="0B78711B">
            <w:pPr>
              <w:rPr>
                <w:rFonts w:ascii="Arial"/>
                <w:sz w:val="21"/>
              </w:rPr>
            </w:pPr>
          </w:p>
        </w:tc>
        <w:tc>
          <w:tcPr>
            <w:tcW w:w="1358" w:type="dxa"/>
            <w:vAlign w:val="top"/>
          </w:tcPr>
          <w:p w14:paraId="571DB905">
            <w:pPr>
              <w:rPr>
                <w:rFonts w:ascii="Arial"/>
                <w:sz w:val="21"/>
              </w:rPr>
            </w:pPr>
          </w:p>
        </w:tc>
        <w:tc>
          <w:tcPr>
            <w:tcW w:w="1358" w:type="dxa"/>
            <w:vAlign w:val="top"/>
          </w:tcPr>
          <w:p w14:paraId="0D111DA3">
            <w:pPr>
              <w:rPr>
                <w:rFonts w:ascii="Arial"/>
                <w:sz w:val="21"/>
              </w:rPr>
            </w:pPr>
          </w:p>
        </w:tc>
        <w:tc>
          <w:tcPr>
            <w:tcW w:w="1353" w:type="dxa"/>
            <w:vAlign w:val="top"/>
          </w:tcPr>
          <w:p w14:paraId="65708FA8">
            <w:pPr>
              <w:rPr>
                <w:rFonts w:ascii="Arial"/>
                <w:sz w:val="21"/>
              </w:rPr>
            </w:pPr>
          </w:p>
        </w:tc>
        <w:tc>
          <w:tcPr>
            <w:tcW w:w="1358" w:type="dxa"/>
            <w:vAlign w:val="top"/>
          </w:tcPr>
          <w:p w14:paraId="27A76B65">
            <w:pPr>
              <w:rPr>
                <w:rFonts w:ascii="Arial"/>
                <w:sz w:val="21"/>
              </w:rPr>
            </w:pPr>
          </w:p>
        </w:tc>
        <w:tc>
          <w:tcPr>
            <w:tcW w:w="1354" w:type="dxa"/>
            <w:vAlign w:val="top"/>
          </w:tcPr>
          <w:p w14:paraId="13BE1947">
            <w:pPr>
              <w:rPr>
                <w:rFonts w:ascii="Arial"/>
                <w:sz w:val="21"/>
              </w:rPr>
            </w:pPr>
          </w:p>
        </w:tc>
        <w:tc>
          <w:tcPr>
            <w:tcW w:w="1359" w:type="dxa"/>
            <w:vAlign w:val="top"/>
          </w:tcPr>
          <w:p w14:paraId="624C1947">
            <w:pPr>
              <w:rPr>
                <w:rFonts w:ascii="Arial"/>
                <w:sz w:val="21"/>
              </w:rPr>
            </w:pPr>
          </w:p>
        </w:tc>
        <w:tc>
          <w:tcPr>
            <w:tcW w:w="1363" w:type="dxa"/>
            <w:vAlign w:val="top"/>
          </w:tcPr>
          <w:p w14:paraId="6860B946">
            <w:pPr>
              <w:rPr>
                <w:rFonts w:ascii="Arial"/>
                <w:sz w:val="21"/>
              </w:rPr>
            </w:pPr>
          </w:p>
        </w:tc>
        <w:tc>
          <w:tcPr>
            <w:tcW w:w="1800" w:type="dxa"/>
            <w:vAlign w:val="top"/>
          </w:tcPr>
          <w:p w14:paraId="4013EA84">
            <w:pPr>
              <w:rPr>
                <w:rFonts w:ascii="Arial"/>
                <w:sz w:val="21"/>
              </w:rPr>
            </w:pPr>
          </w:p>
        </w:tc>
      </w:tr>
      <w:tr w14:paraId="785464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9" w:hRule="atLeast"/>
        </w:trPr>
        <w:tc>
          <w:tcPr>
            <w:tcW w:w="796" w:type="dxa"/>
            <w:vAlign w:val="top"/>
          </w:tcPr>
          <w:p w14:paraId="5CCBA282">
            <w:pPr>
              <w:pStyle w:val="11"/>
              <w:spacing w:before="178" w:line="182" w:lineRule="auto"/>
              <w:ind w:left="355"/>
            </w:pPr>
            <w:r>
              <w:t>6</w:t>
            </w:r>
          </w:p>
        </w:tc>
        <w:tc>
          <w:tcPr>
            <w:tcW w:w="1810" w:type="dxa"/>
            <w:vAlign w:val="top"/>
          </w:tcPr>
          <w:p w14:paraId="2C2915D7">
            <w:pPr>
              <w:rPr>
                <w:rFonts w:ascii="Arial"/>
                <w:sz w:val="21"/>
              </w:rPr>
            </w:pPr>
          </w:p>
        </w:tc>
        <w:tc>
          <w:tcPr>
            <w:tcW w:w="1358" w:type="dxa"/>
            <w:vAlign w:val="top"/>
          </w:tcPr>
          <w:p w14:paraId="005F546A">
            <w:pPr>
              <w:rPr>
                <w:rFonts w:ascii="Arial"/>
                <w:sz w:val="21"/>
              </w:rPr>
            </w:pPr>
          </w:p>
        </w:tc>
        <w:tc>
          <w:tcPr>
            <w:tcW w:w="1358" w:type="dxa"/>
            <w:vAlign w:val="top"/>
          </w:tcPr>
          <w:p w14:paraId="64B36E2E">
            <w:pPr>
              <w:rPr>
                <w:rFonts w:ascii="Arial"/>
                <w:sz w:val="21"/>
              </w:rPr>
            </w:pPr>
          </w:p>
        </w:tc>
        <w:tc>
          <w:tcPr>
            <w:tcW w:w="1353" w:type="dxa"/>
            <w:vAlign w:val="top"/>
          </w:tcPr>
          <w:p w14:paraId="7050F5DA">
            <w:pPr>
              <w:rPr>
                <w:rFonts w:ascii="Arial"/>
                <w:sz w:val="21"/>
              </w:rPr>
            </w:pPr>
          </w:p>
        </w:tc>
        <w:tc>
          <w:tcPr>
            <w:tcW w:w="1358" w:type="dxa"/>
            <w:vAlign w:val="top"/>
          </w:tcPr>
          <w:p w14:paraId="29D3CBB0">
            <w:pPr>
              <w:rPr>
                <w:rFonts w:ascii="Arial"/>
                <w:sz w:val="21"/>
              </w:rPr>
            </w:pPr>
          </w:p>
        </w:tc>
        <w:tc>
          <w:tcPr>
            <w:tcW w:w="1354" w:type="dxa"/>
            <w:vAlign w:val="top"/>
          </w:tcPr>
          <w:p w14:paraId="38E6E2F1">
            <w:pPr>
              <w:rPr>
                <w:rFonts w:ascii="Arial"/>
                <w:sz w:val="21"/>
              </w:rPr>
            </w:pPr>
          </w:p>
        </w:tc>
        <w:tc>
          <w:tcPr>
            <w:tcW w:w="1359" w:type="dxa"/>
            <w:vAlign w:val="top"/>
          </w:tcPr>
          <w:p w14:paraId="2D209E66">
            <w:pPr>
              <w:rPr>
                <w:rFonts w:ascii="Arial"/>
                <w:sz w:val="21"/>
              </w:rPr>
            </w:pPr>
          </w:p>
        </w:tc>
        <w:tc>
          <w:tcPr>
            <w:tcW w:w="1363" w:type="dxa"/>
            <w:vAlign w:val="top"/>
          </w:tcPr>
          <w:p w14:paraId="174CC1ED">
            <w:pPr>
              <w:rPr>
                <w:rFonts w:ascii="Arial"/>
                <w:sz w:val="21"/>
              </w:rPr>
            </w:pPr>
          </w:p>
        </w:tc>
        <w:tc>
          <w:tcPr>
            <w:tcW w:w="1800" w:type="dxa"/>
            <w:vAlign w:val="top"/>
          </w:tcPr>
          <w:p w14:paraId="7FEEB112">
            <w:pPr>
              <w:rPr>
                <w:rFonts w:ascii="Arial"/>
                <w:sz w:val="21"/>
              </w:rPr>
            </w:pPr>
          </w:p>
        </w:tc>
      </w:tr>
      <w:tr w14:paraId="5BEE19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3" w:hRule="atLeast"/>
        </w:trPr>
        <w:tc>
          <w:tcPr>
            <w:tcW w:w="796" w:type="dxa"/>
            <w:vAlign w:val="top"/>
          </w:tcPr>
          <w:p w14:paraId="090C82CD">
            <w:pPr>
              <w:pStyle w:val="11"/>
              <w:spacing w:before="148" w:line="332" w:lineRule="exact"/>
              <w:ind w:left="208"/>
            </w:pPr>
            <w:r>
              <w:rPr>
                <w:spacing w:val="-10"/>
                <w:position w:val="2"/>
              </w:rPr>
              <w:t>……</w:t>
            </w:r>
          </w:p>
        </w:tc>
        <w:tc>
          <w:tcPr>
            <w:tcW w:w="1810" w:type="dxa"/>
            <w:vAlign w:val="top"/>
          </w:tcPr>
          <w:p w14:paraId="4C30287C">
            <w:pPr>
              <w:rPr>
                <w:rFonts w:ascii="Arial"/>
                <w:sz w:val="21"/>
              </w:rPr>
            </w:pPr>
          </w:p>
        </w:tc>
        <w:tc>
          <w:tcPr>
            <w:tcW w:w="1358" w:type="dxa"/>
            <w:vAlign w:val="top"/>
          </w:tcPr>
          <w:p w14:paraId="5090A6EA">
            <w:pPr>
              <w:rPr>
                <w:rFonts w:ascii="Arial"/>
                <w:sz w:val="21"/>
              </w:rPr>
            </w:pPr>
          </w:p>
        </w:tc>
        <w:tc>
          <w:tcPr>
            <w:tcW w:w="1358" w:type="dxa"/>
            <w:vAlign w:val="top"/>
          </w:tcPr>
          <w:p w14:paraId="4B549CBF">
            <w:pPr>
              <w:rPr>
                <w:rFonts w:ascii="Arial"/>
                <w:sz w:val="21"/>
              </w:rPr>
            </w:pPr>
          </w:p>
        </w:tc>
        <w:tc>
          <w:tcPr>
            <w:tcW w:w="1353" w:type="dxa"/>
            <w:vAlign w:val="top"/>
          </w:tcPr>
          <w:p w14:paraId="79DCA489">
            <w:pPr>
              <w:rPr>
                <w:rFonts w:ascii="Arial"/>
                <w:sz w:val="21"/>
              </w:rPr>
            </w:pPr>
          </w:p>
        </w:tc>
        <w:tc>
          <w:tcPr>
            <w:tcW w:w="1358" w:type="dxa"/>
            <w:vAlign w:val="top"/>
          </w:tcPr>
          <w:p w14:paraId="2877062C">
            <w:pPr>
              <w:rPr>
                <w:rFonts w:ascii="Arial"/>
                <w:sz w:val="21"/>
              </w:rPr>
            </w:pPr>
          </w:p>
        </w:tc>
        <w:tc>
          <w:tcPr>
            <w:tcW w:w="1354" w:type="dxa"/>
            <w:vAlign w:val="top"/>
          </w:tcPr>
          <w:p w14:paraId="09926785">
            <w:pPr>
              <w:rPr>
                <w:rFonts w:ascii="Arial"/>
                <w:sz w:val="21"/>
              </w:rPr>
            </w:pPr>
          </w:p>
        </w:tc>
        <w:tc>
          <w:tcPr>
            <w:tcW w:w="1359" w:type="dxa"/>
            <w:vAlign w:val="top"/>
          </w:tcPr>
          <w:p w14:paraId="23F354F5">
            <w:pPr>
              <w:rPr>
                <w:rFonts w:ascii="Arial"/>
                <w:sz w:val="21"/>
              </w:rPr>
            </w:pPr>
          </w:p>
        </w:tc>
        <w:tc>
          <w:tcPr>
            <w:tcW w:w="1363" w:type="dxa"/>
            <w:vAlign w:val="top"/>
          </w:tcPr>
          <w:p w14:paraId="02323A04">
            <w:pPr>
              <w:rPr>
                <w:rFonts w:ascii="Arial"/>
                <w:sz w:val="21"/>
              </w:rPr>
            </w:pPr>
          </w:p>
        </w:tc>
        <w:tc>
          <w:tcPr>
            <w:tcW w:w="1800" w:type="dxa"/>
            <w:vAlign w:val="top"/>
          </w:tcPr>
          <w:p w14:paraId="22219899">
            <w:pPr>
              <w:rPr>
                <w:rFonts w:ascii="Arial"/>
                <w:sz w:val="21"/>
              </w:rPr>
            </w:pPr>
          </w:p>
        </w:tc>
      </w:tr>
      <w:tr w14:paraId="181805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70" w:hRule="atLeast"/>
        </w:trPr>
        <w:tc>
          <w:tcPr>
            <w:tcW w:w="13909" w:type="dxa"/>
            <w:gridSpan w:val="10"/>
            <w:vAlign w:val="top"/>
          </w:tcPr>
          <w:p w14:paraId="01547D82">
            <w:pPr>
              <w:pStyle w:val="11"/>
              <w:spacing w:before="33" w:line="221" w:lineRule="auto"/>
              <w:ind w:left="127"/>
            </w:pPr>
            <w:r>
              <w:rPr>
                <w:spacing w:val="-6"/>
              </w:rPr>
              <w:t>资信标评委签名：</w:t>
            </w:r>
          </w:p>
        </w:tc>
      </w:tr>
    </w:tbl>
    <w:p w14:paraId="5A59630F">
      <w:pPr>
        <w:spacing w:before="298" w:line="221" w:lineRule="auto"/>
        <w:jc w:val="right"/>
        <w:rPr>
          <w:rFonts w:ascii="宋体" w:hAnsi="宋体" w:eastAsia="宋体" w:cs="宋体"/>
          <w:sz w:val="21"/>
          <w:szCs w:val="21"/>
        </w:rPr>
      </w:pPr>
      <w:r>
        <w:rPr>
          <w:rFonts w:ascii="宋体" w:hAnsi="宋体" w:eastAsia="宋体" w:cs="宋体"/>
          <w:spacing w:val="-31"/>
          <w:sz w:val="21"/>
          <w:szCs w:val="21"/>
        </w:rPr>
        <w:t>日期：</w:t>
      </w:r>
      <w:r>
        <w:rPr>
          <w:rFonts w:ascii="宋体" w:hAnsi="宋体" w:eastAsia="宋体" w:cs="宋体"/>
          <w:spacing w:val="27"/>
          <w:sz w:val="21"/>
          <w:szCs w:val="21"/>
        </w:rPr>
        <w:t xml:space="preserve">   </w:t>
      </w:r>
      <w:r>
        <w:rPr>
          <w:rFonts w:ascii="宋体" w:hAnsi="宋体" w:eastAsia="宋体" w:cs="宋体"/>
          <w:spacing w:val="-31"/>
          <w:sz w:val="21"/>
          <w:szCs w:val="21"/>
        </w:rPr>
        <w:t>年</w:t>
      </w:r>
      <w:r>
        <w:rPr>
          <w:rFonts w:ascii="宋体" w:hAnsi="宋体" w:eastAsia="宋体" w:cs="宋体"/>
          <w:spacing w:val="7"/>
          <w:sz w:val="21"/>
          <w:szCs w:val="21"/>
        </w:rPr>
        <w:t xml:space="preserve">  </w:t>
      </w:r>
      <w:r>
        <w:rPr>
          <w:rFonts w:ascii="宋体" w:hAnsi="宋体" w:eastAsia="宋体" w:cs="宋体"/>
          <w:spacing w:val="-31"/>
          <w:sz w:val="21"/>
          <w:szCs w:val="21"/>
        </w:rPr>
        <w:t>月</w:t>
      </w:r>
      <w:r>
        <w:rPr>
          <w:rFonts w:ascii="宋体" w:hAnsi="宋体" w:eastAsia="宋体" w:cs="宋体"/>
          <w:spacing w:val="95"/>
          <w:sz w:val="21"/>
          <w:szCs w:val="21"/>
        </w:rPr>
        <w:t xml:space="preserve"> </w:t>
      </w:r>
      <w:r>
        <w:rPr>
          <w:rFonts w:ascii="宋体" w:hAnsi="宋体" w:eastAsia="宋体" w:cs="宋体"/>
          <w:spacing w:val="-31"/>
          <w:sz w:val="21"/>
          <w:szCs w:val="21"/>
        </w:rPr>
        <w:t>日</w:t>
      </w:r>
    </w:p>
    <w:p w14:paraId="707BE45F">
      <w:pPr>
        <w:spacing w:line="221" w:lineRule="auto"/>
        <w:rPr>
          <w:rFonts w:ascii="宋体" w:hAnsi="宋体" w:eastAsia="宋体" w:cs="宋体"/>
          <w:sz w:val="21"/>
          <w:szCs w:val="21"/>
        </w:rPr>
        <w:sectPr>
          <w:footerReference r:id="rId79" w:type="default"/>
          <w:pgSz w:w="16839" w:h="11905"/>
          <w:pgMar w:top="1011" w:right="1430" w:bottom="991" w:left="1449" w:header="0" w:footer="786" w:gutter="0"/>
          <w:pgNumType w:fmt="decimal"/>
          <w:cols w:space="720" w:num="1"/>
        </w:sectPr>
      </w:pPr>
    </w:p>
    <w:p w14:paraId="1FE67E8A">
      <w:pPr>
        <w:pStyle w:val="3"/>
        <w:spacing w:line="272" w:lineRule="auto"/>
      </w:pPr>
    </w:p>
    <w:p w14:paraId="4F1E78AD">
      <w:pPr>
        <w:pStyle w:val="3"/>
        <w:spacing w:line="272" w:lineRule="auto"/>
      </w:pPr>
    </w:p>
    <w:p w14:paraId="08E26FB7">
      <w:pPr>
        <w:pStyle w:val="3"/>
        <w:spacing w:line="272" w:lineRule="auto"/>
      </w:pPr>
    </w:p>
    <w:p w14:paraId="61CB0813">
      <w:pPr>
        <w:spacing w:before="78" w:line="219" w:lineRule="auto"/>
        <w:rPr>
          <w:rFonts w:ascii="黑体" w:hAnsi="黑体" w:eastAsia="黑体" w:cs="黑体"/>
          <w:sz w:val="24"/>
          <w:szCs w:val="24"/>
        </w:rPr>
      </w:pPr>
      <w:r>
        <w:rPr>
          <w:rFonts w:ascii="黑体" w:hAnsi="黑体" w:eastAsia="黑体" w:cs="黑体"/>
          <w:spacing w:val="-4"/>
          <w:sz w:val="24"/>
          <w:szCs w:val="24"/>
        </w:rPr>
        <w:t>附表</w:t>
      </w:r>
      <w:r>
        <w:rPr>
          <w:rFonts w:ascii="黑体" w:hAnsi="黑体" w:eastAsia="黑体" w:cs="黑体"/>
          <w:spacing w:val="-60"/>
          <w:sz w:val="24"/>
          <w:szCs w:val="24"/>
        </w:rPr>
        <w:t xml:space="preserve"> </w:t>
      </w:r>
      <w:r>
        <w:rPr>
          <w:rFonts w:ascii="Times New Roman" w:hAnsi="Times New Roman" w:eastAsia="Times New Roman" w:cs="Times New Roman"/>
          <w:spacing w:val="-4"/>
          <w:sz w:val="24"/>
          <w:szCs w:val="24"/>
        </w:rPr>
        <w:t>A-</w:t>
      </w:r>
      <w:r>
        <w:rPr>
          <w:rFonts w:ascii="Times New Roman" w:hAnsi="Times New Roman" w:eastAsia="Times New Roman" w:cs="Times New Roman"/>
          <w:spacing w:val="-30"/>
          <w:sz w:val="24"/>
          <w:szCs w:val="24"/>
        </w:rPr>
        <w:t xml:space="preserve"> </w:t>
      </w:r>
      <w:r>
        <w:rPr>
          <w:rFonts w:ascii="Times New Roman" w:hAnsi="Times New Roman" w:eastAsia="Times New Roman" w:cs="Times New Roman"/>
          <w:spacing w:val="-4"/>
          <w:sz w:val="24"/>
          <w:szCs w:val="24"/>
        </w:rPr>
        <w:t>14</w:t>
      </w:r>
      <w:r>
        <w:rPr>
          <w:rFonts w:ascii="黑体" w:hAnsi="黑体" w:eastAsia="黑体" w:cs="黑体"/>
          <w:spacing w:val="-4"/>
          <w:sz w:val="24"/>
          <w:szCs w:val="24"/>
        </w:rPr>
        <w:t>：其他因素评审记录表</w:t>
      </w:r>
    </w:p>
    <w:p w14:paraId="38F5B426">
      <w:pPr>
        <w:spacing w:before="288" w:line="219" w:lineRule="auto"/>
        <w:ind w:left="5354"/>
        <w:rPr>
          <w:rFonts w:ascii="黑体" w:hAnsi="黑体" w:eastAsia="黑体" w:cs="黑体"/>
          <w:sz w:val="36"/>
          <w:szCs w:val="36"/>
        </w:rPr>
      </w:pPr>
      <w:r>
        <w:rPr>
          <w:rFonts w:ascii="黑体" w:hAnsi="黑体" w:eastAsia="黑体" w:cs="黑体"/>
          <w:spacing w:val="-2"/>
          <w:sz w:val="36"/>
          <w:szCs w:val="36"/>
        </w:rPr>
        <w:t>其他因素评审记录表</w:t>
      </w:r>
    </w:p>
    <w:p w14:paraId="186F087F">
      <w:pPr>
        <w:spacing w:before="234" w:line="221" w:lineRule="auto"/>
        <w:ind w:left="197"/>
        <w:rPr>
          <w:rFonts w:ascii="宋体" w:hAnsi="宋体" w:eastAsia="宋体" w:cs="宋体"/>
          <w:sz w:val="21"/>
          <w:szCs w:val="21"/>
        </w:rPr>
      </w:pPr>
      <w:r>
        <w:rPr>
          <w:rFonts w:ascii="宋体" w:hAnsi="宋体" w:eastAsia="宋体" w:cs="宋体"/>
          <w:spacing w:val="-9"/>
          <w:sz w:val="21"/>
          <w:szCs w:val="21"/>
        </w:rPr>
        <w:t>标段名称：</w:t>
      </w:r>
    </w:p>
    <w:p w14:paraId="39197EF1">
      <w:pPr>
        <w:spacing w:before="22" w:line="214" w:lineRule="auto"/>
        <w:ind w:left="197"/>
        <w:rPr>
          <w:rFonts w:ascii="宋体" w:hAnsi="宋体" w:eastAsia="宋体" w:cs="宋体"/>
          <w:sz w:val="21"/>
          <w:szCs w:val="21"/>
        </w:rPr>
      </w:pPr>
      <w:r>
        <w:rPr>
          <w:rFonts w:ascii="宋体" w:hAnsi="宋体" w:eastAsia="宋体" w:cs="宋体"/>
          <w:spacing w:val="-5"/>
          <w:sz w:val="21"/>
          <w:szCs w:val="21"/>
        </w:rPr>
        <w:t>标段唯一标识码：</w:t>
      </w:r>
    </w:p>
    <w:tbl>
      <w:tblPr>
        <w:tblStyle w:val="10"/>
        <w:tblW w:w="13327" w:type="dxa"/>
        <w:tblInd w:w="29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2"/>
        <w:gridCol w:w="1752"/>
        <w:gridCol w:w="1315"/>
        <w:gridCol w:w="1315"/>
        <w:gridCol w:w="1315"/>
        <w:gridCol w:w="1310"/>
        <w:gridCol w:w="1315"/>
        <w:gridCol w:w="1315"/>
        <w:gridCol w:w="1325"/>
        <w:gridCol w:w="1593"/>
      </w:tblGrid>
      <w:tr w14:paraId="116EBE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1" w:hRule="atLeast"/>
        </w:trPr>
        <w:tc>
          <w:tcPr>
            <w:tcW w:w="772" w:type="dxa"/>
            <w:vMerge w:val="restart"/>
            <w:tcBorders>
              <w:bottom w:val="nil"/>
            </w:tcBorders>
            <w:vAlign w:val="top"/>
          </w:tcPr>
          <w:p w14:paraId="07EE1696">
            <w:pPr>
              <w:spacing w:line="266" w:lineRule="auto"/>
              <w:rPr>
                <w:rFonts w:ascii="Arial"/>
                <w:sz w:val="21"/>
              </w:rPr>
            </w:pPr>
          </w:p>
          <w:p w14:paraId="60634B42">
            <w:pPr>
              <w:pStyle w:val="11"/>
              <w:spacing w:before="69" w:line="222" w:lineRule="auto"/>
              <w:ind w:left="179"/>
            </w:pPr>
            <w:r>
              <w:rPr>
                <w:spacing w:val="-2"/>
                <w14:textOutline w14:w="3831" w14:cap="flat" w14:cmpd="sng">
                  <w14:solidFill>
                    <w14:srgbClr w14:val="000000"/>
                  </w14:solidFill>
                  <w14:prstDash w14:val="solid"/>
                  <w14:miter w14:val="0"/>
                </w14:textOutline>
              </w:rPr>
              <w:t>序号</w:t>
            </w:r>
          </w:p>
        </w:tc>
        <w:tc>
          <w:tcPr>
            <w:tcW w:w="1752" w:type="dxa"/>
            <w:vMerge w:val="restart"/>
            <w:tcBorders>
              <w:bottom w:val="nil"/>
            </w:tcBorders>
            <w:vAlign w:val="top"/>
          </w:tcPr>
          <w:p w14:paraId="411A94C4">
            <w:pPr>
              <w:spacing w:line="267" w:lineRule="auto"/>
              <w:rPr>
                <w:rFonts w:ascii="Arial"/>
                <w:sz w:val="21"/>
              </w:rPr>
            </w:pPr>
          </w:p>
          <w:p w14:paraId="29733C22">
            <w:pPr>
              <w:pStyle w:val="11"/>
              <w:spacing w:before="68" w:line="221" w:lineRule="auto"/>
              <w:ind w:left="357"/>
            </w:pPr>
            <w:r>
              <w:rPr>
                <w:spacing w:val="-1"/>
                <w14:textOutline w14:w="3831" w14:cap="flat" w14:cmpd="sng">
                  <w14:solidFill>
                    <w14:srgbClr w14:val="000000"/>
                  </w14:solidFill>
                  <w14:prstDash w14:val="solid"/>
                  <w14:miter w14:val="0"/>
                </w14:textOutline>
              </w:rPr>
              <w:t>投标人名称</w:t>
            </w:r>
          </w:p>
        </w:tc>
        <w:tc>
          <w:tcPr>
            <w:tcW w:w="9210" w:type="dxa"/>
            <w:gridSpan w:val="7"/>
            <w:vAlign w:val="top"/>
          </w:tcPr>
          <w:p w14:paraId="0EFF33C2">
            <w:pPr>
              <w:pStyle w:val="11"/>
              <w:spacing w:before="110" w:line="221" w:lineRule="auto"/>
              <w:ind w:left="3873"/>
            </w:pPr>
            <w:r>
              <w:rPr>
                <w14:textOutline w14:w="3831" w14:cap="flat" w14:cmpd="sng">
                  <w14:solidFill>
                    <w14:srgbClr w14:val="000000"/>
                  </w14:solidFill>
                  <w14:prstDash w14:val="solid"/>
                  <w14:miter w14:val="0"/>
                </w14:textOutline>
              </w:rPr>
              <w:t>评委姓名及得分</w:t>
            </w:r>
          </w:p>
        </w:tc>
        <w:tc>
          <w:tcPr>
            <w:tcW w:w="1593" w:type="dxa"/>
            <w:vMerge w:val="restart"/>
            <w:tcBorders>
              <w:bottom w:val="nil"/>
            </w:tcBorders>
            <w:vAlign w:val="top"/>
          </w:tcPr>
          <w:p w14:paraId="42393846">
            <w:pPr>
              <w:pStyle w:val="11"/>
              <w:spacing w:before="197" w:line="231" w:lineRule="auto"/>
              <w:ind w:left="589" w:right="162" w:hanging="422"/>
            </w:pPr>
            <w:r>
              <w:rPr>
                <w:spacing w:val="-1"/>
                <w14:textOutline w14:w="3831" w14:cap="flat" w14:cmpd="sng">
                  <w14:solidFill>
                    <w14:srgbClr w14:val="000000"/>
                  </w14:solidFill>
                  <w14:prstDash w14:val="solid"/>
                  <w14:miter w14:val="0"/>
                </w14:textOutline>
              </w:rPr>
              <w:t>其他因素最终</w:t>
            </w:r>
            <w:r>
              <w:rPr>
                <w:spacing w:val="3"/>
              </w:rPr>
              <w:t xml:space="preserve"> </w:t>
            </w:r>
            <w:r>
              <w:rPr>
                <w:spacing w:val="-2"/>
                <w14:textOutline w14:w="3831" w14:cap="flat" w14:cmpd="sng">
                  <w14:solidFill>
                    <w14:srgbClr w14:val="000000"/>
                  </w14:solidFill>
                  <w14:prstDash w14:val="solid"/>
                  <w14:miter w14:val="0"/>
                </w14:textOutline>
              </w:rPr>
              <w:t>得分</w:t>
            </w:r>
          </w:p>
        </w:tc>
      </w:tr>
      <w:tr w14:paraId="21FAA8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7" w:hRule="atLeast"/>
        </w:trPr>
        <w:tc>
          <w:tcPr>
            <w:tcW w:w="772" w:type="dxa"/>
            <w:vMerge w:val="continue"/>
            <w:tcBorders>
              <w:top w:val="nil"/>
            </w:tcBorders>
            <w:vAlign w:val="top"/>
          </w:tcPr>
          <w:p w14:paraId="54F24554">
            <w:pPr>
              <w:rPr>
                <w:rFonts w:ascii="Arial"/>
                <w:sz w:val="21"/>
              </w:rPr>
            </w:pPr>
          </w:p>
        </w:tc>
        <w:tc>
          <w:tcPr>
            <w:tcW w:w="1752" w:type="dxa"/>
            <w:vMerge w:val="continue"/>
            <w:tcBorders>
              <w:top w:val="nil"/>
            </w:tcBorders>
            <w:vAlign w:val="top"/>
          </w:tcPr>
          <w:p w14:paraId="1DA314C4">
            <w:pPr>
              <w:rPr>
                <w:rFonts w:ascii="Arial"/>
                <w:sz w:val="21"/>
              </w:rPr>
            </w:pPr>
          </w:p>
        </w:tc>
        <w:tc>
          <w:tcPr>
            <w:tcW w:w="1315" w:type="dxa"/>
            <w:vAlign w:val="top"/>
          </w:tcPr>
          <w:p w14:paraId="27EECBDF">
            <w:pPr>
              <w:pStyle w:val="11"/>
              <w:spacing w:before="112" w:line="221" w:lineRule="auto"/>
              <w:ind w:left="373"/>
            </w:pPr>
            <w:r>
              <w:rPr>
                <w:spacing w:val="-2"/>
                <w14:textOutline w14:w="3831" w14:cap="flat" w14:cmpd="sng">
                  <w14:solidFill>
                    <w14:srgbClr w14:val="000000"/>
                  </w14:solidFill>
                  <w14:prstDash w14:val="solid"/>
                  <w14:miter w14:val="0"/>
                </w14:textOutline>
              </w:rPr>
              <w:t>评委</w:t>
            </w:r>
            <w:r>
              <w:rPr>
                <w:spacing w:val="-29"/>
              </w:rPr>
              <w:t xml:space="preserve"> </w:t>
            </w:r>
            <w:r>
              <w:rPr>
                <w:spacing w:val="-2"/>
                <w14:textOutline w14:w="3831" w14:cap="flat" w14:cmpd="sng">
                  <w14:solidFill>
                    <w14:srgbClr w14:val="000000"/>
                  </w14:solidFill>
                  <w14:prstDash w14:val="solid"/>
                  <w14:miter w14:val="0"/>
                </w14:textOutline>
              </w:rPr>
              <w:t>1</w:t>
            </w:r>
          </w:p>
        </w:tc>
        <w:tc>
          <w:tcPr>
            <w:tcW w:w="1315" w:type="dxa"/>
            <w:vAlign w:val="top"/>
          </w:tcPr>
          <w:p w14:paraId="49758C17">
            <w:pPr>
              <w:pStyle w:val="11"/>
              <w:spacing w:before="112" w:line="221" w:lineRule="auto"/>
              <w:ind w:left="373"/>
            </w:pPr>
            <w:r>
              <w:rPr>
                <w:spacing w:val="-2"/>
                <w14:textOutline w14:w="3831" w14:cap="flat" w14:cmpd="sng">
                  <w14:solidFill>
                    <w14:srgbClr w14:val="000000"/>
                  </w14:solidFill>
                  <w14:prstDash w14:val="solid"/>
                  <w14:miter w14:val="0"/>
                </w14:textOutline>
              </w:rPr>
              <w:t>评委</w:t>
            </w:r>
            <w:r>
              <w:rPr>
                <w:spacing w:val="-41"/>
              </w:rPr>
              <w:t xml:space="preserve"> </w:t>
            </w:r>
            <w:r>
              <w:rPr>
                <w:spacing w:val="-2"/>
                <w14:textOutline w14:w="3831" w14:cap="flat" w14:cmpd="sng">
                  <w14:solidFill>
                    <w14:srgbClr w14:val="000000"/>
                  </w14:solidFill>
                  <w14:prstDash w14:val="solid"/>
                  <w14:miter w14:val="0"/>
                </w14:textOutline>
              </w:rPr>
              <w:t>2</w:t>
            </w:r>
          </w:p>
        </w:tc>
        <w:tc>
          <w:tcPr>
            <w:tcW w:w="1315" w:type="dxa"/>
            <w:vAlign w:val="top"/>
          </w:tcPr>
          <w:p w14:paraId="0BE53149">
            <w:pPr>
              <w:pStyle w:val="11"/>
              <w:spacing w:before="112" w:line="315" w:lineRule="exact"/>
              <w:ind w:left="465"/>
            </w:pPr>
            <w:r>
              <w:rPr>
                <w:spacing w:val="-5"/>
                <w:position w:val="2"/>
                <w14:textOutline w14:w="3831" w14:cap="flat" w14:cmpd="sng">
                  <w14:solidFill>
                    <w14:srgbClr w14:val="000000"/>
                  </w14:solidFill>
                  <w14:prstDash w14:val="solid"/>
                  <w14:miter w14:val="0"/>
                </w14:textOutline>
              </w:rPr>
              <w:t>……</w:t>
            </w:r>
          </w:p>
        </w:tc>
        <w:tc>
          <w:tcPr>
            <w:tcW w:w="1310" w:type="dxa"/>
            <w:vAlign w:val="top"/>
          </w:tcPr>
          <w:p w14:paraId="040E636A">
            <w:pPr>
              <w:rPr>
                <w:rFonts w:ascii="Arial"/>
                <w:sz w:val="21"/>
              </w:rPr>
            </w:pPr>
          </w:p>
        </w:tc>
        <w:tc>
          <w:tcPr>
            <w:tcW w:w="1315" w:type="dxa"/>
            <w:vAlign w:val="top"/>
          </w:tcPr>
          <w:p w14:paraId="07C3373C">
            <w:pPr>
              <w:rPr>
                <w:rFonts w:ascii="Arial"/>
                <w:sz w:val="21"/>
              </w:rPr>
            </w:pPr>
          </w:p>
        </w:tc>
        <w:tc>
          <w:tcPr>
            <w:tcW w:w="1315" w:type="dxa"/>
            <w:vAlign w:val="top"/>
          </w:tcPr>
          <w:p w14:paraId="1729FC6C">
            <w:pPr>
              <w:rPr>
                <w:rFonts w:ascii="Arial"/>
                <w:sz w:val="21"/>
              </w:rPr>
            </w:pPr>
          </w:p>
        </w:tc>
        <w:tc>
          <w:tcPr>
            <w:tcW w:w="1325" w:type="dxa"/>
            <w:vAlign w:val="top"/>
          </w:tcPr>
          <w:p w14:paraId="15DD1621">
            <w:pPr>
              <w:rPr>
                <w:rFonts w:ascii="Arial"/>
                <w:sz w:val="21"/>
              </w:rPr>
            </w:pPr>
          </w:p>
        </w:tc>
        <w:tc>
          <w:tcPr>
            <w:tcW w:w="1593" w:type="dxa"/>
            <w:vMerge w:val="continue"/>
            <w:tcBorders>
              <w:top w:val="nil"/>
            </w:tcBorders>
            <w:vAlign w:val="top"/>
          </w:tcPr>
          <w:p w14:paraId="337457AE">
            <w:pPr>
              <w:rPr>
                <w:rFonts w:ascii="Arial"/>
                <w:sz w:val="21"/>
              </w:rPr>
            </w:pPr>
          </w:p>
        </w:tc>
      </w:tr>
      <w:tr w14:paraId="2BB11E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0" w:hRule="atLeast"/>
        </w:trPr>
        <w:tc>
          <w:tcPr>
            <w:tcW w:w="772" w:type="dxa"/>
            <w:vAlign w:val="top"/>
          </w:tcPr>
          <w:p w14:paraId="71B29D7B">
            <w:pPr>
              <w:pStyle w:val="11"/>
              <w:spacing w:before="222" w:line="183" w:lineRule="auto"/>
              <w:ind w:left="354"/>
            </w:pPr>
            <w:r>
              <w:t>1</w:t>
            </w:r>
          </w:p>
        </w:tc>
        <w:tc>
          <w:tcPr>
            <w:tcW w:w="1752" w:type="dxa"/>
            <w:vAlign w:val="top"/>
          </w:tcPr>
          <w:p w14:paraId="3F98474E">
            <w:pPr>
              <w:rPr>
                <w:rFonts w:ascii="Arial"/>
                <w:sz w:val="21"/>
              </w:rPr>
            </w:pPr>
          </w:p>
        </w:tc>
        <w:tc>
          <w:tcPr>
            <w:tcW w:w="1315" w:type="dxa"/>
            <w:vAlign w:val="top"/>
          </w:tcPr>
          <w:p w14:paraId="3CEA1280">
            <w:pPr>
              <w:rPr>
                <w:rFonts w:ascii="Arial"/>
                <w:sz w:val="21"/>
              </w:rPr>
            </w:pPr>
          </w:p>
        </w:tc>
        <w:tc>
          <w:tcPr>
            <w:tcW w:w="1315" w:type="dxa"/>
            <w:vAlign w:val="top"/>
          </w:tcPr>
          <w:p w14:paraId="7C8F2473">
            <w:pPr>
              <w:rPr>
                <w:rFonts w:ascii="Arial"/>
                <w:sz w:val="21"/>
              </w:rPr>
            </w:pPr>
          </w:p>
        </w:tc>
        <w:tc>
          <w:tcPr>
            <w:tcW w:w="1315" w:type="dxa"/>
            <w:vAlign w:val="top"/>
          </w:tcPr>
          <w:p w14:paraId="4D808B2C">
            <w:pPr>
              <w:rPr>
                <w:rFonts w:ascii="Arial"/>
                <w:sz w:val="21"/>
              </w:rPr>
            </w:pPr>
          </w:p>
        </w:tc>
        <w:tc>
          <w:tcPr>
            <w:tcW w:w="1310" w:type="dxa"/>
            <w:vAlign w:val="top"/>
          </w:tcPr>
          <w:p w14:paraId="751EA1A7">
            <w:pPr>
              <w:rPr>
                <w:rFonts w:ascii="Arial"/>
                <w:sz w:val="21"/>
              </w:rPr>
            </w:pPr>
          </w:p>
        </w:tc>
        <w:tc>
          <w:tcPr>
            <w:tcW w:w="1315" w:type="dxa"/>
            <w:vAlign w:val="top"/>
          </w:tcPr>
          <w:p w14:paraId="793DD5AA">
            <w:pPr>
              <w:rPr>
                <w:rFonts w:ascii="Arial"/>
                <w:sz w:val="21"/>
              </w:rPr>
            </w:pPr>
          </w:p>
        </w:tc>
        <w:tc>
          <w:tcPr>
            <w:tcW w:w="1315" w:type="dxa"/>
            <w:vAlign w:val="top"/>
          </w:tcPr>
          <w:p w14:paraId="1EAC7DA7">
            <w:pPr>
              <w:rPr>
                <w:rFonts w:ascii="Arial"/>
                <w:sz w:val="21"/>
              </w:rPr>
            </w:pPr>
          </w:p>
        </w:tc>
        <w:tc>
          <w:tcPr>
            <w:tcW w:w="1325" w:type="dxa"/>
            <w:vAlign w:val="top"/>
          </w:tcPr>
          <w:p w14:paraId="7B2FEF36">
            <w:pPr>
              <w:rPr>
                <w:rFonts w:ascii="Arial"/>
                <w:sz w:val="21"/>
              </w:rPr>
            </w:pPr>
          </w:p>
        </w:tc>
        <w:tc>
          <w:tcPr>
            <w:tcW w:w="1593" w:type="dxa"/>
            <w:vAlign w:val="top"/>
          </w:tcPr>
          <w:p w14:paraId="68DFAF9A">
            <w:pPr>
              <w:rPr>
                <w:rFonts w:ascii="Arial"/>
                <w:sz w:val="21"/>
              </w:rPr>
            </w:pPr>
          </w:p>
        </w:tc>
      </w:tr>
      <w:tr w14:paraId="0AB2B7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0" w:hRule="atLeast"/>
        </w:trPr>
        <w:tc>
          <w:tcPr>
            <w:tcW w:w="772" w:type="dxa"/>
            <w:vAlign w:val="top"/>
          </w:tcPr>
          <w:p w14:paraId="4EFD6BE5">
            <w:pPr>
              <w:pStyle w:val="11"/>
              <w:spacing w:before="219" w:line="182" w:lineRule="auto"/>
              <w:ind w:left="341"/>
            </w:pPr>
            <w:r>
              <w:t>2</w:t>
            </w:r>
          </w:p>
        </w:tc>
        <w:tc>
          <w:tcPr>
            <w:tcW w:w="1752" w:type="dxa"/>
            <w:vAlign w:val="top"/>
          </w:tcPr>
          <w:p w14:paraId="24D619CB">
            <w:pPr>
              <w:rPr>
                <w:rFonts w:ascii="Arial"/>
                <w:sz w:val="21"/>
              </w:rPr>
            </w:pPr>
          </w:p>
        </w:tc>
        <w:tc>
          <w:tcPr>
            <w:tcW w:w="1315" w:type="dxa"/>
            <w:vAlign w:val="top"/>
          </w:tcPr>
          <w:p w14:paraId="26173309">
            <w:pPr>
              <w:rPr>
                <w:rFonts w:ascii="Arial"/>
                <w:sz w:val="21"/>
              </w:rPr>
            </w:pPr>
          </w:p>
        </w:tc>
        <w:tc>
          <w:tcPr>
            <w:tcW w:w="1315" w:type="dxa"/>
            <w:vAlign w:val="top"/>
          </w:tcPr>
          <w:p w14:paraId="27994CEB">
            <w:pPr>
              <w:rPr>
                <w:rFonts w:ascii="Arial"/>
                <w:sz w:val="21"/>
              </w:rPr>
            </w:pPr>
          </w:p>
        </w:tc>
        <w:tc>
          <w:tcPr>
            <w:tcW w:w="1315" w:type="dxa"/>
            <w:vAlign w:val="top"/>
          </w:tcPr>
          <w:p w14:paraId="7DDF71C9">
            <w:pPr>
              <w:rPr>
                <w:rFonts w:ascii="Arial"/>
                <w:sz w:val="21"/>
              </w:rPr>
            </w:pPr>
          </w:p>
        </w:tc>
        <w:tc>
          <w:tcPr>
            <w:tcW w:w="1310" w:type="dxa"/>
            <w:vAlign w:val="top"/>
          </w:tcPr>
          <w:p w14:paraId="07EF8D08">
            <w:pPr>
              <w:rPr>
                <w:rFonts w:ascii="Arial"/>
                <w:sz w:val="21"/>
              </w:rPr>
            </w:pPr>
          </w:p>
        </w:tc>
        <w:tc>
          <w:tcPr>
            <w:tcW w:w="1315" w:type="dxa"/>
            <w:vAlign w:val="top"/>
          </w:tcPr>
          <w:p w14:paraId="0DCCAD64">
            <w:pPr>
              <w:rPr>
                <w:rFonts w:ascii="Arial"/>
                <w:sz w:val="21"/>
              </w:rPr>
            </w:pPr>
          </w:p>
        </w:tc>
        <w:tc>
          <w:tcPr>
            <w:tcW w:w="1315" w:type="dxa"/>
            <w:vAlign w:val="top"/>
          </w:tcPr>
          <w:p w14:paraId="12C67466">
            <w:pPr>
              <w:rPr>
                <w:rFonts w:ascii="Arial"/>
                <w:sz w:val="21"/>
              </w:rPr>
            </w:pPr>
          </w:p>
        </w:tc>
        <w:tc>
          <w:tcPr>
            <w:tcW w:w="1325" w:type="dxa"/>
            <w:vAlign w:val="top"/>
          </w:tcPr>
          <w:p w14:paraId="4ABC8C2F">
            <w:pPr>
              <w:rPr>
                <w:rFonts w:ascii="Arial"/>
                <w:sz w:val="21"/>
              </w:rPr>
            </w:pPr>
          </w:p>
        </w:tc>
        <w:tc>
          <w:tcPr>
            <w:tcW w:w="1593" w:type="dxa"/>
            <w:vAlign w:val="top"/>
          </w:tcPr>
          <w:p w14:paraId="551C6417">
            <w:pPr>
              <w:rPr>
                <w:rFonts w:ascii="Arial"/>
                <w:sz w:val="21"/>
              </w:rPr>
            </w:pPr>
          </w:p>
        </w:tc>
      </w:tr>
      <w:tr w14:paraId="15E1A6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9" w:hRule="atLeast"/>
        </w:trPr>
        <w:tc>
          <w:tcPr>
            <w:tcW w:w="772" w:type="dxa"/>
            <w:vAlign w:val="top"/>
          </w:tcPr>
          <w:p w14:paraId="72CBEE89">
            <w:pPr>
              <w:pStyle w:val="11"/>
              <w:spacing w:before="219" w:line="182" w:lineRule="auto"/>
              <w:ind w:left="343"/>
            </w:pPr>
            <w:r>
              <w:t>3</w:t>
            </w:r>
          </w:p>
        </w:tc>
        <w:tc>
          <w:tcPr>
            <w:tcW w:w="1752" w:type="dxa"/>
            <w:vAlign w:val="top"/>
          </w:tcPr>
          <w:p w14:paraId="6210DB16">
            <w:pPr>
              <w:rPr>
                <w:rFonts w:ascii="Arial"/>
                <w:sz w:val="21"/>
              </w:rPr>
            </w:pPr>
          </w:p>
        </w:tc>
        <w:tc>
          <w:tcPr>
            <w:tcW w:w="1315" w:type="dxa"/>
            <w:vAlign w:val="top"/>
          </w:tcPr>
          <w:p w14:paraId="2E3F9B4D">
            <w:pPr>
              <w:rPr>
                <w:rFonts w:ascii="Arial"/>
                <w:sz w:val="21"/>
              </w:rPr>
            </w:pPr>
          </w:p>
        </w:tc>
        <w:tc>
          <w:tcPr>
            <w:tcW w:w="1315" w:type="dxa"/>
            <w:vAlign w:val="top"/>
          </w:tcPr>
          <w:p w14:paraId="5FEE33C4">
            <w:pPr>
              <w:rPr>
                <w:rFonts w:ascii="Arial"/>
                <w:sz w:val="21"/>
              </w:rPr>
            </w:pPr>
          </w:p>
        </w:tc>
        <w:tc>
          <w:tcPr>
            <w:tcW w:w="1315" w:type="dxa"/>
            <w:vAlign w:val="top"/>
          </w:tcPr>
          <w:p w14:paraId="0ED81AA1">
            <w:pPr>
              <w:rPr>
                <w:rFonts w:ascii="Arial"/>
                <w:sz w:val="21"/>
              </w:rPr>
            </w:pPr>
          </w:p>
        </w:tc>
        <w:tc>
          <w:tcPr>
            <w:tcW w:w="1310" w:type="dxa"/>
            <w:vAlign w:val="top"/>
          </w:tcPr>
          <w:p w14:paraId="189FBAC8">
            <w:pPr>
              <w:rPr>
                <w:rFonts w:ascii="Arial"/>
                <w:sz w:val="21"/>
              </w:rPr>
            </w:pPr>
          </w:p>
        </w:tc>
        <w:tc>
          <w:tcPr>
            <w:tcW w:w="1315" w:type="dxa"/>
            <w:vAlign w:val="top"/>
          </w:tcPr>
          <w:p w14:paraId="4F0BF59F">
            <w:pPr>
              <w:rPr>
                <w:rFonts w:ascii="Arial"/>
                <w:sz w:val="21"/>
              </w:rPr>
            </w:pPr>
          </w:p>
        </w:tc>
        <w:tc>
          <w:tcPr>
            <w:tcW w:w="1315" w:type="dxa"/>
            <w:vAlign w:val="top"/>
          </w:tcPr>
          <w:p w14:paraId="5B692D7C">
            <w:pPr>
              <w:rPr>
                <w:rFonts w:ascii="Arial"/>
                <w:sz w:val="21"/>
              </w:rPr>
            </w:pPr>
          </w:p>
        </w:tc>
        <w:tc>
          <w:tcPr>
            <w:tcW w:w="1325" w:type="dxa"/>
            <w:vAlign w:val="top"/>
          </w:tcPr>
          <w:p w14:paraId="74C92983">
            <w:pPr>
              <w:rPr>
                <w:rFonts w:ascii="Arial"/>
                <w:sz w:val="21"/>
              </w:rPr>
            </w:pPr>
          </w:p>
        </w:tc>
        <w:tc>
          <w:tcPr>
            <w:tcW w:w="1593" w:type="dxa"/>
            <w:vAlign w:val="top"/>
          </w:tcPr>
          <w:p w14:paraId="1CDCFDCA">
            <w:pPr>
              <w:rPr>
                <w:rFonts w:ascii="Arial"/>
                <w:sz w:val="21"/>
              </w:rPr>
            </w:pPr>
          </w:p>
        </w:tc>
      </w:tr>
      <w:tr w14:paraId="6AC85A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5" w:hRule="atLeast"/>
        </w:trPr>
        <w:tc>
          <w:tcPr>
            <w:tcW w:w="772" w:type="dxa"/>
            <w:vAlign w:val="top"/>
          </w:tcPr>
          <w:p w14:paraId="22F8A216">
            <w:pPr>
              <w:pStyle w:val="11"/>
              <w:spacing w:before="221" w:line="182" w:lineRule="auto"/>
              <w:ind w:left="338"/>
            </w:pPr>
            <w:r>
              <w:t>4</w:t>
            </w:r>
          </w:p>
        </w:tc>
        <w:tc>
          <w:tcPr>
            <w:tcW w:w="1752" w:type="dxa"/>
            <w:vAlign w:val="top"/>
          </w:tcPr>
          <w:p w14:paraId="7C047738">
            <w:pPr>
              <w:rPr>
                <w:rFonts w:ascii="Arial"/>
                <w:sz w:val="21"/>
              </w:rPr>
            </w:pPr>
          </w:p>
        </w:tc>
        <w:tc>
          <w:tcPr>
            <w:tcW w:w="1315" w:type="dxa"/>
            <w:vAlign w:val="top"/>
          </w:tcPr>
          <w:p w14:paraId="1A9C00B3">
            <w:pPr>
              <w:rPr>
                <w:rFonts w:ascii="Arial"/>
                <w:sz w:val="21"/>
              </w:rPr>
            </w:pPr>
          </w:p>
        </w:tc>
        <w:tc>
          <w:tcPr>
            <w:tcW w:w="1315" w:type="dxa"/>
            <w:vAlign w:val="top"/>
          </w:tcPr>
          <w:p w14:paraId="3E8C364A">
            <w:pPr>
              <w:rPr>
                <w:rFonts w:ascii="Arial"/>
                <w:sz w:val="21"/>
              </w:rPr>
            </w:pPr>
          </w:p>
        </w:tc>
        <w:tc>
          <w:tcPr>
            <w:tcW w:w="1315" w:type="dxa"/>
            <w:vAlign w:val="top"/>
          </w:tcPr>
          <w:p w14:paraId="7434CF4F">
            <w:pPr>
              <w:rPr>
                <w:rFonts w:ascii="Arial"/>
                <w:sz w:val="21"/>
              </w:rPr>
            </w:pPr>
          </w:p>
        </w:tc>
        <w:tc>
          <w:tcPr>
            <w:tcW w:w="1310" w:type="dxa"/>
            <w:vAlign w:val="top"/>
          </w:tcPr>
          <w:p w14:paraId="3EAD5D63">
            <w:pPr>
              <w:rPr>
                <w:rFonts w:ascii="Arial"/>
                <w:sz w:val="21"/>
              </w:rPr>
            </w:pPr>
          </w:p>
        </w:tc>
        <w:tc>
          <w:tcPr>
            <w:tcW w:w="1315" w:type="dxa"/>
            <w:vAlign w:val="top"/>
          </w:tcPr>
          <w:p w14:paraId="5AB55E89">
            <w:pPr>
              <w:rPr>
                <w:rFonts w:ascii="Arial"/>
                <w:sz w:val="21"/>
              </w:rPr>
            </w:pPr>
          </w:p>
        </w:tc>
        <w:tc>
          <w:tcPr>
            <w:tcW w:w="1315" w:type="dxa"/>
            <w:vAlign w:val="top"/>
          </w:tcPr>
          <w:p w14:paraId="5107D7BF">
            <w:pPr>
              <w:rPr>
                <w:rFonts w:ascii="Arial"/>
                <w:sz w:val="21"/>
              </w:rPr>
            </w:pPr>
          </w:p>
        </w:tc>
        <w:tc>
          <w:tcPr>
            <w:tcW w:w="1325" w:type="dxa"/>
            <w:vAlign w:val="top"/>
          </w:tcPr>
          <w:p w14:paraId="5DD2A941">
            <w:pPr>
              <w:rPr>
                <w:rFonts w:ascii="Arial"/>
                <w:sz w:val="21"/>
              </w:rPr>
            </w:pPr>
          </w:p>
        </w:tc>
        <w:tc>
          <w:tcPr>
            <w:tcW w:w="1593" w:type="dxa"/>
            <w:vAlign w:val="top"/>
          </w:tcPr>
          <w:p w14:paraId="36E10E78">
            <w:pPr>
              <w:rPr>
                <w:rFonts w:ascii="Arial"/>
                <w:sz w:val="21"/>
              </w:rPr>
            </w:pPr>
          </w:p>
        </w:tc>
      </w:tr>
      <w:tr w14:paraId="4D8ED8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0" w:hRule="atLeast"/>
        </w:trPr>
        <w:tc>
          <w:tcPr>
            <w:tcW w:w="772" w:type="dxa"/>
            <w:vAlign w:val="top"/>
          </w:tcPr>
          <w:p w14:paraId="5254714C">
            <w:pPr>
              <w:pStyle w:val="11"/>
              <w:spacing w:before="227" w:line="181" w:lineRule="auto"/>
              <w:ind w:left="343"/>
            </w:pPr>
            <w:r>
              <w:t>5</w:t>
            </w:r>
          </w:p>
        </w:tc>
        <w:tc>
          <w:tcPr>
            <w:tcW w:w="1752" w:type="dxa"/>
            <w:vAlign w:val="top"/>
          </w:tcPr>
          <w:p w14:paraId="6371F02E">
            <w:pPr>
              <w:rPr>
                <w:rFonts w:ascii="Arial"/>
                <w:sz w:val="21"/>
              </w:rPr>
            </w:pPr>
          </w:p>
        </w:tc>
        <w:tc>
          <w:tcPr>
            <w:tcW w:w="1315" w:type="dxa"/>
            <w:vAlign w:val="top"/>
          </w:tcPr>
          <w:p w14:paraId="18A1A107">
            <w:pPr>
              <w:rPr>
                <w:rFonts w:ascii="Arial"/>
                <w:sz w:val="21"/>
              </w:rPr>
            </w:pPr>
          </w:p>
        </w:tc>
        <w:tc>
          <w:tcPr>
            <w:tcW w:w="1315" w:type="dxa"/>
            <w:vAlign w:val="top"/>
          </w:tcPr>
          <w:p w14:paraId="7E384852">
            <w:pPr>
              <w:rPr>
                <w:rFonts w:ascii="Arial"/>
                <w:sz w:val="21"/>
              </w:rPr>
            </w:pPr>
          </w:p>
        </w:tc>
        <w:tc>
          <w:tcPr>
            <w:tcW w:w="1315" w:type="dxa"/>
            <w:vAlign w:val="top"/>
          </w:tcPr>
          <w:p w14:paraId="627B62BD">
            <w:pPr>
              <w:rPr>
                <w:rFonts w:ascii="Arial"/>
                <w:sz w:val="21"/>
              </w:rPr>
            </w:pPr>
          </w:p>
        </w:tc>
        <w:tc>
          <w:tcPr>
            <w:tcW w:w="1310" w:type="dxa"/>
            <w:vAlign w:val="top"/>
          </w:tcPr>
          <w:p w14:paraId="0D07CE8A">
            <w:pPr>
              <w:rPr>
                <w:rFonts w:ascii="Arial"/>
                <w:sz w:val="21"/>
              </w:rPr>
            </w:pPr>
          </w:p>
        </w:tc>
        <w:tc>
          <w:tcPr>
            <w:tcW w:w="1315" w:type="dxa"/>
            <w:vAlign w:val="top"/>
          </w:tcPr>
          <w:p w14:paraId="4F7FEB79">
            <w:pPr>
              <w:rPr>
                <w:rFonts w:ascii="Arial"/>
                <w:sz w:val="21"/>
              </w:rPr>
            </w:pPr>
          </w:p>
        </w:tc>
        <w:tc>
          <w:tcPr>
            <w:tcW w:w="1315" w:type="dxa"/>
            <w:vAlign w:val="top"/>
          </w:tcPr>
          <w:p w14:paraId="254E9100">
            <w:pPr>
              <w:rPr>
                <w:rFonts w:ascii="Arial"/>
                <w:sz w:val="21"/>
              </w:rPr>
            </w:pPr>
          </w:p>
        </w:tc>
        <w:tc>
          <w:tcPr>
            <w:tcW w:w="1325" w:type="dxa"/>
            <w:vAlign w:val="top"/>
          </w:tcPr>
          <w:p w14:paraId="53227810">
            <w:pPr>
              <w:rPr>
                <w:rFonts w:ascii="Arial"/>
                <w:sz w:val="21"/>
              </w:rPr>
            </w:pPr>
          </w:p>
        </w:tc>
        <w:tc>
          <w:tcPr>
            <w:tcW w:w="1593" w:type="dxa"/>
            <w:vAlign w:val="top"/>
          </w:tcPr>
          <w:p w14:paraId="00C0E60D">
            <w:pPr>
              <w:rPr>
                <w:rFonts w:ascii="Arial"/>
                <w:sz w:val="21"/>
              </w:rPr>
            </w:pPr>
          </w:p>
        </w:tc>
      </w:tr>
      <w:tr w14:paraId="4D59C8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0" w:hRule="atLeast"/>
        </w:trPr>
        <w:tc>
          <w:tcPr>
            <w:tcW w:w="772" w:type="dxa"/>
            <w:vAlign w:val="top"/>
          </w:tcPr>
          <w:p w14:paraId="78A0A2D4">
            <w:pPr>
              <w:pStyle w:val="11"/>
              <w:spacing w:before="186" w:line="332" w:lineRule="exact"/>
              <w:ind w:left="198"/>
            </w:pPr>
            <w:r>
              <w:rPr>
                <w:spacing w:val="-10"/>
                <w:position w:val="2"/>
              </w:rPr>
              <w:t>……</w:t>
            </w:r>
          </w:p>
        </w:tc>
        <w:tc>
          <w:tcPr>
            <w:tcW w:w="1752" w:type="dxa"/>
            <w:vAlign w:val="top"/>
          </w:tcPr>
          <w:p w14:paraId="109D2416">
            <w:pPr>
              <w:rPr>
                <w:rFonts w:ascii="Arial"/>
                <w:sz w:val="21"/>
              </w:rPr>
            </w:pPr>
          </w:p>
        </w:tc>
        <w:tc>
          <w:tcPr>
            <w:tcW w:w="1315" w:type="dxa"/>
            <w:vAlign w:val="top"/>
          </w:tcPr>
          <w:p w14:paraId="489AAABE">
            <w:pPr>
              <w:rPr>
                <w:rFonts w:ascii="Arial"/>
                <w:sz w:val="21"/>
              </w:rPr>
            </w:pPr>
          </w:p>
        </w:tc>
        <w:tc>
          <w:tcPr>
            <w:tcW w:w="1315" w:type="dxa"/>
            <w:vAlign w:val="top"/>
          </w:tcPr>
          <w:p w14:paraId="10D9BC6B">
            <w:pPr>
              <w:rPr>
                <w:rFonts w:ascii="Arial"/>
                <w:sz w:val="21"/>
              </w:rPr>
            </w:pPr>
          </w:p>
        </w:tc>
        <w:tc>
          <w:tcPr>
            <w:tcW w:w="1315" w:type="dxa"/>
            <w:vAlign w:val="top"/>
          </w:tcPr>
          <w:p w14:paraId="2EC79B32">
            <w:pPr>
              <w:rPr>
                <w:rFonts w:ascii="Arial"/>
                <w:sz w:val="21"/>
              </w:rPr>
            </w:pPr>
          </w:p>
        </w:tc>
        <w:tc>
          <w:tcPr>
            <w:tcW w:w="1310" w:type="dxa"/>
            <w:vAlign w:val="top"/>
          </w:tcPr>
          <w:p w14:paraId="0CC0CF1A">
            <w:pPr>
              <w:rPr>
                <w:rFonts w:ascii="Arial"/>
                <w:sz w:val="21"/>
              </w:rPr>
            </w:pPr>
          </w:p>
        </w:tc>
        <w:tc>
          <w:tcPr>
            <w:tcW w:w="1315" w:type="dxa"/>
            <w:vAlign w:val="top"/>
          </w:tcPr>
          <w:p w14:paraId="7E4B4A78">
            <w:pPr>
              <w:rPr>
                <w:rFonts w:ascii="Arial"/>
                <w:sz w:val="21"/>
              </w:rPr>
            </w:pPr>
          </w:p>
        </w:tc>
        <w:tc>
          <w:tcPr>
            <w:tcW w:w="1315" w:type="dxa"/>
            <w:vAlign w:val="top"/>
          </w:tcPr>
          <w:p w14:paraId="6240EEFE">
            <w:pPr>
              <w:rPr>
                <w:rFonts w:ascii="Arial"/>
                <w:sz w:val="21"/>
              </w:rPr>
            </w:pPr>
          </w:p>
        </w:tc>
        <w:tc>
          <w:tcPr>
            <w:tcW w:w="1325" w:type="dxa"/>
            <w:vAlign w:val="top"/>
          </w:tcPr>
          <w:p w14:paraId="7C6F61E3">
            <w:pPr>
              <w:rPr>
                <w:rFonts w:ascii="Arial"/>
                <w:sz w:val="21"/>
              </w:rPr>
            </w:pPr>
          </w:p>
        </w:tc>
        <w:tc>
          <w:tcPr>
            <w:tcW w:w="1593" w:type="dxa"/>
            <w:vAlign w:val="top"/>
          </w:tcPr>
          <w:p w14:paraId="7572485C">
            <w:pPr>
              <w:rPr>
                <w:rFonts w:ascii="Arial"/>
                <w:sz w:val="21"/>
              </w:rPr>
            </w:pPr>
          </w:p>
        </w:tc>
      </w:tr>
      <w:tr w14:paraId="5FCD03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8" w:hRule="atLeast"/>
        </w:trPr>
        <w:tc>
          <w:tcPr>
            <w:tcW w:w="13327" w:type="dxa"/>
            <w:gridSpan w:val="10"/>
            <w:vAlign w:val="top"/>
          </w:tcPr>
          <w:p w14:paraId="656157F0">
            <w:pPr>
              <w:pStyle w:val="11"/>
              <w:spacing w:before="33" w:line="220" w:lineRule="auto"/>
              <w:ind w:left="117"/>
            </w:pPr>
            <w:r>
              <w:rPr>
                <w:spacing w:val="-3"/>
              </w:rPr>
              <w:t>评标委员会全体成员签名：</w:t>
            </w:r>
          </w:p>
        </w:tc>
      </w:tr>
    </w:tbl>
    <w:p w14:paraId="3D0725F1">
      <w:pPr>
        <w:spacing w:before="30" w:line="221" w:lineRule="auto"/>
        <w:ind w:left="11621"/>
        <w:rPr>
          <w:rFonts w:ascii="宋体" w:hAnsi="宋体" w:eastAsia="宋体" w:cs="宋体"/>
          <w:sz w:val="21"/>
          <w:szCs w:val="21"/>
        </w:rPr>
      </w:pPr>
      <w:r>
        <w:rPr>
          <w:rFonts w:ascii="宋体" w:hAnsi="宋体" w:eastAsia="宋体" w:cs="宋体"/>
          <w:spacing w:val="-21"/>
          <w:sz w:val="21"/>
          <w:szCs w:val="21"/>
        </w:rPr>
        <w:t>日期：</w:t>
      </w:r>
      <w:r>
        <w:rPr>
          <w:rFonts w:ascii="宋体" w:hAnsi="宋体" w:eastAsia="宋体" w:cs="宋体"/>
          <w:spacing w:val="33"/>
          <w:sz w:val="21"/>
          <w:szCs w:val="21"/>
        </w:rPr>
        <w:t xml:space="preserve">   </w:t>
      </w:r>
      <w:r>
        <w:rPr>
          <w:rFonts w:ascii="宋体" w:hAnsi="宋体" w:eastAsia="宋体" w:cs="宋体"/>
          <w:spacing w:val="-21"/>
          <w:sz w:val="21"/>
          <w:szCs w:val="21"/>
        </w:rPr>
        <w:t>年</w:t>
      </w:r>
      <w:r>
        <w:rPr>
          <w:rFonts w:ascii="宋体" w:hAnsi="宋体" w:eastAsia="宋体" w:cs="宋体"/>
          <w:spacing w:val="8"/>
          <w:sz w:val="21"/>
          <w:szCs w:val="21"/>
        </w:rPr>
        <w:t xml:space="preserve">  </w:t>
      </w:r>
      <w:r>
        <w:rPr>
          <w:rFonts w:ascii="宋体" w:hAnsi="宋体" w:eastAsia="宋体" w:cs="宋体"/>
          <w:spacing w:val="-21"/>
          <w:sz w:val="21"/>
          <w:szCs w:val="21"/>
        </w:rPr>
        <w:t>月  日</w:t>
      </w:r>
    </w:p>
    <w:p w14:paraId="3DA11812">
      <w:pPr>
        <w:spacing w:line="221" w:lineRule="auto"/>
        <w:rPr>
          <w:rFonts w:ascii="宋体" w:hAnsi="宋体" w:eastAsia="宋体" w:cs="宋体"/>
          <w:sz w:val="21"/>
          <w:szCs w:val="21"/>
        </w:rPr>
        <w:sectPr>
          <w:footerReference r:id="rId80" w:type="default"/>
          <w:pgSz w:w="16839" w:h="11905"/>
          <w:pgMar w:top="1011" w:right="1752" w:bottom="991" w:left="1463" w:header="0" w:footer="786" w:gutter="0"/>
          <w:pgNumType w:fmt="decimal"/>
          <w:cols w:space="720" w:num="1"/>
        </w:sectPr>
      </w:pPr>
    </w:p>
    <w:p w14:paraId="3092DC30">
      <w:pPr>
        <w:pStyle w:val="3"/>
        <w:spacing w:line="272" w:lineRule="auto"/>
      </w:pPr>
    </w:p>
    <w:p w14:paraId="0135623E">
      <w:pPr>
        <w:pStyle w:val="3"/>
        <w:spacing w:line="272" w:lineRule="auto"/>
      </w:pPr>
    </w:p>
    <w:p w14:paraId="7779709C">
      <w:pPr>
        <w:pStyle w:val="3"/>
        <w:spacing w:line="272" w:lineRule="auto"/>
      </w:pPr>
    </w:p>
    <w:p w14:paraId="73BAB109">
      <w:pPr>
        <w:spacing w:before="78" w:line="219" w:lineRule="auto"/>
        <w:ind w:left="75"/>
        <w:rPr>
          <w:rFonts w:ascii="黑体" w:hAnsi="黑体" w:eastAsia="黑体" w:cs="黑体"/>
          <w:sz w:val="24"/>
          <w:szCs w:val="24"/>
        </w:rPr>
      </w:pPr>
      <w:r>
        <w:rPr>
          <w:rFonts w:ascii="黑体" w:hAnsi="黑体" w:eastAsia="黑体" w:cs="黑体"/>
          <w:spacing w:val="-4"/>
          <w:sz w:val="24"/>
          <w:szCs w:val="24"/>
        </w:rPr>
        <w:t>附表</w:t>
      </w:r>
      <w:r>
        <w:rPr>
          <w:rFonts w:ascii="黑体" w:hAnsi="黑体" w:eastAsia="黑体" w:cs="黑体"/>
          <w:spacing w:val="-60"/>
          <w:sz w:val="24"/>
          <w:szCs w:val="24"/>
        </w:rPr>
        <w:t xml:space="preserve"> </w:t>
      </w:r>
      <w:r>
        <w:rPr>
          <w:rFonts w:ascii="Times New Roman" w:hAnsi="Times New Roman" w:eastAsia="Times New Roman" w:cs="Times New Roman"/>
          <w:spacing w:val="-4"/>
          <w:sz w:val="24"/>
          <w:szCs w:val="24"/>
        </w:rPr>
        <w:t>A-</w:t>
      </w:r>
      <w:r>
        <w:rPr>
          <w:rFonts w:ascii="Times New Roman" w:hAnsi="Times New Roman" w:eastAsia="Times New Roman" w:cs="Times New Roman"/>
          <w:spacing w:val="-30"/>
          <w:sz w:val="24"/>
          <w:szCs w:val="24"/>
        </w:rPr>
        <w:t xml:space="preserve"> </w:t>
      </w:r>
      <w:r>
        <w:rPr>
          <w:rFonts w:ascii="Times New Roman" w:hAnsi="Times New Roman" w:eastAsia="Times New Roman" w:cs="Times New Roman"/>
          <w:spacing w:val="-4"/>
          <w:sz w:val="24"/>
          <w:szCs w:val="24"/>
        </w:rPr>
        <w:t>15</w:t>
      </w:r>
      <w:r>
        <w:rPr>
          <w:rFonts w:ascii="黑体" w:hAnsi="黑体" w:eastAsia="黑体" w:cs="黑体"/>
          <w:spacing w:val="-4"/>
          <w:sz w:val="24"/>
          <w:szCs w:val="24"/>
        </w:rPr>
        <w:t>：详细评审评分汇总表</w:t>
      </w:r>
    </w:p>
    <w:p w14:paraId="01EFAFED">
      <w:pPr>
        <w:spacing w:before="288" w:line="219" w:lineRule="auto"/>
        <w:ind w:left="5423"/>
        <w:rPr>
          <w:rFonts w:ascii="黑体" w:hAnsi="黑体" w:eastAsia="黑体" w:cs="黑体"/>
          <w:sz w:val="36"/>
          <w:szCs w:val="36"/>
        </w:rPr>
      </w:pPr>
      <w:r>
        <w:rPr>
          <w:rFonts w:ascii="黑体" w:hAnsi="黑体" w:eastAsia="黑体" w:cs="黑体"/>
          <w:spacing w:val="-2"/>
          <w:sz w:val="36"/>
          <w:szCs w:val="36"/>
        </w:rPr>
        <w:t>详细评审评分汇总表</w:t>
      </w:r>
    </w:p>
    <w:p w14:paraId="1732B2B0">
      <w:pPr>
        <w:spacing w:before="234" w:line="221" w:lineRule="auto"/>
        <w:ind w:left="61"/>
        <w:rPr>
          <w:rFonts w:ascii="宋体" w:hAnsi="宋体" w:eastAsia="宋体" w:cs="宋体"/>
          <w:sz w:val="21"/>
          <w:szCs w:val="21"/>
        </w:rPr>
      </w:pPr>
      <w:r>
        <w:rPr>
          <w:rFonts w:ascii="宋体" w:hAnsi="宋体" w:eastAsia="宋体" w:cs="宋体"/>
          <w:spacing w:val="-9"/>
          <w:sz w:val="21"/>
          <w:szCs w:val="21"/>
        </w:rPr>
        <w:t>标段名称：</w:t>
      </w:r>
    </w:p>
    <w:p w14:paraId="7DB0B2E0">
      <w:pPr>
        <w:spacing w:before="22" w:line="214" w:lineRule="auto"/>
        <w:ind w:left="61"/>
        <w:rPr>
          <w:rFonts w:ascii="宋体" w:hAnsi="宋体" w:eastAsia="宋体" w:cs="宋体"/>
          <w:sz w:val="21"/>
          <w:szCs w:val="21"/>
        </w:rPr>
      </w:pPr>
      <w:r>
        <w:rPr>
          <w:rFonts w:ascii="宋体" w:hAnsi="宋体" w:eastAsia="宋体" w:cs="宋体"/>
          <w:spacing w:val="-5"/>
          <w:sz w:val="21"/>
          <w:szCs w:val="21"/>
        </w:rPr>
        <w:t>标段唯一标识码：</w:t>
      </w:r>
    </w:p>
    <w:tbl>
      <w:tblPr>
        <w:tblStyle w:val="10"/>
        <w:tblW w:w="1405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08"/>
        <w:gridCol w:w="2961"/>
        <w:gridCol w:w="1891"/>
        <w:gridCol w:w="1891"/>
        <w:gridCol w:w="1891"/>
        <w:gridCol w:w="1896"/>
        <w:gridCol w:w="1219"/>
        <w:gridCol w:w="1301"/>
      </w:tblGrid>
      <w:tr w14:paraId="72DF6D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7" w:hRule="atLeast"/>
        </w:trPr>
        <w:tc>
          <w:tcPr>
            <w:tcW w:w="1008" w:type="dxa"/>
            <w:vMerge w:val="restart"/>
            <w:tcBorders>
              <w:bottom w:val="nil"/>
            </w:tcBorders>
            <w:vAlign w:val="top"/>
          </w:tcPr>
          <w:p w14:paraId="4D2B4014">
            <w:pPr>
              <w:pStyle w:val="11"/>
              <w:spacing w:before="187" w:line="222" w:lineRule="auto"/>
              <w:ind w:left="299"/>
            </w:pPr>
            <w:r>
              <w:rPr>
                <w:spacing w:val="-2"/>
                <w14:textOutline w14:w="3831" w14:cap="flat" w14:cmpd="sng">
                  <w14:solidFill>
                    <w14:srgbClr w14:val="000000"/>
                  </w14:solidFill>
                  <w14:prstDash w14:val="solid"/>
                  <w14:miter w14:val="0"/>
                </w14:textOutline>
              </w:rPr>
              <w:t>序号</w:t>
            </w:r>
          </w:p>
        </w:tc>
        <w:tc>
          <w:tcPr>
            <w:tcW w:w="2961" w:type="dxa"/>
            <w:vMerge w:val="restart"/>
            <w:tcBorders>
              <w:bottom w:val="nil"/>
            </w:tcBorders>
            <w:vAlign w:val="top"/>
          </w:tcPr>
          <w:p w14:paraId="53A27608">
            <w:pPr>
              <w:pStyle w:val="11"/>
              <w:spacing w:before="188" w:line="221" w:lineRule="auto"/>
              <w:ind w:left="956"/>
            </w:pPr>
            <w:r>
              <w:rPr>
                <w:spacing w:val="-1"/>
                <w14:textOutline w14:w="3831" w14:cap="flat" w14:cmpd="sng">
                  <w14:solidFill>
                    <w14:srgbClr w14:val="000000"/>
                  </w14:solidFill>
                  <w14:prstDash w14:val="solid"/>
                  <w14:miter w14:val="0"/>
                </w14:textOutline>
              </w:rPr>
              <w:t>投标人名称</w:t>
            </w:r>
          </w:p>
        </w:tc>
        <w:tc>
          <w:tcPr>
            <w:tcW w:w="7569" w:type="dxa"/>
            <w:gridSpan w:val="4"/>
            <w:vAlign w:val="top"/>
          </w:tcPr>
          <w:p w14:paraId="433ACCAE">
            <w:pPr>
              <w:pStyle w:val="11"/>
              <w:spacing w:before="39" w:line="218" w:lineRule="auto"/>
              <w:ind w:left="2947"/>
            </w:pPr>
            <w:r>
              <w:rPr>
                <w14:textOutline w14:w="3831" w14:cap="flat" w14:cmpd="sng">
                  <w14:solidFill>
                    <w14:srgbClr w14:val="000000"/>
                  </w14:solidFill>
                  <w14:prstDash w14:val="solid"/>
                  <w14:miter w14:val="0"/>
                </w14:textOutline>
              </w:rPr>
              <w:t>评审类别评审得分</w:t>
            </w:r>
          </w:p>
        </w:tc>
        <w:tc>
          <w:tcPr>
            <w:tcW w:w="1219" w:type="dxa"/>
            <w:vMerge w:val="restart"/>
            <w:tcBorders>
              <w:bottom w:val="nil"/>
            </w:tcBorders>
            <w:vAlign w:val="top"/>
          </w:tcPr>
          <w:p w14:paraId="750C9AB1">
            <w:pPr>
              <w:pStyle w:val="11"/>
              <w:spacing w:before="53" w:line="231" w:lineRule="auto"/>
              <w:ind w:left="400" w:right="187" w:hanging="212"/>
            </w:pPr>
            <w:r>
              <w:rPr>
                <w:spacing w:val="-1"/>
                <w14:textOutline w14:w="3831" w14:cap="flat" w14:cmpd="sng">
                  <w14:solidFill>
                    <w14:srgbClr w14:val="000000"/>
                  </w14:solidFill>
                  <w14:prstDash w14:val="solid"/>
                  <w14:miter w14:val="0"/>
                </w14:textOutline>
              </w:rPr>
              <w:t>评审得分</w:t>
            </w:r>
            <w:r>
              <w:t xml:space="preserve"> </w:t>
            </w:r>
            <w:r>
              <w:rPr>
                <w:spacing w:val="-2"/>
                <w14:textOutline w14:w="3831" w14:cap="flat" w14:cmpd="sng">
                  <w14:solidFill>
                    <w14:srgbClr w14:val="000000"/>
                  </w14:solidFill>
                  <w14:prstDash w14:val="solid"/>
                  <w14:miter w14:val="0"/>
                </w14:textOutline>
              </w:rPr>
              <w:t>汇总</w:t>
            </w:r>
          </w:p>
        </w:tc>
        <w:tc>
          <w:tcPr>
            <w:tcW w:w="1301" w:type="dxa"/>
            <w:vMerge w:val="restart"/>
            <w:tcBorders>
              <w:bottom w:val="nil"/>
            </w:tcBorders>
            <w:vAlign w:val="top"/>
          </w:tcPr>
          <w:p w14:paraId="5A661161">
            <w:pPr>
              <w:pStyle w:val="11"/>
              <w:spacing w:before="188" w:line="221" w:lineRule="auto"/>
              <w:ind w:left="130"/>
            </w:pPr>
            <w:r>
              <w:rPr>
                <w:spacing w:val="-1"/>
                <w14:textOutline w14:w="3831" w14:cap="flat" w14:cmpd="sng">
                  <w14:solidFill>
                    <w14:srgbClr w14:val="000000"/>
                  </w14:solidFill>
                  <w14:prstDash w14:val="solid"/>
                  <w14:miter w14:val="0"/>
                </w14:textOutline>
              </w:rPr>
              <w:t>投标人排名</w:t>
            </w:r>
          </w:p>
        </w:tc>
      </w:tr>
      <w:tr w14:paraId="5BB044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7" w:hRule="atLeast"/>
        </w:trPr>
        <w:tc>
          <w:tcPr>
            <w:tcW w:w="1008" w:type="dxa"/>
            <w:vMerge w:val="continue"/>
            <w:tcBorders>
              <w:top w:val="nil"/>
            </w:tcBorders>
            <w:vAlign w:val="top"/>
          </w:tcPr>
          <w:p w14:paraId="25F7B51D">
            <w:pPr>
              <w:rPr>
                <w:rFonts w:ascii="Arial"/>
                <w:sz w:val="21"/>
              </w:rPr>
            </w:pPr>
          </w:p>
        </w:tc>
        <w:tc>
          <w:tcPr>
            <w:tcW w:w="2961" w:type="dxa"/>
            <w:vMerge w:val="continue"/>
            <w:tcBorders>
              <w:top w:val="nil"/>
            </w:tcBorders>
            <w:vAlign w:val="top"/>
          </w:tcPr>
          <w:p w14:paraId="781C0FEF">
            <w:pPr>
              <w:rPr>
                <w:rFonts w:ascii="Arial"/>
                <w:sz w:val="21"/>
              </w:rPr>
            </w:pPr>
          </w:p>
        </w:tc>
        <w:tc>
          <w:tcPr>
            <w:tcW w:w="1891" w:type="dxa"/>
            <w:vAlign w:val="top"/>
          </w:tcPr>
          <w:p w14:paraId="7ED155BA">
            <w:pPr>
              <w:pStyle w:val="11"/>
              <w:spacing w:before="34" w:line="213" w:lineRule="auto"/>
              <w:ind w:left="530"/>
            </w:pPr>
            <w:r>
              <w:rPr>
                <w:spacing w:val="-2"/>
                <w14:textOutline w14:w="3831" w14:cap="flat" w14:cmpd="sng">
                  <w14:solidFill>
                    <w14:srgbClr w14:val="000000"/>
                  </w14:solidFill>
                  <w14:prstDash w14:val="solid"/>
                  <w14:miter w14:val="0"/>
                </w14:textOutline>
              </w:rPr>
              <w:t>投标报价</w:t>
            </w:r>
          </w:p>
        </w:tc>
        <w:tc>
          <w:tcPr>
            <w:tcW w:w="1891" w:type="dxa"/>
            <w:vAlign w:val="top"/>
          </w:tcPr>
          <w:p w14:paraId="6AC06967">
            <w:pPr>
              <w:pStyle w:val="11"/>
              <w:spacing w:before="34" w:line="213" w:lineRule="auto"/>
              <w:ind w:left="635"/>
            </w:pPr>
            <w:r>
              <w:rPr>
                <w:spacing w:val="-2"/>
                <w14:textOutline w14:w="3831" w14:cap="flat" w14:cmpd="sng">
                  <w14:solidFill>
                    <w14:srgbClr w14:val="000000"/>
                  </w14:solidFill>
                  <w14:prstDash w14:val="solid"/>
                  <w14:miter w14:val="0"/>
                </w14:textOutline>
              </w:rPr>
              <w:t>技术标</w:t>
            </w:r>
          </w:p>
        </w:tc>
        <w:tc>
          <w:tcPr>
            <w:tcW w:w="1891" w:type="dxa"/>
            <w:vAlign w:val="top"/>
          </w:tcPr>
          <w:p w14:paraId="54C3B6A2">
            <w:pPr>
              <w:pStyle w:val="11"/>
              <w:spacing w:before="34" w:line="213" w:lineRule="auto"/>
              <w:ind w:left="644"/>
            </w:pPr>
            <w:r>
              <w:rPr>
                <w:spacing w:val="-4"/>
                <w14:textOutline w14:w="3831" w14:cap="flat" w14:cmpd="sng">
                  <w14:solidFill>
                    <w14:srgbClr w14:val="000000"/>
                  </w14:solidFill>
                  <w14:prstDash w14:val="solid"/>
                  <w14:miter w14:val="0"/>
                </w14:textOutline>
              </w:rPr>
              <w:t>资信标</w:t>
            </w:r>
          </w:p>
        </w:tc>
        <w:tc>
          <w:tcPr>
            <w:tcW w:w="1896" w:type="dxa"/>
            <w:vAlign w:val="top"/>
          </w:tcPr>
          <w:p w14:paraId="43187610">
            <w:pPr>
              <w:pStyle w:val="11"/>
              <w:spacing w:before="34" w:line="213" w:lineRule="auto"/>
              <w:ind w:left="531"/>
            </w:pPr>
            <w:r>
              <w:rPr>
                <w:spacing w:val="-1"/>
                <w14:textOutline w14:w="3831" w14:cap="flat" w14:cmpd="sng">
                  <w14:solidFill>
                    <w14:srgbClr w14:val="000000"/>
                  </w14:solidFill>
                  <w14:prstDash w14:val="solid"/>
                  <w14:miter w14:val="0"/>
                </w14:textOutline>
              </w:rPr>
              <w:t>其他因素</w:t>
            </w:r>
          </w:p>
        </w:tc>
        <w:tc>
          <w:tcPr>
            <w:tcW w:w="1219" w:type="dxa"/>
            <w:vMerge w:val="continue"/>
            <w:tcBorders>
              <w:top w:val="nil"/>
            </w:tcBorders>
            <w:vAlign w:val="top"/>
          </w:tcPr>
          <w:p w14:paraId="4418C56D">
            <w:pPr>
              <w:rPr>
                <w:rFonts w:ascii="Arial"/>
                <w:sz w:val="21"/>
              </w:rPr>
            </w:pPr>
          </w:p>
        </w:tc>
        <w:tc>
          <w:tcPr>
            <w:tcW w:w="1301" w:type="dxa"/>
            <w:vMerge w:val="continue"/>
            <w:tcBorders>
              <w:top w:val="nil"/>
            </w:tcBorders>
            <w:vAlign w:val="top"/>
          </w:tcPr>
          <w:p w14:paraId="363C1BD8">
            <w:pPr>
              <w:rPr>
                <w:rFonts w:ascii="Arial"/>
                <w:sz w:val="21"/>
              </w:rPr>
            </w:pPr>
          </w:p>
        </w:tc>
      </w:tr>
      <w:tr w14:paraId="54F355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4" w:hRule="atLeast"/>
        </w:trPr>
        <w:tc>
          <w:tcPr>
            <w:tcW w:w="1008" w:type="dxa"/>
            <w:vAlign w:val="top"/>
          </w:tcPr>
          <w:p w14:paraId="0B4D53BE">
            <w:pPr>
              <w:pStyle w:val="11"/>
              <w:spacing w:before="123" w:line="183" w:lineRule="auto"/>
              <w:ind w:left="474"/>
            </w:pPr>
            <w:r>
              <w:t>1</w:t>
            </w:r>
          </w:p>
        </w:tc>
        <w:tc>
          <w:tcPr>
            <w:tcW w:w="2961" w:type="dxa"/>
            <w:vAlign w:val="top"/>
          </w:tcPr>
          <w:p w14:paraId="67F46964">
            <w:pPr>
              <w:rPr>
                <w:rFonts w:ascii="Arial"/>
                <w:sz w:val="21"/>
              </w:rPr>
            </w:pPr>
          </w:p>
        </w:tc>
        <w:tc>
          <w:tcPr>
            <w:tcW w:w="1891" w:type="dxa"/>
            <w:vAlign w:val="top"/>
          </w:tcPr>
          <w:p w14:paraId="4E8FAEC3">
            <w:pPr>
              <w:rPr>
                <w:rFonts w:ascii="Arial"/>
                <w:sz w:val="21"/>
              </w:rPr>
            </w:pPr>
          </w:p>
        </w:tc>
        <w:tc>
          <w:tcPr>
            <w:tcW w:w="1891" w:type="dxa"/>
            <w:vAlign w:val="top"/>
          </w:tcPr>
          <w:p w14:paraId="72374794">
            <w:pPr>
              <w:rPr>
                <w:rFonts w:ascii="Arial"/>
                <w:sz w:val="21"/>
              </w:rPr>
            </w:pPr>
          </w:p>
        </w:tc>
        <w:tc>
          <w:tcPr>
            <w:tcW w:w="1891" w:type="dxa"/>
            <w:vAlign w:val="top"/>
          </w:tcPr>
          <w:p w14:paraId="49E9B0CE">
            <w:pPr>
              <w:rPr>
                <w:rFonts w:ascii="Arial"/>
                <w:sz w:val="21"/>
              </w:rPr>
            </w:pPr>
          </w:p>
        </w:tc>
        <w:tc>
          <w:tcPr>
            <w:tcW w:w="1896" w:type="dxa"/>
            <w:vAlign w:val="top"/>
          </w:tcPr>
          <w:p w14:paraId="39DF9D4A">
            <w:pPr>
              <w:rPr>
                <w:rFonts w:ascii="Arial"/>
                <w:sz w:val="21"/>
              </w:rPr>
            </w:pPr>
          </w:p>
        </w:tc>
        <w:tc>
          <w:tcPr>
            <w:tcW w:w="1219" w:type="dxa"/>
            <w:vAlign w:val="top"/>
          </w:tcPr>
          <w:p w14:paraId="57509378">
            <w:pPr>
              <w:rPr>
                <w:rFonts w:ascii="Arial"/>
                <w:sz w:val="21"/>
              </w:rPr>
            </w:pPr>
          </w:p>
        </w:tc>
        <w:tc>
          <w:tcPr>
            <w:tcW w:w="1301" w:type="dxa"/>
            <w:vAlign w:val="top"/>
          </w:tcPr>
          <w:p w14:paraId="3F915F77">
            <w:pPr>
              <w:rPr>
                <w:rFonts w:ascii="Arial"/>
                <w:sz w:val="21"/>
              </w:rPr>
            </w:pPr>
          </w:p>
        </w:tc>
      </w:tr>
      <w:tr w14:paraId="52518A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3" w:hRule="atLeast"/>
        </w:trPr>
        <w:tc>
          <w:tcPr>
            <w:tcW w:w="1008" w:type="dxa"/>
            <w:vAlign w:val="top"/>
          </w:tcPr>
          <w:p w14:paraId="62319CC5">
            <w:pPr>
              <w:pStyle w:val="11"/>
              <w:spacing w:before="123" w:line="182" w:lineRule="auto"/>
              <w:ind w:left="461"/>
            </w:pPr>
            <w:r>
              <w:t>2</w:t>
            </w:r>
          </w:p>
        </w:tc>
        <w:tc>
          <w:tcPr>
            <w:tcW w:w="2961" w:type="dxa"/>
            <w:vAlign w:val="top"/>
          </w:tcPr>
          <w:p w14:paraId="03493358">
            <w:pPr>
              <w:rPr>
                <w:rFonts w:ascii="Arial"/>
                <w:sz w:val="21"/>
              </w:rPr>
            </w:pPr>
          </w:p>
        </w:tc>
        <w:tc>
          <w:tcPr>
            <w:tcW w:w="1891" w:type="dxa"/>
            <w:vAlign w:val="top"/>
          </w:tcPr>
          <w:p w14:paraId="60BEEE39">
            <w:pPr>
              <w:rPr>
                <w:rFonts w:ascii="Arial"/>
                <w:sz w:val="21"/>
              </w:rPr>
            </w:pPr>
          </w:p>
        </w:tc>
        <w:tc>
          <w:tcPr>
            <w:tcW w:w="1891" w:type="dxa"/>
            <w:vAlign w:val="top"/>
          </w:tcPr>
          <w:p w14:paraId="6175CB7F">
            <w:pPr>
              <w:rPr>
                <w:rFonts w:ascii="Arial"/>
                <w:sz w:val="21"/>
              </w:rPr>
            </w:pPr>
          </w:p>
        </w:tc>
        <w:tc>
          <w:tcPr>
            <w:tcW w:w="1891" w:type="dxa"/>
            <w:vAlign w:val="top"/>
          </w:tcPr>
          <w:p w14:paraId="779CE801">
            <w:pPr>
              <w:rPr>
                <w:rFonts w:ascii="Arial"/>
                <w:sz w:val="21"/>
              </w:rPr>
            </w:pPr>
          </w:p>
        </w:tc>
        <w:tc>
          <w:tcPr>
            <w:tcW w:w="1896" w:type="dxa"/>
            <w:vAlign w:val="top"/>
          </w:tcPr>
          <w:p w14:paraId="06AAD009">
            <w:pPr>
              <w:rPr>
                <w:rFonts w:ascii="Arial"/>
                <w:sz w:val="21"/>
              </w:rPr>
            </w:pPr>
          </w:p>
        </w:tc>
        <w:tc>
          <w:tcPr>
            <w:tcW w:w="1219" w:type="dxa"/>
            <w:vAlign w:val="top"/>
          </w:tcPr>
          <w:p w14:paraId="23AC3CE9">
            <w:pPr>
              <w:rPr>
                <w:rFonts w:ascii="Arial"/>
                <w:sz w:val="21"/>
              </w:rPr>
            </w:pPr>
          </w:p>
        </w:tc>
        <w:tc>
          <w:tcPr>
            <w:tcW w:w="1301" w:type="dxa"/>
            <w:vAlign w:val="top"/>
          </w:tcPr>
          <w:p w14:paraId="333590A9">
            <w:pPr>
              <w:rPr>
                <w:rFonts w:ascii="Arial"/>
                <w:sz w:val="21"/>
              </w:rPr>
            </w:pPr>
          </w:p>
        </w:tc>
      </w:tr>
      <w:tr w14:paraId="7510DD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8" w:hRule="atLeast"/>
        </w:trPr>
        <w:tc>
          <w:tcPr>
            <w:tcW w:w="1008" w:type="dxa"/>
            <w:vAlign w:val="top"/>
          </w:tcPr>
          <w:p w14:paraId="23708F19">
            <w:pPr>
              <w:pStyle w:val="11"/>
              <w:spacing w:before="119" w:line="182" w:lineRule="auto"/>
              <w:ind w:left="463"/>
            </w:pPr>
            <w:r>
              <w:t>3</w:t>
            </w:r>
          </w:p>
        </w:tc>
        <w:tc>
          <w:tcPr>
            <w:tcW w:w="2961" w:type="dxa"/>
            <w:vAlign w:val="top"/>
          </w:tcPr>
          <w:p w14:paraId="76AF96F0">
            <w:pPr>
              <w:rPr>
                <w:rFonts w:ascii="Arial"/>
                <w:sz w:val="21"/>
              </w:rPr>
            </w:pPr>
          </w:p>
        </w:tc>
        <w:tc>
          <w:tcPr>
            <w:tcW w:w="1891" w:type="dxa"/>
            <w:vAlign w:val="top"/>
          </w:tcPr>
          <w:p w14:paraId="633E9A88">
            <w:pPr>
              <w:rPr>
                <w:rFonts w:ascii="Arial"/>
                <w:sz w:val="21"/>
              </w:rPr>
            </w:pPr>
          </w:p>
        </w:tc>
        <w:tc>
          <w:tcPr>
            <w:tcW w:w="1891" w:type="dxa"/>
            <w:vAlign w:val="top"/>
          </w:tcPr>
          <w:p w14:paraId="4968B514">
            <w:pPr>
              <w:rPr>
                <w:rFonts w:ascii="Arial"/>
                <w:sz w:val="21"/>
              </w:rPr>
            </w:pPr>
          </w:p>
        </w:tc>
        <w:tc>
          <w:tcPr>
            <w:tcW w:w="1891" w:type="dxa"/>
            <w:vAlign w:val="top"/>
          </w:tcPr>
          <w:p w14:paraId="1FCA7327">
            <w:pPr>
              <w:rPr>
                <w:rFonts w:ascii="Arial"/>
                <w:sz w:val="21"/>
              </w:rPr>
            </w:pPr>
          </w:p>
        </w:tc>
        <w:tc>
          <w:tcPr>
            <w:tcW w:w="1896" w:type="dxa"/>
            <w:vAlign w:val="top"/>
          </w:tcPr>
          <w:p w14:paraId="5DD325E0">
            <w:pPr>
              <w:rPr>
                <w:rFonts w:ascii="Arial"/>
                <w:sz w:val="21"/>
              </w:rPr>
            </w:pPr>
          </w:p>
        </w:tc>
        <w:tc>
          <w:tcPr>
            <w:tcW w:w="1219" w:type="dxa"/>
            <w:vAlign w:val="top"/>
          </w:tcPr>
          <w:p w14:paraId="49402D76">
            <w:pPr>
              <w:rPr>
                <w:rFonts w:ascii="Arial"/>
                <w:sz w:val="21"/>
              </w:rPr>
            </w:pPr>
          </w:p>
        </w:tc>
        <w:tc>
          <w:tcPr>
            <w:tcW w:w="1301" w:type="dxa"/>
            <w:vAlign w:val="top"/>
          </w:tcPr>
          <w:p w14:paraId="0AC10BA4">
            <w:pPr>
              <w:rPr>
                <w:rFonts w:ascii="Arial"/>
                <w:sz w:val="21"/>
              </w:rPr>
            </w:pPr>
          </w:p>
        </w:tc>
      </w:tr>
      <w:tr w14:paraId="4AE7CB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3" w:hRule="atLeast"/>
        </w:trPr>
        <w:tc>
          <w:tcPr>
            <w:tcW w:w="1008" w:type="dxa"/>
            <w:vAlign w:val="top"/>
          </w:tcPr>
          <w:p w14:paraId="7F3C891F">
            <w:pPr>
              <w:pStyle w:val="11"/>
              <w:spacing w:before="125" w:line="182" w:lineRule="auto"/>
              <w:ind w:left="458"/>
            </w:pPr>
            <w:r>
              <w:t>4</w:t>
            </w:r>
          </w:p>
        </w:tc>
        <w:tc>
          <w:tcPr>
            <w:tcW w:w="2961" w:type="dxa"/>
            <w:vAlign w:val="top"/>
          </w:tcPr>
          <w:p w14:paraId="51C3E2D6">
            <w:pPr>
              <w:rPr>
                <w:rFonts w:ascii="Arial"/>
                <w:sz w:val="21"/>
              </w:rPr>
            </w:pPr>
          </w:p>
        </w:tc>
        <w:tc>
          <w:tcPr>
            <w:tcW w:w="1891" w:type="dxa"/>
            <w:vAlign w:val="top"/>
          </w:tcPr>
          <w:p w14:paraId="7F3763D5">
            <w:pPr>
              <w:rPr>
                <w:rFonts w:ascii="Arial"/>
                <w:sz w:val="21"/>
              </w:rPr>
            </w:pPr>
          </w:p>
        </w:tc>
        <w:tc>
          <w:tcPr>
            <w:tcW w:w="1891" w:type="dxa"/>
            <w:vAlign w:val="top"/>
          </w:tcPr>
          <w:p w14:paraId="354F665F">
            <w:pPr>
              <w:rPr>
                <w:rFonts w:ascii="Arial"/>
                <w:sz w:val="21"/>
              </w:rPr>
            </w:pPr>
          </w:p>
        </w:tc>
        <w:tc>
          <w:tcPr>
            <w:tcW w:w="1891" w:type="dxa"/>
            <w:vAlign w:val="top"/>
          </w:tcPr>
          <w:p w14:paraId="59DFC47B">
            <w:pPr>
              <w:rPr>
                <w:rFonts w:ascii="Arial"/>
                <w:sz w:val="21"/>
              </w:rPr>
            </w:pPr>
          </w:p>
        </w:tc>
        <w:tc>
          <w:tcPr>
            <w:tcW w:w="1896" w:type="dxa"/>
            <w:vAlign w:val="top"/>
          </w:tcPr>
          <w:p w14:paraId="2F764CAF">
            <w:pPr>
              <w:rPr>
                <w:rFonts w:ascii="Arial"/>
                <w:sz w:val="21"/>
              </w:rPr>
            </w:pPr>
          </w:p>
        </w:tc>
        <w:tc>
          <w:tcPr>
            <w:tcW w:w="1219" w:type="dxa"/>
            <w:vAlign w:val="top"/>
          </w:tcPr>
          <w:p w14:paraId="26B5B44D">
            <w:pPr>
              <w:rPr>
                <w:rFonts w:ascii="Arial"/>
                <w:sz w:val="21"/>
              </w:rPr>
            </w:pPr>
          </w:p>
        </w:tc>
        <w:tc>
          <w:tcPr>
            <w:tcW w:w="1301" w:type="dxa"/>
            <w:vAlign w:val="top"/>
          </w:tcPr>
          <w:p w14:paraId="73CF4073">
            <w:pPr>
              <w:rPr>
                <w:rFonts w:ascii="Arial"/>
                <w:sz w:val="21"/>
              </w:rPr>
            </w:pPr>
          </w:p>
        </w:tc>
      </w:tr>
      <w:tr w14:paraId="214E20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3" w:hRule="atLeast"/>
        </w:trPr>
        <w:tc>
          <w:tcPr>
            <w:tcW w:w="1008" w:type="dxa"/>
            <w:vAlign w:val="top"/>
          </w:tcPr>
          <w:p w14:paraId="2DCAB480">
            <w:pPr>
              <w:pStyle w:val="11"/>
              <w:spacing w:before="126" w:line="181" w:lineRule="auto"/>
              <w:ind w:left="463"/>
            </w:pPr>
            <w:r>
              <w:t>5</w:t>
            </w:r>
          </w:p>
        </w:tc>
        <w:tc>
          <w:tcPr>
            <w:tcW w:w="2961" w:type="dxa"/>
            <w:vAlign w:val="top"/>
          </w:tcPr>
          <w:p w14:paraId="5D82FBA9">
            <w:pPr>
              <w:rPr>
                <w:rFonts w:ascii="Arial"/>
                <w:sz w:val="21"/>
              </w:rPr>
            </w:pPr>
          </w:p>
        </w:tc>
        <w:tc>
          <w:tcPr>
            <w:tcW w:w="1891" w:type="dxa"/>
            <w:vAlign w:val="top"/>
          </w:tcPr>
          <w:p w14:paraId="01F70CAE">
            <w:pPr>
              <w:rPr>
                <w:rFonts w:ascii="Arial"/>
                <w:sz w:val="21"/>
              </w:rPr>
            </w:pPr>
          </w:p>
        </w:tc>
        <w:tc>
          <w:tcPr>
            <w:tcW w:w="1891" w:type="dxa"/>
            <w:vAlign w:val="top"/>
          </w:tcPr>
          <w:p w14:paraId="61686DCD">
            <w:pPr>
              <w:rPr>
                <w:rFonts w:ascii="Arial"/>
                <w:sz w:val="21"/>
              </w:rPr>
            </w:pPr>
          </w:p>
        </w:tc>
        <w:tc>
          <w:tcPr>
            <w:tcW w:w="1891" w:type="dxa"/>
            <w:vAlign w:val="top"/>
          </w:tcPr>
          <w:p w14:paraId="1D1CFEE2">
            <w:pPr>
              <w:rPr>
                <w:rFonts w:ascii="Arial"/>
                <w:sz w:val="21"/>
              </w:rPr>
            </w:pPr>
          </w:p>
        </w:tc>
        <w:tc>
          <w:tcPr>
            <w:tcW w:w="1896" w:type="dxa"/>
            <w:vAlign w:val="top"/>
          </w:tcPr>
          <w:p w14:paraId="75A9153C">
            <w:pPr>
              <w:rPr>
                <w:rFonts w:ascii="Arial"/>
                <w:sz w:val="21"/>
              </w:rPr>
            </w:pPr>
          </w:p>
        </w:tc>
        <w:tc>
          <w:tcPr>
            <w:tcW w:w="1219" w:type="dxa"/>
            <w:vAlign w:val="top"/>
          </w:tcPr>
          <w:p w14:paraId="2A0D1D0A">
            <w:pPr>
              <w:rPr>
                <w:rFonts w:ascii="Arial"/>
                <w:sz w:val="21"/>
              </w:rPr>
            </w:pPr>
          </w:p>
        </w:tc>
        <w:tc>
          <w:tcPr>
            <w:tcW w:w="1301" w:type="dxa"/>
            <w:vAlign w:val="top"/>
          </w:tcPr>
          <w:p w14:paraId="7F3A349F">
            <w:pPr>
              <w:rPr>
                <w:rFonts w:ascii="Arial"/>
                <w:sz w:val="21"/>
              </w:rPr>
            </w:pPr>
          </w:p>
        </w:tc>
      </w:tr>
      <w:tr w14:paraId="40A86A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8" w:hRule="atLeast"/>
        </w:trPr>
        <w:tc>
          <w:tcPr>
            <w:tcW w:w="1008" w:type="dxa"/>
            <w:vAlign w:val="top"/>
          </w:tcPr>
          <w:p w14:paraId="774627E3">
            <w:pPr>
              <w:pStyle w:val="11"/>
              <w:spacing w:before="85" w:line="292" w:lineRule="exact"/>
              <w:ind w:left="419"/>
            </w:pPr>
            <w:r>
              <w:rPr>
                <w:position w:val="1"/>
              </w:rPr>
              <w:t>…</w:t>
            </w:r>
          </w:p>
        </w:tc>
        <w:tc>
          <w:tcPr>
            <w:tcW w:w="2961" w:type="dxa"/>
            <w:vAlign w:val="top"/>
          </w:tcPr>
          <w:p w14:paraId="7CD2F9B1">
            <w:pPr>
              <w:rPr>
                <w:rFonts w:ascii="Arial"/>
                <w:sz w:val="21"/>
              </w:rPr>
            </w:pPr>
          </w:p>
        </w:tc>
        <w:tc>
          <w:tcPr>
            <w:tcW w:w="1891" w:type="dxa"/>
            <w:vAlign w:val="top"/>
          </w:tcPr>
          <w:p w14:paraId="5DD52B97">
            <w:pPr>
              <w:rPr>
                <w:rFonts w:ascii="Arial"/>
                <w:sz w:val="21"/>
              </w:rPr>
            </w:pPr>
          </w:p>
        </w:tc>
        <w:tc>
          <w:tcPr>
            <w:tcW w:w="1891" w:type="dxa"/>
            <w:vAlign w:val="top"/>
          </w:tcPr>
          <w:p w14:paraId="0E8B7E14">
            <w:pPr>
              <w:rPr>
                <w:rFonts w:ascii="Arial"/>
                <w:sz w:val="21"/>
              </w:rPr>
            </w:pPr>
          </w:p>
        </w:tc>
        <w:tc>
          <w:tcPr>
            <w:tcW w:w="1891" w:type="dxa"/>
            <w:vAlign w:val="top"/>
          </w:tcPr>
          <w:p w14:paraId="4B983437">
            <w:pPr>
              <w:rPr>
                <w:rFonts w:ascii="Arial"/>
                <w:sz w:val="21"/>
              </w:rPr>
            </w:pPr>
          </w:p>
        </w:tc>
        <w:tc>
          <w:tcPr>
            <w:tcW w:w="1896" w:type="dxa"/>
            <w:vAlign w:val="top"/>
          </w:tcPr>
          <w:p w14:paraId="634215DC">
            <w:pPr>
              <w:rPr>
                <w:rFonts w:ascii="Arial"/>
                <w:sz w:val="21"/>
              </w:rPr>
            </w:pPr>
          </w:p>
        </w:tc>
        <w:tc>
          <w:tcPr>
            <w:tcW w:w="1219" w:type="dxa"/>
            <w:vAlign w:val="top"/>
          </w:tcPr>
          <w:p w14:paraId="7D2C6D21">
            <w:pPr>
              <w:rPr>
                <w:rFonts w:ascii="Arial"/>
                <w:sz w:val="21"/>
              </w:rPr>
            </w:pPr>
          </w:p>
        </w:tc>
        <w:tc>
          <w:tcPr>
            <w:tcW w:w="1301" w:type="dxa"/>
            <w:vAlign w:val="top"/>
          </w:tcPr>
          <w:p w14:paraId="611884CE">
            <w:pPr>
              <w:rPr>
                <w:rFonts w:ascii="Arial"/>
                <w:sz w:val="21"/>
              </w:rPr>
            </w:pPr>
          </w:p>
        </w:tc>
      </w:tr>
      <w:tr w14:paraId="261D02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59" w:hRule="atLeast"/>
        </w:trPr>
        <w:tc>
          <w:tcPr>
            <w:tcW w:w="14058" w:type="dxa"/>
            <w:gridSpan w:val="8"/>
            <w:vAlign w:val="top"/>
          </w:tcPr>
          <w:p w14:paraId="1236303C">
            <w:pPr>
              <w:pStyle w:val="11"/>
              <w:spacing w:before="33" w:line="220" w:lineRule="auto"/>
              <w:ind w:left="117"/>
            </w:pPr>
            <w:r>
              <w:rPr>
                <w:spacing w:val="-3"/>
              </w:rPr>
              <w:t>评标委员会全体成员签名：</w:t>
            </w:r>
          </w:p>
        </w:tc>
      </w:tr>
    </w:tbl>
    <w:p w14:paraId="58CAD312">
      <w:pPr>
        <w:spacing w:before="270" w:line="221" w:lineRule="auto"/>
        <w:ind w:left="11442"/>
        <w:rPr>
          <w:rFonts w:ascii="宋体" w:hAnsi="宋体" w:eastAsia="宋体" w:cs="宋体"/>
          <w:sz w:val="21"/>
          <w:szCs w:val="21"/>
        </w:rPr>
      </w:pPr>
      <w:r>
        <w:rPr>
          <w:rFonts w:ascii="宋体" w:hAnsi="宋体" w:eastAsia="宋体" w:cs="宋体"/>
          <w:spacing w:val="-26"/>
          <w:sz w:val="21"/>
          <w:szCs w:val="21"/>
        </w:rPr>
        <w:t>日期：</w:t>
      </w:r>
      <w:r>
        <w:rPr>
          <w:rFonts w:ascii="宋体" w:hAnsi="宋体" w:eastAsia="宋体" w:cs="宋体"/>
          <w:spacing w:val="15"/>
          <w:sz w:val="21"/>
          <w:szCs w:val="21"/>
        </w:rPr>
        <w:t xml:space="preserve">   </w:t>
      </w:r>
      <w:r>
        <w:rPr>
          <w:rFonts w:ascii="宋体" w:hAnsi="宋体" w:eastAsia="宋体" w:cs="宋体"/>
          <w:spacing w:val="-26"/>
          <w:sz w:val="21"/>
          <w:szCs w:val="21"/>
        </w:rPr>
        <w:t>年</w:t>
      </w:r>
      <w:r>
        <w:rPr>
          <w:rFonts w:ascii="宋体" w:hAnsi="宋体" w:eastAsia="宋体" w:cs="宋体"/>
          <w:spacing w:val="5"/>
          <w:sz w:val="21"/>
          <w:szCs w:val="21"/>
        </w:rPr>
        <w:t xml:space="preserve">   </w:t>
      </w:r>
      <w:r>
        <w:rPr>
          <w:rFonts w:ascii="宋体" w:hAnsi="宋体" w:eastAsia="宋体" w:cs="宋体"/>
          <w:spacing w:val="-26"/>
          <w:sz w:val="21"/>
          <w:szCs w:val="21"/>
        </w:rPr>
        <w:t>月</w:t>
      </w:r>
      <w:r>
        <w:rPr>
          <w:rFonts w:ascii="宋体" w:hAnsi="宋体" w:eastAsia="宋体" w:cs="宋体"/>
          <w:spacing w:val="48"/>
          <w:sz w:val="21"/>
          <w:szCs w:val="21"/>
        </w:rPr>
        <w:t xml:space="preserve">  </w:t>
      </w:r>
      <w:r>
        <w:rPr>
          <w:rFonts w:ascii="宋体" w:hAnsi="宋体" w:eastAsia="宋体" w:cs="宋体"/>
          <w:spacing w:val="-26"/>
          <w:sz w:val="21"/>
          <w:szCs w:val="21"/>
        </w:rPr>
        <w:t>日</w:t>
      </w:r>
    </w:p>
    <w:p w14:paraId="2F4D6AAD">
      <w:pPr>
        <w:spacing w:line="221" w:lineRule="auto"/>
        <w:rPr>
          <w:rFonts w:ascii="宋体" w:hAnsi="宋体" w:eastAsia="宋体" w:cs="宋体"/>
          <w:sz w:val="21"/>
          <w:szCs w:val="21"/>
        </w:rPr>
        <w:sectPr>
          <w:footerReference r:id="rId81" w:type="default"/>
          <w:pgSz w:w="16839" w:h="11905"/>
          <w:pgMar w:top="1011" w:right="1387" w:bottom="991" w:left="1387" w:header="0" w:footer="786" w:gutter="0"/>
          <w:pgNumType w:fmt="decimal"/>
          <w:cols w:space="720" w:num="1"/>
        </w:sectPr>
      </w:pPr>
    </w:p>
    <w:p w14:paraId="2BF60AF9">
      <w:pPr>
        <w:pStyle w:val="3"/>
        <w:spacing w:line="263" w:lineRule="auto"/>
      </w:pPr>
    </w:p>
    <w:p w14:paraId="2FF1A668">
      <w:pPr>
        <w:pStyle w:val="3"/>
        <w:spacing w:line="264" w:lineRule="auto"/>
      </w:pPr>
    </w:p>
    <w:p w14:paraId="58331EA5">
      <w:pPr>
        <w:spacing w:before="78" w:line="219" w:lineRule="auto"/>
        <w:ind w:left="401"/>
        <w:rPr>
          <w:rFonts w:ascii="黑体" w:hAnsi="黑体" w:eastAsia="黑体" w:cs="黑体"/>
          <w:sz w:val="24"/>
          <w:szCs w:val="24"/>
        </w:rPr>
      </w:pPr>
      <w:r>
        <w:rPr>
          <w:rFonts w:ascii="黑体" w:hAnsi="黑体" w:eastAsia="黑体" w:cs="黑体"/>
          <w:spacing w:val="-5"/>
          <w:sz w:val="24"/>
          <w:szCs w:val="24"/>
        </w:rPr>
        <w:t>附表</w:t>
      </w:r>
      <w:r>
        <w:rPr>
          <w:rFonts w:ascii="黑体" w:hAnsi="黑体" w:eastAsia="黑体" w:cs="黑体"/>
          <w:spacing w:val="-53"/>
          <w:sz w:val="24"/>
          <w:szCs w:val="24"/>
        </w:rPr>
        <w:t xml:space="preserve"> </w:t>
      </w:r>
      <w:r>
        <w:rPr>
          <w:rFonts w:ascii="Times New Roman" w:hAnsi="Times New Roman" w:eastAsia="Times New Roman" w:cs="Times New Roman"/>
          <w:spacing w:val="-5"/>
          <w:sz w:val="24"/>
          <w:szCs w:val="24"/>
        </w:rPr>
        <w:t>A-</w:t>
      </w:r>
      <w:r>
        <w:rPr>
          <w:rFonts w:ascii="Times New Roman" w:hAnsi="Times New Roman" w:eastAsia="Times New Roman" w:cs="Times New Roman"/>
          <w:spacing w:val="-30"/>
          <w:sz w:val="24"/>
          <w:szCs w:val="24"/>
        </w:rPr>
        <w:t xml:space="preserve"> </w:t>
      </w:r>
      <w:r>
        <w:rPr>
          <w:rFonts w:ascii="Times New Roman" w:hAnsi="Times New Roman" w:eastAsia="Times New Roman" w:cs="Times New Roman"/>
          <w:spacing w:val="-5"/>
          <w:sz w:val="24"/>
          <w:szCs w:val="24"/>
        </w:rPr>
        <w:t>16</w:t>
      </w:r>
      <w:r>
        <w:rPr>
          <w:rFonts w:ascii="黑体" w:hAnsi="黑体" w:eastAsia="黑体" w:cs="黑体"/>
          <w:spacing w:val="-5"/>
          <w:sz w:val="24"/>
          <w:szCs w:val="24"/>
        </w:rPr>
        <w:t>：评标结果汇总表</w:t>
      </w:r>
    </w:p>
    <w:p w14:paraId="15D54B4E">
      <w:pPr>
        <w:pStyle w:val="3"/>
        <w:spacing w:line="314" w:lineRule="auto"/>
      </w:pPr>
    </w:p>
    <w:p w14:paraId="6A41F6C9">
      <w:pPr>
        <w:pStyle w:val="3"/>
        <w:spacing w:line="315" w:lineRule="auto"/>
      </w:pPr>
    </w:p>
    <w:p w14:paraId="2E55DFD3">
      <w:pPr>
        <w:spacing w:before="117" w:line="219" w:lineRule="auto"/>
        <w:ind w:left="3287"/>
        <w:rPr>
          <w:rFonts w:ascii="黑体" w:hAnsi="黑体" w:eastAsia="黑体" w:cs="黑体"/>
          <w:sz w:val="36"/>
          <w:szCs w:val="36"/>
        </w:rPr>
      </w:pPr>
      <w:r>
        <w:rPr>
          <w:rFonts w:ascii="黑体" w:hAnsi="黑体" w:eastAsia="黑体" w:cs="黑体"/>
          <w:spacing w:val="-2"/>
          <w:sz w:val="36"/>
          <w:szCs w:val="36"/>
        </w:rPr>
        <w:t>评标结果汇总表</w:t>
      </w:r>
    </w:p>
    <w:p w14:paraId="4041450E">
      <w:pPr>
        <w:spacing w:before="221" w:line="213" w:lineRule="auto"/>
        <w:ind w:left="1872"/>
        <w:rPr>
          <w:rFonts w:ascii="黑体" w:hAnsi="黑体" w:eastAsia="黑体" w:cs="黑体"/>
          <w:sz w:val="36"/>
          <w:szCs w:val="36"/>
        </w:rPr>
      </w:pPr>
      <w:r>
        <w:rPr>
          <w:rFonts w:ascii="黑体" w:hAnsi="黑体" w:eastAsia="黑体" w:cs="黑体"/>
          <w:spacing w:val="-5"/>
          <w:sz w:val="36"/>
          <w:szCs w:val="36"/>
        </w:rPr>
        <w:t>（适用于经评审的最低投标价法）</w:t>
      </w:r>
    </w:p>
    <w:p w14:paraId="2DC0A231">
      <w:pPr>
        <w:spacing w:line="221" w:lineRule="auto"/>
        <w:ind w:left="388"/>
        <w:rPr>
          <w:rFonts w:ascii="宋体" w:hAnsi="宋体" w:eastAsia="宋体" w:cs="宋体"/>
          <w:sz w:val="21"/>
          <w:szCs w:val="21"/>
        </w:rPr>
      </w:pPr>
      <w:r>
        <w:rPr>
          <w:rFonts w:ascii="宋体" w:hAnsi="宋体" w:eastAsia="宋体" w:cs="宋体"/>
          <w:spacing w:val="-9"/>
          <w:sz w:val="21"/>
          <w:szCs w:val="21"/>
        </w:rPr>
        <w:t>标段名称：</w:t>
      </w:r>
    </w:p>
    <w:p w14:paraId="616B1CA6">
      <w:pPr>
        <w:spacing w:before="23" w:line="214" w:lineRule="auto"/>
        <w:ind w:left="388"/>
        <w:rPr>
          <w:rFonts w:ascii="宋体" w:hAnsi="宋体" w:eastAsia="宋体" w:cs="宋体"/>
          <w:sz w:val="21"/>
          <w:szCs w:val="21"/>
        </w:rPr>
      </w:pPr>
      <w:r>
        <w:rPr>
          <w:rFonts w:ascii="宋体" w:hAnsi="宋体" w:eastAsia="宋体" w:cs="宋体"/>
          <w:spacing w:val="-8"/>
          <w:sz w:val="21"/>
          <w:szCs w:val="21"/>
        </w:rPr>
        <w:t>标段唯一标识码：</w:t>
      </w:r>
      <w:r>
        <w:rPr>
          <w:rFonts w:ascii="宋体" w:hAnsi="宋体" w:eastAsia="宋体" w:cs="宋体"/>
          <w:sz w:val="21"/>
          <w:szCs w:val="21"/>
        </w:rPr>
        <w:t xml:space="preserve">                                              </w:t>
      </w:r>
      <w:r>
        <w:rPr>
          <w:rFonts w:ascii="宋体" w:hAnsi="宋体" w:eastAsia="宋体" w:cs="宋体"/>
          <w:spacing w:val="-8"/>
          <w:sz w:val="21"/>
          <w:szCs w:val="21"/>
        </w:rPr>
        <w:t>单位：人民币元</w:t>
      </w:r>
    </w:p>
    <w:tbl>
      <w:tblPr>
        <w:tblStyle w:val="10"/>
        <w:tblW w:w="907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675"/>
        <w:gridCol w:w="974"/>
        <w:gridCol w:w="1560"/>
        <w:gridCol w:w="1276"/>
        <w:gridCol w:w="993"/>
        <w:gridCol w:w="1195"/>
        <w:gridCol w:w="1402"/>
      </w:tblGrid>
      <w:tr w14:paraId="5806EE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8" w:hRule="atLeast"/>
        </w:trPr>
        <w:tc>
          <w:tcPr>
            <w:tcW w:w="1675" w:type="dxa"/>
            <w:vMerge w:val="restart"/>
            <w:tcBorders>
              <w:bottom w:val="nil"/>
            </w:tcBorders>
            <w:vAlign w:val="top"/>
          </w:tcPr>
          <w:p w14:paraId="518F5CE7">
            <w:pPr>
              <w:spacing w:line="353" w:lineRule="auto"/>
              <w:rPr>
                <w:rFonts w:ascii="Arial"/>
                <w:sz w:val="21"/>
              </w:rPr>
            </w:pPr>
          </w:p>
          <w:p w14:paraId="5C640D80">
            <w:pPr>
              <w:pStyle w:val="11"/>
              <w:spacing w:before="68" w:line="221" w:lineRule="auto"/>
              <w:ind w:left="312"/>
            </w:pPr>
            <w:r>
              <w:rPr>
                <w:spacing w:val="-1"/>
                <w14:textOutline w14:w="3831" w14:cap="flat" w14:cmpd="sng">
                  <w14:solidFill>
                    <w14:srgbClr w14:val="000000"/>
                  </w14:solidFill>
                  <w14:prstDash w14:val="solid"/>
                  <w14:miter w14:val="0"/>
                </w14:textOutline>
              </w:rPr>
              <w:t>投标人名称</w:t>
            </w:r>
          </w:p>
        </w:tc>
        <w:tc>
          <w:tcPr>
            <w:tcW w:w="7400" w:type="dxa"/>
            <w:gridSpan w:val="6"/>
            <w:vAlign w:val="top"/>
          </w:tcPr>
          <w:p w14:paraId="10FC03A8">
            <w:pPr>
              <w:pStyle w:val="11"/>
              <w:spacing w:before="144" w:line="221" w:lineRule="auto"/>
              <w:ind w:left="3278"/>
            </w:pPr>
            <w:r>
              <w:rPr>
                <w:spacing w:val="-1"/>
                <w14:textOutline w14:w="3831" w14:cap="flat" w14:cmpd="sng">
                  <w14:solidFill>
                    <w14:srgbClr w14:val="000000"/>
                  </w14:solidFill>
                  <w14:prstDash w14:val="solid"/>
                  <w14:miter w14:val="0"/>
                </w14:textOutline>
              </w:rPr>
              <w:t>评审因素</w:t>
            </w:r>
          </w:p>
        </w:tc>
      </w:tr>
      <w:tr w14:paraId="0C2B97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1" w:hRule="atLeast"/>
        </w:trPr>
        <w:tc>
          <w:tcPr>
            <w:tcW w:w="1675" w:type="dxa"/>
            <w:vMerge w:val="continue"/>
            <w:tcBorders>
              <w:top w:val="nil"/>
            </w:tcBorders>
            <w:vAlign w:val="top"/>
          </w:tcPr>
          <w:p w14:paraId="461BC36B">
            <w:pPr>
              <w:rPr>
                <w:rFonts w:ascii="Arial"/>
                <w:sz w:val="21"/>
              </w:rPr>
            </w:pPr>
          </w:p>
        </w:tc>
        <w:tc>
          <w:tcPr>
            <w:tcW w:w="974" w:type="dxa"/>
            <w:vAlign w:val="top"/>
          </w:tcPr>
          <w:p w14:paraId="1260959C">
            <w:pPr>
              <w:pStyle w:val="11"/>
              <w:spacing w:before="29" w:line="225" w:lineRule="auto"/>
              <w:ind w:left="383" w:right="171" w:hanging="209"/>
            </w:pPr>
            <w:r>
              <w:rPr>
                <w:spacing w:val="-3"/>
                <w14:textOutline w14:w="3831" w14:cap="flat" w14:cmpd="sng">
                  <w14:solidFill>
                    <w14:srgbClr w14:val="000000"/>
                  </w14:solidFill>
                  <w14:prstDash w14:val="solid"/>
                  <w14:miter w14:val="0"/>
                </w14:textOutline>
              </w:rPr>
              <w:t>投标报</w:t>
            </w:r>
            <w:r>
              <w:t xml:space="preserve"> </w:t>
            </w:r>
            <w:r>
              <w:rPr>
                <w14:textOutline w14:w="3831" w14:cap="flat" w14:cmpd="sng">
                  <w14:solidFill>
                    <w14:srgbClr w14:val="000000"/>
                  </w14:solidFill>
                  <w14:prstDash w14:val="solid"/>
                  <w14:miter w14:val="0"/>
                </w14:textOutline>
              </w:rPr>
              <w:t>价</w:t>
            </w:r>
          </w:p>
        </w:tc>
        <w:tc>
          <w:tcPr>
            <w:tcW w:w="1560" w:type="dxa"/>
            <w:vAlign w:val="top"/>
          </w:tcPr>
          <w:p w14:paraId="2166B356">
            <w:pPr>
              <w:pStyle w:val="11"/>
              <w:spacing w:before="29" w:line="221" w:lineRule="auto"/>
              <w:ind w:left="148"/>
            </w:pPr>
            <w:r>
              <w:rPr>
                <w:spacing w:val="-1"/>
                <w14:textOutline w14:w="3831" w14:cap="flat" w14:cmpd="sng">
                  <w14:solidFill>
                    <w14:srgbClr w14:val="000000"/>
                  </w14:solidFill>
                  <w14:prstDash w14:val="solid"/>
                  <w14:miter w14:val="0"/>
                </w14:textOutline>
              </w:rPr>
              <w:t>修正后投标报</w:t>
            </w:r>
          </w:p>
          <w:p w14:paraId="3926949C">
            <w:pPr>
              <w:pStyle w:val="11"/>
              <w:spacing w:before="22" w:line="209" w:lineRule="auto"/>
              <w:ind w:left="255"/>
            </w:pPr>
            <w:r>
              <w:rPr>
                <w:spacing w:val="-3"/>
                <w14:textOutline w14:w="3831" w14:cap="flat" w14:cmpd="sng">
                  <w14:solidFill>
                    <w14:srgbClr w14:val="000000"/>
                  </w14:solidFill>
                  <w14:prstDash w14:val="solid"/>
                  <w14:miter w14:val="0"/>
                </w14:textOutline>
              </w:rPr>
              <w:t>价（如有）</w:t>
            </w:r>
          </w:p>
        </w:tc>
        <w:tc>
          <w:tcPr>
            <w:tcW w:w="1276" w:type="dxa"/>
            <w:vAlign w:val="top"/>
          </w:tcPr>
          <w:p w14:paraId="263AB81D">
            <w:pPr>
              <w:pStyle w:val="11"/>
              <w:spacing w:before="164" w:line="219" w:lineRule="auto"/>
              <w:ind w:left="112"/>
            </w:pPr>
            <w:r>
              <w:rPr>
                <w:spacing w:val="-1"/>
                <w14:textOutline w14:w="3831" w14:cap="flat" w14:cmpd="sng">
                  <w14:solidFill>
                    <w14:srgbClr w14:val="000000"/>
                  </w14:solidFill>
                  <w14:prstDash w14:val="solid"/>
                  <w14:miter w14:val="0"/>
                </w14:textOutline>
              </w:rPr>
              <w:t>有效评标价</w:t>
            </w:r>
          </w:p>
        </w:tc>
        <w:tc>
          <w:tcPr>
            <w:tcW w:w="993" w:type="dxa"/>
            <w:vAlign w:val="top"/>
          </w:tcPr>
          <w:p w14:paraId="7BA08558">
            <w:pPr>
              <w:pStyle w:val="11"/>
              <w:spacing w:before="29" w:line="225" w:lineRule="auto"/>
              <w:ind w:left="185" w:right="178" w:firstLine="1"/>
            </w:pPr>
            <w:r>
              <w:rPr>
                <w:spacing w:val="-3"/>
                <w14:textOutline w14:w="3831" w14:cap="flat" w14:cmpd="sng">
                  <w14:solidFill>
                    <w14:srgbClr w14:val="000000"/>
                  </w14:solidFill>
                  <w14:prstDash w14:val="solid"/>
                  <w14:miter w14:val="0"/>
                </w14:textOutline>
              </w:rPr>
              <w:t>最高投</w:t>
            </w:r>
            <w:r>
              <w:t xml:space="preserve"> </w:t>
            </w:r>
            <w:r>
              <w:rPr>
                <w:spacing w:val="-2"/>
                <w14:textOutline w14:w="3831" w14:cap="flat" w14:cmpd="sng">
                  <w14:solidFill>
                    <w14:srgbClr w14:val="000000"/>
                  </w14:solidFill>
                  <w14:prstDash w14:val="solid"/>
                  <w14:miter w14:val="0"/>
                </w14:textOutline>
              </w:rPr>
              <w:t>标限价</w:t>
            </w:r>
          </w:p>
        </w:tc>
        <w:tc>
          <w:tcPr>
            <w:tcW w:w="1195" w:type="dxa"/>
            <w:vAlign w:val="top"/>
          </w:tcPr>
          <w:p w14:paraId="72F49A68">
            <w:pPr>
              <w:pStyle w:val="11"/>
              <w:spacing w:before="29" w:line="225" w:lineRule="auto"/>
              <w:ind w:left="284" w:right="172" w:hanging="104"/>
            </w:pPr>
            <w:r>
              <w:rPr>
                <w:spacing w:val="-1"/>
                <w14:textOutline w14:w="3831" w14:cap="flat" w14:cmpd="sng">
                  <w14:solidFill>
                    <w14:srgbClr w14:val="000000"/>
                  </w14:solidFill>
                  <w14:prstDash w14:val="solid"/>
                  <w14:miter w14:val="0"/>
                </w14:textOutline>
              </w:rPr>
              <w:t>确定有效</w:t>
            </w:r>
            <w:r>
              <w:t xml:space="preserve"> </w:t>
            </w:r>
            <w:r>
              <w:rPr>
                <w:spacing w:val="-1"/>
                <w14:textOutline w14:w="3831" w14:cap="flat" w14:cmpd="sng">
                  <w14:solidFill>
                    <w14:srgbClr w14:val="000000"/>
                  </w14:solidFill>
                  <w14:prstDash w14:val="solid"/>
                  <w14:miter w14:val="0"/>
                </w14:textOutline>
              </w:rPr>
              <w:t>评标价</w:t>
            </w:r>
          </w:p>
        </w:tc>
        <w:tc>
          <w:tcPr>
            <w:tcW w:w="1402" w:type="dxa"/>
            <w:vAlign w:val="top"/>
          </w:tcPr>
          <w:p w14:paraId="7AF75856">
            <w:pPr>
              <w:pStyle w:val="11"/>
              <w:spacing w:before="29" w:line="225" w:lineRule="auto"/>
              <w:ind w:left="492" w:right="172" w:hanging="315"/>
            </w:pPr>
            <w:r>
              <w:rPr>
                <w:spacing w:val="-1"/>
                <w14:textOutline w14:w="3831" w14:cap="flat" w14:cmpd="sng">
                  <w14:solidFill>
                    <w14:srgbClr w14:val="000000"/>
                  </w14:solidFill>
                  <w14:prstDash w14:val="solid"/>
                  <w14:miter w14:val="0"/>
                </w14:textOutline>
              </w:rPr>
              <w:t>有效评标价</w:t>
            </w:r>
            <w:r>
              <w:t xml:space="preserve"> </w:t>
            </w:r>
            <w:r>
              <w:rPr>
                <w:spacing w:val="-2"/>
                <w14:textOutline w14:w="3831" w14:cap="flat" w14:cmpd="sng">
                  <w14:solidFill>
                    <w14:srgbClr w14:val="000000"/>
                  </w14:solidFill>
                  <w14:prstDash w14:val="solid"/>
                  <w14:miter w14:val="0"/>
                </w14:textOutline>
              </w:rPr>
              <w:t>排序</w:t>
            </w:r>
          </w:p>
        </w:tc>
      </w:tr>
      <w:tr w14:paraId="5F5267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6" w:hRule="atLeast"/>
        </w:trPr>
        <w:tc>
          <w:tcPr>
            <w:tcW w:w="1675" w:type="dxa"/>
            <w:vAlign w:val="top"/>
          </w:tcPr>
          <w:p w14:paraId="0035760F">
            <w:pPr>
              <w:rPr>
                <w:rFonts w:ascii="Arial"/>
                <w:sz w:val="21"/>
              </w:rPr>
            </w:pPr>
          </w:p>
        </w:tc>
        <w:tc>
          <w:tcPr>
            <w:tcW w:w="974" w:type="dxa"/>
            <w:vAlign w:val="top"/>
          </w:tcPr>
          <w:p w14:paraId="23148733">
            <w:pPr>
              <w:rPr>
                <w:rFonts w:ascii="Arial"/>
                <w:sz w:val="21"/>
              </w:rPr>
            </w:pPr>
          </w:p>
        </w:tc>
        <w:tc>
          <w:tcPr>
            <w:tcW w:w="1560" w:type="dxa"/>
            <w:vAlign w:val="top"/>
          </w:tcPr>
          <w:p w14:paraId="48EA33B8">
            <w:pPr>
              <w:rPr>
                <w:rFonts w:ascii="Arial"/>
                <w:sz w:val="21"/>
              </w:rPr>
            </w:pPr>
          </w:p>
        </w:tc>
        <w:tc>
          <w:tcPr>
            <w:tcW w:w="1276" w:type="dxa"/>
            <w:vAlign w:val="top"/>
          </w:tcPr>
          <w:p w14:paraId="04F74644">
            <w:pPr>
              <w:rPr>
                <w:rFonts w:ascii="Arial"/>
                <w:sz w:val="21"/>
              </w:rPr>
            </w:pPr>
          </w:p>
        </w:tc>
        <w:tc>
          <w:tcPr>
            <w:tcW w:w="993" w:type="dxa"/>
            <w:vMerge w:val="restart"/>
            <w:tcBorders>
              <w:bottom w:val="nil"/>
            </w:tcBorders>
            <w:vAlign w:val="top"/>
          </w:tcPr>
          <w:p w14:paraId="07B5CE96">
            <w:pPr>
              <w:rPr>
                <w:rFonts w:ascii="Arial"/>
                <w:sz w:val="21"/>
              </w:rPr>
            </w:pPr>
          </w:p>
        </w:tc>
        <w:tc>
          <w:tcPr>
            <w:tcW w:w="1195" w:type="dxa"/>
            <w:vAlign w:val="top"/>
          </w:tcPr>
          <w:p w14:paraId="0E1CF957">
            <w:pPr>
              <w:rPr>
                <w:rFonts w:ascii="Arial"/>
                <w:sz w:val="21"/>
              </w:rPr>
            </w:pPr>
          </w:p>
        </w:tc>
        <w:tc>
          <w:tcPr>
            <w:tcW w:w="1402" w:type="dxa"/>
            <w:vAlign w:val="top"/>
          </w:tcPr>
          <w:p w14:paraId="0C1EB2A9">
            <w:pPr>
              <w:rPr>
                <w:rFonts w:ascii="Arial"/>
                <w:sz w:val="21"/>
              </w:rPr>
            </w:pPr>
          </w:p>
        </w:tc>
      </w:tr>
      <w:tr w14:paraId="58B09F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5" w:hRule="atLeast"/>
        </w:trPr>
        <w:tc>
          <w:tcPr>
            <w:tcW w:w="1675" w:type="dxa"/>
            <w:vAlign w:val="top"/>
          </w:tcPr>
          <w:p w14:paraId="4CD3D1D3">
            <w:pPr>
              <w:rPr>
                <w:rFonts w:ascii="Arial"/>
                <w:sz w:val="21"/>
              </w:rPr>
            </w:pPr>
          </w:p>
        </w:tc>
        <w:tc>
          <w:tcPr>
            <w:tcW w:w="974" w:type="dxa"/>
            <w:vAlign w:val="top"/>
          </w:tcPr>
          <w:p w14:paraId="26F1053C">
            <w:pPr>
              <w:rPr>
                <w:rFonts w:ascii="Arial"/>
                <w:sz w:val="21"/>
              </w:rPr>
            </w:pPr>
          </w:p>
        </w:tc>
        <w:tc>
          <w:tcPr>
            <w:tcW w:w="1560" w:type="dxa"/>
            <w:vAlign w:val="top"/>
          </w:tcPr>
          <w:p w14:paraId="596622E9">
            <w:pPr>
              <w:rPr>
                <w:rFonts w:ascii="Arial"/>
                <w:sz w:val="21"/>
              </w:rPr>
            </w:pPr>
          </w:p>
        </w:tc>
        <w:tc>
          <w:tcPr>
            <w:tcW w:w="1276" w:type="dxa"/>
            <w:vAlign w:val="top"/>
          </w:tcPr>
          <w:p w14:paraId="20FB5D05">
            <w:pPr>
              <w:rPr>
                <w:rFonts w:ascii="Arial"/>
                <w:sz w:val="21"/>
              </w:rPr>
            </w:pPr>
          </w:p>
        </w:tc>
        <w:tc>
          <w:tcPr>
            <w:tcW w:w="993" w:type="dxa"/>
            <w:vMerge w:val="continue"/>
            <w:tcBorders>
              <w:top w:val="nil"/>
              <w:bottom w:val="nil"/>
            </w:tcBorders>
            <w:vAlign w:val="top"/>
          </w:tcPr>
          <w:p w14:paraId="4493F667">
            <w:pPr>
              <w:rPr>
                <w:rFonts w:ascii="Arial"/>
                <w:sz w:val="21"/>
              </w:rPr>
            </w:pPr>
          </w:p>
        </w:tc>
        <w:tc>
          <w:tcPr>
            <w:tcW w:w="1195" w:type="dxa"/>
            <w:vAlign w:val="top"/>
          </w:tcPr>
          <w:p w14:paraId="6C6DA644">
            <w:pPr>
              <w:rPr>
                <w:rFonts w:ascii="Arial"/>
                <w:sz w:val="21"/>
              </w:rPr>
            </w:pPr>
          </w:p>
        </w:tc>
        <w:tc>
          <w:tcPr>
            <w:tcW w:w="1402" w:type="dxa"/>
            <w:vAlign w:val="top"/>
          </w:tcPr>
          <w:p w14:paraId="2A58B532">
            <w:pPr>
              <w:rPr>
                <w:rFonts w:ascii="Arial"/>
                <w:sz w:val="21"/>
              </w:rPr>
            </w:pPr>
          </w:p>
        </w:tc>
      </w:tr>
      <w:tr w14:paraId="4BFFA5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1675" w:type="dxa"/>
            <w:vAlign w:val="top"/>
          </w:tcPr>
          <w:p w14:paraId="56A5D745">
            <w:pPr>
              <w:rPr>
                <w:rFonts w:ascii="Arial"/>
                <w:sz w:val="21"/>
              </w:rPr>
            </w:pPr>
          </w:p>
        </w:tc>
        <w:tc>
          <w:tcPr>
            <w:tcW w:w="974" w:type="dxa"/>
            <w:vAlign w:val="top"/>
          </w:tcPr>
          <w:p w14:paraId="04711DDB">
            <w:pPr>
              <w:rPr>
                <w:rFonts w:ascii="Arial"/>
                <w:sz w:val="21"/>
              </w:rPr>
            </w:pPr>
          </w:p>
        </w:tc>
        <w:tc>
          <w:tcPr>
            <w:tcW w:w="1560" w:type="dxa"/>
            <w:vAlign w:val="top"/>
          </w:tcPr>
          <w:p w14:paraId="39B6F7ED">
            <w:pPr>
              <w:rPr>
                <w:rFonts w:ascii="Arial"/>
                <w:sz w:val="21"/>
              </w:rPr>
            </w:pPr>
          </w:p>
        </w:tc>
        <w:tc>
          <w:tcPr>
            <w:tcW w:w="1276" w:type="dxa"/>
            <w:vAlign w:val="top"/>
          </w:tcPr>
          <w:p w14:paraId="454126EC">
            <w:pPr>
              <w:rPr>
                <w:rFonts w:ascii="Arial"/>
                <w:sz w:val="21"/>
              </w:rPr>
            </w:pPr>
          </w:p>
        </w:tc>
        <w:tc>
          <w:tcPr>
            <w:tcW w:w="993" w:type="dxa"/>
            <w:vMerge w:val="continue"/>
            <w:tcBorders>
              <w:top w:val="nil"/>
              <w:bottom w:val="nil"/>
            </w:tcBorders>
            <w:vAlign w:val="top"/>
          </w:tcPr>
          <w:p w14:paraId="36502BD9">
            <w:pPr>
              <w:rPr>
                <w:rFonts w:ascii="Arial"/>
                <w:sz w:val="21"/>
              </w:rPr>
            </w:pPr>
          </w:p>
        </w:tc>
        <w:tc>
          <w:tcPr>
            <w:tcW w:w="1195" w:type="dxa"/>
            <w:vAlign w:val="top"/>
          </w:tcPr>
          <w:p w14:paraId="70C28752">
            <w:pPr>
              <w:rPr>
                <w:rFonts w:ascii="Arial"/>
                <w:sz w:val="21"/>
              </w:rPr>
            </w:pPr>
          </w:p>
        </w:tc>
        <w:tc>
          <w:tcPr>
            <w:tcW w:w="1402" w:type="dxa"/>
            <w:vAlign w:val="top"/>
          </w:tcPr>
          <w:p w14:paraId="5E03DDF1">
            <w:pPr>
              <w:rPr>
                <w:rFonts w:ascii="Arial"/>
                <w:sz w:val="21"/>
              </w:rPr>
            </w:pPr>
          </w:p>
        </w:tc>
      </w:tr>
      <w:tr w14:paraId="508789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1675" w:type="dxa"/>
            <w:vAlign w:val="top"/>
          </w:tcPr>
          <w:p w14:paraId="1D090107">
            <w:pPr>
              <w:rPr>
                <w:rFonts w:ascii="Arial"/>
                <w:sz w:val="21"/>
              </w:rPr>
            </w:pPr>
          </w:p>
        </w:tc>
        <w:tc>
          <w:tcPr>
            <w:tcW w:w="974" w:type="dxa"/>
            <w:vAlign w:val="top"/>
          </w:tcPr>
          <w:p w14:paraId="4B23D077">
            <w:pPr>
              <w:rPr>
                <w:rFonts w:ascii="Arial"/>
                <w:sz w:val="21"/>
              </w:rPr>
            </w:pPr>
          </w:p>
        </w:tc>
        <w:tc>
          <w:tcPr>
            <w:tcW w:w="1560" w:type="dxa"/>
            <w:vAlign w:val="top"/>
          </w:tcPr>
          <w:p w14:paraId="012D2D08">
            <w:pPr>
              <w:rPr>
                <w:rFonts w:ascii="Arial"/>
                <w:sz w:val="21"/>
              </w:rPr>
            </w:pPr>
          </w:p>
        </w:tc>
        <w:tc>
          <w:tcPr>
            <w:tcW w:w="1276" w:type="dxa"/>
            <w:vAlign w:val="top"/>
          </w:tcPr>
          <w:p w14:paraId="11B7BB6F">
            <w:pPr>
              <w:rPr>
                <w:rFonts w:ascii="Arial"/>
                <w:sz w:val="21"/>
              </w:rPr>
            </w:pPr>
          </w:p>
        </w:tc>
        <w:tc>
          <w:tcPr>
            <w:tcW w:w="993" w:type="dxa"/>
            <w:vMerge w:val="continue"/>
            <w:tcBorders>
              <w:top w:val="nil"/>
              <w:bottom w:val="nil"/>
            </w:tcBorders>
            <w:vAlign w:val="top"/>
          </w:tcPr>
          <w:p w14:paraId="3867E725">
            <w:pPr>
              <w:rPr>
                <w:rFonts w:ascii="Arial"/>
                <w:sz w:val="21"/>
              </w:rPr>
            </w:pPr>
          </w:p>
        </w:tc>
        <w:tc>
          <w:tcPr>
            <w:tcW w:w="1195" w:type="dxa"/>
            <w:vAlign w:val="top"/>
          </w:tcPr>
          <w:p w14:paraId="0788A899">
            <w:pPr>
              <w:rPr>
                <w:rFonts w:ascii="Arial"/>
                <w:sz w:val="21"/>
              </w:rPr>
            </w:pPr>
          </w:p>
        </w:tc>
        <w:tc>
          <w:tcPr>
            <w:tcW w:w="1402" w:type="dxa"/>
            <w:vAlign w:val="top"/>
          </w:tcPr>
          <w:p w14:paraId="125F7D90">
            <w:pPr>
              <w:rPr>
                <w:rFonts w:ascii="Arial"/>
                <w:sz w:val="21"/>
              </w:rPr>
            </w:pPr>
          </w:p>
        </w:tc>
      </w:tr>
      <w:tr w14:paraId="655156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1675" w:type="dxa"/>
            <w:vAlign w:val="top"/>
          </w:tcPr>
          <w:p w14:paraId="33040E7A">
            <w:pPr>
              <w:rPr>
                <w:rFonts w:ascii="Arial"/>
                <w:sz w:val="21"/>
              </w:rPr>
            </w:pPr>
          </w:p>
        </w:tc>
        <w:tc>
          <w:tcPr>
            <w:tcW w:w="974" w:type="dxa"/>
            <w:vAlign w:val="top"/>
          </w:tcPr>
          <w:p w14:paraId="13236B81">
            <w:pPr>
              <w:rPr>
                <w:rFonts w:ascii="Arial"/>
                <w:sz w:val="21"/>
              </w:rPr>
            </w:pPr>
          </w:p>
        </w:tc>
        <w:tc>
          <w:tcPr>
            <w:tcW w:w="1560" w:type="dxa"/>
            <w:vAlign w:val="top"/>
          </w:tcPr>
          <w:p w14:paraId="50829F65">
            <w:pPr>
              <w:rPr>
                <w:rFonts w:ascii="Arial"/>
                <w:sz w:val="21"/>
              </w:rPr>
            </w:pPr>
          </w:p>
        </w:tc>
        <w:tc>
          <w:tcPr>
            <w:tcW w:w="1276" w:type="dxa"/>
            <w:vAlign w:val="top"/>
          </w:tcPr>
          <w:p w14:paraId="7F0BB268">
            <w:pPr>
              <w:rPr>
                <w:rFonts w:ascii="Arial"/>
                <w:sz w:val="21"/>
              </w:rPr>
            </w:pPr>
          </w:p>
        </w:tc>
        <w:tc>
          <w:tcPr>
            <w:tcW w:w="993" w:type="dxa"/>
            <w:vMerge w:val="continue"/>
            <w:tcBorders>
              <w:top w:val="nil"/>
            </w:tcBorders>
            <w:vAlign w:val="top"/>
          </w:tcPr>
          <w:p w14:paraId="0DDA90A8">
            <w:pPr>
              <w:rPr>
                <w:rFonts w:ascii="Arial"/>
                <w:sz w:val="21"/>
              </w:rPr>
            </w:pPr>
          </w:p>
        </w:tc>
        <w:tc>
          <w:tcPr>
            <w:tcW w:w="1195" w:type="dxa"/>
            <w:vAlign w:val="top"/>
          </w:tcPr>
          <w:p w14:paraId="7C455A72">
            <w:pPr>
              <w:rPr>
                <w:rFonts w:ascii="Arial"/>
                <w:sz w:val="21"/>
              </w:rPr>
            </w:pPr>
          </w:p>
        </w:tc>
        <w:tc>
          <w:tcPr>
            <w:tcW w:w="1402" w:type="dxa"/>
            <w:vAlign w:val="top"/>
          </w:tcPr>
          <w:p w14:paraId="3557E66F">
            <w:pPr>
              <w:rPr>
                <w:rFonts w:ascii="Arial"/>
                <w:sz w:val="21"/>
              </w:rPr>
            </w:pPr>
          </w:p>
        </w:tc>
      </w:tr>
      <w:tr w14:paraId="18D132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87" w:hRule="atLeast"/>
        </w:trPr>
        <w:tc>
          <w:tcPr>
            <w:tcW w:w="9075" w:type="dxa"/>
            <w:gridSpan w:val="7"/>
            <w:vAlign w:val="top"/>
          </w:tcPr>
          <w:p w14:paraId="58C97057">
            <w:pPr>
              <w:pStyle w:val="11"/>
              <w:spacing w:before="33" w:line="220" w:lineRule="auto"/>
              <w:ind w:left="112"/>
            </w:pPr>
            <w:r>
              <w:rPr>
                <w:spacing w:val="-1"/>
              </w:rPr>
              <w:t>评标委员会成员签名：</w:t>
            </w:r>
          </w:p>
        </w:tc>
      </w:tr>
    </w:tbl>
    <w:p w14:paraId="4D1C5A4C">
      <w:pPr>
        <w:spacing w:before="29" w:line="221" w:lineRule="auto"/>
        <w:ind w:left="5273"/>
        <w:rPr>
          <w:rFonts w:ascii="宋体" w:hAnsi="宋体" w:eastAsia="宋体" w:cs="宋体"/>
          <w:sz w:val="21"/>
          <w:szCs w:val="21"/>
        </w:rPr>
      </w:pPr>
      <w:r>
        <w:rPr>
          <w:rFonts w:ascii="宋体" w:hAnsi="宋体" w:eastAsia="宋体" w:cs="宋体"/>
          <w:spacing w:val="-15"/>
          <w:sz w:val="21"/>
          <w:szCs w:val="21"/>
        </w:rPr>
        <w:t>日期：          年        月</w:t>
      </w:r>
      <w:r>
        <w:rPr>
          <w:rFonts w:ascii="宋体" w:hAnsi="宋体" w:eastAsia="宋体" w:cs="宋体"/>
          <w:spacing w:val="8"/>
          <w:sz w:val="21"/>
          <w:szCs w:val="21"/>
        </w:rPr>
        <w:t xml:space="preserve">      </w:t>
      </w:r>
      <w:r>
        <w:rPr>
          <w:rFonts w:ascii="宋体" w:hAnsi="宋体" w:eastAsia="宋体" w:cs="宋体"/>
          <w:spacing w:val="-15"/>
          <w:sz w:val="21"/>
          <w:szCs w:val="21"/>
        </w:rPr>
        <w:t>日</w:t>
      </w:r>
    </w:p>
    <w:p w14:paraId="2E796215">
      <w:pPr>
        <w:spacing w:line="221" w:lineRule="auto"/>
        <w:rPr>
          <w:rFonts w:ascii="宋体" w:hAnsi="宋体" w:eastAsia="宋体" w:cs="宋体"/>
          <w:sz w:val="21"/>
          <w:szCs w:val="21"/>
        </w:rPr>
        <w:sectPr>
          <w:footerReference r:id="rId82" w:type="default"/>
          <w:pgSz w:w="11905" w:h="16839"/>
          <w:pgMar w:top="1431" w:right="1406" w:bottom="996" w:left="1416" w:header="0" w:footer="791" w:gutter="0"/>
          <w:pgNumType w:fmt="decimal"/>
          <w:cols w:space="720" w:num="1"/>
        </w:sectPr>
      </w:pPr>
    </w:p>
    <w:p w14:paraId="2087BA74">
      <w:pPr>
        <w:spacing w:before="123" w:line="220" w:lineRule="auto"/>
        <w:ind w:left="32"/>
        <w:rPr>
          <w:rFonts w:ascii="黑体" w:hAnsi="黑体" w:eastAsia="黑体" w:cs="黑体"/>
          <w:sz w:val="24"/>
          <w:szCs w:val="24"/>
        </w:rPr>
      </w:pPr>
      <w:r>
        <w:rPr>
          <w:rFonts w:ascii="黑体" w:hAnsi="黑体" w:eastAsia="黑体" w:cs="黑体"/>
          <w:spacing w:val="-4"/>
          <w:sz w:val="24"/>
          <w:szCs w:val="24"/>
        </w:rPr>
        <w:t>附表</w:t>
      </w:r>
      <w:r>
        <w:rPr>
          <w:rFonts w:ascii="黑体" w:hAnsi="黑体" w:eastAsia="黑体" w:cs="黑体"/>
          <w:spacing w:val="-47"/>
          <w:sz w:val="24"/>
          <w:szCs w:val="24"/>
        </w:rPr>
        <w:t xml:space="preserve"> </w:t>
      </w:r>
      <w:r>
        <w:rPr>
          <w:rFonts w:ascii="Times New Roman" w:hAnsi="Times New Roman" w:eastAsia="Times New Roman" w:cs="Times New Roman"/>
          <w:spacing w:val="-4"/>
          <w:sz w:val="24"/>
          <w:szCs w:val="24"/>
        </w:rPr>
        <w:t>A-</w:t>
      </w:r>
      <w:r>
        <w:rPr>
          <w:rFonts w:ascii="Times New Roman" w:hAnsi="Times New Roman" w:eastAsia="Times New Roman" w:cs="Times New Roman"/>
          <w:spacing w:val="-30"/>
          <w:sz w:val="24"/>
          <w:szCs w:val="24"/>
        </w:rPr>
        <w:t xml:space="preserve"> </w:t>
      </w:r>
      <w:r>
        <w:rPr>
          <w:rFonts w:ascii="Times New Roman" w:hAnsi="Times New Roman" w:eastAsia="Times New Roman" w:cs="Times New Roman"/>
          <w:spacing w:val="-4"/>
          <w:sz w:val="24"/>
          <w:szCs w:val="24"/>
        </w:rPr>
        <w:t>17</w:t>
      </w:r>
      <w:r>
        <w:rPr>
          <w:rFonts w:ascii="黑体" w:hAnsi="黑体" w:eastAsia="黑体" w:cs="黑体"/>
          <w:spacing w:val="-4"/>
          <w:sz w:val="24"/>
          <w:szCs w:val="24"/>
        </w:rPr>
        <w:t>：推荐中标候选人一览表</w:t>
      </w:r>
    </w:p>
    <w:p w14:paraId="6A8ECF7A">
      <w:pPr>
        <w:pStyle w:val="3"/>
        <w:spacing w:line="316" w:lineRule="auto"/>
      </w:pPr>
    </w:p>
    <w:p w14:paraId="7200CAE8">
      <w:pPr>
        <w:pStyle w:val="3"/>
        <w:spacing w:line="316" w:lineRule="auto"/>
      </w:pPr>
    </w:p>
    <w:p w14:paraId="442BD008">
      <w:pPr>
        <w:spacing w:before="117" w:line="220" w:lineRule="auto"/>
        <w:ind w:left="2378"/>
        <w:rPr>
          <w:rFonts w:ascii="黑体" w:hAnsi="黑体" w:eastAsia="黑体" w:cs="黑体"/>
          <w:sz w:val="36"/>
          <w:szCs w:val="36"/>
        </w:rPr>
      </w:pPr>
      <w:r>
        <w:rPr>
          <w:rFonts w:ascii="黑体" w:hAnsi="黑体" w:eastAsia="黑体" w:cs="黑体"/>
          <w:spacing w:val="-2"/>
          <w:sz w:val="36"/>
          <w:szCs w:val="36"/>
        </w:rPr>
        <w:t>推荐中标候选人一览表</w:t>
      </w:r>
    </w:p>
    <w:p w14:paraId="3C81E204">
      <w:pPr>
        <w:spacing w:before="232" w:line="221" w:lineRule="auto"/>
        <w:ind w:left="19"/>
        <w:rPr>
          <w:rFonts w:ascii="宋体" w:hAnsi="宋体" w:eastAsia="宋体" w:cs="宋体"/>
          <w:sz w:val="21"/>
          <w:szCs w:val="21"/>
        </w:rPr>
      </w:pPr>
      <w:r>
        <w:rPr>
          <w:rFonts w:ascii="宋体" w:hAnsi="宋体" w:eastAsia="宋体" w:cs="宋体"/>
          <w:spacing w:val="-9"/>
          <w:sz w:val="21"/>
          <w:szCs w:val="21"/>
        </w:rPr>
        <w:t>标段名称：</w:t>
      </w:r>
    </w:p>
    <w:p w14:paraId="022B71BD">
      <w:pPr>
        <w:spacing w:before="22" w:line="214" w:lineRule="auto"/>
        <w:ind w:left="19"/>
        <w:rPr>
          <w:rFonts w:ascii="宋体" w:hAnsi="宋体" w:eastAsia="宋体" w:cs="宋体"/>
          <w:sz w:val="21"/>
          <w:szCs w:val="21"/>
        </w:rPr>
      </w:pPr>
      <w:r>
        <w:pict>
          <v:shape id="_x0000_s1027" o:spid="_x0000_s1027" o:spt="202" type="#_x0000_t202" style="position:absolute;left:0pt;margin-left:333.7pt;margin-top:0.1pt;height:14.55pt;width:74.95pt;z-index:251661312;mso-width-relative:page;mso-height-relative:page;" filled="f" stroked="f" coordsize="21600,21600">
            <v:path/>
            <v:fill on="f" focussize="0,0"/>
            <v:stroke on="f"/>
            <v:imagedata o:title=""/>
            <o:lock v:ext="edit" aspectratio="f"/>
            <v:textbox inset="0mm,0mm,0mm,0mm">
              <w:txbxContent>
                <w:p w14:paraId="7600302B">
                  <w:pPr>
                    <w:spacing w:before="19" w:line="220" w:lineRule="auto"/>
                    <w:ind w:left="20"/>
                    <w:rPr>
                      <w:rFonts w:ascii="宋体" w:hAnsi="宋体" w:eastAsia="宋体" w:cs="宋体"/>
                      <w:sz w:val="21"/>
                      <w:szCs w:val="21"/>
                    </w:rPr>
                  </w:pPr>
                  <w:r>
                    <w:rPr>
                      <w:rFonts w:ascii="宋体" w:hAnsi="宋体" w:eastAsia="宋体" w:cs="宋体"/>
                      <w:spacing w:val="-2"/>
                      <w:sz w:val="21"/>
                      <w:szCs w:val="21"/>
                    </w:rPr>
                    <w:t>单位：人民币元</w:t>
                  </w:r>
                </w:p>
              </w:txbxContent>
            </v:textbox>
          </v:shape>
        </w:pict>
      </w:r>
      <w:r>
        <w:rPr>
          <w:rFonts w:ascii="宋体" w:hAnsi="宋体" w:eastAsia="宋体" w:cs="宋体"/>
          <w:spacing w:val="-5"/>
          <w:sz w:val="21"/>
          <w:szCs w:val="21"/>
        </w:rPr>
        <w:t>标段唯一标识码：</w:t>
      </w:r>
    </w:p>
    <w:tbl>
      <w:tblPr>
        <w:tblStyle w:val="10"/>
        <w:tblW w:w="8311"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54"/>
        <w:gridCol w:w="1535"/>
        <w:gridCol w:w="1392"/>
        <w:gridCol w:w="2030"/>
        <w:gridCol w:w="2500"/>
      </w:tblGrid>
      <w:tr w14:paraId="5F5B47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1" w:hRule="atLeast"/>
        </w:trPr>
        <w:tc>
          <w:tcPr>
            <w:tcW w:w="854" w:type="dxa"/>
            <w:vAlign w:val="top"/>
          </w:tcPr>
          <w:p w14:paraId="783CA567">
            <w:pPr>
              <w:pStyle w:val="11"/>
              <w:spacing w:before="230" w:line="223" w:lineRule="auto"/>
              <w:ind w:left="224"/>
            </w:pPr>
            <w:r>
              <w:rPr>
                <w:spacing w:val="-2"/>
                <w14:textOutline w14:w="3831" w14:cap="flat" w14:cmpd="sng">
                  <w14:solidFill>
                    <w14:srgbClr w14:val="000000"/>
                  </w14:solidFill>
                  <w14:prstDash w14:val="solid"/>
                  <w14:miter w14:val="0"/>
                </w14:textOutline>
              </w:rPr>
              <w:t>排名</w:t>
            </w:r>
          </w:p>
        </w:tc>
        <w:tc>
          <w:tcPr>
            <w:tcW w:w="1535" w:type="dxa"/>
            <w:vAlign w:val="top"/>
          </w:tcPr>
          <w:p w14:paraId="52177AF5">
            <w:pPr>
              <w:pStyle w:val="11"/>
              <w:spacing w:before="231" w:line="221" w:lineRule="auto"/>
              <w:ind w:left="246"/>
            </w:pPr>
            <w:r>
              <w:rPr>
                <w:spacing w:val="-1"/>
                <w14:textOutline w14:w="3831" w14:cap="flat" w14:cmpd="sng">
                  <w14:solidFill>
                    <w14:srgbClr w14:val="000000"/>
                  </w14:solidFill>
                  <w14:prstDash w14:val="solid"/>
                  <w14:miter w14:val="0"/>
                </w14:textOutline>
              </w:rPr>
              <w:t>投标人名称</w:t>
            </w:r>
          </w:p>
        </w:tc>
        <w:tc>
          <w:tcPr>
            <w:tcW w:w="1392" w:type="dxa"/>
            <w:vAlign w:val="top"/>
          </w:tcPr>
          <w:p w14:paraId="7EBE3D9C">
            <w:pPr>
              <w:pStyle w:val="11"/>
              <w:spacing w:before="231" w:line="219" w:lineRule="auto"/>
              <w:ind w:left="282"/>
            </w:pPr>
            <w:r>
              <w:rPr>
                <w:spacing w:val="-2"/>
                <w14:textOutline w14:w="3831" w14:cap="flat" w14:cmpd="sng">
                  <w14:solidFill>
                    <w14:srgbClr w14:val="000000"/>
                  </w14:solidFill>
                  <w14:prstDash w14:val="solid"/>
                  <w14:miter w14:val="0"/>
                </w14:textOutline>
              </w:rPr>
              <w:t>投标报价</w:t>
            </w:r>
          </w:p>
        </w:tc>
        <w:tc>
          <w:tcPr>
            <w:tcW w:w="2030" w:type="dxa"/>
            <w:vAlign w:val="top"/>
          </w:tcPr>
          <w:p w14:paraId="6A0EA972">
            <w:pPr>
              <w:pStyle w:val="11"/>
              <w:spacing w:before="96" w:line="221" w:lineRule="auto"/>
              <w:ind w:left="600"/>
            </w:pPr>
            <w:r>
              <w:rPr>
                <w:spacing w:val="-1"/>
                <w14:textOutline w14:w="3831" w14:cap="flat" w14:cmpd="sng">
                  <w14:solidFill>
                    <w14:srgbClr w14:val="000000"/>
                  </w14:solidFill>
                  <w14:prstDash w14:val="solid"/>
                  <w14:miter w14:val="0"/>
                </w14:textOutline>
              </w:rPr>
              <w:t>评审得分</w:t>
            </w:r>
          </w:p>
          <w:p w14:paraId="4411110D">
            <w:pPr>
              <w:pStyle w:val="11"/>
              <w:spacing w:before="22" w:line="219" w:lineRule="auto"/>
              <w:ind w:left="291"/>
            </w:pPr>
            <w:r>
              <w:rPr>
                <w:spacing w:val="-3"/>
                <w14:textOutline w14:w="3831" w14:cap="flat" w14:cmpd="sng">
                  <w14:solidFill>
                    <w14:srgbClr w14:val="000000"/>
                  </w14:solidFill>
                  <w14:prstDash w14:val="solid"/>
                  <w14:miter w14:val="0"/>
                </w14:textOutline>
              </w:rPr>
              <w:t>（有效评标价）</w:t>
            </w:r>
          </w:p>
        </w:tc>
        <w:tc>
          <w:tcPr>
            <w:tcW w:w="2500" w:type="dxa"/>
            <w:vAlign w:val="top"/>
          </w:tcPr>
          <w:p w14:paraId="1BD1776E">
            <w:pPr>
              <w:pStyle w:val="11"/>
              <w:spacing w:before="231" w:line="220" w:lineRule="auto"/>
              <w:ind w:left="521"/>
            </w:pPr>
            <w:r>
              <w:rPr>
                <w14:textOutline w14:w="3831" w14:cap="flat" w14:cmpd="sng">
                  <w14:solidFill>
                    <w14:srgbClr w14:val="000000"/>
                  </w14:solidFill>
                  <w14:prstDash w14:val="solid"/>
                  <w14:miter w14:val="0"/>
                </w14:textOutline>
              </w:rPr>
              <w:t>推荐意见和建议</w:t>
            </w:r>
          </w:p>
        </w:tc>
      </w:tr>
      <w:tr w14:paraId="42C2F6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6" w:hRule="atLeast"/>
        </w:trPr>
        <w:tc>
          <w:tcPr>
            <w:tcW w:w="854" w:type="dxa"/>
            <w:vAlign w:val="top"/>
          </w:tcPr>
          <w:p w14:paraId="38EE6718">
            <w:pPr>
              <w:spacing w:before="268" w:line="189" w:lineRule="auto"/>
              <w:ind w:left="399"/>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1535" w:type="dxa"/>
            <w:vAlign w:val="top"/>
          </w:tcPr>
          <w:p w14:paraId="47FBB4F6">
            <w:pPr>
              <w:rPr>
                <w:rFonts w:ascii="Arial"/>
                <w:sz w:val="21"/>
              </w:rPr>
            </w:pPr>
          </w:p>
        </w:tc>
        <w:tc>
          <w:tcPr>
            <w:tcW w:w="1392" w:type="dxa"/>
            <w:vAlign w:val="top"/>
          </w:tcPr>
          <w:p w14:paraId="04E2BD0C">
            <w:pPr>
              <w:rPr>
                <w:rFonts w:ascii="Arial"/>
                <w:sz w:val="21"/>
              </w:rPr>
            </w:pPr>
          </w:p>
        </w:tc>
        <w:tc>
          <w:tcPr>
            <w:tcW w:w="2030" w:type="dxa"/>
            <w:vAlign w:val="top"/>
          </w:tcPr>
          <w:p w14:paraId="5E624707">
            <w:pPr>
              <w:rPr>
                <w:rFonts w:ascii="Arial"/>
                <w:sz w:val="21"/>
              </w:rPr>
            </w:pPr>
          </w:p>
        </w:tc>
        <w:tc>
          <w:tcPr>
            <w:tcW w:w="2500" w:type="dxa"/>
            <w:vAlign w:val="top"/>
          </w:tcPr>
          <w:p w14:paraId="564CC719">
            <w:pPr>
              <w:rPr>
                <w:rFonts w:ascii="Arial"/>
                <w:sz w:val="21"/>
              </w:rPr>
            </w:pPr>
          </w:p>
        </w:tc>
      </w:tr>
      <w:tr w14:paraId="61B6EF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1" w:hRule="atLeast"/>
        </w:trPr>
        <w:tc>
          <w:tcPr>
            <w:tcW w:w="854" w:type="dxa"/>
            <w:vAlign w:val="top"/>
          </w:tcPr>
          <w:p w14:paraId="5B5E821F">
            <w:pPr>
              <w:spacing w:before="269" w:line="189" w:lineRule="auto"/>
              <w:ind w:left="379"/>
              <w:rPr>
                <w:rFonts w:ascii="Times New Roman" w:hAnsi="Times New Roman" w:eastAsia="Times New Roman" w:cs="Times New Roman"/>
                <w:sz w:val="21"/>
                <w:szCs w:val="21"/>
              </w:rPr>
            </w:pPr>
            <w:r>
              <w:rPr>
                <w:rFonts w:ascii="Times New Roman" w:hAnsi="Times New Roman" w:eastAsia="Times New Roman" w:cs="Times New Roman"/>
                <w:sz w:val="21"/>
                <w:szCs w:val="21"/>
              </w:rPr>
              <w:t>2</w:t>
            </w:r>
          </w:p>
        </w:tc>
        <w:tc>
          <w:tcPr>
            <w:tcW w:w="1535" w:type="dxa"/>
            <w:vAlign w:val="top"/>
          </w:tcPr>
          <w:p w14:paraId="226C7570">
            <w:pPr>
              <w:rPr>
                <w:rFonts w:ascii="Arial"/>
                <w:sz w:val="21"/>
              </w:rPr>
            </w:pPr>
          </w:p>
        </w:tc>
        <w:tc>
          <w:tcPr>
            <w:tcW w:w="1392" w:type="dxa"/>
            <w:vAlign w:val="top"/>
          </w:tcPr>
          <w:p w14:paraId="38FD12C7">
            <w:pPr>
              <w:rPr>
                <w:rFonts w:ascii="Arial"/>
                <w:sz w:val="21"/>
              </w:rPr>
            </w:pPr>
          </w:p>
        </w:tc>
        <w:tc>
          <w:tcPr>
            <w:tcW w:w="2030" w:type="dxa"/>
            <w:vAlign w:val="top"/>
          </w:tcPr>
          <w:p w14:paraId="00A9B9AC">
            <w:pPr>
              <w:rPr>
                <w:rFonts w:ascii="Arial"/>
                <w:sz w:val="21"/>
              </w:rPr>
            </w:pPr>
          </w:p>
        </w:tc>
        <w:tc>
          <w:tcPr>
            <w:tcW w:w="2500" w:type="dxa"/>
            <w:vAlign w:val="top"/>
          </w:tcPr>
          <w:p w14:paraId="683F64A2">
            <w:pPr>
              <w:rPr>
                <w:rFonts w:ascii="Arial"/>
                <w:sz w:val="21"/>
              </w:rPr>
            </w:pPr>
          </w:p>
        </w:tc>
      </w:tr>
      <w:tr w14:paraId="5E3E78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7" w:hRule="atLeast"/>
        </w:trPr>
        <w:tc>
          <w:tcPr>
            <w:tcW w:w="854" w:type="dxa"/>
            <w:vAlign w:val="top"/>
          </w:tcPr>
          <w:p w14:paraId="31F5B04A">
            <w:pPr>
              <w:spacing w:before="270" w:line="189" w:lineRule="auto"/>
              <w:ind w:left="383"/>
              <w:rPr>
                <w:rFonts w:ascii="Times New Roman" w:hAnsi="Times New Roman" w:eastAsia="Times New Roman" w:cs="Times New Roman"/>
                <w:sz w:val="21"/>
                <w:szCs w:val="21"/>
              </w:rPr>
            </w:pPr>
            <w:r>
              <w:rPr>
                <w:rFonts w:ascii="Times New Roman" w:hAnsi="Times New Roman" w:eastAsia="Times New Roman" w:cs="Times New Roman"/>
                <w:sz w:val="21"/>
                <w:szCs w:val="21"/>
              </w:rPr>
              <w:t>3</w:t>
            </w:r>
          </w:p>
        </w:tc>
        <w:tc>
          <w:tcPr>
            <w:tcW w:w="1535" w:type="dxa"/>
            <w:vAlign w:val="top"/>
          </w:tcPr>
          <w:p w14:paraId="23BC58BB">
            <w:pPr>
              <w:rPr>
                <w:rFonts w:ascii="Arial"/>
                <w:sz w:val="21"/>
              </w:rPr>
            </w:pPr>
          </w:p>
        </w:tc>
        <w:tc>
          <w:tcPr>
            <w:tcW w:w="1392" w:type="dxa"/>
            <w:vAlign w:val="top"/>
          </w:tcPr>
          <w:p w14:paraId="1BEE4765">
            <w:pPr>
              <w:rPr>
                <w:rFonts w:ascii="Arial"/>
                <w:sz w:val="21"/>
              </w:rPr>
            </w:pPr>
          </w:p>
        </w:tc>
        <w:tc>
          <w:tcPr>
            <w:tcW w:w="2030" w:type="dxa"/>
            <w:vAlign w:val="top"/>
          </w:tcPr>
          <w:p w14:paraId="1FDD354E">
            <w:pPr>
              <w:rPr>
                <w:rFonts w:ascii="Arial"/>
                <w:sz w:val="21"/>
              </w:rPr>
            </w:pPr>
          </w:p>
        </w:tc>
        <w:tc>
          <w:tcPr>
            <w:tcW w:w="2500" w:type="dxa"/>
            <w:vAlign w:val="top"/>
          </w:tcPr>
          <w:p w14:paraId="52808F61">
            <w:pPr>
              <w:rPr>
                <w:rFonts w:ascii="Arial"/>
                <w:sz w:val="21"/>
              </w:rPr>
            </w:pPr>
          </w:p>
        </w:tc>
      </w:tr>
      <w:tr w14:paraId="432468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6" w:hRule="atLeast"/>
        </w:trPr>
        <w:tc>
          <w:tcPr>
            <w:tcW w:w="854" w:type="dxa"/>
            <w:vAlign w:val="top"/>
          </w:tcPr>
          <w:p w14:paraId="636C0CAF">
            <w:pPr>
              <w:spacing w:before="269" w:line="189" w:lineRule="auto"/>
              <w:ind w:left="378"/>
              <w:rPr>
                <w:rFonts w:ascii="Times New Roman" w:hAnsi="Times New Roman" w:eastAsia="Times New Roman" w:cs="Times New Roman"/>
                <w:sz w:val="21"/>
                <w:szCs w:val="21"/>
              </w:rPr>
            </w:pPr>
            <w:r>
              <w:rPr>
                <w:rFonts w:ascii="Times New Roman" w:hAnsi="Times New Roman" w:eastAsia="Times New Roman" w:cs="Times New Roman"/>
                <w:sz w:val="21"/>
                <w:szCs w:val="21"/>
              </w:rPr>
              <w:t>4</w:t>
            </w:r>
          </w:p>
        </w:tc>
        <w:tc>
          <w:tcPr>
            <w:tcW w:w="1535" w:type="dxa"/>
            <w:vAlign w:val="top"/>
          </w:tcPr>
          <w:p w14:paraId="684F078D">
            <w:pPr>
              <w:rPr>
                <w:rFonts w:ascii="Arial"/>
                <w:sz w:val="21"/>
              </w:rPr>
            </w:pPr>
          </w:p>
        </w:tc>
        <w:tc>
          <w:tcPr>
            <w:tcW w:w="1392" w:type="dxa"/>
            <w:vAlign w:val="top"/>
          </w:tcPr>
          <w:p w14:paraId="1D6A8B80">
            <w:pPr>
              <w:rPr>
                <w:rFonts w:ascii="Arial"/>
                <w:sz w:val="21"/>
              </w:rPr>
            </w:pPr>
          </w:p>
        </w:tc>
        <w:tc>
          <w:tcPr>
            <w:tcW w:w="2030" w:type="dxa"/>
            <w:vAlign w:val="top"/>
          </w:tcPr>
          <w:p w14:paraId="0ED10A25">
            <w:pPr>
              <w:rPr>
                <w:rFonts w:ascii="Arial"/>
                <w:sz w:val="21"/>
              </w:rPr>
            </w:pPr>
          </w:p>
        </w:tc>
        <w:tc>
          <w:tcPr>
            <w:tcW w:w="2500" w:type="dxa"/>
            <w:vAlign w:val="top"/>
          </w:tcPr>
          <w:p w14:paraId="02F71BF0">
            <w:pPr>
              <w:rPr>
                <w:rFonts w:ascii="Arial"/>
                <w:sz w:val="21"/>
              </w:rPr>
            </w:pPr>
          </w:p>
        </w:tc>
      </w:tr>
      <w:tr w14:paraId="6ACA33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6" w:hRule="atLeast"/>
        </w:trPr>
        <w:tc>
          <w:tcPr>
            <w:tcW w:w="854" w:type="dxa"/>
            <w:vAlign w:val="top"/>
          </w:tcPr>
          <w:p w14:paraId="0057E3D9">
            <w:pPr>
              <w:spacing w:before="273" w:line="186" w:lineRule="auto"/>
              <w:ind w:left="384"/>
              <w:rPr>
                <w:rFonts w:ascii="Times New Roman" w:hAnsi="Times New Roman" w:eastAsia="Times New Roman" w:cs="Times New Roman"/>
                <w:sz w:val="21"/>
                <w:szCs w:val="21"/>
              </w:rPr>
            </w:pPr>
            <w:r>
              <w:rPr>
                <w:rFonts w:ascii="Times New Roman" w:hAnsi="Times New Roman" w:eastAsia="Times New Roman" w:cs="Times New Roman"/>
                <w:sz w:val="21"/>
                <w:szCs w:val="21"/>
              </w:rPr>
              <w:t>5</w:t>
            </w:r>
          </w:p>
        </w:tc>
        <w:tc>
          <w:tcPr>
            <w:tcW w:w="1535" w:type="dxa"/>
            <w:vAlign w:val="top"/>
          </w:tcPr>
          <w:p w14:paraId="7FC2AA85">
            <w:pPr>
              <w:rPr>
                <w:rFonts w:ascii="Arial"/>
                <w:sz w:val="21"/>
              </w:rPr>
            </w:pPr>
          </w:p>
        </w:tc>
        <w:tc>
          <w:tcPr>
            <w:tcW w:w="1392" w:type="dxa"/>
            <w:vAlign w:val="top"/>
          </w:tcPr>
          <w:p w14:paraId="58A4C570">
            <w:pPr>
              <w:rPr>
                <w:rFonts w:ascii="Arial"/>
                <w:sz w:val="21"/>
              </w:rPr>
            </w:pPr>
          </w:p>
        </w:tc>
        <w:tc>
          <w:tcPr>
            <w:tcW w:w="2030" w:type="dxa"/>
            <w:vAlign w:val="top"/>
          </w:tcPr>
          <w:p w14:paraId="764850E5">
            <w:pPr>
              <w:rPr>
                <w:rFonts w:ascii="Arial"/>
                <w:sz w:val="21"/>
              </w:rPr>
            </w:pPr>
          </w:p>
        </w:tc>
        <w:tc>
          <w:tcPr>
            <w:tcW w:w="2500" w:type="dxa"/>
            <w:vAlign w:val="top"/>
          </w:tcPr>
          <w:p w14:paraId="3A069E9B">
            <w:pPr>
              <w:rPr>
                <w:rFonts w:ascii="Arial"/>
                <w:sz w:val="21"/>
              </w:rPr>
            </w:pPr>
          </w:p>
        </w:tc>
      </w:tr>
      <w:tr w14:paraId="005CDD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1" w:hRule="atLeast"/>
        </w:trPr>
        <w:tc>
          <w:tcPr>
            <w:tcW w:w="854" w:type="dxa"/>
            <w:vAlign w:val="top"/>
          </w:tcPr>
          <w:p w14:paraId="66C0271C">
            <w:pPr>
              <w:pStyle w:val="11"/>
              <w:spacing w:before="234" w:line="332" w:lineRule="exact"/>
              <w:ind w:left="343"/>
            </w:pPr>
            <w:r>
              <w:rPr>
                <w:position w:val="2"/>
              </w:rPr>
              <w:t>…</w:t>
            </w:r>
          </w:p>
        </w:tc>
        <w:tc>
          <w:tcPr>
            <w:tcW w:w="1535" w:type="dxa"/>
            <w:vAlign w:val="top"/>
          </w:tcPr>
          <w:p w14:paraId="51977414">
            <w:pPr>
              <w:rPr>
                <w:rFonts w:ascii="Arial"/>
                <w:sz w:val="21"/>
              </w:rPr>
            </w:pPr>
          </w:p>
        </w:tc>
        <w:tc>
          <w:tcPr>
            <w:tcW w:w="1392" w:type="dxa"/>
            <w:vAlign w:val="top"/>
          </w:tcPr>
          <w:p w14:paraId="05278791">
            <w:pPr>
              <w:rPr>
                <w:rFonts w:ascii="Arial"/>
                <w:sz w:val="21"/>
              </w:rPr>
            </w:pPr>
          </w:p>
        </w:tc>
        <w:tc>
          <w:tcPr>
            <w:tcW w:w="2030" w:type="dxa"/>
            <w:vAlign w:val="top"/>
          </w:tcPr>
          <w:p w14:paraId="33CD26F2">
            <w:pPr>
              <w:rPr>
                <w:rFonts w:ascii="Arial"/>
                <w:sz w:val="21"/>
              </w:rPr>
            </w:pPr>
          </w:p>
        </w:tc>
        <w:tc>
          <w:tcPr>
            <w:tcW w:w="2500" w:type="dxa"/>
            <w:vAlign w:val="top"/>
          </w:tcPr>
          <w:p w14:paraId="24105AFB">
            <w:pPr>
              <w:rPr>
                <w:rFonts w:ascii="Arial"/>
                <w:sz w:val="21"/>
              </w:rPr>
            </w:pPr>
          </w:p>
        </w:tc>
      </w:tr>
      <w:tr w14:paraId="6C4327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85" w:hRule="atLeast"/>
        </w:trPr>
        <w:tc>
          <w:tcPr>
            <w:tcW w:w="8311" w:type="dxa"/>
            <w:gridSpan w:val="5"/>
            <w:vAlign w:val="top"/>
          </w:tcPr>
          <w:p w14:paraId="7C451EF7">
            <w:pPr>
              <w:pStyle w:val="11"/>
              <w:spacing w:before="196" w:line="220" w:lineRule="auto"/>
              <w:ind w:left="118"/>
            </w:pPr>
            <w:r>
              <w:rPr>
                <w:spacing w:val="-3"/>
              </w:rPr>
              <w:t>评标委员会全体成员签名：</w:t>
            </w:r>
          </w:p>
        </w:tc>
      </w:tr>
    </w:tbl>
    <w:p w14:paraId="69684DC0">
      <w:pPr>
        <w:spacing w:before="270" w:line="221" w:lineRule="auto"/>
        <w:ind w:left="6095"/>
        <w:rPr>
          <w:rFonts w:ascii="宋体" w:hAnsi="宋体" w:eastAsia="宋体" w:cs="宋体"/>
          <w:sz w:val="21"/>
          <w:szCs w:val="21"/>
        </w:rPr>
      </w:pPr>
      <w:r>
        <w:rPr>
          <w:rFonts w:ascii="宋体" w:hAnsi="宋体" w:eastAsia="宋体" w:cs="宋体"/>
          <w:spacing w:val="-26"/>
          <w:sz w:val="21"/>
          <w:szCs w:val="21"/>
        </w:rPr>
        <w:t>日期：</w:t>
      </w:r>
      <w:r>
        <w:rPr>
          <w:rFonts w:ascii="宋体" w:hAnsi="宋体" w:eastAsia="宋体" w:cs="宋体"/>
          <w:spacing w:val="33"/>
          <w:sz w:val="21"/>
          <w:szCs w:val="21"/>
        </w:rPr>
        <w:t xml:space="preserve">   </w:t>
      </w:r>
      <w:r>
        <w:rPr>
          <w:rFonts w:ascii="宋体" w:hAnsi="宋体" w:eastAsia="宋体" w:cs="宋体"/>
          <w:spacing w:val="-26"/>
          <w:sz w:val="21"/>
          <w:szCs w:val="21"/>
        </w:rPr>
        <w:t>年</w:t>
      </w:r>
      <w:r>
        <w:rPr>
          <w:rFonts w:ascii="宋体" w:hAnsi="宋体" w:eastAsia="宋体" w:cs="宋体"/>
          <w:spacing w:val="68"/>
          <w:sz w:val="21"/>
          <w:szCs w:val="21"/>
        </w:rPr>
        <w:t xml:space="preserve"> </w:t>
      </w:r>
      <w:r>
        <w:rPr>
          <w:rFonts w:ascii="宋体" w:hAnsi="宋体" w:eastAsia="宋体" w:cs="宋体"/>
          <w:spacing w:val="-26"/>
          <w:sz w:val="21"/>
          <w:szCs w:val="21"/>
        </w:rPr>
        <w:t>月</w:t>
      </w:r>
      <w:r>
        <w:rPr>
          <w:rFonts w:ascii="宋体" w:hAnsi="宋体" w:eastAsia="宋体" w:cs="宋体"/>
          <w:spacing w:val="47"/>
          <w:sz w:val="21"/>
          <w:szCs w:val="21"/>
        </w:rPr>
        <w:t xml:space="preserve">  </w:t>
      </w:r>
      <w:r>
        <w:rPr>
          <w:rFonts w:ascii="宋体" w:hAnsi="宋体" w:eastAsia="宋体" w:cs="宋体"/>
          <w:spacing w:val="-26"/>
          <w:sz w:val="21"/>
          <w:szCs w:val="21"/>
        </w:rPr>
        <w:t>日</w:t>
      </w:r>
    </w:p>
    <w:p w14:paraId="40121EF5">
      <w:pPr>
        <w:spacing w:line="221" w:lineRule="auto"/>
        <w:rPr>
          <w:rFonts w:ascii="宋体" w:hAnsi="宋体" w:eastAsia="宋体" w:cs="宋体"/>
          <w:sz w:val="21"/>
          <w:szCs w:val="21"/>
        </w:rPr>
        <w:sectPr>
          <w:footerReference r:id="rId83" w:type="default"/>
          <w:pgSz w:w="11905" w:h="16839"/>
          <w:pgMar w:top="1431" w:right="1785" w:bottom="996" w:left="1785" w:header="0" w:footer="791" w:gutter="0"/>
          <w:pgNumType w:fmt="decimal"/>
          <w:cols w:space="720" w:num="1"/>
        </w:sectPr>
      </w:pPr>
    </w:p>
    <w:p w14:paraId="40177778">
      <w:pPr>
        <w:spacing w:before="124" w:line="219" w:lineRule="auto"/>
        <w:ind w:left="32"/>
        <w:rPr>
          <w:rFonts w:ascii="黑体" w:hAnsi="黑体" w:eastAsia="黑体" w:cs="黑体"/>
          <w:sz w:val="24"/>
          <w:szCs w:val="24"/>
        </w:rPr>
      </w:pPr>
      <w:r>
        <w:rPr>
          <w:rFonts w:ascii="黑体" w:hAnsi="黑体" w:eastAsia="黑体" w:cs="黑体"/>
          <w:spacing w:val="-5"/>
          <w:sz w:val="24"/>
          <w:szCs w:val="24"/>
        </w:rPr>
        <w:t>附表</w:t>
      </w:r>
      <w:r>
        <w:rPr>
          <w:rFonts w:ascii="黑体" w:hAnsi="黑体" w:eastAsia="黑体" w:cs="黑体"/>
          <w:spacing w:val="-49"/>
          <w:sz w:val="24"/>
          <w:szCs w:val="24"/>
        </w:rPr>
        <w:t xml:space="preserve"> </w:t>
      </w:r>
      <w:r>
        <w:rPr>
          <w:rFonts w:ascii="Times New Roman" w:hAnsi="Times New Roman" w:eastAsia="Times New Roman" w:cs="Times New Roman"/>
          <w:spacing w:val="-5"/>
          <w:sz w:val="24"/>
          <w:szCs w:val="24"/>
        </w:rPr>
        <w:t>C-</w:t>
      </w:r>
      <w:r>
        <w:rPr>
          <w:rFonts w:ascii="Times New Roman" w:hAnsi="Times New Roman" w:eastAsia="Times New Roman" w:cs="Times New Roman"/>
          <w:spacing w:val="-30"/>
          <w:sz w:val="24"/>
          <w:szCs w:val="24"/>
        </w:rPr>
        <w:t xml:space="preserve"> </w:t>
      </w:r>
      <w:r>
        <w:rPr>
          <w:rFonts w:ascii="Times New Roman" w:hAnsi="Times New Roman" w:eastAsia="Times New Roman" w:cs="Times New Roman"/>
          <w:spacing w:val="-5"/>
          <w:sz w:val="24"/>
          <w:szCs w:val="24"/>
        </w:rPr>
        <w:t>1</w:t>
      </w:r>
      <w:r>
        <w:rPr>
          <w:rFonts w:ascii="黑体" w:hAnsi="黑体" w:eastAsia="黑体" w:cs="黑体"/>
          <w:spacing w:val="-5"/>
          <w:sz w:val="24"/>
          <w:szCs w:val="24"/>
        </w:rPr>
        <w:t>：成本评审结论记录表</w:t>
      </w:r>
    </w:p>
    <w:p w14:paraId="7FF612AB">
      <w:pPr>
        <w:spacing w:before="283" w:line="220" w:lineRule="auto"/>
        <w:ind w:left="2738"/>
        <w:rPr>
          <w:rFonts w:ascii="黑体" w:hAnsi="黑体" w:eastAsia="黑体" w:cs="黑体"/>
          <w:sz w:val="32"/>
          <w:szCs w:val="32"/>
        </w:rPr>
      </w:pPr>
      <w:r>
        <w:rPr>
          <w:rFonts w:ascii="黑体" w:hAnsi="黑体" w:eastAsia="黑体" w:cs="黑体"/>
          <w:spacing w:val="-1"/>
          <w:sz w:val="32"/>
          <w:szCs w:val="32"/>
        </w:rPr>
        <w:t>成本评审结论记录表</w:t>
      </w:r>
    </w:p>
    <w:p w14:paraId="407CD227">
      <w:pPr>
        <w:spacing w:before="262" w:line="214" w:lineRule="auto"/>
        <w:ind w:left="20"/>
        <w:rPr>
          <w:rFonts w:ascii="宋体" w:hAnsi="宋体" w:eastAsia="宋体" w:cs="宋体"/>
          <w:sz w:val="21"/>
          <w:szCs w:val="21"/>
        </w:rPr>
      </w:pPr>
      <w:r>
        <w:rPr>
          <w:rFonts w:ascii="宋体" w:hAnsi="宋体" w:eastAsia="宋体" w:cs="宋体"/>
          <w:spacing w:val="-1"/>
          <w:sz w:val="21"/>
          <w:szCs w:val="21"/>
        </w:rPr>
        <w:t>投标人名称：</w:t>
      </w:r>
    </w:p>
    <w:tbl>
      <w:tblPr>
        <w:tblStyle w:val="10"/>
        <w:tblW w:w="8311"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51"/>
        <w:gridCol w:w="7160"/>
      </w:tblGrid>
      <w:tr w14:paraId="11DD89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97" w:hRule="atLeast"/>
        </w:trPr>
        <w:tc>
          <w:tcPr>
            <w:tcW w:w="8311" w:type="dxa"/>
            <w:gridSpan w:val="2"/>
            <w:vAlign w:val="top"/>
          </w:tcPr>
          <w:p w14:paraId="25524D94">
            <w:pPr>
              <w:pStyle w:val="11"/>
              <w:spacing w:before="101" w:line="221" w:lineRule="auto"/>
              <w:ind w:left="130"/>
            </w:pPr>
            <w:r>
              <w:rPr>
                <w:spacing w:val="-3"/>
              </w:rPr>
              <w:t>需投标人澄清和说明的主要事项概要：</w:t>
            </w:r>
          </w:p>
        </w:tc>
      </w:tr>
      <w:tr w14:paraId="0ACAE2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97" w:hRule="atLeast"/>
        </w:trPr>
        <w:tc>
          <w:tcPr>
            <w:tcW w:w="8311" w:type="dxa"/>
            <w:gridSpan w:val="2"/>
            <w:vAlign w:val="top"/>
          </w:tcPr>
          <w:p w14:paraId="157F61C9">
            <w:pPr>
              <w:pStyle w:val="11"/>
              <w:spacing w:before="102" w:line="220" w:lineRule="auto"/>
              <w:ind w:left="121"/>
            </w:pPr>
            <w:r>
              <w:rPr>
                <w:spacing w:val="-1"/>
              </w:rPr>
              <w:t>投标人澄清、说明、补正和提供证明材料的情况说明：</w:t>
            </w:r>
          </w:p>
        </w:tc>
      </w:tr>
      <w:tr w14:paraId="4176F4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8" w:hRule="atLeast"/>
        </w:trPr>
        <w:tc>
          <w:tcPr>
            <w:tcW w:w="1151" w:type="dxa"/>
            <w:vAlign w:val="top"/>
          </w:tcPr>
          <w:p w14:paraId="70E08BE9">
            <w:pPr>
              <w:pStyle w:val="11"/>
              <w:spacing w:before="276" w:line="221" w:lineRule="auto"/>
              <w:ind w:left="161"/>
            </w:pPr>
            <w:r>
              <w:rPr>
                <w:spacing w:val="-1"/>
              </w:rPr>
              <w:t>评审结论</w:t>
            </w:r>
          </w:p>
        </w:tc>
        <w:tc>
          <w:tcPr>
            <w:tcW w:w="7160" w:type="dxa"/>
            <w:vAlign w:val="top"/>
          </w:tcPr>
          <w:p w14:paraId="48C55AA5">
            <w:pPr>
              <w:pStyle w:val="11"/>
              <w:spacing w:before="276" w:line="220" w:lineRule="auto"/>
              <w:ind w:left="453"/>
            </w:pPr>
            <w:r>
              <w:rPr>
                <w:spacing w:val="-5"/>
              </w:rPr>
              <w:t>□低于成本</w:t>
            </w:r>
            <w:r>
              <w:rPr>
                <w:spacing w:val="6"/>
              </w:rPr>
              <w:t xml:space="preserve">     </w:t>
            </w:r>
            <w:r>
              <w:rPr>
                <w:spacing w:val="-5"/>
              </w:rPr>
              <w:t>□不低于成本</w:t>
            </w:r>
          </w:p>
        </w:tc>
      </w:tr>
      <w:tr w14:paraId="1EF58C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3" w:hRule="atLeast"/>
        </w:trPr>
        <w:tc>
          <w:tcPr>
            <w:tcW w:w="1151" w:type="dxa"/>
            <w:textDirection w:val="tbRlV"/>
            <w:vAlign w:val="top"/>
          </w:tcPr>
          <w:p w14:paraId="3398DFD8">
            <w:pPr>
              <w:spacing w:line="381" w:lineRule="auto"/>
              <w:rPr>
                <w:rFonts w:ascii="Arial"/>
                <w:sz w:val="21"/>
              </w:rPr>
            </w:pPr>
          </w:p>
          <w:p w14:paraId="72194947">
            <w:pPr>
              <w:pStyle w:val="11"/>
              <w:spacing w:before="70" w:line="210" w:lineRule="auto"/>
              <w:ind w:left="1197"/>
            </w:pPr>
            <w:r>
              <w:rPr>
                <w:spacing w:val="1"/>
              </w:rPr>
              <w:t>评</w:t>
            </w:r>
            <w:r>
              <w:rPr>
                <w:spacing w:val="-43"/>
              </w:rPr>
              <w:t xml:space="preserve"> </w:t>
            </w:r>
            <w:r>
              <w:rPr>
                <w:spacing w:val="1"/>
              </w:rPr>
              <w:t>审</w:t>
            </w:r>
            <w:r>
              <w:rPr>
                <w:spacing w:val="-47"/>
              </w:rPr>
              <w:t xml:space="preserve"> </w:t>
            </w:r>
            <w:r>
              <w:rPr>
                <w:spacing w:val="1"/>
              </w:rPr>
              <w:t>意</w:t>
            </w:r>
            <w:r>
              <w:rPr>
                <w:spacing w:val="-43"/>
              </w:rPr>
              <w:t xml:space="preserve"> </w:t>
            </w:r>
            <w:r>
              <w:rPr>
                <w:spacing w:val="1"/>
              </w:rPr>
              <w:t>见</w:t>
            </w:r>
            <w:r>
              <w:rPr>
                <w:spacing w:val="-43"/>
              </w:rPr>
              <w:t xml:space="preserve"> </w:t>
            </w:r>
            <w:r>
              <w:rPr>
                <w:spacing w:val="1"/>
              </w:rPr>
              <w:t>概</w:t>
            </w:r>
            <w:r>
              <w:rPr>
                <w:spacing w:val="-42"/>
              </w:rPr>
              <w:t xml:space="preserve"> </w:t>
            </w:r>
            <w:r>
              <w:rPr>
                <w:spacing w:val="1"/>
              </w:rPr>
              <w:t>要</w:t>
            </w:r>
          </w:p>
        </w:tc>
        <w:tc>
          <w:tcPr>
            <w:tcW w:w="7160" w:type="dxa"/>
            <w:vAlign w:val="top"/>
          </w:tcPr>
          <w:p w14:paraId="6A3A191B">
            <w:pPr>
              <w:rPr>
                <w:rFonts w:ascii="Arial"/>
                <w:sz w:val="21"/>
              </w:rPr>
            </w:pPr>
          </w:p>
        </w:tc>
      </w:tr>
      <w:tr w14:paraId="508F9D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0" w:hRule="atLeast"/>
        </w:trPr>
        <w:tc>
          <w:tcPr>
            <w:tcW w:w="1151" w:type="dxa"/>
            <w:textDirection w:val="tbRlV"/>
            <w:vAlign w:val="top"/>
          </w:tcPr>
          <w:p w14:paraId="3C7212EE">
            <w:pPr>
              <w:spacing w:line="381" w:lineRule="auto"/>
              <w:rPr>
                <w:rFonts w:ascii="Arial"/>
                <w:sz w:val="21"/>
              </w:rPr>
            </w:pPr>
          </w:p>
          <w:p w14:paraId="5A9AF521">
            <w:pPr>
              <w:pStyle w:val="11"/>
              <w:spacing w:before="71" w:line="209" w:lineRule="auto"/>
              <w:ind w:left="253"/>
            </w:pPr>
            <w:r>
              <w:rPr>
                <w:spacing w:val="1"/>
              </w:rPr>
              <w:t>评</w:t>
            </w:r>
            <w:r>
              <w:rPr>
                <w:spacing w:val="-42"/>
              </w:rPr>
              <w:t xml:space="preserve"> </w:t>
            </w:r>
            <w:r>
              <w:rPr>
                <w:spacing w:val="1"/>
              </w:rPr>
              <w:t>标</w:t>
            </w:r>
            <w:r>
              <w:rPr>
                <w:spacing w:val="-42"/>
              </w:rPr>
              <w:t xml:space="preserve"> </w:t>
            </w:r>
            <w:r>
              <w:rPr>
                <w:spacing w:val="1"/>
              </w:rPr>
              <w:t>委</w:t>
            </w:r>
            <w:r>
              <w:rPr>
                <w:spacing w:val="-47"/>
              </w:rPr>
              <w:t xml:space="preserve"> </w:t>
            </w:r>
            <w:r>
              <w:rPr>
                <w:spacing w:val="1"/>
              </w:rPr>
              <w:t>员</w:t>
            </w:r>
            <w:r>
              <w:rPr>
                <w:spacing w:val="-43"/>
              </w:rPr>
              <w:t xml:space="preserve"> </w:t>
            </w:r>
            <w:r>
              <w:rPr>
                <w:spacing w:val="1"/>
              </w:rPr>
              <w:t>会</w:t>
            </w:r>
            <w:r>
              <w:rPr>
                <w:spacing w:val="-43"/>
              </w:rPr>
              <w:t xml:space="preserve"> </w:t>
            </w:r>
            <w:r>
              <w:rPr>
                <w:spacing w:val="1"/>
              </w:rPr>
              <w:t>全</w:t>
            </w:r>
            <w:r>
              <w:rPr>
                <w:spacing w:val="-42"/>
              </w:rPr>
              <w:t xml:space="preserve"> </w:t>
            </w:r>
            <w:r>
              <w:rPr>
                <w:spacing w:val="1"/>
              </w:rPr>
              <w:t>体</w:t>
            </w:r>
            <w:r>
              <w:rPr>
                <w:spacing w:val="-48"/>
              </w:rPr>
              <w:t xml:space="preserve"> </w:t>
            </w:r>
            <w:r>
              <w:rPr>
                <w:spacing w:val="1"/>
              </w:rPr>
              <w:t>成</w:t>
            </w:r>
            <w:r>
              <w:rPr>
                <w:spacing w:val="-42"/>
              </w:rPr>
              <w:t xml:space="preserve"> </w:t>
            </w:r>
            <w:r>
              <w:rPr>
                <w:spacing w:val="1"/>
              </w:rPr>
              <w:t>员</w:t>
            </w:r>
            <w:r>
              <w:rPr>
                <w:spacing w:val="-42"/>
              </w:rPr>
              <w:t xml:space="preserve"> </w:t>
            </w:r>
            <w:r>
              <w:rPr>
                <w:spacing w:val="1"/>
              </w:rPr>
              <w:t>签</w:t>
            </w:r>
            <w:r>
              <w:rPr>
                <w:spacing w:val="-43"/>
              </w:rPr>
              <w:t xml:space="preserve"> </w:t>
            </w:r>
            <w:r>
              <w:rPr>
                <w:spacing w:val="1"/>
              </w:rPr>
              <w:t>名</w:t>
            </w:r>
          </w:p>
        </w:tc>
        <w:tc>
          <w:tcPr>
            <w:tcW w:w="7160" w:type="dxa"/>
            <w:vAlign w:val="top"/>
          </w:tcPr>
          <w:p w14:paraId="7E14499C">
            <w:pPr>
              <w:spacing w:line="249" w:lineRule="auto"/>
              <w:rPr>
                <w:rFonts w:ascii="Arial"/>
                <w:sz w:val="21"/>
              </w:rPr>
            </w:pPr>
          </w:p>
          <w:p w14:paraId="53A3A002">
            <w:pPr>
              <w:spacing w:line="250" w:lineRule="auto"/>
              <w:rPr>
                <w:rFonts w:ascii="Arial"/>
                <w:sz w:val="21"/>
              </w:rPr>
            </w:pPr>
          </w:p>
          <w:p w14:paraId="6EF21DA1">
            <w:pPr>
              <w:spacing w:line="250" w:lineRule="auto"/>
              <w:rPr>
                <w:rFonts w:ascii="Arial"/>
                <w:sz w:val="21"/>
              </w:rPr>
            </w:pPr>
          </w:p>
          <w:p w14:paraId="257393ED">
            <w:pPr>
              <w:spacing w:line="250" w:lineRule="auto"/>
              <w:rPr>
                <w:rFonts w:ascii="Arial"/>
                <w:sz w:val="21"/>
              </w:rPr>
            </w:pPr>
          </w:p>
          <w:p w14:paraId="0F5D33E0">
            <w:pPr>
              <w:spacing w:line="250" w:lineRule="auto"/>
              <w:rPr>
                <w:rFonts w:ascii="Arial"/>
                <w:sz w:val="21"/>
              </w:rPr>
            </w:pPr>
          </w:p>
          <w:p w14:paraId="6CF8AD44">
            <w:pPr>
              <w:spacing w:line="250" w:lineRule="auto"/>
              <w:rPr>
                <w:rFonts w:ascii="Arial"/>
                <w:sz w:val="21"/>
              </w:rPr>
            </w:pPr>
          </w:p>
          <w:p w14:paraId="26B572FC">
            <w:pPr>
              <w:spacing w:line="250" w:lineRule="auto"/>
              <w:rPr>
                <w:rFonts w:ascii="Arial"/>
                <w:sz w:val="21"/>
              </w:rPr>
            </w:pPr>
          </w:p>
          <w:p w14:paraId="3F3B9A2E">
            <w:pPr>
              <w:spacing w:line="250" w:lineRule="auto"/>
              <w:rPr>
                <w:rFonts w:ascii="Arial"/>
                <w:sz w:val="21"/>
              </w:rPr>
            </w:pPr>
          </w:p>
          <w:p w14:paraId="06D39714">
            <w:pPr>
              <w:spacing w:line="250" w:lineRule="auto"/>
              <w:rPr>
                <w:rFonts w:ascii="Arial"/>
                <w:sz w:val="21"/>
              </w:rPr>
            </w:pPr>
          </w:p>
          <w:p w14:paraId="6693F313">
            <w:pPr>
              <w:spacing w:line="250" w:lineRule="auto"/>
              <w:rPr>
                <w:rFonts w:ascii="Arial"/>
                <w:sz w:val="21"/>
              </w:rPr>
            </w:pPr>
          </w:p>
          <w:p w14:paraId="47BCDCC1">
            <w:pPr>
              <w:spacing w:line="250" w:lineRule="auto"/>
              <w:rPr>
                <w:rFonts w:ascii="Arial"/>
                <w:sz w:val="21"/>
              </w:rPr>
            </w:pPr>
          </w:p>
          <w:p w14:paraId="1519D6ED">
            <w:pPr>
              <w:spacing w:line="250" w:lineRule="auto"/>
              <w:rPr>
                <w:rFonts w:ascii="Arial"/>
                <w:sz w:val="21"/>
              </w:rPr>
            </w:pPr>
          </w:p>
          <w:p w14:paraId="36FCE29F">
            <w:pPr>
              <w:pStyle w:val="11"/>
              <w:spacing w:before="69" w:line="221" w:lineRule="auto"/>
              <w:ind w:left="5057"/>
            </w:pPr>
            <w:r>
              <w:rPr>
                <w:spacing w:val="-7"/>
              </w:rPr>
              <w:t>年</w:t>
            </w:r>
            <w:r>
              <w:rPr>
                <w:spacing w:val="5"/>
              </w:rPr>
              <w:t xml:space="preserve">   </w:t>
            </w:r>
            <w:r>
              <w:rPr>
                <w:spacing w:val="-7"/>
              </w:rPr>
              <w:t>月</w:t>
            </w:r>
            <w:r>
              <w:rPr>
                <w:spacing w:val="13"/>
              </w:rPr>
              <w:t xml:space="preserve">   </w:t>
            </w:r>
            <w:r>
              <w:rPr>
                <w:spacing w:val="-7"/>
              </w:rPr>
              <w:t>日</w:t>
            </w:r>
          </w:p>
        </w:tc>
      </w:tr>
    </w:tbl>
    <w:p w14:paraId="4A74BC68">
      <w:pPr>
        <w:pStyle w:val="3"/>
      </w:pPr>
    </w:p>
    <w:p w14:paraId="2A88D227">
      <w:pPr>
        <w:sectPr>
          <w:footerReference r:id="rId84" w:type="default"/>
          <w:pgSz w:w="11905" w:h="16839"/>
          <w:pgMar w:top="1431" w:right="1785" w:bottom="1004" w:left="1785" w:header="0" w:footer="828" w:gutter="0"/>
          <w:pgNumType w:fmt="decimal"/>
          <w:cols w:space="720" w:num="1"/>
        </w:sectPr>
      </w:pPr>
    </w:p>
    <w:p w14:paraId="1A7D3FEA">
      <w:pPr>
        <w:pStyle w:val="3"/>
        <w:spacing w:line="255" w:lineRule="auto"/>
      </w:pPr>
    </w:p>
    <w:p w14:paraId="3F1D2DE5">
      <w:pPr>
        <w:pStyle w:val="3"/>
        <w:spacing w:line="255" w:lineRule="auto"/>
      </w:pPr>
    </w:p>
    <w:p w14:paraId="04F882B1">
      <w:pPr>
        <w:pStyle w:val="3"/>
        <w:spacing w:line="255" w:lineRule="auto"/>
      </w:pPr>
    </w:p>
    <w:p w14:paraId="0AEF43EA">
      <w:pPr>
        <w:pStyle w:val="3"/>
        <w:spacing w:line="255" w:lineRule="auto"/>
      </w:pPr>
    </w:p>
    <w:p w14:paraId="30FC4E8F">
      <w:pPr>
        <w:pStyle w:val="3"/>
        <w:spacing w:line="255" w:lineRule="auto"/>
      </w:pPr>
    </w:p>
    <w:p w14:paraId="07D8B5B1">
      <w:pPr>
        <w:pStyle w:val="3"/>
        <w:spacing w:line="255" w:lineRule="auto"/>
      </w:pPr>
    </w:p>
    <w:p w14:paraId="4290E7FC">
      <w:pPr>
        <w:pStyle w:val="3"/>
        <w:spacing w:line="255" w:lineRule="auto"/>
      </w:pPr>
    </w:p>
    <w:p w14:paraId="26830963">
      <w:pPr>
        <w:pStyle w:val="3"/>
        <w:spacing w:line="255" w:lineRule="auto"/>
      </w:pPr>
    </w:p>
    <w:p w14:paraId="368A047D">
      <w:pPr>
        <w:pStyle w:val="3"/>
        <w:spacing w:line="255" w:lineRule="auto"/>
      </w:pPr>
    </w:p>
    <w:p w14:paraId="4E9F8459">
      <w:pPr>
        <w:pStyle w:val="3"/>
        <w:spacing w:line="255" w:lineRule="auto"/>
      </w:pPr>
    </w:p>
    <w:p w14:paraId="21236670">
      <w:pPr>
        <w:pStyle w:val="3"/>
        <w:spacing w:line="255" w:lineRule="auto"/>
      </w:pPr>
    </w:p>
    <w:p w14:paraId="4FD37DA8">
      <w:pPr>
        <w:pStyle w:val="3"/>
        <w:spacing w:line="256" w:lineRule="auto"/>
      </w:pPr>
    </w:p>
    <w:p w14:paraId="783E5CB9">
      <w:pPr>
        <w:pStyle w:val="3"/>
        <w:spacing w:line="256" w:lineRule="auto"/>
      </w:pPr>
    </w:p>
    <w:p w14:paraId="3E0D8BD7">
      <w:pPr>
        <w:pStyle w:val="3"/>
        <w:spacing w:line="256" w:lineRule="auto"/>
      </w:pPr>
    </w:p>
    <w:p w14:paraId="2A9C6EB4">
      <w:pPr>
        <w:pStyle w:val="3"/>
        <w:spacing w:line="256" w:lineRule="auto"/>
      </w:pPr>
    </w:p>
    <w:p w14:paraId="35A2F204">
      <w:pPr>
        <w:spacing w:before="104" w:line="220" w:lineRule="auto"/>
        <w:ind w:left="2418"/>
        <w:rPr>
          <w:rFonts w:ascii="黑体" w:hAnsi="黑体" w:eastAsia="黑体" w:cs="黑体"/>
          <w:sz w:val="32"/>
          <w:szCs w:val="32"/>
        </w:rPr>
      </w:pPr>
      <w:r>
        <w:rPr>
          <w:rFonts w:ascii="黑体" w:hAnsi="黑体" w:eastAsia="黑体" w:cs="黑体"/>
          <w:spacing w:val="-1"/>
          <w:sz w:val="32"/>
          <w:szCs w:val="32"/>
        </w:rPr>
        <w:t>第四章  合同条款及格式</w:t>
      </w:r>
    </w:p>
    <w:p w14:paraId="05AA7063">
      <w:pPr>
        <w:spacing w:line="220" w:lineRule="auto"/>
        <w:rPr>
          <w:rFonts w:ascii="黑体" w:hAnsi="黑体" w:eastAsia="黑体" w:cs="黑体"/>
          <w:sz w:val="32"/>
          <w:szCs w:val="32"/>
        </w:rPr>
        <w:sectPr>
          <w:footerReference r:id="rId85" w:type="default"/>
          <w:pgSz w:w="11905" w:h="16839"/>
          <w:pgMar w:top="1431" w:right="1785" w:bottom="1004" w:left="1785" w:header="0" w:footer="828" w:gutter="0"/>
          <w:pgNumType w:fmt="decimal"/>
          <w:cols w:space="720" w:num="1"/>
        </w:sectPr>
      </w:pPr>
    </w:p>
    <w:p w14:paraId="3F13B3E9">
      <w:pPr>
        <w:spacing w:before="71" w:line="219" w:lineRule="auto"/>
        <w:ind w:left="2516"/>
        <w:rPr>
          <w:rFonts w:ascii="黑体" w:hAnsi="黑体" w:eastAsia="黑体" w:cs="黑体"/>
          <w:sz w:val="36"/>
          <w:szCs w:val="36"/>
        </w:rPr>
      </w:pPr>
      <w:r>
        <w:rPr>
          <w:rFonts w:ascii="黑体" w:hAnsi="黑体" w:eastAsia="黑体" w:cs="黑体"/>
          <w:spacing w:val="-3"/>
          <w:sz w:val="36"/>
          <w:szCs w:val="36"/>
        </w:rPr>
        <w:t>第一部分</w:t>
      </w:r>
      <w:r>
        <w:rPr>
          <w:rFonts w:ascii="黑体" w:hAnsi="黑体" w:eastAsia="黑体" w:cs="黑体"/>
          <w:spacing w:val="-73"/>
          <w:sz w:val="36"/>
          <w:szCs w:val="36"/>
        </w:rPr>
        <w:t xml:space="preserve"> </w:t>
      </w:r>
      <w:r>
        <w:rPr>
          <w:rFonts w:ascii="黑体" w:hAnsi="黑体" w:eastAsia="黑体" w:cs="黑体"/>
          <w:spacing w:val="-3"/>
          <w:sz w:val="36"/>
          <w:szCs w:val="36"/>
        </w:rPr>
        <w:t>合同协议书</w:t>
      </w:r>
    </w:p>
    <w:p w14:paraId="5B6B6037">
      <w:pPr>
        <w:pStyle w:val="3"/>
        <w:spacing w:line="327" w:lineRule="auto"/>
      </w:pPr>
    </w:p>
    <w:p w14:paraId="1234A90E">
      <w:pPr>
        <w:spacing w:before="68" w:line="359" w:lineRule="auto"/>
        <w:ind w:left="444"/>
        <w:rPr>
          <w:rFonts w:ascii="宋体" w:hAnsi="宋体" w:eastAsia="宋体" w:cs="宋体"/>
          <w:sz w:val="21"/>
          <w:szCs w:val="21"/>
        </w:rPr>
      </w:pPr>
      <w:r>
        <w:rPr>
          <w:rFonts w:ascii="宋体" w:hAnsi="宋体" w:eastAsia="宋体" w:cs="宋体"/>
          <w:spacing w:val="-12"/>
          <w:sz w:val="21"/>
          <w:szCs w:val="21"/>
        </w:rPr>
        <w:t>发包人（全称</w:t>
      </w:r>
      <w:r>
        <w:rPr>
          <w:rFonts w:ascii="宋体" w:hAnsi="宋体" w:eastAsia="宋体" w:cs="宋体"/>
          <w:spacing w:val="-21"/>
          <w:sz w:val="21"/>
          <w:szCs w:val="21"/>
        </w:rPr>
        <w:t>）：</w:t>
      </w:r>
      <w:r>
        <w:rPr>
          <w:rFonts w:ascii="宋体" w:hAnsi="宋体" w:eastAsia="宋体" w:cs="宋体"/>
          <w:sz w:val="21"/>
          <w:szCs w:val="21"/>
          <w:u w:val="single" w:color="auto"/>
        </w:rPr>
        <w:t xml:space="preserve">                                         </w:t>
      </w:r>
    </w:p>
    <w:p w14:paraId="70980D4E">
      <w:pPr>
        <w:spacing w:line="220" w:lineRule="auto"/>
        <w:ind w:left="441"/>
        <w:rPr>
          <w:rFonts w:ascii="宋体" w:hAnsi="宋体" w:eastAsia="宋体" w:cs="宋体"/>
          <w:sz w:val="21"/>
          <w:szCs w:val="21"/>
        </w:rPr>
      </w:pPr>
      <w:r>
        <w:rPr>
          <w:rFonts w:ascii="宋体" w:hAnsi="宋体" w:eastAsia="宋体" w:cs="宋体"/>
          <w:spacing w:val="-11"/>
          <w:sz w:val="21"/>
          <w:szCs w:val="21"/>
        </w:rPr>
        <w:t>承包人（全称</w:t>
      </w:r>
      <w:r>
        <w:rPr>
          <w:rFonts w:ascii="宋体" w:hAnsi="宋体" w:eastAsia="宋体" w:cs="宋体"/>
          <w:spacing w:val="-22"/>
          <w:sz w:val="21"/>
          <w:szCs w:val="21"/>
        </w:rPr>
        <w:t>）：</w:t>
      </w:r>
      <w:r>
        <w:rPr>
          <w:rFonts w:ascii="宋体" w:hAnsi="宋体" w:eastAsia="宋体" w:cs="宋体"/>
          <w:sz w:val="21"/>
          <w:szCs w:val="21"/>
          <w:u w:val="single" w:color="auto"/>
        </w:rPr>
        <w:t xml:space="preserve">                                        </w:t>
      </w:r>
    </w:p>
    <w:p w14:paraId="1B56DAD2">
      <w:pPr>
        <w:spacing w:before="156" w:line="359" w:lineRule="auto"/>
        <w:ind w:left="20" w:right="6" w:firstLine="421"/>
        <w:jc w:val="both"/>
        <w:rPr>
          <w:rFonts w:ascii="宋体" w:hAnsi="宋体" w:eastAsia="宋体" w:cs="宋体"/>
          <w:sz w:val="21"/>
          <w:szCs w:val="21"/>
        </w:rPr>
      </w:pPr>
      <w:r>
        <w:rPr>
          <w:rFonts w:ascii="宋体" w:hAnsi="宋体" w:eastAsia="宋体" w:cs="宋体"/>
          <w:spacing w:val="-3"/>
          <w:sz w:val="21"/>
          <w:szCs w:val="21"/>
        </w:rPr>
        <w:t>根据《中华人民共和国民法典》、《中华人民共和国建筑法》及有关法律规定，遵循平</w:t>
      </w:r>
      <w:r>
        <w:rPr>
          <w:rFonts w:ascii="宋体" w:hAnsi="宋体" w:eastAsia="宋体" w:cs="宋体"/>
          <w:spacing w:val="18"/>
          <w:sz w:val="21"/>
          <w:szCs w:val="21"/>
        </w:rPr>
        <w:t xml:space="preserve"> </w:t>
      </w:r>
      <w:r>
        <w:rPr>
          <w:rFonts w:ascii="宋体" w:hAnsi="宋体" w:eastAsia="宋体" w:cs="宋体"/>
          <w:spacing w:val="-1"/>
          <w:sz w:val="21"/>
          <w:szCs w:val="21"/>
        </w:rPr>
        <w:t>等、自愿、公平和诚实信用的原则，双方就</w:t>
      </w:r>
      <w:r>
        <w:rPr>
          <w:rFonts w:ascii="宋体" w:hAnsi="宋体" w:eastAsia="宋体" w:cs="宋体"/>
          <w:spacing w:val="-86"/>
          <w:sz w:val="21"/>
          <w:szCs w:val="21"/>
        </w:rPr>
        <w:t xml:space="preserve"> </w:t>
      </w:r>
      <w:r>
        <w:rPr>
          <w:rFonts w:ascii="宋体" w:hAnsi="宋体" w:eastAsia="宋体" w:cs="宋体"/>
          <w:sz w:val="21"/>
          <w:szCs w:val="21"/>
          <w:u w:val="single" w:color="auto"/>
        </w:rPr>
        <w:t xml:space="preserve">                     </w:t>
      </w:r>
      <w:r>
        <w:rPr>
          <w:rFonts w:ascii="宋体" w:hAnsi="宋体" w:eastAsia="宋体" w:cs="宋体"/>
          <w:spacing w:val="-85"/>
          <w:sz w:val="21"/>
          <w:szCs w:val="21"/>
        </w:rPr>
        <w:t xml:space="preserve"> </w:t>
      </w:r>
      <w:r>
        <w:rPr>
          <w:rFonts w:ascii="宋体" w:hAnsi="宋体" w:eastAsia="宋体" w:cs="宋体"/>
          <w:spacing w:val="-1"/>
          <w:sz w:val="21"/>
          <w:szCs w:val="21"/>
        </w:rPr>
        <w:t>工程施工及有关事项协</w:t>
      </w:r>
    </w:p>
    <w:p w14:paraId="5F100488">
      <w:pPr>
        <w:spacing w:line="220" w:lineRule="auto"/>
        <w:ind w:left="22"/>
        <w:rPr>
          <w:rFonts w:ascii="宋体" w:hAnsi="宋体" w:eastAsia="宋体" w:cs="宋体"/>
          <w:sz w:val="21"/>
          <w:szCs w:val="21"/>
        </w:rPr>
      </w:pPr>
      <w:r>
        <w:rPr>
          <w:rFonts w:ascii="宋体" w:hAnsi="宋体" w:eastAsia="宋体" w:cs="宋体"/>
          <w:spacing w:val="-4"/>
          <w:sz w:val="21"/>
          <w:szCs w:val="21"/>
        </w:rPr>
        <w:t>商一致，共同达成如下协议：</w:t>
      </w:r>
    </w:p>
    <w:p w14:paraId="0C026D43">
      <w:pPr>
        <w:spacing w:before="167" w:line="218" w:lineRule="auto"/>
        <w:ind w:left="23"/>
        <w:rPr>
          <w:rFonts w:ascii="黑体" w:hAnsi="黑体" w:eastAsia="黑体" w:cs="黑体"/>
          <w:sz w:val="24"/>
          <w:szCs w:val="24"/>
        </w:rPr>
      </w:pPr>
      <w:r>
        <w:rPr>
          <w:rFonts w:ascii="黑体" w:hAnsi="黑体" w:eastAsia="黑体" w:cs="黑体"/>
          <w:spacing w:val="-4"/>
          <w:sz w:val="24"/>
          <w:szCs w:val="24"/>
        </w:rPr>
        <w:t>一、工程概况</w:t>
      </w:r>
    </w:p>
    <w:p w14:paraId="772F81BF">
      <w:pPr>
        <w:spacing w:before="173" w:line="221" w:lineRule="auto"/>
        <w:ind w:left="457"/>
        <w:rPr>
          <w:rFonts w:ascii="宋体" w:hAnsi="宋体" w:eastAsia="宋体" w:cs="宋体"/>
          <w:sz w:val="21"/>
          <w:szCs w:val="21"/>
        </w:rPr>
      </w:pPr>
      <w:r>
        <w:rPr>
          <w:rFonts w:ascii="Times New Roman" w:hAnsi="Times New Roman" w:eastAsia="Times New Roman" w:cs="Times New Roman"/>
          <w:spacing w:val="-22"/>
          <w:sz w:val="21"/>
          <w:szCs w:val="21"/>
        </w:rPr>
        <w:t>1.</w:t>
      </w:r>
      <w:r>
        <w:rPr>
          <w:rFonts w:ascii="宋体" w:hAnsi="宋体" w:eastAsia="宋体" w:cs="宋体"/>
          <w:spacing w:val="-22"/>
          <w:sz w:val="21"/>
          <w:szCs w:val="21"/>
        </w:rPr>
        <w:t>工程名称：</w:t>
      </w:r>
      <w:r>
        <w:rPr>
          <w:rFonts w:ascii="宋体" w:hAnsi="宋体" w:eastAsia="宋体" w:cs="宋体"/>
          <w:spacing w:val="47"/>
          <w:sz w:val="21"/>
          <w:szCs w:val="21"/>
        </w:rPr>
        <w:t xml:space="preserve"> </w:t>
      </w:r>
      <w:r>
        <w:rPr>
          <w:rFonts w:ascii="宋体" w:hAnsi="宋体" w:eastAsia="宋体" w:cs="宋体"/>
          <w:spacing w:val="3"/>
          <w:sz w:val="21"/>
          <w:szCs w:val="21"/>
          <w:u w:val="single" w:color="auto"/>
        </w:rPr>
        <w:t xml:space="preserve">                                 </w:t>
      </w:r>
      <w:r>
        <w:rPr>
          <w:rFonts w:ascii="宋体" w:hAnsi="宋体" w:eastAsia="宋体" w:cs="宋体"/>
          <w:spacing w:val="-22"/>
          <w:sz w:val="21"/>
          <w:szCs w:val="21"/>
        </w:rPr>
        <w:t>。</w:t>
      </w:r>
    </w:p>
    <w:p w14:paraId="3278D2EC">
      <w:pPr>
        <w:spacing w:before="162" w:line="221" w:lineRule="auto"/>
        <w:ind w:left="437"/>
        <w:rPr>
          <w:rFonts w:ascii="宋体" w:hAnsi="宋体" w:eastAsia="宋体" w:cs="宋体"/>
          <w:sz w:val="21"/>
          <w:szCs w:val="21"/>
        </w:rPr>
      </w:pPr>
      <w:r>
        <w:rPr>
          <w:rFonts w:ascii="Times New Roman" w:hAnsi="Times New Roman" w:eastAsia="Times New Roman" w:cs="Times New Roman"/>
          <w:spacing w:val="-19"/>
          <w:sz w:val="21"/>
          <w:szCs w:val="21"/>
        </w:rPr>
        <w:t>2.</w:t>
      </w:r>
      <w:r>
        <w:rPr>
          <w:rFonts w:ascii="宋体" w:hAnsi="宋体" w:eastAsia="宋体" w:cs="宋体"/>
          <w:spacing w:val="-19"/>
          <w:sz w:val="21"/>
          <w:szCs w:val="21"/>
        </w:rPr>
        <w:t>工程地点：</w:t>
      </w:r>
      <w:r>
        <w:rPr>
          <w:rFonts w:ascii="宋体" w:hAnsi="宋体" w:eastAsia="宋体" w:cs="宋体"/>
          <w:spacing w:val="44"/>
          <w:sz w:val="21"/>
          <w:szCs w:val="21"/>
        </w:rPr>
        <w:t xml:space="preserve"> </w:t>
      </w:r>
      <w:r>
        <w:rPr>
          <w:rFonts w:ascii="宋体" w:hAnsi="宋体" w:eastAsia="宋体" w:cs="宋体"/>
          <w:sz w:val="21"/>
          <w:szCs w:val="21"/>
          <w:u w:val="single" w:color="auto"/>
        </w:rPr>
        <w:t xml:space="preserve">                                 </w:t>
      </w:r>
      <w:r>
        <w:rPr>
          <w:rFonts w:ascii="宋体" w:hAnsi="宋体" w:eastAsia="宋体" w:cs="宋体"/>
          <w:spacing w:val="-55"/>
          <w:sz w:val="21"/>
          <w:szCs w:val="21"/>
        </w:rPr>
        <w:t xml:space="preserve"> </w:t>
      </w:r>
      <w:r>
        <w:rPr>
          <w:rFonts w:ascii="宋体" w:hAnsi="宋体" w:eastAsia="宋体" w:cs="宋体"/>
          <w:spacing w:val="-19"/>
          <w:sz w:val="21"/>
          <w:szCs w:val="21"/>
        </w:rPr>
        <w:t>。</w:t>
      </w:r>
    </w:p>
    <w:p w14:paraId="13301E21">
      <w:pPr>
        <w:spacing w:before="156" w:line="221" w:lineRule="auto"/>
        <w:ind w:left="441"/>
        <w:rPr>
          <w:rFonts w:ascii="宋体" w:hAnsi="宋体" w:eastAsia="宋体" w:cs="宋体"/>
          <w:sz w:val="21"/>
          <w:szCs w:val="21"/>
        </w:rPr>
      </w:pPr>
      <w:r>
        <w:rPr>
          <w:rFonts w:ascii="Times New Roman" w:hAnsi="Times New Roman" w:eastAsia="Times New Roman" w:cs="Times New Roman"/>
          <w:spacing w:val="-1"/>
          <w:sz w:val="21"/>
          <w:szCs w:val="21"/>
        </w:rPr>
        <w:t>3.</w:t>
      </w:r>
      <w:r>
        <w:rPr>
          <w:rFonts w:ascii="宋体" w:hAnsi="宋体" w:eastAsia="宋体" w:cs="宋体"/>
          <w:spacing w:val="-1"/>
          <w:sz w:val="21"/>
          <w:szCs w:val="21"/>
        </w:rPr>
        <w:t>工程立项批准文号：</w:t>
      </w:r>
      <w:r>
        <w:rPr>
          <w:rFonts w:ascii="宋体" w:hAnsi="宋体" w:eastAsia="宋体" w:cs="宋体"/>
          <w:spacing w:val="2"/>
          <w:sz w:val="21"/>
          <w:szCs w:val="21"/>
          <w:u w:val="single" w:color="auto"/>
        </w:rPr>
        <w:t xml:space="preserve">                         </w:t>
      </w:r>
      <w:r>
        <w:rPr>
          <w:rFonts w:ascii="宋体" w:hAnsi="宋体" w:eastAsia="宋体" w:cs="宋体"/>
          <w:spacing w:val="-1"/>
          <w:sz w:val="21"/>
          <w:szCs w:val="21"/>
        </w:rPr>
        <w:t>。</w:t>
      </w:r>
    </w:p>
    <w:p w14:paraId="5F42DA32">
      <w:pPr>
        <w:spacing w:before="157" w:line="221" w:lineRule="auto"/>
        <w:ind w:left="436"/>
        <w:rPr>
          <w:rFonts w:ascii="宋体" w:hAnsi="宋体" w:eastAsia="宋体" w:cs="宋体"/>
          <w:sz w:val="21"/>
          <w:szCs w:val="21"/>
        </w:rPr>
      </w:pPr>
      <w:r>
        <w:rPr>
          <w:rFonts w:ascii="Times New Roman" w:hAnsi="Times New Roman" w:eastAsia="Times New Roman" w:cs="Times New Roman"/>
          <w:spacing w:val="-19"/>
          <w:sz w:val="21"/>
          <w:szCs w:val="21"/>
        </w:rPr>
        <w:t>4.</w:t>
      </w:r>
      <w:r>
        <w:rPr>
          <w:rFonts w:ascii="宋体" w:hAnsi="宋体" w:eastAsia="宋体" w:cs="宋体"/>
          <w:spacing w:val="-19"/>
          <w:sz w:val="21"/>
          <w:szCs w:val="21"/>
        </w:rPr>
        <w:t>资金来源：</w:t>
      </w:r>
      <w:r>
        <w:rPr>
          <w:rFonts w:ascii="宋体" w:hAnsi="宋体" w:eastAsia="宋体" w:cs="宋体"/>
          <w:spacing w:val="45"/>
          <w:sz w:val="21"/>
          <w:szCs w:val="21"/>
        </w:rPr>
        <w:t xml:space="preserve"> </w:t>
      </w:r>
      <w:r>
        <w:rPr>
          <w:rFonts w:ascii="宋体" w:hAnsi="宋体" w:eastAsia="宋体" w:cs="宋体"/>
          <w:spacing w:val="1"/>
          <w:sz w:val="21"/>
          <w:szCs w:val="21"/>
          <w:u w:val="single" w:color="auto"/>
        </w:rPr>
        <w:t xml:space="preserve">                                 </w:t>
      </w:r>
      <w:r>
        <w:rPr>
          <w:rFonts w:ascii="宋体" w:hAnsi="宋体" w:eastAsia="宋体" w:cs="宋体"/>
          <w:spacing w:val="-19"/>
          <w:sz w:val="21"/>
          <w:szCs w:val="21"/>
        </w:rPr>
        <w:t>。</w:t>
      </w:r>
    </w:p>
    <w:p w14:paraId="115DFED7">
      <w:pPr>
        <w:spacing w:before="156" w:line="221" w:lineRule="auto"/>
        <w:ind w:left="443"/>
        <w:rPr>
          <w:rFonts w:ascii="宋体" w:hAnsi="宋体" w:eastAsia="宋体" w:cs="宋体"/>
          <w:sz w:val="21"/>
          <w:szCs w:val="21"/>
        </w:rPr>
      </w:pPr>
      <w:r>
        <w:rPr>
          <w:rFonts w:ascii="Times New Roman" w:hAnsi="Times New Roman" w:eastAsia="Times New Roman" w:cs="Times New Roman"/>
          <w:spacing w:val="-20"/>
          <w:sz w:val="21"/>
          <w:szCs w:val="21"/>
        </w:rPr>
        <w:t>5.</w:t>
      </w:r>
      <w:r>
        <w:rPr>
          <w:rFonts w:ascii="宋体" w:hAnsi="宋体" w:eastAsia="宋体" w:cs="宋体"/>
          <w:spacing w:val="-20"/>
          <w:sz w:val="21"/>
          <w:szCs w:val="21"/>
        </w:rPr>
        <w:t>工程内容：</w:t>
      </w:r>
      <w:r>
        <w:rPr>
          <w:rFonts w:ascii="宋体" w:hAnsi="宋体" w:eastAsia="宋体" w:cs="宋体"/>
          <w:spacing w:val="46"/>
          <w:sz w:val="21"/>
          <w:szCs w:val="21"/>
        </w:rPr>
        <w:t xml:space="preserve"> </w:t>
      </w:r>
      <w:r>
        <w:rPr>
          <w:rFonts w:ascii="宋体" w:hAnsi="宋体" w:eastAsia="宋体" w:cs="宋体"/>
          <w:spacing w:val="1"/>
          <w:sz w:val="21"/>
          <w:szCs w:val="21"/>
          <w:u w:val="single" w:color="auto"/>
        </w:rPr>
        <w:t xml:space="preserve">                                 </w:t>
      </w:r>
      <w:r>
        <w:rPr>
          <w:rFonts w:ascii="宋体" w:hAnsi="宋体" w:eastAsia="宋体" w:cs="宋体"/>
          <w:spacing w:val="-20"/>
          <w:sz w:val="21"/>
          <w:szCs w:val="21"/>
        </w:rPr>
        <w:t>。</w:t>
      </w:r>
    </w:p>
    <w:p w14:paraId="1872B23D">
      <w:pPr>
        <w:spacing w:before="157" w:line="220" w:lineRule="auto"/>
        <w:ind w:left="441"/>
        <w:rPr>
          <w:rFonts w:ascii="宋体" w:hAnsi="宋体" w:eastAsia="宋体" w:cs="宋体"/>
          <w:sz w:val="21"/>
          <w:szCs w:val="21"/>
        </w:rPr>
      </w:pPr>
      <w:r>
        <w:rPr>
          <w:rFonts w:ascii="宋体" w:hAnsi="宋体" w:eastAsia="宋体" w:cs="宋体"/>
          <w:spacing w:val="-8"/>
          <w:sz w:val="21"/>
          <w:szCs w:val="21"/>
        </w:rPr>
        <w:t>群体工程应附《承包人承揽工程项目一览表》（附件</w:t>
      </w:r>
      <w:r>
        <w:rPr>
          <w:rFonts w:ascii="宋体" w:hAnsi="宋体" w:eastAsia="宋体" w:cs="宋体"/>
          <w:spacing w:val="-23"/>
          <w:sz w:val="21"/>
          <w:szCs w:val="21"/>
        </w:rPr>
        <w:t xml:space="preserve"> </w:t>
      </w:r>
      <w:r>
        <w:rPr>
          <w:rFonts w:ascii="Times New Roman" w:hAnsi="Times New Roman" w:eastAsia="Times New Roman" w:cs="Times New Roman"/>
          <w:spacing w:val="-8"/>
          <w:sz w:val="21"/>
          <w:szCs w:val="21"/>
        </w:rPr>
        <w:t>1</w:t>
      </w:r>
      <w:r>
        <w:rPr>
          <w:rFonts w:ascii="宋体" w:hAnsi="宋体" w:eastAsia="宋体" w:cs="宋体"/>
          <w:spacing w:val="-8"/>
          <w:sz w:val="21"/>
          <w:szCs w:val="21"/>
        </w:rPr>
        <w:t>）。</w:t>
      </w:r>
    </w:p>
    <w:p w14:paraId="76768649">
      <w:pPr>
        <w:spacing w:before="158" w:line="221" w:lineRule="auto"/>
        <w:ind w:left="442"/>
        <w:rPr>
          <w:rFonts w:ascii="宋体" w:hAnsi="宋体" w:eastAsia="宋体" w:cs="宋体"/>
          <w:sz w:val="21"/>
          <w:szCs w:val="21"/>
        </w:rPr>
      </w:pPr>
      <w:r>
        <w:rPr>
          <w:rFonts w:ascii="Times New Roman" w:hAnsi="Times New Roman" w:eastAsia="Times New Roman" w:cs="Times New Roman"/>
          <w:spacing w:val="-9"/>
          <w:sz w:val="21"/>
          <w:szCs w:val="21"/>
        </w:rPr>
        <w:t>6.</w:t>
      </w:r>
      <w:r>
        <w:rPr>
          <w:rFonts w:ascii="宋体" w:hAnsi="宋体" w:eastAsia="宋体" w:cs="宋体"/>
          <w:spacing w:val="-9"/>
          <w:sz w:val="21"/>
          <w:szCs w:val="21"/>
        </w:rPr>
        <w:t>工程承包范围：</w:t>
      </w:r>
      <w:r>
        <w:rPr>
          <w:rFonts w:ascii="宋体" w:hAnsi="宋体" w:eastAsia="宋体" w:cs="宋体"/>
          <w:spacing w:val="-29"/>
          <w:sz w:val="21"/>
          <w:szCs w:val="21"/>
        </w:rPr>
        <w:t xml:space="preserve"> </w:t>
      </w:r>
      <w:r>
        <w:rPr>
          <w:rFonts w:ascii="宋体" w:hAnsi="宋体" w:eastAsia="宋体" w:cs="宋体"/>
          <w:sz w:val="21"/>
          <w:szCs w:val="21"/>
          <w:u w:val="single" w:color="auto"/>
        </w:rPr>
        <w:t xml:space="preserve">                                                     </w:t>
      </w:r>
    </w:p>
    <w:p w14:paraId="661ED69B">
      <w:pPr>
        <w:pStyle w:val="3"/>
        <w:tabs>
          <w:tab w:val="left" w:pos="7520"/>
        </w:tabs>
        <w:spacing w:before="170" w:line="241" w:lineRule="exact"/>
        <w:ind w:left="644"/>
      </w:pPr>
      <w:r>
        <w:rPr>
          <w:u w:val="single" w:color="auto"/>
        </w:rPr>
        <w:tab/>
      </w:r>
    </w:p>
    <w:p w14:paraId="4FFE15E3">
      <w:pPr>
        <w:spacing w:before="163" w:line="220" w:lineRule="auto"/>
        <w:ind w:left="23"/>
        <w:rPr>
          <w:rFonts w:ascii="黑体" w:hAnsi="黑体" w:eastAsia="黑体" w:cs="黑体"/>
          <w:sz w:val="24"/>
          <w:szCs w:val="24"/>
        </w:rPr>
      </w:pPr>
      <w:r>
        <w:rPr>
          <w:rFonts w:ascii="黑体" w:hAnsi="黑体" w:eastAsia="黑体" w:cs="黑体"/>
          <w:spacing w:val="-2"/>
          <w:sz w:val="24"/>
          <w:szCs w:val="24"/>
        </w:rPr>
        <w:t>二、合同工期</w:t>
      </w:r>
    </w:p>
    <w:p w14:paraId="1B3ABC35">
      <w:pPr>
        <w:spacing w:before="175" w:line="359" w:lineRule="auto"/>
        <w:ind w:left="441"/>
        <w:rPr>
          <w:rFonts w:ascii="宋体" w:hAnsi="宋体" w:eastAsia="宋体" w:cs="宋体"/>
          <w:sz w:val="21"/>
          <w:szCs w:val="21"/>
        </w:rPr>
      </w:pPr>
      <w:r>
        <w:rPr>
          <w:rFonts w:ascii="宋体" w:hAnsi="宋体" w:eastAsia="宋体" w:cs="宋体"/>
          <w:spacing w:val="-13"/>
          <w:sz w:val="21"/>
          <w:szCs w:val="21"/>
        </w:rPr>
        <w:t>计划开工日期：</w:t>
      </w:r>
      <w:r>
        <w:rPr>
          <w:rFonts w:ascii="宋体" w:hAnsi="宋体" w:eastAsia="宋体" w:cs="宋体"/>
          <w:spacing w:val="-24"/>
          <w:sz w:val="21"/>
          <w:szCs w:val="21"/>
        </w:rPr>
        <w:t xml:space="preserve"> </w:t>
      </w:r>
      <w:r>
        <w:rPr>
          <w:rFonts w:ascii="宋体" w:hAnsi="宋体" w:eastAsia="宋体" w:cs="宋体"/>
          <w:sz w:val="21"/>
          <w:szCs w:val="21"/>
          <w:u w:val="single" w:color="auto"/>
        </w:rPr>
        <w:t xml:space="preserve">          </w:t>
      </w:r>
      <w:r>
        <w:rPr>
          <w:rFonts w:ascii="宋体" w:hAnsi="宋体" w:eastAsia="宋体" w:cs="宋体"/>
          <w:spacing w:val="-95"/>
          <w:sz w:val="21"/>
          <w:szCs w:val="21"/>
        </w:rPr>
        <w:t xml:space="preserve"> </w:t>
      </w:r>
      <w:r>
        <w:rPr>
          <w:rFonts w:ascii="宋体" w:hAnsi="宋体" w:eastAsia="宋体" w:cs="宋体"/>
          <w:spacing w:val="-13"/>
          <w:sz w:val="21"/>
          <w:szCs w:val="21"/>
        </w:rPr>
        <w:t>年</w:t>
      </w:r>
      <w:r>
        <w:rPr>
          <w:rFonts w:ascii="宋体" w:hAnsi="宋体" w:eastAsia="宋体" w:cs="宋体"/>
          <w:spacing w:val="11"/>
          <w:sz w:val="21"/>
          <w:szCs w:val="21"/>
          <w:u w:val="single" w:color="auto"/>
        </w:rPr>
        <w:t xml:space="preserve">         </w:t>
      </w:r>
      <w:r>
        <w:rPr>
          <w:rFonts w:ascii="宋体" w:hAnsi="宋体" w:eastAsia="宋体" w:cs="宋体"/>
          <w:spacing w:val="-88"/>
          <w:sz w:val="21"/>
          <w:szCs w:val="21"/>
        </w:rPr>
        <w:t xml:space="preserve"> </w:t>
      </w:r>
      <w:r>
        <w:rPr>
          <w:rFonts w:ascii="宋体" w:hAnsi="宋体" w:eastAsia="宋体" w:cs="宋体"/>
          <w:spacing w:val="-13"/>
          <w:sz w:val="21"/>
          <w:szCs w:val="21"/>
        </w:rPr>
        <w:t>月</w:t>
      </w:r>
      <w:r>
        <w:rPr>
          <w:rFonts w:ascii="宋体" w:hAnsi="宋体" w:eastAsia="宋体" w:cs="宋体"/>
          <w:spacing w:val="11"/>
          <w:sz w:val="21"/>
          <w:szCs w:val="21"/>
          <w:u w:val="single" w:color="auto"/>
        </w:rPr>
        <w:t xml:space="preserve">         </w:t>
      </w:r>
      <w:r>
        <w:rPr>
          <w:rFonts w:ascii="宋体" w:hAnsi="宋体" w:eastAsia="宋体" w:cs="宋体"/>
          <w:spacing w:val="-58"/>
          <w:sz w:val="21"/>
          <w:szCs w:val="21"/>
        </w:rPr>
        <w:t xml:space="preserve"> </w:t>
      </w:r>
      <w:r>
        <w:rPr>
          <w:rFonts w:ascii="宋体" w:hAnsi="宋体" w:eastAsia="宋体" w:cs="宋体"/>
          <w:spacing w:val="-13"/>
          <w:sz w:val="21"/>
          <w:szCs w:val="21"/>
        </w:rPr>
        <w:t>日。</w:t>
      </w:r>
    </w:p>
    <w:p w14:paraId="1A9887AA">
      <w:pPr>
        <w:spacing w:before="1" w:line="220" w:lineRule="auto"/>
        <w:ind w:left="441"/>
        <w:rPr>
          <w:rFonts w:ascii="宋体" w:hAnsi="宋体" w:eastAsia="宋体" w:cs="宋体"/>
          <w:sz w:val="21"/>
          <w:szCs w:val="21"/>
        </w:rPr>
      </w:pPr>
      <w:r>
        <w:rPr>
          <w:rFonts w:ascii="宋体" w:hAnsi="宋体" w:eastAsia="宋体" w:cs="宋体"/>
          <w:spacing w:val="-13"/>
          <w:sz w:val="21"/>
          <w:szCs w:val="21"/>
        </w:rPr>
        <w:t>计划竣工日期：</w:t>
      </w:r>
      <w:r>
        <w:rPr>
          <w:rFonts w:ascii="宋体" w:hAnsi="宋体" w:eastAsia="宋体" w:cs="宋体"/>
          <w:spacing w:val="-24"/>
          <w:sz w:val="21"/>
          <w:szCs w:val="21"/>
        </w:rPr>
        <w:t xml:space="preserve"> </w:t>
      </w:r>
      <w:r>
        <w:rPr>
          <w:rFonts w:ascii="宋体" w:hAnsi="宋体" w:eastAsia="宋体" w:cs="宋体"/>
          <w:sz w:val="21"/>
          <w:szCs w:val="21"/>
          <w:u w:val="single" w:color="auto"/>
        </w:rPr>
        <w:t xml:space="preserve">          </w:t>
      </w:r>
      <w:r>
        <w:rPr>
          <w:rFonts w:ascii="宋体" w:hAnsi="宋体" w:eastAsia="宋体" w:cs="宋体"/>
          <w:spacing w:val="-95"/>
          <w:sz w:val="21"/>
          <w:szCs w:val="21"/>
        </w:rPr>
        <w:t xml:space="preserve"> </w:t>
      </w:r>
      <w:r>
        <w:rPr>
          <w:rFonts w:ascii="宋体" w:hAnsi="宋体" w:eastAsia="宋体" w:cs="宋体"/>
          <w:spacing w:val="-13"/>
          <w:sz w:val="21"/>
          <w:szCs w:val="21"/>
        </w:rPr>
        <w:t>年</w:t>
      </w:r>
      <w:r>
        <w:rPr>
          <w:rFonts w:ascii="宋体" w:hAnsi="宋体" w:eastAsia="宋体" w:cs="宋体"/>
          <w:spacing w:val="11"/>
          <w:sz w:val="21"/>
          <w:szCs w:val="21"/>
          <w:u w:val="single" w:color="auto"/>
        </w:rPr>
        <w:t xml:space="preserve">         </w:t>
      </w:r>
      <w:r>
        <w:rPr>
          <w:rFonts w:ascii="宋体" w:hAnsi="宋体" w:eastAsia="宋体" w:cs="宋体"/>
          <w:spacing w:val="-88"/>
          <w:sz w:val="21"/>
          <w:szCs w:val="21"/>
        </w:rPr>
        <w:t xml:space="preserve"> </w:t>
      </w:r>
      <w:r>
        <w:rPr>
          <w:rFonts w:ascii="宋体" w:hAnsi="宋体" w:eastAsia="宋体" w:cs="宋体"/>
          <w:spacing w:val="-13"/>
          <w:sz w:val="21"/>
          <w:szCs w:val="21"/>
        </w:rPr>
        <w:t>月</w:t>
      </w:r>
      <w:r>
        <w:rPr>
          <w:rFonts w:ascii="宋体" w:hAnsi="宋体" w:eastAsia="宋体" w:cs="宋体"/>
          <w:spacing w:val="11"/>
          <w:sz w:val="21"/>
          <w:szCs w:val="21"/>
          <w:u w:val="single" w:color="auto"/>
        </w:rPr>
        <w:t xml:space="preserve">         </w:t>
      </w:r>
      <w:r>
        <w:rPr>
          <w:rFonts w:ascii="宋体" w:hAnsi="宋体" w:eastAsia="宋体" w:cs="宋体"/>
          <w:spacing w:val="-58"/>
          <w:sz w:val="21"/>
          <w:szCs w:val="21"/>
        </w:rPr>
        <w:t xml:space="preserve"> </w:t>
      </w:r>
      <w:r>
        <w:rPr>
          <w:rFonts w:ascii="宋体" w:hAnsi="宋体" w:eastAsia="宋体" w:cs="宋体"/>
          <w:spacing w:val="-13"/>
          <w:sz w:val="21"/>
          <w:szCs w:val="21"/>
        </w:rPr>
        <w:t>日。</w:t>
      </w:r>
    </w:p>
    <w:p w14:paraId="33FFF0EC">
      <w:pPr>
        <w:spacing w:before="157" w:line="359" w:lineRule="auto"/>
        <w:ind w:right="4"/>
        <w:jc w:val="right"/>
        <w:rPr>
          <w:rFonts w:ascii="宋体" w:hAnsi="宋体" w:eastAsia="宋体" w:cs="宋体"/>
          <w:sz w:val="21"/>
          <w:szCs w:val="21"/>
        </w:rPr>
      </w:pPr>
      <w:r>
        <w:rPr>
          <w:rFonts w:ascii="宋体" w:hAnsi="宋体" w:eastAsia="宋体" w:cs="宋体"/>
          <w:spacing w:val="2"/>
          <w:sz w:val="21"/>
          <w:szCs w:val="21"/>
        </w:rPr>
        <w:t>工期总日历天数：</w:t>
      </w:r>
      <w:r>
        <w:rPr>
          <w:rFonts w:ascii="宋体" w:hAnsi="宋体" w:eastAsia="宋体" w:cs="宋体"/>
          <w:spacing w:val="2"/>
          <w:sz w:val="21"/>
          <w:szCs w:val="21"/>
          <w:u w:val="single" w:color="auto"/>
        </w:rPr>
        <w:t xml:space="preserve">          </w:t>
      </w:r>
      <w:r>
        <w:rPr>
          <w:rFonts w:ascii="宋体" w:hAnsi="宋体" w:eastAsia="宋体" w:cs="宋体"/>
          <w:spacing w:val="-76"/>
          <w:sz w:val="21"/>
          <w:szCs w:val="21"/>
        </w:rPr>
        <w:t xml:space="preserve"> </w:t>
      </w:r>
      <w:r>
        <w:rPr>
          <w:rFonts w:ascii="宋体" w:hAnsi="宋体" w:eastAsia="宋体" w:cs="宋体"/>
          <w:spacing w:val="2"/>
          <w:sz w:val="21"/>
          <w:szCs w:val="21"/>
        </w:rPr>
        <w:t>天。工期总日历天数与根据前述计划开竣工日期计算的</w:t>
      </w:r>
    </w:p>
    <w:p w14:paraId="18DC6AA2">
      <w:pPr>
        <w:spacing w:before="1" w:line="220" w:lineRule="auto"/>
        <w:ind w:left="20"/>
        <w:rPr>
          <w:rFonts w:ascii="宋体" w:hAnsi="宋体" w:eastAsia="宋体" w:cs="宋体"/>
          <w:sz w:val="21"/>
          <w:szCs w:val="21"/>
        </w:rPr>
      </w:pPr>
      <w:r>
        <w:rPr>
          <w:rFonts w:ascii="宋体" w:hAnsi="宋体" w:eastAsia="宋体" w:cs="宋体"/>
          <w:spacing w:val="-8"/>
          <w:sz w:val="21"/>
          <w:szCs w:val="21"/>
        </w:rPr>
        <w:t>工期天数不一致的，</w:t>
      </w:r>
      <w:r>
        <w:rPr>
          <w:rFonts w:ascii="宋体" w:hAnsi="宋体" w:eastAsia="宋体" w:cs="宋体"/>
          <w:spacing w:val="27"/>
          <w:sz w:val="21"/>
          <w:szCs w:val="21"/>
        </w:rPr>
        <w:t xml:space="preserve"> </w:t>
      </w:r>
      <w:r>
        <w:rPr>
          <w:rFonts w:ascii="宋体" w:hAnsi="宋体" w:eastAsia="宋体" w:cs="宋体"/>
          <w:spacing w:val="-8"/>
          <w:sz w:val="21"/>
          <w:szCs w:val="21"/>
        </w:rPr>
        <w:t>以工期总日历天数为准。</w:t>
      </w:r>
    </w:p>
    <w:p w14:paraId="3332003E">
      <w:pPr>
        <w:spacing w:before="165" w:line="220" w:lineRule="auto"/>
        <w:ind w:left="144"/>
        <w:rPr>
          <w:rFonts w:ascii="黑体" w:hAnsi="黑体" w:eastAsia="黑体" w:cs="黑体"/>
          <w:sz w:val="24"/>
          <w:szCs w:val="24"/>
        </w:rPr>
      </w:pPr>
      <w:r>
        <w:rPr>
          <w:rFonts w:ascii="黑体" w:hAnsi="黑体" w:eastAsia="黑体" w:cs="黑体"/>
          <w:spacing w:val="-2"/>
          <w:sz w:val="24"/>
          <w:szCs w:val="24"/>
        </w:rPr>
        <w:t>三、质量标准</w:t>
      </w:r>
    </w:p>
    <w:p w14:paraId="6CE4C201">
      <w:pPr>
        <w:spacing w:before="172" w:line="366" w:lineRule="auto"/>
        <w:ind w:left="443"/>
        <w:rPr>
          <w:rFonts w:ascii="宋体" w:hAnsi="宋体" w:eastAsia="宋体" w:cs="宋体"/>
          <w:sz w:val="21"/>
          <w:szCs w:val="21"/>
        </w:rPr>
      </w:pPr>
      <w:r>
        <w:rPr>
          <w:rFonts w:ascii="宋体" w:hAnsi="宋体" w:eastAsia="宋体" w:cs="宋体"/>
          <w:spacing w:val="-4"/>
          <w:sz w:val="21"/>
          <w:szCs w:val="21"/>
        </w:rPr>
        <w:t>工程质量符合</w:t>
      </w:r>
      <w:r>
        <w:rPr>
          <w:rFonts w:ascii="宋体" w:hAnsi="宋体" w:eastAsia="宋体" w:cs="宋体"/>
          <w:spacing w:val="-103"/>
          <w:sz w:val="21"/>
          <w:szCs w:val="21"/>
        </w:rPr>
        <w:t xml:space="preserve"> </w:t>
      </w:r>
      <w:r>
        <w:rPr>
          <w:rFonts w:ascii="宋体" w:hAnsi="宋体" w:eastAsia="宋体" w:cs="宋体"/>
          <w:spacing w:val="3"/>
          <w:sz w:val="21"/>
          <w:szCs w:val="21"/>
          <w:u w:val="single" w:color="auto"/>
        </w:rPr>
        <w:t xml:space="preserve">                                 </w:t>
      </w:r>
      <w:r>
        <w:rPr>
          <w:rFonts w:ascii="宋体" w:hAnsi="宋体" w:eastAsia="宋体" w:cs="宋体"/>
          <w:spacing w:val="-92"/>
          <w:sz w:val="21"/>
          <w:szCs w:val="21"/>
        </w:rPr>
        <w:t xml:space="preserve"> </w:t>
      </w:r>
      <w:r>
        <w:rPr>
          <w:rFonts w:ascii="宋体" w:hAnsi="宋体" w:eastAsia="宋体" w:cs="宋体"/>
          <w:spacing w:val="-4"/>
          <w:sz w:val="21"/>
          <w:szCs w:val="21"/>
        </w:rPr>
        <w:t>标准。</w:t>
      </w:r>
    </w:p>
    <w:p w14:paraId="673C1E0C">
      <w:pPr>
        <w:spacing w:before="1" w:line="218" w:lineRule="auto"/>
        <w:ind w:left="154"/>
        <w:rPr>
          <w:rFonts w:ascii="黑体" w:hAnsi="黑体" w:eastAsia="黑体" w:cs="黑体"/>
          <w:sz w:val="24"/>
          <w:szCs w:val="24"/>
        </w:rPr>
      </w:pPr>
      <w:r>
        <w:rPr>
          <w:rFonts w:ascii="黑体" w:hAnsi="黑体" w:eastAsia="黑体" w:cs="黑体"/>
          <w:spacing w:val="-2"/>
          <w:sz w:val="24"/>
          <w:szCs w:val="24"/>
        </w:rPr>
        <w:t>四、签约合同价与合同价格形式</w:t>
      </w:r>
    </w:p>
    <w:p w14:paraId="145CAAAF">
      <w:pPr>
        <w:spacing w:before="177" w:line="359" w:lineRule="auto"/>
        <w:ind w:left="457"/>
        <w:rPr>
          <w:rFonts w:ascii="宋体" w:hAnsi="宋体" w:eastAsia="宋体" w:cs="宋体"/>
          <w:sz w:val="21"/>
          <w:szCs w:val="21"/>
        </w:rPr>
      </w:pPr>
      <w:r>
        <w:rPr>
          <w:rFonts w:ascii="Times New Roman" w:hAnsi="Times New Roman" w:eastAsia="Times New Roman" w:cs="Times New Roman"/>
          <w:spacing w:val="-11"/>
          <w:sz w:val="21"/>
          <w:szCs w:val="21"/>
        </w:rPr>
        <w:t>1.</w:t>
      </w:r>
      <w:r>
        <w:rPr>
          <w:rFonts w:ascii="宋体" w:hAnsi="宋体" w:eastAsia="宋体" w:cs="宋体"/>
          <w:spacing w:val="-11"/>
          <w:sz w:val="21"/>
          <w:szCs w:val="21"/>
        </w:rPr>
        <w:t>签约合同价为：</w:t>
      </w:r>
      <w:r>
        <w:rPr>
          <w:rFonts w:ascii="宋体" w:hAnsi="宋体" w:eastAsia="宋体" w:cs="宋体"/>
          <w:spacing w:val="-27"/>
          <w:sz w:val="21"/>
          <w:szCs w:val="21"/>
        </w:rPr>
        <w:t xml:space="preserve"> </w:t>
      </w:r>
      <w:r>
        <w:rPr>
          <w:rFonts w:ascii="宋体" w:hAnsi="宋体" w:eastAsia="宋体" w:cs="宋体"/>
          <w:sz w:val="21"/>
          <w:szCs w:val="21"/>
          <w:u w:val="single" w:color="auto"/>
        </w:rPr>
        <w:t xml:space="preserve">                     </w:t>
      </w:r>
    </w:p>
    <w:p w14:paraId="31C0D71E">
      <w:pPr>
        <w:spacing w:before="1" w:line="219" w:lineRule="auto"/>
        <w:ind w:left="442"/>
        <w:rPr>
          <w:rFonts w:ascii="宋体" w:hAnsi="宋体" w:eastAsia="宋体" w:cs="宋体"/>
          <w:sz w:val="21"/>
          <w:szCs w:val="21"/>
        </w:rPr>
      </w:pPr>
      <w:r>
        <w:rPr>
          <w:rFonts w:ascii="宋体" w:hAnsi="宋体" w:eastAsia="宋体" w:cs="宋体"/>
          <w:spacing w:val="-9"/>
          <w:sz w:val="21"/>
          <w:szCs w:val="21"/>
        </w:rPr>
        <w:t>人民币（大写）</w:t>
      </w:r>
      <w:r>
        <w:rPr>
          <w:rFonts w:ascii="宋体" w:hAnsi="宋体" w:eastAsia="宋体" w:cs="宋体"/>
          <w:spacing w:val="-46"/>
          <w:sz w:val="21"/>
          <w:szCs w:val="21"/>
        </w:rPr>
        <w:t xml:space="preserve"> </w:t>
      </w:r>
      <w:r>
        <w:rPr>
          <w:rFonts w:ascii="宋体" w:hAnsi="宋体" w:eastAsia="宋体" w:cs="宋体"/>
          <w:spacing w:val="5"/>
          <w:sz w:val="21"/>
          <w:szCs w:val="21"/>
          <w:u w:val="single" w:color="auto"/>
        </w:rPr>
        <w:t xml:space="preserve">          </w:t>
      </w:r>
      <w:r>
        <w:rPr>
          <w:rFonts w:ascii="宋体" w:hAnsi="宋体" w:eastAsia="宋体" w:cs="宋体"/>
          <w:spacing w:val="19"/>
          <w:sz w:val="21"/>
          <w:szCs w:val="21"/>
        </w:rPr>
        <w:t xml:space="preserve"> </w:t>
      </w:r>
      <w:r>
        <w:rPr>
          <w:rFonts w:ascii="宋体" w:hAnsi="宋体" w:eastAsia="宋体" w:cs="宋体"/>
          <w:spacing w:val="-9"/>
          <w:sz w:val="21"/>
          <w:szCs w:val="21"/>
        </w:rPr>
        <w:t>(</w:t>
      </w:r>
      <w:r>
        <w:rPr>
          <w:rFonts w:ascii="Times New Roman" w:hAnsi="Times New Roman" w:eastAsia="Times New Roman" w:cs="Times New Roman"/>
          <w:spacing w:val="-9"/>
          <w:sz w:val="21"/>
          <w:szCs w:val="21"/>
        </w:rPr>
        <w:t xml:space="preserve">¥ </w:t>
      </w:r>
      <w:r>
        <w:rPr>
          <w:rFonts w:ascii="Times New Roman" w:hAnsi="Times New Roman" w:eastAsia="Times New Roman" w:cs="Times New Roman"/>
          <w:spacing w:val="5"/>
          <w:sz w:val="21"/>
          <w:szCs w:val="21"/>
          <w:u w:val="single" w:color="auto"/>
        </w:rPr>
        <w:t xml:space="preserve">          </w:t>
      </w:r>
      <w:r>
        <w:rPr>
          <w:rFonts w:ascii="Times New Roman" w:hAnsi="Times New Roman" w:eastAsia="Times New Roman" w:cs="Times New Roman"/>
          <w:spacing w:val="-41"/>
          <w:sz w:val="21"/>
          <w:szCs w:val="21"/>
        </w:rPr>
        <w:t xml:space="preserve"> </w:t>
      </w:r>
      <w:r>
        <w:rPr>
          <w:rFonts w:ascii="宋体" w:hAnsi="宋体" w:eastAsia="宋体" w:cs="宋体"/>
          <w:spacing w:val="-9"/>
          <w:sz w:val="21"/>
          <w:szCs w:val="21"/>
        </w:rPr>
        <w:t>元</w:t>
      </w:r>
      <w:r>
        <w:rPr>
          <w:rFonts w:ascii="宋体" w:hAnsi="宋体" w:eastAsia="宋体" w:cs="宋体"/>
          <w:spacing w:val="-56"/>
          <w:sz w:val="21"/>
          <w:szCs w:val="21"/>
        </w:rPr>
        <w:t>）；</w:t>
      </w:r>
    </w:p>
    <w:p w14:paraId="2EEE45BA">
      <w:pPr>
        <w:spacing w:before="158" w:line="221" w:lineRule="auto"/>
        <w:ind w:left="442"/>
        <w:rPr>
          <w:rFonts w:ascii="宋体" w:hAnsi="宋体" w:eastAsia="宋体" w:cs="宋体"/>
          <w:sz w:val="21"/>
          <w:szCs w:val="21"/>
        </w:rPr>
      </w:pPr>
      <w:r>
        <w:rPr>
          <w:rFonts w:ascii="宋体" w:hAnsi="宋体" w:eastAsia="宋体" w:cs="宋体"/>
          <w:spacing w:val="-13"/>
          <w:sz w:val="21"/>
          <w:szCs w:val="21"/>
        </w:rPr>
        <w:t>其中：</w:t>
      </w:r>
    </w:p>
    <w:p w14:paraId="115FA3E1">
      <w:pPr>
        <w:spacing w:before="156" w:line="221" w:lineRule="auto"/>
        <w:ind w:left="447"/>
        <w:rPr>
          <w:rFonts w:ascii="宋体" w:hAnsi="宋体" w:eastAsia="宋体" w:cs="宋体"/>
          <w:sz w:val="21"/>
          <w:szCs w:val="21"/>
        </w:rPr>
      </w:pPr>
      <w:r>
        <w:rPr>
          <w:rFonts w:ascii="宋体" w:hAnsi="宋体" w:eastAsia="宋体" w:cs="宋体"/>
          <w:spacing w:val="-1"/>
          <w:sz w:val="21"/>
          <w:szCs w:val="21"/>
        </w:rPr>
        <w:t>（</w:t>
      </w:r>
      <w:r>
        <w:rPr>
          <w:rFonts w:ascii="Times New Roman" w:hAnsi="Times New Roman" w:eastAsia="Times New Roman" w:cs="Times New Roman"/>
          <w:spacing w:val="-1"/>
          <w:sz w:val="21"/>
          <w:szCs w:val="21"/>
        </w:rPr>
        <w:t>1</w:t>
      </w:r>
      <w:r>
        <w:rPr>
          <w:rFonts w:ascii="宋体" w:hAnsi="宋体" w:eastAsia="宋体" w:cs="宋体"/>
          <w:spacing w:val="-1"/>
          <w:sz w:val="21"/>
          <w:szCs w:val="21"/>
        </w:rPr>
        <w:t>）安全文明施工费：</w:t>
      </w:r>
    </w:p>
    <w:p w14:paraId="542517CA">
      <w:pPr>
        <w:spacing w:before="157" w:line="359" w:lineRule="auto"/>
        <w:ind w:left="442"/>
        <w:rPr>
          <w:rFonts w:ascii="宋体" w:hAnsi="宋体" w:eastAsia="宋体" w:cs="宋体"/>
          <w:sz w:val="21"/>
          <w:szCs w:val="21"/>
        </w:rPr>
      </w:pPr>
      <w:r>
        <w:rPr>
          <w:rFonts w:ascii="宋体" w:hAnsi="宋体" w:eastAsia="宋体" w:cs="宋体"/>
          <w:spacing w:val="-5"/>
          <w:sz w:val="21"/>
          <w:szCs w:val="21"/>
        </w:rPr>
        <w:t xml:space="preserve">人民币（大写） </w:t>
      </w:r>
      <w:r>
        <w:rPr>
          <w:rFonts w:ascii="宋体" w:hAnsi="宋体" w:eastAsia="宋体" w:cs="宋体"/>
          <w:spacing w:val="-5"/>
          <w:sz w:val="21"/>
          <w:szCs w:val="21"/>
          <w:u w:val="single" w:color="auto"/>
        </w:rPr>
        <w:t xml:space="preserve">          </w:t>
      </w:r>
      <w:r>
        <w:rPr>
          <w:rFonts w:ascii="宋体" w:hAnsi="宋体" w:eastAsia="宋体" w:cs="宋体"/>
          <w:spacing w:val="-5"/>
          <w:sz w:val="21"/>
          <w:szCs w:val="21"/>
        </w:rPr>
        <w:t xml:space="preserve"> (</w:t>
      </w:r>
      <w:r>
        <w:rPr>
          <w:rFonts w:ascii="Times New Roman" w:hAnsi="Times New Roman" w:eastAsia="Times New Roman" w:cs="Times New Roman"/>
          <w:spacing w:val="-5"/>
          <w:sz w:val="21"/>
          <w:szCs w:val="21"/>
        </w:rPr>
        <w:t>¥</w:t>
      </w:r>
      <w:r>
        <w:rPr>
          <w:rFonts w:ascii="Times New Roman" w:hAnsi="Times New Roman" w:eastAsia="Times New Roman" w:cs="Times New Roman"/>
          <w:spacing w:val="-5"/>
          <w:sz w:val="21"/>
          <w:szCs w:val="21"/>
          <w:u w:val="single" w:color="auto"/>
        </w:rPr>
        <w:t xml:space="preserve">             </w:t>
      </w:r>
      <w:r>
        <w:rPr>
          <w:rFonts w:ascii="Times New Roman" w:hAnsi="Times New Roman" w:eastAsia="Times New Roman" w:cs="Times New Roman"/>
          <w:spacing w:val="-41"/>
          <w:sz w:val="21"/>
          <w:szCs w:val="21"/>
        </w:rPr>
        <w:t xml:space="preserve"> </w:t>
      </w:r>
      <w:r>
        <w:rPr>
          <w:rFonts w:ascii="宋体" w:hAnsi="宋体" w:eastAsia="宋体" w:cs="宋体"/>
          <w:spacing w:val="-5"/>
          <w:sz w:val="21"/>
          <w:szCs w:val="21"/>
        </w:rPr>
        <w:t>元</w:t>
      </w:r>
      <w:r>
        <w:rPr>
          <w:rFonts w:ascii="宋体" w:hAnsi="宋体" w:eastAsia="宋体" w:cs="宋体"/>
          <w:spacing w:val="-54"/>
          <w:w w:val="97"/>
          <w:sz w:val="21"/>
          <w:szCs w:val="21"/>
        </w:rPr>
        <w:t>）；</w:t>
      </w:r>
    </w:p>
    <w:p w14:paraId="241E57CF">
      <w:pPr>
        <w:spacing w:line="219" w:lineRule="auto"/>
        <w:ind w:left="447"/>
        <w:rPr>
          <w:rFonts w:ascii="宋体" w:hAnsi="宋体" w:eastAsia="宋体" w:cs="宋体"/>
          <w:sz w:val="21"/>
          <w:szCs w:val="21"/>
        </w:rPr>
      </w:pPr>
      <w:r>
        <w:rPr>
          <w:rFonts w:ascii="宋体" w:hAnsi="宋体" w:eastAsia="宋体" w:cs="宋体"/>
          <w:spacing w:val="-3"/>
          <w:sz w:val="21"/>
          <w:szCs w:val="21"/>
        </w:rPr>
        <w:t>（</w:t>
      </w:r>
      <w:r>
        <w:rPr>
          <w:rFonts w:ascii="Times New Roman" w:hAnsi="Times New Roman" w:eastAsia="Times New Roman" w:cs="Times New Roman"/>
          <w:spacing w:val="-3"/>
          <w:sz w:val="21"/>
          <w:szCs w:val="21"/>
        </w:rPr>
        <w:t>2</w:t>
      </w:r>
      <w:r>
        <w:rPr>
          <w:rFonts w:ascii="宋体" w:hAnsi="宋体" w:eastAsia="宋体" w:cs="宋体"/>
          <w:spacing w:val="-3"/>
          <w:sz w:val="21"/>
          <w:szCs w:val="21"/>
        </w:rPr>
        <w:t>）材料和工程设备暂估价金额：</w:t>
      </w:r>
    </w:p>
    <w:p w14:paraId="671DB638">
      <w:pPr>
        <w:spacing w:before="159" w:line="359" w:lineRule="auto"/>
        <w:ind w:left="442"/>
        <w:rPr>
          <w:rFonts w:ascii="宋体" w:hAnsi="宋体" w:eastAsia="宋体" w:cs="宋体"/>
          <w:sz w:val="21"/>
          <w:szCs w:val="21"/>
        </w:rPr>
      </w:pPr>
      <w:r>
        <w:rPr>
          <w:rFonts w:ascii="宋体" w:hAnsi="宋体" w:eastAsia="宋体" w:cs="宋体"/>
          <w:spacing w:val="-7"/>
          <w:sz w:val="21"/>
          <w:szCs w:val="21"/>
        </w:rPr>
        <w:t>人民币（大写）</w:t>
      </w:r>
      <w:r>
        <w:rPr>
          <w:rFonts w:ascii="宋体" w:hAnsi="宋体" w:eastAsia="宋体" w:cs="宋体"/>
          <w:spacing w:val="-43"/>
          <w:sz w:val="21"/>
          <w:szCs w:val="21"/>
        </w:rPr>
        <w:t xml:space="preserve"> </w:t>
      </w:r>
      <w:r>
        <w:rPr>
          <w:rFonts w:ascii="宋体" w:hAnsi="宋体" w:eastAsia="宋体" w:cs="宋体"/>
          <w:spacing w:val="6"/>
          <w:sz w:val="21"/>
          <w:szCs w:val="21"/>
          <w:u w:val="single" w:color="auto"/>
        </w:rPr>
        <w:t xml:space="preserve">         </w:t>
      </w:r>
      <w:r>
        <w:rPr>
          <w:rFonts w:ascii="宋体" w:hAnsi="宋体" w:eastAsia="宋体" w:cs="宋体"/>
          <w:spacing w:val="15"/>
          <w:sz w:val="21"/>
          <w:szCs w:val="21"/>
        </w:rPr>
        <w:t xml:space="preserve"> </w:t>
      </w:r>
      <w:r>
        <w:rPr>
          <w:rFonts w:ascii="宋体" w:hAnsi="宋体" w:eastAsia="宋体" w:cs="宋体"/>
          <w:spacing w:val="-7"/>
          <w:sz w:val="21"/>
          <w:szCs w:val="21"/>
        </w:rPr>
        <w:t>(</w:t>
      </w:r>
      <w:r>
        <w:rPr>
          <w:rFonts w:ascii="Times New Roman" w:hAnsi="Times New Roman" w:eastAsia="Times New Roman" w:cs="Times New Roman"/>
          <w:spacing w:val="-7"/>
          <w:sz w:val="21"/>
          <w:szCs w:val="21"/>
        </w:rPr>
        <w:t xml:space="preserve">¥ </w:t>
      </w:r>
      <w:r>
        <w:rPr>
          <w:rFonts w:ascii="Times New Roman" w:hAnsi="Times New Roman" w:eastAsia="Times New Roman" w:cs="Times New Roman"/>
          <w:sz w:val="21"/>
          <w:szCs w:val="21"/>
          <w:u w:val="single" w:color="auto"/>
        </w:rPr>
        <w:t xml:space="preserve">          </w:t>
      </w:r>
      <w:r>
        <w:rPr>
          <w:rFonts w:ascii="Times New Roman" w:hAnsi="Times New Roman" w:eastAsia="Times New Roman" w:cs="Times New Roman"/>
          <w:spacing w:val="-7"/>
          <w:sz w:val="21"/>
          <w:szCs w:val="21"/>
        </w:rPr>
        <w:t xml:space="preserve"> </w:t>
      </w:r>
      <w:r>
        <w:rPr>
          <w:rFonts w:ascii="宋体" w:hAnsi="宋体" w:eastAsia="宋体" w:cs="宋体"/>
          <w:spacing w:val="-7"/>
          <w:sz w:val="21"/>
          <w:szCs w:val="21"/>
        </w:rPr>
        <w:t>元</w:t>
      </w:r>
      <w:r>
        <w:rPr>
          <w:rFonts w:ascii="宋体" w:hAnsi="宋体" w:eastAsia="宋体" w:cs="宋体"/>
          <w:spacing w:val="-54"/>
          <w:w w:val="96"/>
          <w:sz w:val="21"/>
          <w:szCs w:val="21"/>
        </w:rPr>
        <w:t>）；</w:t>
      </w:r>
    </w:p>
    <w:p w14:paraId="10356F31">
      <w:pPr>
        <w:spacing w:line="219" w:lineRule="auto"/>
        <w:ind w:left="447"/>
        <w:rPr>
          <w:rFonts w:ascii="宋体" w:hAnsi="宋体" w:eastAsia="宋体" w:cs="宋体"/>
          <w:sz w:val="21"/>
          <w:szCs w:val="21"/>
        </w:rPr>
      </w:pPr>
      <w:r>
        <w:rPr>
          <w:rFonts w:ascii="宋体" w:hAnsi="宋体" w:eastAsia="宋体" w:cs="宋体"/>
          <w:spacing w:val="-4"/>
          <w:sz w:val="21"/>
          <w:szCs w:val="21"/>
        </w:rPr>
        <w:t>（</w:t>
      </w:r>
      <w:r>
        <w:rPr>
          <w:rFonts w:ascii="Times New Roman" w:hAnsi="Times New Roman" w:eastAsia="Times New Roman" w:cs="Times New Roman"/>
          <w:spacing w:val="-4"/>
          <w:sz w:val="21"/>
          <w:szCs w:val="21"/>
        </w:rPr>
        <w:t>3</w:t>
      </w:r>
      <w:r>
        <w:rPr>
          <w:rFonts w:ascii="宋体" w:hAnsi="宋体" w:eastAsia="宋体" w:cs="宋体"/>
          <w:spacing w:val="-4"/>
          <w:sz w:val="21"/>
          <w:szCs w:val="21"/>
        </w:rPr>
        <w:t>）专业工程暂估价金额：</w:t>
      </w:r>
    </w:p>
    <w:p w14:paraId="12DA1B01">
      <w:pPr>
        <w:spacing w:before="163" w:line="220" w:lineRule="auto"/>
        <w:ind w:left="442"/>
        <w:rPr>
          <w:rFonts w:ascii="宋体" w:hAnsi="宋体" w:eastAsia="宋体" w:cs="宋体"/>
          <w:sz w:val="21"/>
          <w:szCs w:val="21"/>
        </w:rPr>
      </w:pPr>
      <w:r>
        <w:rPr>
          <w:rFonts w:ascii="宋体" w:hAnsi="宋体" w:eastAsia="宋体" w:cs="宋体"/>
          <w:spacing w:val="-7"/>
          <w:sz w:val="21"/>
          <w:szCs w:val="21"/>
        </w:rPr>
        <w:t>人民币（大写）</w:t>
      </w:r>
      <w:r>
        <w:rPr>
          <w:rFonts w:ascii="宋体" w:hAnsi="宋体" w:eastAsia="宋体" w:cs="宋体"/>
          <w:spacing w:val="-44"/>
          <w:sz w:val="21"/>
          <w:szCs w:val="21"/>
        </w:rPr>
        <w:t xml:space="preserve"> </w:t>
      </w:r>
      <w:r>
        <w:rPr>
          <w:rFonts w:ascii="宋体" w:hAnsi="宋体" w:eastAsia="宋体" w:cs="宋体"/>
          <w:sz w:val="21"/>
          <w:szCs w:val="21"/>
          <w:u w:val="single" w:color="auto"/>
        </w:rPr>
        <w:t xml:space="preserve">         </w:t>
      </w:r>
      <w:r>
        <w:rPr>
          <w:rFonts w:ascii="宋体" w:hAnsi="宋体" w:eastAsia="宋体" w:cs="宋体"/>
          <w:spacing w:val="15"/>
          <w:sz w:val="21"/>
          <w:szCs w:val="21"/>
        </w:rPr>
        <w:t xml:space="preserve"> </w:t>
      </w:r>
      <w:r>
        <w:rPr>
          <w:rFonts w:ascii="宋体" w:hAnsi="宋体" w:eastAsia="宋体" w:cs="宋体"/>
          <w:spacing w:val="-7"/>
          <w:sz w:val="21"/>
          <w:szCs w:val="21"/>
        </w:rPr>
        <w:t>(</w:t>
      </w:r>
      <w:r>
        <w:rPr>
          <w:rFonts w:ascii="Times New Roman" w:hAnsi="Times New Roman" w:eastAsia="Times New Roman" w:cs="Times New Roman"/>
          <w:spacing w:val="-7"/>
          <w:sz w:val="21"/>
          <w:szCs w:val="21"/>
        </w:rPr>
        <w:t>¥</w:t>
      </w:r>
      <w:r>
        <w:rPr>
          <w:rFonts w:ascii="Times New Roman" w:hAnsi="Times New Roman" w:eastAsia="Times New Roman" w:cs="Times New Roman"/>
          <w:spacing w:val="5"/>
          <w:sz w:val="21"/>
          <w:szCs w:val="21"/>
          <w:u w:val="single" w:color="auto"/>
        </w:rPr>
        <w:t xml:space="preserve">          </w:t>
      </w:r>
      <w:r>
        <w:rPr>
          <w:rFonts w:ascii="Times New Roman" w:hAnsi="Times New Roman" w:eastAsia="Times New Roman" w:cs="Times New Roman"/>
          <w:spacing w:val="-7"/>
          <w:sz w:val="21"/>
          <w:szCs w:val="21"/>
        </w:rPr>
        <w:t xml:space="preserve"> </w:t>
      </w:r>
      <w:r>
        <w:rPr>
          <w:rFonts w:ascii="宋体" w:hAnsi="宋体" w:eastAsia="宋体" w:cs="宋体"/>
          <w:spacing w:val="-7"/>
          <w:sz w:val="21"/>
          <w:szCs w:val="21"/>
        </w:rPr>
        <w:t>元</w:t>
      </w:r>
      <w:r>
        <w:rPr>
          <w:rFonts w:ascii="宋体" w:hAnsi="宋体" w:eastAsia="宋体" w:cs="宋体"/>
          <w:spacing w:val="-54"/>
          <w:w w:val="97"/>
          <w:sz w:val="21"/>
          <w:szCs w:val="21"/>
        </w:rPr>
        <w:t>）；</w:t>
      </w:r>
    </w:p>
    <w:p w14:paraId="6CDFE4DE">
      <w:pPr>
        <w:spacing w:line="220" w:lineRule="auto"/>
        <w:rPr>
          <w:rFonts w:ascii="宋体" w:hAnsi="宋体" w:eastAsia="宋体" w:cs="宋体"/>
          <w:sz w:val="21"/>
          <w:szCs w:val="21"/>
        </w:rPr>
        <w:sectPr>
          <w:footerReference r:id="rId86" w:type="default"/>
          <w:pgSz w:w="11905" w:h="16839"/>
          <w:pgMar w:top="1375" w:right="1785" w:bottom="1004" w:left="1785" w:header="0" w:footer="828" w:gutter="0"/>
          <w:pgNumType w:fmt="decimal"/>
          <w:cols w:space="720" w:num="1"/>
        </w:sectPr>
      </w:pPr>
    </w:p>
    <w:p w14:paraId="304F080C">
      <w:pPr>
        <w:spacing w:before="41" w:line="221" w:lineRule="auto"/>
        <w:ind w:left="447"/>
        <w:rPr>
          <w:rFonts w:ascii="宋体" w:hAnsi="宋体" w:eastAsia="宋体" w:cs="宋体"/>
          <w:sz w:val="21"/>
          <w:szCs w:val="21"/>
        </w:rPr>
      </w:pPr>
      <w:r>
        <w:rPr>
          <w:rFonts w:ascii="宋体" w:hAnsi="宋体" w:eastAsia="宋体" w:cs="宋体"/>
          <w:spacing w:val="-5"/>
          <w:sz w:val="21"/>
          <w:szCs w:val="21"/>
        </w:rPr>
        <w:t>（</w:t>
      </w:r>
      <w:r>
        <w:rPr>
          <w:rFonts w:ascii="Times New Roman" w:hAnsi="Times New Roman" w:eastAsia="Times New Roman" w:cs="Times New Roman"/>
          <w:spacing w:val="-5"/>
          <w:sz w:val="21"/>
          <w:szCs w:val="21"/>
        </w:rPr>
        <w:t>4</w:t>
      </w:r>
      <w:r>
        <w:rPr>
          <w:rFonts w:ascii="宋体" w:hAnsi="宋体" w:eastAsia="宋体" w:cs="宋体"/>
          <w:spacing w:val="-5"/>
          <w:sz w:val="21"/>
          <w:szCs w:val="21"/>
        </w:rPr>
        <w:t>）暂列金额：</w:t>
      </w:r>
    </w:p>
    <w:p w14:paraId="73CAF76F">
      <w:pPr>
        <w:spacing w:before="156" w:line="220" w:lineRule="auto"/>
        <w:ind w:left="442"/>
        <w:rPr>
          <w:rFonts w:ascii="宋体" w:hAnsi="宋体" w:eastAsia="宋体" w:cs="宋体"/>
          <w:sz w:val="21"/>
          <w:szCs w:val="21"/>
        </w:rPr>
      </w:pPr>
      <w:r>
        <w:rPr>
          <w:rFonts w:ascii="宋体" w:hAnsi="宋体" w:eastAsia="宋体" w:cs="宋体"/>
          <w:spacing w:val="-12"/>
          <w:sz w:val="21"/>
          <w:szCs w:val="21"/>
        </w:rPr>
        <w:t>人民币（大写）</w:t>
      </w:r>
      <w:r>
        <w:rPr>
          <w:rFonts w:ascii="宋体" w:hAnsi="宋体" w:eastAsia="宋体" w:cs="宋体"/>
          <w:spacing w:val="-41"/>
          <w:sz w:val="21"/>
          <w:szCs w:val="21"/>
        </w:rPr>
        <w:t xml:space="preserve"> </w:t>
      </w:r>
      <w:r>
        <w:rPr>
          <w:rFonts w:ascii="宋体" w:hAnsi="宋体" w:eastAsia="宋体" w:cs="宋体"/>
          <w:spacing w:val="5"/>
          <w:sz w:val="21"/>
          <w:szCs w:val="21"/>
          <w:u w:val="single" w:color="auto"/>
        </w:rPr>
        <w:t xml:space="preserve">          </w:t>
      </w:r>
      <w:r>
        <w:rPr>
          <w:rFonts w:ascii="宋体" w:hAnsi="宋体" w:eastAsia="宋体" w:cs="宋体"/>
          <w:spacing w:val="20"/>
          <w:sz w:val="21"/>
          <w:szCs w:val="21"/>
        </w:rPr>
        <w:t xml:space="preserve"> </w:t>
      </w:r>
      <w:r>
        <w:rPr>
          <w:rFonts w:ascii="宋体" w:hAnsi="宋体" w:eastAsia="宋体" w:cs="宋体"/>
          <w:spacing w:val="-12"/>
          <w:sz w:val="21"/>
          <w:szCs w:val="21"/>
        </w:rPr>
        <w:t>(</w:t>
      </w:r>
      <w:r>
        <w:rPr>
          <w:rFonts w:ascii="Times New Roman" w:hAnsi="Times New Roman" w:eastAsia="Times New Roman" w:cs="Times New Roman"/>
          <w:spacing w:val="-12"/>
          <w:sz w:val="21"/>
          <w:szCs w:val="21"/>
        </w:rPr>
        <w:t xml:space="preserve">¥ </w:t>
      </w:r>
      <w:r>
        <w:rPr>
          <w:rFonts w:ascii="Times New Roman" w:hAnsi="Times New Roman" w:eastAsia="Times New Roman" w:cs="Times New Roman"/>
          <w:sz w:val="21"/>
          <w:szCs w:val="21"/>
          <w:u w:val="single" w:color="auto"/>
        </w:rPr>
        <w:t xml:space="preserve">          </w:t>
      </w:r>
      <w:r>
        <w:rPr>
          <w:rFonts w:ascii="Times New Roman" w:hAnsi="Times New Roman" w:eastAsia="Times New Roman" w:cs="Times New Roman"/>
          <w:spacing w:val="-12"/>
          <w:sz w:val="21"/>
          <w:szCs w:val="21"/>
        </w:rPr>
        <w:t xml:space="preserve"> </w:t>
      </w:r>
      <w:r>
        <w:rPr>
          <w:rFonts w:ascii="宋体" w:hAnsi="宋体" w:eastAsia="宋体" w:cs="宋体"/>
          <w:spacing w:val="-12"/>
          <w:sz w:val="21"/>
          <w:szCs w:val="21"/>
        </w:rPr>
        <w:t>元）。</w:t>
      </w:r>
    </w:p>
    <w:p w14:paraId="4E3641E4">
      <w:pPr>
        <w:spacing w:before="157" w:line="367" w:lineRule="auto"/>
        <w:ind w:left="437"/>
        <w:rPr>
          <w:rFonts w:ascii="宋体" w:hAnsi="宋体" w:eastAsia="宋体" w:cs="宋体"/>
          <w:sz w:val="21"/>
          <w:szCs w:val="21"/>
        </w:rPr>
      </w:pPr>
      <w:r>
        <w:rPr>
          <w:rFonts w:ascii="Times New Roman" w:hAnsi="Times New Roman" w:eastAsia="Times New Roman" w:cs="Times New Roman"/>
          <w:spacing w:val="-8"/>
          <w:sz w:val="21"/>
          <w:szCs w:val="21"/>
        </w:rPr>
        <w:t>2.</w:t>
      </w:r>
      <w:r>
        <w:rPr>
          <w:rFonts w:ascii="宋体" w:hAnsi="宋体" w:eastAsia="宋体" w:cs="宋体"/>
          <w:spacing w:val="-8"/>
          <w:sz w:val="21"/>
          <w:szCs w:val="21"/>
        </w:rPr>
        <w:t>合同价格形式：</w:t>
      </w:r>
      <w:r>
        <w:rPr>
          <w:rFonts w:ascii="宋体" w:hAnsi="宋体" w:eastAsia="宋体" w:cs="宋体"/>
          <w:spacing w:val="-26"/>
          <w:sz w:val="21"/>
          <w:szCs w:val="21"/>
        </w:rPr>
        <w:t xml:space="preserve"> </w:t>
      </w:r>
      <w:r>
        <w:rPr>
          <w:rFonts w:ascii="宋体" w:hAnsi="宋体" w:eastAsia="宋体" w:cs="宋体"/>
          <w:spacing w:val="5"/>
          <w:sz w:val="21"/>
          <w:szCs w:val="21"/>
          <w:u w:val="single" w:color="auto"/>
        </w:rPr>
        <w:t xml:space="preserve">                     </w:t>
      </w:r>
      <w:r>
        <w:rPr>
          <w:rFonts w:ascii="宋体" w:hAnsi="宋体" w:eastAsia="宋体" w:cs="宋体"/>
          <w:spacing w:val="-8"/>
          <w:sz w:val="21"/>
          <w:szCs w:val="21"/>
        </w:rPr>
        <w:t>。</w:t>
      </w:r>
    </w:p>
    <w:p w14:paraId="609F55DE">
      <w:pPr>
        <w:spacing w:before="1" w:line="218" w:lineRule="auto"/>
        <w:ind w:left="25"/>
        <w:rPr>
          <w:rFonts w:ascii="黑体" w:hAnsi="黑体" w:eastAsia="黑体" w:cs="黑体"/>
          <w:sz w:val="24"/>
          <w:szCs w:val="24"/>
        </w:rPr>
      </w:pPr>
      <w:r>
        <w:rPr>
          <w:rFonts w:ascii="黑体" w:hAnsi="黑体" w:eastAsia="黑体" w:cs="黑体"/>
          <w:spacing w:val="-3"/>
          <w:sz w:val="24"/>
          <w:szCs w:val="24"/>
        </w:rPr>
        <w:t>五、项目经理</w:t>
      </w:r>
    </w:p>
    <w:p w14:paraId="6A589F03">
      <w:pPr>
        <w:spacing w:before="178" w:line="366" w:lineRule="auto"/>
        <w:ind w:left="441"/>
        <w:rPr>
          <w:rFonts w:ascii="宋体" w:hAnsi="宋体" w:eastAsia="宋体" w:cs="宋体"/>
          <w:sz w:val="21"/>
          <w:szCs w:val="21"/>
        </w:rPr>
      </w:pPr>
      <w:r>
        <w:rPr>
          <w:rFonts w:ascii="宋体" w:hAnsi="宋体" w:eastAsia="宋体" w:cs="宋体"/>
          <w:spacing w:val="-11"/>
          <w:sz w:val="21"/>
          <w:szCs w:val="21"/>
        </w:rPr>
        <w:t xml:space="preserve">承包人项目经理： </w:t>
      </w:r>
      <w:r>
        <w:rPr>
          <w:rFonts w:ascii="宋体" w:hAnsi="宋体" w:eastAsia="宋体" w:cs="宋体"/>
          <w:spacing w:val="2"/>
          <w:sz w:val="21"/>
          <w:szCs w:val="21"/>
          <w:u w:val="single" w:color="auto"/>
        </w:rPr>
        <w:t xml:space="preserve">                    </w:t>
      </w:r>
      <w:r>
        <w:rPr>
          <w:rFonts w:ascii="宋体" w:hAnsi="宋体" w:eastAsia="宋体" w:cs="宋体"/>
          <w:spacing w:val="-11"/>
          <w:sz w:val="21"/>
          <w:szCs w:val="21"/>
        </w:rPr>
        <w:t>。</w:t>
      </w:r>
    </w:p>
    <w:p w14:paraId="0F24D789">
      <w:pPr>
        <w:spacing w:before="1" w:line="218" w:lineRule="auto"/>
        <w:ind w:left="26"/>
        <w:rPr>
          <w:rFonts w:ascii="黑体" w:hAnsi="黑体" w:eastAsia="黑体" w:cs="黑体"/>
          <w:sz w:val="24"/>
          <w:szCs w:val="24"/>
        </w:rPr>
      </w:pPr>
      <w:r>
        <w:rPr>
          <w:rFonts w:ascii="黑体" w:hAnsi="黑体" w:eastAsia="黑体" w:cs="黑体"/>
          <w:spacing w:val="-2"/>
          <w:sz w:val="24"/>
          <w:szCs w:val="24"/>
        </w:rPr>
        <w:t>六、合同文件构成</w:t>
      </w:r>
    </w:p>
    <w:p w14:paraId="25CB4383">
      <w:pPr>
        <w:spacing w:before="172" w:line="409" w:lineRule="exact"/>
        <w:ind w:left="442"/>
        <w:rPr>
          <w:rFonts w:ascii="宋体" w:hAnsi="宋体" w:eastAsia="宋体" w:cs="宋体"/>
          <w:sz w:val="21"/>
          <w:szCs w:val="21"/>
        </w:rPr>
      </w:pPr>
      <w:r>
        <w:rPr>
          <w:rFonts w:ascii="宋体" w:hAnsi="宋体" w:eastAsia="宋体" w:cs="宋体"/>
          <w:spacing w:val="-1"/>
          <w:position w:val="15"/>
          <w:sz w:val="21"/>
          <w:szCs w:val="21"/>
        </w:rPr>
        <w:t>本协议书与下列文件一起构成合同文件：</w:t>
      </w:r>
    </w:p>
    <w:p w14:paraId="113DEBC3">
      <w:pPr>
        <w:spacing w:line="219" w:lineRule="auto"/>
        <w:ind w:left="447"/>
        <w:rPr>
          <w:rFonts w:ascii="宋体" w:hAnsi="宋体" w:eastAsia="宋体" w:cs="宋体"/>
          <w:sz w:val="21"/>
          <w:szCs w:val="21"/>
        </w:rPr>
      </w:pPr>
      <w:r>
        <w:rPr>
          <w:rFonts w:ascii="宋体" w:hAnsi="宋体" w:eastAsia="宋体" w:cs="宋体"/>
          <w:spacing w:val="-8"/>
          <w:sz w:val="21"/>
          <w:szCs w:val="21"/>
        </w:rPr>
        <w:t>（</w:t>
      </w:r>
      <w:r>
        <w:rPr>
          <w:rFonts w:ascii="Times New Roman" w:hAnsi="Times New Roman" w:eastAsia="Times New Roman" w:cs="Times New Roman"/>
          <w:spacing w:val="-8"/>
          <w:sz w:val="21"/>
          <w:szCs w:val="21"/>
        </w:rPr>
        <w:t>1</w:t>
      </w:r>
      <w:r>
        <w:rPr>
          <w:rFonts w:ascii="宋体" w:hAnsi="宋体" w:eastAsia="宋体" w:cs="宋体"/>
          <w:spacing w:val="-8"/>
          <w:sz w:val="21"/>
          <w:szCs w:val="21"/>
        </w:rPr>
        <w:t>）中标通知书（如果有</w:t>
      </w:r>
      <w:r>
        <w:rPr>
          <w:rFonts w:ascii="宋体" w:hAnsi="宋体" w:eastAsia="宋体" w:cs="宋体"/>
          <w:spacing w:val="-17"/>
          <w:sz w:val="21"/>
          <w:szCs w:val="21"/>
        </w:rPr>
        <w:t>）；</w:t>
      </w:r>
    </w:p>
    <w:p w14:paraId="5AFD8DD9">
      <w:pPr>
        <w:spacing w:before="158" w:line="408" w:lineRule="exact"/>
        <w:ind w:left="447"/>
        <w:rPr>
          <w:rFonts w:ascii="宋体" w:hAnsi="宋体" w:eastAsia="宋体" w:cs="宋体"/>
          <w:sz w:val="21"/>
          <w:szCs w:val="21"/>
        </w:rPr>
      </w:pPr>
      <w:r>
        <w:rPr>
          <w:rFonts w:ascii="宋体" w:hAnsi="宋体" w:eastAsia="宋体" w:cs="宋体"/>
          <w:spacing w:val="-2"/>
          <w:position w:val="15"/>
          <w:sz w:val="21"/>
          <w:szCs w:val="21"/>
        </w:rPr>
        <w:t>（</w:t>
      </w:r>
      <w:r>
        <w:rPr>
          <w:rFonts w:ascii="Times New Roman" w:hAnsi="Times New Roman" w:eastAsia="Times New Roman" w:cs="Times New Roman"/>
          <w:spacing w:val="-2"/>
          <w:position w:val="15"/>
          <w:sz w:val="21"/>
          <w:szCs w:val="21"/>
        </w:rPr>
        <w:t>2</w:t>
      </w:r>
      <w:r>
        <w:rPr>
          <w:rFonts w:ascii="宋体" w:hAnsi="宋体" w:eastAsia="宋体" w:cs="宋体"/>
          <w:spacing w:val="-2"/>
          <w:position w:val="15"/>
          <w:sz w:val="21"/>
          <w:szCs w:val="21"/>
        </w:rPr>
        <w:t>）投标函及其附录（如果有</w:t>
      </w:r>
      <w:r>
        <w:rPr>
          <w:rFonts w:ascii="宋体" w:hAnsi="宋体" w:eastAsia="宋体" w:cs="宋体"/>
          <w:spacing w:val="-53"/>
          <w:position w:val="15"/>
          <w:sz w:val="21"/>
          <w:szCs w:val="21"/>
        </w:rPr>
        <w:t>）；</w:t>
      </w:r>
    </w:p>
    <w:p w14:paraId="5289CC82">
      <w:pPr>
        <w:spacing w:before="1" w:line="219" w:lineRule="auto"/>
        <w:ind w:left="447"/>
        <w:rPr>
          <w:rFonts w:ascii="宋体" w:hAnsi="宋体" w:eastAsia="宋体" w:cs="宋体"/>
          <w:sz w:val="21"/>
          <w:szCs w:val="21"/>
        </w:rPr>
      </w:pPr>
      <w:r>
        <w:rPr>
          <w:rFonts w:ascii="宋体" w:hAnsi="宋体" w:eastAsia="宋体" w:cs="宋体"/>
          <w:spacing w:val="-4"/>
          <w:sz w:val="21"/>
          <w:szCs w:val="21"/>
        </w:rPr>
        <w:t>（</w:t>
      </w:r>
      <w:r>
        <w:rPr>
          <w:rFonts w:ascii="Times New Roman" w:hAnsi="Times New Roman" w:eastAsia="Times New Roman" w:cs="Times New Roman"/>
          <w:spacing w:val="-4"/>
          <w:sz w:val="21"/>
          <w:szCs w:val="21"/>
        </w:rPr>
        <w:t>3</w:t>
      </w:r>
      <w:r>
        <w:rPr>
          <w:rFonts w:ascii="宋体" w:hAnsi="宋体" w:eastAsia="宋体" w:cs="宋体"/>
          <w:spacing w:val="-4"/>
          <w:sz w:val="21"/>
          <w:szCs w:val="21"/>
        </w:rPr>
        <w:t>）专用合同条款及其附件；</w:t>
      </w:r>
    </w:p>
    <w:p w14:paraId="1A8A61D4">
      <w:pPr>
        <w:spacing w:before="158" w:line="221" w:lineRule="auto"/>
        <w:ind w:left="447"/>
        <w:rPr>
          <w:rFonts w:ascii="宋体" w:hAnsi="宋体" w:eastAsia="宋体" w:cs="宋体"/>
          <w:sz w:val="21"/>
          <w:szCs w:val="21"/>
        </w:rPr>
      </w:pPr>
      <w:r>
        <w:rPr>
          <w:rFonts w:ascii="宋体" w:hAnsi="宋体" w:eastAsia="宋体" w:cs="宋体"/>
          <w:spacing w:val="-5"/>
          <w:sz w:val="21"/>
          <w:szCs w:val="21"/>
        </w:rPr>
        <w:t>（</w:t>
      </w:r>
      <w:r>
        <w:rPr>
          <w:rFonts w:ascii="Times New Roman" w:hAnsi="Times New Roman" w:eastAsia="Times New Roman" w:cs="Times New Roman"/>
          <w:spacing w:val="-5"/>
          <w:sz w:val="21"/>
          <w:szCs w:val="21"/>
        </w:rPr>
        <w:t>4</w:t>
      </w:r>
      <w:r>
        <w:rPr>
          <w:rFonts w:ascii="宋体" w:hAnsi="宋体" w:eastAsia="宋体" w:cs="宋体"/>
          <w:spacing w:val="-5"/>
          <w:sz w:val="21"/>
          <w:szCs w:val="21"/>
        </w:rPr>
        <w:t>）通用合同条款；</w:t>
      </w:r>
    </w:p>
    <w:p w14:paraId="0ADD6C56">
      <w:pPr>
        <w:spacing w:before="157" w:line="221" w:lineRule="auto"/>
        <w:ind w:left="447"/>
        <w:rPr>
          <w:rFonts w:ascii="宋体" w:hAnsi="宋体" w:eastAsia="宋体" w:cs="宋体"/>
          <w:sz w:val="21"/>
          <w:szCs w:val="21"/>
        </w:rPr>
      </w:pPr>
      <w:r>
        <w:rPr>
          <w:rFonts w:ascii="宋体" w:hAnsi="宋体" w:eastAsia="宋体" w:cs="宋体"/>
          <w:spacing w:val="-1"/>
          <w:sz w:val="21"/>
          <w:szCs w:val="21"/>
        </w:rPr>
        <w:t>（</w:t>
      </w:r>
      <w:r>
        <w:rPr>
          <w:rFonts w:ascii="Times New Roman" w:hAnsi="Times New Roman" w:eastAsia="Times New Roman" w:cs="Times New Roman"/>
          <w:spacing w:val="-1"/>
          <w:sz w:val="21"/>
          <w:szCs w:val="21"/>
        </w:rPr>
        <w:t>5</w:t>
      </w:r>
      <w:r>
        <w:rPr>
          <w:rFonts w:ascii="宋体" w:hAnsi="宋体" w:eastAsia="宋体" w:cs="宋体"/>
          <w:spacing w:val="-1"/>
          <w:sz w:val="21"/>
          <w:szCs w:val="21"/>
        </w:rPr>
        <w:t>）技术标准和要求；</w:t>
      </w:r>
    </w:p>
    <w:p w14:paraId="40D89857">
      <w:pPr>
        <w:spacing w:before="162" w:line="222" w:lineRule="auto"/>
        <w:ind w:left="447"/>
        <w:rPr>
          <w:rFonts w:ascii="宋体" w:hAnsi="宋体" w:eastAsia="宋体" w:cs="宋体"/>
          <w:sz w:val="21"/>
          <w:szCs w:val="21"/>
        </w:rPr>
      </w:pPr>
      <w:r>
        <w:rPr>
          <w:rFonts w:ascii="宋体" w:hAnsi="宋体" w:eastAsia="宋体" w:cs="宋体"/>
          <w:spacing w:val="-8"/>
          <w:sz w:val="21"/>
          <w:szCs w:val="21"/>
        </w:rPr>
        <w:t>（</w:t>
      </w:r>
      <w:r>
        <w:rPr>
          <w:rFonts w:ascii="Times New Roman" w:hAnsi="Times New Roman" w:eastAsia="Times New Roman" w:cs="Times New Roman"/>
          <w:spacing w:val="-8"/>
          <w:sz w:val="21"/>
          <w:szCs w:val="21"/>
        </w:rPr>
        <w:t>6</w:t>
      </w:r>
      <w:r>
        <w:rPr>
          <w:rFonts w:ascii="宋体" w:hAnsi="宋体" w:eastAsia="宋体" w:cs="宋体"/>
          <w:spacing w:val="-8"/>
          <w:sz w:val="21"/>
          <w:szCs w:val="21"/>
        </w:rPr>
        <w:t>）图纸；</w:t>
      </w:r>
    </w:p>
    <w:p w14:paraId="773A607F">
      <w:pPr>
        <w:spacing w:before="155" w:line="408" w:lineRule="exact"/>
        <w:ind w:left="447"/>
        <w:rPr>
          <w:rFonts w:ascii="宋体" w:hAnsi="宋体" w:eastAsia="宋体" w:cs="宋体"/>
          <w:sz w:val="21"/>
          <w:szCs w:val="21"/>
        </w:rPr>
      </w:pPr>
      <w:r>
        <w:rPr>
          <w:rFonts w:ascii="宋体" w:hAnsi="宋体" w:eastAsia="宋体" w:cs="宋体"/>
          <w:spacing w:val="-3"/>
          <w:position w:val="15"/>
          <w:sz w:val="21"/>
          <w:szCs w:val="21"/>
        </w:rPr>
        <w:t>（</w:t>
      </w:r>
      <w:r>
        <w:rPr>
          <w:rFonts w:ascii="Times New Roman" w:hAnsi="Times New Roman" w:eastAsia="Times New Roman" w:cs="Times New Roman"/>
          <w:spacing w:val="-3"/>
          <w:position w:val="15"/>
          <w:sz w:val="21"/>
          <w:szCs w:val="21"/>
        </w:rPr>
        <w:t>7</w:t>
      </w:r>
      <w:r>
        <w:rPr>
          <w:rFonts w:ascii="宋体" w:hAnsi="宋体" w:eastAsia="宋体" w:cs="宋体"/>
          <w:spacing w:val="-3"/>
          <w:position w:val="15"/>
          <w:sz w:val="21"/>
          <w:szCs w:val="21"/>
        </w:rPr>
        <w:t>）已标价工程量清单或预算书；</w:t>
      </w:r>
    </w:p>
    <w:p w14:paraId="1B9A3931">
      <w:pPr>
        <w:spacing w:before="1" w:line="220" w:lineRule="auto"/>
        <w:ind w:left="447"/>
        <w:rPr>
          <w:rFonts w:ascii="宋体" w:hAnsi="宋体" w:eastAsia="宋体" w:cs="宋体"/>
          <w:sz w:val="21"/>
          <w:szCs w:val="21"/>
        </w:rPr>
      </w:pPr>
      <w:r>
        <w:rPr>
          <w:rFonts w:ascii="宋体" w:hAnsi="宋体" w:eastAsia="宋体" w:cs="宋体"/>
          <w:spacing w:val="-4"/>
          <w:sz w:val="21"/>
          <w:szCs w:val="21"/>
        </w:rPr>
        <w:t>（</w:t>
      </w:r>
      <w:r>
        <w:rPr>
          <w:rFonts w:ascii="Times New Roman" w:hAnsi="Times New Roman" w:eastAsia="Times New Roman" w:cs="Times New Roman"/>
          <w:spacing w:val="-4"/>
          <w:sz w:val="21"/>
          <w:szCs w:val="21"/>
        </w:rPr>
        <w:t>8</w:t>
      </w:r>
      <w:r>
        <w:rPr>
          <w:rFonts w:ascii="宋体" w:hAnsi="宋体" w:eastAsia="宋体" w:cs="宋体"/>
          <w:spacing w:val="-4"/>
          <w:sz w:val="21"/>
          <w:szCs w:val="21"/>
        </w:rPr>
        <w:t>）其他合同文件。</w:t>
      </w:r>
    </w:p>
    <w:p w14:paraId="0507269F">
      <w:pPr>
        <w:spacing w:before="157" w:line="221" w:lineRule="auto"/>
        <w:ind w:left="440"/>
        <w:rPr>
          <w:rFonts w:ascii="宋体" w:hAnsi="宋体" w:eastAsia="宋体" w:cs="宋体"/>
          <w:sz w:val="21"/>
          <w:szCs w:val="21"/>
        </w:rPr>
      </w:pPr>
      <w:r>
        <w:rPr>
          <w:rFonts w:ascii="宋体" w:hAnsi="宋体" w:eastAsia="宋体" w:cs="宋体"/>
          <w:spacing w:val="-1"/>
          <w:sz w:val="21"/>
          <w:szCs w:val="21"/>
        </w:rPr>
        <w:t>在合同订立及履行过程中形成的与合同有关的文件均构成合同文件组成部分。</w:t>
      </w:r>
    </w:p>
    <w:p w14:paraId="2358526C">
      <w:pPr>
        <w:spacing w:before="157" w:line="408" w:lineRule="exact"/>
        <w:ind w:right="6"/>
        <w:jc w:val="right"/>
        <w:rPr>
          <w:rFonts w:ascii="宋体" w:hAnsi="宋体" w:eastAsia="宋体" w:cs="宋体"/>
          <w:sz w:val="21"/>
          <w:szCs w:val="21"/>
        </w:rPr>
      </w:pPr>
      <w:r>
        <w:rPr>
          <w:rFonts w:ascii="宋体" w:hAnsi="宋体" w:eastAsia="宋体" w:cs="宋体"/>
          <w:spacing w:val="3"/>
          <w:position w:val="14"/>
          <w:sz w:val="21"/>
          <w:szCs w:val="21"/>
        </w:rPr>
        <w:t>上述各项合同文件包括合同当事人就该项合同文件所作出的补充和修改，属于同一类</w:t>
      </w:r>
    </w:p>
    <w:p w14:paraId="393800BA">
      <w:pPr>
        <w:spacing w:before="1" w:line="219" w:lineRule="auto"/>
        <w:ind w:left="43"/>
        <w:rPr>
          <w:rFonts w:ascii="宋体" w:hAnsi="宋体" w:eastAsia="宋体" w:cs="宋体"/>
          <w:sz w:val="21"/>
          <w:szCs w:val="21"/>
        </w:rPr>
      </w:pPr>
      <w:r>
        <w:rPr>
          <w:rFonts w:ascii="宋体" w:hAnsi="宋体" w:eastAsia="宋体" w:cs="宋体"/>
          <w:spacing w:val="-1"/>
          <w:sz w:val="21"/>
          <w:szCs w:val="21"/>
        </w:rPr>
        <w:t>内容的文件，应以最新签署的为准。专用合同条款及其附</w:t>
      </w:r>
      <w:r>
        <w:rPr>
          <w:rFonts w:ascii="宋体" w:hAnsi="宋体" w:eastAsia="宋体" w:cs="宋体"/>
          <w:spacing w:val="-2"/>
          <w:sz w:val="21"/>
          <w:szCs w:val="21"/>
        </w:rPr>
        <w:t>件须经合同当事人签字或盖章。</w:t>
      </w:r>
    </w:p>
    <w:p w14:paraId="4AD00293">
      <w:pPr>
        <w:spacing w:before="166" w:line="220" w:lineRule="auto"/>
        <w:ind w:left="18"/>
        <w:rPr>
          <w:rFonts w:ascii="黑体" w:hAnsi="黑体" w:eastAsia="黑体" w:cs="黑体"/>
          <w:sz w:val="24"/>
          <w:szCs w:val="24"/>
        </w:rPr>
      </w:pPr>
      <w:r>
        <w:rPr>
          <w:rFonts w:ascii="黑体" w:hAnsi="黑体" w:eastAsia="黑体" w:cs="黑体"/>
          <w:spacing w:val="-2"/>
          <w:sz w:val="24"/>
          <w:szCs w:val="24"/>
        </w:rPr>
        <w:t>七、承诺</w:t>
      </w:r>
    </w:p>
    <w:p w14:paraId="74EB7C23">
      <w:pPr>
        <w:spacing w:before="176" w:line="409" w:lineRule="exact"/>
        <w:ind w:right="8"/>
        <w:jc w:val="right"/>
        <w:rPr>
          <w:rFonts w:ascii="宋体" w:hAnsi="宋体" w:eastAsia="宋体" w:cs="宋体"/>
          <w:sz w:val="21"/>
          <w:szCs w:val="21"/>
        </w:rPr>
      </w:pPr>
      <w:r>
        <w:rPr>
          <w:rFonts w:ascii="Times New Roman" w:hAnsi="Times New Roman" w:eastAsia="Times New Roman" w:cs="Times New Roman"/>
          <w:spacing w:val="4"/>
          <w:position w:val="15"/>
          <w:sz w:val="21"/>
          <w:szCs w:val="21"/>
        </w:rPr>
        <w:t>1.</w:t>
      </w:r>
      <w:r>
        <w:rPr>
          <w:rFonts w:ascii="宋体" w:hAnsi="宋体" w:eastAsia="宋体" w:cs="宋体"/>
          <w:spacing w:val="4"/>
          <w:position w:val="15"/>
          <w:sz w:val="21"/>
          <w:szCs w:val="21"/>
        </w:rPr>
        <w:t>发包人承诺按照法律规定履行项目审批手续、筹集工程建设资金并按照合</w:t>
      </w:r>
      <w:r>
        <w:rPr>
          <w:rFonts w:ascii="宋体" w:hAnsi="宋体" w:eastAsia="宋体" w:cs="宋体"/>
          <w:spacing w:val="3"/>
          <w:position w:val="15"/>
          <w:sz w:val="21"/>
          <w:szCs w:val="21"/>
        </w:rPr>
        <w:t>同约定的</w:t>
      </w:r>
    </w:p>
    <w:p w14:paraId="417A2275">
      <w:pPr>
        <w:spacing w:line="219" w:lineRule="auto"/>
        <w:ind w:left="20"/>
        <w:rPr>
          <w:rFonts w:ascii="宋体" w:hAnsi="宋体" w:eastAsia="宋体" w:cs="宋体"/>
          <w:sz w:val="21"/>
          <w:szCs w:val="21"/>
        </w:rPr>
      </w:pPr>
      <w:r>
        <w:rPr>
          <w:rFonts w:ascii="宋体" w:hAnsi="宋体" w:eastAsia="宋体" w:cs="宋体"/>
          <w:spacing w:val="-3"/>
          <w:sz w:val="21"/>
          <w:szCs w:val="21"/>
        </w:rPr>
        <w:t>期限和方式支付合同价款。</w:t>
      </w:r>
    </w:p>
    <w:p w14:paraId="5C44EEDB">
      <w:pPr>
        <w:spacing w:before="159" w:line="408" w:lineRule="exact"/>
        <w:jc w:val="right"/>
        <w:rPr>
          <w:rFonts w:ascii="宋体" w:hAnsi="宋体" w:eastAsia="宋体" w:cs="宋体"/>
          <w:sz w:val="21"/>
          <w:szCs w:val="21"/>
        </w:rPr>
      </w:pPr>
      <w:r>
        <w:rPr>
          <w:rFonts w:ascii="Times New Roman" w:hAnsi="Times New Roman" w:eastAsia="Times New Roman" w:cs="Times New Roman"/>
          <w:spacing w:val="4"/>
          <w:position w:val="14"/>
          <w:sz w:val="21"/>
          <w:szCs w:val="21"/>
        </w:rPr>
        <w:t>2.</w:t>
      </w:r>
      <w:r>
        <w:rPr>
          <w:rFonts w:ascii="宋体" w:hAnsi="宋体" w:eastAsia="宋体" w:cs="宋体"/>
          <w:spacing w:val="4"/>
          <w:position w:val="14"/>
          <w:sz w:val="21"/>
          <w:szCs w:val="21"/>
        </w:rPr>
        <w:t>承包人承诺按照法律规定及合同约定组织完成工程施工，确保工程质量和安全，不</w:t>
      </w:r>
    </w:p>
    <w:p w14:paraId="03C22271">
      <w:pPr>
        <w:spacing w:line="220" w:lineRule="auto"/>
        <w:ind w:left="16"/>
        <w:rPr>
          <w:rFonts w:ascii="宋体" w:hAnsi="宋体" w:eastAsia="宋体" w:cs="宋体"/>
          <w:sz w:val="21"/>
          <w:szCs w:val="21"/>
        </w:rPr>
      </w:pPr>
      <w:r>
        <w:rPr>
          <w:rFonts w:ascii="宋体" w:hAnsi="宋体" w:eastAsia="宋体" w:cs="宋体"/>
          <w:spacing w:val="-1"/>
          <w:sz w:val="21"/>
          <w:szCs w:val="21"/>
        </w:rPr>
        <w:t>进行转包及违法分包，并在缺陷责任期及保修期内承担相应的工程维修责任。</w:t>
      </w:r>
    </w:p>
    <w:p w14:paraId="69C1BF4D">
      <w:pPr>
        <w:spacing w:before="157" w:line="409" w:lineRule="exact"/>
        <w:ind w:right="8"/>
        <w:jc w:val="right"/>
        <w:rPr>
          <w:rFonts w:ascii="宋体" w:hAnsi="宋体" w:eastAsia="宋体" w:cs="宋体"/>
          <w:sz w:val="21"/>
          <w:szCs w:val="21"/>
        </w:rPr>
      </w:pPr>
      <w:r>
        <w:rPr>
          <w:rFonts w:ascii="Times New Roman" w:hAnsi="Times New Roman" w:eastAsia="Times New Roman" w:cs="Times New Roman"/>
          <w:spacing w:val="2"/>
          <w:position w:val="15"/>
          <w:sz w:val="21"/>
          <w:szCs w:val="21"/>
        </w:rPr>
        <w:t>3.</w:t>
      </w:r>
      <w:r>
        <w:rPr>
          <w:rFonts w:ascii="宋体" w:hAnsi="宋体" w:eastAsia="宋体" w:cs="宋体"/>
          <w:spacing w:val="2"/>
          <w:position w:val="15"/>
          <w:sz w:val="21"/>
          <w:szCs w:val="21"/>
        </w:rPr>
        <w:t>发包人和承包人通过招投标形式签订合同</w:t>
      </w:r>
      <w:r>
        <w:rPr>
          <w:rFonts w:ascii="宋体" w:hAnsi="宋体" w:eastAsia="宋体" w:cs="宋体"/>
          <w:spacing w:val="1"/>
          <w:position w:val="15"/>
          <w:sz w:val="21"/>
          <w:szCs w:val="21"/>
        </w:rPr>
        <w:t>的， 双方理解并承诺不再就同一工程另行</w:t>
      </w:r>
    </w:p>
    <w:p w14:paraId="17DC8D82">
      <w:pPr>
        <w:spacing w:before="1" w:line="220" w:lineRule="auto"/>
        <w:ind w:left="18"/>
        <w:rPr>
          <w:rFonts w:ascii="宋体" w:hAnsi="宋体" w:eastAsia="宋体" w:cs="宋体"/>
          <w:sz w:val="21"/>
          <w:szCs w:val="21"/>
        </w:rPr>
      </w:pPr>
      <w:r>
        <w:rPr>
          <w:rFonts w:ascii="宋体" w:hAnsi="宋体" w:eastAsia="宋体" w:cs="宋体"/>
          <w:spacing w:val="-2"/>
          <w:sz w:val="21"/>
          <w:szCs w:val="21"/>
        </w:rPr>
        <w:t>签订与合同实质性内容相背离的协议。</w:t>
      </w:r>
    </w:p>
    <w:p w14:paraId="69C7E1D3">
      <w:pPr>
        <w:spacing w:before="165" w:line="220" w:lineRule="auto"/>
        <w:ind w:left="19"/>
        <w:rPr>
          <w:rFonts w:ascii="黑体" w:hAnsi="黑体" w:eastAsia="黑体" w:cs="黑体"/>
          <w:sz w:val="24"/>
          <w:szCs w:val="24"/>
        </w:rPr>
      </w:pPr>
      <w:r>
        <w:rPr>
          <w:rFonts w:ascii="黑体" w:hAnsi="黑体" w:eastAsia="黑体" w:cs="黑体"/>
          <w:spacing w:val="-2"/>
          <w:sz w:val="24"/>
          <w:szCs w:val="24"/>
        </w:rPr>
        <w:t>八、词语含义</w:t>
      </w:r>
    </w:p>
    <w:p w14:paraId="073A2A8F">
      <w:pPr>
        <w:spacing w:before="171" w:line="422" w:lineRule="exact"/>
        <w:ind w:left="442"/>
        <w:rPr>
          <w:rFonts w:ascii="宋体" w:hAnsi="宋体" w:eastAsia="宋体" w:cs="宋体"/>
          <w:sz w:val="21"/>
          <w:szCs w:val="21"/>
        </w:rPr>
      </w:pPr>
      <w:r>
        <w:rPr>
          <w:rFonts w:ascii="宋体" w:hAnsi="宋体" w:eastAsia="宋体" w:cs="宋体"/>
          <w:position w:val="16"/>
          <w:sz w:val="21"/>
          <w:szCs w:val="21"/>
        </w:rPr>
        <w:t>本协议书中词语含义与第二部分通用合同条款中赋予</w:t>
      </w:r>
      <w:r>
        <w:rPr>
          <w:rFonts w:ascii="宋体" w:hAnsi="宋体" w:eastAsia="宋体" w:cs="宋体"/>
          <w:spacing w:val="-1"/>
          <w:position w:val="16"/>
          <w:sz w:val="21"/>
          <w:szCs w:val="21"/>
        </w:rPr>
        <w:t>的含义相同。</w:t>
      </w:r>
    </w:p>
    <w:p w14:paraId="1FD985B6">
      <w:pPr>
        <w:spacing w:line="220" w:lineRule="auto"/>
        <w:ind w:left="25"/>
        <w:rPr>
          <w:rFonts w:ascii="黑体" w:hAnsi="黑体" w:eastAsia="黑体" w:cs="黑体"/>
          <w:sz w:val="24"/>
          <w:szCs w:val="24"/>
        </w:rPr>
      </w:pPr>
      <w:r>
        <w:rPr>
          <w:rFonts w:ascii="黑体" w:hAnsi="黑体" w:eastAsia="黑体" w:cs="黑体"/>
          <w:spacing w:val="-3"/>
          <w:sz w:val="24"/>
          <w:szCs w:val="24"/>
        </w:rPr>
        <w:t>九、签订时间</w:t>
      </w:r>
    </w:p>
    <w:p w14:paraId="7FAAA59C">
      <w:pPr>
        <w:spacing w:before="172" w:line="366" w:lineRule="auto"/>
        <w:ind w:left="442"/>
        <w:rPr>
          <w:rFonts w:ascii="宋体" w:hAnsi="宋体" w:eastAsia="宋体" w:cs="宋体"/>
          <w:sz w:val="21"/>
          <w:szCs w:val="21"/>
        </w:rPr>
      </w:pPr>
      <w:r>
        <w:rPr>
          <w:rFonts w:ascii="宋体" w:hAnsi="宋体" w:eastAsia="宋体" w:cs="宋体"/>
          <w:spacing w:val="-9"/>
          <w:sz w:val="21"/>
          <w:szCs w:val="21"/>
        </w:rPr>
        <w:t>本合同于</w:t>
      </w:r>
      <w:r>
        <w:rPr>
          <w:rFonts w:ascii="宋体" w:hAnsi="宋体" w:eastAsia="宋体" w:cs="宋体"/>
          <w:spacing w:val="-52"/>
          <w:sz w:val="21"/>
          <w:szCs w:val="21"/>
        </w:rPr>
        <w:t xml:space="preserve"> </w:t>
      </w:r>
      <w:r>
        <w:rPr>
          <w:rFonts w:ascii="宋体" w:hAnsi="宋体" w:eastAsia="宋体" w:cs="宋体"/>
          <w:spacing w:val="34"/>
          <w:sz w:val="21"/>
          <w:szCs w:val="21"/>
          <w:u w:val="single" w:color="auto"/>
        </w:rPr>
        <w:t xml:space="preserve">   </w:t>
      </w:r>
      <w:r>
        <w:rPr>
          <w:rFonts w:ascii="宋体" w:hAnsi="宋体" w:eastAsia="宋体" w:cs="宋体"/>
          <w:spacing w:val="-96"/>
          <w:sz w:val="21"/>
          <w:szCs w:val="21"/>
        </w:rPr>
        <w:t xml:space="preserve"> </w:t>
      </w:r>
      <w:r>
        <w:rPr>
          <w:rFonts w:ascii="宋体" w:hAnsi="宋体" w:eastAsia="宋体" w:cs="宋体"/>
          <w:spacing w:val="-9"/>
          <w:sz w:val="21"/>
          <w:szCs w:val="21"/>
        </w:rPr>
        <w:t>年</w:t>
      </w:r>
      <w:r>
        <w:rPr>
          <w:rFonts w:ascii="宋体" w:hAnsi="宋体" w:eastAsia="宋体" w:cs="宋体"/>
          <w:spacing w:val="-105"/>
          <w:sz w:val="21"/>
          <w:szCs w:val="21"/>
        </w:rPr>
        <w:t xml:space="preserve"> </w:t>
      </w:r>
      <w:r>
        <w:rPr>
          <w:rFonts w:ascii="宋体" w:hAnsi="宋体" w:eastAsia="宋体" w:cs="宋体"/>
          <w:spacing w:val="18"/>
          <w:sz w:val="21"/>
          <w:szCs w:val="21"/>
          <w:u w:val="single" w:color="auto"/>
        </w:rPr>
        <w:t xml:space="preserve">   </w:t>
      </w:r>
      <w:r>
        <w:rPr>
          <w:rFonts w:ascii="宋体" w:hAnsi="宋体" w:eastAsia="宋体" w:cs="宋体"/>
          <w:spacing w:val="-43"/>
          <w:sz w:val="21"/>
          <w:szCs w:val="21"/>
        </w:rPr>
        <w:t xml:space="preserve"> </w:t>
      </w:r>
      <w:r>
        <w:rPr>
          <w:rFonts w:ascii="宋体" w:hAnsi="宋体" w:eastAsia="宋体" w:cs="宋体"/>
          <w:spacing w:val="-9"/>
          <w:sz w:val="21"/>
          <w:szCs w:val="21"/>
        </w:rPr>
        <w:t>月</w:t>
      </w:r>
      <w:r>
        <w:rPr>
          <w:rFonts w:ascii="宋体" w:hAnsi="宋体" w:eastAsia="宋体" w:cs="宋体"/>
          <w:spacing w:val="-104"/>
          <w:sz w:val="21"/>
          <w:szCs w:val="21"/>
        </w:rPr>
        <w:t xml:space="preserve"> </w:t>
      </w:r>
      <w:r>
        <w:rPr>
          <w:rFonts w:ascii="宋体" w:hAnsi="宋体" w:eastAsia="宋体" w:cs="宋体"/>
          <w:spacing w:val="18"/>
          <w:sz w:val="21"/>
          <w:szCs w:val="21"/>
          <w:u w:val="single" w:color="auto"/>
        </w:rPr>
        <w:t xml:space="preserve">   </w:t>
      </w:r>
      <w:r>
        <w:rPr>
          <w:rFonts w:ascii="宋体" w:hAnsi="宋体" w:eastAsia="宋体" w:cs="宋体"/>
          <w:spacing w:val="-60"/>
          <w:sz w:val="21"/>
          <w:szCs w:val="21"/>
        </w:rPr>
        <w:t xml:space="preserve"> </w:t>
      </w:r>
      <w:r>
        <w:rPr>
          <w:rFonts w:ascii="宋体" w:hAnsi="宋体" w:eastAsia="宋体" w:cs="宋体"/>
          <w:spacing w:val="-9"/>
          <w:sz w:val="21"/>
          <w:szCs w:val="21"/>
        </w:rPr>
        <w:t>日签订。</w:t>
      </w:r>
    </w:p>
    <w:p w14:paraId="3EB32719">
      <w:pPr>
        <w:spacing w:line="220" w:lineRule="auto"/>
        <w:ind w:left="22"/>
        <w:rPr>
          <w:rFonts w:ascii="黑体" w:hAnsi="黑体" w:eastAsia="黑体" w:cs="黑体"/>
          <w:sz w:val="24"/>
          <w:szCs w:val="24"/>
        </w:rPr>
      </w:pPr>
      <w:r>
        <w:rPr>
          <w:rFonts w:ascii="黑体" w:hAnsi="黑体" w:eastAsia="黑体" w:cs="黑体"/>
          <w:spacing w:val="-2"/>
          <w:sz w:val="24"/>
          <w:szCs w:val="24"/>
        </w:rPr>
        <w:t>十、签订地点</w:t>
      </w:r>
    </w:p>
    <w:p w14:paraId="57C0123E">
      <w:pPr>
        <w:spacing w:before="171" w:line="366" w:lineRule="auto"/>
        <w:ind w:left="442"/>
        <w:rPr>
          <w:rFonts w:ascii="宋体" w:hAnsi="宋体" w:eastAsia="宋体" w:cs="宋体"/>
          <w:sz w:val="21"/>
          <w:szCs w:val="21"/>
        </w:rPr>
      </w:pPr>
      <w:r>
        <w:rPr>
          <w:rFonts w:ascii="宋体" w:hAnsi="宋体" w:eastAsia="宋体" w:cs="宋体"/>
          <w:spacing w:val="-4"/>
          <w:sz w:val="21"/>
          <w:szCs w:val="21"/>
        </w:rPr>
        <w:t xml:space="preserve">本合同在 </w:t>
      </w:r>
      <w:r>
        <w:rPr>
          <w:rFonts w:ascii="宋体" w:hAnsi="宋体" w:eastAsia="宋体" w:cs="宋体"/>
          <w:spacing w:val="3"/>
          <w:sz w:val="21"/>
          <w:szCs w:val="21"/>
          <w:u w:val="single" w:color="auto"/>
        </w:rPr>
        <w:t xml:space="preserve">                </w:t>
      </w:r>
      <w:r>
        <w:rPr>
          <w:rFonts w:ascii="宋体" w:hAnsi="宋体" w:eastAsia="宋体" w:cs="宋体"/>
          <w:spacing w:val="-40"/>
          <w:sz w:val="21"/>
          <w:szCs w:val="21"/>
        </w:rPr>
        <w:t xml:space="preserve"> </w:t>
      </w:r>
      <w:r>
        <w:rPr>
          <w:rFonts w:ascii="宋体" w:hAnsi="宋体" w:eastAsia="宋体" w:cs="宋体"/>
          <w:spacing w:val="-4"/>
          <w:sz w:val="21"/>
          <w:szCs w:val="21"/>
        </w:rPr>
        <w:t>签订。</w:t>
      </w:r>
    </w:p>
    <w:p w14:paraId="00489236">
      <w:pPr>
        <w:spacing w:before="1" w:line="218" w:lineRule="auto"/>
        <w:ind w:left="22"/>
        <w:rPr>
          <w:rFonts w:ascii="黑体" w:hAnsi="黑体" w:eastAsia="黑体" w:cs="黑体"/>
          <w:sz w:val="24"/>
          <w:szCs w:val="24"/>
        </w:rPr>
      </w:pPr>
      <w:r>
        <w:rPr>
          <w:rFonts w:ascii="黑体" w:hAnsi="黑体" w:eastAsia="黑体" w:cs="黑体"/>
          <w:spacing w:val="-3"/>
          <w:sz w:val="24"/>
          <w:szCs w:val="24"/>
        </w:rPr>
        <w:t>十一、补充协议</w:t>
      </w:r>
    </w:p>
    <w:p w14:paraId="54D0BB05">
      <w:pPr>
        <w:spacing w:before="177" w:line="221" w:lineRule="auto"/>
        <w:ind w:left="442"/>
        <w:rPr>
          <w:rFonts w:ascii="宋体" w:hAnsi="宋体" w:eastAsia="宋体" w:cs="宋体"/>
          <w:sz w:val="21"/>
          <w:szCs w:val="21"/>
        </w:rPr>
      </w:pPr>
      <w:r>
        <w:rPr>
          <w:rFonts w:ascii="宋体" w:hAnsi="宋体" w:eastAsia="宋体" w:cs="宋体"/>
          <w:spacing w:val="-4"/>
          <w:sz w:val="21"/>
          <w:szCs w:val="21"/>
        </w:rPr>
        <w:t>合同未尽事宜，合同当事人另行签订补充协议， 补充协议是合同的组成部分。</w:t>
      </w:r>
    </w:p>
    <w:p w14:paraId="1E2A5D01">
      <w:pPr>
        <w:spacing w:line="221" w:lineRule="auto"/>
        <w:rPr>
          <w:rFonts w:ascii="宋体" w:hAnsi="宋体" w:eastAsia="宋体" w:cs="宋体"/>
          <w:sz w:val="21"/>
          <w:szCs w:val="21"/>
        </w:rPr>
        <w:sectPr>
          <w:footerReference r:id="rId87" w:type="default"/>
          <w:pgSz w:w="11905" w:h="16839"/>
          <w:pgMar w:top="1427" w:right="1785" w:bottom="1004" w:left="1785" w:header="0" w:footer="828" w:gutter="0"/>
          <w:pgNumType w:fmt="decimal"/>
          <w:cols w:space="720" w:num="1"/>
        </w:sectPr>
      </w:pPr>
    </w:p>
    <w:p w14:paraId="36F3CF5A">
      <w:pPr>
        <w:spacing w:before="48" w:line="218" w:lineRule="auto"/>
        <w:ind w:left="22"/>
        <w:rPr>
          <w:rFonts w:ascii="黑体" w:hAnsi="黑体" w:eastAsia="黑体" w:cs="黑体"/>
          <w:sz w:val="24"/>
          <w:szCs w:val="24"/>
        </w:rPr>
      </w:pPr>
      <w:r>
        <w:rPr>
          <w:rFonts w:ascii="黑体" w:hAnsi="黑体" w:eastAsia="黑体" w:cs="黑体"/>
          <w:spacing w:val="-2"/>
          <w:sz w:val="24"/>
          <w:szCs w:val="24"/>
        </w:rPr>
        <w:t>十二、合同生效</w:t>
      </w:r>
    </w:p>
    <w:p w14:paraId="465C947A">
      <w:pPr>
        <w:spacing w:before="173" w:line="366" w:lineRule="auto"/>
        <w:ind w:left="442"/>
        <w:rPr>
          <w:rFonts w:ascii="宋体" w:hAnsi="宋体" w:eastAsia="宋体" w:cs="宋体"/>
          <w:sz w:val="21"/>
          <w:szCs w:val="21"/>
        </w:rPr>
      </w:pPr>
      <w:r>
        <w:rPr>
          <w:rFonts w:ascii="宋体" w:hAnsi="宋体" w:eastAsia="宋体" w:cs="宋体"/>
          <w:spacing w:val="-5"/>
          <w:sz w:val="21"/>
          <w:szCs w:val="21"/>
        </w:rPr>
        <w:t>本合同自</w:t>
      </w:r>
      <w:r>
        <w:rPr>
          <w:rFonts w:ascii="宋体" w:hAnsi="宋体" w:eastAsia="宋体" w:cs="宋体"/>
          <w:spacing w:val="-100"/>
          <w:sz w:val="21"/>
          <w:szCs w:val="21"/>
        </w:rPr>
        <w:t xml:space="preserve"> </w:t>
      </w:r>
      <w:r>
        <w:rPr>
          <w:rFonts w:ascii="宋体" w:hAnsi="宋体" w:eastAsia="宋体" w:cs="宋体"/>
          <w:sz w:val="21"/>
          <w:szCs w:val="21"/>
          <w:u w:val="single" w:color="auto"/>
        </w:rPr>
        <w:t xml:space="preserve">                 </w:t>
      </w:r>
      <w:r>
        <w:rPr>
          <w:rFonts w:ascii="宋体" w:hAnsi="宋体" w:eastAsia="宋体" w:cs="宋体"/>
          <w:spacing w:val="-46"/>
          <w:sz w:val="21"/>
          <w:szCs w:val="21"/>
        </w:rPr>
        <w:t xml:space="preserve"> </w:t>
      </w:r>
      <w:r>
        <w:rPr>
          <w:rFonts w:ascii="宋体" w:hAnsi="宋体" w:eastAsia="宋体" w:cs="宋体"/>
          <w:spacing w:val="-5"/>
          <w:sz w:val="21"/>
          <w:szCs w:val="21"/>
        </w:rPr>
        <w:t>生效。</w:t>
      </w:r>
    </w:p>
    <w:p w14:paraId="5EC42EAC">
      <w:pPr>
        <w:spacing w:line="219" w:lineRule="auto"/>
        <w:ind w:left="22"/>
        <w:rPr>
          <w:rFonts w:ascii="黑体" w:hAnsi="黑体" w:eastAsia="黑体" w:cs="黑体"/>
          <w:sz w:val="24"/>
          <w:szCs w:val="24"/>
        </w:rPr>
      </w:pPr>
      <w:r>
        <w:rPr>
          <w:rFonts w:ascii="黑体" w:hAnsi="黑体" w:eastAsia="黑体" w:cs="黑体"/>
          <w:spacing w:val="-2"/>
          <w:sz w:val="24"/>
          <w:szCs w:val="24"/>
        </w:rPr>
        <w:t>十三、合同份数</w:t>
      </w:r>
    </w:p>
    <w:p w14:paraId="1B44545F">
      <w:pPr>
        <w:spacing w:before="176" w:line="220" w:lineRule="auto"/>
        <w:ind w:left="442"/>
        <w:rPr>
          <w:rFonts w:ascii="宋体" w:hAnsi="宋体" w:eastAsia="宋体" w:cs="宋体"/>
          <w:sz w:val="21"/>
          <w:szCs w:val="21"/>
        </w:rPr>
      </w:pPr>
      <w:r>
        <w:rPr>
          <w:rFonts w:ascii="宋体" w:hAnsi="宋体" w:eastAsia="宋体" w:cs="宋体"/>
          <w:spacing w:val="-4"/>
          <w:sz w:val="21"/>
          <w:szCs w:val="21"/>
        </w:rPr>
        <w:t>本合同一式</w:t>
      </w:r>
      <w:r>
        <w:rPr>
          <w:rFonts w:ascii="宋体" w:hAnsi="宋体" w:eastAsia="宋体" w:cs="宋体"/>
          <w:spacing w:val="-104"/>
          <w:sz w:val="21"/>
          <w:szCs w:val="21"/>
        </w:rPr>
        <w:t xml:space="preserve"> </w:t>
      </w:r>
      <w:r>
        <w:rPr>
          <w:rFonts w:ascii="宋体" w:hAnsi="宋体" w:eastAsia="宋体" w:cs="宋体"/>
          <w:spacing w:val="16"/>
          <w:sz w:val="21"/>
          <w:szCs w:val="21"/>
          <w:u w:val="single" w:color="auto"/>
        </w:rPr>
        <w:t xml:space="preserve">   </w:t>
      </w:r>
      <w:r>
        <w:rPr>
          <w:rFonts w:ascii="宋体" w:hAnsi="宋体" w:eastAsia="宋体" w:cs="宋体"/>
          <w:spacing w:val="-95"/>
          <w:sz w:val="21"/>
          <w:szCs w:val="21"/>
        </w:rPr>
        <w:t xml:space="preserve"> </w:t>
      </w:r>
      <w:r>
        <w:rPr>
          <w:rFonts w:ascii="宋体" w:hAnsi="宋体" w:eastAsia="宋体" w:cs="宋体"/>
          <w:spacing w:val="-4"/>
          <w:sz w:val="21"/>
          <w:szCs w:val="21"/>
        </w:rPr>
        <w:t>份，</w:t>
      </w:r>
      <w:r>
        <w:rPr>
          <w:rFonts w:ascii="宋体" w:hAnsi="宋体" w:eastAsia="宋体" w:cs="宋体"/>
          <w:spacing w:val="-27"/>
          <w:sz w:val="21"/>
          <w:szCs w:val="21"/>
        </w:rPr>
        <w:t xml:space="preserve"> </w:t>
      </w:r>
      <w:r>
        <w:rPr>
          <w:rFonts w:ascii="宋体" w:hAnsi="宋体" w:eastAsia="宋体" w:cs="宋体"/>
          <w:spacing w:val="-4"/>
          <w:sz w:val="21"/>
          <w:szCs w:val="21"/>
        </w:rPr>
        <w:t>均具有同等法律效力，发包人执</w:t>
      </w:r>
      <w:r>
        <w:rPr>
          <w:rFonts w:ascii="宋体" w:hAnsi="宋体" w:eastAsia="宋体" w:cs="宋体"/>
          <w:spacing w:val="-103"/>
          <w:sz w:val="21"/>
          <w:szCs w:val="21"/>
        </w:rPr>
        <w:t xml:space="preserve"> </w:t>
      </w:r>
      <w:r>
        <w:rPr>
          <w:rFonts w:ascii="宋体" w:hAnsi="宋体" w:eastAsia="宋体" w:cs="宋体"/>
          <w:spacing w:val="51"/>
          <w:sz w:val="21"/>
          <w:szCs w:val="21"/>
          <w:u w:val="single" w:color="auto"/>
        </w:rPr>
        <w:t xml:space="preserve">  </w:t>
      </w:r>
      <w:r>
        <w:rPr>
          <w:rFonts w:ascii="宋体" w:hAnsi="宋体" w:eastAsia="宋体" w:cs="宋体"/>
          <w:spacing w:val="-97"/>
          <w:sz w:val="21"/>
          <w:szCs w:val="21"/>
        </w:rPr>
        <w:t xml:space="preserve"> </w:t>
      </w:r>
      <w:r>
        <w:rPr>
          <w:rFonts w:ascii="宋体" w:hAnsi="宋体" w:eastAsia="宋体" w:cs="宋体"/>
          <w:spacing w:val="-4"/>
          <w:sz w:val="21"/>
          <w:szCs w:val="21"/>
        </w:rPr>
        <w:t>份，承包人执</w:t>
      </w:r>
      <w:r>
        <w:rPr>
          <w:rFonts w:ascii="宋体" w:hAnsi="宋体" w:eastAsia="宋体" w:cs="宋体"/>
          <w:spacing w:val="-105"/>
          <w:sz w:val="21"/>
          <w:szCs w:val="21"/>
        </w:rPr>
        <w:t xml:space="preserve"> </w:t>
      </w:r>
      <w:r>
        <w:rPr>
          <w:rFonts w:ascii="宋体" w:hAnsi="宋体" w:eastAsia="宋体" w:cs="宋体"/>
          <w:spacing w:val="16"/>
          <w:sz w:val="21"/>
          <w:szCs w:val="21"/>
          <w:u w:val="single" w:color="auto"/>
        </w:rPr>
        <w:t xml:space="preserve">   </w:t>
      </w:r>
      <w:r>
        <w:rPr>
          <w:rFonts w:ascii="宋体" w:hAnsi="宋体" w:eastAsia="宋体" w:cs="宋体"/>
          <w:spacing w:val="-94"/>
          <w:sz w:val="21"/>
          <w:szCs w:val="21"/>
        </w:rPr>
        <w:t xml:space="preserve"> </w:t>
      </w:r>
      <w:r>
        <w:rPr>
          <w:rFonts w:ascii="宋体" w:hAnsi="宋体" w:eastAsia="宋体" w:cs="宋体"/>
          <w:spacing w:val="-4"/>
          <w:sz w:val="21"/>
          <w:szCs w:val="21"/>
        </w:rPr>
        <w:t>份。</w:t>
      </w:r>
    </w:p>
    <w:p w14:paraId="51CC6B82">
      <w:pPr>
        <w:pStyle w:val="3"/>
        <w:spacing w:line="256" w:lineRule="auto"/>
      </w:pPr>
    </w:p>
    <w:p w14:paraId="10CCD130">
      <w:pPr>
        <w:pStyle w:val="3"/>
        <w:spacing w:line="256" w:lineRule="auto"/>
      </w:pPr>
    </w:p>
    <w:p w14:paraId="4F51E14D">
      <w:pPr>
        <w:pStyle w:val="3"/>
        <w:spacing w:line="256" w:lineRule="auto"/>
      </w:pPr>
    </w:p>
    <w:p w14:paraId="48DF7722">
      <w:pPr>
        <w:pStyle w:val="3"/>
        <w:spacing w:line="257" w:lineRule="auto"/>
      </w:pPr>
    </w:p>
    <w:p w14:paraId="157F0ABD">
      <w:pPr>
        <w:pStyle w:val="3"/>
        <w:spacing w:line="257" w:lineRule="auto"/>
      </w:pPr>
    </w:p>
    <w:p w14:paraId="2EACB50F">
      <w:pPr>
        <w:pStyle w:val="3"/>
        <w:spacing w:line="257" w:lineRule="auto"/>
      </w:pPr>
    </w:p>
    <w:p w14:paraId="577BB1C3">
      <w:pPr>
        <w:pStyle w:val="3"/>
        <w:spacing w:line="257" w:lineRule="auto"/>
      </w:pPr>
    </w:p>
    <w:p w14:paraId="01CFEDB9">
      <w:pPr>
        <w:pStyle w:val="3"/>
        <w:spacing w:line="257" w:lineRule="auto"/>
      </w:pPr>
    </w:p>
    <w:p w14:paraId="700538CD">
      <w:pPr>
        <w:pStyle w:val="3"/>
        <w:spacing w:line="257" w:lineRule="auto"/>
      </w:pPr>
    </w:p>
    <w:p w14:paraId="5920F486">
      <w:pPr>
        <w:pStyle w:val="3"/>
        <w:spacing w:line="257" w:lineRule="auto"/>
      </w:pPr>
    </w:p>
    <w:p w14:paraId="6DC8B85D">
      <w:pPr>
        <w:pStyle w:val="3"/>
        <w:spacing w:line="257" w:lineRule="auto"/>
      </w:pPr>
    </w:p>
    <w:p w14:paraId="695EB24C">
      <w:pPr>
        <w:pStyle w:val="3"/>
        <w:spacing w:line="257" w:lineRule="auto"/>
      </w:pPr>
    </w:p>
    <w:p w14:paraId="0F02DDA2">
      <w:pPr>
        <w:pStyle w:val="3"/>
        <w:spacing w:line="257" w:lineRule="auto"/>
      </w:pPr>
    </w:p>
    <w:p w14:paraId="4ED94ECF">
      <w:pPr>
        <w:spacing w:before="69" w:line="220" w:lineRule="auto"/>
        <w:ind w:left="444"/>
        <w:rPr>
          <w:rFonts w:ascii="宋体" w:hAnsi="宋体" w:eastAsia="宋体" w:cs="宋体"/>
          <w:sz w:val="21"/>
          <w:szCs w:val="21"/>
        </w:rPr>
      </w:pPr>
      <w:r>
        <w:rPr>
          <w:rFonts w:ascii="宋体" w:hAnsi="宋体" w:eastAsia="宋体" w:cs="宋体"/>
          <w:spacing w:val="-15"/>
          <w:sz w:val="21"/>
          <w:szCs w:val="21"/>
        </w:rPr>
        <w:t>发包人</w:t>
      </w:r>
      <w:r>
        <w:rPr>
          <w:rFonts w:ascii="宋体" w:hAnsi="宋体" w:eastAsia="宋体" w:cs="宋体"/>
          <w:spacing w:val="-13"/>
          <w:sz w:val="21"/>
          <w:szCs w:val="21"/>
        </w:rPr>
        <w:t>：</w:t>
      </w:r>
      <w:r>
        <w:rPr>
          <w:rFonts w:ascii="宋体" w:hAnsi="宋体" w:eastAsia="宋体" w:cs="宋体"/>
          <w:spacing w:val="2"/>
          <w:sz w:val="21"/>
          <w:szCs w:val="21"/>
        </w:rPr>
        <w:t xml:space="preserve">   </w:t>
      </w:r>
      <w:r>
        <w:rPr>
          <w:rFonts w:ascii="宋体" w:hAnsi="宋体" w:eastAsia="宋体" w:cs="宋体"/>
          <w:spacing w:val="-13"/>
          <w:sz w:val="21"/>
          <w:szCs w:val="21"/>
        </w:rPr>
        <w:t>（</w:t>
      </w:r>
      <w:r>
        <w:rPr>
          <w:rFonts w:ascii="宋体" w:hAnsi="宋体" w:eastAsia="宋体" w:cs="宋体"/>
          <w:spacing w:val="-15"/>
          <w:sz w:val="21"/>
          <w:szCs w:val="21"/>
        </w:rPr>
        <w:t>公章）</w:t>
      </w:r>
      <w:r>
        <w:rPr>
          <w:rFonts w:ascii="宋体" w:hAnsi="宋体" w:eastAsia="宋体" w:cs="宋体"/>
          <w:sz w:val="21"/>
          <w:szCs w:val="21"/>
        </w:rPr>
        <w:t xml:space="preserve">                         </w:t>
      </w:r>
      <w:r>
        <w:rPr>
          <w:rFonts w:ascii="宋体" w:hAnsi="宋体" w:eastAsia="宋体" w:cs="宋体"/>
          <w:spacing w:val="-15"/>
          <w:sz w:val="21"/>
          <w:szCs w:val="21"/>
        </w:rPr>
        <w:t>承包人</w:t>
      </w:r>
      <w:r>
        <w:rPr>
          <w:rFonts w:ascii="宋体" w:hAnsi="宋体" w:eastAsia="宋体" w:cs="宋体"/>
          <w:spacing w:val="-13"/>
          <w:sz w:val="21"/>
          <w:szCs w:val="21"/>
        </w:rPr>
        <w:t>：</w:t>
      </w:r>
      <w:r>
        <w:rPr>
          <w:rFonts w:ascii="宋体" w:hAnsi="宋体" w:eastAsia="宋体" w:cs="宋体"/>
          <w:spacing w:val="55"/>
          <w:sz w:val="21"/>
          <w:szCs w:val="21"/>
        </w:rPr>
        <w:t xml:space="preserve">  </w:t>
      </w:r>
      <w:r>
        <w:rPr>
          <w:rFonts w:ascii="宋体" w:hAnsi="宋体" w:eastAsia="宋体" w:cs="宋体"/>
          <w:spacing w:val="-13"/>
          <w:sz w:val="21"/>
          <w:szCs w:val="21"/>
        </w:rPr>
        <w:t>（</w:t>
      </w:r>
      <w:r>
        <w:rPr>
          <w:rFonts w:ascii="宋体" w:hAnsi="宋体" w:eastAsia="宋体" w:cs="宋体"/>
          <w:spacing w:val="-15"/>
          <w:sz w:val="21"/>
          <w:szCs w:val="21"/>
        </w:rPr>
        <w:t>公章）</w:t>
      </w:r>
    </w:p>
    <w:p w14:paraId="05903F50">
      <w:pPr>
        <w:spacing w:before="20"/>
      </w:pPr>
    </w:p>
    <w:p w14:paraId="02F305F5">
      <w:pPr>
        <w:spacing w:before="20"/>
      </w:pPr>
    </w:p>
    <w:p w14:paraId="7BA44704">
      <w:pPr>
        <w:sectPr>
          <w:footerReference r:id="rId88" w:type="default"/>
          <w:pgSz w:w="11905" w:h="16839"/>
          <w:pgMar w:top="1431" w:right="1785" w:bottom="1004" w:left="1785" w:header="0" w:footer="828" w:gutter="0"/>
          <w:pgNumType w:fmt="decimal"/>
          <w:cols w:equalWidth="0" w:num="1">
            <w:col w:w="8333"/>
          </w:cols>
        </w:sectPr>
      </w:pPr>
    </w:p>
    <w:p w14:paraId="7B4F6717">
      <w:pPr>
        <w:spacing w:before="43" w:line="408" w:lineRule="exact"/>
        <w:ind w:left="442"/>
        <w:rPr>
          <w:rFonts w:ascii="宋体" w:hAnsi="宋体" w:eastAsia="宋体" w:cs="宋体"/>
          <w:sz w:val="21"/>
          <w:szCs w:val="21"/>
        </w:rPr>
      </w:pPr>
      <w:r>
        <w:rPr>
          <w:rFonts w:ascii="宋体" w:hAnsi="宋体" w:eastAsia="宋体" w:cs="宋体"/>
          <w:spacing w:val="-4"/>
          <w:position w:val="14"/>
          <w:sz w:val="21"/>
          <w:szCs w:val="21"/>
        </w:rPr>
        <w:t>法定代表人或其委托代理人：</w:t>
      </w:r>
    </w:p>
    <w:p w14:paraId="0A9038E4">
      <w:pPr>
        <w:spacing w:line="220" w:lineRule="auto"/>
        <w:ind w:left="447"/>
        <w:rPr>
          <w:rFonts w:ascii="宋体" w:hAnsi="宋体" w:eastAsia="宋体" w:cs="宋体"/>
          <w:sz w:val="21"/>
          <w:szCs w:val="21"/>
        </w:rPr>
      </w:pPr>
      <w:r>
        <w:rPr>
          <w:rFonts w:ascii="宋体" w:hAnsi="宋体" w:eastAsia="宋体" w:cs="宋体"/>
          <w:spacing w:val="-5"/>
          <w:sz w:val="21"/>
          <w:szCs w:val="21"/>
        </w:rPr>
        <w:t>（签字）</w:t>
      </w:r>
    </w:p>
    <w:p w14:paraId="67414092">
      <w:pPr>
        <w:pStyle w:val="3"/>
        <w:spacing w:line="446" w:lineRule="auto"/>
      </w:pPr>
    </w:p>
    <w:p w14:paraId="6F8A237F">
      <w:pPr>
        <w:spacing w:before="69" w:line="413" w:lineRule="exact"/>
        <w:ind w:left="443"/>
        <w:rPr>
          <w:rFonts w:ascii="宋体" w:hAnsi="宋体" w:eastAsia="宋体" w:cs="宋体"/>
          <w:sz w:val="21"/>
          <w:szCs w:val="21"/>
        </w:rPr>
      </w:pPr>
      <w:r>
        <w:rPr>
          <w:rFonts w:ascii="宋体" w:hAnsi="宋体" w:eastAsia="宋体" w:cs="宋体"/>
          <w:spacing w:val="-5"/>
          <w:position w:val="15"/>
          <w:sz w:val="21"/>
          <w:szCs w:val="21"/>
        </w:rPr>
        <w:t>组织机构代码：</w:t>
      </w:r>
    </w:p>
    <w:p w14:paraId="0B27A153">
      <w:pPr>
        <w:spacing w:before="1" w:line="229" w:lineRule="auto"/>
        <w:ind w:left="441"/>
        <w:rPr>
          <w:rFonts w:ascii="宋体" w:hAnsi="宋体" w:eastAsia="宋体" w:cs="宋体"/>
          <w:sz w:val="21"/>
          <w:szCs w:val="21"/>
        </w:rPr>
      </w:pPr>
      <w:r>
        <w:rPr>
          <w:rFonts w:ascii="宋体" w:hAnsi="宋体" w:eastAsia="宋体" w:cs="宋体"/>
          <w:spacing w:val="-12"/>
          <w:sz w:val="21"/>
          <w:szCs w:val="21"/>
        </w:rPr>
        <w:t>地</w:t>
      </w:r>
      <w:r>
        <w:rPr>
          <w:rFonts w:ascii="宋体" w:hAnsi="宋体" w:eastAsia="宋体" w:cs="宋体"/>
          <w:spacing w:val="9"/>
          <w:sz w:val="21"/>
          <w:szCs w:val="21"/>
        </w:rPr>
        <w:t xml:space="preserve"> </w:t>
      </w:r>
      <w:r>
        <w:rPr>
          <w:rFonts w:ascii="宋体" w:hAnsi="宋体" w:eastAsia="宋体" w:cs="宋体"/>
          <w:spacing w:val="-12"/>
          <w:sz w:val="21"/>
          <w:szCs w:val="21"/>
        </w:rPr>
        <w:t>址：</w:t>
      </w:r>
    </w:p>
    <w:p w14:paraId="1F72338E">
      <w:pPr>
        <w:spacing w:before="146" w:line="221" w:lineRule="auto"/>
        <w:ind w:left="456"/>
        <w:rPr>
          <w:rFonts w:ascii="宋体" w:hAnsi="宋体" w:eastAsia="宋体" w:cs="宋体"/>
          <w:sz w:val="21"/>
          <w:szCs w:val="21"/>
        </w:rPr>
      </w:pPr>
      <w:r>
        <w:rPr>
          <w:rFonts w:ascii="宋体" w:hAnsi="宋体" w:eastAsia="宋体" w:cs="宋体"/>
          <w:spacing w:val="-11"/>
          <w:sz w:val="21"/>
          <w:szCs w:val="21"/>
        </w:rPr>
        <w:t>邮政编码：</w:t>
      </w:r>
    </w:p>
    <w:p w14:paraId="1D49283A">
      <w:pPr>
        <w:spacing w:before="157" w:line="408" w:lineRule="exact"/>
        <w:ind w:left="442"/>
        <w:rPr>
          <w:rFonts w:ascii="宋体" w:hAnsi="宋体" w:eastAsia="宋体" w:cs="宋体"/>
          <w:sz w:val="21"/>
          <w:szCs w:val="21"/>
        </w:rPr>
      </w:pPr>
      <w:r>
        <w:rPr>
          <w:rFonts w:ascii="宋体" w:hAnsi="宋体" w:eastAsia="宋体" w:cs="宋体"/>
          <w:spacing w:val="-1"/>
          <w:position w:val="14"/>
          <w:sz w:val="21"/>
          <w:szCs w:val="21"/>
        </w:rPr>
        <w:t>法定代表人：</w:t>
      </w:r>
    </w:p>
    <w:p w14:paraId="50D657EC">
      <w:pPr>
        <w:spacing w:before="1" w:line="220" w:lineRule="auto"/>
        <w:ind w:left="440"/>
        <w:rPr>
          <w:rFonts w:ascii="宋体" w:hAnsi="宋体" w:eastAsia="宋体" w:cs="宋体"/>
          <w:sz w:val="21"/>
          <w:szCs w:val="21"/>
        </w:rPr>
      </w:pPr>
      <w:r>
        <w:rPr>
          <w:rFonts w:ascii="宋体" w:hAnsi="宋体" w:eastAsia="宋体" w:cs="宋体"/>
          <w:spacing w:val="-1"/>
          <w:sz w:val="21"/>
          <w:szCs w:val="21"/>
        </w:rPr>
        <w:t>委托代理人：</w:t>
      </w:r>
    </w:p>
    <w:p w14:paraId="202C485C">
      <w:pPr>
        <w:spacing w:before="157" w:line="223" w:lineRule="auto"/>
        <w:ind w:left="465"/>
        <w:rPr>
          <w:rFonts w:ascii="宋体" w:hAnsi="宋体" w:eastAsia="宋体" w:cs="宋体"/>
          <w:sz w:val="21"/>
          <w:szCs w:val="21"/>
        </w:rPr>
      </w:pPr>
      <w:r>
        <w:rPr>
          <w:rFonts w:ascii="宋体" w:hAnsi="宋体" w:eastAsia="宋体" w:cs="宋体"/>
          <w:spacing w:val="-20"/>
          <w:sz w:val="21"/>
          <w:szCs w:val="21"/>
        </w:rPr>
        <w:t>电</w:t>
      </w:r>
      <w:r>
        <w:rPr>
          <w:rFonts w:ascii="宋体" w:hAnsi="宋体" w:eastAsia="宋体" w:cs="宋体"/>
          <w:spacing w:val="8"/>
          <w:sz w:val="21"/>
          <w:szCs w:val="21"/>
        </w:rPr>
        <w:t xml:space="preserve"> </w:t>
      </w:r>
      <w:r>
        <w:rPr>
          <w:rFonts w:ascii="宋体" w:hAnsi="宋体" w:eastAsia="宋体" w:cs="宋体"/>
          <w:spacing w:val="-20"/>
          <w:sz w:val="21"/>
          <w:szCs w:val="21"/>
        </w:rPr>
        <w:t>话：</w:t>
      </w:r>
    </w:p>
    <w:p w14:paraId="763EC019">
      <w:pPr>
        <w:spacing w:before="154" w:line="220" w:lineRule="auto"/>
        <w:ind w:left="439"/>
        <w:rPr>
          <w:rFonts w:ascii="宋体" w:hAnsi="宋体" w:eastAsia="宋体" w:cs="宋体"/>
          <w:sz w:val="21"/>
          <w:szCs w:val="21"/>
        </w:rPr>
      </w:pPr>
      <w:r>
        <w:rPr>
          <w:rFonts w:ascii="宋体" w:hAnsi="宋体" w:eastAsia="宋体" w:cs="宋体"/>
          <w:spacing w:val="-12"/>
          <w:sz w:val="21"/>
          <w:szCs w:val="21"/>
        </w:rPr>
        <w:t>传</w:t>
      </w:r>
      <w:r>
        <w:rPr>
          <w:rFonts w:ascii="宋体" w:hAnsi="宋体" w:eastAsia="宋体" w:cs="宋体"/>
          <w:spacing w:val="12"/>
          <w:sz w:val="21"/>
          <w:szCs w:val="21"/>
        </w:rPr>
        <w:t xml:space="preserve"> </w:t>
      </w:r>
      <w:r>
        <w:rPr>
          <w:rFonts w:ascii="宋体" w:hAnsi="宋体" w:eastAsia="宋体" w:cs="宋体"/>
          <w:spacing w:val="-12"/>
          <w:sz w:val="21"/>
          <w:szCs w:val="21"/>
        </w:rPr>
        <w:t>真：</w:t>
      </w:r>
    </w:p>
    <w:p w14:paraId="390834B0">
      <w:pPr>
        <w:spacing w:before="159" w:line="408" w:lineRule="exact"/>
        <w:ind w:left="465"/>
        <w:rPr>
          <w:rFonts w:ascii="宋体" w:hAnsi="宋体" w:eastAsia="宋体" w:cs="宋体"/>
          <w:sz w:val="21"/>
          <w:szCs w:val="21"/>
        </w:rPr>
      </w:pPr>
      <w:r>
        <w:rPr>
          <w:rFonts w:ascii="宋体" w:hAnsi="宋体" w:eastAsia="宋体" w:cs="宋体"/>
          <w:spacing w:val="-13"/>
          <w:position w:val="15"/>
          <w:sz w:val="21"/>
          <w:szCs w:val="21"/>
        </w:rPr>
        <w:t>电子信箱：</w:t>
      </w:r>
    </w:p>
    <w:p w14:paraId="0C6873EB">
      <w:pPr>
        <w:spacing w:line="221" w:lineRule="auto"/>
        <w:ind w:left="442"/>
        <w:rPr>
          <w:rFonts w:ascii="宋体" w:hAnsi="宋体" w:eastAsia="宋体" w:cs="宋体"/>
          <w:sz w:val="21"/>
          <w:szCs w:val="21"/>
        </w:rPr>
      </w:pPr>
      <w:r>
        <w:rPr>
          <w:rFonts w:ascii="宋体" w:hAnsi="宋体" w:eastAsia="宋体" w:cs="宋体"/>
          <w:spacing w:val="-9"/>
          <w:sz w:val="21"/>
          <w:szCs w:val="21"/>
        </w:rPr>
        <w:t>开户银行：</w:t>
      </w:r>
    </w:p>
    <w:p w14:paraId="62338E87">
      <w:pPr>
        <w:spacing w:before="156" w:line="186" w:lineRule="auto"/>
        <w:ind w:left="444"/>
        <w:rPr>
          <w:rFonts w:ascii="宋体" w:hAnsi="宋体" w:eastAsia="宋体" w:cs="宋体"/>
          <w:sz w:val="21"/>
          <w:szCs w:val="21"/>
        </w:rPr>
      </w:pPr>
      <w:r>
        <w:rPr>
          <w:rFonts w:ascii="宋体" w:hAnsi="宋体" w:eastAsia="宋体" w:cs="宋体"/>
          <w:spacing w:val="-14"/>
          <w:sz w:val="21"/>
          <w:szCs w:val="21"/>
        </w:rPr>
        <w:t>账</w:t>
      </w:r>
      <w:r>
        <w:rPr>
          <w:rFonts w:ascii="宋体" w:hAnsi="宋体" w:eastAsia="宋体" w:cs="宋体"/>
          <w:spacing w:val="14"/>
          <w:sz w:val="21"/>
          <w:szCs w:val="21"/>
        </w:rPr>
        <w:t xml:space="preserve"> </w:t>
      </w:r>
      <w:r>
        <w:rPr>
          <w:rFonts w:ascii="宋体" w:hAnsi="宋体" w:eastAsia="宋体" w:cs="宋体"/>
          <w:spacing w:val="-14"/>
          <w:sz w:val="21"/>
          <w:szCs w:val="21"/>
        </w:rPr>
        <w:t>号：</w:t>
      </w:r>
    </w:p>
    <w:p w14:paraId="69265940">
      <w:pPr>
        <w:pStyle w:val="3"/>
        <w:spacing w:line="14" w:lineRule="auto"/>
        <w:rPr>
          <w:sz w:val="2"/>
        </w:rPr>
      </w:pPr>
      <w:r>
        <w:rPr>
          <w:sz w:val="2"/>
          <w:szCs w:val="2"/>
        </w:rPr>
        <w:br w:type="column"/>
      </w:r>
    </w:p>
    <w:p w14:paraId="14870E09">
      <w:pPr>
        <w:spacing w:before="41" w:line="408" w:lineRule="exact"/>
        <w:ind w:left="2"/>
        <w:rPr>
          <w:rFonts w:ascii="宋体" w:hAnsi="宋体" w:eastAsia="宋体" w:cs="宋体"/>
          <w:sz w:val="21"/>
          <w:szCs w:val="21"/>
        </w:rPr>
      </w:pPr>
      <w:r>
        <w:rPr>
          <w:rFonts w:ascii="宋体" w:hAnsi="宋体" w:eastAsia="宋体" w:cs="宋体"/>
          <w:spacing w:val="-1"/>
          <w:position w:val="14"/>
          <w:sz w:val="21"/>
          <w:szCs w:val="21"/>
        </w:rPr>
        <w:t>法定代表人或其委托代理人：</w:t>
      </w:r>
    </w:p>
    <w:p w14:paraId="64AFD93C">
      <w:pPr>
        <w:spacing w:before="1" w:line="220" w:lineRule="auto"/>
        <w:ind w:left="7"/>
        <w:rPr>
          <w:rFonts w:ascii="宋体" w:hAnsi="宋体" w:eastAsia="宋体" w:cs="宋体"/>
          <w:sz w:val="21"/>
          <w:szCs w:val="21"/>
        </w:rPr>
      </w:pPr>
      <w:r>
        <w:rPr>
          <w:rFonts w:ascii="宋体" w:hAnsi="宋体" w:eastAsia="宋体" w:cs="宋体"/>
          <w:spacing w:val="-4"/>
          <w:sz w:val="21"/>
          <w:szCs w:val="21"/>
        </w:rPr>
        <w:t>（签字）</w:t>
      </w:r>
    </w:p>
    <w:p w14:paraId="2E2C8631">
      <w:pPr>
        <w:pStyle w:val="3"/>
        <w:spacing w:line="446" w:lineRule="auto"/>
      </w:pPr>
    </w:p>
    <w:p w14:paraId="22B548F8">
      <w:pPr>
        <w:spacing w:before="69" w:line="412" w:lineRule="exact"/>
        <w:ind w:left="4"/>
        <w:rPr>
          <w:rFonts w:ascii="宋体" w:hAnsi="宋体" w:eastAsia="宋体" w:cs="宋体"/>
          <w:sz w:val="21"/>
          <w:szCs w:val="21"/>
        </w:rPr>
      </w:pPr>
      <w:r>
        <w:rPr>
          <w:rFonts w:ascii="宋体" w:hAnsi="宋体" w:eastAsia="宋体" w:cs="宋体"/>
          <w:spacing w:val="-7"/>
          <w:position w:val="15"/>
          <w:sz w:val="21"/>
          <w:szCs w:val="21"/>
        </w:rPr>
        <w:t>组织机构代码：</w:t>
      </w:r>
    </w:p>
    <w:p w14:paraId="01C558E0">
      <w:pPr>
        <w:spacing w:before="1" w:line="229" w:lineRule="auto"/>
        <w:ind w:left="54"/>
        <w:rPr>
          <w:rFonts w:ascii="宋体" w:hAnsi="宋体" w:eastAsia="宋体" w:cs="宋体"/>
          <w:sz w:val="21"/>
          <w:szCs w:val="21"/>
        </w:rPr>
      </w:pPr>
      <w:r>
        <w:rPr>
          <w:rFonts w:ascii="宋体" w:hAnsi="宋体" w:eastAsia="宋体" w:cs="宋体"/>
          <w:spacing w:val="-13"/>
          <w:sz w:val="21"/>
          <w:szCs w:val="21"/>
        </w:rPr>
        <w:t>地</w:t>
      </w:r>
      <w:r>
        <w:rPr>
          <w:rFonts w:ascii="宋体" w:hAnsi="宋体" w:eastAsia="宋体" w:cs="宋体"/>
          <w:spacing w:val="5"/>
          <w:sz w:val="21"/>
          <w:szCs w:val="21"/>
        </w:rPr>
        <w:t xml:space="preserve"> </w:t>
      </w:r>
      <w:r>
        <w:rPr>
          <w:rFonts w:ascii="宋体" w:hAnsi="宋体" w:eastAsia="宋体" w:cs="宋体"/>
          <w:spacing w:val="-13"/>
          <w:sz w:val="21"/>
          <w:szCs w:val="21"/>
        </w:rPr>
        <w:t>址：</w:t>
      </w:r>
    </w:p>
    <w:p w14:paraId="51EDF9EE">
      <w:pPr>
        <w:spacing w:before="147" w:line="408" w:lineRule="exact"/>
        <w:ind w:left="70"/>
        <w:rPr>
          <w:rFonts w:ascii="宋体" w:hAnsi="宋体" w:eastAsia="宋体" w:cs="宋体"/>
          <w:sz w:val="21"/>
          <w:szCs w:val="21"/>
        </w:rPr>
      </w:pPr>
      <w:r>
        <w:rPr>
          <w:rFonts w:ascii="宋体" w:hAnsi="宋体" w:eastAsia="宋体" w:cs="宋体"/>
          <w:spacing w:val="-11"/>
          <w:position w:val="15"/>
          <w:sz w:val="21"/>
          <w:szCs w:val="21"/>
        </w:rPr>
        <w:t>邮政编码：</w:t>
      </w:r>
    </w:p>
    <w:p w14:paraId="223BDD1A">
      <w:pPr>
        <w:spacing w:before="1" w:line="220" w:lineRule="auto"/>
        <w:ind w:left="2"/>
        <w:rPr>
          <w:rFonts w:ascii="宋体" w:hAnsi="宋体" w:eastAsia="宋体" w:cs="宋体"/>
          <w:sz w:val="21"/>
          <w:szCs w:val="21"/>
        </w:rPr>
      </w:pPr>
      <w:r>
        <w:rPr>
          <w:rFonts w:ascii="宋体" w:hAnsi="宋体" w:eastAsia="宋体" w:cs="宋体"/>
          <w:spacing w:val="-8"/>
          <w:sz w:val="21"/>
          <w:szCs w:val="21"/>
        </w:rPr>
        <w:t>法定代表人：</w:t>
      </w:r>
    </w:p>
    <w:p w14:paraId="18FB06C7">
      <w:pPr>
        <w:spacing w:before="157" w:line="221" w:lineRule="auto"/>
        <w:rPr>
          <w:rFonts w:ascii="宋体" w:hAnsi="宋体" w:eastAsia="宋体" w:cs="宋体"/>
          <w:sz w:val="21"/>
          <w:szCs w:val="21"/>
        </w:rPr>
      </w:pPr>
      <w:r>
        <w:rPr>
          <w:rFonts w:ascii="宋体" w:hAnsi="宋体" w:eastAsia="宋体" w:cs="宋体"/>
          <w:spacing w:val="-8"/>
          <w:sz w:val="21"/>
          <w:szCs w:val="21"/>
        </w:rPr>
        <w:t>委托代理人：</w:t>
      </w:r>
    </w:p>
    <w:p w14:paraId="20144547">
      <w:pPr>
        <w:spacing w:before="156" w:line="223" w:lineRule="auto"/>
        <w:ind w:left="26"/>
        <w:rPr>
          <w:rFonts w:ascii="宋体" w:hAnsi="宋体" w:eastAsia="宋体" w:cs="宋体"/>
          <w:sz w:val="21"/>
          <w:szCs w:val="21"/>
        </w:rPr>
      </w:pPr>
      <w:r>
        <w:rPr>
          <w:rFonts w:ascii="宋体" w:hAnsi="宋体" w:eastAsia="宋体" w:cs="宋体"/>
          <w:spacing w:val="-21"/>
          <w:sz w:val="21"/>
          <w:szCs w:val="21"/>
        </w:rPr>
        <w:t>电</w:t>
      </w:r>
      <w:r>
        <w:rPr>
          <w:rFonts w:ascii="宋体" w:hAnsi="宋体" w:eastAsia="宋体" w:cs="宋体"/>
          <w:spacing w:val="4"/>
          <w:sz w:val="21"/>
          <w:szCs w:val="21"/>
        </w:rPr>
        <w:t xml:space="preserve"> </w:t>
      </w:r>
      <w:r>
        <w:rPr>
          <w:rFonts w:ascii="宋体" w:hAnsi="宋体" w:eastAsia="宋体" w:cs="宋体"/>
          <w:spacing w:val="-21"/>
          <w:sz w:val="21"/>
          <w:szCs w:val="21"/>
        </w:rPr>
        <w:t>话：</w:t>
      </w:r>
    </w:p>
    <w:p w14:paraId="093FE615">
      <w:pPr>
        <w:spacing w:before="155" w:line="220" w:lineRule="auto"/>
        <w:rPr>
          <w:rFonts w:ascii="宋体" w:hAnsi="宋体" w:eastAsia="宋体" w:cs="宋体"/>
          <w:sz w:val="21"/>
          <w:szCs w:val="21"/>
        </w:rPr>
      </w:pPr>
      <w:r>
        <w:rPr>
          <w:rFonts w:ascii="宋体" w:hAnsi="宋体" w:eastAsia="宋体" w:cs="宋体"/>
          <w:spacing w:val="-13"/>
          <w:sz w:val="21"/>
          <w:szCs w:val="21"/>
        </w:rPr>
        <w:t>传</w:t>
      </w:r>
      <w:r>
        <w:rPr>
          <w:rFonts w:ascii="宋体" w:hAnsi="宋体" w:eastAsia="宋体" w:cs="宋体"/>
          <w:spacing w:val="8"/>
          <w:sz w:val="21"/>
          <w:szCs w:val="21"/>
        </w:rPr>
        <w:t xml:space="preserve"> </w:t>
      </w:r>
      <w:r>
        <w:rPr>
          <w:rFonts w:ascii="宋体" w:hAnsi="宋体" w:eastAsia="宋体" w:cs="宋体"/>
          <w:spacing w:val="-13"/>
          <w:sz w:val="21"/>
          <w:szCs w:val="21"/>
        </w:rPr>
        <w:t>真：</w:t>
      </w:r>
    </w:p>
    <w:p w14:paraId="617EB346">
      <w:pPr>
        <w:spacing w:before="158" w:line="408" w:lineRule="exact"/>
        <w:ind w:left="26"/>
        <w:rPr>
          <w:rFonts w:ascii="宋体" w:hAnsi="宋体" w:eastAsia="宋体" w:cs="宋体"/>
          <w:sz w:val="21"/>
          <w:szCs w:val="21"/>
        </w:rPr>
      </w:pPr>
      <w:r>
        <w:rPr>
          <w:rFonts w:ascii="宋体" w:hAnsi="宋体" w:eastAsia="宋体" w:cs="宋体"/>
          <w:spacing w:val="-13"/>
          <w:position w:val="15"/>
          <w:sz w:val="21"/>
          <w:szCs w:val="21"/>
        </w:rPr>
        <w:t>电子信箱：</w:t>
      </w:r>
    </w:p>
    <w:p w14:paraId="642C55C4">
      <w:pPr>
        <w:spacing w:before="1" w:line="221" w:lineRule="auto"/>
        <w:ind w:left="2"/>
        <w:rPr>
          <w:rFonts w:ascii="宋体" w:hAnsi="宋体" w:eastAsia="宋体" w:cs="宋体"/>
          <w:sz w:val="21"/>
          <w:szCs w:val="21"/>
        </w:rPr>
      </w:pPr>
      <w:r>
        <w:rPr>
          <w:rFonts w:ascii="宋体" w:hAnsi="宋体" w:eastAsia="宋体" w:cs="宋体"/>
          <w:spacing w:val="-8"/>
          <w:sz w:val="21"/>
          <w:szCs w:val="21"/>
        </w:rPr>
        <w:t>开户银行：</w:t>
      </w:r>
    </w:p>
    <w:p w14:paraId="44C951B2">
      <w:pPr>
        <w:spacing w:before="156" w:line="186" w:lineRule="auto"/>
        <w:ind w:left="57"/>
        <w:rPr>
          <w:rFonts w:ascii="宋体" w:hAnsi="宋体" w:eastAsia="宋体" w:cs="宋体"/>
          <w:sz w:val="21"/>
          <w:szCs w:val="21"/>
        </w:rPr>
      </w:pPr>
      <w:r>
        <w:rPr>
          <w:rFonts w:ascii="宋体" w:hAnsi="宋体" w:eastAsia="宋体" w:cs="宋体"/>
          <w:spacing w:val="-15"/>
          <w:sz w:val="21"/>
          <w:szCs w:val="21"/>
        </w:rPr>
        <w:t>账</w:t>
      </w:r>
      <w:r>
        <w:rPr>
          <w:rFonts w:ascii="宋体" w:hAnsi="宋体" w:eastAsia="宋体" w:cs="宋体"/>
          <w:spacing w:val="10"/>
          <w:sz w:val="21"/>
          <w:szCs w:val="21"/>
        </w:rPr>
        <w:t xml:space="preserve"> </w:t>
      </w:r>
      <w:r>
        <w:rPr>
          <w:rFonts w:ascii="宋体" w:hAnsi="宋体" w:eastAsia="宋体" w:cs="宋体"/>
          <w:spacing w:val="-15"/>
          <w:sz w:val="21"/>
          <w:szCs w:val="21"/>
        </w:rPr>
        <w:t>号：</w:t>
      </w:r>
    </w:p>
    <w:p w14:paraId="158A6690">
      <w:pPr>
        <w:spacing w:line="186" w:lineRule="auto"/>
        <w:rPr>
          <w:rFonts w:ascii="宋体" w:hAnsi="宋体" w:eastAsia="宋体" w:cs="宋体"/>
          <w:sz w:val="21"/>
          <w:szCs w:val="21"/>
        </w:rPr>
        <w:sectPr>
          <w:type w:val="continuous"/>
          <w:pgSz w:w="11905" w:h="16839"/>
          <w:pgMar w:top="1431" w:right="1785" w:bottom="1004" w:left="1785" w:header="0" w:footer="828" w:gutter="0"/>
          <w:pgNumType w:fmt="decimal"/>
          <w:cols w:equalWidth="0" w:num="2">
            <w:col w:w="4546" w:space="100"/>
            <w:col w:w="3688"/>
          </w:cols>
        </w:sectPr>
      </w:pPr>
    </w:p>
    <w:p w14:paraId="281EA75A">
      <w:pPr>
        <w:spacing w:before="71" w:line="219" w:lineRule="auto"/>
        <w:ind w:left="2333"/>
        <w:rPr>
          <w:rFonts w:ascii="黑体" w:hAnsi="黑体" w:eastAsia="黑体" w:cs="黑体"/>
          <w:sz w:val="36"/>
          <w:szCs w:val="36"/>
        </w:rPr>
      </w:pPr>
      <w:r>
        <w:rPr>
          <w:rFonts w:ascii="黑体" w:hAnsi="黑体" w:eastAsia="黑体" w:cs="黑体"/>
          <w:spacing w:val="-3"/>
          <w:sz w:val="36"/>
          <w:szCs w:val="36"/>
        </w:rPr>
        <w:t>第二部分</w:t>
      </w:r>
      <w:r>
        <w:rPr>
          <w:rFonts w:ascii="黑体" w:hAnsi="黑体" w:eastAsia="黑体" w:cs="黑体"/>
          <w:spacing w:val="-71"/>
          <w:sz w:val="36"/>
          <w:szCs w:val="36"/>
        </w:rPr>
        <w:t xml:space="preserve"> </w:t>
      </w:r>
      <w:r>
        <w:rPr>
          <w:rFonts w:ascii="黑体" w:hAnsi="黑体" w:eastAsia="黑体" w:cs="黑体"/>
          <w:spacing w:val="-3"/>
          <w:sz w:val="36"/>
          <w:szCs w:val="36"/>
        </w:rPr>
        <w:t>通用合同条款</w:t>
      </w:r>
    </w:p>
    <w:p w14:paraId="799AAA20">
      <w:pPr>
        <w:spacing w:before="129" w:line="219" w:lineRule="auto"/>
        <w:ind w:left="39"/>
        <w:rPr>
          <w:rFonts w:ascii="黑体" w:hAnsi="黑体" w:eastAsia="黑体" w:cs="黑体"/>
          <w:sz w:val="32"/>
          <w:szCs w:val="32"/>
        </w:rPr>
      </w:pPr>
      <w:r>
        <w:rPr>
          <w:rFonts w:ascii="黑体" w:hAnsi="黑体" w:eastAsia="黑体" w:cs="黑体"/>
          <w:spacing w:val="-4"/>
          <w:sz w:val="32"/>
          <w:szCs w:val="32"/>
        </w:rPr>
        <w:t>1.一般约定</w:t>
      </w:r>
    </w:p>
    <w:p w14:paraId="1D662A4F">
      <w:pPr>
        <w:spacing w:before="151" w:line="220" w:lineRule="auto"/>
        <w:ind w:left="31"/>
        <w:rPr>
          <w:rFonts w:ascii="黑体" w:hAnsi="黑体" w:eastAsia="黑体" w:cs="黑体"/>
          <w:sz w:val="24"/>
          <w:szCs w:val="24"/>
        </w:rPr>
      </w:pPr>
      <w:r>
        <w:rPr>
          <w:rFonts w:ascii="黑体" w:hAnsi="黑体" w:eastAsia="黑体" w:cs="黑体"/>
          <w:spacing w:val="-4"/>
          <w:sz w:val="24"/>
          <w:szCs w:val="24"/>
        </w:rPr>
        <w:t>1.1</w:t>
      </w:r>
      <w:r>
        <w:rPr>
          <w:rFonts w:ascii="黑体" w:hAnsi="黑体" w:eastAsia="黑体" w:cs="黑体"/>
          <w:spacing w:val="-43"/>
          <w:sz w:val="24"/>
          <w:szCs w:val="24"/>
        </w:rPr>
        <w:t xml:space="preserve"> </w:t>
      </w:r>
      <w:r>
        <w:rPr>
          <w:rFonts w:ascii="黑体" w:hAnsi="黑体" w:eastAsia="黑体" w:cs="黑体"/>
          <w:spacing w:val="-4"/>
          <w:sz w:val="24"/>
          <w:szCs w:val="24"/>
        </w:rPr>
        <w:t>词语定义与解释</w:t>
      </w:r>
    </w:p>
    <w:p w14:paraId="507FD9BB">
      <w:pPr>
        <w:spacing w:before="127" w:line="220" w:lineRule="auto"/>
        <w:ind w:left="442"/>
        <w:rPr>
          <w:rFonts w:ascii="宋体" w:hAnsi="宋体" w:eastAsia="宋体" w:cs="宋体"/>
          <w:sz w:val="21"/>
          <w:szCs w:val="21"/>
        </w:rPr>
      </w:pPr>
      <w:r>
        <w:rPr>
          <w:rFonts w:ascii="宋体" w:hAnsi="宋体" w:eastAsia="宋体" w:cs="宋体"/>
          <w:spacing w:val="-1"/>
          <w:sz w:val="21"/>
          <w:szCs w:val="21"/>
        </w:rPr>
        <w:t>合同协议书、通用合同条款、专用合同条款中的下列词语具有本款</w:t>
      </w:r>
      <w:r>
        <w:rPr>
          <w:rFonts w:ascii="宋体" w:hAnsi="宋体" w:eastAsia="宋体" w:cs="宋体"/>
          <w:spacing w:val="-2"/>
          <w:sz w:val="21"/>
          <w:szCs w:val="21"/>
        </w:rPr>
        <w:t>所赋予的含义：</w:t>
      </w:r>
    </w:p>
    <w:p w14:paraId="14A2A826">
      <w:pPr>
        <w:spacing w:before="148" w:line="223" w:lineRule="auto"/>
        <w:ind w:left="457"/>
        <w:rPr>
          <w:rFonts w:ascii="宋体" w:hAnsi="宋体" w:eastAsia="宋体" w:cs="宋体"/>
          <w:sz w:val="21"/>
          <w:szCs w:val="21"/>
        </w:rPr>
      </w:pPr>
      <w:r>
        <w:rPr>
          <w:rFonts w:ascii="Times New Roman" w:hAnsi="Times New Roman" w:eastAsia="Times New Roman" w:cs="Times New Roman"/>
          <w:spacing w:val="-4"/>
          <w:sz w:val="21"/>
          <w:szCs w:val="21"/>
        </w:rPr>
        <w:t>1.1.1</w:t>
      </w:r>
      <w:r>
        <w:rPr>
          <w:rFonts w:ascii="Times New Roman" w:hAnsi="Times New Roman" w:eastAsia="Times New Roman" w:cs="Times New Roman"/>
          <w:spacing w:val="10"/>
          <w:sz w:val="21"/>
          <w:szCs w:val="21"/>
        </w:rPr>
        <w:t xml:space="preserve"> </w:t>
      </w:r>
      <w:r>
        <w:rPr>
          <w:rFonts w:ascii="宋体" w:hAnsi="宋体" w:eastAsia="宋体" w:cs="宋体"/>
          <w:spacing w:val="-4"/>
          <w:sz w:val="21"/>
          <w:szCs w:val="21"/>
        </w:rPr>
        <w:t>合同</w:t>
      </w:r>
    </w:p>
    <w:p w14:paraId="1EDF74F7">
      <w:pPr>
        <w:spacing w:before="144" w:line="352" w:lineRule="auto"/>
        <w:ind w:left="17" w:right="49" w:firstLine="440"/>
        <w:rPr>
          <w:rFonts w:ascii="宋体" w:hAnsi="宋体" w:eastAsia="宋体" w:cs="宋体"/>
          <w:sz w:val="21"/>
          <w:szCs w:val="21"/>
        </w:rPr>
      </w:pPr>
      <w:r>
        <w:fldChar w:fldCharType="begin"/>
      </w:r>
      <w:r>
        <w:instrText xml:space="preserve"> HYPERLINK "1.1.1.1" </w:instrText>
      </w:r>
      <w:r>
        <w:fldChar w:fldCharType="separate"/>
      </w:r>
      <w:r>
        <w:rPr>
          <w:rFonts w:ascii="Times New Roman" w:hAnsi="Times New Roman" w:eastAsia="Times New Roman" w:cs="Times New Roman"/>
          <w:spacing w:val="2"/>
          <w:sz w:val="21"/>
          <w:szCs w:val="21"/>
        </w:rPr>
        <w:t>1.1.1.1</w:t>
      </w:r>
      <w:r>
        <w:rPr>
          <w:rFonts w:ascii="Times New Roman" w:hAnsi="Times New Roman" w:eastAsia="Times New Roman" w:cs="Times New Roman"/>
          <w:spacing w:val="2"/>
          <w:sz w:val="21"/>
          <w:szCs w:val="21"/>
        </w:rPr>
        <w:fldChar w:fldCharType="end"/>
      </w:r>
      <w:r>
        <w:rPr>
          <w:rFonts w:ascii="Times New Roman" w:hAnsi="Times New Roman" w:eastAsia="Times New Roman" w:cs="Times New Roman"/>
          <w:spacing w:val="33"/>
          <w:sz w:val="21"/>
          <w:szCs w:val="21"/>
        </w:rPr>
        <w:t xml:space="preserve"> </w:t>
      </w:r>
      <w:r>
        <w:rPr>
          <w:rFonts w:ascii="宋体" w:hAnsi="宋体" w:eastAsia="宋体" w:cs="宋体"/>
          <w:spacing w:val="2"/>
          <w:sz w:val="21"/>
          <w:szCs w:val="21"/>
        </w:rPr>
        <w:t>合同：是指根据法律规定和合同当事人</w:t>
      </w:r>
      <w:r>
        <w:rPr>
          <w:rFonts w:ascii="宋体" w:hAnsi="宋体" w:eastAsia="宋体" w:cs="宋体"/>
          <w:spacing w:val="1"/>
          <w:sz w:val="21"/>
          <w:szCs w:val="21"/>
        </w:rPr>
        <w:t>约定具有约束力的文件，构成合同的文</w:t>
      </w:r>
      <w:r>
        <w:rPr>
          <w:rFonts w:ascii="宋体" w:hAnsi="宋体" w:eastAsia="宋体" w:cs="宋体"/>
          <w:sz w:val="21"/>
          <w:szCs w:val="21"/>
        </w:rPr>
        <w:t xml:space="preserve"> </w:t>
      </w:r>
      <w:r>
        <w:rPr>
          <w:rFonts w:ascii="宋体" w:hAnsi="宋体" w:eastAsia="宋体" w:cs="宋体"/>
          <w:spacing w:val="-2"/>
          <w:sz w:val="21"/>
          <w:szCs w:val="21"/>
        </w:rPr>
        <w:t>件包括合同协议书、中标通知书（如果有）、投标</w:t>
      </w:r>
      <w:r>
        <w:rPr>
          <w:rFonts w:ascii="宋体" w:hAnsi="宋体" w:eastAsia="宋体" w:cs="宋体"/>
          <w:spacing w:val="-3"/>
          <w:sz w:val="21"/>
          <w:szCs w:val="21"/>
        </w:rPr>
        <w:t>函及其附录（如果有）、专用合同条款及</w:t>
      </w:r>
      <w:r>
        <w:rPr>
          <w:rFonts w:ascii="宋体" w:hAnsi="宋体" w:eastAsia="宋体" w:cs="宋体"/>
          <w:sz w:val="21"/>
          <w:szCs w:val="21"/>
        </w:rPr>
        <w:t xml:space="preserve"> </w:t>
      </w:r>
      <w:r>
        <w:rPr>
          <w:rFonts w:ascii="宋体" w:hAnsi="宋体" w:eastAsia="宋体" w:cs="宋体"/>
          <w:spacing w:val="3"/>
          <w:sz w:val="21"/>
          <w:szCs w:val="21"/>
        </w:rPr>
        <w:t>其附件、通用合同条款、技术标准和要求、图纸、已标价工程量清单或预算书</w:t>
      </w:r>
      <w:r>
        <w:rPr>
          <w:rFonts w:ascii="宋体" w:hAnsi="宋体" w:eastAsia="宋体" w:cs="宋体"/>
          <w:spacing w:val="2"/>
          <w:sz w:val="21"/>
          <w:szCs w:val="21"/>
        </w:rPr>
        <w:t>以及其他合</w:t>
      </w:r>
    </w:p>
    <w:p w14:paraId="4E70D4AE">
      <w:pPr>
        <w:spacing w:before="1" w:line="220" w:lineRule="auto"/>
        <w:ind w:left="39"/>
        <w:rPr>
          <w:rFonts w:ascii="宋体" w:hAnsi="宋体" w:eastAsia="宋体" w:cs="宋体"/>
          <w:sz w:val="21"/>
          <w:szCs w:val="21"/>
        </w:rPr>
      </w:pPr>
      <w:r>
        <w:rPr>
          <w:rFonts w:ascii="宋体" w:hAnsi="宋体" w:eastAsia="宋体" w:cs="宋体"/>
          <w:spacing w:val="-11"/>
          <w:sz w:val="21"/>
          <w:szCs w:val="21"/>
        </w:rPr>
        <w:t>同文件。</w:t>
      </w:r>
    </w:p>
    <w:p w14:paraId="70A70889">
      <w:pPr>
        <w:spacing w:before="152" w:line="399" w:lineRule="exact"/>
        <w:jc w:val="right"/>
        <w:rPr>
          <w:rFonts w:ascii="Times New Roman" w:hAnsi="Times New Roman" w:eastAsia="Times New Roman" w:cs="Times New Roman"/>
          <w:sz w:val="21"/>
          <w:szCs w:val="21"/>
        </w:rPr>
      </w:pPr>
      <w:r>
        <w:fldChar w:fldCharType="begin"/>
      </w:r>
      <w:r>
        <w:instrText xml:space="preserve"> HYPERLINK "1.1.1.2" </w:instrText>
      </w:r>
      <w:r>
        <w:fldChar w:fldCharType="separate"/>
      </w:r>
      <w:r>
        <w:rPr>
          <w:rFonts w:ascii="Times New Roman" w:hAnsi="Times New Roman" w:eastAsia="Times New Roman" w:cs="Times New Roman"/>
          <w:spacing w:val="1"/>
          <w:position w:val="14"/>
          <w:sz w:val="21"/>
          <w:szCs w:val="21"/>
        </w:rPr>
        <w:t>1.1.1.2</w:t>
      </w:r>
      <w:r>
        <w:rPr>
          <w:rFonts w:ascii="Times New Roman" w:hAnsi="Times New Roman" w:eastAsia="Times New Roman" w:cs="Times New Roman"/>
          <w:spacing w:val="1"/>
          <w:position w:val="14"/>
          <w:sz w:val="21"/>
          <w:szCs w:val="21"/>
        </w:rPr>
        <w:fldChar w:fldCharType="end"/>
      </w:r>
      <w:r>
        <w:rPr>
          <w:rFonts w:ascii="Times New Roman" w:hAnsi="Times New Roman" w:eastAsia="Times New Roman" w:cs="Times New Roman"/>
          <w:spacing w:val="34"/>
          <w:position w:val="14"/>
          <w:sz w:val="21"/>
          <w:szCs w:val="21"/>
        </w:rPr>
        <w:t xml:space="preserve"> </w:t>
      </w:r>
      <w:r>
        <w:rPr>
          <w:rFonts w:ascii="宋体" w:hAnsi="宋体" w:eastAsia="宋体" w:cs="宋体"/>
          <w:spacing w:val="1"/>
          <w:position w:val="14"/>
          <w:sz w:val="21"/>
          <w:szCs w:val="21"/>
        </w:rPr>
        <w:t>合同协议书： 是指构成合同的由发包人和承包人共同签</w:t>
      </w:r>
      <w:r>
        <w:rPr>
          <w:rFonts w:ascii="宋体" w:hAnsi="宋体" w:eastAsia="宋体" w:cs="宋体"/>
          <w:position w:val="14"/>
          <w:sz w:val="21"/>
          <w:szCs w:val="21"/>
        </w:rPr>
        <w:t>署的称为</w:t>
      </w:r>
      <w:r>
        <w:rPr>
          <w:rFonts w:ascii="Times New Roman" w:hAnsi="Times New Roman" w:eastAsia="Times New Roman" w:cs="Times New Roman"/>
          <w:position w:val="14"/>
          <w:sz w:val="21"/>
          <w:szCs w:val="21"/>
        </w:rPr>
        <w:t>“</w:t>
      </w:r>
      <w:r>
        <w:rPr>
          <w:rFonts w:ascii="宋体" w:hAnsi="宋体" w:eastAsia="宋体" w:cs="宋体"/>
          <w:position w:val="14"/>
          <w:sz w:val="21"/>
          <w:szCs w:val="21"/>
        </w:rPr>
        <w:t>合同协议书</w:t>
      </w:r>
      <w:r>
        <w:rPr>
          <w:rFonts w:ascii="Times New Roman" w:hAnsi="Times New Roman" w:eastAsia="Times New Roman" w:cs="Times New Roman"/>
          <w:position w:val="14"/>
          <w:sz w:val="21"/>
          <w:szCs w:val="21"/>
        </w:rPr>
        <w:t>”</w:t>
      </w:r>
    </w:p>
    <w:p w14:paraId="76956EE4">
      <w:pPr>
        <w:spacing w:line="219" w:lineRule="auto"/>
        <w:ind w:left="35"/>
        <w:rPr>
          <w:rFonts w:ascii="宋体" w:hAnsi="宋体" w:eastAsia="宋体" w:cs="宋体"/>
          <w:sz w:val="21"/>
          <w:szCs w:val="21"/>
        </w:rPr>
      </w:pPr>
      <w:r>
        <w:rPr>
          <w:rFonts w:ascii="宋体" w:hAnsi="宋体" w:eastAsia="宋体" w:cs="宋体"/>
          <w:spacing w:val="-4"/>
          <w:sz w:val="21"/>
          <w:szCs w:val="21"/>
        </w:rPr>
        <w:t>的书面文件。</w:t>
      </w:r>
    </w:p>
    <w:p w14:paraId="18E3EEB5">
      <w:pPr>
        <w:spacing w:before="149" w:line="220" w:lineRule="auto"/>
        <w:ind w:left="457"/>
        <w:rPr>
          <w:rFonts w:ascii="宋体" w:hAnsi="宋体" w:eastAsia="宋体" w:cs="宋体"/>
          <w:sz w:val="21"/>
          <w:szCs w:val="21"/>
        </w:rPr>
      </w:pPr>
      <w:r>
        <w:fldChar w:fldCharType="begin"/>
      </w:r>
      <w:r>
        <w:instrText xml:space="preserve"> HYPERLINK "1.1.1.3" </w:instrText>
      </w:r>
      <w:r>
        <w:fldChar w:fldCharType="separate"/>
      </w:r>
      <w:r>
        <w:rPr>
          <w:rFonts w:ascii="Times New Roman" w:hAnsi="Times New Roman" w:eastAsia="Times New Roman" w:cs="Times New Roman"/>
          <w:spacing w:val="-4"/>
          <w:sz w:val="21"/>
          <w:szCs w:val="21"/>
        </w:rPr>
        <w:t>1.1.1.3</w:t>
      </w:r>
      <w:r>
        <w:rPr>
          <w:rFonts w:ascii="Times New Roman" w:hAnsi="Times New Roman" w:eastAsia="Times New Roman" w:cs="Times New Roman"/>
          <w:spacing w:val="-4"/>
          <w:sz w:val="21"/>
          <w:szCs w:val="21"/>
        </w:rPr>
        <w:fldChar w:fldCharType="end"/>
      </w:r>
      <w:r>
        <w:rPr>
          <w:rFonts w:ascii="Times New Roman" w:hAnsi="Times New Roman" w:eastAsia="Times New Roman" w:cs="Times New Roman"/>
          <w:spacing w:val="29"/>
          <w:sz w:val="21"/>
          <w:szCs w:val="21"/>
        </w:rPr>
        <w:t xml:space="preserve"> </w:t>
      </w:r>
      <w:r>
        <w:rPr>
          <w:rFonts w:ascii="宋体" w:hAnsi="宋体" w:eastAsia="宋体" w:cs="宋体"/>
          <w:spacing w:val="-4"/>
          <w:sz w:val="21"/>
          <w:szCs w:val="21"/>
        </w:rPr>
        <w:t>中标通知书： 是指构成合同的由发包人通知承包人中标的书面文</w:t>
      </w:r>
      <w:r>
        <w:rPr>
          <w:rFonts w:ascii="宋体" w:hAnsi="宋体" w:eastAsia="宋体" w:cs="宋体"/>
          <w:spacing w:val="-5"/>
          <w:sz w:val="21"/>
          <w:szCs w:val="21"/>
        </w:rPr>
        <w:t>件。</w:t>
      </w:r>
    </w:p>
    <w:p w14:paraId="30A78FBE">
      <w:pPr>
        <w:spacing w:before="153" w:line="399" w:lineRule="exact"/>
        <w:ind w:right="32"/>
        <w:jc w:val="right"/>
        <w:rPr>
          <w:rFonts w:ascii="宋体" w:hAnsi="宋体" w:eastAsia="宋体" w:cs="宋体"/>
          <w:sz w:val="21"/>
          <w:szCs w:val="21"/>
        </w:rPr>
      </w:pPr>
      <w:r>
        <w:fldChar w:fldCharType="begin"/>
      </w:r>
      <w:r>
        <w:instrText xml:space="preserve"> HYPERLINK "1.1.1.4" </w:instrText>
      </w:r>
      <w:r>
        <w:fldChar w:fldCharType="separate"/>
      </w:r>
      <w:r>
        <w:rPr>
          <w:rFonts w:ascii="Times New Roman" w:hAnsi="Times New Roman" w:eastAsia="Times New Roman" w:cs="Times New Roman"/>
          <w:spacing w:val="-1"/>
          <w:position w:val="14"/>
          <w:sz w:val="21"/>
          <w:szCs w:val="21"/>
        </w:rPr>
        <w:t>1.1.1.4</w:t>
      </w:r>
      <w:r>
        <w:rPr>
          <w:rFonts w:ascii="Times New Roman" w:hAnsi="Times New Roman" w:eastAsia="Times New Roman" w:cs="Times New Roman"/>
          <w:spacing w:val="-1"/>
          <w:position w:val="14"/>
          <w:sz w:val="21"/>
          <w:szCs w:val="21"/>
        </w:rPr>
        <w:fldChar w:fldCharType="end"/>
      </w:r>
      <w:r>
        <w:rPr>
          <w:rFonts w:ascii="Times New Roman" w:hAnsi="Times New Roman" w:eastAsia="Times New Roman" w:cs="Times New Roman"/>
          <w:spacing w:val="52"/>
          <w:position w:val="14"/>
          <w:sz w:val="21"/>
          <w:szCs w:val="21"/>
        </w:rPr>
        <w:t xml:space="preserve"> </w:t>
      </w:r>
      <w:r>
        <w:rPr>
          <w:rFonts w:ascii="宋体" w:hAnsi="宋体" w:eastAsia="宋体" w:cs="宋体"/>
          <w:spacing w:val="-1"/>
          <w:position w:val="14"/>
          <w:sz w:val="21"/>
          <w:szCs w:val="21"/>
        </w:rPr>
        <w:t>投标函： 是指构成合同的由承包人填写并签署的用于投标的称为</w:t>
      </w:r>
      <w:r>
        <w:rPr>
          <w:rFonts w:ascii="Times New Roman" w:hAnsi="Times New Roman" w:eastAsia="Times New Roman" w:cs="Times New Roman"/>
          <w:spacing w:val="-1"/>
          <w:position w:val="14"/>
          <w:sz w:val="21"/>
          <w:szCs w:val="21"/>
        </w:rPr>
        <w:t>“</w:t>
      </w:r>
      <w:r>
        <w:rPr>
          <w:rFonts w:ascii="宋体" w:hAnsi="宋体" w:eastAsia="宋体" w:cs="宋体"/>
          <w:spacing w:val="-1"/>
          <w:position w:val="14"/>
          <w:sz w:val="21"/>
          <w:szCs w:val="21"/>
        </w:rPr>
        <w:t>投标函</w:t>
      </w:r>
      <w:r>
        <w:rPr>
          <w:rFonts w:ascii="Times New Roman" w:hAnsi="Times New Roman" w:eastAsia="Times New Roman" w:cs="Times New Roman"/>
          <w:spacing w:val="-1"/>
          <w:position w:val="14"/>
          <w:sz w:val="21"/>
          <w:szCs w:val="21"/>
        </w:rPr>
        <w:t>”</w:t>
      </w:r>
      <w:r>
        <w:rPr>
          <w:rFonts w:ascii="Times New Roman" w:hAnsi="Times New Roman" w:eastAsia="Times New Roman" w:cs="Times New Roman"/>
          <w:spacing w:val="-29"/>
          <w:position w:val="14"/>
          <w:sz w:val="21"/>
          <w:szCs w:val="21"/>
        </w:rPr>
        <w:t xml:space="preserve"> </w:t>
      </w:r>
      <w:r>
        <w:rPr>
          <w:rFonts w:ascii="宋体" w:hAnsi="宋体" w:eastAsia="宋体" w:cs="宋体"/>
          <w:spacing w:val="-1"/>
          <w:position w:val="14"/>
          <w:sz w:val="21"/>
          <w:szCs w:val="21"/>
        </w:rPr>
        <w:t>的文</w:t>
      </w:r>
    </w:p>
    <w:p w14:paraId="134D812C">
      <w:pPr>
        <w:spacing w:line="220" w:lineRule="auto"/>
        <w:ind w:left="17"/>
        <w:rPr>
          <w:rFonts w:ascii="宋体" w:hAnsi="宋体" w:eastAsia="宋体" w:cs="宋体"/>
          <w:sz w:val="21"/>
          <w:szCs w:val="21"/>
        </w:rPr>
      </w:pPr>
      <w:r>
        <w:rPr>
          <w:rFonts w:ascii="宋体" w:hAnsi="宋体" w:eastAsia="宋体" w:cs="宋体"/>
          <w:spacing w:val="-10"/>
          <w:sz w:val="21"/>
          <w:szCs w:val="21"/>
        </w:rPr>
        <w:t>件。</w:t>
      </w:r>
    </w:p>
    <w:p w14:paraId="483E69CF">
      <w:pPr>
        <w:spacing w:before="148" w:line="220" w:lineRule="auto"/>
        <w:ind w:left="457"/>
        <w:rPr>
          <w:rFonts w:ascii="宋体" w:hAnsi="宋体" w:eastAsia="宋体" w:cs="宋体"/>
          <w:sz w:val="21"/>
          <w:szCs w:val="21"/>
        </w:rPr>
      </w:pPr>
      <w:r>
        <w:fldChar w:fldCharType="begin"/>
      </w:r>
      <w:r>
        <w:instrText xml:space="preserve"> HYPERLINK "1.1.1.5" </w:instrText>
      </w:r>
      <w:r>
        <w:fldChar w:fldCharType="separate"/>
      </w:r>
      <w:r>
        <w:rPr>
          <w:rFonts w:ascii="Times New Roman" w:hAnsi="Times New Roman" w:eastAsia="Times New Roman" w:cs="Times New Roman"/>
          <w:spacing w:val="-4"/>
          <w:sz w:val="21"/>
          <w:szCs w:val="21"/>
        </w:rPr>
        <w:t>1.1.1.5</w:t>
      </w:r>
      <w:r>
        <w:rPr>
          <w:rFonts w:ascii="Times New Roman" w:hAnsi="Times New Roman" w:eastAsia="Times New Roman" w:cs="Times New Roman"/>
          <w:spacing w:val="-4"/>
          <w:sz w:val="21"/>
          <w:szCs w:val="21"/>
        </w:rPr>
        <w:fldChar w:fldCharType="end"/>
      </w:r>
      <w:r>
        <w:rPr>
          <w:rFonts w:ascii="Times New Roman" w:hAnsi="Times New Roman" w:eastAsia="Times New Roman" w:cs="Times New Roman"/>
          <w:spacing w:val="-4"/>
          <w:sz w:val="21"/>
          <w:szCs w:val="21"/>
        </w:rPr>
        <w:t xml:space="preserve"> </w:t>
      </w:r>
      <w:r>
        <w:rPr>
          <w:rFonts w:ascii="宋体" w:hAnsi="宋体" w:eastAsia="宋体" w:cs="宋体"/>
          <w:spacing w:val="-4"/>
          <w:sz w:val="21"/>
          <w:szCs w:val="21"/>
        </w:rPr>
        <w:t>投标函附录： 是指构成合同的附在投标函后的称为</w:t>
      </w:r>
      <w:r>
        <w:rPr>
          <w:rFonts w:ascii="Times New Roman" w:hAnsi="Times New Roman" w:eastAsia="Times New Roman" w:cs="Times New Roman"/>
          <w:spacing w:val="-4"/>
          <w:sz w:val="21"/>
          <w:szCs w:val="21"/>
        </w:rPr>
        <w:t>“</w:t>
      </w:r>
      <w:r>
        <w:rPr>
          <w:rFonts w:ascii="宋体" w:hAnsi="宋体" w:eastAsia="宋体" w:cs="宋体"/>
          <w:spacing w:val="-4"/>
          <w:sz w:val="21"/>
          <w:szCs w:val="21"/>
        </w:rPr>
        <w:t>投标函附录</w:t>
      </w:r>
      <w:r>
        <w:rPr>
          <w:rFonts w:ascii="Times New Roman" w:hAnsi="Times New Roman" w:eastAsia="Times New Roman" w:cs="Times New Roman"/>
          <w:spacing w:val="-4"/>
          <w:sz w:val="21"/>
          <w:szCs w:val="21"/>
        </w:rPr>
        <w:t>”</w:t>
      </w:r>
      <w:r>
        <w:rPr>
          <w:rFonts w:ascii="Times New Roman" w:hAnsi="Times New Roman" w:eastAsia="Times New Roman" w:cs="Times New Roman"/>
          <w:spacing w:val="-25"/>
          <w:sz w:val="21"/>
          <w:szCs w:val="21"/>
        </w:rPr>
        <w:t xml:space="preserve"> </w:t>
      </w:r>
      <w:r>
        <w:rPr>
          <w:rFonts w:ascii="宋体" w:hAnsi="宋体" w:eastAsia="宋体" w:cs="宋体"/>
          <w:spacing w:val="-4"/>
          <w:sz w:val="21"/>
          <w:szCs w:val="21"/>
        </w:rPr>
        <w:t>的文件。</w:t>
      </w:r>
    </w:p>
    <w:p w14:paraId="460C68C4">
      <w:pPr>
        <w:spacing w:before="153" w:line="399" w:lineRule="exact"/>
        <w:ind w:right="49"/>
        <w:jc w:val="right"/>
        <w:rPr>
          <w:rFonts w:ascii="宋体" w:hAnsi="宋体" w:eastAsia="宋体" w:cs="宋体"/>
          <w:sz w:val="21"/>
          <w:szCs w:val="21"/>
        </w:rPr>
      </w:pPr>
      <w:r>
        <w:fldChar w:fldCharType="begin"/>
      </w:r>
      <w:r>
        <w:instrText xml:space="preserve"> HYPERLINK "1.1.1.6" </w:instrText>
      </w:r>
      <w:r>
        <w:fldChar w:fldCharType="separate"/>
      </w:r>
      <w:r>
        <w:rPr>
          <w:rFonts w:ascii="Times New Roman" w:hAnsi="Times New Roman" w:eastAsia="Times New Roman" w:cs="Times New Roman"/>
          <w:spacing w:val="-1"/>
          <w:position w:val="14"/>
          <w:sz w:val="21"/>
          <w:szCs w:val="21"/>
        </w:rPr>
        <w:t>1.1.1.6</w:t>
      </w:r>
      <w:r>
        <w:rPr>
          <w:rFonts w:ascii="Times New Roman" w:hAnsi="Times New Roman" w:eastAsia="Times New Roman" w:cs="Times New Roman"/>
          <w:spacing w:val="-1"/>
          <w:position w:val="14"/>
          <w:sz w:val="21"/>
          <w:szCs w:val="21"/>
        </w:rPr>
        <w:fldChar w:fldCharType="end"/>
      </w:r>
      <w:r>
        <w:rPr>
          <w:rFonts w:ascii="Times New Roman" w:hAnsi="Times New Roman" w:eastAsia="Times New Roman" w:cs="Times New Roman"/>
          <w:spacing w:val="35"/>
          <w:position w:val="14"/>
          <w:sz w:val="21"/>
          <w:szCs w:val="21"/>
        </w:rPr>
        <w:t xml:space="preserve"> </w:t>
      </w:r>
      <w:r>
        <w:rPr>
          <w:rFonts w:ascii="宋体" w:hAnsi="宋体" w:eastAsia="宋体" w:cs="宋体"/>
          <w:spacing w:val="-1"/>
          <w:position w:val="14"/>
          <w:sz w:val="21"/>
          <w:szCs w:val="21"/>
        </w:rPr>
        <w:t>技术标准和要求： 是指构成合同的施工应当遵守的或指导施工的国家、行业或</w:t>
      </w:r>
    </w:p>
    <w:p w14:paraId="76663864">
      <w:pPr>
        <w:spacing w:line="220" w:lineRule="auto"/>
        <w:ind w:left="18"/>
        <w:rPr>
          <w:rFonts w:ascii="宋体" w:hAnsi="宋体" w:eastAsia="宋体" w:cs="宋体"/>
          <w:sz w:val="21"/>
          <w:szCs w:val="21"/>
        </w:rPr>
      </w:pPr>
      <w:r>
        <w:rPr>
          <w:rFonts w:ascii="宋体" w:hAnsi="宋体" w:eastAsia="宋体" w:cs="宋体"/>
          <w:spacing w:val="-1"/>
          <w:sz w:val="21"/>
          <w:szCs w:val="21"/>
        </w:rPr>
        <w:t>地方的技术标准和要求，以及合同约定的技术标准和要</w:t>
      </w:r>
      <w:r>
        <w:rPr>
          <w:rFonts w:ascii="宋体" w:hAnsi="宋体" w:eastAsia="宋体" w:cs="宋体"/>
          <w:spacing w:val="-2"/>
          <w:sz w:val="21"/>
          <w:szCs w:val="21"/>
        </w:rPr>
        <w:t>求。</w:t>
      </w:r>
    </w:p>
    <w:p w14:paraId="2E224890">
      <w:pPr>
        <w:spacing w:before="149" w:line="352" w:lineRule="auto"/>
        <w:ind w:left="35" w:right="49" w:firstLine="422"/>
        <w:rPr>
          <w:rFonts w:ascii="宋体" w:hAnsi="宋体" w:eastAsia="宋体" w:cs="宋体"/>
          <w:sz w:val="21"/>
          <w:szCs w:val="21"/>
        </w:rPr>
      </w:pPr>
      <w:r>
        <w:fldChar w:fldCharType="begin"/>
      </w:r>
      <w:r>
        <w:instrText xml:space="preserve"> HYPERLINK "1.1.1.7" </w:instrText>
      </w:r>
      <w:r>
        <w:fldChar w:fldCharType="separate"/>
      </w:r>
      <w:r>
        <w:rPr>
          <w:rFonts w:ascii="Times New Roman" w:hAnsi="Times New Roman" w:eastAsia="Times New Roman" w:cs="Times New Roman"/>
          <w:spacing w:val="-1"/>
          <w:sz w:val="21"/>
          <w:szCs w:val="21"/>
        </w:rPr>
        <w:t>1.1.1.7</w:t>
      </w:r>
      <w:r>
        <w:rPr>
          <w:rFonts w:ascii="Times New Roman" w:hAnsi="Times New Roman" w:eastAsia="Times New Roman" w:cs="Times New Roman"/>
          <w:spacing w:val="-1"/>
          <w:sz w:val="21"/>
          <w:szCs w:val="21"/>
        </w:rPr>
        <w:fldChar w:fldCharType="end"/>
      </w:r>
      <w:r>
        <w:rPr>
          <w:rFonts w:ascii="Times New Roman" w:hAnsi="Times New Roman" w:eastAsia="Times New Roman" w:cs="Times New Roman"/>
          <w:spacing w:val="-1"/>
          <w:sz w:val="21"/>
          <w:szCs w:val="21"/>
        </w:rPr>
        <w:t xml:space="preserve">  </w:t>
      </w:r>
      <w:r>
        <w:rPr>
          <w:rFonts w:ascii="宋体" w:hAnsi="宋体" w:eastAsia="宋体" w:cs="宋体"/>
          <w:spacing w:val="-1"/>
          <w:sz w:val="21"/>
          <w:szCs w:val="21"/>
        </w:rPr>
        <w:t>图纸：是指构成合同的图纸， 包括由发包</w:t>
      </w:r>
      <w:r>
        <w:rPr>
          <w:rFonts w:ascii="宋体" w:hAnsi="宋体" w:eastAsia="宋体" w:cs="宋体"/>
          <w:spacing w:val="-2"/>
          <w:sz w:val="21"/>
          <w:szCs w:val="21"/>
        </w:rPr>
        <w:t>人按照合同约定提供或经发包人批准</w:t>
      </w:r>
      <w:r>
        <w:rPr>
          <w:rFonts w:ascii="宋体" w:hAnsi="宋体" w:eastAsia="宋体" w:cs="宋体"/>
          <w:sz w:val="21"/>
          <w:szCs w:val="21"/>
        </w:rPr>
        <w:t xml:space="preserve"> </w:t>
      </w:r>
      <w:r>
        <w:rPr>
          <w:rFonts w:ascii="宋体" w:hAnsi="宋体" w:eastAsia="宋体" w:cs="宋体"/>
          <w:spacing w:val="-6"/>
          <w:sz w:val="21"/>
          <w:szCs w:val="21"/>
        </w:rPr>
        <w:t>的设计文件、 施工图、 鸟瞰图及模型等，</w:t>
      </w:r>
      <w:r>
        <w:rPr>
          <w:rFonts w:ascii="宋体" w:hAnsi="宋体" w:eastAsia="宋体" w:cs="宋体"/>
          <w:spacing w:val="38"/>
          <w:sz w:val="21"/>
          <w:szCs w:val="21"/>
        </w:rPr>
        <w:t xml:space="preserve"> </w:t>
      </w:r>
      <w:r>
        <w:rPr>
          <w:rFonts w:ascii="宋体" w:hAnsi="宋体" w:eastAsia="宋体" w:cs="宋体"/>
          <w:spacing w:val="-6"/>
          <w:sz w:val="21"/>
          <w:szCs w:val="21"/>
        </w:rPr>
        <w:t>以及在合同履行过程中形成的图</w:t>
      </w:r>
      <w:r>
        <w:rPr>
          <w:rFonts w:ascii="宋体" w:hAnsi="宋体" w:eastAsia="宋体" w:cs="宋体"/>
          <w:spacing w:val="-7"/>
          <w:sz w:val="21"/>
          <w:szCs w:val="21"/>
        </w:rPr>
        <w:t>纸文件。图纸应</w:t>
      </w:r>
    </w:p>
    <w:p w14:paraId="2FDED195">
      <w:pPr>
        <w:spacing w:line="220" w:lineRule="auto"/>
        <w:ind w:left="31"/>
        <w:rPr>
          <w:rFonts w:ascii="宋体" w:hAnsi="宋体" w:eastAsia="宋体" w:cs="宋体"/>
          <w:sz w:val="21"/>
          <w:szCs w:val="21"/>
        </w:rPr>
      </w:pPr>
      <w:r>
        <w:rPr>
          <w:rFonts w:ascii="宋体" w:hAnsi="宋体" w:eastAsia="宋体" w:cs="宋体"/>
          <w:spacing w:val="-4"/>
          <w:sz w:val="21"/>
          <w:szCs w:val="21"/>
        </w:rPr>
        <w:t>当按照法律规定审查合格。</w:t>
      </w:r>
    </w:p>
    <w:p w14:paraId="499F8198">
      <w:pPr>
        <w:spacing w:before="148" w:line="403" w:lineRule="exact"/>
        <w:ind w:right="49"/>
        <w:jc w:val="right"/>
        <w:rPr>
          <w:rFonts w:ascii="宋体" w:hAnsi="宋体" w:eastAsia="宋体" w:cs="宋体"/>
          <w:sz w:val="21"/>
          <w:szCs w:val="21"/>
        </w:rPr>
      </w:pPr>
      <w:r>
        <w:fldChar w:fldCharType="begin"/>
      </w:r>
      <w:r>
        <w:instrText xml:space="preserve"> HYPERLINK "1.1.1.8" </w:instrText>
      </w:r>
      <w:r>
        <w:fldChar w:fldCharType="separate"/>
      </w:r>
      <w:r>
        <w:rPr>
          <w:rFonts w:ascii="Times New Roman" w:hAnsi="Times New Roman" w:eastAsia="Times New Roman" w:cs="Times New Roman"/>
          <w:spacing w:val="1"/>
          <w:position w:val="14"/>
          <w:sz w:val="21"/>
          <w:szCs w:val="21"/>
        </w:rPr>
        <w:t>1.1.1.8</w:t>
      </w:r>
      <w:r>
        <w:rPr>
          <w:rFonts w:ascii="Times New Roman" w:hAnsi="Times New Roman" w:eastAsia="Times New Roman" w:cs="Times New Roman"/>
          <w:spacing w:val="1"/>
          <w:position w:val="14"/>
          <w:sz w:val="21"/>
          <w:szCs w:val="21"/>
        </w:rPr>
        <w:fldChar w:fldCharType="end"/>
      </w:r>
      <w:r>
        <w:rPr>
          <w:rFonts w:ascii="Times New Roman" w:hAnsi="Times New Roman" w:eastAsia="Times New Roman" w:cs="Times New Roman"/>
          <w:spacing w:val="1"/>
          <w:position w:val="14"/>
          <w:sz w:val="21"/>
          <w:szCs w:val="21"/>
        </w:rPr>
        <w:t xml:space="preserve">  </w:t>
      </w:r>
      <w:r>
        <w:rPr>
          <w:rFonts w:ascii="宋体" w:hAnsi="宋体" w:eastAsia="宋体" w:cs="宋体"/>
          <w:spacing w:val="1"/>
          <w:position w:val="14"/>
          <w:sz w:val="21"/>
          <w:szCs w:val="21"/>
        </w:rPr>
        <w:t>已标价工程量清单：是指构成合同的由承包人按照规定的格式和要求填写并标</w:t>
      </w:r>
    </w:p>
    <w:p w14:paraId="5677DCA4">
      <w:pPr>
        <w:spacing w:line="219" w:lineRule="auto"/>
        <w:ind w:left="38"/>
        <w:rPr>
          <w:rFonts w:ascii="宋体" w:hAnsi="宋体" w:eastAsia="宋体" w:cs="宋体"/>
          <w:sz w:val="21"/>
          <w:szCs w:val="21"/>
        </w:rPr>
      </w:pPr>
      <w:r>
        <w:rPr>
          <w:rFonts w:ascii="宋体" w:hAnsi="宋体" w:eastAsia="宋体" w:cs="宋体"/>
          <w:spacing w:val="-2"/>
          <w:sz w:val="21"/>
          <w:szCs w:val="21"/>
        </w:rPr>
        <w:t>明价格的工程量清单，包括说明和表格。</w:t>
      </w:r>
    </w:p>
    <w:p w14:paraId="0509228E">
      <w:pPr>
        <w:spacing w:before="150" w:line="398" w:lineRule="exact"/>
        <w:ind w:right="49"/>
        <w:jc w:val="right"/>
        <w:rPr>
          <w:rFonts w:ascii="宋体" w:hAnsi="宋体" w:eastAsia="宋体" w:cs="宋体"/>
          <w:sz w:val="21"/>
          <w:szCs w:val="21"/>
        </w:rPr>
      </w:pPr>
      <w:r>
        <w:fldChar w:fldCharType="begin"/>
      </w:r>
      <w:r>
        <w:instrText xml:space="preserve"> HYPERLINK "1.1.1.9" </w:instrText>
      </w:r>
      <w:r>
        <w:fldChar w:fldCharType="separate"/>
      </w:r>
      <w:r>
        <w:rPr>
          <w:rFonts w:ascii="Times New Roman" w:hAnsi="Times New Roman" w:eastAsia="Times New Roman" w:cs="Times New Roman"/>
          <w:spacing w:val="2"/>
          <w:position w:val="14"/>
          <w:sz w:val="21"/>
          <w:szCs w:val="21"/>
        </w:rPr>
        <w:t>1.1.1.9</w:t>
      </w:r>
      <w:r>
        <w:rPr>
          <w:rFonts w:ascii="Times New Roman" w:hAnsi="Times New Roman" w:eastAsia="Times New Roman" w:cs="Times New Roman"/>
          <w:spacing w:val="2"/>
          <w:position w:val="14"/>
          <w:sz w:val="21"/>
          <w:szCs w:val="21"/>
        </w:rPr>
        <w:fldChar w:fldCharType="end"/>
      </w:r>
      <w:r>
        <w:rPr>
          <w:rFonts w:ascii="Times New Roman" w:hAnsi="Times New Roman" w:eastAsia="Times New Roman" w:cs="Times New Roman"/>
          <w:spacing w:val="34"/>
          <w:position w:val="14"/>
          <w:sz w:val="21"/>
          <w:szCs w:val="21"/>
        </w:rPr>
        <w:t xml:space="preserve"> </w:t>
      </w:r>
      <w:r>
        <w:rPr>
          <w:rFonts w:ascii="宋体" w:hAnsi="宋体" w:eastAsia="宋体" w:cs="宋体"/>
          <w:spacing w:val="2"/>
          <w:position w:val="14"/>
          <w:sz w:val="21"/>
          <w:szCs w:val="21"/>
        </w:rPr>
        <w:t>预算书：是指构成合同的由承包人按</w:t>
      </w:r>
      <w:r>
        <w:rPr>
          <w:rFonts w:ascii="宋体" w:hAnsi="宋体" w:eastAsia="宋体" w:cs="宋体"/>
          <w:spacing w:val="1"/>
          <w:position w:val="14"/>
          <w:sz w:val="21"/>
          <w:szCs w:val="21"/>
        </w:rPr>
        <w:t>照发包人规定的格式和要求编制的工程预</w:t>
      </w:r>
    </w:p>
    <w:p w14:paraId="73060551">
      <w:pPr>
        <w:spacing w:before="1" w:line="220" w:lineRule="auto"/>
        <w:ind w:left="20"/>
        <w:rPr>
          <w:rFonts w:ascii="宋体" w:hAnsi="宋体" w:eastAsia="宋体" w:cs="宋体"/>
          <w:sz w:val="21"/>
          <w:szCs w:val="21"/>
        </w:rPr>
      </w:pPr>
      <w:r>
        <w:rPr>
          <w:rFonts w:ascii="宋体" w:hAnsi="宋体" w:eastAsia="宋体" w:cs="宋体"/>
          <w:spacing w:val="-7"/>
          <w:sz w:val="21"/>
          <w:szCs w:val="21"/>
        </w:rPr>
        <w:t>算文件。</w:t>
      </w:r>
    </w:p>
    <w:p w14:paraId="16B1A409">
      <w:pPr>
        <w:spacing w:before="153" w:line="398" w:lineRule="exact"/>
        <w:ind w:right="46"/>
        <w:jc w:val="right"/>
        <w:rPr>
          <w:rFonts w:ascii="宋体" w:hAnsi="宋体" w:eastAsia="宋体" w:cs="宋体"/>
          <w:sz w:val="21"/>
          <w:szCs w:val="21"/>
        </w:rPr>
      </w:pPr>
      <w:r>
        <w:fldChar w:fldCharType="begin"/>
      </w:r>
      <w:r>
        <w:instrText xml:space="preserve"> HYPERLINK "1.1.1.10" </w:instrText>
      </w:r>
      <w:r>
        <w:fldChar w:fldCharType="separate"/>
      </w:r>
      <w:r>
        <w:rPr>
          <w:rFonts w:ascii="Times New Roman" w:hAnsi="Times New Roman" w:eastAsia="Times New Roman" w:cs="Times New Roman"/>
          <w:spacing w:val="-1"/>
          <w:position w:val="14"/>
          <w:sz w:val="21"/>
          <w:szCs w:val="21"/>
        </w:rPr>
        <w:t>1.1.1.10</w:t>
      </w:r>
      <w:r>
        <w:rPr>
          <w:rFonts w:ascii="Times New Roman" w:hAnsi="Times New Roman" w:eastAsia="Times New Roman" w:cs="Times New Roman"/>
          <w:spacing w:val="-1"/>
          <w:position w:val="14"/>
          <w:sz w:val="21"/>
          <w:szCs w:val="21"/>
        </w:rPr>
        <w:fldChar w:fldCharType="end"/>
      </w:r>
      <w:r>
        <w:rPr>
          <w:rFonts w:ascii="Times New Roman" w:hAnsi="Times New Roman" w:eastAsia="Times New Roman" w:cs="Times New Roman"/>
          <w:spacing w:val="38"/>
          <w:position w:val="14"/>
          <w:sz w:val="21"/>
          <w:szCs w:val="21"/>
        </w:rPr>
        <w:t xml:space="preserve"> </w:t>
      </w:r>
      <w:r>
        <w:rPr>
          <w:rFonts w:ascii="宋体" w:hAnsi="宋体" w:eastAsia="宋体" w:cs="宋体"/>
          <w:spacing w:val="-1"/>
          <w:position w:val="14"/>
          <w:sz w:val="21"/>
          <w:szCs w:val="21"/>
        </w:rPr>
        <w:t>其他合同文件：是指经合同当事人约定的与工程施工有关的具有合同约束力的</w:t>
      </w:r>
    </w:p>
    <w:p w14:paraId="1D42A51A">
      <w:pPr>
        <w:spacing w:before="1" w:line="219" w:lineRule="auto"/>
        <w:ind w:left="20"/>
        <w:rPr>
          <w:rFonts w:ascii="宋体" w:hAnsi="宋体" w:eastAsia="宋体" w:cs="宋体"/>
          <w:sz w:val="21"/>
          <w:szCs w:val="21"/>
        </w:rPr>
      </w:pPr>
      <w:r>
        <w:rPr>
          <w:rFonts w:ascii="宋体" w:hAnsi="宋体" w:eastAsia="宋体" w:cs="宋体"/>
          <w:spacing w:val="-1"/>
          <w:sz w:val="21"/>
          <w:szCs w:val="21"/>
        </w:rPr>
        <w:t>文件或书面协议。合同当事人可以在专用合同条款中进</w:t>
      </w:r>
      <w:r>
        <w:rPr>
          <w:rFonts w:ascii="宋体" w:hAnsi="宋体" w:eastAsia="宋体" w:cs="宋体"/>
          <w:spacing w:val="-2"/>
          <w:sz w:val="21"/>
          <w:szCs w:val="21"/>
        </w:rPr>
        <w:t>行约定。</w:t>
      </w:r>
    </w:p>
    <w:p w14:paraId="538C0F2B">
      <w:pPr>
        <w:spacing w:before="149" w:line="221" w:lineRule="auto"/>
        <w:ind w:left="457"/>
        <w:rPr>
          <w:rFonts w:ascii="宋体" w:hAnsi="宋体" w:eastAsia="宋体" w:cs="宋体"/>
          <w:sz w:val="21"/>
          <w:szCs w:val="21"/>
        </w:rPr>
      </w:pPr>
      <w:r>
        <w:rPr>
          <w:rFonts w:ascii="Times New Roman" w:hAnsi="Times New Roman" w:eastAsia="Times New Roman" w:cs="Times New Roman"/>
          <w:spacing w:val="-2"/>
          <w:sz w:val="21"/>
          <w:szCs w:val="21"/>
        </w:rPr>
        <w:t xml:space="preserve">1.1.2 </w:t>
      </w:r>
      <w:r>
        <w:rPr>
          <w:rFonts w:ascii="宋体" w:hAnsi="宋体" w:eastAsia="宋体" w:cs="宋体"/>
          <w:spacing w:val="-2"/>
          <w:sz w:val="21"/>
          <w:szCs w:val="21"/>
        </w:rPr>
        <w:t>合同当事人及其他相关方</w:t>
      </w:r>
    </w:p>
    <w:p w14:paraId="400724C5">
      <w:pPr>
        <w:spacing w:before="151" w:line="221" w:lineRule="auto"/>
        <w:ind w:left="457"/>
        <w:rPr>
          <w:rFonts w:ascii="宋体" w:hAnsi="宋体" w:eastAsia="宋体" w:cs="宋体"/>
          <w:sz w:val="21"/>
          <w:szCs w:val="21"/>
        </w:rPr>
      </w:pPr>
      <w:r>
        <w:fldChar w:fldCharType="begin"/>
      </w:r>
      <w:r>
        <w:instrText xml:space="preserve"> HYPERLINK "1.1.2.1" </w:instrText>
      </w:r>
      <w:r>
        <w:fldChar w:fldCharType="separate"/>
      </w:r>
      <w:r>
        <w:rPr>
          <w:rFonts w:ascii="Times New Roman" w:hAnsi="Times New Roman" w:eastAsia="Times New Roman" w:cs="Times New Roman"/>
          <w:spacing w:val="-5"/>
          <w:sz w:val="21"/>
          <w:szCs w:val="21"/>
        </w:rPr>
        <w:t>1.1.2.1</w:t>
      </w:r>
      <w:r>
        <w:rPr>
          <w:rFonts w:ascii="Times New Roman" w:hAnsi="Times New Roman" w:eastAsia="Times New Roman" w:cs="Times New Roman"/>
          <w:spacing w:val="-5"/>
          <w:sz w:val="21"/>
          <w:szCs w:val="21"/>
        </w:rPr>
        <w:fldChar w:fldCharType="end"/>
      </w:r>
      <w:r>
        <w:rPr>
          <w:rFonts w:ascii="Times New Roman" w:hAnsi="Times New Roman" w:eastAsia="Times New Roman" w:cs="Times New Roman"/>
          <w:spacing w:val="-5"/>
          <w:sz w:val="21"/>
          <w:szCs w:val="21"/>
        </w:rPr>
        <w:t xml:space="preserve"> </w:t>
      </w:r>
      <w:r>
        <w:rPr>
          <w:rFonts w:ascii="宋体" w:hAnsi="宋体" w:eastAsia="宋体" w:cs="宋体"/>
          <w:spacing w:val="-5"/>
          <w:sz w:val="21"/>
          <w:szCs w:val="21"/>
        </w:rPr>
        <w:t>合同当事人： 是指发包人和（或）承包人。</w:t>
      </w:r>
    </w:p>
    <w:p w14:paraId="5224B7C9">
      <w:pPr>
        <w:spacing w:before="147" w:line="399" w:lineRule="exact"/>
        <w:ind w:right="49"/>
        <w:jc w:val="right"/>
        <w:rPr>
          <w:rFonts w:ascii="宋体" w:hAnsi="宋体" w:eastAsia="宋体" w:cs="宋体"/>
          <w:sz w:val="21"/>
          <w:szCs w:val="21"/>
        </w:rPr>
      </w:pPr>
      <w:r>
        <w:fldChar w:fldCharType="begin"/>
      </w:r>
      <w:r>
        <w:instrText xml:space="preserve"> HYPERLINK "1.1.2.2" </w:instrText>
      </w:r>
      <w:r>
        <w:fldChar w:fldCharType="separate"/>
      </w:r>
      <w:r>
        <w:rPr>
          <w:rFonts w:ascii="Times New Roman" w:hAnsi="Times New Roman" w:eastAsia="Times New Roman" w:cs="Times New Roman"/>
          <w:spacing w:val="2"/>
          <w:position w:val="14"/>
          <w:sz w:val="21"/>
          <w:szCs w:val="21"/>
        </w:rPr>
        <w:t>1.1.2.2</w:t>
      </w:r>
      <w:r>
        <w:rPr>
          <w:rFonts w:ascii="Times New Roman" w:hAnsi="Times New Roman" w:eastAsia="Times New Roman" w:cs="Times New Roman"/>
          <w:spacing w:val="2"/>
          <w:position w:val="14"/>
          <w:sz w:val="21"/>
          <w:szCs w:val="21"/>
        </w:rPr>
        <w:fldChar w:fldCharType="end"/>
      </w:r>
      <w:r>
        <w:rPr>
          <w:rFonts w:ascii="Times New Roman" w:hAnsi="Times New Roman" w:eastAsia="Times New Roman" w:cs="Times New Roman"/>
          <w:spacing w:val="36"/>
          <w:position w:val="14"/>
          <w:sz w:val="21"/>
          <w:szCs w:val="21"/>
        </w:rPr>
        <w:t xml:space="preserve"> </w:t>
      </w:r>
      <w:r>
        <w:rPr>
          <w:rFonts w:ascii="宋体" w:hAnsi="宋体" w:eastAsia="宋体" w:cs="宋体"/>
          <w:spacing w:val="2"/>
          <w:position w:val="14"/>
          <w:sz w:val="21"/>
          <w:szCs w:val="21"/>
        </w:rPr>
        <w:t>发包人：是指与承包人签订合同</w:t>
      </w:r>
      <w:r>
        <w:rPr>
          <w:rFonts w:ascii="宋体" w:hAnsi="宋体" w:eastAsia="宋体" w:cs="宋体"/>
          <w:spacing w:val="1"/>
          <w:position w:val="14"/>
          <w:sz w:val="21"/>
          <w:szCs w:val="21"/>
        </w:rPr>
        <w:t>协议书的当事人及取得该当事人资格的合法继</w:t>
      </w:r>
    </w:p>
    <w:p w14:paraId="31F89DCF">
      <w:pPr>
        <w:spacing w:before="1" w:line="220" w:lineRule="auto"/>
        <w:ind w:left="18"/>
        <w:rPr>
          <w:rFonts w:ascii="宋体" w:hAnsi="宋体" w:eastAsia="宋体" w:cs="宋体"/>
          <w:sz w:val="21"/>
          <w:szCs w:val="21"/>
        </w:rPr>
      </w:pPr>
      <w:r>
        <w:rPr>
          <w:rFonts w:ascii="宋体" w:hAnsi="宋体" w:eastAsia="宋体" w:cs="宋体"/>
          <w:spacing w:val="-8"/>
          <w:sz w:val="21"/>
          <w:szCs w:val="21"/>
        </w:rPr>
        <w:t>承人。</w:t>
      </w:r>
    </w:p>
    <w:p w14:paraId="58597D8F">
      <w:pPr>
        <w:spacing w:before="152" w:line="398" w:lineRule="exact"/>
        <w:ind w:right="49"/>
        <w:jc w:val="right"/>
        <w:rPr>
          <w:rFonts w:ascii="宋体" w:hAnsi="宋体" w:eastAsia="宋体" w:cs="宋体"/>
          <w:sz w:val="21"/>
          <w:szCs w:val="21"/>
        </w:rPr>
      </w:pPr>
      <w:r>
        <w:fldChar w:fldCharType="begin"/>
      </w:r>
      <w:r>
        <w:instrText xml:space="preserve"> HYPERLINK "1.1.2.3" </w:instrText>
      </w:r>
      <w:r>
        <w:fldChar w:fldCharType="separate"/>
      </w:r>
      <w:r>
        <w:rPr>
          <w:rFonts w:ascii="Times New Roman" w:hAnsi="Times New Roman" w:eastAsia="Times New Roman" w:cs="Times New Roman"/>
          <w:spacing w:val="2"/>
          <w:position w:val="14"/>
          <w:sz w:val="21"/>
          <w:szCs w:val="21"/>
        </w:rPr>
        <w:t>1.1.2.3</w:t>
      </w:r>
      <w:r>
        <w:rPr>
          <w:rFonts w:ascii="Times New Roman" w:hAnsi="Times New Roman" w:eastAsia="Times New Roman" w:cs="Times New Roman"/>
          <w:spacing w:val="2"/>
          <w:position w:val="14"/>
          <w:sz w:val="21"/>
          <w:szCs w:val="21"/>
        </w:rPr>
        <w:fldChar w:fldCharType="end"/>
      </w:r>
      <w:r>
        <w:rPr>
          <w:rFonts w:ascii="Times New Roman" w:hAnsi="Times New Roman" w:eastAsia="Times New Roman" w:cs="Times New Roman"/>
          <w:spacing w:val="33"/>
          <w:position w:val="14"/>
          <w:sz w:val="21"/>
          <w:szCs w:val="21"/>
        </w:rPr>
        <w:t xml:space="preserve"> </w:t>
      </w:r>
      <w:r>
        <w:rPr>
          <w:rFonts w:ascii="宋体" w:hAnsi="宋体" w:eastAsia="宋体" w:cs="宋体"/>
          <w:spacing w:val="2"/>
          <w:position w:val="14"/>
          <w:sz w:val="21"/>
          <w:szCs w:val="21"/>
        </w:rPr>
        <w:t>承包人：是指与发包人签订合同协议书</w:t>
      </w:r>
      <w:r>
        <w:rPr>
          <w:rFonts w:ascii="宋体" w:hAnsi="宋体" w:eastAsia="宋体" w:cs="宋体"/>
          <w:spacing w:val="1"/>
          <w:position w:val="14"/>
          <w:sz w:val="21"/>
          <w:szCs w:val="21"/>
        </w:rPr>
        <w:t>的，具有相应工程施工承包资质的当事</w:t>
      </w:r>
    </w:p>
    <w:p w14:paraId="3AA21261">
      <w:pPr>
        <w:spacing w:before="1" w:line="220" w:lineRule="auto"/>
        <w:ind w:left="20"/>
        <w:rPr>
          <w:rFonts w:ascii="宋体" w:hAnsi="宋体" w:eastAsia="宋体" w:cs="宋体"/>
          <w:sz w:val="21"/>
          <w:szCs w:val="21"/>
        </w:rPr>
      </w:pPr>
      <w:r>
        <w:rPr>
          <w:rFonts w:ascii="宋体" w:hAnsi="宋体" w:eastAsia="宋体" w:cs="宋体"/>
          <w:spacing w:val="-2"/>
          <w:sz w:val="21"/>
          <w:szCs w:val="21"/>
        </w:rPr>
        <w:t>人及取得该当事人资格的合法继承人。</w:t>
      </w:r>
    </w:p>
    <w:p w14:paraId="13BB0A7F">
      <w:pPr>
        <w:spacing w:before="147" w:line="404" w:lineRule="exact"/>
        <w:ind w:right="49"/>
        <w:jc w:val="right"/>
        <w:rPr>
          <w:rFonts w:ascii="宋体" w:hAnsi="宋体" w:eastAsia="宋体" w:cs="宋体"/>
          <w:sz w:val="21"/>
          <w:szCs w:val="21"/>
        </w:rPr>
      </w:pPr>
      <w:r>
        <w:fldChar w:fldCharType="begin"/>
      </w:r>
      <w:r>
        <w:instrText xml:space="preserve"> HYPERLINK "1.1.2.4" </w:instrText>
      </w:r>
      <w:r>
        <w:fldChar w:fldCharType="separate"/>
      </w:r>
      <w:r>
        <w:rPr>
          <w:rFonts w:ascii="Times New Roman" w:hAnsi="Times New Roman" w:eastAsia="Times New Roman" w:cs="Times New Roman"/>
          <w:spacing w:val="2"/>
          <w:position w:val="14"/>
          <w:sz w:val="21"/>
          <w:szCs w:val="21"/>
        </w:rPr>
        <w:t>1.1.2.4</w:t>
      </w:r>
      <w:r>
        <w:rPr>
          <w:rFonts w:ascii="Times New Roman" w:hAnsi="Times New Roman" w:eastAsia="Times New Roman" w:cs="Times New Roman"/>
          <w:spacing w:val="2"/>
          <w:position w:val="14"/>
          <w:sz w:val="21"/>
          <w:szCs w:val="21"/>
        </w:rPr>
        <w:fldChar w:fldCharType="end"/>
      </w:r>
      <w:r>
        <w:rPr>
          <w:rFonts w:ascii="Times New Roman" w:hAnsi="Times New Roman" w:eastAsia="Times New Roman" w:cs="Times New Roman"/>
          <w:spacing w:val="33"/>
          <w:position w:val="14"/>
          <w:sz w:val="21"/>
          <w:szCs w:val="21"/>
        </w:rPr>
        <w:t xml:space="preserve"> </w:t>
      </w:r>
      <w:r>
        <w:rPr>
          <w:rFonts w:ascii="宋体" w:hAnsi="宋体" w:eastAsia="宋体" w:cs="宋体"/>
          <w:spacing w:val="2"/>
          <w:position w:val="14"/>
          <w:sz w:val="21"/>
          <w:szCs w:val="21"/>
        </w:rPr>
        <w:t>监理人：是指在专用合同条款中指明的</w:t>
      </w:r>
      <w:r>
        <w:rPr>
          <w:rFonts w:ascii="宋体" w:hAnsi="宋体" w:eastAsia="宋体" w:cs="宋体"/>
          <w:spacing w:val="1"/>
          <w:position w:val="14"/>
          <w:sz w:val="21"/>
          <w:szCs w:val="21"/>
        </w:rPr>
        <w:t>，受发包人委托按照法律规定进行工程</w:t>
      </w:r>
    </w:p>
    <w:p w14:paraId="19DF2121">
      <w:pPr>
        <w:spacing w:before="1" w:line="220" w:lineRule="auto"/>
        <w:ind w:left="19"/>
        <w:rPr>
          <w:rFonts w:ascii="宋体" w:hAnsi="宋体" w:eastAsia="宋体" w:cs="宋体"/>
          <w:sz w:val="21"/>
          <w:szCs w:val="21"/>
        </w:rPr>
      </w:pPr>
      <w:r>
        <w:rPr>
          <w:rFonts w:ascii="宋体" w:hAnsi="宋体" w:eastAsia="宋体" w:cs="宋体"/>
          <w:spacing w:val="-3"/>
          <w:sz w:val="21"/>
          <w:szCs w:val="21"/>
        </w:rPr>
        <w:t>监督管理的法人或其他组织。</w:t>
      </w:r>
    </w:p>
    <w:p w14:paraId="4EA9CCAF">
      <w:pPr>
        <w:spacing w:line="220" w:lineRule="auto"/>
        <w:rPr>
          <w:rFonts w:ascii="宋体" w:hAnsi="宋体" w:eastAsia="宋体" w:cs="宋体"/>
          <w:sz w:val="21"/>
          <w:szCs w:val="21"/>
        </w:rPr>
        <w:sectPr>
          <w:footerReference r:id="rId89" w:type="default"/>
          <w:pgSz w:w="11905" w:h="16839"/>
          <w:pgMar w:top="1375" w:right="1742" w:bottom="1004" w:left="1785" w:header="0" w:footer="828" w:gutter="0"/>
          <w:pgNumType w:fmt="decimal"/>
          <w:cols w:space="720" w:num="1"/>
        </w:sectPr>
      </w:pPr>
    </w:p>
    <w:p w14:paraId="73D7F99E">
      <w:pPr>
        <w:spacing w:before="149" w:line="398" w:lineRule="exact"/>
        <w:ind w:right="5"/>
        <w:jc w:val="right"/>
        <w:rPr>
          <w:rFonts w:ascii="宋体" w:hAnsi="宋体" w:eastAsia="宋体" w:cs="宋体"/>
          <w:sz w:val="21"/>
          <w:szCs w:val="21"/>
        </w:rPr>
      </w:pPr>
      <w:r>
        <w:fldChar w:fldCharType="begin"/>
      </w:r>
      <w:r>
        <w:instrText xml:space="preserve"> HYPERLINK "1.1.2.5" </w:instrText>
      </w:r>
      <w:r>
        <w:fldChar w:fldCharType="separate"/>
      </w:r>
      <w:r>
        <w:rPr>
          <w:rFonts w:ascii="Times New Roman" w:hAnsi="Times New Roman" w:eastAsia="Times New Roman" w:cs="Times New Roman"/>
          <w:spacing w:val="2"/>
          <w:position w:val="14"/>
          <w:sz w:val="21"/>
          <w:szCs w:val="21"/>
        </w:rPr>
        <w:t>1.1.2.5</w:t>
      </w:r>
      <w:r>
        <w:rPr>
          <w:rFonts w:ascii="Times New Roman" w:hAnsi="Times New Roman" w:eastAsia="Times New Roman" w:cs="Times New Roman"/>
          <w:spacing w:val="2"/>
          <w:position w:val="14"/>
          <w:sz w:val="21"/>
          <w:szCs w:val="21"/>
        </w:rPr>
        <w:fldChar w:fldCharType="end"/>
      </w:r>
      <w:r>
        <w:rPr>
          <w:rFonts w:ascii="Times New Roman" w:hAnsi="Times New Roman" w:eastAsia="Times New Roman" w:cs="Times New Roman"/>
          <w:spacing w:val="36"/>
          <w:position w:val="14"/>
          <w:sz w:val="21"/>
          <w:szCs w:val="21"/>
        </w:rPr>
        <w:t xml:space="preserve"> </w:t>
      </w:r>
      <w:r>
        <w:rPr>
          <w:rFonts w:ascii="宋体" w:hAnsi="宋体" w:eastAsia="宋体" w:cs="宋体"/>
          <w:spacing w:val="2"/>
          <w:position w:val="14"/>
          <w:sz w:val="21"/>
          <w:szCs w:val="21"/>
        </w:rPr>
        <w:t>设计人：是指在专用合同条款中</w:t>
      </w:r>
      <w:r>
        <w:rPr>
          <w:rFonts w:ascii="宋体" w:hAnsi="宋体" w:eastAsia="宋体" w:cs="宋体"/>
          <w:spacing w:val="1"/>
          <w:position w:val="14"/>
          <w:sz w:val="21"/>
          <w:szCs w:val="21"/>
        </w:rPr>
        <w:t>指明的，受发包人委托负责工程设计并具备相</w:t>
      </w:r>
    </w:p>
    <w:p w14:paraId="02DB7885">
      <w:pPr>
        <w:spacing w:line="221" w:lineRule="auto"/>
        <w:ind w:left="18"/>
        <w:rPr>
          <w:rFonts w:ascii="宋体" w:hAnsi="宋体" w:eastAsia="宋体" w:cs="宋体"/>
          <w:sz w:val="21"/>
          <w:szCs w:val="21"/>
        </w:rPr>
      </w:pPr>
      <w:r>
        <w:rPr>
          <w:rFonts w:ascii="宋体" w:hAnsi="宋体" w:eastAsia="宋体" w:cs="宋体"/>
          <w:spacing w:val="-2"/>
          <w:sz w:val="21"/>
          <w:szCs w:val="21"/>
        </w:rPr>
        <w:t>应工程设计资质的法人或其他组织。</w:t>
      </w:r>
    </w:p>
    <w:p w14:paraId="2703BEB2">
      <w:pPr>
        <w:spacing w:before="151" w:line="399" w:lineRule="exact"/>
        <w:ind w:right="1"/>
        <w:jc w:val="right"/>
        <w:rPr>
          <w:rFonts w:ascii="宋体" w:hAnsi="宋体" w:eastAsia="宋体" w:cs="宋体"/>
          <w:sz w:val="21"/>
          <w:szCs w:val="21"/>
        </w:rPr>
      </w:pPr>
      <w:r>
        <w:fldChar w:fldCharType="begin"/>
      </w:r>
      <w:r>
        <w:instrText xml:space="preserve"> HYPERLINK "1.1.2.6" </w:instrText>
      </w:r>
      <w:r>
        <w:fldChar w:fldCharType="separate"/>
      </w:r>
      <w:r>
        <w:rPr>
          <w:rFonts w:ascii="Times New Roman" w:hAnsi="Times New Roman" w:eastAsia="Times New Roman" w:cs="Times New Roman"/>
          <w:spacing w:val="2"/>
          <w:position w:val="14"/>
          <w:sz w:val="21"/>
          <w:szCs w:val="21"/>
        </w:rPr>
        <w:t>1.1.2.6</w:t>
      </w:r>
      <w:r>
        <w:rPr>
          <w:rFonts w:ascii="Times New Roman" w:hAnsi="Times New Roman" w:eastAsia="Times New Roman" w:cs="Times New Roman"/>
          <w:spacing w:val="2"/>
          <w:position w:val="14"/>
          <w:sz w:val="21"/>
          <w:szCs w:val="21"/>
        </w:rPr>
        <w:fldChar w:fldCharType="end"/>
      </w:r>
      <w:r>
        <w:rPr>
          <w:rFonts w:ascii="Times New Roman" w:hAnsi="Times New Roman" w:eastAsia="Times New Roman" w:cs="Times New Roman"/>
          <w:spacing w:val="35"/>
          <w:position w:val="14"/>
          <w:sz w:val="21"/>
          <w:szCs w:val="21"/>
        </w:rPr>
        <w:t xml:space="preserve"> </w:t>
      </w:r>
      <w:r>
        <w:rPr>
          <w:rFonts w:ascii="宋体" w:hAnsi="宋体" w:eastAsia="宋体" w:cs="宋体"/>
          <w:spacing w:val="2"/>
          <w:position w:val="14"/>
          <w:sz w:val="21"/>
          <w:szCs w:val="21"/>
        </w:rPr>
        <w:t>分包人：是指按照法律规定和合同约定，分包</w:t>
      </w:r>
      <w:r>
        <w:rPr>
          <w:rFonts w:ascii="宋体" w:hAnsi="宋体" w:eastAsia="宋体" w:cs="宋体"/>
          <w:spacing w:val="1"/>
          <w:position w:val="14"/>
          <w:sz w:val="21"/>
          <w:szCs w:val="21"/>
        </w:rPr>
        <w:t>部分工程或工作，并与承包人签</w:t>
      </w:r>
    </w:p>
    <w:p w14:paraId="205AAE73">
      <w:pPr>
        <w:spacing w:line="221" w:lineRule="auto"/>
        <w:ind w:left="20"/>
        <w:rPr>
          <w:rFonts w:ascii="宋体" w:hAnsi="宋体" w:eastAsia="宋体" w:cs="宋体"/>
          <w:sz w:val="21"/>
          <w:szCs w:val="21"/>
        </w:rPr>
      </w:pPr>
      <w:r>
        <w:rPr>
          <w:rFonts w:ascii="宋体" w:hAnsi="宋体" w:eastAsia="宋体" w:cs="宋体"/>
          <w:spacing w:val="-2"/>
          <w:sz w:val="21"/>
          <w:szCs w:val="21"/>
        </w:rPr>
        <w:t>订分包合同的具有相应资质的法人。</w:t>
      </w:r>
    </w:p>
    <w:p w14:paraId="7B8DE70E">
      <w:pPr>
        <w:spacing w:before="146" w:line="403" w:lineRule="exact"/>
        <w:ind w:right="5"/>
        <w:jc w:val="right"/>
        <w:rPr>
          <w:rFonts w:ascii="宋体" w:hAnsi="宋体" w:eastAsia="宋体" w:cs="宋体"/>
          <w:sz w:val="21"/>
          <w:szCs w:val="21"/>
        </w:rPr>
      </w:pPr>
      <w:r>
        <w:fldChar w:fldCharType="begin"/>
      </w:r>
      <w:r>
        <w:instrText xml:space="preserve"> HYPERLINK "1.1.2.7" </w:instrText>
      </w:r>
      <w:r>
        <w:fldChar w:fldCharType="separate"/>
      </w:r>
      <w:r>
        <w:rPr>
          <w:rFonts w:ascii="Times New Roman" w:hAnsi="Times New Roman" w:eastAsia="Times New Roman" w:cs="Times New Roman"/>
          <w:spacing w:val="2"/>
          <w:position w:val="14"/>
          <w:sz w:val="21"/>
          <w:szCs w:val="21"/>
        </w:rPr>
        <w:t>1.1.2.7</w:t>
      </w:r>
      <w:r>
        <w:rPr>
          <w:rFonts w:ascii="Times New Roman" w:hAnsi="Times New Roman" w:eastAsia="Times New Roman" w:cs="Times New Roman"/>
          <w:spacing w:val="2"/>
          <w:position w:val="14"/>
          <w:sz w:val="21"/>
          <w:szCs w:val="21"/>
        </w:rPr>
        <w:fldChar w:fldCharType="end"/>
      </w:r>
      <w:r>
        <w:rPr>
          <w:rFonts w:ascii="Times New Roman" w:hAnsi="Times New Roman" w:eastAsia="Times New Roman" w:cs="Times New Roman"/>
          <w:spacing w:val="36"/>
          <w:position w:val="14"/>
          <w:sz w:val="21"/>
          <w:szCs w:val="21"/>
        </w:rPr>
        <w:t xml:space="preserve"> </w:t>
      </w:r>
      <w:r>
        <w:rPr>
          <w:rFonts w:ascii="宋体" w:hAnsi="宋体" w:eastAsia="宋体" w:cs="宋体"/>
          <w:spacing w:val="2"/>
          <w:position w:val="14"/>
          <w:sz w:val="21"/>
          <w:szCs w:val="21"/>
        </w:rPr>
        <w:t>发包人代表：是指由发包人任命</w:t>
      </w:r>
      <w:r>
        <w:rPr>
          <w:rFonts w:ascii="宋体" w:hAnsi="宋体" w:eastAsia="宋体" w:cs="宋体"/>
          <w:spacing w:val="1"/>
          <w:position w:val="14"/>
          <w:sz w:val="21"/>
          <w:szCs w:val="21"/>
        </w:rPr>
        <w:t>并派驻施工现场在发包人授权范围内行使发包</w:t>
      </w:r>
    </w:p>
    <w:p w14:paraId="14D47321">
      <w:pPr>
        <w:spacing w:before="1" w:line="220" w:lineRule="auto"/>
        <w:ind w:left="20"/>
        <w:rPr>
          <w:rFonts w:ascii="宋体" w:hAnsi="宋体" w:eastAsia="宋体" w:cs="宋体"/>
          <w:sz w:val="21"/>
          <w:szCs w:val="21"/>
        </w:rPr>
      </w:pPr>
      <w:r>
        <w:rPr>
          <w:rFonts w:ascii="宋体" w:hAnsi="宋体" w:eastAsia="宋体" w:cs="宋体"/>
          <w:spacing w:val="-1"/>
          <w:sz w:val="21"/>
          <w:szCs w:val="21"/>
        </w:rPr>
        <w:t>人权利的人。</w:t>
      </w:r>
    </w:p>
    <w:p w14:paraId="7262A074">
      <w:pPr>
        <w:spacing w:before="147" w:line="399" w:lineRule="exact"/>
        <w:ind w:right="5"/>
        <w:jc w:val="right"/>
        <w:rPr>
          <w:rFonts w:ascii="宋体" w:hAnsi="宋体" w:eastAsia="宋体" w:cs="宋体"/>
          <w:sz w:val="21"/>
          <w:szCs w:val="21"/>
        </w:rPr>
      </w:pPr>
      <w:r>
        <w:fldChar w:fldCharType="begin"/>
      </w:r>
      <w:r>
        <w:instrText xml:space="preserve"> HYPERLINK "1.1.2.8" </w:instrText>
      </w:r>
      <w:r>
        <w:fldChar w:fldCharType="separate"/>
      </w:r>
      <w:r>
        <w:rPr>
          <w:rFonts w:ascii="Times New Roman" w:hAnsi="Times New Roman" w:eastAsia="Times New Roman" w:cs="Times New Roman"/>
          <w:spacing w:val="-1"/>
          <w:position w:val="14"/>
          <w:sz w:val="21"/>
          <w:szCs w:val="21"/>
        </w:rPr>
        <w:t>1.1.2.8</w:t>
      </w:r>
      <w:r>
        <w:rPr>
          <w:rFonts w:ascii="Times New Roman" w:hAnsi="Times New Roman" w:eastAsia="Times New Roman" w:cs="Times New Roman"/>
          <w:spacing w:val="-1"/>
          <w:position w:val="14"/>
          <w:sz w:val="21"/>
          <w:szCs w:val="21"/>
        </w:rPr>
        <w:fldChar w:fldCharType="end"/>
      </w:r>
      <w:r>
        <w:rPr>
          <w:rFonts w:ascii="Times New Roman" w:hAnsi="Times New Roman" w:eastAsia="Times New Roman" w:cs="Times New Roman"/>
          <w:spacing w:val="35"/>
          <w:w w:val="101"/>
          <w:position w:val="14"/>
          <w:sz w:val="21"/>
          <w:szCs w:val="21"/>
        </w:rPr>
        <w:t xml:space="preserve"> </w:t>
      </w:r>
      <w:r>
        <w:rPr>
          <w:rFonts w:ascii="宋体" w:hAnsi="宋体" w:eastAsia="宋体" w:cs="宋体"/>
          <w:spacing w:val="-1"/>
          <w:position w:val="14"/>
          <w:sz w:val="21"/>
          <w:szCs w:val="21"/>
        </w:rPr>
        <w:t>项目经理： 是指由承包人任命并派驻施工现场，在承包人授权范围内负责合同</w:t>
      </w:r>
    </w:p>
    <w:p w14:paraId="282E20AE">
      <w:pPr>
        <w:spacing w:before="1" w:line="220" w:lineRule="auto"/>
        <w:ind w:left="21"/>
        <w:rPr>
          <w:rFonts w:ascii="宋体" w:hAnsi="宋体" w:eastAsia="宋体" w:cs="宋体"/>
          <w:sz w:val="21"/>
          <w:szCs w:val="21"/>
        </w:rPr>
      </w:pPr>
      <w:r>
        <w:rPr>
          <w:rFonts w:ascii="宋体" w:hAnsi="宋体" w:eastAsia="宋体" w:cs="宋体"/>
          <w:spacing w:val="-1"/>
          <w:sz w:val="21"/>
          <w:szCs w:val="21"/>
        </w:rPr>
        <w:t>履行，且按照法律规定具有相应资格的项目负责人。</w:t>
      </w:r>
    </w:p>
    <w:p w14:paraId="312A680C">
      <w:pPr>
        <w:spacing w:before="152" w:line="221" w:lineRule="auto"/>
        <w:ind w:left="457"/>
        <w:rPr>
          <w:rFonts w:ascii="宋体" w:hAnsi="宋体" w:eastAsia="宋体" w:cs="宋体"/>
          <w:sz w:val="21"/>
          <w:szCs w:val="21"/>
        </w:rPr>
      </w:pPr>
      <w:r>
        <w:fldChar w:fldCharType="begin"/>
      </w:r>
      <w:r>
        <w:instrText xml:space="preserve"> HYPERLINK "1.1.2.9" </w:instrText>
      </w:r>
      <w:r>
        <w:fldChar w:fldCharType="separate"/>
      </w:r>
      <w:r>
        <w:rPr>
          <w:rFonts w:ascii="Times New Roman" w:hAnsi="Times New Roman" w:eastAsia="Times New Roman" w:cs="Times New Roman"/>
          <w:spacing w:val="-1"/>
          <w:sz w:val="21"/>
          <w:szCs w:val="21"/>
        </w:rPr>
        <w:t>1.1.2.9</w:t>
      </w:r>
      <w:r>
        <w:rPr>
          <w:rFonts w:ascii="Times New Roman" w:hAnsi="Times New Roman" w:eastAsia="Times New Roman" w:cs="Times New Roman"/>
          <w:spacing w:val="-1"/>
          <w:sz w:val="21"/>
          <w:szCs w:val="21"/>
        </w:rPr>
        <w:fldChar w:fldCharType="end"/>
      </w:r>
      <w:r>
        <w:rPr>
          <w:rFonts w:ascii="Times New Roman" w:hAnsi="Times New Roman" w:eastAsia="Times New Roman" w:cs="Times New Roman"/>
          <w:spacing w:val="19"/>
          <w:w w:val="101"/>
          <w:sz w:val="21"/>
          <w:szCs w:val="21"/>
        </w:rPr>
        <w:t xml:space="preserve"> </w:t>
      </w:r>
      <w:r>
        <w:rPr>
          <w:rFonts w:ascii="宋体" w:hAnsi="宋体" w:eastAsia="宋体" w:cs="宋体"/>
          <w:spacing w:val="-1"/>
          <w:sz w:val="21"/>
          <w:szCs w:val="21"/>
        </w:rPr>
        <w:t>总监理工程师：是指由监理人任命并派驻施工现场进行工程监理的总负责人。</w:t>
      </w:r>
    </w:p>
    <w:p w14:paraId="1E4D55BA">
      <w:pPr>
        <w:spacing w:before="147" w:line="221" w:lineRule="auto"/>
        <w:ind w:left="457"/>
        <w:rPr>
          <w:rFonts w:ascii="宋体" w:hAnsi="宋体" w:eastAsia="宋体" w:cs="宋体"/>
          <w:sz w:val="21"/>
          <w:szCs w:val="21"/>
        </w:rPr>
      </w:pPr>
      <w:r>
        <w:rPr>
          <w:rFonts w:ascii="Times New Roman" w:hAnsi="Times New Roman" w:eastAsia="Times New Roman" w:cs="Times New Roman"/>
          <w:spacing w:val="-2"/>
          <w:sz w:val="21"/>
          <w:szCs w:val="21"/>
        </w:rPr>
        <w:t xml:space="preserve">1.1.3 </w:t>
      </w:r>
      <w:r>
        <w:rPr>
          <w:rFonts w:ascii="宋体" w:hAnsi="宋体" w:eastAsia="宋体" w:cs="宋体"/>
          <w:spacing w:val="-2"/>
          <w:sz w:val="21"/>
          <w:szCs w:val="21"/>
        </w:rPr>
        <w:t>工程和设备</w:t>
      </w:r>
    </w:p>
    <w:p w14:paraId="1641ADFD">
      <w:pPr>
        <w:spacing w:before="147" w:line="220" w:lineRule="auto"/>
        <w:ind w:left="457"/>
        <w:rPr>
          <w:rFonts w:ascii="宋体" w:hAnsi="宋体" w:eastAsia="宋体" w:cs="宋体"/>
          <w:sz w:val="21"/>
          <w:szCs w:val="21"/>
        </w:rPr>
      </w:pPr>
      <w:r>
        <w:fldChar w:fldCharType="begin"/>
      </w:r>
      <w:r>
        <w:instrText xml:space="preserve"> HYPERLINK "1.1.3.1" </w:instrText>
      </w:r>
      <w:r>
        <w:fldChar w:fldCharType="separate"/>
      </w:r>
      <w:r>
        <w:rPr>
          <w:rFonts w:ascii="Times New Roman" w:hAnsi="Times New Roman" w:eastAsia="Times New Roman" w:cs="Times New Roman"/>
          <w:spacing w:val="-4"/>
          <w:sz w:val="21"/>
          <w:szCs w:val="21"/>
        </w:rPr>
        <w:t>1.1.3.1</w:t>
      </w:r>
      <w:r>
        <w:rPr>
          <w:rFonts w:ascii="Times New Roman" w:hAnsi="Times New Roman" w:eastAsia="Times New Roman" w:cs="Times New Roman"/>
          <w:spacing w:val="-4"/>
          <w:sz w:val="21"/>
          <w:szCs w:val="21"/>
        </w:rPr>
        <w:fldChar w:fldCharType="end"/>
      </w:r>
      <w:r>
        <w:rPr>
          <w:rFonts w:ascii="Times New Roman" w:hAnsi="Times New Roman" w:eastAsia="Times New Roman" w:cs="Times New Roman"/>
          <w:spacing w:val="-4"/>
          <w:sz w:val="21"/>
          <w:szCs w:val="21"/>
        </w:rPr>
        <w:t xml:space="preserve"> </w:t>
      </w:r>
      <w:r>
        <w:rPr>
          <w:rFonts w:ascii="宋体" w:hAnsi="宋体" w:eastAsia="宋体" w:cs="宋体"/>
          <w:spacing w:val="-4"/>
          <w:sz w:val="21"/>
          <w:szCs w:val="21"/>
        </w:rPr>
        <w:t>工程：是指与合同协议书中工程承包范围对应的永久工程和（或）</w:t>
      </w:r>
      <w:r>
        <w:rPr>
          <w:rFonts w:ascii="宋体" w:hAnsi="宋体" w:eastAsia="宋体" w:cs="宋体"/>
          <w:spacing w:val="41"/>
          <w:sz w:val="21"/>
          <w:szCs w:val="21"/>
        </w:rPr>
        <w:t xml:space="preserve"> </w:t>
      </w:r>
      <w:r>
        <w:rPr>
          <w:rFonts w:ascii="宋体" w:hAnsi="宋体" w:eastAsia="宋体" w:cs="宋体"/>
          <w:spacing w:val="-4"/>
          <w:sz w:val="21"/>
          <w:szCs w:val="21"/>
        </w:rPr>
        <w:t>临时工程。</w:t>
      </w:r>
    </w:p>
    <w:p w14:paraId="0A7FF3BB">
      <w:pPr>
        <w:spacing w:before="153" w:line="221" w:lineRule="auto"/>
        <w:ind w:left="457"/>
        <w:rPr>
          <w:rFonts w:ascii="宋体" w:hAnsi="宋体" w:eastAsia="宋体" w:cs="宋体"/>
          <w:sz w:val="21"/>
          <w:szCs w:val="21"/>
        </w:rPr>
      </w:pPr>
      <w:r>
        <w:fldChar w:fldCharType="begin"/>
      </w:r>
      <w:r>
        <w:instrText xml:space="preserve"> HYPERLINK "1.1.3.2" </w:instrText>
      </w:r>
      <w:r>
        <w:fldChar w:fldCharType="separate"/>
      </w:r>
      <w:r>
        <w:rPr>
          <w:rFonts w:ascii="Times New Roman" w:hAnsi="Times New Roman" w:eastAsia="Times New Roman" w:cs="Times New Roman"/>
          <w:spacing w:val="-5"/>
          <w:sz w:val="21"/>
          <w:szCs w:val="21"/>
        </w:rPr>
        <w:t>1.1.3.2</w:t>
      </w:r>
      <w:r>
        <w:rPr>
          <w:rFonts w:ascii="Times New Roman" w:hAnsi="Times New Roman" w:eastAsia="Times New Roman" w:cs="Times New Roman"/>
          <w:spacing w:val="-5"/>
          <w:sz w:val="21"/>
          <w:szCs w:val="21"/>
        </w:rPr>
        <w:fldChar w:fldCharType="end"/>
      </w:r>
      <w:r>
        <w:rPr>
          <w:rFonts w:ascii="Times New Roman" w:hAnsi="Times New Roman" w:eastAsia="Times New Roman" w:cs="Times New Roman"/>
          <w:spacing w:val="-5"/>
          <w:sz w:val="21"/>
          <w:szCs w:val="21"/>
        </w:rPr>
        <w:t xml:space="preserve"> </w:t>
      </w:r>
      <w:r>
        <w:rPr>
          <w:rFonts w:ascii="宋体" w:hAnsi="宋体" w:eastAsia="宋体" w:cs="宋体"/>
          <w:spacing w:val="-5"/>
          <w:sz w:val="21"/>
          <w:szCs w:val="21"/>
        </w:rPr>
        <w:t>永久工程：是指按合同约定建造并移交给发包人的工程，</w:t>
      </w:r>
      <w:r>
        <w:rPr>
          <w:rFonts w:ascii="宋体" w:hAnsi="宋体" w:eastAsia="宋体" w:cs="宋体"/>
          <w:spacing w:val="52"/>
          <w:sz w:val="21"/>
          <w:szCs w:val="21"/>
        </w:rPr>
        <w:t xml:space="preserve"> </w:t>
      </w:r>
      <w:r>
        <w:rPr>
          <w:rFonts w:ascii="宋体" w:hAnsi="宋体" w:eastAsia="宋体" w:cs="宋体"/>
          <w:spacing w:val="-5"/>
          <w:sz w:val="21"/>
          <w:szCs w:val="21"/>
        </w:rPr>
        <w:t>包括工程设备。</w:t>
      </w:r>
    </w:p>
    <w:p w14:paraId="740118C5">
      <w:pPr>
        <w:spacing w:before="148" w:line="398" w:lineRule="exact"/>
        <w:ind w:right="5"/>
        <w:jc w:val="right"/>
        <w:rPr>
          <w:rFonts w:ascii="宋体" w:hAnsi="宋体" w:eastAsia="宋体" w:cs="宋体"/>
          <w:sz w:val="21"/>
          <w:szCs w:val="21"/>
        </w:rPr>
      </w:pPr>
      <w:r>
        <w:fldChar w:fldCharType="begin"/>
      </w:r>
      <w:r>
        <w:instrText xml:space="preserve"> HYPERLINK "1.1.3.3" </w:instrText>
      </w:r>
      <w:r>
        <w:fldChar w:fldCharType="separate"/>
      </w:r>
      <w:r>
        <w:rPr>
          <w:rFonts w:ascii="Times New Roman" w:hAnsi="Times New Roman" w:eastAsia="Times New Roman" w:cs="Times New Roman"/>
          <w:spacing w:val="-4"/>
          <w:position w:val="14"/>
          <w:sz w:val="21"/>
          <w:szCs w:val="21"/>
        </w:rPr>
        <w:t>1.1.3.3</w:t>
      </w:r>
      <w:r>
        <w:rPr>
          <w:rFonts w:ascii="Times New Roman" w:hAnsi="Times New Roman" w:eastAsia="Times New Roman" w:cs="Times New Roman"/>
          <w:spacing w:val="-4"/>
          <w:position w:val="14"/>
          <w:sz w:val="21"/>
          <w:szCs w:val="21"/>
        </w:rPr>
        <w:fldChar w:fldCharType="end"/>
      </w:r>
      <w:r>
        <w:rPr>
          <w:rFonts w:ascii="Times New Roman" w:hAnsi="Times New Roman" w:eastAsia="Times New Roman" w:cs="Times New Roman"/>
          <w:spacing w:val="60"/>
          <w:position w:val="14"/>
          <w:sz w:val="21"/>
          <w:szCs w:val="21"/>
        </w:rPr>
        <w:t xml:space="preserve"> </w:t>
      </w:r>
      <w:r>
        <w:rPr>
          <w:rFonts w:ascii="宋体" w:hAnsi="宋体" w:eastAsia="宋体" w:cs="宋体"/>
          <w:spacing w:val="-4"/>
          <w:position w:val="14"/>
          <w:sz w:val="21"/>
          <w:szCs w:val="21"/>
        </w:rPr>
        <w:t>临时工程： 是指为完成合同约定的永久工程所修建的各类临时性工程， 不包括</w:t>
      </w:r>
    </w:p>
    <w:p w14:paraId="0431E49D">
      <w:pPr>
        <w:spacing w:line="222" w:lineRule="auto"/>
        <w:ind w:left="17"/>
        <w:rPr>
          <w:rFonts w:ascii="宋体" w:hAnsi="宋体" w:eastAsia="宋体" w:cs="宋体"/>
          <w:sz w:val="21"/>
          <w:szCs w:val="21"/>
        </w:rPr>
      </w:pPr>
      <w:r>
        <w:rPr>
          <w:rFonts w:ascii="宋体" w:hAnsi="宋体" w:eastAsia="宋体" w:cs="宋体"/>
          <w:spacing w:val="-6"/>
          <w:sz w:val="21"/>
          <w:szCs w:val="21"/>
        </w:rPr>
        <w:t>施工设备。</w:t>
      </w:r>
    </w:p>
    <w:p w14:paraId="1F2415B4">
      <w:pPr>
        <w:spacing w:before="151" w:line="398" w:lineRule="exact"/>
        <w:ind w:right="3"/>
        <w:jc w:val="right"/>
        <w:rPr>
          <w:rFonts w:ascii="宋体" w:hAnsi="宋体" w:eastAsia="宋体" w:cs="宋体"/>
          <w:sz w:val="21"/>
          <w:szCs w:val="21"/>
        </w:rPr>
      </w:pPr>
      <w:r>
        <w:fldChar w:fldCharType="begin"/>
      </w:r>
      <w:r>
        <w:instrText xml:space="preserve"> HYPERLINK "1.1.3.4" </w:instrText>
      </w:r>
      <w:r>
        <w:fldChar w:fldCharType="separate"/>
      </w:r>
      <w:r>
        <w:rPr>
          <w:rFonts w:ascii="Times New Roman" w:hAnsi="Times New Roman" w:eastAsia="Times New Roman" w:cs="Times New Roman"/>
          <w:spacing w:val="-1"/>
          <w:position w:val="14"/>
          <w:sz w:val="21"/>
          <w:szCs w:val="21"/>
        </w:rPr>
        <w:t>1.1.3.4</w:t>
      </w:r>
      <w:r>
        <w:rPr>
          <w:rFonts w:ascii="Times New Roman" w:hAnsi="Times New Roman" w:eastAsia="Times New Roman" w:cs="Times New Roman"/>
          <w:spacing w:val="-1"/>
          <w:position w:val="14"/>
          <w:sz w:val="21"/>
          <w:szCs w:val="21"/>
        </w:rPr>
        <w:fldChar w:fldCharType="end"/>
      </w:r>
      <w:r>
        <w:rPr>
          <w:rFonts w:ascii="Times New Roman" w:hAnsi="Times New Roman" w:eastAsia="Times New Roman" w:cs="Times New Roman"/>
          <w:spacing w:val="37"/>
          <w:w w:val="101"/>
          <w:position w:val="14"/>
          <w:sz w:val="21"/>
          <w:szCs w:val="21"/>
        </w:rPr>
        <w:t xml:space="preserve"> </w:t>
      </w:r>
      <w:r>
        <w:rPr>
          <w:rFonts w:ascii="宋体" w:hAnsi="宋体" w:eastAsia="宋体" w:cs="宋体"/>
          <w:spacing w:val="-1"/>
          <w:position w:val="14"/>
          <w:sz w:val="21"/>
          <w:szCs w:val="21"/>
        </w:rPr>
        <w:t>单位工程： 是指在合同协议书中指明的，具备独立施工条件并能形成独立使用</w:t>
      </w:r>
    </w:p>
    <w:p w14:paraId="1968A85F">
      <w:pPr>
        <w:spacing w:before="1" w:line="221" w:lineRule="auto"/>
        <w:ind w:left="21"/>
        <w:rPr>
          <w:rFonts w:ascii="宋体" w:hAnsi="宋体" w:eastAsia="宋体" w:cs="宋体"/>
          <w:sz w:val="21"/>
          <w:szCs w:val="21"/>
        </w:rPr>
      </w:pPr>
      <w:r>
        <w:rPr>
          <w:rFonts w:ascii="宋体" w:hAnsi="宋体" w:eastAsia="宋体" w:cs="宋体"/>
          <w:spacing w:val="-4"/>
          <w:sz w:val="21"/>
          <w:szCs w:val="21"/>
        </w:rPr>
        <w:t>功能的永久工程。</w:t>
      </w:r>
    </w:p>
    <w:p w14:paraId="44EF8CF2">
      <w:pPr>
        <w:spacing w:before="147" w:line="403" w:lineRule="exact"/>
        <w:ind w:right="5"/>
        <w:jc w:val="right"/>
        <w:rPr>
          <w:rFonts w:ascii="宋体" w:hAnsi="宋体" w:eastAsia="宋体" w:cs="宋体"/>
          <w:sz w:val="21"/>
          <w:szCs w:val="21"/>
        </w:rPr>
      </w:pPr>
      <w:r>
        <w:fldChar w:fldCharType="begin"/>
      </w:r>
      <w:r>
        <w:instrText xml:space="preserve"> HYPERLINK "1.1.3.5" </w:instrText>
      </w:r>
      <w:r>
        <w:fldChar w:fldCharType="separate"/>
      </w:r>
      <w:r>
        <w:rPr>
          <w:rFonts w:ascii="Times New Roman" w:hAnsi="Times New Roman" w:eastAsia="Times New Roman" w:cs="Times New Roman"/>
          <w:spacing w:val="-1"/>
          <w:position w:val="14"/>
          <w:sz w:val="21"/>
          <w:szCs w:val="21"/>
        </w:rPr>
        <w:t>1.1.3.5</w:t>
      </w:r>
      <w:r>
        <w:rPr>
          <w:rFonts w:ascii="Times New Roman" w:hAnsi="Times New Roman" w:eastAsia="Times New Roman" w:cs="Times New Roman"/>
          <w:spacing w:val="-1"/>
          <w:position w:val="14"/>
          <w:sz w:val="21"/>
          <w:szCs w:val="21"/>
        </w:rPr>
        <w:fldChar w:fldCharType="end"/>
      </w:r>
      <w:r>
        <w:rPr>
          <w:rFonts w:ascii="Times New Roman" w:hAnsi="Times New Roman" w:eastAsia="Times New Roman" w:cs="Times New Roman"/>
          <w:spacing w:val="35"/>
          <w:position w:val="14"/>
          <w:sz w:val="21"/>
          <w:szCs w:val="21"/>
        </w:rPr>
        <w:t xml:space="preserve"> </w:t>
      </w:r>
      <w:r>
        <w:rPr>
          <w:rFonts w:ascii="宋体" w:hAnsi="宋体" w:eastAsia="宋体" w:cs="宋体"/>
          <w:spacing w:val="-1"/>
          <w:position w:val="14"/>
          <w:sz w:val="21"/>
          <w:szCs w:val="21"/>
        </w:rPr>
        <w:t>工程设备： 是指构成永久工程的机电设备、金属结构设备、仪器及其他类似的</w:t>
      </w:r>
    </w:p>
    <w:p w14:paraId="6916AB3B">
      <w:pPr>
        <w:spacing w:line="221" w:lineRule="auto"/>
        <w:ind w:left="21"/>
        <w:rPr>
          <w:rFonts w:ascii="宋体" w:hAnsi="宋体" w:eastAsia="宋体" w:cs="宋体"/>
          <w:sz w:val="21"/>
          <w:szCs w:val="21"/>
        </w:rPr>
      </w:pPr>
      <w:r>
        <w:rPr>
          <w:rFonts w:ascii="宋体" w:hAnsi="宋体" w:eastAsia="宋体" w:cs="宋体"/>
          <w:spacing w:val="-1"/>
          <w:sz w:val="21"/>
          <w:szCs w:val="21"/>
        </w:rPr>
        <w:t>设备和装置。</w:t>
      </w:r>
    </w:p>
    <w:p w14:paraId="0CABE7E0">
      <w:pPr>
        <w:spacing w:before="147" w:line="398" w:lineRule="exact"/>
        <w:jc w:val="right"/>
        <w:rPr>
          <w:rFonts w:ascii="宋体" w:hAnsi="宋体" w:eastAsia="宋体" w:cs="宋体"/>
          <w:sz w:val="21"/>
          <w:szCs w:val="21"/>
        </w:rPr>
      </w:pPr>
      <w:r>
        <w:fldChar w:fldCharType="begin"/>
      </w:r>
      <w:r>
        <w:instrText xml:space="preserve"> HYPERLINK "1.1.3.6" </w:instrText>
      </w:r>
      <w:r>
        <w:fldChar w:fldCharType="separate"/>
      </w:r>
      <w:r>
        <w:rPr>
          <w:rFonts w:ascii="Times New Roman" w:hAnsi="Times New Roman" w:eastAsia="Times New Roman" w:cs="Times New Roman"/>
          <w:spacing w:val="-3"/>
          <w:position w:val="14"/>
          <w:sz w:val="21"/>
          <w:szCs w:val="21"/>
        </w:rPr>
        <w:t>1.1.3.6</w:t>
      </w:r>
      <w:r>
        <w:rPr>
          <w:rFonts w:ascii="Times New Roman" w:hAnsi="Times New Roman" w:eastAsia="Times New Roman" w:cs="Times New Roman"/>
          <w:spacing w:val="-3"/>
          <w:position w:val="14"/>
          <w:sz w:val="21"/>
          <w:szCs w:val="21"/>
        </w:rPr>
        <w:fldChar w:fldCharType="end"/>
      </w:r>
      <w:r>
        <w:rPr>
          <w:rFonts w:ascii="Times New Roman" w:hAnsi="Times New Roman" w:eastAsia="Times New Roman" w:cs="Times New Roman"/>
          <w:spacing w:val="31"/>
          <w:w w:val="101"/>
          <w:position w:val="14"/>
          <w:sz w:val="21"/>
          <w:szCs w:val="21"/>
        </w:rPr>
        <w:t xml:space="preserve"> </w:t>
      </w:r>
      <w:r>
        <w:rPr>
          <w:rFonts w:ascii="宋体" w:hAnsi="宋体" w:eastAsia="宋体" w:cs="宋体"/>
          <w:spacing w:val="-3"/>
          <w:position w:val="14"/>
          <w:sz w:val="21"/>
          <w:szCs w:val="21"/>
        </w:rPr>
        <w:t>施工设备： 是指为完成合同约定的各项工作所需的设备、器</w:t>
      </w:r>
      <w:r>
        <w:rPr>
          <w:rFonts w:ascii="宋体" w:hAnsi="宋体" w:eastAsia="宋体" w:cs="宋体"/>
          <w:spacing w:val="-4"/>
          <w:position w:val="14"/>
          <w:sz w:val="21"/>
          <w:szCs w:val="21"/>
        </w:rPr>
        <w:t>具和其他物品， 但</w:t>
      </w:r>
    </w:p>
    <w:p w14:paraId="0E902870">
      <w:pPr>
        <w:spacing w:before="1" w:line="219" w:lineRule="auto"/>
        <w:ind w:left="21"/>
        <w:rPr>
          <w:rFonts w:ascii="宋体" w:hAnsi="宋体" w:eastAsia="宋体" w:cs="宋体"/>
          <w:sz w:val="21"/>
          <w:szCs w:val="21"/>
        </w:rPr>
      </w:pPr>
      <w:r>
        <w:rPr>
          <w:rFonts w:ascii="宋体" w:hAnsi="宋体" w:eastAsia="宋体" w:cs="宋体"/>
          <w:spacing w:val="-2"/>
          <w:sz w:val="21"/>
          <w:szCs w:val="21"/>
        </w:rPr>
        <w:t>不包括工程设备、临时工程和材料。</w:t>
      </w:r>
    </w:p>
    <w:p w14:paraId="2D42E581">
      <w:pPr>
        <w:spacing w:before="154" w:line="398" w:lineRule="exact"/>
        <w:ind w:right="1"/>
        <w:jc w:val="right"/>
        <w:rPr>
          <w:rFonts w:ascii="宋体" w:hAnsi="宋体" w:eastAsia="宋体" w:cs="宋体"/>
          <w:sz w:val="21"/>
          <w:szCs w:val="21"/>
        </w:rPr>
      </w:pPr>
      <w:r>
        <w:fldChar w:fldCharType="begin"/>
      </w:r>
      <w:r>
        <w:instrText xml:space="preserve"> HYPERLINK "1.1.3.7" </w:instrText>
      </w:r>
      <w:r>
        <w:fldChar w:fldCharType="separate"/>
      </w:r>
      <w:r>
        <w:rPr>
          <w:rFonts w:ascii="Times New Roman" w:hAnsi="Times New Roman" w:eastAsia="Times New Roman" w:cs="Times New Roman"/>
          <w:spacing w:val="-1"/>
          <w:position w:val="14"/>
          <w:sz w:val="21"/>
          <w:szCs w:val="21"/>
        </w:rPr>
        <w:t>1.1.3.7</w:t>
      </w:r>
      <w:r>
        <w:rPr>
          <w:rFonts w:ascii="Times New Roman" w:hAnsi="Times New Roman" w:eastAsia="Times New Roman" w:cs="Times New Roman"/>
          <w:spacing w:val="-1"/>
          <w:position w:val="14"/>
          <w:sz w:val="21"/>
          <w:szCs w:val="21"/>
        </w:rPr>
        <w:fldChar w:fldCharType="end"/>
      </w:r>
      <w:r>
        <w:rPr>
          <w:rFonts w:ascii="Times New Roman" w:hAnsi="Times New Roman" w:eastAsia="Times New Roman" w:cs="Times New Roman"/>
          <w:spacing w:val="39"/>
          <w:position w:val="14"/>
          <w:sz w:val="21"/>
          <w:szCs w:val="21"/>
        </w:rPr>
        <w:t xml:space="preserve"> </w:t>
      </w:r>
      <w:r>
        <w:rPr>
          <w:rFonts w:ascii="宋体" w:hAnsi="宋体" w:eastAsia="宋体" w:cs="宋体"/>
          <w:spacing w:val="-1"/>
          <w:position w:val="14"/>
          <w:sz w:val="21"/>
          <w:szCs w:val="21"/>
        </w:rPr>
        <w:t>施工现场： 是指用于工程施工的场所，以及在专用合同条款中指明作为施工场</w:t>
      </w:r>
    </w:p>
    <w:p w14:paraId="32B3309B">
      <w:pPr>
        <w:spacing w:before="1" w:line="220" w:lineRule="auto"/>
        <w:ind w:left="18"/>
        <w:rPr>
          <w:rFonts w:ascii="宋体" w:hAnsi="宋体" w:eastAsia="宋体" w:cs="宋体"/>
          <w:sz w:val="21"/>
          <w:szCs w:val="21"/>
        </w:rPr>
      </w:pPr>
      <w:r>
        <w:rPr>
          <w:rFonts w:ascii="宋体" w:hAnsi="宋体" w:eastAsia="宋体" w:cs="宋体"/>
          <w:spacing w:val="-1"/>
          <w:sz w:val="21"/>
          <w:szCs w:val="21"/>
        </w:rPr>
        <w:t>所组成部分的其他场所，包括永久占地和临时占地。</w:t>
      </w:r>
    </w:p>
    <w:p w14:paraId="081F5586">
      <w:pPr>
        <w:spacing w:before="147" w:line="221" w:lineRule="auto"/>
        <w:ind w:left="457"/>
        <w:rPr>
          <w:rFonts w:ascii="宋体" w:hAnsi="宋体" w:eastAsia="宋体" w:cs="宋体"/>
          <w:sz w:val="21"/>
          <w:szCs w:val="21"/>
        </w:rPr>
      </w:pPr>
      <w:r>
        <w:fldChar w:fldCharType="begin"/>
      </w:r>
      <w:r>
        <w:instrText xml:space="preserve"> HYPERLINK "1.1.3.8" </w:instrText>
      </w:r>
      <w:r>
        <w:fldChar w:fldCharType="separate"/>
      </w:r>
      <w:r>
        <w:rPr>
          <w:rFonts w:ascii="Times New Roman" w:hAnsi="Times New Roman" w:eastAsia="Times New Roman" w:cs="Times New Roman"/>
          <w:spacing w:val="-1"/>
          <w:sz w:val="21"/>
          <w:szCs w:val="21"/>
        </w:rPr>
        <w:t>1.1.3.8</w:t>
      </w:r>
      <w:r>
        <w:rPr>
          <w:rFonts w:ascii="Times New Roman" w:hAnsi="Times New Roman" w:eastAsia="Times New Roman" w:cs="Times New Roman"/>
          <w:spacing w:val="-1"/>
          <w:sz w:val="21"/>
          <w:szCs w:val="21"/>
        </w:rPr>
        <w:fldChar w:fldCharType="end"/>
      </w:r>
      <w:r>
        <w:rPr>
          <w:rFonts w:ascii="Times New Roman" w:hAnsi="Times New Roman" w:eastAsia="Times New Roman" w:cs="Times New Roman"/>
          <w:spacing w:val="-1"/>
          <w:sz w:val="21"/>
          <w:szCs w:val="21"/>
        </w:rPr>
        <w:t xml:space="preserve"> </w:t>
      </w:r>
      <w:r>
        <w:rPr>
          <w:rFonts w:ascii="宋体" w:hAnsi="宋体" w:eastAsia="宋体" w:cs="宋体"/>
          <w:spacing w:val="-1"/>
          <w:sz w:val="21"/>
          <w:szCs w:val="21"/>
        </w:rPr>
        <w:t>临时设施：是指为完成合同约定的各项工作所服务的临时性生产和生活设施。</w:t>
      </w:r>
    </w:p>
    <w:p w14:paraId="328202E4">
      <w:pPr>
        <w:spacing w:before="152" w:line="221" w:lineRule="auto"/>
        <w:ind w:left="457"/>
        <w:rPr>
          <w:rFonts w:ascii="宋体" w:hAnsi="宋体" w:eastAsia="宋体" w:cs="宋体"/>
          <w:sz w:val="21"/>
          <w:szCs w:val="21"/>
        </w:rPr>
      </w:pPr>
      <w:r>
        <w:fldChar w:fldCharType="begin"/>
      </w:r>
      <w:r>
        <w:instrText xml:space="preserve"> HYPERLINK "1.1.3.9" </w:instrText>
      </w:r>
      <w:r>
        <w:fldChar w:fldCharType="separate"/>
      </w:r>
      <w:r>
        <w:rPr>
          <w:rFonts w:ascii="Times New Roman" w:hAnsi="Times New Roman" w:eastAsia="Times New Roman" w:cs="Times New Roman"/>
          <w:spacing w:val="-1"/>
          <w:sz w:val="21"/>
          <w:szCs w:val="21"/>
        </w:rPr>
        <w:t>1.1.3.9</w:t>
      </w:r>
      <w:r>
        <w:rPr>
          <w:rFonts w:ascii="Times New Roman" w:hAnsi="Times New Roman" w:eastAsia="Times New Roman" w:cs="Times New Roman"/>
          <w:spacing w:val="-1"/>
          <w:sz w:val="21"/>
          <w:szCs w:val="21"/>
        </w:rPr>
        <w:fldChar w:fldCharType="end"/>
      </w:r>
      <w:r>
        <w:rPr>
          <w:rFonts w:ascii="Times New Roman" w:hAnsi="Times New Roman" w:eastAsia="Times New Roman" w:cs="Times New Roman"/>
          <w:spacing w:val="-1"/>
          <w:sz w:val="21"/>
          <w:szCs w:val="21"/>
        </w:rPr>
        <w:t xml:space="preserve"> </w:t>
      </w:r>
      <w:r>
        <w:rPr>
          <w:rFonts w:ascii="宋体" w:hAnsi="宋体" w:eastAsia="宋体" w:cs="宋体"/>
          <w:spacing w:val="-1"/>
          <w:sz w:val="21"/>
          <w:szCs w:val="21"/>
        </w:rPr>
        <w:t>永久占地：是指专用合同条款中指明为实施工程需永久占用的土地。</w:t>
      </w:r>
    </w:p>
    <w:p w14:paraId="62C4FA0B">
      <w:pPr>
        <w:spacing w:before="147" w:line="221" w:lineRule="auto"/>
        <w:ind w:left="457"/>
        <w:rPr>
          <w:rFonts w:ascii="宋体" w:hAnsi="宋体" w:eastAsia="宋体" w:cs="宋体"/>
          <w:sz w:val="21"/>
          <w:szCs w:val="21"/>
        </w:rPr>
      </w:pPr>
      <w:r>
        <w:fldChar w:fldCharType="begin"/>
      </w:r>
      <w:r>
        <w:instrText xml:space="preserve"> HYPERLINK "1.1.3.10" </w:instrText>
      </w:r>
      <w:r>
        <w:fldChar w:fldCharType="separate"/>
      </w:r>
      <w:r>
        <w:rPr>
          <w:rFonts w:ascii="Times New Roman" w:hAnsi="Times New Roman" w:eastAsia="Times New Roman" w:cs="Times New Roman"/>
          <w:spacing w:val="-2"/>
          <w:sz w:val="21"/>
          <w:szCs w:val="21"/>
        </w:rPr>
        <w:t>1.1.3.10</w:t>
      </w:r>
      <w:r>
        <w:rPr>
          <w:rFonts w:ascii="Times New Roman" w:hAnsi="Times New Roman" w:eastAsia="Times New Roman" w:cs="Times New Roman"/>
          <w:spacing w:val="-2"/>
          <w:sz w:val="21"/>
          <w:szCs w:val="21"/>
        </w:rPr>
        <w:fldChar w:fldCharType="end"/>
      </w:r>
      <w:r>
        <w:rPr>
          <w:rFonts w:ascii="Times New Roman" w:hAnsi="Times New Roman" w:eastAsia="Times New Roman" w:cs="Times New Roman"/>
          <w:spacing w:val="34"/>
          <w:sz w:val="21"/>
          <w:szCs w:val="21"/>
        </w:rPr>
        <w:t xml:space="preserve"> </w:t>
      </w:r>
      <w:r>
        <w:rPr>
          <w:rFonts w:ascii="宋体" w:hAnsi="宋体" w:eastAsia="宋体" w:cs="宋体"/>
          <w:spacing w:val="-2"/>
          <w:sz w:val="21"/>
          <w:szCs w:val="21"/>
        </w:rPr>
        <w:t>临时占地：是指专用合同条款中指明为实施工程需要临时占用的土地。</w:t>
      </w:r>
    </w:p>
    <w:p w14:paraId="6842D3B7">
      <w:pPr>
        <w:spacing w:before="148" w:line="221" w:lineRule="auto"/>
        <w:ind w:left="457"/>
        <w:rPr>
          <w:rFonts w:ascii="宋体" w:hAnsi="宋体" w:eastAsia="宋体" w:cs="宋体"/>
          <w:sz w:val="21"/>
          <w:szCs w:val="21"/>
        </w:rPr>
      </w:pPr>
      <w:r>
        <w:rPr>
          <w:rFonts w:ascii="Times New Roman" w:hAnsi="Times New Roman" w:eastAsia="Times New Roman" w:cs="Times New Roman"/>
          <w:spacing w:val="-7"/>
          <w:sz w:val="21"/>
          <w:szCs w:val="21"/>
        </w:rPr>
        <w:t>1.1.4</w:t>
      </w:r>
      <w:r>
        <w:rPr>
          <w:rFonts w:ascii="Times New Roman" w:hAnsi="Times New Roman" w:eastAsia="Times New Roman" w:cs="Times New Roman"/>
          <w:spacing w:val="49"/>
          <w:sz w:val="21"/>
          <w:szCs w:val="21"/>
        </w:rPr>
        <w:t xml:space="preserve"> </w:t>
      </w:r>
      <w:r>
        <w:rPr>
          <w:rFonts w:ascii="宋体" w:hAnsi="宋体" w:eastAsia="宋体" w:cs="宋体"/>
          <w:spacing w:val="-7"/>
          <w:sz w:val="21"/>
          <w:szCs w:val="21"/>
        </w:rPr>
        <w:t>日期和期限</w:t>
      </w:r>
    </w:p>
    <w:p w14:paraId="31DC4166">
      <w:pPr>
        <w:spacing w:before="152" w:line="350" w:lineRule="auto"/>
        <w:ind w:left="23" w:right="5" w:firstLine="434"/>
        <w:rPr>
          <w:rFonts w:ascii="宋体" w:hAnsi="宋体" w:eastAsia="宋体" w:cs="宋体"/>
          <w:sz w:val="21"/>
          <w:szCs w:val="21"/>
        </w:rPr>
      </w:pPr>
      <w:r>
        <w:fldChar w:fldCharType="begin"/>
      </w:r>
      <w:r>
        <w:instrText xml:space="preserve"> HYPERLINK "1.1.4.1" </w:instrText>
      </w:r>
      <w:r>
        <w:fldChar w:fldCharType="separate"/>
      </w:r>
      <w:r>
        <w:rPr>
          <w:rFonts w:ascii="Times New Roman" w:hAnsi="Times New Roman" w:eastAsia="Times New Roman" w:cs="Times New Roman"/>
          <w:spacing w:val="-1"/>
          <w:sz w:val="21"/>
          <w:szCs w:val="21"/>
        </w:rPr>
        <w:t>1.1.4.1</w:t>
      </w:r>
      <w:r>
        <w:rPr>
          <w:rFonts w:ascii="Times New Roman" w:hAnsi="Times New Roman" w:eastAsia="Times New Roman" w:cs="Times New Roman"/>
          <w:spacing w:val="-1"/>
          <w:sz w:val="21"/>
          <w:szCs w:val="21"/>
        </w:rPr>
        <w:fldChar w:fldCharType="end"/>
      </w:r>
      <w:r>
        <w:rPr>
          <w:rFonts w:ascii="Times New Roman" w:hAnsi="Times New Roman" w:eastAsia="Times New Roman" w:cs="Times New Roman"/>
          <w:spacing w:val="35"/>
          <w:sz w:val="21"/>
          <w:szCs w:val="21"/>
        </w:rPr>
        <w:t xml:space="preserve"> </w:t>
      </w:r>
      <w:r>
        <w:rPr>
          <w:rFonts w:ascii="宋体" w:hAnsi="宋体" w:eastAsia="宋体" w:cs="宋体"/>
          <w:spacing w:val="-1"/>
          <w:sz w:val="21"/>
          <w:szCs w:val="21"/>
        </w:rPr>
        <w:t>开工日期： 包括计划开工日期和实际开工日期。计划开工日期是指合同协议书</w:t>
      </w:r>
      <w:r>
        <w:rPr>
          <w:rFonts w:ascii="宋体" w:hAnsi="宋体" w:eastAsia="宋体" w:cs="宋体"/>
          <w:sz w:val="21"/>
          <w:szCs w:val="21"/>
        </w:rPr>
        <w:t xml:space="preserve"> 约定的开工日期；实际开工日期是指监理人按照第</w:t>
      </w:r>
      <w:r>
        <w:rPr>
          <w:rFonts w:ascii="宋体" w:hAnsi="宋体" w:eastAsia="宋体" w:cs="宋体"/>
          <w:spacing w:val="-28"/>
          <w:sz w:val="21"/>
          <w:szCs w:val="21"/>
        </w:rPr>
        <w:t xml:space="preserve"> </w:t>
      </w:r>
      <w:r>
        <w:rPr>
          <w:rFonts w:ascii="Times New Roman" w:hAnsi="Times New Roman" w:eastAsia="Times New Roman" w:cs="Times New Roman"/>
          <w:sz w:val="21"/>
          <w:szCs w:val="21"/>
        </w:rPr>
        <w:t>7.3</w:t>
      </w:r>
      <w:r>
        <w:rPr>
          <w:rFonts w:ascii="Times New Roman" w:hAnsi="Times New Roman" w:eastAsia="Times New Roman" w:cs="Times New Roman"/>
          <w:spacing w:val="-1"/>
          <w:sz w:val="21"/>
          <w:szCs w:val="21"/>
        </w:rPr>
        <w:t xml:space="preserve">.2 </w:t>
      </w:r>
      <w:r>
        <w:rPr>
          <w:rFonts w:ascii="宋体" w:hAnsi="宋体" w:eastAsia="宋体" w:cs="宋体"/>
          <w:spacing w:val="-1"/>
          <w:sz w:val="21"/>
          <w:szCs w:val="21"/>
        </w:rPr>
        <w:t>项〔开工通知〕约定发出的符合法</w:t>
      </w:r>
    </w:p>
    <w:p w14:paraId="464FA3F3">
      <w:pPr>
        <w:spacing w:before="1" w:line="220" w:lineRule="auto"/>
        <w:ind w:left="18"/>
        <w:rPr>
          <w:rFonts w:ascii="宋体" w:hAnsi="宋体" w:eastAsia="宋体" w:cs="宋体"/>
          <w:sz w:val="21"/>
          <w:szCs w:val="21"/>
        </w:rPr>
      </w:pPr>
      <w:r>
        <w:rPr>
          <w:rFonts w:ascii="宋体" w:hAnsi="宋体" w:eastAsia="宋体" w:cs="宋体"/>
          <w:spacing w:val="-2"/>
          <w:sz w:val="21"/>
          <w:szCs w:val="21"/>
        </w:rPr>
        <w:t>律规定的开工通知中载明的开工日期。</w:t>
      </w:r>
    </w:p>
    <w:p w14:paraId="0B61A51F">
      <w:pPr>
        <w:spacing w:before="152" w:line="399" w:lineRule="exact"/>
        <w:ind w:right="5"/>
        <w:jc w:val="right"/>
        <w:rPr>
          <w:rFonts w:ascii="宋体" w:hAnsi="宋体" w:eastAsia="宋体" w:cs="宋体"/>
          <w:sz w:val="21"/>
          <w:szCs w:val="21"/>
        </w:rPr>
      </w:pPr>
      <w:r>
        <w:fldChar w:fldCharType="begin"/>
      </w:r>
      <w:r>
        <w:instrText xml:space="preserve"> HYPERLINK "1.1.4.2" </w:instrText>
      </w:r>
      <w:r>
        <w:fldChar w:fldCharType="separate"/>
      </w:r>
      <w:r>
        <w:rPr>
          <w:rFonts w:ascii="Times New Roman" w:hAnsi="Times New Roman" w:eastAsia="Times New Roman" w:cs="Times New Roman"/>
          <w:spacing w:val="-1"/>
          <w:position w:val="14"/>
          <w:sz w:val="21"/>
          <w:szCs w:val="21"/>
        </w:rPr>
        <w:t>1.1.4.2</w:t>
      </w:r>
      <w:r>
        <w:rPr>
          <w:rFonts w:ascii="Times New Roman" w:hAnsi="Times New Roman" w:eastAsia="Times New Roman" w:cs="Times New Roman"/>
          <w:spacing w:val="-1"/>
          <w:position w:val="14"/>
          <w:sz w:val="21"/>
          <w:szCs w:val="21"/>
        </w:rPr>
        <w:fldChar w:fldCharType="end"/>
      </w:r>
      <w:r>
        <w:rPr>
          <w:rFonts w:ascii="Times New Roman" w:hAnsi="Times New Roman" w:eastAsia="Times New Roman" w:cs="Times New Roman"/>
          <w:spacing w:val="35"/>
          <w:position w:val="14"/>
          <w:sz w:val="21"/>
          <w:szCs w:val="21"/>
        </w:rPr>
        <w:t xml:space="preserve"> </w:t>
      </w:r>
      <w:r>
        <w:rPr>
          <w:rFonts w:ascii="宋体" w:hAnsi="宋体" w:eastAsia="宋体" w:cs="宋体"/>
          <w:spacing w:val="-1"/>
          <w:position w:val="14"/>
          <w:sz w:val="21"/>
          <w:szCs w:val="21"/>
        </w:rPr>
        <w:t>竣工日期： 包括计划竣工日期和实际竣工日期。计划竣工日期是指合同协议书</w:t>
      </w:r>
    </w:p>
    <w:p w14:paraId="5B75F9C0">
      <w:pPr>
        <w:spacing w:line="220" w:lineRule="auto"/>
        <w:ind w:left="23"/>
        <w:rPr>
          <w:rFonts w:ascii="宋体" w:hAnsi="宋体" w:eastAsia="宋体" w:cs="宋体"/>
          <w:sz w:val="21"/>
          <w:szCs w:val="21"/>
        </w:rPr>
      </w:pPr>
      <w:r>
        <w:rPr>
          <w:rFonts w:ascii="宋体" w:hAnsi="宋体" w:eastAsia="宋体" w:cs="宋体"/>
          <w:spacing w:val="-1"/>
          <w:sz w:val="21"/>
          <w:szCs w:val="21"/>
        </w:rPr>
        <w:t>约定的竣工日期；实际竣工日期按照第</w:t>
      </w:r>
      <w:r>
        <w:rPr>
          <w:rFonts w:ascii="宋体" w:hAnsi="宋体" w:eastAsia="宋体" w:cs="宋体"/>
          <w:spacing w:val="-32"/>
          <w:sz w:val="21"/>
          <w:szCs w:val="21"/>
        </w:rPr>
        <w:t xml:space="preserve"> </w:t>
      </w:r>
      <w:r>
        <w:rPr>
          <w:rFonts w:ascii="Times New Roman" w:hAnsi="Times New Roman" w:eastAsia="Times New Roman" w:cs="Times New Roman"/>
          <w:spacing w:val="-1"/>
          <w:sz w:val="21"/>
          <w:szCs w:val="21"/>
        </w:rPr>
        <w:t xml:space="preserve">13.2.3 </w:t>
      </w:r>
      <w:r>
        <w:rPr>
          <w:rFonts w:ascii="宋体" w:hAnsi="宋体" w:eastAsia="宋体" w:cs="宋体"/>
          <w:spacing w:val="-1"/>
          <w:sz w:val="21"/>
          <w:szCs w:val="21"/>
        </w:rPr>
        <w:t>项〔竣工日期〕的约定确定。</w:t>
      </w:r>
    </w:p>
    <w:p w14:paraId="19B2114B">
      <w:pPr>
        <w:spacing w:before="148" w:line="403" w:lineRule="exact"/>
        <w:ind w:right="5"/>
        <w:jc w:val="right"/>
        <w:rPr>
          <w:rFonts w:ascii="宋体" w:hAnsi="宋体" w:eastAsia="宋体" w:cs="宋体"/>
          <w:sz w:val="21"/>
          <w:szCs w:val="21"/>
        </w:rPr>
      </w:pPr>
      <w:r>
        <w:fldChar w:fldCharType="begin"/>
      </w:r>
      <w:r>
        <w:instrText xml:space="preserve"> HYPERLINK "1.1.4.3" </w:instrText>
      </w:r>
      <w:r>
        <w:fldChar w:fldCharType="separate"/>
      </w:r>
      <w:r>
        <w:rPr>
          <w:rFonts w:ascii="Times New Roman" w:hAnsi="Times New Roman" w:eastAsia="Times New Roman" w:cs="Times New Roman"/>
          <w:spacing w:val="2"/>
          <w:position w:val="14"/>
          <w:sz w:val="21"/>
          <w:szCs w:val="21"/>
        </w:rPr>
        <w:t>1.1.4.3</w:t>
      </w:r>
      <w:r>
        <w:rPr>
          <w:rFonts w:ascii="Times New Roman" w:hAnsi="Times New Roman" w:eastAsia="Times New Roman" w:cs="Times New Roman"/>
          <w:spacing w:val="2"/>
          <w:position w:val="14"/>
          <w:sz w:val="21"/>
          <w:szCs w:val="21"/>
        </w:rPr>
        <w:fldChar w:fldCharType="end"/>
      </w:r>
      <w:r>
        <w:rPr>
          <w:rFonts w:ascii="Times New Roman" w:hAnsi="Times New Roman" w:eastAsia="Times New Roman" w:cs="Times New Roman"/>
          <w:spacing w:val="35"/>
          <w:position w:val="14"/>
          <w:sz w:val="21"/>
          <w:szCs w:val="21"/>
        </w:rPr>
        <w:t xml:space="preserve"> </w:t>
      </w:r>
      <w:r>
        <w:rPr>
          <w:rFonts w:ascii="宋体" w:hAnsi="宋体" w:eastAsia="宋体" w:cs="宋体"/>
          <w:spacing w:val="2"/>
          <w:position w:val="14"/>
          <w:sz w:val="21"/>
          <w:szCs w:val="21"/>
        </w:rPr>
        <w:t>工期：是指在合同协议书约定的承</w:t>
      </w:r>
      <w:r>
        <w:rPr>
          <w:rFonts w:ascii="宋体" w:hAnsi="宋体" w:eastAsia="宋体" w:cs="宋体"/>
          <w:spacing w:val="1"/>
          <w:position w:val="14"/>
          <w:sz w:val="21"/>
          <w:szCs w:val="21"/>
        </w:rPr>
        <w:t>包人完成工程所需的期限，包括按照合同约</w:t>
      </w:r>
    </w:p>
    <w:p w14:paraId="5B0EB30A">
      <w:pPr>
        <w:spacing w:line="221" w:lineRule="auto"/>
        <w:ind w:left="23"/>
        <w:rPr>
          <w:rFonts w:ascii="宋体" w:hAnsi="宋体" w:eastAsia="宋体" w:cs="宋体"/>
          <w:sz w:val="21"/>
          <w:szCs w:val="21"/>
        </w:rPr>
      </w:pPr>
      <w:r>
        <w:rPr>
          <w:rFonts w:ascii="宋体" w:hAnsi="宋体" w:eastAsia="宋体" w:cs="宋体"/>
          <w:spacing w:val="-4"/>
          <w:sz w:val="21"/>
          <w:szCs w:val="21"/>
        </w:rPr>
        <w:t>定所作的期限变更。</w:t>
      </w:r>
    </w:p>
    <w:p w14:paraId="575385C7">
      <w:pPr>
        <w:spacing w:before="147" w:line="221" w:lineRule="auto"/>
        <w:ind w:right="1"/>
        <w:jc w:val="right"/>
        <w:rPr>
          <w:rFonts w:ascii="宋体" w:hAnsi="宋体" w:eastAsia="宋体" w:cs="宋体"/>
          <w:sz w:val="21"/>
          <w:szCs w:val="21"/>
        </w:rPr>
      </w:pPr>
      <w:r>
        <w:fldChar w:fldCharType="begin"/>
      </w:r>
      <w:r>
        <w:instrText xml:space="preserve"> HYPERLINK "1.1.4.4" </w:instrText>
      </w:r>
      <w:r>
        <w:fldChar w:fldCharType="separate"/>
      </w:r>
      <w:r>
        <w:rPr>
          <w:rFonts w:ascii="Times New Roman" w:hAnsi="Times New Roman" w:eastAsia="Times New Roman" w:cs="Times New Roman"/>
          <w:spacing w:val="-1"/>
          <w:sz w:val="21"/>
          <w:szCs w:val="21"/>
        </w:rPr>
        <w:t>1.1.4.4</w:t>
      </w:r>
      <w:r>
        <w:rPr>
          <w:rFonts w:ascii="Times New Roman" w:hAnsi="Times New Roman" w:eastAsia="Times New Roman" w:cs="Times New Roman"/>
          <w:spacing w:val="-1"/>
          <w:sz w:val="21"/>
          <w:szCs w:val="21"/>
        </w:rPr>
        <w:fldChar w:fldCharType="end"/>
      </w:r>
      <w:r>
        <w:rPr>
          <w:rFonts w:ascii="Times New Roman" w:hAnsi="Times New Roman" w:eastAsia="Times New Roman" w:cs="Times New Roman"/>
          <w:spacing w:val="39"/>
          <w:w w:val="101"/>
          <w:sz w:val="21"/>
          <w:szCs w:val="21"/>
        </w:rPr>
        <w:t xml:space="preserve"> </w:t>
      </w:r>
      <w:r>
        <w:rPr>
          <w:rFonts w:ascii="宋体" w:hAnsi="宋体" w:eastAsia="宋体" w:cs="宋体"/>
          <w:spacing w:val="-1"/>
          <w:sz w:val="21"/>
          <w:szCs w:val="21"/>
        </w:rPr>
        <w:t>缺陷责任期：是指承包人按照合同约定承担缺陷修复义务， 且发包人预留质量</w:t>
      </w:r>
    </w:p>
    <w:p w14:paraId="74139A17">
      <w:pPr>
        <w:spacing w:line="221" w:lineRule="auto"/>
        <w:rPr>
          <w:rFonts w:ascii="宋体" w:hAnsi="宋体" w:eastAsia="宋体" w:cs="宋体"/>
          <w:sz w:val="21"/>
          <w:szCs w:val="21"/>
        </w:rPr>
        <w:sectPr>
          <w:footerReference r:id="rId90" w:type="default"/>
          <w:pgSz w:w="11905" w:h="16839"/>
          <w:pgMar w:top="1431" w:right="1785" w:bottom="1004" w:left="1785" w:header="0" w:footer="828" w:gutter="0"/>
          <w:pgNumType w:fmt="decimal"/>
          <w:cols w:space="720" w:num="1"/>
        </w:sectPr>
      </w:pPr>
    </w:p>
    <w:p w14:paraId="3BD38559">
      <w:pPr>
        <w:spacing w:before="148" w:line="221" w:lineRule="auto"/>
        <w:ind w:left="19"/>
        <w:rPr>
          <w:rFonts w:ascii="宋体" w:hAnsi="宋体" w:eastAsia="宋体" w:cs="宋体"/>
          <w:sz w:val="21"/>
          <w:szCs w:val="21"/>
        </w:rPr>
      </w:pPr>
      <w:r>
        <w:rPr>
          <w:rFonts w:ascii="宋体" w:hAnsi="宋体" w:eastAsia="宋体" w:cs="宋体"/>
          <w:spacing w:val="-5"/>
          <w:sz w:val="21"/>
          <w:szCs w:val="21"/>
        </w:rPr>
        <w:t>保证金（已缴纳履约保证金的除外）的期限，</w:t>
      </w:r>
      <w:r>
        <w:rPr>
          <w:rFonts w:ascii="宋体" w:hAnsi="宋体" w:eastAsia="宋体" w:cs="宋体"/>
          <w:spacing w:val="57"/>
          <w:sz w:val="21"/>
          <w:szCs w:val="21"/>
        </w:rPr>
        <w:t xml:space="preserve"> </w:t>
      </w:r>
      <w:r>
        <w:rPr>
          <w:rFonts w:ascii="宋体" w:hAnsi="宋体" w:eastAsia="宋体" w:cs="宋体"/>
          <w:spacing w:val="-5"/>
          <w:sz w:val="21"/>
          <w:szCs w:val="21"/>
        </w:rPr>
        <w:t>自工程实际竣工日期起计算。</w:t>
      </w:r>
    </w:p>
    <w:p w14:paraId="447B86C6">
      <w:pPr>
        <w:spacing w:before="147" w:line="403" w:lineRule="exact"/>
        <w:ind w:left="457"/>
        <w:rPr>
          <w:rFonts w:ascii="宋体" w:hAnsi="宋体" w:eastAsia="宋体" w:cs="宋体"/>
          <w:sz w:val="21"/>
          <w:szCs w:val="21"/>
        </w:rPr>
      </w:pPr>
      <w:r>
        <w:fldChar w:fldCharType="begin"/>
      </w:r>
      <w:r>
        <w:instrText xml:space="preserve"> HYPERLINK "1.1.4.5" </w:instrText>
      </w:r>
      <w:r>
        <w:fldChar w:fldCharType="separate"/>
      </w:r>
      <w:r>
        <w:rPr>
          <w:rFonts w:ascii="Times New Roman" w:hAnsi="Times New Roman" w:eastAsia="Times New Roman" w:cs="Times New Roman"/>
          <w:spacing w:val="2"/>
          <w:position w:val="14"/>
          <w:sz w:val="21"/>
          <w:szCs w:val="21"/>
        </w:rPr>
        <w:t>1.1.4.5</w:t>
      </w:r>
      <w:r>
        <w:rPr>
          <w:rFonts w:ascii="Times New Roman" w:hAnsi="Times New Roman" w:eastAsia="Times New Roman" w:cs="Times New Roman"/>
          <w:spacing w:val="2"/>
          <w:position w:val="14"/>
          <w:sz w:val="21"/>
          <w:szCs w:val="21"/>
        </w:rPr>
        <w:fldChar w:fldCharType="end"/>
      </w:r>
      <w:r>
        <w:rPr>
          <w:rFonts w:ascii="Times New Roman" w:hAnsi="Times New Roman" w:eastAsia="Times New Roman" w:cs="Times New Roman"/>
          <w:spacing w:val="33"/>
          <w:position w:val="14"/>
          <w:sz w:val="21"/>
          <w:szCs w:val="21"/>
        </w:rPr>
        <w:t xml:space="preserve"> </w:t>
      </w:r>
      <w:r>
        <w:rPr>
          <w:rFonts w:ascii="宋体" w:hAnsi="宋体" w:eastAsia="宋体" w:cs="宋体"/>
          <w:spacing w:val="2"/>
          <w:position w:val="14"/>
          <w:sz w:val="21"/>
          <w:szCs w:val="21"/>
        </w:rPr>
        <w:t>保修期：是指承包人按照合同约定对工</w:t>
      </w:r>
      <w:r>
        <w:rPr>
          <w:rFonts w:ascii="宋体" w:hAnsi="宋体" w:eastAsia="宋体" w:cs="宋体"/>
          <w:spacing w:val="1"/>
          <w:position w:val="14"/>
          <w:sz w:val="21"/>
          <w:szCs w:val="21"/>
        </w:rPr>
        <w:t>程承担保修责任的期限，从工程竣工验</w:t>
      </w:r>
    </w:p>
    <w:p w14:paraId="16FA9E7C">
      <w:pPr>
        <w:spacing w:line="220" w:lineRule="auto"/>
        <w:ind w:left="25"/>
        <w:rPr>
          <w:rFonts w:ascii="宋体" w:hAnsi="宋体" w:eastAsia="宋体" w:cs="宋体"/>
          <w:sz w:val="21"/>
          <w:szCs w:val="21"/>
        </w:rPr>
      </w:pPr>
      <w:r>
        <w:rPr>
          <w:rFonts w:ascii="宋体" w:hAnsi="宋体" w:eastAsia="宋体" w:cs="宋体"/>
          <w:spacing w:val="-4"/>
          <w:sz w:val="21"/>
          <w:szCs w:val="21"/>
        </w:rPr>
        <w:t>收合格之日起计算。</w:t>
      </w:r>
    </w:p>
    <w:p w14:paraId="2E7F065C">
      <w:pPr>
        <w:spacing w:before="148" w:line="398" w:lineRule="exact"/>
        <w:ind w:left="457"/>
        <w:rPr>
          <w:rFonts w:ascii="宋体" w:hAnsi="宋体" w:eastAsia="宋体" w:cs="宋体"/>
          <w:sz w:val="21"/>
          <w:szCs w:val="21"/>
        </w:rPr>
      </w:pPr>
      <w:r>
        <w:fldChar w:fldCharType="begin"/>
      </w:r>
      <w:r>
        <w:instrText xml:space="preserve"> HYPERLINK "1.1.4.6" </w:instrText>
      </w:r>
      <w:r>
        <w:fldChar w:fldCharType="separate"/>
      </w:r>
      <w:r>
        <w:rPr>
          <w:rFonts w:ascii="Times New Roman" w:hAnsi="Times New Roman" w:eastAsia="Times New Roman" w:cs="Times New Roman"/>
          <w:spacing w:val="-1"/>
          <w:position w:val="14"/>
          <w:sz w:val="21"/>
          <w:szCs w:val="21"/>
        </w:rPr>
        <w:t>1.1.4.6</w:t>
      </w:r>
      <w:r>
        <w:rPr>
          <w:rFonts w:ascii="Times New Roman" w:hAnsi="Times New Roman" w:eastAsia="Times New Roman" w:cs="Times New Roman"/>
          <w:spacing w:val="-1"/>
          <w:position w:val="14"/>
          <w:sz w:val="21"/>
          <w:szCs w:val="21"/>
        </w:rPr>
        <w:fldChar w:fldCharType="end"/>
      </w:r>
      <w:r>
        <w:rPr>
          <w:rFonts w:ascii="Times New Roman" w:hAnsi="Times New Roman" w:eastAsia="Times New Roman" w:cs="Times New Roman"/>
          <w:spacing w:val="33"/>
          <w:position w:val="14"/>
          <w:sz w:val="21"/>
          <w:szCs w:val="21"/>
        </w:rPr>
        <w:t xml:space="preserve"> </w:t>
      </w:r>
      <w:r>
        <w:rPr>
          <w:rFonts w:ascii="宋体" w:hAnsi="宋体" w:eastAsia="宋体" w:cs="宋体"/>
          <w:spacing w:val="-1"/>
          <w:position w:val="14"/>
          <w:sz w:val="21"/>
          <w:szCs w:val="21"/>
        </w:rPr>
        <w:t>基准日期：招标发包的工程以投标截止日前</w:t>
      </w:r>
      <w:r>
        <w:rPr>
          <w:rFonts w:ascii="宋体" w:hAnsi="宋体" w:eastAsia="宋体" w:cs="宋体"/>
          <w:spacing w:val="-46"/>
          <w:position w:val="14"/>
          <w:sz w:val="21"/>
          <w:szCs w:val="21"/>
        </w:rPr>
        <w:t xml:space="preserve"> </w:t>
      </w:r>
      <w:r>
        <w:rPr>
          <w:rFonts w:ascii="Times New Roman" w:hAnsi="Times New Roman" w:eastAsia="Times New Roman" w:cs="Times New Roman"/>
          <w:spacing w:val="-1"/>
          <w:position w:val="14"/>
          <w:sz w:val="21"/>
          <w:szCs w:val="21"/>
        </w:rPr>
        <w:t xml:space="preserve">28 </w:t>
      </w:r>
      <w:r>
        <w:rPr>
          <w:rFonts w:ascii="宋体" w:hAnsi="宋体" w:eastAsia="宋体" w:cs="宋体"/>
          <w:spacing w:val="-1"/>
          <w:position w:val="14"/>
          <w:sz w:val="21"/>
          <w:szCs w:val="21"/>
        </w:rPr>
        <w:t>天的日期为基准</w:t>
      </w:r>
      <w:r>
        <w:rPr>
          <w:rFonts w:ascii="宋体" w:hAnsi="宋体" w:eastAsia="宋体" w:cs="宋体"/>
          <w:spacing w:val="-2"/>
          <w:position w:val="14"/>
          <w:sz w:val="21"/>
          <w:szCs w:val="21"/>
        </w:rPr>
        <w:t>日期，直接发包</w:t>
      </w:r>
    </w:p>
    <w:p w14:paraId="5E7D8470">
      <w:pPr>
        <w:spacing w:before="1" w:line="221" w:lineRule="auto"/>
        <w:ind w:left="35"/>
        <w:rPr>
          <w:rFonts w:ascii="宋体" w:hAnsi="宋体" w:eastAsia="宋体" w:cs="宋体"/>
          <w:sz w:val="21"/>
          <w:szCs w:val="21"/>
        </w:rPr>
      </w:pPr>
      <w:r>
        <w:rPr>
          <w:rFonts w:ascii="宋体" w:hAnsi="宋体" w:eastAsia="宋体" w:cs="宋体"/>
          <w:spacing w:val="-2"/>
          <w:sz w:val="21"/>
          <w:szCs w:val="21"/>
        </w:rPr>
        <w:t>的工程以合同签订日前</w:t>
      </w:r>
      <w:r>
        <w:rPr>
          <w:rFonts w:ascii="宋体" w:hAnsi="宋体" w:eastAsia="宋体" w:cs="宋体"/>
          <w:spacing w:val="-36"/>
          <w:sz w:val="21"/>
          <w:szCs w:val="21"/>
        </w:rPr>
        <w:t xml:space="preserve"> </w:t>
      </w:r>
      <w:r>
        <w:rPr>
          <w:rFonts w:ascii="Times New Roman" w:hAnsi="Times New Roman" w:eastAsia="Times New Roman" w:cs="Times New Roman"/>
          <w:spacing w:val="-2"/>
          <w:sz w:val="21"/>
          <w:szCs w:val="21"/>
        </w:rPr>
        <w:t xml:space="preserve">28 </w:t>
      </w:r>
      <w:r>
        <w:rPr>
          <w:rFonts w:ascii="宋体" w:hAnsi="宋体" w:eastAsia="宋体" w:cs="宋体"/>
          <w:spacing w:val="-2"/>
          <w:sz w:val="21"/>
          <w:szCs w:val="21"/>
        </w:rPr>
        <w:t>天的日期为基准日期。</w:t>
      </w:r>
    </w:p>
    <w:p w14:paraId="24193437">
      <w:pPr>
        <w:spacing w:before="151" w:line="398" w:lineRule="exact"/>
        <w:ind w:left="457"/>
        <w:rPr>
          <w:rFonts w:ascii="宋体" w:hAnsi="宋体" w:eastAsia="宋体" w:cs="宋体"/>
          <w:sz w:val="21"/>
          <w:szCs w:val="21"/>
        </w:rPr>
      </w:pPr>
      <w:r>
        <w:fldChar w:fldCharType="begin"/>
      </w:r>
      <w:r>
        <w:instrText xml:space="preserve"> HYPERLINK "1.1.4.7" </w:instrText>
      </w:r>
      <w:r>
        <w:fldChar w:fldCharType="separate"/>
      </w:r>
      <w:r>
        <w:rPr>
          <w:rFonts w:ascii="Times New Roman" w:hAnsi="Times New Roman" w:eastAsia="Times New Roman" w:cs="Times New Roman"/>
          <w:spacing w:val="-4"/>
          <w:position w:val="14"/>
          <w:sz w:val="21"/>
          <w:szCs w:val="21"/>
        </w:rPr>
        <w:t>1.1.4.7</w:t>
      </w:r>
      <w:r>
        <w:rPr>
          <w:rFonts w:ascii="Times New Roman" w:hAnsi="Times New Roman" w:eastAsia="Times New Roman" w:cs="Times New Roman"/>
          <w:spacing w:val="-4"/>
          <w:position w:val="14"/>
          <w:sz w:val="21"/>
          <w:szCs w:val="21"/>
        </w:rPr>
        <w:fldChar w:fldCharType="end"/>
      </w:r>
      <w:r>
        <w:rPr>
          <w:rFonts w:ascii="Times New Roman" w:hAnsi="Times New Roman" w:eastAsia="Times New Roman" w:cs="Times New Roman"/>
          <w:spacing w:val="54"/>
          <w:w w:val="101"/>
          <w:position w:val="14"/>
          <w:sz w:val="21"/>
          <w:szCs w:val="21"/>
        </w:rPr>
        <w:t xml:space="preserve"> </w:t>
      </w:r>
      <w:r>
        <w:rPr>
          <w:rFonts w:ascii="宋体" w:hAnsi="宋体" w:eastAsia="宋体" w:cs="宋体"/>
          <w:spacing w:val="-4"/>
          <w:position w:val="14"/>
          <w:sz w:val="21"/>
          <w:szCs w:val="21"/>
        </w:rPr>
        <w:t>天： 除特别指明外，均指日历天。合同中按天计算时间的， 开始当天不计入，</w:t>
      </w:r>
    </w:p>
    <w:p w14:paraId="7EE375A5">
      <w:pPr>
        <w:spacing w:before="1" w:line="220" w:lineRule="auto"/>
        <w:ind w:left="20"/>
        <w:rPr>
          <w:rFonts w:ascii="宋体" w:hAnsi="宋体" w:eastAsia="宋体" w:cs="宋体"/>
          <w:sz w:val="21"/>
          <w:szCs w:val="21"/>
        </w:rPr>
      </w:pPr>
      <w:r>
        <w:rPr>
          <w:rFonts w:ascii="宋体" w:hAnsi="宋体" w:eastAsia="宋体" w:cs="宋体"/>
          <w:spacing w:val="-1"/>
          <w:sz w:val="21"/>
          <w:szCs w:val="21"/>
        </w:rPr>
        <w:t>从次日开始计算，期限最后一天的截止时间为当天</w:t>
      </w:r>
      <w:r>
        <w:rPr>
          <w:rFonts w:ascii="宋体" w:hAnsi="宋体" w:eastAsia="宋体" w:cs="宋体"/>
          <w:spacing w:val="-46"/>
          <w:sz w:val="21"/>
          <w:szCs w:val="21"/>
        </w:rPr>
        <w:t xml:space="preserve"> </w:t>
      </w:r>
      <w:r>
        <w:rPr>
          <w:rFonts w:ascii="Times New Roman" w:hAnsi="Times New Roman" w:eastAsia="Times New Roman" w:cs="Times New Roman"/>
          <w:spacing w:val="-1"/>
          <w:sz w:val="21"/>
          <w:szCs w:val="21"/>
        </w:rPr>
        <w:t xml:space="preserve">24:00 </w:t>
      </w:r>
      <w:r>
        <w:rPr>
          <w:rFonts w:ascii="宋体" w:hAnsi="宋体" w:eastAsia="宋体" w:cs="宋体"/>
          <w:spacing w:val="-2"/>
          <w:sz w:val="21"/>
          <w:szCs w:val="21"/>
        </w:rPr>
        <w:t>时。</w:t>
      </w:r>
    </w:p>
    <w:p w14:paraId="2133A08A">
      <w:pPr>
        <w:spacing w:before="148" w:line="219" w:lineRule="auto"/>
        <w:ind w:left="457"/>
        <w:rPr>
          <w:rFonts w:ascii="宋体" w:hAnsi="宋体" w:eastAsia="宋体" w:cs="宋体"/>
          <w:sz w:val="21"/>
          <w:szCs w:val="21"/>
        </w:rPr>
      </w:pPr>
      <w:r>
        <w:rPr>
          <w:rFonts w:ascii="Times New Roman" w:hAnsi="Times New Roman" w:eastAsia="Times New Roman" w:cs="Times New Roman"/>
          <w:spacing w:val="-2"/>
          <w:sz w:val="21"/>
          <w:szCs w:val="21"/>
        </w:rPr>
        <w:t xml:space="preserve">1.1.5 </w:t>
      </w:r>
      <w:r>
        <w:rPr>
          <w:rFonts w:ascii="宋体" w:hAnsi="宋体" w:eastAsia="宋体" w:cs="宋体"/>
          <w:spacing w:val="-2"/>
          <w:sz w:val="21"/>
          <w:szCs w:val="21"/>
        </w:rPr>
        <w:t>合同价格和费用</w:t>
      </w:r>
    </w:p>
    <w:p w14:paraId="4006F3D7">
      <w:pPr>
        <w:spacing w:before="154" w:line="398" w:lineRule="exact"/>
        <w:ind w:left="457"/>
        <w:rPr>
          <w:rFonts w:ascii="宋体" w:hAnsi="宋体" w:eastAsia="宋体" w:cs="宋体"/>
          <w:sz w:val="21"/>
          <w:szCs w:val="21"/>
        </w:rPr>
      </w:pPr>
      <w:r>
        <w:fldChar w:fldCharType="begin"/>
      </w:r>
      <w:r>
        <w:instrText xml:space="preserve"> HYPERLINK "1.1.5.1" </w:instrText>
      </w:r>
      <w:r>
        <w:fldChar w:fldCharType="separate"/>
      </w:r>
      <w:r>
        <w:rPr>
          <w:rFonts w:ascii="Times New Roman" w:hAnsi="Times New Roman" w:eastAsia="Times New Roman" w:cs="Times New Roman"/>
          <w:spacing w:val="-1"/>
          <w:position w:val="14"/>
          <w:sz w:val="21"/>
          <w:szCs w:val="21"/>
        </w:rPr>
        <w:t>1.1.5.1</w:t>
      </w:r>
      <w:r>
        <w:rPr>
          <w:rFonts w:ascii="Times New Roman" w:hAnsi="Times New Roman" w:eastAsia="Times New Roman" w:cs="Times New Roman"/>
          <w:spacing w:val="-1"/>
          <w:position w:val="14"/>
          <w:sz w:val="21"/>
          <w:szCs w:val="21"/>
        </w:rPr>
        <w:fldChar w:fldCharType="end"/>
      </w:r>
      <w:r>
        <w:rPr>
          <w:rFonts w:ascii="Times New Roman" w:hAnsi="Times New Roman" w:eastAsia="Times New Roman" w:cs="Times New Roman"/>
          <w:spacing w:val="35"/>
          <w:position w:val="14"/>
          <w:sz w:val="21"/>
          <w:szCs w:val="21"/>
        </w:rPr>
        <w:t xml:space="preserve"> </w:t>
      </w:r>
      <w:r>
        <w:rPr>
          <w:rFonts w:ascii="宋体" w:hAnsi="宋体" w:eastAsia="宋体" w:cs="宋体"/>
          <w:spacing w:val="-1"/>
          <w:position w:val="14"/>
          <w:sz w:val="21"/>
          <w:szCs w:val="21"/>
        </w:rPr>
        <w:t>签约合同价：是指发包人和承包人在合同协议书中确定的总金额， 包括安全文</w:t>
      </w:r>
    </w:p>
    <w:p w14:paraId="33379744">
      <w:pPr>
        <w:spacing w:before="1" w:line="219" w:lineRule="auto"/>
        <w:ind w:left="38"/>
        <w:rPr>
          <w:rFonts w:ascii="宋体" w:hAnsi="宋体" w:eastAsia="宋体" w:cs="宋体"/>
          <w:sz w:val="21"/>
          <w:szCs w:val="21"/>
        </w:rPr>
      </w:pPr>
      <w:r>
        <w:rPr>
          <w:rFonts w:ascii="宋体" w:hAnsi="宋体" w:eastAsia="宋体" w:cs="宋体"/>
          <w:spacing w:val="-3"/>
          <w:sz w:val="21"/>
          <w:szCs w:val="21"/>
        </w:rPr>
        <w:t>明施工费、暂估价及暂列金额等。</w:t>
      </w:r>
    </w:p>
    <w:p w14:paraId="2AA77EE3">
      <w:pPr>
        <w:spacing w:before="149" w:line="403" w:lineRule="exact"/>
        <w:ind w:left="457"/>
        <w:rPr>
          <w:rFonts w:ascii="宋体" w:hAnsi="宋体" w:eastAsia="宋体" w:cs="宋体"/>
          <w:sz w:val="21"/>
          <w:szCs w:val="21"/>
        </w:rPr>
      </w:pPr>
      <w:r>
        <w:fldChar w:fldCharType="begin"/>
      </w:r>
      <w:r>
        <w:instrText xml:space="preserve"> HYPERLINK "1.1.5.2" </w:instrText>
      </w:r>
      <w:r>
        <w:fldChar w:fldCharType="separate"/>
      </w:r>
      <w:r>
        <w:rPr>
          <w:rFonts w:ascii="Times New Roman" w:hAnsi="Times New Roman" w:eastAsia="Times New Roman" w:cs="Times New Roman"/>
          <w:spacing w:val="-1"/>
          <w:position w:val="14"/>
          <w:sz w:val="21"/>
          <w:szCs w:val="21"/>
        </w:rPr>
        <w:t>1.1.5.2</w:t>
      </w:r>
      <w:r>
        <w:rPr>
          <w:rFonts w:ascii="Times New Roman" w:hAnsi="Times New Roman" w:eastAsia="Times New Roman" w:cs="Times New Roman"/>
          <w:spacing w:val="-1"/>
          <w:position w:val="14"/>
          <w:sz w:val="21"/>
          <w:szCs w:val="21"/>
        </w:rPr>
        <w:fldChar w:fldCharType="end"/>
      </w:r>
      <w:r>
        <w:rPr>
          <w:rFonts w:ascii="Times New Roman" w:hAnsi="Times New Roman" w:eastAsia="Times New Roman" w:cs="Times New Roman"/>
          <w:spacing w:val="35"/>
          <w:position w:val="14"/>
          <w:sz w:val="21"/>
          <w:szCs w:val="21"/>
        </w:rPr>
        <w:t xml:space="preserve"> </w:t>
      </w:r>
      <w:r>
        <w:rPr>
          <w:rFonts w:ascii="宋体" w:hAnsi="宋体" w:eastAsia="宋体" w:cs="宋体"/>
          <w:spacing w:val="-1"/>
          <w:position w:val="14"/>
          <w:sz w:val="21"/>
          <w:szCs w:val="21"/>
        </w:rPr>
        <w:t>合同价格： 是指发包人用于支付承包人按照合同约定完成承包范围内全部工作</w:t>
      </w:r>
    </w:p>
    <w:p w14:paraId="23BAA03B">
      <w:pPr>
        <w:spacing w:line="219" w:lineRule="auto"/>
        <w:ind w:left="35"/>
        <w:rPr>
          <w:rFonts w:ascii="宋体" w:hAnsi="宋体" w:eastAsia="宋体" w:cs="宋体"/>
          <w:sz w:val="21"/>
          <w:szCs w:val="21"/>
        </w:rPr>
      </w:pPr>
      <w:r>
        <w:rPr>
          <w:rFonts w:ascii="宋体" w:hAnsi="宋体" w:eastAsia="宋体" w:cs="宋体"/>
          <w:spacing w:val="-2"/>
          <w:sz w:val="21"/>
          <w:szCs w:val="21"/>
        </w:rPr>
        <w:t>的金额，包括合同履行过程中按合同约定发生的价格变化。</w:t>
      </w:r>
    </w:p>
    <w:p w14:paraId="1474688B">
      <w:pPr>
        <w:spacing w:before="150" w:line="398" w:lineRule="exact"/>
        <w:ind w:left="457"/>
        <w:rPr>
          <w:rFonts w:ascii="宋体" w:hAnsi="宋体" w:eastAsia="宋体" w:cs="宋体"/>
          <w:sz w:val="21"/>
          <w:szCs w:val="21"/>
        </w:rPr>
      </w:pPr>
      <w:r>
        <w:fldChar w:fldCharType="begin"/>
      </w:r>
      <w:r>
        <w:instrText xml:space="preserve"> HYPERLINK "1.1.5.3" </w:instrText>
      </w:r>
      <w:r>
        <w:fldChar w:fldCharType="separate"/>
      </w:r>
      <w:r>
        <w:rPr>
          <w:rFonts w:ascii="Times New Roman" w:hAnsi="Times New Roman" w:eastAsia="Times New Roman" w:cs="Times New Roman"/>
          <w:spacing w:val="1"/>
          <w:position w:val="14"/>
          <w:sz w:val="21"/>
          <w:szCs w:val="21"/>
        </w:rPr>
        <w:t>1.1.5.3</w:t>
      </w:r>
      <w:r>
        <w:rPr>
          <w:rFonts w:ascii="Times New Roman" w:hAnsi="Times New Roman" w:eastAsia="Times New Roman" w:cs="Times New Roman"/>
          <w:spacing w:val="1"/>
          <w:position w:val="14"/>
          <w:sz w:val="21"/>
          <w:szCs w:val="21"/>
        </w:rPr>
        <w:fldChar w:fldCharType="end"/>
      </w:r>
      <w:r>
        <w:rPr>
          <w:rFonts w:ascii="Times New Roman" w:hAnsi="Times New Roman" w:eastAsia="Times New Roman" w:cs="Times New Roman"/>
          <w:spacing w:val="57"/>
          <w:position w:val="14"/>
          <w:sz w:val="21"/>
          <w:szCs w:val="21"/>
        </w:rPr>
        <w:t xml:space="preserve"> </w:t>
      </w:r>
      <w:r>
        <w:rPr>
          <w:rFonts w:ascii="宋体" w:hAnsi="宋体" w:eastAsia="宋体" w:cs="宋体"/>
          <w:spacing w:val="1"/>
          <w:position w:val="14"/>
          <w:sz w:val="21"/>
          <w:szCs w:val="21"/>
        </w:rPr>
        <w:t>费用：是指为履行合同所发生的或将要发生的所有必需的开支，包括管理费和</w:t>
      </w:r>
    </w:p>
    <w:p w14:paraId="2C45603B">
      <w:pPr>
        <w:spacing w:before="1" w:line="220" w:lineRule="auto"/>
        <w:ind w:left="18"/>
        <w:rPr>
          <w:rFonts w:ascii="宋体" w:hAnsi="宋体" w:eastAsia="宋体" w:cs="宋体"/>
          <w:sz w:val="21"/>
          <w:szCs w:val="21"/>
        </w:rPr>
      </w:pPr>
      <w:r>
        <w:rPr>
          <w:rFonts w:ascii="宋体" w:hAnsi="宋体" w:eastAsia="宋体" w:cs="宋体"/>
          <w:spacing w:val="-8"/>
          <w:sz w:val="21"/>
          <w:szCs w:val="21"/>
        </w:rPr>
        <w:t>应分摊的其他费用， 但不包括利润。</w:t>
      </w:r>
    </w:p>
    <w:p w14:paraId="1BCB7665">
      <w:pPr>
        <w:spacing w:before="152" w:line="399" w:lineRule="exact"/>
        <w:ind w:left="457"/>
        <w:rPr>
          <w:rFonts w:ascii="宋体" w:hAnsi="宋体" w:eastAsia="宋体" w:cs="宋体"/>
          <w:sz w:val="21"/>
          <w:szCs w:val="21"/>
        </w:rPr>
      </w:pPr>
      <w:r>
        <w:fldChar w:fldCharType="begin"/>
      </w:r>
      <w:r>
        <w:instrText xml:space="preserve"> HYPERLINK "1.1.5.4" </w:instrText>
      </w:r>
      <w:r>
        <w:fldChar w:fldCharType="separate"/>
      </w:r>
      <w:r>
        <w:rPr>
          <w:rFonts w:ascii="Times New Roman" w:hAnsi="Times New Roman" w:eastAsia="Times New Roman" w:cs="Times New Roman"/>
          <w:spacing w:val="1"/>
          <w:position w:val="14"/>
          <w:sz w:val="21"/>
          <w:szCs w:val="21"/>
        </w:rPr>
        <w:t>1.1.5.4</w:t>
      </w:r>
      <w:r>
        <w:rPr>
          <w:rFonts w:ascii="Times New Roman" w:hAnsi="Times New Roman" w:eastAsia="Times New Roman" w:cs="Times New Roman"/>
          <w:spacing w:val="1"/>
          <w:position w:val="14"/>
          <w:sz w:val="21"/>
          <w:szCs w:val="21"/>
        </w:rPr>
        <w:fldChar w:fldCharType="end"/>
      </w:r>
      <w:r>
        <w:rPr>
          <w:rFonts w:ascii="Times New Roman" w:hAnsi="Times New Roman" w:eastAsia="Times New Roman" w:cs="Times New Roman"/>
          <w:spacing w:val="57"/>
          <w:position w:val="14"/>
          <w:sz w:val="21"/>
          <w:szCs w:val="21"/>
        </w:rPr>
        <w:t xml:space="preserve"> </w:t>
      </w:r>
      <w:r>
        <w:rPr>
          <w:rFonts w:ascii="宋体" w:hAnsi="宋体" w:eastAsia="宋体" w:cs="宋体"/>
          <w:spacing w:val="1"/>
          <w:position w:val="14"/>
          <w:sz w:val="21"/>
          <w:szCs w:val="21"/>
        </w:rPr>
        <w:t>暂估价：是指发包人在工程量清单或预算书中提供的用于支付必然发生但暂时</w:t>
      </w:r>
    </w:p>
    <w:p w14:paraId="5C6B92F4">
      <w:pPr>
        <w:spacing w:line="219" w:lineRule="auto"/>
        <w:ind w:left="21"/>
        <w:rPr>
          <w:rFonts w:ascii="宋体" w:hAnsi="宋体" w:eastAsia="宋体" w:cs="宋体"/>
          <w:sz w:val="21"/>
          <w:szCs w:val="21"/>
        </w:rPr>
      </w:pPr>
      <w:r>
        <w:rPr>
          <w:rFonts w:ascii="宋体" w:hAnsi="宋体" w:eastAsia="宋体" w:cs="宋体"/>
          <w:spacing w:val="-1"/>
          <w:sz w:val="21"/>
          <w:szCs w:val="21"/>
        </w:rPr>
        <w:t>不能确定价格的材料、工程设备的单价、专业工程以及服务工作的金额。</w:t>
      </w:r>
    </w:p>
    <w:p w14:paraId="2111B74C">
      <w:pPr>
        <w:spacing w:before="150" w:line="352" w:lineRule="auto"/>
        <w:ind w:left="21" w:firstLine="436"/>
        <w:rPr>
          <w:rFonts w:ascii="宋体" w:hAnsi="宋体" w:eastAsia="宋体" w:cs="宋体"/>
          <w:sz w:val="21"/>
          <w:szCs w:val="21"/>
        </w:rPr>
      </w:pPr>
      <w:r>
        <w:fldChar w:fldCharType="begin"/>
      </w:r>
      <w:r>
        <w:instrText xml:space="preserve"> HYPERLINK "1.1.5.5" </w:instrText>
      </w:r>
      <w:r>
        <w:fldChar w:fldCharType="separate"/>
      </w:r>
      <w:r>
        <w:rPr>
          <w:rFonts w:ascii="Times New Roman" w:hAnsi="Times New Roman" w:eastAsia="Times New Roman" w:cs="Times New Roman"/>
          <w:spacing w:val="-2"/>
          <w:sz w:val="21"/>
          <w:szCs w:val="21"/>
        </w:rPr>
        <w:t>1.1.5.5</w:t>
      </w:r>
      <w:r>
        <w:rPr>
          <w:rFonts w:ascii="Times New Roman" w:hAnsi="Times New Roman" w:eastAsia="Times New Roman" w:cs="Times New Roman"/>
          <w:spacing w:val="-2"/>
          <w:sz w:val="21"/>
          <w:szCs w:val="21"/>
        </w:rPr>
        <w:fldChar w:fldCharType="end"/>
      </w:r>
      <w:r>
        <w:rPr>
          <w:rFonts w:ascii="Times New Roman" w:hAnsi="Times New Roman" w:eastAsia="Times New Roman" w:cs="Times New Roman"/>
          <w:spacing w:val="49"/>
          <w:w w:val="101"/>
          <w:sz w:val="21"/>
          <w:szCs w:val="21"/>
        </w:rPr>
        <w:t xml:space="preserve"> </w:t>
      </w:r>
      <w:r>
        <w:rPr>
          <w:rFonts w:ascii="宋体" w:hAnsi="宋体" w:eastAsia="宋体" w:cs="宋体"/>
          <w:spacing w:val="-2"/>
          <w:sz w:val="21"/>
          <w:szCs w:val="21"/>
        </w:rPr>
        <w:t xml:space="preserve">暂列金额： 是指发包人在工程量清单或预算书中暂定并包括在合同价格中的一  </w:t>
      </w:r>
      <w:r>
        <w:rPr>
          <w:rFonts w:ascii="宋体" w:hAnsi="宋体" w:eastAsia="宋体" w:cs="宋体"/>
          <w:spacing w:val="2"/>
          <w:sz w:val="21"/>
          <w:szCs w:val="21"/>
        </w:rPr>
        <w:t>笔款项，用于工程合同签订时尚未确定或者不可预</w:t>
      </w:r>
      <w:r>
        <w:rPr>
          <w:rFonts w:ascii="宋体" w:hAnsi="宋体" w:eastAsia="宋体" w:cs="宋体"/>
          <w:spacing w:val="1"/>
          <w:sz w:val="21"/>
          <w:szCs w:val="21"/>
        </w:rPr>
        <w:t>见的所需材料、工程设备、服务的采购，</w:t>
      </w:r>
    </w:p>
    <w:p w14:paraId="64FDECDB">
      <w:pPr>
        <w:spacing w:line="219" w:lineRule="auto"/>
        <w:ind w:left="17"/>
        <w:rPr>
          <w:rFonts w:ascii="宋体" w:hAnsi="宋体" w:eastAsia="宋体" w:cs="宋体"/>
          <w:sz w:val="21"/>
          <w:szCs w:val="21"/>
        </w:rPr>
      </w:pPr>
      <w:r>
        <w:rPr>
          <w:rFonts w:ascii="宋体" w:hAnsi="宋体" w:eastAsia="宋体" w:cs="宋体"/>
          <w:spacing w:val="3"/>
          <w:sz w:val="21"/>
          <w:szCs w:val="21"/>
        </w:rPr>
        <w:t>施工中可能发生的工程变更、合同约定调整因素出现时的合同价</w:t>
      </w:r>
      <w:r>
        <w:rPr>
          <w:rFonts w:ascii="宋体" w:hAnsi="宋体" w:eastAsia="宋体" w:cs="宋体"/>
          <w:spacing w:val="2"/>
          <w:sz w:val="21"/>
          <w:szCs w:val="21"/>
        </w:rPr>
        <w:t>格调整以及发生的索赔、</w:t>
      </w:r>
    </w:p>
    <w:p w14:paraId="78291E6C">
      <w:pPr>
        <w:spacing w:before="149" w:line="221" w:lineRule="auto"/>
        <w:ind w:left="20"/>
        <w:rPr>
          <w:rFonts w:ascii="宋体" w:hAnsi="宋体" w:eastAsia="宋体" w:cs="宋体"/>
          <w:sz w:val="21"/>
          <w:szCs w:val="21"/>
        </w:rPr>
      </w:pPr>
      <w:r>
        <w:rPr>
          <w:rFonts w:ascii="宋体" w:hAnsi="宋体" w:eastAsia="宋体" w:cs="宋体"/>
          <w:spacing w:val="-2"/>
          <w:sz w:val="21"/>
          <w:szCs w:val="21"/>
        </w:rPr>
        <w:t>现场签证确认等的费用。</w:t>
      </w:r>
    </w:p>
    <w:p w14:paraId="4646D3DD">
      <w:pPr>
        <w:spacing w:before="153" w:line="398" w:lineRule="exact"/>
        <w:ind w:left="457"/>
        <w:rPr>
          <w:rFonts w:ascii="宋体" w:hAnsi="宋体" w:eastAsia="宋体" w:cs="宋体"/>
          <w:sz w:val="21"/>
          <w:szCs w:val="21"/>
        </w:rPr>
      </w:pPr>
      <w:r>
        <w:fldChar w:fldCharType="begin"/>
      </w:r>
      <w:r>
        <w:instrText xml:space="preserve"> HYPERLINK "1.1.5.6" </w:instrText>
      </w:r>
      <w:r>
        <w:fldChar w:fldCharType="separate"/>
      </w:r>
      <w:r>
        <w:rPr>
          <w:rFonts w:ascii="Times New Roman" w:hAnsi="Times New Roman" w:eastAsia="Times New Roman" w:cs="Times New Roman"/>
          <w:spacing w:val="2"/>
          <w:position w:val="14"/>
          <w:sz w:val="21"/>
          <w:szCs w:val="21"/>
        </w:rPr>
        <w:t>1.1.5.6</w:t>
      </w:r>
      <w:r>
        <w:rPr>
          <w:rFonts w:ascii="Times New Roman" w:hAnsi="Times New Roman" w:eastAsia="Times New Roman" w:cs="Times New Roman"/>
          <w:spacing w:val="2"/>
          <w:position w:val="14"/>
          <w:sz w:val="21"/>
          <w:szCs w:val="21"/>
        </w:rPr>
        <w:fldChar w:fldCharType="end"/>
      </w:r>
      <w:r>
        <w:rPr>
          <w:rFonts w:ascii="Times New Roman" w:hAnsi="Times New Roman" w:eastAsia="Times New Roman" w:cs="Times New Roman"/>
          <w:spacing w:val="33"/>
          <w:position w:val="14"/>
          <w:sz w:val="21"/>
          <w:szCs w:val="21"/>
        </w:rPr>
        <w:t xml:space="preserve"> </w:t>
      </w:r>
      <w:r>
        <w:rPr>
          <w:rFonts w:ascii="宋体" w:hAnsi="宋体" w:eastAsia="宋体" w:cs="宋体"/>
          <w:spacing w:val="2"/>
          <w:position w:val="14"/>
          <w:sz w:val="21"/>
          <w:szCs w:val="21"/>
        </w:rPr>
        <w:t>计日工：是指合同履行过程中，承包人</w:t>
      </w:r>
      <w:r>
        <w:rPr>
          <w:rFonts w:ascii="宋体" w:hAnsi="宋体" w:eastAsia="宋体" w:cs="宋体"/>
          <w:spacing w:val="1"/>
          <w:position w:val="14"/>
          <w:sz w:val="21"/>
          <w:szCs w:val="21"/>
        </w:rPr>
        <w:t>完成发包人提出的零星工作或需要采用</w:t>
      </w:r>
    </w:p>
    <w:p w14:paraId="7A951521">
      <w:pPr>
        <w:spacing w:line="219" w:lineRule="auto"/>
        <w:ind w:left="18"/>
        <w:rPr>
          <w:rFonts w:ascii="宋体" w:hAnsi="宋体" w:eastAsia="宋体" w:cs="宋体"/>
          <w:sz w:val="21"/>
          <w:szCs w:val="21"/>
        </w:rPr>
      </w:pPr>
      <w:r>
        <w:rPr>
          <w:rFonts w:ascii="宋体" w:hAnsi="宋体" w:eastAsia="宋体" w:cs="宋体"/>
          <w:sz w:val="21"/>
          <w:szCs w:val="21"/>
        </w:rPr>
        <w:t>计日工计价的变更工作时，按合同中约定的单价计价的</w:t>
      </w:r>
      <w:r>
        <w:rPr>
          <w:rFonts w:ascii="宋体" w:hAnsi="宋体" w:eastAsia="宋体" w:cs="宋体"/>
          <w:spacing w:val="-1"/>
          <w:sz w:val="21"/>
          <w:szCs w:val="21"/>
        </w:rPr>
        <w:t>一种方式。</w:t>
      </w:r>
    </w:p>
    <w:p w14:paraId="69DACBFC">
      <w:pPr>
        <w:spacing w:before="149" w:line="403" w:lineRule="exact"/>
        <w:ind w:left="457"/>
        <w:rPr>
          <w:rFonts w:ascii="宋体" w:hAnsi="宋体" w:eastAsia="宋体" w:cs="宋体"/>
          <w:sz w:val="21"/>
          <w:szCs w:val="21"/>
        </w:rPr>
      </w:pPr>
      <w:r>
        <w:fldChar w:fldCharType="begin"/>
      </w:r>
      <w:r>
        <w:instrText xml:space="preserve"> HYPERLINK "1.1.5.7" </w:instrText>
      </w:r>
      <w:r>
        <w:fldChar w:fldCharType="separate"/>
      </w:r>
      <w:r>
        <w:rPr>
          <w:rFonts w:ascii="Times New Roman" w:hAnsi="Times New Roman" w:eastAsia="Times New Roman" w:cs="Times New Roman"/>
          <w:spacing w:val="-1"/>
          <w:position w:val="14"/>
          <w:sz w:val="21"/>
          <w:szCs w:val="21"/>
        </w:rPr>
        <w:t>1.1.5.7</w:t>
      </w:r>
      <w:r>
        <w:rPr>
          <w:rFonts w:ascii="Times New Roman" w:hAnsi="Times New Roman" w:eastAsia="Times New Roman" w:cs="Times New Roman"/>
          <w:spacing w:val="-1"/>
          <w:position w:val="14"/>
          <w:sz w:val="21"/>
          <w:szCs w:val="21"/>
        </w:rPr>
        <w:fldChar w:fldCharType="end"/>
      </w:r>
      <w:r>
        <w:rPr>
          <w:rFonts w:ascii="Times New Roman" w:hAnsi="Times New Roman" w:eastAsia="Times New Roman" w:cs="Times New Roman"/>
          <w:spacing w:val="33"/>
          <w:w w:val="101"/>
          <w:position w:val="14"/>
          <w:sz w:val="21"/>
          <w:szCs w:val="21"/>
        </w:rPr>
        <w:t xml:space="preserve"> </w:t>
      </w:r>
      <w:r>
        <w:rPr>
          <w:rFonts w:ascii="宋体" w:hAnsi="宋体" w:eastAsia="宋体" w:cs="宋体"/>
          <w:spacing w:val="-1"/>
          <w:position w:val="14"/>
          <w:sz w:val="21"/>
          <w:szCs w:val="21"/>
        </w:rPr>
        <w:t xml:space="preserve">质量保证金：是指按照第 </w:t>
      </w:r>
      <w:r>
        <w:rPr>
          <w:rFonts w:ascii="Times New Roman" w:hAnsi="Times New Roman" w:eastAsia="Times New Roman" w:cs="Times New Roman"/>
          <w:spacing w:val="-1"/>
          <w:position w:val="14"/>
          <w:sz w:val="21"/>
          <w:szCs w:val="21"/>
        </w:rPr>
        <w:t>15.3</w:t>
      </w:r>
      <w:r>
        <w:rPr>
          <w:rFonts w:ascii="Times New Roman" w:hAnsi="Times New Roman" w:eastAsia="Times New Roman" w:cs="Times New Roman"/>
          <w:spacing w:val="24"/>
          <w:w w:val="101"/>
          <w:position w:val="14"/>
          <w:sz w:val="21"/>
          <w:szCs w:val="21"/>
        </w:rPr>
        <w:t xml:space="preserve"> </w:t>
      </w:r>
      <w:r>
        <w:rPr>
          <w:rFonts w:ascii="宋体" w:hAnsi="宋体" w:eastAsia="宋体" w:cs="宋体"/>
          <w:spacing w:val="-1"/>
          <w:position w:val="14"/>
          <w:sz w:val="21"/>
          <w:szCs w:val="21"/>
        </w:rPr>
        <w:t>款〔质量保</w:t>
      </w:r>
      <w:r>
        <w:rPr>
          <w:rFonts w:ascii="宋体" w:hAnsi="宋体" w:eastAsia="宋体" w:cs="宋体"/>
          <w:spacing w:val="-2"/>
          <w:position w:val="14"/>
          <w:sz w:val="21"/>
          <w:szCs w:val="21"/>
        </w:rPr>
        <w:t>证金〕约定承包人用于保证其在缺陷</w:t>
      </w:r>
    </w:p>
    <w:p w14:paraId="11859B18">
      <w:pPr>
        <w:spacing w:before="1" w:line="220" w:lineRule="auto"/>
        <w:ind w:left="25"/>
        <w:rPr>
          <w:rFonts w:ascii="宋体" w:hAnsi="宋体" w:eastAsia="宋体" w:cs="宋体"/>
          <w:sz w:val="21"/>
          <w:szCs w:val="21"/>
        </w:rPr>
      </w:pPr>
      <w:r>
        <w:rPr>
          <w:rFonts w:ascii="宋体" w:hAnsi="宋体" w:eastAsia="宋体" w:cs="宋体"/>
          <w:spacing w:val="-2"/>
          <w:sz w:val="21"/>
          <w:szCs w:val="21"/>
        </w:rPr>
        <w:t>责任期内履行缺陷修补义务的担保。</w:t>
      </w:r>
    </w:p>
    <w:p w14:paraId="5B7E2E66">
      <w:pPr>
        <w:spacing w:before="148" w:line="399" w:lineRule="exact"/>
        <w:ind w:left="457"/>
        <w:rPr>
          <w:rFonts w:ascii="宋体" w:hAnsi="宋体" w:eastAsia="宋体" w:cs="宋体"/>
          <w:sz w:val="21"/>
          <w:szCs w:val="21"/>
        </w:rPr>
      </w:pPr>
      <w:r>
        <w:fldChar w:fldCharType="begin"/>
      </w:r>
      <w:r>
        <w:instrText xml:space="preserve"> HYPERLINK "1.1.5.8" </w:instrText>
      </w:r>
      <w:r>
        <w:fldChar w:fldCharType="separate"/>
      </w:r>
      <w:r>
        <w:rPr>
          <w:rFonts w:ascii="Times New Roman" w:hAnsi="Times New Roman" w:eastAsia="Times New Roman" w:cs="Times New Roman"/>
          <w:spacing w:val="-1"/>
          <w:position w:val="14"/>
          <w:sz w:val="21"/>
          <w:szCs w:val="21"/>
        </w:rPr>
        <w:t>1.1.5.8</w:t>
      </w:r>
      <w:r>
        <w:rPr>
          <w:rFonts w:ascii="Times New Roman" w:hAnsi="Times New Roman" w:eastAsia="Times New Roman" w:cs="Times New Roman"/>
          <w:spacing w:val="-1"/>
          <w:position w:val="14"/>
          <w:sz w:val="21"/>
          <w:szCs w:val="21"/>
        </w:rPr>
        <w:fldChar w:fldCharType="end"/>
      </w:r>
      <w:r>
        <w:rPr>
          <w:rFonts w:ascii="Times New Roman" w:hAnsi="Times New Roman" w:eastAsia="Times New Roman" w:cs="Times New Roman"/>
          <w:spacing w:val="38"/>
          <w:w w:val="101"/>
          <w:position w:val="14"/>
          <w:sz w:val="21"/>
          <w:szCs w:val="21"/>
        </w:rPr>
        <w:t xml:space="preserve"> </w:t>
      </w:r>
      <w:r>
        <w:rPr>
          <w:rFonts w:ascii="宋体" w:hAnsi="宋体" w:eastAsia="宋体" w:cs="宋体"/>
          <w:spacing w:val="-1"/>
          <w:position w:val="14"/>
          <w:sz w:val="21"/>
          <w:szCs w:val="21"/>
        </w:rPr>
        <w:t>总价项目： 是指在现行国家、行业以及地方的计量规则中</w:t>
      </w:r>
      <w:r>
        <w:rPr>
          <w:rFonts w:ascii="宋体" w:hAnsi="宋体" w:eastAsia="宋体" w:cs="宋体"/>
          <w:spacing w:val="-2"/>
          <w:position w:val="14"/>
          <w:sz w:val="21"/>
          <w:szCs w:val="21"/>
        </w:rPr>
        <w:t>无工程量计算规则，</w:t>
      </w:r>
    </w:p>
    <w:p w14:paraId="3C9723D3">
      <w:pPr>
        <w:spacing w:line="219" w:lineRule="auto"/>
        <w:ind w:left="17"/>
        <w:rPr>
          <w:rFonts w:ascii="宋体" w:hAnsi="宋体" w:eastAsia="宋体" w:cs="宋体"/>
          <w:sz w:val="21"/>
          <w:szCs w:val="21"/>
        </w:rPr>
      </w:pPr>
      <w:r>
        <w:rPr>
          <w:rFonts w:ascii="宋体" w:hAnsi="宋体" w:eastAsia="宋体" w:cs="宋体"/>
          <w:sz w:val="21"/>
          <w:szCs w:val="21"/>
        </w:rPr>
        <w:t>在已标价工程量清单或预算书中以总价或以费率形式计算</w:t>
      </w:r>
      <w:r>
        <w:rPr>
          <w:rFonts w:ascii="宋体" w:hAnsi="宋体" w:eastAsia="宋体" w:cs="宋体"/>
          <w:spacing w:val="-1"/>
          <w:sz w:val="21"/>
          <w:szCs w:val="21"/>
        </w:rPr>
        <w:t>的项目。</w:t>
      </w:r>
    </w:p>
    <w:p w14:paraId="1D577B26">
      <w:pPr>
        <w:spacing w:before="154" w:line="221" w:lineRule="auto"/>
        <w:ind w:left="457"/>
        <w:rPr>
          <w:rFonts w:ascii="宋体" w:hAnsi="宋体" w:eastAsia="宋体" w:cs="宋体"/>
          <w:sz w:val="21"/>
          <w:szCs w:val="21"/>
        </w:rPr>
      </w:pPr>
      <w:r>
        <w:rPr>
          <w:rFonts w:ascii="Times New Roman" w:hAnsi="Times New Roman" w:eastAsia="Times New Roman" w:cs="Times New Roman"/>
          <w:spacing w:val="-4"/>
          <w:sz w:val="21"/>
          <w:szCs w:val="21"/>
        </w:rPr>
        <w:t>1.1.6</w:t>
      </w:r>
      <w:r>
        <w:rPr>
          <w:rFonts w:ascii="Times New Roman" w:hAnsi="Times New Roman" w:eastAsia="Times New Roman" w:cs="Times New Roman"/>
          <w:spacing w:val="10"/>
          <w:sz w:val="21"/>
          <w:szCs w:val="21"/>
        </w:rPr>
        <w:t xml:space="preserve"> </w:t>
      </w:r>
      <w:r>
        <w:rPr>
          <w:rFonts w:ascii="宋体" w:hAnsi="宋体" w:eastAsia="宋体" w:cs="宋体"/>
          <w:spacing w:val="-4"/>
          <w:sz w:val="21"/>
          <w:szCs w:val="21"/>
        </w:rPr>
        <w:t>其他</w:t>
      </w:r>
    </w:p>
    <w:p w14:paraId="1DFFCE32">
      <w:pPr>
        <w:spacing w:before="147" w:line="220" w:lineRule="auto"/>
        <w:ind w:left="457"/>
        <w:rPr>
          <w:rFonts w:ascii="宋体" w:hAnsi="宋体" w:eastAsia="宋体" w:cs="宋体"/>
          <w:sz w:val="21"/>
          <w:szCs w:val="21"/>
        </w:rPr>
      </w:pPr>
      <w:r>
        <w:fldChar w:fldCharType="begin"/>
      </w:r>
      <w:r>
        <w:instrText xml:space="preserve"> HYPERLINK "1.1.6.1" </w:instrText>
      </w:r>
      <w:r>
        <w:fldChar w:fldCharType="separate"/>
      </w:r>
      <w:r>
        <w:rPr>
          <w:rFonts w:ascii="Times New Roman" w:hAnsi="Times New Roman" w:eastAsia="Times New Roman" w:cs="Times New Roman"/>
          <w:spacing w:val="-1"/>
          <w:sz w:val="21"/>
          <w:szCs w:val="21"/>
        </w:rPr>
        <w:t>1.1.6.1</w:t>
      </w:r>
      <w:r>
        <w:rPr>
          <w:rFonts w:ascii="Times New Roman" w:hAnsi="Times New Roman" w:eastAsia="Times New Roman" w:cs="Times New Roman"/>
          <w:spacing w:val="-1"/>
          <w:sz w:val="21"/>
          <w:szCs w:val="21"/>
        </w:rPr>
        <w:fldChar w:fldCharType="end"/>
      </w:r>
      <w:r>
        <w:rPr>
          <w:rFonts w:ascii="Times New Roman" w:hAnsi="Times New Roman" w:eastAsia="Times New Roman" w:cs="Times New Roman"/>
          <w:spacing w:val="37"/>
          <w:sz w:val="21"/>
          <w:szCs w:val="21"/>
        </w:rPr>
        <w:t xml:space="preserve"> </w:t>
      </w:r>
      <w:r>
        <w:rPr>
          <w:rFonts w:ascii="宋体" w:hAnsi="宋体" w:eastAsia="宋体" w:cs="宋体"/>
          <w:spacing w:val="-1"/>
          <w:sz w:val="21"/>
          <w:szCs w:val="21"/>
        </w:rPr>
        <w:t>书面形式： 是指合同文件、信函、电报、传真等可以有形地表现所载内容</w:t>
      </w:r>
      <w:r>
        <w:rPr>
          <w:rFonts w:ascii="宋体" w:hAnsi="宋体" w:eastAsia="宋体" w:cs="宋体"/>
          <w:spacing w:val="-2"/>
          <w:sz w:val="21"/>
          <w:szCs w:val="21"/>
        </w:rPr>
        <w:t>的形</w:t>
      </w:r>
    </w:p>
    <w:p w14:paraId="23554336">
      <w:pPr>
        <w:spacing w:before="148" w:line="222" w:lineRule="auto"/>
        <w:ind w:left="22"/>
        <w:rPr>
          <w:rFonts w:ascii="宋体" w:hAnsi="宋体" w:eastAsia="宋体" w:cs="宋体"/>
          <w:sz w:val="21"/>
          <w:szCs w:val="21"/>
        </w:rPr>
      </w:pPr>
      <w:r>
        <w:rPr>
          <w:rFonts w:ascii="宋体" w:hAnsi="宋体" w:eastAsia="宋体" w:cs="宋体"/>
          <w:spacing w:val="-11"/>
          <w:sz w:val="21"/>
          <w:szCs w:val="21"/>
        </w:rPr>
        <w:t>式。</w:t>
      </w:r>
    </w:p>
    <w:p w14:paraId="7EB9F075">
      <w:pPr>
        <w:spacing w:before="49" w:line="219" w:lineRule="auto"/>
        <w:ind w:left="31"/>
        <w:rPr>
          <w:rFonts w:ascii="黑体" w:hAnsi="黑体" w:eastAsia="黑体" w:cs="黑体"/>
          <w:sz w:val="24"/>
          <w:szCs w:val="24"/>
        </w:rPr>
      </w:pPr>
      <w:r>
        <w:rPr>
          <w:rFonts w:ascii="黑体" w:hAnsi="黑体" w:eastAsia="黑体" w:cs="黑体"/>
          <w:spacing w:val="-4"/>
          <w:sz w:val="24"/>
          <w:szCs w:val="24"/>
        </w:rPr>
        <w:t>1.2</w:t>
      </w:r>
      <w:r>
        <w:rPr>
          <w:rFonts w:ascii="黑体" w:hAnsi="黑体" w:eastAsia="黑体" w:cs="黑体"/>
          <w:spacing w:val="-54"/>
          <w:sz w:val="24"/>
          <w:szCs w:val="24"/>
        </w:rPr>
        <w:t xml:space="preserve"> </w:t>
      </w:r>
      <w:r>
        <w:rPr>
          <w:rFonts w:ascii="黑体" w:hAnsi="黑体" w:eastAsia="黑体" w:cs="黑体"/>
          <w:spacing w:val="-4"/>
          <w:sz w:val="24"/>
          <w:szCs w:val="24"/>
        </w:rPr>
        <w:t>语言文字</w:t>
      </w:r>
    </w:p>
    <w:p w14:paraId="7E3C8A20">
      <w:pPr>
        <w:spacing w:before="129" w:line="220" w:lineRule="auto"/>
        <w:ind w:left="442"/>
        <w:rPr>
          <w:rFonts w:ascii="宋体" w:hAnsi="宋体" w:eastAsia="宋体" w:cs="宋体"/>
          <w:sz w:val="21"/>
          <w:szCs w:val="21"/>
        </w:rPr>
      </w:pPr>
      <w:r>
        <w:rPr>
          <w:rFonts w:ascii="宋体" w:hAnsi="宋体" w:eastAsia="宋体" w:cs="宋体"/>
          <w:spacing w:val="3"/>
          <w:sz w:val="21"/>
          <w:szCs w:val="21"/>
        </w:rPr>
        <w:t>合同以中国的汉语简体文字编写、解释和说明。合同当事人在专用合同条款中约定使</w:t>
      </w:r>
    </w:p>
    <w:p w14:paraId="2ECFD389">
      <w:pPr>
        <w:spacing w:before="148" w:line="221" w:lineRule="auto"/>
        <w:ind w:left="20"/>
        <w:rPr>
          <w:rFonts w:ascii="宋体" w:hAnsi="宋体" w:eastAsia="宋体" w:cs="宋体"/>
          <w:sz w:val="21"/>
          <w:szCs w:val="21"/>
        </w:rPr>
      </w:pPr>
      <w:r>
        <w:rPr>
          <w:rFonts w:ascii="宋体" w:hAnsi="宋体" w:eastAsia="宋体" w:cs="宋体"/>
          <w:spacing w:val="-5"/>
          <w:sz w:val="21"/>
          <w:szCs w:val="21"/>
        </w:rPr>
        <w:t>用两种以上语言时， 汉语为优先解释和说明合同的语言。</w:t>
      </w:r>
    </w:p>
    <w:p w14:paraId="487CA92C">
      <w:pPr>
        <w:spacing w:before="45" w:line="220" w:lineRule="auto"/>
        <w:ind w:left="31"/>
        <w:rPr>
          <w:rFonts w:ascii="黑体" w:hAnsi="黑体" w:eastAsia="黑体" w:cs="黑体"/>
          <w:sz w:val="24"/>
          <w:szCs w:val="24"/>
        </w:rPr>
      </w:pPr>
      <w:r>
        <w:rPr>
          <w:rFonts w:ascii="黑体" w:hAnsi="黑体" w:eastAsia="黑体" w:cs="黑体"/>
          <w:spacing w:val="-6"/>
          <w:sz w:val="24"/>
          <w:szCs w:val="24"/>
        </w:rPr>
        <w:t>1.3</w:t>
      </w:r>
      <w:r>
        <w:rPr>
          <w:rFonts w:ascii="黑体" w:hAnsi="黑体" w:eastAsia="黑体" w:cs="黑体"/>
          <w:spacing w:val="-49"/>
          <w:sz w:val="24"/>
          <w:szCs w:val="24"/>
        </w:rPr>
        <w:t xml:space="preserve"> </w:t>
      </w:r>
      <w:r>
        <w:rPr>
          <w:rFonts w:ascii="黑体" w:hAnsi="黑体" w:eastAsia="黑体" w:cs="黑体"/>
          <w:spacing w:val="-6"/>
          <w:sz w:val="24"/>
          <w:szCs w:val="24"/>
        </w:rPr>
        <w:t>法律</w:t>
      </w:r>
    </w:p>
    <w:p w14:paraId="796C20D4">
      <w:pPr>
        <w:spacing w:before="128" w:line="399" w:lineRule="exact"/>
        <w:ind w:left="442"/>
        <w:rPr>
          <w:rFonts w:ascii="宋体" w:hAnsi="宋体" w:eastAsia="宋体" w:cs="宋体"/>
          <w:sz w:val="21"/>
          <w:szCs w:val="21"/>
        </w:rPr>
      </w:pPr>
      <w:r>
        <w:rPr>
          <w:rFonts w:ascii="宋体" w:hAnsi="宋体" w:eastAsia="宋体" w:cs="宋体"/>
          <w:position w:val="14"/>
          <w:sz w:val="21"/>
          <w:szCs w:val="21"/>
        </w:rPr>
        <w:t>合同所称法律是指中华人民共和国法律、行政法规、部门规章， 以及工程所在地的地</w:t>
      </w:r>
    </w:p>
    <w:p w14:paraId="7D5E6123">
      <w:pPr>
        <w:spacing w:before="1" w:line="219" w:lineRule="auto"/>
        <w:ind w:left="19"/>
        <w:rPr>
          <w:rFonts w:ascii="宋体" w:hAnsi="宋体" w:eastAsia="宋体" w:cs="宋体"/>
          <w:sz w:val="21"/>
          <w:szCs w:val="21"/>
        </w:rPr>
      </w:pPr>
      <w:r>
        <w:rPr>
          <w:rFonts w:ascii="宋体" w:hAnsi="宋体" w:eastAsia="宋体" w:cs="宋体"/>
          <w:spacing w:val="-1"/>
          <w:sz w:val="21"/>
          <w:szCs w:val="21"/>
        </w:rPr>
        <w:t>方性法规、自治条例、单行条例和地方政府规章等。</w:t>
      </w:r>
    </w:p>
    <w:p w14:paraId="5B80B042">
      <w:pPr>
        <w:spacing w:line="219" w:lineRule="auto"/>
        <w:rPr>
          <w:rFonts w:ascii="宋体" w:hAnsi="宋体" w:eastAsia="宋体" w:cs="宋体"/>
          <w:sz w:val="21"/>
          <w:szCs w:val="21"/>
        </w:rPr>
        <w:sectPr>
          <w:footerReference r:id="rId91" w:type="default"/>
          <w:pgSz w:w="11905" w:h="16839"/>
          <w:pgMar w:top="1431" w:right="1632" w:bottom="1004" w:left="1785" w:header="0" w:footer="828" w:gutter="0"/>
          <w:pgNumType w:fmt="decimal"/>
          <w:cols w:space="720" w:num="1"/>
        </w:sectPr>
      </w:pPr>
    </w:p>
    <w:p w14:paraId="7C30312D">
      <w:pPr>
        <w:spacing w:before="148" w:line="221" w:lineRule="auto"/>
        <w:ind w:left="442"/>
        <w:rPr>
          <w:rFonts w:ascii="宋体" w:hAnsi="宋体" w:eastAsia="宋体" w:cs="宋体"/>
          <w:sz w:val="21"/>
          <w:szCs w:val="21"/>
        </w:rPr>
      </w:pPr>
      <w:r>
        <w:rPr>
          <w:rFonts w:ascii="宋体" w:hAnsi="宋体" w:eastAsia="宋体" w:cs="宋体"/>
          <w:spacing w:val="-1"/>
          <w:sz w:val="21"/>
          <w:szCs w:val="21"/>
        </w:rPr>
        <w:t>合同当事人可以在专用合同条款中约定合同适用的其他规范性文件。</w:t>
      </w:r>
    </w:p>
    <w:p w14:paraId="339F5CF3">
      <w:pPr>
        <w:spacing w:before="46" w:line="220" w:lineRule="auto"/>
        <w:ind w:left="31"/>
        <w:rPr>
          <w:rFonts w:ascii="黑体" w:hAnsi="黑体" w:eastAsia="黑体" w:cs="黑体"/>
          <w:sz w:val="24"/>
          <w:szCs w:val="24"/>
        </w:rPr>
      </w:pPr>
      <w:r>
        <w:rPr>
          <w:rFonts w:ascii="黑体" w:hAnsi="黑体" w:eastAsia="黑体" w:cs="黑体"/>
          <w:spacing w:val="-3"/>
          <w:sz w:val="24"/>
          <w:szCs w:val="24"/>
        </w:rPr>
        <w:t>1.4 标准和规范</w:t>
      </w:r>
    </w:p>
    <w:p w14:paraId="08BE8407">
      <w:pPr>
        <w:spacing w:before="127" w:line="404" w:lineRule="exact"/>
        <w:jc w:val="right"/>
        <w:rPr>
          <w:rFonts w:ascii="宋体" w:hAnsi="宋体" w:eastAsia="宋体" w:cs="宋体"/>
          <w:sz w:val="21"/>
          <w:szCs w:val="21"/>
        </w:rPr>
      </w:pPr>
      <w:r>
        <w:rPr>
          <w:rFonts w:ascii="Times New Roman" w:hAnsi="Times New Roman" w:eastAsia="Times New Roman" w:cs="Times New Roman"/>
          <w:position w:val="14"/>
          <w:sz w:val="21"/>
          <w:szCs w:val="21"/>
        </w:rPr>
        <w:t>1.4.1</w:t>
      </w:r>
      <w:r>
        <w:rPr>
          <w:rFonts w:ascii="Times New Roman" w:hAnsi="Times New Roman" w:eastAsia="Times New Roman" w:cs="Times New Roman"/>
          <w:spacing w:val="32"/>
          <w:w w:val="101"/>
          <w:position w:val="14"/>
          <w:sz w:val="21"/>
          <w:szCs w:val="21"/>
        </w:rPr>
        <w:t xml:space="preserve"> </w:t>
      </w:r>
      <w:r>
        <w:rPr>
          <w:rFonts w:ascii="宋体" w:hAnsi="宋体" w:eastAsia="宋体" w:cs="宋体"/>
          <w:position w:val="14"/>
          <w:sz w:val="21"/>
          <w:szCs w:val="21"/>
        </w:rPr>
        <w:t>适用于工程的国家标准、行业标准、</w:t>
      </w:r>
      <w:r>
        <w:rPr>
          <w:rFonts w:ascii="宋体" w:hAnsi="宋体" w:eastAsia="宋体" w:cs="宋体"/>
          <w:spacing w:val="-1"/>
          <w:position w:val="14"/>
          <w:sz w:val="21"/>
          <w:szCs w:val="21"/>
        </w:rPr>
        <w:t>工程所在地的地方性标准，以及相应的规范、</w:t>
      </w:r>
    </w:p>
    <w:p w14:paraId="74F48596">
      <w:pPr>
        <w:spacing w:line="220" w:lineRule="auto"/>
        <w:ind w:left="19"/>
        <w:rPr>
          <w:rFonts w:ascii="宋体" w:hAnsi="宋体" w:eastAsia="宋体" w:cs="宋体"/>
          <w:sz w:val="21"/>
          <w:szCs w:val="21"/>
        </w:rPr>
      </w:pPr>
      <w:r>
        <w:rPr>
          <w:rFonts w:ascii="宋体" w:hAnsi="宋体" w:eastAsia="宋体" w:cs="宋体"/>
          <w:spacing w:val="-1"/>
          <w:sz w:val="21"/>
          <w:szCs w:val="21"/>
        </w:rPr>
        <w:t>规程等，合同当事人有特别要求的，应在专用合同条款中</w:t>
      </w:r>
      <w:r>
        <w:rPr>
          <w:rFonts w:ascii="宋体" w:hAnsi="宋体" w:eastAsia="宋体" w:cs="宋体"/>
          <w:spacing w:val="-2"/>
          <w:sz w:val="21"/>
          <w:szCs w:val="21"/>
        </w:rPr>
        <w:t>约定。</w:t>
      </w:r>
    </w:p>
    <w:p w14:paraId="248220F5">
      <w:pPr>
        <w:spacing w:before="147" w:line="398" w:lineRule="exact"/>
        <w:ind w:left="457"/>
        <w:rPr>
          <w:rFonts w:ascii="宋体" w:hAnsi="宋体" w:eastAsia="宋体" w:cs="宋体"/>
          <w:sz w:val="21"/>
          <w:szCs w:val="21"/>
        </w:rPr>
      </w:pPr>
      <w:r>
        <w:rPr>
          <w:rFonts w:ascii="Times New Roman" w:hAnsi="Times New Roman" w:eastAsia="Times New Roman" w:cs="Times New Roman"/>
          <w:position w:val="14"/>
          <w:sz w:val="21"/>
          <w:szCs w:val="21"/>
        </w:rPr>
        <w:t>1.4.2</w:t>
      </w:r>
      <w:r>
        <w:rPr>
          <w:rFonts w:ascii="Times New Roman" w:hAnsi="Times New Roman" w:eastAsia="Times New Roman" w:cs="Times New Roman"/>
          <w:spacing w:val="42"/>
          <w:w w:val="101"/>
          <w:position w:val="14"/>
          <w:sz w:val="21"/>
          <w:szCs w:val="21"/>
        </w:rPr>
        <w:t xml:space="preserve"> </w:t>
      </w:r>
      <w:r>
        <w:rPr>
          <w:rFonts w:ascii="宋体" w:hAnsi="宋体" w:eastAsia="宋体" w:cs="宋体"/>
          <w:position w:val="14"/>
          <w:sz w:val="21"/>
          <w:szCs w:val="21"/>
        </w:rPr>
        <w:t>发包人要求使用国外标准、规范的，发包人负责提供原文版本和中文译本，并在</w:t>
      </w:r>
    </w:p>
    <w:p w14:paraId="58CD6182">
      <w:pPr>
        <w:spacing w:before="1" w:line="219" w:lineRule="auto"/>
        <w:ind w:left="19"/>
        <w:rPr>
          <w:rFonts w:ascii="宋体" w:hAnsi="宋体" w:eastAsia="宋体" w:cs="宋体"/>
          <w:sz w:val="21"/>
          <w:szCs w:val="21"/>
        </w:rPr>
      </w:pPr>
      <w:r>
        <w:rPr>
          <w:rFonts w:ascii="宋体" w:hAnsi="宋体" w:eastAsia="宋体" w:cs="宋体"/>
          <w:spacing w:val="-1"/>
          <w:sz w:val="21"/>
          <w:szCs w:val="21"/>
        </w:rPr>
        <w:t>专用合同条款中约定提供标准规范的名称、份数和时间。</w:t>
      </w:r>
    </w:p>
    <w:p w14:paraId="2A5EA0FF">
      <w:pPr>
        <w:spacing w:before="153" w:line="221" w:lineRule="auto"/>
        <w:ind w:left="457"/>
        <w:rPr>
          <w:rFonts w:ascii="宋体" w:hAnsi="宋体" w:eastAsia="宋体" w:cs="宋体"/>
          <w:sz w:val="21"/>
          <w:szCs w:val="21"/>
        </w:rPr>
      </w:pPr>
      <w:r>
        <w:rPr>
          <w:rFonts w:ascii="Times New Roman" w:hAnsi="Times New Roman" w:eastAsia="Times New Roman" w:cs="Times New Roman"/>
          <w:spacing w:val="-1"/>
          <w:sz w:val="21"/>
          <w:szCs w:val="21"/>
        </w:rPr>
        <w:t>1.4.3</w:t>
      </w:r>
      <w:r>
        <w:rPr>
          <w:rFonts w:ascii="Times New Roman" w:hAnsi="Times New Roman" w:eastAsia="Times New Roman" w:cs="Times New Roman"/>
          <w:spacing w:val="35"/>
          <w:w w:val="101"/>
          <w:sz w:val="21"/>
          <w:szCs w:val="21"/>
        </w:rPr>
        <w:t xml:space="preserve"> </w:t>
      </w:r>
      <w:r>
        <w:rPr>
          <w:rFonts w:ascii="宋体" w:hAnsi="宋体" w:eastAsia="宋体" w:cs="宋体"/>
          <w:spacing w:val="-1"/>
          <w:sz w:val="21"/>
          <w:szCs w:val="21"/>
        </w:rPr>
        <w:t>发包人对工程的技术标准、功能要求高于或严于现行国家、行业或地方标准的，</w:t>
      </w:r>
    </w:p>
    <w:p w14:paraId="42ABF40A">
      <w:pPr>
        <w:spacing w:before="147" w:line="274" w:lineRule="auto"/>
        <w:ind w:left="21" w:right="2" w:hanging="3"/>
        <w:rPr>
          <w:rFonts w:ascii="黑体" w:hAnsi="黑体" w:eastAsia="黑体" w:cs="黑体"/>
          <w:sz w:val="24"/>
          <w:szCs w:val="24"/>
        </w:rPr>
      </w:pPr>
      <w:r>
        <w:rPr>
          <w:rFonts w:ascii="宋体" w:hAnsi="宋体" w:eastAsia="宋体" w:cs="宋体"/>
          <w:spacing w:val="3"/>
          <w:sz w:val="21"/>
          <w:szCs w:val="21"/>
        </w:rPr>
        <w:t>应当在专用合同条款中予以明确。除专用合</w:t>
      </w:r>
      <w:r>
        <w:rPr>
          <w:rFonts w:ascii="宋体" w:hAnsi="宋体" w:eastAsia="宋体" w:cs="宋体"/>
          <w:spacing w:val="2"/>
          <w:sz w:val="21"/>
          <w:szCs w:val="21"/>
        </w:rPr>
        <w:t>同条款另有约定外，应视为承包人在签订合同  前已充分预见前述技术标准和功能要求的复杂程度，签约合同价中已包含由此产生的费</w:t>
      </w:r>
      <w:r>
        <w:rPr>
          <w:rFonts w:ascii="宋体" w:hAnsi="宋体" w:eastAsia="宋体" w:cs="宋体"/>
          <w:spacing w:val="1"/>
          <w:sz w:val="21"/>
          <w:szCs w:val="21"/>
        </w:rPr>
        <w:t>用。</w:t>
      </w:r>
      <w:r>
        <w:rPr>
          <w:rFonts w:ascii="宋体" w:hAnsi="宋体" w:eastAsia="宋体" w:cs="宋体"/>
          <w:sz w:val="21"/>
          <w:szCs w:val="21"/>
        </w:rPr>
        <w:t xml:space="preserve"> </w:t>
      </w:r>
      <w:r>
        <w:rPr>
          <w:rFonts w:ascii="黑体" w:hAnsi="黑体" w:eastAsia="黑体" w:cs="黑体"/>
          <w:spacing w:val="-1"/>
          <w:sz w:val="24"/>
          <w:szCs w:val="24"/>
        </w:rPr>
        <w:t>1.5 合同文件的优先顺序</w:t>
      </w:r>
    </w:p>
    <w:p w14:paraId="5FC5A48A">
      <w:pPr>
        <w:spacing w:before="129" w:line="221" w:lineRule="auto"/>
        <w:ind w:left="443"/>
        <w:rPr>
          <w:rFonts w:ascii="宋体" w:hAnsi="宋体" w:eastAsia="宋体" w:cs="宋体"/>
          <w:sz w:val="21"/>
          <w:szCs w:val="21"/>
        </w:rPr>
      </w:pPr>
      <w:r>
        <w:rPr>
          <w:rFonts w:ascii="宋体" w:hAnsi="宋体" w:eastAsia="宋体" w:cs="宋体"/>
          <w:sz w:val="21"/>
          <w:szCs w:val="21"/>
        </w:rPr>
        <w:t>组成合同的各项文件应互相解释，互为说明。除专用合同条款另有约定外， 解释合同</w:t>
      </w:r>
    </w:p>
    <w:p w14:paraId="32D8DEDF">
      <w:pPr>
        <w:spacing w:before="152" w:line="221" w:lineRule="auto"/>
        <w:ind w:left="20"/>
        <w:rPr>
          <w:rFonts w:ascii="宋体" w:hAnsi="宋体" w:eastAsia="宋体" w:cs="宋体"/>
          <w:sz w:val="21"/>
          <w:szCs w:val="21"/>
        </w:rPr>
      </w:pPr>
      <w:r>
        <w:rPr>
          <w:rFonts w:ascii="宋体" w:hAnsi="宋体" w:eastAsia="宋体" w:cs="宋体"/>
          <w:spacing w:val="-1"/>
          <w:sz w:val="21"/>
          <w:szCs w:val="21"/>
        </w:rPr>
        <w:t>文件的优先顺序如下：</w:t>
      </w:r>
    </w:p>
    <w:p w14:paraId="5CE30128">
      <w:pPr>
        <w:spacing w:before="148" w:line="220" w:lineRule="auto"/>
        <w:ind w:left="447"/>
        <w:rPr>
          <w:rFonts w:ascii="宋体" w:hAnsi="宋体" w:eastAsia="宋体" w:cs="宋体"/>
          <w:sz w:val="21"/>
          <w:szCs w:val="21"/>
        </w:rPr>
      </w:pPr>
      <w:r>
        <w:rPr>
          <w:rFonts w:ascii="宋体" w:hAnsi="宋体" w:eastAsia="宋体" w:cs="宋体"/>
          <w:spacing w:val="-6"/>
          <w:sz w:val="21"/>
          <w:szCs w:val="21"/>
        </w:rPr>
        <w:t>（</w:t>
      </w:r>
      <w:r>
        <w:rPr>
          <w:rFonts w:ascii="Times New Roman" w:hAnsi="Times New Roman" w:eastAsia="Times New Roman" w:cs="Times New Roman"/>
          <w:spacing w:val="-6"/>
          <w:sz w:val="21"/>
          <w:szCs w:val="21"/>
        </w:rPr>
        <w:t>1</w:t>
      </w:r>
      <w:r>
        <w:rPr>
          <w:rFonts w:ascii="宋体" w:hAnsi="宋体" w:eastAsia="宋体" w:cs="宋体"/>
          <w:spacing w:val="-6"/>
          <w:sz w:val="21"/>
          <w:szCs w:val="21"/>
        </w:rPr>
        <w:t>）合同协议书；</w:t>
      </w:r>
    </w:p>
    <w:p w14:paraId="37AACE5F">
      <w:pPr>
        <w:spacing w:before="148" w:line="220" w:lineRule="auto"/>
        <w:ind w:left="447"/>
        <w:rPr>
          <w:rFonts w:ascii="宋体" w:hAnsi="宋体" w:eastAsia="宋体" w:cs="宋体"/>
          <w:sz w:val="21"/>
          <w:szCs w:val="21"/>
        </w:rPr>
      </w:pPr>
      <w:r>
        <w:rPr>
          <w:rFonts w:ascii="宋体" w:hAnsi="宋体" w:eastAsia="宋体" w:cs="宋体"/>
          <w:spacing w:val="-8"/>
          <w:sz w:val="21"/>
          <w:szCs w:val="21"/>
        </w:rPr>
        <w:t>（</w:t>
      </w:r>
      <w:r>
        <w:rPr>
          <w:rFonts w:ascii="Times New Roman" w:hAnsi="Times New Roman" w:eastAsia="Times New Roman" w:cs="Times New Roman"/>
          <w:spacing w:val="-8"/>
          <w:sz w:val="21"/>
          <w:szCs w:val="21"/>
        </w:rPr>
        <w:t>2</w:t>
      </w:r>
      <w:r>
        <w:rPr>
          <w:rFonts w:ascii="宋体" w:hAnsi="宋体" w:eastAsia="宋体" w:cs="宋体"/>
          <w:spacing w:val="-8"/>
          <w:sz w:val="21"/>
          <w:szCs w:val="21"/>
        </w:rPr>
        <w:t>）中标通知书（如果有</w:t>
      </w:r>
      <w:r>
        <w:rPr>
          <w:rFonts w:ascii="宋体" w:hAnsi="宋体" w:eastAsia="宋体" w:cs="宋体"/>
          <w:spacing w:val="-17"/>
          <w:sz w:val="21"/>
          <w:szCs w:val="21"/>
        </w:rPr>
        <w:t>）；</w:t>
      </w:r>
    </w:p>
    <w:p w14:paraId="50D8116D">
      <w:pPr>
        <w:spacing w:before="153" w:line="399" w:lineRule="exact"/>
        <w:ind w:left="447"/>
        <w:rPr>
          <w:rFonts w:ascii="宋体" w:hAnsi="宋体" w:eastAsia="宋体" w:cs="宋体"/>
          <w:sz w:val="21"/>
          <w:szCs w:val="21"/>
        </w:rPr>
      </w:pPr>
      <w:r>
        <w:rPr>
          <w:rFonts w:ascii="宋体" w:hAnsi="宋体" w:eastAsia="宋体" w:cs="宋体"/>
          <w:spacing w:val="-2"/>
          <w:position w:val="14"/>
          <w:sz w:val="21"/>
          <w:szCs w:val="21"/>
        </w:rPr>
        <w:t>（</w:t>
      </w:r>
      <w:r>
        <w:rPr>
          <w:rFonts w:ascii="Times New Roman" w:hAnsi="Times New Roman" w:eastAsia="Times New Roman" w:cs="Times New Roman"/>
          <w:spacing w:val="-2"/>
          <w:position w:val="14"/>
          <w:sz w:val="21"/>
          <w:szCs w:val="21"/>
        </w:rPr>
        <w:t>3</w:t>
      </w:r>
      <w:r>
        <w:rPr>
          <w:rFonts w:ascii="宋体" w:hAnsi="宋体" w:eastAsia="宋体" w:cs="宋体"/>
          <w:spacing w:val="-2"/>
          <w:position w:val="14"/>
          <w:sz w:val="21"/>
          <w:szCs w:val="21"/>
        </w:rPr>
        <w:t>）投标函及其附录（如果有</w:t>
      </w:r>
      <w:r>
        <w:rPr>
          <w:rFonts w:ascii="宋体" w:hAnsi="宋体" w:eastAsia="宋体" w:cs="宋体"/>
          <w:spacing w:val="-53"/>
          <w:position w:val="14"/>
          <w:sz w:val="21"/>
          <w:szCs w:val="21"/>
        </w:rPr>
        <w:t>）；</w:t>
      </w:r>
    </w:p>
    <w:p w14:paraId="726A978A">
      <w:pPr>
        <w:spacing w:before="1" w:line="219" w:lineRule="auto"/>
        <w:ind w:left="447"/>
        <w:rPr>
          <w:rFonts w:ascii="宋体" w:hAnsi="宋体" w:eastAsia="宋体" w:cs="宋体"/>
          <w:sz w:val="21"/>
          <w:szCs w:val="21"/>
        </w:rPr>
      </w:pPr>
      <w:r>
        <w:rPr>
          <w:rFonts w:ascii="宋体" w:hAnsi="宋体" w:eastAsia="宋体" w:cs="宋体"/>
          <w:spacing w:val="-4"/>
          <w:sz w:val="21"/>
          <w:szCs w:val="21"/>
        </w:rPr>
        <w:t>（</w:t>
      </w:r>
      <w:r>
        <w:rPr>
          <w:rFonts w:ascii="Times New Roman" w:hAnsi="Times New Roman" w:eastAsia="Times New Roman" w:cs="Times New Roman"/>
          <w:spacing w:val="-4"/>
          <w:sz w:val="21"/>
          <w:szCs w:val="21"/>
        </w:rPr>
        <w:t>4</w:t>
      </w:r>
      <w:r>
        <w:rPr>
          <w:rFonts w:ascii="宋体" w:hAnsi="宋体" w:eastAsia="宋体" w:cs="宋体"/>
          <w:spacing w:val="-4"/>
          <w:sz w:val="21"/>
          <w:szCs w:val="21"/>
        </w:rPr>
        <w:t>）专用合同条款及其附件；</w:t>
      </w:r>
    </w:p>
    <w:p w14:paraId="42085263">
      <w:pPr>
        <w:spacing w:before="148" w:line="221" w:lineRule="auto"/>
        <w:ind w:left="447"/>
        <w:rPr>
          <w:rFonts w:ascii="宋体" w:hAnsi="宋体" w:eastAsia="宋体" w:cs="宋体"/>
          <w:sz w:val="21"/>
          <w:szCs w:val="21"/>
        </w:rPr>
      </w:pPr>
      <w:r>
        <w:rPr>
          <w:rFonts w:ascii="宋体" w:hAnsi="宋体" w:eastAsia="宋体" w:cs="宋体"/>
          <w:spacing w:val="-5"/>
          <w:sz w:val="21"/>
          <w:szCs w:val="21"/>
        </w:rPr>
        <w:t>（</w:t>
      </w:r>
      <w:r>
        <w:rPr>
          <w:rFonts w:ascii="Times New Roman" w:hAnsi="Times New Roman" w:eastAsia="Times New Roman" w:cs="Times New Roman"/>
          <w:spacing w:val="-5"/>
          <w:sz w:val="21"/>
          <w:szCs w:val="21"/>
        </w:rPr>
        <w:t>5</w:t>
      </w:r>
      <w:r>
        <w:rPr>
          <w:rFonts w:ascii="宋体" w:hAnsi="宋体" w:eastAsia="宋体" w:cs="宋体"/>
          <w:spacing w:val="-5"/>
          <w:sz w:val="21"/>
          <w:szCs w:val="21"/>
        </w:rPr>
        <w:t>）通用合同条款；</w:t>
      </w:r>
    </w:p>
    <w:p w14:paraId="44517A18">
      <w:pPr>
        <w:spacing w:before="152" w:line="221" w:lineRule="auto"/>
        <w:ind w:left="447"/>
        <w:rPr>
          <w:rFonts w:ascii="宋体" w:hAnsi="宋体" w:eastAsia="宋体" w:cs="宋体"/>
          <w:sz w:val="21"/>
          <w:szCs w:val="21"/>
        </w:rPr>
      </w:pPr>
      <w:r>
        <w:rPr>
          <w:rFonts w:ascii="宋体" w:hAnsi="宋体" w:eastAsia="宋体" w:cs="宋体"/>
          <w:spacing w:val="-1"/>
          <w:sz w:val="21"/>
          <w:szCs w:val="21"/>
        </w:rPr>
        <w:t>（</w:t>
      </w:r>
      <w:r>
        <w:rPr>
          <w:rFonts w:ascii="Times New Roman" w:hAnsi="Times New Roman" w:eastAsia="Times New Roman" w:cs="Times New Roman"/>
          <w:spacing w:val="-1"/>
          <w:sz w:val="21"/>
          <w:szCs w:val="21"/>
        </w:rPr>
        <w:t>6</w:t>
      </w:r>
      <w:r>
        <w:rPr>
          <w:rFonts w:ascii="宋体" w:hAnsi="宋体" w:eastAsia="宋体" w:cs="宋体"/>
          <w:spacing w:val="-1"/>
          <w:sz w:val="21"/>
          <w:szCs w:val="21"/>
        </w:rPr>
        <w:t>）技术标准和要求；</w:t>
      </w:r>
    </w:p>
    <w:p w14:paraId="0961BABF">
      <w:pPr>
        <w:spacing w:before="147" w:line="222" w:lineRule="auto"/>
        <w:ind w:left="447"/>
        <w:rPr>
          <w:rFonts w:ascii="宋体" w:hAnsi="宋体" w:eastAsia="宋体" w:cs="宋体"/>
          <w:sz w:val="21"/>
          <w:szCs w:val="21"/>
        </w:rPr>
      </w:pPr>
      <w:r>
        <w:rPr>
          <w:rFonts w:ascii="宋体" w:hAnsi="宋体" w:eastAsia="宋体" w:cs="宋体"/>
          <w:spacing w:val="-8"/>
          <w:sz w:val="21"/>
          <w:szCs w:val="21"/>
        </w:rPr>
        <w:t>（</w:t>
      </w:r>
      <w:r>
        <w:rPr>
          <w:rFonts w:ascii="Times New Roman" w:hAnsi="Times New Roman" w:eastAsia="Times New Roman" w:cs="Times New Roman"/>
          <w:spacing w:val="-8"/>
          <w:sz w:val="21"/>
          <w:szCs w:val="21"/>
        </w:rPr>
        <w:t>7</w:t>
      </w:r>
      <w:r>
        <w:rPr>
          <w:rFonts w:ascii="宋体" w:hAnsi="宋体" w:eastAsia="宋体" w:cs="宋体"/>
          <w:spacing w:val="-8"/>
          <w:sz w:val="21"/>
          <w:szCs w:val="21"/>
        </w:rPr>
        <w:t>）图纸；</w:t>
      </w:r>
    </w:p>
    <w:p w14:paraId="0197E4F9">
      <w:pPr>
        <w:spacing w:before="146" w:line="403" w:lineRule="exact"/>
        <w:ind w:left="447"/>
        <w:rPr>
          <w:rFonts w:ascii="宋体" w:hAnsi="宋体" w:eastAsia="宋体" w:cs="宋体"/>
          <w:sz w:val="21"/>
          <w:szCs w:val="21"/>
        </w:rPr>
      </w:pPr>
      <w:r>
        <w:rPr>
          <w:rFonts w:ascii="宋体" w:hAnsi="宋体" w:eastAsia="宋体" w:cs="宋体"/>
          <w:spacing w:val="-3"/>
          <w:position w:val="14"/>
          <w:sz w:val="21"/>
          <w:szCs w:val="21"/>
        </w:rPr>
        <w:t>（</w:t>
      </w:r>
      <w:r>
        <w:rPr>
          <w:rFonts w:ascii="Times New Roman" w:hAnsi="Times New Roman" w:eastAsia="Times New Roman" w:cs="Times New Roman"/>
          <w:spacing w:val="-3"/>
          <w:position w:val="14"/>
          <w:sz w:val="21"/>
          <w:szCs w:val="21"/>
        </w:rPr>
        <w:t>8</w:t>
      </w:r>
      <w:r>
        <w:rPr>
          <w:rFonts w:ascii="宋体" w:hAnsi="宋体" w:eastAsia="宋体" w:cs="宋体"/>
          <w:spacing w:val="-3"/>
          <w:position w:val="14"/>
          <w:sz w:val="21"/>
          <w:szCs w:val="21"/>
        </w:rPr>
        <w:t>）已标价工程量清单或预算书；</w:t>
      </w:r>
    </w:p>
    <w:p w14:paraId="0D2BF7D2">
      <w:pPr>
        <w:spacing w:before="1" w:line="220" w:lineRule="auto"/>
        <w:ind w:left="447"/>
        <w:rPr>
          <w:rFonts w:ascii="宋体" w:hAnsi="宋体" w:eastAsia="宋体" w:cs="宋体"/>
          <w:sz w:val="21"/>
          <w:szCs w:val="21"/>
        </w:rPr>
      </w:pPr>
      <w:r>
        <w:rPr>
          <w:rFonts w:ascii="宋体" w:hAnsi="宋体" w:eastAsia="宋体" w:cs="宋体"/>
          <w:spacing w:val="-4"/>
          <w:sz w:val="21"/>
          <w:szCs w:val="21"/>
        </w:rPr>
        <w:t>（</w:t>
      </w:r>
      <w:r>
        <w:rPr>
          <w:rFonts w:ascii="Times New Roman" w:hAnsi="Times New Roman" w:eastAsia="Times New Roman" w:cs="Times New Roman"/>
          <w:spacing w:val="-4"/>
          <w:sz w:val="21"/>
          <w:szCs w:val="21"/>
        </w:rPr>
        <w:t>9</w:t>
      </w:r>
      <w:r>
        <w:rPr>
          <w:rFonts w:ascii="宋体" w:hAnsi="宋体" w:eastAsia="宋体" w:cs="宋体"/>
          <w:spacing w:val="-4"/>
          <w:sz w:val="21"/>
          <w:szCs w:val="21"/>
        </w:rPr>
        <w:t>）其他合同文件。</w:t>
      </w:r>
    </w:p>
    <w:p w14:paraId="228E1A54">
      <w:pPr>
        <w:spacing w:before="148" w:line="398" w:lineRule="exact"/>
        <w:ind w:left="442"/>
        <w:rPr>
          <w:rFonts w:ascii="宋体" w:hAnsi="宋体" w:eastAsia="宋体" w:cs="宋体"/>
          <w:sz w:val="21"/>
          <w:szCs w:val="21"/>
        </w:rPr>
      </w:pPr>
      <w:r>
        <w:rPr>
          <w:rFonts w:ascii="宋体" w:hAnsi="宋体" w:eastAsia="宋体" w:cs="宋体"/>
          <w:spacing w:val="3"/>
          <w:position w:val="14"/>
          <w:sz w:val="21"/>
          <w:szCs w:val="21"/>
        </w:rPr>
        <w:t>上述各项合同文件包括合同当事人就该项合同文件所作出的补充和修改，属于同一类</w:t>
      </w:r>
    </w:p>
    <w:p w14:paraId="4F20F163">
      <w:pPr>
        <w:spacing w:before="1" w:line="220" w:lineRule="auto"/>
        <w:ind w:left="43"/>
        <w:rPr>
          <w:rFonts w:ascii="宋体" w:hAnsi="宋体" w:eastAsia="宋体" w:cs="宋体"/>
          <w:sz w:val="21"/>
          <w:szCs w:val="21"/>
        </w:rPr>
      </w:pPr>
      <w:r>
        <w:rPr>
          <w:rFonts w:ascii="宋体" w:hAnsi="宋体" w:eastAsia="宋体" w:cs="宋体"/>
          <w:spacing w:val="-4"/>
          <w:sz w:val="21"/>
          <w:szCs w:val="21"/>
        </w:rPr>
        <w:t>内容的文件，应以最新签署的为准。</w:t>
      </w:r>
    </w:p>
    <w:p w14:paraId="39290393">
      <w:pPr>
        <w:spacing w:before="152" w:line="221" w:lineRule="auto"/>
        <w:ind w:left="440"/>
        <w:rPr>
          <w:rFonts w:ascii="宋体" w:hAnsi="宋体" w:eastAsia="宋体" w:cs="宋体"/>
          <w:sz w:val="21"/>
          <w:szCs w:val="21"/>
        </w:rPr>
      </w:pPr>
      <w:r>
        <w:rPr>
          <w:rFonts w:ascii="宋体" w:hAnsi="宋体" w:eastAsia="宋体" w:cs="宋体"/>
          <w:spacing w:val="3"/>
          <w:sz w:val="21"/>
          <w:szCs w:val="21"/>
        </w:rPr>
        <w:t>在合同订立及履行过程中形成的与合同有关的文件均构成合同文件组成部分，并根据</w:t>
      </w:r>
    </w:p>
    <w:p w14:paraId="19FFE86C">
      <w:pPr>
        <w:spacing w:before="147" w:line="221" w:lineRule="auto"/>
        <w:ind w:left="19"/>
        <w:rPr>
          <w:rFonts w:ascii="宋体" w:hAnsi="宋体" w:eastAsia="宋体" w:cs="宋体"/>
          <w:sz w:val="21"/>
          <w:szCs w:val="21"/>
        </w:rPr>
      </w:pPr>
      <w:r>
        <w:rPr>
          <w:rFonts w:ascii="宋体" w:hAnsi="宋体" w:eastAsia="宋体" w:cs="宋体"/>
          <w:spacing w:val="-3"/>
          <w:sz w:val="21"/>
          <w:szCs w:val="21"/>
        </w:rPr>
        <w:t>其性质确定优先解释顺序。</w:t>
      </w:r>
    </w:p>
    <w:p w14:paraId="52D41230">
      <w:pPr>
        <w:spacing w:before="46" w:line="219" w:lineRule="auto"/>
        <w:ind w:left="31"/>
        <w:rPr>
          <w:rFonts w:ascii="黑体" w:hAnsi="黑体" w:eastAsia="黑体" w:cs="黑体"/>
          <w:sz w:val="24"/>
          <w:szCs w:val="24"/>
        </w:rPr>
      </w:pPr>
      <w:r>
        <w:rPr>
          <w:rFonts w:ascii="黑体" w:hAnsi="黑体" w:eastAsia="黑体" w:cs="黑体"/>
          <w:spacing w:val="-4"/>
          <w:sz w:val="24"/>
          <w:szCs w:val="24"/>
        </w:rPr>
        <w:t>1.6</w:t>
      </w:r>
      <w:r>
        <w:rPr>
          <w:rFonts w:ascii="黑体" w:hAnsi="黑体" w:eastAsia="黑体" w:cs="黑体"/>
          <w:spacing w:val="-38"/>
          <w:sz w:val="24"/>
          <w:szCs w:val="24"/>
        </w:rPr>
        <w:t xml:space="preserve"> </w:t>
      </w:r>
      <w:r>
        <w:rPr>
          <w:rFonts w:ascii="黑体" w:hAnsi="黑体" w:eastAsia="黑体" w:cs="黑体"/>
          <w:spacing w:val="-4"/>
          <w:sz w:val="24"/>
          <w:szCs w:val="24"/>
        </w:rPr>
        <w:t>图纸和承包人文件</w:t>
      </w:r>
    </w:p>
    <w:p w14:paraId="0396FE04">
      <w:pPr>
        <w:spacing w:before="129" w:line="220" w:lineRule="auto"/>
        <w:ind w:left="457"/>
        <w:rPr>
          <w:rFonts w:ascii="宋体" w:hAnsi="宋体" w:eastAsia="宋体" w:cs="宋体"/>
          <w:sz w:val="21"/>
          <w:szCs w:val="21"/>
        </w:rPr>
      </w:pPr>
      <w:r>
        <w:rPr>
          <w:rFonts w:ascii="Times New Roman" w:hAnsi="Times New Roman" w:eastAsia="Times New Roman" w:cs="Times New Roman"/>
          <w:spacing w:val="-4"/>
          <w:sz w:val="21"/>
          <w:szCs w:val="21"/>
        </w:rPr>
        <w:t>1.6.1</w:t>
      </w:r>
      <w:r>
        <w:rPr>
          <w:rFonts w:ascii="Times New Roman" w:hAnsi="Times New Roman" w:eastAsia="Times New Roman" w:cs="Times New Roman"/>
          <w:spacing w:val="32"/>
          <w:w w:val="101"/>
          <w:sz w:val="21"/>
          <w:szCs w:val="21"/>
        </w:rPr>
        <w:t xml:space="preserve"> </w:t>
      </w:r>
      <w:r>
        <w:rPr>
          <w:rFonts w:ascii="宋体" w:hAnsi="宋体" w:eastAsia="宋体" w:cs="宋体"/>
          <w:spacing w:val="-4"/>
          <w:sz w:val="21"/>
          <w:szCs w:val="21"/>
        </w:rPr>
        <w:t>图纸的提供和交底</w:t>
      </w:r>
    </w:p>
    <w:p w14:paraId="4CD68985">
      <w:pPr>
        <w:spacing w:before="154" w:line="350" w:lineRule="auto"/>
        <w:ind w:left="18" w:right="177" w:firstLine="426"/>
        <w:jc w:val="both"/>
        <w:rPr>
          <w:rFonts w:ascii="宋体" w:hAnsi="宋体" w:eastAsia="宋体" w:cs="宋体"/>
          <w:sz w:val="21"/>
          <w:szCs w:val="21"/>
        </w:rPr>
      </w:pPr>
      <w:r>
        <w:rPr>
          <w:rFonts w:ascii="宋体" w:hAnsi="宋体" w:eastAsia="宋体" w:cs="宋体"/>
          <w:spacing w:val="3"/>
          <w:sz w:val="21"/>
          <w:szCs w:val="21"/>
        </w:rPr>
        <w:t>发包人应按照专用合同条款约定的期限、数量和内容向承包人免费提供图纸，并组织</w:t>
      </w:r>
      <w:r>
        <w:rPr>
          <w:rFonts w:ascii="宋体" w:hAnsi="宋体" w:eastAsia="宋体" w:cs="宋体"/>
          <w:sz w:val="21"/>
          <w:szCs w:val="21"/>
        </w:rPr>
        <w:t xml:space="preserve"> 承包人、监理人和设计人进行图纸会审和设计交底。发包人至迟不得晚于第</w:t>
      </w:r>
      <w:r>
        <w:rPr>
          <w:rFonts w:ascii="宋体" w:hAnsi="宋体" w:eastAsia="宋体" w:cs="宋体"/>
          <w:spacing w:val="-31"/>
          <w:sz w:val="21"/>
          <w:szCs w:val="21"/>
        </w:rPr>
        <w:t xml:space="preserve"> </w:t>
      </w:r>
      <w:r>
        <w:rPr>
          <w:rFonts w:ascii="Times New Roman" w:hAnsi="Times New Roman" w:eastAsia="Times New Roman" w:cs="Times New Roman"/>
          <w:sz w:val="21"/>
          <w:szCs w:val="21"/>
        </w:rPr>
        <w:t>7</w:t>
      </w:r>
      <w:r>
        <w:rPr>
          <w:rFonts w:ascii="Times New Roman" w:hAnsi="Times New Roman" w:eastAsia="Times New Roman" w:cs="Times New Roman"/>
          <w:spacing w:val="-1"/>
          <w:sz w:val="21"/>
          <w:szCs w:val="21"/>
        </w:rPr>
        <w:t xml:space="preserve">.3.2 </w:t>
      </w:r>
      <w:r>
        <w:rPr>
          <w:rFonts w:ascii="宋体" w:hAnsi="宋体" w:eastAsia="宋体" w:cs="宋体"/>
          <w:spacing w:val="-1"/>
          <w:sz w:val="21"/>
          <w:szCs w:val="21"/>
        </w:rPr>
        <w:t>项〔开工</w:t>
      </w:r>
    </w:p>
    <w:p w14:paraId="6D0FE77D">
      <w:pPr>
        <w:spacing w:before="1" w:line="219" w:lineRule="auto"/>
        <w:ind w:left="18"/>
        <w:rPr>
          <w:rFonts w:ascii="宋体" w:hAnsi="宋体" w:eastAsia="宋体" w:cs="宋体"/>
          <w:sz w:val="21"/>
          <w:szCs w:val="21"/>
        </w:rPr>
      </w:pPr>
      <w:r>
        <w:rPr>
          <w:rFonts w:ascii="宋体" w:hAnsi="宋体" w:eastAsia="宋体" w:cs="宋体"/>
          <w:spacing w:val="-3"/>
          <w:sz w:val="21"/>
          <w:szCs w:val="21"/>
        </w:rPr>
        <w:t>通知〕载明的开工日期前</w:t>
      </w:r>
      <w:r>
        <w:rPr>
          <w:rFonts w:ascii="宋体" w:hAnsi="宋体" w:eastAsia="宋体" w:cs="宋体"/>
          <w:spacing w:val="-10"/>
          <w:sz w:val="21"/>
          <w:szCs w:val="21"/>
        </w:rPr>
        <w:t xml:space="preserve"> </w:t>
      </w:r>
      <w:r>
        <w:rPr>
          <w:rFonts w:ascii="Times New Roman" w:hAnsi="Times New Roman" w:eastAsia="Times New Roman" w:cs="Times New Roman"/>
          <w:spacing w:val="-3"/>
          <w:sz w:val="21"/>
          <w:szCs w:val="21"/>
        </w:rPr>
        <w:t xml:space="preserve">14 </w:t>
      </w:r>
      <w:r>
        <w:rPr>
          <w:rFonts w:ascii="宋体" w:hAnsi="宋体" w:eastAsia="宋体" w:cs="宋体"/>
          <w:spacing w:val="-3"/>
          <w:sz w:val="21"/>
          <w:szCs w:val="21"/>
        </w:rPr>
        <w:t>天向承包人提供图纸。</w:t>
      </w:r>
    </w:p>
    <w:p w14:paraId="5D39979B">
      <w:pPr>
        <w:spacing w:before="153" w:line="399" w:lineRule="exact"/>
        <w:ind w:left="457"/>
        <w:rPr>
          <w:rFonts w:ascii="宋体" w:hAnsi="宋体" w:eastAsia="宋体" w:cs="宋体"/>
          <w:sz w:val="21"/>
          <w:szCs w:val="21"/>
        </w:rPr>
      </w:pPr>
      <w:r>
        <w:rPr>
          <w:rFonts w:ascii="宋体" w:hAnsi="宋体" w:eastAsia="宋体" w:cs="宋体"/>
          <w:spacing w:val="8"/>
          <w:position w:val="14"/>
          <w:sz w:val="21"/>
          <w:szCs w:val="21"/>
        </w:rPr>
        <w:t>因发包人未按合同约定提供图纸导致承包人费用增加和（或）工期延误的，按照第</w:t>
      </w:r>
    </w:p>
    <w:p w14:paraId="4106BA7A">
      <w:pPr>
        <w:spacing w:line="220" w:lineRule="auto"/>
        <w:ind w:left="17"/>
        <w:rPr>
          <w:rFonts w:ascii="宋体" w:hAnsi="宋体" w:eastAsia="宋体" w:cs="宋体"/>
          <w:sz w:val="21"/>
          <w:szCs w:val="21"/>
        </w:rPr>
      </w:pPr>
      <w:r>
        <w:rPr>
          <w:rFonts w:ascii="Times New Roman" w:hAnsi="Times New Roman" w:eastAsia="Times New Roman" w:cs="Times New Roman"/>
          <w:spacing w:val="-1"/>
          <w:sz w:val="21"/>
          <w:szCs w:val="21"/>
        </w:rPr>
        <w:t xml:space="preserve">7.5.1 </w:t>
      </w:r>
      <w:r>
        <w:rPr>
          <w:rFonts w:ascii="宋体" w:hAnsi="宋体" w:eastAsia="宋体" w:cs="宋体"/>
          <w:spacing w:val="-1"/>
          <w:sz w:val="21"/>
          <w:szCs w:val="21"/>
        </w:rPr>
        <w:t>项〔因发包人原因导致工期延误〕约定</w:t>
      </w:r>
      <w:r>
        <w:rPr>
          <w:rFonts w:ascii="宋体" w:hAnsi="宋体" w:eastAsia="宋体" w:cs="宋体"/>
          <w:spacing w:val="-2"/>
          <w:sz w:val="21"/>
          <w:szCs w:val="21"/>
        </w:rPr>
        <w:t>办理。</w:t>
      </w:r>
    </w:p>
    <w:p w14:paraId="24A8F118">
      <w:pPr>
        <w:spacing w:before="148" w:line="222" w:lineRule="auto"/>
        <w:ind w:left="457"/>
        <w:rPr>
          <w:rFonts w:ascii="宋体" w:hAnsi="宋体" w:eastAsia="宋体" w:cs="宋体"/>
          <w:sz w:val="21"/>
          <w:szCs w:val="21"/>
        </w:rPr>
      </w:pPr>
      <w:r>
        <w:rPr>
          <w:rFonts w:ascii="Times New Roman" w:hAnsi="Times New Roman" w:eastAsia="Times New Roman" w:cs="Times New Roman"/>
          <w:spacing w:val="-5"/>
          <w:sz w:val="21"/>
          <w:szCs w:val="21"/>
        </w:rPr>
        <w:t>1.6.2</w:t>
      </w:r>
      <w:r>
        <w:rPr>
          <w:rFonts w:ascii="Times New Roman" w:hAnsi="Times New Roman" w:eastAsia="Times New Roman" w:cs="Times New Roman"/>
          <w:spacing w:val="29"/>
          <w:sz w:val="21"/>
          <w:szCs w:val="21"/>
        </w:rPr>
        <w:t xml:space="preserve"> </w:t>
      </w:r>
      <w:r>
        <w:rPr>
          <w:rFonts w:ascii="宋体" w:hAnsi="宋体" w:eastAsia="宋体" w:cs="宋体"/>
          <w:spacing w:val="-5"/>
          <w:sz w:val="21"/>
          <w:szCs w:val="21"/>
        </w:rPr>
        <w:t>图纸的错误</w:t>
      </w:r>
    </w:p>
    <w:p w14:paraId="218602EB">
      <w:pPr>
        <w:spacing w:before="150" w:line="399" w:lineRule="exact"/>
        <w:ind w:left="441"/>
        <w:rPr>
          <w:rFonts w:ascii="宋体" w:hAnsi="宋体" w:eastAsia="宋体" w:cs="宋体"/>
          <w:sz w:val="21"/>
          <w:szCs w:val="21"/>
        </w:rPr>
      </w:pPr>
      <w:r>
        <w:rPr>
          <w:rFonts w:ascii="宋体" w:hAnsi="宋体" w:eastAsia="宋体" w:cs="宋体"/>
          <w:position w:val="14"/>
          <w:sz w:val="21"/>
          <w:szCs w:val="21"/>
        </w:rPr>
        <w:t>承包人在收到发包人提供的图纸后， 发现图纸存在差错、遗漏或缺陷的，应及时通知</w:t>
      </w:r>
    </w:p>
    <w:p w14:paraId="52448BC0">
      <w:pPr>
        <w:spacing w:before="1" w:line="219" w:lineRule="auto"/>
        <w:ind w:left="19"/>
        <w:rPr>
          <w:rFonts w:ascii="宋体" w:hAnsi="宋体" w:eastAsia="宋体" w:cs="宋体"/>
          <w:sz w:val="21"/>
          <w:szCs w:val="21"/>
        </w:rPr>
      </w:pPr>
      <w:r>
        <w:rPr>
          <w:rFonts w:ascii="宋体" w:hAnsi="宋体" w:eastAsia="宋体" w:cs="宋体"/>
          <w:spacing w:val="3"/>
          <w:sz w:val="21"/>
          <w:szCs w:val="21"/>
        </w:rPr>
        <w:t>监理人。监理人接到该通知后，应附具相关意见并立即报送发包人，发包人</w:t>
      </w:r>
      <w:r>
        <w:rPr>
          <w:rFonts w:ascii="宋体" w:hAnsi="宋体" w:eastAsia="宋体" w:cs="宋体"/>
          <w:spacing w:val="2"/>
          <w:sz w:val="21"/>
          <w:szCs w:val="21"/>
        </w:rPr>
        <w:t>应在收到监理</w:t>
      </w:r>
    </w:p>
    <w:p w14:paraId="54B8441B">
      <w:pPr>
        <w:spacing w:line="219" w:lineRule="auto"/>
        <w:rPr>
          <w:rFonts w:ascii="宋体" w:hAnsi="宋体" w:eastAsia="宋体" w:cs="宋体"/>
          <w:sz w:val="21"/>
          <w:szCs w:val="21"/>
        </w:rPr>
        <w:sectPr>
          <w:footerReference r:id="rId92" w:type="default"/>
          <w:pgSz w:w="11905" w:h="16839"/>
          <w:pgMar w:top="1431" w:right="1614" w:bottom="1004" w:left="1785" w:header="0" w:footer="828" w:gutter="0"/>
          <w:pgNumType w:fmt="decimal"/>
          <w:cols w:space="720" w:num="1"/>
        </w:sectPr>
      </w:pPr>
    </w:p>
    <w:p w14:paraId="1622BC27">
      <w:pPr>
        <w:spacing w:before="149" w:line="398" w:lineRule="exact"/>
        <w:jc w:val="right"/>
        <w:rPr>
          <w:rFonts w:ascii="宋体" w:hAnsi="宋体" w:eastAsia="宋体" w:cs="宋体"/>
          <w:sz w:val="21"/>
          <w:szCs w:val="21"/>
        </w:rPr>
      </w:pPr>
      <w:r>
        <w:rPr>
          <w:rFonts w:ascii="宋体" w:hAnsi="宋体" w:eastAsia="宋体" w:cs="宋体"/>
          <w:spacing w:val="-1"/>
          <w:position w:val="14"/>
          <w:sz w:val="21"/>
          <w:szCs w:val="21"/>
        </w:rPr>
        <w:t>人报送的通知后的合理时间内作出决定。 合理时间是指发包人在收到监理人的报送通知后，</w:t>
      </w:r>
    </w:p>
    <w:p w14:paraId="5A07AB44">
      <w:pPr>
        <w:spacing w:line="220" w:lineRule="auto"/>
        <w:ind w:left="19"/>
        <w:rPr>
          <w:rFonts w:ascii="宋体" w:hAnsi="宋体" w:eastAsia="宋体" w:cs="宋体"/>
          <w:sz w:val="21"/>
          <w:szCs w:val="21"/>
        </w:rPr>
      </w:pPr>
      <w:r>
        <w:rPr>
          <w:rFonts w:ascii="宋体" w:hAnsi="宋体" w:eastAsia="宋体" w:cs="宋体"/>
          <w:spacing w:val="-1"/>
          <w:sz w:val="21"/>
          <w:szCs w:val="21"/>
        </w:rPr>
        <w:t>尽其努力且不懈怠地完成图纸修改补充所需的时间。</w:t>
      </w:r>
    </w:p>
    <w:p w14:paraId="17A88C82">
      <w:pPr>
        <w:spacing w:before="151" w:line="221" w:lineRule="auto"/>
        <w:ind w:left="457"/>
        <w:rPr>
          <w:rFonts w:ascii="宋体" w:hAnsi="宋体" w:eastAsia="宋体" w:cs="宋体"/>
          <w:sz w:val="21"/>
          <w:szCs w:val="21"/>
        </w:rPr>
      </w:pPr>
      <w:r>
        <w:rPr>
          <w:rFonts w:ascii="Times New Roman" w:hAnsi="Times New Roman" w:eastAsia="Times New Roman" w:cs="Times New Roman"/>
          <w:spacing w:val="-4"/>
          <w:sz w:val="21"/>
          <w:szCs w:val="21"/>
        </w:rPr>
        <w:t>1.6.3</w:t>
      </w:r>
      <w:r>
        <w:rPr>
          <w:rFonts w:ascii="Times New Roman" w:hAnsi="Times New Roman" w:eastAsia="Times New Roman" w:cs="Times New Roman"/>
          <w:spacing w:val="32"/>
          <w:w w:val="101"/>
          <w:sz w:val="21"/>
          <w:szCs w:val="21"/>
        </w:rPr>
        <w:t xml:space="preserve"> </w:t>
      </w:r>
      <w:r>
        <w:rPr>
          <w:rFonts w:ascii="宋体" w:hAnsi="宋体" w:eastAsia="宋体" w:cs="宋体"/>
          <w:spacing w:val="-4"/>
          <w:sz w:val="21"/>
          <w:szCs w:val="21"/>
        </w:rPr>
        <w:t>图纸的修改和补充</w:t>
      </w:r>
    </w:p>
    <w:p w14:paraId="04B4B9FE">
      <w:pPr>
        <w:spacing w:before="149" w:line="352" w:lineRule="auto"/>
        <w:ind w:left="17" w:right="177" w:firstLine="444"/>
        <w:rPr>
          <w:rFonts w:ascii="宋体" w:hAnsi="宋体" w:eastAsia="宋体" w:cs="宋体"/>
          <w:sz w:val="21"/>
          <w:szCs w:val="21"/>
        </w:rPr>
      </w:pPr>
      <w:r>
        <w:rPr>
          <w:rFonts w:ascii="宋体" w:hAnsi="宋体" w:eastAsia="宋体" w:cs="宋体"/>
          <w:spacing w:val="3"/>
          <w:sz w:val="21"/>
          <w:szCs w:val="21"/>
        </w:rPr>
        <w:t>图纸需要修改和补充的，应经图纸原设计人</w:t>
      </w:r>
      <w:r>
        <w:rPr>
          <w:rFonts w:ascii="宋体" w:hAnsi="宋体" w:eastAsia="宋体" w:cs="宋体"/>
          <w:spacing w:val="2"/>
          <w:sz w:val="21"/>
          <w:szCs w:val="21"/>
        </w:rPr>
        <w:t>及审批部门同意，并由监理人在工程或工</w:t>
      </w:r>
      <w:r>
        <w:rPr>
          <w:rFonts w:ascii="宋体" w:hAnsi="宋体" w:eastAsia="宋体" w:cs="宋体"/>
          <w:sz w:val="21"/>
          <w:szCs w:val="21"/>
        </w:rPr>
        <w:t xml:space="preserve"> </w:t>
      </w:r>
      <w:r>
        <w:rPr>
          <w:rFonts w:ascii="宋体" w:hAnsi="宋体" w:eastAsia="宋体" w:cs="宋体"/>
          <w:spacing w:val="3"/>
          <w:sz w:val="21"/>
          <w:szCs w:val="21"/>
        </w:rPr>
        <w:t>程相应部位施工前将修改后的图纸或补充图纸提交给承包人，承包人应按修改</w:t>
      </w:r>
      <w:r>
        <w:rPr>
          <w:rFonts w:ascii="宋体" w:hAnsi="宋体" w:eastAsia="宋体" w:cs="宋体"/>
          <w:spacing w:val="2"/>
          <w:sz w:val="21"/>
          <w:szCs w:val="21"/>
        </w:rPr>
        <w:t>或补充后的</w:t>
      </w:r>
    </w:p>
    <w:p w14:paraId="2626B527">
      <w:pPr>
        <w:spacing w:line="222" w:lineRule="auto"/>
        <w:ind w:left="39"/>
        <w:rPr>
          <w:rFonts w:ascii="宋体" w:hAnsi="宋体" w:eastAsia="宋体" w:cs="宋体"/>
          <w:sz w:val="21"/>
          <w:szCs w:val="21"/>
        </w:rPr>
      </w:pPr>
      <w:r>
        <w:rPr>
          <w:rFonts w:ascii="宋体" w:hAnsi="宋体" w:eastAsia="宋体" w:cs="宋体"/>
          <w:spacing w:val="-9"/>
          <w:sz w:val="21"/>
          <w:szCs w:val="21"/>
        </w:rPr>
        <w:t>图纸施工。</w:t>
      </w:r>
    </w:p>
    <w:p w14:paraId="4C2C1594">
      <w:pPr>
        <w:spacing w:before="145" w:line="221" w:lineRule="auto"/>
        <w:ind w:left="457"/>
        <w:rPr>
          <w:rFonts w:ascii="宋体" w:hAnsi="宋体" w:eastAsia="宋体" w:cs="宋体"/>
          <w:sz w:val="21"/>
          <w:szCs w:val="21"/>
        </w:rPr>
      </w:pPr>
      <w:r>
        <w:rPr>
          <w:rFonts w:ascii="Times New Roman" w:hAnsi="Times New Roman" w:eastAsia="Times New Roman" w:cs="Times New Roman"/>
          <w:spacing w:val="-2"/>
          <w:sz w:val="21"/>
          <w:szCs w:val="21"/>
        </w:rPr>
        <w:t xml:space="preserve">1.6.4 </w:t>
      </w:r>
      <w:r>
        <w:rPr>
          <w:rFonts w:ascii="宋体" w:hAnsi="宋体" w:eastAsia="宋体" w:cs="宋体"/>
          <w:spacing w:val="-2"/>
          <w:sz w:val="21"/>
          <w:szCs w:val="21"/>
        </w:rPr>
        <w:t>承包人文件</w:t>
      </w:r>
    </w:p>
    <w:p w14:paraId="23ADF2AA">
      <w:pPr>
        <w:spacing w:before="148" w:line="403" w:lineRule="exact"/>
        <w:ind w:left="441"/>
        <w:rPr>
          <w:rFonts w:ascii="宋体" w:hAnsi="宋体" w:eastAsia="宋体" w:cs="宋体"/>
          <w:sz w:val="21"/>
          <w:szCs w:val="21"/>
        </w:rPr>
      </w:pPr>
      <w:r>
        <w:rPr>
          <w:rFonts w:ascii="宋体" w:hAnsi="宋体" w:eastAsia="宋体" w:cs="宋体"/>
          <w:position w:val="14"/>
          <w:sz w:val="21"/>
          <w:szCs w:val="21"/>
        </w:rPr>
        <w:t>承包人应按照专用合同条款的约定提供应当由其编制的与工程施工有关的文件， 并按</w:t>
      </w:r>
    </w:p>
    <w:p w14:paraId="008B6AE1">
      <w:pPr>
        <w:spacing w:before="1" w:line="220" w:lineRule="auto"/>
        <w:ind w:left="24"/>
        <w:rPr>
          <w:rFonts w:ascii="宋体" w:hAnsi="宋体" w:eastAsia="宋体" w:cs="宋体"/>
          <w:sz w:val="21"/>
          <w:szCs w:val="21"/>
        </w:rPr>
      </w:pPr>
      <w:r>
        <w:rPr>
          <w:rFonts w:ascii="宋体" w:hAnsi="宋体" w:eastAsia="宋体" w:cs="宋体"/>
          <w:spacing w:val="-1"/>
          <w:sz w:val="21"/>
          <w:szCs w:val="21"/>
        </w:rPr>
        <w:t>照专用合同条款约定的期限、数量和形式提交监理人，并由监理人报送发包人。</w:t>
      </w:r>
    </w:p>
    <w:p w14:paraId="746EE385">
      <w:pPr>
        <w:spacing w:before="148" w:line="352" w:lineRule="auto"/>
        <w:ind w:left="17" w:right="177" w:firstLine="436"/>
        <w:rPr>
          <w:rFonts w:ascii="宋体" w:hAnsi="宋体" w:eastAsia="宋体" w:cs="宋体"/>
          <w:sz w:val="21"/>
          <w:szCs w:val="21"/>
        </w:rPr>
      </w:pPr>
      <w:r>
        <w:rPr>
          <w:rFonts w:ascii="宋体" w:hAnsi="宋体" w:eastAsia="宋体" w:cs="宋体"/>
          <w:sz w:val="21"/>
          <w:szCs w:val="21"/>
        </w:rPr>
        <w:t xml:space="preserve">除专用合同条款另有约定外，监理人应在收到承包人文件后 </w:t>
      </w:r>
      <w:r>
        <w:rPr>
          <w:rFonts w:ascii="Times New Roman" w:hAnsi="Times New Roman" w:eastAsia="Times New Roman" w:cs="Times New Roman"/>
          <w:sz w:val="21"/>
          <w:szCs w:val="21"/>
        </w:rPr>
        <w:t xml:space="preserve">7  </w:t>
      </w:r>
      <w:r>
        <w:rPr>
          <w:rFonts w:ascii="宋体" w:hAnsi="宋体" w:eastAsia="宋体" w:cs="宋体"/>
          <w:sz w:val="21"/>
          <w:szCs w:val="21"/>
        </w:rPr>
        <w:t>天内审查完毕</w:t>
      </w:r>
      <w:r>
        <w:rPr>
          <w:rFonts w:ascii="宋体" w:hAnsi="宋体" w:eastAsia="宋体" w:cs="宋体"/>
          <w:spacing w:val="-1"/>
          <w:sz w:val="21"/>
          <w:szCs w:val="21"/>
        </w:rPr>
        <w:t>，监理人</w:t>
      </w:r>
      <w:r>
        <w:rPr>
          <w:rFonts w:ascii="宋体" w:hAnsi="宋体" w:eastAsia="宋体" w:cs="宋体"/>
          <w:sz w:val="21"/>
          <w:szCs w:val="21"/>
        </w:rPr>
        <w:t xml:space="preserve"> 对承包人文件有异议的，承包人应予以修改， 并重新报送监理人。监理人的审查并不减轻</w:t>
      </w:r>
    </w:p>
    <w:p w14:paraId="7E0C5B58">
      <w:pPr>
        <w:spacing w:before="1" w:line="220" w:lineRule="auto"/>
        <w:ind w:left="20"/>
        <w:rPr>
          <w:rFonts w:ascii="宋体" w:hAnsi="宋体" w:eastAsia="宋体" w:cs="宋体"/>
          <w:sz w:val="21"/>
          <w:szCs w:val="21"/>
        </w:rPr>
      </w:pPr>
      <w:r>
        <w:rPr>
          <w:rFonts w:ascii="宋体" w:hAnsi="宋体" w:eastAsia="宋体" w:cs="宋体"/>
          <w:spacing w:val="-2"/>
          <w:sz w:val="21"/>
          <w:szCs w:val="21"/>
        </w:rPr>
        <w:t>或免除承包人根据合同约定应当承担的责任。</w:t>
      </w:r>
    </w:p>
    <w:p w14:paraId="60009F76">
      <w:pPr>
        <w:spacing w:before="147" w:line="221" w:lineRule="auto"/>
        <w:ind w:left="457"/>
        <w:rPr>
          <w:rFonts w:ascii="宋体" w:hAnsi="宋体" w:eastAsia="宋体" w:cs="宋体"/>
          <w:sz w:val="21"/>
          <w:szCs w:val="21"/>
        </w:rPr>
      </w:pPr>
      <w:r>
        <w:rPr>
          <w:rFonts w:ascii="Times New Roman" w:hAnsi="Times New Roman" w:eastAsia="Times New Roman" w:cs="Times New Roman"/>
          <w:spacing w:val="-3"/>
          <w:sz w:val="21"/>
          <w:szCs w:val="21"/>
        </w:rPr>
        <w:t>1.6.5</w:t>
      </w:r>
      <w:r>
        <w:rPr>
          <w:rFonts w:ascii="Times New Roman" w:hAnsi="Times New Roman" w:eastAsia="Times New Roman" w:cs="Times New Roman"/>
          <w:spacing w:val="29"/>
          <w:sz w:val="21"/>
          <w:szCs w:val="21"/>
        </w:rPr>
        <w:t xml:space="preserve"> </w:t>
      </w:r>
      <w:r>
        <w:rPr>
          <w:rFonts w:ascii="宋体" w:hAnsi="宋体" w:eastAsia="宋体" w:cs="宋体"/>
          <w:spacing w:val="-3"/>
          <w:sz w:val="21"/>
          <w:szCs w:val="21"/>
        </w:rPr>
        <w:t>图纸和承包人文件的保管</w:t>
      </w:r>
    </w:p>
    <w:p w14:paraId="1A7A76B8">
      <w:pPr>
        <w:spacing w:before="147" w:line="221" w:lineRule="auto"/>
        <w:ind w:left="453"/>
        <w:rPr>
          <w:rFonts w:ascii="宋体" w:hAnsi="宋体" w:eastAsia="宋体" w:cs="宋体"/>
          <w:sz w:val="21"/>
          <w:szCs w:val="21"/>
        </w:rPr>
      </w:pPr>
      <w:r>
        <w:rPr>
          <w:rFonts w:ascii="宋体" w:hAnsi="宋体" w:eastAsia="宋体" w:cs="宋体"/>
          <w:spacing w:val="3"/>
          <w:sz w:val="21"/>
          <w:szCs w:val="21"/>
        </w:rPr>
        <w:t>除专用合同条款另有约定外，承包人应在施工现场另外保存一</w:t>
      </w:r>
      <w:r>
        <w:rPr>
          <w:rFonts w:ascii="宋体" w:hAnsi="宋体" w:eastAsia="宋体" w:cs="宋体"/>
          <w:spacing w:val="2"/>
          <w:sz w:val="21"/>
          <w:szCs w:val="21"/>
        </w:rPr>
        <w:t>套完整的图纸和承包人</w:t>
      </w:r>
    </w:p>
    <w:p w14:paraId="0EAFB84A">
      <w:pPr>
        <w:spacing w:before="152" w:line="220" w:lineRule="auto"/>
        <w:ind w:left="20"/>
        <w:rPr>
          <w:rFonts w:ascii="宋体" w:hAnsi="宋体" w:eastAsia="宋体" w:cs="宋体"/>
          <w:sz w:val="21"/>
          <w:szCs w:val="21"/>
        </w:rPr>
      </w:pPr>
      <w:r>
        <w:rPr>
          <w:rFonts w:ascii="宋体" w:hAnsi="宋体" w:eastAsia="宋体" w:cs="宋体"/>
          <w:spacing w:val="-1"/>
          <w:sz w:val="21"/>
          <w:szCs w:val="21"/>
        </w:rPr>
        <w:t>文件，供发包人、监理人及有关人员进行工程检查</w:t>
      </w:r>
      <w:r>
        <w:rPr>
          <w:rFonts w:ascii="宋体" w:hAnsi="宋体" w:eastAsia="宋体" w:cs="宋体"/>
          <w:spacing w:val="-2"/>
          <w:sz w:val="21"/>
          <w:szCs w:val="21"/>
        </w:rPr>
        <w:t>时使用。</w:t>
      </w:r>
    </w:p>
    <w:p w14:paraId="0B452A4D">
      <w:pPr>
        <w:spacing w:before="47" w:line="218" w:lineRule="auto"/>
        <w:ind w:left="31"/>
        <w:rPr>
          <w:rFonts w:ascii="黑体" w:hAnsi="黑体" w:eastAsia="黑体" w:cs="黑体"/>
          <w:sz w:val="24"/>
          <w:szCs w:val="24"/>
        </w:rPr>
      </w:pPr>
      <w:r>
        <w:rPr>
          <w:rFonts w:ascii="黑体" w:hAnsi="黑体" w:eastAsia="黑体" w:cs="黑体"/>
          <w:spacing w:val="-6"/>
          <w:sz w:val="24"/>
          <w:szCs w:val="24"/>
        </w:rPr>
        <w:t>1.7</w:t>
      </w:r>
      <w:r>
        <w:rPr>
          <w:rFonts w:ascii="黑体" w:hAnsi="黑体" w:eastAsia="黑体" w:cs="黑体"/>
          <w:spacing w:val="-50"/>
          <w:sz w:val="24"/>
          <w:szCs w:val="24"/>
        </w:rPr>
        <w:t xml:space="preserve"> </w:t>
      </w:r>
      <w:r>
        <w:rPr>
          <w:rFonts w:ascii="黑体" w:hAnsi="黑体" w:eastAsia="黑体" w:cs="黑体"/>
          <w:spacing w:val="-6"/>
          <w:sz w:val="24"/>
          <w:szCs w:val="24"/>
        </w:rPr>
        <w:t>联络</w:t>
      </w:r>
    </w:p>
    <w:p w14:paraId="4ECE1EB2">
      <w:pPr>
        <w:spacing w:before="131" w:line="398" w:lineRule="exact"/>
        <w:jc w:val="right"/>
        <w:rPr>
          <w:rFonts w:ascii="宋体" w:hAnsi="宋体" w:eastAsia="宋体" w:cs="宋体"/>
          <w:sz w:val="21"/>
          <w:szCs w:val="21"/>
        </w:rPr>
      </w:pPr>
      <w:r>
        <w:rPr>
          <w:rFonts w:ascii="Times New Roman" w:hAnsi="Times New Roman" w:eastAsia="Times New Roman" w:cs="Times New Roman"/>
          <w:spacing w:val="-1"/>
          <w:position w:val="14"/>
          <w:sz w:val="21"/>
          <w:szCs w:val="21"/>
        </w:rPr>
        <w:t>1.7.1</w:t>
      </w:r>
      <w:r>
        <w:rPr>
          <w:rFonts w:ascii="Times New Roman" w:hAnsi="Times New Roman" w:eastAsia="Times New Roman" w:cs="Times New Roman"/>
          <w:spacing w:val="53"/>
          <w:w w:val="101"/>
          <w:position w:val="14"/>
          <w:sz w:val="21"/>
          <w:szCs w:val="21"/>
        </w:rPr>
        <w:t xml:space="preserve"> </w:t>
      </w:r>
      <w:r>
        <w:rPr>
          <w:rFonts w:ascii="宋体" w:hAnsi="宋体" w:eastAsia="宋体" w:cs="宋体"/>
          <w:spacing w:val="-1"/>
          <w:position w:val="14"/>
          <w:sz w:val="21"/>
          <w:szCs w:val="21"/>
        </w:rPr>
        <w:t>与合同有关的通知、批准、证明、证书、指示、指令、要求、请求、同意、意见、</w:t>
      </w:r>
    </w:p>
    <w:p w14:paraId="2B7007AE">
      <w:pPr>
        <w:spacing w:before="1" w:line="219" w:lineRule="auto"/>
        <w:ind w:left="18"/>
        <w:rPr>
          <w:rFonts w:ascii="宋体" w:hAnsi="宋体" w:eastAsia="宋体" w:cs="宋体"/>
          <w:sz w:val="21"/>
          <w:szCs w:val="21"/>
        </w:rPr>
      </w:pPr>
      <w:r>
        <w:rPr>
          <w:rFonts w:ascii="宋体" w:hAnsi="宋体" w:eastAsia="宋体" w:cs="宋体"/>
          <w:spacing w:val="-1"/>
          <w:sz w:val="21"/>
          <w:szCs w:val="21"/>
        </w:rPr>
        <w:t>确定和决定等，均应采用书面形式，并应在合同约定的期限内送达接收人和送达地点。</w:t>
      </w:r>
    </w:p>
    <w:p w14:paraId="364BB8A4">
      <w:pPr>
        <w:spacing w:before="153" w:line="399" w:lineRule="exact"/>
        <w:ind w:left="457"/>
        <w:rPr>
          <w:rFonts w:ascii="宋体" w:hAnsi="宋体" w:eastAsia="宋体" w:cs="宋体"/>
          <w:sz w:val="21"/>
          <w:szCs w:val="21"/>
        </w:rPr>
      </w:pPr>
      <w:r>
        <w:rPr>
          <w:rFonts w:ascii="Times New Roman" w:hAnsi="Times New Roman" w:eastAsia="Times New Roman" w:cs="Times New Roman"/>
          <w:position w:val="14"/>
          <w:sz w:val="21"/>
          <w:szCs w:val="21"/>
        </w:rPr>
        <w:t>1.7.2</w:t>
      </w:r>
      <w:r>
        <w:rPr>
          <w:rFonts w:ascii="Times New Roman" w:hAnsi="Times New Roman" w:eastAsia="Times New Roman" w:cs="Times New Roman"/>
          <w:spacing w:val="42"/>
          <w:w w:val="101"/>
          <w:position w:val="14"/>
          <w:sz w:val="21"/>
          <w:szCs w:val="21"/>
        </w:rPr>
        <w:t xml:space="preserve"> </w:t>
      </w:r>
      <w:r>
        <w:rPr>
          <w:rFonts w:ascii="宋体" w:hAnsi="宋体" w:eastAsia="宋体" w:cs="宋体"/>
          <w:position w:val="14"/>
          <w:sz w:val="21"/>
          <w:szCs w:val="21"/>
        </w:rPr>
        <w:t>发包人和承包人应在专用合同条款中约定各自的送达接收人和送达地点。任何一</w:t>
      </w:r>
    </w:p>
    <w:p w14:paraId="0A0EC3D5">
      <w:pPr>
        <w:spacing w:before="1" w:line="219" w:lineRule="auto"/>
        <w:ind w:left="19"/>
        <w:rPr>
          <w:rFonts w:ascii="宋体" w:hAnsi="宋体" w:eastAsia="宋体" w:cs="宋体"/>
          <w:sz w:val="21"/>
          <w:szCs w:val="21"/>
        </w:rPr>
      </w:pPr>
      <w:r>
        <w:rPr>
          <w:rFonts w:ascii="宋体" w:hAnsi="宋体" w:eastAsia="宋体" w:cs="宋体"/>
          <w:spacing w:val="-3"/>
          <w:sz w:val="21"/>
          <w:szCs w:val="21"/>
        </w:rPr>
        <w:t>方合同当事人指定的接收人或送达地点发生变动的，</w:t>
      </w:r>
      <w:r>
        <w:rPr>
          <w:rFonts w:ascii="宋体" w:hAnsi="宋体" w:eastAsia="宋体" w:cs="宋体"/>
          <w:spacing w:val="-27"/>
          <w:sz w:val="21"/>
          <w:szCs w:val="21"/>
        </w:rPr>
        <w:t xml:space="preserve"> </w:t>
      </w:r>
      <w:r>
        <w:rPr>
          <w:rFonts w:ascii="宋体" w:hAnsi="宋体" w:eastAsia="宋体" w:cs="宋体"/>
          <w:spacing w:val="-3"/>
          <w:sz w:val="21"/>
          <w:szCs w:val="21"/>
        </w:rPr>
        <w:t>应提前</w:t>
      </w:r>
      <w:r>
        <w:rPr>
          <w:rFonts w:ascii="宋体" w:hAnsi="宋体" w:eastAsia="宋体" w:cs="宋体"/>
          <w:spacing w:val="-41"/>
          <w:sz w:val="21"/>
          <w:szCs w:val="21"/>
        </w:rPr>
        <w:t xml:space="preserve"> </w:t>
      </w:r>
      <w:r>
        <w:rPr>
          <w:rFonts w:ascii="Times New Roman" w:hAnsi="Times New Roman" w:eastAsia="Times New Roman" w:cs="Times New Roman"/>
          <w:spacing w:val="-3"/>
          <w:sz w:val="21"/>
          <w:szCs w:val="21"/>
        </w:rPr>
        <w:t xml:space="preserve">3 </w:t>
      </w:r>
      <w:r>
        <w:rPr>
          <w:rFonts w:ascii="宋体" w:hAnsi="宋体" w:eastAsia="宋体" w:cs="宋体"/>
          <w:spacing w:val="-3"/>
          <w:sz w:val="21"/>
          <w:szCs w:val="21"/>
        </w:rPr>
        <w:t>天以</w:t>
      </w:r>
      <w:r>
        <w:rPr>
          <w:rFonts w:ascii="宋体" w:hAnsi="宋体" w:eastAsia="宋体" w:cs="宋体"/>
          <w:spacing w:val="-4"/>
          <w:sz w:val="21"/>
          <w:szCs w:val="21"/>
        </w:rPr>
        <w:t>书面形式通知对方。</w:t>
      </w:r>
    </w:p>
    <w:p w14:paraId="3D0067A0">
      <w:pPr>
        <w:spacing w:before="147" w:line="221" w:lineRule="auto"/>
        <w:ind w:left="457"/>
        <w:rPr>
          <w:rFonts w:ascii="宋体" w:hAnsi="宋体" w:eastAsia="宋体" w:cs="宋体"/>
          <w:sz w:val="21"/>
          <w:szCs w:val="21"/>
        </w:rPr>
      </w:pPr>
      <w:r>
        <w:rPr>
          <w:rFonts w:ascii="Times New Roman" w:hAnsi="Times New Roman" w:eastAsia="Times New Roman" w:cs="Times New Roman"/>
          <w:spacing w:val="-1"/>
          <w:sz w:val="21"/>
          <w:szCs w:val="21"/>
        </w:rPr>
        <w:t>1.7.3</w:t>
      </w:r>
      <w:r>
        <w:rPr>
          <w:rFonts w:ascii="Times New Roman" w:hAnsi="Times New Roman" w:eastAsia="Times New Roman" w:cs="Times New Roman"/>
          <w:spacing w:val="52"/>
          <w:sz w:val="21"/>
          <w:szCs w:val="21"/>
        </w:rPr>
        <w:t xml:space="preserve"> </w:t>
      </w:r>
      <w:r>
        <w:rPr>
          <w:rFonts w:ascii="宋体" w:hAnsi="宋体" w:eastAsia="宋体" w:cs="宋体"/>
          <w:spacing w:val="-1"/>
          <w:sz w:val="21"/>
          <w:szCs w:val="21"/>
        </w:rPr>
        <w:t>发包人和承包人应当及时签收另一方送达至送达地点和指定接收人的来往信函。</w:t>
      </w:r>
    </w:p>
    <w:p w14:paraId="442B3BAE">
      <w:pPr>
        <w:spacing w:before="153" w:line="221" w:lineRule="auto"/>
        <w:ind w:left="17"/>
        <w:rPr>
          <w:rFonts w:ascii="宋体" w:hAnsi="宋体" w:eastAsia="宋体" w:cs="宋体"/>
          <w:sz w:val="21"/>
          <w:szCs w:val="21"/>
        </w:rPr>
      </w:pPr>
      <w:r>
        <w:rPr>
          <w:rFonts w:ascii="宋体" w:hAnsi="宋体" w:eastAsia="宋体" w:cs="宋体"/>
          <w:spacing w:val="-4"/>
          <w:sz w:val="21"/>
          <w:szCs w:val="21"/>
        </w:rPr>
        <w:t>拒不签收的，由此增加的费用和（或） 延误的工期由拒绝接收一方承担。</w:t>
      </w:r>
    </w:p>
    <w:p w14:paraId="3450BD1B">
      <w:pPr>
        <w:spacing w:before="45" w:line="219" w:lineRule="auto"/>
        <w:ind w:left="31"/>
        <w:rPr>
          <w:rFonts w:ascii="黑体" w:hAnsi="黑体" w:eastAsia="黑体" w:cs="黑体"/>
          <w:sz w:val="24"/>
          <w:szCs w:val="24"/>
        </w:rPr>
      </w:pPr>
      <w:r>
        <w:rPr>
          <w:rFonts w:ascii="黑体" w:hAnsi="黑体" w:eastAsia="黑体" w:cs="黑体"/>
          <w:spacing w:val="-5"/>
          <w:sz w:val="24"/>
          <w:szCs w:val="24"/>
        </w:rPr>
        <w:t>1.8</w:t>
      </w:r>
      <w:r>
        <w:rPr>
          <w:rFonts w:ascii="黑体" w:hAnsi="黑体" w:eastAsia="黑体" w:cs="黑体"/>
          <w:spacing w:val="-48"/>
          <w:sz w:val="24"/>
          <w:szCs w:val="24"/>
        </w:rPr>
        <w:t xml:space="preserve"> </w:t>
      </w:r>
      <w:r>
        <w:rPr>
          <w:rFonts w:ascii="黑体" w:hAnsi="黑体" w:eastAsia="黑体" w:cs="黑体"/>
          <w:spacing w:val="-5"/>
          <w:sz w:val="24"/>
          <w:szCs w:val="24"/>
        </w:rPr>
        <w:t>严禁贿赂</w:t>
      </w:r>
    </w:p>
    <w:p w14:paraId="4A04ACDF">
      <w:pPr>
        <w:spacing w:before="129" w:line="399" w:lineRule="exact"/>
        <w:ind w:left="442"/>
        <w:rPr>
          <w:rFonts w:ascii="宋体" w:hAnsi="宋体" w:eastAsia="宋体" w:cs="宋体"/>
          <w:sz w:val="21"/>
          <w:szCs w:val="21"/>
        </w:rPr>
      </w:pPr>
      <w:r>
        <w:rPr>
          <w:rFonts w:ascii="宋体" w:hAnsi="宋体" w:eastAsia="宋体" w:cs="宋体"/>
          <w:spacing w:val="3"/>
          <w:position w:val="14"/>
          <w:sz w:val="21"/>
          <w:szCs w:val="21"/>
        </w:rPr>
        <w:t>合同当事人不得以贿赂或变相贿赂的方式，谋取非法利益或损害对方权益。因一方合</w:t>
      </w:r>
    </w:p>
    <w:p w14:paraId="2D9CECAB">
      <w:pPr>
        <w:spacing w:line="220" w:lineRule="auto"/>
        <w:ind w:left="39"/>
        <w:rPr>
          <w:rFonts w:ascii="宋体" w:hAnsi="宋体" w:eastAsia="宋体" w:cs="宋体"/>
          <w:sz w:val="21"/>
          <w:szCs w:val="21"/>
        </w:rPr>
      </w:pPr>
      <w:r>
        <w:rPr>
          <w:rFonts w:ascii="宋体" w:hAnsi="宋体" w:eastAsia="宋体" w:cs="宋体"/>
          <w:spacing w:val="-5"/>
          <w:sz w:val="21"/>
          <w:szCs w:val="21"/>
        </w:rPr>
        <w:t>同当事人的贿赂造成对方损失的，应赔偿损失， 并承担相应的法律责任。</w:t>
      </w:r>
    </w:p>
    <w:p w14:paraId="001E33DD">
      <w:pPr>
        <w:spacing w:before="149" w:line="403" w:lineRule="exact"/>
        <w:ind w:left="441"/>
        <w:rPr>
          <w:rFonts w:ascii="宋体" w:hAnsi="宋体" w:eastAsia="宋体" w:cs="宋体"/>
          <w:sz w:val="21"/>
          <w:szCs w:val="21"/>
        </w:rPr>
      </w:pPr>
      <w:r>
        <w:rPr>
          <w:rFonts w:ascii="宋体" w:hAnsi="宋体" w:eastAsia="宋体" w:cs="宋体"/>
          <w:spacing w:val="3"/>
          <w:position w:val="14"/>
          <w:sz w:val="21"/>
          <w:szCs w:val="21"/>
        </w:rPr>
        <w:t>承包人不得与监理人或发包人聘请的第三方串通损害发包人利益。未经发包人书面同</w:t>
      </w:r>
    </w:p>
    <w:p w14:paraId="404E88A6">
      <w:pPr>
        <w:spacing w:before="1" w:line="219" w:lineRule="auto"/>
        <w:jc w:val="right"/>
        <w:rPr>
          <w:rFonts w:ascii="宋体" w:hAnsi="宋体" w:eastAsia="宋体" w:cs="宋体"/>
          <w:sz w:val="21"/>
          <w:szCs w:val="21"/>
        </w:rPr>
      </w:pPr>
      <w:r>
        <w:rPr>
          <w:rFonts w:ascii="宋体" w:hAnsi="宋体" w:eastAsia="宋体" w:cs="宋体"/>
          <w:spacing w:val="2"/>
          <w:sz w:val="21"/>
          <w:szCs w:val="21"/>
        </w:rPr>
        <w:t>意，承包人不得为监理人提供合同约定以外</w:t>
      </w:r>
      <w:r>
        <w:rPr>
          <w:rFonts w:ascii="宋体" w:hAnsi="宋体" w:eastAsia="宋体" w:cs="宋体"/>
          <w:spacing w:val="1"/>
          <w:sz w:val="21"/>
          <w:szCs w:val="21"/>
        </w:rPr>
        <w:t>的通讯设备、交通工具及其他任何形式的利益，</w:t>
      </w:r>
    </w:p>
    <w:p w14:paraId="360649EF">
      <w:pPr>
        <w:spacing w:before="148" w:line="221" w:lineRule="auto"/>
        <w:ind w:left="21"/>
        <w:rPr>
          <w:rFonts w:ascii="宋体" w:hAnsi="宋体" w:eastAsia="宋体" w:cs="宋体"/>
          <w:sz w:val="21"/>
          <w:szCs w:val="21"/>
        </w:rPr>
      </w:pPr>
      <w:r>
        <w:rPr>
          <w:rFonts w:ascii="宋体" w:hAnsi="宋体" w:eastAsia="宋体" w:cs="宋体"/>
          <w:spacing w:val="-3"/>
          <w:sz w:val="21"/>
          <w:szCs w:val="21"/>
        </w:rPr>
        <w:t>不得向监理人支付报酬。</w:t>
      </w:r>
    </w:p>
    <w:p w14:paraId="19A32A40">
      <w:pPr>
        <w:spacing w:before="45" w:line="219" w:lineRule="auto"/>
        <w:ind w:left="31"/>
        <w:rPr>
          <w:rFonts w:ascii="黑体" w:hAnsi="黑体" w:eastAsia="黑体" w:cs="黑体"/>
          <w:sz w:val="24"/>
          <w:szCs w:val="24"/>
        </w:rPr>
      </w:pPr>
      <w:r>
        <w:rPr>
          <w:rFonts w:ascii="黑体" w:hAnsi="黑体" w:eastAsia="黑体" w:cs="黑体"/>
          <w:spacing w:val="-4"/>
          <w:sz w:val="24"/>
          <w:szCs w:val="24"/>
        </w:rPr>
        <w:t>1.9</w:t>
      </w:r>
      <w:r>
        <w:rPr>
          <w:rFonts w:ascii="黑体" w:hAnsi="黑体" w:eastAsia="黑体" w:cs="黑体"/>
          <w:spacing w:val="-51"/>
          <w:sz w:val="24"/>
          <w:szCs w:val="24"/>
        </w:rPr>
        <w:t xml:space="preserve"> </w:t>
      </w:r>
      <w:r>
        <w:rPr>
          <w:rFonts w:ascii="黑体" w:hAnsi="黑体" w:eastAsia="黑体" w:cs="黑体"/>
          <w:spacing w:val="-4"/>
          <w:sz w:val="24"/>
          <w:szCs w:val="24"/>
        </w:rPr>
        <w:t>化石、文物</w:t>
      </w:r>
    </w:p>
    <w:p w14:paraId="687E3CBA">
      <w:pPr>
        <w:spacing w:before="128" w:line="353" w:lineRule="auto"/>
        <w:ind w:left="17" w:right="182" w:firstLine="422"/>
        <w:rPr>
          <w:rFonts w:ascii="宋体" w:hAnsi="宋体" w:eastAsia="宋体" w:cs="宋体"/>
          <w:sz w:val="21"/>
          <w:szCs w:val="21"/>
        </w:rPr>
      </w:pPr>
      <w:r>
        <w:rPr>
          <w:rFonts w:ascii="宋体" w:hAnsi="宋体" w:eastAsia="宋体" w:cs="宋体"/>
          <w:spacing w:val="2"/>
          <w:sz w:val="21"/>
          <w:szCs w:val="21"/>
        </w:rPr>
        <w:t>在施工现场发掘的所有文物、古迹以及具有地质研究或考古价值的其他遗迹、化石、</w:t>
      </w:r>
      <w:r>
        <w:rPr>
          <w:rFonts w:ascii="宋体" w:hAnsi="宋体" w:eastAsia="宋体" w:cs="宋体"/>
          <w:spacing w:val="9"/>
          <w:sz w:val="21"/>
          <w:szCs w:val="21"/>
        </w:rPr>
        <w:t xml:space="preserve"> </w:t>
      </w:r>
      <w:r>
        <w:rPr>
          <w:rFonts w:ascii="宋体" w:hAnsi="宋体" w:eastAsia="宋体" w:cs="宋体"/>
          <w:spacing w:val="1"/>
          <w:sz w:val="21"/>
          <w:szCs w:val="21"/>
        </w:rPr>
        <w:t>钱币或物品属于国家所有。</w:t>
      </w:r>
      <w:r>
        <w:rPr>
          <w:rFonts w:ascii="宋体" w:hAnsi="宋体" w:eastAsia="宋体" w:cs="宋体"/>
          <w:spacing w:val="-22"/>
          <w:sz w:val="21"/>
          <w:szCs w:val="21"/>
        </w:rPr>
        <w:t xml:space="preserve"> </w:t>
      </w:r>
      <w:r>
        <w:rPr>
          <w:rFonts w:ascii="宋体" w:hAnsi="宋体" w:eastAsia="宋体" w:cs="宋体"/>
          <w:spacing w:val="1"/>
          <w:sz w:val="21"/>
          <w:szCs w:val="21"/>
        </w:rPr>
        <w:t>一旦发现上述文物，承包人应采取合理</w:t>
      </w:r>
      <w:r>
        <w:rPr>
          <w:rFonts w:ascii="宋体" w:hAnsi="宋体" w:eastAsia="宋体" w:cs="宋体"/>
          <w:sz w:val="21"/>
          <w:szCs w:val="21"/>
        </w:rPr>
        <w:t>有效的保护措施，防止</w:t>
      </w:r>
    </w:p>
    <w:p w14:paraId="0518978A">
      <w:pPr>
        <w:spacing w:line="219" w:lineRule="auto"/>
        <w:ind w:left="17"/>
        <w:rPr>
          <w:rFonts w:ascii="宋体" w:hAnsi="宋体" w:eastAsia="宋体" w:cs="宋体"/>
          <w:sz w:val="21"/>
          <w:szCs w:val="21"/>
        </w:rPr>
      </w:pPr>
      <w:r>
        <w:rPr>
          <w:rFonts w:ascii="宋体" w:hAnsi="宋体" w:eastAsia="宋体" w:cs="宋体"/>
          <w:spacing w:val="-1"/>
          <w:sz w:val="21"/>
          <w:szCs w:val="21"/>
        </w:rPr>
        <w:t>任何人员移动或损坏上述物品，并立即报告有关政府行政管理部门，同时通知监理人。</w:t>
      </w:r>
    </w:p>
    <w:p w14:paraId="00552271">
      <w:pPr>
        <w:spacing w:before="150" w:line="403" w:lineRule="exact"/>
        <w:ind w:left="444"/>
        <w:rPr>
          <w:rFonts w:ascii="宋体" w:hAnsi="宋体" w:eastAsia="宋体" w:cs="宋体"/>
          <w:sz w:val="21"/>
          <w:szCs w:val="21"/>
        </w:rPr>
      </w:pPr>
      <w:r>
        <w:rPr>
          <w:rFonts w:ascii="宋体" w:hAnsi="宋体" w:eastAsia="宋体" w:cs="宋体"/>
          <w:position w:val="14"/>
          <w:sz w:val="21"/>
          <w:szCs w:val="21"/>
        </w:rPr>
        <w:t>发包人、监理人和承包人应按有关政府行政管理部门要求采取妥善的保护措施， 由此</w:t>
      </w:r>
    </w:p>
    <w:p w14:paraId="626BD75E">
      <w:pPr>
        <w:spacing w:line="220" w:lineRule="auto"/>
        <w:ind w:left="19"/>
        <w:rPr>
          <w:rFonts w:ascii="宋体" w:hAnsi="宋体" w:eastAsia="宋体" w:cs="宋体"/>
          <w:sz w:val="21"/>
          <w:szCs w:val="21"/>
        </w:rPr>
      </w:pPr>
      <w:r>
        <w:rPr>
          <w:rFonts w:ascii="宋体" w:hAnsi="宋体" w:eastAsia="宋体" w:cs="宋体"/>
          <w:spacing w:val="-6"/>
          <w:sz w:val="21"/>
          <w:szCs w:val="21"/>
        </w:rPr>
        <w:t>增加的费用和（或） 延误的工期由发包人承担。</w:t>
      </w:r>
    </w:p>
    <w:p w14:paraId="43E30FD9">
      <w:pPr>
        <w:spacing w:before="149" w:line="219" w:lineRule="auto"/>
        <w:ind w:left="441"/>
        <w:rPr>
          <w:rFonts w:ascii="宋体" w:hAnsi="宋体" w:eastAsia="宋体" w:cs="宋体"/>
          <w:sz w:val="21"/>
          <w:szCs w:val="21"/>
        </w:rPr>
      </w:pPr>
      <w:r>
        <w:rPr>
          <w:rFonts w:ascii="宋体" w:hAnsi="宋体" w:eastAsia="宋体" w:cs="宋体"/>
          <w:spacing w:val="1"/>
          <w:sz w:val="21"/>
          <w:szCs w:val="21"/>
        </w:rPr>
        <w:t>承包人发现文物后不及时报告或隐瞒不报，致使</w:t>
      </w:r>
      <w:r>
        <w:rPr>
          <w:rFonts w:ascii="宋体" w:hAnsi="宋体" w:eastAsia="宋体" w:cs="宋体"/>
          <w:sz w:val="21"/>
          <w:szCs w:val="21"/>
        </w:rPr>
        <w:t>文物丢失或损坏的， 应赔偿损失，并</w:t>
      </w:r>
    </w:p>
    <w:p w14:paraId="43C7A1BE">
      <w:pPr>
        <w:spacing w:line="219" w:lineRule="auto"/>
        <w:rPr>
          <w:rFonts w:ascii="宋体" w:hAnsi="宋体" w:eastAsia="宋体" w:cs="宋体"/>
          <w:sz w:val="21"/>
          <w:szCs w:val="21"/>
        </w:rPr>
        <w:sectPr>
          <w:footerReference r:id="rId93" w:type="default"/>
          <w:pgSz w:w="11905" w:h="16839"/>
          <w:pgMar w:top="1431" w:right="1614" w:bottom="1004" w:left="1785" w:header="0" w:footer="828" w:gutter="0"/>
          <w:pgNumType w:fmt="decimal"/>
          <w:cols w:space="720" w:num="1"/>
        </w:sectPr>
      </w:pPr>
    </w:p>
    <w:p w14:paraId="5361CD63">
      <w:pPr>
        <w:spacing w:before="148" w:line="221" w:lineRule="auto"/>
        <w:ind w:left="18"/>
        <w:rPr>
          <w:rFonts w:ascii="宋体" w:hAnsi="宋体" w:eastAsia="宋体" w:cs="宋体"/>
          <w:sz w:val="21"/>
          <w:szCs w:val="21"/>
        </w:rPr>
      </w:pPr>
      <w:r>
        <w:rPr>
          <w:rFonts w:ascii="宋体" w:hAnsi="宋体" w:eastAsia="宋体" w:cs="宋体"/>
          <w:spacing w:val="-1"/>
          <w:sz w:val="21"/>
          <w:szCs w:val="21"/>
        </w:rPr>
        <w:t>承担相应的法律责任。</w:t>
      </w:r>
    </w:p>
    <w:p w14:paraId="2458EB8A">
      <w:pPr>
        <w:spacing w:before="45" w:line="219" w:lineRule="auto"/>
        <w:ind w:left="31"/>
        <w:rPr>
          <w:rFonts w:ascii="黑体" w:hAnsi="黑体" w:eastAsia="黑体" w:cs="黑体"/>
          <w:sz w:val="24"/>
          <w:szCs w:val="24"/>
        </w:rPr>
      </w:pPr>
      <w:r>
        <w:rPr>
          <w:rFonts w:ascii="黑体" w:hAnsi="黑体" w:eastAsia="黑体" w:cs="黑体"/>
          <w:spacing w:val="-5"/>
          <w:sz w:val="24"/>
          <w:szCs w:val="24"/>
        </w:rPr>
        <w:t>1.10</w:t>
      </w:r>
      <w:r>
        <w:rPr>
          <w:rFonts w:ascii="黑体" w:hAnsi="黑体" w:eastAsia="黑体" w:cs="黑体"/>
          <w:spacing w:val="-41"/>
          <w:sz w:val="24"/>
          <w:szCs w:val="24"/>
        </w:rPr>
        <w:t xml:space="preserve"> </w:t>
      </w:r>
      <w:r>
        <w:rPr>
          <w:rFonts w:ascii="黑体" w:hAnsi="黑体" w:eastAsia="黑体" w:cs="黑体"/>
          <w:spacing w:val="-5"/>
          <w:sz w:val="24"/>
          <w:szCs w:val="24"/>
        </w:rPr>
        <w:t>交通运输</w:t>
      </w:r>
    </w:p>
    <w:p w14:paraId="3F1CB2A7">
      <w:pPr>
        <w:spacing w:before="128" w:line="221" w:lineRule="auto"/>
        <w:ind w:left="457"/>
        <w:rPr>
          <w:rFonts w:ascii="宋体" w:hAnsi="宋体" w:eastAsia="宋体" w:cs="宋体"/>
          <w:sz w:val="21"/>
          <w:szCs w:val="21"/>
        </w:rPr>
      </w:pPr>
      <w:r>
        <w:rPr>
          <w:rFonts w:ascii="Times New Roman" w:hAnsi="Times New Roman" w:eastAsia="Times New Roman" w:cs="Times New Roman"/>
          <w:spacing w:val="-4"/>
          <w:sz w:val="21"/>
          <w:szCs w:val="21"/>
        </w:rPr>
        <w:t>1.10.1</w:t>
      </w:r>
      <w:r>
        <w:rPr>
          <w:rFonts w:ascii="Times New Roman" w:hAnsi="Times New Roman" w:eastAsia="Times New Roman" w:cs="Times New Roman"/>
          <w:spacing w:val="31"/>
          <w:w w:val="101"/>
          <w:sz w:val="21"/>
          <w:szCs w:val="21"/>
        </w:rPr>
        <w:t xml:space="preserve"> </w:t>
      </w:r>
      <w:r>
        <w:rPr>
          <w:rFonts w:ascii="宋体" w:hAnsi="宋体" w:eastAsia="宋体" w:cs="宋体"/>
          <w:spacing w:val="-4"/>
          <w:sz w:val="21"/>
          <w:szCs w:val="21"/>
        </w:rPr>
        <w:t>出入现场的权利</w:t>
      </w:r>
    </w:p>
    <w:p w14:paraId="43E6167A">
      <w:pPr>
        <w:spacing w:before="151" w:line="352" w:lineRule="auto"/>
        <w:ind w:left="17" w:right="163" w:firstLine="436"/>
        <w:rPr>
          <w:rFonts w:ascii="宋体" w:hAnsi="宋体" w:eastAsia="宋体" w:cs="宋体"/>
          <w:sz w:val="21"/>
          <w:szCs w:val="21"/>
        </w:rPr>
      </w:pPr>
      <w:r>
        <w:rPr>
          <w:rFonts w:ascii="宋体" w:hAnsi="宋体" w:eastAsia="宋体" w:cs="宋体"/>
          <w:sz w:val="21"/>
          <w:szCs w:val="21"/>
        </w:rPr>
        <w:t>除专用合同条款另有约定外，发包人应根据施工需要， 负责取得出入施工现</w:t>
      </w:r>
      <w:r>
        <w:rPr>
          <w:rFonts w:ascii="宋体" w:hAnsi="宋体" w:eastAsia="宋体" w:cs="宋体"/>
          <w:spacing w:val="-1"/>
          <w:sz w:val="21"/>
          <w:szCs w:val="21"/>
        </w:rPr>
        <w:t>场所需的</w:t>
      </w:r>
      <w:r>
        <w:rPr>
          <w:rFonts w:ascii="宋体" w:hAnsi="宋体" w:eastAsia="宋体" w:cs="宋体"/>
          <w:sz w:val="21"/>
          <w:szCs w:val="21"/>
        </w:rPr>
        <w:t xml:space="preserve"> </w:t>
      </w:r>
      <w:r>
        <w:rPr>
          <w:rFonts w:ascii="宋体" w:hAnsi="宋体" w:eastAsia="宋体" w:cs="宋体"/>
          <w:spacing w:val="-2"/>
          <w:sz w:val="21"/>
          <w:szCs w:val="21"/>
        </w:rPr>
        <w:t>批准手续和全部权利， 以及取得因施工所需修建道路、桥</w:t>
      </w:r>
      <w:r>
        <w:rPr>
          <w:rFonts w:ascii="宋体" w:hAnsi="宋体" w:eastAsia="宋体" w:cs="宋体"/>
          <w:spacing w:val="-3"/>
          <w:sz w:val="21"/>
          <w:szCs w:val="21"/>
        </w:rPr>
        <w:t>梁以及其他基础设施的权利， 并</w:t>
      </w:r>
      <w:r>
        <w:rPr>
          <w:rFonts w:ascii="宋体" w:hAnsi="宋体" w:eastAsia="宋体" w:cs="宋体"/>
          <w:sz w:val="21"/>
          <w:szCs w:val="21"/>
        </w:rPr>
        <w:t xml:space="preserve"> </w:t>
      </w:r>
      <w:r>
        <w:rPr>
          <w:rFonts w:ascii="宋体" w:hAnsi="宋体" w:eastAsia="宋体" w:cs="宋体"/>
          <w:spacing w:val="3"/>
          <w:sz w:val="21"/>
          <w:szCs w:val="21"/>
        </w:rPr>
        <w:t>承担相关手续费用和建设费用。承包人应协助发包人办理修建场内外道路、桥</w:t>
      </w:r>
      <w:r>
        <w:rPr>
          <w:rFonts w:ascii="宋体" w:hAnsi="宋体" w:eastAsia="宋体" w:cs="宋体"/>
          <w:spacing w:val="2"/>
          <w:sz w:val="21"/>
          <w:szCs w:val="21"/>
        </w:rPr>
        <w:t>梁以及其他</w:t>
      </w:r>
    </w:p>
    <w:p w14:paraId="6BFA6068">
      <w:pPr>
        <w:spacing w:before="1" w:line="221" w:lineRule="auto"/>
        <w:ind w:left="18"/>
        <w:rPr>
          <w:rFonts w:ascii="宋体" w:hAnsi="宋体" w:eastAsia="宋体" w:cs="宋体"/>
          <w:sz w:val="21"/>
          <w:szCs w:val="21"/>
        </w:rPr>
      </w:pPr>
      <w:r>
        <w:rPr>
          <w:rFonts w:ascii="宋体" w:hAnsi="宋体" w:eastAsia="宋体" w:cs="宋体"/>
          <w:spacing w:val="-3"/>
          <w:sz w:val="21"/>
          <w:szCs w:val="21"/>
        </w:rPr>
        <w:t>基础设施的手续。</w:t>
      </w:r>
    </w:p>
    <w:p w14:paraId="3C6EABFE">
      <w:pPr>
        <w:spacing w:before="148" w:line="352" w:lineRule="auto"/>
        <w:ind w:left="18" w:right="163" w:firstLine="422"/>
        <w:rPr>
          <w:rFonts w:ascii="宋体" w:hAnsi="宋体" w:eastAsia="宋体" w:cs="宋体"/>
          <w:sz w:val="21"/>
          <w:szCs w:val="21"/>
        </w:rPr>
      </w:pPr>
      <w:r>
        <w:rPr>
          <w:rFonts w:ascii="宋体" w:hAnsi="宋体" w:eastAsia="宋体" w:cs="宋体"/>
          <w:spacing w:val="3"/>
          <w:sz w:val="21"/>
          <w:szCs w:val="21"/>
        </w:rPr>
        <w:t>承包人应在订立合同前查勘施工现场，并根据工程规模及技术参数合理预见工程施工 所需的进出施工现场的方式、手段、路径等</w:t>
      </w:r>
      <w:r>
        <w:rPr>
          <w:rFonts w:ascii="宋体" w:hAnsi="宋体" w:eastAsia="宋体" w:cs="宋体"/>
          <w:spacing w:val="2"/>
          <w:sz w:val="21"/>
          <w:szCs w:val="21"/>
        </w:rPr>
        <w:t>。因承包人未合理预见所增加的费用和（或）</w:t>
      </w:r>
    </w:p>
    <w:p w14:paraId="696CE169">
      <w:pPr>
        <w:spacing w:line="220" w:lineRule="auto"/>
        <w:ind w:left="19"/>
        <w:rPr>
          <w:rFonts w:ascii="宋体" w:hAnsi="宋体" w:eastAsia="宋体" w:cs="宋体"/>
          <w:sz w:val="21"/>
          <w:szCs w:val="21"/>
        </w:rPr>
      </w:pPr>
      <w:r>
        <w:rPr>
          <w:rFonts w:ascii="宋体" w:hAnsi="宋体" w:eastAsia="宋体" w:cs="宋体"/>
          <w:spacing w:val="-3"/>
          <w:sz w:val="21"/>
          <w:szCs w:val="21"/>
        </w:rPr>
        <w:t>延误的工期由承包人承担。</w:t>
      </w:r>
    </w:p>
    <w:p w14:paraId="77E3F9D0">
      <w:pPr>
        <w:spacing w:before="148" w:line="221" w:lineRule="auto"/>
        <w:ind w:left="457"/>
        <w:rPr>
          <w:rFonts w:ascii="宋体" w:hAnsi="宋体" w:eastAsia="宋体" w:cs="宋体"/>
          <w:sz w:val="21"/>
          <w:szCs w:val="21"/>
        </w:rPr>
      </w:pPr>
      <w:r>
        <w:rPr>
          <w:rFonts w:ascii="Times New Roman" w:hAnsi="Times New Roman" w:eastAsia="Times New Roman" w:cs="Times New Roman"/>
          <w:spacing w:val="-2"/>
          <w:sz w:val="21"/>
          <w:szCs w:val="21"/>
        </w:rPr>
        <w:t xml:space="preserve">1.10.2 </w:t>
      </w:r>
      <w:r>
        <w:rPr>
          <w:rFonts w:ascii="宋体" w:hAnsi="宋体" w:eastAsia="宋体" w:cs="宋体"/>
          <w:spacing w:val="-2"/>
          <w:sz w:val="21"/>
          <w:szCs w:val="21"/>
        </w:rPr>
        <w:t>场外交通</w:t>
      </w:r>
    </w:p>
    <w:p w14:paraId="0B838B15">
      <w:pPr>
        <w:spacing w:before="146" w:line="352" w:lineRule="auto"/>
        <w:ind w:left="18" w:right="163" w:firstLine="426"/>
        <w:rPr>
          <w:rFonts w:ascii="宋体" w:hAnsi="宋体" w:eastAsia="宋体" w:cs="宋体"/>
          <w:sz w:val="21"/>
          <w:szCs w:val="21"/>
        </w:rPr>
      </w:pPr>
      <w:r>
        <w:rPr>
          <w:rFonts w:ascii="宋体" w:hAnsi="宋体" w:eastAsia="宋体" w:cs="宋体"/>
          <w:spacing w:val="3"/>
          <w:sz w:val="21"/>
          <w:szCs w:val="21"/>
        </w:rPr>
        <w:t>发包人应提供场外交通设施的技术参数和具体条件，承包人应遵守有关交通法规，严</w:t>
      </w:r>
      <w:r>
        <w:rPr>
          <w:rFonts w:ascii="宋体" w:hAnsi="宋体" w:eastAsia="宋体" w:cs="宋体"/>
          <w:sz w:val="21"/>
          <w:szCs w:val="21"/>
        </w:rPr>
        <w:t xml:space="preserve"> 格按照道路和桥梁的限制荷载行驶，执行有关道路限速、限行、禁止超载的规定， 并配合</w:t>
      </w:r>
      <w:r>
        <w:rPr>
          <w:rFonts w:ascii="宋体" w:hAnsi="宋体" w:eastAsia="宋体" w:cs="宋体"/>
          <w:spacing w:val="6"/>
          <w:sz w:val="21"/>
          <w:szCs w:val="21"/>
        </w:rPr>
        <w:t xml:space="preserve"> </w:t>
      </w:r>
      <w:r>
        <w:rPr>
          <w:rFonts w:ascii="宋体" w:hAnsi="宋体" w:eastAsia="宋体" w:cs="宋体"/>
          <w:sz w:val="21"/>
          <w:szCs w:val="21"/>
        </w:rPr>
        <w:t>交通管理部门的监督和检查。场外交通设施无法满足工程施工需要的， 由发包人负责完善</w:t>
      </w:r>
    </w:p>
    <w:p w14:paraId="6D873F92">
      <w:pPr>
        <w:spacing w:before="1" w:line="220" w:lineRule="auto"/>
        <w:ind w:left="23"/>
        <w:rPr>
          <w:rFonts w:ascii="宋体" w:hAnsi="宋体" w:eastAsia="宋体" w:cs="宋体"/>
          <w:sz w:val="21"/>
          <w:szCs w:val="21"/>
        </w:rPr>
      </w:pPr>
      <w:r>
        <w:rPr>
          <w:rFonts w:ascii="宋体" w:hAnsi="宋体" w:eastAsia="宋体" w:cs="宋体"/>
          <w:spacing w:val="-4"/>
          <w:sz w:val="21"/>
          <w:szCs w:val="21"/>
        </w:rPr>
        <w:t>并承担相关费用。</w:t>
      </w:r>
    </w:p>
    <w:p w14:paraId="4A8BA49A">
      <w:pPr>
        <w:spacing w:before="152" w:line="221" w:lineRule="auto"/>
        <w:ind w:left="457"/>
        <w:rPr>
          <w:rFonts w:ascii="宋体" w:hAnsi="宋体" w:eastAsia="宋体" w:cs="宋体"/>
          <w:sz w:val="21"/>
          <w:szCs w:val="21"/>
        </w:rPr>
      </w:pPr>
      <w:r>
        <w:rPr>
          <w:rFonts w:ascii="Times New Roman" w:hAnsi="Times New Roman" w:eastAsia="Times New Roman" w:cs="Times New Roman"/>
          <w:spacing w:val="-3"/>
          <w:sz w:val="21"/>
          <w:szCs w:val="21"/>
        </w:rPr>
        <w:t xml:space="preserve">1.10.3 </w:t>
      </w:r>
      <w:r>
        <w:rPr>
          <w:rFonts w:ascii="宋体" w:hAnsi="宋体" w:eastAsia="宋体" w:cs="宋体"/>
          <w:spacing w:val="-3"/>
          <w:sz w:val="21"/>
          <w:szCs w:val="21"/>
        </w:rPr>
        <w:t>场内交通</w:t>
      </w:r>
    </w:p>
    <w:p w14:paraId="5E0E7EA1">
      <w:pPr>
        <w:spacing w:before="148" w:line="352" w:lineRule="auto"/>
        <w:ind w:left="18" w:right="163" w:firstLine="426"/>
        <w:rPr>
          <w:rFonts w:ascii="宋体" w:hAnsi="宋体" w:eastAsia="宋体" w:cs="宋体"/>
          <w:sz w:val="21"/>
          <w:szCs w:val="21"/>
        </w:rPr>
      </w:pPr>
      <w:r>
        <w:rPr>
          <w:rFonts w:ascii="宋体" w:hAnsi="宋体" w:eastAsia="宋体" w:cs="宋体"/>
          <w:spacing w:val="3"/>
          <w:sz w:val="21"/>
          <w:szCs w:val="21"/>
        </w:rPr>
        <w:t>发包人应提供场内交通设施的技术参数和具体条件，并应按照专用合同条款的约定向</w:t>
      </w:r>
      <w:r>
        <w:rPr>
          <w:rFonts w:ascii="宋体" w:hAnsi="宋体" w:eastAsia="宋体" w:cs="宋体"/>
          <w:sz w:val="21"/>
          <w:szCs w:val="21"/>
        </w:rPr>
        <w:t xml:space="preserve"> </w:t>
      </w:r>
      <w:r>
        <w:rPr>
          <w:rFonts w:ascii="宋体" w:hAnsi="宋体" w:eastAsia="宋体" w:cs="宋体"/>
          <w:spacing w:val="3"/>
          <w:sz w:val="21"/>
          <w:szCs w:val="21"/>
        </w:rPr>
        <w:t>承包人免费提供满足工程施工所需的场内道路和交通设施。因承包人原因造</w:t>
      </w:r>
      <w:r>
        <w:rPr>
          <w:rFonts w:ascii="宋体" w:hAnsi="宋体" w:eastAsia="宋体" w:cs="宋体"/>
          <w:spacing w:val="2"/>
          <w:sz w:val="21"/>
          <w:szCs w:val="21"/>
        </w:rPr>
        <w:t>成上述道路或</w:t>
      </w:r>
    </w:p>
    <w:p w14:paraId="3A3B857F">
      <w:pPr>
        <w:spacing w:before="1" w:line="220" w:lineRule="auto"/>
        <w:ind w:left="22"/>
        <w:rPr>
          <w:rFonts w:ascii="宋体" w:hAnsi="宋体" w:eastAsia="宋体" w:cs="宋体"/>
          <w:sz w:val="21"/>
          <w:szCs w:val="21"/>
        </w:rPr>
      </w:pPr>
      <w:r>
        <w:rPr>
          <w:rFonts w:ascii="宋体" w:hAnsi="宋体" w:eastAsia="宋体" w:cs="宋体"/>
          <w:spacing w:val="-1"/>
          <w:sz w:val="21"/>
          <w:szCs w:val="21"/>
        </w:rPr>
        <w:t>交通设施损坏的，承包人负责修复并承担由此</w:t>
      </w:r>
      <w:r>
        <w:rPr>
          <w:rFonts w:ascii="宋体" w:hAnsi="宋体" w:eastAsia="宋体" w:cs="宋体"/>
          <w:spacing w:val="-2"/>
          <w:sz w:val="21"/>
          <w:szCs w:val="21"/>
        </w:rPr>
        <w:t>增加的费用。</w:t>
      </w:r>
    </w:p>
    <w:p w14:paraId="36C50C24">
      <w:pPr>
        <w:spacing w:before="146" w:line="353" w:lineRule="auto"/>
        <w:ind w:left="19" w:right="163" w:firstLine="434"/>
        <w:rPr>
          <w:rFonts w:ascii="宋体" w:hAnsi="宋体" w:eastAsia="宋体" w:cs="宋体"/>
          <w:sz w:val="21"/>
          <w:szCs w:val="21"/>
        </w:rPr>
      </w:pPr>
      <w:r>
        <w:rPr>
          <w:rFonts w:ascii="宋体" w:hAnsi="宋体" w:eastAsia="宋体" w:cs="宋体"/>
          <w:sz w:val="21"/>
          <w:szCs w:val="21"/>
        </w:rPr>
        <w:t>除发包人按照合同约定提供的场内道路和交通设施外， 承包人负责修建、维</w:t>
      </w:r>
      <w:r>
        <w:rPr>
          <w:rFonts w:ascii="宋体" w:hAnsi="宋体" w:eastAsia="宋体" w:cs="宋体"/>
          <w:spacing w:val="-1"/>
          <w:sz w:val="21"/>
          <w:szCs w:val="21"/>
        </w:rPr>
        <w:t>修、养护</w:t>
      </w:r>
      <w:r>
        <w:rPr>
          <w:rFonts w:ascii="宋体" w:hAnsi="宋体" w:eastAsia="宋体" w:cs="宋体"/>
          <w:sz w:val="21"/>
          <w:szCs w:val="21"/>
        </w:rPr>
        <w:t xml:space="preserve"> </w:t>
      </w:r>
      <w:r>
        <w:rPr>
          <w:rFonts w:ascii="宋体" w:hAnsi="宋体" w:eastAsia="宋体" w:cs="宋体"/>
          <w:spacing w:val="3"/>
          <w:sz w:val="21"/>
          <w:szCs w:val="21"/>
        </w:rPr>
        <w:t>和管理施工所需的其他场内临时道路和交通设施。发包人和监理人可以为实</w:t>
      </w:r>
      <w:r>
        <w:rPr>
          <w:rFonts w:ascii="宋体" w:hAnsi="宋体" w:eastAsia="宋体" w:cs="宋体"/>
          <w:spacing w:val="2"/>
          <w:sz w:val="21"/>
          <w:szCs w:val="21"/>
        </w:rPr>
        <w:t>现合同目的使</w:t>
      </w:r>
    </w:p>
    <w:p w14:paraId="5EA186C2">
      <w:pPr>
        <w:spacing w:before="1" w:line="220" w:lineRule="auto"/>
        <w:ind w:left="20"/>
        <w:rPr>
          <w:rFonts w:ascii="宋体" w:hAnsi="宋体" w:eastAsia="宋体" w:cs="宋体"/>
          <w:sz w:val="21"/>
          <w:szCs w:val="21"/>
        </w:rPr>
      </w:pPr>
      <w:r>
        <w:rPr>
          <w:rFonts w:ascii="宋体" w:hAnsi="宋体" w:eastAsia="宋体" w:cs="宋体"/>
          <w:spacing w:val="-2"/>
          <w:sz w:val="21"/>
          <w:szCs w:val="21"/>
        </w:rPr>
        <w:t>用承包人修建的场内临时道路和交通设施。</w:t>
      </w:r>
    </w:p>
    <w:p w14:paraId="415C22F0">
      <w:pPr>
        <w:spacing w:before="147" w:line="221" w:lineRule="auto"/>
        <w:ind w:left="440"/>
        <w:rPr>
          <w:rFonts w:ascii="宋体" w:hAnsi="宋体" w:eastAsia="宋体" w:cs="宋体"/>
          <w:sz w:val="21"/>
          <w:szCs w:val="21"/>
        </w:rPr>
      </w:pPr>
      <w:r>
        <w:rPr>
          <w:rFonts w:ascii="宋体" w:hAnsi="宋体" w:eastAsia="宋体" w:cs="宋体"/>
          <w:sz w:val="21"/>
          <w:szCs w:val="21"/>
        </w:rPr>
        <w:t>场外交通和场内交通的边界由合同当事人在专用合同条款</w:t>
      </w:r>
      <w:r>
        <w:rPr>
          <w:rFonts w:ascii="宋体" w:hAnsi="宋体" w:eastAsia="宋体" w:cs="宋体"/>
          <w:spacing w:val="-1"/>
          <w:sz w:val="21"/>
          <w:szCs w:val="21"/>
        </w:rPr>
        <w:t>中约定。</w:t>
      </w:r>
    </w:p>
    <w:p w14:paraId="7E79FF63">
      <w:pPr>
        <w:spacing w:before="147" w:line="221" w:lineRule="auto"/>
        <w:ind w:left="457"/>
        <w:rPr>
          <w:rFonts w:ascii="宋体" w:hAnsi="宋体" w:eastAsia="宋体" w:cs="宋体"/>
          <w:sz w:val="21"/>
          <w:szCs w:val="21"/>
        </w:rPr>
      </w:pPr>
      <w:r>
        <w:rPr>
          <w:rFonts w:ascii="Times New Roman" w:hAnsi="Times New Roman" w:eastAsia="Times New Roman" w:cs="Times New Roman"/>
          <w:spacing w:val="-2"/>
          <w:sz w:val="21"/>
          <w:szCs w:val="21"/>
        </w:rPr>
        <w:t xml:space="preserve">1.10.4 </w:t>
      </w:r>
      <w:r>
        <w:rPr>
          <w:rFonts w:ascii="宋体" w:hAnsi="宋体" w:eastAsia="宋体" w:cs="宋体"/>
          <w:spacing w:val="-2"/>
          <w:sz w:val="21"/>
          <w:szCs w:val="21"/>
        </w:rPr>
        <w:t>超大件和超重件的运输</w:t>
      </w:r>
    </w:p>
    <w:p w14:paraId="6C8DF97D">
      <w:pPr>
        <w:spacing w:before="151" w:line="351" w:lineRule="auto"/>
        <w:ind w:left="21" w:firstLine="445"/>
        <w:rPr>
          <w:rFonts w:ascii="宋体" w:hAnsi="宋体" w:eastAsia="宋体" w:cs="宋体"/>
          <w:sz w:val="21"/>
          <w:szCs w:val="21"/>
        </w:rPr>
      </w:pPr>
      <w:r>
        <w:rPr>
          <w:rFonts w:ascii="宋体" w:hAnsi="宋体" w:eastAsia="宋体" w:cs="宋体"/>
          <w:spacing w:val="-2"/>
          <w:sz w:val="21"/>
          <w:szCs w:val="21"/>
        </w:rPr>
        <w:t>由承包人负责运输的超大件或超重件， 应由承包人负责向交通管理部门办理申请手续，</w:t>
      </w:r>
      <w:r>
        <w:rPr>
          <w:rFonts w:ascii="宋体" w:hAnsi="宋体" w:eastAsia="宋体" w:cs="宋体"/>
          <w:spacing w:val="15"/>
          <w:sz w:val="21"/>
          <w:szCs w:val="21"/>
        </w:rPr>
        <w:t xml:space="preserve"> </w:t>
      </w:r>
      <w:r>
        <w:rPr>
          <w:rFonts w:ascii="宋体" w:hAnsi="宋体" w:eastAsia="宋体" w:cs="宋体"/>
          <w:spacing w:val="3"/>
          <w:sz w:val="21"/>
          <w:szCs w:val="21"/>
        </w:rPr>
        <w:t>发包人给予协助。运输超大件或超重件所需的道路和桥梁临时加固改</w:t>
      </w:r>
      <w:r>
        <w:rPr>
          <w:rFonts w:ascii="宋体" w:hAnsi="宋体" w:eastAsia="宋体" w:cs="宋体"/>
          <w:spacing w:val="2"/>
          <w:sz w:val="21"/>
          <w:szCs w:val="21"/>
        </w:rPr>
        <w:t>造费用和其他有关费</w:t>
      </w:r>
    </w:p>
    <w:p w14:paraId="529EF1DA">
      <w:pPr>
        <w:spacing w:before="1" w:line="220" w:lineRule="auto"/>
        <w:ind w:left="20"/>
        <w:rPr>
          <w:rFonts w:ascii="宋体" w:hAnsi="宋体" w:eastAsia="宋体" w:cs="宋体"/>
          <w:sz w:val="21"/>
          <w:szCs w:val="21"/>
        </w:rPr>
      </w:pPr>
      <w:r>
        <w:rPr>
          <w:rFonts w:ascii="宋体" w:hAnsi="宋体" w:eastAsia="宋体" w:cs="宋体"/>
          <w:spacing w:val="-6"/>
          <w:sz w:val="21"/>
          <w:szCs w:val="21"/>
        </w:rPr>
        <w:t>用，由承包人承担， 但专用合同条款另有约定除外。</w:t>
      </w:r>
    </w:p>
    <w:p w14:paraId="12F30C27">
      <w:pPr>
        <w:spacing w:before="152" w:line="221" w:lineRule="auto"/>
        <w:ind w:left="457"/>
        <w:rPr>
          <w:rFonts w:ascii="宋体" w:hAnsi="宋体" w:eastAsia="宋体" w:cs="宋体"/>
          <w:sz w:val="21"/>
          <w:szCs w:val="21"/>
        </w:rPr>
      </w:pPr>
      <w:r>
        <w:rPr>
          <w:rFonts w:ascii="Times New Roman" w:hAnsi="Times New Roman" w:eastAsia="Times New Roman" w:cs="Times New Roman"/>
          <w:spacing w:val="-2"/>
          <w:sz w:val="21"/>
          <w:szCs w:val="21"/>
        </w:rPr>
        <w:t xml:space="preserve">1.10.5 </w:t>
      </w:r>
      <w:r>
        <w:rPr>
          <w:rFonts w:ascii="宋体" w:hAnsi="宋体" w:eastAsia="宋体" w:cs="宋体"/>
          <w:spacing w:val="-2"/>
          <w:sz w:val="21"/>
          <w:szCs w:val="21"/>
        </w:rPr>
        <w:t>道路和桥梁的损坏责任</w:t>
      </w:r>
    </w:p>
    <w:p w14:paraId="3C139349">
      <w:pPr>
        <w:spacing w:before="147" w:line="399" w:lineRule="exact"/>
        <w:ind w:left="457"/>
        <w:rPr>
          <w:rFonts w:ascii="宋体" w:hAnsi="宋体" w:eastAsia="宋体" w:cs="宋体"/>
          <w:sz w:val="21"/>
          <w:szCs w:val="21"/>
        </w:rPr>
      </w:pPr>
      <w:r>
        <w:rPr>
          <w:rFonts w:ascii="宋体" w:hAnsi="宋体" w:eastAsia="宋体" w:cs="宋体"/>
          <w:spacing w:val="3"/>
          <w:position w:val="14"/>
          <w:sz w:val="21"/>
          <w:szCs w:val="21"/>
        </w:rPr>
        <w:t>因承包人运输造成施工场地内外公共道路和桥梁损坏</w:t>
      </w:r>
      <w:r>
        <w:rPr>
          <w:rFonts w:ascii="宋体" w:hAnsi="宋体" w:eastAsia="宋体" w:cs="宋体"/>
          <w:spacing w:val="2"/>
          <w:position w:val="14"/>
          <w:sz w:val="21"/>
          <w:szCs w:val="21"/>
        </w:rPr>
        <w:t>的，由承包人承担修复损坏的全</w:t>
      </w:r>
    </w:p>
    <w:p w14:paraId="56AA262D">
      <w:pPr>
        <w:spacing w:line="220" w:lineRule="auto"/>
        <w:ind w:left="20"/>
        <w:rPr>
          <w:rFonts w:ascii="宋体" w:hAnsi="宋体" w:eastAsia="宋体" w:cs="宋体"/>
          <w:sz w:val="21"/>
          <w:szCs w:val="21"/>
        </w:rPr>
      </w:pPr>
      <w:r>
        <w:rPr>
          <w:rFonts w:ascii="宋体" w:hAnsi="宋体" w:eastAsia="宋体" w:cs="宋体"/>
          <w:spacing w:val="-3"/>
          <w:sz w:val="21"/>
          <w:szCs w:val="21"/>
        </w:rPr>
        <w:t>部费用和可能引起的赔偿。</w:t>
      </w:r>
    </w:p>
    <w:p w14:paraId="1A8AFFC1">
      <w:pPr>
        <w:spacing w:before="152" w:line="221" w:lineRule="auto"/>
        <w:ind w:left="457"/>
        <w:rPr>
          <w:rFonts w:ascii="宋体" w:hAnsi="宋体" w:eastAsia="宋体" w:cs="宋体"/>
          <w:sz w:val="21"/>
          <w:szCs w:val="21"/>
        </w:rPr>
      </w:pPr>
      <w:r>
        <w:rPr>
          <w:rFonts w:ascii="Times New Roman" w:hAnsi="Times New Roman" w:eastAsia="Times New Roman" w:cs="Times New Roman"/>
          <w:spacing w:val="-2"/>
          <w:sz w:val="21"/>
          <w:szCs w:val="21"/>
        </w:rPr>
        <w:t xml:space="preserve">1.10.6 </w:t>
      </w:r>
      <w:r>
        <w:rPr>
          <w:rFonts w:ascii="宋体" w:hAnsi="宋体" w:eastAsia="宋体" w:cs="宋体"/>
          <w:spacing w:val="-2"/>
          <w:sz w:val="21"/>
          <w:szCs w:val="21"/>
        </w:rPr>
        <w:t>水路和航空运输</w:t>
      </w:r>
    </w:p>
    <w:p w14:paraId="0B6DFD99">
      <w:pPr>
        <w:spacing w:before="148" w:line="398" w:lineRule="exact"/>
        <w:ind w:left="442"/>
        <w:rPr>
          <w:rFonts w:ascii="宋体" w:hAnsi="宋体" w:eastAsia="宋体" w:cs="宋体"/>
          <w:sz w:val="21"/>
          <w:szCs w:val="21"/>
        </w:rPr>
      </w:pPr>
      <w:r>
        <w:rPr>
          <w:rFonts w:ascii="宋体" w:hAnsi="宋体" w:eastAsia="宋体" w:cs="宋体"/>
          <w:spacing w:val="3"/>
          <w:position w:val="14"/>
          <w:sz w:val="21"/>
          <w:szCs w:val="21"/>
        </w:rPr>
        <w:t>本款前述各项的内容适用于水路运输和航空运输，其中</w:t>
      </w:r>
      <w:r>
        <w:rPr>
          <w:rFonts w:ascii="Times New Roman" w:hAnsi="Times New Roman" w:eastAsia="Times New Roman" w:cs="Times New Roman"/>
          <w:spacing w:val="3"/>
          <w:position w:val="14"/>
          <w:sz w:val="21"/>
          <w:szCs w:val="21"/>
        </w:rPr>
        <w:t>“</w:t>
      </w:r>
      <w:r>
        <w:rPr>
          <w:rFonts w:ascii="宋体" w:hAnsi="宋体" w:eastAsia="宋体" w:cs="宋体"/>
          <w:spacing w:val="3"/>
          <w:position w:val="14"/>
          <w:sz w:val="21"/>
          <w:szCs w:val="21"/>
        </w:rPr>
        <w:t>道路</w:t>
      </w:r>
      <w:r>
        <w:rPr>
          <w:rFonts w:ascii="Times New Roman" w:hAnsi="Times New Roman" w:eastAsia="Times New Roman" w:cs="Times New Roman"/>
          <w:spacing w:val="3"/>
          <w:position w:val="14"/>
          <w:sz w:val="21"/>
          <w:szCs w:val="21"/>
        </w:rPr>
        <w:t>”</w:t>
      </w:r>
      <w:r>
        <w:rPr>
          <w:rFonts w:ascii="宋体" w:hAnsi="宋体" w:eastAsia="宋体" w:cs="宋体"/>
          <w:spacing w:val="3"/>
          <w:position w:val="14"/>
          <w:sz w:val="21"/>
          <w:szCs w:val="21"/>
        </w:rPr>
        <w:t>一词的涵义包括河道、</w:t>
      </w:r>
    </w:p>
    <w:p w14:paraId="6BD40CBA">
      <w:pPr>
        <w:spacing w:before="1" w:line="219" w:lineRule="auto"/>
        <w:ind w:left="18"/>
        <w:rPr>
          <w:rFonts w:ascii="宋体" w:hAnsi="宋体" w:eastAsia="宋体" w:cs="宋体"/>
          <w:sz w:val="21"/>
          <w:szCs w:val="21"/>
        </w:rPr>
      </w:pPr>
      <w:r>
        <w:rPr>
          <w:rFonts w:ascii="宋体" w:hAnsi="宋体" w:eastAsia="宋体" w:cs="宋体"/>
          <w:spacing w:val="4"/>
          <w:sz w:val="21"/>
          <w:szCs w:val="21"/>
        </w:rPr>
        <w:t>航线、船闸、机场、码头、堤防以及水路或航</w:t>
      </w:r>
      <w:r>
        <w:rPr>
          <w:rFonts w:ascii="宋体" w:hAnsi="宋体" w:eastAsia="宋体" w:cs="宋体"/>
          <w:spacing w:val="3"/>
          <w:sz w:val="21"/>
          <w:szCs w:val="21"/>
        </w:rPr>
        <w:t>空运输中其他相似结构物；</w:t>
      </w:r>
      <w:r>
        <w:rPr>
          <w:rFonts w:ascii="Times New Roman" w:hAnsi="Times New Roman" w:eastAsia="Times New Roman" w:cs="Times New Roman"/>
          <w:spacing w:val="3"/>
          <w:sz w:val="21"/>
          <w:szCs w:val="21"/>
        </w:rPr>
        <w:t>“</w:t>
      </w:r>
      <w:r>
        <w:rPr>
          <w:rFonts w:ascii="宋体" w:hAnsi="宋体" w:eastAsia="宋体" w:cs="宋体"/>
          <w:spacing w:val="3"/>
          <w:sz w:val="21"/>
          <w:szCs w:val="21"/>
        </w:rPr>
        <w:t>车辆</w:t>
      </w:r>
      <w:r>
        <w:rPr>
          <w:rFonts w:ascii="Times New Roman" w:hAnsi="Times New Roman" w:eastAsia="Times New Roman" w:cs="Times New Roman"/>
          <w:spacing w:val="3"/>
          <w:sz w:val="21"/>
          <w:szCs w:val="21"/>
        </w:rPr>
        <w:t>”</w:t>
      </w:r>
      <w:r>
        <w:rPr>
          <w:rFonts w:ascii="宋体" w:hAnsi="宋体" w:eastAsia="宋体" w:cs="宋体"/>
          <w:spacing w:val="3"/>
          <w:sz w:val="21"/>
          <w:szCs w:val="21"/>
        </w:rPr>
        <w:t>一词的涵</w:t>
      </w:r>
    </w:p>
    <w:p w14:paraId="5EC4AB94">
      <w:pPr>
        <w:spacing w:before="153" w:line="220" w:lineRule="auto"/>
        <w:ind w:left="20"/>
        <w:rPr>
          <w:rFonts w:ascii="宋体" w:hAnsi="宋体" w:eastAsia="宋体" w:cs="宋体"/>
          <w:sz w:val="21"/>
          <w:szCs w:val="21"/>
        </w:rPr>
      </w:pPr>
      <w:r>
        <w:rPr>
          <w:rFonts w:ascii="宋体" w:hAnsi="宋体" w:eastAsia="宋体" w:cs="宋体"/>
          <w:spacing w:val="-1"/>
          <w:sz w:val="21"/>
          <w:szCs w:val="21"/>
        </w:rPr>
        <w:t>义包括船舶和飞机等。</w:t>
      </w:r>
    </w:p>
    <w:p w14:paraId="32892AE6">
      <w:pPr>
        <w:spacing w:before="47" w:line="220" w:lineRule="auto"/>
        <w:ind w:left="31"/>
        <w:rPr>
          <w:rFonts w:ascii="黑体" w:hAnsi="黑体" w:eastAsia="黑体" w:cs="黑体"/>
          <w:sz w:val="24"/>
          <w:szCs w:val="24"/>
        </w:rPr>
      </w:pPr>
      <w:r>
        <w:rPr>
          <w:rFonts w:ascii="黑体" w:hAnsi="黑体" w:eastAsia="黑体" w:cs="黑体"/>
          <w:spacing w:val="-5"/>
          <w:sz w:val="24"/>
          <w:szCs w:val="24"/>
        </w:rPr>
        <w:t>1.11</w:t>
      </w:r>
      <w:r>
        <w:rPr>
          <w:rFonts w:ascii="黑体" w:hAnsi="黑体" w:eastAsia="黑体" w:cs="黑体"/>
          <w:spacing w:val="-41"/>
          <w:sz w:val="24"/>
          <w:szCs w:val="24"/>
        </w:rPr>
        <w:t xml:space="preserve"> </w:t>
      </w:r>
      <w:r>
        <w:rPr>
          <w:rFonts w:ascii="黑体" w:hAnsi="黑体" w:eastAsia="黑体" w:cs="黑体"/>
          <w:spacing w:val="-5"/>
          <w:sz w:val="24"/>
          <w:szCs w:val="24"/>
        </w:rPr>
        <w:t>知识产权</w:t>
      </w:r>
    </w:p>
    <w:p w14:paraId="6A62833C">
      <w:pPr>
        <w:spacing w:line="220" w:lineRule="auto"/>
        <w:rPr>
          <w:rFonts w:ascii="黑体" w:hAnsi="黑体" w:eastAsia="黑体" w:cs="黑体"/>
          <w:sz w:val="24"/>
          <w:szCs w:val="24"/>
        </w:rPr>
        <w:sectPr>
          <w:footerReference r:id="rId94" w:type="default"/>
          <w:pgSz w:w="11905" w:h="16839"/>
          <w:pgMar w:top="1431" w:right="1628" w:bottom="1004" w:left="1785" w:header="0" w:footer="828" w:gutter="0"/>
          <w:pgNumType w:fmt="decimal"/>
          <w:cols w:space="720" w:num="1"/>
        </w:sectPr>
      </w:pPr>
    </w:p>
    <w:p w14:paraId="7BAC8354">
      <w:pPr>
        <w:spacing w:before="151" w:line="351" w:lineRule="auto"/>
        <w:ind w:left="19" w:right="182" w:firstLine="438"/>
        <w:jc w:val="both"/>
        <w:rPr>
          <w:rFonts w:ascii="宋体" w:hAnsi="宋体" w:eastAsia="宋体" w:cs="宋体"/>
          <w:sz w:val="21"/>
          <w:szCs w:val="21"/>
        </w:rPr>
      </w:pPr>
      <w:r>
        <w:rPr>
          <w:rFonts w:ascii="Times New Roman" w:hAnsi="Times New Roman" w:eastAsia="Times New Roman" w:cs="Times New Roman"/>
          <w:spacing w:val="3"/>
          <w:sz w:val="21"/>
          <w:szCs w:val="21"/>
        </w:rPr>
        <w:t>1.11.1</w:t>
      </w:r>
      <w:r>
        <w:rPr>
          <w:rFonts w:ascii="Times New Roman" w:hAnsi="Times New Roman" w:eastAsia="Times New Roman" w:cs="Times New Roman"/>
          <w:spacing w:val="50"/>
          <w:sz w:val="21"/>
          <w:szCs w:val="21"/>
        </w:rPr>
        <w:t xml:space="preserve"> </w:t>
      </w:r>
      <w:r>
        <w:rPr>
          <w:rFonts w:ascii="宋体" w:hAnsi="宋体" w:eastAsia="宋体" w:cs="宋体"/>
          <w:spacing w:val="3"/>
          <w:sz w:val="21"/>
          <w:szCs w:val="21"/>
        </w:rPr>
        <w:t>除专用合同条款另有约定外，</w:t>
      </w:r>
      <w:r>
        <w:rPr>
          <w:rFonts w:ascii="宋体" w:hAnsi="宋体" w:eastAsia="宋体" w:cs="宋体"/>
          <w:spacing w:val="2"/>
          <w:sz w:val="21"/>
          <w:szCs w:val="21"/>
        </w:rPr>
        <w:t>发包人提供给承包人的图纸、发包人为实施工程</w:t>
      </w:r>
      <w:r>
        <w:rPr>
          <w:rFonts w:ascii="宋体" w:hAnsi="宋体" w:eastAsia="宋体" w:cs="宋体"/>
          <w:sz w:val="21"/>
          <w:szCs w:val="21"/>
        </w:rPr>
        <w:t xml:space="preserve"> </w:t>
      </w:r>
      <w:r>
        <w:rPr>
          <w:rFonts w:ascii="宋体" w:hAnsi="宋体" w:eastAsia="宋体" w:cs="宋体"/>
          <w:spacing w:val="3"/>
          <w:sz w:val="21"/>
          <w:szCs w:val="21"/>
        </w:rPr>
        <w:t>自行编制或委托编制的技术规范以及反映发包人要求的或其他类似性质的文</w:t>
      </w:r>
      <w:r>
        <w:rPr>
          <w:rFonts w:ascii="宋体" w:hAnsi="宋体" w:eastAsia="宋体" w:cs="宋体"/>
          <w:spacing w:val="2"/>
          <w:sz w:val="21"/>
          <w:szCs w:val="21"/>
        </w:rPr>
        <w:t>件的著作权属</w:t>
      </w:r>
      <w:r>
        <w:rPr>
          <w:rFonts w:ascii="宋体" w:hAnsi="宋体" w:eastAsia="宋体" w:cs="宋体"/>
          <w:sz w:val="21"/>
          <w:szCs w:val="21"/>
        </w:rPr>
        <w:t xml:space="preserve"> </w:t>
      </w:r>
      <w:r>
        <w:rPr>
          <w:rFonts w:ascii="宋体" w:hAnsi="宋体" w:eastAsia="宋体" w:cs="宋体"/>
          <w:spacing w:val="3"/>
          <w:sz w:val="21"/>
          <w:szCs w:val="21"/>
        </w:rPr>
        <w:t>于发包人，承包人可以为实现合同目的而复制、使用此类文件，但不能用于</w:t>
      </w:r>
      <w:r>
        <w:rPr>
          <w:rFonts w:ascii="宋体" w:hAnsi="宋体" w:eastAsia="宋体" w:cs="宋体"/>
          <w:spacing w:val="2"/>
          <w:sz w:val="21"/>
          <w:szCs w:val="21"/>
        </w:rPr>
        <w:t>与合同无关的</w:t>
      </w:r>
      <w:r>
        <w:rPr>
          <w:rFonts w:ascii="宋体" w:hAnsi="宋体" w:eastAsia="宋体" w:cs="宋体"/>
          <w:sz w:val="21"/>
          <w:szCs w:val="21"/>
        </w:rPr>
        <w:t xml:space="preserve"> 其他事项。未经发包人书面同意， 承包人不得为了合同以外的目的而复制、使用上述文件</w:t>
      </w:r>
    </w:p>
    <w:p w14:paraId="35ED8A53">
      <w:pPr>
        <w:spacing w:line="219" w:lineRule="auto"/>
        <w:ind w:left="20"/>
        <w:rPr>
          <w:rFonts w:ascii="宋体" w:hAnsi="宋体" w:eastAsia="宋体" w:cs="宋体"/>
          <w:sz w:val="21"/>
          <w:szCs w:val="21"/>
        </w:rPr>
      </w:pPr>
      <w:r>
        <w:rPr>
          <w:rFonts w:ascii="宋体" w:hAnsi="宋体" w:eastAsia="宋体" w:cs="宋体"/>
          <w:spacing w:val="-3"/>
          <w:sz w:val="21"/>
          <w:szCs w:val="21"/>
        </w:rPr>
        <w:t>或将之提供给任何第三方。</w:t>
      </w:r>
    </w:p>
    <w:p w14:paraId="382BCDF8">
      <w:pPr>
        <w:spacing w:before="152" w:line="352" w:lineRule="auto"/>
        <w:ind w:left="20" w:right="182" w:firstLine="437"/>
        <w:jc w:val="both"/>
        <w:rPr>
          <w:rFonts w:ascii="宋体" w:hAnsi="宋体" w:eastAsia="宋体" w:cs="宋体"/>
          <w:sz w:val="21"/>
          <w:szCs w:val="21"/>
        </w:rPr>
      </w:pPr>
      <w:r>
        <w:rPr>
          <w:rFonts w:ascii="Times New Roman" w:hAnsi="Times New Roman" w:eastAsia="Times New Roman" w:cs="Times New Roman"/>
          <w:spacing w:val="3"/>
          <w:sz w:val="21"/>
          <w:szCs w:val="21"/>
        </w:rPr>
        <w:t>1.11.2</w:t>
      </w:r>
      <w:r>
        <w:rPr>
          <w:rFonts w:ascii="Times New Roman" w:hAnsi="Times New Roman" w:eastAsia="Times New Roman" w:cs="Times New Roman"/>
          <w:spacing w:val="50"/>
          <w:sz w:val="21"/>
          <w:szCs w:val="21"/>
        </w:rPr>
        <w:t xml:space="preserve"> </w:t>
      </w:r>
      <w:r>
        <w:rPr>
          <w:rFonts w:ascii="宋体" w:hAnsi="宋体" w:eastAsia="宋体" w:cs="宋体"/>
          <w:spacing w:val="3"/>
          <w:sz w:val="21"/>
          <w:szCs w:val="21"/>
        </w:rPr>
        <w:t>除专用合同条款另有约定外，</w:t>
      </w:r>
      <w:r>
        <w:rPr>
          <w:rFonts w:ascii="宋体" w:hAnsi="宋体" w:eastAsia="宋体" w:cs="宋体"/>
          <w:spacing w:val="2"/>
          <w:sz w:val="21"/>
          <w:szCs w:val="21"/>
        </w:rPr>
        <w:t>承包人为实施工程所编制的文件，除署名权以外</w:t>
      </w:r>
      <w:r>
        <w:rPr>
          <w:rFonts w:ascii="宋体" w:hAnsi="宋体" w:eastAsia="宋体" w:cs="宋体"/>
          <w:sz w:val="21"/>
          <w:szCs w:val="21"/>
        </w:rPr>
        <w:t xml:space="preserve"> 的著作权属于发包人， 承包人可因实施工程的运行、调试、维修、改造等目的而复制、使</w:t>
      </w:r>
      <w:r>
        <w:rPr>
          <w:rFonts w:ascii="宋体" w:hAnsi="宋体" w:eastAsia="宋体" w:cs="宋体"/>
          <w:spacing w:val="5"/>
          <w:sz w:val="21"/>
          <w:szCs w:val="21"/>
        </w:rPr>
        <w:t xml:space="preserve"> </w:t>
      </w:r>
      <w:r>
        <w:rPr>
          <w:rFonts w:ascii="宋体" w:hAnsi="宋体" w:eastAsia="宋体" w:cs="宋体"/>
          <w:sz w:val="21"/>
          <w:szCs w:val="21"/>
        </w:rPr>
        <w:t>用此类文件， 但不能用于与合同无关的其他事项。未经发包人书面同意，承包人不得为了</w:t>
      </w:r>
    </w:p>
    <w:p w14:paraId="1EB4D495">
      <w:pPr>
        <w:spacing w:line="219" w:lineRule="auto"/>
        <w:ind w:left="19"/>
        <w:rPr>
          <w:rFonts w:ascii="宋体" w:hAnsi="宋体" w:eastAsia="宋体" w:cs="宋体"/>
          <w:sz w:val="21"/>
          <w:szCs w:val="21"/>
        </w:rPr>
      </w:pPr>
      <w:r>
        <w:rPr>
          <w:rFonts w:ascii="宋体" w:hAnsi="宋体" w:eastAsia="宋体" w:cs="宋体"/>
          <w:sz w:val="21"/>
          <w:szCs w:val="21"/>
        </w:rPr>
        <w:t>合同以外的目的而复制、使用上述文件或将之提供给</w:t>
      </w:r>
      <w:r>
        <w:rPr>
          <w:rFonts w:ascii="宋体" w:hAnsi="宋体" w:eastAsia="宋体" w:cs="宋体"/>
          <w:spacing w:val="-1"/>
          <w:sz w:val="21"/>
          <w:szCs w:val="21"/>
        </w:rPr>
        <w:t>任何第三方。</w:t>
      </w:r>
    </w:p>
    <w:p w14:paraId="786EB5E4">
      <w:pPr>
        <w:spacing w:before="148" w:line="352" w:lineRule="auto"/>
        <w:ind w:left="18" w:right="182" w:firstLine="439"/>
        <w:jc w:val="both"/>
        <w:rPr>
          <w:rFonts w:ascii="宋体" w:hAnsi="宋体" w:eastAsia="宋体" w:cs="宋体"/>
          <w:sz w:val="21"/>
          <w:szCs w:val="21"/>
        </w:rPr>
      </w:pPr>
      <w:r>
        <w:rPr>
          <w:rFonts w:ascii="Times New Roman" w:hAnsi="Times New Roman" w:eastAsia="Times New Roman" w:cs="Times New Roman"/>
          <w:spacing w:val="3"/>
          <w:sz w:val="21"/>
          <w:szCs w:val="21"/>
        </w:rPr>
        <w:t>1.11.3</w:t>
      </w:r>
      <w:r>
        <w:rPr>
          <w:rFonts w:ascii="Times New Roman" w:hAnsi="Times New Roman" w:eastAsia="Times New Roman" w:cs="Times New Roman"/>
          <w:spacing w:val="38"/>
          <w:sz w:val="21"/>
          <w:szCs w:val="21"/>
        </w:rPr>
        <w:t xml:space="preserve"> </w:t>
      </w:r>
      <w:r>
        <w:rPr>
          <w:rFonts w:ascii="宋体" w:hAnsi="宋体" w:eastAsia="宋体" w:cs="宋体"/>
          <w:spacing w:val="3"/>
          <w:sz w:val="21"/>
          <w:szCs w:val="21"/>
        </w:rPr>
        <w:t>合同当事人保证在履行合同过程中不侵犯对方及第三方的</w:t>
      </w:r>
      <w:r>
        <w:rPr>
          <w:rFonts w:ascii="宋体" w:hAnsi="宋体" w:eastAsia="宋体" w:cs="宋体"/>
          <w:spacing w:val="2"/>
          <w:sz w:val="21"/>
          <w:szCs w:val="21"/>
        </w:rPr>
        <w:t>知识产权。承包人在</w:t>
      </w:r>
      <w:r>
        <w:rPr>
          <w:rFonts w:ascii="宋体" w:hAnsi="宋体" w:eastAsia="宋体" w:cs="宋体"/>
          <w:sz w:val="21"/>
          <w:szCs w:val="21"/>
        </w:rPr>
        <w:t xml:space="preserve"> </w:t>
      </w:r>
      <w:r>
        <w:rPr>
          <w:rFonts w:ascii="宋体" w:hAnsi="宋体" w:eastAsia="宋体" w:cs="宋体"/>
          <w:spacing w:val="3"/>
          <w:sz w:val="21"/>
          <w:szCs w:val="21"/>
        </w:rPr>
        <w:t>使用材料、施工设备、工程设备或采用施工工艺时，因侵犯他人的专利权或</w:t>
      </w:r>
      <w:r>
        <w:rPr>
          <w:rFonts w:ascii="宋体" w:hAnsi="宋体" w:eastAsia="宋体" w:cs="宋体"/>
          <w:spacing w:val="2"/>
          <w:sz w:val="21"/>
          <w:szCs w:val="21"/>
        </w:rPr>
        <w:t>其他知识产权</w:t>
      </w:r>
      <w:r>
        <w:rPr>
          <w:rFonts w:ascii="宋体" w:hAnsi="宋体" w:eastAsia="宋体" w:cs="宋体"/>
          <w:sz w:val="21"/>
          <w:szCs w:val="21"/>
        </w:rPr>
        <w:t xml:space="preserve"> </w:t>
      </w:r>
      <w:r>
        <w:rPr>
          <w:rFonts w:ascii="宋体" w:hAnsi="宋体" w:eastAsia="宋体" w:cs="宋体"/>
          <w:spacing w:val="3"/>
          <w:sz w:val="21"/>
          <w:szCs w:val="21"/>
        </w:rPr>
        <w:t>所引起的责任，由承包人承担；因发包人提供的材料、施工设备、工程设备</w:t>
      </w:r>
      <w:r>
        <w:rPr>
          <w:rFonts w:ascii="宋体" w:hAnsi="宋体" w:eastAsia="宋体" w:cs="宋体"/>
          <w:spacing w:val="2"/>
          <w:sz w:val="21"/>
          <w:szCs w:val="21"/>
        </w:rPr>
        <w:t>或施工工艺导</w:t>
      </w:r>
    </w:p>
    <w:p w14:paraId="4EA6EA0B">
      <w:pPr>
        <w:spacing w:line="220" w:lineRule="auto"/>
        <w:ind w:left="18"/>
        <w:rPr>
          <w:rFonts w:ascii="宋体" w:hAnsi="宋体" w:eastAsia="宋体" w:cs="宋体"/>
          <w:sz w:val="21"/>
          <w:szCs w:val="21"/>
        </w:rPr>
      </w:pPr>
      <w:r>
        <w:rPr>
          <w:rFonts w:ascii="宋体" w:hAnsi="宋体" w:eastAsia="宋体" w:cs="宋体"/>
          <w:spacing w:val="-14"/>
          <w:sz w:val="21"/>
          <w:szCs w:val="21"/>
        </w:rPr>
        <w:t>致侵权的，</w:t>
      </w:r>
      <w:r>
        <w:rPr>
          <w:rFonts w:ascii="宋体" w:hAnsi="宋体" w:eastAsia="宋体" w:cs="宋体"/>
          <w:spacing w:val="87"/>
          <w:sz w:val="21"/>
          <w:szCs w:val="21"/>
        </w:rPr>
        <w:t xml:space="preserve"> </w:t>
      </w:r>
      <w:r>
        <w:rPr>
          <w:rFonts w:ascii="宋体" w:hAnsi="宋体" w:eastAsia="宋体" w:cs="宋体"/>
          <w:spacing w:val="-14"/>
          <w:sz w:val="21"/>
          <w:szCs w:val="21"/>
        </w:rPr>
        <w:t>由发包人承担责任。</w:t>
      </w:r>
    </w:p>
    <w:p w14:paraId="30E2B460">
      <w:pPr>
        <w:spacing w:before="148" w:line="220" w:lineRule="auto"/>
        <w:jc w:val="right"/>
        <w:rPr>
          <w:rFonts w:ascii="宋体" w:hAnsi="宋体" w:eastAsia="宋体" w:cs="宋体"/>
          <w:sz w:val="21"/>
          <w:szCs w:val="21"/>
        </w:rPr>
      </w:pPr>
      <w:r>
        <w:rPr>
          <w:rFonts w:ascii="Times New Roman" w:hAnsi="Times New Roman" w:eastAsia="Times New Roman" w:cs="Times New Roman"/>
          <w:spacing w:val="-1"/>
          <w:sz w:val="21"/>
          <w:szCs w:val="21"/>
        </w:rPr>
        <w:t>1.11.4</w:t>
      </w:r>
      <w:r>
        <w:rPr>
          <w:rFonts w:ascii="Times New Roman" w:hAnsi="Times New Roman" w:eastAsia="Times New Roman" w:cs="Times New Roman"/>
          <w:spacing w:val="51"/>
          <w:sz w:val="21"/>
          <w:szCs w:val="21"/>
        </w:rPr>
        <w:t xml:space="preserve"> </w:t>
      </w:r>
      <w:r>
        <w:rPr>
          <w:rFonts w:ascii="宋体" w:hAnsi="宋体" w:eastAsia="宋体" w:cs="宋体"/>
          <w:spacing w:val="-1"/>
          <w:sz w:val="21"/>
          <w:szCs w:val="21"/>
        </w:rPr>
        <w:t>除专用合同条款另有约定外， 承包人在合同签订前和签订时已确定采用的专利、</w:t>
      </w:r>
    </w:p>
    <w:p w14:paraId="50993153">
      <w:pPr>
        <w:spacing w:before="153" w:line="219" w:lineRule="auto"/>
        <w:ind w:left="19"/>
        <w:rPr>
          <w:rFonts w:ascii="宋体" w:hAnsi="宋体" w:eastAsia="宋体" w:cs="宋体"/>
          <w:sz w:val="21"/>
          <w:szCs w:val="21"/>
        </w:rPr>
      </w:pPr>
      <w:r>
        <w:rPr>
          <w:rFonts w:ascii="宋体" w:hAnsi="宋体" w:eastAsia="宋体" w:cs="宋体"/>
          <w:spacing w:val="-1"/>
          <w:sz w:val="21"/>
          <w:szCs w:val="21"/>
        </w:rPr>
        <w:t>专有技术、技术秘密的使用费已包含在签约合同价中。</w:t>
      </w:r>
    </w:p>
    <w:p w14:paraId="5C0FE9AE">
      <w:pPr>
        <w:spacing w:before="48" w:line="218" w:lineRule="auto"/>
        <w:ind w:left="31"/>
        <w:rPr>
          <w:rFonts w:ascii="黑体" w:hAnsi="黑体" w:eastAsia="黑体" w:cs="黑体"/>
          <w:sz w:val="24"/>
          <w:szCs w:val="24"/>
        </w:rPr>
      </w:pPr>
      <w:r>
        <w:rPr>
          <w:rFonts w:ascii="黑体" w:hAnsi="黑体" w:eastAsia="黑体" w:cs="黑体"/>
          <w:spacing w:val="-5"/>
          <w:sz w:val="24"/>
          <w:szCs w:val="24"/>
        </w:rPr>
        <w:t>1.12</w:t>
      </w:r>
      <w:r>
        <w:rPr>
          <w:rFonts w:ascii="黑体" w:hAnsi="黑体" w:eastAsia="黑体" w:cs="黑体"/>
          <w:spacing w:val="-51"/>
          <w:sz w:val="24"/>
          <w:szCs w:val="24"/>
        </w:rPr>
        <w:t xml:space="preserve"> </w:t>
      </w:r>
      <w:r>
        <w:rPr>
          <w:rFonts w:ascii="黑体" w:hAnsi="黑体" w:eastAsia="黑体" w:cs="黑体"/>
          <w:spacing w:val="-5"/>
          <w:sz w:val="24"/>
          <w:szCs w:val="24"/>
        </w:rPr>
        <w:t>保密</w:t>
      </w:r>
    </w:p>
    <w:p w14:paraId="04662C57">
      <w:pPr>
        <w:spacing w:before="130" w:line="399" w:lineRule="exact"/>
        <w:ind w:left="453"/>
        <w:rPr>
          <w:rFonts w:ascii="宋体" w:hAnsi="宋体" w:eastAsia="宋体" w:cs="宋体"/>
          <w:sz w:val="21"/>
          <w:szCs w:val="21"/>
        </w:rPr>
      </w:pPr>
      <w:r>
        <w:rPr>
          <w:rFonts w:ascii="宋体" w:hAnsi="宋体" w:eastAsia="宋体" w:cs="宋体"/>
          <w:position w:val="14"/>
          <w:sz w:val="21"/>
          <w:szCs w:val="21"/>
        </w:rPr>
        <w:t>除法律规定或合同另有约定外， 未经发包人同意，承包人不得</w:t>
      </w:r>
      <w:r>
        <w:rPr>
          <w:rFonts w:ascii="宋体" w:hAnsi="宋体" w:eastAsia="宋体" w:cs="宋体"/>
          <w:spacing w:val="-1"/>
          <w:position w:val="14"/>
          <w:sz w:val="21"/>
          <w:szCs w:val="21"/>
        </w:rPr>
        <w:t>将发包人提供的图纸、</w:t>
      </w:r>
    </w:p>
    <w:p w14:paraId="565C4686">
      <w:pPr>
        <w:spacing w:line="220" w:lineRule="auto"/>
        <w:ind w:left="20"/>
        <w:rPr>
          <w:rFonts w:ascii="宋体" w:hAnsi="宋体" w:eastAsia="宋体" w:cs="宋体"/>
          <w:sz w:val="21"/>
          <w:szCs w:val="21"/>
        </w:rPr>
      </w:pPr>
      <w:r>
        <w:rPr>
          <w:rFonts w:ascii="宋体" w:hAnsi="宋体" w:eastAsia="宋体" w:cs="宋体"/>
          <w:spacing w:val="-1"/>
          <w:sz w:val="21"/>
          <w:szCs w:val="21"/>
        </w:rPr>
        <w:t>文件以及声明需要保密的资料信息等商业秘密泄露</w:t>
      </w:r>
      <w:r>
        <w:rPr>
          <w:rFonts w:ascii="宋体" w:hAnsi="宋体" w:eastAsia="宋体" w:cs="宋体"/>
          <w:spacing w:val="-2"/>
          <w:sz w:val="21"/>
          <w:szCs w:val="21"/>
        </w:rPr>
        <w:t>给第三方。</w:t>
      </w:r>
    </w:p>
    <w:p w14:paraId="6AE8BF55">
      <w:pPr>
        <w:spacing w:before="152" w:line="220" w:lineRule="auto"/>
        <w:ind w:left="453"/>
        <w:rPr>
          <w:rFonts w:ascii="宋体" w:hAnsi="宋体" w:eastAsia="宋体" w:cs="宋体"/>
          <w:sz w:val="21"/>
          <w:szCs w:val="21"/>
        </w:rPr>
      </w:pPr>
      <w:r>
        <w:rPr>
          <w:rFonts w:ascii="宋体" w:hAnsi="宋体" w:eastAsia="宋体" w:cs="宋体"/>
          <w:sz w:val="21"/>
          <w:szCs w:val="21"/>
        </w:rPr>
        <w:t>除法律规定或合同另有约定外， 未经承包人同意，发包人不得将承包人提供</w:t>
      </w:r>
      <w:r>
        <w:rPr>
          <w:rFonts w:ascii="宋体" w:hAnsi="宋体" w:eastAsia="宋体" w:cs="宋体"/>
          <w:spacing w:val="-1"/>
          <w:sz w:val="21"/>
          <w:szCs w:val="21"/>
        </w:rPr>
        <w:t>的技术秘</w:t>
      </w:r>
    </w:p>
    <w:p w14:paraId="4A223DCA">
      <w:pPr>
        <w:spacing w:before="148" w:line="221" w:lineRule="auto"/>
        <w:ind w:left="19"/>
        <w:rPr>
          <w:rFonts w:ascii="宋体" w:hAnsi="宋体" w:eastAsia="宋体" w:cs="宋体"/>
          <w:sz w:val="21"/>
          <w:szCs w:val="21"/>
        </w:rPr>
      </w:pPr>
      <w:r>
        <w:rPr>
          <w:rFonts w:ascii="宋体" w:hAnsi="宋体" w:eastAsia="宋体" w:cs="宋体"/>
          <w:spacing w:val="-1"/>
          <w:sz w:val="21"/>
          <w:szCs w:val="21"/>
        </w:rPr>
        <w:t>密及声明需要保密的资料信息等商业秘密泄露给第三方。</w:t>
      </w:r>
    </w:p>
    <w:p w14:paraId="6FEE155A">
      <w:pPr>
        <w:spacing w:before="46" w:line="219" w:lineRule="auto"/>
        <w:ind w:left="31"/>
        <w:rPr>
          <w:rFonts w:ascii="黑体" w:hAnsi="黑体" w:eastAsia="黑体" w:cs="黑体"/>
          <w:sz w:val="24"/>
          <w:szCs w:val="24"/>
        </w:rPr>
      </w:pPr>
      <w:r>
        <w:rPr>
          <w:rFonts w:ascii="黑体" w:hAnsi="黑体" w:eastAsia="黑体" w:cs="黑体"/>
          <w:spacing w:val="-3"/>
          <w:sz w:val="24"/>
          <w:szCs w:val="24"/>
        </w:rPr>
        <w:t>1.13</w:t>
      </w:r>
      <w:r>
        <w:rPr>
          <w:rFonts w:ascii="黑体" w:hAnsi="黑体" w:eastAsia="黑体" w:cs="黑体"/>
          <w:spacing w:val="-42"/>
          <w:sz w:val="24"/>
          <w:szCs w:val="24"/>
        </w:rPr>
        <w:t xml:space="preserve"> </w:t>
      </w:r>
      <w:r>
        <w:rPr>
          <w:rFonts w:ascii="黑体" w:hAnsi="黑体" w:eastAsia="黑体" w:cs="黑体"/>
          <w:spacing w:val="-3"/>
          <w:sz w:val="24"/>
          <w:szCs w:val="24"/>
        </w:rPr>
        <w:t>工程量清单错误的修正</w:t>
      </w:r>
    </w:p>
    <w:p w14:paraId="73DDBA81">
      <w:pPr>
        <w:spacing w:before="129" w:line="399" w:lineRule="exact"/>
        <w:jc w:val="right"/>
        <w:rPr>
          <w:rFonts w:ascii="宋体" w:hAnsi="宋体" w:eastAsia="宋体" w:cs="宋体"/>
          <w:sz w:val="21"/>
          <w:szCs w:val="21"/>
        </w:rPr>
      </w:pPr>
      <w:r>
        <w:rPr>
          <w:rFonts w:ascii="宋体" w:hAnsi="宋体" w:eastAsia="宋体" w:cs="宋体"/>
          <w:spacing w:val="2"/>
          <w:position w:val="14"/>
          <w:sz w:val="21"/>
          <w:szCs w:val="21"/>
        </w:rPr>
        <w:t>除专用合同条款另有约定外，发包人提供的工程量清单，应被认为是准确的和完</w:t>
      </w:r>
      <w:r>
        <w:rPr>
          <w:rFonts w:ascii="宋体" w:hAnsi="宋体" w:eastAsia="宋体" w:cs="宋体"/>
          <w:spacing w:val="1"/>
          <w:position w:val="14"/>
          <w:sz w:val="21"/>
          <w:szCs w:val="21"/>
        </w:rPr>
        <w:t>整的。</w:t>
      </w:r>
    </w:p>
    <w:p w14:paraId="117AED81">
      <w:pPr>
        <w:spacing w:line="219" w:lineRule="auto"/>
        <w:ind w:left="36"/>
        <w:rPr>
          <w:rFonts w:ascii="宋体" w:hAnsi="宋体" w:eastAsia="宋体" w:cs="宋体"/>
          <w:sz w:val="21"/>
          <w:szCs w:val="21"/>
        </w:rPr>
      </w:pPr>
      <w:r>
        <w:rPr>
          <w:rFonts w:ascii="宋体" w:hAnsi="宋体" w:eastAsia="宋体" w:cs="宋体"/>
          <w:spacing w:val="-1"/>
          <w:sz w:val="21"/>
          <w:szCs w:val="21"/>
        </w:rPr>
        <w:t>出现下列情形之一时，发包人应予以修正，并相应调整合同价格：</w:t>
      </w:r>
    </w:p>
    <w:p w14:paraId="4F391DA5">
      <w:pPr>
        <w:spacing w:before="153" w:line="221" w:lineRule="auto"/>
        <w:ind w:left="447"/>
        <w:rPr>
          <w:rFonts w:ascii="宋体" w:hAnsi="宋体" w:eastAsia="宋体" w:cs="宋体"/>
          <w:sz w:val="21"/>
          <w:szCs w:val="21"/>
        </w:rPr>
      </w:pPr>
      <w:r>
        <w:rPr>
          <w:rFonts w:ascii="宋体" w:hAnsi="宋体" w:eastAsia="宋体" w:cs="宋体"/>
          <w:spacing w:val="-3"/>
          <w:sz w:val="21"/>
          <w:szCs w:val="21"/>
        </w:rPr>
        <w:t>（</w:t>
      </w:r>
      <w:r>
        <w:rPr>
          <w:rFonts w:ascii="Times New Roman" w:hAnsi="Times New Roman" w:eastAsia="Times New Roman" w:cs="Times New Roman"/>
          <w:spacing w:val="-3"/>
          <w:sz w:val="21"/>
          <w:szCs w:val="21"/>
        </w:rPr>
        <w:t>1</w:t>
      </w:r>
      <w:r>
        <w:rPr>
          <w:rFonts w:ascii="宋体" w:hAnsi="宋体" w:eastAsia="宋体" w:cs="宋体"/>
          <w:spacing w:val="-3"/>
          <w:sz w:val="21"/>
          <w:szCs w:val="21"/>
        </w:rPr>
        <w:t>）工程量清单存在缺项、漏项的；</w:t>
      </w:r>
    </w:p>
    <w:p w14:paraId="2009E93B">
      <w:pPr>
        <w:spacing w:before="148" w:line="399" w:lineRule="exact"/>
        <w:ind w:left="447"/>
        <w:rPr>
          <w:rFonts w:ascii="宋体" w:hAnsi="宋体" w:eastAsia="宋体" w:cs="宋体"/>
          <w:sz w:val="21"/>
          <w:szCs w:val="21"/>
        </w:rPr>
      </w:pPr>
      <w:r>
        <w:rPr>
          <w:rFonts w:ascii="宋体" w:hAnsi="宋体" w:eastAsia="宋体" w:cs="宋体"/>
          <w:spacing w:val="-1"/>
          <w:position w:val="14"/>
          <w:sz w:val="21"/>
          <w:szCs w:val="21"/>
        </w:rPr>
        <w:t>（</w:t>
      </w:r>
      <w:r>
        <w:rPr>
          <w:rFonts w:ascii="Times New Roman" w:hAnsi="Times New Roman" w:eastAsia="Times New Roman" w:cs="Times New Roman"/>
          <w:spacing w:val="-1"/>
          <w:position w:val="14"/>
          <w:sz w:val="21"/>
          <w:szCs w:val="21"/>
        </w:rPr>
        <w:t>2</w:t>
      </w:r>
      <w:r>
        <w:rPr>
          <w:rFonts w:ascii="宋体" w:hAnsi="宋体" w:eastAsia="宋体" w:cs="宋体"/>
          <w:spacing w:val="-1"/>
          <w:position w:val="14"/>
          <w:sz w:val="21"/>
          <w:szCs w:val="21"/>
        </w:rPr>
        <w:t>）工程量清单偏差超出专用合同条款约定的工</w:t>
      </w:r>
      <w:r>
        <w:rPr>
          <w:rFonts w:ascii="宋体" w:hAnsi="宋体" w:eastAsia="宋体" w:cs="宋体"/>
          <w:spacing w:val="-2"/>
          <w:position w:val="14"/>
          <w:sz w:val="21"/>
          <w:szCs w:val="21"/>
        </w:rPr>
        <w:t>程量偏差范围的；</w:t>
      </w:r>
    </w:p>
    <w:p w14:paraId="63ED1ED4">
      <w:pPr>
        <w:spacing w:line="220" w:lineRule="auto"/>
        <w:ind w:left="447"/>
        <w:rPr>
          <w:rFonts w:ascii="宋体" w:hAnsi="宋体" w:eastAsia="宋体" w:cs="宋体"/>
          <w:sz w:val="21"/>
          <w:szCs w:val="21"/>
        </w:rPr>
      </w:pPr>
      <w:r>
        <w:rPr>
          <w:rFonts w:ascii="宋体" w:hAnsi="宋体" w:eastAsia="宋体" w:cs="宋体"/>
          <w:spacing w:val="-2"/>
          <w:sz w:val="21"/>
          <w:szCs w:val="21"/>
        </w:rPr>
        <w:t>（</w:t>
      </w:r>
      <w:r>
        <w:rPr>
          <w:rFonts w:ascii="Times New Roman" w:hAnsi="Times New Roman" w:eastAsia="Times New Roman" w:cs="Times New Roman"/>
          <w:spacing w:val="-2"/>
          <w:sz w:val="21"/>
          <w:szCs w:val="21"/>
        </w:rPr>
        <w:t>3</w:t>
      </w:r>
      <w:r>
        <w:rPr>
          <w:rFonts w:ascii="宋体" w:hAnsi="宋体" w:eastAsia="宋体" w:cs="宋体"/>
          <w:spacing w:val="-2"/>
          <w:sz w:val="21"/>
          <w:szCs w:val="21"/>
        </w:rPr>
        <w:t>）未按照国家现行计量规范强制性规定计量的。</w:t>
      </w:r>
    </w:p>
    <w:p w14:paraId="5E9BD45A">
      <w:pPr>
        <w:spacing w:before="178" w:line="219" w:lineRule="auto"/>
        <w:ind w:left="20"/>
        <w:rPr>
          <w:rFonts w:ascii="黑体" w:hAnsi="黑体" w:eastAsia="黑体" w:cs="黑体"/>
          <w:sz w:val="32"/>
          <w:szCs w:val="32"/>
        </w:rPr>
      </w:pPr>
      <w:r>
        <w:rPr>
          <w:rFonts w:ascii="黑体" w:hAnsi="黑体" w:eastAsia="黑体" w:cs="黑体"/>
          <w:spacing w:val="-1"/>
          <w:sz w:val="32"/>
          <w:szCs w:val="32"/>
        </w:rPr>
        <w:t>2.发包人</w:t>
      </w:r>
    </w:p>
    <w:p w14:paraId="452A42BE">
      <w:pPr>
        <w:spacing w:before="146" w:line="219" w:lineRule="auto"/>
        <w:ind w:left="17"/>
        <w:rPr>
          <w:rFonts w:ascii="黑体" w:hAnsi="黑体" w:eastAsia="黑体" w:cs="黑体"/>
          <w:sz w:val="24"/>
          <w:szCs w:val="24"/>
        </w:rPr>
      </w:pPr>
      <w:r>
        <w:rPr>
          <w:rFonts w:ascii="黑体" w:hAnsi="黑体" w:eastAsia="黑体" w:cs="黑体"/>
          <w:spacing w:val="-1"/>
          <w:sz w:val="24"/>
          <w:szCs w:val="24"/>
        </w:rPr>
        <w:t>2.1 许可或批准</w:t>
      </w:r>
    </w:p>
    <w:p w14:paraId="1C8F8672">
      <w:pPr>
        <w:spacing w:before="128" w:line="352" w:lineRule="auto"/>
        <w:ind w:left="21" w:right="181" w:firstLine="422"/>
        <w:jc w:val="both"/>
        <w:rPr>
          <w:rFonts w:ascii="宋体" w:hAnsi="宋体" w:eastAsia="宋体" w:cs="宋体"/>
          <w:sz w:val="21"/>
          <w:szCs w:val="21"/>
        </w:rPr>
      </w:pPr>
      <w:r>
        <w:rPr>
          <w:rFonts w:ascii="宋体" w:hAnsi="宋体" w:eastAsia="宋体" w:cs="宋体"/>
          <w:sz w:val="21"/>
          <w:szCs w:val="21"/>
        </w:rPr>
        <w:t>发包人应遵守法律，并办理法律规定由其办理的许可、批准或备案， 包括但不限于建</w:t>
      </w:r>
      <w:r>
        <w:rPr>
          <w:rFonts w:ascii="宋体" w:hAnsi="宋体" w:eastAsia="宋体" w:cs="宋体"/>
          <w:spacing w:val="5"/>
          <w:sz w:val="21"/>
          <w:szCs w:val="21"/>
        </w:rPr>
        <w:t xml:space="preserve"> </w:t>
      </w:r>
      <w:r>
        <w:rPr>
          <w:rFonts w:ascii="宋体" w:hAnsi="宋体" w:eastAsia="宋体" w:cs="宋体"/>
          <w:spacing w:val="3"/>
          <w:sz w:val="21"/>
          <w:szCs w:val="21"/>
        </w:rPr>
        <w:t>设用地规划许可证、建设工程规划许可证、建设工程施工许可证、施</w:t>
      </w:r>
      <w:r>
        <w:rPr>
          <w:rFonts w:ascii="宋体" w:hAnsi="宋体" w:eastAsia="宋体" w:cs="宋体"/>
          <w:spacing w:val="2"/>
          <w:sz w:val="21"/>
          <w:szCs w:val="21"/>
        </w:rPr>
        <w:t>工所需临时用水、临</w:t>
      </w:r>
      <w:r>
        <w:rPr>
          <w:rFonts w:ascii="宋体" w:hAnsi="宋体" w:eastAsia="宋体" w:cs="宋体"/>
          <w:sz w:val="21"/>
          <w:szCs w:val="21"/>
        </w:rPr>
        <w:t xml:space="preserve"> </w:t>
      </w:r>
      <w:r>
        <w:rPr>
          <w:rFonts w:ascii="宋体" w:hAnsi="宋体" w:eastAsia="宋体" w:cs="宋体"/>
          <w:spacing w:val="3"/>
          <w:sz w:val="21"/>
          <w:szCs w:val="21"/>
        </w:rPr>
        <w:t>时用电、中断道路交通、临时占用土地等许可和批准。发包人应协助</w:t>
      </w:r>
      <w:r>
        <w:rPr>
          <w:rFonts w:ascii="宋体" w:hAnsi="宋体" w:eastAsia="宋体" w:cs="宋体"/>
          <w:spacing w:val="2"/>
          <w:sz w:val="21"/>
          <w:szCs w:val="21"/>
        </w:rPr>
        <w:t>承包人办理法律规定</w:t>
      </w:r>
    </w:p>
    <w:p w14:paraId="571543E4">
      <w:pPr>
        <w:spacing w:before="1" w:line="220" w:lineRule="auto"/>
        <w:ind w:left="35"/>
        <w:rPr>
          <w:rFonts w:ascii="宋体" w:hAnsi="宋体" w:eastAsia="宋体" w:cs="宋体"/>
          <w:sz w:val="21"/>
          <w:szCs w:val="21"/>
        </w:rPr>
      </w:pPr>
      <w:r>
        <w:rPr>
          <w:rFonts w:ascii="宋体" w:hAnsi="宋体" w:eastAsia="宋体" w:cs="宋体"/>
          <w:spacing w:val="-4"/>
          <w:sz w:val="21"/>
          <w:szCs w:val="21"/>
        </w:rPr>
        <w:t>的有关施工证件和批件。</w:t>
      </w:r>
    </w:p>
    <w:p w14:paraId="7215B1D1">
      <w:pPr>
        <w:spacing w:before="147" w:line="221" w:lineRule="auto"/>
        <w:ind w:left="457"/>
        <w:rPr>
          <w:rFonts w:ascii="宋体" w:hAnsi="宋体" w:eastAsia="宋体" w:cs="宋体"/>
          <w:sz w:val="21"/>
          <w:szCs w:val="21"/>
        </w:rPr>
      </w:pPr>
      <w:r>
        <w:rPr>
          <w:rFonts w:ascii="宋体" w:hAnsi="宋体" w:eastAsia="宋体" w:cs="宋体"/>
          <w:spacing w:val="3"/>
          <w:sz w:val="21"/>
          <w:szCs w:val="21"/>
        </w:rPr>
        <w:t>因发包人原因未能及时办理完毕前述许可、批准或备</w:t>
      </w:r>
      <w:r>
        <w:rPr>
          <w:rFonts w:ascii="宋体" w:hAnsi="宋体" w:eastAsia="宋体" w:cs="宋体"/>
          <w:spacing w:val="2"/>
          <w:sz w:val="21"/>
          <w:szCs w:val="21"/>
        </w:rPr>
        <w:t>案，由发包人承担由此增加的费</w:t>
      </w:r>
    </w:p>
    <w:p w14:paraId="1B5CC142">
      <w:pPr>
        <w:spacing w:before="152" w:line="221" w:lineRule="auto"/>
        <w:ind w:left="20"/>
        <w:rPr>
          <w:rFonts w:ascii="宋体" w:hAnsi="宋体" w:eastAsia="宋体" w:cs="宋体"/>
          <w:sz w:val="21"/>
          <w:szCs w:val="21"/>
        </w:rPr>
      </w:pPr>
      <w:r>
        <w:rPr>
          <w:rFonts w:ascii="宋体" w:hAnsi="宋体" w:eastAsia="宋体" w:cs="宋体"/>
          <w:spacing w:val="-6"/>
          <w:sz w:val="21"/>
          <w:szCs w:val="21"/>
        </w:rPr>
        <w:t>用和（或） 延误的工期，并支付承包人合理的利润。</w:t>
      </w:r>
    </w:p>
    <w:p w14:paraId="644BE89A">
      <w:pPr>
        <w:spacing w:before="47" w:line="218" w:lineRule="auto"/>
        <w:ind w:left="17"/>
        <w:rPr>
          <w:rFonts w:ascii="黑体" w:hAnsi="黑体" w:eastAsia="黑体" w:cs="黑体"/>
          <w:sz w:val="24"/>
          <w:szCs w:val="24"/>
        </w:rPr>
      </w:pPr>
      <w:r>
        <w:rPr>
          <w:rFonts w:ascii="黑体" w:hAnsi="黑体" w:eastAsia="黑体" w:cs="黑体"/>
          <w:spacing w:val="-1"/>
          <w:sz w:val="24"/>
          <w:szCs w:val="24"/>
        </w:rPr>
        <w:t>2.2 发包人代表</w:t>
      </w:r>
    </w:p>
    <w:p w14:paraId="2BC06CA6">
      <w:pPr>
        <w:spacing w:line="218" w:lineRule="auto"/>
        <w:rPr>
          <w:rFonts w:ascii="黑体" w:hAnsi="黑体" w:eastAsia="黑体" w:cs="黑体"/>
          <w:sz w:val="24"/>
          <w:szCs w:val="24"/>
        </w:rPr>
        <w:sectPr>
          <w:footerReference r:id="rId95" w:type="default"/>
          <w:pgSz w:w="11905" w:h="16839"/>
          <w:pgMar w:top="1431" w:right="1610" w:bottom="1004" w:left="1785" w:header="0" w:footer="828" w:gutter="0"/>
          <w:pgNumType w:fmt="decimal"/>
          <w:cols w:space="720" w:num="1"/>
        </w:sectPr>
      </w:pPr>
    </w:p>
    <w:p w14:paraId="6E7F5241">
      <w:pPr>
        <w:spacing w:before="148" w:line="352" w:lineRule="auto"/>
        <w:ind w:left="18" w:right="179" w:firstLine="426"/>
        <w:rPr>
          <w:rFonts w:ascii="宋体" w:hAnsi="宋体" w:eastAsia="宋体" w:cs="宋体"/>
          <w:sz w:val="21"/>
          <w:szCs w:val="21"/>
        </w:rPr>
      </w:pPr>
      <w:r>
        <w:rPr>
          <w:rFonts w:ascii="宋体" w:hAnsi="宋体" w:eastAsia="宋体" w:cs="宋体"/>
          <w:spacing w:val="3"/>
          <w:sz w:val="21"/>
          <w:szCs w:val="21"/>
        </w:rPr>
        <w:t>发包人应在专用合同条款中明确其派驻施工现场的发包人代表的姓名、职务、联系方</w:t>
      </w:r>
      <w:r>
        <w:rPr>
          <w:rFonts w:ascii="宋体" w:hAnsi="宋体" w:eastAsia="宋体" w:cs="宋体"/>
          <w:sz w:val="21"/>
          <w:szCs w:val="21"/>
        </w:rPr>
        <w:t xml:space="preserve"> 式及授权范围等事项。发包人代表在发包人的授权范围内， 负责处理合同履行过程中与发</w:t>
      </w:r>
      <w:r>
        <w:rPr>
          <w:rFonts w:ascii="宋体" w:hAnsi="宋体" w:eastAsia="宋体" w:cs="宋体"/>
          <w:spacing w:val="6"/>
          <w:sz w:val="21"/>
          <w:szCs w:val="21"/>
        </w:rPr>
        <w:t xml:space="preserve"> </w:t>
      </w:r>
      <w:r>
        <w:rPr>
          <w:rFonts w:ascii="宋体" w:hAnsi="宋体" w:eastAsia="宋体" w:cs="宋体"/>
          <w:spacing w:val="3"/>
          <w:sz w:val="21"/>
          <w:szCs w:val="21"/>
        </w:rPr>
        <w:t>包人有关的具体事宜。发包人代表在授权范围内的行为由发包人承担法律责</w:t>
      </w:r>
      <w:r>
        <w:rPr>
          <w:rFonts w:ascii="宋体" w:hAnsi="宋体" w:eastAsia="宋体" w:cs="宋体"/>
          <w:spacing w:val="2"/>
          <w:sz w:val="21"/>
          <w:szCs w:val="21"/>
        </w:rPr>
        <w:t>任。发包人更</w:t>
      </w:r>
    </w:p>
    <w:p w14:paraId="3B1327C3">
      <w:pPr>
        <w:spacing w:line="219" w:lineRule="auto"/>
        <w:ind w:left="20"/>
        <w:rPr>
          <w:rFonts w:ascii="宋体" w:hAnsi="宋体" w:eastAsia="宋体" w:cs="宋体"/>
          <w:sz w:val="21"/>
          <w:szCs w:val="21"/>
        </w:rPr>
      </w:pPr>
      <w:r>
        <w:rPr>
          <w:rFonts w:ascii="宋体" w:hAnsi="宋体" w:eastAsia="宋体" w:cs="宋体"/>
          <w:spacing w:val="-1"/>
          <w:sz w:val="21"/>
          <w:szCs w:val="21"/>
        </w:rPr>
        <w:t>换发包人代表的，应提前</w:t>
      </w:r>
      <w:r>
        <w:rPr>
          <w:rFonts w:ascii="宋体" w:hAnsi="宋体" w:eastAsia="宋体" w:cs="宋体"/>
          <w:spacing w:val="-43"/>
          <w:sz w:val="21"/>
          <w:szCs w:val="21"/>
        </w:rPr>
        <w:t xml:space="preserve"> </w:t>
      </w:r>
      <w:r>
        <w:rPr>
          <w:rFonts w:ascii="Times New Roman" w:hAnsi="Times New Roman" w:eastAsia="Times New Roman" w:cs="Times New Roman"/>
          <w:spacing w:val="-1"/>
          <w:sz w:val="21"/>
          <w:szCs w:val="21"/>
        </w:rPr>
        <w:t xml:space="preserve">7 </w:t>
      </w:r>
      <w:r>
        <w:rPr>
          <w:rFonts w:ascii="宋体" w:hAnsi="宋体" w:eastAsia="宋体" w:cs="宋体"/>
          <w:spacing w:val="-1"/>
          <w:sz w:val="21"/>
          <w:szCs w:val="21"/>
        </w:rPr>
        <w:t>天书面通知承包</w:t>
      </w:r>
      <w:r>
        <w:rPr>
          <w:rFonts w:ascii="宋体" w:hAnsi="宋体" w:eastAsia="宋体" w:cs="宋体"/>
          <w:spacing w:val="-2"/>
          <w:sz w:val="21"/>
          <w:szCs w:val="21"/>
        </w:rPr>
        <w:t>人。</w:t>
      </w:r>
    </w:p>
    <w:p w14:paraId="54794E56">
      <w:pPr>
        <w:spacing w:before="148" w:line="403" w:lineRule="exact"/>
        <w:ind w:left="444"/>
        <w:rPr>
          <w:rFonts w:ascii="宋体" w:hAnsi="宋体" w:eastAsia="宋体" w:cs="宋体"/>
          <w:sz w:val="21"/>
          <w:szCs w:val="21"/>
        </w:rPr>
      </w:pPr>
      <w:r>
        <w:rPr>
          <w:rFonts w:ascii="宋体" w:hAnsi="宋体" w:eastAsia="宋体" w:cs="宋体"/>
          <w:spacing w:val="3"/>
          <w:position w:val="14"/>
          <w:sz w:val="21"/>
          <w:szCs w:val="21"/>
        </w:rPr>
        <w:t>发包人代表不能按照合同约定履行其职责及义务，并导致合同无法继</w:t>
      </w:r>
      <w:r>
        <w:rPr>
          <w:rFonts w:ascii="宋体" w:hAnsi="宋体" w:eastAsia="宋体" w:cs="宋体"/>
          <w:spacing w:val="2"/>
          <w:position w:val="14"/>
          <w:sz w:val="21"/>
          <w:szCs w:val="21"/>
        </w:rPr>
        <w:t>续正常履行的，</w:t>
      </w:r>
    </w:p>
    <w:p w14:paraId="0E60C4A1">
      <w:pPr>
        <w:spacing w:line="220" w:lineRule="auto"/>
        <w:ind w:left="18"/>
        <w:rPr>
          <w:rFonts w:ascii="宋体" w:hAnsi="宋体" w:eastAsia="宋体" w:cs="宋体"/>
          <w:sz w:val="21"/>
          <w:szCs w:val="21"/>
        </w:rPr>
      </w:pPr>
      <w:r>
        <w:rPr>
          <w:rFonts w:ascii="宋体" w:hAnsi="宋体" w:eastAsia="宋体" w:cs="宋体"/>
          <w:spacing w:val="-1"/>
          <w:sz w:val="21"/>
          <w:szCs w:val="21"/>
        </w:rPr>
        <w:t>承包人可以要求发包人撤换发包人代表。</w:t>
      </w:r>
    </w:p>
    <w:p w14:paraId="7D21F84F">
      <w:pPr>
        <w:spacing w:before="147" w:line="221" w:lineRule="auto"/>
        <w:ind w:left="444"/>
        <w:rPr>
          <w:rFonts w:ascii="宋体" w:hAnsi="宋体" w:eastAsia="宋体" w:cs="宋体"/>
          <w:sz w:val="21"/>
          <w:szCs w:val="21"/>
        </w:rPr>
      </w:pPr>
      <w:r>
        <w:rPr>
          <w:rFonts w:ascii="宋体" w:hAnsi="宋体" w:eastAsia="宋体" w:cs="宋体"/>
          <w:spacing w:val="3"/>
          <w:sz w:val="21"/>
          <w:szCs w:val="21"/>
        </w:rPr>
        <w:t>不属于法定必须监理的工程，监理人的职权可以由发包人代表或发包人指定的其他人</w:t>
      </w:r>
    </w:p>
    <w:p w14:paraId="3112644E">
      <w:pPr>
        <w:spacing w:before="148" w:line="221" w:lineRule="auto"/>
        <w:ind w:left="26"/>
        <w:rPr>
          <w:rFonts w:ascii="宋体" w:hAnsi="宋体" w:eastAsia="宋体" w:cs="宋体"/>
          <w:sz w:val="21"/>
          <w:szCs w:val="21"/>
        </w:rPr>
      </w:pPr>
      <w:r>
        <w:rPr>
          <w:rFonts w:ascii="宋体" w:hAnsi="宋体" w:eastAsia="宋体" w:cs="宋体"/>
          <w:spacing w:val="-9"/>
          <w:sz w:val="21"/>
          <w:szCs w:val="21"/>
        </w:rPr>
        <w:t>员行使。</w:t>
      </w:r>
    </w:p>
    <w:p w14:paraId="0A63EF13">
      <w:pPr>
        <w:spacing w:before="51" w:line="218" w:lineRule="auto"/>
        <w:ind w:left="17"/>
        <w:rPr>
          <w:rFonts w:ascii="黑体" w:hAnsi="黑体" w:eastAsia="黑体" w:cs="黑体"/>
          <w:sz w:val="24"/>
          <w:szCs w:val="24"/>
        </w:rPr>
      </w:pPr>
      <w:r>
        <w:rPr>
          <w:rFonts w:ascii="黑体" w:hAnsi="黑体" w:eastAsia="黑体" w:cs="黑体"/>
          <w:spacing w:val="-1"/>
          <w:sz w:val="24"/>
          <w:szCs w:val="24"/>
        </w:rPr>
        <w:t>2.3 发包人人员</w:t>
      </w:r>
    </w:p>
    <w:p w14:paraId="431F85EB">
      <w:pPr>
        <w:spacing w:before="130" w:line="350" w:lineRule="auto"/>
        <w:ind w:left="17" w:right="179" w:firstLine="427"/>
        <w:jc w:val="both"/>
        <w:rPr>
          <w:rFonts w:ascii="宋体" w:hAnsi="宋体" w:eastAsia="宋体" w:cs="宋体"/>
          <w:sz w:val="21"/>
          <w:szCs w:val="21"/>
        </w:rPr>
      </w:pPr>
      <w:r>
        <w:rPr>
          <w:rFonts w:ascii="宋体" w:hAnsi="宋体" w:eastAsia="宋体" w:cs="宋体"/>
          <w:spacing w:val="3"/>
          <w:sz w:val="21"/>
          <w:szCs w:val="21"/>
        </w:rPr>
        <w:t>发包人应要求在施工现场的发包人人员遵守法律及有关安全、质量、环境保护、文明</w:t>
      </w:r>
      <w:r>
        <w:rPr>
          <w:rFonts w:ascii="宋体" w:hAnsi="宋体" w:eastAsia="宋体" w:cs="宋体"/>
          <w:sz w:val="21"/>
          <w:szCs w:val="21"/>
        </w:rPr>
        <w:t xml:space="preserve"> 施工等规定， 并保障承包人免于承受因发包人人员未遵守上述要求给承包人造成的损失和</w:t>
      </w:r>
    </w:p>
    <w:p w14:paraId="05FE49E7">
      <w:pPr>
        <w:spacing w:before="1" w:line="220" w:lineRule="auto"/>
        <w:ind w:left="25"/>
        <w:rPr>
          <w:rFonts w:ascii="宋体" w:hAnsi="宋体" w:eastAsia="宋体" w:cs="宋体"/>
          <w:sz w:val="21"/>
          <w:szCs w:val="21"/>
        </w:rPr>
      </w:pPr>
      <w:r>
        <w:rPr>
          <w:rFonts w:ascii="宋体" w:hAnsi="宋体" w:eastAsia="宋体" w:cs="宋体"/>
          <w:spacing w:val="-10"/>
          <w:sz w:val="21"/>
          <w:szCs w:val="21"/>
        </w:rPr>
        <w:t>责任。</w:t>
      </w:r>
    </w:p>
    <w:p w14:paraId="2FAF4B89">
      <w:pPr>
        <w:spacing w:before="152" w:line="221" w:lineRule="auto"/>
        <w:ind w:left="444"/>
        <w:rPr>
          <w:rFonts w:ascii="宋体" w:hAnsi="宋体" w:eastAsia="宋体" w:cs="宋体"/>
          <w:sz w:val="21"/>
          <w:szCs w:val="21"/>
        </w:rPr>
      </w:pPr>
      <w:r>
        <w:rPr>
          <w:rFonts w:ascii="宋体" w:hAnsi="宋体" w:eastAsia="宋体" w:cs="宋体"/>
          <w:sz w:val="21"/>
          <w:szCs w:val="21"/>
        </w:rPr>
        <w:t>发包人人员包括发包人代表及其他由发包人派</w:t>
      </w:r>
      <w:r>
        <w:rPr>
          <w:rFonts w:ascii="宋体" w:hAnsi="宋体" w:eastAsia="宋体" w:cs="宋体"/>
          <w:spacing w:val="-1"/>
          <w:sz w:val="21"/>
          <w:szCs w:val="21"/>
        </w:rPr>
        <w:t>驻施工现场的人员。</w:t>
      </w:r>
    </w:p>
    <w:p w14:paraId="68C35D5F">
      <w:pPr>
        <w:spacing w:before="46" w:line="218" w:lineRule="auto"/>
        <w:ind w:left="17"/>
        <w:rPr>
          <w:rFonts w:ascii="黑体" w:hAnsi="黑体" w:eastAsia="黑体" w:cs="黑体"/>
          <w:sz w:val="24"/>
          <w:szCs w:val="24"/>
        </w:rPr>
      </w:pPr>
      <w:r>
        <w:rPr>
          <w:rFonts w:ascii="黑体" w:hAnsi="黑体" w:eastAsia="黑体" w:cs="黑体"/>
          <w:spacing w:val="-1"/>
          <w:sz w:val="24"/>
          <w:szCs w:val="24"/>
        </w:rPr>
        <w:t>2.4 施工现场、施工条件和基础资料的提供</w:t>
      </w:r>
    </w:p>
    <w:p w14:paraId="6BD87AF9">
      <w:pPr>
        <w:spacing w:before="130" w:line="220" w:lineRule="auto"/>
        <w:ind w:left="437"/>
        <w:rPr>
          <w:rFonts w:ascii="宋体" w:hAnsi="宋体" w:eastAsia="宋体" w:cs="宋体"/>
          <w:sz w:val="21"/>
          <w:szCs w:val="21"/>
        </w:rPr>
      </w:pPr>
      <w:r>
        <w:rPr>
          <w:rFonts w:ascii="Times New Roman" w:hAnsi="Times New Roman" w:eastAsia="Times New Roman" w:cs="Times New Roman"/>
          <w:sz w:val="21"/>
          <w:szCs w:val="21"/>
        </w:rPr>
        <w:t xml:space="preserve">2.4.1 </w:t>
      </w:r>
      <w:r>
        <w:rPr>
          <w:rFonts w:ascii="宋体" w:hAnsi="宋体" w:eastAsia="宋体" w:cs="宋体"/>
          <w:sz w:val="21"/>
          <w:szCs w:val="21"/>
        </w:rPr>
        <w:t>提供施工现场</w:t>
      </w:r>
    </w:p>
    <w:p w14:paraId="52BCA600">
      <w:pPr>
        <w:spacing w:before="149" w:line="398" w:lineRule="exact"/>
        <w:jc w:val="right"/>
        <w:rPr>
          <w:rFonts w:ascii="宋体" w:hAnsi="宋体" w:eastAsia="宋体" w:cs="宋体"/>
          <w:sz w:val="21"/>
          <w:szCs w:val="21"/>
        </w:rPr>
      </w:pPr>
      <w:r>
        <w:rPr>
          <w:rFonts w:ascii="宋体" w:hAnsi="宋体" w:eastAsia="宋体" w:cs="宋体"/>
          <w:spacing w:val="-1"/>
          <w:position w:val="14"/>
          <w:sz w:val="21"/>
          <w:szCs w:val="21"/>
        </w:rPr>
        <w:t xml:space="preserve">除专用合同条款另有约定外，发包人应最迟于开工日期 </w:t>
      </w:r>
      <w:r>
        <w:rPr>
          <w:rFonts w:ascii="Times New Roman" w:hAnsi="Times New Roman" w:eastAsia="Times New Roman" w:cs="Times New Roman"/>
          <w:spacing w:val="-1"/>
          <w:position w:val="14"/>
          <w:sz w:val="21"/>
          <w:szCs w:val="21"/>
        </w:rPr>
        <w:t xml:space="preserve">7  </w:t>
      </w:r>
      <w:r>
        <w:rPr>
          <w:rFonts w:ascii="宋体" w:hAnsi="宋体" w:eastAsia="宋体" w:cs="宋体"/>
          <w:spacing w:val="-1"/>
          <w:position w:val="14"/>
          <w:sz w:val="21"/>
          <w:szCs w:val="21"/>
        </w:rPr>
        <w:t>天前向承包人移交施工现场。</w:t>
      </w:r>
    </w:p>
    <w:p w14:paraId="2CAAD138">
      <w:pPr>
        <w:spacing w:before="1" w:line="219" w:lineRule="auto"/>
        <w:ind w:left="437"/>
        <w:rPr>
          <w:rFonts w:ascii="宋体" w:hAnsi="宋体" w:eastAsia="宋体" w:cs="宋体"/>
          <w:sz w:val="21"/>
          <w:szCs w:val="21"/>
        </w:rPr>
      </w:pPr>
      <w:r>
        <w:rPr>
          <w:rFonts w:ascii="Times New Roman" w:hAnsi="Times New Roman" w:eastAsia="Times New Roman" w:cs="Times New Roman"/>
          <w:sz w:val="21"/>
          <w:szCs w:val="21"/>
        </w:rPr>
        <w:t xml:space="preserve">2.4.2 </w:t>
      </w:r>
      <w:r>
        <w:rPr>
          <w:rFonts w:ascii="宋体" w:hAnsi="宋体" w:eastAsia="宋体" w:cs="宋体"/>
          <w:sz w:val="21"/>
          <w:szCs w:val="21"/>
        </w:rPr>
        <w:t>提供施工条件</w:t>
      </w:r>
    </w:p>
    <w:p w14:paraId="601F7D97">
      <w:pPr>
        <w:spacing w:before="153" w:line="220" w:lineRule="auto"/>
        <w:ind w:left="453"/>
        <w:rPr>
          <w:rFonts w:ascii="宋体" w:hAnsi="宋体" w:eastAsia="宋体" w:cs="宋体"/>
          <w:sz w:val="21"/>
          <w:szCs w:val="21"/>
        </w:rPr>
      </w:pPr>
      <w:r>
        <w:rPr>
          <w:rFonts w:ascii="宋体" w:hAnsi="宋体" w:eastAsia="宋体" w:cs="宋体"/>
          <w:spacing w:val="-4"/>
          <w:sz w:val="21"/>
          <w:szCs w:val="21"/>
        </w:rPr>
        <w:t>除专用合同条款另有约定外， 发包人应负责提供施工所需要的条件，包括：</w:t>
      </w:r>
    </w:p>
    <w:p w14:paraId="61AA5F7F">
      <w:pPr>
        <w:spacing w:before="148" w:line="221" w:lineRule="auto"/>
        <w:ind w:left="447"/>
        <w:rPr>
          <w:rFonts w:ascii="宋体" w:hAnsi="宋体" w:eastAsia="宋体" w:cs="宋体"/>
          <w:sz w:val="21"/>
          <w:szCs w:val="21"/>
        </w:rPr>
      </w:pPr>
      <w:r>
        <w:rPr>
          <w:rFonts w:ascii="宋体" w:hAnsi="宋体" w:eastAsia="宋体" w:cs="宋体"/>
          <w:sz w:val="21"/>
          <w:szCs w:val="21"/>
        </w:rPr>
        <w:t>（</w:t>
      </w:r>
      <w:r>
        <w:rPr>
          <w:rFonts w:ascii="Times New Roman" w:hAnsi="Times New Roman" w:eastAsia="Times New Roman" w:cs="Times New Roman"/>
          <w:sz w:val="21"/>
          <w:szCs w:val="21"/>
        </w:rPr>
        <w:t>1</w:t>
      </w:r>
      <w:r>
        <w:rPr>
          <w:rFonts w:ascii="宋体" w:hAnsi="宋体" w:eastAsia="宋体" w:cs="宋体"/>
          <w:sz w:val="21"/>
          <w:szCs w:val="21"/>
        </w:rPr>
        <w:t>）将施工用水、电力、通讯线路等施工所必</w:t>
      </w:r>
      <w:r>
        <w:rPr>
          <w:rFonts w:ascii="宋体" w:hAnsi="宋体" w:eastAsia="宋体" w:cs="宋体"/>
          <w:spacing w:val="-1"/>
          <w:sz w:val="21"/>
          <w:szCs w:val="21"/>
        </w:rPr>
        <w:t>需的条件接至施工现场内；</w:t>
      </w:r>
    </w:p>
    <w:p w14:paraId="644169A1">
      <w:pPr>
        <w:spacing w:before="147" w:line="220" w:lineRule="auto"/>
        <w:ind w:left="447"/>
        <w:rPr>
          <w:rFonts w:ascii="宋体" w:hAnsi="宋体" w:eastAsia="宋体" w:cs="宋体"/>
          <w:sz w:val="21"/>
          <w:szCs w:val="21"/>
        </w:rPr>
      </w:pPr>
      <w:r>
        <w:rPr>
          <w:rFonts w:ascii="宋体" w:hAnsi="宋体" w:eastAsia="宋体" w:cs="宋体"/>
          <w:spacing w:val="-2"/>
          <w:sz w:val="21"/>
          <w:szCs w:val="21"/>
        </w:rPr>
        <w:t>（</w:t>
      </w:r>
      <w:r>
        <w:rPr>
          <w:rFonts w:ascii="Times New Roman" w:hAnsi="Times New Roman" w:eastAsia="Times New Roman" w:cs="Times New Roman"/>
          <w:spacing w:val="-2"/>
          <w:sz w:val="21"/>
          <w:szCs w:val="21"/>
        </w:rPr>
        <w:t>2</w:t>
      </w:r>
      <w:r>
        <w:rPr>
          <w:rFonts w:ascii="宋体" w:hAnsi="宋体" w:eastAsia="宋体" w:cs="宋体"/>
          <w:spacing w:val="-2"/>
          <w:sz w:val="21"/>
          <w:szCs w:val="21"/>
        </w:rPr>
        <w:t>）保证向承包人提供正常施工所需要的进入施工现场的交通条件；</w:t>
      </w:r>
    </w:p>
    <w:p w14:paraId="3E5C5F9F">
      <w:pPr>
        <w:spacing w:before="153" w:line="221" w:lineRule="auto"/>
        <w:ind w:left="447"/>
        <w:rPr>
          <w:rFonts w:ascii="宋体" w:hAnsi="宋体" w:eastAsia="宋体" w:cs="宋体"/>
          <w:sz w:val="21"/>
          <w:szCs w:val="21"/>
        </w:rPr>
      </w:pPr>
      <w:r>
        <w:rPr>
          <w:rFonts w:ascii="宋体" w:hAnsi="宋体" w:eastAsia="宋体" w:cs="宋体"/>
          <w:spacing w:val="-1"/>
          <w:sz w:val="21"/>
          <w:szCs w:val="21"/>
        </w:rPr>
        <w:t>（</w:t>
      </w:r>
      <w:r>
        <w:rPr>
          <w:rFonts w:ascii="Times New Roman" w:hAnsi="Times New Roman" w:eastAsia="Times New Roman" w:cs="Times New Roman"/>
          <w:spacing w:val="-1"/>
          <w:sz w:val="21"/>
          <w:szCs w:val="21"/>
        </w:rPr>
        <w:t>3</w:t>
      </w:r>
      <w:r>
        <w:rPr>
          <w:rFonts w:ascii="宋体" w:hAnsi="宋体" w:eastAsia="宋体" w:cs="宋体"/>
          <w:spacing w:val="-1"/>
          <w:sz w:val="21"/>
          <w:szCs w:val="21"/>
        </w:rPr>
        <w:t>）协调处理施工现场周围地下管线和邻近建筑物、构筑物、古树名木的保护工作，</w:t>
      </w:r>
    </w:p>
    <w:p w14:paraId="4B5D77DD">
      <w:pPr>
        <w:spacing w:before="147" w:line="221" w:lineRule="auto"/>
        <w:ind w:left="23"/>
        <w:rPr>
          <w:rFonts w:ascii="宋体" w:hAnsi="宋体" w:eastAsia="宋体" w:cs="宋体"/>
          <w:sz w:val="21"/>
          <w:szCs w:val="21"/>
        </w:rPr>
      </w:pPr>
      <w:r>
        <w:rPr>
          <w:rFonts w:ascii="宋体" w:hAnsi="宋体" w:eastAsia="宋体" w:cs="宋体"/>
          <w:spacing w:val="-6"/>
          <w:sz w:val="21"/>
          <w:szCs w:val="21"/>
        </w:rPr>
        <w:t>并承担相关费用；</w:t>
      </w:r>
    </w:p>
    <w:p w14:paraId="7485CD35">
      <w:pPr>
        <w:spacing w:before="148" w:line="220" w:lineRule="auto"/>
        <w:ind w:left="447"/>
        <w:rPr>
          <w:rFonts w:ascii="宋体" w:hAnsi="宋体" w:eastAsia="宋体" w:cs="宋体"/>
          <w:sz w:val="21"/>
          <w:szCs w:val="21"/>
        </w:rPr>
      </w:pPr>
      <w:r>
        <w:rPr>
          <w:rFonts w:ascii="宋体" w:hAnsi="宋体" w:eastAsia="宋体" w:cs="宋体"/>
          <w:spacing w:val="-1"/>
          <w:sz w:val="21"/>
          <w:szCs w:val="21"/>
        </w:rPr>
        <w:t>（</w:t>
      </w:r>
      <w:r>
        <w:rPr>
          <w:rFonts w:ascii="Times New Roman" w:hAnsi="Times New Roman" w:eastAsia="Times New Roman" w:cs="Times New Roman"/>
          <w:spacing w:val="-1"/>
          <w:sz w:val="21"/>
          <w:szCs w:val="21"/>
        </w:rPr>
        <w:t>4</w:t>
      </w:r>
      <w:r>
        <w:rPr>
          <w:rFonts w:ascii="宋体" w:hAnsi="宋体" w:eastAsia="宋体" w:cs="宋体"/>
          <w:spacing w:val="-1"/>
          <w:sz w:val="21"/>
          <w:szCs w:val="21"/>
        </w:rPr>
        <w:t>）按照专用合同条款约定应提供的其他设施</w:t>
      </w:r>
      <w:r>
        <w:rPr>
          <w:rFonts w:ascii="宋体" w:hAnsi="宋体" w:eastAsia="宋体" w:cs="宋体"/>
          <w:spacing w:val="-2"/>
          <w:sz w:val="21"/>
          <w:szCs w:val="21"/>
        </w:rPr>
        <w:t>和条件。</w:t>
      </w:r>
    </w:p>
    <w:p w14:paraId="77105350">
      <w:pPr>
        <w:spacing w:before="153" w:line="220" w:lineRule="auto"/>
        <w:ind w:left="437"/>
        <w:rPr>
          <w:rFonts w:ascii="宋体" w:hAnsi="宋体" w:eastAsia="宋体" w:cs="宋体"/>
          <w:sz w:val="21"/>
          <w:szCs w:val="21"/>
        </w:rPr>
      </w:pPr>
      <w:r>
        <w:rPr>
          <w:rFonts w:ascii="Times New Roman" w:hAnsi="Times New Roman" w:eastAsia="Times New Roman" w:cs="Times New Roman"/>
          <w:sz w:val="21"/>
          <w:szCs w:val="21"/>
        </w:rPr>
        <w:t xml:space="preserve">2.4.3 </w:t>
      </w:r>
      <w:r>
        <w:rPr>
          <w:rFonts w:ascii="宋体" w:hAnsi="宋体" w:eastAsia="宋体" w:cs="宋体"/>
          <w:sz w:val="21"/>
          <w:szCs w:val="21"/>
        </w:rPr>
        <w:t>提供基础资料</w:t>
      </w:r>
    </w:p>
    <w:p w14:paraId="4BCDD553">
      <w:pPr>
        <w:spacing w:before="147" w:line="352" w:lineRule="auto"/>
        <w:ind w:left="18" w:right="21" w:firstLine="426"/>
        <w:rPr>
          <w:rFonts w:ascii="宋体" w:hAnsi="宋体" w:eastAsia="宋体" w:cs="宋体"/>
          <w:sz w:val="21"/>
          <w:szCs w:val="21"/>
        </w:rPr>
      </w:pPr>
      <w:r>
        <w:rPr>
          <w:rFonts w:ascii="宋体" w:hAnsi="宋体" w:eastAsia="宋体" w:cs="宋体"/>
          <w:spacing w:val="2"/>
          <w:sz w:val="21"/>
          <w:szCs w:val="21"/>
        </w:rPr>
        <w:t>发包人应当在移交施工现场前向承包人提供施工现场及工程施工所必需的毗邻区域内  供水、排水、供电、供气、供热、通信、广播电视等地下</w:t>
      </w:r>
      <w:r>
        <w:rPr>
          <w:rFonts w:ascii="宋体" w:hAnsi="宋体" w:eastAsia="宋体" w:cs="宋体"/>
          <w:spacing w:val="1"/>
          <w:sz w:val="21"/>
          <w:szCs w:val="21"/>
        </w:rPr>
        <w:t>管线资料，气象和水文观测资料，</w:t>
      </w:r>
      <w:r>
        <w:rPr>
          <w:rFonts w:ascii="宋体" w:hAnsi="宋体" w:eastAsia="宋体" w:cs="宋体"/>
          <w:sz w:val="21"/>
          <w:szCs w:val="21"/>
        </w:rPr>
        <w:t xml:space="preserve"> 地质勘察资料，相邻建筑物、构筑物和地下工程等有关基础资料； 并对所提供资料的真实</w:t>
      </w:r>
    </w:p>
    <w:p w14:paraId="1E263EBE">
      <w:pPr>
        <w:spacing w:before="1" w:line="220" w:lineRule="auto"/>
        <w:ind w:left="20"/>
        <w:rPr>
          <w:rFonts w:ascii="宋体" w:hAnsi="宋体" w:eastAsia="宋体" w:cs="宋体"/>
          <w:sz w:val="21"/>
          <w:szCs w:val="21"/>
        </w:rPr>
      </w:pPr>
      <w:r>
        <w:rPr>
          <w:rFonts w:ascii="宋体" w:hAnsi="宋体" w:eastAsia="宋体" w:cs="宋体"/>
          <w:spacing w:val="-3"/>
          <w:sz w:val="21"/>
          <w:szCs w:val="21"/>
        </w:rPr>
        <w:t>性、准确性和完整性负责。</w:t>
      </w:r>
    </w:p>
    <w:p w14:paraId="2332F873">
      <w:pPr>
        <w:spacing w:before="148" w:line="403" w:lineRule="exact"/>
        <w:ind w:left="442"/>
        <w:rPr>
          <w:rFonts w:ascii="宋体" w:hAnsi="宋体" w:eastAsia="宋体" w:cs="宋体"/>
          <w:sz w:val="21"/>
          <w:szCs w:val="21"/>
        </w:rPr>
      </w:pPr>
      <w:r>
        <w:rPr>
          <w:rFonts w:ascii="宋体" w:hAnsi="宋体" w:eastAsia="宋体" w:cs="宋体"/>
          <w:spacing w:val="3"/>
          <w:position w:val="14"/>
          <w:sz w:val="21"/>
          <w:szCs w:val="21"/>
        </w:rPr>
        <w:t>按照法律规定确需在开工后方能提供的基础资料，发包人应尽其努力及时地在相应工</w:t>
      </w:r>
    </w:p>
    <w:p w14:paraId="3AF7B0BE">
      <w:pPr>
        <w:spacing w:before="1" w:line="219" w:lineRule="auto"/>
        <w:ind w:left="17"/>
        <w:rPr>
          <w:rFonts w:ascii="宋体" w:hAnsi="宋体" w:eastAsia="宋体" w:cs="宋体"/>
          <w:sz w:val="21"/>
          <w:szCs w:val="21"/>
        </w:rPr>
      </w:pPr>
      <w:r>
        <w:rPr>
          <w:rFonts w:ascii="宋体" w:hAnsi="宋体" w:eastAsia="宋体" w:cs="宋体"/>
          <w:spacing w:val="-3"/>
          <w:sz w:val="21"/>
          <w:szCs w:val="21"/>
        </w:rPr>
        <w:t>程施工前的合理期限内提供， 合理期限应以不影响承包人的</w:t>
      </w:r>
      <w:r>
        <w:rPr>
          <w:rFonts w:ascii="宋体" w:hAnsi="宋体" w:eastAsia="宋体" w:cs="宋体"/>
          <w:spacing w:val="-4"/>
          <w:sz w:val="21"/>
          <w:szCs w:val="21"/>
        </w:rPr>
        <w:t>正常施工为限。</w:t>
      </w:r>
    </w:p>
    <w:p w14:paraId="536F6886">
      <w:pPr>
        <w:spacing w:before="148" w:line="220" w:lineRule="auto"/>
        <w:ind w:left="437"/>
        <w:rPr>
          <w:rFonts w:ascii="宋体" w:hAnsi="宋体" w:eastAsia="宋体" w:cs="宋体"/>
          <w:sz w:val="21"/>
          <w:szCs w:val="21"/>
        </w:rPr>
      </w:pPr>
      <w:r>
        <w:rPr>
          <w:rFonts w:ascii="Times New Roman" w:hAnsi="Times New Roman" w:eastAsia="Times New Roman" w:cs="Times New Roman"/>
          <w:sz w:val="21"/>
          <w:szCs w:val="21"/>
        </w:rPr>
        <w:t xml:space="preserve">2.4.4 </w:t>
      </w:r>
      <w:r>
        <w:rPr>
          <w:rFonts w:ascii="宋体" w:hAnsi="宋体" w:eastAsia="宋体" w:cs="宋体"/>
          <w:sz w:val="21"/>
          <w:szCs w:val="21"/>
        </w:rPr>
        <w:t>逾期提供的责任</w:t>
      </w:r>
    </w:p>
    <w:p w14:paraId="2DD12FB5">
      <w:pPr>
        <w:spacing w:before="148" w:line="220" w:lineRule="auto"/>
        <w:ind w:left="457"/>
        <w:rPr>
          <w:rFonts w:ascii="宋体" w:hAnsi="宋体" w:eastAsia="宋体" w:cs="宋体"/>
          <w:sz w:val="21"/>
          <w:szCs w:val="21"/>
        </w:rPr>
      </w:pPr>
      <w:r>
        <w:rPr>
          <w:rFonts w:ascii="宋体" w:hAnsi="宋体" w:eastAsia="宋体" w:cs="宋体"/>
          <w:spacing w:val="2"/>
          <w:sz w:val="21"/>
          <w:szCs w:val="21"/>
        </w:rPr>
        <w:t>因发包人原因未能按合同约定及时向承包人提供施工现场、施工条件、基础资料的，</w:t>
      </w:r>
    </w:p>
    <w:p w14:paraId="5C2D21B8">
      <w:pPr>
        <w:spacing w:before="153" w:line="221" w:lineRule="auto"/>
        <w:ind w:left="43"/>
        <w:rPr>
          <w:rFonts w:ascii="宋体" w:hAnsi="宋体" w:eastAsia="宋体" w:cs="宋体"/>
          <w:sz w:val="21"/>
          <w:szCs w:val="21"/>
        </w:rPr>
      </w:pPr>
      <w:r>
        <w:rPr>
          <w:rFonts w:ascii="宋体" w:hAnsi="宋体" w:eastAsia="宋体" w:cs="宋体"/>
          <w:spacing w:val="-7"/>
          <w:sz w:val="21"/>
          <w:szCs w:val="21"/>
        </w:rPr>
        <w:t>由发包人承担由此增加的费用和（或） 延误的工期。</w:t>
      </w:r>
    </w:p>
    <w:p w14:paraId="344D5F22">
      <w:pPr>
        <w:spacing w:before="46" w:line="218" w:lineRule="auto"/>
        <w:ind w:left="17"/>
        <w:rPr>
          <w:rFonts w:ascii="黑体" w:hAnsi="黑体" w:eastAsia="黑体" w:cs="黑体"/>
          <w:sz w:val="24"/>
          <w:szCs w:val="24"/>
        </w:rPr>
      </w:pPr>
      <w:r>
        <w:rPr>
          <w:rFonts w:ascii="黑体" w:hAnsi="黑体" w:eastAsia="黑体" w:cs="黑体"/>
          <w:spacing w:val="-1"/>
          <w:sz w:val="24"/>
          <w:szCs w:val="24"/>
        </w:rPr>
        <w:t>2.5 资金来源证明及支付担保</w:t>
      </w:r>
    </w:p>
    <w:p w14:paraId="54F26CE0">
      <w:pPr>
        <w:spacing w:before="131" w:line="220" w:lineRule="auto"/>
        <w:ind w:left="453"/>
        <w:rPr>
          <w:rFonts w:ascii="宋体" w:hAnsi="宋体" w:eastAsia="宋体" w:cs="宋体"/>
          <w:sz w:val="21"/>
          <w:szCs w:val="21"/>
        </w:rPr>
      </w:pPr>
      <w:r>
        <w:rPr>
          <w:rFonts w:ascii="宋体" w:hAnsi="宋体" w:eastAsia="宋体" w:cs="宋体"/>
          <w:spacing w:val="3"/>
          <w:sz w:val="21"/>
          <w:szCs w:val="21"/>
        </w:rPr>
        <w:t>除专用合同条款另有约定外，发包人应在收到承包人要求提供</w:t>
      </w:r>
      <w:r>
        <w:rPr>
          <w:rFonts w:ascii="宋体" w:hAnsi="宋体" w:eastAsia="宋体" w:cs="宋体"/>
          <w:spacing w:val="2"/>
          <w:sz w:val="21"/>
          <w:szCs w:val="21"/>
        </w:rPr>
        <w:t>资金来源证明的书面通</w:t>
      </w:r>
    </w:p>
    <w:p w14:paraId="30FDF2B4">
      <w:pPr>
        <w:spacing w:line="220" w:lineRule="auto"/>
        <w:rPr>
          <w:rFonts w:ascii="宋体" w:hAnsi="宋体" w:eastAsia="宋体" w:cs="宋体"/>
          <w:sz w:val="21"/>
          <w:szCs w:val="21"/>
        </w:rPr>
        <w:sectPr>
          <w:footerReference r:id="rId96" w:type="default"/>
          <w:pgSz w:w="11905" w:h="16839"/>
          <w:pgMar w:top="1431" w:right="1612" w:bottom="1004" w:left="1785" w:header="0" w:footer="829" w:gutter="0"/>
          <w:pgNumType w:fmt="decimal"/>
          <w:cols w:space="720" w:num="1"/>
        </w:sectPr>
      </w:pPr>
    </w:p>
    <w:p w14:paraId="74136D1A">
      <w:pPr>
        <w:spacing w:before="149" w:line="219" w:lineRule="auto"/>
        <w:ind w:left="22"/>
        <w:rPr>
          <w:rFonts w:ascii="宋体" w:hAnsi="宋体" w:eastAsia="宋体" w:cs="宋体"/>
          <w:sz w:val="21"/>
          <w:szCs w:val="21"/>
        </w:rPr>
      </w:pPr>
      <w:r>
        <w:rPr>
          <w:rFonts w:ascii="宋体" w:hAnsi="宋体" w:eastAsia="宋体" w:cs="宋体"/>
          <w:spacing w:val="-1"/>
          <w:sz w:val="21"/>
          <w:szCs w:val="21"/>
        </w:rPr>
        <w:t>知后</w:t>
      </w:r>
      <w:r>
        <w:rPr>
          <w:rFonts w:ascii="宋体" w:hAnsi="宋体" w:eastAsia="宋体" w:cs="宋体"/>
          <w:spacing w:val="-34"/>
          <w:sz w:val="21"/>
          <w:szCs w:val="21"/>
        </w:rPr>
        <w:t xml:space="preserve"> </w:t>
      </w:r>
      <w:r>
        <w:rPr>
          <w:rFonts w:ascii="Times New Roman" w:hAnsi="Times New Roman" w:eastAsia="Times New Roman" w:cs="Times New Roman"/>
          <w:spacing w:val="-1"/>
          <w:sz w:val="21"/>
          <w:szCs w:val="21"/>
        </w:rPr>
        <w:t xml:space="preserve">28 </w:t>
      </w:r>
      <w:r>
        <w:rPr>
          <w:rFonts w:ascii="宋体" w:hAnsi="宋体" w:eastAsia="宋体" w:cs="宋体"/>
          <w:spacing w:val="-1"/>
          <w:sz w:val="21"/>
          <w:szCs w:val="21"/>
        </w:rPr>
        <w:t>天内，向承包人提供能够按照合同约定支付合同价款的相应资金来源证明。</w:t>
      </w:r>
    </w:p>
    <w:p w14:paraId="43197CDC">
      <w:pPr>
        <w:spacing w:before="149" w:line="403" w:lineRule="exact"/>
        <w:ind w:left="453"/>
        <w:rPr>
          <w:rFonts w:ascii="宋体" w:hAnsi="宋体" w:eastAsia="宋体" w:cs="宋体"/>
          <w:sz w:val="21"/>
          <w:szCs w:val="21"/>
        </w:rPr>
      </w:pPr>
      <w:r>
        <w:rPr>
          <w:rFonts w:ascii="宋体" w:hAnsi="宋体" w:eastAsia="宋体" w:cs="宋体"/>
          <w:spacing w:val="3"/>
          <w:position w:val="14"/>
          <w:sz w:val="21"/>
          <w:szCs w:val="21"/>
        </w:rPr>
        <w:t>除专用合同条款另有约定外，发包人要求承包人提供履约担保</w:t>
      </w:r>
      <w:r>
        <w:rPr>
          <w:rFonts w:ascii="宋体" w:hAnsi="宋体" w:eastAsia="宋体" w:cs="宋体"/>
          <w:spacing w:val="2"/>
          <w:position w:val="14"/>
          <w:sz w:val="21"/>
          <w:szCs w:val="21"/>
        </w:rPr>
        <w:t>的，发包人应当向承包</w:t>
      </w:r>
    </w:p>
    <w:p w14:paraId="43BFBAB9">
      <w:pPr>
        <w:spacing w:line="219" w:lineRule="auto"/>
        <w:ind w:left="20"/>
        <w:rPr>
          <w:rFonts w:ascii="宋体" w:hAnsi="宋体" w:eastAsia="宋体" w:cs="宋体"/>
          <w:sz w:val="21"/>
          <w:szCs w:val="21"/>
        </w:rPr>
      </w:pPr>
      <w:r>
        <w:rPr>
          <w:rFonts w:ascii="宋体" w:hAnsi="宋体" w:eastAsia="宋体" w:cs="宋体"/>
          <w:sz w:val="21"/>
          <w:szCs w:val="21"/>
        </w:rPr>
        <w:t>人提供支付担保。支付担保可以采用银行保函或担保公司担保等形式， 具体由合同当事人</w:t>
      </w:r>
    </w:p>
    <w:p w14:paraId="6717D85B">
      <w:pPr>
        <w:spacing w:before="148" w:line="221" w:lineRule="auto"/>
        <w:ind w:left="17"/>
        <w:rPr>
          <w:rFonts w:ascii="宋体" w:hAnsi="宋体" w:eastAsia="宋体" w:cs="宋体"/>
          <w:sz w:val="21"/>
          <w:szCs w:val="21"/>
        </w:rPr>
      </w:pPr>
      <w:r>
        <w:rPr>
          <w:rFonts w:ascii="宋体" w:hAnsi="宋体" w:eastAsia="宋体" w:cs="宋体"/>
          <w:spacing w:val="-2"/>
          <w:sz w:val="21"/>
          <w:szCs w:val="21"/>
        </w:rPr>
        <w:t>在专用合同条款中约定。</w:t>
      </w:r>
    </w:p>
    <w:p w14:paraId="6AC82194">
      <w:pPr>
        <w:spacing w:before="45" w:line="219" w:lineRule="auto"/>
        <w:ind w:left="17"/>
        <w:rPr>
          <w:rFonts w:ascii="黑体" w:hAnsi="黑体" w:eastAsia="黑体" w:cs="黑体"/>
          <w:sz w:val="24"/>
          <w:szCs w:val="24"/>
        </w:rPr>
      </w:pPr>
      <w:r>
        <w:rPr>
          <w:rFonts w:ascii="黑体" w:hAnsi="黑体" w:eastAsia="黑体" w:cs="黑体"/>
          <w:spacing w:val="-3"/>
          <w:sz w:val="24"/>
          <w:szCs w:val="24"/>
        </w:rPr>
        <w:t>2.6</w:t>
      </w:r>
      <w:r>
        <w:rPr>
          <w:rFonts w:ascii="黑体" w:hAnsi="黑体" w:eastAsia="黑体" w:cs="黑体"/>
          <w:spacing w:val="21"/>
          <w:sz w:val="24"/>
          <w:szCs w:val="24"/>
        </w:rPr>
        <w:t xml:space="preserve"> </w:t>
      </w:r>
      <w:r>
        <w:rPr>
          <w:rFonts w:ascii="黑体" w:hAnsi="黑体" w:eastAsia="黑体" w:cs="黑体"/>
          <w:spacing w:val="-3"/>
          <w:sz w:val="24"/>
          <w:szCs w:val="24"/>
        </w:rPr>
        <w:t>支付合同价款</w:t>
      </w:r>
    </w:p>
    <w:p w14:paraId="38702CF9">
      <w:pPr>
        <w:spacing w:before="130" w:line="219" w:lineRule="auto"/>
        <w:ind w:left="444"/>
        <w:rPr>
          <w:rFonts w:ascii="宋体" w:hAnsi="宋体" w:eastAsia="宋体" w:cs="宋体"/>
          <w:sz w:val="21"/>
          <w:szCs w:val="21"/>
        </w:rPr>
      </w:pPr>
      <w:r>
        <w:rPr>
          <w:rFonts w:ascii="宋体" w:hAnsi="宋体" w:eastAsia="宋体" w:cs="宋体"/>
          <w:spacing w:val="-1"/>
          <w:sz w:val="21"/>
          <w:szCs w:val="21"/>
        </w:rPr>
        <w:t>发包人应按合同约定向承包人及时支付合同价款。</w:t>
      </w:r>
    </w:p>
    <w:p w14:paraId="2516A0F8">
      <w:pPr>
        <w:spacing w:before="47" w:line="218" w:lineRule="auto"/>
        <w:ind w:left="17"/>
        <w:rPr>
          <w:rFonts w:ascii="黑体" w:hAnsi="黑体" w:eastAsia="黑体" w:cs="黑体"/>
          <w:sz w:val="24"/>
          <w:szCs w:val="24"/>
        </w:rPr>
      </w:pPr>
      <w:r>
        <w:rPr>
          <w:rFonts w:ascii="黑体" w:hAnsi="黑体" w:eastAsia="黑体" w:cs="黑体"/>
          <w:spacing w:val="-1"/>
          <w:sz w:val="24"/>
          <w:szCs w:val="24"/>
        </w:rPr>
        <w:t>2.7 组织竣工验收</w:t>
      </w:r>
    </w:p>
    <w:p w14:paraId="58FBE53F">
      <w:pPr>
        <w:spacing w:before="130" w:line="221" w:lineRule="auto"/>
        <w:ind w:left="444"/>
        <w:rPr>
          <w:rFonts w:ascii="宋体" w:hAnsi="宋体" w:eastAsia="宋体" w:cs="宋体"/>
          <w:sz w:val="21"/>
          <w:szCs w:val="21"/>
        </w:rPr>
      </w:pPr>
      <w:r>
        <w:rPr>
          <w:rFonts w:ascii="宋体" w:hAnsi="宋体" w:eastAsia="宋体" w:cs="宋体"/>
          <w:spacing w:val="-1"/>
          <w:sz w:val="21"/>
          <w:szCs w:val="21"/>
        </w:rPr>
        <w:t>发包人应按合同约定及时组织竣工验收。</w:t>
      </w:r>
    </w:p>
    <w:p w14:paraId="43B70A37">
      <w:pPr>
        <w:spacing w:before="51" w:line="218" w:lineRule="auto"/>
        <w:ind w:left="17"/>
        <w:rPr>
          <w:rFonts w:ascii="黑体" w:hAnsi="黑体" w:eastAsia="黑体" w:cs="黑体"/>
          <w:sz w:val="24"/>
          <w:szCs w:val="24"/>
        </w:rPr>
      </w:pPr>
      <w:r>
        <w:rPr>
          <w:rFonts w:ascii="黑体" w:hAnsi="黑体" w:eastAsia="黑体" w:cs="黑体"/>
          <w:spacing w:val="-1"/>
          <w:sz w:val="24"/>
          <w:szCs w:val="24"/>
        </w:rPr>
        <w:t>2.8 现场统一管理协议</w:t>
      </w:r>
    </w:p>
    <w:p w14:paraId="779B3A4C">
      <w:pPr>
        <w:spacing w:before="130" w:line="399" w:lineRule="exact"/>
        <w:ind w:left="444"/>
        <w:rPr>
          <w:rFonts w:ascii="宋体" w:hAnsi="宋体" w:eastAsia="宋体" w:cs="宋体"/>
          <w:sz w:val="21"/>
          <w:szCs w:val="21"/>
        </w:rPr>
      </w:pPr>
      <w:r>
        <w:rPr>
          <w:rFonts w:ascii="宋体" w:hAnsi="宋体" w:eastAsia="宋体" w:cs="宋体"/>
          <w:spacing w:val="3"/>
          <w:position w:val="14"/>
          <w:sz w:val="21"/>
          <w:szCs w:val="21"/>
        </w:rPr>
        <w:t>发包人应与承包人、由发包人直接发包的专业工程的承包人签订施工现场统一管理协</w:t>
      </w:r>
    </w:p>
    <w:p w14:paraId="1293765E">
      <w:pPr>
        <w:spacing w:before="1" w:line="219" w:lineRule="auto"/>
        <w:ind w:left="20"/>
        <w:rPr>
          <w:rFonts w:ascii="宋体" w:hAnsi="宋体" w:eastAsia="宋体" w:cs="宋体"/>
          <w:sz w:val="21"/>
          <w:szCs w:val="21"/>
        </w:rPr>
      </w:pPr>
      <w:r>
        <w:rPr>
          <w:rFonts w:ascii="宋体" w:hAnsi="宋体" w:eastAsia="宋体" w:cs="宋体"/>
          <w:spacing w:val="-1"/>
          <w:sz w:val="21"/>
          <w:szCs w:val="21"/>
        </w:rPr>
        <w:t>议，明确各方的权利义务。施工现场统一管理协议作为专用合同条款的附件。</w:t>
      </w:r>
    </w:p>
    <w:p w14:paraId="5E25B278">
      <w:pPr>
        <w:spacing w:before="174" w:line="220" w:lineRule="auto"/>
        <w:ind w:left="22"/>
        <w:rPr>
          <w:rFonts w:ascii="黑体" w:hAnsi="黑体" w:eastAsia="黑体" w:cs="黑体"/>
          <w:sz w:val="32"/>
          <w:szCs w:val="32"/>
        </w:rPr>
      </w:pPr>
      <w:r>
        <w:rPr>
          <w:rFonts w:ascii="黑体" w:hAnsi="黑体" w:eastAsia="黑体" w:cs="黑体"/>
          <w:spacing w:val="-2"/>
          <w:sz w:val="32"/>
          <w:szCs w:val="32"/>
        </w:rPr>
        <w:t>3.承包人</w:t>
      </w:r>
    </w:p>
    <w:p w14:paraId="56CF1565">
      <w:pPr>
        <w:spacing w:before="149" w:line="218" w:lineRule="auto"/>
        <w:ind w:left="19"/>
        <w:rPr>
          <w:rFonts w:ascii="黑体" w:hAnsi="黑体" w:eastAsia="黑体" w:cs="黑体"/>
          <w:sz w:val="24"/>
          <w:szCs w:val="24"/>
        </w:rPr>
      </w:pPr>
      <w:r>
        <w:rPr>
          <w:rFonts w:ascii="黑体" w:hAnsi="黑体" w:eastAsia="黑体" w:cs="黑体"/>
          <w:spacing w:val="-1"/>
          <w:sz w:val="24"/>
          <w:szCs w:val="24"/>
        </w:rPr>
        <w:t>3.1 承包人的一般义务</w:t>
      </w:r>
    </w:p>
    <w:p w14:paraId="1D582E4D">
      <w:pPr>
        <w:spacing w:before="130" w:line="221" w:lineRule="auto"/>
        <w:ind w:left="441"/>
        <w:rPr>
          <w:rFonts w:ascii="宋体" w:hAnsi="宋体" w:eastAsia="宋体" w:cs="宋体"/>
          <w:sz w:val="21"/>
          <w:szCs w:val="21"/>
        </w:rPr>
      </w:pPr>
      <w:r>
        <w:rPr>
          <w:rFonts w:ascii="宋体" w:hAnsi="宋体" w:eastAsia="宋体" w:cs="宋体"/>
          <w:spacing w:val="-1"/>
          <w:sz w:val="21"/>
          <w:szCs w:val="21"/>
        </w:rPr>
        <w:t>承包人在履行合同过程中应遵守法律和工程建设标准规范，并履行以下义务：</w:t>
      </w:r>
    </w:p>
    <w:p w14:paraId="471E757A">
      <w:pPr>
        <w:spacing w:before="147" w:line="399" w:lineRule="exact"/>
        <w:jc w:val="right"/>
        <w:rPr>
          <w:rFonts w:ascii="宋体" w:hAnsi="宋体" w:eastAsia="宋体" w:cs="宋体"/>
          <w:sz w:val="21"/>
          <w:szCs w:val="21"/>
        </w:rPr>
      </w:pPr>
      <w:r>
        <w:rPr>
          <w:rFonts w:ascii="宋体" w:hAnsi="宋体" w:eastAsia="宋体" w:cs="宋体"/>
          <w:spacing w:val="-3"/>
          <w:position w:val="14"/>
          <w:sz w:val="21"/>
          <w:szCs w:val="21"/>
        </w:rPr>
        <w:t>（</w:t>
      </w:r>
      <w:r>
        <w:rPr>
          <w:rFonts w:ascii="Times New Roman" w:hAnsi="Times New Roman" w:eastAsia="Times New Roman" w:cs="Times New Roman"/>
          <w:spacing w:val="-3"/>
          <w:position w:val="14"/>
          <w:sz w:val="21"/>
          <w:szCs w:val="21"/>
        </w:rPr>
        <w:t>1</w:t>
      </w:r>
      <w:r>
        <w:rPr>
          <w:rFonts w:ascii="宋体" w:hAnsi="宋体" w:eastAsia="宋体" w:cs="宋体"/>
          <w:spacing w:val="-3"/>
          <w:position w:val="14"/>
          <w:sz w:val="21"/>
          <w:szCs w:val="21"/>
        </w:rPr>
        <w:t>）办理法律规定应由承包人办理的许可和批准，</w:t>
      </w:r>
      <w:r>
        <w:rPr>
          <w:rFonts w:ascii="宋体" w:hAnsi="宋体" w:eastAsia="宋体" w:cs="宋体"/>
          <w:spacing w:val="-21"/>
          <w:position w:val="14"/>
          <w:sz w:val="21"/>
          <w:szCs w:val="21"/>
        </w:rPr>
        <w:t xml:space="preserve"> </w:t>
      </w:r>
      <w:r>
        <w:rPr>
          <w:rFonts w:ascii="宋体" w:hAnsi="宋体" w:eastAsia="宋体" w:cs="宋体"/>
          <w:spacing w:val="-3"/>
          <w:position w:val="14"/>
          <w:sz w:val="21"/>
          <w:szCs w:val="21"/>
        </w:rPr>
        <w:t>并将</w:t>
      </w:r>
      <w:r>
        <w:rPr>
          <w:rFonts w:ascii="宋体" w:hAnsi="宋体" w:eastAsia="宋体" w:cs="宋体"/>
          <w:spacing w:val="-4"/>
          <w:position w:val="14"/>
          <w:sz w:val="21"/>
          <w:szCs w:val="21"/>
        </w:rPr>
        <w:t>办理结果书面报送发包人留存；</w:t>
      </w:r>
    </w:p>
    <w:p w14:paraId="6B89D0DF">
      <w:pPr>
        <w:spacing w:line="220" w:lineRule="auto"/>
        <w:ind w:left="447"/>
        <w:rPr>
          <w:rFonts w:ascii="宋体" w:hAnsi="宋体" w:eastAsia="宋体" w:cs="宋体"/>
          <w:sz w:val="21"/>
          <w:szCs w:val="21"/>
        </w:rPr>
      </w:pPr>
      <w:r>
        <w:rPr>
          <w:rFonts w:ascii="宋体" w:hAnsi="宋体" w:eastAsia="宋体" w:cs="宋体"/>
          <w:spacing w:val="-5"/>
          <w:sz w:val="21"/>
          <w:szCs w:val="21"/>
        </w:rPr>
        <w:t>（</w:t>
      </w:r>
      <w:r>
        <w:rPr>
          <w:rFonts w:ascii="Times New Roman" w:hAnsi="Times New Roman" w:eastAsia="Times New Roman" w:cs="Times New Roman"/>
          <w:spacing w:val="-5"/>
          <w:sz w:val="21"/>
          <w:szCs w:val="21"/>
        </w:rPr>
        <w:t>2</w:t>
      </w:r>
      <w:r>
        <w:rPr>
          <w:rFonts w:ascii="宋体" w:hAnsi="宋体" w:eastAsia="宋体" w:cs="宋体"/>
          <w:spacing w:val="-5"/>
          <w:sz w:val="21"/>
          <w:szCs w:val="21"/>
        </w:rPr>
        <w:t>）按法律规定和合同约定完成工程， 并在保修期内承担保修义务；</w:t>
      </w:r>
    </w:p>
    <w:p w14:paraId="28A996DB">
      <w:pPr>
        <w:spacing w:before="153" w:line="399" w:lineRule="exact"/>
        <w:ind w:left="447"/>
        <w:rPr>
          <w:rFonts w:ascii="宋体" w:hAnsi="宋体" w:eastAsia="宋体" w:cs="宋体"/>
          <w:sz w:val="21"/>
          <w:szCs w:val="21"/>
        </w:rPr>
      </w:pPr>
      <w:r>
        <w:rPr>
          <w:rFonts w:ascii="宋体" w:hAnsi="宋体" w:eastAsia="宋体" w:cs="宋体"/>
          <w:position w:val="14"/>
          <w:sz w:val="21"/>
          <w:szCs w:val="21"/>
        </w:rPr>
        <w:t>（</w:t>
      </w:r>
      <w:r>
        <w:rPr>
          <w:rFonts w:ascii="Times New Roman" w:hAnsi="Times New Roman" w:eastAsia="Times New Roman" w:cs="Times New Roman"/>
          <w:position w:val="14"/>
          <w:sz w:val="21"/>
          <w:szCs w:val="21"/>
        </w:rPr>
        <w:t>3</w:t>
      </w:r>
      <w:r>
        <w:rPr>
          <w:rFonts w:ascii="宋体" w:hAnsi="宋体" w:eastAsia="宋体" w:cs="宋体"/>
          <w:position w:val="14"/>
          <w:sz w:val="21"/>
          <w:szCs w:val="21"/>
        </w:rPr>
        <w:t>）按法律规定和合同约定采取施工安全和环境保护措施，办理工伤保险，确保</w:t>
      </w:r>
      <w:r>
        <w:rPr>
          <w:rFonts w:ascii="宋体" w:hAnsi="宋体" w:eastAsia="宋体" w:cs="宋体"/>
          <w:spacing w:val="-1"/>
          <w:position w:val="14"/>
          <w:sz w:val="21"/>
          <w:szCs w:val="21"/>
        </w:rPr>
        <w:t>工程</w:t>
      </w:r>
    </w:p>
    <w:p w14:paraId="38169183">
      <w:pPr>
        <w:spacing w:line="219" w:lineRule="auto"/>
        <w:ind w:left="17"/>
        <w:rPr>
          <w:rFonts w:ascii="宋体" w:hAnsi="宋体" w:eastAsia="宋体" w:cs="宋体"/>
          <w:sz w:val="21"/>
          <w:szCs w:val="21"/>
        </w:rPr>
      </w:pPr>
      <w:r>
        <w:rPr>
          <w:rFonts w:ascii="宋体" w:hAnsi="宋体" w:eastAsia="宋体" w:cs="宋体"/>
          <w:spacing w:val="-3"/>
          <w:sz w:val="21"/>
          <w:szCs w:val="21"/>
        </w:rPr>
        <w:t>及人员、材料、设备和设施的安全；</w:t>
      </w:r>
    </w:p>
    <w:p w14:paraId="6D421305">
      <w:pPr>
        <w:spacing w:before="149" w:line="403" w:lineRule="exact"/>
        <w:ind w:left="447"/>
        <w:rPr>
          <w:rFonts w:ascii="宋体" w:hAnsi="宋体" w:eastAsia="宋体" w:cs="宋体"/>
          <w:sz w:val="21"/>
          <w:szCs w:val="21"/>
        </w:rPr>
      </w:pPr>
      <w:r>
        <w:rPr>
          <w:rFonts w:ascii="宋体" w:hAnsi="宋体" w:eastAsia="宋体" w:cs="宋体"/>
          <w:position w:val="14"/>
          <w:sz w:val="21"/>
          <w:szCs w:val="21"/>
        </w:rPr>
        <w:t>（</w:t>
      </w:r>
      <w:r>
        <w:rPr>
          <w:rFonts w:ascii="Times New Roman" w:hAnsi="Times New Roman" w:eastAsia="Times New Roman" w:cs="Times New Roman"/>
          <w:position w:val="14"/>
          <w:sz w:val="21"/>
          <w:szCs w:val="21"/>
        </w:rPr>
        <w:t>4</w:t>
      </w:r>
      <w:r>
        <w:rPr>
          <w:rFonts w:ascii="宋体" w:hAnsi="宋体" w:eastAsia="宋体" w:cs="宋体"/>
          <w:position w:val="14"/>
          <w:sz w:val="21"/>
          <w:szCs w:val="21"/>
        </w:rPr>
        <w:t>）按合同约定的工作内容和施工进度要求，编制施工组织设计和施工措施计</w:t>
      </w:r>
      <w:r>
        <w:rPr>
          <w:rFonts w:ascii="宋体" w:hAnsi="宋体" w:eastAsia="宋体" w:cs="宋体"/>
          <w:spacing w:val="-1"/>
          <w:position w:val="14"/>
          <w:sz w:val="21"/>
          <w:szCs w:val="21"/>
        </w:rPr>
        <w:t>划，并</w:t>
      </w:r>
    </w:p>
    <w:p w14:paraId="4F1C9C81">
      <w:pPr>
        <w:spacing w:before="1" w:line="220" w:lineRule="auto"/>
        <w:ind w:left="17"/>
        <w:rPr>
          <w:rFonts w:ascii="宋体" w:hAnsi="宋体" w:eastAsia="宋体" w:cs="宋体"/>
          <w:sz w:val="21"/>
          <w:szCs w:val="21"/>
        </w:rPr>
      </w:pPr>
      <w:r>
        <w:rPr>
          <w:rFonts w:ascii="宋体" w:hAnsi="宋体" w:eastAsia="宋体" w:cs="宋体"/>
          <w:spacing w:val="-2"/>
          <w:sz w:val="21"/>
          <w:szCs w:val="21"/>
        </w:rPr>
        <w:t>对所有施工作业和施工方法的完备性和安全可靠性负责；</w:t>
      </w:r>
    </w:p>
    <w:p w14:paraId="513F3332">
      <w:pPr>
        <w:spacing w:before="146" w:line="353" w:lineRule="auto"/>
        <w:ind w:left="17" w:right="188" w:firstLine="430"/>
        <w:rPr>
          <w:rFonts w:ascii="宋体" w:hAnsi="宋体" w:eastAsia="宋体" w:cs="宋体"/>
          <w:sz w:val="21"/>
          <w:szCs w:val="21"/>
        </w:rPr>
      </w:pPr>
      <w:r>
        <w:rPr>
          <w:rFonts w:ascii="宋体" w:hAnsi="宋体" w:eastAsia="宋体" w:cs="宋体"/>
          <w:sz w:val="21"/>
          <w:szCs w:val="21"/>
        </w:rPr>
        <w:t>（</w:t>
      </w:r>
      <w:r>
        <w:rPr>
          <w:rFonts w:ascii="Times New Roman" w:hAnsi="Times New Roman" w:eastAsia="Times New Roman" w:cs="Times New Roman"/>
          <w:sz w:val="21"/>
          <w:szCs w:val="21"/>
        </w:rPr>
        <w:t>5</w:t>
      </w:r>
      <w:r>
        <w:rPr>
          <w:rFonts w:ascii="宋体" w:hAnsi="宋体" w:eastAsia="宋体" w:cs="宋体"/>
          <w:sz w:val="21"/>
          <w:szCs w:val="21"/>
        </w:rPr>
        <w:t>）在进行合同约定的各项工作时，不得侵害发包人与他人使用公用道路、水</w:t>
      </w:r>
      <w:r>
        <w:rPr>
          <w:rFonts w:ascii="宋体" w:hAnsi="宋体" w:eastAsia="宋体" w:cs="宋体"/>
          <w:spacing w:val="-1"/>
          <w:sz w:val="21"/>
          <w:szCs w:val="21"/>
        </w:rPr>
        <w:t>源、市</w:t>
      </w:r>
      <w:r>
        <w:rPr>
          <w:rFonts w:ascii="宋体" w:hAnsi="宋体" w:eastAsia="宋体" w:cs="宋体"/>
          <w:sz w:val="21"/>
          <w:szCs w:val="21"/>
        </w:rPr>
        <w:t xml:space="preserve"> </w:t>
      </w:r>
      <w:r>
        <w:rPr>
          <w:rFonts w:ascii="宋体" w:hAnsi="宋体" w:eastAsia="宋体" w:cs="宋体"/>
          <w:spacing w:val="3"/>
          <w:sz w:val="21"/>
          <w:szCs w:val="21"/>
        </w:rPr>
        <w:t>政管网等公共设施的权利，避免对邻近的公共设施产生干扰。承包人占用或使</w:t>
      </w:r>
      <w:r>
        <w:rPr>
          <w:rFonts w:ascii="宋体" w:hAnsi="宋体" w:eastAsia="宋体" w:cs="宋体"/>
          <w:spacing w:val="2"/>
          <w:sz w:val="21"/>
          <w:szCs w:val="21"/>
        </w:rPr>
        <w:t>用他人的施</w:t>
      </w:r>
    </w:p>
    <w:p w14:paraId="7BE6F5C2">
      <w:pPr>
        <w:spacing w:before="1" w:line="220" w:lineRule="auto"/>
        <w:ind w:left="20"/>
        <w:rPr>
          <w:rFonts w:ascii="宋体" w:hAnsi="宋体" w:eastAsia="宋体" w:cs="宋体"/>
          <w:sz w:val="21"/>
          <w:szCs w:val="21"/>
        </w:rPr>
      </w:pPr>
      <w:r>
        <w:rPr>
          <w:rFonts w:ascii="宋体" w:hAnsi="宋体" w:eastAsia="宋体" w:cs="宋体"/>
          <w:spacing w:val="-2"/>
          <w:sz w:val="21"/>
          <w:szCs w:val="21"/>
        </w:rPr>
        <w:t>工场地，影响他人作业或生活的，应承担相应责任；</w:t>
      </w:r>
    </w:p>
    <w:p w14:paraId="3405BE1A">
      <w:pPr>
        <w:spacing w:before="147" w:line="221" w:lineRule="auto"/>
        <w:ind w:left="447"/>
        <w:rPr>
          <w:rFonts w:ascii="宋体" w:hAnsi="宋体" w:eastAsia="宋体" w:cs="宋体"/>
          <w:sz w:val="21"/>
          <w:szCs w:val="21"/>
        </w:rPr>
      </w:pPr>
      <w:r>
        <w:rPr>
          <w:rFonts w:ascii="宋体" w:hAnsi="宋体" w:eastAsia="宋体" w:cs="宋体"/>
          <w:spacing w:val="-1"/>
          <w:sz w:val="21"/>
          <w:szCs w:val="21"/>
        </w:rPr>
        <w:t>（</w:t>
      </w:r>
      <w:r>
        <w:rPr>
          <w:rFonts w:ascii="Times New Roman" w:hAnsi="Times New Roman" w:eastAsia="Times New Roman" w:cs="Times New Roman"/>
          <w:spacing w:val="-1"/>
          <w:sz w:val="21"/>
          <w:szCs w:val="21"/>
        </w:rPr>
        <w:t>6</w:t>
      </w:r>
      <w:r>
        <w:rPr>
          <w:rFonts w:ascii="宋体" w:hAnsi="宋体" w:eastAsia="宋体" w:cs="宋体"/>
          <w:spacing w:val="-1"/>
          <w:sz w:val="21"/>
          <w:szCs w:val="21"/>
        </w:rPr>
        <w:t>）按照第</w:t>
      </w:r>
      <w:r>
        <w:rPr>
          <w:rFonts w:ascii="宋体" w:hAnsi="宋体" w:eastAsia="宋体" w:cs="宋体"/>
          <w:spacing w:val="-32"/>
          <w:sz w:val="21"/>
          <w:szCs w:val="21"/>
        </w:rPr>
        <w:t xml:space="preserve"> </w:t>
      </w:r>
      <w:r>
        <w:rPr>
          <w:rFonts w:ascii="Times New Roman" w:hAnsi="Times New Roman" w:eastAsia="Times New Roman" w:cs="Times New Roman"/>
          <w:spacing w:val="-1"/>
          <w:sz w:val="21"/>
          <w:szCs w:val="21"/>
        </w:rPr>
        <w:t xml:space="preserve">6.3 </w:t>
      </w:r>
      <w:r>
        <w:rPr>
          <w:rFonts w:ascii="宋体" w:hAnsi="宋体" w:eastAsia="宋体" w:cs="宋体"/>
          <w:spacing w:val="-1"/>
          <w:sz w:val="21"/>
          <w:szCs w:val="21"/>
        </w:rPr>
        <w:t>款〔环境保护〕约定负责施工场地及其周边环境与生态的保护工作；</w:t>
      </w:r>
    </w:p>
    <w:p w14:paraId="4E251567">
      <w:pPr>
        <w:spacing w:before="147" w:line="404" w:lineRule="exact"/>
        <w:jc w:val="right"/>
        <w:rPr>
          <w:rFonts w:ascii="宋体" w:hAnsi="宋体" w:eastAsia="宋体" w:cs="宋体"/>
          <w:sz w:val="21"/>
          <w:szCs w:val="21"/>
        </w:rPr>
      </w:pPr>
      <w:r>
        <w:rPr>
          <w:rFonts w:ascii="宋体" w:hAnsi="宋体" w:eastAsia="宋体" w:cs="宋体"/>
          <w:spacing w:val="-1"/>
          <w:position w:val="14"/>
          <w:sz w:val="21"/>
          <w:szCs w:val="21"/>
        </w:rPr>
        <w:t>（</w:t>
      </w:r>
      <w:r>
        <w:rPr>
          <w:rFonts w:ascii="Times New Roman" w:hAnsi="Times New Roman" w:eastAsia="Times New Roman" w:cs="Times New Roman"/>
          <w:spacing w:val="-1"/>
          <w:position w:val="14"/>
          <w:sz w:val="21"/>
          <w:szCs w:val="21"/>
        </w:rPr>
        <w:t>7</w:t>
      </w:r>
      <w:r>
        <w:rPr>
          <w:rFonts w:ascii="宋体" w:hAnsi="宋体" w:eastAsia="宋体" w:cs="宋体"/>
          <w:spacing w:val="-1"/>
          <w:position w:val="14"/>
          <w:sz w:val="21"/>
          <w:szCs w:val="21"/>
        </w:rPr>
        <w:t xml:space="preserve">）按第 </w:t>
      </w:r>
      <w:r>
        <w:rPr>
          <w:rFonts w:ascii="Times New Roman" w:hAnsi="Times New Roman" w:eastAsia="Times New Roman" w:cs="Times New Roman"/>
          <w:spacing w:val="-1"/>
          <w:position w:val="14"/>
          <w:sz w:val="21"/>
          <w:szCs w:val="21"/>
        </w:rPr>
        <w:t>6.1</w:t>
      </w:r>
      <w:r>
        <w:rPr>
          <w:rFonts w:ascii="Times New Roman" w:hAnsi="Times New Roman" w:eastAsia="Times New Roman" w:cs="Times New Roman"/>
          <w:spacing w:val="34"/>
          <w:position w:val="14"/>
          <w:sz w:val="21"/>
          <w:szCs w:val="21"/>
        </w:rPr>
        <w:t xml:space="preserve"> </w:t>
      </w:r>
      <w:r>
        <w:rPr>
          <w:rFonts w:ascii="宋体" w:hAnsi="宋体" w:eastAsia="宋体" w:cs="宋体"/>
          <w:spacing w:val="-1"/>
          <w:position w:val="14"/>
          <w:sz w:val="21"/>
          <w:szCs w:val="21"/>
        </w:rPr>
        <w:t>款〔安全文明施工〕约定采取施工</w:t>
      </w:r>
      <w:r>
        <w:rPr>
          <w:rFonts w:ascii="宋体" w:hAnsi="宋体" w:eastAsia="宋体" w:cs="宋体"/>
          <w:spacing w:val="-2"/>
          <w:position w:val="14"/>
          <w:sz w:val="21"/>
          <w:szCs w:val="21"/>
        </w:rPr>
        <w:t>安全措施，确保工程及其人员、材料、</w:t>
      </w:r>
    </w:p>
    <w:p w14:paraId="38C397DD">
      <w:pPr>
        <w:spacing w:before="1" w:line="220" w:lineRule="auto"/>
        <w:ind w:left="21"/>
        <w:rPr>
          <w:rFonts w:ascii="宋体" w:hAnsi="宋体" w:eastAsia="宋体" w:cs="宋体"/>
          <w:sz w:val="21"/>
          <w:szCs w:val="21"/>
        </w:rPr>
      </w:pPr>
      <w:r>
        <w:rPr>
          <w:rFonts w:ascii="宋体" w:hAnsi="宋体" w:eastAsia="宋体" w:cs="宋体"/>
          <w:spacing w:val="-5"/>
          <w:sz w:val="21"/>
          <w:szCs w:val="21"/>
        </w:rPr>
        <w:t>设备和设施的安全，</w:t>
      </w:r>
      <w:r>
        <w:rPr>
          <w:rFonts w:ascii="宋体" w:hAnsi="宋体" w:eastAsia="宋体" w:cs="宋体"/>
          <w:spacing w:val="31"/>
          <w:sz w:val="21"/>
          <w:szCs w:val="21"/>
        </w:rPr>
        <w:t xml:space="preserve"> </w:t>
      </w:r>
      <w:r>
        <w:rPr>
          <w:rFonts w:ascii="宋体" w:hAnsi="宋体" w:eastAsia="宋体" w:cs="宋体"/>
          <w:spacing w:val="-5"/>
          <w:sz w:val="21"/>
          <w:szCs w:val="21"/>
        </w:rPr>
        <w:t>防止因工程施工造成的人身伤害和财产损失；</w:t>
      </w:r>
    </w:p>
    <w:p w14:paraId="4FE834A7">
      <w:pPr>
        <w:spacing w:before="147" w:line="399" w:lineRule="exact"/>
        <w:ind w:left="447"/>
        <w:rPr>
          <w:rFonts w:ascii="宋体" w:hAnsi="宋体" w:eastAsia="宋体" w:cs="宋体"/>
          <w:sz w:val="21"/>
          <w:szCs w:val="21"/>
        </w:rPr>
      </w:pPr>
      <w:r>
        <w:rPr>
          <w:rFonts w:ascii="宋体" w:hAnsi="宋体" w:eastAsia="宋体" w:cs="宋体"/>
          <w:position w:val="14"/>
          <w:sz w:val="21"/>
          <w:szCs w:val="21"/>
        </w:rPr>
        <w:t>（</w:t>
      </w:r>
      <w:r>
        <w:rPr>
          <w:rFonts w:ascii="Times New Roman" w:hAnsi="Times New Roman" w:eastAsia="Times New Roman" w:cs="Times New Roman"/>
          <w:position w:val="14"/>
          <w:sz w:val="21"/>
          <w:szCs w:val="21"/>
        </w:rPr>
        <w:t>8</w:t>
      </w:r>
      <w:r>
        <w:rPr>
          <w:rFonts w:ascii="宋体" w:hAnsi="宋体" w:eastAsia="宋体" w:cs="宋体"/>
          <w:position w:val="14"/>
          <w:sz w:val="21"/>
          <w:szCs w:val="21"/>
        </w:rPr>
        <w:t>）将发包人按合同约定支付的各项价款专用于合同工程，且应及时支付其雇用人员</w:t>
      </w:r>
    </w:p>
    <w:p w14:paraId="47B496AB">
      <w:pPr>
        <w:spacing w:line="219" w:lineRule="auto"/>
        <w:ind w:left="20"/>
        <w:rPr>
          <w:rFonts w:ascii="宋体" w:hAnsi="宋体" w:eastAsia="宋体" w:cs="宋体"/>
          <w:sz w:val="21"/>
          <w:szCs w:val="21"/>
        </w:rPr>
      </w:pPr>
      <w:r>
        <w:rPr>
          <w:rFonts w:ascii="宋体" w:hAnsi="宋体" w:eastAsia="宋体" w:cs="宋体"/>
          <w:spacing w:val="-3"/>
          <w:sz w:val="21"/>
          <w:szCs w:val="21"/>
        </w:rPr>
        <w:t>工资，并及时向分包人支付合同价款；</w:t>
      </w:r>
    </w:p>
    <w:p w14:paraId="2B84AC73">
      <w:pPr>
        <w:spacing w:before="154" w:line="398" w:lineRule="exact"/>
        <w:ind w:left="447"/>
        <w:rPr>
          <w:rFonts w:ascii="宋体" w:hAnsi="宋体" w:eastAsia="宋体" w:cs="宋体"/>
          <w:sz w:val="21"/>
          <w:szCs w:val="21"/>
        </w:rPr>
      </w:pPr>
      <w:r>
        <w:rPr>
          <w:rFonts w:ascii="宋体" w:hAnsi="宋体" w:eastAsia="宋体" w:cs="宋体"/>
          <w:position w:val="14"/>
          <w:sz w:val="21"/>
          <w:szCs w:val="21"/>
        </w:rPr>
        <w:t>（</w:t>
      </w:r>
      <w:r>
        <w:rPr>
          <w:rFonts w:ascii="Times New Roman" w:hAnsi="Times New Roman" w:eastAsia="Times New Roman" w:cs="Times New Roman"/>
          <w:position w:val="14"/>
          <w:sz w:val="21"/>
          <w:szCs w:val="21"/>
        </w:rPr>
        <w:t>9</w:t>
      </w:r>
      <w:r>
        <w:rPr>
          <w:rFonts w:ascii="宋体" w:hAnsi="宋体" w:eastAsia="宋体" w:cs="宋体"/>
          <w:position w:val="14"/>
          <w:sz w:val="21"/>
          <w:szCs w:val="21"/>
        </w:rPr>
        <w:t>）按照法律规定和合同约定编制竣工资料，完成竣工资料立卷及归档，并按</w:t>
      </w:r>
      <w:r>
        <w:rPr>
          <w:rFonts w:ascii="宋体" w:hAnsi="宋体" w:eastAsia="宋体" w:cs="宋体"/>
          <w:spacing w:val="-1"/>
          <w:position w:val="14"/>
          <w:sz w:val="21"/>
          <w:szCs w:val="21"/>
        </w:rPr>
        <w:t>专用合</w:t>
      </w:r>
    </w:p>
    <w:p w14:paraId="1D4C8C50">
      <w:pPr>
        <w:spacing w:before="1" w:line="220" w:lineRule="auto"/>
        <w:ind w:left="39"/>
        <w:rPr>
          <w:rFonts w:ascii="宋体" w:hAnsi="宋体" w:eastAsia="宋体" w:cs="宋体"/>
          <w:sz w:val="21"/>
          <w:szCs w:val="21"/>
        </w:rPr>
      </w:pPr>
      <w:r>
        <w:rPr>
          <w:rFonts w:ascii="宋体" w:hAnsi="宋体" w:eastAsia="宋体" w:cs="宋体"/>
          <w:spacing w:val="-3"/>
          <w:sz w:val="21"/>
          <w:szCs w:val="21"/>
        </w:rPr>
        <w:t>同条款约定的竣工资料的套数、内容、时间等要求移交发包人；</w:t>
      </w:r>
    </w:p>
    <w:p w14:paraId="43611F27">
      <w:pPr>
        <w:spacing w:before="147" w:line="221" w:lineRule="auto"/>
        <w:ind w:left="447"/>
        <w:rPr>
          <w:rFonts w:ascii="宋体" w:hAnsi="宋体" w:eastAsia="宋体" w:cs="宋体"/>
          <w:sz w:val="21"/>
          <w:szCs w:val="21"/>
        </w:rPr>
      </w:pPr>
      <w:r>
        <w:rPr>
          <w:rFonts w:ascii="宋体" w:hAnsi="宋体" w:eastAsia="宋体" w:cs="宋体"/>
          <w:spacing w:val="-3"/>
          <w:sz w:val="21"/>
          <w:szCs w:val="21"/>
        </w:rPr>
        <w:t>（</w:t>
      </w:r>
      <w:r>
        <w:rPr>
          <w:rFonts w:ascii="Times New Roman" w:hAnsi="Times New Roman" w:eastAsia="Times New Roman" w:cs="Times New Roman"/>
          <w:spacing w:val="-3"/>
          <w:sz w:val="21"/>
          <w:szCs w:val="21"/>
        </w:rPr>
        <w:t>10</w:t>
      </w:r>
      <w:r>
        <w:rPr>
          <w:rFonts w:ascii="宋体" w:hAnsi="宋体" w:eastAsia="宋体" w:cs="宋体"/>
          <w:spacing w:val="-3"/>
          <w:sz w:val="21"/>
          <w:szCs w:val="21"/>
        </w:rPr>
        <w:t>）应履行的其他义务。</w:t>
      </w:r>
    </w:p>
    <w:p w14:paraId="272AE739">
      <w:pPr>
        <w:spacing w:before="46" w:line="219" w:lineRule="auto"/>
        <w:ind w:left="19"/>
        <w:rPr>
          <w:rFonts w:ascii="黑体" w:hAnsi="黑体" w:eastAsia="黑体" w:cs="黑体"/>
          <w:sz w:val="24"/>
          <w:szCs w:val="24"/>
        </w:rPr>
      </w:pPr>
      <w:r>
        <w:rPr>
          <w:rFonts w:ascii="黑体" w:hAnsi="黑体" w:eastAsia="黑体" w:cs="黑体"/>
          <w:spacing w:val="-1"/>
          <w:sz w:val="24"/>
          <w:szCs w:val="24"/>
        </w:rPr>
        <w:t>3.2 项目经理</w:t>
      </w:r>
    </w:p>
    <w:p w14:paraId="75ED7595">
      <w:pPr>
        <w:spacing w:before="128" w:line="353" w:lineRule="auto"/>
        <w:ind w:left="20" w:right="185" w:firstLine="420"/>
        <w:jc w:val="both"/>
        <w:rPr>
          <w:rFonts w:ascii="宋体" w:hAnsi="宋体" w:eastAsia="宋体" w:cs="宋体"/>
          <w:sz w:val="21"/>
          <w:szCs w:val="21"/>
        </w:rPr>
      </w:pPr>
      <w:r>
        <w:rPr>
          <w:rFonts w:ascii="Times New Roman" w:hAnsi="Times New Roman" w:eastAsia="Times New Roman" w:cs="Times New Roman"/>
          <w:spacing w:val="1"/>
          <w:sz w:val="21"/>
          <w:szCs w:val="21"/>
        </w:rPr>
        <w:t>3.2.1</w:t>
      </w:r>
      <w:r>
        <w:rPr>
          <w:rFonts w:ascii="Times New Roman" w:hAnsi="Times New Roman" w:eastAsia="Times New Roman" w:cs="Times New Roman"/>
          <w:spacing w:val="36"/>
          <w:sz w:val="21"/>
          <w:szCs w:val="21"/>
        </w:rPr>
        <w:t xml:space="preserve"> </w:t>
      </w:r>
      <w:r>
        <w:rPr>
          <w:rFonts w:ascii="宋体" w:hAnsi="宋体" w:eastAsia="宋体" w:cs="宋体"/>
          <w:spacing w:val="1"/>
          <w:sz w:val="21"/>
          <w:szCs w:val="21"/>
        </w:rPr>
        <w:t>项目经理应为合同当事人所确认的人选，</w:t>
      </w:r>
      <w:r>
        <w:rPr>
          <w:rFonts w:ascii="宋体" w:hAnsi="宋体" w:eastAsia="宋体" w:cs="宋体"/>
          <w:sz w:val="21"/>
          <w:szCs w:val="21"/>
        </w:rPr>
        <w:t xml:space="preserve">并在专用合同条款中明确项目经理的姓 </w:t>
      </w:r>
      <w:r>
        <w:rPr>
          <w:rFonts w:ascii="宋体" w:hAnsi="宋体" w:eastAsia="宋体" w:cs="宋体"/>
          <w:spacing w:val="3"/>
          <w:sz w:val="21"/>
          <w:szCs w:val="21"/>
        </w:rPr>
        <w:t>名、职称、注册执业证书编号、联系方式及授权范围等事项，项目经理</w:t>
      </w:r>
      <w:r>
        <w:rPr>
          <w:rFonts w:ascii="宋体" w:hAnsi="宋体" w:eastAsia="宋体" w:cs="宋体"/>
          <w:spacing w:val="2"/>
          <w:sz w:val="21"/>
          <w:szCs w:val="21"/>
        </w:rPr>
        <w:t>经承包人授权后代</w:t>
      </w:r>
    </w:p>
    <w:p w14:paraId="1D4C07E6">
      <w:pPr>
        <w:spacing w:before="1" w:line="220" w:lineRule="auto"/>
        <w:ind w:left="17"/>
        <w:rPr>
          <w:rFonts w:ascii="宋体" w:hAnsi="宋体" w:eastAsia="宋体" w:cs="宋体"/>
          <w:sz w:val="21"/>
          <w:szCs w:val="21"/>
        </w:rPr>
      </w:pPr>
      <w:r>
        <w:rPr>
          <w:rFonts w:ascii="宋体" w:hAnsi="宋体" w:eastAsia="宋体" w:cs="宋体"/>
          <w:spacing w:val="3"/>
          <w:sz w:val="21"/>
          <w:szCs w:val="21"/>
        </w:rPr>
        <w:t>表承包人负责履行合同。项目经理应是承包人正式聘用的员工，承包人应向发</w:t>
      </w:r>
      <w:r>
        <w:rPr>
          <w:rFonts w:ascii="宋体" w:hAnsi="宋体" w:eastAsia="宋体" w:cs="宋体"/>
          <w:spacing w:val="2"/>
          <w:sz w:val="21"/>
          <w:szCs w:val="21"/>
        </w:rPr>
        <w:t>包人提交项</w:t>
      </w:r>
    </w:p>
    <w:p w14:paraId="3E7A35E1">
      <w:pPr>
        <w:spacing w:line="220" w:lineRule="auto"/>
        <w:rPr>
          <w:rFonts w:ascii="宋体" w:hAnsi="宋体" w:eastAsia="宋体" w:cs="宋体"/>
          <w:sz w:val="21"/>
          <w:szCs w:val="21"/>
        </w:rPr>
        <w:sectPr>
          <w:footerReference r:id="rId97" w:type="default"/>
          <w:pgSz w:w="11905" w:h="16839"/>
          <w:pgMar w:top="1431" w:right="1608" w:bottom="1004" w:left="1785" w:header="0" w:footer="829" w:gutter="0"/>
          <w:pgNumType w:fmt="decimal"/>
          <w:cols w:space="720" w:num="1"/>
        </w:sectPr>
      </w:pPr>
    </w:p>
    <w:p w14:paraId="3797039E">
      <w:pPr>
        <w:spacing w:before="150" w:line="352" w:lineRule="auto"/>
        <w:ind w:left="20" w:right="185" w:firstLine="38"/>
        <w:jc w:val="both"/>
        <w:rPr>
          <w:rFonts w:ascii="宋体" w:hAnsi="宋体" w:eastAsia="宋体" w:cs="宋体"/>
          <w:sz w:val="21"/>
          <w:szCs w:val="21"/>
        </w:rPr>
      </w:pPr>
      <w:r>
        <w:rPr>
          <w:rFonts w:ascii="宋体" w:hAnsi="宋体" w:eastAsia="宋体" w:cs="宋体"/>
          <w:spacing w:val="-1"/>
          <w:sz w:val="21"/>
          <w:szCs w:val="21"/>
        </w:rPr>
        <w:t>目经理与承包人之间的劳动合同， 以及承包人为项目经理缴纳社会保险的有效证明。承包</w:t>
      </w:r>
      <w:r>
        <w:rPr>
          <w:rFonts w:ascii="宋体" w:hAnsi="宋体" w:eastAsia="宋体" w:cs="宋体"/>
          <w:spacing w:val="6"/>
          <w:sz w:val="21"/>
          <w:szCs w:val="21"/>
        </w:rPr>
        <w:t xml:space="preserve"> </w:t>
      </w:r>
      <w:r>
        <w:rPr>
          <w:rFonts w:ascii="宋体" w:hAnsi="宋体" w:eastAsia="宋体" w:cs="宋体"/>
          <w:sz w:val="21"/>
          <w:szCs w:val="21"/>
        </w:rPr>
        <w:t>人不提交上述文件的， 项目经理无权履行职责，发包人有权要求更换项目经理，由此增加</w:t>
      </w:r>
    </w:p>
    <w:p w14:paraId="037B2320">
      <w:pPr>
        <w:spacing w:line="220" w:lineRule="auto"/>
        <w:ind w:left="35"/>
        <w:rPr>
          <w:rFonts w:ascii="宋体" w:hAnsi="宋体" w:eastAsia="宋体" w:cs="宋体"/>
          <w:sz w:val="21"/>
          <w:szCs w:val="21"/>
        </w:rPr>
      </w:pPr>
      <w:r>
        <w:rPr>
          <w:rFonts w:ascii="宋体" w:hAnsi="宋体" w:eastAsia="宋体" w:cs="宋体"/>
          <w:spacing w:val="-2"/>
          <w:sz w:val="21"/>
          <w:szCs w:val="21"/>
        </w:rPr>
        <w:t>的费用和（或）延误的工期由承包人承担。</w:t>
      </w:r>
    </w:p>
    <w:p w14:paraId="664B0A75">
      <w:pPr>
        <w:spacing w:before="146" w:line="352" w:lineRule="auto"/>
        <w:ind w:left="19" w:firstLine="425"/>
        <w:rPr>
          <w:rFonts w:ascii="宋体" w:hAnsi="宋体" w:eastAsia="宋体" w:cs="宋体"/>
          <w:sz w:val="21"/>
          <w:szCs w:val="21"/>
        </w:rPr>
      </w:pPr>
      <w:r>
        <w:rPr>
          <w:rFonts w:ascii="宋体" w:hAnsi="宋体" w:eastAsia="宋体" w:cs="宋体"/>
          <w:spacing w:val="-1"/>
          <w:sz w:val="21"/>
          <w:szCs w:val="21"/>
        </w:rPr>
        <w:t>项目经理应常驻施工现场， 且每月在施工现场时间不得少于专用合同条款约定的天数。</w:t>
      </w:r>
      <w:r>
        <w:rPr>
          <w:rFonts w:ascii="宋体" w:hAnsi="宋体" w:eastAsia="宋体" w:cs="宋体"/>
          <w:spacing w:val="14"/>
          <w:sz w:val="21"/>
          <w:szCs w:val="21"/>
        </w:rPr>
        <w:t xml:space="preserve"> </w:t>
      </w:r>
      <w:r>
        <w:rPr>
          <w:rFonts w:ascii="宋体" w:hAnsi="宋体" w:eastAsia="宋体" w:cs="宋体"/>
          <w:spacing w:val="3"/>
          <w:sz w:val="21"/>
          <w:szCs w:val="21"/>
        </w:rPr>
        <w:t>项目经理不得同时担任其他项目的项目经理。项目经理</w:t>
      </w:r>
      <w:r>
        <w:rPr>
          <w:rFonts w:ascii="宋体" w:hAnsi="宋体" w:eastAsia="宋体" w:cs="宋体"/>
          <w:spacing w:val="2"/>
          <w:sz w:val="21"/>
          <w:szCs w:val="21"/>
        </w:rPr>
        <w:t xml:space="preserve">确需离开施工现场时，应事先通知  </w:t>
      </w:r>
      <w:r>
        <w:rPr>
          <w:rFonts w:ascii="宋体" w:hAnsi="宋体" w:eastAsia="宋体" w:cs="宋体"/>
          <w:spacing w:val="3"/>
          <w:sz w:val="21"/>
          <w:szCs w:val="21"/>
        </w:rPr>
        <w:t>监理人，并取得发包人的书面同意。项目经理的通知中应当载明临时代行其</w:t>
      </w:r>
      <w:r>
        <w:rPr>
          <w:rFonts w:ascii="宋体" w:hAnsi="宋体" w:eastAsia="宋体" w:cs="宋体"/>
          <w:spacing w:val="2"/>
          <w:sz w:val="21"/>
          <w:szCs w:val="21"/>
        </w:rPr>
        <w:t>职责的人员的</w:t>
      </w:r>
    </w:p>
    <w:p w14:paraId="3916EAEF">
      <w:pPr>
        <w:spacing w:line="220" w:lineRule="auto"/>
        <w:ind w:left="18"/>
        <w:rPr>
          <w:rFonts w:ascii="宋体" w:hAnsi="宋体" w:eastAsia="宋体" w:cs="宋体"/>
          <w:sz w:val="21"/>
          <w:szCs w:val="21"/>
        </w:rPr>
      </w:pPr>
      <w:r>
        <w:rPr>
          <w:rFonts w:ascii="宋体" w:hAnsi="宋体" w:eastAsia="宋体" w:cs="宋体"/>
          <w:spacing w:val="-1"/>
          <w:sz w:val="21"/>
          <w:szCs w:val="21"/>
        </w:rPr>
        <w:t>注册执业资格、管理经验等资料，该人员应具备履行相应职责的能力。</w:t>
      </w:r>
    </w:p>
    <w:p w14:paraId="305D9A94">
      <w:pPr>
        <w:spacing w:before="147" w:line="221" w:lineRule="auto"/>
        <w:ind w:left="441"/>
        <w:rPr>
          <w:rFonts w:ascii="宋体" w:hAnsi="宋体" w:eastAsia="宋体" w:cs="宋体"/>
          <w:sz w:val="21"/>
          <w:szCs w:val="21"/>
        </w:rPr>
      </w:pPr>
      <w:r>
        <w:rPr>
          <w:rFonts w:ascii="宋体" w:hAnsi="宋体" w:eastAsia="宋体" w:cs="宋体"/>
          <w:spacing w:val="-1"/>
          <w:sz w:val="21"/>
          <w:szCs w:val="21"/>
        </w:rPr>
        <w:t>承包人违反上述约定的，应按照专用合同条款的约定，承担违约责</w:t>
      </w:r>
      <w:r>
        <w:rPr>
          <w:rFonts w:ascii="宋体" w:hAnsi="宋体" w:eastAsia="宋体" w:cs="宋体"/>
          <w:spacing w:val="-2"/>
          <w:sz w:val="21"/>
          <w:szCs w:val="21"/>
        </w:rPr>
        <w:t>任。</w:t>
      </w:r>
    </w:p>
    <w:p w14:paraId="427528D9">
      <w:pPr>
        <w:spacing w:before="151" w:line="352" w:lineRule="auto"/>
        <w:ind w:left="17" w:right="176" w:firstLine="424"/>
        <w:rPr>
          <w:rFonts w:ascii="宋体" w:hAnsi="宋体" w:eastAsia="宋体" w:cs="宋体"/>
          <w:sz w:val="21"/>
          <w:szCs w:val="21"/>
        </w:rPr>
      </w:pPr>
      <w:r>
        <w:rPr>
          <w:rFonts w:ascii="Times New Roman" w:hAnsi="Times New Roman" w:eastAsia="Times New Roman" w:cs="Times New Roman"/>
          <w:spacing w:val="1"/>
          <w:sz w:val="21"/>
          <w:szCs w:val="21"/>
        </w:rPr>
        <w:t>3.2.2</w:t>
      </w:r>
      <w:r>
        <w:rPr>
          <w:rFonts w:ascii="Times New Roman" w:hAnsi="Times New Roman" w:eastAsia="Times New Roman" w:cs="Times New Roman"/>
          <w:spacing w:val="36"/>
          <w:sz w:val="21"/>
          <w:szCs w:val="21"/>
        </w:rPr>
        <w:t xml:space="preserve"> </w:t>
      </w:r>
      <w:r>
        <w:rPr>
          <w:rFonts w:ascii="宋体" w:hAnsi="宋体" w:eastAsia="宋体" w:cs="宋体"/>
          <w:spacing w:val="1"/>
          <w:sz w:val="21"/>
          <w:szCs w:val="21"/>
        </w:rPr>
        <w:t>项目经理按合同约定组织工程实施。在紧急情况下为确</w:t>
      </w:r>
      <w:r>
        <w:rPr>
          <w:rFonts w:ascii="宋体" w:hAnsi="宋体" w:eastAsia="宋体" w:cs="宋体"/>
          <w:sz w:val="21"/>
          <w:szCs w:val="21"/>
        </w:rPr>
        <w:t>保施工安全和人员安全， 在无法与发包人代表和总监理工程师及时取得联</w:t>
      </w:r>
      <w:r>
        <w:rPr>
          <w:rFonts w:ascii="宋体" w:hAnsi="宋体" w:eastAsia="宋体" w:cs="宋体"/>
          <w:spacing w:val="-1"/>
          <w:sz w:val="21"/>
          <w:szCs w:val="21"/>
        </w:rPr>
        <w:t>系时，</w:t>
      </w:r>
      <w:r>
        <w:rPr>
          <w:rFonts w:ascii="宋体" w:hAnsi="宋体" w:eastAsia="宋体" w:cs="宋体"/>
          <w:spacing w:val="28"/>
          <w:sz w:val="21"/>
          <w:szCs w:val="21"/>
        </w:rPr>
        <w:t xml:space="preserve"> </w:t>
      </w:r>
      <w:r>
        <w:rPr>
          <w:rFonts w:ascii="宋体" w:hAnsi="宋体" w:eastAsia="宋体" w:cs="宋体"/>
          <w:spacing w:val="-1"/>
          <w:sz w:val="21"/>
          <w:szCs w:val="21"/>
        </w:rPr>
        <w:t>项目经理有权采取必要的措施保证</w:t>
      </w:r>
      <w:r>
        <w:rPr>
          <w:rFonts w:ascii="宋体" w:hAnsi="宋体" w:eastAsia="宋体" w:cs="宋体"/>
          <w:sz w:val="21"/>
          <w:szCs w:val="21"/>
        </w:rPr>
        <w:t xml:space="preserve"> 与工程有关的人身、财产和工程的安全，但应在</w:t>
      </w:r>
      <w:r>
        <w:rPr>
          <w:rFonts w:ascii="宋体" w:hAnsi="宋体" w:eastAsia="宋体" w:cs="宋体"/>
          <w:spacing w:val="-20"/>
          <w:sz w:val="21"/>
          <w:szCs w:val="21"/>
        </w:rPr>
        <w:t xml:space="preserve"> </w:t>
      </w:r>
      <w:r>
        <w:rPr>
          <w:rFonts w:ascii="Times New Roman" w:hAnsi="Times New Roman" w:eastAsia="Times New Roman" w:cs="Times New Roman"/>
          <w:sz w:val="21"/>
          <w:szCs w:val="21"/>
        </w:rPr>
        <w:t xml:space="preserve">48 </w:t>
      </w:r>
      <w:r>
        <w:rPr>
          <w:rFonts w:ascii="宋体" w:hAnsi="宋体" w:eastAsia="宋体" w:cs="宋体"/>
          <w:sz w:val="21"/>
          <w:szCs w:val="21"/>
        </w:rPr>
        <w:t>小</w:t>
      </w:r>
      <w:r>
        <w:rPr>
          <w:rFonts w:ascii="宋体" w:hAnsi="宋体" w:eastAsia="宋体" w:cs="宋体"/>
          <w:spacing w:val="-1"/>
          <w:sz w:val="21"/>
          <w:szCs w:val="21"/>
        </w:rPr>
        <w:t>时内向发包人代表和总监理工程师提</w:t>
      </w:r>
    </w:p>
    <w:p w14:paraId="1F5BABEC">
      <w:pPr>
        <w:spacing w:line="219" w:lineRule="auto"/>
        <w:ind w:left="22"/>
        <w:rPr>
          <w:rFonts w:ascii="宋体" w:hAnsi="宋体" w:eastAsia="宋体" w:cs="宋体"/>
          <w:sz w:val="21"/>
          <w:szCs w:val="21"/>
        </w:rPr>
      </w:pPr>
      <w:r>
        <w:rPr>
          <w:rFonts w:ascii="宋体" w:hAnsi="宋体" w:eastAsia="宋体" w:cs="宋体"/>
          <w:spacing w:val="-2"/>
          <w:sz w:val="21"/>
          <w:szCs w:val="21"/>
        </w:rPr>
        <w:t>交书面报告。</w:t>
      </w:r>
    </w:p>
    <w:p w14:paraId="3A8C31AB">
      <w:pPr>
        <w:spacing w:before="149" w:line="352" w:lineRule="auto"/>
        <w:ind w:left="20" w:right="2" w:firstLine="421"/>
        <w:rPr>
          <w:rFonts w:ascii="宋体" w:hAnsi="宋体" w:eastAsia="宋体" w:cs="宋体"/>
          <w:sz w:val="21"/>
          <w:szCs w:val="21"/>
        </w:rPr>
      </w:pPr>
      <w:r>
        <w:rPr>
          <w:rFonts w:ascii="Times New Roman" w:hAnsi="Times New Roman" w:eastAsia="Times New Roman" w:cs="Times New Roman"/>
          <w:spacing w:val="-2"/>
          <w:sz w:val="21"/>
          <w:szCs w:val="21"/>
        </w:rPr>
        <w:t xml:space="preserve">3.2.3 </w:t>
      </w:r>
      <w:r>
        <w:rPr>
          <w:rFonts w:ascii="宋体" w:hAnsi="宋体" w:eastAsia="宋体" w:cs="宋体"/>
          <w:spacing w:val="-2"/>
          <w:sz w:val="21"/>
          <w:szCs w:val="21"/>
        </w:rPr>
        <w:t>承包人需要更换项目经理的，应提前</w:t>
      </w:r>
      <w:r>
        <w:rPr>
          <w:rFonts w:ascii="宋体" w:hAnsi="宋体" w:eastAsia="宋体" w:cs="宋体"/>
          <w:spacing w:val="-19"/>
          <w:sz w:val="21"/>
          <w:szCs w:val="21"/>
        </w:rPr>
        <w:t xml:space="preserve"> </w:t>
      </w:r>
      <w:r>
        <w:rPr>
          <w:rFonts w:ascii="Times New Roman" w:hAnsi="Times New Roman" w:eastAsia="Times New Roman" w:cs="Times New Roman"/>
          <w:spacing w:val="-2"/>
          <w:sz w:val="21"/>
          <w:szCs w:val="21"/>
        </w:rPr>
        <w:t xml:space="preserve">14 </w:t>
      </w:r>
      <w:r>
        <w:rPr>
          <w:rFonts w:ascii="宋体" w:hAnsi="宋体" w:eastAsia="宋体" w:cs="宋体"/>
          <w:spacing w:val="-2"/>
          <w:sz w:val="21"/>
          <w:szCs w:val="21"/>
        </w:rPr>
        <w:t xml:space="preserve">天书面通知发包人和监理人，并征得发包  </w:t>
      </w:r>
      <w:r>
        <w:rPr>
          <w:rFonts w:ascii="宋体" w:hAnsi="宋体" w:eastAsia="宋体" w:cs="宋体"/>
          <w:spacing w:val="3"/>
          <w:sz w:val="21"/>
          <w:szCs w:val="21"/>
        </w:rPr>
        <w:t>人书面同意。通知中应当载明继任项目经理的注</w:t>
      </w:r>
      <w:r>
        <w:rPr>
          <w:rFonts w:ascii="宋体" w:hAnsi="宋体" w:eastAsia="宋体" w:cs="宋体"/>
          <w:spacing w:val="2"/>
          <w:sz w:val="21"/>
          <w:szCs w:val="21"/>
        </w:rPr>
        <w:t xml:space="preserve">册执业资格、管理经验等资料，继任项目  </w:t>
      </w:r>
      <w:r>
        <w:rPr>
          <w:rFonts w:ascii="宋体" w:hAnsi="宋体" w:eastAsia="宋体" w:cs="宋体"/>
          <w:spacing w:val="-1"/>
          <w:sz w:val="21"/>
          <w:szCs w:val="21"/>
        </w:rPr>
        <w:t>经理继续履行第</w:t>
      </w:r>
      <w:r>
        <w:rPr>
          <w:rFonts w:ascii="宋体" w:hAnsi="宋体" w:eastAsia="宋体" w:cs="宋体"/>
          <w:spacing w:val="-28"/>
          <w:sz w:val="21"/>
          <w:szCs w:val="21"/>
        </w:rPr>
        <w:t xml:space="preserve"> </w:t>
      </w:r>
      <w:r>
        <w:rPr>
          <w:rFonts w:ascii="Times New Roman" w:hAnsi="Times New Roman" w:eastAsia="Times New Roman" w:cs="Times New Roman"/>
          <w:spacing w:val="-1"/>
          <w:sz w:val="21"/>
          <w:szCs w:val="21"/>
        </w:rPr>
        <w:t xml:space="preserve">3.2.1 </w:t>
      </w:r>
      <w:r>
        <w:rPr>
          <w:rFonts w:ascii="宋体" w:hAnsi="宋体" w:eastAsia="宋体" w:cs="宋体"/>
          <w:spacing w:val="-1"/>
          <w:sz w:val="21"/>
          <w:szCs w:val="21"/>
        </w:rPr>
        <w:t>项约定的职责。未经发包人书面同意，承包人不得擅自更换项目</w:t>
      </w:r>
      <w:r>
        <w:rPr>
          <w:rFonts w:ascii="宋体" w:hAnsi="宋体" w:eastAsia="宋体" w:cs="宋体"/>
          <w:spacing w:val="-2"/>
          <w:sz w:val="21"/>
          <w:szCs w:val="21"/>
        </w:rPr>
        <w:t>经理。</w:t>
      </w:r>
    </w:p>
    <w:p w14:paraId="7132F001">
      <w:pPr>
        <w:spacing w:before="1" w:line="220" w:lineRule="auto"/>
        <w:ind w:left="18"/>
        <w:rPr>
          <w:rFonts w:ascii="宋体" w:hAnsi="宋体" w:eastAsia="宋体" w:cs="宋体"/>
          <w:sz w:val="21"/>
          <w:szCs w:val="21"/>
        </w:rPr>
      </w:pPr>
      <w:r>
        <w:rPr>
          <w:rFonts w:ascii="宋体" w:hAnsi="宋体" w:eastAsia="宋体" w:cs="宋体"/>
          <w:spacing w:val="-4"/>
          <w:sz w:val="21"/>
          <w:szCs w:val="21"/>
        </w:rPr>
        <w:t>承包人擅自更换项目经理的， 应按照专用合同条款的约定承担违约责</w:t>
      </w:r>
      <w:r>
        <w:rPr>
          <w:rFonts w:ascii="宋体" w:hAnsi="宋体" w:eastAsia="宋体" w:cs="宋体"/>
          <w:spacing w:val="-5"/>
          <w:sz w:val="21"/>
          <w:szCs w:val="21"/>
        </w:rPr>
        <w:t>任。</w:t>
      </w:r>
    </w:p>
    <w:p w14:paraId="3C04F65F">
      <w:pPr>
        <w:spacing w:before="148" w:line="352" w:lineRule="auto"/>
        <w:ind w:left="17" w:right="176" w:firstLine="424"/>
        <w:rPr>
          <w:rFonts w:ascii="宋体" w:hAnsi="宋体" w:eastAsia="宋体" w:cs="宋体"/>
          <w:sz w:val="21"/>
          <w:szCs w:val="21"/>
        </w:rPr>
      </w:pPr>
      <w:r>
        <w:rPr>
          <w:rFonts w:ascii="Times New Roman" w:hAnsi="Times New Roman" w:eastAsia="Times New Roman" w:cs="Times New Roman"/>
          <w:spacing w:val="1"/>
          <w:sz w:val="21"/>
          <w:szCs w:val="21"/>
        </w:rPr>
        <w:t>3.2.4</w:t>
      </w:r>
      <w:r>
        <w:rPr>
          <w:rFonts w:ascii="Times New Roman" w:hAnsi="Times New Roman" w:eastAsia="Times New Roman" w:cs="Times New Roman"/>
          <w:spacing w:val="36"/>
          <w:sz w:val="21"/>
          <w:szCs w:val="21"/>
        </w:rPr>
        <w:t xml:space="preserve"> </w:t>
      </w:r>
      <w:r>
        <w:rPr>
          <w:rFonts w:ascii="宋体" w:hAnsi="宋体" w:eastAsia="宋体" w:cs="宋体"/>
          <w:spacing w:val="1"/>
          <w:sz w:val="21"/>
          <w:szCs w:val="21"/>
        </w:rPr>
        <w:t>发包人有权书面通知承包人更换其认为不</w:t>
      </w:r>
      <w:r>
        <w:rPr>
          <w:rFonts w:ascii="宋体" w:hAnsi="宋体" w:eastAsia="宋体" w:cs="宋体"/>
          <w:sz w:val="21"/>
          <w:szCs w:val="21"/>
        </w:rPr>
        <w:t xml:space="preserve">称职的项目经理，通知中应当载明要求 </w:t>
      </w:r>
      <w:r>
        <w:rPr>
          <w:rFonts w:ascii="宋体" w:hAnsi="宋体" w:eastAsia="宋体" w:cs="宋体"/>
          <w:spacing w:val="-1"/>
          <w:sz w:val="21"/>
          <w:szCs w:val="21"/>
        </w:rPr>
        <w:t xml:space="preserve">更换的理由。承包人应在接到更换通知后 </w:t>
      </w:r>
      <w:r>
        <w:rPr>
          <w:rFonts w:ascii="Times New Roman" w:hAnsi="Times New Roman" w:eastAsia="Times New Roman" w:cs="Times New Roman"/>
          <w:spacing w:val="-1"/>
          <w:sz w:val="21"/>
          <w:szCs w:val="21"/>
        </w:rPr>
        <w:t xml:space="preserve">14 </w:t>
      </w:r>
      <w:r>
        <w:rPr>
          <w:rFonts w:ascii="宋体" w:hAnsi="宋体" w:eastAsia="宋体" w:cs="宋体"/>
          <w:spacing w:val="-1"/>
          <w:sz w:val="21"/>
          <w:szCs w:val="21"/>
        </w:rPr>
        <w:t>天内向发包人提出书面的改进报告。发包人收</w:t>
      </w:r>
      <w:r>
        <w:rPr>
          <w:rFonts w:ascii="宋体" w:hAnsi="宋体" w:eastAsia="宋体" w:cs="宋体"/>
          <w:spacing w:val="6"/>
          <w:sz w:val="21"/>
          <w:szCs w:val="21"/>
        </w:rPr>
        <w:t xml:space="preserve"> </w:t>
      </w:r>
      <w:r>
        <w:rPr>
          <w:rFonts w:ascii="宋体" w:hAnsi="宋体" w:eastAsia="宋体" w:cs="宋体"/>
          <w:spacing w:val="-3"/>
          <w:sz w:val="21"/>
          <w:szCs w:val="21"/>
        </w:rPr>
        <w:t>到改进报告后仍要求更换的， 承包人应在接到第二次更换通知的</w:t>
      </w:r>
      <w:r>
        <w:rPr>
          <w:rFonts w:ascii="宋体" w:hAnsi="宋体" w:eastAsia="宋体" w:cs="宋体"/>
          <w:spacing w:val="-30"/>
          <w:sz w:val="21"/>
          <w:szCs w:val="21"/>
        </w:rPr>
        <w:t xml:space="preserve"> </w:t>
      </w:r>
      <w:r>
        <w:rPr>
          <w:rFonts w:ascii="Times New Roman" w:hAnsi="Times New Roman" w:eastAsia="Times New Roman" w:cs="Times New Roman"/>
          <w:spacing w:val="-3"/>
          <w:sz w:val="21"/>
          <w:szCs w:val="21"/>
        </w:rPr>
        <w:t>28</w:t>
      </w:r>
      <w:r>
        <w:rPr>
          <w:rFonts w:ascii="Times New Roman" w:hAnsi="Times New Roman" w:eastAsia="Times New Roman" w:cs="Times New Roman"/>
          <w:spacing w:val="13"/>
          <w:sz w:val="21"/>
          <w:szCs w:val="21"/>
        </w:rPr>
        <w:t xml:space="preserve"> </w:t>
      </w:r>
      <w:r>
        <w:rPr>
          <w:rFonts w:ascii="宋体" w:hAnsi="宋体" w:eastAsia="宋体" w:cs="宋体"/>
          <w:spacing w:val="-3"/>
          <w:sz w:val="21"/>
          <w:szCs w:val="21"/>
        </w:rPr>
        <w:t>天内进行更</w:t>
      </w:r>
      <w:r>
        <w:rPr>
          <w:rFonts w:ascii="宋体" w:hAnsi="宋体" w:eastAsia="宋体" w:cs="宋体"/>
          <w:spacing w:val="-4"/>
          <w:sz w:val="21"/>
          <w:szCs w:val="21"/>
        </w:rPr>
        <w:t>换，并将新</w:t>
      </w:r>
      <w:r>
        <w:rPr>
          <w:rFonts w:ascii="宋体" w:hAnsi="宋体" w:eastAsia="宋体" w:cs="宋体"/>
          <w:sz w:val="21"/>
          <w:szCs w:val="21"/>
        </w:rPr>
        <w:t xml:space="preserve"> </w:t>
      </w:r>
      <w:r>
        <w:rPr>
          <w:rFonts w:ascii="宋体" w:hAnsi="宋体" w:eastAsia="宋体" w:cs="宋体"/>
          <w:spacing w:val="3"/>
          <w:sz w:val="21"/>
          <w:szCs w:val="21"/>
        </w:rPr>
        <w:t>任命的项目经理的注册执业资格、管理经验等资料书面通知发包人。继任项目经理继续履</w:t>
      </w:r>
      <w:r>
        <w:rPr>
          <w:rFonts w:ascii="宋体" w:hAnsi="宋体" w:eastAsia="宋体" w:cs="宋体"/>
          <w:sz w:val="21"/>
          <w:szCs w:val="21"/>
        </w:rPr>
        <w:t xml:space="preserve"> 行第</w:t>
      </w:r>
      <w:r>
        <w:rPr>
          <w:rFonts w:ascii="宋体" w:hAnsi="宋体" w:eastAsia="宋体" w:cs="宋体"/>
          <w:spacing w:val="-29"/>
          <w:sz w:val="21"/>
          <w:szCs w:val="21"/>
        </w:rPr>
        <w:t xml:space="preserve"> </w:t>
      </w:r>
      <w:r>
        <w:rPr>
          <w:rFonts w:ascii="Times New Roman" w:hAnsi="Times New Roman" w:eastAsia="Times New Roman" w:cs="Times New Roman"/>
          <w:sz w:val="21"/>
          <w:szCs w:val="21"/>
        </w:rPr>
        <w:t xml:space="preserve">3.2.1 </w:t>
      </w:r>
      <w:r>
        <w:rPr>
          <w:rFonts w:ascii="宋体" w:hAnsi="宋体" w:eastAsia="宋体" w:cs="宋体"/>
          <w:sz w:val="21"/>
          <w:szCs w:val="21"/>
        </w:rPr>
        <w:t>项约定的职责。承包人无正当理由拒绝更换项目经理的，应</w:t>
      </w:r>
      <w:r>
        <w:rPr>
          <w:rFonts w:ascii="宋体" w:hAnsi="宋体" w:eastAsia="宋体" w:cs="宋体"/>
          <w:spacing w:val="-1"/>
          <w:sz w:val="21"/>
          <w:szCs w:val="21"/>
        </w:rPr>
        <w:t>按照专用合同条款的</w:t>
      </w:r>
    </w:p>
    <w:p w14:paraId="158598D8">
      <w:pPr>
        <w:spacing w:line="220" w:lineRule="auto"/>
        <w:ind w:left="23"/>
        <w:rPr>
          <w:rFonts w:ascii="宋体" w:hAnsi="宋体" w:eastAsia="宋体" w:cs="宋体"/>
          <w:sz w:val="21"/>
          <w:szCs w:val="21"/>
        </w:rPr>
      </w:pPr>
      <w:r>
        <w:rPr>
          <w:rFonts w:ascii="宋体" w:hAnsi="宋体" w:eastAsia="宋体" w:cs="宋体"/>
          <w:spacing w:val="-4"/>
          <w:sz w:val="21"/>
          <w:szCs w:val="21"/>
        </w:rPr>
        <w:t>约定承担违约责任。</w:t>
      </w:r>
    </w:p>
    <w:p w14:paraId="2A40F224">
      <w:pPr>
        <w:spacing w:before="148" w:line="403" w:lineRule="exact"/>
        <w:ind w:left="441"/>
        <w:rPr>
          <w:rFonts w:ascii="宋体" w:hAnsi="宋体" w:eastAsia="宋体" w:cs="宋体"/>
          <w:sz w:val="21"/>
          <w:szCs w:val="21"/>
        </w:rPr>
      </w:pPr>
      <w:r>
        <w:rPr>
          <w:rFonts w:ascii="Times New Roman" w:hAnsi="Times New Roman" w:eastAsia="Times New Roman" w:cs="Times New Roman"/>
          <w:spacing w:val="1"/>
          <w:position w:val="14"/>
          <w:sz w:val="21"/>
          <w:szCs w:val="21"/>
        </w:rPr>
        <w:t>3.2.5</w:t>
      </w:r>
      <w:r>
        <w:rPr>
          <w:rFonts w:ascii="Times New Roman" w:hAnsi="Times New Roman" w:eastAsia="Times New Roman" w:cs="Times New Roman"/>
          <w:spacing w:val="36"/>
          <w:position w:val="14"/>
          <w:sz w:val="21"/>
          <w:szCs w:val="21"/>
        </w:rPr>
        <w:t xml:space="preserve"> </w:t>
      </w:r>
      <w:r>
        <w:rPr>
          <w:rFonts w:ascii="宋体" w:hAnsi="宋体" w:eastAsia="宋体" w:cs="宋体"/>
          <w:spacing w:val="1"/>
          <w:position w:val="14"/>
          <w:sz w:val="21"/>
          <w:szCs w:val="21"/>
        </w:rPr>
        <w:t>项目经理因特殊情况授权其下属人员履行</w:t>
      </w:r>
      <w:r>
        <w:rPr>
          <w:rFonts w:ascii="宋体" w:hAnsi="宋体" w:eastAsia="宋体" w:cs="宋体"/>
          <w:position w:val="14"/>
          <w:sz w:val="21"/>
          <w:szCs w:val="21"/>
        </w:rPr>
        <w:t>其某项工作职责的，该下属人员应具备</w:t>
      </w:r>
    </w:p>
    <w:p w14:paraId="1BB60027">
      <w:pPr>
        <w:spacing w:before="1" w:line="219" w:lineRule="auto"/>
        <w:ind w:left="21"/>
        <w:rPr>
          <w:rFonts w:ascii="宋体" w:hAnsi="宋体" w:eastAsia="宋体" w:cs="宋体"/>
          <w:sz w:val="21"/>
          <w:szCs w:val="21"/>
        </w:rPr>
      </w:pPr>
      <w:r>
        <w:rPr>
          <w:rFonts w:ascii="宋体" w:hAnsi="宋体" w:eastAsia="宋体" w:cs="宋体"/>
          <w:sz w:val="21"/>
          <w:szCs w:val="21"/>
        </w:rPr>
        <w:t xml:space="preserve">履行相应职责的能力，并应提前 </w:t>
      </w:r>
      <w:r>
        <w:rPr>
          <w:rFonts w:ascii="Times New Roman" w:hAnsi="Times New Roman" w:eastAsia="Times New Roman" w:cs="Times New Roman"/>
          <w:sz w:val="21"/>
          <w:szCs w:val="21"/>
        </w:rPr>
        <w:t>7</w:t>
      </w:r>
      <w:r>
        <w:rPr>
          <w:rFonts w:ascii="Times New Roman" w:hAnsi="Times New Roman" w:eastAsia="Times New Roman" w:cs="Times New Roman"/>
          <w:spacing w:val="59"/>
          <w:w w:val="101"/>
          <w:sz w:val="21"/>
          <w:szCs w:val="21"/>
        </w:rPr>
        <w:t xml:space="preserve"> </w:t>
      </w:r>
      <w:r>
        <w:rPr>
          <w:rFonts w:ascii="宋体" w:hAnsi="宋体" w:eastAsia="宋体" w:cs="宋体"/>
          <w:sz w:val="21"/>
          <w:szCs w:val="21"/>
        </w:rPr>
        <w:t>天将上述人员的姓名和授权范围书面通知监理人，并征</w:t>
      </w:r>
    </w:p>
    <w:p w14:paraId="5FCA53FE">
      <w:pPr>
        <w:spacing w:before="148" w:line="220" w:lineRule="auto"/>
        <w:ind w:left="19"/>
        <w:rPr>
          <w:rFonts w:ascii="宋体" w:hAnsi="宋体" w:eastAsia="宋体" w:cs="宋体"/>
          <w:sz w:val="21"/>
          <w:szCs w:val="21"/>
        </w:rPr>
      </w:pPr>
      <w:r>
        <w:rPr>
          <w:rFonts w:ascii="宋体" w:hAnsi="宋体" w:eastAsia="宋体" w:cs="宋体"/>
          <w:spacing w:val="-3"/>
          <w:sz w:val="21"/>
          <w:szCs w:val="21"/>
        </w:rPr>
        <w:t>得发包人书面同意。</w:t>
      </w:r>
    </w:p>
    <w:p w14:paraId="2EA4DF93">
      <w:pPr>
        <w:spacing w:before="48" w:line="218" w:lineRule="auto"/>
        <w:ind w:left="19"/>
        <w:rPr>
          <w:rFonts w:ascii="黑体" w:hAnsi="黑体" w:eastAsia="黑体" w:cs="黑体"/>
          <w:sz w:val="24"/>
          <w:szCs w:val="24"/>
        </w:rPr>
      </w:pPr>
      <w:r>
        <w:rPr>
          <w:rFonts w:ascii="黑体" w:hAnsi="黑体" w:eastAsia="黑体" w:cs="黑体"/>
          <w:spacing w:val="-1"/>
          <w:sz w:val="24"/>
          <w:szCs w:val="24"/>
        </w:rPr>
        <w:t>3.3 承包人人员</w:t>
      </w:r>
    </w:p>
    <w:p w14:paraId="52141408">
      <w:pPr>
        <w:spacing w:before="132" w:line="352" w:lineRule="auto"/>
        <w:ind w:left="18" w:right="179" w:firstLine="423"/>
        <w:rPr>
          <w:rFonts w:ascii="宋体" w:hAnsi="宋体" w:eastAsia="宋体" w:cs="宋体"/>
          <w:sz w:val="21"/>
          <w:szCs w:val="21"/>
        </w:rPr>
      </w:pPr>
      <w:r>
        <w:rPr>
          <w:rFonts w:ascii="Times New Roman" w:hAnsi="Times New Roman" w:eastAsia="Times New Roman" w:cs="Times New Roman"/>
          <w:spacing w:val="-4"/>
          <w:sz w:val="21"/>
          <w:szCs w:val="21"/>
        </w:rPr>
        <w:t>3.3.1</w:t>
      </w:r>
      <w:r>
        <w:rPr>
          <w:rFonts w:ascii="Times New Roman" w:hAnsi="Times New Roman" w:eastAsia="Times New Roman" w:cs="Times New Roman"/>
          <w:spacing w:val="49"/>
          <w:sz w:val="21"/>
          <w:szCs w:val="21"/>
        </w:rPr>
        <w:t xml:space="preserve"> </w:t>
      </w:r>
      <w:r>
        <w:rPr>
          <w:rFonts w:ascii="宋体" w:hAnsi="宋体" w:eastAsia="宋体" w:cs="宋体"/>
          <w:spacing w:val="-4"/>
          <w:sz w:val="21"/>
          <w:szCs w:val="21"/>
        </w:rPr>
        <w:t xml:space="preserve">除专用合同条款另有约定外， 承包人应在接到开工通知后 </w:t>
      </w:r>
      <w:r>
        <w:rPr>
          <w:rFonts w:ascii="Times New Roman" w:hAnsi="Times New Roman" w:eastAsia="Times New Roman" w:cs="Times New Roman"/>
          <w:spacing w:val="-4"/>
          <w:sz w:val="21"/>
          <w:szCs w:val="21"/>
        </w:rPr>
        <w:t>7</w:t>
      </w:r>
      <w:r>
        <w:rPr>
          <w:rFonts w:ascii="Times New Roman" w:hAnsi="Times New Roman" w:eastAsia="Times New Roman" w:cs="Times New Roman"/>
          <w:spacing w:val="22"/>
          <w:w w:val="101"/>
          <w:sz w:val="21"/>
          <w:szCs w:val="21"/>
        </w:rPr>
        <w:t xml:space="preserve"> </w:t>
      </w:r>
      <w:r>
        <w:rPr>
          <w:rFonts w:ascii="宋体" w:hAnsi="宋体" w:eastAsia="宋体" w:cs="宋体"/>
          <w:spacing w:val="-4"/>
          <w:sz w:val="21"/>
          <w:szCs w:val="21"/>
        </w:rPr>
        <w:t>天内，向监理人提交</w:t>
      </w:r>
      <w:r>
        <w:rPr>
          <w:rFonts w:ascii="宋体" w:hAnsi="宋体" w:eastAsia="宋体" w:cs="宋体"/>
          <w:sz w:val="21"/>
          <w:szCs w:val="21"/>
        </w:rPr>
        <w:t xml:space="preserve"> </w:t>
      </w:r>
      <w:r>
        <w:rPr>
          <w:rFonts w:ascii="宋体" w:hAnsi="宋体" w:eastAsia="宋体" w:cs="宋体"/>
          <w:spacing w:val="2"/>
          <w:sz w:val="21"/>
          <w:szCs w:val="21"/>
        </w:rPr>
        <w:t xml:space="preserve">承包人项目管理机构及施工现场人员安排的报告，其内容应包括合同管理、施工、技术、 </w:t>
      </w:r>
      <w:r>
        <w:rPr>
          <w:rFonts w:ascii="宋体" w:hAnsi="宋体" w:eastAsia="宋体" w:cs="宋体"/>
          <w:spacing w:val="3"/>
          <w:sz w:val="21"/>
          <w:szCs w:val="21"/>
        </w:rPr>
        <w:t>材料、质量、安全、财务等主要施工管理人员名单及其岗位、注册执业资格</w:t>
      </w:r>
      <w:r>
        <w:rPr>
          <w:rFonts w:ascii="宋体" w:hAnsi="宋体" w:eastAsia="宋体" w:cs="宋体"/>
          <w:spacing w:val="2"/>
          <w:sz w:val="21"/>
          <w:szCs w:val="21"/>
        </w:rPr>
        <w:t>等，以及各工</w:t>
      </w:r>
      <w:r>
        <w:rPr>
          <w:rFonts w:ascii="宋体" w:hAnsi="宋体" w:eastAsia="宋体" w:cs="宋体"/>
          <w:sz w:val="21"/>
          <w:szCs w:val="21"/>
        </w:rPr>
        <w:t xml:space="preserve"> </w:t>
      </w:r>
      <w:r>
        <w:rPr>
          <w:rFonts w:ascii="宋体" w:hAnsi="宋体" w:eastAsia="宋体" w:cs="宋体"/>
          <w:spacing w:val="3"/>
          <w:sz w:val="21"/>
          <w:szCs w:val="21"/>
        </w:rPr>
        <w:t>种技术工人的安排情况，并同时提交主要施工管理人员与承包人之间的劳动关系证明和缴</w:t>
      </w:r>
    </w:p>
    <w:p w14:paraId="6B0A48A0">
      <w:pPr>
        <w:spacing w:before="1" w:line="219" w:lineRule="auto"/>
        <w:ind w:left="20"/>
        <w:rPr>
          <w:rFonts w:ascii="宋体" w:hAnsi="宋体" w:eastAsia="宋体" w:cs="宋体"/>
          <w:sz w:val="21"/>
          <w:szCs w:val="21"/>
        </w:rPr>
      </w:pPr>
      <w:r>
        <w:rPr>
          <w:rFonts w:ascii="宋体" w:hAnsi="宋体" w:eastAsia="宋体" w:cs="宋体"/>
          <w:spacing w:val="-2"/>
          <w:sz w:val="21"/>
          <w:szCs w:val="21"/>
        </w:rPr>
        <w:t>纳社会保险的有效证明。</w:t>
      </w:r>
    </w:p>
    <w:p w14:paraId="3C102F71">
      <w:pPr>
        <w:spacing w:before="147" w:line="352" w:lineRule="auto"/>
        <w:ind w:left="18" w:right="181" w:firstLine="423"/>
        <w:rPr>
          <w:rFonts w:ascii="宋体" w:hAnsi="宋体" w:eastAsia="宋体" w:cs="宋体"/>
          <w:sz w:val="21"/>
          <w:szCs w:val="21"/>
        </w:rPr>
      </w:pPr>
      <w:r>
        <w:rPr>
          <w:rFonts w:ascii="Times New Roman" w:hAnsi="Times New Roman" w:eastAsia="Times New Roman" w:cs="Times New Roman"/>
          <w:spacing w:val="1"/>
          <w:sz w:val="21"/>
          <w:szCs w:val="21"/>
        </w:rPr>
        <w:t>3.3.2</w:t>
      </w:r>
      <w:r>
        <w:rPr>
          <w:rFonts w:ascii="Times New Roman" w:hAnsi="Times New Roman" w:eastAsia="Times New Roman" w:cs="Times New Roman"/>
          <w:spacing w:val="33"/>
          <w:sz w:val="21"/>
          <w:szCs w:val="21"/>
        </w:rPr>
        <w:t xml:space="preserve"> </w:t>
      </w:r>
      <w:r>
        <w:rPr>
          <w:rFonts w:ascii="宋体" w:hAnsi="宋体" w:eastAsia="宋体" w:cs="宋体"/>
          <w:spacing w:val="1"/>
          <w:sz w:val="21"/>
          <w:szCs w:val="21"/>
        </w:rPr>
        <w:t>承包人派驻到施工现场的主要施工管理人员应相</w:t>
      </w:r>
      <w:r>
        <w:rPr>
          <w:rFonts w:ascii="宋体" w:hAnsi="宋体" w:eastAsia="宋体" w:cs="宋体"/>
          <w:sz w:val="21"/>
          <w:szCs w:val="21"/>
        </w:rPr>
        <w:t xml:space="preserve">对稳定。施工过程中如有变动， </w:t>
      </w:r>
      <w:r>
        <w:rPr>
          <w:rFonts w:ascii="宋体" w:hAnsi="宋体" w:eastAsia="宋体" w:cs="宋体"/>
          <w:spacing w:val="3"/>
          <w:sz w:val="21"/>
          <w:szCs w:val="21"/>
        </w:rPr>
        <w:t>承包人应及时向监理人提交施工现场人员变动情况的报告。承包人更换主要</w:t>
      </w:r>
      <w:r>
        <w:rPr>
          <w:rFonts w:ascii="宋体" w:hAnsi="宋体" w:eastAsia="宋体" w:cs="宋体"/>
          <w:spacing w:val="2"/>
          <w:sz w:val="21"/>
          <w:szCs w:val="21"/>
        </w:rPr>
        <w:t>施工管理人员</w:t>
      </w:r>
      <w:r>
        <w:rPr>
          <w:rFonts w:ascii="宋体" w:hAnsi="宋体" w:eastAsia="宋体" w:cs="宋体"/>
          <w:sz w:val="21"/>
          <w:szCs w:val="21"/>
        </w:rPr>
        <w:t xml:space="preserve"> </w:t>
      </w:r>
      <w:r>
        <w:rPr>
          <w:rFonts w:ascii="宋体" w:hAnsi="宋体" w:eastAsia="宋体" w:cs="宋体"/>
          <w:spacing w:val="-4"/>
          <w:sz w:val="21"/>
          <w:szCs w:val="21"/>
        </w:rPr>
        <w:t xml:space="preserve">时，应提前 </w:t>
      </w:r>
      <w:r>
        <w:rPr>
          <w:rFonts w:ascii="Times New Roman" w:hAnsi="Times New Roman" w:eastAsia="Times New Roman" w:cs="Times New Roman"/>
          <w:spacing w:val="-4"/>
          <w:sz w:val="21"/>
          <w:szCs w:val="21"/>
        </w:rPr>
        <w:t xml:space="preserve">7  </w:t>
      </w:r>
      <w:r>
        <w:rPr>
          <w:rFonts w:ascii="宋体" w:hAnsi="宋体" w:eastAsia="宋体" w:cs="宋体"/>
          <w:spacing w:val="-4"/>
          <w:sz w:val="21"/>
          <w:szCs w:val="21"/>
        </w:rPr>
        <w:t>天书面通知监理人，</w:t>
      </w:r>
      <w:r>
        <w:rPr>
          <w:rFonts w:ascii="宋体" w:hAnsi="宋体" w:eastAsia="宋体" w:cs="宋体"/>
          <w:spacing w:val="73"/>
          <w:sz w:val="21"/>
          <w:szCs w:val="21"/>
        </w:rPr>
        <w:t xml:space="preserve"> </w:t>
      </w:r>
      <w:r>
        <w:rPr>
          <w:rFonts w:ascii="宋体" w:hAnsi="宋体" w:eastAsia="宋体" w:cs="宋体"/>
          <w:spacing w:val="-4"/>
          <w:sz w:val="21"/>
          <w:szCs w:val="21"/>
        </w:rPr>
        <w:t>并征得发包人书面同意。通知中应当载明继任人员的注</w:t>
      </w:r>
    </w:p>
    <w:p w14:paraId="2E7157BA">
      <w:pPr>
        <w:spacing w:before="1" w:line="220" w:lineRule="auto"/>
        <w:ind w:left="18"/>
        <w:rPr>
          <w:rFonts w:ascii="宋体" w:hAnsi="宋体" w:eastAsia="宋体" w:cs="宋体"/>
          <w:sz w:val="21"/>
          <w:szCs w:val="21"/>
        </w:rPr>
      </w:pPr>
      <w:r>
        <w:rPr>
          <w:rFonts w:ascii="宋体" w:hAnsi="宋体" w:eastAsia="宋体" w:cs="宋体"/>
          <w:spacing w:val="-1"/>
          <w:sz w:val="21"/>
          <w:szCs w:val="21"/>
        </w:rPr>
        <w:t>册执业资格、管理经验等资料。</w:t>
      </w:r>
    </w:p>
    <w:p w14:paraId="0DC22143">
      <w:pPr>
        <w:spacing w:line="220" w:lineRule="auto"/>
        <w:rPr>
          <w:rFonts w:ascii="宋体" w:hAnsi="宋体" w:eastAsia="宋体" w:cs="宋体"/>
          <w:sz w:val="21"/>
          <w:szCs w:val="21"/>
        </w:rPr>
        <w:sectPr>
          <w:footerReference r:id="rId98" w:type="default"/>
          <w:pgSz w:w="11905" w:h="16839"/>
          <w:pgMar w:top="1431" w:right="1612" w:bottom="1004" w:left="1785" w:header="0" w:footer="828" w:gutter="0"/>
          <w:pgNumType w:fmt="decimal"/>
          <w:cols w:space="720" w:num="1"/>
        </w:sectPr>
      </w:pPr>
    </w:p>
    <w:p w14:paraId="2EF4CFA2">
      <w:pPr>
        <w:spacing w:before="148" w:line="221" w:lineRule="auto"/>
        <w:ind w:left="441"/>
        <w:rPr>
          <w:rFonts w:ascii="宋体" w:hAnsi="宋体" w:eastAsia="宋体" w:cs="宋体"/>
          <w:sz w:val="21"/>
          <w:szCs w:val="21"/>
        </w:rPr>
      </w:pPr>
      <w:r>
        <w:rPr>
          <w:rFonts w:ascii="宋体" w:hAnsi="宋体" w:eastAsia="宋体" w:cs="宋体"/>
          <w:spacing w:val="-1"/>
          <w:sz w:val="21"/>
          <w:szCs w:val="21"/>
        </w:rPr>
        <w:t>特殊工种作业人员均应持有相应的资格证明，监理人可以随时检查。</w:t>
      </w:r>
    </w:p>
    <w:p w14:paraId="728FFD97">
      <w:pPr>
        <w:spacing w:before="146" w:line="352" w:lineRule="auto"/>
        <w:ind w:left="18" w:right="191" w:firstLine="423"/>
        <w:rPr>
          <w:rFonts w:ascii="宋体" w:hAnsi="宋体" w:eastAsia="宋体" w:cs="宋体"/>
          <w:sz w:val="21"/>
          <w:szCs w:val="21"/>
        </w:rPr>
      </w:pPr>
      <w:r>
        <w:rPr>
          <w:rFonts w:ascii="Times New Roman" w:hAnsi="Times New Roman" w:eastAsia="Times New Roman" w:cs="Times New Roman"/>
          <w:spacing w:val="1"/>
          <w:sz w:val="21"/>
          <w:szCs w:val="21"/>
        </w:rPr>
        <w:t>3.3.3</w:t>
      </w:r>
      <w:r>
        <w:rPr>
          <w:rFonts w:ascii="Times New Roman" w:hAnsi="Times New Roman" w:eastAsia="Times New Roman" w:cs="Times New Roman"/>
          <w:spacing w:val="36"/>
          <w:w w:val="101"/>
          <w:sz w:val="21"/>
          <w:szCs w:val="21"/>
        </w:rPr>
        <w:t xml:space="preserve"> </w:t>
      </w:r>
      <w:r>
        <w:rPr>
          <w:rFonts w:ascii="宋体" w:hAnsi="宋体" w:eastAsia="宋体" w:cs="宋体"/>
          <w:spacing w:val="1"/>
          <w:sz w:val="21"/>
          <w:szCs w:val="21"/>
        </w:rPr>
        <w:t>发包人对于承包人主要施工管理人员的资格</w:t>
      </w:r>
      <w:r>
        <w:rPr>
          <w:rFonts w:ascii="宋体" w:hAnsi="宋体" w:eastAsia="宋体" w:cs="宋体"/>
          <w:sz w:val="21"/>
          <w:szCs w:val="21"/>
        </w:rPr>
        <w:t xml:space="preserve">或能力有异议的，承包人应提供资料 </w:t>
      </w:r>
      <w:r>
        <w:rPr>
          <w:rFonts w:ascii="宋体" w:hAnsi="宋体" w:eastAsia="宋体" w:cs="宋体"/>
          <w:spacing w:val="3"/>
          <w:sz w:val="21"/>
          <w:szCs w:val="21"/>
        </w:rPr>
        <w:t>证明被质疑人员有能力完成其岗位工作或不存在发包人所质疑的情形。发包</w:t>
      </w:r>
      <w:r>
        <w:rPr>
          <w:rFonts w:ascii="宋体" w:hAnsi="宋体" w:eastAsia="宋体" w:cs="宋体"/>
          <w:spacing w:val="2"/>
          <w:sz w:val="21"/>
          <w:szCs w:val="21"/>
        </w:rPr>
        <w:t>人要求撤换不</w:t>
      </w:r>
      <w:r>
        <w:rPr>
          <w:rFonts w:ascii="宋体" w:hAnsi="宋体" w:eastAsia="宋体" w:cs="宋体"/>
          <w:sz w:val="21"/>
          <w:szCs w:val="21"/>
        </w:rPr>
        <w:t xml:space="preserve"> </w:t>
      </w:r>
      <w:r>
        <w:rPr>
          <w:rFonts w:ascii="宋体" w:hAnsi="宋体" w:eastAsia="宋体" w:cs="宋体"/>
          <w:spacing w:val="3"/>
          <w:sz w:val="21"/>
          <w:szCs w:val="21"/>
        </w:rPr>
        <w:t>能按照合同约定履行职责及义务的主要施工管理人员的，承包人应当撤换。</w:t>
      </w:r>
      <w:r>
        <w:rPr>
          <w:rFonts w:ascii="宋体" w:hAnsi="宋体" w:eastAsia="宋体" w:cs="宋体"/>
          <w:spacing w:val="2"/>
          <w:sz w:val="21"/>
          <w:szCs w:val="21"/>
        </w:rPr>
        <w:t>承包人无正当</w:t>
      </w:r>
    </w:p>
    <w:p w14:paraId="2C219A41">
      <w:pPr>
        <w:spacing w:line="220" w:lineRule="auto"/>
        <w:ind w:left="20"/>
        <w:rPr>
          <w:rFonts w:ascii="宋体" w:hAnsi="宋体" w:eastAsia="宋体" w:cs="宋体"/>
          <w:sz w:val="21"/>
          <w:szCs w:val="21"/>
        </w:rPr>
      </w:pPr>
      <w:r>
        <w:rPr>
          <w:rFonts w:ascii="宋体" w:hAnsi="宋体" w:eastAsia="宋体" w:cs="宋体"/>
          <w:spacing w:val="-1"/>
          <w:sz w:val="21"/>
          <w:szCs w:val="21"/>
        </w:rPr>
        <w:t>理由拒绝撤换的，应按照专用合同条款的约定承担</w:t>
      </w:r>
      <w:r>
        <w:rPr>
          <w:rFonts w:ascii="宋体" w:hAnsi="宋体" w:eastAsia="宋体" w:cs="宋体"/>
          <w:spacing w:val="-2"/>
          <w:sz w:val="21"/>
          <w:szCs w:val="21"/>
        </w:rPr>
        <w:t>违约责任。</w:t>
      </w:r>
    </w:p>
    <w:p w14:paraId="44239D1C">
      <w:pPr>
        <w:spacing w:before="151" w:line="352" w:lineRule="auto"/>
        <w:ind w:left="20" w:right="187" w:firstLine="420"/>
        <w:rPr>
          <w:rFonts w:ascii="宋体" w:hAnsi="宋体" w:eastAsia="宋体" w:cs="宋体"/>
          <w:sz w:val="21"/>
          <w:szCs w:val="21"/>
        </w:rPr>
      </w:pPr>
      <w:r>
        <w:rPr>
          <w:rFonts w:ascii="Times New Roman" w:hAnsi="Times New Roman" w:eastAsia="Times New Roman" w:cs="Times New Roman"/>
          <w:sz w:val="21"/>
          <w:szCs w:val="21"/>
        </w:rPr>
        <w:t>3.3.4</w:t>
      </w:r>
      <w:r>
        <w:rPr>
          <w:rFonts w:ascii="Times New Roman" w:hAnsi="Times New Roman" w:eastAsia="Times New Roman" w:cs="Times New Roman"/>
          <w:spacing w:val="59"/>
          <w:sz w:val="21"/>
          <w:szCs w:val="21"/>
        </w:rPr>
        <w:t xml:space="preserve"> </w:t>
      </w:r>
      <w:r>
        <w:rPr>
          <w:rFonts w:ascii="宋体" w:hAnsi="宋体" w:eastAsia="宋体" w:cs="宋体"/>
          <w:sz w:val="21"/>
          <w:szCs w:val="21"/>
        </w:rPr>
        <w:t xml:space="preserve">除专用合同条款另有约定外，承包人的主要施工管理人员离开施工现场每月累计 </w:t>
      </w:r>
      <w:r>
        <w:rPr>
          <w:rFonts w:ascii="宋体" w:hAnsi="宋体" w:eastAsia="宋体" w:cs="宋体"/>
          <w:spacing w:val="-4"/>
          <w:sz w:val="21"/>
          <w:szCs w:val="21"/>
        </w:rPr>
        <w:t xml:space="preserve">不超过 </w:t>
      </w:r>
      <w:r>
        <w:rPr>
          <w:rFonts w:ascii="Times New Roman" w:hAnsi="Times New Roman" w:eastAsia="Times New Roman" w:cs="Times New Roman"/>
          <w:spacing w:val="-4"/>
          <w:sz w:val="21"/>
          <w:szCs w:val="21"/>
        </w:rPr>
        <w:t>5</w:t>
      </w:r>
      <w:r>
        <w:rPr>
          <w:rFonts w:ascii="Times New Roman" w:hAnsi="Times New Roman" w:eastAsia="Times New Roman" w:cs="Times New Roman"/>
          <w:spacing w:val="44"/>
          <w:w w:val="101"/>
          <w:sz w:val="21"/>
          <w:szCs w:val="21"/>
        </w:rPr>
        <w:t xml:space="preserve"> </w:t>
      </w:r>
      <w:r>
        <w:rPr>
          <w:rFonts w:ascii="宋体" w:hAnsi="宋体" w:eastAsia="宋体" w:cs="宋体"/>
          <w:spacing w:val="-4"/>
          <w:sz w:val="21"/>
          <w:szCs w:val="21"/>
        </w:rPr>
        <w:t xml:space="preserve">天的，应报监理人同意；离开施工现场每月累计超过 </w:t>
      </w:r>
      <w:r>
        <w:rPr>
          <w:rFonts w:ascii="Times New Roman" w:hAnsi="Times New Roman" w:eastAsia="Times New Roman" w:cs="Times New Roman"/>
          <w:spacing w:val="-4"/>
          <w:sz w:val="21"/>
          <w:szCs w:val="21"/>
        </w:rPr>
        <w:t>5</w:t>
      </w:r>
      <w:r>
        <w:rPr>
          <w:rFonts w:ascii="Times New Roman" w:hAnsi="Times New Roman" w:eastAsia="Times New Roman" w:cs="Times New Roman"/>
          <w:spacing w:val="32"/>
          <w:sz w:val="21"/>
          <w:szCs w:val="21"/>
        </w:rPr>
        <w:t xml:space="preserve"> </w:t>
      </w:r>
      <w:r>
        <w:rPr>
          <w:rFonts w:ascii="宋体" w:hAnsi="宋体" w:eastAsia="宋体" w:cs="宋体"/>
          <w:spacing w:val="-4"/>
          <w:sz w:val="21"/>
          <w:szCs w:val="21"/>
        </w:rPr>
        <w:t>天的， 应通知监理人，并</w:t>
      </w:r>
      <w:r>
        <w:rPr>
          <w:rFonts w:ascii="宋体" w:hAnsi="宋体" w:eastAsia="宋体" w:cs="宋体"/>
          <w:sz w:val="21"/>
          <w:szCs w:val="21"/>
        </w:rPr>
        <w:t xml:space="preserve"> </w:t>
      </w:r>
      <w:r>
        <w:rPr>
          <w:rFonts w:ascii="宋体" w:hAnsi="宋体" w:eastAsia="宋体" w:cs="宋体"/>
          <w:spacing w:val="3"/>
          <w:sz w:val="21"/>
          <w:szCs w:val="21"/>
        </w:rPr>
        <w:t>征得发包人书面同意。主要施工管理人员离开施工现场前应指定一名有</w:t>
      </w:r>
      <w:r>
        <w:rPr>
          <w:rFonts w:ascii="宋体" w:hAnsi="宋体" w:eastAsia="宋体" w:cs="宋体"/>
          <w:spacing w:val="2"/>
          <w:sz w:val="21"/>
          <w:szCs w:val="21"/>
        </w:rPr>
        <w:t>经验的人员临时代</w:t>
      </w:r>
    </w:p>
    <w:p w14:paraId="34AD9AEE">
      <w:pPr>
        <w:spacing w:before="1" w:line="220" w:lineRule="auto"/>
        <w:ind w:left="21"/>
        <w:rPr>
          <w:rFonts w:ascii="宋体" w:hAnsi="宋体" w:eastAsia="宋体" w:cs="宋体"/>
          <w:sz w:val="21"/>
          <w:szCs w:val="21"/>
        </w:rPr>
      </w:pPr>
      <w:r>
        <w:rPr>
          <w:rFonts w:ascii="宋体" w:hAnsi="宋体" w:eastAsia="宋体" w:cs="宋体"/>
          <w:spacing w:val="-3"/>
          <w:sz w:val="21"/>
          <w:szCs w:val="21"/>
        </w:rPr>
        <w:t>行其职责， 该人员应具备履行相应职责的资格和能力，</w:t>
      </w:r>
      <w:r>
        <w:rPr>
          <w:rFonts w:ascii="宋体" w:hAnsi="宋体" w:eastAsia="宋体" w:cs="宋体"/>
          <w:spacing w:val="-4"/>
          <w:sz w:val="21"/>
          <w:szCs w:val="21"/>
        </w:rPr>
        <w:t>且应征得监理人或发包人的同意。</w:t>
      </w:r>
    </w:p>
    <w:p w14:paraId="036B1F36">
      <w:pPr>
        <w:spacing w:before="147" w:line="221" w:lineRule="auto"/>
        <w:ind w:left="441"/>
        <w:rPr>
          <w:rFonts w:ascii="宋体" w:hAnsi="宋体" w:eastAsia="宋体" w:cs="宋体"/>
          <w:sz w:val="21"/>
          <w:szCs w:val="21"/>
        </w:rPr>
      </w:pPr>
      <w:r>
        <w:rPr>
          <w:rFonts w:ascii="Times New Roman" w:hAnsi="Times New Roman" w:eastAsia="Times New Roman" w:cs="Times New Roman"/>
          <w:spacing w:val="1"/>
          <w:sz w:val="21"/>
          <w:szCs w:val="21"/>
        </w:rPr>
        <w:t>3.3.5</w:t>
      </w:r>
      <w:r>
        <w:rPr>
          <w:rFonts w:ascii="Times New Roman" w:hAnsi="Times New Roman" w:eastAsia="Times New Roman" w:cs="Times New Roman"/>
          <w:spacing w:val="33"/>
          <w:sz w:val="21"/>
          <w:szCs w:val="21"/>
        </w:rPr>
        <w:t xml:space="preserve"> </w:t>
      </w:r>
      <w:r>
        <w:rPr>
          <w:rFonts w:ascii="宋体" w:hAnsi="宋体" w:eastAsia="宋体" w:cs="宋体"/>
          <w:spacing w:val="1"/>
          <w:sz w:val="21"/>
          <w:szCs w:val="21"/>
        </w:rPr>
        <w:t>承包人擅自更换主要施工管理人员，或前述人员</w:t>
      </w:r>
      <w:r>
        <w:rPr>
          <w:rFonts w:ascii="宋体" w:hAnsi="宋体" w:eastAsia="宋体" w:cs="宋体"/>
          <w:sz w:val="21"/>
          <w:szCs w:val="21"/>
        </w:rPr>
        <w:t>未经监理人或发包人同意擅自离</w:t>
      </w:r>
    </w:p>
    <w:p w14:paraId="53DA46A1">
      <w:pPr>
        <w:spacing w:before="147" w:line="221" w:lineRule="auto"/>
        <w:ind w:left="19"/>
        <w:rPr>
          <w:rFonts w:ascii="宋体" w:hAnsi="宋体" w:eastAsia="宋体" w:cs="宋体"/>
          <w:sz w:val="21"/>
          <w:szCs w:val="21"/>
        </w:rPr>
      </w:pPr>
      <w:r>
        <w:rPr>
          <w:rFonts w:ascii="宋体" w:hAnsi="宋体" w:eastAsia="宋体" w:cs="宋体"/>
          <w:spacing w:val="-1"/>
          <w:sz w:val="21"/>
          <w:szCs w:val="21"/>
        </w:rPr>
        <w:t>开施工现场的，应按照专用合同条款约定承担违约责任。</w:t>
      </w:r>
    </w:p>
    <w:p w14:paraId="708FA9B3">
      <w:pPr>
        <w:spacing w:before="51" w:line="219" w:lineRule="auto"/>
        <w:ind w:left="19"/>
        <w:rPr>
          <w:rFonts w:ascii="黑体" w:hAnsi="黑体" w:eastAsia="黑体" w:cs="黑体"/>
          <w:sz w:val="24"/>
          <w:szCs w:val="24"/>
        </w:rPr>
      </w:pPr>
      <w:r>
        <w:rPr>
          <w:rFonts w:ascii="黑体" w:hAnsi="黑体" w:eastAsia="黑体" w:cs="黑体"/>
          <w:spacing w:val="-1"/>
          <w:sz w:val="24"/>
          <w:szCs w:val="24"/>
        </w:rPr>
        <w:t>3.4 承包人现场查勘</w:t>
      </w:r>
    </w:p>
    <w:p w14:paraId="267606D0">
      <w:pPr>
        <w:spacing w:before="130" w:line="350" w:lineRule="auto"/>
        <w:ind w:left="19" w:right="187" w:firstLine="422"/>
        <w:jc w:val="both"/>
        <w:rPr>
          <w:rFonts w:ascii="宋体" w:hAnsi="宋体" w:eastAsia="宋体" w:cs="宋体"/>
          <w:sz w:val="21"/>
          <w:szCs w:val="21"/>
        </w:rPr>
      </w:pPr>
      <w:r>
        <w:rPr>
          <w:rFonts w:ascii="宋体" w:hAnsi="宋体" w:eastAsia="宋体" w:cs="宋体"/>
          <w:sz w:val="21"/>
          <w:szCs w:val="21"/>
        </w:rPr>
        <w:t>承包人应对基于发包人按照第</w:t>
      </w:r>
      <w:r>
        <w:rPr>
          <w:rFonts w:ascii="宋体" w:hAnsi="宋体" w:eastAsia="宋体" w:cs="宋体"/>
          <w:spacing w:val="-33"/>
          <w:sz w:val="21"/>
          <w:szCs w:val="21"/>
        </w:rPr>
        <w:t xml:space="preserve"> </w:t>
      </w:r>
      <w:r>
        <w:rPr>
          <w:rFonts w:ascii="Times New Roman" w:hAnsi="Times New Roman" w:eastAsia="Times New Roman" w:cs="Times New Roman"/>
          <w:sz w:val="21"/>
          <w:szCs w:val="21"/>
        </w:rPr>
        <w:t xml:space="preserve">2.4.3 </w:t>
      </w:r>
      <w:r>
        <w:rPr>
          <w:rFonts w:ascii="宋体" w:hAnsi="宋体" w:eastAsia="宋体" w:cs="宋体"/>
          <w:sz w:val="21"/>
          <w:szCs w:val="21"/>
        </w:rPr>
        <w:t>项〔提供基础资料〕提交的基础资</w:t>
      </w:r>
      <w:r>
        <w:rPr>
          <w:rFonts w:ascii="宋体" w:hAnsi="宋体" w:eastAsia="宋体" w:cs="宋体"/>
          <w:spacing w:val="-1"/>
          <w:sz w:val="21"/>
          <w:szCs w:val="21"/>
        </w:rPr>
        <w:t>料所做出的解释</w:t>
      </w:r>
      <w:r>
        <w:rPr>
          <w:rFonts w:ascii="宋体" w:hAnsi="宋体" w:eastAsia="宋体" w:cs="宋体"/>
          <w:sz w:val="21"/>
          <w:szCs w:val="21"/>
        </w:rPr>
        <w:t xml:space="preserve"> </w:t>
      </w:r>
      <w:r>
        <w:rPr>
          <w:rFonts w:ascii="宋体" w:hAnsi="宋体" w:eastAsia="宋体" w:cs="宋体"/>
          <w:spacing w:val="-2"/>
          <w:sz w:val="21"/>
          <w:szCs w:val="21"/>
        </w:rPr>
        <w:t>和推断负责， 但因基础资料存在错误、遗漏导致承包</w:t>
      </w:r>
      <w:r>
        <w:rPr>
          <w:rFonts w:ascii="宋体" w:hAnsi="宋体" w:eastAsia="宋体" w:cs="宋体"/>
          <w:spacing w:val="-3"/>
          <w:sz w:val="21"/>
          <w:szCs w:val="21"/>
        </w:rPr>
        <w:t>人解释或推断失实的， 由发包人承担</w:t>
      </w:r>
    </w:p>
    <w:p w14:paraId="39006E52">
      <w:pPr>
        <w:spacing w:line="220" w:lineRule="auto"/>
        <w:ind w:left="25"/>
        <w:rPr>
          <w:rFonts w:ascii="宋体" w:hAnsi="宋体" w:eastAsia="宋体" w:cs="宋体"/>
          <w:sz w:val="21"/>
          <w:szCs w:val="21"/>
        </w:rPr>
      </w:pPr>
      <w:r>
        <w:rPr>
          <w:rFonts w:ascii="宋体" w:hAnsi="宋体" w:eastAsia="宋体" w:cs="宋体"/>
          <w:spacing w:val="-10"/>
          <w:sz w:val="21"/>
          <w:szCs w:val="21"/>
        </w:rPr>
        <w:t>责任。</w:t>
      </w:r>
    </w:p>
    <w:p w14:paraId="47104533">
      <w:pPr>
        <w:spacing w:before="154" w:line="350" w:lineRule="auto"/>
        <w:ind w:left="20" w:right="191" w:firstLine="421"/>
        <w:jc w:val="both"/>
        <w:rPr>
          <w:rFonts w:ascii="宋体" w:hAnsi="宋体" w:eastAsia="宋体" w:cs="宋体"/>
          <w:sz w:val="21"/>
          <w:szCs w:val="21"/>
        </w:rPr>
      </w:pPr>
      <w:r>
        <w:rPr>
          <w:rFonts w:ascii="宋体" w:hAnsi="宋体" w:eastAsia="宋体" w:cs="宋体"/>
          <w:spacing w:val="3"/>
          <w:sz w:val="21"/>
          <w:szCs w:val="21"/>
        </w:rPr>
        <w:t>承包人应对施工现场和施工条件进行查勘，并充分了解工程所在地的气象条件、交通 条件、风俗习惯以及其他与完成合同工作有关的其他资料。因承包人未能</w:t>
      </w:r>
      <w:r>
        <w:rPr>
          <w:rFonts w:ascii="宋体" w:hAnsi="宋体" w:eastAsia="宋体" w:cs="宋体"/>
          <w:spacing w:val="2"/>
          <w:sz w:val="21"/>
          <w:szCs w:val="21"/>
        </w:rPr>
        <w:t>充分查勘、了解</w:t>
      </w:r>
    </w:p>
    <w:p w14:paraId="7E444FB7">
      <w:pPr>
        <w:spacing w:line="219" w:lineRule="auto"/>
        <w:jc w:val="right"/>
        <w:rPr>
          <w:rFonts w:ascii="宋体" w:hAnsi="宋体" w:eastAsia="宋体" w:cs="宋体"/>
          <w:sz w:val="21"/>
          <w:szCs w:val="21"/>
        </w:rPr>
      </w:pPr>
      <w:r>
        <w:rPr>
          <w:rFonts w:ascii="宋体" w:hAnsi="宋体" w:eastAsia="宋体" w:cs="宋体"/>
          <w:sz w:val="21"/>
          <w:szCs w:val="21"/>
        </w:rPr>
        <w:t>前述情况或未能充分估计前述情况所可能产生后果的， 承包人承担由</w:t>
      </w:r>
      <w:r>
        <w:rPr>
          <w:rFonts w:ascii="宋体" w:hAnsi="宋体" w:eastAsia="宋体" w:cs="宋体"/>
          <w:spacing w:val="-1"/>
          <w:sz w:val="21"/>
          <w:szCs w:val="21"/>
        </w:rPr>
        <w:t>此增加的费用和（或）</w:t>
      </w:r>
    </w:p>
    <w:p w14:paraId="7AB8D2AD">
      <w:pPr>
        <w:spacing w:before="154" w:line="221" w:lineRule="auto"/>
        <w:ind w:left="19"/>
        <w:rPr>
          <w:rFonts w:ascii="宋体" w:hAnsi="宋体" w:eastAsia="宋体" w:cs="宋体"/>
          <w:sz w:val="21"/>
          <w:szCs w:val="21"/>
        </w:rPr>
      </w:pPr>
      <w:r>
        <w:rPr>
          <w:rFonts w:ascii="宋体" w:hAnsi="宋体" w:eastAsia="宋体" w:cs="宋体"/>
          <w:spacing w:val="-1"/>
          <w:sz w:val="21"/>
          <w:szCs w:val="21"/>
        </w:rPr>
        <w:t>延误的工期。</w:t>
      </w:r>
    </w:p>
    <w:p w14:paraId="39012AC3">
      <w:pPr>
        <w:spacing w:before="45" w:line="220" w:lineRule="auto"/>
        <w:ind w:left="19"/>
        <w:rPr>
          <w:rFonts w:ascii="黑体" w:hAnsi="黑体" w:eastAsia="黑体" w:cs="黑体"/>
          <w:sz w:val="24"/>
          <w:szCs w:val="24"/>
        </w:rPr>
      </w:pPr>
      <w:r>
        <w:rPr>
          <w:rFonts w:ascii="黑体" w:hAnsi="黑体" w:eastAsia="黑体" w:cs="黑体"/>
          <w:spacing w:val="-4"/>
          <w:sz w:val="24"/>
          <w:szCs w:val="24"/>
        </w:rPr>
        <w:t>3.5</w:t>
      </w:r>
      <w:r>
        <w:rPr>
          <w:rFonts w:ascii="黑体" w:hAnsi="黑体" w:eastAsia="黑体" w:cs="黑体"/>
          <w:spacing w:val="17"/>
          <w:sz w:val="24"/>
          <w:szCs w:val="24"/>
        </w:rPr>
        <w:t xml:space="preserve"> </w:t>
      </w:r>
      <w:r>
        <w:rPr>
          <w:rFonts w:ascii="黑体" w:hAnsi="黑体" w:eastAsia="黑体" w:cs="黑体"/>
          <w:spacing w:val="-4"/>
          <w:sz w:val="24"/>
          <w:szCs w:val="24"/>
        </w:rPr>
        <w:t>分包</w:t>
      </w:r>
    </w:p>
    <w:p w14:paraId="632CB164">
      <w:pPr>
        <w:spacing w:before="128" w:line="221" w:lineRule="auto"/>
        <w:ind w:left="441"/>
        <w:rPr>
          <w:rFonts w:ascii="宋体" w:hAnsi="宋体" w:eastAsia="宋体" w:cs="宋体"/>
          <w:sz w:val="21"/>
          <w:szCs w:val="21"/>
        </w:rPr>
      </w:pPr>
      <w:r>
        <w:rPr>
          <w:rFonts w:ascii="Times New Roman" w:hAnsi="Times New Roman" w:eastAsia="Times New Roman" w:cs="Times New Roman"/>
          <w:spacing w:val="-1"/>
          <w:sz w:val="21"/>
          <w:szCs w:val="21"/>
        </w:rPr>
        <w:t xml:space="preserve">3.5.1 </w:t>
      </w:r>
      <w:r>
        <w:rPr>
          <w:rFonts w:ascii="宋体" w:hAnsi="宋体" w:eastAsia="宋体" w:cs="宋体"/>
          <w:spacing w:val="-1"/>
          <w:sz w:val="21"/>
          <w:szCs w:val="21"/>
        </w:rPr>
        <w:t>分包的一般约定</w:t>
      </w:r>
    </w:p>
    <w:p w14:paraId="75FB5D42">
      <w:pPr>
        <w:spacing w:before="146" w:line="352" w:lineRule="auto"/>
        <w:ind w:left="18" w:right="191" w:firstLine="422"/>
        <w:rPr>
          <w:rFonts w:ascii="宋体" w:hAnsi="宋体" w:eastAsia="宋体" w:cs="宋体"/>
          <w:sz w:val="21"/>
          <w:szCs w:val="21"/>
        </w:rPr>
      </w:pPr>
      <w:r>
        <w:rPr>
          <w:rFonts w:ascii="宋体" w:hAnsi="宋体" w:eastAsia="宋体" w:cs="宋体"/>
          <w:sz w:val="21"/>
          <w:szCs w:val="21"/>
        </w:rPr>
        <w:t>承包人不得将其承包的全部工程转包给第三人， 或将其承包的全部工程肢解后以分包</w:t>
      </w:r>
      <w:r>
        <w:rPr>
          <w:rFonts w:ascii="宋体" w:hAnsi="宋体" w:eastAsia="宋体" w:cs="宋体"/>
          <w:spacing w:val="9"/>
          <w:sz w:val="21"/>
          <w:szCs w:val="21"/>
        </w:rPr>
        <w:t xml:space="preserve"> </w:t>
      </w:r>
      <w:r>
        <w:rPr>
          <w:rFonts w:ascii="宋体" w:hAnsi="宋体" w:eastAsia="宋体" w:cs="宋体"/>
          <w:spacing w:val="3"/>
          <w:sz w:val="21"/>
          <w:szCs w:val="21"/>
        </w:rPr>
        <w:t>的名义转包给第三人。承包人不得将工程主体结构、关键性工作及专用合同</w:t>
      </w:r>
      <w:r>
        <w:rPr>
          <w:rFonts w:ascii="宋体" w:hAnsi="宋体" w:eastAsia="宋体" w:cs="宋体"/>
          <w:spacing w:val="2"/>
          <w:sz w:val="21"/>
          <w:szCs w:val="21"/>
        </w:rPr>
        <w:t>条款中禁止分</w:t>
      </w:r>
      <w:r>
        <w:rPr>
          <w:rFonts w:ascii="宋体" w:hAnsi="宋体" w:eastAsia="宋体" w:cs="宋体"/>
          <w:sz w:val="21"/>
          <w:szCs w:val="21"/>
        </w:rPr>
        <w:t xml:space="preserve"> 包的专业工程分包给第三人， 主体结构、关键性工作的范围由合同当事人按照法律规定在</w:t>
      </w:r>
    </w:p>
    <w:p w14:paraId="10805F07">
      <w:pPr>
        <w:spacing w:before="1" w:line="220" w:lineRule="auto"/>
        <w:ind w:left="19"/>
        <w:rPr>
          <w:rFonts w:ascii="宋体" w:hAnsi="宋体" w:eastAsia="宋体" w:cs="宋体"/>
          <w:sz w:val="21"/>
          <w:szCs w:val="21"/>
        </w:rPr>
      </w:pPr>
      <w:r>
        <w:rPr>
          <w:rFonts w:ascii="宋体" w:hAnsi="宋体" w:eastAsia="宋体" w:cs="宋体"/>
          <w:spacing w:val="-3"/>
          <w:sz w:val="21"/>
          <w:szCs w:val="21"/>
        </w:rPr>
        <w:t>专用合同条款中予以明确。</w:t>
      </w:r>
    </w:p>
    <w:p w14:paraId="380206EC">
      <w:pPr>
        <w:spacing w:before="147" w:line="221" w:lineRule="auto"/>
        <w:ind w:left="441"/>
        <w:rPr>
          <w:rFonts w:ascii="宋体" w:hAnsi="宋体" w:eastAsia="宋体" w:cs="宋体"/>
          <w:sz w:val="21"/>
          <w:szCs w:val="21"/>
        </w:rPr>
      </w:pPr>
      <w:r>
        <w:rPr>
          <w:rFonts w:ascii="宋体" w:hAnsi="宋体" w:eastAsia="宋体" w:cs="宋体"/>
          <w:spacing w:val="-1"/>
          <w:sz w:val="21"/>
          <w:szCs w:val="21"/>
        </w:rPr>
        <w:t>承包人不得以劳务分包的名义转包或违法分包工程。</w:t>
      </w:r>
    </w:p>
    <w:p w14:paraId="2D4AE410">
      <w:pPr>
        <w:spacing w:before="153" w:line="221" w:lineRule="auto"/>
        <w:ind w:left="441"/>
        <w:rPr>
          <w:rFonts w:ascii="宋体" w:hAnsi="宋体" w:eastAsia="宋体" w:cs="宋体"/>
          <w:sz w:val="21"/>
          <w:szCs w:val="21"/>
        </w:rPr>
      </w:pPr>
      <w:r>
        <w:rPr>
          <w:rFonts w:ascii="Times New Roman" w:hAnsi="Times New Roman" w:eastAsia="Times New Roman" w:cs="Times New Roman"/>
          <w:spacing w:val="-1"/>
          <w:sz w:val="21"/>
          <w:szCs w:val="21"/>
        </w:rPr>
        <w:t xml:space="preserve">3.5.2 </w:t>
      </w:r>
      <w:r>
        <w:rPr>
          <w:rFonts w:ascii="宋体" w:hAnsi="宋体" w:eastAsia="宋体" w:cs="宋体"/>
          <w:spacing w:val="-1"/>
          <w:sz w:val="21"/>
          <w:szCs w:val="21"/>
        </w:rPr>
        <w:t>分包的确定</w:t>
      </w:r>
    </w:p>
    <w:p w14:paraId="26FD365A">
      <w:pPr>
        <w:spacing w:before="148" w:line="351" w:lineRule="auto"/>
        <w:ind w:left="20" w:right="187" w:firstLine="420"/>
        <w:rPr>
          <w:rFonts w:ascii="宋体" w:hAnsi="宋体" w:eastAsia="宋体" w:cs="宋体"/>
          <w:sz w:val="21"/>
          <w:szCs w:val="21"/>
        </w:rPr>
      </w:pPr>
      <w:r>
        <w:rPr>
          <w:rFonts w:ascii="宋体" w:hAnsi="宋体" w:eastAsia="宋体" w:cs="宋体"/>
          <w:spacing w:val="3"/>
          <w:sz w:val="21"/>
          <w:szCs w:val="21"/>
        </w:rPr>
        <w:t xml:space="preserve">承包人应按专用合同条款的约定进行分包，确定分包人。已标价工程量清单或预算书 </w:t>
      </w:r>
      <w:r>
        <w:rPr>
          <w:rFonts w:ascii="宋体" w:hAnsi="宋体" w:eastAsia="宋体" w:cs="宋体"/>
          <w:sz w:val="21"/>
          <w:szCs w:val="21"/>
        </w:rPr>
        <w:t xml:space="preserve">中给定暂估价的专业工程，按照第 </w:t>
      </w:r>
      <w:r>
        <w:rPr>
          <w:rFonts w:ascii="Times New Roman" w:hAnsi="Times New Roman" w:eastAsia="Times New Roman" w:cs="Times New Roman"/>
          <w:sz w:val="21"/>
          <w:szCs w:val="21"/>
        </w:rPr>
        <w:t>10.7</w:t>
      </w:r>
      <w:r>
        <w:rPr>
          <w:rFonts w:ascii="Times New Roman" w:hAnsi="Times New Roman" w:eastAsia="Times New Roman" w:cs="Times New Roman"/>
          <w:spacing w:val="34"/>
          <w:sz w:val="21"/>
          <w:szCs w:val="21"/>
        </w:rPr>
        <w:t xml:space="preserve"> </w:t>
      </w:r>
      <w:r>
        <w:rPr>
          <w:rFonts w:ascii="宋体" w:hAnsi="宋体" w:eastAsia="宋体" w:cs="宋体"/>
          <w:sz w:val="21"/>
          <w:szCs w:val="21"/>
        </w:rPr>
        <w:t>款</w:t>
      </w:r>
      <w:r>
        <w:rPr>
          <w:rFonts w:ascii="宋体" w:hAnsi="宋体" w:eastAsia="宋体" w:cs="宋体"/>
          <w:spacing w:val="-1"/>
          <w:sz w:val="21"/>
          <w:szCs w:val="21"/>
        </w:rPr>
        <w:t>〔暂估价〕确定分包人。按照合同约定进行分包</w:t>
      </w:r>
      <w:r>
        <w:rPr>
          <w:rFonts w:ascii="宋体" w:hAnsi="宋体" w:eastAsia="宋体" w:cs="宋体"/>
          <w:sz w:val="21"/>
          <w:szCs w:val="21"/>
        </w:rPr>
        <w:t xml:space="preserve"> </w:t>
      </w:r>
      <w:r>
        <w:rPr>
          <w:rFonts w:ascii="宋体" w:hAnsi="宋体" w:eastAsia="宋体" w:cs="宋体"/>
          <w:spacing w:val="3"/>
          <w:sz w:val="21"/>
          <w:szCs w:val="21"/>
        </w:rPr>
        <w:t>的，承包人应确保分包人具有相应的资质和能力。工程分包不减轻或免</w:t>
      </w:r>
      <w:r>
        <w:rPr>
          <w:rFonts w:ascii="宋体" w:hAnsi="宋体" w:eastAsia="宋体" w:cs="宋体"/>
          <w:spacing w:val="2"/>
          <w:sz w:val="21"/>
          <w:szCs w:val="21"/>
        </w:rPr>
        <w:t>除承包人的责任和</w:t>
      </w:r>
      <w:r>
        <w:rPr>
          <w:rFonts w:ascii="宋体" w:hAnsi="宋体" w:eastAsia="宋体" w:cs="宋体"/>
          <w:sz w:val="21"/>
          <w:szCs w:val="21"/>
        </w:rPr>
        <w:t xml:space="preserve"> 义务， 承包人和分包人就分包工程向发包人承担连带责任。除合同另有约定外，承包人应</w:t>
      </w:r>
    </w:p>
    <w:p w14:paraId="7F3AE07C">
      <w:pPr>
        <w:spacing w:before="1" w:line="219" w:lineRule="auto"/>
        <w:ind w:left="17"/>
        <w:rPr>
          <w:rFonts w:ascii="宋体" w:hAnsi="宋体" w:eastAsia="宋体" w:cs="宋体"/>
          <w:sz w:val="21"/>
          <w:szCs w:val="21"/>
        </w:rPr>
      </w:pPr>
      <w:r>
        <w:rPr>
          <w:rFonts w:ascii="宋体" w:hAnsi="宋体" w:eastAsia="宋体" w:cs="宋体"/>
          <w:spacing w:val="-2"/>
          <w:sz w:val="21"/>
          <w:szCs w:val="21"/>
        </w:rPr>
        <w:t>在分包合同签订后</w:t>
      </w:r>
      <w:r>
        <w:rPr>
          <w:rFonts w:ascii="宋体" w:hAnsi="宋体" w:eastAsia="宋体" w:cs="宋体"/>
          <w:spacing w:val="-33"/>
          <w:sz w:val="21"/>
          <w:szCs w:val="21"/>
        </w:rPr>
        <w:t xml:space="preserve"> </w:t>
      </w:r>
      <w:r>
        <w:rPr>
          <w:rFonts w:ascii="Times New Roman" w:hAnsi="Times New Roman" w:eastAsia="Times New Roman" w:cs="Times New Roman"/>
          <w:spacing w:val="-2"/>
          <w:sz w:val="21"/>
          <w:szCs w:val="21"/>
        </w:rPr>
        <w:t xml:space="preserve">7 </w:t>
      </w:r>
      <w:r>
        <w:rPr>
          <w:rFonts w:ascii="宋体" w:hAnsi="宋体" w:eastAsia="宋体" w:cs="宋体"/>
          <w:spacing w:val="-2"/>
          <w:sz w:val="21"/>
          <w:szCs w:val="21"/>
        </w:rPr>
        <w:t>天内向发包人和监理人提交分包合同副本。</w:t>
      </w:r>
    </w:p>
    <w:p w14:paraId="60E0DE09">
      <w:pPr>
        <w:spacing w:before="153" w:line="221" w:lineRule="auto"/>
        <w:ind w:left="441"/>
        <w:rPr>
          <w:rFonts w:ascii="宋体" w:hAnsi="宋体" w:eastAsia="宋体" w:cs="宋体"/>
          <w:sz w:val="21"/>
          <w:szCs w:val="21"/>
        </w:rPr>
      </w:pPr>
      <w:r>
        <w:rPr>
          <w:rFonts w:ascii="Times New Roman" w:hAnsi="Times New Roman" w:eastAsia="Times New Roman" w:cs="Times New Roman"/>
          <w:spacing w:val="-1"/>
          <w:sz w:val="21"/>
          <w:szCs w:val="21"/>
        </w:rPr>
        <w:t xml:space="preserve">3.5.3 </w:t>
      </w:r>
      <w:r>
        <w:rPr>
          <w:rFonts w:ascii="宋体" w:hAnsi="宋体" w:eastAsia="宋体" w:cs="宋体"/>
          <w:spacing w:val="-1"/>
          <w:sz w:val="21"/>
          <w:szCs w:val="21"/>
        </w:rPr>
        <w:t>分包管理</w:t>
      </w:r>
    </w:p>
    <w:p w14:paraId="3BADD7C0">
      <w:pPr>
        <w:spacing w:before="147" w:line="399" w:lineRule="exact"/>
        <w:ind w:left="441"/>
        <w:rPr>
          <w:rFonts w:ascii="宋体" w:hAnsi="宋体" w:eastAsia="宋体" w:cs="宋体"/>
          <w:sz w:val="21"/>
          <w:szCs w:val="21"/>
        </w:rPr>
      </w:pPr>
      <w:r>
        <w:rPr>
          <w:rFonts w:ascii="宋体" w:hAnsi="宋体" w:eastAsia="宋体" w:cs="宋体"/>
          <w:position w:val="14"/>
          <w:sz w:val="21"/>
          <w:szCs w:val="21"/>
        </w:rPr>
        <w:t>承包人应向监理人提交分包人的主要施工管理人员表， 并对分包人的施工人员进行实</w:t>
      </w:r>
    </w:p>
    <w:p w14:paraId="7721FAD9">
      <w:pPr>
        <w:spacing w:before="1" w:line="220" w:lineRule="auto"/>
        <w:ind w:left="20"/>
        <w:rPr>
          <w:rFonts w:ascii="宋体" w:hAnsi="宋体" w:eastAsia="宋体" w:cs="宋体"/>
          <w:sz w:val="21"/>
          <w:szCs w:val="21"/>
        </w:rPr>
      </w:pPr>
      <w:r>
        <w:rPr>
          <w:rFonts w:ascii="宋体" w:hAnsi="宋体" w:eastAsia="宋体" w:cs="宋体"/>
          <w:spacing w:val="-6"/>
          <w:sz w:val="21"/>
          <w:szCs w:val="21"/>
        </w:rPr>
        <w:t>名制管理，</w:t>
      </w:r>
      <w:r>
        <w:rPr>
          <w:rFonts w:ascii="宋体" w:hAnsi="宋体" w:eastAsia="宋体" w:cs="宋体"/>
          <w:spacing w:val="52"/>
          <w:sz w:val="21"/>
          <w:szCs w:val="21"/>
        </w:rPr>
        <w:t xml:space="preserve"> </w:t>
      </w:r>
      <w:r>
        <w:rPr>
          <w:rFonts w:ascii="宋体" w:hAnsi="宋体" w:eastAsia="宋体" w:cs="宋体"/>
          <w:spacing w:val="-6"/>
          <w:sz w:val="21"/>
          <w:szCs w:val="21"/>
        </w:rPr>
        <w:t>包括但不限于进出场管理、登记造册以及各种证照的办理。</w:t>
      </w:r>
    </w:p>
    <w:p w14:paraId="26403518">
      <w:pPr>
        <w:spacing w:line="220" w:lineRule="auto"/>
        <w:rPr>
          <w:rFonts w:ascii="宋体" w:hAnsi="宋体" w:eastAsia="宋体" w:cs="宋体"/>
          <w:sz w:val="21"/>
          <w:szCs w:val="21"/>
        </w:rPr>
        <w:sectPr>
          <w:footerReference r:id="rId99" w:type="default"/>
          <w:pgSz w:w="11905" w:h="16839"/>
          <w:pgMar w:top="1431" w:right="1600" w:bottom="1004" w:left="1785" w:header="0" w:footer="829" w:gutter="0"/>
          <w:pgNumType w:fmt="decimal"/>
          <w:cols w:space="720" w:num="1"/>
        </w:sectPr>
      </w:pPr>
    </w:p>
    <w:p w14:paraId="729C424B">
      <w:pPr>
        <w:spacing w:before="149" w:line="219" w:lineRule="auto"/>
        <w:ind w:left="441"/>
        <w:rPr>
          <w:rFonts w:ascii="宋体" w:hAnsi="宋体" w:eastAsia="宋体" w:cs="宋体"/>
          <w:sz w:val="21"/>
          <w:szCs w:val="21"/>
        </w:rPr>
      </w:pPr>
      <w:r>
        <w:rPr>
          <w:rFonts w:ascii="Times New Roman" w:hAnsi="Times New Roman" w:eastAsia="Times New Roman" w:cs="Times New Roman"/>
          <w:spacing w:val="-1"/>
          <w:sz w:val="21"/>
          <w:szCs w:val="21"/>
        </w:rPr>
        <w:t xml:space="preserve">3.5.4 </w:t>
      </w:r>
      <w:r>
        <w:rPr>
          <w:rFonts w:ascii="宋体" w:hAnsi="宋体" w:eastAsia="宋体" w:cs="宋体"/>
          <w:spacing w:val="-1"/>
          <w:sz w:val="21"/>
          <w:szCs w:val="21"/>
        </w:rPr>
        <w:t>分包合同价款</w:t>
      </w:r>
    </w:p>
    <w:p w14:paraId="0C67264D">
      <w:pPr>
        <w:spacing w:before="149" w:line="403" w:lineRule="exact"/>
        <w:ind w:left="447"/>
        <w:rPr>
          <w:rFonts w:ascii="宋体" w:hAnsi="宋体" w:eastAsia="宋体" w:cs="宋体"/>
          <w:sz w:val="21"/>
          <w:szCs w:val="21"/>
        </w:rPr>
      </w:pPr>
      <w:r>
        <w:rPr>
          <w:rFonts w:ascii="宋体" w:hAnsi="宋体" w:eastAsia="宋体" w:cs="宋体"/>
          <w:spacing w:val="1"/>
          <w:position w:val="14"/>
          <w:sz w:val="21"/>
          <w:szCs w:val="21"/>
        </w:rPr>
        <w:t>（</w:t>
      </w:r>
      <w:r>
        <w:rPr>
          <w:rFonts w:ascii="Times New Roman" w:hAnsi="Times New Roman" w:eastAsia="Times New Roman" w:cs="Times New Roman"/>
          <w:spacing w:val="1"/>
          <w:position w:val="14"/>
          <w:sz w:val="21"/>
          <w:szCs w:val="21"/>
        </w:rPr>
        <w:t>1</w:t>
      </w:r>
      <w:r>
        <w:rPr>
          <w:rFonts w:ascii="宋体" w:hAnsi="宋体" w:eastAsia="宋体" w:cs="宋体"/>
          <w:spacing w:val="1"/>
          <w:position w:val="14"/>
          <w:sz w:val="21"/>
          <w:szCs w:val="21"/>
        </w:rPr>
        <w:t>）除本项第（</w:t>
      </w:r>
      <w:r>
        <w:rPr>
          <w:rFonts w:ascii="Times New Roman" w:hAnsi="Times New Roman" w:eastAsia="Times New Roman" w:cs="Times New Roman"/>
          <w:spacing w:val="1"/>
          <w:position w:val="14"/>
          <w:sz w:val="21"/>
          <w:szCs w:val="21"/>
        </w:rPr>
        <w:t>2</w:t>
      </w:r>
      <w:r>
        <w:rPr>
          <w:rFonts w:ascii="宋体" w:hAnsi="宋体" w:eastAsia="宋体" w:cs="宋体"/>
          <w:spacing w:val="1"/>
          <w:position w:val="14"/>
          <w:sz w:val="21"/>
          <w:szCs w:val="21"/>
        </w:rPr>
        <w:t>）</w:t>
      </w:r>
      <w:r>
        <w:rPr>
          <w:rFonts w:ascii="宋体" w:hAnsi="宋体" w:eastAsia="宋体" w:cs="宋体"/>
          <w:spacing w:val="-48"/>
          <w:position w:val="14"/>
          <w:sz w:val="21"/>
          <w:szCs w:val="21"/>
        </w:rPr>
        <w:t xml:space="preserve"> </w:t>
      </w:r>
      <w:r>
        <w:rPr>
          <w:rFonts w:ascii="宋体" w:hAnsi="宋体" w:eastAsia="宋体" w:cs="宋体"/>
          <w:spacing w:val="1"/>
          <w:position w:val="14"/>
          <w:sz w:val="21"/>
          <w:szCs w:val="21"/>
        </w:rPr>
        <w:t>目约定的情况或专用合同条款另有约定外，分包合同价款由承包</w:t>
      </w:r>
    </w:p>
    <w:p w14:paraId="7251761F">
      <w:pPr>
        <w:spacing w:line="219" w:lineRule="auto"/>
        <w:ind w:left="20"/>
        <w:rPr>
          <w:rFonts w:ascii="宋体" w:hAnsi="宋体" w:eastAsia="宋体" w:cs="宋体"/>
          <w:sz w:val="21"/>
          <w:szCs w:val="21"/>
        </w:rPr>
      </w:pPr>
      <w:r>
        <w:rPr>
          <w:rFonts w:ascii="宋体" w:hAnsi="宋体" w:eastAsia="宋体" w:cs="宋体"/>
          <w:spacing w:val="-1"/>
          <w:sz w:val="21"/>
          <w:szCs w:val="21"/>
        </w:rPr>
        <w:t>人与分包人结算，未经承包人同意，发包人不得向分包人支付分包工程价款；</w:t>
      </w:r>
    </w:p>
    <w:p w14:paraId="0CA7F15A">
      <w:pPr>
        <w:spacing w:before="149" w:line="399" w:lineRule="exact"/>
        <w:ind w:left="447"/>
        <w:rPr>
          <w:rFonts w:ascii="宋体" w:hAnsi="宋体" w:eastAsia="宋体" w:cs="宋体"/>
          <w:sz w:val="21"/>
          <w:szCs w:val="21"/>
        </w:rPr>
      </w:pPr>
      <w:r>
        <w:rPr>
          <w:rFonts w:ascii="宋体" w:hAnsi="宋体" w:eastAsia="宋体" w:cs="宋体"/>
          <w:position w:val="14"/>
          <w:sz w:val="21"/>
          <w:szCs w:val="21"/>
        </w:rPr>
        <w:t>（</w:t>
      </w:r>
      <w:r>
        <w:rPr>
          <w:rFonts w:ascii="Times New Roman" w:hAnsi="Times New Roman" w:eastAsia="Times New Roman" w:cs="Times New Roman"/>
          <w:position w:val="14"/>
          <w:sz w:val="21"/>
          <w:szCs w:val="21"/>
        </w:rPr>
        <w:t>2</w:t>
      </w:r>
      <w:r>
        <w:rPr>
          <w:rFonts w:ascii="宋体" w:hAnsi="宋体" w:eastAsia="宋体" w:cs="宋体"/>
          <w:position w:val="14"/>
          <w:sz w:val="21"/>
          <w:szCs w:val="21"/>
        </w:rPr>
        <w:t>）生效法律文书要求发包人向分包人支付分包合同价款的，发包人有权从</w:t>
      </w:r>
      <w:r>
        <w:rPr>
          <w:rFonts w:ascii="宋体" w:hAnsi="宋体" w:eastAsia="宋体" w:cs="宋体"/>
          <w:spacing w:val="-1"/>
          <w:position w:val="14"/>
          <w:sz w:val="21"/>
          <w:szCs w:val="21"/>
        </w:rPr>
        <w:t>应付承包</w:t>
      </w:r>
    </w:p>
    <w:p w14:paraId="02CF1A85">
      <w:pPr>
        <w:spacing w:line="220" w:lineRule="auto"/>
        <w:ind w:left="20"/>
        <w:rPr>
          <w:rFonts w:ascii="宋体" w:hAnsi="宋体" w:eastAsia="宋体" w:cs="宋体"/>
          <w:sz w:val="21"/>
          <w:szCs w:val="21"/>
        </w:rPr>
      </w:pPr>
      <w:r>
        <w:rPr>
          <w:rFonts w:ascii="宋体" w:hAnsi="宋体" w:eastAsia="宋体" w:cs="宋体"/>
          <w:spacing w:val="-3"/>
          <w:sz w:val="21"/>
          <w:szCs w:val="21"/>
        </w:rPr>
        <w:t>人工程款中扣除该部分款项。</w:t>
      </w:r>
    </w:p>
    <w:p w14:paraId="4A1DE114">
      <w:pPr>
        <w:spacing w:before="151" w:line="221" w:lineRule="auto"/>
        <w:ind w:left="441"/>
        <w:rPr>
          <w:rFonts w:ascii="宋体" w:hAnsi="宋体" w:eastAsia="宋体" w:cs="宋体"/>
          <w:sz w:val="21"/>
          <w:szCs w:val="21"/>
        </w:rPr>
      </w:pPr>
      <w:r>
        <w:rPr>
          <w:rFonts w:ascii="Times New Roman" w:hAnsi="Times New Roman" w:eastAsia="Times New Roman" w:cs="Times New Roman"/>
          <w:spacing w:val="-1"/>
          <w:sz w:val="21"/>
          <w:szCs w:val="21"/>
        </w:rPr>
        <w:t xml:space="preserve">3.5.5 </w:t>
      </w:r>
      <w:r>
        <w:rPr>
          <w:rFonts w:ascii="宋体" w:hAnsi="宋体" w:eastAsia="宋体" w:cs="宋体"/>
          <w:spacing w:val="-1"/>
          <w:sz w:val="21"/>
          <w:szCs w:val="21"/>
        </w:rPr>
        <w:t>分包合同权益的转让</w:t>
      </w:r>
    </w:p>
    <w:p w14:paraId="7E7A78F9">
      <w:pPr>
        <w:spacing w:before="148" w:line="398" w:lineRule="exact"/>
        <w:ind w:left="443"/>
        <w:rPr>
          <w:rFonts w:ascii="宋体" w:hAnsi="宋体" w:eastAsia="宋体" w:cs="宋体"/>
          <w:sz w:val="21"/>
          <w:szCs w:val="21"/>
        </w:rPr>
      </w:pPr>
      <w:r>
        <w:rPr>
          <w:rFonts w:ascii="宋体" w:hAnsi="宋体" w:eastAsia="宋体" w:cs="宋体"/>
          <w:spacing w:val="3"/>
          <w:position w:val="14"/>
          <w:sz w:val="21"/>
          <w:szCs w:val="21"/>
        </w:rPr>
        <w:t>分包人在分包合同项下的义务持续到缺陷责任期届满以后的，发包人有权在缺陷责任</w:t>
      </w:r>
    </w:p>
    <w:p w14:paraId="67446DBB">
      <w:pPr>
        <w:spacing w:before="1" w:line="220" w:lineRule="auto"/>
        <w:ind w:left="20"/>
        <w:rPr>
          <w:rFonts w:ascii="宋体" w:hAnsi="宋体" w:eastAsia="宋体" w:cs="宋体"/>
          <w:sz w:val="21"/>
          <w:szCs w:val="21"/>
        </w:rPr>
      </w:pPr>
      <w:r>
        <w:rPr>
          <w:rFonts w:ascii="宋体" w:hAnsi="宋体" w:eastAsia="宋体" w:cs="宋体"/>
          <w:sz w:val="21"/>
          <w:szCs w:val="21"/>
        </w:rPr>
        <w:t>期届满前，要求承包人将其在分包合同项下的权益转让给发包人， 承包人应当转让。除转</w:t>
      </w:r>
    </w:p>
    <w:p w14:paraId="30556972">
      <w:pPr>
        <w:spacing w:before="152" w:line="221" w:lineRule="auto"/>
        <w:ind w:left="20"/>
        <w:rPr>
          <w:rFonts w:ascii="宋体" w:hAnsi="宋体" w:eastAsia="宋体" w:cs="宋体"/>
          <w:sz w:val="21"/>
          <w:szCs w:val="21"/>
        </w:rPr>
      </w:pPr>
      <w:r>
        <w:rPr>
          <w:rFonts w:ascii="宋体" w:hAnsi="宋体" w:eastAsia="宋体" w:cs="宋体"/>
          <w:spacing w:val="-9"/>
          <w:sz w:val="21"/>
          <w:szCs w:val="21"/>
        </w:rPr>
        <w:t>让合同另有约定外， 转让合同生效后，</w:t>
      </w:r>
      <w:r>
        <w:rPr>
          <w:rFonts w:ascii="宋体" w:hAnsi="宋体" w:eastAsia="宋体" w:cs="宋体"/>
          <w:spacing w:val="45"/>
          <w:sz w:val="21"/>
          <w:szCs w:val="21"/>
        </w:rPr>
        <w:t xml:space="preserve"> </w:t>
      </w:r>
      <w:r>
        <w:rPr>
          <w:rFonts w:ascii="宋体" w:hAnsi="宋体" w:eastAsia="宋体" w:cs="宋体"/>
          <w:spacing w:val="-9"/>
          <w:sz w:val="21"/>
          <w:szCs w:val="21"/>
        </w:rPr>
        <w:t>由分包人向发包人履行义务。</w:t>
      </w:r>
    </w:p>
    <w:p w14:paraId="06519E76">
      <w:pPr>
        <w:spacing w:before="46" w:line="219" w:lineRule="auto"/>
        <w:ind w:left="19"/>
        <w:rPr>
          <w:rFonts w:ascii="黑体" w:hAnsi="黑体" w:eastAsia="黑体" w:cs="黑体"/>
          <w:sz w:val="24"/>
          <w:szCs w:val="24"/>
        </w:rPr>
      </w:pPr>
      <w:r>
        <w:rPr>
          <w:rFonts w:ascii="黑体" w:hAnsi="黑体" w:eastAsia="黑体" w:cs="黑体"/>
          <w:spacing w:val="-1"/>
          <w:sz w:val="24"/>
          <w:szCs w:val="24"/>
        </w:rPr>
        <w:t>3.6 工程照管与成品、半成品保护</w:t>
      </w:r>
    </w:p>
    <w:p w14:paraId="677E4B10">
      <w:pPr>
        <w:spacing w:before="129" w:line="398" w:lineRule="exact"/>
        <w:ind w:left="447"/>
        <w:rPr>
          <w:rFonts w:ascii="宋体" w:hAnsi="宋体" w:eastAsia="宋体" w:cs="宋体"/>
          <w:sz w:val="21"/>
          <w:szCs w:val="21"/>
        </w:rPr>
      </w:pPr>
      <w:r>
        <w:rPr>
          <w:rFonts w:ascii="宋体" w:hAnsi="宋体" w:eastAsia="宋体" w:cs="宋体"/>
          <w:position w:val="14"/>
          <w:sz w:val="21"/>
          <w:szCs w:val="21"/>
        </w:rPr>
        <w:t>（</w:t>
      </w:r>
      <w:r>
        <w:rPr>
          <w:rFonts w:ascii="Times New Roman" w:hAnsi="Times New Roman" w:eastAsia="Times New Roman" w:cs="Times New Roman"/>
          <w:position w:val="14"/>
          <w:sz w:val="21"/>
          <w:szCs w:val="21"/>
        </w:rPr>
        <w:t>1</w:t>
      </w:r>
      <w:r>
        <w:rPr>
          <w:rFonts w:ascii="宋体" w:hAnsi="宋体" w:eastAsia="宋体" w:cs="宋体"/>
          <w:position w:val="14"/>
          <w:sz w:val="21"/>
          <w:szCs w:val="21"/>
        </w:rPr>
        <w:t>）除专用合同条款另有约定外，自发包人向承包人移交施工现场之日起，承</w:t>
      </w:r>
      <w:r>
        <w:rPr>
          <w:rFonts w:ascii="宋体" w:hAnsi="宋体" w:eastAsia="宋体" w:cs="宋体"/>
          <w:spacing w:val="-1"/>
          <w:position w:val="14"/>
          <w:sz w:val="21"/>
          <w:szCs w:val="21"/>
        </w:rPr>
        <w:t>包人应</w:t>
      </w:r>
    </w:p>
    <w:p w14:paraId="2E54D361">
      <w:pPr>
        <w:spacing w:before="1" w:line="219" w:lineRule="auto"/>
        <w:ind w:left="26"/>
        <w:rPr>
          <w:rFonts w:ascii="宋体" w:hAnsi="宋体" w:eastAsia="宋体" w:cs="宋体"/>
          <w:sz w:val="21"/>
          <w:szCs w:val="21"/>
        </w:rPr>
      </w:pPr>
      <w:r>
        <w:rPr>
          <w:rFonts w:ascii="宋体" w:hAnsi="宋体" w:eastAsia="宋体" w:cs="宋体"/>
          <w:spacing w:val="-1"/>
          <w:sz w:val="21"/>
          <w:szCs w:val="21"/>
        </w:rPr>
        <w:t>负责照管工程及工程相关的材料、工程设备，直到颁发工程接收证书之日止。</w:t>
      </w:r>
    </w:p>
    <w:p w14:paraId="283EB74F">
      <w:pPr>
        <w:spacing w:before="154" w:line="398" w:lineRule="exact"/>
        <w:ind w:left="447"/>
        <w:rPr>
          <w:rFonts w:ascii="宋体" w:hAnsi="宋体" w:eastAsia="宋体" w:cs="宋体"/>
          <w:sz w:val="21"/>
          <w:szCs w:val="21"/>
        </w:rPr>
      </w:pPr>
      <w:r>
        <w:rPr>
          <w:rFonts w:ascii="宋体" w:hAnsi="宋体" w:eastAsia="宋体" w:cs="宋体"/>
          <w:position w:val="14"/>
          <w:sz w:val="21"/>
          <w:szCs w:val="21"/>
        </w:rPr>
        <w:t>（</w:t>
      </w:r>
      <w:r>
        <w:rPr>
          <w:rFonts w:ascii="Times New Roman" w:hAnsi="Times New Roman" w:eastAsia="Times New Roman" w:cs="Times New Roman"/>
          <w:position w:val="14"/>
          <w:sz w:val="21"/>
          <w:szCs w:val="21"/>
        </w:rPr>
        <w:t>2</w:t>
      </w:r>
      <w:r>
        <w:rPr>
          <w:rFonts w:ascii="宋体" w:hAnsi="宋体" w:eastAsia="宋体" w:cs="宋体"/>
          <w:position w:val="14"/>
          <w:sz w:val="21"/>
          <w:szCs w:val="21"/>
        </w:rPr>
        <w:t>）在承包人负责照管期间，因承包人原因造成工程、材料、工程设备损坏</w:t>
      </w:r>
      <w:r>
        <w:rPr>
          <w:rFonts w:ascii="宋体" w:hAnsi="宋体" w:eastAsia="宋体" w:cs="宋体"/>
          <w:spacing w:val="-1"/>
          <w:position w:val="14"/>
          <w:sz w:val="21"/>
          <w:szCs w:val="21"/>
        </w:rPr>
        <w:t>的，由承</w:t>
      </w:r>
    </w:p>
    <w:p w14:paraId="7E58B30D">
      <w:pPr>
        <w:spacing w:before="1" w:line="220" w:lineRule="auto"/>
        <w:ind w:left="18"/>
        <w:rPr>
          <w:rFonts w:ascii="宋体" w:hAnsi="宋体" w:eastAsia="宋体" w:cs="宋体"/>
          <w:sz w:val="21"/>
          <w:szCs w:val="21"/>
        </w:rPr>
      </w:pPr>
      <w:r>
        <w:rPr>
          <w:rFonts w:ascii="宋体" w:hAnsi="宋体" w:eastAsia="宋体" w:cs="宋体"/>
          <w:spacing w:val="-1"/>
          <w:sz w:val="21"/>
          <w:szCs w:val="21"/>
        </w:rPr>
        <w:t>包人负责修复或更换，并承担由此增加的费用和（或）延误的工期。</w:t>
      </w:r>
    </w:p>
    <w:p w14:paraId="413ABEA1">
      <w:pPr>
        <w:spacing w:before="147" w:line="403" w:lineRule="exact"/>
        <w:ind w:left="447"/>
        <w:rPr>
          <w:rFonts w:ascii="宋体" w:hAnsi="宋体" w:eastAsia="宋体" w:cs="宋体"/>
          <w:sz w:val="21"/>
          <w:szCs w:val="21"/>
        </w:rPr>
      </w:pPr>
      <w:r>
        <w:rPr>
          <w:rFonts w:ascii="宋体" w:hAnsi="宋体" w:eastAsia="宋体" w:cs="宋体"/>
          <w:position w:val="14"/>
          <w:sz w:val="21"/>
          <w:szCs w:val="21"/>
        </w:rPr>
        <w:t>（</w:t>
      </w:r>
      <w:r>
        <w:rPr>
          <w:rFonts w:ascii="Times New Roman" w:hAnsi="Times New Roman" w:eastAsia="Times New Roman" w:cs="Times New Roman"/>
          <w:position w:val="14"/>
          <w:sz w:val="21"/>
          <w:szCs w:val="21"/>
        </w:rPr>
        <w:t>3</w:t>
      </w:r>
      <w:r>
        <w:rPr>
          <w:rFonts w:ascii="宋体" w:hAnsi="宋体" w:eastAsia="宋体" w:cs="宋体"/>
          <w:position w:val="14"/>
          <w:sz w:val="21"/>
          <w:szCs w:val="21"/>
        </w:rPr>
        <w:t>）对合同内分期完成的成品和半成品，在工程接收证书颁发前</w:t>
      </w:r>
      <w:r>
        <w:rPr>
          <w:rFonts w:ascii="宋体" w:hAnsi="宋体" w:eastAsia="宋体" w:cs="宋体"/>
          <w:spacing w:val="-1"/>
          <w:position w:val="14"/>
          <w:sz w:val="21"/>
          <w:szCs w:val="21"/>
        </w:rPr>
        <w:t>，由承包人承担保护</w:t>
      </w:r>
    </w:p>
    <w:p w14:paraId="2A7BE896">
      <w:pPr>
        <w:spacing w:before="1" w:line="220" w:lineRule="auto"/>
        <w:ind w:left="25"/>
        <w:rPr>
          <w:rFonts w:ascii="宋体" w:hAnsi="宋体" w:eastAsia="宋体" w:cs="宋体"/>
          <w:sz w:val="21"/>
          <w:szCs w:val="21"/>
        </w:rPr>
      </w:pPr>
      <w:r>
        <w:rPr>
          <w:rFonts w:ascii="宋体" w:hAnsi="宋体" w:eastAsia="宋体" w:cs="宋体"/>
          <w:sz w:val="21"/>
          <w:szCs w:val="21"/>
        </w:rPr>
        <w:t>责任。因承包人原因造成成品或半成品损坏的，由承包人负责修复或更换， 并承担由此增</w:t>
      </w:r>
    </w:p>
    <w:p w14:paraId="7AAB2DD1">
      <w:pPr>
        <w:spacing w:before="148" w:line="221" w:lineRule="auto"/>
        <w:ind w:left="18"/>
        <w:rPr>
          <w:rFonts w:ascii="宋体" w:hAnsi="宋体" w:eastAsia="宋体" w:cs="宋体"/>
          <w:sz w:val="21"/>
          <w:szCs w:val="21"/>
        </w:rPr>
      </w:pPr>
      <w:r>
        <w:rPr>
          <w:rFonts w:ascii="宋体" w:hAnsi="宋体" w:eastAsia="宋体" w:cs="宋体"/>
          <w:spacing w:val="-1"/>
          <w:sz w:val="21"/>
          <w:szCs w:val="21"/>
        </w:rPr>
        <w:t>加的费用和（或）延误的工期。</w:t>
      </w:r>
    </w:p>
    <w:p w14:paraId="7DC9226A">
      <w:pPr>
        <w:spacing w:before="45" w:line="219" w:lineRule="auto"/>
        <w:ind w:left="19"/>
        <w:rPr>
          <w:rFonts w:ascii="黑体" w:hAnsi="黑体" w:eastAsia="黑体" w:cs="黑体"/>
          <w:sz w:val="24"/>
          <w:szCs w:val="24"/>
        </w:rPr>
      </w:pPr>
      <w:r>
        <w:rPr>
          <w:rFonts w:ascii="黑体" w:hAnsi="黑体" w:eastAsia="黑体" w:cs="黑体"/>
          <w:spacing w:val="-1"/>
          <w:sz w:val="24"/>
          <w:szCs w:val="24"/>
        </w:rPr>
        <w:t>3.7 履约担保</w:t>
      </w:r>
    </w:p>
    <w:p w14:paraId="0448369A">
      <w:pPr>
        <w:spacing w:before="130" w:line="352" w:lineRule="auto"/>
        <w:ind w:left="19" w:right="161" w:firstLine="425"/>
        <w:jc w:val="both"/>
        <w:rPr>
          <w:rFonts w:ascii="宋体" w:hAnsi="宋体" w:eastAsia="宋体" w:cs="宋体"/>
          <w:sz w:val="21"/>
          <w:szCs w:val="21"/>
        </w:rPr>
      </w:pPr>
      <w:r>
        <w:rPr>
          <w:rFonts w:ascii="宋体" w:hAnsi="宋体" w:eastAsia="宋体" w:cs="宋体"/>
          <w:sz w:val="21"/>
          <w:szCs w:val="21"/>
        </w:rPr>
        <w:t>发包人需要承包人提供履约担保的， 由合同当事人在专用合同条款中约定履约担保的</w:t>
      </w:r>
      <w:r>
        <w:rPr>
          <w:rFonts w:ascii="宋体" w:hAnsi="宋体" w:eastAsia="宋体" w:cs="宋体"/>
          <w:spacing w:val="5"/>
          <w:sz w:val="21"/>
          <w:szCs w:val="21"/>
        </w:rPr>
        <w:t xml:space="preserve"> </w:t>
      </w:r>
      <w:r>
        <w:rPr>
          <w:rFonts w:ascii="宋体" w:hAnsi="宋体" w:eastAsia="宋体" w:cs="宋体"/>
          <w:spacing w:val="-2"/>
          <w:sz w:val="21"/>
          <w:szCs w:val="21"/>
        </w:rPr>
        <w:t>方式、金额及期限等。 履约担保可以采用银行保函或担</w:t>
      </w:r>
      <w:r>
        <w:rPr>
          <w:rFonts w:ascii="宋体" w:hAnsi="宋体" w:eastAsia="宋体" w:cs="宋体"/>
          <w:spacing w:val="-3"/>
          <w:sz w:val="21"/>
          <w:szCs w:val="21"/>
        </w:rPr>
        <w:t>保公司担保等形式， 具体由合同当</w:t>
      </w:r>
    </w:p>
    <w:p w14:paraId="17A9F2E7">
      <w:pPr>
        <w:spacing w:before="1" w:line="220" w:lineRule="auto"/>
        <w:ind w:left="18"/>
        <w:rPr>
          <w:rFonts w:ascii="宋体" w:hAnsi="宋体" w:eastAsia="宋体" w:cs="宋体"/>
          <w:sz w:val="21"/>
          <w:szCs w:val="21"/>
        </w:rPr>
      </w:pPr>
      <w:r>
        <w:rPr>
          <w:rFonts w:ascii="宋体" w:hAnsi="宋体" w:eastAsia="宋体" w:cs="宋体"/>
          <w:spacing w:val="-2"/>
          <w:sz w:val="21"/>
          <w:szCs w:val="21"/>
        </w:rPr>
        <w:t>事人在专用合同条款中约定。</w:t>
      </w:r>
    </w:p>
    <w:p w14:paraId="31AFB631">
      <w:pPr>
        <w:spacing w:before="147" w:line="220" w:lineRule="auto"/>
        <w:ind w:left="457"/>
        <w:rPr>
          <w:rFonts w:ascii="宋体" w:hAnsi="宋体" w:eastAsia="宋体" w:cs="宋体"/>
          <w:sz w:val="21"/>
          <w:szCs w:val="21"/>
        </w:rPr>
      </w:pPr>
      <w:r>
        <w:rPr>
          <w:rFonts w:ascii="宋体" w:hAnsi="宋体" w:eastAsia="宋体" w:cs="宋体"/>
          <w:spacing w:val="-3"/>
          <w:sz w:val="21"/>
          <w:szCs w:val="21"/>
        </w:rPr>
        <w:t>因承包人原因导致工期延长的， 继续提供履约担保所增加的费用由承包人承担； 非因</w:t>
      </w:r>
    </w:p>
    <w:p w14:paraId="73655E26">
      <w:pPr>
        <w:spacing w:before="149" w:line="220" w:lineRule="auto"/>
        <w:ind w:left="18"/>
        <w:rPr>
          <w:rFonts w:ascii="宋体" w:hAnsi="宋体" w:eastAsia="宋体" w:cs="宋体"/>
          <w:sz w:val="21"/>
          <w:szCs w:val="21"/>
        </w:rPr>
      </w:pPr>
      <w:r>
        <w:rPr>
          <w:rFonts w:ascii="宋体" w:hAnsi="宋体" w:eastAsia="宋体" w:cs="宋体"/>
          <w:spacing w:val="-4"/>
          <w:sz w:val="21"/>
          <w:szCs w:val="21"/>
        </w:rPr>
        <w:t>承包人原因导致工期延长的， 继续提供履约担保所增加的费用由发包人承担。</w:t>
      </w:r>
    </w:p>
    <w:p w14:paraId="50D8957D">
      <w:pPr>
        <w:spacing w:before="51" w:line="219" w:lineRule="auto"/>
        <w:ind w:left="19"/>
        <w:rPr>
          <w:rFonts w:ascii="黑体" w:hAnsi="黑体" w:eastAsia="黑体" w:cs="黑体"/>
          <w:sz w:val="24"/>
          <w:szCs w:val="24"/>
        </w:rPr>
      </w:pPr>
      <w:r>
        <w:rPr>
          <w:rFonts w:ascii="黑体" w:hAnsi="黑体" w:eastAsia="黑体" w:cs="黑体"/>
          <w:spacing w:val="-3"/>
          <w:sz w:val="24"/>
          <w:szCs w:val="24"/>
        </w:rPr>
        <w:t>3.8</w:t>
      </w:r>
      <w:r>
        <w:rPr>
          <w:rFonts w:ascii="黑体" w:hAnsi="黑体" w:eastAsia="黑体" w:cs="黑体"/>
          <w:spacing w:val="11"/>
          <w:sz w:val="24"/>
          <w:szCs w:val="24"/>
        </w:rPr>
        <w:t xml:space="preserve"> </w:t>
      </w:r>
      <w:r>
        <w:rPr>
          <w:rFonts w:ascii="黑体" w:hAnsi="黑体" w:eastAsia="黑体" w:cs="黑体"/>
          <w:spacing w:val="-3"/>
          <w:sz w:val="24"/>
          <w:szCs w:val="24"/>
        </w:rPr>
        <w:t>联合体</w:t>
      </w:r>
    </w:p>
    <w:p w14:paraId="12D29A45">
      <w:pPr>
        <w:spacing w:before="129" w:line="398" w:lineRule="exact"/>
        <w:ind w:left="441"/>
        <w:rPr>
          <w:rFonts w:ascii="宋体" w:hAnsi="宋体" w:eastAsia="宋体" w:cs="宋体"/>
          <w:sz w:val="21"/>
          <w:szCs w:val="21"/>
        </w:rPr>
      </w:pPr>
      <w:r>
        <w:rPr>
          <w:rFonts w:ascii="Times New Roman" w:hAnsi="Times New Roman" w:eastAsia="Times New Roman" w:cs="Times New Roman"/>
          <w:spacing w:val="1"/>
          <w:position w:val="14"/>
          <w:sz w:val="21"/>
          <w:szCs w:val="21"/>
        </w:rPr>
        <w:t>3.8.1</w:t>
      </w:r>
      <w:r>
        <w:rPr>
          <w:rFonts w:ascii="Times New Roman" w:hAnsi="Times New Roman" w:eastAsia="Times New Roman" w:cs="Times New Roman"/>
          <w:spacing w:val="33"/>
          <w:w w:val="101"/>
          <w:position w:val="14"/>
          <w:sz w:val="21"/>
          <w:szCs w:val="21"/>
        </w:rPr>
        <w:t xml:space="preserve"> </w:t>
      </w:r>
      <w:r>
        <w:rPr>
          <w:rFonts w:ascii="宋体" w:hAnsi="宋体" w:eastAsia="宋体" w:cs="宋体"/>
          <w:spacing w:val="1"/>
          <w:position w:val="14"/>
          <w:sz w:val="21"/>
          <w:szCs w:val="21"/>
        </w:rPr>
        <w:t>联合体各方应共同与发包人签订合同协议书。联合体</w:t>
      </w:r>
      <w:r>
        <w:rPr>
          <w:rFonts w:ascii="宋体" w:hAnsi="宋体" w:eastAsia="宋体" w:cs="宋体"/>
          <w:position w:val="14"/>
          <w:sz w:val="21"/>
          <w:szCs w:val="21"/>
        </w:rPr>
        <w:t>各方应为履行合同向发包人</w:t>
      </w:r>
    </w:p>
    <w:p w14:paraId="5DCE2695">
      <w:pPr>
        <w:spacing w:before="1" w:line="220" w:lineRule="auto"/>
        <w:ind w:left="18"/>
        <w:rPr>
          <w:rFonts w:ascii="宋体" w:hAnsi="宋体" w:eastAsia="宋体" w:cs="宋体"/>
          <w:sz w:val="21"/>
          <w:szCs w:val="21"/>
        </w:rPr>
      </w:pPr>
      <w:r>
        <w:rPr>
          <w:rFonts w:ascii="宋体" w:hAnsi="宋体" w:eastAsia="宋体" w:cs="宋体"/>
          <w:spacing w:val="-3"/>
          <w:sz w:val="21"/>
          <w:szCs w:val="21"/>
        </w:rPr>
        <w:t>承担连带责任。</w:t>
      </w:r>
    </w:p>
    <w:p w14:paraId="1CF0CB24">
      <w:pPr>
        <w:spacing w:before="148" w:line="403" w:lineRule="exact"/>
        <w:jc w:val="right"/>
        <w:rPr>
          <w:rFonts w:ascii="宋体" w:hAnsi="宋体" w:eastAsia="宋体" w:cs="宋体"/>
          <w:sz w:val="21"/>
          <w:szCs w:val="21"/>
        </w:rPr>
      </w:pPr>
      <w:r>
        <w:rPr>
          <w:rFonts w:ascii="Times New Roman" w:hAnsi="Times New Roman" w:eastAsia="Times New Roman" w:cs="Times New Roman"/>
          <w:position w:val="14"/>
          <w:sz w:val="21"/>
          <w:szCs w:val="21"/>
        </w:rPr>
        <w:t>3.8.2</w:t>
      </w:r>
      <w:r>
        <w:rPr>
          <w:rFonts w:ascii="Times New Roman" w:hAnsi="Times New Roman" w:eastAsia="Times New Roman" w:cs="Times New Roman"/>
          <w:spacing w:val="33"/>
          <w:w w:val="101"/>
          <w:position w:val="14"/>
          <w:sz w:val="21"/>
          <w:szCs w:val="21"/>
        </w:rPr>
        <w:t xml:space="preserve"> </w:t>
      </w:r>
      <w:r>
        <w:rPr>
          <w:rFonts w:ascii="宋体" w:hAnsi="宋体" w:eastAsia="宋体" w:cs="宋体"/>
          <w:position w:val="14"/>
          <w:sz w:val="21"/>
          <w:szCs w:val="21"/>
        </w:rPr>
        <w:t>联合体协议经发包人确认后作为合</w:t>
      </w:r>
      <w:r>
        <w:rPr>
          <w:rFonts w:ascii="宋体" w:hAnsi="宋体" w:eastAsia="宋体" w:cs="宋体"/>
          <w:spacing w:val="-1"/>
          <w:position w:val="14"/>
          <w:sz w:val="21"/>
          <w:szCs w:val="21"/>
        </w:rPr>
        <w:t>同附件。在履行合同过程中，未经发包人同意，</w:t>
      </w:r>
    </w:p>
    <w:p w14:paraId="2243881C">
      <w:pPr>
        <w:spacing w:before="1" w:line="220" w:lineRule="auto"/>
        <w:ind w:left="21"/>
        <w:rPr>
          <w:rFonts w:ascii="宋体" w:hAnsi="宋体" w:eastAsia="宋体" w:cs="宋体"/>
          <w:sz w:val="21"/>
          <w:szCs w:val="21"/>
        </w:rPr>
      </w:pPr>
      <w:r>
        <w:rPr>
          <w:rFonts w:ascii="宋体" w:hAnsi="宋体" w:eastAsia="宋体" w:cs="宋体"/>
          <w:spacing w:val="-1"/>
          <w:sz w:val="21"/>
          <w:szCs w:val="21"/>
        </w:rPr>
        <w:t>不得修改联合体协议。</w:t>
      </w:r>
    </w:p>
    <w:p w14:paraId="7D94CEFD">
      <w:pPr>
        <w:spacing w:before="148" w:line="398" w:lineRule="exact"/>
        <w:ind w:left="441"/>
        <w:rPr>
          <w:rFonts w:ascii="宋体" w:hAnsi="宋体" w:eastAsia="宋体" w:cs="宋体"/>
          <w:sz w:val="21"/>
          <w:szCs w:val="21"/>
        </w:rPr>
      </w:pPr>
      <w:r>
        <w:rPr>
          <w:rFonts w:ascii="Times New Roman" w:hAnsi="Times New Roman" w:eastAsia="Times New Roman" w:cs="Times New Roman"/>
          <w:spacing w:val="1"/>
          <w:position w:val="14"/>
          <w:sz w:val="21"/>
          <w:szCs w:val="21"/>
        </w:rPr>
        <w:t>3.8.3</w:t>
      </w:r>
      <w:r>
        <w:rPr>
          <w:rFonts w:ascii="Times New Roman" w:hAnsi="Times New Roman" w:eastAsia="Times New Roman" w:cs="Times New Roman"/>
          <w:spacing w:val="34"/>
          <w:position w:val="14"/>
          <w:sz w:val="21"/>
          <w:szCs w:val="21"/>
        </w:rPr>
        <w:t xml:space="preserve"> </w:t>
      </w:r>
      <w:r>
        <w:rPr>
          <w:rFonts w:ascii="宋体" w:hAnsi="宋体" w:eastAsia="宋体" w:cs="宋体"/>
          <w:spacing w:val="1"/>
          <w:position w:val="14"/>
          <w:sz w:val="21"/>
          <w:szCs w:val="21"/>
        </w:rPr>
        <w:t>联合体牵头人负责与发包人和监理人联系，并</w:t>
      </w:r>
      <w:r>
        <w:rPr>
          <w:rFonts w:ascii="宋体" w:hAnsi="宋体" w:eastAsia="宋体" w:cs="宋体"/>
          <w:position w:val="14"/>
          <w:sz w:val="21"/>
          <w:szCs w:val="21"/>
        </w:rPr>
        <w:t>接受指示，负责组织联合体各成员</w:t>
      </w:r>
    </w:p>
    <w:p w14:paraId="2A71CED8">
      <w:pPr>
        <w:spacing w:line="221" w:lineRule="auto"/>
        <w:ind w:left="18"/>
        <w:rPr>
          <w:rFonts w:ascii="宋体" w:hAnsi="宋体" w:eastAsia="宋体" w:cs="宋体"/>
          <w:sz w:val="21"/>
          <w:szCs w:val="21"/>
        </w:rPr>
      </w:pPr>
      <w:r>
        <w:rPr>
          <w:rFonts w:ascii="宋体" w:hAnsi="宋体" w:eastAsia="宋体" w:cs="宋体"/>
          <w:spacing w:val="-3"/>
          <w:sz w:val="21"/>
          <w:szCs w:val="21"/>
        </w:rPr>
        <w:t>全面履行合同。</w:t>
      </w:r>
    </w:p>
    <w:p w14:paraId="3AC62785">
      <w:pPr>
        <w:spacing w:before="177" w:line="223" w:lineRule="auto"/>
        <w:ind w:left="13"/>
        <w:rPr>
          <w:rFonts w:ascii="黑体" w:hAnsi="黑体" w:eastAsia="黑体" w:cs="黑体"/>
          <w:sz w:val="32"/>
          <w:szCs w:val="32"/>
        </w:rPr>
      </w:pPr>
      <w:r>
        <w:rPr>
          <w:rFonts w:ascii="黑体" w:hAnsi="黑体" w:eastAsia="黑体" w:cs="黑体"/>
          <w:sz w:val="32"/>
          <w:szCs w:val="32"/>
        </w:rPr>
        <w:t>4.监理人</w:t>
      </w:r>
    </w:p>
    <w:p w14:paraId="168BC1AD">
      <w:pPr>
        <w:spacing w:before="140" w:line="218" w:lineRule="auto"/>
        <w:ind w:left="12"/>
        <w:rPr>
          <w:rFonts w:ascii="黑体" w:hAnsi="黑体" w:eastAsia="黑体" w:cs="黑体"/>
          <w:sz w:val="24"/>
          <w:szCs w:val="24"/>
        </w:rPr>
      </w:pPr>
      <w:r>
        <w:rPr>
          <w:rFonts w:ascii="黑体" w:hAnsi="黑体" w:eastAsia="黑体" w:cs="黑体"/>
          <w:spacing w:val="-2"/>
          <w:sz w:val="24"/>
          <w:szCs w:val="24"/>
        </w:rPr>
        <w:t>4.1</w:t>
      </w:r>
      <w:r>
        <w:rPr>
          <w:rFonts w:ascii="黑体" w:hAnsi="黑体" w:eastAsia="黑体" w:cs="黑体"/>
          <w:spacing w:val="-44"/>
          <w:sz w:val="24"/>
          <w:szCs w:val="24"/>
        </w:rPr>
        <w:t xml:space="preserve"> </w:t>
      </w:r>
      <w:r>
        <w:rPr>
          <w:rFonts w:ascii="黑体" w:hAnsi="黑体" w:eastAsia="黑体" w:cs="黑体"/>
          <w:spacing w:val="-2"/>
          <w:sz w:val="24"/>
          <w:szCs w:val="24"/>
        </w:rPr>
        <w:t>监理人的一般规定</w:t>
      </w:r>
    </w:p>
    <w:p w14:paraId="1C1F26C5">
      <w:pPr>
        <w:spacing w:before="129" w:line="353" w:lineRule="auto"/>
        <w:ind w:left="17" w:right="161" w:firstLine="426"/>
        <w:jc w:val="both"/>
        <w:rPr>
          <w:rFonts w:ascii="宋体" w:hAnsi="宋体" w:eastAsia="宋体" w:cs="宋体"/>
          <w:sz w:val="21"/>
          <w:szCs w:val="21"/>
        </w:rPr>
      </w:pPr>
      <w:r>
        <w:rPr>
          <w:rFonts w:ascii="宋体" w:hAnsi="宋体" w:eastAsia="宋体" w:cs="宋体"/>
          <w:spacing w:val="3"/>
          <w:sz w:val="21"/>
          <w:szCs w:val="21"/>
        </w:rPr>
        <w:t>工程实行监理的，发包人和承包人应在专用合同条款中明确监理人的监理内容及监理</w:t>
      </w:r>
      <w:r>
        <w:rPr>
          <w:rFonts w:ascii="宋体" w:hAnsi="宋体" w:eastAsia="宋体" w:cs="宋体"/>
          <w:sz w:val="21"/>
          <w:szCs w:val="21"/>
        </w:rPr>
        <w:t xml:space="preserve"> 权限等事项。监理人应当根据发包人授权及法律规定， 代表发包人对工程施工相关事项进</w:t>
      </w:r>
    </w:p>
    <w:p w14:paraId="6D560BDF">
      <w:pPr>
        <w:spacing w:before="1" w:line="220" w:lineRule="auto"/>
        <w:ind w:left="21"/>
        <w:rPr>
          <w:rFonts w:ascii="宋体" w:hAnsi="宋体" w:eastAsia="宋体" w:cs="宋体"/>
          <w:sz w:val="21"/>
          <w:szCs w:val="21"/>
        </w:rPr>
      </w:pPr>
      <w:r>
        <w:rPr>
          <w:rFonts w:ascii="宋体" w:hAnsi="宋体" w:eastAsia="宋体" w:cs="宋体"/>
          <w:spacing w:val="-2"/>
          <w:sz w:val="21"/>
          <w:szCs w:val="21"/>
        </w:rPr>
        <w:t>行检查、查验、审核、验收，</w:t>
      </w:r>
      <w:r>
        <w:rPr>
          <w:rFonts w:ascii="宋体" w:hAnsi="宋体" w:eastAsia="宋体" w:cs="宋体"/>
          <w:spacing w:val="81"/>
          <w:sz w:val="21"/>
          <w:szCs w:val="21"/>
        </w:rPr>
        <w:t xml:space="preserve"> </w:t>
      </w:r>
      <w:r>
        <w:rPr>
          <w:rFonts w:ascii="宋体" w:hAnsi="宋体" w:eastAsia="宋体" w:cs="宋体"/>
          <w:spacing w:val="-2"/>
          <w:sz w:val="21"/>
          <w:szCs w:val="21"/>
        </w:rPr>
        <w:t>并签发相关指示，但监理人无权修改合同，且无权减轻或免</w:t>
      </w:r>
    </w:p>
    <w:p w14:paraId="51871839">
      <w:pPr>
        <w:spacing w:line="220" w:lineRule="auto"/>
        <w:rPr>
          <w:rFonts w:ascii="宋体" w:hAnsi="宋体" w:eastAsia="宋体" w:cs="宋体"/>
          <w:sz w:val="21"/>
          <w:szCs w:val="21"/>
        </w:rPr>
        <w:sectPr>
          <w:footerReference r:id="rId100" w:type="default"/>
          <w:pgSz w:w="11905" w:h="16839"/>
          <w:pgMar w:top="1431" w:right="1630" w:bottom="1004" w:left="1785" w:header="0" w:footer="828" w:gutter="0"/>
          <w:pgNumType w:fmt="decimal"/>
          <w:cols w:space="720" w:num="1"/>
        </w:sectPr>
      </w:pPr>
    </w:p>
    <w:p w14:paraId="578E1881">
      <w:pPr>
        <w:spacing w:before="148" w:line="221" w:lineRule="auto"/>
        <w:ind w:left="30"/>
        <w:rPr>
          <w:rFonts w:ascii="宋体" w:hAnsi="宋体" w:eastAsia="宋体" w:cs="宋体"/>
          <w:sz w:val="21"/>
          <w:szCs w:val="21"/>
        </w:rPr>
      </w:pPr>
      <w:r>
        <w:rPr>
          <w:rFonts w:ascii="宋体" w:hAnsi="宋体" w:eastAsia="宋体" w:cs="宋体"/>
          <w:spacing w:val="-1"/>
          <w:sz w:val="21"/>
          <w:szCs w:val="21"/>
        </w:rPr>
        <w:t>除合同约定的承包人的任何责任与义务。</w:t>
      </w:r>
    </w:p>
    <w:p w14:paraId="1B22F6D7">
      <w:pPr>
        <w:spacing w:before="147" w:line="220" w:lineRule="auto"/>
        <w:jc w:val="right"/>
        <w:rPr>
          <w:rFonts w:ascii="宋体" w:hAnsi="宋体" w:eastAsia="宋体" w:cs="宋体"/>
          <w:sz w:val="21"/>
          <w:szCs w:val="21"/>
        </w:rPr>
      </w:pPr>
      <w:r>
        <w:rPr>
          <w:rFonts w:ascii="宋体" w:hAnsi="宋体" w:eastAsia="宋体" w:cs="宋体"/>
          <w:spacing w:val="1"/>
          <w:sz w:val="21"/>
          <w:szCs w:val="21"/>
        </w:rPr>
        <w:t>除专用合同条款另有约定外，监理人在施工现场的办公场所、生活场所由承包人提供，</w:t>
      </w:r>
    </w:p>
    <w:p w14:paraId="20A202EF">
      <w:pPr>
        <w:spacing w:before="152" w:line="221" w:lineRule="auto"/>
        <w:ind w:left="18"/>
        <w:rPr>
          <w:rFonts w:ascii="宋体" w:hAnsi="宋体" w:eastAsia="宋体" w:cs="宋体"/>
          <w:sz w:val="21"/>
          <w:szCs w:val="21"/>
        </w:rPr>
      </w:pPr>
      <w:r>
        <w:rPr>
          <w:rFonts w:ascii="宋体" w:hAnsi="宋体" w:eastAsia="宋体" w:cs="宋体"/>
          <w:spacing w:val="-2"/>
          <w:sz w:val="21"/>
          <w:szCs w:val="21"/>
        </w:rPr>
        <w:t>所发生的费用由发包人承担。</w:t>
      </w:r>
    </w:p>
    <w:p w14:paraId="35BDF678">
      <w:pPr>
        <w:spacing w:before="46" w:line="218" w:lineRule="auto"/>
        <w:ind w:left="12"/>
        <w:rPr>
          <w:rFonts w:ascii="黑体" w:hAnsi="黑体" w:eastAsia="黑体" w:cs="黑体"/>
          <w:sz w:val="24"/>
          <w:szCs w:val="24"/>
        </w:rPr>
      </w:pPr>
      <w:r>
        <w:rPr>
          <w:rFonts w:ascii="黑体" w:hAnsi="黑体" w:eastAsia="黑体" w:cs="黑体"/>
          <w:spacing w:val="-2"/>
          <w:sz w:val="24"/>
          <w:szCs w:val="24"/>
        </w:rPr>
        <w:t>4.2</w:t>
      </w:r>
      <w:r>
        <w:rPr>
          <w:rFonts w:ascii="黑体" w:hAnsi="黑体" w:eastAsia="黑体" w:cs="黑体"/>
          <w:spacing w:val="-50"/>
          <w:sz w:val="24"/>
          <w:szCs w:val="24"/>
        </w:rPr>
        <w:t xml:space="preserve"> </w:t>
      </w:r>
      <w:r>
        <w:rPr>
          <w:rFonts w:ascii="黑体" w:hAnsi="黑体" w:eastAsia="黑体" w:cs="黑体"/>
          <w:spacing w:val="-2"/>
          <w:sz w:val="24"/>
          <w:szCs w:val="24"/>
        </w:rPr>
        <w:t>监理人员</w:t>
      </w:r>
    </w:p>
    <w:p w14:paraId="7339ED8A">
      <w:pPr>
        <w:spacing w:before="131" w:line="352" w:lineRule="auto"/>
        <w:ind w:left="20" w:right="174" w:firstLine="423"/>
        <w:jc w:val="both"/>
        <w:rPr>
          <w:rFonts w:ascii="宋体" w:hAnsi="宋体" w:eastAsia="宋体" w:cs="宋体"/>
          <w:sz w:val="21"/>
          <w:szCs w:val="21"/>
        </w:rPr>
      </w:pPr>
      <w:r>
        <w:rPr>
          <w:rFonts w:ascii="宋体" w:hAnsi="宋体" w:eastAsia="宋体" w:cs="宋体"/>
          <w:spacing w:val="3"/>
          <w:sz w:val="21"/>
          <w:szCs w:val="21"/>
        </w:rPr>
        <w:t>发包人授予监理人对工程实施监理的权利由监理人派驻施工现场的监理人员行使，监</w:t>
      </w:r>
      <w:r>
        <w:rPr>
          <w:rFonts w:ascii="宋体" w:hAnsi="宋体" w:eastAsia="宋体" w:cs="宋体"/>
          <w:sz w:val="21"/>
          <w:szCs w:val="21"/>
        </w:rPr>
        <w:t xml:space="preserve"> </w:t>
      </w:r>
      <w:r>
        <w:rPr>
          <w:rFonts w:ascii="宋体" w:hAnsi="宋体" w:eastAsia="宋体" w:cs="宋体"/>
          <w:spacing w:val="3"/>
          <w:sz w:val="21"/>
          <w:szCs w:val="21"/>
        </w:rPr>
        <w:t>理人员包括总监理工程师及监理工程师。监理人应将授权的总监理工程</w:t>
      </w:r>
      <w:r>
        <w:rPr>
          <w:rFonts w:ascii="宋体" w:hAnsi="宋体" w:eastAsia="宋体" w:cs="宋体"/>
          <w:spacing w:val="2"/>
          <w:sz w:val="21"/>
          <w:szCs w:val="21"/>
        </w:rPr>
        <w:t>师和监理工程师的</w:t>
      </w:r>
    </w:p>
    <w:p w14:paraId="7BFF7BFA">
      <w:pPr>
        <w:spacing w:before="1" w:line="219" w:lineRule="auto"/>
        <w:ind w:left="18"/>
        <w:rPr>
          <w:rFonts w:ascii="宋体" w:hAnsi="宋体" w:eastAsia="宋体" w:cs="宋体"/>
          <w:sz w:val="21"/>
          <w:szCs w:val="21"/>
        </w:rPr>
      </w:pPr>
      <w:r>
        <w:rPr>
          <w:rFonts w:ascii="宋体" w:hAnsi="宋体" w:eastAsia="宋体" w:cs="宋体"/>
          <w:spacing w:val="1"/>
          <w:sz w:val="21"/>
          <w:szCs w:val="21"/>
        </w:rPr>
        <w:t>姓名及授权范围以书面形式提前通知承包人。</w:t>
      </w:r>
      <w:r>
        <w:rPr>
          <w:rFonts w:ascii="宋体" w:hAnsi="宋体" w:eastAsia="宋体" w:cs="宋体"/>
          <w:sz w:val="21"/>
          <w:szCs w:val="21"/>
        </w:rPr>
        <w:t xml:space="preserve">更换总监理工程师的，监理人应提前 </w:t>
      </w:r>
      <w:r>
        <w:rPr>
          <w:rFonts w:ascii="Times New Roman" w:hAnsi="Times New Roman" w:eastAsia="Times New Roman" w:cs="Times New Roman"/>
          <w:sz w:val="21"/>
          <w:szCs w:val="21"/>
        </w:rPr>
        <w:t xml:space="preserve">7  </w:t>
      </w:r>
      <w:r>
        <w:rPr>
          <w:rFonts w:ascii="宋体" w:hAnsi="宋体" w:eastAsia="宋体" w:cs="宋体"/>
          <w:sz w:val="21"/>
          <w:szCs w:val="21"/>
        </w:rPr>
        <w:t>天书</w:t>
      </w:r>
    </w:p>
    <w:p w14:paraId="55D53588">
      <w:pPr>
        <w:spacing w:before="148" w:line="220" w:lineRule="auto"/>
        <w:ind w:left="19"/>
        <w:rPr>
          <w:rFonts w:ascii="宋体" w:hAnsi="宋体" w:eastAsia="宋体" w:cs="宋体"/>
          <w:sz w:val="21"/>
          <w:szCs w:val="21"/>
        </w:rPr>
      </w:pPr>
      <w:r>
        <w:rPr>
          <w:rFonts w:ascii="宋体" w:hAnsi="宋体" w:eastAsia="宋体" w:cs="宋体"/>
          <w:spacing w:val="-1"/>
          <w:sz w:val="21"/>
          <w:szCs w:val="21"/>
        </w:rPr>
        <w:t>面通知承包人；更换其他监理人员，监理人应提前</w:t>
      </w:r>
      <w:r>
        <w:rPr>
          <w:rFonts w:ascii="宋体" w:hAnsi="宋体" w:eastAsia="宋体" w:cs="宋体"/>
          <w:spacing w:val="-46"/>
          <w:sz w:val="21"/>
          <w:szCs w:val="21"/>
        </w:rPr>
        <w:t xml:space="preserve"> </w:t>
      </w:r>
      <w:r>
        <w:rPr>
          <w:rFonts w:ascii="Times New Roman" w:hAnsi="Times New Roman" w:eastAsia="Times New Roman" w:cs="Times New Roman"/>
          <w:spacing w:val="-1"/>
          <w:sz w:val="21"/>
          <w:szCs w:val="21"/>
        </w:rPr>
        <w:t xml:space="preserve">48 </w:t>
      </w:r>
      <w:r>
        <w:rPr>
          <w:rFonts w:ascii="宋体" w:hAnsi="宋体" w:eastAsia="宋体" w:cs="宋体"/>
          <w:spacing w:val="-1"/>
          <w:sz w:val="21"/>
          <w:szCs w:val="21"/>
        </w:rPr>
        <w:t>小时书面通知承包</w:t>
      </w:r>
      <w:r>
        <w:rPr>
          <w:rFonts w:ascii="宋体" w:hAnsi="宋体" w:eastAsia="宋体" w:cs="宋体"/>
          <w:spacing w:val="-2"/>
          <w:sz w:val="21"/>
          <w:szCs w:val="21"/>
        </w:rPr>
        <w:t>人。</w:t>
      </w:r>
    </w:p>
    <w:p w14:paraId="0549B0EA">
      <w:pPr>
        <w:spacing w:before="47" w:line="219" w:lineRule="auto"/>
        <w:ind w:left="12"/>
        <w:rPr>
          <w:rFonts w:ascii="黑体" w:hAnsi="黑体" w:eastAsia="黑体" w:cs="黑体"/>
          <w:sz w:val="24"/>
          <w:szCs w:val="24"/>
        </w:rPr>
      </w:pPr>
      <w:r>
        <w:rPr>
          <w:rFonts w:ascii="黑体" w:hAnsi="黑体" w:eastAsia="黑体" w:cs="黑体"/>
          <w:spacing w:val="-2"/>
          <w:sz w:val="24"/>
          <w:szCs w:val="24"/>
        </w:rPr>
        <w:t>4.3</w:t>
      </w:r>
      <w:r>
        <w:rPr>
          <w:rFonts w:ascii="黑体" w:hAnsi="黑体" w:eastAsia="黑体" w:cs="黑体"/>
          <w:spacing w:val="-47"/>
          <w:sz w:val="24"/>
          <w:szCs w:val="24"/>
        </w:rPr>
        <w:t xml:space="preserve"> </w:t>
      </w:r>
      <w:r>
        <w:rPr>
          <w:rFonts w:ascii="黑体" w:hAnsi="黑体" w:eastAsia="黑体" w:cs="黑体"/>
          <w:spacing w:val="-2"/>
          <w:sz w:val="24"/>
          <w:szCs w:val="24"/>
        </w:rPr>
        <w:t>监理人的指示</w:t>
      </w:r>
    </w:p>
    <w:p w14:paraId="7112A0E2">
      <w:pPr>
        <w:spacing w:before="128" w:line="352" w:lineRule="auto"/>
        <w:ind w:left="17" w:right="174" w:firstLine="424"/>
        <w:rPr>
          <w:rFonts w:ascii="宋体" w:hAnsi="宋体" w:eastAsia="宋体" w:cs="宋体"/>
          <w:sz w:val="21"/>
          <w:szCs w:val="21"/>
        </w:rPr>
      </w:pPr>
      <w:r>
        <w:rPr>
          <w:rFonts w:ascii="宋体" w:hAnsi="宋体" w:eastAsia="宋体" w:cs="宋体"/>
          <w:sz w:val="21"/>
          <w:szCs w:val="21"/>
        </w:rPr>
        <w:t>监理人应按照发包人的授权发出监理指示。监理人的指示应采用书面形式， 并经其授</w:t>
      </w:r>
      <w:r>
        <w:rPr>
          <w:rFonts w:ascii="宋体" w:hAnsi="宋体" w:eastAsia="宋体" w:cs="宋体"/>
          <w:spacing w:val="8"/>
          <w:sz w:val="21"/>
          <w:szCs w:val="21"/>
        </w:rPr>
        <w:t xml:space="preserve"> </w:t>
      </w:r>
      <w:r>
        <w:rPr>
          <w:rFonts w:ascii="宋体" w:hAnsi="宋体" w:eastAsia="宋体" w:cs="宋体"/>
          <w:sz w:val="21"/>
          <w:szCs w:val="21"/>
        </w:rPr>
        <w:t>权的监理人员签字。紧急情况下， 为了保证施工人员的安全或避免工程受损，监理人员可</w:t>
      </w:r>
      <w:r>
        <w:rPr>
          <w:rFonts w:ascii="宋体" w:hAnsi="宋体" w:eastAsia="宋体" w:cs="宋体"/>
          <w:spacing w:val="7"/>
          <w:sz w:val="21"/>
          <w:szCs w:val="21"/>
        </w:rPr>
        <w:t xml:space="preserve"> </w:t>
      </w:r>
      <w:r>
        <w:rPr>
          <w:rFonts w:ascii="宋体" w:hAnsi="宋体" w:eastAsia="宋体" w:cs="宋体"/>
          <w:sz w:val="21"/>
          <w:szCs w:val="21"/>
        </w:rPr>
        <w:t>以口头形式发出指示， 该指示与书面形式的指示具有同等法律效力，但必须在发出口头指</w:t>
      </w:r>
    </w:p>
    <w:p w14:paraId="62C93E42">
      <w:pPr>
        <w:spacing w:before="1" w:line="219" w:lineRule="auto"/>
        <w:ind w:left="19"/>
        <w:rPr>
          <w:rFonts w:ascii="宋体" w:hAnsi="宋体" w:eastAsia="宋体" w:cs="宋体"/>
          <w:sz w:val="21"/>
          <w:szCs w:val="21"/>
        </w:rPr>
      </w:pPr>
      <w:r>
        <w:rPr>
          <w:rFonts w:ascii="宋体" w:hAnsi="宋体" w:eastAsia="宋体" w:cs="宋体"/>
          <w:spacing w:val="-1"/>
          <w:sz w:val="21"/>
          <w:szCs w:val="21"/>
        </w:rPr>
        <w:t>示后</w:t>
      </w:r>
      <w:r>
        <w:rPr>
          <w:rFonts w:ascii="宋体" w:hAnsi="宋体" w:eastAsia="宋体" w:cs="宋体"/>
          <w:spacing w:val="-47"/>
          <w:sz w:val="21"/>
          <w:szCs w:val="21"/>
        </w:rPr>
        <w:t xml:space="preserve"> </w:t>
      </w:r>
      <w:r>
        <w:rPr>
          <w:rFonts w:ascii="Times New Roman" w:hAnsi="Times New Roman" w:eastAsia="Times New Roman" w:cs="Times New Roman"/>
          <w:spacing w:val="-1"/>
          <w:sz w:val="21"/>
          <w:szCs w:val="21"/>
        </w:rPr>
        <w:t xml:space="preserve">24 </w:t>
      </w:r>
      <w:r>
        <w:rPr>
          <w:rFonts w:ascii="宋体" w:hAnsi="宋体" w:eastAsia="宋体" w:cs="宋体"/>
          <w:spacing w:val="-1"/>
          <w:sz w:val="21"/>
          <w:szCs w:val="21"/>
        </w:rPr>
        <w:t>小时内补发书面监理指示，补发的书面监理指示应与口头指示</w:t>
      </w:r>
      <w:r>
        <w:rPr>
          <w:rFonts w:ascii="宋体" w:hAnsi="宋体" w:eastAsia="宋体" w:cs="宋体"/>
          <w:spacing w:val="-2"/>
          <w:sz w:val="21"/>
          <w:szCs w:val="21"/>
        </w:rPr>
        <w:t>一致。</w:t>
      </w:r>
    </w:p>
    <w:p w14:paraId="7C796DA6">
      <w:pPr>
        <w:spacing w:before="148" w:line="352" w:lineRule="auto"/>
        <w:ind w:left="19" w:right="174" w:firstLine="422"/>
        <w:rPr>
          <w:rFonts w:ascii="Times New Roman" w:hAnsi="Times New Roman" w:eastAsia="Times New Roman" w:cs="Times New Roman"/>
          <w:sz w:val="21"/>
          <w:szCs w:val="21"/>
        </w:rPr>
      </w:pPr>
      <w:r>
        <w:rPr>
          <w:rFonts w:ascii="宋体" w:hAnsi="宋体" w:eastAsia="宋体" w:cs="宋体"/>
          <w:spacing w:val="3"/>
          <w:sz w:val="21"/>
          <w:szCs w:val="21"/>
        </w:rPr>
        <w:t>监理人发出的指示应送达承包人项目经理或经项目经理授权接收的人员。因监理人未</w:t>
      </w:r>
      <w:r>
        <w:rPr>
          <w:rFonts w:ascii="宋体" w:hAnsi="宋体" w:eastAsia="宋体" w:cs="宋体"/>
          <w:spacing w:val="2"/>
          <w:sz w:val="21"/>
          <w:szCs w:val="21"/>
        </w:rPr>
        <w:t xml:space="preserve"> </w:t>
      </w:r>
      <w:r>
        <w:rPr>
          <w:rFonts w:ascii="宋体" w:hAnsi="宋体" w:eastAsia="宋体" w:cs="宋体"/>
          <w:spacing w:val="3"/>
          <w:sz w:val="21"/>
          <w:szCs w:val="21"/>
        </w:rPr>
        <w:t>能按合同约定发出指示、指示延误或发出了错误指示而导致承包人费用增加</w:t>
      </w:r>
      <w:r>
        <w:rPr>
          <w:rFonts w:ascii="宋体" w:hAnsi="宋体" w:eastAsia="宋体" w:cs="宋体"/>
          <w:spacing w:val="2"/>
          <w:sz w:val="21"/>
          <w:szCs w:val="21"/>
        </w:rPr>
        <w:t>和（或）工期</w:t>
      </w:r>
      <w:r>
        <w:rPr>
          <w:rFonts w:ascii="宋体" w:hAnsi="宋体" w:eastAsia="宋体" w:cs="宋体"/>
          <w:sz w:val="21"/>
          <w:szCs w:val="21"/>
        </w:rPr>
        <w:t xml:space="preserve"> </w:t>
      </w:r>
      <w:r>
        <w:rPr>
          <w:rFonts w:ascii="宋体" w:hAnsi="宋体" w:eastAsia="宋体" w:cs="宋体"/>
          <w:spacing w:val="-4"/>
          <w:sz w:val="21"/>
          <w:szCs w:val="21"/>
        </w:rPr>
        <w:t>延误的，由发包人承担相应责任。除专用合同条款另有约定外，</w:t>
      </w:r>
      <w:r>
        <w:rPr>
          <w:rFonts w:ascii="宋体" w:hAnsi="宋体" w:eastAsia="宋体" w:cs="宋体"/>
          <w:spacing w:val="57"/>
          <w:sz w:val="21"/>
          <w:szCs w:val="21"/>
        </w:rPr>
        <w:t xml:space="preserve"> </w:t>
      </w:r>
      <w:r>
        <w:rPr>
          <w:rFonts w:ascii="宋体" w:hAnsi="宋体" w:eastAsia="宋体" w:cs="宋体"/>
          <w:spacing w:val="-4"/>
          <w:sz w:val="21"/>
          <w:szCs w:val="21"/>
        </w:rPr>
        <w:t>总监理工程师</w:t>
      </w:r>
      <w:r>
        <w:rPr>
          <w:rFonts w:ascii="宋体" w:hAnsi="宋体" w:eastAsia="宋体" w:cs="宋体"/>
          <w:spacing w:val="-5"/>
          <w:sz w:val="21"/>
          <w:szCs w:val="21"/>
        </w:rPr>
        <w:t>不应将第</w:t>
      </w:r>
      <w:r>
        <w:rPr>
          <w:rFonts w:ascii="宋体" w:hAnsi="宋体" w:eastAsia="宋体" w:cs="宋体"/>
          <w:spacing w:val="-32"/>
          <w:sz w:val="21"/>
          <w:szCs w:val="21"/>
        </w:rPr>
        <w:t xml:space="preserve"> </w:t>
      </w:r>
      <w:r>
        <w:rPr>
          <w:rFonts w:ascii="Times New Roman" w:hAnsi="Times New Roman" w:eastAsia="Times New Roman" w:cs="Times New Roman"/>
          <w:spacing w:val="-5"/>
          <w:sz w:val="21"/>
          <w:szCs w:val="21"/>
        </w:rPr>
        <w:t>4.4</w:t>
      </w:r>
    </w:p>
    <w:p w14:paraId="2008FD2F">
      <w:pPr>
        <w:spacing w:line="220" w:lineRule="auto"/>
        <w:ind w:left="19"/>
        <w:rPr>
          <w:rFonts w:ascii="宋体" w:hAnsi="宋体" w:eastAsia="宋体" w:cs="宋体"/>
          <w:sz w:val="21"/>
          <w:szCs w:val="21"/>
        </w:rPr>
      </w:pPr>
      <w:r>
        <w:rPr>
          <w:rFonts w:ascii="宋体" w:hAnsi="宋体" w:eastAsia="宋体" w:cs="宋体"/>
          <w:spacing w:val="-1"/>
          <w:sz w:val="21"/>
          <w:szCs w:val="21"/>
        </w:rPr>
        <w:t>款〔商定或确定〕约定应由总监理工程师作出确定的权力授权或委托给其他监理人员。</w:t>
      </w:r>
    </w:p>
    <w:p w14:paraId="0CC912ED">
      <w:pPr>
        <w:spacing w:before="153" w:line="398" w:lineRule="exact"/>
        <w:ind w:left="441"/>
        <w:rPr>
          <w:rFonts w:ascii="宋体" w:hAnsi="宋体" w:eastAsia="宋体" w:cs="宋体"/>
          <w:sz w:val="21"/>
          <w:szCs w:val="21"/>
        </w:rPr>
      </w:pPr>
      <w:r>
        <w:rPr>
          <w:rFonts w:ascii="宋体" w:hAnsi="宋体" w:eastAsia="宋体" w:cs="宋体"/>
          <w:spacing w:val="-3"/>
          <w:position w:val="14"/>
          <w:sz w:val="21"/>
          <w:szCs w:val="21"/>
        </w:rPr>
        <w:t>承包人对监理人发出的指示有疑问的， 应向监理人提出书面异议，监理人应在</w:t>
      </w:r>
      <w:r>
        <w:rPr>
          <w:rFonts w:ascii="宋体" w:hAnsi="宋体" w:eastAsia="宋体" w:cs="宋体"/>
          <w:spacing w:val="-31"/>
          <w:position w:val="14"/>
          <w:sz w:val="21"/>
          <w:szCs w:val="21"/>
        </w:rPr>
        <w:t xml:space="preserve"> </w:t>
      </w:r>
      <w:r>
        <w:rPr>
          <w:rFonts w:ascii="Times New Roman" w:hAnsi="Times New Roman" w:eastAsia="Times New Roman" w:cs="Times New Roman"/>
          <w:spacing w:val="-4"/>
          <w:position w:val="14"/>
          <w:sz w:val="21"/>
          <w:szCs w:val="21"/>
        </w:rPr>
        <w:t>48</w:t>
      </w:r>
      <w:r>
        <w:rPr>
          <w:rFonts w:ascii="Times New Roman" w:hAnsi="Times New Roman" w:eastAsia="Times New Roman" w:cs="Times New Roman"/>
          <w:spacing w:val="14"/>
          <w:w w:val="101"/>
          <w:position w:val="14"/>
          <w:sz w:val="21"/>
          <w:szCs w:val="21"/>
        </w:rPr>
        <w:t xml:space="preserve"> </w:t>
      </w:r>
      <w:r>
        <w:rPr>
          <w:rFonts w:ascii="宋体" w:hAnsi="宋体" w:eastAsia="宋体" w:cs="宋体"/>
          <w:spacing w:val="-4"/>
          <w:position w:val="14"/>
          <w:sz w:val="21"/>
          <w:szCs w:val="21"/>
        </w:rPr>
        <w:t>小时</w:t>
      </w:r>
    </w:p>
    <w:p w14:paraId="6396BCCC">
      <w:pPr>
        <w:spacing w:before="1" w:line="220" w:lineRule="auto"/>
        <w:jc w:val="right"/>
        <w:rPr>
          <w:rFonts w:ascii="宋体" w:hAnsi="宋体" w:eastAsia="宋体" w:cs="宋体"/>
          <w:sz w:val="21"/>
          <w:szCs w:val="21"/>
        </w:rPr>
      </w:pPr>
      <w:r>
        <w:rPr>
          <w:rFonts w:ascii="宋体" w:hAnsi="宋体" w:eastAsia="宋体" w:cs="宋体"/>
          <w:spacing w:val="-4"/>
          <w:sz w:val="21"/>
          <w:szCs w:val="21"/>
        </w:rPr>
        <w:t>内对该指示予以确认、更改或撤销， 监理人逾期未回复的， 承包人有权拒绝执行上述指示。</w:t>
      </w:r>
    </w:p>
    <w:p w14:paraId="0545D29A">
      <w:pPr>
        <w:spacing w:before="147" w:line="404" w:lineRule="exact"/>
        <w:ind w:left="442"/>
        <w:rPr>
          <w:rFonts w:ascii="宋体" w:hAnsi="宋体" w:eastAsia="宋体" w:cs="宋体"/>
          <w:sz w:val="21"/>
          <w:szCs w:val="21"/>
        </w:rPr>
      </w:pPr>
      <w:r>
        <w:rPr>
          <w:rFonts w:ascii="宋体" w:hAnsi="宋体" w:eastAsia="宋体" w:cs="宋体"/>
          <w:spacing w:val="3"/>
          <w:position w:val="14"/>
          <w:sz w:val="21"/>
          <w:szCs w:val="21"/>
        </w:rPr>
        <w:t>监理人对承包人的任何工作、工程或其采用的材料和工程设备未在约定的或合理期限</w:t>
      </w:r>
    </w:p>
    <w:p w14:paraId="7607F13A">
      <w:pPr>
        <w:spacing w:line="219" w:lineRule="auto"/>
        <w:ind w:left="43"/>
        <w:rPr>
          <w:rFonts w:ascii="宋体" w:hAnsi="宋体" w:eastAsia="宋体" w:cs="宋体"/>
          <w:sz w:val="21"/>
          <w:szCs w:val="21"/>
        </w:rPr>
      </w:pPr>
      <w:r>
        <w:rPr>
          <w:rFonts w:ascii="宋体" w:hAnsi="宋体" w:eastAsia="宋体" w:cs="宋体"/>
          <w:spacing w:val="2"/>
          <w:sz w:val="21"/>
          <w:szCs w:val="21"/>
        </w:rPr>
        <w:t>内提出意见的，视为批准，但不免除或减轻承包人对该工作、工程、材料、工程设备等应</w:t>
      </w:r>
    </w:p>
    <w:p w14:paraId="10A0DA8C">
      <w:pPr>
        <w:spacing w:before="149" w:line="221" w:lineRule="auto"/>
        <w:ind w:left="18"/>
        <w:rPr>
          <w:rFonts w:ascii="宋体" w:hAnsi="宋体" w:eastAsia="宋体" w:cs="宋体"/>
          <w:sz w:val="21"/>
          <w:szCs w:val="21"/>
        </w:rPr>
      </w:pPr>
      <w:r>
        <w:rPr>
          <w:rFonts w:ascii="宋体" w:hAnsi="宋体" w:eastAsia="宋体" w:cs="宋体"/>
          <w:spacing w:val="-3"/>
          <w:sz w:val="21"/>
          <w:szCs w:val="21"/>
        </w:rPr>
        <w:t>承担的责任和义务。</w:t>
      </w:r>
    </w:p>
    <w:p w14:paraId="37BC7FD5">
      <w:pPr>
        <w:spacing w:before="45" w:line="219" w:lineRule="auto"/>
        <w:ind w:left="12"/>
        <w:rPr>
          <w:rFonts w:ascii="黑体" w:hAnsi="黑体" w:eastAsia="黑体" w:cs="黑体"/>
          <w:sz w:val="24"/>
          <w:szCs w:val="24"/>
        </w:rPr>
      </w:pPr>
      <w:r>
        <w:rPr>
          <w:rFonts w:ascii="黑体" w:hAnsi="黑体" w:eastAsia="黑体" w:cs="黑体"/>
          <w:spacing w:val="-3"/>
          <w:sz w:val="24"/>
          <w:szCs w:val="24"/>
        </w:rPr>
        <w:t>4.4</w:t>
      </w:r>
      <w:r>
        <w:rPr>
          <w:rFonts w:ascii="黑体" w:hAnsi="黑体" w:eastAsia="黑体" w:cs="黑体"/>
          <w:spacing w:val="24"/>
          <w:sz w:val="24"/>
          <w:szCs w:val="24"/>
        </w:rPr>
        <w:t xml:space="preserve"> </w:t>
      </w:r>
      <w:r>
        <w:rPr>
          <w:rFonts w:ascii="黑体" w:hAnsi="黑体" w:eastAsia="黑体" w:cs="黑体"/>
          <w:spacing w:val="-3"/>
          <w:sz w:val="24"/>
          <w:szCs w:val="24"/>
        </w:rPr>
        <w:t>商定或确定</w:t>
      </w:r>
    </w:p>
    <w:p w14:paraId="017E00BE">
      <w:pPr>
        <w:spacing w:before="130" w:line="403" w:lineRule="exact"/>
        <w:ind w:left="442"/>
        <w:rPr>
          <w:rFonts w:ascii="宋体" w:hAnsi="宋体" w:eastAsia="宋体" w:cs="宋体"/>
          <w:sz w:val="21"/>
          <w:szCs w:val="21"/>
        </w:rPr>
      </w:pPr>
      <w:r>
        <w:rPr>
          <w:rFonts w:ascii="宋体" w:hAnsi="宋体" w:eastAsia="宋体" w:cs="宋体"/>
          <w:position w:val="14"/>
          <w:sz w:val="21"/>
          <w:szCs w:val="21"/>
        </w:rPr>
        <w:t>合同当事人进行商定或确定时， 总监理工程师应当会同合同当事人尽量通过协商达成</w:t>
      </w:r>
    </w:p>
    <w:p w14:paraId="1C297519">
      <w:pPr>
        <w:spacing w:line="220" w:lineRule="auto"/>
        <w:ind w:left="21"/>
        <w:rPr>
          <w:rFonts w:ascii="宋体" w:hAnsi="宋体" w:eastAsia="宋体" w:cs="宋体"/>
          <w:sz w:val="21"/>
          <w:szCs w:val="21"/>
        </w:rPr>
      </w:pPr>
      <w:r>
        <w:rPr>
          <w:rFonts w:ascii="宋体" w:hAnsi="宋体" w:eastAsia="宋体" w:cs="宋体"/>
          <w:spacing w:val="-1"/>
          <w:sz w:val="21"/>
          <w:szCs w:val="21"/>
        </w:rPr>
        <w:t>一致，不能达成一致的，由总监理工程师按照合同约定审慎做出公正的确定。</w:t>
      </w:r>
    </w:p>
    <w:p w14:paraId="4A16E400">
      <w:pPr>
        <w:spacing w:before="150" w:line="351" w:lineRule="auto"/>
        <w:ind w:left="17" w:right="171" w:firstLine="429"/>
        <w:rPr>
          <w:rFonts w:ascii="宋体" w:hAnsi="宋体" w:eastAsia="宋体" w:cs="宋体"/>
          <w:sz w:val="21"/>
          <w:szCs w:val="21"/>
        </w:rPr>
      </w:pPr>
      <w:r>
        <w:rPr>
          <w:rFonts w:ascii="宋体" w:hAnsi="宋体" w:eastAsia="宋体" w:cs="宋体"/>
          <w:spacing w:val="3"/>
          <w:sz w:val="21"/>
          <w:szCs w:val="21"/>
        </w:rPr>
        <w:t>总监理工程师应将确定以书面形式通知发包人和承包人，并附详细依据。合同</w:t>
      </w:r>
      <w:r>
        <w:rPr>
          <w:rFonts w:ascii="宋体" w:hAnsi="宋体" w:eastAsia="宋体" w:cs="宋体"/>
          <w:spacing w:val="2"/>
          <w:sz w:val="21"/>
          <w:szCs w:val="21"/>
        </w:rPr>
        <w:t>当事人</w:t>
      </w:r>
      <w:r>
        <w:rPr>
          <w:rFonts w:ascii="宋体" w:hAnsi="宋体" w:eastAsia="宋体" w:cs="宋体"/>
          <w:sz w:val="21"/>
          <w:szCs w:val="21"/>
        </w:rPr>
        <w:t xml:space="preserve"> </w:t>
      </w:r>
      <w:r>
        <w:rPr>
          <w:rFonts w:ascii="宋体" w:hAnsi="宋体" w:eastAsia="宋体" w:cs="宋体"/>
          <w:spacing w:val="3"/>
          <w:sz w:val="21"/>
          <w:szCs w:val="21"/>
        </w:rPr>
        <w:t>对总监理工程师的确定没有异议的，按照总监理工程师的确定执行。任何一方</w:t>
      </w:r>
      <w:r>
        <w:rPr>
          <w:rFonts w:ascii="宋体" w:hAnsi="宋体" w:eastAsia="宋体" w:cs="宋体"/>
          <w:spacing w:val="2"/>
          <w:sz w:val="21"/>
          <w:szCs w:val="21"/>
        </w:rPr>
        <w:t>合同当事人</w:t>
      </w:r>
      <w:r>
        <w:rPr>
          <w:rFonts w:ascii="宋体" w:hAnsi="宋体" w:eastAsia="宋体" w:cs="宋体"/>
          <w:sz w:val="21"/>
          <w:szCs w:val="21"/>
        </w:rPr>
        <w:t xml:space="preserve"> 有异议，按照第</w:t>
      </w:r>
      <w:r>
        <w:rPr>
          <w:rFonts w:ascii="宋体" w:hAnsi="宋体" w:eastAsia="宋体" w:cs="宋体"/>
          <w:spacing w:val="-33"/>
          <w:sz w:val="21"/>
          <w:szCs w:val="21"/>
        </w:rPr>
        <w:t xml:space="preserve"> </w:t>
      </w:r>
      <w:r>
        <w:rPr>
          <w:rFonts w:ascii="Times New Roman" w:hAnsi="Times New Roman" w:eastAsia="Times New Roman" w:cs="Times New Roman"/>
          <w:sz w:val="21"/>
          <w:szCs w:val="21"/>
        </w:rPr>
        <w:t xml:space="preserve">20 </w:t>
      </w:r>
      <w:r>
        <w:rPr>
          <w:rFonts w:ascii="宋体" w:hAnsi="宋体" w:eastAsia="宋体" w:cs="宋体"/>
          <w:sz w:val="21"/>
          <w:szCs w:val="21"/>
        </w:rPr>
        <w:t>条〔争议解决〕约定处理。争议解决前，合同当事人暂按总监</w:t>
      </w:r>
      <w:r>
        <w:rPr>
          <w:rFonts w:ascii="宋体" w:hAnsi="宋体" w:eastAsia="宋体" w:cs="宋体"/>
          <w:spacing w:val="-1"/>
          <w:sz w:val="21"/>
          <w:szCs w:val="21"/>
        </w:rPr>
        <w:t>理工程师</w:t>
      </w:r>
      <w:r>
        <w:rPr>
          <w:rFonts w:ascii="宋体" w:hAnsi="宋体" w:eastAsia="宋体" w:cs="宋体"/>
          <w:sz w:val="21"/>
          <w:szCs w:val="21"/>
        </w:rPr>
        <w:t xml:space="preserve"> 的确定执行； 争议解决后，争议解决的结果与总监理工程师的确定不一致的，按照争议解</w:t>
      </w:r>
    </w:p>
    <w:p w14:paraId="22A04908">
      <w:pPr>
        <w:spacing w:line="220" w:lineRule="auto"/>
        <w:ind w:left="24"/>
        <w:rPr>
          <w:rFonts w:ascii="宋体" w:hAnsi="宋体" w:eastAsia="宋体" w:cs="宋体"/>
          <w:sz w:val="21"/>
          <w:szCs w:val="21"/>
        </w:rPr>
      </w:pPr>
      <w:r>
        <w:rPr>
          <w:rFonts w:ascii="宋体" w:hAnsi="宋体" w:eastAsia="宋体" w:cs="宋体"/>
          <w:spacing w:val="-2"/>
          <w:sz w:val="21"/>
          <w:szCs w:val="21"/>
        </w:rPr>
        <w:t>决的结果执行，由此造成的损失由责任人承担。</w:t>
      </w:r>
    </w:p>
    <w:p w14:paraId="427AB9CE">
      <w:pPr>
        <w:spacing w:before="178" w:line="526" w:lineRule="exact"/>
        <w:ind w:left="15"/>
        <w:rPr>
          <w:rFonts w:ascii="黑体" w:hAnsi="黑体" w:eastAsia="黑体" w:cs="黑体"/>
          <w:sz w:val="32"/>
          <w:szCs w:val="32"/>
        </w:rPr>
      </w:pPr>
      <w:r>
        <w:rPr>
          <w:rFonts w:ascii="黑体" w:hAnsi="黑体" w:eastAsia="黑体" w:cs="黑体"/>
          <w:position w:val="15"/>
          <w:sz w:val="32"/>
          <w:szCs w:val="32"/>
        </w:rPr>
        <w:t>5.工程质量</w:t>
      </w:r>
    </w:p>
    <w:p w14:paraId="19675480">
      <w:pPr>
        <w:spacing w:before="1" w:line="219" w:lineRule="auto"/>
        <w:ind w:left="13"/>
        <w:rPr>
          <w:rFonts w:ascii="黑体" w:hAnsi="黑体" w:eastAsia="黑体" w:cs="黑体"/>
          <w:sz w:val="24"/>
          <w:szCs w:val="24"/>
        </w:rPr>
      </w:pPr>
      <w:r>
        <w:rPr>
          <w:rFonts w:ascii="黑体" w:hAnsi="黑体" w:eastAsia="黑体" w:cs="黑体"/>
          <w:spacing w:val="-2"/>
          <w:sz w:val="24"/>
          <w:szCs w:val="24"/>
        </w:rPr>
        <w:t>5.1</w:t>
      </w:r>
      <w:r>
        <w:rPr>
          <w:rFonts w:ascii="黑体" w:hAnsi="黑体" w:eastAsia="黑体" w:cs="黑体"/>
          <w:spacing w:val="-50"/>
          <w:sz w:val="24"/>
          <w:szCs w:val="24"/>
        </w:rPr>
        <w:t xml:space="preserve"> </w:t>
      </w:r>
      <w:r>
        <w:rPr>
          <w:rFonts w:ascii="黑体" w:hAnsi="黑体" w:eastAsia="黑体" w:cs="黑体"/>
          <w:spacing w:val="-2"/>
          <w:sz w:val="24"/>
          <w:szCs w:val="24"/>
        </w:rPr>
        <w:t>质量要求</w:t>
      </w:r>
    </w:p>
    <w:p w14:paraId="3FD733C4">
      <w:pPr>
        <w:spacing w:before="128" w:line="399" w:lineRule="exact"/>
        <w:ind w:left="443"/>
        <w:rPr>
          <w:rFonts w:ascii="宋体" w:hAnsi="宋体" w:eastAsia="宋体" w:cs="宋体"/>
          <w:sz w:val="21"/>
          <w:szCs w:val="21"/>
        </w:rPr>
      </w:pPr>
      <w:r>
        <w:rPr>
          <w:rFonts w:ascii="Times New Roman" w:hAnsi="Times New Roman" w:eastAsia="Times New Roman" w:cs="Times New Roman"/>
          <w:spacing w:val="1"/>
          <w:position w:val="14"/>
          <w:sz w:val="21"/>
          <w:szCs w:val="21"/>
        </w:rPr>
        <w:t>5.1.1</w:t>
      </w:r>
      <w:r>
        <w:rPr>
          <w:rFonts w:ascii="Times New Roman" w:hAnsi="Times New Roman" w:eastAsia="Times New Roman" w:cs="Times New Roman"/>
          <w:spacing w:val="35"/>
          <w:w w:val="101"/>
          <w:position w:val="14"/>
          <w:sz w:val="21"/>
          <w:szCs w:val="21"/>
        </w:rPr>
        <w:t xml:space="preserve"> </w:t>
      </w:r>
      <w:r>
        <w:rPr>
          <w:rFonts w:ascii="宋体" w:hAnsi="宋体" w:eastAsia="宋体" w:cs="宋体"/>
          <w:spacing w:val="1"/>
          <w:position w:val="14"/>
          <w:sz w:val="21"/>
          <w:szCs w:val="21"/>
        </w:rPr>
        <w:t>工程质量标准必须符合现行国家有关工</w:t>
      </w:r>
      <w:r>
        <w:rPr>
          <w:rFonts w:ascii="宋体" w:hAnsi="宋体" w:eastAsia="宋体" w:cs="宋体"/>
          <w:position w:val="14"/>
          <w:sz w:val="21"/>
          <w:szCs w:val="21"/>
        </w:rPr>
        <w:t>程施工质量验收规范和标准的要求。有关</w:t>
      </w:r>
    </w:p>
    <w:p w14:paraId="4569CB92">
      <w:pPr>
        <w:spacing w:line="220" w:lineRule="auto"/>
        <w:ind w:left="20"/>
        <w:rPr>
          <w:rFonts w:ascii="宋体" w:hAnsi="宋体" w:eastAsia="宋体" w:cs="宋体"/>
          <w:sz w:val="21"/>
          <w:szCs w:val="21"/>
        </w:rPr>
      </w:pPr>
      <w:r>
        <w:rPr>
          <w:rFonts w:ascii="宋体" w:hAnsi="宋体" w:eastAsia="宋体" w:cs="宋体"/>
          <w:sz w:val="21"/>
          <w:szCs w:val="21"/>
        </w:rPr>
        <w:t>工程质量的特殊标准或要求由合同当事人在专用</w:t>
      </w:r>
      <w:r>
        <w:rPr>
          <w:rFonts w:ascii="宋体" w:hAnsi="宋体" w:eastAsia="宋体" w:cs="宋体"/>
          <w:spacing w:val="-1"/>
          <w:sz w:val="21"/>
          <w:szCs w:val="21"/>
        </w:rPr>
        <w:t>合同条款中约定。</w:t>
      </w:r>
    </w:p>
    <w:p w14:paraId="0E2D04D9">
      <w:pPr>
        <w:spacing w:before="153" w:line="221" w:lineRule="auto"/>
        <w:ind w:left="443"/>
        <w:rPr>
          <w:rFonts w:ascii="宋体" w:hAnsi="宋体" w:eastAsia="宋体" w:cs="宋体"/>
          <w:sz w:val="21"/>
          <w:szCs w:val="21"/>
        </w:rPr>
      </w:pPr>
      <w:r>
        <w:rPr>
          <w:rFonts w:ascii="Times New Roman" w:hAnsi="Times New Roman" w:eastAsia="Times New Roman" w:cs="Times New Roman"/>
          <w:sz w:val="21"/>
          <w:szCs w:val="21"/>
        </w:rPr>
        <w:t>5.1.2</w:t>
      </w:r>
      <w:r>
        <w:rPr>
          <w:rFonts w:ascii="Times New Roman" w:hAnsi="Times New Roman" w:eastAsia="Times New Roman" w:cs="Times New Roman"/>
          <w:spacing w:val="57"/>
          <w:w w:val="101"/>
          <w:sz w:val="21"/>
          <w:szCs w:val="21"/>
        </w:rPr>
        <w:t xml:space="preserve"> </w:t>
      </w:r>
      <w:r>
        <w:rPr>
          <w:rFonts w:ascii="宋体" w:hAnsi="宋体" w:eastAsia="宋体" w:cs="宋体"/>
          <w:sz w:val="21"/>
          <w:szCs w:val="21"/>
        </w:rPr>
        <w:t>因发包人原因造成工程质量未达到合同约定标准的，由发包人承担由此增加的费</w:t>
      </w:r>
    </w:p>
    <w:p w14:paraId="43D24773">
      <w:pPr>
        <w:spacing w:line="221" w:lineRule="auto"/>
        <w:rPr>
          <w:rFonts w:ascii="宋体" w:hAnsi="宋体" w:eastAsia="宋体" w:cs="宋体"/>
          <w:sz w:val="21"/>
          <w:szCs w:val="21"/>
        </w:rPr>
        <w:sectPr>
          <w:footerReference r:id="rId101" w:type="default"/>
          <w:pgSz w:w="11905" w:h="16839"/>
          <w:pgMar w:top="1431" w:right="1617" w:bottom="1004" w:left="1785" w:header="0" w:footer="828" w:gutter="0"/>
          <w:pgNumType w:fmt="decimal"/>
          <w:cols w:space="720" w:num="1"/>
        </w:sectPr>
      </w:pPr>
    </w:p>
    <w:p w14:paraId="673C0986">
      <w:pPr>
        <w:spacing w:before="148" w:line="221" w:lineRule="auto"/>
        <w:ind w:left="20"/>
        <w:rPr>
          <w:rFonts w:ascii="宋体" w:hAnsi="宋体" w:eastAsia="宋体" w:cs="宋体"/>
          <w:sz w:val="21"/>
          <w:szCs w:val="21"/>
        </w:rPr>
      </w:pPr>
      <w:r>
        <w:rPr>
          <w:rFonts w:ascii="宋体" w:hAnsi="宋体" w:eastAsia="宋体" w:cs="宋体"/>
          <w:spacing w:val="-6"/>
          <w:sz w:val="21"/>
          <w:szCs w:val="21"/>
        </w:rPr>
        <w:t>用和（或） 延误的工期，并支付承包人合理的利润。</w:t>
      </w:r>
    </w:p>
    <w:p w14:paraId="670F6CE7">
      <w:pPr>
        <w:spacing w:before="147" w:line="403" w:lineRule="exact"/>
        <w:ind w:right="8"/>
        <w:jc w:val="right"/>
        <w:rPr>
          <w:rFonts w:ascii="宋体" w:hAnsi="宋体" w:eastAsia="宋体" w:cs="宋体"/>
          <w:sz w:val="21"/>
          <w:szCs w:val="21"/>
        </w:rPr>
      </w:pPr>
      <w:r>
        <w:rPr>
          <w:rFonts w:ascii="Times New Roman" w:hAnsi="Times New Roman" w:eastAsia="Times New Roman" w:cs="Times New Roman"/>
          <w:position w:val="14"/>
          <w:sz w:val="21"/>
          <w:szCs w:val="21"/>
        </w:rPr>
        <w:t>5.1.3</w:t>
      </w:r>
      <w:r>
        <w:rPr>
          <w:rFonts w:ascii="Times New Roman" w:hAnsi="Times New Roman" w:eastAsia="Times New Roman" w:cs="Times New Roman"/>
          <w:spacing w:val="57"/>
          <w:w w:val="101"/>
          <w:position w:val="14"/>
          <w:sz w:val="21"/>
          <w:szCs w:val="21"/>
        </w:rPr>
        <w:t xml:space="preserve"> </w:t>
      </w:r>
      <w:r>
        <w:rPr>
          <w:rFonts w:ascii="宋体" w:hAnsi="宋体" w:eastAsia="宋体" w:cs="宋体"/>
          <w:position w:val="14"/>
          <w:sz w:val="21"/>
          <w:szCs w:val="21"/>
        </w:rPr>
        <w:t>因承包人原因造成工程质量未达到合同约定标准的，发包人有权要求承包人返工</w:t>
      </w:r>
    </w:p>
    <w:p w14:paraId="0A8656E3">
      <w:pPr>
        <w:spacing w:line="220" w:lineRule="auto"/>
        <w:ind w:left="20"/>
        <w:rPr>
          <w:rFonts w:ascii="宋体" w:hAnsi="宋体" w:eastAsia="宋体" w:cs="宋体"/>
          <w:sz w:val="21"/>
          <w:szCs w:val="21"/>
        </w:rPr>
      </w:pPr>
      <w:r>
        <w:rPr>
          <w:rFonts w:ascii="宋体" w:hAnsi="宋体" w:eastAsia="宋体" w:cs="宋体"/>
          <w:spacing w:val="-2"/>
          <w:sz w:val="21"/>
          <w:szCs w:val="21"/>
        </w:rPr>
        <w:t>直至工程质量达到合同约定的标准为止， 并由承包</w:t>
      </w:r>
      <w:r>
        <w:rPr>
          <w:rFonts w:ascii="宋体" w:hAnsi="宋体" w:eastAsia="宋体" w:cs="宋体"/>
          <w:spacing w:val="-3"/>
          <w:sz w:val="21"/>
          <w:szCs w:val="21"/>
        </w:rPr>
        <w:t>人承担由此增加的费用和（或） 延误的</w:t>
      </w:r>
    </w:p>
    <w:p w14:paraId="60D88D83">
      <w:pPr>
        <w:spacing w:before="148" w:line="221" w:lineRule="auto"/>
        <w:ind w:left="20"/>
        <w:rPr>
          <w:rFonts w:ascii="宋体" w:hAnsi="宋体" w:eastAsia="宋体" w:cs="宋体"/>
          <w:sz w:val="21"/>
          <w:szCs w:val="21"/>
        </w:rPr>
      </w:pPr>
      <w:r>
        <w:rPr>
          <w:rFonts w:ascii="宋体" w:hAnsi="宋体" w:eastAsia="宋体" w:cs="宋体"/>
          <w:spacing w:val="-9"/>
          <w:sz w:val="21"/>
          <w:szCs w:val="21"/>
        </w:rPr>
        <w:t>工期。</w:t>
      </w:r>
    </w:p>
    <w:p w14:paraId="67136DB1">
      <w:pPr>
        <w:spacing w:before="45" w:line="220" w:lineRule="auto"/>
        <w:ind w:left="13"/>
        <w:rPr>
          <w:rFonts w:ascii="黑体" w:hAnsi="黑体" w:eastAsia="黑体" w:cs="黑体"/>
          <w:sz w:val="24"/>
          <w:szCs w:val="24"/>
        </w:rPr>
      </w:pPr>
      <w:r>
        <w:rPr>
          <w:rFonts w:ascii="黑体" w:hAnsi="黑体" w:eastAsia="黑体" w:cs="黑体"/>
          <w:spacing w:val="-2"/>
          <w:sz w:val="24"/>
          <w:szCs w:val="24"/>
        </w:rPr>
        <w:t>5.2</w:t>
      </w:r>
      <w:r>
        <w:rPr>
          <w:rFonts w:ascii="黑体" w:hAnsi="黑体" w:eastAsia="黑体" w:cs="黑体"/>
          <w:spacing w:val="-47"/>
          <w:sz w:val="24"/>
          <w:szCs w:val="24"/>
        </w:rPr>
        <w:t xml:space="preserve"> </w:t>
      </w:r>
      <w:r>
        <w:rPr>
          <w:rFonts w:ascii="黑体" w:hAnsi="黑体" w:eastAsia="黑体" w:cs="黑体"/>
          <w:spacing w:val="-2"/>
          <w:sz w:val="24"/>
          <w:szCs w:val="24"/>
        </w:rPr>
        <w:t>质量保证措施</w:t>
      </w:r>
    </w:p>
    <w:p w14:paraId="399A0398">
      <w:pPr>
        <w:spacing w:before="127" w:line="221" w:lineRule="auto"/>
        <w:ind w:left="443"/>
        <w:rPr>
          <w:rFonts w:ascii="宋体" w:hAnsi="宋体" w:eastAsia="宋体" w:cs="宋体"/>
          <w:sz w:val="21"/>
          <w:szCs w:val="21"/>
        </w:rPr>
      </w:pPr>
      <w:r>
        <w:rPr>
          <w:rFonts w:ascii="Times New Roman" w:hAnsi="Times New Roman" w:eastAsia="Times New Roman" w:cs="Times New Roman"/>
          <w:spacing w:val="-1"/>
          <w:sz w:val="21"/>
          <w:szCs w:val="21"/>
        </w:rPr>
        <w:t xml:space="preserve">5.2.1 </w:t>
      </w:r>
      <w:r>
        <w:rPr>
          <w:rFonts w:ascii="宋体" w:hAnsi="宋体" w:eastAsia="宋体" w:cs="宋体"/>
          <w:spacing w:val="-1"/>
          <w:sz w:val="21"/>
          <w:szCs w:val="21"/>
        </w:rPr>
        <w:t>发包人的质量管理</w:t>
      </w:r>
    </w:p>
    <w:p w14:paraId="52EEC963">
      <w:pPr>
        <w:spacing w:before="152" w:line="221" w:lineRule="auto"/>
        <w:ind w:left="444"/>
        <w:rPr>
          <w:rFonts w:ascii="宋体" w:hAnsi="宋体" w:eastAsia="宋体" w:cs="宋体"/>
          <w:sz w:val="21"/>
          <w:szCs w:val="21"/>
        </w:rPr>
      </w:pPr>
      <w:r>
        <w:rPr>
          <w:rFonts w:ascii="宋体" w:hAnsi="宋体" w:eastAsia="宋体" w:cs="宋体"/>
          <w:spacing w:val="-1"/>
          <w:sz w:val="21"/>
          <w:szCs w:val="21"/>
        </w:rPr>
        <w:t>发包人应按照法律规定及合同约定完成与工程质量有关的各项工作。</w:t>
      </w:r>
    </w:p>
    <w:p w14:paraId="70915E6F">
      <w:pPr>
        <w:spacing w:before="148" w:line="221" w:lineRule="auto"/>
        <w:ind w:left="443"/>
        <w:rPr>
          <w:rFonts w:ascii="宋体" w:hAnsi="宋体" w:eastAsia="宋体" w:cs="宋体"/>
          <w:sz w:val="21"/>
          <w:szCs w:val="21"/>
        </w:rPr>
      </w:pPr>
      <w:r>
        <w:rPr>
          <w:rFonts w:ascii="Times New Roman" w:hAnsi="Times New Roman" w:eastAsia="Times New Roman" w:cs="Times New Roman"/>
          <w:spacing w:val="-1"/>
          <w:sz w:val="21"/>
          <w:szCs w:val="21"/>
        </w:rPr>
        <w:t xml:space="preserve">5.2.2 </w:t>
      </w:r>
      <w:r>
        <w:rPr>
          <w:rFonts w:ascii="宋体" w:hAnsi="宋体" w:eastAsia="宋体" w:cs="宋体"/>
          <w:spacing w:val="-1"/>
          <w:sz w:val="21"/>
          <w:szCs w:val="21"/>
        </w:rPr>
        <w:t>承包人的质量管理</w:t>
      </w:r>
    </w:p>
    <w:p w14:paraId="6DCAAD92">
      <w:pPr>
        <w:spacing w:before="148" w:line="352" w:lineRule="auto"/>
        <w:ind w:left="18" w:right="2" w:firstLine="422"/>
        <w:rPr>
          <w:rFonts w:ascii="宋体" w:hAnsi="宋体" w:eastAsia="宋体" w:cs="宋体"/>
          <w:sz w:val="21"/>
          <w:szCs w:val="21"/>
        </w:rPr>
      </w:pPr>
      <w:r>
        <w:rPr>
          <w:rFonts w:ascii="宋体" w:hAnsi="宋体" w:eastAsia="宋体" w:cs="宋体"/>
          <w:sz w:val="21"/>
          <w:szCs w:val="21"/>
        </w:rPr>
        <w:t>承包人按照第</w:t>
      </w:r>
      <w:r>
        <w:rPr>
          <w:rFonts w:ascii="宋体" w:hAnsi="宋体" w:eastAsia="宋体" w:cs="宋体"/>
          <w:spacing w:val="-58"/>
          <w:sz w:val="21"/>
          <w:szCs w:val="21"/>
        </w:rPr>
        <w:t xml:space="preserve"> </w:t>
      </w:r>
      <w:r>
        <w:rPr>
          <w:rFonts w:ascii="Times New Roman" w:hAnsi="Times New Roman" w:eastAsia="Times New Roman" w:cs="Times New Roman"/>
          <w:sz w:val="21"/>
          <w:szCs w:val="21"/>
        </w:rPr>
        <w:t>7.1</w:t>
      </w:r>
      <w:r>
        <w:rPr>
          <w:rFonts w:ascii="Times New Roman" w:hAnsi="Times New Roman" w:eastAsia="Times New Roman" w:cs="Times New Roman"/>
          <w:spacing w:val="-15"/>
          <w:sz w:val="21"/>
          <w:szCs w:val="21"/>
        </w:rPr>
        <w:t xml:space="preserve"> </w:t>
      </w:r>
      <w:r>
        <w:rPr>
          <w:rFonts w:ascii="宋体" w:hAnsi="宋体" w:eastAsia="宋体" w:cs="宋体"/>
          <w:sz w:val="21"/>
          <w:szCs w:val="21"/>
        </w:rPr>
        <w:t>款〔施工组织设计〕约</w:t>
      </w:r>
      <w:r>
        <w:rPr>
          <w:rFonts w:ascii="宋体" w:hAnsi="宋体" w:eastAsia="宋体" w:cs="宋体"/>
          <w:spacing w:val="-1"/>
          <w:sz w:val="21"/>
          <w:szCs w:val="21"/>
        </w:rPr>
        <w:t>定向发包人和监理人提交工程质量保证体系及</w:t>
      </w:r>
      <w:r>
        <w:rPr>
          <w:rFonts w:ascii="宋体" w:hAnsi="宋体" w:eastAsia="宋体" w:cs="宋体"/>
          <w:sz w:val="21"/>
          <w:szCs w:val="21"/>
        </w:rPr>
        <w:t xml:space="preserve"> </w:t>
      </w:r>
      <w:r>
        <w:rPr>
          <w:rFonts w:ascii="宋体" w:hAnsi="宋体" w:eastAsia="宋体" w:cs="宋体"/>
          <w:spacing w:val="3"/>
          <w:sz w:val="21"/>
          <w:szCs w:val="21"/>
        </w:rPr>
        <w:t>措施文件，建立完善的质量检查制度，并提交相应的工程质量文件。对于发</w:t>
      </w:r>
      <w:r>
        <w:rPr>
          <w:rFonts w:ascii="宋体" w:hAnsi="宋体" w:eastAsia="宋体" w:cs="宋体"/>
          <w:spacing w:val="2"/>
          <w:sz w:val="21"/>
          <w:szCs w:val="21"/>
        </w:rPr>
        <w:t>包人和监理人</w:t>
      </w:r>
    </w:p>
    <w:p w14:paraId="44506252">
      <w:pPr>
        <w:spacing w:line="220" w:lineRule="auto"/>
        <w:ind w:left="18"/>
        <w:rPr>
          <w:rFonts w:ascii="宋体" w:hAnsi="宋体" w:eastAsia="宋体" w:cs="宋体"/>
          <w:sz w:val="21"/>
          <w:szCs w:val="21"/>
        </w:rPr>
      </w:pPr>
      <w:r>
        <w:rPr>
          <w:rFonts w:ascii="宋体" w:hAnsi="宋体" w:eastAsia="宋体" w:cs="宋体"/>
          <w:spacing w:val="-5"/>
          <w:sz w:val="21"/>
          <w:szCs w:val="21"/>
        </w:rPr>
        <w:t>违反法律规定和合同约定的错误指示， 承包人有权拒绝实施。</w:t>
      </w:r>
    </w:p>
    <w:p w14:paraId="3620B0CA">
      <w:pPr>
        <w:spacing w:before="148" w:line="404" w:lineRule="exact"/>
        <w:ind w:right="6"/>
        <w:jc w:val="right"/>
        <w:rPr>
          <w:rFonts w:ascii="宋体" w:hAnsi="宋体" w:eastAsia="宋体" w:cs="宋体"/>
          <w:sz w:val="21"/>
          <w:szCs w:val="21"/>
        </w:rPr>
      </w:pPr>
      <w:r>
        <w:rPr>
          <w:rFonts w:ascii="宋体" w:hAnsi="宋体" w:eastAsia="宋体" w:cs="宋体"/>
          <w:spacing w:val="-2"/>
          <w:position w:val="14"/>
          <w:sz w:val="21"/>
          <w:szCs w:val="21"/>
        </w:rPr>
        <w:t>承包人应对施工人员进行质量教育和技术培训，</w:t>
      </w:r>
      <w:r>
        <w:rPr>
          <w:rFonts w:ascii="宋体" w:hAnsi="宋体" w:eastAsia="宋体" w:cs="宋体"/>
          <w:spacing w:val="-3"/>
          <w:position w:val="14"/>
          <w:sz w:val="21"/>
          <w:szCs w:val="21"/>
        </w:rPr>
        <w:t xml:space="preserve"> 定期考核施工人员的劳动技能， 严格</w:t>
      </w:r>
    </w:p>
    <w:p w14:paraId="4B3ACEDC">
      <w:pPr>
        <w:spacing w:line="220" w:lineRule="auto"/>
        <w:ind w:left="18"/>
        <w:rPr>
          <w:rFonts w:ascii="宋体" w:hAnsi="宋体" w:eastAsia="宋体" w:cs="宋体"/>
          <w:sz w:val="21"/>
          <w:szCs w:val="21"/>
        </w:rPr>
      </w:pPr>
      <w:r>
        <w:rPr>
          <w:rFonts w:ascii="宋体" w:hAnsi="宋体" w:eastAsia="宋体" w:cs="宋体"/>
          <w:spacing w:val="-2"/>
          <w:sz w:val="21"/>
          <w:szCs w:val="21"/>
        </w:rPr>
        <w:t>执行施工规范和操作规程。</w:t>
      </w:r>
    </w:p>
    <w:p w14:paraId="47ABE2D6">
      <w:pPr>
        <w:spacing w:before="147" w:line="352" w:lineRule="auto"/>
        <w:ind w:left="17" w:right="6" w:firstLine="423"/>
        <w:rPr>
          <w:rFonts w:ascii="宋体" w:hAnsi="宋体" w:eastAsia="宋体" w:cs="宋体"/>
          <w:sz w:val="21"/>
          <w:szCs w:val="21"/>
        </w:rPr>
      </w:pPr>
      <w:r>
        <w:rPr>
          <w:rFonts w:ascii="宋体" w:hAnsi="宋体" w:eastAsia="宋体" w:cs="宋体"/>
          <w:sz w:val="21"/>
          <w:szCs w:val="21"/>
        </w:rPr>
        <w:t>承包人应按照法律规定和发包人的要求， 对材料、工程设备以及工程的所有部位及其</w:t>
      </w:r>
      <w:r>
        <w:rPr>
          <w:rFonts w:ascii="宋体" w:hAnsi="宋体" w:eastAsia="宋体" w:cs="宋体"/>
          <w:spacing w:val="9"/>
          <w:sz w:val="21"/>
          <w:szCs w:val="21"/>
        </w:rPr>
        <w:t xml:space="preserve"> </w:t>
      </w:r>
      <w:r>
        <w:rPr>
          <w:rFonts w:ascii="宋体" w:hAnsi="宋体" w:eastAsia="宋体" w:cs="宋体"/>
          <w:sz w:val="21"/>
          <w:szCs w:val="21"/>
        </w:rPr>
        <w:t>施工工艺进行全过程的质量检查和检验， 并作详细记录，编制工程质量报表，报送监理人</w:t>
      </w:r>
      <w:r>
        <w:rPr>
          <w:rFonts w:ascii="宋体" w:hAnsi="宋体" w:eastAsia="宋体" w:cs="宋体"/>
          <w:spacing w:val="7"/>
          <w:sz w:val="21"/>
          <w:szCs w:val="21"/>
        </w:rPr>
        <w:t xml:space="preserve"> </w:t>
      </w:r>
      <w:r>
        <w:rPr>
          <w:rFonts w:ascii="宋体" w:hAnsi="宋体" w:eastAsia="宋体" w:cs="宋体"/>
          <w:spacing w:val="-1"/>
          <w:sz w:val="21"/>
          <w:szCs w:val="21"/>
        </w:rPr>
        <w:t>审查。此外，</w:t>
      </w:r>
      <w:r>
        <w:rPr>
          <w:rFonts w:ascii="宋体" w:hAnsi="宋体" w:eastAsia="宋体" w:cs="宋体"/>
          <w:spacing w:val="60"/>
          <w:sz w:val="21"/>
          <w:szCs w:val="21"/>
        </w:rPr>
        <w:t xml:space="preserve"> </w:t>
      </w:r>
      <w:r>
        <w:rPr>
          <w:rFonts w:ascii="宋体" w:hAnsi="宋体" w:eastAsia="宋体" w:cs="宋体"/>
          <w:spacing w:val="-1"/>
          <w:sz w:val="21"/>
          <w:szCs w:val="21"/>
        </w:rPr>
        <w:t>承包人还应按照法律规定和发包人的要求，</w:t>
      </w:r>
      <w:r>
        <w:rPr>
          <w:rFonts w:ascii="宋体" w:hAnsi="宋体" w:eastAsia="宋体" w:cs="宋体"/>
          <w:spacing w:val="-2"/>
          <w:sz w:val="21"/>
          <w:szCs w:val="21"/>
        </w:rPr>
        <w:t>进行施工现场取样试验、工程复</w:t>
      </w:r>
    </w:p>
    <w:p w14:paraId="01C19C4C">
      <w:pPr>
        <w:spacing w:line="219" w:lineRule="auto"/>
        <w:ind w:left="20"/>
        <w:rPr>
          <w:rFonts w:ascii="宋体" w:hAnsi="宋体" w:eastAsia="宋体" w:cs="宋体"/>
          <w:sz w:val="21"/>
          <w:szCs w:val="21"/>
        </w:rPr>
      </w:pPr>
      <w:r>
        <w:rPr>
          <w:rFonts w:ascii="宋体" w:hAnsi="宋体" w:eastAsia="宋体" w:cs="宋体"/>
          <w:spacing w:val="-1"/>
          <w:sz w:val="21"/>
          <w:szCs w:val="21"/>
        </w:rPr>
        <w:t>核测量和设备性能检测，提供试验样品、提交试验报告和测量成果以及其他工作。</w:t>
      </w:r>
    </w:p>
    <w:p w14:paraId="0C5CF789">
      <w:pPr>
        <w:spacing w:before="149" w:line="221" w:lineRule="auto"/>
        <w:ind w:left="443"/>
        <w:rPr>
          <w:rFonts w:ascii="宋体" w:hAnsi="宋体" w:eastAsia="宋体" w:cs="宋体"/>
          <w:sz w:val="21"/>
          <w:szCs w:val="21"/>
        </w:rPr>
      </w:pPr>
      <w:r>
        <w:rPr>
          <w:rFonts w:ascii="Times New Roman" w:hAnsi="Times New Roman" w:eastAsia="Times New Roman" w:cs="Times New Roman"/>
          <w:spacing w:val="-1"/>
          <w:sz w:val="21"/>
          <w:szCs w:val="21"/>
        </w:rPr>
        <w:t xml:space="preserve">5.2.3 </w:t>
      </w:r>
      <w:r>
        <w:rPr>
          <w:rFonts w:ascii="宋体" w:hAnsi="宋体" w:eastAsia="宋体" w:cs="宋体"/>
          <w:spacing w:val="-1"/>
          <w:sz w:val="21"/>
          <w:szCs w:val="21"/>
        </w:rPr>
        <w:t>监理人的质量检查和检验</w:t>
      </w:r>
    </w:p>
    <w:p w14:paraId="54D1B834">
      <w:pPr>
        <w:spacing w:before="151" w:line="352" w:lineRule="auto"/>
        <w:ind w:left="16" w:right="6" w:firstLine="425"/>
        <w:rPr>
          <w:rFonts w:ascii="宋体" w:hAnsi="宋体" w:eastAsia="宋体" w:cs="宋体"/>
          <w:sz w:val="21"/>
          <w:szCs w:val="21"/>
        </w:rPr>
      </w:pPr>
      <w:r>
        <w:rPr>
          <w:rFonts w:ascii="宋体" w:hAnsi="宋体" w:eastAsia="宋体" w:cs="宋体"/>
          <w:spacing w:val="3"/>
          <w:sz w:val="21"/>
          <w:szCs w:val="21"/>
        </w:rPr>
        <w:t>监理人按照法律规定和发包人授权对工程的所有部位及其施工工艺、材料和工程设备</w:t>
      </w:r>
      <w:r>
        <w:rPr>
          <w:rFonts w:ascii="宋体" w:hAnsi="宋体" w:eastAsia="宋体" w:cs="宋体"/>
          <w:spacing w:val="2"/>
          <w:sz w:val="21"/>
          <w:szCs w:val="21"/>
        </w:rPr>
        <w:t xml:space="preserve"> </w:t>
      </w:r>
      <w:r>
        <w:rPr>
          <w:rFonts w:ascii="宋体" w:hAnsi="宋体" w:eastAsia="宋体" w:cs="宋体"/>
          <w:sz w:val="21"/>
          <w:szCs w:val="21"/>
        </w:rPr>
        <w:t>进行检查和检验。承包人应为监理人的检查和检验提供方便，包括监理人到施工现场， 或</w:t>
      </w:r>
      <w:r>
        <w:rPr>
          <w:rFonts w:ascii="宋体" w:hAnsi="宋体" w:eastAsia="宋体" w:cs="宋体"/>
          <w:spacing w:val="8"/>
          <w:sz w:val="21"/>
          <w:szCs w:val="21"/>
        </w:rPr>
        <w:t xml:space="preserve"> </w:t>
      </w:r>
      <w:r>
        <w:rPr>
          <w:rFonts w:ascii="宋体" w:hAnsi="宋体" w:eastAsia="宋体" w:cs="宋体"/>
          <w:sz w:val="21"/>
          <w:szCs w:val="21"/>
        </w:rPr>
        <w:t>制造、加工地点， 或合同约定的其他地方进行察看和查阅施工原始记录。监理人为此进行</w:t>
      </w:r>
    </w:p>
    <w:p w14:paraId="175B35CA">
      <w:pPr>
        <w:spacing w:before="1" w:line="220" w:lineRule="auto"/>
        <w:ind w:left="35"/>
        <w:rPr>
          <w:rFonts w:ascii="宋体" w:hAnsi="宋体" w:eastAsia="宋体" w:cs="宋体"/>
          <w:sz w:val="21"/>
          <w:szCs w:val="21"/>
        </w:rPr>
      </w:pPr>
      <w:r>
        <w:rPr>
          <w:rFonts w:ascii="宋体" w:hAnsi="宋体" w:eastAsia="宋体" w:cs="宋体"/>
          <w:spacing w:val="-1"/>
          <w:sz w:val="21"/>
          <w:szCs w:val="21"/>
        </w:rPr>
        <w:t>的检查和检验，不免除或减轻承包人按照合同约</w:t>
      </w:r>
      <w:r>
        <w:rPr>
          <w:rFonts w:ascii="宋体" w:hAnsi="宋体" w:eastAsia="宋体" w:cs="宋体"/>
          <w:spacing w:val="-2"/>
          <w:sz w:val="21"/>
          <w:szCs w:val="21"/>
        </w:rPr>
        <w:t>定应当承担的责任。</w:t>
      </w:r>
    </w:p>
    <w:p w14:paraId="3C321567">
      <w:pPr>
        <w:spacing w:before="148" w:line="398" w:lineRule="exact"/>
        <w:ind w:right="6"/>
        <w:jc w:val="right"/>
        <w:rPr>
          <w:rFonts w:ascii="宋体" w:hAnsi="宋体" w:eastAsia="宋体" w:cs="宋体"/>
          <w:sz w:val="21"/>
          <w:szCs w:val="21"/>
        </w:rPr>
      </w:pPr>
      <w:r>
        <w:rPr>
          <w:rFonts w:ascii="宋体" w:hAnsi="宋体" w:eastAsia="宋体" w:cs="宋体"/>
          <w:spacing w:val="3"/>
          <w:position w:val="14"/>
          <w:sz w:val="21"/>
          <w:szCs w:val="21"/>
        </w:rPr>
        <w:t>监理人的检查和检验不应影响施工正常进行。监理人的检查和检验影响施工正常进行</w:t>
      </w:r>
    </w:p>
    <w:p w14:paraId="07AFF592">
      <w:pPr>
        <w:spacing w:before="1" w:line="220" w:lineRule="auto"/>
        <w:ind w:left="35"/>
        <w:rPr>
          <w:rFonts w:ascii="宋体" w:hAnsi="宋体" w:eastAsia="宋体" w:cs="宋体"/>
          <w:sz w:val="21"/>
          <w:szCs w:val="21"/>
        </w:rPr>
      </w:pPr>
      <w:r>
        <w:rPr>
          <w:rFonts w:ascii="宋体" w:hAnsi="宋体" w:eastAsia="宋体" w:cs="宋体"/>
          <w:spacing w:val="-5"/>
          <w:sz w:val="21"/>
          <w:szCs w:val="21"/>
        </w:rPr>
        <w:t xml:space="preserve">的，且经检查检验不合格的， 影响正常施工的费用由承包人承担， </w:t>
      </w:r>
      <w:r>
        <w:rPr>
          <w:rFonts w:ascii="宋体" w:hAnsi="宋体" w:eastAsia="宋体" w:cs="宋体"/>
          <w:spacing w:val="-6"/>
          <w:sz w:val="21"/>
          <w:szCs w:val="21"/>
        </w:rPr>
        <w:t>工期不予顺延； 经检查</w:t>
      </w:r>
    </w:p>
    <w:p w14:paraId="4FB08B3C">
      <w:pPr>
        <w:spacing w:before="151" w:line="221" w:lineRule="auto"/>
        <w:ind w:left="18"/>
        <w:rPr>
          <w:rFonts w:ascii="宋体" w:hAnsi="宋体" w:eastAsia="宋体" w:cs="宋体"/>
          <w:sz w:val="21"/>
          <w:szCs w:val="21"/>
        </w:rPr>
      </w:pPr>
      <w:r>
        <w:rPr>
          <w:rFonts w:ascii="宋体" w:hAnsi="宋体" w:eastAsia="宋体" w:cs="宋体"/>
          <w:spacing w:val="-4"/>
          <w:sz w:val="21"/>
          <w:szCs w:val="21"/>
        </w:rPr>
        <w:t>检验合格的，由此增加的费用和（或） 延误的工期由发包人承担。</w:t>
      </w:r>
    </w:p>
    <w:p w14:paraId="55B155C3">
      <w:pPr>
        <w:spacing w:before="47" w:line="219" w:lineRule="auto"/>
        <w:ind w:left="13"/>
        <w:rPr>
          <w:rFonts w:ascii="黑体" w:hAnsi="黑体" w:eastAsia="黑体" w:cs="黑体"/>
          <w:sz w:val="24"/>
          <w:szCs w:val="24"/>
        </w:rPr>
      </w:pPr>
      <w:r>
        <w:rPr>
          <w:rFonts w:ascii="黑体" w:hAnsi="黑体" w:eastAsia="黑体" w:cs="黑体"/>
          <w:spacing w:val="-2"/>
          <w:sz w:val="24"/>
          <w:szCs w:val="24"/>
        </w:rPr>
        <w:t>5.3</w:t>
      </w:r>
      <w:r>
        <w:rPr>
          <w:rFonts w:ascii="黑体" w:hAnsi="黑体" w:eastAsia="黑体" w:cs="黑体"/>
          <w:spacing w:val="17"/>
          <w:sz w:val="24"/>
          <w:szCs w:val="24"/>
        </w:rPr>
        <w:t xml:space="preserve"> </w:t>
      </w:r>
      <w:r>
        <w:rPr>
          <w:rFonts w:ascii="黑体" w:hAnsi="黑体" w:eastAsia="黑体" w:cs="黑体"/>
          <w:spacing w:val="-2"/>
          <w:sz w:val="24"/>
          <w:szCs w:val="24"/>
        </w:rPr>
        <w:t>隐蔽工程检查</w:t>
      </w:r>
    </w:p>
    <w:p w14:paraId="2632D884">
      <w:pPr>
        <w:spacing w:before="128" w:line="221" w:lineRule="auto"/>
        <w:ind w:left="443"/>
        <w:rPr>
          <w:rFonts w:ascii="宋体" w:hAnsi="宋体" w:eastAsia="宋体" w:cs="宋体"/>
          <w:sz w:val="21"/>
          <w:szCs w:val="21"/>
        </w:rPr>
      </w:pPr>
      <w:r>
        <w:rPr>
          <w:rFonts w:ascii="Times New Roman" w:hAnsi="Times New Roman" w:eastAsia="Times New Roman" w:cs="Times New Roman"/>
          <w:spacing w:val="-2"/>
          <w:sz w:val="21"/>
          <w:szCs w:val="21"/>
        </w:rPr>
        <w:t xml:space="preserve">5.3.1 </w:t>
      </w:r>
      <w:r>
        <w:rPr>
          <w:rFonts w:ascii="宋体" w:hAnsi="宋体" w:eastAsia="宋体" w:cs="宋体"/>
          <w:spacing w:val="-2"/>
          <w:sz w:val="21"/>
          <w:szCs w:val="21"/>
        </w:rPr>
        <w:t>承包人自检</w:t>
      </w:r>
    </w:p>
    <w:p w14:paraId="3907A84E">
      <w:pPr>
        <w:spacing w:before="147" w:line="221" w:lineRule="auto"/>
        <w:ind w:left="441"/>
        <w:rPr>
          <w:rFonts w:ascii="宋体" w:hAnsi="宋体" w:eastAsia="宋体" w:cs="宋体"/>
          <w:sz w:val="21"/>
          <w:szCs w:val="21"/>
        </w:rPr>
      </w:pPr>
      <w:r>
        <w:rPr>
          <w:rFonts w:ascii="宋体" w:hAnsi="宋体" w:eastAsia="宋体" w:cs="宋体"/>
          <w:spacing w:val="-4"/>
          <w:sz w:val="21"/>
          <w:szCs w:val="21"/>
        </w:rPr>
        <w:t>承包人应当对工程隐蔽部位进行自检， 并经自检确认是否具备覆盖条</w:t>
      </w:r>
      <w:r>
        <w:rPr>
          <w:rFonts w:ascii="宋体" w:hAnsi="宋体" w:eastAsia="宋体" w:cs="宋体"/>
          <w:spacing w:val="-5"/>
          <w:sz w:val="21"/>
          <w:szCs w:val="21"/>
        </w:rPr>
        <w:t>件。</w:t>
      </w:r>
    </w:p>
    <w:p w14:paraId="5C74AAD7">
      <w:pPr>
        <w:spacing w:before="147" w:line="221" w:lineRule="auto"/>
        <w:ind w:left="443"/>
        <w:rPr>
          <w:rFonts w:ascii="宋体" w:hAnsi="宋体" w:eastAsia="宋体" w:cs="宋体"/>
          <w:sz w:val="21"/>
          <w:szCs w:val="21"/>
        </w:rPr>
      </w:pPr>
      <w:r>
        <w:rPr>
          <w:rFonts w:ascii="Times New Roman" w:hAnsi="Times New Roman" w:eastAsia="Times New Roman" w:cs="Times New Roman"/>
          <w:spacing w:val="-2"/>
          <w:sz w:val="21"/>
          <w:szCs w:val="21"/>
        </w:rPr>
        <w:t xml:space="preserve">5.3.2 </w:t>
      </w:r>
      <w:r>
        <w:rPr>
          <w:rFonts w:ascii="宋体" w:hAnsi="宋体" w:eastAsia="宋体" w:cs="宋体"/>
          <w:spacing w:val="-2"/>
          <w:sz w:val="21"/>
          <w:szCs w:val="21"/>
        </w:rPr>
        <w:t>检查程序</w:t>
      </w:r>
    </w:p>
    <w:p w14:paraId="1337B17D">
      <w:pPr>
        <w:spacing w:before="154" w:line="350" w:lineRule="auto"/>
        <w:ind w:left="20" w:right="3" w:firstLine="433"/>
        <w:rPr>
          <w:rFonts w:ascii="宋体" w:hAnsi="宋体" w:eastAsia="宋体" w:cs="宋体"/>
          <w:sz w:val="21"/>
          <w:szCs w:val="21"/>
        </w:rPr>
      </w:pPr>
      <w:r>
        <w:rPr>
          <w:rFonts w:ascii="宋体" w:hAnsi="宋体" w:eastAsia="宋体" w:cs="宋体"/>
          <w:sz w:val="21"/>
          <w:szCs w:val="21"/>
        </w:rPr>
        <w:t>除专用合同条款另有约定外，工程隐蔽部位经承包人自检确认具备覆盖条件的</w:t>
      </w:r>
      <w:r>
        <w:rPr>
          <w:rFonts w:ascii="宋体" w:hAnsi="宋体" w:eastAsia="宋体" w:cs="宋体"/>
          <w:spacing w:val="-1"/>
          <w:sz w:val="21"/>
          <w:szCs w:val="21"/>
        </w:rPr>
        <w:t>， 承包</w:t>
      </w:r>
      <w:r>
        <w:rPr>
          <w:rFonts w:ascii="宋体" w:hAnsi="宋体" w:eastAsia="宋体" w:cs="宋体"/>
          <w:sz w:val="21"/>
          <w:szCs w:val="21"/>
        </w:rPr>
        <w:t xml:space="preserve"> 人应在共同检查前</w:t>
      </w:r>
      <w:r>
        <w:rPr>
          <w:rFonts w:ascii="宋体" w:hAnsi="宋体" w:eastAsia="宋体" w:cs="宋体"/>
          <w:spacing w:val="-34"/>
          <w:sz w:val="21"/>
          <w:szCs w:val="21"/>
        </w:rPr>
        <w:t xml:space="preserve"> </w:t>
      </w:r>
      <w:r>
        <w:rPr>
          <w:rFonts w:ascii="Times New Roman" w:hAnsi="Times New Roman" w:eastAsia="Times New Roman" w:cs="Times New Roman"/>
          <w:sz w:val="21"/>
          <w:szCs w:val="21"/>
        </w:rPr>
        <w:t>48</w:t>
      </w:r>
      <w:r>
        <w:rPr>
          <w:rFonts w:ascii="Times New Roman" w:hAnsi="Times New Roman" w:eastAsia="Times New Roman" w:cs="Times New Roman"/>
          <w:spacing w:val="14"/>
          <w:sz w:val="21"/>
          <w:szCs w:val="21"/>
        </w:rPr>
        <w:t xml:space="preserve"> </w:t>
      </w:r>
      <w:r>
        <w:rPr>
          <w:rFonts w:ascii="宋体" w:hAnsi="宋体" w:eastAsia="宋体" w:cs="宋体"/>
          <w:sz w:val="21"/>
          <w:szCs w:val="21"/>
        </w:rPr>
        <w:t>小时书面通知监理人检</w:t>
      </w:r>
      <w:r>
        <w:rPr>
          <w:rFonts w:ascii="宋体" w:hAnsi="宋体" w:eastAsia="宋体" w:cs="宋体"/>
          <w:spacing w:val="-1"/>
          <w:sz w:val="21"/>
          <w:szCs w:val="21"/>
        </w:rPr>
        <w:t>查，通知中应载明隐蔽检查的内容、时间和地</w:t>
      </w:r>
    </w:p>
    <w:p w14:paraId="45E01C21">
      <w:pPr>
        <w:spacing w:before="1" w:line="219" w:lineRule="auto"/>
        <w:ind w:left="29"/>
        <w:rPr>
          <w:rFonts w:ascii="宋体" w:hAnsi="宋体" w:eastAsia="宋体" w:cs="宋体"/>
          <w:sz w:val="21"/>
          <w:szCs w:val="21"/>
        </w:rPr>
      </w:pPr>
      <w:r>
        <w:rPr>
          <w:rFonts w:ascii="宋体" w:hAnsi="宋体" w:eastAsia="宋体" w:cs="宋体"/>
          <w:spacing w:val="-2"/>
          <w:sz w:val="21"/>
          <w:szCs w:val="21"/>
        </w:rPr>
        <w:t>点，并应附有自检记录和必要的检查资料。</w:t>
      </w:r>
    </w:p>
    <w:p w14:paraId="54B05D73">
      <w:pPr>
        <w:spacing w:before="154" w:line="350" w:lineRule="auto"/>
        <w:ind w:left="18" w:right="6" w:firstLine="423"/>
        <w:rPr>
          <w:rFonts w:ascii="宋体" w:hAnsi="宋体" w:eastAsia="宋体" w:cs="宋体"/>
          <w:sz w:val="21"/>
          <w:szCs w:val="21"/>
        </w:rPr>
      </w:pPr>
      <w:r>
        <w:rPr>
          <w:rFonts w:ascii="宋体" w:hAnsi="宋体" w:eastAsia="宋体" w:cs="宋体"/>
          <w:spacing w:val="3"/>
          <w:sz w:val="21"/>
          <w:szCs w:val="21"/>
        </w:rPr>
        <w:t>监理人应按时到场并对隐蔽工程及其施工工艺、材料和工程设备进行检查。经监理人</w:t>
      </w:r>
      <w:r>
        <w:rPr>
          <w:rFonts w:ascii="宋体" w:hAnsi="宋体" w:eastAsia="宋体" w:cs="宋体"/>
          <w:spacing w:val="2"/>
          <w:sz w:val="21"/>
          <w:szCs w:val="21"/>
        </w:rPr>
        <w:t xml:space="preserve"> </w:t>
      </w:r>
      <w:r>
        <w:rPr>
          <w:rFonts w:ascii="宋体" w:hAnsi="宋体" w:eastAsia="宋体" w:cs="宋体"/>
          <w:spacing w:val="-3"/>
          <w:sz w:val="21"/>
          <w:szCs w:val="21"/>
        </w:rPr>
        <w:t>检查确认质量符合隐蔽要求， 并在验收记录上签字后，</w:t>
      </w:r>
      <w:r>
        <w:rPr>
          <w:rFonts w:ascii="宋体" w:hAnsi="宋体" w:eastAsia="宋体" w:cs="宋体"/>
          <w:spacing w:val="24"/>
          <w:sz w:val="21"/>
          <w:szCs w:val="21"/>
        </w:rPr>
        <w:t xml:space="preserve"> </w:t>
      </w:r>
      <w:r>
        <w:rPr>
          <w:rFonts w:ascii="宋体" w:hAnsi="宋体" w:eastAsia="宋体" w:cs="宋体"/>
          <w:spacing w:val="-3"/>
          <w:sz w:val="21"/>
          <w:szCs w:val="21"/>
        </w:rPr>
        <w:t>承包人才能进行覆盖。经监</w:t>
      </w:r>
      <w:r>
        <w:rPr>
          <w:rFonts w:ascii="宋体" w:hAnsi="宋体" w:eastAsia="宋体" w:cs="宋体"/>
          <w:spacing w:val="-4"/>
          <w:sz w:val="21"/>
          <w:szCs w:val="21"/>
        </w:rPr>
        <w:t>理人检</w:t>
      </w:r>
    </w:p>
    <w:p w14:paraId="4162244A">
      <w:pPr>
        <w:spacing w:line="220" w:lineRule="auto"/>
        <w:ind w:left="20"/>
        <w:rPr>
          <w:rFonts w:ascii="宋体" w:hAnsi="宋体" w:eastAsia="宋体" w:cs="宋体"/>
          <w:sz w:val="21"/>
          <w:szCs w:val="21"/>
        </w:rPr>
      </w:pPr>
      <w:r>
        <w:rPr>
          <w:rFonts w:ascii="宋体" w:hAnsi="宋体" w:eastAsia="宋体" w:cs="宋体"/>
          <w:sz w:val="21"/>
          <w:szCs w:val="21"/>
        </w:rPr>
        <w:t>查质量不合格的， 承包人应在监理人指示的时间内完成修复，并由监理人重新检查，由此</w:t>
      </w:r>
    </w:p>
    <w:p w14:paraId="4D74491C">
      <w:pPr>
        <w:spacing w:line="220" w:lineRule="auto"/>
        <w:rPr>
          <w:rFonts w:ascii="宋体" w:hAnsi="宋体" w:eastAsia="宋体" w:cs="宋体"/>
          <w:sz w:val="21"/>
          <w:szCs w:val="21"/>
        </w:rPr>
        <w:sectPr>
          <w:footerReference r:id="rId102" w:type="default"/>
          <w:pgSz w:w="11905" w:h="16839"/>
          <w:pgMar w:top="1431" w:right="1785" w:bottom="1004" w:left="1785" w:header="0" w:footer="828" w:gutter="0"/>
          <w:pgNumType w:fmt="decimal"/>
          <w:cols w:space="720" w:num="1"/>
        </w:sectPr>
      </w:pPr>
    </w:p>
    <w:p w14:paraId="697F50EA">
      <w:pPr>
        <w:spacing w:before="148" w:line="221" w:lineRule="auto"/>
        <w:ind w:left="19"/>
        <w:rPr>
          <w:rFonts w:ascii="宋体" w:hAnsi="宋体" w:eastAsia="宋体" w:cs="宋体"/>
          <w:sz w:val="21"/>
          <w:szCs w:val="21"/>
        </w:rPr>
      </w:pPr>
      <w:r>
        <w:rPr>
          <w:rFonts w:ascii="宋体" w:hAnsi="宋体" w:eastAsia="宋体" w:cs="宋体"/>
          <w:spacing w:val="-6"/>
          <w:sz w:val="21"/>
          <w:szCs w:val="21"/>
        </w:rPr>
        <w:t>增加的费用和（或） 延误的工期由承包人承担。</w:t>
      </w:r>
    </w:p>
    <w:p w14:paraId="46FABC3F">
      <w:pPr>
        <w:spacing w:before="149" w:line="352" w:lineRule="auto"/>
        <w:ind w:left="19" w:right="1" w:firstLine="434"/>
        <w:rPr>
          <w:rFonts w:ascii="宋体" w:hAnsi="宋体" w:eastAsia="宋体" w:cs="宋体"/>
          <w:sz w:val="21"/>
          <w:szCs w:val="21"/>
        </w:rPr>
      </w:pPr>
      <w:r>
        <w:rPr>
          <w:rFonts w:ascii="宋体" w:hAnsi="宋体" w:eastAsia="宋体" w:cs="宋体"/>
          <w:spacing w:val="-4"/>
          <w:sz w:val="21"/>
          <w:szCs w:val="21"/>
        </w:rPr>
        <w:t>除专用合同条款另有约定外， 监理人不能按时进行检查的，应在检查前</w:t>
      </w:r>
      <w:r>
        <w:rPr>
          <w:rFonts w:ascii="宋体" w:hAnsi="宋体" w:eastAsia="宋体" w:cs="宋体"/>
          <w:spacing w:val="-15"/>
          <w:sz w:val="21"/>
          <w:szCs w:val="21"/>
        </w:rPr>
        <w:t xml:space="preserve"> </w:t>
      </w:r>
      <w:r>
        <w:rPr>
          <w:rFonts w:ascii="Times New Roman" w:hAnsi="Times New Roman" w:eastAsia="Times New Roman" w:cs="Times New Roman"/>
          <w:spacing w:val="-4"/>
          <w:sz w:val="21"/>
          <w:szCs w:val="21"/>
        </w:rPr>
        <w:t>24</w:t>
      </w:r>
      <w:r>
        <w:rPr>
          <w:rFonts w:ascii="Times New Roman" w:hAnsi="Times New Roman" w:eastAsia="Times New Roman" w:cs="Times New Roman"/>
          <w:spacing w:val="15"/>
          <w:sz w:val="21"/>
          <w:szCs w:val="21"/>
        </w:rPr>
        <w:t xml:space="preserve"> </w:t>
      </w:r>
      <w:r>
        <w:rPr>
          <w:rFonts w:ascii="宋体" w:hAnsi="宋体" w:eastAsia="宋体" w:cs="宋体"/>
          <w:spacing w:val="-4"/>
          <w:sz w:val="21"/>
          <w:szCs w:val="21"/>
        </w:rPr>
        <w:t>小时向承包</w:t>
      </w:r>
      <w:r>
        <w:rPr>
          <w:rFonts w:ascii="宋体" w:hAnsi="宋体" w:eastAsia="宋体" w:cs="宋体"/>
          <w:sz w:val="21"/>
          <w:szCs w:val="21"/>
        </w:rPr>
        <w:t xml:space="preserve"> </w:t>
      </w:r>
      <w:r>
        <w:rPr>
          <w:rFonts w:ascii="宋体" w:hAnsi="宋体" w:eastAsia="宋体" w:cs="宋体"/>
          <w:spacing w:val="-4"/>
          <w:sz w:val="21"/>
          <w:szCs w:val="21"/>
        </w:rPr>
        <w:t>人提交书面延期要求，但延期不能超过</w:t>
      </w:r>
      <w:r>
        <w:rPr>
          <w:rFonts w:ascii="宋体" w:hAnsi="宋体" w:eastAsia="宋体" w:cs="宋体"/>
          <w:spacing w:val="-25"/>
          <w:sz w:val="21"/>
          <w:szCs w:val="21"/>
        </w:rPr>
        <w:t xml:space="preserve"> </w:t>
      </w:r>
      <w:r>
        <w:rPr>
          <w:rFonts w:ascii="Times New Roman" w:hAnsi="Times New Roman" w:eastAsia="Times New Roman" w:cs="Times New Roman"/>
          <w:spacing w:val="-4"/>
          <w:sz w:val="21"/>
          <w:szCs w:val="21"/>
        </w:rPr>
        <w:t>48</w:t>
      </w:r>
      <w:r>
        <w:rPr>
          <w:rFonts w:ascii="Times New Roman" w:hAnsi="Times New Roman" w:eastAsia="Times New Roman" w:cs="Times New Roman"/>
          <w:spacing w:val="15"/>
          <w:sz w:val="21"/>
          <w:szCs w:val="21"/>
        </w:rPr>
        <w:t xml:space="preserve"> </w:t>
      </w:r>
      <w:r>
        <w:rPr>
          <w:rFonts w:ascii="宋体" w:hAnsi="宋体" w:eastAsia="宋体" w:cs="宋体"/>
          <w:spacing w:val="-4"/>
          <w:sz w:val="21"/>
          <w:szCs w:val="21"/>
        </w:rPr>
        <w:t>小时，由此导致工期延误的， 工期应予以顺延。</w:t>
      </w:r>
      <w:r>
        <w:rPr>
          <w:rFonts w:ascii="宋体" w:hAnsi="宋体" w:eastAsia="宋体" w:cs="宋体"/>
          <w:sz w:val="21"/>
          <w:szCs w:val="21"/>
        </w:rPr>
        <w:t xml:space="preserve"> </w:t>
      </w:r>
      <w:r>
        <w:rPr>
          <w:rFonts w:ascii="宋体" w:hAnsi="宋体" w:eastAsia="宋体" w:cs="宋体"/>
          <w:spacing w:val="3"/>
          <w:sz w:val="21"/>
          <w:szCs w:val="21"/>
        </w:rPr>
        <w:t>监理人未按时进行检查，也未提出延期要求的，视为隐蔽工程检查合格，承</w:t>
      </w:r>
      <w:r>
        <w:rPr>
          <w:rFonts w:ascii="宋体" w:hAnsi="宋体" w:eastAsia="宋体" w:cs="宋体"/>
          <w:spacing w:val="2"/>
          <w:sz w:val="21"/>
          <w:szCs w:val="21"/>
        </w:rPr>
        <w:t>包人可自行完</w:t>
      </w:r>
      <w:r>
        <w:rPr>
          <w:rFonts w:ascii="宋体" w:hAnsi="宋体" w:eastAsia="宋体" w:cs="宋体"/>
          <w:sz w:val="21"/>
          <w:szCs w:val="21"/>
        </w:rPr>
        <w:t xml:space="preserve"> </w:t>
      </w:r>
      <w:r>
        <w:rPr>
          <w:rFonts w:ascii="宋体" w:hAnsi="宋体" w:eastAsia="宋体" w:cs="宋体"/>
          <w:spacing w:val="-2"/>
          <w:sz w:val="21"/>
          <w:szCs w:val="21"/>
        </w:rPr>
        <w:t>成覆盖工作， 并作相应记录报送监理人， 监理人应</w:t>
      </w:r>
      <w:r>
        <w:rPr>
          <w:rFonts w:ascii="宋体" w:hAnsi="宋体" w:eastAsia="宋体" w:cs="宋体"/>
          <w:spacing w:val="-3"/>
          <w:sz w:val="21"/>
          <w:szCs w:val="21"/>
        </w:rPr>
        <w:t>签字确认。监理人事后对检查记录有疑</w:t>
      </w:r>
    </w:p>
    <w:p w14:paraId="745EBBBE">
      <w:pPr>
        <w:spacing w:line="220" w:lineRule="auto"/>
        <w:ind w:left="42"/>
        <w:rPr>
          <w:rFonts w:ascii="宋体" w:hAnsi="宋体" w:eastAsia="宋体" w:cs="宋体"/>
          <w:sz w:val="21"/>
          <w:szCs w:val="21"/>
        </w:rPr>
      </w:pPr>
      <w:r>
        <w:rPr>
          <w:rFonts w:ascii="宋体" w:hAnsi="宋体" w:eastAsia="宋体" w:cs="宋体"/>
          <w:spacing w:val="-2"/>
          <w:sz w:val="21"/>
          <w:szCs w:val="21"/>
        </w:rPr>
        <w:t>问的，可按第</w:t>
      </w:r>
      <w:r>
        <w:rPr>
          <w:rFonts w:ascii="宋体" w:hAnsi="宋体" w:eastAsia="宋体" w:cs="宋体"/>
          <w:spacing w:val="-37"/>
          <w:sz w:val="21"/>
          <w:szCs w:val="21"/>
        </w:rPr>
        <w:t xml:space="preserve"> </w:t>
      </w:r>
      <w:r>
        <w:rPr>
          <w:rFonts w:ascii="Times New Roman" w:hAnsi="Times New Roman" w:eastAsia="Times New Roman" w:cs="Times New Roman"/>
          <w:spacing w:val="-2"/>
          <w:sz w:val="21"/>
          <w:szCs w:val="21"/>
        </w:rPr>
        <w:t xml:space="preserve">5.3.3 </w:t>
      </w:r>
      <w:r>
        <w:rPr>
          <w:rFonts w:ascii="宋体" w:hAnsi="宋体" w:eastAsia="宋体" w:cs="宋体"/>
          <w:spacing w:val="-2"/>
          <w:sz w:val="21"/>
          <w:szCs w:val="21"/>
        </w:rPr>
        <w:t>项〔重新检查〕的约定重新检查。</w:t>
      </w:r>
    </w:p>
    <w:p w14:paraId="0745E839">
      <w:pPr>
        <w:spacing w:before="147" w:line="221" w:lineRule="auto"/>
        <w:ind w:left="443"/>
        <w:rPr>
          <w:rFonts w:ascii="宋体" w:hAnsi="宋体" w:eastAsia="宋体" w:cs="宋体"/>
          <w:sz w:val="21"/>
          <w:szCs w:val="21"/>
        </w:rPr>
      </w:pPr>
      <w:r>
        <w:rPr>
          <w:rFonts w:ascii="Times New Roman" w:hAnsi="Times New Roman" w:eastAsia="Times New Roman" w:cs="Times New Roman"/>
          <w:spacing w:val="-1"/>
          <w:sz w:val="21"/>
          <w:szCs w:val="21"/>
        </w:rPr>
        <w:t xml:space="preserve">5.3.3 </w:t>
      </w:r>
      <w:r>
        <w:rPr>
          <w:rFonts w:ascii="宋体" w:hAnsi="宋体" w:eastAsia="宋体" w:cs="宋体"/>
          <w:spacing w:val="-1"/>
          <w:sz w:val="21"/>
          <w:szCs w:val="21"/>
        </w:rPr>
        <w:t>重新检查</w:t>
      </w:r>
    </w:p>
    <w:p w14:paraId="209F4976">
      <w:pPr>
        <w:spacing w:before="149" w:line="352" w:lineRule="auto"/>
        <w:ind w:left="18" w:right="6" w:firstLine="422"/>
        <w:rPr>
          <w:rFonts w:ascii="宋体" w:hAnsi="宋体" w:eastAsia="宋体" w:cs="宋体"/>
          <w:sz w:val="21"/>
          <w:szCs w:val="21"/>
        </w:rPr>
      </w:pPr>
      <w:r>
        <w:rPr>
          <w:rFonts w:ascii="宋体" w:hAnsi="宋体" w:eastAsia="宋体" w:cs="宋体"/>
          <w:sz w:val="21"/>
          <w:szCs w:val="21"/>
        </w:rPr>
        <w:t>承包人覆盖工程隐蔽部位后，发包人或监理人对质量有疑问的， 可要求承包人对已覆</w:t>
      </w:r>
      <w:r>
        <w:rPr>
          <w:rFonts w:ascii="宋体" w:hAnsi="宋体" w:eastAsia="宋体" w:cs="宋体"/>
          <w:spacing w:val="9"/>
          <w:sz w:val="21"/>
          <w:szCs w:val="21"/>
        </w:rPr>
        <w:t xml:space="preserve"> </w:t>
      </w:r>
      <w:r>
        <w:rPr>
          <w:rFonts w:ascii="宋体" w:hAnsi="宋体" w:eastAsia="宋体" w:cs="宋体"/>
          <w:sz w:val="21"/>
          <w:szCs w:val="21"/>
        </w:rPr>
        <w:t>盖的部位进行钻孔探测或揭开重新检查， 承包人应遵照执行，并在检查后重新覆盖恢复原</w:t>
      </w:r>
      <w:r>
        <w:rPr>
          <w:rFonts w:ascii="宋体" w:hAnsi="宋体" w:eastAsia="宋体" w:cs="宋体"/>
          <w:spacing w:val="6"/>
          <w:sz w:val="21"/>
          <w:szCs w:val="21"/>
        </w:rPr>
        <w:t xml:space="preserve"> </w:t>
      </w:r>
      <w:r>
        <w:rPr>
          <w:rFonts w:ascii="宋体" w:hAnsi="宋体" w:eastAsia="宋体" w:cs="宋体"/>
          <w:sz w:val="21"/>
          <w:szCs w:val="21"/>
        </w:rPr>
        <w:t>状。经检查证明工程质量符合合同要求的，由发包人承担由此增加的费用和（或） 延误的</w:t>
      </w:r>
      <w:r>
        <w:rPr>
          <w:rFonts w:ascii="宋体" w:hAnsi="宋体" w:eastAsia="宋体" w:cs="宋体"/>
          <w:spacing w:val="6"/>
          <w:sz w:val="21"/>
          <w:szCs w:val="21"/>
        </w:rPr>
        <w:t xml:space="preserve"> </w:t>
      </w:r>
      <w:r>
        <w:rPr>
          <w:rFonts w:ascii="宋体" w:hAnsi="宋体" w:eastAsia="宋体" w:cs="宋体"/>
          <w:spacing w:val="-5"/>
          <w:sz w:val="21"/>
          <w:szCs w:val="21"/>
        </w:rPr>
        <w:t>工期， 并支付承包人合理的利润； 经检查证明工程质量不符合合同要求的， 由此增加的费</w:t>
      </w:r>
    </w:p>
    <w:p w14:paraId="3A5F1B89">
      <w:pPr>
        <w:spacing w:before="1" w:line="220" w:lineRule="auto"/>
        <w:ind w:left="20"/>
        <w:rPr>
          <w:rFonts w:ascii="宋体" w:hAnsi="宋体" w:eastAsia="宋体" w:cs="宋体"/>
          <w:sz w:val="21"/>
          <w:szCs w:val="21"/>
        </w:rPr>
      </w:pPr>
      <w:r>
        <w:rPr>
          <w:rFonts w:ascii="宋体" w:hAnsi="宋体" w:eastAsia="宋体" w:cs="宋体"/>
          <w:spacing w:val="-8"/>
          <w:sz w:val="21"/>
          <w:szCs w:val="21"/>
        </w:rPr>
        <w:t>用和（或） 延误的工期由承包人承担。</w:t>
      </w:r>
    </w:p>
    <w:p w14:paraId="59D35B6B">
      <w:pPr>
        <w:spacing w:before="147" w:line="221" w:lineRule="auto"/>
        <w:ind w:left="443"/>
        <w:rPr>
          <w:rFonts w:ascii="宋体" w:hAnsi="宋体" w:eastAsia="宋体" w:cs="宋体"/>
          <w:sz w:val="21"/>
          <w:szCs w:val="21"/>
        </w:rPr>
      </w:pPr>
      <w:r>
        <w:rPr>
          <w:rFonts w:ascii="Times New Roman" w:hAnsi="Times New Roman" w:eastAsia="Times New Roman" w:cs="Times New Roman"/>
          <w:spacing w:val="-1"/>
          <w:sz w:val="21"/>
          <w:szCs w:val="21"/>
        </w:rPr>
        <w:t xml:space="preserve">5.3.4 </w:t>
      </w:r>
      <w:r>
        <w:rPr>
          <w:rFonts w:ascii="宋体" w:hAnsi="宋体" w:eastAsia="宋体" w:cs="宋体"/>
          <w:spacing w:val="-1"/>
          <w:sz w:val="21"/>
          <w:szCs w:val="21"/>
        </w:rPr>
        <w:t>承包人私自覆盖</w:t>
      </w:r>
    </w:p>
    <w:p w14:paraId="44665B42">
      <w:pPr>
        <w:spacing w:before="148" w:line="403" w:lineRule="exact"/>
        <w:ind w:right="6"/>
        <w:jc w:val="right"/>
        <w:rPr>
          <w:rFonts w:ascii="宋体" w:hAnsi="宋体" w:eastAsia="宋体" w:cs="宋体"/>
          <w:sz w:val="21"/>
          <w:szCs w:val="21"/>
        </w:rPr>
      </w:pPr>
      <w:r>
        <w:rPr>
          <w:rFonts w:ascii="宋体" w:hAnsi="宋体" w:eastAsia="宋体" w:cs="宋体"/>
          <w:position w:val="14"/>
          <w:sz w:val="21"/>
          <w:szCs w:val="21"/>
        </w:rPr>
        <w:t>承包人未通知监理人到场检查， 私自将工程隐蔽部位覆盖的，监理人有权指示承包人</w:t>
      </w:r>
    </w:p>
    <w:p w14:paraId="488C512E">
      <w:pPr>
        <w:spacing w:before="1" w:line="220" w:lineRule="auto"/>
        <w:ind w:left="18"/>
        <w:rPr>
          <w:rFonts w:ascii="宋体" w:hAnsi="宋体" w:eastAsia="宋体" w:cs="宋体"/>
          <w:sz w:val="21"/>
          <w:szCs w:val="21"/>
        </w:rPr>
      </w:pPr>
      <w:r>
        <w:rPr>
          <w:rFonts w:ascii="宋体" w:hAnsi="宋体" w:eastAsia="宋体" w:cs="宋体"/>
          <w:spacing w:val="-2"/>
          <w:sz w:val="21"/>
          <w:szCs w:val="21"/>
        </w:rPr>
        <w:t>钻孔探测或揭开检查， 无论工程隐蔽部位质量是否合</w:t>
      </w:r>
      <w:r>
        <w:rPr>
          <w:rFonts w:ascii="宋体" w:hAnsi="宋体" w:eastAsia="宋体" w:cs="宋体"/>
          <w:spacing w:val="-3"/>
          <w:sz w:val="21"/>
          <w:szCs w:val="21"/>
        </w:rPr>
        <w:t>格，由此增加的费用和（或） 延误的</w:t>
      </w:r>
    </w:p>
    <w:p w14:paraId="317C201B">
      <w:pPr>
        <w:spacing w:before="147" w:line="221" w:lineRule="auto"/>
        <w:ind w:left="20"/>
        <w:rPr>
          <w:rFonts w:ascii="宋体" w:hAnsi="宋体" w:eastAsia="宋体" w:cs="宋体"/>
          <w:sz w:val="21"/>
          <w:szCs w:val="21"/>
        </w:rPr>
      </w:pPr>
      <w:r>
        <w:rPr>
          <w:rFonts w:ascii="宋体" w:hAnsi="宋体" w:eastAsia="宋体" w:cs="宋体"/>
          <w:spacing w:val="-1"/>
          <w:sz w:val="21"/>
          <w:szCs w:val="21"/>
        </w:rPr>
        <w:t>工期均由承包人承担。</w:t>
      </w:r>
    </w:p>
    <w:p w14:paraId="7A1B97A2">
      <w:pPr>
        <w:spacing w:before="46" w:line="219" w:lineRule="auto"/>
        <w:ind w:left="13"/>
        <w:rPr>
          <w:rFonts w:ascii="黑体" w:hAnsi="黑体" w:eastAsia="黑体" w:cs="黑体"/>
          <w:sz w:val="24"/>
          <w:szCs w:val="24"/>
        </w:rPr>
      </w:pPr>
      <w:r>
        <w:rPr>
          <w:rFonts w:ascii="黑体" w:hAnsi="黑体" w:eastAsia="黑体" w:cs="黑体"/>
          <w:spacing w:val="-2"/>
          <w:sz w:val="24"/>
          <w:szCs w:val="24"/>
        </w:rPr>
        <w:t>5.4</w:t>
      </w:r>
      <w:r>
        <w:rPr>
          <w:rFonts w:ascii="黑体" w:hAnsi="黑体" w:eastAsia="黑体" w:cs="黑体"/>
          <w:spacing w:val="-44"/>
          <w:sz w:val="24"/>
          <w:szCs w:val="24"/>
        </w:rPr>
        <w:t xml:space="preserve"> </w:t>
      </w:r>
      <w:r>
        <w:rPr>
          <w:rFonts w:ascii="黑体" w:hAnsi="黑体" w:eastAsia="黑体" w:cs="黑体"/>
          <w:spacing w:val="-2"/>
          <w:sz w:val="24"/>
          <w:szCs w:val="24"/>
        </w:rPr>
        <w:t>不合格工程的处理</w:t>
      </w:r>
    </w:p>
    <w:p w14:paraId="4C62339E">
      <w:pPr>
        <w:spacing w:before="130" w:line="352" w:lineRule="auto"/>
        <w:ind w:left="20" w:right="8" w:firstLine="423"/>
        <w:jc w:val="both"/>
        <w:rPr>
          <w:rFonts w:ascii="宋体" w:hAnsi="宋体" w:eastAsia="宋体" w:cs="宋体"/>
          <w:sz w:val="21"/>
          <w:szCs w:val="21"/>
        </w:rPr>
      </w:pPr>
      <w:r>
        <w:rPr>
          <w:rFonts w:ascii="Times New Roman" w:hAnsi="Times New Roman" w:eastAsia="Times New Roman" w:cs="Times New Roman"/>
          <w:sz w:val="21"/>
          <w:szCs w:val="21"/>
        </w:rPr>
        <w:t>5.4.1</w:t>
      </w:r>
      <w:r>
        <w:rPr>
          <w:rFonts w:ascii="Times New Roman" w:hAnsi="Times New Roman" w:eastAsia="Times New Roman" w:cs="Times New Roman"/>
          <w:spacing w:val="57"/>
          <w:w w:val="101"/>
          <w:sz w:val="21"/>
          <w:szCs w:val="21"/>
        </w:rPr>
        <w:t xml:space="preserve"> </w:t>
      </w:r>
      <w:r>
        <w:rPr>
          <w:rFonts w:ascii="宋体" w:hAnsi="宋体" w:eastAsia="宋体" w:cs="宋体"/>
          <w:sz w:val="21"/>
          <w:szCs w:val="21"/>
        </w:rPr>
        <w:t xml:space="preserve">因承包人原因造成工程不合格的，发包人有权随时要求承包人采取补救措施，直 </w:t>
      </w:r>
      <w:r>
        <w:rPr>
          <w:rFonts w:ascii="宋体" w:hAnsi="宋体" w:eastAsia="宋体" w:cs="宋体"/>
          <w:spacing w:val="-4"/>
          <w:sz w:val="21"/>
          <w:szCs w:val="21"/>
        </w:rPr>
        <w:t>至达到合同要求的质量标准，</w:t>
      </w:r>
      <w:r>
        <w:rPr>
          <w:rFonts w:ascii="宋体" w:hAnsi="宋体" w:eastAsia="宋体" w:cs="宋体"/>
          <w:spacing w:val="38"/>
          <w:sz w:val="21"/>
          <w:szCs w:val="21"/>
        </w:rPr>
        <w:t xml:space="preserve"> </w:t>
      </w:r>
      <w:r>
        <w:rPr>
          <w:rFonts w:ascii="宋体" w:hAnsi="宋体" w:eastAsia="宋体" w:cs="宋体"/>
          <w:spacing w:val="-4"/>
          <w:sz w:val="21"/>
          <w:szCs w:val="21"/>
        </w:rPr>
        <w:t>由此增加的费用和（或）</w:t>
      </w:r>
      <w:r>
        <w:rPr>
          <w:rFonts w:ascii="宋体" w:hAnsi="宋体" w:eastAsia="宋体" w:cs="宋体"/>
          <w:spacing w:val="29"/>
          <w:sz w:val="21"/>
          <w:szCs w:val="21"/>
        </w:rPr>
        <w:t xml:space="preserve"> </w:t>
      </w:r>
      <w:r>
        <w:rPr>
          <w:rFonts w:ascii="宋体" w:hAnsi="宋体" w:eastAsia="宋体" w:cs="宋体"/>
          <w:spacing w:val="-4"/>
          <w:sz w:val="21"/>
          <w:szCs w:val="21"/>
        </w:rPr>
        <w:t>延误的工</w:t>
      </w:r>
      <w:r>
        <w:rPr>
          <w:rFonts w:ascii="宋体" w:hAnsi="宋体" w:eastAsia="宋体" w:cs="宋体"/>
          <w:spacing w:val="-5"/>
          <w:sz w:val="21"/>
          <w:szCs w:val="21"/>
        </w:rPr>
        <w:t>期由承包人承担。无法补</w:t>
      </w:r>
    </w:p>
    <w:p w14:paraId="46F27710">
      <w:pPr>
        <w:spacing w:line="220" w:lineRule="auto"/>
        <w:ind w:left="20"/>
        <w:rPr>
          <w:rFonts w:ascii="宋体" w:hAnsi="宋体" w:eastAsia="宋体" w:cs="宋体"/>
          <w:sz w:val="21"/>
          <w:szCs w:val="21"/>
        </w:rPr>
      </w:pPr>
      <w:r>
        <w:rPr>
          <w:rFonts w:ascii="宋体" w:hAnsi="宋体" w:eastAsia="宋体" w:cs="宋体"/>
          <w:spacing w:val="-2"/>
          <w:sz w:val="21"/>
          <w:szCs w:val="21"/>
        </w:rPr>
        <w:t>救的，按照第</w:t>
      </w:r>
      <w:r>
        <w:rPr>
          <w:rFonts w:ascii="宋体" w:hAnsi="宋体" w:eastAsia="宋体" w:cs="宋体"/>
          <w:spacing w:val="-26"/>
          <w:sz w:val="21"/>
          <w:szCs w:val="21"/>
        </w:rPr>
        <w:t xml:space="preserve"> </w:t>
      </w:r>
      <w:r>
        <w:rPr>
          <w:rFonts w:ascii="Times New Roman" w:hAnsi="Times New Roman" w:eastAsia="Times New Roman" w:cs="Times New Roman"/>
          <w:spacing w:val="-2"/>
          <w:sz w:val="21"/>
          <w:szCs w:val="21"/>
        </w:rPr>
        <w:t xml:space="preserve">13.2.4 </w:t>
      </w:r>
      <w:r>
        <w:rPr>
          <w:rFonts w:ascii="宋体" w:hAnsi="宋体" w:eastAsia="宋体" w:cs="宋体"/>
          <w:spacing w:val="-2"/>
          <w:sz w:val="21"/>
          <w:szCs w:val="21"/>
        </w:rPr>
        <w:t>项〔拒绝接收全部或部分工程〕约定执行。</w:t>
      </w:r>
    </w:p>
    <w:p w14:paraId="0D7F2E87">
      <w:pPr>
        <w:spacing w:before="147" w:line="221" w:lineRule="auto"/>
        <w:ind w:right="8"/>
        <w:jc w:val="right"/>
        <w:rPr>
          <w:rFonts w:ascii="宋体" w:hAnsi="宋体" w:eastAsia="宋体" w:cs="宋体"/>
          <w:sz w:val="21"/>
          <w:szCs w:val="21"/>
        </w:rPr>
      </w:pPr>
      <w:r>
        <w:rPr>
          <w:rFonts w:ascii="Times New Roman" w:hAnsi="Times New Roman" w:eastAsia="Times New Roman" w:cs="Times New Roman"/>
          <w:sz w:val="21"/>
          <w:szCs w:val="21"/>
        </w:rPr>
        <w:t>5.4.2</w:t>
      </w:r>
      <w:r>
        <w:rPr>
          <w:rFonts w:ascii="Times New Roman" w:hAnsi="Times New Roman" w:eastAsia="Times New Roman" w:cs="Times New Roman"/>
          <w:spacing w:val="57"/>
          <w:w w:val="101"/>
          <w:sz w:val="21"/>
          <w:szCs w:val="21"/>
        </w:rPr>
        <w:t xml:space="preserve"> </w:t>
      </w:r>
      <w:r>
        <w:rPr>
          <w:rFonts w:ascii="宋体" w:hAnsi="宋体" w:eastAsia="宋体" w:cs="宋体"/>
          <w:sz w:val="21"/>
          <w:szCs w:val="21"/>
        </w:rPr>
        <w:t>因发包人原因造成工程不合格的，由此增加的费用和（或）延误的工期由发包人</w:t>
      </w:r>
    </w:p>
    <w:p w14:paraId="03BD49CA">
      <w:pPr>
        <w:spacing w:before="153" w:line="221" w:lineRule="auto"/>
        <w:ind w:left="18"/>
        <w:rPr>
          <w:rFonts w:ascii="宋体" w:hAnsi="宋体" w:eastAsia="宋体" w:cs="宋体"/>
          <w:sz w:val="21"/>
          <w:szCs w:val="21"/>
        </w:rPr>
      </w:pPr>
      <w:r>
        <w:rPr>
          <w:rFonts w:ascii="宋体" w:hAnsi="宋体" w:eastAsia="宋体" w:cs="宋体"/>
          <w:spacing w:val="-2"/>
          <w:sz w:val="21"/>
          <w:szCs w:val="21"/>
        </w:rPr>
        <w:t>承担，并支付承包人合理的利润。</w:t>
      </w:r>
    </w:p>
    <w:p w14:paraId="73275D8E">
      <w:pPr>
        <w:spacing w:before="45" w:line="219" w:lineRule="auto"/>
        <w:ind w:left="13"/>
        <w:rPr>
          <w:rFonts w:ascii="黑体" w:hAnsi="黑体" w:eastAsia="黑体" w:cs="黑体"/>
          <w:sz w:val="24"/>
          <w:szCs w:val="24"/>
        </w:rPr>
      </w:pPr>
      <w:r>
        <w:rPr>
          <w:rFonts w:ascii="黑体" w:hAnsi="黑体" w:eastAsia="黑体" w:cs="黑体"/>
          <w:spacing w:val="-1"/>
          <w:sz w:val="24"/>
          <w:szCs w:val="24"/>
        </w:rPr>
        <w:t>5.5 质量争议检测</w:t>
      </w:r>
    </w:p>
    <w:p w14:paraId="33A6D78C">
      <w:pPr>
        <w:spacing w:before="129" w:line="399" w:lineRule="exact"/>
        <w:ind w:right="6"/>
        <w:jc w:val="right"/>
        <w:rPr>
          <w:rFonts w:ascii="宋体" w:hAnsi="宋体" w:eastAsia="宋体" w:cs="宋体"/>
          <w:sz w:val="21"/>
          <w:szCs w:val="21"/>
        </w:rPr>
      </w:pPr>
      <w:r>
        <w:rPr>
          <w:rFonts w:ascii="宋体" w:hAnsi="宋体" w:eastAsia="宋体" w:cs="宋体"/>
          <w:spacing w:val="3"/>
          <w:position w:val="14"/>
          <w:sz w:val="21"/>
          <w:szCs w:val="21"/>
        </w:rPr>
        <w:t>合同当事人对工程质量有争议的，由双方协商确定的工程质量检测机构鉴定，由此产</w:t>
      </w:r>
    </w:p>
    <w:p w14:paraId="31A87FE6">
      <w:pPr>
        <w:spacing w:before="1" w:line="220" w:lineRule="auto"/>
        <w:ind w:left="20"/>
        <w:rPr>
          <w:rFonts w:ascii="宋体" w:hAnsi="宋体" w:eastAsia="宋体" w:cs="宋体"/>
          <w:sz w:val="21"/>
          <w:szCs w:val="21"/>
        </w:rPr>
      </w:pPr>
      <w:r>
        <w:rPr>
          <w:rFonts w:ascii="宋体" w:hAnsi="宋体" w:eastAsia="宋体" w:cs="宋体"/>
          <w:spacing w:val="-9"/>
          <w:sz w:val="21"/>
          <w:szCs w:val="21"/>
        </w:rPr>
        <w:t>生的费用及因此造成的损失，</w:t>
      </w:r>
      <w:r>
        <w:rPr>
          <w:rFonts w:ascii="宋体" w:hAnsi="宋体" w:eastAsia="宋体" w:cs="宋体"/>
          <w:spacing w:val="48"/>
          <w:sz w:val="21"/>
          <w:szCs w:val="21"/>
        </w:rPr>
        <w:t xml:space="preserve"> </w:t>
      </w:r>
      <w:r>
        <w:rPr>
          <w:rFonts w:ascii="宋体" w:hAnsi="宋体" w:eastAsia="宋体" w:cs="宋体"/>
          <w:spacing w:val="-9"/>
          <w:sz w:val="21"/>
          <w:szCs w:val="21"/>
        </w:rPr>
        <w:t>由责任方承担。</w:t>
      </w:r>
    </w:p>
    <w:p w14:paraId="4B0C350B">
      <w:pPr>
        <w:spacing w:before="148" w:line="403" w:lineRule="exact"/>
        <w:ind w:right="12"/>
        <w:jc w:val="right"/>
        <w:rPr>
          <w:rFonts w:ascii="宋体" w:hAnsi="宋体" w:eastAsia="宋体" w:cs="宋体"/>
          <w:sz w:val="21"/>
          <w:szCs w:val="21"/>
        </w:rPr>
      </w:pPr>
      <w:r>
        <w:rPr>
          <w:rFonts w:ascii="宋体" w:hAnsi="宋体" w:eastAsia="宋体" w:cs="宋体"/>
          <w:spacing w:val="3"/>
          <w:position w:val="14"/>
          <w:sz w:val="21"/>
          <w:szCs w:val="21"/>
        </w:rPr>
        <w:t>合同当事人均有责任的，由双方根据其责任分别承担。合同当事人无法达成</w:t>
      </w:r>
      <w:r>
        <w:rPr>
          <w:rFonts w:ascii="宋体" w:hAnsi="宋体" w:eastAsia="宋体" w:cs="宋体"/>
          <w:spacing w:val="2"/>
          <w:position w:val="14"/>
          <w:sz w:val="21"/>
          <w:szCs w:val="21"/>
        </w:rPr>
        <w:t>一致的，</w:t>
      </w:r>
    </w:p>
    <w:p w14:paraId="2A253BD1">
      <w:pPr>
        <w:spacing w:line="220" w:lineRule="auto"/>
        <w:ind w:left="20"/>
        <w:rPr>
          <w:rFonts w:ascii="宋体" w:hAnsi="宋体" w:eastAsia="宋体" w:cs="宋体"/>
          <w:sz w:val="21"/>
          <w:szCs w:val="21"/>
        </w:rPr>
      </w:pPr>
      <w:r>
        <w:rPr>
          <w:rFonts w:ascii="宋体" w:hAnsi="宋体" w:eastAsia="宋体" w:cs="宋体"/>
          <w:spacing w:val="-3"/>
          <w:sz w:val="21"/>
          <w:szCs w:val="21"/>
        </w:rPr>
        <w:t>按照第</w:t>
      </w:r>
      <w:r>
        <w:rPr>
          <w:rFonts w:ascii="宋体" w:hAnsi="宋体" w:eastAsia="宋体" w:cs="宋体"/>
          <w:spacing w:val="-33"/>
          <w:sz w:val="21"/>
          <w:szCs w:val="21"/>
        </w:rPr>
        <w:t xml:space="preserve"> </w:t>
      </w:r>
      <w:r>
        <w:rPr>
          <w:rFonts w:ascii="Times New Roman" w:hAnsi="Times New Roman" w:eastAsia="Times New Roman" w:cs="Times New Roman"/>
          <w:spacing w:val="-3"/>
          <w:sz w:val="21"/>
          <w:szCs w:val="21"/>
        </w:rPr>
        <w:t xml:space="preserve">4.4 </w:t>
      </w:r>
      <w:r>
        <w:rPr>
          <w:rFonts w:ascii="宋体" w:hAnsi="宋体" w:eastAsia="宋体" w:cs="宋体"/>
          <w:spacing w:val="-3"/>
          <w:sz w:val="21"/>
          <w:szCs w:val="21"/>
        </w:rPr>
        <w:t>款〔商定或确定〕执行。</w:t>
      </w:r>
    </w:p>
    <w:p w14:paraId="2E82BA28">
      <w:pPr>
        <w:spacing w:before="173" w:line="526" w:lineRule="exact"/>
        <w:ind w:left="21"/>
        <w:rPr>
          <w:rFonts w:ascii="黑体" w:hAnsi="黑体" w:eastAsia="黑体" w:cs="黑体"/>
          <w:sz w:val="32"/>
          <w:szCs w:val="32"/>
        </w:rPr>
      </w:pPr>
      <w:r>
        <w:rPr>
          <w:rFonts w:ascii="黑体" w:hAnsi="黑体" w:eastAsia="黑体" w:cs="黑体"/>
          <w:spacing w:val="-1"/>
          <w:position w:val="14"/>
          <w:sz w:val="32"/>
          <w:szCs w:val="32"/>
        </w:rPr>
        <w:t>6.安全文明施工与环境保护</w:t>
      </w:r>
    </w:p>
    <w:p w14:paraId="54104C20">
      <w:pPr>
        <w:spacing w:line="218" w:lineRule="auto"/>
        <w:ind w:left="18"/>
        <w:rPr>
          <w:rFonts w:ascii="黑体" w:hAnsi="黑体" w:eastAsia="黑体" w:cs="黑体"/>
          <w:sz w:val="24"/>
          <w:szCs w:val="24"/>
        </w:rPr>
      </w:pPr>
      <w:r>
        <w:rPr>
          <w:rFonts w:ascii="黑体" w:hAnsi="黑体" w:eastAsia="黑体" w:cs="黑体"/>
          <w:spacing w:val="-3"/>
          <w:sz w:val="24"/>
          <w:szCs w:val="24"/>
        </w:rPr>
        <w:t>6.1</w:t>
      </w:r>
      <w:r>
        <w:rPr>
          <w:rFonts w:ascii="黑体" w:hAnsi="黑体" w:eastAsia="黑体" w:cs="黑体"/>
          <w:spacing w:val="-42"/>
          <w:sz w:val="24"/>
          <w:szCs w:val="24"/>
        </w:rPr>
        <w:t xml:space="preserve"> </w:t>
      </w:r>
      <w:r>
        <w:rPr>
          <w:rFonts w:ascii="黑体" w:hAnsi="黑体" w:eastAsia="黑体" w:cs="黑体"/>
          <w:spacing w:val="-3"/>
          <w:sz w:val="24"/>
          <w:szCs w:val="24"/>
        </w:rPr>
        <w:t>安全文明施工</w:t>
      </w:r>
    </w:p>
    <w:p w14:paraId="3D3C6683">
      <w:pPr>
        <w:spacing w:before="130" w:line="221" w:lineRule="auto"/>
        <w:ind w:left="442"/>
        <w:rPr>
          <w:rFonts w:ascii="宋体" w:hAnsi="宋体" w:eastAsia="宋体" w:cs="宋体"/>
          <w:sz w:val="21"/>
          <w:szCs w:val="21"/>
        </w:rPr>
      </w:pPr>
      <w:r>
        <w:rPr>
          <w:rFonts w:ascii="Times New Roman" w:hAnsi="Times New Roman" w:eastAsia="Times New Roman" w:cs="Times New Roman"/>
          <w:spacing w:val="-2"/>
          <w:sz w:val="21"/>
          <w:szCs w:val="21"/>
        </w:rPr>
        <w:t xml:space="preserve">6.1.1 </w:t>
      </w:r>
      <w:r>
        <w:rPr>
          <w:rFonts w:ascii="宋体" w:hAnsi="宋体" w:eastAsia="宋体" w:cs="宋体"/>
          <w:spacing w:val="-2"/>
          <w:sz w:val="21"/>
          <w:szCs w:val="21"/>
        </w:rPr>
        <w:t>安全生产要求</w:t>
      </w:r>
    </w:p>
    <w:p w14:paraId="0CBA800C">
      <w:pPr>
        <w:spacing w:before="153" w:line="350" w:lineRule="auto"/>
        <w:ind w:left="31" w:right="6" w:firstLine="410"/>
        <w:jc w:val="both"/>
        <w:rPr>
          <w:rFonts w:ascii="宋体" w:hAnsi="宋体" w:eastAsia="宋体" w:cs="宋体"/>
          <w:sz w:val="21"/>
          <w:szCs w:val="21"/>
        </w:rPr>
      </w:pPr>
      <w:r>
        <w:rPr>
          <w:rFonts w:ascii="宋体" w:hAnsi="宋体" w:eastAsia="宋体" w:cs="宋体"/>
          <w:spacing w:val="-2"/>
          <w:sz w:val="21"/>
          <w:szCs w:val="21"/>
        </w:rPr>
        <w:t>合同履行期间， 合同当事人均应当遵守国家</w:t>
      </w:r>
      <w:r>
        <w:rPr>
          <w:rFonts w:ascii="宋体" w:hAnsi="宋体" w:eastAsia="宋体" w:cs="宋体"/>
          <w:spacing w:val="-3"/>
          <w:sz w:val="21"/>
          <w:szCs w:val="21"/>
        </w:rPr>
        <w:t>和工程所在地有关安全生产的要求， 合同</w:t>
      </w:r>
      <w:r>
        <w:rPr>
          <w:rFonts w:ascii="宋体" w:hAnsi="宋体" w:eastAsia="宋体" w:cs="宋体"/>
          <w:sz w:val="21"/>
          <w:szCs w:val="21"/>
        </w:rPr>
        <w:t xml:space="preserve"> 当事人有特别要求的， 应在专用合同条款中明确施工项目安全生产标准化</w:t>
      </w:r>
      <w:r>
        <w:rPr>
          <w:rFonts w:ascii="宋体" w:hAnsi="宋体" w:eastAsia="宋体" w:cs="宋体"/>
          <w:spacing w:val="-1"/>
          <w:sz w:val="21"/>
          <w:szCs w:val="21"/>
        </w:rPr>
        <w:t>达标目标及相应</w:t>
      </w:r>
    </w:p>
    <w:p w14:paraId="06C647D1">
      <w:pPr>
        <w:spacing w:before="1" w:line="219" w:lineRule="auto"/>
        <w:ind w:left="18"/>
        <w:rPr>
          <w:rFonts w:ascii="宋体" w:hAnsi="宋体" w:eastAsia="宋体" w:cs="宋体"/>
          <w:sz w:val="21"/>
          <w:szCs w:val="21"/>
        </w:rPr>
      </w:pPr>
      <w:r>
        <w:rPr>
          <w:rFonts w:ascii="宋体" w:hAnsi="宋体" w:eastAsia="宋体" w:cs="宋体"/>
          <w:sz w:val="21"/>
          <w:szCs w:val="21"/>
        </w:rPr>
        <w:t>事项。承包人有权拒绝发包人及监理人强令承包人违章作业、冒险施工的</w:t>
      </w:r>
      <w:r>
        <w:rPr>
          <w:rFonts w:ascii="宋体" w:hAnsi="宋体" w:eastAsia="宋体" w:cs="宋体"/>
          <w:spacing w:val="-1"/>
          <w:sz w:val="21"/>
          <w:szCs w:val="21"/>
        </w:rPr>
        <w:t>任何指示。</w:t>
      </w:r>
    </w:p>
    <w:p w14:paraId="3CC5276B">
      <w:pPr>
        <w:spacing w:before="153" w:line="221" w:lineRule="auto"/>
        <w:ind w:right="6"/>
        <w:jc w:val="right"/>
        <w:rPr>
          <w:rFonts w:ascii="宋体" w:hAnsi="宋体" w:eastAsia="宋体" w:cs="宋体"/>
          <w:sz w:val="21"/>
          <w:szCs w:val="21"/>
        </w:rPr>
      </w:pPr>
      <w:r>
        <w:rPr>
          <w:rFonts w:ascii="宋体" w:hAnsi="宋体" w:eastAsia="宋体" w:cs="宋体"/>
          <w:sz w:val="21"/>
          <w:szCs w:val="21"/>
        </w:rPr>
        <w:t>在施工过程中， 如遇到突发的地质变动、事先未知的地下施工障碍等影响施工安全的</w:t>
      </w:r>
    </w:p>
    <w:p w14:paraId="281AC84E">
      <w:pPr>
        <w:spacing w:line="221" w:lineRule="auto"/>
        <w:rPr>
          <w:rFonts w:ascii="宋体" w:hAnsi="宋体" w:eastAsia="宋体" w:cs="宋体"/>
          <w:sz w:val="21"/>
          <w:szCs w:val="21"/>
        </w:rPr>
        <w:sectPr>
          <w:footerReference r:id="rId103" w:type="default"/>
          <w:pgSz w:w="11905" w:h="16839"/>
          <w:pgMar w:top="1431" w:right="1785" w:bottom="1004" w:left="1785" w:header="0" w:footer="828" w:gutter="0"/>
          <w:pgNumType w:fmt="decimal"/>
          <w:cols w:space="720" w:num="1"/>
        </w:sectPr>
      </w:pPr>
    </w:p>
    <w:p w14:paraId="1FF531BD">
      <w:pPr>
        <w:spacing w:before="149" w:line="398" w:lineRule="exact"/>
        <w:ind w:left="24"/>
        <w:rPr>
          <w:rFonts w:ascii="宋体" w:hAnsi="宋体" w:eastAsia="宋体" w:cs="宋体"/>
          <w:sz w:val="21"/>
          <w:szCs w:val="21"/>
        </w:rPr>
      </w:pPr>
      <w:r>
        <w:rPr>
          <w:rFonts w:ascii="宋体" w:hAnsi="宋体" w:eastAsia="宋体" w:cs="宋体"/>
          <w:position w:val="14"/>
          <w:sz w:val="21"/>
          <w:szCs w:val="21"/>
        </w:rPr>
        <w:t>紧急情况， 承包人应及时报告监理人和发包人，发包人应当及时下令停工并报政府有关行</w:t>
      </w:r>
    </w:p>
    <w:p w14:paraId="2A386C41">
      <w:pPr>
        <w:spacing w:line="219" w:lineRule="auto"/>
        <w:ind w:left="17"/>
        <w:rPr>
          <w:rFonts w:ascii="宋体" w:hAnsi="宋体" w:eastAsia="宋体" w:cs="宋体"/>
          <w:sz w:val="21"/>
          <w:szCs w:val="21"/>
        </w:rPr>
      </w:pPr>
      <w:r>
        <w:rPr>
          <w:rFonts w:ascii="宋体" w:hAnsi="宋体" w:eastAsia="宋体" w:cs="宋体"/>
          <w:spacing w:val="-2"/>
          <w:sz w:val="21"/>
          <w:szCs w:val="21"/>
        </w:rPr>
        <w:t>政管理部门采取应急措施。</w:t>
      </w:r>
    </w:p>
    <w:p w14:paraId="57925624">
      <w:pPr>
        <w:spacing w:before="152" w:line="221" w:lineRule="auto"/>
        <w:ind w:left="457"/>
        <w:rPr>
          <w:rFonts w:ascii="宋体" w:hAnsi="宋体" w:eastAsia="宋体" w:cs="宋体"/>
          <w:sz w:val="21"/>
          <w:szCs w:val="21"/>
        </w:rPr>
      </w:pPr>
      <w:r>
        <w:rPr>
          <w:rFonts w:ascii="宋体" w:hAnsi="宋体" w:eastAsia="宋体" w:cs="宋体"/>
          <w:spacing w:val="-5"/>
          <w:sz w:val="21"/>
          <w:szCs w:val="21"/>
        </w:rPr>
        <w:t>因安全生产需要暂停施工的， 按照第</w:t>
      </w:r>
      <w:r>
        <w:rPr>
          <w:rFonts w:ascii="宋体" w:hAnsi="宋体" w:eastAsia="宋体" w:cs="宋体"/>
          <w:spacing w:val="-39"/>
          <w:sz w:val="21"/>
          <w:szCs w:val="21"/>
        </w:rPr>
        <w:t xml:space="preserve"> </w:t>
      </w:r>
      <w:r>
        <w:rPr>
          <w:rFonts w:ascii="Times New Roman" w:hAnsi="Times New Roman" w:eastAsia="Times New Roman" w:cs="Times New Roman"/>
          <w:spacing w:val="-5"/>
          <w:sz w:val="21"/>
          <w:szCs w:val="21"/>
        </w:rPr>
        <w:t xml:space="preserve">7.8 </w:t>
      </w:r>
      <w:r>
        <w:rPr>
          <w:rFonts w:ascii="宋体" w:hAnsi="宋体" w:eastAsia="宋体" w:cs="宋体"/>
          <w:spacing w:val="-5"/>
          <w:sz w:val="21"/>
          <w:szCs w:val="21"/>
        </w:rPr>
        <w:t>款〔暂停施工〕的约定执行。</w:t>
      </w:r>
    </w:p>
    <w:p w14:paraId="7FC6DF03">
      <w:pPr>
        <w:spacing w:before="147" w:line="221" w:lineRule="auto"/>
        <w:ind w:left="442"/>
        <w:rPr>
          <w:rFonts w:ascii="宋体" w:hAnsi="宋体" w:eastAsia="宋体" w:cs="宋体"/>
          <w:sz w:val="21"/>
          <w:szCs w:val="21"/>
        </w:rPr>
      </w:pPr>
      <w:r>
        <w:rPr>
          <w:rFonts w:ascii="Times New Roman" w:hAnsi="Times New Roman" w:eastAsia="Times New Roman" w:cs="Times New Roman"/>
          <w:spacing w:val="-1"/>
          <w:sz w:val="21"/>
          <w:szCs w:val="21"/>
        </w:rPr>
        <w:t xml:space="preserve">6.1.2 </w:t>
      </w:r>
      <w:r>
        <w:rPr>
          <w:rFonts w:ascii="宋体" w:hAnsi="宋体" w:eastAsia="宋体" w:cs="宋体"/>
          <w:spacing w:val="-1"/>
          <w:sz w:val="21"/>
          <w:szCs w:val="21"/>
        </w:rPr>
        <w:t>安全生产保证措施</w:t>
      </w:r>
    </w:p>
    <w:p w14:paraId="7BF809A1">
      <w:pPr>
        <w:spacing w:before="147" w:line="352" w:lineRule="auto"/>
        <w:ind w:left="17" w:right="158" w:firstLine="423"/>
        <w:rPr>
          <w:rFonts w:ascii="宋体" w:hAnsi="宋体" w:eastAsia="宋体" w:cs="宋体"/>
          <w:sz w:val="21"/>
          <w:szCs w:val="21"/>
        </w:rPr>
      </w:pPr>
      <w:r>
        <w:rPr>
          <w:rFonts w:ascii="宋体" w:hAnsi="宋体" w:eastAsia="宋体" w:cs="宋体"/>
          <w:sz w:val="21"/>
          <w:szCs w:val="21"/>
        </w:rPr>
        <w:t>承包人应当按照有关规定编制安全技术措施或者专项施工方案， 建立安全生产责任制</w:t>
      </w:r>
      <w:r>
        <w:rPr>
          <w:rFonts w:ascii="宋体" w:hAnsi="宋体" w:eastAsia="宋体" w:cs="宋体"/>
          <w:spacing w:val="9"/>
          <w:sz w:val="21"/>
          <w:szCs w:val="21"/>
        </w:rPr>
        <w:t xml:space="preserve"> </w:t>
      </w:r>
      <w:r>
        <w:rPr>
          <w:rFonts w:ascii="宋体" w:hAnsi="宋体" w:eastAsia="宋体" w:cs="宋体"/>
          <w:sz w:val="21"/>
          <w:szCs w:val="21"/>
        </w:rPr>
        <w:t>度、治安保卫制度及安全生产教育培训制度， 并按安全生产法律规定及合同约定履行安全</w:t>
      </w:r>
      <w:r>
        <w:rPr>
          <w:rFonts w:ascii="宋体" w:hAnsi="宋体" w:eastAsia="宋体" w:cs="宋体"/>
          <w:spacing w:val="7"/>
          <w:sz w:val="21"/>
          <w:szCs w:val="21"/>
        </w:rPr>
        <w:t xml:space="preserve"> </w:t>
      </w:r>
      <w:r>
        <w:rPr>
          <w:rFonts w:ascii="宋体" w:hAnsi="宋体" w:eastAsia="宋体" w:cs="宋体"/>
          <w:sz w:val="21"/>
          <w:szCs w:val="21"/>
        </w:rPr>
        <w:t>职责， 如实编制工程安全生产的有关记录，接受发包人、监理人及政府安全监督部门的检</w:t>
      </w:r>
    </w:p>
    <w:p w14:paraId="0132D1E4">
      <w:pPr>
        <w:spacing w:line="222" w:lineRule="auto"/>
        <w:ind w:left="20"/>
        <w:rPr>
          <w:rFonts w:ascii="宋体" w:hAnsi="宋体" w:eastAsia="宋体" w:cs="宋体"/>
          <w:sz w:val="21"/>
          <w:szCs w:val="21"/>
        </w:rPr>
      </w:pPr>
      <w:r>
        <w:rPr>
          <w:rFonts w:ascii="宋体" w:hAnsi="宋体" w:eastAsia="宋体" w:cs="宋体"/>
          <w:spacing w:val="-6"/>
          <w:sz w:val="21"/>
          <w:szCs w:val="21"/>
        </w:rPr>
        <w:t>查与监督。</w:t>
      </w:r>
    </w:p>
    <w:p w14:paraId="31685660">
      <w:pPr>
        <w:spacing w:before="150" w:line="221" w:lineRule="auto"/>
        <w:ind w:left="442"/>
        <w:rPr>
          <w:rFonts w:ascii="宋体" w:hAnsi="宋体" w:eastAsia="宋体" w:cs="宋体"/>
          <w:sz w:val="21"/>
          <w:szCs w:val="21"/>
        </w:rPr>
      </w:pPr>
      <w:r>
        <w:rPr>
          <w:rFonts w:ascii="Times New Roman" w:hAnsi="Times New Roman" w:eastAsia="Times New Roman" w:cs="Times New Roman"/>
          <w:spacing w:val="-2"/>
          <w:sz w:val="21"/>
          <w:szCs w:val="21"/>
        </w:rPr>
        <w:t xml:space="preserve">6.1.3 </w:t>
      </w:r>
      <w:r>
        <w:rPr>
          <w:rFonts w:ascii="宋体" w:hAnsi="宋体" w:eastAsia="宋体" w:cs="宋体"/>
          <w:spacing w:val="-2"/>
          <w:sz w:val="21"/>
          <w:szCs w:val="21"/>
        </w:rPr>
        <w:t>特别安全生产事项</w:t>
      </w:r>
    </w:p>
    <w:p w14:paraId="624A2C56">
      <w:pPr>
        <w:spacing w:before="149" w:line="352" w:lineRule="auto"/>
        <w:ind w:left="21" w:right="158" w:firstLine="419"/>
        <w:rPr>
          <w:rFonts w:ascii="宋体" w:hAnsi="宋体" w:eastAsia="宋体" w:cs="宋体"/>
          <w:sz w:val="21"/>
          <w:szCs w:val="21"/>
        </w:rPr>
      </w:pPr>
      <w:r>
        <w:rPr>
          <w:rFonts w:ascii="宋体" w:hAnsi="宋体" w:eastAsia="宋体" w:cs="宋体"/>
          <w:spacing w:val="3"/>
          <w:sz w:val="21"/>
          <w:szCs w:val="21"/>
        </w:rPr>
        <w:t>承包人应按照法律规定进行施工，开工前做好安全技术交底工作，施工过程中做好各 项安全防护措施。承包人为实施合同而雇用的特殊工种的人员应受过</w:t>
      </w:r>
      <w:r>
        <w:rPr>
          <w:rFonts w:ascii="宋体" w:hAnsi="宋体" w:eastAsia="宋体" w:cs="宋体"/>
          <w:spacing w:val="2"/>
          <w:sz w:val="21"/>
          <w:szCs w:val="21"/>
        </w:rPr>
        <w:t>专门的培训并已取得</w:t>
      </w:r>
    </w:p>
    <w:p w14:paraId="7EE5EEF4">
      <w:pPr>
        <w:spacing w:before="1" w:line="219" w:lineRule="auto"/>
        <w:ind w:left="17"/>
        <w:rPr>
          <w:rFonts w:ascii="宋体" w:hAnsi="宋体" w:eastAsia="宋体" w:cs="宋体"/>
          <w:sz w:val="21"/>
          <w:szCs w:val="21"/>
        </w:rPr>
      </w:pPr>
      <w:r>
        <w:rPr>
          <w:rFonts w:ascii="宋体" w:hAnsi="宋体" w:eastAsia="宋体" w:cs="宋体"/>
          <w:spacing w:val="-2"/>
          <w:sz w:val="21"/>
          <w:szCs w:val="21"/>
        </w:rPr>
        <w:t>政府有关管理机构颁发的上岗证书。</w:t>
      </w:r>
    </w:p>
    <w:p w14:paraId="6F184905">
      <w:pPr>
        <w:spacing w:before="149" w:line="352" w:lineRule="auto"/>
        <w:ind w:left="18" w:right="158" w:firstLine="422"/>
        <w:rPr>
          <w:rFonts w:ascii="宋体" w:hAnsi="宋体" w:eastAsia="宋体" w:cs="宋体"/>
          <w:sz w:val="21"/>
          <w:szCs w:val="21"/>
        </w:rPr>
      </w:pPr>
      <w:r>
        <w:rPr>
          <w:rFonts w:ascii="宋体" w:hAnsi="宋体" w:eastAsia="宋体" w:cs="宋体"/>
          <w:spacing w:val="3"/>
          <w:sz w:val="21"/>
          <w:szCs w:val="21"/>
        </w:rPr>
        <w:t>承包人在动力设备、输电线路、地下管道、密封防震车间、易燃易爆地段以及临街交 通要道附近施工时，施工开始前应向发包人和监理人提出安全防护措施，经</w:t>
      </w:r>
      <w:r>
        <w:rPr>
          <w:rFonts w:ascii="宋体" w:hAnsi="宋体" w:eastAsia="宋体" w:cs="宋体"/>
          <w:spacing w:val="2"/>
          <w:sz w:val="21"/>
          <w:szCs w:val="21"/>
        </w:rPr>
        <w:t>发包人认可后</w:t>
      </w:r>
    </w:p>
    <w:p w14:paraId="1657CC97">
      <w:pPr>
        <w:spacing w:before="1" w:line="221" w:lineRule="auto"/>
        <w:ind w:left="23"/>
        <w:rPr>
          <w:rFonts w:ascii="宋体" w:hAnsi="宋体" w:eastAsia="宋体" w:cs="宋体"/>
          <w:sz w:val="21"/>
          <w:szCs w:val="21"/>
        </w:rPr>
      </w:pPr>
      <w:r>
        <w:rPr>
          <w:rFonts w:ascii="宋体" w:hAnsi="宋体" w:eastAsia="宋体" w:cs="宋体"/>
          <w:spacing w:val="-10"/>
          <w:sz w:val="21"/>
          <w:szCs w:val="21"/>
        </w:rPr>
        <w:t>实施。</w:t>
      </w:r>
    </w:p>
    <w:p w14:paraId="7C8D6548">
      <w:pPr>
        <w:spacing w:before="145" w:line="353" w:lineRule="auto"/>
        <w:ind w:left="18" w:right="159" w:firstLine="427"/>
        <w:rPr>
          <w:rFonts w:ascii="宋体" w:hAnsi="宋体" w:eastAsia="宋体" w:cs="宋体"/>
          <w:sz w:val="21"/>
          <w:szCs w:val="21"/>
        </w:rPr>
      </w:pPr>
      <w:r>
        <w:rPr>
          <w:rFonts w:ascii="宋体" w:hAnsi="宋体" w:eastAsia="宋体" w:cs="宋体"/>
          <w:spacing w:val="-3"/>
          <w:sz w:val="21"/>
          <w:szCs w:val="21"/>
        </w:rPr>
        <w:t>实施爆破作业， 在放射、毒害性环境中施工（含储存、运输、使用）</w:t>
      </w:r>
      <w:r>
        <w:rPr>
          <w:rFonts w:ascii="宋体" w:hAnsi="宋体" w:eastAsia="宋体" w:cs="宋体"/>
          <w:spacing w:val="-19"/>
          <w:sz w:val="21"/>
          <w:szCs w:val="21"/>
        </w:rPr>
        <w:t xml:space="preserve"> </w:t>
      </w:r>
      <w:r>
        <w:rPr>
          <w:rFonts w:ascii="宋体" w:hAnsi="宋体" w:eastAsia="宋体" w:cs="宋体"/>
          <w:spacing w:val="-3"/>
          <w:sz w:val="21"/>
          <w:szCs w:val="21"/>
        </w:rPr>
        <w:t>及使用毒害性、</w:t>
      </w:r>
      <w:r>
        <w:rPr>
          <w:rFonts w:ascii="宋体" w:hAnsi="宋体" w:eastAsia="宋体" w:cs="宋体"/>
          <w:sz w:val="21"/>
          <w:szCs w:val="21"/>
        </w:rPr>
        <w:t xml:space="preserve"> 腐蚀性物品施工时，承包人应在施工前 </w:t>
      </w:r>
      <w:r>
        <w:rPr>
          <w:rFonts w:ascii="Times New Roman" w:hAnsi="Times New Roman" w:eastAsia="Times New Roman" w:cs="Times New Roman"/>
          <w:sz w:val="21"/>
          <w:szCs w:val="21"/>
        </w:rPr>
        <w:t>7</w:t>
      </w:r>
      <w:r>
        <w:rPr>
          <w:rFonts w:ascii="Times New Roman" w:hAnsi="Times New Roman" w:eastAsia="Times New Roman" w:cs="Times New Roman"/>
          <w:spacing w:val="63"/>
          <w:w w:val="101"/>
          <w:sz w:val="21"/>
          <w:szCs w:val="21"/>
        </w:rPr>
        <w:t xml:space="preserve"> </w:t>
      </w:r>
      <w:r>
        <w:rPr>
          <w:rFonts w:ascii="宋体" w:hAnsi="宋体" w:eastAsia="宋体" w:cs="宋体"/>
          <w:sz w:val="21"/>
          <w:szCs w:val="21"/>
        </w:rPr>
        <w:t>天以书面通知发包人和监理人，并报送相应的安</w:t>
      </w:r>
    </w:p>
    <w:p w14:paraId="5CFD6584">
      <w:pPr>
        <w:spacing w:before="1" w:line="221" w:lineRule="auto"/>
        <w:ind w:left="18"/>
        <w:rPr>
          <w:rFonts w:ascii="宋体" w:hAnsi="宋体" w:eastAsia="宋体" w:cs="宋体"/>
          <w:sz w:val="21"/>
          <w:szCs w:val="21"/>
        </w:rPr>
      </w:pPr>
      <w:r>
        <w:rPr>
          <w:rFonts w:ascii="宋体" w:hAnsi="宋体" w:eastAsia="宋体" w:cs="宋体"/>
          <w:spacing w:val="-2"/>
          <w:sz w:val="21"/>
          <w:szCs w:val="21"/>
        </w:rPr>
        <w:t>全防护措施，经发包人认可后实施。</w:t>
      </w:r>
    </w:p>
    <w:p w14:paraId="2584DDC1">
      <w:pPr>
        <w:spacing w:before="146" w:line="399" w:lineRule="exact"/>
        <w:ind w:left="452"/>
        <w:rPr>
          <w:rFonts w:ascii="宋体" w:hAnsi="宋体" w:eastAsia="宋体" w:cs="宋体"/>
          <w:sz w:val="21"/>
          <w:szCs w:val="21"/>
        </w:rPr>
      </w:pPr>
      <w:r>
        <w:rPr>
          <w:rFonts w:ascii="宋体" w:hAnsi="宋体" w:eastAsia="宋体" w:cs="宋体"/>
          <w:position w:val="14"/>
          <w:sz w:val="21"/>
          <w:szCs w:val="21"/>
        </w:rPr>
        <w:t>需单独编制危险性较大分部分项专项工程施工方案的， 及要求进行专家论证的超过一</w:t>
      </w:r>
    </w:p>
    <w:p w14:paraId="2EE4AA30">
      <w:pPr>
        <w:spacing w:line="220" w:lineRule="auto"/>
        <w:ind w:left="23"/>
        <w:rPr>
          <w:rFonts w:ascii="宋体" w:hAnsi="宋体" w:eastAsia="宋体" w:cs="宋体"/>
          <w:sz w:val="21"/>
          <w:szCs w:val="21"/>
        </w:rPr>
      </w:pPr>
      <w:r>
        <w:rPr>
          <w:rFonts w:ascii="宋体" w:hAnsi="宋体" w:eastAsia="宋体" w:cs="宋体"/>
          <w:spacing w:val="-4"/>
          <w:sz w:val="21"/>
          <w:szCs w:val="21"/>
        </w:rPr>
        <w:t>定规模的危险性较大的分部分项工程， 承包人应及</w:t>
      </w:r>
      <w:r>
        <w:rPr>
          <w:rFonts w:ascii="宋体" w:hAnsi="宋体" w:eastAsia="宋体" w:cs="宋体"/>
          <w:spacing w:val="-5"/>
          <w:sz w:val="21"/>
          <w:szCs w:val="21"/>
        </w:rPr>
        <w:t>时编制和组织论证。</w:t>
      </w:r>
    </w:p>
    <w:p w14:paraId="5D2F768A">
      <w:pPr>
        <w:spacing w:before="153" w:line="221" w:lineRule="auto"/>
        <w:ind w:left="442"/>
        <w:rPr>
          <w:rFonts w:ascii="宋体" w:hAnsi="宋体" w:eastAsia="宋体" w:cs="宋体"/>
          <w:sz w:val="21"/>
          <w:szCs w:val="21"/>
        </w:rPr>
      </w:pPr>
      <w:r>
        <w:rPr>
          <w:rFonts w:ascii="Times New Roman" w:hAnsi="Times New Roman" w:eastAsia="Times New Roman" w:cs="Times New Roman"/>
          <w:spacing w:val="-2"/>
          <w:sz w:val="21"/>
          <w:szCs w:val="21"/>
        </w:rPr>
        <w:t>6.1.4</w:t>
      </w:r>
      <w:r>
        <w:rPr>
          <w:rFonts w:ascii="Times New Roman" w:hAnsi="Times New Roman" w:eastAsia="Times New Roman" w:cs="Times New Roman"/>
          <w:spacing w:val="14"/>
          <w:sz w:val="21"/>
          <w:szCs w:val="21"/>
        </w:rPr>
        <w:t xml:space="preserve"> </w:t>
      </w:r>
      <w:r>
        <w:rPr>
          <w:rFonts w:ascii="宋体" w:hAnsi="宋体" w:eastAsia="宋体" w:cs="宋体"/>
          <w:spacing w:val="-2"/>
          <w:sz w:val="21"/>
          <w:szCs w:val="21"/>
        </w:rPr>
        <w:t>治安保卫</w:t>
      </w:r>
    </w:p>
    <w:p w14:paraId="1BAA8176">
      <w:pPr>
        <w:spacing w:before="147" w:line="398" w:lineRule="exact"/>
        <w:ind w:left="453"/>
        <w:rPr>
          <w:rFonts w:ascii="宋体" w:hAnsi="宋体" w:eastAsia="宋体" w:cs="宋体"/>
          <w:sz w:val="21"/>
          <w:szCs w:val="21"/>
        </w:rPr>
      </w:pPr>
      <w:r>
        <w:rPr>
          <w:rFonts w:ascii="宋体" w:hAnsi="宋体" w:eastAsia="宋体" w:cs="宋体"/>
          <w:spacing w:val="3"/>
          <w:position w:val="14"/>
          <w:sz w:val="21"/>
          <w:szCs w:val="21"/>
        </w:rPr>
        <w:t>除专用合同条款另有约定外，发包人应与当地公安部门协商，</w:t>
      </w:r>
      <w:r>
        <w:rPr>
          <w:rFonts w:ascii="宋体" w:hAnsi="宋体" w:eastAsia="宋体" w:cs="宋体"/>
          <w:spacing w:val="2"/>
          <w:position w:val="14"/>
          <w:sz w:val="21"/>
          <w:szCs w:val="21"/>
        </w:rPr>
        <w:t>在现场建立治安管理机</w:t>
      </w:r>
    </w:p>
    <w:p w14:paraId="3B3349BD">
      <w:pPr>
        <w:spacing w:before="1" w:line="220" w:lineRule="auto"/>
        <w:ind w:left="20"/>
        <w:rPr>
          <w:rFonts w:ascii="宋体" w:hAnsi="宋体" w:eastAsia="宋体" w:cs="宋体"/>
          <w:sz w:val="21"/>
          <w:szCs w:val="21"/>
        </w:rPr>
      </w:pPr>
      <w:r>
        <w:rPr>
          <w:rFonts w:ascii="宋体" w:hAnsi="宋体" w:eastAsia="宋体" w:cs="宋体"/>
          <w:spacing w:val="-2"/>
          <w:sz w:val="21"/>
          <w:szCs w:val="21"/>
        </w:rPr>
        <w:t>构或联防组织，统一管理施工场地的治安保卫事</w:t>
      </w:r>
      <w:r>
        <w:rPr>
          <w:rFonts w:ascii="宋体" w:hAnsi="宋体" w:eastAsia="宋体" w:cs="宋体"/>
          <w:spacing w:val="-3"/>
          <w:sz w:val="21"/>
          <w:szCs w:val="21"/>
        </w:rPr>
        <w:t>项，</w:t>
      </w:r>
      <w:r>
        <w:rPr>
          <w:rFonts w:ascii="宋体" w:hAnsi="宋体" w:eastAsia="宋体" w:cs="宋体"/>
          <w:spacing w:val="-23"/>
          <w:sz w:val="21"/>
          <w:szCs w:val="21"/>
        </w:rPr>
        <w:t xml:space="preserve"> </w:t>
      </w:r>
      <w:r>
        <w:rPr>
          <w:rFonts w:ascii="宋体" w:hAnsi="宋体" w:eastAsia="宋体" w:cs="宋体"/>
          <w:spacing w:val="-3"/>
          <w:sz w:val="21"/>
          <w:szCs w:val="21"/>
        </w:rPr>
        <w:t>履行合同工程的治安保卫职责。</w:t>
      </w:r>
    </w:p>
    <w:p w14:paraId="7F2187DD">
      <w:pPr>
        <w:spacing w:before="152" w:line="399" w:lineRule="exact"/>
        <w:ind w:left="444"/>
        <w:rPr>
          <w:rFonts w:ascii="宋体" w:hAnsi="宋体" w:eastAsia="宋体" w:cs="宋体"/>
          <w:sz w:val="21"/>
          <w:szCs w:val="21"/>
        </w:rPr>
      </w:pPr>
      <w:r>
        <w:rPr>
          <w:rFonts w:ascii="宋体" w:hAnsi="宋体" w:eastAsia="宋体" w:cs="宋体"/>
          <w:spacing w:val="3"/>
          <w:position w:val="14"/>
          <w:sz w:val="21"/>
          <w:szCs w:val="21"/>
        </w:rPr>
        <w:t>发包人和承包人除应协助现场治安管理机构或联防组织维护施工场地</w:t>
      </w:r>
      <w:r>
        <w:rPr>
          <w:rFonts w:ascii="宋体" w:hAnsi="宋体" w:eastAsia="宋体" w:cs="宋体"/>
          <w:spacing w:val="2"/>
          <w:position w:val="14"/>
          <w:sz w:val="21"/>
          <w:szCs w:val="21"/>
        </w:rPr>
        <w:t>的社会治安外，</w:t>
      </w:r>
    </w:p>
    <w:p w14:paraId="0E3E0F46">
      <w:pPr>
        <w:spacing w:before="1" w:line="219" w:lineRule="auto"/>
        <w:ind w:left="17"/>
        <w:rPr>
          <w:rFonts w:ascii="宋体" w:hAnsi="宋体" w:eastAsia="宋体" w:cs="宋体"/>
          <w:sz w:val="21"/>
          <w:szCs w:val="21"/>
        </w:rPr>
      </w:pPr>
      <w:r>
        <w:rPr>
          <w:rFonts w:ascii="宋体" w:hAnsi="宋体" w:eastAsia="宋体" w:cs="宋体"/>
          <w:spacing w:val="-1"/>
          <w:sz w:val="21"/>
          <w:szCs w:val="21"/>
        </w:rPr>
        <w:t>还应做好包括生活区在内的各自管辖区的治安保卫工作。</w:t>
      </w:r>
    </w:p>
    <w:p w14:paraId="1F28568B">
      <w:pPr>
        <w:spacing w:before="149" w:line="403" w:lineRule="exact"/>
        <w:ind w:left="453"/>
        <w:rPr>
          <w:rFonts w:ascii="宋体" w:hAnsi="宋体" w:eastAsia="宋体" w:cs="宋体"/>
          <w:sz w:val="21"/>
          <w:szCs w:val="21"/>
        </w:rPr>
      </w:pPr>
      <w:r>
        <w:rPr>
          <w:rFonts w:ascii="宋体" w:hAnsi="宋体" w:eastAsia="宋体" w:cs="宋体"/>
          <w:position w:val="14"/>
          <w:sz w:val="21"/>
          <w:szCs w:val="21"/>
        </w:rPr>
        <w:t xml:space="preserve">除专用合同条款另有约定外，发包人和承包人应在工程开工后 </w:t>
      </w:r>
      <w:r>
        <w:rPr>
          <w:rFonts w:ascii="Times New Roman" w:hAnsi="Times New Roman" w:eastAsia="Times New Roman" w:cs="Times New Roman"/>
          <w:position w:val="14"/>
          <w:sz w:val="21"/>
          <w:szCs w:val="21"/>
        </w:rPr>
        <w:t xml:space="preserve">7  </w:t>
      </w:r>
      <w:r>
        <w:rPr>
          <w:rFonts w:ascii="宋体" w:hAnsi="宋体" w:eastAsia="宋体" w:cs="宋体"/>
          <w:position w:val="14"/>
          <w:sz w:val="21"/>
          <w:szCs w:val="21"/>
        </w:rPr>
        <w:t>天内共同编制施工场</w:t>
      </w:r>
    </w:p>
    <w:p w14:paraId="3E69E5D7">
      <w:pPr>
        <w:spacing w:before="1" w:line="219" w:lineRule="auto"/>
        <w:ind w:left="18"/>
        <w:rPr>
          <w:rFonts w:ascii="宋体" w:hAnsi="宋体" w:eastAsia="宋体" w:cs="宋体"/>
          <w:sz w:val="21"/>
          <w:szCs w:val="21"/>
        </w:rPr>
      </w:pPr>
      <w:r>
        <w:rPr>
          <w:rFonts w:ascii="宋体" w:hAnsi="宋体" w:eastAsia="宋体" w:cs="宋体"/>
          <w:sz w:val="21"/>
          <w:szCs w:val="21"/>
        </w:rPr>
        <w:t>地治安管理计划， 并制定应对突发治安事件的紧急预案。在工程施工过程中，发生暴乱、</w:t>
      </w:r>
    </w:p>
    <w:p w14:paraId="78F19A44">
      <w:pPr>
        <w:spacing w:before="147" w:line="353" w:lineRule="auto"/>
        <w:ind w:left="18"/>
        <w:rPr>
          <w:rFonts w:ascii="宋体" w:hAnsi="宋体" w:eastAsia="宋体" w:cs="宋体"/>
          <w:sz w:val="21"/>
          <w:szCs w:val="21"/>
        </w:rPr>
      </w:pPr>
      <w:r>
        <w:rPr>
          <w:rFonts w:ascii="宋体" w:hAnsi="宋体" w:eastAsia="宋体" w:cs="宋体"/>
          <w:sz w:val="21"/>
          <w:szCs w:val="21"/>
        </w:rPr>
        <w:t>爆炸等恐怖事件， 以及群殴、械斗等群体性突发</w:t>
      </w:r>
      <w:r>
        <w:rPr>
          <w:rFonts w:ascii="宋体" w:hAnsi="宋体" w:eastAsia="宋体" w:cs="宋体"/>
          <w:spacing w:val="-1"/>
          <w:sz w:val="21"/>
          <w:szCs w:val="21"/>
        </w:rPr>
        <w:t xml:space="preserve">治安事件的，发包人和承包人应立即向当  </w:t>
      </w:r>
      <w:r>
        <w:rPr>
          <w:rFonts w:ascii="宋体" w:hAnsi="宋体" w:eastAsia="宋体" w:cs="宋体"/>
          <w:spacing w:val="2"/>
          <w:sz w:val="21"/>
          <w:szCs w:val="21"/>
        </w:rPr>
        <w:t>地政府报告。发包人和承包人应积极协助当地有关部门采</w:t>
      </w:r>
      <w:r>
        <w:rPr>
          <w:rFonts w:ascii="宋体" w:hAnsi="宋体" w:eastAsia="宋体" w:cs="宋体"/>
          <w:spacing w:val="1"/>
          <w:sz w:val="21"/>
          <w:szCs w:val="21"/>
        </w:rPr>
        <w:t>取措施平息事态，防止事态扩大，</w:t>
      </w:r>
    </w:p>
    <w:p w14:paraId="430D6541">
      <w:pPr>
        <w:spacing w:before="1" w:line="220" w:lineRule="auto"/>
        <w:ind w:left="19"/>
        <w:rPr>
          <w:rFonts w:ascii="宋体" w:hAnsi="宋体" w:eastAsia="宋体" w:cs="宋体"/>
          <w:sz w:val="21"/>
          <w:szCs w:val="21"/>
        </w:rPr>
      </w:pPr>
      <w:r>
        <w:rPr>
          <w:rFonts w:ascii="宋体" w:hAnsi="宋体" w:eastAsia="宋体" w:cs="宋体"/>
          <w:spacing w:val="-1"/>
          <w:sz w:val="21"/>
          <w:szCs w:val="21"/>
        </w:rPr>
        <w:t>尽量避免人员伤亡和财产损失。</w:t>
      </w:r>
    </w:p>
    <w:p w14:paraId="597E50C5">
      <w:pPr>
        <w:spacing w:before="147" w:line="221" w:lineRule="auto"/>
        <w:ind w:left="442"/>
        <w:rPr>
          <w:rFonts w:ascii="宋体" w:hAnsi="宋体" w:eastAsia="宋体" w:cs="宋体"/>
          <w:sz w:val="21"/>
          <w:szCs w:val="21"/>
        </w:rPr>
      </w:pPr>
      <w:r>
        <w:rPr>
          <w:rFonts w:ascii="Times New Roman" w:hAnsi="Times New Roman" w:eastAsia="Times New Roman" w:cs="Times New Roman"/>
          <w:spacing w:val="-1"/>
          <w:sz w:val="21"/>
          <w:szCs w:val="21"/>
        </w:rPr>
        <w:t xml:space="preserve">6.1.5 </w:t>
      </w:r>
      <w:r>
        <w:rPr>
          <w:rFonts w:ascii="宋体" w:hAnsi="宋体" w:eastAsia="宋体" w:cs="宋体"/>
          <w:spacing w:val="-1"/>
          <w:sz w:val="21"/>
          <w:szCs w:val="21"/>
        </w:rPr>
        <w:t>文明施工</w:t>
      </w:r>
    </w:p>
    <w:p w14:paraId="6FDBDD0F">
      <w:pPr>
        <w:spacing w:before="148" w:line="352" w:lineRule="auto"/>
        <w:ind w:left="18" w:right="158" w:firstLine="422"/>
        <w:rPr>
          <w:rFonts w:ascii="宋体" w:hAnsi="宋体" w:eastAsia="宋体" w:cs="宋体"/>
          <w:sz w:val="21"/>
          <w:szCs w:val="21"/>
        </w:rPr>
      </w:pPr>
      <w:r>
        <w:rPr>
          <w:rFonts w:ascii="宋体" w:hAnsi="宋体" w:eastAsia="宋体" w:cs="宋体"/>
          <w:sz w:val="21"/>
          <w:szCs w:val="21"/>
        </w:rPr>
        <w:t>承包人在工程施工期间，应当采取措施保持施工现场平整， 物料堆放整齐。工程所在</w:t>
      </w:r>
      <w:r>
        <w:rPr>
          <w:rFonts w:ascii="宋体" w:hAnsi="宋体" w:eastAsia="宋体" w:cs="宋体"/>
          <w:spacing w:val="9"/>
          <w:sz w:val="21"/>
          <w:szCs w:val="21"/>
        </w:rPr>
        <w:t xml:space="preserve"> </w:t>
      </w:r>
      <w:r>
        <w:rPr>
          <w:rFonts w:ascii="宋体" w:hAnsi="宋体" w:eastAsia="宋体" w:cs="宋体"/>
          <w:spacing w:val="-2"/>
          <w:sz w:val="21"/>
          <w:szCs w:val="21"/>
        </w:rPr>
        <w:t xml:space="preserve">地有关政府行政管理部门有特殊要求的， 按照其要求执行。 </w:t>
      </w:r>
      <w:r>
        <w:rPr>
          <w:rFonts w:ascii="宋体" w:hAnsi="宋体" w:eastAsia="宋体" w:cs="宋体"/>
          <w:spacing w:val="-3"/>
          <w:sz w:val="21"/>
          <w:szCs w:val="21"/>
        </w:rPr>
        <w:t>合同当事人对文明施工有其他</w:t>
      </w:r>
    </w:p>
    <w:p w14:paraId="189E874A">
      <w:pPr>
        <w:spacing w:before="1" w:line="220" w:lineRule="auto"/>
        <w:ind w:left="19"/>
        <w:rPr>
          <w:rFonts w:ascii="宋体" w:hAnsi="宋体" w:eastAsia="宋体" w:cs="宋体"/>
          <w:sz w:val="21"/>
          <w:szCs w:val="21"/>
        </w:rPr>
      </w:pPr>
      <w:r>
        <w:rPr>
          <w:rFonts w:ascii="宋体" w:hAnsi="宋体" w:eastAsia="宋体" w:cs="宋体"/>
          <w:spacing w:val="-2"/>
          <w:sz w:val="21"/>
          <w:szCs w:val="21"/>
        </w:rPr>
        <w:t>要求的，可以在专用合同条款中明确。</w:t>
      </w:r>
    </w:p>
    <w:p w14:paraId="55BE7DF3">
      <w:pPr>
        <w:spacing w:line="220" w:lineRule="auto"/>
        <w:rPr>
          <w:rFonts w:ascii="宋体" w:hAnsi="宋体" w:eastAsia="宋体" w:cs="宋体"/>
          <w:sz w:val="21"/>
          <w:szCs w:val="21"/>
        </w:rPr>
        <w:sectPr>
          <w:footerReference r:id="rId104" w:type="default"/>
          <w:pgSz w:w="11905" w:h="16839"/>
          <w:pgMar w:top="1431" w:right="1633" w:bottom="1004" w:left="1785" w:header="0" w:footer="828" w:gutter="0"/>
          <w:pgNumType w:fmt="decimal"/>
          <w:cols w:space="720" w:num="1"/>
        </w:sectPr>
      </w:pPr>
    </w:p>
    <w:p w14:paraId="783C922D">
      <w:pPr>
        <w:spacing w:before="150" w:line="352" w:lineRule="auto"/>
        <w:ind w:left="19" w:right="6" w:firstLine="421"/>
        <w:rPr>
          <w:rFonts w:ascii="宋体" w:hAnsi="宋体" w:eastAsia="宋体" w:cs="宋体"/>
          <w:sz w:val="21"/>
          <w:szCs w:val="21"/>
        </w:rPr>
      </w:pPr>
      <w:r>
        <w:rPr>
          <w:rFonts w:ascii="宋体" w:hAnsi="宋体" w:eastAsia="宋体" w:cs="宋体"/>
          <w:spacing w:val="3"/>
          <w:sz w:val="21"/>
          <w:szCs w:val="21"/>
        </w:rPr>
        <w:t>在工程移交之前，承包人应当从施工现场清除承包人的全部工程设备、多余材料、垃 圾和各种临时工程，并保持施工现场清洁整齐。经发包人书面同意，承包人</w:t>
      </w:r>
      <w:r>
        <w:rPr>
          <w:rFonts w:ascii="宋体" w:hAnsi="宋体" w:eastAsia="宋体" w:cs="宋体"/>
          <w:spacing w:val="2"/>
          <w:sz w:val="21"/>
          <w:szCs w:val="21"/>
        </w:rPr>
        <w:t>可在发包人指</w:t>
      </w:r>
    </w:p>
    <w:p w14:paraId="3A6B799F">
      <w:pPr>
        <w:spacing w:line="219" w:lineRule="auto"/>
        <w:ind w:left="23"/>
        <w:rPr>
          <w:rFonts w:ascii="宋体" w:hAnsi="宋体" w:eastAsia="宋体" w:cs="宋体"/>
          <w:sz w:val="21"/>
          <w:szCs w:val="21"/>
        </w:rPr>
      </w:pPr>
      <w:r>
        <w:rPr>
          <w:rFonts w:ascii="宋体" w:hAnsi="宋体" w:eastAsia="宋体" w:cs="宋体"/>
          <w:sz w:val="21"/>
          <w:szCs w:val="21"/>
        </w:rPr>
        <w:t>定的地点保留承包人履行保修期内的各项义务所需要的材料、</w:t>
      </w:r>
      <w:r>
        <w:rPr>
          <w:rFonts w:ascii="宋体" w:hAnsi="宋体" w:eastAsia="宋体" w:cs="宋体"/>
          <w:spacing w:val="-1"/>
          <w:sz w:val="21"/>
          <w:szCs w:val="21"/>
        </w:rPr>
        <w:t>施工设备和临时工程。</w:t>
      </w:r>
    </w:p>
    <w:p w14:paraId="3DEC2A04">
      <w:pPr>
        <w:spacing w:before="148" w:line="221" w:lineRule="auto"/>
        <w:ind w:left="442"/>
        <w:rPr>
          <w:rFonts w:ascii="宋体" w:hAnsi="宋体" w:eastAsia="宋体" w:cs="宋体"/>
          <w:sz w:val="21"/>
          <w:szCs w:val="21"/>
        </w:rPr>
      </w:pPr>
      <w:r>
        <w:rPr>
          <w:rFonts w:ascii="Times New Roman" w:hAnsi="Times New Roman" w:eastAsia="Times New Roman" w:cs="Times New Roman"/>
          <w:spacing w:val="-1"/>
          <w:sz w:val="21"/>
          <w:szCs w:val="21"/>
        </w:rPr>
        <w:t xml:space="preserve">6.1.6 </w:t>
      </w:r>
      <w:r>
        <w:rPr>
          <w:rFonts w:ascii="宋体" w:hAnsi="宋体" w:eastAsia="宋体" w:cs="宋体"/>
          <w:spacing w:val="-1"/>
          <w:sz w:val="21"/>
          <w:szCs w:val="21"/>
        </w:rPr>
        <w:t>安全文明施工费</w:t>
      </w:r>
    </w:p>
    <w:p w14:paraId="3551BFD6">
      <w:pPr>
        <w:spacing w:before="147" w:line="403" w:lineRule="exact"/>
        <w:ind w:right="6"/>
        <w:jc w:val="right"/>
        <w:rPr>
          <w:rFonts w:ascii="宋体" w:hAnsi="宋体" w:eastAsia="宋体" w:cs="宋体"/>
          <w:sz w:val="21"/>
          <w:szCs w:val="21"/>
        </w:rPr>
      </w:pPr>
      <w:r>
        <w:rPr>
          <w:rFonts w:ascii="宋体" w:hAnsi="宋体" w:eastAsia="宋体" w:cs="宋体"/>
          <w:position w:val="14"/>
          <w:sz w:val="21"/>
          <w:szCs w:val="21"/>
        </w:rPr>
        <w:t>安全文明施工费由发包人承担， 发包人不得以任何形式扣减该部分费用。因基准日期</w:t>
      </w:r>
    </w:p>
    <w:p w14:paraId="7A44C806">
      <w:pPr>
        <w:spacing w:before="1" w:line="219" w:lineRule="auto"/>
        <w:ind w:left="20"/>
        <w:rPr>
          <w:rFonts w:ascii="宋体" w:hAnsi="宋体" w:eastAsia="宋体" w:cs="宋体"/>
          <w:sz w:val="21"/>
          <w:szCs w:val="21"/>
        </w:rPr>
      </w:pPr>
      <w:r>
        <w:rPr>
          <w:rFonts w:ascii="宋体" w:hAnsi="宋体" w:eastAsia="宋体" w:cs="宋体"/>
          <w:spacing w:val="-3"/>
          <w:sz w:val="21"/>
          <w:szCs w:val="21"/>
        </w:rPr>
        <w:t>后合同所适用的法律或政府有关规定发生变化， 增加的安全</w:t>
      </w:r>
      <w:r>
        <w:rPr>
          <w:rFonts w:ascii="宋体" w:hAnsi="宋体" w:eastAsia="宋体" w:cs="宋体"/>
          <w:spacing w:val="-4"/>
          <w:sz w:val="21"/>
          <w:szCs w:val="21"/>
        </w:rPr>
        <w:t>文明施工费由发包人承担。</w:t>
      </w:r>
    </w:p>
    <w:p w14:paraId="1793895E">
      <w:pPr>
        <w:spacing w:before="147" w:line="353" w:lineRule="auto"/>
        <w:ind w:left="20" w:right="6" w:firstLine="421"/>
        <w:rPr>
          <w:rFonts w:ascii="宋体" w:hAnsi="宋体" w:eastAsia="宋体" w:cs="宋体"/>
          <w:sz w:val="21"/>
          <w:szCs w:val="21"/>
        </w:rPr>
      </w:pPr>
      <w:r>
        <w:rPr>
          <w:rFonts w:ascii="宋体" w:hAnsi="宋体" w:eastAsia="宋体" w:cs="宋体"/>
          <w:spacing w:val="3"/>
          <w:sz w:val="21"/>
          <w:szCs w:val="21"/>
        </w:rPr>
        <w:t xml:space="preserve">承包人经发包人同意采取合同约定以外的安全措施所产生的费用，由发包人承担。未 </w:t>
      </w:r>
      <w:r>
        <w:rPr>
          <w:rFonts w:ascii="宋体" w:hAnsi="宋体" w:eastAsia="宋体" w:cs="宋体"/>
          <w:sz w:val="21"/>
          <w:szCs w:val="21"/>
        </w:rPr>
        <w:t>经发包人同意的， 如果该措施避免了发包人的损失，则发包人在避免损失的额度内承担该</w:t>
      </w:r>
    </w:p>
    <w:p w14:paraId="6529D35C">
      <w:pPr>
        <w:spacing w:before="1" w:line="220" w:lineRule="auto"/>
        <w:ind w:left="18"/>
        <w:rPr>
          <w:rFonts w:ascii="宋体" w:hAnsi="宋体" w:eastAsia="宋体" w:cs="宋体"/>
          <w:sz w:val="21"/>
          <w:szCs w:val="21"/>
        </w:rPr>
      </w:pPr>
      <w:r>
        <w:rPr>
          <w:rFonts w:ascii="宋体" w:hAnsi="宋体" w:eastAsia="宋体" w:cs="宋体"/>
          <w:spacing w:val="-1"/>
          <w:sz w:val="21"/>
          <w:szCs w:val="21"/>
        </w:rPr>
        <w:t>措施费。如果该措施避免了承包人的损失，由承包人承担该措施费。</w:t>
      </w:r>
    </w:p>
    <w:p w14:paraId="222E2DFB">
      <w:pPr>
        <w:spacing w:before="146" w:line="352" w:lineRule="auto"/>
        <w:ind w:left="19" w:right="3" w:firstLine="434"/>
        <w:rPr>
          <w:rFonts w:ascii="宋体" w:hAnsi="宋体" w:eastAsia="宋体" w:cs="宋体"/>
          <w:sz w:val="21"/>
          <w:szCs w:val="21"/>
        </w:rPr>
      </w:pPr>
      <w:r>
        <w:rPr>
          <w:rFonts w:ascii="宋体" w:hAnsi="宋体" w:eastAsia="宋体" w:cs="宋体"/>
          <w:sz w:val="21"/>
          <w:szCs w:val="21"/>
        </w:rPr>
        <w:t xml:space="preserve">除专用合同条款另有约定外， 发包人应在开工后 </w:t>
      </w:r>
      <w:r>
        <w:rPr>
          <w:rFonts w:ascii="Times New Roman" w:hAnsi="Times New Roman" w:eastAsia="Times New Roman" w:cs="Times New Roman"/>
          <w:sz w:val="21"/>
          <w:szCs w:val="21"/>
        </w:rPr>
        <w:t>28</w:t>
      </w:r>
      <w:r>
        <w:rPr>
          <w:rFonts w:ascii="Times New Roman" w:hAnsi="Times New Roman" w:eastAsia="Times New Roman" w:cs="Times New Roman"/>
          <w:spacing w:val="52"/>
          <w:sz w:val="21"/>
          <w:szCs w:val="21"/>
        </w:rPr>
        <w:t xml:space="preserve"> </w:t>
      </w:r>
      <w:r>
        <w:rPr>
          <w:rFonts w:ascii="宋体" w:hAnsi="宋体" w:eastAsia="宋体" w:cs="宋体"/>
          <w:sz w:val="21"/>
          <w:szCs w:val="21"/>
        </w:rPr>
        <w:t xml:space="preserve">天内预付安全文明施工费总额的 </w:t>
      </w:r>
      <w:r>
        <w:rPr>
          <w:rFonts w:ascii="Times New Roman" w:hAnsi="Times New Roman" w:eastAsia="Times New Roman" w:cs="Times New Roman"/>
          <w:spacing w:val="1"/>
          <w:sz w:val="21"/>
          <w:szCs w:val="21"/>
        </w:rPr>
        <w:t>50%</w:t>
      </w:r>
      <w:r>
        <w:rPr>
          <w:rFonts w:ascii="宋体" w:hAnsi="宋体" w:eastAsia="宋体" w:cs="宋体"/>
          <w:spacing w:val="1"/>
          <w:sz w:val="21"/>
          <w:szCs w:val="21"/>
        </w:rPr>
        <w:t xml:space="preserve">，其余部分与进度款同期支付。发包人逾期支付安全文明施工费超过 </w:t>
      </w:r>
      <w:r>
        <w:rPr>
          <w:rFonts w:ascii="Times New Roman" w:hAnsi="Times New Roman" w:eastAsia="Times New Roman" w:cs="Times New Roman"/>
          <w:spacing w:val="1"/>
          <w:sz w:val="21"/>
          <w:szCs w:val="21"/>
        </w:rPr>
        <w:t xml:space="preserve">7  </w:t>
      </w:r>
      <w:r>
        <w:rPr>
          <w:rFonts w:ascii="宋体" w:hAnsi="宋体" w:eastAsia="宋体" w:cs="宋体"/>
          <w:spacing w:val="1"/>
          <w:sz w:val="21"/>
          <w:szCs w:val="21"/>
        </w:rPr>
        <w:t>天的，承</w:t>
      </w:r>
      <w:r>
        <w:rPr>
          <w:rFonts w:ascii="宋体" w:hAnsi="宋体" w:eastAsia="宋体" w:cs="宋体"/>
          <w:sz w:val="21"/>
          <w:szCs w:val="21"/>
        </w:rPr>
        <w:t xml:space="preserve">包人 有权向发包人发出要求预付的催告通知，发包人收到通知后 </w:t>
      </w:r>
      <w:r>
        <w:rPr>
          <w:rFonts w:ascii="Times New Roman" w:hAnsi="Times New Roman" w:eastAsia="Times New Roman" w:cs="Times New Roman"/>
          <w:sz w:val="21"/>
          <w:szCs w:val="21"/>
        </w:rPr>
        <w:t xml:space="preserve">7  </w:t>
      </w:r>
      <w:r>
        <w:rPr>
          <w:rFonts w:ascii="宋体" w:hAnsi="宋体" w:eastAsia="宋体" w:cs="宋体"/>
          <w:sz w:val="21"/>
          <w:szCs w:val="21"/>
        </w:rPr>
        <w:t>天内仍未支付的，承包人有</w:t>
      </w:r>
    </w:p>
    <w:p w14:paraId="5796F817">
      <w:pPr>
        <w:spacing w:before="1" w:line="220" w:lineRule="auto"/>
        <w:ind w:left="17"/>
        <w:rPr>
          <w:rFonts w:ascii="宋体" w:hAnsi="宋体" w:eastAsia="宋体" w:cs="宋体"/>
          <w:sz w:val="21"/>
          <w:szCs w:val="21"/>
        </w:rPr>
      </w:pPr>
      <w:r>
        <w:rPr>
          <w:rFonts w:ascii="宋体" w:hAnsi="宋体" w:eastAsia="宋体" w:cs="宋体"/>
          <w:spacing w:val="-3"/>
          <w:sz w:val="21"/>
          <w:szCs w:val="21"/>
        </w:rPr>
        <w:t xml:space="preserve">权暂停施工，并按第 </w:t>
      </w:r>
      <w:r>
        <w:rPr>
          <w:rFonts w:ascii="Times New Roman" w:hAnsi="Times New Roman" w:eastAsia="Times New Roman" w:cs="Times New Roman"/>
          <w:spacing w:val="-3"/>
          <w:sz w:val="21"/>
          <w:szCs w:val="21"/>
        </w:rPr>
        <w:t xml:space="preserve">16.1.1 </w:t>
      </w:r>
      <w:r>
        <w:rPr>
          <w:rFonts w:ascii="宋体" w:hAnsi="宋体" w:eastAsia="宋体" w:cs="宋体"/>
          <w:spacing w:val="-3"/>
          <w:sz w:val="21"/>
          <w:szCs w:val="21"/>
        </w:rPr>
        <w:t>项〔发包人违约的情形〕执行。</w:t>
      </w:r>
    </w:p>
    <w:p w14:paraId="45DE4A06">
      <w:pPr>
        <w:spacing w:before="148" w:line="352" w:lineRule="auto"/>
        <w:ind w:left="19" w:right="6" w:firstLine="422"/>
        <w:rPr>
          <w:rFonts w:ascii="宋体" w:hAnsi="宋体" w:eastAsia="宋体" w:cs="宋体"/>
          <w:sz w:val="21"/>
          <w:szCs w:val="21"/>
        </w:rPr>
      </w:pPr>
      <w:r>
        <w:rPr>
          <w:rFonts w:ascii="宋体" w:hAnsi="宋体" w:eastAsia="宋体" w:cs="宋体"/>
          <w:spacing w:val="3"/>
          <w:sz w:val="21"/>
          <w:szCs w:val="21"/>
        </w:rPr>
        <w:t xml:space="preserve">承包人对安全文明施工费应专款专用，承包人应在财务账目中单独列项备查，不得挪 </w:t>
      </w:r>
      <w:r>
        <w:rPr>
          <w:rFonts w:ascii="宋体" w:hAnsi="宋体" w:eastAsia="宋体" w:cs="宋体"/>
          <w:spacing w:val="-3"/>
          <w:sz w:val="21"/>
          <w:szCs w:val="21"/>
        </w:rPr>
        <w:t>作他用，否则发包人有权责令其限期改正；逾期未改</w:t>
      </w:r>
      <w:r>
        <w:rPr>
          <w:rFonts w:ascii="宋体" w:hAnsi="宋体" w:eastAsia="宋体" w:cs="宋体"/>
          <w:spacing w:val="-4"/>
          <w:sz w:val="21"/>
          <w:szCs w:val="21"/>
        </w:rPr>
        <w:t>正的， 可以责令其暂停施工，</w:t>
      </w:r>
      <w:r>
        <w:rPr>
          <w:rFonts w:ascii="宋体" w:hAnsi="宋体" w:eastAsia="宋体" w:cs="宋体"/>
          <w:spacing w:val="38"/>
          <w:sz w:val="21"/>
          <w:szCs w:val="21"/>
        </w:rPr>
        <w:t xml:space="preserve"> </w:t>
      </w:r>
      <w:r>
        <w:rPr>
          <w:rFonts w:ascii="宋体" w:hAnsi="宋体" w:eastAsia="宋体" w:cs="宋体"/>
          <w:spacing w:val="-4"/>
          <w:sz w:val="21"/>
          <w:szCs w:val="21"/>
        </w:rPr>
        <w:t>由此增</w:t>
      </w:r>
    </w:p>
    <w:p w14:paraId="32D6C89C">
      <w:pPr>
        <w:spacing w:before="1" w:line="220" w:lineRule="auto"/>
        <w:ind w:left="18"/>
        <w:rPr>
          <w:rFonts w:ascii="宋体" w:hAnsi="宋体" w:eastAsia="宋体" w:cs="宋体"/>
          <w:sz w:val="21"/>
          <w:szCs w:val="21"/>
        </w:rPr>
      </w:pPr>
      <w:r>
        <w:rPr>
          <w:rFonts w:ascii="宋体" w:hAnsi="宋体" w:eastAsia="宋体" w:cs="宋体"/>
          <w:spacing w:val="-2"/>
          <w:sz w:val="21"/>
          <w:szCs w:val="21"/>
        </w:rPr>
        <w:t>加的费用和（或）延误的工期由承包人承担。</w:t>
      </w:r>
    </w:p>
    <w:p w14:paraId="4F0D1F6A">
      <w:pPr>
        <w:spacing w:before="147" w:line="221" w:lineRule="auto"/>
        <w:ind w:left="442"/>
        <w:rPr>
          <w:rFonts w:ascii="宋体" w:hAnsi="宋体" w:eastAsia="宋体" w:cs="宋体"/>
          <w:sz w:val="21"/>
          <w:szCs w:val="21"/>
        </w:rPr>
      </w:pPr>
      <w:r>
        <w:rPr>
          <w:rFonts w:ascii="Times New Roman" w:hAnsi="Times New Roman" w:eastAsia="Times New Roman" w:cs="Times New Roman"/>
          <w:spacing w:val="-2"/>
          <w:sz w:val="21"/>
          <w:szCs w:val="21"/>
        </w:rPr>
        <w:t>6.1.7</w:t>
      </w:r>
      <w:r>
        <w:rPr>
          <w:rFonts w:ascii="Times New Roman" w:hAnsi="Times New Roman" w:eastAsia="Times New Roman" w:cs="Times New Roman"/>
          <w:spacing w:val="17"/>
          <w:sz w:val="21"/>
          <w:szCs w:val="21"/>
        </w:rPr>
        <w:t xml:space="preserve"> </w:t>
      </w:r>
      <w:r>
        <w:rPr>
          <w:rFonts w:ascii="宋体" w:hAnsi="宋体" w:eastAsia="宋体" w:cs="宋体"/>
          <w:spacing w:val="-2"/>
          <w:sz w:val="21"/>
          <w:szCs w:val="21"/>
        </w:rPr>
        <w:t>紧急情况处理</w:t>
      </w:r>
    </w:p>
    <w:p w14:paraId="04735A3D">
      <w:pPr>
        <w:spacing w:before="153" w:line="350" w:lineRule="auto"/>
        <w:ind w:left="20" w:right="6" w:firstLine="420"/>
        <w:rPr>
          <w:rFonts w:ascii="宋体" w:hAnsi="宋体" w:eastAsia="宋体" w:cs="宋体"/>
          <w:sz w:val="21"/>
          <w:szCs w:val="21"/>
        </w:rPr>
      </w:pPr>
      <w:r>
        <w:rPr>
          <w:rFonts w:ascii="宋体" w:hAnsi="宋体" w:eastAsia="宋体" w:cs="宋体"/>
          <w:sz w:val="21"/>
          <w:szCs w:val="21"/>
        </w:rPr>
        <w:t>在工程实施期间或缺陷责任期内发生危及工程安全的事件， 监理人通知承包人进行抢</w:t>
      </w:r>
      <w:r>
        <w:rPr>
          <w:rFonts w:ascii="宋体" w:hAnsi="宋体" w:eastAsia="宋体" w:cs="宋体"/>
          <w:spacing w:val="9"/>
          <w:sz w:val="21"/>
          <w:szCs w:val="21"/>
        </w:rPr>
        <w:t xml:space="preserve"> </w:t>
      </w:r>
      <w:r>
        <w:rPr>
          <w:rFonts w:ascii="宋体" w:hAnsi="宋体" w:eastAsia="宋体" w:cs="宋体"/>
          <w:spacing w:val="3"/>
          <w:sz w:val="21"/>
          <w:szCs w:val="21"/>
        </w:rPr>
        <w:t>救，承包人声明无能力或不愿立即执行的，发包人有权雇佣其他人员进行</w:t>
      </w:r>
      <w:r>
        <w:rPr>
          <w:rFonts w:ascii="宋体" w:hAnsi="宋体" w:eastAsia="宋体" w:cs="宋体"/>
          <w:spacing w:val="2"/>
          <w:sz w:val="21"/>
          <w:szCs w:val="21"/>
        </w:rPr>
        <w:t>抢救。此类抢救</w:t>
      </w:r>
    </w:p>
    <w:p w14:paraId="3A48B1D2">
      <w:pPr>
        <w:spacing w:before="1" w:line="220" w:lineRule="auto"/>
        <w:ind w:left="20"/>
        <w:rPr>
          <w:rFonts w:ascii="宋体" w:hAnsi="宋体" w:eastAsia="宋体" w:cs="宋体"/>
          <w:sz w:val="21"/>
          <w:szCs w:val="21"/>
        </w:rPr>
      </w:pPr>
      <w:r>
        <w:rPr>
          <w:rFonts w:ascii="宋体" w:hAnsi="宋体" w:eastAsia="宋体" w:cs="宋体"/>
          <w:sz w:val="21"/>
          <w:szCs w:val="21"/>
        </w:rPr>
        <w:t>按合同约定属于承包人义务的，由此增加的费用和（或）延误的工期</w:t>
      </w:r>
      <w:r>
        <w:rPr>
          <w:rFonts w:ascii="宋体" w:hAnsi="宋体" w:eastAsia="宋体" w:cs="宋体"/>
          <w:spacing w:val="-1"/>
          <w:sz w:val="21"/>
          <w:szCs w:val="21"/>
        </w:rPr>
        <w:t>由承包人承担。</w:t>
      </w:r>
    </w:p>
    <w:p w14:paraId="06E1283E">
      <w:pPr>
        <w:spacing w:before="153" w:line="221" w:lineRule="auto"/>
        <w:ind w:left="442"/>
        <w:rPr>
          <w:rFonts w:ascii="宋体" w:hAnsi="宋体" w:eastAsia="宋体" w:cs="宋体"/>
          <w:sz w:val="21"/>
          <w:szCs w:val="21"/>
        </w:rPr>
      </w:pPr>
      <w:r>
        <w:rPr>
          <w:rFonts w:ascii="Times New Roman" w:hAnsi="Times New Roman" w:eastAsia="Times New Roman" w:cs="Times New Roman"/>
          <w:spacing w:val="-1"/>
          <w:sz w:val="21"/>
          <w:szCs w:val="21"/>
        </w:rPr>
        <w:t xml:space="preserve">6.1.8 </w:t>
      </w:r>
      <w:r>
        <w:rPr>
          <w:rFonts w:ascii="宋体" w:hAnsi="宋体" w:eastAsia="宋体" w:cs="宋体"/>
          <w:spacing w:val="-1"/>
          <w:sz w:val="21"/>
          <w:szCs w:val="21"/>
        </w:rPr>
        <w:t>事故处理</w:t>
      </w:r>
    </w:p>
    <w:p w14:paraId="2A9F514C">
      <w:pPr>
        <w:spacing w:before="149" w:line="351" w:lineRule="auto"/>
        <w:ind w:left="21" w:right="11" w:firstLine="422"/>
        <w:rPr>
          <w:rFonts w:ascii="宋体" w:hAnsi="宋体" w:eastAsia="宋体" w:cs="宋体"/>
          <w:sz w:val="21"/>
          <w:szCs w:val="21"/>
        </w:rPr>
      </w:pPr>
      <w:r>
        <w:rPr>
          <w:rFonts w:ascii="宋体" w:hAnsi="宋体" w:eastAsia="宋体" w:cs="宋体"/>
          <w:spacing w:val="2"/>
          <w:sz w:val="21"/>
          <w:szCs w:val="21"/>
        </w:rPr>
        <w:t>工程施工过程中发生事故的，承包人应立即通知监理人，监理人应立即通知发包人。</w:t>
      </w:r>
      <w:r>
        <w:rPr>
          <w:rFonts w:ascii="宋体" w:hAnsi="宋体" w:eastAsia="宋体" w:cs="宋体"/>
          <w:spacing w:val="6"/>
          <w:sz w:val="21"/>
          <w:szCs w:val="21"/>
        </w:rPr>
        <w:t xml:space="preserve"> </w:t>
      </w:r>
      <w:r>
        <w:rPr>
          <w:rFonts w:ascii="宋体" w:hAnsi="宋体" w:eastAsia="宋体" w:cs="宋体"/>
          <w:spacing w:val="3"/>
          <w:sz w:val="21"/>
          <w:szCs w:val="21"/>
        </w:rPr>
        <w:t>发包人和承包人应立即组织人员和设备进行紧急抢救和</w:t>
      </w:r>
      <w:r>
        <w:rPr>
          <w:rFonts w:ascii="宋体" w:hAnsi="宋体" w:eastAsia="宋体" w:cs="宋体"/>
          <w:spacing w:val="2"/>
          <w:sz w:val="21"/>
          <w:szCs w:val="21"/>
        </w:rPr>
        <w:t>抢修，减少人员伤亡和财产损失，</w:t>
      </w:r>
      <w:r>
        <w:rPr>
          <w:rFonts w:ascii="宋体" w:hAnsi="宋体" w:eastAsia="宋体" w:cs="宋体"/>
          <w:sz w:val="21"/>
          <w:szCs w:val="21"/>
        </w:rPr>
        <w:t xml:space="preserve"> 防止事故扩大，并保护事故现场。需要移动现场物品时，应作出标记和书面记录， 妥善保</w:t>
      </w:r>
      <w:r>
        <w:rPr>
          <w:rFonts w:ascii="宋体" w:hAnsi="宋体" w:eastAsia="宋体" w:cs="宋体"/>
          <w:spacing w:val="3"/>
          <w:sz w:val="21"/>
          <w:szCs w:val="21"/>
        </w:rPr>
        <w:t xml:space="preserve"> 管有关证据。发包人和承包人应按国家有关规定，及时如实地向有关</w:t>
      </w:r>
      <w:r>
        <w:rPr>
          <w:rFonts w:ascii="宋体" w:hAnsi="宋体" w:eastAsia="宋体" w:cs="宋体"/>
          <w:spacing w:val="2"/>
          <w:sz w:val="21"/>
          <w:szCs w:val="21"/>
        </w:rPr>
        <w:t>部门报告事故发生的</w:t>
      </w:r>
    </w:p>
    <w:p w14:paraId="7B000030">
      <w:pPr>
        <w:spacing w:before="1" w:line="219" w:lineRule="auto"/>
        <w:ind w:left="19"/>
        <w:rPr>
          <w:rFonts w:ascii="宋体" w:hAnsi="宋体" w:eastAsia="宋体" w:cs="宋体"/>
          <w:sz w:val="21"/>
          <w:szCs w:val="21"/>
        </w:rPr>
      </w:pPr>
      <w:r>
        <w:rPr>
          <w:rFonts w:ascii="宋体" w:hAnsi="宋体" w:eastAsia="宋体" w:cs="宋体"/>
          <w:spacing w:val="-2"/>
          <w:sz w:val="21"/>
          <w:szCs w:val="21"/>
        </w:rPr>
        <w:t>情况，以及正在采取的紧急措施等。</w:t>
      </w:r>
    </w:p>
    <w:p w14:paraId="2565212B">
      <w:pPr>
        <w:spacing w:before="152" w:line="221" w:lineRule="auto"/>
        <w:ind w:left="442"/>
        <w:rPr>
          <w:rFonts w:ascii="宋体" w:hAnsi="宋体" w:eastAsia="宋体" w:cs="宋体"/>
          <w:sz w:val="21"/>
          <w:szCs w:val="21"/>
        </w:rPr>
      </w:pPr>
      <w:r>
        <w:rPr>
          <w:rFonts w:ascii="Times New Roman" w:hAnsi="Times New Roman" w:eastAsia="Times New Roman" w:cs="Times New Roman"/>
          <w:spacing w:val="-1"/>
          <w:sz w:val="21"/>
          <w:szCs w:val="21"/>
        </w:rPr>
        <w:t xml:space="preserve">6.1.9 </w:t>
      </w:r>
      <w:r>
        <w:rPr>
          <w:rFonts w:ascii="宋体" w:hAnsi="宋体" w:eastAsia="宋体" w:cs="宋体"/>
          <w:spacing w:val="-1"/>
          <w:sz w:val="21"/>
          <w:szCs w:val="21"/>
        </w:rPr>
        <w:t>安全生产责任</w:t>
      </w:r>
    </w:p>
    <w:p w14:paraId="44921F7C">
      <w:pPr>
        <w:spacing w:before="147" w:line="221" w:lineRule="auto"/>
        <w:ind w:left="442"/>
        <w:rPr>
          <w:rFonts w:ascii="宋体" w:hAnsi="宋体" w:eastAsia="宋体" w:cs="宋体"/>
          <w:sz w:val="21"/>
          <w:szCs w:val="21"/>
        </w:rPr>
      </w:pPr>
      <w:r>
        <w:fldChar w:fldCharType="begin"/>
      </w:r>
      <w:r>
        <w:instrText xml:space="preserve"> HYPERLINK "6.1.9.1" </w:instrText>
      </w:r>
      <w:r>
        <w:fldChar w:fldCharType="separate"/>
      </w:r>
      <w:r>
        <w:rPr>
          <w:rFonts w:ascii="Times New Roman" w:hAnsi="Times New Roman" w:eastAsia="Times New Roman" w:cs="Times New Roman"/>
          <w:spacing w:val="-1"/>
          <w:sz w:val="21"/>
          <w:szCs w:val="21"/>
        </w:rPr>
        <w:t>6.1.9.1</w:t>
      </w:r>
      <w:r>
        <w:rPr>
          <w:rFonts w:ascii="Times New Roman" w:hAnsi="Times New Roman" w:eastAsia="Times New Roman" w:cs="Times New Roman"/>
          <w:spacing w:val="-1"/>
          <w:sz w:val="21"/>
          <w:szCs w:val="21"/>
        </w:rPr>
        <w:fldChar w:fldCharType="end"/>
      </w:r>
      <w:r>
        <w:rPr>
          <w:rFonts w:ascii="Times New Roman" w:hAnsi="Times New Roman" w:eastAsia="Times New Roman" w:cs="Times New Roman"/>
          <w:spacing w:val="-1"/>
          <w:sz w:val="21"/>
          <w:szCs w:val="21"/>
        </w:rPr>
        <w:t xml:space="preserve"> </w:t>
      </w:r>
      <w:r>
        <w:rPr>
          <w:rFonts w:ascii="宋体" w:hAnsi="宋体" w:eastAsia="宋体" w:cs="宋体"/>
          <w:spacing w:val="-1"/>
          <w:sz w:val="21"/>
          <w:szCs w:val="21"/>
        </w:rPr>
        <w:t>发包人的安全责任</w:t>
      </w:r>
    </w:p>
    <w:p w14:paraId="0DB0FEAC">
      <w:pPr>
        <w:spacing w:before="147" w:line="221" w:lineRule="auto"/>
        <w:ind w:left="444"/>
        <w:rPr>
          <w:rFonts w:ascii="宋体" w:hAnsi="宋体" w:eastAsia="宋体" w:cs="宋体"/>
          <w:sz w:val="21"/>
          <w:szCs w:val="21"/>
        </w:rPr>
      </w:pPr>
      <w:r>
        <w:rPr>
          <w:rFonts w:ascii="宋体" w:hAnsi="宋体" w:eastAsia="宋体" w:cs="宋体"/>
          <w:spacing w:val="-2"/>
          <w:sz w:val="21"/>
          <w:szCs w:val="21"/>
        </w:rPr>
        <w:t>发包人应负责赔偿以下各种情况造成的损失：</w:t>
      </w:r>
    </w:p>
    <w:p w14:paraId="37958C47">
      <w:pPr>
        <w:spacing w:before="152" w:line="221" w:lineRule="auto"/>
        <w:ind w:left="447"/>
        <w:rPr>
          <w:rFonts w:ascii="宋体" w:hAnsi="宋体" w:eastAsia="宋体" w:cs="宋体"/>
          <w:sz w:val="21"/>
          <w:szCs w:val="21"/>
        </w:rPr>
      </w:pPr>
      <w:r>
        <w:rPr>
          <w:rFonts w:ascii="宋体" w:hAnsi="宋体" w:eastAsia="宋体" w:cs="宋体"/>
          <w:spacing w:val="-2"/>
          <w:sz w:val="21"/>
          <w:szCs w:val="21"/>
        </w:rPr>
        <w:t>（</w:t>
      </w:r>
      <w:r>
        <w:rPr>
          <w:rFonts w:ascii="Times New Roman" w:hAnsi="Times New Roman" w:eastAsia="Times New Roman" w:cs="Times New Roman"/>
          <w:spacing w:val="-2"/>
          <w:sz w:val="21"/>
          <w:szCs w:val="21"/>
        </w:rPr>
        <w:t>1</w:t>
      </w:r>
      <w:r>
        <w:rPr>
          <w:rFonts w:ascii="宋体" w:hAnsi="宋体" w:eastAsia="宋体" w:cs="宋体"/>
          <w:spacing w:val="-2"/>
          <w:sz w:val="21"/>
          <w:szCs w:val="21"/>
        </w:rPr>
        <w:t>）工程或工程的任何部分对土地的占用所造成的第三者财产损失；</w:t>
      </w:r>
    </w:p>
    <w:p w14:paraId="70089049">
      <w:pPr>
        <w:spacing w:before="148" w:line="398" w:lineRule="exact"/>
        <w:ind w:left="447"/>
        <w:rPr>
          <w:rFonts w:ascii="宋体" w:hAnsi="宋体" w:eastAsia="宋体" w:cs="宋体"/>
          <w:sz w:val="21"/>
          <w:szCs w:val="21"/>
        </w:rPr>
      </w:pPr>
      <w:r>
        <w:rPr>
          <w:rFonts w:ascii="宋体" w:hAnsi="宋体" w:eastAsia="宋体" w:cs="宋体"/>
          <w:position w:val="14"/>
          <w:sz w:val="21"/>
          <w:szCs w:val="21"/>
        </w:rPr>
        <w:t>（</w:t>
      </w:r>
      <w:r>
        <w:rPr>
          <w:rFonts w:ascii="Times New Roman" w:hAnsi="Times New Roman" w:eastAsia="Times New Roman" w:cs="Times New Roman"/>
          <w:position w:val="14"/>
          <w:sz w:val="21"/>
          <w:szCs w:val="21"/>
        </w:rPr>
        <w:t>2</w:t>
      </w:r>
      <w:r>
        <w:rPr>
          <w:rFonts w:ascii="宋体" w:hAnsi="宋体" w:eastAsia="宋体" w:cs="宋体"/>
          <w:position w:val="14"/>
          <w:sz w:val="21"/>
          <w:szCs w:val="21"/>
        </w:rPr>
        <w:t>）由于发包人原因在施工场地及其毗邻地带造成的第</w:t>
      </w:r>
      <w:r>
        <w:rPr>
          <w:rFonts w:ascii="宋体" w:hAnsi="宋体" w:eastAsia="宋体" w:cs="宋体"/>
          <w:spacing w:val="-1"/>
          <w:position w:val="14"/>
          <w:sz w:val="21"/>
          <w:szCs w:val="21"/>
        </w:rPr>
        <w:t>三者人身伤亡和财产损失；</w:t>
      </w:r>
    </w:p>
    <w:p w14:paraId="1C9D723F">
      <w:pPr>
        <w:spacing w:before="1" w:line="220" w:lineRule="auto"/>
        <w:ind w:left="447"/>
        <w:rPr>
          <w:rFonts w:ascii="宋体" w:hAnsi="宋体" w:eastAsia="宋体" w:cs="宋体"/>
          <w:sz w:val="21"/>
          <w:szCs w:val="21"/>
        </w:rPr>
      </w:pPr>
      <w:r>
        <w:rPr>
          <w:rFonts w:ascii="宋体" w:hAnsi="宋体" w:eastAsia="宋体" w:cs="宋体"/>
          <w:sz w:val="21"/>
          <w:szCs w:val="21"/>
        </w:rPr>
        <w:t>（</w:t>
      </w:r>
      <w:r>
        <w:rPr>
          <w:rFonts w:ascii="Times New Roman" w:hAnsi="Times New Roman" w:eastAsia="Times New Roman" w:cs="Times New Roman"/>
          <w:sz w:val="21"/>
          <w:szCs w:val="21"/>
        </w:rPr>
        <w:t>3</w:t>
      </w:r>
      <w:r>
        <w:rPr>
          <w:rFonts w:ascii="宋体" w:hAnsi="宋体" w:eastAsia="宋体" w:cs="宋体"/>
          <w:sz w:val="21"/>
          <w:szCs w:val="21"/>
        </w:rPr>
        <w:t>）由于发包人原因对承包人、监理人造成的</w:t>
      </w:r>
      <w:r>
        <w:rPr>
          <w:rFonts w:ascii="宋体" w:hAnsi="宋体" w:eastAsia="宋体" w:cs="宋体"/>
          <w:spacing w:val="-1"/>
          <w:sz w:val="21"/>
          <w:szCs w:val="21"/>
        </w:rPr>
        <w:t>人员人身伤亡和财产损失；</w:t>
      </w:r>
    </w:p>
    <w:p w14:paraId="09F34A6E">
      <w:pPr>
        <w:spacing w:before="152" w:line="221" w:lineRule="auto"/>
        <w:ind w:left="447"/>
        <w:rPr>
          <w:rFonts w:ascii="宋体" w:hAnsi="宋体" w:eastAsia="宋体" w:cs="宋体"/>
          <w:sz w:val="21"/>
          <w:szCs w:val="21"/>
        </w:rPr>
      </w:pPr>
      <w:r>
        <w:rPr>
          <w:rFonts w:ascii="宋体" w:hAnsi="宋体" w:eastAsia="宋体" w:cs="宋体"/>
          <w:spacing w:val="-1"/>
          <w:sz w:val="21"/>
          <w:szCs w:val="21"/>
        </w:rPr>
        <w:t>（</w:t>
      </w:r>
      <w:r>
        <w:rPr>
          <w:rFonts w:ascii="Times New Roman" w:hAnsi="Times New Roman" w:eastAsia="Times New Roman" w:cs="Times New Roman"/>
          <w:spacing w:val="-1"/>
          <w:sz w:val="21"/>
          <w:szCs w:val="21"/>
        </w:rPr>
        <w:t>4</w:t>
      </w:r>
      <w:r>
        <w:rPr>
          <w:rFonts w:ascii="宋体" w:hAnsi="宋体" w:eastAsia="宋体" w:cs="宋体"/>
          <w:spacing w:val="-1"/>
          <w:sz w:val="21"/>
          <w:szCs w:val="21"/>
        </w:rPr>
        <w:t>）由于发包人原因造成的发包人自身人员的人身伤害以及财</w:t>
      </w:r>
      <w:r>
        <w:rPr>
          <w:rFonts w:ascii="宋体" w:hAnsi="宋体" w:eastAsia="宋体" w:cs="宋体"/>
          <w:spacing w:val="-2"/>
          <w:sz w:val="21"/>
          <w:szCs w:val="21"/>
        </w:rPr>
        <w:t>产损失。</w:t>
      </w:r>
    </w:p>
    <w:p w14:paraId="257D8BD3">
      <w:pPr>
        <w:spacing w:before="147" w:line="221" w:lineRule="auto"/>
        <w:ind w:left="442"/>
        <w:rPr>
          <w:rFonts w:ascii="宋体" w:hAnsi="宋体" w:eastAsia="宋体" w:cs="宋体"/>
          <w:sz w:val="21"/>
          <w:szCs w:val="21"/>
        </w:rPr>
      </w:pPr>
      <w:r>
        <w:fldChar w:fldCharType="begin"/>
      </w:r>
      <w:r>
        <w:instrText xml:space="preserve"> HYPERLINK "6.1.9.2" </w:instrText>
      </w:r>
      <w:r>
        <w:fldChar w:fldCharType="separate"/>
      </w:r>
      <w:r>
        <w:rPr>
          <w:rFonts w:ascii="Times New Roman" w:hAnsi="Times New Roman" w:eastAsia="Times New Roman" w:cs="Times New Roman"/>
          <w:spacing w:val="-1"/>
          <w:sz w:val="21"/>
          <w:szCs w:val="21"/>
        </w:rPr>
        <w:t>6.1.9.2</w:t>
      </w:r>
      <w:r>
        <w:rPr>
          <w:rFonts w:ascii="Times New Roman" w:hAnsi="Times New Roman" w:eastAsia="Times New Roman" w:cs="Times New Roman"/>
          <w:spacing w:val="-1"/>
          <w:sz w:val="21"/>
          <w:szCs w:val="21"/>
        </w:rPr>
        <w:fldChar w:fldCharType="end"/>
      </w:r>
      <w:r>
        <w:rPr>
          <w:rFonts w:ascii="Times New Roman" w:hAnsi="Times New Roman" w:eastAsia="Times New Roman" w:cs="Times New Roman"/>
          <w:spacing w:val="-1"/>
          <w:sz w:val="21"/>
          <w:szCs w:val="21"/>
        </w:rPr>
        <w:t xml:space="preserve"> </w:t>
      </w:r>
      <w:r>
        <w:rPr>
          <w:rFonts w:ascii="宋体" w:hAnsi="宋体" w:eastAsia="宋体" w:cs="宋体"/>
          <w:spacing w:val="-1"/>
          <w:sz w:val="21"/>
          <w:szCs w:val="21"/>
        </w:rPr>
        <w:t>承包人的安全责任</w:t>
      </w:r>
    </w:p>
    <w:p w14:paraId="64DCEDAF">
      <w:pPr>
        <w:spacing w:line="221" w:lineRule="auto"/>
        <w:rPr>
          <w:rFonts w:ascii="宋体" w:hAnsi="宋体" w:eastAsia="宋体" w:cs="宋体"/>
          <w:sz w:val="21"/>
          <w:szCs w:val="21"/>
        </w:rPr>
        <w:sectPr>
          <w:footerReference r:id="rId105" w:type="default"/>
          <w:pgSz w:w="11905" w:h="16839"/>
          <w:pgMar w:top="1431" w:right="1785" w:bottom="1004" w:left="1785" w:header="0" w:footer="828" w:gutter="0"/>
          <w:pgNumType w:fmt="decimal"/>
          <w:cols w:space="720" w:num="1"/>
        </w:sectPr>
      </w:pPr>
    </w:p>
    <w:p w14:paraId="43DAAB22">
      <w:pPr>
        <w:spacing w:before="148" w:line="221" w:lineRule="auto"/>
        <w:ind w:left="466"/>
        <w:rPr>
          <w:rFonts w:ascii="宋体" w:hAnsi="宋体" w:eastAsia="宋体" w:cs="宋体"/>
          <w:sz w:val="21"/>
          <w:szCs w:val="21"/>
        </w:rPr>
      </w:pPr>
      <w:r>
        <w:rPr>
          <w:rFonts w:ascii="宋体" w:hAnsi="宋体" w:eastAsia="宋体" w:cs="宋体"/>
          <w:spacing w:val="3"/>
          <w:sz w:val="21"/>
          <w:szCs w:val="21"/>
        </w:rPr>
        <w:t>由于承包人原因在施工场地内及其毗邻地带</w:t>
      </w:r>
      <w:r>
        <w:rPr>
          <w:rFonts w:ascii="宋体" w:hAnsi="宋体" w:eastAsia="宋体" w:cs="宋体"/>
          <w:spacing w:val="2"/>
          <w:sz w:val="21"/>
          <w:szCs w:val="21"/>
        </w:rPr>
        <w:t>造成的发包人、监理人以及第三者人员伤</w:t>
      </w:r>
    </w:p>
    <w:p w14:paraId="18ECAD20">
      <w:pPr>
        <w:spacing w:before="147" w:line="221" w:lineRule="auto"/>
        <w:ind w:left="20"/>
        <w:rPr>
          <w:rFonts w:ascii="宋体" w:hAnsi="宋体" w:eastAsia="宋体" w:cs="宋体"/>
          <w:sz w:val="21"/>
          <w:szCs w:val="21"/>
        </w:rPr>
      </w:pPr>
      <w:r>
        <w:rPr>
          <w:rFonts w:ascii="宋体" w:hAnsi="宋体" w:eastAsia="宋体" w:cs="宋体"/>
          <w:spacing w:val="-2"/>
          <w:sz w:val="21"/>
          <w:szCs w:val="21"/>
        </w:rPr>
        <w:t>亡和财产损失，由承包人负责赔偿。</w:t>
      </w:r>
    </w:p>
    <w:p w14:paraId="54463164">
      <w:pPr>
        <w:spacing w:before="50" w:line="221" w:lineRule="auto"/>
        <w:ind w:left="18"/>
        <w:rPr>
          <w:rFonts w:ascii="黑体" w:hAnsi="黑体" w:eastAsia="黑体" w:cs="黑体"/>
          <w:sz w:val="24"/>
          <w:szCs w:val="24"/>
        </w:rPr>
      </w:pPr>
      <w:r>
        <w:rPr>
          <w:rFonts w:ascii="黑体" w:hAnsi="黑体" w:eastAsia="黑体" w:cs="黑体"/>
          <w:spacing w:val="-1"/>
          <w:sz w:val="24"/>
          <w:szCs w:val="24"/>
        </w:rPr>
        <w:t>6.2 职业健康</w:t>
      </w:r>
    </w:p>
    <w:p w14:paraId="6157B72E">
      <w:pPr>
        <w:spacing w:before="126" w:line="221" w:lineRule="auto"/>
        <w:ind w:left="442"/>
        <w:rPr>
          <w:rFonts w:ascii="宋体" w:hAnsi="宋体" w:eastAsia="宋体" w:cs="宋体"/>
          <w:sz w:val="21"/>
          <w:szCs w:val="21"/>
        </w:rPr>
      </w:pPr>
      <w:r>
        <w:rPr>
          <w:rFonts w:ascii="Times New Roman" w:hAnsi="Times New Roman" w:eastAsia="Times New Roman" w:cs="Times New Roman"/>
          <w:spacing w:val="-2"/>
          <w:sz w:val="21"/>
          <w:szCs w:val="21"/>
        </w:rPr>
        <w:t>6.2.1</w:t>
      </w:r>
      <w:r>
        <w:rPr>
          <w:rFonts w:ascii="Times New Roman" w:hAnsi="Times New Roman" w:eastAsia="Times New Roman" w:cs="Times New Roman"/>
          <w:spacing w:val="14"/>
          <w:sz w:val="21"/>
          <w:szCs w:val="21"/>
        </w:rPr>
        <w:t xml:space="preserve"> </w:t>
      </w:r>
      <w:r>
        <w:rPr>
          <w:rFonts w:ascii="宋体" w:hAnsi="宋体" w:eastAsia="宋体" w:cs="宋体"/>
          <w:spacing w:val="-2"/>
          <w:sz w:val="21"/>
          <w:szCs w:val="21"/>
        </w:rPr>
        <w:t>劳动保护</w:t>
      </w:r>
    </w:p>
    <w:p w14:paraId="226A4FA8">
      <w:pPr>
        <w:spacing w:before="146" w:line="352" w:lineRule="auto"/>
        <w:ind w:left="20" w:firstLine="421"/>
        <w:rPr>
          <w:rFonts w:ascii="宋体" w:hAnsi="宋体" w:eastAsia="宋体" w:cs="宋体"/>
          <w:sz w:val="21"/>
          <w:szCs w:val="21"/>
        </w:rPr>
      </w:pPr>
      <w:r>
        <w:rPr>
          <w:rFonts w:ascii="宋体" w:hAnsi="宋体" w:eastAsia="宋体" w:cs="宋体"/>
          <w:spacing w:val="2"/>
          <w:sz w:val="21"/>
          <w:szCs w:val="21"/>
        </w:rPr>
        <w:t>承包人应按照法律规定安排现场施工人员的劳动和休息时间，保障劳动者的休息时间， 并支付合理的报酬和费用。承包人应依法为其履行合同所雇用的人员办理必要的证件、许  可、保险和注册等，承包人应督促其分包人为分包人所雇用的人员办理必要的证件、许可、</w:t>
      </w:r>
    </w:p>
    <w:p w14:paraId="558D106D">
      <w:pPr>
        <w:spacing w:before="1" w:line="220" w:lineRule="auto"/>
        <w:ind w:left="19"/>
        <w:rPr>
          <w:rFonts w:ascii="宋体" w:hAnsi="宋体" w:eastAsia="宋体" w:cs="宋体"/>
          <w:sz w:val="21"/>
          <w:szCs w:val="21"/>
        </w:rPr>
      </w:pPr>
      <w:r>
        <w:rPr>
          <w:rFonts w:ascii="宋体" w:hAnsi="宋体" w:eastAsia="宋体" w:cs="宋体"/>
          <w:spacing w:val="-3"/>
          <w:sz w:val="21"/>
          <w:szCs w:val="21"/>
        </w:rPr>
        <w:t>保险和注册等。</w:t>
      </w:r>
    </w:p>
    <w:p w14:paraId="5B2D5BBD">
      <w:pPr>
        <w:spacing w:before="146" w:line="352" w:lineRule="auto"/>
        <w:ind w:left="21" w:right="174" w:firstLine="419"/>
        <w:rPr>
          <w:rFonts w:ascii="宋体" w:hAnsi="宋体" w:eastAsia="宋体" w:cs="宋体"/>
          <w:sz w:val="21"/>
          <w:szCs w:val="21"/>
        </w:rPr>
      </w:pPr>
      <w:r>
        <w:rPr>
          <w:rFonts w:ascii="宋体" w:hAnsi="宋体" w:eastAsia="宋体" w:cs="宋体"/>
          <w:spacing w:val="2"/>
          <w:sz w:val="21"/>
          <w:szCs w:val="21"/>
        </w:rPr>
        <w:t>承包人应按照法律规定保障现场施工人员的劳动安全</w:t>
      </w:r>
      <w:r>
        <w:rPr>
          <w:rFonts w:ascii="宋体" w:hAnsi="宋体" w:eastAsia="宋体" w:cs="宋体"/>
          <w:spacing w:val="1"/>
          <w:sz w:val="21"/>
          <w:szCs w:val="21"/>
        </w:rPr>
        <w:t>，并提供劳动保护</w:t>
      </w:r>
      <w:r>
        <w:rPr>
          <w:rFonts w:ascii="Times New Roman" w:hAnsi="Times New Roman" w:eastAsia="Times New Roman" w:cs="Times New Roman"/>
          <w:spacing w:val="1"/>
          <w:sz w:val="21"/>
          <w:szCs w:val="21"/>
        </w:rPr>
        <w:t>,</w:t>
      </w:r>
      <w:r>
        <w:rPr>
          <w:rFonts w:ascii="宋体" w:hAnsi="宋体" w:eastAsia="宋体" w:cs="宋体"/>
          <w:spacing w:val="1"/>
          <w:sz w:val="21"/>
          <w:szCs w:val="21"/>
        </w:rPr>
        <w:t>并应按国家有</w:t>
      </w:r>
      <w:r>
        <w:rPr>
          <w:rFonts w:ascii="宋体" w:hAnsi="宋体" w:eastAsia="宋体" w:cs="宋体"/>
          <w:sz w:val="21"/>
          <w:szCs w:val="21"/>
        </w:rPr>
        <w:t xml:space="preserve"> </w:t>
      </w:r>
      <w:r>
        <w:rPr>
          <w:rFonts w:ascii="宋体" w:hAnsi="宋体" w:eastAsia="宋体" w:cs="宋体"/>
          <w:spacing w:val="2"/>
          <w:sz w:val="21"/>
          <w:szCs w:val="21"/>
        </w:rPr>
        <w:t>关劳动保护的规定，采取有效的防止粉尘、降低噪声、控制有害气体和保障高温、高寒、</w:t>
      </w:r>
      <w:r>
        <w:rPr>
          <w:rFonts w:ascii="宋体" w:hAnsi="宋体" w:eastAsia="宋体" w:cs="宋体"/>
          <w:sz w:val="21"/>
          <w:szCs w:val="21"/>
        </w:rPr>
        <w:t xml:space="preserve"> 高空作业安全等劳动保护措施。承包人雇佣人员在施工中受到伤害的， 承包人应立即采取</w:t>
      </w:r>
    </w:p>
    <w:p w14:paraId="4BEB8F16">
      <w:pPr>
        <w:spacing w:before="1" w:line="220" w:lineRule="auto"/>
        <w:ind w:left="19"/>
        <w:rPr>
          <w:rFonts w:ascii="宋体" w:hAnsi="宋体" w:eastAsia="宋体" w:cs="宋体"/>
          <w:sz w:val="21"/>
          <w:szCs w:val="21"/>
        </w:rPr>
      </w:pPr>
      <w:r>
        <w:rPr>
          <w:rFonts w:ascii="宋体" w:hAnsi="宋体" w:eastAsia="宋体" w:cs="宋体"/>
          <w:spacing w:val="-3"/>
          <w:sz w:val="21"/>
          <w:szCs w:val="21"/>
        </w:rPr>
        <w:t>有效措施进行抢救和治疗。</w:t>
      </w:r>
    </w:p>
    <w:p w14:paraId="4796C9D3">
      <w:pPr>
        <w:spacing w:before="153" w:line="350" w:lineRule="auto"/>
        <w:ind w:left="17" w:right="173" w:firstLine="423"/>
        <w:rPr>
          <w:rFonts w:ascii="宋体" w:hAnsi="宋体" w:eastAsia="宋体" w:cs="宋体"/>
          <w:sz w:val="21"/>
          <w:szCs w:val="21"/>
        </w:rPr>
      </w:pPr>
      <w:r>
        <w:rPr>
          <w:rFonts w:ascii="宋体" w:hAnsi="宋体" w:eastAsia="宋体" w:cs="宋体"/>
          <w:sz w:val="21"/>
          <w:szCs w:val="21"/>
        </w:rPr>
        <w:t>承包人应按法律规定安排工作时间， 保证其雇佣人员享有休息和休假的权利。因工程</w:t>
      </w:r>
      <w:r>
        <w:rPr>
          <w:rFonts w:ascii="宋体" w:hAnsi="宋体" w:eastAsia="宋体" w:cs="宋体"/>
          <w:spacing w:val="10"/>
          <w:sz w:val="21"/>
          <w:szCs w:val="21"/>
        </w:rPr>
        <w:t xml:space="preserve"> </w:t>
      </w:r>
      <w:r>
        <w:rPr>
          <w:rFonts w:ascii="宋体" w:hAnsi="宋体" w:eastAsia="宋体" w:cs="宋体"/>
          <w:sz w:val="21"/>
          <w:szCs w:val="21"/>
        </w:rPr>
        <w:t>施工的特殊需要占用休假日或延长工作时间的，应不超过法律规定的限度， 并按法律规定</w:t>
      </w:r>
    </w:p>
    <w:p w14:paraId="4D498FF1">
      <w:pPr>
        <w:spacing w:before="1" w:line="220" w:lineRule="auto"/>
        <w:ind w:left="19"/>
        <w:rPr>
          <w:rFonts w:ascii="宋体" w:hAnsi="宋体" w:eastAsia="宋体" w:cs="宋体"/>
          <w:sz w:val="21"/>
          <w:szCs w:val="21"/>
        </w:rPr>
      </w:pPr>
      <w:r>
        <w:rPr>
          <w:rFonts w:ascii="宋体" w:hAnsi="宋体" w:eastAsia="宋体" w:cs="宋体"/>
          <w:spacing w:val="-4"/>
          <w:sz w:val="21"/>
          <w:szCs w:val="21"/>
        </w:rPr>
        <w:t>给予补休或付酬。</w:t>
      </w:r>
    </w:p>
    <w:p w14:paraId="2F12A3DB">
      <w:pPr>
        <w:spacing w:before="152" w:line="221" w:lineRule="auto"/>
        <w:ind w:left="442"/>
        <w:rPr>
          <w:rFonts w:ascii="宋体" w:hAnsi="宋体" w:eastAsia="宋体" w:cs="宋体"/>
          <w:sz w:val="21"/>
          <w:szCs w:val="21"/>
        </w:rPr>
      </w:pPr>
      <w:r>
        <w:rPr>
          <w:rFonts w:ascii="Times New Roman" w:hAnsi="Times New Roman" w:eastAsia="Times New Roman" w:cs="Times New Roman"/>
          <w:spacing w:val="-1"/>
          <w:sz w:val="21"/>
          <w:szCs w:val="21"/>
        </w:rPr>
        <w:t xml:space="preserve">6.2.2 </w:t>
      </w:r>
      <w:r>
        <w:rPr>
          <w:rFonts w:ascii="宋体" w:hAnsi="宋体" w:eastAsia="宋体" w:cs="宋体"/>
          <w:spacing w:val="-1"/>
          <w:sz w:val="21"/>
          <w:szCs w:val="21"/>
        </w:rPr>
        <w:t>生活条件</w:t>
      </w:r>
    </w:p>
    <w:p w14:paraId="3E0D9848">
      <w:pPr>
        <w:spacing w:before="148" w:line="352" w:lineRule="auto"/>
        <w:ind w:left="19" w:right="174" w:firstLine="422"/>
        <w:rPr>
          <w:rFonts w:ascii="宋体" w:hAnsi="宋体" w:eastAsia="宋体" w:cs="宋体"/>
          <w:sz w:val="21"/>
          <w:szCs w:val="21"/>
        </w:rPr>
      </w:pPr>
      <w:r>
        <w:rPr>
          <w:rFonts w:ascii="宋体" w:hAnsi="宋体" w:eastAsia="宋体" w:cs="宋体"/>
          <w:spacing w:val="3"/>
          <w:sz w:val="21"/>
          <w:szCs w:val="21"/>
        </w:rPr>
        <w:t xml:space="preserve">承包人应为其履行合同所雇用的人员提供必要的膳宿条件和生活环境；承包人应采取 </w:t>
      </w:r>
      <w:r>
        <w:rPr>
          <w:rFonts w:ascii="宋体" w:hAnsi="宋体" w:eastAsia="宋体" w:cs="宋体"/>
          <w:spacing w:val="-2"/>
          <w:sz w:val="21"/>
          <w:szCs w:val="21"/>
        </w:rPr>
        <w:t>有效措施预防传染病， 保证施工人员的健康， 并定</w:t>
      </w:r>
      <w:r>
        <w:rPr>
          <w:rFonts w:ascii="宋体" w:hAnsi="宋体" w:eastAsia="宋体" w:cs="宋体"/>
          <w:spacing w:val="-3"/>
          <w:sz w:val="21"/>
          <w:szCs w:val="21"/>
        </w:rPr>
        <w:t>期对施工现场、施工人员生活基地和工</w:t>
      </w:r>
    </w:p>
    <w:p w14:paraId="2B1FAE6E">
      <w:pPr>
        <w:spacing w:before="1" w:line="213" w:lineRule="auto"/>
        <w:ind w:left="17"/>
        <w:rPr>
          <w:rFonts w:ascii="宋体" w:hAnsi="宋体" w:eastAsia="宋体" w:cs="宋体"/>
          <w:sz w:val="21"/>
          <w:szCs w:val="21"/>
        </w:rPr>
      </w:pPr>
      <w:r>
        <w:rPr>
          <w:rFonts w:ascii="宋体" w:hAnsi="宋体" w:eastAsia="宋体" w:cs="宋体"/>
          <w:spacing w:val="-4"/>
          <w:sz w:val="21"/>
          <w:szCs w:val="21"/>
        </w:rPr>
        <w:t>程进行防疫和卫生的专业检查和处理</w:t>
      </w:r>
      <w:r>
        <w:rPr>
          <w:rFonts w:ascii="Times New Roman" w:hAnsi="Times New Roman" w:eastAsia="Times New Roman" w:cs="Times New Roman"/>
          <w:spacing w:val="-4"/>
          <w:sz w:val="21"/>
          <w:szCs w:val="21"/>
        </w:rPr>
        <w:t>,</w:t>
      </w:r>
      <w:r>
        <w:rPr>
          <w:rFonts w:ascii="Times New Roman" w:hAnsi="Times New Roman" w:eastAsia="Times New Roman" w:cs="Times New Roman"/>
          <w:spacing w:val="23"/>
          <w:sz w:val="21"/>
          <w:szCs w:val="21"/>
        </w:rPr>
        <w:t xml:space="preserve"> </w:t>
      </w:r>
      <w:r>
        <w:rPr>
          <w:rFonts w:ascii="宋体" w:hAnsi="宋体" w:eastAsia="宋体" w:cs="宋体"/>
          <w:spacing w:val="-4"/>
          <w:sz w:val="21"/>
          <w:szCs w:val="21"/>
        </w:rPr>
        <w:t>在远离城镇的施工场地，</w:t>
      </w:r>
      <w:r>
        <w:rPr>
          <w:rFonts w:ascii="宋体" w:hAnsi="宋体" w:eastAsia="宋体" w:cs="宋体"/>
          <w:spacing w:val="50"/>
          <w:sz w:val="21"/>
          <w:szCs w:val="21"/>
        </w:rPr>
        <w:t xml:space="preserve"> </w:t>
      </w:r>
      <w:r>
        <w:rPr>
          <w:rFonts w:ascii="宋体" w:hAnsi="宋体" w:eastAsia="宋体" w:cs="宋体"/>
          <w:spacing w:val="-4"/>
          <w:sz w:val="21"/>
          <w:szCs w:val="21"/>
        </w:rPr>
        <w:t>还应配备必要的伤病防</w:t>
      </w:r>
      <w:r>
        <w:rPr>
          <w:rFonts w:ascii="宋体" w:hAnsi="宋体" w:eastAsia="宋体" w:cs="宋体"/>
          <w:spacing w:val="-5"/>
          <w:sz w:val="21"/>
          <w:szCs w:val="21"/>
        </w:rPr>
        <w:t>治和</w:t>
      </w:r>
    </w:p>
    <w:p w14:paraId="4085E464">
      <w:pPr>
        <w:spacing w:before="155" w:line="221" w:lineRule="auto"/>
        <w:ind w:left="24"/>
        <w:rPr>
          <w:rFonts w:ascii="宋体" w:hAnsi="宋体" w:eastAsia="宋体" w:cs="宋体"/>
          <w:sz w:val="21"/>
          <w:szCs w:val="21"/>
        </w:rPr>
      </w:pPr>
      <w:r>
        <w:rPr>
          <w:rFonts w:ascii="宋体" w:hAnsi="宋体" w:eastAsia="宋体" w:cs="宋体"/>
          <w:spacing w:val="-3"/>
          <w:sz w:val="21"/>
          <w:szCs w:val="21"/>
        </w:rPr>
        <w:t>急救的医务人员与医疗设施。</w:t>
      </w:r>
    </w:p>
    <w:p w14:paraId="4C1180B5">
      <w:pPr>
        <w:spacing w:before="46" w:line="219" w:lineRule="auto"/>
        <w:ind w:left="18"/>
        <w:rPr>
          <w:rFonts w:ascii="黑体" w:hAnsi="黑体" w:eastAsia="黑体" w:cs="黑体"/>
          <w:sz w:val="24"/>
          <w:szCs w:val="24"/>
        </w:rPr>
      </w:pPr>
      <w:r>
        <w:rPr>
          <w:rFonts w:ascii="黑体" w:hAnsi="黑体" w:eastAsia="黑体" w:cs="黑体"/>
          <w:spacing w:val="-1"/>
          <w:sz w:val="24"/>
          <w:szCs w:val="24"/>
        </w:rPr>
        <w:t>6.3 环境保护</w:t>
      </w:r>
    </w:p>
    <w:p w14:paraId="69B64032">
      <w:pPr>
        <w:spacing w:before="130" w:line="352" w:lineRule="auto"/>
        <w:ind w:left="20" w:right="174" w:firstLine="420"/>
        <w:jc w:val="both"/>
        <w:rPr>
          <w:rFonts w:ascii="宋体" w:hAnsi="宋体" w:eastAsia="宋体" w:cs="宋体"/>
          <w:sz w:val="21"/>
          <w:szCs w:val="21"/>
        </w:rPr>
      </w:pPr>
      <w:r>
        <w:rPr>
          <w:rFonts w:ascii="宋体" w:hAnsi="宋体" w:eastAsia="宋体" w:cs="宋体"/>
          <w:spacing w:val="3"/>
          <w:sz w:val="21"/>
          <w:szCs w:val="21"/>
        </w:rPr>
        <w:t>承包人应在施工组织设计中列明环境保护的具体措施。在合同履行期间，承包人应采 取合理措施保护施工现场环境。对施工作业过程中可能引起的大气、水</w:t>
      </w:r>
      <w:r>
        <w:rPr>
          <w:rFonts w:ascii="宋体" w:hAnsi="宋体" w:eastAsia="宋体" w:cs="宋体"/>
          <w:spacing w:val="2"/>
          <w:sz w:val="21"/>
          <w:szCs w:val="21"/>
        </w:rPr>
        <w:t>、噪音以及固体废</w:t>
      </w:r>
    </w:p>
    <w:p w14:paraId="07D045C5">
      <w:pPr>
        <w:spacing w:before="1" w:line="219" w:lineRule="auto"/>
        <w:ind w:left="18"/>
        <w:rPr>
          <w:rFonts w:ascii="宋体" w:hAnsi="宋体" w:eastAsia="宋体" w:cs="宋体"/>
          <w:sz w:val="21"/>
          <w:szCs w:val="21"/>
        </w:rPr>
      </w:pPr>
      <w:r>
        <w:rPr>
          <w:rFonts w:ascii="宋体" w:hAnsi="宋体" w:eastAsia="宋体" w:cs="宋体"/>
          <w:spacing w:val="-2"/>
          <w:sz w:val="21"/>
          <w:szCs w:val="21"/>
        </w:rPr>
        <w:t>物污染采取具体可行的防范措施。</w:t>
      </w:r>
    </w:p>
    <w:p w14:paraId="56F0FE7C">
      <w:pPr>
        <w:spacing w:before="148" w:line="399" w:lineRule="exact"/>
        <w:ind w:left="441"/>
        <w:rPr>
          <w:rFonts w:ascii="宋体" w:hAnsi="宋体" w:eastAsia="宋体" w:cs="宋体"/>
          <w:sz w:val="21"/>
          <w:szCs w:val="21"/>
        </w:rPr>
      </w:pPr>
      <w:r>
        <w:rPr>
          <w:rFonts w:ascii="宋体" w:hAnsi="宋体" w:eastAsia="宋体" w:cs="宋体"/>
          <w:spacing w:val="3"/>
          <w:position w:val="14"/>
          <w:sz w:val="21"/>
          <w:szCs w:val="21"/>
        </w:rPr>
        <w:t>承包人应当承担因其原因引起的环境污染侵权损害赔偿责任，因上述环境污染引起纠</w:t>
      </w:r>
    </w:p>
    <w:p w14:paraId="3E64561C">
      <w:pPr>
        <w:spacing w:before="1" w:line="220" w:lineRule="auto"/>
        <w:ind w:left="20"/>
        <w:rPr>
          <w:rFonts w:ascii="宋体" w:hAnsi="宋体" w:eastAsia="宋体" w:cs="宋体"/>
          <w:sz w:val="21"/>
          <w:szCs w:val="21"/>
        </w:rPr>
      </w:pPr>
      <w:r>
        <w:rPr>
          <w:rFonts w:ascii="宋体" w:hAnsi="宋体" w:eastAsia="宋体" w:cs="宋体"/>
          <w:spacing w:val="-3"/>
          <w:sz w:val="21"/>
          <w:szCs w:val="21"/>
        </w:rPr>
        <w:t>纷而导致暂停施工的，由此增加的费用和（或） 延</w:t>
      </w:r>
      <w:r>
        <w:rPr>
          <w:rFonts w:ascii="宋体" w:hAnsi="宋体" w:eastAsia="宋体" w:cs="宋体"/>
          <w:spacing w:val="-4"/>
          <w:sz w:val="21"/>
          <w:szCs w:val="21"/>
        </w:rPr>
        <w:t>误的工期由承包人承担。</w:t>
      </w:r>
    </w:p>
    <w:p w14:paraId="2B6ABB03">
      <w:pPr>
        <w:spacing w:before="177" w:line="526" w:lineRule="exact"/>
        <w:ind w:left="23"/>
        <w:rPr>
          <w:rFonts w:ascii="黑体" w:hAnsi="黑体" w:eastAsia="黑体" w:cs="黑体"/>
          <w:sz w:val="32"/>
          <w:szCs w:val="32"/>
        </w:rPr>
      </w:pPr>
      <w:r>
        <w:rPr>
          <w:rFonts w:ascii="黑体" w:hAnsi="黑体" w:eastAsia="黑体" w:cs="黑体"/>
          <w:spacing w:val="-2"/>
          <w:position w:val="15"/>
          <w:sz w:val="32"/>
          <w:szCs w:val="32"/>
        </w:rPr>
        <w:t>7.工期和进度</w:t>
      </w:r>
    </w:p>
    <w:p w14:paraId="14A62E31">
      <w:pPr>
        <w:spacing w:before="2" w:line="218" w:lineRule="auto"/>
        <w:ind w:left="20"/>
        <w:rPr>
          <w:rFonts w:ascii="黑体" w:hAnsi="黑体" w:eastAsia="黑体" w:cs="黑体"/>
          <w:sz w:val="24"/>
          <w:szCs w:val="24"/>
        </w:rPr>
      </w:pPr>
      <w:r>
        <w:rPr>
          <w:rFonts w:ascii="黑体" w:hAnsi="黑体" w:eastAsia="黑体" w:cs="黑体"/>
          <w:spacing w:val="-2"/>
          <w:sz w:val="24"/>
          <w:szCs w:val="24"/>
        </w:rPr>
        <w:t>7.1</w:t>
      </w:r>
      <w:r>
        <w:rPr>
          <w:rFonts w:ascii="黑体" w:hAnsi="黑体" w:eastAsia="黑体" w:cs="黑体"/>
          <w:spacing w:val="-54"/>
          <w:sz w:val="24"/>
          <w:szCs w:val="24"/>
        </w:rPr>
        <w:t xml:space="preserve"> </w:t>
      </w:r>
      <w:r>
        <w:rPr>
          <w:rFonts w:ascii="黑体" w:hAnsi="黑体" w:eastAsia="黑体" w:cs="黑体"/>
          <w:spacing w:val="-2"/>
          <w:sz w:val="24"/>
          <w:szCs w:val="24"/>
        </w:rPr>
        <w:t>施工组织设计</w:t>
      </w:r>
    </w:p>
    <w:p w14:paraId="2A961E2C">
      <w:pPr>
        <w:spacing w:before="128" w:line="221" w:lineRule="auto"/>
        <w:ind w:left="440"/>
        <w:rPr>
          <w:rFonts w:ascii="宋体" w:hAnsi="宋体" w:eastAsia="宋体" w:cs="宋体"/>
          <w:sz w:val="21"/>
          <w:szCs w:val="21"/>
        </w:rPr>
      </w:pPr>
      <w:r>
        <w:rPr>
          <w:rFonts w:ascii="Times New Roman" w:hAnsi="Times New Roman" w:eastAsia="Times New Roman" w:cs="Times New Roman"/>
          <w:spacing w:val="-1"/>
          <w:sz w:val="21"/>
          <w:szCs w:val="21"/>
        </w:rPr>
        <w:t xml:space="preserve">7.1.1 </w:t>
      </w:r>
      <w:r>
        <w:rPr>
          <w:rFonts w:ascii="宋体" w:hAnsi="宋体" w:eastAsia="宋体" w:cs="宋体"/>
          <w:spacing w:val="-1"/>
          <w:sz w:val="21"/>
          <w:szCs w:val="21"/>
        </w:rPr>
        <w:t>施工组织设计的内容</w:t>
      </w:r>
    </w:p>
    <w:p w14:paraId="1ABC28F6">
      <w:pPr>
        <w:spacing w:before="148" w:line="403" w:lineRule="exact"/>
        <w:ind w:left="440"/>
        <w:rPr>
          <w:rFonts w:ascii="宋体" w:hAnsi="宋体" w:eastAsia="宋体" w:cs="宋体"/>
          <w:sz w:val="21"/>
          <w:szCs w:val="21"/>
        </w:rPr>
      </w:pPr>
      <w:r>
        <w:rPr>
          <w:rFonts w:ascii="宋体" w:hAnsi="宋体" w:eastAsia="宋体" w:cs="宋体"/>
          <w:spacing w:val="-1"/>
          <w:position w:val="14"/>
          <w:sz w:val="21"/>
          <w:szCs w:val="21"/>
        </w:rPr>
        <w:t>施工组织设计应包含以下内容：</w:t>
      </w:r>
    </w:p>
    <w:p w14:paraId="6EFD8295">
      <w:pPr>
        <w:spacing w:before="1" w:line="221" w:lineRule="auto"/>
        <w:ind w:left="447"/>
        <w:rPr>
          <w:rFonts w:ascii="宋体" w:hAnsi="宋体" w:eastAsia="宋体" w:cs="宋体"/>
          <w:sz w:val="21"/>
          <w:szCs w:val="21"/>
        </w:rPr>
      </w:pPr>
      <w:r>
        <w:rPr>
          <w:rFonts w:ascii="宋体" w:hAnsi="宋体" w:eastAsia="宋体" w:cs="宋体"/>
          <w:spacing w:val="-5"/>
          <w:sz w:val="21"/>
          <w:szCs w:val="21"/>
        </w:rPr>
        <w:t>（</w:t>
      </w:r>
      <w:r>
        <w:rPr>
          <w:rFonts w:ascii="Times New Roman" w:hAnsi="Times New Roman" w:eastAsia="Times New Roman" w:cs="Times New Roman"/>
          <w:spacing w:val="-5"/>
          <w:sz w:val="21"/>
          <w:szCs w:val="21"/>
        </w:rPr>
        <w:t>1</w:t>
      </w:r>
      <w:r>
        <w:rPr>
          <w:rFonts w:ascii="宋体" w:hAnsi="宋体" w:eastAsia="宋体" w:cs="宋体"/>
          <w:spacing w:val="-5"/>
          <w:sz w:val="21"/>
          <w:szCs w:val="21"/>
        </w:rPr>
        <w:t>）施工方案；</w:t>
      </w:r>
    </w:p>
    <w:p w14:paraId="2C104E3E">
      <w:pPr>
        <w:spacing w:before="146" w:line="220" w:lineRule="auto"/>
        <w:ind w:left="447"/>
        <w:rPr>
          <w:rFonts w:ascii="宋体" w:hAnsi="宋体" w:eastAsia="宋体" w:cs="宋体"/>
          <w:sz w:val="21"/>
          <w:szCs w:val="21"/>
        </w:rPr>
      </w:pPr>
      <w:r>
        <w:rPr>
          <w:rFonts w:ascii="宋体" w:hAnsi="宋体" w:eastAsia="宋体" w:cs="宋体"/>
          <w:spacing w:val="-4"/>
          <w:sz w:val="21"/>
          <w:szCs w:val="21"/>
        </w:rPr>
        <w:t>（</w:t>
      </w:r>
      <w:r>
        <w:rPr>
          <w:rFonts w:ascii="Times New Roman" w:hAnsi="Times New Roman" w:eastAsia="Times New Roman" w:cs="Times New Roman"/>
          <w:spacing w:val="-4"/>
          <w:sz w:val="21"/>
          <w:szCs w:val="21"/>
        </w:rPr>
        <w:t>2</w:t>
      </w:r>
      <w:r>
        <w:rPr>
          <w:rFonts w:ascii="宋体" w:hAnsi="宋体" w:eastAsia="宋体" w:cs="宋体"/>
          <w:spacing w:val="-4"/>
          <w:sz w:val="21"/>
          <w:szCs w:val="21"/>
        </w:rPr>
        <w:t>）施工现场平面布置图；</w:t>
      </w:r>
    </w:p>
    <w:p w14:paraId="047E1E78">
      <w:pPr>
        <w:spacing w:before="148" w:line="404" w:lineRule="exact"/>
        <w:ind w:left="447"/>
        <w:rPr>
          <w:rFonts w:ascii="宋体" w:hAnsi="宋体" w:eastAsia="宋体" w:cs="宋体"/>
          <w:sz w:val="21"/>
          <w:szCs w:val="21"/>
        </w:rPr>
      </w:pPr>
      <w:r>
        <w:rPr>
          <w:rFonts w:ascii="宋体" w:hAnsi="宋体" w:eastAsia="宋体" w:cs="宋体"/>
          <w:spacing w:val="-1"/>
          <w:position w:val="14"/>
          <w:sz w:val="21"/>
          <w:szCs w:val="21"/>
        </w:rPr>
        <w:t>（</w:t>
      </w:r>
      <w:r>
        <w:rPr>
          <w:rFonts w:ascii="Times New Roman" w:hAnsi="Times New Roman" w:eastAsia="Times New Roman" w:cs="Times New Roman"/>
          <w:spacing w:val="-1"/>
          <w:position w:val="14"/>
          <w:sz w:val="21"/>
          <w:szCs w:val="21"/>
        </w:rPr>
        <w:t>3</w:t>
      </w:r>
      <w:r>
        <w:rPr>
          <w:rFonts w:ascii="宋体" w:hAnsi="宋体" w:eastAsia="宋体" w:cs="宋体"/>
          <w:spacing w:val="-1"/>
          <w:position w:val="14"/>
          <w:sz w:val="21"/>
          <w:szCs w:val="21"/>
        </w:rPr>
        <w:t>）施工进度计划和保证措施；</w:t>
      </w:r>
    </w:p>
    <w:p w14:paraId="2596832C">
      <w:pPr>
        <w:spacing w:before="1" w:line="219" w:lineRule="auto"/>
        <w:ind w:left="447"/>
        <w:rPr>
          <w:rFonts w:ascii="宋体" w:hAnsi="宋体" w:eastAsia="宋体" w:cs="宋体"/>
          <w:sz w:val="21"/>
          <w:szCs w:val="21"/>
        </w:rPr>
      </w:pPr>
      <w:r>
        <w:rPr>
          <w:rFonts w:ascii="宋体" w:hAnsi="宋体" w:eastAsia="宋体" w:cs="宋体"/>
          <w:spacing w:val="-4"/>
          <w:sz w:val="21"/>
          <w:szCs w:val="21"/>
        </w:rPr>
        <w:t>（</w:t>
      </w:r>
      <w:r>
        <w:rPr>
          <w:rFonts w:ascii="Times New Roman" w:hAnsi="Times New Roman" w:eastAsia="Times New Roman" w:cs="Times New Roman"/>
          <w:spacing w:val="-4"/>
          <w:sz w:val="21"/>
          <w:szCs w:val="21"/>
        </w:rPr>
        <w:t>4</w:t>
      </w:r>
      <w:r>
        <w:rPr>
          <w:rFonts w:ascii="宋体" w:hAnsi="宋体" w:eastAsia="宋体" w:cs="宋体"/>
          <w:spacing w:val="-4"/>
          <w:sz w:val="21"/>
          <w:szCs w:val="21"/>
        </w:rPr>
        <w:t>）劳动力及材料供应计划；</w:t>
      </w:r>
    </w:p>
    <w:p w14:paraId="34CD95C6">
      <w:pPr>
        <w:spacing w:line="219" w:lineRule="auto"/>
        <w:rPr>
          <w:rFonts w:ascii="宋体" w:hAnsi="宋体" w:eastAsia="宋体" w:cs="宋体"/>
          <w:sz w:val="21"/>
          <w:szCs w:val="21"/>
        </w:rPr>
        <w:sectPr>
          <w:footerReference r:id="rId106" w:type="default"/>
          <w:pgSz w:w="11905" w:h="16839"/>
          <w:pgMar w:top="1431" w:right="1617" w:bottom="1004" w:left="1785" w:header="0" w:footer="829" w:gutter="0"/>
          <w:pgNumType w:fmt="decimal"/>
          <w:cols w:space="720" w:num="1"/>
        </w:sectPr>
      </w:pPr>
    </w:p>
    <w:p w14:paraId="255ADE38">
      <w:pPr>
        <w:spacing w:before="149" w:line="398" w:lineRule="exact"/>
        <w:ind w:left="447"/>
        <w:rPr>
          <w:rFonts w:ascii="宋体" w:hAnsi="宋体" w:eastAsia="宋体" w:cs="宋体"/>
          <w:sz w:val="21"/>
          <w:szCs w:val="21"/>
        </w:rPr>
      </w:pPr>
      <w:r>
        <w:rPr>
          <w:rFonts w:ascii="宋体" w:hAnsi="宋体" w:eastAsia="宋体" w:cs="宋体"/>
          <w:spacing w:val="-4"/>
          <w:position w:val="14"/>
          <w:sz w:val="21"/>
          <w:szCs w:val="21"/>
        </w:rPr>
        <w:t>（</w:t>
      </w:r>
      <w:r>
        <w:rPr>
          <w:rFonts w:ascii="Times New Roman" w:hAnsi="Times New Roman" w:eastAsia="Times New Roman" w:cs="Times New Roman"/>
          <w:spacing w:val="-4"/>
          <w:position w:val="14"/>
          <w:sz w:val="21"/>
          <w:szCs w:val="21"/>
        </w:rPr>
        <w:t>5</w:t>
      </w:r>
      <w:r>
        <w:rPr>
          <w:rFonts w:ascii="宋体" w:hAnsi="宋体" w:eastAsia="宋体" w:cs="宋体"/>
          <w:spacing w:val="-4"/>
          <w:position w:val="14"/>
          <w:sz w:val="21"/>
          <w:szCs w:val="21"/>
        </w:rPr>
        <w:t>）施工机械设备的选用；</w:t>
      </w:r>
    </w:p>
    <w:p w14:paraId="4611E17A">
      <w:pPr>
        <w:spacing w:line="221" w:lineRule="auto"/>
        <w:ind w:left="447"/>
        <w:rPr>
          <w:rFonts w:ascii="宋体" w:hAnsi="宋体" w:eastAsia="宋体" w:cs="宋体"/>
          <w:sz w:val="21"/>
          <w:szCs w:val="21"/>
        </w:rPr>
      </w:pPr>
      <w:r>
        <w:rPr>
          <w:rFonts w:ascii="宋体" w:hAnsi="宋体" w:eastAsia="宋体" w:cs="宋体"/>
          <w:spacing w:val="-4"/>
          <w:sz w:val="21"/>
          <w:szCs w:val="21"/>
        </w:rPr>
        <w:t>（</w:t>
      </w:r>
      <w:r>
        <w:rPr>
          <w:rFonts w:ascii="Times New Roman" w:hAnsi="Times New Roman" w:eastAsia="Times New Roman" w:cs="Times New Roman"/>
          <w:spacing w:val="-4"/>
          <w:sz w:val="21"/>
          <w:szCs w:val="21"/>
        </w:rPr>
        <w:t>6</w:t>
      </w:r>
      <w:r>
        <w:rPr>
          <w:rFonts w:ascii="宋体" w:hAnsi="宋体" w:eastAsia="宋体" w:cs="宋体"/>
          <w:spacing w:val="-4"/>
          <w:sz w:val="21"/>
          <w:szCs w:val="21"/>
        </w:rPr>
        <w:t>）质量保证体系及措施；</w:t>
      </w:r>
    </w:p>
    <w:p w14:paraId="543CB3EE">
      <w:pPr>
        <w:spacing w:before="150" w:line="221" w:lineRule="auto"/>
        <w:ind w:left="447"/>
        <w:rPr>
          <w:rFonts w:ascii="宋体" w:hAnsi="宋体" w:eastAsia="宋体" w:cs="宋体"/>
          <w:sz w:val="21"/>
          <w:szCs w:val="21"/>
        </w:rPr>
      </w:pPr>
      <w:r>
        <w:rPr>
          <w:rFonts w:ascii="宋体" w:hAnsi="宋体" w:eastAsia="宋体" w:cs="宋体"/>
          <w:spacing w:val="-1"/>
          <w:sz w:val="21"/>
          <w:szCs w:val="21"/>
        </w:rPr>
        <w:t>（</w:t>
      </w:r>
      <w:r>
        <w:rPr>
          <w:rFonts w:ascii="Times New Roman" w:hAnsi="Times New Roman" w:eastAsia="Times New Roman" w:cs="Times New Roman"/>
          <w:spacing w:val="-1"/>
          <w:sz w:val="21"/>
          <w:szCs w:val="21"/>
        </w:rPr>
        <w:t>7</w:t>
      </w:r>
      <w:r>
        <w:rPr>
          <w:rFonts w:ascii="宋体" w:hAnsi="宋体" w:eastAsia="宋体" w:cs="宋体"/>
          <w:spacing w:val="-1"/>
          <w:sz w:val="21"/>
          <w:szCs w:val="21"/>
        </w:rPr>
        <w:t>）安全生产、文明施工措施；</w:t>
      </w:r>
    </w:p>
    <w:p w14:paraId="6FFD0FCA">
      <w:pPr>
        <w:spacing w:before="147" w:line="220" w:lineRule="auto"/>
        <w:ind w:left="447"/>
        <w:rPr>
          <w:rFonts w:ascii="宋体" w:hAnsi="宋体" w:eastAsia="宋体" w:cs="宋体"/>
          <w:sz w:val="21"/>
          <w:szCs w:val="21"/>
        </w:rPr>
      </w:pPr>
      <w:r>
        <w:rPr>
          <w:rFonts w:ascii="宋体" w:hAnsi="宋体" w:eastAsia="宋体" w:cs="宋体"/>
          <w:spacing w:val="-1"/>
          <w:sz w:val="21"/>
          <w:szCs w:val="21"/>
        </w:rPr>
        <w:t>（</w:t>
      </w:r>
      <w:r>
        <w:rPr>
          <w:rFonts w:ascii="Times New Roman" w:hAnsi="Times New Roman" w:eastAsia="Times New Roman" w:cs="Times New Roman"/>
          <w:spacing w:val="-1"/>
          <w:sz w:val="21"/>
          <w:szCs w:val="21"/>
        </w:rPr>
        <w:t>8</w:t>
      </w:r>
      <w:r>
        <w:rPr>
          <w:rFonts w:ascii="宋体" w:hAnsi="宋体" w:eastAsia="宋体" w:cs="宋体"/>
          <w:spacing w:val="-1"/>
          <w:sz w:val="21"/>
          <w:szCs w:val="21"/>
        </w:rPr>
        <w:t>）环境保护、成本控制措施；</w:t>
      </w:r>
    </w:p>
    <w:p w14:paraId="34C6F977">
      <w:pPr>
        <w:spacing w:before="148" w:line="221" w:lineRule="auto"/>
        <w:ind w:left="447"/>
        <w:rPr>
          <w:rFonts w:ascii="宋体" w:hAnsi="宋体" w:eastAsia="宋体" w:cs="宋体"/>
          <w:sz w:val="21"/>
          <w:szCs w:val="21"/>
        </w:rPr>
      </w:pPr>
      <w:r>
        <w:rPr>
          <w:rFonts w:ascii="宋体" w:hAnsi="宋体" w:eastAsia="宋体" w:cs="宋体"/>
          <w:spacing w:val="-1"/>
          <w:sz w:val="21"/>
          <w:szCs w:val="21"/>
        </w:rPr>
        <w:t>（</w:t>
      </w:r>
      <w:r>
        <w:rPr>
          <w:rFonts w:ascii="Times New Roman" w:hAnsi="Times New Roman" w:eastAsia="Times New Roman" w:cs="Times New Roman"/>
          <w:spacing w:val="-1"/>
          <w:sz w:val="21"/>
          <w:szCs w:val="21"/>
        </w:rPr>
        <w:t>9</w:t>
      </w:r>
      <w:r>
        <w:rPr>
          <w:rFonts w:ascii="宋体" w:hAnsi="宋体" w:eastAsia="宋体" w:cs="宋体"/>
          <w:spacing w:val="-1"/>
          <w:sz w:val="21"/>
          <w:szCs w:val="21"/>
        </w:rPr>
        <w:t>）合同当事人约定的其他内容。</w:t>
      </w:r>
    </w:p>
    <w:p w14:paraId="1604FFA2">
      <w:pPr>
        <w:spacing w:before="152" w:line="221" w:lineRule="auto"/>
        <w:ind w:left="440"/>
        <w:rPr>
          <w:rFonts w:ascii="宋体" w:hAnsi="宋体" w:eastAsia="宋体" w:cs="宋体"/>
          <w:sz w:val="21"/>
          <w:szCs w:val="21"/>
        </w:rPr>
      </w:pPr>
      <w:r>
        <w:rPr>
          <w:rFonts w:ascii="Times New Roman" w:hAnsi="Times New Roman" w:eastAsia="Times New Roman" w:cs="Times New Roman"/>
          <w:spacing w:val="-1"/>
          <w:sz w:val="21"/>
          <w:szCs w:val="21"/>
        </w:rPr>
        <w:t xml:space="preserve">7.1.2 </w:t>
      </w:r>
      <w:r>
        <w:rPr>
          <w:rFonts w:ascii="宋体" w:hAnsi="宋体" w:eastAsia="宋体" w:cs="宋体"/>
          <w:spacing w:val="-1"/>
          <w:sz w:val="21"/>
          <w:szCs w:val="21"/>
        </w:rPr>
        <w:t>施工组织设计的提交和修改</w:t>
      </w:r>
    </w:p>
    <w:p w14:paraId="2DADFBFA">
      <w:pPr>
        <w:spacing w:before="148" w:line="352" w:lineRule="auto"/>
        <w:ind w:left="16" w:right="1" w:firstLine="437"/>
        <w:rPr>
          <w:rFonts w:ascii="宋体" w:hAnsi="宋体" w:eastAsia="宋体" w:cs="宋体"/>
          <w:sz w:val="21"/>
          <w:szCs w:val="21"/>
        </w:rPr>
      </w:pPr>
      <w:r>
        <w:rPr>
          <w:rFonts w:ascii="宋体" w:hAnsi="宋体" w:eastAsia="宋体" w:cs="宋体"/>
          <w:spacing w:val="-4"/>
          <w:sz w:val="21"/>
          <w:szCs w:val="21"/>
        </w:rPr>
        <w:t>除专用合同条款另有约定外， 承包人应在合同签订后</w:t>
      </w:r>
      <w:r>
        <w:rPr>
          <w:rFonts w:ascii="宋体" w:hAnsi="宋体" w:eastAsia="宋体" w:cs="宋体"/>
          <w:spacing w:val="-36"/>
          <w:sz w:val="21"/>
          <w:szCs w:val="21"/>
        </w:rPr>
        <w:t xml:space="preserve"> </w:t>
      </w:r>
      <w:r>
        <w:rPr>
          <w:rFonts w:ascii="Times New Roman" w:hAnsi="Times New Roman" w:eastAsia="Times New Roman" w:cs="Times New Roman"/>
          <w:spacing w:val="-4"/>
          <w:sz w:val="21"/>
          <w:szCs w:val="21"/>
        </w:rPr>
        <w:t xml:space="preserve">14 </w:t>
      </w:r>
      <w:r>
        <w:rPr>
          <w:rFonts w:ascii="宋体" w:hAnsi="宋体" w:eastAsia="宋体" w:cs="宋体"/>
          <w:spacing w:val="-4"/>
          <w:sz w:val="21"/>
          <w:szCs w:val="21"/>
        </w:rPr>
        <w:t>天内，但至迟不得晚于第</w:t>
      </w:r>
      <w:r>
        <w:rPr>
          <w:rFonts w:ascii="宋体" w:hAnsi="宋体" w:eastAsia="宋体" w:cs="宋体"/>
          <w:spacing w:val="-53"/>
          <w:sz w:val="21"/>
          <w:szCs w:val="21"/>
        </w:rPr>
        <w:t xml:space="preserve"> </w:t>
      </w:r>
      <w:r>
        <w:rPr>
          <w:rFonts w:ascii="Times New Roman" w:hAnsi="Times New Roman" w:eastAsia="Times New Roman" w:cs="Times New Roman"/>
          <w:spacing w:val="-4"/>
          <w:sz w:val="21"/>
          <w:szCs w:val="21"/>
        </w:rPr>
        <w:t>7.3.2</w:t>
      </w:r>
      <w:r>
        <w:rPr>
          <w:rFonts w:ascii="Times New Roman" w:hAnsi="Times New Roman" w:eastAsia="Times New Roman" w:cs="Times New Roman"/>
          <w:sz w:val="21"/>
          <w:szCs w:val="21"/>
        </w:rPr>
        <w:t xml:space="preserve"> </w:t>
      </w:r>
      <w:r>
        <w:rPr>
          <w:rFonts w:ascii="宋体" w:hAnsi="宋体" w:eastAsia="宋体" w:cs="宋体"/>
          <w:sz w:val="21"/>
          <w:szCs w:val="21"/>
        </w:rPr>
        <w:t xml:space="preserve">项〔开工通知〕载明的开工日期前 </w:t>
      </w:r>
      <w:r>
        <w:rPr>
          <w:rFonts w:ascii="Times New Roman" w:hAnsi="Times New Roman" w:eastAsia="Times New Roman" w:cs="Times New Roman"/>
          <w:sz w:val="21"/>
          <w:szCs w:val="21"/>
        </w:rPr>
        <w:t>7</w:t>
      </w:r>
      <w:r>
        <w:rPr>
          <w:rFonts w:ascii="Times New Roman" w:hAnsi="Times New Roman" w:eastAsia="Times New Roman" w:cs="Times New Roman"/>
          <w:spacing w:val="65"/>
          <w:sz w:val="21"/>
          <w:szCs w:val="21"/>
        </w:rPr>
        <w:t xml:space="preserve"> </w:t>
      </w:r>
      <w:r>
        <w:rPr>
          <w:rFonts w:ascii="宋体" w:hAnsi="宋体" w:eastAsia="宋体" w:cs="宋体"/>
          <w:sz w:val="21"/>
          <w:szCs w:val="21"/>
        </w:rPr>
        <w:t>天，向监理人提交详细的施工组织设计，并由监理人 报送发包人。 除专用合同条款另有约定外，发包人和监理人应在监理人收到施工组织设计</w:t>
      </w:r>
      <w:r>
        <w:rPr>
          <w:rFonts w:ascii="宋体" w:hAnsi="宋体" w:eastAsia="宋体" w:cs="宋体"/>
          <w:spacing w:val="9"/>
          <w:sz w:val="21"/>
          <w:szCs w:val="21"/>
        </w:rPr>
        <w:t xml:space="preserve"> </w:t>
      </w:r>
      <w:r>
        <w:rPr>
          <w:rFonts w:ascii="宋体" w:hAnsi="宋体" w:eastAsia="宋体" w:cs="宋体"/>
          <w:sz w:val="21"/>
          <w:szCs w:val="21"/>
        </w:rPr>
        <w:t xml:space="preserve">后 </w:t>
      </w:r>
      <w:r>
        <w:rPr>
          <w:rFonts w:ascii="Times New Roman" w:hAnsi="Times New Roman" w:eastAsia="Times New Roman" w:cs="Times New Roman"/>
          <w:sz w:val="21"/>
          <w:szCs w:val="21"/>
        </w:rPr>
        <w:t xml:space="preserve">7  </w:t>
      </w:r>
      <w:r>
        <w:rPr>
          <w:rFonts w:ascii="宋体" w:hAnsi="宋体" w:eastAsia="宋体" w:cs="宋体"/>
          <w:sz w:val="21"/>
          <w:szCs w:val="21"/>
        </w:rPr>
        <w:t>天内确认或提出修改意见。对发包人和监理人提出的合理意见和要求，承包人应自费</w:t>
      </w:r>
      <w:r>
        <w:rPr>
          <w:rFonts w:ascii="宋体" w:hAnsi="宋体" w:eastAsia="宋体" w:cs="宋体"/>
          <w:spacing w:val="12"/>
          <w:sz w:val="21"/>
          <w:szCs w:val="21"/>
        </w:rPr>
        <w:t xml:space="preserve"> </w:t>
      </w:r>
      <w:r>
        <w:rPr>
          <w:rFonts w:ascii="宋体" w:hAnsi="宋体" w:eastAsia="宋体" w:cs="宋体"/>
          <w:spacing w:val="3"/>
          <w:sz w:val="21"/>
          <w:szCs w:val="21"/>
        </w:rPr>
        <w:t>修改完善。根据工程实际情况需要修改施工组织设计的，承包人应向发包人和监</w:t>
      </w:r>
      <w:r>
        <w:rPr>
          <w:rFonts w:ascii="宋体" w:hAnsi="宋体" w:eastAsia="宋体" w:cs="宋体"/>
          <w:spacing w:val="2"/>
          <w:sz w:val="21"/>
          <w:szCs w:val="21"/>
        </w:rPr>
        <w:t>理人提交</w:t>
      </w:r>
    </w:p>
    <w:p w14:paraId="61FFEB18">
      <w:pPr>
        <w:spacing w:line="220" w:lineRule="auto"/>
        <w:ind w:left="18"/>
        <w:rPr>
          <w:rFonts w:ascii="宋体" w:hAnsi="宋体" w:eastAsia="宋体" w:cs="宋体"/>
          <w:sz w:val="21"/>
          <w:szCs w:val="21"/>
        </w:rPr>
      </w:pPr>
      <w:r>
        <w:rPr>
          <w:rFonts w:ascii="宋体" w:hAnsi="宋体" w:eastAsia="宋体" w:cs="宋体"/>
          <w:spacing w:val="-2"/>
          <w:sz w:val="21"/>
          <w:szCs w:val="21"/>
        </w:rPr>
        <w:t>修改后的施工组织设计。</w:t>
      </w:r>
    </w:p>
    <w:p w14:paraId="76920DFA">
      <w:pPr>
        <w:spacing w:before="148" w:line="221" w:lineRule="auto"/>
        <w:ind w:left="440"/>
        <w:rPr>
          <w:rFonts w:ascii="宋体" w:hAnsi="宋体" w:eastAsia="宋体" w:cs="宋体"/>
          <w:sz w:val="21"/>
          <w:szCs w:val="21"/>
        </w:rPr>
      </w:pPr>
      <w:r>
        <w:rPr>
          <w:rFonts w:ascii="宋体" w:hAnsi="宋体" w:eastAsia="宋体" w:cs="宋体"/>
          <w:spacing w:val="-1"/>
          <w:sz w:val="21"/>
          <w:szCs w:val="21"/>
        </w:rPr>
        <w:t>施工进度计划的编制和修改按照第</w:t>
      </w:r>
      <w:r>
        <w:rPr>
          <w:rFonts w:ascii="宋体" w:hAnsi="宋体" w:eastAsia="宋体" w:cs="宋体"/>
          <w:spacing w:val="-34"/>
          <w:sz w:val="21"/>
          <w:szCs w:val="21"/>
        </w:rPr>
        <w:t xml:space="preserve"> </w:t>
      </w:r>
      <w:r>
        <w:rPr>
          <w:rFonts w:ascii="Times New Roman" w:hAnsi="Times New Roman" w:eastAsia="Times New Roman" w:cs="Times New Roman"/>
          <w:spacing w:val="-1"/>
          <w:sz w:val="21"/>
          <w:szCs w:val="21"/>
        </w:rPr>
        <w:t xml:space="preserve">7.2 </w:t>
      </w:r>
      <w:r>
        <w:rPr>
          <w:rFonts w:ascii="宋体" w:hAnsi="宋体" w:eastAsia="宋体" w:cs="宋体"/>
          <w:spacing w:val="-1"/>
          <w:sz w:val="21"/>
          <w:szCs w:val="21"/>
        </w:rPr>
        <w:t>款〔施工进度计划〕执行。</w:t>
      </w:r>
    </w:p>
    <w:p w14:paraId="707DBD37">
      <w:pPr>
        <w:spacing w:before="46" w:line="219" w:lineRule="auto"/>
        <w:ind w:left="20"/>
        <w:rPr>
          <w:rFonts w:ascii="黑体" w:hAnsi="黑体" w:eastAsia="黑体" w:cs="黑体"/>
          <w:sz w:val="24"/>
          <w:szCs w:val="24"/>
        </w:rPr>
      </w:pPr>
      <w:r>
        <w:rPr>
          <w:rFonts w:ascii="黑体" w:hAnsi="黑体" w:eastAsia="黑体" w:cs="黑体"/>
          <w:spacing w:val="-1"/>
          <w:sz w:val="24"/>
          <w:szCs w:val="24"/>
        </w:rPr>
        <w:t>7.2 施工进度计划</w:t>
      </w:r>
    </w:p>
    <w:p w14:paraId="6F2E1DD5">
      <w:pPr>
        <w:spacing w:before="128" w:line="221" w:lineRule="auto"/>
        <w:ind w:left="440"/>
        <w:rPr>
          <w:rFonts w:ascii="宋体" w:hAnsi="宋体" w:eastAsia="宋体" w:cs="宋体"/>
          <w:sz w:val="21"/>
          <w:szCs w:val="21"/>
        </w:rPr>
      </w:pPr>
      <w:r>
        <w:rPr>
          <w:rFonts w:ascii="Times New Roman" w:hAnsi="Times New Roman" w:eastAsia="Times New Roman" w:cs="Times New Roman"/>
          <w:spacing w:val="-1"/>
          <w:sz w:val="21"/>
          <w:szCs w:val="21"/>
        </w:rPr>
        <w:t xml:space="preserve">7.2.1 </w:t>
      </w:r>
      <w:r>
        <w:rPr>
          <w:rFonts w:ascii="宋体" w:hAnsi="宋体" w:eastAsia="宋体" w:cs="宋体"/>
          <w:spacing w:val="-1"/>
          <w:sz w:val="21"/>
          <w:szCs w:val="21"/>
        </w:rPr>
        <w:t>施工进度计划的编制</w:t>
      </w:r>
    </w:p>
    <w:p w14:paraId="325A4FC6">
      <w:pPr>
        <w:spacing w:before="152" w:line="352" w:lineRule="auto"/>
        <w:ind w:left="17" w:right="2" w:firstLine="423"/>
        <w:rPr>
          <w:rFonts w:ascii="宋体" w:hAnsi="宋体" w:eastAsia="宋体" w:cs="宋体"/>
          <w:sz w:val="21"/>
          <w:szCs w:val="21"/>
        </w:rPr>
      </w:pPr>
      <w:r>
        <w:rPr>
          <w:rFonts w:ascii="宋体" w:hAnsi="宋体" w:eastAsia="宋体" w:cs="宋体"/>
          <w:spacing w:val="-3"/>
          <w:sz w:val="21"/>
          <w:szCs w:val="21"/>
        </w:rPr>
        <w:t>承包人应按照第</w:t>
      </w:r>
      <w:r>
        <w:rPr>
          <w:rFonts w:ascii="宋体" w:hAnsi="宋体" w:eastAsia="宋体" w:cs="宋体"/>
          <w:spacing w:val="-58"/>
          <w:sz w:val="21"/>
          <w:szCs w:val="21"/>
        </w:rPr>
        <w:t xml:space="preserve"> </w:t>
      </w:r>
      <w:r>
        <w:rPr>
          <w:rFonts w:ascii="Times New Roman" w:hAnsi="Times New Roman" w:eastAsia="Times New Roman" w:cs="Times New Roman"/>
          <w:spacing w:val="-3"/>
          <w:sz w:val="21"/>
          <w:szCs w:val="21"/>
        </w:rPr>
        <w:t>7.1</w:t>
      </w:r>
      <w:r>
        <w:rPr>
          <w:rFonts w:ascii="Times New Roman" w:hAnsi="Times New Roman" w:eastAsia="Times New Roman" w:cs="Times New Roman"/>
          <w:spacing w:val="-15"/>
          <w:sz w:val="21"/>
          <w:szCs w:val="21"/>
        </w:rPr>
        <w:t xml:space="preserve"> </w:t>
      </w:r>
      <w:r>
        <w:rPr>
          <w:rFonts w:ascii="宋体" w:hAnsi="宋体" w:eastAsia="宋体" w:cs="宋体"/>
          <w:spacing w:val="-3"/>
          <w:sz w:val="21"/>
          <w:szCs w:val="21"/>
        </w:rPr>
        <w:t>款〔施工组织设计〕约定提交详细的施工进度计划， 施</w:t>
      </w:r>
      <w:r>
        <w:rPr>
          <w:rFonts w:ascii="宋体" w:hAnsi="宋体" w:eastAsia="宋体" w:cs="宋体"/>
          <w:spacing w:val="-4"/>
          <w:sz w:val="21"/>
          <w:szCs w:val="21"/>
        </w:rPr>
        <w:t>工进度计划</w:t>
      </w:r>
      <w:r>
        <w:rPr>
          <w:rFonts w:ascii="宋体" w:hAnsi="宋体" w:eastAsia="宋体" w:cs="宋体"/>
          <w:sz w:val="21"/>
          <w:szCs w:val="21"/>
        </w:rPr>
        <w:t xml:space="preserve"> </w:t>
      </w:r>
      <w:r>
        <w:rPr>
          <w:rFonts w:ascii="宋体" w:hAnsi="宋体" w:eastAsia="宋体" w:cs="宋体"/>
          <w:spacing w:val="2"/>
          <w:sz w:val="21"/>
          <w:szCs w:val="21"/>
        </w:rPr>
        <w:t>的编制应当符合国家法律规定和一般工程实践惯例，施工进度计划经发包人批准后实施。</w:t>
      </w:r>
      <w:r>
        <w:rPr>
          <w:rFonts w:ascii="宋体" w:hAnsi="宋体" w:eastAsia="宋体" w:cs="宋体"/>
          <w:spacing w:val="3"/>
          <w:sz w:val="21"/>
          <w:szCs w:val="21"/>
        </w:rPr>
        <w:t xml:space="preserve"> 施工进度计划是控制工程进度的依据，发包人和监理人有权按照施工进度计划</w:t>
      </w:r>
      <w:r>
        <w:rPr>
          <w:rFonts w:ascii="宋体" w:hAnsi="宋体" w:eastAsia="宋体" w:cs="宋体"/>
          <w:spacing w:val="2"/>
          <w:sz w:val="21"/>
          <w:szCs w:val="21"/>
        </w:rPr>
        <w:t>检查工程进</w:t>
      </w:r>
    </w:p>
    <w:p w14:paraId="059FCF96">
      <w:pPr>
        <w:spacing w:line="221" w:lineRule="auto"/>
        <w:ind w:left="17"/>
        <w:rPr>
          <w:rFonts w:ascii="宋体" w:hAnsi="宋体" w:eastAsia="宋体" w:cs="宋体"/>
          <w:sz w:val="21"/>
          <w:szCs w:val="21"/>
        </w:rPr>
      </w:pPr>
      <w:r>
        <w:rPr>
          <w:rFonts w:ascii="宋体" w:hAnsi="宋体" w:eastAsia="宋体" w:cs="宋体"/>
          <w:spacing w:val="-7"/>
          <w:sz w:val="21"/>
          <w:szCs w:val="21"/>
        </w:rPr>
        <w:t>度情况。</w:t>
      </w:r>
    </w:p>
    <w:p w14:paraId="019ED9B2">
      <w:pPr>
        <w:spacing w:before="146" w:line="221" w:lineRule="auto"/>
        <w:ind w:left="440"/>
        <w:rPr>
          <w:rFonts w:ascii="宋体" w:hAnsi="宋体" w:eastAsia="宋体" w:cs="宋体"/>
          <w:sz w:val="21"/>
          <w:szCs w:val="21"/>
        </w:rPr>
      </w:pPr>
      <w:r>
        <w:rPr>
          <w:rFonts w:ascii="Times New Roman" w:hAnsi="Times New Roman" w:eastAsia="Times New Roman" w:cs="Times New Roman"/>
          <w:spacing w:val="-1"/>
          <w:sz w:val="21"/>
          <w:szCs w:val="21"/>
        </w:rPr>
        <w:t xml:space="preserve">7.2.2 </w:t>
      </w:r>
      <w:r>
        <w:rPr>
          <w:rFonts w:ascii="宋体" w:hAnsi="宋体" w:eastAsia="宋体" w:cs="宋体"/>
          <w:spacing w:val="-1"/>
          <w:sz w:val="21"/>
          <w:szCs w:val="21"/>
        </w:rPr>
        <w:t>施工进度计划的修订</w:t>
      </w:r>
    </w:p>
    <w:p w14:paraId="3154F629">
      <w:pPr>
        <w:spacing w:before="147" w:line="352" w:lineRule="auto"/>
        <w:ind w:left="18" w:right="6" w:firstLine="422"/>
        <w:rPr>
          <w:rFonts w:ascii="宋体" w:hAnsi="宋体" w:eastAsia="宋体" w:cs="宋体"/>
          <w:sz w:val="21"/>
          <w:szCs w:val="21"/>
        </w:rPr>
      </w:pPr>
      <w:r>
        <w:rPr>
          <w:rFonts w:ascii="宋体" w:hAnsi="宋体" w:eastAsia="宋体" w:cs="宋体"/>
          <w:spacing w:val="3"/>
          <w:sz w:val="21"/>
          <w:szCs w:val="21"/>
        </w:rPr>
        <w:t xml:space="preserve">施工进度计划不符合合同要求或与工程的实际进度不一致的，承包人应向监理人提交 </w:t>
      </w:r>
      <w:r>
        <w:rPr>
          <w:rFonts w:ascii="宋体" w:hAnsi="宋体" w:eastAsia="宋体" w:cs="宋体"/>
          <w:sz w:val="21"/>
          <w:szCs w:val="21"/>
        </w:rPr>
        <w:t>修订的施工进度计划， 并附具有关措施和相关资料，由监理人报送发包人。除专用合同条</w:t>
      </w:r>
      <w:r>
        <w:rPr>
          <w:rFonts w:ascii="宋体" w:hAnsi="宋体" w:eastAsia="宋体" w:cs="宋体"/>
          <w:spacing w:val="6"/>
          <w:sz w:val="21"/>
          <w:szCs w:val="21"/>
        </w:rPr>
        <w:t xml:space="preserve"> </w:t>
      </w:r>
      <w:r>
        <w:rPr>
          <w:rFonts w:ascii="宋体" w:hAnsi="宋体" w:eastAsia="宋体" w:cs="宋体"/>
          <w:sz w:val="21"/>
          <w:szCs w:val="21"/>
        </w:rPr>
        <w:t xml:space="preserve">款另有约定外，发包人和监理人应在收到修订的施工进度计划后 </w:t>
      </w:r>
      <w:r>
        <w:rPr>
          <w:rFonts w:ascii="Times New Roman" w:hAnsi="Times New Roman" w:eastAsia="Times New Roman" w:cs="Times New Roman"/>
          <w:sz w:val="21"/>
          <w:szCs w:val="21"/>
        </w:rPr>
        <w:t xml:space="preserve">7  </w:t>
      </w:r>
      <w:r>
        <w:rPr>
          <w:rFonts w:ascii="宋体" w:hAnsi="宋体" w:eastAsia="宋体" w:cs="宋体"/>
          <w:sz w:val="21"/>
          <w:szCs w:val="21"/>
        </w:rPr>
        <w:t>天内完成审核和批准或</w:t>
      </w:r>
    </w:p>
    <w:p w14:paraId="4AF8E1D0">
      <w:pPr>
        <w:spacing w:before="1" w:line="220" w:lineRule="auto"/>
        <w:ind w:left="19"/>
        <w:rPr>
          <w:rFonts w:ascii="宋体" w:hAnsi="宋体" w:eastAsia="宋体" w:cs="宋体"/>
          <w:sz w:val="21"/>
          <w:szCs w:val="21"/>
        </w:rPr>
      </w:pPr>
      <w:r>
        <w:rPr>
          <w:rFonts w:ascii="宋体" w:hAnsi="宋体" w:eastAsia="宋体" w:cs="宋体"/>
          <w:sz w:val="21"/>
          <w:szCs w:val="21"/>
        </w:rPr>
        <w:t>提出修改意见。发包人和监理人对承包人提交的施工进度计划的确认， 不能减轻或免除承</w:t>
      </w:r>
    </w:p>
    <w:p w14:paraId="27FAFA60">
      <w:pPr>
        <w:spacing w:before="151" w:line="221" w:lineRule="auto"/>
        <w:ind w:left="18"/>
        <w:rPr>
          <w:rFonts w:ascii="宋体" w:hAnsi="宋体" w:eastAsia="宋体" w:cs="宋体"/>
          <w:sz w:val="21"/>
          <w:szCs w:val="21"/>
        </w:rPr>
      </w:pPr>
      <w:r>
        <w:rPr>
          <w:rFonts w:ascii="宋体" w:hAnsi="宋体" w:eastAsia="宋体" w:cs="宋体"/>
          <w:spacing w:val="-1"/>
          <w:sz w:val="21"/>
          <w:szCs w:val="21"/>
        </w:rPr>
        <w:t>包人根据法律规定和合同约定应承担的任何责任或义务。</w:t>
      </w:r>
    </w:p>
    <w:p w14:paraId="6648139C">
      <w:pPr>
        <w:spacing w:before="47" w:line="222" w:lineRule="auto"/>
        <w:ind w:left="20"/>
        <w:rPr>
          <w:rFonts w:ascii="黑体" w:hAnsi="黑体" w:eastAsia="黑体" w:cs="黑体"/>
          <w:sz w:val="24"/>
          <w:szCs w:val="24"/>
        </w:rPr>
      </w:pPr>
      <w:r>
        <w:rPr>
          <w:rFonts w:ascii="黑体" w:hAnsi="黑体" w:eastAsia="黑体" w:cs="黑体"/>
          <w:spacing w:val="-4"/>
          <w:sz w:val="24"/>
          <w:szCs w:val="24"/>
        </w:rPr>
        <w:t>7.3</w:t>
      </w:r>
      <w:r>
        <w:rPr>
          <w:rFonts w:ascii="黑体" w:hAnsi="黑体" w:eastAsia="黑体" w:cs="黑体"/>
          <w:spacing w:val="15"/>
          <w:sz w:val="24"/>
          <w:szCs w:val="24"/>
        </w:rPr>
        <w:t xml:space="preserve"> </w:t>
      </w:r>
      <w:r>
        <w:rPr>
          <w:rFonts w:ascii="黑体" w:hAnsi="黑体" w:eastAsia="黑体" w:cs="黑体"/>
          <w:spacing w:val="-4"/>
          <w:sz w:val="24"/>
          <w:szCs w:val="24"/>
        </w:rPr>
        <w:t>开工</w:t>
      </w:r>
    </w:p>
    <w:p w14:paraId="0073A01C">
      <w:pPr>
        <w:spacing w:before="125" w:line="222" w:lineRule="auto"/>
        <w:ind w:left="440"/>
        <w:rPr>
          <w:rFonts w:ascii="宋体" w:hAnsi="宋体" w:eastAsia="宋体" w:cs="宋体"/>
          <w:sz w:val="21"/>
          <w:szCs w:val="21"/>
        </w:rPr>
      </w:pPr>
      <w:r>
        <w:rPr>
          <w:rFonts w:ascii="Times New Roman" w:hAnsi="Times New Roman" w:eastAsia="Times New Roman" w:cs="Times New Roman"/>
          <w:spacing w:val="-1"/>
          <w:sz w:val="21"/>
          <w:szCs w:val="21"/>
        </w:rPr>
        <w:t xml:space="preserve">7.3.1 </w:t>
      </w:r>
      <w:r>
        <w:rPr>
          <w:rFonts w:ascii="宋体" w:hAnsi="宋体" w:eastAsia="宋体" w:cs="宋体"/>
          <w:spacing w:val="-1"/>
          <w:sz w:val="21"/>
          <w:szCs w:val="21"/>
        </w:rPr>
        <w:t>开工准备</w:t>
      </w:r>
    </w:p>
    <w:p w14:paraId="6B162D87">
      <w:pPr>
        <w:spacing w:before="145" w:line="352" w:lineRule="auto"/>
        <w:ind w:left="19" w:right="11" w:firstLine="434"/>
        <w:rPr>
          <w:rFonts w:ascii="宋体" w:hAnsi="宋体" w:eastAsia="宋体" w:cs="宋体"/>
          <w:sz w:val="21"/>
          <w:szCs w:val="21"/>
        </w:rPr>
      </w:pPr>
      <w:r>
        <w:rPr>
          <w:rFonts w:ascii="宋体" w:hAnsi="宋体" w:eastAsia="宋体" w:cs="宋体"/>
          <w:spacing w:val="-4"/>
          <w:sz w:val="21"/>
          <w:szCs w:val="21"/>
        </w:rPr>
        <w:t>除专用合同条款另有约定外， 承包人应按照第</w:t>
      </w:r>
      <w:r>
        <w:rPr>
          <w:rFonts w:ascii="宋体" w:hAnsi="宋体" w:eastAsia="宋体" w:cs="宋体"/>
          <w:spacing w:val="-56"/>
          <w:sz w:val="21"/>
          <w:szCs w:val="21"/>
        </w:rPr>
        <w:t xml:space="preserve"> </w:t>
      </w:r>
      <w:r>
        <w:rPr>
          <w:rFonts w:ascii="Times New Roman" w:hAnsi="Times New Roman" w:eastAsia="Times New Roman" w:cs="Times New Roman"/>
          <w:spacing w:val="-4"/>
          <w:sz w:val="21"/>
          <w:szCs w:val="21"/>
        </w:rPr>
        <w:t>7.1</w:t>
      </w:r>
      <w:r>
        <w:rPr>
          <w:rFonts w:ascii="Times New Roman" w:hAnsi="Times New Roman" w:eastAsia="Times New Roman" w:cs="Times New Roman"/>
          <w:spacing w:val="-15"/>
          <w:sz w:val="21"/>
          <w:szCs w:val="21"/>
        </w:rPr>
        <w:t xml:space="preserve"> </w:t>
      </w:r>
      <w:r>
        <w:rPr>
          <w:rFonts w:ascii="宋体" w:hAnsi="宋体" w:eastAsia="宋体" w:cs="宋体"/>
          <w:spacing w:val="-4"/>
          <w:sz w:val="21"/>
          <w:szCs w:val="21"/>
        </w:rPr>
        <w:t>款〔施工组织设计〕约定的期限，向</w:t>
      </w:r>
      <w:r>
        <w:rPr>
          <w:rFonts w:ascii="宋体" w:hAnsi="宋体" w:eastAsia="宋体" w:cs="宋体"/>
          <w:sz w:val="21"/>
          <w:szCs w:val="21"/>
        </w:rPr>
        <w:t xml:space="preserve"> 监理人提交工程开工报审表， 经监理人报发包人批准后执行。开工报审表应详细说明按施</w:t>
      </w:r>
      <w:r>
        <w:rPr>
          <w:rFonts w:ascii="宋体" w:hAnsi="宋体" w:eastAsia="宋体" w:cs="宋体"/>
          <w:spacing w:val="6"/>
          <w:sz w:val="21"/>
          <w:szCs w:val="21"/>
        </w:rPr>
        <w:t xml:space="preserve"> </w:t>
      </w:r>
      <w:r>
        <w:rPr>
          <w:rFonts w:ascii="宋体" w:hAnsi="宋体" w:eastAsia="宋体" w:cs="宋体"/>
          <w:spacing w:val="3"/>
          <w:sz w:val="21"/>
          <w:szCs w:val="21"/>
        </w:rPr>
        <w:t>工进度计划正常施工所需的施工道路、临时设施、材料、工程设备、施工设</w:t>
      </w:r>
      <w:r>
        <w:rPr>
          <w:rFonts w:ascii="宋体" w:hAnsi="宋体" w:eastAsia="宋体" w:cs="宋体"/>
          <w:spacing w:val="2"/>
          <w:sz w:val="21"/>
          <w:szCs w:val="21"/>
        </w:rPr>
        <w:t>备、施工人员</w:t>
      </w:r>
    </w:p>
    <w:p w14:paraId="50A17E62">
      <w:pPr>
        <w:spacing w:before="1" w:line="220" w:lineRule="auto"/>
        <w:ind w:left="20"/>
        <w:rPr>
          <w:rFonts w:ascii="宋体" w:hAnsi="宋体" w:eastAsia="宋体" w:cs="宋体"/>
          <w:sz w:val="21"/>
          <w:szCs w:val="21"/>
        </w:rPr>
      </w:pPr>
      <w:r>
        <w:rPr>
          <w:rFonts w:ascii="宋体" w:hAnsi="宋体" w:eastAsia="宋体" w:cs="宋体"/>
          <w:spacing w:val="-2"/>
          <w:sz w:val="21"/>
          <w:szCs w:val="21"/>
        </w:rPr>
        <w:t>等落实情况以及工程的进度安排。</w:t>
      </w:r>
    </w:p>
    <w:p w14:paraId="1584C1A4">
      <w:pPr>
        <w:spacing w:before="147" w:line="221" w:lineRule="auto"/>
        <w:ind w:left="453"/>
        <w:rPr>
          <w:rFonts w:ascii="宋体" w:hAnsi="宋体" w:eastAsia="宋体" w:cs="宋体"/>
          <w:sz w:val="21"/>
          <w:szCs w:val="21"/>
        </w:rPr>
      </w:pPr>
      <w:r>
        <w:rPr>
          <w:rFonts w:ascii="宋体" w:hAnsi="宋体" w:eastAsia="宋体" w:cs="宋体"/>
          <w:spacing w:val="-5"/>
          <w:sz w:val="21"/>
          <w:szCs w:val="21"/>
        </w:rPr>
        <w:t>除专用合同条款另有约定外， 合同当事人应按约定完成开工准备工作。</w:t>
      </w:r>
    </w:p>
    <w:p w14:paraId="30C492ED">
      <w:pPr>
        <w:spacing w:before="152" w:line="222" w:lineRule="auto"/>
        <w:ind w:left="440"/>
        <w:rPr>
          <w:rFonts w:ascii="宋体" w:hAnsi="宋体" w:eastAsia="宋体" w:cs="宋体"/>
          <w:sz w:val="21"/>
          <w:szCs w:val="21"/>
        </w:rPr>
      </w:pPr>
      <w:r>
        <w:rPr>
          <w:rFonts w:ascii="Times New Roman" w:hAnsi="Times New Roman" w:eastAsia="Times New Roman" w:cs="Times New Roman"/>
          <w:spacing w:val="-1"/>
          <w:sz w:val="21"/>
          <w:szCs w:val="21"/>
        </w:rPr>
        <w:t xml:space="preserve">7.3.2 </w:t>
      </w:r>
      <w:r>
        <w:rPr>
          <w:rFonts w:ascii="宋体" w:hAnsi="宋体" w:eastAsia="宋体" w:cs="宋体"/>
          <w:spacing w:val="-1"/>
          <w:sz w:val="21"/>
          <w:szCs w:val="21"/>
        </w:rPr>
        <w:t>开工通知</w:t>
      </w:r>
    </w:p>
    <w:p w14:paraId="11C735A2">
      <w:pPr>
        <w:spacing w:before="146" w:line="399" w:lineRule="exact"/>
        <w:ind w:right="6"/>
        <w:jc w:val="right"/>
        <w:rPr>
          <w:rFonts w:ascii="宋体" w:hAnsi="宋体" w:eastAsia="宋体" w:cs="宋体"/>
          <w:sz w:val="21"/>
          <w:szCs w:val="21"/>
        </w:rPr>
      </w:pPr>
      <w:r>
        <w:rPr>
          <w:rFonts w:ascii="宋体" w:hAnsi="宋体" w:eastAsia="宋体" w:cs="宋体"/>
          <w:position w:val="14"/>
          <w:sz w:val="21"/>
          <w:szCs w:val="21"/>
        </w:rPr>
        <w:t>发包人应按照法律规定获得工程施工所需的许可。经发包人同意后， 监理人发出的开</w:t>
      </w:r>
    </w:p>
    <w:p w14:paraId="1DB7D314">
      <w:pPr>
        <w:spacing w:line="220" w:lineRule="auto"/>
        <w:ind w:right="2"/>
        <w:jc w:val="right"/>
        <w:rPr>
          <w:rFonts w:ascii="宋体" w:hAnsi="宋体" w:eastAsia="宋体" w:cs="宋体"/>
          <w:sz w:val="21"/>
          <w:szCs w:val="21"/>
        </w:rPr>
      </w:pPr>
      <w:r>
        <w:rPr>
          <w:rFonts w:ascii="宋体" w:hAnsi="宋体" w:eastAsia="宋体" w:cs="宋体"/>
          <w:spacing w:val="1"/>
          <w:sz w:val="21"/>
          <w:szCs w:val="21"/>
        </w:rPr>
        <w:t>工通知应符合法律规定。监理人应在计划开</w:t>
      </w:r>
      <w:r>
        <w:rPr>
          <w:rFonts w:ascii="宋体" w:hAnsi="宋体" w:eastAsia="宋体" w:cs="宋体"/>
          <w:sz w:val="21"/>
          <w:szCs w:val="21"/>
        </w:rPr>
        <w:t xml:space="preserve">工日期 </w:t>
      </w:r>
      <w:r>
        <w:rPr>
          <w:rFonts w:ascii="Times New Roman" w:hAnsi="Times New Roman" w:eastAsia="Times New Roman" w:cs="Times New Roman"/>
          <w:sz w:val="21"/>
          <w:szCs w:val="21"/>
        </w:rPr>
        <w:t>7</w:t>
      </w:r>
      <w:r>
        <w:rPr>
          <w:rFonts w:ascii="Times New Roman" w:hAnsi="Times New Roman" w:eastAsia="Times New Roman" w:cs="Times New Roman"/>
          <w:spacing w:val="47"/>
          <w:sz w:val="21"/>
          <w:szCs w:val="21"/>
        </w:rPr>
        <w:t xml:space="preserve"> </w:t>
      </w:r>
      <w:r>
        <w:rPr>
          <w:rFonts w:ascii="宋体" w:hAnsi="宋体" w:eastAsia="宋体" w:cs="宋体"/>
          <w:sz w:val="21"/>
          <w:szCs w:val="21"/>
        </w:rPr>
        <w:t>天前向承包人发出开工通知，工期自</w:t>
      </w:r>
    </w:p>
    <w:p w14:paraId="4E012BC8">
      <w:pPr>
        <w:spacing w:line="220" w:lineRule="auto"/>
        <w:rPr>
          <w:rFonts w:ascii="宋体" w:hAnsi="宋体" w:eastAsia="宋体" w:cs="宋体"/>
          <w:sz w:val="21"/>
          <w:szCs w:val="21"/>
        </w:rPr>
        <w:sectPr>
          <w:footerReference r:id="rId107" w:type="default"/>
          <w:pgSz w:w="11905" w:h="16839"/>
          <w:pgMar w:top="1431" w:right="1785" w:bottom="1004" w:left="1785" w:header="0" w:footer="829" w:gutter="0"/>
          <w:pgNumType w:fmt="decimal"/>
          <w:cols w:space="720" w:num="1"/>
        </w:sectPr>
      </w:pPr>
    </w:p>
    <w:p w14:paraId="251447BE">
      <w:pPr>
        <w:spacing w:before="148" w:line="221" w:lineRule="auto"/>
        <w:ind w:left="19"/>
        <w:rPr>
          <w:rFonts w:ascii="宋体" w:hAnsi="宋体" w:eastAsia="宋体" w:cs="宋体"/>
          <w:sz w:val="21"/>
          <w:szCs w:val="21"/>
        </w:rPr>
      </w:pPr>
      <w:r>
        <w:rPr>
          <w:rFonts w:ascii="宋体" w:hAnsi="宋体" w:eastAsia="宋体" w:cs="宋体"/>
          <w:spacing w:val="-2"/>
          <w:sz w:val="21"/>
          <w:szCs w:val="21"/>
        </w:rPr>
        <w:t>开工通知中载明的开工日期起算。</w:t>
      </w:r>
    </w:p>
    <w:p w14:paraId="404EE27D">
      <w:pPr>
        <w:spacing w:before="147" w:line="403" w:lineRule="exact"/>
        <w:ind w:left="453"/>
        <w:rPr>
          <w:rFonts w:ascii="Times New Roman" w:hAnsi="Times New Roman" w:eastAsia="Times New Roman" w:cs="Times New Roman"/>
          <w:sz w:val="21"/>
          <w:szCs w:val="21"/>
        </w:rPr>
      </w:pPr>
      <w:r>
        <w:rPr>
          <w:rFonts w:ascii="宋体" w:hAnsi="宋体" w:eastAsia="宋体" w:cs="宋体"/>
          <w:position w:val="14"/>
          <w:sz w:val="21"/>
          <w:szCs w:val="21"/>
        </w:rPr>
        <w:t xml:space="preserve">除专用合同条款另有约定外，因发包人原因造成监理人未能在计划开工日期之日起 </w:t>
      </w:r>
      <w:r>
        <w:rPr>
          <w:rFonts w:ascii="Times New Roman" w:hAnsi="Times New Roman" w:eastAsia="Times New Roman" w:cs="Times New Roman"/>
          <w:position w:val="14"/>
          <w:sz w:val="21"/>
          <w:szCs w:val="21"/>
        </w:rPr>
        <w:t>90</w:t>
      </w:r>
    </w:p>
    <w:p w14:paraId="0C432AC8">
      <w:pPr>
        <w:spacing w:line="219" w:lineRule="auto"/>
        <w:ind w:left="22"/>
        <w:rPr>
          <w:rFonts w:ascii="宋体" w:hAnsi="宋体" w:eastAsia="宋体" w:cs="宋体"/>
          <w:sz w:val="21"/>
          <w:szCs w:val="21"/>
        </w:rPr>
      </w:pPr>
      <w:r>
        <w:rPr>
          <w:rFonts w:ascii="宋体" w:hAnsi="宋体" w:eastAsia="宋体" w:cs="宋体"/>
          <w:spacing w:val="-3"/>
          <w:sz w:val="21"/>
          <w:szCs w:val="21"/>
        </w:rPr>
        <w:t>天内发出开工通知的， 承包人有权提出价格调整要求，</w:t>
      </w:r>
      <w:r>
        <w:rPr>
          <w:rFonts w:ascii="宋体" w:hAnsi="宋体" w:eastAsia="宋体" w:cs="宋体"/>
          <w:spacing w:val="27"/>
          <w:sz w:val="21"/>
          <w:szCs w:val="21"/>
        </w:rPr>
        <w:t xml:space="preserve"> </w:t>
      </w:r>
      <w:r>
        <w:rPr>
          <w:rFonts w:ascii="宋体" w:hAnsi="宋体" w:eastAsia="宋体" w:cs="宋体"/>
          <w:spacing w:val="-3"/>
          <w:sz w:val="21"/>
          <w:szCs w:val="21"/>
        </w:rPr>
        <w:t>或者解除合</w:t>
      </w:r>
      <w:r>
        <w:rPr>
          <w:rFonts w:ascii="宋体" w:hAnsi="宋体" w:eastAsia="宋体" w:cs="宋体"/>
          <w:spacing w:val="-4"/>
          <w:sz w:val="21"/>
          <w:szCs w:val="21"/>
        </w:rPr>
        <w:t>同。发包人应当承担由</w:t>
      </w:r>
    </w:p>
    <w:p w14:paraId="7F23C4DE">
      <w:pPr>
        <w:spacing w:before="149" w:line="221" w:lineRule="auto"/>
        <w:ind w:left="19"/>
        <w:rPr>
          <w:rFonts w:ascii="宋体" w:hAnsi="宋体" w:eastAsia="宋体" w:cs="宋体"/>
          <w:sz w:val="21"/>
          <w:szCs w:val="21"/>
        </w:rPr>
      </w:pPr>
      <w:r>
        <w:rPr>
          <w:rFonts w:ascii="宋体" w:hAnsi="宋体" w:eastAsia="宋体" w:cs="宋体"/>
          <w:spacing w:val="-1"/>
          <w:sz w:val="21"/>
          <w:szCs w:val="21"/>
        </w:rPr>
        <w:t>此增加的费用和（或）延误的工期，并向承包人支付合理</w:t>
      </w:r>
      <w:r>
        <w:rPr>
          <w:rFonts w:ascii="宋体" w:hAnsi="宋体" w:eastAsia="宋体" w:cs="宋体"/>
          <w:spacing w:val="-2"/>
          <w:sz w:val="21"/>
          <w:szCs w:val="21"/>
        </w:rPr>
        <w:t>利润。</w:t>
      </w:r>
    </w:p>
    <w:p w14:paraId="132CF1A3">
      <w:pPr>
        <w:spacing w:before="45" w:line="217" w:lineRule="auto"/>
        <w:ind w:left="20"/>
        <w:rPr>
          <w:rFonts w:ascii="黑体" w:hAnsi="黑体" w:eastAsia="黑体" w:cs="黑体"/>
          <w:sz w:val="24"/>
          <w:szCs w:val="24"/>
        </w:rPr>
      </w:pPr>
      <w:r>
        <w:rPr>
          <w:rFonts w:ascii="黑体" w:hAnsi="黑体" w:eastAsia="黑体" w:cs="黑体"/>
          <w:spacing w:val="-3"/>
          <w:sz w:val="24"/>
          <w:szCs w:val="24"/>
        </w:rPr>
        <w:t>7.4</w:t>
      </w:r>
      <w:r>
        <w:rPr>
          <w:rFonts w:ascii="黑体" w:hAnsi="黑体" w:eastAsia="黑体" w:cs="黑体"/>
          <w:spacing w:val="-51"/>
          <w:sz w:val="24"/>
          <w:szCs w:val="24"/>
        </w:rPr>
        <w:t xml:space="preserve"> </w:t>
      </w:r>
      <w:r>
        <w:rPr>
          <w:rFonts w:ascii="黑体" w:hAnsi="黑体" w:eastAsia="黑体" w:cs="黑体"/>
          <w:spacing w:val="-3"/>
          <w:sz w:val="24"/>
          <w:szCs w:val="24"/>
        </w:rPr>
        <w:t>测量放线</w:t>
      </w:r>
    </w:p>
    <w:p w14:paraId="04A6DF5B">
      <w:pPr>
        <w:spacing w:before="131" w:line="352" w:lineRule="auto"/>
        <w:ind w:left="21" w:firstLine="419"/>
        <w:rPr>
          <w:rFonts w:ascii="宋体" w:hAnsi="宋体" w:eastAsia="宋体" w:cs="宋体"/>
          <w:sz w:val="21"/>
          <w:szCs w:val="21"/>
        </w:rPr>
      </w:pPr>
      <w:r>
        <w:rPr>
          <w:rFonts w:ascii="Times New Roman" w:hAnsi="Times New Roman" w:eastAsia="Times New Roman" w:cs="Times New Roman"/>
          <w:spacing w:val="-1"/>
          <w:sz w:val="21"/>
          <w:szCs w:val="21"/>
        </w:rPr>
        <w:t xml:space="preserve">7.4.1 </w:t>
      </w:r>
      <w:r>
        <w:rPr>
          <w:rFonts w:ascii="宋体" w:hAnsi="宋体" w:eastAsia="宋体" w:cs="宋体"/>
          <w:spacing w:val="-1"/>
          <w:sz w:val="21"/>
          <w:szCs w:val="21"/>
        </w:rPr>
        <w:t>除专用合同条款另有约定外，发包人应在至迟不得晚于第</w:t>
      </w:r>
      <w:r>
        <w:rPr>
          <w:rFonts w:ascii="宋体" w:hAnsi="宋体" w:eastAsia="宋体" w:cs="宋体"/>
          <w:spacing w:val="-52"/>
          <w:sz w:val="21"/>
          <w:szCs w:val="21"/>
        </w:rPr>
        <w:t xml:space="preserve"> </w:t>
      </w:r>
      <w:r>
        <w:rPr>
          <w:rFonts w:ascii="Times New Roman" w:hAnsi="Times New Roman" w:eastAsia="Times New Roman" w:cs="Times New Roman"/>
          <w:spacing w:val="-1"/>
          <w:sz w:val="21"/>
          <w:szCs w:val="21"/>
        </w:rPr>
        <w:t xml:space="preserve">7.3.2 </w:t>
      </w:r>
      <w:r>
        <w:rPr>
          <w:rFonts w:ascii="宋体" w:hAnsi="宋体" w:eastAsia="宋体" w:cs="宋体"/>
          <w:spacing w:val="-1"/>
          <w:sz w:val="21"/>
          <w:szCs w:val="21"/>
        </w:rPr>
        <w:t>项</w:t>
      </w:r>
      <w:r>
        <w:rPr>
          <w:rFonts w:ascii="宋体" w:hAnsi="宋体" w:eastAsia="宋体" w:cs="宋体"/>
          <w:spacing w:val="-2"/>
          <w:sz w:val="21"/>
          <w:szCs w:val="21"/>
        </w:rPr>
        <w:t xml:space="preserve">〔开工通知〕载  </w:t>
      </w:r>
      <w:r>
        <w:rPr>
          <w:rFonts w:ascii="宋体" w:hAnsi="宋体" w:eastAsia="宋体" w:cs="宋体"/>
          <w:sz w:val="21"/>
          <w:szCs w:val="21"/>
        </w:rPr>
        <w:t xml:space="preserve">明的开工日期前 </w:t>
      </w:r>
      <w:r>
        <w:rPr>
          <w:rFonts w:ascii="Times New Roman" w:hAnsi="Times New Roman" w:eastAsia="Times New Roman" w:cs="Times New Roman"/>
          <w:sz w:val="21"/>
          <w:szCs w:val="21"/>
        </w:rPr>
        <w:t xml:space="preserve">7  </w:t>
      </w:r>
      <w:r>
        <w:rPr>
          <w:rFonts w:ascii="宋体" w:hAnsi="宋体" w:eastAsia="宋体" w:cs="宋体"/>
          <w:sz w:val="21"/>
          <w:szCs w:val="21"/>
        </w:rPr>
        <w:t>天通过监理人向承</w:t>
      </w:r>
      <w:r>
        <w:rPr>
          <w:rFonts w:ascii="宋体" w:hAnsi="宋体" w:eastAsia="宋体" w:cs="宋体"/>
          <w:spacing w:val="-1"/>
          <w:sz w:val="21"/>
          <w:szCs w:val="21"/>
        </w:rPr>
        <w:t>包人提供测量基准点、基准线和水准点及其书面资料。</w:t>
      </w:r>
      <w:r>
        <w:rPr>
          <w:rFonts w:ascii="宋体" w:hAnsi="宋体" w:eastAsia="宋体" w:cs="宋体"/>
          <w:sz w:val="21"/>
          <w:szCs w:val="21"/>
        </w:rPr>
        <w:t xml:space="preserve"> </w:t>
      </w:r>
      <w:r>
        <w:rPr>
          <w:rFonts w:ascii="宋体" w:hAnsi="宋体" w:eastAsia="宋体" w:cs="宋体"/>
          <w:spacing w:val="3"/>
          <w:sz w:val="21"/>
          <w:szCs w:val="21"/>
        </w:rPr>
        <w:t>发包人应对其提供的测量基准点、基准线和水准点及其书面资料的真</w:t>
      </w:r>
      <w:r>
        <w:rPr>
          <w:rFonts w:ascii="宋体" w:hAnsi="宋体" w:eastAsia="宋体" w:cs="宋体"/>
          <w:spacing w:val="2"/>
          <w:sz w:val="21"/>
          <w:szCs w:val="21"/>
        </w:rPr>
        <w:t>实性、准确性和完整</w:t>
      </w:r>
    </w:p>
    <w:p w14:paraId="536022E4">
      <w:pPr>
        <w:spacing w:before="1" w:line="220" w:lineRule="auto"/>
        <w:ind w:left="20"/>
        <w:rPr>
          <w:rFonts w:ascii="宋体" w:hAnsi="宋体" w:eastAsia="宋体" w:cs="宋体"/>
          <w:sz w:val="21"/>
          <w:szCs w:val="21"/>
        </w:rPr>
      </w:pPr>
      <w:r>
        <w:rPr>
          <w:rFonts w:ascii="宋体" w:hAnsi="宋体" w:eastAsia="宋体" w:cs="宋体"/>
          <w:spacing w:val="-7"/>
          <w:sz w:val="21"/>
          <w:szCs w:val="21"/>
        </w:rPr>
        <w:t>性负责。</w:t>
      </w:r>
    </w:p>
    <w:p w14:paraId="79493E96">
      <w:pPr>
        <w:spacing w:before="153" w:line="350" w:lineRule="auto"/>
        <w:ind w:left="35" w:right="178" w:firstLine="405"/>
        <w:rPr>
          <w:rFonts w:ascii="宋体" w:hAnsi="宋体" w:eastAsia="宋体" w:cs="宋体"/>
          <w:sz w:val="21"/>
          <w:szCs w:val="21"/>
        </w:rPr>
      </w:pPr>
      <w:r>
        <w:rPr>
          <w:rFonts w:ascii="宋体" w:hAnsi="宋体" w:eastAsia="宋体" w:cs="宋体"/>
          <w:spacing w:val="3"/>
          <w:sz w:val="21"/>
          <w:szCs w:val="21"/>
        </w:rPr>
        <w:t xml:space="preserve">承包人发现发包人提供的测量基准点、基准线和水准点及其书面资料存在错误或疏漏 </w:t>
      </w:r>
      <w:r>
        <w:rPr>
          <w:rFonts w:ascii="宋体" w:hAnsi="宋体" w:eastAsia="宋体" w:cs="宋体"/>
          <w:spacing w:val="2"/>
          <w:sz w:val="21"/>
          <w:szCs w:val="21"/>
        </w:rPr>
        <w:t>的，应及时通知监理人。监理人应及时报告发包人，并会同发包人和承包人予以核实。发</w:t>
      </w:r>
    </w:p>
    <w:p w14:paraId="43AA7D4F">
      <w:pPr>
        <w:spacing w:line="220" w:lineRule="auto"/>
        <w:ind w:left="18"/>
        <w:rPr>
          <w:rFonts w:ascii="宋体" w:hAnsi="宋体" w:eastAsia="宋体" w:cs="宋体"/>
          <w:sz w:val="21"/>
          <w:szCs w:val="21"/>
        </w:rPr>
      </w:pPr>
      <w:r>
        <w:rPr>
          <w:rFonts w:ascii="宋体" w:hAnsi="宋体" w:eastAsia="宋体" w:cs="宋体"/>
          <w:spacing w:val="-1"/>
          <w:sz w:val="21"/>
          <w:szCs w:val="21"/>
        </w:rPr>
        <w:t>包人应就如何处理和是否继续施工作出决定，并通知监理人和承包人。</w:t>
      </w:r>
    </w:p>
    <w:p w14:paraId="231658A4">
      <w:pPr>
        <w:spacing w:before="154" w:line="350" w:lineRule="auto"/>
        <w:ind w:left="19" w:right="183" w:firstLine="421"/>
        <w:rPr>
          <w:rFonts w:ascii="宋体" w:hAnsi="宋体" w:eastAsia="宋体" w:cs="宋体"/>
          <w:sz w:val="21"/>
          <w:szCs w:val="21"/>
        </w:rPr>
      </w:pPr>
      <w:r>
        <w:rPr>
          <w:rFonts w:ascii="Times New Roman" w:hAnsi="Times New Roman" w:eastAsia="Times New Roman" w:cs="Times New Roman"/>
          <w:sz w:val="21"/>
          <w:szCs w:val="21"/>
        </w:rPr>
        <w:t>7.4.2</w:t>
      </w:r>
      <w:r>
        <w:rPr>
          <w:rFonts w:ascii="Times New Roman" w:hAnsi="Times New Roman" w:eastAsia="Times New Roman" w:cs="Times New Roman"/>
          <w:spacing w:val="32"/>
          <w:w w:val="101"/>
          <w:sz w:val="21"/>
          <w:szCs w:val="21"/>
        </w:rPr>
        <w:t xml:space="preserve"> </w:t>
      </w:r>
      <w:r>
        <w:rPr>
          <w:rFonts w:ascii="宋体" w:hAnsi="宋体" w:eastAsia="宋体" w:cs="宋体"/>
          <w:sz w:val="21"/>
          <w:szCs w:val="21"/>
        </w:rPr>
        <w:t>承包人负责施工过程中的全部施工测量放线工作，并配置具有相应资质</w:t>
      </w:r>
      <w:r>
        <w:rPr>
          <w:rFonts w:ascii="宋体" w:hAnsi="宋体" w:eastAsia="宋体" w:cs="宋体"/>
          <w:spacing w:val="-1"/>
          <w:sz w:val="21"/>
          <w:szCs w:val="21"/>
        </w:rPr>
        <w:t>的人员、</w:t>
      </w:r>
      <w:r>
        <w:rPr>
          <w:rFonts w:ascii="宋体" w:hAnsi="宋体" w:eastAsia="宋体" w:cs="宋体"/>
          <w:sz w:val="21"/>
          <w:szCs w:val="21"/>
        </w:rPr>
        <w:t xml:space="preserve"> </w:t>
      </w:r>
      <w:r>
        <w:rPr>
          <w:rFonts w:ascii="宋体" w:hAnsi="宋体" w:eastAsia="宋体" w:cs="宋体"/>
          <w:spacing w:val="3"/>
          <w:sz w:val="21"/>
          <w:szCs w:val="21"/>
        </w:rPr>
        <w:t>合格的仪器、设备和其他物品。承包人应矫正工程的位置、标高、尺寸或准</w:t>
      </w:r>
      <w:r>
        <w:rPr>
          <w:rFonts w:ascii="宋体" w:hAnsi="宋体" w:eastAsia="宋体" w:cs="宋体"/>
          <w:spacing w:val="2"/>
          <w:sz w:val="21"/>
          <w:szCs w:val="21"/>
        </w:rPr>
        <w:t>线中出现的任</w:t>
      </w:r>
    </w:p>
    <w:p w14:paraId="1272E4D4">
      <w:pPr>
        <w:spacing w:line="220" w:lineRule="auto"/>
        <w:ind w:left="21"/>
        <w:rPr>
          <w:rFonts w:ascii="宋体" w:hAnsi="宋体" w:eastAsia="宋体" w:cs="宋体"/>
          <w:sz w:val="21"/>
          <w:szCs w:val="21"/>
        </w:rPr>
      </w:pPr>
      <w:r>
        <w:rPr>
          <w:rFonts w:ascii="宋体" w:hAnsi="宋体" w:eastAsia="宋体" w:cs="宋体"/>
          <w:spacing w:val="-2"/>
          <w:sz w:val="21"/>
          <w:szCs w:val="21"/>
        </w:rPr>
        <w:t>何差错，并对工程各部分的定位负责。</w:t>
      </w:r>
    </w:p>
    <w:p w14:paraId="2BE7F9AF">
      <w:pPr>
        <w:spacing w:before="152" w:line="221" w:lineRule="auto"/>
        <w:ind w:left="440"/>
        <w:rPr>
          <w:rFonts w:ascii="宋体" w:hAnsi="宋体" w:eastAsia="宋体" w:cs="宋体"/>
          <w:sz w:val="21"/>
          <w:szCs w:val="21"/>
        </w:rPr>
      </w:pPr>
      <w:r>
        <w:rPr>
          <w:rFonts w:ascii="宋体" w:hAnsi="宋体" w:eastAsia="宋体" w:cs="宋体"/>
          <w:spacing w:val="-1"/>
          <w:sz w:val="21"/>
          <w:szCs w:val="21"/>
        </w:rPr>
        <w:t>施工过程中对施工现场内水准点等测量标志物的保护工作由承包人负责。</w:t>
      </w:r>
    </w:p>
    <w:p w14:paraId="53D12DAA">
      <w:pPr>
        <w:spacing w:before="46" w:line="219" w:lineRule="auto"/>
        <w:ind w:left="20"/>
        <w:rPr>
          <w:rFonts w:ascii="黑体" w:hAnsi="黑体" w:eastAsia="黑体" w:cs="黑体"/>
          <w:sz w:val="24"/>
          <w:szCs w:val="24"/>
        </w:rPr>
      </w:pPr>
      <w:r>
        <w:rPr>
          <w:rFonts w:ascii="黑体" w:hAnsi="黑体" w:eastAsia="黑体" w:cs="黑体"/>
          <w:spacing w:val="-1"/>
          <w:sz w:val="24"/>
          <w:szCs w:val="24"/>
        </w:rPr>
        <w:t>7.5 工期延误</w:t>
      </w:r>
    </w:p>
    <w:p w14:paraId="06EEBCBD">
      <w:pPr>
        <w:spacing w:before="130" w:line="221" w:lineRule="auto"/>
        <w:ind w:left="440"/>
        <w:rPr>
          <w:rFonts w:ascii="宋体" w:hAnsi="宋体" w:eastAsia="宋体" w:cs="宋体"/>
          <w:sz w:val="21"/>
          <w:szCs w:val="21"/>
        </w:rPr>
      </w:pPr>
      <w:r>
        <w:rPr>
          <w:rFonts w:ascii="Times New Roman" w:hAnsi="Times New Roman" w:eastAsia="Times New Roman" w:cs="Times New Roman"/>
          <w:spacing w:val="-2"/>
          <w:sz w:val="21"/>
          <w:szCs w:val="21"/>
        </w:rPr>
        <w:t>7.5.1</w:t>
      </w:r>
      <w:r>
        <w:rPr>
          <w:rFonts w:ascii="Times New Roman" w:hAnsi="Times New Roman" w:eastAsia="Times New Roman" w:cs="Times New Roman"/>
          <w:spacing w:val="31"/>
          <w:sz w:val="21"/>
          <w:szCs w:val="21"/>
        </w:rPr>
        <w:t xml:space="preserve"> </w:t>
      </w:r>
      <w:r>
        <w:rPr>
          <w:rFonts w:ascii="宋体" w:hAnsi="宋体" w:eastAsia="宋体" w:cs="宋体"/>
          <w:spacing w:val="-2"/>
          <w:sz w:val="21"/>
          <w:szCs w:val="21"/>
        </w:rPr>
        <w:t>因发包人原因导致工期延误</w:t>
      </w:r>
    </w:p>
    <w:p w14:paraId="61AE399A">
      <w:pPr>
        <w:spacing w:before="146" w:line="221" w:lineRule="auto"/>
        <w:ind w:left="440"/>
        <w:rPr>
          <w:rFonts w:ascii="宋体" w:hAnsi="宋体" w:eastAsia="宋体" w:cs="宋体"/>
          <w:sz w:val="21"/>
          <w:szCs w:val="21"/>
        </w:rPr>
      </w:pPr>
      <w:r>
        <w:rPr>
          <w:rFonts w:ascii="宋体" w:hAnsi="宋体" w:eastAsia="宋体" w:cs="宋体"/>
          <w:spacing w:val="-2"/>
          <w:sz w:val="21"/>
          <w:szCs w:val="21"/>
        </w:rPr>
        <w:t>在合同履行过程中，因下列情况导致工期延误和</w:t>
      </w:r>
      <w:r>
        <w:rPr>
          <w:rFonts w:ascii="宋体" w:hAnsi="宋体" w:eastAsia="宋体" w:cs="宋体"/>
          <w:spacing w:val="-3"/>
          <w:sz w:val="21"/>
          <w:szCs w:val="21"/>
        </w:rPr>
        <w:t>（或） 费用增加的， 由发包人承担由</w:t>
      </w:r>
    </w:p>
    <w:p w14:paraId="26F95D97">
      <w:pPr>
        <w:spacing w:before="147" w:line="221" w:lineRule="auto"/>
        <w:ind w:left="19"/>
        <w:rPr>
          <w:rFonts w:ascii="宋体" w:hAnsi="宋体" w:eastAsia="宋体" w:cs="宋体"/>
          <w:sz w:val="21"/>
          <w:szCs w:val="21"/>
        </w:rPr>
      </w:pPr>
      <w:r>
        <w:rPr>
          <w:rFonts w:ascii="宋体" w:hAnsi="宋体" w:eastAsia="宋体" w:cs="宋体"/>
          <w:spacing w:val="-1"/>
          <w:sz w:val="21"/>
          <w:szCs w:val="21"/>
        </w:rPr>
        <w:t>此延误的工期和（或）增加的费用，且发包人应</w:t>
      </w:r>
      <w:r>
        <w:rPr>
          <w:rFonts w:ascii="宋体" w:hAnsi="宋体" w:eastAsia="宋体" w:cs="宋体"/>
          <w:spacing w:val="-2"/>
          <w:sz w:val="21"/>
          <w:szCs w:val="21"/>
        </w:rPr>
        <w:t>支付承包人合理的利润：</w:t>
      </w:r>
    </w:p>
    <w:p w14:paraId="32521013">
      <w:pPr>
        <w:spacing w:before="152" w:line="220" w:lineRule="auto"/>
        <w:ind w:left="447"/>
        <w:rPr>
          <w:rFonts w:ascii="宋体" w:hAnsi="宋体" w:eastAsia="宋体" w:cs="宋体"/>
          <w:sz w:val="21"/>
          <w:szCs w:val="21"/>
        </w:rPr>
      </w:pPr>
      <w:r>
        <w:rPr>
          <w:rFonts w:ascii="宋体" w:hAnsi="宋体" w:eastAsia="宋体" w:cs="宋体"/>
          <w:spacing w:val="-2"/>
          <w:sz w:val="21"/>
          <w:szCs w:val="21"/>
        </w:rPr>
        <w:t>（</w:t>
      </w:r>
      <w:r>
        <w:rPr>
          <w:rFonts w:ascii="Times New Roman" w:hAnsi="Times New Roman" w:eastAsia="Times New Roman" w:cs="Times New Roman"/>
          <w:spacing w:val="-2"/>
          <w:sz w:val="21"/>
          <w:szCs w:val="21"/>
        </w:rPr>
        <w:t>1</w:t>
      </w:r>
      <w:r>
        <w:rPr>
          <w:rFonts w:ascii="宋体" w:hAnsi="宋体" w:eastAsia="宋体" w:cs="宋体"/>
          <w:spacing w:val="-2"/>
          <w:sz w:val="21"/>
          <w:szCs w:val="21"/>
        </w:rPr>
        <w:t>）发包人未能按合同约定提供图纸或所提供图纸不符合合同约定的；</w:t>
      </w:r>
    </w:p>
    <w:p w14:paraId="6691A188">
      <w:pPr>
        <w:spacing w:before="149" w:line="220" w:lineRule="auto"/>
        <w:ind w:left="447"/>
        <w:rPr>
          <w:rFonts w:ascii="宋体" w:hAnsi="宋体" w:eastAsia="宋体" w:cs="宋体"/>
          <w:sz w:val="21"/>
          <w:szCs w:val="21"/>
        </w:rPr>
      </w:pPr>
      <w:r>
        <w:rPr>
          <w:rFonts w:ascii="宋体" w:hAnsi="宋体" w:eastAsia="宋体" w:cs="宋体"/>
          <w:sz w:val="21"/>
          <w:szCs w:val="21"/>
        </w:rPr>
        <w:t>（</w:t>
      </w:r>
      <w:r>
        <w:rPr>
          <w:rFonts w:ascii="Times New Roman" w:hAnsi="Times New Roman" w:eastAsia="Times New Roman" w:cs="Times New Roman"/>
          <w:sz w:val="21"/>
          <w:szCs w:val="21"/>
        </w:rPr>
        <w:t>2</w:t>
      </w:r>
      <w:r>
        <w:rPr>
          <w:rFonts w:ascii="宋体" w:hAnsi="宋体" w:eastAsia="宋体" w:cs="宋体"/>
          <w:sz w:val="21"/>
          <w:szCs w:val="21"/>
        </w:rPr>
        <w:t>）发包人未能按合同约定提供施工现场、施工条件、基础资料、许可、</w:t>
      </w:r>
      <w:r>
        <w:rPr>
          <w:rFonts w:ascii="宋体" w:hAnsi="宋体" w:eastAsia="宋体" w:cs="宋体"/>
          <w:spacing w:val="-1"/>
          <w:sz w:val="21"/>
          <w:szCs w:val="21"/>
        </w:rPr>
        <w:t>批准等开工</w:t>
      </w:r>
    </w:p>
    <w:p w14:paraId="25A69D5E">
      <w:pPr>
        <w:spacing w:before="147" w:line="221" w:lineRule="auto"/>
        <w:ind w:left="20"/>
        <w:rPr>
          <w:rFonts w:ascii="宋体" w:hAnsi="宋体" w:eastAsia="宋体" w:cs="宋体"/>
          <w:sz w:val="21"/>
          <w:szCs w:val="21"/>
        </w:rPr>
      </w:pPr>
      <w:r>
        <w:rPr>
          <w:rFonts w:ascii="宋体" w:hAnsi="宋体" w:eastAsia="宋体" w:cs="宋体"/>
          <w:spacing w:val="-11"/>
          <w:sz w:val="21"/>
          <w:szCs w:val="21"/>
        </w:rPr>
        <w:t>条件的；</w:t>
      </w:r>
    </w:p>
    <w:p w14:paraId="561A010A">
      <w:pPr>
        <w:spacing w:before="153" w:line="398" w:lineRule="exact"/>
        <w:ind w:left="447"/>
        <w:rPr>
          <w:rFonts w:ascii="宋体" w:hAnsi="宋体" w:eastAsia="宋体" w:cs="宋体"/>
          <w:sz w:val="21"/>
          <w:szCs w:val="21"/>
        </w:rPr>
      </w:pPr>
      <w:r>
        <w:rPr>
          <w:rFonts w:ascii="宋体" w:hAnsi="宋体" w:eastAsia="宋体" w:cs="宋体"/>
          <w:position w:val="14"/>
          <w:sz w:val="21"/>
          <w:szCs w:val="21"/>
        </w:rPr>
        <w:t>（</w:t>
      </w:r>
      <w:r>
        <w:rPr>
          <w:rFonts w:ascii="Times New Roman" w:hAnsi="Times New Roman" w:eastAsia="Times New Roman" w:cs="Times New Roman"/>
          <w:position w:val="14"/>
          <w:sz w:val="21"/>
          <w:szCs w:val="21"/>
        </w:rPr>
        <w:t>3</w:t>
      </w:r>
      <w:r>
        <w:rPr>
          <w:rFonts w:ascii="宋体" w:hAnsi="宋体" w:eastAsia="宋体" w:cs="宋体"/>
          <w:position w:val="14"/>
          <w:sz w:val="21"/>
          <w:szCs w:val="21"/>
        </w:rPr>
        <w:t>）发包人提供的测量基准点、基准线和水准点及其书</w:t>
      </w:r>
      <w:r>
        <w:rPr>
          <w:rFonts w:ascii="宋体" w:hAnsi="宋体" w:eastAsia="宋体" w:cs="宋体"/>
          <w:spacing w:val="-1"/>
          <w:position w:val="14"/>
          <w:sz w:val="21"/>
          <w:szCs w:val="21"/>
        </w:rPr>
        <w:t>面资料存在错误或疏漏的；</w:t>
      </w:r>
    </w:p>
    <w:p w14:paraId="0739AB58">
      <w:pPr>
        <w:spacing w:before="1" w:line="220" w:lineRule="auto"/>
        <w:ind w:left="447"/>
        <w:rPr>
          <w:rFonts w:ascii="宋体" w:hAnsi="宋体" w:eastAsia="宋体" w:cs="宋体"/>
          <w:sz w:val="21"/>
          <w:szCs w:val="21"/>
        </w:rPr>
      </w:pPr>
      <w:r>
        <w:rPr>
          <w:rFonts w:ascii="宋体" w:hAnsi="宋体" w:eastAsia="宋体" w:cs="宋体"/>
          <w:spacing w:val="-2"/>
          <w:sz w:val="21"/>
          <w:szCs w:val="21"/>
        </w:rPr>
        <w:t>（</w:t>
      </w:r>
      <w:r>
        <w:rPr>
          <w:rFonts w:ascii="Times New Roman" w:hAnsi="Times New Roman" w:eastAsia="Times New Roman" w:cs="Times New Roman"/>
          <w:spacing w:val="-2"/>
          <w:sz w:val="21"/>
          <w:szCs w:val="21"/>
        </w:rPr>
        <w:t>4</w:t>
      </w:r>
      <w:r>
        <w:rPr>
          <w:rFonts w:ascii="宋体" w:hAnsi="宋体" w:eastAsia="宋体" w:cs="宋体"/>
          <w:spacing w:val="-2"/>
          <w:sz w:val="21"/>
          <w:szCs w:val="21"/>
        </w:rPr>
        <w:t>）发包人未能在计划开工日期之日起</w:t>
      </w:r>
      <w:r>
        <w:rPr>
          <w:rFonts w:ascii="宋体" w:hAnsi="宋体" w:eastAsia="宋体" w:cs="宋体"/>
          <w:spacing w:val="-43"/>
          <w:sz w:val="21"/>
          <w:szCs w:val="21"/>
        </w:rPr>
        <w:t xml:space="preserve"> </w:t>
      </w:r>
      <w:r>
        <w:rPr>
          <w:rFonts w:ascii="Times New Roman" w:hAnsi="Times New Roman" w:eastAsia="Times New Roman" w:cs="Times New Roman"/>
          <w:spacing w:val="-2"/>
          <w:sz w:val="21"/>
          <w:szCs w:val="21"/>
        </w:rPr>
        <w:t xml:space="preserve">7 </w:t>
      </w:r>
      <w:r>
        <w:rPr>
          <w:rFonts w:ascii="宋体" w:hAnsi="宋体" w:eastAsia="宋体" w:cs="宋体"/>
          <w:spacing w:val="-2"/>
          <w:sz w:val="21"/>
          <w:szCs w:val="21"/>
        </w:rPr>
        <w:t>天内同意下达开工通知的；</w:t>
      </w:r>
    </w:p>
    <w:p w14:paraId="69E5AFCD">
      <w:pPr>
        <w:spacing w:before="148" w:line="403" w:lineRule="exact"/>
        <w:ind w:left="447"/>
        <w:rPr>
          <w:rFonts w:ascii="宋体" w:hAnsi="宋体" w:eastAsia="宋体" w:cs="宋体"/>
          <w:sz w:val="21"/>
          <w:szCs w:val="21"/>
        </w:rPr>
      </w:pPr>
      <w:r>
        <w:rPr>
          <w:rFonts w:ascii="宋体" w:hAnsi="宋体" w:eastAsia="宋体" w:cs="宋体"/>
          <w:spacing w:val="-1"/>
          <w:position w:val="14"/>
          <w:sz w:val="21"/>
          <w:szCs w:val="21"/>
        </w:rPr>
        <w:t>（</w:t>
      </w:r>
      <w:r>
        <w:rPr>
          <w:rFonts w:ascii="Times New Roman" w:hAnsi="Times New Roman" w:eastAsia="Times New Roman" w:cs="Times New Roman"/>
          <w:spacing w:val="-1"/>
          <w:position w:val="14"/>
          <w:sz w:val="21"/>
          <w:szCs w:val="21"/>
        </w:rPr>
        <w:t>5</w:t>
      </w:r>
      <w:r>
        <w:rPr>
          <w:rFonts w:ascii="宋体" w:hAnsi="宋体" w:eastAsia="宋体" w:cs="宋体"/>
          <w:spacing w:val="-1"/>
          <w:position w:val="14"/>
          <w:sz w:val="21"/>
          <w:szCs w:val="21"/>
        </w:rPr>
        <w:t>）发包人未能按合同约定日期支付工程预付款、进度款或竣工结</w:t>
      </w:r>
      <w:r>
        <w:rPr>
          <w:rFonts w:ascii="宋体" w:hAnsi="宋体" w:eastAsia="宋体" w:cs="宋体"/>
          <w:spacing w:val="-2"/>
          <w:position w:val="14"/>
          <w:sz w:val="21"/>
          <w:szCs w:val="21"/>
        </w:rPr>
        <w:t>算款的；</w:t>
      </w:r>
    </w:p>
    <w:p w14:paraId="75724FB3">
      <w:pPr>
        <w:spacing w:before="1" w:line="220" w:lineRule="auto"/>
        <w:ind w:left="447"/>
        <w:rPr>
          <w:rFonts w:ascii="宋体" w:hAnsi="宋体" w:eastAsia="宋体" w:cs="宋体"/>
          <w:sz w:val="21"/>
          <w:szCs w:val="21"/>
        </w:rPr>
      </w:pPr>
      <w:r>
        <w:rPr>
          <w:rFonts w:ascii="宋体" w:hAnsi="宋体" w:eastAsia="宋体" w:cs="宋体"/>
          <w:spacing w:val="-1"/>
          <w:sz w:val="21"/>
          <w:szCs w:val="21"/>
        </w:rPr>
        <w:t>（</w:t>
      </w:r>
      <w:r>
        <w:rPr>
          <w:rFonts w:ascii="Times New Roman" w:hAnsi="Times New Roman" w:eastAsia="Times New Roman" w:cs="Times New Roman"/>
          <w:spacing w:val="-1"/>
          <w:sz w:val="21"/>
          <w:szCs w:val="21"/>
        </w:rPr>
        <w:t>6</w:t>
      </w:r>
      <w:r>
        <w:rPr>
          <w:rFonts w:ascii="宋体" w:hAnsi="宋体" w:eastAsia="宋体" w:cs="宋体"/>
          <w:spacing w:val="-1"/>
          <w:sz w:val="21"/>
          <w:szCs w:val="21"/>
        </w:rPr>
        <w:t>）监理人未按合同约定发出指示、批准等文件的；</w:t>
      </w:r>
    </w:p>
    <w:p w14:paraId="5D6C1755">
      <w:pPr>
        <w:spacing w:before="147" w:line="221" w:lineRule="auto"/>
        <w:ind w:left="447"/>
        <w:rPr>
          <w:rFonts w:ascii="宋体" w:hAnsi="宋体" w:eastAsia="宋体" w:cs="宋体"/>
          <w:sz w:val="21"/>
          <w:szCs w:val="21"/>
        </w:rPr>
      </w:pPr>
      <w:r>
        <w:rPr>
          <w:rFonts w:ascii="宋体" w:hAnsi="宋体" w:eastAsia="宋体" w:cs="宋体"/>
          <w:spacing w:val="-2"/>
          <w:sz w:val="21"/>
          <w:szCs w:val="21"/>
        </w:rPr>
        <w:t>（</w:t>
      </w:r>
      <w:r>
        <w:rPr>
          <w:rFonts w:ascii="Times New Roman" w:hAnsi="Times New Roman" w:eastAsia="Times New Roman" w:cs="Times New Roman"/>
          <w:spacing w:val="-2"/>
          <w:sz w:val="21"/>
          <w:szCs w:val="21"/>
        </w:rPr>
        <w:t>7</w:t>
      </w:r>
      <w:r>
        <w:rPr>
          <w:rFonts w:ascii="宋体" w:hAnsi="宋体" w:eastAsia="宋体" w:cs="宋体"/>
          <w:spacing w:val="-2"/>
          <w:sz w:val="21"/>
          <w:szCs w:val="21"/>
        </w:rPr>
        <w:t>）专用合同条款中约定的其他情形。</w:t>
      </w:r>
    </w:p>
    <w:p w14:paraId="2D2EA26E">
      <w:pPr>
        <w:spacing w:before="146" w:line="353" w:lineRule="auto"/>
        <w:ind w:left="19" w:right="178" w:firstLine="438"/>
        <w:rPr>
          <w:rFonts w:ascii="宋体" w:hAnsi="宋体" w:eastAsia="宋体" w:cs="宋体"/>
          <w:sz w:val="21"/>
          <w:szCs w:val="21"/>
        </w:rPr>
      </w:pPr>
      <w:r>
        <w:rPr>
          <w:rFonts w:ascii="宋体" w:hAnsi="宋体" w:eastAsia="宋体" w:cs="宋体"/>
          <w:sz w:val="21"/>
          <w:szCs w:val="21"/>
        </w:rPr>
        <w:t>因发包人原因未按计划开工日期开工的， 发包人应按实际开工日期</w:t>
      </w:r>
      <w:r>
        <w:rPr>
          <w:rFonts w:ascii="宋体" w:hAnsi="宋体" w:eastAsia="宋体" w:cs="宋体"/>
          <w:spacing w:val="-1"/>
          <w:sz w:val="21"/>
          <w:szCs w:val="21"/>
        </w:rPr>
        <w:t>顺延竣工日期，确</w:t>
      </w:r>
      <w:r>
        <w:rPr>
          <w:rFonts w:ascii="宋体" w:hAnsi="宋体" w:eastAsia="宋体" w:cs="宋体"/>
          <w:sz w:val="21"/>
          <w:szCs w:val="21"/>
        </w:rPr>
        <w:t xml:space="preserve"> </w:t>
      </w:r>
      <w:r>
        <w:rPr>
          <w:rFonts w:ascii="宋体" w:hAnsi="宋体" w:eastAsia="宋体" w:cs="宋体"/>
          <w:spacing w:val="3"/>
          <w:sz w:val="21"/>
          <w:szCs w:val="21"/>
        </w:rPr>
        <w:t>保实际工期不低于合同约定的工期总日历天数。因发包人原因导致工期延误</w:t>
      </w:r>
      <w:r>
        <w:rPr>
          <w:rFonts w:ascii="宋体" w:hAnsi="宋体" w:eastAsia="宋体" w:cs="宋体"/>
          <w:spacing w:val="2"/>
          <w:sz w:val="21"/>
          <w:szCs w:val="21"/>
        </w:rPr>
        <w:t>需要修订施工</w:t>
      </w:r>
    </w:p>
    <w:p w14:paraId="5947718C">
      <w:pPr>
        <w:spacing w:before="1" w:line="220" w:lineRule="auto"/>
        <w:ind w:left="16"/>
        <w:rPr>
          <w:rFonts w:ascii="宋体" w:hAnsi="宋体" w:eastAsia="宋体" w:cs="宋体"/>
          <w:sz w:val="21"/>
          <w:szCs w:val="21"/>
        </w:rPr>
      </w:pPr>
      <w:r>
        <w:rPr>
          <w:rFonts w:ascii="宋体" w:hAnsi="宋体" w:eastAsia="宋体" w:cs="宋体"/>
          <w:spacing w:val="-2"/>
          <w:sz w:val="21"/>
          <w:szCs w:val="21"/>
        </w:rPr>
        <w:t>进度计划的，按照第</w:t>
      </w:r>
      <w:r>
        <w:rPr>
          <w:rFonts w:ascii="宋体" w:hAnsi="宋体" w:eastAsia="宋体" w:cs="宋体"/>
          <w:spacing w:val="-24"/>
          <w:sz w:val="21"/>
          <w:szCs w:val="21"/>
        </w:rPr>
        <w:t xml:space="preserve"> </w:t>
      </w:r>
      <w:r>
        <w:rPr>
          <w:rFonts w:ascii="Times New Roman" w:hAnsi="Times New Roman" w:eastAsia="Times New Roman" w:cs="Times New Roman"/>
          <w:spacing w:val="-2"/>
          <w:sz w:val="21"/>
          <w:szCs w:val="21"/>
        </w:rPr>
        <w:t xml:space="preserve">7.2.2 </w:t>
      </w:r>
      <w:r>
        <w:rPr>
          <w:rFonts w:ascii="宋体" w:hAnsi="宋体" w:eastAsia="宋体" w:cs="宋体"/>
          <w:spacing w:val="-2"/>
          <w:sz w:val="21"/>
          <w:szCs w:val="21"/>
        </w:rPr>
        <w:t>项〔施工进度计划的修订〕执行。</w:t>
      </w:r>
    </w:p>
    <w:p w14:paraId="1218D6C7">
      <w:pPr>
        <w:spacing w:before="147" w:line="221" w:lineRule="auto"/>
        <w:ind w:left="440"/>
        <w:rPr>
          <w:rFonts w:ascii="宋体" w:hAnsi="宋体" w:eastAsia="宋体" w:cs="宋体"/>
          <w:sz w:val="21"/>
          <w:szCs w:val="21"/>
        </w:rPr>
      </w:pPr>
      <w:r>
        <w:rPr>
          <w:rFonts w:ascii="Times New Roman" w:hAnsi="Times New Roman" w:eastAsia="Times New Roman" w:cs="Times New Roman"/>
          <w:spacing w:val="-2"/>
          <w:sz w:val="21"/>
          <w:szCs w:val="21"/>
        </w:rPr>
        <w:t>7.5.2</w:t>
      </w:r>
      <w:r>
        <w:rPr>
          <w:rFonts w:ascii="Times New Roman" w:hAnsi="Times New Roman" w:eastAsia="Times New Roman" w:cs="Times New Roman"/>
          <w:spacing w:val="31"/>
          <w:sz w:val="21"/>
          <w:szCs w:val="21"/>
        </w:rPr>
        <w:t xml:space="preserve"> </w:t>
      </w:r>
      <w:r>
        <w:rPr>
          <w:rFonts w:ascii="宋体" w:hAnsi="宋体" w:eastAsia="宋体" w:cs="宋体"/>
          <w:spacing w:val="-2"/>
          <w:sz w:val="21"/>
          <w:szCs w:val="21"/>
        </w:rPr>
        <w:t>因承包人原因导致工期延误</w:t>
      </w:r>
    </w:p>
    <w:p w14:paraId="7427D69E">
      <w:pPr>
        <w:spacing w:before="153" w:line="350" w:lineRule="auto"/>
        <w:ind w:left="19" w:right="178" w:firstLine="438"/>
        <w:rPr>
          <w:rFonts w:ascii="宋体" w:hAnsi="宋体" w:eastAsia="宋体" w:cs="宋体"/>
          <w:sz w:val="21"/>
          <w:szCs w:val="21"/>
        </w:rPr>
      </w:pPr>
      <w:r>
        <w:rPr>
          <w:rFonts w:ascii="宋体" w:hAnsi="宋体" w:eastAsia="宋体" w:cs="宋体"/>
          <w:sz w:val="21"/>
          <w:szCs w:val="21"/>
        </w:rPr>
        <w:t>因承包人原因造成工期延误的， 可以在专用合同条款中约定逾期竣</w:t>
      </w:r>
      <w:r>
        <w:rPr>
          <w:rFonts w:ascii="宋体" w:hAnsi="宋体" w:eastAsia="宋体" w:cs="宋体"/>
          <w:spacing w:val="-1"/>
          <w:sz w:val="21"/>
          <w:szCs w:val="21"/>
        </w:rPr>
        <w:t>工违约金的计算方</w:t>
      </w:r>
      <w:r>
        <w:rPr>
          <w:rFonts w:ascii="宋体" w:hAnsi="宋体" w:eastAsia="宋体" w:cs="宋体"/>
          <w:sz w:val="21"/>
          <w:szCs w:val="21"/>
        </w:rPr>
        <w:t xml:space="preserve"> </w:t>
      </w:r>
      <w:r>
        <w:rPr>
          <w:rFonts w:ascii="宋体" w:hAnsi="宋体" w:eastAsia="宋体" w:cs="宋体"/>
          <w:spacing w:val="3"/>
          <w:sz w:val="21"/>
          <w:szCs w:val="21"/>
        </w:rPr>
        <w:t>法和逾期竣工违约金的上限。承包人支付逾期竣工违约金后，不免除承包人</w:t>
      </w:r>
      <w:r>
        <w:rPr>
          <w:rFonts w:ascii="宋体" w:hAnsi="宋体" w:eastAsia="宋体" w:cs="宋体"/>
          <w:spacing w:val="2"/>
          <w:sz w:val="21"/>
          <w:szCs w:val="21"/>
        </w:rPr>
        <w:t>继续完成工程</w:t>
      </w:r>
    </w:p>
    <w:p w14:paraId="4FE574DB">
      <w:pPr>
        <w:spacing w:before="1" w:line="220" w:lineRule="auto"/>
        <w:ind w:left="17"/>
        <w:rPr>
          <w:rFonts w:ascii="宋体" w:hAnsi="宋体" w:eastAsia="宋体" w:cs="宋体"/>
          <w:sz w:val="21"/>
          <w:szCs w:val="21"/>
        </w:rPr>
      </w:pPr>
      <w:r>
        <w:rPr>
          <w:rFonts w:ascii="宋体" w:hAnsi="宋体" w:eastAsia="宋体" w:cs="宋体"/>
          <w:spacing w:val="-3"/>
          <w:sz w:val="21"/>
          <w:szCs w:val="21"/>
        </w:rPr>
        <w:t>及修补缺陷的义务。</w:t>
      </w:r>
    </w:p>
    <w:p w14:paraId="0F1BA48F">
      <w:pPr>
        <w:spacing w:line="220" w:lineRule="auto"/>
        <w:rPr>
          <w:rFonts w:ascii="宋体" w:hAnsi="宋体" w:eastAsia="宋体" w:cs="宋体"/>
          <w:sz w:val="21"/>
          <w:szCs w:val="21"/>
        </w:rPr>
        <w:sectPr>
          <w:footerReference r:id="rId108" w:type="default"/>
          <w:pgSz w:w="11905" w:h="16839"/>
          <w:pgMar w:top="1431" w:right="1613" w:bottom="1004" w:left="1785" w:header="0" w:footer="828" w:gutter="0"/>
          <w:pgNumType w:fmt="decimal"/>
          <w:cols w:space="720" w:num="1"/>
        </w:sectPr>
      </w:pPr>
    </w:p>
    <w:p w14:paraId="153BDBEA">
      <w:pPr>
        <w:spacing w:before="47" w:line="219" w:lineRule="auto"/>
        <w:ind w:left="20"/>
        <w:rPr>
          <w:rFonts w:ascii="黑体" w:hAnsi="黑体" w:eastAsia="黑体" w:cs="黑体"/>
          <w:sz w:val="24"/>
          <w:szCs w:val="24"/>
        </w:rPr>
      </w:pPr>
      <w:r>
        <w:rPr>
          <w:rFonts w:ascii="黑体" w:hAnsi="黑体" w:eastAsia="黑体" w:cs="黑体"/>
          <w:spacing w:val="-1"/>
          <w:sz w:val="24"/>
          <w:szCs w:val="24"/>
        </w:rPr>
        <w:t>7.6 不利物质条件</w:t>
      </w:r>
    </w:p>
    <w:p w14:paraId="50C6687B">
      <w:pPr>
        <w:spacing w:before="128" w:line="353" w:lineRule="auto"/>
        <w:ind w:left="19" w:right="180" w:firstLine="425"/>
        <w:rPr>
          <w:rFonts w:ascii="宋体" w:hAnsi="宋体" w:eastAsia="宋体" w:cs="宋体"/>
          <w:sz w:val="21"/>
          <w:szCs w:val="21"/>
        </w:rPr>
      </w:pPr>
      <w:r>
        <w:rPr>
          <w:rFonts w:ascii="宋体" w:hAnsi="宋体" w:eastAsia="宋体" w:cs="宋体"/>
          <w:spacing w:val="3"/>
          <w:sz w:val="21"/>
          <w:szCs w:val="21"/>
        </w:rPr>
        <w:t>不利物质条件是指有经验的承包人在施工现场遇到的不可预见的自然物质条件、非自</w:t>
      </w:r>
      <w:r>
        <w:rPr>
          <w:rFonts w:ascii="宋体" w:hAnsi="宋体" w:eastAsia="宋体" w:cs="宋体"/>
          <w:sz w:val="21"/>
          <w:szCs w:val="21"/>
        </w:rPr>
        <w:t xml:space="preserve"> </w:t>
      </w:r>
      <w:r>
        <w:rPr>
          <w:rFonts w:ascii="宋体" w:hAnsi="宋体" w:eastAsia="宋体" w:cs="宋体"/>
          <w:spacing w:val="3"/>
          <w:sz w:val="21"/>
          <w:szCs w:val="21"/>
        </w:rPr>
        <w:t>然的物质障碍和污染物，包括地表以下物质条件和水文条件以及专用合同条</w:t>
      </w:r>
      <w:r>
        <w:rPr>
          <w:rFonts w:ascii="宋体" w:hAnsi="宋体" w:eastAsia="宋体" w:cs="宋体"/>
          <w:spacing w:val="2"/>
          <w:sz w:val="21"/>
          <w:szCs w:val="21"/>
        </w:rPr>
        <w:t>款约定的其他</w:t>
      </w:r>
    </w:p>
    <w:p w14:paraId="3F65D8A4">
      <w:pPr>
        <w:spacing w:line="220" w:lineRule="auto"/>
        <w:ind w:left="19"/>
        <w:rPr>
          <w:rFonts w:ascii="宋体" w:hAnsi="宋体" w:eastAsia="宋体" w:cs="宋体"/>
          <w:sz w:val="21"/>
          <w:szCs w:val="21"/>
        </w:rPr>
      </w:pPr>
      <w:r>
        <w:rPr>
          <w:rFonts w:ascii="宋体" w:hAnsi="宋体" w:eastAsia="宋体" w:cs="宋体"/>
          <w:spacing w:val="-3"/>
          <w:sz w:val="21"/>
          <w:szCs w:val="21"/>
        </w:rPr>
        <w:t>情形，但不包括气候条件。</w:t>
      </w:r>
    </w:p>
    <w:p w14:paraId="30EB9F23">
      <w:pPr>
        <w:spacing w:before="147" w:line="398" w:lineRule="exact"/>
        <w:ind w:left="441"/>
        <w:rPr>
          <w:rFonts w:ascii="宋体" w:hAnsi="宋体" w:eastAsia="宋体" w:cs="宋体"/>
          <w:sz w:val="21"/>
          <w:szCs w:val="21"/>
        </w:rPr>
      </w:pPr>
      <w:r>
        <w:rPr>
          <w:rFonts w:ascii="宋体" w:hAnsi="宋体" w:eastAsia="宋体" w:cs="宋体"/>
          <w:spacing w:val="3"/>
          <w:position w:val="14"/>
          <w:sz w:val="21"/>
          <w:szCs w:val="21"/>
        </w:rPr>
        <w:t>承包人遇到不利物质条件时，应采取克服不利物质条件的合理措施继续施工，并及时</w:t>
      </w:r>
    </w:p>
    <w:p w14:paraId="6EE4FE00">
      <w:pPr>
        <w:spacing w:before="1" w:line="220" w:lineRule="auto"/>
        <w:ind w:left="18"/>
        <w:rPr>
          <w:rFonts w:ascii="宋体" w:hAnsi="宋体" w:eastAsia="宋体" w:cs="宋体"/>
          <w:sz w:val="21"/>
          <w:szCs w:val="21"/>
        </w:rPr>
      </w:pPr>
      <w:r>
        <w:rPr>
          <w:rFonts w:ascii="宋体" w:hAnsi="宋体" w:eastAsia="宋体" w:cs="宋体"/>
          <w:spacing w:val="3"/>
          <w:sz w:val="21"/>
          <w:szCs w:val="21"/>
        </w:rPr>
        <w:t>通知发包人和监理人。通知应载明不利物质条件的内容以及承包</w:t>
      </w:r>
      <w:r>
        <w:rPr>
          <w:rFonts w:ascii="宋体" w:hAnsi="宋体" w:eastAsia="宋体" w:cs="宋体"/>
          <w:spacing w:val="2"/>
          <w:sz w:val="21"/>
          <w:szCs w:val="21"/>
        </w:rPr>
        <w:t>人认为不可预见的理由。</w:t>
      </w:r>
    </w:p>
    <w:p w14:paraId="56BCD30A">
      <w:pPr>
        <w:spacing w:before="151" w:line="221" w:lineRule="auto"/>
        <w:jc w:val="right"/>
        <w:rPr>
          <w:rFonts w:ascii="宋体" w:hAnsi="宋体" w:eastAsia="宋体" w:cs="宋体"/>
          <w:sz w:val="21"/>
          <w:szCs w:val="21"/>
        </w:rPr>
      </w:pPr>
      <w:r>
        <w:rPr>
          <w:rFonts w:ascii="宋体" w:hAnsi="宋体" w:eastAsia="宋体" w:cs="宋体"/>
          <w:spacing w:val="-2"/>
          <w:sz w:val="21"/>
          <w:szCs w:val="21"/>
        </w:rPr>
        <w:t xml:space="preserve">监理人经发包人同意后应当及时发出指示，指示构成变更的，按第 </w:t>
      </w:r>
      <w:r>
        <w:rPr>
          <w:rFonts w:ascii="Times New Roman" w:hAnsi="Times New Roman" w:eastAsia="Times New Roman" w:cs="Times New Roman"/>
          <w:spacing w:val="-2"/>
          <w:sz w:val="21"/>
          <w:szCs w:val="21"/>
        </w:rPr>
        <w:t xml:space="preserve">10 </w:t>
      </w:r>
      <w:r>
        <w:rPr>
          <w:rFonts w:ascii="宋体" w:hAnsi="宋体" w:eastAsia="宋体" w:cs="宋体"/>
          <w:spacing w:val="-2"/>
          <w:sz w:val="21"/>
          <w:szCs w:val="21"/>
        </w:rPr>
        <w:t>条〔变更〕约定执行。</w:t>
      </w:r>
    </w:p>
    <w:p w14:paraId="30A4B0F1">
      <w:pPr>
        <w:spacing w:before="148" w:line="220" w:lineRule="auto"/>
        <w:ind w:left="18"/>
        <w:rPr>
          <w:rFonts w:ascii="宋体" w:hAnsi="宋体" w:eastAsia="宋体" w:cs="宋体"/>
          <w:sz w:val="21"/>
          <w:szCs w:val="21"/>
        </w:rPr>
      </w:pPr>
      <w:r>
        <w:rPr>
          <w:rFonts w:ascii="宋体" w:hAnsi="宋体" w:eastAsia="宋体" w:cs="宋体"/>
          <w:spacing w:val="-1"/>
          <w:sz w:val="21"/>
          <w:szCs w:val="21"/>
        </w:rPr>
        <w:t>承包人因采取合理措施而增加的费用和（或）延误的工期由发包人承担。</w:t>
      </w:r>
    </w:p>
    <w:p w14:paraId="581EB229">
      <w:pPr>
        <w:spacing w:before="47" w:line="218" w:lineRule="auto"/>
        <w:ind w:left="20"/>
        <w:rPr>
          <w:rFonts w:ascii="黑体" w:hAnsi="黑体" w:eastAsia="黑体" w:cs="黑体"/>
          <w:sz w:val="24"/>
          <w:szCs w:val="24"/>
        </w:rPr>
      </w:pPr>
      <w:r>
        <w:rPr>
          <w:rFonts w:ascii="黑体" w:hAnsi="黑体" w:eastAsia="黑体" w:cs="黑体"/>
          <w:spacing w:val="-1"/>
          <w:sz w:val="24"/>
          <w:szCs w:val="24"/>
        </w:rPr>
        <w:t>7.7 异常恶劣的气候条件</w:t>
      </w:r>
    </w:p>
    <w:p w14:paraId="27DD133C">
      <w:pPr>
        <w:spacing w:before="131" w:line="352" w:lineRule="auto"/>
        <w:ind w:left="21" w:right="180" w:firstLine="422"/>
        <w:jc w:val="both"/>
        <w:rPr>
          <w:rFonts w:ascii="宋体" w:hAnsi="宋体" w:eastAsia="宋体" w:cs="宋体"/>
          <w:sz w:val="21"/>
          <w:szCs w:val="21"/>
        </w:rPr>
      </w:pPr>
      <w:r>
        <w:rPr>
          <w:rFonts w:ascii="宋体" w:hAnsi="宋体" w:eastAsia="宋体" w:cs="宋体"/>
          <w:sz w:val="21"/>
          <w:szCs w:val="21"/>
        </w:rPr>
        <w:t>异常恶劣的气候条件是指在施工过程中遇到的， 有经验的承包人在签订合同时不可预</w:t>
      </w:r>
      <w:r>
        <w:rPr>
          <w:rFonts w:ascii="宋体" w:hAnsi="宋体" w:eastAsia="宋体" w:cs="宋体"/>
          <w:spacing w:val="6"/>
          <w:sz w:val="21"/>
          <w:szCs w:val="21"/>
        </w:rPr>
        <w:t xml:space="preserve"> </w:t>
      </w:r>
      <w:r>
        <w:rPr>
          <w:rFonts w:ascii="宋体" w:hAnsi="宋体" w:eastAsia="宋体" w:cs="宋体"/>
          <w:sz w:val="21"/>
          <w:szCs w:val="21"/>
        </w:rPr>
        <w:t>见的， 对合同履行造成实质性影响的，但尚未构成不可抗力事件的恶劣气候条件。合同当</w:t>
      </w:r>
    </w:p>
    <w:p w14:paraId="03A5E873">
      <w:pPr>
        <w:spacing w:before="1" w:line="220" w:lineRule="auto"/>
        <w:ind w:left="18"/>
        <w:rPr>
          <w:rFonts w:ascii="宋体" w:hAnsi="宋体" w:eastAsia="宋体" w:cs="宋体"/>
          <w:sz w:val="21"/>
          <w:szCs w:val="21"/>
        </w:rPr>
      </w:pPr>
      <w:r>
        <w:rPr>
          <w:rFonts w:ascii="宋体" w:hAnsi="宋体" w:eastAsia="宋体" w:cs="宋体"/>
          <w:sz w:val="21"/>
          <w:szCs w:val="21"/>
        </w:rPr>
        <w:t>事人可以在专用合同条款中约定异常恶劣的气候条件的</w:t>
      </w:r>
      <w:r>
        <w:rPr>
          <w:rFonts w:ascii="宋体" w:hAnsi="宋体" w:eastAsia="宋体" w:cs="宋体"/>
          <w:spacing w:val="-1"/>
          <w:sz w:val="21"/>
          <w:szCs w:val="21"/>
        </w:rPr>
        <w:t>具体情形。</w:t>
      </w:r>
    </w:p>
    <w:p w14:paraId="7C954E57">
      <w:pPr>
        <w:spacing w:before="148" w:line="398" w:lineRule="exact"/>
        <w:ind w:left="441"/>
        <w:rPr>
          <w:rFonts w:ascii="宋体" w:hAnsi="宋体" w:eastAsia="宋体" w:cs="宋体"/>
          <w:sz w:val="21"/>
          <w:szCs w:val="21"/>
        </w:rPr>
      </w:pPr>
      <w:r>
        <w:rPr>
          <w:rFonts w:ascii="宋体" w:hAnsi="宋体" w:eastAsia="宋体" w:cs="宋体"/>
          <w:spacing w:val="3"/>
          <w:position w:val="14"/>
          <w:sz w:val="21"/>
          <w:szCs w:val="21"/>
        </w:rPr>
        <w:t>承包人应采取克服异常恶劣的气候条件的合理措施继续施工，并及时通知发包人和监</w:t>
      </w:r>
    </w:p>
    <w:p w14:paraId="2CEAA700">
      <w:pPr>
        <w:spacing w:before="1" w:line="220" w:lineRule="auto"/>
        <w:ind w:left="20"/>
        <w:rPr>
          <w:rFonts w:ascii="宋体" w:hAnsi="宋体" w:eastAsia="宋体" w:cs="宋体"/>
          <w:sz w:val="21"/>
          <w:szCs w:val="21"/>
        </w:rPr>
      </w:pPr>
      <w:r>
        <w:rPr>
          <w:rFonts w:ascii="宋体" w:hAnsi="宋体" w:eastAsia="宋体" w:cs="宋体"/>
          <w:spacing w:val="-1"/>
          <w:sz w:val="21"/>
          <w:szCs w:val="21"/>
        </w:rPr>
        <w:t xml:space="preserve">理人。监理人经发包人同意后应当及时发出指示，指示构成变更的，按第 </w:t>
      </w:r>
      <w:r>
        <w:rPr>
          <w:rFonts w:ascii="Times New Roman" w:hAnsi="Times New Roman" w:eastAsia="Times New Roman" w:cs="Times New Roman"/>
          <w:spacing w:val="-1"/>
          <w:sz w:val="21"/>
          <w:szCs w:val="21"/>
        </w:rPr>
        <w:t xml:space="preserve">10 </w:t>
      </w:r>
      <w:r>
        <w:rPr>
          <w:rFonts w:ascii="宋体" w:hAnsi="宋体" w:eastAsia="宋体" w:cs="宋体"/>
          <w:spacing w:val="-1"/>
          <w:sz w:val="21"/>
          <w:szCs w:val="21"/>
        </w:rPr>
        <w:t>条〔变更〕约</w:t>
      </w:r>
    </w:p>
    <w:p w14:paraId="523D5D4A">
      <w:pPr>
        <w:spacing w:before="152" w:line="220" w:lineRule="auto"/>
        <w:ind w:left="23"/>
        <w:rPr>
          <w:rFonts w:ascii="宋体" w:hAnsi="宋体" w:eastAsia="宋体" w:cs="宋体"/>
          <w:sz w:val="21"/>
          <w:szCs w:val="21"/>
        </w:rPr>
      </w:pPr>
      <w:r>
        <w:rPr>
          <w:rFonts w:ascii="宋体" w:hAnsi="宋体" w:eastAsia="宋体" w:cs="宋体"/>
          <w:spacing w:val="-1"/>
          <w:sz w:val="21"/>
          <w:szCs w:val="21"/>
        </w:rPr>
        <w:t>定办理。承包人因采取合理措施而增加的费用和（或）延误的工期由发包人承担。</w:t>
      </w:r>
    </w:p>
    <w:p w14:paraId="32502A34">
      <w:pPr>
        <w:spacing w:before="47" w:line="220" w:lineRule="auto"/>
        <w:ind w:left="20"/>
        <w:rPr>
          <w:rFonts w:ascii="黑体" w:hAnsi="黑体" w:eastAsia="黑体" w:cs="黑体"/>
          <w:sz w:val="24"/>
          <w:szCs w:val="24"/>
        </w:rPr>
      </w:pPr>
      <w:r>
        <w:rPr>
          <w:rFonts w:ascii="黑体" w:hAnsi="黑体" w:eastAsia="黑体" w:cs="黑体"/>
          <w:spacing w:val="-4"/>
          <w:sz w:val="24"/>
          <w:szCs w:val="24"/>
        </w:rPr>
        <w:t>7.8</w:t>
      </w:r>
      <w:r>
        <w:rPr>
          <w:rFonts w:ascii="黑体" w:hAnsi="黑体" w:eastAsia="黑体" w:cs="黑体"/>
          <w:spacing w:val="21"/>
          <w:sz w:val="24"/>
          <w:szCs w:val="24"/>
        </w:rPr>
        <w:t xml:space="preserve"> </w:t>
      </w:r>
      <w:r>
        <w:rPr>
          <w:rFonts w:ascii="黑体" w:hAnsi="黑体" w:eastAsia="黑体" w:cs="黑体"/>
          <w:spacing w:val="-4"/>
          <w:sz w:val="24"/>
          <w:szCs w:val="24"/>
        </w:rPr>
        <w:t>暂停施工</w:t>
      </w:r>
    </w:p>
    <w:p w14:paraId="7130FF8F">
      <w:pPr>
        <w:spacing w:before="128" w:line="221" w:lineRule="auto"/>
        <w:ind w:left="440"/>
        <w:rPr>
          <w:rFonts w:ascii="宋体" w:hAnsi="宋体" w:eastAsia="宋体" w:cs="宋体"/>
          <w:sz w:val="21"/>
          <w:szCs w:val="21"/>
        </w:rPr>
      </w:pPr>
      <w:r>
        <w:rPr>
          <w:rFonts w:ascii="Times New Roman" w:hAnsi="Times New Roman" w:eastAsia="Times New Roman" w:cs="Times New Roman"/>
          <w:spacing w:val="-1"/>
          <w:sz w:val="21"/>
          <w:szCs w:val="21"/>
        </w:rPr>
        <w:t xml:space="preserve">7.8.1 </w:t>
      </w:r>
      <w:r>
        <w:rPr>
          <w:rFonts w:ascii="宋体" w:hAnsi="宋体" w:eastAsia="宋体" w:cs="宋体"/>
          <w:spacing w:val="-1"/>
          <w:sz w:val="21"/>
          <w:szCs w:val="21"/>
        </w:rPr>
        <w:t>发包人原因引起的暂停施工</w:t>
      </w:r>
    </w:p>
    <w:p w14:paraId="529508CF">
      <w:pPr>
        <w:spacing w:before="147" w:line="352" w:lineRule="auto"/>
        <w:ind w:left="19" w:right="211" w:firstLine="438"/>
        <w:rPr>
          <w:rFonts w:ascii="宋体" w:hAnsi="宋体" w:eastAsia="宋体" w:cs="宋体"/>
          <w:sz w:val="21"/>
          <w:szCs w:val="21"/>
        </w:rPr>
      </w:pPr>
      <w:r>
        <w:rPr>
          <w:rFonts w:ascii="宋体" w:hAnsi="宋体" w:eastAsia="宋体" w:cs="宋体"/>
          <w:spacing w:val="-1"/>
          <w:sz w:val="21"/>
          <w:szCs w:val="21"/>
        </w:rPr>
        <w:t>因发包人原因引起暂停施工的， 监理人经发包人同意后，应及时下达暂停施工指示。</w:t>
      </w:r>
      <w:r>
        <w:rPr>
          <w:rFonts w:ascii="宋体" w:hAnsi="宋体" w:eastAsia="宋体" w:cs="宋体"/>
          <w:sz w:val="21"/>
          <w:szCs w:val="21"/>
        </w:rPr>
        <w:t xml:space="preserve"> </w:t>
      </w:r>
      <w:r>
        <w:rPr>
          <w:rFonts w:ascii="宋体" w:hAnsi="宋体" w:eastAsia="宋体" w:cs="宋体"/>
          <w:spacing w:val="-3"/>
          <w:sz w:val="21"/>
          <w:szCs w:val="21"/>
        </w:rPr>
        <w:t xml:space="preserve">情况紧急且监理人未及时下达暂停施工指示的， </w:t>
      </w:r>
      <w:r>
        <w:rPr>
          <w:rFonts w:ascii="宋体" w:hAnsi="宋体" w:eastAsia="宋体" w:cs="宋体"/>
          <w:spacing w:val="-4"/>
          <w:sz w:val="21"/>
          <w:szCs w:val="21"/>
        </w:rPr>
        <w:t>按照第</w:t>
      </w:r>
      <w:r>
        <w:rPr>
          <w:rFonts w:ascii="宋体" w:hAnsi="宋体" w:eastAsia="宋体" w:cs="宋体"/>
          <w:spacing w:val="-27"/>
          <w:sz w:val="21"/>
          <w:szCs w:val="21"/>
        </w:rPr>
        <w:t xml:space="preserve"> </w:t>
      </w:r>
      <w:r>
        <w:rPr>
          <w:rFonts w:ascii="Times New Roman" w:hAnsi="Times New Roman" w:eastAsia="Times New Roman" w:cs="Times New Roman"/>
          <w:spacing w:val="-4"/>
          <w:sz w:val="21"/>
          <w:szCs w:val="21"/>
        </w:rPr>
        <w:t xml:space="preserve">7.8.4 </w:t>
      </w:r>
      <w:r>
        <w:rPr>
          <w:rFonts w:ascii="宋体" w:hAnsi="宋体" w:eastAsia="宋体" w:cs="宋体"/>
          <w:spacing w:val="-4"/>
          <w:sz w:val="21"/>
          <w:szCs w:val="21"/>
        </w:rPr>
        <w:t>项〔紧急情况下的暂停施工〕</w:t>
      </w:r>
    </w:p>
    <w:p w14:paraId="48CCF9D5">
      <w:pPr>
        <w:spacing w:before="1" w:line="220" w:lineRule="auto"/>
        <w:ind w:left="18"/>
        <w:rPr>
          <w:rFonts w:ascii="宋体" w:hAnsi="宋体" w:eastAsia="宋体" w:cs="宋体"/>
          <w:sz w:val="21"/>
          <w:szCs w:val="21"/>
        </w:rPr>
      </w:pPr>
      <w:r>
        <w:rPr>
          <w:rFonts w:ascii="宋体" w:hAnsi="宋体" w:eastAsia="宋体" w:cs="宋体"/>
          <w:spacing w:val="-8"/>
          <w:sz w:val="21"/>
          <w:szCs w:val="21"/>
        </w:rPr>
        <w:t>执行。</w:t>
      </w:r>
    </w:p>
    <w:p w14:paraId="5CE2D91E">
      <w:pPr>
        <w:spacing w:before="148" w:line="403" w:lineRule="exact"/>
        <w:ind w:left="457"/>
        <w:rPr>
          <w:rFonts w:ascii="宋体" w:hAnsi="宋体" w:eastAsia="宋体" w:cs="宋体"/>
          <w:sz w:val="21"/>
          <w:szCs w:val="21"/>
        </w:rPr>
      </w:pPr>
      <w:r>
        <w:rPr>
          <w:rFonts w:ascii="宋体" w:hAnsi="宋体" w:eastAsia="宋体" w:cs="宋体"/>
          <w:position w:val="14"/>
          <w:sz w:val="21"/>
          <w:szCs w:val="21"/>
        </w:rPr>
        <w:t>因发包人原因引起的暂停施工， 发包人应承担由此增</w:t>
      </w:r>
      <w:r>
        <w:rPr>
          <w:rFonts w:ascii="宋体" w:hAnsi="宋体" w:eastAsia="宋体" w:cs="宋体"/>
          <w:spacing w:val="-1"/>
          <w:position w:val="14"/>
          <w:sz w:val="21"/>
          <w:szCs w:val="21"/>
        </w:rPr>
        <w:t>加的费用和（或）延误的工期，</w:t>
      </w:r>
    </w:p>
    <w:p w14:paraId="35C95EF5">
      <w:pPr>
        <w:spacing w:before="1" w:line="220" w:lineRule="auto"/>
        <w:ind w:left="23"/>
        <w:rPr>
          <w:rFonts w:ascii="宋体" w:hAnsi="宋体" w:eastAsia="宋体" w:cs="宋体"/>
          <w:sz w:val="21"/>
          <w:szCs w:val="21"/>
        </w:rPr>
      </w:pPr>
      <w:r>
        <w:rPr>
          <w:rFonts w:ascii="宋体" w:hAnsi="宋体" w:eastAsia="宋体" w:cs="宋体"/>
          <w:spacing w:val="-3"/>
          <w:sz w:val="21"/>
          <w:szCs w:val="21"/>
        </w:rPr>
        <w:t>并支付承包人合理的利润。</w:t>
      </w:r>
    </w:p>
    <w:p w14:paraId="6C736A11">
      <w:pPr>
        <w:spacing w:before="147" w:line="221" w:lineRule="auto"/>
        <w:ind w:left="440"/>
        <w:rPr>
          <w:rFonts w:ascii="宋体" w:hAnsi="宋体" w:eastAsia="宋体" w:cs="宋体"/>
          <w:sz w:val="21"/>
          <w:szCs w:val="21"/>
        </w:rPr>
      </w:pPr>
      <w:r>
        <w:rPr>
          <w:rFonts w:ascii="Times New Roman" w:hAnsi="Times New Roman" w:eastAsia="Times New Roman" w:cs="Times New Roman"/>
          <w:spacing w:val="-1"/>
          <w:sz w:val="21"/>
          <w:szCs w:val="21"/>
        </w:rPr>
        <w:t xml:space="preserve">7.8.2 </w:t>
      </w:r>
      <w:r>
        <w:rPr>
          <w:rFonts w:ascii="宋体" w:hAnsi="宋体" w:eastAsia="宋体" w:cs="宋体"/>
          <w:spacing w:val="-1"/>
          <w:sz w:val="21"/>
          <w:szCs w:val="21"/>
        </w:rPr>
        <w:t>承包人原因引起的暂停施工</w:t>
      </w:r>
    </w:p>
    <w:p w14:paraId="499C1F2A">
      <w:pPr>
        <w:spacing w:before="148" w:line="352" w:lineRule="auto"/>
        <w:ind w:left="18" w:right="180" w:firstLine="439"/>
        <w:rPr>
          <w:rFonts w:ascii="宋体" w:hAnsi="宋体" w:eastAsia="宋体" w:cs="宋体"/>
          <w:sz w:val="21"/>
          <w:szCs w:val="21"/>
        </w:rPr>
      </w:pPr>
      <w:r>
        <w:rPr>
          <w:rFonts w:ascii="宋体" w:hAnsi="宋体" w:eastAsia="宋体" w:cs="宋体"/>
          <w:sz w:val="21"/>
          <w:szCs w:val="21"/>
        </w:rPr>
        <w:t>因承包人原因引起的暂停施工， 承包人应承担由此增</w:t>
      </w:r>
      <w:r>
        <w:rPr>
          <w:rFonts w:ascii="宋体" w:hAnsi="宋体" w:eastAsia="宋体" w:cs="宋体"/>
          <w:spacing w:val="-1"/>
          <w:sz w:val="21"/>
          <w:szCs w:val="21"/>
        </w:rPr>
        <w:t>加的费用和（或）延误的工期，</w:t>
      </w:r>
      <w:r>
        <w:rPr>
          <w:rFonts w:ascii="宋体" w:hAnsi="宋体" w:eastAsia="宋体" w:cs="宋体"/>
          <w:sz w:val="21"/>
          <w:szCs w:val="21"/>
        </w:rPr>
        <w:t xml:space="preserve"> </w:t>
      </w:r>
      <w:r>
        <w:rPr>
          <w:rFonts w:ascii="宋体" w:hAnsi="宋体" w:eastAsia="宋体" w:cs="宋体"/>
          <w:spacing w:val="-1"/>
          <w:sz w:val="21"/>
          <w:szCs w:val="21"/>
        </w:rPr>
        <w:t>且承包人在收到监理人复工指示后</w:t>
      </w:r>
      <w:r>
        <w:rPr>
          <w:rFonts w:ascii="宋体" w:hAnsi="宋体" w:eastAsia="宋体" w:cs="宋体"/>
          <w:spacing w:val="-28"/>
          <w:sz w:val="21"/>
          <w:szCs w:val="21"/>
        </w:rPr>
        <w:t xml:space="preserve"> </w:t>
      </w:r>
      <w:r>
        <w:rPr>
          <w:rFonts w:ascii="Times New Roman" w:hAnsi="Times New Roman" w:eastAsia="Times New Roman" w:cs="Times New Roman"/>
          <w:spacing w:val="-1"/>
          <w:sz w:val="21"/>
          <w:szCs w:val="21"/>
        </w:rPr>
        <w:t xml:space="preserve">84 </w:t>
      </w:r>
      <w:r>
        <w:rPr>
          <w:rFonts w:ascii="宋体" w:hAnsi="宋体" w:eastAsia="宋体" w:cs="宋体"/>
          <w:spacing w:val="-1"/>
          <w:sz w:val="21"/>
          <w:szCs w:val="21"/>
        </w:rPr>
        <w:t>天内仍未复工的，视</w:t>
      </w:r>
      <w:r>
        <w:rPr>
          <w:rFonts w:ascii="宋体" w:hAnsi="宋体" w:eastAsia="宋体" w:cs="宋体"/>
          <w:spacing w:val="-2"/>
          <w:sz w:val="21"/>
          <w:szCs w:val="21"/>
        </w:rPr>
        <w:t xml:space="preserve">为第 </w:t>
      </w:r>
      <w:r>
        <w:rPr>
          <w:rFonts w:ascii="Times New Roman" w:hAnsi="Times New Roman" w:eastAsia="Times New Roman" w:cs="Times New Roman"/>
          <w:spacing w:val="-2"/>
          <w:sz w:val="21"/>
          <w:szCs w:val="21"/>
        </w:rPr>
        <w:t xml:space="preserve">16.2.1 </w:t>
      </w:r>
      <w:r>
        <w:rPr>
          <w:rFonts w:ascii="宋体" w:hAnsi="宋体" w:eastAsia="宋体" w:cs="宋体"/>
          <w:spacing w:val="-2"/>
          <w:sz w:val="21"/>
          <w:szCs w:val="21"/>
        </w:rPr>
        <w:t>项〔承包人违约的情</w:t>
      </w:r>
    </w:p>
    <w:p w14:paraId="1A4F95AF">
      <w:pPr>
        <w:spacing w:before="1" w:line="220" w:lineRule="auto"/>
        <w:ind w:left="20"/>
        <w:rPr>
          <w:rFonts w:ascii="宋体" w:hAnsi="宋体" w:eastAsia="宋体" w:cs="宋体"/>
          <w:sz w:val="21"/>
          <w:szCs w:val="21"/>
        </w:rPr>
      </w:pPr>
      <w:r>
        <w:rPr>
          <w:rFonts w:ascii="宋体" w:hAnsi="宋体" w:eastAsia="宋体" w:cs="宋体"/>
          <w:spacing w:val="-3"/>
          <w:sz w:val="21"/>
          <w:szCs w:val="21"/>
        </w:rPr>
        <w:t>形〕第（</w:t>
      </w:r>
      <w:r>
        <w:rPr>
          <w:rFonts w:ascii="Times New Roman" w:hAnsi="Times New Roman" w:eastAsia="Times New Roman" w:cs="Times New Roman"/>
          <w:spacing w:val="-3"/>
          <w:sz w:val="21"/>
          <w:szCs w:val="21"/>
        </w:rPr>
        <w:t>7</w:t>
      </w:r>
      <w:r>
        <w:rPr>
          <w:rFonts w:ascii="宋体" w:hAnsi="宋体" w:eastAsia="宋体" w:cs="宋体"/>
          <w:spacing w:val="-3"/>
          <w:sz w:val="21"/>
          <w:szCs w:val="21"/>
        </w:rPr>
        <w:t>）</w:t>
      </w:r>
      <w:r>
        <w:rPr>
          <w:rFonts w:ascii="宋体" w:hAnsi="宋体" w:eastAsia="宋体" w:cs="宋体"/>
          <w:spacing w:val="-56"/>
          <w:sz w:val="21"/>
          <w:szCs w:val="21"/>
        </w:rPr>
        <w:t xml:space="preserve"> </w:t>
      </w:r>
      <w:r>
        <w:rPr>
          <w:rFonts w:ascii="宋体" w:hAnsi="宋体" w:eastAsia="宋体" w:cs="宋体"/>
          <w:spacing w:val="-3"/>
          <w:sz w:val="21"/>
          <w:szCs w:val="21"/>
        </w:rPr>
        <w:t>目约定的承包人无法继续履行合同的情形。</w:t>
      </w:r>
    </w:p>
    <w:p w14:paraId="0EEC4203">
      <w:pPr>
        <w:spacing w:before="148" w:line="221" w:lineRule="auto"/>
        <w:ind w:left="440"/>
        <w:rPr>
          <w:rFonts w:ascii="宋体" w:hAnsi="宋体" w:eastAsia="宋体" w:cs="宋体"/>
          <w:sz w:val="21"/>
          <w:szCs w:val="21"/>
        </w:rPr>
      </w:pPr>
      <w:r>
        <w:rPr>
          <w:rFonts w:ascii="Times New Roman" w:hAnsi="Times New Roman" w:eastAsia="Times New Roman" w:cs="Times New Roman"/>
          <w:spacing w:val="-1"/>
          <w:sz w:val="21"/>
          <w:szCs w:val="21"/>
        </w:rPr>
        <w:t xml:space="preserve">7.8.3 </w:t>
      </w:r>
      <w:r>
        <w:rPr>
          <w:rFonts w:ascii="宋体" w:hAnsi="宋体" w:eastAsia="宋体" w:cs="宋体"/>
          <w:spacing w:val="-1"/>
          <w:sz w:val="21"/>
          <w:szCs w:val="21"/>
        </w:rPr>
        <w:t>指示暂停施工</w:t>
      </w:r>
    </w:p>
    <w:p w14:paraId="69E005E0">
      <w:pPr>
        <w:spacing w:before="152" w:line="398" w:lineRule="exact"/>
        <w:ind w:left="442"/>
        <w:rPr>
          <w:rFonts w:ascii="宋体" w:hAnsi="宋体" w:eastAsia="宋体" w:cs="宋体"/>
          <w:sz w:val="21"/>
          <w:szCs w:val="21"/>
        </w:rPr>
      </w:pPr>
      <w:r>
        <w:rPr>
          <w:rFonts w:ascii="宋体" w:hAnsi="宋体" w:eastAsia="宋体" w:cs="宋体"/>
          <w:position w:val="14"/>
          <w:sz w:val="21"/>
          <w:szCs w:val="21"/>
        </w:rPr>
        <w:t>监理人认为有必要时， 并经发包人批准后，可向承包人作出暂停施工的指示，承包人</w:t>
      </w:r>
    </w:p>
    <w:p w14:paraId="48E378B3">
      <w:pPr>
        <w:spacing w:before="1" w:line="220" w:lineRule="auto"/>
        <w:ind w:left="18"/>
        <w:rPr>
          <w:rFonts w:ascii="宋体" w:hAnsi="宋体" w:eastAsia="宋体" w:cs="宋体"/>
          <w:sz w:val="21"/>
          <w:szCs w:val="21"/>
        </w:rPr>
      </w:pPr>
      <w:r>
        <w:rPr>
          <w:rFonts w:ascii="宋体" w:hAnsi="宋体" w:eastAsia="宋体" w:cs="宋体"/>
          <w:spacing w:val="-2"/>
          <w:sz w:val="21"/>
          <w:szCs w:val="21"/>
        </w:rPr>
        <w:t>应按监理人指示暂停施工。</w:t>
      </w:r>
    </w:p>
    <w:p w14:paraId="248F686D">
      <w:pPr>
        <w:spacing w:before="147" w:line="221" w:lineRule="auto"/>
        <w:ind w:left="440"/>
        <w:rPr>
          <w:rFonts w:ascii="宋体" w:hAnsi="宋体" w:eastAsia="宋体" w:cs="宋体"/>
          <w:sz w:val="21"/>
          <w:szCs w:val="21"/>
        </w:rPr>
      </w:pPr>
      <w:r>
        <w:rPr>
          <w:rFonts w:ascii="Times New Roman" w:hAnsi="Times New Roman" w:eastAsia="Times New Roman" w:cs="Times New Roman"/>
          <w:spacing w:val="-2"/>
          <w:sz w:val="21"/>
          <w:szCs w:val="21"/>
        </w:rPr>
        <w:t>7.8.4</w:t>
      </w:r>
      <w:r>
        <w:rPr>
          <w:rFonts w:ascii="Times New Roman" w:hAnsi="Times New Roman" w:eastAsia="Times New Roman" w:cs="Times New Roman"/>
          <w:spacing w:val="26"/>
          <w:w w:val="101"/>
          <w:sz w:val="21"/>
          <w:szCs w:val="21"/>
        </w:rPr>
        <w:t xml:space="preserve"> </w:t>
      </w:r>
      <w:r>
        <w:rPr>
          <w:rFonts w:ascii="宋体" w:hAnsi="宋体" w:eastAsia="宋体" w:cs="宋体"/>
          <w:spacing w:val="-2"/>
          <w:sz w:val="21"/>
          <w:szCs w:val="21"/>
        </w:rPr>
        <w:t>紧急情况下的暂停施工</w:t>
      </w:r>
    </w:p>
    <w:p w14:paraId="77327141">
      <w:pPr>
        <w:spacing w:before="151" w:line="352" w:lineRule="auto"/>
        <w:ind w:left="23" w:right="17" w:firstLine="434"/>
        <w:rPr>
          <w:rFonts w:ascii="宋体" w:hAnsi="宋体" w:eastAsia="宋体" w:cs="宋体"/>
          <w:sz w:val="21"/>
          <w:szCs w:val="21"/>
        </w:rPr>
      </w:pPr>
      <w:r>
        <w:rPr>
          <w:rFonts w:ascii="宋体" w:hAnsi="宋体" w:eastAsia="宋体" w:cs="宋体"/>
          <w:spacing w:val="-1"/>
          <w:sz w:val="21"/>
          <w:szCs w:val="21"/>
        </w:rPr>
        <w:t>因紧急情况需暂停施工，且监理人未及时下达暂停施工</w:t>
      </w:r>
      <w:r>
        <w:rPr>
          <w:rFonts w:ascii="宋体" w:hAnsi="宋体" w:eastAsia="宋体" w:cs="宋体"/>
          <w:spacing w:val="-2"/>
          <w:sz w:val="21"/>
          <w:szCs w:val="21"/>
        </w:rPr>
        <w:t>指示的， 承包人可先暂停施工，</w:t>
      </w:r>
      <w:r>
        <w:rPr>
          <w:rFonts w:ascii="宋体" w:hAnsi="宋体" w:eastAsia="宋体" w:cs="宋体"/>
          <w:sz w:val="21"/>
          <w:szCs w:val="21"/>
        </w:rPr>
        <w:t xml:space="preserve"> </w:t>
      </w:r>
      <w:r>
        <w:rPr>
          <w:rFonts w:ascii="宋体" w:hAnsi="宋体" w:eastAsia="宋体" w:cs="宋体"/>
          <w:spacing w:val="-1"/>
          <w:sz w:val="21"/>
          <w:szCs w:val="21"/>
        </w:rPr>
        <w:t>并及时通知监理人。监理人应在接到通知后</w:t>
      </w:r>
      <w:r>
        <w:rPr>
          <w:rFonts w:ascii="宋体" w:hAnsi="宋体" w:eastAsia="宋体" w:cs="宋体"/>
          <w:spacing w:val="-31"/>
          <w:sz w:val="21"/>
          <w:szCs w:val="21"/>
        </w:rPr>
        <w:t xml:space="preserve"> </w:t>
      </w:r>
      <w:r>
        <w:rPr>
          <w:rFonts w:ascii="Times New Roman" w:hAnsi="Times New Roman" w:eastAsia="Times New Roman" w:cs="Times New Roman"/>
          <w:spacing w:val="-1"/>
          <w:sz w:val="21"/>
          <w:szCs w:val="21"/>
        </w:rPr>
        <w:t>24</w:t>
      </w:r>
      <w:r>
        <w:rPr>
          <w:rFonts w:ascii="Times New Roman" w:hAnsi="Times New Roman" w:eastAsia="Times New Roman" w:cs="Times New Roman"/>
          <w:spacing w:val="15"/>
          <w:sz w:val="21"/>
          <w:szCs w:val="21"/>
        </w:rPr>
        <w:t xml:space="preserve"> </w:t>
      </w:r>
      <w:r>
        <w:rPr>
          <w:rFonts w:ascii="宋体" w:hAnsi="宋体" w:eastAsia="宋体" w:cs="宋体"/>
          <w:spacing w:val="-1"/>
          <w:sz w:val="21"/>
          <w:szCs w:val="21"/>
        </w:rPr>
        <w:t>小时内发出指示</w:t>
      </w:r>
      <w:r>
        <w:rPr>
          <w:rFonts w:ascii="宋体" w:hAnsi="宋体" w:eastAsia="宋体" w:cs="宋体"/>
          <w:spacing w:val="-2"/>
          <w:sz w:val="21"/>
          <w:szCs w:val="21"/>
        </w:rPr>
        <w:t xml:space="preserve">，逾期未发出指示，视为同  </w:t>
      </w:r>
      <w:r>
        <w:rPr>
          <w:rFonts w:ascii="宋体" w:hAnsi="宋体" w:eastAsia="宋体" w:cs="宋体"/>
          <w:sz w:val="21"/>
          <w:szCs w:val="21"/>
        </w:rPr>
        <w:t>意承包人暂停施工。监理人不同意承包人暂停施工的， 应说明理由，承包人对监理人的答</w:t>
      </w:r>
    </w:p>
    <w:p w14:paraId="00113EBE">
      <w:pPr>
        <w:spacing w:before="1" w:line="220" w:lineRule="auto"/>
        <w:ind w:left="24"/>
        <w:rPr>
          <w:rFonts w:ascii="宋体" w:hAnsi="宋体" w:eastAsia="宋体" w:cs="宋体"/>
          <w:sz w:val="21"/>
          <w:szCs w:val="21"/>
        </w:rPr>
      </w:pPr>
      <w:r>
        <w:rPr>
          <w:rFonts w:ascii="宋体" w:hAnsi="宋体" w:eastAsia="宋体" w:cs="宋体"/>
          <w:spacing w:val="-6"/>
          <w:sz w:val="21"/>
          <w:szCs w:val="21"/>
        </w:rPr>
        <w:t>复有异议， 按照第</w:t>
      </w:r>
      <w:r>
        <w:rPr>
          <w:rFonts w:ascii="宋体" w:hAnsi="宋体" w:eastAsia="宋体" w:cs="宋体"/>
          <w:spacing w:val="-32"/>
          <w:sz w:val="21"/>
          <w:szCs w:val="21"/>
        </w:rPr>
        <w:t xml:space="preserve"> </w:t>
      </w:r>
      <w:r>
        <w:rPr>
          <w:rFonts w:ascii="Times New Roman" w:hAnsi="Times New Roman" w:eastAsia="Times New Roman" w:cs="Times New Roman"/>
          <w:spacing w:val="-6"/>
          <w:sz w:val="21"/>
          <w:szCs w:val="21"/>
        </w:rPr>
        <w:t xml:space="preserve">20 </w:t>
      </w:r>
      <w:r>
        <w:rPr>
          <w:rFonts w:ascii="宋体" w:hAnsi="宋体" w:eastAsia="宋体" w:cs="宋体"/>
          <w:spacing w:val="-6"/>
          <w:sz w:val="21"/>
          <w:szCs w:val="21"/>
        </w:rPr>
        <w:t>条〔争议解决〕约定处理。</w:t>
      </w:r>
    </w:p>
    <w:p w14:paraId="7324D932">
      <w:pPr>
        <w:spacing w:before="148" w:line="221" w:lineRule="auto"/>
        <w:ind w:left="440"/>
        <w:rPr>
          <w:rFonts w:ascii="宋体" w:hAnsi="宋体" w:eastAsia="宋体" w:cs="宋体"/>
          <w:sz w:val="21"/>
          <w:szCs w:val="21"/>
        </w:rPr>
      </w:pPr>
      <w:r>
        <w:rPr>
          <w:rFonts w:ascii="Times New Roman" w:hAnsi="Times New Roman" w:eastAsia="Times New Roman" w:cs="Times New Roman"/>
          <w:spacing w:val="-2"/>
          <w:sz w:val="21"/>
          <w:szCs w:val="21"/>
        </w:rPr>
        <w:t>7.8.5</w:t>
      </w:r>
      <w:r>
        <w:rPr>
          <w:rFonts w:ascii="Times New Roman" w:hAnsi="Times New Roman" w:eastAsia="Times New Roman" w:cs="Times New Roman"/>
          <w:spacing w:val="23"/>
          <w:sz w:val="21"/>
          <w:szCs w:val="21"/>
        </w:rPr>
        <w:t xml:space="preserve"> </w:t>
      </w:r>
      <w:r>
        <w:rPr>
          <w:rFonts w:ascii="宋体" w:hAnsi="宋体" w:eastAsia="宋体" w:cs="宋体"/>
          <w:spacing w:val="-2"/>
          <w:sz w:val="21"/>
          <w:szCs w:val="21"/>
        </w:rPr>
        <w:t>暂停施工后的复工</w:t>
      </w:r>
    </w:p>
    <w:p w14:paraId="4FFEE46F">
      <w:pPr>
        <w:spacing w:line="221" w:lineRule="auto"/>
        <w:rPr>
          <w:rFonts w:ascii="宋体" w:hAnsi="宋体" w:eastAsia="宋体" w:cs="宋体"/>
          <w:sz w:val="21"/>
          <w:szCs w:val="21"/>
        </w:rPr>
        <w:sectPr>
          <w:footerReference r:id="rId109" w:type="default"/>
          <w:pgSz w:w="11905" w:h="16839"/>
          <w:pgMar w:top="1431" w:right="1611" w:bottom="1004" w:left="1785" w:header="0" w:footer="829" w:gutter="0"/>
          <w:pgNumType w:fmt="decimal"/>
          <w:cols w:space="720" w:num="1"/>
        </w:sectPr>
      </w:pPr>
    </w:p>
    <w:p w14:paraId="4DBF6510">
      <w:pPr>
        <w:spacing w:before="148" w:line="352" w:lineRule="auto"/>
        <w:ind w:left="17" w:right="161" w:firstLine="430"/>
        <w:rPr>
          <w:rFonts w:ascii="宋体" w:hAnsi="宋体" w:eastAsia="宋体" w:cs="宋体"/>
          <w:sz w:val="21"/>
          <w:szCs w:val="21"/>
        </w:rPr>
      </w:pPr>
      <w:r>
        <w:rPr>
          <w:rFonts w:ascii="宋体" w:hAnsi="宋体" w:eastAsia="宋体" w:cs="宋体"/>
          <w:spacing w:val="3"/>
          <w:sz w:val="21"/>
          <w:szCs w:val="21"/>
        </w:rPr>
        <w:t>暂停施工后，发包人和承包人应采取有效措施积极消除暂停施工的影响。在</w:t>
      </w:r>
      <w:r>
        <w:rPr>
          <w:rFonts w:ascii="宋体" w:hAnsi="宋体" w:eastAsia="宋体" w:cs="宋体"/>
          <w:spacing w:val="2"/>
          <w:sz w:val="21"/>
          <w:szCs w:val="21"/>
        </w:rPr>
        <w:t>工程复工</w:t>
      </w:r>
      <w:r>
        <w:rPr>
          <w:rFonts w:ascii="宋体" w:hAnsi="宋体" w:eastAsia="宋体" w:cs="宋体"/>
          <w:sz w:val="21"/>
          <w:szCs w:val="21"/>
        </w:rPr>
        <w:t xml:space="preserve"> </w:t>
      </w:r>
      <w:r>
        <w:rPr>
          <w:rFonts w:ascii="宋体" w:hAnsi="宋体" w:eastAsia="宋体" w:cs="宋体"/>
          <w:spacing w:val="3"/>
          <w:sz w:val="21"/>
          <w:szCs w:val="21"/>
        </w:rPr>
        <w:t>前，监理人会同发包人和承包人确定因暂停施工造成的损失，并确定工程复工</w:t>
      </w:r>
      <w:r>
        <w:rPr>
          <w:rFonts w:ascii="宋体" w:hAnsi="宋体" w:eastAsia="宋体" w:cs="宋体"/>
          <w:spacing w:val="2"/>
          <w:sz w:val="21"/>
          <w:szCs w:val="21"/>
        </w:rPr>
        <w:t>条件。当工</w:t>
      </w:r>
      <w:r>
        <w:rPr>
          <w:rFonts w:ascii="宋体" w:hAnsi="宋体" w:eastAsia="宋体" w:cs="宋体"/>
          <w:sz w:val="21"/>
          <w:szCs w:val="21"/>
        </w:rPr>
        <w:t xml:space="preserve"> 程具备复工条件时，监理人应经发包人批准后向承包人发出复工通知， 承包人应按照复工</w:t>
      </w:r>
    </w:p>
    <w:p w14:paraId="53B0576D">
      <w:pPr>
        <w:spacing w:line="221" w:lineRule="auto"/>
        <w:ind w:left="18"/>
        <w:rPr>
          <w:rFonts w:ascii="宋体" w:hAnsi="宋体" w:eastAsia="宋体" w:cs="宋体"/>
          <w:sz w:val="21"/>
          <w:szCs w:val="21"/>
        </w:rPr>
      </w:pPr>
      <w:r>
        <w:rPr>
          <w:rFonts w:ascii="宋体" w:hAnsi="宋体" w:eastAsia="宋体" w:cs="宋体"/>
          <w:spacing w:val="-3"/>
          <w:sz w:val="21"/>
          <w:szCs w:val="21"/>
        </w:rPr>
        <w:t>通知要求复工。</w:t>
      </w:r>
    </w:p>
    <w:p w14:paraId="792BC899">
      <w:pPr>
        <w:spacing w:before="146" w:line="403" w:lineRule="exact"/>
        <w:ind w:left="441"/>
        <w:rPr>
          <w:rFonts w:ascii="宋体" w:hAnsi="宋体" w:eastAsia="宋体" w:cs="宋体"/>
          <w:sz w:val="21"/>
          <w:szCs w:val="21"/>
        </w:rPr>
      </w:pPr>
      <w:r>
        <w:rPr>
          <w:rFonts w:ascii="宋体" w:hAnsi="宋体" w:eastAsia="宋体" w:cs="宋体"/>
          <w:spacing w:val="-2"/>
          <w:position w:val="14"/>
          <w:sz w:val="21"/>
          <w:szCs w:val="21"/>
        </w:rPr>
        <w:t>承包人无故拖延和拒绝复工的， 承包人承担由此增加的费用和（或） 延误的工期；因</w:t>
      </w:r>
    </w:p>
    <w:p w14:paraId="38E4B589">
      <w:pPr>
        <w:spacing w:line="220" w:lineRule="auto"/>
        <w:ind w:left="21"/>
        <w:rPr>
          <w:rFonts w:ascii="宋体" w:hAnsi="宋体" w:eastAsia="宋体" w:cs="宋体"/>
          <w:sz w:val="21"/>
          <w:szCs w:val="21"/>
        </w:rPr>
      </w:pPr>
      <w:r>
        <w:rPr>
          <w:rFonts w:ascii="宋体" w:hAnsi="宋体" w:eastAsia="宋体" w:cs="宋体"/>
          <w:spacing w:val="-3"/>
          <w:sz w:val="21"/>
          <w:szCs w:val="21"/>
        </w:rPr>
        <w:t>发包人原因无法按时复工的， 按照第</w:t>
      </w:r>
      <w:r>
        <w:rPr>
          <w:rFonts w:ascii="宋体" w:hAnsi="宋体" w:eastAsia="宋体" w:cs="宋体"/>
          <w:spacing w:val="-43"/>
          <w:sz w:val="21"/>
          <w:szCs w:val="21"/>
        </w:rPr>
        <w:t xml:space="preserve"> </w:t>
      </w:r>
      <w:r>
        <w:rPr>
          <w:rFonts w:ascii="Times New Roman" w:hAnsi="Times New Roman" w:eastAsia="Times New Roman" w:cs="Times New Roman"/>
          <w:spacing w:val="-3"/>
          <w:sz w:val="21"/>
          <w:szCs w:val="21"/>
        </w:rPr>
        <w:t>7.5</w:t>
      </w:r>
      <w:r>
        <w:rPr>
          <w:rFonts w:ascii="Times New Roman" w:hAnsi="Times New Roman" w:eastAsia="Times New Roman" w:cs="Times New Roman"/>
          <w:spacing w:val="-4"/>
          <w:sz w:val="21"/>
          <w:szCs w:val="21"/>
        </w:rPr>
        <w:t xml:space="preserve">.1 </w:t>
      </w:r>
      <w:r>
        <w:rPr>
          <w:rFonts w:ascii="宋体" w:hAnsi="宋体" w:eastAsia="宋体" w:cs="宋体"/>
          <w:spacing w:val="-4"/>
          <w:sz w:val="21"/>
          <w:szCs w:val="21"/>
        </w:rPr>
        <w:t>项〔因发包人原因导致工期延误〕约定办理。</w:t>
      </w:r>
    </w:p>
    <w:p w14:paraId="0AF70BFA">
      <w:pPr>
        <w:spacing w:before="147" w:line="221" w:lineRule="auto"/>
        <w:ind w:left="440"/>
        <w:rPr>
          <w:rFonts w:ascii="宋体" w:hAnsi="宋体" w:eastAsia="宋体" w:cs="宋体"/>
          <w:sz w:val="21"/>
          <w:szCs w:val="21"/>
        </w:rPr>
      </w:pPr>
      <w:r>
        <w:rPr>
          <w:rFonts w:ascii="Times New Roman" w:hAnsi="Times New Roman" w:eastAsia="Times New Roman" w:cs="Times New Roman"/>
          <w:spacing w:val="-3"/>
          <w:sz w:val="21"/>
          <w:szCs w:val="21"/>
        </w:rPr>
        <w:t>7.8.6</w:t>
      </w:r>
      <w:r>
        <w:rPr>
          <w:rFonts w:ascii="Times New Roman" w:hAnsi="Times New Roman" w:eastAsia="Times New Roman" w:cs="Times New Roman"/>
          <w:spacing w:val="30"/>
          <w:w w:val="101"/>
          <w:sz w:val="21"/>
          <w:szCs w:val="21"/>
        </w:rPr>
        <w:t xml:space="preserve"> </w:t>
      </w:r>
      <w:r>
        <w:rPr>
          <w:rFonts w:ascii="宋体" w:hAnsi="宋体" w:eastAsia="宋体" w:cs="宋体"/>
          <w:spacing w:val="-3"/>
          <w:sz w:val="21"/>
          <w:szCs w:val="21"/>
        </w:rPr>
        <w:t>暂停施工持续</w:t>
      </w:r>
      <w:r>
        <w:rPr>
          <w:rFonts w:ascii="宋体" w:hAnsi="宋体" w:eastAsia="宋体" w:cs="宋体"/>
          <w:spacing w:val="-42"/>
          <w:sz w:val="21"/>
          <w:szCs w:val="21"/>
        </w:rPr>
        <w:t xml:space="preserve"> </w:t>
      </w:r>
      <w:r>
        <w:rPr>
          <w:rFonts w:ascii="Times New Roman" w:hAnsi="Times New Roman" w:eastAsia="Times New Roman" w:cs="Times New Roman"/>
          <w:spacing w:val="-3"/>
          <w:sz w:val="21"/>
          <w:szCs w:val="21"/>
        </w:rPr>
        <w:t xml:space="preserve">56 </w:t>
      </w:r>
      <w:r>
        <w:rPr>
          <w:rFonts w:ascii="宋体" w:hAnsi="宋体" w:eastAsia="宋体" w:cs="宋体"/>
          <w:spacing w:val="-3"/>
          <w:sz w:val="21"/>
          <w:szCs w:val="21"/>
        </w:rPr>
        <w:t>天以上</w:t>
      </w:r>
    </w:p>
    <w:p w14:paraId="271D4375">
      <w:pPr>
        <w:spacing w:before="150" w:line="352" w:lineRule="auto"/>
        <w:ind w:left="20" w:right="157" w:firstLine="422"/>
        <w:rPr>
          <w:rFonts w:ascii="宋体" w:hAnsi="宋体" w:eastAsia="宋体" w:cs="宋体"/>
          <w:sz w:val="21"/>
          <w:szCs w:val="21"/>
        </w:rPr>
      </w:pPr>
      <w:r>
        <w:rPr>
          <w:rFonts w:ascii="宋体" w:hAnsi="宋体" w:eastAsia="宋体" w:cs="宋体"/>
          <w:spacing w:val="-1"/>
          <w:sz w:val="21"/>
          <w:szCs w:val="21"/>
        </w:rPr>
        <w:t>监理人发出暂停施工指示后</w:t>
      </w:r>
      <w:r>
        <w:rPr>
          <w:rFonts w:ascii="宋体" w:hAnsi="宋体" w:eastAsia="宋体" w:cs="宋体"/>
          <w:spacing w:val="-50"/>
          <w:sz w:val="21"/>
          <w:szCs w:val="21"/>
        </w:rPr>
        <w:t xml:space="preserve"> </w:t>
      </w:r>
      <w:r>
        <w:rPr>
          <w:rFonts w:ascii="Times New Roman" w:hAnsi="Times New Roman" w:eastAsia="Times New Roman" w:cs="Times New Roman"/>
          <w:spacing w:val="-1"/>
          <w:sz w:val="21"/>
          <w:szCs w:val="21"/>
        </w:rPr>
        <w:t xml:space="preserve">56 </w:t>
      </w:r>
      <w:r>
        <w:rPr>
          <w:rFonts w:ascii="宋体" w:hAnsi="宋体" w:eastAsia="宋体" w:cs="宋体"/>
          <w:spacing w:val="-1"/>
          <w:sz w:val="21"/>
          <w:szCs w:val="21"/>
        </w:rPr>
        <w:t>天内未向承包人发出复工通知，除该项停工属于第</w:t>
      </w:r>
      <w:r>
        <w:rPr>
          <w:rFonts w:ascii="宋体" w:hAnsi="宋体" w:eastAsia="宋体" w:cs="宋体"/>
          <w:spacing w:val="-52"/>
          <w:sz w:val="21"/>
          <w:szCs w:val="21"/>
        </w:rPr>
        <w:t xml:space="preserve"> </w:t>
      </w:r>
      <w:r>
        <w:rPr>
          <w:rFonts w:ascii="Times New Roman" w:hAnsi="Times New Roman" w:eastAsia="Times New Roman" w:cs="Times New Roman"/>
          <w:spacing w:val="-2"/>
          <w:sz w:val="21"/>
          <w:szCs w:val="21"/>
        </w:rPr>
        <w:t>7.8.2</w:t>
      </w:r>
      <w:r>
        <w:rPr>
          <w:rFonts w:ascii="Times New Roman" w:hAnsi="Times New Roman" w:eastAsia="Times New Roman" w:cs="Times New Roman"/>
          <w:sz w:val="21"/>
          <w:szCs w:val="21"/>
        </w:rPr>
        <w:t xml:space="preserve"> </w:t>
      </w:r>
      <w:r>
        <w:rPr>
          <w:rFonts w:ascii="宋体" w:hAnsi="宋体" w:eastAsia="宋体" w:cs="宋体"/>
          <w:spacing w:val="-1"/>
          <w:sz w:val="21"/>
          <w:szCs w:val="21"/>
        </w:rPr>
        <w:t xml:space="preserve">项〔承包人原因引起的暂停施工〕及第 </w:t>
      </w:r>
      <w:r>
        <w:rPr>
          <w:rFonts w:ascii="Times New Roman" w:hAnsi="Times New Roman" w:eastAsia="Times New Roman" w:cs="Times New Roman"/>
          <w:spacing w:val="-1"/>
          <w:sz w:val="21"/>
          <w:szCs w:val="21"/>
        </w:rPr>
        <w:t xml:space="preserve">17 </w:t>
      </w:r>
      <w:r>
        <w:rPr>
          <w:rFonts w:ascii="宋体" w:hAnsi="宋体" w:eastAsia="宋体" w:cs="宋体"/>
          <w:spacing w:val="-1"/>
          <w:sz w:val="21"/>
          <w:szCs w:val="21"/>
        </w:rPr>
        <w:t>条〔不可抗力〕约定的情形外，承包人可向发包</w:t>
      </w:r>
      <w:r>
        <w:rPr>
          <w:rFonts w:ascii="宋体" w:hAnsi="宋体" w:eastAsia="宋体" w:cs="宋体"/>
          <w:spacing w:val="4"/>
          <w:sz w:val="21"/>
          <w:szCs w:val="21"/>
        </w:rPr>
        <w:t xml:space="preserve"> </w:t>
      </w:r>
      <w:r>
        <w:rPr>
          <w:rFonts w:ascii="宋体" w:hAnsi="宋体" w:eastAsia="宋体" w:cs="宋体"/>
          <w:sz w:val="21"/>
          <w:szCs w:val="21"/>
        </w:rPr>
        <w:t>人提交书面通知，要求发包人在收到书面通知后</w:t>
      </w:r>
      <w:r>
        <w:rPr>
          <w:rFonts w:ascii="宋体" w:hAnsi="宋体" w:eastAsia="宋体" w:cs="宋体"/>
          <w:spacing w:val="-31"/>
          <w:sz w:val="21"/>
          <w:szCs w:val="21"/>
        </w:rPr>
        <w:t xml:space="preserve"> </w:t>
      </w:r>
      <w:r>
        <w:rPr>
          <w:rFonts w:ascii="Times New Roman" w:hAnsi="Times New Roman" w:eastAsia="Times New Roman" w:cs="Times New Roman"/>
          <w:sz w:val="21"/>
          <w:szCs w:val="21"/>
        </w:rPr>
        <w:t xml:space="preserve">28 </w:t>
      </w:r>
      <w:r>
        <w:rPr>
          <w:rFonts w:ascii="宋体" w:hAnsi="宋体" w:eastAsia="宋体" w:cs="宋体"/>
          <w:sz w:val="21"/>
          <w:szCs w:val="21"/>
        </w:rPr>
        <w:t>天内准许已暂停施工</w:t>
      </w:r>
      <w:r>
        <w:rPr>
          <w:rFonts w:ascii="宋体" w:hAnsi="宋体" w:eastAsia="宋体" w:cs="宋体"/>
          <w:spacing w:val="-1"/>
          <w:sz w:val="21"/>
          <w:szCs w:val="21"/>
        </w:rPr>
        <w:t>的部分或全部工程</w:t>
      </w:r>
      <w:r>
        <w:rPr>
          <w:rFonts w:ascii="宋体" w:hAnsi="宋体" w:eastAsia="宋体" w:cs="宋体"/>
          <w:sz w:val="21"/>
          <w:szCs w:val="21"/>
        </w:rPr>
        <w:t xml:space="preserve"> </w:t>
      </w:r>
      <w:r>
        <w:rPr>
          <w:rFonts w:ascii="宋体" w:hAnsi="宋体" w:eastAsia="宋体" w:cs="宋体"/>
          <w:spacing w:val="3"/>
          <w:sz w:val="21"/>
          <w:szCs w:val="21"/>
        </w:rPr>
        <w:t>继续施工。发包人逾期不予批准的，则承包人可以通知发包人，将工程受</w:t>
      </w:r>
      <w:r>
        <w:rPr>
          <w:rFonts w:ascii="宋体" w:hAnsi="宋体" w:eastAsia="宋体" w:cs="宋体"/>
          <w:spacing w:val="2"/>
          <w:sz w:val="21"/>
          <w:szCs w:val="21"/>
        </w:rPr>
        <w:t>影响的部分视为</w:t>
      </w:r>
    </w:p>
    <w:p w14:paraId="1DB9D7E5">
      <w:pPr>
        <w:spacing w:line="220" w:lineRule="auto"/>
        <w:ind w:left="20"/>
        <w:rPr>
          <w:rFonts w:ascii="宋体" w:hAnsi="宋体" w:eastAsia="宋体" w:cs="宋体"/>
          <w:sz w:val="21"/>
          <w:szCs w:val="21"/>
        </w:rPr>
      </w:pPr>
      <w:r>
        <w:rPr>
          <w:rFonts w:ascii="宋体" w:hAnsi="宋体" w:eastAsia="宋体" w:cs="宋体"/>
          <w:spacing w:val="-2"/>
          <w:sz w:val="21"/>
          <w:szCs w:val="21"/>
        </w:rPr>
        <w:t>按第</w:t>
      </w:r>
      <w:r>
        <w:rPr>
          <w:rFonts w:ascii="宋体" w:hAnsi="宋体" w:eastAsia="宋体" w:cs="宋体"/>
          <w:spacing w:val="-15"/>
          <w:sz w:val="21"/>
          <w:szCs w:val="21"/>
        </w:rPr>
        <w:t xml:space="preserve"> </w:t>
      </w:r>
      <w:r>
        <w:rPr>
          <w:rFonts w:ascii="Times New Roman" w:hAnsi="Times New Roman" w:eastAsia="Times New Roman" w:cs="Times New Roman"/>
          <w:spacing w:val="-2"/>
          <w:sz w:val="21"/>
          <w:szCs w:val="21"/>
        </w:rPr>
        <w:t xml:space="preserve">10.1 </w:t>
      </w:r>
      <w:r>
        <w:rPr>
          <w:rFonts w:ascii="宋体" w:hAnsi="宋体" w:eastAsia="宋体" w:cs="宋体"/>
          <w:spacing w:val="-2"/>
          <w:sz w:val="21"/>
          <w:szCs w:val="21"/>
        </w:rPr>
        <w:t>款〔变更的范围〕第（</w:t>
      </w:r>
      <w:r>
        <w:rPr>
          <w:rFonts w:ascii="Times New Roman" w:hAnsi="Times New Roman" w:eastAsia="Times New Roman" w:cs="Times New Roman"/>
          <w:spacing w:val="-2"/>
          <w:sz w:val="21"/>
          <w:szCs w:val="21"/>
        </w:rPr>
        <w:t>2</w:t>
      </w:r>
      <w:r>
        <w:rPr>
          <w:rFonts w:ascii="宋体" w:hAnsi="宋体" w:eastAsia="宋体" w:cs="宋体"/>
          <w:spacing w:val="-2"/>
          <w:sz w:val="21"/>
          <w:szCs w:val="21"/>
        </w:rPr>
        <w:t>）项的可取消工作。</w:t>
      </w:r>
    </w:p>
    <w:p w14:paraId="546C86AC">
      <w:pPr>
        <w:spacing w:before="147" w:line="352" w:lineRule="auto"/>
        <w:ind w:left="17" w:right="158" w:firstLine="430"/>
        <w:rPr>
          <w:rFonts w:ascii="宋体" w:hAnsi="宋体" w:eastAsia="宋体" w:cs="宋体"/>
          <w:sz w:val="21"/>
          <w:szCs w:val="21"/>
        </w:rPr>
      </w:pPr>
      <w:r>
        <w:rPr>
          <w:rFonts w:ascii="宋体" w:hAnsi="宋体" w:eastAsia="宋体" w:cs="宋体"/>
          <w:sz w:val="21"/>
          <w:szCs w:val="21"/>
        </w:rPr>
        <w:t>暂停施工持续</w:t>
      </w:r>
      <w:r>
        <w:rPr>
          <w:rFonts w:ascii="宋体" w:hAnsi="宋体" w:eastAsia="宋体" w:cs="宋体"/>
          <w:spacing w:val="-63"/>
          <w:sz w:val="21"/>
          <w:szCs w:val="21"/>
        </w:rPr>
        <w:t xml:space="preserve"> </w:t>
      </w:r>
      <w:r>
        <w:rPr>
          <w:rFonts w:ascii="Times New Roman" w:hAnsi="Times New Roman" w:eastAsia="Times New Roman" w:cs="Times New Roman"/>
          <w:sz w:val="21"/>
          <w:szCs w:val="21"/>
        </w:rPr>
        <w:t>84</w:t>
      </w:r>
      <w:r>
        <w:rPr>
          <w:rFonts w:ascii="Times New Roman" w:hAnsi="Times New Roman" w:eastAsia="Times New Roman" w:cs="Times New Roman"/>
          <w:spacing w:val="-11"/>
          <w:sz w:val="21"/>
          <w:szCs w:val="21"/>
        </w:rPr>
        <w:t xml:space="preserve"> </w:t>
      </w:r>
      <w:r>
        <w:rPr>
          <w:rFonts w:ascii="宋体" w:hAnsi="宋体" w:eastAsia="宋体" w:cs="宋体"/>
          <w:sz w:val="21"/>
          <w:szCs w:val="21"/>
        </w:rPr>
        <w:t>天以上不复工的，且不属于第</w:t>
      </w:r>
      <w:r>
        <w:rPr>
          <w:rFonts w:ascii="Times New Roman" w:hAnsi="Times New Roman" w:eastAsia="Times New Roman" w:cs="Times New Roman"/>
          <w:sz w:val="21"/>
          <w:szCs w:val="21"/>
        </w:rPr>
        <w:t>7.8.2</w:t>
      </w:r>
      <w:r>
        <w:rPr>
          <w:rFonts w:ascii="Times New Roman" w:hAnsi="Times New Roman" w:eastAsia="Times New Roman" w:cs="Times New Roman"/>
          <w:spacing w:val="-16"/>
          <w:sz w:val="21"/>
          <w:szCs w:val="21"/>
        </w:rPr>
        <w:t xml:space="preserve"> </w:t>
      </w:r>
      <w:r>
        <w:rPr>
          <w:rFonts w:ascii="宋体" w:hAnsi="宋体" w:eastAsia="宋体" w:cs="宋体"/>
          <w:sz w:val="21"/>
          <w:szCs w:val="21"/>
        </w:rPr>
        <w:t>项〔承包人</w:t>
      </w:r>
      <w:r>
        <w:rPr>
          <w:rFonts w:ascii="宋体" w:hAnsi="宋体" w:eastAsia="宋体" w:cs="宋体"/>
          <w:spacing w:val="-1"/>
          <w:sz w:val="21"/>
          <w:szCs w:val="21"/>
        </w:rPr>
        <w:t>原因引起的暂停施工〕</w:t>
      </w:r>
      <w:r>
        <w:rPr>
          <w:rFonts w:ascii="宋体" w:hAnsi="宋体" w:eastAsia="宋体" w:cs="宋体"/>
          <w:sz w:val="21"/>
          <w:szCs w:val="21"/>
        </w:rPr>
        <w:t xml:space="preserve"> </w:t>
      </w:r>
      <w:r>
        <w:rPr>
          <w:rFonts w:ascii="宋体" w:hAnsi="宋体" w:eastAsia="宋体" w:cs="宋体"/>
          <w:spacing w:val="-1"/>
          <w:sz w:val="21"/>
          <w:szCs w:val="21"/>
        </w:rPr>
        <w:t xml:space="preserve">及第 </w:t>
      </w:r>
      <w:r>
        <w:rPr>
          <w:rFonts w:ascii="Times New Roman" w:hAnsi="Times New Roman" w:eastAsia="Times New Roman" w:cs="Times New Roman"/>
          <w:spacing w:val="-1"/>
          <w:sz w:val="21"/>
          <w:szCs w:val="21"/>
        </w:rPr>
        <w:t xml:space="preserve">17 </w:t>
      </w:r>
      <w:r>
        <w:rPr>
          <w:rFonts w:ascii="宋体" w:hAnsi="宋体" w:eastAsia="宋体" w:cs="宋体"/>
          <w:spacing w:val="-1"/>
          <w:sz w:val="21"/>
          <w:szCs w:val="21"/>
        </w:rPr>
        <w:t>条〔不可抗力〕约定的情形，并影响到整个工程以及合同目的实现的，承包人有权</w:t>
      </w:r>
      <w:r>
        <w:rPr>
          <w:rFonts w:ascii="宋体" w:hAnsi="宋体" w:eastAsia="宋体" w:cs="宋体"/>
          <w:spacing w:val="5"/>
          <w:sz w:val="21"/>
          <w:szCs w:val="21"/>
        </w:rPr>
        <w:t xml:space="preserve"> </w:t>
      </w:r>
      <w:r>
        <w:rPr>
          <w:rFonts w:ascii="宋体" w:hAnsi="宋体" w:eastAsia="宋体" w:cs="宋体"/>
          <w:sz w:val="21"/>
          <w:szCs w:val="21"/>
        </w:rPr>
        <w:t>提出价格调整要求，或者解除合同。解除合同的，按照第</w:t>
      </w:r>
      <w:r>
        <w:rPr>
          <w:rFonts w:ascii="宋体" w:hAnsi="宋体" w:eastAsia="宋体" w:cs="宋体"/>
          <w:spacing w:val="28"/>
          <w:sz w:val="21"/>
          <w:szCs w:val="21"/>
        </w:rPr>
        <w:t xml:space="preserve"> </w:t>
      </w:r>
      <w:r>
        <w:rPr>
          <w:rFonts w:ascii="Times New Roman" w:hAnsi="Times New Roman" w:eastAsia="Times New Roman" w:cs="Times New Roman"/>
          <w:sz w:val="21"/>
          <w:szCs w:val="21"/>
        </w:rPr>
        <w:t>16.1.3</w:t>
      </w:r>
      <w:r>
        <w:rPr>
          <w:rFonts w:ascii="Times New Roman" w:hAnsi="Times New Roman" w:eastAsia="Times New Roman" w:cs="Times New Roman"/>
          <w:spacing w:val="45"/>
          <w:w w:val="101"/>
          <w:sz w:val="21"/>
          <w:szCs w:val="21"/>
        </w:rPr>
        <w:t xml:space="preserve"> </w:t>
      </w:r>
      <w:r>
        <w:rPr>
          <w:rFonts w:ascii="宋体" w:hAnsi="宋体" w:eastAsia="宋体" w:cs="宋体"/>
          <w:sz w:val="21"/>
          <w:szCs w:val="21"/>
        </w:rPr>
        <w:t>项〔因</w:t>
      </w:r>
      <w:r>
        <w:rPr>
          <w:rFonts w:ascii="宋体" w:hAnsi="宋体" w:eastAsia="宋体" w:cs="宋体"/>
          <w:spacing w:val="-1"/>
          <w:sz w:val="21"/>
          <w:szCs w:val="21"/>
        </w:rPr>
        <w:t>发包人违约解除合</w:t>
      </w:r>
    </w:p>
    <w:p w14:paraId="19F1E1C9">
      <w:pPr>
        <w:spacing w:before="1" w:line="220" w:lineRule="auto"/>
        <w:ind w:left="39"/>
        <w:rPr>
          <w:rFonts w:ascii="宋体" w:hAnsi="宋体" w:eastAsia="宋体" w:cs="宋体"/>
          <w:sz w:val="21"/>
          <w:szCs w:val="21"/>
        </w:rPr>
      </w:pPr>
      <w:r>
        <w:rPr>
          <w:rFonts w:ascii="宋体" w:hAnsi="宋体" w:eastAsia="宋体" w:cs="宋体"/>
          <w:spacing w:val="-9"/>
          <w:sz w:val="21"/>
          <w:szCs w:val="21"/>
        </w:rPr>
        <w:t>同〕执行。</w:t>
      </w:r>
    </w:p>
    <w:p w14:paraId="6E5E6C6D">
      <w:pPr>
        <w:spacing w:before="147" w:line="221" w:lineRule="auto"/>
        <w:ind w:left="440"/>
        <w:rPr>
          <w:rFonts w:ascii="宋体" w:hAnsi="宋体" w:eastAsia="宋体" w:cs="宋体"/>
          <w:sz w:val="21"/>
          <w:szCs w:val="21"/>
        </w:rPr>
      </w:pPr>
      <w:r>
        <w:rPr>
          <w:rFonts w:ascii="Times New Roman" w:hAnsi="Times New Roman" w:eastAsia="Times New Roman" w:cs="Times New Roman"/>
          <w:spacing w:val="-2"/>
          <w:sz w:val="21"/>
          <w:szCs w:val="21"/>
        </w:rPr>
        <w:t>7.8.7</w:t>
      </w:r>
      <w:r>
        <w:rPr>
          <w:rFonts w:ascii="Times New Roman" w:hAnsi="Times New Roman" w:eastAsia="Times New Roman" w:cs="Times New Roman"/>
          <w:spacing w:val="29"/>
          <w:sz w:val="21"/>
          <w:szCs w:val="21"/>
        </w:rPr>
        <w:t xml:space="preserve"> </w:t>
      </w:r>
      <w:r>
        <w:rPr>
          <w:rFonts w:ascii="宋体" w:hAnsi="宋体" w:eastAsia="宋体" w:cs="宋体"/>
          <w:spacing w:val="-2"/>
          <w:sz w:val="21"/>
          <w:szCs w:val="21"/>
        </w:rPr>
        <w:t>暂停施工期间的工程照管</w:t>
      </w:r>
    </w:p>
    <w:p w14:paraId="6A6744FF">
      <w:pPr>
        <w:spacing w:before="153" w:line="398" w:lineRule="exact"/>
        <w:ind w:left="447"/>
        <w:rPr>
          <w:rFonts w:ascii="宋体" w:hAnsi="宋体" w:eastAsia="宋体" w:cs="宋体"/>
          <w:sz w:val="21"/>
          <w:szCs w:val="21"/>
        </w:rPr>
      </w:pPr>
      <w:r>
        <w:rPr>
          <w:rFonts w:ascii="宋体" w:hAnsi="宋体" w:eastAsia="宋体" w:cs="宋体"/>
          <w:position w:val="14"/>
          <w:sz w:val="21"/>
          <w:szCs w:val="21"/>
        </w:rPr>
        <w:t>暂停施工期间， 承包人应负责妥善照管工程并提供安全保障，由此增加的费用由责任</w:t>
      </w:r>
    </w:p>
    <w:p w14:paraId="16CF93EA">
      <w:pPr>
        <w:spacing w:before="1" w:line="220" w:lineRule="auto"/>
        <w:ind w:left="19"/>
        <w:rPr>
          <w:rFonts w:ascii="宋体" w:hAnsi="宋体" w:eastAsia="宋体" w:cs="宋体"/>
          <w:sz w:val="21"/>
          <w:szCs w:val="21"/>
        </w:rPr>
      </w:pPr>
      <w:r>
        <w:rPr>
          <w:rFonts w:ascii="宋体" w:hAnsi="宋体" w:eastAsia="宋体" w:cs="宋体"/>
          <w:spacing w:val="-7"/>
          <w:sz w:val="21"/>
          <w:szCs w:val="21"/>
        </w:rPr>
        <w:t>方承担。</w:t>
      </w:r>
    </w:p>
    <w:p w14:paraId="32C90ED5">
      <w:pPr>
        <w:spacing w:before="147" w:line="221" w:lineRule="auto"/>
        <w:ind w:left="440"/>
        <w:rPr>
          <w:rFonts w:ascii="宋体" w:hAnsi="宋体" w:eastAsia="宋体" w:cs="宋体"/>
          <w:sz w:val="21"/>
          <w:szCs w:val="21"/>
        </w:rPr>
      </w:pPr>
      <w:r>
        <w:rPr>
          <w:rFonts w:ascii="Times New Roman" w:hAnsi="Times New Roman" w:eastAsia="Times New Roman" w:cs="Times New Roman"/>
          <w:spacing w:val="-2"/>
          <w:sz w:val="21"/>
          <w:szCs w:val="21"/>
        </w:rPr>
        <w:t>7.8.8</w:t>
      </w:r>
      <w:r>
        <w:rPr>
          <w:rFonts w:ascii="Times New Roman" w:hAnsi="Times New Roman" w:eastAsia="Times New Roman" w:cs="Times New Roman"/>
          <w:spacing w:val="21"/>
          <w:sz w:val="21"/>
          <w:szCs w:val="21"/>
        </w:rPr>
        <w:t xml:space="preserve"> </w:t>
      </w:r>
      <w:r>
        <w:rPr>
          <w:rFonts w:ascii="宋体" w:hAnsi="宋体" w:eastAsia="宋体" w:cs="宋体"/>
          <w:spacing w:val="-2"/>
          <w:sz w:val="21"/>
          <w:szCs w:val="21"/>
        </w:rPr>
        <w:t>暂停施工的措施</w:t>
      </w:r>
    </w:p>
    <w:p w14:paraId="6460C70F">
      <w:pPr>
        <w:spacing w:before="152" w:line="220" w:lineRule="auto"/>
        <w:ind w:left="447"/>
        <w:rPr>
          <w:rFonts w:ascii="宋体" w:hAnsi="宋体" w:eastAsia="宋体" w:cs="宋体"/>
          <w:sz w:val="21"/>
          <w:szCs w:val="21"/>
        </w:rPr>
      </w:pPr>
      <w:r>
        <w:rPr>
          <w:rFonts w:ascii="宋体" w:hAnsi="宋体" w:eastAsia="宋体" w:cs="宋体"/>
          <w:spacing w:val="-3"/>
          <w:sz w:val="21"/>
          <w:szCs w:val="21"/>
        </w:rPr>
        <w:t>暂停施工期间， 发包人和承包人均应采取必要的措</w:t>
      </w:r>
      <w:r>
        <w:rPr>
          <w:rFonts w:ascii="宋体" w:hAnsi="宋体" w:eastAsia="宋体" w:cs="宋体"/>
          <w:spacing w:val="-4"/>
          <w:sz w:val="21"/>
          <w:szCs w:val="21"/>
        </w:rPr>
        <w:t>施确保工程质量及安全，</w:t>
      </w:r>
      <w:r>
        <w:rPr>
          <w:rFonts w:ascii="宋体" w:hAnsi="宋体" w:eastAsia="宋体" w:cs="宋体"/>
          <w:spacing w:val="26"/>
          <w:sz w:val="21"/>
          <w:szCs w:val="21"/>
        </w:rPr>
        <w:t xml:space="preserve"> </w:t>
      </w:r>
      <w:r>
        <w:rPr>
          <w:rFonts w:ascii="宋体" w:hAnsi="宋体" w:eastAsia="宋体" w:cs="宋体"/>
          <w:spacing w:val="-4"/>
          <w:sz w:val="21"/>
          <w:szCs w:val="21"/>
        </w:rPr>
        <w:t>防止因暂</w:t>
      </w:r>
    </w:p>
    <w:p w14:paraId="26CE127A">
      <w:pPr>
        <w:spacing w:before="149" w:line="221" w:lineRule="auto"/>
        <w:ind w:left="19"/>
        <w:rPr>
          <w:rFonts w:ascii="宋体" w:hAnsi="宋体" w:eastAsia="宋体" w:cs="宋体"/>
          <w:sz w:val="21"/>
          <w:szCs w:val="21"/>
        </w:rPr>
      </w:pPr>
      <w:r>
        <w:rPr>
          <w:rFonts w:ascii="宋体" w:hAnsi="宋体" w:eastAsia="宋体" w:cs="宋体"/>
          <w:spacing w:val="-4"/>
          <w:sz w:val="21"/>
          <w:szCs w:val="21"/>
        </w:rPr>
        <w:t>停施工扩大损失。</w:t>
      </w:r>
    </w:p>
    <w:p w14:paraId="4F70CBA1">
      <w:pPr>
        <w:spacing w:before="45" w:line="218" w:lineRule="auto"/>
        <w:ind w:left="20"/>
        <w:rPr>
          <w:rFonts w:ascii="黑体" w:hAnsi="黑体" w:eastAsia="黑体" w:cs="黑体"/>
          <w:sz w:val="24"/>
          <w:szCs w:val="24"/>
        </w:rPr>
      </w:pPr>
      <w:r>
        <w:rPr>
          <w:rFonts w:ascii="黑体" w:hAnsi="黑体" w:eastAsia="黑体" w:cs="黑体"/>
          <w:spacing w:val="-3"/>
          <w:sz w:val="24"/>
          <w:szCs w:val="24"/>
        </w:rPr>
        <w:t>7.9</w:t>
      </w:r>
      <w:r>
        <w:rPr>
          <w:rFonts w:ascii="黑体" w:hAnsi="黑体" w:eastAsia="黑体" w:cs="黑体"/>
          <w:spacing w:val="-51"/>
          <w:sz w:val="24"/>
          <w:szCs w:val="24"/>
        </w:rPr>
        <w:t xml:space="preserve"> </w:t>
      </w:r>
      <w:r>
        <w:rPr>
          <w:rFonts w:ascii="黑体" w:hAnsi="黑体" w:eastAsia="黑体" w:cs="黑体"/>
          <w:spacing w:val="-3"/>
          <w:sz w:val="24"/>
          <w:szCs w:val="24"/>
        </w:rPr>
        <w:t>提前竣工</w:t>
      </w:r>
    </w:p>
    <w:p w14:paraId="694351BC">
      <w:pPr>
        <w:spacing w:before="130" w:line="352" w:lineRule="auto"/>
        <w:ind w:left="18" w:firstLine="422"/>
        <w:jc w:val="both"/>
        <w:rPr>
          <w:rFonts w:ascii="宋体" w:hAnsi="宋体" w:eastAsia="宋体" w:cs="宋体"/>
          <w:sz w:val="21"/>
          <w:szCs w:val="21"/>
        </w:rPr>
      </w:pPr>
      <w:r>
        <w:rPr>
          <w:rFonts w:ascii="Times New Roman" w:hAnsi="Times New Roman" w:eastAsia="Times New Roman" w:cs="Times New Roman"/>
          <w:spacing w:val="-1"/>
          <w:sz w:val="21"/>
          <w:szCs w:val="21"/>
        </w:rPr>
        <w:t>7.9.1</w:t>
      </w:r>
      <w:r>
        <w:rPr>
          <w:rFonts w:ascii="Times New Roman" w:hAnsi="Times New Roman" w:eastAsia="Times New Roman" w:cs="Times New Roman"/>
          <w:spacing w:val="54"/>
          <w:sz w:val="21"/>
          <w:szCs w:val="21"/>
        </w:rPr>
        <w:t xml:space="preserve"> </w:t>
      </w:r>
      <w:r>
        <w:rPr>
          <w:rFonts w:ascii="宋体" w:hAnsi="宋体" w:eastAsia="宋体" w:cs="宋体"/>
          <w:spacing w:val="-1"/>
          <w:sz w:val="21"/>
          <w:szCs w:val="21"/>
        </w:rPr>
        <w:t>发包人要求承包人提前竣工的，发包人应通过监理人向承包人下达提前竣工指示，</w:t>
      </w:r>
      <w:r>
        <w:rPr>
          <w:rFonts w:ascii="宋体" w:hAnsi="宋体" w:eastAsia="宋体" w:cs="宋体"/>
          <w:sz w:val="21"/>
          <w:szCs w:val="21"/>
        </w:rPr>
        <w:t xml:space="preserve"> </w:t>
      </w:r>
      <w:r>
        <w:rPr>
          <w:rFonts w:ascii="宋体" w:hAnsi="宋体" w:eastAsia="宋体" w:cs="宋体"/>
          <w:spacing w:val="2"/>
          <w:sz w:val="21"/>
          <w:szCs w:val="21"/>
        </w:rPr>
        <w:t xml:space="preserve">承包人应向发包人和监理人提交提前竣工建议书，提前竣工建议书应包括实施的方案、缩  </w:t>
      </w:r>
      <w:r>
        <w:rPr>
          <w:rFonts w:ascii="宋体" w:hAnsi="宋体" w:eastAsia="宋体" w:cs="宋体"/>
          <w:sz w:val="21"/>
          <w:szCs w:val="21"/>
        </w:rPr>
        <w:t>短的时间、增加的合同价格等内容。发包人接受该提前竣</w:t>
      </w:r>
      <w:r>
        <w:rPr>
          <w:rFonts w:ascii="宋体" w:hAnsi="宋体" w:eastAsia="宋体" w:cs="宋体"/>
          <w:spacing w:val="-1"/>
          <w:sz w:val="21"/>
          <w:szCs w:val="21"/>
        </w:rPr>
        <w:t xml:space="preserve">工建议书的， 监理人应与发包人  </w:t>
      </w:r>
      <w:r>
        <w:rPr>
          <w:rFonts w:ascii="宋体" w:hAnsi="宋体" w:eastAsia="宋体" w:cs="宋体"/>
          <w:sz w:val="21"/>
          <w:szCs w:val="21"/>
        </w:rPr>
        <w:t>和承包人协商采取加快工程进度的措施， 并修订施工进</w:t>
      </w:r>
      <w:r>
        <w:rPr>
          <w:rFonts w:ascii="宋体" w:hAnsi="宋体" w:eastAsia="宋体" w:cs="宋体"/>
          <w:spacing w:val="-1"/>
          <w:sz w:val="21"/>
          <w:szCs w:val="21"/>
        </w:rPr>
        <w:t xml:space="preserve">度计划，由此增加的费用由发包人  </w:t>
      </w:r>
      <w:r>
        <w:rPr>
          <w:rFonts w:ascii="宋体" w:hAnsi="宋体" w:eastAsia="宋体" w:cs="宋体"/>
          <w:spacing w:val="-5"/>
          <w:sz w:val="21"/>
          <w:szCs w:val="21"/>
        </w:rPr>
        <w:t>承担。 承包人认为提前竣工指示无法执行的， 应向监理人和发包人提出书面异议， 发包人</w:t>
      </w:r>
    </w:p>
    <w:p w14:paraId="1F82E87E">
      <w:pPr>
        <w:spacing w:before="1" w:line="219" w:lineRule="auto"/>
        <w:ind w:left="19"/>
        <w:rPr>
          <w:rFonts w:ascii="宋体" w:hAnsi="宋体" w:eastAsia="宋体" w:cs="宋体"/>
          <w:sz w:val="21"/>
          <w:szCs w:val="21"/>
        </w:rPr>
      </w:pPr>
      <w:r>
        <w:rPr>
          <w:rFonts w:ascii="宋体" w:hAnsi="宋体" w:eastAsia="宋体" w:cs="宋体"/>
          <w:spacing w:val="-1"/>
          <w:sz w:val="21"/>
          <w:szCs w:val="21"/>
        </w:rPr>
        <w:t>和监理人应在收到异议后</w:t>
      </w:r>
      <w:r>
        <w:rPr>
          <w:rFonts w:ascii="宋体" w:hAnsi="宋体" w:eastAsia="宋体" w:cs="宋体"/>
          <w:spacing w:val="-29"/>
          <w:sz w:val="21"/>
          <w:szCs w:val="21"/>
        </w:rPr>
        <w:t xml:space="preserve"> </w:t>
      </w:r>
      <w:r>
        <w:rPr>
          <w:rFonts w:ascii="Times New Roman" w:hAnsi="Times New Roman" w:eastAsia="Times New Roman" w:cs="Times New Roman"/>
          <w:spacing w:val="-1"/>
          <w:sz w:val="21"/>
          <w:szCs w:val="21"/>
        </w:rPr>
        <w:t xml:space="preserve">7 </w:t>
      </w:r>
      <w:r>
        <w:rPr>
          <w:rFonts w:ascii="宋体" w:hAnsi="宋体" w:eastAsia="宋体" w:cs="宋体"/>
          <w:spacing w:val="-1"/>
          <w:sz w:val="21"/>
          <w:szCs w:val="21"/>
        </w:rPr>
        <w:t>天内予以答复。任何情况下，发包人不得压缩合理工期。</w:t>
      </w:r>
    </w:p>
    <w:p w14:paraId="5CAD5785">
      <w:pPr>
        <w:spacing w:before="149" w:line="403" w:lineRule="exact"/>
        <w:ind w:left="440"/>
        <w:rPr>
          <w:rFonts w:ascii="宋体" w:hAnsi="宋体" w:eastAsia="宋体" w:cs="宋体"/>
          <w:sz w:val="21"/>
          <w:szCs w:val="21"/>
        </w:rPr>
      </w:pPr>
      <w:r>
        <w:rPr>
          <w:rFonts w:ascii="Times New Roman" w:hAnsi="Times New Roman" w:eastAsia="Times New Roman" w:cs="Times New Roman"/>
          <w:spacing w:val="1"/>
          <w:position w:val="14"/>
          <w:sz w:val="21"/>
          <w:szCs w:val="21"/>
        </w:rPr>
        <w:t>7.9.2</w:t>
      </w:r>
      <w:r>
        <w:rPr>
          <w:rFonts w:ascii="Times New Roman" w:hAnsi="Times New Roman" w:eastAsia="Times New Roman" w:cs="Times New Roman"/>
          <w:spacing w:val="36"/>
          <w:w w:val="101"/>
          <w:position w:val="14"/>
          <w:sz w:val="21"/>
          <w:szCs w:val="21"/>
        </w:rPr>
        <w:t xml:space="preserve"> </w:t>
      </w:r>
      <w:r>
        <w:rPr>
          <w:rFonts w:ascii="宋体" w:hAnsi="宋体" w:eastAsia="宋体" w:cs="宋体"/>
          <w:spacing w:val="1"/>
          <w:position w:val="14"/>
          <w:sz w:val="21"/>
          <w:szCs w:val="21"/>
        </w:rPr>
        <w:t>发包人要求承包人提前竣工，或承包人提</w:t>
      </w:r>
      <w:r>
        <w:rPr>
          <w:rFonts w:ascii="宋体" w:hAnsi="宋体" w:eastAsia="宋体" w:cs="宋体"/>
          <w:position w:val="14"/>
          <w:sz w:val="21"/>
          <w:szCs w:val="21"/>
        </w:rPr>
        <w:t>出提前竣工的建议能够给发包人带来效</w:t>
      </w:r>
    </w:p>
    <w:p w14:paraId="3CCD5B41">
      <w:pPr>
        <w:spacing w:before="1" w:line="220" w:lineRule="auto"/>
        <w:ind w:left="20"/>
        <w:rPr>
          <w:rFonts w:ascii="宋体" w:hAnsi="宋体" w:eastAsia="宋体" w:cs="宋体"/>
          <w:sz w:val="21"/>
          <w:szCs w:val="21"/>
        </w:rPr>
      </w:pPr>
      <w:r>
        <w:rPr>
          <w:rFonts w:ascii="宋体" w:hAnsi="宋体" w:eastAsia="宋体" w:cs="宋体"/>
          <w:spacing w:val="-1"/>
          <w:sz w:val="21"/>
          <w:szCs w:val="21"/>
        </w:rPr>
        <w:t>益的，合同当事人可以在专用合同条款中约定提前竣工</w:t>
      </w:r>
      <w:r>
        <w:rPr>
          <w:rFonts w:ascii="宋体" w:hAnsi="宋体" w:eastAsia="宋体" w:cs="宋体"/>
          <w:spacing w:val="-2"/>
          <w:sz w:val="21"/>
          <w:szCs w:val="21"/>
        </w:rPr>
        <w:t>的奖励。</w:t>
      </w:r>
    </w:p>
    <w:p w14:paraId="146F11A7">
      <w:pPr>
        <w:spacing w:before="172" w:line="220" w:lineRule="auto"/>
        <w:ind w:left="18"/>
        <w:rPr>
          <w:rFonts w:ascii="黑体" w:hAnsi="黑体" w:eastAsia="黑体" w:cs="黑体"/>
          <w:sz w:val="32"/>
          <w:szCs w:val="32"/>
        </w:rPr>
      </w:pPr>
      <w:r>
        <w:rPr>
          <w:rFonts w:ascii="黑体" w:hAnsi="黑体" w:eastAsia="黑体" w:cs="黑体"/>
          <w:spacing w:val="-1"/>
          <w:sz w:val="32"/>
          <w:szCs w:val="32"/>
        </w:rPr>
        <w:t>8.材料与设备</w:t>
      </w:r>
    </w:p>
    <w:p w14:paraId="54901B11">
      <w:pPr>
        <w:spacing w:before="145" w:line="218" w:lineRule="auto"/>
        <w:ind w:left="16"/>
        <w:rPr>
          <w:rFonts w:ascii="黑体" w:hAnsi="黑体" w:eastAsia="黑体" w:cs="黑体"/>
          <w:sz w:val="24"/>
          <w:szCs w:val="24"/>
        </w:rPr>
      </w:pPr>
      <w:r>
        <w:rPr>
          <w:rFonts w:ascii="黑体" w:hAnsi="黑体" w:eastAsia="黑体" w:cs="黑体"/>
          <w:spacing w:val="-2"/>
          <w:sz w:val="24"/>
          <w:szCs w:val="24"/>
        </w:rPr>
        <w:t>8.1</w:t>
      </w:r>
      <w:r>
        <w:rPr>
          <w:rFonts w:ascii="黑体" w:hAnsi="黑体" w:eastAsia="黑体" w:cs="黑体"/>
          <w:spacing w:val="-39"/>
          <w:sz w:val="24"/>
          <w:szCs w:val="24"/>
        </w:rPr>
        <w:t xml:space="preserve"> </w:t>
      </w:r>
      <w:r>
        <w:rPr>
          <w:rFonts w:ascii="黑体" w:hAnsi="黑体" w:eastAsia="黑体" w:cs="黑体"/>
          <w:spacing w:val="-2"/>
          <w:sz w:val="24"/>
          <w:szCs w:val="24"/>
        </w:rPr>
        <w:t>发包人供应材料与工程设备</w:t>
      </w:r>
    </w:p>
    <w:p w14:paraId="54A9816C">
      <w:pPr>
        <w:spacing w:before="130" w:line="220" w:lineRule="auto"/>
        <w:ind w:left="444"/>
        <w:rPr>
          <w:rFonts w:ascii="宋体" w:hAnsi="宋体" w:eastAsia="宋体" w:cs="宋体"/>
          <w:sz w:val="21"/>
          <w:szCs w:val="21"/>
        </w:rPr>
      </w:pPr>
      <w:r>
        <w:rPr>
          <w:rFonts w:ascii="宋体" w:hAnsi="宋体" w:eastAsia="宋体" w:cs="宋体"/>
          <w:sz w:val="21"/>
          <w:szCs w:val="21"/>
        </w:rPr>
        <w:t>发包人自行供应材料、工程设备的， 应在签订合同时在专用合同条款的附件《发包人</w:t>
      </w:r>
    </w:p>
    <w:p w14:paraId="790757B4">
      <w:pPr>
        <w:spacing w:line="220" w:lineRule="auto"/>
        <w:rPr>
          <w:rFonts w:ascii="宋体" w:hAnsi="宋体" w:eastAsia="宋体" w:cs="宋体"/>
          <w:sz w:val="21"/>
          <w:szCs w:val="21"/>
        </w:rPr>
        <w:sectPr>
          <w:footerReference r:id="rId110" w:type="default"/>
          <w:pgSz w:w="11905" w:h="16839"/>
          <w:pgMar w:top="1431" w:right="1630" w:bottom="1004" w:left="1785" w:header="0" w:footer="828" w:gutter="0"/>
          <w:pgNumType w:fmt="decimal"/>
          <w:cols w:space="720" w:num="1"/>
        </w:sectPr>
      </w:pPr>
    </w:p>
    <w:p w14:paraId="1B071C9C">
      <w:pPr>
        <w:spacing w:before="149" w:line="398" w:lineRule="exact"/>
        <w:ind w:left="18"/>
        <w:rPr>
          <w:rFonts w:ascii="宋体" w:hAnsi="宋体" w:eastAsia="宋体" w:cs="宋体"/>
          <w:sz w:val="21"/>
          <w:szCs w:val="21"/>
        </w:rPr>
      </w:pPr>
      <w:r>
        <w:rPr>
          <w:rFonts w:ascii="宋体" w:hAnsi="宋体" w:eastAsia="宋体" w:cs="宋体"/>
          <w:spacing w:val="3"/>
          <w:position w:val="14"/>
          <w:sz w:val="21"/>
          <w:szCs w:val="21"/>
        </w:rPr>
        <w:t>供应材料设备一览表》中明确材料、工程设备的品种、规格、型号、数量、</w:t>
      </w:r>
      <w:r>
        <w:rPr>
          <w:rFonts w:ascii="宋体" w:hAnsi="宋体" w:eastAsia="宋体" w:cs="宋体"/>
          <w:spacing w:val="2"/>
          <w:position w:val="14"/>
          <w:sz w:val="21"/>
          <w:szCs w:val="21"/>
        </w:rPr>
        <w:t>单价、质量等</w:t>
      </w:r>
    </w:p>
    <w:p w14:paraId="0AA74048">
      <w:pPr>
        <w:spacing w:line="222" w:lineRule="auto"/>
        <w:ind w:left="21"/>
        <w:rPr>
          <w:rFonts w:ascii="宋体" w:hAnsi="宋体" w:eastAsia="宋体" w:cs="宋体"/>
          <w:sz w:val="21"/>
          <w:szCs w:val="21"/>
        </w:rPr>
      </w:pPr>
      <w:r>
        <w:rPr>
          <w:rFonts w:ascii="宋体" w:hAnsi="宋体" w:eastAsia="宋体" w:cs="宋体"/>
          <w:spacing w:val="-4"/>
          <w:sz w:val="21"/>
          <w:szCs w:val="21"/>
        </w:rPr>
        <w:t>级和送达地点。</w:t>
      </w:r>
    </w:p>
    <w:p w14:paraId="586E510C">
      <w:pPr>
        <w:spacing w:before="149" w:line="399" w:lineRule="exact"/>
        <w:ind w:left="441"/>
        <w:rPr>
          <w:rFonts w:ascii="宋体" w:hAnsi="宋体" w:eastAsia="宋体" w:cs="宋体"/>
          <w:sz w:val="21"/>
          <w:szCs w:val="21"/>
        </w:rPr>
      </w:pPr>
      <w:r>
        <w:rPr>
          <w:rFonts w:ascii="宋体" w:hAnsi="宋体" w:eastAsia="宋体" w:cs="宋体"/>
          <w:position w:val="14"/>
          <w:sz w:val="21"/>
          <w:szCs w:val="21"/>
        </w:rPr>
        <w:t>承包人应提前</w:t>
      </w:r>
      <w:r>
        <w:rPr>
          <w:rFonts w:ascii="宋体" w:hAnsi="宋体" w:eastAsia="宋体" w:cs="宋体"/>
          <w:spacing w:val="-33"/>
          <w:position w:val="14"/>
          <w:sz w:val="21"/>
          <w:szCs w:val="21"/>
        </w:rPr>
        <w:t xml:space="preserve"> </w:t>
      </w:r>
      <w:r>
        <w:rPr>
          <w:rFonts w:ascii="Times New Roman" w:hAnsi="Times New Roman" w:eastAsia="Times New Roman" w:cs="Times New Roman"/>
          <w:position w:val="14"/>
          <w:sz w:val="21"/>
          <w:szCs w:val="21"/>
        </w:rPr>
        <w:t xml:space="preserve">30 </w:t>
      </w:r>
      <w:r>
        <w:rPr>
          <w:rFonts w:ascii="宋体" w:hAnsi="宋体" w:eastAsia="宋体" w:cs="宋体"/>
          <w:position w:val="14"/>
          <w:sz w:val="21"/>
          <w:szCs w:val="21"/>
        </w:rPr>
        <w:t>天通过监理人以书面形式通知发包人供应材料与工</w:t>
      </w:r>
      <w:r>
        <w:rPr>
          <w:rFonts w:ascii="宋体" w:hAnsi="宋体" w:eastAsia="宋体" w:cs="宋体"/>
          <w:spacing w:val="-1"/>
          <w:position w:val="14"/>
          <w:sz w:val="21"/>
          <w:szCs w:val="21"/>
        </w:rPr>
        <w:t>程设备进场。承包</w:t>
      </w:r>
    </w:p>
    <w:p w14:paraId="612581E4">
      <w:pPr>
        <w:spacing w:before="1" w:line="220" w:lineRule="auto"/>
        <w:ind w:left="20"/>
        <w:rPr>
          <w:rFonts w:ascii="宋体" w:hAnsi="宋体" w:eastAsia="宋体" w:cs="宋体"/>
          <w:sz w:val="21"/>
          <w:szCs w:val="21"/>
        </w:rPr>
      </w:pPr>
      <w:r>
        <w:rPr>
          <w:rFonts w:ascii="宋体" w:hAnsi="宋体" w:eastAsia="宋体" w:cs="宋体"/>
          <w:sz w:val="21"/>
          <w:szCs w:val="21"/>
        </w:rPr>
        <w:t>人按照第</w:t>
      </w:r>
      <w:r>
        <w:rPr>
          <w:rFonts w:ascii="宋体" w:hAnsi="宋体" w:eastAsia="宋体" w:cs="宋体"/>
          <w:spacing w:val="-30"/>
          <w:sz w:val="21"/>
          <w:szCs w:val="21"/>
        </w:rPr>
        <w:t xml:space="preserve"> </w:t>
      </w:r>
      <w:r>
        <w:rPr>
          <w:rFonts w:ascii="Times New Roman" w:hAnsi="Times New Roman" w:eastAsia="Times New Roman" w:cs="Times New Roman"/>
          <w:sz w:val="21"/>
          <w:szCs w:val="21"/>
        </w:rPr>
        <w:t xml:space="preserve">7.2.2 </w:t>
      </w:r>
      <w:r>
        <w:rPr>
          <w:rFonts w:ascii="宋体" w:hAnsi="宋体" w:eastAsia="宋体" w:cs="宋体"/>
          <w:sz w:val="21"/>
          <w:szCs w:val="21"/>
        </w:rPr>
        <w:t>项〔施工进度计划的修订〕约定修订施工进度计划时，</w:t>
      </w:r>
      <w:r>
        <w:rPr>
          <w:rFonts w:ascii="宋体" w:hAnsi="宋体" w:eastAsia="宋体" w:cs="宋体"/>
          <w:spacing w:val="-1"/>
          <w:sz w:val="21"/>
          <w:szCs w:val="21"/>
        </w:rPr>
        <w:t>需同时提交经修订后</w:t>
      </w:r>
    </w:p>
    <w:p w14:paraId="3B934359">
      <w:pPr>
        <w:spacing w:before="147" w:line="220" w:lineRule="auto"/>
        <w:ind w:left="35"/>
        <w:rPr>
          <w:rFonts w:ascii="宋体" w:hAnsi="宋体" w:eastAsia="宋体" w:cs="宋体"/>
          <w:sz w:val="21"/>
          <w:szCs w:val="21"/>
        </w:rPr>
      </w:pPr>
      <w:r>
        <w:rPr>
          <w:rFonts w:ascii="宋体" w:hAnsi="宋体" w:eastAsia="宋体" w:cs="宋体"/>
          <w:spacing w:val="-2"/>
          <w:sz w:val="21"/>
          <w:szCs w:val="21"/>
        </w:rPr>
        <w:t>的发包人供应材料与工程设备的进场计划。</w:t>
      </w:r>
    </w:p>
    <w:p w14:paraId="3FC9B8C4">
      <w:pPr>
        <w:spacing w:before="51" w:line="219" w:lineRule="auto"/>
        <w:ind w:left="16"/>
        <w:rPr>
          <w:rFonts w:ascii="黑体" w:hAnsi="黑体" w:eastAsia="黑体" w:cs="黑体"/>
          <w:sz w:val="24"/>
          <w:szCs w:val="24"/>
        </w:rPr>
      </w:pPr>
      <w:r>
        <w:rPr>
          <w:rFonts w:ascii="黑体" w:hAnsi="黑体" w:eastAsia="黑体" w:cs="黑体"/>
          <w:spacing w:val="-1"/>
          <w:sz w:val="24"/>
          <w:szCs w:val="24"/>
        </w:rPr>
        <w:t>8.2</w:t>
      </w:r>
      <w:r>
        <w:rPr>
          <w:rFonts w:ascii="黑体" w:hAnsi="黑体" w:eastAsia="黑体" w:cs="黑体"/>
          <w:spacing w:val="-54"/>
          <w:sz w:val="24"/>
          <w:szCs w:val="24"/>
        </w:rPr>
        <w:t xml:space="preserve"> </w:t>
      </w:r>
      <w:r>
        <w:rPr>
          <w:rFonts w:ascii="黑体" w:hAnsi="黑体" w:eastAsia="黑体" w:cs="黑体"/>
          <w:spacing w:val="-1"/>
          <w:sz w:val="24"/>
          <w:szCs w:val="24"/>
        </w:rPr>
        <w:t>承包人采购材料与工程设备</w:t>
      </w:r>
    </w:p>
    <w:p w14:paraId="47134778">
      <w:pPr>
        <w:spacing w:before="130" w:line="350" w:lineRule="auto"/>
        <w:ind w:left="18" w:right="158" w:firstLine="422"/>
        <w:jc w:val="both"/>
        <w:rPr>
          <w:rFonts w:ascii="宋体" w:hAnsi="宋体" w:eastAsia="宋体" w:cs="宋体"/>
          <w:sz w:val="21"/>
          <w:szCs w:val="21"/>
        </w:rPr>
      </w:pPr>
      <w:r>
        <w:rPr>
          <w:rFonts w:ascii="宋体" w:hAnsi="宋体" w:eastAsia="宋体" w:cs="宋体"/>
          <w:sz w:val="21"/>
          <w:szCs w:val="21"/>
        </w:rPr>
        <w:t>承包人负责采购材料、工程设备的， 应按照设计和有关标准要求采购，并提供产品合</w:t>
      </w:r>
      <w:r>
        <w:rPr>
          <w:rFonts w:ascii="宋体" w:hAnsi="宋体" w:eastAsia="宋体" w:cs="宋体"/>
          <w:spacing w:val="9"/>
          <w:sz w:val="21"/>
          <w:szCs w:val="21"/>
        </w:rPr>
        <w:t xml:space="preserve"> </w:t>
      </w:r>
      <w:r>
        <w:rPr>
          <w:rFonts w:ascii="宋体" w:hAnsi="宋体" w:eastAsia="宋体" w:cs="宋体"/>
          <w:spacing w:val="3"/>
          <w:sz w:val="21"/>
          <w:szCs w:val="21"/>
        </w:rPr>
        <w:t>格证明及出厂证明，对材料、工程设备质量负责。合同约定由承包人采购的</w:t>
      </w:r>
      <w:r>
        <w:rPr>
          <w:rFonts w:ascii="宋体" w:hAnsi="宋体" w:eastAsia="宋体" w:cs="宋体"/>
          <w:spacing w:val="2"/>
          <w:sz w:val="21"/>
          <w:szCs w:val="21"/>
        </w:rPr>
        <w:t>材料、工程设</w:t>
      </w:r>
    </w:p>
    <w:p w14:paraId="41358115">
      <w:pPr>
        <w:spacing w:before="1" w:line="219" w:lineRule="auto"/>
        <w:ind w:left="20"/>
        <w:rPr>
          <w:rFonts w:ascii="宋体" w:hAnsi="宋体" w:eastAsia="宋体" w:cs="宋体"/>
          <w:sz w:val="21"/>
          <w:szCs w:val="21"/>
        </w:rPr>
      </w:pPr>
      <w:r>
        <w:rPr>
          <w:rFonts w:ascii="宋体" w:hAnsi="宋体" w:eastAsia="宋体" w:cs="宋体"/>
          <w:sz w:val="21"/>
          <w:szCs w:val="21"/>
        </w:rPr>
        <w:t>备，发包人不得指定生产厂家或供应商， 发包人违反本款约定指定生产厂家或供应商</w:t>
      </w:r>
      <w:r>
        <w:rPr>
          <w:rFonts w:ascii="宋体" w:hAnsi="宋体" w:eastAsia="宋体" w:cs="宋体"/>
          <w:spacing w:val="-1"/>
          <w:sz w:val="21"/>
          <w:szCs w:val="21"/>
        </w:rPr>
        <w:t>的，</w:t>
      </w:r>
    </w:p>
    <w:p w14:paraId="40EBCF63">
      <w:pPr>
        <w:spacing w:before="153" w:line="221" w:lineRule="auto"/>
        <w:ind w:left="18"/>
        <w:rPr>
          <w:rFonts w:ascii="宋体" w:hAnsi="宋体" w:eastAsia="宋体" w:cs="宋体"/>
          <w:sz w:val="21"/>
          <w:szCs w:val="21"/>
        </w:rPr>
      </w:pPr>
      <w:r>
        <w:rPr>
          <w:rFonts w:ascii="宋体" w:hAnsi="宋体" w:eastAsia="宋体" w:cs="宋体"/>
          <w:spacing w:val="-1"/>
          <w:sz w:val="21"/>
          <w:szCs w:val="21"/>
        </w:rPr>
        <w:t>承包人有权拒绝，并由发包人承担相应责任。</w:t>
      </w:r>
    </w:p>
    <w:p w14:paraId="1BF0F77A">
      <w:pPr>
        <w:spacing w:before="46" w:line="219" w:lineRule="auto"/>
        <w:ind w:left="16"/>
        <w:rPr>
          <w:rFonts w:ascii="黑体" w:hAnsi="黑体" w:eastAsia="黑体" w:cs="黑体"/>
          <w:sz w:val="24"/>
          <w:szCs w:val="24"/>
        </w:rPr>
      </w:pPr>
      <w:r>
        <w:rPr>
          <w:rFonts w:ascii="黑体" w:hAnsi="黑体" w:eastAsia="黑体" w:cs="黑体"/>
          <w:spacing w:val="-1"/>
          <w:sz w:val="24"/>
          <w:szCs w:val="24"/>
        </w:rPr>
        <w:t>8.3</w:t>
      </w:r>
      <w:r>
        <w:rPr>
          <w:rFonts w:ascii="黑体" w:hAnsi="黑体" w:eastAsia="黑体" w:cs="黑体"/>
          <w:spacing w:val="-53"/>
          <w:sz w:val="24"/>
          <w:szCs w:val="24"/>
        </w:rPr>
        <w:t xml:space="preserve"> </w:t>
      </w:r>
      <w:r>
        <w:rPr>
          <w:rFonts w:ascii="黑体" w:hAnsi="黑体" w:eastAsia="黑体" w:cs="黑体"/>
          <w:spacing w:val="-1"/>
          <w:sz w:val="24"/>
          <w:szCs w:val="24"/>
        </w:rPr>
        <w:t>材料与工程设备的接收与拒收</w:t>
      </w:r>
    </w:p>
    <w:p w14:paraId="13A7C2CA">
      <w:pPr>
        <w:spacing w:before="128" w:line="352" w:lineRule="auto"/>
        <w:ind w:left="18" w:right="158" w:firstLine="427"/>
        <w:rPr>
          <w:rFonts w:ascii="宋体" w:hAnsi="宋体" w:eastAsia="宋体" w:cs="宋体"/>
          <w:sz w:val="21"/>
          <w:szCs w:val="21"/>
        </w:rPr>
      </w:pPr>
      <w:r>
        <w:rPr>
          <w:rFonts w:ascii="Times New Roman" w:hAnsi="Times New Roman" w:eastAsia="Times New Roman" w:cs="Times New Roman"/>
          <w:sz w:val="21"/>
          <w:szCs w:val="21"/>
        </w:rPr>
        <w:t>8.3.1</w:t>
      </w:r>
      <w:r>
        <w:rPr>
          <w:rFonts w:ascii="Times New Roman" w:hAnsi="Times New Roman" w:eastAsia="Times New Roman" w:cs="Times New Roman"/>
          <w:spacing w:val="54"/>
          <w:w w:val="101"/>
          <w:sz w:val="21"/>
          <w:szCs w:val="21"/>
        </w:rPr>
        <w:t xml:space="preserve"> </w:t>
      </w:r>
      <w:r>
        <w:rPr>
          <w:rFonts w:ascii="宋体" w:hAnsi="宋体" w:eastAsia="宋体" w:cs="宋体"/>
          <w:sz w:val="21"/>
          <w:szCs w:val="21"/>
        </w:rPr>
        <w:t xml:space="preserve">发包人应按《发包人供应材料设备一览表》约定的内容提供材料和工程设备，并 </w:t>
      </w:r>
      <w:r>
        <w:rPr>
          <w:rFonts w:ascii="宋体" w:hAnsi="宋体" w:eastAsia="宋体" w:cs="宋体"/>
          <w:spacing w:val="-1"/>
          <w:sz w:val="21"/>
          <w:szCs w:val="21"/>
        </w:rPr>
        <w:t>向承包人提供产品合格证明及出厂证明，对其质量负责。发包人应提前</w:t>
      </w:r>
      <w:r>
        <w:rPr>
          <w:rFonts w:ascii="宋体" w:hAnsi="宋体" w:eastAsia="宋体" w:cs="宋体"/>
          <w:spacing w:val="-15"/>
          <w:sz w:val="21"/>
          <w:szCs w:val="21"/>
        </w:rPr>
        <w:t xml:space="preserve"> </w:t>
      </w:r>
      <w:r>
        <w:rPr>
          <w:rFonts w:ascii="Times New Roman" w:hAnsi="Times New Roman" w:eastAsia="Times New Roman" w:cs="Times New Roman"/>
          <w:spacing w:val="-1"/>
          <w:sz w:val="21"/>
          <w:szCs w:val="21"/>
        </w:rPr>
        <w:t>24</w:t>
      </w:r>
      <w:r>
        <w:rPr>
          <w:rFonts w:ascii="Times New Roman" w:hAnsi="Times New Roman" w:eastAsia="Times New Roman" w:cs="Times New Roman"/>
          <w:spacing w:val="14"/>
          <w:w w:val="101"/>
          <w:sz w:val="21"/>
          <w:szCs w:val="21"/>
        </w:rPr>
        <w:t xml:space="preserve"> </w:t>
      </w:r>
      <w:r>
        <w:rPr>
          <w:rFonts w:ascii="宋体" w:hAnsi="宋体" w:eastAsia="宋体" w:cs="宋体"/>
          <w:spacing w:val="-1"/>
          <w:sz w:val="21"/>
          <w:szCs w:val="21"/>
        </w:rPr>
        <w:t>小时以书面形式</w:t>
      </w:r>
      <w:r>
        <w:rPr>
          <w:rFonts w:ascii="宋体" w:hAnsi="宋体" w:eastAsia="宋体" w:cs="宋体"/>
          <w:sz w:val="21"/>
          <w:szCs w:val="21"/>
        </w:rPr>
        <w:t xml:space="preserve"> </w:t>
      </w:r>
      <w:r>
        <w:rPr>
          <w:rFonts w:ascii="宋体" w:hAnsi="宋体" w:eastAsia="宋体" w:cs="宋体"/>
          <w:spacing w:val="3"/>
          <w:sz w:val="21"/>
          <w:szCs w:val="21"/>
        </w:rPr>
        <w:t>通知承包人、监理人材料和工程设备到货时间，承包人负责材料和工程设备</w:t>
      </w:r>
      <w:r>
        <w:rPr>
          <w:rFonts w:ascii="宋体" w:hAnsi="宋体" w:eastAsia="宋体" w:cs="宋体"/>
          <w:spacing w:val="2"/>
          <w:sz w:val="21"/>
          <w:szCs w:val="21"/>
        </w:rPr>
        <w:t>的清点、检验</w:t>
      </w:r>
    </w:p>
    <w:p w14:paraId="4C526692">
      <w:pPr>
        <w:spacing w:before="1" w:line="220" w:lineRule="auto"/>
        <w:ind w:left="19"/>
        <w:rPr>
          <w:rFonts w:ascii="宋体" w:hAnsi="宋体" w:eastAsia="宋体" w:cs="宋体"/>
          <w:sz w:val="21"/>
          <w:szCs w:val="21"/>
        </w:rPr>
      </w:pPr>
      <w:r>
        <w:rPr>
          <w:rFonts w:ascii="宋体" w:hAnsi="宋体" w:eastAsia="宋体" w:cs="宋体"/>
          <w:spacing w:val="-7"/>
          <w:sz w:val="21"/>
          <w:szCs w:val="21"/>
        </w:rPr>
        <w:t>和接收。</w:t>
      </w:r>
    </w:p>
    <w:p w14:paraId="2D08AC7E">
      <w:pPr>
        <w:spacing w:before="147" w:line="399" w:lineRule="exact"/>
        <w:ind w:left="444"/>
        <w:rPr>
          <w:rFonts w:ascii="宋体" w:hAnsi="宋体" w:eastAsia="宋体" w:cs="宋体"/>
          <w:sz w:val="21"/>
          <w:szCs w:val="21"/>
        </w:rPr>
      </w:pPr>
      <w:r>
        <w:rPr>
          <w:rFonts w:ascii="宋体" w:hAnsi="宋体" w:eastAsia="宋体" w:cs="宋体"/>
          <w:spacing w:val="3"/>
          <w:position w:val="14"/>
          <w:sz w:val="21"/>
          <w:szCs w:val="21"/>
        </w:rPr>
        <w:t>发包人提供的材料和工程设备的规格、数量或质量不符合合同约定的，或因发包人原</w:t>
      </w:r>
    </w:p>
    <w:p w14:paraId="2752A9BA">
      <w:pPr>
        <w:spacing w:before="1" w:line="219" w:lineRule="auto"/>
        <w:ind w:left="34"/>
        <w:rPr>
          <w:rFonts w:ascii="宋体" w:hAnsi="宋体" w:eastAsia="宋体" w:cs="宋体"/>
          <w:sz w:val="21"/>
          <w:szCs w:val="21"/>
        </w:rPr>
      </w:pPr>
      <w:r>
        <w:rPr>
          <w:rFonts w:ascii="宋体" w:hAnsi="宋体" w:eastAsia="宋体" w:cs="宋体"/>
          <w:spacing w:val="-4"/>
          <w:sz w:val="21"/>
          <w:szCs w:val="21"/>
        </w:rPr>
        <w:t>因导致交货日期延误或交货地点变更等情况的， 按照第</w:t>
      </w:r>
      <w:r>
        <w:rPr>
          <w:rFonts w:ascii="宋体" w:hAnsi="宋体" w:eastAsia="宋体" w:cs="宋体"/>
          <w:spacing w:val="-25"/>
          <w:sz w:val="21"/>
          <w:szCs w:val="21"/>
        </w:rPr>
        <w:t xml:space="preserve"> </w:t>
      </w:r>
      <w:r>
        <w:rPr>
          <w:rFonts w:ascii="Times New Roman" w:hAnsi="Times New Roman" w:eastAsia="Times New Roman" w:cs="Times New Roman"/>
          <w:spacing w:val="-4"/>
          <w:sz w:val="21"/>
          <w:szCs w:val="21"/>
        </w:rPr>
        <w:t xml:space="preserve">16.1 </w:t>
      </w:r>
      <w:r>
        <w:rPr>
          <w:rFonts w:ascii="宋体" w:hAnsi="宋体" w:eastAsia="宋体" w:cs="宋体"/>
          <w:spacing w:val="-5"/>
          <w:sz w:val="21"/>
          <w:szCs w:val="21"/>
        </w:rPr>
        <w:t>款〔发包人违约〕约定办理。</w:t>
      </w:r>
    </w:p>
    <w:p w14:paraId="3C4DF971">
      <w:pPr>
        <w:spacing w:before="152" w:line="352" w:lineRule="auto"/>
        <w:ind w:left="20" w:right="156" w:firstLine="425"/>
        <w:rPr>
          <w:rFonts w:ascii="宋体" w:hAnsi="宋体" w:eastAsia="宋体" w:cs="宋体"/>
          <w:sz w:val="21"/>
          <w:szCs w:val="21"/>
        </w:rPr>
      </w:pPr>
      <w:r>
        <w:rPr>
          <w:rFonts w:ascii="Times New Roman" w:hAnsi="Times New Roman" w:eastAsia="Times New Roman" w:cs="Times New Roman"/>
          <w:spacing w:val="1"/>
          <w:sz w:val="21"/>
          <w:szCs w:val="21"/>
        </w:rPr>
        <w:t>8.3.2</w:t>
      </w:r>
      <w:r>
        <w:rPr>
          <w:rFonts w:ascii="Times New Roman" w:hAnsi="Times New Roman" w:eastAsia="Times New Roman" w:cs="Times New Roman"/>
          <w:spacing w:val="32"/>
          <w:w w:val="101"/>
          <w:sz w:val="21"/>
          <w:szCs w:val="21"/>
        </w:rPr>
        <w:t xml:space="preserve"> </w:t>
      </w:r>
      <w:r>
        <w:rPr>
          <w:rFonts w:ascii="宋体" w:hAnsi="宋体" w:eastAsia="宋体" w:cs="宋体"/>
          <w:spacing w:val="1"/>
          <w:sz w:val="21"/>
          <w:szCs w:val="21"/>
        </w:rPr>
        <w:t>承包人采购的材料和工程设备，应保证</w:t>
      </w:r>
      <w:r>
        <w:rPr>
          <w:rFonts w:ascii="宋体" w:hAnsi="宋体" w:eastAsia="宋体" w:cs="宋体"/>
          <w:sz w:val="21"/>
          <w:szCs w:val="21"/>
        </w:rPr>
        <w:t xml:space="preserve">产品质量合格，承包人应在材料和工程设 </w:t>
      </w:r>
      <w:r>
        <w:rPr>
          <w:rFonts w:ascii="宋体" w:hAnsi="宋体" w:eastAsia="宋体" w:cs="宋体"/>
          <w:spacing w:val="-3"/>
          <w:sz w:val="21"/>
          <w:szCs w:val="21"/>
        </w:rPr>
        <w:t>备到货前</w:t>
      </w:r>
      <w:r>
        <w:rPr>
          <w:rFonts w:ascii="宋体" w:hAnsi="宋体" w:eastAsia="宋体" w:cs="宋体"/>
          <w:spacing w:val="-33"/>
          <w:sz w:val="21"/>
          <w:szCs w:val="21"/>
        </w:rPr>
        <w:t xml:space="preserve"> </w:t>
      </w:r>
      <w:r>
        <w:rPr>
          <w:rFonts w:ascii="Times New Roman" w:hAnsi="Times New Roman" w:eastAsia="Times New Roman" w:cs="Times New Roman"/>
          <w:spacing w:val="-3"/>
          <w:sz w:val="21"/>
          <w:szCs w:val="21"/>
        </w:rPr>
        <w:t>24</w:t>
      </w:r>
      <w:r>
        <w:rPr>
          <w:rFonts w:ascii="Times New Roman" w:hAnsi="Times New Roman" w:eastAsia="Times New Roman" w:cs="Times New Roman"/>
          <w:spacing w:val="15"/>
          <w:sz w:val="21"/>
          <w:szCs w:val="21"/>
        </w:rPr>
        <w:t xml:space="preserve"> </w:t>
      </w:r>
      <w:r>
        <w:rPr>
          <w:rFonts w:ascii="宋体" w:hAnsi="宋体" w:eastAsia="宋体" w:cs="宋体"/>
          <w:spacing w:val="-3"/>
          <w:sz w:val="21"/>
          <w:szCs w:val="21"/>
        </w:rPr>
        <w:t>小时通知监理人检验。承包人进行永久设备、材料的制造和生产的，</w:t>
      </w:r>
      <w:r>
        <w:rPr>
          <w:rFonts w:ascii="宋体" w:hAnsi="宋体" w:eastAsia="宋体" w:cs="宋体"/>
          <w:spacing w:val="-4"/>
          <w:sz w:val="21"/>
          <w:szCs w:val="21"/>
        </w:rPr>
        <w:t xml:space="preserve"> 应符合相</w:t>
      </w:r>
      <w:r>
        <w:rPr>
          <w:rFonts w:ascii="宋体" w:hAnsi="宋体" w:eastAsia="宋体" w:cs="宋体"/>
          <w:sz w:val="21"/>
          <w:szCs w:val="21"/>
        </w:rPr>
        <w:t xml:space="preserve"> 关质量标准， 并向监理人提交材料的样本以及有关资料，并应在使用该材料或工程设备之</w:t>
      </w:r>
    </w:p>
    <w:p w14:paraId="4A00C693">
      <w:pPr>
        <w:spacing w:before="1" w:line="220" w:lineRule="auto"/>
        <w:ind w:left="21"/>
        <w:rPr>
          <w:rFonts w:ascii="宋体" w:hAnsi="宋体" w:eastAsia="宋体" w:cs="宋体"/>
          <w:sz w:val="21"/>
          <w:szCs w:val="21"/>
        </w:rPr>
      </w:pPr>
      <w:r>
        <w:rPr>
          <w:rFonts w:ascii="宋体" w:hAnsi="宋体" w:eastAsia="宋体" w:cs="宋体"/>
          <w:spacing w:val="-4"/>
          <w:sz w:val="21"/>
          <w:szCs w:val="21"/>
        </w:rPr>
        <w:t>前获得监理人同意。</w:t>
      </w:r>
    </w:p>
    <w:p w14:paraId="150A5F54">
      <w:pPr>
        <w:spacing w:before="147" w:line="399" w:lineRule="exact"/>
        <w:ind w:left="494"/>
        <w:rPr>
          <w:rFonts w:ascii="宋体" w:hAnsi="宋体" w:eastAsia="宋体" w:cs="宋体"/>
          <w:sz w:val="21"/>
          <w:szCs w:val="21"/>
        </w:rPr>
      </w:pPr>
      <w:r>
        <w:rPr>
          <w:rFonts w:ascii="宋体" w:hAnsi="宋体" w:eastAsia="宋体" w:cs="宋体"/>
          <w:spacing w:val="1"/>
          <w:position w:val="14"/>
          <w:sz w:val="21"/>
          <w:szCs w:val="21"/>
        </w:rPr>
        <w:t>承包人采购的材料和工程设备不符合设计或有关标准要求时，承包人应在监理人要求</w:t>
      </w:r>
    </w:p>
    <w:p w14:paraId="069319DC">
      <w:pPr>
        <w:spacing w:before="1" w:line="219" w:lineRule="auto"/>
        <w:ind w:left="35"/>
        <w:rPr>
          <w:rFonts w:ascii="宋体" w:hAnsi="宋体" w:eastAsia="宋体" w:cs="宋体"/>
          <w:sz w:val="21"/>
          <w:szCs w:val="21"/>
        </w:rPr>
      </w:pPr>
      <w:r>
        <w:rPr>
          <w:rFonts w:ascii="宋体" w:hAnsi="宋体" w:eastAsia="宋体" w:cs="宋体"/>
          <w:spacing w:val="2"/>
          <w:sz w:val="21"/>
          <w:szCs w:val="21"/>
        </w:rPr>
        <w:t>的合理期限内将不符合设计或有关标准要求的材料、工程设备运出施工现场，并重新采购</w:t>
      </w:r>
    </w:p>
    <w:p w14:paraId="4DB1A2EB">
      <w:pPr>
        <w:spacing w:before="153" w:line="220" w:lineRule="auto"/>
        <w:ind w:left="20"/>
        <w:rPr>
          <w:rFonts w:ascii="宋体" w:hAnsi="宋体" w:eastAsia="宋体" w:cs="宋体"/>
          <w:sz w:val="21"/>
          <w:szCs w:val="21"/>
        </w:rPr>
      </w:pPr>
      <w:r>
        <w:rPr>
          <w:rFonts w:ascii="宋体" w:hAnsi="宋体" w:eastAsia="宋体" w:cs="宋体"/>
          <w:spacing w:val="-4"/>
          <w:sz w:val="21"/>
          <w:szCs w:val="21"/>
        </w:rPr>
        <w:t>符合要求的材料、工程设备，</w:t>
      </w:r>
      <w:r>
        <w:rPr>
          <w:rFonts w:ascii="宋体" w:hAnsi="宋体" w:eastAsia="宋体" w:cs="宋体"/>
          <w:spacing w:val="39"/>
          <w:sz w:val="21"/>
          <w:szCs w:val="21"/>
        </w:rPr>
        <w:t xml:space="preserve"> </w:t>
      </w:r>
      <w:r>
        <w:rPr>
          <w:rFonts w:ascii="宋体" w:hAnsi="宋体" w:eastAsia="宋体" w:cs="宋体"/>
          <w:spacing w:val="-4"/>
          <w:sz w:val="21"/>
          <w:szCs w:val="21"/>
        </w:rPr>
        <w:t>由此增加的费用和（或）延误的工期，由承包人</w:t>
      </w:r>
      <w:r>
        <w:rPr>
          <w:rFonts w:ascii="宋体" w:hAnsi="宋体" w:eastAsia="宋体" w:cs="宋体"/>
          <w:spacing w:val="-5"/>
          <w:sz w:val="21"/>
          <w:szCs w:val="21"/>
        </w:rPr>
        <w:t>承担。</w:t>
      </w:r>
    </w:p>
    <w:p w14:paraId="44E26CE0">
      <w:pPr>
        <w:spacing w:before="46" w:line="219" w:lineRule="auto"/>
        <w:ind w:left="16"/>
        <w:rPr>
          <w:rFonts w:ascii="黑体" w:hAnsi="黑体" w:eastAsia="黑体" w:cs="黑体"/>
          <w:sz w:val="24"/>
          <w:szCs w:val="24"/>
        </w:rPr>
      </w:pPr>
      <w:r>
        <w:rPr>
          <w:rFonts w:ascii="黑体" w:hAnsi="黑体" w:eastAsia="黑体" w:cs="黑体"/>
          <w:spacing w:val="-1"/>
          <w:sz w:val="24"/>
          <w:szCs w:val="24"/>
        </w:rPr>
        <w:t>8.4</w:t>
      </w:r>
      <w:r>
        <w:rPr>
          <w:rFonts w:ascii="黑体" w:hAnsi="黑体" w:eastAsia="黑体" w:cs="黑体"/>
          <w:spacing w:val="-53"/>
          <w:sz w:val="24"/>
          <w:szCs w:val="24"/>
        </w:rPr>
        <w:t xml:space="preserve"> </w:t>
      </w:r>
      <w:r>
        <w:rPr>
          <w:rFonts w:ascii="黑体" w:hAnsi="黑体" w:eastAsia="黑体" w:cs="黑体"/>
          <w:spacing w:val="-1"/>
          <w:sz w:val="24"/>
          <w:szCs w:val="24"/>
        </w:rPr>
        <w:t>材料与工程设备的保管与使用</w:t>
      </w:r>
    </w:p>
    <w:p w14:paraId="06A9978C">
      <w:pPr>
        <w:spacing w:before="129" w:line="220" w:lineRule="auto"/>
        <w:ind w:left="445"/>
        <w:rPr>
          <w:rFonts w:ascii="宋体" w:hAnsi="宋体" w:eastAsia="宋体" w:cs="宋体"/>
          <w:sz w:val="21"/>
          <w:szCs w:val="21"/>
        </w:rPr>
      </w:pPr>
      <w:r>
        <w:rPr>
          <w:rFonts w:ascii="Times New Roman" w:hAnsi="Times New Roman" w:eastAsia="Times New Roman" w:cs="Times New Roman"/>
          <w:spacing w:val="-1"/>
          <w:sz w:val="21"/>
          <w:szCs w:val="21"/>
        </w:rPr>
        <w:t xml:space="preserve">8.4.1 </w:t>
      </w:r>
      <w:r>
        <w:rPr>
          <w:rFonts w:ascii="宋体" w:hAnsi="宋体" w:eastAsia="宋体" w:cs="宋体"/>
          <w:spacing w:val="-1"/>
          <w:sz w:val="21"/>
          <w:szCs w:val="21"/>
        </w:rPr>
        <w:t>发包人供应材料与工程设备的保管与使用</w:t>
      </w:r>
    </w:p>
    <w:p w14:paraId="2189D658">
      <w:pPr>
        <w:spacing w:before="148" w:line="352" w:lineRule="auto"/>
        <w:ind w:left="18" w:right="158" w:firstLine="426"/>
        <w:rPr>
          <w:rFonts w:ascii="宋体" w:hAnsi="宋体" w:eastAsia="宋体" w:cs="宋体"/>
          <w:sz w:val="21"/>
          <w:szCs w:val="21"/>
        </w:rPr>
      </w:pPr>
      <w:r>
        <w:rPr>
          <w:rFonts w:ascii="宋体" w:hAnsi="宋体" w:eastAsia="宋体" w:cs="宋体"/>
          <w:sz w:val="21"/>
          <w:szCs w:val="21"/>
        </w:rPr>
        <w:t>发包人供应的材料和工程设备， 承包人清点后由承包人妥善保管，保管费用由发包人</w:t>
      </w:r>
      <w:r>
        <w:rPr>
          <w:rFonts w:ascii="宋体" w:hAnsi="宋体" w:eastAsia="宋体" w:cs="宋体"/>
          <w:spacing w:val="5"/>
          <w:sz w:val="21"/>
          <w:szCs w:val="21"/>
        </w:rPr>
        <w:t xml:space="preserve"> </w:t>
      </w:r>
      <w:r>
        <w:rPr>
          <w:rFonts w:ascii="宋体" w:hAnsi="宋体" w:eastAsia="宋体" w:cs="宋体"/>
          <w:sz w:val="21"/>
          <w:szCs w:val="21"/>
        </w:rPr>
        <w:t>承担， 但已标价工程量清单或预算书已经列支或专用合同条款另有约定除外。因承包人原</w:t>
      </w:r>
      <w:r>
        <w:rPr>
          <w:rFonts w:ascii="宋体" w:hAnsi="宋体" w:eastAsia="宋体" w:cs="宋体"/>
          <w:spacing w:val="6"/>
          <w:sz w:val="21"/>
          <w:szCs w:val="21"/>
        </w:rPr>
        <w:t xml:space="preserve"> </w:t>
      </w:r>
      <w:r>
        <w:rPr>
          <w:rFonts w:ascii="宋体" w:hAnsi="宋体" w:eastAsia="宋体" w:cs="宋体"/>
          <w:spacing w:val="-2"/>
          <w:sz w:val="21"/>
          <w:szCs w:val="21"/>
        </w:rPr>
        <w:t>因发生丢失毁损的，由承包人负责赔偿； 监理人未通</w:t>
      </w:r>
      <w:r>
        <w:rPr>
          <w:rFonts w:ascii="宋体" w:hAnsi="宋体" w:eastAsia="宋体" w:cs="宋体"/>
          <w:spacing w:val="-3"/>
          <w:sz w:val="21"/>
          <w:szCs w:val="21"/>
        </w:rPr>
        <w:t>知承包人清点的， 承包人不负责材料</w:t>
      </w:r>
    </w:p>
    <w:p w14:paraId="60ED8A26">
      <w:pPr>
        <w:spacing w:before="1" w:line="220" w:lineRule="auto"/>
        <w:ind w:left="19"/>
        <w:rPr>
          <w:rFonts w:ascii="宋体" w:hAnsi="宋体" w:eastAsia="宋体" w:cs="宋体"/>
          <w:sz w:val="21"/>
          <w:szCs w:val="21"/>
        </w:rPr>
      </w:pPr>
      <w:r>
        <w:rPr>
          <w:rFonts w:ascii="宋体" w:hAnsi="宋体" w:eastAsia="宋体" w:cs="宋体"/>
          <w:spacing w:val="-7"/>
          <w:sz w:val="21"/>
          <w:szCs w:val="21"/>
        </w:rPr>
        <w:t>和工程设备的保管，</w:t>
      </w:r>
      <w:r>
        <w:rPr>
          <w:rFonts w:ascii="宋体" w:hAnsi="宋体" w:eastAsia="宋体" w:cs="宋体"/>
          <w:spacing w:val="46"/>
          <w:sz w:val="21"/>
          <w:szCs w:val="21"/>
        </w:rPr>
        <w:t xml:space="preserve"> </w:t>
      </w:r>
      <w:r>
        <w:rPr>
          <w:rFonts w:ascii="宋体" w:hAnsi="宋体" w:eastAsia="宋体" w:cs="宋体"/>
          <w:spacing w:val="-7"/>
          <w:sz w:val="21"/>
          <w:szCs w:val="21"/>
        </w:rPr>
        <w:t>由此导致丢失毁损的由发包人负责。</w:t>
      </w:r>
    </w:p>
    <w:p w14:paraId="176B5099">
      <w:pPr>
        <w:spacing w:before="152" w:line="399" w:lineRule="exact"/>
        <w:ind w:left="444"/>
        <w:rPr>
          <w:rFonts w:ascii="宋体" w:hAnsi="宋体" w:eastAsia="宋体" w:cs="宋体"/>
          <w:sz w:val="21"/>
          <w:szCs w:val="21"/>
        </w:rPr>
      </w:pPr>
      <w:r>
        <w:rPr>
          <w:rFonts w:ascii="宋体" w:hAnsi="宋体" w:eastAsia="宋体" w:cs="宋体"/>
          <w:position w:val="14"/>
          <w:sz w:val="21"/>
          <w:szCs w:val="21"/>
        </w:rPr>
        <w:t>发包人供应的材料和工程设备使用前，由承包人负责检验， 检验费用由发包人承担，</w:t>
      </w:r>
    </w:p>
    <w:p w14:paraId="7A07DCC2">
      <w:pPr>
        <w:spacing w:line="220" w:lineRule="auto"/>
        <w:ind w:left="21"/>
        <w:rPr>
          <w:rFonts w:ascii="宋体" w:hAnsi="宋体" w:eastAsia="宋体" w:cs="宋体"/>
          <w:sz w:val="21"/>
          <w:szCs w:val="21"/>
        </w:rPr>
      </w:pPr>
      <w:r>
        <w:rPr>
          <w:rFonts w:ascii="宋体" w:hAnsi="宋体" w:eastAsia="宋体" w:cs="宋体"/>
          <w:spacing w:val="-4"/>
          <w:sz w:val="21"/>
          <w:szCs w:val="21"/>
        </w:rPr>
        <w:t>不合格的不得使用。</w:t>
      </w:r>
    </w:p>
    <w:p w14:paraId="7909B0B4">
      <w:pPr>
        <w:spacing w:before="148" w:line="220" w:lineRule="auto"/>
        <w:ind w:left="445"/>
        <w:rPr>
          <w:rFonts w:ascii="宋体" w:hAnsi="宋体" w:eastAsia="宋体" w:cs="宋体"/>
          <w:sz w:val="21"/>
          <w:szCs w:val="21"/>
        </w:rPr>
      </w:pPr>
      <w:r>
        <w:rPr>
          <w:rFonts w:ascii="Times New Roman" w:hAnsi="Times New Roman" w:eastAsia="Times New Roman" w:cs="Times New Roman"/>
          <w:spacing w:val="-1"/>
          <w:sz w:val="21"/>
          <w:szCs w:val="21"/>
        </w:rPr>
        <w:t xml:space="preserve">8.4.2 </w:t>
      </w:r>
      <w:r>
        <w:rPr>
          <w:rFonts w:ascii="宋体" w:hAnsi="宋体" w:eastAsia="宋体" w:cs="宋体"/>
          <w:spacing w:val="-1"/>
          <w:sz w:val="21"/>
          <w:szCs w:val="21"/>
        </w:rPr>
        <w:t>承包人采购材料与工程设备的保管与使用</w:t>
      </w:r>
    </w:p>
    <w:p w14:paraId="6C61627E">
      <w:pPr>
        <w:spacing w:before="153" w:line="399" w:lineRule="exact"/>
        <w:ind w:left="441"/>
        <w:rPr>
          <w:rFonts w:ascii="宋体" w:hAnsi="宋体" w:eastAsia="宋体" w:cs="宋体"/>
          <w:sz w:val="21"/>
          <w:szCs w:val="21"/>
        </w:rPr>
      </w:pPr>
      <w:r>
        <w:rPr>
          <w:rFonts w:ascii="宋体" w:hAnsi="宋体" w:eastAsia="宋体" w:cs="宋体"/>
          <w:spacing w:val="3"/>
          <w:position w:val="14"/>
          <w:sz w:val="21"/>
          <w:szCs w:val="21"/>
        </w:rPr>
        <w:t>承包人采购的材料和工程设备由承包人妥善保管，保管费用由承包人承担。法律规定</w:t>
      </w:r>
    </w:p>
    <w:p w14:paraId="667BD232">
      <w:pPr>
        <w:spacing w:before="1" w:line="219" w:lineRule="auto"/>
        <w:jc w:val="right"/>
        <w:rPr>
          <w:rFonts w:ascii="宋体" w:hAnsi="宋体" w:eastAsia="宋体" w:cs="宋体"/>
          <w:sz w:val="21"/>
          <w:szCs w:val="21"/>
        </w:rPr>
      </w:pPr>
      <w:r>
        <w:rPr>
          <w:rFonts w:ascii="宋体" w:hAnsi="宋体" w:eastAsia="宋体" w:cs="宋体"/>
          <w:spacing w:val="-1"/>
          <w:sz w:val="21"/>
          <w:szCs w:val="21"/>
        </w:rPr>
        <w:t>材料和工程设备使用前必须进行检验或试验的， 承包人应按监理人的要求进行检验或试验，</w:t>
      </w:r>
    </w:p>
    <w:p w14:paraId="3DB99A8F">
      <w:pPr>
        <w:spacing w:line="219" w:lineRule="auto"/>
        <w:rPr>
          <w:rFonts w:ascii="宋体" w:hAnsi="宋体" w:eastAsia="宋体" w:cs="宋体"/>
          <w:sz w:val="21"/>
          <w:szCs w:val="21"/>
        </w:rPr>
        <w:sectPr>
          <w:footerReference r:id="rId111" w:type="default"/>
          <w:pgSz w:w="11905" w:h="16839"/>
          <w:pgMar w:top="1431" w:right="1633" w:bottom="1004" w:left="1785" w:header="0" w:footer="828" w:gutter="0"/>
          <w:pgNumType w:fmt="decimal"/>
          <w:cols w:space="720" w:num="1"/>
        </w:sectPr>
      </w:pPr>
    </w:p>
    <w:p w14:paraId="16FC967B">
      <w:pPr>
        <w:spacing w:before="148" w:line="221" w:lineRule="auto"/>
        <w:ind w:left="18"/>
        <w:rPr>
          <w:rFonts w:ascii="宋体" w:hAnsi="宋体" w:eastAsia="宋体" w:cs="宋体"/>
          <w:sz w:val="21"/>
          <w:szCs w:val="21"/>
        </w:rPr>
      </w:pPr>
      <w:r>
        <w:rPr>
          <w:rFonts w:ascii="宋体" w:hAnsi="宋体" w:eastAsia="宋体" w:cs="宋体"/>
          <w:spacing w:val="-1"/>
          <w:sz w:val="21"/>
          <w:szCs w:val="21"/>
        </w:rPr>
        <w:t>检验或试验费用由承包人承担，不合格的不得使用。</w:t>
      </w:r>
    </w:p>
    <w:p w14:paraId="4B802241">
      <w:pPr>
        <w:spacing w:before="147" w:line="403" w:lineRule="exact"/>
        <w:ind w:left="444"/>
        <w:rPr>
          <w:rFonts w:ascii="宋体" w:hAnsi="宋体" w:eastAsia="宋体" w:cs="宋体"/>
          <w:sz w:val="21"/>
          <w:szCs w:val="21"/>
        </w:rPr>
      </w:pPr>
      <w:r>
        <w:rPr>
          <w:rFonts w:ascii="宋体" w:hAnsi="宋体" w:eastAsia="宋体" w:cs="宋体"/>
          <w:spacing w:val="3"/>
          <w:position w:val="14"/>
          <w:sz w:val="21"/>
          <w:szCs w:val="21"/>
        </w:rPr>
        <w:t>发包人或监理人发现承包人使用不符合设计或有关标准要求的材料和工程设备时，有</w:t>
      </w:r>
    </w:p>
    <w:p w14:paraId="275992BF">
      <w:pPr>
        <w:spacing w:line="219" w:lineRule="auto"/>
        <w:ind w:left="17"/>
        <w:rPr>
          <w:rFonts w:ascii="宋体" w:hAnsi="宋体" w:eastAsia="宋体" w:cs="宋体"/>
          <w:sz w:val="21"/>
          <w:szCs w:val="21"/>
        </w:rPr>
      </w:pPr>
      <w:r>
        <w:rPr>
          <w:rFonts w:ascii="宋体" w:hAnsi="宋体" w:eastAsia="宋体" w:cs="宋体"/>
          <w:spacing w:val="-1"/>
          <w:sz w:val="21"/>
          <w:szCs w:val="21"/>
        </w:rPr>
        <w:t>权要求承包人进行修复、拆除或重新采购，由此增加的费用和（或）延误的工期，</w:t>
      </w:r>
      <w:r>
        <w:rPr>
          <w:rFonts w:ascii="宋体" w:hAnsi="宋体" w:eastAsia="宋体" w:cs="宋体"/>
          <w:spacing w:val="46"/>
          <w:sz w:val="21"/>
          <w:szCs w:val="21"/>
        </w:rPr>
        <w:t xml:space="preserve"> </w:t>
      </w:r>
      <w:r>
        <w:rPr>
          <w:rFonts w:ascii="宋体" w:hAnsi="宋体" w:eastAsia="宋体" w:cs="宋体"/>
          <w:spacing w:val="-1"/>
          <w:sz w:val="21"/>
          <w:szCs w:val="21"/>
        </w:rPr>
        <w:t>由承包</w:t>
      </w:r>
    </w:p>
    <w:p w14:paraId="016DF39C">
      <w:pPr>
        <w:spacing w:before="148" w:line="221" w:lineRule="auto"/>
        <w:ind w:left="20"/>
        <w:rPr>
          <w:rFonts w:ascii="宋体" w:hAnsi="宋体" w:eastAsia="宋体" w:cs="宋体"/>
          <w:sz w:val="21"/>
          <w:szCs w:val="21"/>
        </w:rPr>
      </w:pPr>
      <w:r>
        <w:rPr>
          <w:rFonts w:ascii="宋体" w:hAnsi="宋体" w:eastAsia="宋体" w:cs="宋体"/>
          <w:spacing w:val="-7"/>
          <w:sz w:val="21"/>
          <w:szCs w:val="21"/>
        </w:rPr>
        <w:t>人承担。</w:t>
      </w:r>
    </w:p>
    <w:p w14:paraId="2EF29404">
      <w:pPr>
        <w:spacing w:before="46" w:line="219" w:lineRule="auto"/>
        <w:ind w:left="16"/>
        <w:rPr>
          <w:rFonts w:ascii="黑体" w:hAnsi="黑体" w:eastAsia="黑体" w:cs="黑体"/>
          <w:sz w:val="24"/>
          <w:szCs w:val="24"/>
        </w:rPr>
      </w:pPr>
      <w:r>
        <w:rPr>
          <w:rFonts w:ascii="黑体" w:hAnsi="黑体" w:eastAsia="黑体" w:cs="黑体"/>
          <w:spacing w:val="-1"/>
          <w:sz w:val="24"/>
          <w:szCs w:val="24"/>
        </w:rPr>
        <w:t>8.5</w:t>
      </w:r>
      <w:r>
        <w:rPr>
          <w:rFonts w:ascii="黑体" w:hAnsi="黑体" w:eastAsia="黑体" w:cs="黑体"/>
          <w:spacing w:val="-50"/>
          <w:sz w:val="24"/>
          <w:szCs w:val="24"/>
        </w:rPr>
        <w:t xml:space="preserve"> </w:t>
      </w:r>
      <w:r>
        <w:rPr>
          <w:rFonts w:ascii="黑体" w:hAnsi="黑体" w:eastAsia="黑体" w:cs="黑体"/>
          <w:spacing w:val="-1"/>
          <w:sz w:val="24"/>
          <w:szCs w:val="24"/>
        </w:rPr>
        <w:t>禁止使用不合格的材料和工程设备</w:t>
      </w:r>
    </w:p>
    <w:p w14:paraId="76E0B259">
      <w:pPr>
        <w:spacing w:before="128" w:line="353" w:lineRule="auto"/>
        <w:ind w:left="20" w:right="182" w:firstLine="425"/>
        <w:rPr>
          <w:rFonts w:ascii="宋体" w:hAnsi="宋体" w:eastAsia="宋体" w:cs="宋体"/>
          <w:sz w:val="21"/>
          <w:szCs w:val="21"/>
        </w:rPr>
      </w:pPr>
      <w:r>
        <w:rPr>
          <w:rFonts w:ascii="Times New Roman" w:hAnsi="Times New Roman" w:eastAsia="Times New Roman" w:cs="Times New Roman"/>
          <w:spacing w:val="1"/>
          <w:sz w:val="21"/>
          <w:szCs w:val="21"/>
        </w:rPr>
        <w:t>8.5.1</w:t>
      </w:r>
      <w:r>
        <w:rPr>
          <w:rFonts w:ascii="Times New Roman" w:hAnsi="Times New Roman" w:eastAsia="Times New Roman" w:cs="Times New Roman"/>
          <w:spacing w:val="33"/>
          <w:w w:val="101"/>
          <w:sz w:val="21"/>
          <w:szCs w:val="21"/>
        </w:rPr>
        <w:t xml:space="preserve"> </w:t>
      </w:r>
      <w:r>
        <w:rPr>
          <w:rFonts w:ascii="宋体" w:hAnsi="宋体" w:eastAsia="宋体" w:cs="宋体"/>
          <w:spacing w:val="1"/>
          <w:sz w:val="21"/>
          <w:szCs w:val="21"/>
        </w:rPr>
        <w:t>监理人有权拒绝承包人提供的不合格</w:t>
      </w:r>
      <w:r>
        <w:rPr>
          <w:rFonts w:ascii="宋体" w:hAnsi="宋体" w:eastAsia="宋体" w:cs="宋体"/>
          <w:sz w:val="21"/>
          <w:szCs w:val="21"/>
        </w:rPr>
        <w:t xml:space="preserve">材料或工程设备，并要求承包人立即进行更 </w:t>
      </w:r>
      <w:r>
        <w:rPr>
          <w:rFonts w:ascii="宋体" w:hAnsi="宋体" w:eastAsia="宋体" w:cs="宋体"/>
          <w:spacing w:val="-2"/>
          <w:sz w:val="21"/>
          <w:szCs w:val="21"/>
        </w:rPr>
        <w:t>换。监理人应在更换后再次进行检查和检验， 由此</w:t>
      </w:r>
      <w:r>
        <w:rPr>
          <w:rFonts w:ascii="宋体" w:hAnsi="宋体" w:eastAsia="宋体" w:cs="宋体"/>
          <w:spacing w:val="-3"/>
          <w:sz w:val="21"/>
          <w:szCs w:val="21"/>
        </w:rPr>
        <w:t>增加的费用和（或） 延误的工期由承包</w:t>
      </w:r>
    </w:p>
    <w:p w14:paraId="18F1F0B7">
      <w:pPr>
        <w:spacing w:before="1" w:line="220" w:lineRule="auto"/>
        <w:ind w:left="20"/>
        <w:rPr>
          <w:rFonts w:ascii="宋体" w:hAnsi="宋体" w:eastAsia="宋体" w:cs="宋体"/>
          <w:sz w:val="21"/>
          <w:szCs w:val="21"/>
        </w:rPr>
      </w:pPr>
      <w:r>
        <w:rPr>
          <w:rFonts w:ascii="宋体" w:hAnsi="宋体" w:eastAsia="宋体" w:cs="宋体"/>
          <w:spacing w:val="-7"/>
          <w:sz w:val="21"/>
          <w:szCs w:val="21"/>
        </w:rPr>
        <w:t>人承担。</w:t>
      </w:r>
    </w:p>
    <w:p w14:paraId="3F0A38FF">
      <w:pPr>
        <w:spacing w:before="147" w:line="404" w:lineRule="exact"/>
        <w:ind w:left="445"/>
        <w:rPr>
          <w:rFonts w:ascii="宋体" w:hAnsi="宋体" w:eastAsia="宋体" w:cs="宋体"/>
          <w:sz w:val="21"/>
          <w:szCs w:val="21"/>
        </w:rPr>
      </w:pPr>
      <w:r>
        <w:rPr>
          <w:rFonts w:ascii="Times New Roman" w:hAnsi="Times New Roman" w:eastAsia="Times New Roman" w:cs="Times New Roman"/>
          <w:spacing w:val="1"/>
          <w:position w:val="14"/>
          <w:sz w:val="21"/>
          <w:szCs w:val="21"/>
        </w:rPr>
        <w:t>8.5.2</w:t>
      </w:r>
      <w:r>
        <w:rPr>
          <w:rFonts w:ascii="Times New Roman" w:hAnsi="Times New Roman" w:eastAsia="Times New Roman" w:cs="Times New Roman"/>
          <w:spacing w:val="33"/>
          <w:w w:val="101"/>
          <w:position w:val="14"/>
          <w:sz w:val="21"/>
          <w:szCs w:val="21"/>
        </w:rPr>
        <w:t xml:space="preserve"> </w:t>
      </w:r>
      <w:r>
        <w:rPr>
          <w:rFonts w:ascii="宋体" w:hAnsi="宋体" w:eastAsia="宋体" w:cs="宋体"/>
          <w:spacing w:val="1"/>
          <w:position w:val="14"/>
          <w:sz w:val="21"/>
          <w:szCs w:val="21"/>
        </w:rPr>
        <w:t>监理人发现承包人使用了不合格的材</w:t>
      </w:r>
      <w:r>
        <w:rPr>
          <w:rFonts w:ascii="宋体" w:hAnsi="宋体" w:eastAsia="宋体" w:cs="宋体"/>
          <w:position w:val="14"/>
          <w:sz w:val="21"/>
          <w:szCs w:val="21"/>
        </w:rPr>
        <w:t>料和工程设备，承包人应按照监理人的指示</w:t>
      </w:r>
    </w:p>
    <w:p w14:paraId="4BB67010">
      <w:pPr>
        <w:spacing w:line="219" w:lineRule="auto"/>
        <w:ind w:left="18"/>
        <w:rPr>
          <w:rFonts w:ascii="宋体" w:hAnsi="宋体" w:eastAsia="宋体" w:cs="宋体"/>
          <w:sz w:val="21"/>
          <w:szCs w:val="21"/>
        </w:rPr>
      </w:pPr>
      <w:r>
        <w:rPr>
          <w:rFonts w:ascii="宋体" w:hAnsi="宋体" w:eastAsia="宋体" w:cs="宋体"/>
          <w:spacing w:val="-7"/>
          <w:sz w:val="21"/>
          <w:szCs w:val="21"/>
        </w:rPr>
        <w:t>立即改正，</w:t>
      </w:r>
      <w:r>
        <w:rPr>
          <w:rFonts w:ascii="宋体" w:hAnsi="宋体" w:eastAsia="宋体" w:cs="宋体"/>
          <w:spacing w:val="61"/>
          <w:sz w:val="21"/>
          <w:szCs w:val="21"/>
        </w:rPr>
        <w:t xml:space="preserve"> </w:t>
      </w:r>
      <w:r>
        <w:rPr>
          <w:rFonts w:ascii="宋体" w:hAnsi="宋体" w:eastAsia="宋体" w:cs="宋体"/>
          <w:spacing w:val="-7"/>
          <w:sz w:val="21"/>
          <w:szCs w:val="21"/>
        </w:rPr>
        <w:t>并禁止在工程中继续使用不合格的材料和工程设备。</w:t>
      </w:r>
    </w:p>
    <w:p w14:paraId="3CF559EC">
      <w:pPr>
        <w:spacing w:before="149" w:line="275" w:lineRule="auto"/>
        <w:ind w:left="16" w:firstLine="429"/>
        <w:rPr>
          <w:rFonts w:ascii="黑体" w:hAnsi="黑体" w:eastAsia="黑体" w:cs="黑体"/>
          <w:sz w:val="24"/>
          <w:szCs w:val="24"/>
        </w:rPr>
      </w:pPr>
      <w:r>
        <w:rPr>
          <w:rFonts w:ascii="Times New Roman" w:hAnsi="Times New Roman" w:eastAsia="Times New Roman" w:cs="Times New Roman"/>
          <w:sz w:val="21"/>
          <w:szCs w:val="21"/>
        </w:rPr>
        <w:t>8.5.3</w:t>
      </w:r>
      <w:r>
        <w:rPr>
          <w:rFonts w:ascii="Times New Roman" w:hAnsi="Times New Roman" w:eastAsia="Times New Roman" w:cs="Times New Roman"/>
          <w:spacing w:val="47"/>
          <w:w w:val="101"/>
          <w:sz w:val="21"/>
          <w:szCs w:val="21"/>
        </w:rPr>
        <w:t xml:space="preserve"> </w:t>
      </w:r>
      <w:r>
        <w:rPr>
          <w:rFonts w:ascii="宋体" w:hAnsi="宋体" w:eastAsia="宋体" w:cs="宋体"/>
          <w:sz w:val="21"/>
          <w:szCs w:val="21"/>
        </w:rPr>
        <w:t>发包人提供的材料或工程设备不符合合同要求的，承包人有权拒绝，并可要求发  包人更换，由此增加的费用和（或） 延误的工期由发包</w:t>
      </w:r>
      <w:r>
        <w:rPr>
          <w:rFonts w:ascii="宋体" w:hAnsi="宋体" w:eastAsia="宋体" w:cs="宋体"/>
          <w:spacing w:val="-1"/>
          <w:sz w:val="21"/>
          <w:szCs w:val="21"/>
        </w:rPr>
        <w:t>人承担，并支付承包人合理的利润。</w:t>
      </w:r>
      <w:r>
        <w:rPr>
          <w:rFonts w:ascii="宋体" w:hAnsi="宋体" w:eastAsia="宋体" w:cs="宋体"/>
          <w:sz w:val="21"/>
          <w:szCs w:val="21"/>
        </w:rPr>
        <w:t xml:space="preserve"> </w:t>
      </w:r>
      <w:r>
        <w:rPr>
          <w:rFonts w:ascii="黑体" w:hAnsi="黑体" w:eastAsia="黑体" w:cs="黑体"/>
          <w:spacing w:val="-3"/>
          <w:sz w:val="24"/>
          <w:szCs w:val="24"/>
        </w:rPr>
        <w:t>8.6</w:t>
      </w:r>
      <w:r>
        <w:rPr>
          <w:rFonts w:ascii="黑体" w:hAnsi="黑体" w:eastAsia="黑体" w:cs="黑体"/>
          <w:spacing w:val="12"/>
          <w:sz w:val="24"/>
          <w:szCs w:val="24"/>
        </w:rPr>
        <w:t xml:space="preserve"> </w:t>
      </w:r>
      <w:r>
        <w:rPr>
          <w:rFonts w:ascii="黑体" w:hAnsi="黑体" w:eastAsia="黑体" w:cs="黑体"/>
          <w:spacing w:val="-3"/>
          <w:sz w:val="24"/>
          <w:szCs w:val="24"/>
        </w:rPr>
        <w:t>样品</w:t>
      </w:r>
    </w:p>
    <w:p w14:paraId="48289249">
      <w:pPr>
        <w:spacing w:before="126" w:line="221" w:lineRule="auto"/>
        <w:ind w:left="445"/>
        <w:rPr>
          <w:rFonts w:ascii="宋体" w:hAnsi="宋体" w:eastAsia="宋体" w:cs="宋体"/>
          <w:sz w:val="21"/>
          <w:szCs w:val="21"/>
        </w:rPr>
      </w:pPr>
      <w:r>
        <w:rPr>
          <w:rFonts w:ascii="Times New Roman" w:hAnsi="Times New Roman" w:eastAsia="Times New Roman" w:cs="Times New Roman"/>
          <w:spacing w:val="-2"/>
          <w:sz w:val="21"/>
          <w:szCs w:val="21"/>
        </w:rPr>
        <w:t xml:space="preserve">8.6.1 </w:t>
      </w:r>
      <w:r>
        <w:rPr>
          <w:rFonts w:ascii="宋体" w:hAnsi="宋体" w:eastAsia="宋体" w:cs="宋体"/>
          <w:spacing w:val="-2"/>
          <w:sz w:val="21"/>
          <w:szCs w:val="21"/>
        </w:rPr>
        <w:t>样品的报送与封存</w:t>
      </w:r>
    </w:p>
    <w:p w14:paraId="68459FE2">
      <w:pPr>
        <w:spacing w:before="152" w:line="398" w:lineRule="exact"/>
        <w:ind w:left="452"/>
        <w:rPr>
          <w:rFonts w:ascii="宋体" w:hAnsi="宋体" w:eastAsia="宋体" w:cs="宋体"/>
          <w:sz w:val="21"/>
          <w:szCs w:val="21"/>
        </w:rPr>
      </w:pPr>
      <w:r>
        <w:rPr>
          <w:rFonts w:ascii="宋体" w:hAnsi="宋体" w:eastAsia="宋体" w:cs="宋体"/>
          <w:position w:val="14"/>
          <w:sz w:val="21"/>
          <w:szCs w:val="21"/>
        </w:rPr>
        <w:t>需要承包人报送样品的材料或工程设备， 样品的种类、名称、规格、数量等要</w:t>
      </w:r>
      <w:r>
        <w:rPr>
          <w:rFonts w:ascii="宋体" w:hAnsi="宋体" w:eastAsia="宋体" w:cs="宋体"/>
          <w:spacing w:val="-1"/>
          <w:position w:val="14"/>
          <w:sz w:val="21"/>
          <w:szCs w:val="21"/>
        </w:rPr>
        <w:t>求均应</w:t>
      </w:r>
    </w:p>
    <w:p w14:paraId="22ADBD56">
      <w:pPr>
        <w:spacing w:before="1" w:line="220" w:lineRule="auto"/>
        <w:ind w:left="17"/>
        <w:rPr>
          <w:rFonts w:ascii="宋体" w:hAnsi="宋体" w:eastAsia="宋体" w:cs="宋体"/>
          <w:sz w:val="21"/>
          <w:szCs w:val="21"/>
        </w:rPr>
      </w:pPr>
      <w:r>
        <w:rPr>
          <w:rFonts w:ascii="宋体" w:hAnsi="宋体" w:eastAsia="宋体" w:cs="宋体"/>
          <w:spacing w:val="-2"/>
          <w:sz w:val="21"/>
          <w:szCs w:val="21"/>
        </w:rPr>
        <w:t>在专用合同条款中约定。样品的报送程序如下：</w:t>
      </w:r>
    </w:p>
    <w:p w14:paraId="6838A93B">
      <w:pPr>
        <w:spacing w:before="149" w:line="352" w:lineRule="auto"/>
        <w:ind w:left="18" w:right="5" w:firstLine="429"/>
        <w:rPr>
          <w:rFonts w:ascii="宋体" w:hAnsi="宋体" w:eastAsia="宋体" w:cs="宋体"/>
          <w:sz w:val="21"/>
          <w:szCs w:val="21"/>
        </w:rPr>
      </w:pPr>
      <w:r>
        <w:rPr>
          <w:rFonts w:ascii="宋体" w:hAnsi="宋体" w:eastAsia="宋体" w:cs="宋体"/>
          <w:sz w:val="21"/>
          <w:szCs w:val="21"/>
        </w:rPr>
        <w:t>（</w:t>
      </w:r>
      <w:r>
        <w:rPr>
          <w:rFonts w:ascii="Times New Roman" w:hAnsi="Times New Roman" w:eastAsia="Times New Roman" w:cs="Times New Roman"/>
          <w:sz w:val="21"/>
          <w:szCs w:val="21"/>
        </w:rPr>
        <w:t>1</w:t>
      </w:r>
      <w:r>
        <w:rPr>
          <w:rFonts w:ascii="宋体" w:hAnsi="宋体" w:eastAsia="宋体" w:cs="宋体"/>
          <w:sz w:val="21"/>
          <w:szCs w:val="21"/>
        </w:rPr>
        <w:t xml:space="preserve">）承包人应在计划采购前 </w:t>
      </w:r>
      <w:r>
        <w:rPr>
          <w:rFonts w:ascii="Times New Roman" w:hAnsi="Times New Roman" w:eastAsia="Times New Roman" w:cs="Times New Roman"/>
          <w:sz w:val="21"/>
          <w:szCs w:val="21"/>
        </w:rPr>
        <w:t xml:space="preserve">28  </w:t>
      </w:r>
      <w:r>
        <w:rPr>
          <w:rFonts w:ascii="宋体" w:hAnsi="宋体" w:eastAsia="宋体" w:cs="宋体"/>
          <w:sz w:val="21"/>
          <w:szCs w:val="21"/>
        </w:rPr>
        <w:t>天向监理人报送样品。承包</w:t>
      </w:r>
      <w:r>
        <w:rPr>
          <w:rFonts w:ascii="宋体" w:hAnsi="宋体" w:eastAsia="宋体" w:cs="宋体"/>
          <w:spacing w:val="-1"/>
          <w:sz w:val="21"/>
          <w:szCs w:val="21"/>
        </w:rPr>
        <w:t xml:space="preserve">人报送的样品均应来自供  </w:t>
      </w:r>
      <w:r>
        <w:rPr>
          <w:rFonts w:ascii="宋体" w:hAnsi="宋体" w:eastAsia="宋体" w:cs="宋体"/>
          <w:spacing w:val="2"/>
          <w:sz w:val="21"/>
          <w:szCs w:val="21"/>
        </w:rPr>
        <w:t>应材料的实际生产地，且提供的样品的规格、数量足以表明材料或工程设备的质量、型号、</w:t>
      </w:r>
    </w:p>
    <w:p w14:paraId="5E0B08C8">
      <w:pPr>
        <w:spacing w:line="220" w:lineRule="auto"/>
        <w:ind w:left="17"/>
        <w:rPr>
          <w:rFonts w:ascii="宋体" w:hAnsi="宋体" w:eastAsia="宋体" w:cs="宋体"/>
          <w:sz w:val="21"/>
          <w:szCs w:val="21"/>
        </w:rPr>
      </w:pPr>
      <w:r>
        <w:rPr>
          <w:rFonts w:ascii="宋体" w:hAnsi="宋体" w:eastAsia="宋体" w:cs="宋体"/>
          <w:sz w:val="21"/>
          <w:szCs w:val="21"/>
        </w:rPr>
        <w:t>颜色、表面处理、质地、误差和其他要求的</w:t>
      </w:r>
      <w:r>
        <w:rPr>
          <w:rFonts w:ascii="宋体" w:hAnsi="宋体" w:eastAsia="宋体" w:cs="宋体"/>
          <w:spacing w:val="-1"/>
          <w:sz w:val="21"/>
          <w:szCs w:val="21"/>
        </w:rPr>
        <w:t>特征。</w:t>
      </w:r>
    </w:p>
    <w:p w14:paraId="623D0F53">
      <w:pPr>
        <w:spacing w:before="147" w:line="353" w:lineRule="auto"/>
        <w:ind w:left="23" w:right="19" w:firstLine="424"/>
        <w:rPr>
          <w:rFonts w:ascii="宋体" w:hAnsi="宋体" w:eastAsia="宋体" w:cs="宋体"/>
          <w:sz w:val="21"/>
          <w:szCs w:val="21"/>
        </w:rPr>
      </w:pPr>
      <w:r>
        <w:rPr>
          <w:rFonts w:ascii="宋体" w:hAnsi="宋体" w:eastAsia="宋体" w:cs="宋体"/>
          <w:spacing w:val="-1"/>
          <w:sz w:val="21"/>
          <w:szCs w:val="21"/>
        </w:rPr>
        <w:t>（</w:t>
      </w:r>
      <w:r>
        <w:rPr>
          <w:rFonts w:ascii="Times New Roman" w:hAnsi="Times New Roman" w:eastAsia="Times New Roman" w:cs="Times New Roman"/>
          <w:spacing w:val="-1"/>
          <w:sz w:val="21"/>
          <w:szCs w:val="21"/>
        </w:rPr>
        <w:t>2</w:t>
      </w:r>
      <w:r>
        <w:rPr>
          <w:rFonts w:ascii="宋体" w:hAnsi="宋体" w:eastAsia="宋体" w:cs="宋体"/>
          <w:spacing w:val="-1"/>
          <w:sz w:val="21"/>
          <w:szCs w:val="21"/>
        </w:rPr>
        <w:t>）承包人每次报送样品时应随附申报单，申报单应载明报送样品的</w:t>
      </w:r>
      <w:r>
        <w:rPr>
          <w:rFonts w:ascii="宋体" w:hAnsi="宋体" w:eastAsia="宋体" w:cs="宋体"/>
          <w:spacing w:val="-2"/>
          <w:sz w:val="21"/>
          <w:szCs w:val="21"/>
        </w:rPr>
        <w:t>相关数据和资料，</w:t>
      </w:r>
      <w:r>
        <w:rPr>
          <w:rFonts w:ascii="宋体" w:hAnsi="宋体" w:eastAsia="宋体" w:cs="宋体"/>
          <w:sz w:val="21"/>
          <w:szCs w:val="21"/>
        </w:rPr>
        <w:t xml:space="preserve"> </w:t>
      </w:r>
      <w:r>
        <w:rPr>
          <w:rFonts w:ascii="宋体" w:hAnsi="宋体" w:eastAsia="宋体" w:cs="宋体"/>
          <w:spacing w:val="3"/>
          <w:sz w:val="21"/>
          <w:szCs w:val="21"/>
        </w:rPr>
        <w:t>并标明每件样品对应的图纸号，预留监理人批复意见栏。监理人</w:t>
      </w:r>
      <w:r>
        <w:rPr>
          <w:rFonts w:ascii="宋体" w:hAnsi="宋体" w:eastAsia="宋体" w:cs="宋体"/>
          <w:spacing w:val="2"/>
          <w:sz w:val="21"/>
          <w:szCs w:val="21"/>
        </w:rPr>
        <w:t>应在收到承包人报送的样</w:t>
      </w:r>
    </w:p>
    <w:p w14:paraId="3E08E68D">
      <w:pPr>
        <w:spacing w:line="220" w:lineRule="auto"/>
        <w:ind w:left="35"/>
        <w:rPr>
          <w:rFonts w:ascii="宋体" w:hAnsi="宋体" w:eastAsia="宋体" w:cs="宋体"/>
          <w:sz w:val="21"/>
          <w:szCs w:val="21"/>
        </w:rPr>
      </w:pPr>
      <w:r>
        <w:rPr>
          <w:rFonts w:ascii="宋体" w:hAnsi="宋体" w:eastAsia="宋体" w:cs="宋体"/>
          <w:spacing w:val="-2"/>
          <w:sz w:val="21"/>
          <w:szCs w:val="21"/>
        </w:rPr>
        <w:t>品后</w:t>
      </w:r>
      <w:r>
        <w:rPr>
          <w:rFonts w:ascii="宋体" w:hAnsi="宋体" w:eastAsia="宋体" w:cs="宋体"/>
          <w:spacing w:val="-35"/>
          <w:sz w:val="21"/>
          <w:szCs w:val="21"/>
        </w:rPr>
        <w:t xml:space="preserve"> </w:t>
      </w:r>
      <w:r>
        <w:rPr>
          <w:rFonts w:ascii="Times New Roman" w:hAnsi="Times New Roman" w:eastAsia="Times New Roman" w:cs="Times New Roman"/>
          <w:spacing w:val="-2"/>
          <w:sz w:val="21"/>
          <w:szCs w:val="21"/>
        </w:rPr>
        <w:t xml:space="preserve">7 </w:t>
      </w:r>
      <w:r>
        <w:rPr>
          <w:rFonts w:ascii="宋体" w:hAnsi="宋体" w:eastAsia="宋体" w:cs="宋体"/>
          <w:spacing w:val="-2"/>
          <w:sz w:val="21"/>
          <w:szCs w:val="21"/>
        </w:rPr>
        <w:t>天向承包人回复经发包人签认的样品审批意见。</w:t>
      </w:r>
    </w:p>
    <w:p w14:paraId="727B09E0">
      <w:pPr>
        <w:spacing w:before="148" w:line="403" w:lineRule="exact"/>
        <w:ind w:left="447"/>
        <w:rPr>
          <w:rFonts w:ascii="宋体" w:hAnsi="宋体" w:eastAsia="宋体" w:cs="宋体"/>
          <w:sz w:val="21"/>
          <w:szCs w:val="21"/>
        </w:rPr>
      </w:pPr>
      <w:r>
        <w:rPr>
          <w:rFonts w:ascii="宋体" w:hAnsi="宋体" w:eastAsia="宋体" w:cs="宋体"/>
          <w:position w:val="14"/>
          <w:sz w:val="21"/>
          <w:szCs w:val="21"/>
        </w:rPr>
        <w:t>（</w:t>
      </w:r>
      <w:r>
        <w:rPr>
          <w:rFonts w:ascii="Times New Roman" w:hAnsi="Times New Roman" w:eastAsia="Times New Roman" w:cs="Times New Roman"/>
          <w:position w:val="14"/>
          <w:sz w:val="21"/>
          <w:szCs w:val="21"/>
        </w:rPr>
        <w:t>3</w:t>
      </w:r>
      <w:r>
        <w:rPr>
          <w:rFonts w:ascii="宋体" w:hAnsi="宋体" w:eastAsia="宋体" w:cs="宋体"/>
          <w:position w:val="14"/>
          <w:sz w:val="21"/>
          <w:szCs w:val="21"/>
        </w:rPr>
        <w:t>）经发包人和监理人审批确认的样品应按约定的方法封样，封存的样品作为检验工</w:t>
      </w:r>
    </w:p>
    <w:p w14:paraId="5A8FF452">
      <w:pPr>
        <w:spacing w:before="1" w:line="219" w:lineRule="auto"/>
        <w:ind w:left="17"/>
        <w:rPr>
          <w:rFonts w:ascii="宋体" w:hAnsi="宋体" w:eastAsia="宋体" w:cs="宋体"/>
          <w:sz w:val="21"/>
          <w:szCs w:val="21"/>
        </w:rPr>
      </w:pPr>
      <w:r>
        <w:rPr>
          <w:rFonts w:ascii="宋体" w:hAnsi="宋体" w:eastAsia="宋体" w:cs="宋体"/>
          <w:spacing w:val="-1"/>
          <w:sz w:val="21"/>
          <w:szCs w:val="21"/>
        </w:rPr>
        <w:t>程相关部分的标准之一。承包人在施工过程中不得使用与样品不符的材料或工程设备。</w:t>
      </w:r>
    </w:p>
    <w:p w14:paraId="03447F2D">
      <w:pPr>
        <w:spacing w:before="147" w:line="353" w:lineRule="auto"/>
        <w:ind w:left="21" w:right="180" w:firstLine="425"/>
        <w:rPr>
          <w:rFonts w:ascii="宋体" w:hAnsi="宋体" w:eastAsia="宋体" w:cs="宋体"/>
          <w:sz w:val="21"/>
          <w:szCs w:val="21"/>
        </w:rPr>
      </w:pPr>
      <w:r>
        <w:rPr>
          <w:rFonts w:ascii="宋体" w:hAnsi="宋体" w:eastAsia="宋体" w:cs="宋体"/>
          <w:spacing w:val="-1"/>
          <w:sz w:val="21"/>
          <w:szCs w:val="21"/>
        </w:rPr>
        <w:t>（</w:t>
      </w:r>
      <w:r>
        <w:rPr>
          <w:rFonts w:ascii="Times New Roman" w:hAnsi="Times New Roman" w:eastAsia="Times New Roman" w:cs="Times New Roman"/>
          <w:spacing w:val="-1"/>
          <w:sz w:val="21"/>
          <w:szCs w:val="21"/>
        </w:rPr>
        <w:t>4</w:t>
      </w:r>
      <w:r>
        <w:rPr>
          <w:rFonts w:ascii="宋体" w:hAnsi="宋体" w:eastAsia="宋体" w:cs="宋体"/>
          <w:spacing w:val="-1"/>
          <w:sz w:val="21"/>
          <w:szCs w:val="21"/>
        </w:rPr>
        <w:t>）发包人和监理人对样品的审批确认仅为确认相关材料或工程设备的特</w:t>
      </w:r>
      <w:r>
        <w:rPr>
          <w:rFonts w:ascii="宋体" w:hAnsi="宋体" w:eastAsia="宋体" w:cs="宋体"/>
          <w:spacing w:val="-2"/>
          <w:sz w:val="21"/>
          <w:szCs w:val="21"/>
        </w:rPr>
        <w:t>征或用途，</w:t>
      </w:r>
      <w:r>
        <w:rPr>
          <w:rFonts w:ascii="宋体" w:hAnsi="宋体" w:eastAsia="宋体" w:cs="宋体"/>
          <w:sz w:val="21"/>
          <w:szCs w:val="21"/>
        </w:rPr>
        <w:t xml:space="preserve"> 不得被理解为对合同的修改或改变，也并不减轻或免除承包人任何的责任和义务。 如果封</w:t>
      </w:r>
    </w:p>
    <w:p w14:paraId="1457FCEC">
      <w:pPr>
        <w:spacing w:before="1" w:line="219" w:lineRule="auto"/>
        <w:ind w:left="17"/>
        <w:rPr>
          <w:rFonts w:ascii="宋体" w:hAnsi="宋体" w:eastAsia="宋体" w:cs="宋体"/>
          <w:sz w:val="21"/>
          <w:szCs w:val="21"/>
        </w:rPr>
      </w:pPr>
      <w:r>
        <w:rPr>
          <w:rFonts w:ascii="宋体" w:hAnsi="宋体" w:eastAsia="宋体" w:cs="宋体"/>
          <w:spacing w:val="-1"/>
          <w:sz w:val="21"/>
          <w:szCs w:val="21"/>
        </w:rPr>
        <w:t>存的样品修改或改变了合同约定，合同当事人应当以书面协议予以确认。</w:t>
      </w:r>
    </w:p>
    <w:p w14:paraId="2E9CBE14">
      <w:pPr>
        <w:spacing w:before="148" w:line="221" w:lineRule="auto"/>
        <w:ind w:left="445"/>
        <w:rPr>
          <w:rFonts w:ascii="宋体" w:hAnsi="宋体" w:eastAsia="宋体" w:cs="宋体"/>
          <w:sz w:val="21"/>
          <w:szCs w:val="21"/>
        </w:rPr>
      </w:pPr>
      <w:r>
        <w:rPr>
          <w:rFonts w:ascii="Times New Roman" w:hAnsi="Times New Roman" w:eastAsia="Times New Roman" w:cs="Times New Roman"/>
          <w:spacing w:val="-1"/>
          <w:sz w:val="21"/>
          <w:szCs w:val="21"/>
        </w:rPr>
        <w:t xml:space="preserve">8.6.2 </w:t>
      </w:r>
      <w:r>
        <w:rPr>
          <w:rFonts w:ascii="宋体" w:hAnsi="宋体" w:eastAsia="宋体" w:cs="宋体"/>
          <w:spacing w:val="-1"/>
          <w:sz w:val="21"/>
          <w:szCs w:val="21"/>
        </w:rPr>
        <w:t>样品的保管</w:t>
      </w:r>
    </w:p>
    <w:p w14:paraId="12D6D483">
      <w:pPr>
        <w:spacing w:before="148" w:line="220" w:lineRule="auto"/>
        <w:ind w:left="442"/>
        <w:rPr>
          <w:rFonts w:ascii="宋体" w:hAnsi="宋体" w:eastAsia="宋体" w:cs="宋体"/>
          <w:sz w:val="21"/>
          <w:szCs w:val="21"/>
        </w:rPr>
      </w:pPr>
      <w:r>
        <w:rPr>
          <w:rFonts w:ascii="宋体" w:hAnsi="宋体" w:eastAsia="宋体" w:cs="宋体"/>
          <w:spacing w:val="3"/>
          <w:sz w:val="21"/>
          <w:szCs w:val="21"/>
        </w:rPr>
        <w:t>经批准的样品应由监理人负责封存于现场，承包人应在现场为保存样品提供适当和固</w:t>
      </w:r>
    </w:p>
    <w:p w14:paraId="7F208B70">
      <w:pPr>
        <w:spacing w:before="152" w:line="221" w:lineRule="auto"/>
        <w:ind w:left="23"/>
        <w:rPr>
          <w:rFonts w:ascii="宋体" w:hAnsi="宋体" w:eastAsia="宋体" w:cs="宋体"/>
          <w:sz w:val="21"/>
          <w:szCs w:val="21"/>
        </w:rPr>
      </w:pPr>
      <w:r>
        <w:rPr>
          <w:rFonts w:ascii="宋体" w:hAnsi="宋体" w:eastAsia="宋体" w:cs="宋体"/>
          <w:spacing w:val="-2"/>
          <w:sz w:val="21"/>
          <w:szCs w:val="21"/>
        </w:rPr>
        <w:t>定的场所并保持适当和良好的存储环境条件。</w:t>
      </w:r>
    </w:p>
    <w:p w14:paraId="3D02756E">
      <w:pPr>
        <w:spacing w:before="46" w:line="219" w:lineRule="auto"/>
        <w:ind w:left="16"/>
        <w:rPr>
          <w:rFonts w:ascii="黑体" w:hAnsi="黑体" w:eastAsia="黑体" w:cs="黑体"/>
          <w:sz w:val="24"/>
          <w:szCs w:val="24"/>
        </w:rPr>
      </w:pPr>
      <w:r>
        <w:rPr>
          <w:rFonts w:ascii="黑体" w:hAnsi="黑体" w:eastAsia="黑体" w:cs="黑体"/>
          <w:spacing w:val="-2"/>
          <w:sz w:val="24"/>
          <w:szCs w:val="24"/>
        </w:rPr>
        <w:t>8.7</w:t>
      </w:r>
      <w:r>
        <w:rPr>
          <w:rFonts w:ascii="黑体" w:hAnsi="黑体" w:eastAsia="黑体" w:cs="黑体"/>
          <w:spacing w:val="-43"/>
          <w:sz w:val="24"/>
          <w:szCs w:val="24"/>
        </w:rPr>
        <w:t xml:space="preserve"> </w:t>
      </w:r>
      <w:r>
        <w:rPr>
          <w:rFonts w:ascii="黑体" w:hAnsi="黑体" w:eastAsia="黑体" w:cs="黑体"/>
          <w:spacing w:val="-2"/>
          <w:sz w:val="24"/>
          <w:szCs w:val="24"/>
        </w:rPr>
        <w:t>材料与工程设备的替代</w:t>
      </w:r>
    </w:p>
    <w:p w14:paraId="39257A6C">
      <w:pPr>
        <w:spacing w:before="129" w:line="220" w:lineRule="auto"/>
        <w:ind w:left="445"/>
        <w:rPr>
          <w:rFonts w:ascii="宋体" w:hAnsi="宋体" w:eastAsia="宋体" w:cs="宋体"/>
          <w:sz w:val="21"/>
          <w:szCs w:val="21"/>
        </w:rPr>
      </w:pPr>
      <w:r>
        <w:rPr>
          <w:rFonts w:ascii="Times New Roman" w:hAnsi="Times New Roman" w:eastAsia="Times New Roman" w:cs="Times New Roman"/>
          <w:spacing w:val="-1"/>
          <w:sz w:val="21"/>
          <w:szCs w:val="21"/>
        </w:rPr>
        <w:t xml:space="preserve">8.7.1 </w:t>
      </w:r>
      <w:r>
        <w:rPr>
          <w:rFonts w:ascii="宋体" w:hAnsi="宋体" w:eastAsia="宋体" w:cs="宋体"/>
          <w:spacing w:val="-1"/>
          <w:sz w:val="21"/>
          <w:szCs w:val="21"/>
        </w:rPr>
        <w:t>出现下列情况需要使用替代材料和工程设备的，承包人应按照第</w:t>
      </w:r>
      <w:r>
        <w:rPr>
          <w:rFonts w:ascii="宋体" w:hAnsi="宋体" w:eastAsia="宋体" w:cs="宋体"/>
          <w:spacing w:val="-41"/>
          <w:sz w:val="21"/>
          <w:szCs w:val="21"/>
        </w:rPr>
        <w:t xml:space="preserve"> </w:t>
      </w:r>
      <w:r>
        <w:rPr>
          <w:rFonts w:ascii="Times New Roman" w:hAnsi="Times New Roman" w:eastAsia="Times New Roman" w:cs="Times New Roman"/>
          <w:spacing w:val="-1"/>
          <w:sz w:val="21"/>
          <w:szCs w:val="21"/>
        </w:rPr>
        <w:t>8</w:t>
      </w:r>
      <w:r>
        <w:rPr>
          <w:rFonts w:ascii="Times New Roman" w:hAnsi="Times New Roman" w:eastAsia="Times New Roman" w:cs="Times New Roman"/>
          <w:spacing w:val="-2"/>
          <w:sz w:val="21"/>
          <w:szCs w:val="21"/>
        </w:rPr>
        <w:t xml:space="preserve">.7.2 </w:t>
      </w:r>
      <w:r>
        <w:rPr>
          <w:rFonts w:ascii="宋体" w:hAnsi="宋体" w:eastAsia="宋体" w:cs="宋体"/>
          <w:spacing w:val="-2"/>
          <w:sz w:val="21"/>
          <w:szCs w:val="21"/>
        </w:rPr>
        <w:t>项约定的程</w:t>
      </w:r>
    </w:p>
    <w:p w14:paraId="3C4586E3">
      <w:pPr>
        <w:spacing w:before="148" w:line="221" w:lineRule="auto"/>
        <w:ind w:left="17"/>
        <w:rPr>
          <w:rFonts w:ascii="宋体" w:hAnsi="宋体" w:eastAsia="宋体" w:cs="宋体"/>
          <w:sz w:val="21"/>
          <w:szCs w:val="21"/>
        </w:rPr>
      </w:pPr>
      <w:r>
        <w:rPr>
          <w:rFonts w:ascii="宋体" w:hAnsi="宋体" w:eastAsia="宋体" w:cs="宋体"/>
          <w:spacing w:val="-10"/>
          <w:sz w:val="21"/>
          <w:szCs w:val="21"/>
        </w:rPr>
        <w:t>序执行：</w:t>
      </w:r>
    </w:p>
    <w:p w14:paraId="4C85FCED">
      <w:pPr>
        <w:spacing w:before="152" w:line="399" w:lineRule="exact"/>
        <w:ind w:left="447"/>
        <w:rPr>
          <w:rFonts w:ascii="宋体" w:hAnsi="宋体" w:eastAsia="宋体" w:cs="宋体"/>
          <w:sz w:val="21"/>
          <w:szCs w:val="21"/>
        </w:rPr>
      </w:pPr>
      <w:r>
        <w:rPr>
          <w:rFonts w:ascii="宋体" w:hAnsi="宋体" w:eastAsia="宋体" w:cs="宋体"/>
          <w:spacing w:val="-2"/>
          <w:position w:val="14"/>
          <w:sz w:val="21"/>
          <w:szCs w:val="21"/>
        </w:rPr>
        <w:t>（</w:t>
      </w:r>
      <w:r>
        <w:rPr>
          <w:rFonts w:ascii="Times New Roman" w:hAnsi="Times New Roman" w:eastAsia="Times New Roman" w:cs="Times New Roman"/>
          <w:spacing w:val="-2"/>
          <w:position w:val="14"/>
          <w:sz w:val="21"/>
          <w:szCs w:val="21"/>
        </w:rPr>
        <w:t>1</w:t>
      </w:r>
      <w:r>
        <w:rPr>
          <w:rFonts w:ascii="宋体" w:hAnsi="宋体" w:eastAsia="宋体" w:cs="宋体"/>
          <w:spacing w:val="-2"/>
          <w:position w:val="14"/>
          <w:sz w:val="21"/>
          <w:szCs w:val="21"/>
        </w:rPr>
        <w:t>）基准日期后生效的法律规定禁止使用的；</w:t>
      </w:r>
    </w:p>
    <w:p w14:paraId="5A1B660C">
      <w:pPr>
        <w:spacing w:before="1" w:line="220" w:lineRule="auto"/>
        <w:ind w:left="447"/>
        <w:rPr>
          <w:rFonts w:ascii="宋体" w:hAnsi="宋体" w:eastAsia="宋体" w:cs="宋体"/>
          <w:sz w:val="21"/>
          <w:szCs w:val="21"/>
        </w:rPr>
      </w:pPr>
      <w:r>
        <w:rPr>
          <w:rFonts w:ascii="宋体" w:hAnsi="宋体" w:eastAsia="宋体" w:cs="宋体"/>
          <w:spacing w:val="-1"/>
          <w:sz w:val="21"/>
          <w:szCs w:val="21"/>
        </w:rPr>
        <w:t>（</w:t>
      </w:r>
      <w:r>
        <w:rPr>
          <w:rFonts w:ascii="Times New Roman" w:hAnsi="Times New Roman" w:eastAsia="Times New Roman" w:cs="Times New Roman"/>
          <w:spacing w:val="-1"/>
          <w:sz w:val="21"/>
          <w:szCs w:val="21"/>
        </w:rPr>
        <w:t>2</w:t>
      </w:r>
      <w:r>
        <w:rPr>
          <w:rFonts w:ascii="宋体" w:hAnsi="宋体" w:eastAsia="宋体" w:cs="宋体"/>
          <w:spacing w:val="-1"/>
          <w:sz w:val="21"/>
          <w:szCs w:val="21"/>
        </w:rPr>
        <w:t>）发包人要求使用替代品的；</w:t>
      </w:r>
    </w:p>
    <w:p w14:paraId="5BE84114">
      <w:pPr>
        <w:spacing w:line="220" w:lineRule="auto"/>
        <w:rPr>
          <w:rFonts w:ascii="宋体" w:hAnsi="宋体" w:eastAsia="宋体" w:cs="宋体"/>
          <w:sz w:val="21"/>
          <w:szCs w:val="21"/>
        </w:rPr>
        <w:sectPr>
          <w:footerReference r:id="rId112" w:type="default"/>
          <w:pgSz w:w="11905" w:h="16839"/>
          <w:pgMar w:top="1431" w:right="1611" w:bottom="1004" w:left="1785" w:header="0" w:footer="828" w:gutter="0"/>
          <w:pgNumType w:fmt="decimal"/>
          <w:cols w:space="720" w:num="1"/>
        </w:sectPr>
      </w:pPr>
    </w:p>
    <w:p w14:paraId="2C7205B5">
      <w:pPr>
        <w:spacing w:before="148" w:line="221" w:lineRule="auto"/>
        <w:ind w:left="447"/>
        <w:rPr>
          <w:rFonts w:ascii="宋体" w:hAnsi="宋体" w:eastAsia="宋体" w:cs="宋体"/>
          <w:sz w:val="21"/>
          <w:szCs w:val="21"/>
        </w:rPr>
      </w:pPr>
      <w:r>
        <w:rPr>
          <w:rFonts w:ascii="宋体" w:hAnsi="宋体" w:eastAsia="宋体" w:cs="宋体"/>
          <w:spacing w:val="-2"/>
          <w:sz w:val="21"/>
          <w:szCs w:val="21"/>
        </w:rPr>
        <w:t>（</w:t>
      </w:r>
      <w:r>
        <w:rPr>
          <w:rFonts w:ascii="Times New Roman" w:hAnsi="Times New Roman" w:eastAsia="Times New Roman" w:cs="Times New Roman"/>
          <w:spacing w:val="-2"/>
          <w:sz w:val="21"/>
          <w:szCs w:val="21"/>
        </w:rPr>
        <w:t>3</w:t>
      </w:r>
      <w:r>
        <w:rPr>
          <w:rFonts w:ascii="宋体" w:hAnsi="宋体" w:eastAsia="宋体" w:cs="宋体"/>
          <w:spacing w:val="-2"/>
          <w:sz w:val="21"/>
          <w:szCs w:val="21"/>
        </w:rPr>
        <w:t>）因其他原因必须使用替代品的。</w:t>
      </w:r>
    </w:p>
    <w:p w14:paraId="4DE72A5E">
      <w:pPr>
        <w:spacing w:before="147" w:line="220" w:lineRule="auto"/>
        <w:ind w:left="445"/>
        <w:rPr>
          <w:rFonts w:ascii="宋体" w:hAnsi="宋体" w:eastAsia="宋体" w:cs="宋体"/>
          <w:sz w:val="21"/>
          <w:szCs w:val="21"/>
        </w:rPr>
      </w:pPr>
      <w:r>
        <w:rPr>
          <w:rFonts w:ascii="Times New Roman" w:hAnsi="Times New Roman" w:eastAsia="Times New Roman" w:cs="Times New Roman"/>
          <w:spacing w:val="-1"/>
          <w:sz w:val="21"/>
          <w:szCs w:val="21"/>
        </w:rPr>
        <w:t xml:space="preserve">8.7.2 </w:t>
      </w:r>
      <w:r>
        <w:rPr>
          <w:rFonts w:ascii="宋体" w:hAnsi="宋体" w:eastAsia="宋体" w:cs="宋体"/>
          <w:spacing w:val="-1"/>
          <w:sz w:val="21"/>
          <w:szCs w:val="21"/>
        </w:rPr>
        <w:t>承包人应在使用替代材料和工程设备</w:t>
      </w:r>
      <w:r>
        <w:rPr>
          <w:rFonts w:ascii="宋体" w:hAnsi="宋体" w:eastAsia="宋体" w:cs="宋体"/>
          <w:spacing w:val="-29"/>
          <w:sz w:val="21"/>
          <w:szCs w:val="21"/>
        </w:rPr>
        <w:t xml:space="preserve"> </w:t>
      </w:r>
      <w:r>
        <w:rPr>
          <w:rFonts w:ascii="Times New Roman" w:hAnsi="Times New Roman" w:eastAsia="Times New Roman" w:cs="Times New Roman"/>
          <w:spacing w:val="-1"/>
          <w:sz w:val="21"/>
          <w:szCs w:val="21"/>
        </w:rPr>
        <w:t xml:space="preserve">28 </w:t>
      </w:r>
      <w:r>
        <w:rPr>
          <w:rFonts w:ascii="宋体" w:hAnsi="宋体" w:eastAsia="宋体" w:cs="宋体"/>
          <w:spacing w:val="-1"/>
          <w:sz w:val="21"/>
          <w:szCs w:val="21"/>
        </w:rPr>
        <w:t>天前书面通知监理人，并附下列文件：</w:t>
      </w:r>
    </w:p>
    <w:p w14:paraId="70162F9A">
      <w:pPr>
        <w:spacing w:before="153" w:line="219" w:lineRule="auto"/>
        <w:ind w:right="12"/>
        <w:jc w:val="right"/>
        <w:rPr>
          <w:rFonts w:ascii="宋体" w:hAnsi="宋体" w:eastAsia="宋体" w:cs="宋体"/>
          <w:sz w:val="21"/>
          <w:szCs w:val="21"/>
        </w:rPr>
      </w:pPr>
      <w:r>
        <w:rPr>
          <w:rFonts w:ascii="宋体" w:hAnsi="宋体" w:eastAsia="宋体" w:cs="宋体"/>
          <w:sz w:val="21"/>
          <w:szCs w:val="21"/>
        </w:rPr>
        <w:t>（</w:t>
      </w:r>
      <w:r>
        <w:rPr>
          <w:rFonts w:ascii="Times New Roman" w:hAnsi="Times New Roman" w:eastAsia="Times New Roman" w:cs="Times New Roman"/>
          <w:sz w:val="21"/>
          <w:szCs w:val="21"/>
        </w:rPr>
        <w:t>1</w:t>
      </w:r>
      <w:r>
        <w:rPr>
          <w:rFonts w:ascii="宋体" w:hAnsi="宋体" w:eastAsia="宋体" w:cs="宋体"/>
          <w:sz w:val="21"/>
          <w:szCs w:val="21"/>
        </w:rPr>
        <w:t>）被替代的材料和工程设备的名称、数量、规格、型号、品牌、性能、价</w:t>
      </w:r>
      <w:r>
        <w:rPr>
          <w:rFonts w:ascii="宋体" w:hAnsi="宋体" w:eastAsia="宋体" w:cs="宋体"/>
          <w:spacing w:val="-1"/>
          <w:sz w:val="21"/>
          <w:szCs w:val="21"/>
        </w:rPr>
        <w:t>格及其他</w:t>
      </w:r>
    </w:p>
    <w:p w14:paraId="3FE48D42">
      <w:pPr>
        <w:spacing w:before="150" w:line="221" w:lineRule="auto"/>
        <w:ind w:left="18"/>
        <w:rPr>
          <w:rFonts w:ascii="宋体" w:hAnsi="宋体" w:eastAsia="宋体" w:cs="宋体"/>
          <w:sz w:val="21"/>
          <w:szCs w:val="21"/>
        </w:rPr>
      </w:pPr>
      <w:r>
        <w:rPr>
          <w:rFonts w:ascii="宋体" w:hAnsi="宋体" w:eastAsia="宋体" w:cs="宋体"/>
          <w:spacing w:val="-9"/>
          <w:sz w:val="21"/>
          <w:szCs w:val="21"/>
        </w:rPr>
        <w:t>相关资料；</w:t>
      </w:r>
    </w:p>
    <w:p w14:paraId="559D36E3">
      <w:pPr>
        <w:spacing w:before="146" w:line="403" w:lineRule="exact"/>
        <w:ind w:left="447"/>
        <w:rPr>
          <w:rFonts w:ascii="宋体" w:hAnsi="宋体" w:eastAsia="宋体" w:cs="宋体"/>
          <w:sz w:val="21"/>
          <w:szCs w:val="21"/>
        </w:rPr>
      </w:pPr>
      <w:r>
        <w:rPr>
          <w:rFonts w:ascii="宋体" w:hAnsi="宋体" w:eastAsia="宋体" w:cs="宋体"/>
          <w:spacing w:val="-1"/>
          <w:position w:val="14"/>
          <w:sz w:val="21"/>
          <w:szCs w:val="21"/>
        </w:rPr>
        <w:t>（</w:t>
      </w:r>
      <w:r>
        <w:rPr>
          <w:rFonts w:ascii="Times New Roman" w:hAnsi="Times New Roman" w:eastAsia="Times New Roman" w:cs="Times New Roman"/>
          <w:spacing w:val="-1"/>
          <w:position w:val="14"/>
          <w:sz w:val="21"/>
          <w:szCs w:val="21"/>
        </w:rPr>
        <w:t>2</w:t>
      </w:r>
      <w:r>
        <w:rPr>
          <w:rFonts w:ascii="宋体" w:hAnsi="宋体" w:eastAsia="宋体" w:cs="宋体"/>
          <w:spacing w:val="-1"/>
          <w:position w:val="14"/>
          <w:sz w:val="21"/>
          <w:szCs w:val="21"/>
        </w:rPr>
        <w:t>）替代品的名称、数量、规格、型号、品牌、性能</w:t>
      </w:r>
      <w:r>
        <w:rPr>
          <w:rFonts w:ascii="宋体" w:hAnsi="宋体" w:eastAsia="宋体" w:cs="宋体"/>
          <w:spacing w:val="-2"/>
          <w:position w:val="14"/>
          <w:sz w:val="21"/>
          <w:szCs w:val="21"/>
        </w:rPr>
        <w:t>、价格及其他相关资料；</w:t>
      </w:r>
    </w:p>
    <w:p w14:paraId="1DF2AC87">
      <w:pPr>
        <w:spacing w:before="1" w:line="220" w:lineRule="auto"/>
        <w:ind w:left="447"/>
        <w:rPr>
          <w:rFonts w:ascii="宋体" w:hAnsi="宋体" w:eastAsia="宋体" w:cs="宋体"/>
          <w:sz w:val="21"/>
          <w:szCs w:val="21"/>
        </w:rPr>
      </w:pPr>
      <w:r>
        <w:rPr>
          <w:rFonts w:ascii="宋体" w:hAnsi="宋体" w:eastAsia="宋体" w:cs="宋体"/>
          <w:spacing w:val="-1"/>
          <w:sz w:val="21"/>
          <w:szCs w:val="21"/>
        </w:rPr>
        <w:t>（</w:t>
      </w:r>
      <w:r>
        <w:rPr>
          <w:rFonts w:ascii="Times New Roman" w:hAnsi="Times New Roman" w:eastAsia="Times New Roman" w:cs="Times New Roman"/>
          <w:spacing w:val="-1"/>
          <w:sz w:val="21"/>
          <w:szCs w:val="21"/>
        </w:rPr>
        <w:t>3</w:t>
      </w:r>
      <w:r>
        <w:rPr>
          <w:rFonts w:ascii="宋体" w:hAnsi="宋体" w:eastAsia="宋体" w:cs="宋体"/>
          <w:spacing w:val="-1"/>
          <w:sz w:val="21"/>
          <w:szCs w:val="21"/>
        </w:rPr>
        <w:t>）替代品与被替代产品之间的差异以及使用替代品</w:t>
      </w:r>
      <w:r>
        <w:rPr>
          <w:rFonts w:ascii="宋体" w:hAnsi="宋体" w:eastAsia="宋体" w:cs="宋体"/>
          <w:spacing w:val="-2"/>
          <w:sz w:val="21"/>
          <w:szCs w:val="21"/>
        </w:rPr>
        <w:t>可能对工程产生的影响；</w:t>
      </w:r>
    </w:p>
    <w:p w14:paraId="530A193D">
      <w:pPr>
        <w:spacing w:before="147" w:line="399" w:lineRule="exact"/>
        <w:ind w:left="447"/>
        <w:rPr>
          <w:rFonts w:ascii="宋体" w:hAnsi="宋体" w:eastAsia="宋体" w:cs="宋体"/>
          <w:sz w:val="21"/>
          <w:szCs w:val="21"/>
        </w:rPr>
      </w:pPr>
      <w:r>
        <w:rPr>
          <w:rFonts w:ascii="宋体" w:hAnsi="宋体" w:eastAsia="宋体" w:cs="宋体"/>
          <w:spacing w:val="-3"/>
          <w:position w:val="14"/>
          <w:sz w:val="21"/>
          <w:szCs w:val="21"/>
        </w:rPr>
        <w:t>（</w:t>
      </w:r>
      <w:r>
        <w:rPr>
          <w:rFonts w:ascii="Times New Roman" w:hAnsi="Times New Roman" w:eastAsia="Times New Roman" w:cs="Times New Roman"/>
          <w:spacing w:val="-3"/>
          <w:position w:val="14"/>
          <w:sz w:val="21"/>
          <w:szCs w:val="21"/>
        </w:rPr>
        <w:t>4</w:t>
      </w:r>
      <w:r>
        <w:rPr>
          <w:rFonts w:ascii="宋体" w:hAnsi="宋体" w:eastAsia="宋体" w:cs="宋体"/>
          <w:spacing w:val="-3"/>
          <w:position w:val="14"/>
          <w:sz w:val="21"/>
          <w:szCs w:val="21"/>
        </w:rPr>
        <w:t>）替代品与被替代产品的价格差异；</w:t>
      </w:r>
    </w:p>
    <w:p w14:paraId="4EDCBB3A">
      <w:pPr>
        <w:spacing w:line="220" w:lineRule="auto"/>
        <w:ind w:left="447"/>
        <w:rPr>
          <w:rFonts w:ascii="宋体" w:hAnsi="宋体" w:eastAsia="宋体" w:cs="宋体"/>
          <w:sz w:val="21"/>
          <w:szCs w:val="21"/>
        </w:rPr>
      </w:pPr>
      <w:r>
        <w:rPr>
          <w:rFonts w:ascii="宋体" w:hAnsi="宋体" w:eastAsia="宋体" w:cs="宋体"/>
          <w:spacing w:val="-3"/>
          <w:sz w:val="21"/>
          <w:szCs w:val="21"/>
        </w:rPr>
        <w:t>（</w:t>
      </w:r>
      <w:r>
        <w:rPr>
          <w:rFonts w:ascii="Times New Roman" w:hAnsi="Times New Roman" w:eastAsia="Times New Roman" w:cs="Times New Roman"/>
          <w:spacing w:val="-3"/>
          <w:sz w:val="21"/>
          <w:szCs w:val="21"/>
        </w:rPr>
        <w:t>5</w:t>
      </w:r>
      <w:r>
        <w:rPr>
          <w:rFonts w:ascii="宋体" w:hAnsi="宋体" w:eastAsia="宋体" w:cs="宋体"/>
          <w:spacing w:val="-3"/>
          <w:sz w:val="21"/>
          <w:szCs w:val="21"/>
        </w:rPr>
        <w:t>）使用替代品的理由和原因说明；</w:t>
      </w:r>
    </w:p>
    <w:p w14:paraId="75C7C7CD">
      <w:pPr>
        <w:spacing w:before="152" w:line="221" w:lineRule="auto"/>
        <w:ind w:left="447"/>
        <w:rPr>
          <w:rFonts w:ascii="宋体" w:hAnsi="宋体" w:eastAsia="宋体" w:cs="宋体"/>
          <w:sz w:val="21"/>
          <w:szCs w:val="21"/>
        </w:rPr>
      </w:pPr>
      <w:r>
        <w:rPr>
          <w:rFonts w:ascii="宋体" w:hAnsi="宋体" w:eastAsia="宋体" w:cs="宋体"/>
          <w:spacing w:val="-3"/>
          <w:sz w:val="21"/>
          <w:szCs w:val="21"/>
        </w:rPr>
        <w:t>（</w:t>
      </w:r>
      <w:r>
        <w:rPr>
          <w:rFonts w:ascii="Times New Roman" w:hAnsi="Times New Roman" w:eastAsia="Times New Roman" w:cs="Times New Roman"/>
          <w:spacing w:val="-3"/>
          <w:sz w:val="21"/>
          <w:szCs w:val="21"/>
        </w:rPr>
        <w:t>6</w:t>
      </w:r>
      <w:r>
        <w:rPr>
          <w:rFonts w:ascii="宋体" w:hAnsi="宋体" w:eastAsia="宋体" w:cs="宋体"/>
          <w:spacing w:val="-3"/>
          <w:sz w:val="21"/>
          <w:szCs w:val="21"/>
        </w:rPr>
        <w:t>）监理人要求的其他文件。</w:t>
      </w:r>
    </w:p>
    <w:p w14:paraId="75295774">
      <w:pPr>
        <w:spacing w:before="148" w:line="398" w:lineRule="exact"/>
        <w:ind w:right="1"/>
        <w:jc w:val="right"/>
        <w:rPr>
          <w:rFonts w:ascii="宋体" w:hAnsi="宋体" w:eastAsia="宋体" w:cs="宋体"/>
          <w:sz w:val="21"/>
          <w:szCs w:val="21"/>
        </w:rPr>
      </w:pPr>
      <w:r>
        <w:rPr>
          <w:rFonts w:ascii="宋体" w:hAnsi="宋体" w:eastAsia="宋体" w:cs="宋体"/>
          <w:spacing w:val="-4"/>
          <w:position w:val="14"/>
          <w:sz w:val="21"/>
          <w:szCs w:val="21"/>
        </w:rPr>
        <w:t xml:space="preserve">监理人应在收到通知后 </w:t>
      </w:r>
      <w:r>
        <w:rPr>
          <w:rFonts w:ascii="Times New Roman" w:hAnsi="Times New Roman" w:eastAsia="Times New Roman" w:cs="Times New Roman"/>
          <w:spacing w:val="-4"/>
          <w:position w:val="14"/>
          <w:sz w:val="21"/>
          <w:szCs w:val="21"/>
        </w:rPr>
        <w:t>14</w:t>
      </w:r>
      <w:r>
        <w:rPr>
          <w:rFonts w:ascii="Times New Roman" w:hAnsi="Times New Roman" w:eastAsia="Times New Roman" w:cs="Times New Roman"/>
          <w:spacing w:val="15"/>
          <w:position w:val="14"/>
          <w:sz w:val="21"/>
          <w:szCs w:val="21"/>
        </w:rPr>
        <w:t xml:space="preserve"> </w:t>
      </w:r>
      <w:r>
        <w:rPr>
          <w:rFonts w:ascii="宋体" w:hAnsi="宋体" w:eastAsia="宋体" w:cs="宋体"/>
          <w:spacing w:val="-4"/>
          <w:position w:val="14"/>
          <w:sz w:val="21"/>
          <w:szCs w:val="21"/>
        </w:rPr>
        <w:t>天内向承包人发出经发包人签认的书面指示； 监理人逾期发</w:t>
      </w:r>
    </w:p>
    <w:p w14:paraId="591CB4C2">
      <w:pPr>
        <w:spacing w:before="1" w:line="219" w:lineRule="auto"/>
        <w:ind w:left="36"/>
        <w:rPr>
          <w:rFonts w:ascii="宋体" w:hAnsi="宋体" w:eastAsia="宋体" w:cs="宋体"/>
          <w:sz w:val="21"/>
          <w:szCs w:val="21"/>
        </w:rPr>
      </w:pPr>
      <w:r>
        <w:rPr>
          <w:rFonts w:ascii="宋体" w:hAnsi="宋体" w:eastAsia="宋体" w:cs="宋体"/>
          <w:spacing w:val="-1"/>
          <w:sz w:val="21"/>
          <w:szCs w:val="21"/>
        </w:rPr>
        <w:t>出书面指示的，视为发包人和监理人同意使用替代品。</w:t>
      </w:r>
    </w:p>
    <w:p w14:paraId="13C20BE4">
      <w:pPr>
        <w:spacing w:before="152" w:line="351" w:lineRule="auto"/>
        <w:ind w:left="19" w:right="5" w:firstLine="426"/>
        <w:rPr>
          <w:rFonts w:ascii="宋体" w:hAnsi="宋体" w:eastAsia="宋体" w:cs="宋体"/>
          <w:sz w:val="21"/>
          <w:szCs w:val="21"/>
        </w:rPr>
      </w:pPr>
      <w:r>
        <w:rPr>
          <w:rFonts w:ascii="Times New Roman" w:hAnsi="Times New Roman" w:eastAsia="Times New Roman" w:cs="Times New Roman"/>
          <w:sz w:val="21"/>
          <w:szCs w:val="21"/>
        </w:rPr>
        <w:t>8.7.3</w:t>
      </w:r>
      <w:r>
        <w:rPr>
          <w:rFonts w:ascii="Times New Roman" w:hAnsi="Times New Roman" w:eastAsia="Times New Roman" w:cs="Times New Roman"/>
          <w:spacing w:val="54"/>
          <w:w w:val="101"/>
          <w:sz w:val="21"/>
          <w:szCs w:val="21"/>
        </w:rPr>
        <w:t xml:space="preserve"> </w:t>
      </w:r>
      <w:r>
        <w:rPr>
          <w:rFonts w:ascii="宋体" w:hAnsi="宋体" w:eastAsia="宋体" w:cs="宋体"/>
          <w:sz w:val="21"/>
          <w:szCs w:val="21"/>
        </w:rPr>
        <w:t xml:space="preserve">发包人认可使用替代材料和工程设备的，替代材料和工程设备的价格，按照已标 </w:t>
      </w:r>
      <w:r>
        <w:rPr>
          <w:rFonts w:ascii="宋体" w:hAnsi="宋体" w:eastAsia="宋体" w:cs="宋体"/>
          <w:spacing w:val="-2"/>
          <w:sz w:val="21"/>
          <w:szCs w:val="21"/>
        </w:rPr>
        <w:t>价工程量清单或预算书相同项目的价格认定； 无相同项目的，参</w:t>
      </w:r>
      <w:r>
        <w:rPr>
          <w:rFonts w:ascii="宋体" w:hAnsi="宋体" w:eastAsia="宋体" w:cs="宋体"/>
          <w:spacing w:val="-3"/>
          <w:sz w:val="21"/>
          <w:szCs w:val="21"/>
        </w:rPr>
        <w:t>考相似项目价格认定； 既</w:t>
      </w:r>
    </w:p>
    <w:p w14:paraId="744ED2DD">
      <w:pPr>
        <w:spacing w:before="1" w:line="219" w:lineRule="auto"/>
        <w:ind w:left="20"/>
        <w:rPr>
          <w:rFonts w:ascii="Times New Roman" w:hAnsi="Times New Roman" w:eastAsia="Times New Roman" w:cs="Times New Roman"/>
          <w:sz w:val="21"/>
          <w:szCs w:val="21"/>
        </w:rPr>
      </w:pPr>
      <w:r>
        <w:rPr>
          <w:rFonts w:ascii="宋体" w:hAnsi="宋体" w:eastAsia="宋体" w:cs="宋体"/>
          <w:spacing w:val="-3"/>
          <w:sz w:val="21"/>
          <w:szCs w:val="21"/>
        </w:rPr>
        <w:t>无相同项目也无相似项目的， 按照合理的成本与利润构成的原则，由合同当事人按照第</w:t>
      </w:r>
      <w:r>
        <w:rPr>
          <w:rFonts w:ascii="宋体" w:hAnsi="宋体" w:eastAsia="宋体" w:cs="宋体"/>
          <w:spacing w:val="-20"/>
          <w:sz w:val="21"/>
          <w:szCs w:val="21"/>
        </w:rPr>
        <w:t xml:space="preserve"> </w:t>
      </w:r>
      <w:r>
        <w:rPr>
          <w:rFonts w:ascii="Times New Roman" w:hAnsi="Times New Roman" w:eastAsia="Times New Roman" w:cs="Times New Roman"/>
          <w:spacing w:val="-3"/>
          <w:sz w:val="21"/>
          <w:szCs w:val="21"/>
        </w:rPr>
        <w:t>4.4</w:t>
      </w:r>
    </w:p>
    <w:p w14:paraId="4D316E0C">
      <w:pPr>
        <w:spacing w:before="153" w:line="219" w:lineRule="auto"/>
        <w:ind w:left="19"/>
        <w:rPr>
          <w:rFonts w:ascii="宋体" w:hAnsi="宋体" w:eastAsia="宋体" w:cs="宋体"/>
          <w:sz w:val="21"/>
          <w:szCs w:val="21"/>
        </w:rPr>
      </w:pPr>
      <w:r>
        <w:rPr>
          <w:rFonts w:ascii="宋体" w:hAnsi="宋体" w:eastAsia="宋体" w:cs="宋体"/>
          <w:spacing w:val="-2"/>
          <w:sz w:val="21"/>
          <w:szCs w:val="21"/>
        </w:rPr>
        <w:t>款〔商定或确定〕确定价格。</w:t>
      </w:r>
    </w:p>
    <w:p w14:paraId="7A37E2A1">
      <w:pPr>
        <w:spacing w:before="48" w:line="219" w:lineRule="auto"/>
        <w:ind w:left="16"/>
        <w:rPr>
          <w:rFonts w:ascii="黑体" w:hAnsi="黑体" w:eastAsia="黑体" w:cs="黑体"/>
          <w:sz w:val="24"/>
          <w:szCs w:val="24"/>
        </w:rPr>
      </w:pPr>
      <w:r>
        <w:rPr>
          <w:rFonts w:ascii="黑体" w:hAnsi="黑体" w:eastAsia="黑体" w:cs="黑体"/>
          <w:spacing w:val="-2"/>
          <w:sz w:val="24"/>
          <w:szCs w:val="24"/>
        </w:rPr>
        <w:t>8.8</w:t>
      </w:r>
      <w:r>
        <w:rPr>
          <w:rFonts w:ascii="黑体" w:hAnsi="黑体" w:eastAsia="黑体" w:cs="黑体"/>
          <w:spacing w:val="-45"/>
          <w:sz w:val="24"/>
          <w:szCs w:val="24"/>
        </w:rPr>
        <w:t xml:space="preserve"> </w:t>
      </w:r>
      <w:r>
        <w:rPr>
          <w:rFonts w:ascii="黑体" w:hAnsi="黑体" w:eastAsia="黑体" w:cs="黑体"/>
          <w:spacing w:val="-2"/>
          <w:sz w:val="24"/>
          <w:szCs w:val="24"/>
        </w:rPr>
        <w:t>施工设备和临时设施</w:t>
      </w:r>
    </w:p>
    <w:p w14:paraId="21B8E6C9">
      <w:pPr>
        <w:spacing w:before="129" w:line="220" w:lineRule="auto"/>
        <w:ind w:left="445"/>
        <w:rPr>
          <w:rFonts w:ascii="宋体" w:hAnsi="宋体" w:eastAsia="宋体" w:cs="宋体"/>
          <w:sz w:val="21"/>
          <w:szCs w:val="21"/>
        </w:rPr>
      </w:pPr>
      <w:r>
        <w:rPr>
          <w:rFonts w:ascii="Times New Roman" w:hAnsi="Times New Roman" w:eastAsia="Times New Roman" w:cs="Times New Roman"/>
          <w:spacing w:val="-1"/>
          <w:sz w:val="21"/>
          <w:szCs w:val="21"/>
        </w:rPr>
        <w:t xml:space="preserve">8.8.1 </w:t>
      </w:r>
      <w:r>
        <w:rPr>
          <w:rFonts w:ascii="宋体" w:hAnsi="宋体" w:eastAsia="宋体" w:cs="宋体"/>
          <w:spacing w:val="-1"/>
          <w:sz w:val="21"/>
          <w:szCs w:val="21"/>
        </w:rPr>
        <w:t>承包人提供的施工设备和临时设施</w:t>
      </w:r>
    </w:p>
    <w:p w14:paraId="1146CBE7">
      <w:pPr>
        <w:spacing w:before="149" w:line="352" w:lineRule="auto"/>
        <w:ind w:left="35" w:right="6" w:firstLine="405"/>
        <w:rPr>
          <w:rFonts w:ascii="宋体" w:hAnsi="宋体" w:eastAsia="宋体" w:cs="宋体"/>
          <w:sz w:val="21"/>
          <w:szCs w:val="21"/>
        </w:rPr>
      </w:pPr>
      <w:r>
        <w:rPr>
          <w:rFonts w:ascii="宋体" w:hAnsi="宋体" w:eastAsia="宋体" w:cs="宋体"/>
          <w:spacing w:val="3"/>
          <w:sz w:val="21"/>
          <w:szCs w:val="21"/>
        </w:rPr>
        <w:t xml:space="preserve">承包人应按合同进度计划的要求，及时配置施工设备和修建临时设施。进入施工场地 </w:t>
      </w:r>
      <w:r>
        <w:rPr>
          <w:rFonts w:ascii="宋体" w:hAnsi="宋体" w:eastAsia="宋体" w:cs="宋体"/>
          <w:sz w:val="21"/>
          <w:szCs w:val="21"/>
        </w:rPr>
        <w:t>的承包人设备需经监理人核查后才能投入使用。承包人更换合同约</w:t>
      </w:r>
      <w:r>
        <w:rPr>
          <w:rFonts w:ascii="宋体" w:hAnsi="宋体" w:eastAsia="宋体" w:cs="宋体"/>
          <w:spacing w:val="-1"/>
          <w:sz w:val="21"/>
          <w:szCs w:val="21"/>
        </w:rPr>
        <w:t>定的承包人设备的， 应</w:t>
      </w:r>
    </w:p>
    <w:p w14:paraId="4EF6E7EA">
      <w:pPr>
        <w:spacing w:before="1" w:line="220" w:lineRule="auto"/>
        <w:ind w:left="16"/>
        <w:rPr>
          <w:rFonts w:ascii="宋体" w:hAnsi="宋体" w:eastAsia="宋体" w:cs="宋体"/>
          <w:sz w:val="21"/>
          <w:szCs w:val="21"/>
        </w:rPr>
      </w:pPr>
      <w:r>
        <w:rPr>
          <w:rFonts w:ascii="宋体" w:hAnsi="宋体" w:eastAsia="宋体" w:cs="宋体"/>
          <w:spacing w:val="-3"/>
          <w:sz w:val="21"/>
          <w:szCs w:val="21"/>
        </w:rPr>
        <w:t>报监理人批准。</w:t>
      </w:r>
    </w:p>
    <w:p w14:paraId="478ECB93">
      <w:pPr>
        <w:spacing w:before="147" w:line="404" w:lineRule="exact"/>
        <w:ind w:right="6"/>
        <w:jc w:val="right"/>
        <w:rPr>
          <w:rFonts w:ascii="宋体" w:hAnsi="宋体" w:eastAsia="宋体" w:cs="宋体"/>
          <w:sz w:val="21"/>
          <w:szCs w:val="21"/>
        </w:rPr>
      </w:pPr>
      <w:r>
        <w:rPr>
          <w:rFonts w:ascii="宋体" w:hAnsi="宋体" w:eastAsia="宋体" w:cs="宋体"/>
          <w:spacing w:val="3"/>
          <w:position w:val="14"/>
          <w:sz w:val="21"/>
          <w:szCs w:val="21"/>
        </w:rPr>
        <w:t>除专用合同条款另有约定外，承包人应自行承担修建临时设施</w:t>
      </w:r>
      <w:r>
        <w:rPr>
          <w:rFonts w:ascii="宋体" w:hAnsi="宋体" w:eastAsia="宋体" w:cs="宋体"/>
          <w:spacing w:val="2"/>
          <w:position w:val="14"/>
          <w:sz w:val="21"/>
          <w:szCs w:val="21"/>
        </w:rPr>
        <w:t>的费用，需要临时占地</w:t>
      </w:r>
    </w:p>
    <w:p w14:paraId="398DE03C">
      <w:pPr>
        <w:spacing w:before="1" w:line="220" w:lineRule="auto"/>
        <w:ind w:left="35"/>
        <w:rPr>
          <w:rFonts w:ascii="宋体" w:hAnsi="宋体" w:eastAsia="宋体" w:cs="宋体"/>
          <w:sz w:val="21"/>
          <w:szCs w:val="21"/>
        </w:rPr>
      </w:pPr>
      <w:r>
        <w:rPr>
          <w:rFonts w:ascii="宋体" w:hAnsi="宋体" w:eastAsia="宋体" w:cs="宋体"/>
          <w:spacing w:val="-3"/>
          <w:sz w:val="21"/>
          <w:szCs w:val="21"/>
        </w:rPr>
        <w:t>的，应由发包人办理申请手续并承担相应费用。</w:t>
      </w:r>
    </w:p>
    <w:p w14:paraId="45EE7D3E">
      <w:pPr>
        <w:spacing w:before="147" w:line="220" w:lineRule="auto"/>
        <w:ind w:left="445"/>
        <w:rPr>
          <w:rFonts w:ascii="宋体" w:hAnsi="宋体" w:eastAsia="宋体" w:cs="宋体"/>
          <w:sz w:val="21"/>
          <w:szCs w:val="21"/>
        </w:rPr>
      </w:pPr>
      <w:r>
        <w:rPr>
          <w:rFonts w:ascii="Times New Roman" w:hAnsi="Times New Roman" w:eastAsia="Times New Roman" w:cs="Times New Roman"/>
          <w:spacing w:val="-1"/>
          <w:sz w:val="21"/>
          <w:szCs w:val="21"/>
        </w:rPr>
        <w:t xml:space="preserve">8.8.2 </w:t>
      </w:r>
      <w:r>
        <w:rPr>
          <w:rFonts w:ascii="宋体" w:hAnsi="宋体" w:eastAsia="宋体" w:cs="宋体"/>
          <w:spacing w:val="-1"/>
          <w:sz w:val="21"/>
          <w:szCs w:val="21"/>
        </w:rPr>
        <w:t>发包人提供的施工设备和临时设施</w:t>
      </w:r>
    </w:p>
    <w:p w14:paraId="2143EE86">
      <w:pPr>
        <w:spacing w:before="148" w:line="220" w:lineRule="auto"/>
        <w:ind w:left="444"/>
        <w:rPr>
          <w:rFonts w:ascii="宋体" w:hAnsi="宋体" w:eastAsia="宋体" w:cs="宋体"/>
          <w:sz w:val="21"/>
          <w:szCs w:val="21"/>
        </w:rPr>
      </w:pPr>
      <w:r>
        <w:rPr>
          <w:rFonts w:ascii="宋体" w:hAnsi="宋体" w:eastAsia="宋体" w:cs="宋体"/>
          <w:spacing w:val="-1"/>
          <w:sz w:val="21"/>
          <w:szCs w:val="21"/>
        </w:rPr>
        <w:t>发包人提供的施工设备或临时设施在专用合同条</w:t>
      </w:r>
      <w:r>
        <w:rPr>
          <w:rFonts w:ascii="宋体" w:hAnsi="宋体" w:eastAsia="宋体" w:cs="宋体"/>
          <w:spacing w:val="-2"/>
          <w:sz w:val="21"/>
          <w:szCs w:val="21"/>
        </w:rPr>
        <w:t>款中约定。</w:t>
      </w:r>
    </w:p>
    <w:p w14:paraId="7EE41B65">
      <w:pPr>
        <w:spacing w:before="153" w:line="221" w:lineRule="auto"/>
        <w:ind w:left="445"/>
        <w:rPr>
          <w:rFonts w:ascii="宋体" w:hAnsi="宋体" w:eastAsia="宋体" w:cs="宋体"/>
          <w:sz w:val="21"/>
          <w:szCs w:val="21"/>
        </w:rPr>
      </w:pPr>
      <w:r>
        <w:rPr>
          <w:rFonts w:ascii="Times New Roman" w:hAnsi="Times New Roman" w:eastAsia="Times New Roman" w:cs="Times New Roman"/>
          <w:spacing w:val="-1"/>
          <w:sz w:val="21"/>
          <w:szCs w:val="21"/>
        </w:rPr>
        <w:t xml:space="preserve">8.8.3 </w:t>
      </w:r>
      <w:r>
        <w:rPr>
          <w:rFonts w:ascii="宋体" w:hAnsi="宋体" w:eastAsia="宋体" w:cs="宋体"/>
          <w:spacing w:val="-1"/>
          <w:sz w:val="21"/>
          <w:szCs w:val="21"/>
        </w:rPr>
        <w:t>要求承包人增加或更换施工设备</w:t>
      </w:r>
    </w:p>
    <w:p w14:paraId="5680293B">
      <w:pPr>
        <w:spacing w:before="148" w:line="398" w:lineRule="exact"/>
        <w:ind w:right="6"/>
        <w:jc w:val="right"/>
        <w:rPr>
          <w:rFonts w:ascii="宋体" w:hAnsi="宋体" w:eastAsia="宋体" w:cs="宋体"/>
          <w:sz w:val="21"/>
          <w:szCs w:val="21"/>
        </w:rPr>
      </w:pPr>
      <w:r>
        <w:rPr>
          <w:rFonts w:ascii="宋体" w:hAnsi="宋体" w:eastAsia="宋体" w:cs="宋体"/>
          <w:spacing w:val="-2"/>
          <w:position w:val="14"/>
          <w:sz w:val="21"/>
          <w:szCs w:val="21"/>
        </w:rPr>
        <w:t>承包人使用的施工设备不能满足合同进度计划和</w:t>
      </w:r>
      <w:r>
        <w:rPr>
          <w:rFonts w:ascii="宋体" w:hAnsi="宋体" w:eastAsia="宋体" w:cs="宋体"/>
          <w:spacing w:val="-3"/>
          <w:position w:val="14"/>
          <w:sz w:val="21"/>
          <w:szCs w:val="21"/>
        </w:rPr>
        <w:t>（或） 质量要求时， 监理人有权要求</w:t>
      </w:r>
    </w:p>
    <w:p w14:paraId="27268D36">
      <w:pPr>
        <w:spacing w:before="1" w:line="220" w:lineRule="auto"/>
        <w:ind w:left="18"/>
        <w:rPr>
          <w:rFonts w:ascii="宋体" w:hAnsi="宋体" w:eastAsia="宋体" w:cs="宋体"/>
          <w:sz w:val="21"/>
          <w:szCs w:val="21"/>
        </w:rPr>
      </w:pPr>
      <w:r>
        <w:rPr>
          <w:rFonts w:ascii="宋体" w:hAnsi="宋体" w:eastAsia="宋体" w:cs="宋体"/>
          <w:spacing w:val="-2"/>
          <w:sz w:val="21"/>
          <w:szCs w:val="21"/>
        </w:rPr>
        <w:t>承包人增加或更换施工设备， 承包人应及时增加或更</w:t>
      </w:r>
      <w:r>
        <w:rPr>
          <w:rFonts w:ascii="宋体" w:hAnsi="宋体" w:eastAsia="宋体" w:cs="宋体"/>
          <w:spacing w:val="-3"/>
          <w:sz w:val="21"/>
          <w:szCs w:val="21"/>
        </w:rPr>
        <w:t>换，由此增加的费用和（或） 延误的</w:t>
      </w:r>
    </w:p>
    <w:p w14:paraId="2C223151">
      <w:pPr>
        <w:spacing w:before="152" w:line="221" w:lineRule="auto"/>
        <w:ind w:left="20"/>
        <w:rPr>
          <w:rFonts w:ascii="宋体" w:hAnsi="宋体" w:eastAsia="宋体" w:cs="宋体"/>
          <w:sz w:val="21"/>
          <w:szCs w:val="21"/>
        </w:rPr>
      </w:pPr>
      <w:r>
        <w:rPr>
          <w:rFonts w:ascii="宋体" w:hAnsi="宋体" w:eastAsia="宋体" w:cs="宋体"/>
          <w:spacing w:val="-4"/>
          <w:sz w:val="21"/>
          <w:szCs w:val="21"/>
        </w:rPr>
        <w:t>工期由承包人承担。</w:t>
      </w:r>
    </w:p>
    <w:p w14:paraId="51DD5604">
      <w:pPr>
        <w:spacing w:before="45" w:line="219" w:lineRule="auto"/>
        <w:ind w:left="16"/>
        <w:rPr>
          <w:rFonts w:ascii="黑体" w:hAnsi="黑体" w:eastAsia="黑体" w:cs="黑体"/>
          <w:sz w:val="24"/>
          <w:szCs w:val="24"/>
        </w:rPr>
      </w:pPr>
      <w:r>
        <w:rPr>
          <w:rFonts w:ascii="黑体" w:hAnsi="黑体" w:eastAsia="黑体" w:cs="黑体"/>
          <w:spacing w:val="-2"/>
          <w:sz w:val="24"/>
          <w:szCs w:val="24"/>
        </w:rPr>
        <w:t>8.9</w:t>
      </w:r>
      <w:r>
        <w:rPr>
          <w:rFonts w:ascii="黑体" w:hAnsi="黑体" w:eastAsia="黑体" w:cs="黑体"/>
          <w:spacing w:val="-45"/>
          <w:sz w:val="24"/>
          <w:szCs w:val="24"/>
        </w:rPr>
        <w:t xml:space="preserve"> </w:t>
      </w:r>
      <w:r>
        <w:rPr>
          <w:rFonts w:ascii="黑体" w:hAnsi="黑体" w:eastAsia="黑体" w:cs="黑体"/>
          <w:spacing w:val="-2"/>
          <w:sz w:val="24"/>
          <w:szCs w:val="24"/>
        </w:rPr>
        <w:t>材料与设备专用要求</w:t>
      </w:r>
    </w:p>
    <w:p w14:paraId="5F343E8C">
      <w:pPr>
        <w:spacing w:before="129" w:line="352" w:lineRule="auto"/>
        <w:ind w:left="18" w:right="11" w:firstLine="422"/>
        <w:rPr>
          <w:rFonts w:ascii="宋体" w:hAnsi="宋体" w:eastAsia="宋体" w:cs="宋体"/>
          <w:sz w:val="21"/>
          <w:szCs w:val="21"/>
        </w:rPr>
      </w:pPr>
      <w:r>
        <w:rPr>
          <w:rFonts w:ascii="宋体" w:hAnsi="宋体" w:eastAsia="宋体" w:cs="宋体"/>
          <w:spacing w:val="3"/>
          <w:sz w:val="21"/>
          <w:szCs w:val="21"/>
        </w:rPr>
        <w:t>承包人运入施工现场的材料、工程设备、施工设备以及在施工场地建设的临时</w:t>
      </w:r>
      <w:r>
        <w:rPr>
          <w:rFonts w:ascii="宋体" w:hAnsi="宋体" w:eastAsia="宋体" w:cs="宋体"/>
          <w:spacing w:val="2"/>
          <w:sz w:val="21"/>
          <w:szCs w:val="21"/>
        </w:rPr>
        <w:t>设施，</w:t>
      </w:r>
      <w:r>
        <w:rPr>
          <w:rFonts w:ascii="宋体" w:hAnsi="宋体" w:eastAsia="宋体" w:cs="宋体"/>
          <w:sz w:val="21"/>
          <w:szCs w:val="21"/>
        </w:rPr>
        <w:t xml:space="preserve"> </w:t>
      </w:r>
      <w:r>
        <w:rPr>
          <w:rFonts w:ascii="宋体" w:hAnsi="宋体" w:eastAsia="宋体" w:cs="宋体"/>
          <w:spacing w:val="-2"/>
          <w:sz w:val="21"/>
          <w:szCs w:val="21"/>
        </w:rPr>
        <w:t>包括备品备件、安装工具与资料， 必须专用于工程。</w:t>
      </w:r>
      <w:r>
        <w:rPr>
          <w:rFonts w:ascii="宋体" w:hAnsi="宋体" w:eastAsia="宋体" w:cs="宋体"/>
          <w:spacing w:val="-3"/>
          <w:sz w:val="21"/>
          <w:szCs w:val="21"/>
        </w:rPr>
        <w:t>未经发包人批准， 承包人不得运出施</w:t>
      </w:r>
      <w:r>
        <w:rPr>
          <w:rFonts w:ascii="宋体" w:hAnsi="宋体" w:eastAsia="宋体" w:cs="宋体"/>
          <w:sz w:val="21"/>
          <w:szCs w:val="21"/>
        </w:rPr>
        <w:t xml:space="preserve"> </w:t>
      </w:r>
      <w:r>
        <w:rPr>
          <w:rFonts w:ascii="宋体" w:hAnsi="宋体" w:eastAsia="宋体" w:cs="宋体"/>
          <w:spacing w:val="3"/>
          <w:sz w:val="21"/>
          <w:szCs w:val="21"/>
        </w:rPr>
        <w:t>工现场或挪作他用；经发包人批准，承包人可以根据施工进度计划撤走闲置</w:t>
      </w:r>
      <w:r>
        <w:rPr>
          <w:rFonts w:ascii="宋体" w:hAnsi="宋体" w:eastAsia="宋体" w:cs="宋体"/>
          <w:spacing w:val="2"/>
          <w:sz w:val="21"/>
          <w:szCs w:val="21"/>
        </w:rPr>
        <w:t>的施工设备和</w:t>
      </w:r>
    </w:p>
    <w:p w14:paraId="1ECFC481">
      <w:pPr>
        <w:spacing w:line="221" w:lineRule="auto"/>
        <w:ind w:left="19"/>
        <w:rPr>
          <w:rFonts w:ascii="宋体" w:hAnsi="宋体" w:eastAsia="宋体" w:cs="宋体"/>
          <w:sz w:val="21"/>
          <w:szCs w:val="21"/>
        </w:rPr>
      </w:pPr>
      <w:r>
        <w:rPr>
          <w:rFonts w:ascii="宋体" w:hAnsi="宋体" w:eastAsia="宋体" w:cs="宋体"/>
          <w:spacing w:val="-6"/>
          <w:sz w:val="21"/>
          <w:szCs w:val="21"/>
        </w:rPr>
        <w:t>其他物品。</w:t>
      </w:r>
    </w:p>
    <w:p w14:paraId="04A446F2">
      <w:pPr>
        <w:spacing w:before="172" w:line="219" w:lineRule="auto"/>
        <w:ind w:left="13"/>
        <w:rPr>
          <w:rFonts w:ascii="黑体" w:hAnsi="黑体" w:eastAsia="黑体" w:cs="黑体"/>
          <w:sz w:val="32"/>
          <w:szCs w:val="32"/>
        </w:rPr>
      </w:pPr>
      <w:r>
        <w:rPr>
          <w:rFonts w:ascii="黑体" w:hAnsi="黑体" w:eastAsia="黑体" w:cs="黑体"/>
          <w:sz w:val="32"/>
          <w:szCs w:val="32"/>
        </w:rPr>
        <w:t>9.试验与检验</w:t>
      </w:r>
    </w:p>
    <w:p w14:paraId="14831C8C">
      <w:pPr>
        <w:spacing w:line="219" w:lineRule="auto"/>
        <w:rPr>
          <w:rFonts w:ascii="黑体" w:hAnsi="黑体" w:eastAsia="黑体" w:cs="黑体"/>
          <w:sz w:val="32"/>
          <w:szCs w:val="32"/>
        </w:rPr>
        <w:sectPr>
          <w:footerReference r:id="rId113" w:type="default"/>
          <w:pgSz w:w="11905" w:h="16839"/>
          <w:pgMar w:top="1431" w:right="1785" w:bottom="1004" w:left="1785" w:header="0" w:footer="828" w:gutter="0"/>
          <w:pgNumType w:fmt="decimal"/>
          <w:cols w:space="720" w:num="1"/>
        </w:sectPr>
      </w:pPr>
    </w:p>
    <w:p w14:paraId="38465EBE">
      <w:pPr>
        <w:spacing w:before="48" w:line="218" w:lineRule="auto"/>
        <w:ind w:left="12"/>
        <w:rPr>
          <w:rFonts w:ascii="黑体" w:hAnsi="黑体" w:eastAsia="黑体" w:cs="黑体"/>
          <w:sz w:val="24"/>
          <w:szCs w:val="24"/>
        </w:rPr>
      </w:pPr>
      <w:r>
        <w:rPr>
          <w:rFonts w:ascii="黑体" w:hAnsi="黑体" w:eastAsia="黑体" w:cs="黑体"/>
          <w:spacing w:val="-2"/>
          <w:sz w:val="24"/>
          <w:szCs w:val="24"/>
        </w:rPr>
        <w:t>9.1</w:t>
      </w:r>
      <w:r>
        <w:rPr>
          <w:rFonts w:ascii="黑体" w:hAnsi="黑体" w:eastAsia="黑体" w:cs="黑体"/>
          <w:spacing w:val="-41"/>
          <w:sz w:val="24"/>
          <w:szCs w:val="24"/>
        </w:rPr>
        <w:t xml:space="preserve"> </w:t>
      </w:r>
      <w:r>
        <w:rPr>
          <w:rFonts w:ascii="黑体" w:hAnsi="黑体" w:eastAsia="黑体" w:cs="黑体"/>
          <w:spacing w:val="-2"/>
          <w:sz w:val="24"/>
          <w:szCs w:val="24"/>
        </w:rPr>
        <w:t>试验设备与试验人员</w:t>
      </w:r>
    </w:p>
    <w:p w14:paraId="1F75E0BF">
      <w:pPr>
        <w:spacing w:before="129" w:line="352" w:lineRule="auto"/>
        <w:ind w:left="18" w:right="176" w:firstLine="423"/>
        <w:rPr>
          <w:rFonts w:ascii="宋体" w:hAnsi="宋体" w:eastAsia="宋体" w:cs="宋体"/>
          <w:sz w:val="21"/>
          <w:szCs w:val="21"/>
        </w:rPr>
      </w:pPr>
      <w:r>
        <w:rPr>
          <w:rFonts w:ascii="Times New Roman" w:hAnsi="Times New Roman" w:eastAsia="Times New Roman" w:cs="Times New Roman"/>
          <w:spacing w:val="1"/>
          <w:sz w:val="21"/>
          <w:szCs w:val="21"/>
        </w:rPr>
        <w:t>9.1.1</w:t>
      </w:r>
      <w:r>
        <w:rPr>
          <w:rFonts w:ascii="Times New Roman" w:hAnsi="Times New Roman" w:eastAsia="Times New Roman" w:cs="Times New Roman"/>
          <w:spacing w:val="33"/>
          <w:sz w:val="21"/>
          <w:szCs w:val="21"/>
        </w:rPr>
        <w:t xml:space="preserve"> </w:t>
      </w:r>
      <w:r>
        <w:rPr>
          <w:rFonts w:ascii="宋体" w:hAnsi="宋体" w:eastAsia="宋体" w:cs="宋体"/>
          <w:spacing w:val="1"/>
          <w:sz w:val="21"/>
          <w:szCs w:val="21"/>
        </w:rPr>
        <w:t>承包人根据合同约定或监理人指示进行的现场材</w:t>
      </w:r>
      <w:r>
        <w:rPr>
          <w:rFonts w:ascii="宋体" w:hAnsi="宋体" w:eastAsia="宋体" w:cs="宋体"/>
          <w:sz w:val="21"/>
          <w:szCs w:val="21"/>
        </w:rPr>
        <w:t xml:space="preserve">料试验，应由承包人提供试验场 </w:t>
      </w:r>
      <w:r>
        <w:rPr>
          <w:rFonts w:ascii="宋体" w:hAnsi="宋体" w:eastAsia="宋体" w:cs="宋体"/>
          <w:spacing w:val="3"/>
          <w:sz w:val="21"/>
          <w:szCs w:val="21"/>
        </w:rPr>
        <w:t>所、试验人员、试验设备以及其他必要的试验条件。监理人在必要时可以使</w:t>
      </w:r>
      <w:r>
        <w:rPr>
          <w:rFonts w:ascii="宋体" w:hAnsi="宋体" w:eastAsia="宋体" w:cs="宋体"/>
          <w:spacing w:val="2"/>
          <w:sz w:val="21"/>
          <w:szCs w:val="21"/>
        </w:rPr>
        <w:t>用承包人提供</w:t>
      </w:r>
      <w:r>
        <w:rPr>
          <w:rFonts w:ascii="宋体" w:hAnsi="宋体" w:eastAsia="宋体" w:cs="宋体"/>
          <w:sz w:val="21"/>
          <w:szCs w:val="21"/>
        </w:rPr>
        <w:t xml:space="preserve"> </w:t>
      </w:r>
      <w:r>
        <w:rPr>
          <w:rFonts w:ascii="宋体" w:hAnsi="宋体" w:eastAsia="宋体" w:cs="宋体"/>
          <w:spacing w:val="3"/>
          <w:sz w:val="21"/>
          <w:szCs w:val="21"/>
        </w:rPr>
        <w:t>的试验场所、试验设备以及其他试验条件，进行以工程质量检查</w:t>
      </w:r>
      <w:r>
        <w:rPr>
          <w:rFonts w:ascii="宋体" w:hAnsi="宋体" w:eastAsia="宋体" w:cs="宋体"/>
          <w:spacing w:val="2"/>
          <w:sz w:val="21"/>
          <w:szCs w:val="21"/>
        </w:rPr>
        <w:t>为目的的材料复核试验，</w:t>
      </w:r>
    </w:p>
    <w:p w14:paraId="57606FDA">
      <w:pPr>
        <w:spacing w:line="220" w:lineRule="auto"/>
        <w:ind w:left="18"/>
        <w:rPr>
          <w:rFonts w:ascii="宋体" w:hAnsi="宋体" w:eastAsia="宋体" w:cs="宋体"/>
          <w:sz w:val="21"/>
          <w:szCs w:val="21"/>
        </w:rPr>
      </w:pPr>
      <w:r>
        <w:rPr>
          <w:rFonts w:ascii="宋体" w:hAnsi="宋体" w:eastAsia="宋体" w:cs="宋体"/>
          <w:spacing w:val="-3"/>
          <w:sz w:val="21"/>
          <w:szCs w:val="21"/>
        </w:rPr>
        <w:t>承包人应予以协助。</w:t>
      </w:r>
    </w:p>
    <w:p w14:paraId="5A159F1A">
      <w:pPr>
        <w:spacing w:before="147" w:line="403" w:lineRule="exact"/>
        <w:ind w:right="13"/>
        <w:jc w:val="right"/>
        <w:rPr>
          <w:rFonts w:ascii="宋体" w:hAnsi="宋体" w:eastAsia="宋体" w:cs="宋体"/>
          <w:sz w:val="21"/>
          <w:szCs w:val="21"/>
        </w:rPr>
      </w:pPr>
      <w:r>
        <w:rPr>
          <w:rFonts w:ascii="Times New Roman" w:hAnsi="Times New Roman" w:eastAsia="Times New Roman" w:cs="Times New Roman"/>
          <w:position w:val="14"/>
          <w:sz w:val="21"/>
          <w:szCs w:val="21"/>
        </w:rPr>
        <w:t>9.1.2</w:t>
      </w:r>
      <w:r>
        <w:rPr>
          <w:rFonts w:ascii="Times New Roman" w:hAnsi="Times New Roman" w:eastAsia="Times New Roman" w:cs="Times New Roman"/>
          <w:spacing w:val="33"/>
          <w:position w:val="14"/>
          <w:sz w:val="21"/>
          <w:szCs w:val="21"/>
        </w:rPr>
        <w:t xml:space="preserve"> </w:t>
      </w:r>
      <w:r>
        <w:rPr>
          <w:rFonts w:ascii="宋体" w:hAnsi="宋体" w:eastAsia="宋体" w:cs="宋体"/>
          <w:position w:val="14"/>
          <w:sz w:val="21"/>
          <w:szCs w:val="21"/>
        </w:rPr>
        <w:t>承包人应按专用合同条款的约定提供</w:t>
      </w:r>
      <w:r>
        <w:rPr>
          <w:rFonts w:ascii="宋体" w:hAnsi="宋体" w:eastAsia="宋体" w:cs="宋体"/>
          <w:spacing w:val="-1"/>
          <w:position w:val="14"/>
          <w:sz w:val="21"/>
          <w:szCs w:val="21"/>
        </w:rPr>
        <w:t>试验设备、取样装置、试验场所和试验条件，</w:t>
      </w:r>
    </w:p>
    <w:p w14:paraId="425F574D">
      <w:pPr>
        <w:spacing w:line="220" w:lineRule="auto"/>
        <w:ind w:left="23"/>
        <w:rPr>
          <w:rFonts w:ascii="宋体" w:hAnsi="宋体" w:eastAsia="宋体" w:cs="宋体"/>
          <w:sz w:val="21"/>
          <w:szCs w:val="21"/>
        </w:rPr>
      </w:pPr>
      <w:r>
        <w:rPr>
          <w:rFonts w:ascii="宋体" w:hAnsi="宋体" w:eastAsia="宋体" w:cs="宋体"/>
          <w:spacing w:val="-2"/>
          <w:sz w:val="21"/>
          <w:szCs w:val="21"/>
        </w:rPr>
        <w:t>并向监理人提交相应进场计划表。</w:t>
      </w:r>
    </w:p>
    <w:p w14:paraId="759AAF9F">
      <w:pPr>
        <w:spacing w:before="148" w:line="398" w:lineRule="exact"/>
        <w:ind w:left="441"/>
        <w:rPr>
          <w:rFonts w:ascii="宋体" w:hAnsi="宋体" w:eastAsia="宋体" w:cs="宋体"/>
          <w:sz w:val="21"/>
          <w:szCs w:val="21"/>
        </w:rPr>
      </w:pPr>
      <w:r>
        <w:rPr>
          <w:rFonts w:ascii="宋体" w:hAnsi="宋体" w:eastAsia="宋体" w:cs="宋体"/>
          <w:spacing w:val="3"/>
          <w:position w:val="14"/>
          <w:sz w:val="21"/>
          <w:szCs w:val="21"/>
        </w:rPr>
        <w:t>承包人配置的试验设备要符合相应试验规程的要求并经过具有资质的检测单位</w:t>
      </w:r>
      <w:r>
        <w:rPr>
          <w:rFonts w:ascii="宋体" w:hAnsi="宋体" w:eastAsia="宋体" w:cs="宋体"/>
          <w:spacing w:val="2"/>
          <w:position w:val="14"/>
          <w:sz w:val="21"/>
          <w:szCs w:val="21"/>
        </w:rPr>
        <w:t>检测，</w:t>
      </w:r>
    </w:p>
    <w:p w14:paraId="5DA40B5C">
      <w:pPr>
        <w:spacing w:before="1" w:line="220" w:lineRule="auto"/>
        <w:ind w:left="18"/>
        <w:rPr>
          <w:rFonts w:ascii="宋体" w:hAnsi="宋体" w:eastAsia="宋体" w:cs="宋体"/>
          <w:sz w:val="21"/>
          <w:szCs w:val="21"/>
        </w:rPr>
      </w:pPr>
      <w:r>
        <w:rPr>
          <w:rFonts w:ascii="宋体" w:hAnsi="宋体" w:eastAsia="宋体" w:cs="宋体"/>
          <w:spacing w:val="-5"/>
          <w:sz w:val="21"/>
          <w:szCs w:val="21"/>
        </w:rPr>
        <w:t>且在正式使用该试验设备前，</w:t>
      </w:r>
      <w:r>
        <w:rPr>
          <w:rFonts w:ascii="宋体" w:hAnsi="宋体" w:eastAsia="宋体" w:cs="宋体"/>
          <w:spacing w:val="35"/>
          <w:sz w:val="21"/>
          <w:szCs w:val="21"/>
        </w:rPr>
        <w:t xml:space="preserve"> </w:t>
      </w:r>
      <w:r>
        <w:rPr>
          <w:rFonts w:ascii="宋体" w:hAnsi="宋体" w:eastAsia="宋体" w:cs="宋体"/>
          <w:spacing w:val="-5"/>
          <w:sz w:val="21"/>
          <w:szCs w:val="21"/>
        </w:rPr>
        <w:t>需要经过监理人与承包人共同校定。</w:t>
      </w:r>
    </w:p>
    <w:p w14:paraId="5C995E9A">
      <w:pPr>
        <w:spacing w:before="151" w:line="274" w:lineRule="auto"/>
        <w:ind w:left="12" w:firstLine="428"/>
        <w:rPr>
          <w:rFonts w:ascii="黑体" w:hAnsi="黑体" w:eastAsia="黑体" w:cs="黑体"/>
          <w:sz w:val="24"/>
          <w:szCs w:val="24"/>
        </w:rPr>
      </w:pPr>
      <w:r>
        <w:rPr>
          <w:rFonts w:ascii="Times New Roman" w:hAnsi="Times New Roman" w:eastAsia="Times New Roman" w:cs="Times New Roman"/>
          <w:sz w:val="21"/>
          <w:szCs w:val="21"/>
        </w:rPr>
        <w:t>9.1.3</w:t>
      </w:r>
      <w:r>
        <w:rPr>
          <w:rFonts w:ascii="Times New Roman" w:hAnsi="Times New Roman" w:eastAsia="Times New Roman" w:cs="Times New Roman"/>
          <w:spacing w:val="46"/>
          <w:sz w:val="21"/>
          <w:szCs w:val="21"/>
        </w:rPr>
        <w:t xml:space="preserve"> </w:t>
      </w:r>
      <w:r>
        <w:rPr>
          <w:rFonts w:ascii="宋体" w:hAnsi="宋体" w:eastAsia="宋体" w:cs="宋体"/>
          <w:sz w:val="21"/>
          <w:szCs w:val="21"/>
        </w:rPr>
        <w:t xml:space="preserve">承包人应向监理人提交试验人员的名单及其岗位、资格等证明资料，试验人员必  </w:t>
      </w:r>
      <w:r>
        <w:rPr>
          <w:rFonts w:ascii="宋体" w:hAnsi="宋体" w:eastAsia="宋体" w:cs="宋体"/>
          <w:spacing w:val="2"/>
          <w:sz w:val="21"/>
          <w:szCs w:val="21"/>
        </w:rPr>
        <w:t>须能够熟练进行相应的检测试验，承包人对试验人员的试验程序和试验结果的正确性负责。</w:t>
      </w:r>
      <w:r>
        <w:rPr>
          <w:rFonts w:ascii="宋体" w:hAnsi="宋体" w:eastAsia="宋体" w:cs="宋体"/>
          <w:spacing w:val="7"/>
          <w:sz w:val="21"/>
          <w:szCs w:val="21"/>
        </w:rPr>
        <w:t xml:space="preserve"> </w:t>
      </w:r>
      <w:r>
        <w:rPr>
          <w:rFonts w:ascii="黑体" w:hAnsi="黑体" w:eastAsia="黑体" w:cs="黑体"/>
          <w:spacing w:val="-2"/>
          <w:sz w:val="24"/>
          <w:szCs w:val="24"/>
        </w:rPr>
        <w:t>9.2</w:t>
      </w:r>
      <w:r>
        <w:rPr>
          <w:rFonts w:ascii="黑体" w:hAnsi="黑体" w:eastAsia="黑体" w:cs="黑体"/>
          <w:spacing w:val="-48"/>
          <w:sz w:val="24"/>
          <w:szCs w:val="24"/>
        </w:rPr>
        <w:t xml:space="preserve"> </w:t>
      </w:r>
      <w:r>
        <w:rPr>
          <w:rFonts w:ascii="黑体" w:hAnsi="黑体" w:eastAsia="黑体" w:cs="黑体"/>
          <w:spacing w:val="-2"/>
          <w:sz w:val="24"/>
          <w:szCs w:val="24"/>
        </w:rPr>
        <w:t>取样</w:t>
      </w:r>
    </w:p>
    <w:p w14:paraId="632511E1">
      <w:pPr>
        <w:spacing w:before="131" w:line="221" w:lineRule="auto"/>
        <w:ind w:left="441"/>
        <w:rPr>
          <w:rFonts w:ascii="宋体" w:hAnsi="宋体" w:eastAsia="宋体" w:cs="宋体"/>
          <w:sz w:val="21"/>
          <w:szCs w:val="21"/>
        </w:rPr>
      </w:pPr>
      <w:r>
        <w:rPr>
          <w:rFonts w:ascii="宋体" w:hAnsi="宋体" w:eastAsia="宋体" w:cs="宋体"/>
          <w:spacing w:val="-2"/>
          <w:sz w:val="21"/>
          <w:szCs w:val="21"/>
        </w:rPr>
        <w:t>试验属于自检性质的， 承包人可以单独取样。</w:t>
      </w:r>
      <w:r>
        <w:rPr>
          <w:rFonts w:ascii="宋体" w:hAnsi="宋体" w:eastAsia="宋体" w:cs="宋体"/>
          <w:spacing w:val="-3"/>
          <w:sz w:val="21"/>
          <w:szCs w:val="21"/>
        </w:rPr>
        <w:t>试验属于监理人抽检性质的， 可由监理</w:t>
      </w:r>
    </w:p>
    <w:p w14:paraId="59669468">
      <w:pPr>
        <w:spacing w:before="147" w:line="221" w:lineRule="auto"/>
        <w:ind w:left="20"/>
        <w:rPr>
          <w:rFonts w:ascii="宋体" w:hAnsi="宋体" w:eastAsia="宋体" w:cs="宋体"/>
          <w:sz w:val="21"/>
          <w:szCs w:val="21"/>
        </w:rPr>
      </w:pPr>
      <w:r>
        <w:rPr>
          <w:rFonts w:ascii="宋体" w:hAnsi="宋体" w:eastAsia="宋体" w:cs="宋体"/>
          <w:spacing w:val="-1"/>
          <w:sz w:val="21"/>
          <w:szCs w:val="21"/>
        </w:rPr>
        <w:t>人取样，也可由承包人的试验人员在监理人的监督</w:t>
      </w:r>
      <w:r>
        <w:rPr>
          <w:rFonts w:ascii="宋体" w:hAnsi="宋体" w:eastAsia="宋体" w:cs="宋体"/>
          <w:spacing w:val="-2"/>
          <w:sz w:val="21"/>
          <w:szCs w:val="21"/>
        </w:rPr>
        <w:t>下取样。</w:t>
      </w:r>
    </w:p>
    <w:p w14:paraId="7C922B46">
      <w:pPr>
        <w:spacing w:before="51" w:line="218" w:lineRule="auto"/>
        <w:ind w:left="12"/>
        <w:rPr>
          <w:rFonts w:ascii="黑体" w:hAnsi="黑体" w:eastAsia="黑体" w:cs="黑体"/>
          <w:sz w:val="24"/>
          <w:szCs w:val="24"/>
        </w:rPr>
      </w:pPr>
      <w:r>
        <w:rPr>
          <w:rFonts w:ascii="黑体" w:hAnsi="黑体" w:eastAsia="黑体" w:cs="黑体"/>
          <w:spacing w:val="-1"/>
          <w:sz w:val="24"/>
          <w:szCs w:val="24"/>
        </w:rPr>
        <w:t>9.3</w:t>
      </w:r>
      <w:r>
        <w:rPr>
          <w:rFonts w:ascii="黑体" w:hAnsi="黑体" w:eastAsia="黑体" w:cs="黑体"/>
          <w:spacing w:val="-47"/>
          <w:sz w:val="24"/>
          <w:szCs w:val="24"/>
        </w:rPr>
        <w:t xml:space="preserve"> </w:t>
      </w:r>
      <w:r>
        <w:rPr>
          <w:rFonts w:ascii="黑体" w:hAnsi="黑体" w:eastAsia="黑体" w:cs="黑体"/>
          <w:spacing w:val="-1"/>
          <w:sz w:val="24"/>
          <w:szCs w:val="24"/>
        </w:rPr>
        <w:t>材料、工程设备和工程的试验和检验</w:t>
      </w:r>
    </w:p>
    <w:p w14:paraId="35DFDCD8">
      <w:pPr>
        <w:spacing w:before="131" w:line="350" w:lineRule="auto"/>
        <w:ind w:left="18" w:right="172" w:firstLine="423"/>
        <w:rPr>
          <w:rFonts w:ascii="宋体" w:hAnsi="宋体" w:eastAsia="宋体" w:cs="宋体"/>
          <w:sz w:val="21"/>
          <w:szCs w:val="21"/>
        </w:rPr>
      </w:pPr>
      <w:r>
        <w:rPr>
          <w:rFonts w:ascii="Times New Roman" w:hAnsi="Times New Roman" w:eastAsia="Times New Roman" w:cs="Times New Roman"/>
          <w:spacing w:val="1"/>
          <w:sz w:val="21"/>
          <w:szCs w:val="21"/>
        </w:rPr>
        <w:t>9.3.1</w:t>
      </w:r>
      <w:r>
        <w:rPr>
          <w:rFonts w:ascii="Times New Roman" w:hAnsi="Times New Roman" w:eastAsia="Times New Roman" w:cs="Times New Roman"/>
          <w:spacing w:val="42"/>
          <w:w w:val="101"/>
          <w:sz w:val="21"/>
          <w:szCs w:val="21"/>
        </w:rPr>
        <w:t xml:space="preserve"> </w:t>
      </w:r>
      <w:r>
        <w:rPr>
          <w:rFonts w:ascii="宋体" w:hAnsi="宋体" w:eastAsia="宋体" w:cs="宋体"/>
          <w:spacing w:val="1"/>
          <w:sz w:val="21"/>
          <w:szCs w:val="21"/>
        </w:rPr>
        <w:t>承包人应按合同约定进行材料、工程</w:t>
      </w:r>
      <w:r>
        <w:rPr>
          <w:rFonts w:ascii="宋体" w:hAnsi="宋体" w:eastAsia="宋体" w:cs="宋体"/>
          <w:sz w:val="21"/>
          <w:szCs w:val="21"/>
        </w:rPr>
        <w:t xml:space="preserve">设备和工程的试验和检验，并为监理人对上 </w:t>
      </w:r>
      <w:r>
        <w:rPr>
          <w:rFonts w:ascii="宋体" w:hAnsi="宋体" w:eastAsia="宋体" w:cs="宋体"/>
          <w:spacing w:val="3"/>
          <w:sz w:val="21"/>
          <w:szCs w:val="21"/>
        </w:rPr>
        <w:t>述材料、工程设备和工程的质量检查提供必要的试验资料和原始记录。按合</w:t>
      </w:r>
      <w:r>
        <w:rPr>
          <w:rFonts w:ascii="宋体" w:hAnsi="宋体" w:eastAsia="宋体" w:cs="宋体"/>
          <w:spacing w:val="2"/>
          <w:sz w:val="21"/>
          <w:szCs w:val="21"/>
        </w:rPr>
        <w:t>同约定应由监</w:t>
      </w:r>
    </w:p>
    <w:p w14:paraId="6D3A3668">
      <w:pPr>
        <w:spacing w:line="219" w:lineRule="auto"/>
        <w:ind w:left="20"/>
        <w:rPr>
          <w:rFonts w:ascii="宋体" w:hAnsi="宋体" w:eastAsia="宋体" w:cs="宋体"/>
          <w:sz w:val="21"/>
          <w:szCs w:val="21"/>
        </w:rPr>
      </w:pPr>
      <w:r>
        <w:rPr>
          <w:rFonts w:ascii="宋体" w:hAnsi="宋体" w:eastAsia="宋体" w:cs="宋体"/>
          <w:spacing w:val="-4"/>
          <w:sz w:val="21"/>
          <w:szCs w:val="21"/>
        </w:rPr>
        <w:t>理人与承包人共同进行试验和检验的，</w:t>
      </w:r>
      <w:r>
        <w:rPr>
          <w:rFonts w:ascii="宋体" w:hAnsi="宋体" w:eastAsia="宋体" w:cs="宋体"/>
          <w:spacing w:val="38"/>
          <w:sz w:val="21"/>
          <w:szCs w:val="21"/>
        </w:rPr>
        <w:t xml:space="preserve"> </w:t>
      </w:r>
      <w:r>
        <w:rPr>
          <w:rFonts w:ascii="宋体" w:hAnsi="宋体" w:eastAsia="宋体" w:cs="宋体"/>
          <w:spacing w:val="-4"/>
          <w:sz w:val="21"/>
          <w:szCs w:val="21"/>
        </w:rPr>
        <w:t>由承包人负</w:t>
      </w:r>
      <w:r>
        <w:rPr>
          <w:rFonts w:ascii="宋体" w:hAnsi="宋体" w:eastAsia="宋体" w:cs="宋体"/>
          <w:spacing w:val="-5"/>
          <w:sz w:val="21"/>
          <w:szCs w:val="21"/>
        </w:rPr>
        <w:t>责提供必要的试验资料和原始记录。</w:t>
      </w:r>
    </w:p>
    <w:p w14:paraId="7334B397">
      <w:pPr>
        <w:spacing w:before="155" w:line="351" w:lineRule="auto"/>
        <w:ind w:left="19" w:right="179" w:firstLine="422"/>
        <w:rPr>
          <w:rFonts w:ascii="宋体" w:hAnsi="宋体" w:eastAsia="宋体" w:cs="宋体"/>
          <w:sz w:val="21"/>
          <w:szCs w:val="21"/>
        </w:rPr>
      </w:pPr>
      <w:r>
        <w:rPr>
          <w:rFonts w:ascii="Times New Roman" w:hAnsi="Times New Roman" w:eastAsia="Times New Roman" w:cs="Times New Roman"/>
          <w:spacing w:val="-1"/>
          <w:sz w:val="21"/>
          <w:szCs w:val="21"/>
        </w:rPr>
        <w:t>9.3.2</w:t>
      </w:r>
      <w:r>
        <w:rPr>
          <w:rFonts w:ascii="Times New Roman" w:hAnsi="Times New Roman" w:eastAsia="Times New Roman" w:cs="Times New Roman"/>
          <w:spacing w:val="56"/>
          <w:sz w:val="21"/>
          <w:szCs w:val="21"/>
        </w:rPr>
        <w:t xml:space="preserve"> </w:t>
      </w:r>
      <w:r>
        <w:rPr>
          <w:rFonts w:ascii="宋体" w:hAnsi="宋体" w:eastAsia="宋体" w:cs="宋体"/>
          <w:spacing w:val="-1"/>
          <w:sz w:val="21"/>
          <w:szCs w:val="21"/>
        </w:rPr>
        <w:t>试验属于自检性质的，承包人可以单独进行试验。试验属于监理人抽检性质的，</w:t>
      </w:r>
      <w:r>
        <w:rPr>
          <w:rFonts w:ascii="宋体" w:hAnsi="宋体" w:eastAsia="宋体" w:cs="宋体"/>
          <w:sz w:val="21"/>
          <w:szCs w:val="21"/>
        </w:rPr>
        <w:t xml:space="preserve"> </w:t>
      </w:r>
      <w:r>
        <w:rPr>
          <w:rFonts w:ascii="宋体" w:hAnsi="宋体" w:eastAsia="宋体" w:cs="宋体"/>
          <w:spacing w:val="3"/>
          <w:sz w:val="21"/>
          <w:szCs w:val="21"/>
        </w:rPr>
        <w:t>监理人可以单独进行试验，也可由承包人与监理人共同进行。承包人对由监</w:t>
      </w:r>
      <w:r>
        <w:rPr>
          <w:rFonts w:ascii="宋体" w:hAnsi="宋体" w:eastAsia="宋体" w:cs="宋体"/>
          <w:spacing w:val="2"/>
          <w:sz w:val="21"/>
          <w:szCs w:val="21"/>
        </w:rPr>
        <w:t>理人单独进行</w:t>
      </w:r>
      <w:r>
        <w:rPr>
          <w:rFonts w:ascii="宋体" w:hAnsi="宋体" w:eastAsia="宋体" w:cs="宋体"/>
          <w:sz w:val="21"/>
          <w:szCs w:val="21"/>
        </w:rPr>
        <w:t xml:space="preserve"> </w:t>
      </w:r>
      <w:r>
        <w:rPr>
          <w:rFonts w:ascii="宋体" w:hAnsi="宋体" w:eastAsia="宋体" w:cs="宋体"/>
          <w:spacing w:val="-2"/>
          <w:sz w:val="21"/>
          <w:szCs w:val="21"/>
        </w:rPr>
        <w:t>的试验结果有异议的， 可以申请重新共同进行试验。</w:t>
      </w:r>
      <w:r>
        <w:rPr>
          <w:rFonts w:ascii="宋体" w:hAnsi="宋体" w:eastAsia="宋体" w:cs="宋体"/>
          <w:spacing w:val="-3"/>
          <w:sz w:val="21"/>
          <w:szCs w:val="21"/>
        </w:rPr>
        <w:t>约定共同进行试验的， 监理人未按照</w:t>
      </w:r>
      <w:r>
        <w:rPr>
          <w:rFonts w:ascii="宋体" w:hAnsi="宋体" w:eastAsia="宋体" w:cs="宋体"/>
          <w:sz w:val="21"/>
          <w:szCs w:val="21"/>
        </w:rPr>
        <w:t xml:space="preserve"> </w:t>
      </w:r>
      <w:r>
        <w:rPr>
          <w:rFonts w:ascii="宋体" w:hAnsi="宋体" w:eastAsia="宋体" w:cs="宋体"/>
          <w:spacing w:val="-2"/>
          <w:sz w:val="21"/>
          <w:szCs w:val="21"/>
        </w:rPr>
        <w:t>约定参加试验的， 承包人可自行试验，并将试验结果</w:t>
      </w:r>
      <w:r>
        <w:rPr>
          <w:rFonts w:ascii="宋体" w:hAnsi="宋体" w:eastAsia="宋体" w:cs="宋体"/>
          <w:spacing w:val="-3"/>
          <w:sz w:val="21"/>
          <w:szCs w:val="21"/>
        </w:rPr>
        <w:t>报送监理人， 监理人应承认该试验结</w:t>
      </w:r>
    </w:p>
    <w:p w14:paraId="6B5504A8">
      <w:pPr>
        <w:spacing w:before="1" w:line="221" w:lineRule="auto"/>
        <w:ind w:left="22"/>
        <w:rPr>
          <w:rFonts w:ascii="宋体" w:hAnsi="宋体" w:eastAsia="宋体" w:cs="宋体"/>
          <w:sz w:val="21"/>
          <w:szCs w:val="21"/>
        </w:rPr>
      </w:pPr>
      <w:r>
        <w:rPr>
          <w:rFonts w:ascii="宋体" w:hAnsi="宋体" w:eastAsia="宋体" w:cs="宋体"/>
          <w:spacing w:val="-11"/>
          <w:sz w:val="21"/>
          <w:szCs w:val="21"/>
        </w:rPr>
        <w:t>果。</w:t>
      </w:r>
    </w:p>
    <w:p w14:paraId="33C5AF02">
      <w:pPr>
        <w:spacing w:before="146" w:line="352" w:lineRule="auto"/>
        <w:ind w:left="20" w:right="172" w:firstLine="421"/>
        <w:rPr>
          <w:rFonts w:ascii="宋体" w:hAnsi="宋体" w:eastAsia="宋体" w:cs="宋体"/>
          <w:sz w:val="21"/>
          <w:szCs w:val="21"/>
        </w:rPr>
      </w:pPr>
      <w:r>
        <w:rPr>
          <w:rFonts w:ascii="Times New Roman" w:hAnsi="Times New Roman" w:eastAsia="Times New Roman" w:cs="Times New Roman"/>
          <w:spacing w:val="-3"/>
          <w:sz w:val="21"/>
          <w:szCs w:val="21"/>
        </w:rPr>
        <w:t>9.3.3</w:t>
      </w:r>
      <w:r>
        <w:rPr>
          <w:rFonts w:ascii="Times New Roman" w:hAnsi="Times New Roman" w:eastAsia="Times New Roman" w:cs="Times New Roman"/>
          <w:spacing w:val="43"/>
          <w:sz w:val="21"/>
          <w:szCs w:val="21"/>
        </w:rPr>
        <w:t xml:space="preserve"> </w:t>
      </w:r>
      <w:r>
        <w:rPr>
          <w:rFonts w:ascii="宋体" w:hAnsi="宋体" w:eastAsia="宋体" w:cs="宋体"/>
          <w:spacing w:val="-3"/>
          <w:sz w:val="21"/>
          <w:szCs w:val="21"/>
        </w:rPr>
        <w:t>监理人对承包人的试验和检验结果有异</w:t>
      </w:r>
      <w:r>
        <w:rPr>
          <w:rFonts w:ascii="宋体" w:hAnsi="宋体" w:eastAsia="宋体" w:cs="宋体"/>
          <w:spacing w:val="-4"/>
          <w:sz w:val="21"/>
          <w:szCs w:val="21"/>
        </w:rPr>
        <w:t>议的，</w:t>
      </w:r>
      <w:r>
        <w:rPr>
          <w:rFonts w:ascii="宋体" w:hAnsi="宋体" w:eastAsia="宋体" w:cs="宋体"/>
          <w:spacing w:val="53"/>
          <w:sz w:val="21"/>
          <w:szCs w:val="21"/>
        </w:rPr>
        <w:t xml:space="preserve"> </w:t>
      </w:r>
      <w:r>
        <w:rPr>
          <w:rFonts w:ascii="宋体" w:hAnsi="宋体" w:eastAsia="宋体" w:cs="宋体"/>
          <w:spacing w:val="-4"/>
          <w:sz w:val="21"/>
          <w:szCs w:val="21"/>
        </w:rPr>
        <w:t>或为查清承包人试验和检验成果的</w:t>
      </w:r>
      <w:r>
        <w:rPr>
          <w:rFonts w:ascii="宋体" w:hAnsi="宋体" w:eastAsia="宋体" w:cs="宋体"/>
          <w:sz w:val="21"/>
          <w:szCs w:val="21"/>
        </w:rPr>
        <w:t xml:space="preserve"> </w:t>
      </w:r>
      <w:r>
        <w:rPr>
          <w:rFonts w:ascii="宋体" w:hAnsi="宋体" w:eastAsia="宋体" w:cs="宋体"/>
          <w:spacing w:val="3"/>
          <w:sz w:val="21"/>
          <w:szCs w:val="21"/>
        </w:rPr>
        <w:t>可靠性要求承包人重新试验和检验的，可由监理人与承包人共同进行。重</w:t>
      </w:r>
      <w:r>
        <w:rPr>
          <w:rFonts w:ascii="宋体" w:hAnsi="宋体" w:eastAsia="宋体" w:cs="宋体"/>
          <w:spacing w:val="2"/>
          <w:sz w:val="21"/>
          <w:szCs w:val="21"/>
        </w:rPr>
        <w:t>新试验和检验的</w:t>
      </w:r>
      <w:r>
        <w:rPr>
          <w:rFonts w:ascii="宋体" w:hAnsi="宋体" w:eastAsia="宋体" w:cs="宋体"/>
          <w:sz w:val="21"/>
          <w:szCs w:val="21"/>
        </w:rPr>
        <w:t xml:space="preserve"> </w:t>
      </w:r>
      <w:r>
        <w:rPr>
          <w:rFonts w:ascii="宋体" w:hAnsi="宋体" w:eastAsia="宋体" w:cs="宋体"/>
          <w:spacing w:val="2"/>
          <w:sz w:val="21"/>
          <w:szCs w:val="21"/>
        </w:rPr>
        <w:t>结果证明该项材料、工程设备或工程的质量不符合合同要求的，由此增加的费用和（或）</w:t>
      </w:r>
    </w:p>
    <w:p w14:paraId="0D48CB79">
      <w:pPr>
        <w:spacing w:before="1" w:line="219" w:lineRule="auto"/>
        <w:ind w:left="19"/>
        <w:rPr>
          <w:rFonts w:ascii="宋体" w:hAnsi="宋体" w:eastAsia="宋体" w:cs="宋体"/>
          <w:sz w:val="21"/>
          <w:szCs w:val="21"/>
        </w:rPr>
      </w:pPr>
      <w:r>
        <w:rPr>
          <w:rFonts w:ascii="宋体" w:hAnsi="宋体" w:eastAsia="宋体" w:cs="宋体"/>
          <w:spacing w:val="3"/>
          <w:sz w:val="21"/>
          <w:szCs w:val="21"/>
        </w:rPr>
        <w:t>延误的工期由承包人承担；重新试验和检验结果证明该项材料、工程设备和</w:t>
      </w:r>
      <w:r>
        <w:rPr>
          <w:rFonts w:ascii="宋体" w:hAnsi="宋体" w:eastAsia="宋体" w:cs="宋体"/>
          <w:spacing w:val="2"/>
          <w:sz w:val="21"/>
          <w:szCs w:val="21"/>
        </w:rPr>
        <w:t>工程符合合同</w:t>
      </w:r>
    </w:p>
    <w:p w14:paraId="741DBF25">
      <w:pPr>
        <w:spacing w:before="152" w:line="221" w:lineRule="auto"/>
        <w:ind w:left="19"/>
        <w:rPr>
          <w:rFonts w:ascii="宋体" w:hAnsi="宋体" w:eastAsia="宋体" w:cs="宋体"/>
          <w:sz w:val="21"/>
          <w:szCs w:val="21"/>
        </w:rPr>
      </w:pPr>
      <w:r>
        <w:rPr>
          <w:rFonts w:ascii="宋体" w:hAnsi="宋体" w:eastAsia="宋体" w:cs="宋体"/>
          <w:spacing w:val="-1"/>
          <w:sz w:val="21"/>
          <w:szCs w:val="21"/>
        </w:rPr>
        <w:t>要求的，由此增加的费用和（或）延误的工期由发包</w:t>
      </w:r>
      <w:r>
        <w:rPr>
          <w:rFonts w:ascii="宋体" w:hAnsi="宋体" w:eastAsia="宋体" w:cs="宋体"/>
          <w:spacing w:val="-2"/>
          <w:sz w:val="21"/>
          <w:szCs w:val="21"/>
        </w:rPr>
        <w:t>人承担。</w:t>
      </w:r>
    </w:p>
    <w:p w14:paraId="7DD1AF2E">
      <w:pPr>
        <w:spacing w:before="46" w:line="218" w:lineRule="auto"/>
        <w:ind w:left="12"/>
        <w:rPr>
          <w:rFonts w:ascii="黑体" w:hAnsi="黑体" w:eastAsia="黑体" w:cs="黑体"/>
          <w:sz w:val="24"/>
          <w:szCs w:val="24"/>
        </w:rPr>
      </w:pPr>
      <w:r>
        <w:rPr>
          <w:rFonts w:ascii="黑体" w:hAnsi="黑体" w:eastAsia="黑体" w:cs="黑体"/>
          <w:spacing w:val="-2"/>
          <w:sz w:val="24"/>
          <w:szCs w:val="24"/>
        </w:rPr>
        <w:t>9.4</w:t>
      </w:r>
      <w:r>
        <w:rPr>
          <w:rFonts w:ascii="黑体" w:hAnsi="黑体" w:eastAsia="黑体" w:cs="黑体"/>
          <w:spacing w:val="-47"/>
          <w:sz w:val="24"/>
          <w:szCs w:val="24"/>
        </w:rPr>
        <w:t xml:space="preserve"> </w:t>
      </w:r>
      <w:r>
        <w:rPr>
          <w:rFonts w:ascii="黑体" w:hAnsi="黑体" w:eastAsia="黑体" w:cs="黑体"/>
          <w:spacing w:val="-2"/>
          <w:sz w:val="24"/>
          <w:szCs w:val="24"/>
        </w:rPr>
        <w:t>现场工艺试验</w:t>
      </w:r>
    </w:p>
    <w:p w14:paraId="5496F783">
      <w:pPr>
        <w:spacing w:before="131" w:line="350" w:lineRule="auto"/>
        <w:ind w:left="20" w:right="174" w:firstLine="421"/>
        <w:jc w:val="both"/>
        <w:rPr>
          <w:rFonts w:ascii="宋体" w:hAnsi="宋体" w:eastAsia="宋体" w:cs="宋体"/>
          <w:sz w:val="21"/>
          <w:szCs w:val="21"/>
        </w:rPr>
      </w:pPr>
      <w:r>
        <w:rPr>
          <w:rFonts w:ascii="宋体" w:hAnsi="宋体" w:eastAsia="宋体" w:cs="宋体"/>
          <w:sz w:val="21"/>
          <w:szCs w:val="21"/>
        </w:rPr>
        <w:t>承包人应按合同约定或监理人指示进行现场工艺试验。对大型的现场工艺试验， 监理</w:t>
      </w:r>
      <w:r>
        <w:rPr>
          <w:rFonts w:ascii="宋体" w:hAnsi="宋体" w:eastAsia="宋体" w:cs="宋体"/>
          <w:spacing w:val="9"/>
          <w:sz w:val="21"/>
          <w:szCs w:val="21"/>
        </w:rPr>
        <w:t xml:space="preserve"> </w:t>
      </w:r>
      <w:r>
        <w:rPr>
          <w:rFonts w:ascii="宋体" w:hAnsi="宋体" w:eastAsia="宋体" w:cs="宋体"/>
          <w:sz w:val="21"/>
          <w:szCs w:val="21"/>
        </w:rPr>
        <w:t>人认为必要时，承包人应根据监理人提出的工艺试验要求， 编制工艺试验措施计划，报送</w:t>
      </w:r>
    </w:p>
    <w:p w14:paraId="1E19CFC9">
      <w:pPr>
        <w:spacing w:before="1" w:line="221" w:lineRule="auto"/>
        <w:ind w:left="19"/>
        <w:rPr>
          <w:rFonts w:ascii="宋体" w:hAnsi="宋体" w:eastAsia="宋体" w:cs="宋体"/>
          <w:sz w:val="21"/>
          <w:szCs w:val="21"/>
        </w:rPr>
      </w:pPr>
      <w:r>
        <w:rPr>
          <w:rFonts w:ascii="宋体" w:hAnsi="宋体" w:eastAsia="宋体" w:cs="宋体"/>
          <w:spacing w:val="-1"/>
          <w:sz w:val="21"/>
          <w:szCs w:val="21"/>
        </w:rPr>
        <w:t>监理人审查。</w:t>
      </w:r>
    </w:p>
    <w:p w14:paraId="621F7216">
      <w:pPr>
        <w:spacing w:before="176" w:line="220" w:lineRule="auto"/>
        <w:ind w:left="39"/>
        <w:rPr>
          <w:rFonts w:ascii="黑体" w:hAnsi="黑体" w:eastAsia="黑体" w:cs="黑体"/>
          <w:sz w:val="32"/>
          <w:szCs w:val="32"/>
        </w:rPr>
      </w:pPr>
      <w:r>
        <w:rPr>
          <w:rFonts w:ascii="黑体" w:hAnsi="黑体" w:eastAsia="黑体" w:cs="黑体"/>
          <w:spacing w:val="-6"/>
          <w:sz w:val="32"/>
          <w:szCs w:val="32"/>
        </w:rPr>
        <w:t>10.变更</w:t>
      </w:r>
    </w:p>
    <w:p w14:paraId="00BC340B">
      <w:pPr>
        <w:spacing w:before="145" w:line="219" w:lineRule="auto"/>
        <w:ind w:left="31"/>
        <w:rPr>
          <w:rFonts w:ascii="黑体" w:hAnsi="黑体" w:eastAsia="黑体" w:cs="黑体"/>
          <w:sz w:val="24"/>
          <w:szCs w:val="24"/>
        </w:rPr>
      </w:pPr>
      <w:r>
        <w:rPr>
          <w:rFonts w:ascii="黑体" w:hAnsi="黑体" w:eastAsia="黑体" w:cs="黑体"/>
          <w:spacing w:val="-4"/>
          <w:sz w:val="24"/>
          <w:szCs w:val="24"/>
        </w:rPr>
        <w:t>10.1</w:t>
      </w:r>
      <w:r>
        <w:rPr>
          <w:rFonts w:ascii="黑体" w:hAnsi="黑体" w:eastAsia="黑体" w:cs="黑体"/>
          <w:spacing w:val="-46"/>
          <w:sz w:val="24"/>
          <w:szCs w:val="24"/>
        </w:rPr>
        <w:t xml:space="preserve"> </w:t>
      </w:r>
      <w:r>
        <w:rPr>
          <w:rFonts w:ascii="黑体" w:hAnsi="黑体" w:eastAsia="黑体" w:cs="黑体"/>
          <w:spacing w:val="-4"/>
          <w:sz w:val="24"/>
          <w:szCs w:val="24"/>
        </w:rPr>
        <w:t>变更的范围</w:t>
      </w:r>
    </w:p>
    <w:p w14:paraId="2F877162">
      <w:pPr>
        <w:spacing w:before="129" w:line="220" w:lineRule="auto"/>
        <w:ind w:left="453"/>
        <w:rPr>
          <w:rFonts w:ascii="宋体" w:hAnsi="宋体" w:eastAsia="宋体" w:cs="宋体"/>
          <w:sz w:val="21"/>
          <w:szCs w:val="21"/>
        </w:rPr>
      </w:pPr>
      <w:r>
        <w:rPr>
          <w:rFonts w:ascii="宋体" w:hAnsi="宋体" w:eastAsia="宋体" w:cs="宋体"/>
          <w:sz w:val="21"/>
          <w:szCs w:val="21"/>
        </w:rPr>
        <w:t>除专用合同条款另有约定外，合同履行过程中发生以下情形的， 应按照本条</w:t>
      </w:r>
      <w:r>
        <w:rPr>
          <w:rFonts w:ascii="宋体" w:hAnsi="宋体" w:eastAsia="宋体" w:cs="宋体"/>
          <w:spacing w:val="-1"/>
          <w:sz w:val="21"/>
          <w:szCs w:val="21"/>
        </w:rPr>
        <w:t>约定进行</w:t>
      </w:r>
    </w:p>
    <w:p w14:paraId="64C89117">
      <w:pPr>
        <w:spacing w:line="220" w:lineRule="auto"/>
        <w:rPr>
          <w:rFonts w:ascii="宋体" w:hAnsi="宋体" w:eastAsia="宋体" w:cs="宋体"/>
          <w:sz w:val="21"/>
          <w:szCs w:val="21"/>
        </w:rPr>
        <w:sectPr>
          <w:footerReference r:id="rId114" w:type="default"/>
          <w:pgSz w:w="11905" w:h="16839"/>
          <w:pgMar w:top="1431" w:right="1617" w:bottom="1004" w:left="1785" w:header="0" w:footer="828" w:gutter="0"/>
          <w:pgNumType w:fmt="decimal"/>
          <w:cols w:space="720" w:num="1"/>
        </w:sectPr>
      </w:pPr>
    </w:p>
    <w:p w14:paraId="07F90530">
      <w:pPr>
        <w:spacing w:before="149" w:line="222" w:lineRule="auto"/>
        <w:ind w:left="18"/>
        <w:rPr>
          <w:rFonts w:ascii="宋体" w:hAnsi="宋体" w:eastAsia="宋体" w:cs="宋体"/>
          <w:sz w:val="21"/>
          <w:szCs w:val="21"/>
        </w:rPr>
      </w:pPr>
      <w:r>
        <w:rPr>
          <w:rFonts w:ascii="宋体" w:hAnsi="宋体" w:eastAsia="宋体" w:cs="宋体"/>
          <w:spacing w:val="-12"/>
          <w:sz w:val="21"/>
          <w:szCs w:val="21"/>
        </w:rPr>
        <w:t>变更：</w:t>
      </w:r>
    </w:p>
    <w:p w14:paraId="15C11438">
      <w:pPr>
        <w:spacing w:before="145" w:line="221" w:lineRule="auto"/>
        <w:ind w:left="447"/>
        <w:rPr>
          <w:rFonts w:ascii="宋体" w:hAnsi="宋体" w:eastAsia="宋体" w:cs="宋体"/>
          <w:sz w:val="21"/>
          <w:szCs w:val="21"/>
        </w:rPr>
      </w:pPr>
      <w:r>
        <w:rPr>
          <w:rFonts w:ascii="宋体" w:hAnsi="宋体" w:eastAsia="宋体" w:cs="宋体"/>
          <w:spacing w:val="-2"/>
          <w:sz w:val="21"/>
          <w:szCs w:val="21"/>
        </w:rPr>
        <w:t>（</w:t>
      </w:r>
      <w:r>
        <w:rPr>
          <w:rFonts w:ascii="Times New Roman" w:hAnsi="Times New Roman" w:eastAsia="Times New Roman" w:cs="Times New Roman"/>
          <w:spacing w:val="-2"/>
          <w:sz w:val="21"/>
          <w:szCs w:val="21"/>
        </w:rPr>
        <w:t>1</w:t>
      </w:r>
      <w:r>
        <w:rPr>
          <w:rFonts w:ascii="宋体" w:hAnsi="宋体" w:eastAsia="宋体" w:cs="宋体"/>
          <w:spacing w:val="-2"/>
          <w:sz w:val="21"/>
          <w:szCs w:val="21"/>
        </w:rPr>
        <w:t>）增加或减少合同中任何工作，或追加额外的工作；</w:t>
      </w:r>
    </w:p>
    <w:p w14:paraId="7CC7015D">
      <w:pPr>
        <w:spacing w:before="151" w:line="221" w:lineRule="auto"/>
        <w:ind w:left="447"/>
        <w:rPr>
          <w:rFonts w:ascii="宋体" w:hAnsi="宋体" w:eastAsia="宋体" w:cs="宋体"/>
          <w:sz w:val="21"/>
          <w:szCs w:val="21"/>
        </w:rPr>
      </w:pPr>
      <w:r>
        <w:rPr>
          <w:rFonts w:ascii="宋体" w:hAnsi="宋体" w:eastAsia="宋体" w:cs="宋体"/>
          <w:spacing w:val="-2"/>
          <w:sz w:val="21"/>
          <w:szCs w:val="21"/>
        </w:rPr>
        <w:t>（</w:t>
      </w:r>
      <w:r>
        <w:rPr>
          <w:rFonts w:ascii="Times New Roman" w:hAnsi="Times New Roman" w:eastAsia="Times New Roman" w:cs="Times New Roman"/>
          <w:spacing w:val="-2"/>
          <w:sz w:val="21"/>
          <w:szCs w:val="21"/>
        </w:rPr>
        <w:t>2</w:t>
      </w:r>
      <w:r>
        <w:rPr>
          <w:rFonts w:ascii="宋体" w:hAnsi="宋体" w:eastAsia="宋体" w:cs="宋体"/>
          <w:spacing w:val="-2"/>
          <w:sz w:val="21"/>
          <w:szCs w:val="21"/>
        </w:rPr>
        <w:t>）取消合同中任何工作，但转由他人实施的工作除外；</w:t>
      </w:r>
    </w:p>
    <w:p w14:paraId="0B58C914">
      <w:pPr>
        <w:spacing w:before="148" w:line="398" w:lineRule="exact"/>
        <w:ind w:left="447"/>
        <w:rPr>
          <w:rFonts w:ascii="宋体" w:hAnsi="宋体" w:eastAsia="宋体" w:cs="宋体"/>
          <w:sz w:val="21"/>
          <w:szCs w:val="21"/>
        </w:rPr>
      </w:pPr>
      <w:r>
        <w:rPr>
          <w:rFonts w:ascii="宋体" w:hAnsi="宋体" w:eastAsia="宋体" w:cs="宋体"/>
          <w:spacing w:val="-2"/>
          <w:position w:val="14"/>
          <w:sz w:val="21"/>
          <w:szCs w:val="21"/>
        </w:rPr>
        <w:t>（</w:t>
      </w:r>
      <w:r>
        <w:rPr>
          <w:rFonts w:ascii="Times New Roman" w:hAnsi="Times New Roman" w:eastAsia="Times New Roman" w:cs="Times New Roman"/>
          <w:spacing w:val="-2"/>
          <w:position w:val="14"/>
          <w:sz w:val="21"/>
          <w:szCs w:val="21"/>
        </w:rPr>
        <w:t>3</w:t>
      </w:r>
      <w:r>
        <w:rPr>
          <w:rFonts w:ascii="宋体" w:hAnsi="宋体" w:eastAsia="宋体" w:cs="宋体"/>
          <w:spacing w:val="-2"/>
          <w:position w:val="14"/>
          <w:sz w:val="21"/>
          <w:szCs w:val="21"/>
        </w:rPr>
        <w:t>）改变合同中任何工作的质量标准或其他特性；</w:t>
      </w:r>
    </w:p>
    <w:p w14:paraId="4B26D2AC">
      <w:pPr>
        <w:spacing w:line="219" w:lineRule="auto"/>
        <w:ind w:left="447"/>
        <w:rPr>
          <w:rFonts w:ascii="宋体" w:hAnsi="宋体" w:eastAsia="宋体" w:cs="宋体"/>
          <w:sz w:val="21"/>
          <w:szCs w:val="21"/>
        </w:rPr>
      </w:pPr>
      <w:r>
        <w:rPr>
          <w:rFonts w:ascii="宋体" w:hAnsi="宋体" w:eastAsia="宋体" w:cs="宋体"/>
          <w:spacing w:val="-2"/>
          <w:sz w:val="21"/>
          <w:szCs w:val="21"/>
        </w:rPr>
        <w:t>（</w:t>
      </w:r>
      <w:r>
        <w:rPr>
          <w:rFonts w:ascii="Times New Roman" w:hAnsi="Times New Roman" w:eastAsia="Times New Roman" w:cs="Times New Roman"/>
          <w:spacing w:val="-2"/>
          <w:sz w:val="21"/>
          <w:szCs w:val="21"/>
        </w:rPr>
        <w:t>4</w:t>
      </w:r>
      <w:r>
        <w:rPr>
          <w:rFonts w:ascii="宋体" w:hAnsi="宋体" w:eastAsia="宋体" w:cs="宋体"/>
          <w:spacing w:val="-2"/>
          <w:sz w:val="21"/>
          <w:szCs w:val="21"/>
        </w:rPr>
        <w:t>）改变工程的基线、标高、位置和尺寸；</w:t>
      </w:r>
    </w:p>
    <w:p w14:paraId="3D65104A">
      <w:pPr>
        <w:spacing w:before="153" w:line="221" w:lineRule="auto"/>
        <w:ind w:left="447"/>
        <w:rPr>
          <w:rFonts w:ascii="宋体" w:hAnsi="宋体" w:eastAsia="宋体" w:cs="宋体"/>
          <w:sz w:val="21"/>
          <w:szCs w:val="21"/>
        </w:rPr>
      </w:pPr>
      <w:r>
        <w:rPr>
          <w:rFonts w:ascii="宋体" w:hAnsi="宋体" w:eastAsia="宋体" w:cs="宋体"/>
          <w:spacing w:val="-2"/>
          <w:sz w:val="21"/>
          <w:szCs w:val="21"/>
        </w:rPr>
        <w:t>（</w:t>
      </w:r>
      <w:r>
        <w:rPr>
          <w:rFonts w:ascii="Times New Roman" w:hAnsi="Times New Roman" w:eastAsia="Times New Roman" w:cs="Times New Roman"/>
          <w:spacing w:val="-2"/>
          <w:sz w:val="21"/>
          <w:szCs w:val="21"/>
        </w:rPr>
        <w:t>5</w:t>
      </w:r>
      <w:r>
        <w:rPr>
          <w:rFonts w:ascii="宋体" w:hAnsi="宋体" w:eastAsia="宋体" w:cs="宋体"/>
          <w:spacing w:val="-2"/>
          <w:sz w:val="21"/>
          <w:szCs w:val="21"/>
        </w:rPr>
        <w:t>）改变工程的时间安排或实施顺序。</w:t>
      </w:r>
    </w:p>
    <w:p w14:paraId="564461DF">
      <w:pPr>
        <w:spacing w:before="46" w:line="219" w:lineRule="auto"/>
        <w:ind w:left="31"/>
        <w:rPr>
          <w:rFonts w:ascii="黑体" w:hAnsi="黑体" w:eastAsia="黑体" w:cs="黑体"/>
          <w:sz w:val="24"/>
          <w:szCs w:val="24"/>
        </w:rPr>
      </w:pPr>
      <w:r>
        <w:rPr>
          <w:rFonts w:ascii="黑体" w:hAnsi="黑体" w:eastAsia="黑体" w:cs="黑体"/>
          <w:spacing w:val="-5"/>
          <w:sz w:val="24"/>
          <w:szCs w:val="24"/>
        </w:rPr>
        <w:t>10.2</w:t>
      </w:r>
      <w:r>
        <w:rPr>
          <w:rFonts w:ascii="黑体" w:hAnsi="黑体" w:eastAsia="黑体" w:cs="黑体"/>
          <w:spacing w:val="-45"/>
          <w:sz w:val="24"/>
          <w:szCs w:val="24"/>
        </w:rPr>
        <w:t xml:space="preserve"> </w:t>
      </w:r>
      <w:r>
        <w:rPr>
          <w:rFonts w:ascii="黑体" w:hAnsi="黑体" w:eastAsia="黑体" w:cs="黑体"/>
          <w:spacing w:val="-5"/>
          <w:sz w:val="24"/>
          <w:szCs w:val="24"/>
        </w:rPr>
        <w:t>变更权</w:t>
      </w:r>
    </w:p>
    <w:p w14:paraId="0052E9AF">
      <w:pPr>
        <w:spacing w:before="130" w:line="352" w:lineRule="auto"/>
        <w:ind w:left="21" w:firstLine="422"/>
        <w:jc w:val="both"/>
        <w:rPr>
          <w:rFonts w:ascii="宋体" w:hAnsi="宋体" w:eastAsia="宋体" w:cs="宋体"/>
          <w:sz w:val="21"/>
          <w:szCs w:val="21"/>
        </w:rPr>
      </w:pPr>
      <w:r>
        <w:rPr>
          <w:rFonts w:ascii="宋体" w:hAnsi="宋体" w:eastAsia="宋体" w:cs="宋体"/>
          <w:spacing w:val="-1"/>
          <w:sz w:val="21"/>
          <w:szCs w:val="21"/>
        </w:rPr>
        <w:t xml:space="preserve">发包人和监理人均可以提出变更。变更指示均通过监理人发出， 监理人发出变更指示  </w:t>
      </w:r>
      <w:r>
        <w:rPr>
          <w:rFonts w:ascii="宋体" w:hAnsi="宋体" w:eastAsia="宋体" w:cs="宋体"/>
          <w:spacing w:val="2"/>
          <w:sz w:val="21"/>
          <w:szCs w:val="21"/>
        </w:rPr>
        <w:t>前应征得发包人同意。承包人收到经发包人签认的</w:t>
      </w:r>
      <w:r>
        <w:rPr>
          <w:rFonts w:ascii="宋体" w:hAnsi="宋体" w:eastAsia="宋体" w:cs="宋体"/>
          <w:spacing w:val="1"/>
          <w:sz w:val="21"/>
          <w:szCs w:val="21"/>
        </w:rPr>
        <w:t>变更指示后，方可实施变更。未经许可，</w:t>
      </w:r>
    </w:p>
    <w:p w14:paraId="7F4AC744">
      <w:pPr>
        <w:spacing w:before="1" w:line="220" w:lineRule="auto"/>
        <w:ind w:left="18"/>
        <w:rPr>
          <w:rFonts w:ascii="宋体" w:hAnsi="宋体" w:eastAsia="宋体" w:cs="宋体"/>
          <w:sz w:val="21"/>
          <w:szCs w:val="21"/>
        </w:rPr>
      </w:pPr>
      <w:r>
        <w:rPr>
          <w:rFonts w:ascii="宋体" w:hAnsi="宋体" w:eastAsia="宋体" w:cs="宋体"/>
          <w:spacing w:val="-2"/>
          <w:sz w:val="21"/>
          <w:szCs w:val="21"/>
        </w:rPr>
        <w:t>承包人不得擅自对工程的任何部分进行变更。</w:t>
      </w:r>
    </w:p>
    <w:p w14:paraId="1403DE1F">
      <w:pPr>
        <w:spacing w:before="147" w:line="220" w:lineRule="auto"/>
        <w:ind w:left="442"/>
        <w:rPr>
          <w:rFonts w:ascii="宋体" w:hAnsi="宋体" w:eastAsia="宋体" w:cs="宋体"/>
          <w:sz w:val="21"/>
          <w:szCs w:val="21"/>
        </w:rPr>
      </w:pPr>
      <w:r>
        <w:rPr>
          <w:rFonts w:ascii="宋体" w:hAnsi="宋体" w:eastAsia="宋体" w:cs="宋体"/>
          <w:spacing w:val="3"/>
          <w:sz w:val="21"/>
          <w:szCs w:val="21"/>
        </w:rPr>
        <w:t>涉及设计变更的，应由设计人提供变更后的图纸和说明。如变更超过原设计标准或批</w:t>
      </w:r>
    </w:p>
    <w:p w14:paraId="53C9B010">
      <w:pPr>
        <w:spacing w:before="148" w:line="221" w:lineRule="auto"/>
        <w:ind w:left="20"/>
        <w:rPr>
          <w:rFonts w:ascii="宋体" w:hAnsi="宋体" w:eastAsia="宋体" w:cs="宋体"/>
          <w:sz w:val="21"/>
          <w:szCs w:val="21"/>
        </w:rPr>
      </w:pPr>
      <w:r>
        <w:rPr>
          <w:rFonts w:ascii="宋体" w:hAnsi="宋体" w:eastAsia="宋体" w:cs="宋体"/>
          <w:sz w:val="21"/>
          <w:szCs w:val="21"/>
        </w:rPr>
        <w:t>准的建设规模时，发包人应及时办理规划、设计变更等审</w:t>
      </w:r>
      <w:r>
        <w:rPr>
          <w:rFonts w:ascii="宋体" w:hAnsi="宋体" w:eastAsia="宋体" w:cs="宋体"/>
          <w:spacing w:val="-1"/>
          <w:sz w:val="21"/>
          <w:szCs w:val="21"/>
        </w:rPr>
        <w:t>批手续。</w:t>
      </w:r>
    </w:p>
    <w:p w14:paraId="3BB45625">
      <w:pPr>
        <w:spacing w:before="46" w:line="219" w:lineRule="auto"/>
        <w:ind w:left="31"/>
        <w:rPr>
          <w:rFonts w:ascii="黑体" w:hAnsi="黑体" w:eastAsia="黑体" w:cs="黑体"/>
          <w:sz w:val="24"/>
          <w:szCs w:val="24"/>
        </w:rPr>
      </w:pPr>
      <w:r>
        <w:rPr>
          <w:rFonts w:ascii="黑体" w:hAnsi="黑体" w:eastAsia="黑体" w:cs="黑体"/>
          <w:spacing w:val="-5"/>
          <w:sz w:val="24"/>
          <w:szCs w:val="24"/>
        </w:rPr>
        <w:t>10.3</w:t>
      </w:r>
      <w:r>
        <w:rPr>
          <w:rFonts w:ascii="黑体" w:hAnsi="黑体" w:eastAsia="黑体" w:cs="黑体"/>
          <w:spacing w:val="-41"/>
          <w:sz w:val="24"/>
          <w:szCs w:val="24"/>
        </w:rPr>
        <w:t xml:space="preserve"> </w:t>
      </w:r>
      <w:r>
        <w:rPr>
          <w:rFonts w:ascii="黑体" w:hAnsi="黑体" w:eastAsia="黑体" w:cs="黑体"/>
          <w:spacing w:val="-5"/>
          <w:sz w:val="24"/>
          <w:szCs w:val="24"/>
        </w:rPr>
        <w:t>变更程序</w:t>
      </w:r>
    </w:p>
    <w:p w14:paraId="462FF454">
      <w:pPr>
        <w:spacing w:before="130" w:line="221" w:lineRule="auto"/>
        <w:ind w:left="457"/>
        <w:rPr>
          <w:rFonts w:ascii="宋体" w:hAnsi="宋体" w:eastAsia="宋体" w:cs="宋体"/>
          <w:sz w:val="21"/>
          <w:szCs w:val="21"/>
        </w:rPr>
      </w:pPr>
      <w:r>
        <w:rPr>
          <w:rFonts w:ascii="Times New Roman" w:hAnsi="Times New Roman" w:eastAsia="Times New Roman" w:cs="Times New Roman"/>
          <w:spacing w:val="-2"/>
          <w:sz w:val="21"/>
          <w:szCs w:val="21"/>
        </w:rPr>
        <w:t xml:space="preserve">10.3.1 </w:t>
      </w:r>
      <w:r>
        <w:rPr>
          <w:rFonts w:ascii="宋体" w:hAnsi="宋体" w:eastAsia="宋体" w:cs="宋体"/>
          <w:spacing w:val="-2"/>
          <w:sz w:val="21"/>
          <w:szCs w:val="21"/>
        </w:rPr>
        <w:t>发包人提出变更</w:t>
      </w:r>
    </w:p>
    <w:p w14:paraId="69BD268C">
      <w:pPr>
        <w:spacing w:before="151" w:line="399" w:lineRule="exact"/>
        <w:ind w:left="444"/>
        <w:rPr>
          <w:rFonts w:ascii="宋体" w:hAnsi="宋体" w:eastAsia="宋体" w:cs="宋体"/>
          <w:sz w:val="21"/>
          <w:szCs w:val="21"/>
        </w:rPr>
      </w:pPr>
      <w:r>
        <w:rPr>
          <w:rFonts w:ascii="宋体" w:hAnsi="宋体" w:eastAsia="宋体" w:cs="宋体"/>
          <w:position w:val="14"/>
          <w:sz w:val="21"/>
          <w:szCs w:val="21"/>
        </w:rPr>
        <w:t>发包人提出变更的，应通过监理人向承包人发出变更指示， 变更指示应说明计划变更</w:t>
      </w:r>
    </w:p>
    <w:p w14:paraId="27AAAE44">
      <w:pPr>
        <w:spacing w:line="220" w:lineRule="auto"/>
        <w:ind w:left="35"/>
        <w:rPr>
          <w:rFonts w:ascii="宋体" w:hAnsi="宋体" w:eastAsia="宋体" w:cs="宋体"/>
          <w:sz w:val="21"/>
          <w:szCs w:val="21"/>
        </w:rPr>
      </w:pPr>
      <w:r>
        <w:rPr>
          <w:rFonts w:ascii="宋体" w:hAnsi="宋体" w:eastAsia="宋体" w:cs="宋体"/>
          <w:spacing w:val="-4"/>
          <w:sz w:val="21"/>
          <w:szCs w:val="21"/>
        </w:rPr>
        <w:t>的工程范围和变更的内容。</w:t>
      </w:r>
    </w:p>
    <w:p w14:paraId="3233F5C6">
      <w:pPr>
        <w:spacing w:before="148" w:line="221" w:lineRule="auto"/>
        <w:ind w:left="457"/>
        <w:rPr>
          <w:rFonts w:ascii="宋体" w:hAnsi="宋体" w:eastAsia="宋体" w:cs="宋体"/>
          <w:sz w:val="21"/>
          <w:szCs w:val="21"/>
        </w:rPr>
      </w:pPr>
      <w:r>
        <w:rPr>
          <w:rFonts w:ascii="Times New Roman" w:hAnsi="Times New Roman" w:eastAsia="Times New Roman" w:cs="Times New Roman"/>
          <w:spacing w:val="-2"/>
          <w:sz w:val="21"/>
          <w:szCs w:val="21"/>
        </w:rPr>
        <w:t xml:space="preserve">10.3.2 </w:t>
      </w:r>
      <w:r>
        <w:rPr>
          <w:rFonts w:ascii="宋体" w:hAnsi="宋体" w:eastAsia="宋体" w:cs="宋体"/>
          <w:spacing w:val="-2"/>
          <w:sz w:val="21"/>
          <w:szCs w:val="21"/>
        </w:rPr>
        <w:t>监理人提出变更建议</w:t>
      </w:r>
    </w:p>
    <w:p w14:paraId="69D91285">
      <w:pPr>
        <w:spacing w:before="152" w:line="350" w:lineRule="auto"/>
        <w:ind w:left="23" w:firstLine="418"/>
        <w:rPr>
          <w:rFonts w:ascii="宋体" w:hAnsi="宋体" w:eastAsia="宋体" w:cs="宋体"/>
          <w:sz w:val="21"/>
          <w:szCs w:val="21"/>
        </w:rPr>
      </w:pPr>
      <w:r>
        <w:rPr>
          <w:rFonts w:ascii="宋体" w:hAnsi="宋体" w:eastAsia="宋体" w:cs="宋体"/>
          <w:spacing w:val="2"/>
          <w:sz w:val="21"/>
          <w:szCs w:val="21"/>
        </w:rPr>
        <w:t>监理人提出变更建议的，需要向发包人以书面形式提出变更计划，说明计划变更工程  范围和变更的内容、理由，以及实施该变更对</w:t>
      </w:r>
      <w:r>
        <w:rPr>
          <w:rFonts w:ascii="宋体" w:hAnsi="宋体" w:eastAsia="宋体" w:cs="宋体"/>
          <w:spacing w:val="1"/>
          <w:sz w:val="21"/>
          <w:szCs w:val="21"/>
        </w:rPr>
        <w:t>合同价格和工期的影响。发包人同意变更的，</w:t>
      </w:r>
    </w:p>
    <w:p w14:paraId="7ACF8F77">
      <w:pPr>
        <w:spacing w:before="1" w:line="220" w:lineRule="auto"/>
        <w:ind w:left="43"/>
        <w:rPr>
          <w:rFonts w:ascii="宋体" w:hAnsi="宋体" w:eastAsia="宋体" w:cs="宋体"/>
          <w:sz w:val="21"/>
          <w:szCs w:val="21"/>
        </w:rPr>
      </w:pPr>
      <w:r>
        <w:rPr>
          <w:rFonts w:ascii="宋体" w:hAnsi="宋体" w:eastAsia="宋体" w:cs="宋体"/>
          <w:spacing w:val="-1"/>
          <w:sz w:val="21"/>
          <w:szCs w:val="21"/>
        </w:rPr>
        <w:t>由监理人向承包人发出变更指示。发包人不同意变更的，</w:t>
      </w:r>
      <w:r>
        <w:rPr>
          <w:rFonts w:ascii="宋体" w:hAnsi="宋体" w:eastAsia="宋体" w:cs="宋体"/>
          <w:spacing w:val="-2"/>
          <w:sz w:val="21"/>
          <w:szCs w:val="21"/>
        </w:rPr>
        <w:t>监理人无权擅自发出变更指示。</w:t>
      </w:r>
    </w:p>
    <w:p w14:paraId="02B2370B">
      <w:pPr>
        <w:spacing w:before="152" w:line="221" w:lineRule="auto"/>
        <w:ind w:left="457"/>
        <w:rPr>
          <w:rFonts w:ascii="宋体" w:hAnsi="宋体" w:eastAsia="宋体" w:cs="宋体"/>
          <w:sz w:val="21"/>
          <w:szCs w:val="21"/>
        </w:rPr>
      </w:pPr>
      <w:r>
        <w:rPr>
          <w:rFonts w:ascii="Times New Roman" w:hAnsi="Times New Roman" w:eastAsia="Times New Roman" w:cs="Times New Roman"/>
          <w:spacing w:val="-2"/>
          <w:sz w:val="21"/>
          <w:szCs w:val="21"/>
        </w:rPr>
        <w:t xml:space="preserve">10.3.3 </w:t>
      </w:r>
      <w:r>
        <w:rPr>
          <w:rFonts w:ascii="宋体" w:hAnsi="宋体" w:eastAsia="宋体" w:cs="宋体"/>
          <w:spacing w:val="-2"/>
          <w:sz w:val="21"/>
          <w:szCs w:val="21"/>
        </w:rPr>
        <w:t>变更执行</w:t>
      </w:r>
    </w:p>
    <w:p w14:paraId="4AD272D5">
      <w:pPr>
        <w:spacing w:before="148" w:line="398" w:lineRule="exact"/>
        <w:ind w:left="441"/>
        <w:rPr>
          <w:rFonts w:ascii="宋体" w:hAnsi="宋体" w:eastAsia="宋体" w:cs="宋体"/>
          <w:sz w:val="21"/>
          <w:szCs w:val="21"/>
        </w:rPr>
      </w:pPr>
      <w:r>
        <w:rPr>
          <w:rFonts w:ascii="宋体" w:hAnsi="宋体" w:eastAsia="宋体" w:cs="宋体"/>
          <w:position w:val="14"/>
          <w:sz w:val="21"/>
          <w:szCs w:val="21"/>
        </w:rPr>
        <w:t>承包人收到监理人下达的变更指示后，认为不能执行， 应立即提出不能执行该变更指</w:t>
      </w:r>
    </w:p>
    <w:p w14:paraId="27C83DDC">
      <w:pPr>
        <w:spacing w:line="219" w:lineRule="auto"/>
        <w:ind w:left="19"/>
        <w:rPr>
          <w:rFonts w:ascii="宋体" w:hAnsi="宋体" w:eastAsia="宋体" w:cs="宋体"/>
          <w:sz w:val="21"/>
          <w:szCs w:val="21"/>
        </w:rPr>
      </w:pPr>
      <w:r>
        <w:rPr>
          <w:rFonts w:ascii="宋体" w:hAnsi="宋体" w:eastAsia="宋体" w:cs="宋体"/>
          <w:sz w:val="21"/>
          <w:szCs w:val="21"/>
        </w:rPr>
        <w:t>示的理由。承包人认为可以执行变更的， 应当书面说明实施该变更指示对合同价格和工期</w:t>
      </w:r>
    </w:p>
    <w:p w14:paraId="1F9B3B05">
      <w:pPr>
        <w:spacing w:before="154" w:line="219" w:lineRule="auto"/>
        <w:ind w:left="35"/>
        <w:rPr>
          <w:rFonts w:ascii="宋体" w:hAnsi="宋体" w:eastAsia="宋体" w:cs="宋体"/>
          <w:sz w:val="21"/>
          <w:szCs w:val="21"/>
        </w:rPr>
      </w:pPr>
      <w:r>
        <w:rPr>
          <w:rFonts w:ascii="宋体" w:hAnsi="宋体" w:eastAsia="宋体" w:cs="宋体"/>
          <w:spacing w:val="-2"/>
          <w:sz w:val="21"/>
          <w:szCs w:val="21"/>
        </w:rPr>
        <w:t>的影响，且合同当事人应当按照第</w:t>
      </w:r>
      <w:r>
        <w:rPr>
          <w:rFonts w:ascii="宋体" w:hAnsi="宋体" w:eastAsia="宋体" w:cs="宋体"/>
          <w:spacing w:val="-11"/>
          <w:sz w:val="21"/>
          <w:szCs w:val="21"/>
        </w:rPr>
        <w:t xml:space="preserve"> </w:t>
      </w:r>
      <w:r>
        <w:rPr>
          <w:rFonts w:ascii="Times New Roman" w:hAnsi="Times New Roman" w:eastAsia="Times New Roman" w:cs="Times New Roman"/>
          <w:spacing w:val="-2"/>
          <w:sz w:val="21"/>
          <w:szCs w:val="21"/>
        </w:rPr>
        <w:t xml:space="preserve">10.4 </w:t>
      </w:r>
      <w:r>
        <w:rPr>
          <w:rFonts w:ascii="宋体" w:hAnsi="宋体" w:eastAsia="宋体" w:cs="宋体"/>
          <w:spacing w:val="-2"/>
          <w:sz w:val="21"/>
          <w:szCs w:val="21"/>
        </w:rPr>
        <w:t>款〔变更估价〕约定确定变更估价。</w:t>
      </w:r>
    </w:p>
    <w:p w14:paraId="51A0D00E">
      <w:pPr>
        <w:spacing w:before="48" w:line="219" w:lineRule="auto"/>
        <w:ind w:left="31"/>
        <w:rPr>
          <w:rFonts w:ascii="黑体" w:hAnsi="黑体" w:eastAsia="黑体" w:cs="黑体"/>
          <w:sz w:val="24"/>
          <w:szCs w:val="24"/>
        </w:rPr>
      </w:pPr>
      <w:r>
        <w:rPr>
          <w:rFonts w:ascii="黑体" w:hAnsi="黑体" w:eastAsia="黑体" w:cs="黑体"/>
          <w:spacing w:val="-5"/>
          <w:sz w:val="24"/>
          <w:szCs w:val="24"/>
        </w:rPr>
        <w:t>10.4</w:t>
      </w:r>
      <w:r>
        <w:rPr>
          <w:rFonts w:ascii="黑体" w:hAnsi="黑体" w:eastAsia="黑体" w:cs="黑体"/>
          <w:spacing w:val="-41"/>
          <w:sz w:val="24"/>
          <w:szCs w:val="24"/>
        </w:rPr>
        <w:t xml:space="preserve"> </w:t>
      </w:r>
      <w:r>
        <w:rPr>
          <w:rFonts w:ascii="黑体" w:hAnsi="黑体" w:eastAsia="黑体" w:cs="黑体"/>
          <w:spacing w:val="-5"/>
          <w:sz w:val="24"/>
          <w:szCs w:val="24"/>
        </w:rPr>
        <w:t>变更估价</w:t>
      </w:r>
    </w:p>
    <w:p w14:paraId="3E227787">
      <w:pPr>
        <w:spacing w:before="129" w:line="219" w:lineRule="auto"/>
        <w:ind w:left="457"/>
        <w:rPr>
          <w:rFonts w:ascii="宋体" w:hAnsi="宋体" w:eastAsia="宋体" w:cs="宋体"/>
          <w:sz w:val="21"/>
          <w:szCs w:val="21"/>
        </w:rPr>
      </w:pPr>
      <w:r>
        <w:rPr>
          <w:rFonts w:ascii="Times New Roman" w:hAnsi="Times New Roman" w:eastAsia="Times New Roman" w:cs="Times New Roman"/>
          <w:spacing w:val="-2"/>
          <w:sz w:val="21"/>
          <w:szCs w:val="21"/>
        </w:rPr>
        <w:t xml:space="preserve">10.4.1 </w:t>
      </w:r>
      <w:r>
        <w:rPr>
          <w:rFonts w:ascii="宋体" w:hAnsi="宋体" w:eastAsia="宋体" w:cs="宋体"/>
          <w:spacing w:val="-2"/>
          <w:sz w:val="21"/>
          <w:szCs w:val="21"/>
        </w:rPr>
        <w:t>变更估价原则</w:t>
      </w:r>
    </w:p>
    <w:p w14:paraId="49734C57">
      <w:pPr>
        <w:spacing w:before="150" w:line="219" w:lineRule="auto"/>
        <w:ind w:left="453"/>
        <w:rPr>
          <w:rFonts w:ascii="宋体" w:hAnsi="宋体" w:eastAsia="宋体" w:cs="宋体"/>
          <w:sz w:val="21"/>
          <w:szCs w:val="21"/>
        </w:rPr>
      </w:pPr>
      <w:r>
        <w:rPr>
          <w:rFonts w:ascii="宋体" w:hAnsi="宋体" w:eastAsia="宋体" w:cs="宋体"/>
          <w:spacing w:val="-6"/>
          <w:sz w:val="21"/>
          <w:szCs w:val="21"/>
        </w:rPr>
        <w:t>除专用合同条款另有约定外， 变更估价按照本款约定处理：</w:t>
      </w:r>
    </w:p>
    <w:p w14:paraId="51136B60">
      <w:pPr>
        <w:spacing w:before="154" w:line="219" w:lineRule="auto"/>
        <w:ind w:left="447"/>
        <w:rPr>
          <w:rFonts w:ascii="宋体" w:hAnsi="宋体" w:eastAsia="宋体" w:cs="宋体"/>
          <w:sz w:val="21"/>
          <w:szCs w:val="21"/>
        </w:rPr>
      </w:pPr>
      <w:r>
        <w:rPr>
          <w:rFonts w:ascii="宋体" w:hAnsi="宋体" w:eastAsia="宋体" w:cs="宋体"/>
          <w:sz w:val="21"/>
          <w:szCs w:val="21"/>
        </w:rPr>
        <w:t>（</w:t>
      </w:r>
      <w:r>
        <w:rPr>
          <w:rFonts w:ascii="Times New Roman" w:hAnsi="Times New Roman" w:eastAsia="Times New Roman" w:cs="Times New Roman"/>
          <w:sz w:val="21"/>
          <w:szCs w:val="21"/>
        </w:rPr>
        <w:t>1</w:t>
      </w:r>
      <w:r>
        <w:rPr>
          <w:rFonts w:ascii="宋体" w:hAnsi="宋体" w:eastAsia="宋体" w:cs="宋体"/>
          <w:sz w:val="21"/>
          <w:szCs w:val="21"/>
        </w:rPr>
        <w:t>）已标价工程量清单或预算书有相同项目的</w:t>
      </w:r>
      <w:r>
        <w:rPr>
          <w:rFonts w:ascii="宋体" w:hAnsi="宋体" w:eastAsia="宋体" w:cs="宋体"/>
          <w:spacing w:val="-1"/>
          <w:sz w:val="21"/>
          <w:szCs w:val="21"/>
        </w:rPr>
        <w:t>，按照相同项目单价认定；</w:t>
      </w:r>
    </w:p>
    <w:p w14:paraId="51B3E642">
      <w:pPr>
        <w:spacing w:before="149" w:line="399" w:lineRule="exact"/>
        <w:ind w:left="447"/>
        <w:rPr>
          <w:rFonts w:ascii="宋体" w:hAnsi="宋体" w:eastAsia="宋体" w:cs="宋体"/>
          <w:sz w:val="21"/>
          <w:szCs w:val="21"/>
        </w:rPr>
      </w:pPr>
      <w:r>
        <w:rPr>
          <w:rFonts w:ascii="宋体" w:hAnsi="宋体" w:eastAsia="宋体" w:cs="宋体"/>
          <w:spacing w:val="-4"/>
          <w:position w:val="14"/>
          <w:sz w:val="21"/>
          <w:szCs w:val="21"/>
        </w:rPr>
        <w:t>（</w:t>
      </w:r>
      <w:r>
        <w:rPr>
          <w:rFonts w:ascii="Times New Roman" w:hAnsi="Times New Roman" w:eastAsia="Times New Roman" w:cs="Times New Roman"/>
          <w:spacing w:val="-4"/>
          <w:position w:val="14"/>
          <w:sz w:val="21"/>
          <w:szCs w:val="21"/>
        </w:rPr>
        <w:t>2</w:t>
      </w:r>
      <w:r>
        <w:rPr>
          <w:rFonts w:ascii="宋体" w:hAnsi="宋体" w:eastAsia="宋体" w:cs="宋体"/>
          <w:spacing w:val="-4"/>
          <w:position w:val="14"/>
          <w:sz w:val="21"/>
          <w:szCs w:val="21"/>
        </w:rPr>
        <w:t>）已标价工程量清单或预算书中无相同项目，</w:t>
      </w:r>
      <w:r>
        <w:rPr>
          <w:rFonts w:ascii="宋体" w:hAnsi="宋体" w:eastAsia="宋体" w:cs="宋体"/>
          <w:spacing w:val="50"/>
          <w:position w:val="14"/>
          <w:sz w:val="21"/>
          <w:szCs w:val="21"/>
        </w:rPr>
        <w:t xml:space="preserve"> </w:t>
      </w:r>
      <w:r>
        <w:rPr>
          <w:rFonts w:ascii="宋体" w:hAnsi="宋体" w:eastAsia="宋体" w:cs="宋体"/>
          <w:spacing w:val="-4"/>
          <w:position w:val="14"/>
          <w:sz w:val="21"/>
          <w:szCs w:val="21"/>
        </w:rPr>
        <w:t>但有类似项目的，参照</w:t>
      </w:r>
      <w:r>
        <w:rPr>
          <w:rFonts w:ascii="宋体" w:hAnsi="宋体" w:eastAsia="宋体" w:cs="宋体"/>
          <w:spacing w:val="-5"/>
          <w:position w:val="14"/>
          <w:sz w:val="21"/>
          <w:szCs w:val="21"/>
        </w:rPr>
        <w:t>类似项目的单</w:t>
      </w:r>
    </w:p>
    <w:p w14:paraId="719861AE">
      <w:pPr>
        <w:spacing w:line="219" w:lineRule="auto"/>
        <w:ind w:left="19"/>
        <w:rPr>
          <w:rFonts w:ascii="宋体" w:hAnsi="宋体" w:eastAsia="宋体" w:cs="宋体"/>
          <w:sz w:val="21"/>
          <w:szCs w:val="21"/>
        </w:rPr>
      </w:pPr>
      <w:r>
        <w:rPr>
          <w:rFonts w:ascii="宋体" w:hAnsi="宋体" w:eastAsia="宋体" w:cs="宋体"/>
          <w:spacing w:val="-11"/>
          <w:sz w:val="21"/>
          <w:szCs w:val="21"/>
        </w:rPr>
        <w:t>价认定；</w:t>
      </w:r>
    </w:p>
    <w:p w14:paraId="36DAEE1B">
      <w:pPr>
        <w:spacing w:before="153" w:line="352" w:lineRule="auto"/>
        <w:ind w:left="17" w:right="157" w:firstLine="430"/>
        <w:rPr>
          <w:rFonts w:ascii="宋体" w:hAnsi="宋体" w:eastAsia="宋体" w:cs="宋体"/>
          <w:sz w:val="21"/>
          <w:szCs w:val="21"/>
        </w:rPr>
      </w:pPr>
      <w:r>
        <w:rPr>
          <w:rFonts w:ascii="宋体" w:hAnsi="宋体" w:eastAsia="宋体" w:cs="宋体"/>
          <w:sz w:val="21"/>
          <w:szCs w:val="21"/>
        </w:rPr>
        <w:t>（</w:t>
      </w:r>
      <w:r>
        <w:rPr>
          <w:rFonts w:ascii="Times New Roman" w:hAnsi="Times New Roman" w:eastAsia="Times New Roman" w:cs="Times New Roman"/>
          <w:sz w:val="21"/>
          <w:szCs w:val="21"/>
        </w:rPr>
        <w:t>3</w:t>
      </w:r>
      <w:r>
        <w:rPr>
          <w:rFonts w:ascii="宋体" w:hAnsi="宋体" w:eastAsia="宋体" w:cs="宋体"/>
          <w:sz w:val="21"/>
          <w:szCs w:val="21"/>
        </w:rPr>
        <w:t>）变更导致实际完成的变更工程量与已标价工程量清单或预算书中列明的该项目工</w:t>
      </w:r>
      <w:r>
        <w:rPr>
          <w:rFonts w:ascii="宋体" w:hAnsi="宋体" w:eastAsia="宋体" w:cs="宋体"/>
          <w:spacing w:val="3"/>
          <w:sz w:val="21"/>
          <w:szCs w:val="21"/>
        </w:rPr>
        <w:t xml:space="preserve"> </w:t>
      </w:r>
      <w:r>
        <w:rPr>
          <w:rFonts w:ascii="宋体" w:hAnsi="宋体" w:eastAsia="宋体" w:cs="宋体"/>
          <w:spacing w:val="1"/>
          <w:sz w:val="21"/>
          <w:szCs w:val="21"/>
        </w:rPr>
        <w:t xml:space="preserve">程量的变化幅度超过 </w:t>
      </w:r>
      <w:r>
        <w:rPr>
          <w:rFonts w:ascii="Times New Roman" w:hAnsi="Times New Roman" w:eastAsia="Times New Roman" w:cs="Times New Roman"/>
          <w:spacing w:val="1"/>
          <w:sz w:val="21"/>
          <w:szCs w:val="21"/>
        </w:rPr>
        <w:t>15%</w:t>
      </w:r>
      <w:r>
        <w:rPr>
          <w:rFonts w:ascii="宋体" w:hAnsi="宋体" w:eastAsia="宋体" w:cs="宋体"/>
          <w:spacing w:val="1"/>
          <w:sz w:val="21"/>
          <w:szCs w:val="21"/>
        </w:rPr>
        <w:t>的，或已标价工程量清单或预算书中无相同项目及类似项目单价</w:t>
      </w:r>
      <w:r>
        <w:rPr>
          <w:rFonts w:ascii="宋体" w:hAnsi="宋体" w:eastAsia="宋体" w:cs="宋体"/>
          <w:sz w:val="21"/>
          <w:szCs w:val="21"/>
        </w:rPr>
        <w:t xml:space="preserve"> 的，按照合理的成本与利润构成的原则，由合同当事人</w:t>
      </w:r>
      <w:r>
        <w:rPr>
          <w:rFonts w:ascii="宋体" w:hAnsi="宋体" w:eastAsia="宋体" w:cs="宋体"/>
          <w:spacing w:val="-1"/>
          <w:sz w:val="21"/>
          <w:szCs w:val="21"/>
        </w:rPr>
        <w:t>按照第</w:t>
      </w:r>
      <w:r>
        <w:rPr>
          <w:rFonts w:ascii="宋体" w:hAnsi="宋体" w:eastAsia="宋体" w:cs="宋体"/>
          <w:spacing w:val="-60"/>
          <w:sz w:val="21"/>
          <w:szCs w:val="21"/>
        </w:rPr>
        <w:t xml:space="preserve"> </w:t>
      </w:r>
      <w:r>
        <w:rPr>
          <w:rFonts w:ascii="Times New Roman" w:hAnsi="Times New Roman" w:eastAsia="Times New Roman" w:cs="Times New Roman"/>
          <w:spacing w:val="-1"/>
          <w:sz w:val="21"/>
          <w:szCs w:val="21"/>
        </w:rPr>
        <w:t>4.4</w:t>
      </w:r>
      <w:r>
        <w:rPr>
          <w:rFonts w:ascii="Times New Roman" w:hAnsi="Times New Roman" w:eastAsia="Times New Roman" w:cs="Times New Roman"/>
          <w:spacing w:val="-15"/>
          <w:sz w:val="21"/>
          <w:szCs w:val="21"/>
        </w:rPr>
        <w:t xml:space="preserve"> </w:t>
      </w:r>
      <w:r>
        <w:rPr>
          <w:rFonts w:ascii="宋体" w:hAnsi="宋体" w:eastAsia="宋体" w:cs="宋体"/>
          <w:spacing w:val="-1"/>
          <w:sz w:val="21"/>
          <w:szCs w:val="21"/>
        </w:rPr>
        <w:t>款〔商定或确定〕确定变</w:t>
      </w:r>
    </w:p>
    <w:p w14:paraId="61A45B42">
      <w:pPr>
        <w:spacing w:line="219" w:lineRule="auto"/>
        <w:ind w:left="20"/>
        <w:rPr>
          <w:rFonts w:ascii="宋体" w:hAnsi="宋体" w:eastAsia="宋体" w:cs="宋体"/>
          <w:sz w:val="21"/>
          <w:szCs w:val="21"/>
        </w:rPr>
      </w:pPr>
      <w:r>
        <w:rPr>
          <w:rFonts w:ascii="宋体" w:hAnsi="宋体" w:eastAsia="宋体" w:cs="宋体"/>
          <w:spacing w:val="-4"/>
          <w:sz w:val="21"/>
          <w:szCs w:val="21"/>
        </w:rPr>
        <w:t>更工作的单价。</w:t>
      </w:r>
    </w:p>
    <w:p w14:paraId="28E2A85E">
      <w:pPr>
        <w:spacing w:before="150" w:line="219" w:lineRule="auto"/>
        <w:ind w:left="457"/>
        <w:rPr>
          <w:rFonts w:ascii="宋体" w:hAnsi="宋体" w:eastAsia="宋体" w:cs="宋体"/>
          <w:sz w:val="21"/>
          <w:szCs w:val="21"/>
        </w:rPr>
      </w:pPr>
      <w:r>
        <w:rPr>
          <w:rFonts w:ascii="Times New Roman" w:hAnsi="Times New Roman" w:eastAsia="Times New Roman" w:cs="Times New Roman"/>
          <w:spacing w:val="-2"/>
          <w:sz w:val="21"/>
          <w:szCs w:val="21"/>
        </w:rPr>
        <w:t xml:space="preserve">10.4.2 </w:t>
      </w:r>
      <w:r>
        <w:rPr>
          <w:rFonts w:ascii="宋体" w:hAnsi="宋体" w:eastAsia="宋体" w:cs="宋体"/>
          <w:spacing w:val="-2"/>
          <w:sz w:val="21"/>
          <w:szCs w:val="21"/>
        </w:rPr>
        <w:t>变更估价程序</w:t>
      </w:r>
    </w:p>
    <w:p w14:paraId="45ECAD34">
      <w:pPr>
        <w:spacing w:line="219" w:lineRule="auto"/>
        <w:rPr>
          <w:rFonts w:ascii="宋体" w:hAnsi="宋体" w:eastAsia="宋体" w:cs="宋体"/>
          <w:sz w:val="21"/>
          <w:szCs w:val="21"/>
        </w:rPr>
        <w:sectPr>
          <w:footerReference r:id="rId115" w:type="default"/>
          <w:pgSz w:w="11905" w:h="16839"/>
          <w:pgMar w:top="1431" w:right="1633" w:bottom="1004" w:left="1785" w:header="0" w:footer="828" w:gutter="0"/>
          <w:pgNumType w:fmt="decimal"/>
          <w:cols w:space="720" w:num="1"/>
        </w:sectPr>
      </w:pPr>
    </w:p>
    <w:p w14:paraId="1033D3AB">
      <w:pPr>
        <w:spacing w:before="148" w:line="352" w:lineRule="auto"/>
        <w:ind w:left="18" w:right="15" w:firstLine="422"/>
        <w:jc w:val="both"/>
        <w:rPr>
          <w:rFonts w:ascii="宋体" w:hAnsi="宋体" w:eastAsia="宋体" w:cs="宋体"/>
          <w:sz w:val="21"/>
          <w:szCs w:val="21"/>
        </w:rPr>
      </w:pPr>
      <w:r>
        <w:rPr>
          <w:rFonts w:ascii="宋体" w:hAnsi="宋体" w:eastAsia="宋体" w:cs="宋体"/>
          <w:spacing w:val="-2"/>
          <w:sz w:val="21"/>
          <w:szCs w:val="21"/>
        </w:rPr>
        <w:t xml:space="preserve">承包人应在收到变更指示后 </w:t>
      </w:r>
      <w:r>
        <w:rPr>
          <w:rFonts w:ascii="Times New Roman" w:hAnsi="Times New Roman" w:eastAsia="Times New Roman" w:cs="Times New Roman"/>
          <w:spacing w:val="-2"/>
          <w:sz w:val="21"/>
          <w:szCs w:val="21"/>
        </w:rPr>
        <w:t xml:space="preserve">14 </w:t>
      </w:r>
      <w:r>
        <w:rPr>
          <w:rFonts w:ascii="宋体" w:hAnsi="宋体" w:eastAsia="宋体" w:cs="宋体"/>
          <w:spacing w:val="-2"/>
          <w:sz w:val="21"/>
          <w:szCs w:val="21"/>
        </w:rPr>
        <w:t xml:space="preserve">天内，向监理人提交变更估价申请。监理人应在收到承  </w:t>
      </w:r>
      <w:r>
        <w:rPr>
          <w:rFonts w:ascii="宋体" w:hAnsi="宋体" w:eastAsia="宋体" w:cs="宋体"/>
          <w:spacing w:val="-1"/>
          <w:sz w:val="21"/>
          <w:szCs w:val="21"/>
        </w:rPr>
        <w:t xml:space="preserve">包人提交的变更估价申请后 </w:t>
      </w:r>
      <w:r>
        <w:rPr>
          <w:rFonts w:ascii="Times New Roman" w:hAnsi="Times New Roman" w:eastAsia="Times New Roman" w:cs="Times New Roman"/>
          <w:spacing w:val="-1"/>
          <w:sz w:val="21"/>
          <w:szCs w:val="21"/>
        </w:rPr>
        <w:t>7</w:t>
      </w:r>
      <w:r>
        <w:rPr>
          <w:rFonts w:ascii="Times New Roman" w:hAnsi="Times New Roman" w:eastAsia="Times New Roman" w:cs="Times New Roman"/>
          <w:spacing w:val="59"/>
          <w:w w:val="101"/>
          <w:sz w:val="21"/>
          <w:szCs w:val="21"/>
        </w:rPr>
        <w:t xml:space="preserve"> </w:t>
      </w:r>
      <w:r>
        <w:rPr>
          <w:rFonts w:ascii="宋体" w:hAnsi="宋体" w:eastAsia="宋体" w:cs="宋体"/>
          <w:spacing w:val="-1"/>
          <w:sz w:val="21"/>
          <w:szCs w:val="21"/>
        </w:rPr>
        <w:t>天内审查完毕并报送发包人，监理人对变更估价申请有异议，</w:t>
      </w:r>
      <w:r>
        <w:rPr>
          <w:rFonts w:ascii="宋体" w:hAnsi="宋体" w:eastAsia="宋体" w:cs="宋体"/>
          <w:sz w:val="21"/>
          <w:szCs w:val="21"/>
        </w:rPr>
        <w:t xml:space="preserve"> </w:t>
      </w:r>
      <w:r>
        <w:rPr>
          <w:rFonts w:ascii="宋体" w:hAnsi="宋体" w:eastAsia="宋体" w:cs="宋体"/>
          <w:spacing w:val="-3"/>
          <w:sz w:val="21"/>
          <w:szCs w:val="21"/>
        </w:rPr>
        <w:t>通知承包人修改后重新提交。发包人应在承包</w:t>
      </w:r>
      <w:r>
        <w:rPr>
          <w:rFonts w:ascii="宋体" w:hAnsi="宋体" w:eastAsia="宋体" w:cs="宋体"/>
          <w:spacing w:val="-4"/>
          <w:sz w:val="21"/>
          <w:szCs w:val="21"/>
        </w:rPr>
        <w:t xml:space="preserve">人提交变更估价申请后 </w:t>
      </w:r>
      <w:r>
        <w:rPr>
          <w:rFonts w:ascii="Times New Roman" w:hAnsi="Times New Roman" w:eastAsia="Times New Roman" w:cs="Times New Roman"/>
          <w:spacing w:val="-4"/>
          <w:sz w:val="21"/>
          <w:szCs w:val="21"/>
        </w:rPr>
        <w:t>14</w:t>
      </w:r>
      <w:r>
        <w:rPr>
          <w:rFonts w:ascii="Times New Roman" w:hAnsi="Times New Roman" w:eastAsia="Times New Roman" w:cs="Times New Roman"/>
          <w:spacing w:val="13"/>
          <w:w w:val="101"/>
          <w:sz w:val="21"/>
          <w:szCs w:val="21"/>
        </w:rPr>
        <w:t xml:space="preserve"> </w:t>
      </w:r>
      <w:r>
        <w:rPr>
          <w:rFonts w:ascii="宋体" w:hAnsi="宋体" w:eastAsia="宋体" w:cs="宋体"/>
          <w:spacing w:val="-4"/>
          <w:sz w:val="21"/>
          <w:szCs w:val="21"/>
        </w:rPr>
        <w:t>天内审批完毕。 发</w:t>
      </w:r>
    </w:p>
    <w:p w14:paraId="35D63EED">
      <w:pPr>
        <w:spacing w:line="219" w:lineRule="auto"/>
        <w:ind w:left="18"/>
        <w:rPr>
          <w:rFonts w:ascii="宋体" w:hAnsi="宋体" w:eastAsia="宋体" w:cs="宋体"/>
          <w:sz w:val="21"/>
          <w:szCs w:val="21"/>
        </w:rPr>
      </w:pPr>
      <w:r>
        <w:rPr>
          <w:rFonts w:ascii="宋体" w:hAnsi="宋体" w:eastAsia="宋体" w:cs="宋体"/>
          <w:spacing w:val="-4"/>
          <w:sz w:val="21"/>
          <w:szCs w:val="21"/>
        </w:rPr>
        <w:t>包人逾期未完成审批或未提出异议的， 视为认可承包人提交的变更估价申请。</w:t>
      </w:r>
    </w:p>
    <w:p w14:paraId="5CDE76A5">
      <w:pPr>
        <w:spacing w:before="149" w:line="219" w:lineRule="auto"/>
        <w:ind w:left="457"/>
        <w:rPr>
          <w:rFonts w:ascii="宋体" w:hAnsi="宋体" w:eastAsia="宋体" w:cs="宋体"/>
          <w:sz w:val="21"/>
          <w:szCs w:val="21"/>
        </w:rPr>
      </w:pPr>
      <w:r>
        <w:rPr>
          <w:rFonts w:ascii="宋体" w:hAnsi="宋体" w:eastAsia="宋体" w:cs="宋体"/>
          <w:spacing w:val="-2"/>
          <w:sz w:val="21"/>
          <w:szCs w:val="21"/>
        </w:rPr>
        <w:t>因变更引起的价格调整应计入最近一期的进度款中支付。</w:t>
      </w:r>
    </w:p>
    <w:p w14:paraId="1A47591A">
      <w:pPr>
        <w:spacing w:before="52" w:line="219" w:lineRule="auto"/>
        <w:ind w:left="31"/>
        <w:rPr>
          <w:rFonts w:ascii="黑体" w:hAnsi="黑体" w:eastAsia="黑体" w:cs="黑体"/>
          <w:sz w:val="24"/>
          <w:szCs w:val="24"/>
        </w:rPr>
      </w:pPr>
      <w:r>
        <w:rPr>
          <w:rFonts w:ascii="黑体" w:hAnsi="黑体" w:eastAsia="黑体" w:cs="黑体"/>
          <w:spacing w:val="-3"/>
          <w:sz w:val="24"/>
          <w:szCs w:val="24"/>
        </w:rPr>
        <w:t>10.5</w:t>
      </w:r>
      <w:r>
        <w:rPr>
          <w:rFonts w:ascii="黑体" w:hAnsi="黑体" w:eastAsia="黑体" w:cs="黑体"/>
          <w:spacing w:val="-45"/>
          <w:sz w:val="24"/>
          <w:szCs w:val="24"/>
        </w:rPr>
        <w:t xml:space="preserve"> </w:t>
      </w:r>
      <w:r>
        <w:rPr>
          <w:rFonts w:ascii="黑体" w:hAnsi="黑体" w:eastAsia="黑体" w:cs="黑体"/>
          <w:spacing w:val="-3"/>
          <w:sz w:val="24"/>
          <w:szCs w:val="24"/>
        </w:rPr>
        <w:t>承包人的合理化建议</w:t>
      </w:r>
    </w:p>
    <w:p w14:paraId="73362F55">
      <w:pPr>
        <w:spacing w:before="129" w:line="398" w:lineRule="exact"/>
        <w:jc w:val="right"/>
        <w:rPr>
          <w:rFonts w:ascii="宋体" w:hAnsi="宋体" w:eastAsia="宋体" w:cs="宋体"/>
          <w:sz w:val="21"/>
          <w:szCs w:val="21"/>
        </w:rPr>
      </w:pPr>
      <w:r>
        <w:rPr>
          <w:rFonts w:ascii="宋体" w:hAnsi="宋体" w:eastAsia="宋体" w:cs="宋体"/>
          <w:spacing w:val="-1"/>
          <w:position w:val="14"/>
          <w:sz w:val="21"/>
          <w:szCs w:val="21"/>
        </w:rPr>
        <w:t>承包人提出合理化建议的， 应向监理人提交合理化建议说明，说明建议的内容和理由，</w:t>
      </w:r>
    </w:p>
    <w:p w14:paraId="17920219">
      <w:pPr>
        <w:spacing w:line="219" w:lineRule="auto"/>
        <w:ind w:left="42"/>
        <w:rPr>
          <w:rFonts w:ascii="宋体" w:hAnsi="宋体" w:eastAsia="宋体" w:cs="宋体"/>
          <w:sz w:val="21"/>
          <w:szCs w:val="21"/>
        </w:rPr>
      </w:pPr>
      <w:r>
        <w:rPr>
          <w:rFonts w:ascii="宋体" w:hAnsi="宋体" w:eastAsia="宋体" w:cs="宋体"/>
          <w:spacing w:val="-3"/>
          <w:sz w:val="21"/>
          <w:szCs w:val="21"/>
        </w:rPr>
        <w:t>以及实施该建议对合同价格和工期的影响。</w:t>
      </w:r>
    </w:p>
    <w:p w14:paraId="7DF2B95E">
      <w:pPr>
        <w:spacing w:before="151" w:line="352" w:lineRule="auto"/>
        <w:ind w:left="20" w:right="174" w:firstLine="433"/>
        <w:rPr>
          <w:rFonts w:ascii="宋体" w:hAnsi="宋体" w:eastAsia="宋体" w:cs="宋体"/>
          <w:sz w:val="21"/>
          <w:szCs w:val="21"/>
        </w:rPr>
      </w:pPr>
      <w:r>
        <w:rPr>
          <w:rFonts w:ascii="宋体" w:hAnsi="宋体" w:eastAsia="宋体" w:cs="宋体"/>
          <w:sz w:val="21"/>
          <w:szCs w:val="21"/>
        </w:rPr>
        <w:t xml:space="preserve">除专用合同条款另有约定外，监理人应在收到承包人提交的合理化建议后 </w:t>
      </w:r>
      <w:r>
        <w:rPr>
          <w:rFonts w:ascii="Times New Roman" w:hAnsi="Times New Roman" w:eastAsia="Times New Roman" w:cs="Times New Roman"/>
          <w:sz w:val="21"/>
          <w:szCs w:val="21"/>
        </w:rPr>
        <w:t xml:space="preserve">7  </w:t>
      </w:r>
      <w:r>
        <w:rPr>
          <w:rFonts w:ascii="宋体" w:hAnsi="宋体" w:eastAsia="宋体" w:cs="宋体"/>
          <w:sz w:val="21"/>
          <w:szCs w:val="21"/>
        </w:rPr>
        <w:t>天</w:t>
      </w:r>
      <w:r>
        <w:rPr>
          <w:rFonts w:ascii="宋体" w:hAnsi="宋体" w:eastAsia="宋体" w:cs="宋体"/>
          <w:spacing w:val="-1"/>
          <w:sz w:val="21"/>
          <w:szCs w:val="21"/>
        </w:rPr>
        <w:t>内审查</w:t>
      </w:r>
      <w:r>
        <w:rPr>
          <w:rFonts w:ascii="宋体" w:hAnsi="宋体" w:eastAsia="宋体" w:cs="宋体"/>
          <w:sz w:val="21"/>
          <w:szCs w:val="21"/>
        </w:rPr>
        <w:t xml:space="preserve"> </w:t>
      </w:r>
      <w:r>
        <w:rPr>
          <w:rFonts w:ascii="宋体" w:hAnsi="宋体" w:eastAsia="宋体" w:cs="宋体"/>
          <w:spacing w:val="3"/>
          <w:sz w:val="21"/>
          <w:szCs w:val="21"/>
        </w:rPr>
        <w:t>完毕并报送发包人，发现其中存在技术上的缺陷，应通知承包人修改。发</w:t>
      </w:r>
      <w:r>
        <w:rPr>
          <w:rFonts w:ascii="宋体" w:hAnsi="宋体" w:eastAsia="宋体" w:cs="宋体"/>
          <w:spacing w:val="2"/>
          <w:sz w:val="21"/>
          <w:szCs w:val="21"/>
        </w:rPr>
        <w:t>包人应在收到监</w:t>
      </w:r>
      <w:r>
        <w:rPr>
          <w:rFonts w:ascii="宋体" w:hAnsi="宋体" w:eastAsia="宋体" w:cs="宋体"/>
          <w:sz w:val="21"/>
          <w:szCs w:val="21"/>
        </w:rPr>
        <w:t xml:space="preserve"> 理人报送的合理化建议后 </w:t>
      </w:r>
      <w:r>
        <w:rPr>
          <w:rFonts w:ascii="Times New Roman" w:hAnsi="Times New Roman" w:eastAsia="Times New Roman" w:cs="Times New Roman"/>
          <w:sz w:val="21"/>
          <w:szCs w:val="21"/>
        </w:rPr>
        <w:t xml:space="preserve">7  </w:t>
      </w:r>
      <w:r>
        <w:rPr>
          <w:rFonts w:ascii="宋体" w:hAnsi="宋体" w:eastAsia="宋体" w:cs="宋体"/>
          <w:sz w:val="21"/>
          <w:szCs w:val="21"/>
        </w:rPr>
        <w:t>天内审批完毕。合理化建议经发包人批准的，监理人应及时发</w:t>
      </w:r>
      <w:r>
        <w:rPr>
          <w:rFonts w:ascii="宋体" w:hAnsi="宋体" w:eastAsia="宋体" w:cs="宋体"/>
          <w:spacing w:val="9"/>
          <w:sz w:val="21"/>
          <w:szCs w:val="21"/>
        </w:rPr>
        <w:t xml:space="preserve"> </w:t>
      </w:r>
      <w:r>
        <w:rPr>
          <w:rFonts w:ascii="宋体" w:hAnsi="宋体" w:eastAsia="宋体" w:cs="宋体"/>
          <w:sz w:val="21"/>
          <w:szCs w:val="21"/>
        </w:rPr>
        <w:t xml:space="preserve">出变更指示，由此引起的合同价格调整按照第 </w:t>
      </w:r>
      <w:r>
        <w:rPr>
          <w:rFonts w:ascii="Times New Roman" w:hAnsi="Times New Roman" w:eastAsia="Times New Roman" w:cs="Times New Roman"/>
          <w:sz w:val="21"/>
          <w:szCs w:val="21"/>
        </w:rPr>
        <w:t>10.4</w:t>
      </w:r>
      <w:r>
        <w:rPr>
          <w:rFonts w:ascii="Times New Roman" w:hAnsi="Times New Roman" w:eastAsia="Times New Roman" w:cs="Times New Roman"/>
          <w:spacing w:val="29"/>
          <w:sz w:val="21"/>
          <w:szCs w:val="21"/>
        </w:rPr>
        <w:t xml:space="preserve"> </w:t>
      </w:r>
      <w:r>
        <w:rPr>
          <w:rFonts w:ascii="宋体" w:hAnsi="宋体" w:eastAsia="宋体" w:cs="宋体"/>
          <w:sz w:val="21"/>
          <w:szCs w:val="21"/>
        </w:rPr>
        <w:t>款〔变</w:t>
      </w:r>
      <w:r>
        <w:rPr>
          <w:rFonts w:ascii="宋体" w:hAnsi="宋体" w:eastAsia="宋体" w:cs="宋体"/>
          <w:spacing w:val="-1"/>
          <w:sz w:val="21"/>
          <w:szCs w:val="21"/>
        </w:rPr>
        <w:t>更估价〕约定执行。发包人不同</w:t>
      </w:r>
    </w:p>
    <w:p w14:paraId="0FD89FCB">
      <w:pPr>
        <w:spacing w:before="1" w:line="219" w:lineRule="auto"/>
        <w:ind w:left="24"/>
        <w:rPr>
          <w:rFonts w:ascii="宋体" w:hAnsi="宋体" w:eastAsia="宋体" w:cs="宋体"/>
          <w:sz w:val="21"/>
          <w:szCs w:val="21"/>
        </w:rPr>
      </w:pPr>
      <w:r>
        <w:rPr>
          <w:rFonts w:ascii="宋体" w:hAnsi="宋体" w:eastAsia="宋体" w:cs="宋体"/>
          <w:spacing w:val="-8"/>
          <w:sz w:val="21"/>
          <w:szCs w:val="21"/>
        </w:rPr>
        <w:t>意变更的， 监理人应书面通知承包人。</w:t>
      </w:r>
    </w:p>
    <w:p w14:paraId="32876F9C">
      <w:pPr>
        <w:spacing w:before="149" w:line="219" w:lineRule="auto"/>
        <w:jc w:val="right"/>
        <w:rPr>
          <w:rFonts w:ascii="宋体" w:hAnsi="宋体" w:eastAsia="宋体" w:cs="宋体"/>
          <w:sz w:val="21"/>
          <w:szCs w:val="21"/>
        </w:rPr>
      </w:pPr>
      <w:r>
        <w:rPr>
          <w:rFonts w:ascii="宋体" w:hAnsi="宋体" w:eastAsia="宋体" w:cs="宋体"/>
          <w:spacing w:val="2"/>
          <w:sz w:val="21"/>
          <w:szCs w:val="21"/>
        </w:rPr>
        <w:t>合理化建议降低了合同价格或者提高了工程经济效益的，发包人</w:t>
      </w:r>
      <w:r>
        <w:rPr>
          <w:rFonts w:ascii="宋体" w:hAnsi="宋体" w:eastAsia="宋体" w:cs="宋体"/>
          <w:spacing w:val="1"/>
          <w:sz w:val="21"/>
          <w:szCs w:val="21"/>
        </w:rPr>
        <w:t>可对承包人给予奖励，</w:t>
      </w:r>
    </w:p>
    <w:p w14:paraId="6182969F">
      <w:pPr>
        <w:spacing w:before="148" w:line="221" w:lineRule="auto"/>
        <w:ind w:left="20"/>
        <w:rPr>
          <w:rFonts w:ascii="宋体" w:hAnsi="宋体" w:eastAsia="宋体" w:cs="宋体"/>
          <w:sz w:val="21"/>
          <w:szCs w:val="21"/>
        </w:rPr>
      </w:pPr>
      <w:r>
        <w:rPr>
          <w:rFonts w:ascii="宋体" w:hAnsi="宋体" w:eastAsia="宋体" w:cs="宋体"/>
          <w:spacing w:val="-2"/>
          <w:sz w:val="21"/>
          <w:szCs w:val="21"/>
        </w:rPr>
        <w:t>奖励的方法和金额在专用合同条款中约定。</w:t>
      </w:r>
    </w:p>
    <w:p w14:paraId="5958F24E">
      <w:pPr>
        <w:spacing w:before="46" w:line="219" w:lineRule="auto"/>
        <w:ind w:left="31"/>
        <w:rPr>
          <w:rFonts w:ascii="黑体" w:hAnsi="黑体" w:eastAsia="黑体" w:cs="黑体"/>
          <w:sz w:val="24"/>
          <w:szCs w:val="24"/>
        </w:rPr>
      </w:pPr>
      <w:r>
        <w:rPr>
          <w:rFonts w:ascii="黑体" w:hAnsi="黑体" w:eastAsia="黑体" w:cs="黑体"/>
          <w:spacing w:val="-3"/>
          <w:sz w:val="24"/>
          <w:szCs w:val="24"/>
        </w:rPr>
        <w:t>10.6</w:t>
      </w:r>
      <w:r>
        <w:rPr>
          <w:rFonts w:ascii="黑体" w:hAnsi="黑体" w:eastAsia="黑体" w:cs="黑体"/>
          <w:spacing w:val="-44"/>
          <w:sz w:val="24"/>
          <w:szCs w:val="24"/>
        </w:rPr>
        <w:t xml:space="preserve"> </w:t>
      </w:r>
      <w:r>
        <w:rPr>
          <w:rFonts w:ascii="黑体" w:hAnsi="黑体" w:eastAsia="黑体" w:cs="黑体"/>
          <w:spacing w:val="-3"/>
          <w:sz w:val="24"/>
          <w:szCs w:val="24"/>
        </w:rPr>
        <w:t>变更引起的工期调整</w:t>
      </w:r>
    </w:p>
    <w:p w14:paraId="0E46D1AF">
      <w:pPr>
        <w:spacing w:before="129" w:line="221" w:lineRule="auto"/>
        <w:ind w:left="457"/>
        <w:rPr>
          <w:rFonts w:ascii="Times New Roman" w:hAnsi="Times New Roman" w:eastAsia="Times New Roman" w:cs="Times New Roman"/>
          <w:sz w:val="21"/>
          <w:szCs w:val="21"/>
        </w:rPr>
      </w:pPr>
      <w:r>
        <w:rPr>
          <w:rFonts w:ascii="宋体" w:hAnsi="宋体" w:eastAsia="宋体" w:cs="宋体"/>
          <w:spacing w:val="-1"/>
          <w:sz w:val="21"/>
          <w:szCs w:val="21"/>
        </w:rPr>
        <w:t>因变更引起工期变化的，合同当事人均可要求调整合同工期，由合同当事人按照第</w:t>
      </w:r>
      <w:r>
        <w:rPr>
          <w:rFonts w:ascii="宋体" w:hAnsi="宋体" w:eastAsia="宋体" w:cs="宋体"/>
          <w:spacing w:val="-15"/>
          <w:sz w:val="21"/>
          <w:szCs w:val="21"/>
        </w:rPr>
        <w:t xml:space="preserve"> </w:t>
      </w:r>
      <w:r>
        <w:rPr>
          <w:rFonts w:ascii="Times New Roman" w:hAnsi="Times New Roman" w:eastAsia="Times New Roman" w:cs="Times New Roman"/>
          <w:spacing w:val="-1"/>
          <w:sz w:val="21"/>
          <w:szCs w:val="21"/>
        </w:rPr>
        <w:t>4.4</w:t>
      </w:r>
    </w:p>
    <w:p w14:paraId="7CCB789D">
      <w:pPr>
        <w:spacing w:before="152" w:line="221" w:lineRule="auto"/>
        <w:ind w:left="19"/>
        <w:rPr>
          <w:rFonts w:ascii="宋体" w:hAnsi="宋体" w:eastAsia="宋体" w:cs="宋体"/>
          <w:sz w:val="21"/>
          <w:szCs w:val="21"/>
        </w:rPr>
      </w:pPr>
      <w:r>
        <w:rPr>
          <w:rFonts w:ascii="宋体" w:hAnsi="宋体" w:eastAsia="宋体" w:cs="宋体"/>
          <w:spacing w:val="-1"/>
          <w:sz w:val="21"/>
          <w:szCs w:val="21"/>
        </w:rPr>
        <w:t>款〔商定或确定〕并参考工程所在地的工期定额标准确定增减工期天数。</w:t>
      </w:r>
    </w:p>
    <w:p w14:paraId="7C490FD7">
      <w:pPr>
        <w:spacing w:before="45" w:line="219" w:lineRule="auto"/>
        <w:ind w:left="31"/>
        <w:rPr>
          <w:rFonts w:ascii="黑体" w:hAnsi="黑体" w:eastAsia="黑体" w:cs="黑体"/>
          <w:sz w:val="24"/>
          <w:szCs w:val="24"/>
        </w:rPr>
      </w:pPr>
      <w:r>
        <w:rPr>
          <w:rFonts w:ascii="黑体" w:hAnsi="黑体" w:eastAsia="黑体" w:cs="黑体"/>
          <w:spacing w:val="-5"/>
          <w:sz w:val="24"/>
          <w:szCs w:val="24"/>
        </w:rPr>
        <w:t>10.7</w:t>
      </w:r>
      <w:r>
        <w:rPr>
          <w:rFonts w:ascii="黑体" w:hAnsi="黑体" w:eastAsia="黑体" w:cs="黑体"/>
          <w:spacing w:val="-44"/>
          <w:sz w:val="24"/>
          <w:szCs w:val="24"/>
        </w:rPr>
        <w:t xml:space="preserve"> </w:t>
      </w:r>
      <w:r>
        <w:rPr>
          <w:rFonts w:ascii="黑体" w:hAnsi="黑体" w:eastAsia="黑体" w:cs="黑体"/>
          <w:spacing w:val="-5"/>
          <w:sz w:val="24"/>
          <w:szCs w:val="24"/>
        </w:rPr>
        <w:t>暂估价</w:t>
      </w:r>
    </w:p>
    <w:p w14:paraId="1699949F">
      <w:pPr>
        <w:spacing w:before="130" w:line="398" w:lineRule="exact"/>
        <w:ind w:left="447"/>
        <w:rPr>
          <w:rFonts w:ascii="宋体" w:hAnsi="宋体" w:eastAsia="宋体" w:cs="宋体"/>
          <w:sz w:val="21"/>
          <w:szCs w:val="21"/>
        </w:rPr>
      </w:pPr>
      <w:r>
        <w:rPr>
          <w:rFonts w:ascii="宋体" w:hAnsi="宋体" w:eastAsia="宋体" w:cs="宋体"/>
          <w:position w:val="14"/>
          <w:sz w:val="21"/>
          <w:szCs w:val="21"/>
        </w:rPr>
        <w:t>暂估价专业分包工程、 服务、材料和工程设备的明细由合同当事人在专用合同条款中</w:t>
      </w:r>
    </w:p>
    <w:p w14:paraId="24758096">
      <w:pPr>
        <w:spacing w:line="221" w:lineRule="auto"/>
        <w:ind w:left="23"/>
        <w:rPr>
          <w:rFonts w:ascii="宋体" w:hAnsi="宋体" w:eastAsia="宋体" w:cs="宋体"/>
          <w:sz w:val="21"/>
          <w:szCs w:val="21"/>
        </w:rPr>
      </w:pPr>
      <w:r>
        <w:rPr>
          <w:rFonts w:ascii="宋体" w:hAnsi="宋体" w:eastAsia="宋体" w:cs="宋体"/>
          <w:spacing w:val="-10"/>
          <w:sz w:val="21"/>
          <w:szCs w:val="21"/>
        </w:rPr>
        <w:t>约定。</w:t>
      </w:r>
    </w:p>
    <w:p w14:paraId="7A3E61AC">
      <w:pPr>
        <w:spacing w:before="152" w:line="219" w:lineRule="auto"/>
        <w:ind w:left="457"/>
        <w:rPr>
          <w:rFonts w:ascii="宋体" w:hAnsi="宋体" w:eastAsia="宋体" w:cs="宋体"/>
          <w:sz w:val="21"/>
          <w:szCs w:val="21"/>
        </w:rPr>
      </w:pPr>
      <w:r>
        <w:rPr>
          <w:rFonts w:ascii="Times New Roman" w:hAnsi="Times New Roman" w:eastAsia="Times New Roman" w:cs="Times New Roman"/>
          <w:spacing w:val="-2"/>
          <w:sz w:val="21"/>
          <w:szCs w:val="21"/>
        </w:rPr>
        <w:t xml:space="preserve">10.7.1 </w:t>
      </w:r>
      <w:r>
        <w:rPr>
          <w:rFonts w:ascii="宋体" w:hAnsi="宋体" w:eastAsia="宋体" w:cs="宋体"/>
          <w:spacing w:val="-2"/>
          <w:sz w:val="21"/>
          <w:szCs w:val="21"/>
        </w:rPr>
        <w:t>依法必须招标的暂估价项目</w:t>
      </w:r>
    </w:p>
    <w:p w14:paraId="27A29E2E">
      <w:pPr>
        <w:spacing w:before="149" w:line="399" w:lineRule="exact"/>
        <w:ind w:left="440"/>
        <w:rPr>
          <w:rFonts w:ascii="宋体" w:hAnsi="宋体" w:eastAsia="宋体" w:cs="宋体"/>
          <w:sz w:val="21"/>
          <w:szCs w:val="21"/>
        </w:rPr>
      </w:pPr>
      <w:r>
        <w:rPr>
          <w:rFonts w:ascii="宋体" w:hAnsi="宋体" w:eastAsia="宋体" w:cs="宋体"/>
          <w:position w:val="14"/>
          <w:sz w:val="21"/>
          <w:szCs w:val="21"/>
        </w:rPr>
        <w:t>对于依法必须招标的暂估价项目，采取以下第</w:t>
      </w:r>
      <w:r>
        <w:rPr>
          <w:rFonts w:ascii="宋体" w:hAnsi="宋体" w:eastAsia="宋体" w:cs="宋体"/>
          <w:spacing w:val="26"/>
          <w:position w:val="14"/>
          <w:sz w:val="21"/>
          <w:szCs w:val="21"/>
        </w:rPr>
        <w:t xml:space="preserve"> </w:t>
      </w:r>
      <w:r>
        <w:rPr>
          <w:rFonts w:ascii="Times New Roman" w:hAnsi="Times New Roman" w:eastAsia="Times New Roman" w:cs="Times New Roman"/>
          <w:position w:val="14"/>
          <w:sz w:val="21"/>
          <w:szCs w:val="21"/>
        </w:rPr>
        <w:t>1</w:t>
      </w:r>
      <w:r>
        <w:rPr>
          <w:rFonts w:ascii="Times New Roman" w:hAnsi="Times New Roman" w:eastAsia="Times New Roman" w:cs="Times New Roman"/>
          <w:spacing w:val="42"/>
          <w:position w:val="14"/>
          <w:sz w:val="21"/>
          <w:szCs w:val="21"/>
        </w:rPr>
        <w:t xml:space="preserve"> </w:t>
      </w:r>
      <w:r>
        <w:rPr>
          <w:rFonts w:ascii="宋体" w:hAnsi="宋体" w:eastAsia="宋体" w:cs="宋体"/>
          <w:position w:val="14"/>
          <w:sz w:val="21"/>
          <w:szCs w:val="21"/>
        </w:rPr>
        <w:t>种方式确定。合同当事人也可以在专</w:t>
      </w:r>
    </w:p>
    <w:p w14:paraId="227B42D1">
      <w:pPr>
        <w:spacing w:before="1" w:line="220" w:lineRule="auto"/>
        <w:ind w:left="20"/>
        <w:rPr>
          <w:rFonts w:ascii="宋体" w:hAnsi="宋体" w:eastAsia="宋体" w:cs="宋体"/>
          <w:sz w:val="21"/>
          <w:szCs w:val="21"/>
        </w:rPr>
      </w:pPr>
      <w:r>
        <w:rPr>
          <w:rFonts w:ascii="宋体" w:hAnsi="宋体" w:eastAsia="宋体" w:cs="宋体"/>
          <w:spacing w:val="-2"/>
          <w:sz w:val="21"/>
          <w:szCs w:val="21"/>
        </w:rPr>
        <w:t>用合同条款中选择其他招标方式。</w:t>
      </w:r>
    </w:p>
    <w:p w14:paraId="145F75BB">
      <w:pPr>
        <w:spacing w:before="152" w:line="398" w:lineRule="exact"/>
        <w:ind w:left="441"/>
        <w:rPr>
          <w:rFonts w:ascii="宋体" w:hAnsi="宋体" w:eastAsia="宋体" w:cs="宋体"/>
          <w:sz w:val="21"/>
          <w:szCs w:val="21"/>
        </w:rPr>
      </w:pPr>
      <w:r>
        <w:rPr>
          <w:rFonts w:ascii="宋体" w:hAnsi="宋体" w:eastAsia="宋体" w:cs="宋体"/>
          <w:position w:val="14"/>
          <w:sz w:val="21"/>
          <w:szCs w:val="21"/>
        </w:rPr>
        <w:t xml:space="preserve">第 </w:t>
      </w:r>
      <w:r>
        <w:rPr>
          <w:rFonts w:ascii="Times New Roman" w:hAnsi="Times New Roman" w:eastAsia="Times New Roman" w:cs="Times New Roman"/>
          <w:position w:val="14"/>
          <w:sz w:val="21"/>
          <w:szCs w:val="21"/>
        </w:rPr>
        <w:t xml:space="preserve">1  </w:t>
      </w:r>
      <w:r>
        <w:rPr>
          <w:rFonts w:ascii="宋体" w:hAnsi="宋体" w:eastAsia="宋体" w:cs="宋体"/>
          <w:position w:val="14"/>
          <w:sz w:val="21"/>
          <w:szCs w:val="21"/>
        </w:rPr>
        <w:t>种方式：对于依法必须招标的暂估价项目，由承包人招标，对该暂估价项目的确</w:t>
      </w:r>
    </w:p>
    <w:p w14:paraId="0C33261F">
      <w:pPr>
        <w:spacing w:before="1" w:line="220" w:lineRule="auto"/>
        <w:ind w:left="18"/>
        <w:rPr>
          <w:rFonts w:ascii="宋体" w:hAnsi="宋体" w:eastAsia="宋体" w:cs="宋体"/>
          <w:sz w:val="21"/>
          <w:szCs w:val="21"/>
        </w:rPr>
      </w:pPr>
      <w:r>
        <w:rPr>
          <w:rFonts w:ascii="宋体" w:hAnsi="宋体" w:eastAsia="宋体" w:cs="宋体"/>
          <w:spacing w:val="-4"/>
          <w:sz w:val="21"/>
          <w:szCs w:val="21"/>
        </w:rPr>
        <w:t>认和批准按照以下约定执行：</w:t>
      </w:r>
    </w:p>
    <w:p w14:paraId="0195341E">
      <w:pPr>
        <w:spacing w:before="149" w:line="352" w:lineRule="auto"/>
        <w:ind w:left="16" w:firstLine="430"/>
        <w:rPr>
          <w:rFonts w:ascii="宋体" w:hAnsi="宋体" w:eastAsia="宋体" w:cs="宋体"/>
          <w:sz w:val="21"/>
          <w:szCs w:val="21"/>
        </w:rPr>
      </w:pPr>
      <w:r>
        <w:rPr>
          <w:rFonts w:ascii="宋体" w:hAnsi="宋体" w:eastAsia="宋体" w:cs="宋体"/>
          <w:spacing w:val="-1"/>
          <w:sz w:val="21"/>
          <w:szCs w:val="21"/>
        </w:rPr>
        <w:t>（</w:t>
      </w:r>
      <w:r>
        <w:rPr>
          <w:rFonts w:ascii="Times New Roman" w:hAnsi="Times New Roman" w:eastAsia="Times New Roman" w:cs="Times New Roman"/>
          <w:spacing w:val="-1"/>
          <w:sz w:val="21"/>
          <w:szCs w:val="21"/>
        </w:rPr>
        <w:t>1</w:t>
      </w:r>
      <w:r>
        <w:rPr>
          <w:rFonts w:ascii="宋体" w:hAnsi="宋体" w:eastAsia="宋体" w:cs="宋体"/>
          <w:spacing w:val="-1"/>
          <w:sz w:val="21"/>
          <w:szCs w:val="21"/>
        </w:rPr>
        <w:t>）承包人应当根据施工进度计划，在招标工作启动前</w:t>
      </w:r>
      <w:r>
        <w:rPr>
          <w:rFonts w:ascii="宋体" w:hAnsi="宋体" w:eastAsia="宋体" w:cs="宋体"/>
          <w:spacing w:val="38"/>
          <w:sz w:val="21"/>
          <w:szCs w:val="21"/>
        </w:rPr>
        <w:t xml:space="preserve"> </w:t>
      </w:r>
      <w:r>
        <w:rPr>
          <w:rFonts w:ascii="Times New Roman" w:hAnsi="Times New Roman" w:eastAsia="Times New Roman" w:cs="Times New Roman"/>
          <w:spacing w:val="-1"/>
          <w:sz w:val="21"/>
          <w:szCs w:val="21"/>
        </w:rPr>
        <w:t>14</w:t>
      </w:r>
      <w:r>
        <w:rPr>
          <w:rFonts w:ascii="Times New Roman" w:hAnsi="Times New Roman" w:eastAsia="Times New Roman" w:cs="Times New Roman"/>
          <w:spacing w:val="46"/>
          <w:w w:val="101"/>
          <w:sz w:val="21"/>
          <w:szCs w:val="21"/>
        </w:rPr>
        <w:t xml:space="preserve"> </w:t>
      </w:r>
      <w:r>
        <w:rPr>
          <w:rFonts w:ascii="宋体" w:hAnsi="宋体" w:eastAsia="宋体" w:cs="宋体"/>
          <w:spacing w:val="-1"/>
          <w:sz w:val="21"/>
          <w:szCs w:val="21"/>
        </w:rPr>
        <w:t xml:space="preserve">天将招标方案通过监理人  </w:t>
      </w:r>
      <w:r>
        <w:rPr>
          <w:rFonts w:ascii="宋体" w:hAnsi="宋体" w:eastAsia="宋体" w:cs="宋体"/>
          <w:sz w:val="21"/>
          <w:szCs w:val="21"/>
        </w:rPr>
        <w:t>报送发包人审查，发包人应当在收到承包人报送的招标方案</w:t>
      </w:r>
      <w:r>
        <w:rPr>
          <w:rFonts w:ascii="宋体" w:hAnsi="宋体" w:eastAsia="宋体" w:cs="宋体"/>
          <w:spacing w:val="-1"/>
          <w:sz w:val="21"/>
          <w:szCs w:val="21"/>
        </w:rPr>
        <w:t xml:space="preserve">后 </w:t>
      </w:r>
      <w:r>
        <w:rPr>
          <w:rFonts w:ascii="Times New Roman" w:hAnsi="Times New Roman" w:eastAsia="Times New Roman" w:cs="Times New Roman"/>
          <w:spacing w:val="-1"/>
          <w:sz w:val="21"/>
          <w:szCs w:val="21"/>
        </w:rPr>
        <w:t xml:space="preserve">7  </w:t>
      </w:r>
      <w:r>
        <w:rPr>
          <w:rFonts w:ascii="宋体" w:hAnsi="宋体" w:eastAsia="宋体" w:cs="宋体"/>
          <w:spacing w:val="-1"/>
          <w:sz w:val="21"/>
          <w:szCs w:val="21"/>
        </w:rPr>
        <w:t>天内批准或提出修改意见。</w:t>
      </w:r>
    </w:p>
    <w:p w14:paraId="15A52281">
      <w:pPr>
        <w:spacing w:line="220" w:lineRule="auto"/>
        <w:ind w:left="18"/>
        <w:rPr>
          <w:rFonts w:ascii="宋体" w:hAnsi="宋体" w:eastAsia="宋体" w:cs="宋体"/>
          <w:sz w:val="21"/>
          <w:szCs w:val="21"/>
        </w:rPr>
      </w:pPr>
      <w:r>
        <w:rPr>
          <w:rFonts w:ascii="宋体" w:hAnsi="宋体" w:eastAsia="宋体" w:cs="宋体"/>
          <w:spacing w:val="-2"/>
          <w:sz w:val="21"/>
          <w:szCs w:val="21"/>
        </w:rPr>
        <w:t>承包人应当按照经过发包人批准的招标方案开展招标工作；</w:t>
      </w:r>
    </w:p>
    <w:p w14:paraId="2A6131BB">
      <w:pPr>
        <w:spacing w:before="147" w:line="353" w:lineRule="auto"/>
        <w:ind w:left="17" w:right="180" w:firstLine="430"/>
        <w:rPr>
          <w:rFonts w:ascii="宋体" w:hAnsi="宋体" w:eastAsia="宋体" w:cs="宋体"/>
          <w:sz w:val="21"/>
          <w:szCs w:val="21"/>
        </w:rPr>
      </w:pPr>
      <w:r>
        <w:rPr>
          <w:rFonts w:ascii="宋体" w:hAnsi="宋体" w:eastAsia="宋体" w:cs="宋体"/>
          <w:spacing w:val="-1"/>
          <w:sz w:val="21"/>
          <w:szCs w:val="21"/>
        </w:rPr>
        <w:t>（</w:t>
      </w:r>
      <w:r>
        <w:rPr>
          <w:rFonts w:ascii="Times New Roman" w:hAnsi="Times New Roman" w:eastAsia="Times New Roman" w:cs="Times New Roman"/>
          <w:spacing w:val="-1"/>
          <w:sz w:val="21"/>
          <w:szCs w:val="21"/>
        </w:rPr>
        <w:t>2</w:t>
      </w:r>
      <w:r>
        <w:rPr>
          <w:rFonts w:ascii="宋体" w:hAnsi="宋体" w:eastAsia="宋体" w:cs="宋体"/>
          <w:spacing w:val="-1"/>
          <w:sz w:val="21"/>
          <w:szCs w:val="21"/>
        </w:rPr>
        <w:t>）承包人应当根据施工进度计划，提前</w:t>
      </w:r>
      <w:r>
        <w:rPr>
          <w:rFonts w:ascii="宋体" w:hAnsi="宋体" w:eastAsia="宋体" w:cs="宋体"/>
          <w:spacing w:val="46"/>
          <w:sz w:val="21"/>
          <w:szCs w:val="21"/>
        </w:rPr>
        <w:t xml:space="preserve"> </w:t>
      </w:r>
      <w:r>
        <w:rPr>
          <w:rFonts w:ascii="Times New Roman" w:hAnsi="Times New Roman" w:eastAsia="Times New Roman" w:cs="Times New Roman"/>
          <w:spacing w:val="-1"/>
          <w:sz w:val="21"/>
          <w:szCs w:val="21"/>
        </w:rPr>
        <w:t>14</w:t>
      </w:r>
      <w:r>
        <w:rPr>
          <w:rFonts w:ascii="Times New Roman" w:hAnsi="Times New Roman" w:eastAsia="Times New Roman" w:cs="Times New Roman"/>
          <w:spacing w:val="46"/>
          <w:sz w:val="21"/>
          <w:szCs w:val="21"/>
        </w:rPr>
        <w:t xml:space="preserve"> </w:t>
      </w:r>
      <w:r>
        <w:rPr>
          <w:rFonts w:ascii="宋体" w:hAnsi="宋体" w:eastAsia="宋体" w:cs="宋体"/>
          <w:spacing w:val="-1"/>
          <w:sz w:val="21"/>
          <w:szCs w:val="21"/>
        </w:rPr>
        <w:t>天将招标文件通过监理人报送发包人审</w:t>
      </w:r>
      <w:r>
        <w:rPr>
          <w:rFonts w:ascii="宋体" w:hAnsi="宋体" w:eastAsia="宋体" w:cs="宋体"/>
          <w:sz w:val="21"/>
          <w:szCs w:val="21"/>
        </w:rPr>
        <w:t xml:space="preserve"> </w:t>
      </w:r>
      <w:r>
        <w:rPr>
          <w:rFonts w:ascii="宋体" w:hAnsi="宋体" w:eastAsia="宋体" w:cs="宋体"/>
          <w:spacing w:val="1"/>
          <w:sz w:val="21"/>
          <w:szCs w:val="21"/>
        </w:rPr>
        <w:t xml:space="preserve">批，发包人应当在收到承包人报送的相关文件后 </w:t>
      </w:r>
      <w:r>
        <w:rPr>
          <w:rFonts w:ascii="Times New Roman" w:hAnsi="Times New Roman" w:eastAsia="Times New Roman" w:cs="Times New Roman"/>
          <w:spacing w:val="1"/>
          <w:sz w:val="21"/>
          <w:szCs w:val="21"/>
        </w:rPr>
        <w:t>7</w:t>
      </w:r>
      <w:r>
        <w:rPr>
          <w:rFonts w:ascii="Times New Roman" w:hAnsi="Times New Roman" w:eastAsia="Times New Roman" w:cs="Times New Roman"/>
          <w:spacing w:val="41"/>
          <w:w w:val="101"/>
          <w:sz w:val="21"/>
          <w:szCs w:val="21"/>
        </w:rPr>
        <w:t xml:space="preserve"> </w:t>
      </w:r>
      <w:r>
        <w:rPr>
          <w:rFonts w:ascii="宋体" w:hAnsi="宋体" w:eastAsia="宋体" w:cs="宋体"/>
          <w:sz w:val="21"/>
          <w:szCs w:val="21"/>
        </w:rPr>
        <w:t>天内完成审批或提出修改意见；发包人</w:t>
      </w:r>
    </w:p>
    <w:p w14:paraId="0BF98324">
      <w:pPr>
        <w:spacing w:line="219" w:lineRule="auto"/>
        <w:ind w:left="19"/>
        <w:rPr>
          <w:rFonts w:ascii="宋体" w:hAnsi="宋体" w:eastAsia="宋体" w:cs="宋体"/>
          <w:sz w:val="21"/>
          <w:szCs w:val="21"/>
        </w:rPr>
      </w:pPr>
      <w:r>
        <w:rPr>
          <w:rFonts w:ascii="宋体" w:hAnsi="宋体" w:eastAsia="宋体" w:cs="宋体"/>
          <w:spacing w:val="-1"/>
          <w:sz w:val="21"/>
          <w:szCs w:val="21"/>
        </w:rPr>
        <w:t>有权确定招标控制价并按照法律规定参加评标；</w:t>
      </w:r>
    </w:p>
    <w:p w14:paraId="1C4D508F">
      <w:pPr>
        <w:spacing w:before="148" w:line="353" w:lineRule="auto"/>
        <w:ind w:left="18" w:right="174" w:firstLine="429"/>
        <w:rPr>
          <w:rFonts w:ascii="宋体" w:hAnsi="宋体" w:eastAsia="宋体" w:cs="宋体"/>
          <w:sz w:val="21"/>
          <w:szCs w:val="21"/>
        </w:rPr>
      </w:pPr>
      <w:r>
        <w:rPr>
          <w:rFonts w:ascii="宋体" w:hAnsi="宋体" w:eastAsia="宋体" w:cs="宋体"/>
          <w:spacing w:val="-1"/>
          <w:sz w:val="21"/>
          <w:szCs w:val="21"/>
        </w:rPr>
        <w:t>（</w:t>
      </w:r>
      <w:r>
        <w:rPr>
          <w:rFonts w:ascii="Times New Roman" w:hAnsi="Times New Roman" w:eastAsia="Times New Roman" w:cs="Times New Roman"/>
          <w:spacing w:val="-1"/>
          <w:sz w:val="21"/>
          <w:szCs w:val="21"/>
        </w:rPr>
        <w:t>3</w:t>
      </w:r>
      <w:r>
        <w:rPr>
          <w:rFonts w:ascii="宋体" w:hAnsi="宋体" w:eastAsia="宋体" w:cs="宋体"/>
          <w:spacing w:val="-1"/>
          <w:sz w:val="21"/>
          <w:szCs w:val="21"/>
        </w:rPr>
        <w:t xml:space="preserve">）承包人与供应商、分包人在签订暂估价合同前，应当提前 </w:t>
      </w:r>
      <w:r>
        <w:rPr>
          <w:rFonts w:ascii="Times New Roman" w:hAnsi="Times New Roman" w:eastAsia="Times New Roman" w:cs="Times New Roman"/>
          <w:spacing w:val="-1"/>
          <w:sz w:val="21"/>
          <w:szCs w:val="21"/>
        </w:rPr>
        <w:t xml:space="preserve">7 </w:t>
      </w:r>
      <w:r>
        <w:rPr>
          <w:rFonts w:ascii="宋体" w:hAnsi="宋体" w:eastAsia="宋体" w:cs="宋体"/>
          <w:spacing w:val="-1"/>
          <w:sz w:val="21"/>
          <w:szCs w:val="21"/>
        </w:rPr>
        <w:t>天将确定</w:t>
      </w:r>
      <w:r>
        <w:rPr>
          <w:rFonts w:ascii="宋体" w:hAnsi="宋体" w:eastAsia="宋体" w:cs="宋体"/>
          <w:spacing w:val="-2"/>
          <w:sz w:val="21"/>
          <w:szCs w:val="21"/>
        </w:rPr>
        <w:t>的中标候选</w:t>
      </w:r>
      <w:r>
        <w:rPr>
          <w:rFonts w:ascii="宋体" w:hAnsi="宋体" w:eastAsia="宋体" w:cs="宋体"/>
          <w:sz w:val="21"/>
          <w:szCs w:val="21"/>
        </w:rPr>
        <w:t xml:space="preserve"> 供应商或中标候选分包人的资料报送发包人，发包人应在收到资料后 </w:t>
      </w:r>
      <w:r>
        <w:rPr>
          <w:rFonts w:ascii="Times New Roman" w:hAnsi="Times New Roman" w:eastAsia="Times New Roman" w:cs="Times New Roman"/>
          <w:sz w:val="21"/>
          <w:szCs w:val="21"/>
        </w:rPr>
        <w:t xml:space="preserve">3  </w:t>
      </w:r>
      <w:r>
        <w:rPr>
          <w:rFonts w:ascii="宋体" w:hAnsi="宋体" w:eastAsia="宋体" w:cs="宋体"/>
          <w:sz w:val="21"/>
          <w:szCs w:val="21"/>
        </w:rPr>
        <w:t>天内与承包人共同</w:t>
      </w:r>
    </w:p>
    <w:p w14:paraId="3169E2AA">
      <w:pPr>
        <w:spacing w:line="219" w:lineRule="auto"/>
        <w:ind w:left="18"/>
        <w:rPr>
          <w:rFonts w:ascii="宋体" w:hAnsi="宋体" w:eastAsia="宋体" w:cs="宋体"/>
          <w:sz w:val="21"/>
          <w:szCs w:val="21"/>
        </w:rPr>
      </w:pPr>
      <w:r>
        <w:rPr>
          <w:rFonts w:ascii="宋体" w:hAnsi="宋体" w:eastAsia="宋体" w:cs="宋体"/>
          <w:sz w:val="21"/>
          <w:szCs w:val="21"/>
        </w:rPr>
        <w:t>确定中标人；承包人应当在签订合同后</w:t>
      </w:r>
      <w:r>
        <w:rPr>
          <w:rFonts w:ascii="宋体" w:hAnsi="宋体" w:eastAsia="宋体" w:cs="宋体"/>
          <w:spacing w:val="-47"/>
          <w:sz w:val="21"/>
          <w:szCs w:val="21"/>
        </w:rPr>
        <w:t xml:space="preserve"> </w:t>
      </w:r>
      <w:r>
        <w:rPr>
          <w:rFonts w:ascii="Times New Roman" w:hAnsi="Times New Roman" w:eastAsia="Times New Roman" w:cs="Times New Roman"/>
          <w:sz w:val="21"/>
          <w:szCs w:val="21"/>
        </w:rPr>
        <w:t xml:space="preserve">7 </w:t>
      </w:r>
      <w:r>
        <w:rPr>
          <w:rFonts w:ascii="宋体" w:hAnsi="宋体" w:eastAsia="宋体" w:cs="宋体"/>
          <w:sz w:val="21"/>
          <w:szCs w:val="21"/>
        </w:rPr>
        <w:t>天</w:t>
      </w:r>
      <w:r>
        <w:rPr>
          <w:rFonts w:ascii="宋体" w:hAnsi="宋体" w:eastAsia="宋体" w:cs="宋体"/>
          <w:spacing w:val="-1"/>
          <w:sz w:val="21"/>
          <w:szCs w:val="21"/>
        </w:rPr>
        <w:t>内，将暂估价合同副本报送发包人留存。</w:t>
      </w:r>
    </w:p>
    <w:p w14:paraId="0A16EA1F">
      <w:pPr>
        <w:spacing w:line="219" w:lineRule="auto"/>
        <w:rPr>
          <w:rFonts w:ascii="宋体" w:hAnsi="宋体" w:eastAsia="宋体" w:cs="宋体"/>
          <w:sz w:val="21"/>
          <w:szCs w:val="21"/>
        </w:rPr>
        <w:sectPr>
          <w:footerReference r:id="rId116" w:type="default"/>
          <w:pgSz w:w="11905" w:h="16839"/>
          <w:pgMar w:top="1431" w:right="1612" w:bottom="1004" w:left="1785" w:header="0" w:footer="828" w:gutter="0"/>
          <w:pgNumType w:fmt="decimal"/>
          <w:cols w:space="720" w:num="1"/>
        </w:sectPr>
      </w:pPr>
    </w:p>
    <w:p w14:paraId="23BA9546">
      <w:pPr>
        <w:spacing w:before="148" w:line="352" w:lineRule="auto"/>
        <w:ind w:left="19" w:right="3" w:firstLine="422"/>
        <w:rPr>
          <w:rFonts w:ascii="宋体" w:hAnsi="宋体" w:eastAsia="宋体" w:cs="宋体"/>
          <w:sz w:val="21"/>
          <w:szCs w:val="21"/>
        </w:rPr>
      </w:pPr>
      <w:r>
        <w:rPr>
          <w:rFonts w:ascii="宋体" w:hAnsi="宋体" w:eastAsia="宋体" w:cs="宋体"/>
          <w:spacing w:val="1"/>
          <w:sz w:val="21"/>
          <w:szCs w:val="21"/>
        </w:rPr>
        <w:t xml:space="preserve">第 </w:t>
      </w:r>
      <w:r>
        <w:rPr>
          <w:rFonts w:ascii="Times New Roman" w:hAnsi="Times New Roman" w:eastAsia="Times New Roman" w:cs="Times New Roman"/>
          <w:spacing w:val="1"/>
          <w:sz w:val="21"/>
          <w:szCs w:val="21"/>
        </w:rPr>
        <w:t>2</w:t>
      </w:r>
      <w:r>
        <w:rPr>
          <w:rFonts w:ascii="Times New Roman" w:hAnsi="Times New Roman" w:eastAsia="Times New Roman" w:cs="Times New Roman"/>
          <w:spacing w:val="42"/>
          <w:sz w:val="21"/>
          <w:szCs w:val="21"/>
        </w:rPr>
        <w:t xml:space="preserve"> </w:t>
      </w:r>
      <w:r>
        <w:rPr>
          <w:rFonts w:ascii="宋体" w:hAnsi="宋体" w:eastAsia="宋体" w:cs="宋体"/>
          <w:spacing w:val="1"/>
          <w:sz w:val="21"/>
          <w:szCs w:val="21"/>
        </w:rPr>
        <w:t>种方式：对于依法必须招标的暂估价项目，</w:t>
      </w:r>
      <w:r>
        <w:rPr>
          <w:rFonts w:ascii="宋体" w:hAnsi="宋体" w:eastAsia="宋体" w:cs="宋体"/>
          <w:sz w:val="21"/>
          <w:szCs w:val="21"/>
        </w:rPr>
        <w:t xml:space="preserve">由发包人和承包人共同招标确定暂估 </w:t>
      </w:r>
      <w:r>
        <w:rPr>
          <w:rFonts w:ascii="宋体" w:hAnsi="宋体" w:eastAsia="宋体" w:cs="宋体"/>
          <w:spacing w:val="-3"/>
          <w:sz w:val="21"/>
          <w:szCs w:val="21"/>
        </w:rPr>
        <w:t>价供应商或分包人的，承包人应按照施工进度计划，</w:t>
      </w:r>
      <w:r>
        <w:rPr>
          <w:rFonts w:ascii="宋体" w:hAnsi="宋体" w:eastAsia="宋体" w:cs="宋体"/>
          <w:spacing w:val="-27"/>
          <w:sz w:val="21"/>
          <w:szCs w:val="21"/>
        </w:rPr>
        <w:t xml:space="preserve"> </w:t>
      </w:r>
      <w:r>
        <w:rPr>
          <w:rFonts w:ascii="宋体" w:hAnsi="宋体" w:eastAsia="宋体" w:cs="宋体"/>
          <w:spacing w:val="-3"/>
          <w:sz w:val="21"/>
          <w:szCs w:val="21"/>
        </w:rPr>
        <w:t xml:space="preserve">在招标工作启动前 </w:t>
      </w:r>
      <w:r>
        <w:rPr>
          <w:rFonts w:ascii="Times New Roman" w:hAnsi="Times New Roman" w:eastAsia="Times New Roman" w:cs="Times New Roman"/>
          <w:spacing w:val="-3"/>
          <w:sz w:val="21"/>
          <w:szCs w:val="21"/>
        </w:rPr>
        <w:t>14</w:t>
      </w:r>
      <w:r>
        <w:rPr>
          <w:rFonts w:ascii="Times New Roman" w:hAnsi="Times New Roman" w:eastAsia="Times New Roman" w:cs="Times New Roman"/>
          <w:spacing w:val="13"/>
          <w:sz w:val="21"/>
          <w:szCs w:val="21"/>
        </w:rPr>
        <w:t xml:space="preserve"> </w:t>
      </w:r>
      <w:r>
        <w:rPr>
          <w:rFonts w:ascii="宋体" w:hAnsi="宋体" w:eastAsia="宋体" w:cs="宋体"/>
          <w:spacing w:val="-4"/>
          <w:sz w:val="21"/>
          <w:szCs w:val="21"/>
        </w:rPr>
        <w:t>天通知发包人，</w:t>
      </w:r>
      <w:r>
        <w:rPr>
          <w:rFonts w:ascii="宋体" w:hAnsi="宋体" w:eastAsia="宋体" w:cs="宋体"/>
          <w:sz w:val="21"/>
          <w:szCs w:val="21"/>
        </w:rPr>
        <w:t xml:space="preserve"> 并提交暂估价招标方案和工作分工。发包人应在收到后 </w:t>
      </w:r>
      <w:r>
        <w:rPr>
          <w:rFonts w:ascii="Times New Roman" w:hAnsi="Times New Roman" w:eastAsia="Times New Roman" w:cs="Times New Roman"/>
          <w:sz w:val="21"/>
          <w:szCs w:val="21"/>
        </w:rPr>
        <w:t xml:space="preserve">7  </w:t>
      </w:r>
      <w:r>
        <w:rPr>
          <w:rFonts w:ascii="宋体" w:hAnsi="宋体" w:eastAsia="宋体" w:cs="宋体"/>
          <w:sz w:val="21"/>
          <w:szCs w:val="21"/>
        </w:rPr>
        <w:t>天内确认。确定中标人后，由发</w:t>
      </w:r>
    </w:p>
    <w:p w14:paraId="58EDF009">
      <w:pPr>
        <w:spacing w:line="219" w:lineRule="auto"/>
        <w:ind w:left="18"/>
        <w:rPr>
          <w:rFonts w:ascii="宋体" w:hAnsi="宋体" w:eastAsia="宋体" w:cs="宋体"/>
          <w:sz w:val="21"/>
          <w:szCs w:val="21"/>
        </w:rPr>
      </w:pPr>
      <w:r>
        <w:rPr>
          <w:rFonts w:ascii="宋体" w:hAnsi="宋体" w:eastAsia="宋体" w:cs="宋体"/>
          <w:spacing w:val="-2"/>
          <w:sz w:val="21"/>
          <w:szCs w:val="21"/>
        </w:rPr>
        <w:t>包人、承包人与中标人共同签订暂估价合同。</w:t>
      </w:r>
    </w:p>
    <w:p w14:paraId="5BB61F4E">
      <w:pPr>
        <w:spacing w:before="149" w:line="219" w:lineRule="auto"/>
        <w:ind w:left="457"/>
        <w:rPr>
          <w:rFonts w:ascii="宋体" w:hAnsi="宋体" w:eastAsia="宋体" w:cs="宋体"/>
          <w:sz w:val="21"/>
          <w:szCs w:val="21"/>
        </w:rPr>
      </w:pPr>
      <w:r>
        <w:rPr>
          <w:rFonts w:ascii="Times New Roman" w:hAnsi="Times New Roman" w:eastAsia="Times New Roman" w:cs="Times New Roman"/>
          <w:spacing w:val="-2"/>
          <w:sz w:val="21"/>
          <w:szCs w:val="21"/>
        </w:rPr>
        <w:t xml:space="preserve">10.7.2 </w:t>
      </w:r>
      <w:r>
        <w:rPr>
          <w:rFonts w:ascii="宋体" w:hAnsi="宋体" w:eastAsia="宋体" w:cs="宋体"/>
          <w:spacing w:val="-2"/>
          <w:sz w:val="21"/>
          <w:szCs w:val="21"/>
        </w:rPr>
        <w:t>不属于依法必须招标的暂估价项目</w:t>
      </w:r>
    </w:p>
    <w:p w14:paraId="5E79DB4A">
      <w:pPr>
        <w:spacing w:before="153" w:line="399" w:lineRule="exact"/>
        <w:jc w:val="right"/>
        <w:rPr>
          <w:rFonts w:ascii="Times New Roman" w:hAnsi="Times New Roman" w:eastAsia="Times New Roman" w:cs="Times New Roman"/>
          <w:sz w:val="21"/>
          <w:szCs w:val="21"/>
        </w:rPr>
      </w:pPr>
      <w:r>
        <w:rPr>
          <w:rFonts w:ascii="宋体" w:hAnsi="宋体" w:eastAsia="宋体" w:cs="宋体"/>
          <w:spacing w:val="-1"/>
          <w:position w:val="14"/>
          <w:sz w:val="21"/>
          <w:szCs w:val="21"/>
        </w:rPr>
        <w:t>除专用合同条款另有约定外， 对于不属于依法必须招标的暂估价项目，采取以下第</w:t>
      </w:r>
      <w:r>
        <w:rPr>
          <w:rFonts w:ascii="宋体" w:hAnsi="宋体" w:eastAsia="宋体" w:cs="宋体"/>
          <w:spacing w:val="40"/>
          <w:position w:val="14"/>
          <w:sz w:val="21"/>
          <w:szCs w:val="21"/>
        </w:rPr>
        <w:t xml:space="preserve"> </w:t>
      </w:r>
      <w:r>
        <w:rPr>
          <w:rFonts w:ascii="Times New Roman" w:hAnsi="Times New Roman" w:eastAsia="Times New Roman" w:cs="Times New Roman"/>
          <w:spacing w:val="-1"/>
          <w:position w:val="14"/>
          <w:sz w:val="21"/>
          <w:szCs w:val="21"/>
        </w:rPr>
        <w:t>1</w:t>
      </w:r>
    </w:p>
    <w:p w14:paraId="4784F369">
      <w:pPr>
        <w:spacing w:line="221" w:lineRule="auto"/>
        <w:ind w:left="18"/>
        <w:rPr>
          <w:rFonts w:ascii="宋体" w:hAnsi="宋体" w:eastAsia="宋体" w:cs="宋体"/>
          <w:sz w:val="21"/>
          <w:szCs w:val="21"/>
        </w:rPr>
      </w:pPr>
      <w:r>
        <w:rPr>
          <w:rFonts w:ascii="宋体" w:hAnsi="宋体" w:eastAsia="宋体" w:cs="宋体"/>
          <w:spacing w:val="-1"/>
          <w:sz w:val="21"/>
          <w:szCs w:val="21"/>
        </w:rPr>
        <w:t>种方式确定：</w:t>
      </w:r>
    </w:p>
    <w:p w14:paraId="64C49BD3">
      <w:pPr>
        <w:spacing w:before="147" w:line="219" w:lineRule="auto"/>
        <w:ind w:left="441"/>
        <w:rPr>
          <w:rFonts w:ascii="宋体" w:hAnsi="宋体" w:eastAsia="宋体" w:cs="宋体"/>
          <w:sz w:val="21"/>
          <w:szCs w:val="21"/>
        </w:rPr>
      </w:pPr>
      <w:r>
        <w:rPr>
          <w:rFonts w:ascii="宋体" w:hAnsi="宋体" w:eastAsia="宋体" w:cs="宋体"/>
          <w:spacing w:val="-2"/>
          <w:sz w:val="21"/>
          <w:szCs w:val="21"/>
        </w:rPr>
        <w:t>第</w:t>
      </w:r>
      <w:r>
        <w:rPr>
          <w:rFonts w:ascii="宋体" w:hAnsi="宋体" w:eastAsia="宋体" w:cs="宋体"/>
          <w:spacing w:val="-27"/>
          <w:sz w:val="21"/>
          <w:szCs w:val="21"/>
        </w:rPr>
        <w:t xml:space="preserve"> </w:t>
      </w:r>
      <w:r>
        <w:rPr>
          <w:rFonts w:ascii="Times New Roman" w:hAnsi="Times New Roman" w:eastAsia="Times New Roman" w:cs="Times New Roman"/>
          <w:spacing w:val="-2"/>
          <w:sz w:val="21"/>
          <w:szCs w:val="21"/>
        </w:rPr>
        <w:t xml:space="preserve">1 </w:t>
      </w:r>
      <w:r>
        <w:rPr>
          <w:rFonts w:ascii="宋体" w:hAnsi="宋体" w:eastAsia="宋体" w:cs="宋体"/>
          <w:spacing w:val="-2"/>
          <w:sz w:val="21"/>
          <w:szCs w:val="21"/>
        </w:rPr>
        <w:t>种方式：对于不属于依法必须招标的暂估价项目，按本项约定确认和批</w:t>
      </w:r>
      <w:r>
        <w:rPr>
          <w:rFonts w:ascii="宋体" w:hAnsi="宋体" w:eastAsia="宋体" w:cs="宋体"/>
          <w:spacing w:val="-3"/>
          <w:sz w:val="21"/>
          <w:szCs w:val="21"/>
        </w:rPr>
        <w:t>准：</w:t>
      </w:r>
    </w:p>
    <w:p w14:paraId="5039DFD6">
      <w:pPr>
        <w:spacing w:before="152" w:line="352" w:lineRule="auto"/>
        <w:ind w:left="39" w:right="1" w:firstLine="407"/>
        <w:rPr>
          <w:rFonts w:ascii="宋体" w:hAnsi="宋体" w:eastAsia="宋体" w:cs="宋体"/>
          <w:sz w:val="21"/>
          <w:szCs w:val="21"/>
        </w:rPr>
      </w:pPr>
      <w:r>
        <w:rPr>
          <w:rFonts w:ascii="宋体" w:hAnsi="宋体" w:eastAsia="宋体" w:cs="宋体"/>
          <w:sz w:val="21"/>
          <w:szCs w:val="21"/>
        </w:rPr>
        <w:t>（</w:t>
      </w:r>
      <w:r>
        <w:rPr>
          <w:rFonts w:ascii="Times New Roman" w:hAnsi="Times New Roman" w:eastAsia="Times New Roman" w:cs="Times New Roman"/>
          <w:sz w:val="21"/>
          <w:szCs w:val="21"/>
        </w:rPr>
        <w:t>1</w:t>
      </w:r>
      <w:r>
        <w:rPr>
          <w:rFonts w:ascii="宋体" w:hAnsi="宋体" w:eastAsia="宋体" w:cs="宋体"/>
          <w:sz w:val="21"/>
          <w:szCs w:val="21"/>
        </w:rPr>
        <w:t xml:space="preserve">）承包人应根据施工进度计划，在签订暂估价项目的采购合同、分包合同前 </w:t>
      </w:r>
      <w:r>
        <w:rPr>
          <w:rFonts w:ascii="Times New Roman" w:hAnsi="Times New Roman" w:eastAsia="Times New Roman" w:cs="Times New Roman"/>
          <w:sz w:val="21"/>
          <w:szCs w:val="21"/>
        </w:rPr>
        <w:t xml:space="preserve">28  </w:t>
      </w:r>
      <w:r>
        <w:rPr>
          <w:rFonts w:ascii="宋体" w:hAnsi="宋体" w:eastAsia="宋体" w:cs="宋体"/>
          <w:sz w:val="21"/>
          <w:szCs w:val="21"/>
        </w:rPr>
        <w:t>天</w:t>
      </w:r>
      <w:r>
        <w:rPr>
          <w:rFonts w:ascii="宋体" w:hAnsi="宋体" w:eastAsia="宋体" w:cs="宋体"/>
          <w:spacing w:val="8"/>
          <w:sz w:val="21"/>
          <w:szCs w:val="21"/>
        </w:rPr>
        <w:t xml:space="preserve"> </w:t>
      </w:r>
      <w:r>
        <w:rPr>
          <w:rFonts w:ascii="宋体" w:hAnsi="宋体" w:eastAsia="宋体" w:cs="宋体"/>
          <w:sz w:val="21"/>
          <w:szCs w:val="21"/>
        </w:rPr>
        <w:t xml:space="preserve">向监理人提出书面申请。监理人应当在收到申请后 </w:t>
      </w:r>
      <w:r>
        <w:rPr>
          <w:rFonts w:ascii="Times New Roman" w:hAnsi="Times New Roman" w:eastAsia="Times New Roman" w:cs="Times New Roman"/>
          <w:sz w:val="21"/>
          <w:szCs w:val="21"/>
        </w:rPr>
        <w:t xml:space="preserve">3  </w:t>
      </w:r>
      <w:r>
        <w:rPr>
          <w:rFonts w:ascii="宋体" w:hAnsi="宋体" w:eastAsia="宋体" w:cs="宋体"/>
          <w:sz w:val="21"/>
          <w:szCs w:val="21"/>
        </w:rPr>
        <w:t>天内报送发包人，发包</w:t>
      </w:r>
      <w:r>
        <w:rPr>
          <w:rFonts w:ascii="宋体" w:hAnsi="宋体" w:eastAsia="宋体" w:cs="宋体"/>
          <w:spacing w:val="-1"/>
          <w:sz w:val="21"/>
          <w:szCs w:val="21"/>
        </w:rPr>
        <w:t>人应当在收到</w:t>
      </w:r>
      <w:r>
        <w:rPr>
          <w:rFonts w:ascii="宋体" w:hAnsi="宋体" w:eastAsia="宋体" w:cs="宋体"/>
          <w:sz w:val="21"/>
          <w:szCs w:val="21"/>
        </w:rPr>
        <w:t xml:space="preserve"> </w:t>
      </w:r>
      <w:r>
        <w:rPr>
          <w:rFonts w:ascii="宋体" w:hAnsi="宋体" w:eastAsia="宋体" w:cs="宋体"/>
          <w:spacing w:val="-2"/>
          <w:sz w:val="21"/>
          <w:szCs w:val="21"/>
        </w:rPr>
        <w:t xml:space="preserve">申请后 </w:t>
      </w:r>
      <w:r>
        <w:rPr>
          <w:rFonts w:ascii="Times New Roman" w:hAnsi="Times New Roman" w:eastAsia="Times New Roman" w:cs="Times New Roman"/>
          <w:spacing w:val="-2"/>
          <w:sz w:val="21"/>
          <w:szCs w:val="21"/>
        </w:rPr>
        <w:t>14</w:t>
      </w:r>
      <w:r>
        <w:rPr>
          <w:rFonts w:ascii="Times New Roman" w:hAnsi="Times New Roman" w:eastAsia="Times New Roman" w:cs="Times New Roman"/>
          <w:spacing w:val="14"/>
          <w:sz w:val="21"/>
          <w:szCs w:val="21"/>
        </w:rPr>
        <w:t xml:space="preserve"> </w:t>
      </w:r>
      <w:r>
        <w:rPr>
          <w:rFonts w:ascii="宋体" w:hAnsi="宋体" w:eastAsia="宋体" w:cs="宋体"/>
          <w:spacing w:val="-2"/>
          <w:sz w:val="21"/>
          <w:szCs w:val="21"/>
        </w:rPr>
        <w:t>天内给予批准或提出修改意见，发包人逾期未予批准或提出修改意见的，视为该</w:t>
      </w:r>
    </w:p>
    <w:p w14:paraId="0117E2D0">
      <w:pPr>
        <w:spacing w:before="1" w:line="219" w:lineRule="auto"/>
        <w:ind w:left="22"/>
        <w:rPr>
          <w:rFonts w:ascii="宋体" w:hAnsi="宋体" w:eastAsia="宋体" w:cs="宋体"/>
          <w:sz w:val="21"/>
          <w:szCs w:val="21"/>
        </w:rPr>
      </w:pPr>
      <w:r>
        <w:rPr>
          <w:rFonts w:ascii="宋体" w:hAnsi="宋体" w:eastAsia="宋体" w:cs="宋体"/>
          <w:spacing w:val="-1"/>
          <w:sz w:val="21"/>
          <w:szCs w:val="21"/>
        </w:rPr>
        <w:t>书面申请已获得同意；</w:t>
      </w:r>
    </w:p>
    <w:p w14:paraId="4054F0A1">
      <w:pPr>
        <w:spacing w:before="149" w:line="399" w:lineRule="exact"/>
        <w:ind w:right="12"/>
        <w:jc w:val="right"/>
        <w:rPr>
          <w:rFonts w:ascii="宋体" w:hAnsi="宋体" w:eastAsia="宋体" w:cs="宋体"/>
          <w:sz w:val="21"/>
          <w:szCs w:val="21"/>
        </w:rPr>
      </w:pPr>
      <w:r>
        <w:rPr>
          <w:rFonts w:ascii="宋体" w:hAnsi="宋体" w:eastAsia="宋体" w:cs="宋体"/>
          <w:position w:val="14"/>
          <w:sz w:val="21"/>
          <w:szCs w:val="21"/>
        </w:rPr>
        <w:t>（</w:t>
      </w:r>
      <w:r>
        <w:rPr>
          <w:rFonts w:ascii="Times New Roman" w:hAnsi="Times New Roman" w:eastAsia="Times New Roman" w:cs="Times New Roman"/>
          <w:position w:val="14"/>
          <w:sz w:val="21"/>
          <w:szCs w:val="21"/>
        </w:rPr>
        <w:t>2</w:t>
      </w:r>
      <w:r>
        <w:rPr>
          <w:rFonts w:ascii="宋体" w:hAnsi="宋体" w:eastAsia="宋体" w:cs="宋体"/>
          <w:position w:val="14"/>
          <w:sz w:val="21"/>
          <w:szCs w:val="21"/>
        </w:rPr>
        <w:t>）发包人认为承包人确定的供应商、分包人无法满足工程质量或合同要求</w:t>
      </w:r>
      <w:r>
        <w:rPr>
          <w:rFonts w:ascii="宋体" w:hAnsi="宋体" w:eastAsia="宋体" w:cs="宋体"/>
          <w:spacing w:val="-1"/>
          <w:position w:val="14"/>
          <w:sz w:val="21"/>
          <w:szCs w:val="21"/>
        </w:rPr>
        <w:t>的，发包</w:t>
      </w:r>
    </w:p>
    <w:p w14:paraId="20E4C6C7">
      <w:pPr>
        <w:spacing w:line="222" w:lineRule="auto"/>
        <w:ind w:left="20"/>
        <w:rPr>
          <w:rFonts w:ascii="Times New Roman" w:hAnsi="Times New Roman" w:eastAsia="Times New Roman" w:cs="Times New Roman"/>
          <w:sz w:val="21"/>
          <w:szCs w:val="21"/>
        </w:rPr>
      </w:pPr>
      <w:r>
        <w:rPr>
          <w:rFonts w:ascii="宋体" w:hAnsi="宋体" w:eastAsia="宋体" w:cs="宋体"/>
          <w:spacing w:val="-1"/>
          <w:sz w:val="21"/>
          <w:szCs w:val="21"/>
        </w:rPr>
        <w:t>人可以要求承包人重新确定暂估价项目的供应商、分包人</w:t>
      </w:r>
      <w:r>
        <w:rPr>
          <w:rFonts w:ascii="Times New Roman" w:hAnsi="Times New Roman" w:eastAsia="Times New Roman" w:cs="Times New Roman"/>
          <w:spacing w:val="-1"/>
          <w:sz w:val="21"/>
          <w:szCs w:val="21"/>
        </w:rPr>
        <w:t>;</w:t>
      </w:r>
    </w:p>
    <w:p w14:paraId="3049C8DF">
      <w:pPr>
        <w:spacing w:before="150" w:line="219" w:lineRule="auto"/>
        <w:ind w:left="447"/>
        <w:rPr>
          <w:rFonts w:ascii="宋体" w:hAnsi="宋体" w:eastAsia="宋体" w:cs="宋体"/>
          <w:sz w:val="21"/>
          <w:szCs w:val="21"/>
        </w:rPr>
      </w:pPr>
      <w:r>
        <w:rPr>
          <w:rFonts w:ascii="宋体" w:hAnsi="宋体" w:eastAsia="宋体" w:cs="宋体"/>
          <w:spacing w:val="-3"/>
          <w:sz w:val="21"/>
          <w:szCs w:val="21"/>
        </w:rPr>
        <w:t>（</w:t>
      </w:r>
      <w:r>
        <w:rPr>
          <w:rFonts w:ascii="Times New Roman" w:hAnsi="Times New Roman" w:eastAsia="Times New Roman" w:cs="Times New Roman"/>
          <w:spacing w:val="-3"/>
          <w:sz w:val="21"/>
          <w:szCs w:val="21"/>
        </w:rPr>
        <w:t>3</w:t>
      </w:r>
      <w:r>
        <w:rPr>
          <w:rFonts w:ascii="宋体" w:hAnsi="宋体" w:eastAsia="宋体" w:cs="宋体"/>
          <w:spacing w:val="-3"/>
          <w:sz w:val="21"/>
          <w:szCs w:val="21"/>
        </w:rPr>
        <w:t>）承包人应当在签订暂估价合同后</w:t>
      </w:r>
      <w:r>
        <w:rPr>
          <w:rFonts w:ascii="宋体" w:hAnsi="宋体" w:eastAsia="宋体" w:cs="宋体"/>
          <w:spacing w:val="-48"/>
          <w:sz w:val="21"/>
          <w:szCs w:val="21"/>
        </w:rPr>
        <w:t xml:space="preserve"> </w:t>
      </w:r>
      <w:r>
        <w:rPr>
          <w:rFonts w:ascii="Times New Roman" w:hAnsi="Times New Roman" w:eastAsia="Times New Roman" w:cs="Times New Roman"/>
          <w:spacing w:val="-3"/>
          <w:sz w:val="21"/>
          <w:szCs w:val="21"/>
        </w:rPr>
        <w:t xml:space="preserve">7 </w:t>
      </w:r>
      <w:r>
        <w:rPr>
          <w:rFonts w:ascii="宋体" w:hAnsi="宋体" w:eastAsia="宋体" w:cs="宋体"/>
          <w:spacing w:val="-3"/>
          <w:sz w:val="21"/>
          <w:szCs w:val="21"/>
        </w:rPr>
        <w:t>天内， 将暂估</w:t>
      </w:r>
      <w:r>
        <w:rPr>
          <w:rFonts w:ascii="宋体" w:hAnsi="宋体" w:eastAsia="宋体" w:cs="宋体"/>
          <w:spacing w:val="-4"/>
          <w:sz w:val="21"/>
          <w:szCs w:val="21"/>
        </w:rPr>
        <w:t>价合同副本报送发包人留存。</w:t>
      </w:r>
    </w:p>
    <w:p w14:paraId="311EFD96">
      <w:pPr>
        <w:spacing w:before="150" w:line="398" w:lineRule="exact"/>
        <w:jc w:val="right"/>
        <w:rPr>
          <w:rFonts w:ascii="宋体" w:hAnsi="宋体" w:eastAsia="宋体" w:cs="宋体"/>
          <w:sz w:val="21"/>
          <w:szCs w:val="21"/>
        </w:rPr>
      </w:pPr>
      <w:r>
        <w:rPr>
          <w:rFonts w:ascii="宋体" w:hAnsi="宋体" w:eastAsia="宋体" w:cs="宋体"/>
          <w:spacing w:val="-2"/>
          <w:position w:val="14"/>
          <w:sz w:val="21"/>
          <w:szCs w:val="21"/>
        </w:rPr>
        <w:t>第</w:t>
      </w:r>
      <w:r>
        <w:rPr>
          <w:rFonts w:ascii="宋体" w:hAnsi="宋体" w:eastAsia="宋体" w:cs="宋体"/>
          <w:spacing w:val="-58"/>
          <w:position w:val="14"/>
          <w:sz w:val="21"/>
          <w:szCs w:val="21"/>
        </w:rPr>
        <w:t xml:space="preserve"> </w:t>
      </w:r>
      <w:r>
        <w:rPr>
          <w:rFonts w:ascii="Times New Roman" w:hAnsi="Times New Roman" w:eastAsia="Times New Roman" w:cs="Times New Roman"/>
          <w:spacing w:val="-2"/>
          <w:position w:val="14"/>
          <w:sz w:val="21"/>
          <w:szCs w:val="21"/>
        </w:rPr>
        <w:t>2</w:t>
      </w:r>
      <w:r>
        <w:rPr>
          <w:rFonts w:ascii="Times New Roman" w:hAnsi="Times New Roman" w:eastAsia="Times New Roman" w:cs="Times New Roman"/>
          <w:spacing w:val="-10"/>
          <w:position w:val="14"/>
          <w:sz w:val="21"/>
          <w:szCs w:val="21"/>
        </w:rPr>
        <w:t xml:space="preserve"> </w:t>
      </w:r>
      <w:r>
        <w:rPr>
          <w:rFonts w:ascii="宋体" w:hAnsi="宋体" w:eastAsia="宋体" w:cs="宋体"/>
          <w:spacing w:val="-2"/>
          <w:position w:val="14"/>
          <w:sz w:val="21"/>
          <w:szCs w:val="21"/>
        </w:rPr>
        <w:t>种方式：承包人按照第</w:t>
      </w:r>
      <w:r>
        <w:rPr>
          <w:rFonts w:ascii="宋体" w:hAnsi="宋体" w:eastAsia="宋体" w:cs="宋体"/>
          <w:spacing w:val="-41"/>
          <w:position w:val="14"/>
          <w:sz w:val="21"/>
          <w:szCs w:val="21"/>
        </w:rPr>
        <w:t xml:space="preserve"> </w:t>
      </w:r>
      <w:r>
        <w:rPr>
          <w:rFonts w:ascii="Times New Roman" w:hAnsi="Times New Roman" w:eastAsia="Times New Roman" w:cs="Times New Roman"/>
          <w:spacing w:val="-2"/>
          <w:position w:val="14"/>
          <w:sz w:val="21"/>
          <w:szCs w:val="21"/>
        </w:rPr>
        <w:t xml:space="preserve">10.7.1 </w:t>
      </w:r>
      <w:r>
        <w:rPr>
          <w:rFonts w:ascii="宋体" w:hAnsi="宋体" w:eastAsia="宋体" w:cs="宋体"/>
          <w:spacing w:val="-2"/>
          <w:position w:val="14"/>
          <w:sz w:val="21"/>
          <w:szCs w:val="21"/>
        </w:rPr>
        <w:t>项〔依法必须招标的暂估价项目〕</w:t>
      </w:r>
      <w:r>
        <w:rPr>
          <w:rFonts w:ascii="宋体" w:hAnsi="宋体" w:eastAsia="宋体" w:cs="宋体"/>
          <w:spacing w:val="-3"/>
          <w:position w:val="14"/>
          <w:sz w:val="21"/>
          <w:szCs w:val="21"/>
        </w:rPr>
        <w:t>约定的第</w:t>
      </w:r>
      <w:r>
        <w:rPr>
          <w:rFonts w:ascii="宋体" w:hAnsi="宋体" w:eastAsia="宋体" w:cs="宋体"/>
          <w:spacing w:val="-37"/>
          <w:position w:val="14"/>
          <w:sz w:val="21"/>
          <w:szCs w:val="21"/>
        </w:rPr>
        <w:t xml:space="preserve"> </w:t>
      </w:r>
      <w:r>
        <w:rPr>
          <w:rFonts w:ascii="Times New Roman" w:hAnsi="Times New Roman" w:eastAsia="Times New Roman" w:cs="Times New Roman"/>
          <w:spacing w:val="-3"/>
          <w:position w:val="14"/>
          <w:sz w:val="21"/>
          <w:szCs w:val="21"/>
        </w:rPr>
        <w:t>1</w:t>
      </w:r>
      <w:r>
        <w:rPr>
          <w:rFonts w:ascii="Times New Roman" w:hAnsi="Times New Roman" w:eastAsia="Times New Roman" w:cs="Times New Roman"/>
          <w:spacing w:val="-10"/>
          <w:position w:val="14"/>
          <w:sz w:val="21"/>
          <w:szCs w:val="21"/>
        </w:rPr>
        <w:t xml:space="preserve"> </w:t>
      </w:r>
      <w:r>
        <w:rPr>
          <w:rFonts w:ascii="宋体" w:hAnsi="宋体" w:eastAsia="宋体" w:cs="宋体"/>
          <w:spacing w:val="-3"/>
          <w:position w:val="14"/>
          <w:sz w:val="21"/>
          <w:szCs w:val="21"/>
        </w:rPr>
        <w:t>种方式</w:t>
      </w:r>
    </w:p>
    <w:p w14:paraId="09750964">
      <w:pPr>
        <w:spacing w:line="219" w:lineRule="auto"/>
        <w:ind w:left="18"/>
        <w:rPr>
          <w:rFonts w:ascii="宋体" w:hAnsi="宋体" w:eastAsia="宋体" w:cs="宋体"/>
          <w:sz w:val="21"/>
          <w:szCs w:val="21"/>
        </w:rPr>
      </w:pPr>
      <w:r>
        <w:rPr>
          <w:rFonts w:ascii="宋体" w:hAnsi="宋体" w:eastAsia="宋体" w:cs="宋体"/>
          <w:spacing w:val="-3"/>
          <w:sz w:val="21"/>
          <w:szCs w:val="21"/>
        </w:rPr>
        <w:t>确定暂估价项目。</w:t>
      </w:r>
    </w:p>
    <w:p w14:paraId="05216723">
      <w:pPr>
        <w:spacing w:before="155" w:line="219" w:lineRule="auto"/>
        <w:ind w:left="441"/>
        <w:rPr>
          <w:rFonts w:ascii="宋体" w:hAnsi="宋体" w:eastAsia="宋体" w:cs="宋体"/>
          <w:sz w:val="21"/>
          <w:szCs w:val="21"/>
        </w:rPr>
      </w:pPr>
      <w:r>
        <w:rPr>
          <w:rFonts w:ascii="宋体" w:hAnsi="宋体" w:eastAsia="宋体" w:cs="宋体"/>
          <w:spacing w:val="-2"/>
          <w:sz w:val="21"/>
          <w:szCs w:val="21"/>
        </w:rPr>
        <w:t>第</w:t>
      </w:r>
      <w:r>
        <w:rPr>
          <w:rFonts w:ascii="宋体" w:hAnsi="宋体" w:eastAsia="宋体" w:cs="宋体"/>
          <w:spacing w:val="-28"/>
          <w:sz w:val="21"/>
          <w:szCs w:val="21"/>
        </w:rPr>
        <w:t xml:space="preserve"> </w:t>
      </w:r>
      <w:r>
        <w:rPr>
          <w:rFonts w:ascii="Times New Roman" w:hAnsi="Times New Roman" w:eastAsia="Times New Roman" w:cs="Times New Roman"/>
          <w:spacing w:val="-2"/>
          <w:sz w:val="21"/>
          <w:szCs w:val="21"/>
        </w:rPr>
        <w:t xml:space="preserve">3 </w:t>
      </w:r>
      <w:r>
        <w:rPr>
          <w:rFonts w:ascii="宋体" w:hAnsi="宋体" w:eastAsia="宋体" w:cs="宋体"/>
          <w:spacing w:val="-2"/>
          <w:sz w:val="21"/>
          <w:szCs w:val="21"/>
        </w:rPr>
        <w:t>种方式：承包人直接实施的暂估价项目</w:t>
      </w:r>
    </w:p>
    <w:p w14:paraId="2C49D248">
      <w:pPr>
        <w:spacing w:before="149" w:line="398" w:lineRule="exact"/>
        <w:ind w:right="6"/>
        <w:jc w:val="right"/>
        <w:rPr>
          <w:rFonts w:ascii="宋体" w:hAnsi="宋体" w:eastAsia="宋体" w:cs="宋体"/>
          <w:sz w:val="21"/>
          <w:szCs w:val="21"/>
        </w:rPr>
      </w:pPr>
      <w:r>
        <w:rPr>
          <w:rFonts w:ascii="宋体" w:hAnsi="宋体" w:eastAsia="宋体" w:cs="宋体"/>
          <w:spacing w:val="3"/>
          <w:position w:val="14"/>
          <w:sz w:val="21"/>
          <w:szCs w:val="21"/>
        </w:rPr>
        <w:t>承包人具备实施暂估价项目的资格和条件的，经发包人和承包人协商一致后，可由承</w:t>
      </w:r>
    </w:p>
    <w:p w14:paraId="7AC28CFC">
      <w:pPr>
        <w:spacing w:line="219" w:lineRule="auto"/>
        <w:ind w:left="18"/>
        <w:rPr>
          <w:rFonts w:ascii="宋体" w:hAnsi="宋体" w:eastAsia="宋体" w:cs="宋体"/>
          <w:sz w:val="21"/>
          <w:szCs w:val="21"/>
        </w:rPr>
      </w:pPr>
      <w:r>
        <w:rPr>
          <w:rFonts w:ascii="宋体" w:hAnsi="宋体" w:eastAsia="宋体" w:cs="宋体"/>
          <w:sz w:val="21"/>
          <w:szCs w:val="21"/>
        </w:rPr>
        <w:t>包人自行实施暂估价项目，合同当事人可以在专用合同条款约定</w:t>
      </w:r>
      <w:r>
        <w:rPr>
          <w:rFonts w:ascii="宋体" w:hAnsi="宋体" w:eastAsia="宋体" w:cs="宋体"/>
          <w:spacing w:val="-1"/>
          <w:sz w:val="21"/>
          <w:szCs w:val="21"/>
        </w:rPr>
        <w:t>具体事项。</w:t>
      </w:r>
    </w:p>
    <w:p w14:paraId="48D08B76">
      <w:pPr>
        <w:spacing w:before="155" w:line="398" w:lineRule="exact"/>
        <w:ind w:right="21"/>
        <w:jc w:val="right"/>
        <w:rPr>
          <w:rFonts w:ascii="宋体" w:hAnsi="宋体" w:eastAsia="宋体" w:cs="宋体"/>
          <w:sz w:val="21"/>
          <w:szCs w:val="21"/>
        </w:rPr>
      </w:pPr>
      <w:r>
        <w:rPr>
          <w:rFonts w:ascii="Times New Roman" w:hAnsi="Times New Roman" w:eastAsia="Times New Roman" w:cs="Times New Roman"/>
          <w:spacing w:val="1"/>
          <w:position w:val="14"/>
          <w:sz w:val="21"/>
          <w:szCs w:val="21"/>
        </w:rPr>
        <w:t xml:space="preserve">10.7.3  </w:t>
      </w:r>
      <w:r>
        <w:rPr>
          <w:rFonts w:ascii="宋体" w:hAnsi="宋体" w:eastAsia="宋体" w:cs="宋体"/>
          <w:spacing w:val="1"/>
          <w:position w:val="14"/>
          <w:sz w:val="21"/>
          <w:szCs w:val="21"/>
        </w:rPr>
        <w:t>因发包人原因导致暂估价合同订立和履行迟延的，</w:t>
      </w:r>
      <w:r>
        <w:rPr>
          <w:rFonts w:ascii="宋体" w:hAnsi="宋体" w:eastAsia="宋体" w:cs="宋体"/>
          <w:spacing w:val="-61"/>
          <w:position w:val="14"/>
          <w:sz w:val="21"/>
          <w:szCs w:val="21"/>
        </w:rPr>
        <w:t xml:space="preserve"> </w:t>
      </w:r>
      <w:r>
        <w:rPr>
          <w:rFonts w:ascii="宋体" w:hAnsi="宋体" w:eastAsia="宋体" w:cs="宋体"/>
          <w:spacing w:val="1"/>
          <w:position w:val="14"/>
          <w:sz w:val="21"/>
          <w:szCs w:val="21"/>
        </w:rPr>
        <w:t>由此增加的费用和</w:t>
      </w:r>
      <w:r>
        <w:rPr>
          <w:rFonts w:ascii="宋体" w:hAnsi="宋体" w:eastAsia="宋体" w:cs="宋体"/>
          <w:position w:val="14"/>
          <w:sz w:val="21"/>
          <w:szCs w:val="21"/>
        </w:rPr>
        <w:t>（或）延</w:t>
      </w:r>
    </w:p>
    <w:p w14:paraId="4E24D5DC">
      <w:pPr>
        <w:spacing w:line="219" w:lineRule="auto"/>
        <w:ind w:left="20"/>
        <w:rPr>
          <w:rFonts w:ascii="宋体" w:hAnsi="宋体" w:eastAsia="宋体" w:cs="宋体"/>
          <w:sz w:val="21"/>
          <w:szCs w:val="21"/>
        </w:rPr>
      </w:pPr>
      <w:r>
        <w:rPr>
          <w:rFonts w:ascii="宋体" w:hAnsi="宋体" w:eastAsia="宋体" w:cs="宋体"/>
          <w:spacing w:val="3"/>
          <w:sz w:val="21"/>
          <w:szCs w:val="21"/>
        </w:rPr>
        <w:t>误的工期由发包人承担，并支付承包人合理的利润。因承包人原因导致</w:t>
      </w:r>
      <w:r>
        <w:rPr>
          <w:rFonts w:ascii="宋体" w:hAnsi="宋体" w:eastAsia="宋体" w:cs="宋体"/>
          <w:spacing w:val="2"/>
          <w:sz w:val="21"/>
          <w:szCs w:val="21"/>
        </w:rPr>
        <w:t>暂估价合同订立和</w:t>
      </w:r>
    </w:p>
    <w:p w14:paraId="52974E71">
      <w:pPr>
        <w:spacing w:before="149" w:line="221" w:lineRule="auto"/>
        <w:ind w:left="21"/>
        <w:rPr>
          <w:rFonts w:ascii="宋体" w:hAnsi="宋体" w:eastAsia="宋体" w:cs="宋体"/>
          <w:sz w:val="21"/>
          <w:szCs w:val="21"/>
        </w:rPr>
      </w:pPr>
      <w:r>
        <w:rPr>
          <w:rFonts w:ascii="宋体" w:hAnsi="宋体" w:eastAsia="宋体" w:cs="宋体"/>
          <w:spacing w:val="-4"/>
          <w:sz w:val="21"/>
          <w:szCs w:val="21"/>
        </w:rPr>
        <w:t>履行迟延的，由此增加的费用和（或） 延误的工期由承包人承担。</w:t>
      </w:r>
    </w:p>
    <w:p w14:paraId="1C821C9D">
      <w:pPr>
        <w:spacing w:before="50" w:line="219" w:lineRule="auto"/>
        <w:ind w:left="31"/>
        <w:rPr>
          <w:rFonts w:ascii="黑体" w:hAnsi="黑体" w:eastAsia="黑体" w:cs="黑体"/>
          <w:sz w:val="24"/>
          <w:szCs w:val="24"/>
        </w:rPr>
      </w:pPr>
      <w:r>
        <w:rPr>
          <w:rFonts w:ascii="黑体" w:hAnsi="黑体" w:eastAsia="黑体" w:cs="黑体"/>
          <w:spacing w:val="-5"/>
          <w:sz w:val="24"/>
          <w:szCs w:val="24"/>
        </w:rPr>
        <w:t>10.8</w:t>
      </w:r>
      <w:r>
        <w:rPr>
          <w:rFonts w:ascii="黑体" w:hAnsi="黑体" w:eastAsia="黑体" w:cs="黑体"/>
          <w:spacing w:val="-41"/>
          <w:sz w:val="24"/>
          <w:szCs w:val="24"/>
        </w:rPr>
        <w:t xml:space="preserve"> </w:t>
      </w:r>
      <w:r>
        <w:rPr>
          <w:rFonts w:ascii="黑体" w:hAnsi="黑体" w:eastAsia="黑体" w:cs="黑体"/>
          <w:spacing w:val="-5"/>
          <w:sz w:val="24"/>
          <w:szCs w:val="24"/>
        </w:rPr>
        <w:t>暂列金额</w:t>
      </w:r>
    </w:p>
    <w:p w14:paraId="1207E5E2">
      <w:pPr>
        <w:spacing w:before="129" w:line="221" w:lineRule="auto"/>
        <w:ind w:right="1"/>
        <w:jc w:val="right"/>
        <w:rPr>
          <w:rFonts w:ascii="宋体" w:hAnsi="宋体" w:eastAsia="宋体" w:cs="宋体"/>
          <w:sz w:val="21"/>
          <w:szCs w:val="21"/>
        </w:rPr>
      </w:pPr>
      <w:r>
        <w:rPr>
          <w:rFonts w:ascii="宋体" w:hAnsi="宋体" w:eastAsia="宋体" w:cs="宋体"/>
          <w:sz w:val="21"/>
          <w:szCs w:val="21"/>
        </w:rPr>
        <w:t>暂列金额应按照发包人的要求使用， 发包人的要求应通过监理人发出。合同当事人可</w:t>
      </w:r>
    </w:p>
    <w:p w14:paraId="39C2C634">
      <w:pPr>
        <w:spacing w:before="148" w:line="221" w:lineRule="auto"/>
        <w:ind w:left="42"/>
        <w:rPr>
          <w:rFonts w:ascii="宋体" w:hAnsi="宋体" w:eastAsia="宋体" w:cs="宋体"/>
          <w:sz w:val="21"/>
          <w:szCs w:val="21"/>
        </w:rPr>
      </w:pPr>
      <w:r>
        <w:rPr>
          <w:rFonts w:ascii="宋体" w:hAnsi="宋体" w:eastAsia="宋体" w:cs="宋体"/>
          <w:spacing w:val="-2"/>
          <w:sz w:val="21"/>
          <w:szCs w:val="21"/>
        </w:rPr>
        <w:t>以在专用合同条款中协商确定有关事项。</w:t>
      </w:r>
    </w:p>
    <w:p w14:paraId="206F3378">
      <w:pPr>
        <w:spacing w:before="45" w:line="222" w:lineRule="auto"/>
        <w:ind w:left="31"/>
        <w:rPr>
          <w:rFonts w:ascii="黑体" w:hAnsi="黑体" w:eastAsia="黑体" w:cs="黑体"/>
          <w:sz w:val="24"/>
          <w:szCs w:val="24"/>
        </w:rPr>
      </w:pPr>
      <w:r>
        <w:rPr>
          <w:rFonts w:ascii="黑体" w:hAnsi="黑体" w:eastAsia="黑体" w:cs="黑体"/>
          <w:spacing w:val="-5"/>
          <w:sz w:val="24"/>
          <w:szCs w:val="24"/>
        </w:rPr>
        <w:t>10.9</w:t>
      </w:r>
      <w:r>
        <w:rPr>
          <w:rFonts w:ascii="黑体" w:hAnsi="黑体" w:eastAsia="黑体" w:cs="黑体"/>
          <w:spacing w:val="-47"/>
          <w:sz w:val="24"/>
          <w:szCs w:val="24"/>
        </w:rPr>
        <w:t xml:space="preserve"> </w:t>
      </w:r>
      <w:r>
        <w:rPr>
          <w:rFonts w:ascii="黑体" w:hAnsi="黑体" w:eastAsia="黑体" w:cs="黑体"/>
          <w:spacing w:val="-5"/>
          <w:sz w:val="24"/>
          <w:szCs w:val="24"/>
        </w:rPr>
        <w:t>计日工</w:t>
      </w:r>
    </w:p>
    <w:p w14:paraId="7928C88A">
      <w:pPr>
        <w:spacing w:before="125" w:line="352" w:lineRule="auto"/>
        <w:ind w:left="17" w:right="10" w:firstLine="435"/>
        <w:rPr>
          <w:rFonts w:ascii="宋体" w:hAnsi="宋体" w:eastAsia="宋体" w:cs="宋体"/>
          <w:sz w:val="21"/>
          <w:szCs w:val="21"/>
        </w:rPr>
      </w:pPr>
      <w:r>
        <w:rPr>
          <w:rFonts w:ascii="宋体" w:hAnsi="宋体" w:eastAsia="宋体" w:cs="宋体"/>
          <w:spacing w:val="3"/>
          <w:sz w:val="21"/>
          <w:szCs w:val="21"/>
        </w:rPr>
        <w:t>需要采用计日工方式的，经发包人同意后，由监理人通</w:t>
      </w:r>
      <w:r>
        <w:rPr>
          <w:rFonts w:ascii="宋体" w:hAnsi="宋体" w:eastAsia="宋体" w:cs="宋体"/>
          <w:spacing w:val="2"/>
          <w:sz w:val="21"/>
          <w:szCs w:val="21"/>
        </w:rPr>
        <w:t>知承包人以计日工计价方式实</w:t>
      </w:r>
      <w:r>
        <w:rPr>
          <w:rFonts w:ascii="宋体" w:hAnsi="宋体" w:eastAsia="宋体" w:cs="宋体"/>
          <w:sz w:val="21"/>
          <w:szCs w:val="21"/>
        </w:rPr>
        <w:t xml:space="preserve"> </w:t>
      </w:r>
      <w:r>
        <w:rPr>
          <w:rFonts w:ascii="宋体" w:hAnsi="宋体" w:eastAsia="宋体" w:cs="宋体"/>
          <w:spacing w:val="3"/>
          <w:sz w:val="21"/>
          <w:szCs w:val="21"/>
        </w:rPr>
        <w:t>施相应的工作，其价款按列入已标价工程量清单或预算书中的计日工计价项目及</w:t>
      </w:r>
      <w:r>
        <w:rPr>
          <w:rFonts w:ascii="宋体" w:hAnsi="宋体" w:eastAsia="宋体" w:cs="宋体"/>
          <w:spacing w:val="2"/>
          <w:sz w:val="21"/>
          <w:szCs w:val="21"/>
        </w:rPr>
        <w:t>其单价进</w:t>
      </w:r>
      <w:r>
        <w:rPr>
          <w:rFonts w:ascii="宋体" w:hAnsi="宋体" w:eastAsia="宋体" w:cs="宋体"/>
          <w:sz w:val="21"/>
          <w:szCs w:val="21"/>
        </w:rPr>
        <w:t xml:space="preserve"> </w:t>
      </w:r>
      <w:r>
        <w:rPr>
          <w:rFonts w:ascii="宋体" w:hAnsi="宋体" w:eastAsia="宋体" w:cs="宋体"/>
          <w:spacing w:val="3"/>
          <w:sz w:val="21"/>
          <w:szCs w:val="21"/>
        </w:rPr>
        <w:t>行计算；已标价工程量清单或预算书中无相应的计日工单价的，按照合理的成</w:t>
      </w:r>
      <w:r>
        <w:rPr>
          <w:rFonts w:ascii="宋体" w:hAnsi="宋体" w:eastAsia="宋体" w:cs="宋体"/>
          <w:spacing w:val="2"/>
          <w:sz w:val="21"/>
          <w:szCs w:val="21"/>
        </w:rPr>
        <w:t>本与利润构</w:t>
      </w:r>
    </w:p>
    <w:p w14:paraId="68E12557">
      <w:pPr>
        <w:spacing w:line="219" w:lineRule="auto"/>
        <w:ind w:left="20"/>
        <w:rPr>
          <w:rFonts w:ascii="宋体" w:hAnsi="宋体" w:eastAsia="宋体" w:cs="宋体"/>
          <w:sz w:val="21"/>
          <w:szCs w:val="21"/>
        </w:rPr>
      </w:pPr>
      <w:r>
        <w:rPr>
          <w:rFonts w:ascii="宋体" w:hAnsi="宋体" w:eastAsia="宋体" w:cs="宋体"/>
          <w:spacing w:val="-6"/>
          <w:sz w:val="21"/>
          <w:szCs w:val="21"/>
        </w:rPr>
        <w:t>成的原则，</w:t>
      </w:r>
      <w:r>
        <w:rPr>
          <w:rFonts w:ascii="宋体" w:hAnsi="宋体" w:eastAsia="宋体" w:cs="宋体"/>
          <w:spacing w:val="85"/>
          <w:sz w:val="21"/>
          <w:szCs w:val="21"/>
        </w:rPr>
        <w:t xml:space="preserve"> </w:t>
      </w:r>
      <w:r>
        <w:rPr>
          <w:rFonts w:ascii="宋体" w:hAnsi="宋体" w:eastAsia="宋体" w:cs="宋体"/>
          <w:spacing w:val="-6"/>
          <w:sz w:val="21"/>
          <w:szCs w:val="21"/>
        </w:rPr>
        <w:t>由合同当事人按照第</w:t>
      </w:r>
      <w:r>
        <w:rPr>
          <w:rFonts w:ascii="宋体" w:hAnsi="宋体" w:eastAsia="宋体" w:cs="宋体"/>
          <w:spacing w:val="-47"/>
          <w:sz w:val="21"/>
          <w:szCs w:val="21"/>
        </w:rPr>
        <w:t xml:space="preserve"> </w:t>
      </w:r>
      <w:r>
        <w:rPr>
          <w:rFonts w:ascii="Times New Roman" w:hAnsi="Times New Roman" w:eastAsia="Times New Roman" w:cs="Times New Roman"/>
          <w:spacing w:val="-6"/>
          <w:sz w:val="21"/>
          <w:szCs w:val="21"/>
        </w:rPr>
        <w:t xml:space="preserve">4.4 </w:t>
      </w:r>
      <w:r>
        <w:rPr>
          <w:rFonts w:ascii="宋体" w:hAnsi="宋体" w:eastAsia="宋体" w:cs="宋体"/>
          <w:spacing w:val="-6"/>
          <w:sz w:val="21"/>
          <w:szCs w:val="21"/>
        </w:rPr>
        <w:t>款〔商定或确定〕确定计日工的单价。</w:t>
      </w:r>
    </w:p>
    <w:p w14:paraId="3A501A28">
      <w:pPr>
        <w:spacing w:before="149" w:line="403" w:lineRule="exact"/>
        <w:ind w:right="6"/>
        <w:jc w:val="right"/>
        <w:rPr>
          <w:rFonts w:ascii="宋体" w:hAnsi="宋体" w:eastAsia="宋体" w:cs="宋体"/>
          <w:sz w:val="21"/>
          <w:szCs w:val="21"/>
        </w:rPr>
      </w:pPr>
      <w:r>
        <w:rPr>
          <w:rFonts w:ascii="宋体" w:hAnsi="宋体" w:eastAsia="宋体" w:cs="宋体"/>
          <w:position w:val="14"/>
          <w:sz w:val="21"/>
          <w:szCs w:val="21"/>
        </w:rPr>
        <w:t>采用计日工计价的任何一项工作，承包人应在该项工作实施过程中， 每天提交以下报</w:t>
      </w:r>
    </w:p>
    <w:p w14:paraId="40A4C4AF">
      <w:pPr>
        <w:spacing w:before="1" w:line="220" w:lineRule="auto"/>
        <w:ind w:left="17"/>
        <w:rPr>
          <w:rFonts w:ascii="宋体" w:hAnsi="宋体" w:eastAsia="宋体" w:cs="宋体"/>
          <w:sz w:val="21"/>
          <w:szCs w:val="21"/>
        </w:rPr>
      </w:pPr>
      <w:r>
        <w:rPr>
          <w:rFonts w:ascii="宋体" w:hAnsi="宋体" w:eastAsia="宋体" w:cs="宋体"/>
          <w:spacing w:val="-1"/>
          <w:sz w:val="21"/>
          <w:szCs w:val="21"/>
        </w:rPr>
        <w:t>表和有关凭证报送监理人审查：</w:t>
      </w:r>
    </w:p>
    <w:p w14:paraId="08AD051C">
      <w:pPr>
        <w:spacing w:before="147" w:line="221" w:lineRule="auto"/>
        <w:ind w:left="447"/>
        <w:rPr>
          <w:rFonts w:ascii="宋体" w:hAnsi="宋体" w:eastAsia="宋体" w:cs="宋体"/>
          <w:sz w:val="21"/>
          <w:szCs w:val="21"/>
        </w:rPr>
      </w:pPr>
      <w:r>
        <w:rPr>
          <w:rFonts w:ascii="宋体" w:hAnsi="宋体" w:eastAsia="宋体" w:cs="宋体"/>
          <w:spacing w:val="-4"/>
          <w:sz w:val="21"/>
          <w:szCs w:val="21"/>
        </w:rPr>
        <w:t>（</w:t>
      </w:r>
      <w:r>
        <w:rPr>
          <w:rFonts w:ascii="Times New Roman" w:hAnsi="Times New Roman" w:eastAsia="Times New Roman" w:cs="Times New Roman"/>
          <w:spacing w:val="-4"/>
          <w:sz w:val="21"/>
          <w:szCs w:val="21"/>
        </w:rPr>
        <w:t>1</w:t>
      </w:r>
      <w:r>
        <w:rPr>
          <w:rFonts w:ascii="宋体" w:hAnsi="宋体" w:eastAsia="宋体" w:cs="宋体"/>
          <w:spacing w:val="-4"/>
          <w:sz w:val="21"/>
          <w:szCs w:val="21"/>
        </w:rPr>
        <w:t>）工作名称、内容和数量；</w:t>
      </w:r>
    </w:p>
    <w:p w14:paraId="7535470B">
      <w:pPr>
        <w:spacing w:before="147" w:line="221" w:lineRule="auto"/>
        <w:ind w:left="447"/>
        <w:rPr>
          <w:rFonts w:ascii="宋体" w:hAnsi="宋体" w:eastAsia="宋体" w:cs="宋体"/>
          <w:sz w:val="21"/>
          <w:szCs w:val="21"/>
        </w:rPr>
      </w:pPr>
      <w:r>
        <w:rPr>
          <w:rFonts w:ascii="宋体" w:hAnsi="宋体" w:eastAsia="宋体" w:cs="宋体"/>
          <w:spacing w:val="-2"/>
          <w:sz w:val="21"/>
          <w:szCs w:val="21"/>
        </w:rPr>
        <w:t>（</w:t>
      </w:r>
      <w:r>
        <w:rPr>
          <w:rFonts w:ascii="Times New Roman" w:hAnsi="Times New Roman" w:eastAsia="Times New Roman" w:cs="Times New Roman"/>
          <w:spacing w:val="-2"/>
          <w:sz w:val="21"/>
          <w:szCs w:val="21"/>
        </w:rPr>
        <w:t>2</w:t>
      </w:r>
      <w:r>
        <w:rPr>
          <w:rFonts w:ascii="宋体" w:hAnsi="宋体" w:eastAsia="宋体" w:cs="宋体"/>
          <w:spacing w:val="-2"/>
          <w:sz w:val="21"/>
          <w:szCs w:val="21"/>
        </w:rPr>
        <w:t>）投入该工作的所有人员的姓名、专业、工种、级别和耗用工时；</w:t>
      </w:r>
    </w:p>
    <w:p w14:paraId="70FFE404">
      <w:pPr>
        <w:spacing w:line="221" w:lineRule="auto"/>
        <w:rPr>
          <w:rFonts w:ascii="宋体" w:hAnsi="宋体" w:eastAsia="宋体" w:cs="宋体"/>
          <w:sz w:val="21"/>
          <w:szCs w:val="21"/>
        </w:rPr>
        <w:sectPr>
          <w:footerReference r:id="rId117" w:type="default"/>
          <w:pgSz w:w="11905" w:h="16839"/>
          <w:pgMar w:top="1431" w:right="1785" w:bottom="1004" w:left="1785" w:header="0" w:footer="828" w:gutter="0"/>
          <w:pgNumType w:fmt="decimal"/>
          <w:cols w:space="720" w:num="1"/>
        </w:sectPr>
      </w:pPr>
    </w:p>
    <w:p w14:paraId="30764FF3">
      <w:pPr>
        <w:spacing w:before="149" w:line="220" w:lineRule="auto"/>
        <w:ind w:left="447"/>
        <w:rPr>
          <w:rFonts w:ascii="宋体" w:hAnsi="宋体" w:eastAsia="宋体" w:cs="宋体"/>
          <w:sz w:val="21"/>
          <w:szCs w:val="21"/>
        </w:rPr>
      </w:pPr>
      <w:r>
        <w:rPr>
          <w:rFonts w:ascii="宋体" w:hAnsi="宋体" w:eastAsia="宋体" w:cs="宋体"/>
          <w:spacing w:val="-3"/>
          <w:sz w:val="21"/>
          <w:szCs w:val="21"/>
        </w:rPr>
        <w:t>（</w:t>
      </w:r>
      <w:r>
        <w:rPr>
          <w:rFonts w:ascii="Times New Roman" w:hAnsi="Times New Roman" w:eastAsia="Times New Roman" w:cs="Times New Roman"/>
          <w:spacing w:val="-3"/>
          <w:sz w:val="21"/>
          <w:szCs w:val="21"/>
        </w:rPr>
        <w:t>3</w:t>
      </w:r>
      <w:r>
        <w:rPr>
          <w:rFonts w:ascii="宋体" w:hAnsi="宋体" w:eastAsia="宋体" w:cs="宋体"/>
          <w:spacing w:val="-3"/>
          <w:sz w:val="21"/>
          <w:szCs w:val="21"/>
        </w:rPr>
        <w:t>）投入该工作的材料类别和数量；</w:t>
      </w:r>
    </w:p>
    <w:p w14:paraId="77C1B9D4">
      <w:pPr>
        <w:spacing w:before="148" w:line="403" w:lineRule="exact"/>
        <w:ind w:left="447"/>
        <w:rPr>
          <w:rFonts w:ascii="宋体" w:hAnsi="宋体" w:eastAsia="宋体" w:cs="宋体"/>
          <w:sz w:val="21"/>
          <w:szCs w:val="21"/>
        </w:rPr>
      </w:pPr>
      <w:r>
        <w:rPr>
          <w:rFonts w:ascii="宋体" w:hAnsi="宋体" w:eastAsia="宋体" w:cs="宋体"/>
          <w:spacing w:val="-1"/>
          <w:position w:val="14"/>
          <w:sz w:val="21"/>
          <w:szCs w:val="21"/>
        </w:rPr>
        <w:t>（</w:t>
      </w:r>
      <w:r>
        <w:rPr>
          <w:rFonts w:ascii="Times New Roman" w:hAnsi="Times New Roman" w:eastAsia="Times New Roman" w:cs="Times New Roman"/>
          <w:spacing w:val="-1"/>
          <w:position w:val="14"/>
          <w:sz w:val="21"/>
          <w:szCs w:val="21"/>
        </w:rPr>
        <w:t>4</w:t>
      </w:r>
      <w:r>
        <w:rPr>
          <w:rFonts w:ascii="宋体" w:hAnsi="宋体" w:eastAsia="宋体" w:cs="宋体"/>
          <w:spacing w:val="-1"/>
          <w:position w:val="14"/>
          <w:sz w:val="21"/>
          <w:szCs w:val="21"/>
        </w:rPr>
        <w:t>）投入该工作的施工设备型号、台数和耗用台时；</w:t>
      </w:r>
    </w:p>
    <w:p w14:paraId="0CF23F11">
      <w:pPr>
        <w:spacing w:line="220" w:lineRule="auto"/>
        <w:ind w:left="447"/>
        <w:rPr>
          <w:rFonts w:ascii="宋体" w:hAnsi="宋体" w:eastAsia="宋体" w:cs="宋体"/>
          <w:sz w:val="21"/>
          <w:szCs w:val="21"/>
        </w:rPr>
      </w:pPr>
      <w:r>
        <w:rPr>
          <w:rFonts w:ascii="宋体" w:hAnsi="宋体" w:eastAsia="宋体" w:cs="宋体"/>
          <w:spacing w:val="-3"/>
          <w:sz w:val="21"/>
          <w:szCs w:val="21"/>
        </w:rPr>
        <w:t>（</w:t>
      </w:r>
      <w:r>
        <w:rPr>
          <w:rFonts w:ascii="Times New Roman" w:hAnsi="Times New Roman" w:eastAsia="Times New Roman" w:cs="Times New Roman"/>
          <w:spacing w:val="-3"/>
          <w:sz w:val="21"/>
          <w:szCs w:val="21"/>
        </w:rPr>
        <w:t>5</w:t>
      </w:r>
      <w:r>
        <w:rPr>
          <w:rFonts w:ascii="宋体" w:hAnsi="宋体" w:eastAsia="宋体" w:cs="宋体"/>
          <w:spacing w:val="-3"/>
          <w:sz w:val="21"/>
          <w:szCs w:val="21"/>
        </w:rPr>
        <w:t>）其他有关资料和凭证。</w:t>
      </w:r>
    </w:p>
    <w:p w14:paraId="42FCE93D">
      <w:pPr>
        <w:spacing w:before="148" w:line="398" w:lineRule="exact"/>
        <w:ind w:right="14"/>
        <w:jc w:val="right"/>
        <w:rPr>
          <w:rFonts w:ascii="宋体" w:hAnsi="宋体" w:eastAsia="宋体" w:cs="宋体"/>
          <w:sz w:val="21"/>
          <w:szCs w:val="21"/>
        </w:rPr>
      </w:pPr>
      <w:r>
        <w:rPr>
          <w:rFonts w:ascii="宋体" w:hAnsi="宋体" w:eastAsia="宋体" w:cs="宋体"/>
          <w:spacing w:val="1"/>
          <w:position w:val="14"/>
          <w:sz w:val="21"/>
          <w:szCs w:val="21"/>
        </w:rPr>
        <w:t>计日工由承包人汇总后，列入最近一期进度付款申请单，由监理人审查并经发包人批</w:t>
      </w:r>
    </w:p>
    <w:p w14:paraId="10A76E33">
      <w:pPr>
        <w:spacing w:line="220" w:lineRule="auto"/>
        <w:ind w:left="20"/>
        <w:rPr>
          <w:rFonts w:ascii="宋体" w:hAnsi="宋体" w:eastAsia="宋体" w:cs="宋体"/>
          <w:sz w:val="21"/>
          <w:szCs w:val="21"/>
        </w:rPr>
      </w:pPr>
      <w:r>
        <w:rPr>
          <w:rFonts w:ascii="宋体" w:hAnsi="宋体" w:eastAsia="宋体" w:cs="宋体"/>
          <w:spacing w:val="-4"/>
          <w:sz w:val="21"/>
          <w:szCs w:val="21"/>
        </w:rPr>
        <w:t>准后列入进度付款。</w:t>
      </w:r>
    </w:p>
    <w:p w14:paraId="213C7C6D">
      <w:pPr>
        <w:spacing w:before="177" w:line="220" w:lineRule="auto"/>
        <w:ind w:left="39"/>
        <w:rPr>
          <w:rFonts w:ascii="黑体" w:hAnsi="黑体" w:eastAsia="黑体" w:cs="黑体"/>
          <w:sz w:val="32"/>
          <w:szCs w:val="32"/>
        </w:rPr>
      </w:pPr>
      <w:r>
        <w:rPr>
          <w:rFonts w:ascii="黑体" w:hAnsi="黑体" w:eastAsia="黑体" w:cs="黑体"/>
          <w:spacing w:val="-4"/>
          <w:sz w:val="32"/>
          <w:szCs w:val="32"/>
        </w:rPr>
        <w:t>11.价格调整</w:t>
      </w:r>
    </w:p>
    <w:p w14:paraId="6E5F804F">
      <w:pPr>
        <w:spacing w:before="145" w:line="219" w:lineRule="auto"/>
        <w:ind w:left="31"/>
        <w:rPr>
          <w:rFonts w:ascii="黑体" w:hAnsi="黑体" w:eastAsia="黑体" w:cs="黑体"/>
          <w:sz w:val="24"/>
          <w:szCs w:val="24"/>
        </w:rPr>
      </w:pPr>
      <w:r>
        <w:rPr>
          <w:rFonts w:ascii="黑体" w:hAnsi="黑体" w:eastAsia="黑体" w:cs="黑体"/>
          <w:spacing w:val="-3"/>
          <w:sz w:val="24"/>
          <w:szCs w:val="24"/>
        </w:rPr>
        <w:t>11.1</w:t>
      </w:r>
      <w:r>
        <w:rPr>
          <w:rFonts w:ascii="黑体" w:hAnsi="黑体" w:eastAsia="黑体" w:cs="黑体"/>
          <w:spacing w:val="-39"/>
          <w:sz w:val="24"/>
          <w:szCs w:val="24"/>
        </w:rPr>
        <w:t xml:space="preserve"> </w:t>
      </w:r>
      <w:r>
        <w:rPr>
          <w:rFonts w:ascii="黑体" w:hAnsi="黑体" w:eastAsia="黑体" w:cs="黑体"/>
          <w:spacing w:val="-3"/>
          <w:sz w:val="24"/>
          <w:szCs w:val="24"/>
        </w:rPr>
        <w:t>市场价格波动引起的调整</w:t>
      </w:r>
    </w:p>
    <w:p w14:paraId="14C268B8">
      <w:pPr>
        <w:spacing w:before="129" w:line="399" w:lineRule="exact"/>
        <w:ind w:right="6"/>
        <w:jc w:val="right"/>
        <w:rPr>
          <w:rFonts w:ascii="宋体" w:hAnsi="宋体" w:eastAsia="宋体" w:cs="宋体"/>
          <w:sz w:val="21"/>
          <w:szCs w:val="21"/>
        </w:rPr>
      </w:pPr>
      <w:r>
        <w:rPr>
          <w:rFonts w:ascii="宋体" w:hAnsi="宋体" w:eastAsia="宋体" w:cs="宋体"/>
          <w:spacing w:val="3"/>
          <w:position w:val="14"/>
          <w:sz w:val="21"/>
          <w:szCs w:val="21"/>
        </w:rPr>
        <w:t>除专用合同条款另有约定外，市场价格波动超过合同当事人约</w:t>
      </w:r>
      <w:r>
        <w:rPr>
          <w:rFonts w:ascii="宋体" w:hAnsi="宋体" w:eastAsia="宋体" w:cs="宋体"/>
          <w:spacing w:val="2"/>
          <w:position w:val="14"/>
          <w:sz w:val="21"/>
          <w:szCs w:val="21"/>
        </w:rPr>
        <w:t>定的范围，合同价格应</w:t>
      </w:r>
    </w:p>
    <w:p w14:paraId="021ACC45">
      <w:pPr>
        <w:spacing w:line="219" w:lineRule="auto"/>
        <w:ind w:left="31"/>
        <w:rPr>
          <w:rFonts w:ascii="宋体" w:hAnsi="宋体" w:eastAsia="宋体" w:cs="宋体"/>
          <w:sz w:val="21"/>
          <w:szCs w:val="21"/>
        </w:rPr>
      </w:pPr>
      <w:r>
        <w:rPr>
          <w:rFonts w:ascii="宋体" w:hAnsi="宋体" w:eastAsia="宋体" w:cs="宋体"/>
          <w:spacing w:val="-1"/>
          <w:sz w:val="21"/>
          <w:szCs w:val="21"/>
        </w:rPr>
        <w:t>当调整。合同当事人可以在专用合同条款中约定选择以下一</w:t>
      </w:r>
      <w:r>
        <w:rPr>
          <w:rFonts w:ascii="宋体" w:hAnsi="宋体" w:eastAsia="宋体" w:cs="宋体"/>
          <w:spacing w:val="-2"/>
          <w:sz w:val="21"/>
          <w:szCs w:val="21"/>
        </w:rPr>
        <w:t>种方式对合同价格进行调整：</w:t>
      </w:r>
    </w:p>
    <w:p w14:paraId="5C2CDF0B">
      <w:pPr>
        <w:spacing w:before="154" w:line="398" w:lineRule="exact"/>
        <w:ind w:left="441"/>
        <w:rPr>
          <w:rFonts w:ascii="宋体" w:hAnsi="宋体" w:eastAsia="宋体" w:cs="宋体"/>
          <w:sz w:val="21"/>
          <w:szCs w:val="21"/>
        </w:rPr>
      </w:pPr>
      <w:r>
        <w:rPr>
          <w:rFonts w:ascii="宋体" w:hAnsi="宋体" w:eastAsia="宋体" w:cs="宋体"/>
          <w:spacing w:val="-3"/>
          <w:position w:val="14"/>
          <w:sz w:val="21"/>
          <w:szCs w:val="21"/>
        </w:rPr>
        <w:t>第</w:t>
      </w:r>
      <w:r>
        <w:rPr>
          <w:rFonts w:ascii="宋体" w:hAnsi="宋体" w:eastAsia="宋体" w:cs="宋体"/>
          <w:spacing w:val="-27"/>
          <w:position w:val="14"/>
          <w:sz w:val="21"/>
          <w:szCs w:val="21"/>
        </w:rPr>
        <w:t xml:space="preserve"> </w:t>
      </w:r>
      <w:r>
        <w:rPr>
          <w:rFonts w:ascii="Times New Roman" w:hAnsi="Times New Roman" w:eastAsia="Times New Roman" w:cs="Times New Roman"/>
          <w:spacing w:val="-3"/>
          <w:position w:val="14"/>
          <w:sz w:val="21"/>
          <w:szCs w:val="21"/>
        </w:rPr>
        <w:t xml:space="preserve">1 </w:t>
      </w:r>
      <w:r>
        <w:rPr>
          <w:rFonts w:ascii="宋体" w:hAnsi="宋体" w:eastAsia="宋体" w:cs="宋体"/>
          <w:spacing w:val="-3"/>
          <w:position w:val="14"/>
          <w:sz w:val="21"/>
          <w:szCs w:val="21"/>
        </w:rPr>
        <w:t>种方式：采用价格指数进行价格调整。</w:t>
      </w:r>
    </w:p>
    <w:p w14:paraId="585A65E2">
      <w:pPr>
        <w:spacing w:line="219" w:lineRule="auto"/>
        <w:ind w:left="447"/>
        <w:rPr>
          <w:rFonts w:ascii="宋体" w:hAnsi="宋体" w:eastAsia="宋体" w:cs="宋体"/>
          <w:sz w:val="21"/>
          <w:szCs w:val="21"/>
        </w:rPr>
      </w:pPr>
      <w:r>
        <w:rPr>
          <w:rFonts w:ascii="宋体" w:hAnsi="宋体" w:eastAsia="宋体" w:cs="宋体"/>
          <w:spacing w:val="-2"/>
          <w:sz w:val="21"/>
          <w:szCs w:val="21"/>
        </w:rPr>
        <w:t>（</w:t>
      </w:r>
      <w:r>
        <w:rPr>
          <w:rFonts w:ascii="Times New Roman" w:hAnsi="Times New Roman" w:eastAsia="Times New Roman" w:cs="Times New Roman"/>
          <w:spacing w:val="-2"/>
          <w:sz w:val="21"/>
          <w:szCs w:val="21"/>
        </w:rPr>
        <w:t>1</w:t>
      </w:r>
      <w:r>
        <w:rPr>
          <w:rFonts w:ascii="宋体" w:hAnsi="宋体" w:eastAsia="宋体" w:cs="宋体"/>
          <w:spacing w:val="-2"/>
          <w:sz w:val="21"/>
          <w:szCs w:val="21"/>
        </w:rPr>
        <w:t>）价格调整公式</w:t>
      </w:r>
    </w:p>
    <w:p w14:paraId="5B72B2F3">
      <w:pPr>
        <w:spacing w:before="150" w:line="403" w:lineRule="exact"/>
        <w:ind w:right="12"/>
        <w:jc w:val="right"/>
        <w:rPr>
          <w:rFonts w:ascii="宋体" w:hAnsi="宋体" w:eastAsia="宋体" w:cs="宋体"/>
          <w:sz w:val="21"/>
          <w:szCs w:val="21"/>
        </w:rPr>
      </w:pPr>
      <w:r>
        <w:rPr>
          <w:rFonts w:ascii="宋体" w:hAnsi="宋体" w:eastAsia="宋体" w:cs="宋体"/>
          <w:spacing w:val="2"/>
          <w:position w:val="14"/>
          <w:sz w:val="21"/>
          <w:szCs w:val="21"/>
        </w:rPr>
        <w:t>因人工、材料和设备等价格波动影响合同价格时，根据专用合同条款中约定的数据，</w:t>
      </w:r>
    </w:p>
    <w:p w14:paraId="28318ED1">
      <w:pPr>
        <w:spacing w:before="1" w:line="219" w:lineRule="auto"/>
        <w:ind w:left="20"/>
        <w:rPr>
          <w:rFonts w:ascii="宋体" w:hAnsi="宋体" w:eastAsia="宋体" w:cs="宋体"/>
          <w:sz w:val="21"/>
          <w:szCs w:val="21"/>
        </w:rPr>
      </w:pPr>
      <w:r>
        <w:rPr>
          <w:rFonts w:ascii="宋体" w:hAnsi="宋体" w:eastAsia="宋体" w:cs="宋体"/>
          <w:spacing w:val="-3"/>
          <w:sz w:val="21"/>
          <w:szCs w:val="21"/>
        </w:rPr>
        <w:t>按以下公式计算差额并调整合同价格：</w:t>
      </w:r>
    </w:p>
    <w:p w14:paraId="2926D9CA">
      <w:pPr>
        <w:spacing w:before="61" w:line="284" w:lineRule="exact"/>
        <w:ind w:left="1753"/>
        <w:rPr>
          <w:rFonts w:ascii="微软雅黑" w:hAnsi="微软雅黑" w:eastAsia="微软雅黑" w:cs="微软雅黑"/>
          <w:sz w:val="25"/>
          <w:szCs w:val="25"/>
        </w:rPr>
      </w:pPr>
      <w:r>
        <w:pict>
          <v:shape id="_x0000_s1028" o:spid="_x0000_s1028" o:spt="202" type="#_x0000_t202" style="position:absolute;left:0pt;margin-left:54.15pt;margin-top:11.45pt;height:20.8pt;width:307.15pt;z-index:-251654144;mso-width-relative:page;mso-height-relative:page;" filled="f" stroked="f" coordsize="21600,21600">
            <v:path/>
            <v:fill on="f" focussize="0,0"/>
            <v:stroke on="f"/>
            <v:imagedata o:title=""/>
            <o:lock v:ext="edit" aspectratio="f"/>
            <v:textbox inset="0mm,0mm,0mm,0mm">
              <w:txbxContent>
                <w:p w14:paraId="28442F70">
                  <w:pPr>
                    <w:spacing w:before="19" w:line="199" w:lineRule="auto"/>
                    <w:jc w:val="right"/>
                    <w:rPr>
                      <w:rFonts w:ascii="微软雅黑" w:hAnsi="微软雅黑" w:eastAsia="微软雅黑" w:cs="微软雅黑"/>
                      <w:sz w:val="25"/>
                      <w:szCs w:val="25"/>
                    </w:rPr>
                  </w:pPr>
                  <w:r>
                    <w:rPr>
                      <w:rFonts w:ascii="微软雅黑" w:hAnsi="微软雅黑" w:eastAsia="微软雅黑" w:cs="微软雅黑"/>
                      <w:spacing w:val="-14"/>
                      <w:w w:val="94"/>
                      <w:sz w:val="25"/>
                      <w:szCs w:val="25"/>
                    </w:rPr>
                    <w:t>Δ</w:t>
                  </w:r>
                  <w:r>
                    <w:rPr>
                      <w:rFonts w:ascii="Times New Roman" w:hAnsi="Times New Roman" w:eastAsia="Times New Roman" w:cs="Times New Roman"/>
                      <w:i/>
                      <w:iCs/>
                      <w:spacing w:val="-14"/>
                      <w:w w:val="94"/>
                      <w:sz w:val="25"/>
                      <w:szCs w:val="25"/>
                    </w:rPr>
                    <w:t>P</w:t>
                  </w:r>
                  <w:r>
                    <w:rPr>
                      <w:rFonts w:ascii="Times New Roman" w:hAnsi="Times New Roman" w:eastAsia="Times New Roman" w:cs="Times New Roman"/>
                      <w:i/>
                      <w:iCs/>
                      <w:spacing w:val="6"/>
                      <w:sz w:val="25"/>
                      <w:szCs w:val="25"/>
                    </w:rPr>
                    <w:t xml:space="preserve"> </w:t>
                  </w:r>
                  <w:r>
                    <w:rPr>
                      <w:rFonts w:ascii="微软雅黑" w:hAnsi="微软雅黑" w:eastAsia="微软雅黑" w:cs="微软雅黑"/>
                      <w:spacing w:val="-14"/>
                      <w:w w:val="94"/>
                      <w:sz w:val="25"/>
                      <w:szCs w:val="25"/>
                    </w:rPr>
                    <w:t>=</w:t>
                  </w:r>
                  <w:r>
                    <w:rPr>
                      <w:rFonts w:ascii="微软雅黑" w:hAnsi="微软雅黑" w:eastAsia="微软雅黑" w:cs="微软雅黑"/>
                      <w:spacing w:val="-14"/>
                      <w:sz w:val="25"/>
                      <w:szCs w:val="25"/>
                    </w:rPr>
                    <w:t xml:space="preserve"> </w:t>
                  </w:r>
                  <w:r>
                    <w:rPr>
                      <w:rFonts w:ascii="Times New Roman" w:hAnsi="Times New Roman" w:eastAsia="Times New Roman" w:cs="Times New Roman"/>
                      <w:i/>
                      <w:iCs/>
                      <w:spacing w:val="-14"/>
                      <w:w w:val="94"/>
                      <w:sz w:val="25"/>
                      <w:szCs w:val="25"/>
                    </w:rPr>
                    <w:t>P</w:t>
                  </w:r>
                  <w:r>
                    <w:rPr>
                      <w:rFonts w:ascii="Times New Roman" w:hAnsi="Times New Roman" w:eastAsia="Times New Roman" w:cs="Times New Roman"/>
                      <w:spacing w:val="-14"/>
                      <w:w w:val="94"/>
                      <w:position w:val="-6"/>
                      <w:sz w:val="15"/>
                      <w:szCs w:val="15"/>
                    </w:rPr>
                    <w:t xml:space="preserve">0 </w:t>
                  </w:r>
                  <w:r>
                    <w:rPr>
                      <w:rFonts w:ascii="微软雅黑" w:hAnsi="微软雅黑" w:eastAsia="微软雅黑" w:cs="微软雅黑"/>
                      <w:spacing w:val="11"/>
                      <w:position w:val="-2"/>
                      <w:sz w:val="25"/>
                      <w:szCs w:val="25"/>
                    </w:rPr>
                    <w:t>|</w:t>
                  </w:r>
                  <w:r>
                    <w:rPr>
                      <w:rFonts w:ascii="Times New Roman" w:hAnsi="Times New Roman" w:eastAsia="Times New Roman" w:cs="Times New Roman"/>
                      <w:i/>
                      <w:iCs/>
                      <w:spacing w:val="11"/>
                      <w:position w:val="-2"/>
                      <w:sz w:val="25"/>
                      <w:szCs w:val="25"/>
                    </w:rPr>
                    <w:t>A</w:t>
                  </w:r>
                  <w:r>
                    <w:rPr>
                      <w:rFonts w:ascii="微软雅黑" w:hAnsi="微软雅黑" w:eastAsia="微软雅黑" w:cs="微软雅黑"/>
                      <w:spacing w:val="11"/>
                      <w:position w:val="-2"/>
                      <w:sz w:val="25"/>
                      <w:szCs w:val="25"/>
                    </w:rPr>
                    <w:t>+</w:t>
                  </w:r>
                  <w:r>
                    <w:rPr>
                      <w:rFonts w:ascii="微软雅黑" w:hAnsi="微软雅黑" w:eastAsia="微软雅黑" w:cs="微软雅黑"/>
                      <w:spacing w:val="-23"/>
                      <w:position w:val="-2"/>
                      <w:sz w:val="25"/>
                      <w:szCs w:val="25"/>
                    </w:rPr>
                    <w:t xml:space="preserve"> </w:t>
                  </w:r>
                  <w:r>
                    <w:rPr>
                      <w:rFonts w:ascii="Symbol" w:hAnsi="Symbol" w:eastAsia="Symbol" w:cs="Symbol"/>
                      <w:spacing w:val="11"/>
                      <w:sz w:val="25"/>
                      <w:szCs w:val="25"/>
                      <w14:textOutline w14:w="3175" w14:cap="flat" w14:cmpd="sng">
                        <w14:solidFill>
                          <w14:srgbClr w14:val="000000"/>
                        </w14:solidFill>
                        <w14:prstDash w14:val="solid"/>
                        <w14:miter w14:val="0"/>
                      </w14:textOutline>
                    </w:rPr>
                    <w:t>|</w:t>
                  </w:r>
                  <w:r>
                    <w:rPr>
                      <w:rFonts w:ascii="Times New Roman" w:hAnsi="Times New Roman" w:eastAsia="Times New Roman" w:cs="Times New Roman"/>
                      <w:i/>
                      <w:iCs/>
                      <w:spacing w:val="11"/>
                      <w:sz w:val="25"/>
                      <w:szCs w:val="25"/>
                    </w:rPr>
                    <w:t>B</w:t>
                  </w:r>
                  <w:r>
                    <w:rPr>
                      <w:rFonts w:ascii="Times New Roman" w:hAnsi="Times New Roman" w:eastAsia="Times New Roman" w:cs="Times New Roman"/>
                      <w:spacing w:val="11"/>
                      <w:position w:val="-6"/>
                      <w:sz w:val="15"/>
                      <w:szCs w:val="15"/>
                    </w:rPr>
                    <w:t>1</w:t>
                  </w:r>
                  <w:r>
                    <w:rPr>
                      <w:rFonts w:ascii="Times New Roman" w:hAnsi="Times New Roman" w:eastAsia="Times New Roman" w:cs="Times New Roman"/>
                      <w:spacing w:val="27"/>
                      <w:position w:val="-6"/>
                      <w:sz w:val="15"/>
                      <w:szCs w:val="15"/>
                    </w:rPr>
                    <w:t xml:space="preserve"> </w:t>
                  </w:r>
                  <w:r>
                    <w:rPr>
                      <w:rFonts w:ascii="微软雅黑" w:hAnsi="微软雅黑" w:eastAsia="微软雅黑" w:cs="微软雅黑"/>
                      <w:spacing w:val="-9"/>
                      <w:w w:val="53"/>
                      <w:sz w:val="25"/>
                      <w:szCs w:val="25"/>
                    </w:rPr>
                    <w:t xml:space="preserve">根 </w:t>
                  </w:r>
                  <w:r>
                    <w:rPr>
                      <w:rFonts w:ascii="Times New Roman" w:hAnsi="Times New Roman" w:eastAsia="Times New Roman" w:cs="Times New Roman"/>
                      <w:i/>
                      <w:iCs/>
                      <w:spacing w:val="6"/>
                      <w:position w:val="9"/>
                      <w:sz w:val="15"/>
                      <w:szCs w:val="15"/>
                      <w:u w:val="single" w:color="auto"/>
                    </w:rPr>
                    <w:t xml:space="preserve">    </w:t>
                  </w:r>
                  <w:r>
                    <w:rPr>
                      <w:rFonts w:ascii="Times New Roman" w:hAnsi="Times New Roman" w:eastAsia="Times New Roman" w:cs="Times New Roman"/>
                      <w:i/>
                      <w:iCs/>
                      <w:spacing w:val="-4"/>
                      <w:position w:val="9"/>
                      <w:sz w:val="15"/>
                      <w:szCs w:val="15"/>
                      <w:u w:val="single" w:color="auto"/>
                    </w:rPr>
                    <w:t>t</w:t>
                  </w:r>
                  <w:r>
                    <w:rPr>
                      <w:rFonts w:ascii="Times New Roman" w:hAnsi="Times New Roman" w:eastAsia="Times New Roman" w:cs="Times New Roman"/>
                      <w:spacing w:val="-4"/>
                      <w:position w:val="9"/>
                      <w:sz w:val="15"/>
                      <w:szCs w:val="15"/>
                      <w:u w:val="single" w:color="auto"/>
                    </w:rPr>
                    <w:t>1</w:t>
                  </w:r>
                  <w:r>
                    <w:rPr>
                      <w:rFonts w:ascii="Times New Roman" w:hAnsi="Times New Roman" w:eastAsia="Times New Roman" w:cs="Times New Roman"/>
                      <w:spacing w:val="7"/>
                      <w:position w:val="9"/>
                      <w:sz w:val="15"/>
                      <w:szCs w:val="15"/>
                      <w:u w:val="single" w:color="auto"/>
                    </w:rPr>
                    <w:t xml:space="preserve"> </w:t>
                  </w:r>
                  <w:r>
                    <w:rPr>
                      <w:rFonts w:ascii="Times New Roman" w:hAnsi="Times New Roman" w:eastAsia="Times New Roman" w:cs="Times New Roman"/>
                      <w:spacing w:val="16"/>
                      <w:w w:val="102"/>
                      <w:position w:val="9"/>
                      <w:sz w:val="15"/>
                      <w:szCs w:val="15"/>
                    </w:rPr>
                    <w:t xml:space="preserve"> </w:t>
                  </w:r>
                  <w:r>
                    <w:rPr>
                      <w:rFonts w:ascii="微软雅黑" w:hAnsi="微软雅黑" w:eastAsia="微软雅黑" w:cs="微软雅黑"/>
                      <w:spacing w:val="-23"/>
                      <w:w w:val="96"/>
                      <w:sz w:val="25"/>
                      <w:szCs w:val="25"/>
                    </w:rPr>
                    <w:t>+</w:t>
                  </w:r>
                  <w:r>
                    <w:rPr>
                      <w:rFonts w:ascii="微软雅黑" w:hAnsi="微软雅黑" w:eastAsia="微软雅黑" w:cs="微软雅黑"/>
                      <w:spacing w:val="-28"/>
                      <w:sz w:val="25"/>
                      <w:szCs w:val="25"/>
                    </w:rPr>
                    <w:t xml:space="preserve"> </w:t>
                  </w:r>
                  <w:r>
                    <w:rPr>
                      <w:rFonts w:ascii="Times New Roman" w:hAnsi="Times New Roman" w:eastAsia="Times New Roman" w:cs="Times New Roman"/>
                      <w:i/>
                      <w:iCs/>
                      <w:spacing w:val="-23"/>
                      <w:w w:val="96"/>
                      <w:sz w:val="25"/>
                      <w:szCs w:val="25"/>
                    </w:rPr>
                    <w:t>B</w:t>
                  </w:r>
                  <w:r>
                    <w:rPr>
                      <w:rFonts w:ascii="Times New Roman" w:hAnsi="Times New Roman" w:eastAsia="Times New Roman" w:cs="Times New Roman"/>
                      <w:spacing w:val="-3"/>
                      <w:position w:val="-6"/>
                      <w:sz w:val="15"/>
                      <w:szCs w:val="15"/>
                    </w:rPr>
                    <w:t>2</w:t>
                  </w:r>
                  <w:r>
                    <w:rPr>
                      <w:rFonts w:ascii="Times New Roman" w:hAnsi="Times New Roman" w:eastAsia="Times New Roman" w:cs="Times New Roman"/>
                      <w:position w:val="-6"/>
                      <w:sz w:val="15"/>
                      <w:szCs w:val="15"/>
                    </w:rPr>
                    <w:t xml:space="preserve">  </w:t>
                  </w:r>
                  <w:r>
                    <w:rPr>
                      <w:rFonts w:ascii="微软雅黑" w:hAnsi="微软雅黑" w:eastAsia="微软雅黑" w:cs="微软雅黑"/>
                      <w:spacing w:val="-9"/>
                      <w:w w:val="53"/>
                      <w:sz w:val="25"/>
                      <w:szCs w:val="25"/>
                    </w:rPr>
                    <w:t xml:space="preserve">根 </w:t>
                  </w:r>
                  <w:r>
                    <w:rPr>
                      <w:rFonts w:ascii="Times New Roman" w:hAnsi="Times New Roman" w:eastAsia="Times New Roman" w:cs="Times New Roman"/>
                      <w:i/>
                      <w:iCs/>
                      <w:spacing w:val="4"/>
                      <w:position w:val="9"/>
                      <w:sz w:val="15"/>
                      <w:szCs w:val="15"/>
                      <w:u w:val="single" w:color="auto"/>
                    </w:rPr>
                    <w:t xml:space="preserve">    </w:t>
                  </w:r>
                  <w:r>
                    <w:rPr>
                      <w:rFonts w:ascii="Times New Roman" w:hAnsi="Times New Roman" w:eastAsia="Times New Roman" w:cs="Times New Roman"/>
                      <w:i/>
                      <w:iCs/>
                      <w:spacing w:val="2"/>
                      <w:position w:val="9"/>
                      <w:sz w:val="15"/>
                      <w:szCs w:val="15"/>
                      <w:u w:val="single" w:color="auto"/>
                    </w:rPr>
                    <w:t>t</w:t>
                  </w:r>
                  <w:r>
                    <w:rPr>
                      <w:rFonts w:ascii="Times New Roman" w:hAnsi="Times New Roman" w:eastAsia="Times New Roman" w:cs="Times New Roman"/>
                      <w:spacing w:val="2"/>
                      <w:position w:val="9"/>
                      <w:sz w:val="15"/>
                      <w:szCs w:val="15"/>
                      <w:u w:val="single" w:color="auto"/>
                    </w:rPr>
                    <w:t>2</w:t>
                  </w:r>
                  <w:r>
                    <w:rPr>
                      <w:rFonts w:ascii="Times New Roman" w:hAnsi="Times New Roman" w:eastAsia="Times New Roman" w:cs="Times New Roman"/>
                      <w:spacing w:val="13"/>
                      <w:w w:val="101"/>
                      <w:position w:val="9"/>
                      <w:sz w:val="15"/>
                      <w:szCs w:val="15"/>
                      <w:u w:val="single" w:color="auto"/>
                    </w:rPr>
                    <w:t xml:space="preserve"> </w:t>
                  </w:r>
                  <w:r>
                    <w:rPr>
                      <w:rFonts w:ascii="Times New Roman" w:hAnsi="Times New Roman" w:eastAsia="Times New Roman" w:cs="Times New Roman"/>
                      <w:spacing w:val="16"/>
                      <w:w w:val="101"/>
                      <w:position w:val="9"/>
                      <w:sz w:val="15"/>
                      <w:szCs w:val="15"/>
                    </w:rPr>
                    <w:t xml:space="preserve"> </w:t>
                  </w:r>
                  <w:r>
                    <w:rPr>
                      <w:rFonts w:ascii="微软雅黑" w:hAnsi="微软雅黑" w:eastAsia="微软雅黑" w:cs="微软雅黑"/>
                      <w:spacing w:val="-23"/>
                      <w:w w:val="96"/>
                      <w:sz w:val="25"/>
                      <w:szCs w:val="25"/>
                    </w:rPr>
                    <w:t>+</w:t>
                  </w:r>
                  <w:r>
                    <w:rPr>
                      <w:rFonts w:ascii="微软雅黑" w:hAnsi="微软雅黑" w:eastAsia="微软雅黑" w:cs="微软雅黑"/>
                      <w:spacing w:val="-28"/>
                      <w:sz w:val="25"/>
                      <w:szCs w:val="25"/>
                    </w:rPr>
                    <w:t xml:space="preserve"> </w:t>
                  </w:r>
                  <w:r>
                    <w:rPr>
                      <w:rFonts w:ascii="Times New Roman" w:hAnsi="Times New Roman" w:eastAsia="Times New Roman" w:cs="Times New Roman"/>
                      <w:i/>
                      <w:iCs/>
                      <w:spacing w:val="-23"/>
                      <w:w w:val="96"/>
                      <w:sz w:val="25"/>
                      <w:szCs w:val="25"/>
                    </w:rPr>
                    <w:t>B</w:t>
                  </w:r>
                  <w:r>
                    <w:rPr>
                      <w:rFonts w:ascii="Times New Roman" w:hAnsi="Times New Roman" w:eastAsia="Times New Roman" w:cs="Times New Roman"/>
                      <w:spacing w:val="-4"/>
                      <w:position w:val="-6"/>
                      <w:sz w:val="15"/>
                      <w:szCs w:val="15"/>
                    </w:rPr>
                    <w:t>3</w:t>
                  </w:r>
                  <w:r>
                    <w:rPr>
                      <w:rFonts w:ascii="Times New Roman" w:hAnsi="Times New Roman" w:eastAsia="Times New Roman" w:cs="Times New Roman"/>
                      <w:spacing w:val="31"/>
                      <w:position w:val="-6"/>
                      <w:sz w:val="15"/>
                      <w:szCs w:val="15"/>
                    </w:rPr>
                    <w:t xml:space="preserve"> </w:t>
                  </w:r>
                  <w:r>
                    <w:rPr>
                      <w:rFonts w:ascii="微软雅黑" w:hAnsi="微软雅黑" w:eastAsia="微软雅黑" w:cs="微软雅黑"/>
                      <w:spacing w:val="-9"/>
                      <w:w w:val="53"/>
                      <w:sz w:val="25"/>
                      <w:szCs w:val="25"/>
                    </w:rPr>
                    <w:t xml:space="preserve">根 </w:t>
                  </w:r>
                  <w:r>
                    <w:rPr>
                      <w:rFonts w:ascii="Times New Roman" w:hAnsi="Times New Roman" w:eastAsia="Times New Roman" w:cs="Times New Roman"/>
                      <w:i/>
                      <w:iCs/>
                      <w:spacing w:val="5"/>
                      <w:position w:val="9"/>
                      <w:sz w:val="15"/>
                      <w:szCs w:val="15"/>
                      <w:u w:val="single" w:color="auto"/>
                    </w:rPr>
                    <w:t xml:space="preserve">    </w:t>
                  </w:r>
                  <w:r>
                    <w:rPr>
                      <w:rFonts w:ascii="Times New Roman" w:hAnsi="Times New Roman" w:eastAsia="Times New Roman" w:cs="Times New Roman"/>
                      <w:i/>
                      <w:iCs/>
                      <w:spacing w:val="1"/>
                      <w:position w:val="9"/>
                      <w:sz w:val="15"/>
                      <w:szCs w:val="15"/>
                      <w:u w:val="single" w:color="auto"/>
                    </w:rPr>
                    <w:t>t</w:t>
                  </w:r>
                  <w:r>
                    <w:rPr>
                      <w:rFonts w:ascii="Times New Roman" w:hAnsi="Times New Roman" w:eastAsia="Times New Roman" w:cs="Times New Roman"/>
                      <w:spacing w:val="1"/>
                      <w:position w:val="9"/>
                      <w:sz w:val="15"/>
                      <w:szCs w:val="15"/>
                      <w:u w:val="single" w:color="auto"/>
                    </w:rPr>
                    <w:t>3</w:t>
                  </w:r>
                  <w:r>
                    <w:rPr>
                      <w:rFonts w:ascii="Times New Roman" w:hAnsi="Times New Roman" w:eastAsia="Times New Roman" w:cs="Times New Roman"/>
                      <w:spacing w:val="4"/>
                      <w:position w:val="9"/>
                      <w:sz w:val="15"/>
                      <w:szCs w:val="15"/>
                      <w:u w:val="single" w:color="auto"/>
                    </w:rPr>
                    <w:t xml:space="preserve"> </w:t>
                  </w:r>
                  <w:r>
                    <w:rPr>
                      <w:rFonts w:ascii="Times New Roman" w:hAnsi="Times New Roman" w:eastAsia="Times New Roman" w:cs="Times New Roman"/>
                      <w:spacing w:val="16"/>
                      <w:w w:val="102"/>
                      <w:position w:val="9"/>
                      <w:sz w:val="15"/>
                      <w:szCs w:val="15"/>
                    </w:rPr>
                    <w:t xml:space="preserve"> </w:t>
                  </w:r>
                  <w:r>
                    <w:rPr>
                      <w:rFonts w:ascii="微软雅黑" w:hAnsi="微软雅黑" w:eastAsia="微软雅黑" w:cs="微软雅黑"/>
                      <w:spacing w:val="-28"/>
                      <w:sz w:val="25"/>
                      <w:szCs w:val="25"/>
                    </w:rPr>
                    <w:t>+</w:t>
                  </w:r>
                  <w:r>
                    <w:rPr>
                      <w:rFonts w:ascii="微软雅黑" w:hAnsi="微软雅黑" w:eastAsia="微软雅黑" w:cs="微软雅黑"/>
                      <w:spacing w:val="-23"/>
                      <w:sz w:val="25"/>
                      <w:szCs w:val="25"/>
                    </w:rPr>
                    <w:t xml:space="preserve"> </w:t>
                  </w:r>
                  <w:r>
                    <w:rPr>
                      <w:rFonts w:ascii="微软雅黑" w:hAnsi="微软雅黑" w:eastAsia="微软雅黑" w:cs="微软雅黑"/>
                      <w:spacing w:val="-28"/>
                      <w:sz w:val="25"/>
                      <w:szCs w:val="25"/>
                    </w:rPr>
                    <w:t>.</w:t>
                  </w:r>
                  <w:r>
                    <w:rPr>
                      <w:rFonts w:ascii="微软雅黑" w:hAnsi="微软雅黑" w:eastAsia="微软雅黑" w:cs="微软雅黑"/>
                      <w:spacing w:val="-38"/>
                      <w:sz w:val="25"/>
                      <w:szCs w:val="25"/>
                    </w:rPr>
                    <w:t xml:space="preserve"> </w:t>
                  </w:r>
                  <w:r>
                    <w:rPr>
                      <w:rFonts w:ascii="微软雅黑" w:hAnsi="微软雅黑" w:eastAsia="微软雅黑" w:cs="微软雅黑"/>
                      <w:spacing w:val="-28"/>
                      <w:sz w:val="25"/>
                      <w:szCs w:val="25"/>
                    </w:rPr>
                    <w:t>.</w:t>
                  </w:r>
                  <w:r>
                    <w:rPr>
                      <w:rFonts w:ascii="微软雅黑" w:hAnsi="微软雅黑" w:eastAsia="微软雅黑" w:cs="微软雅黑"/>
                      <w:spacing w:val="-37"/>
                      <w:sz w:val="25"/>
                      <w:szCs w:val="25"/>
                    </w:rPr>
                    <w:t xml:space="preserve"> </w:t>
                  </w:r>
                  <w:r>
                    <w:rPr>
                      <w:rFonts w:ascii="微软雅黑" w:hAnsi="微软雅黑" w:eastAsia="微软雅黑" w:cs="微软雅黑"/>
                      <w:spacing w:val="-28"/>
                      <w:sz w:val="25"/>
                      <w:szCs w:val="25"/>
                    </w:rPr>
                    <w:t>.</w:t>
                  </w:r>
                  <w:r>
                    <w:rPr>
                      <w:rFonts w:ascii="微软雅黑" w:hAnsi="微软雅黑" w:eastAsia="微软雅黑" w:cs="微软雅黑"/>
                      <w:spacing w:val="-38"/>
                      <w:sz w:val="25"/>
                      <w:szCs w:val="25"/>
                    </w:rPr>
                    <w:t xml:space="preserve"> </w:t>
                  </w:r>
                  <w:r>
                    <w:rPr>
                      <w:rFonts w:ascii="微软雅黑" w:hAnsi="微软雅黑" w:eastAsia="微软雅黑" w:cs="微软雅黑"/>
                      <w:spacing w:val="-28"/>
                      <w:sz w:val="25"/>
                      <w:szCs w:val="25"/>
                    </w:rPr>
                    <w:t xml:space="preserve">+ </w:t>
                  </w:r>
                  <w:r>
                    <w:rPr>
                      <w:rFonts w:ascii="Times New Roman" w:hAnsi="Times New Roman" w:eastAsia="Times New Roman" w:cs="Times New Roman"/>
                      <w:i/>
                      <w:iCs/>
                      <w:spacing w:val="-28"/>
                      <w:sz w:val="25"/>
                      <w:szCs w:val="25"/>
                    </w:rPr>
                    <w:t>B</w:t>
                  </w:r>
                  <w:r>
                    <w:rPr>
                      <w:rFonts w:ascii="Times New Roman" w:hAnsi="Times New Roman" w:eastAsia="Times New Roman" w:cs="Times New Roman"/>
                      <w:i/>
                      <w:iCs/>
                      <w:spacing w:val="-3"/>
                      <w:position w:val="-6"/>
                      <w:sz w:val="15"/>
                      <w:szCs w:val="15"/>
                    </w:rPr>
                    <w:t>n</w:t>
                  </w:r>
                  <w:r>
                    <w:rPr>
                      <w:rFonts w:ascii="Times New Roman" w:hAnsi="Times New Roman" w:eastAsia="Times New Roman" w:cs="Times New Roman"/>
                      <w:i/>
                      <w:iCs/>
                      <w:spacing w:val="2"/>
                      <w:position w:val="-6"/>
                      <w:sz w:val="15"/>
                      <w:szCs w:val="15"/>
                    </w:rPr>
                    <w:t xml:space="preserve">  </w:t>
                  </w:r>
                  <w:r>
                    <w:rPr>
                      <w:rFonts w:ascii="微软雅黑" w:hAnsi="微软雅黑" w:eastAsia="微软雅黑" w:cs="微软雅黑"/>
                      <w:spacing w:val="-9"/>
                      <w:w w:val="53"/>
                      <w:sz w:val="25"/>
                      <w:szCs w:val="25"/>
                    </w:rPr>
                    <w:t xml:space="preserve">根 </w:t>
                  </w:r>
                  <w:r>
                    <w:rPr>
                      <w:rFonts w:ascii="Times New Roman" w:hAnsi="Times New Roman" w:eastAsia="Times New Roman" w:cs="Times New Roman"/>
                      <w:i/>
                      <w:iCs/>
                      <w:spacing w:val="8"/>
                      <w:position w:val="9"/>
                      <w:sz w:val="15"/>
                      <w:szCs w:val="15"/>
                      <w:u w:val="single" w:color="auto"/>
                    </w:rPr>
                    <w:t xml:space="preserve">    </w:t>
                  </w:r>
                  <w:r>
                    <w:rPr>
                      <w:rFonts w:ascii="Times New Roman" w:hAnsi="Times New Roman" w:eastAsia="Times New Roman" w:cs="Times New Roman"/>
                      <w:i/>
                      <w:iCs/>
                      <w:spacing w:val="-3"/>
                      <w:position w:val="9"/>
                      <w:sz w:val="15"/>
                      <w:szCs w:val="15"/>
                      <w:u w:val="single" w:color="auto"/>
                    </w:rPr>
                    <w:t>tn</w:t>
                  </w:r>
                  <w:r>
                    <w:rPr>
                      <w:rFonts w:ascii="Times New Roman" w:hAnsi="Times New Roman" w:eastAsia="Times New Roman" w:cs="Times New Roman"/>
                      <w:i/>
                      <w:iCs/>
                      <w:spacing w:val="18"/>
                      <w:w w:val="102"/>
                      <w:position w:val="9"/>
                      <w:sz w:val="15"/>
                      <w:szCs w:val="15"/>
                      <w:u w:val="single" w:color="auto"/>
                    </w:rPr>
                    <w:t xml:space="preserve"> </w:t>
                  </w:r>
                  <w:r>
                    <w:rPr>
                      <w:rFonts w:ascii="Times New Roman" w:hAnsi="Times New Roman" w:eastAsia="Times New Roman" w:cs="Times New Roman"/>
                      <w:i/>
                      <w:iCs/>
                      <w:spacing w:val="11"/>
                      <w:w w:val="101"/>
                      <w:position w:val="9"/>
                      <w:sz w:val="15"/>
                      <w:szCs w:val="15"/>
                    </w:rPr>
                    <w:t xml:space="preserve">  </w:t>
                  </w:r>
                  <w:r>
                    <w:rPr>
                      <w:rFonts w:ascii="Symbol" w:hAnsi="Symbol" w:eastAsia="Symbol" w:cs="Symbol"/>
                      <w:spacing w:val="-30"/>
                      <w:sz w:val="25"/>
                      <w:szCs w:val="25"/>
                      <w14:textOutline w14:w="3175" w14:cap="flat" w14:cmpd="sng">
                        <w14:solidFill>
                          <w14:srgbClr w14:val="000000"/>
                        </w14:solidFill>
                        <w14:prstDash w14:val="solid"/>
                        <w14:miter w14:val="0"/>
                      </w14:textOutline>
                    </w:rPr>
                    <w:t>|</w:t>
                  </w:r>
                  <w:r>
                    <w:rPr>
                      <w:rFonts w:ascii="Symbol" w:hAnsi="Symbol" w:eastAsia="Symbol" w:cs="Symbol"/>
                      <w:spacing w:val="-29"/>
                      <w:sz w:val="25"/>
                      <w:szCs w:val="25"/>
                    </w:rPr>
                    <w:t xml:space="preserve"> </w:t>
                  </w:r>
                  <w:r>
                    <w:rPr>
                      <w:rFonts w:ascii="微软雅黑" w:hAnsi="微软雅黑" w:eastAsia="微软雅黑" w:cs="微软雅黑"/>
                      <w:spacing w:val="-29"/>
                      <w:position w:val="-2"/>
                      <w:sz w:val="25"/>
                      <w:szCs w:val="25"/>
                    </w:rPr>
                    <w:t>−</w:t>
                  </w:r>
                  <w:r>
                    <w:rPr>
                      <w:rFonts w:ascii="Times New Roman" w:hAnsi="Times New Roman" w:eastAsia="Times New Roman" w:cs="Times New Roman"/>
                      <w:spacing w:val="-29"/>
                      <w:position w:val="-2"/>
                      <w:sz w:val="25"/>
                      <w:szCs w:val="25"/>
                    </w:rPr>
                    <w:t>1</w:t>
                  </w:r>
                  <w:r>
                    <w:rPr>
                      <w:rFonts w:ascii="Times New Roman" w:hAnsi="Times New Roman" w:eastAsia="Times New Roman" w:cs="Times New Roman"/>
                      <w:spacing w:val="-1"/>
                      <w:position w:val="-2"/>
                      <w:sz w:val="25"/>
                      <w:szCs w:val="25"/>
                    </w:rPr>
                    <w:t xml:space="preserve"> </w:t>
                  </w:r>
                  <w:r>
                    <w:rPr>
                      <w:rFonts w:ascii="微软雅黑" w:hAnsi="微软雅黑" w:eastAsia="微软雅黑" w:cs="微软雅黑"/>
                      <w:spacing w:val="-23"/>
                      <w:position w:val="-2"/>
                      <w:sz w:val="25"/>
                      <w:szCs w:val="25"/>
                    </w:rPr>
                    <w:t>|</w:t>
                  </w:r>
                </w:p>
              </w:txbxContent>
            </v:textbox>
          </v:shape>
        </w:pict>
      </w:r>
      <w:r>
        <w:rPr>
          <w:rFonts w:ascii="微软雅黑" w:hAnsi="微软雅黑" w:eastAsia="微软雅黑" w:cs="微软雅黑"/>
          <w:spacing w:val="6"/>
          <w:position w:val="1"/>
          <w:sz w:val="25"/>
          <w:szCs w:val="25"/>
        </w:rPr>
        <w:t>「</w:t>
      </w:r>
      <w:r>
        <w:rPr>
          <w:rFonts w:ascii="微软雅黑" w:hAnsi="微软雅黑" w:eastAsia="微软雅黑" w:cs="微软雅黑"/>
          <w:spacing w:val="1"/>
          <w:position w:val="1"/>
          <w:sz w:val="25"/>
          <w:szCs w:val="25"/>
        </w:rPr>
        <w:t xml:space="preserve">     </w:t>
      </w:r>
      <w:r>
        <w:rPr>
          <w:rFonts w:ascii="微软雅黑" w:hAnsi="微软雅黑" w:eastAsia="微软雅黑" w:cs="微软雅黑"/>
          <w:spacing w:val="6"/>
          <w:sz w:val="25"/>
          <w:szCs w:val="25"/>
        </w:rPr>
        <w:t xml:space="preserve">(      </w:t>
      </w:r>
      <w:r>
        <w:rPr>
          <w:rFonts w:ascii="Times New Roman" w:hAnsi="Times New Roman" w:eastAsia="Times New Roman" w:cs="Times New Roman"/>
          <w:i/>
          <w:iCs/>
          <w:position w:val="-1"/>
          <w:sz w:val="25"/>
          <w:szCs w:val="25"/>
        </w:rPr>
        <w:t>F</w:t>
      </w:r>
      <w:r>
        <w:rPr>
          <w:rFonts w:ascii="Times New Roman" w:hAnsi="Times New Roman" w:eastAsia="Times New Roman" w:cs="Times New Roman"/>
          <w:i/>
          <w:iCs/>
          <w:spacing w:val="1"/>
          <w:position w:val="-1"/>
          <w:sz w:val="25"/>
          <w:szCs w:val="25"/>
        </w:rPr>
        <w:t xml:space="preserve">             </w:t>
      </w:r>
      <w:r>
        <w:rPr>
          <w:rFonts w:ascii="Times New Roman" w:hAnsi="Times New Roman" w:eastAsia="Times New Roman" w:cs="Times New Roman"/>
          <w:i/>
          <w:iCs/>
          <w:position w:val="-1"/>
          <w:sz w:val="25"/>
          <w:szCs w:val="25"/>
        </w:rPr>
        <w:t>F</w:t>
      </w:r>
      <w:r>
        <w:rPr>
          <w:rFonts w:ascii="Times New Roman" w:hAnsi="Times New Roman" w:eastAsia="Times New Roman" w:cs="Times New Roman"/>
          <w:i/>
          <w:iCs/>
          <w:spacing w:val="3"/>
          <w:position w:val="-1"/>
          <w:sz w:val="25"/>
          <w:szCs w:val="25"/>
        </w:rPr>
        <w:t xml:space="preserve">             </w:t>
      </w:r>
      <w:r>
        <w:rPr>
          <w:rFonts w:ascii="Times New Roman" w:hAnsi="Times New Roman" w:eastAsia="Times New Roman" w:cs="Times New Roman"/>
          <w:i/>
          <w:iCs/>
          <w:position w:val="-1"/>
          <w:sz w:val="25"/>
          <w:szCs w:val="25"/>
        </w:rPr>
        <w:t>F</w:t>
      </w:r>
      <w:r>
        <w:rPr>
          <w:rFonts w:ascii="Times New Roman" w:hAnsi="Times New Roman" w:eastAsia="Times New Roman" w:cs="Times New Roman"/>
          <w:i/>
          <w:iCs/>
          <w:spacing w:val="6"/>
          <w:position w:val="-1"/>
          <w:sz w:val="25"/>
          <w:szCs w:val="25"/>
        </w:rPr>
        <w:t xml:space="preserve">                   </w:t>
      </w:r>
      <w:r>
        <w:rPr>
          <w:rFonts w:ascii="Times New Roman" w:hAnsi="Times New Roman" w:eastAsia="Times New Roman" w:cs="Times New Roman"/>
          <w:i/>
          <w:iCs/>
          <w:position w:val="-1"/>
          <w:sz w:val="25"/>
          <w:szCs w:val="25"/>
        </w:rPr>
        <w:t>F</w:t>
      </w:r>
      <w:r>
        <w:rPr>
          <w:rFonts w:ascii="Times New Roman" w:hAnsi="Times New Roman" w:eastAsia="Times New Roman" w:cs="Times New Roman"/>
          <w:i/>
          <w:iCs/>
          <w:spacing w:val="19"/>
          <w:w w:val="101"/>
          <w:position w:val="-1"/>
          <w:sz w:val="25"/>
          <w:szCs w:val="25"/>
        </w:rPr>
        <w:t xml:space="preserve">  </w:t>
      </w:r>
      <w:r>
        <w:rPr>
          <w:rFonts w:ascii="微软雅黑" w:hAnsi="微软雅黑" w:eastAsia="微软雅黑" w:cs="微软雅黑"/>
          <w:spacing w:val="6"/>
          <w:sz w:val="25"/>
          <w:szCs w:val="25"/>
        </w:rPr>
        <w:t xml:space="preserve">)   </w:t>
      </w:r>
      <w:r>
        <w:rPr>
          <w:rFonts w:ascii="微软雅黑" w:hAnsi="微软雅黑" w:eastAsia="微软雅黑" w:cs="微软雅黑"/>
          <w:spacing w:val="5"/>
          <w:sz w:val="25"/>
          <w:szCs w:val="25"/>
        </w:rPr>
        <w:t xml:space="preserve"> </w:t>
      </w:r>
      <w:r>
        <w:rPr>
          <w:rFonts w:ascii="微软雅黑" w:hAnsi="微软雅黑" w:eastAsia="微软雅黑" w:cs="微软雅黑"/>
          <w:spacing w:val="5"/>
          <w:position w:val="1"/>
          <w:sz w:val="25"/>
          <w:szCs w:val="25"/>
        </w:rPr>
        <w:t>]</w:t>
      </w:r>
    </w:p>
    <w:p w14:paraId="315CDE70">
      <w:pPr>
        <w:spacing w:before="183" w:line="194" w:lineRule="auto"/>
        <w:ind w:left="1878"/>
        <w:rPr>
          <w:rFonts w:ascii="微软雅黑" w:hAnsi="微软雅黑" w:eastAsia="微软雅黑" w:cs="微软雅黑"/>
          <w:sz w:val="25"/>
          <w:szCs w:val="25"/>
        </w:rPr>
      </w:pPr>
      <w:r>
        <w:rPr>
          <w:rFonts w:ascii="微软雅黑" w:hAnsi="微软雅黑" w:eastAsia="微软雅黑" w:cs="微软雅黑"/>
          <w:spacing w:val="-2"/>
          <w:position w:val="-3"/>
          <w:sz w:val="25"/>
          <w:szCs w:val="25"/>
        </w:rPr>
        <w:t xml:space="preserve">L   </w:t>
      </w:r>
      <w:r>
        <w:rPr>
          <w:rFonts w:ascii="微软雅黑" w:hAnsi="微软雅黑" w:eastAsia="微软雅黑" w:cs="微软雅黑"/>
          <w:spacing w:val="-2"/>
          <w:position w:val="-1"/>
          <w:sz w:val="25"/>
          <w:szCs w:val="25"/>
        </w:rPr>
        <w:t>（</w:t>
      </w:r>
      <w:r>
        <w:rPr>
          <w:rFonts w:ascii="微软雅黑" w:hAnsi="微软雅黑" w:eastAsia="微软雅黑" w:cs="微软雅黑"/>
          <w:spacing w:val="3"/>
          <w:position w:val="-1"/>
          <w:sz w:val="25"/>
          <w:szCs w:val="25"/>
        </w:rPr>
        <w:t xml:space="preserve">      </w:t>
      </w:r>
      <w:r>
        <w:rPr>
          <w:rFonts w:ascii="Times New Roman" w:hAnsi="Times New Roman" w:eastAsia="Times New Roman" w:cs="Times New Roman"/>
          <w:i/>
          <w:iCs/>
          <w:spacing w:val="-2"/>
          <w:position w:val="5"/>
          <w:sz w:val="25"/>
          <w:szCs w:val="25"/>
        </w:rPr>
        <w:t>F</w:t>
      </w:r>
      <w:r>
        <w:rPr>
          <w:rFonts w:ascii="Times New Roman" w:hAnsi="Times New Roman" w:eastAsia="Times New Roman" w:cs="Times New Roman"/>
          <w:spacing w:val="-2"/>
          <w:sz w:val="15"/>
          <w:szCs w:val="15"/>
        </w:rPr>
        <w:t xml:space="preserve">01                    </w:t>
      </w:r>
      <w:r>
        <w:rPr>
          <w:rFonts w:ascii="Times New Roman" w:hAnsi="Times New Roman" w:eastAsia="Times New Roman" w:cs="Times New Roman"/>
          <w:i/>
          <w:iCs/>
          <w:spacing w:val="-2"/>
          <w:position w:val="5"/>
          <w:sz w:val="25"/>
          <w:szCs w:val="25"/>
        </w:rPr>
        <w:t>F</w:t>
      </w:r>
      <w:r>
        <w:rPr>
          <w:rFonts w:ascii="Times New Roman" w:hAnsi="Times New Roman" w:eastAsia="Times New Roman" w:cs="Times New Roman"/>
          <w:spacing w:val="-2"/>
          <w:sz w:val="15"/>
          <w:szCs w:val="15"/>
        </w:rPr>
        <w:t xml:space="preserve">02                    </w:t>
      </w:r>
      <w:r>
        <w:rPr>
          <w:rFonts w:ascii="Times New Roman" w:hAnsi="Times New Roman" w:eastAsia="Times New Roman" w:cs="Times New Roman"/>
          <w:i/>
          <w:iCs/>
          <w:spacing w:val="-2"/>
          <w:position w:val="5"/>
          <w:sz w:val="25"/>
          <w:szCs w:val="25"/>
        </w:rPr>
        <w:t>F</w:t>
      </w:r>
      <w:r>
        <w:rPr>
          <w:rFonts w:ascii="Times New Roman" w:hAnsi="Times New Roman" w:eastAsia="Times New Roman" w:cs="Times New Roman"/>
          <w:spacing w:val="-2"/>
          <w:sz w:val="15"/>
          <w:szCs w:val="15"/>
        </w:rPr>
        <w:t xml:space="preserve">03                                </w:t>
      </w:r>
      <w:r>
        <w:rPr>
          <w:rFonts w:ascii="Times New Roman" w:hAnsi="Times New Roman" w:eastAsia="Times New Roman" w:cs="Times New Roman"/>
          <w:i/>
          <w:iCs/>
          <w:spacing w:val="-2"/>
          <w:position w:val="5"/>
          <w:sz w:val="25"/>
          <w:szCs w:val="25"/>
        </w:rPr>
        <w:t>F</w:t>
      </w:r>
      <w:r>
        <w:rPr>
          <w:rFonts w:ascii="Times New Roman" w:hAnsi="Times New Roman" w:eastAsia="Times New Roman" w:cs="Times New Roman"/>
          <w:spacing w:val="-2"/>
          <w:sz w:val="15"/>
          <w:szCs w:val="15"/>
        </w:rPr>
        <w:t>0</w:t>
      </w:r>
      <w:r>
        <w:rPr>
          <w:rFonts w:ascii="Times New Roman" w:hAnsi="Times New Roman" w:eastAsia="Times New Roman" w:cs="Times New Roman"/>
          <w:i/>
          <w:iCs/>
          <w:spacing w:val="-2"/>
          <w:sz w:val="15"/>
          <w:szCs w:val="15"/>
        </w:rPr>
        <w:t>n</w:t>
      </w:r>
      <w:r>
        <w:rPr>
          <w:rFonts w:ascii="Times New Roman" w:hAnsi="Times New Roman" w:eastAsia="Times New Roman" w:cs="Times New Roman"/>
          <w:i/>
          <w:iCs/>
          <w:spacing w:val="22"/>
          <w:w w:val="102"/>
          <w:sz w:val="15"/>
          <w:szCs w:val="15"/>
        </w:rPr>
        <w:t xml:space="preserve"> </w:t>
      </w:r>
      <w:r>
        <w:rPr>
          <w:rFonts w:ascii="微软雅黑" w:hAnsi="微软雅黑" w:eastAsia="微软雅黑" w:cs="微软雅黑"/>
          <w:spacing w:val="-2"/>
          <w:position w:val="-1"/>
          <w:sz w:val="25"/>
          <w:szCs w:val="25"/>
        </w:rPr>
        <w:t>)</w:t>
      </w:r>
      <w:r>
        <w:rPr>
          <w:rFonts w:ascii="微软雅黑" w:hAnsi="微软雅黑" w:eastAsia="微软雅黑" w:cs="微软雅黑"/>
          <w:spacing w:val="-3"/>
          <w:position w:val="-1"/>
          <w:sz w:val="25"/>
          <w:szCs w:val="25"/>
        </w:rPr>
        <w:t xml:space="preserve">    </w:t>
      </w:r>
      <w:r>
        <w:rPr>
          <w:rFonts w:ascii="微软雅黑" w:hAnsi="微软雅黑" w:eastAsia="微软雅黑" w:cs="微软雅黑"/>
          <w:spacing w:val="-3"/>
          <w:position w:val="-3"/>
          <w:sz w:val="25"/>
          <w:szCs w:val="25"/>
        </w:rPr>
        <w:t>」</w:t>
      </w:r>
    </w:p>
    <w:p w14:paraId="4917A396">
      <w:pPr>
        <w:pStyle w:val="3"/>
        <w:spacing w:line="265" w:lineRule="auto"/>
      </w:pPr>
    </w:p>
    <w:p w14:paraId="28ED9DB3">
      <w:pPr>
        <w:pStyle w:val="3"/>
        <w:spacing w:line="266" w:lineRule="auto"/>
      </w:pPr>
    </w:p>
    <w:p w14:paraId="79AC96B9">
      <w:pPr>
        <w:spacing w:before="69" w:line="219" w:lineRule="auto"/>
        <w:ind w:left="447"/>
        <w:rPr>
          <w:rFonts w:ascii="宋体" w:hAnsi="宋体" w:eastAsia="宋体" w:cs="宋体"/>
          <w:sz w:val="21"/>
          <w:szCs w:val="21"/>
        </w:rPr>
      </w:pPr>
      <w:r>
        <w:rPr>
          <w:rFonts w:ascii="宋体" w:hAnsi="宋体" w:eastAsia="宋体" w:cs="宋体"/>
          <w:spacing w:val="-9"/>
          <w:sz w:val="21"/>
          <w:szCs w:val="21"/>
        </w:rPr>
        <w:t xml:space="preserve">公式中：   </w:t>
      </w:r>
      <w:r>
        <w:rPr>
          <w:rFonts w:ascii="Times New Roman" w:hAnsi="Times New Roman" w:eastAsia="Times New Roman" w:cs="Times New Roman"/>
          <w:spacing w:val="-9"/>
          <w:sz w:val="21"/>
          <w:szCs w:val="21"/>
        </w:rPr>
        <w:t>ΔP——</w:t>
      </w:r>
      <w:r>
        <w:rPr>
          <w:rFonts w:ascii="Times New Roman" w:hAnsi="Times New Roman" w:eastAsia="Times New Roman" w:cs="Times New Roman"/>
          <w:spacing w:val="-33"/>
          <w:sz w:val="21"/>
          <w:szCs w:val="21"/>
        </w:rPr>
        <w:t xml:space="preserve"> </w:t>
      </w:r>
      <w:r>
        <w:rPr>
          <w:rFonts w:ascii="宋体" w:hAnsi="宋体" w:eastAsia="宋体" w:cs="宋体"/>
          <w:spacing w:val="-9"/>
          <w:sz w:val="21"/>
          <w:szCs w:val="21"/>
        </w:rPr>
        <w:t>需调整的价格差额；</w:t>
      </w:r>
    </w:p>
    <w:p w14:paraId="7F00C839">
      <w:pPr>
        <w:spacing w:before="150" w:line="352" w:lineRule="auto"/>
        <w:ind w:left="18" w:right="11" w:firstLine="1781"/>
        <w:jc w:val="both"/>
        <w:rPr>
          <w:rFonts w:ascii="宋体" w:hAnsi="宋体" w:eastAsia="宋体" w:cs="宋体"/>
          <w:sz w:val="21"/>
          <w:szCs w:val="21"/>
        </w:rPr>
      </w:pPr>
      <w:r>
        <w:rPr>
          <w:rFonts w:ascii="Times New Roman" w:hAnsi="Times New Roman" w:eastAsia="Times New Roman" w:cs="Times New Roman"/>
          <w:spacing w:val="1"/>
          <w:sz w:val="21"/>
          <w:szCs w:val="21"/>
        </w:rPr>
        <w:t>P</w:t>
      </w:r>
      <w:r>
        <w:rPr>
          <w:rFonts w:ascii="Times New Roman" w:hAnsi="Times New Roman" w:eastAsia="Times New Roman" w:cs="Times New Roman"/>
          <w:spacing w:val="1"/>
          <w:position w:val="-1"/>
          <w:sz w:val="13"/>
          <w:szCs w:val="13"/>
        </w:rPr>
        <w:t>0</w:t>
      </w:r>
      <w:r>
        <w:rPr>
          <w:rFonts w:ascii="Times New Roman" w:hAnsi="Times New Roman" w:eastAsia="Times New Roman" w:cs="Times New Roman"/>
          <w:spacing w:val="1"/>
          <w:sz w:val="21"/>
          <w:szCs w:val="21"/>
        </w:rPr>
        <w:t>——</w:t>
      </w:r>
      <w:r>
        <w:rPr>
          <w:rFonts w:ascii="宋体" w:hAnsi="宋体" w:eastAsia="宋体" w:cs="宋体"/>
          <w:spacing w:val="1"/>
          <w:sz w:val="21"/>
          <w:szCs w:val="21"/>
        </w:rPr>
        <w:t>约定的付款证书中承包人应得到的已完成工程量的金额。此项金</w:t>
      </w:r>
      <w:r>
        <w:rPr>
          <w:rFonts w:ascii="宋体" w:hAnsi="宋体" w:eastAsia="宋体" w:cs="宋体"/>
          <w:spacing w:val="4"/>
          <w:sz w:val="21"/>
          <w:szCs w:val="21"/>
        </w:rPr>
        <w:t xml:space="preserve"> </w:t>
      </w:r>
      <w:r>
        <w:rPr>
          <w:rFonts w:ascii="宋体" w:hAnsi="宋体" w:eastAsia="宋体" w:cs="宋体"/>
          <w:spacing w:val="3"/>
          <w:sz w:val="21"/>
          <w:szCs w:val="21"/>
        </w:rPr>
        <w:t>额应不包括价格调整、不计质量保证金的扣留和支付、预付款的支付和扣回</w:t>
      </w:r>
      <w:r>
        <w:rPr>
          <w:rFonts w:ascii="宋体" w:hAnsi="宋体" w:eastAsia="宋体" w:cs="宋体"/>
          <w:spacing w:val="2"/>
          <w:sz w:val="21"/>
          <w:szCs w:val="21"/>
        </w:rPr>
        <w:t>。约定的变更</w:t>
      </w:r>
    </w:p>
    <w:p w14:paraId="6C8A7711">
      <w:pPr>
        <w:spacing w:line="219" w:lineRule="auto"/>
        <w:ind w:left="17"/>
        <w:rPr>
          <w:rFonts w:ascii="宋体" w:hAnsi="宋体" w:eastAsia="宋体" w:cs="宋体"/>
          <w:sz w:val="21"/>
          <w:szCs w:val="21"/>
        </w:rPr>
      </w:pPr>
      <w:r>
        <w:rPr>
          <w:rFonts w:ascii="宋体" w:hAnsi="宋体" w:eastAsia="宋体" w:cs="宋体"/>
          <w:spacing w:val="-2"/>
          <w:sz w:val="21"/>
          <w:szCs w:val="21"/>
        </w:rPr>
        <w:t>及其他金额已按现行价格计价的，也不计在内；</w:t>
      </w:r>
    </w:p>
    <w:p w14:paraId="38FEC3D4">
      <w:pPr>
        <w:spacing w:before="149" w:line="221" w:lineRule="auto"/>
        <w:ind w:left="1798"/>
        <w:rPr>
          <w:rFonts w:ascii="宋体" w:hAnsi="宋体" w:eastAsia="宋体" w:cs="宋体"/>
          <w:sz w:val="21"/>
          <w:szCs w:val="21"/>
        </w:rPr>
      </w:pPr>
      <w:r>
        <w:rPr>
          <w:rFonts w:ascii="Times New Roman" w:hAnsi="Times New Roman" w:eastAsia="Times New Roman" w:cs="Times New Roman"/>
          <w:spacing w:val="-6"/>
          <w:sz w:val="21"/>
          <w:szCs w:val="21"/>
        </w:rPr>
        <w:t>A——</w:t>
      </w:r>
      <w:r>
        <w:rPr>
          <w:rFonts w:ascii="宋体" w:hAnsi="宋体" w:eastAsia="宋体" w:cs="宋体"/>
          <w:spacing w:val="-6"/>
          <w:sz w:val="21"/>
          <w:szCs w:val="21"/>
        </w:rPr>
        <w:t>定值权重（即不调部分的权重</w:t>
      </w:r>
      <w:r>
        <w:rPr>
          <w:rFonts w:ascii="宋体" w:hAnsi="宋体" w:eastAsia="宋体" w:cs="宋体"/>
          <w:spacing w:val="-10"/>
          <w:sz w:val="21"/>
          <w:szCs w:val="21"/>
        </w:rPr>
        <w:t>）；</w:t>
      </w:r>
    </w:p>
    <w:p w14:paraId="3974F873">
      <w:pPr>
        <w:spacing w:before="148" w:line="403" w:lineRule="exact"/>
        <w:jc w:val="right"/>
        <w:rPr>
          <w:rFonts w:ascii="宋体" w:hAnsi="宋体" w:eastAsia="宋体" w:cs="宋体"/>
          <w:sz w:val="21"/>
          <w:szCs w:val="21"/>
        </w:rPr>
      </w:pPr>
      <w:r>
        <w:rPr>
          <w:rFonts w:ascii="Times New Roman" w:hAnsi="Times New Roman" w:eastAsia="Times New Roman" w:cs="Times New Roman"/>
          <w:spacing w:val="-18"/>
          <w:position w:val="14"/>
          <w:sz w:val="21"/>
          <w:szCs w:val="21"/>
        </w:rPr>
        <w:t>B</w:t>
      </w:r>
      <w:r>
        <w:rPr>
          <w:rFonts w:ascii="Times New Roman" w:hAnsi="Times New Roman" w:eastAsia="Times New Roman" w:cs="Times New Roman"/>
          <w:spacing w:val="-18"/>
          <w:position w:val="14"/>
          <w:sz w:val="13"/>
          <w:szCs w:val="13"/>
        </w:rPr>
        <w:t>1</w:t>
      </w:r>
      <w:r>
        <w:rPr>
          <w:rFonts w:ascii="Times New Roman" w:hAnsi="Times New Roman" w:eastAsia="Times New Roman" w:cs="Times New Roman"/>
          <w:spacing w:val="-18"/>
          <w:position w:val="14"/>
          <w:sz w:val="14"/>
          <w:szCs w:val="14"/>
        </w:rPr>
        <w:t>;</w:t>
      </w:r>
      <w:r>
        <w:rPr>
          <w:rFonts w:ascii="Times New Roman" w:hAnsi="Times New Roman" w:eastAsia="Times New Roman" w:cs="Times New Roman"/>
          <w:spacing w:val="18"/>
          <w:w w:val="101"/>
          <w:position w:val="14"/>
          <w:sz w:val="14"/>
          <w:szCs w:val="14"/>
        </w:rPr>
        <w:t xml:space="preserve"> </w:t>
      </w:r>
      <w:r>
        <w:rPr>
          <w:rFonts w:ascii="Times New Roman" w:hAnsi="Times New Roman" w:eastAsia="Times New Roman" w:cs="Times New Roman"/>
          <w:spacing w:val="-18"/>
          <w:position w:val="14"/>
          <w:sz w:val="21"/>
          <w:szCs w:val="21"/>
        </w:rPr>
        <w:t>B</w:t>
      </w:r>
      <w:r>
        <w:rPr>
          <w:rFonts w:ascii="Times New Roman" w:hAnsi="Times New Roman" w:eastAsia="Times New Roman" w:cs="Times New Roman"/>
          <w:spacing w:val="-18"/>
          <w:position w:val="13"/>
          <w:sz w:val="13"/>
          <w:szCs w:val="13"/>
        </w:rPr>
        <w:t xml:space="preserve">2  </w:t>
      </w:r>
      <w:r>
        <w:rPr>
          <w:rFonts w:ascii="Times New Roman" w:hAnsi="Times New Roman" w:eastAsia="Times New Roman" w:cs="Times New Roman"/>
          <w:spacing w:val="-18"/>
          <w:position w:val="14"/>
          <w:sz w:val="21"/>
          <w:szCs w:val="21"/>
        </w:rPr>
        <w:t>;B</w:t>
      </w:r>
      <w:r>
        <w:rPr>
          <w:rFonts w:ascii="Times New Roman" w:hAnsi="Times New Roman" w:eastAsia="Times New Roman" w:cs="Times New Roman"/>
          <w:spacing w:val="-18"/>
          <w:position w:val="14"/>
          <w:sz w:val="13"/>
          <w:szCs w:val="13"/>
        </w:rPr>
        <w:t>3</w:t>
      </w:r>
      <w:r>
        <w:rPr>
          <w:rFonts w:ascii="宋体" w:hAnsi="宋体" w:eastAsia="宋体" w:cs="宋体"/>
          <w:spacing w:val="-18"/>
          <w:position w:val="14"/>
          <w:sz w:val="14"/>
          <w:szCs w:val="14"/>
        </w:rPr>
        <w:t>·····</w:t>
      </w:r>
      <w:r>
        <w:rPr>
          <w:rFonts w:ascii="Times New Roman" w:hAnsi="Times New Roman" w:eastAsia="Times New Roman" w:cs="Times New Roman"/>
          <w:spacing w:val="-2"/>
          <w:position w:val="14"/>
          <w:sz w:val="21"/>
          <w:szCs w:val="21"/>
        </w:rPr>
        <w:t>B</w:t>
      </w:r>
      <w:r>
        <w:rPr>
          <w:rFonts w:ascii="Times New Roman" w:hAnsi="Times New Roman" w:eastAsia="Times New Roman" w:cs="Times New Roman"/>
          <w:spacing w:val="-2"/>
          <w:position w:val="13"/>
          <w:sz w:val="13"/>
          <w:szCs w:val="13"/>
        </w:rPr>
        <w:t>n</w:t>
      </w:r>
      <w:r>
        <w:rPr>
          <w:rFonts w:ascii="Times New Roman" w:hAnsi="Times New Roman" w:eastAsia="Times New Roman" w:cs="Times New Roman"/>
          <w:spacing w:val="-2"/>
          <w:position w:val="14"/>
          <w:sz w:val="21"/>
          <w:szCs w:val="21"/>
        </w:rPr>
        <w:t>——</w:t>
      </w:r>
      <w:r>
        <w:rPr>
          <w:rFonts w:ascii="宋体" w:hAnsi="宋体" w:eastAsia="宋体" w:cs="宋体"/>
          <w:spacing w:val="-2"/>
          <w:position w:val="14"/>
          <w:sz w:val="21"/>
          <w:szCs w:val="21"/>
        </w:rPr>
        <w:t>各可调因子的变值权重（即可调部分的权重</w:t>
      </w:r>
      <w:r>
        <w:rPr>
          <w:rFonts w:ascii="宋体" w:hAnsi="宋体" w:eastAsia="宋体" w:cs="宋体"/>
          <w:spacing w:val="-7"/>
          <w:position w:val="14"/>
          <w:sz w:val="21"/>
          <w:szCs w:val="21"/>
        </w:rPr>
        <w:t>），</w:t>
      </w:r>
      <w:r>
        <w:rPr>
          <w:rFonts w:ascii="宋体" w:hAnsi="宋体" w:eastAsia="宋体" w:cs="宋体"/>
          <w:spacing w:val="-2"/>
          <w:position w:val="14"/>
          <w:sz w:val="21"/>
          <w:szCs w:val="21"/>
        </w:rPr>
        <w:t>为各可</w:t>
      </w:r>
      <w:r>
        <w:rPr>
          <w:rFonts w:ascii="宋体" w:hAnsi="宋体" w:eastAsia="宋体" w:cs="宋体"/>
          <w:spacing w:val="-3"/>
          <w:position w:val="14"/>
          <w:sz w:val="21"/>
          <w:szCs w:val="21"/>
        </w:rPr>
        <w:t>调因子在签</w:t>
      </w:r>
    </w:p>
    <w:p w14:paraId="53B77B27">
      <w:pPr>
        <w:spacing w:line="219" w:lineRule="auto"/>
        <w:ind w:left="23"/>
        <w:rPr>
          <w:rFonts w:ascii="宋体" w:hAnsi="宋体" w:eastAsia="宋体" w:cs="宋体"/>
          <w:sz w:val="21"/>
          <w:szCs w:val="21"/>
        </w:rPr>
      </w:pPr>
      <w:r>
        <w:rPr>
          <w:rFonts w:ascii="宋体" w:hAnsi="宋体" w:eastAsia="宋体" w:cs="宋体"/>
          <w:spacing w:val="-4"/>
          <w:sz w:val="21"/>
          <w:szCs w:val="21"/>
        </w:rPr>
        <w:t>约合同价中所占的比例；</w:t>
      </w:r>
    </w:p>
    <w:p w14:paraId="4F55A201">
      <w:pPr>
        <w:spacing w:before="149" w:line="399" w:lineRule="exact"/>
        <w:jc w:val="right"/>
        <w:rPr>
          <w:rFonts w:ascii="宋体" w:hAnsi="宋体" w:eastAsia="宋体" w:cs="宋体"/>
          <w:sz w:val="21"/>
          <w:szCs w:val="21"/>
        </w:rPr>
      </w:pPr>
      <w:r>
        <w:rPr>
          <w:rFonts w:ascii="Times New Roman" w:hAnsi="Times New Roman" w:eastAsia="Times New Roman" w:cs="Times New Roman"/>
          <w:spacing w:val="-17"/>
          <w:position w:val="13"/>
          <w:sz w:val="21"/>
          <w:szCs w:val="21"/>
        </w:rPr>
        <w:t>F</w:t>
      </w:r>
      <w:r>
        <w:rPr>
          <w:rFonts w:ascii="Times New Roman" w:hAnsi="Times New Roman" w:eastAsia="Times New Roman" w:cs="Times New Roman"/>
          <w:spacing w:val="-17"/>
          <w:position w:val="12"/>
          <w:sz w:val="13"/>
          <w:szCs w:val="13"/>
        </w:rPr>
        <w:t>t1</w:t>
      </w:r>
      <w:r>
        <w:rPr>
          <w:rFonts w:ascii="Times New Roman" w:hAnsi="Times New Roman" w:eastAsia="Times New Roman" w:cs="Times New Roman"/>
          <w:spacing w:val="13"/>
          <w:w w:val="103"/>
          <w:position w:val="12"/>
          <w:sz w:val="13"/>
          <w:szCs w:val="13"/>
        </w:rPr>
        <w:t xml:space="preserve">  </w:t>
      </w:r>
      <w:r>
        <w:rPr>
          <w:rFonts w:ascii="Times New Roman" w:hAnsi="Times New Roman" w:eastAsia="Times New Roman" w:cs="Times New Roman"/>
          <w:spacing w:val="-17"/>
          <w:position w:val="13"/>
          <w:sz w:val="21"/>
          <w:szCs w:val="21"/>
        </w:rPr>
        <w:t>;F</w:t>
      </w:r>
      <w:r>
        <w:rPr>
          <w:rFonts w:ascii="Times New Roman" w:hAnsi="Times New Roman" w:eastAsia="Times New Roman" w:cs="Times New Roman"/>
          <w:spacing w:val="-17"/>
          <w:position w:val="12"/>
          <w:sz w:val="13"/>
          <w:szCs w:val="13"/>
        </w:rPr>
        <w:t>t2</w:t>
      </w:r>
      <w:r>
        <w:rPr>
          <w:rFonts w:ascii="Times New Roman" w:hAnsi="Times New Roman" w:eastAsia="Times New Roman" w:cs="Times New Roman"/>
          <w:spacing w:val="7"/>
          <w:position w:val="12"/>
          <w:sz w:val="13"/>
          <w:szCs w:val="13"/>
        </w:rPr>
        <w:t xml:space="preserve">  </w:t>
      </w:r>
      <w:r>
        <w:rPr>
          <w:rFonts w:ascii="Times New Roman" w:hAnsi="Times New Roman" w:eastAsia="Times New Roman" w:cs="Times New Roman"/>
          <w:spacing w:val="-17"/>
          <w:position w:val="13"/>
          <w:sz w:val="21"/>
          <w:szCs w:val="21"/>
        </w:rPr>
        <w:t>;F</w:t>
      </w:r>
      <w:r>
        <w:rPr>
          <w:rFonts w:ascii="Times New Roman" w:hAnsi="Times New Roman" w:eastAsia="Times New Roman" w:cs="Times New Roman"/>
          <w:spacing w:val="-17"/>
          <w:position w:val="13"/>
          <w:sz w:val="13"/>
          <w:szCs w:val="13"/>
        </w:rPr>
        <w:t>t3</w:t>
      </w:r>
      <w:r>
        <w:rPr>
          <w:rFonts w:ascii="宋体" w:hAnsi="宋体" w:eastAsia="宋体" w:cs="宋体"/>
          <w:spacing w:val="-17"/>
          <w:position w:val="13"/>
          <w:sz w:val="14"/>
          <w:szCs w:val="14"/>
        </w:rPr>
        <w:t>·····</w:t>
      </w:r>
      <w:r>
        <w:rPr>
          <w:rFonts w:ascii="Times New Roman" w:hAnsi="Times New Roman" w:eastAsia="Times New Roman" w:cs="Times New Roman"/>
          <w:spacing w:val="-3"/>
          <w:position w:val="13"/>
          <w:sz w:val="21"/>
          <w:szCs w:val="21"/>
        </w:rPr>
        <w:t>F</w:t>
      </w:r>
      <w:r>
        <w:rPr>
          <w:rFonts w:ascii="Times New Roman" w:hAnsi="Times New Roman" w:eastAsia="Times New Roman" w:cs="Times New Roman"/>
          <w:spacing w:val="-3"/>
          <w:position w:val="12"/>
          <w:sz w:val="13"/>
          <w:szCs w:val="13"/>
        </w:rPr>
        <w:t>tn</w:t>
      </w:r>
      <w:r>
        <w:rPr>
          <w:rFonts w:ascii="Times New Roman" w:hAnsi="Times New Roman" w:eastAsia="Times New Roman" w:cs="Times New Roman"/>
          <w:spacing w:val="-3"/>
          <w:position w:val="13"/>
          <w:sz w:val="21"/>
          <w:szCs w:val="21"/>
        </w:rPr>
        <w:t>——</w:t>
      </w:r>
      <w:r>
        <w:rPr>
          <w:rFonts w:ascii="宋体" w:hAnsi="宋体" w:eastAsia="宋体" w:cs="宋体"/>
          <w:spacing w:val="-3"/>
          <w:position w:val="13"/>
          <w:sz w:val="21"/>
          <w:szCs w:val="21"/>
        </w:rPr>
        <w:t>各可调因子的现行价格指数， 指约定的付款证书相关周期最后一</w:t>
      </w:r>
    </w:p>
    <w:p w14:paraId="5344FB3E">
      <w:pPr>
        <w:spacing w:line="219" w:lineRule="auto"/>
        <w:ind w:left="22"/>
        <w:rPr>
          <w:rFonts w:ascii="宋体" w:hAnsi="宋体" w:eastAsia="宋体" w:cs="宋体"/>
          <w:sz w:val="21"/>
          <w:szCs w:val="21"/>
        </w:rPr>
      </w:pPr>
      <w:r>
        <w:rPr>
          <w:rFonts w:ascii="宋体" w:hAnsi="宋体" w:eastAsia="宋体" w:cs="宋体"/>
          <w:spacing w:val="-2"/>
          <w:sz w:val="21"/>
          <w:szCs w:val="21"/>
        </w:rPr>
        <w:t>天的前</w:t>
      </w:r>
      <w:r>
        <w:rPr>
          <w:rFonts w:ascii="宋体" w:hAnsi="宋体" w:eastAsia="宋体" w:cs="宋体"/>
          <w:spacing w:val="-32"/>
          <w:sz w:val="21"/>
          <w:szCs w:val="21"/>
        </w:rPr>
        <w:t xml:space="preserve"> </w:t>
      </w:r>
      <w:r>
        <w:rPr>
          <w:rFonts w:ascii="Times New Roman" w:hAnsi="Times New Roman" w:eastAsia="Times New Roman" w:cs="Times New Roman"/>
          <w:spacing w:val="-2"/>
          <w:sz w:val="21"/>
          <w:szCs w:val="21"/>
        </w:rPr>
        <w:t xml:space="preserve">42 </w:t>
      </w:r>
      <w:r>
        <w:rPr>
          <w:rFonts w:ascii="宋体" w:hAnsi="宋体" w:eastAsia="宋体" w:cs="宋体"/>
          <w:spacing w:val="-2"/>
          <w:sz w:val="21"/>
          <w:szCs w:val="21"/>
        </w:rPr>
        <w:t>天的各可调因子的价格指数；</w:t>
      </w:r>
    </w:p>
    <w:p w14:paraId="65F6E85C">
      <w:pPr>
        <w:spacing w:before="154" w:line="399" w:lineRule="exact"/>
        <w:ind w:right="2"/>
        <w:jc w:val="right"/>
        <w:rPr>
          <w:rFonts w:ascii="宋体" w:hAnsi="宋体" w:eastAsia="宋体" w:cs="宋体"/>
          <w:sz w:val="21"/>
          <w:szCs w:val="21"/>
        </w:rPr>
      </w:pPr>
      <w:r>
        <w:rPr>
          <w:rFonts w:ascii="Times New Roman" w:hAnsi="Times New Roman" w:eastAsia="Times New Roman" w:cs="Times New Roman"/>
          <w:spacing w:val="-12"/>
          <w:position w:val="13"/>
          <w:sz w:val="21"/>
          <w:szCs w:val="21"/>
        </w:rPr>
        <w:t>F</w:t>
      </w:r>
      <w:r>
        <w:rPr>
          <w:rFonts w:ascii="Times New Roman" w:hAnsi="Times New Roman" w:eastAsia="Times New Roman" w:cs="Times New Roman"/>
          <w:spacing w:val="-12"/>
          <w:position w:val="12"/>
          <w:sz w:val="13"/>
          <w:szCs w:val="13"/>
        </w:rPr>
        <w:t>o1</w:t>
      </w:r>
      <w:r>
        <w:rPr>
          <w:rFonts w:ascii="Times New Roman" w:hAnsi="Times New Roman" w:eastAsia="Times New Roman" w:cs="Times New Roman"/>
          <w:spacing w:val="4"/>
          <w:position w:val="12"/>
          <w:sz w:val="13"/>
          <w:szCs w:val="13"/>
        </w:rPr>
        <w:t xml:space="preserve"> </w:t>
      </w:r>
      <w:r>
        <w:rPr>
          <w:rFonts w:ascii="Times New Roman" w:hAnsi="Times New Roman" w:eastAsia="Times New Roman" w:cs="Times New Roman"/>
          <w:spacing w:val="-12"/>
          <w:position w:val="13"/>
          <w:sz w:val="21"/>
          <w:szCs w:val="21"/>
        </w:rPr>
        <w:t>; F</w:t>
      </w:r>
      <w:r>
        <w:rPr>
          <w:rFonts w:ascii="Times New Roman" w:hAnsi="Times New Roman" w:eastAsia="Times New Roman" w:cs="Times New Roman"/>
          <w:spacing w:val="-12"/>
          <w:position w:val="13"/>
          <w:sz w:val="13"/>
          <w:szCs w:val="13"/>
        </w:rPr>
        <w:t>o2</w:t>
      </w:r>
      <w:r>
        <w:rPr>
          <w:rFonts w:ascii="Times New Roman" w:hAnsi="Times New Roman" w:eastAsia="Times New Roman" w:cs="Times New Roman"/>
          <w:spacing w:val="-12"/>
          <w:position w:val="13"/>
          <w:sz w:val="14"/>
          <w:szCs w:val="14"/>
        </w:rPr>
        <w:t>;</w:t>
      </w:r>
      <w:r>
        <w:rPr>
          <w:rFonts w:ascii="Times New Roman" w:hAnsi="Times New Roman" w:eastAsia="Times New Roman" w:cs="Times New Roman"/>
          <w:spacing w:val="13"/>
          <w:w w:val="101"/>
          <w:position w:val="13"/>
          <w:sz w:val="14"/>
          <w:szCs w:val="14"/>
        </w:rPr>
        <w:t xml:space="preserve"> </w:t>
      </w:r>
      <w:r>
        <w:rPr>
          <w:rFonts w:ascii="Times New Roman" w:hAnsi="Times New Roman" w:eastAsia="Times New Roman" w:cs="Times New Roman"/>
          <w:spacing w:val="-12"/>
          <w:position w:val="13"/>
          <w:sz w:val="21"/>
          <w:szCs w:val="21"/>
        </w:rPr>
        <w:t>F</w:t>
      </w:r>
      <w:r>
        <w:rPr>
          <w:rFonts w:ascii="Times New Roman" w:hAnsi="Times New Roman" w:eastAsia="Times New Roman" w:cs="Times New Roman"/>
          <w:spacing w:val="-12"/>
          <w:position w:val="13"/>
          <w:sz w:val="13"/>
          <w:szCs w:val="13"/>
        </w:rPr>
        <w:t>o3</w:t>
      </w:r>
      <w:r>
        <w:rPr>
          <w:rFonts w:ascii="宋体" w:hAnsi="宋体" w:eastAsia="宋体" w:cs="宋体"/>
          <w:spacing w:val="-12"/>
          <w:position w:val="13"/>
          <w:sz w:val="14"/>
          <w:szCs w:val="14"/>
        </w:rPr>
        <w:t>····</w:t>
      </w:r>
      <w:r>
        <w:rPr>
          <w:rFonts w:ascii="Times New Roman" w:hAnsi="Times New Roman" w:eastAsia="Times New Roman" w:cs="Times New Roman"/>
          <w:spacing w:val="-3"/>
          <w:position w:val="13"/>
          <w:sz w:val="21"/>
          <w:szCs w:val="21"/>
        </w:rPr>
        <w:t>F</w:t>
      </w:r>
      <w:r>
        <w:rPr>
          <w:rFonts w:ascii="Times New Roman" w:hAnsi="Times New Roman" w:eastAsia="Times New Roman" w:cs="Times New Roman"/>
          <w:spacing w:val="-3"/>
          <w:position w:val="12"/>
          <w:sz w:val="13"/>
          <w:szCs w:val="13"/>
        </w:rPr>
        <w:t>on</w:t>
      </w:r>
      <w:r>
        <w:rPr>
          <w:rFonts w:ascii="Times New Roman" w:hAnsi="Times New Roman" w:eastAsia="Times New Roman" w:cs="Times New Roman"/>
          <w:spacing w:val="-3"/>
          <w:position w:val="13"/>
          <w:sz w:val="21"/>
          <w:szCs w:val="21"/>
        </w:rPr>
        <w:t>——</w:t>
      </w:r>
      <w:r>
        <w:rPr>
          <w:rFonts w:ascii="宋体" w:hAnsi="宋体" w:eastAsia="宋体" w:cs="宋体"/>
          <w:spacing w:val="-3"/>
          <w:position w:val="13"/>
          <w:sz w:val="21"/>
          <w:szCs w:val="21"/>
        </w:rPr>
        <w:t>各可调因子的基本价格指数， 指基准日期的各可调因子的价格指</w:t>
      </w:r>
    </w:p>
    <w:p w14:paraId="7F734C92">
      <w:pPr>
        <w:spacing w:line="220" w:lineRule="auto"/>
        <w:ind w:left="20"/>
        <w:rPr>
          <w:rFonts w:ascii="宋体" w:hAnsi="宋体" w:eastAsia="宋体" w:cs="宋体"/>
          <w:sz w:val="21"/>
          <w:szCs w:val="21"/>
        </w:rPr>
      </w:pPr>
      <w:r>
        <w:rPr>
          <w:rFonts w:ascii="宋体" w:hAnsi="宋体" w:eastAsia="宋体" w:cs="宋体"/>
          <w:spacing w:val="-10"/>
          <w:sz w:val="21"/>
          <w:szCs w:val="21"/>
        </w:rPr>
        <w:t>数。</w:t>
      </w:r>
    </w:p>
    <w:p w14:paraId="126F1E49">
      <w:pPr>
        <w:spacing w:before="147" w:line="352" w:lineRule="auto"/>
        <w:ind w:left="20" w:right="6" w:firstLine="444"/>
        <w:rPr>
          <w:rFonts w:ascii="宋体" w:hAnsi="宋体" w:eastAsia="宋体" w:cs="宋体"/>
          <w:sz w:val="21"/>
          <w:szCs w:val="21"/>
        </w:rPr>
      </w:pPr>
      <w:r>
        <w:rPr>
          <w:rFonts w:ascii="宋体" w:hAnsi="宋体" w:eastAsia="宋体" w:cs="宋体"/>
          <w:spacing w:val="-1"/>
          <w:sz w:val="21"/>
          <w:szCs w:val="21"/>
        </w:rPr>
        <w:t>以上价格调整公式中的各可调因子、定值和变值权</w:t>
      </w:r>
      <w:r>
        <w:rPr>
          <w:rFonts w:ascii="宋体" w:hAnsi="宋体" w:eastAsia="宋体" w:cs="宋体"/>
          <w:spacing w:val="-2"/>
          <w:sz w:val="21"/>
          <w:szCs w:val="21"/>
        </w:rPr>
        <w:t>重，</w:t>
      </w:r>
      <w:r>
        <w:rPr>
          <w:rFonts w:ascii="宋体" w:hAnsi="宋体" w:eastAsia="宋体" w:cs="宋体"/>
          <w:spacing w:val="37"/>
          <w:sz w:val="21"/>
          <w:szCs w:val="21"/>
        </w:rPr>
        <w:t xml:space="preserve"> </w:t>
      </w:r>
      <w:r>
        <w:rPr>
          <w:rFonts w:ascii="宋体" w:hAnsi="宋体" w:eastAsia="宋体" w:cs="宋体"/>
          <w:spacing w:val="-2"/>
          <w:sz w:val="21"/>
          <w:szCs w:val="21"/>
        </w:rPr>
        <w:t>以及基本价格指数及其来源在</w:t>
      </w:r>
      <w:r>
        <w:rPr>
          <w:rFonts w:ascii="宋体" w:hAnsi="宋体" w:eastAsia="宋体" w:cs="宋体"/>
          <w:sz w:val="21"/>
          <w:szCs w:val="21"/>
        </w:rPr>
        <w:t xml:space="preserve"> 投标函附录价格指数和权重表中约定，非招标订立的合同， 由合同当事人在专用合同条款</w:t>
      </w:r>
      <w:r>
        <w:rPr>
          <w:rFonts w:ascii="宋体" w:hAnsi="宋体" w:eastAsia="宋体" w:cs="宋体"/>
          <w:spacing w:val="4"/>
          <w:sz w:val="21"/>
          <w:szCs w:val="21"/>
        </w:rPr>
        <w:t xml:space="preserve"> </w:t>
      </w:r>
      <w:r>
        <w:rPr>
          <w:rFonts w:ascii="宋体" w:hAnsi="宋体" w:eastAsia="宋体" w:cs="宋体"/>
          <w:spacing w:val="-2"/>
          <w:sz w:val="21"/>
          <w:szCs w:val="21"/>
        </w:rPr>
        <w:t>中约定。价格指数应首先采用工程造价管理机构发</w:t>
      </w:r>
      <w:r>
        <w:rPr>
          <w:rFonts w:ascii="宋体" w:hAnsi="宋体" w:eastAsia="宋体" w:cs="宋体"/>
          <w:spacing w:val="-3"/>
          <w:sz w:val="21"/>
          <w:szCs w:val="21"/>
        </w:rPr>
        <w:t>布的价格指数， 无前述价格指数时， 可</w:t>
      </w:r>
    </w:p>
    <w:p w14:paraId="7C172079">
      <w:pPr>
        <w:spacing w:line="219" w:lineRule="auto"/>
        <w:ind w:left="17"/>
        <w:rPr>
          <w:rFonts w:ascii="宋体" w:hAnsi="宋体" w:eastAsia="宋体" w:cs="宋体"/>
          <w:sz w:val="21"/>
          <w:szCs w:val="21"/>
        </w:rPr>
      </w:pPr>
      <w:r>
        <w:rPr>
          <w:rFonts w:ascii="宋体" w:hAnsi="宋体" w:eastAsia="宋体" w:cs="宋体"/>
          <w:spacing w:val="-1"/>
          <w:sz w:val="21"/>
          <w:szCs w:val="21"/>
        </w:rPr>
        <w:t>采用工程造价管理机构发布的价格代替。</w:t>
      </w:r>
    </w:p>
    <w:p w14:paraId="15EC8AA1">
      <w:pPr>
        <w:spacing w:before="154" w:line="221" w:lineRule="auto"/>
        <w:ind w:left="447"/>
        <w:rPr>
          <w:rFonts w:ascii="宋体" w:hAnsi="宋体" w:eastAsia="宋体" w:cs="宋体"/>
          <w:sz w:val="21"/>
          <w:szCs w:val="21"/>
        </w:rPr>
      </w:pPr>
      <w:r>
        <w:rPr>
          <w:rFonts w:ascii="宋体" w:hAnsi="宋体" w:eastAsia="宋体" w:cs="宋体"/>
          <w:spacing w:val="-1"/>
          <w:sz w:val="21"/>
          <w:szCs w:val="21"/>
        </w:rPr>
        <w:t>（</w:t>
      </w:r>
      <w:r>
        <w:rPr>
          <w:rFonts w:ascii="Times New Roman" w:hAnsi="Times New Roman" w:eastAsia="Times New Roman" w:cs="Times New Roman"/>
          <w:spacing w:val="-1"/>
          <w:sz w:val="21"/>
          <w:szCs w:val="21"/>
        </w:rPr>
        <w:t>2</w:t>
      </w:r>
      <w:r>
        <w:rPr>
          <w:rFonts w:ascii="宋体" w:hAnsi="宋体" w:eastAsia="宋体" w:cs="宋体"/>
          <w:spacing w:val="-1"/>
          <w:sz w:val="21"/>
          <w:szCs w:val="21"/>
        </w:rPr>
        <w:t>）暂时确定调整差额</w:t>
      </w:r>
    </w:p>
    <w:p w14:paraId="515AE35B">
      <w:pPr>
        <w:spacing w:before="147" w:line="399" w:lineRule="exact"/>
        <w:ind w:right="6"/>
        <w:jc w:val="right"/>
        <w:rPr>
          <w:rFonts w:ascii="宋体" w:hAnsi="宋体" w:eastAsia="宋体" w:cs="宋体"/>
          <w:sz w:val="21"/>
          <w:szCs w:val="21"/>
        </w:rPr>
      </w:pPr>
      <w:r>
        <w:rPr>
          <w:rFonts w:ascii="宋体" w:hAnsi="宋体" w:eastAsia="宋体" w:cs="宋体"/>
          <w:spacing w:val="3"/>
          <w:position w:val="14"/>
          <w:sz w:val="21"/>
          <w:szCs w:val="21"/>
        </w:rPr>
        <w:t>在计算调整差额时无现行价格指数的，合同当事人同意暂用前次价格指数计算。实际</w:t>
      </w:r>
    </w:p>
    <w:p w14:paraId="3DBF2D64">
      <w:pPr>
        <w:spacing w:line="219" w:lineRule="auto"/>
        <w:ind w:left="19"/>
        <w:rPr>
          <w:rFonts w:ascii="宋体" w:hAnsi="宋体" w:eastAsia="宋体" w:cs="宋体"/>
          <w:sz w:val="21"/>
          <w:szCs w:val="21"/>
        </w:rPr>
      </w:pPr>
      <w:r>
        <w:rPr>
          <w:rFonts w:ascii="宋体" w:hAnsi="宋体" w:eastAsia="宋体" w:cs="宋体"/>
          <w:spacing w:val="-6"/>
          <w:sz w:val="21"/>
          <w:szCs w:val="21"/>
        </w:rPr>
        <w:t>价格指数有调整的， 合同当事人进行相应调整。</w:t>
      </w:r>
    </w:p>
    <w:p w14:paraId="599DF353">
      <w:pPr>
        <w:spacing w:line="219" w:lineRule="auto"/>
        <w:rPr>
          <w:rFonts w:ascii="宋体" w:hAnsi="宋体" w:eastAsia="宋体" w:cs="宋体"/>
          <w:sz w:val="21"/>
          <w:szCs w:val="21"/>
        </w:rPr>
        <w:sectPr>
          <w:footerReference r:id="rId118" w:type="default"/>
          <w:pgSz w:w="11905" w:h="16839"/>
          <w:pgMar w:top="1431" w:right="1785" w:bottom="1004" w:left="1785" w:header="0" w:footer="828" w:gutter="0"/>
          <w:pgNumType w:fmt="decimal"/>
          <w:cols w:space="720" w:num="1"/>
        </w:sectPr>
      </w:pPr>
    </w:p>
    <w:p w14:paraId="5A6A960D">
      <w:pPr>
        <w:spacing w:before="148" w:line="221" w:lineRule="auto"/>
        <w:ind w:left="447"/>
        <w:rPr>
          <w:rFonts w:ascii="宋体" w:hAnsi="宋体" w:eastAsia="宋体" w:cs="宋体"/>
          <w:sz w:val="21"/>
          <w:szCs w:val="21"/>
        </w:rPr>
      </w:pPr>
      <w:r>
        <w:rPr>
          <w:rFonts w:ascii="宋体" w:hAnsi="宋体" w:eastAsia="宋体" w:cs="宋体"/>
          <w:spacing w:val="-3"/>
          <w:sz w:val="21"/>
          <w:szCs w:val="21"/>
        </w:rPr>
        <w:t>（</w:t>
      </w:r>
      <w:r>
        <w:rPr>
          <w:rFonts w:ascii="Times New Roman" w:hAnsi="Times New Roman" w:eastAsia="Times New Roman" w:cs="Times New Roman"/>
          <w:spacing w:val="-3"/>
          <w:sz w:val="21"/>
          <w:szCs w:val="21"/>
        </w:rPr>
        <w:t>3</w:t>
      </w:r>
      <w:r>
        <w:rPr>
          <w:rFonts w:ascii="宋体" w:hAnsi="宋体" w:eastAsia="宋体" w:cs="宋体"/>
          <w:spacing w:val="-3"/>
          <w:sz w:val="21"/>
          <w:szCs w:val="21"/>
        </w:rPr>
        <w:t>）权重的调整</w:t>
      </w:r>
    </w:p>
    <w:p w14:paraId="7A085AC2">
      <w:pPr>
        <w:spacing w:before="147" w:line="403" w:lineRule="exact"/>
        <w:ind w:left="457"/>
        <w:rPr>
          <w:rFonts w:ascii="宋体" w:hAnsi="宋体" w:eastAsia="宋体" w:cs="宋体"/>
          <w:sz w:val="21"/>
          <w:szCs w:val="21"/>
        </w:rPr>
      </w:pPr>
      <w:r>
        <w:rPr>
          <w:rFonts w:ascii="宋体" w:hAnsi="宋体" w:eastAsia="宋体" w:cs="宋体"/>
          <w:spacing w:val="-4"/>
          <w:position w:val="14"/>
          <w:sz w:val="21"/>
          <w:szCs w:val="21"/>
        </w:rPr>
        <w:t>因变更导致合同约定的权重不合理时， 按照第</w:t>
      </w:r>
      <w:r>
        <w:rPr>
          <w:rFonts w:ascii="宋体" w:hAnsi="宋体" w:eastAsia="宋体" w:cs="宋体"/>
          <w:spacing w:val="-42"/>
          <w:position w:val="14"/>
          <w:sz w:val="21"/>
          <w:szCs w:val="21"/>
        </w:rPr>
        <w:t xml:space="preserve"> </w:t>
      </w:r>
      <w:r>
        <w:rPr>
          <w:rFonts w:ascii="Times New Roman" w:hAnsi="Times New Roman" w:eastAsia="Times New Roman" w:cs="Times New Roman"/>
          <w:spacing w:val="-4"/>
          <w:position w:val="14"/>
          <w:sz w:val="21"/>
          <w:szCs w:val="21"/>
        </w:rPr>
        <w:t xml:space="preserve">4.4 </w:t>
      </w:r>
      <w:r>
        <w:rPr>
          <w:rFonts w:ascii="宋体" w:hAnsi="宋体" w:eastAsia="宋体" w:cs="宋体"/>
          <w:spacing w:val="-4"/>
          <w:position w:val="14"/>
          <w:sz w:val="21"/>
          <w:szCs w:val="21"/>
        </w:rPr>
        <w:t>款〔商定或确定〕执行。</w:t>
      </w:r>
    </w:p>
    <w:p w14:paraId="0A19029B">
      <w:pPr>
        <w:spacing w:line="219" w:lineRule="auto"/>
        <w:ind w:left="447"/>
        <w:rPr>
          <w:rFonts w:ascii="宋体" w:hAnsi="宋体" w:eastAsia="宋体" w:cs="宋体"/>
          <w:sz w:val="21"/>
          <w:szCs w:val="21"/>
        </w:rPr>
      </w:pPr>
      <w:r>
        <w:rPr>
          <w:rFonts w:ascii="宋体" w:hAnsi="宋体" w:eastAsia="宋体" w:cs="宋体"/>
          <w:spacing w:val="-1"/>
          <w:sz w:val="21"/>
          <w:szCs w:val="21"/>
        </w:rPr>
        <w:t>（</w:t>
      </w:r>
      <w:r>
        <w:rPr>
          <w:rFonts w:ascii="Times New Roman" w:hAnsi="Times New Roman" w:eastAsia="Times New Roman" w:cs="Times New Roman"/>
          <w:spacing w:val="-1"/>
          <w:sz w:val="21"/>
          <w:szCs w:val="21"/>
        </w:rPr>
        <w:t>4</w:t>
      </w:r>
      <w:r>
        <w:rPr>
          <w:rFonts w:ascii="宋体" w:hAnsi="宋体" w:eastAsia="宋体" w:cs="宋体"/>
          <w:spacing w:val="-1"/>
          <w:sz w:val="21"/>
          <w:szCs w:val="21"/>
        </w:rPr>
        <w:t>）因承包人原因工期延误后的价格调整</w:t>
      </w:r>
    </w:p>
    <w:p w14:paraId="5798CFDC">
      <w:pPr>
        <w:spacing w:before="150" w:line="352" w:lineRule="auto"/>
        <w:ind w:left="20" w:right="179" w:firstLine="437"/>
        <w:rPr>
          <w:rFonts w:ascii="宋体" w:hAnsi="宋体" w:eastAsia="宋体" w:cs="宋体"/>
          <w:sz w:val="21"/>
          <w:szCs w:val="21"/>
        </w:rPr>
      </w:pPr>
      <w:r>
        <w:rPr>
          <w:rFonts w:ascii="宋体" w:hAnsi="宋体" w:eastAsia="宋体" w:cs="宋体"/>
          <w:spacing w:val="3"/>
          <w:sz w:val="21"/>
          <w:szCs w:val="21"/>
        </w:rPr>
        <w:t>因承包人原因未按期竣工的，对合同约定的竣工日期</w:t>
      </w:r>
      <w:r>
        <w:rPr>
          <w:rFonts w:ascii="宋体" w:hAnsi="宋体" w:eastAsia="宋体" w:cs="宋体"/>
          <w:spacing w:val="2"/>
          <w:sz w:val="21"/>
          <w:szCs w:val="21"/>
        </w:rPr>
        <w:t>后继续施工的工程，在使用价格</w:t>
      </w:r>
      <w:r>
        <w:rPr>
          <w:rFonts w:ascii="宋体" w:hAnsi="宋体" w:eastAsia="宋体" w:cs="宋体"/>
          <w:sz w:val="21"/>
          <w:szCs w:val="21"/>
        </w:rPr>
        <w:t xml:space="preserve"> 调整公式时， 应采用计划竣工日期与实际竣工日期的两个价格指数中较低的一个作为现行</w:t>
      </w:r>
    </w:p>
    <w:p w14:paraId="60A1DF42">
      <w:pPr>
        <w:spacing w:line="219" w:lineRule="auto"/>
        <w:ind w:left="19"/>
        <w:rPr>
          <w:rFonts w:ascii="宋体" w:hAnsi="宋体" w:eastAsia="宋体" w:cs="宋体"/>
          <w:sz w:val="21"/>
          <w:szCs w:val="21"/>
        </w:rPr>
      </w:pPr>
      <w:r>
        <w:rPr>
          <w:rFonts w:ascii="宋体" w:hAnsi="宋体" w:eastAsia="宋体" w:cs="宋体"/>
          <w:spacing w:val="-6"/>
          <w:sz w:val="21"/>
          <w:szCs w:val="21"/>
        </w:rPr>
        <w:t>价格指数。</w:t>
      </w:r>
    </w:p>
    <w:p w14:paraId="186551CA">
      <w:pPr>
        <w:spacing w:before="149" w:line="219" w:lineRule="auto"/>
        <w:ind w:left="441"/>
        <w:rPr>
          <w:rFonts w:ascii="宋体" w:hAnsi="宋体" w:eastAsia="宋体" w:cs="宋体"/>
          <w:sz w:val="21"/>
          <w:szCs w:val="21"/>
        </w:rPr>
      </w:pPr>
      <w:r>
        <w:rPr>
          <w:rFonts w:ascii="宋体" w:hAnsi="宋体" w:eastAsia="宋体" w:cs="宋体"/>
          <w:spacing w:val="-2"/>
          <w:sz w:val="21"/>
          <w:szCs w:val="21"/>
        </w:rPr>
        <w:t>第</w:t>
      </w:r>
      <w:r>
        <w:rPr>
          <w:rFonts w:ascii="宋体" w:hAnsi="宋体" w:eastAsia="宋体" w:cs="宋体"/>
          <w:spacing w:val="-47"/>
          <w:sz w:val="21"/>
          <w:szCs w:val="21"/>
        </w:rPr>
        <w:t xml:space="preserve"> </w:t>
      </w:r>
      <w:r>
        <w:rPr>
          <w:rFonts w:ascii="Times New Roman" w:hAnsi="Times New Roman" w:eastAsia="Times New Roman" w:cs="Times New Roman"/>
          <w:spacing w:val="-2"/>
          <w:sz w:val="21"/>
          <w:szCs w:val="21"/>
        </w:rPr>
        <w:t xml:space="preserve">2 </w:t>
      </w:r>
      <w:r>
        <w:rPr>
          <w:rFonts w:ascii="宋体" w:hAnsi="宋体" w:eastAsia="宋体" w:cs="宋体"/>
          <w:spacing w:val="-2"/>
          <w:sz w:val="21"/>
          <w:szCs w:val="21"/>
        </w:rPr>
        <w:t>种方式：采用造价信息进行价格调整。</w:t>
      </w:r>
    </w:p>
    <w:p w14:paraId="3B5A3F57">
      <w:pPr>
        <w:spacing w:before="151" w:line="352" w:lineRule="auto"/>
        <w:ind w:left="17" w:firstLine="424"/>
        <w:rPr>
          <w:rFonts w:ascii="宋体" w:hAnsi="宋体" w:eastAsia="宋体" w:cs="宋体"/>
          <w:sz w:val="21"/>
          <w:szCs w:val="21"/>
        </w:rPr>
      </w:pPr>
      <w:r>
        <w:rPr>
          <w:rFonts w:ascii="宋体" w:hAnsi="宋体" w:eastAsia="宋体" w:cs="宋体"/>
          <w:spacing w:val="-1"/>
          <w:sz w:val="21"/>
          <w:szCs w:val="21"/>
        </w:rPr>
        <w:t>合同履行期间，因人工、材料、工程设备和机械台班价格波动影响合同价格时， 人工、</w:t>
      </w:r>
      <w:r>
        <w:rPr>
          <w:rFonts w:ascii="宋体" w:hAnsi="宋体" w:eastAsia="宋体" w:cs="宋体"/>
          <w:spacing w:val="17"/>
          <w:sz w:val="21"/>
          <w:szCs w:val="21"/>
        </w:rPr>
        <w:t xml:space="preserve"> </w:t>
      </w:r>
      <w:r>
        <w:rPr>
          <w:rFonts w:ascii="宋体" w:hAnsi="宋体" w:eastAsia="宋体" w:cs="宋体"/>
          <w:spacing w:val="3"/>
          <w:sz w:val="21"/>
          <w:szCs w:val="21"/>
        </w:rPr>
        <w:t>机械使用费按照国家或省、自治区、直辖市建设行政管理</w:t>
      </w:r>
      <w:r>
        <w:rPr>
          <w:rFonts w:ascii="宋体" w:hAnsi="宋体" w:eastAsia="宋体" w:cs="宋体"/>
          <w:spacing w:val="2"/>
          <w:sz w:val="21"/>
          <w:szCs w:val="21"/>
        </w:rPr>
        <w:t>部门、行业建设管理部门或其授  权的工程造价管理机构发布的人工、机械使用费系数进行调整；需要进行价格调整的材料，</w:t>
      </w:r>
      <w:r>
        <w:rPr>
          <w:rFonts w:ascii="宋体" w:hAnsi="宋体" w:eastAsia="宋体" w:cs="宋体"/>
          <w:spacing w:val="7"/>
          <w:sz w:val="21"/>
          <w:szCs w:val="21"/>
        </w:rPr>
        <w:t xml:space="preserve"> </w:t>
      </w:r>
      <w:r>
        <w:rPr>
          <w:rFonts w:ascii="宋体" w:hAnsi="宋体" w:eastAsia="宋体" w:cs="宋体"/>
          <w:sz w:val="21"/>
          <w:szCs w:val="21"/>
        </w:rPr>
        <w:t>其单价和采购数量应由发包人审批，发包人确认需调整的材料单价及数量， 作为调整合同</w:t>
      </w:r>
    </w:p>
    <w:p w14:paraId="4992245F">
      <w:pPr>
        <w:spacing w:line="219" w:lineRule="auto"/>
        <w:ind w:left="19"/>
        <w:rPr>
          <w:rFonts w:ascii="宋体" w:hAnsi="宋体" w:eastAsia="宋体" w:cs="宋体"/>
          <w:sz w:val="21"/>
          <w:szCs w:val="21"/>
        </w:rPr>
      </w:pPr>
      <w:r>
        <w:rPr>
          <w:rFonts w:ascii="宋体" w:hAnsi="宋体" w:eastAsia="宋体" w:cs="宋体"/>
          <w:spacing w:val="-1"/>
          <w:sz w:val="21"/>
          <w:szCs w:val="21"/>
        </w:rPr>
        <w:t>价格的依据。</w:t>
      </w:r>
    </w:p>
    <w:p w14:paraId="1265F4AC">
      <w:pPr>
        <w:spacing w:before="151" w:line="352" w:lineRule="auto"/>
        <w:ind w:left="31" w:right="185" w:firstLine="415"/>
        <w:rPr>
          <w:rFonts w:ascii="宋体" w:hAnsi="宋体" w:eastAsia="宋体" w:cs="宋体"/>
          <w:sz w:val="21"/>
          <w:szCs w:val="21"/>
        </w:rPr>
      </w:pPr>
      <w:r>
        <w:rPr>
          <w:rFonts w:ascii="宋体" w:hAnsi="宋体" w:eastAsia="宋体" w:cs="宋体"/>
          <w:sz w:val="21"/>
          <w:szCs w:val="21"/>
        </w:rPr>
        <w:t>（</w:t>
      </w:r>
      <w:r>
        <w:rPr>
          <w:rFonts w:ascii="Times New Roman" w:hAnsi="Times New Roman" w:eastAsia="Times New Roman" w:cs="Times New Roman"/>
          <w:sz w:val="21"/>
          <w:szCs w:val="21"/>
        </w:rPr>
        <w:t>1</w:t>
      </w:r>
      <w:r>
        <w:rPr>
          <w:rFonts w:ascii="宋体" w:hAnsi="宋体" w:eastAsia="宋体" w:cs="宋体"/>
          <w:sz w:val="21"/>
          <w:szCs w:val="21"/>
        </w:rPr>
        <w:t>）人工单价发生变化且符合省级或行业建设主管部门发布的人工费调整规定</w:t>
      </w:r>
      <w:r>
        <w:rPr>
          <w:rFonts w:ascii="宋体" w:hAnsi="宋体" w:eastAsia="宋体" w:cs="宋体"/>
          <w:spacing w:val="-1"/>
          <w:sz w:val="21"/>
          <w:szCs w:val="21"/>
        </w:rPr>
        <w:t>，合同</w:t>
      </w:r>
      <w:r>
        <w:rPr>
          <w:rFonts w:ascii="宋体" w:hAnsi="宋体" w:eastAsia="宋体" w:cs="宋体"/>
          <w:sz w:val="21"/>
          <w:szCs w:val="21"/>
        </w:rPr>
        <w:t xml:space="preserve"> </w:t>
      </w:r>
      <w:r>
        <w:rPr>
          <w:rFonts w:ascii="宋体" w:hAnsi="宋体" w:eastAsia="宋体" w:cs="宋体"/>
          <w:spacing w:val="3"/>
          <w:sz w:val="21"/>
          <w:szCs w:val="21"/>
        </w:rPr>
        <w:t>当事人应按省级或行业建设主管部门或其授权</w:t>
      </w:r>
      <w:r>
        <w:rPr>
          <w:rFonts w:ascii="宋体" w:hAnsi="宋体" w:eastAsia="宋体" w:cs="宋体"/>
          <w:spacing w:val="2"/>
          <w:sz w:val="21"/>
          <w:szCs w:val="21"/>
        </w:rPr>
        <w:t>的工程造价管理机构发布的人工费等文件调</w:t>
      </w:r>
    </w:p>
    <w:p w14:paraId="35CBA3FD">
      <w:pPr>
        <w:spacing w:line="219" w:lineRule="auto"/>
        <w:ind w:left="19"/>
        <w:rPr>
          <w:rFonts w:ascii="宋体" w:hAnsi="宋体" w:eastAsia="宋体" w:cs="宋体"/>
          <w:sz w:val="21"/>
          <w:szCs w:val="21"/>
        </w:rPr>
      </w:pPr>
      <w:r>
        <w:rPr>
          <w:rFonts w:ascii="宋体" w:hAnsi="宋体" w:eastAsia="宋体" w:cs="宋体"/>
          <w:spacing w:val="-1"/>
          <w:sz w:val="21"/>
          <w:szCs w:val="21"/>
        </w:rPr>
        <w:t>整合同价格，但承包人对人工费或人工单价的报价高于发布价格的除外。</w:t>
      </w:r>
    </w:p>
    <w:p w14:paraId="1ED87F78">
      <w:pPr>
        <w:spacing w:before="149" w:line="399" w:lineRule="exact"/>
        <w:ind w:left="447"/>
        <w:rPr>
          <w:rFonts w:ascii="宋体" w:hAnsi="宋体" w:eastAsia="宋体" w:cs="宋体"/>
          <w:sz w:val="21"/>
          <w:szCs w:val="21"/>
        </w:rPr>
      </w:pPr>
      <w:r>
        <w:rPr>
          <w:rFonts w:ascii="宋体" w:hAnsi="宋体" w:eastAsia="宋体" w:cs="宋体"/>
          <w:spacing w:val="-4"/>
          <w:position w:val="14"/>
          <w:sz w:val="21"/>
          <w:szCs w:val="21"/>
        </w:rPr>
        <w:t>（</w:t>
      </w:r>
      <w:r>
        <w:rPr>
          <w:rFonts w:ascii="Times New Roman" w:hAnsi="Times New Roman" w:eastAsia="Times New Roman" w:cs="Times New Roman"/>
          <w:spacing w:val="-4"/>
          <w:position w:val="14"/>
          <w:sz w:val="21"/>
          <w:szCs w:val="21"/>
        </w:rPr>
        <w:t>2</w:t>
      </w:r>
      <w:r>
        <w:rPr>
          <w:rFonts w:ascii="宋体" w:hAnsi="宋体" w:eastAsia="宋体" w:cs="宋体"/>
          <w:spacing w:val="-4"/>
          <w:position w:val="14"/>
          <w:sz w:val="21"/>
          <w:szCs w:val="21"/>
        </w:rPr>
        <w:t>）材料、工程设备价格变化的价款调整按照发包人提供的</w:t>
      </w:r>
      <w:r>
        <w:rPr>
          <w:rFonts w:ascii="宋体" w:hAnsi="宋体" w:eastAsia="宋体" w:cs="宋体"/>
          <w:spacing w:val="-5"/>
          <w:position w:val="14"/>
          <w:sz w:val="21"/>
          <w:szCs w:val="21"/>
        </w:rPr>
        <w:t>基准价格，</w:t>
      </w:r>
      <w:r>
        <w:rPr>
          <w:rFonts w:ascii="宋体" w:hAnsi="宋体" w:eastAsia="宋体" w:cs="宋体"/>
          <w:spacing w:val="53"/>
          <w:position w:val="14"/>
          <w:sz w:val="21"/>
          <w:szCs w:val="21"/>
        </w:rPr>
        <w:t xml:space="preserve"> </w:t>
      </w:r>
      <w:r>
        <w:rPr>
          <w:rFonts w:ascii="宋体" w:hAnsi="宋体" w:eastAsia="宋体" w:cs="宋体"/>
          <w:spacing w:val="-5"/>
          <w:position w:val="14"/>
          <w:sz w:val="21"/>
          <w:szCs w:val="21"/>
        </w:rPr>
        <w:t>按以下风险范</w:t>
      </w:r>
    </w:p>
    <w:p w14:paraId="5599BCD6">
      <w:pPr>
        <w:spacing w:before="1" w:line="234" w:lineRule="auto"/>
        <w:ind w:left="37"/>
        <w:rPr>
          <w:rFonts w:ascii="Times New Roman" w:hAnsi="Times New Roman" w:eastAsia="Times New Roman" w:cs="Times New Roman"/>
          <w:sz w:val="21"/>
          <w:szCs w:val="21"/>
        </w:rPr>
      </w:pPr>
      <w:r>
        <w:rPr>
          <w:rFonts w:ascii="宋体" w:hAnsi="宋体" w:eastAsia="宋体" w:cs="宋体"/>
          <w:spacing w:val="-4"/>
          <w:sz w:val="21"/>
          <w:szCs w:val="21"/>
        </w:rPr>
        <w:t>围规定执行</w:t>
      </w:r>
      <w:r>
        <w:rPr>
          <w:rFonts w:ascii="Times New Roman" w:hAnsi="Times New Roman" w:eastAsia="Times New Roman" w:cs="Times New Roman"/>
          <w:spacing w:val="-4"/>
          <w:sz w:val="21"/>
          <w:szCs w:val="21"/>
        </w:rPr>
        <w:t>:</w:t>
      </w:r>
    </w:p>
    <w:p w14:paraId="0A9837D5">
      <w:pPr>
        <w:spacing w:before="135" w:line="352" w:lineRule="auto"/>
        <w:ind w:left="20" w:right="179" w:firstLine="626"/>
        <w:rPr>
          <w:rFonts w:ascii="宋体" w:hAnsi="宋体" w:eastAsia="宋体" w:cs="宋体"/>
          <w:sz w:val="21"/>
          <w:szCs w:val="21"/>
        </w:rPr>
      </w:pPr>
      <w:r>
        <w:rPr>
          <w:rFonts w:ascii="宋体" w:hAnsi="宋体" w:eastAsia="宋体" w:cs="宋体"/>
          <w:sz w:val="21"/>
          <w:szCs w:val="21"/>
        </w:rPr>
        <w:t>①承包人在已标价工程量清单或预算书中载明材料单价低于基准价格的： 除专用合</w:t>
      </w:r>
      <w:r>
        <w:rPr>
          <w:rFonts w:ascii="宋体" w:hAnsi="宋体" w:eastAsia="宋体" w:cs="宋体"/>
          <w:spacing w:val="8"/>
          <w:sz w:val="21"/>
          <w:szCs w:val="21"/>
        </w:rPr>
        <w:t xml:space="preserve"> </w:t>
      </w:r>
      <w:r>
        <w:rPr>
          <w:rFonts w:ascii="宋体" w:hAnsi="宋体" w:eastAsia="宋体" w:cs="宋体"/>
          <w:spacing w:val="-5"/>
          <w:sz w:val="21"/>
          <w:szCs w:val="21"/>
        </w:rPr>
        <w:t>同条款另有约定外， 合同履行期间材料单价涨幅以基准价格为基础超过</w:t>
      </w:r>
      <w:r>
        <w:rPr>
          <w:rFonts w:ascii="宋体" w:hAnsi="宋体" w:eastAsia="宋体" w:cs="宋体"/>
          <w:spacing w:val="-38"/>
          <w:sz w:val="21"/>
          <w:szCs w:val="21"/>
        </w:rPr>
        <w:t xml:space="preserve"> </w:t>
      </w:r>
      <w:r>
        <w:rPr>
          <w:rFonts w:ascii="Times New Roman" w:hAnsi="Times New Roman" w:eastAsia="Times New Roman" w:cs="Times New Roman"/>
          <w:spacing w:val="-5"/>
          <w:sz w:val="21"/>
          <w:szCs w:val="21"/>
        </w:rPr>
        <w:t>5%</w:t>
      </w:r>
      <w:r>
        <w:rPr>
          <w:rFonts w:ascii="宋体" w:hAnsi="宋体" w:eastAsia="宋体" w:cs="宋体"/>
          <w:spacing w:val="-5"/>
          <w:sz w:val="21"/>
          <w:szCs w:val="21"/>
        </w:rPr>
        <w:t>时</w:t>
      </w:r>
      <w:r>
        <w:rPr>
          <w:rFonts w:ascii="宋体" w:hAnsi="宋体" w:eastAsia="宋体" w:cs="宋体"/>
          <w:spacing w:val="-6"/>
          <w:sz w:val="21"/>
          <w:szCs w:val="21"/>
        </w:rPr>
        <w:t>，</w:t>
      </w:r>
      <w:r>
        <w:rPr>
          <w:rFonts w:ascii="宋体" w:hAnsi="宋体" w:eastAsia="宋体" w:cs="宋体"/>
          <w:spacing w:val="-21"/>
          <w:sz w:val="21"/>
          <w:szCs w:val="21"/>
        </w:rPr>
        <w:t xml:space="preserve"> </w:t>
      </w:r>
      <w:r>
        <w:rPr>
          <w:rFonts w:ascii="宋体" w:hAnsi="宋体" w:eastAsia="宋体" w:cs="宋体"/>
          <w:spacing w:val="-6"/>
          <w:sz w:val="21"/>
          <w:szCs w:val="21"/>
        </w:rPr>
        <w:t>或材料单价</w:t>
      </w:r>
      <w:r>
        <w:rPr>
          <w:rFonts w:ascii="宋体" w:hAnsi="宋体" w:eastAsia="宋体" w:cs="宋体"/>
          <w:sz w:val="21"/>
          <w:szCs w:val="21"/>
        </w:rPr>
        <w:t xml:space="preserve"> 跌幅以在已标价工程量清单或预算书中载明材料单价为</w:t>
      </w:r>
      <w:r>
        <w:rPr>
          <w:rFonts w:ascii="宋体" w:hAnsi="宋体" w:eastAsia="宋体" w:cs="宋体"/>
          <w:spacing w:val="-1"/>
          <w:sz w:val="21"/>
          <w:szCs w:val="21"/>
        </w:rPr>
        <w:t>基础超过</w:t>
      </w:r>
      <w:r>
        <w:rPr>
          <w:rFonts w:ascii="宋体" w:hAnsi="宋体" w:eastAsia="宋体" w:cs="宋体"/>
          <w:spacing w:val="-44"/>
          <w:sz w:val="21"/>
          <w:szCs w:val="21"/>
        </w:rPr>
        <w:t xml:space="preserve"> </w:t>
      </w:r>
      <w:r>
        <w:rPr>
          <w:rFonts w:ascii="Times New Roman" w:hAnsi="Times New Roman" w:eastAsia="Times New Roman" w:cs="Times New Roman"/>
          <w:spacing w:val="-1"/>
          <w:sz w:val="21"/>
          <w:szCs w:val="21"/>
        </w:rPr>
        <w:t>5%</w:t>
      </w:r>
      <w:r>
        <w:rPr>
          <w:rFonts w:ascii="宋体" w:hAnsi="宋体" w:eastAsia="宋体" w:cs="宋体"/>
          <w:spacing w:val="-1"/>
          <w:sz w:val="21"/>
          <w:szCs w:val="21"/>
        </w:rPr>
        <w:t>时，其超过部分据实调</w:t>
      </w:r>
    </w:p>
    <w:p w14:paraId="2AFCB203">
      <w:pPr>
        <w:spacing w:before="1" w:line="227" w:lineRule="auto"/>
        <w:ind w:left="19"/>
        <w:rPr>
          <w:rFonts w:ascii="宋体" w:hAnsi="宋体" w:eastAsia="宋体" w:cs="宋体"/>
          <w:sz w:val="21"/>
          <w:szCs w:val="21"/>
        </w:rPr>
      </w:pPr>
      <w:r>
        <w:rPr>
          <w:rFonts w:ascii="宋体" w:hAnsi="宋体" w:eastAsia="宋体" w:cs="宋体"/>
          <w:spacing w:val="-10"/>
          <w:sz w:val="21"/>
          <w:szCs w:val="21"/>
        </w:rPr>
        <w:t>整。</w:t>
      </w:r>
    </w:p>
    <w:p w14:paraId="7C49760F">
      <w:pPr>
        <w:spacing w:before="140" w:line="352" w:lineRule="auto"/>
        <w:ind w:left="39" w:right="179" w:firstLine="606"/>
        <w:rPr>
          <w:rFonts w:ascii="宋体" w:hAnsi="宋体" w:eastAsia="宋体" w:cs="宋体"/>
          <w:sz w:val="21"/>
          <w:szCs w:val="21"/>
        </w:rPr>
      </w:pPr>
      <w:r>
        <w:rPr>
          <w:rFonts w:ascii="宋体" w:hAnsi="宋体" w:eastAsia="宋体" w:cs="宋体"/>
          <w:sz w:val="21"/>
          <w:szCs w:val="21"/>
        </w:rPr>
        <w:t>②承包人在已标价工程量清单或预算书中载明材料单价高于基准价格的： 除专用合</w:t>
      </w:r>
      <w:r>
        <w:rPr>
          <w:rFonts w:ascii="宋体" w:hAnsi="宋体" w:eastAsia="宋体" w:cs="宋体"/>
          <w:spacing w:val="9"/>
          <w:sz w:val="21"/>
          <w:szCs w:val="21"/>
        </w:rPr>
        <w:t xml:space="preserve"> </w:t>
      </w:r>
      <w:r>
        <w:rPr>
          <w:rFonts w:ascii="宋体" w:hAnsi="宋体" w:eastAsia="宋体" w:cs="宋体"/>
          <w:spacing w:val="-5"/>
          <w:sz w:val="21"/>
          <w:szCs w:val="21"/>
        </w:rPr>
        <w:t>同条款另有约定外， 合同履行期间材料单</w:t>
      </w:r>
      <w:r>
        <w:rPr>
          <w:rFonts w:ascii="宋体" w:hAnsi="宋体" w:eastAsia="宋体" w:cs="宋体"/>
          <w:spacing w:val="-6"/>
          <w:sz w:val="21"/>
          <w:szCs w:val="21"/>
        </w:rPr>
        <w:t>价跌幅以基准价格为基础超过</w:t>
      </w:r>
      <w:r>
        <w:rPr>
          <w:rFonts w:ascii="宋体" w:hAnsi="宋体" w:eastAsia="宋体" w:cs="宋体"/>
          <w:spacing w:val="-39"/>
          <w:sz w:val="21"/>
          <w:szCs w:val="21"/>
        </w:rPr>
        <w:t xml:space="preserve"> </w:t>
      </w:r>
      <w:r>
        <w:rPr>
          <w:rFonts w:ascii="Times New Roman" w:hAnsi="Times New Roman" w:eastAsia="Times New Roman" w:cs="Times New Roman"/>
          <w:spacing w:val="-6"/>
          <w:sz w:val="21"/>
          <w:szCs w:val="21"/>
        </w:rPr>
        <w:t>5%</w:t>
      </w:r>
      <w:r>
        <w:rPr>
          <w:rFonts w:ascii="宋体" w:hAnsi="宋体" w:eastAsia="宋体" w:cs="宋体"/>
          <w:spacing w:val="-6"/>
          <w:sz w:val="21"/>
          <w:szCs w:val="21"/>
        </w:rPr>
        <w:t>时，</w:t>
      </w:r>
      <w:r>
        <w:rPr>
          <w:rFonts w:ascii="宋体" w:hAnsi="宋体" w:eastAsia="宋体" w:cs="宋体"/>
          <w:spacing w:val="-23"/>
          <w:sz w:val="21"/>
          <w:szCs w:val="21"/>
        </w:rPr>
        <w:t xml:space="preserve"> </w:t>
      </w:r>
      <w:r>
        <w:rPr>
          <w:rFonts w:ascii="宋体" w:hAnsi="宋体" w:eastAsia="宋体" w:cs="宋体"/>
          <w:spacing w:val="-6"/>
          <w:sz w:val="21"/>
          <w:szCs w:val="21"/>
        </w:rPr>
        <w:t>材料单价涨</w:t>
      </w:r>
    </w:p>
    <w:p w14:paraId="08DC626F">
      <w:pPr>
        <w:spacing w:line="219" w:lineRule="auto"/>
        <w:jc w:val="right"/>
        <w:rPr>
          <w:rFonts w:ascii="宋体" w:hAnsi="宋体" w:eastAsia="宋体" w:cs="宋体"/>
          <w:sz w:val="21"/>
          <w:szCs w:val="21"/>
        </w:rPr>
      </w:pPr>
      <w:r>
        <w:rPr>
          <w:rFonts w:ascii="宋体" w:hAnsi="宋体" w:eastAsia="宋体" w:cs="宋体"/>
          <w:spacing w:val="-3"/>
          <w:sz w:val="21"/>
          <w:szCs w:val="21"/>
        </w:rPr>
        <w:t>幅以在已标价工程量清单或预算书中载明材料单价为基</w:t>
      </w:r>
      <w:r>
        <w:rPr>
          <w:rFonts w:ascii="宋体" w:hAnsi="宋体" w:eastAsia="宋体" w:cs="宋体"/>
          <w:spacing w:val="-4"/>
          <w:sz w:val="21"/>
          <w:szCs w:val="21"/>
        </w:rPr>
        <w:t>础超过</w:t>
      </w:r>
      <w:r>
        <w:rPr>
          <w:rFonts w:ascii="宋体" w:hAnsi="宋体" w:eastAsia="宋体" w:cs="宋体"/>
          <w:spacing w:val="-40"/>
          <w:sz w:val="21"/>
          <w:szCs w:val="21"/>
        </w:rPr>
        <w:t xml:space="preserve"> </w:t>
      </w:r>
      <w:r>
        <w:rPr>
          <w:rFonts w:ascii="Times New Roman" w:hAnsi="Times New Roman" w:eastAsia="Times New Roman" w:cs="Times New Roman"/>
          <w:spacing w:val="-4"/>
          <w:sz w:val="21"/>
          <w:szCs w:val="21"/>
        </w:rPr>
        <w:t>5%</w:t>
      </w:r>
      <w:r>
        <w:rPr>
          <w:rFonts w:ascii="宋体" w:hAnsi="宋体" w:eastAsia="宋体" w:cs="宋体"/>
          <w:spacing w:val="-4"/>
          <w:sz w:val="21"/>
          <w:szCs w:val="21"/>
        </w:rPr>
        <w:t>时，</w:t>
      </w:r>
      <w:r>
        <w:rPr>
          <w:rFonts w:ascii="宋体" w:hAnsi="宋体" w:eastAsia="宋体" w:cs="宋体"/>
          <w:spacing w:val="-22"/>
          <w:sz w:val="21"/>
          <w:szCs w:val="21"/>
        </w:rPr>
        <w:t xml:space="preserve"> </w:t>
      </w:r>
      <w:r>
        <w:rPr>
          <w:rFonts w:ascii="宋体" w:hAnsi="宋体" w:eastAsia="宋体" w:cs="宋体"/>
          <w:spacing w:val="-4"/>
          <w:sz w:val="21"/>
          <w:szCs w:val="21"/>
        </w:rPr>
        <w:t>其超过部分据实调整。</w:t>
      </w:r>
    </w:p>
    <w:p w14:paraId="3C2ED1A9">
      <w:pPr>
        <w:spacing w:before="149" w:line="353" w:lineRule="auto"/>
        <w:ind w:left="39" w:right="175" w:firstLine="606"/>
        <w:rPr>
          <w:rFonts w:ascii="宋体" w:hAnsi="宋体" w:eastAsia="宋体" w:cs="宋体"/>
          <w:sz w:val="21"/>
          <w:szCs w:val="21"/>
        </w:rPr>
      </w:pPr>
      <w:r>
        <w:rPr>
          <w:rFonts w:ascii="宋体" w:hAnsi="宋体" w:eastAsia="宋体" w:cs="宋体"/>
          <w:sz w:val="21"/>
          <w:szCs w:val="21"/>
        </w:rPr>
        <w:t>③承包人在已标价工程量清单或预算书中载明材料单价等于基准价格的： 除专用合</w:t>
      </w:r>
      <w:r>
        <w:rPr>
          <w:rFonts w:ascii="宋体" w:hAnsi="宋体" w:eastAsia="宋体" w:cs="宋体"/>
          <w:spacing w:val="9"/>
          <w:sz w:val="21"/>
          <w:szCs w:val="21"/>
        </w:rPr>
        <w:t xml:space="preserve"> </w:t>
      </w:r>
      <w:r>
        <w:rPr>
          <w:rFonts w:ascii="宋体" w:hAnsi="宋体" w:eastAsia="宋体" w:cs="宋体"/>
          <w:spacing w:val="3"/>
          <w:sz w:val="21"/>
          <w:szCs w:val="21"/>
        </w:rPr>
        <w:t>同条款另有约定外，合同履行期间材料单价涨跌幅以基准价格为基础超过</w:t>
      </w:r>
      <w:r>
        <w:rPr>
          <w:rFonts w:ascii="Times New Roman" w:hAnsi="Times New Roman" w:eastAsia="Times New Roman" w:cs="Times New Roman"/>
          <w:spacing w:val="3"/>
          <w:sz w:val="21"/>
          <w:szCs w:val="21"/>
        </w:rPr>
        <w:t>±5%</w:t>
      </w:r>
      <w:r>
        <w:rPr>
          <w:rFonts w:ascii="宋体" w:hAnsi="宋体" w:eastAsia="宋体" w:cs="宋体"/>
          <w:spacing w:val="3"/>
          <w:sz w:val="21"/>
          <w:szCs w:val="21"/>
        </w:rPr>
        <w:t>时，其超过</w:t>
      </w:r>
    </w:p>
    <w:p w14:paraId="521367F1">
      <w:pPr>
        <w:spacing w:line="220" w:lineRule="auto"/>
        <w:ind w:left="20"/>
        <w:rPr>
          <w:rFonts w:ascii="宋体" w:hAnsi="宋体" w:eastAsia="宋体" w:cs="宋体"/>
          <w:sz w:val="21"/>
          <w:szCs w:val="21"/>
        </w:rPr>
      </w:pPr>
      <w:r>
        <w:rPr>
          <w:rFonts w:ascii="宋体" w:hAnsi="宋体" w:eastAsia="宋体" w:cs="宋体"/>
          <w:spacing w:val="-4"/>
          <w:sz w:val="21"/>
          <w:szCs w:val="21"/>
        </w:rPr>
        <w:t>部分据实调整。</w:t>
      </w:r>
    </w:p>
    <w:p w14:paraId="4E41FDD3">
      <w:pPr>
        <w:spacing w:before="147" w:line="352" w:lineRule="auto"/>
        <w:ind w:left="20" w:right="184" w:firstLine="625"/>
        <w:rPr>
          <w:rFonts w:ascii="宋体" w:hAnsi="宋体" w:eastAsia="宋体" w:cs="宋体"/>
          <w:sz w:val="21"/>
          <w:szCs w:val="21"/>
        </w:rPr>
      </w:pPr>
      <w:r>
        <w:rPr>
          <w:rFonts w:ascii="宋体" w:hAnsi="宋体" w:eastAsia="宋体" w:cs="宋体"/>
          <w:sz w:val="21"/>
          <w:szCs w:val="21"/>
        </w:rPr>
        <w:t>④承包人应在采购材料前将采购数量和新的材料单价报发包人核对， 发包人确认用</w:t>
      </w:r>
      <w:r>
        <w:rPr>
          <w:rFonts w:ascii="宋体" w:hAnsi="宋体" w:eastAsia="宋体" w:cs="宋体"/>
          <w:spacing w:val="9"/>
          <w:sz w:val="21"/>
          <w:szCs w:val="21"/>
        </w:rPr>
        <w:t xml:space="preserve"> </w:t>
      </w:r>
      <w:r>
        <w:rPr>
          <w:rFonts w:ascii="宋体" w:hAnsi="宋体" w:eastAsia="宋体" w:cs="宋体"/>
          <w:spacing w:val="3"/>
          <w:sz w:val="21"/>
          <w:szCs w:val="21"/>
        </w:rPr>
        <w:t>于工程时，发包人应确认采购材料的数量和单价。发包人在收到承包人报</w:t>
      </w:r>
      <w:r>
        <w:rPr>
          <w:rFonts w:ascii="宋体" w:hAnsi="宋体" w:eastAsia="宋体" w:cs="宋体"/>
          <w:spacing w:val="2"/>
          <w:sz w:val="21"/>
          <w:szCs w:val="21"/>
        </w:rPr>
        <w:t>送的确认资料后</w:t>
      </w:r>
      <w:r>
        <w:rPr>
          <w:rFonts w:ascii="宋体" w:hAnsi="宋体" w:eastAsia="宋体" w:cs="宋体"/>
          <w:sz w:val="21"/>
          <w:szCs w:val="21"/>
        </w:rPr>
        <w:t xml:space="preserve"> </w:t>
      </w:r>
      <w:r>
        <w:rPr>
          <w:rFonts w:ascii="Times New Roman" w:hAnsi="Times New Roman" w:eastAsia="Times New Roman" w:cs="Times New Roman"/>
          <w:sz w:val="21"/>
          <w:szCs w:val="21"/>
        </w:rPr>
        <w:t>5</w:t>
      </w:r>
      <w:r>
        <w:rPr>
          <w:rFonts w:ascii="Times New Roman" w:hAnsi="Times New Roman" w:eastAsia="Times New Roman" w:cs="Times New Roman"/>
          <w:spacing w:val="57"/>
          <w:sz w:val="21"/>
          <w:szCs w:val="21"/>
        </w:rPr>
        <w:t xml:space="preserve"> </w:t>
      </w:r>
      <w:r>
        <w:rPr>
          <w:rFonts w:ascii="宋体" w:hAnsi="宋体" w:eastAsia="宋体" w:cs="宋体"/>
          <w:sz w:val="21"/>
          <w:szCs w:val="21"/>
        </w:rPr>
        <w:t>天内不予答复的视为认可， 作为调整合同价格的依据。未经发包人事先核对，承包人自</w:t>
      </w:r>
    </w:p>
    <w:p w14:paraId="1B0BFA9F">
      <w:pPr>
        <w:spacing w:line="219" w:lineRule="auto"/>
        <w:ind w:left="21"/>
        <w:rPr>
          <w:rFonts w:ascii="宋体" w:hAnsi="宋体" w:eastAsia="宋体" w:cs="宋体"/>
          <w:sz w:val="21"/>
          <w:szCs w:val="21"/>
        </w:rPr>
      </w:pPr>
      <w:r>
        <w:rPr>
          <w:rFonts w:ascii="宋体" w:hAnsi="宋体" w:eastAsia="宋体" w:cs="宋体"/>
          <w:spacing w:val="-5"/>
          <w:sz w:val="21"/>
          <w:szCs w:val="21"/>
        </w:rPr>
        <w:t>行采购材料的，发包人有权不予调整合同价格。发包人同意的，</w:t>
      </w:r>
      <w:r>
        <w:rPr>
          <w:rFonts w:ascii="宋体" w:hAnsi="宋体" w:eastAsia="宋体" w:cs="宋体"/>
          <w:spacing w:val="71"/>
          <w:sz w:val="21"/>
          <w:szCs w:val="21"/>
        </w:rPr>
        <w:t xml:space="preserve"> </w:t>
      </w:r>
      <w:r>
        <w:rPr>
          <w:rFonts w:ascii="宋体" w:hAnsi="宋体" w:eastAsia="宋体" w:cs="宋体"/>
          <w:spacing w:val="-5"/>
          <w:sz w:val="21"/>
          <w:szCs w:val="21"/>
        </w:rPr>
        <w:t>可以调整合同价格。</w:t>
      </w:r>
    </w:p>
    <w:p w14:paraId="2F5CD0EB">
      <w:pPr>
        <w:spacing w:before="150" w:line="352" w:lineRule="auto"/>
        <w:ind w:left="18" w:right="179" w:firstLine="426"/>
        <w:jc w:val="both"/>
        <w:rPr>
          <w:rFonts w:ascii="宋体" w:hAnsi="宋体" w:eastAsia="宋体" w:cs="宋体"/>
          <w:sz w:val="21"/>
          <w:szCs w:val="21"/>
        </w:rPr>
      </w:pPr>
      <w:r>
        <w:rPr>
          <w:rFonts w:ascii="宋体" w:hAnsi="宋体" w:eastAsia="宋体" w:cs="宋体"/>
          <w:spacing w:val="3"/>
          <w:sz w:val="21"/>
          <w:szCs w:val="21"/>
        </w:rPr>
        <w:t>前述基准价格是指由发包人在招标文件或专用合同条款中给定的材料、工程设备的价</w:t>
      </w:r>
      <w:r>
        <w:rPr>
          <w:rFonts w:ascii="宋体" w:hAnsi="宋体" w:eastAsia="宋体" w:cs="宋体"/>
          <w:sz w:val="21"/>
          <w:szCs w:val="21"/>
        </w:rPr>
        <w:t xml:space="preserve"> </w:t>
      </w:r>
      <w:r>
        <w:rPr>
          <w:rFonts w:ascii="宋体" w:hAnsi="宋体" w:eastAsia="宋体" w:cs="宋体"/>
          <w:spacing w:val="3"/>
          <w:sz w:val="21"/>
          <w:szCs w:val="21"/>
        </w:rPr>
        <w:t>格，该价格原则上应当按照省级或行业建设主管部门或其授权的工程造价管</w:t>
      </w:r>
      <w:r>
        <w:rPr>
          <w:rFonts w:ascii="宋体" w:hAnsi="宋体" w:eastAsia="宋体" w:cs="宋体"/>
          <w:spacing w:val="2"/>
          <w:sz w:val="21"/>
          <w:szCs w:val="21"/>
        </w:rPr>
        <w:t>理机构发布的</w:t>
      </w:r>
    </w:p>
    <w:p w14:paraId="67D4FE85">
      <w:pPr>
        <w:spacing w:line="219" w:lineRule="auto"/>
        <w:ind w:left="18"/>
        <w:rPr>
          <w:rFonts w:ascii="宋体" w:hAnsi="宋体" w:eastAsia="宋体" w:cs="宋体"/>
          <w:sz w:val="21"/>
          <w:szCs w:val="21"/>
        </w:rPr>
      </w:pPr>
      <w:r>
        <w:rPr>
          <w:rFonts w:ascii="宋体" w:hAnsi="宋体" w:eastAsia="宋体" w:cs="宋体"/>
          <w:spacing w:val="-1"/>
          <w:sz w:val="21"/>
          <w:szCs w:val="21"/>
        </w:rPr>
        <w:t>信息价编制。</w:t>
      </w:r>
    </w:p>
    <w:p w14:paraId="3AC18088">
      <w:pPr>
        <w:spacing w:line="219" w:lineRule="auto"/>
        <w:rPr>
          <w:rFonts w:ascii="宋体" w:hAnsi="宋体" w:eastAsia="宋体" w:cs="宋体"/>
          <w:sz w:val="21"/>
          <w:szCs w:val="21"/>
        </w:rPr>
        <w:sectPr>
          <w:footerReference r:id="rId119" w:type="default"/>
          <w:pgSz w:w="11905" w:h="16839"/>
          <w:pgMar w:top="1431" w:right="1612" w:bottom="1004" w:left="1785" w:header="0" w:footer="828" w:gutter="0"/>
          <w:pgNumType w:fmt="decimal"/>
          <w:cols w:space="720" w:num="1"/>
        </w:sectPr>
      </w:pPr>
    </w:p>
    <w:p w14:paraId="7E982E2C">
      <w:pPr>
        <w:spacing w:before="149" w:line="398" w:lineRule="exact"/>
        <w:ind w:left="447"/>
        <w:rPr>
          <w:rFonts w:ascii="宋体" w:hAnsi="宋体" w:eastAsia="宋体" w:cs="宋体"/>
          <w:sz w:val="21"/>
          <w:szCs w:val="21"/>
        </w:rPr>
      </w:pPr>
      <w:r>
        <w:rPr>
          <w:rFonts w:ascii="宋体" w:hAnsi="宋体" w:eastAsia="宋体" w:cs="宋体"/>
          <w:position w:val="14"/>
          <w:sz w:val="21"/>
          <w:szCs w:val="21"/>
        </w:rPr>
        <w:t>（</w:t>
      </w:r>
      <w:r>
        <w:rPr>
          <w:rFonts w:ascii="Times New Roman" w:hAnsi="Times New Roman" w:eastAsia="Times New Roman" w:cs="Times New Roman"/>
          <w:position w:val="14"/>
          <w:sz w:val="21"/>
          <w:szCs w:val="21"/>
        </w:rPr>
        <w:t>3</w:t>
      </w:r>
      <w:r>
        <w:rPr>
          <w:rFonts w:ascii="宋体" w:hAnsi="宋体" w:eastAsia="宋体" w:cs="宋体"/>
          <w:position w:val="14"/>
          <w:sz w:val="21"/>
          <w:szCs w:val="21"/>
        </w:rPr>
        <w:t>）施工机械台班单价或施工机械使用费发生变化超过省级或行业建设主管部</w:t>
      </w:r>
      <w:r>
        <w:rPr>
          <w:rFonts w:ascii="宋体" w:hAnsi="宋体" w:eastAsia="宋体" w:cs="宋体"/>
          <w:spacing w:val="-1"/>
          <w:position w:val="14"/>
          <w:sz w:val="21"/>
          <w:szCs w:val="21"/>
        </w:rPr>
        <w:t>门或其</w:t>
      </w:r>
    </w:p>
    <w:p w14:paraId="56870F65">
      <w:pPr>
        <w:spacing w:line="219" w:lineRule="auto"/>
        <w:ind w:left="17"/>
        <w:rPr>
          <w:rFonts w:ascii="宋体" w:hAnsi="宋体" w:eastAsia="宋体" w:cs="宋体"/>
          <w:sz w:val="21"/>
          <w:szCs w:val="21"/>
        </w:rPr>
      </w:pPr>
      <w:r>
        <w:rPr>
          <w:rFonts w:ascii="宋体" w:hAnsi="宋体" w:eastAsia="宋体" w:cs="宋体"/>
          <w:spacing w:val="-1"/>
          <w:sz w:val="21"/>
          <w:szCs w:val="21"/>
        </w:rPr>
        <w:t>授权的工程造价管理机构规定的范围时，按规定调整合同价</w:t>
      </w:r>
      <w:r>
        <w:rPr>
          <w:rFonts w:ascii="宋体" w:hAnsi="宋体" w:eastAsia="宋体" w:cs="宋体"/>
          <w:spacing w:val="-2"/>
          <w:sz w:val="21"/>
          <w:szCs w:val="21"/>
        </w:rPr>
        <w:t>格。</w:t>
      </w:r>
    </w:p>
    <w:p w14:paraId="44D72679">
      <w:pPr>
        <w:spacing w:before="153" w:line="221" w:lineRule="auto"/>
        <w:ind w:left="441"/>
        <w:rPr>
          <w:rFonts w:ascii="宋体" w:hAnsi="宋体" w:eastAsia="宋体" w:cs="宋体"/>
          <w:sz w:val="21"/>
          <w:szCs w:val="21"/>
        </w:rPr>
      </w:pPr>
      <w:r>
        <w:rPr>
          <w:rFonts w:ascii="宋体" w:hAnsi="宋体" w:eastAsia="宋体" w:cs="宋体"/>
          <w:spacing w:val="-3"/>
          <w:sz w:val="21"/>
          <w:szCs w:val="21"/>
        </w:rPr>
        <w:t>第</w:t>
      </w:r>
      <w:r>
        <w:rPr>
          <w:rFonts w:ascii="宋体" w:hAnsi="宋体" w:eastAsia="宋体" w:cs="宋体"/>
          <w:spacing w:val="-28"/>
          <w:sz w:val="21"/>
          <w:szCs w:val="21"/>
        </w:rPr>
        <w:t xml:space="preserve"> </w:t>
      </w:r>
      <w:r>
        <w:rPr>
          <w:rFonts w:ascii="Times New Roman" w:hAnsi="Times New Roman" w:eastAsia="Times New Roman" w:cs="Times New Roman"/>
          <w:spacing w:val="-3"/>
          <w:sz w:val="21"/>
          <w:szCs w:val="21"/>
        </w:rPr>
        <w:t xml:space="preserve">3 </w:t>
      </w:r>
      <w:r>
        <w:rPr>
          <w:rFonts w:ascii="宋体" w:hAnsi="宋体" w:eastAsia="宋体" w:cs="宋体"/>
          <w:spacing w:val="-3"/>
          <w:sz w:val="21"/>
          <w:szCs w:val="21"/>
        </w:rPr>
        <w:t>种方式：专用合同条款约定的其他方式。</w:t>
      </w:r>
    </w:p>
    <w:p w14:paraId="25AAE937">
      <w:pPr>
        <w:spacing w:before="46" w:line="219" w:lineRule="auto"/>
        <w:ind w:left="31"/>
        <w:rPr>
          <w:rFonts w:ascii="黑体" w:hAnsi="黑体" w:eastAsia="黑体" w:cs="黑体"/>
          <w:sz w:val="24"/>
          <w:szCs w:val="24"/>
        </w:rPr>
      </w:pPr>
      <w:r>
        <w:rPr>
          <w:rFonts w:ascii="黑体" w:hAnsi="黑体" w:eastAsia="黑体" w:cs="黑体"/>
          <w:spacing w:val="-3"/>
          <w:sz w:val="24"/>
          <w:szCs w:val="24"/>
        </w:rPr>
        <w:t>11.2</w:t>
      </w:r>
      <w:r>
        <w:rPr>
          <w:rFonts w:ascii="黑体" w:hAnsi="黑体" w:eastAsia="黑体" w:cs="黑体"/>
          <w:spacing w:val="-45"/>
          <w:sz w:val="24"/>
          <w:szCs w:val="24"/>
        </w:rPr>
        <w:t xml:space="preserve"> </w:t>
      </w:r>
      <w:r>
        <w:rPr>
          <w:rFonts w:ascii="黑体" w:hAnsi="黑体" w:eastAsia="黑体" w:cs="黑体"/>
          <w:spacing w:val="-3"/>
          <w:sz w:val="24"/>
          <w:szCs w:val="24"/>
        </w:rPr>
        <w:t>法律变化引起的调整</w:t>
      </w:r>
    </w:p>
    <w:p w14:paraId="2CD399BE">
      <w:pPr>
        <w:spacing w:before="129" w:line="352" w:lineRule="auto"/>
        <w:ind w:left="42" w:right="22" w:firstLine="398"/>
        <w:rPr>
          <w:rFonts w:ascii="宋体" w:hAnsi="宋体" w:eastAsia="宋体" w:cs="宋体"/>
          <w:sz w:val="21"/>
          <w:szCs w:val="21"/>
        </w:rPr>
      </w:pPr>
      <w:r>
        <w:rPr>
          <w:rFonts w:ascii="宋体" w:hAnsi="宋体" w:eastAsia="宋体" w:cs="宋体"/>
          <w:spacing w:val="4"/>
          <w:sz w:val="21"/>
          <w:szCs w:val="21"/>
        </w:rPr>
        <w:t xml:space="preserve">基准日期后，法律变化导致承包人在合同履行过程中所需要的费用发生除第 </w:t>
      </w:r>
      <w:r>
        <w:rPr>
          <w:rFonts w:ascii="Times New Roman" w:hAnsi="Times New Roman" w:eastAsia="Times New Roman" w:cs="Times New Roman"/>
          <w:spacing w:val="4"/>
          <w:sz w:val="21"/>
          <w:szCs w:val="21"/>
        </w:rPr>
        <w:t xml:space="preserve">11.1  </w:t>
      </w:r>
      <w:r>
        <w:rPr>
          <w:rFonts w:ascii="宋体" w:hAnsi="宋体" w:eastAsia="宋体" w:cs="宋体"/>
          <w:spacing w:val="4"/>
          <w:sz w:val="21"/>
          <w:szCs w:val="21"/>
        </w:rPr>
        <w:t>款</w:t>
      </w:r>
      <w:r>
        <w:rPr>
          <w:rFonts w:ascii="宋体" w:hAnsi="宋体" w:eastAsia="宋体" w:cs="宋体"/>
          <w:spacing w:val="1"/>
          <w:sz w:val="21"/>
          <w:szCs w:val="21"/>
        </w:rPr>
        <w:t xml:space="preserve">  </w:t>
      </w:r>
      <w:r>
        <w:rPr>
          <w:rFonts w:ascii="宋体" w:hAnsi="宋体" w:eastAsia="宋体" w:cs="宋体"/>
          <w:spacing w:val="-2"/>
          <w:sz w:val="21"/>
          <w:szCs w:val="21"/>
        </w:rPr>
        <w:t>〔市场价格波动引起的调整〕约定以外的增加时，由发包人承担由此增加的费用； 减少时，</w:t>
      </w:r>
    </w:p>
    <w:p w14:paraId="637F4D4D">
      <w:pPr>
        <w:spacing w:line="219" w:lineRule="auto"/>
        <w:ind w:left="18"/>
        <w:rPr>
          <w:rFonts w:ascii="宋体" w:hAnsi="宋体" w:eastAsia="宋体" w:cs="宋体"/>
          <w:sz w:val="21"/>
          <w:szCs w:val="21"/>
        </w:rPr>
      </w:pPr>
      <w:r>
        <w:rPr>
          <w:rFonts w:ascii="宋体" w:hAnsi="宋体" w:eastAsia="宋体" w:cs="宋体"/>
          <w:spacing w:val="-6"/>
          <w:sz w:val="21"/>
          <w:szCs w:val="21"/>
        </w:rPr>
        <w:t>应从合同价格中予以扣减。 基准日期后， 因法律变化造成工期延误时，工期应予以顺延。</w:t>
      </w:r>
    </w:p>
    <w:p w14:paraId="1C51565F">
      <w:pPr>
        <w:spacing w:before="150" w:line="398" w:lineRule="exact"/>
        <w:ind w:left="457"/>
        <w:rPr>
          <w:rFonts w:ascii="宋体" w:hAnsi="宋体" w:eastAsia="宋体" w:cs="宋体"/>
          <w:sz w:val="21"/>
          <w:szCs w:val="21"/>
        </w:rPr>
      </w:pPr>
      <w:r>
        <w:rPr>
          <w:rFonts w:ascii="宋体" w:hAnsi="宋体" w:eastAsia="宋体" w:cs="宋体"/>
          <w:position w:val="14"/>
          <w:sz w:val="21"/>
          <w:szCs w:val="21"/>
        </w:rPr>
        <w:t>因法律变化引起的合同价格和工期调整， 合同当事人无法达成一致</w:t>
      </w:r>
      <w:r>
        <w:rPr>
          <w:rFonts w:ascii="宋体" w:hAnsi="宋体" w:eastAsia="宋体" w:cs="宋体"/>
          <w:spacing w:val="-1"/>
          <w:position w:val="14"/>
          <w:sz w:val="21"/>
          <w:szCs w:val="21"/>
        </w:rPr>
        <w:t>的，由总监理工程</w:t>
      </w:r>
    </w:p>
    <w:p w14:paraId="2EE895D6">
      <w:pPr>
        <w:spacing w:before="1" w:line="220" w:lineRule="auto"/>
        <w:ind w:left="21"/>
        <w:rPr>
          <w:rFonts w:ascii="宋体" w:hAnsi="宋体" w:eastAsia="宋体" w:cs="宋体"/>
          <w:sz w:val="21"/>
          <w:szCs w:val="21"/>
        </w:rPr>
      </w:pPr>
      <w:r>
        <w:rPr>
          <w:rFonts w:ascii="宋体" w:hAnsi="宋体" w:eastAsia="宋体" w:cs="宋体"/>
          <w:spacing w:val="-2"/>
          <w:sz w:val="21"/>
          <w:szCs w:val="21"/>
        </w:rPr>
        <w:t>师按第</w:t>
      </w:r>
      <w:r>
        <w:rPr>
          <w:rFonts w:ascii="宋体" w:hAnsi="宋体" w:eastAsia="宋体" w:cs="宋体"/>
          <w:spacing w:val="-44"/>
          <w:sz w:val="21"/>
          <w:szCs w:val="21"/>
        </w:rPr>
        <w:t xml:space="preserve"> </w:t>
      </w:r>
      <w:r>
        <w:rPr>
          <w:rFonts w:ascii="Times New Roman" w:hAnsi="Times New Roman" w:eastAsia="Times New Roman" w:cs="Times New Roman"/>
          <w:spacing w:val="-2"/>
          <w:sz w:val="21"/>
          <w:szCs w:val="21"/>
        </w:rPr>
        <w:t xml:space="preserve">4.4 </w:t>
      </w:r>
      <w:r>
        <w:rPr>
          <w:rFonts w:ascii="宋体" w:hAnsi="宋体" w:eastAsia="宋体" w:cs="宋体"/>
          <w:spacing w:val="-2"/>
          <w:sz w:val="21"/>
          <w:szCs w:val="21"/>
        </w:rPr>
        <w:t>款〔商定或确定〕的约定处理。</w:t>
      </w:r>
    </w:p>
    <w:p w14:paraId="7D6C8B75">
      <w:pPr>
        <w:spacing w:before="152" w:line="398" w:lineRule="exact"/>
        <w:ind w:left="457"/>
        <w:rPr>
          <w:rFonts w:ascii="宋体" w:hAnsi="宋体" w:eastAsia="宋体" w:cs="宋体"/>
          <w:sz w:val="21"/>
          <w:szCs w:val="21"/>
        </w:rPr>
      </w:pPr>
      <w:r>
        <w:rPr>
          <w:rFonts w:ascii="宋体" w:hAnsi="宋体" w:eastAsia="宋体" w:cs="宋体"/>
          <w:spacing w:val="7"/>
          <w:position w:val="14"/>
          <w:sz w:val="21"/>
          <w:szCs w:val="21"/>
        </w:rPr>
        <w:t>因承包人原因造成工期延误，在工期延误期间出现法律变化的，</w:t>
      </w:r>
      <w:r>
        <w:rPr>
          <w:rFonts w:ascii="宋体" w:hAnsi="宋体" w:eastAsia="宋体" w:cs="宋体"/>
          <w:spacing w:val="-57"/>
          <w:position w:val="14"/>
          <w:sz w:val="21"/>
          <w:szCs w:val="21"/>
        </w:rPr>
        <w:t xml:space="preserve"> </w:t>
      </w:r>
      <w:r>
        <w:rPr>
          <w:rFonts w:ascii="宋体" w:hAnsi="宋体" w:eastAsia="宋体" w:cs="宋体"/>
          <w:spacing w:val="7"/>
          <w:position w:val="14"/>
          <w:sz w:val="21"/>
          <w:szCs w:val="21"/>
        </w:rPr>
        <w:t>由此增加的费用和</w:t>
      </w:r>
    </w:p>
    <w:p w14:paraId="1A3EE4AF">
      <w:pPr>
        <w:spacing w:before="1" w:line="220" w:lineRule="auto"/>
        <w:ind w:left="24"/>
        <w:rPr>
          <w:rFonts w:ascii="宋体" w:hAnsi="宋体" w:eastAsia="宋体" w:cs="宋体"/>
          <w:sz w:val="21"/>
          <w:szCs w:val="21"/>
        </w:rPr>
      </w:pPr>
      <w:r>
        <w:rPr>
          <w:rFonts w:ascii="宋体" w:hAnsi="宋体" w:eastAsia="宋体" w:cs="宋体"/>
          <w:spacing w:val="-2"/>
          <w:sz w:val="21"/>
          <w:szCs w:val="21"/>
        </w:rPr>
        <w:t>（或）延误的工期由承包人承担。</w:t>
      </w:r>
    </w:p>
    <w:p w14:paraId="660734AD">
      <w:pPr>
        <w:spacing w:before="173" w:line="526" w:lineRule="exact"/>
        <w:ind w:left="39"/>
        <w:rPr>
          <w:rFonts w:ascii="黑体" w:hAnsi="黑体" w:eastAsia="黑体" w:cs="黑体"/>
          <w:sz w:val="32"/>
          <w:szCs w:val="32"/>
        </w:rPr>
      </w:pPr>
      <w:r>
        <w:rPr>
          <w:rFonts w:ascii="黑体" w:hAnsi="黑体" w:eastAsia="黑体" w:cs="黑体"/>
          <w:spacing w:val="-2"/>
          <w:position w:val="15"/>
          <w:sz w:val="32"/>
          <w:szCs w:val="32"/>
        </w:rPr>
        <w:t>12.合同价格、计量与支付</w:t>
      </w:r>
    </w:p>
    <w:p w14:paraId="01B802FB">
      <w:pPr>
        <w:spacing w:before="2" w:line="218" w:lineRule="auto"/>
        <w:ind w:left="31"/>
        <w:rPr>
          <w:rFonts w:ascii="黑体" w:hAnsi="黑体" w:eastAsia="黑体" w:cs="黑体"/>
          <w:sz w:val="24"/>
          <w:szCs w:val="24"/>
        </w:rPr>
      </w:pPr>
      <w:r>
        <w:rPr>
          <w:rFonts w:ascii="黑体" w:hAnsi="黑体" w:eastAsia="黑体" w:cs="黑体"/>
          <w:spacing w:val="-2"/>
          <w:sz w:val="24"/>
          <w:szCs w:val="24"/>
        </w:rPr>
        <w:t>12.1 合同价格形式</w:t>
      </w:r>
    </w:p>
    <w:p w14:paraId="264EDFB6">
      <w:pPr>
        <w:spacing w:before="129" w:line="403" w:lineRule="exact"/>
        <w:ind w:left="444"/>
        <w:rPr>
          <w:rFonts w:ascii="宋体" w:hAnsi="宋体" w:eastAsia="宋体" w:cs="宋体"/>
          <w:sz w:val="21"/>
          <w:szCs w:val="21"/>
        </w:rPr>
      </w:pPr>
      <w:r>
        <w:rPr>
          <w:rFonts w:ascii="宋体" w:hAnsi="宋体" w:eastAsia="宋体" w:cs="宋体"/>
          <w:spacing w:val="-2"/>
          <w:position w:val="14"/>
          <w:sz w:val="21"/>
          <w:szCs w:val="21"/>
        </w:rPr>
        <w:t>发包人和承包人应在合同协议书中选择下列一种合同价格形式：</w:t>
      </w:r>
    </w:p>
    <w:p w14:paraId="5740B87F">
      <w:pPr>
        <w:spacing w:line="219" w:lineRule="auto"/>
        <w:ind w:left="457"/>
        <w:rPr>
          <w:rFonts w:ascii="宋体" w:hAnsi="宋体" w:eastAsia="宋体" w:cs="宋体"/>
          <w:sz w:val="21"/>
          <w:szCs w:val="21"/>
        </w:rPr>
      </w:pPr>
      <w:r>
        <w:rPr>
          <w:rFonts w:ascii="Times New Roman" w:hAnsi="Times New Roman" w:eastAsia="Times New Roman" w:cs="Times New Roman"/>
          <w:spacing w:val="-3"/>
          <w:sz w:val="21"/>
          <w:szCs w:val="21"/>
        </w:rPr>
        <w:t>1.</w:t>
      </w:r>
      <w:r>
        <w:rPr>
          <w:rFonts w:ascii="宋体" w:hAnsi="宋体" w:eastAsia="宋体" w:cs="宋体"/>
          <w:spacing w:val="-3"/>
          <w:sz w:val="21"/>
          <w:szCs w:val="21"/>
        </w:rPr>
        <w:t>单价合同</w:t>
      </w:r>
    </w:p>
    <w:p w14:paraId="509323F2">
      <w:pPr>
        <w:spacing w:before="151" w:line="351" w:lineRule="auto"/>
        <w:ind w:left="18" w:right="3" w:firstLine="424"/>
        <w:rPr>
          <w:rFonts w:ascii="宋体" w:hAnsi="宋体" w:eastAsia="宋体" w:cs="宋体"/>
          <w:sz w:val="21"/>
          <w:szCs w:val="21"/>
        </w:rPr>
      </w:pPr>
      <w:r>
        <w:rPr>
          <w:rFonts w:ascii="宋体" w:hAnsi="宋体" w:eastAsia="宋体" w:cs="宋体"/>
          <w:spacing w:val="3"/>
          <w:sz w:val="21"/>
          <w:szCs w:val="21"/>
        </w:rPr>
        <w:t>单价合同是指合同当事人约定以工程量清单及其</w:t>
      </w:r>
      <w:r>
        <w:rPr>
          <w:rFonts w:ascii="宋体" w:hAnsi="宋体" w:eastAsia="宋体" w:cs="宋体"/>
          <w:spacing w:val="2"/>
          <w:sz w:val="21"/>
          <w:szCs w:val="21"/>
        </w:rPr>
        <w:t xml:space="preserve">综合单价进行合同价格计算、调整和  </w:t>
      </w:r>
      <w:r>
        <w:rPr>
          <w:rFonts w:ascii="宋体" w:hAnsi="宋体" w:eastAsia="宋体" w:cs="宋体"/>
          <w:spacing w:val="3"/>
          <w:sz w:val="21"/>
          <w:szCs w:val="21"/>
        </w:rPr>
        <w:t>确认的建设工程施工合同，在约定的范围内合同</w:t>
      </w:r>
      <w:r>
        <w:rPr>
          <w:rFonts w:ascii="宋体" w:hAnsi="宋体" w:eastAsia="宋体" w:cs="宋体"/>
          <w:spacing w:val="2"/>
          <w:sz w:val="21"/>
          <w:szCs w:val="21"/>
        </w:rPr>
        <w:t xml:space="preserve">单价不作调整。合同当事人应在专用合同  </w:t>
      </w:r>
      <w:r>
        <w:rPr>
          <w:rFonts w:ascii="宋体" w:hAnsi="宋体" w:eastAsia="宋体" w:cs="宋体"/>
          <w:spacing w:val="3"/>
          <w:sz w:val="21"/>
          <w:szCs w:val="21"/>
        </w:rPr>
        <w:t>条款中约定综合单价包含的风险范围和风险费用</w:t>
      </w:r>
      <w:r>
        <w:rPr>
          <w:rFonts w:ascii="宋体" w:hAnsi="宋体" w:eastAsia="宋体" w:cs="宋体"/>
          <w:spacing w:val="2"/>
          <w:sz w:val="21"/>
          <w:szCs w:val="21"/>
        </w:rPr>
        <w:t xml:space="preserve">的计算方法，并约定风险范围以外的合同  </w:t>
      </w:r>
      <w:r>
        <w:rPr>
          <w:rFonts w:ascii="宋体" w:hAnsi="宋体" w:eastAsia="宋体" w:cs="宋体"/>
          <w:spacing w:val="-2"/>
          <w:sz w:val="21"/>
          <w:szCs w:val="21"/>
        </w:rPr>
        <w:t xml:space="preserve">价格的调整方法，其中因市场价格波动引起的调整按第 </w:t>
      </w:r>
      <w:r>
        <w:rPr>
          <w:rFonts w:ascii="Times New Roman" w:hAnsi="Times New Roman" w:eastAsia="Times New Roman" w:cs="Times New Roman"/>
          <w:spacing w:val="-2"/>
          <w:sz w:val="21"/>
          <w:szCs w:val="21"/>
        </w:rPr>
        <w:t xml:space="preserve">11.1  </w:t>
      </w:r>
      <w:r>
        <w:rPr>
          <w:rFonts w:ascii="宋体" w:hAnsi="宋体" w:eastAsia="宋体" w:cs="宋体"/>
          <w:spacing w:val="-2"/>
          <w:sz w:val="21"/>
          <w:szCs w:val="21"/>
        </w:rPr>
        <w:t>款〔市场价格波动引起的调整〕</w:t>
      </w:r>
    </w:p>
    <w:p w14:paraId="23533CFD">
      <w:pPr>
        <w:spacing w:line="220" w:lineRule="auto"/>
        <w:ind w:left="23"/>
        <w:rPr>
          <w:rFonts w:ascii="宋体" w:hAnsi="宋体" w:eastAsia="宋体" w:cs="宋体"/>
          <w:sz w:val="21"/>
          <w:szCs w:val="21"/>
        </w:rPr>
      </w:pPr>
      <w:r>
        <w:rPr>
          <w:rFonts w:ascii="宋体" w:hAnsi="宋体" w:eastAsia="宋体" w:cs="宋体"/>
          <w:spacing w:val="-7"/>
          <w:sz w:val="21"/>
          <w:szCs w:val="21"/>
        </w:rPr>
        <w:t>约定执行。</w:t>
      </w:r>
    </w:p>
    <w:p w14:paraId="25F2BB5C">
      <w:pPr>
        <w:spacing w:before="153" w:line="219" w:lineRule="auto"/>
        <w:ind w:left="437"/>
        <w:rPr>
          <w:rFonts w:ascii="宋体" w:hAnsi="宋体" w:eastAsia="宋体" w:cs="宋体"/>
          <w:sz w:val="21"/>
          <w:szCs w:val="21"/>
        </w:rPr>
      </w:pPr>
      <w:r>
        <w:rPr>
          <w:rFonts w:ascii="Times New Roman" w:hAnsi="Times New Roman" w:eastAsia="Times New Roman" w:cs="Times New Roman"/>
          <w:sz w:val="21"/>
          <w:szCs w:val="21"/>
        </w:rPr>
        <w:t>2.</w:t>
      </w:r>
      <w:r>
        <w:rPr>
          <w:rFonts w:ascii="宋体" w:hAnsi="宋体" w:eastAsia="宋体" w:cs="宋体"/>
          <w:sz w:val="21"/>
          <w:szCs w:val="21"/>
        </w:rPr>
        <w:t>总价合同</w:t>
      </w:r>
    </w:p>
    <w:p w14:paraId="4DAA10D0">
      <w:pPr>
        <w:spacing w:before="151" w:line="351" w:lineRule="auto"/>
        <w:ind w:left="19" w:right="179" w:firstLine="427"/>
        <w:rPr>
          <w:rFonts w:ascii="宋体" w:hAnsi="宋体" w:eastAsia="宋体" w:cs="宋体"/>
          <w:sz w:val="21"/>
          <w:szCs w:val="21"/>
        </w:rPr>
      </w:pPr>
      <w:r>
        <w:rPr>
          <w:rFonts w:ascii="宋体" w:hAnsi="宋体" w:eastAsia="宋体" w:cs="宋体"/>
          <w:spacing w:val="3"/>
          <w:sz w:val="21"/>
          <w:szCs w:val="21"/>
        </w:rPr>
        <w:t>总价合同是指合同当事人约定以施工图、已标价工程量清单或预算书及有关条</w:t>
      </w:r>
      <w:r>
        <w:rPr>
          <w:rFonts w:ascii="宋体" w:hAnsi="宋体" w:eastAsia="宋体" w:cs="宋体"/>
          <w:spacing w:val="2"/>
          <w:sz w:val="21"/>
          <w:szCs w:val="21"/>
        </w:rPr>
        <w:t>件进行</w:t>
      </w:r>
      <w:r>
        <w:rPr>
          <w:rFonts w:ascii="宋体" w:hAnsi="宋体" w:eastAsia="宋体" w:cs="宋体"/>
          <w:sz w:val="21"/>
          <w:szCs w:val="21"/>
        </w:rPr>
        <w:t xml:space="preserve"> </w:t>
      </w:r>
      <w:r>
        <w:rPr>
          <w:rFonts w:ascii="宋体" w:hAnsi="宋体" w:eastAsia="宋体" w:cs="宋体"/>
          <w:spacing w:val="3"/>
          <w:sz w:val="21"/>
          <w:szCs w:val="21"/>
        </w:rPr>
        <w:t>合同价格计算、调整和确认的建设工程施工合同，在约定的范围内合同总价</w:t>
      </w:r>
      <w:r>
        <w:rPr>
          <w:rFonts w:ascii="宋体" w:hAnsi="宋体" w:eastAsia="宋体" w:cs="宋体"/>
          <w:spacing w:val="2"/>
          <w:sz w:val="21"/>
          <w:szCs w:val="21"/>
        </w:rPr>
        <w:t>不作调整。合</w:t>
      </w:r>
      <w:r>
        <w:rPr>
          <w:rFonts w:ascii="宋体" w:hAnsi="宋体" w:eastAsia="宋体" w:cs="宋体"/>
          <w:sz w:val="21"/>
          <w:szCs w:val="21"/>
        </w:rPr>
        <w:t xml:space="preserve"> </w:t>
      </w:r>
      <w:r>
        <w:rPr>
          <w:rFonts w:ascii="宋体" w:hAnsi="宋体" w:eastAsia="宋体" w:cs="宋体"/>
          <w:spacing w:val="3"/>
          <w:sz w:val="21"/>
          <w:szCs w:val="21"/>
        </w:rPr>
        <w:t>同当事人应在专用合同条款中约定总价包含的风险范围和风险费用的计算方</w:t>
      </w:r>
      <w:r>
        <w:rPr>
          <w:rFonts w:ascii="宋体" w:hAnsi="宋体" w:eastAsia="宋体" w:cs="宋体"/>
          <w:spacing w:val="2"/>
          <w:sz w:val="21"/>
          <w:szCs w:val="21"/>
        </w:rPr>
        <w:t>法，并约定风</w:t>
      </w:r>
      <w:r>
        <w:rPr>
          <w:rFonts w:ascii="宋体" w:hAnsi="宋体" w:eastAsia="宋体" w:cs="宋体"/>
          <w:sz w:val="21"/>
          <w:szCs w:val="21"/>
        </w:rPr>
        <w:t xml:space="preserve"> 险范围以外的合同价格的调整方法，其中因市</w:t>
      </w:r>
      <w:r>
        <w:rPr>
          <w:rFonts w:ascii="宋体" w:hAnsi="宋体" w:eastAsia="宋体" w:cs="宋体"/>
          <w:spacing w:val="-1"/>
          <w:sz w:val="21"/>
          <w:szCs w:val="21"/>
        </w:rPr>
        <w:t xml:space="preserve">场价格波动引起的调整按第 </w:t>
      </w:r>
      <w:r>
        <w:rPr>
          <w:rFonts w:ascii="Times New Roman" w:hAnsi="Times New Roman" w:eastAsia="Times New Roman" w:cs="Times New Roman"/>
          <w:spacing w:val="-1"/>
          <w:sz w:val="21"/>
          <w:szCs w:val="21"/>
        </w:rPr>
        <w:t>11.1</w:t>
      </w:r>
      <w:r>
        <w:rPr>
          <w:rFonts w:ascii="Times New Roman" w:hAnsi="Times New Roman" w:eastAsia="Times New Roman" w:cs="Times New Roman"/>
          <w:spacing w:val="33"/>
          <w:w w:val="101"/>
          <w:sz w:val="21"/>
          <w:szCs w:val="21"/>
        </w:rPr>
        <w:t xml:space="preserve"> </w:t>
      </w:r>
      <w:r>
        <w:rPr>
          <w:rFonts w:ascii="宋体" w:hAnsi="宋体" w:eastAsia="宋体" w:cs="宋体"/>
          <w:spacing w:val="-1"/>
          <w:sz w:val="21"/>
          <w:szCs w:val="21"/>
        </w:rPr>
        <w:t>款〔市场价</w:t>
      </w:r>
    </w:p>
    <w:p w14:paraId="69231ABE">
      <w:pPr>
        <w:spacing w:before="1" w:line="220" w:lineRule="auto"/>
        <w:jc w:val="right"/>
        <w:rPr>
          <w:rFonts w:ascii="宋体" w:hAnsi="宋体" w:eastAsia="宋体" w:cs="宋体"/>
          <w:sz w:val="21"/>
          <w:szCs w:val="21"/>
        </w:rPr>
      </w:pPr>
      <w:r>
        <w:rPr>
          <w:rFonts w:ascii="宋体" w:hAnsi="宋体" w:eastAsia="宋体" w:cs="宋体"/>
          <w:spacing w:val="-4"/>
          <w:sz w:val="21"/>
          <w:szCs w:val="21"/>
        </w:rPr>
        <w:t>格波动引起的调整〕、因法律变化引起的调整按第</w:t>
      </w:r>
      <w:r>
        <w:rPr>
          <w:rFonts w:ascii="宋体" w:hAnsi="宋体" w:eastAsia="宋体" w:cs="宋体"/>
          <w:spacing w:val="-36"/>
          <w:sz w:val="21"/>
          <w:szCs w:val="21"/>
        </w:rPr>
        <w:t xml:space="preserve"> </w:t>
      </w:r>
      <w:r>
        <w:rPr>
          <w:rFonts w:ascii="Times New Roman" w:hAnsi="Times New Roman" w:eastAsia="Times New Roman" w:cs="Times New Roman"/>
          <w:spacing w:val="-4"/>
          <w:sz w:val="21"/>
          <w:szCs w:val="21"/>
        </w:rPr>
        <w:t>11.2</w:t>
      </w:r>
      <w:r>
        <w:rPr>
          <w:rFonts w:ascii="Times New Roman" w:hAnsi="Times New Roman" w:eastAsia="Times New Roman" w:cs="Times New Roman"/>
          <w:spacing w:val="-10"/>
          <w:sz w:val="21"/>
          <w:szCs w:val="21"/>
        </w:rPr>
        <w:t xml:space="preserve"> </w:t>
      </w:r>
      <w:r>
        <w:rPr>
          <w:rFonts w:ascii="宋体" w:hAnsi="宋体" w:eastAsia="宋体" w:cs="宋体"/>
          <w:spacing w:val="-4"/>
          <w:sz w:val="21"/>
          <w:szCs w:val="21"/>
        </w:rPr>
        <w:t>款〔法律变化引</w:t>
      </w:r>
      <w:r>
        <w:rPr>
          <w:rFonts w:ascii="宋体" w:hAnsi="宋体" w:eastAsia="宋体" w:cs="宋体"/>
          <w:spacing w:val="-5"/>
          <w:sz w:val="21"/>
          <w:szCs w:val="21"/>
        </w:rPr>
        <w:t>起的调整〕约定执行。</w:t>
      </w:r>
    </w:p>
    <w:p w14:paraId="487A0B6F">
      <w:pPr>
        <w:spacing w:before="153" w:line="219" w:lineRule="auto"/>
        <w:ind w:left="441"/>
        <w:rPr>
          <w:rFonts w:ascii="宋体" w:hAnsi="宋体" w:eastAsia="宋体" w:cs="宋体"/>
          <w:sz w:val="21"/>
          <w:szCs w:val="21"/>
        </w:rPr>
      </w:pPr>
      <w:r>
        <w:rPr>
          <w:rFonts w:ascii="Times New Roman" w:hAnsi="Times New Roman" w:eastAsia="Times New Roman" w:cs="Times New Roman"/>
          <w:spacing w:val="-1"/>
          <w:sz w:val="21"/>
          <w:szCs w:val="21"/>
        </w:rPr>
        <w:t>3.</w:t>
      </w:r>
      <w:r>
        <w:rPr>
          <w:rFonts w:ascii="宋体" w:hAnsi="宋体" w:eastAsia="宋体" w:cs="宋体"/>
          <w:spacing w:val="-1"/>
          <w:sz w:val="21"/>
          <w:szCs w:val="21"/>
        </w:rPr>
        <w:t>其它价格形式</w:t>
      </w:r>
    </w:p>
    <w:p w14:paraId="3118FC59">
      <w:pPr>
        <w:spacing w:before="149" w:line="219" w:lineRule="auto"/>
        <w:ind w:left="442"/>
        <w:rPr>
          <w:rFonts w:ascii="宋体" w:hAnsi="宋体" w:eastAsia="宋体" w:cs="宋体"/>
          <w:sz w:val="21"/>
          <w:szCs w:val="21"/>
        </w:rPr>
      </w:pPr>
      <w:r>
        <w:rPr>
          <w:rFonts w:ascii="宋体" w:hAnsi="宋体" w:eastAsia="宋体" w:cs="宋体"/>
          <w:spacing w:val="-1"/>
          <w:sz w:val="21"/>
          <w:szCs w:val="21"/>
        </w:rPr>
        <w:t>合同当事人可在专用合同条款中约定其他合同价格形式。</w:t>
      </w:r>
    </w:p>
    <w:p w14:paraId="0BE33B74">
      <w:pPr>
        <w:spacing w:before="47" w:line="219" w:lineRule="auto"/>
        <w:ind w:left="31"/>
        <w:rPr>
          <w:rFonts w:ascii="黑体" w:hAnsi="黑体" w:eastAsia="黑体" w:cs="黑体"/>
          <w:sz w:val="24"/>
          <w:szCs w:val="24"/>
        </w:rPr>
      </w:pPr>
      <w:r>
        <w:rPr>
          <w:rFonts w:ascii="黑体" w:hAnsi="黑体" w:eastAsia="黑体" w:cs="黑体"/>
          <w:spacing w:val="-5"/>
          <w:sz w:val="24"/>
          <w:szCs w:val="24"/>
        </w:rPr>
        <w:t>12.2</w:t>
      </w:r>
      <w:r>
        <w:rPr>
          <w:rFonts w:ascii="黑体" w:hAnsi="黑体" w:eastAsia="黑体" w:cs="黑体"/>
          <w:spacing w:val="-46"/>
          <w:sz w:val="24"/>
          <w:szCs w:val="24"/>
        </w:rPr>
        <w:t xml:space="preserve"> </w:t>
      </w:r>
      <w:r>
        <w:rPr>
          <w:rFonts w:ascii="黑体" w:hAnsi="黑体" w:eastAsia="黑体" w:cs="黑体"/>
          <w:spacing w:val="-5"/>
          <w:sz w:val="24"/>
          <w:szCs w:val="24"/>
        </w:rPr>
        <w:t>预付款</w:t>
      </w:r>
    </w:p>
    <w:p w14:paraId="1BB9B65C">
      <w:pPr>
        <w:spacing w:before="129" w:line="221" w:lineRule="auto"/>
        <w:ind w:left="457"/>
        <w:rPr>
          <w:rFonts w:ascii="宋体" w:hAnsi="宋体" w:eastAsia="宋体" w:cs="宋体"/>
          <w:sz w:val="21"/>
          <w:szCs w:val="21"/>
        </w:rPr>
      </w:pPr>
      <w:r>
        <w:rPr>
          <w:rFonts w:ascii="Times New Roman" w:hAnsi="Times New Roman" w:eastAsia="Times New Roman" w:cs="Times New Roman"/>
          <w:spacing w:val="-3"/>
          <w:sz w:val="21"/>
          <w:szCs w:val="21"/>
        </w:rPr>
        <w:t xml:space="preserve">12.2.1 </w:t>
      </w:r>
      <w:r>
        <w:rPr>
          <w:rFonts w:ascii="宋体" w:hAnsi="宋体" w:eastAsia="宋体" w:cs="宋体"/>
          <w:spacing w:val="-3"/>
          <w:sz w:val="21"/>
          <w:szCs w:val="21"/>
        </w:rPr>
        <w:t>预付款的支付</w:t>
      </w:r>
    </w:p>
    <w:p w14:paraId="4EAB505B">
      <w:pPr>
        <w:spacing w:before="153" w:line="350" w:lineRule="auto"/>
        <w:ind w:left="21" w:right="179" w:firstLine="421"/>
        <w:jc w:val="both"/>
        <w:rPr>
          <w:rFonts w:ascii="宋体" w:hAnsi="宋体" w:eastAsia="宋体" w:cs="宋体"/>
          <w:sz w:val="21"/>
          <w:szCs w:val="21"/>
        </w:rPr>
      </w:pPr>
      <w:r>
        <w:rPr>
          <w:rFonts w:ascii="宋体" w:hAnsi="宋体" w:eastAsia="宋体" w:cs="宋体"/>
          <w:sz w:val="21"/>
          <w:szCs w:val="21"/>
        </w:rPr>
        <w:t xml:space="preserve">预付款的支付按照专用合同条款约定执行，但至迟应在开工通知载明的开工日期 </w:t>
      </w:r>
      <w:r>
        <w:rPr>
          <w:rFonts w:ascii="Times New Roman" w:hAnsi="Times New Roman" w:eastAsia="Times New Roman" w:cs="Times New Roman"/>
          <w:sz w:val="21"/>
          <w:szCs w:val="21"/>
        </w:rPr>
        <w:t xml:space="preserve">7  </w:t>
      </w:r>
      <w:r>
        <w:rPr>
          <w:rFonts w:ascii="宋体" w:hAnsi="宋体" w:eastAsia="宋体" w:cs="宋体"/>
          <w:sz w:val="21"/>
          <w:szCs w:val="21"/>
        </w:rPr>
        <w:t>天</w:t>
      </w:r>
      <w:r>
        <w:rPr>
          <w:rFonts w:ascii="宋体" w:hAnsi="宋体" w:eastAsia="宋体" w:cs="宋体"/>
          <w:spacing w:val="8"/>
          <w:sz w:val="21"/>
          <w:szCs w:val="21"/>
        </w:rPr>
        <w:t xml:space="preserve"> </w:t>
      </w:r>
      <w:r>
        <w:rPr>
          <w:rFonts w:ascii="宋体" w:hAnsi="宋体" w:eastAsia="宋体" w:cs="宋体"/>
          <w:spacing w:val="3"/>
          <w:sz w:val="21"/>
          <w:szCs w:val="21"/>
        </w:rPr>
        <w:t>前支付。预付款应当用于材料、工程设备、施工设备的采购及修建临</w:t>
      </w:r>
      <w:r>
        <w:rPr>
          <w:rFonts w:ascii="宋体" w:hAnsi="宋体" w:eastAsia="宋体" w:cs="宋体"/>
          <w:spacing w:val="2"/>
          <w:sz w:val="21"/>
          <w:szCs w:val="21"/>
        </w:rPr>
        <w:t>时工程、组织施工队</w:t>
      </w:r>
    </w:p>
    <w:p w14:paraId="6665E51F">
      <w:pPr>
        <w:spacing w:before="1" w:line="220" w:lineRule="auto"/>
        <w:ind w:left="17"/>
        <w:rPr>
          <w:rFonts w:ascii="宋体" w:hAnsi="宋体" w:eastAsia="宋体" w:cs="宋体"/>
          <w:sz w:val="21"/>
          <w:szCs w:val="21"/>
        </w:rPr>
      </w:pPr>
      <w:r>
        <w:rPr>
          <w:rFonts w:ascii="宋体" w:hAnsi="宋体" w:eastAsia="宋体" w:cs="宋体"/>
          <w:spacing w:val="-6"/>
          <w:sz w:val="21"/>
          <w:szCs w:val="21"/>
        </w:rPr>
        <w:t>伍进场等。</w:t>
      </w:r>
    </w:p>
    <w:p w14:paraId="4FD22D55">
      <w:pPr>
        <w:spacing w:before="152" w:line="220" w:lineRule="auto"/>
        <w:ind w:left="453"/>
        <w:rPr>
          <w:rFonts w:ascii="宋体" w:hAnsi="宋体" w:eastAsia="宋体" w:cs="宋体"/>
          <w:sz w:val="21"/>
          <w:szCs w:val="21"/>
        </w:rPr>
      </w:pPr>
      <w:r>
        <w:rPr>
          <w:rFonts w:ascii="宋体" w:hAnsi="宋体" w:eastAsia="宋体" w:cs="宋体"/>
          <w:spacing w:val="3"/>
          <w:sz w:val="21"/>
          <w:szCs w:val="21"/>
        </w:rPr>
        <w:t>除专用合同条款另有约定外，预付款在进度付款中同比例扣回</w:t>
      </w:r>
      <w:r>
        <w:rPr>
          <w:rFonts w:ascii="宋体" w:hAnsi="宋体" w:eastAsia="宋体" w:cs="宋体"/>
          <w:spacing w:val="2"/>
          <w:sz w:val="21"/>
          <w:szCs w:val="21"/>
        </w:rPr>
        <w:t>。在颁发工程接收证书</w:t>
      </w:r>
    </w:p>
    <w:p w14:paraId="71B7A5A3">
      <w:pPr>
        <w:spacing w:line="220" w:lineRule="auto"/>
        <w:rPr>
          <w:rFonts w:ascii="宋体" w:hAnsi="宋体" w:eastAsia="宋体" w:cs="宋体"/>
          <w:sz w:val="21"/>
          <w:szCs w:val="21"/>
        </w:rPr>
        <w:sectPr>
          <w:footerReference r:id="rId120" w:type="default"/>
          <w:pgSz w:w="11905" w:h="16839"/>
          <w:pgMar w:top="1431" w:right="1611" w:bottom="1004" w:left="1785" w:header="0" w:footer="828" w:gutter="0"/>
          <w:pgNumType w:fmt="decimal"/>
          <w:cols w:space="720" w:num="1"/>
        </w:sectPr>
      </w:pPr>
    </w:p>
    <w:p w14:paraId="2908D3DB">
      <w:pPr>
        <w:spacing w:before="149" w:line="219" w:lineRule="auto"/>
        <w:ind w:left="21"/>
        <w:rPr>
          <w:rFonts w:ascii="宋体" w:hAnsi="宋体" w:eastAsia="宋体" w:cs="宋体"/>
          <w:sz w:val="21"/>
          <w:szCs w:val="21"/>
        </w:rPr>
      </w:pPr>
      <w:r>
        <w:rPr>
          <w:rFonts w:ascii="宋体" w:hAnsi="宋体" w:eastAsia="宋体" w:cs="宋体"/>
          <w:sz w:val="21"/>
          <w:szCs w:val="21"/>
        </w:rPr>
        <w:t>前，提前解除合同的，尚未扣完的预付款应与</w:t>
      </w:r>
      <w:r>
        <w:rPr>
          <w:rFonts w:ascii="宋体" w:hAnsi="宋体" w:eastAsia="宋体" w:cs="宋体"/>
          <w:spacing w:val="-1"/>
          <w:sz w:val="21"/>
          <w:szCs w:val="21"/>
        </w:rPr>
        <w:t>合同价款一并结算。</w:t>
      </w:r>
    </w:p>
    <w:p w14:paraId="592D01A5">
      <w:pPr>
        <w:spacing w:before="148" w:line="353" w:lineRule="auto"/>
        <w:ind w:left="21" w:right="155" w:firstLine="422"/>
        <w:rPr>
          <w:rFonts w:ascii="宋体" w:hAnsi="宋体" w:eastAsia="宋体" w:cs="宋体"/>
          <w:sz w:val="21"/>
          <w:szCs w:val="21"/>
        </w:rPr>
      </w:pPr>
      <w:r>
        <w:rPr>
          <w:rFonts w:ascii="宋体" w:hAnsi="宋体" w:eastAsia="宋体" w:cs="宋体"/>
          <w:spacing w:val="-1"/>
          <w:sz w:val="21"/>
          <w:szCs w:val="21"/>
        </w:rPr>
        <w:t xml:space="preserve">发包人逾期支付预付款超过 </w:t>
      </w:r>
      <w:r>
        <w:rPr>
          <w:rFonts w:ascii="Times New Roman" w:hAnsi="Times New Roman" w:eastAsia="Times New Roman" w:cs="Times New Roman"/>
          <w:spacing w:val="-1"/>
          <w:sz w:val="21"/>
          <w:szCs w:val="21"/>
        </w:rPr>
        <w:t xml:space="preserve">7  </w:t>
      </w:r>
      <w:r>
        <w:rPr>
          <w:rFonts w:ascii="宋体" w:hAnsi="宋体" w:eastAsia="宋体" w:cs="宋体"/>
          <w:spacing w:val="-1"/>
          <w:sz w:val="21"/>
          <w:szCs w:val="21"/>
        </w:rPr>
        <w:t>天的，承包人有权向发包人发出要求预付的催告通知，</w:t>
      </w:r>
      <w:r>
        <w:rPr>
          <w:rFonts w:ascii="宋体" w:hAnsi="宋体" w:eastAsia="宋体" w:cs="宋体"/>
          <w:spacing w:val="1"/>
          <w:sz w:val="21"/>
          <w:szCs w:val="21"/>
        </w:rPr>
        <w:t xml:space="preserve"> </w:t>
      </w:r>
      <w:r>
        <w:rPr>
          <w:rFonts w:ascii="宋体" w:hAnsi="宋体" w:eastAsia="宋体" w:cs="宋体"/>
          <w:spacing w:val="-1"/>
          <w:sz w:val="21"/>
          <w:szCs w:val="21"/>
        </w:rPr>
        <w:t xml:space="preserve">发包人收到通知后 </w:t>
      </w:r>
      <w:r>
        <w:rPr>
          <w:rFonts w:ascii="Times New Roman" w:hAnsi="Times New Roman" w:eastAsia="Times New Roman" w:cs="Times New Roman"/>
          <w:spacing w:val="-1"/>
          <w:sz w:val="21"/>
          <w:szCs w:val="21"/>
        </w:rPr>
        <w:t>7</w:t>
      </w:r>
      <w:r>
        <w:rPr>
          <w:rFonts w:ascii="Times New Roman" w:hAnsi="Times New Roman" w:eastAsia="Times New Roman" w:cs="Times New Roman"/>
          <w:spacing w:val="31"/>
          <w:w w:val="101"/>
          <w:sz w:val="21"/>
          <w:szCs w:val="21"/>
        </w:rPr>
        <w:t xml:space="preserve"> </w:t>
      </w:r>
      <w:r>
        <w:rPr>
          <w:rFonts w:ascii="宋体" w:hAnsi="宋体" w:eastAsia="宋体" w:cs="宋体"/>
          <w:spacing w:val="-1"/>
          <w:sz w:val="21"/>
          <w:szCs w:val="21"/>
        </w:rPr>
        <w:t xml:space="preserve">天内仍未支付的，承包人有权暂停施工，并按第 </w:t>
      </w:r>
      <w:r>
        <w:rPr>
          <w:rFonts w:ascii="Times New Roman" w:hAnsi="Times New Roman" w:eastAsia="Times New Roman" w:cs="Times New Roman"/>
          <w:spacing w:val="-1"/>
          <w:sz w:val="21"/>
          <w:szCs w:val="21"/>
        </w:rPr>
        <w:t>16.1.1</w:t>
      </w:r>
      <w:r>
        <w:rPr>
          <w:rFonts w:ascii="Times New Roman" w:hAnsi="Times New Roman" w:eastAsia="Times New Roman" w:cs="Times New Roman"/>
          <w:spacing w:val="31"/>
          <w:w w:val="101"/>
          <w:sz w:val="21"/>
          <w:szCs w:val="21"/>
        </w:rPr>
        <w:t xml:space="preserve"> </w:t>
      </w:r>
      <w:r>
        <w:rPr>
          <w:rFonts w:ascii="宋体" w:hAnsi="宋体" w:eastAsia="宋体" w:cs="宋体"/>
          <w:spacing w:val="-1"/>
          <w:sz w:val="21"/>
          <w:szCs w:val="21"/>
        </w:rPr>
        <w:t>项</w:t>
      </w:r>
      <w:r>
        <w:rPr>
          <w:rFonts w:ascii="宋体" w:hAnsi="宋体" w:eastAsia="宋体" w:cs="宋体"/>
          <w:spacing w:val="-2"/>
          <w:sz w:val="21"/>
          <w:szCs w:val="21"/>
        </w:rPr>
        <w:t>〔发包人违</w:t>
      </w:r>
    </w:p>
    <w:p w14:paraId="34711425">
      <w:pPr>
        <w:spacing w:line="220" w:lineRule="auto"/>
        <w:ind w:left="23"/>
        <w:rPr>
          <w:rFonts w:ascii="宋体" w:hAnsi="宋体" w:eastAsia="宋体" w:cs="宋体"/>
          <w:sz w:val="21"/>
          <w:szCs w:val="21"/>
        </w:rPr>
      </w:pPr>
      <w:r>
        <w:rPr>
          <w:rFonts w:ascii="宋体" w:hAnsi="宋体" w:eastAsia="宋体" w:cs="宋体"/>
          <w:spacing w:val="-4"/>
          <w:sz w:val="21"/>
          <w:szCs w:val="21"/>
        </w:rPr>
        <w:t>约的情形〕执行。</w:t>
      </w:r>
    </w:p>
    <w:p w14:paraId="07CEC480">
      <w:pPr>
        <w:spacing w:before="147" w:line="221" w:lineRule="auto"/>
        <w:ind w:left="457"/>
        <w:rPr>
          <w:rFonts w:ascii="宋体" w:hAnsi="宋体" w:eastAsia="宋体" w:cs="宋体"/>
          <w:sz w:val="21"/>
          <w:szCs w:val="21"/>
        </w:rPr>
      </w:pPr>
      <w:r>
        <w:rPr>
          <w:rFonts w:ascii="Times New Roman" w:hAnsi="Times New Roman" w:eastAsia="Times New Roman" w:cs="Times New Roman"/>
          <w:spacing w:val="-2"/>
          <w:sz w:val="21"/>
          <w:szCs w:val="21"/>
        </w:rPr>
        <w:t xml:space="preserve">12.2.2 </w:t>
      </w:r>
      <w:r>
        <w:rPr>
          <w:rFonts w:ascii="宋体" w:hAnsi="宋体" w:eastAsia="宋体" w:cs="宋体"/>
          <w:spacing w:val="-2"/>
          <w:sz w:val="21"/>
          <w:szCs w:val="21"/>
        </w:rPr>
        <w:t>预付款担保</w:t>
      </w:r>
    </w:p>
    <w:p w14:paraId="043E974C">
      <w:pPr>
        <w:spacing w:before="151" w:line="352" w:lineRule="auto"/>
        <w:ind w:left="19" w:firstLine="425"/>
        <w:rPr>
          <w:rFonts w:ascii="宋体" w:hAnsi="宋体" w:eastAsia="宋体" w:cs="宋体"/>
          <w:sz w:val="21"/>
          <w:szCs w:val="21"/>
        </w:rPr>
      </w:pPr>
      <w:r>
        <w:rPr>
          <w:rFonts w:ascii="宋体" w:hAnsi="宋体" w:eastAsia="宋体" w:cs="宋体"/>
          <w:spacing w:val="-1"/>
          <w:sz w:val="21"/>
          <w:szCs w:val="21"/>
        </w:rPr>
        <w:t xml:space="preserve">发包人要求承包人提供预付款担保的，承包人应在发包人支付预付款 </w:t>
      </w:r>
      <w:r>
        <w:rPr>
          <w:rFonts w:ascii="Times New Roman" w:hAnsi="Times New Roman" w:eastAsia="Times New Roman" w:cs="Times New Roman"/>
          <w:spacing w:val="-1"/>
          <w:sz w:val="21"/>
          <w:szCs w:val="21"/>
        </w:rPr>
        <w:t xml:space="preserve">7  </w:t>
      </w:r>
      <w:r>
        <w:rPr>
          <w:rFonts w:ascii="宋体" w:hAnsi="宋体" w:eastAsia="宋体" w:cs="宋体"/>
          <w:spacing w:val="-1"/>
          <w:sz w:val="21"/>
          <w:szCs w:val="21"/>
        </w:rPr>
        <w:t xml:space="preserve">天前提供预付  </w:t>
      </w:r>
      <w:r>
        <w:rPr>
          <w:rFonts w:ascii="宋体" w:hAnsi="宋体" w:eastAsia="宋体" w:cs="宋体"/>
          <w:spacing w:val="2"/>
          <w:sz w:val="21"/>
          <w:szCs w:val="21"/>
        </w:rPr>
        <w:t>款担保，专用合同条款另有约定除外。预付款担保可采用银行</w:t>
      </w:r>
      <w:r>
        <w:rPr>
          <w:rFonts w:ascii="宋体" w:hAnsi="宋体" w:eastAsia="宋体" w:cs="宋体"/>
          <w:spacing w:val="1"/>
          <w:sz w:val="21"/>
          <w:szCs w:val="21"/>
        </w:rPr>
        <w:t>保函、担保公司担保等形式，</w:t>
      </w:r>
      <w:r>
        <w:rPr>
          <w:rFonts w:ascii="宋体" w:hAnsi="宋体" w:eastAsia="宋体" w:cs="宋体"/>
          <w:sz w:val="21"/>
          <w:szCs w:val="21"/>
        </w:rPr>
        <w:t xml:space="preserve"> </w:t>
      </w:r>
      <w:r>
        <w:rPr>
          <w:rFonts w:ascii="宋体" w:hAnsi="宋体" w:eastAsia="宋体" w:cs="宋体"/>
          <w:spacing w:val="3"/>
          <w:sz w:val="21"/>
          <w:szCs w:val="21"/>
        </w:rPr>
        <w:t>具体由合同当事人在专用合同条款中约定。在预付款完全扣回之前，承包人</w:t>
      </w:r>
      <w:r>
        <w:rPr>
          <w:rFonts w:ascii="宋体" w:hAnsi="宋体" w:eastAsia="宋体" w:cs="宋体"/>
          <w:spacing w:val="2"/>
          <w:sz w:val="21"/>
          <w:szCs w:val="21"/>
        </w:rPr>
        <w:t>应保证预付款</w:t>
      </w:r>
    </w:p>
    <w:p w14:paraId="269E6B8E">
      <w:pPr>
        <w:spacing w:line="220" w:lineRule="auto"/>
        <w:ind w:left="19"/>
        <w:rPr>
          <w:rFonts w:ascii="宋体" w:hAnsi="宋体" w:eastAsia="宋体" w:cs="宋体"/>
          <w:sz w:val="21"/>
          <w:szCs w:val="21"/>
        </w:rPr>
      </w:pPr>
      <w:r>
        <w:rPr>
          <w:rFonts w:ascii="宋体" w:hAnsi="宋体" w:eastAsia="宋体" w:cs="宋体"/>
          <w:spacing w:val="-3"/>
          <w:sz w:val="21"/>
          <w:szCs w:val="21"/>
        </w:rPr>
        <w:t>担保持续有效。</w:t>
      </w:r>
    </w:p>
    <w:p w14:paraId="65E28208">
      <w:pPr>
        <w:spacing w:before="147" w:line="221" w:lineRule="auto"/>
        <w:ind w:left="444"/>
        <w:rPr>
          <w:rFonts w:ascii="宋体" w:hAnsi="宋体" w:eastAsia="宋体" w:cs="宋体"/>
          <w:sz w:val="21"/>
          <w:szCs w:val="21"/>
        </w:rPr>
      </w:pPr>
      <w:r>
        <w:rPr>
          <w:rFonts w:ascii="宋体" w:hAnsi="宋体" w:eastAsia="宋体" w:cs="宋体"/>
          <w:sz w:val="21"/>
          <w:szCs w:val="21"/>
        </w:rPr>
        <w:t>发包人在工程款中逐期扣回预付款后，预付款担保额度应相应减少， 但剩余的预付款</w:t>
      </w:r>
    </w:p>
    <w:p w14:paraId="618D5D98">
      <w:pPr>
        <w:spacing w:before="147" w:line="221" w:lineRule="auto"/>
        <w:ind w:left="19"/>
        <w:rPr>
          <w:rFonts w:ascii="宋体" w:hAnsi="宋体" w:eastAsia="宋体" w:cs="宋体"/>
          <w:sz w:val="21"/>
          <w:szCs w:val="21"/>
        </w:rPr>
      </w:pPr>
      <w:r>
        <w:rPr>
          <w:rFonts w:ascii="宋体" w:hAnsi="宋体" w:eastAsia="宋体" w:cs="宋体"/>
          <w:spacing w:val="-2"/>
          <w:sz w:val="21"/>
          <w:szCs w:val="21"/>
        </w:rPr>
        <w:t>担保金额不得低于未被扣回的预付款金额。</w:t>
      </w:r>
    </w:p>
    <w:p w14:paraId="6B6DD9C9">
      <w:pPr>
        <w:spacing w:before="51" w:line="222" w:lineRule="auto"/>
        <w:ind w:left="31"/>
        <w:rPr>
          <w:rFonts w:ascii="黑体" w:hAnsi="黑体" w:eastAsia="黑体" w:cs="黑体"/>
          <w:sz w:val="24"/>
          <w:szCs w:val="24"/>
        </w:rPr>
      </w:pPr>
      <w:r>
        <w:rPr>
          <w:rFonts w:ascii="黑体" w:hAnsi="黑体" w:eastAsia="黑体" w:cs="黑体"/>
          <w:spacing w:val="-5"/>
          <w:sz w:val="24"/>
          <w:szCs w:val="24"/>
        </w:rPr>
        <w:t>12.3</w:t>
      </w:r>
      <w:r>
        <w:rPr>
          <w:rFonts w:ascii="黑体" w:hAnsi="黑体" w:eastAsia="黑体" w:cs="黑体"/>
          <w:spacing w:val="-50"/>
          <w:sz w:val="24"/>
          <w:szCs w:val="24"/>
        </w:rPr>
        <w:t xml:space="preserve"> </w:t>
      </w:r>
      <w:r>
        <w:rPr>
          <w:rFonts w:ascii="黑体" w:hAnsi="黑体" w:eastAsia="黑体" w:cs="黑体"/>
          <w:spacing w:val="-5"/>
          <w:sz w:val="24"/>
          <w:szCs w:val="24"/>
        </w:rPr>
        <w:t>计量</w:t>
      </w:r>
    </w:p>
    <w:p w14:paraId="21C41DD4">
      <w:pPr>
        <w:spacing w:before="126" w:line="221" w:lineRule="auto"/>
        <w:ind w:left="457"/>
        <w:rPr>
          <w:rFonts w:ascii="宋体" w:hAnsi="宋体" w:eastAsia="宋体" w:cs="宋体"/>
          <w:sz w:val="21"/>
          <w:szCs w:val="21"/>
        </w:rPr>
      </w:pPr>
      <w:r>
        <w:rPr>
          <w:rFonts w:ascii="Times New Roman" w:hAnsi="Times New Roman" w:eastAsia="Times New Roman" w:cs="Times New Roman"/>
          <w:spacing w:val="-2"/>
          <w:sz w:val="21"/>
          <w:szCs w:val="21"/>
        </w:rPr>
        <w:t xml:space="preserve">12.3.1 </w:t>
      </w:r>
      <w:r>
        <w:rPr>
          <w:rFonts w:ascii="宋体" w:hAnsi="宋体" w:eastAsia="宋体" w:cs="宋体"/>
          <w:spacing w:val="-2"/>
          <w:sz w:val="21"/>
          <w:szCs w:val="21"/>
        </w:rPr>
        <w:t>计量原则</w:t>
      </w:r>
    </w:p>
    <w:p w14:paraId="53FA4096">
      <w:pPr>
        <w:spacing w:before="146" w:line="399" w:lineRule="exact"/>
        <w:ind w:left="443"/>
        <w:rPr>
          <w:rFonts w:ascii="宋体" w:hAnsi="宋体" w:eastAsia="宋体" w:cs="宋体"/>
          <w:sz w:val="21"/>
          <w:szCs w:val="21"/>
        </w:rPr>
      </w:pPr>
      <w:r>
        <w:rPr>
          <w:rFonts w:ascii="宋体" w:hAnsi="宋体" w:eastAsia="宋体" w:cs="宋体"/>
          <w:spacing w:val="3"/>
          <w:position w:val="14"/>
          <w:sz w:val="21"/>
          <w:szCs w:val="21"/>
        </w:rPr>
        <w:t>工程量计量按照合同约定的工程量计算规则、图纸及变更指示等进行计量。工程量计</w:t>
      </w:r>
    </w:p>
    <w:p w14:paraId="1D04CB06">
      <w:pPr>
        <w:spacing w:before="1" w:line="219" w:lineRule="auto"/>
        <w:ind w:left="20"/>
        <w:rPr>
          <w:rFonts w:ascii="宋体" w:hAnsi="宋体" w:eastAsia="宋体" w:cs="宋体"/>
          <w:sz w:val="21"/>
          <w:szCs w:val="21"/>
        </w:rPr>
      </w:pPr>
      <w:r>
        <w:rPr>
          <w:rFonts w:ascii="宋体" w:hAnsi="宋体" w:eastAsia="宋体" w:cs="宋体"/>
          <w:spacing w:val="-1"/>
          <w:sz w:val="21"/>
          <w:szCs w:val="21"/>
        </w:rPr>
        <w:t>算规则应以相关的国家标准、行业标准等为依据，由合同当事人在专用合同条款中约定。</w:t>
      </w:r>
    </w:p>
    <w:p w14:paraId="14BFB5D0">
      <w:pPr>
        <w:spacing w:before="153" w:line="221" w:lineRule="auto"/>
        <w:ind w:left="457"/>
        <w:rPr>
          <w:rFonts w:ascii="宋体" w:hAnsi="宋体" w:eastAsia="宋体" w:cs="宋体"/>
          <w:sz w:val="21"/>
          <w:szCs w:val="21"/>
        </w:rPr>
      </w:pPr>
      <w:r>
        <w:rPr>
          <w:rFonts w:ascii="Times New Roman" w:hAnsi="Times New Roman" w:eastAsia="Times New Roman" w:cs="Times New Roman"/>
          <w:spacing w:val="-2"/>
          <w:sz w:val="21"/>
          <w:szCs w:val="21"/>
        </w:rPr>
        <w:t xml:space="preserve">12.3.2 </w:t>
      </w:r>
      <w:r>
        <w:rPr>
          <w:rFonts w:ascii="宋体" w:hAnsi="宋体" w:eastAsia="宋体" w:cs="宋体"/>
          <w:spacing w:val="-2"/>
          <w:sz w:val="21"/>
          <w:szCs w:val="21"/>
        </w:rPr>
        <w:t>计量周期</w:t>
      </w:r>
    </w:p>
    <w:p w14:paraId="23A6537E">
      <w:pPr>
        <w:spacing w:before="147" w:line="221" w:lineRule="auto"/>
        <w:ind w:left="453"/>
        <w:rPr>
          <w:rFonts w:ascii="宋体" w:hAnsi="宋体" w:eastAsia="宋体" w:cs="宋体"/>
          <w:sz w:val="21"/>
          <w:szCs w:val="21"/>
        </w:rPr>
      </w:pPr>
      <w:r>
        <w:rPr>
          <w:rFonts w:ascii="宋体" w:hAnsi="宋体" w:eastAsia="宋体" w:cs="宋体"/>
          <w:spacing w:val="-5"/>
          <w:sz w:val="21"/>
          <w:szCs w:val="21"/>
        </w:rPr>
        <w:t>除专用合同条款另有约定外， 工程量的计量按月进行。</w:t>
      </w:r>
    </w:p>
    <w:p w14:paraId="342AC52A">
      <w:pPr>
        <w:spacing w:before="147" w:line="219" w:lineRule="auto"/>
        <w:ind w:left="457"/>
        <w:rPr>
          <w:rFonts w:ascii="宋体" w:hAnsi="宋体" w:eastAsia="宋体" w:cs="宋体"/>
          <w:sz w:val="21"/>
          <w:szCs w:val="21"/>
        </w:rPr>
      </w:pPr>
      <w:r>
        <w:rPr>
          <w:rFonts w:ascii="Times New Roman" w:hAnsi="Times New Roman" w:eastAsia="Times New Roman" w:cs="Times New Roman"/>
          <w:spacing w:val="-2"/>
          <w:sz w:val="21"/>
          <w:szCs w:val="21"/>
        </w:rPr>
        <w:t xml:space="preserve">12.3.3 </w:t>
      </w:r>
      <w:r>
        <w:rPr>
          <w:rFonts w:ascii="宋体" w:hAnsi="宋体" w:eastAsia="宋体" w:cs="宋体"/>
          <w:spacing w:val="-2"/>
          <w:sz w:val="21"/>
          <w:szCs w:val="21"/>
        </w:rPr>
        <w:t>单价合同的计量</w:t>
      </w:r>
    </w:p>
    <w:p w14:paraId="2E8E6364">
      <w:pPr>
        <w:spacing w:before="155" w:line="219" w:lineRule="auto"/>
        <w:ind w:left="453"/>
        <w:rPr>
          <w:rFonts w:ascii="宋体" w:hAnsi="宋体" w:eastAsia="宋体" w:cs="宋体"/>
          <w:sz w:val="21"/>
          <w:szCs w:val="21"/>
        </w:rPr>
      </w:pPr>
      <w:r>
        <w:rPr>
          <w:rFonts w:ascii="宋体" w:hAnsi="宋体" w:eastAsia="宋体" w:cs="宋体"/>
          <w:spacing w:val="-4"/>
          <w:sz w:val="21"/>
          <w:szCs w:val="21"/>
        </w:rPr>
        <w:t>除专用合同条款另有约定外， 单价合同的计量按照本项约定</w:t>
      </w:r>
      <w:r>
        <w:rPr>
          <w:rFonts w:ascii="宋体" w:hAnsi="宋体" w:eastAsia="宋体" w:cs="宋体"/>
          <w:spacing w:val="-5"/>
          <w:sz w:val="21"/>
          <w:szCs w:val="21"/>
        </w:rPr>
        <w:t>执行：</w:t>
      </w:r>
    </w:p>
    <w:p w14:paraId="04A5C92F">
      <w:pPr>
        <w:spacing w:before="149" w:line="398" w:lineRule="exact"/>
        <w:ind w:left="447"/>
        <w:rPr>
          <w:rFonts w:ascii="宋体" w:hAnsi="宋体" w:eastAsia="宋体" w:cs="宋体"/>
          <w:sz w:val="21"/>
          <w:szCs w:val="21"/>
        </w:rPr>
      </w:pPr>
      <w:r>
        <w:rPr>
          <w:rFonts w:ascii="宋体" w:hAnsi="宋体" w:eastAsia="宋体" w:cs="宋体"/>
          <w:spacing w:val="-5"/>
          <w:position w:val="14"/>
          <w:sz w:val="21"/>
          <w:szCs w:val="21"/>
        </w:rPr>
        <w:t>（</w:t>
      </w:r>
      <w:r>
        <w:rPr>
          <w:rFonts w:ascii="Times New Roman" w:hAnsi="Times New Roman" w:eastAsia="Times New Roman" w:cs="Times New Roman"/>
          <w:spacing w:val="-5"/>
          <w:position w:val="14"/>
          <w:sz w:val="21"/>
          <w:szCs w:val="21"/>
        </w:rPr>
        <w:t>1</w:t>
      </w:r>
      <w:r>
        <w:rPr>
          <w:rFonts w:ascii="宋体" w:hAnsi="宋体" w:eastAsia="宋体" w:cs="宋体"/>
          <w:spacing w:val="-5"/>
          <w:position w:val="14"/>
          <w:sz w:val="21"/>
          <w:szCs w:val="21"/>
        </w:rPr>
        <w:t>）承包人应于每月</w:t>
      </w:r>
      <w:r>
        <w:rPr>
          <w:rFonts w:ascii="宋体" w:hAnsi="宋体" w:eastAsia="宋体" w:cs="宋体"/>
          <w:spacing w:val="-57"/>
          <w:position w:val="14"/>
          <w:sz w:val="21"/>
          <w:szCs w:val="21"/>
        </w:rPr>
        <w:t xml:space="preserve"> </w:t>
      </w:r>
      <w:r>
        <w:rPr>
          <w:rFonts w:ascii="Times New Roman" w:hAnsi="Times New Roman" w:eastAsia="Times New Roman" w:cs="Times New Roman"/>
          <w:spacing w:val="-5"/>
          <w:position w:val="14"/>
          <w:sz w:val="21"/>
          <w:szCs w:val="21"/>
        </w:rPr>
        <w:t>25</w:t>
      </w:r>
      <w:r>
        <w:rPr>
          <w:rFonts w:ascii="Times New Roman" w:hAnsi="Times New Roman" w:eastAsia="Times New Roman" w:cs="Times New Roman"/>
          <w:spacing w:val="26"/>
          <w:position w:val="14"/>
          <w:sz w:val="21"/>
          <w:szCs w:val="21"/>
        </w:rPr>
        <w:t xml:space="preserve"> </w:t>
      </w:r>
      <w:r>
        <w:rPr>
          <w:rFonts w:ascii="宋体" w:hAnsi="宋体" w:eastAsia="宋体" w:cs="宋体"/>
          <w:spacing w:val="-5"/>
          <w:position w:val="14"/>
          <w:sz w:val="21"/>
          <w:szCs w:val="21"/>
        </w:rPr>
        <w:t>日向监理人报送上月</w:t>
      </w:r>
      <w:r>
        <w:rPr>
          <w:rFonts w:ascii="宋体" w:hAnsi="宋体" w:eastAsia="宋体" w:cs="宋体"/>
          <w:spacing w:val="-62"/>
          <w:position w:val="14"/>
          <w:sz w:val="21"/>
          <w:szCs w:val="21"/>
        </w:rPr>
        <w:t xml:space="preserve"> </w:t>
      </w:r>
      <w:r>
        <w:rPr>
          <w:rFonts w:ascii="Times New Roman" w:hAnsi="Times New Roman" w:eastAsia="Times New Roman" w:cs="Times New Roman"/>
          <w:spacing w:val="-5"/>
          <w:position w:val="14"/>
          <w:sz w:val="21"/>
          <w:szCs w:val="21"/>
        </w:rPr>
        <w:t>20</w:t>
      </w:r>
      <w:r>
        <w:rPr>
          <w:rFonts w:ascii="Times New Roman" w:hAnsi="Times New Roman" w:eastAsia="Times New Roman" w:cs="Times New Roman"/>
          <w:spacing w:val="25"/>
          <w:w w:val="101"/>
          <w:position w:val="14"/>
          <w:sz w:val="21"/>
          <w:szCs w:val="21"/>
        </w:rPr>
        <w:t xml:space="preserve"> </w:t>
      </w:r>
      <w:r>
        <w:rPr>
          <w:rFonts w:ascii="宋体" w:hAnsi="宋体" w:eastAsia="宋体" w:cs="宋体"/>
          <w:spacing w:val="-5"/>
          <w:position w:val="14"/>
          <w:sz w:val="21"/>
          <w:szCs w:val="21"/>
        </w:rPr>
        <w:t>日至当月</w:t>
      </w:r>
      <w:r>
        <w:rPr>
          <w:rFonts w:ascii="宋体" w:hAnsi="宋体" w:eastAsia="宋体" w:cs="宋体"/>
          <w:spacing w:val="-37"/>
          <w:position w:val="14"/>
          <w:sz w:val="21"/>
          <w:szCs w:val="21"/>
        </w:rPr>
        <w:t xml:space="preserve"> </w:t>
      </w:r>
      <w:r>
        <w:rPr>
          <w:rFonts w:ascii="Times New Roman" w:hAnsi="Times New Roman" w:eastAsia="Times New Roman" w:cs="Times New Roman"/>
          <w:spacing w:val="-5"/>
          <w:position w:val="14"/>
          <w:sz w:val="21"/>
          <w:szCs w:val="21"/>
        </w:rPr>
        <w:t>19</w:t>
      </w:r>
      <w:r>
        <w:rPr>
          <w:rFonts w:ascii="Times New Roman" w:hAnsi="Times New Roman" w:eastAsia="Times New Roman" w:cs="Times New Roman"/>
          <w:spacing w:val="26"/>
          <w:position w:val="14"/>
          <w:sz w:val="21"/>
          <w:szCs w:val="21"/>
        </w:rPr>
        <w:t xml:space="preserve"> </w:t>
      </w:r>
      <w:r>
        <w:rPr>
          <w:rFonts w:ascii="宋体" w:hAnsi="宋体" w:eastAsia="宋体" w:cs="宋体"/>
          <w:spacing w:val="-5"/>
          <w:position w:val="14"/>
          <w:sz w:val="21"/>
          <w:szCs w:val="21"/>
        </w:rPr>
        <w:t>日已完成的工程量报告，</w:t>
      </w:r>
    </w:p>
    <w:p w14:paraId="0EBE2ED9">
      <w:pPr>
        <w:spacing w:before="1" w:line="219" w:lineRule="auto"/>
        <w:ind w:left="23"/>
        <w:rPr>
          <w:rFonts w:ascii="宋体" w:hAnsi="宋体" w:eastAsia="宋体" w:cs="宋体"/>
          <w:sz w:val="21"/>
          <w:szCs w:val="21"/>
        </w:rPr>
      </w:pPr>
      <w:r>
        <w:rPr>
          <w:rFonts w:ascii="宋体" w:hAnsi="宋体" w:eastAsia="宋体" w:cs="宋体"/>
          <w:spacing w:val="-1"/>
          <w:sz w:val="21"/>
          <w:szCs w:val="21"/>
        </w:rPr>
        <w:t>并附具进度付款申请单、已完成工程量报表和有关</w:t>
      </w:r>
      <w:r>
        <w:rPr>
          <w:rFonts w:ascii="宋体" w:hAnsi="宋体" w:eastAsia="宋体" w:cs="宋体"/>
          <w:spacing w:val="-2"/>
          <w:sz w:val="21"/>
          <w:szCs w:val="21"/>
        </w:rPr>
        <w:t>资料。</w:t>
      </w:r>
    </w:p>
    <w:p w14:paraId="646FA4E8">
      <w:pPr>
        <w:spacing w:before="155" w:line="351" w:lineRule="auto"/>
        <w:ind w:left="17" w:right="156" w:firstLine="430"/>
        <w:rPr>
          <w:rFonts w:ascii="宋体" w:hAnsi="宋体" w:eastAsia="宋体" w:cs="宋体"/>
          <w:sz w:val="21"/>
          <w:szCs w:val="21"/>
        </w:rPr>
      </w:pPr>
      <w:r>
        <w:rPr>
          <w:rFonts w:ascii="宋体" w:hAnsi="宋体" w:eastAsia="宋体" w:cs="宋体"/>
          <w:sz w:val="21"/>
          <w:szCs w:val="21"/>
        </w:rPr>
        <w:t>（</w:t>
      </w:r>
      <w:r>
        <w:rPr>
          <w:rFonts w:ascii="Times New Roman" w:hAnsi="Times New Roman" w:eastAsia="Times New Roman" w:cs="Times New Roman"/>
          <w:sz w:val="21"/>
          <w:szCs w:val="21"/>
        </w:rPr>
        <w:t>2</w:t>
      </w:r>
      <w:r>
        <w:rPr>
          <w:rFonts w:ascii="宋体" w:hAnsi="宋体" w:eastAsia="宋体" w:cs="宋体"/>
          <w:sz w:val="21"/>
          <w:szCs w:val="21"/>
        </w:rPr>
        <w:t>）监理人应在收到承包人提交的工程量报告</w:t>
      </w:r>
      <w:r>
        <w:rPr>
          <w:rFonts w:ascii="宋体" w:hAnsi="宋体" w:eastAsia="宋体" w:cs="宋体"/>
          <w:spacing w:val="-1"/>
          <w:sz w:val="21"/>
          <w:szCs w:val="21"/>
        </w:rPr>
        <w:t>后</w:t>
      </w:r>
      <w:r>
        <w:rPr>
          <w:rFonts w:ascii="宋体" w:hAnsi="宋体" w:eastAsia="宋体" w:cs="宋体"/>
          <w:spacing w:val="-28"/>
          <w:sz w:val="21"/>
          <w:szCs w:val="21"/>
        </w:rPr>
        <w:t xml:space="preserve"> </w:t>
      </w:r>
      <w:r>
        <w:rPr>
          <w:rFonts w:ascii="Times New Roman" w:hAnsi="Times New Roman" w:eastAsia="Times New Roman" w:cs="Times New Roman"/>
          <w:spacing w:val="-1"/>
          <w:sz w:val="21"/>
          <w:szCs w:val="21"/>
        </w:rPr>
        <w:t xml:space="preserve">7 </w:t>
      </w:r>
      <w:r>
        <w:rPr>
          <w:rFonts w:ascii="宋体" w:hAnsi="宋体" w:eastAsia="宋体" w:cs="宋体"/>
          <w:spacing w:val="-1"/>
          <w:sz w:val="21"/>
          <w:szCs w:val="21"/>
        </w:rPr>
        <w:t>天内完成对承包人提交的工程量报</w:t>
      </w:r>
      <w:r>
        <w:rPr>
          <w:rFonts w:ascii="宋体" w:hAnsi="宋体" w:eastAsia="宋体" w:cs="宋体"/>
          <w:sz w:val="21"/>
          <w:szCs w:val="21"/>
        </w:rPr>
        <w:t xml:space="preserve"> </w:t>
      </w:r>
      <w:r>
        <w:rPr>
          <w:rFonts w:ascii="宋体" w:hAnsi="宋体" w:eastAsia="宋体" w:cs="宋体"/>
          <w:spacing w:val="3"/>
          <w:sz w:val="21"/>
          <w:szCs w:val="21"/>
        </w:rPr>
        <w:t>表的审核并报送发包人，以确定当月实际完成的工程量。监理人对工程量有异</w:t>
      </w:r>
      <w:r>
        <w:rPr>
          <w:rFonts w:ascii="宋体" w:hAnsi="宋体" w:eastAsia="宋体" w:cs="宋体"/>
          <w:spacing w:val="2"/>
          <w:sz w:val="21"/>
          <w:szCs w:val="21"/>
        </w:rPr>
        <w:t>议的，有权</w:t>
      </w:r>
      <w:r>
        <w:rPr>
          <w:rFonts w:ascii="宋体" w:hAnsi="宋体" w:eastAsia="宋体" w:cs="宋体"/>
          <w:sz w:val="21"/>
          <w:szCs w:val="21"/>
        </w:rPr>
        <w:t xml:space="preserve"> 要求承包人进行共同复核或抽样复测。承包人应协助监理人进行复核或抽样复测， 并按监</w:t>
      </w:r>
      <w:r>
        <w:rPr>
          <w:rFonts w:ascii="宋体" w:hAnsi="宋体" w:eastAsia="宋体" w:cs="宋体"/>
          <w:spacing w:val="7"/>
          <w:sz w:val="21"/>
          <w:szCs w:val="21"/>
        </w:rPr>
        <w:t xml:space="preserve"> </w:t>
      </w:r>
      <w:r>
        <w:rPr>
          <w:rFonts w:ascii="宋体" w:hAnsi="宋体" w:eastAsia="宋体" w:cs="宋体"/>
          <w:spacing w:val="3"/>
          <w:sz w:val="21"/>
          <w:szCs w:val="21"/>
        </w:rPr>
        <w:t>理人要求提供补充计量资料。承包人未按监理人要求参加复核或抽样复测的，</w:t>
      </w:r>
      <w:r>
        <w:rPr>
          <w:rFonts w:ascii="宋体" w:hAnsi="宋体" w:eastAsia="宋体" w:cs="宋体"/>
          <w:spacing w:val="2"/>
          <w:sz w:val="21"/>
          <w:szCs w:val="21"/>
        </w:rPr>
        <w:t>监理人复核</w:t>
      </w:r>
    </w:p>
    <w:p w14:paraId="57C1C488">
      <w:pPr>
        <w:spacing w:before="1" w:line="220" w:lineRule="auto"/>
        <w:ind w:left="20"/>
        <w:rPr>
          <w:rFonts w:ascii="宋体" w:hAnsi="宋体" w:eastAsia="宋体" w:cs="宋体"/>
          <w:sz w:val="21"/>
          <w:szCs w:val="21"/>
        </w:rPr>
      </w:pPr>
      <w:r>
        <w:rPr>
          <w:rFonts w:ascii="宋体" w:hAnsi="宋体" w:eastAsia="宋体" w:cs="宋体"/>
          <w:spacing w:val="-2"/>
          <w:sz w:val="21"/>
          <w:szCs w:val="21"/>
        </w:rPr>
        <w:t>或修正的工程量视为承包人实际完成的工程量。</w:t>
      </w:r>
    </w:p>
    <w:p w14:paraId="6CDA3F85">
      <w:pPr>
        <w:spacing w:before="148" w:line="403" w:lineRule="exact"/>
        <w:ind w:left="447"/>
        <w:rPr>
          <w:rFonts w:ascii="宋体" w:hAnsi="宋体" w:eastAsia="宋体" w:cs="宋体"/>
          <w:sz w:val="21"/>
          <w:szCs w:val="21"/>
        </w:rPr>
      </w:pPr>
      <w:r>
        <w:rPr>
          <w:rFonts w:ascii="宋体" w:hAnsi="宋体" w:eastAsia="宋体" w:cs="宋体"/>
          <w:position w:val="14"/>
          <w:sz w:val="21"/>
          <w:szCs w:val="21"/>
        </w:rPr>
        <w:t>（</w:t>
      </w:r>
      <w:r>
        <w:rPr>
          <w:rFonts w:ascii="Times New Roman" w:hAnsi="Times New Roman" w:eastAsia="Times New Roman" w:cs="Times New Roman"/>
          <w:position w:val="14"/>
          <w:sz w:val="21"/>
          <w:szCs w:val="21"/>
        </w:rPr>
        <w:t>3</w:t>
      </w:r>
      <w:r>
        <w:rPr>
          <w:rFonts w:ascii="宋体" w:hAnsi="宋体" w:eastAsia="宋体" w:cs="宋体"/>
          <w:position w:val="14"/>
          <w:sz w:val="21"/>
          <w:szCs w:val="21"/>
        </w:rPr>
        <w:t>）监理人未在收到承包人提交的工程量报表后的</w:t>
      </w:r>
      <w:r>
        <w:rPr>
          <w:rFonts w:ascii="宋体" w:hAnsi="宋体" w:eastAsia="宋体" w:cs="宋体"/>
          <w:spacing w:val="-33"/>
          <w:position w:val="14"/>
          <w:sz w:val="21"/>
          <w:szCs w:val="21"/>
        </w:rPr>
        <w:t xml:space="preserve"> </w:t>
      </w:r>
      <w:r>
        <w:rPr>
          <w:rFonts w:ascii="Times New Roman" w:hAnsi="Times New Roman" w:eastAsia="Times New Roman" w:cs="Times New Roman"/>
          <w:position w:val="14"/>
          <w:sz w:val="21"/>
          <w:szCs w:val="21"/>
        </w:rPr>
        <w:t xml:space="preserve">7 </w:t>
      </w:r>
      <w:r>
        <w:rPr>
          <w:rFonts w:ascii="宋体" w:hAnsi="宋体" w:eastAsia="宋体" w:cs="宋体"/>
          <w:position w:val="14"/>
          <w:sz w:val="21"/>
          <w:szCs w:val="21"/>
        </w:rPr>
        <w:t>天</w:t>
      </w:r>
      <w:r>
        <w:rPr>
          <w:rFonts w:ascii="宋体" w:hAnsi="宋体" w:eastAsia="宋体" w:cs="宋体"/>
          <w:spacing w:val="-1"/>
          <w:position w:val="14"/>
          <w:sz w:val="21"/>
          <w:szCs w:val="21"/>
        </w:rPr>
        <w:t>内完成审核的，承包人报送的</w:t>
      </w:r>
    </w:p>
    <w:p w14:paraId="3330C286">
      <w:pPr>
        <w:spacing w:line="219" w:lineRule="auto"/>
        <w:ind w:left="20"/>
        <w:rPr>
          <w:rFonts w:ascii="宋体" w:hAnsi="宋体" w:eastAsia="宋体" w:cs="宋体"/>
          <w:sz w:val="21"/>
          <w:szCs w:val="21"/>
        </w:rPr>
      </w:pPr>
      <w:r>
        <w:rPr>
          <w:rFonts w:ascii="宋体" w:hAnsi="宋体" w:eastAsia="宋体" w:cs="宋体"/>
          <w:sz w:val="21"/>
          <w:szCs w:val="21"/>
        </w:rPr>
        <w:t>工程量报告中的工程量视为承包人实际完成的工程量，据</w:t>
      </w:r>
      <w:r>
        <w:rPr>
          <w:rFonts w:ascii="宋体" w:hAnsi="宋体" w:eastAsia="宋体" w:cs="宋体"/>
          <w:spacing w:val="-1"/>
          <w:sz w:val="21"/>
          <w:szCs w:val="21"/>
        </w:rPr>
        <w:t>此计算工程价款。</w:t>
      </w:r>
    </w:p>
    <w:p w14:paraId="02C3C3DE">
      <w:pPr>
        <w:spacing w:before="149" w:line="219" w:lineRule="auto"/>
        <w:ind w:left="457"/>
        <w:rPr>
          <w:rFonts w:ascii="宋体" w:hAnsi="宋体" w:eastAsia="宋体" w:cs="宋体"/>
          <w:sz w:val="21"/>
          <w:szCs w:val="21"/>
        </w:rPr>
      </w:pPr>
      <w:r>
        <w:rPr>
          <w:rFonts w:ascii="Times New Roman" w:hAnsi="Times New Roman" w:eastAsia="Times New Roman" w:cs="Times New Roman"/>
          <w:spacing w:val="-3"/>
          <w:sz w:val="21"/>
          <w:szCs w:val="21"/>
        </w:rPr>
        <w:t>12.3.4</w:t>
      </w:r>
      <w:r>
        <w:rPr>
          <w:rFonts w:ascii="Times New Roman" w:hAnsi="Times New Roman" w:eastAsia="Times New Roman" w:cs="Times New Roman"/>
          <w:spacing w:val="18"/>
          <w:w w:val="101"/>
          <w:sz w:val="21"/>
          <w:szCs w:val="21"/>
        </w:rPr>
        <w:t xml:space="preserve"> </w:t>
      </w:r>
      <w:r>
        <w:rPr>
          <w:rFonts w:ascii="宋体" w:hAnsi="宋体" w:eastAsia="宋体" w:cs="宋体"/>
          <w:spacing w:val="-3"/>
          <w:sz w:val="21"/>
          <w:szCs w:val="21"/>
        </w:rPr>
        <w:t>总价合同的计量</w:t>
      </w:r>
    </w:p>
    <w:p w14:paraId="5A8666D6">
      <w:pPr>
        <w:spacing w:before="150" w:line="219" w:lineRule="auto"/>
        <w:ind w:left="453"/>
        <w:rPr>
          <w:rFonts w:ascii="宋体" w:hAnsi="宋体" w:eastAsia="宋体" w:cs="宋体"/>
          <w:sz w:val="21"/>
          <w:szCs w:val="21"/>
        </w:rPr>
      </w:pPr>
      <w:r>
        <w:rPr>
          <w:rFonts w:ascii="宋体" w:hAnsi="宋体" w:eastAsia="宋体" w:cs="宋体"/>
          <w:spacing w:val="-4"/>
          <w:sz w:val="21"/>
          <w:szCs w:val="21"/>
        </w:rPr>
        <w:t>除专用合同条款另有约定外， 按月计量支付的总价合同，按照</w:t>
      </w:r>
      <w:r>
        <w:rPr>
          <w:rFonts w:ascii="宋体" w:hAnsi="宋体" w:eastAsia="宋体" w:cs="宋体"/>
          <w:spacing w:val="-5"/>
          <w:sz w:val="21"/>
          <w:szCs w:val="21"/>
        </w:rPr>
        <w:t>本项约定执行：</w:t>
      </w:r>
    </w:p>
    <w:p w14:paraId="78905291">
      <w:pPr>
        <w:spacing w:before="154" w:line="398" w:lineRule="exact"/>
        <w:ind w:left="447"/>
        <w:rPr>
          <w:rFonts w:ascii="宋体" w:hAnsi="宋体" w:eastAsia="宋体" w:cs="宋体"/>
          <w:sz w:val="21"/>
          <w:szCs w:val="21"/>
        </w:rPr>
      </w:pPr>
      <w:r>
        <w:rPr>
          <w:rFonts w:ascii="宋体" w:hAnsi="宋体" w:eastAsia="宋体" w:cs="宋体"/>
          <w:spacing w:val="-5"/>
          <w:position w:val="14"/>
          <w:sz w:val="21"/>
          <w:szCs w:val="21"/>
        </w:rPr>
        <w:t>（</w:t>
      </w:r>
      <w:r>
        <w:rPr>
          <w:rFonts w:ascii="Times New Roman" w:hAnsi="Times New Roman" w:eastAsia="Times New Roman" w:cs="Times New Roman"/>
          <w:spacing w:val="-5"/>
          <w:position w:val="14"/>
          <w:sz w:val="21"/>
          <w:szCs w:val="21"/>
        </w:rPr>
        <w:t>1</w:t>
      </w:r>
      <w:r>
        <w:rPr>
          <w:rFonts w:ascii="宋体" w:hAnsi="宋体" w:eastAsia="宋体" w:cs="宋体"/>
          <w:spacing w:val="-5"/>
          <w:position w:val="14"/>
          <w:sz w:val="21"/>
          <w:szCs w:val="21"/>
        </w:rPr>
        <w:t>）承包人应于每月</w:t>
      </w:r>
      <w:r>
        <w:rPr>
          <w:rFonts w:ascii="宋体" w:hAnsi="宋体" w:eastAsia="宋体" w:cs="宋体"/>
          <w:spacing w:val="-57"/>
          <w:position w:val="14"/>
          <w:sz w:val="21"/>
          <w:szCs w:val="21"/>
        </w:rPr>
        <w:t xml:space="preserve"> </w:t>
      </w:r>
      <w:r>
        <w:rPr>
          <w:rFonts w:ascii="Times New Roman" w:hAnsi="Times New Roman" w:eastAsia="Times New Roman" w:cs="Times New Roman"/>
          <w:spacing w:val="-5"/>
          <w:position w:val="14"/>
          <w:sz w:val="21"/>
          <w:szCs w:val="21"/>
        </w:rPr>
        <w:t>25</w:t>
      </w:r>
      <w:r>
        <w:rPr>
          <w:rFonts w:ascii="Times New Roman" w:hAnsi="Times New Roman" w:eastAsia="Times New Roman" w:cs="Times New Roman"/>
          <w:spacing w:val="26"/>
          <w:position w:val="14"/>
          <w:sz w:val="21"/>
          <w:szCs w:val="21"/>
        </w:rPr>
        <w:t xml:space="preserve"> </w:t>
      </w:r>
      <w:r>
        <w:rPr>
          <w:rFonts w:ascii="宋体" w:hAnsi="宋体" w:eastAsia="宋体" w:cs="宋体"/>
          <w:spacing w:val="-5"/>
          <w:position w:val="14"/>
          <w:sz w:val="21"/>
          <w:szCs w:val="21"/>
        </w:rPr>
        <w:t>日向监理人报送上月</w:t>
      </w:r>
      <w:r>
        <w:rPr>
          <w:rFonts w:ascii="宋体" w:hAnsi="宋体" w:eastAsia="宋体" w:cs="宋体"/>
          <w:spacing w:val="-62"/>
          <w:position w:val="14"/>
          <w:sz w:val="21"/>
          <w:szCs w:val="21"/>
        </w:rPr>
        <w:t xml:space="preserve"> </w:t>
      </w:r>
      <w:r>
        <w:rPr>
          <w:rFonts w:ascii="Times New Roman" w:hAnsi="Times New Roman" w:eastAsia="Times New Roman" w:cs="Times New Roman"/>
          <w:spacing w:val="-5"/>
          <w:position w:val="14"/>
          <w:sz w:val="21"/>
          <w:szCs w:val="21"/>
        </w:rPr>
        <w:t>20</w:t>
      </w:r>
      <w:r>
        <w:rPr>
          <w:rFonts w:ascii="Times New Roman" w:hAnsi="Times New Roman" w:eastAsia="Times New Roman" w:cs="Times New Roman"/>
          <w:spacing w:val="25"/>
          <w:w w:val="101"/>
          <w:position w:val="14"/>
          <w:sz w:val="21"/>
          <w:szCs w:val="21"/>
        </w:rPr>
        <w:t xml:space="preserve"> </w:t>
      </w:r>
      <w:r>
        <w:rPr>
          <w:rFonts w:ascii="宋体" w:hAnsi="宋体" w:eastAsia="宋体" w:cs="宋体"/>
          <w:spacing w:val="-5"/>
          <w:position w:val="14"/>
          <w:sz w:val="21"/>
          <w:szCs w:val="21"/>
        </w:rPr>
        <w:t>日至当月</w:t>
      </w:r>
      <w:r>
        <w:rPr>
          <w:rFonts w:ascii="宋体" w:hAnsi="宋体" w:eastAsia="宋体" w:cs="宋体"/>
          <w:spacing w:val="-37"/>
          <w:position w:val="14"/>
          <w:sz w:val="21"/>
          <w:szCs w:val="21"/>
        </w:rPr>
        <w:t xml:space="preserve"> </w:t>
      </w:r>
      <w:r>
        <w:rPr>
          <w:rFonts w:ascii="Times New Roman" w:hAnsi="Times New Roman" w:eastAsia="Times New Roman" w:cs="Times New Roman"/>
          <w:spacing w:val="-5"/>
          <w:position w:val="14"/>
          <w:sz w:val="21"/>
          <w:szCs w:val="21"/>
        </w:rPr>
        <w:t>19</w:t>
      </w:r>
      <w:r>
        <w:rPr>
          <w:rFonts w:ascii="Times New Roman" w:hAnsi="Times New Roman" w:eastAsia="Times New Roman" w:cs="Times New Roman"/>
          <w:spacing w:val="26"/>
          <w:position w:val="14"/>
          <w:sz w:val="21"/>
          <w:szCs w:val="21"/>
        </w:rPr>
        <w:t xml:space="preserve"> </w:t>
      </w:r>
      <w:r>
        <w:rPr>
          <w:rFonts w:ascii="宋体" w:hAnsi="宋体" w:eastAsia="宋体" w:cs="宋体"/>
          <w:spacing w:val="-5"/>
          <w:position w:val="14"/>
          <w:sz w:val="21"/>
          <w:szCs w:val="21"/>
        </w:rPr>
        <w:t>日已完成的工程量报告，</w:t>
      </w:r>
    </w:p>
    <w:p w14:paraId="28527DFB">
      <w:pPr>
        <w:spacing w:before="1" w:line="219" w:lineRule="auto"/>
        <w:ind w:left="23"/>
        <w:rPr>
          <w:rFonts w:ascii="宋体" w:hAnsi="宋体" w:eastAsia="宋体" w:cs="宋体"/>
          <w:sz w:val="21"/>
          <w:szCs w:val="21"/>
        </w:rPr>
      </w:pPr>
      <w:r>
        <w:rPr>
          <w:rFonts w:ascii="宋体" w:hAnsi="宋体" w:eastAsia="宋体" w:cs="宋体"/>
          <w:spacing w:val="-1"/>
          <w:sz w:val="21"/>
          <w:szCs w:val="21"/>
        </w:rPr>
        <w:t>并附具进度付款申请单、已完成工程量报表和有关</w:t>
      </w:r>
      <w:r>
        <w:rPr>
          <w:rFonts w:ascii="宋体" w:hAnsi="宋体" w:eastAsia="宋体" w:cs="宋体"/>
          <w:spacing w:val="-2"/>
          <w:sz w:val="21"/>
          <w:szCs w:val="21"/>
        </w:rPr>
        <w:t>资料。</w:t>
      </w:r>
    </w:p>
    <w:p w14:paraId="74848689">
      <w:pPr>
        <w:spacing w:before="148" w:line="353" w:lineRule="auto"/>
        <w:ind w:left="17" w:right="156" w:firstLine="430"/>
        <w:rPr>
          <w:rFonts w:ascii="宋体" w:hAnsi="宋体" w:eastAsia="宋体" w:cs="宋体"/>
          <w:sz w:val="21"/>
          <w:szCs w:val="21"/>
        </w:rPr>
      </w:pPr>
      <w:r>
        <w:rPr>
          <w:rFonts w:ascii="宋体" w:hAnsi="宋体" w:eastAsia="宋体" w:cs="宋体"/>
          <w:sz w:val="21"/>
          <w:szCs w:val="21"/>
        </w:rPr>
        <w:t>（</w:t>
      </w:r>
      <w:r>
        <w:rPr>
          <w:rFonts w:ascii="Times New Roman" w:hAnsi="Times New Roman" w:eastAsia="Times New Roman" w:cs="Times New Roman"/>
          <w:sz w:val="21"/>
          <w:szCs w:val="21"/>
        </w:rPr>
        <w:t>2</w:t>
      </w:r>
      <w:r>
        <w:rPr>
          <w:rFonts w:ascii="宋体" w:hAnsi="宋体" w:eastAsia="宋体" w:cs="宋体"/>
          <w:sz w:val="21"/>
          <w:szCs w:val="21"/>
        </w:rPr>
        <w:t>）监理人应在收到承包人提交的工程量报告</w:t>
      </w:r>
      <w:r>
        <w:rPr>
          <w:rFonts w:ascii="宋体" w:hAnsi="宋体" w:eastAsia="宋体" w:cs="宋体"/>
          <w:spacing w:val="-1"/>
          <w:sz w:val="21"/>
          <w:szCs w:val="21"/>
        </w:rPr>
        <w:t>后</w:t>
      </w:r>
      <w:r>
        <w:rPr>
          <w:rFonts w:ascii="宋体" w:hAnsi="宋体" w:eastAsia="宋体" w:cs="宋体"/>
          <w:spacing w:val="-28"/>
          <w:sz w:val="21"/>
          <w:szCs w:val="21"/>
        </w:rPr>
        <w:t xml:space="preserve"> </w:t>
      </w:r>
      <w:r>
        <w:rPr>
          <w:rFonts w:ascii="Times New Roman" w:hAnsi="Times New Roman" w:eastAsia="Times New Roman" w:cs="Times New Roman"/>
          <w:spacing w:val="-1"/>
          <w:sz w:val="21"/>
          <w:szCs w:val="21"/>
        </w:rPr>
        <w:t xml:space="preserve">7 </w:t>
      </w:r>
      <w:r>
        <w:rPr>
          <w:rFonts w:ascii="宋体" w:hAnsi="宋体" w:eastAsia="宋体" w:cs="宋体"/>
          <w:spacing w:val="-1"/>
          <w:sz w:val="21"/>
          <w:szCs w:val="21"/>
        </w:rPr>
        <w:t>天内完成对承包人提交的工程量报</w:t>
      </w:r>
      <w:r>
        <w:rPr>
          <w:rFonts w:ascii="宋体" w:hAnsi="宋体" w:eastAsia="宋体" w:cs="宋体"/>
          <w:sz w:val="21"/>
          <w:szCs w:val="21"/>
        </w:rPr>
        <w:t xml:space="preserve"> </w:t>
      </w:r>
      <w:r>
        <w:rPr>
          <w:rFonts w:ascii="宋体" w:hAnsi="宋体" w:eastAsia="宋体" w:cs="宋体"/>
          <w:spacing w:val="3"/>
          <w:sz w:val="21"/>
          <w:szCs w:val="21"/>
        </w:rPr>
        <w:t>表的审核并报送发包人，以确定当月实际完成的工程量。监理人对工程量有异</w:t>
      </w:r>
      <w:r>
        <w:rPr>
          <w:rFonts w:ascii="宋体" w:hAnsi="宋体" w:eastAsia="宋体" w:cs="宋体"/>
          <w:spacing w:val="2"/>
          <w:sz w:val="21"/>
          <w:szCs w:val="21"/>
        </w:rPr>
        <w:t>议的，有权</w:t>
      </w:r>
    </w:p>
    <w:p w14:paraId="553A5448">
      <w:pPr>
        <w:spacing w:line="220" w:lineRule="auto"/>
        <w:ind w:left="19"/>
        <w:rPr>
          <w:rFonts w:ascii="宋体" w:hAnsi="宋体" w:eastAsia="宋体" w:cs="宋体"/>
          <w:sz w:val="21"/>
          <w:szCs w:val="21"/>
        </w:rPr>
      </w:pPr>
      <w:r>
        <w:rPr>
          <w:rFonts w:ascii="宋体" w:hAnsi="宋体" w:eastAsia="宋体" w:cs="宋体"/>
          <w:spacing w:val="3"/>
          <w:sz w:val="21"/>
          <w:szCs w:val="21"/>
        </w:rPr>
        <w:t>要求承包人进行共同复核或抽样复测。承包人应协助监理人进行复核或抽样</w:t>
      </w:r>
      <w:r>
        <w:rPr>
          <w:rFonts w:ascii="宋体" w:hAnsi="宋体" w:eastAsia="宋体" w:cs="宋体"/>
          <w:spacing w:val="2"/>
          <w:sz w:val="21"/>
          <w:szCs w:val="21"/>
        </w:rPr>
        <w:t>复测并按监理</w:t>
      </w:r>
    </w:p>
    <w:p w14:paraId="0D7070A5">
      <w:pPr>
        <w:spacing w:line="220" w:lineRule="auto"/>
        <w:rPr>
          <w:rFonts w:ascii="宋体" w:hAnsi="宋体" w:eastAsia="宋体" w:cs="宋体"/>
          <w:sz w:val="21"/>
          <w:szCs w:val="21"/>
        </w:rPr>
        <w:sectPr>
          <w:footerReference r:id="rId121" w:type="default"/>
          <w:pgSz w:w="11905" w:h="16839"/>
          <w:pgMar w:top="1431" w:right="1631" w:bottom="1004" w:left="1785" w:header="0" w:footer="828" w:gutter="0"/>
          <w:pgNumType w:fmt="decimal"/>
          <w:cols w:space="720" w:num="1"/>
        </w:sectPr>
      </w:pPr>
    </w:p>
    <w:p w14:paraId="6C831CFF">
      <w:pPr>
        <w:spacing w:before="149" w:line="398" w:lineRule="exact"/>
        <w:ind w:left="20"/>
        <w:rPr>
          <w:rFonts w:ascii="宋体" w:hAnsi="宋体" w:eastAsia="宋体" w:cs="宋体"/>
          <w:sz w:val="21"/>
          <w:szCs w:val="21"/>
        </w:rPr>
      </w:pPr>
      <w:r>
        <w:rPr>
          <w:rFonts w:ascii="宋体" w:hAnsi="宋体" w:eastAsia="宋体" w:cs="宋体"/>
          <w:position w:val="14"/>
          <w:sz w:val="21"/>
          <w:szCs w:val="21"/>
        </w:rPr>
        <w:t>人要求提供补充计量资料。承包人未按监理人要求参加复核或抽样复测的， 监理人审核或</w:t>
      </w:r>
    </w:p>
    <w:p w14:paraId="60CEF69B">
      <w:pPr>
        <w:spacing w:line="220" w:lineRule="auto"/>
        <w:ind w:left="18"/>
        <w:rPr>
          <w:rFonts w:ascii="宋体" w:hAnsi="宋体" w:eastAsia="宋体" w:cs="宋体"/>
          <w:sz w:val="21"/>
          <w:szCs w:val="21"/>
        </w:rPr>
      </w:pPr>
      <w:r>
        <w:rPr>
          <w:rFonts w:ascii="宋体" w:hAnsi="宋体" w:eastAsia="宋体" w:cs="宋体"/>
          <w:spacing w:val="-2"/>
          <w:sz w:val="21"/>
          <w:szCs w:val="21"/>
        </w:rPr>
        <w:t>修正的工程量视为承包人实际完成的工程量。</w:t>
      </w:r>
    </w:p>
    <w:p w14:paraId="423640BF">
      <w:pPr>
        <w:spacing w:before="152" w:line="399" w:lineRule="exact"/>
        <w:ind w:right="2"/>
        <w:jc w:val="right"/>
        <w:rPr>
          <w:rFonts w:ascii="宋体" w:hAnsi="宋体" w:eastAsia="宋体" w:cs="宋体"/>
          <w:sz w:val="21"/>
          <w:szCs w:val="21"/>
        </w:rPr>
      </w:pPr>
      <w:r>
        <w:rPr>
          <w:rFonts w:ascii="宋体" w:hAnsi="宋体" w:eastAsia="宋体" w:cs="宋体"/>
          <w:position w:val="14"/>
          <w:sz w:val="21"/>
          <w:szCs w:val="21"/>
        </w:rPr>
        <w:t>（</w:t>
      </w:r>
      <w:r>
        <w:rPr>
          <w:rFonts w:ascii="Times New Roman" w:hAnsi="Times New Roman" w:eastAsia="Times New Roman" w:cs="Times New Roman"/>
          <w:position w:val="14"/>
          <w:sz w:val="21"/>
          <w:szCs w:val="21"/>
        </w:rPr>
        <w:t>3</w:t>
      </w:r>
      <w:r>
        <w:rPr>
          <w:rFonts w:ascii="宋体" w:hAnsi="宋体" w:eastAsia="宋体" w:cs="宋体"/>
          <w:position w:val="14"/>
          <w:sz w:val="21"/>
          <w:szCs w:val="21"/>
        </w:rPr>
        <w:t>）监理人未在收到承包人提交的工程量报表后的</w:t>
      </w:r>
      <w:r>
        <w:rPr>
          <w:rFonts w:ascii="宋体" w:hAnsi="宋体" w:eastAsia="宋体" w:cs="宋体"/>
          <w:spacing w:val="-33"/>
          <w:position w:val="14"/>
          <w:sz w:val="21"/>
          <w:szCs w:val="21"/>
        </w:rPr>
        <w:t xml:space="preserve"> </w:t>
      </w:r>
      <w:r>
        <w:rPr>
          <w:rFonts w:ascii="Times New Roman" w:hAnsi="Times New Roman" w:eastAsia="Times New Roman" w:cs="Times New Roman"/>
          <w:position w:val="14"/>
          <w:sz w:val="21"/>
          <w:szCs w:val="21"/>
        </w:rPr>
        <w:t xml:space="preserve">7 </w:t>
      </w:r>
      <w:r>
        <w:rPr>
          <w:rFonts w:ascii="宋体" w:hAnsi="宋体" w:eastAsia="宋体" w:cs="宋体"/>
          <w:position w:val="14"/>
          <w:sz w:val="21"/>
          <w:szCs w:val="21"/>
        </w:rPr>
        <w:t>天</w:t>
      </w:r>
      <w:r>
        <w:rPr>
          <w:rFonts w:ascii="宋体" w:hAnsi="宋体" w:eastAsia="宋体" w:cs="宋体"/>
          <w:spacing w:val="-1"/>
          <w:position w:val="14"/>
          <w:sz w:val="21"/>
          <w:szCs w:val="21"/>
        </w:rPr>
        <w:t>内完成复核的，承包人提交的</w:t>
      </w:r>
    </w:p>
    <w:p w14:paraId="2C210207">
      <w:pPr>
        <w:spacing w:line="219" w:lineRule="auto"/>
        <w:ind w:left="20"/>
        <w:rPr>
          <w:rFonts w:ascii="宋体" w:hAnsi="宋体" w:eastAsia="宋体" w:cs="宋体"/>
          <w:sz w:val="21"/>
          <w:szCs w:val="21"/>
        </w:rPr>
      </w:pPr>
      <w:r>
        <w:rPr>
          <w:rFonts w:ascii="宋体" w:hAnsi="宋体" w:eastAsia="宋体" w:cs="宋体"/>
          <w:spacing w:val="-1"/>
          <w:sz w:val="21"/>
          <w:szCs w:val="21"/>
        </w:rPr>
        <w:t>工程量报告中的工程量视为承包人实际完成的工程量。</w:t>
      </w:r>
    </w:p>
    <w:p w14:paraId="68780826">
      <w:pPr>
        <w:spacing w:before="149" w:line="403" w:lineRule="exact"/>
        <w:ind w:right="2"/>
        <w:jc w:val="right"/>
        <w:rPr>
          <w:rFonts w:ascii="宋体" w:hAnsi="宋体" w:eastAsia="宋体" w:cs="宋体"/>
          <w:sz w:val="21"/>
          <w:szCs w:val="21"/>
        </w:rPr>
      </w:pPr>
      <w:r>
        <w:rPr>
          <w:rFonts w:ascii="Times New Roman" w:hAnsi="Times New Roman" w:eastAsia="Times New Roman" w:cs="Times New Roman"/>
          <w:spacing w:val="-2"/>
          <w:position w:val="14"/>
          <w:sz w:val="21"/>
          <w:szCs w:val="21"/>
        </w:rPr>
        <w:t xml:space="preserve">12.3.5 </w:t>
      </w:r>
      <w:r>
        <w:rPr>
          <w:rFonts w:ascii="宋体" w:hAnsi="宋体" w:eastAsia="宋体" w:cs="宋体"/>
          <w:spacing w:val="-2"/>
          <w:position w:val="14"/>
          <w:sz w:val="21"/>
          <w:szCs w:val="21"/>
        </w:rPr>
        <w:t>总价合同采用支付分解表计量支付的，可以按照第</w:t>
      </w:r>
      <w:r>
        <w:rPr>
          <w:rFonts w:ascii="宋体" w:hAnsi="宋体" w:eastAsia="宋体" w:cs="宋体"/>
          <w:spacing w:val="-17"/>
          <w:position w:val="14"/>
          <w:sz w:val="21"/>
          <w:szCs w:val="21"/>
        </w:rPr>
        <w:t xml:space="preserve"> </w:t>
      </w:r>
      <w:r>
        <w:rPr>
          <w:rFonts w:ascii="Times New Roman" w:hAnsi="Times New Roman" w:eastAsia="Times New Roman" w:cs="Times New Roman"/>
          <w:spacing w:val="-2"/>
          <w:position w:val="14"/>
          <w:sz w:val="21"/>
          <w:szCs w:val="21"/>
        </w:rPr>
        <w:t xml:space="preserve">12.3.4 </w:t>
      </w:r>
      <w:r>
        <w:rPr>
          <w:rFonts w:ascii="宋体" w:hAnsi="宋体" w:eastAsia="宋体" w:cs="宋体"/>
          <w:spacing w:val="-2"/>
          <w:position w:val="14"/>
          <w:sz w:val="21"/>
          <w:szCs w:val="21"/>
        </w:rPr>
        <w:t>项〔总价合同的计量〕</w:t>
      </w:r>
    </w:p>
    <w:p w14:paraId="4E4DE609">
      <w:pPr>
        <w:spacing w:line="219" w:lineRule="auto"/>
        <w:ind w:left="23"/>
        <w:rPr>
          <w:rFonts w:ascii="宋体" w:hAnsi="宋体" w:eastAsia="宋体" w:cs="宋体"/>
          <w:sz w:val="21"/>
          <w:szCs w:val="21"/>
        </w:rPr>
      </w:pPr>
      <w:r>
        <w:rPr>
          <w:rFonts w:ascii="宋体" w:hAnsi="宋体" w:eastAsia="宋体" w:cs="宋体"/>
          <w:spacing w:val="-1"/>
          <w:sz w:val="21"/>
          <w:szCs w:val="21"/>
        </w:rPr>
        <w:t>约定进行计量，但合同价款按照支付分解表进行支付。</w:t>
      </w:r>
    </w:p>
    <w:p w14:paraId="63F5F02B">
      <w:pPr>
        <w:spacing w:before="149" w:line="219" w:lineRule="auto"/>
        <w:ind w:left="457"/>
        <w:rPr>
          <w:rFonts w:ascii="宋体" w:hAnsi="宋体" w:eastAsia="宋体" w:cs="宋体"/>
          <w:sz w:val="21"/>
          <w:szCs w:val="21"/>
        </w:rPr>
      </w:pPr>
      <w:r>
        <w:rPr>
          <w:rFonts w:ascii="Times New Roman" w:hAnsi="Times New Roman" w:eastAsia="Times New Roman" w:cs="Times New Roman"/>
          <w:spacing w:val="-2"/>
          <w:sz w:val="21"/>
          <w:szCs w:val="21"/>
        </w:rPr>
        <w:t xml:space="preserve">12.3.6 </w:t>
      </w:r>
      <w:r>
        <w:rPr>
          <w:rFonts w:ascii="宋体" w:hAnsi="宋体" w:eastAsia="宋体" w:cs="宋体"/>
          <w:spacing w:val="-2"/>
          <w:sz w:val="21"/>
          <w:szCs w:val="21"/>
        </w:rPr>
        <w:t>其他价格形式合同的计量</w:t>
      </w:r>
    </w:p>
    <w:p w14:paraId="34C1FA75">
      <w:pPr>
        <w:spacing w:before="150" w:line="219" w:lineRule="auto"/>
        <w:ind w:left="442"/>
        <w:rPr>
          <w:rFonts w:ascii="宋体" w:hAnsi="宋体" w:eastAsia="宋体" w:cs="宋体"/>
          <w:sz w:val="21"/>
          <w:szCs w:val="21"/>
        </w:rPr>
      </w:pPr>
      <w:r>
        <w:rPr>
          <w:rFonts w:ascii="宋体" w:hAnsi="宋体" w:eastAsia="宋体" w:cs="宋体"/>
          <w:sz w:val="21"/>
          <w:szCs w:val="21"/>
        </w:rPr>
        <w:t>合同当事人可在专用合同条款中约定其他价格形式合同的计量</w:t>
      </w:r>
      <w:r>
        <w:rPr>
          <w:rFonts w:ascii="宋体" w:hAnsi="宋体" w:eastAsia="宋体" w:cs="宋体"/>
          <w:spacing w:val="-1"/>
          <w:sz w:val="21"/>
          <w:szCs w:val="21"/>
        </w:rPr>
        <w:t>方式和程序。</w:t>
      </w:r>
    </w:p>
    <w:p w14:paraId="1E8BC74C">
      <w:pPr>
        <w:spacing w:before="52" w:line="219" w:lineRule="auto"/>
        <w:ind w:left="31"/>
        <w:rPr>
          <w:rFonts w:ascii="黑体" w:hAnsi="黑体" w:eastAsia="黑体" w:cs="黑体"/>
          <w:sz w:val="24"/>
          <w:szCs w:val="24"/>
        </w:rPr>
      </w:pPr>
      <w:r>
        <w:rPr>
          <w:rFonts w:ascii="黑体" w:hAnsi="黑体" w:eastAsia="黑体" w:cs="黑体"/>
          <w:spacing w:val="-3"/>
          <w:sz w:val="24"/>
          <w:szCs w:val="24"/>
        </w:rPr>
        <w:t>12.4</w:t>
      </w:r>
      <w:r>
        <w:rPr>
          <w:rFonts w:ascii="黑体" w:hAnsi="黑体" w:eastAsia="黑体" w:cs="黑体"/>
          <w:spacing w:val="-51"/>
          <w:sz w:val="24"/>
          <w:szCs w:val="24"/>
        </w:rPr>
        <w:t xml:space="preserve"> </w:t>
      </w:r>
      <w:r>
        <w:rPr>
          <w:rFonts w:ascii="黑体" w:hAnsi="黑体" w:eastAsia="黑体" w:cs="黑体"/>
          <w:spacing w:val="-3"/>
          <w:sz w:val="24"/>
          <w:szCs w:val="24"/>
        </w:rPr>
        <w:t>工程进度款支付</w:t>
      </w:r>
    </w:p>
    <w:p w14:paraId="6C23DFCE">
      <w:pPr>
        <w:spacing w:before="129" w:line="221" w:lineRule="auto"/>
        <w:ind w:left="457"/>
        <w:rPr>
          <w:rFonts w:ascii="宋体" w:hAnsi="宋体" w:eastAsia="宋体" w:cs="宋体"/>
          <w:sz w:val="21"/>
          <w:szCs w:val="21"/>
        </w:rPr>
      </w:pPr>
      <w:r>
        <w:rPr>
          <w:rFonts w:ascii="Times New Roman" w:hAnsi="Times New Roman" w:eastAsia="Times New Roman" w:cs="Times New Roman"/>
          <w:spacing w:val="-2"/>
          <w:sz w:val="21"/>
          <w:szCs w:val="21"/>
        </w:rPr>
        <w:t xml:space="preserve">12.4.1 </w:t>
      </w:r>
      <w:r>
        <w:rPr>
          <w:rFonts w:ascii="宋体" w:hAnsi="宋体" w:eastAsia="宋体" w:cs="宋体"/>
          <w:spacing w:val="-2"/>
          <w:sz w:val="21"/>
          <w:szCs w:val="21"/>
        </w:rPr>
        <w:t>付款周期</w:t>
      </w:r>
    </w:p>
    <w:p w14:paraId="37649DEB">
      <w:pPr>
        <w:spacing w:before="147" w:line="398" w:lineRule="exact"/>
        <w:jc w:val="right"/>
        <w:rPr>
          <w:rFonts w:ascii="宋体" w:hAnsi="宋体" w:eastAsia="宋体" w:cs="宋体"/>
          <w:sz w:val="21"/>
          <w:szCs w:val="21"/>
        </w:rPr>
      </w:pPr>
      <w:r>
        <w:rPr>
          <w:rFonts w:ascii="宋体" w:hAnsi="宋体" w:eastAsia="宋体" w:cs="宋体"/>
          <w:position w:val="14"/>
          <w:sz w:val="21"/>
          <w:szCs w:val="21"/>
        </w:rPr>
        <w:t>除专用合同条款另有约定外，付款周期应按照第</w:t>
      </w:r>
      <w:r>
        <w:rPr>
          <w:rFonts w:ascii="宋体" w:hAnsi="宋体" w:eastAsia="宋体" w:cs="宋体"/>
          <w:spacing w:val="27"/>
          <w:position w:val="14"/>
          <w:sz w:val="21"/>
          <w:szCs w:val="21"/>
        </w:rPr>
        <w:t xml:space="preserve"> </w:t>
      </w:r>
      <w:r>
        <w:rPr>
          <w:rFonts w:ascii="Times New Roman" w:hAnsi="Times New Roman" w:eastAsia="Times New Roman" w:cs="Times New Roman"/>
          <w:spacing w:val="-1"/>
          <w:position w:val="14"/>
          <w:sz w:val="21"/>
          <w:szCs w:val="21"/>
        </w:rPr>
        <w:t>12.3.2</w:t>
      </w:r>
      <w:r>
        <w:rPr>
          <w:rFonts w:ascii="Times New Roman" w:hAnsi="Times New Roman" w:eastAsia="Times New Roman" w:cs="Times New Roman"/>
          <w:spacing w:val="46"/>
          <w:position w:val="14"/>
          <w:sz w:val="21"/>
          <w:szCs w:val="21"/>
        </w:rPr>
        <w:t xml:space="preserve"> </w:t>
      </w:r>
      <w:r>
        <w:rPr>
          <w:rFonts w:ascii="宋体" w:hAnsi="宋体" w:eastAsia="宋体" w:cs="宋体"/>
          <w:spacing w:val="-1"/>
          <w:position w:val="14"/>
          <w:sz w:val="21"/>
          <w:szCs w:val="21"/>
        </w:rPr>
        <w:t>项〔计量周期〕的约定与计量</w:t>
      </w:r>
    </w:p>
    <w:p w14:paraId="44A38EC7">
      <w:pPr>
        <w:spacing w:before="1" w:line="220" w:lineRule="auto"/>
        <w:ind w:left="19"/>
        <w:rPr>
          <w:rFonts w:ascii="宋体" w:hAnsi="宋体" w:eastAsia="宋体" w:cs="宋体"/>
          <w:sz w:val="21"/>
          <w:szCs w:val="21"/>
        </w:rPr>
      </w:pPr>
      <w:r>
        <w:rPr>
          <w:rFonts w:ascii="宋体" w:hAnsi="宋体" w:eastAsia="宋体" w:cs="宋体"/>
          <w:spacing w:val="-3"/>
          <w:sz w:val="21"/>
          <w:szCs w:val="21"/>
        </w:rPr>
        <w:t>周期保持一致。</w:t>
      </w:r>
    </w:p>
    <w:p w14:paraId="3312D0B3">
      <w:pPr>
        <w:spacing w:before="152" w:line="221" w:lineRule="auto"/>
        <w:ind w:left="457"/>
        <w:rPr>
          <w:rFonts w:ascii="宋体" w:hAnsi="宋体" w:eastAsia="宋体" w:cs="宋体"/>
          <w:sz w:val="21"/>
          <w:szCs w:val="21"/>
        </w:rPr>
      </w:pPr>
      <w:r>
        <w:rPr>
          <w:rFonts w:ascii="Times New Roman" w:hAnsi="Times New Roman" w:eastAsia="Times New Roman" w:cs="Times New Roman"/>
          <w:spacing w:val="-2"/>
          <w:sz w:val="21"/>
          <w:szCs w:val="21"/>
        </w:rPr>
        <w:t xml:space="preserve">12.4.2 </w:t>
      </w:r>
      <w:r>
        <w:rPr>
          <w:rFonts w:ascii="宋体" w:hAnsi="宋体" w:eastAsia="宋体" w:cs="宋体"/>
          <w:spacing w:val="-2"/>
          <w:sz w:val="21"/>
          <w:szCs w:val="21"/>
        </w:rPr>
        <w:t>进度付款申请单的编制</w:t>
      </w:r>
    </w:p>
    <w:p w14:paraId="0C6D3189">
      <w:pPr>
        <w:spacing w:before="148" w:line="221" w:lineRule="auto"/>
        <w:ind w:left="453"/>
        <w:rPr>
          <w:rFonts w:ascii="宋体" w:hAnsi="宋体" w:eastAsia="宋体" w:cs="宋体"/>
          <w:sz w:val="21"/>
          <w:szCs w:val="21"/>
        </w:rPr>
      </w:pPr>
      <w:r>
        <w:rPr>
          <w:rFonts w:ascii="宋体" w:hAnsi="宋体" w:eastAsia="宋体" w:cs="宋体"/>
          <w:spacing w:val="-6"/>
          <w:sz w:val="21"/>
          <w:szCs w:val="21"/>
        </w:rPr>
        <w:t>除专用合同条款另有约定外， 进度付款申请单应包括下列内容：</w:t>
      </w:r>
    </w:p>
    <w:p w14:paraId="6D76A227">
      <w:pPr>
        <w:spacing w:before="147" w:line="220" w:lineRule="auto"/>
        <w:ind w:left="447"/>
        <w:rPr>
          <w:rFonts w:ascii="宋体" w:hAnsi="宋体" w:eastAsia="宋体" w:cs="宋体"/>
          <w:sz w:val="21"/>
          <w:szCs w:val="21"/>
        </w:rPr>
      </w:pPr>
      <w:r>
        <w:rPr>
          <w:rFonts w:ascii="宋体" w:hAnsi="宋体" w:eastAsia="宋体" w:cs="宋体"/>
          <w:spacing w:val="-1"/>
          <w:sz w:val="21"/>
          <w:szCs w:val="21"/>
        </w:rPr>
        <w:t>（</w:t>
      </w:r>
      <w:r>
        <w:rPr>
          <w:rFonts w:ascii="Times New Roman" w:hAnsi="Times New Roman" w:eastAsia="Times New Roman" w:cs="Times New Roman"/>
          <w:spacing w:val="-1"/>
          <w:sz w:val="21"/>
          <w:szCs w:val="21"/>
        </w:rPr>
        <w:t>1</w:t>
      </w:r>
      <w:r>
        <w:rPr>
          <w:rFonts w:ascii="宋体" w:hAnsi="宋体" w:eastAsia="宋体" w:cs="宋体"/>
          <w:spacing w:val="-1"/>
          <w:sz w:val="21"/>
          <w:szCs w:val="21"/>
        </w:rPr>
        <w:t>）截至本次付款周期已完成工作对应的金额；</w:t>
      </w:r>
    </w:p>
    <w:p w14:paraId="73C32440">
      <w:pPr>
        <w:spacing w:before="152" w:line="221" w:lineRule="auto"/>
        <w:ind w:left="447"/>
        <w:rPr>
          <w:rFonts w:ascii="宋体" w:hAnsi="宋体" w:eastAsia="宋体" w:cs="宋体"/>
          <w:sz w:val="21"/>
          <w:szCs w:val="21"/>
        </w:rPr>
      </w:pPr>
      <w:r>
        <w:rPr>
          <w:rFonts w:ascii="宋体" w:hAnsi="宋体" w:eastAsia="宋体" w:cs="宋体"/>
          <w:spacing w:val="-3"/>
          <w:sz w:val="21"/>
          <w:szCs w:val="21"/>
        </w:rPr>
        <w:t>（</w:t>
      </w:r>
      <w:r>
        <w:rPr>
          <w:rFonts w:ascii="Times New Roman" w:hAnsi="Times New Roman" w:eastAsia="Times New Roman" w:cs="Times New Roman"/>
          <w:spacing w:val="-3"/>
          <w:sz w:val="21"/>
          <w:szCs w:val="21"/>
        </w:rPr>
        <w:t>2</w:t>
      </w:r>
      <w:r>
        <w:rPr>
          <w:rFonts w:ascii="宋体" w:hAnsi="宋体" w:eastAsia="宋体" w:cs="宋体"/>
          <w:spacing w:val="-3"/>
          <w:sz w:val="21"/>
          <w:szCs w:val="21"/>
        </w:rPr>
        <w:t xml:space="preserve">）根据第 </w:t>
      </w:r>
      <w:r>
        <w:rPr>
          <w:rFonts w:ascii="Times New Roman" w:hAnsi="Times New Roman" w:eastAsia="Times New Roman" w:cs="Times New Roman"/>
          <w:spacing w:val="-3"/>
          <w:sz w:val="21"/>
          <w:szCs w:val="21"/>
        </w:rPr>
        <w:t xml:space="preserve">10 </w:t>
      </w:r>
      <w:r>
        <w:rPr>
          <w:rFonts w:ascii="宋体" w:hAnsi="宋体" w:eastAsia="宋体" w:cs="宋体"/>
          <w:spacing w:val="-3"/>
          <w:sz w:val="21"/>
          <w:szCs w:val="21"/>
        </w:rPr>
        <w:t>条〔变更〕应增加和扣减的变更金额；</w:t>
      </w:r>
    </w:p>
    <w:p w14:paraId="7AE7D147">
      <w:pPr>
        <w:spacing w:before="148" w:line="221" w:lineRule="auto"/>
        <w:ind w:left="447"/>
        <w:rPr>
          <w:rFonts w:ascii="宋体" w:hAnsi="宋体" w:eastAsia="宋体" w:cs="宋体"/>
          <w:sz w:val="21"/>
          <w:szCs w:val="21"/>
        </w:rPr>
      </w:pPr>
      <w:r>
        <w:rPr>
          <w:rFonts w:ascii="宋体" w:hAnsi="宋体" w:eastAsia="宋体" w:cs="宋体"/>
          <w:spacing w:val="-2"/>
          <w:sz w:val="21"/>
          <w:szCs w:val="21"/>
        </w:rPr>
        <w:t>（</w:t>
      </w:r>
      <w:r>
        <w:rPr>
          <w:rFonts w:ascii="Times New Roman" w:hAnsi="Times New Roman" w:eastAsia="Times New Roman" w:cs="Times New Roman"/>
          <w:spacing w:val="-2"/>
          <w:sz w:val="21"/>
          <w:szCs w:val="21"/>
        </w:rPr>
        <w:t>3</w:t>
      </w:r>
      <w:r>
        <w:rPr>
          <w:rFonts w:ascii="宋体" w:hAnsi="宋体" w:eastAsia="宋体" w:cs="宋体"/>
          <w:spacing w:val="-2"/>
          <w:sz w:val="21"/>
          <w:szCs w:val="21"/>
        </w:rPr>
        <w:t xml:space="preserve">）根据第 </w:t>
      </w:r>
      <w:r>
        <w:rPr>
          <w:rFonts w:ascii="Times New Roman" w:hAnsi="Times New Roman" w:eastAsia="Times New Roman" w:cs="Times New Roman"/>
          <w:spacing w:val="-2"/>
          <w:sz w:val="21"/>
          <w:szCs w:val="21"/>
        </w:rPr>
        <w:t xml:space="preserve">12.2 </w:t>
      </w:r>
      <w:r>
        <w:rPr>
          <w:rFonts w:ascii="宋体" w:hAnsi="宋体" w:eastAsia="宋体" w:cs="宋体"/>
          <w:spacing w:val="-2"/>
          <w:sz w:val="21"/>
          <w:szCs w:val="21"/>
        </w:rPr>
        <w:t>款〔预付款〕约定应支付的预付款和扣减的返还预付款；</w:t>
      </w:r>
    </w:p>
    <w:p w14:paraId="159A6B4C">
      <w:pPr>
        <w:spacing w:before="147" w:line="404" w:lineRule="exact"/>
        <w:ind w:left="447"/>
        <w:rPr>
          <w:rFonts w:ascii="宋体" w:hAnsi="宋体" w:eastAsia="宋体" w:cs="宋体"/>
          <w:sz w:val="21"/>
          <w:szCs w:val="21"/>
        </w:rPr>
      </w:pPr>
      <w:r>
        <w:rPr>
          <w:rFonts w:ascii="宋体" w:hAnsi="宋体" w:eastAsia="宋体" w:cs="宋体"/>
          <w:spacing w:val="-4"/>
          <w:position w:val="14"/>
          <w:sz w:val="21"/>
          <w:szCs w:val="21"/>
        </w:rPr>
        <w:t>（</w:t>
      </w:r>
      <w:r>
        <w:rPr>
          <w:rFonts w:ascii="Times New Roman" w:hAnsi="Times New Roman" w:eastAsia="Times New Roman" w:cs="Times New Roman"/>
          <w:spacing w:val="-4"/>
          <w:position w:val="14"/>
          <w:sz w:val="21"/>
          <w:szCs w:val="21"/>
        </w:rPr>
        <w:t>4</w:t>
      </w:r>
      <w:r>
        <w:rPr>
          <w:rFonts w:ascii="宋体" w:hAnsi="宋体" w:eastAsia="宋体" w:cs="宋体"/>
          <w:spacing w:val="-4"/>
          <w:position w:val="14"/>
          <w:sz w:val="21"/>
          <w:szCs w:val="21"/>
        </w:rPr>
        <w:t xml:space="preserve">）根据第 </w:t>
      </w:r>
      <w:r>
        <w:rPr>
          <w:rFonts w:ascii="Times New Roman" w:hAnsi="Times New Roman" w:eastAsia="Times New Roman" w:cs="Times New Roman"/>
          <w:spacing w:val="-4"/>
          <w:position w:val="14"/>
          <w:sz w:val="21"/>
          <w:szCs w:val="21"/>
        </w:rPr>
        <w:t xml:space="preserve">15.3 </w:t>
      </w:r>
      <w:r>
        <w:rPr>
          <w:rFonts w:ascii="宋体" w:hAnsi="宋体" w:eastAsia="宋体" w:cs="宋体"/>
          <w:spacing w:val="-4"/>
          <w:position w:val="14"/>
          <w:sz w:val="21"/>
          <w:szCs w:val="21"/>
        </w:rPr>
        <w:t>款〔质量保证金〕约定应扣减的质量保证金；</w:t>
      </w:r>
    </w:p>
    <w:p w14:paraId="0235D5F0">
      <w:pPr>
        <w:spacing w:line="220" w:lineRule="auto"/>
        <w:ind w:left="447"/>
        <w:rPr>
          <w:rFonts w:ascii="宋体" w:hAnsi="宋体" w:eastAsia="宋体" w:cs="宋体"/>
          <w:sz w:val="21"/>
          <w:szCs w:val="21"/>
        </w:rPr>
      </w:pPr>
      <w:r>
        <w:rPr>
          <w:rFonts w:ascii="宋体" w:hAnsi="宋体" w:eastAsia="宋体" w:cs="宋体"/>
          <w:spacing w:val="-3"/>
          <w:sz w:val="21"/>
          <w:szCs w:val="21"/>
        </w:rPr>
        <w:t>（</w:t>
      </w:r>
      <w:r>
        <w:rPr>
          <w:rFonts w:ascii="Times New Roman" w:hAnsi="Times New Roman" w:eastAsia="Times New Roman" w:cs="Times New Roman"/>
          <w:spacing w:val="-3"/>
          <w:sz w:val="21"/>
          <w:szCs w:val="21"/>
        </w:rPr>
        <w:t>5</w:t>
      </w:r>
      <w:r>
        <w:rPr>
          <w:rFonts w:ascii="宋体" w:hAnsi="宋体" w:eastAsia="宋体" w:cs="宋体"/>
          <w:spacing w:val="-3"/>
          <w:sz w:val="21"/>
          <w:szCs w:val="21"/>
        </w:rPr>
        <w:t xml:space="preserve">）根据第 </w:t>
      </w:r>
      <w:r>
        <w:rPr>
          <w:rFonts w:ascii="Times New Roman" w:hAnsi="Times New Roman" w:eastAsia="Times New Roman" w:cs="Times New Roman"/>
          <w:spacing w:val="-3"/>
          <w:sz w:val="21"/>
          <w:szCs w:val="21"/>
        </w:rPr>
        <w:t xml:space="preserve">19 </w:t>
      </w:r>
      <w:r>
        <w:rPr>
          <w:rFonts w:ascii="宋体" w:hAnsi="宋体" w:eastAsia="宋体" w:cs="宋体"/>
          <w:spacing w:val="-3"/>
          <w:sz w:val="21"/>
          <w:szCs w:val="21"/>
        </w:rPr>
        <w:t>条〔索赔〕应增加和扣减的索赔金额；</w:t>
      </w:r>
    </w:p>
    <w:p w14:paraId="0171500B">
      <w:pPr>
        <w:spacing w:before="148" w:line="398" w:lineRule="exact"/>
        <w:ind w:right="14"/>
        <w:jc w:val="right"/>
        <w:rPr>
          <w:rFonts w:ascii="宋体" w:hAnsi="宋体" w:eastAsia="宋体" w:cs="宋体"/>
          <w:sz w:val="21"/>
          <w:szCs w:val="21"/>
        </w:rPr>
      </w:pPr>
      <w:r>
        <w:rPr>
          <w:rFonts w:ascii="宋体" w:hAnsi="宋体" w:eastAsia="宋体" w:cs="宋体"/>
          <w:position w:val="14"/>
          <w:sz w:val="21"/>
          <w:szCs w:val="21"/>
        </w:rPr>
        <w:t>（</w:t>
      </w:r>
      <w:r>
        <w:rPr>
          <w:rFonts w:ascii="Times New Roman" w:hAnsi="Times New Roman" w:eastAsia="Times New Roman" w:cs="Times New Roman"/>
          <w:position w:val="14"/>
          <w:sz w:val="21"/>
          <w:szCs w:val="21"/>
        </w:rPr>
        <w:t>6</w:t>
      </w:r>
      <w:r>
        <w:rPr>
          <w:rFonts w:ascii="宋体" w:hAnsi="宋体" w:eastAsia="宋体" w:cs="宋体"/>
          <w:position w:val="14"/>
          <w:sz w:val="21"/>
          <w:szCs w:val="21"/>
        </w:rPr>
        <w:t>）对已签发的进度款支付证书中出现错误的修正，应在本次进度付款</w:t>
      </w:r>
      <w:r>
        <w:rPr>
          <w:rFonts w:ascii="宋体" w:hAnsi="宋体" w:eastAsia="宋体" w:cs="宋体"/>
          <w:spacing w:val="-1"/>
          <w:position w:val="14"/>
          <w:sz w:val="21"/>
          <w:szCs w:val="21"/>
        </w:rPr>
        <w:t>中支付或扣除</w:t>
      </w:r>
    </w:p>
    <w:p w14:paraId="3ECE8160">
      <w:pPr>
        <w:spacing w:before="1" w:line="220" w:lineRule="auto"/>
        <w:ind w:left="35"/>
        <w:rPr>
          <w:rFonts w:ascii="宋体" w:hAnsi="宋体" w:eastAsia="宋体" w:cs="宋体"/>
          <w:sz w:val="21"/>
          <w:szCs w:val="21"/>
        </w:rPr>
      </w:pPr>
      <w:r>
        <w:rPr>
          <w:rFonts w:ascii="宋体" w:hAnsi="宋体" w:eastAsia="宋体" w:cs="宋体"/>
          <w:spacing w:val="-14"/>
          <w:sz w:val="21"/>
          <w:szCs w:val="21"/>
        </w:rPr>
        <w:t>的金额；</w:t>
      </w:r>
    </w:p>
    <w:p w14:paraId="25C452B6">
      <w:pPr>
        <w:spacing w:before="152" w:line="221" w:lineRule="auto"/>
        <w:ind w:left="447"/>
        <w:rPr>
          <w:rFonts w:ascii="宋体" w:hAnsi="宋体" w:eastAsia="宋体" w:cs="宋体"/>
          <w:sz w:val="21"/>
          <w:szCs w:val="21"/>
        </w:rPr>
      </w:pPr>
      <w:r>
        <w:rPr>
          <w:rFonts w:ascii="宋体" w:hAnsi="宋体" w:eastAsia="宋体" w:cs="宋体"/>
          <w:spacing w:val="-2"/>
          <w:sz w:val="21"/>
          <w:szCs w:val="21"/>
        </w:rPr>
        <w:t>（</w:t>
      </w:r>
      <w:r>
        <w:rPr>
          <w:rFonts w:ascii="Times New Roman" w:hAnsi="Times New Roman" w:eastAsia="Times New Roman" w:cs="Times New Roman"/>
          <w:spacing w:val="-2"/>
          <w:sz w:val="21"/>
          <w:szCs w:val="21"/>
        </w:rPr>
        <w:t>7</w:t>
      </w:r>
      <w:r>
        <w:rPr>
          <w:rFonts w:ascii="宋体" w:hAnsi="宋体" w:eastAsia="宋体" w:cs="宋体"/>
          <w:spacing w:val="-2"/>
          <w:sz w:val="21"/>
          <w:szCs w:val="21"/>
        </w:rPr>
        <w:t>）根据合同约定应增加和扣减的其他金额。</w:t>
      </w:r>
    </w:p>
    <w:p w14:paraId="73D68047">
      <w:pPr>
        <w:spacing w:before="147" w:line="221" w:lineRule="auto"/>
        <w:ind w:left="457"/>
        <w:rPr>
          <w:rFonts w:ascii="宋体" w:hAnsi="宋体" w:eastAsia="宋体" w:cs="宋体"/>
          <w:sz w:val="21"/>
          <w:szCs w:val="21"/>
        </w:rPr>
      </w:pPr>
      <w:r>
        <w:rPr>
          <w:rFonts w:ascii="Times New Roman" w:hAnsi="Times New Roman" w:eastAsia="Times New Roman" w:cs="Times New Roman"/>
          <w:spacing w:val="-2"/>
          <w:sz w:val="21"/>
          <w:szCs w:val="21"/>
        </w:rPr>
        <w:t xml:space="preserve">12.4.3 </w:t>
      </w:r>
      <w:r>
        <w:rPr>
          <w:rFonts w:ascii="宋体" w:hAnsi="宋体" w:eastAsia="宋体" w:cs="宋体"/>
          <w:spacing w:val="-2"/>
          <w:sz w:val="21"/>
          <w:szCs w:val="21"/>
        </w:rPr>
        <w:t>进度付款申请单的提交</w:t>
      </w:r>
    </w:p>
    <w:p w14:paraId="605BFDA6">
      <w:pPr>
        <w:spacing w:before="148" w:line="219" w:lineRule="auto"/>
        <w:ind w:left="447"/>
        <w:rPr>
          <w:rFonts w:ascii="宋体" w:hAnsi="宋体" w:eastAsia="宋体" w:cs="宋体"/>
          <w:sz w:val="21"/>
          <w:szCs w:val="21"/>
        </w:rPr>
      </w:pPr>
      <w:r>
        <w:rPr>
          <w:rFonts w:ascii="宋体" w:hAnsi="宋体" w:eastAsia="宋体" w:cs="宋体"/>
          <w:spacing w:val="-1"/>
          <w:sz w:val="21"/>
          <w:szCs w:val="21"/>
        </w:rPr>
        <w:t>（</w:t>
      </w:r>
      <w:r>
        <w:rPr>
          <w:rFonts w:ascii="Times New Roman" w:hAnsi="Times New Roman" w:eastAsia="Times New Roman" w:cs="Times New Roman"/>
          <w:spacing w:val="-1"/>
          <w:sz w:val="21"/>
          <w:szCs w:val="21"/>
        </w:rPr>
        <w:t>1</w:t>
      </w:r>
      <w:r>
        <w:rPr>
          <w:rFonts w:ascii="宋体" w:hAnsi="宋体" w:eastAsia="宋体" w:cs="宋体"/>
          <w:spacing w:val="-1"/>
          <w:sz w:val="21"/>
          <w:szCs w:val="21"/>
        </w:rPr>
        <w:t>）单价合同进度付款申请单的提交</w:t>
      </w:r>
    </w:p>
    <w:p w14:paraId="1DB375F8">
      <w:pPr>
        <w:spacing w:before="152" w:line="351" w:lineRule="auto"/>
        <w:ind w:left="19" w:right="6" w:firstLine="423"/>
        <w:rPr>
          <w:rFonts w:ascii="宋体" w:hAnsi="宋体" w:eastAsia="宋体" w:cs="宋体"/>
          <w:sz w:val="21"/>
          <w:szCs w:val="21"/>
        </w:rPr>
      </w:pPr>
      <w:r>
        <w:rPr>
          <w:rFonts w:ascii="宋体" w:hAnsi="宋体" w:eastAsia="宋体" w:cs="宋体"/>
          <w:sz w:val="21"/>
          <w:szCs w:val="21"/>
        </w:rPr>
        <w:t>单价合同的进度付款申请单，按照第</w:t>
      </w:r>
      <w:r>
        <w:rPr>
          <w:rFonts w:ascii="宋体" w:hAnsi="宋体" w:eastAsia="宋体" w:cs="宋体"/>
          <w:spacing w:val="27"/>
          <w:sz w:val="21"/>
          <w:szCs w:val="21"/>
        </w:rPr>
        <w:t xml:space="preserve"> </w:t>
      </w:r>
      <w:r>
        <w:rPr>
          <w:rFonts w:ascii="Times New Roman" w:hAnsi="Times New Roman" w:eastAsia="Times New Roman" w:cs="Times New Roman"/>
          <w:sz w:val="21"/>
          <w:szCs w:val="21"/>
        </w:rPr>
        <w:t>12.3.3</w:t>
      </w:r>
      <w:r>
        <w:rPr>
          <w:rFonts w:ascii="Times New Roman" w:hAnsi="Times New Roman" w:eastAsia="Times New Roman" w:cs="Times New Roman"/>
          <w:spacing w:val="46"/>
          <w:sz w:val="21"/>
          <w:szCs w:val="21"/>
        </w:rPr>
        <w:t xml:space="preserve"> </w:t>
      </w:r>
      <w:r>
        <w:rPr>
          <w:rFonts w:ascii="宋体" w:hAnsi="宋体" w:eastAsia="宋体" w:cs="宋体"/>
          <w:sz w:val="21"/>
          <w:szCs w:val="21"/>
        </w:rPr>
        <w:t>项〔单价合</w:t>
      </w:r>
      <w:r>
        <w:rPr>
          <w:rFonts w:ascii="宋体" w:hAnsi="宋体" w:eastAsia="宋体" w:cs="宋体"/>
          <w:spacing w:val="-1"/>
          <w:sz w:val="21"/>
          <w:szCs w:val="21"/>
        </w:rPr>
        <w:t>同的计量〕约定的时间按月向</w:t>
      </w:r>
      <w:r>
        <w:rPr>
          <w:rFonts w:ascii="宋体" w:hAnsi="宋体" w:eastAsia="宋体" w:cs="宋体"/>
          <w:sz w:val="21"/>
          <w:szCs w:val="21"/>
        </w:rPr>
        <w:t xml:space="preserve"> 监理人提交， 并附上已完成工程量报表和有关资料。单价合同中的总价项目按月进行支付</w:t>
      </w:r>
    </w:p>
    <w:p w14:paraId="257A1CAF">
      <w:pPr>
        <w:spacing w:before="1" w:line="220" w:lineRule="auto"/>
        <w:ind w:left="20"/>
        <w:rPr>
          <w:rFonts w:ascii="宋体" w:hAnsi="宋体" w:eastAsia="宋体" w:cs="宋体"/>
          <w:sz w:val="21"/>
          <w:szCs w:val="21"/>
        </w:rPr>
      </w:pPr>
      <w:r>
        <w:rPr>
          <w:rFonts w:ascii="宋体" w:hAnsi="宋体" w:eastAsia="宋体" w:cs="宋体"/>
          <w:spacing w:val="-1"/>
          <w:sz w:val="21"/>
          <w:szCs w:val="21"/>
        </w:rPr>
        <w:t>分解，并汇总列入当期进度付款申请单。</w:t>
      </w:r>
    </w:p>
    <w:p w14:paraId="45B7084F">
      <w:pPr>
        <w:spacing w:before="153" w:line="219" w:lineRule="auto"/>
        <w:ind w:left="447"/>
        <w:rPr>
          <w:rFonts w:ascii="宋体" w:hAnsi="宋体" w:eastAsia="宋体" w:cs="宋体"/>
          <w:sz w:val="21"/>
          <w:szCs w:val="21"/>
        </w:rPr>
      </w:pPr>
      <w:r>
        <w:rPr>
          <w:rFonts w:ascii="宋体" w:hAnsi="宋体" w:eastAsia="宋体" w:cs="宋体"/>
          <w:spacing w:val="-1"/>
          <w:sz w:val="21"/>
          <w:szCs w:val="21"/>
        </w:rPr>
        <w:t>（</w:t>
      </w:r>
      <w:r>
        <w:rPr>
          <w:rFonts w:ascii="Times New Roman" w:hAnsi="Times New Roman" w:eastAsia="Times New Roman" w:cs="Times New Roman"/>
          <w:spacing w:val="-1"/>
          <w:sz w:val="21"/>
          <w:szCs w:val="21"/>
        </w:rPr>
        <w:t>2</w:t>
      </w:r>
      <w:r>
        <w:rPr>
          <w:rFonts w:ascii="宋体" w:hAnsi="宋体" w:eastAsia="宋体" w:cs="宋体"/>
          <w:spacing w:val="-1"/>
          <w:sz w:val="21"/>
          <w:szCs w:val="21"/>
        </w:rPr>
        <w:t>）总价合同进度付款申请单的提交</w:t>
      </w:r>
    </w:p>
    <w:p w14:paraId="0F72E8B1">
      <w:pPr>
        <w:spacing w:before="149" w:line="398" w:lineRule="exact"/>
        <w:ind w:right="5"/>
        <w:jc w:val="right"/>
        <w:rPr>
          <w:rFonts w:ascii="宋体" w:hAnsi="宋体" w:eastAsia="宋体" w:cs="宋体"/>
          <w:sz w:val="21"/>
          <w:szCs w:val="21"/>
        </w:rPr>
      </w:pPr>
      <w:r>
        <w:rPr>
          <w:rFonts w:ascii="宋体" w:hAnsi="宋体" w:eastAsia="宋体" w:cs="宋体"/>
          <w:spacing w:val="-1"/>
          <w:position w:val="14"/>
          <w:sz w:val="21"/>
          <w:szCs w:val="21"/>
        </w:rPr>
        <w:t>总价合同按月计量支付的，承包人按照第</w:t>
      </w:r>
      <w:r>
        <w:rPr>
          <w:rFonts w:ascii="宋体" w:hAnsi="宋体" w:eastAsia="宋体" w:cs="宋体"/>
          <w:spacing w:val="51"/>
          <w:position w:val="14"/>
          <w:sz w:val="21"/>
          <w:szCs w:val="21"/>
        </w:rPr>
        <w:t xml:space="preserve"> </w:t>
      </w:r>
      <w:r>
        <w:rPr>
          <w:rFonts w:ascii="Times New Roman" w:hAnsi="Times New Roman" w:eastAsia="Times New Roman" w:cs="Times New Roman"/>
          <w:spacing w:val="-1"/>
          <w:position w:val="14"/>
          <w:sz w:val="21"/>
          <w:szCs w:val="21"/>
        </w:rPr>
        <w:t>12.3.4</w:t>
      </w:r>
      <w:r>
        <w:rPr>
          <w:rFonts w:ascii="Times New Roman" w:hAnsi="Times New Roman" w:eastAsia="Times New Roman" w:cs="Times New Roman"/>
          <w:spacing w:val="46"/>
          <w:position w:val="14"/>
          <w:sz w:val="21"/>
          <w:szCs w:val="21"/>
        </w:rPr>
        <w:t xml:space="preserve"> </w:t>
      </w:r>
      <w:r>
        <w:rPr>
          <w:rFonts w:ascii="宋体" w:hAnsi="宋体" w:eastAsia="宋体" w:cs="宋体"/>
          <w:spacing w:val="-1"/>
          <w:position w:val="14"/>
          <w:sz w:val="21"/>
          <w:szCs w:val="21"/>
        </w:rPr>
        <w:t>项〔总价合同的计量〕约定的时间按</w:t>
      </w:r>
    </w:p>
    <w:p w14:paraId="5CE1B3DB">
      <w:pPr>
        <w:spacing w:before="1" w:line="219" w:lineRule="auto"/>
        <w:ind w:left="23"/>
        <w:rPr>
          <w:rFonts w:ascii="宋体" w:hAnsi="宋体" w:eastAsia="宋体" w:cs="宋体"/>
          <w:sz w:val="21"/>
          <w:szCs w:val="21"/>
        </w:rPr>
      </w:pPr>
      <w:r>
        <w:rPr>
          <w:rFonts w:ascii="宋体" w:hAnsi="宋体" w:eastAsia="宋体" w:cs="宋体"/>
          <w:spacing w:val="-1"/>
          <w:sz w:val="21"/>
          <w:szCs w:val="21"/>
        </w:rPr>
        <w:t>月向监理人提交进度付款申请单，并附上已完成工程量报表和有关资</w:t>
      </w:r>
      <w:r>
        <w:rPr>
          <w:rFonts w:ascii="宋体" w:hAnsi="宋体" w:eastAsia="宋体" w:cs="宋体"/>
          <w:spacing w:val="-2"/>
          <w:sz w:val="21"/>
          <w:szCs w:val="21"/>
        </w:rPr>
        <w:t>料。</w:t>
      </w:r>
    </w:p>
    <w:p w14:paraId="4E923FF7">
      <w:pPr>
        <w:spacing w:before="154" w:line="398" w:lineRule="exact"/>
        <w:jc w:val="right"/>
        <w:rPr>
          <w:rFonts w:ascii="宋体" w:hAnsi="宋体" w:eastAsia="宋体" w:cs="宋体"/>
          <w:sz w:val="21"/>
          <w:szCs w:val="21"/>
        </w:rPr>
      </w:pPr>
      <w:r>
        <w:rPr>
          <w:rFonts w:ascii="宋体" w:hAnsi="宋体" w:eastAsia="宋体" w:cs="宋体"/>
          <w:spacing w:val="-2"/>
          <w:position w:val="14"/>
          <w:sz w:val="21"/>
          <w:szCs w:val="21"/>
        </w:rPr>
        <w:t>总价合同按支付分解表支付的，承包人应按照第</w:t>
      </w:r>
      <w:r>
        <w:rPr>
          <w:rFonts w:ascii="宋体" w:hAnsi="宋体" w:eastAsia="宋体" w:cs="宋体"/>
          <w:spacing w:val="-44"/>
          <w:position w:val="14"/>
          <w:sz w:val="21"/>
          <w:szCs w:val="21"/>
        </w:rPr>
        <w:t xml:space="preserve"> </w:t>
      </w:r>
      <w:r>
        <w:rPr>
          <w:rFonts w:ascii="Times New Roman" w:hAnsi="Times New Roman" w:eastAsia="Times New Roman" w:cs="Times New Roman"/>
          <w:spacing w:val="-2"/>
          <w:position w:val="14"/>
          <w:sz w:val="21"/>
          <w:szCs w:val="21"/>
        </w:rPr>
        <w:t>12.4.6</w:t>
      </w:r>
      <w:r>
        <w:rPr>
          <w:rFonts w:ascii="Times New Roman" w:hAnsi="Times New Roman" w:eastAsia="Times New Roman" w:cs="Times New Roman"/>
          <w:spacing w:val="-11"/>
          <w:position w:val="14"/>
          <w:sz w:val="21"/>
          <w:szCs w:val="21"/>
        </w:rPr>
        <w:t xml:space="preserve"> </w:t>
      </w:r>
      <w:r>
        <w:rPr>
          <w:rFonts w:ascii="宋体" w:hAnsi="宋体" w:eastAsia="宋体" w:cs="宋体"/>
          <w:spacing w:val="-2"/>
          <w:position w:val="14"/>
          <w:sz w:val="21"/>
          <w:szCs w:val="21"/>
        </w:rPr>
        <w:t>项〔支付分解表〕及第</w:t>
      </w:r>
      <w:r>
        <w:rPr>
          <w:rFonts w:ascii="宋体" w:hAnsi="宋体" w:eastAsia="宋体" w:cs="宋体"/>
          <w:spacing w:val="-47"/>
          <w:position w:val="14"/>
          <w:sz w:val="21"/>
          <w:szCs w:val="21"/>
        </w:rPr>
        <w:t xml:space="preserve"> </w:t>
      </w:r>
      <w:r>
        <w:rPr>
          <w:rFonts w:ascii="Times New Roman" w:hAnsi="Times New Roman" w:eastAsia="Times New Roman" w:cs="Times New Roman"/>
          <w:spacing w:val="-2"/>
          <w:position w:val="14"/>
          <w:sz w:val="21"/>
          <w:szCs w:val="21"/>
        </w:rPr>
        <w:t>12.4.2</w:t>
      </w:r>
      <w:r>
        <w:rPr>
          <w:rFonts w:ascii="Times New Roman" w:hAnsi="Times New Roman" w:eastAsia="Times New Roman" w:cs="Times New Roman"/>
          <w:spacing w:val="-12"/>
          <w:position w:val="14"/>
          <w:sz w:val="21"/>
          <w:szCs w:val="21"/>
        </w:rPr>
        <w:t xml:space="preserve"> </w:t>
      </w:r>
      <w:r>
        <w:rPr>
          <w:rFonts w:ascii="宋体" w:hAnsi="宋体" w:eastAsia="宋体" w:cs="宋体"/>
          <w:spacing w:val="-2"/>
          <w:position w:val="14"/>
          <w:sz w:val="21"/>
          <w:szCs w:val="21"/>
        </w:rPr>
        <w:t>项</w:t>
      </w:r>
    </w:p>
    <w:p w14:paraId="1506B036">
      <w:pPr>
        <w:spacing w:before="1" w:line="220" w:lineRule="auto"/>
        <w:ind w:left="42"/>
        <w:rPr>
          <w:rFonts w:ascii="宋体" w:hAnsi="宋体" w:eastAsia="宋体" w:cs="宋体"/>
          <w:sz w:val="21"/>
          <w:szCs w:val="21"/>
        </w:rPr>
      </w:pPr>
      <w:r>
        <w:rPr>
          <w:rFonts w:ascii="宋体" w:hAnsi="宋体" w:eastAsia="宋体" w:cs="宋体"/>
          <w:spacing w:val="-1"/>
          <w:sz w:val="21"/>
          <w:szCs w:val="21"/>
        </w:rPr>
        <w:t>〔进度付款申请单的编制〕的约定向监理人提交进度付款申请单。</w:t>
      </w:r>
    </w:p>
    <w:p w14:paraId="136A3716">
      <w:pPr>
        <w:spacing w:before="147" w:line="219" w:lineRule="auto"/>
        <w:ind w:left="447"/>
        <w:rPr>
          <w:rFonts w:ascii="宋体" w:hAnsi="宋体" w:eastAsia="宋体" w:cs="宋体"/>
          <w:sz w:val="21"/>
          <w:szCs w:val="21"/>
        </w:rPr>
      </w:pPr>
      <w:r>
        <w:rPr>
          <w:rFonts w:ascii="宋体" w:hAnsi="宋体" w:eastAsia="宋体" w:cs="宋体"/>
          <w:spacing w:val="-1"/>
          <w:sz w:val="21"/>
          <w:szCs w:val="21"/>
        </w:rPr>
        <w:t>（</w:t>
      </w:r>
      <w:r>
        <w:rPr>
          <w:rFonts w:ascii="Times New Roman" w:hAnsi="Times New Roman" w:eastAsia="Times New Roman" w:cs="Times New Roman"/>
          <w:spacing w:val="-1"/>
          <w:sz w:val="21"/>
          <w:szCs w:val="21"/>
        </w:rPr>
        <w:t>3</w:t>
      </w:r>
      <w:r>
        <w:rPr>
          <w:rFonts w:ascii="宋体" w:hAnsi="宋体" w:eastAsia="宋体" w:cs="宋体"/>
          <w:spacing w:val="-1"/>
          <w:sz w:val="21"/>
          <w:szCs w:val="21"/>
        </w:rPr>
        <w:t>）其他价格形式合同的进度付款申请单的提交</w:t>
      </w:r>
    </w:p>
    <w:p w14:paraId="48D23A0E">
      <w:pPr>
        <w:spacing w:before="154" w:line="399" w:lineRule="exact"/>
        <w:ind w:right="6"/>
        <w:jc w:val="right"/>
        <w:rPr>
          <w:rFonts w:ascii="宋体" w:hAnsi="宋体" w:eastAsia="宋体" w:cs="宋体"/>
          <w:sz w:val="21"/>
          <w:szCs w:val="21"/>
        </w:rPr>
      </w:pPr>
      <w:r>
        <w:rPr>
          <w:rFonts w:ascii="宋体" w:hAnsi="宋体" w:eastAsia="宋体" w:cs="宋体"/>
          <w:spacing w:val="3"/>
          <w:position w:val="14"/>
          <w:sz w:val="21"/>
          <w:szCs w:val="21"/>
        </w:rPr>
        <w:t>合同当事人可在专用合同条款中约定其他价格形式合同的进度付款申请单的编制和提</w:t>
      </w:r>
    </w:p>
    <w:p w14:paraId="107DB38C">
      <w:pPr>
        <w:spacing w:line="221" w:lineRule="auto"/>
        <w:ind w:left="22"/>
        <w:rPr>
          <w:rFonts w:ascii="宋体" w:hAnsi="宋体" w:eastAsia="宋体" w:cs="宋体"/>
          <w:sz w:val="21"/>
          <w:szCs w:val="21"/>
        </w:rPr>
      </w:pPr>
      <w:r>
        <w:rPr>
          <w:rFonts w:ascii="宋体" w:hAnsi="宋体" w:eastAsia="宋体" w:cs="宋体"/>
          <w:spacing w:val="-8"/>
          <w:sz w:val="21"/>
          <w:szCs w:val="21"/>
        </w:rPr>
        <w:t>交程序。</w:t>
      </w:r>
    </w:p>
    <w:p w14:paraId="75A25A03">
      <w:pPr>
        <w:spacing w:line="221" w:lineRule="auto"/>
        <w:rPr>
          <w:rFonts w:ascii="宋体" w:hAnsi="宋体" w:eastAsia="宋体" w:cs="宋体"/>
          <w:sz w:val="21"/>
          <w:szCs w:val="21"/>
        </w:rPr>
        <w:sectPr>
          <w:footerReference r:id="rId122" w:type="default"/>
          <w:pgSz w:w="11905" w:h="16839"/>
          <w:pgMar w:top="1431" w:right="1785" w:bottom="1004" w:left="1785" w:header="0" w:footer="828" w:gutter="0"/>
          <w:pgNumType w:fmt="decimal"/>
          <w:cols w:space="720" w:num="1"/>
        </w:sectPr>
      </w:pPr>
    </w:p>
    <w:p w14:paraId="13217587">
      <w:pPr>
        <w:spacing w:before="148" w:line="221" w:lineRule="auto"/>
        <w:ind w:left="457"/>
        <w:rPr>
          <w:rFonts w:ascii="宋体" w:hAnsi="宋体" w:eastAsia="宋体" w:cs="宋体"/>
          <w:sz w:val="21"/>
          <w:szCs w:val="21"/>
        </w:rPr>
      </w:pPr>
      <w:r>
        <w:rPr>
          <w:rFonts w:ascii="Times New Roman" w:hAnsi="Times New Roman" w:eastAsia="Times New Roman" w:cs="Times New Roman"/>
          <w:spacing w:val="-2"/>
          <w:sz w:val="21"/>
          <w:szCs w:val="21"/>
        </w:rPr>
        <w:t xml:space="preserve">12.4.4 </w:t>
      </w:r>
      <w:r>
        <w:rPr>
          <w:rFonts w:ascii="宋体" w:hAnsi="宋体" w:eastAsia="宋体" w:cs="宋体"/>
          <w:spacing w:val="-2"/>
          <w:sz w:val="21"/>
          <w:szCs w:val="21"/>
        </w:rPr>
        <w:t>进度款审核和支付</w:t>
      </w:r>
    </w:p>
    <w:p w14:paraId="0E84A6C3">
      <w:pPr>
        <w:spacing w:before="146" w:line="353" w:lineRule="auto"/>
        <w:ind w:left="18" w:right="2" w:firstLine="429"/>
        <w:rPr>
          <w:rFonts w:ascii="宋体" w:hAnsi="宋体" w:eastAsia="宋体" w:cs="宋体"/>
          <w:sz w:val="21"/>
          <w:szCs w:val="21"/>
        </w:rPr>
      </w:pPr>
      <w:r>
        <w:rPr>
          <w:rFonts w:ascii="宋体" w:hAnsi="宋体" w:eastAsia="宋体" w:cs="宋体"/>
          <w:sz w:val="21"/>
          <w:szCs w:val="21"/>
        </w:rPr>
        <w:t>（</w:t>
      </w:r>
      <w:r>
        <w:rPr>
          <w:rFonts w:ascii="Times New Roman" w:hAnsi="Times New Roman" w:eastAsia="Times New Roman" w:cs="Times New Roman"/>
          <w:sz w:val="21"/>
          <w:szCs w:val="21"/>
        </w:rPr>
        <w:t>1</w:t>
      </w:r>
      <w:r>
        <w:rPr>
          <w:rFonts w:ascii="宋体" w:hAnsi="宋体" w:eastAsia="宋体" w:cs="宋体"/>
          <w:sz w:val="21"/>
          <w:szCs w:val="21"/>
        </w:rPr>
        <w:t>）除专用合同条款另有约定外，监理人应在收到承包人进度付款申请单以及相关资</w:t>
      </w:r>
      <w:r>
        <w:rPr>
          <w:rFonts w:ascii="宋体" w:hAnsi="宋体" w:eastAsia="宋体" w:cs="宋体"/>
          <w:spacing w:val="5"/>
          <w:sz w:val="21"/>
          <w:szCs w:val="21"/>
        </w:rPr>
        <w:t xml:space="preserve"> </w:t>
      </w:r>
      <w:r>
        <w:rPr>
          <w:rFonts w:ascii="宋体" w:hAnsi="宋体" w:eastAsia="宋体" w:cs="宋体"/>
          <w:spacing w:val="-4"/>
          <w:sz w:val="21"/>
          <w:szCs w:val="21"/>
        </w:rPr>
        <w:t xml:space="preserve">料后 </w:t>
      </w:r>
      <w:r>
        <w:rPr>
          <w:rFonts w:ascii="Times New Roman" w:hAnsi="Times New Roman" w:eastAsia="Times New Roman" w:cs="Times New Roman"/>
          <w:spacing w:val="-4"/>
          <w:sz w:val="21"/>
          <w:szCs w:val="21"/>
        </w:rPr>
        <w:t>7</w:t>
      </w:r>
      <w:r>
        <w:rPr>
          <w:rFonts w:ascii="Times New Roman" w:hAnsi="Times New Roman" w:eastAsia="Times New Roman" w:cs="Times New Roman"/>
          <w:spacing w:val="47"/>
          <w:sz w:val="21"/>
          <w:szCs w:val="21"/>
        </w:rPr>
        <w:t xml:space="preserve"> </w:t>
      </w:r>
      <w:r>
        <w:rPr>
          <w:rFonts w:ascii="宋体" w:hAnsi="宋体" w:eastAsia="宋体" w:cs="宋体"/>
          <w:spacing w:val="-4"/>
          <w:sz w:val="21"/>
          <w:szCs w:val="21"/>
        </w:rPr>
        <w:t xml:space="preserve">天内完成审查并报送发包人， 发包人应在收到后 </w:t>
      </w:r>
      <w:r>
        <w:rPr>
          <w:rFonts w:ascii="Times New Roman" w:hAnsi="Times New Roman" w:eastAsia="Times New Roman" w:cs="Times New Roman"/>
          <w:spacing w:val="-4"/>
          <w:sz w:val="21"/>
          <w:szCs w:val="21"/>
        </w:rPr>
        <w:t>7</w:t>
      </w:r>
      <w:r>
        <w:rPr>
          <w:rFonts w:ascii="Times New Roman" w:hAnsi="Times New Roman" w:eastAsia="Times New Roman" w:cs="Times New Roman"/>
          <w:spacing w:val="32"/>
          <w:sz w:val="21"/>
          <w:szCs w:val="21"/>
        </w:rPr>
        <w:t xml:space="preserve"> </w:t>
      </w:r>
      <w:r>
        <w:rPr>
          <w:rFonts w:ascii="宋体" w:hAnsi="宋体" w:eastAsia="宋体" w:cs="宋体"/>
          <w:spacing w:val="-4"/>
          <w:sz w:val="21"/>
          <w:szCs w:val="21"/>
        </w:rPr>
        <w:t>天内完成审批并签发进度款支付</w:t>
      </w:r>
    </w:p>
    <w:p w14:paraId="57EA7361">
      <w:pPr>
        <w:spacing w:line="219" w:lineRule="auto"/>
        <w:ind w:left="18"/>
        <w:rPr>
          <w:rFonts w:ascii="宋体" w:hAnsi="宋体" w:eastAsia="宋体" w:cs="宋体"/>
          <w:sz w:val="21"/>
          <w:szCs w:val="21"/>
        </w:rPr>
      </w:pPr>
      <w:r>
        <w:rPr>
          <w:rFonts w:ascii="宋体" w:hAnsi="宋体" w:eastAsia="宋体" w:cs="宋体"/>
          <w:spacing w:val="-4"/>
          <w:sz w:val="21"/>
          <w:szCs w:val="21"/>
        </w:rPr>
        <w:t>证书。发包人逾期未完成审批且未提出异议的， 视为已签发进度款支付证书。</w:t>
      </w:r>
    </w:p>
    <w:p w14:paraId="4B67D926">
      <w:pPr>
        <w:spacing w:before="150" w:line="352" w:lineRule="auto"/>
        <w:ind w:left="18" w:right="6" w:firstLine="426"/>
        <w:rPr>
          <w:rFonts w:ascii="宋体" w:hAnsi="宋体" w:eastAsia="宋体" w:cs="宋体"/>
          <w:sz w:val="21"/>
          <w:szCs w:val="21"/>
        </w:rPr>
      </w:pPr>
      <w:r>
        <w:rPr>
          <w:rFonts w:ascii="宋体" w:hAnsi="宋体" w:eastAsia="宋体" w:cs="宋体"/>
          <w:sz w:val="21"/>
          <w:szCs w:val="21"/>
        </w:rPr>
        <w:t>发包人和监理人对承包人的进度付款申请单有异议的， 有权要求承包人修正和提供补</w:t>
      </w:r>
      <w:r>
        <w:rPr>
          <w:rFonts w:ascii="宋体" w:hAnsi="宋体" w:eastAsia="宋体" w:cs="宋体"/>
          <w:spacing w:val="5"/>
          <w:sz w:val="21"/>
          <w:szCs w:val="21"/>
        </w:rPr>
        <w:t xml:space="preserve"> </w:t>
      </w:r>
      <w:r>
        <w:rPr>
          <w:rFonts w:ascii="宋体" w:hAnsi="宋体" w:eastAsia="宋体" w:cs="宋体"/>
          <w:spacing w:val="3"/>
          <w:sz w:val="21"/>
          <w:szCs w:val="21"/>
        </w:rPr>
        <w:t>充资料，承包人应提交修正后的进度付款申请单。监理人应在收到承包人修</w:t>
      </w:r>
      <w:r>
        <w:rPr>
          <w:rFonts w:ascii="宋体" w:hAnsi="宋体" w:eastAsia="宋体" w:cs="宋体"/>
          <w:spacing w:val="2"/>
          <w:sz w:val="21"/>
          <w:szCs w:val="21"/>
        </w:rPr>
        <w:t>正后的进度付</w:t>
      </w:r>
      <w:r>
        <w:rPr>
          <w:rFonts w:ascii="宋体" w:hAnsi="宋体" w:eastAsia="宋体" w:cs="宋体"/>
          <w:sz w:val="21"/>
          <w:szCs w:val="21"/>
        </w:rPr>
        <w:t xml:space="preserve"> 款申请单及相关资料后 </w:t>
      </w:r>
      <w:r>
        <w:rPr>
          <w:rFonts w:ascii="Times New Roman" w:hAnsi="Times New Roman" w:eastAsia="Times New Roman" w:cs="Times New Roman"/>
          <w:sz w:val="21"/>
          <w:szCs w:val="21"/>
        </w:rPr>
        <w:t xml:space="preserve">7  </w:t>
      </w:r>
      <w:r>
        <w:rPr>
          <w:rFonts w:ascii="宋体" w:hAnsi="宋体" w:eastAsia="宋体" w:cs="宋体"/>
          <w:sz w:val="21"/>
          <w:szCs w:val="21"/>
        </w:rPr>
        <w:t>天内完成审查并报送发包人，发包人应在收到监理人报送的进度</w:t>
      </w:r>
      <w:r>
        <w:rPr>
          <w:rFonts w:ascii="宋体" w:hAnsi="宋体" w:eastAsia="宋体" w:cs="宋体"/>
          <w:spacing w:val="10"/>
          <w:sz w:val="21"/>
          <w:szCs w:val="21"/>
        </w:rPr>
        <w:t xml:space="preserve"> </w:t>
      </w:r>
      <w:r>
        <w:rPr>
          <w:rFonts w:ascii="宋体" w:hAnsi="宋体" w:eastAsia="宋体" w:cs="宋体"/>
          <w:spacing w:val="-2"/>
          <w:sz w:val="21"/>
          <w:szCs w:val="21"/>
        </w:rPr>
        <w:t xml:space="preserve">付款申请单及相关资料后 </w:t>
      </w:r>
      <w:r>
        <w:rPr>
          <w:rFonts w:ascii="Times New Roman" w:hAnsi="Times New Roman" w:eastAsia="Times New Roman" w:cs="Times New Roman"/>
          <w:spacing w:val="-2"/>
          <w:sz w:val="21"/>
          <w:szCs w:val="21"/>
        </w:rPr>
        <w:t xml:space="preserve">7  </w:t>
      </w:r>
      <w:r>
        <w:rPr>
          <w:rFonts w:ascii="宋体" w:hAnsi="宋体" w:eastAsia="宋体" w:cs="宋体"/>
          <w:spacing w:val="-2"/>
          <w:sz w:val="21"/>
          <w:szCs w:val="21"/>
        </w:rPr>
        <w:t>天内， 向承包人签发无异议部分的临时进</w:t>
      </w:r>
      <w:r>
        <w:rPr>
          <w:rFonts w:ascii="宋体" w:hAnsi="宋体" w:eastAsia="宋体" w:cs="宋体"/>
          <w:spacing w:val="-3"/>
          <w:sz w:val="21"/>
          <w:szCs w:val="21"/>
        </w:rPr>
        <w:t>度款支付证书。存在</w:t>
      </w:r>
    </w:p>
    <w:p w14:paraId="48556C2E">
      <w:pPr>
        <w:spacing w:before="1" w:line="220" w:lineRule="auto"/>
        <w:ind w:left="22"/>
        <w:rPr>
          <w:rFonts w:ascii="宋体" w:hAnsi="宋体" w:eastAsia="宋体" w:cs="宋体"/>
          <w:sz w:val="21"/>
          <w:szCs w:val="21"/>
        </w:rPr>
      </w:pPr>
      <w:r>
        <w:rPr>
          <w:rFonts w:ascii="宋体" w:hAnsi="宋体" w:eastAsia="宋体" w:cs="宋体"/>
          <w:spacing w:val="-2"/>
          <w:sz w:val="21"/>
          <w:szCs w:val="21"/>
        </w:rPr>
        <w:t>争议的部分，按照第</w:t>
      </w:r>
      <w:r>
        <w:rPr>
          <w:rFonts w:ascii="宋体" w:hAnsi="宋体" w:eastAsia="宋体" w:cs="宋体"/>
          <w:spacing w:val="-22"/>
          <w:sz w:val="21"/>
          <w:szCs w:val="21"/>
        </w:rPr>
        <w:t xml:space="preserve"> </w:t>
      </w:r>
      <w:r>
        <w:rPr>
          <w:rFonts w:ascii="Times New Roman" w:hAnsi="Times New Roman" w:eastAsia="Times New Roman" w:cs="Times New Roman"/>
          <w:spacing w:val="-2"/>
          <w:sz w:val="21"/>
          <w:szCs w:val="21"/>
        </w:rPr>
        <w:t xml:space="preserve">20 </w:t>
      </w:r>
      <w:r>
        <w:rPr>
          <w:rFonts w:ascii="宋体" w:hAnsi="宋体" w:eastAsia="宋体" w:cs="宋体"/>
          <w:spacing w:val="-2"/>
          <w:sz w:val="21"/>
          <w:szCs w:val="21"/>
        </w:rPr>
        <w:t>条〔争议解决〕的约定处理。</w:t>
      </w:r>
    </w:p>
    <w:p w14:paraId="44887D59">
      <w:pPr>
        <w:spacing w:before="148" w:line="352" w:lineRule="auto"/>
        <w:ind w:left="18" w:right="4" w:firstLine="429"/>
        <w:rPr>
          <w:rFonts w:ascii="宋体" w:hAnsi="宋体" w:eastAsia="宋体" w:cs="宋体"/>
          <w:sz w:val="21"/>
          <w:szCs w:val="21"/>
        </w:rPr>
      </w:pPr>
      <w:r>
        <w:rPr>
          <w:rFonts w:ascii="宋体" w:hAnsi="宋体" w:eastAsia="宋体" w:cs="宋体"/>
          <w:sz w:val="21"/>
          <w:szCs w:val="21"/>
        </w:rPr>
        <w:t>（</w:t>
      </w:r>
      <w:r>
        <w:rPr>
          <w:rFonts w:ascii="Times New Roman" w:hAnsi="Times New Roman" w:eastAsia="Times New Roman" w:cs="Times New Roman"/>
          <w:sz w:val="21"/>
          <w:szCs w:val="21"/>
        </w:rPr>
        <w:t>2</w:t>
      </w:r>
      <w:r>
        <w:rPr>
          <w:rFonts w:ascii="宋体" w:hAnsi="宋体" w:eastAsia="宋体" w:cs="宋体"/>
          <w:sz w:val="21"/>
          <w:szCs w:val="21"/>
        </w:rPr>
        <w:t>）除专用合同条款另有约定外，发包人应在进度款支付证书或临时进度款支付证书</w:t>
      </w:r>
      <w:r>
        <w:rPr>
          <w:rFonts w:ascii="宋体" w:hAnsi="宋体" w:eastAsia="宋体" w:cs="宋体"/>
          <w:spacing w:val="4"/>
          <w:sz w:val="21"/>
          <w:szCs w:val="21"/>
        </w:rPr>
        <w:t xml:space="preserve"> </w:t>
      </w:r>
      <w:r>
        <w:rPr>
          <w:rFonts w:ascii="宋体" w:hAnsi="宋体" w:eastAsia="宋体" w:cs="宋体"/>
          <w:spacing w:val="-4"/>
          <w:sz w:val="21"/>
          <w:szCs w:val="21"/>
        </w:rPr>
        <w:t xml:space="preserve">签发后 </w:t>
      </w:r>
      <w:r>
        <w:rPr>
          <w:rFonts w:ascii="Times New Roman" w:hAnsi="Times New Roman" w:eastAsia="Times New Roman" w:cs="Times New Roman"/>
          <w:spacing w:val="-4"/>
          <w:sz w:val="21"/>
          <w:szCs w:val="21"/>
        </w:rPr>
        <w:t>14</w:t>
      </w:r>
      <w:r>
        <w:rPr>
          <w:rFonts w:ascii="Times New Roman" w:hAnsi="Times New Roman" w:eastAsia="Times New Roman" w:cs="Times New Roman"/>
          <w:spacing w:val="24"/>
          <w:w w:val="101"/>
          <w:sz w:val="21"/>
          <w:szCs w:val="21"/>
        </w:rPr>
        <w:t xml:space="preserve"> </w:t>
      </w:r>
      <w:r>
        <w:rPr>
          <w:rFonts w:ascii="宋体" w:hAnsi="宋体" w:eastAsia="宋体" w:cs="宋体"/>
          <w:spacing w:val="-4"/>
          <w:sz w:val="21"/>
          <w:szCs w:val="21"/>
        </w:rPr>
        <w:t>天内完成支付， 发包人逾期支付进度款的，应按照中国人民银行发布的同期同类</w:t>
      </w:r>
    </w:p>
    <w:p w14:paraId="61B45E38">
      <w:pPr>
        <w:spacing w:before="1" w:line="220" w:lineRule="auto"/>
        <w:ind w:left="15"/>
        <w:rPr>
          <w:rFonts w:ascii="宋体" w:hAnsi="宋体" w:eastAsia="宋体" w:cs="宋体"/>
          <w:sz w:val="21"/>
          <w:szCs w:val="21"/>
        </w:rPr>
      </w:pPr>
      <w:r>
        <w:rPr>
          <w:rFonts w:ascii="宋体" w:hAnsi="宋体" w:eastAsia="宋体" w:cs="宋体"/>
          <w:spacing w:val="-2"/>
          <w:sz w:val="21"/>
          <w:szCs w:val="21"/>
        </w:rPr>
        <w:t>贷款基准利率支付违约金。</w:t>
      </w:r>
    </w:p>
    <w:p w14:paraId="74D46058">
      <w:pPr>
        <w:spacing w:before="148" w:line="398" w:lineRule="exact"/>
        <w:ind w:right="12"/>
        <w:jc w:val="right"/>
        <w:rPr>
          <w:rFonts w:ascii="宋体" w:hAnsi="宋体" w:eastAsia="宋体" w:cs="宋体"/>
          <w:sz w:val="21"/>
          <w:szCs w:val="21"/>
        </w:rPr>
      </w:pPr>
      <w:r>
        <w:rPr>
          <w:rFonts w:ascii="宋体" w:hAnsi="宋体" w:eastAsia="宋体" w:cs="宋体"/>
          <w:position w:val="14"/>
          <w:sz w:val="21"/>
          <w:szCs w:val="21"/>
        </w:rPr>
        <w:t>（</w:t>
      </w:r>
      <w:r>
        <w:rPr>
          <w:rFonts w:ascii="Times New Roman" w:hAnsi="Times New Roman" w:eastAsia="Times New Roman" w:cs="Times New Roman"/>
          <w:position w:val="14"/>
          <w:sz w:val="21"/>
          <w:szCs w:val="21"/>
        </w:rPr>
        <w:t>3</w:t>
      </w:r>
      <w:r>
        <w:rPr>
          <w:rFonts w:ascii="宋体" w:hAnsi="宋体" w:eastAsia="宋体" w:cs="宋体"/>
          <w:position w:val="14"/>
          <w:sz w:val="21"/>
          <w:szCs w:val="21"/>
        </w:rPr>
        <w:t>）发包人签发进度款支付证书或临时进度款支付证书，不表明发包人已同</w:t>
      </w:r>
      <w:r>
        <w:rPr>
          <w:rFonts w:ascii="宋体" w:hAnsi="宋体" w:eastAsia="宋体" w:cs="宋体"/>
          <w:spacing w:val="-1"/>
          <w:position w:val="14"/>
          <w:sz w:val="21"/>
          <w:szCs w:val="21"/>
        </w:rPr>
        <w:t>意、批准</w:t>
      </w:r>
    </w:p>
    <w:p w14:paraId="2C54253F">
      <w:pPr>
        <w:spacing w:before="1" w:line="220" w:lineRule="auto"/>
        <w:ind w:left="20"/>
        <w:rPr>
          <w:rFonts w:ascii="宋体" w:hAnsi="宋体" w:eastAsia="宋体" w:cs="宋体"/>
          <w:sz w:val="21"/>
          <w:szCs w:val="21"/>
        </w:rPr>
      </w:pPr>
      <w:r>
        <w:rPr>
          <w:rFonts w:ascii="宋体" w:hAnsi="宋体" w:eastAsia="宋体" w:cs="宋体"/>
          <w:spacing w:val="-1"/>
          <w:sz w:val="21"/>
          <w:szCs w:val="21"/>
        </w:rPr>
        <w:t>或接受了承包人完成的相应部分的工作。</w:t>
      </w:r>
    </w:p>
    <w:p w14:paraId="008F98DB">
      <w:pPr>
        <w:spacing w:before="152" w:line="221" w:lineRule="auto"/>
        <w:ind w:left="457"/>
        <w:rPr>
          <w:rFonts w:ascii="宋体" w:hAnsi="宋体" w:eastAsia="宋体" w:cs="宋体"/>
          <w:sz w:val="21"/>
          <w:szCs w:val="21"/>
        </w:rPr>
      </w:pPr>
      <w:r>
        <w:rPr>
          <w:rFonts w:ascii="Times New Roman" w:hAnsi="Times New Roman" w:eastAsia="Times New Roman" w:cs="Times New Roman"/>
          <w:spacing w:val="-2"/>
          <w:sz w:val="21"/>
          <w:szCs w:val="21"/>
        </w:rPr>
        <w:t xml:space="preserve">12.4.5 </w:t>
      </w:r>
      <w:r>
        <w:rPr>
          <w:rFonts w:ascii="宋体" w:hAnsi="宋体" w:eastAsia="宋体" w:cs="宋体"/>
          <w:spacing w:val="-2"/>
          <w:sz w:val="21"/>
          <w:szCs w:val="21"/>
        </w:rPr>
        <w:t>进度付款的修正</w:t>
      </w:r>
    </w:p>
    <w:p w14:paraId="629AA0CC">
      <w:pPr>
        <w:spacing w:before="146" w:line="353" w:lineRule="auto"/>
        <w:ind w:left="20" w:right="6" w:firstLine="420"/>
        <w:rPr>
          <w:rFonts w:ascii="宋体" w:hAnsi="宋体" w:eastAsia="宋体" w:cs="宋体"/>
          <w:sz w:val="21"/>
          <w:szCs w:val="21"/>
        </w:rPr>
      </w:pPr>
      <w:r>
        <w:rPr>
          <w:rFonts w:ascii="宋体" w:hAnsi="宋体" w:eastAsia="宋体" w:cs="宋体"/>
          <w:sz w:val="21"/>
          <w:szCs w:val="21"/>
        </w:rPr>
        <w:t>在对已签发的进度款支付证书进行阶段汇总和复核中发现错误、遗漏或重复的， 发包</w:t>
      </w:r>
      <w:r>
        <w:rPr>
          <w:rFonts w:ascii="宋体" w:hAnsi="宋体" w:eastAsia="宋体" w:cs="宋体"/>
          <w:spacing w:val="9"/>
          <w:sz w:val="21"/>
          <w:szCs w:val="21"/>
        </w:rPr>
        <w:t xml:space="preserve"> </w:t>
      </w:r>
      <w:r>
        <w:rPr>
          <w:rFonts w:ascii="宋体" w:hAnsi="宋体" w:eastAsia="宋体" w:cs="宋体"/>
          <w:sz w:val="21"/>
          <w:szCs w:val="21"/>
        </w:rPr>
        <w:t>人和承包人均有权提出修正申请。经发包人和承包人同意的修正， 应在下期进度付款中支</w:t>
      </w:r>
    </w:p>
    <w:p w14:paraId="015BB89B">
      <w:pPr>
        <w:spacing w:before="1" w:line="220" w:lineRule="auto"/>
        <w:ind w:left="18"/>
        <w:rPr>
          <w:rFonts w:ascii="宋体" w:hAnsi="宋体" w:eastAsia="宋体" w:cs="宋体"/>
          <w:sz w:val="21"/>
          <w:szCs w:val="21"/>
        </w:rPr>
      </w:pPr>
      <w:r>
        <w:rPr>
          <w:rFonts w:ascii="宋体" w:hAnsi="宋体" w:eastAsia="宋体" w:cs="宋体"/>
          <w:spacing w:val="-6"/>
          <w:sz w:val="21"/>
          <w:szCs w:val="21"/>
        </w:rPr>
        <w:t>付或扣除。</w:t>
      </w:r>
    </w:p>
    <w:p w14:paraId="50F60DBC">
      <w:pPr>
        <w:spacing w:before="147" w:line="221" w:lineRule="auto"/>
        <w:ind w:left="457"/>
        <w:rPr>
          <w:rFonts w:ascii="宋体" w:hAnsi="宋体" w:eastAsia="宋体" w:cs="宋体"/>
          <w:sz w:val="21"/>
          <w:szCs w:val="21"/>
        </w:rPr>
      </w:pPr>
      <w:r>
        <w:rPr>
          <w:rFonts w:ascii="Times New Roman" w:hAnsi="Times New Roman" w:eastAsia="Times New Roman" w:cs="Times New Roman"/>
          <w:spacing w:val="-2"/>
          <w:sz w:val="21"/>
          <w:szCs w:val="21"/>
        </w:rPr>
        <w:t xml:space="preserve">12.4.6 </w:t>
      </w:r>
      <w:r>
        <w:rPr>
          <w:rFonts w:ascii="宋体" w:hAnsi="宋体" w:eastAsia="宋体" w:cs="宋体"/>
          <w:spacing w:val="-2"/>
          <w:sz w:val="21"/>
          <w:szCs w:val="21"/>
        </w:rPr>
        <w:t>支付分解表</w:t>
      </w:r>
    </w:p>
    <w:p w14:paraId="06A1FF6E">
      <w:pPr>
        <w:spacing w:before="147" w:line="221" w:lineRule="auto"/>
        <w:ind w:left="457"/>
        <w:rPr>
          <w:rFonts w:ascii="宋体" w:hAnsi="宋体" w:eastAsia="宋体" w:cs="宋体"/>
          <w:sz w:val="21"/>
          <w:szCs w:val="21"/>
        </w:rPr>
      </w:pPr>
      <w:r>
        <w:rPr>
          <w:rFonts w:ascii="Times New Roman" w:hAnsi="Times New Roman" w:eastAsia="Times New Roman" w:cs="Times New Roman"/>
          <w:spacing w:val="-2"/>
          <w:sz w:val="21"/>
          <w:szCs w:val="21"/>
        </w:rPr>
        <w:t>1.</w:t>
      </w:r>
      <w:r>
        <w:rPr>
          <w:rFonts w:ascii="宋体" w:hAnsi="宋体" w:eastAsia="宋体" w:cs="宋体"/>
          <w:spacing w:val="-2"/>
          <w:sz w:val="21"/>
          <w:szCs w:val="21"/>
        </w:rPr>
        <w:t>支付分解表的编制要求</w:t>
      </w:r>
    </w:p>
    <w:p w14:paraId="0BC59CBC">
      <w:pPr>
        <w:spacing w:before="153" w:line="398" w:lineRule="exact"/>
        <w:ind w:right="3"/>
        <w:jc w:val="right"/>
        <w:rPr>
          <w:rFonts w:ascii="宋体" w:hAnsi="宋体" w:eastAsia="宋体" w:cs="宋体"/>
          <w:sz w:val="21"/>
          <w:szCs w:val="21"/>
        </w:rPr>
      </w:pPr>
      <w:r>
        <w:rPr>
          <w:rFonts w:ascii="宋体" w:hAnsi="宋体" w:eastAsia="宋体" w:cs="宋体"/>
          <w:spacing w:val="-1"/>
          <w:position w:val="14"/>
          <w:sz w:val="21"/>
          <w:szCs w:val="21"/>
        </w:rPr>
        <w:t>（</w:t>
      </w:r>
      <w:r>
        <w:rPr>
          <w:rFonts w:ascii="Times New Roman" w:hAnsi="Times New Roman" w:eastAsia="Times New Roman" w:cs="Times New Roman"/>
          <w:spacing w:val="-1"/>
          <w:position w:val="14"/>
          <w:sz w:val="21"/>
          <w:szCs w:val="21"/>
        </w:rPr>
        <w:t>1</w:t>
      </w:r>
      <w:r>
        <w:rPr>
          <w:rFonts w:ascii="宋体" w:hAnsi="宋体" w:eastAsia="宋体" w:cs="宋体"/>
          <w:spacing w:val="-1"/>
          <w:position w:val="14"/>
          <w:sz w:val="21"/>
          <w:szCs w:val="21"/>
        </w:rPr>
        <w:t xml:space="preserve">）支付分解表中所列的每期付款金额，应为第 </w:t>
      </w:r>
      <w:r>
        <w:rPr>
          <w:rFonts w:ascii="Times New Roman" w:hAnsi="Times New Roman" w:eastAsia="Times New Roman" w:cs="Times New Roman"/>
          <w:spacing w:val="-1"/>
          <w:position w:val="14"/>
          <w:sz w:val="21"/>
          <w:szCs w:val="21"/>
        </w:rPr>
        <w:t xml:space="preserve">12.4.2 </w:t>
      </w:r>
      <w:r>
        <w:rPr>
          <w:rFonts w:ascii="宋体" w:hAnsi="宋体" w:eastAsia="宋体" w:cs="宋体"/>
          <w:spacing w:val="-1"/>
          <w:position w:val="14"/>
          <w:sz w:val="21"/>
          <w:szCs w:val="21"/>
        </w:rPr>
        <w:t>项〔进度付款申请单</w:t>
      </w:r>
      <w:r>
        <w:rPr>
          <w:rFonts w:ascii="宋体" w:hAnsi="宋体" w:eastAsia="宋体" w:cs="宋体"/>
          <w:spacing w:val="-2"/>
          <w:position w:val="14"/>
          <w:sz w:val="21"/>
          <w:szCs w:val="21"/>
        </w:rPr>
        <w:t>的编制〕</w:t>
      </w:r>
    </w:p>
    <w:p w14:paraId="6DF3AACC">
      <w:pPr>
        <w:spacing w:line="219" w:lineRule="auto"/>
        <w:ind w:left="18"/>
        <w:rPr>
          <w:rFonts w:ascii="宋体" w:hAnsi="宋体" w:eastAsia="宋体" w:cs="宋体"/>
          <w:sz w:val="21"/>
          <w:szCs w:val="21"/>
        </w:rPr>
      </w:pPr>
      <w:r>
        <w:rPr>
          <w:rFonts w:ascii="宋体" w:hAnsi="宋体" w:eastAsia="宋体" w:cs="宋体"/>
          <w:spacing w:val="-5"/>
          <w:sz w:val="21"/>
          <w:szCs w:val="21"/>
        </w:rPr>
        <w:t>第（</w:t>
      </w:r>
      <w:r>
        <w:rPr>
          <w:rFonts w:ascii="Times New Roman" w:hAnsi="Times New Roman" w:eastAsia="Times New Roman" w:cs="Times New Roman"/>
          <w:spacing w:val="-5"/>
          <w:sz w:val="21"/>
          <w:szCs w:val="21"/>
        </w:rPr>
        <w:t>1</w:t>
      </w:r>
      <w:r>
        <w:rPr>
          <w:rFonts w:ascii="宋体" w:hAnsi="宋体" w:eastAsia="宋体" w:cs="宋体"/>
          <w:spacing w:val="-5"/>
          <w:sz w:val="21"/>
          <w:szCs w:val="21"/>
        </w:rPr>
        <w:t>）</w:t>
      </w:r>
      <w:r>
        <w:rPr>
          <w:rFonts w:ascii="宋体" w:hAnsi="宋体" w:eastAsia="宋体" w:cs="宋体"/>
          <w:spacing w:val="-53"/>
          <w:sz w:val="21"/>
          <w:szCs w:val="21"/>
        </w:rPr>
        <w:t xml:space="preserve"> </w:t>
      </w:r>
      <w:r>
        <w:rPr>
          <w:rFonts w:ascii="宋体" w:hAnsi="宋体" w:eastAsia="宋体" w:cs="宋体"/>
          <w:spacing w:val="-5"/>
          <w:sz w:val="21"/>
          <w:szCs w:val="21"/>
        </w:rPr>
        <w:t>目的估算金额；</w:t>
      </w:r>
    </w:p>
    <w:p w14:paraId="095ED1C2">
      <w:pPr>
        <w:spacing w:before="149" w:line="403" w:lineRule="exact"/>
        <w:ind w:right="2"/>
        <w:jc w:val="right"/>
        <w:rPr>
          <w:rFonts w:ascii="宋体" w:hAnsi="宋体" w:eastAsia="宋体" w:cs="宋体"/>
          <w:sz w:val="21"/>
          <w:szCs w:val="21"/>
        </w:rPr>
      </w:pPr>
      <w:r>
        <w:rPr>
          <w:rFonts w:ascii="宋体" w:hAnsi="宋体" w:eastAsia="宋体" w:cs="宋体"/>
          <w:spacing w:val="-1"/>
          <w:position w:val="14"/>
          <w:sz w:val="21"/>
          <w:szCs w:val="21"/>
        </w:rPr>
        <w:t>（</w:t>
      </w:r>
      <w:r>
        <w:rPr>
          <w:rFonts w:ascii="Times New Roman" w:hAnsi="Times New Roman" w:eastAsia="Times New Roman" w:cs="Times New Roman"/>
          <w:spacing w:val="-1"/>
          <w:position w:val="14"/>
          <w:sz w:val="21"/>
          <w:szCs w:val="21"/>
        </w:rPr>
        <w:t>2</w:t>
      </w:r>
      <w:r>
        <w:rPr>
          <w:rFonts w:ascii="宋体" w:hAnsi="宋体" w:eastAsia="宋体" w:cs="宋体"/>
          <w:spacing w:val="-1"/>
          <w:position w:val="14"/>
          <w:sz w:val="21"/>
          <w:szCs w:val="21"/>
        </w:rPr>
        <w:t xml:space="preserve">）实际进度与施工进度计划不一致的，合同当事人可按照第 </w:t>
      </w:r>
      <w:r>
        <w:rPr>
          <w:rFonts w:ascii="Times New Roman" w:hAnsi="Times New Roman" w:eastAsia="Times New Roman" w:cs="Times New Roman"/>
          <w:spacing w:val="-1"/>
          <w:position w:val="14"/>
          <w:sz w:val="21"/>
          <w:szCs w:val="21"/>
        </w:rPr>
        <w:t>4.4</w:t>
      </w:r>
      <w:r>
        <w:rPr>
          <w:rFonts w:ascii="Times New Roman" w:hAnsi="Times New Roman" w:eastAsia="Times New Roman" w:cs="Times New Roman"/>
          <w:spacing w:val="46"/>
          <w:w w:val="101"/>
          <w:position w:val="14"/>
          <w:sz w:val="21"/>
          <w:szCs w:val="21"/>
        </w:rPr>
        <w:t xml:space="preserve"> </w:t>
      </w:r>
      <w:r>
        <w:rPr>
          <w:rFonts w:ascii="宋体" w:hAnsi="宋体" w:eastAsia="宋体" w:cs="宋体"/>
          <w:spacing w:val="-1"/>
          <w:position w:val="14"/>
          <w:sz w:val="21"/>
          <w:szCs w:val="21"/>
        </w:rPr>
        <w:t>款〔商定或确定〕</w:t>
      </w:r>
    </w:p>
    <w:p w14:paraId="1BA3ED91">
      <w:pPr>
        <w:spacing w:before="1" w:line="220" w:lineRule="auto"/>
        <w:ind w:left="18"/>
        <w:rPr>
          <w:rFonts w:ascii="宋体" w:hAnsi="宋体" w:eastAsia="宋体" w:cs="宋体"/>
          <w:sz w:val="21"/>
          <w:szCs w:val="21"/>
        </w:rPr>
      </w:pPr>
      <w:r>
        <w:rPr>
          <w:rFonts w:ascii="宋体" w:hAnsi="宋体" w:eastAsia="宋体" w:cs="宋体"/>
          <w:spacing w:val="-5"/>
          <w:sz w:val="21"/>
          <w:szCs w:val="21"/>
        </w:rPr>
        <w:t>修改支付分解表；</w:t>
      </w:r>
    </w:p>
    <w:p w14:paraId="7FCCC2CB">
      <w:pPr>
        <w:spacing w:before="148" w:line="399" w:lineRule="exact"/>
        <w:ind w:right="12"/>
        <w:jc w:val="right"/>
        <w:rPr>
          <w:rFonts w:ascii="宋体" w:hAnsi="宋体" w:eastAsia="宋体" w:cs="宋体"/>
          <w:sz w:val="21"/>
          <w:szCs w:val="21"/>
        </w:rPr>
      </w:pPr>
      <w:r>
        <w:rPr>
          <w:rFonts w:ascii="宋体" w:hAnsi="宋体" w:eastAsia="宋体" w:cs="宋体"/>
          <w:position w:val="14"/>
          <w:sz w:val="21"/>
          <w:szCs w:val="21"/>
        </w:rPr>
        <w:t>（</w:t>
      </w:r>
      <w:r>
        <w:rPr>
          <w:rFonts w:ascii="Times New Roman" w:hAnsi="Times New Roman" w:eastAsia="Times New Roman" w:cs="Times New Roman"/>
          <w:position w:val="14"/>
          <w:sz w:val="21"/>
          <w:szCs w:val="21"/>
        </w:rPr>
        <w:t>3</w:t>
      </w:r>
      <w:r>
        <w:rPr>
          <w:rFonts w:ascii="宋体" w:hAnsi="宋体" w:eastAsia="宋体" w:cs="宋体"/>
          <w:position w:val="14"/>
          <w:sz w:val="21"/>
          <w:szCs w:val="21"/>
        </w:rPr>
        <w:t>）不采用支付分解表的，承包人应向发包人和监理人提交按季度编制的支付</w:t>
      </w:r>
      <w:r>
        <w:rPr>
          <w:rFonts w:ascii="宋体" w:hAnsi="宋体" w:eastAsia="宋体" w:cs="宋体"/>
          <w:spacing w:val="-1"/>
          <w:position w:val="14"/>
          <w:sz w:val="21"/>
          <w:szCs w:val="21"/>
        </w:rPr>
        <w:t>估算分</w:t>
      </w:r>
    </w:p>
    <w:p w14:paraId="53416BA8">
      <w:pPr>
        <w:spacing w:line="220" w:lineRule="auto"/>
        <w:ind w:left="17"/>
        <w:rPr>
          <w:rFonts w:ascii="宋体" w:hAnsi="宋体" w:eastAsia="宋体" w:cs="宋体"/>
          <w:sz w:val="21"/>
          <w:szCs w:val="21"/>
        </w:rPr>
      </w:pPr>
      <w:r>
        <w:rPr>
          <w:rFonts w:ascii="宋体" w:hAnsi="宋体" w:eastAsia="宋体" w:cs="宋体"/>
          <w:spacing w:val="-1"/>
          <w:sz w:val="21"/>
          <w:szCs w:val="21"/>
        </w:rPr>
        <w:t>解表，用于支付参考。</w:t>
      </w:r>
    </w:p>
    <w:p w14:paraId="1D065DFF">
      <w:pPr>
        <w:spacing w:before="153" w:line="219" w:lineRule="auto"/>
        <w:ind w:left="437"/>
        <w:rPr>
          <w:rFonts w:ascii="宋体" w:hAnsi="宋体" w:eastAsia="宋体" w:cs="宋体"/>
          <w:sz w:val="21"/>
          <w:szCs w:val="21"/>
        </w:rPr>
      </w:pPr>
      <w:r>
        <w:rPr>
          <w:rFonts w:ascii="Times New Roman" w:hAnsi="Times New Roman" w:eastAsia="Times New Roman" w:cs="Times New Roman"/>
          <w:sz w:val="21"/>
          <w:szCs w:val="21"/>
        </w:rPr>
        <w:t>2.</w:t>
      </w:r>
      <w:r>
        <w:rPr>
          <w:rFonts w:ascii="宋体" w:hAnsi="宋体" w:eastAsia="宋体" w:cs="宋体"/>
          <w:sz w:val="21"/>
          <w:szCs w:val="21"/>
        </w:rPr>
        <w:t>总价合同支付分解表的编制与审批</w:t>
      </w:r>
    </w:p>
    <w:p w14:paraId="0857794E">
      <w:pPr>
        <w:spacing w:before="148" w:line="352" w:lineRule="auto"/>
        <w:ind w:left="18" w:right="1" w:firstLine="429"/>
        <w:rPr>
          <w:rFonts w:ascii="宋体" w:hAnsi="宋体" w:eastAsia="宋体" w:cs="宋体"/>
          <w:sz w:val="21"/>
          <w:szCs w:val="21"/>
        </w:rPr>
      </w:pPr>
      <w:r>
        <w:rPr>
          <w:rFonts w:ascii="宋体" w:hAnsi="宋体" w:eastAsia="宋体" w:cs="宋体"/>
          <w:spacing w:val="-1"/>
          <w:sz w:val="21"/>
          <w:szCs w:val="21"/>
        </w:rPr>
        <w:t>（</w:t>
      </w:r>
      <w:r>
        <w:rPr>
          <w:rFonts w:ascii="Times New Roman" w:hAnsi="Times New Roman" w:eastAsia="Times New Roman" w:cs="Times New Roman"/>
          <w:spacing w:val="-1"/>
          <w:sz w:val="21"/>
          <w:szCs w:val="21"/>
        </w:rPr>
        <w:t>1</w:t>
      </w:r>
      <w:r>
        <w:rPr>
          <w:rFonts w:ascii="宋体" w:hAnsi="宋体" w:eastAsia="宋体" w:cs="宋体"/>
          <w:spacing w:val="-1"/>
          <w:sz w:val="21"/>
          <w:szCs w:val="21"/>
        </w:rPr>
        <w:t xml:space="preserve">）除专用合同条款另有约定外，承包人应根据第 </w:t>
      </w:r>
      <w:r>
        <w:rPr>
          <w:rFonts w:ascii="Times New Roman" w:hAnsi="Times New Roman" w:eastAsia="Times New Roman" w:cs="Times New Roman"/>
          <w:spacing w:val="-1"/>
          <w:sz w:val="21"/>
          <w:szCs w:val="21"/>
        </w:rPr>
        <w:t>7.2</w:t>
      </w:r>
      <w:r>
        <w:rPr>
          <w:rFonts w:ascii="Times New Roman" w:hAnsi="Times New Roman" w:eastAsia="Times New Roman" w:cs="Times New Roman"/>
          <w:spacing w:val="48"/>
          <w:sz w:val="21"/>
          <w:szCs w:val="21"/>
        </w:rPr>
        <w:t xml:space="preserve"> </w:t>
      </w:r>
      <w:r>
        <w:rPr>
          <w:rFonts w:ascii="宋体" w:hAnsi="宋体" w:eastAsia="宋体" w:cs="宋体"/>
          <w:spacing w:val="-1"/>
          <w:sz w:val="21"/>
          <w:szCs w:val="21"/>
        </w:rPr>
        <w:t>款〔施工进度计划〕约定的施</w:t>
      </w:r>
      <w:r>
        <w:rPr>
          <w:rFonts w:ascii="宋体" w:hAnsi="宋体" w:eastAsia="宋体" w:cs="宋体"/>
          <w:sz w:val="21"/>
          <w:szCs w:val="21"/>
        </w:rPr>
        <w:t xml:space="preserve"> </w:t>
      </w:r>
      <w:r>
        <w:rPr>
          <w:rFonts w:ascii="宋体" w:hAnsi="宋体" w:eastAsia="宋体" w:cs="宋体"/>
          <w:spacing w:val="3"/>
          <w:sz w:val="21"/>
          <w:szCs w:val="21"/>
        </w:rPr>
        <w:t>工进度计划、签约合同价和工程量等因素对总价合同按月进行分解，编制支</w:t>
      </w:r>
      <w:r>
        <w:rPr>
          <w:rFonts w:ascii="宋体" w:hAnsi="宋体" w:eastAsia="宋体" w:cs="宋体"/>
          <w:spacing w:val="2"/>
          <w:sz w:val="21"/>
          <w:szCs w:val="21"/>
        </w:rPr>
        <w:t>付分解表。承</w:t>
      </w:r>
      <w:r>
        <w:rPr>
          <w:rFonts w:ascii="宋体" w:hAnsi="宋体" w:eastAsia="宋体" w:cs="宋体"/>
          <w:sz w:val="21"/>
          <w:szCs w:val="21"/>
        </w:rPr>
        <w:t xml:space="preserve"> 包人应当在收到监理人和发包人批准的施工进度计划后 </w:t>
      </w:r>
      <w:r>
        <w:rPr>
          <w:rFonts w:ascii="Times New Roman" w:hAnsi="Times New Roman" w:eastAsia="Times New Roman" w:cs="Times New Roman"/>
          <w:sz w:val="21"/>
          <w:szCs w:val="21"/>
        </w:rPr>
        <w:t xml:space="preserve">7  </w:t>
      </w:r>
      <w:r>
        <w:rPr>
          <w:rFonts w:ascii="宋体" w:hAnsi="宋体" w:eastAsia="宋体" w:cs="宋体"/>
          <w:sz w:val="21"/>
          <w:szCs w:val="21"/>
        </w:rPr>
        <w:t>天内，将支付分解表及编制支付</w:t>
      </w:r>
    </w:p>
    <w:p w14:paraId="1CB5CDB7">
      <w:pPr>
        <w:spacing w:before="1" w:line="220" w:lineRule="auto"/>
        <w:ind w:left="20"/>
        <w:rPr>
          <w:rFonts w:ascii="宋体" w:hAnsi="宋体" w:eastAsia="宋体" w:cs="宋体"/>
          <w:sz w:val="21"/>
          <w:szCs w:val="21"/>
        </w:rPr>
      </w:pPr>
      <w:r>
        <w:rPr>
          <w:rFonts w:ascii="宋体" w:hAnsi="宋体" w:eastAsia="宋体" w:cs="宋体"/>
          <w:spacing w:val="-2"/>
          <w:sz w:val="21"/>
          <w:szCs w:val="21"/>
        </w:rPr>
        <w:t>分解表的支持性资料报送监理人。</w:t>
      </w:r>
    </w:p>
    <w:p w14:paraId="3C0C0584">
      <w:pPr>
        <w:spacing w:before="148" w:line="352" w:lineRule="auto"/>
        <w:ind w:left="19" w:right="2" w:firstLine="428"/>
        <w:rPr>
          <w:rFonts w:ascii="宋体" w:hAnsi="宋体" w:eastAsia="宋体" w:cs="宋体"/>
          <w:sz w:val="21"/>
          <w:szCs w:val="21"/>
        </w:rPr>
      </w:pPr>
      <w:r>
        <w:rPr>
          <w:rFonts w:ascii="宋体" w:hAnsi="宋体" w:eastAsia="宋体" w:cs="宋体"/>
          <w:sz w:val="21"/>
          <w:szCs w:val="21"/>
        </w:rPr>
        <w:t>（</w:t>
      </w:r>
      <w:r>
        <w:rPr>
          <w:rFonts w:ascii="Times New Roman" w:hAnsi="Times New Roman" w:eastAsia="Times New Roman" w:cs="Times New Roman"/>
          <w:sz w:val="21"/>
          <w:szCs w:val="21"/>
        </w:rPr>
        <w:t>2</w:t>
      </w:r>
      <w:r>
        <w:rPr>
          <w:rFonts w:ascii="宋体" w:hAnsi="宋体" w:eastAsia="宋体" w:cs="宋体"/>
          <w:sz w:val="21"/>
          <w:szCs w:val="21"/>
        </w:rPr>
        <w:t>）监理人应在收到支付分解表后</w:t>
      </w:r>
      <w:r>
        <w:rPr>
          <w:rFonts w:ascii="宋体" w:hAnsi="宋体" w:eastAsia="宋体" w:cs="宋体"/>
          <w:spacing w:val="-28"/>
          <w:sz w:val="21"/>
          <w:szCs w:val="21"/>
        </w:rPr>
        <w:t xml:space="preserve"> </w:t>
      </w:r>
      <w:r>
        <w:rPr>
          <w:rFonts w:ascii="Times New Roman" w:hAnsi="Times New Roman" w:eastAsia="Times New Roman" w:cs="Times New Roman"/>
          <w:sz w:val="21"/>
          <w:szCs w:val="21"/>
        </w:rPr>
        <w:t xml:space="preserve">7 </w:t>
      </w:r>
      <w:r>
        <w:rPr>
          <w:rFonts w:ascii="宋体" w:hAnsi="宋体" w:eastAsia="宋体" w:cs="宋体"/>
          <w:sz w:val="21"/>
          <w:szCs w:val="21"/>
        </w:rPr>
        <w:t>天内完</w:t>
      </w:r>
      <w:r>
        <w:rPr>
          <w:rFonts w:ascii="宋体" w:hAnsi="宋体" w:eastAsia="宋体" w:cs="宋体"/>
          <w:spacing w:val="-1"/>
          <w:sz w:val="21"/>
          <w:szCs w:val="21"/>
        </w:rPr>
        <w:t>成审核并报送发包人。发包人应在收到经</w:t>
      </w:r>
      <w:r>
        <w:rPr>
          <w:rFonts w:ascii="宋体" w:hAnsi="宋体" w:eastAsia="宋体" w:cs="宋体"/>
          <w:sz w:val="21"/>
          <w:szCs w:val="21"/>
        </w:rPr>
        <w:t xml:space="preserve"> 监理人审核的支付分解表后 </w:t>
      </w:r>
      <w:r>
        <w:rPr>
          <w:rFonts w:ascii="Times New Roman" w:hAnsi="Times New Roman" w:eastAsia="Times New Roman" w:cs="Times New Roman"/>
          <w:sz w:val="21"/>
          <w:szCs w:val="21"/>
        </w:rPr>
        <w:t xml:space="preserve">7  </w:t>
      </w:r>
      <w:r>
        <w:rPr>
          <w:rFonts w:ascii="宋体" w:hAnsi="宋体" w:eastAsia="宋体" w:cs="宋体"/>
          <w:sz w:val="21"/>
          <w:szCs w:val="21"/>
        </w:rPr>
        <w:t>天内完成审批，经发包人批准的支付分解表为有约束力的支</w:t>
      </w:r>
    </w:p>
    <w:p w14:paraId="7683DC6E">
      <w:pPr>
        <w:spacing w:before="1" w:line="220" w:lineRule="auto"/>
        <w:ind w:left="18"/>
        <w:rPr>
          <w:rFonts w:ascii="宋体" w:hAnsi="宋体" w:eastAsia="宋体" w:cs="宋体"/>
          <w:sz w:val="21"/>
          <w:szCs w:val="21"/>
        </w:rPr>
      </w:pPr>
      <w:r>
        <w:rPr>
          <w:rFonts w:ascii="宋体" w:hAnsi="宋体" w:eastAsia="宋体" w:cs="宋体"/>
          <w:spacing w:val="-6"/>
          <w:sz w:val="21"/>
          <w:szCs w:val="21"/>
        </w:rPr>
        <w:t>付分解表。</w:t>
      </w:r>
    </w:p>
    <w:p w14:paraId="6E2A786B">
      <w:pPr>
        <w:spacing w:line="220" w:lineRule="auto"/>
        <w:rPr>
          <w:rFonts w:ascii="宋体" w:hAnsi="宋体" w:eastAsia="宋体" w:cs="宋体"/>
          <w:sz w:val="21"/>
          <w:szCs w:val="21"/>
        </w:rPr>
        <w:sectPr>
          <w:footerReference r:id="rId123" w:type="default"/>
          <w:pgSz w:w="11905" w:h="16839"/>
          <w:pgMar w:top="1431" w:right="1785" w:bottom="1004" w:left="1785" w:header="0" w:footer="828" w:gutter="0"/>
          <w:pgNumType w:fmt="decimal"/>
          <w:cols w:space="720" w:num="1"/>
        </w:sectPr>
      </w:pPr>
    </w:p>
    <w:p w14:paraId="4E3A3923">
      <w:pPr>
        <w:spacing w:before="149" w:line="398" w:lineRule="exact"/>
        <w:ind w:right="2"/>
        <w:jc w:val="right"/>
        <w:rPr>
          <w:rFonts w:ascii="宋体" w:hAnsi="宋体" w:eastAsia="宋体" w:cs="宋体"/>
          <w:sz w:val="21"/>
          <w:szCs w:val="21"/>
        </w:rPr>
      </w:pPr>
      <w:r>
        <w:rPr>
          <w:rFonts w:ascii="宋体" w:hAnsi="宋体" w:eastAsia="宋体" w:cs="宋体"/>
          <w:position w:val="14"/>
          <w:sz w:val="21"/>
          <w:szCs w:val="21"/>
        </w:rPr>
        <w:t>（</w:t>
      </w:r>
      <w:r>
        <w:rPr>
          <w:rFonts w:ascii="Times New Roman" w:hAnsi="Times New Roman" w:eastAsia="Times New Roman" w:cs="Times New Roman"/>
          <w:position w:val="14"/>
          <w:sz w:val="21"/>
          <w:szCs w:val="21"/>
        </w:rPr>
        <w:t>3</w:t>
      </w:r>
      <w:r>
        <w:rPr>
          <w:rFonts w:ascii="宋体" w:hAnsi="宋体" w:eastAsia="宋体" w:cs="宋体"/>
          <w:position w:val="14"/>
          <w:sz w:val="21"/>
          <w:szCs w:val="21"/>
        </w:rPr>
        <w:t>）发包人逾期未完成支付分解表审批的，也未及时要求承包人进行修正和提供补充</w:t>
      </w:r>
    </w:p>
    <w:p w14:paraId="33711A19">
      <w:pPr>
        <w:spacing w:line="220" w:lineRule="auto"/>
        <w:ind w:left="27"/>
        <w:rPr>
          <w:rFonts w:ascii="宋体" w:hAnsi="宋体" w:eastAsia="宋体" w:cs="宋体"/>
          <w:sz w:val="21"/>
          <w:szCs w:val="21"/>
        </w:rPr>
      </w:pPr>
      <w:r>
        <w:rPr>
          <w:rFonts w:ascii="宋体" w:hAnsi="宋体" w:eastAsia="宋体" w:cs="宋体"/>
          <w:spacing w:val="-2"/>
          <w:sz w:val="21"/>
          <w:szCs w:val="21"/>
        </w:rPr>
        <w:t>资料的，则承包人提交的支付分解表视为已经获得发包人批准。</w:t>
      </w:r>
    </w:p>
    <w:p w14:paraId="2C7159ED">
      <w:pPr>
        <w:spacing w:before="152" w:line="219" w:lineRule="auto"/>
        <w:ind w:left="441"/>
        <w:rPr>
          <w:rFonts w:ascii="宋体" w:hAnsi="宋体" w:eastAsia="宋体" w:cs="宋体"/>
          <w:sz w:val="21"/>
          <w:szCs w:val="21"/>
        </w:rPr>
      </w:pPr>
      <w:r>
        <w:rPr>
          <w:rFonts w:ascii="Times New Roman" w:hAnsi="Times New Roman" w:eastAsia="Times New Roman" w:cs="Times New Roman"/>
          <w:spacing w:val="-1"/>
          <w:sz w:val="21"/>
          <w:szCs w:val="21"/>
        </w:rPr>
        <w:t>3.</w:t>
      </w:r>
      <w:r>
        <w:rPr>
          <w:rFonts w:ascii="宋体" w:hAnsi="宋体" w:eastAsia="宋体" w:cs="宋体"/>
          <w:spacing w:val="-1"/>
          <w:sz w:val="21"/>
          <w:szCs w:val="21"/>
        </w:rPr>
        <w:t>单价合同的总价项目支付分解表的编制与审批</w:t>
      </w:r>
    </w:p>
    <w:p w14:paraId="39742332">
      <w:pPr>
        <w:spacing w:before="149" w:line="399" w:lineRule="exact"/>
        <w:ind w:right="6"/>
        <w:jc w:val="right"/>
        <w:rPr>
          <w:rFonts w:ascii="宋体" w:hAnsi="宋体" w:eastAsia="宋体" w:cs="宋体"/>
          <w:sz w:val="21"/>
          <w:szCs w:val="21"/>
        </w:rPr>
      </w:pPr>
      <w:r>
        <w:rPr>
          <w:rFonts w:ascii="宋体" w:hAnsi="宋体" w:eastAsia="宋体" w:cs="宋体"/>
          <w:spacing w:val="3"/>
          <w:position w:val="14"/>
          <w:sz w:val="21"/>
          <w:szCs w:val="21"/>
        </w:rPr>
        <w:t>除专用合同条款另有约定外，单价合同的总价项目，由承包人</w:t>
      </w:r>
      <w:r>
        <w:rPr>
          <w:rFonts w:ascii="宋体" w:hAnsi="宋体" w:eastAsia="宋体" w:cs="宋体"/>
          <w:spacing w:val="2"/>
          <w:position w:val="14"/>
          <w:sz w:val="21"/>
          <w:szCs w:val="21"/>
        </w:rPr>
        <w:t>根据施工进度计划和总</w:t>
      </w:r>
    </w:p>
    <w:p w14:paraId="394DD8BF">
      <w:pPr>
        <w:spacing w:line="219" w:lineRule="auto"/>
        <w:ind w:left="19"/>
        <w:rPr>
          <w:rFonts w:ascii="宋体" w:hAnsi="宋体" w:eastAsia="宋体" w:cs="宋体"/>
          <w:sz w:val="21"/>
          <w:szCs w:val="21"/>
        </w:rPr>
      </w:pPr>
      <w:r>
        <w:rPr>
          <w:rFonts w:ascii="宋体" w:hAnsi="宋体" w:eastAsia="宋体" w:cs="宋体"/>
          <w:sz w:val="21"/>
          <w:szCs w:val="21"/>
        </w:rPr>
        <w:t>价项目的总价构成、费用性质、计划发生时间和相应工程量等因素按月进行分解， 形成支</w:t>
      </w:r>
    </w:p>
    <w:p w14:paraId="2A4A3DE8">
      <w:pPr>
        <w:spacing w:before="154" w:line="219" w:lineRule="auto"/>
        <w:ind w:left="18"/>
        <w:rPr>
          <w:rFonts w:ascii="宋体" w:hAnsi="宋体" w:eastAsia="宋体" w:cs="宋体"/>
          <w:sz w:val="21"/>
          <w:szCs w:val="21"/>
        </w:rPr>
      </w:pPr>
      <w:r>
        <w:rPr>
          <w:rFonts w:ascii="宋体" w:hAnsi="宋体" w:eastAsia="宋体" w:cs="宋体"/>
          <w:spacing w:val="-6"/>
          <w:sz w:val="21"/>
          <w:szCs w:val="21"/>
        </w:rPr>
        <w:t>付分解表，</w:t>
      </w:r>
      <w:r>
        <w:rPr>
          <w:rFonts w:ascii="宋体" w:hAnsi="宋体" w:eastAsia="宋体" w:cs="宋体"/>
          <w:spacing w:val="54"/>
          <w:sz w:val="21"/>
          <w:szCs w:val="21"/>
        </w:rPr>
        <w:t xml:space="preserve"> </w:t>
      </w:r>
      <w:r>
        <w:rPr>
          <w:rFonts w:ascii="宋体" w:hAnsi="宋体" w:eastAsia="宋体" w:cs="宋体"/>
          <w:spacing w:val="-6"/>
          <w:sz w:val="21"/>
          <w:szCs w:val="21"/>
        </w:rPr>
        <w:t>其编制与审批参照总价合同支付分解表的编制与审批执行。</w:t>
      </w:r>
    </w:p>
    <w:p w14:paraId="342FFF52">
      <w:pPr>
        <w:spacing w:before="47" w:line="218" w:lineRule="auto"/>
        <w:ind w:left="31"/>
        <w:rPr>
          <w:rFonts w:ascii="黑体" w:hAnsi="黑体" w:eastAsia="黑体" w:cs="黑体"/>
          <w:sz w:val="24"/>
          <w:szCs w:val="24"/>
        </w:rPr>
      </w:pPr>
      <w:r>
        <w:rPr>
          <w:rFonts w:ascii="黑体" w:hAnsi="黑体" w:eastAsia="黑体" w:cs="黑体"/>
          <w:spacing w:val="-5"/>
          <w:sz w:val="24"/>
          <w:szCs w:val="24"/>
        </w:rPr>
        <w:t>12.5</w:t>
      </w:r>
      <w:r>
        <w:rPr>
          <w:rFonts w:ascii="黑体" w:hAnsi="黑体" w:eastAsia="黑体" w:cs="黑体"/>
          <w:spacing w:val="-41"/>
          <w:sz w:val="24"/>
          <w:szCs w:val="24"/>
        </w:rPr>
        <w:t xml:space="preserve"> </w:t>
      </w:r>
      <w:r>
        <w:rPr>
          <w:rFonts w:ascii="黑体" w:hAnsi="黑体" w:eastAsia="黑体" w:cs="黑体"/>
          <w:spacing w:val="-5"/>
          <w:sz w:val="24"/>
          <w:szCs w:val="24"/>
        </w:rPr>
        <w:t>支付账户</w:t>
      </w:r>
    </w:p>
    <w:p w14:paraId="3664CB4C">
      <w:pPr>
        <w:spacing w:before="131" w:line="423" w:lineRule="exact"/>
        <w:ind w:left="444"/>
        <w:rPr>
          <w:rFonts w:ascii="宋体" w:hAnsi="宋体" w:eastAsia="宋体" w:cs="宋体"/>
          <w:sz w:val="21"/>
          <w:szCs w:val="21"/>
        </w:rPr>
      </w:pPr>
      <w:r>
        <w:rPr>
          <w:rFonts w:ascii="宋体" w:hAnsi="宋体" w:eastAsia="宋体" w:cs="宋体"/>
          <w:spacing w:val="-1"/>
          <w:position w:val="16"/>
          <w:sz w:val="21"/>
          <w:szCs w:val="21"/>
        </w:rPr>
        <w:t>发包人应将合同价款支付至合同协议书中约定的</w:t>
      </w:r>
      <w:r>
        <w:rPr>
          <w:rFonts w:ascii="宋体" w:hAnsi="宋体" w:eastAsia="宋体" w:cs="宋体"/>
          <w:spacing w:val="-2"/>
          <w:position w:val="16"/>
          <w:sz w:val="21"/>
          <w:szCs w:val="21"/>
        </w:rPr>
        <w:t>承包人账户。</w:t>
      </w:r>
    </w:p>
    <w:p w14:paraId="735E496C">
      <w:pPr>
        <w:spacing w:line="219" w:lineRule="auto"/>
        <w:ind w:left="39"/>
        <w:rPr>
          <w:rFonts w:ascii="黑体" w:hAnsi="黑体" w:eastAsia="黑体" w:cs="黑体"/>
          <w:sz w:val="32"/>
          <w:szCs w:val="32"/>
        </w:rPr>
      </w:pPr>
      <w:r>
        <w:rPr>
          <w:rFonts w:ascii="黑体" w:hAnsi="黑体" w:eastAsia="黑体" w:cs="黑体"/>
          <w:spacing w:val="-3"/>
          <w:sz w:val="32"/>
          <w:szCs w:val="32"/>
        </w:rPr>
        <w:t>13.验收和工程试车</w:t>
      </w:r>
    </w:p>
    <w:p w14:paraId="28E517E2">
      <w:pPr>
        <w:spacing w:before="147" w:line="219" w:lineRule="auto"/>
        <w:ind w:left="31"/>
        <w:rPr>
          <w:rFonts w:ascii="黑体" w:hAnsi="黑体" w:eastAsia="黑体" w:cs="黑体"/>
          <w:sz w:val="24"/>
          <w:szCs w:val="24"/>
        </w:rPr>
      </w:pPr>
      <w:r>
        <w:rPr>
          <w:rFonts w:ascii="黑体" w:hAnsi="黑体" w:eastAsia="黑体" w:cs="黑体"/>
          <w:spacing w:val="-3"/>
          <w:sz w:val="24"/>
          <w:szCs w:val="24"/>
        </w:rPr>
        <w:t>13.1</w:t>
      </w:r>
      <w:r>
        <w:rPr>
          <w:rFonts w:ascii="黑体" w:hAnsi="黑体" w:eastAsia="黑体" w:cs="黑体"/>
          <w:spacing w:val="-47"/>
          <w:sz w:val="24"/>
          <w:szCs w:val="24"/>
        </w:rPr>
        <w:t xml:space="preserve"> </w:t>
      </w:r>
      <w:r>
        <w:rPr>
          <w:rFonts w:ascii="黑体" w:hAnsi="黑体" w:eastAsia="黑体" w:cs="黑体"/>
          <w:spacing w:val="-3"/>
          <w:sz w:val="24"/>
          <w:szCs w:val="24"/>
        </w:rPr>
        <w:t>分部分项工程验收</w:t>
      </w:r>
    </w:p>
    <w:p w14:paraId="25C38729">
      <w:pPr>
        <w:spacing w:before="129" w:line="404" w:lineRule="exact"/>
        <w:ind w:right="8"/>
        <w:jc w:val="right"/>
        <w:rPr>
          <w:rFonts w:ascii="宋体" w:hAnsi="宋体" w:eastAsia="宋体" w:cs="宋体"/>
          <w:sz w:val="21"/>
          <w:szCs w:val="21"/>
        </w:rPr>
      </w:pPr>
      <w:r>
        <w:rPr>
          <w:rFonts w:ascii="Times New Roman" w:hAnsi="Times New Roman" w:eastAsia="Times New Roman" w:cs="Times New Roman"/>
          <w:spacing w:val="3"/>
          <w:position w:val="14"/>
          <w:sz w:val="21"/>
          <w:szCs w:val="21"/>
        </w:rPr>
        <w:t>13.1.1</w:t>
      </w:r>
      <w:r>
        <w:rPr>
          <w:rFonts w:ascii="Times New Roman" w:hAnsi="Times New Roman" w:eastAsia="Times New Roman" w:cs="Times New Roman"/>
          <w:spacing w:val="40"/>
          <w:w w:val="101"/>
          <w:position w:val="14"/>
          <w:sz w:val="21"/>
          <w:szCs w:val="21"/>
        </w:rPr>
        <w:t xml:space="preserve"> </w:t>
      </w:r>
      <w:r>
        <w:rPr>
          <w:rFonts w:ascii="宋体" w:hAnsi="宋体" w:eastAsia="宋体" w:cs="宋体"/>
          <w:spacing w:val="3"/>
          <w:position w:val="14"/>
          <w:sz w:val="21"/>
          <w:szCs w:val="21"/>
        </w:rPr>
        <w:t>分部分项工程质量应符合国家有关工程施工验收</w:t>
      </w:r>
      <w:r>
        <w:rPr>
          <w:rFonts w:ascii="宋体" w:hAnsi="宋体" w:eastAsia="宋体" w:cs="宋体"/>
          <w:spacing w:val="2"/>
          <w:position w:val="14"/>
          <w:sz w:val="21"/>
          <w:szCs w:val="21"/>
        </w:rPr>
        <w:t>规范、标准及合同约定，承包</w:t>
      </w:r>
    </w:p>
    <w:p w14:paraId="7B56B9CB">
      <w:pPr>
        <w:spacing w:line="220" w:lineRule="auto"/>
        <w:ind w:left="20"/>
        <w:rPr>
          <w:rFonts w:ascii="宋体" w:hAnsi="宋体" w:eastAsia="宋体" w:cs="宋体"/>
          <w:sz w:val="21"/>
          <w:szCs w:val="21"/>
        </w:rPr>
      </w:pPr>
      <w:r>
        <w:rPr>
          <w:rFonts w:ascii="宋体" w:hAnsi="宋体" w:eastAsia="宋体" w:cs="宋体"/>
          <w:spacing w:val="-1"/>
          <w:sz w:val="21"/>
          <w:szCs w:val="21"/>
        </w:rPr>
        <w:t>人应按照施工组织设计的要求完成分部分项工程施工。</w:t>
      </w:r>
    </w:p>
    <w:p w14:paraId="70004D9B">
      <w:pPr>
        <w:spacing w:before="149" w:line="351" w:lineRule="auto"/>
        <w:ind w:left="14" w:right="3" w:firstLine="443"/>
        <w:rPr>
          <w:rFonts w:ascii="宋体" w:hAnsi="宋体" w:eastAsia="宋体" w:cs="宋体"/>
          <w:sz w:val="21"/>
          <w:szCs w:val="21"/>
        </w:rPr>
      </w:pPr>
      <w:r>
        <w:rPr>
          <w:rFonts w:ascii="Times New Roman" w:hAnsi="Times New Roman" w:eastAsia="Times New Roman" w:cs="Times New Roman"/>
          <w:spacing w:val="2"/>
          <w:sz w:val="21"/>
          <w:szCs w:val="21"/>
        </w:rPr>
        <w:t>13.1.2</w:t>
      </w:r>
      <w:r>
        <w:rPr>
          <w:rFonts w:ascii="Times New Roman" w:hAnsi="Times New Roman" w:eastAsia="Times New Roman" w:cs="Times New Roman"/>
          <w:spacing w:val="64"/>
          <w:w w:val="101"/>
          <w:sz w:val="21"/>
          <w:szCs w:val="21"/>
        </w:rPr>
        <w:t xml:space="preserve"> </w:t>
      </w:r>
      <w:r>
        <w:rPr>
          <w:rFonts w:ascii="宋体" w:hAnsi="宋体" w:eastAsia="宋体" w:cs="宋体"/>
          <w:spacing w:val="2"/>
          <w:sz w:val="21"/>
          <w:szCs w:val="21"/>
        </w:rPr>
        <w:t>除专用合同条款另有约定外，分部分项工程经承包人自检合格并具备验收条件</w:t>
      </w:r>
      <w:r>
        <w:rPr>
          <w:rFonts w:ascii="宋体" w:hAnsi="宋体" w:eastAsia="宋体" w:cs="宋体"/>
          <w:sz w:val="21"/>
          <w:szCs w:val="21"/>
        </w:rPr>
        <w:t xml:space="preserve"> 的，承包人应提前</w:t>
      </w:r>
      <w:r>
        <w:rPr>
          <w:rFonts w:ascii="宋体" w:hAnsi="宋体" w:eastAsia="宋体" w:cs="宋体"/>
          <w:spacing w:val="-34"/>
          <w:sz w:val="21"/>
          <w:szCs w:val="21"/>
        </w:rPr>
        <w:t xml:space="preserve"> </w:t>
      </w:r>
      <w:r>
        <w:rPr>
          <w:rFonts w:ascii="Times New Roman" w:hAnsi="Times New Roman" w:eastAsia="Times New Roman" w:cs="Times New Roman"/>
          <w:sz w:val="21"/>
          <w:szCs w:val="21"/>
        </w:rPr>
        <w:t>48</w:t>
      </w:r>
      <w:r>
        <w:rPr>
          <w:rFonts w:ascii="Times New Roman" w:hAnsi="Times New Roman" w:eastAsia="Times New Roman" w:cs="Times New Roman"/>
          <w:spacing w:val="14"/>
          <w:w w:val="101"/>
          <w:sz w:val="21"/>
          <w:szCs w:val="21"/>
        </w:rPr>
        <w:t xml:space="preserve"> </w:t>
      </w:r>
      <w:r>
        <w:rPr>
          <w:rFonts w:ascii="宋体" w:hAnsi="宋体" w:eastAsia="宋体" w:cs="宋体"/>
          <w:sz w:val="21"/>
          <w:szCs w:val="21"/>
        </w:rPr>
        <w:t>小时通知监理人进行验收。监理人</w:t>
      </w:r>
      <w:r>
        <w:rPr>
          <w:rFonts w:ascii="宋体" w:hAnsi="宋体" w:eastAsia="宋体" w:cs="宋体"/>
          <w:spacing w:val="-1"/>
          <w:sz w:val="21"/>
          <w:szCs w:val="21"/>
        </w:rPr>
        <w:t>不能按时进行验收的，应在验收前</w:t>
      </w:r>
      <w:r>
        <w:rPr>
          <w:rFonts w:ascii="宋体" w:hAnsi="宋体" w:eastAsia="宋体" w:cs="宋体"/>
          <w:sz w:val="21"/>
          <w:szCs w:val="21"/>
        </w:rPr>
        <w:t xml:space="preserve"> </w:t>
      </w:r>
      <w:r>
        <w:rPr>
          <w:rFonts w:ascii="Times New Roman" w:hAnsi="Times New Roman" w:eastAsia="Times New Roman" w:cs="Times New Roman"/>
          <w:spacing w:val="-3"/>
          <w:sz w:val="21"/>
          <w:szCs w:val="21"/>
        </w:rPr>
        <w:t xml:space="preserve">24 </w:t>
      </w:r>
      <w:r>
        <w:rPr>
          <w:rFonts w:ascii="宋体" w:hAnsi="宋体" w:eastAsia="宋体" w:cs="宋体"/>
          <w:spacing w:val="-3"/>
          <w:sz w:val="21"/>
          <w:szCs w:val="21"/>
        </w:rPr>
        <w:t>小时向承包人提交书面延期要求， 但</w:t>
      </w:r>
      <w:r>
        <w:rPr>
          <w:rFonts w:ascii="宋体" w:hAnsi="宋体" w:eastAsia="宋体" w:cs="宋体"/>
          <w:spacing w:val="-4"/>
          <w:sz w:val="21"/>
          <w:szCs w:val="21"/>
        </w:rPr>
        <w:t>延期不能超过</w:t>
      </w:r>
      <w:r>
        <w:rPr>
          <w:rFonts w:ascii="宋体" w:hAnsi="宋体" w:eastAsia="宋体" w:cs="宋体"/>
          <w:spacing w:val="-52"/>
          <w:sz w:val="21"/>
          <w:szCs w:val="21"/>
        </w:rPr>
        <w:t xml:space="preserve"> </w:t>
      </w:r>
      <w:r>
        <w:rPr>
          <w:rFonts w:ascii="Times New Roman" w:hAnsi="Times New Roman" w:eastAsia="Times New Roman" w:cs="Times New Roman"/>
          <w:spacing w:val="-4"/>
          <w:sz w:val="21"/>
          <w:szCs w:val="21"/>
        </w:rPr>
        <w:t xml:space="preserve">48 </w:t>
      </w:r>
      <w:r>
        <w:rPr>
          <w:rFonts w:ascii="宋体" w:hAnsi="宋体" w:eastAsia="宋体" w:cs="宋体"/>
          <w:spacing w:val="-4"/>
          <w:sz w:val="21"/>
          <w:szCs w:val="21"/>
        </w:rPr>
        <w:t>小时。监理人未按时进行验收，也</w:t>
      </w:r>
      <w:r>
        <w:rPr>
          <w:rFonts w:ascii="宋体" w:hAnsi="宋体" w:eastAsia="宋体" w:cs="宋体"/>
          <w:sz w:val="21"/>
          <w:szCs w:val="21"/>
        </w:rPr>
        <w:t xml:space="preserve"> </w:t>
      </w:r>
      <w:r>
        <w:rPr>
          <w:rFonts w:ascii="宋体" w:hAnsi="宋体" w:eastAsia="宋体" w:cs="宋体"/>
          <w:spacing w:val="3"/>
          <w:sz w:val="21"/>
          <w:szCs w:val="21"/>
        </w:rPr>
        <w:t>未提出延期要求的，承包人有权自行验收，监理人应认可验收结果。分部分项工程未</w:t>
      </w:r>
      <w:r>
        <w:rPr>
          <w:rFonts w:ascii="宋体" w:hAnsi="宋体" w:eastAsia="宋体" w:cs="宋体"/>
          <w:spacing w:val="2"/>
          <w:sz w:val="21"/>
          <w:szCs w:val="21"/>
        </w:rPr>
        <w:t>经验</w:t>
      </w:r>
    </w:p>
    <w:p w14:paraId="70B040C2">
      <w:pPr>
        <w:spacing w:before="1" w:line="220" w:lineRule="auto"/>
        <w:ind w:left="25"/>
        <w:rPr>
          <w:rFonts w:ascii="宋体" w:hAnsi="宋体" w:eastAsia="宋体" w:cs="宋体"/>
          <w:sz w:val="21"/>
          <w:szCs w:val="21"/>
        </w:rPr>
      </w:pPr>
      <w:r>
        <w:rPr>
          <w:rFonts w:ascii="宋体" w:hAnsi="宋体" w:eastAsia="宋体" w:cs="宋体"/>
          <w:spacing w:val="-2"/>
          <w:sz w:val="21"/>
          <w:szCs w:val="21"/>
        </w:rPr>
        <w:t>收的，不得进入下一道工序施工。</w:t>
      </w:r>
    </w:p>
    <w:p w14:paraId="5FADB2C3">
      <w:pPr>
        <w:spacing w:before="152" w:line="221" w:lineRule="auto"/>
        <w:ind w:left="443"/>
        <w:rPr>
          <w:rFonts w:ascii="宋体" w:hAnsi="宋体" w:eastAsia="宋体" w:cs="宋体"/>
          <w:sz w:val="21"/>
          <w:szCs w:val="21"/>
        </w:rPr>
      </w:pPr>
      <w:r>
        <w:rPr>
          <w:rFonts w:ascii="宋体" w:hAnsi="宋体" w:eastAsia="宋体" w:cs="宋体"/>
          <w:spacing w:val="-1"/>
          <w:sz w:val="21"/>
          <w:szCs w:val="21"/>
        </w:rPr>
        <w:t>分部分项工程的验收资料应当作为竣工资料的组成部分。</w:t>
      </w:r>
    </w:p>
    <w:p w14:paraId="7F53ABA0">
      <w:pPr>
        <w:spacing w:before="46" w:line="218" w:lineRule="auto"/>
        <w:ind w:left="31"/>
        <w:rPr>
          <w:rFonts w:ascii="黑体" w:hAnsi="黑体" w:eastAsia="黑体" w:cs="黑体"/>
          <w:sz w:val="24"/>
          <w:szCs w:val="24"/>
        </w:rPr>
      </w:pPr>
      <w:r>
        <w:rPr>
          <w:rFonts w:ascii="黑体" w:hAnsi="黑体" w:eastAsia="黑体" w:cs="黑体"/>
          <w:spacing w:val="-4"/>
          <w:sz w:val="24"/>
          <w:szCs w:val="24"/>
        </w:rPr>
        <w:t>13.2</w:t>
      </w:r>
      <w:r>
        <w:rPr>
          <w:rFonts w:ascii="黑体" w:hAnsi="黑体" w:eastAsia="黑体" w:cs="黑体"/>
          <w:spacing w:val="-51"/>
          <w:sz w:val="24"/>
          <w:szCs w:val="24"/>
        </w:rPr>
        <w:t xml:space="preserve"> </w:t>
      </w:r>
      <w:r>
        <w:rPr>
          <w:rFonts w:ascii="黑体" w:hAnsi="黑体" w:eastAsia="黑体" w:cs="黑体"/>
          <w:spacing w:val="-4"/>
          <w:sz w:val="24"/>
          <w:szCs w:val="24"/>
        </w:rPr>
        <w:t>竣工验收</w:t>
      </w:r>
    </w:p>
    <w:p w14:paraId="2CDF1BC3">
      <w:pPr>
        <w:spacing w:before="130" w:line="221" w:lineRule="auto"/>
        <w:ind w:left="457"/>
        <w:rPr>
          <w:rFonts w:ascii="宋体" w:hAnsi="宋体" w:eastAsia="宋体" w:cs="宋体"/>
          <w:sz w:val="21"/>
          <w:szCs w:val="21"/>
        </w:rPr>
      </w:pPr>
      <w:r>
        <w:rPr>
          <w:rFonts w:ascii="Times New Roman" w:hAnsi="Times New Roman" w:eastAsia="Times New Roman" w:cs="Times New Roman"/>
          <w:spacing w:val="-3"/>
          <w:sz w:val="21"/>
          <w:szCs w:val="21"/>
        </w:rPr>
        <w:t xml:space="preserve">13.2.1 </w:t>
      </w:r>
      <w:r>
        <w:rPr>
          <w:rFonts w:ascii="宋体" w:hAnsi="宋体" w:eastAsia="宋体" w:cs="宋体"/>
          <w:spacing w:val="-3"/>
          <w:sz w:val="21"/>
          <w:szCs w:val="21"/>
        </w:rPr>
        <w:t>竣工验收条件</w:t>
      </w:r>
    </w:p>
    <w:p w14:paraId="0E58E5A3">
      <w:pPr>
        <w:spacing w:before="147" w:line="221" w:lineRule="auto"/>
        <w:ind w:left="443"/>
        <w:rPr>
          <w:rFonts w:ascii="宋体" w:hAnsi="宋体" w:eastAsia="宋体" w:cs="宋体"/>
          <w:sz w:val="21"/>
          <w:szCs w:val="21"/>
        </w:rPr>
      </w:pPr>
      <w:r>
        <w:rPr>
          <w:rFonts w:ascii="宋体" w:hAnsi="宋体" w:eastAsia="宋体" w:cs="宋体"/>
          <w:spacing w:val="-1"/>
          <w:sz w:val="21"/>
          <w:szCs w:val="21"/>
        </w:rPr>
        <w:t>工程具备以下条件的，承包人可以申请竣工验收：</w:t>
      </w:r>
    </w:p>
    <w:p w14:paraId="6B678D57">
      <w:pPr>
        <w:spacing w:before="152" w:line="221" w:lineRule="auto"/>
        <w:ind w:right="3"/>
        <w:jc w:val="right"/>
        <w:rPr>
          <w:rFonts w:ascii="宋体" w:hAnsi="宋体" w:eastAsia="宋体" w:cs="宋体"/>
          <w:sz w:val="21"/>
          <w:szCs w:val="21"/>
        </w:rPr>
      </w:pPr>
      <w:r>
        <w:rPr>
          <w:rFonts w:ascii="宋体" w:hAnsi="宋体" w:eastAsia="宋体" w:cs="宋体"/>
          <w:sz w:val="21"/>
          <w:szCs w:val="21"/>
        </w:rPr>
        <w:t>（</w:t>
      </w:r>
      <w:r>
        <w:rPr>
          <w:rFonts w:ascii="Times New Roman" w:hAnsi="Times New Roman" w:eastAsia="Times New Roman" w:cs="Times New Roman"/>
          <w:sz w:val="21"/>
          <w:szCs w:val="21"/>
        </w:rPr>
        <w:t>1</w:t>
      </w:r>
      <w:r>
        <w:rPr>
          <w:rFonts w:ascii="宋体" w:hAnsi="宋体" w:eastAsia="宋体" w:cs="宋体"/>
          <w:sz w:val="21"/>
          <w:szCs w:val="21"/>
        </w:rPr>
        <w:t>）除发包人同意的甩项工作和缺陷修补工作外，合同范围内的全部工程以及有关工</w:t>
      </w:r>
    </w:p>
    <w:p w14:paraId="5758DB75">
      <w:pPr>
        <w:spacing w:before="147" w:line="221" w:lineRule="auto"/>
        <w:ind w:left="19"/>
        <w:rPr>
          <w:rFonts w:ascii="宋体" w:hAnsi="宋体" w:eastAsia="宋体" w:cs="宋体"/>
          <w:sz w:val="21"/>
          <w:szCs w:val="21"/>
        </w:rPr>
      </w:pPr>
      <w:r>
        <w:rPr>
          <w:rFonts w:ascii="宋体" w:hAnsi="宋体" w:eastAsia="宋体" w:cs="宋体"/>
          <w:spacing w:val="-2"/>
          <w:sz w:val="21"/>
          <w:szCs w:val="21"/>
        </w:rPr>
        <w:t>作，包括合同要求的试验、试运行以及检验均已完成，并符合合同要求；</w:t>
      </w:r>
    </w:p>
    <w:p w14:paraId="309C4D77">
      <w:pPr>
        <w:spacing w:before="147" w:line="403" w:lineRule="exact"/>
        <w:ind w:left="447"/>
        <w:rPr>
          <w:rFonts w:ascii="宋体" w:hAnsi="宋体" w:eastAsia="宋体" w:cs="宋体"/>
          <w:sz w:val="21"/>
          <w:szCs w:val="21"/>
        </w:rPr>
      </w:pPr>
      <w:r>
        <w:rPr>
          <w:rFonts w:ascii="宋体" w:hAnsi="宋体" w:eastAsia="宋体" w:cs="宋体"/>
          <w:spacing w:val="-1"/>
          <w:position w:val="14"/>
          <w:sz w:val="21"/>
          <w:szCs w:val="21"/>
        </w:rPr>
        <w:t>（</w:t>
      </w:r>
      <w:r>
        <w:rPr>
          <w:rFonts w:ascii="Times New Roman" w:hAnsi="Times New Roman" w:eastAsia="Times New Roman" w:cs="Times New Roman"/>
          <w:spacing w:val="-1"/>
          <w:position w:val="14"/>
          <w:sz w:val="21"/>
          <w:szCs w:val="21"/>
        </w:rPr>
        <w:t>2</w:t>
      </w:r>
      <w:r>
        <w:rPr>
          <w:rFonts w:ascii="宋体" w:hAnsi="宋体" w:eastAsia="宋体" w:cs="宋体"/>
          <w:spacing w:val="-1"/>
          <w:position w:val="14"/>
          <w:sz w:val="21"/>
          <w:szCs w:val="21"/>
        </w:rPr>
        <w:t>）已按合同约定编制了甩项工作和缺陷修补工作清单</w:t>
      </w:r>
      <w:r>
        <w:rPr>
          <w:rFonts w:ascii="宋体" w:hAnsi="宋体" w:eastAsia="宋体" w:cs="宋体"/>
          <w:spacing w:val="-2"/>
          <w:position w:val="14"/>
          <w:sz w:val="21"/>
          <w:szCs w:val="21"/>
        </w:rPr>
        <w:t>以及相应的施工计划；</w:t>
      </w:r>
    </w:p>
    <w:p w14:paraId="10B71BB4">
      <w:pPr>
        <w:spacing w:before="1" w:line="220" w:lineRule="auto"/>
        <w:ind w:left="447"/>
        <w:rPr>
          <w:rFonts w:ascii="宋体" w:hAnsi="宋体" w:eastAsia="宋体" w:cs="宋体"/>
          <w:sz w:val="21"/>
          <w:szCs w:val="21"/>
        </w:rPr>
      </w:pPr>
      <w:r>
        <w:rPr>
          <w:rFonts w:ascii="宋体" w:hAnsi="宋体" w:eastAsia="宋体" w:cs="宋体"/>
          <w:spacing w:val="-1"/>
          <w:sz w:val="21"/>
          <w:szCs w:val="21"/>
        </w:rPr>
        <w:t>（</w:t>
      </w:r>
      <w:r>
        <w:rPr>
          <w:rFonts w:ascii="Times New Roman" w:hAnsi="Times New Roman" w:eastAsia="Times New Roman" w:cs="Times New Roman"/>
          <w:spacing w:val="-1"/>
          <w:sz w:val="21"/>
          <w:szCs w:val="21"/>
        </w:rPr>
        <w:t>3</w:t>
      </w:r>
      <w:r>
        <w:rPr>
          <w:rFonts w:ascii="宋体" w:hAnsi="宋体" w:eastAsia="宋体" w:cs="宋体"/>
          <w:spacing w:val="-1"/>
          <w:sz w:val="21"/>
          <w:szCs w:val="21"/>
        </w:rPr>
        <w:t>）已按合同约定的内容和份数备齐竣工资料。</w:t>
      </w:r>
    </w:p>
    <w:p w14:paraId="24C0C250">
      <w:pPr>
        <w:spacing w:before="148" w:line="221" w:lineRule="auto"/>
        <w:ind w:left="457"/>
        <w:rPr>
          <w:rFonts w:ascii="宋体" w:hAnsi="宋体" w:eastAsia="宋体" w:cs="宋体"/>
          <w:sz w:val="21"/>
          <w:szCs w:val="21"/>
        </w:rPr>
      </w:pPr>
      <w:r>
        <w:rPr>
          <w:rFonts w:ascii="Times New Roman" w:hAnsi="Times New Roman" w:eastAsia="Times New Roman" w:cs="Times New Roman"/>
          <w:spacing w:val="-3"/>
          <w:sz w:val="21"/>
          <w:szCs w:val="21"/>
        </w:rPr>
        <w:t xml:space="preserve">13.2.2 </w:t>
      </w:r>
      <w:r>
        <w:rPr>
          <w:rFonts w:ascii="宋体" w:hAnsi="宋体" w:eastAsia="宋体" w:cs="宋体"/>
          <w:spacing w:val="-3"/>
          <w:sz w:val="21"/>
          <w:szCs w:val="21"/>
        </w:rPr>
        <w:t>竣工验收程序</w:t>
      </w:r>
    </w:p>
    <w:p w14:paraId="7EF1B76E">
      <w:pPr>
        <w:spacing w:before="147" w:line="221" w:lineRule="auto"/>
        <w:ind w:left="453"/>
        <w:rPr>
          <w:rFonts w:ascii="宋体" w:hAnsi="宋体" w:eastAsia="宋体" w:cs="宋体"/>
          <w:sz w:val="21"/>
          <w:szCs w:val="21"/>
        </w:rPr>
      </w:pPr>
      <w:r>
        <w:rPr>
          <w:rFonts w:ascii="宋体" w:hAnsi="宋体" w:eastAsia="宋体" w:cs="宋体"/>
          <w:spacing w:val="-4"/>
          <w:sz w:val="21"/>
          <w:szCs w:val="21"/>
        </w:rPr>
        <w:t>除专用合同条款另有约定外， 承包人申请竣工验收的</w:t>
      </w:r>
      <w:r>
        <w:rPr>
          <w:rFonts w:ascii="宋体" w:hAnsi="宋体" w:eastAsia="宋体" w:cs="宋体"/>
          <w:spacing w:val="-5"/>
          <w:sz w:val="21"/>
          <w:szCs w:val="21"/>
        </w:rPr>
        <w:t>，应当按照以下程序进行：</w:t>
      </w:r>
    </w:p>
    <w:p w14:paraId="0EA959D8">
      <w:pPr>
        <w:spacing w:before="151" w:line="352" w:lineRule="auto"/>
        <w:ind w:left="19" w:right="8" w:firstLine="428"/>
        <w:rPr>
          <w:rFonts w:ascii="宋体" w:hAnsi="宋体" w:eastAsia="宋体" w:cs="宋体"/>
          <w:sz w:val="21"/>
          <w:szCs w:val="21"/>
        </w:rPr>
      </w:pPr>
      <w:r>
        <w:rPr>
          <w:rFonts w:ascii="宋体" w:hAnsi="宋体" w:eastAsia="宋体" w:cs="宋体"/>
          <w:spacing w:val="6"/>
          <w:sz w:val="21"/>
          <w:szCs w:val="21"/>
        </w:rPr>
        <w:t>（</w:t>
      </w:r>
      <w:r>
        <w:rPr>
          <w:rFonts w:ascii="Times New Roman" w:hAnsi="Times New Roman" w:eastAsia="Times New Roman" w:cs="Times New Roman"/>
          <w:spacing w:val="6"/>
          <w:sz w:val="21"/>
          <w:szCs w:val="21"/>
        </w:rPr>
        <w:t>1</w:t>
      </w:r>
      <w:r>
        <w:rPr>
          <w:rFonts w:ascii="宋体" w:hAnsi="宋体" w:eastAsia="宋体" w:cs="宋体"/>
          <w:spacing w:val="6"/>
          <w:sz w:val="21"/>
          <w:szCs w:val="21"/>
        </w:rPr>
        <w:t>）承包人向监理人报送竣工验收申请报告</w:t>
      </w:r>
      <w:r>
        <w:rPr>
          <w:rFonts w:ascii="宋体" w:hAnsi="宋体" w:eastAsia="宋体" w:cs="宋体"/>
          <w:spacing w:val="5"/>
          <w:sz w:val="21"/>
          <w:szCs w:val="21"/>
        </w:rPr>
        <w:t>，监理人应在收到竣工验收申请报告后</w:t>
      </w:r>
      <w:r>
        <w:rPr>
          <w:rFonts w:ascii="宋体" w:hAnsi="宋体" w:eastAsia="宋体" w:cs="宋体"/>
          <w:sz w:val="21"/>
          <w:szCs w:val="21"/>
        </w:rPr>
        <w:t xml:space="preserve"> </w:t>
      </w:r>
      <w:r>
        <w:rPr>
          <w:rFonts w:ascii="Times New Roman" w:hAnsi="Times New Roman" w:eastAsia="Times New Roman" w:cs="Times New Roman"/>
          <w:sz w:val="21"/>
          <w:szCs w:val="21"/>
        </w:rPr>
        <w:t>14</w:t>
      </w:r>
      <w:r>
        <w:rPr>
          <w:rFonts w:ascii="Times New Roman" w:hAnsi="Times New Roman" w:eastAsia="Times New Roman" w:cs="Times New Roman"/>
          <w:spacing w:val="61"/>
          <w:sz w:val="21"/>
          <w:szCs w:val="21"/>
        </w:rPr>
        <w:t xml:space="preserve"> </w:t>
      </w:r>
      <w:r>
        <w:rPr>
          <w:rFonts w:ascii="宋体" w:hAnsi="宋体" w:eastAsia="宋体" w:cs="宋体"/>
          <w:sz w:val="21"/>
          <w:szCs w:val="21"/>
        </w:rPr>
        <w:t>天内完成审查并报送发包人。监理人审查后认为尚不具备验收条件的，应通知承包人在 竣工验收前承包人还需完成的工作内容， 承包人应在完成监理人通知的全部工作内容后，</w:t>
      </w:r>
    </w:p>
    <w:p w14:paraId="50DFE82D">
      <w:pPr>
        <w:spacing w:line="219" w:lineRule="auto"/>
        <w:ind w:left="20"/>
        <w:rPr>
          <w:rFonts w:ascii="宋体" w:hAnsi="宋体" w:eastAsia="宋体" w:cs="宋体"/>
          <w:sz w:val="21"/>
          <w:szCs w:val="21"/>
        </w:rPr>
      </w:pPr>
      <w:r>
        <w:rPr>
          <w:rFonts w:ascii="宋体" w:hAnsi="宋体" w:eastAsia="宋体" w:cs="宋体"/>
          <w:spacing w:val="-3"/>
          <w:sz w:val="21"/>
          <w:szCs w:val="21"/>
        </w:rPr>
        <w:t>再次提交竣工验收申请报告。</w:t>
      </w:r>
    </w:p>
    <w:p w14:paraId="240D5B35">
      <w:pPr>
        <w:spacing w:before="150" w:line="352" w:lineRule="auto"/>
        <w:ind w:left="21" w:right="6" w:firstLine="425"/>
        <w:rPr>
          <w:rFonts w:ascii="宋体" w:hAnsi="宋体" w:eastAsia="宋体" w:cs="宋体"/>
          <w:sz w:val="21"/>
          <w:szCs w:val="21"/>
        </w:rPr>
      </w:pPr>
      <w:r>
        <w:rPr>
          <w:rFonts w:ascii="宋体" w:hAnsi="宋体" w:eastAsia="宋体" w:cs="宋体"/>
          <w:spacing w:val="-5"/>
          <w:sz w:val="21"/>
          <w:szCs w:val="21"/>
        </w:rPr>
        <w:t>（</w:t>
      </w:r>
      <w:r>
        <w:rPr>
          <w:rFonts w:ascii="Times New Roman" w:hAnsi="Times New Roman" w:eastAsia="Times New Roman" w:cs="Times New Roman"/>
          <w:spacing w:val="-5"/>
          <w:sz w:val="21"/>
          <w:szCs w:val="21"/>
        </w:rPr>
        <w:t>2</w:t>
      </w:r>
      <w:r>
        <w:rPr>
          <w:rFonts w:ascii="宋体" w:hAnsi="宋体" w:eastAsia="宋体" w:cs="宋体"/>
          <w:spacing w:val="-5"/>
          <w:sz w:val="21"/>
          <w:szCs w:val="21"/>
        </w:rPr>
        <w:t>）监理人审查后认为已具备竣工验收条件的，</w:t>
      </w:r>
      <w:r>
        <w:rPr>
          <w:rFonts w:ascii="宋体" w:hAnsi="宋体" w:eastAsia="宋体" w:cs="宋体"/>
          <w:spacing w:val="51"/>
          <w:sz w:val="21"/>
          <w:szCs w:val="21"/>
        </w:rPr>
        <w:t xml:space="preserve"> </w:t>
      </w:r>
      <w:r>
        <w:rPr>
          <w:rFonts w:ascii="宋体" w:hAnsi="宋体" w:eastAsia="宋体" w:cs="宋体"/>
          <w:spacing w:val="-5"/>
          <w:sz w:val="21"/>
          <w:szCs w:val="21"/>
        </w:rPr>
        <w:t>应将竣工验收申</w:t>
      </w:r>
      <w:r>
        <w:rPr>
          <w:rFonts w:ascii="宋体" w:hAnsi="宋体" w:eastAsia="宋体" w:cs="宋体"/>
          <w:spacing w:val="-6"/>
          <w:sz w:val="21"/>
          <w:szCs w:val="21"/>
        </w:rPr>
        <w:t>请报告提交发包人，</w:t>
      </w:r>
      <w:r>
        <w:rPr>
          <w:rFonts w:ascii="宋体" w:hAnsi="宋体" w:eastAsia="宋体" w:cs="宋体"/>
          <w:sz w:val="21"/>
          <w:szCs w:val="21"/>
        </w:rPr>
        <w:t xml:space="preserve"> 发包人应在收到经监理人审核的竣工验收申</w:t>
      </w:r>
      <w:r>
        <w:rPr>
          <w:rFonts w:ascii="宋体" w:hAnsi="宋体" w:eastAsia="宋体" w:cs="宋体"/>
          <w:spacing w:val="-1"/>
          <w:sz w:val="21"/>
          <w:szCs w:val="21"/>
        </w:rPr>
        <w:t>请报告后</w:t>
      </w:r>
      <w:r>
        <w:rPr>
          <w:rFonts w:ascii="宋体" w:hAnsi="宋体" w:eastAsia="宋体" w:cs="宋体"/>
          <w:spacing w:val="-37"/>
          <w:sz w:val="21"/>
          <w:szCs w:val="21"/>
        </w:rPr>
        <w:t xml:space="preserve"> </w:t>
      </w:r>
      <w:r>
        <w:rPr>
          <w:rFonts w:ascii="Times New Roman" w:hAnsi="Times New Roman" w:eastAsia="Times New Roman" w:cs="Times New Roman"/>
          <w:spacing w:val="-1"/>
          <w:sz w:val="21"/>
          <w:szCs w:val="21"/>
        </w:rPr>
        <w:t>28</w:t>
      </w:r>
      <w:r>
        <w:rPr>
          <w:rFonts w:ascii="Times New Roman" w:hAnsi="Times New Roman" w:eastAsia="Times New Roman" w:cs="Times New Roman"/>
          <w:spacing w:val="13"/>
          <w:w w:val="101"/>
          <w:sz w:val="21"/>
          <w:szCs w:val="21"/>
        </w:rPr>
        <w:t xml:space="preserve"> </w:t>
      </w:r>
      <w:r>
        <w:rPr>
          <w:rFonts w:ascii="宋体" w:hAnsi="宋体" w:eastAsia="宋体" w:cs="宋体"/>
          <w:spacing w:val="-1"/>
          <w:sz w:val="21"/>
          <w:szCs w:val="21"/>
        </w:rPr>
        <w:t>天内审批完毕并组织监理人、承包</w:t>
      </w:r>
    </w:p>
    <w:p w14:paraId="13ACF5C5">
      <w:pPr>
        <w:spacing w:before="1" w:line="220" w:lineRule="auto"/>
        <w:ind w:left="20"/>
        <w:rPr>
          <w:rFonts w:ascii="宋体" w:hAnsi="宋体" w:eastAsia="宋体" w:cs="宋体"/>
          <w:sz w:val="21"/>
          <w:szCs w:val="21"/>
        </w:rPr>
      </w:pPr>
      <w:r>
        <w:rPr>
          <w:rFonts w:ascii="宋体" w:hAnsi="宋体" w:eastAsia="宋体" w:cs="宋体"/>
          <w:spacing w:val="-2"/>
          <w:sz w:val="21"/>
          <w:szCs w:val="21"/>
        </w:rPr>
        <w:t>人、设计人等相关单位完成竣工验收。</w:t>
      </w:r>
    </w:p>
    <w:p w14:paraId="5FF0E87E">
      <w:pPr>
        <w:spacing w:line="220" w:lineRule="auto"/>
        <w:rPr>
          <w:rFonts w:ascii="宋体" w:hAnsi="宋体" w:eastAsia="宋体" w:cs="宋体"/>
          <w:sz w:val="21"/>
          <w:szCs w:val="21"/>
        </w:rPr>
        <w:sectPr>
          <w:footerReference r:id="rId124" w:type="default"/>
          <w:pgSz w:w="11905" w:h="16839"/>
          <w:pgMar w:top="1431" w:right="1785" w:bottom="1004" w:left="1785" w:header="0" w:footer="828" w:gutter="0"/>
          <w:pgNumType w:fmt="decimal"/>
          <w:cols w:space="720" w:num="1"/>
        </w:sectPr>
      </w:pPr>
    </w:p>
    <w:p w14:paraId="54A5D126">
      <w:pPr>
        <w:spacing w:before="150" w:line="352" w:lineRule="auto"/>
        <w:ind w:left="21" w:right="6" w:firstLine="425"/>
        <w:jc w:val="both"/>
        <w:rPr>
          <w:rFonts w:ascii="宋体" w:hAnsi="宋体" w:eastAsia="宋体" w:cs="宋体"/>
          <w:sz w:val="21"/>
          <w:szCs w:val="21"/>
        </w:rPr>
      </w:pPr>
      <w:r>
        <w:rPr>
          <w:rFonts w:ascii="宋体" w:hAnsi="宋体" w:eastAsia="宋体" w:cs="宋体"/>
          <w:spacing w:val="-2"/>
          <w:sz w:val="21"/>
          <w:szCs w:val="21"/>
        </w:rPr>
        <w:t>（</w:t>
      </w:r>
      <w:r>
        <w:rPr>
          <w:rFonts w:ascii="Times New Roman" w:hAnsi="Times New Roman" w:eastAsia="Times New Roman" w:cs="Times New Roman"/>
          <w:spacing w:val="-2"/>
          <w:sz w:val="21"/>
          <w:szCs w:val="21"/>
        </w:rPr>
        <w:t>3</w:t>
      </w:r>
      <w:r>
        <w:rPr>
          <w:rFonts w:ascii="宋体" w:hAnsi="宋体" w:eastAsia="宋体" w:cs="宋体"/>
          <w:spacing w:val="-2"/>
          <w:sz w:val="21"/>
          <w:szCs w:val="21"/>
        </w:rPr>
        <w:t>）竣工验收合格的，发包人应在验收合格后</w:t>
      </w:r>
      <w:r>
        <w:rPr>
          <w:rFonts w:ascii="宋体" w:hAnsi="宋体" w:eastAsia="宋体" w:cs="宋体"/>
          <w:spacing w:val="57"/>
          <w:sz w:val="21"/>
          <w:szCs w:val="21"/>
        </w:rPr>
        <w:t xml:space="preserve"> </w:t>
      </w:r>
      <w:r>
        <w:rPr>
          <w:rFonts w:ascii="Times New Roman" w:hAnsi="Times New Roman" w:eastAsia="Times New Roman" w:cs="Times New Roman"/>
          <w:spacing w:val="-2"/>
          <w:sz w:val="21"/>
          <w:szCs w:val="21"/>
        </w:rPr>
        <w:t>14</w:t>
      </w:r>
      <w:r>
        <w:rPr>
          <w:rFonts w:ascii="Times New Roman" w:hAnsi="Times New Roman" w:eastAsia="Times New Roman" w:cs="Times New Roman"/>
          <w:spacing w:val="42"/>
          <w:w w:val="101"/>
          <w:sz w:val="21"/>
          <w:szCs w:val="21"/>
        </w:rPr>
        <w:t xml:space="preserve"> </w:t>
      </w:r>
      <w:r>
        <w:rPr>
          <w:rFonts w:ascii="宋体" w:hAnsi="宋体" w:eastAsia="宋体" w:cs="宋体"/>
          <w:spacing w:val="-2"/>
          <w:sz w:val="21"/>
          <w:szCs w:val="21"/>
        </w:rPr>
        <w:t>天内向承包人签发工程接收证书。</w:t>
      </w:r>
      <w:r>
        <w:rPr>
          <w:rFonts w:ascii="宋体" w:hAnsi="宋体" w:eastAsia="宋体" w:cs="宋体"/>
          <w:sz w:val="21"/>
          <w:szCs w:val="21"/>
        </w:rPr>
        <w:t xml:space="preserve"> </w:t>
      </w:r>
      <w:r>
        <w:rPr>
          <w:rFonts w:ascii="宋体" w:hAnsi="宋体" w:eastAsia="宋体" w:cs="宋体"/>
          <w:spacing w:val="-5"/>
          <w:sz w:val="21"/>
          <w:szCs w:val="21"/>
        </w:rPr>
        <w:t>发包人无正当理由逾期不颁发工程接收证书的，</w:t>
      </w:r>
      <w:r>
        <w:rPr>
          <w:rFonts w:ascii="宋体" w:hAnsi="宋体" w:eastAsia="宋体" w:cs="宋体"/>
          <w:spacing w:val="47"/>
          <w:sz w:val="21"/>
          <w:szCs w:val="21"/>
        </w:rPr>
        <w:t xml:space="preserve"> </w:t>
      </w:r>
      <w:r>
        <w:rPr>
          <w:rFonts w:ascii="宋体" w:hAnsi="宋体" w:eastAsia="宋体" w:cs="宋体"/>
          <w:spacing w:val="-5"/>
          <w:sz w:val="21"/>
          <w:szCs w:val="21"/>
        </w:rPr>
        <w:t xml:space="preserve">自验收合格后第 </w:t>
      </w:r>
      <w:r>
        <w:rPr>
          <w:rFonts w:ascii="Times New Roman" w:hAnsi="Times New Roman" w:eastAsia="Times New Roman" w:cs="Times New Roman"/>
          <w:spacing w:val="-5"/>
          <w:sz w:val="21"/>
          <w:szCs w:val="21"/>
        </w:rPr>
        <w:t>15</w:t>
      </w:r>
      <w:r>
        <w:rPr>
          <w:rFonts w:ascii="Times New Roman" w:hAnsi="Times New Roman" w:eastAsia="Times New Roman" w:cs="Times New Roman"/>
          <w:spacing w:val="14"/>
          <w:sz w:val="21"/>
          <w:szCs w:val="21"/>
        </w:rPr>
        <w:t xml:space="preserve"> </w:t>
      </w:r>
      <w:r>
        <w:rPr>
          <w:rFonts w:ascii="宋体" w:hAnsi="宋体" w:eastAsia="宋体" w:cs="宋体"/>
          <w:spacing w:val="-5"/>
          <w:sz w:val="21"/>
          <w:szCs w:val="21"/>
        </w:rPr>
        <w:t>天起视为已</w:t>
      </w:r>
      <w:r>
        <w:rPr>
          <w:rFonts w:ascii="宋体" w:hAnsi="宋体" w:eastAsia="宋体" w:cs="宋体"/>
          <w:spacing w:val="-6"/>
          <w:sz w:val="21"/>
          <w:szCs w:val="21"/>
        </w:rPr>
        <w:t>颁发工程接</w:t>
      </w:r>
    </w:p>
    <w:p w14:paraId="31988FF6">
      <w:pPr>
        <w:spacing w:line="219" w:lineRule="auto"/>
        <w:ind w:left="25"/>
        <w:rPr>
          <w:rFonts w:ascii="宋体" w:hAnsi="宋体" w:eastAsia="宋体" w:cs="宋体"/>
          <w:sz w:val="21"/>
          <w:szCs w:val="21"/>
        </w:rPr>
      </w:pPr>
      <w:r>
        <w:rPr>
          <w:rFonts w:ascii="宋体" w:hAnsi="宋体" w:eastAsia="宋体" w:cs="宋体"/>
          <w:spacing w:val="-8"/>
          <w:sz w:val="21"/>
          <w:szCs w:val="21"/>
        </w:rPr>
        <w:t>收证书。</w:t>
      </w:r>
    </w:p>
    <w:p w14:paraId="65258C54">
      <w:pPr>
        <w:spacing w:before="147" w:line="352" w:lineRule="auto"/>
        <w:ind w:left="18" w:right="11" w:firstLine="429"/>
        <w:jc w:val="both"/>
        <w:rPr>
          <w:rFonts w:ascii="宋体" w:hAnsi="宋体" w:eastAsia="宋体" w:cs="宋体"/>
          <w:sz w:val="21"/>
          <w:szCs w:val="21"/>
        </w:rPr>
      </w:pPr>
      <w:r>
        <w:rPr>
          <w:rFonts w:ascii="宋体" w:hAnsi="宋体" w:eastAsia="宋体" w:cs="宋体"/>
          <w:sz w:val="21"/>
          <w:szCs w:val="21"/>
        </w:rPr>
        <w:t>（</w:t>
      </w:r>
      <w:r>
        <w:rPr>
          <w:rFonts w:ascii="Times New Roman" w:hAnsi="Times New Roman" w:eastAsia="Times New Roman" w:cs="Times New Roman"/>
          <w:sz w:val="21"/>
          <w:szCs w:val="21"/>
        </w:rPr>
        <w:t>4</w:t>
      </w:r>
      <w:r>
        <w:rPr>
          <w:rFonts w:ascii="宋体" w:hAnsi="宋体" w:eastAsia="宋体" w:cs="宋体"/>
          <w:sz w:val="21"/>
          <w:szCs w:val="21"/>
        </w:rPr>
        <w:t>）竣工验收不合格的，监理人应按照验收意见发出指示，要求承包人对不合</w:t>
      </w:r>
      <w:r>
        <w:rPr>
          <w:rFonts w:ascii="宋体" w:hAnsi="宋体" w:eastAsia="宋体" w:cs="宋体"/>
          <w:spacing w:val="-1"/>
          <w:sz w:val="21"/>
          <w:szCs w:val="21"/>
        </w:rPr>
        <w:t>格工程</w:t>
      </w:r>
      <w:r>
        <w:rPr>
          <w:rFonts w:ascii="宋体" w:hAnsi="宋体" w:eastAsia="宋体" w:cs="宋体"/>
          <w:sz w:val="21"/>
          <w:szCs w:val="21"/>
        </w:rPr>
        <w:t xml:space="preserve"> </w:t>
      </w:r>
      <w:r>
        <w:rPr>
          <w:rFonts w:ascii="宋体" w:hAnsi="宋体" w:eastAsia="宋体" w:cs="宋体"/>
          <w:spacing w:val="-2"/>
          <w:sz w:val="21"/>
          <w:szCs w:val="21"/>
        </w:rPr>
        <w:t>返工、修复或采取其他补救措施， 由此增加的费用和</w:t>
      </w:r>
      <w:r>
        <w:rPr>
          <w:rFonts w:ascii="宋体" w:hAnsi="宋体" w:eastAsia="宋体" w:cs="宋体"/>
          <w:spacing w:val="-3"/>
          <w:sz w:val="21"/>
          <w:szCs w:val="21"/>
        </w:rPr>
        <w:t>（或） 延误的工期由承包人承担。承</w:t>
      </w:r>
      <w:r>
        <w:rPr>
          <w:rFonts w:ascii="宋体" w:hAnsi="宋体" w:eastAsia="宋体" w:cs="宋体"/>
          <w:sz w:val="21"/>
          <w:szCs w:val="21"/>
        </w:rPr>
        <w:t xml:space="preserve"> </w:t>
      </w:r>
      <w:r>
        <w:rPr>
          <w:rFonts w:ascii="宋体" w:hAnsi="宋体" w:eastAsia="宋体" w:cs="宋体"/>
          <w:spacing w:val="3"/>
          <w:sz w:val="21"/>
          <w:szCs w:val="21"/>
        </w:rPr>
        <w:t>包人在完成不合格工程的返工、修复或采取其他补救措施后，应重新提交竣</w:t>
      </w:r>
      <w:r>
        <w:rPr>
          <w:rFonts w:ascii="宋体" w:hAnsi="宋体" w:eastAsia="宋体" w:cs="宋体"/>
          <w:spacing w:val="2"/>
          <w:sz w:val="21"/>
          <w:szCs w:val="21"/>
        </w:rPr>
        <w:t>工验收申请报</w:t>
      </w:r>
    </w:p>
    <w:p w14:paraId="0D5B39A5">
      <w:pPr>
        <w:spacing w:line="219" w:lineRule="auto"/>
        <w:ind w:left="23"/>
        <w:rPr>
          <w:rFonts w:ascii="宋体" w:hAnsi="宋体" w:eastAsia="宋体" w:cs="宋体"/>
          <w:sz w:val="21"/>
          <w:szCs w:val="21"/>
        </w:rPr>
      </w:pPr>
      <w:r>
        <w:rPr>
          <w:rFonts w:ascii="宋体" w:hAnsi="宋体" w:eastAsia="宋体" w:cs="宋体"/>
          <w:spacing w:val="-1"/>
          <w:sz w:val="21"/>
          <w:szCs w:val="21"/>
        </w:rPr>
        <w:t>告，并按本项约定的程序重新进行验收。</w:t>
      </w:r>
    </w:p>
    <w:p w14:paraId="1E71F0B2">
      <w:pPr>
        <w:spacing w:before="150" w:line="352" w:lineRule="auto"/>
        <w:ind w:left="18" w:right="1" w:firstLine="429"/>
        <w:jc w:val="both"/>
        <w:rPr>
          <w:rFonts w:ascii="宋体" w:hAnsi="宋体" w:eastAsia="宋体" w:cs="宋体"/>
          <w:sz w:val="21"/>
          <w:szCs w:val="21"/>
        </w:rPr>
      </w:pPr>
      <w:r>
        <w:rPr>
          <w:rFonts w:ascii="宋体" w:hAnsi="宋体" w:eastAsia="宋体" w:cs="宋体"/>
          <w:sz w:val="21"/>
          <w:szCs w:val="21"/>
        </w:rPr>
        <w:t>（</w:t>
      </w:r>
      <w:r>
        <w:rPr>
          <w:rFonts w:ascii="Times New Roman" w:hAnsi="Times New Roman" w:eastAsia="Times New Roman" w:cs="Times New Roman"/>
          <w:sz w:val="21"/>
          <w:szCs w:val="21"/>
        </w:rPr>
        <w:t>5</w:t>
      </w:r>
      <w:r>
        <w:rPr>
          <w:rFonts w:ascii="宋体" w:hAnsi="宋体" w:eastAsia="宋体" w:cs="宋体"/>
          <w:sz w:val="21"/>
          <w:szCs w:val="21"/>
        </w:rPr>
        <w:t>）工程未经验收或验收不合格，发包人擅自</w:t>
      </w:r>
      <w:r>
        <w:rPr>
          <w:rFonts w:ascii="宋体" w:hAnsi="宋体" w:eastAsia="宋体" w:cs="宋体"/>
          <w:spacing w:val="-1"/>
          <w:sz w:val="21"/>
          <w:szCs w:val="21"/>
        </w:rPr>
        <w:t>使用的，应在转移占有工程后</w:t>
      </w:r>
      <w:r>
        <w:rPr>
          <w:rFonts w:ascii="宋体" w:hAnsi="宋体" w:eastAsia="宋体" w:cs="宋体"/>
          <w:spacing w:val="-27"/>
          <w:sz w:val="21"/>
          <w:szCs w:val="21"/>
        </w:rPr>
        <w:t xml:space="preserve"> </w:t>
      </w:r>
      <w:r>
        <w:rPr>
          <w:rFonts w:ascii="Times New Roman" w:hAnsi="Times New Roman" w:eastAsia="Times New Roman" w:cs="Times New Roman"/>
          <w:spacing w:val="-1"/>
          <w:sz w:val="21"/>
          <w:szCs w:val="21"/>
        </w:rPr>
        <w:t xml:space="preserve">7 </w:t>
      </w:r>
      <w:r>
        <w:rPr>
          <w:rFonts w:ascii="宋体" w:hAnsi="宋体" w:eastAsia="宋体" w:cs="宋体"/>
          <w:spacing w:val="-1"/>
          <w:sz w:val="21"/>
          <w:szCs w:val="21"/>
        </w:rPr>
        <w:t>天内向</w:t>
      </w:r>
      <w:r>
        <w:rPr>
          <w:rFonts w:ascii="宋体" w:hAnsi="宋体" w:eastAsia="宋体" w:cs="宋体"/>
          <w:sz w:val="21"/>
          <w:szCs w:val="21"/>
        </w:rPr>
        <w:t xml:space="preserve"> 承包人颁发工程接收证书；发包人无正当理由逾期不颁发工程接收证书的， 自转移占有后</w:t>
      </w:r>
    </w:p>
    <w:p w14:paraId="5C01AB40">
      <w:pPr>
        <w:spacing w:before="1" w:line="219" w:lineRule="auto"/>
        <w:ind w:left="18"/>
        <w:rPr>
          <w:rFonts w:ascii="宋体" w:hAnsi="宋体" w:eastAsia="宋体" w:cs="宋体"/>
          <w:sz w:val="21"/>
          <w:szCs w:val="21"/>
        </w:rPr>
      </w:pPr>
      <w:r>
        <w:rPr>
          <w:rFonts w:ascii="宋体" w:hAnsi="宋体" w:eastAsia="宋体" w:cs="宋体"/>
          <w:spacing w:val="-4"/>
          <w:sz w:val="21"/>
          <w:szCs w:val="21"/>
        </w:rPr>
        <w:t>第</w:t>
      </w:r>
      <w:r>
        <w:rPr>
          <w:rFonts w:ascii="宋体" w:hAnsi="宋体" w:eastAsia="宋体" w:cs="宋体"/>
          <w:spacing w:val="-17"/>
          <w:sz w:val="21"/>
          <w:szCs w:val="21"/>
        </w:rPr>
        <w:t xml:space="preserve"> </w:t>
      </w:r>
      <w:r>
        <w:rPr>
          <w:rFonts w:ascii="Times New Roman" w:hAnsi="Times New Roman" w:eastAsia="Times New Roman" w:cs="Times New Roman"/>
          <w:spacing w:val="-4"/>
          <w:sz w:val="21"/>
          <w:szCs w:val="21"/>
        </w:rPr>
        <w:t xml:space="preserve">15 </w:t>
      </w:r>
      <w:r>
        <w:rPr>
          <w:rFonts w:ascii="宋体" w:hAnsi="宋体" w:eastAsia="宋体" w:cs="宋体"/>
          <w:spacing w:val="-4"/>
          <w:sz w:val="21"/>
          <w:szCs w:val="21"/>
        </w:rPr>
        <w:t>天起视为已颁发工程接收证书。</w:t>
      </w:r>
    </w:p>
    <w:p w14:paraId="0F861FE1">
      <w:pPr>
        <w:spacing w:before="147" w:line="353" w:lineRule="auto"/>
        <w:ind w:left="22" w:right="6" w:firstLine="431"/>
        <w:rPr>
          <w:rFonts w:ascii="宋体" w:hAnsi="宋体" w:eastAsia="宋体" w:cs="宋体"/>
          <w:sz w:val="21"/>
          <w:szCs w:val="21"/>
        </w:rPr>
      </w:pPr>
      <w:r>
        <w:rPr>
          <w:rFonts w:ascii="宋体" w:hAnsi="宋体" w:eastAsia="宋体" w:cs="宋体"/>
          <w:spacing w:val="3"/>
          <w:sz w:val="21"/>
          <w:szCs w:val="21"/>
        </w:rPr>
        <w:t>除专用合同条款另有约定外，发包人不按照本项约定组织竣工</w:t>
      </w:r>
      <w:r>
        <w:rPr>
          <w:rFonts w:ascii="宋体" w:hAnsi="宋体" w:eastAsia="宋体" w:cs="宋体"/>
          <w:spacing w:val="2"/>
          <w:sz w:val="21"/>
          <w:szCs w:val="21"/>
        </w:rPr>
        <w:t>验收、颁发工程接收证</w:t>
      </w:r>
      <w:r>
        <w:rPr>
          <w:rFonts w:ascii="宋体" w:hAnsi="宋体" w:eastAsia="宋体" w:cs="宋体"/>
          <w:sz w:val="21"/>
          <w:szCs w:val="21"/>
        </w:rPr>
        <w:t xml:space="preserve"> </w:t>
      </w:r>
      <w:r>
        <w:rPr>
          <w:rFonts w:ascii="宋体" w:hAnsi="宋体" w:eastAsia="宋体" w:cs="宋体"/>
          <w:spacing w:val="-2"/>
          <w:sz w:val="21"/>
          <w:szCs w:val="21"/>
        </w:rPr>
        <w:t>书的， 每逾期一天，应以签约合同价为基数</w:t>
      </w:r>
      <w:r>
        <w:rPr>
          <w:rFonts w:ascii="宋体" w:hAnsi="宋体" w:eastAsia="宋体" w:cs="宋体"/>
          <w:spacing w:val="-3"/>
          <w:sz w:val="21"/>
          <w:szCs w:val="21"/>
        </w:rPr>
        <w:t>， 按照中国人民银行发布的同期同类贷款基准</w:t>
      </w:r>
    </w:p>
    <w:p w14:paraId="7E8BC8A7">
      <w:pPr>
        <w:spacing w:before="1" w:line="220" w:lineRule="auto"/>
        <w:ind w:left="19"/>
        <w:rPr>
          <w:rFonts w:ascii="宋体" w:hAnsi="宋体" w:eastAsia="宋体" w:cs="宋体"/>
          <w:sz w:val="21"/>
          <w:szCs w:val="21"/>
        </w:rPr>
      </w:pPr>
      <w:r>
        <w:rPr>
          <w:rFonts w:ascii="宋体" w:hAnsi="宋体" w:eastAsia="宋体" w:cs="宋体"/>
          <w:spacing w:val="-4"/>
          <w:sz w:val="21"/>
          <w:szCs w:val="21"/>
        </w:rPr>
        <w:t>利率支付违约金。</w:t>
      </w:r>
    </w:p>
    <w:p w14:paraId="2EC1BC6D">
      <w:pPr>
        <w:spacing w:before="147" w:line="221" w:lineRule="auto"/>
        <w:ind w:left="457"/>
        <w:rPr>
          <w:rFonts w:ascii="宋体" w:hAnsi="宋体" w:eastAsia="宋体" w:cs="宋体"/>
          <w:sz w:val="21"/>
          <w:szCs w:val="21"/>
        </w:rPr>
      </w:pPr>
      <w:r>
        <w:rPr>
          <w:rFonts w:ascii="Times New Roman" w:hAnsi="Times New Roman" w:eastAsia="Times New Roman" w:cs="Times New Roman"/>
          <w:spacing w:val="-3"/>
          <w:sz w:val="21"/>
          <w:szCs w:val="21"/>
        </w:rPr>
        <w:t xml:space="preserve">13.2.3 </w:t>
      </w:r>
      <w:r>
        <w:rPr>
          <w:rFonts w:ascii="宋体" w:hAnsi="宋体" w:eastAsia="宋体" w:cs="宋体"/>
          <w:spacing w:val="-3"/>
          <w:sz w:val="21"/>
          <w:szCs w:val="21"/>
        </w:rPr>
        <w:t>竣工日期</w:t>
      </w:r>
    </w:p>
    <w:p w14:paraId="4D5FFEE5">
      <w:pPr>
        <w:spacing w:before="154" w:line="351" w:lineRule="auto"/>
        <w:ind w:left="20" w:right="5" w:firstLine="422"/>
        <w:rPr>
          <w:rFonts w:ascii="宋体" w:hAnsi="宋体" w:eastAsia="宋体" w:cs="宋体"/>
          <w:sz w:val="21"/>
          <w:szCs w:val="21"/>
        </w:rPr>
      </w:pPr>
      <w:r>
        <w:rPr>
          <w:rFonts w:ascii="宋体" w:hAnsi="宋体" w:eastAsia="宋体" w:cs="宋体"/>
          <w:sz w:val="21"/>
          <w:szCs w:val="21"/>
        </w:rPr>
        <w:t>工程经竣工验收合格的，以承包人提交竣工验收申请报告之日为实际竣工日期， 并在</w:t>
      </w:r>
      <w:r>
        <w:rPr>
          <w:rFonts w:ascii="宋体" w:hAnsi="宋体" w:eastAsia="宋体" w:cs="宋体"/>
          <w:spacing w:val="6"/>
          <w:sz w:val="21"/>
          <w:szCs w:val="21"/>
        </w:rPr>
        <w:t xml:space="preserve"> </w:t>
      </w:r>
      <w:r>
        <w:rPr>
          <w:rFonts w:ascii="宋体" w:hAnsi="宋体" w:eastAsia="宋体" w:cs="宋体"/>
          <w:sz w:val="21"/>
          <w:szCs w:val="21"/>
        </w:rPr>
        <w:t xml:space="preserve">工程接收证书中载明；因发包人原因，未在监理人收到承包人提交的竣工验收申请报告 </w:t>
      </w:r>
      <w:r>
        <w:rPr>
          <w:rFonts w:ascii="Times New Roman" w:hAnsi="Times New Roman" w:eastAsia="Times New Roman" w:cs="Times New Roman"/>
          <w:sz w:val="21"/>
          <w:szCs w:val="21"/>
        </w:rPr>
        <w:t>42</w:t>
      </w:r>
      <w:r>
        <w:rPr>
          <w:rFonts w:ascii="Times New Roman" w:hAnsi="Times New Roman" w:eastAsia="Times New Roman" w:cs="Times New Roman"/>
          <w:spacing w:val="10"/>
          <w:sz w:val="21"/>
          <w:szCs w:val="21"/>
        </w:rPr>
        <w:t xml:space="preserve"> </w:t>
      </w:r>
      <w:r>
        <w:rPr>
          <w:rFonts w:ascii="宋体" w:hAnsi="宋体" w:eastAsia="宋体" w:cs="宋体"/>
          <w:spacing w:val="3"/>
          <w:sz w:val="21"/>
          <w:szCs w:val="21"/>
        </w:rPr>
        <w:t>天内完成竣工验收，或完成竣工验收不予签发工程接收证书的，以提交竣工验收</w:t>
      </w:r>
      <w:r>
        <w:rPr>
          <w:rFonts w:ascii="宋体" w:hAnsi="宋体" w:eastAsia="宋体" w:cs="宋体"/>
          <w:spacing w:val="2"/>
          <w:sz w:val="21"/>
          <w:szCs w:val="21"/>
        </w:rPr>
        <w:t>申请报告</w:t>
      </w:r>
      <w:r>
        <w:rPr>
          <w:rFonts w:ascii="宋体" w:hAnsi="宋体" w:eastAsia="宋体" w:cs="宋体"/>
          <w:sz w:val="21"/>
          <w:szCs w:val="21"/>
        </w:rPr>
        <w:t xml:space="preserve"> </w:t>
      </w:r>
      <w:r>
        <w:rPr>
          <w:rFonts w:ascii="宋体" w:hAnsi="宋体" w:eastAsia="宋体" w:cs="宋体"/>
          <w:spacing w:val="-3"/>
          <w:sz w:val="21"/>
          <w:szCs w:val="21"/>
        </w:rPr>
        <w:t>的日期为实际竣工日期；工程未经竣工验收， 发包</w:t>
      </w:r>
      <w:r>
        <w:rPr>
          <w:rFonts w:ascii="宋体" w:hAnsi="宋体" w:eastAsia="宋体" w:cs="宋体"/>
          <w:spacing w:val="-4"/>
          <w:sz w:val="21"/>
          <w:szCs w:val="21"/>
        </w:rPr>
        <w:t>人擅自使用的，</w:t>
      </w:r>
      <w:r>
        <w:rPr>
          <w:rFonts w:ascii="宋体" w:hAnsi="宋体" w:eastAsia="宋体" w:cs="宋体"/>
          <w:spacing w:val="36"/>
          <w:sz w:val="21"/>
          <w:szCs w:val="21"/>
        </w:rPr>
        <w:t xml:space="preserve"> </w:t>
      </w:r>
      <w:r>
        <w:rPr>
          <w:rFonts w:ascii="宋体" w:hAnsi="宋体" w:eastAsia="宋体" w:cs="宋体"/>
          <w:spacing w:val="-4"/>
          <w:sz w:val="21"/>
          <w:szCs w:val="21"/>
        </w:rPr>
        <w:t>以转移占有工程之日为</w:t>
      </w:r>
    </w:p>
    <w:p w14:paraId="4531C6AD">
      <w:pPr>
        <w:spacing w:before="1" w:line="220" w:lineRule="auto"/>
        <w:ind w:left="23"/>
        <w:rPr>
          <w:rFonts w:ascii="宋体" w:hAnsi="宋体" w:eastAsia="宋体" w:cs="宋体"/>
          <w:sz w:val="21"/>
          <w:szCs w:val="21"/>
        </w:rPr>
      </w:pPr>
      <w:r>
        <w:rPr>
          <w:rFonts w:ascii="宋体" w:hAnsi="宋体" w:eastAsia="宋体" w:cs="宋体"/>
          <w:spacing w:val="-4"/>
          <w:sz w:val="21"/>
          <w:szCs w:val="21"/>
        </w:rPr>
        <w:t>实际竣工日期。</w:t>
      </w:r>
    </w:p>
    <w:p w14:paraId="5A8C94E0">
      <w:pPr>
        <w:spacing w:before="147" w:line="221" w:lineRule="auto"/>
        <w:ind w:left="457"/>
        <w:rPr>
          <w:rFonts w:ascii="宋体" w:hAnsi="宋体" w:eastAsia="宋体" w:cs="宋体"/>
          <w:sz w:val="21"/>
          <w:szCs w:val="21"/>
        </w:rPr>
      </w:pPr>
      <w:r>
        <w:rPr>
          <w:rFonts w:ascii="Times New Roman" w:hAnsi="Times New Roman" w:eastAsia="Times New Roman" w:cs="Times New Roman"/>
          <w:spacing w:val="-2"/>
          <w:sz w:val="21"/>
          <w:szCs w:val="21"/>
        </w:rPr>
        <w:t xml:space="preserve">13.2.4 </w:t>
      </w:r>
      <w:r>
        <w:rPr>
          <w:rFonts w:ascii="宋体" w:hAnsi="宋体" w:eastAsia="宋体" w:cs="宋体"/>
          <w:spacing w:val="-2"/>
          <w:sz w:val="21"/>
          <w:szCs w:val="21"/>
        </w:rPr>
        <w:t>拒绝接收全部或部分工程</w:t>
      </w:r>
    </w:p>
    <w:p w14:paraId="4D11EE20">
      <w:pPr>
        <w:spacing w:before="151" w:line="352" w:lineRule="auto"/>
        <w:ind w:left="20" w:right="2" w:firstLine="419"/>
        <w:rPr>
          <w:rFonts w:ascii="宋体" w:hAnsi="宋体" w:eastAsia="宋体" w:cs="宋体"/>
          <w:sz w:val="21"/>
          <w:szCs w:val="21"/>
        </w:rPr>
      </w:pPr>
      <w:r>
        <w:rPr>
          <w:rFonts w:ascii="宋体" w:hAnsi="宋体" w:eastAsia="宋体" w:cs="宋体"/>
          <w:sz w:val="21"/>
          <w:szCs w:val="21"/>
        </w:rPr>
        <w:t>对于竣工验收不合格的工程，承包人完成整改后，应当重新进行竣工验收， 经重新组</w:t>
      </w:r>
      <w:r>
        <w:rPr>
          <w:rFonts w:ascii="宋体" w:hAnsi="宋体" w:eastAsia="宋体" w:cs="宋体"/>
          <w:spacing w:val="13"/>
          <w:sz w:val="21"/>
          <w:szCs w:val="21"/>
        </w:rPr>
        <w:t xml:space="preserve"> </w:t>
      </w:r>
      <w:r>
        <w:rPr>
          <w:rFonts w:ascii="宋体" w:hAnsi="宋体" w:eastAsia="宋体" w:cs="宋体"/>
          <w:spacing w:val="3"/>
          <w:sz w:val="21"/>
          <w:szCs w:val="21"/>
        </w:rPr>
        <w:t>织验收仍不合格的且无法采取措施补救的，则发包人可以拒绝接收不合</w:t>
      </w:r>
      <w:r>
        <w:rPr>
          <w:rFonts w:ascii="宋体" w:hAnsi="宋体" w:eastAsia="宋体" w:cs="宋体"/>
          <w:spacing w:val="2"/>
          <w:sz w:val="21"/>
          <w:szCs w:val="21"/>
        </w:rPr>
        <w:t>格工程，因不合格</w:t>
      </w:r>
      <w:r>
        <w:rPr>
          <w:rFonts w:ascii="宋体" w:hAnsi="宋体" w:eastAsia="宋体" w:cs="宋体"/>
          <w:sz w:val="21"/>
          <w:szCs w:val="21"/>
        </w:rPr>
        <w:t xml:space="preserve"> </w:t>
      </w:r>
      <w:r>
        <w:rPr>
          <w:rFonts w:ascii="宋体" w:hAnsi="宋体" w:eastAsia="宋体" w:cs="宋体"/>
          <w:spacing w:val="-1"/>
          <w:sz w:val="21"/>
          <w:szCs w:val="21"/>
        </w:rPr>
        <w:t>工程导致其他工程不能正常使用的，承包人应采取措施确保相关工程的正常使用，</w:t>
      </w:r>
      <w:r>
        <w:rPr>
          <w:rFonts w:ascii="宋体" w:hAnsi="宋体" w:eastAsia="宋体" w:cs="宋体"/>
          <w:spacing w:val="43"/>
          <w:sz w:val="21"/>
          <w:szCs w:val="21"/>
        </w:rPr>
        <w:t xml:space="preserve"> </w:t>
      </w:r>
      <w:r>
        <w:rPr>
          <w:rFonts w:ascii="宋体" w:hAnsi="宋体" w:eastAsia="宋体" w:cs="宋体"/>
          <w:spacing w:val="-1"/>
          <w:sz w:val="21"/>
          <w:szCs w:val="21"/>
        </w:rPr>
        <w:t>由此增</w:t>
      </w:r>
    </w:p>
    <w:p w14:paraId="5FF0E981">
      <w:pPr>
        <w:spacing w:before="1" w:line="220" w:lineRule="auto"/>
        <w:ind w:left="18"/>
        <w:rPr>
          <w:rFonts w:ascii="宋体" w:hAnsi="宋体" w:eastAsia="宋体" w:cs="宋体"/>
          <w:sz w:val="21"/>
          <w:szCs w:val="21"/>
        </w:rPr>
      </w:pPr>
      <w:r>
        <w:rPr>
          <w:rFonts w:ascii="宋体" w:hAnsi="宋体" w:eastAsia="宋体" w:cs="宋体"/>
          <w:spacing w:val="-2"/>
          <w:sz w:val="21"/>
          <w:szCs w:val="21"/>
        </w:rPr>
        <w:t>加的费用和（或）延误的工期由承包人承担。</w:t>
      </w:r>
    </w:p>
    <w:p w14:paraId="6453CAFC">
      <w:pPr>
        <w:spacing w:before="147" w:line="221" w:lineRule="auto"/>
        <w:ind w:left="457"/>
        <w:rPr>
          <w:rFonts w:ascii="宋体" w:hAnsi="宋体" w:eastAsia="宋体" w:cs="宋体"/>
          <w:sz w:val="21"/>
          <w:szCs w:val="21"/>
        </w:rPr>
      </w:pPr>
      <w:r>
        <w:rPr>
          <w:rFonts w:ascii="Times New Roman" w:hAnsi="Times New Roman" w:eastAsia="Times New Roman" w:cs="Times New Roman"/>
          <w:spacing w:val="-2"/>
          <w:sz w:val="21"/>
          <w:szCs w:val="21"/>
        </w:rPr>
        <w:t xml:space="preserve">13.2.5 </w:t>
      </w:r>
      <w:r>
        <w:rPr>
          <w:rFonts w:ascii="宋体" w:hAnsi="宋体" w:eastAsia="宋体" w:cs="宋体"/>
          <w:spacing w:val="-2"/>
          <w:sz w:val="21"/>
          <w:szCs w:val="21"/>
        </w:rPr>
        <w:t>移交、接收全部与部分工程</w:t>
      </w:r>
    </w:p>
    <w:p w14:paraId="4D1F36E1">
      <w:pPr>
        <w:spacing w:before="148" w:line="403" w:lineRule="exact"/>
        <w:ind w:right="2"/>
        <w:jc w:val="right"/>
        <w:rPr>
          <w:rFonts w:ascii="宋体" w:hAnsi="宋体" w:eastAsia="宋体" w:cs="宋体"/>
          <w:sz w:val="21"/>
          <w:szCs w:val="21"/>
        </w:rPr>
      </w:pPr>
      <w:r>
        <w:rPr>
          <w:rFonts w:ascii="宋体" w:hAnsi="宋体" w:eastAsia="宋体" w:cs="宋体"/>
          <w:spacing w:val="-4"/>
          <w:position w:val="14"/>
          <w:sz w:val="21"/>
          <w:szCs w:val="21"/>
        </w:rPr>
        <w:t>除专用合同条款另有约定外，</w:t>
      </w:r>
      <w:r>
        <w:rPr>
          <w:rFonts w:ascii="宋体" w:hAnsi="宋体" w:eastAsia="宋体" w:cs="宋体"/>
          <w:spacing w:val="57"/>
          <w:position w:val="14"/>
          <w:sz w:val="21"/>
          <w:szCs w:val="21"/>
        </w:rPr>
        <w:t xml:space="preserve"> </w:t>
      </w:r>
      <w:r>
        <w:rPr>
          <w:rFonts w:ascii="宋体" w:hAnsi="宋体" w:eastAsia="宋体" w:cs="宋体"/>
          <w:spacing w:val="-4"/>
          <w:position w:val="14"/>
          <w:sz w:val="21"/>
          <w:szCs w:val="21"/>
        </w:rPr>
        <w:t xml:space="preserve">合同当事人应当在颁发工程接收证书后 </w:t>
      </w:r>
      <w:r>
        <w:rPr>
          <w:rFonts w:ascii="Times New Roman" w:hAnsi="Times New Roman" w:eastAsia="Times New Roman" w:cs="Times New Roman"/>
          <w:spacing w:val="-4"/>
          <w:position w:val="14"/>
          <w:sz w:val="21"/>
          <w:szCs w:val="21"/>
        </w:rPr>
        <w:t xml:space="preserve">7  </w:t>
      </w:r>
      <w:r>
        <w:rPr>
          <w:rFonts w:ascii="宋体" w:hAnsi="宋体" w:eastAsia="宋体" w:cs="宋体"/>
          <w:spacing w:val="-4"/>
          <w:position w:val="14"/>
          <w:sz w:val="21"/>
          <w:szCs w:val="21"/>
        </w:rPr>
        <w:t>天内完成</w:t>
      </w:r>
      <w:r>
        <w:rPr>
          <w:rFonts w:ascii="宋体" w:hAnsi="宋体" w:eastAsia="宋体" w:cs="宋体"/>
          <w:spacing w:val="-5"/>
          <w:position w:val="14"/>
          <w:sz w:val="21"/>
          <w:szCs w:val="21"/>
        </w:rPr>
        <w:t>工程</w:t>
      </w:r>
    </w:p>
    <w:p w14:paraId="2FC201C1">
      <w:pPr>
        <w:spacing w:line="222" w:lineRule="auto"/>
        <w:ind w:left="35"/>
        <w:rPr>
          <w:rFonts w:ascii="宋体" w:hAnsi="宋体" w:eastAsia="宋体" w:cs="宋体"/>
          <w:sz w:val="21"/>
          <w:szCs w:val="21"/>
        </w:rPr>
      </w:pPr>
      <w:r>
        <w:rPr>
          <w:rFonts w:ascii="宋体" w:hAnsi="宋体" w:eastAsia="宋体" w:cs="宋体"/>
          <w:spacing w:val="-10"/>
          <w:sz w:val="21"/>
          <w:szCs w:val="21"/>
        </w:rPr>
        <w:t>的移交。</w:t>
      </w:r>
    </w:p>
    <w:p w14:paraId="08FDC4B6">
      <w:pPr>
        <w:spacing w:before="145" w:line="353" w:lineRule="auto"/>
        <w:ind w:left="35" w:right="2" w:firstLine="408"/>
        <w:rPr>
          <w:rFonts w:ascii="宋体" w:hAnsi="宋体" w:eastAsia="宋体" w:cs="宋体"/>
          <w:sz w:val="21"/>
          <w:szCs w:val="21"/>
        </w:rPr>
      </w:pPr>
      <w:r>
        <w:rPr>
          <w:rFonts w:ascii="宋体" w:hAnsi="宋体" w:eastAsia="宋体" w:cs="宋体"/>
          <w:spacing w:val="3"/>
          <w:sz w:val="21"/>
          <w:szCs w:val="21"/>
        </w:rPr>
        <w:t>发包人无正当理由不接收工程的，发包人自应当接收工程之日起，承担工程照管、成 品保护、保管等与工程有关的各项费用，合</w:t>
      </w:r>
      <w:r>
        <w:rPr>
          <w:rFonts w:ascii="宋体" w:hAnsi="宋体" w:eastAsia="宋体" w:cs="宋体"/>
          <w:spacing w:val="2"/>
          <w:sz w:val="21"/>
          <w:szCs w:val="21"/>
        </w:rPr>
        <w:t>同当事人可以在专用合同条款中另行约定发包</w:t>
      </w:r>
    </w:p>
    <w:p w14:paraId="784C040A">
      <w:pPr>
        <w:spacing w:line="220" w:lineRule="auto"/>
        <w:ind w:left="20"/>
        <w:rPr>
          <w:rFonts w:ascii="宋体" w:hAnsi="宋体" w:eastAsia="宋体" w:cs="宋体"/>
          <w:sz w:val="21"/>
          <w:szCs w:val="21"/>
        </w:rPr>
      </w:pPr>
      <w:r>
        <w:rPr>
          <w:rFonts w:ascii="宋体" w:hAnsi="宋体" w:eastAsia="宋体" w:cs="宋体"/>
          <w:spacing w:val="-1"/>
          <w:sz w:val="21"/>
          <w:szCs w:val="21"/>
        </w:rPr>
        <w:t>人逾期接收工程的违约责任。</w:t>
      </w:r>
    </w:p>
    <w:p w14:paraId="1AE3E73D">
      <w:pPr>
        <w:spacing w:before="148" w:line="398" w:lineRule="exact"/>
        <w:ind w:right="3"/>
        <w:jc w:val="right"/>
        <w:rPr>
          <w:rFonts w:ascii="宋体" w:hAnsi="宋体" w:eastAsia="宋体" w:cs="宋体"/>
          <w:sz w:val="21"/>
          <w:szCs w:val="21"/>
        </w:rPr>
      </w:pPr>
      <w:r>
        <w:rPr>
          <w:rFonts w:ascii="宋体" w:hAnsi="宋体" w:eastAsia="宋体" w:cs="宋体"/>
          <w:spacing w:val="3"/>
          <w:position w:val="14"/>
          <w:sz w:val="21"/>
          <w:szCs w:val="21"/>
        </w:rPr>
        <w:t>承包人无正当理由不移交工程的，承包人应承担工程照管、成品保护、保管等与工程</w:t>
      </w:r>
    </w:p>
    <w:p w14:paraId="392154C8">
      <w:pPr>
        <w:spacing w:before="1" w:line="220" w:lineRule="auto"/>
        <w:ind w:left="19"/>
        <w:rPr>
          <w:rFonts w:ascii="宋体" w:hAnsi="宋体" w:eastAsia="宋体" w:cs="宋体"/>
          <w:sz w:val="21"/>
          <w:szCs w:val="21"/>
        </w:rPr>
      </w:pPr>
      <w:r>
        <w:rPr>
          <w:rFonts w:ascii="宋体" w:hAnsi="宋体" w:eastAsia="宋体" w:cs="宋体"/>
          <w:spacing w:val="3"/>
          <w:sz w:val="21"/>
          <w:szCs w:val="21"/>
        </w:rPr>
        <w:t>有关的各项费用，合同当事人可以在专用合同条款中另行约定承</w:t>
      </w:r>
      <w:r>
        <w:rPr>
          <w:rFonts w:ascii="宋体" w:hAnsi="宋体" w:eastAsia="宋体" w:cs="宋体"/>
          <w:spacing w:val="2"/>
          <w:sz w:val="21"/>
          <w:szCs w:val="21"/>
        </w:rPr>
        <w:t>包人无正当理由不移交工</w:t>
      </w:r>
    </w:p>
    <w:p w14:paraId="383F01C7">
      <w:pPr>
        <w:spacing w:before="152" w:line="221" w:lineRule="auto"/>
        <w:ind w:left="17"/>
        <w:rPr>
          <w:rFonts w:ascii="宋体" w:hAnsi="宋体" w:eastAsia="宋体" w:cs="宋体"/>
          <w:sz w:val="21"/>
          <w:szCs w:val="21"/>
        </w:rPr>
      </w:pPr>
      <w:r>
        <w:rPr>
          <w:rFonts w:ascii="宋体" w:hAnsi="宋体" w:eastAsia="宋体" w:cs="宋体"/>
          <w:spacing w:val="-1"/>
          <w:sz w:val="21"/>
          <w:szCs w:val="21"/>
        </w:rPr>
        <w:t>程的违约责任。</w:t>
      </w:r>
    </w:p>
    <w:p w14:paraId="0D5A2AC7">
      <w:pPr>
        <w:spacing w:before="46" w:line="218" w:lineRule="auto"/>
        <w:ind w:left="31"/>
        <w:rPr>
          <w:rFonts w:ascii="黑体" w:hAnsi="黑体" w:eastAsia="黑体" w:cs="黑体"/>
          <w:sz w:val="24"/>
          <w:szCs w:val="24"/>
        </w:rPr>
      </w:pPr>
      <w:r>
        <w:rPr>
          <w:rFonts w:ascii="黑体" w:hAnsi="黑体" w:eastAsia="黑体" w:cs="黑体"/>
          <w:spacing w:val="-4"/>
          <w:sz w:val="24"/>
          <w:szCs w:val="24"/>
        </w:rPr>
        <w:t>13.3</w:t>
      </w:r>
      <w:r>
        <w:rPr>
          <w:rFonts w:ascii="黑体" w:hAnsi="黑体" w:eastAsia="黑体" w:cs="黑体"/>
          <w:spacing w:val="-50"/>
          <w:sz w:val="24"/>
          <w:szCs w:val="24"/>
        </w:rPr>
        <w:t xml:space="preserve"> </w:t>
      </w:r>
      <w:r>
        <w:rPr>
          <w:rFonts w:ascii="黑体" w:hAnsi="黑体" w:eastAsia="黑体" w:cs="黑体"/>
          <w:spacing w:val="-4"/>
          <w:sz w:val="24"/>
          <w:szCs w:val="24"/>
        </w:rPr>
        <w:t>工程试车</w:t>
      </w:r>
    </w:p>
    <w:p w14:paraId="6277AAA5">
      <w:pPr>
        <w:spacing w:before="130" w:line="221" w:lineRule="auto"/>
        <w:ind w:left="457"/>
        <w:rPr>
          <w:rFonts w:ascii="宋体" w:hAnsi="宋体" w:eastAsia="宋体" w:cs="宋体"/>
          <w:sz w:val="21"/>
          <w:szCs w:val="21"/>
        </w:rPr>
      </w:pPr>
      <w:r>
        <w:rPr>
          <w:rFonts w:ascii="Times New Roman" w:hAnsi="Times New Roman" w:eastAsia="Times New Roman" w:cs="Times New Roman"/>
          <w:spacing w:val="-3"/>
          <w:sz w:val="21"/>
          <w:szCs w:val="21"/>
        </w:rPr>
        <w:t xml:space="preserve">13.3.1 </w:t>
      </w:r>
      <w:r>
        <w:rPr>
          <w:rFonts w:ascii="宋体" w:hAnsi="宋体" w:eastAsia="宋体" w:cs="宋体"/>
          <w:spacing w:val="-3"/>
          <w:sz w:val="21"/>
          <w:szCs w:val="21"/>
        </w:rPr>
        <w:t>试车程序</w:t>
      </w:r>
    </w:p>
    <w:p w14:paraId="7951DC54">
      <w:pPr>
        <w:spacing w:line="221" w:lineRule="auto"/>
        <w:rPr>
          <w:rFonts w:ascii="宋体" w:hAnsi="宋体" w:eastAsia="宋体" w:cs="宋体"/>
          <w:sz w:val="21"/>
          <w:szCs w:val="21"/>
        </w:rPr>
        <w:sectPr>
          <w:footerReference r:id="rId125" w:type="default"/>
          <w:pgSz w:w="11905" w:h="16839"/>
          <w:pgMar w:top="1431" w:right="1785" w:bottom="1004" w:left="1785" w:header="0" w:footer="828" w:gutter="0"/>
          <w:pgNumType w:fmt="decimal"/>
          <w:cols w:space="720" w:num="1"/>
        </w:sectPr>
      </w:pPr>
    </w:p>
    <w:p w14:paraId="5377EEB2">
      <w:pPr>
        <w:spacing w:before="149" w:line="398" w:lineRule="exact"/>
        <w:jc w:val="right"/>
        <w:rPr>
          <w:rFonts w:ascii="宋体" w:hAnsi="宋体" w:eastAsia="宋体" w:cs="宋体"/>
          <w:sz w:val="21"/>
          <w:szCs w:val="21"/>
        </w:rPr>
      </w:pPr>
      <w:r>
        <w:rPr>
          <w:rFonts w:ascii="宋体" w:hAnsi="宋体" w:eastAsia="宋体" w:cs="宋体"/>
          <w:spacing w:val="-1"/>
          <w:position w:val="14"/>
          <w:sz w:val="21"/>
          <w:szCs w:val="21"/>
        </w:rPr>
        <w:t>工程需要试车的， 除专用合同条款另有约定外，试车内容应与承包人承包范围相一致，</w:t>
      </w:r>
    </w:p>
    <w:p w14:paraId="2550666E">
      <w:pPr>
        <w:spacing w:line="220" w:lineRule="auto"/>
        <w:ind w:left="18"/>
        <w:rPr>
          <w:rFonts w:ascii="宋体" w:hAnsi="宋体" w:eastAsia="宋体" w:cs="宋体"/>
          <w:sz w:val="21"/>
          <w:szCs w:val="21"/>
        </w:rPr>
      </w:pPr>
      <w:r>
        <w:rPr>
          <w:rFonts w:ascii="宋体" w:hAnsi="宋体" w:eastAsia="宋体" w:cs="宋体"/>
          <w:spacing w:val="-1"/>
          <w:sz w:val="21"/>
          <w:szCs w:val="21"/>
        </w:rPr>
        <w:t>试车费用由承包人承担。工程试车应按如下程序进行：</w:t>
      </w:r>
    </w:p>
    <w:p w14:paraId="18B4DBCD">
      <w:pPr>
        <w:spacing w:before="154" w:line="351" w:lineRule="auto"/>
        <w:ind w:left="18" w:right="171" w:firstLine="429"/>
        <w:rPr>
          <w:rFonts w:ascii="宋体" w:hAnsi="宋体" w:eastAsia="宋体" w:cs="宋体"/>
          <w:sz w:val="21"/>
          <w:szCs w:val="21"/>
        </w:rPr>
      </w:pPr>
      <w:r>
        <w:rPr>
          <w:rFonts w:ascii="宋体" w:hAnsi="宋体" w:eastAsia="宋体" w:cs="宋体"/>
          <w:spacing w:val="-4"/>
          <w:sz w:val="21"/>
          <w:szCs w:val="21"/>
        </w:rPr>
        <w:t>（</w:t>
      </w:r>
      <w:r>
        <w:rPr>
          <w:rFonts w:ascii="Times New Roman" w:hAnsi="Times New Roman" w:eastAsia="Times New Roman" w:cs="Times New Roman"/>
          <w:spacing w:val="-4"/>
          <w:sz w:val="21"/>
          <w:szCs w:val="21"/>
        </w:rPr>
        <w:t>1</w:t>
      </w:r>
      <w:r>
        <w:rPr>
          <w:rFonts w:ascii="宋体" w:hAnsi="宋体" w:eastAsia="宋体" w:cs="宋体"/>
          <w:spacing w:val="-4"/>
          <w:sz w:val="21"/>
          <w:szCs w:val="21"/>
        </w:rPr>
        <w:t>）具备单机无负荷试车条件，承包人组织试车，</w:t>
      </w:r>
      <w:r>
        <w:rPr>
          <w:rFonts w:ascii="宋体" w:hAnsi="宋体" w:eastAsia="宋体" w:cs="宋体"/>
          <w:spacing w:val="66"/>
          <w:sz w:val="21"/>
          <w:szCs w:val="21"/>
        </w:rPr>
        <w:t xml:space="preserve"> </w:t>
      </w:r>
      <w:r>
        <w:rPr>
          <w:rFonts w:ascii="宋体" w:hAnsi="宋体" w:eastAsia="宋体" w:cs="宋体"/>
          <w:spacing w:val="-4"/>
          <w:sz w:val="21"/>
          <w:szCs w:val="21"/>
        </w:rPr>
        <w:t xml:space="preserve">并在试车前 </w:t>
      </w:r>
      <w:r>
        <w:rPr>
          <w:rFonts w:ascii="Times New Roman" w:hAnsi="Times New Roman" w:eastAsia="Times New Roman" w:cs="Times New Roman"/>
          <w:spacing w:val="-4"/>
          <w:sz w:val="21"/>
          <w:szCs w:val="21"/>
        </w:rPr>
        <w:t xml:space="preserve">48  </w:t>
      </w:r>
      <w:r>
        <w:rPr>
          <w:rFonts w:ascii="宋体" w:hAnsi="宋体" w:eastAsia="宋体" w:cs="宋体"/>
          <w:spacing w:val="-4"/>
          <w:sz w:val="21"/>
          <w:szCs w:val="21"/>
        </w:rPr>
        <w:t>小时书面通知监理</w:t>
      </w:r>
      <w:r>
        <w:rPr>
          <w:rFonts w:ascii="宋体" w:hAnsi="宋体" w:eastAsia="宋体" w:cs="宋体"/>
          <w:sz w:val="21"/>
          <w:szCs w:val="21"/>
        </w:rPr>
        <w:t xml:space="preserve"> 人，通知中应载明试车内容、时间、地点。承包人准备试车记录， 发包人根据承包人要求</w:t>
      </w:r>
      <w:r>
        <w:rPr>
          <w:rFonts w:ascii="宋体" w:hAnsi="宋体" w:eastAsia="宋体" w:cs="宋体"/>
          <w:spacing w:val="6"/>
          <w:sz w:val="21"/>
          <w:szCs w:val="21"/>
        </w:rPr>
        <w:t xml:space="preserve"> </w:t>
      </w:r>
      <w:r>
        <w:rPr>
          <w:rFonts w:ascii="宋体" w:hAnsi="宋体" w:eastAsia="宋体" w:cs="宋体"/>
          <w:spacing w:val="3"/>
          <w:sz w:val="21"/>
          <w:szCs w:val="21"/>
        </w:rPr>
        <w:t>为试车提供必要条件。试车合格的，监理人在试车记录上签字。监理人在试</w:t>
      </w:r>
      <w:r>
        <w:rPr>
          <w:rFonts w:ascii="宋体" w:hAnsi="宋体" w:eastAsia="宋体" w:cs="宋体"/>
          <w:spacing w:val="2"/>
          <w:sz w:val="21"/>
          <w:szCs w:val="21"/>
        </w:rPr>
        <w:t>车合格后不在</w:t>
      </w:r>
      <w:r>
        <w:rPr>
          <w:rFonts w:ascii="宋体" w:hAnsi="宋体" w:eastAsia="宋体" w:cs="宋体"/>
          <w:sz w:val="21"/>
          <w:szCs w:val="21"/>
        </w:rPr>
        <w:t xml:space="preserve"> 试车记录上签字，自试车结束满</w:t>
      </w:r>
      <w:r>
        <w:rPr>
          <w:rFonts w:ascii="宋体" w:hAnsi="宋体" w:eastAsia="宋体" w:cs="宋体"/>
          <w:spacing w:val="-37"/>
          <w:sz w:val="21"/>
          <w:szCs w:val="21"/>
        </w:rPr>
        <w:t xml:space="preserve"> </w:t>
      </w:r>
      <w:r>
        <w:rPr>
          <w:rFonts w:ascii="Times New Roman" w:hAnsi="Times New Roman" w:eastAsia="Times New Roman" w:cs="Times New Roman"/>
          <w:sz w:val="21"/>
          <w:szCs w:val="21"/>
        </w:rPr>
        <w:t>24</w:t>
      </w:r>
      <w:r>
        <w:rPr>
          <w:rFonts w:ascii="Times New Roman" w:hAnsi="Times New Roman" w:eastAsia="Times New Roman" w:cs="Times New Roman"/>
          <w:spacing w:val="14"/>
          <w:w w:val="101"/>
          <w:sz w:val="21"/>
          <w:szCs w:val="21"/>
        </w:rPr>
        <w:t xml:space="preserve"> </w:t>
      </w:r>
      <w:r>
        <w:rPr>
          <w:rFonts w:ascii="宋体" w:hAnsi="宋体" w:eastAsia="宋体" w:cs="宋体"/>
          <w:sz w:val="21"/>
          <w:szCs w:val="21"/>
        </w:rPr>
        <w:t>小时后视为监理人已</w:t>
      </w:r>
      <w:r>
        <w:rPr>
          <w:rFonts w:ascii="宋体" w:hAnsi="宋体" w:eastAsia="宋体" w:cs="宋体"/>
          <w:spacing w:val="-1"/>
          <w:sz w:val="21"/>
          <w:szCs w:val="21"/>
        </w:rPr>
        <w:t>经认可试车记录，承包人可继续施</w:t>
      </w:r>
    </w:p>
    <w:p w14:paraId="3096B9E1">
      <w:pPr>
        <w:spacing w:line="220" w:lineRule="auto"/>
        <w:ind w:left="20"/>
        <w:rPr>
          <w:rFonts w:ascii="宋体" w:hAnsi="宋体" w:eastAsia="宋体" w:cs="宋体"/>
          <w:sz w:val="21"/>
          <w:szCs w:val="21"/>
        </w:rPr>
      </w:pPr>
      <w:r>
        <w:rPr>
          <w:rFonts w:ascii="宋体" w:hAnsi="宋体" w:eastAsia="宋体" w:cs="宋体"/>
          <w:spacing w:val="-2"/>
          <w:sz w:val="21"/>
          <w:szCs w:val="21"/>
        </w:rPr>
        <w:t>工或办理竣工验收手续。</w:t>
      </w:r>
    </w:p>
    <w:p w14:paraId="407D4F25">
      <w:pPr>
        <w:spacing w:before="148" w:line="352" w:lineRule="auto"/>
        <w:ind w:left="19" w:right="173" w:firstLine="422"/>
        <w:rPr>
          <w:rFonts w:ascii="宋体" w:hAnsi="宋体" w:eastAsia="宋体" w:cs="宋体"/>
          <w:sz w:val="21"/>
          <w:szCs w:val="21"/>
        </w:rPr>
      </w:pPr>
      <w:r>
        <w:rPr>
          <w:rFonts w:ascii="宋体" w:hAnsi="宋体" w:eastAsia="宋体" w:cs="宋体"/>
          <w:spacing w:val="-1"/>
          <w:sz w:val="21"/>
          <w:szCs w:val="21"/>
        </w:rPr>
        <w:t>监理人不能按时参加试车，应在试车前</w:t>
      </w:r>
      <w:r>
        <w:rPr>
          <w:rFonts w:ascii="宋体" w:hAnsi="宋体" w:eastAsia="宋体" w:cs="宋体"/>
          <w:spacing w:val="-26"/>
          <w:sz w:val="21"/>
          <w:szCs w:val="21"/>
        </w:rPr>
        <w:t xml:space="preserve"> </w:t>
      </w:r>
      <w:r>
        <w:rPr>
          <w:rFonts w:ascii="Times New Roman" w:hAnsi="Times New Roman" w:eastAsia="Times New Roman" w:cs="Times New Roman"/>
          <w:spacing w:val="-1"/>
          <w:sz w:val="21"/>
          <w:szCs w:val="21"/>
        </w:rPr>
        <w:t>24</w:t>
      </w:r>
      <w:r>
        <w:rPr>
          <w:rFonts w:ascii="Times New Roman" w:hAnsi="Times New Roman" w:eastAsia="Times New Roman" w:cs="Times New Roman"/>
          <w:spacing w:val="14"/>
          <w:sz w:val="21"/>
          <w:szCs w:val="21"/>
        </w:rPr>
        <w:t xml:space="preserve"> </w:t>
      </w:r>
      <w:r>
        <w:rPr>
          <w:rFonts w:ascii="宋体" w:hAnsi="宋体" w:eastAsia="宋体" w:cs="宋体"/>
          <w:spacing w:val="-1"/>
          <w:sz w:val="21"/>
          <w:szCs w:val="21"/>
        </w:rPr>
        <w:t>小时以书面形式向承包人提出延期要求，但</w:t>
      </w:r>
      <w:r>
        <w:rPr>
          <w:rFonts w:ascii="宋体" w:hAnsi="宋体" w:eastAsia="宋体" w:cs="宋体"/>
          <w:sz w:val="21"/>
          <w:szCs w:val="21"/>
        </w:rPr>
        <w:t xml:space="preserve"> 延期不能超过</w:t>
      </w:r>
      <w:r>
        <w:rPr>
          <w:rFonts w:ascii="宋体" w:hAnsi="宋体" w:eastAsia="宋体" w:cs="宋体"/>
          <w:spacing w:val="-38"/>
          <w:sz w:val="21"/>
          <w:szCs w:val="21"/>
        </w:rPr>
        <w:t xml:space="preserve"> </w:t>
      </w:r>
      <w:r>
        <w:rPr>
          <w:rFonts w:ascii="Times New Roman" w:hAnsi="Times New Roman" w:eastAsia="Times New Roman" w:cs="Times New Roman"/>
          <w:sz w:val="21"/>
          <w:szCs w:val="21"/>
        </w:rPr>
        <w:t>48</w:t>
      </w:r>
      <w:r>
        <w:rPr>
          <w:rFonts w:ascii="Times New Roman" w:hAnsi="Times New Roman" w:eastAsia="Times New Roman" w:cs="Times New Roman"/>
          <w:spacing w:val="14"/>
          <w:sz w:val="21"/>
          <w:szCs w:val="21"/>
        </w:rPr>
        <w:t xml:space="preserve"> </w:t>
      </w:r>
      <w:r>
        <w:rPr>
          <w:rFonts w:ascii="宋体" w:hAnsi="宋体" w:eastAsia="宋体" w:cs="宋体"/>
          <w:sz w:val="21"/>
          <w:szCs w:val="21"/>
        </w:rPr>
        <w:t>小时，由此导致工期延误的，工期应予</w:t>
      </w:r>
      <w:r>
        <w:rPr>
          <w:rFonts w:ascii="宋体" w:hAnsi="宋体" w:eastAsia="宋体" w:cs="宋体"/>
          <w:spacing w:val="-1"/>
          <w:sz w:val="21"/>
          <w:szCs w:val="21"/>
        </w:rPr>
        <w:t>以顺延。监理人未能在前述期限内</w:t>
      </w:r>
    </w:p>
    <w:p w14:paraId="3EF9BED9">
      <w:pPr>
        <w:spacing w:before="1" w:line="220" w:lineRule="auto"/>
        <w:ind w:left="19"/>
        <w:rPr>
          <w:rFonts w:ascii="宋体" w:hAnsi="宋体" w:eastAsia="宋体" w:cs="宋体"/>
          <w:sz w:val="21"/>
          <w:szCs w:val="21"/>
        </w:rPr>
      </w:pPr>
      <w:r>
        <w:rPr>
          <w:rFonts w:ascii="宋体" w:hAnsi="宋体" w:eastAsia="宋体" w:cs="宋体"/>
          <w:spacing w:val="-1"/>
          <w:sz w:val="21"/>
          <w:szCs w:val="21"/>
        </w:rPr>
        <w:t>提出延期要求，又不参加试车的，视为认可试车记录。</w:t>
      </w:r>
    </w:p>
    <w:p w14:paraId="0D775BCF">
      <w:pPr>
        <w:spacing w:before="147" w:line="352" w:lineRule="auto"/>
        <w:ind w:left="20" w:right="171" w:firstLine="426"/>
        <w:rPr>
          <w:rFonts w:ascii="宋体" w:hAnsi="宋体" w:eastAsia="宋体" w:cs="宋体"/>
          <w:sz w:val="21"/>
          <w:szCs w:val="21"/>
        </w:rPr>
      </w:pPr>
      <w:r>
        <w:rPr>
          <w:rFonts w:ascii="宋体" w:hAnsi="宋体" w:eastAsia="宋体" w:cs="宋体"/>
          <w:spacing w:val="-4"/>
          <w:sz w:val="21"/>
          <w:szCs w:val="21"/>
        </w:rPr>
        <w:t>（</w:t>
      </w:r>
      <w:r>
        <w:rPr>
          <w:rFonts w:ascii="Times New Roman" w:hAnsi="Times New Roman" w:eastAsia="Times New Roman" w:cs="Times New Roman"/>
          <w:spacing w:val="-4"/>
          <w:sz w:val="21"/>
          <w:szCs w:val="21"/>
        </w:rPr>
        <w:t>2</w:t>
      </w:r>
      <w:r>
        <w:rPr>
          <w:rFonts w:ascii="宋体" w:hAnsi="宋体" w:eastAsia="宋体" w:cs="宋体"/>
          <w:spacing w:val="-4"/>
          <w:sz w:val="21"/>
          <w:szCs w:val="21"/>
        </w:rPr>
        <w:t>）具备无负荷联动试车条件，发包人组织试车，</w:t>
      </w:r>
      <w:r>
        <w:rPr>
          <w:rFonts w:ascii="宋体" w:hAnsi="宋体" w:eastAsia="宋体" w:cs="宋体"/>
          <w:spacing w:val="66"/>
          <w:sz w:val="21"/>
          <w:szCs w:val="21"/>
        </w:rPr>
        <w:t xml:space="preserve"> </w:t>
      </w:r>
      <w:r>
        <w:rPr>
          <w:rFonts w:ascii="宋体" w:hAnsi="宋体" w:eastAsia="宋体" w:cs="宋体"/>
          <w:spacing w:val="-4"/>
          <w:sz w:val="21"/>
          <w:szCs w:val="21"/>
        </w:rPr>
        <w:t xml:space="preserve">并在试车前 </w:t>
      </w:r>
      <w:r>
        <w:rPr>
          <w:rFonts w:ascii="Times New Roman" w:hAnsi="Times New Roman" w:eastAsia="Times New Roman" w:cs="Times New Roman"/>
          <w:spacing w:val="-4"/>
          <w:sz w:val="21"/>
          <w:szCs w:val="21"/>
        </w:rPr>
        <w:t xml:space="preserve">48  </w:t>
      </w:r>
      <w:r>
        <w:rPr>
          <w:rFonts w:ascii="宋体" w:hAnsi="宋体" w:eastAsia="宋体" w:cs="宋体"/>
          <w:spacing w:val="-4"/>
          <w:sz w:val="21"/>
          <w:szCs w:val="21"/>
        </w:rPr>
        <w:t>小时以书面形式通</w:t>
      </w:r>
      <w:r>
        <w:rPr>
          <w:rFonts w:ascii="宋体" w:hAnsi="宋体" w:eastAsia="宋体" w:cs="宋体"/>
          <w:sz w:val="21"/>
          <w:szCs w:val="21"/>
        </w:rPr>
        <w:t xml:space="preserve"> </w:t>
      </w:r>
      <w:r>
        <w:rPr>
          <w:rFonts w:ascii="宋体" w:hAnsi="宋体" w:eastAsia="宋体" w:cs="宋体"/>
          <w:spacing w:val="3"/>
          <w:sz w:val="21"/>
          <w:szCs w:val="21"/>
        </w:rPr>
        <w:t>知承包人。通知中应载明试车内容、时间、地点和对承包人的要求，承</w:t>
      </w:r>
      <w:r>
        <w:rPr>
          <w:rFonts w:ascii="宋体" w:hAnsi="宋体" w:eastAsia="宋体" w:cs="宋体"/>
          <w:spacing w:val="2"/>
          <w:sz w:val="21"/>
          <w:szCs w:val="21"/>
        </w:rPr>
        <w:t>包人按要求做好准</w:t>
      </w:r>
      <w:r>
        <w:rPr>
          <w:rFonts w:ascii="宋体" w:hAnsi="宋体" w:eastAsia="宋体" w:cs="宋体"/>
          <w:sz w:val="21"/>
          <w:szCs w:val="21"/>
        </w:rPr>
        <w:t xml:space="preserve"> 备工作。试车合格，合同当事人在试车记录上签字。承包人无正当理由不参加试车的， 视</w:t>
      </w:r>
    </w:p>
    <w:p w14:paraId="347F8A0A">
      <w:pPr>
        <w:spacing w:before="1" w:line="220" w:lineRule="auto"/>
        <w:ind w:left="20"/>
        <w:rPr>
          <w:rFonts w:ascii="宋体" w:hAnsi="宋体" w:eastAsia="宋体" w:cs="宋体"/>
          <w:sz w:val="21"/>
          <w:szCs w:val="21"/>
        </w:rPr>
      </w:pPr>
      <w:r>
        <w:rPr>
          <w:rFonts w:ascii="宋体" w:hAnsi="宋体" w:eastAsia="宋体" w:cs="宋体"/>
          <w:spacing w:val="-4"/>
          <w:sz w:val="21"/>
          <w:szCs w:val="21"/>
        </w:rPr>
        <w:t>为认可试车记录。</w:t>
      </w:r>
    </w:p>
    <w:p w14:paraId="5D445C71">
      <w:pPr>
        <w:spacing w:before="151" w:line="221" w:lineRule="auto"/>
        <w:ind w:left="457"/>
        <w:rPr>
          <w:rFonts w:ascii="宋体" w:hAnsi="宋体" w:eastAsia="宋体" w:cs="宋体"/>
          <w:sz w:val="21"/>
          <w:szCs w:val="21"/>
        </w:rPr>
      </w:pPr>
      <w:r>
        <w:rPr>
          <w:rFonts w:ascii="Times New Roman" w:hAnsi="Times New Roman" w:eastAsia="Times New Roman" w:cs="Times New Roman"/>
          <w:spacing w:val="-2"/>
          <w:sz w:val="21"/>
          <w:szCs w:val="21"/>
        </w:rPr>
        <w:t xml:space="preserve">13.3.2 </w:t>
      </w:r>
      <w:r>
        <w:rPr>
          <w:rFonts w:ascii="宋体" w:hAnsi="宋体" w:eastAsia="宋体" w:cs="宋体"/>
          <w:spacing w:val="-2"/>
          <w:sz w:val="21"/>
          <w:szCs w:val="21"/>
        </w:rPr>
        <w:t>试车中的责任</w:t>
      </w:r>
    </w:p>
    <w:p w14:paraId="09DB8D0D">
      <w:pPr>
        <w:spacing w:before="147" w:line="352" w:lineRule="auto"/>
        <w:ind w:left="20" w:right="176" w:firstLine="437"/>
        <w:rPr>
          <w:rFonts w:ascii="宋体" w:hAnsi="宋体" w:eastAsia="宋体" w:cs="宋体"/>
          <w:sz w:val="21"/>
          <w:szCs w:val="21"/>
        </w:rPr>
      </w:pPr>
      <w:r>
        <w:rPr>
          <w:rFonts w:ascii="宋体" w:hAnsi="宋体" w:eastAsia="宋体" w:cs="宋体"/>
          <w:spacing w:val="3"/>
          <w:sz w:val="21"/>
          <w:szCs w:val="21"/>
        </w:rPr>
        <w:t>因设计原因导致试车达不到验收要求，发包人应要求</w:t>
      </w:r>
      <w:r>
        <w:rPr>
          <w:rFonts w:ascii="宋体" w:hAnsi="宋体" w:eastAsia="宋体" w:cs="宋体"/>
          <w:spacing w:val="2"/>
          <w:sz w:val="21"/>
          <w:szCs w:val="21"/>
        </w:rPr>
        <w:t>设计人修改设计，承包人按修改</w:t>
      </w:r>
      <w:r>
        <w:rPr>
          <w:rFonts w:ascii="宋体" w:hAnsi="宋体" w:eastAsia="宋体" w:cs="宋体"/>
          <w:sz w:val="21"/>
          <w:szCs w:val="21"/>
        </w:rPr>
        <w:t xml:space="preserve"> </w:t>
      </w:r>
      <w:r>
        <w:rPr>
          <w:rFonts w:ascii="宋体" w:hAnsi="宋体" w:eastAsia="宋体" w:cs="宋体"/>
          <w:spacing w:val="2"/>
          <w:sz w:val="21"/>
          <w:szCs w:val="21"/>
        </w:rPr>
        <w:t>后的设计重新安装。发包人承担修改设计、拆除及重新安装的全部费用，工期相应顺延。</w:t>
      </w:r>
      <w:r>
        <w:rPr>
          <w:rFonts w:ascii="宋体" w:hAnsi="宋体" w:eastAsia="宋体" w:cs="宋体"/>
          <w:sz w:val="21"/>
          <w:szCs w:val="21"/>
        </w:rPr>
        <w:t xml:space="preserve"> 因承包人原因导致试车达不到验收要求， 承包人按监理人要求重新安装和试车，并承担重</w:t>
      </w:r>
    </w:p>
    <w:p w14:paraId="18B99E80">
      <w:pPr>
        <w:spacing w:before="1" w:line="220" w:lineRule="auto"/>
        <w:ind w:left="19"/>
        <w:rPr>
          <w:rFonts w:ascii="宋体" w:hAnsi="宋体" w:eastAsia="宋体" w:cs="宋体"/>
          <w:sz w:val="21"/>
          <w:szCs w:val="21"/>
        </w:rPr>
      </w:pPr>
      <w:r>
        <w:rPr>
          <w:rFonts w:ascii="宋体" w:hAnsi="宋体" w:eastAsia="宋体" w:cs="宋体"/>
          <w:spacing w:val="-2"/>
          <w:sz w:val="21"/>
          <w:szCs w:val="21"/>
        </w:rPr>
        <w:t>新安装和试车的费用，工期不予顺延。</w:t>
      </w:r>
    </w:p>
    <w:p w14:paraId="79EE4789">
      <w:pPr>
        <w:spacing w:before="146" w:line="353" w:lineRule="auto"/>
        <w:ind w:left="25" w:right="176" w:firstLine="432"/>
        <w:rPr>
          <w:rFonts w:ascii="宋体" w:hAnsi="宋体" w:eastAsia="宋体" w:cs="宋体"/>
          <w:sz w:val="21"/>
          <w:szCs w:val="21"/>
        </w:rPr>
      </w:pPr>
      <w:r>
        <w:rPr>
          <w:rFonts w:ascii="宋体" w:hAnsi="宋体" w:eastAsia="宋体" w:cs="宋体"/>
          <w:spacing w:val="3"/>
          <w:sz w:val="21"/>
          <w:szCs w:val="21"/>
        </w:rPr>
        <w:t>因工程设备制造原因导致试车达不到验收要求的，由</w:t>
      </w:r>
      <w:r>
        <w:rPr>
          <w:rFonts w:ascii="宋体" w:hAnsi="宋体" w:eastAsia="宋体" w:cs="宋体"/>
          <w:spacing w:val="2"/>
          <w:sz w:val="21"/>
          <w:szCs w:val="21"/>
        </w:rPr>
        <w:t>采购该工程设备的合同当事人负</w:t>
      </w:r>
      <w:r>
        <w:rPr>
          <w:rFonts w:ascii="宋体" w:hAnsi="宋体" w:eastAsia="宋体" w:cs="宋体"/>
          <w:sz w:val="21"/>
          <w:szCs w:val="21"/>
        </w:rPr>
        <w:t xml:space="preserve"> </w:t>
      </w:r>
      <w:r>
        <w:rPr>
          <w:rFonts w:ascii="宋体" w:hAnsi="宋体" w:eastAsia="宋体" w:cs="宋体"/>
          <w:spacing w:val="3"/>
          <w:sz w:val="21"/>
          <w:szCs w:val="21"/>
        </w:rPr>
        <w:t>责重新购置或修理，承包人负责拆除和重新安装，由此增加</w:t>
      </w:r>
      <w:r>
        <w:rPr>
          <w:rFonts w:ascii="宋体" w:hAnsi="宋体" w:eastAsia="宋体" w:cs="宋体"/>
          <w:spacing w:val="2"/>
          <w:sz w:val="21"/>
          <w:szCs w:val="21"/>
        </w:rPr>
        <w:t>的修理、重新购置、拆除及重</w:t>
      </w:r>
    </w:p>
    <w:p w14:paraId="0ABEB567">
      <w:pPr>
        <w:spacing w:before="1" w:line="219" w:lineRule="auto"/>
        <w:ind w:left="19"/>
        <w:rPr>
          <w:rFonts w:ascii="宋体" w:hAnsi="宋体" w:eastAsia="宋体" w:cs="宋体"/>
          <w:sz w:val="21"/>
          <w:szCs w:val="21"/>
        </w:rPr>
      </w:pPr>
      <w:r>
        <w:rPr>
          <w:rFonts w:ascii="宋体" w:hAnsi="宋体" w:eastAsia="宋体" w:cs="宋体"/>
          <w:sz w:val="21"/>
          <w:szCs w:val="21"/>
        </w:rPr>
        <w:t>新安装的费用及延误的工期由采购该工程设备的合同</w:t>
      </w:r>
      <w:r>
        <w:rPr>
          <w:rFonts w:ascii="宋体" w:hAnsi="宋体" w:eastAsia="宋体" w:cs="宋体"/>
          <w:spacing w:val="-1"/>
          <w:sz w:val="21"/>
          <w:szCs w:val="21"/>
        </w:rPr>
        <w:t>当事人承担。</w:t>
      </w:r>
    </w:p>
    <w:p w14:paraId="60287AF5">
      <w:pPr>
        <w:spacing w:before="148" w:line="221" w:lineRule="auto"/>
        <w:ind w:left="457"/>
        <w:rPr>
          <w:rFonts w:ascii="宋体" w:hAnsi="宋体" w:eastAsia="宋体" w:cs="宋体"/>
          <w:sz w:val="21"/>
          <w:szCs w:val="21"/>
        </w:rPr>
      </w:pPr>
      <w:r>
        <w:rPr>
          <w:rFonts w:ascii="Times New Roman" w:hAnsi="Times New Roman" w:eastAsia="Times New Roman" w:cs="Times New Roman"/>
          <w:spacing w:val="-2"/>
          <w:sz w:val="21"/>
          <w:szCs w:val="21"/>
        </w:rPr>
        <w:t xml:space="preserve">13.3.3 </w:t>
      </w:r>
      <w:r>
        <w:rPr>
          <w:rFonts w:ascii="宋体" w:hAnsi="宋体" w:eastAsia="宋体" w:cs="宋体"/>
          <w:spacing w:val="-2"/>
          <w:sz w:val="21"/>
          <w:szCs w:val="21"/>
        </w:rPr>
        <w:t>投料试车</w:t>
      </w:r>
    </w:p>
    <w:p w14:paraId="15D81775">
      <w:pPr>
        <w:spacing w:before="151" w:line="351" w:lineRule="auto"/>
        <w:ind w:left="19" w:right="172" w:firstLine="425"/>
        <w:rPr>
          <w:rFonts w:ascii="宋体" w:hAnsi="宋体" w:eastAsia="宋体" w:cs="宋体"/>
          <w:sz w:val="21"/>
          <w:szCs w:val="21"/>
        </w:rPr>
      </w:pPr>
      <w:r>
        <w:rPr>
          <w:rFonts w:ascii="宋体" w:hAnsi="宋体" w:eastAsia="宋体" w:cs="宋体"/>
          <w:sz w:val="21"/>
          <w:szCs w:val="21"/>
        </w:rPr>
        <w:t>如需进行投料试车的， 发包人应在工程竣工验收后组织投料试车。发包人要求在工程</w:t>
      </w:r>
      <w:r>
        <w:rPr>
          <w:rFonts w:ascii="宋体" w:hAnsi="宋体" w:eastAsia="宋体" w:cs="宋体"/>
          <w:spacing w:val="10"/>
          <w:sz w:val="21"/>
          <w:szCs w:val="21"/>
        </w:rPr>
        <w:t xml:space="preserve"> </w:t>
      </w:r>
      <w:r>
        <w:rPr>
          <w:rFonts w:ascii="宋体" w:hAnsi="宋体" w:eastAsia="宋体" w:cs="宋体"/>
          <w:spacing w:val="3"/>
          <w:sz w:val="21"/>
          <w:szCs w:val="21"/>
        </w:rPr>
        <w:t>竣工验收前进行或需要承包人配合时，应征得承包人同意，并在专用合同条款中约</w:t>
      </w:r>
      <w:r>
        <w:rPr>
          <w:rFonts w:ascii="宋体" w:hAnsi="宋体" w:eastAsia="宋体" w:cs="宋体"/>
          <w:spacing w:val="2"/>
          <w:sz w:val="21"/>
          <w:szCs w:val="21"/>
        </w:rPr>
        <w:t>定有关</w:t>
      </w:r>
    </w:p>
    <w:p w14:paraId="2EF552C6">
      <w:pPr>
        <w:spacing w:before="1" w:line="221" w:lineRule="auto"/>
        <w:ind w:left="18"/>
        <w:rPr>
          <w:rFonts w:ascii="宋体" w:hAnsi="宋体" w:eastAsia="宋体" w:cs="宋体"/>
          <w:sz w:val="21"/>
          <w:szCs w:val="21"/>
        </w:rPr>
      </w:pPr>
      <w:r>
        <w:rPr>
          <w:rFonts w:ascii="宋体" w:hAnsi="宋体" w:eastAsia="宋体" w:cs="宋体"/>
          <w:spacing w:val="-2"/>
          <w:sz w:val="21"/>
          <w:szCs w:val="21"/>
        </w:rPr>
        <w:t>事项。</w:t>
      </w:r>
    </w:p>
    <w:p w14:paraId="74F70EF2">
      <w:pPr>
        <w:spacing w:before="151" w:line="398" w:lineRule="exact"/>
        <w:ind w:left="443"/>
        <w:rPr>
          <w:rFonts w:ascii="宋体" w:hAnsi="宋体" w:eastAsia="宋体" w:cs="宋体"/>
          <w:sz w:val="21"/>
          <w:szCs w:val="21"/>
        </w:rPr>
      </w:pPr>
      <w:r>
        <w:rPr>
          <w:rFonts w:ascii="宋体" w:hAnsi="宋体" w:eastAsia="宋体" w:cs="宋体"/>
          <w:spacing w:val="3"/>
          <w:position w:val="14"/>
          <w:sz w:val="21"/>
          <w:szCs w:val="21"/>
        </w:rPr>
        <w:t>投料试车合格的，费用由发包人承担；因承包人原因造成投料试车不合格的，承包人</w:t>
      </w:r>
    </w:p>
    <w:p w14:paraId="77976A98">
      <w:pPr>
        <w:spacing w:before="1" w:line="220" w:lineRule="auto"/>
        <w:ind w:left="18"/>
        <w:rPr>
          <w:rFonts w:ascii="宋体" w:hAnsi="宋体" w:eastAsia="宋体" w:cs="宋体"/>
          <w:sz w:val="21"/>
          <w:szCs w:val="21"/>
        </w:rPr>
      </w:pPr>
      <w:r>
        <w:rPr>
          <w:rFonts w:ascii="宋体" w:hAnsi="宋体" w:eastAsia="宋体" w:cs="宋体"/>
          <w:spacing w:val="-3"/>
          <w:sz w:val="21"/>
          <w:szCs w:val="21"/>
        </w:rPr>
        <w:t>应按照发包人要求进行整改，</w:t>
      </w:r>
      <w:r>
        <w:rPr>
          <w:rFonts w:ascii="宋体" w:hAnsi="宋体" w:eastAsia="宋体" w:cs="宋体"/>
          <w:spacing w:val="38"/>
          <w:sz w:val="21"/>
          <w:szCs w:val="21"/>
        </w:rPr>
        <w:t xml:space="preserve"> </w:t>
      </w:r>
      <w:r>
        <w:rPr>
          <w:rFonts w:ascii="宋体" w:hAnsi="宋体" w:eastAsia="宋体" w:cs="宋体"/>
          <w:spacing w:val="-3"/>
          <w:sz w:val="21"/>
          <w:szCs w:val="21"/>
        </w:rPr>
        <w:t>由此产生的整改费用由</w:t>
      </w:r>
      <w:r>
        <w:rPr>
          <w:rFonts w:ascii="宋体" w:hAnsi="宋体" w:eastAsia="宋体" w:cs="宋体"/>
          <w:spacing w:val="-4"/>
          <w:sz w:val="21"/>
          <w:szCs w:val="21"/>
        </w:rPr>
        <w:t>承包人承担； 非因承包人原因导致投</w:t>
      </w:r>
    </w:p>
    <w:p w14:paraId="60B00197">
      <w:pPr>
        <w:spacing w:before="147" w:line="221" w:lineRule="auto"/>
        <w:ind w:left="18"/>
        <w:rPr>
          <w:rFonts w:ascii="宋体" w:hAnsi="宋体" w:eastAsia="宋体" w:cs="宋体"/>
          <w:sz w:val="21"/>
          <w:szCs w:val="21"/>
        </w:rPr>
      </w:pPr>
      <w:r>
        <w:rPr>
          <w:rFonts w:ascii="宋体" w:hAnsi="宋体" w:eastAsia="宋体" w:cs="宋体"/>
          <w:spacing w:val="-3"/>
          <w:sz w:val="21"/>
          <w:szCs w:val="21"/>
        </w:rPr>
        <w:t>料试车不合格的， 如发包人要求承包人进行整改的，由此产生的费用由发包人承担。</w:t>
      </w:r>
    </w:p>
    <w:p w14:paraId="14B388ED">
      <w:pPr>
        <w:spacing w:before="51" w:line="219" w:lineRule="auto"/>
        <w:ind w:left="31"/>
        <w:rPr>
          <w:rFonts w:ascii="黑体" w:hAnsi="黑体" w:eastAsia="黑体" w:cs="黑体"/>
          <w:sz w:val="24"/>
          <w:szCs w:val="24"/>
        </w:rPr>
      </w:pPr>
      <w:r>
        <w:rPr>
          <w:rFonts w:ascii="黑体" w:hAnsi="黑体" w:eastAsia="黑体" w:cs="黑体"/>
          <w:spacing w:val="-2"/>
          <w:sz w:val="24"/>
          <w:szCs w:val="24"/>
        </w:rPr>
        <w:t>13.4</w:t>
      </w:r>
      <w:r>
        <w:rPr>
          <w:rFonts w:ascii="黑体" w:hAnsi="黑体" w:eastAsia="黑体" w:cs="黑体"/>
          <w:spacing w:val="-54"/>
          <w:sz w:val="24"/>
          <w:szCs w:val="24"/>
        </w:rPr>
        <w:t xml:space="preserve"> </w:t>
      </w:r>
      <w:r>
        <w:rPr>
          <w:rFonts w:ascii="黑体" w:hAnsi="黑体" w:eastAsia="黑体" w:cs="黑体"/>
          <w:spacing w:val="-2"/>
          <w:sz w:val="24"/>
          <w:szCs w:val="24"/>
        </w:rPr>
        <w:t>提前交付单位工程的验收</w:t>
      </w:r>
    </w:p>
    <w:p w14:paraId="62D39128">
      <w:pPr>
        <w:spacing w:before="130" w:line="350" w:lineRule="auto"/>
        <w:ind w:left="20" w:firstLine="437"/>
        <w:jc w:val="both"/>
        <w:rPr>
          <w:rFonts w:ascii="宋体" w:hAnsi="宋体" w:eastAsia="宋体" w:cs="宋体"/>
          <w:sz w:val="21"/>
          <w:szCs w:val="21"/>
        </w:rPr>
      </w:pPr>
      <w:r>
        <w:rPr>
          <w:rFonts w:ascii="Times New Roman" w:hAnsi="Times New Roman" w:eastAsia="Times New Roman" w:cs="Times New Roman"/>
          <w:spacing w:val="2"/>
          <w:sz w:val="21"/>
          <w:szCs w:val="21"/>
        </w:rPr>
        <w:t>13.4.1</w:t>
      </w:r>
      <w:r>
        <w:rPr>
          <w:rFonts w:ascii="Times New Roman" w:hAnsi="Times New Roman" w:eastAsia="Times New Roman" w:cs="Times New Roman"/>
          <w:spacing w:val="52"/>
          <w:w w:val="101"/>
          <w:sz w:val="21"/>
          <w:szCs w:val="21"/>
        </w:rPr>
        <w:t xml:space="preserve"> </w:t>
      </w:r>
      <w:r>
        <w:rPr>
          <w:rFonts w:ascii="宋体" w:hAnsi="宋体" w:eastAsia="宋体" w:cs="宋体"/>
          <w:spacing w:val="2"/>
          <w:sz w:val="21"/>
          <w:szCs w:val="21"/>
        </w:rPr>
        <w:t xml:space="preserve">发包人需要在工程竣工前使用单位工程的，或承包人提出提前交付已经竣工的  </w:t>
      </w:r>
      <w:r>
        <w:rPr>
          <w:rFonts w:ascii="宋体" w:hAnsi="宋体" w:eastAsia="宋体" w:cs="宋体"/>
          <w:spacing w:val="-6"/>
          <w:sz w:val="21"/>
          <w:szCs w:val="21"/>
        </w:rPr>
        <w:t>单位工程且经发包人同意的， 可进行单位工程验收，</w:t>
      </w:r>
      <w:r>
        <w:rPr>
          <w:rFonts w:ascii="宋体" w:hAnsi="宋体" w:eastAsia="宋体" w:cs="宋体"/>
          <w:spacing w:val="-10"/>
          <w:sz w:val="21"/>
          <w:szCs w:val="21"/>
        </w:rPr>
        <w:t xml:space="preserve"> </w:t>
      </w:r>
      <w:r>
        <w:rPr>
          <w:rFonts w:ascii="宋体" w:hAnsi="宋体" w:eastAsia="宋体" w:cs="宋体"/>
          <w:spacing w:val="-6"/>
          <w:sz w:val="21"/>
          <w:szCs w:val="21"/>
        </w:rPr>
        <w:t xml:space="preserve">验收的程序按照第 </w:t>
      </w:r>
      <w:r>
        <w:rPr>
          <w:rFonts w:ascii="Times New Roman" w:hAnsi="Times New Roman" w:eastAsia="Times New Roman" w:cs="Times New Roman"/>
          <w:spacing w:val="-6"/>
          <w:sz w:val="21"/>
          <w:szCs w:val="21"/>
        </w:rPr>
        <w:t xml:space="preserve">13.2  </w:t>
      </w:r>
      <w:r>
        <w:rPr>
          <w:rFonts w:ascii="宋体" w:hAnsi="宋体" w:eastAsia="宋体" w:cs="宋体"/>
          <w:spacing w:val="-6"/>
          <w:sz w:val="21"/>
          <w:szCs w:val="21"/>
        </w:rPr>
        <w:t>款〔竣工验收〕</w:t>
      </w:r>
    </w:p>
    <w:p w14:paraId="632A0EF5">
      <w:pPr>
        <w:spacing w:line="221" w:lineRule="auto"/>
        <w:ind w:left="35"/>
        <w:rPr>
          <w:rFonts w:ascii="宋体" w:hAnsi="宋体" w:eastAsia="宋体" w:cs="宋体"/>
          <w:sz w:val="21"/>
          <w:szCs w:val="21"/>
        </w:rPr>
      </w:pPr>
      <w:r>
        <w:rPr>
          <w:rFonts w:ascii="宋体" w:hAnsi="宋体" w:eastAsia="宋体" w:cs="宋体"/>
          <w:spacing w:val="-4"/>
          <w:sz w:val="21"/>
          <w:szCs w:val="21"/>
        </w:rPr>
        <w:t>的约定进行。</w:t>
      </w:r>
    </w:p>
    <w:p w14:paraId="523F28DB">
      <w:pPr>
        <w:spacing w:before="152" w:line="398" w:lineRule="exact"/>
        <w:ind w:left="440"/>
        <w:rPr>
          <w:rFonts w:ascii="宋体" w:hAnsi="宋体" w:eastAsia="宋体" w:cs="宋体"/>
          <w:sz w:val="21"/>
          <w:szCs w:val="21"/>
        </w:rPr>
      </w:pPr>
      <w:r>
        <w:rPr>
          <w:rFonts w:ascii="宋体" w:hAnsi="宋体" w:eastAsia="宋体" w:cs="宋体"/>
          <w:spacing w:val="3"/>
          <w:position w:val="14"/>
          <w:sz w:val="21"/>
          <w:szCs w:val="21"/>
        </w:rPr>
        <w:t>验收合格后，由监理人向承包人出具经发包人签认的单位工程接收证书。已签发单位</w:t>
      </w:r>
    </w:p>
    <w:p w14:paraId="6448C83D">
      <w:pPr>
        <w:spacing w:before="1" w:line="219" w:lineRule="auto"/>
        <w:ind w:left="20"/>
        <w:rPr>
          <w:rFonts w:ascii="宋体" w:hAnsi="宋体" w:eastAsia="宋体" w:cs="宋体"/>
          <w:sz w:val="21"/>
          <w:szCs w:val="21"/>
        </w:rPr>
      </w:pPr>
      <w:r>
        <w:rPr>
          <w:rFonts w:ascii="宋体" w:hAnsi="宋体" w:eastAsia="宋体" w:cs="宋体"/>
          <w:spacing w:val="3"/>
          <w:sz w:val="21"/>
          <w:szCs w:val="21"/>
        </w:rPr>
        <w:t>工程接收证书的单位工程由发包人负责照管。单位工程的验收成果和结</w:t>
      </w:r>
      <w:r>
        <w:rPr>
          <w:rFonts w:ascii="宋体" w:hAnsi="宋体" w:eastAsia="宋体" w:cs="宋体"/>
          <w:spacing w:val="2"/>
          <w:sz w:val="21"/>
          <w:szCs w:val="21"/>
        </w:rPr>
        <w:t>论作为整体工程竣</w:t>
      </w:r>
    </w:p>
    <w:p w14:paraId="10BF586F">
      <w:pPr>
        <w:spacing w:line="219" w:lineRule="auto"/>
        <w:rPr>
          <w:rFonts w:ascii="宋体" w:hAnsi="宋体" w:eastAsia="宋体" w:cs="宋体"/>
          <w:sz w:val="21"/>
          <w:szCs w:val="21"/>
        </w:rPr>
        <w:sectPr>
          <w:footerReference r:id="rId126" w:type="default"/>
          <w:pgSz w:w="11905" w:h="16839"/>
          <w:pgMar w:top="1431" w:right="1615" w:bottom="1004" w:left="1785" w:header="0" w:footer="829" w:gutter="0"/>
          <w:pgNumType w:fmt="decimal"/>
          <w:cols w:space="720" w:num="1"/>
        </w:sectPr>
      </w:pPr>
    </w:p>
    <w:p w14:paraId="739F3732">
      <w:pPr>
        <w:spacing w:before="149" w:line="219" w:lineRule="auto"/>
        <w:ind w:left="20"/>
        <w:rPr>
          <w:rFonts w:ascii="宋体" w:hAnsi="宋体" w:eastAsia="宋体" w:cs="宋体"/>
          <w:sz w:val="21"/>
          <w:szCs w:val="21"/>
        </w:rPr>
      </w:pPr>
      <w:r>
        <w:rPr>
          <w:rFonts w:ascii="宋体" w:hAnsi="宋体" w:eastAsia="宋体" w:cs="宋体"/>
          <w:spacing w:val="-2"/>
          <w:sz w:val="21"/>
          <w:szCs w:val="21"/>
        </w:rPr>
        <w:t>工验收申请报告的附件。</w:t>
      </w:r>
    </w:p>
    <w:p w14:paraId="237358B5">
      <w:pPr>
        <w:spacing w:before="147" w:line="276" w:lineRule="auto"/>
        <w:ind w:left="20" w:firstLine="436"/>
        <w:jc w:val="both"/>
        <w:rPr>
          <w:rFonts w:ascii="黑体" w:hAnsi="黑体" w:eastAsia="黑体" w:cs="黑体"/>
          <w:sz w:val="24"/>
          <w:szCs w:val="24"/>
        </w:rPr>
      </w:pPr>
      <w:r>
        <w:rPr>
          <w:rFonts w:ascii="Times New Roman" w:hAnsi="Times New Roman" w:eastAsia="Times New Roman" w:cs="Times New Roman"/>
          <w:spacing w:val="1"/>
          <w:sz w:val="21"/>
          <w:szCs w:val="21"/>
        </w:rPr>
        <w:t>13.4.2</w:t>
      </w:r>
      <w:r>
        <w:rPr>
          <w:rFonts w:ascii="Times New Roman" w:hAnsi="Times New Roman" w:eastAsia="Times New Roman" w:cs="Times New Roman"/>
          <w:spacing w:val="48"/>
          <w:w w:val="101"/>
          <w:sz w:val="21"/>
          <w:szCs w:val="21"/>
        </w:rPr>
        <w:t xml:space="preserve"> </w:t>
      </w:r>
      <w:r>
        <w:rPr>
          <w:rFonts w:ascii="宋体" w:hAnsi="宋体" w:eastAsia="宋体" w:cs="宋体"/>
          <w:spacing w:val="1"/>
          <w:sz w:val="21"/>
          <w:szCs w:val="21"/>
        </w:rPr>
        <w:t>发包人要求在工程竣工前交付单位工程，</w:t>
      </w:r>
      <w:r>
        <w:rPr>
          <w:rFonts w:ascii="宋体" w:hAnsi="宋体" w:eastAsia="宋体" w:cs="宋体"/>
          <w:spacing w:val="-61"/>
          <w:sz w:val="21"/>
          <w:szCs w:val="21"/>
        </w:rPr>
        <w:t xml:space="preserve"> </w:t>
      </w:r>
      <w:r>
        <w:rPr>
          <w:rFonts w:ascii="宋体" w:hAnsi="宋体" w:eastAsia="宋体" w:cs="宋体"/>
          <w:spacing w:val="1"/>
          <w:sz w:val="21"/>
          <w:szCs w:val="21"/>
        </w:rPr>
        <w:t>由此导致承包人费用增加和（或）工</w:t>
      </w:r>
      <w:r>
        <w:rPr>
          <w:rFonts w:ascii="宋体" w:hAnsi="宋体" w:eastAsia="宋体" w:cs="宋体"/>
          <w:sz w:val="21"/>
          <w:szCs w:val="21"/>
        </w:rPr>
        <w:t xml:space="preserve">   </w:t>
      </w:r>
      <w:r>
        <w:rPr>
          <w:rFonts w:ascii="宋体" w:hAnsi="宋体" w:eastAsia="宋体" w:cs="宋体"/>
          <w:spacing w:val="2"/>
          <w:sz w:val="21"/>
          <w:szCs w:val="21"/>
        </w:rPr>
        <w:t>期延误的，由发包人承担由此增加的费用和（或）延误的工期，并支付承包人合理的利润。</w:t>
      </w:r>
      <w:r>
        <w:rPr>
          <w:rFonts w:ascii="宋体" w:hAnsi="宋体" w:eastAsia="宋体" w:cs="宋体"/>
          <w:sz w:val="21"/>
          <w:szCs w:val="21"/>
        </w:rPr>
        <w:t xml:space="preserve"> </w:t>
      </w:r>
      <w:r>
        <w:rPr>
          <w:rFonts w:ascii="黑体" w:hAnsi="黑体" w:eastAsia="黑体" w:cs="黑体"/>
          <w:spacing w:val="-1"/>
          <w:sz w:val="24"/>
          <w:szCs w:val="24"/>
        </w:rPr>
        <w:t>13.5 施工期运行</w:t>
      </w:r>
    </w:p>
    <w:p w14:paraId="62A628C9">
      <w:pPr>
        <w:spacing w:before="129" w:line="398" w:lineRule="exact"/>
        <w:ind w:left="457"/>
        <w:rPr>
          <w:rFonts w:ascii="宋体" w:hAnsi="宋体" w:eastAsia="宋体" w:cs="宋体"/>
          <w:sz w:val="21"/>
          <w:szCs w:val="21"/>
        </w:rPr>
      </w:pPr>
      <w:r>
        <w:rPr>
          <w:rFonts w:ascii="Times New Roman" w:hAnsi="Times New Roman" w:eastAsia="Times New Roman" w:cs="Times New Roman"/>
          <w:spacing w:val="3"/>
          <w:position w:val="14"/>
          <w:sz w:val="21"/>
          <w:szCs w:val="21"/>
        </w:rPr>
        <w:t>13.5.1</w:t>
      </w:r>
      <w:r>
        <w:rPr>
          <w:rFonts w:ascii="Times New Roman" w:hAnsi="Times New Roman" w:eastAsia="Times New Roman" w:cs="Times New Roman"/>
          <w:spacing w:val="36"/>
          <w:w w:val="101"/>
          <w:position w:val="14"/>
          <w:sz w:val="21"/>
          <w:szCs w:val="21"/>
        </w:rPr>
        <w:t xml:space="preserve"> </w:t>
      </w:r>
      <w:r>
        <w:rPr>
          <w:rFonts w:ascii="宋体" w:hAnsi="宋体" w:eastAsia="宋体" w:cs="宋体"/>
          <w:spacing w:val="3"/>
          <w:position w:val="14"/>
          <w:sz w:val="21"/>
          <w:szCs w:val="21"/>
        </w:rPr>
        <w:t>施工期运行是指合同工程尚未全部竣工，其中某项</w:t>
      </w:r>
      <w:r>
        <w:rPr>
          <w:rFonts w:ascii="宋体" w:hAnsi="宋体" w:eastAsia="宋体" w:cs="宋体"/>
          <w:spacing w:val="2"/>
          <w:position w:val="14"/>
          <w:sz w:val="21"/>
          <w:szCs w:val="21"/>
        </w:rPr>
        <w:t>或某几项单位工程或工程设</w:t>
      </w:r>
    </w:p>
    <w:p w14:paraId="12C6DC82">
      <w:pPr>
        <w:spacing w:line="220" w:lineRule="auto"/>
        <w:ind w:left="20"/>
        <w:rPr>
          <w:rFonts w:ascii="宋体" w:hAnsi="宋体" w:eastAsia="宋体" w:cs="宋体"/>
          <w:sz w:val="21"/>
          <w:szCs w:val="21"/>
        </w:rPr>
      </w:pPr>
      <w:r>
        <w:rPr>
          <w:rFonts w:ascii="宋体" w:hAnsi="宋体" w:eastAsia="宋体" w:cs="宋体"/>
          <w:spacing w:val="4"/>
          <w:sz w:val="21"/>
          <w:szCs w:val="21"/>
        </w:rPr>
        <w:t xml:space="preserve">备安装已竣工，根据专用合同条款约定，需要投入施工期运行的，经发包人按第 </w:t>
      </w:r>
      <w:r>
        <w:rPr>
          <w:rFonts w:ascii="Times New Roman" w:hAnsi="Times New Roman" w:eastAsia="Times New Roman" w:cs="Times New Roman"/>
          <w:spacing w:val="4"/>
          <w:sz w:val="21"/>
          <w:szCs w:val="21"/>
        </w:rPr>
        <w:t xml:space="preserve">13.4  </w:t>
      </w:r>
      <w:r>
        <w:rPr>
          <w:rFonts w:ascii="宋体" w:hAnsi="宋体" w:eastAsia="宋体" w:cs="宋体"/>
          <w:spacing w:val="4"/>
          <w:sz w:val="21"/>
          <w:szCs w:val="21"/>
        </w:rPr>
        <w:t>款</w:t>
      </w:r>
    </w:p>
    <w:p w14:paraId="1F6461A1">
      <w:pPr>
        <w:spacing w:before="152" w:line="399" w:lineRule="exact"/>
        <w:ind w:left="42"/>
        <w:rPr>
          <w:rFonts w:ascii="宋体" w:hAnsi="宋体" w:eastAsia="宋体" w:cs="宋体"/>
          <w:sz w:val="21"/>
          <w:szCs w:val="21"/>
        </w:rPr>
      </w:pPr>
      <w:r>
        <w:rPr>
          <w:rFonts w:ascii="宋体" w:hAnsi="宋体" w:eastAsia="宋体" w:cs="宋体"/>
          <w:spacing w:val="2"/>
          <w:position w:val="14"/>
          <w:sz w:val="21"/>
          <w:szCs w:val="21"/>
        </w:rPr>
        <w:t>〔提前交付单位工程的验收〕的约定验收合格，证明能确保安全后，才能在施工期投入运</w:t>
      </w:r>
    </w:p>
    <w:p w14:paraId="798A7CB4">
      <w:pPr>
        <w:spacing w:line="221" w:lineRule="auto"/>
        <w:ind w:left="21"/>
        <w:rPr>
          <w:rFonts w:ascii="宋体" w:hAnsi="宋体" w:eastAsia="宋体" w:cs="宋体"/>
          <w:sz w:val="21"/>
          <w:szCs w:val="21"/>
        </w:rPr>
      </w:pPr>
      <w:r>
        <w:rPr>
          <w:rFonts w:ascii="宋体" w:hAnsi="宋体" w:eastAsia="宋体" w:cs="宋体"/>
          <w:spacing w:val="-11"/>
          <w:sz w:val="21"/>
          <w:szCs w:val="21"/>
        </w:rPr>
        <w:t>行。</w:t>
      </w:r>
    </w:p>
    <w:p w14:paraId="12C0DF1A">
      <w:pPr>
        <w:spacing w:before="146" w:line="221" w:lineRule="auto"/>
        <w:ind w:left="457"/>
        <w:rPr>
          <w:rFonts w:ascii="宋体" w:hAnsi="宋体" w:eastAsia="宋体" w:cs="宋体"/>
          <w:sz w:val="21"/>
          <w:szCs w:val="21"/>
        </w:rPr>
      </w:pPr>
      <w:r>
        <w:rPr>
          <w:rFonts w:ascii="Times New Roman" w:hAnsi="Times New Roman" w:eastAsia="Times New Roman" w:cs="Times New Roman"/>
          <w:spacing w:val="-1"/>
          <w:sz w:val="21"/>
          <w:szCs w:val="21"/>
        </w:rPr>
        <w:t>13.5.2</w:t>
      </w:r>
      <w:r>
        <w:rPr>
          <w:rFonts w:ascii="Times New Roman" w:hAnsi="Times New Roman" w:eastAsia="Times New Roman" w:cs="Times New Roman"/>
          <w:spacing w:val="32"/>
          <w:sz w:val="21"/>
          <w:szCs w:val="21"/>
        </w:rPr>
        <w:t xml:space="preserve"> </w:t>
      </w:r>
      <w:r>
        <w:rPr>
          <w:rFonts w:ascii="宋体" w:hAnsi="宋体" w:eastAsia="宋体" w:cs="宋体"/>
          <w:spacing w:val="-1"/>
          <w:sz w:val="21"/>
          <w:szCs w:val="21"/>
        </w:rPr>
        <w:t>在施工期运行中发现工程或工程设备损坏或存在缺陷的，由承包人按第</w:t>
      </w:r>
      <w:r>
        <w:rPr>
          <w:rFonts w:ascii="宋体" w:hAnsi="宋体" w:eastAsia="宋体" w:cs="宋体"/>
          <w:spacing w:val="28"/>
          <w:sz w:val="21"/>
          <w:szCs w:val="21"/>
        </w:rPr>
        <w:t xml:space="preserve"> </w:t>
      </w:r>
      <w:r>
        <w:rPr>
          <w:rFonts w:ascii="Times New Roman" w:hAnsi="Times New Roman" w:eastAsia="Times New Roman" w:cs="Times New Roman"/>
          <w:spacing w:val="-1"/>
          <w:sz w:val="21"/>
          <w:szCs w:val="21"/>
        </w:rPr>
        <w:t>15</w:t>
      </w:r>
      <w:r>
        <w:rPr>
          <w:rFonts w:ascii="Times New Roman" w:hAnsi="Times New Roman" w:eastAsia="Times New Roman" w:cs="Times New Roman"/>
          <w:spacing w:val="-2"/>
          <w:sz w:val="21"/>
          <w:szCs w:val="21"/>
        </w:rPr>
        <w:t>.2</w:t>
      </w:r>
      <w:r>
        <w:rPr>
          <w:rFonts w:ascii="Times New Roman" w:hAnsi="Times New Roman" w:eastAsia="Times New Roman" w:cs="Times New Roman"/>
          <w:spacing w:val="43"/>
          <w:sz w:val="21"/>
          <w:szCs w:val="21"/>
        </w:rPr>
        <w:t xml:space="preserve"> </w:t>
      </w:r>
      <w:r>
        <w:rPr>
          <w:rFonts w:ascii="宋体" w:hAnsi="宋体" w:eastAsia="宋体" w:cs="宋体"/>
          <w:spacing w:val="-2"/>
          <w:sz w:val="21"/>
          <w:szCs w:val="21"/>
        </w:rPr>
        <w:t>款</w:t>
      </w:r>
    </w:p>
    <w:p w14:paraId="76BCAC8D">
      <w:pPr>
        <w:spacing w:before="152" w:line="221" w:lineRule="auto"/>
        <w:ind w:left="42"/>
        <w:rPr>
          <w:rFonts w:ascii="宋体" w:hAnsi="宋体" w:eastAsia="宋体" w:cs="宋体"/>
          <w:sz w:val="21"/>
          <w:szCs w:val="21"/>
        </w:rPr>
      </w:pPr>
      <w:r>
        <w:rPr>
          <w:rFonts w:ascii="宋体" w:hAnsi="宋体" w:eastAsia="宋体" w:cs="宋体"/>
          <w:spacing w:val="-2"/>
          <w:sz w:val="21"/>
          <w:szCs w:val="21"/>
        </w:rPr>
        <w:t>〔缺陷责任期〕约定进行修复。</w:t>
      </w:r>
    </w:p>
    <w:p w14:paraId="49233AD5">
      <w:pPr>
        <w:spacing w:before="46" w:line="218" w:lineRule="auto"/>
        <w:ind w:left="31"/>
        <w:rPr>
          <w:rFonts w:ascii="黑体" w:hAnsi="黑体" w:eastAsia="黑体" w:cs="黑体"/>
          <w:sz w:val="24"/>
          <w:szCs w:val="24"/>
        </w:rPr>
      </w:pPr>
      <w:r>
        <w:rPr>
          <w:rFonts w:ascii="黑体" w:hAnsi="黑体" w:eastAsia="黑体" w:cs="黑体"/>
          <w:spacing w:val="-3"/>
          <w:sz w:val="24"/>
          <w:szCs w:val="24"/>
        </w:rPr>
        <w:t>13.6 竣工退场</w:t>
      </w:r>
    </w:p>
    <w:p w14:paraId="348F2C86">
      <w:pPr>
        <w:spacing w:before="130" w:line="221" w:lineRule="auto"/>
        <w:ind w:left="457"/>
        <w:rPr>
          <w:rFonts w:ascii="宋体" w:hAnsi="宋体" w:eastAsia="宋体" w:cs="宋体"/>
          <w:sz w:val="21"/>
          <w:szCs w:val="21"/>
        </w:rPr>
      </w:pPr>
      <w:r>
        <w:rPr>
          <w:rFonts w:ascii="Times New Roman" w:hAnsi="Times New Roman" w:eastAsia="Times New Roman" w:cs="Times New Roman"/>
          <w:spacing w:val="-2"/>
          <w:sz w:val="21"/>
          <w:szCs w:val="21"/>
        </w:rPr>
        <w:t xml:space="preserve">13.6.1 </w:t>
      </w:r>
      <w:r>
        <w:rPr>
          <w:rFonts w:ascii="宋体" w:hAnsi="宋体" w:eastAsia="宋体" w:cs="宋体"/>
          <w:spacing w:val="-2"/>
          <w:sz w:val="21"/>
          <w:szCs w:val="21"/>
        </w:rPr>
        <w:t>竣工退场</w:t>
      </w:r>
    </w:p>
    <w:p w14:paraId="1AC2C45B">
      <w:pPr>
        <w:spacing w:before="148" w:line="398" w:lineRule="exact"/>
        <w:ind w:left="441"/>
        <w:rPr>
          <w:rFonts w:ascii="宋体" w:hAnsi="宋体" w:eastAsia="宋体" w:cs="宋体"/>
          <w:sz w:val="21"/>
          <w:szCs w:val="21"/>
        </w:rPr>
      </w:pPr>
      <w:r>
        <w:rPr>
          <w:rFonts w:ascii="宋体" w:hAnsi="宋体" w:eastAsia="宋体" w:cs="宋体"/>
          <w:position w:val="14"/>
          <w:sz w:val="21"/>
          <w:szCs w:val="21"/>
        </w:rPr>
        <w:t>颁发工程接收证书后，承包人应按以下要求对施工现场</w:t>
      </w:r>
      <w:r>
        <w:rPr>
          <w:rFonts w:ascii="宋体" w:hAnsi="宋体" w:eastAsia="宋体" w:cs="宋体"/>
          <w:spacing w:val="-1"/>
          <w:position w:val="14"/>
          <w:sz w:val="21"/>
          <w:szCs w:val="21"/>
        </w:rPr>
        <w:t>进行清理：</w:t>
      </w:r>
    </w:p>
    <w:p w14:paraId="501D3D4D">
      <w:pPr>
        <w:spacing w:before="1" w:line="220" w:lineRule="auto"/>
        <w:ind w:left="447"/>
        <w:rPr>
          <w:rFonts w:ascii="宋体" w:hAnsi="宋体" w:eastAsia="宋体" w:cs="宋体"/>
          <w:sz w:val="21"/>
          <w:szCs w:val="21"/>
        </w:rPr>
      </w:pPr>
      <w:r>
        <w:rPr>
          <w:rFonts w:ascii="宋体" w:hAnsi="宋体" w:eastAsia="宋体" w:cs="宋体"/>
          <w:spacing w:val="-2"/>
          <w:sz w:val="21"/>
          <w:szCs w:val="21"/>
        </w:rPr>
        <w:t>（</w:t>
      </w:r>
      <w:r>
        <w:rPr>
          <w:rFonts w:ascii="Times New Roman" w:hAnsi="Times New Roman" w:eastAsia="Times New Roman" w:cs="Times New Roman"/>
          <w:spacing w:val="-2"/>
          <w:sz w:val="21"/>
          <w:szCs w:val="21"/>
        </w:rPr>
        <w:t>1</w:t>
      </w:r>
      <w:r>
        <w:rPr>
          <w:rFonts w:ascii="宋体" w:hAnsi="宋体" w:eastAsia="宋体" w:cs="宋体"/>
          <w:spacing w:val="-2"/>
          <w:sz w:val="21"/>
          <w:szCs w:val="21"/>
        </w:rPr>
        <w:t>）施工现场内残留的垃圾已全部清除出</w:t>
      </w:r>
      <w:r>
        <w:rPr>
          <w:rFonts w:ascii="宋体" w:hAnsi="宋体" w:eastAsia="宋体" w:cs="宋体"/>
          <w:spacing w:val="-3"/>
          <w:sz w:val="21"/>
          <w:szCs w:val="21"/>
        </w:rPr>
        <w:t>场；</w:t>
      </w:r>
    </w:p>
    <w:p w14:paraId="169770AD">
      <w:pPr>
        <w:spacing w:before="152" w:line="221" w:lineRule="auto"/>
        <w:ind w:left="447"/>
        <w:rPr>
          <w:rFonts w:ascii="宋体" w:hAnsi="宋体" w:eastAsia="宋体" w:cs="宋体"/>
          <w:sz w:val="21"/>
          <w:szCs w:val="21"/>
        </w:rPr>
      </w:pPr>
      <w:r>
        <w:rPr>
          <w:rFonts w:ascii="宋体" w:hAnsi="宋体" w:eastAsia="宋体" w:cs="宋体"/>
          <w:spacing w:val="-2"/>
          <w:sz w:val="21"/>
          <w:szCs w:val="21"/>
        </w:rPr>
        <w:t>（</w:t>
      </w:r>
      <w:r>
        <w:rPr>
          <w:rFonts w:ascii="Times New Roman" w:hAnsi="Times New Roman" w:eastAsia="Times New Roman" w:cs="Times New Roman"/>
          <w:spacing w:val="-2"/>
          <w:sz w:val="21"/>
          <w:szCs w:val="21"/>
        </w:rPr>
        <w:t>2</w:t>
      </w:r>
      <w:r>
        <w:rPr>
          <w:rFonts w:ascii="宋体" w:hAnsi="宋体" w:eastAsia="宋体" w:cs="宋体"/>
          <w:spacing w:val="-2"/>
          <w:sz w:val="21"/>
          <w:szCs w:val="21"/>
        </w:rPr>
        <w:t>）临时工程已拆除，场地已进行清理、平整或复原；</w:t>
      </w:r>
    </w:p>
    <w:p w14:paraId="3EEAE3DE">
      <w:pPr>
        <w:spacing w:before="147" w:line="399" w:lineRule="exact"/>
        <w:ind w:left="447"/>
        <w:rPr>
          <w:rFonts w:ascii="宋体" w:hAnsi="宋体" w:eastAsia="宋体" w:cs="宋体"/>
          <w:sz w:val="21"/>
          <w:szCs w:val="21"/>
        </w:rPr>
      </w:pPr>
      <w:r>
        <w:rPr>
          <w:rFonts w:ascii="宋体" w:hAnsi="宋体" w:eastAsia="宋体" w:cs="宋体"/>
          <w:position w:val="14"/>
          <w:sz w:val="21"/>
          <w:szCs w:val="21"/>
        </w:rPr>
        <w:t>（</w:t>
      </w:r>
      <w:r>
        <w:rPr>
          <w:rFonts w:ascii="Times New Roman" w:hAnsi="Times New Roman" w:eastAsia="Times New Roman" w:cs="Times New Roman"/>
          <w:position w:val="14"/>
          <w:sz w:val="21"/>
          <w:szCs w:val="21"/>
        </w:rPr>
        <w:t>3</w:t>
      </w:r>
      <w:r>
        <w:rPr>
          <w:rFonts w:ascii="宋体" w:hAnsi="宋体" w:eastAsia="宋体" w:cs="宋体"/>
          <w:position w:val="14"/>
          <w:sz w:val="21"/>
          <w:szCs w:val="21"/>
        </w:rPr>
        <w:t>）按合同约定应撤离的人员、承包人施工设备和剩余的材料，包括废弃的</w:t>
      </w:r>
      <w:r>
        <w:rPr>
          <w:rFonts w:ascii="宋体" w:hAnsi="宋体" w:eastAsia="宋体" w:cs="宋体"/>
          <w:spacing w:val="-1"/>
          <w:position w:val="14"/>
          <w:sz w:val="21"/>
          <w:szCs w:val="21"/>
        </w:rPr>
        <w:t>施工设备</w:t>
      </w:r>
    </w:p>
    <w:p w14:paraId="045C5590">
      <w:pPr>
        <w:spacing w:before="1" w:line="219" w:lineRule="auto"/>
        <w:ind w:left="19"/>
        <w:rPr>
          <w:rFonts w:ascii="宋体" w:hAnsi="宋体" w:eastAsia="宋体" w:cs="宋体"/>
          <w:sz w:val="21"/>
          <w:szCs w:val="21"/>
        </w:rPr>
      </w:pPr>
      <w:r>
        <w:rPr>
          <w:rFonts w:ascii="宋体" w:hAnsi="宋体" w:eastAsia="宋体" w:cs="宋体"/>
          <w:spacing w:val="-2"/>
          <w:sz w:val="21"/>
          <w:szCs w:val="21"/>
        </w:rPr>
        <w:t>和材料，已按计划撤离施工现场；</w:t>
      </w:r>
    </w:p>
    <w:p w14:paraId="4FAB1E2C">
      <w:pPr>
        <w:spacing w:before="153" w:line="398" w:lineRule="exact"/>
        <w:ind w:left="447"/>
        <w:rPr>
          <w:rFonts w:ascii="宋体" w:hAnsi="宋体" w:eastAsia="宋体" w:cs="宋体"/>
          <w:sz w:val="21"/>
          <w:szCs w:val="21"/>
        </w:rPr>
      </w:pPr>
      <w:r>
        <w:rPr>
          <w:rFonts w:ascii="宋体" w:hAnsi="宋体" w:eastAsia="宋体" w:cs="宋体"/>
          <w:spacing w:val="-2"/>
          <w:position w:val="14"/>
          <w:sz w:val="21"/>
          <w:szCs w:val="21"/>
        </w:rPr>
        <w:t>（</w:t>
      </w:r>
      <w:r>
        <w:rPr>
          <w:rFonts w:ascii="Times New Roman" w:hAnsi="Times New Roman" w:eastAsia="Times New Roman" w:cs="Times New Roman"/>
          <w:spacing w:val="-2"/>
          <w:position w:val="14"/>
          <w:sz w:val="21"/>
          <w:szCs w:val="21"/>
        </w:rPr>
        <w:t>4</w:t>
      </w:r>
      <w:r>
        <w:rPr>
          <w:rFonts w:ascii="宋体" w:hAnsi="宋体" w:eastAsia="宋体" w:cs="宋体"/>
          <w:spacing w:val="-2"/>
          <w:position w:val="14"/>
          <w:sz w:val="21"/>
          <w:szCs w:val="21"/>
        </w:rPr>
        <w:t>）施工现场周边及其附近道路、河道的施工堆积物，已全部清理；</w:t>
      </w:r>
    </w:p>
    <w:p w14:paraId="115A24E1">
      <w:pPr>
        <w:spacing w:before="1" w:line="220" w:lineRule="auto"/>
        <w:ind w:left="447"/>
        <w:rPr>
          <w:rFonts w:ascii="宋体" w:hAnsi="宋体" w:eastAsia="宋体" w:cs="宋体"/>
          <w:sz w:val="21"/>
          <w:szCs w:val="21"/>
        </w:rPr>
      </w:pPr>
      <w:r>
        <w:rPr>
          <w:rFonts w:ascii="宋体" w:hAnsi="宋体" w:eastAsia="宋体" w:cs="宋体"/>
          <w:spacing w:val="-2"/>
          <w:sz w:val="21"/>
          <w:szCs w:val="21"/>
        </w:rPr>
        <w:t>（</w:t>
      </w:r>
      <w:r>
        <w:rPr>
          <w:rFonts w:ascii="Times New Roman" w:hAnsi="Times New Roman" w:eastAsia="Times New Roman" w:cs="Times New Roman"/>
          <w:spacing w:val="-2"/>
          <w:sz w:val="21"/>
          <w:szCs w:val="21"/>
        </w:rPr>
        <w:t>5</w:t>
      </w:r>
      <w:r>
        <w:rPr>
          <w:rFonts w:ascii="宋体" w:hAnsi="宋体" w:eastAsia="宋体" w:cs="宋体"/>
          <w:spacing w:val="-2"/>
          <w:sz w:val="21"/>
          <w:szCs w:val="21"/>
        </w:rPr>
        <w:t>）施工现场其他场地清理工作已全部完成。</w:t>
      </w:r>
    </w:p>
    <w:p w14:paraId="08B0D497">
      <w:pPr>
        <w:spacing w:before="147" w:line="353" w:lineRule="auto"/>
        <w:ind w:left="19" w:right="174" w:firstLine="421"/>
        <w:rPr>
          <w:rFonts w:ascii="宋体" w:hAnsi="宋体" w:eastAsia="宋体" w:cs="宋体"/>
          <w:sz w:val="21"/>
          <w:szCs w:val="21"/>
        </w:rPr>
      </w:pPr>
      <w:r>
        <w:rPr>
          <w:rFonts w:ascii="宋体" w:hAnsi="宋体" w:eastAsia="宋体" w:cs="宋体"/>
          <w:spacing w:val="3"/>
          <w:sz w:val="21"/>
          <w:szCs w:val="21"/>
        </w:rPr>
        <w:t xml:space="preserve">施工现场的竣工退场费用由承包人承担。承包人应在专用合同条款约定的期限内完成 </w:t>
      </w:r>
      <w:r>
        <w:rPr>
          <w:rFonts w:ascii="宋体" w:hAnsi="宋体" w:eastAsia="宋体" w:cs="宋体"/>
          <w:sz w:val="21"/>
          <w:szCs w:val="21"/>
        </w:rPr>
        <w:t>竣工退场，逾期未完成的，发包人有权出售或另行处理承包人遗留的物品， 由此支出的费</w:t>
      </w:r>
    </w:p>
    <w:p w14:paraId="07B22D91">
      <w:pPr>
        <w:spacing w:line="220" w:lineRule="auto"/>
        <w:ind w:left="20"/>
        <w:rPr>
          <w:rFonts w:ascii="宋体" w:hAnsi="宋体" w:eastAsia="宋体" w:cs="宋体"/>
          <w:sz w:val="21"/>
          <w:szCs w:val="21"/>
        </w:rPr>
      </w:pPr>
      <w:r>
        <w:rPr>
          <w:rFonts w:ascii="宋体" w:hAnsi="宋体" w:eastAsia="宋体" w:cs="宋体"/>
          <w:spacing w:val="-1"/>
          <w:sz w:val="21"/>
          <w:szCs w:val="21"/>
        </w:rPr>
        <w:t>用由承包人承担，发包人出售承包人遗留物品所得款项在扣除必要费用后应返还承包人。</w:t>
      </w:r>
    </w:p>
    <w:p w14:paraId="5E6344D0">
      <w:pPr>
        <w:spacing w:before="148" w:line="222" w:lineRule="auto"/>
        <w:ind w:left="457"/>
        <w:rPr>
          <w:rFonts w:ascii="宋体" w:hAnsi="宋体" w:eastAsia="宋体" w:cs="宋体"/>
          <w:sz w:val="21"/>
          <w:szCs w:val="21"/>
        </w:rPr>
      </w:pPr>
      <w:r>
        <w:rPr>
          <w:rFonts w:ascii="Times New Roman" w:hAnsi="Times New Roman" w:eastAsia="Times New Roman" w:cs="Times New Roman"/>
          <w:spacing w:val="-2"/>
          <w:sz w:val="21"/>
          <w:szCs w:val="21"/>
        </w:rPr>
        <w:t xml:space="preserve">13.6.2 </w:t>
      </w:r>
      <w:r>
        <w:rPr>
          <w:rFonts w:ascii="宋体" w:hAnsi="宋体" w:eastAsia="宋体" w:cs="宋体"/>
          <w:spacing w:val="-2"/>
          <w:sz w:val="21"/>
          <w:szCs w:val="21"/>
        </w:rPr>
        <w:t>地表还原</w:t>
      </w:r>
    </w:p>
    <w:p w14:paraId="032E0877">
      <w:pPr>
        <w:spacing w:before="149" w:line="351" w:lineRule="auto"/>
        <w:ind w:left="52" w:right="174" w:firstLine="388"/>
        <w:rPr>
          <w:rFonts w:ascii="宋体" w:hAnsi="宋体" w:eastAsia="宋体" w:cs="宋体"/>
          <w:sz w:val="21"/>
          <w:szCs w:val="21"/>
        </w:rPr>
      </w:pPr>
      <w:r>
        <w:rPr>
          <w:rFonts w:ascii="宋体" w:hAnsi="宋体" w:eastAsia="宋体" w:cs="宋体"/>
          <w:spacing w:val="3"/>
          <w:sz w:val="21"/>
          <w:szCs w:val="21"/>
        </w:rPr>
        <w:t xml:space="preserve">承包人应按发包人要求恢复临时占地及清理场地，承包人未按发包人的要求恢复临时 </w:t>
      </w:r>
      <w:r>
        <w:rPr>
          <w:rFonts w:ascii="宋体" w:hAnsi="宋体" w:eastAsia="宋体" w:cs="宋体"/>
          <w:spacing w:val="-6"/>
          <w:sz w:val="21"/>
          <w:szCs w:val="21"/>
        </w:rPr>
        <w:t>占地， 或者场地清理未达到合同约定要求的， 发包人有权委托其他人恢复或清理， 所发生</w:t>
      </w:r>
    </w:p>
    <w:p w14:paraId="6DDD962E">
      <w:pPr>
        <w:spacing w:before="1" w:line="220" w:lineRule="auto"/>
        <w:ind w:left="35"/>
        <w:rPr>
          <w:rFonts w:ascii="宋体" w:hAnsi="宋体" w:eastAsia="宋体" w:cs="宋体"/>
          <w:sz w:val="21"/>
          <w:szCs w:val="21"/>
        </w:rPr>
      </w:pPr>
      <w:r>
        <w:rPr>
          <w:rFonts w:ascii="宋体" w:hAnsi="宋体" w:eastAsia="宋体" w:cs="宋体"/>
          <w:spacing w:val="-2"/>
          <w:sz w:val="21"/>
          <w:szCs w:val="21"/>
        </w:rPr>
        <w:t>的费用由承包人承担。</w:t>
      </w:r>
    </w:p>
    <w:p w14:paraId="57507FF9">
      <w:pPr>
        <w:spacing w:before="177" w:line="526" w:lineRule="exact"/>
        <w:ind w:left="39"/>
        <w:rPr>
          <w:rFonts w:ascii="黑体" w:hAnsi="黑体" w:eastAsia="黑体" w:cs="黑体"/>
          <w:sz w:val="32"/>
          <w:szCs w:val="32"/>
        </w:rPr>
      </w:pPr>
      <w:r>
        <w:rPr>
          <w:rFonts w:ascii="黑体" w:hAnsi="黑体" w:eastAsia="黑体" w:cs="黑体"/>
          <w:spacing w:val="-4"/>
          <w:position w:val="15"/>
          <w:sz w:val="32"/>
          <w:szCs w:val="32"/>
        </w:rPr>
        <w:t>14.竣工结算</w:t>
      </w:r>
    </w:p>
    <w:p w14:paraId="220FEFBF">
      <w:pPr>
        <w:spacing w:before="1" w:line="218" w:lineRule="auto"/>
        <w:ind w:left="31"/>
        <w:rPr>
          <w:rFonts w:ascii="黑体" w:hAnsi="黑体" w:eastAsia="黑体" w:cs="黑体"/>
          <w:sz w:val="24"/>
          <w:szCs w:val="24"/>
        </w:rPr>
      </w:pPr>
      <w:r>
        <w:rPr>
          <w:rFonts w:ascii="黑体" w:hAnsi="黑体" w:eastAsia="黑体" w:cs="黑体"/>
          <w:spacing w:val="-2"/>
          <w:sz w:val="24"/>
          <w:szCs w:val="24"/>
        </w:rPr>
        <w:t>14.1 竣工结算申请</w:t>
      </w:r>
    </w:p>
    <w:p w14:paraId="585BDB4D">
      <w:pPr>
        <w:spacing w:before="129" w:line="353" w:lineRule="auto"/>
        <w:ind w:left="20" w:right="169" w:firstLine="433"/>
        <w:jc w:val="both"/>
        <w:rPr>
          <w:rFonts w:ascii="宋体" w:hAnsi="宋体" w:eastAsia="宋体" w:cs="宋体"/>
          <w:sz w:val="21"/>
          <w:szCs w:val="21"/>
        </w:rPr>
      </w:pPr>
      <w:r>
        <w:rPr>
          <w:rFonts w:ascii="宋体" w:hAnsi="宋体" w:eastAsia="宋体" w:cs="宋体"/>
          <w:spacing w:val="-4"/>
          <w:sz w:val="21"/>
          <w:szCs w:val="21"/>
        </w:rPr>
        <w:t>除专用合同条款另有约定外， 承包人应在工程竣工验收合格后</w:t>
      </w:r>
      <w:r>
        <w:rPr>
          <w:rFonts w:ascii="宋体" w:hAnsi="宋体" w:eastAsia="宋体" w:cs="宋体"/>
          <w:spacing w:val="-14"/>
          <w:sz w:val="21"/>
          <w:szCs w:val="21"/>
        </w:rPr>
        <w:t xml:space="preserve"> </w:t>
      </w:r>
      <w:r>
        <w:rPr>
          <w:rFonts w:ascii="Times New Roman" w:hAnsi="Times New Roman" w:eastAsia="Times New Roman" w:cs="Times New Roman"/>
          <w:spacing w:val="-4"/>
          <w:sz w:val="21"/>
          <w:szCs w:val="21"/>
        </w:rPr>
        <w:t>28</w:t>
      </w:r>
      <w:r>
        <w:rPr>
          <w:rFonts w:ascii="Times New Roman" w:hAnsi="Times New Roman" w:eastAsia="Times New Roman" w:cs="Times New Roman"/>
          <w:spacing w:val="14"/>
          <w:sz w:val="21"/>
          <w:szCs w:val="21"/>
        </w:rPr>
        <w:t xml:space="preserve"> </w:t>
      </w:r>
      <w:r>
        <w:rPr>
          <w:rFonts w:ascii="宋体" w:hAnsi="宋体" w:eastAsia="宋体" w:cs="宋体"/>
          <w:spacing w:val="-4"/>
          <w:sz w:val="21"/>
          <w:szCs w:val="21"/>
        </w:rPr>
        <w:t>天内向发包人和监理</w:t>
      </w:r>
      <w:r>
        <w:rPr>
          <w:rFonts w:ascii="宋体" w:hAnsi="宋体" w:eastAsia="宋体" w:cs="宋体"/>
          <w:sz w:val="21"/>
          <w:szCs w:val="21"/>
        </w:rPr>
        <w:t xml:space="preserve"> 人提交竣工结算申请单，并提交完整的结算资料， 有关竣工结算申请单的资料清单和份数</w:t>
      </w:r>
    </w:p>
    <w:p w14:paraId="6D6113EF">
      <w:pPr>
        <w:spacing w:line="220" w:lineRule="auto"/>
        <w:ind w:left="20"/>
        <w:rPr>
          <w:rFonts w:ascii="宋体" w:hAnsi="宋体" w:eastAsia="宋体" w:cs="宋体"/>
          <w:sz w:val="21"/>
          <w:szCs w:val="21"/>
        </w:rPr>
      </w:pPr>
      <w:r>
        <w:rPr>
          <w:rFonts w:ascii="宋体" w:hAnsi="宋体" w:eastAsia="宋体" w:cs="宋体"/>
          <w:spacing w:val="-2"/>
          <w:sz w:val="21"/>
          <w:szCs w:val="21"/>
        </w:rPr>
        <w:t>等要求由合同当事人在专用合同条款中约定。</w:t>
      </w:r>
    </w:p>
    <w:p w14:paraId="196B1D17">
      <w:pPr>
        <w:spacing w:before="148" w:line="398" w:lineRule="exact"/>
        <w:ind w:left="453"/>
        <w:rPr>
          <w:rFonts w:ascii="宋体" w:hAnsi="宋体" w:eastAsia="宋体" w:cs="宋体"/>
          <w:sz w:val="21"/>
          <w:szCs w:val="21"/>
        </w:rPr>
      </w:pPr>
      <w:r>
        <w:rPr>
          <w:rFonts w:ascii="宋体" w:hAnsi="宋体" w:eastAsia="宋体" w:cs="宋体"/>
          <w:spacing w:val="-6"/>
          <w:position w:val="14"/>
          <w:sz w:val="21"/>
          <w:szCs w:val="21"/>
        </w:rPr>
        <w:t>除专用合同条款另有约定外， 竣工结算申请单应包括以下内容：</w:t>
      </w:r>
    </w:p>
    <w:p w14:paraId="4DCF4A92">
      <w:pPr>
        <w:spacing w:line="219" w:lineRule="auto"/>
        <w:ind w:left="447"/>
        <w:rPr>
          <w:rFonts w:ascii="宋体" w:hAnsi="宋体" w:eastAsia="宋体" w:cs="宋体"/>
          <w:sz w:val="21"/>
          <w:szCs w:val="21"/>
        </w:rPr>
      </w:pPr>
      <w:r>
        <w:rPr>
          <w:rFonts w:ascii="宋体" w:hAnsi="宋体" w:eastAsia="宋体" w:cs="宋体"/>
          <w:spacing w:val="-3"/>
          <w:sz w:val="21"/>
          <w:szCs w:val="21"/>
        </w:rPr>
        <w:t>（</w:t>
      </w:r>
      <w:r>
        <w:rPr>
          <w:rFonts w:ascii="Times New Roman" w:hAnsi="Times New Roman" w:eastAsia="Times New Roman" w:cs="Times New Roman"/>
          <w:spacing w:val="-3"/>
          <w:sz w:val="21"/>
          <w:szCs w:val="21"/>
        </w:rPr>
        <w:t>1</w:t>
      </w:r>
      <w:r>
        <w:rPr>
          <w:rFonts w:ascii="宋体" w:hAnsi="宋体" w:eastAsia="宋体" w:cs="宋体"/>
          <w:spacing w:val="-3"/>
          <w:sz w:val="21"/>
          <w:szCs w:val="21"/>
        </w:rPr>
        <w:t>）竣工结算合同价格；</w:t>
      </w:r>
    </w:p>
    <w:p w14:paraId="0BABDFC3">
      <w:pPr>
        <w:spacing w:before="154" w:line="221" w:lineRule="auto"/>
        <w:ind w:left="447"/>
        <w:rPr>
          <w:rFonts w:ascii="宋体" w:hAnsi="宋体" w:eastAsia="宋体" w:cs="宋体"/>
          <w:sz w:val="21"/>
          <w:szCs w:val="21"/>
        </w:rPr>
      </w:pPr>
      <w:r>
        <w:rPr>
          <w:rFonts w:ascii="宋体" w:hAnsi="宋体" w:eastAsia="宋体" w:cs="宋体"/>
          <w:spacing w:val="-3"/>
          <w:sz w:val="21"/>
          <w:szCs w:val="21"/>
        </w:rPr>
        <w:t>（</w:t>
      </w:r>
      <w:r>
        <w:rPr>
          <w:rFonts w:ascii="Times New Roman" w:hAnsi="Times New Roman" w:eastAsia="Times New Roman" w:cs="Times New Roman"/>
          <w:spacing w:val="-3"/>
          <w:sz w:val="21"/>
          <w:szCs w:val="21"/>
        </w:rPr>
        <w:t>2</w:t>
      </w:r>
      <w:r>
        <w:rPr>
          <w:rFonts w:ascii="宋体" w:hAnsi="宋体" w:eastAsia="宋体" w:cs="宋体"/>
          <w:spacing w:val="-3"/>
          <w:sz w:val="21"/>
          <w:szCs w:val="21"/>
        </w:rPr>
        <w:t>）发包人已支付承包人的款项；</w:t>
      </w:r>
    </w:p>
    <w:p w14:paraId="6DAB013A">
      <w:pPr>
        <w:spacing w:line="221" w:lineRule="auto"/>
        <w:rPr>
          <w:rFonts w:ascii="宋体" w:hAnsi="宋体" w:eastAsia="宋体" w:cs="宋体"/>
          <w:sz w:val="21"/>
          <w:szCs w:val="21"/>
        </w:rPr>
        <w:sectPr>
          <w:footerReference r:id="rId127" w:type="default"/>
          <w:pgSz w:w="11905" w:h="16839"/>
          <w:pgMar w:top="1431" w:right="1617" w:bottom="1004" w:left="1785" w:header="0" w:footer="829" w:gutter="0"/>
          <w:pgNumType w:fmt="decimal"/>
          <w:cols w:space="720" w:num="1"/>
        </w:sectPr>
      </w:pPr>
    </w:p>
    <w:p w14:paraId="22881D11">
      <w:pPr>
        <w:spacing w:before="149" w:line="220" w:lineRule="auto"/>
        <w:jc w:val="right"/>
        <w:rPr>
          <w:rFonts w:ascii="宋体" w:hAnsi="宋体" w:eastAsia="宋体" w:cs="宋体"/>
          <w:sz w:val="21"/>
          <w:szCs w:val="21"/>
        </w:rPr>
      </w:pPr>
      <w:bookmarkStart w:id="191" w:name="bookmark227"/>
      <w:bookmarkEnd w:id="191"/>
      <w:r>
        <w:rPr>
          <w:rFonts w:ascii="宋体" w:hAnsi="宋体" w:eastAsia="宋体" w:cs="宋体"/>
          <w:spacing w:val="-1"/>
          <w:sz w:val="21"/>
          <w:szCs w:val="21"/>
        </w:rPr>
        <w:t>（</w:t>
      </w:r>
      <w:r>
        <w:rPr>
          <w:rFonts w:ascii="Times New Roman" w:hAnsi="Times New Roman" w:eastAsia="Times New Roman" w:cs="Times New Roman"/>
          <w:spacing w:val="-1"/>
          <w:sz w:val="21"/>
          <w:szCs w:val="21"/>
        </w:rPr>
        <w:t>3</w:t>
      </w:r>
      <w:r>
        <w:rPr>
          <w:rFonts w:ascii="宋体" w:hAnsi="宋体" w:eastAsia="宋体" w:cs="宋体"/>
          <w:spacing w:val="-1"/>
          <w:sz w:val="21"/>
          <w:szCs w:val="21"/>
        </w:rPr>
        <w:t>）应扣留的质量保证金。已缴纳履约保证金的或提供其他工程质量担</w:t>
      </w:r>
      <w:r>
        <w:rPr>
          <w:rFonts w:ascii="宋体" w:hAnsi="宋体" w:eastAsia="宋体" w:cs="宋体"/>
          <w:spacing w:val="-2"/>
          <w:sz w:val="21"/>
          <w:szCs w:val="21"/>
        </w:rPr>
        <w:t>保方式的除外；</w:t>
      </w:r>
    </w:p>
    <w:p w14:paraId="44C9AB62">
      <w:pPr>
        <w:spacing w:before="148" w:line="219" w:lineRule="auto"/>
        <w:ind w:left="447"/>
        <w:rPr>
          <w:rFonts w:ascii="宋体" w:hAnsi="宋体" w:eastAsia="宋体" w:cs="宋体"/>
          <w:sz w:val="21"/>
          <w:szCs w:val="21"/>
        </w:rPr>
      </w:pPr>
      <w:r>
        <w:rPr>
          <w:rFonts w:ascii="宋体" w:hAnsi="宋体" w:eastAsia="宋体" w:cs="宋体"/>
          <w:spacing w:val="-2"/>
          <w:sz w:val="21"/>
          <w:szCs w:val="21"/>
        </w:rPr>
        <w:t>（</w:t>
      </w:r>
      <w:r>
        <w:rPr>
          <w:rFonts w:ascii="Times New Roman" w:hAnsi="Times New Roman" w:eastAsia="Times New Roman" w:cs="Times New Roman"/>
          <w:spacing w:val="-2"/>
          <w:sz w:val="21"/>
          <w:szCs w:val="21"/>
        </w:rPr>
        <w:t>4</w:t>
      </w:r>
      <w:r>
        <w:rPr>
          <w:rFonts w:ascii="宋体" w:hAnsi="宋体" w:eastAsia="宋体" w:cs="宋体"/>
          <w:spacing w:val="-2"/>
          <w:sz w:val="21"/>
          <w:szCs w:val="21"/>
        </w:rPr>
        <w:t>）发包人应支付承包人的合同价款。</w:t>
      </w:r>
    </w:p>
    <w:p w14:paraId="2CDC7C0C">
      <w:pPr>
        <w:spacing w:before="52" w:line="218" w:lineRule="auto"/>
        <w:ind w:left="31"/>
        <w:rPr>
          <w:rFonts w:ascii="黑体" w:hAnsi="黑体" w:eastAsia="黑体" w:cs="黑体"/>
          <w:sz w:val="24"/>
          <w:szCs w:val="24"/>
        </w:rPr>
      </w:pPr>
      <w:r>
        <w:rPr>
          <w:rFonts w:ascii="黑体" w:hAnsi="黑体" w:eastAsia="黑体" w:cs="黑体"/>
          <w:spacing w:val="-2"/>
          <w:sz w:val="24"/>
          <w:szCs w:val="24"/>
        </w:rPr>
        <w:t>14.2 竣工结算审核</w:t>
      </w:r>
    </w:p>
    <w:p w14:paraId="03F0B4A4">
      <w:pPr>
        <w:spacing w:before="132" w:line="351" w:lineRule="auto"/>
        <w:ind w:left="17" w:right="158" w:firstLine="430"/>
        <w:jc w:val="both"/>
        <w:rPr>
          <w:rFonts w:ascii="宋体" w:hAnsi="宋体" w:eastAsia="宋体" w:cs="宋体"/>
          <w:sz w:val="21"/>
          <w:szCs w:val="21"/>
        </w:rPr>
      </w:pPr>
      <w:r>
        <w:rPr>
          <w:rFonts w:ascii="宋体" w:hAnsi="宋体" w:eastAsia="宋体" w:cs="宋体"/>
          <w:sz w:val="21"/>
          <w:szCs w:val="21"/>
        </w:rPr>
        <w:t>（</w:t>
      </w:r>
      <w:r>
        <w:rPr>
          <w:rFonts w:ascii="Times New Roman" w:hAnsi="Times New Roman" w:eastAsia="Times New Roman" w:cs="Times New Roman"/>
          <w:sz w:val="21"/>
          <w:szCs w:val="21"/>
        </w:rPr>
        <w:t>1</w:t>
      </w:r>
      <w:r>
        <w:rPr>
          <w:rFonts w:ascii="宋体" w:hAnsi="宋体" w:eastAsia="宋体" w:cs="宋体"/>
          <w:sz w:val="21"/>
          <w:szCs w:val="21"/>
        </w:rPr>
        <w:t>）除专用合同条款另有约定外，监理人应在收到竣</w:t>
      </w:r>
      <w:r>
        <w:rPr>
          <w:rFonts w:ascii="宋体" w:hAnsi="宋体" w:eastAsia="宋体" w:cs="宋体"/>
          <w:spacing w:val="-1"/>
          <w:sz w:val="21"/>
          <w:szCs w:val="21"/>
        </w:rPr>
        <w:t>工结算申请单后</w:t>
      </w:r>
      <w:r>
        <w:rPr>
          <w:rFonts w:ascii="宋体" w:hAnsi="宋体" w:eastAsia="宋体" w:cs="宋体"/>
          <w:spacing w:val="27"/>
          <w:sz w:val="21"/>
          <w:szCs w:val="21"/>
        </w:rPr>
        <w:t xml:space="preserve"> </w:t>
      </w:r>
      <w:r>
        <w:rPr>
          <w:rFonts w:ascii="Times New Roman" w:hAnsi="Times New Roman" w:eastAsia="Times New Roman" w:cs="Times New Roman"/>
          <w:spacing w:val="-1"/>
          <w:sz w:val="21"/>
          <w:szCs w:val="21"/>
        </w:rPr>
        <w:t>14</w:t>
      </w:r>
      <w:r>
        <w:rPr>
          <w:rFonts w:ascii="Times New Roman" w:hAnsi="Times New Roman" w:eastAsia="Times New Roman" w:cs="Times New Roman"/>
          <w:spacing w:val="47"/>
          <w:sz w:val="21"/>
          <w:szCs w:val="21"/>
        </w:rPr>
        <w:t xml:space="preserve"> </w:t>
      </w:r>
      <w:r>
        <w:rPr>
          <w:rFonts w:ascii="宋体" w:hAnsi="宋体" w:eastAsia="宋体" w:cs="宋体"/>
          <w:spacing w:val="-1"/>
          <w:sz w:val="21"/>
          <w:szCs w:val="21"/>
        </w:rPr>
        <w:t>天内完成核</w:t>
      </w:r>
      <w:r>
        <w:rPr>
          <w:rFonts w:ascii="宋体" w:hAnsi="宋体" w:eastAsia="宋体" w:cs="宋体"/>
          <w:sz w:val="21"/>
          <w:szCs w:val="21"/>
        </w:rPr>
        <w:t xml:space="preserve"> </w:t>
      </w:r>
      <w:r>
        <w:rPr>
          <w:rFonts w:ascii="宋体" w:hAnsi="宋体" w:eastAsia="宋体" w:cs="宋体"/>
          <w:spacing w:val="-1"/>
          <w:sz w:val="21"/>
          <w:szCs w:val="21"/>
        </w:rPr>
        <w:t xml:space="preserve">查并报送发包人。发包人应在收到监理人提交的经审核的竣工结算申请单后 </w:t>
      </w:r>
      <w:r>
        <w:rPr>
          <w:rFonts w:ascii="Times New Roman" w:hAnsi="Times New Roman" w:eastAsia="Times New Roman" w:cs="Times New Roman"/>
          <w:spacing w:val="-1"/>
          <w:sz w:val="21"/>
          <w:szCs w:val="21"/>
        </w:rPr>
        <w:t xml:space="preserve">14 </w:t>
      </w:r>
      <w:r>
        <w:rPr>
          <w:rFonts w:ascii="宋体" w:hAnsi="宋体" w:eastAsia="宋体" w:cs="宋体"/>
          <w:spacing w:val="-1"/>
          <w:sz w:val="21"/>
          <w:szCs w:val="21"/>
        </w:rPr>
        <w:t>天内完成审</w:t>
      </w:r>
      <w:r>
        <w:rPr>
          <w:rFonts w:ascii="宋体" w:hAnsi="宋体" w:eastAsia="宋体" w:cs="宋体"/>
          <w:spacing w:val="3"/>
          <w:sz w:val="21"/>
          <w:szCs w:val="21"/>
        </w:rPr>
        <w:t xml:space="preserve"> 批，并由监理人向承包人签发经发包人签认的竣工付款证书。监理人或发包人对</w:t>
      </w:r>
      <w:r>
        <w:rPr>
          <w:rFonts w:ascii="宋体" w:hAnsi="宋体" w:eastAsia="宋体" w:cs="宋体"/>
          <w:spacing w:val="2"/>
          <w:sz w:val="21"/>
          <w:szCs w:val="21"/>
        </w:rPr>
        <w:t>竣工结算</w:t>
      </w:r>
      <w:r>
        <w:rPr>
          <w:rFonts w:ascii="宋体" w:hAnsi="宋体" w:eastAsia="宋体" w:cs="宋体"/>
          <w:sz w:val="21"/>
          <w:szCs w:val="21"/>
        </w:rPr>
        <w:t xml:space="preserve"> 申请单有异议的， 有权要求承包人进行修正和提供补充资料，承包人应提交修正后的竣工</w:t>
      </w:r>
    </w:p>
    <w:p w14:paraId="1FFE062E">
      <w:pPr>
        <w:spacing w:line="220" w:lineRule="auto"/>
        <w:ind w:left="23"/>
        <w:rPr>
          <w:rFonts w:ascii="宋体" w:hAnsi="宋体" w:eastAsia="宋体" w:cs="宋体"/>
          <w:sz w:val="21"/>
          <w:szCs w:val="21"/>
        </w:rPr>
      </w:pPr>
      <w:r>
        <w:rPr>
          <w:rFonts w:ascii="宋体" w:hAnsi="宋体" w:eastAsia="宋体" w:cs="宋体"/>
          <w:spacing w:val="-2"/>
          <w:sz w:val="21"/>
          <w:szCs w:val="21"/>
        </w:rPr>
        <w:t>结算申请单。</w:t>
      </w:r>
    </w:p>
    <w:p w14:paraId="1DA81448">
      <w:pPr>
        <w:spacing w:before="148" w:line="352" w:lineRule="auto"/>
        <w:ind w:left="21" w:right="158" w:firstLine="422"/>
        <w:jc w:val="both"/>
        <w:rPr>
          <w:rFonts w:ascii="宋体" w:hAnsi="宋体" w:eastAsia="宋体" w:cs="宋体"/>
          <w:sz w:val="21"/>
          <w:szCs w:val="21"/>
        </w:rPr>
      </w:pPr>
      <w:r>
        <w:rPr>
          <w:rFonts w:ascii="宋体" w:hAnsi="宋体" w:eastAsia="宋体" w:cs="宋体"/>
          <w:spacing w:val="-3"/>
          <w:sz w:val="21"/>
          <w:szCs w:val="21"/>
        </w:rPr>
        <w:t>发包人在收到承包人提交竣工结算申请书后</w:t>
      </w:r>
      <w:r>
        <w:rPr>
          <w:rFonts w:ascii="宋体" w:hAnsi="宋体" w:eastAsia="宋体" w:cs="宋体"/>
          <w:spacing w:val="-32"/>
          <w:sz w:val="21"/>
          <w:szCs w:val="21"/>
        </w:rPr>
        <w:t xml:space="preserve"> </w:t>
      </w:r>
      <w:r>
        <w:rPr>
          <w:rFonts w:ascii="Times New Roman" w:hAnsi="Times New Roman" w:eastAsia="Times New Roman" w:cs="Times New Roman"/>
          <w:spacing w:val="-3"/>
          <w:sz w:val="21"/>
          <w:szCs w:val="21"/>
        </w:rPr>
        <w:t>28</w:t>
      </w:r>
      <w:r>
        <w:rPr>
          <w:rFonts w:ascii="Times New Roman" w:hAnsi="Times New Roman" w:eastAsia="Times New Roman" w:cs="Times New Roman"/>
          <w:spacing w:val="13"/>
          <w:sz w:val="21"/>
          <w:szCs w:val="21"/>
        </w:rPr>
        <w:t xml:space="preserve"> </w:t>
      </w:r>
      <w:r>
        <w:rPr>
          <w:rFonts w:ascii="宋体" w:hAnsi="宋体" w:eastAsia="宋体" w:cs="宋体"/>
          <w:spacing w:val="-3"/>
          <w:sz w:val="21"/>
          <w:szCs w:val="21"/>
        </w:rPr>
        <w:t>天内未完成审批</w:t>
      </w:r>
      <w:r>
        <w:rPr>
          <w:rFonts w:ascii="宋体" w:hAnsi="宋体" w:eastAsia="宋体" w:cs="宋体"/>
          <w:spacing w:val="-4"/>
          <w:sz w:val="21"/>
          <w:szCs w:val="21"/>
        </w:rPr>
        <w:t>且未提出异议的， 视为</w:t>
      </w:r>
      <w:r>
        <w:rPr>
          <w:rFonts w:ascii="宋体" w:hAnsi="宋体" w:eastAsia="宋体" w:cs="宋体"/>
          <w:sz w:val="21"/>
          <w:szCs w:val="21"/>
        </w:rPr>
        <w:t xml:space="preserve"> </w:t>
      </w:r>
      <w:r>
        <w:rPr>
          <w:rFonts w:ascii="宋体" w:hAnsi="宋体" w:eastAsia="宋体" w:cs="宋体"/>
          <w:spacing w:val="3"/>
          <w:sz w:val="21"/>
          <w:szCs w:val="21"/>
        </w:rPr>
        <w:t>发包人认可承包人提交的竣工结算申请单，并自发包人收到承包人提</w:t>
      </w:r>
      <w:r>
        <w:rPr>
          <w:rFonts w:ascii="宋体" w:hAnsi="宋体" w:eastAsia="宋体" w:cs="宋体"/>
          <w:spacing w:val="2"/>
          <w:sz w:val="21"/>
          <w:szCs w:val="21"/>
        </w:rPr>
        <w:t>交的竣工结算申请单</w:t>
      </w:r>
    </w:p>
    <w:p w14:paraId="3E3DCB38">
      <w:pPr>
        <w:spacing w:before="1" w:line="219" w:lineRule="auto"/>
        <w:ind w:left="20"/>
        <w:rPr>
          <w:rFonts w:ascii="宋体" w:hAnsi="宋体" w:eastAsia="宋体" w:cs="宋体"/>
          <w:sz w:val="21"/>
          <w:szCs w:val="21"/>
        </w:rPr>
      </w:pPr>
      <w:r>
        <w:rPr>
          <w:rFonts w:ascii="宋体" w:hAnsi="宋体" w:eastAsia="宋体" w:cs="宋体"/>
          <w:spacing w:val="-2"/>
          <w:sz w:val="21"/>
          <w:szCs w:val="21"/>
        </w:rPr>
        <w:t>后第</w:t>
      </w:r>
      <w:r>
        <w:rPr>
          <w:rFonts w:ascii="宋体" w:hAnsi="宋体" w:eastAsia="宋体" w:cs="宋体"/>
          <w:spacing w:val="-30"/>
          <w:sz w:val="21"/>
          <w:szCs w:val="21"/>
        </w:rPr>
        <w:t xml:space="preserve"> </w:t>
      </w:r>
      <w:r>
        <w:rPr>
          <w:rFonts w:ascii="Times New Roman" w:hAnsi="Times New Roman" w:eastAsia="Times New Roman" w:cs="Times New Roman"/>
          <w:spacing w:val="-2"/>
          <w:sz w:val="21"/>
          <w:szCs w:val="21"/>
        </w:rPr>
        <w:t xml:space="preserve">29 </w:t>
      </w:r>
      <w:r>
        <w:rPr>
          <w:rFonts w:ascii="宋体" w:hAnsi="宋体" w:eastAsia="宋体" w:cs="宋体"/>
          <w:spacing w:val="-2"/>
          <w:sz w:val="21"/>
          <w:szCs w:val="21"/>
        </w:rPr>
        <w:t>天起视为已签发竣工付款证书。</w:t>
      </w:r>
    </w:p>
    <w:p w14:paraId="0DD760EB">
      <w:pPr>
        <w:spacing w:before="148" w:line="352" w:lineRule="auto"/>
        <w:ind w:left="17" w:right="160" w:firstLine="430"/>
        <w:jc w:val="both"/>
        <w:rPr>
          <w:rFonts w:ascii="宋体" w:hAnsi="宋体" w:eastAsia="宋体" w:cs="宋体"/>
          <w:sz w:val="21"/>
          <w:szCs w:val="21"/>
        </w:rPr>
      </w:pPr>
      <w:r>
        <w:rPr>
          <w:rFonts w:ascii="宋体" w:hAnsi="宋体" w:eastAsia="宋体" w:cs="宋体"/>
          <w:spacing w:val="-1"/>
          <w:sz w:val="21"/>
          <w:szCs w:val="21"/>
        </w:rPr>
        <w:t>（</w:t>
      </w:r>
      <w:r>
        <w:rPr>
          <w:rFonts w:ascii="Times New Roman" w:hAnsi="Times New Roman" w:eastAsia="Times New Roman" w:cs="Times New Roman"/>
          <w:spacing w:val="-1"/>
          <w:sz w:val="21"/>
          <w:szCs w:val="21"/>
        </w:rPr>
        <w:t>2</w:t>
      </w:r>
      <w:r>
        <w:rPr>
          <w:rFonts w:ascii="宋体" w:hAnsi="宋体" w:eastAsia="宋体" w:cs="宋体"/>
          <w:spacing w:val="-1"/>
          <w:sz w:val="21"/>
          <w:szCs w:val="21"/>
        </w:rPr>
        <w:t>）除专用合同条款另有约定外，发包人应在签发竣工付款证书后的</w:t>
      </w:r>
      <w:r>
        <w:rPr>
          <w:rFonts w:ascii="宋体" w:hAnsi="宋体" w:eastAsia="宋体" w:cs="宋体"/>
          <w:spacing w:val="56"/>
          <w:sz w:val="21"/>
          <w:szCs w:val="21"/>
        </w:rPr>
        <w:t xml:space="preserve"> </w:t>
      </w:r>
      <w:r>
        <w:rPr>
          <w:rFonts w:ascii="Times New Roman" w:hAnsi="Times New Roman" w:eastAsia="Times New Roman" w:cs="Times New Roman"/>
          <w:spacing w:val="-1"/>
          <w:sz w:val="21"/>
          <w:szCs w:val="21"/>
        </w:rPr>
        <w:t>14</w:t>
      </w:r>
      <w:r>
        <w:rPr>
          <w:rFonts w:ascii="Times New Roman" w:hAnsi="Times New Roman" w:eastAsia="Times New Roman" w:cs="Times New Roman"/>
          <w:spacing w:val="37"/>
          <w:w w:val="101"/>
          <w:sz w:val="21"/>
          <w:szCs w:val="21"/>
        </w:rPr>
        <w:t xml:space="preserve"> </w:t>
      </w:r>
      <w:r>
        <w:rPr>
          <w:rFonts w:ascii="宋体" w:hAnsi="宋体" w:eastAsia="宋体" w:cs="宋体"/>
          <w:spacing w:val="-1"/>
          <w:sz w:val="21"/>
          <w:szCs w:val="21"/>
        </w:rPr>
        <w:t>天内，完成</w:t>
      </w:r>
      <w:r>
        <w:rPr>
          <w:rFonts w:ascii="宋体" w:hAnsi="宋体" w:eastAsia="宋体" w:cs="宋体"/>
          <w:sz w:val="21"/>
          <w:szCs w:val="21"/>
        </w:rPr>
        <w:t xml:space="preserve"> </w:t>
      </w:r>
      <w:r>
        <w:rPr>
          <w:rFonts w:ascii="宋体" w:hAnsi="宋体" w:eastAsia="宋体" w:cs="宋体"/>
          <w:spacing w:val="3"/>
          <w:sz w:val="21"/>
          <w:szCs w:val="21"/>
        </w:rPr>
        <w:t>对承包人的竣工付款。发包人逾期支付的，按照中国人民银行发布的同期同类</w:t>
      </w:r>
      <w:r>
        <w:rPr>
          <w:rFonts w:ascii="宋体" w:hAnsi="宋体" w:eastAsia="宋体" w:cs="宋体"/>
          <w:spacing w:val="2"/>
          <w:sz w:val="21"/>
          <w:szCs w:val="21"/>
        </w:rPr>
        <w:t>贷款基准利</w:t>
      </w:r>
      <w:r>
        <w:rPr>
          <w:rFonts w:ascii="宋体" w:hAnsi="宋体" w:eastAsia="宋体" w:cs="宋体"/>
          <w:sz w:val="21"/>
          <w:szCs w:val="21"/>
        </w:rPr>
        <w:t xml:space="preserve"> 率支付违约金；逾期支付超过</w:t>
      </w:r>
      <w:r>
        <w:rPr>
          <w:rFonts w:ascii="宋体" w:hAnsi="宋体" w:eastAsia="宋体" w:cs="宋体"/>
          <w:spacing w:val="-26"/>
          <w:sz w:val="21"/>
          <w:szCs w:val="21"/>
        </w:rPr>
        <w:t xml:space="preserve"> </w:t>
      </w:r>
      <w:r>
        <w:rPr>
          <w:rFonts w:ascii="Times New Roman" w:hAnsi="Times New Roman" w:eastAsia="Times New Roman" w:cs="Times New Roman"/>
          <w:sz w:val="21"/>
          <w:szCs w:val="21"/>
        </w:rPr>
        <w:t xml:space="preserve">56 </w:t>
      </w:r>
      <w:r>
        <w:rPr>
          <w:rFonts w:ascii="宋体" w:hAnsi="宋体" w:eastAsia="宋体" w:cs="宋体"/>
          <w:sz w:val="21"/>
          <w:szCs w:val="21"/>
        </w:rPr>
        <w:t>天的，按照中国人民银行发布的</w:t>
      </w:r>
      <w:r>
        <w:rPr>
          <w:rFonts w:ascii="宋体" w:hAnsi="宋体" w:eastAsia="宋体" w:cs="宋体"/>
          <w:spacing w:val="-1"/>
          <w:sz w:val="21"/>
          <w:szCs w:val="21"/>
        </w:rPr>
        <w:t>同期同类贷款基准利率的</w:t>
      </w:r>
    </w:p>
    <w:p w14:paraId="267F2976">
      <w:pPr>
        <w:spacing w:line="220" w:lineRule="auto"/>
        <w:ind w:left="19"/>
        <w:rPr>
          <w:rFonts w:ascii="宋体" w:hAnsi="宋体" w:eastAsia="宋体" w:cs="宋体"/>
          <w:sz w:val="21"/>
          <w:szCs w:val="21"/>
        </w:rPr>
      </w:pPr>
      <w:r>
        <w:rPr>
          <w:rFonts w:ascii="宋体" w:hAnsi="宋体" w:eastAsia="宋体" w:cs="宋体"/>
          <w:spacing w:val="-4"/>
          <w:sz w:val="21"/>
          <w:szCs w:val="21"/>
        </w:rPr>
        <w:t>两倍支付违约金。</w:t>
      </w:r>
    </w:p>
    <w:p w14:paraId="516B97BB">
      <w:pPr>
        <w:spacing w:before="152" w:line="352" w:lineRule="auto"/>
        <w:ind w:left="17" w:right="159" w:firstLine="430"/>
        <w:jc w:val="both"/>
        <w:rPr>
          <w:rFonts w:ascii="宋体" w:hAnsi="宋体" w:eastAsia="宋体" w:cs="宋体"/>
          <w:sz w:val="21"/>
          <w:szCs w:val="21"/>
        </w:rPr>
      </w:pPr>
      <w:r>
        <w:rPr>
          <w:rFonts w:ascii="宋体" w:hAnsi="宋体" w:eastAsia="宋体" w:cs="宋体"/>
          <w:sz w:val="21"/>
          <w:szCs w:val="21"/>
        </w:rPr>
        <w:t>（</w:t>
      </w:r>
      <w:r>
        <w:rPr>
          <w:rFonts w:ascii="Times New Roman" w:hAnsi="Times New Roman" w:eastAsia="Times New Roman" w:cs="Times New Roman"/>
          <w:sz w:val="21"/>
          <w:szCs w:val="21"/>
        </w:rPr>
        <w:t>3</w:t>
      </w:r>
      <w:r>
        <w:rPr>
          <w:rFonts w:ascii="宋体" w:hAnsi="宋体" w:eastAsia="宋体" w:cs="宋体"/>
          <w:sz w:val="21"/>
          <w:szCs w:val="21"/>
        </w:rPr>
        <w:t>）承包人对发包人签认的竣工付款证书有异议的，对于有异议部分应在收到发包人</w:t>
      </w:r>
      <w:r>
        <w:rPr>
          <w:rFonts w:ascii="宋体" w:hAnsi="宋体" w:eastAsia="宋体" w:cs="宋体"/>
          <w:spacing w:val="5"/>
          <w:sz w:val="21"/>
          <w:szCs w:val="21"/>
        </w:rPr>
        <w:t xml:space="preserve"> </w:t>
      </w:r>
      <w:r>
        <w:rPr>
          <w:rFonts w:ascii="宋体" w:hAnsi="宋体" w:eastAsia="宋体" w:cs="宋体"/>
          <w:sz w:val="21"/>
          <w:szCs w:val="21"/>
        </w:rPr>
        <w:t xml:space="preserve">签认的竣工付款证书后 </w:t>
      </w:r>
      <w:r>
        <w:rPr>
          <w:rFonts w:ascii="Times New Roman" w:hAnsi="Times New Roman" w:eastAsia="Times New Roman" w:cs="Times New Roman"/>
          <w:sz w:val="21"/>
          <w:szCs w:val="21"/>
        </w:rPr>
        <w:t xml:space="preserve">7  </w:t>
      </w:r>
      <w:r>
        <w:rPr>
          <w:rFonts w:ascii="宋体" w:hAnsi="宋体" w:eastAsia="宋体" w:cs="宋体"/>
          <w:sz w:val="21"/>
          <w:szCs w:val="21"/>
        </w:rPr>
        <w:t>天内提出异议，并由合同当事人按照专用合同条款约定的方式和</w:t>
      </w:r>
      <w:r>
        <w:rPr>
          <w:rFonts w:ascii="宋体" w:hAnsi="宋体" w:eastAsia="宋体" w:cs="宋体"/>
          <w:spacing w:val="13"/>
          <w:sz w:val="21"/>
          <w:szCs w:val="21"/>
        </w:rPr>
        <w:t xml:space="preserve"> </w:t>
      </w:r>
      <w:r>
        <w:rPr>
          <w:rFonts w:ascii="宋体" w:hAnsi="宋体" w:eastAsia="宋体" w:cs="宋体"/>
          <w:sz w:val="21"/>
          <w:szCs w:val="21"/>
        </w:rPr>
        <w:t>程序进行复核，或按照第</w:t>
      </w:r>
      <w:r>
        <w:rPr>
          <w:rFonts w:ascii="宋体" w:hAnsi="宋体" w:eastAsia="宋体" w:cs="宋体"/>
          <w:spacing w:val="-33"/>
          <w:sz w:val="21"/>
          <w:szCs w:val="21"/>
        </w:rPr>
        <w:t xml:space="preserve"> </w:t>
      </w:r>
      <w:r>
        <w:rPr>
          <w:rFonts w:ascii="Times New Roman" w:hAnsi="Times New Roman" w:eastAsia="Times New Roman" w:cs="Times New Roman"/>
          <w:sz w:val="21"/>
          <w:szCs w:val="21"/>
        </w:rPr>
        <w:t xml:space="preserve">20 </w:t>
      </w:r>
      <w:r>
        <w:rPr>
          <w:rFonts w:ascii="宋体" w:hAnsi="宋体" w:eastAsia="宋体" w:cs="宋体"/>
          <w:sz w:val="21"/>
          <w:szCs w:val="21"/>
        </w:rPr>
        <w:t>条〔争议解决〕约定处理。对于无异议部分，发包人应</w:t>
      </w:r>
      <w:r>
        <w:rPr>
          <w:rFonts w:ascii="宋体" w:hAnsi="宋体" w:eastAsia="宋体" w:cs="宋体"/>
          <w:spacing w:val="-1"/>
          <w:sz w:val="21"/>
          <w:szCs w:val="21"/>
        </w:rPr>
        <w:t>签发临</w:t>
      </w:r>
    </w:p>
    <w:p w14:paraId="06FCE8D8">
      <w:pPr>
        <w:spacing w:before="1" w:line="219" w:lineRule="auto"/>
        <w:ind w:left="28"/>
        <w:rPr>
          <w:rFonts w:ascii="宋体" w:hAnsi="宋体" w:eastAsia="宋体" w:cs="宋体"/>
          <w:sz w:val="21"/>
          <w:szCs w:val="21"/>
        </w:rPr>
      </w:pPr>
      <w:r>
        <w:rPr>
          <w:rFonts w:ascii="宋体" w:hAnsi="宋体" w:eastAsia="宋体" w:cs="宋体"/>
          <w:sz w:val="21"/>
          <w:szCs w:val="21"/>
        </w:rPr>
        <w:t>时竣工付款证书，并按本款第（</w:t>
      </w:r>
      <w:r>
        <w:rPr>
          <w:rFonts w:ascii="Times New Roman" w:hAnsi="Times New Roman" w:eastAsia="Times New Roman" w:cs="Times New Roman"/>
          <w:sz w:val="21"/>
          <w:szCs w:val="21"/>
        </w:rPr>
        <w:t>2</w:t>
      </w:r>
      <w:r>
        <w:rPr>
          <w:rFonts w:ascii="宋体" w:hAnsi="宋体" w:eastAsia="宋体" w:cs="宋体"/>
          <w:sz w:val="21"/>
          <w:szCs w:val="21"/>
        </w:rPr>
        <w:t>）项完成付款。承包人逾期未提出异议的，视为认可发包</w:t>
      </w:r>
    </w:p>
    <w:p w14:paraId="6DA40927">
      <w:pPr>
        <w:spacing w:before="148" w:line="221" w:lineRule="auto"/>
        <w:ind w:left="20"/>
        <w:rPr>
          <w:rFonts w:ascii="宋体" w:hAnsi="宋体" w:eastAsia="宋体" w:cs="宋体"/>
          <w:sz w:val="21"/>
          <w:szCs w:val="21"/>
        </w:rPr>
      </w:pPr>
      <w:r>
        <w:rPr>
          <w:rFonts w:ascii="宋体" w:hAnsi="宋体" w:eastAsia="宋体" w:cs="宋体"/>
          <w:spacing w:val="-3"/>
          <w:sz w:val="21"/>
          <w:szCs w:val="21"/>
        </w:rPr>
        <w:t>人的审批结果。</w:t>
      </w:r>
    </w:p>
    <w:p w14:paraId="6EDDF299">
      <w:pPr>
        <w:spacing w:before="46" w:line="218" w:lineRule="auto"/>
        <w:ind w:left="31"/>
        <w:rPr>
          <w:rFonts w:ascii="黑体" w:hAnsi="黑体" w:eastAsia="黑体" w:cs="黑体"/>
          <w:sz w:val="24"/>
          <w:szCs w:val="24"/>
        </w:rPr>
      </w:pPr>
      <w:r>
        <w:rPr>
          <w:rFonts w:ascii="黑体" w:hAnsi="黑体" w:eastAsia="黑体" w:cs="黑体"/>
          <w:spacing w:val="-2"/>
          <w:sz w:val="24"/>
          <w:szCs w:val="24"/>
        </w:rPr>
        <w:t>14.3 甩项竣工协议</w:t>
      </w:r>
    </w:p>
    <w:p w14:paraId="0892467C">
      <w:pPr>
        <w:spacing w:before="130" w:line="398" w:lineRule="exact"/>
        <w:jc w:val="right"/>
        <w:rPr>
          <w:rFonts w:ascii="宋体" w:hAnsi="宋体" w:eastAsia="宋体" w:cs="宋体"/>
          <w:sz w:val="21"/>
          <w:szCs w:val="21"/>
        </w:rPr>
      </w:pPr>
      <w:r>
        <w:rPr>
          <w:rFonts w:ascii="宋体" w:hAnsi="宋体" w:eastAsia="宋体" w:cs="宋体"/>
          <w:spacing w:val="2"/>
          <w:position w:val="14"/>
          <w:sz w:val="21"/>
          <w:szCs w:val="21"/>
        </w:rPr>
        <w:t>发包人要求甩项竣工的，合同当事人应签订甩项竣工协议。</w:t>
      </w:r>
      <w:r>
        <w:rPr>
          <w:rFonts w:ascii="宋体" w:hAnsi="宋体" w:eastAsia="宋体" w:cs="宋体"/>
          <w:spacing w:val="1"/>
          <w:position w:val="14"/>
          <w:sz w:val="21"/>
          <w:szCs w:val="21"/>
        </w:rPr>
        <w:t>在甩项竣工协议中应明确，</w:t>
      </w:r>
    </w:p>
    <w:p w14:paraId="08DF991B">
      <w:pPr>
        <w:spacing w:before="1" w:line="220" w:lineRule="auto"/>
        <w:ind w:left="19"/>
        <w:rPr>
          <w:rFonts w:ascii="宋体" w:hAnsi="宋体" w:eastAsia="宋体" w:cs="宋体"/>
          <w:sz w:val="21"/>
          <w:szCs w:val="21"/>
        </w:rPr>
      </w:pPr>
      <w:r>
        <w:rPr>
          <w:rFonts w:ascii="宋体" w:hAnsi="宋体" w:eastAsia="宋体" w:cs="宋体"/>
          <w:spacing w:val="-4"/>
          <w:sz w:val="21"/>
          <w:szCs w:val="21"/>
        </w:rPr>
        <w:t xml:space="preserve">合同当事人按照第 </w:t>
      </w:r>
      <w:r>
        <w:rPr>
          <w:rFonts w:ascii="Times New Roman" w:hAnsi="Times New Roman" w:eastAsia="Times New Roman" w:cs="Times New Roman"/>
          <w:spacing w:val="-4"/>
          <w:sz w:val="21"/>
          <w:szCs w:val="21"/>
        </w:rPr>
        <w:t xml:space="preserve">14.1 </w:t>
      </w:r>
      <w:r>
        <w:rPr>
          <w:rFonts w:ascii="宋体" w:hAnsi="宋体" w:eastAsia="宋体" w:cs="宋体"/>
          <w:spacing w:val="-4"/>
          <w:sz w:val="21"/>
          <w:szCs w:val="21"/>
        </w:rPr>
        <w:t xml:space="preserve">款〔竣工结算申请〕及 </w:t>
      </w:r>
      <w:r>
        <w:rPr>
          <w:rFonts w:ascii="Times New Roman" w:hAnsi="Times New Roman" w:eastAsia="Times New Roman" w:cs="Times New Roman"/>
          <w:spacing w:val="-4"/>
          <w:sz w:val="21"/>
          <w:szCs w:val="21"/>
        </w:rPr>
        <w:t xml:space="preserve">14.2 </w:t>
      </w:r>
      <w:r>
        <w:rPr>
          <w:rFonts w:ascii="宋体" w:hAnsi="宋体" w:eastAsia="宋体" w:cs="宋体"/>
          <w:spacing w:val="-4"/>
          <w:sz w:val="21"/>
          <w:szCs w:val="21"/>
        </w:rPr>
        <w:t>款〔竣工结算审核〕的约定， 对已</w:t>
      </w:r>
      <w:r>
        <w:rPr>
          <w:rFonts w:ascii="宋体" w:hAnsi="宋体" w:eastAsia="宋体" w:cs="宋体"/>
          <w:spacing w:val="-5"/>
          <w:sz w:val="21"/>
          <w:szCs w:val="21"/>
        </w:rPr>
        <w:t>完合</w:t>
      </w:r>
    </w:p>
    <w:p w14:paraId="70E36EAD">
      <w:pPr>
        <w:spacing w:before="153" w:line="219" w:lineRule="auto"/>
        <w:ind w:left="18"/>
        <w:rPr>
          <w:rFonts w:ascii="宋体" w:hAnsi="宋体" w:eastAsia="宋体" w:cs="宋体"/>
          <w:sz w:val="21"/>
          <w:szCs w:val="21"/>
        </w:rPr>
      </w:pPr>
      <w:r>
        <w:rPr>
          <w:rFonts w:ascii="宋体" w:hAnsi="宋体" w:eastAsia="宋体" w:cs="宋体"/>
          <w:spacing w:val="-1"/>
          <w:sz w:val="21"/>
          <w:szCs w:val="21"/>
        </w:rPr>
        <w:t>格工程进行结算，并支付相应合同价款。</w:t>
      </w:r>
    </w:p>
    <w:p w14:paraId="0E80E54B">
      <w:pPr>
        <w:spacing w:before="47" w:line="220" w:lineRule="auto"/>
        <w:ind w:left="31"/>
        <w:rPr>
          <w:rFonts w:ascii="黑体" w:hAnsi="黑体" w:eastAsia="黑体" w:cs="黑体"/>
          <w:sz w:val="24"/>
          <w:szCs w:val="24"/>
        </w:rPr>
      </w:pPr>
      <w:r>
        <w:rPr>
          <w:rFonts w:ascii="黑体" w:hAnsi="黑体" w:eastAsia="黑体" w:cs="黑体"/>
          <w:spacing w:val="-5"/>
          <w:sz w:val="24"/>
          <w:szCs w:val="24"/>
        </w:rPr>
        <w:t>14.4</w:t>
      </w:r>
      <w:r>
        <w:rPr>
          <w:rFonts w:ascii="黑体" w:hAnsi="黑体" w:eastAsia="黑体" w:cs="黑体"/>
          <w:spacing w:val="21"/>
          <w:sz w:val="24"/>
          <w:szCs w:val="24"/>
        </w:rPr>
        <w:t xml:space="preserve"> </w:t>
      </w:r>
      <w:r>
        <w:rPr>
          <w:rFonts w:ascii="黑体" w:hAnsi="黑体" w:eastAsia="黑体" w:cs="黑体"/>
          <w:spacing w:val="-5"/>
          <w:sz w:val="24"/>
          <w:szCs w:val="24"/>
        </w:rPr>
        <w:t>最终结清</w:t>
      </w:r>
    </w:p>
    <w:p w14:paraId="72C26F7D">
      <w:pPr>
        <w:spacing w:before="127" w:line="221" w:lineRule="auto"/>
        <w:ind w:left="457"/>
        <w:rPr>
          <w:rFonts w:ascii="宋体" w:hAnsi="宋体" w:eastAsia="宋体" w:cs="宋体"/>
          <w:sz w:val="21"/>
          <w:szCs w:val="21"/>
        </w:rPr>
      </w:pPr>
      <w:r>
        <w:rPr>
          <w:rFonts w:ascii="Times New Roman" w:hAnsi="Times New Roman" w:eastAsia="Times New Roman" w:cs="Times New Roman"/>
          <w:spacing w:val="-2"/>
          <w:sz w:val="21"/>
          <w:szCs w:val="21"/>
        </w:rPr>
        <w:t xml:space="preserve">14.4.1 </w:t>
      </w:r>
      <w:r>
        <w:rPr>
          <w:rFonts w:ascii="宋体" w:hAnsi="宋体" w:eastAsia="宋体" w:cs="宋体"/>
          <w:spacing w:val="-2"/>
          <w:sz w:val="21"/>
          <w:szCs w:val="21"/>
        </w:rPr>
        <w:t>最终结清申请单</w:t>
      </w:r>
    </w:p>
    <w:p w14:paraId="5518F942">
      <w:pPr>
        <w:spacing w:before="148" w:line="220" w:lineRule="auto"/>
        <w:ind w:left="447"/>
        <w:rPr>
          <w:rFonts w:ascii="宋体" w:hAnsi="宋体" w:eastAsia="宋体" w:cs="宋体"/>
          <w:sz w:val="21"/>
          <w:szCs w:val="21"/>
        </w:rPr>
      </w:pPr>
      <w:r>
        <w:rPr>
          <w:rFonts w:ascii="宋体" w:hAnsi="宋体" w:eastAsia="宋体" w:cs="宋体"/>
          <w:sz w:val="21"/>
          <w:szCs w:val="21"/>
        </w:rPr>
        <w:t>（</w:t>
      </w:r>
      <w:r>
        <w:rPr>
          <w:rFonts w:ascii="Times New Roman" w:hAnsi="Times New Roman" w:eastAsia="Times New Roman" w:cs="Times New Roman"/>
          <w:sz w:val="21"/>
          <w:szCs w:val="21"/>
        </w:rPr>
        <w:t>1</w:t>
      </w:r>
      <w:r>
        <w:rPr>
          <w:rFonts w:ascii="宋体" w:hAnsi="宋体" w:eastAsia="宋体" w:cs="宋体"/>
          <w:sz w:val="21"/>
          <w:szCs w:val="21"/>
        </w:rPr>
        <w:t>）除专用合同条款另有约定外，承包人应在缺陷</w:t>
      </w:r>
      <w:r>
        <w:rPr>
          <w:rFonts w:ascii="宋体" w:hAnsi="宋体" w:eastAsia="宋体" w:cs="宋体"/>
          <w:spacing w:val="-1"/>
          <w:sz w:val="21"/>
          <w:szCs w:val="21"/>
        </w:rPr>
        <w:t>责任期终止证书颁发后</w:t>
      </w:r>
      <w:r>
        <w:rPr>
          <w:rFonts w:ascii="宋体" w:hAnsi="宋体" w:eastAsia="宋体" w:cs="宋体"/>
          <w:spacing w:val="-27"/>
          <w:sz w:val="21"/>
          <w:szCs w:val="21"/>
        </w:rPr>
        <w:t xml:space="preserve"> </w:t>
      </w:r>
      <w:r>
        <w:rPr>
          <w:rFonts w:ascii="Times New Roman" w:hAnsi="Times New Roman" w:eastAsia="Times New Roman" w:cs="Times New Roman"/>
          <w:spacing w:val="-1"/>
          <w:sz w:val="21"/>
          <w:szCs w:val="21"/>
        </w:rPr>
        <w:t xml:space="preserve">7 </w:t>
      </w:r>
      <w:r>
        <w:rPr>
          <w:rFonts w:ascii="宋体" w:hAnsi="宋体" w:eastAsia="宋体" w:cs="宋体"/>
          <w:spacing w:val="-1"/>
          <w:sz w:val="21"/>
          <w:szCs w:val="21"/>
        </w:rPr>
        <w:t>天内，按</w:t>
      </w:r>
    </w:p>
    <w:p w14:paraId="33477681">
      <w:pPr>
        <w:spacing w:before="153" w:line="220" w:lineRule="auto"/>
        <w:ind w:left="19"/>
        <w:rPr>
          <w:rFonts w:ascii="宋体" w:hAnsi="宋体" w:eastAsia="宋体" w:cs="宋体"/>
          <w:sz w:val="21"/>
          <w:szCs w:val="21"/>
        </w:rPr>
      </w:pPr>
      <w:r>
        <w:rPr>
          <w:rFonts w:ascii="宋体" w:hAnsi="宋体" w:eastAsia="宋体" w:cs="宋体"/>
          <w:spacing w:val="-1"/>
          <w:sz w:val="21"/>
          <w:szCs w:val="21"/>
        </w:rPr>
        <w:t>专用合同条款约定的份数向发包人提交最终结清申请单，并提供相关证明材料。</w:t>
      </w:r>
    </w:p>
    <w:p w14:paraId="2F1B54E7">
      <w:pPr>
        <w:spacing w:before="148" w:line="399" w:lineRule="exact"/>
        <w:ind w:left="453"/>
        <w:rPr>
          <w:rFonts w:ascii="宋体" w:hAnsi="宋体" w:eastAsia="宋体" w:cs="宋体"/>
          <w:sz w:val="21"/>
          <w:szCs w:val="21"/>
        </w:rPr>
      </w:pPr>
      <w:r>
        <w:rPr>
          <w:rFonts w:ascii="宋体" w:hAnsi="宋体" w:eastAsia="宋体" w:cs="宋体"/>
          <w:spacing w:val="3"/>
          <w:position w:val="14"/>
          <w:sz w:val="21"/>
          <w:szCs w:val="21"/>
        </w:rPr>
        <w:t>除专用合同条款另有约定外，最终结清申请单应列明质量保证</w:t>
      </w:r>
      <w:r>
        <w:rPr>
          <w:rFonts w:ascii="宋体" w:hAnsi="宋体" w:eastAsia="宋体" w:cs="宋体"/>
          <w:spacing w:val="2"/>
          <w:position w:val="14"/>
          <w:sz w:val="21"/>
          <w:szCs w:val="21"/>
        </w:rPr>
        <w:t>金、应扣除的质量保证</w:t>
      </w:r>
    </w:p>
    <w:p w14:paraId="298602AF">
      <w:pPr>
        <w:spacing w:line="220" w:lineRule="auto"/>
        <w:ind w:left="20"/>
        <w:rPr>
          <w:rFonts w:ascii="宋体" w:hAnsi="宋体" w:eastAsia="宋体" w:cs="宋体"/>
          <w:sz w:val="21"/>
          <w:szCs w:val="21"/>
        </w:rPr>
      </w:pPr>
      <w:r>
        <w:rPr>
          <w:rFonts w:ascii="宋体" w:hAnsi="宋体" w:eastAsia="宋体" w:cs="宋体"/>
          <w:spacing w:val="-2"/>
          <w:sz w:val="21"/>
          <w:szCs w:val="21"/>
        </w:rPr>
        <w:t>金、缺陷责任期内发生的增减费用。</w:t>
      </w:r>
    </w:p>
    <w:p w14:paraId="77C777D9">
      <w:pPr>
        <w:spacing w:before="153" w:line="399" w:lineRule="exact"/>
        <w:ind w:left="447"/>
        <w:rPr>
          <w:rFonts w:ascii="宋体" w:hAnsi="宋体" w:eastAsia="宋体" w:cs="宋体"/>
          <w:sz w:val="21"/>
          <w:szCs w:val="21"/>
        </w:rPr>
      </w:pPr>
      <w:r>
        <w:rPr>
          <w:rFonts w:ascii="宋体" w:hAnsi="宋体" w:eastAsia="宋体" w:cs="宋体"/>
          <w:position w:val="14"/>
          <w:sz w:val="21"/>
          <w:szCs w:val="21"/>
        </w:rPr>
        <w:t>（</w:t>
      </w:r>
      <w:r>
        <w:rPr>
          <w:rFonts w:ascii="Times New Roman" w:hAnsi="Times New Roman" w:eastAsia="Times New Roman" w:cs="Times New Roman"/>
          <w:position w:val="14"/>
          <w:sz w:val="21"/>
          <w:szCs w:val="21"/>
        </w:rPr>
        <w:t>2</w:t>
      </w:r>
      <w:r>
        <w:rPr>
          <w:rFonts w:ascii="宋体" w:hAnsi="宋体" w:eastAsia="宋体" w:cs="宋体"/>
          <w:position w:val="14"/>
          <w:sz w:val="21"/>
          <w:szCs w:val="21"/>
        </w:rPr>
        <w:t>）发包人对最终结清申请单内容有异议的，有权要求承包人进</w:t>
      </w:r>
      <w:r>
        <w:rPr>
          <w:rFonts w:ascii="宋体" w:hAnsi="宋体" w:eastAsia="宋体" w:cs="宋体"/>
          <w:spacing w:val="-1"/>
          <w:position w:val="14"/>
          <w:sz w:val="21"/>
          <w:szCs w:val="21"/>
        </w:rPr>
        <w:t>行修正和提供补充资</w:t>
      </w:r>
    </w:p>
    <w:p w14:paraId="091BE5CF">
      <w:pPr>
        <w:spacing w:line="220" w:lineRule="auto"/>
        <w:ind w:left="18"/>
        <w:rPr>
          <w:rFonts w:ascii="宋体" w:hAnsi="宋体" w:eastAsia="宋体" w:cs="宋体"/>
          <w:sz w:val="21"/>
          <w:szCs w:val="21"/>
        </w:rPr>
      </w:pPr>
      <w:r>
        <w:rPr>
          <w:rFonts w:ascii="宋体" w:hAnsi="宋体" w:eastAsia="宋体" w:cs="宋体"/>
          <w:spacing w:val="-1"/>
          <w:sz w:val="21"/>
          <w:szCs w:val="21"/>
        </w:rPr>
        <w:t>料，承包人应向发包人提交修正后的最终结清申请单。</w:t>
      </w:r>
    </w:p>
    <w:p w14:paraId="5BA4125E">
      <w:pPr>
        <w:spacing w:before="148" w:line="220" w:lineRule="auto"/>
        <w:ind w:left="457"/>
        <w:rPr>
          <w:rFonts w:ascii="宋体" w:hAnsi="宋体" w:eastAsia="宋体" w:cs="宋体"/>
          <w:sz w:val="21"/>
          <w:szCs w:val="21"/>
        </w:rPr>
      </w:pPr>
      <w:r>
        <w:rPr>
          <w:rFonts w:ascii="Times New Roman" w:hAnsi="Times New Roman" w:eastAsia="Times New Roman" w:cs="Times New Roman"/>
          <w:spacing w:val="-2"/>
          <w:sz w:val="21"/>
          <w:szCs w:val="21"/>
        </w:rPr>
        <w:t xml:space="preserve">14.4.2 </w:t>
      </w:r>
      <w:r>
        <w:rPr>
          <w:rFonts w:ascii="宋体" w:hAnsi="宋体" w:eastAsia="宋体" w:cs="宋体"/>
          <w:spacing w:val="-2"/>
          <w:sz w:val="21"/>
          <w:szCs w:val="21"/>
        </w:rPr>
        <w:t>最终结清证书和支付</w:t>
      </w:r>
    </w:p>
    <w:p w14:paraId="2B309C9E">
      <w:pPr>
        <w:spacing w:before="153" w:line="399" w:lineRule="exact"/>
        <w:ind w:left="447"/>
        <w:rPr>
          <w:rFonts w:ascii="宋体" w:hAnsi="宋体" w:eastAsia="宋体" w:cs="宋体"/>
          <w:sz w:val="21"/>
          <w:szCs w:val="21"/>
        </w:rPr>
      </w:pPr>
      <w:r>
        <w:rPr>
          <w:rFonts w:ascii="宋体" w:hAnsi="宋体" w:eastAsia="宋体" w:cs="宋体"/>
          <w:position w:val="14"/>
          <w:sz w:val="21"/>
          <w:szCs w:val="21"/>
        </w:rPr>
        <w:t>（</w:t>
      </w:r>
      <w:r>
        <w:rPr>
          <w:rFonts w:ascii="Times New Roman" w:hAnsi="Times New Roman" w:eastAsia="Times New Roman" w:cs="Times New Roman"/>
          <w:position w:val="14"/>
          <w:sz w:val="21"/>
          <w:szCs w:val="21"/>
        </w:rPr>
        <w:t>1</w:t>
      </w:r>
      <w:r>
        <w:rPr>
          <w:rFonts w:ascii="宋体" w:hAnsi="宋体" w:eastAsia="宋体" w:cs="宋体"/>
          <w:position w:val="14"/>
          <w:sz w:val="21"/>
          <w:szCs w:val="21"/>
        </w:rPr>
        <w:t>）除专用合同条款另有约定外，</w:t>
      </w:r>
      <w:r>
        <w:rPr>
          <w:rFonts w:ascii="宋体" w:hAnsi="宋体" w:eastAsia="宋体" w:cs="宋体"/>
          <w:spacing w:val="84"/>
          <w:position w:val="14"/>
          <w:sz w:val="21"/>
          <w:szCs w:val="21"/>
        </w:rPr>
        <w:t xml:space="preserve"> </w:t>
      </w:r>
      <w:r>
        <w:rPr>
          <w:rFonts w:ascii="宋体" w:hAnsi="宋体" w:eastAsia="宋体" w:cs="宋体"/>
          <w:position w:val="14"/>
          <w:sz w:val="21"/>
          <w:szCs w:val="21"/>
        </w:rPr>
        <w:t>发包人应在收到承包人提交的最终结清申请单后</w:t>
      </w:r>
    </w:p>
    <w:p w14:paraId="1E9DD8E3">
      <w:pPr>
        <w:spacing w:before="1" w:line="219" w:lineRule="auto"/>
        <w:ind w:left="34"/>
        <w:rPr>
          <w:rFonts w:ascii="宋体" w:hAnsi="宋体" w:eastAsia="宋体" w:cs="宋体"/>
          <w:sz w:val="21"/>
          <w:szCs w:val="21"/>
        </w:rPr>
      </w:pPr>
      <w:r>
        <w:rPr>
          <w:rFonts w:ascii="Times New Roman" w:hAnsi="Times New Roman" w:eastAsia="Times New Roman" w:cs="Times New Roman"/>
          <w:sz w:val="21"/>
          <w:szCs w:val="21"/>
        </w:rPr>
        <w:t>14</w:t>
      </w:r>
      <w:r>
        <w:rPr>
          <w:rFonts w:ascii="Times New Roman" w:hAnsi="Times New Roman" w:eastAsia="Times New Roman" w:cs="Times New Roman"/>
          <w:spacing w:val="46"/>
          <w:w w:val="101"/>
          <w:sz w:val="21"/>
          <w:szCs w:val="21"/>
        </w:rPr>
        <w:t xml:space="preserve"> </w:t>
      </w:r>
      <w:r>
        <w:rPr>
          <w:rFonts w:ascii="宋体" w:hAnsi="宋体" w:eastAsia="宋体" w:cs="宋体"/>
          <w:sz w:val="21"/>
          <w:szCs w:val="21"/>
        </w:rPr>
        <w:t>天内完成审批并向承包人颁发最终结清证书。发包人逾期未</w:t>
      </w:r>
      <w:r>
        <w:rPr>
          <w:rFonts w:ascii="宋体" w:hAnsi="宋体" w:eastAsia="宋体" w:cs="宋体"/>
          <w:spacing w:val="-1"/>
          <w:sz w:val="21"/>
          <w:szCs w:val="21"/>
        </w:rPr>
        <w:t>完成审批，又未提出修改意</w:t>
      </w:r>
    </w:p>
    <w:p w14:paraId="7877E4AC">
      <w:pPr>
        <w:spacing w:line="219" w:lineRule="auto"/>
        <w:rPr>
          <w:rFonts w:ascii="宋体" w:hAnsi="宋体" w:eastAsia="宋体" w:cs="宋体"/>
          <w:sz w:val="21"/>
          <w:szCs w:val="21"/>
        </w:rPr>
        <w:sectPr>
          <w:footerReference r:id="rId128" w:type="default"/>
          <w:pgSz w:w="11905" w:h="16839"/>
          <w:pgMar w:top="1431" w:right="1628" w:bottom="1004" w:left="1785" w:header="0" w:footer="828" w:gutter="0"/>
          <w:pgNumType w:fmt="decimal"/>
          <w:cols w:space="720" w:num="1"/>
        </w:sectPr>
      </w:pPr>
    </w:p>
    <w:p w14:paraId="36E98FFB">
      <w:pPr>
        <w:spacing w:before="149" w:line="398" w:lineRule="exact"/>
        <w:ind w:left="21"/>
        <w:rPr>
          <w:rFonts w:ascii="宋体" w:hAnsi="宋体" w:eastAsia="宋体" w:cs="宋体"/>
          <w:sz w:val="21"/>
          <w:szCs w:val="21"/>
        </w:rPr>
      </w:pPr>
      <w:r>
        <w:rPr>
          <w:rFonts w:ascii="宋体" w:hAnsi="宋体" w:eastAsia="宋体" w:cs="宋体"/>
          <w:spacing w:val="-3"/>
          <w:position w:val="14"/>
          <w:sz w:val="21"/>
          <w:szCs w:val="21"/>
        </w:rPr>
        <w:t>见的， 视为发包人同意承包人提交的最终结清申请单，</w:t>
      </w:r>
      <w:r>
        <w:rPr>
          <w:rFonts w:ascii="宋体" w:hAnsi="宋体" w:eastAsia="宋体" w:cs="宋体"/>
          <w:spacing w:val="25"/>
          <w:position w:val="14"/>
          <w:sz w:val="21"/>
          <w:szCs w:val="21"/>
        </w:rPr>
        <w:t xml:space="preserve"> </w:t>
      </w:r>
      <w:r>
        <w:rPr>
          <w:rFonts w:ascii="宋体" w:hAnsi="宋体" w:eastAsia="宋体" w:cs="宋体"/>
          <w:spacing w:val="-3"/>
          <w:position w:val="14"/>
          <w:sz w:val="21"/>
          <w:szCs w:val="21"/>
        </w:rPr>
        <w:t>且自发包人收到承</w:t>
      </w:r>
      <w:r>
        <w:rPr>
          <w:rFonts w:ascii="宋体" w:hAnsi="宋体" w:eastAsia="宋体" w:cs="宋体"/>
          <w:spacing w:val="-4"/>
          <w:position w:val="14"/>
          <w:sz w:val="21"/>
          <w:szCs w:val="21"/>
        </w:rPr>
        <w:t>包人提交的最终</w:t>
      </w:r>
    </w:p>
    <w:p w14:paraId="58827DB9">
      <w:pPr>
        <w:spacing w:line="219" w:lineRule="auto"/>
        <w:ind w:left="23"/>
        <w:rPr>
          <w:rFonts w:ascii="宋体" w:hAnsi="宋体" w:eastAsia="宋体" w:cs="宋体"/>
          <w:sz w:val="21"/>
          <w:szCs w:val="21"/>
        </w:rPr>
      </w:pPr>
      <w:r>
        <w:rPr>
          <w:rFonts w:ascii="宋体" w:hAnsi="宋体" w:eastAsia="宋体" w:cs="宋体"/>
          <w:spacing w:val="-2"/>
          <w:sz w:val="21"/>
          <w:szCs w:val="21"/>
        </w:rPr>
        <w:t>结清申请单后</w:t>
      </w:r>
      <w:r>
        <w:rPr>
          <w:rFonts w:ascii="宋体" w:hAnsi="宋体" w:eastAsia="宋体" w:cs="宋体"/>
          <w:spacing w:val="-25"/>
          <w:sz w:val="21"/>
          <w:szCs w:val="21"/>
        </w:rPr>
        <w:t xml:space="preserve"> </w:t>
      </w:r>
      <w:r>
        <w:rPr>
          <w:rFonts w:ascii="Times New Roman" w:hAnsi="Times New Roman" w:eastAsia="Times New Roman" w:cs="Times New Roman"/>
          <w:spacing w:val="-2"/>
          <w:sz w:val="21"/>
          <w:szCs w:val="21"/>
        </w:rPr>
        <w:t xml:space="preserve">15 </w:t>
      </w:r>
      <w:r>
        <w:rPr>
          <w:rFonts w:ascii="宋体" w:hAnsi="宋体" w:eastAsia="宋体" w:cs="宋体"/>
          <w:spacing w:val="-2"/>
          <w:sz w:val="21"/>
          <w:szCs w:val="21"/>
        </w:rPr>
        <w:t>天起视为已颁发最终结清证书。</w:t>
      </w:r>
    </w:p>
    <w:p w14:paraId="48172252">
      <w:pPr>
        <w:spacing w:before="151" w:line="351" w:lineRule="auto"/>
        <w:ind w:left="21" w:right="185" w:firstLine="425"/>
        <w:jc w:val="both"/>
        <w:rPr>
          <w:rFonts w:ascii="宋体" w:hAnsi="宋体" w:eastAsia="宋体" w:cs="宋体"/>
          <w:sz w:val="21"/>
          <w:szCs w:val="21"/>
        </w:rPr>
      </w:pPr>
      <w:r>
        <w:rPr>
          <w:rFonts w:ascii="宋体" w:hAnsi="宋体" w:eastAsia="宋体" w:cs="宋体"/>
          <w:spacing w:val="-2"/>
          <w:sz w:val="21"/>
          <w:szCs w:val="21"/>
        </w:rPr>
        <w:t>（</w:t>
      </w:r>
      <w:r>
        <w:rPr>
          <w:rFonts w:ascii="Times New Roman" w:hAnsi="Times New Roman" w:eastAsia="Times New Roman" w:cs="Times New Roman"/>
          <w:spacing w:val="-2"/>
          <w:sz w:val="21"/>
          <w:szCs w:val="21"/>
        </w:rPr>
        <w:t>2</w:t>
      </w:r>
      <w:r>
        <w:rPr>
          <w:rFonts w:ascii="宋体" w:hAnsi="宋体" w:eastAsia="宋体" w:cs="宋体"/>
          <w:spacing w:val="-2"/>
          <w:sz w:val="21"/>
          <w:szCs w:val="21"/>
        </w:rPr>
        <w:t>）除专用合同条款另有约定外，发包人应在颁发最终结清证书后</w:t>
      </w:r>
      <w:r>
        <w:rPr>
          <w:rFonts w:ascii="宋体" w:hAnsi="宋体" w:eastAsia="宋体" w:cs="宋体"/>
          <w:spacing w:val="-13"/>
          <w:sz w:val="21"/>
          <w:szCs w:val="21"/>
        </w:rPr>
        <w:t xml:space="preserve"> </w:t>
      </w:r>
      <w:r>
        <w:rPr>
          <w:rFonts w:ascii="Times New Roman" w:hAnsi="Times New Roman" w:eastAsia="Times New Roman" w:cs="Times New Roman"/>
          <w:spacing w:val="-2"/>
          <w:sz w:val="21"/>
          <w:szCs w:val="21"/>
        </w:rPr>
        <w:t>7</w:t>
      </w:r>
      <w:r>
        <w:rPr>
          <w:rFonts w:ascii="Times New Roman" w:hAnsi="Times New Roman" w:eastAsia="Times New Roman" w:cs="Times New Roman"/>
          <w:spacing w:val="13"/>
          <w:sz w:val="21"/>
          <w:szCs w:val="21"/>
        </w:rPr>
        <w:t xml:space="preserve"> </w:t>
      </w:r>
      <w:r>
        <w:rPr>
          <w:rFonts w:ascii="宋体" w:hAnsi="宋体" w:eastAsia="宋体" w:cs="宋体"/>
          <w:spacing w:val="-2"/>
          <w:sz w:val="21"/>
          <w:szCs w:val="21"/>
        </w:rPr>
        <w:t>天内完成支付。</w:t>
      </w:r>
      <w:r>
        <w:rPr>
          <w:rFonts w:ascii="宋体" w:hAnsi="宋体" w:eastAsia="宋体" w:cs="宋体"/>
          <w:sz w:val="21"/>
          <w:szCs w:val="21"/>
        </w:rPr>
        <w:t xml:space="preserve"> 发包人逾期支付的，按照中国人民银行发布的同期同类贷款基准利率支付违约金； 逾期支</w:t>
      </w:r>
    </w:p>
    <w:p w14:paraId="6A08A18C">
      <w:pPr>
        <w:spacing w:before="1" w:line="219" w:lineRule="auto"/>
        <w:ind w:left="18"/>
        <w:rPr>
          <w:rFonts w:ascii="宋体" w:hAnsi="宋体" w:eastAsia="宋体" w:cs="宋体"/>
          <w:sz w:val="21"/>
          <w:szCs w:val="21"/>
        </w:rPr>
      </w:pPr>
      <w:r>
        <w:rPr>
          <w:rFonts w:ascii="宋体" w:hAnsi="宋体" w:eastAsia="宋体" w:cs="宋体"/>
          <w:spacing w:val="-1"/>
          <w:sz w:val="21"/>
          <w:szCs w:val="21"/>
        </w:rPr>
        <w:t>付超过</w:t>
      </w:r>
      <w:r>
        <w:rPr>
          <w:rFonts w:ascii="宋体" w:hAnsi="宋体" w:eastAsia="宋体" w:cs="宋体"/>
          <w:spacing w:val="-41"/>
          <w:sz w:val="21"/>
          <w:szCs w:val="21"/>
        </w:rPr>
        <w:t xml:space="preserve"> </w:t>
      </w:r>
      <w:r>
        <w:rPr>
          <w:rFonts w:ascii="Times New Roman" w:hAnsi="Times New Roman" w:eastAsia="Times New Roman" w:cs="Times New Roman"/>
          <w:spacing w:val="-1"/>
          <w:sz w:val="21"/>
          <w:szCs w:val="21"/>
        </w:rPr>
        <w:t xml:space="preserve">56 </w:t>
      </w:r>
      <w:r>
        <w:rPr>
          <w:rFonts w:ascii="宋体" w:hAnsi="宋体" w:eastAsia="宋体" w:cs="宋体"/>
          <w:spacing w:val="-1"/>
          <w:sz w:val="21"/>
          <w:szCs w:val="21"/>
        </w:rPr>
        <w:t>天的，按照中国人民银行发布的同期同类贷款基准利率的两倍支付</w:t>
      </w:r>
      <w:r>
        <w:rPr>
          <w:rFonts w:ascii="宋体" w:hAnsi="宋体" w:eastAsia="宋体" w:cs="宋体"/>
          <w:spacing w:val="-2"/>
          <w:sz w:val="21"/>
          <w:szCs w:val="21"/>
        </w:rPr>
        <w:t>违约金。</w:t>
      </w:r>
    </w:p>
    <w:p w14:paraId="6ECEF6EC">
      <w:pPr>
        <w:spacing w:before="153" w:line="399" w:lineRule="exact"/>
        <w:ind w:left="447"/>
        <w:rPr>
          <w:rFonts w:ascii="宋体" w:hAnsi="宋体" w:eastAsia="宋体" w:cs="宋体"/>
          <w:sz w:val="21"/>
          <w:szCs w:val="21"/>
        </w:rPr>
      </w:pPr>
      <w:r>
        <w:rPr>
          <w:rFonts w:ascii="宋体" w:hAnsi="宋体" w:eastAsia="宋体" w:cs="宋体"/>
          <w:position w:val="14"/>
          <w:sz w:val="21"/>
          <w:szCs w:val="21"/>
        </w:rPr>
        <w:t>（</w:t>
      </w:r>
      <w:r>
        <w:rPr>
          <w:rFonts w:ascii="Times New Roman" w:hAnsi="Times New Roman" w:eastAsia="Times New Roman" w:cs="Times New Roman"/>
          <w:position w:val="14"/>
          <w:sz w:val="21"/>
          <w:szCs w:val="21"/>
        </w:rPr>
        <w:t>3</w:t>
      </w:r>
      <w:r>
        <w:rPr>
          <w:rFonts w:ascii="宋体" w:hAnsi="宋体" w:eastAsia="宋体" w:cs="宋体"/>
          <w:position w:val="14"/>
          <w:sz w:val="21"/>
          <w:szCs w:val="21"/>
        </w:rPr>
        <w:t xml:space="preserve">）承包人对发包人颁发的最终结清证书有异议的，按第 </w:t>
      </w:r>
      <w:r>
        <w:rPr>
          <w:rFonts w:ascii="Times New Roman" w:hAnsi="Times New Roman" w:eastAsia="Times New Roman" w:cs="Times New Roman"/>
          <w:position w:val="14"/>
          <w:sz w:val="21"/>
          <w:szCs w:val="21"/>
        </w:rPr>
        <w:t xml:space="preserve">20  </w:t>
      </w:r>
      <w:r>
        <w:rPr>
          <w:rFonts w:ascii="宋体" w:hAnsi="宋体" w:eastAsia="宋体" w:cs="宋体"/>
          <w:position w:val="14"/>
          <w:sz w:val="21"/>
          <w:szCs w:val="21"/>
        </w:rPr>
        <w:t>条〔争议解决〕的约定</w:t>
      </w:r>
    </w:p>
    <w:p w14:paraId="64CBCE3D">
      <w:pPr>
        <w:spacing w:line="220" w:lineRule="auto"/>
        <w:ind w:left="22"/>
        <w:rPr>
          <w:rFonts w:ascii="宋体" w:hAnsi="宋体" w:eastAsia="宋体" w:cs="宋体"/>
          <w:sz w:val="21"/>
          <w:szCs w:val="21"/>
        </w:rPr>
      </w:pPr>
      <w:r>
        <w:rPr>
          <w:rFonts w:ascii="宋体" w:hAnsi="宋体" w:eastAsia="宋体" w:cs="宋体"/>
          <w:spacing w:val="-9"/>
          <w:sz w:val="21"/>
          <w:szCs w:val="21"/>
        </w:rPr>
        <w:t>办理。</w:t>
      </w:r>
    </w:p>
    <w:p w14:paraId="54137D5B">
      <w:pPr>
        <w:spacing w:before="173" w:line="531" w:lineRule="exact"/>
        <w:ind w:left="39"/>
        <w:rPr>
          <w:rFonts w:ascii="黑体" w:hAnsi="黑体" w:eastAsia="黑体" w:cs="黑体"/>
          <w:sz w:val="32"/>
          <w:szCs w:val="32"/>
        </w:rPr>
      </w:pPr>
      <w:r>
        <w:rPr>
          <w:rFonts w:ascii="黑体" w:hAnsi="黑体" w:eastAsia="黑体" w:cs="黑体"/>
          <w:spacing w:val="-3"/>
          <w:position w:val="15"/>
          <w:sz w:val="32"/>
          <w:szCs w:val="32"/>
        </w:rPr>
        <w:t>15.缺陷责任与保修</w:t>
      </w:r>
    </w:p>
    <w:p w14:paraId="3AB8FE19">
      <w:pPr>
        <w:spacing w:before="1" w:line="218" w:lineRule="auto"/>
        <w:ind w:left="31"/>
        <w:rPr>
          <w:rFonts w:ascii="黑体" w:hAnsi="黑体" w:eastAsia="黑体" w:cs="黑体"/>
          <w:sz w:val="24"/>
          <w:szCs w:val="24"/>
        </w:rPr>
      </w:pPr>
      <w:r>
        <w:rPr>
          <w:rFonts w:ascii="黑体" w:hAnsi="黑体" w:eastAsia="黑体" w:cs="黑体"/>
          <w:spacing w:val="-2"/>
          <w:sz w:val="24"/>
          <w:szCs w:val="24"/>
        </w:rPr>
        <w:t>15.1 工程保修的原则</w:t>
      </w:r>
    </w:p>
    <w:p w14:paraId="4745DD62">
      <w:pPr>
        <w:spacing w:before="129" w:line="274" w:lineRule="auto"/>
        <w:ind w:left="19" w:right="5" w:firstLine="421"/>
        <w:rPr>
          <w:rFonts w:ascii="黑体" w:hAnsi="黑体" w:eastAsia="黑体" w:cs="黑体"/>
          <w:sz w:val="24"/>
          <w:szCs w:val="24"/>
        </w:rPr>
      </w:pPr>
      <w:r>
        <w:rPr>
          <w:rFonts w:ascii="宋体" w:hAnsi="宋体" w:eastAsia="宋体" w:cs="宋体"/>
          <w:spacing w:val="-3"/>
          <w:sz w:val="21"/>
          <w:szCs w:val="21"/>
        </w:rPr>
        <w:t>在工程移交发包人后，</w:t>
      </w:r>
      <w:r>
        <w:rPr>
          <w:rFonts w:ascii="宋体" w:hAnsi="宋体" w:eastAsia="宋体" w:cs="宋体"/>
          <w:spacing w:val="29"/>
          <w:sz w:val="21"/>
          <w:szCs w:val="21"/>
        </w:rPr>
        <w:t xml:space="preserve"> </w:t>
      </w:r>
      <w:r>
        <w:rPr>
          <w:rFonts w:ascii="宋体" w:hAnsi="宋体" w:eastAsia="宋体" w:cs="宋体"/>
          <w:spacing w:val="-3"/>
          <w:sz w:val="21"/>
          <w:szCs w:val="21"/>
        </w:rPr>
        <w:t>因承包人原因产生的质</w:t>
      </w:r>
      <w:r>
        <w:rPr>
          <w:rFonts w:ascii="宋体" w:hAnsi="宋体" w:eastAsia="宋体" w:cs="宋体"/>
          <w:spacing w:val="-4"/>
          <w:sz w:val="21"/>
          <w:szCs w:val="21"/>
        </w:rPr>
        <w:t xml:space="preserve">量缺陷， 承包人应承担质量缺陷责任和  </w:t>
      </w:r>
      <w:r>
        <w:rPr>
          <w:rFonts w:ascii="宋体" w:hAnsi="宋体" w:eastAsia="宋体" w:cs="宋体"/>
          <w:spacing w:val="-1"/>
          <w:sz w:val="21"/>
          <w:szCs w:val="21"/>
        </w:rPr>
        <w:t>保修义务。缺陷责任期届满， 承包人仍应按合同约定的工程各部位保修年限承担保修义务。</w:t>
      </w:r>
      <w:r>
        <w:rPr>
          <w:rFonts w:ascii="宋体" w:hAnsi="宋体" w:eastAsia="宋体" w:cs="宋体"/>
          <w:spacing w:val="17"/>
          <w:sz w:val="21"/>
          <w:szCs w:val="21"/>
        </w:rPr>
        <w:t xml:space="preserve"> </w:t>
      </w:r>
      <w:r>
        <w:rPr>
          <w:rFonts w:ascii="黑体" w:hAnsi="黑体" w:eastAsia="黑体" w:cs="黑体"/>
          <w:spacing w:val="-1"/>
          <w:sz w:val="24"/>
          <w:szCs w:val="24"/>
        </w:rPr>
        <w:t>15.2 缺陷责任期</w:t>
      </w:r>
    </w:p>
    <w:p w14:paraId="5C31B972">
      <w:pPr>
        <w:spacing w:before="130" w:line="399" w:lineRule="exact"/>
        <w:ind w:left="457"/>
        <w:rPr>
          <w:rFonts w:ascii="宋体" w:hAnsi="宋体" w:eastAsia="宋体" w:cs="宋体"/>
          <w:sz w:val="21"/>
          <w:szCs w:val="21"/>
        </w:rPr>
      </w:pPr>
      <w:r>
        <w:rPr>
          <w:rFonts w:ascii="Times New Roman" w:hAnsi="Times New Roman" w:eastAsia="Times New Roman" w:cs="Times New Roman"/>
          <w:spacing w:val="3"/>
          <w:position w:val="14"/>
          <w:sz w:val="21"/>
          <w:szCs w:val="21"/>
        </w:rPr>
        <w:t>15.2.1</w:t>
      </w:r>
      <w:r>
        <w:rPr>
          <w:rFonts w:ascii="Times New Roman" w:hAnsi="Times New Roman" w:eastAsia="Times New Roman" w:cs="Times New Roman"/>
          <w:spacing w:val="37"/>
          <w:w w:val="101"/>
          <w:position w:val="14"/>
          <w:sz w:val="21"/>
          <w:szCs w:val="21"/>
        </w:rPr>
        <w:t xml:space="preserve"> </w:t>
      </w:r>
      <w:r>
        <w:rPr>
          <w:rFonts w:ascii="宋体" w:hAnsi="宋体" w:eastAsia="宋体" w:cs="宋体"/>
          <w:spacing w:val="3"/>
          <w:position w:val="14"/>
          <w:sz w:val="21"/>
          <w:szCs w:val="21"/>
        </w:rPr>
        <w:t>缺陷责任期从工程通过竣工验收之日起计算，合同当事</w:t>
      </w:r>
      <w:r>
        <w:rPr>
          <w:rFonts w:ascii="宋体" w:hAnsi="宋体" w:eastAsia="宋体" w:cs="宋体"/>
          <w:spacing w:val="2"/>
          <w:position w:val="14"/>
          <w:sz w:val="21"/>
          <w:szCs w:val="21"/>
        </w:rPr>
        <w:t>人应在专用合同条款约</w:t>
      </w:r>
    </w:p>
    <w:p w14:paraId="03452768">
      <w:pPr>
        <w:spacing w:line="220" w:lineRule="auto"/>
        <w:ind w:left="23"/>
        <w:rPr>
          <w:rFonts w:ascii="宋体" w:hAnsi="宋体" w:eastAsia="宋体" w:cs="宋体"/>
          <w:sz w:val="21"/>
          <w:szCs w:val="21"/>
        </w:rPr>
      </w:pPr>
      <w:r>
        <w:rPr>
          <w:rFonts w:ascii="宋体" w:hAnsi="宋体" w:eastAsia="宋体" w:cs="宋体"/>
          <w:spacing w:val="-2"/>
          <w:sz w:val="21"/>
          <w:szCs w:val="21"/>
        </w:rPr>
        <w:t>定缺陷责任期的具体期限，但该期限最长不超过</w:t>
      </w:r>
      <w:r>
        <w:rPr>
          <w:rFonts w:ascii="宋体" w:hAnsi="宋体" w:eastAsia="宋体" w:cs="宋体"/>
          <w:spacing w:val="-38"/>
          <w:sz w:val="21"/>
          <w:szCs w:val="21"/>
        </w:rPr>
        <w:t xml:space="preserve"> </w:t>
      </w:r>
      <w:r>
        <w:rPr>
          <w:rFonts w:ascii="Times New Roman" w:hAnsi="Times New Roman" w:eastAsia="Times New Roman" w:cs="Times New Roman"/>
          <w:spacing w:val="-2"/>
          <w:sz w:val="21"/>
          <w:szCs w:val="21"/>
        </w:rPr>
        <w:t xml:space="preserve">24 </w:t>
      </w:r>
      <w:r>
        <w:rPr>
          <w:rFonts w:ascii="宋体" w:hAnsi="宋体" w:eastAsia="宋体" w:cs="宋体"/>
          <w:spacing w:val="-2"/>
          <w:sz w:val="21"/>
          <w:szCs w:val="21"/>
        </w:rPr>
        <w:t>个月。</w:t>
      </w:r>
    </w:p>
    <w:p w14:paraId="6B58D6C3">
      <w:pPr>
        <w:spacing w:before="154" w:line="351" w:lineRule="auto"/>
        <w:ind w:left="20" w:right="180" w:firstLine="422"/>
        <w:rPr>
          <w:rFonts w:ascii="宋体" w:hAnsi="宋体" w:eastAsia="宋体" w:cs="宋体"/>
          <w:sz w:val="21"/>
          <w:szCs w:val="21"/>
        </w:rPr>
      </w:pPr>
      <w:r>
        <w:rPr>
          <w:rFonts w:ascii="宋体" w:hAnsi="宋体" w:eastAsia="宋体" w:cs="宋体"/>
          <w:spacing w:val="3"/>
          <w:sz w:val="21"/>
          <w:szCs w:val="21"/>
        </w:rPr>
        <w:t>单位工程先于全部工程进行验收，经验收合格并交付使用的，该单位工程缺陷责任期</w:t>
      </w:r>
      <w:r>
        <w:rPr>
          <w:rFonts w:ascii="宋体" w:hAnsi="宋体" w:eastAsia="宋体" w:cs="宋体"/>
          <w:spacing w:val="1"/>
          <w:sz w:val="21"/>
          <w:szCs w:val="21"/>
        </w:rPr>
        <w:t xml:space="preserve"> </w:t>
      </w:r>
      <w:r>
        <w:rPr>
          <w:rFonts w:ascii="宋体" w:hAnsi="宋体" w:eastAsia="宋体" w:cs="宋体"/>
          <w:spacing w:val="3"/>
          <w:sz w:val="21"/>
          <w:szCs w:val="21"/>
        </w:rPr>
        <w:t>自单位工程验收合格之日起算。因承包人原因导致工程无法按合同约定期限</w:t>
      </w:r>
      <w:r>
        <w:rPr>
          <w:rFonts w:ascii="宋体" w:hAnsi="宋体" w:eastAsia="宋体" w:cs="宋体"/>
          <w:spacing w:val="2"/>
          <w:sz w:val="21"/>
          <w:szCs w:val="21"/>
        </w:rPr>
        <w:t>进行竣工验收</w:t>
      </w:r>
      <w:r>
        <w:rPr>
          <w:rFonts w:ascii="宋体" w:hAnsi="宋体" w:eastAsia="宋体" w:cs="宋体"/>
          <w:sz w:val="21"/>
          <w:szCs w:val="21"/>
        </w:rPr>
        <w:t xml:space="preserve"> 的，缺陷责任期从实际通过竣工验收之日起计算。 因发包人原因导致工程无法按合同约定</w:t>
      </w:r>
      <w:r>
        <w:rPr>
          <w:rFonts w:ascii="宋体" w:hAnsi="宋体" w:eastAsia="宋体" w:cs="宋体"/>
          <w:spacing w:val="7"/>
          <w:sz w:val="21"/>
          <w:szCs w:val="21"/>
        </w:rPr>
        <w:t xml:space="preserve"> </w:t>
      </w:r>
      <w:r>
        <w:rPr>
          <w:rFonts w:ascii="宋体" w:hAnsi="宋体" w:eastAsia="宋体" w:cs="宋体"/>
          <w:sz w:val="21"/>
          <w:szCs w:val="21"/>
        </w:rPr>
        <w:t>期限进行竣工验收的，在承包人提交竣工验收报告</w:t>
      </w:r>
      <w:r>
        <w:rPr>
          <w:rFonts w:ascii="宋体" w:hAnsi="宋体" w:eastAsia="宋体" w:cs="宋体"/>
          <w:spacing w:val="-28"/>
          <w:sz w:val="21"/>
          <w:szCs w:val="21"/>
        </w:rPr>
        <w:t xml:space="preserve"> </w:t>
      </w:r>
      <w:r>
        <w:rPr>
          <w:rFonts w:ascii="Times New Roman" w:hAnsi="Times New Roman" w:eastAsia="Times New Roman" w:cs="Times New Roman"/>
          <w:spacing w:val="-1"/>
          <w:sz w:val="21"/>
          <w:szCs w:val="21"/>
        </w:rPr>
        <w:t xml:space="preserve">90 </w:t>
      </w:r>
      <w:r>
        <w:rPr>
          <w:rFonts w:ascii="宋体" w:hAnsi="宋体" w:eastAsia="宋体" w:cs="宋体"/>
          <w:spacing w:val="-1"/>
          <w:sz w:val="21"/>
          <w:szCs w:val="21"/>
        </w:rPr>
        <w:t>天后，工程自动进入缺陷责任期；发</w:t>
      </w:r>
    </w:p>
    <w:p w14:paraId="300D1C59">
      <w:pPr>
        <w:spacing w:before="1" w:line="220" w:lineRule="auto"/>
        <w:ind w:left="18"/>
        <w:rPr>
          <w:rFonts w:ascii="宋体" w:hAnsi="宋体" w:eastAsia="宋体" w:cs="宋体"/>
          <w:sz w:val="21"/>
          <w:szCs w:val="21"/>
        </w:rPr>
      </w:pPr>
      <w:r>
        <w:rPr>
          <w:rFonts w:ascii="宋体" w:hAnsi="宋体" w:eastAsia="宋体" w:cs="宋体"/>
          <w:spacing w:val="-1"/>
          <w:sz w:val="21"/>
          <w:szCs w:val="21"/>
        </w:rPr>
        <w:t>包人未经竣工验收擅自使用工程的，缺陷责任期自工程转移占有之日起开始计算。</w:t>
      </w:r>
    </w:p>
    <w:p w14:paraId="13ECAE27">
      <w:pPr>
        <w:spacing w:before="150" w:line="352" w:lineRule="auto"/>
        <w:ind w:left="18" w:right="181" w:firstLine="439"/>
        <w:rPr>
          <w:rFonts w:ascii="宋体" w:hAnsi="宋体" w:eastAsia="宋体" w:cs="宋体"/>
          <w:sz w:val="21"/>
          <w:szCs w:val="21"/>
        </w:rPr>
      </w:pPr>
      <w:r>
        <w:rPr>
          <w:rFonts w:ascii="Times New Roman" w:hAnsi="Times New Roman" w:eastAsia="Times New Roman" w:cs="Times New Roman"/>
          <w:sz w:val="21"/>
          <w:szCs w:val="21"/>
        </w:rPr>
        <w:t>15.2.2</w:t>
      </w:r>
      <w:r>
        <w:rPr>
          <w:rFonts w:ascii="Times New Roman" w:hAnsi="Times New Roman" w:eastAsia="Times New Roman" w:cs="Times New Roman"/>
          <w:spacing w:val="44"/>
          <w:w w:val="101"/>
          <w:sz w:val="21"/>
          <w:szCs w:val="21"/>
        </w:rPr>
        <w:t xml:space="preserve"> </w:t>
      </w:r>
      <w:r>
        <w:rPr>
          <w:rFonts w:ascii="宋体" w:hAnsi="宋体" w:eastAsia="宋体" w:cs="宋体"/>
          <w:sz w:val="21"/>
          <w:szCs w:val="21"/>
        </w:rPr>
        <w:t xml:space="preserve">缺陷责任期内，由承包人原因造成的缺陷， 承包人应负责维修，并承担鉴定及 </w:t>
      </w:r>
      <w:r>
        <w:rPr>
          <w:rFonts w:ascii="宋体" w:hAnsi="宋体" w:eastAsia="宋体" w:cs="宋体"/>
          <w:spacing w:val="3"/>
          <w:sz w:val="21"/>
          <w:szCs w:val="21"/>
        </w:rPr>
        <w:t>维修费用。如承包人不维修也不承担费用，发包人可按合同约定从保证金或</w:t>
      </w:r>
      <w:r>
        <w:rPr>
          <w:rFonts w:ascii="宋体" w:hAnsi="宋体" w:eastAsia="宋体" w:cs="宋体"/>
          <w:spacing w:val="2"/>
          <w:sz w:val="21"/>
          <w:szCs w:val="21"/>
        </w:rPr>
        <w:t>银行保函中扣</w:t>
      </w:r>
      <w:r>
        <w:rPr>
          <w:rFonts w:ascii="宋体" w:hAnsi="宋体" w:eastAsia="宋体" w:cs="宋体"/>
          <w:sz w:val="21"/>
          <w:szCs w:val="21"/>
        </w:rPr>
        <w:t xml:space="preserve"> </w:t>
      </w:r>
      <w:r>
        <w:rPr>
          <w:rFonts w:ascii="宋体" w:hAnsi="宋体" w:eastAsia="宋体" w:cs="宋体"/>
          <w:spacing w:val="3"/>
          <w:sz w:val="21"/>
          <w:szCs w:val="21"/>
        </w:rPr>
        <w:t>除，费用超出保证金额的，发包人可按合同约定向承包人进行索赔。承包人</w:t>
      </w:r>
      <w:r>
        <w:rPr>
          <w:rFonts w:ascii="宋体" w:hAnsi="宋体" w:eastAsia="宋体" w:cs="宋体"/>
          <w:spacing w:val="2"/>
          <w:sz w:val="21"/>
          <w:szCs w:val="21"/>
        </w:rPr>
        <w:t>维修并承担相</w:t>
      </w:r>
      <w:r>
        <w:rPr>
          <w:rFonts w:ascii="宋体" w:hAnsi="宋体" w:eastAsia="宋体" w:cs="宋体"/>
          <w:sz w:val="21"/>
          <w:szCs w:val="21"/>
        </w:rPr>
        <w:t xml:space="preserve"> </w:t>
      </w:r>
      <w:r>
        <w:rPr>
          <w:rFonts w:ascii="宋体" w:hAnsi="宋体" w:eastAsia="宋体" w:cs="宋体"/>
          <w:spacing w:val="3"/>
          <w:sz w:val="21"/>
          <w:szCs w:val="21"/>
        </w:rPr>
        <w:t>应费用后，不免除对工程的损失赔偿责任。发包人有权要求承包人延长缺陷责任期，</w:t>
      </w:r>
      <w:r>
        <w:rPr>
          <w:rFonts w:ascii="宋体" w:hAnsi="宋体" w:eastAsia="宋体" w:cs="宋体"/>
          <w:spacing w:val="2"/>
          <w:sz w:val="21"/>
          <w:szCs w:val="21"/>
        </w:rPr>
        <w:t>并应</w:t>
      </w:r>
    </w:p>
    <w:p w14:paraId="76404847">
      <w:pPr>
        <w:spacing w:line="220" w:lineRule="auto"/>
        <w:jc w:val="right"/>
        <w:rPr>
          <w:rFonts w:ascii="宋体" w:hAnsi="宋体" w:eastAsia="宋体" w:cs="宋体"/>
          <w:sz w:val="21"/>
          <w:szCs w:val="21"/>
        </w:rPr>
      </w:pPr>
      <w:r>
        <w:rPr>
          <w:rFonts w:ascii="宋体" w:hAnsi="宋体" w:eastAsia="宋体" w:cs="宋体"/>
          <w:spacing w:val="-3"/>
          <w:sz w:val="21"/>
          <w:szCs w:val="21"/>
        </w:rPr>
        <w:t>在原缺陷责任期届满前发出延长通知。但缺陷责任期（含延长部分）</w:t>
      </w:r>
      <w:r>
        <w:rPr>
          <w:rFonts w:ascii="宋体" w:hAnsi="宋体" w:eastAsia="宋体" w:cs="宋体"/>
          <w:spacing w:val="-16"/>
          <w:sz w:val="21"/>
          <w:szCs w:val="21"/>
        </w:rPr>
        <w:t xml:space="preserve"> </w:t>
      </w:r>
      <w:r>
        <w:rPr>
          <w:rFonts w:ascii="宋体" w:hAnsi="宋体" w:eastAsia="宋体" w:cs="宋体"/>
          <w:spacing w:val="-3"/>
          <w:sz w:val="21"/>
          <w:szCs w:val="21"/>
        </w:rPr>
        <w:t>最长不能超过</w:t>
      </w:r>
      <w:r>
        <w:rPr>
          <w:rFonts w:ascii="宋体" w:hAnsi="宋体" w:eastAsia="宋体" w:cs="宋体"/>
          <w:spacing w:val="-33"/>
          <w:sz w:val="21"/>
          <w:szCs w:val="21"/>
        </w:rPr>
        <w:t xml:space="preserve"> </w:t>
      </w:r>
      <w:r>
        <w:rPr>
          <w:rFonts w:ascii="Times New Roman" w:hAnsi="Times New Roman" w:eastAsia="Times New Roman" w:cs="Times New Roman"/>
          <w:spacing w:val="-3"/>
          <w:sz w:val="21"/>
          <w:szCs w:val="21"/>
        </w:rPr>
        <w:t xml:space="preserve">24 </w:t>
      </w:r>
      <w:r>
        <w:rPr>
          <w:rFonts w:ascii="宋体" w:hAnsi="宋体" w:eastAsia="宋体" w:cs="宋体"/>
          <w:spacing w:val="-3"/>
          <w:sz w:val="21"/>
          <w:szCs w:val="21"/>
        </w:rPr>
        <w:t>个月。</w:t>
      </w:r>
    </w:p>
    <w:p w14:paraId="061DCDFA">
      <w:pPr>
        <w:spacing w:before="148" w:line="399" w:lineRule="exact"/>
        <w:ind w:left="466"/>
        <w:rPr>
          <w:rFonts w:ascii="宋体" w:hAnsi="宋体" w:eastAsia="宋体" w:cs="宋体"/>
          <w:sz w:val="21"/>
          <w:szCs w:val="21"/>
        </w:rPr>
      </w:pPr>
      <w:r>
        <w:rPr>
          <w:rFonts w:ascii="宋体" w:hAnsi="宋体" w:eastAsia="宋体" w:cs="宋体"/>
          <w:spacing w:val="-3"/>
          <w:position w:val="14"/>
          <w:sz w:val="21"/>
          <w:szCs w:val="21"/>
        </w:rPr>
        <w:t>由他人原因造成的缺陷，发包人负责组织维修， 承包人不承担费用， 且发</w:t>
      </w:r>
      <w:r>
        <w:rPr>
          <w:rFonts w:ascii="宋体" w:hAnsi="宋体" w:eastAsia="宋体" w:cs="宋体"/>
          <w:spacing w:val="-4"/>
          <w:position w:val="14"/>
          <w:sz w:val="21"/>
          <w:szCs w:val="21"/>
        </w:rPr>
        <w:t>包人不得从</w:t>
      </w:r>
    </w:p>
    <w:p w14:paraId="0A40C08F">
      <w:pPr>
        <w:spacing w:line="220" w:lineRule="auto"/>
        <w:ind w:left="19"/>
        <w:rPr>
          <w:rFonts w:ascii="宋体" w:hAnsi="宋体" w:eastAsia="宋体" w:cs="宋体"/>
          <w:sz w:val="21"/>
          <w:szCs w:val="21"/>
        </w:rPr>
      </w:pPr>
      <w:r>
        <w:rPr>
          <w:rFonts w:ascii="宋体" w:hAnsi="宋体" w:eastAsia="宋体" w:cs="宋体"/>
          <w:spacing w:val="-3"/>
          <w:sz w:val="21"/>
          <w:szCs w:val="21"/>
        </w:rPr>
        <w:t>保证金中扣除费用。</w:t>
      </w:r>
    </w:p>
    <w:p w14:paraId="3D2413D5">
      <w:pPr>
        <w:spacing w:before="153" w:line="398" w:lineRule="exact"/>
        <w:jc w:val="right"/>
        <w:rPr>
          <w:rFonts w:ascii="宋体" w:hAnsi="宋体" w:eastAsia="宋体" w:cs="宋体"/>
          <w:sz w:val="21"/>
          <w:szCs w:val="21"/>
        </w:rPr>
      </w:pPr>
      <w:r>
        <w:rPr>
          <w:rFonts w:ascii="Times New Roman" w:hAnsi="Times New Roman" w:eastAsia="Times New Roman" w:cs="Times New Roman"/>
          <w:spacing w:val="-1"/>
          <w:position w:val="14"/>
          <w:sz w:val="21"/>
          <w:szCs w:val="21"/>
        </w:rPr>
        <w:t>15.2.3</w:t>
      </w:r>
      <w:r>
        <w:rPr>
          <w:rFonts w:ascii="Times New Roman" w:hAnsi="Times New Roman" w:eastAsia="Times New Roman" w:cs="Times New Roman"/>
          <w:spacing w:val="39"/>
          <w:w w:val="101"/>
          <w:position w:val="14"/>
          <w:sz w:val="21"/>
          <w:szCs w:val="21"/>
        </w:rPr>
        <w:t xml:space="preserve"> </w:t>
      </w:r>
      <w:r>
        <w:rPr>
          <w:rFonts w:ascii="宋体" w:hAnsi="宋体" w:eastAsia="宋体" w:cs="宋体"/>
          <w:spacing w:val="-1"/>
          <w:position w:val="14"/>
          <w:sz w:val="21"/>
          <w:szCs w:val="21"/>
        </w:rPr>
        <w:t>任何一项缺陷或损坏修复后， 经检查证明其影响了工程或工程设备的使用性能，</w:t>
      </w:r>
    </w:p>
    <w:p w14:paraId="25A52A55">
      <w:pPr>
        <w:spacing w:before="1" w:line="220" w:lineRule="auto"/>
        <w:ind w:left="18"/>
        <w:rPr>
          <w:rFonts w:ascii="宋体" w:hAnsi="宋体" w:eastAsia="宋体" w:cs="宋体"/>
          <w:sz w:val="21"/>
          <w:szCs w:val="21"/>
        </w:rPr>
      </w:pPr>
      <w:r>
        <w:rPr>
          <w:rFonts w:ascii="宋体" w:hAnsi="宋体" w:eastAsia="宋体" w:cs="宋体"/>
          <w:spacing w:val="-1"/>
          <w:sz w:val="21"/>
          <w:szCs w:val="21"/>
        </w:rPr>
        <w:t>承包人应重新进行合同约定的试验和试运行，试验和试运行的全部费用应由责任方承担。</w:t>
      </w:r>
    </w:p>
    <w:p w14:paraId="6B89098D">
      <w:pPr>
        <w:spacing w:before="146" w:line="353" w:lineRule="auto"/>
        <w:ind w:left="18" w:right="180" w:firstLine="439"/>
        <w:rPr>
          <w:rFonts w:ascii="宋体" w:hAnsi="宋体" w:eastAsia="宋体" w:cs="宋体"/>
          <w:sz w:val="21"/>
          <w:szCs w:val="21"/>
        </w:rPr>
      </w:pPr>
      <w:r>
        <w:rPr>
          <w:rFonts w:ascii="Times New Roman" w:hAnsi="Times New Roman" w:eastAsia="Times New Roman" w:cs="Times New Roman"/>
          <w:spacing w:val="-1"/>
          <w:sz w:val="21"/>
          <w:szCs w:val="21"/>
        </w:rPr>
        <w:t xml:space="preserve">15.2.4 </w:t>
      </w:r>
      <w:r>
        <w:rPr>
          <w:rFonts w:ascii="宋体" w:hAnsi="宋体" w:eastAsia="宋体" w:cs="宋体"/>
          <w:spacing w:val="-1"/>
          <w:sz w:val="21"/>
          <w:szCs w:val="21"/>
        </w:rPr>
        <w:t>除专用合同条款另有约定外，</w:t>
      </w:r>
      <w:r>
        <w:rPr>
          <w:rFonts w:ascii="宋体" w:hAnsi="宋体" w:eastAsia="宋体" w:cs="宋体"/>
          <w:spacing w:val="-2"/>
          <w:sz w:val="21"/>
          <w:szCs w:val="21"/>
        </w:rPr>
        <w:t>承包人应于缺陷责任期届满后</w:t>
      </w:r>
      <w:r>
        <w:rPr>
          <w:rFonts w:ascii="宋体" w:hAnsi="宋体" w:eastAsia="宋体" w:cs="宋体"/>
          <w:spacing w:val="-47"/>
          <w:sz w:val="21"/>
          <w:szCs w:val="21"/>
        </w:rPr>
        <w:t xml:space="preserve"> </w:t>
      </w:r>
      <w:r>
        <w:rPr>
          <w:rFonts w:ascii="Times New Roman" w:hAnsi="Times New Roman" w:eastAsia="Times New Roman" w:cs="Times New Roman"/>
          <w:spacing w:val="-2"/>
          <w:sz w:val="21"/>
          <w:szCs w:val="21"/>
        </w:rPr>
        <w:t xml:space="preserve">7 </w:t>
      </w:r>
      <w:r>
        <w:rPr>
          <w:rFonts w:ascii="宋体" w:hAnsi="宋体" w:eastAsia="宋体" w:cs="宋体"/>
          <w:spacing w:val="-2"/>
          <w:sz w:val="21"/>
          <w:szCs w:val="21"/>
        </w:rPr>
        <w:t>天内向发包人发出</w:t>
      </w:r>
      <w:r>
        <w:rPr>
          <w:rFonts w:ascii="宋体" w:hAnsi="宋体" w:eastAsia="宋体" w:cs="宋体"/>
          <w:sz w:val="21"/>
          <w:szCs w:val="21"/>
        </w:rPr>
        <w:t xml:space="preserve"> </w:t>
      </w:r>
      <w:r>
        <w:rPr>
          <w:rFonts w:ascii="宋体" w:hAnsi="宋体" w:eastAsia="宋体" w:cs="宋体"/>
          <w:spacing w:val="-1"/>
          <w:sz w:val="21"/>
          <w:szCs w:val="21"/>
        </w:rPr>
        <w:t xml:space="preserve">缺陷责任期届满通知，发包人应在收到缺陷责任期满通知后 </w:t>
      </w:r>
      <w:r>
        <w:rPr>
          <w:rFonts w:ascii="Times New Roman" w:hAnsi="Times New Roman" w:eastAsia="Times New Roman" w:cs="Times New Roman"/>
          <w:spacing w:val="-1"/>
          <w:sz w:val="21"/>
          <w:szCs w:val="21"/>
        </w:rPr>
        <w:t xml:space="preserve">14 </w:t>
      </w:r>
      <w:r>
        <w:rPr>
          <w:rFonts w:ascii="宋体" w:hAnsi="宋体" w:eastAsia="宋体" w:cs="宋体"/>
          <w:spacing w:val="-1"/>
          <w:sz w:val="21"/>
          <w:szCs w:val="21"/>
        </w:rPr>
        <w:t>天内核实承包人是否履行缺</w:t>
      </w:r>
    </w:p>
    <w:p w14:paraId="34A95383">
      <w:pPr>
        <w:spacing w:before="1" w:line="220" w:lineRule="auto"/>
        <w:ind w:left="31"/>
        <w:rPr>
          <w:rFonts w:ascii="宋体" w:hAnsi="宋体" w:eastAsia="宋体" w:cs="宋体"/>
          <w:sz w:val="21"/>
          <w:szCs w:val="21"/>
        </w:rPr>
      </w:pPr>
      <w:r>
        <w:rPr>
          <w:rFonts w:ascii="宋体" w:hAnsi="宋体" w:eastAsia="宋体" w:cs="宋体"/>
          <w:sz w:val="21"/>
          <w:szCs w:val="21"/>
        </w:rPr>
        <w:t>陷修复义务， 承包人未能履行缺陷修复义务的，发包人有权扣除相应金额的维修</w:t>
      </w:r>
      <w:r>
        <w:rPr>
          <w:rFonts w:ascii="宋体" w:hAnsi="宋体" w:eastAsia="宋体" w:cs="宋体"/>
          <w:spacing w:val="-1"/>
          <w:sz w:val="21"/>
          <w:szCs w:val="21"/>
        </w:rPr>
        <w:t>费用。发</w:t>
      </w:r>
    </w:p>
    <w:p w14:paraId="47BD34AC">
      <w:pPr>
        <w:spacing w:before="147" w:line="220" w:lineRule="auto"/>
        <w:ind w:left="18"/>
        <w:rPr>
          <w:rFonts w:ascii="宋体" w:hAnsi="宋体" w:eastAsia="宋体" w:cs="宋体"/>
          <w:sz w:val="21"/>
          <w:szCs w:val="21"/>
        </w:rPr>
      </w:pPr>
      <w:r>
        <w:rPr>
          <w:rFonts w:ascii="宋体" w:hAnsi="宋体" w:eastAsia="宋体" w:cs="宋体"/>
          <w:spacing w:val="-4"/>
          <w:sz w:val="21"/>
          <w:szCs w:val="21"/>
        </w:rPr>
        <w:t>包人应在收到缺陷责任期届满通知后</w:t>
      </w:r>
      <w:r>
        <w:rPr>
          <w:rFonts w:ascii="宋体" w:hAnsi="宋体" w:eastAsia="宋体" w:cs="宋体"/>
          <w:spacing w:val="-14"/>
          <w:sz w:val="21"/>
          <w:szCs w:val="21"/>
        </w:rPr>
        <w:t xml:space="preserve"> </w:t>
      </w:r>
      <w:r>
        <w:rPr>
          <w:rFonts w:ascii="Times New Roman" w:hAnsi="Times New Roman" w:eastAsia="Times New Roman" w:cs="Times New Roman"/>
          <w:spacing w:val="-4"/>
          <w:sz w:val="21"/>
          <w:szCs w:val="21"/>
        </w:rPr>
        <w:t xml:space="preserve">14 </w:t>
      </w:r>
      <w:r>
        <w:rPr>
          <w:rFonts w:ascii="宋体" w:hAnsi="宋体" w:eastAsia="宋体" w:cs="宋体"/>
          <w:spacing w:val="-4"/>
          <w:sz w:val="21"/>
          <w:szCs w:val="21"/>
        </w:rPr>
        <w:t>天内， 向承包人颁发缺陷责任期终止证书。</w:t>
      </w:r>
    </w:p>
    <w:p w14:paraId="4225FBED">
      <w:pPr>
        <w:spacing w:before="51" w:line="220" w:lineRule="auto"/>
        <w:ind w:left="31"/>
        <w:rPr>
          <w:rFonts w:ascii="黑体" w:hAnsi="黑体" w:eastAsia="黑体" w:cs="黑体"/>
          <w:sz w:val="24"/>
          <w:szCs w:val="24"/>
        </w:rPr>
      </w:pPr>
      <w:r>
        <w:rPr>
          <w:rFonts w:ascii="黑体" w:hAnsi="黑体" w:eastAsia="黑体" w:cs="黑体"/>
          <w:spacing w:val="-2"/>
          <w:sz w:val="24"/>
          <w:szCs w:val="24"/>
        </w:rPr>
        <w:t>15.3 质量保证金</w:t>
      </w:r>
    </w:p>
    <w:p w14:paraId="1D68BB02">
      <w:pPr>
        <w:spacing w:before="128" w:line="221" w:lineRule="auto"/>
        <w:ind w:left="442"/>
        <w:rPr>
          <w:rFonts w:ascii="宋体" w:hAnsi="宋体" w:eastAsia="宋体" w:cs="宋体"/>
          <w:sz w:val="21"/>
          <w:szCs w:val="21"/>
        </w:rPr>
      </w:pPr>
      <w:r>
        <w:rPr>
          <w:rFonts w:ascii="宋体" w:hAnsi="宋体" w:eastAsia="宋体" w:cs="宋体"/>
          <w:sz w:val="21"/>
          <w:szCs w:val="21"/>
        </w:rPr>
        <w:t>经合同当事人协商一致扣留质量保证金的，应在专用合同条</w:t>
      </w:r>
      <w:r>
        <w:rPr>
          <w:rFonts w:ascii="宋体" w:hAnsi="宋体" w:eastAsia="宋体" w:cs="宋体"/>
          <w:spacing w:val="-1"/>
          <w:sz w:val="21"/>
          <w:szCs w:val="21"/>
        </w:rPr>
        <w:t>款中予以明确。</w:t>
      </w:r>
    </w:p>
    <w:p w14:paraId="55FB0558">
      <w:pPr>
        <w:spacing w:line="221" w:lineRule="auto"/>
        <w:rPr>
          <w:rFonts w:ascii="宋体" w:hAnsi="宋体" w:eastAsia="宋体" w:cs="宋体"/>
          <w:sz w:val="21"/>
          <w:szCs w:val="21"/>
        </w:rPr>
        <w:sectPr>
          <w:footerReference r:id="rId129" w:type="default"/>
          <w:pgSz w:w="11905" w:h="16839"/>
          <w:pgMar w:top="1431" w:right="1611" w:bottom="1004" w:left="1785" w:header="0" w:footer="829" w:gutter="0"/>
          <w:pgNumType w:fmt="decimal"/>
          <w:cols w:space="720" w:num="1"/>
        </w:sectPr>
      </w:pPr>
    </w:p>
    <w:p w14:paraId="46ED053C">
      <w:pPr>
        <w:spacing w:before="149" w:line="398" w:lineRule="exact"/>
        <w:ind w:right="6"/>
        <w:jc w:val="right"/>
        <w:rPr>
          <w:rFonts w:ascii="宋体" w:hAnsi="宋体" w:eastAsia="宋体" w:cs="宋体"/>
          <w:sz w:val="21"/>
          <w:szCs w:val="21"/>
        </w:rPr>
      </w:pPr>
      <w:r>
        <w:rPr>
          <w:rFonts w:ascii="宋体" w:hAnsi="宋体" w:eastAsia="宋体" w:cs="宋体"/>
          <w:spacing w:val="3"/>
          <w:position w:val="14"/>
          <w:sz w:val="21"/>
          <w:szCs w:val="21"/>
        </w:rPr>
        <w:t>在工程项目竣工前，承包人已经提供履约担保的，发包人不得同时预留工程质量保证</w:t>
      </w:r>
    </w:p>
    <w:p w14:paraId="200684F8">
      <w:pPr>
        <w:spacing w:line="227" w:lineRule="auto"/>
        <w:ind w:left="20"/>
        <w:rPr>
          <w:rFonts w:ascii="宋体" w:hAnsi="宋体" w:eastAsia="宋体" w:cs="宋体"/>
          <w:sz w:val="21"/>
          <w:szCs w:val="21"/>
        </w:rPr>
      </w:pPr>
      <w:r>
        <w:rPr>
          <w:rFonts w:ascii="宋体" w:hAnsi="宋体" w:eastAsia="宋体" w:cs="宋体"/>
          <w:spacing w:val="-10"/>
          <w:sz w:val="21"/>
          <w:szCs w:val="21"/>
        </w:rPr>
        <w:t>金。</w:t>
      </w:r>
    </w:p>
    <w:p w14:paraId="2FCB3B31">
      <w:pPr>
        <w:spacing w:before="144" w:line="220" w:lineRule="auto"/>
        <w:ind w:left="457"/>
        <w:rPr>
          <w:rFonts w:ascii="宋体" w:hAnsi="宋体" w:eastAsia="宋体" w:cs="宋体"/>
          <w:sz w:val="21"/>
          <w:szCs w:val="21"/>
        </w:rPr>
      </w:pPr>
      <w:r>
        <w:rPr>
          <w:rFonts w:ascii="Times New Roman" w:hAnsi="Times New Roman" w:eastAsia="Times New Roman" w:cs="Times New Roman"/>
          <w:spacing w:val="-1"/>
          <w:sz w:val="21"/>
          <w:szCs w:val="21"/>
        </w:rPr>
        <w:t xml:space="preserve">15.3.1 </w:t>
      </w:r>
      <w:r>
        <w:rPr>
          <w:rFonts w:ascii="宋体" w:hAnsi="宋体" w:eastAsia="宋体" w:cs="宋体"/>
          <w:spacing w:val="-1"/>
          <w:sz w:val="21"/>
          <w:szCs w:val="21"/>
        </w:rPr>
        <w:t>承包人提供质量保证金的方式</w:t>
      </w:r>
    </w:p>
    <w:p w14:paraId="6018B348">
      <w:pPr>
        <w:spacing w:before="148" w:line="399" w:lineRule="exact"/>
        <w:ind w:left="441"/>
        <w:rPr>
          <w:rFonts w:ascii="宋体" w:hAnsi="宋体" w:eastAsia="宋体" w:cs="宋体"/>
          <w:sz w:val="21"/>
          <w:szCs w:val="21"/>
        </w:rPr>
      </w:pPr>
      <w:r>
        <w:rPr>
          <w:rFonts w:ascii="宋体" w:hAnsi="宋体" w:eastAsia="宋体" w:cs="宋体"/>
          <w:spacing w:val="-2"/>
          <w:position w:val="14"/>
          <w:sz w:val="21"/>
          <w:szCs w:val="21"/>
        </w:rPr>
        <w:t>承包人提供质量保证金有以下三种方式：</w:t>
      </w:r>
    </w:p>
    <w:p w14:paraId="507FB661">
      <w:pPr>
        <w:spacing w:line="221" w:lineRule="auto"/>
        <w:ind w:left="447"/>
        <w:rPr>
          <w:rFonts w:ascii="宋体" w:hAnsi="宋体" w:eastAsia="宋体" w:cs="宋体"/>
          <w:sz w:val="21"/>
          <w:szCs w:val="21"/>
        </w:rPr>
      </w:pPr>
      <w:r>
        <w:rPr>
          <w:rFonts w:ascii="宋体" w:hAnsi="宋体" w:eastAsia="宋体" w:cs="宋体"/>
          <w:spacing w:val="-1"/>
          <w:sz w:val="21"/>
          <w:szCs w:val="21"/>
        </w:rPr>
        <w:t>（</w:t>
      </w:r>
      <w:r>
        <w:rPr>
          <w:rFonts w:ascii="Times New Roman" w:hAnsi="Times New Roman" w:eastAsia="Times New Roman" w:cs="Times New Roman"/>
          <w:spacing w:val="-1"/>
          <w:sz w:val="21"/>
          <w:szCs w:val="21"/>
        </w:rPr>
        <w:t>1</w:t>
      </w:r>
      <w:r>
        <w:rPr>
          <w:rFonts w:ascii="宋体" w:hAnsi="宋体" w:eastAsia="宋体" w:cs="宋体"/>
          <w:spacing w:val="-1"/>
          <w:sz w:val="21"/>
          <w:szCs w:val="21"/>
        </w:rPr>
        <w:t>）质量保证金保函；</w:t>
      </w:r>
    </w:p>
    <w:p w14:paraId="50A60725">
      <w:pPr>
        <w:spacing w:before="152" w:line="221" w:lineRule="auto"/>
        <w:ind w:left="447"/>
        <w:rPr>
          <w:rFonts w:ascii="宋体" w:hAnsi="宋体" w:eastAsia="宋体" w:cs="宋体"/>
          <w:sz w:val="21"/>
          <w:szCs w:val="21"/>
        </w:rPr>
      </w:pPr>
      <w:r>
        <w:rPr>
          <w:rFonts w:ascii="宋体" w:hAnsi="宋体" w:eastAsia="宋体" w:cs="宋体"/>
          <w:spacing w:val="-3"/>
          <w:sz w:val="21"/>
          <w:szCs w:val="21"/>
        </w:rPr>
        <w:t>（</w:t>
      </w:r>
      <w:r>
        <w:rPr>
          <w:rFonts w:ascii="Times New Roman" w:hAnsi="Times New Roman" w:eastAsia="Times New Roman" w:cs="Times New Roman"/>
          <w:spacing w:val="-3"/>
          <w:sz w:val="21"/>
          <w:szCs w:val="21"/>
        </w:rPr>
        <w:t>2</w:t>
      </w:r>
      <w:r>
        <w:rPr>
          <w:rFonts w:ascii="宋体" w:hAnsi="宋体" w:eastAsia="宋体" w:cs="宋体"/>
          <w:spacing w:val="-3"/>
          <w:sz w:val="21"/>
          <w:szCs w:val="21"/>
        </w:rPr>
        <w:t>）相应比例的工程款；</w:t>
      </w:r>
    </w:p>
    <w:p w14:paraId="3E6F061C">
      <w:pPr>
        <w:spacing w:before="147" w:line="221" w:lineRule="auto"/>
        <w:ind w:left="447"/>
        <w:rPr>
          <w:rFonts w:ascii="宋体" w:hAnsi="宋体" w:eastAsia="宋体" w:cs="宋体"/>
          <w:sz w:val="21"/>
          <w:szCs w:val="21"/>
        </w:rPr>
      </w:pPr>
      <w:r>
        <w:rPr>
          <w:rFonts w:ascii="宋体" w:hAnsi="宋体" w:eastAsia="宋体" w:cs="宋体"/>
          <w:spacing w:val="-2"/>
          <w:sz w:val="21"/>
          <w:szCs w:val="21"/>
        </w:rPr>
        <w:t>（</w:t>
      </w:r>
      <w:r>
        <w:rPr>
          <w:rFonts w:ascii="Times New Roman" w:hAnsi="Times New Roman" w:eastAsia="Times New Roman" w:cs="Times New Roman"/>
          <w:spacing w:val="-2"/>
          <w:sz w:val="21"/>
          <w:szCs w:val="21"/>
        </w:rPr>
        <w:t>3</w:t>
      </w:r>
      <w:r>
        <w:rPr>
          <w:rFonts w:ascii="宋体" w:hAnsi="宋体" w:eastAsia="宋体" w:cs="宋体"/>
          <w:spacing w:val="-2"/>
          <w:sz w:val="21"/>
          <w:szCs w:val="21"/>
        </w:rPr>
        <w:t>）双方约定的其他方式。</w:t>
      </w:r>
    </w:p>
    <w:p w14:paraId="5B88C064">
      <w:pPr>
        <w:spacing w:before="146" w:line="220" w:lineRule="auto"/>
        <w:ind w:left="453"/>
        <w:rPr>
          <w:rFonts w:ascii="宋体" w:hAnsi="宋体" w:eastAsia="宋体" w:cs="宋体"/>
          <w:sz w:val="21"/>
          <w:szCs w:val="21"/>
        </w:rPr>
      </w:pPr>
      <w:r>
        <w:rPr>
          <w:rFonts w:ascii="宋体" w:hAnsi="宋体" w:eastAsia="宋体" w:cs="宋体"/>
          <w:spacing w:val="-4"/>
          <w:sz w:val="21"/>
          <w:szCs w:val="21"/>
        </w:rPr>
        <w:t>除专用合同条款另有约定外， 质量保证金原则上采</w:t>
      </w:r>
      <w:r>
        <w:rPr>
          <w:rFonts w:ascii="宋体" w:hAnsi="宋体" w:eastAsia="宋体" w:cs="宋体"/>
          <w:spacing w:val="-5"/>
          <w:sz w:val="21"/>
          <w:szCs w:val="21"/>
        </w:rPr>
        <w:t>用上述第（</w:t>
      </w:r>
      <w:r>
        <w:rPr>
          <w:rFonts w:ascii="Times New Roman" w:hAnsi="Times New Roman" w:eastAsia="Times New Roman" w:cs="Times New Roman"/>
          <w:spacing w:val="-5"/>
          <w:sz w:val="21"/>
          <w:szCs w:val="21"/>
        </w:rPr>
        <w:t>1</w:t>
      </w:r>
      <w:r>
        <w:rPr>
          <w:rFonts w:ascii="宋体" w:hAnsi="宋体" w:eastAsia="宋体" w:cs="宋体"/>
          <w:spacing w:val="-5"/>
          <w:sz w:val="21"/>
          <w:szCs w:val="21"/>
        </w:rPr>
        <w:t>）种方式。</w:t>
      </w:r>
    </w:p>
    <w:p w14:paraId="139A5531">
      <w:pPr>
        <w:spacing w:before="154" w:line="221" w:lineRule="auto"/>
        <w:ind w:left="457"/>
        <w:rPr>
          <w:rFonts w:ascii="宋体" w:hAnsi="宋体" w:eastAsia="宋体" w:cs="宋体"/>
          <w:sz w:val="21"/>
          <w:szCs w:val="21"/>
        </w:rPr>
      </w:pPr>
      <w:r>
        <w:rPr>
          <w:rFonts w:ascii="Times New Roman" w:hAnsi="Times New Roman" w:eastAsia="Times New Roman" w:cs="Times New Roman"/>
          <w:spacing w:val="-2"/>
          <w:sz w:val="21"/>
          <w:szCs w:val="21"/>
        </w:rPr>
        <w:t xml:space="preserve">15.3.2 </w:t>
      </w:r>
      <w:r>
        <w:rPr>
          <w:rFonts w:ascii="宋体" w:hAnsi="宋体" w:eastAsia="宋体" w:cs="宋体"/>
          <w:spacing w:val="-2"/>
          <w:sz w:val="21"/>
          <w:szCs w:val="21"/>
        </w:rPr>
        <w:t>质量保证金的扣留</w:t>
      </w:r>
    </w:p>
    <w:p w14:paraId="0E62145F">
      <w:pPr>
        <w:spacing w:before="147" w:line="221" w:lineRule="auto"/>
        <w:ind w:left="442"/>
        <w:rPr>
          <w:rFonts w:ascii="宋体" w:hAnsi="宋体" w:eastAsia="宋体" w:cs="宋体"/>
          <w:sz w:val="21"/>
          <w:szCs w:val="21"/>
        </w:rPr>
      </w:pPr>
      <w:r>
        <w:rPr>
          <w:rFonts w:ascii="宋体" w:hAnsi="宋体" w:eastAsia="宋体" w:cs="宋体"/>
          <w:spacing w:val="-1"/>
          <w:sz w:val="21"/>
          <w:szCs w:val="21"/>
        </w:rPr>
        <w:t>质量保证金的扣留有以下三种方式：</w:t>
      </w:r>
    </w:p>
    <w:p w14:paraId="745AA4A9">
      <w:pPr>
        <w:spacing w:before="147" w:line="403" w:lineRule="exact"/>
        <w:ind w:right="11"/>
        <w:jc w:val="right"/>
        <w:rPr>
          <w:rFonts w:ascii="宋体" w:hAnsi="宋体" w:eastAsia="宋体" w:cs="宋体"/>
          <w:sz w:val="21"/>
          <w:szCs w:val="21"/>
        </w:rPr>
      </w:pPr>
      <w:r>
        <w:rPr>
          <w:rFonts w:ascii="宋体" w:hAnsi="宋体" w:eastAsia="宋体" w:cs="宋体"/>
          <w:position w:val="14"/>
          <w:sz w:val="21"/>
          <w:szCs w:val="21"/>
        </w:rPr>
        <w:t>（</w:t>
      </w:r>
      <w:r>
        <w:rPr>
          <w:rFonts w:ascii="Times New Roman" w:hAnsi="Times New Roman" w:eastAsia="Times New Roman" w:cs="Times New Roman"/>
          <w:position w:val="14"/>
          <w:sz w:val="21"/>
          <w:szCs w:val="21"/>
        </w:rPr>
        <w:t>1</w:t>
      </w:r>
      <w:r>
        <w:rPr>
          <w:rFonts w:ascii="宋体" w:hAnsi="宋体" w:eastAsia="宋体" w:cs="宋体"/>
          <w:position w:val="14"/>
          <w:sz w:val="21"/>
          <w:szCs w:val="21"/>
        </w:rPr>
        <w:t>）在支付工程进度款时逐次扣留，在此情形下，质量保证金的计算基数不包</w:t>
      </w:r>
      <w:r>
        <w:rPr>
          <w:rFonts w:ascii="宋体" w:hAnsi="宋体" w:eastAsia="宋体" w:cs="宋体"/>
          <w:spacing w:val="-1"/>
          <w:position w:val="14"/>
          <w:sz w:val="21"/>
          <w:szCs w:val="21"/>
        </w:rPr>
        <w:t>括预付</w:t>
      </w:r>
    </w:p>
    <w:p w14:paraId="284A478F">
      <w:pPr>
        <w:spacing w:line="219" w:lineRule="auto"/>
        <w:ind w:left="19"/>
        <w:rPr>
          <w:rFonts w:ascii="宋体" w:hAnsi="宋体" w:eastAsia="宋体" w:cs="宋体"/>
          <w:sz w:val="21"/>
          <w:szCs w:val="21"/>
        </w:rPr>
      </w:pPr>
      <w:r>
        <w:rPr>
          <w:rFonts w:ascii="宋体" w:hAnsi="宋体" w:eastAsia="宋体" w:cs="宋体"/>
          <w:spacing w:val="-3"/>
          <w:sz w:val="21"/>
          <w:szCs w:val="21"/>
        </w:rPr>
        <w:t>款的支付、扣回以及价格调整的金额；</w:t>
      </w:r>
    </w:p>
    <w:p w14:paraId="43F42506">
      <w:pPr>
        <w:spacing w:before="149" w:line="221" w:lineRule="auto"/>
        <w:ind w:left="447"/>
        <w:rPr>
          <w:rFonts w:ascii="宋体" w:hAnsi="宋体" w:eastAsia="宋体" w:cs="宋体"/>
          <w:sz w:val="21"/>
          <w:szCs w:val="21"/>
        </w:rPr>
      </w:pPr>
      <w:r>
        <w:rPr>
          <w:rFonts w:ascii="宋体" w:hAnsi="宋体" w:eastAsia="宋体" w:cs="宋体"/>
          <w:spacing w:val="-2"/>
          <w:sz w:val="21"/>
          <w:szCs w:val="21"/>
        </w:rPr>
        <w:t>（</w:t>
      </w:r>
      <w:r>
        <w:rPr>
          <w:rFonts w:ascii="Times New Roman" w:hAnsi="Times New Roman" w:eastAsia="Times New Roman" w:cs="Times New Roman"/>
          <w:spacing w:val="-2"/>
          <w:sz w:val="21"/>
          <w:szCs w:val="21"/>
        </w:rPr>
        <w:t>2</w:t>
      </w:r>
      <w:r>
        <w:rPr>
          <w:rFonts w:ascii="宋体" w:hAnsi="宋体" w:eastAsia="宋体" w:cs="宋体"/>
          <w:spacing w:val="-2"/>
          <w:sz w:val="21"/>
          <w:szCs w:val="21"/>
        </w:rPr>
        <w:t>）工程竣工结算时一次性扣留质量保证</w:t>
      </w:r>
      <w:r>
        <w:rPr>
          <w:rFonts w:ascii="宋体" w:hAnsi="宋体" w:eastAsia="宋体" w:cs="宋体"/>
          <w:spacing w:val="-3"/>
          <w:sz w:val="21"/>
          <w:szCs w:val="21"/>
        </w:rPr>
        <w:t>金；</w:t>
      </w:r>
    </w:p>
    <w:p w14:paraId="426564C3">
      <w:pPr>
        <w:spacing w:before="148" w:line="221" w:lineRule="auto"/>
        <w:ind w:left="447"/>
        <w:rPr>
          <w:rFonts w:ascii="宋体" w:hAnsi="宋体" w:eastAsia="宋体" w:cs="宋体"/>
          <w:sz w:val="21"/>
          <w:szCs w:val="21"/>
        </w:rPr>
      </w:pPr>
      <w:r>
        <w:rPr>
          <w:rFonts w:ascii="宋体" w:hAnsi="宋体" w:eastAsia="宋体" w:cs="宋体"/>
          <w:spacing w:val="-1"/>
          <w:sz w:val="21"/>
          <w:szCs w:val="21"/>
        </w:rPr>
        <w:t>（</w:t>
      </w:r>
      <w:r>
        <w:rPr>
          <w:rFonts w:ascii="Times New Roman" w:hAnsi="Times New Roman" w:eastAsia="Times New Roman" w:cs="Times New Roman"/>
          <w:spacing w:val="-1"/>
          <w:sz w:val="21"/>
          <w:szCs w:val="21"/>
        </w:rPr>
        <w:t>3</w:t>
      </w:r>
      <w:r>
        <w:rPr>
          <w:rFonts w:ascii="宋体" w:hAnsi="宋体" w:eastAsia="宋体" w:cs="宋体"/>
          <w:spacing w:val="-1"/>
          <w:sz w:val="21"/>
          <w:szCs w:val="21"/>
        </w:rPr>
        <w:t>）双方约定的其他扣留方式。</w:t>
      </w:r>
    </w:p>
    <w:p w14:paraId="309FBC5E">
      <w:pPr>
        <w:spacing w:before="151" w:line="220" w:lineRule="auto"/>
        <w:ind w:left="453"/>
        <w:rPr>
          <w:rFonts w:ascii="宋体" w:hAnsi="宋体" w:eastAsia="宋体" w:cs="宋体"/>
          <w:sz w:val="21"/>
          <w:szCs w:val="21"/>
        </w:rPr>
      </w:pPr>
      <w:r>
        <w:rPr>
          <w:rFonts w:ascii="宋体" w:hAnsi="宋体" w:eastAsia="宋体" w:cs="宋体"/>
          <w:spacing w:val="-3"/>
          <w:sz w:val="21"/>
          <w:szCs w:val="21"/>
        </w:rPr>
        <w:t>除专用合同条款另有约定外， 质量保证金的扣留原则上采</w:t>
      </w:r>
      <w:r>
        <w:rPr>
          <w:rFonts w:ascii="宋体" w:hAnsi="宋体" w:eastAsia="宋体" w:cs="宋体"/>
          <w:spacing w:val="-4"/>
          <w:sz w:val="21"/>
          <w:szCs w:val="21"/>
        </w:rPr>
        <w:t>用上述第（</w:t>
      </w:r>
      <w:r>
        <w:rPr>
          <w:rFonts w:ascii="Times New Roman" w:hAnsi="Times New Roman" w:eastAsia="Times New Roman" w:cs="Times New Roman"/>
          <w:spacing w:val="-4"/>
          <w:sz w:val="21"/>
          <w:szCs w:val="21"/>
        </w:rPr>
        <w:t>1</w:t>
      </w:r>
      <w:r>
        <w:rPr>
          <w:rFonts w:ascii="宋体" w:hAnsi="宋体" w:eastAsia="宋体" w:cs="宋体"/>
          <w:spacing w:val="-4"/>
          <w:sz w:val="21"/>
          <w:szCs w:val="21"/>
        </w:rPr>
        <w:t>）种方式。</w:t>
      </w:r>
    </w:p>
    <w:p w14:paraId="3906F9F7">
      <w:pPr>
        <w:spacing w:before="148" w:line="353" w:lineRule="auto"/>
        <w:ind w:left="18" w:right="3" w:firstLine="426"/>
        <w:rPr>
          <w:rFonts w:ascii="宋体" w:hAnsi="宋体" w:eastAsia="宋体" w:cs="宋体"/>
          <w:sz w:val="21"/>
          <w:szCs w:val="21"/>
        </w:rPr>
      </w:pPr>
      <w:r>
        <w:rPr>
          <w:rFonts w:ascii="宋体" w:hAnsi="宋体" w:eastAsia="宋体" w:cs="宋体"/>
          <w:spacing w:val="1"/>
          <w:sz w:val="21"/>
          <w:szCs w:val="21"/>
        </w:rPr>
        <w:t xml:space="preserve">发包人累计扣留的质量保证金不得超过工程价款结算总额的 </w:t>
      </w:r>
      <w:r>
        <w:rPr>
          <w:rFonts w:ascii="Times New Roman" w:hAnsi="Times New Roman" w:eastAsia="Times New Roman" w:cs="Times New Roman"/>
          <w:spacing w:val="1"/>
          <w:sz w:val="21"/>
          <w:szCs w:val="21"/>
        </w:rPr>
        <w:t>3</w:t>
      </w:r>
      <w:r>
        <w:rPr>
          <w:rFonts w:ascii="Times New Roman" w:hAnsi="Times New Roman" w:eastAsia="Times New Roman" w:cs="Times New Roman"/>
          <w:spacing w:val="50"/>
          <w:w w:val="101"/>
          <w:sz w:val="21"/>
          <w:szCs w:val="21"/>
        </w:rPr>
        <w:t xml:space="preserve"> </w:t>
      </w:r>
      <w:r>
        <w:rPr>
          <w:rFonts w:ascii="Times New Roman" w:hAnsi="Times New Roman" w:eastAsia="Times New Roman" w:cs="Times New Roman"/>
          <w:spacing w:val="1"/>
          <w:sz w:val="21"/>
          <w:szCs w:val="21"/>
        </w:rPr>
        <w:t>%</w:t>
      </w:r>
      <w:r>
        <w:rPr>
          <w:rFonts w:ascii="宋体" w:hAnsi="宋体" w:eastAsia="宋体" w:cs="宋体"/>
          <w:spacing w:val="1"/>
          <w:sz w:val="21"/>
          <w:szCs w:val="21"/>
        </w:rPr>
        <w:t>。如承包人在发包人</w:t>
      </w:r>
      <w:r>
        <w:rPr>
          <w:rFonts w:ascii="宋体" w:hAnsi="宋体" w:eastAsia="宋体" w:cs="宋体"/>
          <w:sz w:val="21"/>
          <w:szCs w:val="21"/>
        </w:rPr>
        <w:t xml:space="preserve"> </w:t>
      </w:r>
      <w:r>
        <w:rPr>
          <w:rFonts w:ascii="宋体" w:hAnsi="宋体" w:eastAsia="宋体" w:cs="宋体"/>
          <w:spacing w:val="-3"/>
          <w:sz w:val="21"/>
          <w:szCs w:val="21"/>
        </w:rPr>
        <w:t>签发竣工付款证书后</w:t>
      </w:r>
      <w:r>
        <w:rPr>
          <w:rFonts w:ascii="宋体" w:hAnsi="宋体" w:eastAsia="宋体" w:cs="宋体"/>
          <w:spacing w:val="-33"/>
          <w:sz w:val="21"/>
          <w:szCs w:val="21"/>
        </w:rPr>
        <w:t xml:space="preserve"> </w:t>
      </w:r>
      <w:r>
        <w:rPr>
          <w:rFonts w:ascii="Times New Roman" w:hAnsi="Times New Roman" w:eastAsia="Times New Roman" w:cs="Times New Roman"/>
          <w:spacing w:val="-3"/>
          <w:sz w:val="21"/>
          <w:szCs w:val="21"/>
        </w:rPr>
        <w:t>28</w:t>
      </w:r>
      <w:r>
        <w:rPr>
          <w:rFonts w:ascii="Times New Roman" w:hAnsi="Times New Roman" w:eastAsia="Times New Roman" w:cs="Times New Roman"/>
          <w:spacing w:val="13"/>
          <w:sz w:val="21"/>
          <w:szCs w:val="21"/>
        </w:rPr>
        <w:t xml:space="preserve"> </w:t>
      </w:r>
      <w:r>
        <w:rPr>
          <w:rFonts w:ascii="宋体" w:hAnsi="宋体" w:eastAsia="宋体" w:cs="宋体"/>
          <w:spacing w:val="-3"/>
          <w:sz w:val="21"/>
          <w:szCs w:val="21"/>
        </w:rPr>
        <w:t>天内提交质量保证金保函， 发包人应同时退还扣留的作为质量保证</w:t>
      </w:r>
    </w:p>
    <w:p w14:paraId="43FDFABB">
      <w:pPr>
        <w:spacing w:line="233" w:lineRule="auto"/>
        <w:ind w:left="20"/>
        <w:rPr>
          <w:rFonts w:ascii="宋体" w:hAnsi="宋体" w:eastAsia="宋体" w:cs="宋体"/>
          <w:sz w:val="21"/>
          <w:szCs w:val="21"/>
        </w:rPr>
      </w:pPr>
      <w:r>
        <w:rPr>
          <w:rFonts w:ascii="宋体" w:hAnsi="宋体" w:eastAsia="宋体" w:cs="宋体"/>
          <w:spacing w:val="-1"/>
          <w:sz w:val="21"/>
          <w:szCs w:val="21"/>
        </w:rPr>
        <w:t>金的工程价款；保函金额不得超过工程价款结算总额的</w:t>
      </w:r>
      <w:r>
        <w:rPr>
          <w:rFonts w:ascii="宋体" w:hAnsi="宋体" w:eastAsia="宋体" w:cs="宋体"/>
          <w:spacing w:val="-31"/>
          <w:sz w:val="21"/>
          <w:szCs w:val="21"/>
        </w:rPr>
        <w:t xml:space="preserve"> </w:t>
      </w:r>
      <w:r>
        <w:rPr>
          <w:rFonts w:ascii="Times New Roman" w:hAnsi="Times New Roman" w:eastAsia="Times New Roman" w:cs="Times New Roman"/>
          <w:spacing w:val="-1"/>
          <w:sz w:val="21"/>
          <w:szCs w:val="21"/>
        </w:rPr>
        <w:t>3 %</w:t>
      </w:r>
      <w:r>
        <w:rPr>
          <w:rFonts w:ascii="宋体" w:hAnsi="宋体" w:eastAsia="宋体" w:cs="宋体"/>
          <w:spacing w:val="-1"/>
          <w:sz w:val="21"/>
          <w:szCs w:val="21"/>
        </w:rPr>
        <w:t>。</w:t>
      </w:r>
    </w:p>
    <w:p w14:paraId="0FFD3CA6">
      <w:pPr>
        <w:spacing w:before="133" w:line="398" w:lineRule="exact"/>
        <w:ind w:right="4"/>
        <w:jc w:val="right"/>
        <w:rPr>
          <w:rFonts w:ascii="宋体" w:hAnsi="宋体" w:eastAsia="宋体" w:cs="宋体"/>
          <w:sz w:val="21"/>
          <w:szCs w:val="21"/>
        </w:rPr>
      </w:pPr>
      <w:r>
        <w:rPr>
          <w:rFonts w:ascii="宋体" w:hAnsi="宋体" w:eastAsia="宋体" w:cs="宋体"/>
          <w:spacing w:val="3"/>
          <w:position w:val="14"/>
          <w:sz w:val="21"/>
          <w:szCs w:val="21"/>
        </w:rPr>
        <w:t>发包人在退还质量保证金的同时按照中国人民银行发布的同期同类贷款基准利率支付</w:t>
      </w:r>
    </w:p>
    <w:p w14:paraId="3D565C1F">
      <w:pPr>
        <w:spacing w:before="1" w:line="222" w:lineRule="auto"/>
        <w:ind w:left="19"/>
        <w:rPr>
          <w:rFonts w:ascii="宋体" w:hAnsi="宋体" w:eastAsia="宋体" w:cs="宋体"/>
          <w:sz w:val="21"/>
          <w:szCs w:val="21"/>
        </w:rPr>
      </w:pPr>
      <w:r>
        <w:rPr>
          <w:rFonts w:ascii="宋体" w:hAnsi="宋体" w:eastAsia="宋体" w:cs="宋体"/>
          <w:spacing w:val="-9"/>
          <w:sz w:val="21"/>
          <w:szCs w:val="21"/>
        </w:rPr>
        <w:t>利息。</w:t>
      </w:r>
    </w:p>
    <w:p w14:paraId="68FBC28A">
      <w:pPr>
        <w:spacing w:before="151" w:line="221" w:lineRule="auto"/>
        <w:ind w:left="457"/>
        <w:rPr>
          <w:rFonts w:ascii="宋体" w:hAnsi="宋体" w:eastAsia="宋体" w:cs="宋体"/>
          <w:sz w:val="21"/>
          <w:szCs w:val="21"/>
        </w:rPr>
      </w:pPr>
      <w:r>
        <w:rPr>
          <w:rFonts w:ascii="Times New Roman" w:hAnsi="Times New Roman" w:eastAsia="Times New Roman" w:cs="Times New Roman"/>
          <w:spacing w:val="-2"/>
          <w:sz w:val="21"/>
          <w:szCs w:val="21"/>
        </w:rPr>
        <w:t xml:space="preserve">15.3.3 </w:t>
      </w:r>
      <w:r>
        <w:rPr>
          <w:rFonts w:ascii="宋体" w:hAnsi="宋体" w:eastAsia="宋体" w:cs="宋体"/>
          <w:spacing w:val="-2"/>
          <w:sz w:val="21"/>
          <w:szCs w:val="21"/>
        </w:rPr>
        <w:t>质量保证金的退还</w:t>
      </w:r>
    </w:p>
    <w:p w14:paraId="1255180A">
      <w:pPr>
        <w:spacing w:before="146" w:line="399" w:lineRule="exact"/>
        <w:ind w:right="6"/>
        <w:jc w:val="right"/>
        <w:rPr>
          <w:rFonts w:ascii="宋体" w:hAnsi="宋体" w:eastAsia="宋体" w:cs="宋体"/>
          <w:sz w:val="21"/>
          <w:szCs w:val="21"/>
        </w:rPr>
      </w:pPr>
      <w:r>
        <w:rPr>
          <w:rFonts w:ascii="宋体" w:hAnsi="宋体" w:eastAsia="宋体" w:cs="宋体"/>
          <w:spacing w:val="-2"/>
          <w:position w:val="14"/>
          <w:sz w:val="21"/>
          <w:szCs w:val="21"/>
        </w:rPr>
        <w:t>缺陷责任期内， 承包人认真履行合同约定的责</w:t>
      </w:r>
      <w:r>
        <w:rPr>
          <w:rFonts w:ascii="宋体" w:hAnsi="宋体" w:eastAsia="宋体" w:cs="宋体"/>
          <w:spacing w:val="-3"/>
          <w:position w:val="14"/>
          <w:sz w:val="21"/>
          <w:szCs w:val="21"/>
        </w:rPr>
        <w:t>任，到期后， 承包人可向发包人申请返</w:t>
      </w:r>
    </w:p>
    <w:p w14:paraId="12160668">
      <w:pPr>
        <w:spacing w:line="221" w:lineRule="auto"/>
        <w:ind w:left="17"/>
        <w:rPr>
          <w:rFonts w:ascii="宋体" w:hAnsi="宋体" w:eastAsia="宋体" w:cs="宋体"/>
          <w:sz w:val="21"/>
          <w:szCs w:val="21"/>
        </w:rPr>
      </w:pPr>
      <w:r>
        <w:rPr>
          <w:rFonts w:ascii="宋体" w:hAnsi="宋体" w:eastAsia="宋体" w:cs="宋体"/>
          <w:spacing w:val="-6"/>
          <w:sz w:val="21"/>
          <w:szCs w:val="21"/>
        </w:rPr>
        <w:t>还保证金。</w:t>
      </w:r>
    </w:p>
    <w:p w14:paraId="05FFF0C0">
      <w:pPr>
        <w:spacing w:before="154" w:line="351" w:lineRule="auto"/>
        <w:ind w:left="16" w:right="2" w:firstLine="427"/>
        <w:rPr>
          <w:rFonts w:ascii="宋体" w:hAnsi="宋体" w:eastAsia="宋体" w:cs="宋体"/>
          <w:sz w:val="21"/>
          <w:szCs w:val="21"/>
        </w:rPr>
      </w:pPr>
      <w:r>
        <w:rPr>
          <w:rFonts w:ascii="宋体" w:hAnsi="宋体" w:eastAsia="宋体" w:cs="宋体"/>
          <w:spacing w:val="-1"/>
          <w:sz w:val="21"/>
          <w:szCs w:val="21"/>
        </w:rPr>
        <w:t xml:space="preserve">发包人在接到承包人返还保证金申请后，应于 </w:t>
      </w:r>
      <w:r>
        <w:rPr>
          <w:rFonts w:ascii="Times New Roman" w:hAnsi="Times New Roman" w:eastAsia="Times New Roman" w:cs="Times New Roman"/>
          <w:spacing w:val="-1"/>
          <w:sz w:val="21"/>
          <w:szCs w:val="21"/>
        </w:rPr>
        <w:t xml:space="preserve">14 </w:t>
      </w:r>
      <w:r>
        <w:rPr>
          <w:rFonts w:ascii="宋体" w:hAnsi="宋体" w:eastAsia="宋体" w:cs="宋体"/>
          <w:spacing w:val="-1"/>
          <w:sz w:val="21"/>
          <w:szCs w:val="21"/>
        </w:rPr>
        <w:t>天内会同承包人按照合同约定</w:t>
      </w:r>
      <w:r>
        <w:rPr>
          <w:rFonts w:ascii="宋体" w:hAnsi="宋体" w:eastAsia="宋体" w:cs="宋体"/>
          <w:spacing w:val="-2"/>
          <w:sz w:val="21"/>
          <w:szCs w:val="21"/>
        </w:rPr>
        <w:t>的内容</w:t>
      </w:r>
      <w:r>
        <w:rPr>
          <w:rFonts w:ascii="宋体" w:hAnsi="宋体" w:eastAsia="宋体" w:cs="宋体"/>
          <w:sz w:val="21"/>
          <w:szCs w:val="21"/>
        </w:rPr>
        <w:t xml:space="preserve"> 进行核实。如无异议， 发包人应当按照约定将保证金返还给承包人。对返还期限没有约定</w:t>
      </w:r>
      <w:r>
        <w:rPr>
          <w:rFonts w:ascii="宋体" w:hAnsi="宋体" w:eastAsia="宋体" w:cs="宋体"/>
          <w:spacing w:val="8"/>
          <w:sz w:val="21"/>
          <w:szCs w:val="21"/>
        </w:rPr>
        <w:t xml:space="preserve"> </w:t>
      </w:r>
      <w:r>
        <w:rPr>
          <w:rFonts w:ascii="宋体" w:hAnsi="宋体" w:eastAsia="宋体" w:cs="宋体"/>
          <w:spacing w:val="-6"/>
          <w:sz w:val="21"/>
          <w:szCs w:val="21"/>
        </w:rPr>
        <w:t xml:space="preserve">或者约定不明确的， 发包人应当在核实后 </w:t>
      </w:r>
      <w:r>
        <w:rPr>
          <w:rFonts w:ascii="Times New Roman" w:hAnsi="Times New Roman" w:eastAsia="Times New Roman" w:cs="Times New Roman"/>
          <w:spacing w:val="-6"/>
          <w:sz w:val="21"/>
          <w:szCs w:val="21"/>
        </w:rPr>
        <w:t>14</w:t>
      </w:r>
      <w:r>
        <w:rPr>
          <w:rFonts w:ascii="Times New Roman" w:hAnsi="Times New Roman" w:eastAsia="Times New Roman" w:cs="Times New Roman"/>
          <w:spacing w:val="13"/>
          <w:sz w:val="21"/>
          <w:szCs w:val="21"/>
        </w:rPr>
        <w:t xml:space="preserve"> </w:t>
      </w:r>
      <w:r>
        <w:rPr>
          <w:rFonts w:ascii="宋体" w:hAnsi="宋体" w:eastAsia="宋体" w:cs="宋体"/>
          <w:spacing w:val="-6"/>
          <w:sz w:val="21"/>
          <w:szCs w:val="21"/>
        </w:rPr>
        <w:t>天内将保证金返还承包人， 逾期未返还的，依</w:t>
      </w:r>
      <w:r>
        <w:rPr>
          <w:rFonts w:ascii="宋体" w:hAnsi="宋体" w:eastAsia="宋体" w:cs="宋体"/>
          <w:sz w:val="21"/>
          <w:szCs w:val="21"/>
        </w:rPr>
        <w:t xml:space="preserve"> </w:t>
      </w:r>
      <w:r>
        <w:rPr>
          <w:rFonts w:ascii="宋体" w:hAnsi="宋体" w:eastAsia="宋体" w:cs="宋体"/>
          <w:spacing w:val="-2"/>
          <w:sz w:val="21"/>
          <w:szCs w:val="21"/>
        </w:rPr>
        <w:t>法承担违约责任。发包人在接到承包人返还保证金申请后</w:t>
      </w:r>
      <w:r>
        <w:rPr>
          <w:rFonts w:ascii="宋体" w:hAnsi="宋体" w:eastAsia="宋体" w:cs="宋体"/>
          <w:spacing w:val="-41"/>
          <w:sz w:val="21"/>
          <w:szCs w:val="21"/>
        </w:rPr>
        <w:t xml:space="preserve"> </w:t>
      </w:r>
      <w:r>
        <w:rPr>
          <w:rFonts w:ascii="Times New Roman" w:hAnsi="Times New Roman" w:eastAsia="Times New Roman" w:cs="Times New Roman"/>
          <w:spacing w:val="-2"/>
          <w:sz w:val="21"/>
          <w:szCs w:val="21"/>
        </w:rPr>
        <w:t>14</w:t>
      </w:r>
      <w:r>
        <w:rPr>
          <w:rFonts w:ascii="Times New Roman" w:hAnsi="Times New Roman" w:eastAsia="Times New Roman" w:cs="Times New Roman"/>
          <w:spacing w:val="-12"/>
          <w:sz w:val="21"/>
          <w:szCs w:val="21"/>
        </w:rPr>
        <w:t xml:space="preserve"> </w:t>
      </w:r>
      <w:r>
        <w:rPr>
          <w:rFonts w:ascii="宋体" w:hAnsi="宋体" w:eastAsia="宋体" w:cs="宋体"/>
          <w:spacing w:val="-2"/>
          <w:sz w:val="21"/>
          <w:szCs w:val="21"/>
        </w:rPr>
        <w:t>天内不予答复，经催告后</w:t>
      </w:r>
      <w:r>
        <w:rPr>
          <w:rFonts w:ascii="宋体" w:hAnsi="宋体" w:eastAsia="宋体" w:cs="宋体"/>
          <w:spacing w:val="-45"/>
          <w:sz w:val="21"/>
          <w:szCs w:val="21"/>
        </w:rPr>
        <w:t xml:space="preserve"> </w:t>
      </w:r>
      <w:r>
        <w:rPr>
          <w:rFonts w:ascii="Times New Roman" w:hAnsi="Times New Roman" w:eastAsia="Times New Roman" w:cs="Times New Roman"/>
          <w:spacing w:val="-2"/>
          <w:sz w:val="21"/>
          <w:szCs w:val="21"/>
        </w:rPr>
        <w:t>14</w:t>
      </w:r>
      <w:r>
        <w:rPr>
          <w:rFonts w:ascii="Times New Roman" w:hAnsi="Times New Roman" w:eastAsia="Times New Roman" w:cs="Times New Roman"/>
          <w:spacing w:val="-16"/>
          <w:sz w:val="21"/>
          <w:szCs w:val="21"/>
        </w:rPr>
        <w:t xml:space="preserve"> </w:t>
      </w:r>
      <w:r>
        <w:rPr>
          <w:rFonts w:ascii="宋体" w:hAnsi="宋体" w:eastAsia="宋体" w:cs="宋体"/>
          <w:spacing w:val="-2"/>
          <w:sz w:val="21"/>
          <w:szCs w:val="21"/>
        </w:rPr>
        <w:t>天</w:t>
      </w:r>
    </w:p>
    <w:p w14:paraId="2D7DA5A1">
      <w:pPr>
        <w:spacing w:line="220" w:lineRule="auto"/>
        <w:ind w:left="43"/>
        <w:rPr>
          <w:rFonts w:ascii="宋体" w:hAnsi="宋体" w:eastAsia="宋体" w:cs="宋体"/>
          <w:sz w:val="21"/>
          <w:szCs w:val="21"/>
        </w:rPr>
      </w:pPr>
      <w:r>
        <w:rPr>
          <w:rFonts w:ascii="宋体" w:hAnsi="宋体" w:eastAsia="宋体" w:cs="宋体"/>
          <w:spacing w:val="-2"/>
          <w:sz w:val="21"/>
          <w:szCs w:val="21"/>
        </w:rPr>
        <w:t>内仍不予答复，视同认可承包人的返还保证金申请。</w:t>
      </w:r>
    </w:p>
    <w:p w14:paraId="7BCA5CFE">
      <w:pPr>
        <w:spacing w:before="148" w:line="220" w:lineRule="auto"/>
        <w:ind w:right="6"/>
        <w:jc w:val="right"/>
        <w:rPr>
          <w:rFonts w:ascii="宋体" w:hAnsi="宋体" w:eastAsia="宋体" w:cs="宋体"/>
          <w:sz w:val="21"/>
          <w:szCs w:val="21"/>
        </w:rPr>
      </w:pPr>
      <w:r>
        <w:rPr>
          <w:rFonts w:ascii="宋体" w:hAnsi="宋体" w:eastAsia="宋体" w:cs="宋体"/>
          <w:spacing w:val="3"/>
          <w:sz w:val="21"/>
          <w:szCs w:val="21"/>
        </w:rPr>
        <w:t>发包人和承包人对保证金预留、返还以及工程维修质量、费用有争议的，按本合同第</w:t>
      </w:r>
    </w:p>
    <w:p w14:paraId="382AC802">
      <w:pPr>
        <w:spacing w:before="153" w:line="221" w:lineRule="auto"/>
        <w:ind w:left="14"/>
        <w:rPr>
          <w:rFonts w:ascii="宋体" w:hAnsi="宋体" w:eastAsia="宋体" w:cs="宋体"/>
          <w:sz w:val="21"/>
          <w:szCs w:val="21"/>
        </w:rPr>
      </w:pPr>
      <w:r>
        <w:rPr>
          <w:rFonts w:ascii="Times New Roman" w:hAnsi="Times New Roman" w:eastAsia="Times New Roman" w:cs="Times New Roman"/>
          <w:spacing w:val="-1"/>
          <w:sz w:val="21"/>
          <w:szCs w:val="21"/>
        </w:rPr>
        <w:t xml:space="preserve">20 </w:t>
      </w:r>
      <w:r>
        <w:rPr>
          <w:rFonts w:ascii="宋体" w:hAnsi="宋体" w:eastAsia="宋体" w:cs="宋体"/>
          <w:spacing w:val="-1"/>
          <w:sz w:val="21"/>
          <w:szCs w:val="21"/>
        </w:rPr>
        <w:t>条约定的争议和纠纷解决程序处理。</w:t>
      </w:r>
    </w:p>
    <w:p w14:paraId="1422DA8A">
      <w:pPr>
        <w:spacing w:before="45" w:line="219" w:lineRule="auto"/>
        <w:ind w:left="31"/>
        <w:rPr>
          <w:rFonts w:ascii="黑体" w:hAnsi="黑体" w:eastAsia="黑体" w:cs="黑体"/>
          <w:sz w:val="24"/>
          <w:szCs w:val="24"/>
        </w:rPr>
      </w:pPr>
      <w:r>
        <w:rPr>
          <w:rFonts w:ascii="黑体" w:hAnsi="黑体" w:eastAsia="黑体" w:cs="黑体"/>
          <w:spacing w:val="-5"/>
          <w:sz w:val="24"/>
          <w:szCs w:val="24"/>
        </w:rPr>
        <w:t>15.4</w:t>
      </w:r>
      <w:r>
        <w:rPr>
          <w:rFonts w:ascii="黑体" w:hAnsi="黑体" w:eastAsia="黑体" w:cs="黑体"/>
          <w:spacing w:val="11"/>
          <w:sz w:val="24"/>
          <w:szCs w:val="24"/>
        </w:rPr>
        <w:t xml:space="preserve"> </w:t>
      </w:r>
      <w:r>
        <w:rPr>
          <w:rFonts w:ascii="黑体" w:hAnsi="黑体" w:eastAsia="黑体" w:cs="黑体"/>
          <w:spacing w:val="-5"/>
          <w:sz w:val="24"/>
          <w:szCs w:val="24"/>
        </w:rPr>
        <w:t>保修</w:t>
      </w:r>
    </w:p>
    <w:p w14:paraId="085209AC">
      <w:pPr>
        <w:spacing w:before="129" w:line="221" w:lineRule="auto"/>
        <w:ind w:left="457"/>
        <w:rPr>
          <w:rFonts w:ascii="宋体" w:hAnsi="宋体" w:eastAsia="宋体" w:cs="宋体"/>
          <w:sz w:val="21"/>
          <w:szCs w:val="21"/>
        </w:rPr>
      </w:pPr>
      <w:r>
        <w:rPr>
          <w:rFonts w:ascii="Times New Roman" w:hAnsi="Times New Roman" w:eastAsia="Times New Roman" w:cs="Times New Roman"/>
          <w:spacing w:val="-3"/>
          <w:sz w:val="21"/>
          <w:szCs w:val="21"/>
        </w:rPr>
        <w:t xml:space="preserve">15.4.1 </w:t>
      </w:r>
      <w:r>
        <w:rPr>
          <w:rFonts w:ascii="宋体" w:hAnsi="宋体" w:eastAsia="宋体" w:cs="宋体"/>
          <w:spacing w:val="-3"/>
          <w:sz w:val="21"/>
          <w:szCs w:val="21"/>
        </w:rPr>
        <w:t>保修责任</w:t>
      </w:r>
    </w:p>
    <w:p w14:paraId="41525545">
      <w:pPr>
        <w:spacing w:before="146" w:line="353" w:lineRule="auto"/>
        <w:ind w:left="17" w:right="6" w:firstLine="426"/>
        <w:jc w:val="both"/>
        <w:rPr>
          <w:rFonts w:ascii="宋体" w:hAnsi="宋体" w:eastAsia="宋体" w:cs="宋体"/>
          <w:sz w:val="21"/>
          <w:szCs w:val="21"/>
        </w:rPr>
      </w:pPr>
      <w:r>
        <w:rPr>
          <w:rFonts w:ascii="宋体" w:hAnsi="宋体" w:eastAsia="宋体" w:cs="宋体"/>
          <w:spacing w:val="3"/>
          <w:sz w:val="21"/>
          <w:szCs w:val="21"/>
        </w:rPr>
        <w:t>工程保修期从工程竣工验收合格之日起算，具体分部分项工程的保修期由合同当事人</w:t>
      </w:r>
      <w:r>
        <w:rPr>
          <w:rFonts w:ascii="宋体" w:hAnsi="宋体" w:eastAsia="宋体" w:cs="宋体"/>
          <w:sz w:val="21"/>
          <w:szCs w:val="21"/>
        </w:rPr>
        <w:t xml:space="preserve"> 在专用合同条款中约定，但不得低于法定最低保修年限。在工程保修期内， 承包人应当根</w:t>
      </w:r>
    </w:p>
    <w:p w14:paraId="33C15893">
      <w:pPr>
        <w:spacing w:before="1" w:line="220" w:lineRule="auto"/>
        <w:ind w:left="17"/>
        <w:rPr>
          <w:rFonts w:ascii="宋体" w:hAnsi="宋体" w:eastAsia="宋体" w:cs="宋体"/>
          <w:sz w:val="21"/>
          <w:szCs w:val="21"/>
        </w:rPr>
      </w:pPr>
      <w:r>
        <w:rPr>
          <w:rFonts w:ascii="宋体" w:hAnsi="宋体" w:eastAsia="宋体" w:cs="宋体"/>
          <w:spacing w:val="-2"/>
          <w:sz w:val="21"/>
          <w:szCs w:val="21"/>
        </w:rPr>
        <w:t>据有关法律规定以及合同约定承担保修责任。</w:t>
      </w:r>
    </w:p>
    <w:p w14:paraId="594C8960">
      <w:pPr>
        <w:spacing w:line="220" w:lineRule="auto"/>
        <w:rPr>
          <w:rFonts w:ascii="宋体" w:hAnsi="宋体" w:eastAsia="宋体" w:cs="宋体"/>
          <w:sz w:val="21"/>
          <w:szCs w:val="21"/>
        </w:rPr>
        <w:sectPr>
          <w:footerReference r:id="rId130" w:type="default"/>
          <w:pgSz w:w="11905" w:h="16839"/>
          <w:pgMar w:top="1431" w:right="1785" w:bottom="1004" w:left="1785" w:header="0" w:footer="828" w:gutter="0"/>
          <w:pgNumType w:fmt="decimal"/>
          <w:cols w:space="720" w:num="1"/>
        </w:sectPr>
      </w:pPr>
    </w:p>
    <w:p w14:paraId="29D779A5">
      <w:pPr>
        <w:spacing w:before="148" w:line="221" w:lineRule="auto"/>
        <w:ind w:left="444"/>
        <w:rPr>
          <w:rFonts w:ascii="宋体" w:hAnsi="宋体" w:eastAsia="宋体" w:cs="宋体"/>
          <w:sz w:val="21"/>
          <w:szCs w:val="21"/>
        </w:rPr>
      </w:pPr>
      <w:r>
        <w:rPr>
          <w:rFonts w:ascii="宋体" w:hAnsi="宋体" w:eastAsia="宋体" w:cs="宋体"/>
          <w:spacing w:val="-4"/>
          <w:sz w:val="21"/>
          <w:szCs w:val="21"/>
        </w:rPr>
        <w:t>发包人未经竣工验收擅自使用工程的， 保修期自转移</w:t>
      </w:r>
      <w:r>
        <w:rPr>
          <w:rFonts w:ascii="宋体" w:hAnsi="宋体" w:eastAsia="宋体" w:cs="宋体"/>
          <w:spacing w:val="-5"/>
          <w:sz w:val="21"/>
          <w:szCs w:val="21"/>
        </w:rPr>
        <w:t>占有之日起算。</w:t>
      </w:r>
    </w:p>
    <w:p w14:paraId="75D27FDC">
      <w:pPr>
        <w:spacing w:before="147" w:line="221" w:lineRule="auto"/>
        <w:ind w:left="457"/>
        <w:rPr>
          <w:rFonts w:ascii="宋体" w:hAnsi="宋体" w:eastAsia="宋体" w:cs="宋体"/>
          <w:sz w:val="21"/>
          <w:szCs w:val="21"/>
        </w:rPr>
      </w:pPr>
      <w:r>
        <w:rPr>
          <w:rFonts w:ascii="Times New Roman" w:hAnsi="Times New Roman" w:eastAsia="Times New Roman" w:cs="Times New Roman"/>
          <w:spacing w:val="-2"/>
          <w:sz w:val="21"/>
          <w:szCs w:val="21"/>
        </w:rPr>
        <w:t xml:space="preserve">15.4.2 </w:t>
      </w:r>
      <w:r>
        <w:rPr>
          <w:rFonts w:ascii="宋体" w:hAnsi="宋体" w:eastAsia="宋体" w:cs="宋体"/>
          <w:spacing w:val="-2"/>
          <w:sz w:val="21"/>
          <w:szCs w:val="21"/>
        </w:rPr>
        <w:t>修复费用</w:t>
      </w:r>
    </w:p>
    <w:p w14:paraId="45BA1B30">
      <w:pPr>
        <w:spacing w:before="151" w:line="221" w:lineRule="auto"/>
        <w:ind w:left="442"/>
        <w:rPr>
          <w:rFonts w:ascii="宋体" w:hAnsi="宋体" w:eastAsia="宋体" w:cs="宋体"/>
          <w:sz w:val="21"/>
          <w:szCs w:val="21"/>
        </w:rPr>
      </w:pPr>
      <w:r>
        <w:rPr>
          <w:rFonts w:ascii="宋体" w:hAnsi="宋体" w:eastAsia="宋体" w:cs="宋体"/>
          <w:spacing w:val="-10"/>
          <w:sz w:val="21"/>
          <w:szCs w:val="21"/>
        </w:rPr>
        <w:t>保修期内，</w:t>
      </w:r>
      <w:r>
        <w:rPr>
          <w:rFonts w:ascii="宋体" w:hAnsi="宋体" w:eastAsia="宋体" w:cs="宋体"/>
          <w:spacing w:val="54"/>
          <w:sz w:val="21"/>
          <w:szCs w:val="21"/>
        </w:rPr>
        <w:t xml:space="preserve"> </w:t>
      </w:r>
      <w:r>
        <w:rPr>
          <w:rFonts w:ascii="宋体" w:hAnsi="宋体" w:eastAsia="宋体" w:cs="宋体"/>
          <w:spacing w:val="-10"/>
          <w:sz w:val="21"/>
          <w:szCs w:val="21"/>
        </w:rPr>
        <w:t>修复的费用按照以下约定处理：</w:t>
      </w:r>
    </w:p>
    <w:p w14:paraId="54767C8F">
      <w:pPr>
        <w:spacing w:before="148" w:line="398" w:lineRule="exact"/>
        <w:ind w:right="11"/>
        <w:jc w:val="right"/>
        <w:rPr>
          <w:rFonts w:ascii="宋体" w:hAnsi="宋体" w:eastAsia="宋体" w:cs="宋体"/>
          <w:sz w:val="21"/>
          <w:szCs w:val="21"/>
        </w:rPr>
      </w:pPr>
      <w:r>
        <w:rPr>
          <w:rFonts w:ascii="宋体" w:hAnsi="宋体" w:eastAsia="宋体" w:cs="宋体"/>
          <w:position w:val="14"/>
          <w:sz w:val="21"/>
          <w:szCs w:val="21"/>
        </w:rPr>
        <w:t>（</w:t>
      </w:r>
      <w:r>
        <w:rPr>
          <w:rFonts w:ascii="Times New Roman" w:hAnsi="Times New Roman" w:eastAsia="Times New Roman" w:cs="Times New Roman"/>
          <w:position w:val="14"/>
          <w:sz w:val="21"/>
          <w:szCs w:val="21"/>
        </w:rPr>
        <w:t>1</w:t>
      </w:r>
      <w:r>
        <w:rPr>
          <w:rFonts w:ascii="宋体" w:hAnsi="宋体" w:eastAsia="宋体" w:cs="宋体"/>
          <w:position w:val="14"/>
          <w:sz w:val="21"/>
          <w:szCs w:val="21"/>
        </w:rPr>
        <w:t>）保修期内，因承包人原因造成工程的缺陷、损坏，承包人应负责修复，并</w:t>
      </w:r>
      <w:r>
        <w:rPr>
          <w:rFonts w:ascii="宋体" w:hAnsi="宋体" w:eastAsia="宋体" w:cs="宋体"/>
          <w:spacing w:val="-1"/>
          <w:position w:val="14"/>
          <w:sz w:val="21"/>
          <w:szCs w:val="21"/>
        </w:rPr>
        <w:t>承担修</w:t>
      </w:r>
    </w:p>
    <w:p w14:paraId="689113EA">
      <w:pPr>
        <w:spacing w:line="220" w:lineRule="auto"/>
        <w:ind w:left="24"/>
        <w:rPr>
          <w:rFonts w:ascii="宋体" w:hAnsi="宋体" w:eastAsia="宋体" w:cs="宋体"/>
          <w:sz w:val="21"/>
          <w:szCs w:val="21"/>
        </w:rPr>
      </w:pPr>
      <w:r>
        <w:rPr>
          <w:rFonts w:ascii="宋体" w:hAnsi="宋体" w:eastAsia="宋体" w:cs="宋体"/>
          <w:spacing w:val="-2"/>
          <w:sz w:val="21"/>
          <w:szCs w:val="21"/>
        </w:rPr>
        <w:t>复的费用以及因工程的缺陷、损坏造成的人身伤害和财产损失；</w:t>
      </w:r>
    </w:p>
    <w:p w14:paraId="2174BAE1">
      <w:pPr>
        <w:spacing w:before="153" w:line="398" w:lineRule="exact"/>
        <w:ind w:right="13"/>
        <w:jc w:val="right"/>
        <w:rPr>
          <w:rFonts w:ascii="宋体" w:hAnsi="宋体" w:eastAsia="宋体" w:cs="宋体"/>
          <w:sz w:val="21"/>
          <w:szCs w:val="21"/>
        </w:rPr>
      </w:pPr>
      <w:r>
        <w:rPr>
          <w:rFonts w:ascii="宋体" w:hAnsi="宋体" w:eastAsia="宋体" w:cs="宋体"/>
          <w:position w:val="14"/>
          <w:sz w:val="21"/>
          <w:szCs w:val="21"/>
        </w:rPr>
        <w:t>（</w:t>
      </w:r>
      <w:r>
        <w:rPr>
          <w:rFonts w:ascii="Times New Roman" w:hAnsi="Times New Roman" w:eastAsia="Times New Roman" w:cs="Times New Roman"/>
          <w:position w:val="14"/>
          <w:sz w:val="21"/>
          <w:szCs w:val="21"/>
        </w:rPr>
        <w:t>2</w:t>
      </w:r>
      <w:r>
        <w:rPr>
          <w:rFonts w:ascii="宋体" w:hAnsi="宋体" w:eastAsia="宋体" w:cs="宋体"/>
          <w:position w:val="14"/>
          <w:sz w:val="21"/>
          <w:szCs w:val="21"/>
        </w:rPr>
        <w:t>）保修期内，因发包人使用不当造成工程的缺陷、损坏，可以委托承包人</w:t>
      </w:r>
      <w:r>
        <w:rPr>
          <w:rFonts w:ascii="宋体" w:hAnsi="宋体" w:eastAsia="宋体" w:cs="宋体"/>
          <w:spacing w:val="-1"/>
          <w:position w:val="14"/>
          <w:sz w:val="21"/>
          <w:szCs w:val="21"/>
        </w:rPr>
        <w:t>修复，但</w:t>
      </w:r>
    </w:p>
    <w:p w14:paraId="0F875EAB">
      <w:pPr>
        <w:spacing w:before="1" w:line="220" w:lineRule="auto"/>
        <w:ind w:left="21"/>
        <w:rPr>
          <w:rFonts w:ascii="宋体" w:hAnsi="宋体" w:eastAsia="宋体" w:cs="宋体"/>
          <w:sz w:val="21"/>
          <w:szCs w:val="21"/>
        </w:rPr>
      </w:pPr>
      <w:r>
        <w:rPr>
          <w:rFonts w:ascii="宋体" w:hAnsi="宋体" w:eastAsia="宋体" w:cs="宋体"/>
          <w:spacing w:val="-2"/>
          <w:sz w:val="21"/>
          <w:szCs w:val="21"/>
        </w:rPr>
        <w:t>发包人应承担修复的费用，并支付承包人合理利润；</w:t>
      </w:r>
    </w:p>
    <w:p w14:paraId="6D3EC965">
      <w:pPr>
        <w:spacing w:before="148" w:line="352" w:lineRule="auto"/>
        <w:ind w:left="29" w:right="11" w:firstLine="417"/>
        <w:rPr>
          <w:rFonts w:ascii="宋体" w:hAnsi="宋体" w:eastAsia="宋体" w:cs="宋体"/>
          <w:sz w:val="21"/>
          <w:szCs w:val="21"/>
        </w:rPr>
      </w:pPr>
      <w:r>
        <w:rPr>
          <w:rFonts w:ascii="宋体" w:hAnsi="宋体" w:eastAsia="宋体" w:cs="宋体"/>
          <w:sz w:val="21"/>
          <w:szCs w:val="21"/>
        </w:rPr>
        <w:t>（</w:t>
      </w:r>
      <w:r>
        <w:rPr>
          <w:rFonts w:ascii="Times New Roman" w:hAnsi="Times New Roman" w:eastAsia="Times New Roman" w:cs="Times New Roman"/>
          <w:sz w:val="21"/>
          <w:szCs w:val="21"/>
        </w:rPr>
        <w:t>3</w:t>
      </w:r>
      <w:r>
        <w:rPr>
          <w:rFonts w:ascii="宋体" w:hAnsi="宋体" w:eastAsia="宋体" w:cs="宋体"/>
          <w:sz w:val="21"/>
          <w:szCs w:val="21"/>
        </w:rPr>
        <w:t>）因其他原因造成工程的缺陷、损坏，可以委托承包人修复，发包人应承担</w:t>
      </w:r>
      <w:r>
        <w:rPr>
          <w:rFonts w:ascii="宋体" w:hAnsi="宋体" w:eastAsia="宋体" w:cs="宋体"/>
          <w:spacing w:val="-1"/>
          <w:sz w:val="21"/>
          <w:szCs w:val="21"/>
        </w:rPr>
        <w:t>修复的</w:t>
      </w:r>
      <w:r>
        <w:rPr>
          <w:rFonts w:ascii="宋体" w:hAnsi="宋体" w:eastAsia="宋体" w:cs="宋体"/>
          <w:sz w:val="21"/>
          <w:szCs w:val="21"/>
        </w:rPr>
        <w:t xml:space="preserve"> </w:t>
      </w:r>
      <w:r>
        <w:rPr>
          <w:rFonts w:ascii="宋体" w:hAnsi="宋体" w:eastAsia="宋体" w:cs="宋体"/>
          <w:spacing w:val="-3"/>
          <w:sz w:val="21"/>
          <w:szCs w:val="21"/>
        </w:rPr>
        <w:t>费用， 并支付承包人合理的利润， 因工程的缺陷、损坏造成的人身伤害和财产损失由责任</w:t>
      </w:r>
    </w:p>
    <w:p w14:paraId="4A525D71">
      <w:pPr>
        <w:spacing w:before="1" w:line="220" w:lineRule="auto"/>
        <w:ind w:left="19"/>
        <w:rPr>
          <w:rFonts w:ascii="宋体" w:hAnsi="宋体" w:eastAsia="宋体" w:cs="宋体"/>
          <w:sz w:val="21"/>
          <w:szCs w:val="21"/>
        </w:rPr>
      </w:pPr>
      <w:r>
        <w:rPr>
          <w:rFonts w:ascii="宋体" w:hAnsi="宋体" w:eastAsia="宋体" w:cs="宋体"/>
          <w:spacing w:val="-7"/>
          <w:sz w:val="21"/>
          <w:szCs w:val="21"/>
        </w:rPr>
        <w:t>方承担。</w:t>
      </w:r>
    </w:p>
    <w:p w14:paraId="03095C2B">
      <w:pPr>
        <w:spacing w:before="147" w:line="221" w:lineRule="auto"/>
        <w:ind w:left="457"/>
        <w:rPr>
          <w:rFonts w:ascii="宋体" w:hAnsi="宋体" w:eastAsia="宋体" w:cs="宋体"/>
          <w:sz w:val="21"/>
          <w:szCs w:val="21"/>
        </w:rPr>
      </w:pPr>
      <w:r>
        <w:rPr>
          <w:rFonts w:ascii="Times New Roman" w:hAnsi="Times New Roman" w:eastAsia="Times New Roman" w:cs="Times New Roman"/>
          <w:spacing w:val="-2"/>
          <w:sz w:val="21"/>
          <w:szCs w:val="21"/>
        </w:rPr>
        <w:t xml:space="preserve">15.4.3 </w:t>
      </w:r>
      <w:r>
        <w:rPr>
          <w:rFonts w:ascii="宋体" w:hAnsi="宋体" w:eastAsia="宋体" w:cs="宋体"/>
          <w:spacing w:val="-2"/>
          <w:sz w:val="21"/>
          <w:szCs w:val="21"/>
        </w:rPr>
        <w:t>修复通知</w:t>
      </w:r>
    </w:p>
    <w:p w14:paraId="114479F0">
      <w:pPr>
        <w:spacing w:before="152" w:line="352" w:lineRule="auto"/>
        <w:ind w:left="22" w:right="3" w:firstLine="417"/>
        <w:rPr>
          <w:rFonts w:ascii="宋体" w:hAnsi="宋体" w:eastAsia="宋体" w:cs="宋体"/>
          <w:sz w:val="21"/>
          <w:szCs w:val="21"/>
        </w:rPr>
      </w:pPr>
      <w:r>
        <w:rPr>
          <w:rFonts w:ascii="宋体" w:hAnsi="宋体" w:eastAsia="宋体" w:cs="宋体"/>
          <w:spacing w:val="-2"/>
          <w:sz w:val="21"/>
          <w:szCs w:val="21"/>
        </w:rPr>
        <w:t>在保修期内，发包人在使用过程中， 发现已接</w:t>
      </w:r>
      <w:r>
        <w:rPr>
          <w:rFonts w:ascii="宋体" w:hAnsi="宋体" w:eastAsia="宋体" w:cs="宋体"/>
          <w:spacing w:val="-3"/>
          <w:sz w:val="21"/>
          <w:szCs w:val="21"/>
        </w:rPr>
        <w:t>收的工程存在缺陷或损坏的， 应书面通</w:t>
      </w:r>
      <w:r>
        <w:rPr>
          <w:rFonts w:ascii="宋体" w:hAnsi="宋体" w:eastAsia="宋体" w:cs="宋体"/>
          <w:sz w:val="21"/>
          <w:szCs w:val="21"/>
        </w:rPr>
        <w:t xml:space="preserve"> </w:t>
      </w:r>
      <w:r>
        <w:rPr>
          <w:rFonts w:ascii="宋体" w:hAnsi="宋体" w:eastAsia="宋体" w:cs="宋体"/>
          <w:spacing w:val="3"/>
          <w:sz w:val="21"/>
          <w:szCs w:val="21"/>
        </w:rPr>
        <w:t>知承包人予以修复，但情况紧急必须立即修复缺陷或损坏的，发包</w:t>
      </w:r>
      <w:r>
        <w:rPr>
          <w:rFonts w:ascii="宋体" w:hAnsi="宋体" w:eastAsia="宋体" w:cs="宋体"/>
          <w:spacing w:val="2"/>
          <w:sz w:val="21"/>
          <w:szCs w:val="21"/>
        </w:rPr>
        <w:t>人可以口头通知承包人</w:t>
      </w:r>
      <w:r>
        <w:rPr>
          <w:rFonts w:ascii="宋体" w:hAnsi="宋体" w:eastAsia="宋体" w:cs="宋体"/>
          <w:sz w:val="21"/>
          <w:szCs w:val="21"/>
        </w:rPr>
        <w:t xml:space="preserve"> </w:t>
      </w:r>
      <w:r>
        <w:rPr>
          <w:rFonts w:ascii="宋体" w:hAnsi="宋体" w:eastAsia="宋体" w:cs="宋体"/>
          <w:spacing w:val="-1"/>
          <w:sz w:val="21"/>
          <w:szCs w:val="21"/>
        </w:rPr>
        <w:t>并在口头通知后</w:t>
      </w:r>
      <w:r>
        <w:rPr>
          <w:rFonts w:ascii="宋体" w:hAnsi="宋体" w:eastAsia="宋体" w:cs="宋体"/>
          <w:spacing w:val="-17"/>
          <w:sz w:val="21"/>
          <w:szCs w:val="21"/>
        </w:rPr>
        <w:t xml:space="preserve"> </w:t>
      </w:r>
      <w:r>
        <w:rPr>
          <w:rFonts w:ascii="Times New Roman" w:hAnsi="Times New Roman" w:eastAsia="Times New Roman" w:cs="Times New Roman"/>
          <w:spacing w:val="-1"/>
          <w:sz w:val="21"/>
          <w:szCs w:val="21"/>
        </w:rPr>
        <w:t>48</w:t>
      </w:r>
      <w:r>
        <w:rPr>
          <w:rFonts w:ascii="Times New Roman" w:hAnsi="Times New Roman" w:eastAsia="Times New Roman" w:cs="Times New Roman"/>
          <w:spacing w:val="14"/>
          <w:w w:val="101"/>
          <w:sz w:val="21"/>
          <w:szCs w:val="21"/>
        </w:rPr>
        <w:t xml:space="preserve"> </w:t>
      </w:r>
      <w:r>
        <w:rPr>
          <w:rFonts w:ascii="宋体" w:hAnsi="宋体" w:eastAsia="宋体" w:cs="宋体"/>
          <w:spacing w:val="-1"/>
          <w:sz w:val="21"/>
          <w:szCs w:val="21"/>
        </w:rPr>
        <w:t>小时内书面确认，承包人应在专用合同条款约定的合理期限内到达工程</w:t>
      </w:r>
    </w:p>
    <w:p w14:paraId="78D95F93">
      <w:pPr>
        <w:spacing w:line="220" w:lineRule="auto"/>
        <w:ind w:left="20"/>
        <w:rPr>
          <w:rFonts w:ascii="宋体" w:hAnsi="宋体" w:eastAsia="宋体" w:cs="宋体"/>
          <w:sz w:val="21"/>
          <w:szCs w:val="21"/>
        </w:rPr>
      </w:pPr>
      <w:r>
        <w:rPr>
          <w:rFonts w:ascii="宋体" w:hAnsi="宋体" w:eastAsia="宋体" w:cs="宋体"/>
          <w:spacing w:val="-2"/>
          <w:sz w:val="21"/>
          <w:szCs w:val="21"/>
        </w:rPr>
        <w:t>现场并修复缺陷或损坏。</w:t>
      </w:r>
    </w:p>
    <w:p w14:paraId="38DCAE2F">
      <w:pPr>
        <w:spacing w:before="147" w:line="221" w:lineRule="auto"/>
        <w:ind w:left="457"/>
        <w:rPr>
          <w:rFonts w:ascii="宋体" w:hAnsi="宋体" w:eastAsia="宋体" w:cs="宋体"/>
          <w:sz w:val="21"/>
          <w:szCs w:val="21"/>
        </w:rPr>
      </w:pPr>
      <w:r>
        <w:rPr>
          <w:rFonts w:ascii="Times New Roman" w:hAnsi="Times New Roman" w:eastAsia="Times New Roman" w:cs="Times New Roman"/>
          <w:spacing w:val="-3"/>
          <w:sz w:val="21"/>
          <w:szCs w:val="21"/>
        </w:rPr>
        <w:t>15.4.4</w:t>
      </w:r>
      <w:r>
        <w:rPr>
          <w:rFonts w:ascii="Times New Roman" w:hAnsi="Times New Roman" w:eastAsia="Times New Roman" w:cs="Times New Roman"/>
          <w:spacing w:val="11"/>
          <w:sz w:val="21"/>
          <w:szCs w:val="21"/>
        </w:rPr>
        <w:t xml:space="preserve"> </w:t>
      </w:r>
      <w:r>
        <w:rPr>
          <w:rFonts w:ascii="宋体" w:hAnsi="宋体" w:eastAsia="宋体" w:cs="宋体"/>
          <w:spacing w:val="-3"/>
          <w:sz w:val="21"/>
          <w:szCs w:val="21"/>
        </w:rPr>
        <w:t>未能修复</w:t>
      </w:r>
    </w:p>
    <w:p w14:paraId="539A878A">
      <w:pPr>
        <w:spacing w:before="147" w:line="352" w:lineRule="auto"/>
        <w:ind w:left="20" w:right="6" w:firstLine="436"/>
        <w:rPr>
          <w:rFonts w:ascii="宋体" w:hAnsi="宋体" w:eastAsia="宋体" w:cs="宋体"/>
          <w:sz w:val="21"/>
          <w:szCs w:val="21"/>
        </w:rPr>
      </w:pPr>
      <w:r>
        <w:rPr>
          <w:rFonts w:ascii="宋体" w:hAnsi="宋体" w:eastAsia="宋体" w:cs="宋体"/>
          <w:spacing w:val="3"/>
          <w:sz w:val="21"/>
          <w:szCs w:val="21"/>
        </w:rPr>
        <w:t>因承包人原因造成工程的缺陷或损坏，承包人拒绝维</w:t>
      </w:r>
      <w:r>
        <w:rPr>
          <w:rFonts w:ascii="宋体" w:hAnsi="宋体" w:eastAsia="宋体" w:cs="宋体"/>
          <w:spacing w:val="2"/>
          <w:sz w:val="21"/>
          <w:szCs w:val="21"/>
        </w:rPr>
        <w:t>修或未能在合理期限内修复缺陷</w:t>
      </w:r>
      <w:r>
        <w:rPr>
          <w:rFonts w:ascii="宋体" w:hAnsi="宋体" w:eastAsia="宋体" w:cs="宋体"/>
          <w:sz w:val="21"/>
          <w:szCs w:val="21"/>
        </w:rPr>
        <w:t xml:space="preserve"> </w:t>
      </w:r>
      <w:r>
        <w:rPr>
          <w:rFonts w:ascii="宋体" w:hAnsi="宋体" w:eastAsia="宋体" w:cs="宋体"/>
          <w:spacing w:val="-2"/>
          <w:sz w:val="21"/>
          <w:szCs w:val="21"/>
        </w:rPr>
        <w:t>或损坏，且经发包人书面催告后仍未修复的， 发</w:t>
      </w:r>
      <w:r>
        <w:rPr>
          <w:rFonts w:ascii="宋体" w:hAnsi="宋体" w:eastAsia="宋体" w:cs="宋体"/>
          <w:spacing w:val="-3"/>
          <w:sz w:val="21"/>
          <w:szCs w:val="21"/>
        </w:rPr>
        <w:t>包人有权自行修复或委托第三方修复， 所</w:t>
      </w:r>
      <w:r>
        <w:rPr>
          <w:rFonts w:ascii="宋体" w:hAnsi="宋体" w:eastAsia="宋体" w:cs="宋体"/>
          <w:sz w:val="21"/>
          <w:szCs w:val="21"/>
        </w:rPr>
        <w:t xml:space="preserve"> </w:t>
      </w:r>
      <w:r>
        <w:rPr>
          <w:rFonts w:ascii="宋体" w:hAnsi="宋体" w:eastAsia="宋体" w:cs="宋体"/>
          <w:spacing w:val="-2"/>
          <w:sz w:val="21"/>
          <w:szCs w:val="21"/>
        </w:rPr>
        <w:t>需费用由承包人承担。</w:t>
      </w:r>
      <w:r>
        <w:rPr>
          <w:rFonts w:ascii="宋体" w:hAnsi="宋体" w:eastAsia="宋体" w:cs="宋体"/>
          <w:spacing w:val="-19"/>
          <w:sz w:val="21"/>
          <w:szCs w:val="21"/>
        </w:rPr>
        <w:t xml:space="preserve"> </w:t>
      </w:r>
      <w:r>
        <w:rPr>
          <w:rFonts w:ascii="宋体" w:hAnsi="宋体" w:eastAsia="宋体" w:cs="宋体"/>
          <w:spacing w:val="-2"/>
          <w:sz w:val="21"/>
          <w:szCs w:val="21"/>
        </w:rPr>
        <w:t>但修复范围超出缺陷或损坏范围的， 超出范围部分的修复费用由发</w:t>
      </w:r>
    </w:p>
    <w:p w14:paraId="12426FCA">
      <w:pPr>
        <w:spacing w:before="1" w:line="220" w:lineRule="auto"/>
        <w:ind w:left="18"/>
        <w:rPr>
          <w:rFonts w:ascii="宋体" w:hAnsi="宋体" w:eastAsia="宋体" w:cs="宋体"/>
          <w:sz w:val="21"/>
          <w:szCs w:val="21"/>
        </w:rPr>
      </w:pPr>
      <w:r>
        <w:rPr>
          <w:rFonts w:ascii="宋体" w:hAnsi="宋体" w:eastAsia="宋体" w:cs="宋体"/>
          <w:spacing w:val="-6"/>
          <w:sz w:val="21"/>
          <w:szCs w:val="21"/>
        </w:rPr>
        <w:t>包人承担。</w:t>
      </w:r>
    </w:p>
    <w:p w14:paraId="080C3E4B">
      <w:pPr>
        <w:spacing w:before="152" w:line="221" w:lineRule="auto"/>
        <w:ind w:left="457"/>
        <w:rPr>
          <w:rFonts w:ascii="宋体" w:hAnsi="宋体" w:eastAsia="宋体" w:cs="宋体"/>
          <w:sz w:val="21"/>
          <w:szCs w:val="21"/>
        </w:rPr>
      </w:pPr>
      <w:r>
        <w:rPr>
          <w:rFonts w:ascii="Times New Roman" w:hAnsi="Times New Roman" w:eastAsia="Times New Roman" w:cs="Times New Roman"/>
          <w:spacing w:val="-2"/>
          <w:sz w:val="21"/>
          <w:szCs w:val="21"/>
        </w:rPr>
        <w:t xml:space="preserve">15.4.5 </w:t>
      </w:r>
      <w:r>
        <w:rPr>
          <w:rFonts w:ascii="宋体" w:hAnsi="宋体" w:eastAsia="宋体" w:cs="宋体"/>
          <w:spacing w:val="-2"/>
          <w:sz w:val="21"/>
          <w:szCs w:val="21"/>
        </w:rPr>
        <w:t>承包人出入权</w:t>
      </w:r>
    </w:p>
    <w:p w14:paraId="0CAF1CBC">
      <w:pPr>
        <w:spacing w:before="146" w:line="352" w:lineRule="auto"/>
        <w:ind w:left="17" w:right="3" w:firstLine="422"/>
        <w:rPr>
          <w:rFonts w:ascii="宋体" w:hAnsi="宋体" w:eastAsia="宋体" w:cs="宋体"/>
          <w:sz w:val="21"/>
          <w:szCs w:val="21"/>
        </w:rPr>
      </w:pPr>
      <w:r>
        <w:rPr>
          <w:rFonts w:ascii="宋体" w:hAnsi="宋体" w:eastAsia="宋体" w:cs="宋体"/>
          <w:spacing w:val="-2"/>
          <w:sz w:val="21"/>
          <w:szCs w:val="21"/>
        </w:rPr>
        <w:t>在保修期内，为了修复缺陷或损坏， 承包人有</w:t>
      </w:r>
      <w:r>
        <w:rPr>
          <w:rFonts w:ascii="宋体" w:hAnsi="宋体" w:eastAsia="宋体" w:cs="宋体"/>
          <w:spacing w:val="-3"/>
          <w:sz w:val="21"/>
          <w:szCs w:val="21"/>
        </w:rPr>
        <w:t>权出入工程现场， 除情况紧急必须立即</w:t>
      </w:r>
      <w:r>
        <w:rPr>
          <w:rFonts w:ascii="宋体" w:hAnsi="宋体" w:eastAsia="宋体" w:cs="宋体"/>
          <w:sz w:val="21"/>
          <w:szCs w:val="21"/>
        </w:rPr>
        <w:t xml:space="preserve"> </w:t>
      </w:r>
      <w:r>
        <w:rPr>
          <w:rFonts w:ascii="宋体" w:hAnsi="宋体" w:eastAsia="宋体" w:cs="宋体"/>
          <w:spacing w:val="-3"/>
          <w:sz w:val="21"/>
          <w:szCs w:val="21"/>
        </w:rPr>
        <w:t>修复缺陷或损坏外， 承包人应提前</w:t>
      </w:r>
      <w:r>
        <w:rPr>
          <w:rFonts w:ascii="宋体" w:hAnsi="宋体" w:eastAsia="宋体" w:cs="宋体"/>
          <w:spacing w:val="-32"/>
          <w:sz w:val="21"/>
          <w:szCs w:val="21"/>
        </w:rPr>
        <w:t xml:space="preserve"> </w:t>
      </w:r>
      <w:r>
        <w:rPr>
          <w:rFonts w:ascii="Times New Roman" w:hAnsi="Times New Roman" w:eastAsia="Times New Roman" w:cs="Times New Roman"/>
          <w:spacing w:val="-3"/>
          <w:sz w:val="21"/>
          <w:szCs w:val="21"/>
        </w:rPr>
        <w:t>24</w:t>
      </w:r>
      <w:r>
        <w:rPr>
          <w:rFonts w:ascii="Times New Roman" w:hAnsi="Times New Roman" w:eastAsia="Times New Roman" w:cs="Times New Roman"/>
          <w:spacing w:val="14"/>
          <w:sz w:val="21"/>
          <w:szCs w:val="21"/>
        </w:rPr>
        <w:t xml:space="preserve"> </w:t>
      </w:r>
      <w:r>
        <w:rPr>
          <w:rFonts w:ascii="宋体" w:hAnsi="宋体" w:eastAsia="宋体" w:cs="宋体"/>
          <w:spacing w:val="-3"/>
          <w:sz w:val="21"/>
          <w:szCs w:val="21"/>
        </w:rPr>
        <w:t>小时通知发包人进场修复的时间。承包人进入工程现</w:t>
      </w:r>
      <w:r>
        <w:rPr>
          <w:rFonts w:ascii="宋体" w:hAnsi="宋体" w:eastAsia="宋体" w:cs="宋体"/>
          <w:sz w:val="21"/>
          <w:szCs w:val="21"/>
        </w:rPr>
        <w:t xml:space="preserve"> </w:t>
      </w:r>
      <w:r>
        <w:rPr>
          <w:rFonts w:ascii="宋体" w:hAnsi="宋体" w:eastAsia="宋体" w:cs="宋体"/>
          <w:spacing w:val="3"/>
          <w:sz w:val="21"/>
          <w:szCs w:val="21"/>
        </w:rPr>
        <w:t>场前应获得发包人同意，且不应影响发包人正常的生产经营，并应遵守发包人</w:t>
      </w:r>
      <w:r>
        <w:rPr>
          <w:rFonts w:ascii="宋体" w:hAnsi="宋体" w:eastAsia="宋体" w:cs="宋体"/>
          <w:spacing w:val="2"/>
          <w:sz w:val="21"/>
          <w:szCs w:val="21"/>
        </w:rPr>
        <w:t>有关保安和</w:t>
      </w:r>
    </w:p>
    <w:p w14:paraId="6D3D439C">
      <w:pPr>
        <w:spacing w:before="1" w:line="220" w:lineRule="auto"/>
        <w:ind w:left="19"/>
        <w:rPr>
          <w:rFonts w:ascii="宋体" w:hAnsi="宋体" w:eastAsia="宋体" w:cs="宋体"/>
          <w:sz w:val="21"/>
          <w:szCs w:val="21"/>
        </w:rPr>
      </w:pPr>
      <w:r>
        <w:rPr>
          <w:rFonts w:ascii="宋体" w:hAnsi="宋体" w:eastAsia="宋体" w:cs="宋体"/>
          <w:spacing w:val="-1"/>
          <w:sz w:val="21"/>
          <w:szCs w:val="21"/>
        </w:rPr>
        <w:t>保密等规定。</w:t>
      </w:r>
    </w:p>
    <w:p w14:paraId="0E9BF37A">
      <w:pPr>
        <w:spacing w:before="173" w:line="221" w:lineRule="auto"/>
        <w:ind w:left="39"/>
        <w:rPr>
          <w:rFonts w:ascii="黑体" w:hAnsi="黑体" w:eastAsia="黑体" w:cs="黑体"/>
          <w:sz w:val="32"/>
          <w:szCs w:val="32"/>
        </w:rPr>
      </w:pPr>
      <w:r>
        <w:rPr>
          <w:rFonts w:ascii="黑体" w:hAnsi="黑体" w:eastAsia="黑体" w:cs="黑体"/>
          <w:spacing w:val="-6"/>
          <w:sz w:val="32"/>
          <w:szCs w:val="32"/>
        </w:rPr>
        <w:t>16.违约</w:t>
      </w:r>
    </w:p>
    <w:p w14:paraId="3B5DEF4A">
      <w:pPr>
        <w:spacing w:before="148" w:line="218" w:lineRule="auto"/>
        <w:ind w:left="31"/>
        <w:rPr>
          <w:rFonts w:ascii="黑体" w:hAnsi="黑体" w:eastAsia="黑体" w:cs="黑体"/>
          <w:sz w:val="24"/>
          <w:szCs w:val="24"/>
        </w:rPr>
      </w:pPr>
      <w:r>
        <w:rPr>
          <w:rFonts w:ascii="黑体" w:hAnsi="黑体" w:eastAsia="黑体" w:cs="黑体"/>
          <w:spacing w:val="-2"/>
          <w:sz w:val="24"/>
          <w:szCs w:val="24"/>
        </w:rPr>
        <w:t>16.1 发包人违约</w:t>
      </w:r>
    </w:p>
    <w:p w14:paraId="2FBFA487">
      <w:pPr>
        <w:spacing w:before="130" w:line="221" w:lineRule="auto"/>
        <w:ind w:left="457"/>
        <w:rPr>
          <w:rFonts w:ascii="宋体" w:hAnsi="宋体" w:eastAsia="宋体" w:cs="宋体"/>
          <w:sz w:val="21"/>
          <w:szCs w:val="21"/>
        </w:rPr>
      </w:pPr>
      <w:r>
        <w:rPr>
          <w:rFonts w:ascii="Times New Roman" w:hAnsi="Times New Roman" w:eastAsia="Times New Roman" w:cs="Times New Roman"/>
          <w:spacing w:val="-2"/>
          <w:sz w:val="21"/>
          <w:szCs w:val="21"/>
        </w:rPr>
        <w:t xml:space="preserve">16.1.1 </w:t>
      </w:r>
      <w:r>
        <w:rPr>
          <w:rFonts w:ascii="宋体" w:hAnsi="宋体" w:eastAsia="宋体" w:cs="宋体"/>
          <w:spacing w:val="-2"/>
          <w:sz w:val="21"/>
          <w:szCs w:val="21"/>
        </w:rPr>
        <w:t>发包人违约的情形</w:t>
      </w:r>
    </w:p>
    <w:p w14:paraId="3BAFD522">
      <w:pPr>
        <w:spacing w:before="147" w:line="221" w:lineRule="auto"/>
        <w:ind w:left="440"/>
        <w:rPr>
          <w:rFonts w:ascii="宋体" w:hAnsi="宋体" w:eastAsia="宋体" w:cs="宋体"/>
          <w:sz w:val="21"/>
          <w:szCs w:val="21"/>
        </w:rPr>
      </w:pPr>
      <w:r>
        <w:rPr>
          <w:rFonts w:ascii="宋体" w:hAnsi="宋体" w:eastAsia="宋体" w:cs="宋体"/>
          <w:spacing w:val="-1"/>
          <w:sz w:val="21"/>
          <w:szCs w:val="21"/>
        </w:rPr>
        <w:t>在合同履行过程中发生的下列情形，属于发包人违约：</w:t>
      </w:r>
    </w:p>
    <w:p w14:paraId="754DE251">
      <w:pPr>
        <w:spacing w:before="148" w:line="403" w:lineRule="exact"/>
        <w:ind w:left="447"/>
        <w:rPr>
          <w:rFonts w:ascii="宋体" w:hAnsi="宋体" w:eastAsia="宋体" w:cs="宋体"/>
          <w:sz w:val="21"/>
          <w:szCs w:val="21"/>
        </w:rPr>
      </w:pPr>
      <w:r>
        <w:rPr>
          <w:rFonts w:ascii="宋体" w:hAnsi="宋体" w:eastAsia="宋体" w:cs="宋体"/>
          <w:spacing w:val="-2"/>
          <w:position w:val="14"/>
          <w:sz w:val="21"/>
          <w:szCs w:val="21"/>
        </w:rPr>
        <w:t>（</w:t>
      </w:r>
      <w:r>
        <w:rPr>
          <w:rFonts w:ascii="Times New Roman" w:hAnsi="Times New Roman" w:eastAsia="Times New Roman" w:cs="Times New Roman"/>
          <w:spacing w:val="-2"/>
          <w:position w:val="14"/>
          <w:sz w:val="21"/>
          <w:szCs w:val="21"/>
        </w:rPr>
        <w:t>1</w:t>
      </w:r>
      <w:r>
        <w:rPr>
          <w:rFonts w:ascii="宋体" w:hAnsi="宋体" w:eastAsia="宋体" w:cs="宋体"/>
          <w:spacing w:val="-2"/>
          <w:position w:val="14"/>
          <w:sz w:val="21"/>
          <w:szCs w:val="21"/>
        </w:rPr>
        <w:t>）因发包人原因未能在计划开工日期前</w:t>
      </w:r>
      <w:r>
        <w:rPr>
          <w:rFonts w:ascii="宋体" w:hAnsi="宋体" w:eastAsia="宋体" w:cs="宋体"/>
          <w:spacing w:val="-37"/>
          <w:position w:val="14"/>
          <w:sz w:val="21"/>
          <w:szCs w:val="21"/>
        </w:rPr>
        <w:t xml:space="preserve"> </w:t>
      </w:r>
      <w:r>
        <w:rPr>
          <w:rFonts w:ascii="Times New Roman" w:hAnsi="Times New Roman" w:eastAsia="Times New Roman" w:cs="Times New Roman"/>
          <w:spacing w:val="-2"/>
          <w:position w:val="14"/>
          <w:sz w:val="21"/>
          <w:szCs w:val="21"/>
        </w:rPr>
        <w:t xml:space="preserve">7 </w:t>
      </w:r>
      <w:r>
        <w:rPr>
          <w:rFonts w:ascii="宋体" w:hAnsi="宋体" w:eastAsia="宋体" w:cs="宋体"/>
          <w:spacing w:val="-2"/>
          <w:position w:val="14"/>
          <w:sz w:val="21"/>
          <w:szCs w:val="21"/>
        </w:rPr>
        <w:t>天内下达开工通知的；</w:t>
      </w:r>
    </w:p>
    <w:p w14:paraId="0C6A482B">
      <w:pPr>
        <w:spacing w:line="219" w:lineRule="auto"/>
        <w:ind w:left="447"/>
        <w:rPr>
          <w:rFonts w:ascii="宋体" w:hAnsi="宋体" w:eastAsia="宋体" w:cs="宋体"/>
          <w:sz w:val="21"/>
          <w:szCs w:val="21"/>
        </w:rPr>
      </w:pPr>
      <w:r>
        <w:rPr>
          <w:rFonts w:ascii="宋体" w:hAnsi="宋体" w:eastAsia="宋体" w:cs="宋体"/>
          <w:spacing w:val="-1"/>
          <w:sz w:val="21"/>
          <w:szCs w:val="21"/>
        </w:rPr>
        <w:t>（</w:t>
      </w:r>
      <w:r>
        <w:rPr>
          <w:rFonts w:ascii="Times New Roman" w:hAnsi="Times New Roman" w:eastAsia="Times New Roman" w:cs="Times New Roman"/>
          <w:spacing w:val="-1"/>
          <w:sz w:val="21"/>
          <w:szCs w:val="21"/>
        </w:rPr>
        <w:t>2</w:t>
      </w:r>
      <w:r>
        <w:rPr>
          <w:rFonts w:ascii="宋体" w:hAnsi="宋体" w:eastAsia="宋体" w:cs="宋体"/>
          <w:spacing w:val="-1"/>
          <w:sz w:val="21"/>
          <w:szCs w:val="21"/>
        </w:rPr>
        <w:t>）因发包人原因未能按合同约定支付合同价款的；</w:t>
      </w:r>
    </w:p>
    <w:p w14:paraId="6AD03230">
      <w:pPr>
        <w:spacing w:before="149" w:line="398" w:lineRule="exact"/>
        <w:ind w:right="6"/>
        <w:jc w:val="right"/>
        <w:rPr>
          <w:rFonts w:ascii="宋体" w:hAnsi="宋体" w:eastAsia="宋体" w:cs="宋体"/>
          <w:sz w:val="21"/>
          <w:szCs w:val="21"/>
        </w:rPr>
      </w:pPr>
      <w:r>
        <w:rPr>
          <w:rFonts w:ascii="宋体" w:hAnsi="宋体" w:eastAsia="宋体" w:cs="宋体"/>
          <w:spacing w:val="-1"/>
          <w:position w:val="14"/>
          <w:sz w:val="21"/>
          <w:szCs w:val="21"/>
        </w:rPr>
        <w:t>（</w:t>
      </w:r>
      <w:r>
        <w:rPr>
          <w:rFonts w:ascii="Times New Roman" w:hAnsi="Times New Roman" w:eastAsia="Times New Roman" w:cs="Times New Roman"/>
          <w:spacing w:val="-1"/>
          <w:position w:val="14"/>
          <w:sz w:val="21"/>
          <w:szCs w:val="21"/>
        </w:rPr>
        <w:t>3</w:t>
      </w:r>
      <w:r>
        <w:rPr>
          <w:rFonts w:ascii="宋体" w:hAnsi="宋体" w:eastAsia="宋体" w:cs="宋体"/>
          <w:spacing w:val="-1"/>
          <w:position w:val="14"/>
          <w:sz w:val="21"/>
          <w:szCs w:val="21"/>
        </w:rPr>
        <w:t xml:space="preserve">）发包人违反第 </w:t>
      </w:r>
      <w:r>
        <w:rPr>
          <w:rFonts w:ascii="Times New Roman" w:hAnsi="Times New Roman" w:eastAsia="Times New Roman" w:cs="Times New Roman"/>
          <w:spacing w:val="-1"/>
          <w:position w:val="14"/>
          <w:sz w:val="21"/>
          <w:szCs w:val="21"/>
        </w:rPr>
        <w:t>10.1</w:t>
      </w:r>
      <w:r>
        <w:rPr>
          <w:rFonts w:ascii="Times New Roman" w:hAnsi="Times New Roman" w:eastAsia="Times New Roman" w:cs="Times New Roman"/>
          <w:spacing w:val="43"/>
          <w:w w:val="101"/>
          <w:position w:val="14"/>
          <w:sz w:val="21"/>
          <w:szCs w:val="21"/>
        </w:rPr>
        <w:t xml:space="preserve"> </w:t>
      </w:r>
      <w:r>
        <w:rPr>
          <w:rFonts w:ascii="宋体" w:hAnsi="宋体" w:eastAsia="宋体" w:cs="宋体"/>
          <w:spacing w:val="-1"/>
          <w:position w:val="14"/>
          <w:sz w:val="21"/>
          <w:szCs w:val="21"/>
        </w:rPr>
        <w:t>款〔变更的范围〕第（</w:t>
      </w:r>
      <w:r>
        <w:rPr>
          <w:rFonts w:ascii="Times New Roman" w:hAnsi="Times New Roman" w:eastAsia="Times New Roman" w:cs="Times New Roman"/>
          <w:spacing w:val="-1"/>
          <w:position w:val="14"/>
          <w:sz w:val="21"/>
          <w:szCs w:val="21"/>
        </w:rPr>
        <w:t>2</w:t>
      </w:r>
      <w:r>
        <w:rPr>
          <w:rFonts w:ascii="宋体" w:hAnsi="宋体" w:eastAsia="宋体" w:cs="宋体"/>
          <w:spacing w:val="-1"/>
          <w:position w:val="14"/>
          <w:sz w:val="21"/>
          <w:szCs w:val="21"/>
        </w:rPr>
        <w:t>）项约定，自行实施被取消的工作或</w:t>
      </w:r>
    </w:p>
    <w:p w14:paraId="1CFEBB28">
      <w:pPr>
        <w:spacing w:before="1" w:line="221" w:lineRule="auto"/>
        <w:ind w:left="19"/>
        <w:rPr>
          <w:rFonts w:ascii="宋体" w:hAnsi="宋体" w:eastAsia="宋体" w:cs="宋体"/>
          <w:sz w:val="21"/>
          <w:szCs w:val="21"/>
        </w:rPr>
      </w:pPr>
      <w:r>
        <w:rPr>
          <w:rFonts w:ascii="宋体" w:hAnsi="宋体" w:eastAsia="宋体" w:cs="宋体"/>
          <w:spacing w:val="-5"/>
          <w:sz w:val="21"/>
          <w:szCs w:val="21"/>
        </w:rPr>
        <w:t>转由他人实施的；</w:t>
      </w:r>
    </w:p>
    <w:p w14:paraId="39244D72">
      <w:pPr>
        <w:spacing w:before="152" w:line="220" w:lineRule="auto"/>
        <w:ind w:right="12"/>
        <w:jc w:val="right"/>
        <w:rPr>
          <w:rFonts w:ascii="宋体" w:hAnsi="宋体" w:eastAsia="宋体" w:cs="宋体"/>
          <w:sz w:val="21"/>
          <w:szCs w:val="21"/>
        </w:rPr>
      </w:pPr>
      <w:r>
        <w:rPr>
          <w:rFonts w:ascii="宋体" w:hAnsi="宋体" w:eastAsia="宋体" w:cs="宋体"/>
          <w:sz w:val="21"/>
          <w:szCs w:val="21"/>
        </w:rPr>
        <w:t>（</w:t>
      </w:r>
      <w:r>
        <w:rPr>
          <w:rFonts w:ascii="Times New Roman" w:hAnsi="Times New Roman" w:eastAsia="Times New Roman" w:cs="Times New Roman"/>
          <w:sz w:val="21"/>
          <w:szCs w:val="21"/>
        </w:rPr>
        <w:t>4</w:t>
      </w:r>
      <w:r>
        <w:rPr>
          <w:rFonts w:ascii="宋体" w:hAnsi="宋体" w:eastAsia="宋体" w:cs="宋体"/>
          <w:sz w:val="21"/>
          <w:szCs w:val="21"/>
        </w:rPr>
        <w:t>）发包人提供的材料、工程设备的规格、数量或质量不符合合同约定，或因</w:t>
      </w:r>
      <w:r>
        <w:rPr>
          <w:rFonts w:ascii="宋体" w:hAnsi="宋体" w:eastAsia="宋体" w:cs="宋体"/>
          <w:spacing w:val="-1"/>
          <w:sz w:val="21"/>
          <w:szCs w:val="21"/>
        </w:rPr>
        <w:t>发包人</w:t>
      </w:r>
    </w:p>
    <w:p w14:paraId="743FCA4A">
      <w:pPr>
        <w:spacing w:line="220" w:lineRule="auto"/>
        <w:rPr>
          <w:rFonts w:ascii="宋体" w:hAnsi="宋体" w:eastAsia="宋体" w:cs="宋体"/>
          <w:sz w:val="21"/>
          <w:szCs w:val="21"/>
        </w:rPr>
        <w:sectPr>
          <w:footerReference r:id="rId131" w:type="default"/>
          <w:pgSz w:w="11905" w:h="16839"/>
          <w:pgMar w:top="1431" w:right="1785" w:bottom="1004" w:left="1785" w:header="0" w:footer="828" w:gutter="0"/>
          <w:pgNumType w:fmt="decimal"/>
          <w:cols w:space="720" w:num="1"/>
        </w:sectPr>
      </w:pPr>
    </w:p>
    <w:p w14:paraId="2DB4FAD0">
      <w:pPr>
        <w:spacing w:before="149" w:line="220" w:lineRule="auto"/>
        <w:ind w:left="23"/>
        <w:rPr>
          <w:rFonts w:ascii="宋体" w:hAnsi="宋体" w:eastAsia="宋体" w:cs="宋体"/>
          <w:sz w:val="21"/>
          <w:szCs w:val="21"/>
        </w:rPr>
      </w:pPr>
      <w:r>
        <w:rPr>
          <w:rFonts w:ascii="宋体" w:hAnsi="宋体" w:eastAsia="宋体" w:cs="宋体"/>
          <w:spacing w:val="-1"/>
          <w:sz w:val="21"/>
          <w:szCs w:val="21"/>
        </w:rPr>
        <w:t>原因导致交货日期延误或交货地点变更等情况的；</w:t>
      </w:r>
    </w:p>
    <w:p w14:paraId="3062F5AA">
      <w:pPr>
        <w:spacing w:before="148" w:line="221" w:lineRule="auto"/>
        <w:ind w:left="447"/>
        <w:rPr>
          <w:rFonts w:ascii="宋体" w:hAnsi="宋体" w:eastAsia="宋体" w:cs="宋体"/>
          <w:sz w:val="21"/>
          <w:szCs w:val="21"/>
        </w:rPr>
      </w:pPr>
      <w:r>
        <w:rPr>
          <w:rFonts w:ascii="宋体" w:hAnsi="宋体" w:eastAsia="宋体" w:cs="宋体"/>
          <w:spacing w:val="-2"/>
          <w:sz w:val="21"/>
          <w:szCs w:val="21"/>
        </w:rPr>
        <w:t>（</w:t>
      </w:r>
      <w:r>
        <w:rPr>
          <w:rFonts w:ascii="Times New Roman" w:hAnsi="Times New Roman" w:eastAsia="Times New Roman" w:cs="Times New Roman"/>
          <w:spacing w:val="-2"/>
          <w:sz w:val="21"/>
          <w:szCs w:val="21"/>
        </w:rPr>
        <w:t>5</w:t>
      </w:r>
      <w:r>
        <w:rPr>
          <w:rFonts w:ascii="宋体" w:hAnsi="宋体" w:eastAsia="宋体" w:cs="宋体"/>
          <w:spacing w:val="-2"/>
          <w:sz w:val="21"/>
          <w:szCs w:val="21"/>
        </w:rPr>
        <w:t>）因发包人违反合同约定造成暂停施工</w:t>
      </w:r>
      <w:r>
        <w:rPr>
          <w:rFonts w:ascii="宋体" w:hAnsi="宋体" w:eastAsia="宋体" w:cs="宋体"/>
          <w:spacing w:val="-3"/>
          <w:sz w:val="21"/>
          <w:szCs w:val="21"/>
        </w:rPr>
        <w:t>的；</w:t>
      </w:r>
    </w:p>
    <w:p w14:paraId="090DFC42">
      <w:pPr>
        <w:spacing w:before="151" w:line="399" w:lineRule="exact"/>
        <w:ind w:left="447"/>
        <w:rPr>
          <w:rFonts w:ascii="宋体" w:hAnsi="宋体" w:eastAsia="宋体" w:cs="宋体"/>
          <w:sz w:val="21"/>
          <w:szCs w:val="21"/>
        </w:rPr>
      </w:pPr>
      <w:r>
        <w:rPr>
          <w:rFonts w:ascii="宋体" w:hAnsi="宋体" w:eastAsia="宋体" w:cs="宋体"/>
          <w:position w:val="14"/>
          <w:sz w:val="21"/>
          <w:szCs w:val="21"/>
        </w:rPr>
        <w:t>（</w:t>
      </w:r>
      <w:r>
        <w:rPr>
          <w:rFonts w:ascii="Times New Roman" w:hAnsi="Times New Roman" w:eastAsia="Times New Roman" w:cs="Times New Roman"/>
          <w:position w:val="14"/>
          <w:sz w:val="21"/>
          <w:szCs w:val="21"/>
        </w:rPr>
        <w:t>6</w:t>
      </w:r>
      <w:r>
        <w:rPr>
          <w:rFonts w:ascii="宋体" w:hAnsi="宋体" w:eastAsia="宋体" w:cs="宋体"/>
          <w:position w:val="14"/>
          <w:sz w:val="21"/>
          <w:szCs w:val="21"/>
        </w:rPr>
        <w:t>）发包人无正当理由没有在约定期限内发出复工指示</w:t>
      </w:r>
      <w:r>
        <w:rPr>
          <w:rFonts w:ascii="宋体" w:hAnsi="宋体" w:eastAsia="宋体" w:cs="宋体"/>
          <w:spacing w:val="-1"/>
          <w:position w:val="14"/>
          <w:sz w:val="21"/>
          <w:szCs w:val="21"/>
        </w:rPr>
        <w:t>，导致承包人无法复工的；</w:t>
      </w:r>
    </w:p>
    <w:p w14:paraId="29705FE9">
      <w:pPr>
        <w:spacing w:line="220" w:lineRule="auto"/>
        <w:ind w:left="447"/>
        <w:rPr>
          <w:rFonts w:ascii="宋体" w:hAnsi="宋体" w:eastAsia="宋体" w:cs="宋体"/>
          <w:sz w:val="21"/>
          <w:szCs w:val="21"/>
        </w:rPr>
      </w:pPr>
      <w:r>
        <w:rPr>
          <w:rFonts w:ascii="宋体" w:hAnsi="宋体" w:eastAsia="宋体" w:cs="宋体"/>
          <w:spacing w:val="-1"/>
          <w:sz w:val="21"/>
          <w:szCs w:val="21"/>
        </w:rPr>
        <w:t>（</w:t>
      </w:r>
      <w:r>
        <w:rPr>
          <w:rFonts w:ascii="Times New Roman" w:hAnsi="Times New Roman" w:eastAsia="Times New Roman" w:cs="Times New Roman"/>
          <w:spacing w:val="-1"/>
          <w:sz w:val="21"/>
          <w:szCs w:val="21"/>
        </w:rPr>
        <w:t>7</w:t>
      </w:r>
      <w:r>
        <w:rPr>
          <w:rFonts w:ascii="宋体" w:hAnsi="宋体" w:eastAsia="宋体" w:cs="宋体"/>
          <w:spacing w:val="-1"/>
          <w:sz w:val="21"/>
          <w:szCs w:val="21"/>
        </w:rPr>
        <w:t>）发包人明确表示或者以其行为表明不履行合同主要义务的；</w:t>
      </w:r>
    </w:p>
    <w:p w14:paraId="6B8EB12E">
      <w:pPr>
        <w:spacing w:before="147" w:line="221" w:lineRule="auto"/>
        <w:ind w:left="447"/>
        <w:rPr>
          <w:rFonts w:ascii="宋体" w:hAnsi="宋体" w:eastAsia="宋体" w:cs="宋体"/>
          <w:sz w:val="21"/>
          <w:szCs w:val="21"/>
        </w:rPr>
      </w:pPr>
      <w:r>
        <w:rPr>
          <w:rFonts w:ascii="宋体" w:hAnsi="宋体" w:eastAsia="宋体" w:cs="宋体"/>
          <w:spacing w:val="-1"/>
          <w:sz w:val="21"/>
          <w:szCs w:val="21"/>
        </w:rPr>
        <w:t>（</w:t>
      </w:r>
      <w:r>
        <w:rPr>
          <w:rFonts w:ascii="Times New Roman" w:hAnsi="Times New Roman" w:eastAsia="Times New Roman" w:cs="Times New Roman"/>
          <w:spacing w:val="-1"/>
          <w:sz w:val="21"/>
          <w:szCs w:val="21"/>
        </w:rPr>
        <w:t>8</w:t>
      </w:r>
      <w:r>
        <w:rPr>
          <w:rFonts w:ascii="宋体" w:hAnsi="宋体" w:eastAsia="宋体" w:cs="宋体"/>
          <w:spacing w:val="-1"/>
          <w:sz w:val="21"/>
          <w:szCs w:val="21"/>
        </w:rPr>
        <w:t>）发包人未能按照合同约定履行其他义务的。</w:t>
      </w:r>
    </w:p>
    <w:p w14:paraId="441B1362">
      <w:pPr>
        <w:spacing w:before="153" w:line="350" w:lineRule="auto"/>
        <w:ind w:left="18" w:right="12" w:firstLine="426"/>
        <w:rPr>
          <w:rFonts w:ascii="宋体" w:hAnsi="宋体" w:eastAsia="宋体" w:cs="宋体"/>
          <w:sz w:val="21"/>
          <w:szCs w:val="21"/>
        </w:rPr>
      </w:pPr>
      <w:r>
        <w:rPr>
          <w:rFonts w:ascii="宋体" w:hAnsi="宋体" w:eastAsia="宋体" w:cs="宋体"/>
          <w:spacing w:val="-4"/>
          <w:sz w:val="21"/>
          <w:szCs w:val="21"/>
        </w:rPr>
        <w:t>发包人发生除本项第（</w:t>
      </w:r>
      <w:r>
        <w:rPr>
          <w:rFonts w:ascii="Times New Roman" w:hAnsi="Times New Roman" w:eastAsia="Times New Roman" w:cs="Times New Roman"/>
          <w:spacing w:val="-4"/>
          <w:sz w:val="21"/>
          <w:szCs w:val="21"/>
        </w:rPr>
        <w:t>7</w:t>
      </w:r>
      <w:r>
        <w:rPr>
          <w:rFonts w:ascii="宋体" w:hAnsi="宋体" w:eastAsia="宋体" w:cs="宋体"/>
          <w:spacing w:val="-4"/>
          <w:sz w:val="21"/>
          <w:szCs w:val="21"/>
        </w:rPr>
        <w:t>）目以外的违约情况时，</w:t>
      </w:r>
      <w:r>
        <w:rPr>
          <w:rFonts w:ascii="宋体" w:hAnsi="宋体" w:eastAsia="宋体" w:cs="宋体"/>
          <w:spacing w:val="52"/>
          <w:sz w:val="21"/>
          <w:szCs w:val="21"/>
        </w:rPr>
        <w:t xml:space="preserve"> </w:t>
      </w:r>
      <w:r>
        <w:rPr>
          <w:rFonts w:ascii="宋体" w:hAnsi="宋体" w:eastAsia="宋体" w:cs="宋体"/>
          <w:spacing w:val="-4"/>
          <w:sz w:val="21"/>
          <w:szCs w:val="21"/>
        </w:rPr>
        <w:t>承包人可向发包人发出通</w:t>
      </w:r>
      <w:r>
        <w:rPr>
          <w:rFonts w:ascii="宋体" w:hAnsi="宋体" w:eastAsia="宋体" w:cs="宋体"/>
          <w:spacing w:val="-5"/>
          <w:sz w:val="21"/>
          <w:szCs w:val="21"/>
        </w:rPr>
        <w:t>知，要求发</w:t>
      </w:r>
      <w:r>
        <w:rPr>
          <w:rFonts w:ascii="宋体" w:hAnsi="宋体" w:eastAsia="宋体" w:cs="宋体"/>
          <w:sz w:val="21"/>
          <w:szCs w:val="21"/>
        </w:rPr>
        <w:t xml:space="preserve"> </w:t>
      </w:r>
      <w:r>
        <w:rPr>
          <w:rFonts w:ascii="宋体" w:hAnsi="宋体" w:eastAsia="宋体" w:cs="宋体"/>
          <w:spacing w:val="-2"/>
          <w:sz w:val="21"/>
          <w:szCs w:val="21"/>
        </w:rPr>
        <w:t>包人采取有效措施纠正违约行为。发包人收到承包人通知后</w:t>
      </w:r>
      <w:r>
        <w:rPr>
          <w:rFonts w:ascii="宋体" w:hAnsi="宋体" w:eastAsia="宋体" w:cs="宋体"/>
          <w:spacing w:val="-22"/>
          <w:sz w:val="21"/>
          <w:szCs w:val="21"/>
        </w:rPr>
        <w:t xml:space="preserve"> </w:t>
      </w:r>
      <w:r>
        <w:rPr>
          <w:rFonts w:ascii="Times New Roman" w:hAnsi="Times New Roman" w:eastAsia="Times New Roman" w:cs="Times New Roman"/>
          <w:spacing w:val="-2"/>
          <w:sz w:val="21"/>
          <w:szCs w:val="21"/>
        </w:rPr>
        <w:t>28</w:t>
      </w:r>
      <w:r>
        <w:rPr>
          <w:rFonts w:ascii="Times New Roman" w:hAnsi="Times New Roman" w:eastAsia="Times New Roman" w:cs="Times New Roman"/>
          <w:spacing w:val="13"/>
          <w:sz w:val="21"/>
          <w:szCs w:val="21"/>
        </w:rPr>
        <w:t xml:space="preserve"> </w:t>
      </w:r>
      <w:r>
        <w:rPr>
          <w:rFonts w:ascii="宋体" w:hAnsi="宋体" w:eastAsia="宋体" w:cs="宋体"/>
          <w:spacing w:val="-2"/>
          <w:sz w:val="21"/>
          <w:szCs w:val="21"/>
        </w:rPr>
        <w:t>天内仍不纠正违约行为的，</w:t>
      </w:r>
    </w:p>
    <w:p w14:paraId="0A45E940">
      <w:pPr>
        <w:spacing w:line="220" w:lineRule="auto"/>
        <w:ind w:left="18"/>
        <w:rPr>
          <w:rFonts w:ascii="宋体" w:hAnsi="宋体" w:eastAsia="宋体" w:cs="宋体"/>
          <w:sz w:val="21"/>
          <w:szCs w:val="21"/>
        </w:rPr>
      </w:pPr>
      <w:r>
        <w:rPr>
          <w:rFonts w:ascii="宋体" w:hAnsi="宋体" w:eastAsia="宋体" w:cs="宋体"/>
          <w:spacing w:val="-1"/>
          <w:sz w:val="21"/>
          <w:szCs w:val="21"/>
        </w:rPr>
        <w:t>承包人有权暂停相应部位工程施工，并通知监理人。</w:t>
      </w:r>
    </w:p>
    <w:p w14:paraId="435EE0F0">
      <w:pPr>
        <w:spacing w:before="152" w:line="221" w:lineRule="auto"/>
        <w:ind w:left="457"/>
        <w:rPr>
          <w:rFonts w:ascii="宋体" w:hAnsi="宋体" w:eastAsia="宋体" w:cs="宋体"/>
          <w:sz w:val="21"/>
          <w:szCs w:val="21"/>
        </w:rPr>
      </w:pPr>
      <w:r>
        <w:rPr>
          <w:rFonts w:ascii="Times New Roman" w:hAnsi="Times New Roman" w:eastAsia="Times New Roman" w:cs="Times New Roman"/>
          <w:spacing w:val="-2"/>
          <w:sz w:val="21"/>
          <w:szCs w:val="21"/>
        </w:rPr>
        <w:t xml:space="preserve">16.1.2 </w:t>
      </w:r>
      <w:r>
        <w:rPr>
          <w:rFonts w:ascii="宋体" w:hAnsi="宋体" w:eastAsia="宋体" w:cs="宋体"/>
          <w:spacing w:val="-2"/>
          <w:sz w:val="21"/>
          <w:szCs w:val="21"/>
        </w:rPr>
        <w:t>发包人违约的责任</w:t>
      </w:r>
    </w:p>
    <w:p w14:paraId="7960CDE6">
      <w:pPr>
        <w:spacing w:before="148" w:line="352" w:lineRule="auto"/>
        <w:ind w:left="35" w:right="6" w:firstLine="408"/>
        <w:rPr>
          <w:rFonts w:ascii="宋体" w:hAnsi="宋体" w:eastAsia="宋体" w:cs="宋体"/>
          <w:sz w:val="21"/>
          <w:szCs w:val="21"/>
        </w:rPr>
      </w:pPr>
      <w:r>
        <w:rPr>
          <w:rFonts w:ascii="宋体" w:hAnsi="宋体" w:eastAsia="宋体" w:cs="宋体"/>
          <w:spacing w:val="3"/>
          <w:sz w:val="21"/>
          <w:szCs w:val="21"/>
        </w:rPr>
        <w:t>发包人应承担因其违约给承包人增加的费用和（或）延误的工期，并支付承包人合理</w:t>
      </w:r>
      <w:r>
        <w:rPr>
          <w:rFonts w:ascii="宋体" w:hAnsi="宋体" w:eastAsia="宋体" w:cs="宋体"/>
          <w:sz w:val="21"/>
          <w:szCs w:val="21"/>
        </w:rPr>
        <w:t xml:space="preserve"> </w:t>
      </w:r>
      <w:r>
        <w:rPr>
          <w:rFonts w:ascii="宋体" w:hAnsi="宋体" w:eastAsia="宋体" w:cs="宋体"/>
          <w:spacing w:val="2"/>
          <w:sz w:val="21"/>
          <w:szCs w:val="21"/>
        </w:rPr>
        <w:t>的利润。此外，合同当事人可在专用合同条款中另行约定发包人违约责任的承担方式和计</w:t>
      </w:r>
    </w:p>
    <w:p w14:paraId="05E82467">
      <w:pPr>
        <w:spacing w:before="1" w:line="220" w:lineRule="auto"/>
        <w:ind w:left="20"/>
        <w:rPr>
          <w:rFonts w:ascii="宋体" w:hAnsi="宋体" w:eastAsia="宋体" w:cs="宋体"/>
          <w:sz w:val="21"/>
          <w:szCs w:val="21"/>
        </w:rPr>
      </w:pPr>
      <w:r>
        <w:rPr>
          <w:rFonts w:ascii="宋体" w:hAnsi="宋体" w:eastAsia="宋体" w:cs="宋体"/>
          <w:spacing w:val="-7"/>
          <w:sz w:val="21"/>
          <w:szCs w:val="21"/>
        </w:rPr>
        <w:t>算方法。</w:t>
      </w:r>
    </w:p>
    <w:p w14:paraId="2281B6E1">
      <w:pPr>
        <w:spacing w:before="148" w:line="221" w:lineRule="auto"/>
        <w:ind w:left="457"/>
        <w:rPr>
          <w:rFonts w:ascii="宋体" w:hAnsi="宋体" w:eastAsia="宋体" w:cs="宋体"/>
          <w:sz w:val="21"/>
          <w:szCs w:val="21"/>
        </w:rPr>
      </w:pPr>
      <w:r>
        <w:rPr>
          <w:rFonts w:ascii="Times New Roman" w:hAnsi="Times New Roman" w:eastAsia="Times New Roman" w:cs="Times New Roman"/>
          <w:spacing w:val="-3"/>
          <w:sz w:val="21"/>
          <w:szCs w:val="21"/>
        </w:rPr>
        <w:t>16.1.3</w:t>
      </w:r>
      <w:r>
        <w:rPr>
          <w:rFonts w:ascii="Times New Roman" w:hAnsi="Times New Roman" w:eastAsia="Times New Roman" w:cs="Times New Roman"/>
          <w:spacing w:val="27"/>
          <w:w w:val="101"/>
          <w:sz w:val="21"/>
          <w:szCs w:val="21"/>
        </w:rPr>
        <w:t xml:space="preserve"> </w:t>
      </w:r>
      <w:r>
        <w:rPr>
          <w:rFonts w:ascii="宋体" w:hAnsi="宋体" w:eastAsia="宋体" w:cs="宋体"/>
          <w:spacing w:val="-3"/>
          <w:sz w:val="21"/>
          <w:szCs w:val="21"/>
        </w:rPr>
        <w:t>因发包人违约解除合同</w:t>
      </w:r>
    </w:p>
    <w:p w14:paraId="6485DDA4">
      <w:pPr>
        <w:spacing w:before="146" w:line="352" w:lineRule="auto"/>
        <w:ind w:left="20" w:right="5" w:firstLine="432"/>
        <w:rPr>
          <w:rFonts w:ascii="宋体" w:hAnsi="宋体" w:eastAsia="宋体" w:cs="宋体"/>
          <w:sz w:val="21"/>
          <w:szCs w:val="21"/>
        </w:rPr>
      </w:pPr>
      <w:r>
        <w:rPr>
          <w:rFonts w:ascii="宋体" w:hAnsi="宋体" w:eastAsia="宋体" w:cs="宋体"/>
          <w:spacing w:val="-1"/>
          <w:sz w:val="21"/>
          <w:szCs w:val="21"/>
        </w:rPr>
        <w:t>除专用合同条款另有约定外，承包人按第</w:t>
      </w:r>
      <w:r>
        <w:rPr>
          <w:rFonts w:ascii="宋体" w:hAnsi="宋体" w:eastAsia="宋体" w:cs="宋体"/>
          <w:spacing w:val="43"/>
          <w:sz w:val="21"/>
          <w:szCs w:val="21"/>
        </w:rPr>
        <w:t xml:space="preserve"> </w:t>
      </w:r>
      <w:r>
        <w:rPr>
          <w:rFonts w:ascii="Times New Roman" w:hAnsi="Times New Roman" w:eastAsia="Times New Roman" w:cs="Times New Roman"/>
          <w:spacing w:val="-1"/>
          <w:sz w:val="21"/>
          <w:szCs w:val="21"/>
        </w:rPr>
        <w:t>16.1.1</w:t>
      </w:r>
      <w:r>
        <w:rPr>
          <w:rFonts w:ascii="Times New Roman" w:hAnsi="Times New Roman" w:eastAsia="Times New Roman" w:cs="Times New Roman"/>
          <w:spacing w:val="46"/>
          <w:sz w:val="21"/>
          <w:szCs w:val="21"/>
        </w:rPr>
        <w:t xml:space="preserve"> </w:t>
      </w:r>
      <w:r>
        <w:rPr>
          <w:rFonts w:ascii="宋体" w:hAnsi="宋体" w:eastAsia="宋体" w:cs="宋体"/>
          <w:spacing w:val="-1"/>
          <w:sz w:val="21"/>
          <w:szCs w:val="21"/>
        </w:rPr>
        <w:t>项〔发包人违约的情形〕约定暂停施</w:t>
      </w:r>
      <w:r>
        <w:rPr>
          <w:rFonts w:ascii="宋体" w:hAnsi="宋体" w:eastAsia="宋体" w:cs="宋体"/>
          <w:sz w:val="21"/>
          <w:szCs w:val="21"/>
        </w:rPr>
        <w:t xml:space="preserve"> </w:t>
      </w:r>
      <w:r>
        <w:rPr>
          <w:rFonts w:ascii="宋体" w:hAnsi="宋体" w:eastAsia="宋体" w:cs="宋体"/>
          <w:spacing w:val="-4"/>
          <w:sz w:val="21"/>
          <w:szCs w:val="21"/>
        </w:rPr>
        <w:t>工满</w:t>
      </w:r>
      <w:r>
        <w:rPr>
          <w:rFonts w:ascii="宋体" w:hAnsi="宋体" w:eastAsia="宋体" w:cs="宋体"/>
          <w:spacing w:val="-29"/>
          <w:sz w:val="21"/>
          <w:szCs w:val="21"/>
        </w:rPr>
        <w:t xml:space="preserve"> </w:t>
      </w:r>
      <w:r>
        <w:rPr>
          <w:rFonts w:ascii="Times New Roman" w:hAnsi="Times New Roman" w:eastAsia="Times New Roman" w:cs="Times New Roman"/>
          <w:spacing w:val="-4"/>
          <w:sz w:val="21"/>
          <w:szCs w:val="21"/>
        </w:rPr>
        <w:t>28</w:t>
      </w:r>
      <w:r>
        <w:rPr>
          <w:rFonts w:ascii="Times New Roman" w:hAnsi="Times New Roman" w:eastAsia="Times New Roman" w:cs="Times New Roman"/>
          <w:spacing w:val="13"/>
          <w:sz w:val="21"/>
          <w:szCs w:val="21"/>
        </w:rPr>
        <w:t xml:space="preserve"> </w:t>
      </w:r>
      <w:r>
        <w:rPr>
          <w:rFonts w:ascii="宋体" w:hAnsi="宋体" w:eastAsia="宋体" w:cs="宋体"/>
          <w:spacing w:val="-4"/>
          <w:sz w:val="21"/>
          <w:szCs w:val="21"/>
        </w:rPr>
        <w:t xml:space="preserve">天后，发包人仍不纠正其违约行为并致使合同目的不能实现的， 或出现第 </w:t>
      </w:r>
      <w:r>
        <w:rPr>
          <w:rFonts w:ascii="Times New Roman" w:hAnsi="Times New Roman" w:eastAsia="Times New Roman" w:cs="Times New Roman"/>
          <w:spacing w:val="-4"/>
          <w:sz w:val="21"/>
          <w:szCs w:val="21"/>
        </w:rPr>
        <w:t xml:space="preserve">16.1.1 </w:t>
      </w:r>
      <w:r>
        <w:rPr>
          <w:rFonts w:ascii="宋体" w:hAnsi="宋体" w:eastAsia="宋体" w:cs="宋体"/>
          <w:spacing w:val="-4"/>
          <w:sz w:val="21"/>
          <w:szCs w:val="21"/>
        </w:rPr>
        <w:t>项</w:t>
      </w:r>
      <w:r>
        <w:rPr>
          <w:rFonts w:ascii="宋体" w:hAnsi="宋体" w:eastAsia="宋体" w:cs="宋体"/>
          <w:sz w:val="21"/>
          <w:szCs w:val="21"/>
        </w:rPr>
        <w:t xml:space="preserve"> </w:t>
      </w:r>
      <w:r>
        <w:rPr>
          <w:rFonts w:ascii="宋体" w:hAnsi="宋体" w:eastAsia="宋体" w:cs="宋体"/>
          <w:spacing w:val="-2"/>
          <w:sz w:val="21"/>
          <w:szCs w:val="21"/>
        </w:rPr>
        <w:t>〔发包人违约的情形〕第（</w:t>
      </w:r>
      <w:r>
        <w:rPr>
          <w:rFonts w:ascii="Times New Roman" w:hAnsi="Times New Roman" w:eastAsia="Times New Roman" w:cs="Times New Roman"/>
          <w:spacing w:val="-2"/>
          <w:sz w:val="21"/>
          <w:szCs w:val="21"/>
        </w:rPr>
        <w:t>7</w:t>
      </w:r>
      <w:r>
        <w:rPr>
          <w:rFonts w:ascii="宋体" w:hAnsi="宋体" w:eastAsia="宋体" w:cs="宋体"/>
          <w:spacing w:val="-2"/>
          <w:sz w:val="21"/>
          <w:szCs w:val="21"/>
        </w:rPr>
        <w:t>）目约定的违约情况，</w:t>
      </w:r>
      <w:r>
        <w:rPr>
          <w:rFonts w:ascii="宋体" w:hAnsi="宋体" w:eastAsia="宋体" w:cs="宋体"/>
          <w:spacing w:val="-17"/>
          <w:sz w:val="21"/>
          <w:szCs w:val="21"/>
        </w:rPr>
        <w:t xml:space="preserve"> </w:t>
      </w:r>
      <w:r>
        <w:rPr>
          <w:rFonts w:ascii="宋体" w:hAnsi="宋体" w:eastAsia="宋体" w:cs="宋体"/>
          <w:spacing w:val="-2"/>
          <w:sz w:val="21"/>
          <w:szCs w:val="21"/>
        </w:rPr>
        <w:t>承包人有权解除合同，发包人应承担由</w:t>
      </w:r>
    </w:p>
    <w:p w14:paraId="7187C335">
      <w:pPr>
        <w:spacing w:before="1" w:line="220" w:lineRule="auto"/>
        <w:ind w:left="19"/>
        <w:rPr>
          <w:rFonts w:ascii="宋体" w:hAnsi="宋体" w:eastAsia="宋体" w:cs="宋体"/>
          <w:sz w:val="21"/>
          <w:szCs w:val="21"/>
        </w:rPr>
      </w:pPr>
      <w:r>
        <w:rPr>
          <w:rFonts w:ascii="宋体" w:hAnsi="宋体" w:eastAsia="宋体" w:cs="宋体"/>
          <w:spacing w:val="-2"/>
          <w:sz w:val="21"/>
          <w:szCs w:val="21"/>
        </w:rPr>
        <w:t>此增加的费用，并支付承包人合理的利润。</w:t>
      </w:r>
    </w:p>
    <w:p w14:paraId="580E6712">
      <w:pPr>
        <w:spacing w:before="152" w:line="221" w:lineRule="auto"/>
        <w:ind w:left="457"/>
        <w:rPr>
          <w:rFonts w:ascii="宋体" w:hAnsi="宋体" w:eastAsia="宋体" w:cs="宋体"/>
          <w:sz w:val="21"/>
          <w:szCs w:val="21"/>
        </w:rPr>
      </w:pPr>
      <w:r>
        <w:rPr>
          <w:rFonts w:ascii="Times New Roman" w:hAnsi="Times New Roman" w:eastAsia="Times New Roman" w:cs="Times New Roman"/>
          <w:spacing w:val="-3"/>
          <w:sz w:val="21"/>
          <w:szCs w:val="21"/>
        </w:rPr>
        <w:t>16.1.4</w:t>
      </w:r>
      <w:r>
        <w:rPr>
          <w:rFonts w:ascii="Times New Roman" w:hAnsi="Times New Roman" w:eastAsia="Times New Roman" w:cs="Times New Roman"/>
          <w:spacing w:val="39"/>
          <w:w w:val="101"/>
          <w:sz w:val="21"/>
          <w:szCs w:val="21"/>
        </w:rPr>
        <w:t xml:space="preserve"> </w:t>
      </w:r>
      <w:r>
        <w:rPr>
          <w:rFonts w:ascii="宋体" w:hAnsi="宋体" w:eastAsia="宋体" w:cs="宋体"/>
          <w:spacing w:val="-3"/>
          <w:sz w:val="21"/>
          <w:szCs w:val="21"/>
        </w:rPr>
        <w:t>因发包人违约解除合同后的付款</w:t>
      </w:r>
    </w:p>
    <w:p w14:paraId="2EFA3225">
      <w:pPr>
        <w:spacing w:before="147" w:line="399" w:lineRule="exact"/>
        <w:ind w:right="6"/>
        <w:jc w:val="right"/>
        <w:rPr>
          <w:rFonts w:ascii="宋体" w:hAnsi="宋体" w:eastAsia="宋体" w:cs="宋体"/>
          <w:sz w:val="21"/>
          <w:szCs w:val="21"/>
        </w:rPr>
      </w:pPr>
      <w:r>
        <w:rPr>
          <w:rFonts w:ascii="宋体" w:hAnsi="宋体" w:eastAsia="宋体" w:cs="宋体"/>
          <w:position w:val="14"/>
          <w:sz w:val="21"/>
          <w:szCs w:val="21"/>
        </w:rPr>
        <w:t>承包人按照本款约定解除合同的，发包人应在解除合同后</w:t>
      </w:r>
      <w:r>
        <w:rPr>
          <w:rFonts w:ascii="宋体" w:hAnsi="宋体" w:eastAsia="宋体" w:cs="宋体"/>
          <w:spacing w:val="-31"/>
          <w:position w:val="14"/>
          <w:sz w:val="21"/>
          <w:szCs w:val="21"/>
        </w:rPr>
        <w:t xml:space="preserve"> </w:t>
      </w:r>
      <w:r>
        <w:rPr>
          <w:rFonts w:ascii="Times New Roman" w:hAnsi="Times New Roman" w:eastAsia="Times New Roman" w:cs="Times New Roman"/>
          <w:position w:val="14"/>
          <w:sz w:val="21"/>
          <w:szCs w:val="21"/>
        </w:rPr>
        <w:t>2</w:t>
      </w:r>
      <w:r>
        <w:rPr>
          <w:rFonts w:ascii="Times New Roman" w:hAnsi="Times New Roman" w:eastAsia="Times New Roman" w:cs="Times New Roman"/>
          <w:spacing w:val="-1"/>
          <w:position w:val="14"/>
          <w:sz w:val="21"/>
          <w:szCs w:val="21"/>
        </w:rPr>
        <w:t xml:space="preserve">8 </w:t>
      </w:r>
      <w:r>
        <w:rPr>
          <w:rFonts w:ascii="宋体" w:hAnsi="宋体" w:eastAsia="宋体" w:cs="宋体"/>
          <w:spacing w:val="-1"/>
          <w:position w:val="14"/>
          <w:sz w:val="21"/>
          <w:szCs w:val="21"/>
        </w:rPr>
        <w:t>天内支付下列款项，并解</w:t>
      </w:r>
    </w:p>
    <w:p w14:paraId="3106D2B6">
      <w:pPr>
        <w:spacing w:line="220" w:lineRule="auto"/>
        <w:ind w:left="30"/>
        <w:rPr>
          <w:rFonts w:ascii="宋体" w:hAnsi="宋体" w:eastAsia="宋体" w:cs="宋体"/>
          <w:sz w:val="21"/>
          <w:szCs w:val="21"/>
        </w:rPr>
      </w:pPr>
      <w:r>
        <w:rPr>
          <w:rFonts w:ascii="宋体" w:hAnsi="宋体" w:eastAsia="宋体" w:cs="宋体"/>
          <w:spacing w:val="-3"/>
          <w:sz w:val="21"/>
          <w:szCs w:val="21"/>
        </w:rPr>
        <w:t>除履约担保：</w:t>
      </w:r>
    </w:p>
    <w:p w14:paraId="1FF18C1B">
      <w:pPr>
        <w:spacing w:before="153" w:line="219" w:lineRule="auto"/>
        <w:ind w:left="447"/>
        <w:rPr>
          <w:rFonts w:ascii="宋体" w:hAnsi="宋体" w:eastAsia="宋体" w:cs="宋体"/>
          <w:sz w:val="21"/>
          <w:szCs w:val="21"/>
        </w:rPr>
      </w:pPr>
      <w:r>
        <w:rPr>
          <w:rFonts w:ascii="宋体" w:hAnsi="宋体" w:eastAsia="宋体" w:cs="宋体"/>
          <w:spacing w:val="-3"/>
          <w:sz w:val="21"/>
          <w:szCs w:val="21"/>
        </w:rPr>
        <w:t>（</w:t>
      </w:r>
      <w:r>
        <w:rPr>
          <w:rFonts w:ascii="Times New Roman" w:hAnsi="Times New Roman" w:eastAsia="Times New Roman" w:cs="Times New Roman"/>
          <w:spacing w:val="-3"/>
          <w:sz w:val="21"/>
          <w:szCs w:val="21"/>
        </w:rPr>
        <w:t>1</w:t>
      </w:r>
      <w:r>
        <w:rPr>
          <w:rFonts w:ascii="宋体" w:hAnsi="宋体" w:eastAsia="宋体" w:cs="宋体"/>
          <w:spacing w:val="-3"/>
          <w:sz w:val="21"/>
          <w:szCs w:val="21"/>
        </w:rPr>
        <w:t>）合同解除前所完成工作的价款；</w:t>
      </w:r>
    </w:p>
    <w:p w14:paraId="575A2FC5">
      <w:pPr>
        <w:spacing w:before="149" w:line="399" w:lineRule="exact"/>
        <w:ind w:left="447"/>
        <w:rPr>
          <w:rFonts w:ascii="宋体" w:hAnsi="宋体" w:eastAsia="宋体" w:cs="宋体"/>
          <w:sz w:val="21"/>
          <w:szCs w:val="21"/>
        </w:rPr>
      </w:pPr>
      <w:r>
        <w:rPr>
          <w:rFonts w:ascii="宋体" w:hAnsi="宋体" w:eastAsia="宋体" w:cs="宋体"/>
          <w:spacing w:val="-1"/>
          <w:position w:val="14"/>
          <w:sz w:val="21"/>
          <w:szCs w:val="21"/>
        </w:rPr>
        <w:t>（</w:t>
      </w:r>
      <w:r>
        <w:rPr>
          <w:rFonts w:ascii="Times New Roman" w:hAnsi="Times New Roman" w:eastAsia="Times New Roman" w:cs="Times New Roman"/>
          <w:spacing w:val="-1"/>
          <w:position w:val="14"/>
          <w:sz w:val="21"/>
          <w:szCs w:val="21"/>
        </w:rPr>
        <w:t>2</w:t>
      </w:r>
      <w:r>
        <w:rPr>
          <w:rFonts w:ascii="宋体" w:hAnsi="宋体" w:eastAsia="宋体" w:cs="宋体"/>
          <w:spacing w:val="-1"/>
          <w:position w:val="14"/>
          <w:sz w:val="21"/>
          <w:szCs w:val="21"/>
        </w:rPr>
        <w:t>）承包人为工程施工订购并已付款的材料、工程设备和其他物品</w:t>
      </w:r>
      <w:r>
        <w:rPr>
          <w:rFonts w:ascii="宋体" w:hAnsi="宋体" w:eastAsia="宋体" w:cs="宋体"/>
          <w:spacing w:val="-2"/>
          <w:position w:val="14"/>
          <w:sz w:val="21"/>
          <w:szCs w:val="21"/>
        </w:rPr>
        <w:t>的价款；</w:t>
      </w:r>
    </w:p>
    <w:p w14:paraId="133DFCBC">
      <w:pPr>
        <w:spacing w:line="220" w:lineRule="auto"/>
        <w:ind w:left="447"/>
        <w:rPr>
          <w:rFonts w:ascii="宋体" w:hAnsi="宋体" w:eastAsia="宋体" w:cs="宋体"/>
          <w:sz w:val="21"/>
          <w:szCs w:val="21"/>
        </w:rPr>
      </w:pPr>
      <w:r>
        <w:rPr>
          <w:rFonts w:ascii="宋体" w:hAnsi="宋体" w:eastAsia="宋体" w:cs="宋体"/>
          <w:spacing w:val="-2"/>
          <w:sz w:val="21"/>
          <w:szCs w:val="21"/>
        </w:rPr>
        <w:t>（</w:t>
      </w:r>
      <w:r>
        <w:rPr>
          <w:rFonts w:ascii="Times New Roman" w:hAnsi="Times New Roman" w:eastAsia="Times New Roman" w:cs="Times New Roman"/>
          <w:spacing w:val="-2"/>
          <w:sz w:val="21"/>
          <w:szCs w:val="21"/>
        </w:rPr>
        <w:t>3</w:t>
      </w:r>
      <w:r>
        <w:rPr>
          <w:rFonts w:ascii="宋体" w:hAnsi="宋体" w:eastAsia="宋体" w:cs="宋体"/>
          <w:spacing w:val="-2"/>
          <w:sz w:val="21"/>
          <w:szCs w:val="21"/>
        </w:rPr>
        <w:t>）承包人撤离施工现场以及遣散承包人人员的款项；</w:t>
      </w:r>
    </w:p>
    <w:p w14:paraId="6E75E2C4">
      <w:pPr>
        <w:spacing w:before="153" w:line="398" w:lineRule="exact"/>
        <w:ind w:left="447"/>
        <w:rPr>
          <w:rFonts w:ascii="宋体" w:hAnsi="宋体" w:eastAsia="宋体" w:cs="宋体"/>
          <w:sz w:val="21"/>
          <w:szCs w:val="21"/>
        </w:rPr>
      </w:pPr>
      <w:r>
        <w:rPr>
          <w:rFonts w:ascii="宋体" w:hAnsi="宋体" w:eastAsia="宋体" w:cs="宋体"/>
          <w:spacing w:val="-2"/>
          <w:position w:val="14"/>
          <w:sz w:val="21"/>
          <w:szCs w:val="21"/>
        </w:rPr>
        <w:t>（</w:t>
      </w:r>
      <w:r>
        <w:rPr>
          <w:rFonts w:ascii="Times New Roman" w:hAnsi="Times New Roman" w:eastAsia="Times New Roman" w:cs="Times New Roman"/>
          <w:spacing w:val="-2"/>
          <w:position w:val="14"/>
          <w:sz w:val="21"/>
          <w:szCs w:val="21"/>
        </w:rPr>
        <w:t>4</w:t>
      </w:r>
      <w:r>
        <w:rPr>
          <w:rFonts w:ascii="宋体" w:hAnsi="宋体" w:eastAsia="宋体" w:cs="宋体"/>
          <w:spacing w:val="-2"/>
          <w:position w:val="14"/>
          <w:sz w:val="21"/>
          <w:szCs w:val="21"/>
        </w:rPr>
        <w:t>）按照合同约定在合同解除前应支付的违约金；</w:t>
      </w:r>
    </w:p>
    <w:p w14:paraId="009573EC">
      <w:pPr>
        <w:spacing w:before="1" w:line="220" w:lineRule="auto"/>
        <w:ind w:left="447"/>
        <w:rPr>
          <w:rFonts w:ascii="宋体" w:hAnsi="宋体" w:eastAsia="宋体" w:cs="宋体"/>
          <w:sz w:val="21"/>
          <w:szCs w:val="21"/>
        </w:rPr>
      </w:pPr>
      <w:r>
        <w:rPr>
          <w:rFonts w:ascii="宋体" w:hAnsi="宋体" w:eastAsia="宋体" w:cs="宋体"/>
          <w:spacing w:val="-2"/>
          <w:sz w:val="21"/>
          <w:szCs w:val="21"/>
        </w:rPr>
        <w:t>（</w:t>
      </w:r>
      <w:r>
        <w:rPr>
          <w:rFonts w:ascii="Times New Roman" w:hAnsi="Times New Roman" w:eastAsia="Times New Roman" w:cs="Times New Roman"/>
          <w:spacing w:val="-2"/>
          <w:sz w:val="21"/>
          <w:szCs w:val="21"/>
        </w:rPr>
        <w:t>5</w:t>
      </w:r>
      <w:r>
        <w:rPr>
          <w:rFonts w:ascii="宋体" w:hAnsi="宋体" w:eastAsia="宋体" w:cs="宋体"/>
          <w:spacing w:val="-2"/>
          <w:sz w:val="21"/>
          <w:szCs w:val="21"/>
        </w:rPr>
        <w:t>）按照合同约定应当支付给承包人的其他款项；</w:t>
      </w:r>
    </w:p>
    <w:p w14:paraId="41090C5F">
      <w:pPr>
        <w:spacing w:before="148" w:line="403" w:lineRule="exact"/>
        <w:ind w:left="447"/>
        <w:rPr>
          <w:rFonts w:ascii="宋体" w:hAnsi="宋体" w:eastAsia="宋体" w:cs="宋体"/>
          <w:sz w:val="21"/>
          <w:szCs w:val="21"/>
        </w:rPr>
      </w:pPr>
      <w:r>
        <w:rPr>
          <w:rFonts w:ascii="宋体" w:hAnsi="宋体" w:eastAsia="宋体" w:cs="宋体"/>
          <w:spacing w:val="-1"/>
          <w:position w:val="14"/>
          <w:sz w:val="21"/>
          <w:szCs w:val="21"/>
        </w:rPr>
        <w:t>（</w:t>
      </w:r>
      <w:r>
        <w:rPr>
          <w:rFonts w:ascii="Times New Roman" w:hAnsi="Times New Roman" w:eastAsia="Times New Roman" w:cs="Times New Roman"/>
          <w:spacing w:val="-1"/>
          <w:position w:val="14"/>
          <w:sz w:val="21"/>
          <w:szCs w:val="21"/>
        </w:rPr>
        <w:t>6</w:t>
      </w:r>
      <w:r>
        <w:rPr>
          <w:rFonts w:ascii="宋体" w:hAnsi="宋体" w:eastAsia="宋体" w:cs="宋体"/>
          <w:spacing w:val="-1"/>
          <w:position w:val="14"/>
          <w:sz w:val="21"/>
          <w:szCs w:val="21"/>
        </w:rPr>
        <w:t>）按照合同约定应退还的质量保证金；</w:t>
      </w:r>
    </w:p>
    <w:p w14:paraId="534DB413">
      <w:pPr>
        <w:spacing w:before="1" w:line="220" w:lineRule="auto"/>
        <w:ind w:left="447"/>
        <w:rPr>
          <w:rFonts w:ascii="宋体" w:hAnsi="宋体" w:eastAsia="宋体" w:cs="宋体"/>
          <w:sz w:val="21"/>
          <w:szCs w:val="21"/>
        </w:rPr>
      </w:pPr>
      <w:r>
        <w:rPr>
          <w:rFonts w:ascii="宋体" w:hAnsi="宋体" w:eastAsia="宋体" w:cs="宋体"/>
          <w:spacing w:val="-2"/>
          <w:sz w:val="21"/>
          <w:szCs w:val="21"/>
        </w:rPr>
        <w:t>（</w:t>
      </w:r>
      <w:r>
        <w:rPr>
          <w:rFonts w:ascii="Times New Roman" w:hAnsi="Times New Roman" w:eastAsia="Times New Roman" w:cs="Times New Roman"/>
          <w:spacing w:val="-2"/>
          <w:sz w:val="21"/>
          <w:szCs w:val="21"/>
        </w:rPr>
        <w:t>7</w:t>
      </w:r>
      <w:r>
        <w:rPr>
          <w:rFonts w:ascii="宋体" w:hAnsi="宋体" w:eastAsia="宋体" w:cs="宋体"/>
          <w:spacing w:val="-2"/>
          <w:sz w:val="21"/>
          <w:szCs w:val="21"/>
        </w:rPr>
        <w:t>）因解除合同给承包人造成的损失。</w:t>
      </w:r>
    </w:p>
    <w:p w14:paraId="3F614E8A">
      <w:pPr>
        <w:spacing w:before="147" w:line="399" w:lineRule="exact"/>
        <w:jc w:val="right"/>
        <w:rPr>
          <w:rFonts w:ascii="宋体" w:hAnsi="宋体" w:eastAsia="宋体" w:cs="宋体"/>
          <w:sz w:val="21"/>
          <w:szCs w:val="21"/>
        </w:rPr>
      </w:pPr>
      <w:r>
        <w:rPr>
          <w:rFonts w:ascii="宋体" w:hAnsi="宋体" w:eastAsia="宋体" w:cs="宋体"/>
          <w:position w:val="14"/>
          <w:sz w:val="21"/>
          <w:szCs w:val="21"/>
        </w:rPr>
        <w:t>合同当事人未能就解除合同后的结清达成一致的，按照第</w:t>
      </w:r>
      <w:r>
        <w:rPr>
          <w:rFonts w:ascii="宋体" w:hAnsi="宋体" w:eastAsia="宋体" w:cs="宋体"/>
          <w:spacing w:val="-31"/>
          <w:position w:val="14"/>
          <w:sz w:val="21"/>
          <w:szCs w:val="21"/>
        </w:rPr>
        <w:t xml:space="preserve"> </w:t>
      </w:r>
      <w:r>
        <w:rPr>
          <w:rFonts w:ascii="Times New Roman" w:hAnsi="Times New Roman" w:eastAsia="Times New Roman" w:cs="Times New Roman"/>
          <w:position w:val="14"/>
          <w:sz w:val="21"/>
          <w:szCs w:val="21"/>
        </w:rPr>
        <w:t xml:space="preserve">20 </w:t>
      </w:r>
      <w:r>
        <w:rPr>
          <w:rFonts w:ascii="宋体" w:hAnsi="宋体" w:eastAsia="宋体" w:cs="宋体"/>
          <w:position w:val="14"/>
          <w:sz w:val="21"/>
          <w:szCs w:val="21"/>
        </w:rPr>
        <w:t>条〔争</w:t>
      </w:r>
      <w:r>
        <w:rPr>
          <w:rFonts w:ascii="宋体" w:hAnsi="宋体" w:eastAsia="宋体" w:cs="宋体"/>
          <w:spacing w:val="-1"/>
          <w:position w:val="14"/>
          <w:sz w:val="21"/>
          <w:szCs w:val="21"/>
        </w:rPr>
        <w:t>议解决〕的约定处</w:t>
      </w:r>
    </w:p>
    <w:p w14:paraId="35A1C1B1">
      <w:pPr>
        <w:spacing w:line="230" w:lineRule="auto"/>
        <w:ind w:left="20"/>
        <w:rPr>
          <w:rFonts w:ascii="宋体" w:hAnsi="宋体" w:eastAsia="宋体" w:cs="宋体"/>
          <w:sz w:val="21"/>
          <w:szCs w:val="21"/>
        </w:rPr>
      </w:pPr>
      <w:r>
        <w:rPr>
          <w:rFonts w:ascii="宋体" w:hAnsi="宋体" w:eastAsia="宋体" w:cs="宋体"/>
          <w:spacing w:val="-10"/>
          <w:sz w:val="21"/>
          <w:szCs w:val="21"/>
        </w:rPr>
        <w:t>理。</w:t>
      </w:r>
    </w:p>
    <w:p w14:paraId="73299B75">
      <w:pPr>
        <w:spacing w:before="141" w:line="220" w:lineRule="auto"/>
        <w:ind w:right="12"/>
        <w:jc w:val="right"/>
        <w:rPr>
          <w:rFonts w:ascii="宋体" w:hAnsi="宋体" w:eastAsia="宋体" w:cs="宋体"/>
          <w:sz w:val="21"/>
          <w:szCs w:val="21"/>
        </w:rPr>
      </w:pPr>
      <w:r>
        <w:rPr>
          <w:rFonts w:ascii="宋体" w:hAnsi="宋体" w:eastAsia="宋体" w:cs="宋体"/>
          <w:spacing w:val="3"/>
          <w:sz w:val="21"/>
          <w:szCs w:val="21"/>
        </w:rPr>
        <w:t>承包人应妥善做好已完工程和与工程有关的已购材料、工程设备的保护和移交</w:t>
      </w:r>
      <w:r>
        <w:rPr>
          <w:rFonts w:ascii="宋体" w:hAnsi="宋体" w:eastAsia="宋体" w:cs="宋体"/>
          <w:spacing w:val="2"/>
          <w:sz w:val="21"/>
          <w:szCs w:val="21"/>
        </w:rPr>
        <w:t>工作，</w:t>
      </w:r>
    </w:p>
    <w:p w14:paraId="6A7F0168">
      <w:pPr>
        <w:spacing w:before="149" w:line="220" w:lineRule="auto"/>
        <w:ind w:left="23"/>
        <w:rPr>
          <w:rFonts w:ascii="宋体" w:hAnsi="宋体" w:eastAsia="宋体" w:cs="宋体"/>
          <w:sz w:val="21"/>
          <w:szCs w:val="21"/>
        </w:rPr>
      </w:pPr>
      <w:r>
        <w:rPr>
          <w:rFonts w:ascii="宋体" w:hAnsi="宋体" w:eastAsia="宋体" w:cs="宋体"/>
          <w:sz w:val="21"/>
          <w:szCs w:val="21"/>
        </w:rPr>
        <w:t>并将施工设备和人员撤出施工现场，发包人应为承包</w:t>
      </w:r>
      <w:r>
        <w:rPr>
          <w:rFonts w:ascii="宋体" w:hAnsi="宋体" w:eastAsia="宋体" w:cs="宋体"/>
          <w:spacing w:val="-1"/>
          <w:sz w:val="21"/>
          <w:szCs w:val="21"/>
        </w:rPr>
        <w:t>人撤出提供必要条件。</w:t>
      </w:r>
    </w:p>
    <w:p w14:paraId="00276EA9">
      <w:pPr>
        <w:spacing w:before="46" w:line="220" w:lineRule="auto"/>
        <w:ind w:left="31"/>
        <w:rPr>
          <w:rFonts w:ascii="黑体" w:hAnsi="黑体" w:eastAsia="黑体" w:cs="黑体"/>
          <w:sz w:val="24"/>
          <w:szCs w:val="24"/>
        </w:rPr>
      </w:pPr>
      <w:r>
        <w:rPr>
          <w:rFonts w:ascii="黑体" w:hAnsi="黑体" w:eastAsia="黑体" w:cs="黑体"/>
          <w:spacing w:val="-2"/>
          <w:sz w:val="24"/>
          <w:szCs w:val="24"/>
        </w:rPr>
        <w:t>16.2 承包人违约</w:t>
      </w:r>
    </w:p>
    <w:p w14:paraId="48A61049">
      <w:pPr>
        <w:spacing w:before="127" w:line="221" w:lineRule="auto"/>
        <w:ind w:left="457"/>
        <w:rPr>
          <w:rFonts w:ascii="宋体" w:hAnsi="宋体" w:eastAsia="宋体" w:cs="宋体"/>
          <w:sz w:val="21"/>
          <w:szCs w:val="21"/>
        </w:rPr>
      </w:pPr>
      <w:r>
        <w:rPr>
          <w:rFonts w:ascii="Times New Roman" w:hAnsi="Times New Roman" w:eastAsia="Times New Roman" w:cs="Times New Roman"/>
          <w:spacing w:val="-2"/>
          <w:sz w:val="21"/>
          <w:szCs w:val="21"/>
        </w:rPr>
        <w:t xml:space="preserve">16.2.1 </w:t>
      </w:r>
      <w:r>
        <w:rPr>
          <w:rFonts w:ascii="宋体" w:hAnsi="宋体" w:eastAsia="宋体" w:cs="宋体"/>
          <w:spacing w:val="-2"/>
          <w:sz w:val="21"/>
          <w:szCs w:val="21"/>
        </w:rPr>
        <w:t>承包人违约的情形</w:t>
      </w:r>
    </w:p>
    <w:p w14:paraId="12A3A73A">
      <w:pPr>
        <w:spacing w:before="153" w:line="399" w:lineRule="exact"/>
        <w:ind w:left="440"/>
        <w:rPr>
          <w:rFonts w:ascii="宋体" w:hAnsi="宋体" w:eastAsia="宋体" w:cs="宋体"/>
          <w:sz w:val="21"/>
          <w:szCs w:val="21"/>
        </w:rPr>
      </w:pPr>
      <w:r>
        <w:rPr>
          <w:rFonts w:ascii="宋体" w:hAnsi="宋体" w:eastAsia="宋体" w:cs="宋体"/>
          <w:spacing w:val="-1"/>
          <w:position w:val="14"/>
          <w:sz w:val="21"/>
          <w:szCs w:val="21"/>
        </w:rPr>
        <w:t>在合同履行过程中发生的下列情形，属于承包人违约：</w:t>
      </w:r>
    </w:p>
    <w:p w14:paraId="21176464">
      <w:pPr>
        <w:spacing w:line="220" w:lineRule="auto"/>
        <w:ind w:left="447"/>
        <w:rPr>
          <w:rFonts w:ascii="宋体" w:hAnsi="宋体" w:eastAsia="宋体" w:cs="宋体"/>
          <w:sz w:val="21"/>
          <w:szCs w:val="21"/>
        </w:rPr>
      </w:pPr>
      <w:r>
        <w:rPr>
          <w:rFonts w:ascii="宋体" w:hAnsi="宋体" w:eastAsia="宋体" w:cs="宋体"/>
          <w:spacing w:val="-2"/>
          <w:sz w:val="21"/>
          <w:szCs w:val="21"/>
        </w:rPr>
        <w:t>（</w:t>
      </w:r>
      <w:r>
        <w:rPr>
          <w:rFonts w:ascii="Times New Roman" w:hAnsi="Times New Roman" w:eastAsia="Times New Roman" w:cs="Times New Roman"/>
          <w:spacing w:val="-2"/>
          <w:sz w:val="21"/>
          <w:szCs w:val="21"/>
        </w:rPr>
        <w:t>1</w:t>
      </w:r>
      <w:r>
        <w:rPr>
          <w:rFonts w:ascii="宋体" w:hAnsi="宋体" w:eastAsia="宋体" w:cs="宋体"/>
          <w:spacing w:val="-2"/>
          <w:sz w:val="21"/>
          <w:szCs w:val="21"/>
        </w:rPr>
        <w:t>）承包人违反合同约定进行转包或违法分包的；</w:t>
      </w:r>
    </w:p>
    <w:p w14:paraId="6F3E077A">
      <w:pPr>
        <w:spacing w:line="220" w:lineRule="auto"/>
        <w:rPr>
          <w:rFonts w:ascii="宋体" w:hAnsi="宋体" w:eastAsia="宋体" w:cs="宋体"/>
          <w:sz w:val="21"/>
          <w:szCs w:val="21"/>
        </w:rPr>
        <w:sectPr>
          <w:footerReference r:id="rId132" w:type="default"/>
          <w:pgSz w:w="11905" w:h="16839"/>
          <w:pgMar w:top="1431" w:right="1785" w:bottom="1004" w:left="1785" w:header="0" w:footer="828" w:gutter="0"/>
          <w:pgNumType w:fmt="decimal"/>
          <w:cols w:space="720" w:num="1"/>
        </w:sectPr>
      </w:pPr>
    </w:p>
    <w:p w14:paraId="4C7FB5E5">
      <w:pPr>
        <w:spacing w:before="149" w:line="398" w:lineRule="exact"/>
        <w:ind w:left="447"/>
        <w:rPr>
          <w:rFonts w:ascii="宋体" w:hAnsi="宋体" w:eastAsia="宋体" w:cs="宋体"/>
          <w:sz w:val="21"/>
          <w:szCs w:val="21"/>
        </w:rPr>
      </w:pPr>
      <w:r>
        <w:rPr>
          <w:rFonts w:ascii="宋体" w:hAnsi="宋体" w:eastAsia="宋体" w:cs="宋体"/>
          <w:spacing w:val="-1"/>
          <w:position w:val="14"/>
          <w:sz w:val="21"/>
          <w:szCs w:val="21"/>
        </w:rPr>
        <w:t>（</w:t>
      </w:r>
      <w:r>
        <w:rPr>
          <w:rFonts w:ascii="Times New Roman" w:hAnsi="Times New Roman" w:eastAsia="Times New Roman" w:cs="Times New Roman"/>
          <w:spacing w:val="-1"/>
          <w:position w:val="14"/>
          <w:sz w:val="21"/>
          <w:szCs w:val="21"/>
        </w:rPr>
        <w:t>2</w:t>
      </w:r>
      <w:r>
        <w:rPr>
          <w:rFonts w:ascii="宋体" w:hAnsi="宋体" w:eastAsia="宋体" w:cs="宋体"/>
          <w:spacing w:val="-1"/>
          <w:position w:val="14"/>
          <w:sz w:val="21"/>
          <w:szCs w:val="21"/>
        </w:rPr>
        <w:t>）承包人违反合同约定采购和使用不合格的材</w:t>
      </w:r>
      <w:r>
        <w:rPr>
          <w:rFonts w:ascii="宋体" w:hAnsi="宋体" w:eastAsia="宋体" w:cs="宋体"/>
          <w:spacing w:val="-2"/>
          <w:position w:val="14"/>
          <w:sz w:val="21"/>
          <w:szCs w:val="21"/>
        </w:rPr>
        <w:t>料和工程设备的；</w:t>
      </w:r>
    </w:p>
    <w:p w14:paraId="50F226AC">
      <w:pPr>
        <w:spacing w:line="220" w:lineRule="auto"/>
        <w:ind w:left="447"/>
        <w:rPr>
          <w:rFonts w:ascii="宋体" w:hAnsi="宋体" w:eastAsia="宋体" w:cs="宋体"/>
          <w:sz w:val="21"/>
          <w:szCs w:val="21"/>
        </w:rPr>
      </w:pPr>
      <w:r>
        <w:rPr>
          <w:rFonts w:ascii="宋体" w:hAnsi="宋体" w:eastAsia="宋体" w:cs="宋体"/>
          <w:spacing w:val="-1"/>
          <w:sz w:val="21"/>
          <w:szCs w:val="21"/>
        </w:rPr>
        <w:t>（</w:t>
      </w:r>
      <w:r>
        <w:rPr>
          <w:rFonts w:ascii="Times New Roman" w:hAnsi="Times New Roman" w:eastAsia="Times New Roman" w:cs="Times New Roman"/>
          <w:spacing w:val="-1"/>
          <w:sz w:val="21"/>
          <w:szCs w:val="21"/>
        </w:rPr>
        <w:t>3</w:t>
      </w:r>
      <w:r>
        <w:rPr>
          <w:rFonts w:ascii="宋体" w:hAnsi="宋体" w:eastAsia="宋体" w:cs="宋体"/>
          <w:spacing w:val="-1"/>
          <w:sz w:val="21"/>
          <w:szCs w:val="21"/>
        </w:rPr>
        <w:t>）因承包人原因导致工程质量不符合合同要求的；</w:t>
      </w:r>
    </w:p>
    <w:p w14:paraId="1F7BDBD8">
      <w:pPr>
        <w:spacing w:before="152" w:line="399" w:lineRule="exact"/>
        <w:jc w:val="right"/>
        <w:rPr>
          <w:rFonts w:ascii="宋体" w:hAnsi="宋体" w:eastAsia="宋体" w:cs="宋体"/>
          <w:sz w:val="21"/>
          <w:szCs w:val="21"/>
        </w:rPr>
      </w:pPr>
      <w:r>
        <w:rPr>
          <w:rFonts w:ascii="宋体" w:hAnsi="宋体" w:eastAsia="宋体" w:cs="宋体"/>
          <w:spacing w:val="-6"/>
          <w:position w:val="14"/>
          <w:sz w:val="21"/>
          <w:szCs w:val="21"/>
        </w:rPr>
        <w:t>（</w:t>
      </w:r>
      <w:r>
        <w:rPr>
          <w:rFonts w:ascii="Times New Roman" w:hAnsi="Times New Roman" w:eastAsia="Times New Roman" w:cs="Times New Roman"/>
          <w:spacing w:val="-6"/>
          <w:position w:val="14"/>
          <w:sz w:val="21"/>
          <w:szCs w:val="21"/>
        </w:rPr>
        <w:t>4</w:t>
      </w:r>
      <w:r>
        <w:rPr>
          <w:rFonts w:ascii="宋体" w:hAnsi="宋体" w:eastAsia="宋体" w:cs="宋体"/>
          <w:spacing w:val="-6"/>
          <w:position w:val="14"/>
          <w:sz w:val="21"/>
          <w:szCs w:val="21"/>
        </w:rPr>
        <w:t xml:space="preserve">）承包人违反第 </w:t>
      </w:r>
      <w:r>
        <w:rPr>
          <w:rFonts w:ascii="Times New Roman" w:hAnsi="Times New Roman" w:eastAsia="Times New Roman" w:cs="Times New Roman"/>
          <w:spacing w:val="-6"/>
          <w:position w:val="14"/>
          <w:sz w:val="21"/>
          <w:szCs w:val="21"/>
        </w:rPr>
        <w:t>8.9</w:t>
      </w:r>
      <w:r>
        <w:rPr>
          <w:rFonts w:ascii="Times New Roman" w:hAnsi="Times New Roman" w:eastAsia="Times New Roman" w:cs="Times New Roman"/>
          <w:spacing w:val="50"/>
          <w:position w:val="14"/>
          <w:sz w:val="21"/>
          <w:szCs w:val="21"/>
        </w:rPr>
        <w:t xml:space="preserve"> </w:t>
      </w:r>
      <w:r>
        <w:rPr>
          <w:rFonts w:ascii="宋体" w:hAnsi="宋体" w:eastAsia="宋体" w:cs="宋体"/>
          <w:spacing w:val="-6"/>
          <w:position w:val="14"/>
          <w:sz w:val="21"/>
          <w:szCs w:val="21"/>
        </w:rPr>
        <w:t>款〔材料与设备专用要求〕 的约定，未经批准， 私自将已按照</w:t>
      </w:r>
    </w:p>
    <w:p w14:paraId="5017E1F2">
      <w:pPr>
        <w:spacing w:line="219" w:lineRule="auto"/>
        <w:ind w:left="19"/>
        <w:rPr>
          <w:rFonts w:ascii="宋体" w:hAnsi="宋体" w:eastAsia="宋体" w:cs="宋体"/>
          <w:sz w:val="21"/>
          <w:szCs w:val="21"/>
        </w:rPr>
      </w:pPr>
      <w:r>
        <w:rPr>
          <w:rFonts w:ascii="宋体" w:hAnsi="宋体" w:eastAsia="宋体" w:cs="宋体"/>
          <w:spacing w:val="-1"/>
          <w:sz w:val="21"/>
          <w:szCs w:val="21"/>
        </w:rPr>
        <w:t>合同约定进入施工现场的材料或设备撤离施工现场的；</w:t>
      </w:r>
    </w:p>
    <w:p w14:paraId="089FE91F">
      <w:pPr>
        <w:spacing w:before="148" w:line="221" w:lineRule="auto"/>
        <w:ind w:left="447"/>
        <w:rPr>
          <w:rFonts w:ascii="宋体" w:hAnsi="宋体" w:eastAsia="宋体" w:cs="宋体"/>
          <w:sz w:val="21"/>
          <w:szCs w:val="21"/>
        </w:rPr>
      </w:pPr>
      <w:r>
        <w:rPr>
          <w:rFonts w:ascii="宋体" w:hAnsi="宋体" w:eastAsia="宋体" w:cs="宋体"/>
          <w:spacing w:val="-1"/>
          <w:sz w:val="21"/>
          <w:szCs w:val="21"/>
        </w:rPr>
        <w:t>（</w:t>
      </w:r>
      <w:r>
        <w:rPr>
          <w:rFonts w:ascii="Times New Roman" w:hAnsi="Times New Roman" w:eastAsia="Times New Roman" w:cs="Times New Roman"/>
          <w:spacing w:val="-1"/>
          <w:sz w:val="21"/>
          <w:szCs w:val="21"/>
        </w:rPr>
        <w:t>5</w:t>
      </w:r>
      <w:r>
        <w:rPr>
          <w:rFonts w:ascii="宋体" w:hAnsi="宋体" w:eastAsia="宋体" w:cs="宋体"/>
          <w:spacing w:val="-1"/>
          <w:sz w:val="21"/>
          <w:szCs w:val="21"/>
        </w:rPr>
        <w:t>）承包人未能按施工进度计划及时完成合同约定的</w:t>
      </w:r>
      <w:r>
        <w:rPr>
          <w:rFonts w:ascii="宋体" w:hAnsi="宋体" w:eastAsia="宋体" w:cs="宋体"/>
          <w:spacing w:val="-2"/>
          <w:sz w:val="21"/>
          <w:szCs w:val="21"/>
        </w:rPr>
        <w:t>工作，造成工期延误的；</w:t>
      </w:r>
    </w:p>
    <w:p w14:paraId="110AE8E4">
      <w:pPr>
        <w:spacing w:before="152" w:line="399" w:lineRule="exact"/>
        <w:ind w:right="12"/>
        <w:jc w:val="right"/>
        <w:rPr>
          <w:rFonts w:ascii="宋体" w:hAnsi="宋体" w:eastAsia="宋体" w:cs="宋体"/>
          <w:sz w:val="21"/>
          <w:szCs w:val="21"/>
        </w:rPr>
      </w:pPr>
      <w:r>
        <w:rPr>
          <w:rFonts w:ascii="宋体" w:hAnsi="宋体" w:eastAsia="宋体" w:cs="宋体"/>
          <w:position w:val="14"/>
          <w:sz w:val="21"/>
          <w:szCs w:val="21"/>
        </w:rPr>
        <w:t>（</w:t>
      </w:r>
      <w:r>
        <w:rPr>
          <w:rFonts w:ascii="Times New Roman" w:hAnsi="Times New Roman" w:eastAsia="Times New Roman" w:cs="Times New Roman"/>
          <w:position w:val="14"/>
          <w:sz w:val="21"/>
          <w:szCs w:val="21"/>
        </w:rPr>
        <w:t>6</w:t>
      </w:r>
      <w:r>
        <w:rPr>
          <w:rFonts w:ascii="宋体" w:hAnsi="宋体" w:eastAsia="宋体" w:cs="宋体"/>
          <w:position w:val="14"/>
          <w:sz w:val="21"/>
          <w:szCs w:val="21"/>
        </w:rPr>
        <w:t>）承包人在缺陷责任期及保修期内，未能在合理期限对工程缺陷进行修复</w:t>
      </w:r>
      <w:r>
        <w:rPr>
          <w:rFonts w:ascii="宋体" w:hAnsi="宋体" w:eastAsia="宋体" w:cs="宋体"/>
          <w:spacing w:val="-1"/>
          <w:position w:val="14"/>
          <w:sz w:val="21"/>
          <w:szCs w:val="21"/>
        </w:rPr>
        <w:t>，或拒绝</w:t>
      </w:r>
    </w:p>
    <w:p w14:paraId="116F4027">
      <w:pPr>
        <w:spacing w:line="220" w:lineRule="auto"/>
        <w:ind w:left="20"/>
        <w:rPr>
          <w:rFonts w:ascii="宋体" w:hAnsi="宋体" w:eastAsia="宋体" w:cs="宋体"/>
          <w:sz w:val="21"/>
          <w:szCs w:val="21"/>
        </w:rPr>
      </w:pPr>
      <w:r>
        <w:rPr>
          <w:rFonts w:ascii="宋体" w:hAnsi="宋体" w:eastAsia="宋体" w:cs="宋体"/>
          <w:spacing w:val="-4"/>
          <w:sz w:val="21"/>
          <w:szCs w:val="21"/>
        </w:rPr>
        <w:t>按发包人要求进行修复的；</w:t>
      </w:r>
    </w:p>
    <w:p w14:paraId="434474D7">
      <w:pPr>
        <w:spacing w:before="148" w:line="403" w:lineRule="exact"/>
        <w:ind w:left="447"/>
        <w:rPr>
          <w:rFonts w:ascii="宋体" w:hAnsi="宋体" w:eastAsia="宋体" w:cs="宋体"/>
          <w:sz w:val="21"/>
          <w:szCs w:val="21"/>
        </w:rPr>
      </w:pPr>
      <w:r>
        <w:rPr>
          <w:rFonts w:ascii="宋体" w:hAnsi="宋体" w:eastAsia="宋体" w:cs="宋体"/>
          <w:spacing w:val="-1"/>
          <w:position w:val="14"/>
          <w:sz w:val="21"/>
          <w:szCs w:val="21"/>
        </w:rPr>
        <w:t>（</w:t>
      </w:r>
      <w:r>
        <w:rPr>
          <w:rFonts w:ascii="Times New Roman" w:hAnsi="Times New Roman" w:eastAsia="Times New Roman" w:cs="Times New Roman"/>
          <w:spacing w:val="-1"/>
          <w:position w:val="14"/>
          <w:sz w:val="21"/>
          <w:szCs w:val="21"/>
        </w:rPr>
        <w:t>7</w:t>
      </w:r>
      <w:r>
        <w:rPr>
          <w:rFonts w:ascii="宋体" w:hAnsi="宋体" w:eastAsia="宋体" w:cs="宋体"/>
          <w:spacing w:val="-1"/>
          <w:position w:val="14"/>
          <w:sz w:val="21"/>
          <w:szCs w:val="21"/>
        </w:rPr>
        <w:t>）承包人明确表示或者以其行为表明不履行合同主要义务的；</w:t>
      </w:r>
    </w:p>
    <w:p w14:paraId="1D2EDF3C">
      <w:pPr>
        <w:spacing w:before="1" w:line="220" w:lineRule="auto"/>
        <w:ind w:left="447"/>
        <w:rPr>
          <w:rFonts w:ascii="宋体" w:hAnsi="宋体" w:eastAsia="宋体" w:cs="宋体"/>
          <w:sz w:val="21"/>
          <w:szCs w:val="21"/>
        </w:rPr>
      </w:pPr>
      <w:r>
        <w:rPr>
          <w:rFonts w:ascii="宋体" w:hAnsi="宋体" w:eastAsia="宋体" w:cs="宋体"/>
          <w:spacing w:val="-1"/>
          <w:sz w:val="21"/>
          <w:szCs w:val="21"/>
        </w:rPr>
        <w:t>（</w:t>
      </w:r>
      <w:r>
        <w:rPr>
          <w:rFonts w:ascii="Times New Roman" w:hAnsi="Times New Roman" w:eastAsia="Times New Roman" w:cs="Times New Roman"/>
          <w:spacing w:val="-1"/>
          <w:sz w:val="21"/>
          <w:szCs w:val="21"/>
        </w:rPr>
        <w:t>8</w:t>
      </w:r>
      <w:r>
        <w:rPr>
          <w:rFonts w:ascii="宋体" w:hAnsi="宋体" w:eastAsia="宋体" w:cs="宋体"/>
          <w:spacing w:val="-1"/>
          <w:sz w:val="21"/>
          <w:szCs w:val="21"/>
        </w:rPr>
        <w:t>）承包人未能按照合同约定履行其他义务的。</w:t>
      </w:r>
    </w:p>
    <w:p w14:paraId="024DC09E">
      <w:pPr>
        <w:spacing w:before="148" w:line="398" w:lineRule="exact"/>
        <w:ind w:right="10"/>
        <w:jc w:val="right"/>
        <w:rPr>
          <w:rFonts w:ascii="宋体" w:hAnsi="宋体" w:eastAsia="宋体" w:cs="宋体"/>
          <w:sz w:val="21"/>
          <w:szCs w:val="21"/>
        </w:rPr>
      </w:pPr>
      <w:r>
        <w:rPr>
          <w:rFonts w:ascii="宋体" w:hAnsi="宋体" w:eastAsia="宋体" w:cs="宋体"/>
          <w:position w:val="14"/>
          <w:sz w:val="21"/>
          <w:szCs w:val="21"/>
        </w:rPr>
        <w:t>承包人发生除本项第（</w:t>
      </w:r>
      <w:r>
        <w:rPr>
          <w:rFonts w:ascii="Times New Roman" w:hAnsi="Times New Roman" w:eastAsia="Times New Roman" w:cs="Times New Roman"/>
          <w:position w:val="14"/>
          <w:sz w:val="21"/>
          <w:szCs w:val="21"/>
        </w:rPr>
        <w:t>7</w:t>
      </w:r>
      <w:r>
        <w:rPr>
          <w:rFonts w:ascii="宋体" w:hAnsi="宋体" w:eastAsia="宋体" w:cs="宋体"/>
          <w:position w:val="14"/>
          <w:sz w:val="21"/>
          <w:szCs w:val="21"/>
        </w:rPr>
        <w:t>）目约定以外的其他违约情况时，监理人可向承包人发出整改</w:t>
      </w:r>
    </w:p>
    <w:p w14:paraId="7B76467A">
      <w:pPr>
        <w:spacing w:before="1" w:line="220" w:lineRule="auto"/>
        <w:ind w:left="18"/>
        <w:rPr>
          <w:rFonts w:ascii="宋体" w:hAnsi="宋体" w:eastAsia="宋体" w:cs="宋体"/>
          <w:sz w:val="21"/>
          <w:szCs w:val="21"/>
        </w:rPr>
      </w:pPr>
      <w:r>
        <w:rPr>
          <w:rFonts w:ascii="宋体" w:hAnsi="宋体" w:eastAsia="宋体" w:cs="宋体"/>
          <w:spacing w:val="-2"/>
          <w:sz w:val="21"/>
          <w:szCs w:val="21"/>
        </w:rPr>
        <w:t>通知，要求其在指定的期限内改正。</w:t>
      </w:r>
    </w:p>
    <w:p w14:paraId="7B235E15">
      <w:pPr>
        <w:spacing w:before="151" w:line="221" w:lineRule="auto"/>
        <w:ind w:left="457"/>
        <w:rPr>
          <w:rFonts w:ascii="宋体" w:hAnsi="宋体" w:eastAsia="宋体" w:cs="宋体"/>
          <w:sz w:val="21"/>
          <w:szCs w:val="21"/>
        </w:rPr>
      </w:pPr>
      <w:r>
        <w:rPr>
          <w:rFonts w:ascii="Times New Roman" w:hAnsi="Times New Roman" w:eastAsia="Times New Roman" w:cs="Times New Roman"/>
          <w:spacing w:val="-2"/>
          <w:sz w:val="21"/>
          <w:szCs w:val="21"/>
        </w:rPr>
        <w:t xml:space="preserve">16.2.2 </w:t>
      </w:r>
      <w:r>
        <w:rPr>
          <w:rFonts w:ascii="宋体" w:hAnsi="宋体" w:eastAsia="宋体" w:cs="宋体"/>
          <w:spacing w:val="-2"/>
          <w:sz w:val="21"/>
          <w:szCs w:val="21"/>
        </w:rPr>
        <w:t>承包人违约的责任</w:t>
      </w:r>
    </w:p>
    <w:p w14:paraId="431BE034">
      <w:pPr>
        <w:spacing w:before="149" w:line="398" w:lineRule="exact"/>
        <w:ind w:right="2"/>
        <w:jc w:val="right"/>
        <w:rPr>
          <w:rFonts w:ascii="宋体" w:hAnsi="宋体" w:eastAsia="宋体" w:cs="宋体"/>
          <w:sz w:val="21"/>
          <w:szCs w:val="21"/>
        </w:rPr>
      </w:pPr>
      <w:r>
        <w:rPr>
          <w:rFonts w:ascii="宋体" w:hAnsi="宋体" w:eastAsia="宋体" w:cs="宋体"/>
          <w:spacing w:val="3"/>
          <w:position w:val="14"/>
          <w:sz w:val="21"/>
          <w:szCs w:val="21"/>
        </w:rPr>
        <w:t>承包人应承担因其违约行为而增加的费用和（或）延误的工期。此外，合同当事人可</w:t>
      </w:r>
    </w:p>
    <w:p w14:paraId="0010D760">
      <w:pPr>
        <w:spacing w:before="1" w:line="220" w:lineRule="auto"/>
        <w:ind w:left="17"/>
        <w:rPr>
          <w:rFonts w:ascii="宋体" w:hAnsi="宋体" w:eastAsia="宋体" w:cs="宋体"/>
          <w:sz w:val="21"/>
          <w:szCs w:val="21"/>
        </w:rPr>
      </w:pPr>
      <w:r>
        <w:rPr>
          <w:rFonts w:ascii="宋体" w:hAnsi="宋体" w:eastAsia="宋体" w:cs="宋体"/>
          <w:spacing w:val="-1"/>
          <w:sz w:val="21"/>
          <w:szCs w:val="21"/>
        </w:rPr>
        <w:t>在专用合同条款中另行约定承包人违约责任的承担方式和计算方法。</w:t>
      </w:r>
    </w:p>
    <w:p w14:paraId="6D8A15A7">
      <w:pPr>
        <w:spacing w:before="151" w:line="221" w:lineRule="auto"/>
        <w:ind w:left="457"/>
        <w:rPr>
          <w:rFonts w:ascii="宋体" w:hAnsi="宋体" w:eastAsia="宋体" w:cs="宋体"/>
          <w:sz w:val="21"/>
          <w:szCs w:val="21"/>
        </w:rPr>
      </w:pPr>
      <w:r>
        <w:rPr>
          <w:rFonts w:ascii="Times New Roman" w:hAnsi="Times New Roman" w:eastAsia="Times New Roman" w:cs="Times New Roman"/>
          <w:spacing w:val="-3"/>
          <w:sz w:val="21"/>
          <w:szCs w:val="21"/>
        </w:rPr>
        <w:t>16.2.3</w:t>
      </w:r>
      <w:r>
        <w:rPr>
          <w:rFonts w:ascii="Times New Roman" w:hAnsi="Times New Roman" w:eastAsia="Times New Roman" w:cs="Times New Roman"/>
          <w:spacing w:val="27"/>
          <w:w w:val="101"/>
          <w:sz w:val="21"/>
          <w:szCs w:val="21"/>
        </w:rPr>
        <w:t xml:space="preserve"> </w:t>
      </w:r>
      <w:r>
        <w:rPr>
          <w:rFonts w:ascii="宋体" w:hAnsi="宋体" w:eastAsia="宋体" w:cs="宋体"/>
          <w:spacing w:val="-3"/>
          <w:sz w:val="21"/>
          <w:szCs w:val="21"/>
        </w:rPr>
        <w:t>因承包人违约解除合同</w:t>
      </w:r>
    </w:p>
    <w:p w14:paraId="28B32AAA">
      <w:pPr>
        <w:spacing w:before="148" w:line="352" w:lineRule="auto"/>
        <w:ind w:left="18" w:right="5" w:firstLine="435"/>
        <w:rPr>
          <w:rFonts w:ascii="宋体" w:hAnsi="宋体" w:eastAsia="宋体" w:cs="宋体"/>
          <w:sz w:val="21"/>
          <w:szCs w:val="21"/>
        </w:rPr>
      </w:pPr>
      <w:r>
        <w:rPr>
          <w:rFonts w:ascii="宋体" w:hAnsi="宋体" w:eastAsia="宋体" w:cs="宋体"/>
          <w:spacing w:val="-5"/>
          <w:sz w:val="21"/>
          <w:szCs w:val="21"/>
        </w:rPr>
        <w:t>除专用合同条款另有约定外，</w:t>
      </w:r>
      <w:r>
        <w:rPr>
          <w:rFonts w:ascii="宋体" w:hAnsi="宋体" w:eastAsia="宋体" w:cs="宋体"/>
          <w:spacing w:val="37"/>
          <w:sz w:val="21"/>
          <w:szCs w:val="21"/>
        </w:rPr>
        <w:t xml:space="preserve"> </w:t>
      </w:r>
      <w:r>
        <w:rPr>
          <w:rFonts w:ascii="宋体" w:hAnsi="宋体" w:eastAsia="宋体" w:cs="宋体"/>
          <w:spacing w:val="-5"/>
          <w:sz w:val="21"/>
          <w:szCs w:val="21"/>
        </w:rPr>
        <w:t xml:space="preserve">出现第 </w:t>
      </w:r>
      <w:r>
        <w:rPr>
          <w:rFonts w:ascii="Times New Roman" w:hAnsi="Times New Roman" w:eastAsia="Times New Roman" w:cs="Times New Roman"/>
          <w:spacing w:val="-5"/>
          <w:sz w:val="21"/>
          <w:szCs w:val="21"/>
        </w:rPr>
        <w:t>16.2.1</w:t>
      </w:r>
      <w:r>
        <w:rPr>
          <w:rFonts w:ascii="Times New Roman" w:hAnsi="Times New Roman" w:eastAsia="Times New Roman" w:cs="Times New Roman"/>
          <w:spacing w:val="12"/>
          <w:sz w:val="21"/>
          <w:szCs w:val="21"/>
        </w:rPr>
        <w:t xml:space="preserve"> </w:t>
      </w:r>
      <w:r>
        <w:rPr>
          <w:rFonts w:ascii="宋体" w:hAnsi="宋体" w:eastAsia="宋体" w:cs="宋体"/>
          <w:spacing w:val="-5"/>
          <w:sz w:val="21"/>
          <w:szCs w:val="21"/>
        </w:rPr>
        <w:t>项〔承包人违约的情形〕第（</w:t>
      </w:r>
      <w:r>
        <w:rPr>
          <w:rFonts w:ascii="Times New Roman" w:hAnsi="Times New Roman" w:eastAsia="Times New Roman" w:cs="Times New Roman"/>
          <w:spacing w:val="-5"/>
          <w:sz w:val="21"/>
          <w:szCs w:val="21"/>
        </w:rPr>
        <w:t>7</w:t>
      </w:r>
      <w:r>
        <w:rPr>
          <w:rFonts w:ascii="宋体" w:hAnsi="宋体" w:eastAsia="宋体" w:cs="宋体"/>
          <w:spacing w:val="-5"/>
          <w:sz w:val="21"/>
          <w:szCs w:val="21"/>
        </w:rPr>
        <w:t>）目约定的</w:t>
      </w:r>
      <w:r>
        <w:rPr>
          <w:rFonts w:ascii="宋体" w:hAnsi="宋体" w:eastAsia="宋体" w:cs="宋体"/>
          <w:sz w:val="21"/>
          <w:szCs w:val="21"/>
        </w:rPr>
        <w:t xml:space="preserve"> </w:t>
      </w:r>
      <w:r>
        <w:rPr>
          <w:rFonts w:ascii="宋体" w:hAnsi="宋体" w:eastAsia="宋体" w:cs="宋体"/>
          <w:spacing w:val="-2"/>
          <w:sz w:val="21"/>
          <w:szCs w:val="21"/>
        </w:rPr>
        <w:t>违约情况时， 或监理人发出整改通知后， 承包人在</w:t>
      </w:r>
      <w:r>
        <w:rPr>
          <w:rFonts w:ascii="宋体" w:hAnsi="宋体" w:eastAsia="宋体" w:cs="宋体"/>
          <w:spacing w:val="-3"/>
          <w:sz w:val="21"/>
          <w:szCs w:val="21"/>
        </w:rPr>
        <w:t>指定的合理期限内仍不纠正违约行为并</w:t>
      </w:r>
      <w:r>
        <w:rPr>
          <w:rFonts w:ascii="宋体" w:hAnsi="宋体" w:eastAsia="宋体" w:cs="宋体"/>
          <w:sz w:val="21"/>
          <w:szCs w:val="21"/>
        </w:rPr>
        <w:t xml:space="preserve"> </w:t>
      </w:r>
      <w:r>
        <w:rPr>
          <w:rFonts w:ascii="宋体" w:hAnsi="宋体" w:eastAsia="宋体" w:cs="宋体"/>
          <w:spacing w:val="3"/>
          <w:sz w:val="21"/>
          <w:szCs w:val="21"/>
        </w:rPr>
        <w:t>致使合同目的不能实现的，发包人有权解除合同。合同解除后，</w:t>
      </w:r>
      <w:r>
        <w:rPr>
          <w:rFonts w:ascii="宋体" w:hAnsi="宋体" w:eastAsia="宋体" w:cs="宋体"/>
          <w:spacing w:val="2"/>
          <w:sz w:val="21"/>
          <w:szCs w:val="21"/>
        </w:rPr>
        <w:t>因继续完成工程的需要，</w:t>
      </w:r>
      <w:r>
        <w:rPr>
          <w:rFonts w:ascii="宋体" w:hAnsi="宋体" w:eastAsia="宋体" w:cs="宋体"/>
          <w:sz w:val="21"/>
          <w:szCs w:val="21"/>
        </w:rPr>
        <w:t xml:space="preserve"> </w:t>
      </w:r>
      <w:r>
        <w:rPr>
          <w:rFonts w:ascii="宋体" w:hAnsi="宋体" w:eastAsia="宋体" w:cs="宋体"/>
          <w:spacing w:val="3"/>
          <w:sz w:val="21"/>
          <w:szCs w:val="21"/>
        </w:rPr>
        <w:t>发包人有权使用承包人在施工现场的材料、设备、临时工程、承包人文件和</w:t>
      </w:r>
      <w:r>
        <w:rPr>
          <w:rFonts w:ascii="宋体" w:hAnsi="宋体" w:eastAsia="宋体" w:cs="宋体"/>
          <w:spacing w:val="2"/>
          <w:sz w:val="21"/>
          <w:szCs w:val="21"/>
        </w:rPr>
        <w:t>由承包人或以</w:t>
      </w:r>
      <w:r>
        <w:rPr>
          <w:rFonts w:ascii="宋体" w:hAnsi="宋体" w:eastAsia="宋体" w:cs="宋体"/>
          <w:sz w:val="21"/>
          <w:szCs w:val="21"/>
        </w:rPr>
        <w:t xml:space="preserve"> 其名义编制的其他文件，合同当事人应在专用合同条款约定相应费用的承担方式。 发包人</w:t>
      </w:r>
    </w:p>
    <w:p w14:paraId="3F5D560E">
      <w:pPr>
        <w:spacing w:before="1" w:line="220" w:lineRule="auto"/>
        <w:ind w:left="22"/>
        <w:rPr>
          <w:rFonts w:ascii="宋体" w:hAnsi="宋体" w:eastAsia="宋体" w:cs="宋体"/>
          <w:sz w:val="21"/>
          <w:szCs w:val="21"/>
        </w:rPr>
      </w:pPr>
      <w:r>
        <w:rPr>
          <w:rFonts w:ascii="宋体" w:hAnsi="宋体" w:eastAsia="宋体" w:cs="宋体"/>
          <w:spacing w:val="-1"/>
          <w:sz w:val="21"/>
          <w:szCs w:val="21"/>
        </w:rPr>
        <w:t>继续使用的行为不免除或减轻承包人应承担的违约责</w:t>
      </w:r>
      <w:r>
        <w:rPr>
          <w:rFonts w:ascii="宋体" w:hAnsi="宋体" w:eastAsia="宋体" w:cs="宋体"/>
          <w:spacing w:val="-2"/>
          <w:sz w:val="21"/>
          <w:szCs w:val="21"/>
        </w:rPr>
        <w:t>任。</w:t>
      </w:r>
    </w:p>
    <w:p w14:paraId="6942964B">
      <w:pPr>
        <w:spacing w:before="147" w:line="221" w:lineRule="auto"/>
        <w:ind w:left="457"/>
        <w:rPr>
          <w:rFonts w:ascii="宋体" w:hAnsi="宋体" w:eastAsia="宋体" w:cs="宋体"/>
          <w:sz w:val="21"/>
          <w:szCs w:val="21"/>
        </w:rPr>
      </w:pPr>
      <w:r>
        <w:rPr>
          <w:rFonts w:ascii="Times New Roman" w:hAnsi="Times New Roman" w:eastAsia="Times New Roman" w:cs="Times New Roman"/>
          <w:spacing w:val="-3"/>
          <w:sz w:val="21"/>
          <w:szCs w:val="21"/>
        </w:rPr>
        <w:t>16.2.4</w:t>
      </w:r>
      <w:r>
        <w:rPr>
          <w:rFonts w:ascii="Times New Roman" w:hAnsi="Times New Roman" w:eastAsia="Times New Roman" w:cs="Times New Roman"/>
          <w:spacing w:val="30"/>
          <w:sz w:val="21"/>
          <w:szCs w:val="21"/>
        </w:rPr>
        <w:t xml:space="preserve"> </w:t>
      </w:r>
      <w:r>
        <w:rPr>
          <w:rFonts w:ascii="宋体" w:hAnsi="宋体" w:eastAsia="宋体" w:cs="宋体"/>
          <w:spacing w:val="-3"/>
          <w:sz w:val="21"/>
          <w:szCs w:val="21"/>
        </w:rPr>
        <w:t>因承包人违约解除合同后的处理</w:t>
      </w:r>
    </w:p>
    <w:p w14:paraId="7C8A0774">
      <w:pPr>
        <w:spacing w:before="147" w:line="404" w:lineRule="exact"/>
        <w:ind w:right="7"/>
        <w:jc w:val="right"/>
        <w:rPr>
          <w:rFonts w:ascii="宋体" w:hAnsi="宋体" w:eastAsia="宋体" w:cs="宋体"/>
          <w:sz w:val="21"/>
          <w:szCs w:val="21"/>
        </w:rPr>
      </w:pPr>
      <w:r>
        <w:rPr>
          <w:rFonts w:ascii="宋体" w:hAnsi="宋体" w:eastAsia="宋体" w:cs="宋体"/>
          <w:spacing w:val="-1"/>
          <w:position w:val="14"/>
          <w:sz w:val="21"/>
          <w:szCs w:val="21"/>
        </w:rPr>
        <w:t>因承包人原因导致合同解除的，则合同当事人应在合同解除后</w:t>
      </w:r>
      <w:r>
        <w:rPr>
          <w:rFonts w:ascii="宋体" w:hAnsi="宋体" w:eastAsia="宋体" w:cs="宋体"/>
          <w:spacing w:val="-31"/>
          <w:position w:val="14"/>
          <w:sz w:val="21"/>
          <w:szCs w:val="21"/>
        </w:rPr>
        <w:t xml:space="preserve"> </w:t>
      </w:r>
      <w:r>
        <w:rPr>
          <w:rFonts w:ascii="Times New Roman" w:hAnsi="Times New Roman" w:eastAsia="Times New Roman" w:cs="Times New Roman"/>
          <w:spacing w:val="-1"/>
          <w:position w:val="14"/>
          <w:sz w:val="21"/>
          <w:szCs w:val="21"/>
        </w:rPr>
        <w:t>28</w:t>
      </w:r>
      <w:r>
        <w:rPr>
          <w:rFonts w:ascii="Times New Roman" w:hAnsi="Times New Roman" w:eastAsia="Times New Roman" w:cs="Times New Roman"/>
          <w:spacing w:val="13"/>
          <w:position w:val="14"/>
          <w:sz w:val="21"/>
          <w:szCs w:val="21"/>
        </w:rPr>
        <w:t xml:space="preserve"> </w:t>
      </w:r>
      <w:r>
        <w:rPr>
          <w:rFonts w:ascii="宋体" w:hAnsi="宋体" w:eastAsia="宋体" w:cs="宋体"/>
          <w:spacing w:val="-1"/>
          <w:position w:val="14"/>
          <w:sz w:val="21"/>
          <w:szCs w:val="21"/>
        </w:rPr>
        <w:t>天内完成</w:t>
      </w:r>
      <w:r>
        <w:rPr>
          <w:rFonts w:ascii="宋体" w:hAnsi="宋体" w:eastAsia="宋体" w:cs="宋体"/>
          <w:spacing w:val="-2"/>
          <w:position w:val="14"/>
          <w:sz w:val="21"/>
          <w:szCs w:val="21"/>
        </w:rPr>
        <w:t>估价、付款</w:t>
      </w:r>
    </w:p>
    <w:p w14:paraId="126105A1">
      <w:pPr>
        <w:spacing w:line="220" w:lineRule="auto"/>
        <w:ind w:left="19"/>
        <w:rPr>
          <w:rFonts w:ascii="宋体" w:hAnsi="宋体" w:eastAsia="宋体" w:cs="宋体"/>
          <w:sz w:val="21"/>
          <w:szCs w:val="21"/>
        </w:rPr>
      </w:pPr>
      <w:r>
        <w:rPr>
          <w:rFonts w:ascii="宋体" w:hAnsi="宋体" w:eastAsia="宋体" w:cs="宋体"/>
          <w:spacing w:val="-4"/>
          <w:sz w:val="21"/>
          <w:szCs w:val="21"/>
        </w:rPr>
        <w:t>和清算，并按以下约定执行：</w:t>
      </w:r>
    </w:p>
    <w:p w14:paraId="5C80009A">
      <w:pPr>
        <w:spacing w:before="148" w:line="399" w:lineRule="exact"/>
        <w:ind w:right="1"/>
        <w:jc w:val="right"/>
        <w:rPr>
          <w:rFonts w:ascii="宋体" w:hAnsi="宋体" w:eastAsia="宋体" w:cs="宋体"/>
          <w:sz w:val="21"/>
          <w:szCs w:val="21"/>
        </w:rPr>
      </w:pPr>
      <w:r>
        <w:rPr>
          <w:rFonts w:ascii="宋体" w:hAnsi="宋体" w:eastAsia="宋体" w:cs="宋体"/>
          <w:spacing w:val="-1"/>
          <w:position w:val="14"/>
          <w:sz w:val="21"/>
          <w:szCs w:val="21"/>
        </w:rPr>
        <w:t>（</w:t>
      </w:r>
      <w:r>
        <w:rPr>
          <w:rFonts w:ascii="Times New Roman" w:hAnsi="Times New Roman" w:eastAsia="Times New Roman" w:cs="Times New Roman"/>
          <w:spacing w:val="-1"/>
          <w:position w:val="14"/>
          <w:sz w:val="21"/>
          <w:szCs w:val="21"/>
        </w:rPr>
        <w:t>1</w:t>
      </w:r>
      <w:r>
        <w:rPr>
          <w:rFonts w:ascii="宋体" w:hAnsi="宋体" w:eastAsia="宋体" w:cs="宋体"/>
          <w:spacing w:val="-1"/>
          <w:position w:val="14"/>
          <w:sz w:val="21"/>
          <w:szCs w:val="21"/>
        </w:rPr>
        <w:t xml:space="preserve">）合同解除后，按第 </w:t>
      </w:r>
      <w:r>
        <w:rPr>
          <w:rFonts w:ascii="Times New Roman" w:hAnsi="Times New Roman" w:eastAsia="Times New Roman" w:cs="Times New Roman"/>
          <w:spacing w:val="-1"/>
          <w:position w:val="14"/>
          <w:sz w:val="21"/>
          <w:szCs w:val="21"/>
        </w:rPr>
        <w:t>4.4</w:t>
      </w:r>
      <w:r>
        <w:rPr>
          <w:rFonts w:ascii="Times New Roman" w:hAnsi="Times New Roman" w:eastAsia="Times New Roman" w:cs="Times New Roman"/>
          <w:spacing w:val="47"/>
          <w:w w:val="101"/>
          <w:position w:val="14"/>
          <w:sz w:val="21"/>
          <w:szCs w:val="21"/>
        </w:rPr>
        <w:t xml:space="preserve"> </w:t>
      </w:r>
      <w:r>
        <w:rPr>
          <w:rFonts w:ascii="宋体" w:hAnsi="宋体" w:eastAsia="宋体" w:cs="宋体"/>
          <w:spacing w:val="-1"/>
          <w:position w:val="14"/>
          <w:sz w:val="21"/>
          <w:szCs w:val="21"/>
        </w:rPr>
        <w:t>款〔商定或确定〕商定或确定承包人实际完成工作对应的</w:t>
      </w:r>
    </w:p>
    <w:p w14:paraId="4612292D">
      <w:pPr>
        <w:spacing w:line="219" w:lineRule="auto"/>
        <w:ind w:left="19"/>
        <w:rPr>
          <w:rFonts w:ascii="宋体" w:hAnsi="宋体" w:eastAsia="宋体" w:cs="宋体"/>
          <w:sz w:val="21"/>
          <w:szCs w:val="21"/>
        </w:rPr>
      </w:pPr>
      <w:r>
        <w:rPr>
          <w:rFonts w:ascii="宋体" w:hAnsi="宋体" w:eastAsia="宋体" w:cs="宋体"/>
          <w:spacing w:val="-6"/>
          <w:sz w:val="21"/>
          <w:szCs w:val="21"/>
        </w:rPr>
        <w:t>合同价款，</w:t>
      </w:r>
      <w:r>
        <w:rPr>
          <w:rFonts w:ascii="宋体" w:hAnsi="宋体" w:eastAsia="宋体" w:cs="宋体"/>
          <w:spacing w:val="75"/>
          <w:sz w:val="21"/>
          <w:szCs w:val="21"/>
        </w:rPr>
        <w:t xml:space="preserve"> </w:t>
      </w:r>
      <w:r>
        <w:rPr>
          <w:rFonts w:ascii="宋体" w:hAnsi="宋体" w:eastAsia="宋体" w:cs="宋体"/>
          <w:spacing w:val="-6"/>
          <w:sz w:val="21"/>
          <w:szCs w:val="21"/>
        </w:rPr>
        <w:t>以及承包人已提供的材料、工程设备、施工设备和临</w:t>
      </w:r>
      <w:r>
        <w:rPr>
          <w:rFonts w:ascii="宋体" w:hAnsi="宋体" w:eastAsia="宋体" w:cs="宋体"/>
          <w:spacing w:val="-7"/>
          <w:sz w:val="21"/>
          <w:szCs w:val="21"/>
        </w:rPr>
        <w:t>时工程等的价值；</w:t>
      </w:r>
    </w:p>
    <w:p w14:paraId="69B108F5">
      <w:pPr>
        <w:spacing w:before="153" w:line="221" w:lineRule="auto"/>
        <w:ind w:left="447"/>
        <w:rPr>
          <w:rFonts w:ascii="宋体" w:hAnsi="宋体" w:eastAsia="宋体" w:cs="宋体"/>
          <w:sz w:val="21"/>
          <w:szCs w:val="21"/>
        </w:rPr>
      </w:pPr>
      <w:r>
        <w:rPr>
          <w:rFonts w:ascii="宋体" w:hAnsi="宋体" w:eastAsia="宋体" w:cs="宋体"/>
          <w:spacing w:val="-2"/>
          <w:sz w:val="21"/>
          <w:szCs w:val="21"/>
        </w:rPr>
        <w:t>（</w:t>
      </w:r>
      <w:r>
        <w:rPr>
          <w:rFonts w:ascii="Times New Roman" w:hAnsi="Times New Roman" w:eastAsia="Times New Roman" w:cs="Times New Roman"/>
          <w:spacing w:val="-2"/>
          <w:sz w:val="21"/>
          <w:szCs w:val="21"/>
        </w:rPr>
        <w:t>2</w:t>
      </w:r>
      <w:r>
        <w:rPr>
          <w:rFonts w:ascii="宋体" w:hAnsi="宋体" w:eastAsia="宋体" w:cs="宋体"/>
          <w:spacing w:val="-2"/>
          <w:sz w:val="21"/>
          <w:szCs w:val="21"/>
        </w:rPr>
        <w:t>）合同解除后，承包人应支付的违约金；</w:t>
      </w:r>
    </w:p>
    <w:p w14:paraId="0A057814">
      <w:pPr>
        <w:spacing w:before="147" w:line="221" w:lineRule="auto"/>
        <w:ind w:left="447"/>
        <w:rPr>
          <w:rFonts w:ascii="宋体" w:hAnsi="宋体" w:eastAsia="宋体" w:cs="宋体"/>
          <w:sz w:val="21"/>
          <w:szCs w:val="21"/>
        </w:rPr>
      </w:pPr>
      <w:r>
        <w:rPr>
          <w:rFonts w:ascii="宋体" w:hAnsi="宋体" w:eastAsia="宋体" w:cs="宋体"/>
          <w:spacing w:val="-1"/>
          <w:sz w:val="21"/>
          <w:szCs w:val="21"/>
        </w:rPr>
        <w:t>（</w:t>
      </w:r>
      <w:r>
        <w:rPr>
          <w:rFonts w:ascii="Times New Roman" w:hAnsi="Times New Roman" w:eastAsia="Times New Roman" w:cs="Times New Roman"/>
          <w:spacing w:val="-1"/>
          <w:sz w:val="21"/>
          <w:szCs w:val="21"/>
        </w:rPr>
        <w:t>3</w:t>
      </w:r>
      <w:r>
        <w:rPr>
          <w:rFonts w:ascii="宋体" w:hAnsi="宋体" w:eastAsia="宋体" w:cs="宋体"/>
          <w:spacing w:val="-1"/>
          <w:sz w:val="21"/>
          <w:szCs w:val="21"/>
        </w:rPr>
        <w:t>）合同解除后，因解除合同给发包人造成的损失；</w:t>
      </w:r>
    </w:p>
    <w:p w14:paraId="2DB92367">
      <w:pPr>
        <w:spacing w:before="147" w:line="221" w:lineRule="auto"/>
        <w:ind w:left="447"/>
        <w:rPr>
          <w:rFonts w:ascii="宋体" w:hAnsi="宋体" w:eastAsia="宋体" w:cs="宋体"/>
          <w:sz w:val="21"/>
          <w:szCs w:val="21"/>
        </w:rPr>
      </w:pPr>
      <w:r>
        <w:rPr>
          <w:rFonts w:ascii="宋体" w:hAnsi="宋体" w:eastAsia="宋体" w:cs="宋体"/>
          <w:spacing w:val="-1"/>
          <w:sz w:val="21"/>
          <w:szCs w:val="21"/>
        </w:rPr>
        <w:t>（</w:t>
      </w:r>
      <w:r>
        <w:rPr>
          <w:rFonts w:ascii="Times New Roman" w:hAnsi="Times New Roman" w:eastAsia="Times New Roman" w:cs="Times New Roman"/>
          <w:spacing w:val="-1"/>
          <w:sz w:val="21"/>
          <w:szCs w:val="21"/>
        </w:rPr>
        <w:t>4</w:t>
      </w:r>
      <w:r>
        <w:rPr>
          <w:rFonts w:ascii="宋体" w:hAnsi="宋体" w:eastAsia="宋体" w:cs="宋体"/>
          <w:spacing w:val="-1"/>
          <w:sz w:val="21"/>
          <w:szCs w:val="21"/>
        </w:rPr>
        <w:t>）合同解除后，承包人应按照发包人要求和监理人的指示完成现场的清理和撤离；</w:t>
      </w:r>
    </w:p>
    <w:p w14:paraId="79FB2A22">
      <w:pPr>
        <w:spacing w:before="153" w:line="399" w:lineRule="exact"/>
        <w:ind w:right="12"/>
        <w:jc w:val="right"/>
        <w:rPr>
          <w:rFonts w:ascii="宋体" w:hAnsi="宋体" w:eastAsia="宋体" w:cs="宋体"/>
          <w:sz w:val="21"/>
          <w:szCs w:val="21"/>
        </w:rPr>
      </w:pPr>
      <w:r>
        <w:rPr>
          <w:rFonts w:ascii="宋体" w:hAnsi="宋体" w:eastAsia="宋体" w:cs="宋体"/>
          <w:spacing w:val="-5"/>
          <w:position w:val="14"/>
          <w:sz w:val="21"/>
          <w:szCs w:val="21"/>
        </w:rPr>
        <w:t>（</w:t>
      </w:r>
      <w:r>
        <w:rPr>
          <w:rFonts w:ascii="Times New Roman" w:hAnsi="Times New Roman" w:eastAsia="Times New Roman" w:cs="Times New Roman"/>
          <w:spacing w:val="-5"/>
          <w:position w:val="14"/>
          <w:sz w:val="21"/>
          <w:szCs w:val="21"/>
        </w:rPr>
        <w:t>5</w:t>
      </w:r>
      <w:r>
        <w:rPr>
          <w:rFonts w:ascii="宋体" w:hAnsi="宋体" w:eastAsia="宋体" w:cs="宋体"/>
          <w:spacing w:val="-5"/>
          <w:position w:val="14"/>
          <w:sz w:val="21"/>
          <w:szCs w:val="21"/>
        </w:rPr>
        <w:t>）发包人和承包人应在合同解除后进行清算，</w:t>
      </w:r>
      <w:r>
        <w:rPr>
          <w:rFonts w:ascii="宋体" w:hAnsi="宋体" w:eastAsia="宋体" w:cs="宋体"/>
          <w:spacing w:val="82"/>
          <w:position w:val="14"/>
          <w:sz w:val="21"/>
          <w:szCs w:val="21"/>
        </w:rPr>
        <w:t xml:space="preserve"> </w:t>
      </w:r>
      <w:r>
        <w:rPr>
          <w:rFonts w:ascii="宋体" w:hAnsi="宋体" w:eastAsia="宋体" w:cs="宋体"/>
          <w:spacing w:val="-5"/>
          <w:position w:val="14"/>
          <w:sz w:val="21"/>
          <w:szCs w:val="21"/>
        </w:rPr>
        <w:t>出具最终结清付款证书，结清全部款</w:t>
      </w:r>
    </w:p>
    <w:p w14:paraId="5804E7B6">
      <w:pPr>
        <w:spacing w:line="221" w:lineRule="auto"/>
        <w:ind w:left="21"/>
        <w:rPr>
          <w:rFonts w:ascii="宋体" w:hAnsi="宋体" w:eastAsia="宋体" w:cs="宋体"/>
          <w:sz w:val="21"/>
          <w:szCs w:val="21"/>
        </w:rPr>
      </w:pPr>
      <w:r>
        <w:rPr>
          <w:rFonts w:ascii="宋体" w:hAnsi="宋体" w:eastAsia="宋体" w:cs="宋体"/>
          <w:spacing w:val="-11"/>
          <w:sz w:val="21"/>
          <w:szCs w:val="21"/>
        </w:rPr>
        <w:t>项。</w:t>
      </w:r>
    </w:p>
    <w:p w14:paraId="2C24507C">
      <w:pPr>
        <w:spacing w:before="147" w:line="352" w:lineRule="auto"/>
        <w:ind w:left="21" w:right="4" w:firstLine="436"/>
        <w:rPr>
          <w:rFonts w:ascii="宋体" w:hAnsi="宋体" w:eastAsia="宋体" w:cs="宋体"/>
          <w:sz w:val="21"/>
          <w:szCs w:val="21"/>
        </w:rPr>
      </w:pPr>
      <w:r>
        <w:rPr>
          <w:rFonts w:ascii="宋体" w:hAnsi="宋体" w:eastAsia="宋体" w:cs="宋体"/>
          <w:sz w:val="21"/>
          <w:szCs w:val="21"/>
        </w:rPr>
        <w:t>因承包人违约解除合同的， 发包人有权暂停对承包人的付款，查清各项</w:t>
      </w:r>
      <w:r>
        <w:rPr>
          <w:rFonts w:ascii="宋体" w:hAnsi="宋体" w:eastAsia="宋体" w:cs="宋体"/>
          <w:spacing w:val="-1"/>
          <w:sz w:val="21"/>
          <w:szCs w:val="21"/>
        </w:rPr>
        <w:t>付款和已扣款</w:t>
      </w:r>
      <w:r>
        <w:rPr>
          <w:rFonts w:ascii="宋体" w:hAnsi="宋体" w:eastAsia="宋体" w:cs="宋体"/>
          <w:sz w:val="21"/>
          <w:szCs w:val="21"/>
        </w:rPr>
        <w:t xml:space="preserve"> 项。发包人和承包人未能就合同解除后的清算和款项支付达成</w:t>
      </w:r>
      <w:r>
        <w:rPr>
          <w:rFonts w:ascii="宋体" w:hAnsi="宋体" w:eastAsia="宋体" w:cs="宋体"/>
          <w:spacing w:val="-1"/>
          <w:sz w:val="21"/>
          <w:szCs w:val="21"/>
        </w:rPr>
        <w:t>一致的，按照第</w:t>
      </w:r>
      <w:r>
        <w:rPr>
          <w:rFonts w:ascii="宋体" w:hAnsi="宋体" w:eastAsia="宋体" w:cs="宋体"/>
          <w:spacing w:val="-30"/>
          <w:sz w:val="21"/>
          <w:szCs w:val="21"/>
        </w:rPr>
        <w:t xml:space="preserve"> </w:t>
      </w:r>
      <w:r>
        <w:rPr>
          <w:rFonts w:ascii="Times New Roman" w:hAnsi="Times New Roman" w:eastAsia="Times New Roman" w:cs="Times New Roman"/>
          <w:spacing w:val="-1"/>
          <w:sz w:val="21"/>
          <w:szCs w:val="21"/>
        </w:rPr>
        <w:t xml:space="preserve">20 </w:t>
      </w:r>
      <w:r>
        <w:rPr>
          <w:rFonts w:ascii="宋体" w:hAnsi="宋体" w:eastAsia="宋体" w:cs="宋体"/>
          <w:spacing w:val="-1"/>
          <w:sz w:val="21"/>
          <w:szCs w:val="21"/>
        </w:rPr>
        <w:t>条〔争议</w:t>
      </w:r>
    </w:p>
    <w:p w14:paraId="2B6D8EDA">
      <w:pPr>
        <w:spacing w:before="1" w:line="220" w:lineRule="auto"/>
        <w:ind w:left="17"/>
        <w:rPr>
          <w:rFonts w:ascii="宋体" w:hAnsi="宋体" w:eastAsia="宋体" w:cs="宋体"/>
          <w:sz w:val="21"/>
          <w:szCs w:val="21"/>
        </w:rPr>
      </w:pPr>
      <w:r>
        <w:rPr>
          <w:rFonts w:ascii="宋体" w:hAnsi="宋体" w:eastAsia="宋体" w:cs="宋体"/>
          <w:spacing w:val="-3"/>
          <w:sz w:val="21"/>
          <w:szCs w:val="21"/>
        </w:rPr>
        <w:t>解决〕的约定处理。</w:t>
      </w:r>
    </w:p>
    <w:p w14:paraId="56805940">
      <w:pPr>
        <w:spacing w:line="220" w:lineRule="auto"/>
        <w:rPr>
          <w:rFonts w:ascii="宋体" w:hAnsi="宋体" w:eastAsia="宋体" w:cs="宋体"/>
          <w:sz w:val="21"/>
          <w:szCs w:val="21"/>
        </w:rPr>
        <w:sectPr>
          <w:footerReference r:id="rId133" w:type="default"/>
          <w:pgSz w:w="11905" w:h="16839"/>
          <w:pgMar w:top="1431" w:right="1785" w:bottom="1004" w:left="1785" w:header="0" w:footer="828" w:gutter="0"/>
          <w:pgNumType w:fmt="decimal"/>
          <w:cols w:space="720" w:num="1"/>
        </w:sectPr>
      </w:pPr>
    </w:p>
    <w:p w14:paraId="3F8B2DF6">
      <w:pPr>
        <w:spacing w:before="149" w:line="220" w:lineRule="auto"/>
        <w:ind w:left="457"/>
        <w:rPr>
          <w:rFonts w:ascii="宋体" w:hAnsi="宋体" w:eastAsia="宋体" w:cs="宋体"/>
          <w:sz w:val="21"/>
          <w:szCs w:val="21"/>
        </w:rPr>
      </w:pPr>
      <w:r>
        <w:rPr>
          <w:rFonts w:ascii="Times New Roman" w:hAnsi="Times New Roman" w:eastAsia="Times New Roman" w:cs="Times New Roman"/>
          <w:spacing w:val="-2"/>
          <w:sz w:val="21"/>
          <w:szCs w:val="21"/>
        </w:rPr>
        <w:t xml:space="preserve">16.2.5 </w:t>
      </w:r>
      <w:r>
        <w:rPr>
          <w:rFonts w:ascii="宋体" w:hAnsi="宋体" w:eastAsia="宋体" w:cs="宋体"/>
          <w:spacing w:val="-2"/>
          <w:sz w:val="21"/>
          <w:szCs w:val="21"/>
        </w:rPr>
        <w:t>采购合同权益转让</w:t>
      </w:r>
    </w:p>
    <w:p w14:paraId="53E8474E">
      <w:pPr>
        <w:spacing w:before="148" w:line="403" w:lineRule="exact"/>
        <w:ind w:right="6"/>
        <w:jc w:val="right"/>
        <w:rPr>
          <w:rFonts w:ascii="宋体" w:hAnsi="宋体" w:eastAsia="宋体" w:cs="宋体"/>
          <w:sz w:val="21"/>
          <w:szCs w:val="21"/>
        </w:rPr>
      </w:pPr>
      <w:r>
        <w:rPr>
          <w:rFonts w:ascii="宋体" w:hAnsi="宋体" w:eastAsia="宋体" w:cs="宋体"/>
          <w:position w:val="14"/>
          <w:sz w:val="21"/>
          <w:szCs w:val="21"/>
        </w:rPr>
        <w:t>因承包人违约解除合同的， 发包人有权要求承包人将其为实施合同</w:t>
      </w:r>
      <w:r>
        <w:rPr>
          <w:rFonts w:ascii="宋体" w:hAnsi="宋体" w:eastAsia="宋体" w:cs="宋体"/>
          <w:spacing w:val="-1"/>
          <w:position w:val="14"/>
          <w:sz w:val="21"/>
          <w:szCs w:val="21"/>
        </w:rPr>
        <w:t>而签订的材料和设</w:t>
      </w:r>
    </w:p>
    <w:p w14:paraId="4ACFB098">
      <w:pPr>
        <w:spacing w:line="219" w:lineRule="auto"/>
        <w:ind w:right="2"/>
        <w:jc w:val="right"/>
        <w:rPr>
          <w:rFonts w:ascii="宋体" w:hAnsi="宋体" w:eastAsia="宋体" w:cs="宋体"/>
          <w:sz w:val="21"/>
          <w:szCs w:val="21"/>
        </w:rPr>
      </w:pPr>
      <w:r>
        <w:rPr>
          <w:rFonts w:ascii="宋体" w:hAnsi="宋体" w:eastAsia="宋体" w:cs="宋体"/>
          <w:spacing w:val="-4"/>
          <w:sz w:val="21"/>
          <w:szCs w:val="21"/>
        </w:rPr>
        <w:t xml:space="preserve">备的采购合同的权益转让给发包人，承包人应在收到解除合同通知后 </w:t>
      </w:r>
      <w:r>
        <w:rPr>
          <w:rFonts w:ascii="Times New Roman" w:hAnsi="Times New Roman" w:eastAsia="Times New Roman" w:cs="Times New Roman"/>
          <w:spacing w:val="-4"/>
          <w:sz w:val="21"/>
          <w:szCs w:val="21"/>
        </w:rPr>
        <w:t>14</w:t>
      </w:r>
      <w:r>
        <w:rPr>
          <w:rFonts w:ascii="Times New Roman" w:hAnsi="Times New Roman" w:eastAsia="Times New Roman" w:cs="Times New Roman"/>
          <w:spacing w:val="23"/>
          <w:w w:val="101"/>
          <w:sz w:val="21"/>
          <w:szCs w:val="21"/>
        </w:rPr>
        <w:t xml:space="preserve"> </w:t>
      </w:r>
      <w:r>
        <w:rPr>
          <w:rFonts w:ascii="宋体" w:hAnsi="宋体" w:eastAsia="宋体" w:cs="宋体"/>
          <w:spacing w:val="-4"/>
          <w:sz w:val="21"/>
          <w:szCs w:val="21"/>
        </w:rPr>
        <w:t>天内， 协助发包人</w:t>
      </w:r>
    </w:p>
    <w:p w14:paraId="29D656D7">
      <w:pPr>
        <w:spacing w:before="148" w:line="220" w:lineRule="auto"/>
        <w:ind w:left="22"/>
        <w:rPr>
          <w:rFonts w:ascii="宋体" w:hAnsi="宋体" w:eastAsia="宋体" w:cs="宋体"/>
          <w:sz w:val="21"/>
          <w:szCs w:val="21"/>
        </w:rPr>
      </w:pPr>
      <w:r>
        <w:rPr>
          <w:rFonts w:ascii="宋体" w:hAnsi="宋体" w:eastAsia="宋体" w:cs="宋体"/>
          <w:spacing w:val="-2"/>
          <w:sz w:val="21"/>
          <w:szCs w:val="21"/>
        </w:rPr>
        <w:t>与采购合同的供应商达成相关的转让协议。</w:t>
      </w:r>
    </w:p>
    <w:p w14:paraId="2E60CE35">
      <w:pPr>
        <w:spacing w:before="46" w:line="219" w:lineRule="auto"/>
        <w:ind w:left="31"/>
        <w:rPr>
          <w:rFonts w:ascii="黑体" w:hAnsi="黑体" w:eastAsia="黑体" w:cs="黑体"/>
          <w:sz w:val="24"/>
          <w:szCs w:val="24"/>
        </w:rPr>
      </w:pPr>
      <w:r>
        <w:rPr>
          <w:rFonts w:ascii="黑体" w:hAnsi="黑体" w:eastAsia="黑体" w:cs="黑体"/>
          <w:spacing w:val="-2"/>
          <w:sz w:val="24"/>
          <w:szCs w:val="24"/>
        </w:rPr>
        <w:t>16.3 第三人造成的违约</w:t>
      </w:r>
    </w:p>
    <w:p w14:paraId="262C896B">
      <w:pPr>
        <w:spacing w:before="130" w:line="403" w:lineRule="exact"/>
        <w:ind w:right="6"/>
        <w:jc w:val="right"/>
        <w:rPr>
          <w:rFonts w:ascii="宋体" w:hAnsi="宋体" w:eastAsia="宋体" w:cs="宋体"/>
          <w:sz w:val="21"/>
          <w:szCs w:val="21"/>
        </w:rPr>
      </w:pPr>
      <w:r>
        <w:rPr>
          <w:rFonts w:ascii="宋体" w:hAnsi="宋体" w:eastAsia="宋体" w:cs="宋体"/>
          <w:position w:val="14"/>
          <w:sz w:val="21"/>
          <w:szCs w:val="21"/>
        </w:rPr>
        <w:t>在履行合同过程中， 一方当事人因第三人的原因造成违约的，应当向对方当事人承担</w:t>
      </w:r>
    </w:p>
    <w:p w14:paraId="53D16EC3">
      <w:pPr>
        <w:spacing w:before="1" w:line="219" w:lineRule="auto"/>
        <w:ind w:left="18"/>
        <w:rPr>
          <w:rFonts w:ascii="宋体" w:hAnsi="宋体" w:eastAsia="宋体" w:cs="宋体"/>
          <w:sz w:val="21"/>
          <w:szCs w:val="21"/>
        </w:rPr>
      </w:pPr>
      <w:r>
        <w:rPr>
          <w:rFonts w:ascii="宋体" w:hAnsi="宋体" w:eastAsia="宋体" w:cs="宋体"/>
          <w:spacing w:val="-5"/>
          <w:sz w:val="21"/>
          <w:szCs w:val="21"/>
        </w:rPr>
        <w:t>违约责任。</w:t>
      </w:r>
      <w:r>
        <w:rPr>
          <w:rFonts w:ascii="宋体" w:hAnsi="宋体" w:eastAsia="宋体" w:cs="宋体"/>
          <w:spacing w:val="43"/>
          <w:sz w:val="21"/>
          <w:szCs w:val="21"/>
        </w:rPr>
        <w:t xml:space="preserve"> </w:t>
      </w:r>
      <w:r>
        <w:rPr>
          <w:rFonts w:ascii="宋体" w:hAnsi="宋体" w:eastAsia="宋体" w:cs="宋体"/>
          <w:spacing w:val="-5"/>
          <w:sz w:val="21"/>
          <w:szCs w:val="21"/>
        </w:rPr>
        <w:t>一方当事人和第三人之间的纠纷，依照法律规定或者按照约定解决。</w:t>
      </w:r>
    </w:p>
    <w:p w14:paraId="45B2C75E">
      <w:pPr>
        <w:spacing w:before="174" w:line="219" w:lineRule="auto"/>
        <w:ind w:left="39"/>
        <w:rPr>
          <w:rFonts w:ascii="黑体" w:hAnsi="黑体" w:eastAsia="黑体" w:cs="黑体"/>
          <w:sz w:val="32"/>
          <w:szCs w:val="32"/>
        </w:rPr>
      </w:pPr>
      <w:r>
        <w:rPr>
          <w:rFonts w:ascii="黑体" w:hAnsi="黑体" w:eastAsia="黑体" w:cs="黑体"/>
          <w:spacing w:val="-4"/>
          <w:sz w:val="32"/>
          <w:szCs w:val="32"/>
        </w:rPr>
        <w:t>17.不可抗力</w:t>
      </w:r>
    </w:p>
    <w:p w14:paraId="539E15DC">
      <w:pPr>
        <w:spacing w:before="146" w:line="218" w:lineRule="auto"/>
        <w:ind w:left="31"/>
        <w:rPr>
          <w:rFonts w:ascii="黑体" w:hAnsi="黑体" w:eastAsia="黑体" w:cs="黑体"/>
          <w:sz w:val="24"/>
          <w:szCs w:val="24"/>
        </w:rPr>
      </w:pPr>
      <w:r>
        <w:rPr>
          <w:rFonts w:ascii="黑体" w:hAnsi="黑体" w:eastAsia="黑体" w:cs="黑体"/>
          <w:spacing w:val="-2"/>
          <w:sz w:val="24"/>
          <w:szCs w:val="24"/>
        </w:rPr>
        <w:t>17.1 不可抗力的确认</w:t>
      </w:r>
    </w:p>
    <w:p w14:paraId="1A5EAE82">
      <w:pPr>
        <w:spacing w:before="129" w:line="353" w:lineRule="auto"/>
        <w:ind w:left="23" w:right="6" w:firstLine="421"/>
        <w:jc w:val="both"/>
        <w:rPr>
          <w:rFonts w:ascii="宋体" w:hAnsi="宋体" w:eastAsia="宋体" w:cs="宋体"/>
          <w:sz w:val="21"/>
          <w:szCs w:val="21"/>
        </w:rPr>
      </w:pPr>
      <w:r>
        <w:rPr>
          <w:rFonts w:ascii="宋体" w:hAnsi="宋体" w:eastAsia="宋体" w:cs="宋体"/>
          <w:spacing w:val="3"/>
          <w:sz w:val="21"/>
          <w:szCs w:val="21"/>
        </w:rPr>
        <w:t>不可抗力是指合同当事人在签订合同时不可预见，在合同履行过程中不可避免且不能</w:t>
      </w:r>
      <w:r>
        <w:rPr>
          <w:rFonts w:ascii="宋体" w:hAnsi="宋体" w:eastAsia="宋体" w:cs="宋体"/>
          <w:sz w:val="21"/>
          <w:szCs w:val="21"/>
        </w:rPr>
        <w:t xml:space="preserve"> </w:t>
      </w:r>
      <w:r>
        <w:rPr>
          <w:rFonts w:ascii="宋体" w:hAnsi="宋体" w:eastAsia="宋体" w:cs="宋体"/>
          <w:spacing w:val="3"/>
          <w:sz w:val="21"/>
          <w:szCs w:val="21"/>
        </w:rPr>
        <w:t>克服的自然灾害和社会性突发事件，如地震、海啸、瘟疫、骚乱</w:t>
      </w:r>
      <w:r>
        <w:rPr>
          <w:rFonts w:ascii="宋体" w:hAnsi="宋体" w:eastAsia="宋体" w:cs="宋体"/>
          <w:spacing w:val="2"/>
          <w:sz w:val="21"/>
          <w:szCs w:val="21"/>
        </w:rPr>
        <w:t>、戒严、暴动、战争和专</w:t>
      </w:r>
    </w:p>
    <w:p w14:paraId="73D89FFE">
      <w:pPr>
        <w:spacing w:before="1" w:line="220" w:lineRule="auto"/>
        <w:ind w:left="20"/>
        <w:rPr>
          <w:rFonts w:ascii="宋体" w:hAnsi="宋体" w:eastAsia="宋体" w:cs="宋体"/>
          <w:sz w:val="21"/>
          <w:szCs w:val="21"/>
        </w:rPr>
      </w:pPr>
      <w:r>
        <w:rPr>
          <w:rFonts w:ascii="宋体" w:hAnsi="宋体" w:eastAsia="宋体" w:cs="宋体"/>
          <w:spacing w:val="-1"/>
          <w:sz w:val="21"/>
          <w:szCs w:val="21"/>
        </w:rPr>
        <w:t>用合同条款中约定的其他情形。</w:t>
      </w:r>
    </w:p>
    <w:p w14:paraId="255F82AE">
      <w:pPr>
        <w:spacing w:before="148" w:line="352" w:lineRule="auto"/>
        <w:ind w:left="17" w:right="6" w:firstLine="427"/>
        <w:jc w:val="both"/>
        <w:rPr>
          <w:rFonts w:ascii="宋体" w:hAnsi="宋体" w:eastAsia="宋体" w:cs="宋体"/>
          <w:sz w:val="21"/>
          <w:szCs w:val="21"/>
        </w:rPr>
      </w:pPr>
      <w:r>
        <w:rPr>
          <w:rFonts w:ascii="宋体" w:hAnsi="宋体" w:eastAsia="宋体" w:cs="宋体"/>
          <w:spacing w:val="3"/>
          <w:sz w:val="21"/>
          <w:szCs w:val="21"/>
        </w:rPr>
        <w:t>不可抗力发生后，发包人和承包人应收集证明不可抗力发生及不可抗力造成损失的证</w:t>
      </w:r>
      <w:r>
        <w:rPr>
          <w:rFonts w:ascii="宋体" w:hAnsi="宋体" w:eastAsia="宋体" w:cs="宋体"/>
          <w:sz w:val="21"/>
          <w:szCs w:val="21"/>
        </w:rPr>
        <w:t xml:space="preserve"> </w:t>
      </w:r>
      <w:r>
        <w:rPr>
          <w:rFonts w:ascii="宋体" w:hAnsi="宋体" w:eastAsia="宋体" w:cs="宋体"/>
          <w:spacing w:val="3"/>
          <w:sz w:val="21"/>
          <w:szCs w:val="21"/>
        </w:rPr>
        <w:t>据，并及时认真统计所造成的损失。合同当事人对是否属于不可抗力或其损失</w:t>
      </w:r>
      <w:r>
        <w:rPr>
          <w:rFonts w:ascii="宋体" w:hAnsi="宋体" w:eastAsia="宋体" w:cs="宋体"/>
          <w:spacing w:val="2"/>
          <w:sz w:val="21"/>
          <w:szCs w:val="21"/>
        </w:rPr>
        <w:t>的意见不一</w:t>
      </w:r>
    </w:p>
    <w:p w14:paraId="32ECE7A9">
      <w:pPr>
        <w:spacing w:before="1" w:line="220" w:lineRule="auto"/>
        <w:ind w:left="18"/>
        <w:rPr>
          <w:rFonts w:ascii="宋体" w:hAnsi="宋体" w:eastAsia="宋体" w:cs="宋体"/>
          <w:sz w:val="21"/>
          <w:szCs w:val="21"/>
        </w:rPr>
      </w:pPr>
      <w:r>
        <w:rPr>
          <w:rFonts w:ascii="宋体" w:hAnsi="宋体" w:eastAsia="宋体" w:cs="宋体"/>
          <w:spacing w:val="-1"/>
          <w:sz w:val="21"/>
          <w:szCs w:val="21"/>
        </w:rPr>
        <w:t>致的，由监理人按第</w:t>
      </w:r>
      <w:r>
        <w:rPr>
          <w:rFonts w:ascii="宋体" w:hAnsi="宋体" w:eastAsia="宋体" w:cs="宋体"/>
          <w:spacing w:val="-10"/>
          <w:sz w:val="21"/>
          <w:szCs w:val="21"/>
        </w:rPr>
        <w:t xml:space="preserve"> </w:t>
      </w:r>
      <w:r>
        <w:rPr>
          <w:rFonts w:ascii="Times New Roman" w:hAnsi="Times New Roman" w:eastAsia="Times New Roman" w:cs="Times New Roman"/>
          <w:spacing w:val="-1"/>
          <w:sz w:val="21"/>
          <w:szCs w:val="21"/>
        </w:rPr>
        <w:t>4.4</w:t>
      </w:r>
      <w:r>
        <w:rPr>
          <w:rFonts w:ascii="Times New Roman" w:hAnsi="Times New Roman" w:eastAsia="Times New Roman" w:cs="Times New Roman"/>
          <w:spacing w:val="19"/>
          <w:w w:val="101"/>
          <w:sz w:val="21"/>
          <w:szCs w:val="21"/>
        </w:rPr>
        <w:t xml:space="preserve"> </w:t>
      </w:r>
      <w:r>
        <w:rPr>
          <w:rFonts w:ascii="宋体" w:hAnsi="宋体" w:eastAsia="宋体" w:cs="宋体"/>
          <w:spacing w:val="-1"/>
          <w:sz w:val="21"/>
          <w:szCs w:val="21"/>
        </w:rPr>
        <w:t>款〔商定或确定〕的约定处理。发生争议时，按第</w:t>
      </w:r>
      <w:r>
        <w:rPr>
          <w:rFonts w:ascii="宋体" w:hAnsi="宋体" w:eastAsia="宋体" w:cs="宋体"/>
          <w:spacing w:val="-27"/>
          <w:sz w:val="21"/>
          <w:szCs w:val="21"/>
        </w:rPr>
        <w:t xml:space="preserve"> </w:t>
      </w:r>
      <w:r>
        <w:rPr>
          <w:rFonts w:ascii="Times New Roman" w:hAnsi="Times New Roman" w:eastAsia="Times New Roman" w:cs="Times New Roman"/>
          <w:spacing w:val="-1"/>
          <w:sz w:val="21"/>
          <w:szCs w:val="21"/>
        </w:rPr>
        <w:t>20</w:t>
      </w:r>
      <w:r>
        <w:rPr>
          <w:rFonts w:ascii="Times New Roman" w:hAnsi="Times New Roman" w:eastAsia="Times New Roman" w:cs="Times New Roman"/>
          <w:spacing w:val="19"/>
          <w:w w:val="101"/>
          <w:sz w:val="21"/>
          <w:szCs w:val="21"/>
        </w:rPr>
        <w:t xml:space="preserve"> </w:t>
      </w:r>
      <w:r>
        <w:rPr>
          <w:rFonts w:ascii="宋体" w:hAnsi="宋体" w:eastAsia="宋体" w:cs="宋体"/>
          <w:spacing w:val="-1"/>
          <w:sz w:val="21"/>
          <w:szCs w:val="21"/>
        </w:rPr>
        <w:t>条〔争议解</w:t>
      </w:r>
    </w:p>
    <w:p w14:paraId="0FE9F397">
      <w:pPr>
        <w:spacing w:before="147" w:line="221" w:lineRule="auto"/>
        <w:ind w:left="24"/>
        <w:rPr>
          <w:rFonts w:ascii="宋体" w:hAnsi="宋体" w:eastAsia="宋体" w:cs="宋体"/>
          <w:sz w:val="21"/>
          <w:szCs w:val="21"/>
        </w:rPr>
      </w:pPr>
      <w:r>
        <w:rPr>
          <w:rFonts w:ascii="宋体" w:hAnsi="宋体" w:eastAsia="宋体" w:cs="宋体"/>
          <w:spacing w:val="-4"/>
          <w:sz w:val="21"/>
          <w:szCs w:val="21"/>
        </w:rPr>
        <w:t>决〕的约定处理。</w:t>
      </w:r>
    </w:p>
    <w:p w14:paraId="61B300BC">
      <w:pPr>
        <w:spacing w:before="46" w:line="218" w:lineRule="auto"/>
        <w:ind w:left="31"/>
        <w:rPr>
          <w:rFonts w:ascii="黑体" w:hAnsi="黑体" w:eastAsia="黑体" w:cs="黑体"/>
          <w:sz w:val="24"/>
          <w:szCs w:val="24"/>
        </w:rPr>
      </w:pPr>
      <w:r>
        <w:rPr>
          <w:rFonts w:ascii="黑体" w:hAnsi="黑体" w:eastAsia="黑体" w:cs="黑体"/>
          <w:spacing w:val="-2"/>
          <w:sz w:val="24"/>
          <w:szCs w:val="24"/>
        </w:rPr>
        <w:t>17.2 不可抗力的通知</w:t>
      </w:r>
    </w:p>
    <w:p w14:paraId="41211E0E">
      <w:pPr>
        <w:spacing w:before="130" w:line="404" w:lineRule="exact"/>
        <w:ind w:right="6"/>
        <w:jc w:val="right"/>
        <w:rPr>
          <w:rFonts w:ascii="宋体" w:hAnsi="宋体" w:eastAsia="宋体" w:cs="宋体"/>
          <w:sz w:val="21"/>
          <w:szCs w:val="21"/>
        </w:rPr>
      </w:pPr>
      <w:r>
        <w:rPr>
          <w:rFonts w:ascii="宋体" w:hAnsi="宋体" w:eastAsia="宋体" w:cs="宋体"/>
          <w:spacing w:val="-2"/>
          <w:position w:val="14"/>
          <w:sz w:val="21"/>
          <w:szCs w:val="21"/>
        </w:rPr>
        <w:t>合同一方当事人遇到不可抗力事件， 使其履</w:t>
      </w:r>
      <w:r>
        <w:rPr>
          <w:rFonts w:ascii="宋体" w:hAnsi="宋体" w:eastAsia="宋体" w:cs="宋体"/>
          <w:spacing w:val="-3"/>
          <w:position w:val="14"/>
          <w:sz w:val="21"/>
          <w:szCs w:val="21"/>
        </w:rPr>
        <w:t>行合同义务受到阻碍时， 应立即通知合同</w:t>
      </w:r>
    </w:p>
    <w:p w14:paraId="4510AB51">
      <w:pPr>
        <w:spacing w:before="1" w:line="219" w:lineRule="auto"/>
        <w:ind w:left="23"/>
        <w:rPr>
          <w:rFonts w:ascii="宋体" w:hAnsi="宋体" w:eastAsia="宋体" w:cs="宋体"/>
          <w:sz w:val="21"/>
          <w:szCs w:val="21"/>
        </w:rPr>
      </w:pPr>
      <w:r>
        <w:rPr>
          <w:rFonts w:ascii="宋体" w:hAnsi="宋体" w:eastAsia="宋体" w:cs="宋体"/>
          <w:spacing w:val="-1"/>
          <w:sz w:val="21"/>
          <w:szCs w:val="21"/>
        </w:rPr>
        <w:t>另一方当事人和监理人，书面说明不可抗力和受阻碍的详细情况，并提供必要的证明。</w:t>
      </w:r>
    </w:p>
    <w:p w14:paraId="7FFC6786">
      <w:pPr>
        <w:spacing w:before="148" w:line="399" w:lineRule="exact"/>
        <w:ind w:right="6"/>
        <w:jc w:val="right"/>
        <w:rPr>
          <w:rFonts w:ascii="宋体" w:hAnsi="宋体" w:eastAsia="宋体" w:cs="宋体"/>
          <w:sz w:val="21"/>
          <w:szCs w:val="21"/>
        </w:rPr>
      </w:pPr>
      <w:r>
        <w:rPr>
          <w:rFonts w:ascii="宋体" w:hAnsi="宋体" w:eastAsia="宋体" w:cs="宋体"/>
          <w:position w:val="14"/>
          <w:sz w:val="21"/>
          <w:szCs w:val="21"/>
        </w:rPr>
        <w:t>不可抗力持续发生的， 合同一方当事人应及时向合同另一方当事人和监理人提交中间</w:t>
      </w:r>
    </w:p>
    <w:p w14:paraId="1EADFC54">
      <w:pPr>
        <w:spacing w:line="219" w:lineRule="auto"/>
        <w:ind w:right="2"/>
        <w:jc w:val="right"/>
        <w:rPr>
          <w:rFonts w:ascii="宋体" w:hAnsi="宋体" w:eastAsia="宋体" w:cs="宋体"/>
          <w:sz w:val="21"/>
          <w:szCs w:val="21"/>
        </w:rPr>
      </w:pPr>
      <w:r>
        <w:rPr>
          <w:rFonts w:ascii="宋体" w:hAnsi="宋体" w:eastAsia="宋体" w:cs="宋体"/>
          <w:sz w:val="21"/>
          <w:szCs w:val="21"/>
        </w:rPr>
        <w:t>报告，说明不可抗力和履行合同受阻的情况，并于不可抗力事件结束后</w:t>
      </w:r>
      <w:r>
        <w:rPr>
          <w:rFonts w:ascii="宋体" w:hAnsi="宋体" w:eastAsia="宋体" w:cs="宋体"/>
          <w:spacing w:val="-30"/>
          <w:sz w:val="21"/>
          <w:szCs w:val="21"/>
        </w:rPr>
        <w:t xml:space="preserve"> </w:t>
      </w:r>
      <w:r>
        <w:rPr>
          <w:rFonts w:ascii="Times New Roman" w:hAnsi="Times New Roman" w:eastAsia="Times New Roman" w:cs="Times New Roman"/>
          <w:sz w:val="21"/>
          <w:szCs w:val="21"/>
        </w:rPr>
        <w:t xml:space="preserve">28 </w:t>
      </w:r>
      <w:r>
        <w:rPr>
          <w:rFonts w:ascii="宋体" w:hAnsi="宋体" w:eastAsia="宋体" w:cs="宋体"/>
          <w:sz w:val="21"/>
          <w:szCs w:val="21"/>
        </w:rPr>
        <w:t>天内</w:t>
      </w:r>
      <w:r>
        <w:rPr>
          <w:rFonts w:ascii="宋体" w:hAnsi="宋体" w:eastAsia="宋体" w:cs="宋体"/>
          <w:spacing w:val="-1"/>
          <w:sz w:val="21"/>
          <w:szCs w:val="21"/>
        </w:rPr>
        <w:t>提交最终报</w:t>
      </w:r>
    </w:p>
    <w:p w14:paraId="632C418C">
      <w:pPr>
        <w:spacing w:before="154" w:line="219" w:lineRule="auto"/>
        <w:ind w:left="23"/>
        <w:rPr>
          <w:rFonts w:ascii="宋体" w:hAnsi="宋体" w:eastAsia="宋体" w:cs="宋体"/>
          <w:sz w:val="21"/>
          <w:szCs w:val="21"/>
        </w:rPr>
      </w:pPr>
      <w:r>
        <w:rPr>
          <w:rFonts w:ascii="宋体" w:hAnsi="宋体" w:eastAsia="宋体" w:cs="宋体"/>
          <w:spacing w:val="-4"/>
          <w:sz w:val="21"/>
          <w:szCs w:val="21"/>
        </w:rPr>
        <w:t>告及有关资料。</w:t>
      </w:r>
    </w:p>
    <w:p w14:paraId="4ECAB45F">
      <w:pPr>
        <w:spacing w:before="48" w:line="218" w:lineRule="auto"/>
        <w:ind w:left="31"/>
        <w:rPr>
          <w:rFonts w:ascii="黑体" w:hAnsi="黑体" w:eastAsia="黑体" w:cs="黑体"/>
          <w:sz w:val="24"/>
          <w:szCs w:val="24"/>
        </w:rPr>
      </w:pPr>
      <w:r>
        <w:rPr>
          <w:rFonts w:ascii="黑体" w:hAnsi="黑体" w:eastAsia="黑体" w:cs="黑体"/>
          <w:spacing w:val="-2"/>
          <w:sz w:val="24"/>
          <w:szCs w:val="24"/>
        </w:rPr>
        <w:t>17.3 不可抗力后果的承担</w:t>
      </w:r>
    </w:p>
    <w:p w14:paraId="0EB41FE3">
      <w:pPr>
        <w:spacing w:before="130" w:line="398" w:lineRule="exact"/>
        <w:ind w:right="11"/>
        <w:jc w:val="right"/>
        <w:rPr>
          <w:rFonts w:ascii="宋体" w:hAnsi="宋体" w:eastAsia="宋体" w:cs="宋体"/>
          <w:sz w:val="21"/>
          <w:szCs w:val="21"/>
        </w:rPr>
      </w:pPr>
      <w:r>
        <w:rPr>
          <w:rFonts w:ascii="Times New Roman" w:hAnsi="Times New Roman" w:eastAsia="Times New Roman" w:cs="Times New Roman"/>
          <w:spacing w:val="3"/>
          <w:position w:val="14"/>
          <w:sz w:val="21"/>
          <w:szCs w:val="21"/>
        </w:rPr>
        <w:t>17.3.1</w:t>
      </w:r>
      <w:r>
        <w:rPr>
          <w:rFonts w:ascii="Times New Roman" w:hAnsi="Times New Roman" w:eastAsia="Times New Roman" w:cs="Times New Roman"/>
          <w:spacing w:val="40"/>
          <w:w w:val="101"/>
          <w:position w:val="14"/>
          <w:sz w:val="21"/>
          <w:szCs w:val="21"/>
        </w:rPr>
        <w:t xml:space="preserve"> </w:t>
      </w:r>
      <w:r>
        <w:rPr>
          <w:rFonts w:ascii="宋体" w:hAnsi="宋体" w:eastAsia="宋体" w:cs="宋体"/>
          <w:spacing w:val="3"/>
          <w:position w:val="14"/>
          <w:sz w:val="21"/>
          <w:szCs w:val="21"/>
        </w:rPr>
        <w:t>不可抗力引起的后果及造成的损失由合同</w:t>
      </w:r>
      <w:r>
        <w:rPr>
          <w:rFonts w:ascii="宋体" w:hAnsi="宋体" w:eastAsia="宋体" w:cs="宋体"/>
          <w:spacing w:val="2"/>
          <w:position w:val="14"/>
          <w:sz w:val="21"/>
          <w:szCs w:val="21"/>
        </w:rPr>
        <w:t>当事人按照法律规定及合同约定各自</w:t>
      </w:r>
    </w:p>
    <w:p w14:paraId="64741186">
      <w:pPr>
        <w:spacing w:before="1" w:line="220" w:lineRule="auto"/>
        <w:ind w:left="18"/>
        <w:rPr>
          <w:rFonts w:ascii="宋体" w:hAnsi="宋体" w:eastAsia="宋体" w:cs="宋体"/>
          <w:sz w:val="21"/>
          <w:szCs w:val="21"/>
        </w:rPr>
      </w:pPr>
      <w:r>
        <w:rPr>
          <w:rFonts w:ascii="宋体" w:hAnsi="宋体" w:eastAsia="宋体" w:cs="宋体"/>
          <w:spacing w:val="-4"/>
          <w:sz w:val="21"/>
          <w:szCs w:val="21"/>
        </w:rPr>
        <w:t>承担。 不可抗力发生前已完成的工程应当按照合同约定进行计量支付。</w:t>
      </w:r>
    </w:p>
    <w:p w14:paraId="60C43E67">
      <w:pPr>
        <w:spacing w:before="153" w:line="398" w:lineRule="exact"/>
        <w:ind w:right="27"/>
        <w:jc w:val="right"/>
        <w:rPr>
          <w:rFonts w:ascii="宋体" w:hAnsi="宋体" w:eastAsia="宋体" w:cs="宋体"/>
          <w:sz w:val="21"/>
          <w:szCs w:val="21"/>
        </w:rPr>
      </w:pPr>
      <w:r>
        <w:rPr>
          <w:rFonts w:ascii="Times New Roman" w:hAnsi="Times New Roman" w:eastAsia="Times New Roman" w:cs="Times New Roman"/>
          <w:position w:val="14"/>
          <w:sz w:val="21"/>
          <w:szCs w:val="21"/>
        </w:rPr>
        <w:t>17.3.2</w:t>
      </w:r>
      <w:r>
        <w:rPr>
          <w:rFonts w:ascii="Times New Roman" w:hAnsi="Times New Roman" w:eastAsia="Times New Roman" w:cs="Times New Roman"/>
          <w:spacing w:val="40"/>
          <w:w w:val="101"/>
          <w:position w:val="14"/>
          <w:sz w:val="21"/>
          <w:szCs w:val="21"/>
        </w:rPr>
        <w:t xml:space="preserve"> </w:t>
      </w:r>
      <w:r>
        <w:rPr>
          <w:rFonts w:ascii="宋体" w:hAnsi="宋体" w:eastAsia="宋体" w:cs="宋体"/>
          <w:position w:val="14"/>
          <w:sz w:val="21"/>
          <w:szCs w:val="21"/>
        </w:rPr>
        <w:t>不可抗力导致的人员伤亡、财产损失、费</w:t>
      </w:r>
      <w:r>
        <w:rPr>
          <w:rFonts w:ascii="宋体" w:hAnsi="宋体" w:eastAsia="宋体" w:cs="宋体"/>
          <w:spacing w:val="-1"/>
          <w:position w:val="14"/>
          <w:sz w:val="21"/>
          <w:szCs w:val="21"/>
        </w:rPr>
        <w:t>用增加和（或） 工期延误等后果，由</w:t>
      </w:r>
    </w:p>
    <w:p w14:paraId="147032A3">
      <w:pPr>
        <w:spacing w:before="1" w:line="220" w:lineRule="auto"/>
        <w:ind w:left="19"/>
        <w:rPr>
          <w:rFonts w:ascii="宋体" w:hAnsi="宋体" w:eastAsia="宋体" w:cs="宋体"/>
          <w:sz w:val="21"/>
          <w:szCs w:val="21"/>
        </w:rPr>
      </w:pPr>
      <w:r>
        <w:rPr>
          <w:rFonts w:ascii="宋体" w:hAnsi="宋体" w:eastAsia="宋体" w:cs="宋体"/>
          <w:spacing w:val="-4"/>
          <w:sz w:val="21"/>
          <w:szCs w:val="21"/>
        </w:rPr>
        <w:t>合同当事人按以下原则承担：</w:t>
      </w:r>
    </w:p>
    <w:p w14:paraId="635F23A4">
      <w:pPr>
        <w:spacing w:before="147" w:line="403" w:lineRule="exact"/>
        <w:ind w:right="16"/>
        <w:jc w:val="right"/>
        <w:rPr>
          <w:rFonts w:ascii="宋体" w:hAnsi="宋体" w:eastAsia="宋体" w:cs="宋体"/>
          <w:sz w:val="21"/>
          <w:szCs w:val="21"/>
        </w:rPr>
      </w:pPr>
      <w:r>
        <w:rPr>
          <w:rFonts w:ascii="宋体" w:hAnsi="宋体" w:eastAsia="宋体" w:cs="宋体"/>
          <w:position w:val="14"/>
          <w:sz w:val="21"/>
          <w:szCs w:val="21"/>
        </w:rPr>
        <w:t>（</w:t>
      </w:r>
      <w:r>
        <w:rPr>
          <w:rFonts w:ascii="Times New Roman" w:hAnsi="Times New Roman" w:eastAsia="Times New Roman" w:cs="Times New Roman"/>
          <w:position w:val="14"/>
          <w:sz w:val="21"/>
          <w:szCs w:val="21"/>
        </w:rPr>
        <w:t>1</w:t>
      </w:r>
      <w:r>
        <w:rPr>
          <w:rFonts w:ascii="宋体" w:hAnsi="宋体" w:eastAsia="宋体" w:cs="宋体"/>
          <w:position w:val="14"/>
          <w:sz w:val="21"/>
          <w:szCs w:val="21"/>
        </w:rPr>
        <w:t>）永久工程、已运至施工现场的材料和工程设备的损坏，以及因工</w:t>
      </w:r>
      <w:r>
        <w:rPr>
          <w:rFonts w:ascii="宋体" w:hAnsi="宋体" w:eastAsia="宋体" w:cs="宋体"/>
          <w:spacing w:val="-1"/>
          <w:position w:val="14"/>
          <w:sz w:val="21"/>
          <w:szCs w:val="21"/>
        </w:rPr>
        <w:t>程损坏造成的第</w:t>
      </w:r>
    </w:p>
    <w:p w14:paraId="20F5297D">
      <w:pPr>
        <w:spacing w:before="1" w:line="220" w:lineRule="auto"/>
        <w:ind w:left="18"/>
        <w:rPr>
          <w:rFonts w:ascii="宋体" w:hAnsi="宋体" w:eastAsia="宋体" w:cs="宋体"/>
          <w:sz w:val="21"/>
          <w:szCs w:val="21"/>
        </w:rPr>
      </w:pPr>
      <w:r>
        <w:rPr>
          <w:rFonts w:ascii="宋体" w:hAnsi="宋体" w:eastAsia="宋体" w:cs="宋体"/>
          <w:spacing w:val="-1"/>
          <w:sz w:val="21"/>
          <w:szCs w:val="21"/>
        </w:rPr>
        <w:t>三人人员伤亡和财产损失由发包人承担；</w:t>
      </w:r>
    </w:p>
    <w:p w14:paraId="33692807">
      <w:pPr>
        <w:spacing w:before="147" w:line="221" w:lineRule="auto"/>
        <w:ind w:left="447"/>
        <w:rPr>
          <w:rFonts w:ascii="宋体" w:hAnsi="宋体" w:eastAsia="宋体" w:cs="宋体"/>
          <w:sz w:val="21"/>
          <w:szCs w:val="21"/>
        </w:rPr>
      </w:pPr>
      <w:r>
        <w:rPr>
          <w:rFonts w:ascii="宋体" w:hAnsi="宋体" w:eastAsia="宋体" w:cs="宋体"/>
          <w:spacing w:val="-2"/>
          <w:sz w:val="21"/>
          <w:szCs w:val="21"/>
        </w:rPr>
        <w:t>（</w:t>
      </w:r>
      <w:r>
        <w:rPr>
          <w:rFonts w:ascii="Times New Roman" w:hAnsi="Times New Roman" w:eastAsia="Times New Roman" w:cs="Times New Roman"/>
          <w:spacing w:val="-2"/>
          <w:sz w:val="21"/>
          <w:szCs w:val="21"/>
        </w:rPr>
        <w:t>2</w:t>
      </w:r>
      <w:r>
        <w:rPr>
          <w:rFonts w:ascii="宋体" w:hAnsi="宋体" w:eastAsia="宋体" w:cs="宋体"/>
          <w:spacing w:val="-2"/>
          <w:sz w:val="21"/>
          <w:szCs w:val="21"/>
        </w:rPr>
        <w:t>）承包人施工设备的损坏由承包人承担；</w:t>
      </w:r>
    </w:p>
    <w:p w14:paraId="65E5E83B">
      <w:pPr>
        <w:spacing w:before="147" w:line="221" w:lineRule="auto"/>
        <w:ind w:left="447"/>
        <w:rPr>
          <w:rFonts w:ascii="宋体" w:hAnsi="宋体" w:eastAsia="宋体" w:cs="宋体"/>
          <w:sz w:val="21"/>
          <w:szCs w:val="21"/>
        </w:rPr>
      </w:pPr>
      <w:r>
        <w:rPr>
          <w:rFonts w:ascii="宋体" w:hAnsi="宋体" w:eastAsia="宋体" w:cs="宋体"/>
          <w:spacing w:val="-2"/>
          <w:sz w:val="21"/>
          <w:szCs w:val="21"/>
        </w:rPr>
        <w:t>（</w:t>
      </w:r>
      <w:r>
        <w:rPr>
          <w:rFonts w:ascii="Times New Roman" w:hAnsi="Times New Roman" w:eastAsia="Times New Roman" w:cs="Times New Roman"/>
          <w:spacing w:val="-2"/>
          <w:sz w:val="21"/>
          <w:szCs w:val="21"/>
        </w:rPr>
        <w:t>3</w:t>
      </w:r>
      <w:r>
        <w:rPr>
          <w:rFonts w:ascii="宋体" w:hAnsi="宋体" w:eastAsia="宋体" w:cs="宋体"/>
          <w:spacing w:val="-2"/>
          <w:sz w:val="21"/>
          <w:szCs w:val="21"/>
        </w:rPr>
        <w:t>）发包人和承包人承担各自人员伤亡和财产的损失；</w:t>
      </w:r>
    </w:p>
    <w:p w14:paraId="5B00DDBF">
      <w:pPr>
        <w:spacing w:before="153" w:line="350" w:lineRule="auto"/>
        <w:ind w:left="31" w:right="11" w:firstLine="415"/>
        <w:rPr>
          <w:rFonts w:ascii="宋体" w:hAnsi="宋体" w:eastAsia="宋体" w:cs="宋体"/>
          <w:sz w:val="21"/>
          <w:szCs w:val="21"/>
        </w:rPr>
      </w:pPr>
      <w:r>
        <w:rPr>
          <w:rFonts w:ascii="宋体" w:hAnsi="宋体" w:eastAsia="宋体" w:cs="宋体"/>
          <w:sz w:val="21"/>
          <w:szCs w:val="21"/>
        </w:rPr>
        <w:t>（</w:t>
      </w:r>
      <w:r>
        <w:rPr>
          <w:rFonts w:ascii="Times New Roman" w:hAnsi="Times New Roman" w:eastAsia="Times New Roman" w:cs="Times New Roman"/>
          <w:sz w:val="21"/>
          <w:szCs w:val="21"/>
        </w:rPr>
        <w:t>4</w:t>
      </w:r>
      <w:r>
        <w:rPr>
          <w:rFonts w:ascii="宋体" w:hAnsi="宋体" w:eastAsia="宋体" w:cs="宋体"/>
          <w:sz w:val="21"/>
          <w:szCs w:val="21"/>
        </w:rPr>
        <w:t>）因不可抗力影响承包人履行合同约定的义务，已经引起或将引起工期延误</w:t>
      </w:r>
      <w:r>
        <w:rPr>
          <w:rFonts w:ascii="宋体" w:hAnsi="宋体" w:eastAsia="宋体" w:cs="宋体"/>
          <w:spacing w:val="-1"/>
          <w:sz w:val="21"/>
          <w:szCs w:val="21"/>
        </w:rPr>
        <w:t>的，应</w:t>
      </w:r>
      <w:r>
        <w:rPr>
          <w:rFonts w:ascii="宋体" w:hAnsi="宋体" w:eastAsia="宋体" w:cs="宋体"/>
          <w:sz w:val="21"/>
          <w:szCs w:val="21"/>
        </w:rPr>
        <w:t xml:space="preserve"> </w:t>
      </w:r>
      <w:r>
        <w:rPr>
          <w:rFonts w:ascii="宋体" w:hAnsi="宋体" w:eastAsia="宋体" w:cs="宋体"/>
          <w:spacing w:val="-4"/>
          <w:sz w:val="21"/>
          <w:szCs w:val="21"/>
        </w:rPr>
        <w:t>当顺延工期，</w:t>
      </w:r>
      <w:r>
        <w:rPr>
          <w:rFonts w:ascii="宋体" w:hAnsi="宋体" w:eastAsia="宋体" w:cs="宋体"/>
          <w:spacing w:val="48"/>
          <w:sz w:val="21"/>
          <w:szCs w:val="21"/>
        </w:rPr>
        <w:t xml:space="preserve"> </w:t>
      </w:r>
      <w:r>
        <w:rPr>
          <w:rFonts w:ascii="宋体" w:hAnsi="宋体" w:eastAsia="宋体" w:cs="宋体"/>
          <w:spacing w:val="-4"/>
          <w:sz w:val="21"/>
          <w:szCs w:val="21"/>
        </w:rPr>
        <w:t>由此导致承包人停工的费用损失由发包人和承包人合理分担， 停工期间必须</w:t>
      </w:r>
    </w:p>
    <w:p w14:paraId="6D1BDBC8">
      <w:pPr>
        <w:spacing w:before="1" w:line="220" w:lineRule="auto"/>
        <w:ind w:left="19"/>
        <w:rPr>
          <w:rFonts w:ascii="宋体" w:hAnsi="宋体" w:eastAsia="宋体" w:cs="宋体"/>
          <w:sz w:val="21"/>
          <w:szCs w:val="21"/>
        </w:rPr>
      </w:pPr>
      <w:r>
        <w:rPr>
          <w:rFonts w:ascii="宋体" w:hAnsi="宋体" w:eastAsia="宋体" w:cs="宋体"/>
          <w:spacing w:val="-1"/>
          <w:sz w:val="21"/>
          <w:szCs w:val="21"/>
        </w:rPr>
        <w:t>支付的工人工资由发包人承担；</w:t>
      </w:r>
    </w:p>
    <w:p w14:paraId="163C7A98">
      <w:pPr>
        <w:spacing w:before="152" w:line="221" w:lineRule="auto"/>
        <w:ind w:right="25"/>
        <w:jc w:val="right"/>
        <w:rPr>
          <w:rFonts w:ascii="宋体" w:hAnsi="宋体" w:eastAsia="宋体" w:cs="宋体"/>
          <w:sz w:val="21"/>
          <w:szCs w:val="21"/>
        </w:rPr>
      </w:pPr>
      <w:r>
        <w:rPr>
          <w:rFonts w:ascii="宋体" w:hAnsi="宋体" w:eastAsia="宋体" w:cs="宋体"/>
          <w:sz w:val="21"/>
          <w:szCs w:val="21"/>
        </w:rPr>
        <w:t>（</w:t>
      </w:r>
      <w:r>
        <w:rPr>
          <w:rFonts w:ascii="Times New Roman" w:hAnsi="Times New Roman" w:eastAsia="Times New Roman" w:cs="Times New Roman"/>
          <w:sz w:val="21"/>
          <w:szCs w:val="21"/>
        </w:rPr>
        <w:t>5</w:t>
      </w:r>
      <w:r>
        <w:rPr>
          <w:rFonts w:ascii="宋体" w:hAnsi="宋体" w:eastAsia="宋体" w:cs="宋体"/>
          <w:sz w:val="21"/>
          <w:szCs w:val="21"/>
        </w:rPr>
        <w:t>）因不可抗力引起或将引起工期延误，发包人</w:t>
      </w:r>
      <w:r>
        <w:rPr>
          <w:rFonts w:ascii="宋体" w:hAnsi="宋体" w:eastAsia="宋体" w:cs="宋体"/>
          <w:spacing w:val="-1"/>
          <w:sz w:val="21"/>
          <w:szCs w:val="21"/>
        </w:rPr>
        <w:t>要求赶工的，由此增加的赶工费用由</w:t>
      </w:r>
    </w:p>
    <w:p w14:paraId="50217E0F">
      <w:pPr>
        <w:spacing w:line="221" w:lineRule="auto"/>
        <w:rPr>
          <w:rFonts w:ascii="宋体" w:hAnsi="宋体" w:eastAsia="宋体" w:cs="宋体"/>
          <w:sz w:val="21"/>
          <w:szCs w:val="21"/>
        </w:rPr>
        <w:sectPr>
          <w:footerReference r:id="rId134" w:type="default"/>
          <w:pgSz w:w="11905" w:h="16839"/>
          <w:pgMar w:top="1431" w:right="1785" w:bottom="1004" w:left="1785" w:header="0" w:footer="828" w:gutter="0"/>
          <w:pgNumType w:fmt="decimal"/>
          <w:cols w:space="720" w:num="1"/>
        </w:sectPr>
      </w:pPr>
    </w:p>
    <w:p w14:paraId="7D8E1C77">
      <w:pPr>
        <w:spacing w:before="148" w:line="221" w:lineRule="auto"/>
        <w:ind w:left="21"/>
        <w:rPr>
          <w:rFonts w:ascii="宋体" w:hAnsi="宋体" w:eastAsia="宋体" w:cs="宋体"/>
          <w:sz w:val="21"/>
          <w:szCs w:val="21"/>
        </w:rPr>
      </w:pPr>
      <w:r>
        <w:rPr>
          <w:rFonts w:ascii="宋体" w:hAnsi="宋体" w:eastAsia="宋体" w:cs="宋体"/>
          <w:spacing w:val="-1"/>
          <w:sz w:val="21"/>
          <w:szCs w:val="21"/>
        </w:rPr>
        <w:t>发包人承担；</w:t>
      </w:r>
    </w:p>
    <w:p w14:paraId="561E8382">
      <w:pPr>
        <w:spacing w:before="147" w:line="221" w:lineRule="auto"/>
        <w:ind w:left="447"/>
        <w:rPr>
          <w:rFonts w:ascii="宋体" w:hAnsi="宋体" w:eastAsia="宋体" w:cs="宋体"/>
          <w:sz w:val="21"/>
          <w:szCs w:val="21"/>
        </w:rPr>
      </w:pPr>
      <w:r>
        <w:rPr>
          <w:rFonts w:ascii="宋体" w:hAnsi="宋体" w:eastAsia="宋体" w:cs="宋体"/>
          <w:spacing w:val="-1"/>
          <w:sz w:val="21"/>
          <w:szCs w:val="21"/>
        </w:rPr>
        <w:t>（</w:t>
      </w:r>
      <w:r>
        <w:rPr>
          <w:rFonts w:ascii="Times New Roman" w:hAnsi="Times New Roman" w:eastAsia="Times New Roman" w:cs="Times New Roman"/>
          <w:spacing w:val="-1"/>
          <w:sz w:val="21"/>
          <w:szCs w:val="21"/>
        </w:rPr>
        <w:t>6</w:t>
      </w:r>
      <w:r>
        <w:rPr>
          <w:rFonts w:ascii="宋体" w:hAnsi="宋体" w:eastAsia="宋体" w:cs="宋体"/>
          <w:spacing w:val="-1"/>
          <w:sz w:val="21"/>
          <w:szCs w:val="21"/>
        </w:rPr>
        <w:t>）承包人在停工期间按照发包人要求照管、清理和修复工程的费用由发包人承担。</w:t>
      </w:r>
    </w:p>
    <w:p w14:paraId="1C495A99">
      <w:pPr>
        <w:spacing w:before="152" w:line="399" w:lineRule="exact"/>
        <w:ind w:left="444"/>
        <w:rPr>
          <w:rFonts w:ascii="宋体" w:hAnsi="宋体" w:eastAsia="宋体" w:cs="宋体"/>
          <w:sz w:val="21"/>
          <w:szCs w:val="21"/>
        </w:rPr>
      </w:pPr>
      <w:r>
        <w:rPr>
          <w:rFonts w:ascii="宋体" w:hAnsi="宋体" w:eastAsia="宋体" w:cs="宋体"/>
          <w:spacing w:val="3"/>
          <w:position w:val="14"/>
          <w:sz w:val="21"/>
          <w:szCs w:val="21"/>
        </w:rPr>
        <w:t>不可抗力发生后，合同当事人均应采取措施尽量避免和减少损失的扩大，任何一方当</w:t>
      </w:r>
    </w:p>
    <w:p w14:paraId="34893960">
      <w:pPr>
        <w:spacing w:line="219" w:lineRule="auto"/>
        <w:ind w:left="18"/>
        <w:rPr>
          <w:rFonts w:ascii="宋体" w:hAnsi="宋体" w:eastAsia="宋体" w:cs="宋体"/>
          <w:sz w:val="21"/>
          <w:szCs w:val="21"/>
        </w:rPr>
      </w:pPr>
      <w:r>
        <w:rPr>
          <w:rFonts w:ascii="宋体" w:hAnsi="宋体" w:eastAsia="宋体" w:cs="宋体"/>
          <w:spacing w:val="-1"/>
          <w:sz w:val="21"/>
          <w:szCs w:val="21"/>
        </w:rPr>
        <w:t>事人没有采取有效措施导致损失扩大的，应对扩大的损失承担责任。</w:t>
      </w:r>
    </w:p>
    <w:p w14:paraId="4E984B3F">
      <w:pPr>
        <w:spacing w:before="148"/>
        <w:ind w:left="31" w:firstLine="426"/>
        <w:rPr>
          <w:rFonts w:ascii="黑体" w:hAnsi="黑体" w:eastAsia="黑体" w:cs="黑体"/>
          <w:sz w:val="24"/>
          <w:szCs w:val="24"/>
        </w:rPr>
      </w:pPr>
      <w:r>
        <w:rPr>
          <w:rFonts w:ascii="宋体" w:hAnsi="宋体" w:eastAsia="宋体" w:cs="宋体"/>
          <w:spacing w:val="2"/>
          <w:sz w:val="21"/>
          <w:szCs w:val="21"/>
        </w:rPr>
        <w:t>因合同一方迟延履行合同义务，在迟延履行期间遭遇不可抗力的，</w:t>
      </w:r>
      <w:r>
        <w:rPr>
          <w:rFonts w:ascii="宋体" w:hAnsi="宋体" w:eastAsia="宋体" w:cs="宋体"/>
          <w:spacing w:val="1"/>
          <w:sz w:val="21"/>
          <w:szCs w:val="21"/>
        </w:rPr>
        <w:t>不免除其违约责任。</w:t>
      </w:r>
      <w:r>
        <w:rPr>
          <w:rFonts w:ascii="宋体" w:hAnsi="宋体" w:eastAsia="宋体" w:cs="宋体"/>
          <w:sz w:val="21"/>
          <w:szCs w:val="21"/>
        </w:rPr>
        <w:t xml:space="preserve"> </w:t>
      </w:r>
      <w:r>
        <w:rPr>
          <w:rFonts w:ascii="黑体" w:hAnsi="黑体" w:eastAsia="黑体" w:cs="黑体"/>
          <w:spacing w:val="-4"/>
          <w:sz w:val="24"/>
          <w:szCs w:val="24"/>
        </w:rPr>
        <w:t>17.4</w:t>
      </w:r>
      <w:r>
        <w:rPr>
          <w:rFonts w:ascii="黑体" w:hAnsi="黑体" w:eastAsia="黑体" w:cs="黑体"/>
          <w:spacing w:val="32"/>
          <w:sz w:val="24"/>
          <w:szCs w:val="24"/>
        </w:rPr>
        <w:t xml:space="preserve"> </w:t>
      </w:r>
      <w:r>
        <w:rPr>
          <w:rFonts w:ascii="黑体" w:hAnsi="黑体" w:eastAsia="黑体" w:cs="黑体"/>
          <w:spacing w:val="-4"/>
          <w:sz w:val="24"/>
          <w:szCs w:val="24"/>
        </w:rPr>
        <w:t>因不可抗力解除合同</w:t>
      </w:r>
    </w:p>
    <w:p w14:paraId="41A071F1">
      <w:pPr>
        <w:spacing w:before="131" w:line="350" w:lineRule="auto"/>
        <w:ind w:left="19" w:right="175" w:firstLine="438"/>
        <w:rPr>
          <w:rFonts w:ascii="宋体" w:hAnsi="宋体" w:eastAsia="宋体" w:cs="宋体"/>
          <w:sz w:val="21"/>
          <w:szCs w:val="21"/>
        </w:rPr>
      </w:pPr>
      <w:r>
        <w:rPr>
          <w:rFonts w:ascii="宋体" w:hAnsi="宋体" w:eastAsia="宋体" w:cs="宋体"/>
          <w:spacing w:val="-2"/>
          <w:sz w:val="21"/>
          <w:szCs w:val="21"/>
        </w:rPr>
        <w:t>因不可抗力导致合同无法履行连续超过</w:t>
      </w:r>
      <w:r>
        <w:rPr>
          <w:rFonts w:ascii="宋体" w:hAnsi="宋体" w:eastAsia="宋体" w:cs="宋体"/>
          <w:spacing w:val="-28"/>
          <w:sz w:val="21"/>
          <w:szCs w:val="21"/>
        </w:rPr>
        <w:t xml:space="preserve"> </w:t>
      </w:r>
      <w:r>
        <w:rPr>
          <w:rFonts w:ascii="Times New Roman" w:hAnsi="Times New Roman" w:eastAsia="Times New Roman" w:cs="Times New Roman"/>
          <w:spacing w:val="-2"/>
          <w:sz w:val="21"/>
          <w:szCs w:val="21"/>
        </w:rPr>
        <w:t>84</w:t>
      </w:r>
      <w:r>
        <w:rPr>
          <w:rFonts w:ascii="Times New Roman" w:hAnsi="Times New Roman" w:eastAsia="Times New Roman" w:cs="Times New Roman"/>
          <w:spacing w:val="12"/>
          <w:sz w:val="21"/>
          <w:szCs w:val="21"/>
        </w:rPr>
        <w:t xml:space="preserve"> </w:t>
      </w:r>
      <w:r>
        <w:rPr>
          <w:rFonts w:ascii="宋体" w:hAnsi="宋体" w:eastAsia="宋体" w:cs="宋体"/>
          <w:spacing w:val="-2"/>
          <w:sz w:val="21"/>
          <w:szCs w:val="21"/>
        </w:rPr>
        <w:t xml:space="preserve">天或累计超过 </w:t>
      </w:r>
      <w:r>
        <w:rPr>
          <w:rFonts w:ascii="Times New Roman" w:hAnsi="Times New Roman" w:eastAsia="Times New Roman" w:cs="Times New Roman"/>
          <w:spacing w:val="-2"/>
          <w:sz w:val="21"/>
          <w:szCs w:val="21"/>
        </w:rPr>
        <w:t xml:space="preserve">140 </w:t>
      </w:r>
      <w:r>
        <w:rPr>
          <w:rFonts w:ascii="宋体" w:hAnsi="宋体" w:eastAsia="宋体" w:cs="宋体"/>
          <w:spacing w:val="-3"/>
          <w:sz w:val="21"/>
          <w:szCs w:val="21"/>
        </w:rPr>
        <w:t>天的，发包人和承包人均</w:t>
      </w:r>
      <w:r>
        <w:rPr>
          <w:rFonts w:ascii="宋体" w:hAnsi="宋体" w:eastAsia="宋体" w:cs="宋体"/>
          <w:sz w:val="21"/>
          <w:szCs w:val="21"/>
        </w:rPr>
        <w:t xml:space="preserve"> </w:t>
      </w:r>
      <w:r>
        <w:rPr>
          <w:rFonts w:ascii="宋体" w:hAnsi="宋体" w:eastAsia="宋体" w:cs="宋体"/>
          <w:spacing w:val="-4"/>
          <w:sz w:val="21"/>
          <w:szCs w:val="21"/>
        </w:rPr>
        <w:t>有权解除合同。合同解除后，</w:t>
      </w:r>
      <w:r>
        <w:rPr>
          <w:rFonts w:ascii="宋体" w:hAnsi="宋体" w:eastAsia="宋体" w:cs="宋体"/>
          <w:spacing w:val="42"/>
          <w:sz w:val="21"/>
          <w:szCs w:val="21"/>
        </w:rPr>
        <w:t xml:space="preserve"> </w:t>
      </w:r>
      <w:r>
        <w:rPr>
          <w:rFonts w:ascii="宋体" w:hAnsi="宋体" w:eastAsia="宋体" w:cs="宋体"/>
          <w:spacing w:val="-4"/>
          <w:sz w:val="21"/>
          <w:szCs w:val="21"/>
        </w:rPr>
        <w:t>由双方当事人按照第</w:t>
      </w:r>
      <w:r>
        <w:rPr>
          <w:rFonts w:ascii="宋体" w:hAnsi="宋体" w:eastAsia="宋体" w:cs="宋体"/>
          <w:spacing w:val="-61"/>
          <w:sz w:val="21"/>
          <w:szCs w:val="21"/>
        </w:rPr>
        <w:t xml:space="preserve"> </w:t>
      </w:r>
      <w:r>
        <w:rPr>
          <w:rFonts w:ascii="Times New Roman" w:hAnsi="Times New Roman" w:eastAsia="Times New Roman" w:cs="Times New Roman"/>
          <w:spacing w:val="-4"/>
          <w:sz w:val="21"/>
          <w:szCs w:val="21"/>
        </w:rPr>
        <w:t>4.4</w:t>
      </w:r>
      <w:r>
        <w:rPr>
          <w:rFonts w:ascii="Times New Roman" w:hAnsi="Times New Roman" w:eastAsia="Times New Roman" w:cs="Times New Roman"/>
          <w:spacing w:val="-15"/>
          <w:sz w:val="21"/>
          <w:szCs w:val="21"/>
        </w:rPr>
        <w:t xml:space="preserve"> </w:t>
      </w:r>
      <w:r>
        <w:rPr>
          <w:rFonts w:ascii="宋体" w:hAnsi="宋体" w:eastAsia="宋体" w:cs="宋体"/>
          <w:spacing w:val="-4"/>
          <w:sz w:val="21"/>
          <w:szCs w:val="21"/>
        </w:rPr>
        <w:t>款〔商定或确定〕商定或确定发包人</w:t>
      </w:r>
    </w:p>
    <w:p w14:paraId="582CAEFD">
      <w:pPr>
        <w:spacing w:before="1" w:line="220" w:lineRule="auto"/>
        <w:ind w:left="18"/>
        <w:rPr>
          <w:rFonts w:ascii="宋体" w:hAnsi="宋体" w:eastAsia="宋体" w:cs="宋体"/>
          <w:sz w:val="21"/>
          <w:szCs w:val="21"/>
        </w:rPr>
      </w:pPr>
      <w:r>
        <w:rPr>
          <w:rFonts w:ascii="宋体" w:hAnsi="宋体" w:eastAsia="宋体" w:cs="宋体"/>
          <w:spacing w:val="-4"/>
          <w:sz w:val="21"/>
          <w:szCs w:val="21"/>
        </w:rPr>
        <w:t>应支付的款项，该款项包括：</w:t>
      </w:r>
    </w:p>
    <w:p w14:paraId="2A81D687">
      <w:pPr>
        <w:spacing w:before="152" w:line="219" w:lineRule="auto"/>
        <w:ind w:left="447"/>
        <w:rPr>
          <w:rFonts w:ascii="宋体" w:hAnsi="宋体" w:eastAsia="宋体" w:cs="宋体"/>
          <w:sz w:val="21"/>
          <w:szCs w:val="21"/>
        </w:rPr>
      </w:pPr>
      <w:r>
        <w:rPr>
          <w:rFonts w:ascii="宋体" w:hAnsi="宋体" w:eastAsia="宋体" w:cs="宋体"/>
          <w:spacing w:val="-2"/>
          <w:sz w:val="21"/>
          <w:szCs w:val="21"/>
        </w:rPr>
        <w:t>（</w:t>
      </w:r>
      <w:r>
        <w:rPr>
          <w:rFonts w:ascii="Times New Roman" w:hAnsi="Times New Roman" w:eastAsia="Times New Roman" w:cs="Times New Roman"/>
          <w:spacing w:val="-2"/>
          <w:sz w:val="21"/>
          <w:szCs w:val="21"/>
        </w:rPr>
        <w:t>1</w:t>
      </w:r>
      <w:r>
        <w:rPr>
          <w:rFonts w:ascii="宋体" w:hAnsi="宋体" w:eastAsia="宋体" w:cs="宋体"/>
          <w:spacing w:val="-2"/>
          <w:sz w:val="21"/>
          <w:szCs w:val="21"/>
        </w:rPr>
        <w:t>）合同解除前承包人已完成工作的价款；</w:t>
      </w:r>
    </w:p>
    <w:p w14:paraId="3B59B0AD">
      <w:pPr>
        <w:spacing w:before="149" w:line="399" w:lineRule="exact"/>
        <w:ind w:left="447"/>
        <w:rPr>
          <w:rFonts w:ascii="宋体" w:hAnsi="宋体" w:eastAsia="宋体" w:cs="宋体"/>
          <w:sz w:val="21"/>
          <w:szCs w:val="21"/>
        </w:rPr>
      </w:pPr>
      <w:r>
        <w:rPr>
          <w:rFonts w:ascii="宋体" w:hAnsi="宋体" w:eastAsia="宋体" w:cs="宋体"/>
          <w:position w:val="14"/>
          <w:sz w:val="21"/>
          <w:szCs w:val="21"/>
        </w:rPr>
        <w:t>（</w:t>
      </w:r>
      <w:r>
        <w:rPr>
          <w:rFonts w:ascii="Times New Roman" w:hAnsi="Times New Roman" w:eastAsia="Times New Roman" w:cs="Times New Roman"/>
          <w:position w:val="14"/>
          <w:sz w:val="21"/>
          <w:szCs w:val="21"/>
        </w:rPr>
        <w:t>2</w:t>
      </w:r>
      <w:r>
        <w:rPr>
          <w:rFonts w:ascii="宋体" w:hAnsi="宋体" w:eastAsia="宋体" w:cs="宋体"/>
          <w:position w:val="14"/>
          <w:sz w:val="21"/>
          <w:szCs w:val="21"/>
        </w:rPr>
        <w:t>）承包人为工程订购的并已交付给承包人，或承包人有责任接受交付的材料、</w:t>
      </w:r>
      <w:r>
        <w:rPr>
          <w:rFonts w:ascii="宋体" w:hAnsi="宋体" w:eastAsia="宋体" w:cs="宋体"/>
          <w:spacing w:val="-1"/>
          <w:position w:val="14"/>
          <w:sz w:val="21"/>
          <w:szCs w:val="21"/>
        </w:rPr>
        <w:t>工程</w:t>
      </w:r>
    </w:p>
    <w:p w14:paraId="65CABC88">
      <w:pPr>
        <w:spacing w:line="219" w:lineRule="auto"/>
        <w:ind w:left="21"/>
        <w:rPr>
          <w:rFonts w:ascii="宋体" w:hAnsi="宋体" w:eastAsia="宋体" w:cs="宋体"/>
          <w:sz w:val="21"/>
          <w:szCs w:val="21"/>
        </w:rPr>
      </w:pPr>
      <w:r>
        <w:rPr>
          <w:rFonts w:ascii="宋体" w:hAnsi="宋体" w:eastAsia="宋体" w:cs="宋体"/>
          <w:spacing w:val="-3"/>
          <w:sz w:val="21"/>
          <w:szCs w:val="21"/>
        </w:rPr>
        <w:t>设备和其他物品的价款；</w:t>
      </w:r>
    </w:p>
    <w:p w14:paraId="1169B672">
      <w:pPr>
        <w:spacing w:before="154" w:line="220" w:lineRule="auto"/>
        <w:ind w:left="447"/>
        <w:rPr>
          <w:rFonts w:ascii="宋体" w:hAnsi="宋体" w:eastAsia="宋体" w:cs="宋体"/>
          <w:sz w:val="21"/>
          <w:szCs w:val="21"/>
        </w:rPr>
      </w:pPr>
      <w:r>
        <w:rPr>
          <w:rFonts w:ascii="宋体" w:hAnsi="宋体" w:eastAsia="宋体" w:cs="宋体"/>
          <w:sz w:val="21"/>
          <w:szCs w:val="21"/>
        </w:rPr>
        <w:t>（</w:t>
      </w:r>
      <w:r>
        <w:rPr>
          <w:rFonts w:ascii="Times New Roman" w:hAnsi="Times New Roman" w:eastAsia="Times New Roman" w:cs="Times New Roman"/>
          <w:sz w:val="21"/>
          <w:szCs w:val="21"/>
        </w:rPr>
        <w:t>3</w:t>
      </w:r>
      <w:r>
        <w:rPr>
          <w:rFonts w:ascii="宋体" w:hAnsi="宋体" w:eastAsia="宋体" w:cs="宋体"/>
          <w:sz w:val="21"/>
          <w:szCs w:val="21"/>
        </w:rPr>
        <w:t>）发包人要求承包人退货或解除订货合同而产生的费用</w:t>
      </w:r>
      <w:r>
        <w:rPr>
          <w:rFonts w:ascii="宋体" w:hAnsi="宋体" w:eastAsia="宋体" w:cs="宋体"/>
          <w:spacing w:val="-1"/>
          <w:sz w:val="21"/>
          <w:szCs w:val="21"/>
        </w:rPr>
        <w:t>，或因不能退货或解除合同</w:t>
      </w:r>
    </w:p>
    <w:p w14:paraId="555D3EA2">
      <w:pPr>
        <w:spacing w:before="148" w:line="221" w:lineRule="auto"/>
        <w:ind w:left="19"/>
        <w:rPr>
          <w:rFonts w:ascii="宋体" w:hAnsi="宋体" w:eastAsia="宋体" w:cs="宋体"/>
          <w:sz w:val="21"/>
          <w:szCs w:val="21"/>
        </w:rPr>
      </w:pPr>
      <w:r>
        <w:rPr>
          <w:rFonts w:ascii="宋体" w:hAnsi="宋体" w:eastAsia="宋体" w:cs="宋体"/>
          <w:spacing w:val="-5"/>
          <w:sz w:val="21"/>
          <w:szCs w:val="21"/>
        </w:rPr>
        <w:t>而产生的损失；</w:t>
      </w:r>
    </w:p>
    <w:p w14:paraId="0DD63184">
      <w:pPr>
        <w:spacing w:before="147" w:line="221" w:lineRule="auto"/>
        <w:ind w:left="447"/>
        <w:rPr>
          <w:rFonts w:ascii="宋体" w:hAnsi="宋体" w:eastAsia="宋体" w:cs="宋体"/>
          <w:sz w:val="21"/>
          <w:szCs w:val="21"/>
        </w:rPr>
      </w:pPr>
      <w:r>
        <w:rPr>
          <w:rFonts w:ascii="宋体" w:hAnsi="宋体" w:eastAsia="宋体" w:cs="宋体"/>
          <w:spacing w:val="-2"/>
          <w:sz w:val="21"/>
          <w:szCs w:val="21"/>
        </w:rPr>
        <w:t>（</w:t>
      </w:r>
      <w:r>
        <w:rPr>
          <w:rFonts w:ascii="Times New Roman" w:hAnsi="Times New Roman" w:eastAsia="Times New Roman" w:cs="Times New Roman"/>
          <w:spacing w:val="-2"/>
          <w:sz w:val="21"/>
          <w:szCs w:val="21"/>
        </w:rPr>
        <w:t>4</w:t>
      </w:r>
      <w:r>
        <w:rPr>
          <w:rFonts w:ascii="宋体" w:hAnsi="宋体" w:eastAsia="宋体" w:cs="宋体"/>
          <w:spacing w:val="-2"/>
          <w:sz w:val="21"/>
          <w:szCs w:val="21"/>
        </w:rPr>
        <w:t>）承包人撤离施工现场以及遣散承包人人员的费用；</w:t>
      </w:r>
    </w:p>
    <w:p w14:paraId="689BB27E">
      <w:pPr>
        <w:spacing w:before="152" w:line="399" w:lineRule="exact"/>
        <w:ind w:left="447"/>
        <w:rPr>
          <w:rFonts w:ascii="宋体" w:hAnsi="宋体" w:eastAsia="宋体" w:cs="宋体"/>
          <w:sz w:val="21"/>
          <w:szCs w:val="21"/>
        </w:rPr>
      </w:pPr>
      <w:r>
        <w:rPr>
          <w:rFonts w:ascii="宋体" w:hAnsi="宋体" w:eastAsia="宋体" w:cs="宋体"/>
          <w:spacing w:val="-2"/>
          <w:position w:val="14"/>
          <w:sz w:val="21"/>
          <w:szCs w:val="21"/>
        </w:rPr>
        <w:t>（</w:t>
      </w:r>
      <w:r>
        <w:rPr>
          <w:rFonts w:ascii="Times New Roman" w:hAnsi="Times New Roman" w:eastAsia="Times New Roman" w:cs="Times New Roman"/>
          <w:spacing w:val="-2"/>
          <w:position w:val="14"/>
          <w:sz w:val="21"/>
          <w:szCs w:val="21"/>
        </w:rPr>
        <w:t>5</w:t>
      </w:r>
      <w:r>
        <w:rPr>
          <w:rFonts w:ascii="宋体" w:hAnsi="宋体" w:eastAsia="宋体" w:cs="宋体"/>
          <w:spacing w:val="-2"/>
          <w:position w:val="14"/>
          <w:sz w:val="21"/>
          <w:szCs w:val="21"/>
        </w:rPr>
        <w:t>）按照合同约定在合同解除前应支付给承包人的其他款项；</w:t>
      </w:r>
    </w:p>
    <w:p w14:paraId="33088E40">
      <w:pPr>
        <w:spacing w:before="1" w:line="220" w:lineRule="auto"/>
        <w:ind w:left="447"/>
        <w:rPr>
          <w:rFonts w:ascii="宋体" w:hAnsi="宋体" w:eastAsia="宋体" w:cs="宋体"/>
          <w:sz w:val="21"/>
          <w:szCs w:val="21"/>
        </w:rPr>
      </w:pPr>
      <w:r>
        <w:rPr>
          <w:rFonts w:ascii="宋体" w:hAnsi="宋体" w:eastAsia="宋体" w:cs="宋体"/>
          <w:spacing w:val="-2"/>
          <w:sz w:val="21"/>
          <w:szCs w:val="21"/>
        </w:rPr>
        <w:t>（</w:t>
      </w:r>
      <w:r>
        <w:rPr>
          <w:rFonts w:ascii="Times New Roman" w:hAnsi="Times New Roman" w:eastAsia="Times New Roman" w:cs="Times New Roman"/>
          <w:spacing w:val="-2"/>
          <w:sz w:val="21"/>
          <w:szCs w:val="21"/>
        </w:rPr>
        <w:t>6</w:t>
      </w:r>
      <w:r>
        <w:rPr>
          <w:rFonts w:ascii="宋体" w:hAnsi="宋体" w:eastAsia="宋体" w:cs="宋体"/>
          <w:spacing w:val="-2"/>
          <w:sz w:val="21"/>
          <w:szCs w:val="21"/>
        </w:rPr>
        <w:t>）扣减承包人按照合同约定应向发包人支付的款项；</w:t>
      </w:r>
    </w:p>
    <w:p w14:paraId="3DD77069">
      <w:pPr>
        <w:spacing w:before="148" w:line="221" w:lineRule="auto"/>
        <w:ind w:left="447"/>
        <w:rPr>
          <w:rFonts w:ascii="宋体" w:hAnsi="宋体" w:eastAsia="宋体" w:cs="宋体"/>
          <w:sz w:val="21"/>
          <w:szCs w:val="21"/>
        </w:rPr>
      </w:pPr>
      <w:r>
        <w:rPr>
          <w:rFonts w:ascii="宋体" w:hAnsi="宋体" w:eastAsia="宋体" w:cs="宋体"/>
          <w:spacing w:val="-2"/>
          <w:sz w:val="21"/>
          <w:szCs w:val="21"/>
        </w:rPr>
        <w:t>（</w:t>
      </w:r>
      <w:r>
        <w:rPr>
          <w:rFonts w:ascii="Times New Roman" w:hAnsi="Times New Roman" w:eastAsia="Times New Roman" w:cs="Times New Roman"/>
          <w:spacing w:val="-2"/>
          <w:sz w:val="21"/>
          <w:szCs w:val="21"/>
        </w:rPr>
        <w:t>7</w:t>
      </w:r>
      <w:r>
        <w:rPr>
          <w:rFonts w:ascii="宋体" w:hAnsi="宋体" w:eastAsia="宋体" w:cs="宋体"/>
          <w:spacing w:val="-2"/>
          <w:sz w:val="21"/>
          <w:szCs w:val="21"/>
        </w:rPr>
        <w:t>）双方商定或确定的其他款项。</w:t>
      </w:r>
    </w:p>
    <w:p w14:paraId="21A9AA2D">
      <w:pPr>
        <w:spacing w:before="151" w:line="399" w:lineRule="exact"/>
        <w:ind w:left="453"/>
        <w:rPr>
          <w:rFonts w:ascii="宋体" w:hAnsi="宋体" w:eastAsia="宋体" w:cs="宋体"/>
          <w:sz w:val="21"/>
          <w:szCs w:val="21"/>
        </w:rPr>
      </w:pPr>
      <w:r>
        <w:rPr>
          <w:rFonts w:ascii="宋体" w:hAnsi="宋体" w:eastAsia="宋体" w:cs="宋体"/>
          <w:spacing w:val="-3"/>
          <w:position w:val="14"/>
          <w:sz w:val="21"/>
          <w:szCs w:val="21"/>
        </w:rPr>
        <w:t>除专用合同条款另有约定外， 合同解除后，发包</w:t>
      </w:r>
      <w:r>
        <w:rPr>
          <w:rFonts w:ascii="宋体" w:hAnsi="宋体" w:eastAsia="宋体" w:cs="宋体"/>
          <w:spacing w:val="-4"/>
          <w:position w:val="14"/>
          <w:sz w:val="21"/>
          <w:szCs w:val="21"/>
        </w:rPr>
        <w:t>人应在商定或确定上述款项后</w:t>
      </w:r>
      <w:r>
        <w:rPr>
          <w:rFonts w:ascii="宋体" w:hAnsi="宋体" w:eastAsia="宋体" w:cs="宋体"/>
          <w:spacing w:val="-30"/>
          <w:position w:val="14"/>
          <w:sz w:val="21"/>
          <w:szCs w:val="21"/>
        </w:rPr>
        <w:t xml:space="preserve"> </w:t>
      </w:r>
      <w:r>
        <w:rPr>
          <w:rFonts w:ascii="Times New Roman" w:hAnsi="Times New Roman" w:eastAsia="Times New Roman" w:cs="Times New Roman"/>
          <w:spacing w:val="-4"/>
          <w:position w:val="14"/>
          <w:sz w:val="21"/>
          <w:szCs w:val="21"/>
        </w:rPr>
        <w:t>28</w:t>
      </w:r>
      <w:r>
        <w:rPr>
          <w:rFonts w:ascii="Times New Roman" w:hAnsi="Times New Roman" w:eastAsia="Times New Roman" w:cs="Times New Roman"/>
          <w:spacing w:val="13"/>
          <w:w w:val="101"/>
          <w:position w:val="14"/>
          <w:sz w:val="21"/>
          <w:szCs w:val="21"/>
        </w:rPr>
        <w:t xml:space="preserve"> </w:t>
      </w:r>
      <w:r>
        <w:rPr>
          <w:rFonts w:ascii="宋体" w:hAnsi="宋体" w:eastAsia="宋体" w:cs="宋体"/>
          <w:spacing w:val="-4"/>
          <w:position w:val="14"/>
          <w:sz w:val="21"/>
          <w:szCs w:val="21"/>
        </w:rPr>
        <w:t>天内</w:t>
      </w:r>
    </w:p>
    <w:p w14:paraId="1C57506D">
      <w:pPr>
        <w:spacing w:line="220" w:lineRule="auto"/>
        <w:ind w:left="20"/>
        <w:rPr>
          <w:rFonts w:ascii="宋体" w:hAnsi="宋体" w:eastAsia="宋体" w:cs="宋体"/>
          <w:sz w:val="21"/>
          <w:szCs w:val="21"/>
        </w:rPr>
      </w:pPr>
      <w:r>
        <w:rPr>
          <w:rFonts w:ascii="宋体" w:hAnsi="宋体" w:eastAsia="宋体" w:cs="宋体"/>
          <w:spacing w:val="-1"/>
          <w:sz w:val="21"/>
          <w:szCs w:val="21"/>
        </w:rPr>
        <w:t>完成上述款项的支付。</w:t>
      </w:r>
    </w:p>
    <w:p w14:paraId="2749F434">
      <w:pPr>
        <w:spacing w:before="174" w:line="220" w:lineRule="auto"/>
        <w:ind w:left="39"/>
        <w:rPr>
          <w:rFonts w:ascii="黑体" w:hAnsi="黑体" w:eastAsia="黑体" w:cs="黑体"/>
          <w:sz w:val="32"/>
          <w:szCs w:val="32"/>
        </w:rPr>
      </w:pPr>
      <w:r>
        <w:rPr>
          <w:rFonts w:ascii="黑体" w:hAnsi="黑体" w:eastAsia="黑体" w:cs="黑体"/>
          <w:spacing w:val="-6"/>
          <w:sz w:val="32"/>
          <w:szCs w:val="32"/>
        </w:rPr>
        <w:t>18.保险</w:t>
      </w:r>
    </w:p>
    <w:p w14:paraId="4AB06FED">
      <w:pPr>
        <w:spacing w:before="144" w:line="219" w:lineRule="auto"/>
        <w:ind w:left="31"/>
        <w:rPr>
          <w:rFonts w:ascii="黑体" w:hAnsi="黑体" w:eastAsia="黑体" w:cs="黑体"/>
          <w:sz w:val="24"/>
          <w:szCs w:val="24"/>
        </w:rPr>
      </w:pPr>
      <w:r>
        <w:rPr>
          <w:rFonts w:ascii="黑体" w:hAnsi="黑体" w:eastAsia="黑体" w:cs="黑体"/>
          <w:spacing w:val="-3"/>
          <w:sz w:val="24"/>
          <w:szCs w:val="24"/>
        </w:rPr>
        <w:t>18.1 工程保险</w:t>
      </w:r>
    </w:p>
    <w:p w14:paraId="48FABD2C">
      <w:pPr>
        <w:spacing w:before="128" w:line="221" w:lineRule="auto"/>
        <w:ind w:left="453"/>
        <w:rPr>
          <w:rFonts w:ascii="宋体" w:hAnsi="宋体" w:eastAsia="宋体" w:cs="宋体"/>
          <w:sz w:val="21"/>
          <w:szCs w:val="21"/>
        </w:rPr>
      </w:pPr>
      <w:r>
        <w:rPr>
          <w:rFonts w:ascii="宋体" w:hAnsi="宋体" w:eastAsia="宋体" w:cs="宋体"/>
          <w:sz w:val="21"/>
          <w:szCs w:val="21"/>
        </w:rPr>
        <w:t>除专用合同条款另有约定外，发包人应投保建筑工程一切险或安装工程一切险</w:t>
      </w:r>
      <w:r>
        <w:rPr>
          <w:rFonts w:ascii="宋体" w:hAnsi="宋体" w:eastAsia="宋体" w:cs="宋体"/>
          <w:spacing w:val="-1"/>
          <w:sz w:val="21"/>
          <w:szCs w:val="21"/>
        </w:rPr>
        <w:t>； 发包</w:t>
      </w:r>
    </w:p>
    <w:p w14:paraId="6F91FECD">
      <w:pPr>
        <w:spacing w:before="152" w:line="221" w:lineRule="auto"/>
        <w:ind w:left="20"/>
        <w:rPr>
          <w:rFonts w:ascii="宋体" w:hAnsi="宋体" w:eastAsia="宋体" w:cs="宋体"/>
          <w:sz w:val="21"/>
          <w:szCs w:val="21"/>
        </w:rPr>
      </w:pPr>
      <w:r>
        <w:rPr>
          <w:rFonts w:ascii="宋体" w:hAnsi="宋体" w:eastAsia="宋体" w:cs="宋体"/>
          <w:sz w:val="21"/>
          <w:szCs w:val="21"/>
        </w:rPr>
        <w:t>人委托承包人投保的，因投保产生的保险费和其他相关费用</w:t>
      </w:r>
      <w:r>
        <w:rPr>
          <w:rFonts w:ascii="宋体" w:hAnsi="宋体" w:eastAsia="宋体" w:cs="宋体"/>
          <w:spacing w:val="-1"/>
          <w:sz w:val="21"/>
          <w:szCs w:val="21"/>
        </w:rPr>
        <w:t>由发包人承担。</w:t>
      </w:r>
    </w:p>
    <w:p w14:paraId="5BE7A0ED">
      <w:pPr>
        <w:spacing w:before="46" w:line="220" w:lineRule="auto"/>
        <w:ind w:left="31"/>
        <w:rPr>
          <w:rFonts w:ascii="黑体" w:hAnsi="黑体" w:eastAsia="黑体" w:cs="黑体"/>
          <w:sz w:val="24"/>
          <w:szCs w:val="24"/>
        </w:rPr>
      </w:pPr>
      <w:r>
        <w:rPr>
          <w:rFonts w:ascii="黑体" w:hAnsi="黑体" w:eastAsia="黑体" w:cs="黑体"/>
          <w:spacing w:val="-3"/>
          <w:sz w:val="24"/>
          <w:szCs w:val="24"/>
        </w:rPr>
        <w:t>18.2 工伤保险</w:t>
      </w:r>
    </w:p>
    <w:p w14:paraId="5B11D57A">
      <w:pPr>
        <w:spacing w:before="129" w:line="352" w:lineRule="auto"/>
        <w:ind w:left="29" w:right="185" w:firstLine="427"/>
        <w:jc w:val="both"/>
        <w:rPr>
          <w:rFonts w:ascii="宋体" w:hAnsi="宋体" w:eastAsia="宋体" w:cs="宋体"/>
          <w:sz w:val="21"/>
          <w:szCs w:val="21"/>
        </w:rPr>
      </w:pPr>
      <w:r>
        <w:rPr>
          <w:rFonts w:ascii="Times New Roman" w:hAnsi="Times New Roman" w:eastAsia="Times New Roman" w:cs="Times New Roman"/>
          <w:sz w:val="21"/>
          <w:szCs w:val="21"/>
        </w:rPr>
        <w:t>18.2.1</w:t>
      </w:r>
      <w:r>
        <w:rPr>
          <w:rFonts w:ascii="Times New Roman" w:hAnsi="Times New Roman" w:eastAsia="Times New Roman" w:cs="Times New Roman"/>
          <w:spacing w:val="40"/>
          <w:w w:val="101"/>
          <w:sz w:val="21"/>
          <w:szCs w:val="21"/>
        </w:rPr>
        <w:t xml:space="preserve"> </w:t>
      </w:r>
      <w:r>
        <w:rPr>
          <w:rFonts w:ascii="宋体" w:hAnsi="宋体" w:eastAsia="宋体" w:cs="宋体"/>
          <w:sz w:val="21"/>
          <w:szCs w:val="21"/>
        </w:rPr>
        <w:t>发包人应依照法律规定参加工伤保险， 并为在施工现场的全部员工办理工伤保 险，缴纳工伤保险费， 并要求监理人及由发包人为履行合同聘请的第三方依法</w:t>
      </w:r>
      <w:r>
        <w:rPr>
          <w:rFonts w:ascii="宋体" w:hAnsi="宋体" w:eastAsia="宋体" w:cs="宋体"/>
          <w:spacing w:val="-1"/>
          <w:sz w:val="21"/>
          <w:szCs w:val="21"/>
        </w:rPr>
        <w:t>参加工伤保</w:t>
      </w:r>
    </w:p>
    <w:p w14:paraId="05DBD67B">
      <w:pPr>
        <w:spacing w:line="221" w:lineRule="auto"/>
        <w:ind w:left="29"/>
        <w:rPr>
          <w:rFonts w:ascii="宋体" w:hAnsi="宋体" w:eastAsia="宋体" w:cs="宋体"/>
          <w:sz w:val="21"/>
          <w:szCs w:val="21"/>
        </w:rPr>
      </w:pPr>
      <w:r>
        <w:rPr>
          <w:rFonts w:ascii="宋体" w:hAnsi="宋体" w:eastAsia="宋体" w:cs="宋体"/>
          <w:spacing w:val="-13"/>
          <w:sz w:val="21"/>
          <w:szCs w:val="21"/>
        </w:rPr>
        <w:t>险。</w:t>
      </w:r>
    </w:p>
    <w:p w14:paraId="1CEBE1F0">
      <w:pPr>
        <w:spacing w:before="147" w:line="399" w:lineRule="exact"/>
        <w:ind w:left="457"/>
        <w:rPr>
          <w:rFonts w:ascii="宋体" w:hAnsi="宋体" w:eastAsia="宋体" w:cs="宋体"/>
          <w:sz w:val="21"/>
          <w:szCs w:val="21"/>
        </w:rPr>
      </w:pPr>
      <w:r>
        <w:rPr>
          <w:rFonts w:ascii="Times New Roman" w:hAnsi="Times New Roman" w:eastAsia="Times New Roman" w:cs="Times New Roman"/>
          <w:position w:val="14"/>
          <w:sz w:val="21"/>
          <w:szCs w:val="21"/>
        </w:rPr>
        <w:t>18.2.2</w:t>
      </w:r>
      <w:r>
        <w:rPr>
          <w:rFonts w:ascii="Times New Roman" w:hAnsi="Times New Roman" w:eastAsia="Times New Roman" w:cs="Times New Roman"/>
          <w:spacing w:val="39"/>
          <w:w w:val="101"/>
          <w:position w:val="14"/>
          <w:sz w:val="21"/>
          <w:szCs w:val="21"/>
        </w:rPr>
        <w:t xml:space="preserve"> </w:t>
      </w:r>
      <w:r>
        <w:rPr>
          <w:rFonts w:ascii="宋体" w:hAnsi="宋体" w:eastAsia="宋体" w:cs="宋体"/>
          <w:position w:val="14"/>
          <w:sz w:val="21"/>
          <w:szCs w:val="21"/>
        </w:rPr>
        <w:t>承包人应依照法律规定参加工伤保险， 并为其履行合同的全部员工办理工伤保</w:t>
      </w:r>
    </w:p>
    <w:p w14:paraId="640237CD">
      <w:pPr>
        <w:spacing w:before="1" w:line="219" w:lineRule="auto"/>
        <w:ind w:left="29"/>
        <w:rPr>
          <w:rFonts w:ascii="宋体" w:hAnsi="宋体" w:eastAsia="宋体" w:cs="宋体"/>
          <w:sz w:val="21"/>
          <w:szCs w:val="21"/>
        </w:rPr>
      </w:pPr>
      <w:r>
        <w:rPr>
          <w:rFonts w:ascii="宋体" w:hAnsi="宋体" w:eastAsia="宋体" w:cs="宋体"/>
          <w:sz w:val="21"/>
          <w:szCs w:val="21"/>
        </w:rPr>
        <w:t>险，缴纳工伤保险费， 并要求分包人及由承包人为履行合同聘请的第三方依法</w:t>
      </w:r>
      <w:r>
        <w:rPr>
          <w:rFonts w:ascii="宋体" w:hAnsi="宋体" w:eastAsia="宋体" w:cs="宋体"/>
          <w:spacing w:val="-1"/>
          <w:sz w:val="21"/>
          <w:szCs w:val="21"/>
        </w:rPr>
        <w:t>参加工伤保</w:t>
      </w:r>
    </w:p>
    <w:p w14:paraId="622BC2AC">
      <w:pPr>
        <w:spacing w:before="153" w:line="221" w:lineRule="auto"/>
        <w:ind w:left="29"/>
        <w:rPr>
          <w:rFonts w:ascii="宋体" w:hAnsi="宋体" w:eastAsia="宋体" w:cs="宋体"/>
          <w:sz w:val="21"/>
          <w:szCs w:val="21"/>
        </w:rPr>
      </w:pPr>
      <w:r>
        <w:rPr>
          <w:rFonts w:ascii="宋体" w:hAnsi="宋体" w:eastAsia="宋体" w:cs="宋体"/>
          <w:spacing w:val="-13"/>
          <w:sz w:val="21"/>
          <w:szCs w:val="21"/>
        </w:rPr>
        <w:t>险。</w:t>
      </w:r>
    </w:p>
    <w:p w14:paraId="35A6E4B6">
      <w:pPr>
        <w:spacing w:before="45" w:line="220" w:lineRule="auto"/>
        <w:ind w:left="31"/>
        <w:rPr>
          <w:rFonts w:ascii="黑体" w:hAnsi="黑体" w:eastAsia="黑体" w:cs="黑体"/>
          <w:sz w:val="24"/>
          <w:szCs w:val="24"/>
        </w:rPr>
      </w:pPr>
      <w:r>
        <w:rPr>
          <w:rFonts w:ascii="黑体" w:hAnsi="黑体" w:eastAsia="黑体" w:cs="黑体"/>
          <w:spacing w:val="-4"/>
          <w:sz w:val="24"/>
          <w:szCs w:val="24"/>
        </w:rPr>
        <w:t>18.3</w:t>
      </w:r>
      <w:r>
        <w:rPr>
          <w:rFonts w:ascii="黑体" w:hAnsi="黑体" w:eastAsia="黑体" w:cs="黑体"/>
          <w:spacing w:val="12"/>
          <w:sz w:val="24"/>
          <w:szCs w:val="24"/>
        </w:rPr>
        <w:t xml:space="preserve"> </w:t>
      </w:r>
      <w:r>
        <w:rPr>
          <w:rFonts w:ascii="黑体" w:hAnsi="黑体" w:eastAsia="黑体" w:cs="黑体"/>
          <w:spacing w:val="-4"/>
          <w:sz w:val="24"/>
          <w:szCs w:val="24"/>
        </w:rPr>
        <w:t>其他保险</w:t>
      </w:r>
    </w:p>
    <w:p w14:paraId="1BF7BCEE">
      <w:pPr>
        <w:spacing w:before="128" w:line="398" w:lineRule="exact"/>
        <w:ind w:left="444"/>
        <w:rPr>
          <w:rFonts w:ascii="宋体" w:hAnsi="宋体" w:eastAsia="宋体" w:cs="宋体"/>
          <w:sz w:val="21"/>
          <w:szCs w:val="21"/>
        </w:rPr>
      </w:pPr>
      <w:r>
        <w:rPr>
          <w:rFonts w:ascii="宋体" w:hAnsi="宋体" w:eastAsia="宋体" w:cs="宋体"/>
          <w:position w:val="14"/>
          <w:sz w:val="21"/>
          <w:szCs w:val="21"/>
        </w:rPr>
        <w:t>发包人和承包人可以为其施工现场的全部人员办理意外伤害保险并支付保险费， 包括</w:t>
      </w:r>
    </w:p>
    <w:p w14:paraId="37BB364A">
      <w:pPr>
        <w:spacing w:before="1" w:line="220" w:lineRule="auto"/>
        <w:ind w:left="19"/>
        <w:rPr>
          <w:rFonts w:ascii="宋体" w:hAnsi="宋体" w:eastAsia="宋体" w:cs="宋体"/>
          <w:sz w:val="21"/>
          <w:szCs w:val="21"/>
        </w:rPr>
      </w:pPr>
      <w:r>
        <w:rPr>
          <w:rFonts w:ascii="宋体" w:hAnsi="宋体" w:eastAsia="宋体" w:cs="宋体"/>
          <w:spacing w:val="-1"/>
          <w:sz w:val="21"/>
          <w:szCs w:val="21"/>
        </w:rPr>
        <w:t>其员工及为履行合同聘请的第三方的人员，具体事项由合同当事人在专用合同条款约定。</w:t>
      </w:r>
    </w:p>
    <w:p w14:paraId="2C13DA37">
      <w:pPr>
        <w:spacing w:before="152" w:line="221" w:lineRule="auto"/>
        <w:ind w:left="453"/>
        <w:rPr>
          <w:rFonts w:ascii="宋体" w:hAnsi="宋体" w:eastAsia="宋体" w:cs="宋体"/>
          <w:sz w:val="21"/>
          <w:szCs w:val="21"/>
        </w:rPr>
      </w:pPr>
      <w:r>
        <w:rPr>
          <w:rFonts w:ascii="宋体" w:hAnsi="宋体" w:eastAsia="宋体" w:cs="宋体"/>
          <w:spacing w:val="-5"/>
          <w:sz w:val="21"/>
          <w:szCs w:val="21"/>
        </w:rPr>
        <w:t>除专用合同条款另有约定外， 承包人应为其施工设备等办理财产保险。</w:t>
      </w:r>
    </w:p>
    <w:p w14:paraId="216CD987">
      <w:pPr>
        <w:spacing w:line="221" w:lineRule="auto"/>
        <w:rPr>
          <w:rFonts w:ascii="宋体" w:hAnsi="宋体" w:eastAsia="宋体" w:cs="宋体"/>
          <w:sz w:val="21"/>
          <w:szCs w:val="21"/>
        </w:rPr>
        <w:sectPr>
          <w:footerReference r:id="rId135" w:type="default"/>
          <w:pgSz w:w="11905" w:h="16839"/>
          <w:pgMar w:top="1431" w:right="1612" w:bottom="1004" w:left="1785" w:header="0" w:footer="828" w:gutter="0"/>
          <w:pgNumType w:fmt="decimal"/>
          <w:cols w:space="720" w:num="1"/>
        </w:sectPr>
      </w:pPr>
    </w:p>
    <w:p w14:paraId="4C60E8EC">
      <w:pPr>
        <w:spacing w:before="47" w:line="220" w:lineRule="auto"/>
        <w:ind w:left="31"/>
        <w:rPr>
          <w:rFonts w:ascii="黑体" w:hAnsi="黑体" w:eastAsia="黑体" w:cs="黑体"/>
          <w:sz w:val="24"/>
          <w:szCs w:val="24"/>
        </w:rPr>
      </w:pPr>
      <w:r>
        <w:rPr>
          <w:rFonts w:ascii="黑体" w:hAnsi="黑体" w:eastAsia="黑体" w:cs="黑体"/>
          <w:spacing w:val="-3"/>
          <w:sz w:val="24"/>
          <w:szCs w:val="24"/>
        </w:rPr>
        <w:t>18.4 持续保险</w:t>
      </w:r>
    </w:p>
    <w:p w14:paraId="5789833F">
      <w:pPr>
        <w:spacing w:before="127" w:line="221" w:lineRule="auto"/>
        <w:ind w:right="6"/>
        <w:jc w:val="right"/>
        <w:rPr>
          <w:rFonts w:ascii="宋体" w:hAnsi="宋体" w:eastAsia="宋体" w:cs="宋体"/>
          <w:sz w:val="21"/>
          <w:szCs w:val="21"/>
        </w:rPr>
      </w:pPr>
      <w:r>
        <w:rPr>
          <w:rFonts w:ascii="宋体" w:hAnsi="宋体" w:eastAsia="宋体" w:cs="宋体"/>
          <w:spacing w:val="3"/>
          <w:sz w:val="21"/>
          <w:szCs w:val="21"/>
        </w:rPr>
        <w:t>合同当事人应与保险人保持联系，使保险人能够随时了解工程实施中的变动，并确保</w:t>
      </w:r>
    </w:p>
    <w:p w14:paraId="66D70B47">
      <w:pPr>
        <w:spacing w:before="147" w:line="221" w:lineRule="auto"/>
        <w:ind w:left="20"/>
        <w:rPr>
          <w:rFonts w:ascii="宋体" w:hAnsi="宋体" w:eastAsia="宋体" w:cs="宋体"/>
          <w:sz w:val="21"/>
          <w:szCs w:val="21"/>
        </w:rPr>
      </w:pPr>
      <w:r>
        <w:rPr>
          <w:rFonts w:ascii="宋体" w:hAnsi="宋体" w:eastAsia="宋体" w:cs="宋体"/>
          <w:spacing w:val="-1"/>
          <w:sz w:val="21"/>
          <w:szCs w:val="21"/>
        </w:rPr>
        <w:t>按保险合同条款要求持续保险。</w:t>
      </w:r>
    </w:p>
    <w:p w14:paraId="3C79D2F2">
      <w:pPr>
        <w:spacing w:before="46" w:line="218" w:lineRule="auto"/>
        <w:ind w:left="31"/>
        <w:rPr>
          <w:rFonts w:ascii="黑体" w:hAnsi="黑体" w:eastAsia="黑体" w:cs="黑体"/>
          <w:sz w:val="24"/>
          <w:szCs w:val="24"/>
        </w:rPr>
      </w:pPr>
      <w:r>
        <w:rPr>
          <w:rFonts w:ascii="黑体" w:hAnsi="黑体" w:eastAsia="黑体" w:cs="黑体"/>
          <w:spacing w:val="-3"/>
          <w:sz w:val="24"/>
          <w:szCs w:val="24"/>
        </w:rPr>
        <w:t>18.5 保险凭证</w:t>
      </w:r>
    </w:p>
    <w:p w14:paraId="449AB0D4">
      <w:pPr>
        <w:spacing w:before="129" w:line="241" w:lineRule="auto"/>
        <w:ind w:left="31" w:right="160" w:firstLine="410"/>
        <w:rPr>
          <w:rFonts w:ascii="黑体" w:hAnsi="黑体" w:eastAsia="黑体" w:cs="黑体"/>
          <w:sz w:val="24"/>
          <w:szCs w:val="24"/>
        </w:rPr>
      </w:pPr>
      <w:r>
        <w:rPr>
          <w:rFonts w:ascii="宋体" w:hAnsi="宋体" w:eastAsia="宋体" w:cs="宋体"/>
          <w:spacing w:val="-1"/>
          <w:sz w:val="21"/>
          <w:szCs w:val="21"/>
        </w:rPr>
        <w:t>合同当事人应及时向另一方当事人提交其已投保的各项保险的凭证和保险单</w:t>
      </w:r>
      <w:r>
        <w:rPr>
          <w:rFonts w:ascii="宋体" w:hAnsi="宋体" w:eastAsia="宋体" w:cs="宋体"/>
          <w:spacing w:val="-2"/>
          <w:sz w:val="21"/>
          <w:szCs w:val="21"/>
        </w:rPr>
        <w:t>复印件。</w:t>
      </w:r>
      <w:r>
        <w:rPr>
          <w:rFonts w:ascii="宋体" w:hAnsi="宋体" w:eastAsia="宋体" w:cs="宋体"/>
          <w:sz w:val="21"/>
          <w:szCs w:val="21"/>
        </w:rPr>
        <w:t xml:space="preserve"> </w:t>
      </w:r>
      <w:r>
        <w:rPr>
          <w:rFonts w:ascii="黑体" w:hAnsi="黑体" w:eastAsia="黑体" w:cs="黑体"/>
          <w:spacing w:val="-2"/>
          <w:sz w:val="24"/>
          <w:szCs w:val="24"/>
        </w:rPr>
        <w:t>18.6 未按约定投保的补救</w:t>
      </w:r>
    </w:p>
    <w:p w14:paraId="3F06C335">
      <w:pPr>
        <w:spacing w:before="129" w:line="350" w:lineRule="auto"/>
        <w:ind w:left="20" w:right="7" w:firstLine="436"/>
        <w:rPr>
          <w:rFonts w:ascii="宋体" w:hAnsi="宋体" w:eastAsia="宋体" w:cs="宋体"/>
          <w:sz w:val="21"/>
          <w:szCs w:val="21"/>
        </w:rPr>
      </w:pPr>
      <w:r>
        <w:rPr>
          <w:rFonts w:ascii="Times New Roman" w:hAnsi="Times New Roman" w:eastAsia="Times New Roman" w:cs="Times New Roman"/>
          <w:spacing w:val="3"/>
          <w:sz w:val="21"/>
          <w:szCs w:val="21"/>
        </w:rPr>
        <w:t>18.6.1</w:t>
      </w:r>
      <w:r>
        <w:rPr>
          <w:rFonts w:ascii="Times New Roman" w:hAnsi="Times New Roman" w:eastAsia="Times New Roman" w:cs="Times New Roman"/>
          <w:spacing w:val="45"/>
          <w:w w:val="101"/>
          <w:sz w:val="21"/>
          <w:szCs w:val="21"/>
        </w:rPr>
        <w:t xml:space="preserve"> </w:t>
      </w:r>
      <w:r>
        <w:rPr>
          <w:rFonts w:ascii="宋体" w:hAnsi="宋体" w:eastAsia="宋体" w:cs="宋体"/>
          <w:spacing w:val="3"/>
          <w:sz w:val="21"/>
          <w:szCs w:val="21"/>
        </w:rPr>
        <w:t>发包人未按合同约定办理保险，或未能使</w:t>
      </w:r>
      <w:r>
        <w:rPr>
          <w:rFonts w:ascii="宋体" w:hAnsi="宋体" w:eastAsia="宋体" w:cs="宋体"/>
          <w:spacing w:val="2"/>
          <w:sz w:val="21"/>
          <w:szCs w:val="21"/>
        </w:rPr>
        <w:t>保险持续有效的，则承包人可代为办</w:t>
      </w:r>
      <w:r>
        <w:rPr>
          <w:rFonts w:ascii="宋体" w:hAnsi="宋体" w:eastAsia="宋体" w:cs="宋体"/>
          <w:sz w:val="21"/>
          <w:szCs w:val="21"/>
        </w:rPr>
        <w:t xml:space="preserve"> </w:t>
      </w:r>
      <w:r>
        <w:rPr>
          <w:rFonts w:ascii="宋体" w:hAnsi="宋体" w:eastAsia="宋体" w:cs="宋体"/>
          <w:spacing w:val="3"/>
          <w:sz w:val="21"/>
          <w:szCs w:val="21"/>
        </w:rPr>
        <w:t>理，所需费用由发包人承担。发包人未按合同约定办理保</w:t>
      </w:r>
      <w:r>
        <w:rPr>
          <w:rFonts w:ascii="宋体" w:hAnsi="宋体" w:eastAsia="宋体" w:cs="宋体"/>
          <w:spacing w:val="2"/>
          <w:sz w:val="21"/>
          <w:szCs w:val="21"/>
        </w:rPr>
        <w:t>险，导致未能得到足额赔偿的，</w:t>
      </w:r>
    </w:p>
    <w:p w14:paraId="38FDE036">
      <w:pPr>
        <w:spacing w:before="1" w:line="220" w:lineRule="auto"/>
        <w:ind w:left="43"/>
        <w:rPr>
          <w:rFonts w:ascii="宋体" w:hAnsi="宋体" w:eastAsia="宋体" w:cs="宋体"/>
          <w:sz w:val="21"/>
          <w:szCs w:val="21"/>
        </w:rPr>
      </w:pPr>
      <w:r>
        <w:rPr>
          <w:rFonts w:ascii="宋体" w:hAnsi="宋体" w:eastAsia="宋体" w:cs="宋体"/>
          <w:spacing w:val="-6"/>
          <w:sz w:val="21"/>
          <w:szCs w:val="21"/>
        </w:rPr>
        <w:t>由发包人负责补足。</w:t>
      </w:r>
    </w:p>
    <w:p w14:paraId="48797F09">
      <w:pPr>
        <w:spacing w:before="152" w:line="398" w:lineRule="exact"/>
        <w:ind w:right="7"/>
        <w:jc w:val="right"/>
        <w:rPr>
          <w:rFonts w:ascii="宋体" w:hAnsi="宋体" w:eastAsia="宋体" w:cs="宋体"/>
          <w:sz w:val="21"/>
          <w:szCs w:val="21"/>
        </w:rPr>
      </w:pPr>
      <w:r>
        <w:rPr>
          <w:rFonts w:ascii="Times New Roman" w:hAnsi="Times New Roman" w:eastAsia="Times New Roman" w:cs="Times New Roman"/>
          <w:spacing w:val="3"/>
          <w:position w:val="14"/>
          <w:sz w:val="21"/>
          <w:szCs w:val="21"/>
        </w:rPr>
        <w:t>18.6.2</w:t>
      </w:r>
      <w:r>
        <w:rPr>
          <w:rFonts w:ascii="Times New Roman" w:hAnsi="Times New Roman" w:eastAsia="Times New Roman" w:cs="Times New Roman"/>
          <w:spacing w:val="42"/>
          <w:w w:val="101"/>
          <w:position w:val="14"/>
          <w:sz w:val="21"/>
          <w:szCs w:val="21"/>
        </w:rPr>
        <w:t xml:space="preserve"> </w:t>
      </w:r>
      <w:r>
        <w:rPr>
          <w:rFonts w:ascii="宋体" w:hAnsi="宋体" w:eastAsia="宋体" w:cs="宋体"/>
          <w:spacing w:val="3"/>
          <w:position w:val="14"/>
          <w:sz w:val="21"/>
          <w:szCs w:val="21"/>
        </w:rPr>
        <w:t>承包人未按合同约定办理保险，或未能使保险持</w:t>
      </w:r>
      <w:r>
        <w:rPr>
          <w:rFonts w:ascii="宋体" w:hAnsi="宋体" w:eastAsia="宋体" w:cs="宋体"/>
          <w:spacing w:val="2"/>
          <w:position w:val="14"/>
          <w:sz w:val="21"/>
          <w:szCs w:val="21"/>
        </w:rPr>
        <w:t>续有效的，则发包人可代为办</w:t>
      </w:r>
    </w:p>
    <w:p w14:paraId="36AFCB9D">
      <w:pPr>
        <w:spacing w:before="1" w:line="220" w:lineRule="auto"/>
        <w:ind w:left="20"/>
        <w:rPr>
          <w:rFonts w:ascii="宋体" w:hAnsi="宋体" w:eastAsia="宋体" w:cs="宋体"/>
          <w:sz w:val="21"/>
          <w:szCs w:val="21"/>
        </w:rPr>
      </w:pPr>
      <w:r>
        <w:rPr>
          <w:rFonts w:ascii="宋体" w:hAnsi="宋体" w:eastAsia="宋体" w:cs="宋体"/>
          <w:spacing w:val="3"/>
          <w:sz w:val="21"/>
          <w:szCs w:val="21"/>
        </w:rPr>
        <w:t>理，所需费用由承包人承担。承包人未按合同约定办理保</w:t>
      </w:r>
      <w:r>
        <w:rPr>
          <w:rFonts w:ascii="宋体" w:hAnsi="宋体" w:eastAsia="宋体" w:cs="宋体"/>
          <w:spacing w:val="2"/>
          <w:sz w:val="21"/>
          <w:szCs w:val="21"/>
        </w:rPr>
        <w:t>险，导致未能得到足额赔偿的，</w:t>
      </w:r>
    </w:p>
    <w:p w14:paraId="7D74D1AC">
      <w:pPr>
        <w:spacing w:before="147" w:line="221" w:lineRule="auto"/>
        <w:ind w:left="43"/>
        <w:rPr>
          <w:rFonts w:ascii="宋体" w:hAnsi="宋体" w:eastAsia="宋体" w:cs="宋体"/>
          <w:sz w:val="21"/>
          <w:szCs w:val="21"/>
        </w:rPr>
      </w:pPr>
      <w:r>
        <w:rPr>
          <w:rFonts w:ascii="宋体" w:hAnsi="宋体" w:eastAsia="宋体" w:cs="宋体"/>
          <w:spacing w:val="-6"/>
          <w:sz w:val="21"/>
          <w:szCs w:val="21"/>
        </w:rPr>
        <w:t>由承包人负责补足。</w:t>
      </w:r>
    </w:p>
    <w:p w14:paraId="43409A99">
      <w:pPr>
        <w:spacing w:before="47" w:line="218" w:lineRule="auto"/>
        <w:ind w:left="31"/>
        <w:rPr>
          <w:rFonts w:ascii="黑体" w:hAnsi="黑体" w:eastAsia="黑体" w:cs="黑体"/>
          <w:sz w:val="24"/>
          <w:szCs w:val="24"/>
        </w:rPr>
      </w:pPr>
      <w:r>
        <w:rPr>
          <w:rFonts w:ascii="黑体" w:hAnsi="黑体" w:eastAsia="黑体" w:cs="黑体"/>
          <w:spacing w:val="-3"/>
          <w:sz w:val="24"/>
          <w:szCs w:val="24"/>
        </w:rPr>
        <w:t>18.7 通知义务</w:t>
      </w:r>
    </w:p>
    <w:p w14:paraId="7F02AE8E">
      <w:pPr>
        <w:spacing w:before="130" w:line="352" w:lineRule="auto"/>
        <w:ind w:left="18" w:right="6" w:firstLine="435"/>
        <w:jc w:val="both"/>
        <w:rPr>
          <w:rFonts w:ascii="宋体" w:hAnsi="宋体" w:eastAsia="宋体" w:cs="宋体"/>
          <w:sz w:val="21"/>
          <w:szCs w:val="21"/>
        </w:rPr>
      </w:pPr>
      <w:r>
        <w:rPr>
          <w:rFonts w:ascii="宋体" w:hAnsi="宋体" w:eastAsia="宋体" w:cs="宋体"/>
          <w:spacing w:val="3"/>
          <w:sz w:val="21"/>
          <w:szCs w:val="21"/>
        </w:rPr>
        <w:t>除专用合同条款另有约定外，发包人变更除工伤保险之外的保</w:t>
      </w:r>
      <w:r>
        <w:rPr>
          <w:rFonts w:ascii="宋体" w:hAnsi="宋体" w:eastAsia="宋体" w:cs="宋体"/>
          <w:spacing w:val="2"/>
          <w:sz w:val="21"/>
          <w:szCs w:val="21"/>
        </w:rPr>
        <w:t>险合同时，应事先征得</w:t>
      </w:r>
      <w:r>
        <w:rPr>
          <w:rFonts w:ascii="宋体" w:hAnsi="宋体" w:eastAsia="宋体" w:cs="宋体"/>
          <w:sz w:val="21"/>
          <w:szCs w:val="21"/>
        </w:rPr>
        <w:t xml:space="preserve"> </w:t>
      </w:r>
      <w:r>
        <w:rPr>
          <w:rFonts w:ascii="宋体" w:hAnsi="宋体" w:eastAsia="宋体" w:cs="宋体"/>
          <w:spacing w:val="-2"/>
          <w:sz w:val="21"/>
          <w:szCs w:val="21"/>
        </w:rPr>
        <w:t>承包人同意， 并通知监理人； 承包人变更除工伤保</w:t>
      </w:r>
      <w:r>
        <w:rPr>
          <w:rFonts w:ascii="宋体" w:hAnsi="宋体" w:eastAsia="宋体" w:cs="宋体"/>
          <w:spacing w:val="-3"/>
          <w:sz w:val="21"/>
          <w:szCs w:val="21"/>
        </w:rPr>
        <w:t>险之外的保险合同时，应事先征得发包</w:t>
      </w:r>
    </w:p>
    <w:p w14:paraId="322356D3">
      <w:pPr>
        <w:spacing w:before="1" w:line="220" w:lineRule="auto"/>
        <w:ind w:left="20"/>
        <w:rPr>
          <w:rFonts w:ascii="宋体" w:hAnsi="宋体" w:eastAsia="宋体" w:cs="宋体"/>
          <w:sz w:val="21"/>
          <w:szCs w:val="21"/>
        </w:rPr>
      </w:pPr>
      <w:r>
        <w:rPr>
          <w:rFonts w:ascii="宋体" w:hAnsi="宋体" w:eastAsia="宋体" w:cs="宋体"/>
          <w:spacing w:val="-2"/>
          <w:sz w:val="21"/>
          <w:szCs w:val="21"/>
        </w:rPr>
        <w:t>人同意，并通知监理人。</w:t>
      </w:r>
    </w:p>
    <w:p w14:paraId="6BA82ECF">
      <w:pPr>
        <w:spacing w:before="148" w:line="403" w:lineRule="exact"/>
        <w:ind w:right="6"/>
        <w:jc w:val="right"/>
        <w:rPr>
          <w:rFonts w:ascii="宋体" w:hAnsi="宋体" w:eastAsia="宋体" w:cs="宋体"/>
          <w:sz w:val="21"/>
          <w:szCs w:val="21"/>
        </w:rPr>
      </w:pPr>
      <w:r>
        <w:rPr>
          <w:rFonts w:ascii="宋体" w:hAnsi="宋体" w:eastAsia="宋体" w:cs="宋体"/>
          <w:spacing w:val="3"/>
          <w:position w:val="14"/>
          <w:sz w:val="21"/>
          <w:szCs w:val="21"/>
        </w:rPr>
        <w:t>保险事故发生时，投保人应按照保险合同规定的条件和期限及时向保险人报告。发包</w:t>
      </w:r>
    </w:p>
    <w:p w14:paraId="56B1B61B">
      <w:pPr>
        <w:spacing w:before="1" w:line="220" w:lineRule="auto"/>
        <w:ind w:left="20"/>
        <w:rPr>
          <w:rFonts w:ascii="宋体" w:hAnsi="宋体" w:eastAsia="宋体" w:cs="宋体"/>
          <w:sz w:val="21"/>
          <w:szCs w:val="21"/>
        </w:rPr>
      </w:pPr>
      <w:r>
        <w:rPr>
          <w:rFonts w:ascii="宋体" w:hAnsi="宋体" w:eastAsia="宋体" w:cs="宋体"/>
          <w:spacing w:val="-1"/>
          <w:sz w:val="21"/>
          <w:szCs w:val="21"/>
        </w:rPr>
        <w:t>人和承包人应当在知道保险事故发生后及时通知对方。</w:t>
      </w:r>
    </w:p>
    <w:p w14:paraId="3AE025C2">
      <w:pPr>
        <w:spacing w:before="172" w:line="220" w:lineRule="auto"/>
        <w:ind w:left="39"/>
        <w:rPr>
          <w:rFonts w:ascii="黑体" w:hAnsi="黑体" w:eastAsia="黑体" w:cs="黑体"/>
          <w:sz w:val="32"/>
          <w:szCs w:val="32"/>
        </w:rPr>
      </w:pPr>
      <w:r>
        <w:rPr>
          <w:rFonts w:ascii="黑体" w:hAnsi="黑体" w:eastAsia="黑体" w:cs="黑体"/>
          <w:spacing w:val="-6"/>
          <w:sz w:val="32"/>
          <w:szCs w:val="32"/>
        </w:rPr>
        <w:t>19.索赔</w:t>
      </w:r>
    </w:p>
    <w:p w14:paraId="5E15F6B5">
      <w:pPr>
        <w:spacing w:before="145" w:line="219" w:lineRule="auto"/>
        <w:ind w:left="31"/>
        <w:rPr>
          <w:rFonts w:ascii="黑体" w:hAnsi="黑体" w:eastAsia="黑体" w:cs="黑体"/>
          <w:sz w:val="24"/>
          <w:szCs w:val="24"/>
        </w:rPr>
      </w:pPr>
      <w:r>
        <w:rPr>
          <w:rFonts w:ascii="黑体" w:hAnsi="黑体" w:eastAsia="黑体" w:cs="黑体"/>
          <w:spacing w:val="-3"/>
          <w:sz w:val="24"/>
          <w:szCs w:val="24"/>
        </w:rPr>
        <w:t>19.1</w:t>
      </w:r>
      <w:r>
        <w:rPr>
          <w:rFonts w:ascii="黑体" w:hAnsi="黑体" w:eastAsia="黑体" w:cs="黑体"/>
          <w:spacing w:val="-54"/>
          <w:sz w:val="24"/>
          <w:szCs w:val="24"/>
        </w:rPr>
        <w:t xml:space="preserve"> </w:t>
      </w:r>
      <w:r>
        <w:rPr>
          <w:rFonts w:ascii="黑体" w:hAnsi="黑体" w:eastAsia="黑体" w:cs="黑体"/>
          <w:spacing w:val="-3"/>
          <w:sz w:val="24"/>
          <w:szCs w:val="24"/>
        </w:rPr>
        <w:t>承包人的索赔</w:t>
      </w:r>
    </w:p>
    <w:p w14:paraId="0022E47F">
      <w:pPr>
        <w:spacing w:before="129" w:line="404" w:lineRule="exact"/>
        <w:ind w:right="6"/>
        <w:jc w:val="right"/>
        <w:rPr>
          <w:rFonts w:ascii="宋体" w:hAnsi="宋体" w:eastAsia="宋体" w:cs="宋体"/>
          <w:sz w:val="21"/>
          <w:szCs w:val="21"/>
        </w:rPr>
      </w:pPr>
      <w:r>
        <w:rPr>
          <w:rFonts w:ascii="宋体" w:hAnsi="宋体" w:eastAsia="宋体" w:cs="宋体"/>
          <w:spacing w:val="-5"/>
          <w:position w:val="14"/>
          <w:sz w:val="21"/>
          <w:szCs w:val="21"/>
        </w:rPr>
        <w:t>根据合同约定， 承包人认为有权得到追加付款和（或） 延长工期的， 应按以下程序向</w:t>
      </w:r>
    </w:p>
    <w:p w14:paraId="7954DD53">
      <w:pPr>
        <w:spacing w:line="220" w:lineRule="auto"/>
        <w:ind w:left="21"/>
        <w:rPr>
          <w:rFonts w:ascii="宋体" w:hAnsi="宋体" w:eastAsia="宋体" w:cs="宋体"/>
          <w:sz w:val="21"/>
          <w:szCs w:val="21"/>
        </w:rPr>
      </w:pPr>
      <w:r>
        <w:rPr>
          <w:rFonts w:ascii="宋体" w:hAnsi="宋体" w:eastAsia="宋体" w:cs="宋体"/>
          <w:spacing w:val="-5"/>
          <w:sz w:val="21"/>
          <w:szCs w:val="21"/>
        </w:rPr>
        <w:t>发包人提出索赔：</w:t>
      </w:r>
    </w:p>
    <w:p w14:paraId="465AE26E">
      <w:pPr>
        <w:spacing w:before="149" w:line="352" w:lineRule="auto"/>
        <w:ind w:left="22" w:right="2" w:firstLine="424"/>
        <w:rPr>
          <w:rFonts w:ascii="宋体" w:hAnsi="宋体" w:eastAsia="宋体" w:cs="宋体"/>
          <w:sz w:val="21"/>
          <w:szCs w:val="21"/>
        </w:rPr>
      </w:pPr>
      <w:r>
        <w:rPr>
          <w:rFonts w:ascii="宋体" w:hAnsi="宋体" w:eastAsia="宋体" w:cs="宋体"/>
          <w:sz w:val="21"/>
          <w:szCs w:val="21"/>
        </w:rPr>
        <w:t>（</w:t>
      </w:r>
      <w:r>
        <w:rPr>
          <w:rFonts w:ascii="Times New Roman" w:hAnsi="Times New Roman" w:eastAsia="Times New Roman" w:cs="Times New Roman"/>
          <w:sz w:val="21"/>
          <w:szCs w:val="21"/>
        </w:rPr>
        <w:t>1</w:t>
      </w:r>
      <w:r>
        <w:rPr>
          <w:rFonts w:ascii="宋体" w:hAnsi="宋体" w:eastAsia="宋体" w:cs="宋体"/>
          <w:sz w:val="21"/>
          <w:szCs w:val="21"/>
        </w:rPr>
        <w:t xml:space="preserve">）承包人应在知道或应当知道索赔事件发生后 </w:t>
      </w:r>
      <w:r>
        <w:rPr>
          <w:rFonts w:ascii="Times New Roman" w:hAnsi="Times New Roman" w:eastAsia="Times New Roman" w:cs="Times New Roman"/>
          <w:sz w:val="21"/>
          <w:szCs w:val="21"/>
        </w:rPr>
        <w:t xml:space="preserve">28  </w:t>
      </w:r>
      <w:r>
        <w:rPr>
          <w:rFonts w:ascii="宋体" w:hAnsi="宋体" w:eastAsia="宋体" w:cs="宋体"/>
          <w:sz w:val="21"/>
          <w:szCs w:val="21"/>
        </w:rPr>
        <w:t>天内，向监理人递交索赔意向通</w:t>
      </w:r>
      <w:r>
        <w:rPr>
          <w:rFonts w:ascii="宋体" w:hAnsi="宋体" w:eastAsia="宋体" w:cs="宋体"/>
          <w:spacing w:val="7"/>
          <w:sz w:val="21"/>
          <w:szCs w:val="21"/>
        </w:rPr>
        <w:t xml:space="preserve"> </w:t>
      </w:r>
      <w:r>
        <w:rPr>
          <w:rFonts w:ascii="宋体" w:hAnsi="宋体" w:eastAsia="宋体" w:cs="宋体"/>
          <w:spacing w:val="-3"/>
          <w:sz w:val="21"/>
          <w:szCs w:val="21"/>
        </w:rPr>
        <w:t>知书，并说明发生索赔事件的事由；承包人未在前述</w:t>
      </w:r>
      <w:r>
        <w:rPr>
          <w:rFonts w:ascii="宋体" w:hAnsi="宋体" w:eastAsia="宋体" w:cs="宋体"/>
          <w:spacing w:val="-36"/>
          <w:sz w:val="21"/>
          <w:szCs w:val="21"/>
        </w:rPr>
        <w:t xml:space="preserve"> </w:t>
      </w:r>
      <w:r>
        <w:rPr>
          <w:rFonts w:ascii="Times New Roman" w:hAnsi="Times New Roman" w:eastAsia="Times New Roman" w:cs="Times New Roman"/>
          <w:spacing w:val="-3"/>
          <w:sz w:val="21"/>
          <w:szCs w:val="21"/>
        </w:rPr>
        <w:t>28</w:t>
      </w:r>
      <w:r>
        <w:rPr>
          <w:rFonts w:ascii="Times New Roman" w:hAnsi="Times New Roman" w:eastAsia="Times New Roman" w:cs="Times New Roman"/>
          <w:spacing w:val="13"/>
          <w:w w:val="101"/>
          <w:sz w:val="21"/>
          <w:szCs w:val="21"/>
        </w:rPr>
        <w:t xml:space="preserve"> </w:t>
      </w:r>
      <w:r>
        <w:rPr>
          <w:rFonts w:ascii="宋体" w:hAnsi="宋体" w:eastAsia="宋体" w:cs="宋体"/>
          <w:spacing w:val="-3"/>
          <w:sz w:val="21"/>
          <w:szCs w:val="21"/>
        </w:rPr>
        <w:t xml:space="preserve">天内发出索赔意向通知书的， </w:t>
      </w:r>
      <w:r>
        <w:rPr>
          <w:rFonts w:ascii="宋体" w:hAnsi="宋体" w:eastAsia="宋体" w:cs="宋体"/>
          <w:spacing w:val="-4"/>
          <w:sz w:val="21"/>
          <w:szCs w:val="21"/>
        </w:rPr>
        <w:t>丧失</w:t>
      </w:r>
    </w:p>
    <w:p w14:paraId="55C6F8D3">
      <w:pPr>
        <w:spacing w:line="220" w:lineRule="auto"/>
        <w:ind w:left="19"/>
        <w:rPr>
          <w:rFonts w:ascii="宋体" w:hAnsi="宋体" w:eastAsia="宋体" w:cs="宋体"/>
          <w:sz w:val="21"/>
          <w:szCs w:val="21"/>
        </w:rPr>
      </w:pPr>
      <w:r>
        <w:rPr>
          <w:rFonts w:ascii="宋体" w:hAnsi="宋体" w:eastAsia="宋体" w:cs="宋体"/>
          <w:spacing w:val="-1"/>
          <w:sz w:val="21"/>
          <w:szCs w:val="21"/>
        </w:rPr>
        <w:t>要求追加付款和（或）延长工期的权利；</w:t>
      </w:r>
    </w:p>
    <w:p w14:paraId="5740B5C8">
      <w:pPr>
        <w:spacing w:before="149" w:line="352" w:lineRule="auto"/>
        <w:ind w:left="16" w:right="7" w:firstLine="430"/>
        <w:rPr>
          <w:rFonts w:ascii="宋体" w:hAnsi="宋体" w:eastAsia="宋体" w:cs="宋体"/>
          <w:sz w:val="21"/>
          <w:szCs w:val="21"/>
        </w:rPr>
      </w:pPr>
      <w:r>
        <w:rPr>
          <w:rFonts w:ascii="宋体" w:hAnsi="宋体" w:eastAsia="宋体" w:cs="宋体"/>
          <w:spacing w:val="-2"/>
          <w:sz w:val="21"/>
          <w:szCs w:val="21"/>
        </w:rPr>
        <w:t>（</w:t>
      </w:r>
      <w:r>
        <w:rPr>
          <w:rFonts w:ascii="Times New Roman" w:hAnsi="Times New Roman" w:eastAsia="Times New Roman" w:cs="Times New Roman"/>
          <w:spacing w:val="-2"/>
          <w:sz w:val="21"/>
          <w:szCs w:val="21"/>
        </w:rPr>
        <w:t>2</w:t>
      </w:r>
      <w:r>
        <w:rPr>
          <w:rFonts w:ascii="宋体" w:hAnsi="宋体" w:eastAsia="宋体" w:cs="宋体"/>
          <w:spacing w:val="-2"/>
          <w:sz w:val="21"/>
          <w:szCs w:val="21"/>
        </w:rPr>
        <w:t xml:space="preserve">）承包人应在发出索赔意向通知书后 </w:t>
      </w:r>
      <w:r>
        <w:rPr>
          <w:rFonts w:ascii="Times New Roman" w:hAnsi="Times New Roman" w:eastAsia="Times New Roman" w:cs="Times New Roman"/>
          <w:spacing w:val="-2"/>
          <w:sz w:val="21"/>
          <w:szCs w:val="21"/>
        </w:rPr>
        <w:t xml:space="preserve">28  </w:t>
      </w:r>
      <w:r>
        <w:rPr>
          <w:rFonts w:ascii="宋体" w:hAnsi="宋体" w:eastAsia="宋体" w:cs="宋体"/>
          <w:spacing w:val="-3"/>
          <w:sz w:val="21"/>
          <w:szCs w:val="21"/>
        </w:rPr>
        <w:t>天内， 向监理人正式递交索赔报告；索赔</w:t>
      </w:r>
      <w:r>
        <w:rPr>
          <w:rFonts w:ascii="宋体" w:hAnsi="宋体" w:eastAsia="宋体" w:cs="宋体"/>
          <w:sz w:val="21"/>
          <w:szCs w:val="21"/>
        </w:rPr>
        <w:t xml:space="preserve"> 报告应详细说明索赔理由以及要求追加的付款金额和（或） 延长的工期，并附必要的记录</w:t>
      </w:r>
    </w:p>
    <w:p w14:paraId="48D4B86B">
      <w:pPr>
        <w:spacing w:before="1" w:line="219" w:lineRule="auto"/>
        <w:ind w:left="19"/>
        <w:rPr>
          <w:rFonts w:ascii="宋体" w:hAnsi="宋体" w:eastAsia="宋体" w:cs="宋体"/>
          <w:sz w:val="21"/>
          <w:szCs w:val="21"/>
        </w:rPr>
      </w:pPr>
      <w:r>
        <w:rPr>
          <w:rFonts w:ascii="宋体" w:hAnsi="宋体" w:eastAsia="宋体" w:cs="宋体"/>
          <w:spacing w:val="-1"/>
          <w:sz w:val="21"/>
          <w:szCs w:val="21"/>
        </w:rPr>
        <w:t>和证明材料；</w:t>
      </w:r>
    </w:p>
    <w:p w14:paraId="6B2FF663">
      <w:pPr>
        <w:spacing w:before="149" w:line="398" w:lineRule="exact"/>
        <w:ind w:right="12"/>
        <w:jc w:val="right"/>
        <w:rPr>
          <w:rFonts w:ascii="宋体" w:hAnsi="宋体" w:eastAsia="宋体" w:cs="宋体"/>
          <w:sz w:val="21"/>
          <w:szCs w:val="21"/>
        </w:rPr>
      </w:pPr>
      <w:r>
        <w:rPr>
          <w:rFonts w:ascii="宋体" w:hAnsi="宋体" w:eastAsia="宋体" w:cs="宋体"/>
          <w:spacing w:val="-4"/>
          <w:position w:val="14"/>
          <w:sz w:val="21"/>
          <w:szCs w:val="21"/>
        </w:rPr>
        <w:t>（</w:t>
      </w:r>
      <w:r>
        <w:rPr>
          <w:rFonts w:ascii="Times New Roman" w:hAnsi="Times New Roman" w:eastAsia="Times New Roman" w:cs="Times New Roman"/>
          <w:spacing w:val="-4"/>
          <w:position w:val="14"/>
          <w:sz w:val="21"/>
          <w:szCs w:val="21"/>
        </w:rPr>
        <w:t>3</w:t>
      </w:r>
      <w:r>
        <w:rPr>
          <w:rFonts w:ascii="宋体" w:hAnsi="宋体" w:eastAsia="宋体" w:cs="宋体"/>
          <w:spacing w:val="-4"/>
          <w:position w:val="14"/>
          <w:sz w:val="21"/>
          <w:szCs w:val="21"/>
        </w:rPr>
        <w:t>）索赔事件具有持续影响的，</w:t>
      </w:r>
      <w:r>
        <w:rPr>
          <w:rFonts w:ascii="宋体" w:hAnsi="宋体" w:eastAsia="宋体" w:cs="宋体"/>
          <w:spacing w:val="51"/>
          <w:position w:val="14"/>
          <w:sz w:val="21"/>
          <w:szCs w:val="21"/>
        </w:rPr>
        <w:t xml:space="preserve"> </w:t>
      </w:r>
      <w:r>
        <w:rPr>
          <w:rFonts w:ascii="宋体" w:hAnsi="宋体" w:eastAsia="宋体" w:cs="宋体"/>
          <w:spacing w:val="-4"/>
          <w:position w:val="14"/>
          <w:sz w:val="21"/>
          <w:szCs w:val="21"/>
        </w:rPr>
        <w:t>承包人应按合理时间间隔继续递交延</w:t>
      </w:r>
      <w:r>
        <w:rPr>
          <w:rFonts w:ascii="宋体" w:hAnsi="宋体" w:eastAsia="宋体" w:cs="宋体"/>
          <w:spacing w:val="-5"/>
          <w:position w:val="14"/>
          <w:sz w:val="21"/>
          <w:szCs w:val="21"/>
        </w:rPr>
        <w:t>续索赔通知，说</w:t>
      </w:r>
    </w:p>
    <w:p w14:paraId="03323033">
      <w:pPr>
        <w:spacing w:before="1" w:line="220" w:lineRule="auto"/>
        <w:ind w:left="38"/>
        <w:rPr>
          <w:rFonts w:ascii="宋体" w:hAnsi="宋体" w:eastAsia="宋体" w:cs="宋体"/>
          <w:sz w:val="21"/>
          <w:szCs w:val="21"/>
        </w:rPr>
      </w:pPr>
      <w:r>
        <w:rPr>
          <w:rFonts w:ascii="宋体" w:hAnsi="宋体" w:eastAsia="宋体" w:cs="宋体"/>
          <w:spacing w:val="-2"/>
          <w:sz w:val="21"/>
          <w:szCs w:val="21"/>
        </w:rPr>
        <w:t>明持续影响的实际情况和记录，列出累计的追加付款金额和（或）工期延长天数；</w:t>
      </w:r>
    </w:p>
    <w:p w14:paraId="3B3EECB3">
      <w:pPr>
        <w:spacing w:before="152" w:line="219" w:lineRule="auto"/>
        <w:ind w:right="7"/>
        <w:jc w:val="right"/>
        <w:rPr>
          <w:rFonts w:ascii="宋体" w:hAnsi="宋体" w:eastAsia="宋体" w:cs="宋体"/>
          <w:sz w:val="21"/>
          <w:szCs w:val="21"/>
        </w:rPr>
      </w:pPr>
      <w:r>
        <w:rPr>
          <w:rFonts w:ascii="宋体" w:hAnsi="宋体" w:eastAsia="宋体" w:cs="宋体"/>
          <w:sz w:val="21"/>
          <w:szCs w:val="21"/>
        </w:rPr>
        <w:t>（</w:t>
      </w:r>
      <w:r>
        <w:rPr>
          <w:rFonts w:ascii="Times New Roman" w:hAnsi="Times New Roman" w:eastAsia="Times New Roman" w:cs="Times New Roman"/>
          <w:sz w:val="21"/>
          <w:szCs w:val="21"/>
        </w:rPr>
        <w:t>4</w:t>
      </w:r>
      <w:r>
        <w:rPr>
          <w:rFonts w:ascii="宋体" w:hAnsi="宋体" w:eastAsia="宋体" w:cs="宋体"/>
          <w:sz w:val="21"/>
          <w:szCs w:val="21"/>
        </w:rPr>
        <w:t xml:space="preserve">）在索赔事件影响结束后 </w:t>
      </w:r>
      <w:r>
        <w:rPr>
          <w:rFonts w:ascii="Times New Roman" w:hAnsi="Times New Roman" w:eastAsia="Times New Roman" w:cs="Times New Roman"/>
          <w:sz w:val="21"/>
          <w:szCs w:val="21"/>
        </w:rPr>
        <w:t xml:space="preserve">28  </w:t>
      </w:r>
      <w:r>
        <w:rPr>
          <w:rFonts w:ascii="宋体" w:hAnsi="宋体" w:eastAsia="宋体" w:cs="宋体"/>
          <w:sz w:val="21"/>
          <w:szCs w:val="21"/>
        </w:rPr>
        <w:t>天内，承包人应向监理人递交最终索赔报告，说明最</w:t>
      </w:r>
    </w:p>
    <w:p w14:paraId="6218D1CA">
      <w:pPr>
        <w:spacing w:before="149" w:line="220" w:lineRule="auto"/>
        <w:ind w:left="21"/>
        <w:rPr>
          <w:rFonts w:ascii="宋体" w:hAnsi="宋体" w:eastAsia="宋体" w:cs="宋体"/>
          <w:sz w:val="21"/>
          <w:szCs w:val="21"/>
        </w:rPr>
      </w:pPr>
      <w:r>
        <w:rPr>
          <w:rFonts w:ascii="宋体" w:hAnsi="宋体" w:eastAsia="宋体" w:cs="宋体"/>
          <w:spacing w:val="-1"/>
          <w:sz w:val="21"/>
          <w:szCs w:val="21"/>
        </w:rPr>
        <w:t>终要求索赔的追加付款金额和（或）延长的工期，并附必要的记录和证明材料。</w:t>
      </w:r>
    </w:p>
    <w:p w14:paraId="52F9B925">
      <w:pPr>
        <w:spacing w:before="47" w:line="414" w:lineRule="exact"/>
        <w:ind w:left="31"/>
        <w:rPr>
          <w:rFonts w:ascii="黑体" w:hAnsi="黑体" w:eastAsia="黑体" w:cs="黑体"/>
          <w:sz w:val="24"/>
          <w:szCs w:val="24"/>
        </w:rPr>
      </w:pPr>
      <w:r>
        <w:rPr>
          <w:rFonts w:ascii="黑体" w:hAnsi="黑体" w:eastAsia="黑体" w:cs="黑体"/>
          <w:spacing w:val="-2"/>
          <w:position w:val="12"/>
          <w:sz w:val="24"/>
          <w:szCs w:val="24"/>
        </w:rPr>
        <w:t>19.2 对承包人索赔的处理</w:t>
      </w:r>
    </w:p>
    <w:p w14:paraId="3195AAED">
      <w:pPr>
        <w:spacing w:line="220" w:lineRule="auto"/>
        <w:ind w:left="440"/>
        <w:rPr>
          <w:rFonts w:ascii="宋体" w:hAnsi="宋体" w:eastAsia="宋体" w:cs="宋体"/>
          <w:sz w:val="21"/>
          <w:szCs w:val="21"/>
        </w:rPr>
      </w:pPr>
      <w:r>
        <w:rPr>
          <w:rFonts w:ascii="宋体" w:hAnsi="宋体" w:eastAsia="宋体" w:cs="宋体"/>
          <w:spacing w:val="-3"/>
          <w:sz w:val="21"/>
          <w:szCs w:val="21"/>
        </w:rPr>
        <w:t>对承包人索赔的处理如下：</w:t>
      </w:r>
    </w:p>
    <w:p w14:paraId="6495709E">
      <w:pPr>
        <w:spacing w:before="153" w:line="219" w:lineRule="auto"/>
        <w:ind w:right="7"/>
        <w:jc w:val="right"/>
        <w:rPr>
          <w:rFonts w:ascii="宋体" w:hAnsi="宋体" w:eastAsia="宋体" w:cs="宋体"/>
          <w:sz w:val="21"/>
          <w:szCs w:val="21"/>
        </w:rPr>
      </w:pPr>
      <w:r>
        <w:rPr>
          <w:rFonts w:ascii="宋体" w:hAnsi="宋体" w:eastAsia="宋体" w:cs="宋体"/>
          <w:spacing w:val="-1"/>
          <w:sz w:val="21"/>
          <w:szCs w:val="21"/>
        </w:rPr>
        <w:t>（</w:t>
      </w:r>
      <w:r>
        <w:rPr>
          <w:rFonts w:ascii="Times New Roman" w:hAnsi="Times New Roman" w:eastAsia="Times New Roman" w:cs="Times New Roman"/>
          <w:spacing w:val="-1"/>
          <w:sz w:val="21"/>
          <w:szCs w:val="21"/>
        </w:rPr>
        <w:t>1</w:t>
      </w:r>
      <w:r>
        <w:rPr>
          <w:rFonts w:ascii="宋体" w:hAnsi="宋体" w:eastAsia="宋体" w:cs="宋体"/>
          <w:spacing w:val="-1"/>
          <w:sz w:val="21"/>
          <w:szCs w:val="21"/>
        </w:rPr>
        <w:t>）监理人应在收到索赔报告后</w:t>
      </w:r>
      <w:r>
        <w:rPr>
          <w:rFonts w:ascii="宋体" w:hAnsi="宋体" w:eastAsia="宋体" w:cs="宋体"/>
          <w:spacing w:val="45"/>
          <w:sz w:val="21"/>
          <w:szCs w:val="21"/>
        </w:rPr>
        <w:t xml:space="preserve"> </w:t>
      </w:r>
      <w:r>
        <w:rPr>
          <w:rFonts w:ascii="Times New Roman" w:hAnsi="Times New Roman" w:eastAsia="Times New Roman" w:cs="Times New Roman"/>
          <w:spacing w:val="-1"/>
          <w:sz w:val="21"/>
          <w:szCs w:val="21"/>
        </w:rPr>
        <w:t>14</w:t>
      </w:r>
      <w:r>
        <w:rPr>
          <w:rFonts w:ascii="Times New Roman" w:hAnsi="Times New Roman" w:eastAsia="Times New Roman" w:cs="Times New Roman"/>
          <w:spacing w:val="47"/>
          <w:sz w:val="21"/>
          <w:szCs w:val="21"/>
        </w:rPr>
        <w:t xml:space="preserve"> </w:t>
      </w:r>
      <w:r>
        <w:rPr>
          <w:rFonts w:ascii="宋体" w:hAnsi="宋体" w:eastAsia="宋体" w:cs="宋体"/>
          <w:spacing w:val="-1"/>
          <w:sz w:val="21"/>
          <w:szCs w:val="21"/>
        </w:rPr>
        <w:t>天内完成审查并报送发包人。监理人对索赔报告</w:t>
      </w:r>
    </w:p>
    <w:p w14:paraId="32C1D75D">
      <w:pPr>
        <w:spacing w:line="219" w:lineRule="auto"/>
        <w:rPr>
          <w:rFonts w:ascii="宋体" w:hAnsi="宋体" w:eastAsia="宋体" w:cs="宋体"/>
          <w:sz w:val="21"/>
          <w:szCs w:val="21"/>
        </w:rPr>
        <w:sectPr>
          <w:footerReference r:id="rId136" w:type="default"/>
          <w:pgSz w:w="11905" w:h="16839"/>
          <w:pgMar w:top="1431" w:right="1785" w:bottom="1004" w:left="1785" w:header="0" w:footer="828" w:gutter="0"/>
          <w:pgNumType w:fmt="decimal"/>
          <w:cols w:space="720" w:num="1"/>
        </w:sectPr>
      </w:pPr>
    </w:p>
    <w:p w14:paraId="36097FB8">
      <w:pPr>
        <w:spacing w:before="149" w:line="220" w:lineRule="auto"/>
        <w:ind w:left="17"/>
        <w:rPr>
          <w:rFonts w:ascii="宋体" w:hAnsi="宋体" w:eastAsia="宋体" w:cs="宋体"/>
          <w:sz w:val="21"/>
          <w:szCs w:val="21"/>
        </w:rPr>
      </w:pPr>
      <w:r>
        <w:rPr>
          <w:rFonts w:ascii="宋体" w:hAnsi="宋体" w:eastAsia="宋体" w:cs="宋体"/>
          <w:spacing w:val="-1"/>
          <w:sz w:val="21"/>
          <w:szCs w:val="21"/>
        </w:rPr>
        <w:t>存在异议的，有权要求承包人提交全部原始记录副本；</w:t>
      </w:r>
    </w:p>
    <w:p w14:paraId="0A5D9074">
      <w:pPr>
        <w:spacing w:before="147" w:line="353" w:lineRule="auto"/>
        <w:ind w:left="19" w:right="1" w:firstLine="428"/>
        <w:jc w:val="both"/>
        <w:rPr>
          <w:rFonts w:ascii="宋体" w:hAnsi="宋体" w:eastAsia="宋体" w:cs="宋体"/>
          <w:sz w:val="21"/>
          <w:szCs w:val="21"/>
        </w:rPr>
      </w:pPr>
      <w:r>
        <w:rPr>
          <w:rFonts w:ascii="宋体" w:hAnsi="宋体" w:eastAsia="宋体" w:cs="宋体"/>
          <w:sz w:val="21"/>
          <w:szCs w:val="21"/>
        </w:rPr>
        <w:t>（</w:t>
      </w:r>
      <w:r>
        <w:rPr>
          <w:rFonts w:ascii="Times New Roman" w:hAnsi="Times New Roman" w:eastAsia="Times New Roman" w:cs="Times New Roman"/>
          <w:sz w:val="21"/>
          <w:szCs w:val="21"/>
        </w:rPr>
        <w:t>2</w:t>
      </w:r>
      <w:r>
        <w:rPr>
          <w:rFonts w:ascii="宋体" w:hAnsi="宋体" w:eastAsia="宋体" w:cs="宋体"/>
          <w:sz w:val="21"/>
          <w:szCs w:val="21"/>
        </w:rPr>
        <w:t xml:space="preserve">）发包人应在监理人收到索赔报告或有关索赔的进一步证明材料后的 </w:t>
      </w:r>
      <w:r>
        <w:rPr>
          <w:rFonts w:ascii="Times New Roman" w:hAnsi="Times New Roman" w:eastAsia="Times New Roman" w:cs="Times New Roman"/>
          <w:sz w:val="21"/>
          <w:szCs w:val="21"/>
        </w:rPr>
        <w:t xml:space="preserve">28  </w:t>
      </w:r>
      <w:r>
        <w:rPr>
          <w:rFonts w:ascii="宋体" w:hAnsi="宋体" w:eastAsia="宋体" w:cs="宋体"/>
          <w:sz w:val="21"/>
          <w:szCs w:val="21"/>
        </w:rPr>
        <w:t>天内，由</w:t>
      </w:r>
      <w:r>
        <w:rPr>
          <w:rFonts w:ascii="宋体" w:hAnsi="宋体" w:eastAsia="宋体" w:cs="宋体"/>
          <w:spacing w:val="8"/>
          <w:sz w:val="21"/>
          <w:szCs w:val="21"/>
        </w:rPr>
        <w:t xml:space="preserve"> </w:t>
      </w:r>
      <w:r>
        <w:rPr>
          <w:rFonts w:ascii="宋体" w:hAnsi="宋体" w:eastAsia="宋体" w:cs="宋体"/>
          <w:spacing w:val="3"/>
          <w:sz w:val="21"/>
          <w:szCs w:val="21"/>
        </w:rPr>
        <w:t>监理人向承包人出具经发包人签认的索赔处理结果。发包人逾期答复的，则</w:t>
      </w:r>
      <w:r>
        <w:rPr>
          <w:rFonts w:ascii="宋体" w:hAnsi="宋体" w:eastAsia="宋体" w:cs="宋体"/>
          <w:spacing w:val="2"/>
          <w:sz w:val="21"/>
          <w:szCs w:val="21"/>
        </w:rPr>
        <w:t>视为认可承包</w:t>
      </w:r>
    </w:p>
    <w:p w14:paraId="796BA6D1">
      <w:pPr>
        <w:spacing w:line="220" w:lineRule="auto"/>
        <w:ind w:left="20"/>
        <w:rPr>
          <w:rFonts w:ascii="宋体" w:hAnsi="宋体" w:eastAsia="宋体" w:cs="宋体"/>
          <w:sz w:val="21"/>
          <w:szCs w:val="21"/>
        </w:rPr>
      </w:pPr>
      <w:r>
        <w:rPr>
          <w:rFonts w:ascii="宋体" w:hAnsi="宋体" w:eastAsia="宋体" w:cs="宋体"/>
          <w:spacing w:val="-5"/>
          <w:sz w:val="21"/>
          <w:szCs w:val="21"/>
        </w:rPr>
        <w:t>人的索赔要求；</w:t>
      </w:r>
    </w:p>
    <w:p w14:paraId="237A93FB">
      <w:pPr>
        <w:spacing w:before="147" w:line="221" w:lineRule="auto"/>
        <w:ind w:right="11"/>
        <w:jc w:val="right"/>
        <w:rPr>
          <w:rFonts w:ascii="宋体" w:hAnsi="宋体" w:eastAsia="宋体" w:cs="宋体"/>
          <w:sz w:val="21"/>
          <w:szCs w:val="21"/>
        </w:rPr>
      </w:pPr>
      <w:r>
        <w:rPr>
          <w:rFonts w:ascii="宋体" w:hAnsi="宋体" w:eastAsia="宋体" w:cs="宋体"/>
          <w:spacing w:val="-4"/>
          <w:sz w:val="21"/>
          <w:szCs w:val="21"/>
        </w:rPr>
        <w:t>（</w:t>
      </w:r>
      <w:r>
        <w:rPr>
          <w:rFonts w:ascii="Times New Roman" w:hAnsi="Times New Roman" w:eastAsia="Times New Roman" w:cs="Times New Roman"/>
          <w:spacing w:val="-4"/>
          <w:sz w:val="21"/>
          <w:szCs w:val="21"/>
        </w:rPr>
        <w:t>3</w:t>
      </w:r>
      <w:r>
        <w:rPr>
          <w:rFonts w:ascii="宋体" w:hAnsi="宋体" w:eastAsia="宋体" w:cs="宋体"/>
          <w:spacing w:val="-4"/>
          <w:sz w:val="21"/>
          <w:szCs w:val="21"/>
        </w:rPr>
        <w:t>）承包人接受索赔处理结果的，索赔款项在当期进度款中进行</w:t>
      </w:r>
      <w:r>
        <w:rPr>
          <w:rFonts w:ascii="宋体" w:hAnsi="宋体" w:eastAsia="宋体" w:cs="宋体"/>
          <w:spacing w:val="-5"/>
          <w:sz w:val="21"/>
          <w:szCs w:val="21"/>
        </w:rPr>
        <w:t>支付；</w:t>
      </w:r>
      <w:r>
        <w:rPr>
          <w:rFonts w:ascii="宋体" w:hAnsi="宋体" w:eastAsia="宋体" w:cs="宋体"/>
          <w:spacing w:val="53"/>
          <w:sz w:val="21"/>
          <w:szCs w:val="21"/>
        </w:rPr>
        <w:t xml:space="preserve"> </w:t>
      </w:r>
      <w:r>
        <w:rPr>
          <w:rFonts w:ascii="宋体" w:hAnsi="宋体" w:eastAsia="宋体" w:cs="宋体"/>
          <w:spacing w:val="-5"/>
          <w:sz w:val="21"/>
          <w:szCs w:val="21"/>
        </w:rPr>
        <w:t>承包人不接受</w:t>
      </w:r>
    </w:p>
    <w:p w14:paraId="7A240D6A">
      <w:pPr>
        <w:spacing w:before="151" w:line="221" w:lineRule="auto"/>
        <w:ind w:left="22"/>
        <w:rPr>
          <w:rFonts w:ascii="宋体" w:hAnsi="宋体" w:eastAsia="宋体" w:cs="宋体"/>
          <w:sz w:val="21"/>
          <w:szCs w:val="21"/>
        </w:rPr>
      </w:pPr>
      <w:r>
        <w:rPr>
          <w:rFonts w:ascii="宋体" w:hAnsi="宋体" w:eastAsia="宋体" w:cs="宋体"/>
          <w:spacing w:val="-2"/>
          <w:sz w:val="21"/>
          <w:szCs w:val="21"/>
        </w:rPr>
        <w:t>索赔处理结果的，按照第</w:t>
      </w:r>
      <w:r>
        <w:rPr>
          <w:rFonts w:ascii="宋体" w:hAnsi="宋体" w:eastAsia="宋体" w:cs="宋体"/>
          <w:spacing w:val="-36"/>
          <w:sz w:val="21"/>
          <w:szCs w:val="21"/>
        </w:rPr>
        <w:t xml:space="preserve"> </w:t>
      </w:r>
      <w:r>
        <w:rPr>
          <w:rFonts w:ascii="Times New Roman" w:hAnsi="Times New Roman" w:eastAsia="Times New Roman" w:cs="Times New Roman"/>
          <w:spacing w:val="-2"/>
          <w:sz w:val="21"/>
          <w:szCs w:val="21"/>
        </w:rPr>
        <w:t xml:space="preserve">20 </w:t>
      </w:r>
      <w:r>
        <w:rPr>
          <w:rFonts w:ascii="宋体" w:hAnsi="宋体" w:eastAsia="宋体" w:cs="宋体"/>
          <w:spacing w:val="-2"/>
          <w:sz w:val="21"/>
          <w:szCs w:val="21"/>
        </w:rPr>
        <w:t>条〔争议解决〕约定处理。</w:t>
      </w:r>
    </w:p>
    <w:p w14:paraId="281FE5C0">
      <w:pPr>
        <w:spacing w:before="46" w:line="218" w:lineRule="auto"/>
        <w:ind w:left="31"/>
        <w:rPr>
          <w:rFonts w:ascii="黑体" w:hAnsi="黑体" w:eastAsia="黑体" w:cs="黑体"/>
          <w:sz w:val="24"/>
          <w:szCs w:val="24"/>
        </w:rPr>
      </w:pPr>
      <w:r>
        <w:rPr>
          <w:rFonts w:ascii="黑体" w:hAnsi="黑体" w:eastAsia="黑体" w:cs="黑体"/>
          <w:spacing w:val="-4"/>
          <w:sz w:val="24"/>
          <w:szCs w:val="24"/>
        </w:rPr>
        <w:t>19.3</w:t>
      </w:r>
      <w:r>
        <w:rPr>
          <w:rFonts w:ascii="黑体" w:hAnsi="黑体" w:eastAsia="黑体" w:cs="黑体"/>
          <w:spacing w:val="-43"/>
          <w:sz w:val="24"/>
          <w:szCs w:val="24"/>
        </w:rPr>
        <w:t xml:space="preserve"> </w:t>
      </w:r>
      <w:r>
        <w:rPr>
          <w:rFonts w:ascii="黑体" w:hAnsi="黑体" w:eastAsia="黑体" w:cs="黑体"/>
          <w:spacing w:val="-4"/>
          <w:sz w:val="24"/>
          <w:szCs w:val="24"/>
        </w:rPr>
        <w:t>发包人的索赔</w:t>
      </w:r>
    </w:p>
    <w:p w14:paraId="5C4A0EAF">
      <w:pPr>
        <w:spacing w:before="130" w:line="398" w:lineRule="exact"/>
        <w:ind w:right="6"/>
        <w:jc w:val="right"/>
        <w:rPr>
          <w:rFonts w:ascii="宋体" w:hAnsi="宋体" w:eastAsia="宋体" w:cs="宋体"/>
          <w:sz w:val="21"/>
          <w:szCs w:val="21"/>
        </w:rPr>
      </w:pPr>
      <w:r>
        <w:rPr>
          <w:rFonts w:ascii="宋体" w:hAnsi="宋体" w:eastAsia="宋体" w:cs="宋体"/>
          <w:spacing w:val="-5"/>
          <w:position w:val="14"/>
          <w:sz w:val="21"/>
          <w:szCs w:val="21"/>
        </w:rPr>
        <w:t>根据合同约定， 发包人认为有权得到赔付金额和（或） 延长缺陷责任期的， 监理人应</w:t>
      </w:r>
    </w:p>
    <w:p w14:paraId="32DE585E">
      <w:pPr>
        <w:spacing w:before="1" w:line="219" w:lineRule="auto"/>
        <w:ind w:left="39"/>
        <w:rPr>
          <w:rFonts w:ascii="宋体" w:hAnsi="宋体" w:eastAsia="宋体" w:cs="宋体"/>
          <w:sz w:val="21"/>
          <w:szCs w:val="21"/>
        </w:rPr>
      </w:pPr>
      <w:r>
        <w:rPr>
          <w:rFonts w:ascii="宋体" w:hAnsi="宋体" w:eastAsia="宋体" w:cs="宋体"/>
          <w:spacing w:val="-3"/>
          <w:sz w:val="21"/>
          <w:szCs w:val="21"/>
        </w:rPr>
        <w:t>向承包人发出通知并附有详细的证明。</w:t>
      </w:r>
    </w:p>
    <w:p w14:paraId="37C6273D">
      <w:pPr>
        <w:spacing w:before="154" w:line="350" w:lineRule="auto"/>
        <w:ind w:left="18" w:right="2" w:firstLine="426"/>
        <w:rPr>
          <w:rFonts w:ascii="宋体" w:hAnsi="宋体" w:eastAsia="宋体" w:cs="宋体"/>
          <w:sz w:val="21"/>
          <w:szCs w:val="21"/>
        </w:rPr>
      </w:pPr>
      <w:r>
        <w:rPr>
          <w:rFonts w:ascii="宋体" w:hAnsi="宋体" w:eastAsia="宋体" w:cs="宋体"/>
          <w:sz w:val="21"/>
          <w:szCs w:val="21"/>
        </w:rPr>
        <w:t>发包人应在知道或应当知道索赔事件发生后</w:t>
      </w:r>
      <w:r>
        <w:rPr>
          <w:rFonts w:ascii="宋体" w:hAnsi="宋体" w:eastAsia="宋体" w:cs="宋体"/>
          <w:spacing w:val="-31"/>
          <w:sz w:val="21"/>
          <w:szCs w:val="21"/>
        </w:rPr>
        <w:t xml:space="preserve"> </w:t>
      </w:r>
      <w:r>
        <w:rPr>
          <w:rFonts w:ascii="Times New Roman" w:hAnsi="Times New Roman" w:eastAsia="Times New Roman" w:cs="Times New Roman"/>
          <w:sz w:val="21"/>
          <w:szCs w:val="21"/>
        </w:rPr>
        <w:t xml:space="preserve">28 </w:t>
      </w:r>
      <w:r>
        <w:rPr>
          <w:rFonts w:ascii="宋体" w:hAnsi="宋体" w:eastAsia="宋体" w:cs="宋体"/>
          <w:sz w:val="21"/>
          <w:szCs w:val="21"/>
        </w:rPr>
        <w:t>天内通过监</w:t>
      </w:r>
      <w:r>
        <w:rPr>
          <w:rFonts w:ascii="宋体" w:hAnsi="宋体" w:eastAsia="宋体" w:cs="宋体"/>
          <w:spacing w:val="-1"/>
          <w:sz w:val="21"/>
          <w:szCs w:val="21"/>
        </w:rPr>
        <w:t>理人向承包人提出索赔意向</w:t>
      </w:r>
      <w:r>
        <w:rPr>
          <w:rFonts w:ascii="宋体" w:hAnsi="宋体" w:eastAsia="宋体" w:cs="宋体"/>
          <w:sz w:val="21"/>
          <w:szCs w:val="21"/>
        </w:rPr>
        <w:t xml:space="preserve"> 通知书，发包人未在前述</w:t>
      </w:r>
      <w:r>
        <w:rPr>
          <w:rFonts w:ascii="宋体" w:hAnsi="宋体" w:eastAsia="宋体" w:cs="宋体"/>
          <w:spacing w:val="-32"/>
          <w:sz w:val="21"/>
          <w:szCs w:val="21"/>
        </w:rPr>
        <w:t xml:space="preserve"> </w:t>
      </w:r>
      <w:r>
        <w:rPr>
          <w:rFonts w:ascii="Times New Roman" w:hAnsi="Times New Roman" w:eastAsia="Times New Roman" w:cs="Times New Roman"/>
          <w:sz w:val="21"/>
          <w:szCs w:val="21"/>
        </w:rPr>
        <w:t>28</w:t>
      </w:r>
      <w:r>
        <w:rPr>
          <w:rFonts w:ascii="Times New Roman" w:hAnsi="Times New Roman" w:eastAsia="Times New Roman" w:cs="Times New Roman"/>
          <w:spacing w:val="13"/>
          <w:w w:val="101"/>
          <w:sz w:val="21"/>
          <w:szCs w:val="21"/>
        </w:rPr>
        <w:t xml:space="preserve"> </w:t>
      </w:r>
      <w:r>
        <w:rPr>
          <w:rFonts w:ascii="宋体" w:hAnsi="宋体" w:eastAsia="宋体" w:cs="宋体"/>
          <w:sz w:val="21"/>
          <w:szCs w:val="21"/>
        </w:rPr>
        <w:t>天内发出索赔意向</w:t>
      </w:r>
      <w:r>
        <w:rPr>
          <w:rFonts w:ascii="宋体" w:hAnsi="宋体" w:eastAsia="宋体" w:cs="宋体"/>
          <w:spacing w:val="-1"/>
          <w:sz w:val="21"/>
          <w:szCs w:val="21"/>
        </w:rPr>
        <w:t>通知书的，丧失要求赔付金额和（或）延长</w:t>
      </w:r>
    </w:p>
    <w:p w14:paraId="318605C8">
      <w:pPr>
        <w:spacing w:before="1" w:line="219" w:lineRule="auto"/>
        <w:ind w:left="18"/>
        <w:rPr>
          <w:rFonts w:ascii="宋体" w:hAnsi="宋体" w:eastAsia="宋体" w:cs="宋体"/>
          <w:sz w:val="21"/>
          <w:szCs w:val="21"/>
        </w:rPr>
      </w:pPr>
      <w:r>
        <w:rPr>
          <w:rFonts w:ascii="宋体" w:hAnsi="宋体" w:eastAsia="宋体" w:cs="宋体"/>
          <w:sz w:val="21"/>
          <w:szCs w:val="21"/>
        </w:rPr>
        <w:t>缺陷责任期的权利。发包人应在发出索赔意向通知书后</w:t>
      </w:r>
      <w:r>
        <w:rPr>
          <w:rFonts w:ascii="宋体" w:hAnsi="宋体" w:eastAsia="宋体" w:cs="宋体"/>
          <w:spacing w:val="-31"/>
          <w:sz w:val="21"/>
          <w:szCs w:val="21"/>
        </w:rPr>
        <w:t xml:space="preserve"> </w:t>
      </w:r>
      <w:r>
        <w:rPr>
          <w:rFonts w:ascii="Times New Roman" w:hAnsi="Times New Roman" w:eastAsia="Times New Roman" w:cs="Times New Roman"/>
          <w:sz w:val="21"/>
          <w:szCs w:val="21"/>
        </w:rPr>
        <w:t xml:space="preserve">28 </w:t>
      </w:r>
      <w:r>
        <w:rPr>
          <w:rFonts w:ascii="宋体" w:hAnsi="宋体" w:eastAsia="宋体" w:cs="宋体"/>
          <w:sz w:val="21"/>
          <w:szCs w:val="21"/>
        </w:rPr>
        <w:t>天内，通过监理</w:t>
      </w:r>
      <w:r>
        <w:rPr>
          <w:rFonts w:ascii="宋体" w:hAnsi="宋体" w:eastAsia="宋体" w:cs="宋体"/>
          <w:spacing w:val="-1"/>
          <w:sz w:val="21"/>
          <w:szCs w:val="21"/>
        </w:rPr>
        <w:t>人向承包人正式</w:t>
      </w:r>
    </w:p>
    <w:p w14:paraId="194CA759">
      <w:pPr>
        <w:spacing w:before="154" w:line="219" w:lineRule="auto"/>
        <w:ind w:left="19"/>
        <w:rPr>
          <w:rFonts w:ascii="宋体" w:hAnsi="宋体" w:eastAsia="宋体" w:cs="宋体"/>
          <w:sz w:val="21"/>
          <w:szCs w:val="21"/>
        </w:rPr>
      </w:pPr>
      <w:r>
        <w:rPr>
          <w:rFonts w:ascii="宋体" w:hAnsi="宋体" w:eastAsia="宋体" w:cs="宋体"/>
          <w:spacing w:val="-3"/>
          <w:sz w:val="21"/>
          <w:szCs w:val="21"/>
        </w:rPr>
        <w:t>递交索赔报告。</w:t>
      </w:r>
    </w:p>
    <w:p w14:paraId="4620883E">
      <w:pPr>
        <w:spacing w:before="48" w:line="413" w:lineRule="exact"/>
        <w:ind w:left="31"/>
        <w:rPr>
          <w:rFonts w:ascii="黑体" w:hAnsi="黑体" w:eastAsia="黑体" w:cs="黑体"/>
          <w:sz w:val="24"/>
          <w:szCs w:val="24"/>
        </w:rPr>
      </w:pPr>
      <w:r>
        <w:rPr>
          <w:rFonts w:ascii="黑体" w:hAnsi="黑体" w:eastAsia="黑体" w:cs="黑体"/>
          <w:spacing w:val="-2"/>
          <w:position w:val="12"/>
          <w:sz w:val="24"/>
          <w:szCs w:val="24"/>
        </w:rPr>
        <w:t>19.4 对发包人索赔的处理</w:t>
      </w:r>
    </w:p>
    <w:p w14:paraId="4C5A1168">
      <w:pPr>
        <w:spacing w:before="1" w:line="220" w:lineRule="auto"/>
        <w:ind w:left="440"/>
        <w:rPr>
          <w:rFonts w:ascii="宋体" w:hAnsi="宋体" w:eastAsia="宋体" w:cs="宋体"/>
          <w:sz w:val="21"/>
          <w:szCs w:val="21"/>
        </w:rPr>
      </w:pPr>
      <w:r>
        <w:rPr>
          <w:rFonts w:ascii="宋体" w:hAnsi="宋体" w:eastAsia="宋体" w:cs="宋体"/>
          <w:spacing w:val="-3"/>
          <w:sz w:val="21"/>
          <w:szCs w:val="21"/>
        </w:rPr>
        <w:t>对发包人索赔的处理如下：</w:t>
      </w:r>
    </w:p>
    <w:p w14:paraId="1B69ED36">
      <w:pPr>
        <w:spacing w:before="147" w:line="399" w:lineRule="exact"/>
        <w:ind w:right="12"/>
        <w:jc w:val="right"/>
        <w:rPr>
          <w:rFonts w:ascii="宋体" w:hAnsi="宋体" w:eastAsia="宋体" w:cs="宋体"/>
          <w:sz w:val="21"/>
          <w:szCs w:val="21"/>
        </w:rPr>
      </w:pPr>
      <w:r>
        <w:rPr>
          <w:rFonts w:ascii="宋体" w:hAnsi="宋体" w:eastAsia="宋体" w:cs="宋体"/>
          <w:position w:val="14"/>
          <w:sz w:val="21"/>
          <w:szCs w:val="21"/>
        </w:rPr>
        <w:t>（</w:t>
      </w:r>
      <w:r>
        <w:rPr>
          <w:rFonts w:ascii="Times New Roman" w:hAnsi="Times New Roman" w:eastAsia="Times New Roman" w:cs="Times New Roman"/>
          <w:position w:val="14"/>
          <w:sz w:val="21"/>
          <w:szCs w:val="21"/>
        </w:rPr>
        <w:t>1</w:t>
      </w:r>
      <w:r>
        <w:rPr>
          <w:rFonts w:ascii="宋体" w:hAnsi="宋体" w:eastAsia="宋体" w:cs="宋体"/>
          <w:position w:val="14"/>
          <w:sz w:val="21"/>
          <w:szCs w:val="21"/>
        </w:rPr>
        <w:t>）承包人收到发包人提交的索赔报告后，应及时审查索赔报告的内容、查验</w:t>
      </w:r>
      <w:r>
        <w:rPr>
          <w:rFonts w:ascii="宋体" w:hAnsi="宋体" w:eastAsia="宋体" w:cs="宋体"/>
          <w:spacing w:val="-1"/>
          <w:position w:val="14"/>
          <w:sz w:val="21"/>
          <w:szCs w:val="21"/>
        </w:rPr>
        <w:t>发包人</w:t>
      </w:r>
    </w:p>
    <w:p w14:paraId="71F82C91">
      <w:pPr>
        <w:spacing w:before="1" w:line="219" w:lineRule="auto"/>
        <w:ind w:left="18"/>
        <w:rPr>
          <w:rFonts w:ascii="宋体" w:hAnsi="宋体" w:eastAsia="宋体" w:cs="宋体"/>
          <w:sz w:val="21"/>
          <w:szCs w:val="21"/>
        </w:rPr>
      </w:pPr>
      <w:r>
        <w:rPr>
          <w:rFonts w:ascii="宋体" w:hAnsi="宋体" w:eastAsia="宋体" w:cs="宋体"/>
          <w:spacing w:val="-9"/>
          <w:sz w:val="21"/>
          <w:szCs w:val="21"/>
        </w:rPr>
        <w:t>证明材料；</w:t>
      </w:r>
    </w:p>
    <w:p w14:paraId="2EE1AE83">
      <w:pPr>
        <w:spacing w:before="154" w:line="350" w:lineRule="auto"/>
        <w:ind w:left="23" w:right="1" w:firstLine="424"/>
        <w:rPr>
          <w:rFonts w:ascii="宋体" w:hAnsi="宋体" w:eastAsia="宋体" w:cs="宋体"/>
          <w:sz w:val="21"/>
          <w:szCs w:val="21"/>
        </w:rPr>
      </w:pPr>
      <w:r>
        <w:rPr>
          <w:rFonts w:ascii="宋体" w:hAnsi="宋体" w:eastAsia="宋体" w:cs="宋体"/>
          <w:sz w:val="21"/>
          <w:szCs w:val="21"/>
        </w:rPr>
        <w:t>（</w:t>
      </w:r>
      <w:r>
        <w:rPr>
          <w:rFonts w:ascii="Times New Roman" w:hAnsi="Times New Roman" w:eastAsia="Times New Roman" w:cs="Times New Roman"/>
          <w:sz w:val="21"/>
          <w:szCs w:val="21"/>
        </w:rPr>
        <w:t>2</w:t>
      </w:r>
      <w:r>
        <w:rPr>
          <w:rFonts w:ascii="宋体" w:hAnsi="宋体" w:eastAsia="宋体" w:cs="宋体"/>
          <w:sz w:val="21"/>
          <w:szCs w:val="21"/>
        </w:rPr>
        <w:t xml:space="preserve">）承包人应在收到索赔报告或有关索赔的进一步证明材料后 </w:t>
      </w:r>
      <w:r>
        <w:rPr>
          <w:rFonts w:ascii="Times New Roman" w:hAnsi="Times New Roman" w:eastAsia="Times New Roman" w:cs="Times New Roman"/>
          <w:sz w:val="21"/>
          <w:szCs w:val="21"/>
        </w:rPr>
        <w:t xml:space="preserve">28  </w:t>
      </w:r>
      <w:r>
        <w:rPr>
          <w:rFonts w:ascii="宋体" w:hAnsi="宋体" w:eastAsia="宋体" w:cs="宋体"/>
          <w:sz w:val="21"/>
          <w:szCs w:val="21"/>
        </w:rPr>
        <w:t>天内，将索赔处理</w:t>
      </w:r>
      <w:r>
        <w:rPr>
          <w:rFonts w:ascii="宋体" w:hAnsi="宋体" w:eastAsia="宋体" w:cs="宋体"/>
          <w:spacing w:val="7"/>
          <w:sz w:val="21"/>
          <w:szCs w:val="21"/>
        </w:rPr>
        <w:t xml:space="preserve"> </w:t>
      </w:r>
      <w:r>
        <w:rPr>
          <w:rFonts w:ascii="宋体" w:hAnsi="宋体" w:eastAsia="宋体" w:cs="宋体"/>
          <w:sz w:val="21"/>
          <w:szCs w:val="21"/>
        </w:rPr>
        <w:t>结果答复发包人。如果承包人未在上述期限内作出答复的， 则视为对发包人索赔要求的认</w:t>
      </w:r>
    </w:p>
    <w:p w14:paraId="7293C9B0">
      <w:pPr>
        <w:spacing w:before="1" w:line="222" w:lineRule="auto"/>
        <w:ind w:left="20"/>
        <w:rPr>
          <w:rFonts w:ascii="宋体" w:hAnsi="宋体" w:eastAsia="宋体" w:cs="宋体"/>
          <w:sz w:val="21"/>
          <w:szCs w:val="21"/>
        </w:rPr>
      </w:pPr>
      <w:r>
        <w:rPr>
          <w:rFonts w:ascii="宋体" w:hAnsi="宋体" w:eastAsia="宋体" w:cs="宋体"/>
          <w:spacing w:val="-15"/>
          <w:sz w:val="21"/>
          <w:szCs w:val="21"/>
        </w:rPr>
        <w:t>可；</w:t>
      </w:r>
    </w:p>
    <w:p w14:paraId="3D224EB9">
      <w:pPr>
        <w:spacing w:before="149" w:line="399" w:lineRule="exact"/>
        <w:ind w:right="11"/>
        <w:jc w:val="right"/>
        <w:rPr>
          <w:rFonts w:ascii="宋体" w:hAnsi="宋体" w:eastAsia="宋体" w:cs="宋体"/>
          <w:sz w:val="21"/>
          <w:szCs w:val="21"/>
        </w:rPr>
      </w:pPr>
      <w:r>
        <w:rPr>
          <w:rFonts w:ascii="宋体" w:hAnsi="宋体" w:eastAsia="宋体" w:cs="宋体"/>
          <w:position w:val="14"/>
          <w:sz w:val="21"/>
          <w:szCs w:val="21"/>
        </w:rPr>
        <w:t>（</w:t>
      </w:r>
      <w:r>
        <w:rPr>
          <w:rFonts w:ascii="Times New Roman" w:hAnsi="Times New Roman" w:eastAsia="Times New Roman" w:cs="Times New Roman"/>
          <w:position w:val="14"/>
          <w:sz w:val="21"/>
          <w:szCs w:val="21"/>
        </w:rPr>
        <w:t>3</w:t>
      </w:r>
      <w:r>
        <w:rPr>
          <w:rFonts w:ascii="宋体" w:hAnsi="宋体" w:eastAsia="宋体" w:cs="宋体"/>
          <w:position w:val="14"/>
          <w:sz w:val="21"/>
          <w:szCs w:val="21"/>
        </w:rPr>
        <w:t>）承包人接受索赔处理结果的，发包人可从应支付给承包人的合同价款中扣</w:t>
      </w:r>
      <w:r>
        <w:rPr>
          <w:rFonts w:ascii="宋体" w:hAnsi="宋体" w:eastAsia="宋体" w:cs="宋体"/>
          <w:spacing w:val="-1"/>
          <w:position w:val="14"/>
          <w:sz w:val="21"/>
          <w:szCs w:val="21"/>
        </w:rPr>
        <w:t>除赔付</w:t>
      </w:r>
    </w:p>
    <w:p w14:paraId="4E46D21B">
      <w:pPr>
        <w:spacing w:before="1" w:line="220" w:lineRule="auto"/>
        <w:ind w:right="2"/>
        <w:jc w:val="right"/>
        <w:rPr>
          <w:rFonts w:ascii="宋体" w:hAnsi="宋体" w:eastAsia="宋体" w:cs="宋体"/>
          <w:sz w:val="21"/>
          <w:szCs w:val="21"/>
        </w:rPr>
      </w:pPr>
      <w:r>
        <w:rPr>
          <w:rFonts w:ascii="宋体" w:hAnsi="宋体" w:eastAsia="宋体" w:cs="宋体"/>
          <w:spacing w:val="-1"/>
          <w:sz w:val="21"/>
          <w:szCs w:val="21"/>
        </w:rPr>
        <w:t>的金额或延长缺陷责任期；发包人不接受索赔处理结果的，按第</w:t>
      </w:r>
      <w:r>
        <w:rPr>
          <w:rFonts w:ascii="宋体" w:hAnsi="宋体" w:eastAsia="宋体" w:cs="宋体"/>
          <w:spacing w:val="-13"/>
          <w:sz w:val="21"/>
          <w:szCs w:val="21"/>
        </w:rPr>
        <w:t xml:space="preserve"> </w:t>
      </w:r>
      <w:r>
        <w:rPr>
          <w:rFonts w:ascii="Times New Roman" w:hAnsi="Times New Roman" w:eastAsia="Times New Roman" w:cs="Times New Roman"/>
          <w:spacing w:val="-1"/>
          <w:sz w:val="21"/>
          <w:szCs w:val="21"/>
        </w:rPr>
        <w:t xml:space="preserve">20 </w:t>
      </w:r>
      <w:r>
        <w:rPr>
          <w:rFonts w:ascii="宋体" w:hAnsi="宋体" w:eastAsia="宋体" w:cs="宋体"/>
          <w:spacing w:val="-1"/>
          <w:sz w:val="21"/>
          <w:szCs w:val="21"/>
        </w:rPr>
        <w:t>条〔争议解决〕约定处</w:t>
      </w:r>
    </w:p>
    <w:p w14:paraId="28475CE9">
      <w:pPr>
        <w:spacing w:before="147" w:line="231" w:lineRule="auto"/>
        <w:ind w:left="20"/>
        <w:rPr>
          <w:rFonts w:ascii="宋体" w:hAnsi="宋体" w:eastAsia="宋体" w:cs="宋体"/>
          <w:sz w:val="21"/>
          <w:szCs w:val="21"/>
        </w:rPr>
      </w:pPr>
      <w:r>
        <w:rPr>
          <w:rFonts w:ascii="宋体" w:hAnsi="宋体" w:eastAsia="宋体" w:cs="宋体"/>
          <w:spacing w:val="-10"/>
          <w:sz w:val="21"/>
          <w:szCs w:val="21"/>
        </w:rPr>
        <w:t>理。</w:t>
      </w:r>
    </w:p>
    <w:p w14:paraId="6989248D">
      <w:pPr>
        <w:spacing w:before="39" w:line="219" w:lineRule="auto"/>
        <w:ind w:left="31"/>
        <w:rPr>
          <w:rFonts w:ascii="黑体" w:hAnsi="黑体" w:eastAsia="黑体" w:cs="黑体"/>
          <w:sz w:val="24"/>
          <w:szCs w:val="24"/>
        </w:rPr>
      </w:pPr>
      <w:r>
        <w:rPr>
          <w:rFonts w:ascii="黑体" w:hAnsi="黑体" w:eastAsia="黑体" w:cs="黑体"/>
          <w:spacing w:val="-2"/>
          <w:sz w:val="24"/>
          <w:szCs w:val="24"/>
        </w:rPr>
        <w:t>19.5 提出索赔的期限</w:t>
      </w:r>
    </w:p>
    <w:p w14:paraId="12F3710F">
      <w:pPr>
        <w:spacing w:before="129" w:line="398" w:lineRule="exact"/>
        <w:ind w:right="1"/>
        <w:jc w:val="right"/>
        <w:rPr>
          <w:rFonts w:ascii="宋体" w:hAnsi="宋体" w:eastAsia="宋体" w:cs="宋体"/>
          <w:sz w:val="21"/>
          <w:szCs w:val="21"/>
        </w:rPr>
      </w:pPr>
      <w:r>
        <w:rPr>
          <w:rFonts w:ascii="宋体" w:hAnsi="宋体" w:eastAsia="宋体" w:cs="宋体"/>
          <w:spacing w:val="-1"/>
          <w:position w:val="14"/>
          <w:sz w:val="21"/>
          <w:szCs w:val="21"/>
        </w:rPr>
        <w:t>（</w:t>
      </w:r>
      <w:r>
        <w:rPr>
          <w:rFonts w:ascii="Times New Roman" w:hAnsi="Times New Roman" w:eastAsia="Times New Roman" w:cs="Times New Roman"/>
          <w:spacing w:val="-1"/>
          <w:position w:val="14"/>
          <w:sz w:val="21"/>
          <w:szCs w:val="21"/>
        </w:rPr>
        <w:t>1</w:t>
      </w:r>
      <w:r>
        <w:rPr>
          <w:rFonts w:ascii="宋体" w:hAnsi="宋体" w:eastAsia="宋体" w:cs="宋体"/>
          <w:spacing w:val="-1"/>
          <w:position w:val="14"/>
          <w:sz w:val="21"/>
          <w:szCs w:val="21"/>
        </w:rPr>
        <w:t>）承包人按第</w:t>
      </w:r>
      <w:r>
        <w:rPr>
          <w:rFonts w:ascii="宋体" w:hAnsi="宋体" w:eastAsia="宋体" w:cs="宋体"/>
          <w:spacing w:val="-41"/>
          <w:position w:val="14"/>
          <w:sz w:val="21"/>
          <w:szCs w:val="21"/>
        </w:rPr>
        <w:t xml:space="preserve"> </w:t>
      </w:r>
      <w:r>
        <w:rPr>
          <w:rFonts w:ascii="Times New Roman" w:hAnsi="Times New Roman" w:eastAsia="Times New Roman" w:cs="Times New Roman"/>
          <w:spacing w:val="-1"/>
          <w:position w:val="14"/>
          <w:sz w:val="21"/>
          <w:szCs w:val="21"/>
        </w:rPr>
        <w:t>14.2</w:t>
      </w:r>
      <w:r>
        <w:rPr>
          <w:rFonts w:ascii="Times New Roman" w:hAnsi="Times New Roman" w:eastAsia="Times New Roman" w:cs="Times New Roman"/>
          <w:spacing w:val="-15"/>
          <w:position w:val="14"/>
          <w:sz w:val="21"/>
          <w:szCs w:val="21"/>
        </w:rPr>
        <w:t xml:space="preserve"> </w:t>
      </w:r>
      <w:r>
        <w:rPr>
          <w:rFonts w:ascii="宋体" w:hAnsi="宋体" w:eastAsia="宋体" w:cs="宋体"/>
          <w:spacing w:val="-1"/>
          <w:position w:val="14"/>
          <w:sz w:val="21"/>
          <w:szCs w:val="21"/>
        </w:rPr>
        <w:t>款〔竣工结算审核〕约定接收竣工付款证书后，应被视为已</w:t>
      </w:r>
      <w:r>
        <w:rPr>
          <w:rFonts w:ascii="宋体" w:hAnsi="宋体" w:eastAsia="宋体" w:cs="宋体"/>
          <w:spacing w:val="-2"/>
          <w:position w:val="14"/>
          <w:sz w:val="21"/>
          <w:szCs w:val="21"/>
        </w:rPr>
        <w:t>无权</w:t>
      </w:r>
    </w:p>
    <w:p w14:paraId="6FF346FD">
      <w:pPr>
        <w:spacing w:before="1" w:line="219" w:lineRule="auto"/>
        <w:ind w:left="20"/>
        <w:rPr>
          <w:rFonts w:ascii="宋体" w:hAnsi="宋体" w:eastAsia="宋体" w:cs="宋体"/>
          <w:sz w:val="21"/>
          <w:szCs w:val="21"/>
        </w:rPr>
      </w:pPr>
      <w:r>
        <w:rPr>
          <w:rFonts w:ascii="宋体" w:hAnsi="宋体" w:eastAsia="宋体" w:cs="宋体"/>
          <w:spacing w:val="-1"/>
          <w:sz w:val="21"/>
          <w:szCs w:val="21"/>
        </w:rPr>
        <w:t>再提出在工程接收证书颁发前所发生的任何索赔。</w:t>
      </w:r>
    </w:p>
    <w:p w14:paraId="129FDFF1">
      <w:pPr>
        <w:spacing w:before="149" w:line="404" w:lineRule="exact"/>
        <w:ind w:right="1"/>
        <w:jc w:val="right"/>
        <w:rPr>
          <w:rFonts w:ascii="宋体" w:hAnsi="宋体" w:eastAsia="宋体" w:cs="宋体"/>
          <w:sz w:val="21"/>
          <w:szCs w:val="21"/>
        </w:rPr>
      </w:pPr>
      <w:r>
        <w:rPr>
          <w:rFonts w:ascii="宋体" w:hAnsi="宋体" w:eastAsia="宋体" w:cs="宋体"/>
          <w:spacing w:val="-1"/>
          <w:position w:val="14"/>
          <w:sz w:val="21"/>
          <w:szCs w:val="21"/>
        </w:rPr>
        <w:t>（</w:t>
      </w:r>
      <w:r>
        <w:rPr>
          <w:rFonts w:ascii="Times New Roman" w:hAnsi="Times New Roman" w:eastAsia="Times New Roman" w:cs="Times New Roman"/>
          <w:spacing w:val="-1"/>
          <w:position w:val="14"/>
          <w:sz w:val="21"/>
          <w:szCs w:val="21"/>
        </w:rPr>
        <w:t>2</w:t>
      </w:r>
      <w:r>
        <w:rPr>
          <w:rFonts w:ascii="宋体" w:hAnsi="宋体" w:eastAsia="宋体" w:cs="宋体"/>
          <w:spacing w:val="-1"/>
          <w:position w:val="14"/>
          <w:sz w:val="21"/>
          <w:szCs w:val="21"/>
        </w:rPr>
        <w:t>）承包人按第</w:t>
      </w:r>
      <w:r>
        <w:rPr>
          <w:rFonts w:ascii="宋体" w:hAnsi="宋体" w:eastAsia="宋体" w:cs="宋体"/>
          <w:spacing w:val="-41"/>
          <w:position w:val="14"/>
          <w:sz w:val="21"/>
          <w:szCs w:val="21"/>
        </w:rPr>
        <w:t xml:space="preserve"> </w:t>
      </w:r>
      <w:r>
        <w:rPr>
          <w:rFonts w:ascii="Times New Roman" w:hAnsi="Times New Roman" w:eastAsia="Times New Roman" w:cs="Times New Roman"/>
          <w:spacing w:val="-1"/>
          <w:position w:val="14"/>
          <w:sz w:val="21"/>
          <w:szCs w:val="21"/>
        </w:rPr>
        <w:t>14.4</w:t>
      </w:r>
      <w:r>
        <w:rPr>
          <w:rFonts w:ascii="Times New Roman" w:hAnsi="Times New Roman" w:eastAsia="Times New Roman" w:cs="Times New Roman"/>
          <w:spacing w:val="-15"/>
          <w:position w:val="14"/>
          <w:sz w:val="21"/>
          <w:szCs w:val="21"/>
        </w:rPr>
        <w:t xml:space="preserve"> </w:t>
      </w:r>
      <w:r>
        <w:rPr>
          <w:rFonts w:ascii="宋体" w:hAnsi="宋体" w:eastAsia="宋体" w:cs="宋体"/>
          <w:spacing w:val="-1"/>
          <w:position w:val="14"/>
          <w:sz w:val="21"/>
          <w:szCs w:val="21"/>
        </w:rPr>
        <w:t>款〔最终结清〕提交的最终结清申请单中，只限于提出工程</w:t>
      </w:r>
      <w:r>
        <w:rPr>
          <w:rFonts w:ascii="宋体" w:hAnsi="宋体" w:eastAsia="宋体" w:cs="宋体"/>
          <w:spacing w:val="-2"/>
          <w:position w:val="14"/>
          <w:sz w:val="21"/>
          <w:szCs w:val="21"/>
        </w:rPr>
        <w:t>接收</w:t>
      </w:r>
    </w:p>
    <w:p w14:paraId="77F80ECE">
      <w:pPr>
        <w:spacing w:line="219" w:lineRule="auto"/>
        <w:ind w:left="18"/>
        <w:rPr>
          <w:rFonts w:ascii="宋体" w:hAnsi="宋体" w:eastAsia="宋体" w:cs="宋体"/>
          <w:sz w:val="21"/>
          <w:szCs w:val="21"/>
        </w:rPr>
      </w:pPr>
      <w:r>
        <w:rPr>
          <w:rFonts w:ascii="宋体" w:hAnsi="宋体" w:eastAsia="宋体" w:cs="宋体"/>
          <w:spacing w:val="-1"/>
          <w:sz w:val="21"/>
          <w:szCs w:val="21"/>
        </w:rPr>
        <w:t>证书颁发后发生的索赔。提出索赔的期限自接受最终结清证书时终止。</w:t>
      </w:r>
    </w:p>
    <w:p w14:paraId="21723B54">
      <w:pPr>
        <w:spacing w:before="174" w:line="526" w:lineRule="exact"/>
        <w:ind w:left="20"/>
        <w:rPr>
          <w:rFonts w:ascii="黑体" w:hAnsi="黑体" w:eastAsia="黑体" w:cs="黑体"/>
          <w:sz w:val="32"/>
          <w:szCs w:val="32"/>
        </w:rPr>
      </w:pPr>
      <w:r>
        <w:rPr>
          <w:rFonts w:ascii="黑体" w:hAnsi="黑体" w:eastAsia="黑体" w:cs="黑体"/>
          <w:spacing w:val="-1"/>
          <w:position w:val="14"/>
          <w:sz w:val="32"/>
          <w:szCs w:val="32"/>
        </w:rPr>
        <w:t>20.争议解决</w:t>
      </w:r>
    </w:p>
    <w:p w14:paraId="34871681">
      <w:pPr>
        <w:spacing w:before="1" w:line="219" w:lineRule="auto"/>
        <w:ind w:left="17"/>
        <w:rPr>
          <w:rFonts w:ascii="黑体" w:hAnsi="黑体" w:eastAsia="黑体" w:cs="黑体"/>
          <w:sz w:val="24"/>
          <w:szCs w:val="24"/>
        </w:rPr>
      </w:pPr>
      <w:r>
        <w:rPr>
          <w:rFonts w:ascii="黑体" w:hAnsi="黑体" w:eastAsia="黑体" w:cs="黑体"/>
          <w:spacing w:val="-3"/>
          <w:sz w:val="24"/>
          <w:szCs w:val="24"/>
        </w:rPr>
        <w:t>20.1</w:t>
      </w:r>
      <w:r>
        <w:rPr>
          <w:rFonts w:ascii="黑体" w:hAnsi="黑体" w:eastAsia="黑体" w:cs="黑体"/>
          <w:spacing w:val="-48"/>
          <w:sz w:val="24"/>
          <w:szCs w:val="24"/>
        </w:rPr>
        <w:t xml:space="preserve"> </w:t>
      </w:r>
      <w:r>
        <w:rPr>
          <w:rFonts w:ascii="黑体" w:hAnsi="黑体" w:eastAsia="黑体" w:cs="黑体"/>
          <w:spacing w:val="-3"/>
          <w:sz w:val="24"/>
          <w:szCs w:val="24"/>
        </w:rPr>
        <w:t>和解</w:t>
      </w:r>
    </w:p>
    <w:p w14:paraId="603656E8">
      <w:pPr>
        <w:spacing w:before="128" w:line="220" w:lineRule="auto"/>
        <w:ind w:right="6"/>
        <w:jc w:val="right"/>
        <w:rPr>
          <w:rFonts w:ascii="宋体" w:hAnsi="宋体" w:eastAsia="宋体" w:cs="宋体"/>
          <w:sz w:val="21"/>
          <w:szCs w:val="21"/>
        </w:rPr>
      </w:pPr>
      <w:r>
        <w:rPr>
          <w:rFonts w:ascii="宋体" w:hAnsi="宋体" w:eastAsia="宋体" w:cs="宋体"/>
          <w:spacing w:val="3"/>
          <w:sz w:val="21"/>
          <w:szCs w:val="21"/>
        </w:rPr>
        <w:t>合同当事人可以就争议自行和解，自行和解达成协议的经双方签字并盖章后作为合同</w:t>
      </w:r>
    </w:p>
    <w:p w14:paraId="54FCB9C4">
      <w:pPr>
        <w:spacing w:before="153" w:line="221" w:lineRule="auto"/>
        <w:ind w:left="18"/>
        <w:rPr>
          <w:rFonts w:ascii="宋体" w:hAnsi="宋体" w:eastAsia="宋体" w:cs="宋体"/>
          <w:sz w:val="21"/>
          <w:szCs w:val="21"/>
        </w:rPr>
      </w:pPr>
      <w:r>
        <w:rPr>
          <w:rFonts w:ascii="宋体" w:hAnsi="宋体" w:eastAsia="宋体" w:cs="宋体"/>
          <w:spacing w:val="-12"/>
          <w:sz w:val="21"/>
          <w:szCs w:val="21"/>
        </w:rPr>
        <w:t>补充文件，</w:t>
      </w:r>
      <w:r>
        <w:rPr>
          <w:rFonts w:ascii="宋体" w:hAnsi="宋体" w:eastAsia="宋体" w:cs="宋体"/>
          <w:spacing w:val="59"/>
          <w:sz w:val="21"/>
          <w:szCs w:val="21"/>
        </w:rPr>
        <w:t xml:space="preserve"> </w:t>
      </w:r>
      <w:r>
        <w:rPr>
          <w:rFonts w:ascii="宋体" w:hAnsi="宋体" w:eastAsia="宋体" w:cs="宋体"/>
          <w:spacing w:val="-12"/>
          <w:sz w:val="21"/>
          <w:szCs w:val="21"/>
        </w:rPr>
        <w:t>双方均应遵照执行。</w:t>
      </w:r>
    </w:p>
    <w:p w14:paraId="6CAA0A40">
      <w:pPr>
        <w:spacing w:before="45" w:line="220" w:lineRule="auto"/>
        <w:ind w:left="17"/>
        <w:rPr>
          <w:rFonts w:ascii="黑体" w:hAnsi="黑体" w:eastAsia="黑体" w:cs="黑体"/>
          <w:sz w:val="24"/>
          <w:szCs w:val="24"/>
        </w:rPr>
      </w:pPr>
      <w:r>
        <w:rPr>
          <w:rFonts w:ascii="黑体" w:hAnsi="黑体" w:eastAsia="黑体" w:cs="黑体"/>
          <w:spacing w:val="-3"/>
          <w:sz w:val="24"/>
          <w:szCs w:val="24"/>
        </w:rPr>
        <w:t>20.2</w:t>
      </w:r>
      <w:r>
        <w:rPr>
          <w:rFonts w:ascii="黑体" w:hAnsi="黑体" w:eastAsia="黑体" w:cs="黑体"/>
          <w:spacing w:val="-47"/>
          <w:sz w:val="24"/>
          <w:szCs w:val="24"/>
        </w:rPr>
        <w:t xml:space="preserve"> </w:t>
      </w:r>
      <w:r>
        <w:rPr>
          <w:rFonts w:ascii="黑体" w:hAnsi="黑体" w:eastAsia="黑体" w:cs="黑体"/>
          <w:spacing w:val="-3"/>
          <w:sz w:val="24"/>
          <w:szCs w:val="24"/>
        </w:rPr>
        <w:t>调解</w:t>
      </w:r>
    </w:p>
    <w:p w14:paraId="14EAD13F">
      <w:pPr>
        <w:spacing w:before="128" w:line="399" w:lineRule="exact"/>
        <w:jc w:val="right"/>
        <w:rPr>
          <w:rFonts w:ascii="宋体" w:hAnsi="宋体" w:eastAsia="宋体" w:cs="宋体"/>
          <w:sz w:val="21"/>
          <w:szCs w:val="21"/>
        </w:rPr>
      </w:pPr>
      <w:r>
        <w:rPr>
          <w:rFonts w:ascii="宋体" w:hAnsi="宋体" w:eastAsia="宋体" w:cs="宋体"/>
          <w:spacing w:val="3"/>
          <w:position w:val="14"/>
          <w:sz w:val="21"/>
          <w:szCs w:val="21"/>
        </w:rPr>
        <w:t>合同当事人可以就争议请求建设行政主管部门、行业协会或其他第三方进行调解，调</w:t>
      </w:r>
    </w:p>
    <w:p w14:paraId="7C701208">
      <w:pPr>
        <w:spacing w:before="1" w:line="219" w:lineRule="auto"/>
        <w:ind w:left="17"/>
        <w:rPr>
          <w:rFonts w:ascii="宋体" w:hAnsi="宋体" w:eastAsia="宋体" w:cs="宋体"/>
          <w:sz w:val="21"/>
          <w:szCs w:val="21"/>
        </w:rPr>
      </w:pPr>
      <w:r>
        <w:rPr>
          <w:rFonts w:ascii="宋体" w:hAnsi="宋体" w:eastAsia="宋体" w:cs="宋体"/>
          <w:spacing w:val="-1"/>
          <w:sz w:val="21"/>
          <w:szCs w:val="21"/>
        </w:rPr>
        <w:t>解达成协议的，经双方签字并盖章后作为合同补充文件，双方均应遵照执行。</w:t>
      </w:r>
    </w:p>
    <w:p w14:paraId="484E8AB3">
      <w:pPr>
        <w:spacing w:line="219" w:lineRule="auto"/>
        <w:rPr>
          <w:rFonts w:ascii="宋体" w:hAnsi="宋体" w:eastAsia="宋体" w:cs="宋体"/>
          <w:sz w:val="21"/>
          <w:szCs w:val="21"/>
        </w:rPr>
        <w:sectPr>
          <w:footerReference r:id="rId137" w:type="default"/>
          <w:pgSz w:w="11905" w:h="16839"/>
          <w:pgMar w:top="1431" w:right="1785" w:bottom="1004" w:left="1785" w:header="0" w:footer="828" w:gutter="0"/>
          <w:pgNumType w:fmt="decimal"/>
          <w:cols w:space="720" w:num="1"/>
        </w:sectPr>
      </w:pPr>
    </w:p>
    <w:p w14:paraId="06C6F313">
      <w:pPr>
        <w:spacing w:before="47" w:line="219" w:lineRule="auto"/>
        <w:ind w:left="17"/>
        <w:rPr>
          <w:rFonts w:ascii="黑体" w:hAnsi="黑体" w:eastAsia="黑体" w:cs="黑体"/>
          <w:sz w:val="24"/>
          <w:szCs w:val="24"/>
        </w:rPr>
      </w:pPr>
      <w:r>
        <w:rPr>
          <w:rFonts w:ascii="黑体" w:hAnsi="黑体" w:eastAsia="黑体" w:cs="黑体"/>
          <w:spacing w:val="-3"/>
          <w:sz w:val="24"/>
          <w:szCs w:val="24"/>
        </w:rPr>
        <w:t>20.3</w:t>
      </w:r>
      <w:r>
        <w:rPr>
          <w:rFonts w:ascii="黑体" w:hAnsi="黑体" w:eastAsia="黑体" w:cs="黑体"/>
          <w:spacing w:val="-43"/>
          <w:sz w:val="24"/>
          <w:szCs w:val="24"/>
        </w:rPr>
        <w:t xml:space="preserve"> </w:t>
      </w:r>
      <w:r>
        <w:rPr>
          <w:rFonts w:ascii="黑体" w:hAnsi="黑体" w:eastAsia="黑体" w:cs="黑体"/>
          <w:spacing w:val="-3"/>
          <w:sz w:val="24"/>
          <w:szCs w:val="24"/>
        </w:rPr>
        <w:t>争议评审</w:t>
      </w:r>
    </w:p>
    <w:p w14:paraId="45BAE79E">
      <w:pPr>
        <w:spacing w:before="129" w:line="398" w:lineRule="exact"/>
        <w:ind w:left="442"/>
        <w:rPr>
          <w:rFonts w:ascii="宋体" w:hAnsi="宋体" w:eastAsia="宋体" w:cs="宋体"/>
          <w:sz w:val="21"/>
          <w:szCs w:val="21"/>
        </w:rPr>
      </w:pPr>
      <w:r>
        <w:rPr>
          <w:rFonts w:ascii="宋体" w:hAnsi="宋体" w:eastAsia="宋体" w:cs="宋体"/>
          <w:spacing w:val="3"/>
          <w:position w:val="14"/>
          <w:sz w:val="21"/>
          <w:szCs w:val="21"/>
        </w:rPr>
        <w:t>合同当事人在专用合同条款中约定采取争议评审方式解决争议以及评审规则，并按下</w:t>
      </w:r>
    </w:p>
    <w:p w14:paraId="21247D12">
      <w:pPr>
        <w:spacing w:line="220" w:lineRule="auto"/>
        <w:ind w:left="22"/>
        <w:rPr>
          <w:rFonts w:ascii="宋体" w:hAnsi="宋体" w:eastAsia="宋体" w:cs="宋体"/>
          <w:sz w:val="21"/>
          <w:szCs w:val="21"/>
        </w:rPr>
      </w:pPr>
      <w:r>
        <w:rPr>
          <w:rFonts w:ascii="宋体" w:hAnsi="宋体" w:eastAsia="宋体" w:cs="宋体"/>
          <w:spacing w:val="-2"/>
          <w:sz w:val="21"/>
          <w:szCs w:val="21"/>
        </w:rPr>
        <w:t>列约定执行：</w:t>
      </w:r>
    </w:p>
    <w:p w14:paraId="45774006">
      <w:pPr>
        <w:spacing w:before="152" w:line="221" w:lineRule="auto"/>
        <w:ind w:left="437"/>
        <w:rPr>
          <w:rFonts w:ascii="宋体" w:hAnsi="宋体" w:eastAsia="宋体" w:cs="宋体"/>
          <w:sz w:val="21"/>
          <w:szCs w:val="21"/>
        </w:rPr>
      </w:pPr>
      <w:r>
        <w:rPr>
          <w:rFonts w:ascii="Times New Roman" w:hAnsi="Times New Roman" w:eastAsia="Times New Roman" w:cs="Times New Roman"/>
          <w:sz w:val="21"/>
          <w:szCs w:val="21"/>
        </w:rPr>
        <w:t xml:space="preserve">20.3.1 </w:t>
      </w:r>
      <w:r>
        <w:rPr>
          <w:rFonts w:ascii="宋体" w:hAnsi="宋体" w:eastAsia="宋体" w:cs="宋体"/>
          <w:sz w:val="21"/>
          <w:szCs w:val="21"/>
        </w:rPr>
        <w:t>争议评审小组的确定</w:t>
      </w:r>
    </w:p>
    <w:p w14:paraId="25FB6DC0">
      <w:pPr>
        <w:spacing w:before="148" w:line="352" w:lineRule="auto"/>
        <w:ind w:left="19" w:right="174" w:firstLine="422"/>
        <w:rPr>
          <w:rFonts w:ascii="宋体" w:hAnsi="宋体" w:eastAsia="宋体" w:cs="宋体"/>
          <w:sz w:val="21"/>
          <w:szCs w:val="21"/>
        </w:rPr>
      </w:pPr>
      <w:r>
        <w:rPr>
          <w:rFonts w:ascii="宋体" w:hAnsi="宋体" w:eastAsia="宋体" w:cs="宋体"/>
          <w:spacing w:val="3"/>
          <w:sz w:val="21"/>
          <w:szCs w:val="21"/>
        </w:rPr>
        <w:t>合同当事人可以共同选择一名或三名争议评审员，组成争议评审小组。除专用合同条</w:t>
      </w:r>
      <w:r>
        <w:rPr>
          <w:rFonts w:ascii="宋体" w:hAnsi="宋体" w:eastAsia="宋体" w:cs="宋体"/>
          <w:spacing w:val="2"/>
          <w:sz w:val="21"/>
          <w:szCs w:val="21"/>
        </w:rPr>
        <w:t xml:space="preserve"> </w:t>
      </w:r>
      <w:r>
        <w:rPr>
          <w:rFonts w:ascii="宋体" w:hAnsi="宋体" w:eastAsia="宋体" w:cs="宋体"/>
          <w:spacing w:val="-1"/>
          <w:sz w:val="21"/>
          <w:szCs w:val="21"/>
        </w:rPr>
        <w:t xml:space="preserve">款另有约定外，合同当事人应当自合同签订后 </w:t>
      </w:r>
      <w:r>
        <w:rPr>
          <w:rFonts w:ascii="Times New Roman" w:hAnsi="Times New Roman" w:eastAsia="Times New Roman" w:cs="Times New Roman"/>
          <w:spacing w:val="-1"/>
          <w:sz w:val="21"/>
          <w:szCs w:val="21"/>
        </w:rPr>
        <w:t>28</w:t>
      </w:r>
      <w:r>
        <w:rPr>
          <w:rFonts w:ascii="Times New Roman" w:hAnsi="Times New Roman" w:eastAsia="Times New Roman" w:cs="Times New Roman"/>
          <w:spacing w:val="32"/>
          <w:sz w:val="21"/>
          <w:szCs w:val="21"/>
        </w:rPr>
        <w:t xml:space="preserve"> </w:t>
      </w:r>
      <w:r>
        <w:rPr>
          <w:rFonts w:ascii="宋体" w:hAnsi="宋体" w:eastAsia="宋体" w:cs="宋体"/>
          <w:spacing w:val="-1"/>
          <w:sz w:val="21"/>
          <w:szCs w:val="21"/>
        </w:rPr>
        <w:t>天内，或者争议发</w:t>
      </w:r>
      <w:r>
        <w:rPr>
          <w:rFonts w:ascii="宋体" w:hAnsi="宋体" w:eastAsia="宋体" w:cs="宋体"/>
          <w:spacing w:val="-2"/>
          <w:sz w:val="21"/>
          <w:szCs w:val="21"/>
        </w:rPr>
        <w:t xml:space="preserve">生后 </w:t>
      </w:r>
      <w:r>
        <w:rPr>
          <w:rFonts w:ascii="Times New Roman" w:hAnsi="Times New Roman" w:eastAsia="Times New Roman" w:cs="Times New Roman"/>
          <w:spacing w:val="-2"/>
          <w:sz w:val="21"/>
          <w:szCs w:val="21"/>
        </w:rPr>
        <w:t>14</w:t>
      </w:r>
      <w:r>
        <w:rPr>
          <w:rFonts w:ascii="Times New Roman" w:hAnsi="Times New Roman" w:eastAsia="Times New Roman" w:cs="Times New Roman"/>
          <w:spacing w:val="32"/>
          <w:sz w:val="21"/>
          <w:szCs w:val="21"/>
        </w:rPr>
        <w:t xml:space="preserve"> </w:t>
      </w:r>
      <w:r>
        <w:rPr>
          <w:rFonts w:ascii="宋体" w:hAnsi="宋体" w:eastAsia="宋体" w:cs="宋体"/>
          <w:spacing w:val="-2"/>
          <w:sz w:val="21"/>
          <w:szCs w:val="21"/>
        </w:rPr>
        <w:t>天内，选定争</w:t>
      </w:r>
    </w:p>
    <w:p w14:paraId="3EAA6FC6">
      <w:pPr>
        <w:spacing w:line="221" w:lineRule="auto"/>
        <w:ind w:left="20"/>
        <w:rPr>
          <w:rFonts w:ascii="宋体" w:hAnsi="宋体" w:eastAsia="宋体" w:cs="宋体"/>
          <w:sz w:val="21"/>
          <w:szCs w:val="21"/>
        </w:rPr>
      </w:pPr>
      <w:r>
        <w:rPr>
          <w:rFonts w:ascii="宋体" w:hAnsi="宋体" w:eastAsia="宋体" w:cs="宋体"/>
          <w:spacing w:val="-6"/>
          <w:sz w:val="21"/>
          <w:szCs w:val="21"/>
        </w:rPr>
        <w:t>议评审员。</w:t>
      </w:r>
    </w:p>
    <w:p w14:paraId="5316E2FD">
      <w:pPr>
        <w:spacing w:before="148" w:line="352" w:lineRule="auto"/>
        <w:ind w:left="21" w:right="174" w:firstLine="418"/>
        <w:rPr>
          <w:rFonts w:ascii="宋体" w:hAnsi="宋体" w:eastAsia="宋体" w:cs="宋体"/>
          <w:sz w:val="21"/>
          <w:szCs w:val="21"/>
        </w:rPr>
      </w:pPr>
      <w:r>
        <w:rPr>
          <w:rFonts w:ascii="宋体" w:hAnsi="宋体" w:eastAsia="宋体" w:cs="宋体"/>
          <w:sz w:val="21"/>
          <w:szCs w:val="21"/>
        </w:rPr>
        <w:t>选择一名争议评审员的，由合同当事人共同确定；选择三名争议评审员的， 各自选定</w:t>
      </w:r>
      <w:r>
        <w:rPr>
          <w:rFonts w:ascii="宋体" w:hAnsi="宋体" w:eastAsia="宋体" w:cs="宋体"/>
          <w:spacing w:val="9"/>
          <w:sz w:val="21"/>
          <w:szCs w:val="21"/>
        </w:rPr>
        <w:t xml:space="preserve"> </w:t>
      </w:r>
      <w:r>
        <w:rPr>
          <w:rFonts w:ascii="宋体" w:hAnsi="宋体" w:eastAsia="宋体" w:cs="宋体"/>
          <w:sz w:val="21"/>
          <w:szCs w:val="21"/>
        </w:rPr>
        <w:t>一名， 第三名成员为首席争议评审员，由合同当事人共同确定或由合同当事人委托已选定</w:t>
      </w:r>
    </w:p>
    <w:p w14:paraId="46962F37">
      <w:pPr>
        <w:spacing w:before="1" w:line="219" w:lineRule="auto"/>
        <w:ind w:left="35"/>
        <w:rPr>
          <w:rFonts w:ascii="宋体" w:hAnsi="宋体" w:eastAsia="宋体" w:cs="宋体"/>
          <w:sz w:val="21"/>
          <w:szCs w:val="21"/>
        </w:rPr>
      </w:pPr>
      <w:r>
        <w:rPr>
          <w:rFonts w:ascii="宋体" w:hAnsi="宋体" w:eastAsia="宋体" w:cs="宋体"/>
          <w:spacing w:val="-1"/>
          <w:sz w:val="21"/>
          <w:szCs w:val="21"/>
        </w:rPr>
        <w:t>的争议评审员共同确定，或由专用合同条款约定的评审机构指定第三名首席争议评</w:t>
      </w:r>
      <w:r>
        <w:rPr>
          <w:rFonts w:ascii="宋体" w:hAnsi="宋体" w:eastAsia="宋体" w:cs="宋体"/>
          <w:spacing w:val="-2"/>
          <w:sz w:val="21"/>
          <w:szCs w:val="21"/>
        </w:rPr>
        <w:t>审员。</w:t>
      </w:r>
    </w:p>
    <w:p w14:paraId="56EE275B">
      <w:pPr>
        <w:spacing w:before="148" w:line="221" w:lineRule="auto"/>
        <w:ind w:left="453"/>
        <w:rPr>
          <w:rFonts w:ascii="宋体" w:hAnsi="宋体" w:eastAsia="宋体" w:cs="宋体"/>
          <w:sz w:val="21"/>
          <w:szCs w:val="21"/>
        </w:rPr>
      </w:pPr>
      <w:r>
        <w:rPr>
          <w:rFonts w:ascii="宋体" w:hAnsi="宋体" w:eastAsia="宋体" w:cs="宋体"/>
          <w:spacing w:val="-4"/>
          <w:sz w:val="21"/>
          <w:szCs w:val="21"/>
        </w:rPr>
        <w:t>除专用合同条款另有约定外， 评审员报酬由发包人和承</w:t>
      </w:r>
      <w:r>
        <w:rPr>
          <w:rFonts w:ascii="宋体" w:hAnsi="宋体" w:eastAsia="宋体" w:cs="宋体"/>
          <w:spacing w:val="-5"/>
          <w:sz w:val="21"/>
          <w:szCs w:val="21"/>
        </w:rPr>
        <w:t>包人各承担一半。</w:t>
      </w:r>
    </w:p>
    <w:p w14:paraId="0C89BD62">
      <w:pPr>
        <w:spacing w:before="147" w:line="221" w:lineRule="auto"/>
        <w:ind w:left="437"/>
        <w:rPr>
          <w:rFonts w:ascii="宋体" w:hAnsi="宋体" w:eastAsia="宋体" w:cs="宋体"/>
          <w:sz w:val="21"/>
          <w:szCs w:val="21"/>
        </w:rPr>
      </w:pPr>
      <w:r>
        <w:rPr>
          <w:rFonts w:ascii="Times New Roman" w:hAnsi="Times New Roman" w:eastAsia="Times New Roman" w:cs="Times New Roman"/>
          <w:sz w:val="21"/>
          <w:szCs w:val="21"/>
        </w:rPr>
        <w:t xml:space="preserve">20.3.2 </w:t>
      </w:r>
      <w:r>
        <w:rPr>
          <w:rFonts w:ascii="宋体" w:hAnsi="宋体" w:eastAsia="宋体" w:cs="宋体"/>
          <w:sz w:val="21"/>
          <w:szCs w:val="21"/>
        </w:rPr>
        <w:t>争议评审小组的决定</w:t>
      </w:r>
    </w:p>
    <w:p w14:paraId="6716CB36">
      <w:pPr>
        <w:spacing w:before="153" w:line="221" w:lineRule="auto"/>
        <w:ind w:left="442"/>
        <w:rPr>
          <w:rFonts w:ascii="宋体" w:hAnsi="宋体" w:eastAsia="宋体" w:cs="宋体"/>
          <w:sz w:val="21"/>
          <w:szCs w:val="21"/>
        </w:rPr>
      </w:pPr>
      <w:r>
        <w:rPr>
          <w:rFonts w:ascii="宋体" w:hAnsi="宋体" w:eastAsia="宋体" w:cs="宋体"/>
          <w:spacing w:val="3"/>
          <w:sz w:val="21"/>
          <w:szCs w:val="21"/>
        </w:rPr>
        <w:t>合同当事人可在任何时间将与合同有关的任何争议共同提请争议评审小组进</w:t>
      </w:r>
      <w:r>
        <w:rPr>
          <w:rFonts w:ascii="宋体" w:hAnsi="宋体" w:eastAsia="宋体" w:cs="宋体"/>
          <w:spacing w:val="2"/>
          <w:sz w:val="21"/>
          <w:szCs w:val="21"/>
        </w:rPr>
        <w:t>行评审。</w:t>
      </w:r>
    </w:p>
    <w:p w14:paraId="2BE21F1F">
      <w:pPr>
        <w:spacing w:before="148" w:line="352" w:lineRule="auto"/>
        <w:ind w:left="19" w:firstLine="3"/>
        <w:rPr>
          <w:rFonts w:ascii="宋体" w:hAnsi="宋体" w:eastAsia="宋体" w:cs="宋体"/>
          <w:sz w:val="21"/>
          <w:szCs w:val="21"/>
        </w:rPr>
      </w:pPr>
      <w:r>
        <w:rPr>
          <w:rFonts w:ascii="宋体" w:hAnsi="宋体" w:eastAsia="宋体" w:cs="宋体"/>
          <w:spacing w:val="2"/>
          <w:sz w:val="21"/>
          <w:szCs w:val="21"/>
        </w:rPr>
        <w:t>争议评审小组应秉持客观、公正原则，充分听取合同当事人的意见，依据相关法律、</w:t>
      </w:r>
      <w:r>
        <w:rPr>
          <w:rFonts w:ascii="宋体" w:hAnsi="宋体" w:eastAsia="宋体" w:cs="宋体"/>
          <w:spacing w:val="1"/>
          <w:sz w:val="21"/>
          <w:szCs w:val="21"/>
        </w:rPr>
        <w:t>规范、</w:t>
      </w:r>
      <w:r>
        <w:rPr>
          <w:rFonts w:ascii="宋体" w:hAnsi="宋体" w:eastAsia="宋体" w:cs="宋体"/>
          <w:sz w:val="21"/>
          <w:szCs w:val="21"/>
        </w:rPr>
        <w:t xml:space="preserve"> </w:t>
      </w:r>
      <w:r>
        <w:rPr>
          <w:rFonts w:ascii="宋体" w:hAnsi="宋体" w:eastAsia="宋体" w:cs="宋体"/>
          <w:spacing w:val="-1"/>
          <w:sz w:val="21"/>
          <w:szCs w:val="21"/>
        </w:rPr>
        <w:t xml:space="preserve">标准、案例经验及商业惯例等，自收到争议评审申请报告后 </w:t>
      </w:r>
      <w:r>
        <w:rPr>
          <w:rFonts w:ascii="Times New Roman" w:hAnsi="Times New Roman" w:eastAsia="Times New Roman" w:cs="Times New Roman"/>
          <w:spacing w:val="-1"/>
          <w:sz w:val="21"/>
          <w:szCs w:val="21"/>
        </w:rPr>
        <w:t xml:space="preserve">14 </w:t>
      </w:r>
      <w:r>
        <w:rPr>
          <w:rFonts w:ascii="宋体" w:hAnsi="宋体" w:eastAsia="宋体" w:cs="宋体"/>
          <w:spacing w:val="-1"/>
          <w:sz w:val="21"/>
          <w:szCs w:val="21"/>
        </w:rPr>
        <w:t>天内作出书面决定，并说明</w:t>
      </w:r>
    </w:p>
    <w:p w14:paraId="290844AE">
      <w:pPr>
        <w:spacing w:before="1" w:line="219" w:lineRule="auto"/>
        <w:ind w:left="20"/>
        <w:rPr>
          <w:rFonts w:ascii="宋体" w:hAnsi="宋体" w:eastAsia="宋体" w:cs="宋体"/>
          <w:sz w:val="21"/>
          <w:szCs w:val="21"/>
        </w:rPr>
      </w:pPr>
      <w:r>
        <w:rPr>
          <w:rFonts w:ascii="宋体" w:hAnsi="宋体" w:eastAsia="宋体" w:cs="宋体"/>
          <w:spacing w:val="-1"/>
          <w:sz w:val="21"/>
          <w:szCs w:val="21"/>
        </w:rPr>
        <w:t>理由。合同当事人可以在专用合同条款中对本项事项</w:t>
      </w:r>
      <w:r>
        <w:rPr>
          <w:rFonts w:ascii="宋体" w:hAnsi="宋体" w:eastAsia="宋体" w:cs="宋体"/>
          <w:spacing w:val="-2"/>
          <w:sz w:val="21"/>
          <w:szCs w:val="21"/>
        </w:rPr>
        <w:t>另行约定。</w:t>
      </w:r>
    </w:p>
    <w:p w14:paraId="621AC1B6">
      <w:pPr>
        <w:spacing w:before="148" w:line="221" w:lineRule="auto"/>
        <w:ind w:left="437"/>
        <w:rPr>
          <w:rFonts w:ascii="宋体" w:hAnsi="宋体" w:eastAsia="宋体" w:cs="宋体"/>
          <w:sz w:val="21"/>
          <w:szCs w:val="21"/>
        </w:rPr>
      </w:pPr>
      <w:r>
        <w:rPr>
          <w:rFonts w:ascii="Times New Roman" w:hAnsi="Times New Roman" w:eastAsia="Times New Roman" w:cs="Times New Roman"/>
          <w:sz w:val="21"/>
          <w:szCs w:val="21"/>
        </w:rPr>
        <w:t xml:space="preserve">20.3.3 </w:t>
      </w:r>
      <w:r>
        <w:rPr>
          <w:rFonts w:ascii="宋体" w:hAnsi="宋体" w:eastAsia="宋体" w:cs="宋体"/>
          <w:sz w:val="21"/>
          <w:szCs w:val="21"/>
        </w:rPr>
        <w:t>争议评审小组决定的效力</w:t>
      </w:r>
    </w:p>
    <w:p w14:paraId="1321A783">
      <w:pPr>
        <w:spacing w:before="148" w:line="403" w:lineRule="exact"/>
        <w:ind w:left="445"/>
        <w:rPr>
          <w:rFonts w:ascii="宋体" w:hAnsi="宋体" w:eastAsia="宋体" w:cs="宋体"/>
          <w:sz w:val="21"/>
          <w:szCs w:val="21"/>
        </w:rPr>
      </w:pPr>
      <w:r>
        <w:rPr>
          <w:rFonts w:ascii="宋体" w:hAnsi="宋体" w:eastAsia="宋体" w:cs="宋体"/>
          <w:spacing w:val="3"/>
          <w:position w:val="14"/>
          <w:sz w:val="21"/>
          <w:szCs w:val="21"/>
        </w:rPr>
        <w:t>争议评审小组作出的书面决定经合同当事人签字确认后，对双方具有约束力，双</w:t>
      </w:r>
      <w:r>
        <w:rPr>
          <w:rFonts w:ascii="宋体" w:hAnsi="宋体" w:eastAsia="宋体" w:cs="宋体"/>
          <w:spacing w:val="2"/>
          <w:position w:val="14"/>
          <w:sz w:val="21"/>
          <w:szCs w:val="21"/>
        </w:rPr>
        <w:t>方应</w:t>
      </w:r>
    </w:p>
    <w:p w14:paraId="596AF069">
      <w:pPr>
        <w:spacing w:line="220" w:lineRule="auto"/>
        <w:ind w:left="17"/>
        <w:rPr>
          <w:rFonts w:ascii="宋体" w:hAnsi="宋体" w:eastAsia="宋体" w:cs="宋体"/>
          <w:sz w:val="21"/>
          <w:szCs w:val="21"/>
        </w:rPr>
      </w:pPr>
      <w:r>
        <w:rPr>
          <w:rFonts w:ascii="宋体" w:hAnsi="宋体" w:eastAsia="宋体" w:cs="宋体"/>
          <w:spacing w:val="-6"/>
          <w:sz w:val="21"/>
          <w:szCs w:val="21"/>
        </w:rPr>
        <w:t>遵照执行。</w:t>
      </w:r>
    </w:p>
    <w:p w14:paraId="32F1F3D0">
      <w:pPr>
        <w:spacing w:before="147" w:line="221" w:lineRule="auto"/>
        <w:ind w:left="440"/>
        <w:rPr>
          <w:rFonts w:ascii="宋体" w:hAnsi="宋体" w:eastAsia="宋体" w:cs="宋体"/>
          <w:sz w:val="21"/>
          <w:szCs w:val="21"/>
        </w:rPr>
      </w:pPr>
      <w:r>
        <w:rPr>
          <w:rFonts w:ascii="宋体" w:hAnsi="宋体" w:eastAsia="宋体" w:cs="宋体"/>
          <w:spacing w:val="3"/>
          <w:sz w:val="21"/>
          <w:szCs w:val="21"/>
        </w:rPr>
        <w:t>任何一方当事人不接受争议评审小组决定或不履行争议评审小组决定的，双方可选择</w:t>
      </w:r>
    </w:p>
    <w:p w14:paraId="12D5A16B">
      <w:pPr>
        <w:spacing w:before="148" w:line="220" w:lineRule="auto"/>
        <w:ind w:left="17"/>
        <w:rPr>
          <w:rFonts w:ascii="宋体" w:hAnsi="宋体" w:eastAsia="宋体" w:cs="宋体"/>
          <w:sz w:val="21"/>
          <w:szCs w:val="21"/>
        </w:rPr>
      </w:pPr>
      <w:r>
        <w:rPr>
          <w:rFonts w:ascii="宋体" w:hAnsi="宋体" w:eastAsia="宋体" w:cs="宋体"/>
          <w:spacing w:val="-2"/>
          <w:sz w:val="21"/>
          <w:szCs w:val="21"/>
        </w:rPr>
        <w:t>采用其他争议解决方式。</w:t>
      </w:r>
    </w:p>
    <w:p w14:paraId="6B761C77">
      <w:pPr>
        <w:spacing w:before="47" w:line="217" w:lineRule="auto"/>
        <w:ind w:left="17"/>
        <w:rPr>
          <w:rFonts w:ascii="黑体" w:hAnsi="黑体" w:eastAsia="黑体" w:cs="黑体"/>
          <w:sz w:val="24"/>
          <w:szCs w:val="24"/>
        </w:rPr>
      </w:pPr>
      <w:r>
        <w:rPr>
          <w:rFonts w:ascii="黑体" w:hAnsi="黑体" w:eastAsia="黑体" w:cs="黑体"/>
          <w:spacing w:val="-2"/>
          <w:sz w:val="24"/>
          <w:szCs w:val="24"/>
        </w:rPr>
        <w:t>20.4</w:t>
      </w:r>
      <w:r>
        <w:rPr>
          <w:rFonts w:ascii="黑体" w:hAnsi="黑体" w:eastAsia="黑体" w:cs="黑体"/>
          <w:spacing w:val="-49"/>
          <w:sz w:val="24"/>
          <w:szCs w:val="24"/>
        </w:rPr>
        <w:t xml:space="preserve"> </w:t>
      </w:r>
      <w:r>
        <w:rPr>
          <w:rFonts w:ascii="黑体" w:hAnsi="黑体" w:eastAsia="黑体" w:cs="黑体"/>
          <w:spacing w:val="-2"/>
          <w:sz w:val="24"/>
          <w:szCs w:val="24"/>
        </w:rPr>
        <w:t>仲裁或诉讼</w:t>
      </w:r>
    </w:p>
    <w:p w14:paraId="08AECC01">
      <w:pPr>
        <w:spacing w:before="131" w:line="404" w:lineRule="exact"/>
        <w:ind w:left="457"/>
        <w:rPr>
          <w:rFonts w:ascii="宋体" w:hAnsi="宋体" w:eastAsia="宋体" w:cs="宋体"/>
          <w:sz w:val="21"/>
          <w:szCs w:val="21"/>
        </w:rPr>
      </w:pPr>
      <w:r>
        <w:rPr>
          <w:rFonts w:ascii="宋体" w:hAnsi="宋体" w:eastAsia="宋体" w:cs="宋体"/>
          <w:position w:val="14"/>
          <w:sz w:val="21"/>
          <w:szCs w:val="21"/>
        </w:rPr>
        <w:t>因合同及合同有关事项产生的争议， 合同当事人可以在专用合同条</w:t>
      </w:r>
      <w:r>
        <w:rPr>
          <w:rFonts w:ascii="宋体" w:hAnsi="宋体" w:eastAsia="宋体" w:cs="宋体"/>
          <w:spacing w:val="-1"/>
          <w:position w:val="14"/>
          <w:sz w:val="21"/>
          <w:szCs w:val="21"/>
        </w:rPr>
        <w:t>款中约定以下一种</w:t>
      </w:r>
    </w:p>
    <w:p w14:paraId="46959DA4">
      <w:pPr>
        <w:spacing w:line="220" w:lineRule="auto"/>
        <w:ind w:left="19"/>
        <w:rPr>
          <w:rFonts w:ascii="宋体" w:hAnsi="宋体" w:eastAsia="宋体" w:cs="宋体"/>
          <w:sz w:val="21"/>
          <w:szCs w:val="21"/>
        </w:rPr>
      </w:pPr>
      <w:r>
        <w:rPr>
          <w:rFonts w:ascii="宋体" w:hAnsi="宋体" w:eastAsia="宋体" w:cs="宋体"/>
          <w:spacing w:val="-5"/>
          <w:sz w:val="21"/>
          <w:szCs w:val="21"/>
        </w:rPr>
        <w:t>方式解决争议：</w:t>
      </w:r>
    </w:p>
    <w:p w14:paraId="12F0631A">
      <w:pPr>
        <w:spacing w:before="148" w:line="220" w:lineRule="auto"/>
        <w:ind w:left="447"/>
        <w:rPr>
          <w:rFonts w:ascii="宋体" w:hAnsi="宋体" w:eastAsia="宋体" w:cs="宋体"/>
          <w:sz w:val="21"/>
          <w:szCs w:val="21"/>
        </w:rPr>
      </w:pPr>
      <w:r>
        <w:rPr>
          <w:rFonts w:ascii="宋体" w:hAnsi="宋体" w:eastAsia="宋体" w:cs="宋体"/>
          <w:spacing w:val="-3"/>
          <w:sz w:val="21"/>
          <w:szCs w:val="21"/>
        </w:rPr>
        <w:t>（</w:t>
      </w:r>
      <w:r>
        <w:rPr>
          <w:rFonts w:ascii="Times New Roman" w:hAnsi="Times New Roman" w:eastAsia="Times New Roman" w:cs="Times New Roman"/>
          <w:spacing w:val="-3"/>
          <w:sz w:val="21"/>
          <w:szCs w:val="21"/>
        </w:rPr>
        <w:t>1</w:t>
      </w:r>
      <w:r>
        <w:rPr>
          <w:rFonts w:ascii="宋体" w:hAnsi="宋体" w:eastAsia="宋体" w:cs="宋体"/>
          <w:spacing w:val="-3"/>
          <w:sz w:val="21"/>
          <w:szCs w:val="21"/>
        </w:rPr>
        <w:t>）向约定的仲裁委员会申请仲裁；</w:t>
      </w:r>
    </w:p>
    <w:p w14:paraId="5DAA5242">
      <w:pPr>
        <w:spacing w:before="148" w:line="220" w:lineRule="auto"/>
        <w:ind w:left="447"/>
        <w:rPr>
          <w:rFonts w:ascii="宋体" w:hAnsi="宋体" w:eastAsia="宋体" w:cs="宋体"/>
          <w:sz w:val="21"/>
          <w:szCs w:val="21"/>
        </w:rPr>
      </w:pPr>
      <w:r>
        <w:rPr>
          <w:rFonts w:ascii="宋体" w:hAnsi="宋体" w:eastAsia="宋体" w:cs="宋体"/>
          <w:spacing w:val="-2"/>
          <w:sz w:val="21"/>
          <w:szCs w:val="21"/>
        </w:rPr>
        <w:t>（</w:t>
      </w:r>
      <w:r>
        <w:rPr>
          <w:rFonts w:ascii="Times New Roman" w:hAnsi="Times New Roman" w:eastAsia="Times New Roman" w:cs="Times New Roman"/>
          <w:spacing w:val="-2"/>
          <w:sz w:val="21"/>
          <w:szCs w:val="21"/>
        </w:rPr>
        <w:t>2</w:t>
      </w:r>
      <w:r>
        <w:rPr>
          <w:rFonts w:ascii="宋体" w:hAnsi="宋体" w:eastAsia="宋体" w:cs="宋体"/>
          <w:spacing w:val="-2"/>
          <w:sz w:val="21"/>
          <w:szCs w:val="21"/>
        </w:rPr>
        <w:t>）向有管辖权的人民法院起诉。</w:t>
      </w:r>
    </w:p>
    <w:p w14:paraId="62B29BB2">
      <w:pPr>
        <w:spacing w:before="52" w:line="218" w:lineRule="auto"/>
        <w:ind w:left="17"/>
        <w:rPr>
          <w:rFonts w:ascii="黑体" w:hAnsi="黑体" w:eastAsia="黑体" w:cs="黑体"/>
          <w:sz w:val="24"/>
          <w:szCs w:val="24"/>
        </w:rPr>
      </w:pPr>
      <w:r>
        <w:rPr>
          <w:rFonts w:ascii="黑体" w:hAnsi="黑体" w:eastAsia="黑体" w:cs="黑体"/>
          <w:spacing w:val="-2"/>
          <w:sz w:val="24"/>
          <w:szCs w:val="24"/>
        </w:rPr>
        <w:t>20.5</w:t>
      </w:r>
      <w:r>
        <w:rPr>
          <w:rFonts w:ascii="黑体" w:hAnsi="黑体" w:eastAsia="黑体" w:cs="黑体"/>
          <w:spacing w:val="-45"/>
          <w:sz w:val="24"/>
          <w:szCs w:val="24"/>
        </w:rPr>
        <w:t xml:space="preserve"> </w:t>
      </w:r>
      <w:r>
        <w:rPr>
          <w:rFonts w:ascii="黑体" w:hAnsi="黑体" w:eastAsia="黑体" w:cs="黑体"/>
          <w:spacing w:val="-2"/>
          <w:sz w:val="24"/>
          <w:szCs w:val="24"/>
        </w:rPr>
        <w:t>争议解决条款效力</w:t>
      </w:r>
    </w:p>
    <w:p w14:paraId="62E30244">
      <w:pPr>
        <w:spacing w:before="130" w:line="398" w:lineRule="exact"/>
        <w:ind w:left="442"/>
        <w:rPr>
          <w:rFonts w:ascii="宋体" w:hAnsi="宋体" w:eastAsia="宋体" w:cs="宋体"/>
          <w:sz w:val="21"/>
          <w:szCs w:val="21"/>
        </w:rPr>
      </w:pPr>
      <w:r>
        <w:rPr>
          <w:rFonts w:ascii="宋体" w:hAnsi="宋体" w:eastAsia="宋体" w:cs="宋体"/>
          <w:position w:val="14"/>
          <w:sz w:val="21"/>
          <w:szCs w:val="21"/>
        </w:rPr>
        <w:t>合同有关争议解决的条款独立存在， 合同的变更、解除、终止、无效或者被撤销均不</w:t>
      </w:r>
    </w:p>
    <w:p w14:paraId="5A0A4AB1">
      <w:pPr>
        <w:spacing w:before="1" w:line="220" w:lineRule="auto"/>
        <w:ind w:left="18"/>
        <w:rPr>
          <w:rFonts w:ascii="宋体" w:hAnsi="宋体" w:eastAsia="宋体" w:cs="宋体"/>
          <w:sz w:val="21"/>
          <w:szCs w:val="21"/>
        </w:rPr>
      </w:pPr>
      <w:r>
        <w:rPr>
          <w:rFonts w:ascii="宋体" w:hAnsi="宋体" w:eastAsia="宋体" w:cs="宋体"/>
          <w:spacing w:val="-1"/>
          <w:sz w:val="21"/>
          <w:szCs w:val="21"/>
        </w:rPr>
        <w:t>影响其效力。</w:t>
      </w:r>
    </w:p>
    <w:p w14:paraId="5B000D88">
      <w:pPr>
        <w:spacing w:line="220" w:lineRule="auto"/>
        <w:rPr>
          <w:rFonts w:ascii="宋体" w:hAnsi="宋体" w:eastAsia="宋体" w:cs="宋体"/>
          <w:sz w:val="21"/>
          <w:szCs w:val="21"/>
        </w:rPr>
        <w:sectPr>
          <w:footerReference r:id="rId138" w:type="default"/>
          <w:pgSz w:w="11905" w:h="16839"/>
          <w:pgMar w:top="1431" w:right="1617" w:bottom="1004" w:left="1785" w:header="0" w:footer="828" w:gutter="0"/>
          <w:pgNumType w:fmt="decimal"/>
          <w:cols w:space="720" w:num="1"/>
        </w:sectPr>
      </w:pPr>
    </w:p>
    <w:p w14:paraId="04F30CA4">
      <w:pPr>
        <w:pStyle w:val="3"/>
      </w:pPr>
    </w:p>
    <w:p w14:paraId="17093E82">
      <w:pPr>
        <w:pStyle w:val="3"/>
      </w:pPr>
    </w:p>
    <w:p w14:paraId="68D03361">
      <w:pPr>
        <w:pStyle w:val="3"/>
      </w:pPr>
    </w:p>
    <w:p w14:paraId="61C7F05D">
      <w:pPr>
        <w:pStyle w:val="3"/>
      </w:pPr>
    </w:p>
    <w:p w14:paraId="2A77A585">
      <w:pPr>
        <w:pStyle w:val="3"/>
      </w:pPr>
    </w:p>
    <w:p w14:paraId="430FEFE9">
      <w:pPr>
        <w:pStyle w:val="3"/>
      </w:pPr>
    </w:p>
    <w:p w14:paraId="72CD4024">
      <w:pPr>
        <w:pStyle w:val="3"/>
      </w:pPr>
    </w:p>
    <w:p w14:paraId="129CD722">
      <w:pPr>
        <w:pStyle w:val="3"/>
      </w:pPr>
    </w:p>
    <w:p w14:paraId="74A11D1B">
      <w:pPr>
        <w:pStyle w:val="3"/>
      </w:pPr>
    </w:p>
    <w:p w14:paraId="0171CDB8">
      <w:pPr>
        <w:pStyle w:val="3"/>
      </w:pPr>
    </w:p>
    <w:p w14:paraId="2860959E">
      <w:pPr>
        <w:pStyle w:val="3"/>
      </w:pPr>
    </w:p>
    <w:p w14:paraId="3F4B8E12">
      <w:pPr>
        <w:pStyle w:val="3"/>
      </w:pPr>
    </w:p>
    <w:p w14:paraId="0FF6A2AA">
      <w:pPr>
        <w:spacing w:before="88" w:line="225" w:lineRule="auto"/>
        <w:ind w:left="2744"/>
        <w:rPr>
          <w:rFonts w:ascii="黑体" w:hAnsi="黑体" w:eastAsia="黑体" w:cs="黑体"/>
          <w:sz w:val="27"/>
          <w:szCs w:val="27"/>
        </w:rPr>
      </w:pPr>
      <w:r>
        <w:rPr>
          <w:rFonts w:ascii="黑体" w:hAnsi="黑体" w:eastAsia="黑体" w:cs="黑体"/>
          <w:spacing w:val="6"/>
          <w:sz w:val="27"/>
          <w:szCs w:val="27"/>
        </w:rPr>
        <w:t>第三部分</w:t>
      </w:r>
      <w:r>
        <w:rPr>
          <w:rFonts w:ascii="黑体" w:hAnsi="黑体" w:eastAsia="黑体" w:cs="黑体"/>
          <w:spacing w:val="-42"/>
          <w:sz w:val="27"/>
          <w:szCs w:val="27"/>
        </w:rPr>
        <w:t xml:space="preserve"> </w:t>
      </w:r>
      <w:r>
        <w:rPr>
          <w:rFonts w:ascii="黑体" w:hAnsi="黑体" w:eastAsia="黑体" w:cs="黑体"/>
          <w:spacing w:val="6"/>
          <w:sz w:val="27"/>
          <w:szCs w:val="27"/>
        </w:rPr>
        <w:t>专用合同条款</w:t>
      </w:r>
    </w:p>
    <w:p w14:paraId="0A556F3B">
      <w:pPr>
        <w:spacing w:line="225" w:lineRule="auto"/>
        <w:rPr>
          <w:rFonts w:ascii="黑体" w:hAnsi="黑体" w:eastAsia="黑体" w:cs="黑体"/>
          <w:sz w:val="27"/>
          <w:szCs w:val="27"/>
        </w:rPr>
        <w:sectPr>
          <w:footerReference r:id="rId139" w:type="default"/>
          <w:pgSz w:w="11905" w:h="16839"/>
          <w:pgMar w:top="1431" w:right="1785" w:bottom="1004" w:left="1785" w:header="0" w:footer="828" w:gutter="0"/>
          <w:pgNumType w:fmt="decimal"/>
          <w:cols w:space="720" w:num="1"/>
        </w:sectPr>
      </w:pPr>
    </w:p>
    <w:p w14:paraId="1D94BEC5">
      <w:pPr>
        <w:spacing w:before="91" w:line="226" w:lineRule="auto"/>
        <w:ind w:left="3344"/>
        <w:rPr>
          <w:rFonts w:ascii="黑体" w:hAnsi="黑体" w:eastAsia="黑体" w:cs="黑体"/>
          <w:sz w:val="27"/>
          <w:szCs w:val="27"/>
        </w:rPr>
      </w:pPr>
      <w:r>
        <w:rPr>
          <w:rFonts w:ascii="黑体" w:hAnsi="黑体" w:eastAsia="黑体" w:cs="黑体"/>
          <w:spacing w:val="6"/>
          <w:sz w:val="27"/>
          <w:szCs w:val="27"/>
        </w:rPr>
        <w:t>专用合同条款</w:t>
      </w:r>
    </w:p>
    <w:p w14:paraId="25D81644">
      <w:pPr>
        <w:pStyle w:val="3"/>
        <w:spacing w:line="447" w:lineRule="auto"/>
      </w:pPr>
    </w:p>
    <w:p w14:paraId="758E80AA">
      <w:pPr>
        <w:pStyle w:val="15"/>
        <w:spacing w:before="120" w:after="120" w:line="360" w:lineRule="auto"/>
        <w:rPr>
          <w:rStyle w:val="8"/>
          <w:rFonts w:ascii="宋体" w:hAnsi="宋体" w:eastAsia="宋体"/>
          <w:b w:val="0"/>
          <w:color w:val="auto"/>
          <w:sz w:val="22"/>
          <w:szCs w:val="22"/>
          <w:highlight w:val="none"/>
        </w:rPr>
      </w:pPr>
      <w:bookmarkStart w:id="192" w:name="_Toc69461142"/>
      <w:bookmarkStart w:id="193" w:name="_Toc256000818"/>
      <w:bookmarkStart w:id="194" w:name="_Toc69461797"/>
      <w:bookmarkStart w:id="195" w:name="_Toc12656"/>
      <w:bookmarkStart w:id="196" w:name="_Toc256001055"/>
      <w:bookmarkStart w:id="197" w:name="_Toc256001285"/>
      <w:bookmarkStart w:id="198" w:name="_Toc256000551"/>
      <w:bookmarkStart w:id="199" w:name="_Toc256000322"/>
      <w:bookmarkStart w:id="200" w:name="_Toc5946"/>
      <w:bookmarkStart w:id="201" w:name="_Toc351203633"/>
      <w:r>
        <w:rPr>
          <w:rStyle w:val="8"/>
          <w:rFonts w:ascii="宋体" w:hAnsi="宋体" w:eastAsia="宋体"/>
          <w:b w:val="0"/>
          <w:color w:val="auto"/>
          <w:sz w:val="22"/>
          <w:szCs w:val="22"/>
          <w:highlight w:val="none"/>
        </w:rPr>
        <w:t>1</w:t>
      </w:r>
      <w:bookmarkStart w:id="202" w:name="_Toc297048342"/>
      <w:bookmarkStart w:id="203" w:name="_Toc296346657"/>
      <w:bookmarkStart w:id="204" w:name="_Toc297120456"/>
      <w:bookmarkStart w:id="205" w:name="_Toc292559866"/>
      <w:bookmarkStart w:id="206" w:name="_Toc296890984"/>
      <w:bookmarkStart w:id="207" w:name="_Toc296347155"/>
      <w:bookmarkStart w:id="208" w:name="_Toc296944495"/>
      <w:bookmarkStart w:id="209" w:name="_Toc292559361"/>
      <w:bookmarkStart w:id="210" w:name="_Toc296891196"/>
      <w:bookmarkStart w:id="211" w:name="_Toc296503156"/>
      <w:r>
        <w:rPr>
          <w:rStyle w:val="8"/>
          <w:rFonts w:ascii="宋体" w:hAnsi="宋体" w:eastAsia="宋体"/>
          <w:b w:val="0"/>
          <w:color w:val="auto"/>
          <w:sz w:val="22"/>
          <w:szCs w:val="22"/>
          <w:highlight w:val="none"/>
        </w:rPr>
        <w:t>. 一般约定</w:t>
      </w:r>
      <w:bookmarkEnd w:id="192"/>
      <w:bookmarkEnd w:id="193"/>
      <w:bookmarkEnd w:id="194"/>
      <w:bookmarkEnd w:id="195"/>
      <w:bookmarkEnd w:id="196"/>
      <w:bookmarkEnd w:id="197"/>
      <w:bookmarkEnd w:id="198"/>
      <w:bookmarkEnd w:id="199"/>
      <w:bookmarkEnd w:id="200"/>
      <w:bookmarkEnd w:id="201"/>
    </w:p>
    <w:bookmarkEnd w:id="202"/>
    <w:bookmarkEnd w:id="203"/>
    <w:bookmarkEnd w:id="204"/>
    <w:bookmarkEnd w:id="205"/>
    <w:bookmarkEnd w:id="206"/>
    <w:bookmarkEnd w:id="207"/>
    <w:bookmarkEnd w:id="208"/>
    <w:bookmarkEnd w:id="209"/>
    <w:bookmarkEnd w:id="210"/>
    <w:bookmarkEnd w:id="211"/>
    <w:p w14:paraId="0E2CBBC3">
      <w:pPr>
        <w:pStyle w:val="13"/>
        <w:spacing w:after="120" w:line="360" w:lineRule="auto"/>
        <w:ind w:firstLine="440" w:firstLineChars="200"/>
        <w:outlineLvl w:val="0"/>
        <w:rPr>
          <w:rStyle w:val="8"/>
          <w:rFonts w:ascii="宋体" w:hAnsi="宋体"/>
          <w:color w:val="auto"/>
          <w:kern w:val="2"/>
          <w:sz w:val="22"/>
          <w:szCs w:val="22"/>
          <w:highlight w:val="none"/>
        </w:rPr>
      </w:pPr>
      <w:bookmarkStart w:id="212" w:name="_Toc23436"/>
      <w:bookmarkStart w:id="213" w:name="_Toc69461798"/>
      <w:bookmarkStart w:id="214" w:name="_Toc256000323"/>
      <w:bookmarkStart w:id="215" w:name="_Toc256001286"/>
      <w:bookmarkStart w:id="216" w:name="_Toc69461143"/>
      <w:bookmarkStart w:id="217" w:name="_Toc256001056"/>
      <w:bookmarkStart w:id="218" w:name="_Toc12384"/>
      <w:bookmarkStart w:id="219" w:name="_Toc256000552"/>
      <w:bookmarkStart w:id="220" w:name="_Toc256000819"/>
      <w:bookmarkStart w:id="221" w:name="_Toc19244"/>
      <w:bookmarkStart w:id="222" w:name="_Toc256000046"/>
      <w:bookmarkStart w:id="223" w:name="_Toc25829"/>
      <w:r>
        <w:rPr>
          <w:rStyle w:val="8"/>
          <w:rFonts w:ascii="宋体" w:hAnsi="宋体"/>
          <w:color w:val="auto"/>
          <w:kern w:val="2"/>
          <w:sz w:val="22"/>
          <w:szCs w:val="22"/>
          <w:highlight w:val="none"/>
        </w:rPr>
        <w:t>1.1 词语定义</w:t>
      </w:r>
      <w:bookmarkEnd w:id="212"/>
      <w:bookmarkEnd w:id="213"/>
      <w:bookmarkEnd w:id="214"/>
      <w:bookmarkEnd w:id="215"/>
      <w:bookmarkEnd w:id="216"/>
      <w:bookmarkEnd w:id="217"/>
      <w:bookmarkEnd w:id="218"/>
      <w:bookmarkEnd w:id="219"/>
      <w:bookmarkEnd w:id="220"/>
      <w:bookmarkEnd w:id="221"/>
      <w:bookmarkEnd w:id="222"/>
      <w:bookmarkEnd w:id="223"/>
    </w:p>
    <w:p w14:paraId="3BCB5AFA">
      <w:pPr>
        <w:pStyle w:val="13"/>
        <w:spacing w:line="360" w:lineRule="auto"/>
        <w:ind w:firstLine="440" w:firstLineChars="200"/>
        <w:rPr>
          <w:rStyle w:val="8"/>
          <w:rFonts w:ascii="宋体" w:hAnsi="宋体"/>
          <w:color w:val="auto"/>
          <w:sz w:val="22"/>
          <w:szCs w:val="22"/>
          <w:highlight w:val="none"/>
        </w:rPr>
      </w:pPr>
      <w:r>
        <w:rPr>
          <w:rStyle w:val="8"/>
          <w:rFonts w:ascii="宋体" w:hAnsi="宋体"/>
          <w:color w:val="auto"/>
          <w:sz w:val="22"/>
          <w:szCs w:val="22"/>
          <w:highlight w:val="none"/>
        </w:rPr>
        <w:t>1.1.1合同</w:t>
      </w:r>
    </w:p>
    <w:p w14:paraId="4023759C">
      <w:pPr>
        <w:pStyle w:val="13"/>
        <w:spacing w:line="360" w:lineRule="auto"/>
        <w:ind w:firstLine="440" w:firstLineChars="200"/>
        <w:rPr>
          <w:rStyle w:val="8"/>
          <w:rFonts w:ascii="宋体" w:hAnsi="宋体"/>
          <w:color w:val="auto"/>
          <w:kern w:val="2"/>
          <w:sz w:val="22"/>
          <w:szCs w:val="22"/>
          <w:highlight w:val="none"/>
          <w:u w:val="single"/>
        </w:rPr>
      </w:pPr>
      <w:r>
        <w:rPr>
          <w:rStyle w:val="8"/>
          <w:rFonts w:hint="eastAsia" w:ascii="宋体" w:hAnsi="宋体"/>
          <w:color w:val="auto"/>
          <w:kern w:val="2"/>
          <w:sz w:val="22"/>
          <w:szCs w:val="22"/>
          <w:highlight w:val="none"/>
        </w:rPr>
        <w:t>1.1.1.10其他合同文件包括：</w:t>
      </w:r>
      <w:r>
        <w:rPr>
          <w:rStyle w:val="8"/>
          <w:rFonts w:ascii="宋体" w:hAnsi="宋体" w:cs="宋体"/>
          <w:color w:val="auto"/>
          <w:kern w:val="2"/>
          <w:sz w:val="22"/>
          <w:szCs w:val="22"/>
          <w:highlight w:val="none"/>
        </w:rPr>
        <w:t></w:t>
      </w:r>
      <w:r>
        <w:rPr>
          <w:rStyle w:val="8"/>
          <w:rFonts w:hint="eastAsia" w:ascii="宋体" w:hAnsi="宋体"/>
          <w:color w:val="auto"/>
          <w:kern w:val="2"/>
          <w:sz w:val="22"/>
          <w:szCs w:val="22"/>
          <w:highlight w:val="none"/>
          <w:u w:val="single"/>
        </w:rPr>
        <w:t>招标文件、投标文件、招投标过程中澄清答疑、合同附件、双方签署的补充协议等。</w:t>
      </w:r>
    </w:p>
    <w:p w14:paraId="63FF2A96">
      <w:pPr>
        <w:pStyle w:val="13"/>
        <w:spacing w:line="360" w:lineRule="auto"/>
        <w:ind w:firstLine="440" w:firstLineChars="200"/>
        <w:rPr>
          <w:rStyle w:val="8"/>
          <w:rFonts w:ascii="宋体" w:hAnsi="宋体"/>
          <w:color w:val="auto"/>
          <w:kern w:val="2"/>
          <w:sz w:val="22"/>
          <w:szCs w:val="22"/>
          <w:highlight w:val="none"/>
        </w:rPr>
      </w:pPr>
      <w:r>
        <w:rPr>
          <w:rStyle w:val="8"/>
          <w:rFonts w:ascii="宋体" w:hAnsi="宋体"/>
          <w:color w:val="auto"/>
          <w:kern w:val="2"/>
          <w:sz w:val="22"/>
          <w:szCs w:val="22"/>
          <w:highlight w:val="none"/>
        </w:rPr>
        <w:t>1.1.2 合同当事人及其他相关方</w:t>
      </w:r>
    </w:p>
    <w:p w14:paraId="450930DB">
      <w:pPr>
        <w:pStyle w:val="13"/>
        <w:spacing w:line="360" w:lineRule="auto"/>
        <w:ind w:firstLine="440" w:firstLineChars="200"/>
        <w:rPr>
          <w:rStyle w:val="8"/>
          <w:rFonts w:ascii="宋体" w:hAnsi="宋体"/>
          <w:color w:val="auto"/>
          <w:kern w:val="2"/>
          <w:sz w:val="22"/>
          <w:szCs w:val="22"/>
          <w:highlight w:val="none"/>
        </w:rPr>
      </w:pPr>
      <w:r>
        <w:rPr>
          <w:rStyle w:val="8"/>
          <w:rFonts w:ascii="宋体" w:hAnsi="宋体"/>
          <w:color w:val="auto"/>
          <w:kern w:val="2"/>
          <w:sz w:val="22"/>
          <w:szCs w:val="22"/>
          <w:highlight w:val="none"/>
        </w:rPr>
        <w:t>1.1.2.4监理人：</w:t>
      </w:r>
    </w:p>
    <w:p w14:paraId="11AF4975">
      <w:pPr>
        <w:pStyle w:val="13"/>
        <w:spacing w:line="360" w:lineRule="auto"/>
        <w:ind w:firstLine="440" w:firstLineChars="200"/>
        <w:rPr>
          <w:rStyle w:val="8"/>
          <w:rFonts w:ascii="宋体" w:hAnsi="宋体"/>
          <w:color w:val="auto"/>
          <w:kern w:val="2"/>
          <w:sz w:val="22"/>
          <w:szCs w:val="22"/>
          <w:highlight w:val="none"/>
        </w:rPr>
      </w:pPr>
      <w:r>
        <w:rPr>
          <w:rStyle w:val="8"/>
          <w:rFonts w:ascii="宋体" w:hAnsi="宋体"/>
          <w:color w:val="auto"/>
          <w:kern w:val="2"/>
          <w:sz w:val="22"/>
          <w:szCs w:val="22"/>
          <w:highlight w:val="none"/>
        </w:rPr>
        <w:t>名    称：</w:t>
      </w:r>
      <w:r>
        <w:rPr>
          <w:rStyle w:val="8"/>
          <w:rFonts w:ascii="宋体" w:hAnsi="宋体" w:cs="宋体"/>
          <w:color w:val="auto"/>
          <w:kern w:val="2"/>
          <w:sz w:val="22"/>
          <w:szCs w:val="22"/>
          <w:highlight w:val="none"/>
          <w:u w:val="single"/>
        </w:rPr>
        <w:t></w:t>
      </w:r>
      <w:r>
        <w:rPr>
          <w:rStyle w:val="8"/>
          <w:rFonts w:hint="eastAsia" w:ascii="宋体" w:hAnsi="宋体"/>
          <w:color w:val="auto"/>
          <w:kern w:val="2"/>
          <w:sz w:val="22"/>
          <w:szCs w:val="22"/>
          <w:highlight w:val="none"/>
          <w:u w:val="single"/>
        </w:rPr>
        <w:t xml:space="preserve">           </w:t>
      </w:r>
      <w:r>
        <w:rPr>
          <w:rStyle w:val="8"/>
          <w:rFonts w:ascii="宋体" w:hAnsi="宋体" w:cs="宋体"/>
          <w:color w:val="auto"/>
          <w:kern w:val="2"/>
          <w:sz w:val="22"/>
          <w:szCs w:val="22"/>
          <w:highlight w:val="none"/>
          <w:u w:val="single"/>
        </w:rPr>
        <w:t></w:t>
      </w:r>
      <w:r>
        <w:rPr>
          <w:rStyle w:val="8"/>
          <w:rFonts w:hint="eastAsia" w:ascii="宋体" w:hAnsi="宋体"/>
          <w:color w:val="auto"/>
          <w:kern w:val="2"/>
          <w:sz w:val="22"/>
          <w:szCs w:val="22"/>
          <w:highlight w:val="none"/>
          <w:u w:val="single"/>
        </w:rPr>
        <w:t xml:space="preserve"> </w:t>
      </w:r>
      <w:r>
        <w:rPr>
          <w:rStyle w:val="8"/>
          <w:rFonts w:ascii="宋体" w:hAnsi="宋体"/>
          <w:color w:val="auto"/>
          <w:kern w:val="2"/>
          <w:sz w:val="22"/>
          <w:szCs w:val="22"/>
          <w:highlight w:val="none"/>
          <w:u w:val="single"/>
        </w:rPr>
        <w:t xml:space="preserve"> </w:t>
      </w:r>
      <w:r>
        <w:rPr>
          <w:rStyle w:val="8"/>
          <w:rFonts w:hint="eastAsia" w:ascii="宋体" w:hAnsi="宋体" w:cs="宋体"/>
          <w:color w:val="auto"/>
          <w:kern w:val="2"/>
          <w:sz w:val="22"/>
          <w:szCs w:val="22"/>
          <w:highlight w:val="none"/>
          <w:u w:val="single"/>
        </w:rPr>
        <w:t xml:space="preserve">   </w:t>
      </w:r>
      <w:r>
        <w:rPr>
          <w:rStyle w:val="8"/>
          <w:rFonts w:ascii="宋体" w:hAnsi="宋体"/>
          <w:color w:val="auto"/>
          <w:kern w:val="2"/>
          <w:sz w:val="22"/>
          <w:szCs w:val="22"/>
          <w:highlight w:val="none"/>
        </w:rPr>
        <w:t>；</w:t>
      </w:r>
    </w:p>
    <w:p w14:paraId="4E9B3C8C">
      <w:pPr>
        <w:pStyle w:val="13"/>
        <w:spacing w:line="360" w:lineRule="auto"/>
        <w:ind w:firstLine="440" w:firstLineChars="200"/>
        <w:rPr>
          <w:rStyle w:val="8"/>
          <w:rFonts w:ascii="宋体" w:hAnsi="宋体"/>
          <w:color w:val="auto"/>
          <w:kern w:val="2"/>
          <w:sz w:val="22"/>
          <w:szCs w:val="22"/>
          <w:highlight w:val="none"/>
        </w:rPr>
      </w:pPr>
      <w:r>
        <w:rPr>
          <w:rStyle w:val="8"/>
          <w:rFonts w:ascii="宋体" w:hAnsi="宋体"/>
          <w:color w:val="auto"/>
          <w:kern w:val="2"/>
          <w:sz w:val="22"/>
          <w:szCs w:val="22"/>
          <w:highlight w:val="none"/>
        </w:rPr>
        <w:t>资质类别和等级：</w:t>
      </w:r>
      <w:r>
        <w:rPr>
          <w:rStyle w:val="8"/>
          <w:rFonts w:ascii="宋体" w:hAnsi="宋体" w:cs="宋体"/>
          <w:color w:val="auto"/>
          <w:kern w:val="2"/>
          <w:sz w:val="22"/>
          <w:szCs w:val="22"/>
          <w:highlight w:val="none"/>
          <w:u w:val="single"/>
        </w:rPr>
        <w:t></w:t>
      </w:r>
      <w:r>
        <w:rPr>
          <w:rStyle w:val="8"/>
          <w:rFonts w:hint="eastAsia" w:ascii="宋体" w:hAnsi="宋体"/>
          <w:color w:val="auto"/>
          <w:kern w:val="2"/>
          <w:sz w:val="22"/>
          <w:szCs w:val="22"/>
          <w:highlight w:val="none"/>
          <w:u w:val="single"/>
        </w:rPr>
        <w:t xml:space="preserve">            </w:t>
      </w:r>
      <w:r>
        <w:rPr>
          <w:rStyle w:val="8"/>
          <w:rFonts w:ascii="宋体" w:hAnsi="宋体" w:cs="宋体"/>
          <w:color w:val="auto"/>
          <w:kern w:val="2"/>
          <w:sz w:val="22"/>
          <w:szCs w:val="22"/>
          <w:highlight w:val="none"/>
          <w:u w:val="single"/>
        </w:rPr>
        <w:t></w:t>
      </w:r>
      <w:r>
        <w:rPr>
          <w:rStyle w:val="8"/>
          <w:rFonts w:hint="eastAsia" w:ascii="宋体" w:hAnsi="宋体"/>
          <w:color w:val="auto"/>
          <w:kern w:val="2"/>
          <w:sz w:val="22"/>
          <w:szCs w:val="22"/>
          <w:highlight w:val="none"/>
          <w:u w:val="single"/>
        </w:rPr>
        <w:t xml:space="preserve"> </w:t>
      </w:r>
      <w:r>
        <w:rPr>
          <w:rStyle w:val="8"/>
          <w:rFonts w:hint="eastAsia" w:ascii="宋体" w:hAnsi="宋体" w:cs="宋体"/>
          <w:color w:val="auto"/>
          <w:kern w:val="2"/>
          <w:sz w:val="22"/>
          <w:szCs w:val="22"/>
          <w:highlight w:val="none"/>
          <w:u w:val="single"/>
        </w:rPr>
        <w:t>  </w:t>
      </w:r>
      <w:r>
        <w:rPr>
          <w:rStyle w:val="8"/>
          <w:rFonts w:ascii="宋体" w:hAnsi="宋体"/>
          <w:color w:val="auto"/>
          <w:kern w:val="2"/>
          <w:sz w:val="22"/>
          <w:szCs w:val="22"/>
          <w:highlight w:val="none"/>
        </w:rPr>
        <w:t>；</w:t>
      </w:r>
    </w:p>
    <w:p w14:paraId="12AEC3C8">
      <w:pPr>
        <w:pStyle w:val="13"/>
        <w:spacing w:line="360" w:lineRule="auto"/>
        <w:ind w:firstLine="440" w:firstLineChars="200"/>
        <w:rPr>
          <w:rStyle w:val="8"/>
          <w:rFonts w:ascii="宋体" w:hAnsi="宋体"/>
          <w:color w:val="auto"/>
          <w:kern w:val="2"/>
          <w:sz w:val="22"/>
          <w:szCs w:val="22"/>
          <w:highlight w:val="none"/>
        </w:rPr>
      </w:pPr>
      <w:r>
        <w:rPr>
          <w:rStyle w:val="8"/>
          <w:rFonts w:ascii="宋体" w:hAnsi="宋体"/>
          <w:color w:val="auto"/>
          <w:kern w:val="2"/>
          <w:sz w:val="22"/>
          <w:szCs w:val="22"/>
          <w:highlight w:val="none"/>
        </w:rPr>
        <w:t>联系电话：</w:t>
      </w:r>
      <w:r>
        <w:rPr>
          <w:rStyle w:val="8"/>
          <w:rFonts w:hint="eastAsia" w:ascii="宋体" w:hAnsi="宋体" w:cs="宋体"/>
          <w:color w:val="auto"/>
          <w:kern w:val="2"/>
          <w:sz w:val="22"/>
          <w:szCs w:val="22"/>
          <w:highlight w:val="none"/>
          <w:u w:val="single"/>
        </w:rPr>
        <w:t>    </w:t>
      </w:r>
      <w:r>
        <w:rPr>
          <w:rStyle w:val="8"/>
          <w:rFonts w:hint="eastAsia" w:ascii="宋体" w:hAnsi="宋体"/>
          <w:color w:val="auto"/>
          <w:kern w:val="2"/>
          <w:sz w:val="22"/>
          <w:szCs w:val="22"/>
          <w:highlight w:val="none"/>
          <w:u w:val="single"/>
        </w:rPr>
        <w:t xml:space="preserve">            </w:t>
      </w:r>
      <w:r>
        <w:rPr>
          <w:rStyle w:val="8"/>
          <w:rFonts w:ascii="宋体" w:hAnsi="宋体" w:cs="宋体"/>
          <w:color w:val="auto"/>
          <w:kern w:val="2"/>
          <w:sz w:val="22"/>
          <w:szCs w:val="22"/>
          <w:highlight w:val="none"/>
          <w:u w:val="single"/>
        </w:rPr>
        <w:t></w:t>
      </w:r>
      <w:r>
        <w:rPr>
          <w:rStyle w:val="8"/>
          <w:rFonts w:ascii="宋体" w:hAnsi="宋体"/>
          <w:color w:val="auto"/>
          <w:kern w:val="2"/>
          <w:sz w:val="22"/>
          <w:szCs w:val="22"/>
          <w:highlight w:val="none"/>
        </w:rPr>
        <w:t>；</w:t>
      </w:r>
    </w:p>
    <w:p w14:paraId="4A1334CB">
      <w:pPr>
        <w:pStyle w:val="13"/>
        <w:spacing w:line="360" w:lineRule="auto"/>
        <w:ind w:firstLine="440" w:firstLineChars="200"/>
        <w:rPr>
          <w:rStyle w:val="8"/>
          <w:rFonts w:ascii="宋体" w:hAnsi="宋体"/>
          <w:color w:val="auto"/>
          <w:kern w:val="2"/>
          <w:sz w:val="22"/>
          <w:szCs w:val="22"/>
          <w:highlight w:val="none"/>
        </w:rPr>
      </w:pPr>
      <w:r>
        <w:rPr>
          <w:rStyle w:val="8"/>
          <w:rFonts w:ascii="宋体" w:hAnsi="宋体"/>
          <w:color w:val="auto"/>
          <w:kern w:val="2"/>
          <w:sz w:val="22"/>
          <w:szCs w:val="22"/>
          <w:highlight w:val="none"/>
        </w:rPr>
        <w:t>电子信箱：</w:t>
      </w:r>
      <w:r>
        <w:rPr>
          <w:rStyle w:val="8"/>
          <w:rFonts w:hint="eastAsia" w:ascii="宋体" w:hAnsi="宋体" w:cs="宋体"/>
          <w:color w:val="auto"/>
          <w:kern w:val="2"/>
          <w:sz w:val="22"/>
          <w:szCs w:val="22"/>
          <w:highlight w:val="none"/>
          <w:u w:val="single"/>
        </w:rPr>
        <w:t xml:space="preserve">   </w:t>
      </w:r>
      <w:r>
        <w:rPr>
          <w:rStyle w:val="8"/>
          <w:rFonts w:hint="eastAsia" w:ascii="宋体" w:hAnsi="宋体"/>
          <w:color w:val="auto"/>
          <w:kern w:val="2"/>
          <w:sz w:val="22"/>
          <w:szCs w:val="22"/>
          <w:highlight w:val="none"/>
          <w:u w:val="single"/>
        </w:rPr>
        <w:t xml:space="preserve">            </w:t>
      </w:r>
      <w:r>
        <w:rPr>
          <w:rStyle w:val="8"/>
          <w:rFonts w:ascii="宋体" w:hAnsi="宋体"/>
          <w:color w:val="auto"/>
          <w:kern w:val="2"/>
          <w:sz w:val="22"/>
          <w:szCs w:val="22"/>
          <w:highlight w:val="none"/>
          <w:u w:val="single"/>
        </w:rPr>
        <w:t xml:space="preserve"> </w:t>
      </w:r>
      <w:r>
        <w:rPr>
          <w:rStyle w:val="8"/>
          <w:rFonts w:ascii="宋体" w:hAnsi="宋体" w:cs="宋体"/>
          <w:color w:val="auto"/>
          <w:kern w:val="2"/>
          <w:sz w:val="22"/>
          <w:szCs w:val="22"/>
          <w:highlight w:val="none"/>
          <w:u w:val="single"/>
        </w:rPr>
        <w:t></w:t>
      </w:r>
      <w:r>
        <w:rPr>
          <w:rStyle w:val="8"/>
          <w:rFonts w:ascii="宋体" w:hAnsi="宋体"/>
          <w:color w:val="auto"/>
          <w:kern w:val="2"/>
          <w:sz w:val="22"/>
          <w:szCs w:val="22"/>
          <w:highlight w:val="none"/>
        </w:rPr>
        <w:t>；</w:t>
      </w:r>
    </w:p>
    <w:p w14:paraId="2C5745EE">
      <w:pPr>
        <w:pStyle w:val="13"/>
        <w:spacing w:line="360" w:lineRule="auto"/>
        <w:ind w:firstLine="440" w:firstLineChars="200"/>
        <w:rPr>
          <w:rStyle w:val="8"/>
          <w:rFonts w:ascii="宋体" w:hAnsi="宋体"/>
          <w:color w:val="auto"/>
          <w:kern w:val="2"/>
          <w:sz w:val="22"/>
          <w:szCs w:val="22"/>
          <w:highlight w:val="none"/>
        </w:rPr>
      </w:pPr>
      <w:r>
        <w:rPr>
          <w:rStyle w:val="8"/>
          <w:rFonts w:ascii="宋体" w:hAnsi="宋体"/>
          <w:color w:val="auto"/>
          <w:kern w:val="2"/>
          <w:sz w:val="22"/>
          <w:szCs w:val="22"/>
          <w:highlight w:val="none"/>
        </w:rPr>
        <w:t>通信地址：</w:t>
      </w:r>
      <w:r>
        <w:rPr>
          <w:rStyle w:val="8"/>
          <w:rFonts w:hint="eastAsia" w:ascii="宋体" w:hAnsi="宋体" w:cs="宋体"/>
          <w:color w:val="auto"/>
          <w:kern w:val="2"/>
          <w:sz w:val="22"/>
          <w:szCs w:val="22"/>
          <w:highlight w:val="none"/>
          <w:u w:val="single"/>
        </w:rPr>
        <w:t>    </w:t>
      </w:r>
      <w:r>
        <w:rPr>
          <w:rStyle w:val="8"/>
          <w:rFonts w:hint="eastAsia" w:ascii="宋体" w:hAnsi="宋体"/>
          <w:color w:val="auto"/>
          <w:kern w:val="2"/>
          <w:sz w:val="22"/>
          <w:szCs w:val="22"/>
          <w:highlight w:val="none"/>
          <w:u w:val="single"/>
        </w:rPr>
        <w:t xml:space="preserve">            </w:t>
      </w:r>
      <w:r>
        <w:rPr>
          <w:rStyle w:val="8"/>
          <w:rFonts w:ascii="宋体" w:hAnsi="宋体" w:cs="宋体"/>
          <w:color w:val="auto"/>
          <w:kern w:val="2"/>
          <w:sz w:val="22"/>
          <w:szCs w:val="22"/>
          <w:highlight w:val="none"/>
          <w:u w:val="single"/>
        </w:rPr>
        <w:t></w:t>
      </w:r>
      <w:r>
        <w:rPr>
          <w:rStyle w:val="8"/>
          <w:rFonts w:ascii="宋体" w:hAnsi="宋体"/>
          <w:color w:val="auto"/>
          <w:kern w:val="2"/>
          <w:sz w:val="22"/>
          <w:szCs w:val="22"/>
          <w:highlight w:val="none"/>
        </w:rPr>
        <w:t>。</w:t>
      </w:r>
    </w:p>
    <w:p w14:paraId="5EE2F397">
      <w:pPr>
        <w:pStyle w:val="13"/>
        <w:spacing w:line="360" w:lineRule="auto"/>
        <w:ind w:firstLine="440" w:firstLineChars="200"/>
        <w:rPr>
          <w:rStyle w:val="8"/>
          <w:rFonts w:ascii="宋体" w:hAnsi="宋体"/>
          <w:color w:val="auto"/>
          <w:kern w:val="2"/>
          <w:sz w:val="22"/>
          <w:szCs w:val="22"/>
          <w:highlight w:val="none"/>
        </w:rPr>
      </w:pPr>
      <w:r>
        <w:rPr>
          <w:rStyle w:val="8"/>
          <w:rFonts w:ascii="宋体" w:hAnsi="宋体"/>
          <w:color w:val="auto"/>
          <w:kern w:val="2"/>
          <w:sz w:val="22"/>
          <w:szCs w:val="22"/>
          <w:highlight w:val="none"/>
        </w:rPr>
        <w:t>1.1.2.5 设计人：</w:t>
      </w:r>
    </w:p>
    <w:p w14:paraId="4502448D">
      <w:pPr>
        <w:pStyle w:val="13"/>
        <w:spacing w:line="360" w:lineRule="auto"/>
        <w:ind w:firstLine="440" w:firstLineChars="200"/>
        <w:rPr>
          <w:rStyle w:val="8"/>
          <w:rFonts w:ascii="宋体" w:hAnsi="宋体"/>
          <w:color w:val="auto"/>
          <w:kern w:val="2"/>
          <w:sz w:val="22"/>
          <w:szCs w:val="22"/>
          <w:highlight w:val="none"/>
        </w:rPr>
      </w:pPr>
      <w:r>
        <w:rPr>
          <w:rStyle w:val="8"/>
          <w:rFonts w:ascii="宋体" w:hAnsi="宋体"/>
          <w:color w:val="auto"/>
          <w:kern w:val="2"/>
          <w:sz w:val="22"/>
          <w:szCs w:val="22"/>
          <w:highlight w:val="none"/>
        </w:rPr>
        <w:t>名    称：</w:t>
      </w:r>
      <w:r>
        <w:rPr>
          <w:rStyle w:val="8"/>
          <w:rFonts w:ascii="宋体" w:hAnsi="宋体" w:cs="宋体"/>
          <w:color w:val="auto"/>
          <w:kern w:val="2"/>
          <w:sz w:val="22"/>
          <w:szCs w:val="22"/>
          <w:highlight w:val="none"/>
          <w:u w:val="single"/>
        </w:rPr>
        <w:t></w:t>
      </w:r>
      <w:r>
        <w:rPr>
          <w:rStyle w:val="8"/>
          <w:rFonts w:hint="eastAsia" w:ascii="宋体" w:hAnsi="宋体"/>
          <w:color w:val="auto"/>
          <w:kern w:val="2"/>
          <w:sz w:val="22"/>
          <w:szCs w:val="22"/>
          <w:highlight w:val="none"/>
          <w:u w:val="single"/>
        </w:rPr>
        <w:t xml:space="preserve">             </w:t>
      </w:r>
      <w:r>
        <w:rPr>
          <w:rStyle w:val="8"/>
          <w:rFonts w:hint="eastAsia" w:ascii="宋体" w:hAnsi="宋体" w:cs="宋体"/>
          <w:color w:val="auto"/>
          <w:kern w:val="2"/>
          <w:sz w:val="22"/>
          <w:szCs w:val="22"/>
          <w:highlight w:val="none"/>
          <w:u w:val="single"/>
        </w:rPr>
        <w:t> </w:t>
      </w:r>
      <w:r>
        <w:rPr>
          <w:rStyle w:val="8"/>
          <w:rFonts w:ascii="宋体" w:hAnsi="宋体"/>
          <w:color w:val="auto"/>
          <w:kern w:val="2"/>
          <w:sz w:val="22"/>
          <w:szCs w:val="22"/>
          <w:highlight w:val="none"/>
          <w:u w:val="single"/>
        </w:rPr>
        <w:t xml:space="preserve">   </w:t>
      </w:r>
      <w:r>
        <w:rPr>
          <w:rStyle w:val="8"/>
          <w:rFonts w:ascii="宋体" w:hAnsi="宋体"/>
          <w:color w:val="auto"/>
          <w:kern w:val="2"/>
          <w:sz w:val="22"/>
          <w:szCs w:val="22"/>
          <w:highlight w:val="none"/>
        </w:rPr>
        <w:t>；</w:t>
      </w:r>
    </w:p>
    <w:p w14:paraId="610BE7F3">
      <w:pPr>
        <w:pStyle w:val="13"/>
        <w:spacing w:line="360" w:lineRule="auto"/>
        <w:ind w:firstLine="440" w:firstLineChars="200"/>
        <w:rPr>
          <w:rStyle w:val="8"/>
          <w:rFonts w:ascii="宋体" w:hAnsi="宋体"/>
          <w:color w:val="auto"/>
          <w:kern w:val="2"/>
          <w:sz w:val="22"/>
          <w:szCs w:val="22"/>
          <w:highlight w:val="none"/>
        </w:rPr>
      </w:pPr>
      <w:r>
        <w:rPr>
          <w:rStyle w:val="8"/>
          <w:rFonts w:ascii="宋体" w:hAnsi="宋体"/>
          <w:color w:val="auto"/>
          <w:kern w:val="2"/>
          <w:sz w:val="22"/>
          <w:szCs w:val="22"/>
          <w:highlight w:val="none"/>
        </w:rPr>
        <w:t>资质类别和等级：</w:t>
      </w:r>
      <w:r>
        <w:rPr>
          <w:rStyle w:val="8"/>
          <w:rFonts w:ascii="宋体" w:hAnsi="宋体" w:cs="宋体"/>
          <w:color w:val="auto"/>
          <w:kern w:val="2"/>
          <w:sz w:val="22"/>
          <w:szCs w:val="22"/>
          <w:highlight w:val="none"/>
          <w:u w:val="single"/>
        </w:rPr>
        <w:t></w:t>
      </w:r>
      <w:r>
        <w:rPr>
          <w:rStyle w:val="8"/>
          <w:rFonts w:hint="eastAsia" w:ascii="宋体" w:hAnsi="宋体"/>
          <w:color w:val="auto"/>
          <w:kern w:val="2"/>
          <w:sz w:val="22"/>
          <w:szCs w:val="22"/>
          <w:highlight w:val="none"/>
          <w:u w:val="single"/>
        </w:rPr>
        <w:t xml:space="preserve">            </w:t>
      </w:r>
      <w:r>
        <w:rPr>
          <w:rStyle w:val="8"/>
          <w:rFonts w:hint="eastAsia" w:ascii="宋体" w:hAnsi="宋体" w:cs="宋体"/>
          <w:color w:val="auto"/>
          <w:kern w:val="2"/>
          <w:sz w:val="22"/>
          <w:szCs w:val="22"/>
          <w:highlight w:val="none"/>
          <w:u w:val="single"/>
        </w:rPr>
        <w:t>  </w:t>
      </w:r>
      <w:r>
        <w:rPr>
          <w:rStyle w:val="8"/>
          <w:rFonts w:hint="eastAsia" w:ascii="宋体" w:hAnsi="宋体"/>
          <w:color w:val="auto"/>
          <w:kern w:val="2"/>
          <w:sz w:val="22"/>
          <w:szCs w:val="22"/>
          <w:highlight w:val="none"/>
          <w:u w:val="single"/>
        </w:rPr>
        <w:t xml:space="preserve"> </w:t>
      </w:r>
      <w:r>
        <w:rPr>
          <w:rStyle w:val="8"/>
          <w:rFonts w:ascii="宋体" w:hAnsi="宋体" w:cs="宋体"/>
          <w:color w:val="auto"/>
          <w:kern w:val="2"/>
          <w:sz w:val="22"/>
          <w:szCs w:val="22"/>
          <w:highlight w:val="none"/>
          <w:u w:val="single"/>
        </w:rPr>
        <w:t></w:t>
      </w:r>
      <w:r>
        <w:rPr>
          <w:rStyle w:val="8"/>
          <w:rFonts w:ascii="宋体" w:hAnsi="宋体"/>
          <w:color w:val="auto"/>
          <w:kern w:val="2"/>
          <w:sz w:val="22"/>
          <w:szCs w:val="22"/>
          <w:highlight w:val="none"/>
        </w:rPr>
        <w:t>；</w:t>
      </w:r>
    </w:p>
    <w:p w14:paraId="08E0EA0C">
      <w:pPr>
        <w:pStyle w:val="13"/>
        <w:spacing w:line="360" w:lineRule="auto"/>
        <w:ind w:firstLine="440" w:firstLineChars="200"/>
        <w:rPr>
          <w:rStyle w:val="8"/>
          <w:rFonts w:ascii="宋体" w:hAnsi="宋体"/>
          <w:color w:val="auto"/>
          <w:kern w:val="2"/>
          <w:sz w:val="22"/>
          <w:szCs w:val="22"/>
          <w:highlight w:val="none"/>
        </w:rPr>
      </w:pPr>
      <w:r>
        <w:rPr>
          <w:rStyle w:val="8"/>
          <w:rFonts w:ascii="宋体" w:hAnsi="宋体"/>
          <w:color w:val="auto"/>
          <w:kern w:val="2"/>
          <w:sz w:val="22"/>
          <w:szCs w:val="22"/>
          <w:highlight w:val="none"/>
        </w:rPr>
        <w:t>联系电话：</w:t>
      </w:r>
      <w:r>
        <w:rPr>
          <w:rStyle w:val="8"/>
          <w:rFonts w:hint="eastAsia" w:ascii="宋体" w:hAnsi="宋体" w:cs="宋体"/>
          <w:color w:val="auto"/>
          <w:kern w:val="2"/>
          <w:sz w:val="22"/>
          <w:szCs w:val="22"/>
          <w:highlight w:val="none"/>
          <w:u w:val="single"/>
        </w:rPr>
        <w:t>    </w:t>
      </w:r>
      <w:r>
        <w:rPr>
          <w:rStyle w:val="8"/>
          <w:rFonts w:hint="eastAsia" w:ascii="宋体" w:hAnsi="宋体"/>
          <w:color w:val="auto"/>
          <w:kern w:val="2"/>
          <w:sz w:val="22"/>
          <w:szCs w:val="22"/>
          <w:highlight w:val="none"/>
          <w:u w:val="single"/>
        </w:rPr>
        <w:t xml:space="preserve">            </w:t>
      </w:r>
      <w:r>
        <w:rPr>
          <w:rStyle w:val="8"/>
          <w:rFonts w:ascii="宋体" w:hAnsi="宋体" w:cs="宋体"/>
          <w:color w:val="auto"/>
          <w:kern w:val="2"/>
          <w:sz w:val="22"/>
          <w:szCs w:val="22"/>
          <w:highlight w:val="none"/>
          <w:u w:val="single"/>
        </w:rPr>
        <w:t></w:t>
      </w:r>
      <w:r>
        <w:rPr>
          <w:rStyle w:val="8"/>
          <w:rFonts w:hint="eastAsia" w:ascii="宋体" w:hAnsi="宋体"/>
          <w:color w:val="auto"/>
          <w:kern w:val="2"/>
          <w:sz w:val="22"/>
          <w:szCs w:val="22"/>
          <w:highlight w:val="none"/>
          <w:u w:val="single"/>
        </w:rPr>
        <w:t xml:space="preserve"> </w:t>
      </w:r>
      <w:r>
        <w:rPr>
          <w:rStyle w:val="8"/>
          <w:rFonts w:ascii="宋体" w:hAnsi="宋体" w:cs="宋体"/>
          <w:color w:val="auto"/>
          <w:kern w:val="2"/>
          <w:sz w:val="22"/>
          <w:szCs w:val="22"/>
          <w:highlight w:val="none"/>
          <w:u w:val="single"/>
        </w:rPr>
        <w:t></w:t>
      </w:r>
      <w:r>
        <w:rPr>
          <w:rStyle w:val="8"/>
          <w:rFonts w:ascii="宋体" w:hAnsi="宋体"/>
          <w:color w:val="auto"/>
          <w:kern w:val="2"/>
          <w:sz w:val="22"/>
          <w:szCs w:val="22"/>
          <w:highlight w:val="none"/>
        </w:rPr>
        <w:t>；</w:t>
      </w:r>
    </w:p>
    <w:p w14:paraId="79EE708A">
      <w:pPr>
        <w:pStyle w:val="13"/>
        <w:spacing w:line="360" w:lineRule="auto"/>
        <w:ind w:firstLine="440" w:firstLineChars="200"/>
        <w:rPr>
          <w:rStyle w:val="8"/>
          <w:rFonts w:ascii="宋体" w:hAnsi="宋体"/>
          <w:color w:val="auto"/>
          <w:kern w:val="2"/>
          <w:sz w:val="22"/>
          <w:szCs w:val="22"/>
          <w:highlight w:val="none"/>
        </w:rPr>
      </w:pPr>
      <w:r>
        <w:rPr>
          <w:rStyle w:val="8"/>
          <w:rFonts w:ascii="宋体" w:hAnsi="宋体"/>
          <w:color w:val="auto"/>
          <w:kern w:val="2"/>
          <w:sz w:val="22"/>
          <w:szCs w:val="22"/>
          <w:highlight w:val="none"/>
        </w:rPr>
        <w:t>电子信箱：</w:t>
      </w:r>
      <w:r>
        <w:rPr>
          <w:rStyle w:val="8"/>
          <w:rFonts w:hint="eastAsia" w:ascii="宋体" w:hAnsi="宋体" w:cs="宋体"/>
          <w:color w:val="auto"/>
          <w:kern w:val="2"/>
          <w:sz w:val="22"/>
          <w:szCs w:val="22"/>
          <w:highlight w:val="none"/>
          <w:u w:val="single"/>
        </w:rPr>
        <w:t>    </w:t>
      </w:r>
      <w:r>
        <w:rPr>
          <w:rStyle w:val="8"/>
          <w:rFonts w:hint="eastAsia" w:ascii="宋体" w:hAnsi="宋体"/>
          <w:color w:val="auto"/>
          <w:kern w:val="2"/>
          <w:sz w:val="22"/>
          <w:szCs w:val="22"/>
          <w:highlight w:val="none"/>
          <w:u w:val="single"/>
        </w:rPr>
        <w:t xml:space="preserve">              </w:t>
      </w:r>
      <w:r>
        <w:rPr>
          <w:rStyle w:val="8"/>
          <w:rFonts w:ascii="宋体" w:hAnsi="宋体" w:cs="宋体"/>
          <w:color w:val="auto"/>
          <w:kern w:val="2"/>
          <w:sz w:val="22"/>
          <w:szCs w:val="22"/>
          <w:highlight w:val="none"/>
          <w:u w:val="single"/>
        </w:rPr>
        <w:t></w:t>
      </w:r>
      <w:r>
        <w:rPr>
          <w:rStyle w:val="8"/>
          <w:rFonts w:hint="eastAsia" w:ascii="宋体" w:hAnsi="宋体"/>
          <w:color w:val="auto"/>
          <w:kern w:val="2"/>
          <w:sz w:val="22"/>
          <w:szCs w:val="22"/>
          <w:highlight w:val="none"/>
          <w:u w:val="single"/>
        </w:rPr>
        <w:t xml:space="preserve">  </w:t>
      </w:r>
      <w:r>
        <w:rPr>
          <w:rStyle w:val="8"/>
          <w:rFonts w:ascii="宋体" w:hAnsi="宋体"/>
          <w:color w:val="auto"/>
          <w:kern w:val="2"/>
          <w:sz w:val="22"/>
          <w:szCs w:val="22"/>
          <w:highlight w:val="none"/>
        </w:rPr>
        <w:t>；</w:t>
      </w:r>
    </w:p>
    <w:p w14:paraId="0953CCB5">
      <w:pPr>
        <w:pStyle w:val="13"/>
        <w:spacing w:line="360" w:lineRule="auto"/>
        <w:ind w:firstLine="440" w:firstLineChars="200"/>
        <w:rPr>
          <w:rStyle w:val="8"/>
          <w:rFonts w:ascii="宋体" w:hAnsi="宋体"/>
          <w:color w:val="auto"/>
          <w:kern w:val="2"/>
          <w:sz w:val="22"/>
          <w:szCs w:val="22"/>
          <w:highlight w:val="none"/>
        </w:rPr>
      </w:pPr>
      <w:r>
        <w:rPr>
          <w:rStyle w:val="8"/>
          <w:rFonts w:ascii="宋体" w:hAnsi="宋体"/>
          <w:color w:val="auto"/>
          <w:kern w:val="2"/>
          <w:sz w:val="22"/>
          <w:szCs w:val="22"/>
          <w:highlight w:val="none"/>
        </w:rPr>
        <w:t>通信地址：</w:t>
      </w:r>
      <w:r>
        <w:rPr>
          <w:rStyle w:val="8"/>
          <w:rFonts w:hint="eastAsia" w:ascii="宋体" w:hAnsi="宋体" w:cs="宋体"/>
          <w:color w:val="auto"/>
          <w:kern w:val="2"/>
          <w:sz w:val="22"/>
          <w:szCs w:val="22"/>
          <w:highlight w:val="none"/>
          <w:u w:val="single"/>
        </w:rPr>
        <w:t>    </w:t>
      </w:r>
      <w:r>
        <w:rPr>
          <w:rStyle w:val="8"/>
          <w:rFonts w:hint="eastAsia" w:ascii="宋体" w:hAnsi="宋体"/>
          <w:color w:val="auto"/>
          <w:kern w:val="2"/>
          <w:sz w:val="22"/>
          <w:szCs w:val="22"/>
          <w:highlight w:val="none"/>
          <w:u w:val="single"/>
        </w:rPr>
        <w:t xml:space="preserve">            </w:t>
      </w:r>
      <w:r>
        <w:rPr>
          <w:rStyle w:val="8"/>
          <w:rFonts w:ascii="宋体" w:hAnsi="宋体" w:cs="宋体"/>
          <w:color w:val="auto"/>
          <w:kern w:val="2"/>
          <w:sz w:val="22"/>
          <w:szCs w:val="22"/>
          <w:highlight w:val="none"/>
          <w:u w:val="single"/>
        </w:rPr>
        <w:t></w:t>
      </w:r>
      <w:r>
        <w:rPr>
          <w:rStyle w:val="8"/>
          <w:rFonts w:ascii="宋体" w:hAnsi="宋体"/>
          <w:color w:val="auto"/>
          <w:kern w:val="2"/>
          <w:sz w:val="22"/>
          <w:szCs w:val="22"/>
          <w:highlight w:val="none"/>
        </w:rPr>
        <w:t>。</w:t>
      </w:r>
    </w:p>
    <w:p w14:paraId="2F3547D5">
      <w:pPr>
        <w:pStyle w:val="13"/>
        <w:spacing w:line="360" w:lineRule="auto"/>
        <w:ind w:firstLine="440" w:firstLineChars="200"/>
        <w:rPr>
          <w:rStyle w:val="8"/>
          <w:rFonts w:ascii="宋体" w:hAnsi="宋体"/>
          <w:color w:val="auto"/>
          <w:kern w:val="2"/>
          <w:sz w:val="22"/>
          <w:szCs w:val="22"/>
          <w:highlight w:val="none"/>
        </w:rPr>
      </w:pPr>
      <w:r>
        <w:rPr>
          <w:rStyle w:val="8"/>
          <w:rFonts w:ascii="宋体" w:hAnsi="宋体"/>
          <w:color w:val="auto"/>
          <w:kern w:val="2"/>
          <w:sz w:val="22"/>
          <w:szCs w:val="22"/>
          <w:highlight w:val="none"/>
        </w:rPr>
        <w:t>1.1.3 工程和设备</w:t>
      </w:r>
    </w:p>
    <w:p w14:paraId="692CB413">
      <w:pPr>
        <w:pStyle w:val="13"/>
        <w:spacing w:line="360" w:lineRule="auto"/>
        <w:ind w:firstLine="440" w:firstLineChars="200"/>
        <w:rPr>
          <w:rStyle w:val="8"/>
          <w:rFonts w:ascii="宋体" w:hAnsi="宋体"/>
          <w:color w:val="auto"/>
          <w:kern w:val="2"/>
          <w:sz w:val="22"/>
          <w:szCs w:val="22"/>
          <w:highlight w:val="none"/>
          <w:u w:val="single"/>
        </w:rPr>
      </w:pPr>
      <w:r>
        <w:rPr>
          <w:rStyle w:val="8"/>
          <w:rFonts w:ascii="宋体" w:hAnsi="宋体"/>
          <w:color w:val="auto"/>
          <w:kern w:val="2"/>
          <w:sz w:val="22"/>
          <w:szCs w:val="22"/>
          <w:highlight w:val="none"/>
        </w:rPr>
        <w:t>1.1.3.7 作为施工现场组成部分的其他场所包括：</w:t>
      </w:r>
      <w:r>
        <w:rPr>
          <w:rStyle w:val="8"/>
          <w:rFonts w:hint="eastAsia" w:ascii="宋体" w:hAnsi="宋体"/>
          <w:color w:val="auto"/>
          <w:kern w:val="2"/>
          <w:sz w:val="22"/>
          <w:szCs w:val="22"/>
          <w:highlight w:val="none"/>
          <w:u w:val="single"/>
        </w:rPr>
        <w:t xml:space="preserve">           </w:t>
      </w:r>
    </w:p>
    <w:p w14:paraId="5141F96B">
      <w:pPr>
        <w:pStyle w:val="13"/>
        <w:spacing w:line="360" w:lineRule="auto"/>
        <w:rPr>
          <w:rStyle w:val="8"/>
          <w:rFonts w:ascii="宋体" w:hAnsi="宋体"/>
          <w:color w:val="auto"/>
          <w:kern w:val="2"/>
          <w:sz w:val="22"/>
          <w:szCs w:val="22"/>
          <w:highlight w:val="none"/>
        </w:rPr>
      </w:pPr>
      <w:r>
        <w:rPr>
          <w:rStyle w:val="8"/>
          <w:rFonts w:hint="eastAsia" w:ascii="宋体" w:hAnsi="宋体" w:cs="宋体"/>
          <w:color w:val="auto"/>
          <w:kern w:val="2"/>
          <w:sz w:val="22"/>
          <w:szCs w:val="22"/>
          <w:highlight w:val="none"/>
          <w:u w:val="single"/>
        </w:rPr>
        <w:t xml:space="preserve">          </w:t>
      </w:r>
      <w:r>
        <w:rPr>
          <w:rStyle w:val="8"/>
          <w:rFonts w:hint="eastAsia" w:ascii="宋体" w:hAnsi="宋体"/>
          <w:color w:val="auto"/>
          <w:kern w:val="2"/>
          <w:sz w:val="22"/>
          <w:szCs w:val="22"/>
          <w:highlight w:val="none"/>
          <w:u w:val="single"/>
        </w:rPr>
        <w:t xml:space="preserve">      </w:t>
      </w:r>
      <w:r>
        <w:rPr>
          <w:rStyle w:val="8"/>
          <w:rFonts w:ascii="宋体" w:hAnsi="宋体"/>
          <w:color w:val="auto"/>
          <w:kern w:val="2"/>
          <w:sz w:val="22"/>
          <w:szCs w:val="22"/>
          <w:highlight w:val="none"/>
          <w:u w:val="single"/>
        </w:rPr>
        <w:t xml:space="preserve">                 </w:t>
      </w:r>
      <w:r>
        <w:rPr>
          <w:rStyle w:val="8"/>
          <w:rFonts w:ascii="宋体" w:hAnsi="宋体" w:cs="宋体"/>
          <w:color w:val="auto"/>
          <w:kern w:val="2"/>
          <w:sz w:val="22"/>
          <w:szCs w:val="22"/>
          <w:highlight w:val="none"/>
          <w:u w:val="single"/>
        </w:rPr>
        <w:t></w:t>
      </w:r>
      <w:r>
        <w:rPr>
          <w:rStyle w:val="8"/>
          <w:rFonts w:hint="eastAsia" w:ascii="宋体" w:hAnsi="宋体"/>
          <w:color w:val="auto"/>
          <w:kern w:val="2"/>
          <w:sz w:val="22"/>
          <w:szCs w:val="22"/>
          <w:highlight w:val="none"/>
          <w:u w:val="single"/>
        </w:rPr>
        <w:t xml:space="preserve">    </w:t>
      </w:r>
      <w:r>
        <w:rPr>
          <w:rStyle w:val="8"/>
          <w:rFonts w:hint="eastAsia" w:ascii="宋体" w:hAnsi="宋体" w:cs="宋体"/>
          <w:color w:val="auto"/>
          <w:kern w:val="2"/>
          <w:sz w:val="22"/>
          <w:szCs w:val="22"/>
          <w:highlight w:val="none"/>
          <w:u w:val="single"/>
        </w:rPr>
        <w:t> </w:t>
      </w:r>
      <w:r>
        <w:rPr>
          <w:rStyle w:val="8"/>
          <w:rFonts w:ascii="宋体" w:hAnsi="宋体"/>
          <w:color w:val="auto"/>
          <w:kern w:val="2"/>
          <w:sz w:val="22"/>
          <w:szCs w:val="22"/>
          <w:highlight w:val="none"/>
        </w:rPr>
        <w:t>。</w:t>
      </w:r>
    </w:p>
    <w:p w14:paraId="68A37139">
      <w:pPr>
        <w:pStyle w:val="13"/>
        <w:spacing w:line="360" w:lineRule="auto"/>
        <w:ind w:firstLine="440" w:firstLineChars="200"/>
        <w:jc w:val="left"/>
        <w:rPr>
          <w:rStyle w:val="8"/>
          <w:rFonts w:ascii="宋体" w:hAnsi="宋体"/>
          <w:color w:val="auto"/>
          <w:sz w:val="22"/>
          <w:szCs w:val="22"/>
          <w:highlight w:val="none"/>
        </w:rPr>
      </w:pPr>
      <w:r>
        <w:rPr>
          <w:rStyle w:val="8"/>
          <w:rFonts w:ascii="宋体" w:hAnsi="宋体"/>
          <w:color w:val="auto"/>
          <w:sz w:val="22"/>
          <w:szCs w:val="22"/>
          <w:highlight w:val="none"/>
        </w:rPr>
        <w:t>1.1.3.9 永久占地包括：</w:t>
      </w:r>
      <w:r>
        <w:rPr>
          <w:rStyle w:val="8"/>
          <w:rFonts w:ascii="宋体" w:hAnsi="宋体"/>
          <w:color w:val="auto"/>
          <w:kern w:val="2"/>
          <w:sz w:val="22"/>
          <w:szCs w:val="22"/>
          <w:highlight w:val="none"/>
          <w:u w:val="single"/>
        </w:rPr>
        <w:t xml:space="preserve">           </w:t>
      </w:r>
      <w:r>
        <w:rPr>
          <w:rStyle w:val="8"/>
          <w:rFonts w:ascii="宋体" w:hAnsi="宋体" w:cs="宋体"/>
          <w:color w:val="auto"/>
          <w:kern w:val="2"/>
          <w:sz w:val="22"/>
          <w:szCs w:val="22"/>
          <w:highlight w:val="none"/>
          <w:u w:val="single"/>
        </w:rPr>
        <w:t></w:t>
      </w:r>
      <w:r>
        <w:rPr>
          <w:rStyle w:val="8"/>
          <w:rFonts w:hint="eastAsia" w:ascii="宋体" w:hAnsi="宋体"/>
          <w:color w:val="auto"/>
          <w:kern w:val="2"/>
          <w:sz w:val="22"/>
          <w:szCs w:val="22"/>
          <w:highlight w:val="none"/>
          <w:u w:val="single"/>
        </w:rPr>
        <w:t xml:space="preserve">       </w:t>
      </w:r>
      <w:r>
        <w:rPr>
          <w:rStyle w:val="8"/>
          <w:rFonts w:ascii="宋体" w:hAnsi="宋体" w:cs="宋体"/>
          <w:color w:val="auto"/>
          <w:kern w:val="2"/>
          <w:sz w:val="22"/>
          <w:szCs w:val="22"/>
          <w:highlight w:val="none"/>
          <w:u w:val="single"/>
        </w:rPr>
        <w:t></w:t>
      </w:r>
      <w:r>
        <w:rPr>
          <w:rStyle w:val="8"/>
          <w:rFonts w:hint="eastAsia" w:ascii="宋体" w:hAnsi="宋体"/>
          <w:color w:val="auto"/>
          <w:kern w:val="2"/>
          <w:sz w:val="22"/>
          <w:szCs w:val="22"/>
          <w:highlight w:val="none"/>
          <w:u w:val="single"/>
        </w:rPr>
        <w:t xml:space="preserve"> </w:t>
      </w:r>
      <w:r>
        <w:rPr>
          <w:rStyle w:val="8"/>
          <w:rFonts w:ascii="宋体" w:hAnsi="宋体"/>
          <w:color w:val="auto"/>
          <w:kern w:val="2"/>
          <w:sz w:val="22"/>
          <w:szCs w:val="22"/>
          <w:highlight w:val="none"/>
          <w:u w:val="single"/>
        </w:rPr>
        <w:t xml:space="preserve">    </w:t>
      </w:r>
      <w:r>
        <w:rPr>
          <w:rStyle w:val="8"/>
          <w:rFonts w:hint="eastAsia" w:ascii="宋体" w:hAnsi="宋体" w:cs="宋体"/>
          <w:color w:val="auto"/>
          <w:kern w:val="2"/>
          <w:sz w:val="22"/>
          <w:szCs w:val="22"/>
          <w:highlight w:val="none"/>
          <w:u w:val="single"/>
        </w:rPr>
        <w:t> </w:t>
      </w:r>
      <w:r>
        <w:rPr>
          <w:rStyle w:val="8"/>
          <w:rFonts w:ascii="宋体" w:hAnsi="宋体"/>
          <w:color w:val="auto"/>
          <w:sz w:val="22"/>
          <w:szCs w:val="22"/>
          <w:highlight w:val="none"/>
        </w:rPr>
        <w:t>。</w:t>
      </w:r>
    </w:p>
    <w:p w14:paraId="3BF14C27">
      <w:pPr>
        <w:pStyle w:val="13"/>
        <w:spacing w:line="360" w:lineRule="auto"/>
        <w:ind w:firstLine="440" w:firstLineChars="200"/>
        <w:jc w:val="left"/>
        <w:rPr>
          <w:rStyle w:val="8"/>
          <w:rFonts w:ascii="宋体" w:hAnsi="宋体"/>
          <w:color w:val="auto"/>
          <w:kern w:val="2"/>
          <w:sz w:val="22"/>
          <w:szCs w:val="22"/>
          <w:highlight w:val="none"/>
        </w:rPr>
      </w:pPr>
      <w:r>
        <w:rPr>
          <w:rStyle w:val="8"/>
          <w:rFonts w:ascii="宋体" w:hAnsi="宋体"/>
          <w:color w:val="auto"/>
          <w:sz w:val="22"/>
          <w:szCs w:val="22"/>
          <w:highlight w:val="none"/>
        </w:rPr>
        <w:t>1.1.3.10 临时占地包括：</w:t>
      </w:r>
      <w:r>
        <w:rPr>
          <w:rStyle w:val="8"/>
          <w:rFonts w:ascii="宋体" w:hAnsi="宋体"/>
          <w:color w:val="auto"/>
          <w:kern w:val="2"/>
          <w:sz w:val="22"/>
          <w:szCs w:val="22"/>
          <w:highlight w:val="none"/>
          <w:u w:val="single"/>
        </w:rPr>
        <w:t xml:space="preserve">           </w:t>
      </w:r>
      <w:r>
        <w:rPr>
          <w:rStyle w:val="8"/>
          <w:rFonts w:ascii="宋体" w:hAnsi="宋体" w:cs="宋体"/>
          <w:color w:val="auto"/>
          <w:kern w:val="2"/>
          <w:sz w:val="22"/>
          <w:szCs w:val="22"/>
          <w:highlight w:val="none"/>
          <w:u w:val="single"/>
        </w:rPr>
        <w:t></w:t>
      </w:r>
      <w:r>
        <w:rPr>
          <w:rStyle w:val="8"/>
          <w:rFonts w:hint="eastAsia" w:ascii="宋体" w:hAnsi="宋体"/>
          <w:color w:val="auto"/>
          <w:kern w:val="2"/>
          <w:sz w:val="22"/>
          <w:szCs w:val="22"/>
          <w:highlight w:val="none"/>
          <w:u w:val="single"/>
        </w:rPr>
        <w:t xml:space="preserve">        </w:t>
      </w:r>
      <w:r>
        <w:rPr>
          <w:rStyle w:val="8"/>
          <w:rFonts w:ascii="宋体" w:hAnsi="宋体"/>
          <w:color w:val="auto"/>
          <w:kern w:val="2"/>
          <w:sz w:val="22"/>
          <w:szCs w:val="22"/>
          <w:highlight w:val="none"/>
          <w:u w:val="single"/>
        </w:rPr>
        <w:t xml:space="preserve">   </w:t>
      </w:r>
      <w:r>
        <w:rPr>
          <w:rStyle w:val="8"/>
          <w:rFonts w:hint="eastAsia" w:ascii="宋体" w:hAnsi="宋体" w:cs="宋体"/>
          <w:color w:val="auto"/>
          <w:kern w:val="2"/>
          <w:sz w:val="22"/>
          <w:szCs w:val="22"/>
          <w:highlight w:val="none"/>
          <w:u w:val="single"/>
        </w:rPr>
        <w:t> </w:t>
      </w:r>
      <w:r>
        <w:rPr>
          <w:rStyle w:val="8"/>
          <w:rFonts w:ascii="宋体" w:hAnsi="宋体"/>
          <w:color w:val="auto"/>
          <w:sz w:val="22"/>
          <w:szCs w:val="22"/>
          <w:highlight w:val="none"/>
        </w:rPr>
        <w:t>。</w:t>
      </w:r>
    </w:p>
    <w:p w14:paraId="565B58CD">
      <w:pPr>
        <w:pStyle w:val="13"/>
        <w:spacing w:after="120" w:line="360" w:lineRule="auto"/>
        <w:ind w:firstLine="440" w:firstLineChars="200"/>
        <w:rPr>
          <w:rStyle w:val="8"/>
          <w:rFonts w:ascii="宋体" w:hAnsi="宋体"/>
          <w:color w:val="auto"/>
          <w:kern w:val="2"/>
          <w:sz w:val="22"/>
          <w:szCs w:val="22"/>
          <w:highlight w:val="none"/>
        </w:rPr>
      </w:pPr>
      <w:r>
        <w:rPr>
          <w:rStyle w:val="8"/>
          <w:rFonts w:ascii="宋体" w:hAnsi="宋体"/>
          <w:color w:val="auto"/>
          <w:kern w:val="2"/>
          <w:sz w:val="22"/>
          <w:szCs w:val="22"/>
          <w:highlight w:val="none"/>
        </w:rPr>
        <w:t xml:space="preserve">1.3法律 </w:t>
      </w:r>
    </w:p>
    <w:p w14:paraId="75516D7E">
      <w:pPr>
        <w:pStyle w:val="14"/>
        <w:autoSpaceDE w:val="0"/>
        <w:autoSpaceDN w:val="0"/>
        <w:adjustRightInd w:val="0"/>
        <w:spacing w:line="360" w:lineRule="auto"/>
        <w:ind w:firstLine="545" w:firstLineChars="248"/>
        <w:jc w:val="left"/>
        <w:rPr>
          <w:rStyle w:val="8"/>
          <w:rFonts w:ascii="宋体" w:hAnsi="宋体"/>
          <w:color w:val="auto"/>
          <w:kern w:val="2"/>
          <w:sz w:val="22"/>
          <w:szCs w:val="22"/>
          <w:highlight w:val="none"/>
          <w:u w:val="single"/>
        </w:rPr>
      </w:pPr>
      <w:r>
        <w:rPr>
          <w:rStyle w:val="8"/>
          <w:rFonts w:ascii="宋体" w:hAnsi="宋体"/>
          <w:color w:val="auto"/>
          <w:kern w:val="2"/>
          <w:sz w:val="22"/>
          <w:szCs w:val="22"/>
          <w:highlight w:val="none"/>
        </w:rPr>
        <w:t>适用于合同的其他规范性文件：</w:t>
      </w:r>
      <w:r>
        <w:rPr>
          <w:rStyle w:val="8"/>
          <w:rFonts w:hint="eastAsia" w:ascii="宋体" w:hAnsi="宋体"/>
          <w:color w:val="auto"/>
          <w:kern w:val="2"/>
          <w:sz w:val="22"/>
          <w:szCs w:val="22"/>
          <w:highlight w:val="none"/>
          <w:u w:val="single"/>
        </w:rPr>
        <w:t>《中华人民共和国建筑法》、《中华人民共和国招标投标法》、《中华人民共和国民法典》、《建筑工程质量管理条例》、辽宁省及</w:t>
      </w:r>
      <w:r>
        <w:rPr>
          <w:rStyle w:val="8"/>
          <w:rFonts w:hint="eastAsia" w:ascii="宋体" w:hAnsi="宋体"/>
          <w:color w:val="auto"/>
          <w:kern w:val="2"/>
          <w:sz w:val="22"/>
          <w:szCs w:val="22"/>
          <w:highlight w:val="none"/>
          <w:u w:val="single"/>
          <w:lang w:eastAsia="zh-CN"/>
        </w:rPr>
        <w:t>营口市</w:t>
      </w:r>
      <w:r>
        <w:rPr>
          <w:rStyle w:val="8"/>
          <w:rFonts w:hint="eastAsia" w:ascii="宋体" w:hAnsi="宋体"/>
          <w:color w:val="auto"/>
          <w:kern w:val="2"/>
          <w:sz w:val="22"/>
          <w:szCs w:val="22"/>
          <w:highlight w:val="none"/>
          <w:u w:val="single"/>
        </w:rPr>
        <w:t>相关规定等。</w:t>
      </w:r>
    </w:p>
    <w:p w14:paraId="33F91BC3">
      <w:pPr>
        <w:pStyle w:val="13"/>
        <w:spacing w:after="120" w:line="360" w:lineRule="auto"/>
        <w:ind w:firstLine="440" w:firstLineChars="200"/>
        <w:rPr>
          <w:rStyle w:val="8"/>
          <w:rFonts w:ascii="宋体" w:hAnsi="宋体"/>
          <w:color w:val="auto"/>
          <w:kern w:val="2"/>
          <w:sz w:val="22"/>
          <w:szCs w:val="22"/>
          <w:highlight w:val="none"/>
        </w:rPr>
      </w:pPr>
      <w:r>
        <w:rPr>
          <w:rStyle w:val="8"/>
          <w:rFonts w:ascii="宋体" w:hAnsi="宋体"/>
          <w:color w:val="auto"/>
          <w:kern w:val="2"/>
          <w:sz w:val="22"/>
          <w:szCs w:val="22"/>
          <w:highlight w:val="none"/>
        </w:rPr>
        <w:t>1.4 标准和规范</w:t>
      </w:r>
    </w:p>
    <w:p w14:paraId="5B790746">
      <w:pPr>
        <w:pStyle w:val="13"/>
        <w:spacing w:line="360" w:lineRule="auto"/>
        <w:ind w:left="596" w:leftChars="284"/>
        <w:rPr>
          <w:rStyle w:val="8"/>
          <w:rFonts w:ascii="宋体" w:hAnsi="宋体"/>
          <w:color w:val="auto"/>
          <w:kern w:val="2"/>
          <w:sz w:val="22"/>
          <w:szCs w:val="22"/>
          <w:highlight w:val="none"/>
        </w:rPr>
      </w:pPr>
      <w:r>
        <w:rPr>
          <w:rStyle w:val="8"/>
          <w:rFonts w:ascii="宋体" w:hAnsi="宋体"/>
          <w:color w:val="auto"/>
          <w:kern w:val="2"/>
          <w:sz w:val="22"/>
          <w:szCs w:val="22"/>
          <w:highlight w:val="none"/>
        </w:rPr>
        <w:t>1.4.1适用于工程的标准规范包括：</w:t>
      </w:r>
      <w:r>
        <w:rPr>
          <w:rStyle w:val="8"/>
          <w:rFonts w:ascii="宋体" w:hAnsi="宋体" w:cs="宋体"/>
          <w:color w:val="auto"/>
          <w:kern w:val="2"/>
          <w:sz w:val="22"/>
          <w:szCs w:val="22"/>
          <w:highlight w:val="none"/>
          <w:u w:val="single"/>
        </w:rPr>
        <w:t></w:t>
      </w:r>
      <w:r>
        <w:rPr>
          <w:rStyle w:val="8"/>
          <w:rFonts w:hint="eastAsia" w:ascii="宋体" w:hAnsi="宋体"/>
          <w:color w:val="auto"/>
          <w:kern w:val="2"/>
          <w:sz w:val="22"/>
          <w:szCs w:val="22"/>
          <w:highlight w:val="none"/>
          <w:u w:val="single"/>
        </w:rPr>
        <w:t xml:space="preserve">        </w:t>
      </w:r>
      <w:r>
        <w:rPr>
          <w:rStyle w:val="8"/>
          <w:rFonts w:ascii="宋体" w:hAnsi="宋体" w:cs="宋体"/>
          <w:color w:val="auto"/>
          <w:kern w:val="2"/>
          <w:sz w:val="22"/>
          <w:szCs w:val="22"/>
          <w:highlight w:val="none"/>
          <w:u w:val="single"/>
        </w:rPr>
        <w:t></w:t>
      </w:r>
      <w:r>
        <w:rPr>
          <w:rStyle w:val="8"/>
          <w:rFonts w:hint="eastAsia" w:ascii="宋体" w:hAnsi="宋体"/>
          <w:color w:val="auto"/>
          <w:kern w:val="2"/>
          <w:sz w:val="22"/>
          <w:szCs w:val="22"/>
          <w:highlight w:val="none"/>
          <w:u w:val="single"/>
        </w:rPr>
        <w:t xml:space="preserve">  </w:t>
      </w:r>
      <w:r>
        <w:rPr>
          <w:rStyle w:val="8"/>
          <w:rFonts w:ascii="宋体" w:hAnsi="宋体" w:cs="宋体"/>
          <w:color w:val="auto"/>
          <w:kern w:val="2"/>
          <w:sz w:val="22"/>
          <w:szCs w:val="22"/>
          <w:highlight w:val="none"/>
          <w:u w:val="single"/>
        </w:rPr>
        <w:t></w:t>
      </w:r>
      <w:r>
        <w:rPr>
          <w:rStyle w:val="8"/>
          <w:rFonts w:ascii="宋体" w:hAnsi="宋体"/>
          <w:color w:val="auto"/>
          <w:kern w:val="2"/>
          <w:sz w:val="22"/>
          <w:szCs w:val="22"/>
          <w:highlight w:val="none"/>
        </w:rPr>
        <w:t xml:space="preserve"> </w:t>
      </w:r>
    </w:p>
    <w:p w14:paraId="7EBE1859">
      <w:pPr>
        <w:pStyle w:val="13"/>
        <w:spacing w:line="360" w:lineRule="auto"/>
        <w:rPr>
          <w:rStyle w:val="8"/>
          <w:rFonts w:ascii="宋体" w:hAnsi="宋体"/>
          <w:color w:val="auto"/>
          <w:kern w:val="2"/>
          <w:sz w:val="22"/>
          <w:szCs w:val="22"/>
          <w:highlight w:val="none"/>
        </w:rPr>
      </w:pPr>
      <w:r>
        <w:rPr>
          <w:rStyle w:val="8"/>
          <w:rFonts w:ascii="宋体" w:hAnsi="宋体" w:cs="宋体"/>
          <w:color w:val="auto"/>
          <w:kern w:val="2"/>
          <w:sz w:val="22"/>
          <w:szCs w:val="22"/>
          <w:highlight w:val="none"/>
          <w:u w:val="single"/>
        </w:rPr>
        <w:t></w:t>
      </w:r>
      <w:r>
        <w:rPr>
          <w:rStyle w:val="8"/>
          <w:rFonts w:hint="eastAsia" w:ascii="宋体" w:hAnsi="宋体"/>
          <w:color w:val="auto"/>
          <w:kern w:val="2"/>
          <w:sz w:val="22"/>
          <w:szCs w:val="22"/>
          <w:highlight w:val="none"/>
          <w:u w:val="single"/>
        </w:rPr>
        <w:t xml:space="preserve">                        </w:t>
      </w:r>
      <w:r>
        <w:rPr>
          <w:rStyle w:val="8"/>
          <w:rFonts w:ascii="宋体" w:hAnsi="宋体" w:cs="宋体"/>
          <w:color w:val="auto"/>
          <w:kern w:val="2"/>
          <w:sz w:val="22"/>
          <w:szCs w:val="22"/>
          <w:highlight w:val="none"/>
          <w:u w:val="single"/>
        </w:rPr>
        <w:t></w:t>
      </w:r>
      <w:r>
        <w:rPr>
          <w:rStyle w:val="8"/>
          <w:rFonts w:hint="eastAsia" w:ascii="宋体" w:hAnsi="宋体"/>
          <w:color w:val="auto"/>
          <w:kern w:val="2"/>
          <w:sz w:val="22"/>
          <w:szCs w:val="22"/>
          <w:highlight w:val="none"/>
          <w:u w:val="single"/>
        </w:rPr>
        <w:t xml:space="preserve"> </w:t>
      </w:r>
      <w:r>
        <w:rPr>
          <w:rStyle w:val="8"/>
          <w:rFonts w:ascii="宋体" w:hAnsi="宋体" w:cs="宋体"/>
          <w:color w:val="auto"/>
          <w:kern w:val="2"/>
          <w:sz w:val="22"/>
          <w:szCs w:val="22"/>
          <w:highlight w:val="none"/>
          <w:u w:val="single"/>
        </w:rPr>
        <w:t></w:t>
      </w:r>
      <w:r>
        <w:rPr>
          <w:rStyle w:val="8"/>
          <w:rFonts w:hint="eastAsia" w:ascii="宋体" w:hAnsi="宋体"/>
          <w:color w:val="auto"/>
          <w:kern w:val="2"/>
          <w:sz w:val="22"/>
          <w:szCs w:val="22"/>
          <w:highlight w:val="none"/>
          <w:u w:val="single"/>
        </w:rPr>
        <w:t xml:space="preserve">  </w:t>
      </w:r>
      <w:r>
        <w:rPr>
          <w:rStyle w:val="8"/>
          <w:rFonts w:ascii="宋体" w:hAnsi="宋体" w:cs="宋体"/>
          <w:color w:val="auto"/>
          <w:kern w:val="2"/>
          <w:sz w:val="22"/>
          <w:szCs w:val="22"/>
          <w:highlight w:val="none"/>
          <w:u w:val="single"/>
        </w:rPr>
        <w:t></w:t>
      </w:r>
      <w:r>
        <w:rPr>
          <w:rStyle w:val="8"/>
          <w:rFonts w:hint="eastAsia" w:ascii="宋体" w:hAnsi="宋体"/>
          <w:color w:val="auto"/>
          <w:kern w:val="2"/>
          <w:sz w:val="22"/>
          <w:szCs w:val="22"/>
          <w:highlight w:val="none"/>
          <w:u w:val="single"/>
        </w:rPr>
        <w:t xml:space="preserve"> </w:t>
      </w:r>
      <w:r>
        <w:rPr>
          <w:rStyle w:val="8"/>
          <w:rFonts w:ascii="宋体" w:hAnsi="宋体"/>
          <w:color w:val="auto"/>
          <w:kern w:val="2"/>
          <w:sz w:val="22"/>
          <w:szCs w:val="22"/>
          <w:highlight w:val="none"/>
          <w:u w:val="single"/>
        </w:rPr>
        <w:t xml:space="preserve">  </w:t>
      </w:r>
      <w:r>
        <w:rPr>
          <w:rStyle w:val="8"/>
          <w:rFonts w:ascii="宋体" w:hAnsi="宋体" w:cs="宋体"/>
          <w:color w:val="auto"/>
          <w:kern w:val="2"/>
          <w:sz w:val="22"/>
          <w:szCs w:val="22"/>
          <w:highlight w:val="none"/>
          <w:u w:val="single"/>
        </w:rPr>
        <w:t></w:t>
      </w:r>
      <w:r>
        <w:rPr>
          <w:rStyle w:val="8"/>
          <w:rFonts w:ascii="宋体" w:hAnsi="宋体"/>
          <w:color w:val="auto"/>
          <w:kern w:val="2"/>
          <w:sz w:val="22"/>
          <w:szCs w:val="22"/>
          <w:highlight w:val="none"/>
        </w:rPr>
        <w:t>。</w:t>
      </w:r>
    </w:p>
    <w:p w14:paraId="22FC4C49">
      <w:pPr>
        <w:pStyle w:val="13"/>
        <w:spacing w:line="360" w:lineRule="auto"/>
        <w:ind w:firstLine="440" w:firstLineChars="200"/>
        <w:outlineLvl w:val="0"/>
        <w:rPr>
          <w:rStyle w:val="8"/>
          <w:rFonts w:ascii="宋体" w:hAnsi="宋体"/>
          <w:color w:val="auto"/>
          <w:sz w:val="22"/>
          <w:szCs w:val="22"/>
          <w:highlight w:val="none"/>
        </w:rPr>
      </w:pPr>
      <w:bookmarkStart w:id="224" w:name="_Toc256000820"/>
      <w:bookmarkStart w:id="225" w:name="_Toc256001057"/>
      <w:bookmarkStart w:id="226" w:name="_Toc256000553"/>
      <w:bookmarkStart w:id="227" w:name="_Toc69461144"/>
      <w:bookmarkStart w:id="228" w:name="_Toc69461799"/>
      <w:bookmarkStart w:id="229" w:name="_Toc256000324"/>
      <w:bookmarkStart w:id="230" w:name="_Toc256000047"/>
      <w:bookmarkStart w:id="231" w:name="_Toc5562"/>
      <w:bookmarkStart w:id="232" w:name="_Toc833"/>
      <w:bookmarkStart w:id="233" w:name="_Toc256001287"/>
      <w:bookmarkStart w:id="234" w:name="_Toc5953"/>
      <w:bookmarkStart w:id="235" w:name="_Toc29975"/>
      <w:r>
        <w:rPr>
          <w:rStyle w:val="8"/>
          <w:rFonts w:ascii="宋体" w:hAnsi="宋体"/>
          <w:color w:val="auto"/>
          <w:sz w:val="22"/>
          <w:szCs w:val="22"/>
          <w:highlight w:val="none"/>
        </w:rPr>
        <w:t>1.4.2 发包人提供国外标准、规范的名称：</w:t>
      </w:r>
      <w:bookmarkEnd w:id="224"/>
      <w:bookmarkEnd w:id="225"/>
      <w:bookmarkEnd w:id="226"/>
      <w:bookmarkEnd w:id="227"/>
      <w:bookmarkEnd w:id="228"/>
      <w:bookmarkEnd w:id="229"/>
      <w:r>
        <w:rPr>
          <w:rStyle w:val="8"/>
          <w:rFonts w:ascii="宋体" w:hAnsi="宋体"/>
          <w:color w:val="auto"/>
          <w:sz w:val="22"/>
          <w:szCs w:val="22"/>
          <w:highlight w:val="none"/>
          <w:u w:val="single"/>
        </w:rPr>
        <w:t xml:space="preserve">        </w:t>
      </w:r>
      <w:r>
        <w:rPr>
          <w:rStyle w:val="8"/>
          <w:rFonts w:hint="eastAsia" w:ascii="宋体" w:hAnsi="宋体"/>
          <w:color w:val="auto"/>
          <w:sz w:val="22"/>
          <w:szCs w:val="22"/>
          <w:highlight w:val="none"/>
          <w:u w:val="single"/>
        </w:rPr>
        <w:t xml:space="preserve">   </w:t>
      </w:r>
      <w:r>
        <w:rPr>
          <w:rStyle w:val="8"/>
          <w:rFonts w:ascii="宋体" w:hAnsi="宋体"/>
          <w:color w:val="auto"/>
          <w:sz w:val="22"/>
          <w:szCs w:val="22"/>
          <w:highlight w:val="none"/>
          <w:u w:val="single"/>
        </w:rPr>
        <w:t xml:space="preserve">  </w:t>
      </w:r>
      <w:r>
        <w:rPr>
          <w:rStyle w:val="8"/>
          <w:rFonts w:hint="eastAsia" w:ascii="宋体" w:hAnsi="宋体"/>
          <w:color w:val="auto"/>
          <w:sz w:val="22"/>
          <w:szCs w:val="22"/>
          <w:highlight w:val="none"/>
          <w:u w:val="single"/>
        </w:rPr>
        <w:t xml:space="preserve"> </w:t>
      </w:r>
      <w:r>
        <w:rPr>
          <w:rStyle w:val="8"/>
          <w:rFonts w:ascii="宋体" w:hAnsi="宋体"/>
          <w:color w:val="auto"/>
          <w:sz w:val="22"/>
          <w:szCs w:val="22"/>
          <w:highlight w:val="none"/>
          <w:u w:val="single"/>
        </w:rPr>
        <w:t xml:space="preserve">        </w:t>
      </w:r>
      <w:r>
        <w:rPr>
          <w:rStyle w:val="8"/>
          <w:rFonts w:hint="eastAsia" w:ascii="宋体" w:hAnsi="宋体"/>
          <w:color w:val="auto"/>
          <w:sz w:val="22"/>
          <w:szCs w:val="22"/>
          <w:highlight w:val="none"/>
          <w:u w:val="single"/>
        </w:rPr>
        <w:t xml:space="preserve"> </w:t>
      </w:r>
      <w:r>
        <w:rPr>
          <w:rStyle w:val="8"/>
          <w:rFonts w:ascii="宋体" w:hAnsi="宋体"/>
          <w:color w:val="auto"/>
          <w:sz w:val="22"/>
          <w:szCs w:val="22"/>
          <w:highlight w:val="none"/>
          <w:u w:val="single"/>
        </w:rPr>
        <w:t xml:space="preserve">            </w:t>
      </w:r>
      <w:r>
        <w:rPr>
          <w:rStyle w:val="8"/>
          <w:rFonts w:ascii="宋体" w:hAnsi="宋体"/>
          <w:color w:val="auto"/>
          <w:sz w:val="22"/>
          <w:szCs w:val="22"/>
          <w:highlight w:val="none"/>
        </w:rPr>
        <w:t>；</w:t>
      </w:r>
      <w:bookmarkEnd w:id="230"/>
      <w:bookmarkEnd w:id="231"/>
      <w:bookmarkEnd w:id="232"/>
      <w:bookmarkEnd w:id="233"/>
      <w:bookmarkEnd w:id="234"/>
      <w:bookmarkEnd w:id="235"/>
    </w:p>
    <w:p w14:paraId="36FF73FE">
      <w:pPr>
        <w:pStyle w:val="13"/>
        <w:spacing w:line="360" w:lineRule="auto"/>
        <w:ind w:firstLine="440" w:firstLineChars="200"/>
        <w:rPr>
          <w:rStyle w:val="8"/>
          <w:rFonts w:ascii="宋体" w:hAnsi="宋体"/>
          <w:color w:val="auto"/>
          <w:sz w:val="22"/>
          <w:szCs w:val="22"/>
          <w:highlight w:val="none"/>
        </w:rPr>
      </w:pPr>
      <w:r>
        <w:rPr>
          <w:rStyle w:val="8"/>
          <w:rFonts w:ascii="宋体" w:hAnsi="宋体"/>
          <w:color w:val="auto"/>
          <w:sz w:val="22"/>
          <w:szCs w:val="22"/>
          <w:highlight w:val="none"/>
        </w:rPr>
        <w:t>发包人提供国外标准、规范的份数：</w:t>
      </w:r>
      <w:r>
        <w:rPr>
          <w:rStyle w:val="8"/>
          <w:rFonts w:ascii="宋体" w:hAnsi="宋体"/>
          <w:color w:val="auto"/>
          <w:sz w:val="22"/>
          <w:szCs w:val="22"/>
          <w:highlight w:val="none"/>
          <w:u w:val="single"/>
        </w:rPr>
        <w:t xml:space="preserve">     </w:t>
      </w:r>
      <w:r>
        <w:rPr>
          <w:rStyle w:val="8"/>
          <w:rFonts w:hint="eastAsia" w:ascii="宋体" w:hAnsi="宋体"/>
          <w:color w:val="auto"/>
          <w:sz w:val="22"/>
          <w:szCs w:val="22"/>
          <w:highlight w:val="none"/>
          <w:u w:val="single"/>
        </w:rPr>
        <w:t xml:space="preserve">  </w:t>
      </w:r>
      <w:r>
        <w:rPr>
          <w:rStyle w:val="8"/>
          <w:rFonts w:ascii="宋体" w:hAnsi="宋体"/>
          <w:color w:val="auto"/>
          <w:sz w:val="22"/>
          <w:szCs w:val="22"/>
          <w:highlight w:val="none"/>
          <w:u w:val="single"/>
        </w:rPr>
        <w:t xml:space="preserve"> </w:t>
      </w:r>
      <w:r>
        <w:rPr>
          <w:rStyle w:val="8"/>
          <w:rFonts w:hint="eastAsia" w:ascii="宋体" w:hAnsi="宋体"/>
          <w:color w:val="auto"/>
          <w:sz w:val="22"/>
          <w:szCs w:val="22"/>
          <w:highlight w:val="none"/>
          <w:u w:val="single"/>
        </w:rPr>
        <w:t xml:space="preserve">   </w:t>
      </w:r>
      <w:r>
        <w:rPr>
          <w:rStyle w:val="8"/>
          <w:rFonts w:ascii="宋体" w:hAnsi="宋体"/>
          <w:color w:val="auto"/>
          <w:sz w:val="22"/>
          <w:szCs w:val="22"/>
          <w:highlight w:val="none"/>
          <w:u w:val="single"/>
        </w:rPr>
        <w:t xml:space="preserve">           </w:t>
      </w:r>
      <w:r>
        <w:rPr>
          <w:rStyle w:val="8"/>
          <w:rFonts w:ascii="宋体" w:hAnsi="宋体"/>
          <w:color w:val="auto"/>
          <w:sz w:val="22"/>
          <w:szCs w:val="22"/>
          <w:highlight w:val="none"/>
        </w:rPr>
        <w:t>；</w:t>
      </w:r>
    </w:p>
    <w:p w14:paraId="385B90F7">
      <w:pPr>
        <w:pStyle w:val="13"/>
        <w:spacing w:line="360" w:lineRule="auto"/>
        <w:ind w:firstLine="440" w:firstLineChars="200"/>
        <w:rPr>
          <w:rStyle w:val="8"/>
          <w:rFonts w:ascii="宋体" w:hAnsi="宋体"/>
          <w:color w:val="auto"/>
          <w:kern w:val="2"/>
          <w:sz w:val="22"/>
          <w:szCs w:val="22"/>
          <w:highlight w:val="none"/>
        </w:rPr>
      </w:pPr>
      <w:r>
        <w:rPr>
          <w:rStyle w:val="8"/>
          <w:rFonts w:ascii="宋体" w:hAnsi="宋体"/>
          <w:color w:val="auto"/>
          <w:sz w:val="22"/>
          <w:szCs w:val="22"/>
          <w:highlight w:val="none"/>
        </w:rPr>
        <w:t>发包人提供国外标准、规范的名称：</w:t>
      </w:r>
      <w:r>
        <w:rPr>
          <w:rStyle w:val="8"/>
          <w:rFonts w:ascii="宋体" w:hAnsi="宋体"/>
          <w:color w:val="auto"/>
          <w:sz w:val="22"/>
          <w:szCs w:val="22"/>
          <w:highlight w:val="none"/>
          <w:u w:val="single"/>
        </w:rPr>
        <w:t xml:space="preserve">   </w:t>
      </w:r>
      <w:r>
        <w:rPr>
          <w:rStyle w:val="8"/>
          <w:rFonts w:hint="eastAsia" w:ascii="宋体" w:hAnsi="宋体"/>
          <w:color w:val="auto"/>
          <w:sz w:val="22"/>
          <w:szCs w:val="22"/>
          <w:highlight w:val="none"/>
          <w:u w:val="single"/>
        </w:rPr>
        <w:t xml:space="preserve">  </w:t>
      </w:r>
      <w:r>
        <w:rPr>
          <w:rStyle w:val="8"/>
          <w:rFonts w:ascii="宋体" w:hAnsi="宋体"/>
          <w:color w:val="auto"/>
          <w:sz w:val="22"/>
          <w:szCs w:val="22"/>
          <w:highlight w:val="none"/>
          <w:u w:val="single"/>
        </w:rPr>
        <w:t xml:space="preserve">  </w:t>
      </w:r>
      <w:r>
        <w:rPr>
          <w:rStyle w:val="8"/>
          <w:rFonts w:hint="eastAsia" w:ascii="宋体" w:hAnsi="宋体"/>
          <w:color w:val="auto"/>
          <w:sz w:val="22"/>
          <w:szCs w:val="22"/>
          <w:highlight w:val="none"/>
          <w:u w:val="single"/>
        </w:rPr>
        <w:t xml:space="preserve"> </w:t>
      </w:r>
      <w:r>
        <w:rPr>
          <w:rStyle w:val="8"/>
          <w:rFonts w:ascii="宋体" w:hAnsi="宋体"/>
          <w:color w:val="auto"/>
          <w:sz w:val="22"/>
          <w:szCs w:val="22"/>
          <w:highlight w:val="none"/>
          <w:u w:val="single"/>
        </w:rPr>
        <w:t xml:space="preserve">    </w:t>
      </w:r>
      <w:r>
        <w:rPr>
          <w:rStyle w:val="8"/>
          <w:rFonts w:hint="eastAsia" w:ascii="宋体" w:hAnsi="宋体"/>
          <w:color w:val="auto"/>
          <w:sz w:val="22"/>
          <w:szCs w:val="22"/>
          <w:highlight w:val="none"/>
          <w:u w:val="single"/>
        </w:rPr>
        <w:t xml:space="preserve">   </w:t>
      </w:r>
      <w:r>
        <w:rPr>
          <w:rStyle w:val="8"/>
          <w:rFonts w:ascii="宋体" w:hAnsi="宋体"/>
          <w:color w:val="auto"/>
          <w:sz w:val="22"/>
          <w:szCs w:val="22"/>
          <w:highlight w:val="none"/>
          <w:u w:val="single"/>
        </w:rPr>
        <w:t xml:space="preserve">       </w:t>
      </w:r>
      <w:r>
        <w:rPr>
          <w:rStyle w:val="8"/>
          <w:rFonts w:ascii="宋体" w:hAnsi="宋体"/>
          <w:color w:val="auto"/>
          <w:sz w:val="22"/>
          <w:szCs w:val="22"/>
          <w:highlight w:val="none"/>
        </w:rPr>
        <w:t>。</w:t>
      </w:r>
    </w:p>
    <w:p w14:paraId="49C05061">
      <w:pPr>
        <w:pStyle w:val="13"/>
        <w:spacing w:line="360" w:lineRule="auto"/>
        <w:ind w:left="596" w:leftChars="284"/>
        <w:rPr>
          <w:rStyle w:val="8"/>
          <w:rFonts w:ascii="宋体" w:hAnsi="宋体"/>
          <w:color w:val="auto"/>
          <w:kern w:val="2"/>
          <w:sz w:val="22"/>
          <w:szCs w:val="22"/>
          <w:highlight w:val="none"/>
        </w:rPr>
      </w:pPr>
      <w:r>
        <w:rPr>
          <w:rStyle w:val="8"/>
          <w:rFonts w:ascii="宋体" w:hAnsi="宋体"/>
          <w:color w:val="auto"/>
          <w:kern w:val="2"/>
          <w:sz w:val="22"/>
          <w:szCs w:val="22"/>
          <w:highlight w:val="none"/>
        </w:rPr>
        <w:t>1.4.3发包人对工程的技术标准和功能要求的特殊要求：</w:t>
      </w:r>
      <w:r>
        <w:rPr>
          <w:rStyle w:val="8"/>
          <w:rFonts w:hint="eastAsia" w:ascii="宋体" w:hAnsi="宋体" w:cs="宋体"/>
          <w:color w:val="auto"/>
          <w:kern w:val="2"/>
          <w:sz w:val="22"/>
          <w:szCs w:val="22"/>
          <w:highlight w:val="none"/>
          <w:u w:val="single"/>
        </w:rPr>
        <w:t xml:space="preserve">  </w:t>
      </w:r>
      <w:r>
        <w:rPr>
          <w:rStyle w:val="8"/>
          <w:rFonts w:hint="eastAsia" w:ascii="宋体" w:hAnsi="宋体"/>
          <w:color w:val="auto"/>
          <w:kern w:val="2"/>
          <w:sz w:val="22"/>
          <w:szCs w:val="22"/>
          <w:highlight w:val="none"/>
          <w:u w:val="single"/>
        </w:rPr>
        <w:t xml:space="preserve">       </w:t>
      </w:r>
      <w:r>
        <w:rPr>
          <w:rStyle w:val="8"/>
          <w:rFonts w:ascii="宋体" w:hAnsi="宋体"/>
          <w:color w:val="auto"/>
          <w:kern w:val="2"/>
          <w:sz w:val="22"/>
          <w:szCs w:val="22"/>
          <w:highlight w:val="none"/>
          <w:u w:val="single"/>
        </w:rPr>
        <w:t xml:space="preserve"> </w:t>
      </w:r>
      <w:r>
        <w:rPr>
          <w:rStyle w:val="8"/>
          <w:rFonts w:hint="eastAsia" w:ascii="宋体" w:hAnsi="宋体"/>
          <w:color w:val="auto"/>
          <w:kern w:val="2"/>
          <w:sz w:val="22"/>
          <w:szCs w:val="22"/>
          <w:highlight w:val="none"/>
          <w:u w:val="single"/>
        </w:rPr>
        <w:t xml:space="preserve">   </w:t>
      </w:r>
      <w:r>
        <w:rPr>
          <w:rStyle w:val="8"/>
          <w:rFonts w:ascii="宋体" w:hAnsi="宋体"/>
          <w:color w:val="auto"/>
          <w:kern w:val="2"/>
          <w:sz w:val="22"/>
          <w:szCs w:val="22"/>
          <w:highlight w:val="none"/>
          <w:u w:val="single"/>
        </w:rPr>
        <w:t xml:space="preserve">       </w:t>
      </w:r>
      <w:r>
        <w:rPr>
          <w:rStyle w:val="8"/>
          <w:rFonts w:ascii="宋体" w:hAnsi="宋体"/>
          <w:color w:val="auto"/>
          <w:kern w:val="2"/>
          <w:sz w:val="22"/>
          <w:szCs w:val="22"/>
          <w:highlight w:val="none"/>
        </w:rPr>
        <w:t>。</w:t>
      </w:r>
    </w:p>
    <w:p w14:paraId="0B38FCA4">
      <w:pPr>
        <w:pStyle w:val="13"/>
        <w:spacing w:after="120" w:line="360" w:lineRule="auto"/>
        <w:ind w:firstLine="440" w:firstLineChars="200"/>
        <w:outlineLvl w:val="0"/>
        <w:rPr>
          <w:rStyle w:val="8"/>
          <w:rFonts w:ascii="宋体" w:hAnsi="宋体"/>
          <w:color w:val="auto"/>
          <w:kern w:val="2"/>
          <w:sz w:val="22"/>
          <w:szCs w:val="22"/>
          <w:highlight w:val="none"/>
        </w:rPr>
      </w:pPr>
      <w:bookmarkStart w:id="236" w:name="_Toc29750"/>
      <w:bookmarkStart w:id="237" w:name="_Toc256000821"/>
      <w:bookmarkStart w:id="238" w:name="_Toc256001058"/>
      <w:bookmarkStart w:id="239" w:name="_Toc18382"/>
      <w:bookmarkStart w:id="240" w:name="_Toc69461800"/>
      <w:bookmarkStart w:id="241" w:name="_Toc256000325"/>
      <w:bookmarkStart w:id="242" w:name="_Toc10604"/>
      <w:bookmarkStart w:id="243" w:name="_Toc20068"/>
      <w:bookmarkStart w:id="244" w:name="_Toc69461145"/>
      <w:bookmarkStart w:id="245" w:name="_Toc256000048"/>
      <w:bookmarkStart w:id="246" w:name="_Toc256000554"/>
      <w:bookmarkStart w:id="247" w:name="_Toc256001288"/>
      <w:r>
        <w:rPr>
          <w:rStyle w:val="8"/>
          <w:rFonts w:ascii="宋体" w:hAnsi="宋体"/>
          <w:color w:val="auto"/>
          <w:kern w:val="2"/>
          <w:sz w:val="22"/>
          <w:szCs w:val="22"/>
          <w:highlight w:val="none"/>
        </w:rPr>
        <w:t>1.5 合同文件的优先顺序</w:t>
      </w:r>
      <w:bookmarkEnd w:id="236"/>
      <w:bookmarkEnd w:id="237"/>
      <w:bookmarkEnd w:id="238"/>
      <w:bookmarkEnd w:id="239"/>
      <w:bookmarkEnd w:id="240"/>
      <w:bookmarkEnd w:id="241"/>
      <w:bookmarkEnd w:id="242"/>
      <w:bookmarkEnd w:id="243"/>
      <w:bookmarkEnd w:id="244"/>
      <w:bookmarkEnd w:id="245"/>
      <w:bookmarkEnd w:id="246"/>
      <w:bookmarkEnd w:id="247"/>
    </w:p>
    <w:p w14:paraId="772484FD">
      <w:pPr>
        <w:pStyle w:val="14"/>
        <w:spacing w:line="360" w:lineRule="auto"/>
        <w:ind w:firstLine="440" w:firstLineChars="200"/>
        <w:rPr>
          <w:rStyle w:val="8"/>
          <w:rFonts w:ascii="宋体" w:hAnsi="宋体"/>
          <w:color w:val="auto"/>
          <w:kern w:val="2"/>
          <w:sz w:val="22"/>
          <w:szCs w:val="22"/>
          <w:highlight w:val="none"/>
        </w:rPr>
      </w:pPr>
      <w:r>
        <w:rPr>
          <w:rStyle w:val="8"/>
          <w:rFonts w:ascii="宋体" w:hAnsi="宋体"/>
          <w:color w:val="auto"/>
          <w:kern w:val="2"/>
          <w:sz w:val="22"/>
          <w:szCs w:val="22"/>
          <w:highlight w:val="none"/>
        </w:rPr>
        <w:t>合同文件组成及优先顺序为：</w:t>
      </w:r>
    </w:p>
    <w:p w14:paraId="1E99ECDA">
      <w:pPr>
        <w:pStyle w:val="13"/>
        <w:spacing w:line="360" w:lineRule="auto"/>
        <w:ind w:firstLine="440" w:firstLineChars="200"/>
        <w:rPr>
          <w:rStyle w:val="8"/>
          <w:rFonts w:ascii="宋体" w:hAnsi="宋体"/>
          <w:color w:val="auto"/>
          <w:sz w:val="22"/>
          <w:szCs w:val="22"/>
          <w:highlight w:val="none"/>
        </w:rPr>
      </w:pPr>
      <w:r>
        <w:rPr>
          <w:rStyle w:val="8"/>
          <w:rFonts w:hint="eastAsia" w:ascii="宋体" w:hAnsi="宋体"/>
          <w:color w:val="auto"/>
          <w:sz w:val="22"/>
          <w:szCs w:val="22"/>
          <w:highlight w:val="none"/>
        </w:rPr>
        <w:t>（1）合同协议书；</w:t>
      </w:r>
    </w:p>
    <w:p w14:paraId="2CA4D9C8">
      <w:pPr>
        <w:pStyle w:val="13"/>
        <w:spacing w:line="360" w:lineRule="auto"/>
        <w:ind w:firstLine="440" w:firstLineChars="200"/>
        <w:rPr>
          <w:rStyle w:val="8"/>
          <w:rFonts w:ascii="宋体" w:hAnsi="宋体"/>
          <w:color w:val="auto"/>
          <w:sz w:val="22"/>
          <w:szCs w:val="22"/>
          <w:highlight w:val="none"/>
        </w:rPr>
      </w:pPr>
      <w:r>
        <w:rPr>
          <w:rStyle w:val="8"/>
          <w:rFonts w:hint="eastAsia" w:ascii="宋体" w:hAnsi="宋体"/>
          <w:color w:val="auto"/>
          <w:sz w:val="22"/>
          <w:szCs w:val="22"/>
          <w:highlight w:val="none"/>
        </w:rPr>
        <w:t>（2）中标通知书；</w:t>
      </w:r>
    </w:p>
    <w:p w14:paraId="45960D78">
      <w:pPr>
        <w:pStyle w:val="13"/>
        <w:spacing w:line="360" w:lineRule="auto"/>
        <w:ind w:firstLine="440" w:firstLineChars="200"/>
        <w:rPr>
          <w:rStyle w:val="8"/>
          <w:rFonts w:ascii="宋体" w:hAnsi="宋体"/>
          <w:color w:val="auto"/>
          <w:sz w:val="22"/>
          <w:szCs w:val="22"/>
          <w:highlight w:val="none"/>
        </w:rPr>
      </w:pPr>
      <w:r>
        <w:rPr>
          <w:rStyle w:val="8"/>
          <w:rFonts w:hint="eastAsia" w:ascii="宋体" w:hAnsi="宋体"/>
          <w:color w:val="auto"/>
          <w:sz w:val="22"/>
          <w:szCs w:val="22"/>
          <w:highlight w:val="none"/>
        </w:rPr>
        <w:t>（3）投标函及其附录；</w:t>
      </w:r>
    </w:p>
    <w:p w14:paraId="162C06B1">
      <w:pPr>
        <w:pStyle w:val="13"/>
        <w:spacing w:line="360" w:lineRule="auto"/>
        <w:ind w:firstLine="440" w:firstLineChars="200"/>
        <w:rPr>
          <w:rStyle w:val="8"/>
          <w:rFonts w:ascii="宋体" w:hAnsi="宋体"/>
          <w:color w:val="auto"/>
          <w:sz w:val="22"/>
          <w:szCs w:val="22"/>
          <w:highlight w:val="none"/>
        </w:rPr>
      </w:pPr>
      <w:r>
        <w:rPr>
          <w:rStyle w:val="8"/>
          <w:rFonts w:hint="eastAsia" w:ascii="宋体" w:hAnsi="宋体"/>
          <w:color w:val="auto"/>
          <w:sz w:val="22"/>
          <w:szCs w:val="22"/>
          <w:highlight w:val="none"/>
        </w:rPr>
        <w:t>（4）专用合同条款及其附件；</w:t>
      </w:r>
    </w:p>
    <w:p w14:paraId="66D2F001">
      <w:pPr>
        <w:pStyle w:val="13"/>
        <w:spacing w:line="360" w:lineRule="auto"/>
        <w:ind w:firstLine="440" w:firstLineChars="200"/>
        <w:rPr>
          <w:rStyle w:val="8"/>
          <w:rFonts w:ascii="宋体" w:hAnsi="宋体"/>
          <w:color w:val="auto"/>
          <w:sz w:val="22"/>
          <w:szCs w:val="22"/>
          <w:highlight w:val="none"/>
        </w:rPr>
      </w:pPr>
      <w:r>
        <w:rPr>
          <w:rStyle w:val="8"/>
          <w:rFonts w:hint="eastAsia" w:ascii="宋体" w:hAnsi="宋体"/>
          <w:color w:val="auto"/>
          <w:sz w:val="22"/>
          <w:szCs w:val="22"/>
          <w:highlight w:val="none"/>
        </w:rPr>
        <w:t>（5）通用合同条款；</w:t>
      </w:r>
    </w:p>
    <w:p w14:paraId="3FC937CF">
      <w:pPr>
        <w:pStyle w:val="13"/>
        <w:spacing w:line="360" w:lineRule="auto"/>
        <w:ind w:firstLine="440" w:firstLineChars="200"/>
        <w:rPr>
          <w:rStyle w:val="8"/>
          <w:rFonts w:ascii="宋体" w:hAnsi="宋体"/>
          <w:color w:val="auto"/>
          <w:sz w:val="22"/>
          <w:szCs w:val="22"/>
          <w:highlight w:val="none"/>
        </w:rPr>
      </w:pPr>
      <w:r>
        <w:rPr>
          <w:rStyle w:val="8"/>
          <w:rFonts w:hint="eastAsia" w:ascii="宋体" w:hAnsi="宋体"/>
          <w:color w:val="auto"/>
          <w:sz w:val="22"/>
          <w:szCs w:val="22"/>
          <w:highlight w:val="none"/>
        </w:rPr>
        <w:t>（6）技术标准和要求；</w:t>
      </w:r>
    </w:p>
    <w:p w14:paraId="6F96B10B">
      <w:pPr>
        <w:pStyle w:val="13"/>
        <w:spacing w:line="360" w:lineRule="auto"/>
        <w:ind w:firstLine="440" w:firstLineChars="200"/>
        <w:rPr>
          <w:rStyle w:val="8"/>
          <w:rFonts w:ascii="宋体" w:hAnsi="宋体"/>
          <w:color w:val="auto"/>
          <w:sz w:val="22"/>
          <w:szCs w:val="22"/>
          <w:highlight w:val="none"/>
        </w:rPr>
      </w:pPr>
      <w:r>
        <w:rPr>
          <w:rStyle w:val="8"/>
          <w:rFonts w:hint="eastAsia" w:ascii="宋体" w:hAnsi="宋体"/>
          <w:color w:val="auto"/>
          <w:sz w:val="22"/>
          <w:szCs w:val="22"/>
          <w:highlight w:val="none"/>
        </w:rPr>
        <w:t>（7）图纸；</w:t>
      </w:r>
    </w:p>
    <w:p w14:paraId="75A9AD10">
      <w:pPr>
        <w:pStyle w:val="13"/>
        <w:spacing w:line="360" w:lineRule="auto"/>
        <w:ind w:firstLine="440" w:firstLineChars="200"/>
        <w:rPr>
          <w:rStyle w:val="8"/>
          <w:rFonts w:ascii="宋体" w:hAnsi="宋体"/>
          <w:color w:val="auto"/>
          <w:sz w:val="22"/>
          <w:szCs w:val="22"/>
          <w:highlight w:val="none"/>
        </w:rPr>
      </w:pPr>
      <w:r>
        <w:rPr>
          <w:rStyle w:val="8"/>
          <w:rFonts w:hint="eastAsia" w:ascii="宋体" w:hAnsi="宋体"/>
          <w:color w:val="auto"/>
          <w:sz w:val="22"/>
          <w:szCs w:val="22"/>
          <w:highlight w:val="none"/>
        </w:rPr>
        <w:t>（8）已标价工程量清单；</w:t>
      </w:r>
    </w:p>
    <w:p w14:paraId="0A6B9D09">
      <w:pPr>
        <w:pStyle w:val="13"/>
        <w:spacing w:line="360" w:lineRule="auto"/>
        <w:ind w:firstLine="440" w:firstLineChars="200"/>
        <w:rPr>
          <w:rStyle w:val="8"/>
          <w:rFonts w:ascii="宋体" w:hAnsi="宋体"/>
          <w:color w:val="auto"/>
          <w:sz w:val="22"/>
          <w:szCs w:val="22"/>
          <w:highlight w:val="none"/>
        </w:rPr>
      </w:pPr>
      <w:r>
        <w:rPr>
          <w:rStyle w:val="8"/>
          <w:rFonts w:hint="eastAsia" w:ascii="宋体" w:hAnsi="宋体"/>
          <w:color w:val="auto"/>
          <w:sz w:val="22"/>
          <w:szCs w:val="22"/>
          <w:highlight w:val="none"/>
        </w:rPr>
        <w:t>（9）招标文件及招标答疑（含工程量清单）；</w:t>
      </w:r>
    </w:p>
    <w:p w14:paraId="5A7F9E57">
      <w:pPr>
        <w:pStyle w:val="13"/>
        <w:spacing w:line="360" w:lineRule="auto"/>
        <w:ind w:firstLine="440" w:firstLineChars="200"/>
        <w:rPr>
          <w:rStyle w:val="8"/>
          <w:rFonts w:ascii="宋体" w:hAnsi="宋体"/>
          <w:color w:val="auto"/>
          <w:sz w:val="22"/>
          <w:szCs w:val="22"/>
          <w:highlight w:val="none"/>
        </w:rPr>
      </w:pPr>
      <w:r>
        <w:rPr>
          <w:rStyle w:val="8"/>
          <w:rFonts w:hint="eastAsia" w:ascii="宋体" w:hAnsi="宋体"/>
          <w:color w:val="auto"/>
          <w:sz w:val="22"/>
          <w:szCs w:val="22"/>
          <w:highlight w:val="none"/>
        </w:rPr>
        <w:t>（10）其他合同文件。</w:t>
      </w:r>
    </w:p>
    <w:p w14:paraId="1F6F0005">
      <w:pPr>
        <w:pStyle w:val="13"/>
        <w:spacing w:line="360" w:lineRule="auto"/>
        <w:ind w:firstLine="440" w:firstLineChars="200"/>
        <w:rPr>
          <w:rStyle w:val="8"/>
          <w:rFonts w:ascii="宋体" w:hAnsi="宋体"/>
          <w:color w:val="auto"/>
          <w:kern w:val="2"/>
          <w:sz w:val="22"/>
          <w:szCs w:val="22"/>
          <w:highlight w:val="none"/>
        </w:rPr>
      </w:pPr>
      <w:r>
        <w:rPr>
          <w:rStyle w:val="8"/>
          <w:rFonts w:ascii="宋体" w:hAnsi="宋体"/>
          <w:color w:val="auto"/>
          <w:kern w:val="2"/>
          <w:sz w:val="22"/>
          <w:szCs w:val="22"/>
          <w:highlight w:val="none"/>
        </w:rPr>
        <w:t>1.6 图纸和承包人文件</w:t>
      </w:r>
      <w:r>
        <w:rPr>
          <w:rStyle w:val="8"/>
          <w:rFonts w:ascii="宋体" w:hAnsi="宋体"/>
          <w:color w:val="auto"/>
          <w:kern w:val="2"/>
          <w:sz w:val="22"/>
          <w:szCs w:val="22"/>
          <w:highlight w:val="none"/>
        </w:rPr>
        <w:tab/>
      </w:r>
    </w:p>
    <w:p w14:paraId="296A0072">
      <w:pPr>
        <w:pStyle w:val="13"/>
        <w:spacing w:line="360" w:lineRule="auto"/>
        <w:ind w:firstLine="440" w:firstLineChars="200"/>
        <w:rPr>
          <w:rStyle w:val="8"/>
          <w:rFonts w:ascii="宋体" w:hAnsi="宋体"/>
          <w:color w:val="auto"/>
          <w:kern w:val="2"/>
          <w:sz w:val="22"/>
          <w:szCs w:val="22"/>
          <w:highlight w:val="none"/>
        </w:rPr>
      </w:pPr>
      <w:r>
        <w:rPr>
          <w:rStyle w:val="8"/>
          <w:rFonts w:ascii="宋体" w:hAnsi="宋体"/>
          <w:color w:val="auto"/>
          <w:kern w:val="2"/>
          <w:sz w:val="22"/>
          <w:szCs w:val="22"/>
          <w:highlight w:val="none"/>
        </w:rPr>
        <w:t>1.6.1 图纸的提供</w:t>
      </w:r>
    </w:p>
    <w:p w14:paraId="4E64BE5E">
      <w:pPr>
        <w:pStyle w:val="13"/>
        <w:spacing w:line="360" w:lineRule="auto"/>
        <w:ind w:firstLine="440" w:firstLineChars="200"/>
        <w:rPr>
          <w:rStyle w:val="8"/>
          <w:rFonts w:ascii="宋体" w:hAnsi="宋体"/>
          <w:color w:val="auto"/>
          <w:kern w:val="2"/>
          <w:sz w:val="22"/>
          <w:szCs w:val="22"/>
          <w:highlight w:val="none"/>
        </w:rPr>
      </w:pPr>
      <w:r>
        <w:rPr>
          <w:rStyle w:val="8"/>
          <w:rFonts w:ascii="宋体" w:hAnsi="宋体"/>
          <w:color w:val="auto"/>
          <w:kern w:val="2"/>
          <w:sz w:val="22"/>
          <w:szCs w:val="22"/>
          <w:highlight w:val="none"/>
        </w:rPr>
        <w:t>发包人向承包人提供图纸的期限：</w:t>
      </w:r>
      <w:r>
        <w:rPr>
          <w:rStyle w:val="8"/>
          <w:rFonts w:ascii="宋体" w:hAnsi="宋体" w:cs="宋体"/>
          <w:color w:val="auto"/>
          <w:kern w:val="2"/>
          <w:sz w:val="22"/>
          <w:szCs w:val="22"/>
          <w:highlight w:val="none"/>
          <w:u w:val="single"/>
        </w:rPr>
        <w:t></w:t>
      </w:r>
      <w:r>
        <w:rPr>
          <w:rStyle w:val="8"/>
          <w:rFonts w:hint="eastAsia" w:ascii="宋体" w:hAnsi="宋体"/>
          <w:color w:val="auto"/>
          <w:kern w:val="2"/>
          <w:sz w:val="22"/>
          <w:szCs w:val="22"/>
          <w:highlight w:val="none"/>
          <w:u w:val="single"/>
        </w:rPr>
        <w:t xml:space="preserve">    </w:t>
      </w:r>
      <w:r>
        <w:rPr>
          <w:rStyle w:val="8"/>
          <w:rFonts w:ascii="宋体" w:hAnsi="宋体" w:cs="宋体"/>
          <w:color w:val="auto"/>
          <w:kern w:val="2"/>
          <w:sz w:val="22"/>
          <w:szCs w:val="22"/>
          <w:highlight w:val="none"/>
          <w:u w:val="single"/>
        </w:rPr>
        <w:t></w:t>
      </w:r>
      <w:r>
        <w:rPr>
          <w:rStyle w:val="8"/>
          <w:rFonts w:ascii="宋体" w:hAnsi="宋体"/>
          <w:color w:val="auto"/>
          <w:kern w:val="2"/>
          <w:sz w:val="22"/>
          <w:szCs w:val="22"/>
          <w:highlight w:val="none"/>
        </w:rPr>
        <w:t>；</w:t>
      </w:r>
    </w:p>
    <w:p w14:paraId="2B60F8B5">
      <w:pPr>
        <w:pStyle w:val="13"/>
        <w:spacing w:line="360" w:lineRule="auto"/>
        <w:ind w:firstLine="440" w:firstLineChars="200"/>
        <w:rPr>
          <w:rStyle w:val="8"/>
          <w:rFonts w:ascii="宋体" w:hAnsi="宋体"/>
          <w:color w:val="auto"/>
          <w:kern w:val="2"/>
          <w:sz w:val="22"/>
          <w:szCs w:val="22"/>
          <w:highlight w:val="none"/>
        </w:rPr>
      </w:pPr>
      <w:r>
        <w:rPr>
          <w:rStyle w:val="8"/>
          <w:rFonts w:ascii="宋体" w:hAnsi="宋体"/>
          <w:color w:val="auto"/>
          <w:kern w:val="2"/>
          <w:sz w:val="22"/>
          <w:szCs w:val="22"/>
          <w:highlight w:val="none"/>
        </w:rPr>
        <w:t>发包人向承包人提供图纸的数量：</w:t>
      </w:r>
      <w:r>
        <w:rPr>
          <w:rStyle w:val="8"/>
          <w:rFonts w:ascii="宋体" w:hAnsi="宋体" w:cs="宋体"/>
          <w:color w:val="auto"/>
          <w:kern w:val="2"/>
          <w:sz w:val="22"/>
          <w:szCs w:val="22"/>
          <w:highlight w:val="none"/>
          <w:u w:val="single"/>
        </w:rPr>
        <w:t></w:t>
      </w:r>
      <w:r>
        <w:rPr>
          <w:rStyle w:val="8"/>
          <w:rFonts w:hint="eastAsia" w:ascii="宋体" w:hAnsi="宋体"/>
          <w:color w:val="auto"/>
          <w:kern w:val="2"/>
          <w:sz w:val="22"/>
          <w:szCs w:val="22"/>
          <w:highlight w:val="none"/>
          <w:u w:val="single"/>
        </w:rPr>
        <w:t xml:space="preserve">    </w:t>
      </w:r>
      <w:r>
        <w:rPr>
          <w:rStyle w:val="8"/>
          <w:rFonts w:ascii="宋体" w:hAnsi="宋体" w:cs="宋体"/>
          <w:color w:val="auto"/>
          <w:kern w:val="2"/>
          <w:sz w:val="22"/>
          <w:szCs w:val="22"/>
          <w:highlight w:val="none"/>
          <w:u w:val="single"/>
        </w:rPr>
        <w:t></w:t>
      </w:r>
      <w:r>
        <w:rPr>
          <w:rStyle w:val="8"/>
          <w:rFonts w:ascii="宋体" w:hAnsi="宋体"/>
          <w:color w:val="auto"/>
          <w:kern w:val="2"/>
          <w:sz w:val="22"/>
          <w:szCs w:val="22"/>
          <w:highlight w:val="none"/>
        </w:rPr>
        <w:t>；</w:t>
      </w:r>
    </w:p>
    <w:p w14:paraId="4B89061D">
      <w:pPr>
        <w:pStyle w:val="13"/>
        <w:spacing w:line="360" w:lineRule="auto"/>
        <w:ind w:firstLine="440" w:firstLineChars="200"/>
        <w:rPr>
          <w:rStyle w:val="8"/>
          <w:rFonts w:ascii="宋体" w:hAnsi="宋体"/>
          <w:color w:val="auto"/>
          <w:kern w:val="2"/>
          <w:sz w:val="22"/>
          <w:szCs w:val="22"/>
          <w:highlight w:val="none"/>
        </w:rPr>
      </w:pPr>
      <w:r>
        <w:rPr>
          <w:rStyle w:val="8"/>
          <w:rFonts w:ascii="宋体" w:hAnsi="宋体"/>
          <w:color w:val="auto"/>
          <w:kern w:val="2"/>
          <w:sz w:val="22"/>
          <w:szCs w:val="22"/>
          <w:highlight w:val="none"/>
        </w:rPr>
        <w:t>发包人向承包人提供图纸的内容：</w:t>
      </w:r>
      <w:r>
        <w:rPr>
          <w:rStyle w:val="8"/>
          <w:rFonts w:ascii="宋体" w:hAnsi="宋体" w:cs="宋体"/>
          <w:color w:val="auto"/>
          <w:kern w:val="2"/>
          <w:sz w:val="22"/>
          <w:szCs w:val="22"/>
          <w:highlight w:val="none"/>
          <w:u w:val="single"/>
        </w:rPr>
        <w:t></w:t>
      </w:r>
      <w:r>
        <w:rPr>
          <w:rStyle w:val="8"/>
          <w:rFonts w:hint="eastAsia" w:ascii="宋体" w:hAnsi="宋体"/>
          <w:color w:val="auto"/>
          <w:kern w:val="2"/>
          <w:sz w:val="22"/>
          <w:szCs w:val="22"/>
          <w:highlight w:val="none"/>
          <w:u w:val="single"/>
        </w:rPr>
        <w:t xml:space="preserve">    </w:t>
      </w:r>
      <w:r>
        <w:rPr>
          <w:rStyle w:val="8"/>
          <w:rFonts w:ascii="宋体" w:hAnsi="宋体" w:cs="宋体"/>
          <w:color w:val="auto"/>
          <w:kern w:val="2"/>
          <w:sz w:val="22"/>
          <w:szCs w:val="22"/>
          <w:highlight w:val="none"/>
          <w:u w:val="single"/>
        </w:rPr>
        <w:t></w:t>
      </w:r>
      <w:r>
        <w:rPr>
          <w:rStyle w:val="8"/>
          <w:rFonts w:ascii="宋体" w:hAnsi="宋体"/>
          <w:color w:val="auto"/>
          <w:kern w:val="2"/>
          <w:sz w:val="22"/>
          <w:szCs w:val="22"/>
          <w:highlight w:val="none"/>
        </w:rPr>
        <w:t>。</w:t>
      </w:r>
    </w:p>
    <w:p w14:paraId="502045D0">
      <w:pPr>
        <w:pStyle w:val="13"/>
        <w:spacing w:line="360" w:lineRule="auto"/>
        <w:ind w:firstLine="440" w:firstLineChars="200"/>
        <w:rPr>
          <w:rStyle w:val="8"/>
          <w:rFonts w:ascii="宋体" w:hAnsi="宋体"/>
          <w:color w:val="auto"/>
          <w:kern w:val="2"/>
          <w:sz w:val="22"/>
          <w:szCs w:val="22"/>
          <w:highlight w:val="none"/>
        </w:rPr>
      </w:pPr>
      <w:r>
        <w:rPr>
          <w:rStyle w:val="8"/>
          <w:rFonts w:ascii="宋体" w:hAnsi="宋体"/>
          <w:color w:val="auto"/>
          <w:kern w:val="2"/>
          <w:sz w:val="22"/>
          <w:szCs w:val="22"/>
          <w:highlight w:val="none"/>
        </w:rPr>
        <w:t>1.6.4 承包人文件</w:t>
      </w:r>
    </w:p>
    <w:p w14:paraId="08F46B47">
      <w:pPr>
        <w:pStyle w:val="14"/>
        <w:spacing w:line="360" w:lineRule="auto"/>
        <w:ind w:left="596" w:leftChars="284"/>
        <w:jc w:val="left"/>
        <w:rPr>
          <w:rStyle w:val="8"/>
          <w:rFonts w:ascii="宋体" w:hAnsi="宋体"/>
          <w:color w:val="auto"/>
          <w:kern w:val="2"/>
          <w:sz w:val="22"/>
          <w:szCs w:val="22"/>
          <w:highlight w:val="none"/>
          <w:u w:val="single"/>
        </w:rPr>
      </w:pPr>
      <w:r>
        <w:rPr>
          <w:rStyle w:val="8"/>
          <w:rFonts w:ascii="宋体" w:hAnsi="宋体"/>
          <w:color w:val="auto"/>
          <w:kern w:val="2"/>
          <w:sz w:val="22"/>
          <w:szCs w:val="22"/>
          <w:highlight w:val="none"/>
        </w:rPr>
        <w:t>需要由承包人提供的文件，包括：</w:t>
      </w:r>
      <w:r>
        <w:rPr>
          <w:rStyle w:val="8"/>
          <w:rFonts w:hint="eastAsia" w:ascii="宋体" w:hAnsi="宋体"/>
          <w:color w:val="auto"/>
          <w:kern w:val="2"/>
          <w:sz w:val="22"/>
          <w:szCs w:val="22"/>
          <w:highlight w:val="none"/>
          <w:u w:val="single"/>
        </w:rPr>
        <w:t>按辽宁省建设工程档案管理规范及发包人要求提供；</w:t>
      </w:r>
    </w:p>
    <w:p w14:paraId="0A420F67">
      <w:pPr>
        <w:pStyle w:val="13"/>
        <w:spacing w:line="360" w:lineRule="auto"/>
        <w:ind w:left="596" w:leftChars="284"/>
        <w:jc w:val="left"/>
        <w:rPr>
          <w:rStyle w:val="8"/>
          <w:rFonts w:ascii="宋体" w:hAnsi="宋体"/>
          <w:color w:val="auto"/>
          <w:kern w:val="2"/>
          <w:sz w:val="22"/>
          <w:szCs w:val="22"/>
          <w:highlight w:val="none"/>
        </w:rPr>
      </w:pPr>
      <w:r>
        <w:rPr>
          <w:rStyle w:val="8"/>
          <w:rFonts w:ascii="宋体" w:hAnsi="宋体"/>
          <w:color w:val="auto"/>
          <w:kern w:val="2"/>
          <w:sz w:val="22"/>
          <w:szCs w:val="22"/>
          <w:highlight w:val="none"/>
        </w:rPr>
        <w:t>承包人提供的文件的期限为：</w:t>
      </w:r>
      <w:r>
        <w:rPr>
          <w:rStyle w:val="8"/>
          <w:rFonts w:ascii="宋体" w:hAnsi="宋体" w:cs="宋体"/>
          <w:color w:val="auto"/>
          <w:kern w:val="2"/>
          <w:sz w:val="22"/>
          <w:szCs w:val="22"/>
          <w:highlight w:val="none"/>
          <w:u w:val="single"/>
        </w:rPr>
        <w:t></w:t>
      </w:r>
      <w:r>
        <w:rPr>
          <w:rStyle w:val="8"/>
          <w:rFonts w:hint="eastAsia" w:ascii="宋体" w:hAnsi="宋体"/>
          <w:color w:val="auto"/>
          <w:kern w:val="2"/>
          <w:sz w:val="22"/>
          <w:szCs w:val="22"/>
          <w:highlight w:val="none"/>
          <w:u w:val="single"/>
        </w:rPr>
        <w:t>按发包人要求</w:t>
      </w:r>
      <w:r>
        <w:rPr>
          <w:rStyle w:val="8"/>
          <w:rFonts w:ascii="宋体" w:hAnsi="宋体" w:cs="宋体"/>
          <w:color w:val="auto"/>
          <w:kern w:val="2"/>
          <w:sz w:val="22"/>
          <w:szCs w:val="22"/>
          <w:highlight w:val="none"/>
          <w:u w:val="single"/>
        </w:rPr>
        <w:t></w:t>
      </w:r>
      <w:r>
        <w:rPr>
          <w:rStyle w:val="8"/>
          <w:rFonts w:hint="eastAsia" w:ascii="宋体" w:hAnsi="宋体"/>
          <w:color w:val="auto"/>
          <w:kern w:val="2"/>
          <w:sz w:val="22"/>
          <w:szCs w:val="22"/>
          <w:highlight w:val="none"/>
          <w:u w:val="single"/>
        </w:rPr>
        <w:t xml:space="preserve">    </w:t>
      </w:r>
      <w:r>
        <w:rPr>
          <w:rStyle w:val="8"/>
          <w:rFonts w:ascii="宋体" w:hAnsi="宋体" w:cs="宋体"/>
          <w:color w:val="auto"/>
          <w:kern w:val="2"/>
          <w:sz w:val="22"/>
          <w:szCs w:val="22"/>
          <w:highlight w:val="none"/>
          <w:u w:val="single"/>
        </w:rPr>
        <w:t></w:t>
      </w:r>
      <w:r>
        <w:rPr>
          <w:rStyle w:val="8"/>
          <w:rFonts w:hint="eastAsia" w:ascii="宋体" w:hAnsi="宋体"/>
          <w:color w:val="auto"/>
          <w:kern w:val="2"/>
          <w:sz w:val="22"/>
          <w:szCs w:val="22"/>
          <w:highlight w:val="none"/>
          <w:u w:val="single"/>
        </w:rPr>
        <w:t xml:space="preserve"> </w:t>
      </w:r>
      <w:r>
        <w:rPr>
          <w:rStyle w:val="8"/>
          <w:rFonts w:ascii="宋体" w:hAnsi="宋体" w:cs="宋体"/>
          <w:color w:val="auto"/>
          <w:kern w:val="2"/>
          <w:sz w:val="22"/>
          <w:szCs w:val="22"/>
          <w:highlight w:val="none"/>
          <w:u w:val="single"/>
        </w:rPr>
        <w:t></w:t>
      </w:r>
      <w:r>
        <w:rPr>
          <w:rStyle w:val="8"/>
          <w:rFonts w:hint="eastAsia" w:ascii="宋体" w:hAnsi="宋体"/>
          <w:color w:val="auto"/>
          <w:kern w:val="2"/>
          <w:sz w:val="22"/>
          <w:szCs w:val="22"/>
          <w:highlight w:val="none"/>
          <w:u w:val="single"/>
        </w:rPr>
        <w:t xml:space="preserve"> </w:t>
      </w:r>
      <w:r>
        <w:rPr>
          <w:rStyle w:val="8"/>
          <w:rFonts w:ascii="宋体" w:hAnsi="宋体" w:cs="宋体"/>
          <w:color w:val="auto"/>
          <w:kern w:val="2"/>
          <w:sz w:val="22"/>
          <w:szCs w:val="22"/>
          <w:highlight w:val="none"/>
          <w:u w:val="single"/>
        </w:rPr>
        <w:t></w:t>
      </w:r>
      <w:r>
        <w:rPr>
          <w:rStyle w:val="8"/>
          <w:rFonts w:ascii="宋体" w:hAnsi="宋体"/>
          <w:color w:val="auto"/>
          <w:kern w:val="2"/>
          <w:sz w:val="22"/>
          <w:szCs w:val="22"/>
          <w:highlight w:val="none"/>
        </w:rPr>
        <w:t>；</w:t>
      </w:r>
    </w:p>
    <w:p w14:paraId="6427E517">
      <w:pPr>
        <w:pStyle w:val="13"/>
        <w:spacing w:line="360" w:lineRule="auto"/>
        <w:ind w:firstLine="440" w:firstLineChars="200"/>
        <w:rPr>
          <w:rStyle w:val="8"/>
          <w:rFonts w:ascii="宋体" w:hAnsi="宋体"/>
          <w:color w:val="auto"/>
          <w:kern w:val="2"/>
          <w:sz w:val="22"/>
          <w:szCs w:val="22"/>
          <w:highlight w:val="none"/>
        </w:rPr>
      </w:pPr>
      <w:r>
        <w:rPr>
          <w:rStyle w:val="8"/>
          <w:rFonts w:ascii="宋体" w:hAnsi="宋体"/>
          <w:color w:val="auto"/>
          <w:kern w:val="2"/>
          <w:sz w:val="22"/>
          <w:szCs w:val="22"/>
          <w:highlight w:val="none"/>
        </w:rPr>
        <w:t>承包人提供的文件的数量为：</w:t>
      </w:r>
      <w:r>
        <w:rPr>
          <w:rStyle w:val="8"/>
          <w:rFonts w:ascii="宋体" w:hAnsi="宋体" w:cs="宋体"/>
          <w:color w:val="auto"/>
          <w:kern w:val="2"/>
          <w:sz w:val="22"/>
          <w:szCs w:val="22"/>
          <w:highlight w:val="none"/>
          <w:u w:val="single"/>
        </w:rPr>
        <w:t></w:t>
      </w:r>
      <w:r>
        <w:rPr>
          <w:rStyle w:val="8"/>
          <w:rFonts w:hint="eastAsia" w:ascii="宋体" w:hAnsi="宋体"/>
          <w:color w:val="auto"/>
          <w:kern w:val="2"/>
          <w:sz w:val="22"/>
          <w:szCs w:val="22"/>
          <w:highlight w:val="none"/>
          <w:u w:val="single"/>
        </w:rPr>
        <w:t>6份</w:t>
      </w:r>
      <w:r>
        <w:rPr>
          <w:rStyle w:val="8"/>
          <w:rFonts w:ascii="宋体" w:hAnsi="宋体" w:cs="宋体"/>
          <w:color w:val="auto"/>
          <w:kern w:val="2"/>
          <w:sz w:val="22"/>
          <w:szCs w:val="22"/>
          <w:highlight w:val="none"/>
          <w:u w:val="single"/>
        </w:rPr>
        <w:t></w:t>
      </w:r>
      <w:r>
        <w:rPr>
          <w:rStyle w:val="8"/>
          <w:rFonts w:hint="eastAsia" w:ascii="宋体" w:hAnsi="宋体"/>
          <w:color w:val="auto"/>
          <w:kern w:val="2"/>
          <w:sz w:val="22"/>
          <w:szCs w:val="22"/>
          <w:highlight w:val="none"/>
          <w:u w:val="single"/>
        </w:rPr>
        <w:t xml:space="preserve">    </w:t>
      </w:r>
      <w:r>
        <w:rPr>
          <w:rStyle w:val="8"/>
          <w:rFonts w:ascii="宋体" w:hAnsi="宋体"/>
          <w:color w:val="auto"/>
          <w:kern w:val="2"/>
          <w:sz w:val="22"/>
          <w:szCs w:val="22"/>
          <w:highlight w:val="none"/>
          <w:u w:val="single"/>
        </w:rPr>
        <w:t xml:space="preserve">  </w:t>
      </w:r>
      <w:r>
        <w:rPr>
          <w:rStyle w:val="8"/>
          <w:rFonts w:hint="eastAsia" w:ascii="宋体" w:hAnsi="宋体"/>
          <w:color w:val="auto"/>
          <w:kern w:val="2"/>
          <w:sz w:val="22"/>
          <w:szCs w:val="22"/>
          <w:highlight w:val="none"/>
          <w:u w:val="single"/>
        </w:rPr>
        <w:t xml:space="preserve"> </w:t>
      </w:r>
      <w:r>
        <w:rPr>
          <w:rStyle w:val="8"/>
          <w:rFonts w:ascii="宋体" w:hAnsi="宋体"/>
          <w:color w:val="auto"/>
          <w:kern w:val="2"/>
          <w:sz w:val="22"/>
          <w:szCs w:val="22"/>
          <w:highlight w:val="none"/>
          <w:u w:val="single"/>
        </w:rPr>
        <w:t xml:space="preserve"> </w:t>
      </w:r>
      <w:r>
        <w:rPr>
          <w:rStyle w:val="8"/>
          <w:rFonts w:hint="eastAsia" w:ascii="宋体" w:hAnsi="宋体"/>
          <w:color w:val="auto"/>
          <w:kern w:val="2"/>
          <w:sz w:val="22"/>
          <w:szCs w:val="22"/>
          <w:highlight w:val="none"/>
          <w:u w:val="single"/>
        </w:rPr>
        <w:t xml:space="preserve">  </w:t>
      </w:r>
      <w:r>
        <w:rPr>
          <w:rStyle w:val="8"/>
          <w:rFonts w:ascii="宋体" w:hAnsi="宋体" w:cs="宋体"/>
          <w:color w:val="auto"/>
          <w:kern w:val="2"/>
          <w:sz w:val="22"/>
          <w:szCs w:val="22"/>
          <w:highlight w:val="none"/>
          <w:u w:val="single"/>
        </w:rPr>
        <w:t></w:t>
      </w:r>
      <w:r>
        <w:rPr>
          <w:rStyle w:val="8"/>
          <w:rFonts w:ascii="宋体" w:hAnsi="宋体"/>
          <w:color w:val="auto"/>
          <w:kern w:val="2"/>
          <w:sz w:val="22"/>
          <w:szCs w:val="22"/>
          <w:highlight w:val="none"/>
        </w:rPr>
        <w:t>；</w:t>
      </w:r>
    </w:p>
    <w:p w14:paraId="6FAF217E">
      <w:pPr>
        <w:pStyle w:val="13"/>
        <w:spacing w:line="360" w:lineRule="auto"/>
        <w:ind w:firstLine="440" w:firstLineChars="200"/>
        <w:rPr>
          <w:rStyle w:val="8"/>
          <w:rFonts w:ascii="宋体" w:hAnsi="宋体"/>
          <w:color w:val="auto"/>
          <w:kern w:val="2"/>
          <w:sz w:val="22"/>
          <w:szCs w:val="22"/>
          <w:highlight w:val="none"/>
        </w:rPr>
      </w:pPr>
      <w:r>
        <w:rPr>
          <w:rStyle w:val="8"/>
          <w:rFonts w:ascii="宋体" w:hAnsi="宋体"/>
          <w:color w:val="auto"/>
          <w:kern w:val="2"/>
          <w:sz w:val="22"/>
          <w:szCs w:val="22"/>
          <w:highlight w:val="none"/>
        </w:rPr>
        <w:t>承包人提供的文件的形式为：</w:t>
      </w:r>
      <w:r>
        <w:rPr>
          <w:rStyle w:val="8"/>
          <w:rFonts w:hint="eastAsia" w:ascii="宋体" w:hAnsi="宋体" w:cs="宋体"/>
          <w:color w:val="auto"/>
          <w:kern w:val="2"/>
          <w:sz w:val="22"/>
          <w:szCs w:val="22"/>
          <w:highlight w:val="none"/>
          <w:u w:val="single"/>
        </w:rPr>
        <w:t xml:space="preserve"> </w:t>
      </w:r>
      <w:r>
        <w:rPr>
          <w:rStyle w:val="8"/>
          <w:rFonts w:hint="eastAsia" w:ascii="宋体" w:hAnsi="宋体"/>
          <w:color w:val="auto"/>
          <w:kern w:val="2"/>
          <w:sz w:val="22"/>
          <w:szCs w:val="22"/>
          <w:highlight w:val="none"/>
          <w:u w:val="single"/>
        </w:rPr>
        <w:t>纸质及电子版</w:t>
      </w:r>
      <w:r>
        <w:rPr>
          <w:rStyle w:val="8"/>
          <w:rFonts w:ascii="宋体" w:hAnsi="宋体" w:cs="宋体"/>
          <w:color w:val="auto"/>
          <w:kern w:val="2"/>
          <w:sz w:val="22"/>
          <w:szCs w:val="22"/>
          <w:highlight w:val="none"/>
          <w:u w:val="single"/>
        </w:rPr>
        <w:t></w:t>
      </w:r>
      <w:r>
        <w:rPr>
          <w:rStyle w:val="8"/>
          <w:rFonts w:hint="eastAsia" w:ascii="宋体" w:hAnsi="宋体"/>
          <w:color w:val="auto"/>
          <w:kern w:val="2"/>
          <w:sz w:val="22"/>
          <w:szCs w:val="22"/>
          <w:highlight w:val="none"/>
          <w:u w:val="single"/>
        </w:rPr>
        <w:t xml:space="preserve">      </w:t>
      </w:r>
      <w:r>
        <w:rPr>
          <w:rStyle w:val="8"/>
          <w:rFonts w:ascii="宋体" w:hAnsi="宋体" w:cs="宋体"/>
          <w:color w:val="auto"/>
          <w:kern w:val="2"/>
          <w:sz w:val="22"/>
          <w:szCs w:val="22"/>
          <w:highlight w:val="none"/>
          <w:u w:val="single"/>
        </w:rPr>
        <w:t></w:t>
      </w:r>
      <w:r>
        <w:rPr>
          <w:rStyle w:val="8"/>
          <w:rFonts w:ascii="宋体" w:hAnsi="宋体"/>
          <w:color w:val="auto"/>
          <w:kern w:val="2"/>
          <w:sz w:val="22"/>
          <w:szCs w:val="22"/>
          <w:highlight w:val="none"/>
        </w:rPr>
        <w:t>；</w:t>
      </w:r>
    </w:p>
    <w:p w14:paraId="763FEB00">
      <w:pPr>
        <w:pStyle w:val="13"/>
        <w:spacing w:line="360" w:lineRule="auto"/>
        <w:ind w:firstLine="440" w:firstLineChars="200"/>
        <w:rPr>
          <w:rStyle w:val="8"/>
          <w:rFonts w:ascii="宋体" w:hAnsi="宋体"/>
          <w:color w:val="auto"/>
          <w:kern w:val="2"/>
          <w:sz w:val="22"/>
          <w:szCs w:val="22"/>
          <w:highlight w:val="none"/>
        </w:rPr>
      </w:pPr>
      <w:r>
        <w:rPr>
          <w:rStyle w:val="8"/>
          <w:rFonts w:ascii="宋体" w:hAnsi="宋体"/>
          <w:color w:val="auto"/>
          <w:kern w:val="2"/>
          <w:sz w:val="22"/>
          <w:szCs w:val="22"/>
          <w:highlight w:val="none"/>
        </w:rPr>
        <w:t>发包人</w:t>
      </w:r>
      <w:r>
        <w:rPr>
          <w:rStyle w:val="8"/>
          <w:rFonts w:hint="eastAsia" w:ascii="宋体" w:hAnsi="宋体"/>
          <w:color w:val="auto"/>
          <w:kern w:val="2"/>
          <w:sz w:val="22"/>
          <w:szCs w:val="22"/>
          <w:highlight w:val="none"/>
        </w:rPr>
        <w:t>审批</w:t>
      </w:r>
      <w:r>
        <w:rPr>
          <w:rStyle w:val="8"/>
          <w:rFonts w:ascii="宋体" w:hAnsi="宋体"/>
          <w:color w:val="auto"/>
          <w:kern w:val="2"/>
          <w:sz w:val="22"/>
          <w:szCs w:val="22"/>
          <w:highlight w:val="none"/>
        </w:rPr>
        <w:t>承包人文件的期限：</w:t>
      </w:r>
      <w:r>
        <w:rPr>
          <w:rStyle w:val="8"/>
          <w:rFonts w:hint="eastAsia" w:ascii="宋体" w:hAnsi="宋体" w:cs="宋体"/>
          <w:color w:val="auto"/>
          <w:kern w:val="2"/>
          <w:sz w:val="22"/>
          <w:szCs w:val="22"/>
          <w:highlight w:val="none"/>
          <w:u w:val="single"/>
        </w:rPr>
        <w:t> </w:t>
      </w:r>
      <w:r>
        <w:rPr>
          <w:rStyle w:val="8"/>
          <w:rFonts w:hint="eastAsia" w:ascii="宋体" w:hAnsi="宋体"/>
          <w:color w:val="auto"/>
          <w:kern w:val="2"/>
          <w:sz w:val="22"/>
          <w:szCs w:val="22"/>
          <w:highlight w:val="none"/>
          <w:u w:val="single"/>
        </w:rPr>
        <w:t xml:space="preserve">     </w:t>
      </w:r>
      <w:r>
        <w:rPr>
          <w:rStyle w:val="8"/>
          <w:rFonts w:ascii="宋体" w:hAnsi="宋体" w:cs="宋体"/>
          <w:color w:val="auto"/>
          <w:kern w:val="2"/>
          <w:sz w:val="22"/>
          <w:szCs w:val="22"/>
          <w:highlight w:val="none"/>
          <w:u w:val="single"/>
        </w:rPr>
        <w:t></w:t>
      </w:r>
      <w:r>
        <w:rPr>
          <w:rStyle w:val="8"/>
          <w:rFonts w:hint="eastAsia" w:ascii="宋体" w:hAnsi="宋体"/>
          <w:color w:val="auto"/>
          <w:kern w:val="2"/>
          <w:sz w:val="22"/>
          <w:szCs w:val="22"/>
          <w:highlight w:val="none"/>
          <w:u w:val="single"/>
        </w:rPr>
        <w:t xml:space="preserve"> </w:t>
      </w:r>
      <w:r>
        <w:rPr>
          <w:rStyle w:val="8"/>
          <w:rFonts w:ascii="宋体" w:hAnsi="宋体" w:cs="宋体"/>
          <w:color w:val="auto"/>
          <w:kern w:val="2"/>
          <w:sz w:val="22"/>
          <w:szCs w:val="22"/>
          <w:highlight w:val="none"/>
          <w:u w:val="single"/>
        </w:rPr>
        <w:t></w:t>
      </w:r>
      <w:r>
        <w:rPr>
          <w:rStyle w:val="8"/>
          <w:rFonts w:ascii="宋体" w:hAnsi="宋体"/>
          <w:color w:val="auto"/>
          <w:kern w:val="2"/>
          <w:sz w:val="22"/>
          <w:szCs w:val="22"/>
          <w:highlight w:val="none"/>
        </w:rPr>
        <w:t>。</w:t>
      </w:r>
    </w:p>
    <w:p w14:paraId="19203503">
      <w:pPr>
        <w:pStyle w:val="13"/>
        <w:spacing w:line="360" w:lineRule="auto"/>
        <w:ind w:firstLine="440" w:firstLineChars="200"/>
        <w:rPr>
          <w:rStyle w:val="8"/>
          <w:rFonts w:ascii="宋体" w:hAnsi="宋体"/>
          <w:color w:val="auto"/>
          <w:kern w:val="2"/>
          <w:sz w:val="22"/>
          <w:szCs w:val="22"/>
          <w:highlight w:val="none"/>
        </w:rPr>
      </w:pPr>
      <w:r>
        <w:rPr>
          <w:rStyle w:val="8"/>
          <w:rFonts w:ascii="宋体" w:hAnsi="宋体"/>
          <w:color w:val="auto"/>
          <w:kern w:val="2"/>
          <w:sz w:val="22"/>
          <w:szCs w:val="22"/>
          <w:highlight w:val="none"/>
        </w:rPr>
        <w:t>1.6.5 现场图纸准备</w:t>
      </w:r>
    </w:p>
    <w:p w14:paraId="5FAFE0FE">
      <w:pPr>
        <w:pStyle w:val="13"/>
        <w:spacing w:line="360" w:lineRule="auto"/>
        <w:ind w:firstLine="440" w:firstLineChars="200"/>
        <w:rPr>
          <w:rStyle w:val="8"/>
          <w:rFonts w:ascii="宋体" w:hAnsi="宋体"/>
          <w:color w:val="auto"/>
          <w:kern w:val="2"/>
          <w:sz w:val="22"/>
          <w:szCs w:val="22"/>
          <w:highlight w:val="none"/>
        </w:rPr>
      </w:pPr>
      <w:r>
        <w:rPr>
          <w:rStyle w:val="8"/>
          <w:rFonts w:ascii="宋体" w:hAnsi="宋体"/>
          <w:color w:val="auto"/>
          <w:kern w:val="2"/>
          <w:sz w:val="22"/>
          <w:szCs w:val="22"/>
          <w:highlight w:val="none"/>
        </w:rPr>
        <w:t>关于现场图纸准备的约定：</w:t>
      </w:r>
      <w:r>
        <w:rPr>
          <w:rStyle w:val="8"/>
          <w:rFonts w:hint="eastAsia" w:ascii="宋体" w:hAnsi="宋体" w:cs="宋体"/>
          <w:color w:val="auto"/>
          <w:kern w:val="2"/>
          <w:sz w:val="22"/>
          <w:szCs w:val="22"/>
          <w:highlight w:val="none"/>
          <w:u w:val="single"/>
        </w:rPr>
        <w:t xml:space="preserve">   </w:t>
      </w:r>
      <w:r>
        <w:rPr>
          <w:rStyle w:val="8"/>
          <w:rFonts w:hint="eastAsia" w:ascii="宋体" w:hAnsi="宋体"/>
          <w:color w:val="auto"/>
          <w:kern w:val="2"/>
          <w:sz w:val="22"/>
          <w:szCs w:val="22"/>
          <w:highlight w:val="none"/>
          <w:u w:val="single"/>
        </w:rPr>
        <w:t>执行通用条款</w:t>
      </w:r>
      <w:r>
        <w:rPr>
          <w:rStyle w:val="8"/>
          <w:rFonts w:ascii="宋体" w:hAnsi="宋体" w:cs="宋体"/>
          <w:color w:val="auto"/>
          <w:kern w:val="2"/>
          <w:sz w:val="22"/>
          <w:szCs w:val="22"/>
          <w:highlight w:val="none"/>
          <w:u w:val="single"/>
        </w:rPr>
        <w:t></w:t>
      </w:r>
      <w:r>
        <w:rPr>
          <w:rStyle w:val="8"/>
          <w:rFonts w:hint="eastAsia" w:ascii="宋体" w:hAnsi="宋体"/>
          <w:color w:val="auto"/>
          <w:kern w:val="2"/>
          <w:sz w:val="22"/>
          <w:szCs w:val="22"/>
          <w:highlight w:val="none"/>
          <w:u w:val="single"/>
        </w:rPr>
        <w:t xml:space="preserve">      </w:t>
      </w:r>
      <w:r>
        <w:rPr>
          <w:rStyle w:val="8"/>
          <w:rFonts w:ascii="宋体" w:hAnsi="宋体" w:cs="宋体"/>
          <w:color w:val="auto"/>
          <w:kern w:val="2"/>
          <w:sz w:val="22"/>
          <w:szCs w:val="22"/>
          <w:highlight w:val="none"/>
          <w:u w:val="single"/>
        </w:rPr>
        <w:t></w:t>
      </w:r>
      <w:r>
        <w:rPr>
          <w:rStyle w:val="8"/>
          <w:rFonts w:hint="eastAsia" w:ascii="宋体" w:hAnsi="宋体"/>
          <w:color w:val="auto"/>
          <w:kern w:val="2"/>
          <w:sz w:val="22"/>
          <w:szCs w:val="22"/>
          <w:highlight w:val="none"/>
          <w:u w:val="single"/>
        </w:rPr>
        <w:t xml:space="preserve"> </w:t>
      </w:r>
      <w:r>
        <w:rPr>
          <w:rStyle w:val="8"/>
          <w:rFonts w:ascii="宋体" w:hAnsi="宋体" w:cs="宋体"/>
          <w:color w:val="auto"/>
          <w:kern w:val="2"/>
          <w:sz w:val="22"/>
          <w:szCs w:val="22"/>
          <w:highlight w:val="none"/>
          <w:u w:val="single"/>
        </w:rPr>
        <w:t></w:t>
      </w:r>
      <w:r>
        <w:rPr>
          <w:rStyle w:val="8"/>
          <w:rFonts w:ascii="宋体" w:hAnsi="宋体"/>
          <w:color w:val="auto"/>
          <w:kern w:val="2"/>
          <w:sz w:val="22"/>
          <w:szCs w:val="22"/>
          <w:highlight w:val="none"/>
        </w:rPr>
        <w:t>。</w:t>
      </w:r>
    </w:p>
    <w:p w14:paraId="2BDC007D">
      <w:pPr>
        <w:pStyle w:val="13"/>
        <w:spacing w:after="120" w:line="360" w:lineRule="auto"/>
        <w:ind w:firstLine="440" w:firstLineChars="200"/>
        <w:outlineLvl w:val="0"/>
        <w:rPr>
          <w:rStyle w:val="8"/>
          <w:rFonts w:ascii="宋体" w:hAnsi="宋体"/>
          <w:color w:val="auto"/>
          <w:kern w:val="2"/>
          <w:sz w:val="22"/>
          <w:szCs w:val="22"/>
          <w:highlight w:val="none"/>
        </w:rPr>
      </w:pPr>
      <w:bookmarkStart w:id="248" w:name="_Toc28396"/>
      <w:bookmarkStart w:id="249" w:name="_Toc256001059"/>
      <w:bookmarkStart w:id="250" w:name="_Toc256000822"/>
      <w:bookmarkStart w:id="251" w:name="_Toc256000555"/>
      <w:bookmarkStart w:id="252" w:name="_Toc12612"/>
      <w:bookmarkStart w:id="253" w:name="_Toc25891"/>
      <w:bookmarkStart w:id="254" w:name="_Toc256000049"/>
      <w:bookmarkStart w:id="255" w:name="_Toc15857"/>
      <w:bookmarkStart w:id="256" w:name="_Toc69461146"/>
      <w:bookmarkStart w:id="257" w:name="_Toc69461801"/>
      <w:bookmarkStart w:id="258" w:name="_Toc256000326"/>
      <w:bookmarkStart w:id="259" w:name="_Toc256001289"/>
      <w:r>
        <w:rPr>
          <w:rStyle w:val="8"/>
          <w:rFonts w:ascii="宋体" w:hAnsi="宋体"/>
          <w:color w:val="auto"/>
          <w:kern w:val="2"/>
          <w:sz w:val="22"/>
          <w:szCs w:val="22"/>
          <w:highlight w:val="none"/>
        </w:rPr>
        <w:t>1.7 联络</w:t>
      </w:r>
      <w:bookmarkEnd w:id="248"/>
      <w:bookmarkEnd w:id="249"/>
      <w:bookmarkEnd w:id="250"/>
      <w:bookmarkEnd w:id="251"/>
      <w:bookmarkEnd w:id="252"/>
      <w:bookmarkEnd w:id="253"/>
      <w:bookmarkEnd w:id="254"/>
      <w:bookmarkEnd w:id="255"/>
      <w:bookmarkEnd w:id="256"/>
      <w:bookmarkEnd w:id="257"/>
      <w:bookmarkEnd w:id="258"/>
      <w:bookmarkEnd w:id="259"/>
    </w:p>
    <w:p w14:paraId="4ED34EE3">
      <w:pPr>
        <w:pStyle w:val="13"/>
        <w:spacing w:line="360" w:lineRule="auto"/>
        <w:ind w:firstLine="440" w:firstLineChars="200"/>
        <w:rPr>
          <w:rStyle w:val="8"/>
          <w:rFonts w:ascii="宋体" w:hAnsi="宋体"/>
          <w:color w:val="auto"/>
          <w:sz w:val="22"/>
          <w:szCs w:val="22"/>
          <w:highlight w:val="none"/>
        </w:rPr>
      </w:pPr>
      <w:r>
        <w:rPr>
          <w:rStyle w:val="8"/>
          <w:rFonts w:ascii="宋体" w:hAnsi="宋体"/>
          <w:color w:val="auto"/>
          <w:sz w:val="22"/>
          <w:szCs w:val="22"/>
          <w:highlight w:val="none"/>
        </w:rPr>
        <w:t>1.7.1发包人和承包人应当在</w:t>
      </w:r>
      <w:r>
        <w:rPr>
          <w:rStyle w:val="8"/>
          <w:rFonts w:ascii="宋体" w:hAnsi="宋体" w:cs="宋体"/>
          <w:color w:val="auto"/>
          <w:kern w:val="2"/>
          <w:sz w:val="22"/>
          <w:szCs w:val="22"/>
          <w:highlight w:val="none"/>
          <w:u w:val="single"/>
        </w:rPr>
        <w:t></w:t>
      </w:r>
      <w:r>
        <w:rPr>
          <w:rStyle w:val="8"/>
          <w:rFonts w:hint="eastAsia" w:ascii="宋体" w:hAnsi="宋体"/>
          <w:color w:val="auto"/>
          <w:kern w:val="2"/>
          <w:sz w:val="22"/>
          <w:szCs w:val="22"/>
          <w:highlight w:val="none"/>
          <w:u w:val="single"/>
        </w:rPr>
        <w:t xml:space="preserve"> 7</w:t>
      </w:r>
      <w:r>
        <w:rPr>
          <w:rStyle w:val="8"/>
          <w:rFonts w:ascii="宋体" w:hAnsi="宋体"/>
          <w:color w:val="auto"/>
          <w:kern w:val="2"/>
          <w:sz w:val="22"/>
          <w:szCs w:val="22"/>
          <w:highlight w:val="none"/>
          <w:u w:val="single"/>
        </w:rPr>
        <w:t xml:space="preserve"> </w:t>
      </w:r>
      <w:r>
        <w:rPr>
          <w:rStyle w:val="8"/>
          <w:rFonts w:ascii="宋体" w:hAnsi="宋体"/>
          <w:color w:val="auto"/>
          <w:sz w:val="22"/>
          <w:szCs w:val="22"/>
          <w:highlight w:val="none"/>
        </w:rPr>
        <w:t>天内将与合同有关的通知、批准、证明、证书、指示、指令、要求、请求、同意、意见、确定和决定等书面函件送达对方当事人</w:t>
      </w:r>
      <w:r>
        <w:rPr>
          <w:rStyle w:val="8"/>
          <w:rFonts w:hint="eastAsia" w:ascii="宋体" w:hAnsi="宋体"/>
          <w:color w:val="auto"/>
          <w:sz w:val="22"/>
          <w:szCs w:val="22"/>
          <w:highlight w:val="none"/>
        </w:rPr>
        <w:t>。</w:t>
      </w:r>
    </w:p>
    <w:p w14:paraId="16E3B57D">
      <w:pPr>
        <w:pStyle w:val="13"/>
        <w:spacing w:line="360" w:lineRule="auto"/>
        <w:ind w:firstLine="440" w:firstLineChars="200"/>
        <w:rPr>
          <w:rStyle w:val="8"/>
          <w:rFonts w:ascii="宋体" w:hAnsi="宋体"/>
          <w:color w:val="auto"/>
          <w:sz w:val="22"/>
          <w:szCs w:val="22"/>
          <w:highlight w:val="none"/>
        </w:rPr>
      </w:pPr>
      <w:r>
        <w:rPr>
          <w:rStyle w:val="8"/>
          <w:rFonts w:ascii="宋体" w:hAnsi="宋体"/>
          <w:color w:val="auto"/>
          <w:sz w:val="22"/>
          <w:szCs w:val="22"/>
          <w:highlight w:val="none"/>
        </w:rPr>
        <w:t>1.7.2 发包人接收文件的地点：</w:t>
      </w:r>
      <w:r>
        <w:rPr>
          <w:rStyle w:val="8"/>
          <w:rFonts w:ascii="宋体" w:hAnsi="宋体" w:cs="宋体"/>
          <w:color w:val="auto"/>
          <w:kern w:val="2"/>
          <w:sz w:val="22"/>
          <w:szCs w:val="22"/>
          <w:highlight w:val="none"/>
          <w:u w:val="single"/>
        </w:rPr>
        <w:t></w:t>
      </w:r>
      <w:r>
        <w:rPr>
          <w:rStyle w:val="8"/>
          <w:rFonts w:hint="eastAsia" w:ascii="宋体" w:hAnsi="宋体"/>
          <w:color w:val="auto"/>
          <w:kern w:val="2"/>
          <w:sz w:val="22"/>
          <w:szCs w:val="22"/>
          <w:highlight w:val="none"/>
          <w:u w:val="single"/>
        </w:rPr>
        <w:t>项目现场办公地点</w:t>
      </w:r>
      <w:r>
        <w:rPr>
          <w:rStyle w:val="8"/>
          <w:rFonts w:ascii="宋体" w:hAnsi="宋体" w:cs="宋体"/>
          <w:color w:val="auto"/>
          <w:kern w:val="2"/>
          <w:sz w:val="22"/>
          <w:szCs w:val="22"/>
          <w:highlight w:val="none"/>
          <w:u w:val="single"/>
        </w:rPr>
        <w:t></w:t>
      </w:r>
      <w:r>
        <w:rPr>
          <w:rStyle w:val="8"/>
          <w:rFonts w:ascii="宋体" w:hAnsi="宋体"/>
          <w:color w:val="auto"/>
          <w:kern w:val="2"/>
          <w:sz w:val="22"/>
          <w:szCs w:val="22"/>
          <w:highlight w:val="none"/>
          <w:u w:val="single"/>
        </w:rPr>
        <w:t xml:space="preserve"> </w:t>
      </w:r>
      <w:r>
        <w:rPr>
          <w:rStyle w:val="8"/>
          <w:rFonts w:hint="eastAsia" w:ascii="宋体" w:hAnsi="宋体"/>
          <w:color w:val="auto"/>
          <w:kern w:val="2"/>
          <w:sz w:val="22"/>
          <w:szCs w:val="22"/>
          <w:highlight w:val="none"/>
          <w:u w:val="single"/>
        </w:rPr>
        <w:t xml:space="preserve"> </w:t>
      </w:r>
      <w:r>
        <w:rPr>
          <w:rStyle w:val="8"/>
          <w:rFonts w:ascii="宋体" w:hAnsi="宋体" w:cs="宋体"/>
          <w:color w:val="auto"/>
          <w:kern w:val="2"/>
          <w:sz w:val="22"/>
          <w:szCs w:val="22"/>
          <w:highlight w:val="none"/>
          <w:u w:val="single"/>
        </w:rPr>
        <w:t></w:t>
      </w:r>
      <w:r>
        <w:rPr>
          <w:rStyle w:val="8"/>
          <w:rFonts w:hint="eastAsia" w:ascii="宋体" w:hAnsi="宋体"/>
          <w:color w:val="auto"/>
          <w:kern w:val="2"/>
          <w:sz w:val="22"/>
          <w:szCs w:val="22"/>
          <w:highlight w:val="none"/>
          <w:u w:val="single"/>
        </w:rPr>
        <w:t xml:space="preserve">   </w:t>
      </w:r>
      <w:r>
        <w:rPr>
          <w:rStyle w:val="8"/>
          <w:rFonts w:ascii="宋体" w:hAnsi="宋体" w:cs="宋体"/>
          <w:color w:val="auto"/>
          <w:kern w:val="2"/>
          <w:sz w:val="22"/>
          <w:szCs w:val="22"/>
          <w:highlight w:val="none"/>
          <w:u w:val="single"/>
        </w:rPr>
        <w:t></w:t>
      </w:r>
      <w:r>
        <w:rPr>
          <w:rStyle w:val="8"/>
          <w:rFonts w:hint="eastAsia" w:ascii="宋体" w:hAnsi="宋体"/>
          <w:color w:val="auto"/>
          <w:kern w:val="2"/>
          <w:sz w:val="22"/>
          <w:szCs w:val="22"/>
          <w:highlight w:val="none"/>
          <w:u w:val="single"/>
        </w:rPr>
        <w:t xml:space="preserve"> </w:t>
      </w:r>
      <w:r>
        <w:rPr>
          <w:rStyle w:val="8"/>
          <w:rFonts w:ascii="宋体" w:hAnsi="宋体" w:cs="宋体"/>
          <w:color w:val="auto"/>
          <w:kern w:val="2"/>
          <w:sz w:val="22"/>
          <w:szCs w:val="22"/>
          <w:highlight w:val="none"/>
          <w:u w:val="single"/>
        </w:rPr>
        <w:t></w:t>
      </w:r>
      <w:r>
        <w:rPr>
          <w:rStyle w:val="8"/>
          <w:rFonts w:ascii="宋体" w:hAnsi="宋体"/>
          <w:color w:val="auto"/>
          <w:sz w:val="22"/>
          <w:szCs w:val="22"/>
          <w:highlight w:val="none"/>
        </w:rPr>
        <w:t>；</w:t>
      </w:r>
    </w:p>
    <w:p w14:paraId="75846EAF">
      <w:pPr>
        <w:pStyle w:val="13"/>
        <w:spacing w:line="360" w:lineRule="auto"/>
        <w:ind w:firstLine="440" w:firstLineChars="200"/>
        <w:rPr>
          <w:rStyle w:val="8"/>
          <w:rFonts w:ascii="宋体" w:hAnsi="宋体"/>
          <w:color w:val="auto"/>
          <w:sz w:val="22"/>
          <w:szCs w:val="22"/>
          <w:highlight w:val="none"/>
        </w:rPr>
      </w:pPr>
      <w:r>
        <w:rPr>
          <w:rStyle w:val="8"/>
          <w:rFonts w:ascii="宋体" w:hAnsi="宋体"/>
          <w:color w:val="auto"/>
          <w:sz w:val="22"/>
          <w:szCs w:val="22"/>
          <w:highlight w:val="none"/>
        </w:rPr>
        <w:t>发包人指定的接收人为：</w:t>
      </w:r>
      <w:r>
        <w:rPr>
          <w:rStyle w:val="8"/>
          <w:rFonts w:hint="eastAsia" w:ascii="宋体" w:hAnsi="宋体"/>
          <w:color w:val="auto"/>
          <w:kern w:val="2"/>
          <w:sz w:val="22"/>
          <w:szCs w:val="22"/>
          <w:highlight w:val="none"/>
          <w:u w:val="single"/>
        </w:rPr>
        <w:t xml:space="preserve">发包人现场档案员      </w:t>
      </w:r>
      <w:r>
        <w:rPr>
          <w:rStyle w:val="8"/>
          <w:rFonts w:ascii="宋体" w:hAnsi="宋体" w:cs="宋体"/>
          <w:color w:val="auto"/>
          <w:kern w:val="2"/>
          <w:sz w:val="22"/>
          <w:szCs w:val="22"/>
          <w:highlight w:val="none"/>
          <w:u w:val="single"/>
        </w:rPr>
        <w:t></w:t>
      </w:r>
      <w:r>
        <w:rPr>
          <w:rStyle w:val="8"/>
          <w:rFonts w:hint="eastAsia" w:ascii="宋体" w:hAnsi="宋体"/>
          <w:color w:val="auto"/>
          <w:kern w:val="2"/>
          <w:sz w:val="22"/>
          <w:szCs w:val="22"/>
          <w:highlight w:val="none"/>
          <w:u w:val="single"/>
        </w:rPr>
        <w:t xml:space="preserve">   </w:t>
      </w:r>
      <w:r>
        <w:rPr>
          <w:rStyle w:val="8"/>
          <w:rFonts w:ascii="宋体" w:hAnsi="宋体" w:cs="宋体"/>
          <w:color w:val="auto"/>
          <w:kern w:val="2"/>
          <w:sz w:val="22"/>
          <w:szCs w:val="22"/>
          <w:highlight w:val="none"/>
          <w:u w:val="single"/>
        </w:rPr>
        <w:t></w:t>
      </w:r>
      <w:r>
        <w:rPr>
          <w:rStyle w:val="8"/>
          <w:rFonts w:hint="eastAsia" w:ascii="宋体" w:hAnsi="宋体"/>
          <w:color w:val="auto"/>
          <w:kern w:val="2"/>
          <w:sz w:val="22"/>
          <w:szCs w:val="22"/>
          <w:highlight w:val="none"/>
          <w:u w:val="single"/>
        </w:rPr>
        <w:t xml:space="preserve">     </w:t>
      </w:r>
      <w:r>
        <w:rPr>
          <w:rStyle w:val="8"/>
          <w:rFonts w:ascii="宋体" w:hAnsi="宋体" w:cs="宋体"/>
          <w:color w:val="auto"/>
          <w:kern w:val="2"/>
          <w:sz w:val="22"/>
          <w:szCs w:val="22"/>
          <w:highlight w:val="none"/>
          <w:u w:val="single"/>
        </w:rPr>
        <w:t></w:t>
      </w:r>
      <w:r>
        <w:rPr>
          <w:rStyle w:val="8"/>
          <w:rFonts w:hint="eastAsia" w:ascii="宋体" w:hAnsi="宋体"/>
          <w:color w:val="auto"/>
          <w:sz w:val="22"/>
          <w:szCs w:val="22"/>
          <w:highlight w:val="none"/>
        </w:rPr>
        <w:t>；</w:t>
      </w:r>
    </w:p>
    <w:p w14:paraId="34F524C1">
      <w:pPr>
        <w:pStyle w:val="13"/>
        <w:spacing w:line="360" w:lineRule="auto"/>
        <w:ind w:firstLine="440" w:firstLineChars="200"/>
        <w:rPr>
          <w:rStyle w:val="8"/>
          <w:rFonts w:ascii="宋体" w:hAnsi="宋体"/>
          <w:color w:val="auto"/>
          <w:sz w:val="22"/>
          <w:szCs w:val="22"/>
          <w:highlight w:val="none"/>
        </w:rPr>
      </w:pPr>
      <w:r>
        <w:rPr>
          <w:rStyle w:val="8"/>
          <w:rFonts w:ascii="宋体" w:hAnsi="宋体"/>
          <w:color w:val="auto"/>
          <w:sz w:val="22"/>
          <w:szCs w:val="22"/>
          <w:highlight w:val="none"/>
        </w:rPr>
        <w:t>承包人接收文件的地点：</w:t>
      </w:r>
      <w:r>
        <w:rPr>
          <w:rStyle w:val="8"/>
          <w:rFonts w:hint="eastAsia" w:ascii="宋体" w:hAnsi="宋体"/>
          <w:color w:val="auto"/>
          <w:kern w:val="2"/>
          <w:sz w:val="22"/>
          <w:szCs w:val="22"/>
          <w:highlight w:val="none"/>
          <w:u w:val="single"/>
        </w:rPr>
        <w:t>项目现场办公地点</w:t>
      </w:r>
      <w:r>
        <w:rPr>
          <w:rStyle w:val="8"/>
          <w:rFonts w:ascii="宋体" w:hAnsi="宋体" w:cs="宋体"/>
          <w:color w:val="auto"/>
          <w:kern w:val="2"/>
          <w:sz w:val="22"/>
          <w:szCs w:val="22"/>
          <w:highlight w:val="none"/>
          <w:u w:val="single"/>
        </w:rPr>
        <w:t></w:t>
      </w:r>
      <w:r>
        <w:rPr>
          <w:rStyle w:val="8"/>
          <w:rFonts w:hint="eastAsia" w:ascii="宋体" w:hAnsi="宋体"/>
          <w:color w:val="auto"/>
          <w:kern w:val="2"/>
          <w:sz w:val="22"/>
          <w:szCs w:val="22"/>
          <w:highlight w:val="none"/>
          <w:u w:val="single"/>
        </w:rPr>
        <w:t xml:space="preserve">            </w:t>
      </w:r>
      <w:r>
        <w:rPr>
          <w:rStyle w:val="8"/>
          <w:rFonts w:ascii="宋体" w:hAnsi="宋体" w:cs="宋体"/>
          <w:color w:val="auto"/>
          <w:kern w:val="2"/>
          <w:sz w:val="22"/>
          <w:szCs w:val="22"/>
          <w:highlight w:val="none"/>
          <w:u w:val="single"/>
        </w:rPr>
        <w:t></w:t>
      </w:r>
      <w:r>
        <w:rPr>
          <w:rStyle w:val="8"/>
          <w:rFonts w:ascii="宋体" w:hAnsi="宋体"/>
          <w:color w:val="auto"/>
          <w:sz w:val="22"/>
          <w:szCs w:val="22"/>
          <w:highlight w:val="none"/>
        </w:rPr>
        <w:t>；</w:t>
      </w:r>
    </w:p>
    <w:p w14:paraId="738B657C">
      <w:pPr>
        <w:pStyle w:val="14"/>
        <w:spacing w:line="360" w:lineRule="auto"/>
        <w:ind w:firstLine="440" w:firstLineChars="200"/>
        <w:rPr>
          <w:rStyle w:val="8"/>
          <w:rFonts w:ascii="宋体" w:hAnsi="宋体"/>
          <w:color w:val="auto"/>
          <w:kern w:val="2"/>
          <w:sz w:val="22"/>
          <w:szCs w:val="22"/>
          <w:highlight w:val="none"/>
          <w:u w:val="single"/>
        </w:rPr>
      </w:pPr>
      <w:r>
        <w:rPr>
          <w:rStyle w:val="8"/>
          <w:rFonts w:ascii="宋体" w:hAnsi="宋体"/>
          <w:color w:val="auto"/>
          <w:sz w:val="22"/>
          <w:szCs w:val="22"/>
          <w:highlight w:val="none"/>
        </w:rPr>
        <w:t>承包人指定的接收人为：</w:t>
      </w:r>
      <w:r>
        <w:rPr>
          <w:rStyle w:val="8"/>
          <w:rFonts w:ascii="宋体" w:hAnsi="宋体" w:cs="宋体"/>
          <w:color w:val="auto"/>
          <w:kern w:val="2"/>
          <w:sz w:val="22"/>
          <w:szCs w:val="22"/>
          <w:highlight w:val="none"/>
          <w:u w:val="single"/>
        </w:rPr>
        <w:t></w:t>
      </w:r>
      <w:r>
        <w:rPr>
          <w:rStyle w:val="8"/>
          <w:rFonts w:hint="eastAsia" w:ascii="宋体" w:hAnsi="宋体"/>
          <w:color w:val="auto"/>
          <w:kern w:val="2"/>
          <w:sz w:val="22"/>
          <w:szCs w:val="22"/>
          <w:highlight w:val="none"/>
          <w:u w:val="single"/>
        </w:rPr>
        <w:t>合同协议书中载明的承包人项目经理或者项目经理授权代表；</w:t>
      </w:r>
    </w:p>
    <w:p w14:paraId="7DE878A6">
      <w:pPr>
        <w:pStyle w:val="14"/>
        <w:spacing w:line="360" w:lineRule="auto"/>
        <w:ind w:firstLine="440" w:firstLineChars="200"/>
        <w:rPr>
          <w:rStyle w:val="8"/>
          <w:rFonts w:ascii="宋体" w:hAnsi="宋体"/>
          <w:color w:val="auto"/>
          <w:kern w:val="2"/>
          <w:sz w:val="22"/>
          <w:szCs w:val="22"/>
          <w:highlight w:val="none"/>
          <w:u w:val="single"/>
        </w:rPr>
      </w:pPr>
      <w:r>
        <w:rPr>
          <w:rStyle w:val="8"/>
          <w:rFonts w:ascii="宋体" w:hAnsi="宋体"/>
          <w:color w:val="auto"/>
          <w:sz w:val="22"/>
          <w:szCs w:val="22"/>
          <w:highlight w:val="none"/>
        </w:rPr>
        <w:t>监理人接收文件的地点：</w:t>
      </w:r>
      <w:r>
        <w:rPr>
          <w:rStyle w:val="8"/>
          <w:rFonts w:ascii="宋体" w:hAnsi="宋体" w:cs="宋体"/>
          <w:color w:val="auto"/>
          <w:kern w:val="2"/>
          <w:sz w:val="22"/>
          <w:szCs w:val="22"/>
          <w:highlight w:val="none"/>
          <w:u w:val="single"/>
        </w:rPr>
        <w:t></w:t>
      </w:r>
      <w:r>
        <w:rPr>
          <w:rStyle w:val="8"/>
          <w:rFonts w:hint="eastAsia" w:ascii="宋体" w:hAnsi="宋体"/>
          <w:color w:val="auto"/>
          <w:kern w:val="2"/>
          <w:sz w:val="22"/>
          <w:szCs w:val="22"/>
          <w:highlight w:val="none"/>
          <w:u w:val="single"/>
        </w:rPr>
        <w:t xml:space="preserve">             ；</w:t>
      </w:r>
    </w:p>
    <w:p w14:paraId="733E2E8B">
      <w:pPr>
        <w:pStyle w:val="13"/>
        <w:spacing w:line="360" w:lineRule="auto"/>
        <w:ind w:firstLine="440" w:firstLineChars="200"/>
        <w:rPr>
          <w:rStyle w:val="8"/>
          <w:rFonts w:ascii="宋体" w:hAnsi="宋体"/>
          <w:color w:val="auto"/>
          <w:sz w:val="22"/>
          <w:szCs w:val="22"/>
          <w:highlight w:val="none"/>
        </w:rPr>
      </w:pPr>
      <w:r>
        <w:rPr>
          <w:rStyle w:val="8"/>
          <w:rFonts w:ascii="宋体" w:hAnsi="宋体"/>
          <w:color w:val="auto"/>
          <w:sz w:val="22"/>
          <w:szCs w:val="22"/>
          <w:highlight w:val="none"/>
        </w:rPr>
        <w:t>监理人指定的接收人为：</w:t>
      </w:r>
      <w:r>
        <w:rPr>
          <w:rStyle w:val="8"/>
          <w:rFonts w:ascii="宋体" w:hAnsi="宋体" w:cs="宋体"/>
          <w:color w:val="auto"/>
          <w:kern w:val="2"/>
          <w:sz w:val="22"/>
          <w:szCs w:val="22"/>
          <w:highlight w:val="none"/>
          <w:u w:val="single"/>
        </w:rPr>
        <w:t></w:t>
      </w:r>
      <w:r>
        <w:rPr>
          <w:rStyle w:val="8"/>
          <w:rFonts w:hint="eastAsia" w:ascii="宋体" w:hAnsi="宋体"/>
          <w:color w:val="auto"/>
          <w:kern w:val="2"/>
          <w:sz w:val="22"/>
          <w:szCs w:val="22"/>
          <w:highlight w:val="none"/>
          <w:u w:val="single"/>
        </w:rPr>
        <w:t xml:space="preserve">         </w:t>
      </w:r>
      <w:r>
        <w:rPr>
          <w:rStyle w:val="8"/>
          <w:rFonts w:ascii="宋体" w:hAnsi="宋体" w:cs="宋体"/>
          <w:color w:val="auto"/>
          <w:kern w:val="2"/>
          <w:sz w:val="22"/>
          <w:szCs w:val="22"/>
          <w:highlight w:val="none"/>
          <w:u w:val="single"/>
        </w:rPr>
        <w:t></w:t>
      </w:r>
      <w:r>
        <w:rPr>
          <w:rStyle w:val="8"/>
          <w:rFonts w:hint="eastAsia" w:ascii="宋体" w:hAnsi="宋体"/>
          <w:color w:val="auto"/>
          <w:kern w:val="2"/>
          <w:sz w:val="22"/>
          <w:szCs w:val="22"/>
          <w:highlight w:val="none"/>
          <w:u w:val="single"/>
        </w:rPr>
        <w:t xml:space="preserve">  </w:t>
      </w:r>
      <w:r>
        <w:rPr>
          <w:rStyle w:val="8"/>
          <w:rFonts w:ascii="宋体" w:hAnsi="宋体" w:cs="宋体"/>
          <w:color w:val="auto"/>
          <w:kern w:val="2"/>
          <w:sz w:val="22"/>
          <w:szCs w:val="22"/>
          <w:highlight w:val="none"/>
          <w:u w:val="single"/>
        </w:rPr>
        <w:t></w:t>
      </w:r>
      <w:r>
        <w:rPr>
          <w:rStyle w:val="8"/>
          <w:rFonts w:ascii="宋体" w:hAnsi="宋体"/>
          <w:color w:val="auto"/>
          <w:sz w:val="22"/>
          <w:szCs w:val="22"/>
          <w:highlight w:val="none"/>
        </w:rPr>
        <w:t>。</w:t>
      </w:r>
    </w:p>
    <w:p w14:paraId="5BB29313">
      <w:pPr>
        <w:pStyle w:val="13"/>
        <w:spacing w:after="120" w:line="360" w:lineRule="auto"/>
        <w:ind w:firstLine="440" w:firstLineChars="200"/>
        <w:outlineLvl w:val="0"/>
        <w:rPr>
          <w:rStyle w:val="8"/>
          <w:rFonts w:ascii="宋体" w:hAnsi="宋体"/>
          <w:color w:val="auto"/>
          <w:kern w:val="2"/>
          <w:sz w:val="22"/>
          <w:szCs w:val="22"/>
          <w:highlight w:val="none"/>
        </w:rPr>
      </w:pPr>
      <w:bookmarkStart w:id="260" w:name="_Toc4973"/>
      <w:bookmarkStart w:id="261" w:name="_Toc256000823"/>
      <w:bookmarkStart w:id="262" w:name="_Toc69461147"/>
      <w:bookmarkStart w:id="263" w:name="_Toc256000327"/>
      <w:bookmarkStart w:id="264" w:name="_Toc19836"/>
      <w:bookmarkStart w:id="265" w:name="_Toc261"/>
      <w:bookmarkStart w:id="266" w:name="_Toc256000556"/>
      <w:bookmarkStart w:id="267" w:name="_Toc256001060"/>
      <w:bookmarkStart w:id="268" w:name="_Toc15266"/>
      <w:bookmarkStart w:id="269" w:name="_Toc256001290"/>
      <w:bookmarkStart w:id="270" w:name="_Toc256000050"/>
      <w:bookmarkStart w:id="271" w:name="_Toc69461802"/>
      <w:r>
        <w:rPr>
          <w:rStyle w:val="8"/>
          <w:rFonts w:ascii="宋体" w:hAnsi="宋体"/>
          <w:color w:val="auto"/>
          <w:kern w:val="2"/>
          <w:sz w:val="22"/>
          <w:szCs w:val="22"/>
          <w:highlight w:val="none"/>
        </w:rPr>
        <w:t>1.10 交通运输</w:t>
      </w:r>
      <w:bookmarkEnd w:id="260"/>
      <w:bookmarkEnd w:id="261"/>
      <w:bookmarkEnd w:id="262"/>
      <w:bookmarkEnd w:id="263"/>
      <w:bookmarkEnd w:id="264"/>
      <w:bookmarkEnd w:id="265"/>
      <w:bookmarkEnd w:id="266"/>
      <w:bookmarkEnd w:id="267"/>
      <w:bookmarkEnd w:id="268"/>
      <w:bookmarkEnd w:id="269"/>
      <w:bookmarkEnd w:id="270"/>
      <w:bookmarkEnd w:id="271"/>
    </w:p>
    <w:p w14:paraId="05AC8B0D">
      <w:pPr>
        <w:pStyle w:val="13"/>
        <w:spacing w:line="360" w:lineRule="auto"/>
        <w:ind w:firstLine="440" w:firstLineChars="200"/>
        <w:outlineLvl w:val="0"/>
        <w:rPr>
          <w:rStyle w:val="8"/>
          <w:rFonts w:ascii="宋体" w:hAnsi="宋体"/>
          <w:color w:val="auto"/>
          <w:kern w:val="2"/>
          <w:sz w:val="22"/>
          <w:szCs w:val="22"/>
          <w:highlight w:val="none"/>
        </w:rPr>
      </w:pPr>
      <w:bookmarkStart w:id="272" w:name="_Toc10663"/>
      <w:bookmarkStart w:id="273" w:name="_Toc10233"/>
      <w:bookmarkStart w:id="274" w:name="_Toc256001061"/>
      <w:bookmarkStart w:id="275" w:name="_Toc256000051"/>
      <w:bookmarkStart w:id="276" w:name="_Toc7778"/>
      <w:bookmarkStart w:id="277" w:name="_Toc256000557"/>
      <w:bookmarkStart w:id="278" w:name="_Toc13898"/>
      <w:bookmarkStart w:id="279" w:name="_Toc256001291"/>
      <w:bookmarkStart w:id="280" w:name="_Toc69461148"/>
      <w:bookmarkStart w:id="281" w:name="_Toc256000328"/>
      <w:bookmarkStart w:id="282" w:name="_Toc256000824"/>
      <w:bookmarkStart w:id="283" w:name="_Toc69461803"/>
      <w:r>
        <w:rPr>
          <w:rStyle w:val="8"/>
          <w:rFonts w:ascii="宋体" w:hAnsi="宋体"/>
          <w:color w:val="auto"/>
          <w:kern w:val="2"/>
          <w:sz w:val="22"/>
          <w:szCs w:val="22"/>
          <w:highlight w:val="none"/>
        </w:rPr>
        <w:t>1</w:t>
      </w:r>
      <w:bookmarkStart w:id="284" w:name="_Toc318581155"/>
      <w:bookmarkStart w:id="285" w:name="_Toc300934943"/>
      <w:bookmarkStart w:id="286" w:name="_Toc303539100"/>
      <w:bookmarkStart w:id="287" w:name="_Toc304295521"/>
      <w:bookmarkStart w:id="288" w:name="_Toc312677986"/>
      <w:r>
        <w:rPr>
          <w:rStyle w:val="8"/>
          <w:rFonts w:ascii="宋体" w:hAnsi="宋体"/>
          <w:color w:val="auto"/>
          <w:kern w:val="2"/>
          <w:sz w:val="22"/>
          <w:szCs w:val="22"/>
          <w:highlight w:val="none"/>
        </w:rPr>
        <w:t>.10.1 出入现场的权利</w:t>
      </w:r>
      <w:bookmarkEnd w:id="272"/>
      <w:bookmarkEnd w:id="273"/>
      <w:bookmarkEnd w:id="274"/>
      <w:bookmarkEnd w:id="275"/>
      <w:bookmarkEnd w:id="276"/>
      <w:bookmarkEnd w:id="277"/>
      <w:bookmarkEnd w:id="278"/>
      <w:bookmarkEnd w:id="279"/>
      <w:bookmarkEnd w:id="280"/>
      <w:bookmarkEnd w:id="281"/>
      <w:bookmarkEnd w:id="282"/>
      <w:bookmarkEnd w:id="283"/>
    </w:p>
    <w:p w14:paraId="251A581E">
      <w:pPr>
        <w:pStyle w:val="13"/>
        <w:spacing w:line="360" w:lineRule="auto"/>
        <w:ind w:left="596" w:leftChars="284"/>
        <w:rPr>
          <w:rStyle w:val="8"/>
          <w:rFonts w:ascii="宋体" w:hAnsi="宋体"/>
          <w:color w:val="auto"/>
          <w:kern w:val="2"/>
          <w:sz w:val="22"/>
          <w:szCs w:val="22"/>
          <w:highlight w:val="none"/>
        </w:rPr>
      </w:pPr>
      <w:r>
        <w:rPr>
          <w:rStyle w:val="8"/>
          <w:rFonts w:ascii="宋体" w:hAnsi="宋体"/>
          <w:color w:val="auto"/>
          <w:kern w:val="2"/>
          <w:sz w:val="22"/>
          <w:szCs w:val="22"/>
          <w:highlight w:val="none"/>
        </w:rPr>
        <w:t>关于出入现场的权利的约定：</w:t>
      </w:r>
      <w:r>
        <w:rPr>
          <w:rStyle w:val="8"/>
          <w:rFonts w:hint="eastAsia" w:ascii="宋体" w:hAnsi="宋体" w:cs="宋体"/>
          <w:color w:val="auto"/>
          <w:kern w:val="2"/>
          <w:sz w:val="22"/>
          <w:szCs w:val="22"/>
          <w:highlight w:val="none"/>
          <w:u w:val="single"/>
        </w:rPr>
        <w:t> </w:t>
      </w:r>
      <w:r>
        <w:rPr>
          <w:rStyle w:val="8"/>
          <w:rFonts w:hint="eastAsia" w:ascii="宋体" w:hAnsi="宋体"/>
          <w:color w:val="auto"/>
          <w:kern w:val="2"/>
          <w:sz w:val="22"/>
          <w:szCs w:val="22"/>
          <w:highlight w:val="none"/>
          <w:u w:val="single"/>
        </w:rPr>
        <w:t>以现场施工围档为界</w:t>
      </w:r>
      <w:r>
        <w:rPr>
          <w:rStyle w:val="8"/>
          <w:rFonts w:ascii="宋体" w:hAnsi="宋体" w:cs="宋体"/>
          <w:color w:val="auto"/>
          <w:kern w:val="2"/>
          <w:sz w:val="22"/>
          <w:szCs w:val="22"/>
          <w:highlight w:val="none"/>
          <w:u w:val="single"/>
        </w:rPr>
        <w:t></w:t>
      </w:r>
    </w:p>
    <w:p w14:paraId="76646738">
      <w:pPr>
        <w:pStyle w:val="13"/>
        <w:spacing w:line="360" w:lineRule="auto"/>
        <w:rPr>
          <w:rStyle w:val="8"/>
          <w:rFonts w:ascii="宋体" w:hAnsi="宋体"/>
          <w:color w:val="auto"/>
          <w:kern w:val="2"/>
          <w:sz w:val="22"/>
          <w:szCs w:val="22"/>
          <w:highlight w:val="none"/>
        </w:rPr>
      </w:pPr>
    </w:p>
    <w:bookmarkEnd w:id="284"/>
    <w:bookmarkEnd w:id="285"/>
    <w:bookmarkEnd w:id="286"/>
    <w:bookmarkEnd w:id="287"/>
    <w:bookmarkEnd w:id="288"/>
    <w:p w14:paraId="7B0A69F6">
      <w:pPr>
        <w:pStyle w:val="13"/>
        <w:spacing w:line="360" w:lineRule="auto"/>
        <w:ind w:firstLine="440" w:firstLineChars="200"/>
        <w:jc w:val="left"/>
        <w:outlineLvl w:val="0"/>
        <w:rPr>
          <w:rStyle w:val="8"/>
          <w:rFonts w:ascii="宋体" w:hAnsi="宋体"/>
          <w:color w:val="auto"/>
          <w:kern w:val="2"/>
          <w:sz w:val="22"/>
          <w:szCs w:val="22"/>
          <w:highlight w:val="none"/>
        </w:rPr>
      </w:pPr>
      <w:bookmarkStart w:id="289" w:name="_Toc256000825"/>
      <w:bookmarkStart w:id="290" w:name="_Toc256000558"/>
      <w:bookmarkStart w:id="291" w:name="_Toc18425"/>
      <w:bookmarkStart w:id="292" w:name="_Toc8263"/>
      <w:bookmarkStart w:id="293" w:name="_Toc256000329"/>
      <w:bookmarkStart w:id="294" w:name="_Toc24596"/>
      <w:bookmarkStart w:id="295" w:name="_Toc69461804"/>
      <w:bookmarkStart w:id="296" w:name="_Toc69461149"/>
      <w:bookmarkStart w:id="297" w:name="_Toc22957"/>
      <w:bookmarkStart w:id="298" w:name="_Toc256001292"/>
      <w:bookmarkStart w:id="299" w:name="_Toc256001062"/>
      <w:bookmarkStart w:id="300" w:name="_Toc256000052"/>
      <w:r>
        <w:rPr>
          <w:rStyle w:val="8"/>
          <w:rFonts w:ascii="宋体" w:hAnsi="宋体"/>
          <w:color w:val="auto"/>
          <w:kern w:val="2"/>
          <w:sz w:val="22"/>
          <w:szCs w:val="22"/>
          <w:highlight w:val="none"/>
        </w:rPr>
        <w:t>1</w:t>
      </w:r>
      <w:bookmarkStart w:id="301" w:name="_Toc304295522"/>
      <w:bookmarkStart w:id="302" w:name="_Toc303539101"/>
      <w:bookmarkStart w:id="303" w:name="_Toc312677987"/>
      <w:bookmarkStart w:id="304" w:name="_Toc300934944"/>
      <w:bookmarkStart w:id="305" w:name="_Toc318581156"/>
      <w:r>
        <w:rPr>
          <w:rStyle w:val="8"/>
          <w:rFonts w:ascii="宋体" w:hAnsi="宋体"/>
          <w:color w:val="auto"/>
          <w:kern w:val="2"/>
          <w:sz w:val="22"/>
          <w:szCs w:val="22"/>
          <w:highlight w:val="none"/>
        </w:rPr>
        <w:t>.10.3 场内交通</w:t>
      </w:r>
      <w:bookmarkEnd w:id="289"/>
      <w:bookmarkEnd w:id="290"/>
      <w:bookmarkEnd w:id="291"/>
      <w:bookmarkEnd w:id="292"/>
      <w:bookmarkEnd w:id="293"/>
      <w:bookmarkEnd w:id="294"/>
      <w:bookmarkEnd w:id="295"/>
      <w:bookmarkEnd w:id="296"/>
      <w:bookmarkEnd w:id="297"/>
      <w:bookmarkEnd w:id="298"/>
      <w:bookmarkEnd w:id="299"/>
      <w:bookmarkEnd w:id="300"/>
    </w:p>
    <w:p w14:paraId="6E8BD19F">
      <w:pPr>
        <w:pStyle w:val="13"/>
        <w:spacing w:line="360" w:lineRule="auto"/>
        <w:ind w:firstLine="440" w:firstLineChars="200"/>
        <w:jc w:val="left"/>
        <w:rPr>
          <w:rStyle w:val="8"/>
          <w:rFonts w:ascii="宋体" w:hAnsi="宋体"/>
          <w:color w:val="auto"/>
          <w:sz w:val="22"/>
          <w:szCs w:val="22"/>
          <w:highlight w:val="none"/>
        </w:rPr>
      </w:pPr>
      <w:r>
        <w:rPr>
          <w:rStyle w:val="8"/>
          <w:rFonts w:ascii="宋体" w:hAnsi="宋体"/>
          <w:color w:val="auto"/>
          <w:sz w:val="22"/>
          <w:szCs w:val="22"/>
          <w:highlight w:val="none"/>
        </w:rPr>
        <w:t>关于场外交通和场内交通的边界的约定：</w:t>
      </w:r>
      <w:r>
        <w:rPr>
          <w:rStyle w:val="8"/>
          <w:rFonts w:ascii="宋体" w:hAnsi="宋体" w:cs="宋体"/>
          <w:color w:val="auto"/>
          <w:kern w:val="2"/>
          <w:sz w:val="22"/>
          <w:szCs w:val="22"/>
          <w:highlight w:val="none"/>
          <w:u w:val="single"/>
        </w:rPr>
        <w:t></w:t>
      </w:r>
      <w:r>
        <w:rPr>
          <w:rStyle w:val="8"/>
          <w:rFonts w:hint="eastAsia" w:ascii="宋体" w:hAnsi="宋体"/>
          <w:color w:val="auto"/>
          <w:kern w:val="2"/>
          <w:sz w:val="22"/>
          <w:szCs w:val="22"/>
          <w:highlight w:val="none"/>
          <w:u w:val="single"/>
        </w:rPr>
        <w:t>承包人有权无偿使用发包人修建的临时道路和交通设施，不需要交纳任何费用</w:t>
      </w:r>
      <w:r>
        <w:rPr>
          <w:rStyle w:val="8"/>
          <w:rFonts w:hint="eastAsia" w:ascii="宋体" w:hAnsi="宋体" w:cs="宋体"/>
          <w:color w:val="auto"/>
          <w:kern w:val="2"/>
          <w:sz w:val="22"/>
          <w:szCs w:val="22"/>
          <w:highlight w:val="none"/>
          <w:u w:val="single"/>
        </w:rPr>
        <w:t>。</w:t>
      </w:r>
    </w:p>
    <w:p w14:paraId="62CF8221">
      <w:pPr>
        <w:pStyle w:val="13"/>
        <w:spacing w:line="360" w:lineRule="auto"/>
        <w:ind w:firstLine="440" w:firstLineChars="200"/>
        <w:jc w:val="left"/>
        <w:rPr>
          <w:rStyle w:val="8"/>
          <w:rFonts w:ascii="宋体" w:hAnsi="宋体"/>
          <w:color w:val="auto"/>
          <w:kern w:val="2"/>
          <w:sz w:val="22"/>
          <w:szCs w:val="22"/>
          <w:highlight w:val="none"/>
        </w:rPr>
      </w:pPr>
      <w:r>
        <w:rPr>
          <w:rStyle w:val="8"/>
          <w:rFonts w:ascii="宋体" w:hAnsi="宋体"/>
          <w:color w:val="auto"/>
          <w:kern w:val="2"/>
          <w:sz w:val="22"/>
          <w:szCs w:val="22"/>
          <w:highlight w:val="none"/>
        </w:rPr>
        <w:t>关于发包人向承包人免费提供满足工程施工需要的场内道路和交通设施的约定：</w:t>
      </w:r>
      <w:r>
        <w:rPr>
          <w:rStyle w:val="8"/>
          <w:rFonts w:hint="eastAsia" w:ascii="宋体" w:hAnsi="宋体" w:cs="宋体"/>
          <w:color w:val="auto"/>
          <w:kern w:val="2"/>
          <w:sz w:val="22"/>
          <w:szCs w:val="22"/>
          <w:highlight w:val="none"/>
          <w:u w:val="single"/>
        </w:rPr>
        <w:t>       </w:t>
      </w:r>
      <w:r>
        <w:rPr>
          <w:rStyle w:val="8"/>
          <w:rFonts w:hint="eastAsia" w:ascii="宋体" w:hAnsi="宋体"/>
          <w:color w:val="auto"/>
          <w:kern w:val="2"/>
          <w:sz w:val="22"/>
          <w:szCs w:val="22"/>
          <w:highlight w:val="none"/>
          <w:u w:val="single"/>
        </w:rPr>
        <w:t xml:space="preserve">  </w:t>
      </w:r>
      <w:r>
        <w:rPr>
          <w:rStyle w:val="8"/>
          <w:rFonts w:hint="eastAsia" w:ascii="宋体" w:hAnsi="宋体" w:cs="宋体"/>
          <w:color w:val="auto"/>
          <w:kern w:val="2"/>
          <w:sz w:val="22"/>
          <w:szCs w:val="22"/>
          <w:highlight w:val="none"/>
          <w:u w:val="single"/>
        </w:rPr>
        <w:t xml:space="preserve">    </w:t>
      </w:r>
      <w:r>
        <w:rPr>
          <w:rStyle w:val="8"/>
          <w:rFonts w:hint="eastAsia" w:ascii="宋体" w:hAnsi="宋体"/>
          <w:color w:val="auto"/>
          <w:kern w:val="2"/>
          <w:sz w:val="22"/>
          <w:szCs w:val="22"/>
          <w:highlight w:val="none"/>
          <w:u w:val="single"/>
        </w:rPr>
        <w:t xml:space="preserve">                     </w:t>
      </w:r>
      <w:r>
        <w:rPr>
          <w:rStyle w:val="8"/>
          <w:rFonts w:ascii="宋体" w:hAnsi="宋体"/>
          <w:color w:val="auto"/>
          <w:kern w:val="2"/>
          <w:sz w:val="22"/>
          <w:szCs w:val="22"/>
          <w:highlight w:val="none"/>
          <w:u w:val="single"/>
        </w:rPr>
        <w:t xml:space="preserve"> </w:t>
      </w:r>
      <w:bookmarkEnd w:id="301"/>
      <w:bookmarkEnd w:id="302"/>
      <w:bookmarkEnd w:id="303"/>
      <w:bookmarkEnd w:id="304"/>
      <w:bookmarkEnd w:id="305"/>
      <w:r>
        <w:rPr>
          <w:rStyle w:val="8"/>
          <w:rFonts w:ascii="宋体" w:hAnsi="宋体"/>
          <w:color w:val="auto"/>
          <w:kern w:val="2"/>
          <w:sz w:val="22"/>
          <w:szCs w:val="22"/>
          <w:highlight w:val="none"/>
        </w:rPr>
        <w:t xml:space="preserve">  </w:t>
      </w:r>
      <w:bookmarkStart w:id="306" w:name="_Toc318581157"/>
    </w:p>
    <w:p w14:paraId="4A606BD6">
      <w:pPr>
        <w:pStyle w:val="13"/>
        <w:spacing w:line="360" w:lineRule="auto"/>
        <w:ind w:firstLine="440" w:firstLineChars="200"/>
        <w:jc w:val="left"/>
        <w:rPr>
          <w:rStyle w:val="8"/>
          <w:rFonts w:ascii="宋体" w:hAnsi="宋体"/>
          <w:color w:val="auto"/>
          <w:kern w:val="2"/>
          <w:sz w:val="22"/>
          <w:szCs w:val="22"/>
          <w:highlight w:val="none"/>
        </w:rPr>
      </w:pPr>
      <w:r>
        <w:rPr>
          <w:rStyle w:val="8"/>
          <w:rFonts w:ascii="宋体" w:hAnsi="宋体"/>
          <w:color w:val="auto"/>
          <w:kern w:val="2"/>
          <w:sz w:val="22"/>
          <w:szCs w:val="22"/>
          <w:highlight w:val="none"/>
        </w:rPr>
        <w:t>1.10.4超大件和超重件的运输</w:t>
      </w:r>
    </w:p>
    <w:p w14:paraId="01E4DE88">
      <w:pPr>
        <w:pStyle w:val="13"/>
        <w:spacing w:line="360" w:lineRule="auto"/>
        <w:ind w:firstLine="440" w:firstLineChars="200"/>
        <w:jc w:val="left"/>
        <w:rPr>
          <w:rStyle w:val="8"/>
          <w:rFonts w:ascii="宋体" w:hAnsi="宋体"/>
          <w:color w:val="auto"/>
          <w:kern w:val="2"/>
          <w:sz w:val="22"/>
          <w:szCs w:val="22"/>
          <w:highlight w:val="none"/>
        </w:rPr>
      </w:pPr>
      <w:r>
        <w:rPr>
          <w:rStyle w:val="8"/>
          <w:rFonts w:ascii="宋体" w:hAnsi="宋体"/>
          <w:color w:val="auto"/>
          <w:kern w:val="2"/>
          <w:sz w:val="22"/>
          <w:szCs w:val="22"/>
          <w:highlight w:val="none"/>
        </w:rPr>
        <w:t>运输超大件或超重件所需的道路和桥梁临时加固改造费用和其他有关费用由</w:t>
      </w:r>
      <w:r>
        <w:rPr>
          <w:rStyle w:val="8"/>
          <w:rFonts w:hint="eastAsia" w:ascii="宋体" w:hAnsi="宋体"/>
          <w:color w:val="auto"/>
          <w:kern w:val="2"/>
          <w:sz w:val="22"/>
          <w:szCs w:val="22"/>
          <w:highlight w:val="none"/>
          <w:u w:val="single"/>
        </w:rPr>
        <w:t>承包人</w:t>
      </w:r>
      <w:r>
        <w:rPr>
          <w:rStyle w:val="8"/>
          <w:rFonts w:ascii="宋体" w:hAnsi="宋体"/>
          <w:color w:val="auto"/>
          <w:kern w:val="2"/>
          <w:sz w:val="22"/>
          <w:szCs w:val="22"/>
          <w:highlight w:val="none"/>
          <w:u w:val="single"/>
        </w:rPr>
        <w:t xml:space="preserve">         </w:t>
      </w:r>
      <w:r>
        <w:rPr>
          <w:rStyle w:val="8"/>
          <w:rFonts w:ascii="宋体" w:hAnsi="宋体"/>
          <w:color w:val="auto"/>
          <w:kern w:val="2"/>
          <w:sz w:val="22"/>
          <w:szCs w:val="22"/>
          <w:highlight w:val="none"/>
        </w:rPr>
        <w:t>承担。</w:t>
      </w:r>
    </w:p>
    <w:bookmarkEnd w:id="306"/>
    <w:p w14:paraId="127830E0">
      <w:pPr>
        <w:pStyle w:val="13"/>
        <w:spacing w:after="120" w:line="360" w:lineRule="auto"/>
        <w:ind w:firstLine="440" w:firstLineChars="200"/>
        <w:outlineLvl w:val="0"/>
        <w:rPr>
          <w:rStyle w:val="8"/>
          <w:rFonts w:ascii="宋体" w:hAnsi="宋体"/>
          <w:color w:val="auto"/>
          <w:kern w:val="2"/>
          <w:sz w:val="22"/>
          <w:szCs w:val="22"/>
          <w:highlight w:val="none"/>
        </w:rPr>
      </w:pPr>
      <w:bookmarkStart w:id="307" w:name="_Toc256001293"/>
      <w:bookmarkStart w:id="308" w:name="_Toc256000330"/>
      <w:bookmarkStart w:id="309" w:name="_Toc10722"/>
      <w:bookmarkStart w:id="310" w:name="_Toc8317"/>
      <w:bookmarkStart w:id="311" w:name="_Toc11629"/>
      <w:bookmarkStart w:id="312" w:name="_Toc256000053"/>
      <w:bookmarkStart w:id="313" w:name="_Toc18201"/>
      <w:bookmarkStart w:id="314" w:name="_Toc256000826"/>
      <w:bookmarkStart w:id="315" w:name="_Toc256000559"/>
      <w:bookmarkStart w:id="316" w:name="_Toc256001063"/>
      <w:bookmarkStart w:id="317" w:name="_Toc69461805"/>
      <w:bookmarkStart w:id="318" w:name="_Toc69461150"/>
      <w:r>
        <w:rPr>
          <w:rStyle w:val="8"/>
          <w:rFonts w:ascii="宋体" w:hAnsi="宋体"/>
          <w:color w:val="auto"/>
          <w:kern w:val="2"/>
          <w:sz w:val="22"/>
          <w:szCs w:val="22"/>
          <w:highlight w:val="none"/>
        </w:rPr>
        <w:t>1.11 知识产权</w:t>
      </w:r>
      <w:bookmarkEnd w:id="307"/>
      <w:bookmarkEnd w:id="308"/>
      <w:bookmarkEnd w:id="309"/>
      <w:bookmarkEnd w:id="310"/>
      <w:bookmarkEnd w:id="311"/>
      <w:bookmarkEnd w:id="312"/>
      <w:bookmarkEnd w:id="313"/>
      <w:bookmarkEnd w:id="314"/>
      <w:bookmarkEnd w:id="315"/>
      <w:bookmarkEnd w:id="316"/>
      <w:bookmarkEnd w:id="317"/>
      <w:bookmarkEnd w:id="318"/>
    </w:p>
    <w:p w14:paraId="3CBFB0CB">
      <w:pPr>
        <w:pStyle w:val="13"/>
        <w:spacing w:line="360" w:lineRule="auto"/>
        <w:ind w:firstLine="440" w:firstLineChars="200"/>
        <w:rPr>
          <w:rStyle w:val="8"/>
          <w:rFonts w:ascii="宋体" w:hAnsi="宋体"/>
          <w:color w:val="auto"/>
          <w:kern w:val="2"/>
          <w:sz w:val="22"/>
          <w:szCs w:val="22"/>
          <w:highlight w:val="none"/>
          <w:u w:val="single"/>
        </w:rPr>
      </w:pPr>
      <w:r>
        <w:rPr>
          <w:rStyle w:val="8"/>
          <w:rFonts w:ascii="宋体" w:hAnsi="宋体"/>
          <w:color w:val="auto"/>
          <w:kern w:val="2"/>
          <w:sz w:val="22"/>
          <w:szCs w:val="22"/>
          <w:highlight w:val="none"/>
        </w:rPr>
        <w:t>1.11.1关于发包人提供给承包人的图纸、发包人为实施工程自行编制或委托编制的技术规范以及反映发包人关于合同要求或其他类似性质的文件的著作权的归属：</w:t>
      </w:r>
      <w:r>
        <w:rPr>
          <w:rStyle w:val="8"/>
          <w:rFonts w:hint="eastAsia" w:ascii="宋体" w:hAnsi="宋体" w:cs="宋体"/>
          <w:color w:val="auto"/>
          <w:kern w:val="2"/>
          <w:sz w:val="22"/>
          <w:szCs w:val="22"/>
          <w:highlight w:val="none"/>
          <w:u w:val="single"/>
        </w:rPr>
        <w:t xml:space="preserve">          </w:t>
      </w:r>
      <w:r>
        <w:rPr>
          <w:rStyle w:val="8"/>
          <w:rFonts w:hint="eastAsia" w:ascii="宋体" w:hAnsi="宋体"/>
          <w:color w:val="auto"/>
          <w:kern w:val="2"/>
          <w:sz w:val="22"/>
          <w:szCs w:val="22"/>
          <w:highlight w:val="none"/>
          <w:u w:val="single"/>
        </w:rPr>
        <w:t xml:space="preserve">发包人  </w:t>
      </w:r>
      <w:r>
        <w:rPr>
          <w:rStyle w:val="8"/>
          <w:rFonts w:ascii="宋体" w:hAnsi="宋体"/>
          <w:color w:val="auto"/>
          <w:kern w:val="2"/>
          <w:sz w:val="22"/>
          <w:szCs w:val="22"/>
          <w:highlight w:val="none"/>
          <w:u w:val="single"/>
        </w:rPr>
        <w:t xml:space="preserve">           </w:t>
      </w:r>
      <w:r>
        <w:rPr>
          <w:rStyle w:val="8"/>
          <w:rFonts w:ascii="宋体" w:hAnsi="宋体" w:cs="宋体"/>
          <w:color w:val="auto"/>
          <w:kern w:val="2"/>
          <w:sz w:val="22"/>
          <w:szCs w:val="22"/>
          <w:highlight w:val="none"/>
          <w:u w:val="single"/>
        </w:rPr>
        <w:t></w:t>
      </w:r>
    </w:p>
    <w:p w14:paraId="3B2F5C83">
      <w:pPr>
        <w:pStyle w:val="14"/>
        <w:spacing w:line="360" w:lineRule="auto"/>
        <w:ind w:left="596" w:leftChars="284"/>
        <w:rPr>
          <w:rStyle w:val="8"/>
          <w:rFonts w:ascii="宋体" w:hAnsi="宋体"/>
          <w:color w:val="auto"/>
          <w:kern w:val="2"/>
          <w:sz w:val="22"/>
          <w:szCs w:val="22"/>
          <w:highlight w:val="none"/>
          <w:u w:val="single"/>
        </w:rPr>
      </w:pPr>
      <w:r>
        <w:rPr>
          <w:rStyle w:val="8"/>
          <w:rFonts w:ascii="宋体" w:hAnsi="宋体"/>
          <w:color w:val="auto"/>
          <w:kern w:val="2"/>
          <w:sz w:val="22"/>
          <w:szCs w:val="22"/>
          <w:highlight w:val="none"/>
        </w:rPr>
        <w:t>关于发包人提供的上述文件的使用限制的要求：</w:t>
      </w:r>
      <w:r>
        <w:rPr>
          <w:rStyle w:val="8"/>
          <w:rFonts w:hint="eastAsia" w:ascii="宋体" w:hAnsi="宋体"/>
          <w:color w:val="auto"/>
          <w:kern w:val="2"/>
          <w:sz w:val="22"/>
          <w:szCs w:val="22"/>
          <w:highlight w:val="none"/>
          <w:u w:val="single"/>
        </w:rPr>
        <w:t>未经发包人书面同意，承包人不得为了合同以外目的而复制，使用上述文件或将之提供给任何第三方。</w:t>
      </w:r>
    </w:p>
    <w:p w14:paraId="3F1357FC">
      <w:pPr>
        <w:pStyle w:val="14"/>
        <w:spacing w:line="360" w:lineRule="auto"/>
        <w:ind w:firstLine="440" w:firstLineChars="200"/>
        <w:rPr>
          <w:rStyle w:val="8"/>
          <w:rFonts w:ascii="宋体" w:hAnsi="宋体"/>
          <w:color w:val="auto"/>
          <w:kern w:val="2"/>
          <w:sz w:val="22"/>
          <w:szCs w:val="22"/>
          <w:highlight w:val="none"/>
          <w:u w:val="single"/>
        </w:rPr>
      </w:pPr>
      <w:r>
        <w:rPr>
          <w:rStyle w:val="8"/>
          <w:rFonts w:ascii="宋体" w:hAnsi="宋体"/>
          <w:color w:val="auto"/>
          <w:kern w:val="2"/>
          <w:sz w:val="22"/>
          <w:szCs w:val="22"/>
          <w:highlight w:val="none"/>
        </w:rPr>
        <w:t>1.11.2 关于承包人为实施工程所编制文件的著作权的归属</w:t>
      </w:r>
      <w:r>
        <w:rPr>
          <w:rStyle w:val="8"/>
          <w:rFonts w:hint="eastAsia" w:ascii="宋体" w:hAnsi="宋体"/>
          <w:color w:val="auto"/>
          <w:kern w:val="2"/>
          <w:sz w:val="22"/>
          <w:szCs w:val="22"/>
          <w:highlight w:val="none"/>
        </w:rPr>
        <w:t>：</w:t>
      </w:r>
      <w:r>
        <w:rPr>
          <w:rStyle w:val="8"/>
          <w:rFonts w:hint="eastAsia" w:ascii="宋体" w:hAnsi="宋体"/>
          <w:color w:val="auto"/>
          <w:kern w:val="2"/>
          <w:sz w:val="22"/>
          <w:szCs w:val="22"/>
          <w:highlight w:val="none"/>
          <w:u w:val="single"/>
        </w:rPr>
        <w:t>除署名权以外全部归发包人所有。</w:t>
      </w:r>
    </w:p>
    <w:p w14:paraId="358C9DD7">
      <w:pPr>
        <w:pStyle w:val="14"/>
        <w:spacing w:line="360" w:lineRule="auto"/>
        <w:ind w:firstLine="440" w:firstLineChars="200"/>
        <w:rPr>
          <w:rStyle w:val="8"/>
          <w:rFonts w:ascii="宋体" w:hAnsi="宋体"/>
          <w:color w:val="auto"/>
          <w:kern w:val="2"/>
          <w:sz w:val="22"/>
          <w:szCs w:val="22"/>
          <w:highlight w:val="none"/>
          <w:u w:val="single"/>
        </w:rPr>
      </w:pPr>
      <w:r>
        <w:rPr>
          <w:rStyle w:val="8"/>
          <w:rFonts w:ascii="宋体" w:hAnsi="宋体"/>
          <w:color w:val="auto"/>
          <w:kern w:val="2"/>
          <w:sz w:val="22"/>
          <w:szCs w:val="22"/>
          <w:highlight w:val="none"/>
        </w:rPr>
        <w:t>关于承包人提供的上述文件的使用限制的要求：</w:t>
      </w:r>
      <w:r>
        <w:rPr>
          <w:rStyle w:val="8"/>
          <w:rFonts w:hint="eastAsia" w:ascii="宋体" w:hAnsi="宋体"/>
          <w:color w:val="auto"/>
          <w:kern w:val="2"/>
          <w:sz w:val="22"/>
          <w:szCs w:val="22"/>
          <w:highlight w:val="none"/>
          <w:u w:val="single"/>
        </w:rPr>
        <w:t>未经发包人同意，承包人不得为了合同以外的目的而复制，使用上述文件或将之提供给任何第三方。</w:t>
      </w:r>
    </w:p>
    <w:p w14:paraId="552285BA">
      <w:pPr>
        <w:pStyle w:val="14"/>
        <w:spacing w:line="360" w:lineRule="auto"/>
        <w:ind w:firstLine="440" w:firstLineChars="200"/>
        <w:outlineLvl w:val="0"/>
        <w:rPr>
          <w:rStyle w:val="8"/>
          <w:rFonts w:ascii="宋体" w:hAnsi="宋体"/>
          <w:color w:val="auto"/>
          <w:kern w:val="2"/>
          <w:sz w:val="22"/>
          <w:szCs w:val="22"/>
          <w:highlight w:val="none"/>
          <w:u w:val="single"/>
        </w:rPr>
      </w:pPr>
      <w:bookmarkStart w:id="319" w:name="_Toc256000560"/>
      <w:bookmarkStart w:id="320" w:name="_Toc69461806"/>
      <w:bookmarkStart w:id="321" w:name="_Toc15958"/>
      <w:bookmarkStart w:id="322" w:name="_Toc256001064"/>
      <w:bookmarkStart w:id="323" w:name="_Toc256001294"/>
      <w:bookmarkStart w:id="324" w:name="_Toc69461151"/>
      <w:bookmarkStart w:id="325" w:name="_Toc256000827"/>
      <w:bookmarkStart w:id="326" w:name="_Toc4073"/>
      <w:bookmarkStart w:id="327" w:name="_Toc256000054"/>
      <w:bookmarkStart w:id="328" w:name="_Toc9004"/>
      <w:bookmarkStart w:id="329" w:name="_Toc256000331"/>
      <w:bookmarkStart w:id="330" w:name="_Toc20868"/>
      <w:r>
        <w:rPr>
          <w:rStyle w:val="8"/>
          <w:rFonts w:ascii="宋体" w:hAnsi="宋体"/>
          <w:color w:val="auto"/>
          <w:kern w:val="2"/>
          <w:sz w:val="22"/>
          <w:szCs w:val="22"/>
          <w:highlight w:val="none"/>
        </w:rPr>
        <w:t>1.11.4 承包人在施工过程中所采用的专利、专有技术、技术秘密的使用费的承担方式：</w:t>
      </w:r>
      <w:r>
        <w:rPr>
          <w:rStyle w:val="8"/>
          <w:rFonts w:hint="eastAsia" w:ascii="宋体" w:hAnsi="宋体"/>
          <w:color w:val="auto"/>
          <w:kern w:val="2"/>
          <w:sz w:val="22"/>
          <w:szCs w:val="22"/>
          <w:highlight w:val="none"/>
          <w:u w:val="single"/>
        </w:rPr>
        <w:t>已包含在合同价款中，发包人不另行支付。</w:t>
      </w:r>
      <w:bookmarkEnd w:id="319"/>
      <w:bookmarkEnd w:id="320"/>
      <w:bookmarkEnd w:id="321"/>
      <w:bookmarkEnd w:id="322"/>
      <w:bookmarkEnd w:id="323"/>
      <w:bookmarkEnd w:id="324"/>
      <w:bookmarkEnd w:id="325"/>
      <w:bookmarkEnd w:id="326"/>
      <w:bookmarkEnd w:id="327"/>
      <w:bookmarkEnd w:id="328"/>
      <w:bookmarkEnd w:id="329"/>
      <w:bookmarkEnd w:id="330"/>
    </w:p>
    <w:p w14:paraId="359F3EC9">
      <w:pPr>
        <w:pStyle w:val="13"/>
        <w:spacing w:after="120" w:line="360" w:lineRule="auto"/>
        <w:ind w:firstLine="440" w:firstLineChars="200"/>
        <w:rPr>
          <w:rStyle w:val="8"/>
          <w:rFonts w:ascii="宋体" w:hAnsi="宋体"/>
          <w:color w:val="auto"/>
          <w:kern w:val="2"/>
          <w:sz w:val="22"/>
          <w:szCs w:val="22"/>
          <w:highlight w:val="none"/>
        </w:rPr>
      </w:pPr>
      <w:r>
        <w:rPr>
          <w:rStyle w:val="8"/>
          <w:rFonts w:ascii="宋体" w:hAnsi="宋体"/>
          <w:color w:val="auto"/>
          <w:kern w:val="2"/>
          <w:sz w:val="22"/>
          <w:szCs w:val="22"/>
          <w:highlight w:val="none"/>
        </w:rPr>
        <w:t>1.13工程量清单错误的修正</w:t>
      </w:r>
    </w:p>
    <w:p w14:paraId="73581AA7">
      <w:pPr>
        <w:pStyle w:val="13"/>
        <w:spacing w:line="360" w:lineRule="auto"/>
        <w:ind w:firstLine="440" w:firstLineChars="200"/>
        <w:rPr>
          <w:rStyle w:val="8"/>
          <w:rFonts w:ascii="宋体" w:hAnsi="宋体"/>
          <w:color w:val="auto"/>
          <w:kern w:val="2"/>
          <w:sz w:val="22"/>
          <w:szCs w:val="22"/>
          <w:highlight w:val="none"/>
        </w:rPr>
      </w:pPr>
      <w:r>
        <w:rPr>
          <w:rStyle w:val="8"/>
          <w:rFonts w:hint="eastAsia" w:ascii="宋体" w:hAnsi="宋体"/>
          <w:color w:val="auto"/>
          <w:kern w:val="2"/>
          <w:sz w:val="22"/>
          <w:szCs w:val="22"/>
          <w:highlight w:val="none"/>
        </w:rPr>
        <w:t>出现工程量清单错误时，是否调整合同价格：</w:t>
      </w:r>
      <w:r>
        <w:rPr>
          <w:rStyle w:val="8"/>
          <w:rFonts w:ascii="宋体" w:hAnsi="宋体"/>
          <w:color w:val="auto"/>
          <w:kern w:val="2"/>
          <w:sz w:val="22"/>
          <w:szCs w:val="22"/>
          <w:highlight w:val="none"/>
          <w:u w:val="single"/>
        </w:rPr>
        <w:t xml:space="preserve"> </w:t>
      </w:r>
      <w:r>
        <w:rPr>
          <w:rStyle w:val="8"/>
          <w:rFonts w:hint="eastAsia" w:ascii="宋体" w:hAnsi="宋体"/>
          <w:color w:val="auto"/>
          <w:kern w:val="2"/>
          <w:sz w:val="22"/>
          <w:szCs w:val="22"/>
          <w:highlight w:val="none"/>
          <w:u w:val="single"/>
        </w:rPr>
        <w:t xml:space="preserve">  </w:t>
      </w:r>
      <w:r>
        <w:rPr>
          <w:rStyle w:val="8"/>
          <w:rFonts w:ascii="宋体" w:hAnsi="宋体"/>
          <w:color w:val="auto"/>
          <w:kern w:val="2"/>
          <w:sz w:val="22"/>
          <w:szCs w:val="22"/>
          <w:highlight w:val="none"/>
          <w:u w:val="single"/>
        </w:rPr>
        <w:t xml:space="preserve"> </w:t>
      </w:r>
      <w:r>
        <w:rPr>
          <w:rStyle w:val="8"/>
          <w:rFonts w:hint="eastAsia" w:ascii="宋体" w:hAnsi="宋体"/>
          <w:color w:val="auto"/>
          <w:kern w:val="2"/>
          <w:sz w:val="22"/>
          <w:szCs w:val="22"/>
          <w:highlight w:val="none"/>
          <w:u w:val="single"/>
        </w:rPr>
        <w:t>调整</w:t>
      </w:r>
      <w:r>
        <w:rPr>
          <w:rStyle w:val="8"/>
          <w:rFonts w:ascii="宋体" w:hAnsi="宋体"/>
          <w:color w:val="auto"/>
          <w:kern w:val="2"/>
          <w:sz w:val="22"/>
          <w:szCs w:val="22"/>
          <w:highlight w:val="none"/>
          <w:u w:val="single"/>
        </w:rPr>
        <w:t xml:space="preserve">  </w:t>
      </w:r>
      <w:r>
        <w:rPr>
          <w:rStyle w:val="8"/>
          <w:rFonts w:hint="eastAsia" w:ascii="宋体" w:hAnsi="宋体"/>
          <w:color w:val="auto"/>
          <w:kern w:val="2"/>
          <w:sz w:val="22"/>
          <w:szCs w:val="22"/>
          <w:highlight w:val="none"/>
          <w:u w:val="single"/>
        </w:rPr>
        <w:t xml:space="preserve"> </w:t>
      </w:r>
      <w:r>
        <w:rPr>
          <w:rStyle w:val="8"/>
          <w:rFonts w:ascii="宋体" w:hAnsi="宋体"/>
          <w:color w:val="auto"/>
          <w:kern w:val="2"/>
          <w:sz w:val="22"/>
          <w:szCs w:val="22"/>
          <w:highlight w:val="none"/>
          <w:u w:val="single"/>
        </w:rPr>
        <w:t xml:space="preserve">   </w:t>
      </w:r>
      <w:r>
        <w:rPr>
          <w:rStyle w:val="8"/>
          <w:rFonts w:hint="eastAsia" w:ascii="宋体" w:hAnsi="宋体" w:cs="宋体"/>
          <w:color w:val="auto"/>
          <w:kern w:val="2"/>
          <w:sz w:val="22"/>
          <w:szCs w:val="22"/>
          <w:highlight w:val="none"/>
          <w:u w:val="single"/>
        </w:rPr>
        <w:t xml:space="preserve">  </w:t>
      </w:r>
    </w:p>
    <w:p w14:paraId="0CF82CF3">
      <w:pPr>
        <w:pStyle w:val="13"/>
        <w:spacing w:line="360" w:lineRule="auto"/>
        <w:ind w:firstLine="440" w:firstLineChars="200"/>
        <w:rPr>
          <w:rStyle w:val="8"/>
          <w:rFonts w:ascii="宋体" w:hAnsi="宋体"/>
          <w:color w:val="auto"/>
          <w:kern w:val="2"/>
          <w:sz w:val="22"/>
          <w:szCs w:val="22"/>
          <w:highlight w:val="none"/>
          <w:u w:val="single"/>
        </w:rPr>
      </w:pPr>
      <w:r>
        <w:rPr>
          <w:rStyle w:val="8"/>
          <w:rFonts w:ascii="宋体" w:hAnsi="宋体"/>
          <w:color w:val="auto"/>
          <w:kern w:val="2"/>
          <w:sz w:val="22"/>
          <w:szCs w:val="22"/>
          <w:highlight w:val="none"/>
        </w:rPr>
        <w:t>允许调整合同价格的工程量偏差范围：</w:t>
      </w:r>
      <w:r>
        <w:rPr>
          <w:rStyle w:val="8"/>
          <w:rFonts w:hint="eastAsia" w:ascii="宋体" w:hAnsi="宋体" w:cs="宋体"/>
          <w:color w:val="auto"/>
          <w:kern w:val="2"/>
          <w:sz w:val="22"/>
          <w:szCs w:val="22"/>
          <w:highlight w:val="none"/>
          <w:u w:val="single"/>
        </w:rPr>
        <w:t xml:space="preserve">   </w:t>
      </w:r>
      <w:r>
        <w:rPr>
          <w:rStyle w:val="8"/>
          <w:rFonts w:hint="eastAsia" w:ascii="宋体" w:hAnsi="宋体"/>
          <w:color w:val="auto"/>
          <w:kern w:val="2"/>
          <w:sz w:val="22"/>
          <w:szCs w:val="22"/>
          <w:highlight w:val="none"/>
          <w:u w:val="single"/>
        </w:rPr>
        <w:t xml:space="preserve">  据实调整    </w:t>
      </w:r>
      <w:r>
        <w:rPr>
          <w:rStyle w:val="8"/>
          <w:rFonts w:ascii="宋体" w:hAnsi="宋体"/>
          <w:color w:val="auto"/>
          <w:kern w:val="2"/>
          <w:sz w:val="22"/>
          <w:szCs w:val="22"/>
          <w:highlight w:val="none"/>
          <w:u w:val="single"/>
        </w:rPr>
        <w:t xml:space="preserve">    </w:t>
      </w:r>
      <w:r>
        <w:rPr>
          <w:rStyle w:val="8"/>
          <w:rFonts w:hint="eastAsia" w:ascii="宋体" w:hAnsi="宋体"/>
          <w:color w:val="auto"/>
          <w:kern w:val="2"/>
          <w:sz w:val="22"/>
          <w:szCs w:val="22"/>
          <w:highlight w:val="none"/>
          <w:u w:val="single"/>
        </w:rPr>
        <w:t xml:space="preserve">  </w:t>
      </w:r>
      <w:r>
        <w:rPr>
          <w:rStyle w:val="8"/>
          <w:rFonts w:ascii="宋体" w:hAnsi="宋体"/>
          <w:color w:val="auto"/>
          <w:kern w:val="2"/>
          <w:sz w:val="22"/>
          <w:szCs w:val="22"/>
          <w:highlight w:val="none"/>
          <w:u w:val="single"/>
        </w:rPr>
        <w:t xml:space="preserve">   </w:t>
      </w:r>
    </w:p>
    <w:p w14:paraId="641A715C">
      <w:pPr>
        <w:pStyle w:val="15"/>
        <w:spacing w:before="120" w:after="120" w:line="360" w:lineRule="auto"/>
        <w:rPr>
          <w:rStyle w:val="8"/>
          <w:rFonts w:ascii="宋体" w:hAnsi="宋体" w:eastAsia="宋体"/>
          <w:b w:val="0"/>
          <w:color w:val="auto"/>
          <w:sz w:val="22"/>
          <w:szCs w:val="22"/>
          <w:highlight w:val="none"/>
        </w:rPr>
      </w:pPr>
      <w:bookmarkStart w:id="331" w:name="_Toc351203634"/>
      <w:bookmarkStart w:id="332" w:name="_Toc256001065"/>
      <w:bookmarkStart w:id="333" w:name="_Toc256001295"/>
      <w:bookmarkStart w:id="334" w:name="_Toc256000332"/>
      <w:bookmarkStart w:id="335" w:name="_Toc5406"/>
      <w:bookmarkStart w:id="336" w:name="_Toc26327"/>
      <w:bookmarkStart w:id="337" w:name="_Toc69461807"/>
      <w:bookmarkStart w:id="338" w:name="_Toc256000828"/>
      <w:bookmarkStart w:id="339" w:name="_Toc256000561"/>
      <w:bookmarkStart w:id="340" w:name="_Toc69461152"/>
      <w:r>
        <w:rPr>
          <w:rStyle w:val="8"/>
          <w:rFonts w:ascii="宋体" w:hAnsi="宋体" w:eastAsia="宋体"/>
          <w:b w:val="0"/>
          <w:color w:val="auto"/>
          <w:sz w:val="22"/>
          <w:szCs w:val="22"/>
          <w:highlight w:val="none"/>
        </w:rPr>
        <w:t>2</w:t>
      </w:r>
      <w:bookmarkStart w:id="341" w:name="_Toc297048343"/>
      <w:bookmarkStart w:id="342" w:name="_Toc292559362"/>
      <w:bookmarkStart w:id="343" w:name="_Toc296347156"/>
      <w:bookmarkStart w:id="344" w:name="_Toc296890985"/>
      <w:bookmarkStart w:id="345" w:name="_Toc292559867"/>
      <w:bookmarkStart w:id="346" w:name="_Toc296891197"/>
      <w:bookmarkStart w:id="347" w:name="_Toc296346658"/>
      <w:bookmarkStart w:id="348" w:name="_Toc296944496"/>
      <w:bookmarkStart w:id="349" w:name="_Toc296503157"/>
      <w:bookmarkStart w:id="350" w:name="_Toc297120457"/>
      <w:r>
        <w:rPr>
          <w:rStyle w:val="8"/>
          <w:rFonts w:ascii="宋体" w:hAnsi="宋体" w:eastAsia="宋体"/>
          <w:b w:val="0"/>
          <w:color w:val="auto"/>
          <w:sz w:val="22"/>
          <w:szCs w:val="22"/>
          <w:highlight w:val="none"/>
        </w:rPr>
        <w:t>. 发包人</w:t>
      </w:r>
      <w:bookmarkEnd w:id="331"/>
      <w:bookmarkEnd w:id="332"/>
      <w:bookmarkEnd w:id="333"/>
      <w:bookmarkEnd w:id="334"/>
      <w:bookmarkEnd w:id="335"/>
      <w:bookmarkEnd w:id="336"/>
      <w:bookmarkEnd w:id="337"/>
      <w:bookmarkEnd w:id="338"/>
      <w:bookmarkEnd w:id="339"/>
      <w:bookmarkEnd w:id="340"/>
    </w:p>
    <w:bookmarkEnd w:id="341"/>
    <w:bookmarkEnd w:id="342"/>
    <w:bookmarkEnd w:id="343"/>
    <w:bookmarkEnd w:id="344"/>
    <w:bookmarkEnd w:id="345"/>
    <w:bookmarkEnd w:id="346"/>
    <w:bookmarkEnd w:id="347"/>
    <w:bookmarkEnd w:id="348"/>
    <w:bookmarkEnd w:id="349"/>
    <w:bookmarkEnd w:id="350"/>
    <w:p w14:paraId="2F6A5891">
      <w:pPr>
        <w:pStyle w:val="13"/>
        <w:spacing w:after="120" w:line="360" w:lineRule="auto"/>
        <w:ind w:firstLine="440" w:firstLineChars="200"/>
        <w:outlineLvl w:val="0"/>
        <w:rPr>
          <w:rStyle w:val="8"/>
          <w:rFonts w:ascii="宋体" w:hAnsi="宋体"/>
          <w:color w:val="auto"/>
          <w:kern w:val="2"/>
          <w:sz w:val="22"/>
          <w:szCs w:val="22"/>
          <w:highlight w:val="none"/>
        </w:rPr>
      </w:pPr>
      <w:bookmarkStart w:id="351" w:name="_Toc256000333"/>
      <w:bookmarkStart w:id="352" w:name="_Toc256000562"/>
      <w:bookmarkStart w:id="353" w:name="_Toc5426"/>
      <w:bookmarkStart w:id="354" w:name="_Toc256001066"/>
      <w:bookmarkStart w:id="355" w:name="_Toc1401"/>
      <w:bookmarkStart w:id="356" w:name="_Toc256000055"/>
      <w:bookmarkStart w:id="357" w:name="_Toc256000829"/>
      <w:bookmarkStart w:id="358" w:name="_Toc25928"/>
      <w:bookmarkStart w:id="359" w:name="_Toc256001296"/>
      <w:bookmarkStart w:id="360" w:name="_Toc69461808"/>
      <w:bookmarkStart w:id="361" w:name="_Toc30028"/>
      <w:bookmarkStart w:id="362" w:name="_Toc69461153"/>
      <w:r>
        <w:rPr>
          <w:rStyle w:val="8"/>
          <w:rFonts w:ascii="宋体" w:hAnsi="宋体"/>
          <w:color w:val="auto"/>
          <w:kern w:val="2"/>
          <w:sz w:val="22"/>
          <w:szCs w:val="22"/>
          <w:highlight w:val="none"/>
        </w:rPr>
        <w:t>2.2 发包人代表</w:t>
      </w:r>
      <w:bookmarkEnd w:id="351"/>
      <w:bookmarkEnd w:id="352"/>
      <w:bookmarkEnd w:id="353"/>
      <w:bookmarkEnd w:id="354"/>
      <w:bookmarkEnd w:id="355"/>
      <w:bookmarkEnd w:id="356"/>
      <w:bookmarkEnd w:id="357"/>
      <w:bookmarkEnd w:id="358"/>
      <w:bookmarkEnd w:id="359"/>
      <w:bookmarkEnd w:id="360"/>
      <w:bookmarkEnd w:id="361"/>
      <w:bookmarkEnd w:id="362"/>
    </w:p>
    <w:p w14:paraId="7B843A17">
      <w:pPr>
        <w:pStyle w:val="13"/>
        <w:spacing w:line="360" w:lineRule="auto"/>
        <w:ind w:firstLine="440" w:firstLineChars="200"/>
        <w:rPr>
          <w:rStyle w:val="8"/>
          <w:rFonts w:ascii="宋体" w:hAnsi="宋体"/>
          <w:color w:val="auto"/>
          <w:kern w:val="2"/>
          <w:sz w:val="22"/>
          <w:szCs w:val="22"/>
          <w:highlight w:val="none"/>
        </w:rPr>
      </w:pPr>
      <w:r>
        <w:rPr>
          <w:rStyle w:val="8"/>
          <w:rFonts w:ascii="宋体" w:hAnsi="宋体"/>
          <w:color w:val="auto"/>
          <w:kern w:val="2"/>
          <w:sz w:val="22"/>
          <w:szCs w:val="22"/>
          <w:highlight w:val="none"/>
        </w:rPr>
        <w:t>发包人代表：</w:t>
      </w:r>
    </w:p>
    <w:p w14:paraId="73CCA6D2">
      <w:pPr>
        <w:pStyle w:val="13"/>
        <w:spacing w:line="360" w:lineRule="auto"/>
        <w:ind w:firstLine="440" w:firstLineChars="200"/>
        <w:rPr>
          <w:rStyle w:val="8"/>
          <w:rFonts w:ascii="宋体" w:hAnsi="宋体"/>
          <w:color w:val="auto"/>
          <w:kern w:val="2"/>
          <w:sz w:val="22"/>
          <w:szCs w:val="22"/>
          <w:highlight w:val="none"/>
        </w:rPr>
      </w:pPr>
      <w:r>
        <w:rPr>
          <w:rStyle w:val="8"/>
          <w:rFonts w:ascii="宋体" w:hAnsi="宋体"/>
          <w:color w:val="auto"/>
          <w:kern w:val="2"/>
          <w:sz w:val="22"/>
          <w:szCs w:val="22"/>
          <w:highlight w:val="none"/>
        </w:rPr>
        <w:t>姓    名：</w:t>
      </w:r>
      <w:r>
        <w:rPr>
          <w:rStyle w:val="8"/>
          <w:rFonts w:hint="eastAsia" w:ascii="宋体" w:hAnsi="宋体" w:cs="宋体"/>
          <w:color w:val="auto"/>
          <w:kern w:val="2"/>
          <w:sz w:val="22"/>
          <w:szCs w:val="22"/>
          <w:highlight w:val="none"/>
          <w:u w:val="single"/>
        </w:rPr>
        <w:t xml:space="preserve">  </w:t>
      </w:r>
      <w:r>
        <w:rPr>
          <w:rStyle w:val="8"/>
          <w:rFonts w:hint="eastAsia" w:ascii="宋体" w:hAnsi="宋体"/>
          <w:color w:val="auto"/>
          <w:kern w:val="2"/>
          <w:sz w:val="22"/>
          <w:szCs w:val="22"/>
          <w:highlight w:val="none"/>
          <w:u w:val="single"/>
        </w:rPr>
        <w:t xml:space="preserve">  </w:t>
      </w:r>
      <w:r>
        <w:rPr>
          <w:rStyle w:val="8"/>
          <w:rFonts w:hint="eastAsia" w:ascii="宋体" w:hAnsi="宋体" w:cs="宋体"/>
          <w:color w:val="auto"/>
          <w:kern w:val="2"/>
          <w:sz w:val="22"/>
          <w:szCs w:val="22"/>
          <w:highlight w:val="none"/>
          <w:u w:val="single"/>
        </w:rPr>
        <w:t> </w:t>
      </w:r>
      <w:r>
        <w:rPr>
          <w:rStyle w:val="8"/>
          <w:rFonts w:ascii="宋体" w:hAnsi="宋体"/>
          <w:color w:val="auto"/>
          <w:kern w:val="2"/>
          <w:sz w:val="22"/>
          <w:szCs w:val="22"/>
          <w:highlight w:val="none"/>
        </w:rPr>
        <w:t>；</w:t>
      </w:r>
    </w:p>
    <w:p w14:paraId="3BAB8C5F">
      <w:pPr>
        <w:pStyle w:val="13"/>
        <w:spacing w:line="360" w:lineRule="auto"/>
        <w:ind w:firstLine="440" w:firstLineChars="200"/>
        <w:rPr>
          <w:rStyle w:val="8"/>
          <w:rFonts w:ascii="宋体" w:hAnsi="宋体"/>
          <w:color w:val="auto"/>
          <w:kern w:val="2"/>
          <w:sz w:val="22"/>
          <w:szCs w:val="22"/>
          <w:highlight w:val="none"/>
        </w:rPr>
      </w:pPr>
      <w:r>
        <w:rPr>
          <w:rStyle w:val="8"/>
          <w:rFonts w:ascii="宋体" w:hAnsi="宋体"/>
          <w:color w:val="auto"/>
          <w:kern w:val="2"/>
          <w:sz w:val="22"/>
          <w:szCs w:val="22"/>
          <w:highlight w:val="none"/>
        </w:rPr>
        <w:t>身份证号：</w:t>
      </w:r>
      <w:r>
        <w:rPr>
          <w:rStyle w:val="8"/>
          <w:rFonts w:hint="eastAsia" w:ascii="宋体" w:hAnsi="宋体" w:cs="宋体"/>
          <w:color w:val="auto"/>
          <w:kern w:val="2"/>
          <w:sz w:val="22"/>
          <w:szCs w:val="22"/>
          <w:highlight w:val="none"/>
          <w:u w:val="single"/>
        </w:rPr>
        <w:t xml:space="preserve">   </w:t>
      </w:r>
      <w:r>
        <w:rPr>
          <w:rStyle w:val="8"/>
          <w:rFonts w:hint="eastAsia" w:ascii="宋体" w:hAnsi="宋体"/>
          <w:color w:val="auto"/>
          <w:kern w:val="2"/>
          <w:sz w:val="22"/>
          <w:szCs w:val="22"/>
          <w:highlight w:val="none"/>
          <w:u w:val="single"/>
        </w:rPr>
        <w:t xml:space="preserve"> </w:t>
      </w:r>
      <w:r>
        <w:rPr>
          <w:rStyle w:val="8"/>
          <w:rFonts w:ascii="宋体" w:hAnsi="宋体" w:cs="宋体"/>
          <w:color w:val="auto"/>
          <w:kern w:val="2"/>
          <w:sz w:val="22"/>
          <w:szCs w:val="22"/>
          <w:highlight w:val="none"/>
          <w:u w:val="single"/>
        </w:rPr>
        <w:t></w:t>
      </w:r>
      <w:r>
        <w:rPr>
          <w:rStyle w:val="8"/>
          <w:rFonts w:hint="eastAsia" w:ascii="宋体" w:hAnsi="宋体"/>
          <w:color w:val="auto"/>
          <w:kern w:val="2"/>
          <w:sz w:val="22"/>
          <w:szCs w:val="22"/>
          <w:highlight w:val="none"/>
          <w:u w:val="single"/>
        </w:rPr>
        <w:t xml:space="preserve"> </w:t>
      </w:r>
      <w:r>
        <w:rPr>
          <w:rStyle w:val="8"/>
          <w:rFonts w:ascii="宋体" w:hAnsi="宋体"/>
          <w:color w:val="auto"/>
          <w:kern w:val="2"/>
          <w:sz w:val="22"/>
          <w:szCs w:val="22"/>
          <w:highlight w:val="none"/>
          <w:u w:val="single"/>
        </w:rPr>
        <w:t xml:space="preserve"> </w:t>
      </w:r>
      <w:r>
        <w:rPr>
          <w:rStyle w:val="8"/>
          <w:rFonts w:ascii="宋体" w:hAnsi="宋体" w:cs="宋体"/>
          <w:color w:val="auto"/>
          <w:kern w:val="2"/>
          <w:sz w:val="22"/>
          <w:szCs w:val="22"/>
          <w:highlight w:val="none"/>
          <w:u w:val="single"/>
        </w:rPr>
        <w:t></w:t>
      </w:r>
      <w:r>
        <w:rPr>
          <w:rStyle w:val="8"/>
          <w:rFonts w:ascii="宋体" w:hAnsi="宋体"/>
          <w:color w:val="auto"/>
          <w:kern w:val="2"/>
          <w:sz w:val="22"/>
          <w:szCs w:val="22"/>
          <w:highlight w:val="none"/>
        </w:rPr>
        <w:t>；</w:t>
      </w:r>
    </w:p>
    <w:p w14:paraId="6A79B88C">
      <w:pPr>
        <w:pStyle w:val="13"/>
        <w:spacing w:line="360" w:lineRule="auto"/>
        <w:ind w:firstLine="440" w:firstLineChars="200"/>
        <w:rPr>
          <w:rStyle w:val="8"/>
          <w:rFonts w:ascii="宋体" w:hAnsi="宋体"/>
          <w:color w:val="auto"/>
          <w:kern w:val="2"/>
          <w:sz w:val="22"/>
          <w:szCs w:val="22"/>
          <w:highlight w:val="none"/>
        </w:rPr>
      </w:pPr>
      <w:r>
        <w:rPr>
          <w:rStyle w:val="8"/>
          <w:rFonts w:ascii="宋体" w:hAnsi="宋体"/>
          <w:color w:val="auto"/>
          <w:kern w:val="2"/>
          <w:sz w:val="22"/>
          <w:szCs w:val="22"/>
          <w:highlight w:val="none"/>
        </w:rPr>
        <w:t>职    务：</w:t>
      </w:r>
      <w:r>
        <w:rPr>
          <w:rStyle w:val="8"/>
          <w:rFonts w:hint="eastAsia" w:ascii="宋体" w:hAnsi="宋体" w:cs="宋体"/>
          <w:color w:val="auto"/>
          <w:kern w:val="2"/>
          <w:sz w:val="22"/>
          <w:szCs w:val="22"/>
          <w:highlight w:val="none"/>
          <w:u w:val="single"/>
        </w:rPr>
        <w:t>    </w:t>
      </w:r>
      <w:r>
        <w:rPr>
          <w:rStyle w:val="8"/>
          <w:rFonts w:ascii="宋体" w:hAnsi="宋体"/>
          <w:color w:val="auto"/>
          <w:kern w:val="2"/>
          <w:sz w:val="22"/>
          <w:szCs w:val="22"/>
          <w:highlight w:val="none"/>
        </w:rPr>
        <w:t>；</w:t>
      </w:r>
    </w:p>
    <w:p w14:paraId="46083DB3">
      <w:pPr>
        <w:pStyle w:val="13"/>
        <w:spacing w:line="360" w:lineRule="auto"/>
        <w:ind w:firstLine="440" w:firstLineChars="200"/>
        <w:rPr>
          <w:rStyle w:val="8"/>
          <w:rFonts w:ascii="宋体" w:hAnsi="宋体"/>
          <w:color w:val="auto"/>
          <w:kern w:val="2"/>
          <w:sz w:val="22"/>
          <w:szCs w:val="22"/>
          <w:highlight w:val="none"/>
        </w:rPr>
      </w:pPr>
      <w:r>
        <w:rPr>
          <w:rStyle w:val="8"/>
          <w:rFonts w:ascii="宋体" w:hAnsi="宋体"/>
          <w:color w:val="auto"/>
          <w:kern w:val="2"/>
          <w:sz w:val="22"/>
          <w:szCs w:val="22"/>
          <w:highlight w:val="none"/>
        </w:rPr>
        <w:t>联系电话：</w:t>
      </w:r>
      <w:r>
        <w:rPr>
          <w:rStyle w:val="8"/>
          <w:rFonts w:hint="eastAsia" w:ascii="宋体" w:hAnsi="宋体" w:cs="宋体"/>
          <w:color w:val="auto"/>
          <w:kern w:val="2"/>
          <w:sz w:val="22"/>
          <w:szCs w:val="22"/>
          <w:highlight w:val="none"/>
          <w:u w:val="single"/>
        </w:rPr>
        <w:t>   </w:t>
      </w:r>
      <w:r>
        <w:rPr>
          <w:rStyle w:val="8"/>
          <w:rFonts w:hint="eastAsia" w:ascii="宋体" w:hAnsi="宋体"/>
          <w:color w:val="auto"/>
          <w:kern w:val="2"/>
          <w:sz w:val="22"/>
          <w:szCs w:val="22"/>
          <w:highlight w:val="none"/>
          <w:u w:val="single"/>
        </w:rPr>
        <w:t xml:space="preserve"> </w:t>
      </w:r>
      <w:r>
        <w:rPr>
          <w:rStyle w:val="8"/>
          <w:rFonts w:hint="eastAsia" w:ascii="宋体" w:hAnsi="宋体" w:cs="宋体"/>
          <w:color w:val="auto"/>
          <w:kern w:val="2"/>
          <w:sz w:val="22"/>
          <w:szCs w:val="22"/>
          <w:highlight w:val="none"/>
          <w:u w:val="single"/>
        </w:rPr>
        <w:t> </w:t>
      </w:r>
      <w:r>
        <w:rPr>
          <w:rStyle w:val="8"/>
          <w:rFonts w:ascii="宋体" w:hAnsi="宋体"/>
          <w:color w:val="auto"/>
          <w:kern w:val="2"/>
          <w:sz w:val="22"/>
          <w:szCs w:val="22"/>
          <w:highlight w:val="none"/>
        </w:rPr>
        <w:t>；</w:t>
      </w:r>
    </w:p>
    <w:p w14:paraId="2DACF1D4">
      <w:pPr>
        <w:pStyle w:val="13"/>
        <w:spacing w:line="360" w:lineRule="auto"/>
        <w:ind w:firstLine="440" w:firstLineChars="200"/>
        <w:rPr>
          <w:rStyle w:val="8"/>
          <w:rFonts w:ascii="宋体" w:hAnsi="宋体"/>
          <w:color w:val="auto"/>
          <w:kern w:val="2"/>
          <w:sz w:val="22"/>
          <w:szCs w:val="22"/>
          <w:highlight w:val="none"/>
        </w:rPr>
      </w:pPr>
      <w:r>
        <w:rPr>
          <w:rStyle w:val="8"/>
          <w:rFonts w:ascii="宋体" w:hAnsi="宋体"/>
          <w:color w:val="auto"/>
          <w:kern w:val="2"/>
          <w:sz w:val="22"/>
          <w:szCs w:val="22"/>
          <w:highlight w:val="none"/>
        </w:rPr>
        <w:t>电子信箱：</w:t>
      </w:r>
      <w:r>
        <w:rPr>
          <w:rStyle w:val="8"/>
          <w:rFonts w:hint="eastAsia" w:ascii="宋体" w:hAnsi="宋体" w:cs="宋体"/>
          <w:color w:val="auto"/>
          <w:kern w:val="2"/>
          <w:sz w:val="22"/>
          <w:szCs w:val="22"/>
          <w:highlight w:val="none"/>
          <w:u w:val="single"/>
        </w:rPr>
        <w:t>   </w:t>
      </w:r>
      <w:r>
        <w:rPr>
          <w:rStyle w:val="8"/>
          <w:rFonts w:hint="eastAsia" w:ascii="宋体" w:hAnsi="宋体"/>
          <w:color w:val="auto"/>
          <w:kern w:val="2"/>
          <w:sz w:val="22"/>
          <w:szCs w:val="22"/>
          <w:highlight w:val="none"/>
          <w:u w:val="single"/>
        </w:rPr>
        <w:t xml:space="preserve"> </w:t>
      </w:r>
      <w:r>
        <w:rPr>
          <w:rStyle w:val="8"/>
          <w:rFonts w:hint="eastAsia" w:ascii="宋体" w:hAnsi="宋体" w:cs="宋体"/>
          <w:color w:val="auto"/>
          <w:kern w:val="2"/>
          <w:sz w:val="22"/>
          <w:szCs w:val="22"/>
          <w:highlight w:val="none"/>
          <w:u w:val="single"/>
        </w:rPr>
        <w:t> </w:t>
      </w:r>
      <w:r>
        <w:rPr>
          <w:rStyle w:val="8"/>
          <w:rFonts w:ascii="宋体" w:hAnsi="宋体"/>
          <w:color w:val="auto"/>
          <w:kern w:val="2"/>
          <w:sz w:val="22"/>
          <w:szCs w:val="22"/>
          <w:highlight w:val="none"/>
        </w:rPr>
        <w:t>；</w:t>
      </w:r>
    </w:p>
    <w:p w14:paraId="52C2F73D">
      <w:pPr>
        <w:pStyle w:val="13"/>
        <w:spacing w:line="360" w:lineRule="auto"/>
        <w:ind w:firstLine="440" w:firstLineChars="200"/>
        <w:rPr>
          <w:rStyle w:val="8"/>
          <w:rFonts w:ascii="宋体" w:hAnsi="宋体"/>
          <w:color w:val="auto"/>
          <w:kern w:val="2"/>
          <w:sz w:val="22"/>
          <w:szCs w:val="22"/>
          <w:highlight w:val="none"/>
        </w:rPr>
      </w:pPr>
      <w:r>
        <w:rPr>
          <w:rStyle w:val="8"/>
          <w:rFonts w:ascii="宋体" w:hAnsi="宋体"/>
          <w:color w:val="auto"/>
          <w:kern w:val="2"/>
          <w:sz w:val="22"/>
          <w:szCs w:val="22"/>
          <w:highlight w:val="none"/>
        </w:rPr>
        <w:t>通信地址：</w:t>
      </w:r>
      <w:r>
        <w:rPr>
          <w:rStyle w:val="8"/>
          <w:rFonts w:ascii="宋体" w:hAnsi="宋体" w:cs="宋体"/>
          <w:color w:val="auto"/>
          <w:kern w:val="2"/>
          <w:sz w:val="22"/>
          <w:szCs w:val="22"/>
          <w:highlight w:val="none"/>
          <w:u w:val="single"/>
        </w:rPr>
        <w:t></w:t>
      </w:r>
      <w:r>
        <w:rPr>
          <w:rStyle w:val="8"/>
          <w:rFonts w:hint="eastAsia" w:ascii="宋体" w:hAnsi="宋体"/>
          <w:color w:val="auto"/>
          <w:kern w:val="2"/>
          <w:sz w:val="22"/>
          <w:szCs w:val="22"/>
          <w:highlight w:val="none"/>
          <w:u w:val="single"/>
        </w:rPr>
        <w:t xml:space="preserve">  </w:t>
      </w:r>
      <w:r>
        <w:rPr>
          <w:rStyle w:val="8"/>
          <w:rFonts w:ascii="宋体" w:hAnsi="宋体"/>
          <w:color w:val="auto"/>
          <w:kern w:val="2"/>
          <w:sz w:val="22"/>
          <w:szCs w:val="22"/>
          <w:highlight w:val="none"/>
          <w:u w:val="single"/>
        </w:rPr>
        <w:t xml:space="preserve"> </w:t>
      </w:r>
      <w:r>
        <w:rPr>
          <w:rStyle w:val="8"/>
          <w:rFonts w:hint="eastAsia" w:ascii="宋体" w:hAnsi="宋体" w:cs="宋体"/>
          <w:color w:val="auto"/>
          <w:kern w:val="2"/>
          <w:sz w:val="22"/>
          <w:szCs w:val="22"/>
          <w:highlight w:val="none"/>
          <w:u w:val="single"/>
        </w:rPr>
        <w:t> </w:t>
      </w:r>
      <w:r>
        <w:rPr>
          <w:rStyle w:val="8"/>
          <w:rFonts w:ascii="宋体" w:hAnsi="宋体"/>
          <w:color w:val="auto"/>
          <w:kern w:val="2"/>
          <w:sz w:val="22"/>
          <w:szCs w:val="22"/>
          <w:highlight w:val="none"/>
        </w:rPr>
        <w:t>。</w:t>
      </w:r>
    </w:p>
    <w:p w14:paraId="2E0E562B">
      <w:pPr>
        <w:pStyle w:val="14"/>
        <w:spacing w:line="360" w:lineRule="auto"/>
        <w:ind w:firstLine="440" w:firstLineChars="200"/>
        <w:rPr>
          <w:rStyle w:val="8"/>
          <w:rFonts w:ascii="宋体" w:hAnsi="宋体"/>
          <w:color w:val="auto"/>
          <w:kern w:val="2"/>
          <w:sz w:val="22"/>
          <w:szCs w:val="22"/>
          <w:highlight w:val="none"/>
          <w:u w:val="single"/>
        </w:rPr>
      </w:pPr>
      <w:r>
        <w:rPr>
          <w:rStyle w:val="8"/>
          <w:rFonts w:ascii="宋体" w:hAnsi="宋体"/>
          <w:color w:val="auto"/>
          <w:kern w:val="2"/>
          <w:sz w:val="22"/>
          <w:szCs w:val="22"/>
          <w:highlight w:val="none"/>
        </w:rPr>
        <w:t>发包人对发包人代表的授权范围如下：</w:t>
      </w:r>
      <w:r>
        <w:rPr>
          <w:rStyle w:val="8"/>
          <w:rFonts w:hint="eastAsia" w:ascii="宋体" w:hAnsi="宋体"/>
          <w:color w:val="auto"/>
          <w:kern w:val="2"/>
          <w:sz w:val="22"/>
          <w:szCs w:val="22"/>
          <w:highlight w:val="none"/>
          <w:u w:val="single"/>
        </w:rPr>
        <w:t>工程管理和协调，并负责处理合同履行过程中与发包人有关的具体事宜   。</w:t>
      </w:r>
    </w:p>
    <w:p w14:paraId="1195B47B">
      <w:pPr>
        <w:pStyle w:val="13"/>
        <w:spacing w:line="360" w:lineRule="auto"/>
        <w:ind w:firstLine="440" w:firstLineChars="200"/>
        <w:rPr>
          <w:rStyle w:val="8"/>
          <w:rFonts w:ascii="宋体" w:hAnsi="宋体"/>
          <w:color w:val="auto"/>
          <w:kern w:val="2"/>
          <w:sz w:val="22"/>
          <w:szCs w:val="22"/>
          <w:highlight w:val="none"/>
        </w:rPr>
      </w:pPr>
      <w:r>
        <w:rPr>
          <w:rStyle w:val="8"/>
          <w:rFonts w:ascii="宋体" w:hAnsi="宋体"/>
          <w:color w:val="auto"/>
          <w:kern w:val="2"/>
          <w:sz w:val="22"/>
          <w:szCs w:val="22"/>
          <w:highlight w:val="none"/>
        </w:rPr>
        <w:t>2.4 施工现场、施工条件和基础资料的提供</w:t>
      </w:r>
    </w:p>
    <w:p w14:paraId="11FBBDD8">
      <w:pPr>
        <w:pStyle w:val="13"/>
        <w:spacing w:line="360" w:lineRule="auto"/>
        <w:ind w:firstLine="440" w:firstLineChars="200"/>
        <w:rPr>
          <w:rStyle w:val="8"/>
          <w:rFonts w:ascii="宋体" w:hAnsi="宋体"/>
          <w:color w:val="auto"/>
          <w:kern w:val="2"/>
          <w:sz w:val="22"/>
          <w:szCs w:val="22"/>
          <w:highlight w:val="none"/>
        </w:rPr>
      </w:pPr>
      <w:r>
        <w:rPr>
          <w:rStyle w:val="8"/>
          <w:rFonts w:ascii="宋体" w:hAnsi="宋体"/>
          <w:color w:val="auto"/>
          <w:kern w:val="2"/>
          <w:sz w:val="22"/>
          <w:szCs w:val="22"/>
          <w:highlight w:val="none"/>
        </w:rPr>
        <w:t>2.4.1 提供施工现场</w:t>
      </w:r>
    </w:p>
    <w:p w14:paraId="71FFD401">
      <w:pPr>
        <w:pStyle w:val="13"/>
        <w:spacing w:line="360" w:lineRule="auto"/>
        <w:ind w:firstLine="440" w:firstLineChars="200"/>
        <w:jc w:val="left"/>
        <w:rPr>
          <w:rStyle w:val="8"/>
          <w:rFonts w:ascii="宋体" w:hAnsi="宋体"/>
          <w:color w:val="auto"/>
          <w:kern w:val="2"/>
          <w:sz w:val="22"/>
          <w:szCs w:val="22"/>
          <w:highlight w:val="none"/>
        </w:rPr>
      </w:pPr>
      <w:r>
        <w:rPr>
          <w:rStyle w:val="8"/>
          <w:rFonts w:ascii="宋体" w:hAnsi="宋体"/>
          <w:color w:val="auto"/>
          <w:kern w:val="2"/>
          <w:sz w:val="22"/>
          <w:szCs w:val="22"/>
          <w:highlight w:val="none"/>
        </w:rPr>
        <w:t>关于发包人移交施工现场的期限要求：</w:t>
      </w:r>
      <w:r>
        <w:rPr>
          <w:rStyle w:val="8"/>
          <w:rFonts w:ascii="宋体" w:hAnsi="宋体" w:cs="宋体"/>
          <w:color w:val="auto"/>
          <w:kern w:val="2"/>
          <w:sz w:val="22"/>
          <w:szCs w:val="22"/>
          <w:highlight w:val="none"/>
          <w:u w:val="single"/>
        </w:rPr>
        <w:t></w:t>
      </w:r>
      <w:r>
        <w:rPr>
          <w:rStyle w:val="8"/>
          <w:rFonts w:hint="eastAsia" w:ascii="宋体" w:hAnsi="宋体"/>
          <w:color w:val="auto"/>
          <w:kern w:val="2"/>
          <w:sz w:val="22"/>
          <w:szCs w:val="22"/>
          <w:highlight w:val="none"/>
          <w:u w:val="single"/>
        </w:rPr>
        <w:t>开工前3日</w:t>
      </w:r>
      <w:r>
        <w:rPr>
          <w:rStyle w:val="8"/>
          <w:rFonts w:hint="eastAsia" w:ascii="宋体" w:hAnsi="宋体" w:cs="宋体"/>
          <w:color w:val="auto"/>
          <w:kern w:val="2"/>
          <w:sz w:val="22"/>
          <w:szCs w:val="22"/>
          <w:highlight w:val="none"/>
          <w:u w:val="single"/>
        </w:rPr>
        <w:t>             </w:t>
      </w:r>
      <w:r>
        <w:rPr>
          <w:rStyle w:val="8"/>
          <w:rFonts w:ascii="宋体" w:hAnsi="宋体"/>
          <w:color w:val="auto"/>
          <w:kern w:val="2"/>
          <w:sz w:val="22"/>
          <w:szCs w:val="22"/>
          <w:highlight w:val="none"/>
        </w:rPr>
        <w:t xml:space="preserve">     </w:t>
      </w:r>
    </w:p>
    <w:p w14:paraId="13B9AE1F">
      <w:pPr>
        <w:pStyle w:val="13"/>
        <w:spacing w:line="360" w:lineRule="auto"/>
        <w:ind w:firstLine="440" w:firstLineChars="200"/>
        <w:rPr>
          <w:rStyle w:val="8"/>
          <w:rFonts w:ascii="宋体" w:hAnsi="宋体"/>
          <w:color w:val="auto"/>
          <w:kern w:val="2"/>
          <w:sz w:val="22"/>
          <w:szCs w:val="22"/>
          <w:highlight w:val="none"/>
        </w:rPr>
      </w:pPr>
      <w:r>
        <w:rPr>
          <w:rStyle w:val="8"/>
          <w:rFonts w:ascii="宋体" w:hAnsi="宋体"/>
          <w:color w:val="auto"/>
          <w:kern w:val="2"/>
          <w:sz w:val="22"/>
          <w:szCs w:val="22"/>
          <w:highlight w:val="none"/>
        </w:rPr>
        <w:t>2.4.2 提供施工条件</w:t>
      </w:r>
    </w:p>
    <w:p w14:paraId="3885512E">
      <w:pPr>
        <w:pStyle w:val="14"/>
        <w:spacing w:line="360" w:lineRule="auto"/>
        <w:ind w:firstLine="440" w:firstLineChars="200"/>
        <w:jc w:val="left"/>
        <w:rPr>
          <w:rStyle w:val="8"/>
          <w:rFonts w:ascii="宋体" w:hAnsi="宋体"/>
          <w:color w:val="auto"/>
          <w:kern w:val="2"/>
          <w:sz w:val="22"/>
          <w:szCs w:val="22"/>
          <w:highlight w:val="none"/>
          <w:u w:val="single"/>
        </w:rPr>
      </w:pPr>
      <w:r>
        <w:rPr>
          <w:rStyle w:val="8"/>
          <w:rFonts w:ascii="宋体" w:hAnsi="宋体"/>
          <w:color w:val="auto"/>
          <w:kern w:val="2"/>
          <w:sz w:val="22"/>
          <w:szCs w:val="22"/>
          <w:highlight w:val="none"/>
        </w:rPr>
        <w:t>关于发包人应负责提供施工</w:t>
      </w:r>
      <w:r>
        <w:rPr>
          <w:rStyle w:val="8"/>
          <w:rFonts w:hint="eastAsia" w:ascii="宋体" w:hAnsi="宋体"/>
          <w:color w:val="auto"/>
          <w:kern w:val="2"/>
          <w:sz w:val="22"/>
          <w:szCs w:val="22"/>
          <w:highlight w:val="none"/>
        </w:rPr>
        <w:t>所需要的条件，</w:t>
      </w:r>
      <w:r>
        <w:rPr>
          <w:rStyle w:val="8"/>
          <w:rFonts w:ascii="宋体" w:hAnsi="宋体"/>
          <w:color w:val="auto"/>
          <w:kern w:val="2"/>
          <w:sz w:val="22"/>
          <w:szCs w:val="22"/>
          <w:highlight w:val="none"/>
        </w:rPr>
        <w:t>包括：</w:t>
      </w:r>
      <w:r>
        <w:rPr>
          <w:rStyle w:val="8"/>
          <w:rFonts w:hint="eastAsia" w:ascii="宋体" w:hAnsi="宋体"/>
          <w:color w:val="auto"/>
          <w:kern w:val="2"/>
          <w:sz w:val="22"/>
          <w:szCs w:val="22"/>
          <w:highlight w:val="none"/>
          <w:u w:val="single"/>
        </w:rPr>
        <w:t>执行招标文件招标内容约定。</w:t>
      </w:r>
    </w:p>
    <w:p w14:paraId="02A0B49B">
      <w:pPr>
        <w:pStyle w:val="13"/>
        <w:spacing w:line="360" w:lineRule="auto"/>
        <w:ind w:firstLine="440" w:firstLineChars="200"/>
        <w:rPr>
          <w:rStyle w:val="8"/>
          <w:rFonts w:ascii="宋体" w:hAnsi="宋体"/>
          <w:color w:val="auto"/>
          <w:kern w:val="2"/>
          <w:sz w:val="22"/>
          <w:szCs w:val="22"/>
          <w:highlight w:val="none"/>
        </w:rPr>
      </w:pPr>
      <w:r>
        <w:rPr>
          <w:rStyle w:val="8"/>
          <w:rFonts w:ascii="宋体" w:hAnsi="宋体"/>
          <w:color w:val="auto"/>
          <w:kern w:val="2"/>
          <w:sz w:val="22"/>
          <w:szCs w:val="22"/>
          <w:highlight w:val="none"/>
        </w:rPr>
        <w:t>2.5 资金来源证明及支付担保</w:t>
      </w:r>
    </w:p>
    <w:p w14:paraId="0A1A305F">
      <w:pPr>
        <w:pStyle w:val="13"/>
        <w:spacing w:line="360" w:lineRule="auto"/>
        <w:ind w:firstLine="440" w:firstLineChars="200"/>
        <w:rPr>
          <w:rStyle w:val="8"/>
          <w:rFonts w:ascii="宋体" w:hAnsi="宋体"/>
          <w:color w:val="auto"/>
          <w:kern w:val="2"/>
          <w:sz w:val="22"/>
          <w:szCs w:val="22"/>
          <w:highlight w:val="none"/>
        </w:rPr>
      </w:pPr>
      <w:r>
        <w:rPr>
          <w:rStyle w:val="8"/>
          <w:rFonts w:ascii="宋体" w:hAnsi="宋体"/>
          <w:color w:val="auto"/>
          <w:kern w:val="2"/>
          <w:sz w:val="22"/>
          <w:szCs w:val="22"/>
          <w:highlight w:val="none"/>
        </w:rPr>
        <w:t>发包人提供资金来源证明的期限要求：</w:t>
      </w:r>
      <w:r>
        <w:rPr>
          <w:rStyle w:val="8"/>
          <w:rFonts w:hint="eastAsia" w:ascii="宋体" w:hAnsi="宋体" w:cs="宋体"/>
          <w:color w:val="auto"/>
          <w:kern w:val="2"/>
          <w:sz w:val="22"/>
          <w:szCs w:val="22"/>
          <w:highlight w:val="none"/>
          <w:u w:val="single"/>
        </w:rPr>
        <w:t xml:space="preserve">  </w:t>
      </w:r>
      <w:r>
        <w:rPr>
          <w:rStyle w:val="8"/>
          <w:rFonts w:hint="eastAsia" w:ascii="宋体" w:hAnsi="宋体"/>
          <w:color w:val="auto"/>
          <w:kern w:val="2"/>
          <w:sz w:val="22"/>
          <w:szCs w:val="22"/>
          <w:highlight w:val="none"/>
          <w:u w:val="single"/>
        </w:rPr>
        <w:t xml:space="preserve"> / </w:t>
      </w:r>
      <w:r>
        <w:rPr>
          <w:rStyle w:val="8"/>
          <w:rFonts w:ascii="宋体" w:hAnsi="宋体"/>
          <w:color w:val="auto"/>
          <w:kern w:val="2"/>
          <w:sz w:val="22"/>
          <w:szCs w:val="22"/>
          <w:highlight w:val="none"/>
          <w:u w:val="single"/>
        </w:rPr>
        <w:t xml:space="preserve">           </w:t>
      </w:r>
      <w:r>
        <w:rPr>
          <w:rStyle w:val="8"/>
          <w:rFonts w:ascii="宋体" w:hAnsi="宋体"/>
          <w:color w:val="auto"/>
          <w:kern w:val="2"/>
          <w:sz w:val="22"/>
          <w:szCs w:val="22"/>
          <w:highlight w:val="none"/>
        </w:rPr>
        <w:t>。</w:t>
      </w:r>
    </w:p>
    <w:p w14:paraId="54782734">
      <w:pPr>
        <w:pStyle w:val="13"/>
        <w:spacing w:line="360" w:lineRule="auto"/>
        <w:ind w:firstLine="440" w:firstLineChars="200"/>
        <w:rPr>
          <w:rStyle w:val="8"/>
          <w:rFonts w:ascii="宋体" w:hAnsi="宋体"/>
          <w:color w:val="auto"/>
          <w:kern w:val="2"/>
          <w:sz w:val="22"/>
          <w:szCs w:val="22"/>
          <w:highlight w:val="none"/>
        </w:rPr>
      </w:pPr>
      <w:r>
        <w:rPr>
          <w:rStyle w:val="8"/>
          <w:rFonts w:ascii="宋体" w:hAnsi="宋体"/>
          <w:color w:val="auto"/>
          <w:kern w:val="2"/>
          <w:sz w:val="22"/>
          <w:szCs w:val="22"/>
          <w:highlight w:val="none"/>
        </w:rPr>
        <w:t>发包人是否提供支付担保：</w:t>
      </w:r>
      <w:r>
        <w:rPr>
          <w:rStyle w:val="8"/>
          <w:rFonts w:hint="eastAsia" w:ascii="宋体" w:hAnsi="宋体" w:cs="宋体"/>
          <w:color w:val="auto"/>
          <w:kern w:val="2"/>
          <w:sz w:val="22"/>
          <w:szCs w:val="22"/>
          <w:highlight w:val="none"/>
          <w:u w:val="single"/>
        </w:rPr>
        <w:t xml:space="preserve">           </w:t>
      </w:r>
      <w:r>
        <w:rPr>
          <w:rStyle w:val="8"/>
          <w:rFonts w:hint="eastAsia" w:ascii="宋体" w:hAnsi="宋体"/>
          <w:color w:val="auto"/>
          <w:kern w:val="2"/>
          <w:sz w:val="22"/>
          <w:szCs w:val="22"/>
          <w:highlight w:val="none"/>
          <w:u w:val="single"/>
        </w:rPr>
        <w:t>/</w:t>
      </w:r>
      <w:r>
        <w:rPr>
          <w:rStyle w:val="8"/>
          <w:rFonts w:ascii="宋体" w:hAnsi="宋体"/>
          <w:color w:val="auto"/>
          <w:kern w:val="2"/>
          <w:sz w:val="22"/>
          <w:szCs w:val="22"/>
          <w:highlight w:val="none"/>
          <w:u w:val="single"/>
        </w:rPr>
        <w:t xml:space="preserve"> </w:t>
      </w:r>
      <w:r>
        <w:rPr>
          <w:rStyle w:val="8"/>
          <w:rFonts w:hint="eastAsia" w:ascii="宋体" w:hAnsi="宋体"/>
          <w:color w:val="auto"/>
          <w:kern w:val="2"/>
          <w:sz w:val="22"/>
          <w:szCs w:val="22"/>
          <w:highlight w:val="none"/>
          <w:u w:val="single"/>
        </w:rPr>
        <w:t xml:space="preserve">  </w:t>
      </w:r>
      <w:r>
        <w:rPr>
          <w:rStyle w:val="8"/>
          <w:rFonts w:ascii="宋体" w:hAnsi="宋体"/>
          <w:color w:val="auto"/>
          <w:kern w:val="2"/>
          <w:sz w:val="22"/>
          <w:szCs w:val="22"/>
          <w:highlight w:val="none"/>
          <w:u w:val="single"/>
        </w:rPr>
        <w:t xml:space="preserve"> </w:t>
      </w:r>
      <w:r>
        <w:rPr>
          <w:rStyle w:val="8"/>
          <w:rFonts w:hint="eastAsia" w:ascii="宋体" w:hAnsi="宋体" w:cs="宋体"/>
          <w:color w:val="auto"/>
          <w:kern w:val="2"/>
          <w:sz w:val="22"/>
          <w:szCs w:val="22"/>
          <w:highlight w:val="none"/>
          <w:u w:val="single"/>
        </w:rPr>
        <w:t xml:space="preserve">      </w:t>
      </w:r>
      <w:r>
        <w:rPr>
          <w:rStyle w:val="8"/>
          <w:rFonts w:ascii="宋体" w:hAnsi="宋体"/>
          <w:color w:val="auto"/>
          <w:kern w:val="2"/>
          <w:sz w:val="22"/>
          <w:szCs w:val="22"/>
          <w:highlight w:val="none"/>
        </w:rPr>
        <w:t>。</w:t>
      </w:r>
    </w:p>
    <w:p w14:paraId="654990FF">
      <w:pPr>
        <w:pStyle w:val="13"/>
        <w:spacing w:line="360" w:lineRule="auto"/>
        <w:ind w:firstLine="440" w:firstLineChars="200"/>
        <w:rPr>
          <w:rStyle w:val="8"/>
          <w:rFonts w:ascii="宋体" w:hAnsi="宋体"/>
          <w:color w:val="auto"/>
          <w:kern w:val="2"/>
          <w:sz w:val="22"/>
          <w:szCs w:val="22"/>
          <w:highlight w:val="none"/>
          <w:u w:val="single"/>
        </w:rPr>
      </w:pPr>
      <w:r>
        <w:rPr>
          <w:rStyle w:val="8"/>
          <w:rFonts w:ascii="宋体" w:hAnsi="宋体"/>
          <w:color w:val="auto"/>
          <w:kern w:val="2"/>
          <w:sz w:val="22"/>
          <w:szCs w:val="22"/>
          <w:highlight w:val="none"/>
        </w:rPr>
        <w:t>发包人提供支付担保的形式：</w:t>
      </w:r>
      <w:r>
        <w:rPr>
          <w:rStyle w:val="8"/>
          <w:rFonts w:hint="eastAsia" w:ascii="宋体" w:hAnsi="宋体" w:cs="宋体"/>
          <w:color w:val="auto"/>
          <w:kern w:val="2"/>
          <w:sz w:val="22"/>
          <w:szCs w:val="22"/>
          <w:highlight w:val="none"/>
          <w:u w:val="single"/>
        </w:rPr>
        <w:t xml:space="preserve">         </w:t>
      </w:r>
      <w:r>
        <w:rPr>
          <w:rStyle w:val="8"/>
          <w:rFonts w:hint="eastAsia" w:ascii="宋体" w:hAnsi="宋体"/>
          <w:color w:val="auto"/>
          <w:kern w:val="2"/>
          <w:sz w:val="22"/>
          <w:szCs w:val="22"/>
          <w:highlight w:val="none"/>
          <w:u w:val="single"/>
        </w:rPr>
        <w:t xml:space="preserve">/  </w:t>
      </w:r>
      <w:r>
        <w:rPr>
          <w:rStyle w:val="8"/>
          <w:rFonts w:ascii="宋体" w:hAnsi="宋体"/>
          <w:color w:val="auto"/>
          <w:kern w:val="2"/>
          <w:sz w:val="22"/>
          <w:szCs w:val="22"/>
          <w:highlight w:val="none"/>
          <w:u w:val="single"/>
        </w:rPr>
        <w:t xml:space="preserve">    </w:t>
      </w:r>
      <w:r>
        <w:rPr>
          <w:rStyle w:val="8"/>
          <w:rFonts w:hint="eastAsia" w:ascii="宋体" w:hAnsi="宋体"/>
          <w:color w:val="auto"/>
          <w:kern w:val="2"/>
          <w:sz w:val="22"/>
          <w:szCs w:val="22"/>
          <w:highlight w:val="none"/>
          <w:u w:val="single"/>
        </w:rPr>
        <w:t xml:space="preserve"> </w:t>
      </w:r>
      <w:r>
        <w:rPr>
          <w:rStyle w:val="8"/>
          <w:rFonts w:ascii="宋体" w:hAnsi="宋体"/>
          <w:color w:val="auto"/>
          <w:kern w:val="2"/>
          <w:sz w:val="22"/>
          <w:szCs w:val="22"/>
          <w:highlight w:val="none"/>
          <w:u w:val="single"/>
        </w:rPr>
        <w:t xml:space="preserve">     </w:t>
      </w:r>
      <w:r>
        <w:rPr>
          <w:rStyle w:val="8"/>
          <w:rFonts w:ascii="宋体" w:hAnsi="宋体" w:cs="宋体"/>
          <w:color w:val="auto"/>
          <w:kern w:val="2"/>
          <w:sz w:val="22"/>
          <w:szCs w:val="22"/>
          <w:highlight w:val="none"/>
          <w:u w:val="single"/>
        </w:rPr>
        <w:t></w:t>
      </w:r>
      <w:r>
        <w:rPr>
          <w:rStyle w:val="8"/>
          <w:rFonts w:ascii="宋体" w:hAnsi="宋体"/>
          <w:color w:val="auto"/>
          <w:kern w:val="2"/>
          <w:sz w:val="22"/>
          <w:szCs w:val="22"/>
          <w:highlight w:val="none"/>
        </w:rPr>
        <w:t>。</w:t>
      </w:r>
    </w:p>
    <w:p w14:paraId="6DEB595C">
      <w:pPr>
        <w:pStyle w:val="15"/>
        <w:spacing w:before="120" w:after="120" w:line="360" w:lineRule="auto"/>
        <w:rPr>
          <w:rStyle w:val="8"/>
          <w:rFonts w:ascii="宋体" w:hAnsi="宋体" w:eastAsia="宋体"/>
          <w:b w:val="0"/>
          <w:color w:val="auto"/>
          <w:sz w:val="22"/>
          <w:szCs w:val="22"/>
          <w:highlight w:val="none"/>
        </w:rPr>
      </w:pPr>
      <w:bookmarkStart w:id="363" w:name="_Toc1345"/>
      <w:bookmarkStart w:id="364" w:name="_Toc256000563"/>
      <w:bookmarkStart w:id="365" w:name="_Toc9510"/>
      <w:bookmarkStart w:id="366" w:name="_Toc256000334"/>
      <w:bookmarkStart w:id="367" w:name="_Toc256000830"/>
      <w:bookmarkStart w:id="368" w:name="_Toc256001297"/>
      <w:bookmarkStart w:id="369" w:name="_Toc69461809"/>
      <w:bookmarkStart w:id="370" w:name="_Toc69461154"/>
      <w:bookmarkStart w:id="371" w:name="_Toc351203635"/>
      <w:bookmarkStart w:id="372" w:name="_Toc256001067"/>
      <w:r>
        <w:rPr>
          <w:rStyle w:val="8"/>
          <w:rFonts w:ascii="宋体" w:hAnsi="宋体" w:eastAsia="宋体"/>
          <w:b w:val="0"/>
          <w:color w:val="auto"/>
          <w:sz w:val="22"/>
          <w:szCs w:val="22"/>
          <w:highlight w:val="none"/>
        </w:rPr>
        <w:t>3</w:t>
      </w:r>
      <w:bookmarkStart w:id="373" w:name="_Toc296503158"/>
      <w:bookmarkStart w:id="374" w:name="_Toc297120458"/>
      <w:bookmarkStart w:id="375" w:name="_Toc296346659"/>
      <w:bookmarkStart w:id="376" w:name="_Toc296347157"/>
      <w:bookmarkStart w:id="377" w:name="_Toc292559363"/>
      <w:bookmarkStart w:id="378" w:name="_Toc296890986"/>
      <w:bookmarkStart w:id="379" w:name="_Toc297048344"/>
      <w:bookmarkStart w:id="380" w:name="_Toc292559868"/>
      <w:bookmarkStart w:id="381" w:name="_Toc296944497"/>
      <w:bookmarkStart w:id="382" w:name="_Toc296891198"/>
      <w:r>
        <w:rPr>
          <w:rStyle w:val="8"/>
          <w:rFonts w:ascii="宋体" w:hAnsi="宋体" w:eastAsia="宋体"/>
          <w:b w:val="0"/>
          <w:color w:val="auto"/>
          <w:sz w:val="22"/>
          <w:szCs w:val="22"/>
          <w:highlight w:val="none"/>
        </w:rPr>
        <w:t>. 承包人</w:t>
      </w:r>
      <w:bookmarkEnd w:id="363"/>
      <w:bookmarkEnd w:id="364"/>
      <w:bookmarkEnd w:id="365"/>
      <w:bookmarkEnd w:id="366"/>
      <w:bookmarkEnd w:id="367"/>
      <w:bookmarkEnd w:id="368"/>
      <w:bookmarkEnd w:id="369"/>
      <w:bookmarkEnd w:id="370"/>
      <w:bookmarkEnd w:id="371"/>
      <w:bookmarkEnd w:id="372"/>
    </w:p>
    <w:bookmarkEnd w:id="373"/>
    <w:bookmarkEnd w:id="374"/>
    <w:bookmarkEnd w:id="375"/>
    <w:bookmarkEnd w:id="376"/>
    <w:bookmarkEnd w:id="377"/>
    <w:bookmarkEnd w:id="378"/>
    <w:bookmarkEnd w:id="379"/>
    <w:bookmarkEnd w:id="380"/>
    <w:bookmarkEnd w:id="381"/>
    <w:bookmarkEnd w:id="382"/>
    <w:p w14:paraId="0E7DB107">
      <w:pPr>
        <w:pStyle w:val="13"/>
        <w:spacing w:after="120" w:line="360" w:lineRule="auto"/>
        <w:ind w:firstLine="440" w:firstLineChars="200"/>
        <w:rPr>
          <w:rStyle w:val="8"/>
          <w:rFonts w:ascii="宋体" w:hAnsi="宋体"/>
          <w:color w:val="auto"/>
          <w:kern w:val="2"/>
          <w:sz w:val="22"/>
          <w:szCs w:val="22"/>
          <w:highlight w:val="none"/>
        </w:rPr>
      </w:pPr>
      <w:r>
        <w:rPr>
          <w:rStyle w:val="8"/>
          <w:rFonts w:ascii="宋体" w:hAnsi="宋体"/>
          <w:color w:val="auto"/>
          <w:kern w:val="2"/>
          <w:sz w:val="22"/>
          <w:szCs w:val="22"/>
          <w:highlight w:val="none"/>
        </w:rPr>
        <w:t>3.1 承包人的一般义务</w:t>
      </w:r>
    </w:p>
    <w:p w14:paraId="01562BBC">
      <w:pPr>
        <w:pStyle w:val="13"/>
        <w:spacing w:line="360" w:lineRule="auto"/>
        <w:ind w:firstLine="440" w:firstLineChars="200"/>
        <w:jc w:val="left"/>
        <w:rPr>
          <w:rStyle w:val="8"/>
          <w:rFonts w:ascii="宋体" w:hAnsi="宋体"/>
          <w:color w:val="auto"/>
          <w:kern w:val="2"/>
          <w:sz w:val="22"/>
          <w:szCs w:val="22"/>
          <w:highlight w:val="none"/>
          <w:u w:val="single"/>
        </w:rPr>
      </w:pPr>
      <w:r>
        <w:rPr>
          <w:rStyle w:val="8"/>
          <w:rFonts w:ascii="宋体" w:hAnsi="宋体"/>
          <w:color w:val="auto"/>
          <w:sz w:val="22"/>
          <w:szCs w:val="22"/>
          <w:highlight w:val="none"/>
        </w:rPr>
        <w:t>（</w:t>
      </w:r>
      <w:r>
        <w:rPr>
          <w:rStyle w:val="8"/>
          <w:rFonts w:hint="eastAsia" w:ascii="宋体" w:hAnsi="宋体"/>
          <w:color w:val="auto"/>
          <w:sz w:val="22"/>
          <w:szCs w:val="22"/>
          <w:highlight w:val="none"/>
        </w:rPr>
        <w:t>9</w:t>
      </w:r>
      <w:r>
        <w:rPr>
          <w:rStyle w:val="8"/>
          <w:rFonts w:ascii="宋体" w:hAnsi="宋体"/>
          <w:color w:val="auto"/>
          <w:sz w:val="22"/>
          <w:szCs w:val="22"/>
          <w:highlight w:val="none"/>
        </w:rPr>
        <w:t>）</w:t>
      </w:r>
      <w:r>
        <w:rPr>
          <w:rStyle w:val="8"/>
          <w:rFonts w:ascii="宋体" w:hAnsi="宋体"/>
          <w:color w:val="auto"/>
          <w:kern w:val="2"/>
          <w:sz w:val="22"/>
          <w:szCs w:val="22"/>
          <w:highlight w:val="none"/>
        </w:rPr>
        <w:t>承包人提交的竣工资料的内容：</w:t>
      </w:r>
      <w:r>
        <w:rPr>
          <w:rStyle w:val="8"/>
          <w:rFonts w:ascii="宋体" w:hAnsi="宋体"/>
          <w:color w:val="auto"/>
          <w:kern w:val="2"/>
          <w:sz w:val="22"/>
          <w:szCs w:val="22"/>
          <w:highlight w:val="none"/>
          <w:u w:val="single"/>
        </w:rPr>
        <w:t xml:space="preserve"> </w:t>
      </w:r>
      <w:r>
        <w:rPr>
          <w:rStyle w:val="8"/>
          <w:rFonts w:hint="eastAsia" w:ascii="宋体" w:hAnsi="宋体"/>
          <w:color w:val="auto"/>
          <w:kern w:val="2"/>
          <w:sz w:val="22"/>
          <w:szCs w:val="22"/>
          <w:highlight w:val="none"/>
          <w:u w:val="single"/>
        </w:rPr>
        <w:t>按照相关法律及竣工备案、档案保存部门关于竣工资料备案归档材料要求执行  。</w:t>
      </w:r>
      <w:r>
        <w:rPr>
          <w:rStyle w:val="8"/>
          <w:rFonts w:ascii="宋体" w:hAnsi="宋体"/>
          <w:color w:val="auto"/>
          <w:kern w:val="2"/>
          <w:sz w:val="22"/>
          <w:szCs w:val="22"/>
          <w:highlight w:val="none"/>
          <w:u w:val="single"/>
        </w:rPr>
        <w:t xml:space="preserve"> </w:t>
      </w:r>
    </w:p>
    <w:p w14:paraId="70F480C7">
      <w:pPr>
        <w:pStyle w:val="13"/>
        <w:spacing w:line="360" w:lineRule="auto"/>
        <w:ind w:firstLine="440" w:firstLineChars="200"/>
        <w:jc w:val="left"/>
        <w:rPr>
          <w:rStyle w:val="8"/>
          <w:rFonts w:ascii="宋体" w:hAnsi="宋体"/>
          <w:color w:val="auto"/>
          <w:kern w:val="2"/>
          <w:sz w:val="22"/>
          <w:szCs w:val="22"/>
          <w:highlight w:val="none"/>
        </w:rPr>
      </w:pPr>
      <w:r>
        <w:rPr>
          <w:rStyle w:val="8"/>
          <w:rFonts w:ascii="宋体" w:hAnsi="宋体"/>
          <w:color w:val="auto"/>
          <w:kern w:val="2"/>
          <w:sz w:val="22"/>
          <w:szCs w:val="22"/>
          <w:highlight w:val="none"/>
        </w:rPr>
        <w:t>承包人需要提交的竣工资料套数：</w:t>
      </w:r>
      <w:r>
        <w:rPr>
          <w:rStyle w:val="8"/>
          <w:rFonts w:ascii="宋体" w:hAnsi="宋体"/>
          <w:color w:val="auto"/>
          <w:kern w:val="2"/>
          <w:sz w:val="22"/>
          <w:szCs w:val="22"/>
          <w:highlight w:val="none"/>
          <w:u w:val="single"/>
        </w:rPr>
        <w:t xml:space="preserve">  </w:t>
      </w:r>
      <w:r>
        <w:rPr>
          <w:rStyle w:val="8"/>
          <w:rFonts w:hint="eastAsia" w:ascii="宋体" w:hAnsi="宋体"/>
          <w:color w:val="auto"/>
          <w:kern w:val="2"/>
          <w:sz w:val="22"/>
          <w:szCs w:val="22"/>
          <w:highlight w:val="none"/>
          <w:u w:val="single"/>
        </w:rPr>
        <w:t>提交竣工图6套，竣工档案资料6套</w:t>
      </w:r>
      <w:r>
        <w:rPr>
          <w:rStyle w:val="8"/>
          <w:rFonts w:ascii="宋体" w:hAnsi="宋体"/>
          <w:color w:val="auto"/>
          <w:kern w:val="2"/>
          <w:sz w:val="22"/>
          <w:szCs w:val="22"/>
          <w:highlight w:val="none"/>
        </w:rPr>
        <w:t>。</w:t>
      </w:r>
    </w:p>
    <w:p w14:paraId="371E8A48">
      <w:pPr>
        <w:pStyle w:val="13"/>
        <w:spacing w:line="360" w:lineRule="auto"/>
        <w:ind w:left="638" w:leftChars="304"/>
        <w:jc w:val="left"/>
        <w:rPr>
          <w:rStyle w:val="8"/>
          <w:rFonts w:ascii="宋体" w:hAnsi="宋体"/>
          <w:color w:val="auto"/>
          <w:kern w:val="2"/>
          <w:sz w:val="22"/>
          <w:szCs w:val="22"/>
          <w:highlight w:val="none"/>
        </w:rPr>
      </w:pPr>
      <w:r>
        <w:rPr>
          <w:rStyle w:val="8"/>
          <w:rFonts w:ascii="宋体" w:hAnsi="宋体"/>
          <w:color w:val="auto"/>
          <w:kern w:val="2"/>
          <w:sz w:val="22"/>
          <w:szCs w:val="22"/>
          <w:highlight w:val="none"/>
        </w:rPr>
        <w:t>承包人提交的竣工资料的费用承担：</w:t>
      </w:r>
      <w:r>
        <w:rPr>
          <w:rStyle w:val="8"/>
          <w:rFonts w:ascii="宋体" w:hAnsi="宋体"/>
          <w:color w:val="auto"/>
          <w:kern w:val="2"/>
          <w:sz w:val="22"/>
          <w:szCs w:val="22"/>
          <w:highlight w:val="none"/>
          <w:u w:val="single"/>
        </w:rPr>
        <w:t xml:space="preserve">    </w:t>
      </w:r>
      <w:r>
        <w:rPr>
          <w:rStyle w:val="8"/>
          <w:rFonts w:hint="eastAsia" w:ascii="宋体" w:hAnsi="宋体"/>
          <w:color w:val="auto"/>
          <w:kern w:val="2"/>
          <w:sz w:val="22"/>
          <w:szCs w:val="22"/>
          <w:highlight w:val="none"/>
          <w:u w:val="single"/>
        </w:rPr>
        <w:t>承包人承担</w:t>
      </w:r>
      <w:r>
        <w:rPr>
          <w:rStyle w:val="8"/>
          <w:rFonts w:ascii="宋体" w:hAnsi="宋体"/>
          <w:color w:val="auto"/>
          <w:kern w:val="2"/>
          <w:sz w:val="22"/>
          <w:szCs w:val="22"/>
          <w:highlight w:val="none"/>
          <w:u w:val="single"/>
        </w:rPr>
        <w:t xml:space="preserve">  </w:t>
      </w:r>
      <w:r>
        <w:rPr>
          <w:rStyle w:val="8"/>
          <w:rFonts w:hint="eastAsia" w:ascii="宋体" w:hAnsi="宋体"/>
          <w:color w:val="auto"/>
          <w:kern w:val="2"/>
          <w:sz w:val="22"/>
          <w:szCs w:val="22"/>
          <w:highlight w:val="none"/>
          <w:u w:val="single"/>
        </w:rPr>
        <w:t xml:space="preserve"> </w:t>
      </w:r>
      <w:r>
        <w:rPr>
          <w:rStyle w:val="8"/>
          <w:rFonts w:ascii="宋体" w:hAnsi="宋体"/>
          <w:color w:val="auto"/>
          <w:kern w:val="2"/>
          <w:sz w:val="22"/>
          <w:szCs w:val="22"/>
          <w:highlight w:val="none"/>
          <w:u w:val="single"/>
        </w:rPr>
        <w:t xml:space="preserve">   </w:t>
      </w:r>
      <w:r>
        <w:rPr>
          <w:rStyle w:val="8"/>
          <w:rFonts w:hint="eastAsia" w:ascii="宋体" w:hAnsi="宋体"/>
          <w:color w:val="auto"/>
          <w:kern w:val="2"/>
          <w:sz w:val="22"/>
          <w:szCs w:val="22"/>
          <w:highlight w:val="none"/>
          <w:u w:val="single"/>
        </w:rPr>
        <w:t xml:space="preserve"> </w:t>
      </w:r>
      <w:r>
        <w:rPr>
          <w:rStyle w:val="8"/>
          <w:rFonts w:ascii="宋体" w:hAnsi="宋体"/>
          <w:color w:val="auto"/>
          <w:kern w:val="2"/>
          <w:sz w:val="22"/>
          <w:szCs w:val="22"/>
          <w:highlight w:val="none"/>
          <w:u w:val="single"/>
        </w:rPr>
        <w:t xml:space="preserve"> </w:t>
      </w:r>
      <w:r>
        <w:rPr>
          <w:rStyle w:val="8"/>
          <w:rFonts w:hint="eastAsia" w:ascii="宋体" w:hAnsi="宋体"/>
          <w:color w:val="auto"/>
          <w:kern w:val="2"/>
          <w:sz w:val="22"/>
          <w:szCs w:val="22"/>
          <w:highlight w:val="none"/>
          <w:u w:val="single"/>
        </w:rPr>
        <w:t xml:space="preserve"> </w:t>
      </w:r>
      <w:r>
        <w:rPr>
          <w:rStyle w:val="8"/>
          <w:rFonts w:ascii="宋体" w:hAnsi="宋体"/>
          <w:color w:val="auto"/>
          <w:kern w:val="2"/>
          <w:sz w:val="22"/>
          <w:szCs w:val="22"/>
          <w:highlight w:val="none"/>
          <w:u w:val="single"/>
        </w:rPr>
        <w:t xml:space="preserve">   </w:t>
      </w:r>
      <w:r>
        <w:rPr>
          <w:rStyle w:val="8"/>
          <w:rFonts w:hint="eastAsia" w:ascii="宋体" w:hAnsi="宋体"/>
          <w:color w:val="auto"/>
          <w:kern w:val="2"/>
          <w:sz w:val="22"/>
          <w:szCs w:val="22"/>
          <w:highlight w:val="none"/>
          <w:u w:val="single"/>
        </w:rPr>
        <w:t xml:space="preserve"> </w:t>
      </w:r>
      <w:r>
        <w:rPr>
          <w:rStyle w:val="8"/>
          <w:rFonts w:ascii="宋体" w:hAnsi="宋体"/>
          <w:color w:val="auto"/>
          <w:kern w:val="2"/>
          <w:sz w:val="22"/>
          <w:szCs w:val="22"/>
          <w:highlight w:val="none"/>
          <w:u w:val="single"/>
        </w:rPr>
        <w:t xml:space="preserve">    </w:t>
      </w:r>
      <w:r>
        <w:rPr>
          <w:rStyle w:val="8"/>
          <w:rFonts w:ascii="宋体" w:hAnsi="宋体"/>
          <w:color w:val="auto"/>
          <w:kern w:val="2"/>
          <w:sz w:val="22"/>
          <w:szCs w:val="22"/>
          <w:highlight w:val="none"/>
        </w:rPr>
        <w:t>。</w:t>
      </w:r>
    </w:p>
    <w:p w14:paraId="1EF9B00C">
      <w:pPr>
        <w:pStyle w:val="13"/>
        <w:spacing w:line="360" w:lineRule="auto"/>
        <w:ind w:left="638" w:leftChars="304"/>
        <w:jc w:val="left"/>
        <w:rPr>
          <w:rStyle w:val="8"/>
          <w:rFonts w:ascii="宋体" w:hAnsi="宋体"/>
          <w:color w:val="auto"/>
          <w:kern w:val="2"/>
          <w:sz w:val="22"/>
          <w:szCs w:val="22"/>
          <w:highlight w:val="none"/>
          <w:u w:val="single"/>
        </w:rPr>
      </w:pPr>
      <w:r>
        <w:rPr>
          <w:rStyle w:val="8"/>
          <w:rFonts w:ascii="宋体" w:hAnsi="宋体"/>
          <w:color w:val="auto"/>
          <w:kern w:val="2"/>
          <w:sz w:val="22"/>
          <w:szCs w:val="22"/>
          <w:highlight w:val="none"/>
        </w:rPr>
        <w:t>承包人提交的竣工资料移交时间：</w:t>
      </w:r>
      <w:r>
        <w:rPr>
          <w:rStyle w:val="8"/>
          <w:rFonts w:ascii="宋体" w:hAnsi="宋体"/>
          <w:color w:val="auto"/>
          <w:kern w:val="2"/>
          <w:sz w:val="22"/>
          <w:szCs w:val="22"/>
          <w:highlight w:val="none"/>
          <w:u w:val="single"/>
        </w:rPr>
        <w:t xml:space="preserve">      </w:t>
      </w:r>
      <w:r>
        <w:rPr>
          <w:rStyle w:val="8"/>
          <w:rFonts w:hint="eastAsia" w:ascii="宋体" w:hAnsi="宋体"/>
          <w:color w:val="auto"/>
          <w:kern w:val="2"/>
          <w:sz w:val="22"/>
          <w:szCs w:val="22"/>
          <w:highlight w:val="none"/>
          <w:u w:val="single"/>
        </w:rPr>
        <w:t>工程完工后28天内</w:t>
      </w:r>
      <w:r>
        <w:rPr>
          <w:rStyle w:val="8"/>
          <w:rFonts w:ascii="宋体" w:hAnsi="宋体"/>
          <w:color w:val="auto"/>
          <w:kern w:val="2"/>
          <w:sz w:val="22"/>
          <w:szCs w:val="22"/>
          <w:highlight w:val="none"/>
          <w:u w:val="single"/>
        </w:rPr>
        <w:t xml:space="preserve">  。</w:t>
      </w:r>
    </w:p>
    <w:p w14:paraId="15BCF4CB">
      <w:pPr>
        <w:pStyle w:val="13"/>
        <w:spacing w:line="360" w:lineRule="auto"/>
        <w:ind w:firstLine="440" w:firstLineChars="200"/>
        <w:jc w:val="left"/>
        <w:rPr>
          <w:rStyle w:val="8"/>
          <w:rFonts w:ascii="宋体" w:hAnsi="宋体"/>
          <w:color w:val="auto"/>
          <w:kern w:val="2"/>
          <w:sz w:val="22"/>
          <w:szCs w:val="22"/>
          <w:highlight w:val="none"/>
          <w:u w:val="single"/>
        </w:rPr>
      </w:pPr>
      <w:r>
        <w:rPr>
          <w:rStyle w:val="8"/>
          <w:rFonts w:ascii="宋体" w:hAnsi="宋体"/>
          <w:color w:val="auto"/>
          <w:kern w:val="2"/>
          <w:sz w:val="22"/>
          <w:szCs w:val="22"/>
          <w:highlight w:val="none"/>
        </w:rPr>
        <w:t>承包人提交的竣工资料形式要求：</w:t>
      </w:r>
      <w:r>
        <w:rPr>
          <w:rStyle w:val="8"/>
          <w:rFonts w:hint="eastAsia" w:ascii="宋体" w:hAnsi="宋体"/>
          <w:color w:val="auto"/>
          <w:kern w:val="2"/>
          <w:sz w:val="22"/>
          <w:szCs w:val="22"/>
          <w:highlight w:val="none"/>
          <w:u w:val="single"/>
        </w:rPr>
        <w:t>纸质和光盘(电子档案)</w:t>
      </w:r>
      <w:r>
        <w:rPr>
          <w:rStyle w:val="8"/>
          <w:rFonts w:ascii="宋体" w:hAnsi="宋体"/>
          <w:color w:val="auto"/>
          <w:kern w:val="2"/>
          <w:sz w:val="22"/>
          <w:szCs w:val="22"/>
          <w:highlight w:val="none"/>
          <w:u w:val="single"/>
        </w:rPr>
        <w:t>。</w:t>
      </w:r>
    </w:p>
    <w:p w14:paraId="791F7E52">
      <w:pPr>
        <w:pStyle w:val="13"/>
        <w:spacing w:line="360" w:lineRule="auto"/>
        <w:ind w:firstLine="440" w:firstLineChars="200"/>
        <w:jc w:val="left"/>
        <w:rPr>
          <w:rStyle w:val="8"/>
          <w:rFonts w:ascii="宋体" w:hAnsi="宋体"/>
          <w:color w:val="auto"/>
          <w:kern w:val="2"/>
          <w:sz w:val="22"/>
          <w:szCs w:val="22"/>
          <w:highlight w:val="none"/>
          <w:u w:val="single"/>
        </w:rPr>
      </w:pPr>
      <w:r>
        <w:rPr>
          <w:rStyle w:val="8"/>
          <w:rFonts w:ascii="宋体" w:hAnsi="宋体"/>
          <w:color w:val="auto"/>
          <w:sz w:val="22"/>
          <w:szCs w:val="22"/>
          <w:highlight w:val="none"/>
        </w:rPr>
        <w:t>（</w:t>
      </w:r>
      <w:r>
        <w:rPr>
          <w:rStyle w:val="8"/>
          <w:rFonts w:hint="eastAsia" w:ascii="宋体" w:hAnsi="宋体"/>
          <w:color w:val="auto"/>
          <w:sz w:val="22"/>
          <w:szCs w:val="22"/>
          <w:highlight w:val="none"/>
        </w:rPr>
        <w:t>10</w:t>
      </w:r>
      <w:r>
        <w:rPr>
          <w:rStyle w:val="8"/>
          <w:rFonts w:ascii="宋体" w:hAnsi="宋体"/>
          <w:color w:val="auto"/>
          <w:sz w:val="22"/>
          <w:szCs w:val="22"/>
          <w:highlight w:val="none"/>
        </w:rPr>
        <w:t>）承包人应履行的其他义务：</w:t>
      </w:r>
      <w:r>
        <w:rPr>
          <w:rStyle w:val="8"/>
          <w:rFonts w:hint="eastAsia" w:ascii="宋体" w:hAnsi="宋体"/>
          <w:color w:val="auto"/>
          <w:kern w:val="2"/>
          <w:sz w:val="22"/>
          <w:szCs w:val="22"/>
          <w:highlight w:val="none"/>
          <w:u w:val="single"/>
        </w:rPr>
        <w:t>承包人应当对在施工场地或者附近实施与合同工程有关的其他工作的独立承包人履行管理、协调、配合、照管和服务义务。</w:t>
      </w:r>
    </w:p>
    <w:p w14:paraId="4D366F86">
      <w:pPr>
        <w:pStyle w:val="13"/>
        <w:spacing w:after="120" w:line="360" w:lineRule="auto"/>
        <w:ind w:firstLine="440" w:firstLineChars="200"/>
        <w:rPr>
          <w:rStyle w:val="8"/>
          <w:rFonts w:ascii="宋体" w:hAnsi="宋体"/>
          <w:color w:val="auto"/>
          <w:kern w:val="2"/>
          <w:sz w:val="22"/>
          <w:szCs w:val="22"/>
          <w:highlight w:val="none"/>
        </w:rPr>
      </w:pPr>
      <w:r>
        <w:rPr>
          <w:rStyle w:val="8"/>
          <w:rFonts w:ascii="宋体" w:hAnsi="宋体"/>
          <w:color w:val="auto"/>
          <w:kern w:val="2"/>
          <w:sz w:val="22"/>
          <w:szCs w:val="22"/>
          <w:highlight w:val="none"/>
        </w:rPr>
        <w:t>3.2 项目经理</w:t>
      </w:r>
    </w:p>
    <w:p w14:paraId="2EF4D941">
      <w:pPr>
        <w:pStyle w:val="13"/>
        <w:spacing w:line="360" w:lineRule="auto"/>
        <w:ind w:firstLine="440" w:firstLineChars="200"/>
        <w:rPr>
          <w:rStyle w:val="8"/>
          <w:rFonts w:ascii="宋体" w:hAnsi="宋体"/>
          <w:color w:val="auto"/>
          <w:kern w:val="2"/>
          <w:sz w:val="22"/>
          <w:szCs w:val="22"/>
          <w:highlight w:val="none"/>
        </w:rPr>
      </w:pPr>
      <w:r>
        <w:rPr>
          <w:rStyle w:val="8"/>
          <w:rFonts w:ascii="宋体" w:hAnsi="宋体"/>
          <w:color w:val="auto"/>
          <w:sz w:val="22"/>
          <w:szCs w:val="22"/>
          <w:highlight w:val="none"/>
        </w:rPr>
        <w:t xml:space="preserve">3.2.1 </w:t>
      </w:r>
      <w:r>
        <w:rPr>
          <w:rStyle w:val="8"/>
          <w:rFonts w:ascii="宋体" w:hAnsi="宋体"/>
          <w:color w:val="auto"/>
          <w:kern w:val="2"/>
          <w:sz w:val="22"/>
          <w:szCs w:val="22"/>
          <w:highlight w:val="none"/>
        </w:rPr>
        <w:t>项目经理：</w:t>
      </w:r>
    </w:p>
    <w:p w14:paraId="2DFFAF8A">
      <w:pPr>
        <w:pStyle w:val="13"/>
        <w:spacing w:line="360" w:lineRule="auto"/>
        <w:ind w:firstLine="440" w:firstLineChars="200"/>
        <w:rPr>
          <w:rStyle w:val="8"/>
          <w:rFonts w:ascii="宋体" w:hAnsi="宋体"/>
          <w:color w:val="auto"/>
          <w:kern w:val="2"/>
          <w:sz w:val="22"/>
          <w:szCs w:val="22"/>
          <w:highlight w:val="none"/>
        </w:rPr>
      </w:pPr>
      <w:r>
        <w:rPr>
          <w:rStyle w:val="8"/>
          <w:rFonts w:ascii="宋体" w:hAnsi="宋体"/>
          <w:color w:val="auto"/>
          <w:kern w:val="2"/>
          <w:sz w:val="22"/>
          <w:szCs w:val="22"/>
          <w:highlight w:val="none"/>
        </w:rPr>
        <w:t>姓    名：</w:t>
      </w:r>
      <w:r>
        <w:rPr>
          <w:rStyle w:val="8"/>
          <w:rFonts w:hint="eastAsia" w:ascii="宋体" w:hAnsi="宋体" w:cs="宋体"/>
          <w:color w:val="auto"/>
          <w:kern w:val="2"/>
          <w:sz w:val="22"/>
          <w:szCs w:val="22"/>
          <w:highlight w:val="none"/>
          <w:u w:val="single"/>
        </w:rPr>
        <w:t>  </w:t>
      </w:r>
      <w:r>
        <w:rPr>
          <w:rStyle w:val="8"/>
          <w:rFonts w:hint="eastAsia" w:ascii="宋体" w:hAnsi="宋体"/>
          <w:color w:val="auto"/>
          <w:kern w:val="2"/>
          <w:sz w:val="22"/>
          <w:szCs w:val="22"/>
          <w:highlight w:val="none"/>
          <w:u w:val="single"/>
        </w:rPr>
        <w:t xml:space="preserve">      </w:t>
      </w:r>
      <w:r>
        <w:rPr>
          <w:rStyle w:val="8"/>
          <w:rFonts w:hint="eastAsia" w:ascii="宋体" w:hAnsi="宋体" w:cs="宋体"/>
          <w:color w:val="auto"/>
          <w:kern w:val="2"/>
          <w:sz w:val="22"/>
          <w:szCs w:val="22"/>
          <w:highlight w:val="none"/>
          <w:u w:val="single"/>
        </w:rPr>
        <w:t> </w:t>
      </w:r>
      <w:r>
        <w:rPr>
          <w:rStyle w:val="8"/>
          <w:rFonts w:ascii="宋体" w:hAnsi="宋体"/>
          <w:color w:val="auto"/>
          <w:kern w:val="2"/>
          <w:sz w:val="22"/>
          <w:szCs w:val="22"/>
          <w:highlight w:val="none"/>
        </w:rPr>
        <w:t>；</w:t>
      </w:r>
    </w:p>
    <w:p w14:paraId="675A45DF">
      <w:pPr>
        <w:pStyle w:val="13"/>
        <w:spacing w:line="360" w:lineRule="auto"/>
        <w:ind w:firstLine="440" w:firstLineChars="200"/>
        <w:rPr>
          <w:rStyle w:val="8"/>
          <w:rFonts w:ascii="宋体" w:hAnsi="宋体"/>
          <w:color w:val="auto"/>
          <w:kern w:val="2"/>
          <w:sz w:val="22"/>
          <w:szCs w:val="22"/>
          <w:highlight w:val="none"/>
        </w:rPr>
      </w:pPr>
      <w:r>
        <w:rPr>
          <w:rStyle w:val="8"/>
          <w:rFonts w:ascii="宋体" w:hAnsi="宋体"/>
          <w:color w:val="auto"/>
          <w:kern w:val="2"/>
          <w:sz w:val="22"/>
          <w:szCs w:val="22"/>
          <w:highlight w:val="none"/>
        </w:rPr>
        <w:t>身份证号：</w:t>
      </w:r>
      <w:r>
        <w:rPr>
          <w:rStyle w:val="8"/>
          <w:rFonts w:hint="eastAsia" w:ascii="宋体" w:hAnsi="宋体" w:cs="宋体"/>
          <w:color w:val="auto"/>
          <w:kern w:val="2"/>
          <w:sz w:val="22"/>
          <w:szCs w:val="22"/>
          <w:highlight w:val="none"/>
          <w:u w:val="single"/>
        </w:rPr>
        <w:t>  </w:t>
      </w:r>
      <w:r>
        <w:rPr>
          <w:rStyle w:val="8"/>
          <w:rFonts w:hint="eastAsia" w:ascii="宋体" w:hAnsi="宋体"/>
          <w:color w:val="auto"/>
          <w:kern w:val="2"/>
          <w:sz w:val="22"/>
          <w:szCs w:val="22"/>
          <w:highlight w:val="none"/>
          <w:u w:val="single"/>
        </w:rPr>
        <w:t xml:space="preserve">      </w:t>
      </w:r>
      <w:r>
        <w:rPr>
          <w:rStyle w:val="8"/>
          <w:rFonts w:hint="eastAsia" w:ascii="宋体" w:hAnsi="宋体" w:cs="宋体"/>
          <w:color w:val="auto"/>
          <w:kern w:val="2"/>
          <w:sz w:val="22"/>
          <w:szCs w:val="22"/>
          <w:highlight w:val="none"/>
          <w:u w:val="single"/>
        </w:rPr>
        <w:t> </w:t>
      </w:r>
      <w:r>
        <w:rPr>
          <w:rStyle w:val="8"/>
          <w:rFonts w:ascii="宋体" w:hAnsi="宋体"/>
          <w:color w:val="auto"/>
          <w:kern w:val="2"/>
          <w:sz w:val="22"/>
          <w:szCs w:val="22"/>
          <w:highlight w:val="none"/>
        </w:rPr>
        <w:t>；</w:t>
      </w:r>
    </w:p>
    <w:p w14:paraId="018A0F56">
      <w:pPr>
        <w:pStyle w:val="13"/>
        <w:spacing w:line="360" w:lineRule="auto"/>
        <w:ind w:firstLine="440" w:firstLineChars="200"/>
        <w:rPr>
          <w:rStyle w:val="8"/>
          <w:rFonts w:ascii="宋体" w:hAnsi="宋体"/>
          <w:color w:val="auto"/>
          <w:kern w:val="2"/>
          <w:sz w:val="22"/>
          <w:szCs w:val="22"/>
          <w:highlight w:val="none"/>
        </w:rPr>
      </w:pPr>
      <w:r>
        <w:rPr>
          <w:rStyle w:val="8"/>
          <w:rFonts w:ascii="宋体" w:hAnsi="宋体"/>
          <w:color w:val="auto"/>
          <w:kern w:val="2"/>
          <w:sz w:val="22"/>
          <w:szCs w:val="22"/>
          <w:highlight w:val="none"/>
        </w:rPr>
        <w:t>建造师执业资格等级：</w:t>
      </w:r>
      <w:r>
        <w:rPr>
          <w:rStyle w:val="8"/>
          <w:rFonts w:hint="eastAsia" w:ascii="宋体" w:hAnsi="宋体" w:cs="宋体"/>
          <w:color w:val="auto"/>
          <w:kern w:val="2"/>
          <w:sz w:val="22"/>
          <w:szCs w:val="22"/>
          <w:highlight w:val="none"/>
          <w:u w:val="single"/>
        </w:rPr>
        <w:t>   </w:t>
      </w:r>
      <w:r>
        <w:rPr>
          <w:rStyle w:val="8"/>
          <w:rFonts w:ascii="宋体" w:hAnsi="宋体"/>
          <w:color w:val="auto"/>
          <w:kern w:val="2"/>
          <w:sz w:val="22"/>
          <w:szCs w:val="22"/>
          <w:highlight w:val="none"/>
        </w:rPr>
        <w:t>；</w:t>
      </w:r>
    </w:p>
    <w:p w14:paraId="044CED67">
      <w:pPr>
        <w:pStyle w:val="13"/>
        <w:spacing w:line="360" w:lineRule="auto"/>
        <w:ind w:firstLine="440" w:firstLineChars="200"/>
        <w:rPr>
          <w:rStyle w:val="8"/>
          <w:rFonts w:ascii="宋体" w:hAnsi="宋体"/>
          <w:color w:val="auto"/>
          <w:kern w:val="2"/>
          <w:sz w:val="22"/>
          <w:szCs w:val="22"/>
          <w:highlight w:val="none"/>
        </w:rPr>
      </w:pPr>
      <w:r>
        <w:rPr>
          <w:rStyle w:val="8"/>
          <w:rFonts w:ascii="宋体" w:hAnsi="宋体"/>
          <w:color w:val="auto"/>
          <w:kern w:val="2"/>
          <w:sz w:val="22"/>
          <w:szCs w:val="22"/>
          <w:highlight w:val="none"/>
        </w:rPr>
        <w:t>建造师注册证书号：</w:t>
      </w:r>
      <w:r>
        <w:rPr>
          <w:rStyle w:val="8"/>
          <w:rFonts w:hint="eastAsia" w:ascii="宋体" w:hAnsi="宋体" w:cs="宋体"/>
          <w:color w:val="auto"/>
          <w:kern w:val="2"/>
          <w:sz w:val="22"/>
          <w:szCs w:val="22"/>
          <w:highlight w:val="none"/>
          <w:u w:val="single"/>
        </w:rPr>
        <w:t> </w:t>
      </w:r>
      <w:r>
        <w:rPr>
          <w:rStyle w:val="8"/>
          <w:rFonts w:ascii="宋体" w:hAnsi="宋体"/>
          <w:color w:val="auto"/>
          <w:kern w:val="2"/>
          <w:sz w:val="22"/>
          <w:szCs w:val="22"/>
          <w:highlight w:val="none"/>
        </w:rPr>
        <w:t>；</w:t>
      </w:r>
    </w:p>
    <w:p w14:paraId="28462CB8">
      <w:pPr>
        <w:pStyle w:val="13"/>
        <w:spacing w:line="360" w:lineRule="auto"/>
        <w:ind w:firstLine="440" w:firstLineChars="200"/>
        <w:rPr>
          <w:rStyle w:val="8"/>
          <w:rFonts w:ascii="宋体" w:hAnsi="宋体"/>
          <w:color w:val="auto"/>
          <w:kern w:val="2"/>
          <w:sz w:val="22"/>
          <w:szCs w:val="22"/>
          <w:highlight w:val="none"/>
        </w:rPr>
      </w:pPr>
      <w:r>
        <w:rPr>
          <w:rStyle w:val="8"/>
          <w:rFonts w:ascii="宋体" w:hAnsi="宋体"/>
          <w:color w:val="auto"/>
          <w:kern w:val="2"/>
          <w:sz w:val="22"/>
          <w:szCs w:val="22"/>
          <w:highlight w:val="none"/>
        </w:rPr>
        <w:t>建造师执业印章号：</w:t>
      </w:r>
      <w:r>
        <w:rPr>
          <w:rStyle w:val="8"/>
          <w:rFonts w:hint="eastAsia" w:ascii="宋体" w:hAnsi="宋体" w:cs="宋体"/>
          <w:color w:val="auto"/>
          <w:kern w:val="2"/>
          <w:sz w:val="22"/>
          <w:szCs w:val="22"/>
          <w:highlight w:val="none"/>
          <w:u w:val="single"/>
        </w:rPr>
        <w:t> </w:t>
      </w:r>
      <w:r>
        <w:rPr>
          <w:rStyle w:val="8"/>
          <w:rFonts w:ascii="宋体" w:hAnsi="宋体"/>
          <w:color w:val="auto"/>
          <w:kern w:val="2"/>
          <w:sz w:val="22"/>
          <w:szCs w:val="22"/>
          <w:highlight w:val="none"/>
        </w:rPr>
        <w:t>；</w:t>
      </w:r>
    </w:p>
    <w:p w14:paraId="0952B8DC">
      <w:pPr>
        <w:pStyle w:val="13"/>
        <w:spacing w:line="360" w:lineRule="auto"/>
        <w:ind w:firstLine="440" w:firstLineChars="200"/>
        <w:rPr>
          <w:rStyle w:val="8"/>
          <w:rFonts w:ascii="宋体" w:hAnsi="宋体"/>
          <w:color w:val="auto"/>
          <w:kern w:val="2"/>
          <w:sz w:val="22"/>
          <w:szCs w:val="22"/>
          <w:highlight w:val="none"/>
        </w:rPr>
      </w:pPr>
      <w:r>
        <w:rPr>
          <w:rStyle w:val="8"/>
          <w:rFonts w:ascii="宋体" w:hAnsi="宋体"/>
          <w:color w:val="auto"/>
          <w:kern w:val="2"/>
          <w:sz w:val="22"/>
          <w:szCs w:val="22"/>
          <w:highlight w:val="none"/>
        </w:rPr>
        <w:t>安全生产考核合格证书号：</w:t>
      </w:r>
      <w:r>
        <w:rPr>
          <w:rStyle w:val="8"/>
          <w:rFonts w:hint="eastAsia" w:ascii="宋体" w:hAnsi="宋体" w:cs="宋体"/>
          <w:color w:val="auto"/>
          <w:kern w:val="2"/>
          <w:sz w:val="22"/>
          <w:szCs w:val="22"/>
          <w:highlight w:val="none"/>
          <w:u w:val="single"/>
        </w:rPr>
        <w:t> </w:t>
      </w:r>
      <w:r>
        <w:rPr>
          <w:rStyle w:val="8"/>
          <w:rFonts w:ascii="宋体" w:hAnsi="宋体"/>
          <w:color w:val="auto"/>
          <w:kern w:val="2"/>
          <w:sz w:val="22"/>
          <w:szCs w:val="22"/>
          <w:highlight w:val="none"/>
        </w:rPr>
        <w:t>；</w:t>
      </w:r>
    </w:p>
    <w:p w14:paraId="5AF0839A">
      <w:pPr>
        <w:pStyle w:val="13"/>
        <w:spacing w:line="360" w:lineRule="auto"/>
        <w:ind w:firstLine="440" w:firstLineChars="200"/>
        <w:rPr>
          <w:rStyle w:val="8"/>
          <w:rFonts w:ascii="宋体" w:hAnsi="宋体"/>
          <w:color w:val="auto"/>
          <w:kern w:val="2"/>
          <w:sz w:val="22"/>
          <w:szCs w:val="22"/>
          <w:highlight w:val="none"/>
        </w:rPr>
      </w:pPr>
      <w:r>
        <w:rPr>
          <w:rStyle w:val="8"/>
          <w:rFonts w:ascii="宋体" w:hAnsi="宋体"/>
          <w:color w:val="auto"/>
          <w:kern w:val="2"/>
          <w:sz w:val="22"/>
          <w:szCs w:val="22"/>
          <w:highlight w:val="none"/>
        </w:rPr>
        <w:t>联系电话：</w:t>
      </w:r>
      <w:r>
        <w:rPr>
          <w:rStyle w:val="8"/>
          <w:rFonts w:hint="eastAsia" w:ascii="宋体" w:hAnsi="宋体" w:cs="宋体"/>
          <w:color w:val="auto"/>
          <w:kern w:val="2"/>
          <w:sz w:val="22"/>
          <w:szCs w:val="22"/>
          <w:highlight w:val="none"/>
          <w:u w:val="single"/>
        </w:rPr>
        <w:t>  </w:t>
      </w:r>
      <w:r>
        <w:rPr>
          <w:rStyle w:val="8"/>
          <w:rFonts w:hint="eastAsia" w:ascii="宋体" w:hAnsi="宋体"/>
          <w:color w:val="auto"/>
          <w:kern w:val="2"/>
          <w:sz w:val="22"/>
          <w:szCs w:val="22"/>
          <w:highlight w:val="none"/>
          <w:u w:val="single"/>
        </w:rPr>
        <w:t xml:space="preserve">      </w:t>
      </w:r>
      <w:r>
        <w:rPr>
          <w:rStyle w:val="8"/>
          <w:rFonts w:hint="eastAsia" w:ascii="宋体" w:hAnsi="宋体" w:cs="宋体"/>
          <w:color w:val="auto"/>
          <w:kern w:val="2"/>
          <w:sz w:val="22"/>
          <w:szCs w:val="22"/>
          <w:highlight w:val="none"/>
          <w:u w:val="single"/>
        </w:rPr>
        <w:t> </w:t>
      </w:r>
      <w:r>
        <w:rPr>
          <w:rStyle w:val="8"/>
          <w:rFonts w:ascii="宋体" w:hAnsi="宋体"/>
          <w:color w:val="auto"/>
          <w:kern w:val="2"/>
          <w:sz w:val="22"/>
          <w:szCs w:val="22"/>
          <w:highlight w:val="none"/>
        </w:rPr>
        <w:t>；</w:t>
      </w:r>
    </w:p>
    <w:p w14:paraId="785B1176">
      <w:pPr>
        <w:pStyle w:val="13"/>
        <w:spacing w:line="360" w:lineRule="auto"/>
        <w:ind w:firstLine="440" w:firstLineChars="200"/>
        <w:rPr>
          <w:rStyle w:val="8"/>
          <w:rFonts w:ascii="宋体" w:hAnsi="宋体"/>
          <w:color w:val="auto"/>
          <w:kern w:val="2"/>
          <w:sz w:val="22"/>
          <w:szCs w:val="22"/>
          <w:highlight w:val="none"/>
        </w:rPr>
      </w:pPr>
      <w:r>
        <w:rPr>
          <w:rStyle w:val="8"/>
          <w:rFonts w:ascii="宋体" w:hAnsi="宋体"/>
          <w:color w:val="auto"/>
          <w:kern w:val="2"/>
          <w:sz w:val="22"/>
          <w:szCs w:val="22"/>
          <w:highlight w:val="none"/>
        </w:rPr>
        <w:t>电子信箱：</w:t>
      </w:r>
      <w:r>
        <w:rPr>
          <w:rStyle w:val="8"/>
          <w:rFonts w:hint="eastAsia" w:ascii="宋体" w:hAnsi="宋体" w:cs="宋体"/>
          <w:color w:val="auto"/>
          <w:kern w:val="2"/>
          <w:sz w:val="22"/>
          <w:szCs w:val="22"/>
          <w:highlight w:val="none"/>
          <w:u w:val="single"/>
        </w:rPr>
        <w:t xml:space="preserve">  </w:t>
      </w:r>
      <w:r>
        <w:rPr>
          <w:rStyle w:val="8"/>
          <w:rFonts w:hint="eastAsia" w:ascii="宋体" w:hAnsi="宋体"/>
          <w:color w:val="auto"/>
          <w:kern w:val="2"/>
          <w:sz w:val="22"/>
          <w:szCs w:val="22"/>
          <w:highlight w:val="none"/>
          <w:u w:val="single"/>
        </w:rPr>
        <w:t xml:space="preserve">      </w:t>
      </w:r>
      <w:r>
        <w:rPr>
          <w:rStyle w:val="8"/>
          <w:rFonts w:hint="eastAsia" w:ascii="宋体" w:hAnsi="宋体" w:cs="宋体"/>
          <w:color w:val="auto"/>
          <w:kern w:val="2"/>
          <w:sz w:val="22"/>
          <w:szCs w:val="22"/>
          <w:highlight w:val="none"/>
          <w:u w:val="single"/>
        </w:rPr>
        <w:t> </w:t>
      </w:r>
      <w:r>
        <w:rPr>
          <w:rStyle w:val="8"/>
          <w:rFonts w:ascii="宋体" w:hAnsi="宋体"/>
          <w:color w:val="auto"/>
          <w:kern w:val="2"/>
          <w:sz w:val="22"/>
          <w:szCs w:val="22"/>
          <w:highlight w:val="none"/>
        </w:rPr>
        <w:t>；</w:t>
      </w:r>
    </w:p>
    <w:p w14:paraId="30AD7D6A">
      <w:pPr>
        <w:pStyle w:val="13"/>
        <w:spacing w:line="360" w:lineRule="auto"/>
        <w:ind w:firstLine="440" w:firstLineChars="200"/>
        <w:rPr>
          <w:rStyle w:val="8"/>
          <w:rFonts w:ascii="宋体" w:hAnsi="宋体"/>
          <w:color w:val="auto"/>
          <w:kern w:val="2"/>
          <w:sz w:val="22"/>
          <w:szCs w:val="22"/>
          <w:highlight w:val="none"/>
        </w:rPr>
      </w:pPr>
      <w:r>
        <w:rPr>
          <w:rStyle w:val="8"/>
          <w:rFonts w:ascii="宋体" w:hAnsi="宋体"/>
          <w:color w:val="auto"/>
          <w:kern w:val="2"/>
          <w:sz w:val="22"/>
          <w:szCs w:val="22"/>
          <w:highlight w:val="none"/>
        </w:rPr>
        <w:t>通信地址：</w:t>
      </w:r>
      <w:r>
        <w:rPr>
          <w:rStyle w:val="8"/>
          <w:rFonts w:hint="eastAsia" w:ascii="宋体" w:hAnsi="宋体" w:cs="宋体"/>
          <w:color w:val="auto"/>
          <w:kern w:val="2"/>
          <w:sz w:val="22"/>
          <w:szCs w:val="22"/>
          <w:highlight w:val="none"/>
          <w:u w:val="single"/>
        </w:rPr>
        <w:t xml:space="preserve">  </w:t>
      </w:r>
      <w:r>
        <w:rPr>
          <w:rStyle w:val="8"/>
          <w:rFonts w:hint="eastAsia" w:ascii="宋体" w:hAnsi="宋体"/>
          <w:color w:val="auto"/>
          <w:kern w:val="2"/>
          <w:sz w:val="22"/>
          <w:szCs w:val="22"/>
          <w:highlight w:val="none"/>
          <w:u w:val="single"/>
        </w:rPr>
        <w:t xml:space="preserve">      </w:t>
      </w:r>
      <w:r>
        <w:rPr>
          <w:rStyle w:val="8"/>
          <w:rFonts w:hint="eastAsia" w:ascii="宋体" w:hAnsi="宋体" w:cs="宋体"/>
          <w:color w:val="auto"/>
          <w:kern w:val="2"/>
          <w:sz w:val="22"/>
          <w:szCs w:val="22"/>
          <w:highlight w:val="none"/>
          <w:u w:val="single"/>
        </w:rPr>
        <w:t> </w:t>
      </w:r>
      <w:r>
        <w:rPr>
          <w:rStyle w:val="8"/>
          <w:rFonts w:ascii="宋体" w:hAnsi="宋体"/>
          <w:color w:val="auto"/>
          <w:kern w:val="2"/>
          <w:sz w:val="22"/>
          <w:szCs w:val="22"/>
          <w:highlight w:val="none"/>
        </w:rPr>
        <w:t>；</w:t>
      </w:r>
    </w:p>
    <w:p w14:paraId="5C9F1F8D">
      <w:pPr>
        <w:pStyle w:val="13"/>
        <w:spacing w:line="360" w:lineRule="auto"/>
        <w:ind w:firstLine="440" w:firstLineChars="200"/>
        <w:rPr>
          <w:rStyle w:val="8"/>
          <w:rFonts w:ascii="宋体" w:hAnsi="宋体"/>
          <w:color w:val="auto"/>
          <w:kern w:val="2"/>
          <w:sz w:val="22"/>
          <w:szCs w:val="22"/>
          <w:highlight w:val="none"/>
        </w:rPr>
      </w:pPr>
      <w:r>
        <w:rPr>
          <w:rStyle w:val="8"/>
          <w:rFonts w:ascii="宋体" w:hAnsi="宋体"/>
          <w:color w:val="auto"/>
          <w:kern w:val="2"/>
          <w:sz w:val="22"/>
          <w:szCs w:val="22"/>
          <w:highlight w:val="none"/>
        </w:rPr>
        <w:t>承包人对项目经理的授权范围如下：</w:t>
      </w:r>
      <w:r>
        <w:rPr>
          <w:rStyle w:val="8"/>
          <w:rFonts w:ascii="宋体" w:hAnsi="宋体" w:cs="宋体"/>
          <w:color w:val="auto"/>
          <w:kern w:val="2"/>
          <w:sz w:val="22"/>
          <w:szCs w:val="22"/>
          <w:highlight w:val="none"/>
          <w:u w:val="single"/>
        </w:rPr>
        <w:t></w:t>
      </w:r>
      <w:r>
        <w:rPr>
          <w:rStyle w:val="8"/>
          <w:rFonts w:hint="eastAsia" w:ascii="宋体" w:hAnsi="宋体"/>
          <w:color w:val="auto"/>
          <w:kern w:val="2"/>
          <w:sz w:val="22"/>
          <w:szCs w:val="22"/>
          <w:highlight w:val="none"/>
          <w:u w:val="single"/>
        </w:rPr>
        <w:t xml:space="preserve"> </w:t>
      </w:r>
      <w:r>
        <w:rPr>
          <w:rStyle w:val="8"/>
          <w:rFonts w:ascii="宋体" w:hAnsi="宋体" w:cs="宋体"/>
          <w:color w:val="auto"/>
          <w:kern w:val="2"/>
          <w:sz w:val="22"/>
          <w:szCs w:val="22"/>
          <w:highlight w:val="none"/>
          <w:u w:val="single"/>
        </w:rPr>
        <w:t></w:t>
      </w:r>
      <w:r>
        <w:rPr>
          <w:rStyle w:val="8"/>
          <w:rFonts w:hint="eastAsia" w:ascii="宋体" w:hAnsi="宋体"/>
          <w:color w:val="auto"/>
          <w:kern w:val="2"/>
          <w:sz w:val="22"/>
          <w:szCs w:val="22"/>
          <w:highlight w:val="none"/>
          <w:u w:val="single"/>
        </w:rPr>
        <w:t xml:space="preserve">                                                       </w:t>
      </w:r>
      <w:r>
        <w:rPr>
          <w:rStyle w:val="8"/>
          <w:rFonts w:ascii="宋体" w:hAnsi="宋体"/>
          <w:color w:val="auto"/>
          <w:kern w:val="2"/>
          <w:sz w:val="22"/>
          <w:szCs w:val="22"/>
          <w:highlight w:val="none"/>
        </w:rPr>
        <w:t>。</w:t>
      </w:r>
    </w:p>
    <w:p w14:paraId="2C32A068">
      <w:pPr>
        <w:pStyle w:val="14"/>
        <w:spacing w:line="360" w:lineRule="auto"/>
        <w:ind w:firstLine="440" w:firstLineChars="200"/>
        <w:jc w:val="left"/>
        <w:rPr>
          <w:rStyle w:val="8"/>
          <w:rFonts w:ascii="宋体" w:hAnsi="宋体"/>
          <w:color w:val="auto"/>
          <w:kern w:val="2"/>
          <w:sz w:val="22"/>
          <w:szCs w:val="22"/>
          <w:highlight w:val="none"/>
          <w:u w:val="single"/>
        </w:rPr>
      </w:pPr>
      <w:r>
        <w:rPr>
          <w:rStyle w:val="8"/>
          <w:rFonts w:ascii="宋体" w:hAnsi="宋体"/>
          <w:color w:val="auto"/>
          <w:sz w:val="22"/>
          <w:szCs w:val="22"/>
          <w:highlight w:val="none"/>
        </w:rPr>
        <w:t>关于项目经理每月在施工现场的时间要求：</w:t>
      </w:r>
      <w:r>
        <w:rPr>
          <w:rStyle w:val="8"/>
          <w:rFonts w:hint="eastAsia" w:ascii="宋体" w:hAnsi="宋体"/>
          <w:color w:val="auto"/>
          <w:kern w:val="2"/>
          <w:sz w:val="22"/>
          <w:szCs w:val="22"/>
          <w:highlight w:val="none"/>
          <w:u w:val="single"/>
        </w:rPr>
        <w:t>不少于24 日（必须满足现场施工需求）。</w:t>
      </w:r>
    </w:p>
    <w:p w14:paraId="2EB1C9EE">
      <w:pPr>
        <w:pStyle w:val="14"/>
        <w:spacing w:line="360" w:lineRule="auto"/>
        <w:ind w:firstLine="440" w:firstLineChars="200"/>
        <w:rPr>
          <w:rStyle w:val="8"/>
          <w:rFonts w:ascii="宋体" w:hAnsi="宋体"/>
          <w:color w:val="auto"/>
          <w:kern w:val="2"/>
          <w:sz w:val="22"/>
          <w:szCs w:val="22"/>
          <w:highlight w:val="none"/>
          <w:u w:val="single"/>
        </w:rPr>
      </w:pPr>
      <w:r>
        <w:rPr>
          <w:rStyle w:val="8"/>
          <w:rFonts w:ascii="宋体" w:hAnsi="宋体"/>
          <w:color w:val="auto"/>
          <w:sz w:val="22"/>
          <w:szCs w:val="22"/>
          <w:highlight w:val="none"/>
        </w:rPr>
        <w:t>承包人未提交劳动合同，以及没有为项目经理缴纳社会保险证明的违约责任：</w:t>
      </w:r>
      <w:r>
        <w:rPr>
          <w:rStyle w:val="8"/>
          <w:rFonts w:ascii="宋体" w:hAnsi="宋体"/>
          <w:color w:val="auto"/>
          <w:kern w:val="2"/>
          <w:sz w:val="22"/>
          <w:szCs w:val="22"/>
          <w:highlight w:val="none"/>
          <w:u w:val="single"/>
        </w:rPr>
        <w:t xml:space="preserve">     </w:t>
      </w:r>
      <w:r>
        <w:rPr>
          <w:rStyle w:val="8"/>
          <w:rFonts w:hint="eastAsia" w:ascii="宋体" w:hAnsi="宋体"/>
          <w:color w:val="auto"/>
          <w:kern w:val="2"/>
          <w:sz w:val="22"/>
          <w:szCs w:val="22"/>
          <w:highlight w:val="none"/>
          <w:u w:val="single"/>
        </w:rPr>
        <w:t>承包人未提交劳动合同，以及没有为项目经理缴纳社会保险证明的违约责任：承包人未提交劳动合同，以及没有为项目经理缴纳社会保险证明的：每发生一次，承包人应按次向发包人支付违约金10000元，同时承包人应当及时改正并向发包人提供社保缴纳证明，上述违约金发包人有权自工程款中径行扣除。</w:t>
      </w:r>
    </w:p>
    <w:p w14:paraId="6D20CB56">
      <w:pPr>
        <w:pStyle w:val="14"/>
        <w:spacing w:line="360" w:lineRule="auto"/>
        <w:ind w:firstLine="440" w:firstLineChars="200"/>
        <w:rPr>
          <w:rStyle w:val="8"/>
          <w:rFonts w:ascii="宋体" w:hAnsi="宋体"/>
          <w:color w:val="auto"/>
          <w:kern w:val="2"/>
          <w:sz w:val="22"/>
          <w:szCs w:val="22"/>
          <w:highlight w:val="none"/>
          <w:u w:val="single"/>
        </w:rPr>
      </w:pPr>
      <w:r>
        <w:rPr>
          <w:rStyle w:val="8"/>
          <w:rFonts w:ascii="宋体" w:hAnsi="宋体"/>
          <w:color w:val="auto"/>
          <w:sz w:val="22"/>
          <w:szCs w:val="22"/>
          <w:highlight w:val="none"/>
        </w:rPr>
        <w:t>项目经理未经批准，擅自离开施工现场的违约责任：</w:t>
      </w:r>
      <w:r>
        <w:rPr>
          <w:rStyle w:val="8"/>
          <w:rFonts w:hint="eastAsia" w:ascii="宋体" w:hAnsi="宋体"/>
          <w:color w:val="auto"/>
          <w:kern w:val="2"/>
          <w:sz w:val="22"/>
          <w:szCs w:val="22"/>
          <w:highlight w:val="none"/>
          <w:u w:val="single"/>
        </w:rPr>
        <w:t xml:space="preserve">项目经理如有特殊原因需要离开现场，需提前一天通知监理人，并向发包人提出申请在获得发包人批准后才能外出，否则承包人向发包人支付10000元／人次的罚金。发包人有权自行从工程款中扣除。 </w:t>
      </w:r>
    </w:p>
    <w:p w14:paraId="13E21F87">
      <w:pPr>
        <w:pStyle w:val="14"/>
        <w:spacing w:line="360" w:lineRule="auto"/>
        <w:ind w:firstLine="440" w:firstLineChars="200"/>
        <w:rPr>
          <w:rStyle w:val="8"/>
          <w:rFonts w:ascii="宋体" w:hAnsi="宋体"/>
          <w:color w:val="auto"/>
          <w:kern w:val="2"/>
          <w:sz w:val="22"/>
          <w:szCs w:val="22"/>
          <w:highlight w:val="none"/>
          <w:u w:val="single"/>
        </w:rPr>
      </w:pPr>
      <w:r>
        <w:rPr>
          <w:rStyle w:val="8"/>
          <w:rFonts w:ascii="宋体" w:hAnsi="宋体"/>
          <w:color w:val="auto"/>
          <w:kern w:val="2"/>
          <w:sz w:val="22"/>
          <w:szCs w:val="22"/>
          <w:highlight w:val="none"/>
        </w:rPr>
        <w:t>3.2.3 承包人擅自更换项目经理的违约责任：</w:t>
      </w:r>
      <w:r>
        <w:rPr>
          <w:rStyle w:val="8"/>
          <w:rFonts w:hint="eastAsia" w:ascii="宋体" w:hAnsi="宋体"/>
          <w:color w:val="auto"/>
          <w:kern w:val="2"/>
          <w:sz w:val="22"/>
          <w:szCs w:val="22"/>
          <w:highlight w:val="none"/>
          <w:u w:val="single"/>
        </w:rPr>
        <w:t xml:space="preserve">承包人未经发包人同意擅自更换项目经理的，每发生一次，承包人应向发包人支付违约金50000元，同时承包人应当按发包人要求及时更换项目经理，上述违约金发包人有权自工程款中径行扣除。 </w:t>
      </w:r>
    </w:p>
    <w:p w14:paraId="06F16C78">
      <w:pPr>
        <w:pStyle w:val="14"/>
        <w:spacing w:line="360" w:lineRule="auto"/>
        <w:rPr>
          <w:rStyle w:val="8"/>
          <w:rFonts w:ascii="宋体" w:hAnsi="宋体"/>
          <w:color w:val="auto"/>
          <w:kern w:val="2"/>
          <w:sz w:val="22"/>
          <w:szCs w:val="22"/>
          <w:highlight w:val="none"/>
          <w:u w:val="single"/>
        </w:rPr>
      </w:pPr>
      <w:r>
        <w:rPr>
          <w:rStyle w:val="8"/>
          <w:rFonts w:ascii="宋体" w:hAnsi="宋体"/>
          <w:color w:val="auto"/>
          <w:kern w:val="2"/>
          <w:sz w:val="22"/>
          <w:szCs w:val="22"/>
          <w:highlight w:val="none"/>
        </w:rPr>
        <w:t xml:space="preserve">    3.2.4 承包人无正当理由拒绝更换项目经理的违约责任：</w:t>
      </w:r>
      <w:r>
        <w:rPr>
          <w:rStyle w:val="8"/>
          <w:rFonts w:hint="eastAsia" w:ascii="宋体" w:hAnsi="宋体"/>
          <w:color w:val="auto"/>
          <w:kern w:val="2"/>
          <w:sz w:val="22"/>
          <w:szCs w:val="22"/>
          <w:highlight w:val="none"/>
          <w:u w:val="single"/>
        </w:rPr>
        <w:t>承包人未按发包人要求更换项目经理且无正当理由的，每发生一次，承包人应向发包人支付违约金100000元，并按发包人要求及时更换项目经理，上述违约金发包人有权自行从工程款中扣除。</w:t>
      </w:r>
    </w:p>
    <w:p w14:paraId="7C75D683">
      <w:pPr>
        <w:pStyle w:val="13"/>
        <w:spacing w:line="360" w:lineRule="auto"/>
        <w:ind w:firstLine="440" w:firstLineChars="200"/>
        <w:rPr>
          <w:rStyle w:val="8"/>
          <w:rFonts w:ascii="宋体" w:hAnsi="宋体"/>
          <w:color w:val="auto"/>
          <w:kern w:val="2"/>
          <w:sz w:val="22"/>
          <w:szCs w:val="22"/>
          <w:highlight w:val="none"/>
        </w:rPr>
      </w:pPr>
      <w:r>
        <w:rPr>
          <w:rStyle w:val="8"/>
          <w:rFonts w:ascii="宋体" w:hAnsi="宋体"/>
          <w:color w:val="auto"/>
          <w:kern w:val="2"/>
          <w:sz w:val="22"/>
          <w:szCs w:val="22"/>
          <w:highlight w:val="none"/>
        </w:rPr>
        <w:t>3.3 承包人人员</w:t>
      </w:r>
    </w:p>
    <w:p w14:paraId="3C113597">
      <w:pPr>
        <w:pStyle w:val="14"/>
        <w:spacing w:line="360" w:lineRule="auto"/>
        <w:ind w:firstLine="440" w:firstLineChars="200"/>
        <w:rPr>
          <w:rStyle w:val="8"/>
          <w:rFonts w:ascii="宋体" w:hAnsi="宋体"/>
          <w:color w:val="auto"/>
          <w:kern w:val="2"/>
          <w:sz w:val="22"/>
          <w:szCs w:val="22"/>
          <w:highlight w:val="none"/>
          <w:u w:val="single"/>
        </w:rPr>
      </w:pPr>
      <w:r>
        <w:rPr>
          <w:rStyle w:val="8"/>
          <w:rFonts w:ascii="宋体" w:hAnsi="宋体"/>
          <w:color w:val="auto"/>
          <w:kern w:val="2"/>
          <w:sz w:val="22"/>
          <w:szCs w:val="22"/>
          <w:highlight w:val="none"/>
        </w:rPr>
        <w:t>3.3.1 承包人提交项目管理机构及施工现场管理人员安排报告的期限：</w:t>
      </w:r>
      <w:r>
        <w:rPr>
          <w:rStyle w:val="8"/>
          <w:rFonts w:hint="eastAsia" w:ascii="宋体" w:hAnsi="宋体"/>
          <w:color w:val="auto"/>
          <w:kern w:val="2"/>
          <w:sz w:val="22"/>
          <w:szCs w:val="22"/>
          <w:highlight w:val="none"/>
          <w:u w:val="single"/>
        </w:rPr>
        <w:t>开工通知后7日内  。</w:t>
      </w:r>
    </w:p>
    <w:p w14:paraId="726BD492">
      <w:pPr>
        <w:pStyle w:val="14"/>
        <w:spacing w:line="360" w:lineRule="auto"/>
        <w:ind w:firstLine="440" w:firstLineChars="200"/>
        <w:rPr>
          <w:rStyle w:val="8"/>
          <w:rFonts w:ascii="宋体" w:hAnsi="宋体"/>
          <w:color w:val="auto"/>
          <w:kern w:val="2"/>
          <w:sz w:val="22"/>
          <w:szCs w:val="22"/>
          <w:highlight w:val="none"/>
          <w:u w:val="single"/>
        </w:rPr>
      </w:pPr>
      <w:r>
        <w:rPr>
          <w:rStyle w:val="8"/>
          <w:rFonts w:ascii="宋体" w:hAnsi="宋体"/>
          <w:color w:val="auto"/>
          <w:kern w:val="2"/>
          <w:sz w:val="22"/>
          <w:szCs w:val="22"/>
          <w:highlight w:val="none"/>
        </w:rPr>
        <w:t>3.3.3 承包人无正当理由拒绝撤换主要施工管理人员的违约责任：</w:t>
      </w:r>
      <w:r>
        <w:rPr>
          <w:rStyle w:val="8"/>
          <w:rFonts w:hint="eastAsia" w:ascii="宋体" w:hAnsi="宋体"/>
          <w:color w:val="auto"/>
          <w:kern w:val="2"/>
          <w:sz w:val="22"/>
          <w:szCs w:val="22"/>
          <w:highlight w:val="none"/>
          <w:u w:val="single"/>
        </w:rPr>
        <w:t>承包人未按发包人要求更换主要施工人员且无正当理由的，发包人有权要求承包人停止施工，并由承包人承担由此产生的一切损失。</w:t>
      </w:r>
    </w:p>
    <w:p w14:paraId="350DDEC8">
      <w:pPr>
        <w:pStyle w:val="14"/>
        <w:spacing w:line="360" w:lineRule="auto"/>
        <w:ind w:firstLine="440" w:firstLineChars="200"/>
        <w:rPr>
          <w:rStyle w:val="8"/>
          <w:rFonts w:ascii="宋体" w:hAnsi="宋体"/>
          <w:color w:val="auto"/>
          <w:kern w:val="2"/>
          <w:sz w:val="22"/>
          <w:szCs w:val="22"/>
          <w:highlight w:val="none"/>
          <w:u w:val="single"/>
        </w:rPr>
      </w:pPr>
      <w:r>
        <w:rPr>
          <w:rStyle w:val="8"/>
          <w:rFonts w:ascii="宋体" w:hAnsi="宋体"/>
          <w:color w:val="auto"/>
          <w:kern w:val="2"/>
          <w:sz w:val="22"/>
          <w:szCs w:val="22"/>
          <w:highlight w:val="none"/>
        </w:rPr>
        <w:t xml:space="preserve">3.3.4 承包人主要施工管理人员离开施工现场的批准要求：   </w:t>
      </w:r>
      <w:r>
        <w:rPr>
          <w:rStyle w:val="8"/>
          <w:rFonts w:hint="eastAsia" w:ascii="宋体" w:hAnsi="宋体"/>
          <w:color w:val="auto"/>
          <w:kern w:val="2"/>
          <w:sz w:val="22"/>
          <w:szCs w:val="22"/>
          <w:highlight w:val="none"/>
          <w:u w:val="single"/>
        </w:rPr>
        <w:t>必须取得监理和发包人的书面同意   。</w:t>
      </w:r>
    </w:p>
    <w:p w14:paraId="72F1DF40">
      <w:pPr>
        <w:pStyle w:val="14"/>
        <w:spacing w:line="360" w:lineRule="auto"/>
        <w:ind w:firstLine="440" w:firstLineChars="200"/>
        <w:rPr>
          <w:rStyle w:val="8"/>
          <w:rFonts w:ascii="宋体" w:hAnsi="宋体"/>
          <w:color w:val="auto"/>
          <w:kern w:val="2"/>
          <w:sz w:val="22"/>
          <w:szCs w:val="22"/>
          <w:highlight w:val="none"/>
          <w:u w:val="single"/>
        </w:rPr>
      </w:pPr>
      <w:r>
        <w:rPr>
          <w:rStyle w:val="8"/>
          <w:rFonts w:ascii="宋体" w:hAnsi="宋体"/>
          <w:color w:val="auto"/>
          <w:kern w:val="2"/>
          <w:sz w:val="22"/>
          <w:szCs w:val="22"/>
          <w:highlight w:val="none"/>
        </w:rPr>
        <w:t>3.3.5承包人擅自更换主要施工管理人员的违约责任：</w:t>
      </w:r>
      <w:r>
        <w:rPr>
          <w:rStyle w:val="8"/>
          <w:rFonts w:hint="eastAsia" w:ascii="宋体" w:hAnsi="宋体"/>
          <w:color w:val="auto"/>
          <w:kern w:val="2"/>
          <w:sz w:val="22"/>
          <w:szCs w:val="22"/>
          <w:highlight w:val="none"/>
          <w:u w:val="single"/>
        </w:rPr>
        <w:t>发现每1 人次扣违约金5000 元整，并要求承包人更正   。</w:t>
      </w:r>
    </w:p>
    <w:p w14:paraId="51E81565">
      <w:pPr>
        <w:pStyle w:val="14"/>
        <w:spacing w:line="360" w:lineRule="auto"/>
        <w:ind w:firstLine="440" w:firstLineChars="200"/>
        <w:rPr>
          <w:rStyle w:val="8"/>
          <w:rFonts w:ascii="宋体" w:hAnsi="宋体"/>
          <w:color w:val="auto"/>
          <w:kern w:val="2"/>
          <w:sz w:val="22"/>
          <w:szCs w:val="22"/>
          <w:highlight w:val="none"/>
          <w:u w:val="single"/>
        </w:rPr>
      </w:pPr>
      <w:r>
        <w:rPr>
          <w:rStyle w:val="8"/>
          <w:rFonts w:ascii="宋体" w:hAnsi="宋体"/>
          <w:color w:val="auto"/>
          <w:kern w:val="2"/>
          <w:sz w:val="22"/>
          <w:szCs w:val="22"/>
          <w:highlight w:val="none"/>
        </w:rPr>
        <w:t>承包人主要施工管理人员擅自离开施工现场的违约责任：</w:t>
      </w:r>
      <w:r>
        <w:rPr>
          <w:rStyle w:val="8"/>
          <w:rFonts w:hint="eastAsia" w:ascii="宋体" w:hAnsi="宋体"/>
          <w:color w:val="auto"/>
          <w:kern w:val="2"/>
          <w:sz w:val="22"/>
          <w:szCs w:val="22"/>
          <w:highlight w:val="none"/>
          <w:u w:val="single"/>
        </w:rPr>
        <w:t xml:space="preserve">  发现每1人次.日扣违约金1000元整 。 上述违约金发包人有权自工程款中径行扣除。</w:t>
      </w:r>
    </w:p>
    <w:p w14:paraId="3EB81A3C">
      <w:pPr>
        <w:pStyle w:val="13"/>
        <w:spacing w:after="120" w:line="360" w:lineRule="auto"/>
        <w:ind w:firstLine="440" w:firstLineChars="200"/>
        <w:rPr>
          <w:rStyle w:val="8"/>
          <w:rFonts w:ascii="宋体" w:hAnsi="宋体"/>
          <w:color w:val="auto"/>
          <w:kern w:val="2"/>
          <w:sz w:val="22"/>
          <w:szCs w:val="22"/>
          <w:highlight w:val="none"/>
        </w:rPr>
      </w:pPr>
      <w:r>
        <w:rPr>
          <w:rStyle w:val="8"/>
          <w:rFonts w:ascii="宋体" w:hAnsi="宋体"/>
          <w:color w:val="auto"/>
          <w:kern w:val="2"/>
          <w:sz w:val="22"/>
          <w:szCs w:val="22"/>
          <w:highlight w:val="none"/>
        </w:rPr>
        <w:t>3</w:t>
      </w:r>
      <w:bookmarkStart w:id="383" w:name="_Toc297120459"/>
      <w:bookmarkStart w:id="384" w:name="_Toc296503159"/>
      <w:bookmarkStart w:id="385" w:name="_Toc312677988"/>
      <w:bookmarkStart w:id="386" w:name="_Toc297216151"/>
      <w:bookmarkStart w:id="387" w:name="_Toc304295523"/>
      <w:bookmarkStart w:id="388" w:name="_Toc300934945"/>
      <w:bookmarkStart w:id="389" w:name="_Toc296944498"/>
      <w:bookmarkStart w:id="390" w:name="_Toc303539102"/>
      <w:bookmarkStart w:id="391" w:name="_Toc296890987"/>
      <w:bookmarkStart w:id="392" w:name="_Toc297123492"/>
      <w:bookmarkStart w:id="393" w:name="_Toc296347158"/>
      <w:bookmarkStart w:id="394" w:name="_Toc292559364"/>
      <w:bookmarkStart w:id="395" w:name="_Toc292559869"/>
      <w:bookmarkStart w:id="396" w:name="_Toc297048345"/>
      <w:bookmarkStart w:id="397" w:name="_Toc296346660"/>
      <w:bookmarkStart w:id="398" w:name="_Toc296891199"/>
      <w:r>
        <w:rPr>
          <w:rStyle w:val="8"/>
          <w:rFonts w:ascii="宋体" w:hAnsi="宋体"/>
          <w:color w:val="auto"/>
          <w:kern w:val="2"/>
          <w:sz w:val="22"/>
          <w:szCs w:val="22"/>
          <w:highlight w:val="none"/>
        </w:rPr>
        <w:t>.5 分包</w:t>
      </w:r>
    </w:p>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p w14:paraId="7934BEBE">
      <w:pPr>
        <w:pStyle w:val="13"/>
        <w:spacing w:line="360" w:lineRule="auto"/>
        <w:ind w:firstLine="440" w:firstLineChars="200"/>
        <w:rPr>
          <w:rStyle w:val="8"/>
          <w:rFonts w:ascii="宋体" w:hAnsi="宋体"/>
          <w:color w:val="auto"/>
          <w:kern w:val="2"/>
          <w:sz w:val="22"/>
          <w:szCs w:val="22"/>
          <w:highlight w:val="none"/>
        </w:rPr>
      </w:pPr>
      <w:r>
        <w:rPr>
          <w:rStyle w:val="8"/>
          <w:rFonts w:ascii="宋体" w:hAnsi="宋体"/>
          <w:color w:val="auto"/>
          <w:kern w:val="2"/>
          <w:sz w:val="22"/>
          <w:szCs w:val="22"/>
          <w:highlight w:val="none"/>
        </w:rPr>
        <w:t>3</w:t>
      </w:r>
      <w:bookmarkStart w:id="399" w:name="_Toc297216152"/>
      <w:bookmarkStart w:id="400" w:name="_Toc296347159"/>
      <w:bookmarkStart w:id="401" w:name="_Toc296346661"/>
      <w:bookmarkStart w:id="402" w:name="_Toc292559365"/>
      <w:bookmarkStart w:id="403" w:name="_Toc300934946"/>
      <w:bookmarkStart w:id="404" w:name="_Toc296890988"/>
      <w:bookmarkStart w:id="405" w:name="_Toc297123493"/>
      <w:bookmarkStart w:id="406" w:name="_Toc303539103"/>
      <w:bookmarkStart w:id="407" w:name="_Toc297120460"/>
      <w:bookmarkStart w:id="408" w:name="_Toc297048346"/>
      <w:bookmarkStart w:id="409" w:name="_Toc296891200"/>
      <w:bookmarkStart w:id="410" w:name="_Toc292559870"/>
      <w:bookmarkStart w:id="411" w:name="_Toc304295524"/>
      <w:bookmarkStart w:id="412" w:name="_Toc296944499"/>
      <w:bookmarkStart w:id="413" w:name="_Toc296503160"/>
      <w:bookmarkStart w:id="414" w:name="_Toc312677989"/>
      <w:bookmarkStart w:id="415" w:name="_Toc318581158"/>
      <w:r>
        <w:rPr>
          <w:rStyle w:val="8"/>
          <w:rFonts w:ascii="宋体" w:hAnsi="宋体"/>
          <w:color w:val="auto"/>
          <w:kern w:val="2"/>
          <w:sz w:val="22"/>
          <w:szCs w:val="22"/>
          <w:highlight w:val="none"/>
        </w:rPr>
        <w:t>.5.1 分包的一般约定</w:t>
      </w:r>
    </w:p>
    <w:p w14:paraId="7F47862D">
      <w:pPr>
        <w:pStyle w:val="13"/>
        <w:spacing w:line="360" w:lineRule="auto"/>
        <w:ind w:firstLine="440" w:firstLineChars="200"/>
        <w:jc w:val="left"/>
        <w:rPr>
          <w:rStyle w:val="8"/>
          <w:rFonts w:ascii="宋体" w:hAnsi="宋体"/>
          <w:color w:val="auto"/>
          <w:kern w:val="2"/>
          <w:sz w:val="22"/>
          <w:szCs w:val="22"/>
          <w:highlight w:val="none"/>
        </w:rPr>
      </w:pPr>
      <w:r>
        <w:rPr>
          <w:rStyle w:val="8"/>
          <w:rFonts w:ascii="宋体" w:hAnsi="宋体"/>
          <w:color w:val="auto"/>
          <w:kern w:val="2"/>
          <w:sz w:val="22"/>
          <w:szCs w:val="22"/>
          <w:highlight w:val="none"/>
        </w:rPr>
        <w:t>禁止分包的工程包括：</w:t>
      </w:r>
      <w:r>
        <w:rPr>
          <w:rStyle w:val="8"/>
          <w:rFonts w:hint="eastAsia" w:ascii="宋体" w:hAnsi="宋体" w:cs="宋体"/>
          <w:color w:val="auto"/>
          <w:kern w:val="2"/>
          <w:sz w:val="22"/>
          <w:szCs w:val="22"/>
          <w:highlight w:val="none"/>
          <w:u w:val="single"/>
        </w:rPr>
        <w:t xml:space="preserve">      </w:t>
      </w:r>
      <w:r>
        <w:rPr>
          <w:rStyle w:val="8"/>
          <w:rFonts w:hint="eastAsia" w:ascii="宋体" w:hAnsi="宋体"/>
          <w:color w:val="auto"/>
          <w:sz w:val="22"/>
          <w:szCs w:val="22"/>
          <w:highlight w:val="none"/>
          <w:u w:val="single"/>
        </w:rPr>
        <w:t>/</w:t>
      </w:r>
      <w:r>
        <w:rPr>
          <w:rStyle w:val="8"/>
          <w:rFonts w:ascii="宋体" w:hAnsi="宋体"/>
          <w:color w:val="auto"/>
          <w:kern w:val="2"/>
          <w:sz w:val="22"/>
          <w:szCs w:val="22"/>
          <w:highlight w:val="none"/>
          <w:u w:val="single"/>
        </w:rPr>
        <w:t xml:space="preserve">            </w:t>
      </w:r>
      <w:r>
        <w:rPr>
          <w:rStyle w:val="8"/>
          <w:rFonts w:hint="eastAsia" w:ascii="宋体" w:hAnsi="宋体"/>
          <w:color w:val="auto"/>
          <w:kern w:val="2"/>
          <w:sz w:val="22"/>
          <w:szCs w:val="22"/>
          <w:highlight w:val="none"/>
          <w:u w:val="single"/>
        </w:rPr>
        <w:t xml:space="preserve">    </w:t>
      </w:r>
      <w:r>
        <w:rPr>
          <w:rStyle w:val="8"/>
          <w:rFonts w:ascii="宋体" w:hAnsi="宋体"/>
          <w:color w:val="auto"/>
          <w:kern w:val="2"/>
          <w:sz w:val="22"/>
          <w:szCs w:val="22"/>
          <w:highlight w:val="none"/>
          <w:u w:val="single"/>
        </w:rPr>
        <w:t xml:space="preserve">    </w:t>
      </w:r>
      <w:r>
        <w:rPr>
          <w:rStyle w:val="8"/>
          <w:rFonts w:ascii="宋体" w:hAnsi="宋体"/>
          <w:color w:val="auto"/>
          <w:kern w:val="2"/>
          <w:sz w:val="22"/>
          <w:szCs w:val="22"/>
          <w:highlight w:val="none"/>
        </w:rPr>
        <w:t>。</w:t>
      </w:r>
    </w:p>
    <w:p w14:paraId="2FD6833E">
      <w:pPr>
        <w:pStyle w:val="13"/>
        <w:spacing w:line="360" w:lineRule="auto"/>
        <w:ind w:firstLine="440" w:firstLineChars="200"/>
        <w:jc w:val="left"/>
        <w:rPr>
          <w:rStyle w:val="8"/>
          <w:rFonts w:ascii="宋体" w:hAnsi="宋体"/>
          <w:color w:val="auto"/>
          <w:kern w:val="2"/>
          <w:sz w:val="22"/>
          <w:szCs w:val="22"/>
          <w:highlight w:val="none"/>
          <w:u w:val="single"/>
        </w:rPr>
      </w:pPr>
      <w:r>
        <w:rPr>
          <w:rStyle w:val="8"/>
          <w:rFonts w:ascii="宋体" w:hAnsi="宋体"/>
          <w:color w:val="auto"/>
          <w:kern w:val="2"/>
          <w:sz w:val="22"/>
          <w:szCs w:val="22"/>
          <w:highlight w:val="none"/>
        </w:rPr>
        <w:t>主体结构、关键性工作的范围：</w:t>
      </w:r>
      <w:r>
        <w:rPr>
          <w:rStyle w:val="8"/>
          <w:rFonts w:ascii="宋体" w:hAnsi="宋体" w:cs="宋体"/>
          <w:color w:val="auto"/>
          <w:kern w:val="2"/>
          <w:sz w:val="22"/>
          <w:szCs w:val="22"/>
          <w:highlight w:val="none"/>
          <w:u w:val="single"/>
        </w:rPr>
        <w:t></w:t>
      </w:r>
      <w:r>
        <w:rPr>
          <w:rStyle w:val="8"/>
          <w:rFonts w:hint="eastAsia" w:ascii="宋体" w:hAnsi="宋体"/>
          <w:color w:val="auto"/>
          <w:sz w:val="22"/>
          <w:szCs w:val="22"/>
          <w:highlight w:val="none"/>
          <w:u w:val="single"/>
        </w:rPr>
        <w:t>/</w:t>
      </w:r>
      <w:r>
        <w:rPr>
          <w:rStyle w:val="8"/>
          <w:rFonts w:ascii="宋体" w:hAnsi="宋体"/>
          <w:color w:val="auto"/>
          <w:kern w:val="2"/>
          <w:sz w:val="22"/>
          <w:szCs w:val="22"/>
          <w:highlight w:val="none"/>
          <w:u w:val="single"/>
        </w:rPr>
        <w:t xml:space="preserve">                 </w:t>
      </w:r>
      <w:r>
        <w:rPr>
          <w:rStyle w:val="8"/>
          <w:rFonts w:hint="eastAsia" w:ascii="宋体" w:hAnsi="宋体"/>
          <w:color w:val="auto"/>
          <w:kern w:val="2"/>
          <w:sz w:val="22"/>
          <w:szCs w:val="22"/>
          <w:highlight w:val="none"/>
          <w:u w:val="single"/>
        </w:rPr>
        <w:t xml:space="preserve">  </w:t>
      </w:r>
      <w:r>
        <w:rPr>
          <w:rStyle w:val="8"/>
          <w:rFonts w:ascii="宋体" w:hAnsi="宋体"/>
          <w:color w:val="auto"/>
          <w:kern w:val="2"/>
          <w:sz w:val="22"/>
          <w:szCs w:val="22"/>
          <w:highlight w:val="none"/>
          <w:u w:val="single"/>
        </w:rPr>
        <w:t xml:space="preserve"> </w:t>
      </w:r>
      <w:r>
        <w:rPr>
          <w:rStyle w:val="8"/>
          <w:rFonts w:hint="eastAsia" w:ascii="宋体" w:hAnsi="宋体"/>
          <w:color w:val="auto"/>
          <w:kern w:val="2"/>
          <w:sz w:val="22"/>
          <w:szCs w:val="22"/>
          <w:highlight w:val="none"/>
          <w:u w:val="single"/>
        </w:rPr>
        <w:t xml:space="preserve">  </w:t>
      </w:r>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Start w:id="416" w:name="_Toc296503161"/>
      <w:bookmarkStart w:id="417" w:name="_Toc297048347"/>
      <w:bookmarkStart w:id="418" w:name="_Toc304295525"/>
      <w:bookmarkStart w:id="419" w:name="_Toc300934947"/>
      <w:bookmarkStart w:id="420" w:name="_Toc296347160"/>
      <w:bookmarkStart w:id="421" w:name="_Toc296944500"/>
      <w:bookmarkStart w:id="422" w:name="_Toc296891201"/>
      <w:bookmarkStart w:id="423" w:name="_Toc297120461"/>
      <w:bookmarkStart w:id="424" w:name="_Toc303539104"/>
      <w:bookmarkStart w:id="425" w:name="_Toc297216153"/>
      <w:bookmarkStart w:id="426" w:name="_Toc296346662"/>
      <w:bookmarkStart w:id="427" w:name="_Toc297123494"/>
      <w:bookmarkStart w:id="428" w:name="_Toc296890989"/>
    </w:p>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p w14:paraId="2068E8F9">
      <w:pPr>
        <w:pStyle w:val="13"/>
        <w:spacing w:line="360" w:lineRule="auto"/>
        <w:rPr>
          <w:rStyle w:val="8"/>
          <w:rFonts w:ascii="宋体" w:hAnsi="宋体"/>
          <w:color w:val="auto"/>
          <w:kern w:val="2"/>
          <w:sz w:val="22"/>
          <w:szCs w:val="22"/>
          <w:highlight w:val="none"/>
        </w:rPr>
      </w:pPr>
      <w:r>
        <w:rPr>
          <w:rStyle w:val="8"/>
          <w:rFonts w:ascii="宋体" w:hAnsi="宋体"/>
          <w:color w:val="auto"/>
          <w:kern w:val="2"/>
          <w:sz w:val="22"/>
          <w:szCs w:val="22"/>
          <w:highlight w:val="none"/>
        </w:rPr>
        <w:t xml:space="preserve">    3</w:t>
      </w:r>
      <w:bookmarkStart w:id="429" w:name="_Toc318581159"/>
      <w:bookmarkStart w:id="430" w:name="_Toc312677990"/>
      <w:r>
        <w:rPr>
          <w:rStyle w:val="8"/>
          <w:rFonts w:ascii="宋体" w:hAnsi="宋体"/>
          <w:color w:val="auto"/>
          <w:kern w:val="2"/>
          <w:sz w:val="22"/>
          <w:szCs w:val="22"/>
          <w:highlight w:val="none"/>
        </w:rPr>
        <w:t>.5.2分包的确定</w:t>
      </w:r>
    </w:p>
    <w:p w14:paraId="09A16A2C">
      <w:pPr>
        <w:pStyle w:val="13"/>
        <w:spacing w:line="360" w:lineRule="auto"/>
        <w:ind w:firstLine="440" w:firstLineChars="200"/>
        <w:rPr>
          <w:rStyle w:val="8"/>
          <w:rFonts w:ascii="宋体" w:hAnsi="宋体"/>
          <w:color w:val="auto"/>
          <w:kern w:val="2"/>
          <w:sz w:val="22"/>
          <w:szCs w:val="22"/>
          <w:highlight w:val="none"/>
          <w:u w:val="single"/>
        </w:rPr>
      </w:pPr>
      <w:r>
        <w:rPr>
          <w:rStyle w:val="8"/>
          <w:rFonts w:ascii="宋体" w:hAnsi="宋体"/>
          <w:color w:val="auto"/>
          <w:kern w:val="2"/>
          <w:sz w:val="22"/>
          <w:szCs w:val="22"/>
          <w:highlight w:val="none"/>
        </w:rPr>
        <w:t>允许分包的专业工程包括：</w:t>
      </w:r>
      <w:r>
        <w:rPr>
          <w:rStyle w:val="8"/>
          <w:rFonts w:ascii="宋体" w:hAnsi="宋体" w:cs="宋体"/>
          <w:color w:val="auto"/>
          <w:kern w:val="2"/>
          <w:sz w:val="22"/>
          <w:szCs w:val="22"/>
          <w:highlight w:val="none"/>
          <w:u w:val="single"/>
        </w:rPr>
        <w:t></w:t>
      </w:r>
      <w:r>
        <w:rPr>
          <w:rStyle w:val="8"/>
          <w:rFonts w:hint="eastAsia" w:ascii="宋体" w:hAnsi="宋体"/>
          <w:color w:val="auto"/>
          <w:sz w:val="22"/>
          <w:szCs w:val="22"/>
          <w:highlight w:val="none"/>
          <w:u w:val="single"/>
        </w:rPr>
        <w:t>/</w:t>
      </w:r>
      <w:r>
        <w:rPr>
          <w:rStyle w:val="8"/>
          <w:rFonts w:ascii="宋体" w:hAnsi="宋体"/>
          <w:color w:val="auto"/>
          <w:kern w:val="2"/>
          <w:sz w:val="22"/>
          <w:szCs w:val="22"/>
          <w:highlight w:val="none"/>
          <w:u w:val="single"/>
        </w:rPr>
        <w:t xml:space="preserve">                         </w:t>
      </w:r>
      <w:r>
        <w:rPr>
          <w:rStyle w:val="8"/>
          <w:rFonts w:ascii="宋体" w:hAnsi="宋体"/>
          <w:color w:val="auto"/>
          <w:kern w:val="2"/>
          <w:sz w:val="22"/>
          <w:szCs w:val="22"/>
          <w:highlight w:val="none"/>
        </w:rPr>
        <w:t>。</w:t>
      </w:r>
    </w:p>
    <w:p w14:paraId="162459FD">
      <w:pPr>
        <w:pStyle w:val="13"/>
        <w:spacing w:line="360" w:lineRule="auto"/>
        <w:ind w:firstLine="440" w:firstLineChars="200"/>
        <w:rPr>
          <w:rStyle w:val="8"/>
          <w:rFonts w:ascii="宋体" w:hAnsi="宋体"/>
          <w:color w:val="auto"/>
          <w:kern w:val="2"/>
          <w:sz w:val="22"/>
          <w:szCs w:val="22"/>
          <w:highlight w:val="none"/>
          <w:u w:val="single"/>
        </w:rPr>
      </w:pPr>
      <w:r>
        <w:rPr>
          <w:rStyle w:val="8"/>
          <w:rFonts w:ascii="宋体" w:hAnsi="宋体"/>
          <w:color w:val="auto"/>
          <w:kern w:val="2"/>
          <w:sz w:val="22"/>
          <w:szCs w:val="22"/>
          <w:highlight w:val="none"/>
        </w:rPr>
        <w:t>其他关于分包的约定：</w:t>
      </w:r>
      <w:r>
        <w:rPr>
          <w:rStyle w:val="8"/>
          <w:rFonts w:hint="eastAsia" w:ascii="宋体" w:hAnsi="宋体"/>
          <w:color w:val="auto"/>
          <w:kern w:val="2"/>
          <w:sz w:val="22"/>
          <w:szCs w:val="22"/>
          <w:highlight w:val="none"/>
          <w:u w:val="single"/>
        </w:rPr>
        <w:t xml:space="preserve"> 本工程不得转包、分包或挂靠</w:t>
      </w:r>
      <w:r>
        <w:rPr>
          <w:rStyle w:val="8"/>
          <w:rFonts w:ascii="宋体" w:hAnsi="宋体"/>
          <w:color w:val="auto"/>
          <w:kern w:val="2"/>
          <w:sz w:val="22"/>
          <w:szCs w:val="22"/>
          <w:highlight w:val="none"/>
          <w:u w:val="single"/>
        </w:rPr>
        <w:t>。</w:t>
      </w:r>
    </w:p>
    <w:p w14:paraId="732585C0">
      <w:pPr>
        <w:pStyle w:val="13"/>
        <w:spacing w:line="360" w:lineRule="auto"/>
        <w:ind w:firstLine="440" w:firstLineChars="200"/>
        <w:rPr>
          <w:rStyle w:val="8"/>
          <w:rFonts w:ascii="宋体" w:hAnsi="宋体"/>
          <w:color w:val="auto"/>
          <w:kern w:val="2"/>
          <w:sz w:val="22"/>
          <w:szCs w:val="22"/>
          <w:highlight w:val="none"/>
        </w:rPr>
      </w:pPr>
      <w:r>
        <w:rPr>
          <w:rStyle w:val="8"/>
          <w:rFonts w:ascii="宋体" w:hAnsi="宋体"/>
          <w:color w:val="auto"/>
          <w:kern w:val="2"/>
          <w:sz w:val="22"/>
          <w:szCs w:val="22"/>
          <w:highlight w:val="none"/>
        </w:rPr>
        <w:t>3.5.4 分包合同价款</w:t>
      </w:r>
    </w:p>
    <w:p w14:paraId="091EDD36">
      <w:pPr>
        <w:pStyle w:val="13"/>
        <w:spacing w:line="360" w:lineRule="auto"/>
        <w:ind w:firstLine="440" w:firstLineChars="200"/>
        <w:rPr>
          <w:rStyle w:val="8"/>
          <w:rFonts w:ascii="宋体" w:hAnsi="宋体"/>
          <w:color w:val="auto"/>
          <w:kern w:val="2"/>
          <w:sz w:val="22"/>
          <w:szCs w:val="22"/>
          <w:highlight w:val="none"/>
        </w:rPr>
      </w:pPr>
      <w:r>
        <w:rPr>
          <w:rStyle w:val="8"/>
          <w:rFonts w:ascii="宋体" w:hAnsi="宋体"/>
          <w:color w:val="auto"/>
          <w:kern w:val="2"/>
          <w:sz w:val="22"/>
          <w:szCs w:val="22"/>
          <w:highlight w:val="none"/>
        </w:rPr>
        <w:t>关于分包合同价款支付的约定：</w:t>
      </w:r>
      <w:r>
        <w:rPr>
          <w:rStyle w:val="8"/>
          <w:rFonts w:hint="eastAsia" w:ascii="宋体" w:hAnsi="宋体" w:cs="宋体"/>
          <w:color w:val="auto"/>
          <w:kern w:val="2"/>
          <w:sz w:val="22"/>
          <w:szCs w:val="22"/>
          <w:highlight w:val="none"/>
          <w:u w:val="single"/>
        </w:rPr>
        <w:t xml:space="preserve">     </w:t>
      </w:r>
      <w:r>
        <w:rPr>
          <w:rStyle w:val="8"/>
          <w:rFonts w:hint="eastAsia" w:ascii="宋体" w:hAnsi="宋体"/>
          <w:color w:val="auto"/>
          <w:sz w:val="22"/>
          <w:szCs w:val="22"/>
          <w:highlight w:val="none"/>
          <w:u w:val="single"/>
        </w:rPr>
        <w:t>/</w:t>
      </w:r>
      <w:r>
        <w:rPr>
          <w:rStyle w:val="8"/>
          <w:rFonts w:ascii="宋体" w:hAnsi="宋体"/>
          <w:color w:val="auto"/>
          <w:kern w:val="2"/>
          <w:sz w:val="22"/>
          <w:szCs w:val="22"/>
          <w:highlight w:val="none"/>
          <w:u w:val="single"/>
        </w:rPr>
        <w:t xml:space="preserve">   </w:t>
      </w:r>
      <w:r>
        <w:rPr>
          <w:rStyle w:val="8"/>
          <w:rFonts w:hint="eastAsia" w:ascii="宋体" w:hAnsi="宋体"/>
          <w:color w:val="auto"/>
          <w:kern w:val="2"/>
          <w:sz w:val="22"/>
          <w:szCs w:val="22"/>
          <w:highlight w:val="none"/>
          <w:u w:val="single"/>
        </w:rPr>
        <w:t xml:space="preserve">   </w:t>
      </w:r>
      <w:r>
        <w:rPr>
          <w:rStyle w:val="8"/>
          <w:rFonts w:ascii="宋体" w:hAnsi="宋体"/>
          <w:color w:val="auto"/>
          <w:kern w:val="2"/>
          <w:sz w:val="22"/>
          <w:szCs w:val="22"/>
          <w:highlight w:val="none"/>
          <w:u w:val="single"/>
        </w:rPr>
        <w:t xml:space="preserve">           </w:t>
      </w:r>
      <w:r>
        <w:rPr>
          <w:rStyle w:val="8"/>
          <w:rFonts w:ascii="宋体" w:hAnsi="宋体"/>
          <w:color w:val="auto"/>
          <w:kern w:val="2"/>
          <w:sz w:val="22"/>
          <w:szCs w:val="22"/>
          <w:highlight w:val="none"/>
        </w:rPr>
        <w:t>。</w:t>
      </w:r>
    </w:p>
    <w:bookmarkEnd w:id="429"/>
    <w:bookmarkEnd w:id="430"/>
    <w:p w14:paraId="44A139A4">
      <w:pPr>
        <w:pStyle w:val="13"/>
        <w:spacing w:after="120" w:line="360" w:lineRule="auto"/>
        <w:ind w:firstLine="440" w:firstLineChars="200"/>
        <w:rPr>
          <w:rStyle w:val="8"/>
          <w:rFonts w:ascii="宋体" w:hAnsi="宋体"/>
          <w:color w:val="auto"/>
          <w:kern w:val="2"/>
          <w:sz w:val="22"/>
          <w:szCs w:val="22"/>
          <w:highlight w:val="none"/>
        </w:rPr>
      </w:pPr>
      <w:r>
        <w:rPr>
          <w:rStyle w:val="8"/>
          <w:rFonts w:ascii="宋体" w:hAnsi="宋体"/>
          <w:color w:val="auto"/>
          <w:kern w:val="2"/>
          <w:sz w:val="22"/>
          <w:szCs w:val="22"/>
          <w:highlight w:val="none"/>
        </w:rPr>
        <w:t>3.6 工程照管与成品、半成品保护</w:t>
      </w:r>
    </w:p>
    <w:p w14:paraId="0BDC58A6">
      <w:pPr>
        <w:pStyle w:val="14"/>
        <w:spacing w:before="120" w:after="120" w:line="360" w:lineRule="auto"/>
        <w:ind w:firstLine="440" w:firstLineChars="200"/>
        <w:rPr>
          <w:rStyle w:val="8"/>
          <w:rFonts w:ascii="宋体" w:hAnsi="宋体"/>
          <w:color w:val="auto"/>
          <w:kern w:val="2"/>
          <w:sz w:val="22"/>
          <w:szCs w:val="22"/>
          <w:highlight w:val="none"/>
          <w:u w:val="single"/>
        </w:rPr>
      </w:pPr>
      <w:r>
        <w:rPr>
          <w:rStyle w:val="8"/>
          <w:rFonts w:ascii="宋体" w:hAnsi="宋体"/>
          <w:color w:val="auto"/>
          <w:sz w:val="22"/>
          <w:szCs w:val="22"/>
          <w:highlight w:val="none"/>
        </w:rPr>
        <w:t>承包人负责照管工程及工程相关的材料、工程设备的起始时间：</w:t>
      </w:r>
      <w:r>
        <w:rPr>
          <w:rStyle w:val="8"/>
          <w:rFonts w:hint="eastAsia" w:ascii="宋体" w:hAnsi="宋体"/>
          <w:color w:val="auto"/>
          <w:kern w:val="2"/>
          <w:sz w:val="22"/>
          <w:szCs w:val="22"/>
          <w:highlight w:val="none"/>
          <w:u w:val="single"/>
        </w:rPr>
        <w:t>设备、人员进场至验收合格并交付使用之前，均由承包人负责照管、保修，所产生的费用由承包人承担  。</w:t>
      </w:r>
    </w:p>
    <w:p w14:paraId="3E6357CC">
      <w:pPr>
        <w:pStyle w:val="13"/>
        <w:spacing w:after="120" w:line="360" w:lineRule="auto"/>
        <w:ind w:firstLine="440" w:firstLineChars="200"/>
        <w:rPr>
          <w:rStyle w:val="8"/>
          <w:rFonts w:ascii="宋体" w:hAnsi="宋体"/>
          <w:color w:val="auto"/>
          <w:kern w:val="2"/>
          <w:sz w:val="22"/>
          <w:szCs w:val="22"/>
          <w:highlight w:val="none"/>
        </w:rPr>
      </w:pPr>
      <w:r>
        <w:rPr>
          <w:rStyle w:val="8"/>
          <w:rFonts w:ascii="宋体" w:hAnsi="宋体"/>
          <w:color w:val="auto"/>
          <w:kern w:val="2"/>
          <w:sz w:val="22"/>
          <w:szCs w:val="22"/>
          <w:highlight w:val="none"/>
        </w:rPr>
        <w:t>3.7 履约担保</w:t>
      </w:r>
    </w:p>
    <w:p w14:paraId="5ED62211">
      <w:pPr>
        <w:pStyle w:val="13"/>
        <w:spacing w:line="360" w:lineRule="auto"/>
        <w:ind w:firstLine="440" w:firstLineChars="200"/>
        <w:jc w:val="left"/>
        <w:rPr>
          <w:rStyle w:val="8"/>
          <w:rFonts w:ascii="宋体" w:hAnsi="宋体"/>
          <w:color w:val="auto"/>
          <w:kern w:val="2"/>
          <w:sz w:val="22"/>
          <w:szCs w:val="22"/>
          <w:highlight w:val="none"/>
        </w:rPr>
      </w:pPr>
      <w:r>
        <w:rPr>
          <w:rStyle w:val="8"/>
          <w:rFonts w:hint="eastAsia" w:ascii="宋体" w:hAnsi="宋体"/>
          <w:color w:val="auto"/>
          <w:kern w:val="2"/>
          <w:sz w:val="22"/>
          <w:szCs w:val="22"/>
          <w:highlight w:val="none"/>
        </w:rPr>
        <w:t>承包人是否提供履约担保：</w:t>
      </w:r>
      <w:r>
        <w:rPr>
          <w:rStyle w:val="8"/>
          <w:rFonts w:ascii="宋体" w:hAnsi="宋体"/>
          <w:color w:val="auto"/>
          <w:kern w:val="2"/>
          <w:sz w:val="22"/>
          <w:szCs w:val="22"/>
          <w:highlight w:val="none"/>
          <w:u w:val="single"/>
        </w:rPr>
        <w:t xml:space="preserve">       </w:t>
      </w:r>
      <w:r>
        <w:rPr>
          <w:rStyle w:val="8"/>
          <w:rFonts w:hint="eastAsia" w:ascii="宋体" w:hAnsi="宋体"/>
          <w:color w:val="auto"/>
          <w:kern w:val="2"/>
          <w:sz w:val="22"/>
          <w:szCs w:val="22"/>
          <w:highlight w:val="yellow"/>
          <w:u w:val="single"/>
          <w:lang w:val="en-US" w:eastAsia="zh-CN"/>
        </w:rPr>
        <w:t>不</w:t>
      </w:r>
      <w:r>
        <w:rPr>
          <w:rStyle w:val="8"/>
          <w:rFonts w:hint="eastAsia" w:ascii="宋体" w:hAnsi="宋体"/>
          <w:color w:val="auto"/>
          <w:kern w:val="2"/>
          <w:sz w:val="22"/>
          <w:szCs w:val="22"/>
          <w:highlight w:val="yellow"/>
          <w:u w:val="single"/>
        </w:rPr>
        <w:t>提供</w:t>
      </w:r>
      <w:r>
        <w:rPr>
          <w:rStyle w:val="8"/>
          <w:rFonts w:ascii="宋体" w:hAnsi="宋体"/>
          <w:color w:val="auto"/>
          <w:kern w:val="2"/>
          <w:sz w:val="22"/>
          <w:szCs w:val="22"/>
          <w:highlight w:val="none"/>
          <w:u w:val="single"/>
        </w:rPr>
        <w:t xml:space="preserve">     </w:t>
      </w:r>
      <w:r>
        <w:rPr>
          <w:rStyle w:val="8"/>
          <w:rFonts w:hint="eastAsia" w:ascii="宋体" w:hAnsi="宋体"/>
          <w:color w:val="auto"/>
          <w:kern w:val="2"/>
          <w:sz w:val="22"/>
          <w:szCs w:val="22"/>
          <w:highlight w:val="none"/>
          <w:u w:val="single"/>
        </w:rPr>
        <w:t xml:space="preserve">   </w:t>
      </w:r>
      <w:r>
        <w:rPr>
          <w:rStyle w:val="8"/>
          <w:rFonts w:ascii="宋体" w:hAnsi="宋体"/>
          <w:color w:val="auto"/>
          <w:kern w:val="2"/>
          <w:sz w:val="22"/>
          <w:szCs w:val="22"/>
          <w:highlight w:val="none"/>
          <w:u w:val="single"/>
        </w:rPr>
        <w:t xml:space="preserve"> </w:t>
      </w:r>
      <w:r>
        <w:rPr>
          <w:rStyle w:val="8"/>
          <w:rFonts w:hint="eastAsia" w:ascii="宋体" w:hAnsi="宋体"/>
          <w:color w:val="auto"/>
          <w:kern w:val="2"/>
          <w:sz w:val="22"/>
          <w:szCs w:val="22"/>
          <w:highlight w:val="none"/>
          <w:u w:val="single"/>
        </w:rPr>
        <w:t xml:space="preserve"> </w:t>
      </w:r>
      <w:r>
        <w:rPr>
          <w:rStyle w:val="8"/>
          <w:rFonts w:ascii="宋体" w:hAnsi="宋体"/>
          <w:color w:val="auto"/>
          <w:kern w:val="2"/>
          <w:sz w:val="22"/>
          <w:szCs w:val="22"/>
          <w:highlight w:val="none"/>
          <w:u w:val="single"/>
        </w:rPr>
        <w:t xml:space="preserve"> </w:t>
      </w:r>
      <w:r>
        <w:rPr>
          <w:rStyle w:val="8"/>
          <w:rFonts w:hint="eastAsia" w:ascii="宋体" w:hAnsi="宋体"/>
          <w:color w:val="auto"/>
          <w:kern w:val="2"/>
          <w:sz w:val="22"/>
          <w:szCs w:val="22"/>
          <w:highlight w:val="none"/>
          <w:u w:val="single"/>
        </w:rPr>
        <w:t xml:space="preserve"> </w:t>
      </w:r>
      <w:r>
        <w:rPr>
          <w:rStyle w:val="8"/>
          <w:rFonts w:ascii="宋体" w:hAnsi="宋体"/>
          <w:color w:val="auto"/>
          <w:kern w:val="2"/>
          <w:sz w:val="22"/>
          <w:szCs w:val="22"/>
          <w:highlight w:val="none"/>
          <w:u w:val="single"/>
        </w:rPr>
        <w:t xml:space="preserve">      </w:t>
      </w:r>
      <w:r>
        <w:rPr>
          <w:rStyle w:val="8"/>
          <w:rFonts w:ascii="宋体" w:hAnsi="宋体"/>
          <w:color w:val="auto"/>
          <w:kern w:val="2"/>
          <w:sz w:val="22"/>
          <w:szCs w:val="22"/>
          <w:highlight w:val="none"/>
        </w:rPr>
        <w:t>。</w:t>
      </w:r>
    </w:p>
    <w:p w14:paraId="7AA4B5CF">
      <w:pPr>
        <w:pStyle w:val="14"/>
        <w:spacing w:line="360" w:lineRule="auto"/>
        <w:ind w:firstLine="440" w:firstLineChars="200"/>
        <w:jc w:val="left"/>
        <w:rPr>
          <w:rStyle w:val="8"/>
          <w:rFonts w:ascii="宋体" w:hAnsi="宋体"/>
          <w:color w:val="auto"/>
          <w:kern w:val="2"/>
          <w:sz w:val="22"/>
          <w:szCs w:val="22"/>
          <w:highlight w:val="none"/>
          <w:u w:val="single"/>
        </w:rPr>
      </w:pPr>
      <w:r>
        <w:rPr>
          <w:rStyle w:val="8"/>
          <w:rFonts w:ascii="宋体" w:hAnsi="宋体"/>
          <w:color w:val="auto"/>
          <w:kern w:val="2"/>
          <w:sz w:val="22"/>
          <w:szCs w:val="22"/>
          <w:highlight w:val="none"/>
        </w:rPr>
        <w:t>承包人提供履约担保的形式</w:t>
      </w:r>
      <w:r>
        <w:rPr>
          <w:rStyle w:val="8"/>
          <w:rFonts w:hint="eastAsia" w:ascii="宋体" w:hAnsi="宋体"/>
          <w:color w:val="auto"/>
          <w:kern w:val="2"/>
          <w:sz w:val="22"/>
          <w:szCs w:val="22"/>
          <w:highlight w:val="none"/>
        </w:rPr>
        <w:t>、金额及期限的</w:t>
      </w:r>
      <w:r>
        <w:rPr>
          <w:rStyle w:val="8"/>
          <w:rFonts w:ascii="宋体" w:hAnsi="宋体"/>
          <w:color w:val="auto"/>
          <w:kern w:val="2"/>
          <w:sz w:val="22"/>
          <w:szCs w:val="22"/>
          <w:highlight w:val="none"/>
        </w:rPr>
        <w:t>：</w:t>
      </w:r>
      <w:r>
        <w:rPr>
          <w:rStyle w:val="8"/>
          <w:rFonts w:ascii="宋体" w:hAnsi="宋体"/>
          <w:color w:val="auto"/>
          <w:kern w:val="2"/>
          <w:sz w:val="22"/>
          <w:szCs w:val="22"/>
          <w:highlight w:val="none"/>
          <w:u w:val="single"/>
        </w:rPr>
        <w:t xml:space="preserve"> </w:t>
      </w:r>
      <w:r>
        <w:rPr>
          <w:rStyle w:val="8"/>
          <w:rFonts w:hint="eastAsia" w:ascii="宋体" w:hAnsi="宋体"/>
          <w:color w:val="auto"/>
          <w:kern w:val="2"/>
          <w:sz w:val="22"/>
          <w:szCs w:val="22"/>
          <w:highlight w:val="none"/>
          <w:u w:val="single"/>
          <w:lang w:val="en-US" w:eastAsia="zh-CN"/>
        </w:rPr>
        <w:t>/</w:t>
      </w:r>
      <w:r>
        <w:rPr>
          <w:rStyle w:val="8"/>
          <w:rFonts w:ascii="宋体" w:hAnsi="宋体"/>
          <w:color w:val="auto"/>
          <w:kern w:val="2"/>
          <w:sz w:val="22"/>
          <w:szCs w:val="22"/>
          <w:highlight w:val="none"/>
          <w:u w:val="single"/>
        </w:rPr>
        <w:t xml:space="preserve"> </w:t>
      </w:r>
    </w:p>
    <w:p w14:paraId="169F1B4B">
      <w:pPr>
        <w:pStyle w:val="15"/>
        <w:spacing w:before="120" w:after="120" w:line="360" w:lineRule="auto"/>
        <w:rPr>
          <w:rStyle w:val="8"/>
          <w:rFonts w:ascii="宋体" w:hAnsi="宋体" w:eastAsia="宋体"/>
          <w:b w:val="0"/>
          <w:color w:val="auto"/>
          <w:sz w:val="22"/>
          <w:szCs w:val="22"/>
          <w:highlight w:val="none"/>
        </w:rPr>
      </w:pPr>
      <w:bookmarkStart w:id="431" w:name="_Toc256000831"/>
      <w:bookmarkStart w:id="432" w:name="_Toc69461155"/>
      <w:bookmarkStart w:id="433" w:name="_Toc69461810"/>
      <w:bookmarkStart w:id="434" w:name="_Toc256001068"/>
      <w:bookmarkStart w:id="435" w:name="_Toc26892"/>
      <w:bookmarkStart w:id="436" w:name="_Toc4268"/>
      <w:bookmarkStart w:id="437" w:name="_Toc351203636"/>
      <w:bookmarkStart w:id="438" w:name="_Toc256000564"/>
      <w:bookmarkStart w:id="439" w:name="_Toc256000335"/>
      <w:bookmarkStart w:id="440" w:name="_Toc256001298"/>
      <w:r>
        <w:rPr>
          <w:rStyle w:val="8"/>
          <w:rFonts w:ascii="宋体" w:hAnsi="宋体" w:eastAsia="宋体"/>
          <w:b w:val="0"/>
          <w:color w:val="auto"/>
          <w:sz w:val="22"/>
          <w:szCs w:val="22"/>
          <w:highlight w:val="none"/>
        </w:rPr>
        <w:t>4</w:t>
      </w:r>
      <w:bookmarkStart w:id="441" w:name="_Toc296944501"/>
      <w:bookmarkStart w:id="442" w:name="_Toc296346663"/>
      <w:bookmarkStart w:id="443" w:name="_Toc296891202"/>
      <w:bookmarkStart w:id="444" w:name="_Toc292559366"/>
      <w:bookmarkStart w:id="445" w:name="_Toc267251413"/>
      <w:bookmarkStart w:id="446" w:name="_Toc296503162"/>
      <w:bookmarkStart w:id="447" w:name="_Toc297120462"/>
      <w:bookmarkStart w:id="448" w:name="_Toc292559871"/>
      <w:bookmarkStart w:id="449" w:name="_Toc296347161"/>
      <w:bookmarkStart w:id="450" w:name="_Toc296890990"/>
      <w:bookmarkStart w:id="451" w:name="_Toc297048348"/>
      <w:r>
        <w:rPr>
          <w:rStyle w:val="8"/>
          <w:rFonts w:ascii="宋体" w:hAnsi="宋体" w:eastAsia="宋体"/>
          <w:b w:val="0"/>
          <w:color w:val="auto"/>
          <w:sz w:val="22"/>
          <w:szCs w:val="22"/>
          <w:highlight w:val="none"/>
        </w:rPr>
        <w:t>. 监</w:t>
      </w:r>
      <w:bookmarkEnd w:id="441"/>
      <w:bookmarkEnd w:id="442"/>
      <w:bookmarkEnd w:id="443"/>
      <w:bookmarkEnd w:id="444"/>
      <w:bookmarkEnd w:id="445"/>
      <w:bookmarkEnd w:id="446"/>
      <w:bookmarkEnd w:id="447"/>
      <w:bookmarkEnd w:id="448"/>
      <w:bookmarkEnd w:id="449"/>
      <w:bookmarkEnd w:id="450"/>
      <w:bookmarkEnd w:id="451"/>
      <w:r>
        <w:rPr>
          <w:rStyle w:val="8"/>
          <w:rFonts w:ascii="宋体" w:hAnsi="宋体" w:eastAsia="宋体"/>
          <w:b w:val="0"/>
          <w:color w:val="auto"/>
          <w:sz w:val="22"/>
          <w:szCs w:val="22"/>
          <w:highlight w:val="none"/>
        </w:rPr>
        <w:t>理人</w:t>
      </w:r>
      <w:bookmarkEnd w:id="431"/>
      <w:bookmarkEnd w:id="432"/>
      <w:bookmarkEnd w:id="433"/>
      <w:bookmarkEnd w:id="434"/>
      <w:bookmarkEnd w:id="435"/>
      <w:bookmarkEnd w:id="436"/>
      <w:bookmarkEnd w:id="437"/>
      <w:bookmarkEnd w:id="438"/>
      <w:bookmarkEnd w:id="439"/>
      <w:bookmarkEnd w:id="440"/>
    </w:p>
    <w:p w14:paraId="598145A5">
      <w:pPr>
        <w:pStyle w:val="13"/>
        <w:spacing w:after="120" w:line="360" w:lineRule="auto"/>
        <w:ind w:firstLine="440" w:firstLineChars="200"/>
        <w:rPr>
          <w:rStyle w:val="8"/>
          <w:rFonts w:ascii="宋体" w:hAnsi="宋体"/>
          <w:color w:val="auto"/>
          <w:kern w:val="2"/>
          <w:sz w:val="22"/>
          <w:szCs w:val="22"/>
          <w:highlight w:val="none"/>
        </w:rPr>
      </w:pPr>
      <w:r>
        <w:rPr>
          <w:rStyle w:val="8"/>
          <w:rFonts w:ascii="宋体" w:hAnsi="宋体"/>
          <w:color w:val="auto"/>
          <w:kern w:val="2"/>
          <w:sz w:val="22"/>
          <w:szCs w:val="22"/>
          <w:highlight w:val="none"/>
        </w:rPr>
        <w:t>4.1监理人的一般规定</w:t>
      </w:r>
    </w:p>
    <w:p w14:paraId="677FB2AC">
      <w:pPr>
        <w:pStyle w:val="13"/>
        <w:spacing w:line="360" w:lineRule="auto"/>
        <w:ind w:firstLine="440" w:firstLineChars="200"/>
        <w:jc w:val="left"/>
        <w:rPr>
          <w:rStyle w:val="8"/>
          <w:rFonts w:ascii="宋体" w:hAnsi="宋体"/>
          <w:color w:val="auto"/>
          <w:kern w:val="2"/>
          <w:sz w:val="22"/>
          <w:szCs w:val="22"/>
          <w:highlight w:val="none"/>
        </w:rPr>
      </w:pPr>
      <w:r>
        <w:rPr>
          <w:rStyle w:val="8"/>
          <w:rFonts w:ascii="宋体" w:hAnsi="宋体"/>
          <w:color w:val="auto"/>
          <w:kern w:val="2"/>
          <w:sz w:val="22"/>
          <w:szCs w:val="22"/>
          <w:highlight w:val="none"/>
        </w:rPr>
        <w:t>关于监理人的监理内容：</w:t>
      </w:r>
      <w:r>
        <w:rPr>
          <w:rStyle w:val="8"/>
          <w:rFonts w:ascii="宋体" w:hAnsi="宋体"/>
          <w:color w:val="auto"/>
          <w:kern w:val="2"/>
          <w:sz w:val="22"/>
          <w:szCs w:val="22"/>
          <w:highlight w:val="none"/>
          <w:u w:val="single"/>
        </w:rPr>
        <w:t xml:space="preserve">                   </w:t>
      </w:r>
      <w:r>
        <w:rPr>
          <w:rStyle w:val="8"/>
          <w:rFonts w:hint="eastAsia" w:ascii="宋体" w:hAnsi="宋体"/>
          <w:color w:val="auto"/>
          <w:kern w:val="2"/>
          <w:sz w:val="22"/>
          <w:szCs w:val="22"/>
          <w:highlight w:val="none"/>
          <w:u w:val="single"/>
        </w:rPr>
        <w:t xml:space="preserve"> </w:t>
      </w:r>
      <w:r>
        <w:rPr>
          <w:rStyle w:val="8"/>
          <w:rFonts w:ascii="宋体" w:hAnsi="宋体"/>
          <w:color w:val="auto"/>
          <w:kern w:val="2"/>
          <w:sz w:val="22"/>
          <w:szCs w:val="22"/>
          <w:highlight w:val="none"/>
          <w:u w:val="single"/>
        </w:rPr>
        <w:t xml:space="preserve">  </w:t>
      </w:r>
      <w:r>
        <w:rPr>
          <w:rStyle w:val="8"/>
          <w:rFonts w:hint="eastAsia" w:ascii="宋体" w:hAnsi="宋体"/>
          <w:color w:val="auto"/>
          <w:kern w:val="2"/>
          <w:sz w:val="22"/>
          <w:szCs w:val="22"/>
          <w:highlight w:val="none"/>
          <w:u w:val="single"/>
        </w:rPr>
        <w:t xml:space="preserve"> </w:t>
      </w:r>
      <w:r>
        <w:rPr>
          <w:rStyle w:val="8"/>
          <w:rFonts w:ascii="宋体" w:hAnsi="宋体"/>
          <w:color w:val="auto"/>
          <w:kern w:val="2"/>
          <w:sz w:val="22"/>
          <w:szCs w:val="22"/>
          <w:highlight w:val="none"/>
          <w:u w:val="single"/>
        </w:rPr>
        <w:t xml:space="preserve">      </w:t>
      </w:r>
      <w:r>
        <w:rPr>
          <w:rStyle w:val="8"/>
          <w:rFonts w:ascii="宋体" w:hAnsi="宋体"/>
          <w:color w:val="auto"/>
          <w:kern w:val="2"/>
          <w:sz w:val="22"/>
          <w:szCs w:val="22"/>
          <w:highlight w:val="none"/>
        </w:rPr>
        <w:t>。</w:t>
      </w:r>
    </w:p>
    <w:p w14:paraId="1B98F7D8">
      <w:pPr>
        <w:pStyle w:val="13"/>
        <w:spacing w:line="360" w:lineRule="auto"/>
        <w:ind w:firstLine="440" w:firstLineChars="200"/>
        <w:jc w:val="left"/>
        <w:rPr>
          <w:rStyle w:val="8"/>
          <w:rFonts w:ascii="宋体" w:hAnsi="宋体"/>
          <w:color w:val="auto"/>
          <w:kern w:val="2"/>
          <w:sz w:val="22"/>
          <w:szCs w:val="22"/>
          <w:highlight w:val="none"/>
        </w:rPr>
      </w:pPr>
      <w:r>
        <w:rPr>
          <w:rStyle w:val="8"/>
          <w:rFonts w:ascii="宋体" w:hAnsi="宋体"/>
          <w:color w:val="auto"/>
          <w:kern w:val="2"/>
          <w:sz w:val="22"/>
          <w:szCs w:val="22"/>
          <w:highlight w:val="none"/>
        </w:rPr>
        <w:t>关于监理人的监理权限：</w:t>
      </w:r>
      <w:r>
        <w:rPr>
          <w:rStyle w:val="8"/>
          <w:rFonts w:ascii="宋体" w:hAnsi="宋体"/>
          <w:color w:val="auto"/>
          <w:kern w:val="2"/>
          <w:sz w:val="22"/>
          <w:szCs w:val="22"/>
          <w:highlight w:val="none"/>
          <w:u w:val="single"/>
        </w:rPr>
        <w:t xml:space="preserve">                   </w:t>
      </w:r>
      <w:r>
        <w:rPr>
          <w:rStyle w:val="8"/>
          <w:rFonts w:hint="eastAsia" w:ascii="宋体" w:hAnsi="宋体"/>
          <w:color w:val="auto"/>
          <w:kern w:val="2"/>
          <w:sz w:val="22"/>
          <w:szCs w:val="22"/>
          <w:highlight w:val="none"/>
          <w:u w:val="single"/>
        </w:rPr>
        <w:t xml:space="preserve"> </w:t>
      </w:r>
      <w:r>
        <w:rPr>
          <w:rStyle w:val="8"/>
          <w:rFonts w:ascii="宋体" w:hAnsi="宋体"/>
          <w:color w:val="auto"/>
          <w:kern w:val="2"/>
          <w:sz w:val="22"/>
          <w:szCs w:val="22"/>
          <w:highlight w:val="none"/>
          <w:u w:val="single"/>
        </w:rPr>
        <w:t xml:space="preserve"> </w:t>
      </w:r>
      <w:r>
        <w:rPr>
          <w:rStyle w:val="8"/>
          <w:rFonts w:hint="eastAsia" w:ascii="宋体" w:hAnsi="宋体"/>
          <w:color w:val="auto"/>
          <w:kern w:val="2"/>
          <w:sz w:val="22"/>
          <w:szCs w:val="22"/>
          <w:highlight w:val="none"/>
          <w:u w:val="single"/>
        </w:rPr>
        <w:t xml:space="preserve"> </w:t>
      </w:r>
      <w:r>
        <w:rPr>
          <w:rStyle w:val="8"/>
          <w:rFonts w:ascii="宋体" w:hAnsi="宋体"/>
          <w:color w:val="auto"/>
          <w:kern w:val="2"/>
          <w:sz w:val="22"/>
          <w:szCs w:val="22"/>
          <w:highlight w:val="none"/>
          <w:u w:val="single"/>
        </w:rPr>
        <w:t xml:space="preserve">         </w:t>
      </w:r>
      <w:r>
        <w:rPr>
          <w:rStyle w:val="8"/>
          <w:rFonts w:ascii="宋体" w:hAnsi="宋体"/>
          <w:color w:val="auto"/>
          <w:kern w:val="2"/>
          <w:sz w:val="22"/>
          <w:szCs w:val="22"/>
          <w:highlight w:val="none"/>
        </w:rPr>
        <w:t xml:space="preserve">。 </w:t>
      </w:r>
    </w:p>
    <w:p w14:paraId="42A0205B">
      <w:pPr>
        <w:pStyle w:val="13"/>
        <w:spacing w:line="360" w:lineRule="auto"/>
        <w:ind w:firstLine="440" w:firstLineChars="200"/>
        <w:rPr>
          <w:rStyle w:val="8"/>
          <w:rFonts w:ascii="宋体" w:hAnsi="宋体"/>
          <w:color w:val="auto"/>
          <w:kern w:val="2"/>
          <w:sz w:val="22"/>
          <w:szCs w:val="22"/>
          <w:highlight w:val="none"/>
          <w:u w:val="single"/>
        </w:rPr>
      </w:pPr>
      <w:r>
        <w:rPr>
          <w:rStyle w:val="8"/>
          <w:rFonts w:ascii="宋体" w:hAnsi="宋体"/>
          <w:color w:val="auto"/>
          <w:kern w:val="2"/>
          <w:sz w:val="22"/>
          <w:szCs w:val="22"/>
          <w:highlight w:val="none"/>
        </w:rPr>
        <w:t>关于监理人在施工现场的办公场所、生活场所的提供和费用承担的约定：</w:t>
      </w:r>
      <w:r>
        <w:rPr>
          <w:rStyle w:val="8"/>
          <w:rFonts w:ascii="宋体" w:hAnsi="宋体"/>
          <w:color w:val="auto"/>
          <w:kern w:val="2"/>
          <w:sz w:val="22"/>
          <w:szCs w:val="22"/>
          <w:highlight w:val="none"/>
          <w:u w:val="single"/>
        </w:rPr>
        <w:t xml:space="preserve">                        </w:t>
      </w:r>
      <w:r>
        <w:rPr>
          <w:rStyle w:val="8"/>
          <w:rFonts w:hint="eastAsia" w:ascii="宋体" w:hAnsi="宋体"/>
          <w:color w:val="auto"/>
          <w:kern w:val="2"/>
          <w:sz w:val="22"/>
          <w:szCs w:val="22"/>
          <w:highlight w:val="none"/>
          <w:u w:val="single"/>
        </w:rPr>
        <w:t xml:space="preserve">                </w:t>
      </w:r>
      <w:r>
        <w:rPr>
          <w:rStyle w:val="8"/>
          <w:rFonts w:ascii="宋体" w:hAnsi="宋体"/>
          <w:color w:val="auto"/>
          <w:kern w:val="2"/>
          <w:sz w:val="22"/>
          <w:szCs w:val="22"/>
          <w:highlight w:val="none"/>
          <w:u w:val="single"/>
        </w:rPr>
        <w:t xml:space="preserve">   </w:t>
      </w:r>
      <w:r>
        <w:rPr>
          <w:rStyle w:val="8"/>
          <w:rFonts w:hint="eastAsia" w:ascii="宋体" w:hAnsi="宋体"/>
          <w:color w:val="auto"/>
          <w:kern w:val="2"/>
          <w:sz w:val="22"/>
          <w:szCs w:val="22"/>
          <w:highlight w:val="none"/>
          <w:u w:val="single"/>
        </w:rPr>
        <w:t xml:space="preserve">     </w:t>
      </w:r>
    </w:p>
    <w:p w14:paraId="5605864B">
      <w:pPr>
        <w:pStyle w:val="13"/>
        <w:spacing w:line="360" w:lineRule="auto"/>
        <w:rPr>
          <w:rStyle w:val="8"/>
          <w:rFonts w:ascii="宋体" w:hAnsi="宋体"/>
          <w:color w:val="auto"/>
          <w:kern w:val="2"/>
          <w:sz w:val="22"/>
          <w:szCs w:val="22"/>
          <w:highlight w:val="none"/>
        </w:rPr>
      </w:pPr>
      <w:r>
        <w:rPr>
          <w:rStyle w:val="8"/>
          <w:rFonts w:ascii="宋体" w:hAnsi="宋体"/>
          <w:color w:val="auto"/>
          <w:kern w:val="2"/>
          <w:sz w:val="22"/>
          <w:szCs w:val="22"/>
          <w:highlight w:val="none"/>
          <w:u w:val="single"/>
        </w:rPr>
        <w:t xml:space="preserve">  </w:t>
      </w:r>
      <w:r>
        <w:rPr>
          <w:rStyle w:val="8"/>
          <w:rFonts w:hint="eastAsia" w:ascii="宋体" w:hAnsi="宋体"/>
          <w:color w:val="auto"/>
          <w:kern w:val="2"/>
          <w:sz w:val="22"/>
          <w:szCs w:val="22"/>
          <w:highlight w:val="none"/>
          <w:u w:val="single"/>
        </w:rPr>
        <w:t xml:space="preserve">                       </w:t>
      </w:r>
      <w:r>
        <w:rPr>
          <w:rStyle w:val="8"/>
          <w:rFonts w:ascii="宋体" w:hAnsi="宋体"/>
          <w:color w:val="auto"/>
          <w:kern w:val="2"/>
          <w:sz w:val="22"/>
          <w:szCs w:val="22"/>
          <w:highlight w:val="none"/>
          <w:u w:val="single"/>
        </w:rPr>
        <w:t xml:space="preserve">         </w:t>
      </w:r>
      <w:r>
        <w:rPr>
          <w:rStyle w:val="8"/>
          <w:rFonts w:hint="eastAsia" w:ascii="宋体" w:hAnsi="宋体"/>
          <w:color w:val="auto"/>
          <w:kern w:val="2"/>
          <w:sz w:val="22"/>
          <w:szCs w:val="22"/>
          <w:highlight w:val="none"/>
          <w:u w:val="single"/>
        </w:rPr>
        <w:t xml:space="preserve">                  </w:t>
      </w:r>
      <w:r>
        <w:rPr>
          <w:rStyle w:val="8"/>
          <w:rFonts w:ascii="宋体" w:hAnsi="宋体"/>
          <w:color w:val="auto"/>
          <w:kern w:val="2"/>
          <w:sz w:val="22"/>
          <w:szCs w:val="22"/>
          <w:highlight w:val="none"/>
          <w:u w:val="single"/>
        </w:rPr>
        <w:t xml:space="preserve">     </w:t>
      </w:r>
      <w:r>
        <w:rPr>
          <w:rStyle w:val="8"/>
          <w:rFonts w:ascii="宋体" w:hAnsi="宋体"/>
          <w:color w:val="auto"/>
          <w:kern w:val="2"/>
          <w:sz w:val="22"/>
          <w:szCs w:val="22"/>
          <w:highlight w:val="none"/>
        </w:rPr>
        <w:t>。</w:t>
      </w:r>
    </w:p>
    <w:p w14:paraId="7A7A61F2">
      <w:pPr>
        <w:pStyle w:val="13"/>
        <w:spacing w:after="120" w:line="360" w:lineRule="auto"/>
        <w:ind w:firstLine="440" w:firstLineChars="200"/>
        <w:rPr>
          <w:rStyle w:val="8"/>
          <w:rFonts w:ascii="宋体" w:hAnsi="宋体"/>
          <w:color w:val="auto"/>
          <w:kern w:val="2"/>
          <w:sz w:val="22"/>
          <w:szCs w:val="22"/>
          <w:highlight w:val="none"/>
        </w:rPr>
      </w:pPr>
      <w:r>
        <w:rPr>
          <w:rStyle w:val="8"/>
          <w:rFonts w:ascii="宋体" w:hAnsi="宋体"/>
          <w:color w:val="auto"/>
          <w:kern w:val="2"/>
          <w:sz w:val="22"/>
          <w:szCs w:val="22"/>
          <w:highlight w:val="none"/>
        </w:rPr>
        <w:t>4.2 监理人员</w:t>
      </w:r>
    </w:p>
    <w:p w14:paraId="3C4756AE">
      <w:pPr>
        <w:pStyle w:val="13"/>
        <w:spacing w:line="360" w:lineRule="auto"/>
        <w:ind w:firstLine="440" w:firstLineChars="200"/>
        <w:rPr>
          <w:rStyle w:val="8"/>
          <w:rFonts w:ascii="宋体" w:hAnsi="宋体"/>
          <w:color w:val="auto"/>
          <w:kern w:val="2"/>
          <w:sz w:val="22"/>
          <w:szCs w:val="22"/>
          <w:highlight w:val="none"/>
        </w:rPr>
      </w:pPr>
      <w:r>
        <w:rPr>
          <w:rStyle w:val="8"/>
          <w:rFonts w:ascii="宋体" w:hAnsi="宋体"/>
          <w:color w:val="auto"/>
          <w:kern w:val="2"/>
          <w:sz w:val="22"/>
          <w:szCs w:val="22"/>
          <w:highlight w:val="none"/>
        </w:rPr>
        <w:t>总监理工程师：</w:t>
      </w:r>
    </w:p>
    <w:p w14:paraId="6DB8E2EA">
      <w:pPr>
        <w:pStyle w:val="13"/>
        <w:spacing w:line="360" w:lineRule="auto"/>
        <w:ind w:firstLine="440" w:firstLineChars="200"/>
        <w:rPr>
          <w:rStyle w:val="8"/>
          <w:rFonts w:ascii="宋体" w:hAnsi="宋体"/>
          <w:color w:val="auto"/>
          <w:kern w:val="2"/>
          <w:sz w:val="22"/>
          <w:szCs w:val="22"/>
          <w:highlight w:val="none"/>
        </w:rPr>
      </w:pPr>
      <w:r>
        <w:rPr>
          <w:rStyle w:val="8"/>
          <w:rFonts w:ascii="宋体" w:hAnsi="宋体"/>
          <w:color w:val="auto"/>
          <w:kern w:val="2"/>
          <w:sz w:val="22"/>
          <w:szCs w:val="22"/>
          <w:highlight w:val="none"/>
        </w:rPr>
        <w:t>姓    名：</w:t>
      </w:r>
      <w:r>
        <w:rPr>
          <w:rStyle w:val="8"/>
          <w:rFonts w:hint="eastAsia" w:ascii="宋体" w:hAnsi="宋体" w:cs="宋体"/>
          <w:color w:val="auto"/>
          <w:kern w:val="2"/>
          <w:sz w:val="22"/>
          <w:szCs w:val="22"/>
          <w:highlight w:val="none"/>
          <w:u w:val="single"/>
        </w:rPr>
        <w:t>   </w:t>
      </w:r>
      <w:r>
        <w:rPr>
          <w:rStyle w:val="8"/>
          <w:rFonts w:ascii="宋体" w:hAnsi="宋体"/>
          <w:color w:val="auto"/>
          <w:kern w:val="2"/>
          <w:sz w:val="22"/>
          <w:szCs w:val="22"/>
          <w:highlight w:val="none"/>
        </w:rPr>
        <w:t>；</w:t>
      </w:r>
    </w:p>
    <w:p w14:paraId="533102F0">
      <w:pPr>
        <w:pStyle w:val="13"/>
        <w:spacing w:line="360" w:lineRule="auto"/>
        <w:ind w:firstLine="440" w:firstLineChars="200"/>
        <w:rPr>
          <w:rStyle w:val="8"/>
          <w:rFonts w:ascii="宋体" w:hAnsi="宋体"/>
          <w:color w:val="auto"/>
          <w:kern w:val="2"/>
          <w:sz w:val="22"/>
          <w:szCs w:val="22"/>
          <w:highlight w:val="none"/>
        </w:rPr>
      </w:pPr>
      <w:r>
        <w:rPr>
          <w:rStyle w:val="8"/>
          <w:rFonts w:ascii="宋体" w:hAnsi="宋体"/>
          <w:color w:val="auto"/>
          <w:kern w:val="2"/>
          <w:sz w:val="22"/>
          <w:szCs w:val="22"/>
          <w:highlight w:val="none"/>
        </w:rPr>
        <w:t>职    务：</w:t>
      </w:r>
      <w:r>
        <w:rPr>
          <w:rStyle w:val="8"/>
          <w:rFonts w:hint="eastAsia" w:ascii="宋体" w:hAnsi="宋体" w:cs="宋体"/>
          <w:color w:val="auto"/>
          <w:kern w:val="2"/>
          <w:sz w:val="22"/>
          <w:szCs w:val="22"/>
          <w:highlight w:val="none"/>
          <w:u w:val="single"/>
        </w:rPr>
        <w:t>   </w:t>
      </w:r>
      <w:r>
        <w:rPr>
          <w:rStyle w:val="8"/>
          <w:rFonts w:ascii="宋体" w:hAnsi="宋体"/>
          <w:color w:val="auto"/>
          <w:kern w:val="2"/>
          <w:sz w:val="22"/>
          <w:szCs w:val="22"/>
          <w:highlight w:val="none"/>
        </w:rPr>
        <w:t>；</w:t>
      </w:r>
    </w:p>
    <w:p w14:paraId="4F3FD7C5">
      <w:pPr>
        <w:pStyle w:val="13"/>
        <w:spacing w:line="360" w:lineRule="auto"/>
        <w:ind w:firstLine="440" w:firstLineChars="200"/>
        <w:rPr>
          <w:rStyle w:val="8"/>
          <w:rFonts w:ascii="宋体" w:hAnsi="宋体"/>
          <w:color w:val="auto"/>
          <w:kern w:val="2"/>
          <w:sz w:val="22"/>
          <w:szCs w:val="22"/>
          <w:highlight w:val="none"/>
        </w:rPr>
      </w:pPr>
      <w:r>
        <w:rPr>
          <w:rStyle w:val="8"/>
          <w:rFonts w:ascii="宋体" w:hAnsi="宋体"/>
          <w:color w:val="auto"/>
          <w:kern w:val="2"/>
          <w:sz w:val="22"/>
          <w:szCs w:val="22"/>
          <w:highlight w:val="none"/>
        </w:rPr>
        <w:t>监理工程师执业资格证书号：</w:t>
      </w:r>
      <w:r>
        <w:rPr>
          <w:rStyle w:val="8"/>
          <w:rFonts w:hint="eastAsia" w:ascii="宋体" w:hAnsi="宋体" w:cs="宋体"/>
          <w:color w:val="auto"/>
          <w:kern w:val="2"/>
          <w:sz w:val="22"/>
          <w:szCs w:val="22"/>
          <w:highlight w:val="none"/>
          <w:u w:val="single"/>
        </w:rPr>
        <w:t> </w:t>
      </w:r>
      <w:r>
        <w:rPr>
          <w:rStyle w:val="8"/>
          <w:rFonts w:ascii="宋体" w:hAnsi="宋体"/>
          <w:color w:val="auto"/>
          <w:kern w:val="2"/>
          <w:sz w:val="22"/>
          <w:szCs w:val="22"/>
          <w:highlight w:val="none"/>
        </w:rPr>
        <w:t>；</w:t>
      </w:r>
    </w:p>
    <w:p w14:paraId="47868F80">
      <w:pPr>
        <w:pStyle w:val="13"/>
        <w:spacing w:line="360" w:lineRule="auto"/>
        <w:ind w:firstLine="440" w:firstLineChars="200"/>
        <w:rPr>
          <w:rStyle w:val="8"/>
          <w:rFonts w:ascii="宋体" w:hAnsi="宋体"/>
          <w:color w:val="auto"/>
          <w:kern w:val="2"/>
          <w:sz w:val="22"/>
          <w:szCs w:val="22"/>
          <w:highlight w:val="none"/>
        </w:rPr>
      </w:pPr>
      <w:r>
        <w:rPr>
          <w:rStyle w:val="8"/>
          <w:rFonts w:ascii="宋体" w:hAnsi="宋体"/>
          <w:color w:val="auto"/>
          <w:kern w:val="2"/>
          <w:sz w:val="22"/>
          <w:szCs w:val="22"/>
          <w:highlight w:val="none"/>
        </w:rPr>
        <w:t>联系电话：</w:t>
      </w:r>
      <w:r>
        <w:rPr>
          <w:rStyle w:val="8"/>
          <w:rFonts w:hint="eastAsia" w:ascii="宋体" w:hAnsi="宋体" w:cs="宋体"/>
          <w:color w:val="auto"/>
          <w:kern w:val="2"/>
          <w:sz w:val="22"/>
          <w:szCs w:val="22"/>
          <w:highlight w:val="none"/>
          <w:u w:val="single"/>
        </w:rPr>
        <w:t>   </w:t>
      </w:r>
      <w:r>
        <w:rPr>
          <w:rStyle w:val="8"/>
          <w:rFonts w:ascii="宋体" w:hAnsi="宋体"/>
          <w:color w:val="auto"/>
          <w:kern w:val="2"/>
          <w:sz w:val="22"/>
          <w:szCs w:val="22"/>
          <w:highlight w:val="none"/>
        </w:rPr>
        <w:t>；</w:t>
      </w:r>
    </w:p>
    <w:p w14:paraId="2F3AD044">
      <w:pPr>
        <w:pStyle w:val="13"/>
        <w:spacing w:line="360" w:lineRule="auto"/>
        <w:ind w:firstLine="440" w:firstLineChars="200"/>
        <w:rPr>
          <w:rStyle w:val="8"/>
          <w:rFonts w:ascii="宋体" w:hAnsi="宋体"/>
          <w:color w:val="auto"/>
          <w:kern w:val="2"/>
          <w:sz w:val="22"/>
          <w:szCs w:val="22"/>
          <w:highlight w:val="none"/>
        </w:rPr>
      </w:pPr>
      <w:r>
        <w:rPr>
          <w:rStyle w:val="8"/>
          <w:rFonts w:ascii="宋体" w:hAnsi="宋体"/>
          <w:color w:val="auto"/>
          <w:kern w:val="2"/>
          <w:sz w:val="22"/>
          <w:szCs w:val="22"/>
          <w:highlight w:val="none"/>
        </w:rPr>
        <w:t>电子信箱：</w:t>
      </w:r>
      <w:r>
        <w:rPr>
          <w:rStyle w:val="8"/>
          <w:rFonts w:hint="eastAsia" w:ascii="宋体" w:hAnsi="宋体" w:cs="宋体"/>
          <w:color w:val="auto"/>
          <w:kern w:val="2"/>
          <w:sz w:val="22"/>
          <w:szCs w:val="22"/>
          <w:highlight w:val="none"/>
          <w:u w:val="single"/>
        </w:rPr>
        <w:t>   </w:t>
      </w:r>
      <w:r>
        <w:rPr>
          <w:rStyle w:val="8"/>
          <w:rFonts w:ascii="宋体" w:hAnsi="宋体"/>
          <w:color w:val="auto"/>
          <w:kern w:val="2"/>
          <w:sz w:val="22"/>
          <w:szCs w:val="22"/>
          <w:highlight w:val="none"/>
        </w:rPr>
        <w:t>；</w:t>
      </w:r>
    </w:p>
    <w:p w14:paraId="341931F8">
      <w:pPr>
        <w:pStyle w:val="13"/>
        <w:spacing w:line="360" w:lineRule="auto"/>
        <w:ind w:firstLine="440" w:firstLineChars="200"/>
        <w:rPr>
          <w:rStyle w:val="8"/>
          <w:rFonts w:ascii="宋体" w:hAnsi="宋体"/>
          <w:color w:val="auto"/>
          <w:kern w:val="2"/>
          <w:sz w:val="22"/>
          <w:szCs w:val="22"/>
          <w:highlight w:val="none"/>
        </w:rPr>
      </w:pPr>
      <w:r>
        <w:rPr>
          <w:rStyle w:val="8"/>
          <w:rFonts w:ascii="宋体" w:hAnsi="宋体"/>
          <w:color w:val="auto"/>
          <w:kern w:val="2"/>
          <w:sz w:val="22"/>
          <w:szCs w:val="22"/>
          <w:highlight w:val="none"/>
        </w:rPr>
        <w:t>通信地址：</w:t>
      </w:r>
      <w:r>
        <w:rPr>
          <w:rStyle w:val="8"/>
          <w:rFonts w:hint="eastAsia" w:ascii="宋体" w:hAnsi="宋体" w:cs="宋体"/>
          <w:color w:val="auto"/>
          <w:kern w:val="2"/>
          <w:sz w:val="22"/>
          <w:szCs w:val="22"/>
          <w:highlight w:val="none"/>
          <w:u w:val="single"/>
        </w:rPr>
        <w:t>   </w:t>
      </w:r>
      <w:r>
        <w:rPr>
          <w:rStyle w:val="8"/>
          <w:rFonts w:ascii="宋体" w:hAnsi="宋体"/>
          <w:color w:val="auto"/>
          <w:kern w:val="2"/>
          <w:sz w:val="22"/>
          <w:szCs w:val="22"/>
          <w:highlight w:val="none"/>
        </w:rPr>
        <w:t>；</w:t>
      </w:r>
    </w:p>
    <w:p w14:paraId="09CB54BE">
      <w:pPr>
        <w:pStyle w:val="13"/>
        <w:spacing w:line="360" w:lineRule="auto"/>
        <w:ind w:firstLine="440" w:firstLineChars="200"/>
        <w:rPr>
          <w:rStyle w:val="8"/>
          <w:rFonts w:ascii="宋体" w:hAnsi="宋体"/>
          <w:color w:val="auto"/>
          <w:kern w:val="2"/>
          <w:sz w:val="22"/>
          <w:szCs w:val="22"/>
          <w:highlight w:val="none"/>
        </w:rPr>
      </w:pPr>
      <w:r>
        <w:rPr>
          <w:rStyle w:val="8"/>
          <w:rFonts w:ascii="宋体" w:hAnsi="宋体"/>
          <w:color w:val="auto"/>
          <w:kern w:val="2"/>
          <w:sz w:val="22"/>
          <w:szCs w:val="22"/>
          <w:highlight w:val="none"/>
        </w:rPr>
        <w:t>关于监理人的其他约定：</w:t>
      </w:r>
      <w:r>
        <w:rPr>
          <w:rStyle w:val="8"/>
          <w:rFonts w:hint="eastAsia" w:ascii="宋体" w:hAnsi="宋体" w:cs="宋体"/>
          <w:color w:val="auto"/>
          <w:kern w:val="2"/>
          <w:sz w:val="22"/>
          <w:szCs w:val="22"/>
          <w:highlight w:val="none"/>
          <w:u w:val="single"/>
        </w:rPr>
        <w:t>   </w:t>
      </w:r>
      <w:r>
        <w:rPr>
          <w:rStyle w:val="8"/>
          <w:rFonts w:ascii="宋体" w:hAnsi="宋体"/>
          <w:color w:val="auto"/>
          <w:kern w:val="2"/>
          <w:sz w:val="22"/>
          <w:szCs w:val="22"/>
          <w:highlight w:val="none"/>
        </w:rPr>
        <w:t>。</w:t>
      </w:r>
    </w:p>
    <w:p w14:paraId="72768236">
      <w:pPr>
        <w:pStyle w:val="13"/>
        <w:spacing w:after="120" w:line="360" w:lineRule="auto"/>
        <w:ind w:firstLine="440" w:firstLineChars="200"/>
        <w:rPr>
          <w:rStyle w:val="8"/>
          <w:rFonts w:ascii="宋体" w:hAnsi="宋体"/>
          <w:color w:val="auto"/>
          <w:kern w:val="2"/>
          <w:sz w:val="22"/>
          <w:szCs w:val="22"/>
          <w:highlight w:val="none"/>
        </w:rPr>
      </w:pPr>
      <w:r>
        <w:rPr>
          <w:rStyle w:val="8"/>
          <w:rFonts w:ascii="宋体" w:hAnsi="宋体"/>
          <w:color w:val="auto"/>
          <w:kern w:val="2"/>
          <w:sz w:val="22"/>
          <w:szCs w:val="22"/>
          <w:highlight w:val="none"/>
        </w:rPr>
        <w:t>4.4 商定或确定</w:t>
      </w:r>
    </w:p>
    <w:p w14:paraId="25886CFE">
      <w:pPr>
        <w:pStyle w:val="13"/>
        <w:spacing w:line="360" w:lineRule="auto"/>
        <w:ind w:firstLine="440" w:firstLineChars="200"/>
        <w:rPr>
          <w:rStyle w:val="8"/>
          <w:rFonts w:ascii="宋体" w:hAnsi="宋体"/>
          <w:color w:val="auto"/>
          <w:kern w:val="2"/>
          <w:sz w:val="22"/>
          <w:szCs w:val="22"/>
          <w:highlight w:val="none"/>
        </w:rPr>
      </w:pPr>
      <w:bookmarkStart w:id="452" w:name="_Toc267251418"/>
      <w:r>
        <w:rPr>
          <w:rStyle w:val="8"/>
          <w:rFonts w:ascii="宋体" w:hAnsi="宋体"/>
          <w:color w:val="auto"/>
          <w:kern w:val="2"/>
          <w:sz w:val="22"/>
          <w:szCs w:val="22"/>
          <w:highlight w:val="none"/>
        </w:rPr>
        <w:t>在发包人和承包人不能通过协商达成一致意见时，发包人授权监理人对以下事项进行确定：</w:t>
      </w:r>
    </w:p>
    <w:p w14:paraId="4D630379">
      <w:pPr>
        <w:pStyle w:val="13"/>
        <w:autoSpaceDE w:val="0"/>
        <w:autoSpaceDN w:val="0"/>
        <w:adjustRightInd w:val="0"/>
        <w:spacing w:line="360" w:lineRule="auto"/>
        <w:ind w:firstLine="440" w:firstLineChars="200"/>
        <w:jc w:val="left"/>
        <w:rPr>
          <w:rStyle w:val="8"/>
          <w:rFonts w:ascii="宋体" w:hAnsi="宋体"/>
          <w:color w:val="auto"/>
          <w:sz w:val="22"/>
          <w:szCs w:val="22"/>
          <w:highlight w:val="none"/>
        </w:rPr>
      </w:pPr>
      <w:r>
        <w:rPr>
          <w:rStyle w:val="8"/>
          <w:rFonts w:ascii="宋体" w:hAnsi="宋体"/>
          <w:color w:val="auto"/>
          <w:sz w:val="22"/>
          <w:szCs w:val="22"/>
          <w:highlight w:val="none"/>
        </w:rPr>
        <w:t>（1）</w:t>
      </w:r>
      <w:r>
        <w:rPr>
          <w:rStyle w:val="8"/>
          <w:rFonts w:ascii="宋体" w:hAnsi="宋体"/>
          <w:color w:val="auto"/>
          <w:kern w:val="2"/>
          <w:sz w:val="22"/>
          <w:szCs w:val="22"/>
          <w:highlight w:val="none"/>
          <w:u w:val="single"/>
        </w:rPr>
        <w:t xml:space="preserve">                          </w:t>
      </w:r>
      <w:r>
        <w:rPr>
          <w:rStyle w:val="8"/>
          <w:rFonts w:hint="eastAsia" w:ascii="宋体" w:hAnsi="宋体"/>
          <w:color w:val="auto"/>
          <w:kern w:val="2"/>
          <w:sz w:val="22"/>
          <w:szCs w:val="22"/>
          <w:highlight w:val="none"/>
          <w:u w:val="single"/>
        </w:rPr>
        <w:t xml:space="preserve"> </w:t>
      </w:r>
      <w:r>
        <w:rPr>
          <w:rStyle w:val="8"/>
          <w:rFonts w:ascii="宋体" w:hAnsi="宋体"/>
          <w:color w:val="auto"/>
          <w:kern w:val="2"/>
          <w:sz w:val="22"/>
          <w:szCs w:val="22"/>
          <w:highlight w:val="none"/>
          <w:u w:val="single"/>
        </w:rPr>
        <w:t xml:space="preserve">        </w:t>
      </w:r>
      <w:r>
        <w:rPr>
          <w:rStyle w:val="8"/>
          <w:rFonts w:ascii="宋体" w:hAnsi="宋体"/>
          <w:color w:val="auto"/>
          <w:kern w:val="2"/>
          <w:sz w:val="22"/>
          <w:szCs w:val="22"/>
          <w:highlight w:val="none"/>
        </w:rPr>
        <w:t>；</w:t>
      </w:r>
    </w:p>
    <w:p w14:paraId="32F9032D">
      <w:pPr>
        <w:pStyle w:val="13"/>
        <w:autoSpaceDE w:val="0"/>
        <w:autoSpaceDN w:val="0"/>
        <w:adjustRightInd w:val="0"/>
        <w:spacing w:line="360" w:lineRule="auto"/>
        <w:ind w:firstLine="440" w:firstLineChars="200"/>
        <w:jc w:val="left"/>
        <w:rPr>
          <w:rStyle w:val="8"/>
          <w:rFonts w:ascii="宋体" w:hAnsi="宋体"/>
          <w:color w:val="auto"/>
          <w:sz w:val="22"/>
          <w:szCs w:val="22"/>
          <w:highlight w:val="none"/>
        </w:rPr>
      </w:pPr>
      <w:r>
        <w:rPr>
          <w:rStyle w:val="8"/>
          <w:rFonts w:ascii="宋体" w:hAnsi="宋体"/>
          <w:color w:val="auto"/>
          <w:sz w:val="22"/>
          <w:szCs w:val="22"/>
          <w:highlight w:val="none"/>
        </w:rPr>
        <w:t>（2）</w:t>
      </w:r>
      <w:r>
        <w:rPr>
          <w:rStyle w:val="8"/>
          <w:rFonts w:ascii="宋体" w:hAnsi="宋体"/>
          <w:color w:val="auto"/>
          <w:kern w:val="2"/>
          <w:sz w:val="22"/>
          <w:szCs w:val="22"/>
          <w:highlight w:val="none"/>
          <w:u w:val="single"/>
        </w:rPr>
        <w:t xml:space="preserve">                          </w:t>
      </w:r>
      <w:r>
        <w:rPr>
          <w:rStyle w:val="8"/>
          <w:rFonts w:hint="eastAsia" w:ascii="宋体" w:hAnsi="宋体"/>
          <w:color w:val="auto"/>
          <w:kern w:val="2"/>
          <w:sz w:val="22"/>
          <w:szCs w:val="22"/>
          <w:highlight w:val="none"/>
          <w:u w:val="single"/>
        </w:rPr>
        <w:t xml:space="preserve"> </w:t>
      </w:r>
      <w:r>
        <w:rPr>
          <w:rStyle w:val="8"/>
          <w:rFonts w:ascii="宋体" w:hAnsi="宋体"/>
          <w:color w:val="auto"/>
          <w:kern w:val="2"/>
          <w:sz w:val="22"/>
          <w:szCs w:val="22"/>
          <w:highlight w:val="none"/>
          <w:u w:val="single"/>
        </w:rPr>
        <w:t xml:space="preserve">        </w:t>
      </w:r>
      <w:r>
        <w:rPr>
          <w:rStyle w:val="8"/>
          <w:rFonts w:ascii="宋体" w:hAnsi="宋体"/>
          <w:color w:val="auto"/>
          <w:kern w:val="2"/>
          <w:sz w:val="22"/>
          <w:szCs w:val="22"/>
          <w:highlight w:val="none"/>
        </w:rPr>
        <w:t>；</w:t>
      </w:r>
    </w:p>
    <w:p w14:paraId="05F26881">
      <w:pPr>
        <w:pStyle w:val="13"/>
        <w:autoSpaceDE w:val="0"/>
        <w:autoSpaceDN w:val="0"/>
        <w:adjustRightInd w:val="0"/>
        <w:spacing w:line="360" w:lineRule="auto"/>
        <w:ind w:firstLine="440" w:firstLineChars="200"/>
        <w:jc w:val="left"/>
        <w:rPr>
          <w:rStyle w:val="8"/>
          <w:rFonts w:ascii="宋体" w:hAnsi="宋体"/>
          <w:color w:val="auto"/>
          <w:sz w:val="22"/>
          <w:szCs w:val="22"/>
          <w:highlight w:val="none"/>
        </w:rPr>
      </w:pPr>
      <w:r>
        <w:rPr>
          <w:rStyle w:val="8"/>
          <w:rFonts w:ascii="宋体" w:hAnsi="宋体"/>
          <w:color w:val="auto"/>
          <w:sz w:val="22"/>
          <w:szCs w:val="22"/>
          <w:highlight w:val="none"/>
        </w:rPr>
        <w:t>（3）</w:t>
      </w:r>
      <w:r>
        <w:rPr>
          <w:rStyle w:val="8"/>
          <w:rFonts w:ascii="宋体" w:hAnsi="宋体"/>
          <w:color w:val="auto"/>
          <w:kern w:val="2"/>
          <w:sz w:val="22"/>
          <w:szCs w:val="22"/>
          <w:highlight w:val="none"/>
          <w:u w:val="single"/>
        </w:rPr>
        <w:t xml:space="preserve">                         </w:t>
      </w:r>
      <w:r>
        <w:rPr>
          <w:rStyle w:val="8"/>
          <w:rFonts w:hint="eastAsia" w:ascii="宋体" w:hAnsi="宋体"/>
          <w:color w:val="auto"/>
          <w:kern w:val="2"/>
          <w:sz w:val="22"/>
          <w:szCs w:val="22"/>
          <w:highlight w:val="none"/>
          <w:u w:val="single"/>
        </w:rPr>
        <w:t xml:space="preserve"> </w:t>
      </w:r>
      <w:r>
        <w:rPr>
          <w:rStyle w:val="8"/>
          <w:rFonts w:ascii="宋体" w:hAnsi="宋体"/>
          <w:color w:val="auto"/>
          <w:kern w:val="2"/>
          <w:sz w:val="22"/>
          <w:szCs w:val="22"/>
          <w:highlight w:val="none"/>
          <w:u w:val="single"/>
        </w:rPr>
        <w:t xml:space="preserve">         </w:t>
      </w:r>
      <w:r>
        <w:rPr>
          <w:rStyle w:val="8"/>
          <w:rFonts w:ascii="宋体" w:hAnsi="宋体"/>
          <w:color w:val="auto"/>
          <w:kern w:val="2"/>
          <w:sz w:val="22"/>
          <w:szCs w:val="22"/>
          <w:highlight w:val="none"/>
        </w:rPr>
        <w:t>。</w:t>
      </w:r>
    </w:p>
    <w:p w14:paraId="6B90CF59">
      <w:pPr>
        <w:pStyle w:val="15"/>
        <w:spacing w:before="120" w:after="120" w:line="360" w:lineRule="auto"/>
        <w:rPr>
          <w:rStyle w:val="8"/>
          <w:rFonts w:ascii="宋体" w:hAnsi="宋体" w:eastAsia="宋体"/>
          <w:b w:val="0"/>
          <w:color w:val="auto"/>
          <w:sz w:val="22"/>
          <w:szCs w:val="22"/>
          <w:highlight w:val="none"/>
        </w:rPr>
      </w:pPr>
      <w:bookmarkStart w:id="453" w:name="_Toc256000565"/>
      <w:bookmarkStart w:id="454" w:name="_Toc256000336"/>
      <w:bookmarkStart w:id="455" w:name="_Toc30373"/>
      <w:bookmarkStart w:id="456" w:name="_Toc21299"/>
      <w:bookmarkStart w:id="457" w:name="_Toc351203637"/>
      <w:bookmarkStart w:id="458" w:name="_Toc256000832"/>
      <w:bookmarkStart w:id="459" w:name="_Toc69461156"/>
      <w:bookmarkStart w:id="460" w:name="_Toc256001299"/>
      <w:bookmarkStart w:id="461" w:name="_Toc256001069"/>
      <w:bookmarkStart w:id="462" w:name="_Toc69461811"/>
      <w:r>
        <w:rPr>
          <w:rStyle w:val="8"/>
          <w:rFonts w:ascii="宋体" w:hAnsi="宋体" w:eastAsia="宋体"/>
          <w:b w:val="0"/>
          <w:color w:val="auto"/>
          <w:sz w:val="22"/>
          <w:szCs w:val="22"/>
          <w:highlight w:val="none"/>
        </w:rPr>
        <w:t>5</w:t>
      </w:r>
      <w:bookmarkEnd w:id="452"/>
      <w:bookmarkStart w:id="463" w:name="_Toc292559367"/>
      <w:bookmarkStart w:id="464" w:name="_Toc296346664"/>
      <w:bookmarkStart w:id="465" w:name="_Toc296944502"/>
      <w:bookmarkStart w:id="466" w:name="_Toc297120463"/>
      <w:bookmarkStart w:id="467" w:name="_Toc296503163"/>
      <w:bookmarkStart w:id="468" w:name="_Toc296890991"/>
      <w:bookmarkStart w:id="469" w:name="_Toc292559872"/>
      <w:bookmarkStart w:id="470" w:name="_Toc297048349"/>
      <w:bookmarkStart w:id="471" w:name="_Toc296347162"/>
      <w:bookmarkStart w:id="472" w:name="_Toc296891203"/>
      <w:r>
        <w:rPr>
          <w:rStyle w:val="8"/>
          <w:rFonts w:ascii="宋体" w:hAnsi="宋体" w:eastAsia="宋体"/>
          <w:b w:val="0"/>
          <w:color w:val="auto"/>
          <w:sz w:val="22"/>
          <w:szCs w:val="22"/>
          <w:highlight w:val="none"/>
        </w:rPr>
        <w:t>. 工程质量</w:t>
      </w:r>
      <w:bookmarkEnd w:id="453"/>
      <w:bookmarkEnd w:id="454"/>
      <w:bookmarkEnd w:id="455"/>
      <w:bookmarkEnd w:id="456"/>
      <w:bookmarkEnd w:id="457"/>
      <w:bookmarkEnd w:id="458"/>
      <w:bookmarkEnd w:id="459"/>
      <w:bookmarkEnd w:id="460"/>
      <w:bookmarkEnd w:id="461"/>
      <w:bookmarkEnd w:id="462"/>
    </w:p>
    <w:p w14:paraId="6EDD8D71">
      <w:pPr>
        <w:pStyle w:val="13"/>
        <w:spacing w:after="120" w:line="360" w:lineRule="auto"/>
        <w:ind w:firstLine="440" w:firstLineChars="200"/>
        <w:outlineLvl w:val="0"/>
        <w:rPr>
          <w:rStyle w:val="8"/>
          <w:rFonts w:ascii="宋体" w:hAnsi="宋体"/>
          <w:color w:val="auto"/>
          <w:kern w:val="2"/>
          <w:sz w:val="22"/>
          <w:szCs w:val="22"/>
          <w:highlight w:val="none"/>
        </w:rPr>
      </w:pPr>
      <w:bookmarkStart w:id="473" w:name="_Toc3403"/>
      <w:bookmarkStart w:id="474" w:name="_Toc256001300"/>
      <w:bookmarkStart w:id="475" w:name="_Toc256000056"/>
      <w:bookmarkStart w:id="476" w:name="_Toc6496"/>
      <w:bookmarkStart w:id="477" w:name="_Toc22361"/>
      <w:bookmarkStart w:id="478" w:name="_Toc256000833"/>
      <w:bookmarkStart w:id="479" w:name="_Toc256001070"/>
      <w:bookmarkStart w:id="480" w:name="_Toc69461812"/>
      <w:bookmarkStart w:id="481" w:name="_Toc10657"/>
      <w:bookmarkStart w:id="482" w:name="_Toc256000337"/>
      <w:bookmarkStart w:id="483" w:name="_Toc256000566"/>
      <w:bookmarkStart w:id="484" w:name="_Toc69461157"/>
      <w:r>
        <w:rPr>
          <w:rStyle w:val="8"/>
          <w:rFonts w:ascii="宋体" w:hAnsi="宋体"/>
          <w:color w:val="auto"/>
          <w:kern w:val="2"/>
          <w:sz w:val="22"/>
          <w:szCs w:val="22"/>
          <w:highlight w:val="none"/>
        </w:rPr>
        <w:t>5.1 质量要求</w:t>
      </w:r>
      <w:bookmarkEnd w:id="473"/>
      <w:bookmarkEnd w:id="474"/>
      <w:bookmarkEnd w:id="475"/>
      <w:bookmarkEnd w:id="476"/>
      <w:bookmarkEnd w:id="477"/>
      <w:bookmarkEnd w:id="478"/>
      <w:bookmarkEnd w:id="479"/>
      <w:bookmarkEnd w:id="480"/>
      <w:bookmarkEnd w:id="481"/>
      <w:bookmarkEnd w:id="482"/>
      <w:bookmarkEnd w:id="483"/>
      <w:bookmarkEnd w:id="484"/>
    </w:p>
    <w:p w14:paraId="5D5F9382">
      <w:pPr>
        <w:pStyle w:val="13"/>
        <w:spacing w:line="360" w:lineRule="auto"/>
        <w:ind w:firstLine="440" w:firstLineChars="200"/>
        <w:jc w:val="left"/>
        <w:rPr>
          <w:rStyle w:val="8"/>
          <w:rFonts w:ascii="宋体" w:hAnsi="宋体"/>
          <w:color w:val="auto"/>
          <w:kern w:val="2"/>
          <w:sz w:val="22"/>
          <w:szCs w:val="22"/>
          <w:highlight w:val="none"/>
          <w:u w:val="single"/>
        </w:rPr>
      </w:pPr>
      <w:r>
        <w:rPr>
          <w:rStyle w:val="8"/>
          <w:rFonts w:ascii="宋体" w:hAnsi="宋体"/>
          <w:color w:val="auto"/>
          <w:kern w:val="2"/>
          <w:sz w:val="22"/>
          <w:szCs w:val="22"/>
          <w:highlight w:val="none"/>
        </w:rPr>
        <w:t>5</w:t>
      </w:r>
      <w:bookmarkStart w:id="485" w:name="_Toc312677997"/>
      <w:bookmarkStart w:id="486" w:name="_Toc297123496"/>
      <w:bookmarkStart w:id="487" w:name="_Toc304295527"/>
      <w:bookmarkStart w:id="488" w:name="_Toc303539106"/>
      <w:bookmarkStart w:id="489" w:name="_Toc300934949"/>
      <w:bookmarkStart w:id="490" w:name="_Toc297216155"/>
      <w:bookmarkStart w:id="491" w:name="_Toc318581164"/>
      <w:r>
        <w:rPr>
          <w:rStyle w:val="8"/>
          <w:rFonts w:ascii="宋体" w:hAnsi="宋体"/>
          <w:color w:val="auto"/>
          <w:kern w:val="2"/>
          <w:sz w:val="22"/>
          <w:szCs w:val="22"/>
          <w:highlight w:val="none"/>
        </w:rPr>
        <w:t>.1.1 特殊质量标准和要求：</w:t>
      </w:r>
      <w:r>
        <w:rPr>
          <w:rStyle w:val="8"/>
          <w:rFonts w:ascii="宋体" w:hAnsi="宋体"/>
          <w:color w:val="auto"/>
          <w:kern w:val="2"/>
          <w:sz w:val="22"/>
          <w:szCs w:val="22"/>
          <w:highlight w:val="none"/>
          <w:u w:val="single"/>
        </w:rPr>
        <w:t xml:space="preserve">       </w:t>
      </w:r>
      <w:r>
        <w:rPr>
          <w:rStyle w:val="8"/>
          <w:rFonts w:hint="eastAsia" w:ascii="宋体" w:hAnsi="宋体"/>
          <w:color w:val="auto"/>
          <w:kern w:val="2"/>
          <w:sz w:val="22"/>
          <w:szCs w:val="22"/>
          <w:highlight w:val="none"/>
          <w:u w:val="single"/>
        </w:rPr>
        <w:t xml:space="preserve">/ </w:t>
      </w:r>
      <w:r>
        <w:rPr>
          <w:rStyle w:val="8"/>
          <w:rFonts w:ascii="宋体" w:hAnsi="宋体"/>
          <w:color w:val="auto"/>
          <w:kern w:val="2"/>
          <w:sz w:val="22"/>
          <w:szCs w:val="22"/>
          <w:highlight w:val="none"/>
          <w:u w:val="single"/>
        </w:rPr>
        <w:t xml:space="preserve">     </w:t>
      </w:r>
      <w:r>
        <w:rPr>
          <w:rStyle w:val="8"/>
          <w:rFonts w:hint="eastAsia" w:ascii="宋体" w:hAnsi="宋体"/>
          <w:color w:val="auto"/>
          <w:kern w:val="2"/>
          <w:sz w:val="22"/>
          <w:szCs w:val="22"/>
          <w:highlight w:val="none"/>
          <w:u w:val="single"/>
        </w:rPr>
        <w:t xml:space="preserve">  </w:t>
      </w:r>
      <w:r>
        <w:rPr>
          <w:rStyle w:val="8"/>
          <w:rFonts w:ascii="宋体" w:hAnsi="宋体"/>
          <w:color w:val="auto"/>
          <w:kern w:val="2"/>
          <w:sz w:val="22"/>
          <w:szCs w:val="22"/>
          <w:highlight w:val="none"/>
          <w:u w:val="single"/>
        </w:rPr>
        <w:t xml:space="preserve">          </w:t>
      </w:r>
      <w:r>
        <w:rPr>
          <w:rStyle w:val="8"/>
          <w:rFonts w:hint="eastAsia" w:ascii="宋体" w:hAnsi="宋体"/>
          <w:color w:val="auto"/>
          <w:kern w:val="2"/>
          <w:sz w:val="22"/>
          <w:szCs w:val="22"/>
          <w:highlight w:val="none"/>
          <w:u w:val="single"/>
        </w:rPr>
        <w:t xml:space="preserve"> </w:t>
      </w:r>
      <w:r>
        <w:rPr>
          <w:rStyle w:val="8"/>
          <w:rFonts w:ascii="宋体" w:hAnsi="宋体"/>
          <w:color w:val="auto"/>
          <w:kern w:val="2"/>
          <w:sz w:val="22"/>
          <w:szCs w:val="22"/>
          <w:highlight w:val="none"/>
          <w:u w:val="single"/>
        </w:rPr>
        <w:t xml:space="preserve">    </w:t>
      </w:r>
    </w:p>
    <w:p w14:paraId="589ECEA2">
      <w:pPr>
        <w:pStyle w:val="13"/>
        <w:spacing w:line="360" w:lineRule="auto"/>
        <w:ind w:firstLine="440" w:firstLineChars="200"/>
        <w:jc w:val="left"/>
        <w:rPr>
          <w:rStyle w:val="8"/>
          <w:rFonts w:ascii="宋体" w:hAnsi="宋体"/>
          <w:color w:val="auto"/>
          <w:kern w:val="2"/>
          <w:sz w:val="22"/>
          <w:szCs w:val="22"/>
          <w:highlight w:val="none"/>
          <w:u w:val="single"/>
        </w:rPr>
      </w:pPr>
      <w:r>
        <w:rPr>
          <w:rStyle w:val="8"/>
          <w:rFonts w:ascii="宋体" w:hAnsi="宋体"/>
          <w:color w:val="auto"/>
          <w:kern w:val="2"/>
          <w:sz w:val="22"/>
          <w:szCs w:val="22"/>
          <w:highlight w:val="none"/>
        </w:rPr>
        <w:t>关于工程奖项的约定：</w:t>
      </w:r>
      <w:r>
        <w:rPr>
          <w:rStyle w:val="8"/>
          <w:rFonts w:ascii="宋体" w:hAnsi="宋体"/>
          <w:color w:val="auto"/>
          <w:kern w:val="2"/>
          <w:sz w:val="22"/>
          <w:szCs w:val="22"/>
          <w:highlight w:val="none"/>
          <w:u w:val="single"/>
        </w:rPr>
        <w:t xml:space="preserve">         </w:t>
      </w:r>
      <w:r>
        <w:rPr>
          <w:rStyle w:val="8"/>
          <w:rFonts w:hint="eastAsia" w:ascii="宋体" w:hAnsi="宋体"/>
          <w:color w:val="auto"/>
          <w:kern w:val="2"/>
          <w:sz w:val="22"/>
          <w:szCs w:val="22"/>
          <w:highlight w:val="none"/>
          <w:u w:val="single"/>
        </w:rPr>
        <w:t xml:space="preserve">/ </w:t>
      </w:r>
      <w:r>
        <w:rPr>
          <w:rStyle w:val="8"/>
          <w:rFonts w:ascii="宋体" w:hAnsi="宋体"/>
          <w:color w:val="auto"/>
          <w:kern w:val="2"/>
          <w:sz w:val="22"/>
          <w:szCs w:val="22"/>
          <w:highlight w:val="none"/>
          <w:u w:val="single"/>
        </w:rPr>
        <w:t xml:space="preserve">    </w:t>
      </w:r>
      <w:r>
        <w:rPr>
          <w:rStyle w:val="8"/>
          <w:rFonts w:hint="eastAsia" w:ascii="宋体" w:hAnsi="宋体"/>
          <w:color w:val="auto"/>
          <w:kern w:val="2"/>
          <w:sz w:val="22"/>
          <w:szCs w:val="22"/>
          <w:highlight w:val="none"/>
          <w:u w:val="single"/>
        </w:rPr>
        <w:t xml:space="preserve">            </w:t>
      </w:r>
      <w:r>
        <w:rPr>
          <w:rStyle w:val="8"/>
          <w:rFonts w:ascii="宋体" w:hAnsi="宋体"/>
          <w:color w:val="auto"/>
          <w:kern w:val="2"/>
          <w:sz w:val="22"/>
          <w:szCs w:val="22"/>
          <w:highlight w:val="none"/>
          <w:u w:val="single"/>
        </w:rPr>
        <w:t xml:space="preserve"> </w:t>
      </w:r>
      <w:r>
        <w:rPr>
          <w:rStyle w:val="8"/>
          <w:rFonts w:hint="eastAsia" w:ascii="宋体" w:hAnsi="宋体"/>
          <w:color w:val="auto"/>
          <w:kern w:val="2"/>
          <w:sz w:val="22"/>
          <w:szCs w:val="22"/>
          <w:highlight w:val="none"/>
          <w:u w:val="single"/>
        </w:rPr>
        <w:t xml:space="preserve">   </w:t>
      </w:r>
      <w:r>
        <w:rPr>
          <w:rStyle w:val="8"/>
          <w:rFonts w:ascii="宋体" w:hAnsi="宋体"/>
          <w:color w:val="auto"/>
          <w:kern w:val="2"/>
          <w:sz w:val="22"/>
          <w:szCs w:val="22"/>
          <w:highlight w:val="none"/>
          <w:u w:val="single"/>
        </w:rPr>
        <w:t xml:space="preserve">     </w:t>
      </w:r>
    </w:p>
    <w:p w14:paraId="2629B918">
      <w:pPr>
        <w:pStyle w:val="13"/>
        <w:spacing w:after="120" w:line="360" w:lineRule="auto"/>
        <w:ind w:firstLine="440" w:firstLineChars="200"/>
        <w:outlineLvl w:val="0"/>
        <w:rPr>
          <w:rStyle w:val="8"/>
          <w:rFonts w:ascii="宋体" w:hAnsi="宋体"/>
          <w:color w:val="auto"/>
          <w:kern w:val="2"/>
          <w:sz w:val="22"/>
          <w:szCs w:val="22"/>
          <w:highlight w:val="none"/>
        </w:rPr>
      </w:pPr>
      <w:bookmarkStart w:id="492" w:name="_Toc256000567"/>
      <w:bookmarkStart w:id="493" w:name="_Toc13660"/>
      <w:bookmarkStart w:id="494" w:name="_Toc69461158"/>
      <w:bookmarkStart w:id="495" w:name="_Toc26904"/>
      <w:bookmarkStart w:id="496" w:name="_Toc14725"/>
      <w:bookmarkStart w:id="497" w:name="_Toc256001301"/>
      <w:bookmarkStart w:id="498" w:name="_Toc69461813"/>
      <w:bookmarkStart w:id="499" w:name="_Toc24636"/>
      <w:bookmarkStart w:id="500" w:name="_Toc256000834"/>
      <w:bookmarkStart w:id="501" w:name="_Toc256000057"/>
      <w:bookmarkStart w:id="502" w:name="_Toc256000338"/>
      <w:bookmarkStart w:id="503" w:name="_Toc256001071"/>
      <w:r>
        <w:rPr>
          <w:rStyle w:val="8"/>
          <w:rFonts w:ascii="宋体" w:hAnsi="宋体"/>
          <w:color w:val="auto"/>
          <w:kern w:val="2"/>
          <w:sz w:val="22"/>
          <w:szCs w:val="22"/>
          <w:highlight w:val="none"/>
        </w:rPr>
        <w:t>5.3 隐蔽工程检查</w:t>
      </w:r>
      <w:bookmarkEnd w:id="492"/>
      <w:bookmarkEnd w:id="493"/>
      <w:bookmarkEnd w:id="494"/>
      <w:bookmarkEnd w:id="495"/>
      <w:bookmarkEnd w:id="496"/>
      <w:bookmarkEnd w:id="497"/>
      <w:bookmarkEnd w:id="498"/>
      <w:bookmarkEnd w:id="499"/>
      <w:bookmarkEnd w:id="500"/>
      <w:bookmarkEnd w:id="501"/>
      <w:bookmarkEnd w:id="502"/>
      <w:bookmarkEnd w:id="503"/>
    </w:p>
    <w:p w14:paraId="3F462C6A">
      <w:pPr>
        <w:pStyle w:val="14"/>
        <w:spacing w:line="360" w:lineRule="auto"/>
        <w:ind w:firstLine="440" w:firstLineChars="200"/>
        <w:jc w:val="left"/>
        <w:rPr>
          <w:rStyle w:val="8"/>
          <w:rFonts w:ascii="宋体" w:hAnsi="宋体"/>
          <w:color w:val="auto"/>
          <w:kern w:val="2"/>
          <w:sz w:val="22"/>
          <w:szCs w:val="22"/>
          <w:highlight w:val="none"/>
          <w:u w:val="single"/>
        </w:rPr>
      </w:pPr>
      <w:r>
        <w:rPr>
          <w:rStyle w:val="8"/>
          <w:rFonts w:ascii="宋体" w:hAnsi="宋体"/>
          <w:color w:val="auto"/>
          <w:kern w:val="2"/>
          <w:sz w:val="22"/>
          <w:szCs w:val="22"/>
          <w:highlight w:val="none"/>
        </w:rPr>
        <w:t>5.3.2承包人提前通知监理人隐蔽工程检查的期限的约定：</w:t>
      </w:r>
      <w:r>
        <w:rPr>
          <w:rStyle w:val="8"/>
          <w:rFonts w:ascii="宋体" w:hAnsi="宋体"/>
          <w:color w:val="auto"/>
          <w:kern w:val="2"/>
          <w:sz w:val="22"/>
          <w:szCs w:val="22"/>
          <w:highlight w:val="none"/>
          <w:u w:val="single"/>
        </w:rPr>
        <w:t xml:space="preserve">  </w:t>
      </w:r>
      <w:r>
        <w:rPr>
          <w:rStyle w:val="8"/>
          <w:rFonts w:hint="eastAsia" w:ascii="宋体" w:hAnsi="宋体"/>
          <w:color w:val="auto"/>
          <w:kern w:val="2"/>
          <w:sz w:val="22"/>
          <w:szCs w:val="22"/>
          <w:highlight w:val="none"/>
          <w:u w:val="single"/>
        </w:rPr>
        <w:t xml:space="preserve">执行通用条款 </w:t>
      </w:r>
    </w:p>
    <w:p w14:paraId="306B957F">
      <w:pPr>
        <w:pStyle w:val="13"/>
        <w:spacing w:line="360" w:lineRule="auto"/>
        <w:ind w:firstLine="440" w:firstLineChars="200"/>
        <w:jc w:val="left"/>
        <w:rPr>
          <w:rStyle w:val="8"/>
          <w:rFonts w:ascii="宋体" w:hAnsi="宋体"/>
          <w:color w:val="auto"/>
          <w:kern w:val="2"/>
          <w:sz w:val="22"/>
          <w:szCs w:val="22"/>
          <w:highlight w:val="none"/>
        </w:rPr>
      </w:pPr>
      <w:r>
        <w:rPr>
          <w:rStyle w:val="8"/>
          <w:rFonts w:ascii="宋体" w:hAnsi="宋体"/>
          <w:color w:val="auto"/>
          <w:kern w:val="2"/>
          <w:sz w:val="22"/>
          <w:szCs w:val="22"/>
          <w:highlight w:val="none"/>
        </w:rPr>
        <w:t>监理人不能按时进行检查时，应提前</w:t>
      </w:r>
      <w:r>
        <w:rPr>
          <w:rStyle w:val="8"/>
          <w:rFonts w:ascii="宋体" w:hAnsi="宋体"/>
          <w:color w:val="auto"/>
          <w:kern w:val="2"/>
          <w:sz w:val="22"/>
          <w:szCs w:val="22"/>
          <w:highlight w:val="none"/>
          <w:u w:val="single"/>
        </w:rPr>
        <w:t xml:space="preserve"> 24 </w:t>
      </w:r>
      <w:r>
        <w:rPr>
          <w:rStyle w:val="8"/>
          <w:rFonts w:ascii="宋体" w:hAnsi="宋体"/>
          <w:color w:val="auto"/>
          <w:kern w:val="2"/>
          <w:sz w:val="22"/>
          <w:szCs w:val="22"/>
          <w:highlight w:val="none"/>
        </w:rPr>
        <w:t>小时提交书面延期要求。</w:t>
      </w:r>
    </w:p>
    <w:p w14:paraId="61D28022">
      <w:pPr>
        <w:pStyle w:val="14"/>
        <w:spacing w:line="360" w:lineRule="auto"/>
        <w:ind w:firstLine="440" w:firstLineChars="200"/>
        <w:jc w:val="left"/>
        <w:rPr>
          <w:rStyle w:val="8"/>
          <w:rFonts w:ascii="宋体" w:hAnsi="宋体"/>
          <w:color w:val="auto"/>
          <w:kern w:val="2"/>
          <w:sz w:val="22"/>
          <w:szCs w:val="22"/>
          <w:highlight w:val="none"/>
          <w:u w:val="single"/>
        </w:rPr>
      </w:pPr>
      <w:r>
        <w:rPr>
          <w:rStyle w:val="8"/>
          <w:rFonts w:ascii="宋体" w:hAnsi="宋体"/>
          <w:color w:val="auto"/>
          <w:kern w:val="2"/>
          <w:sz w:val="22"/>
          <w:szCs w:val="22"/>
          <w:highlight w:val="none"/>
        </w:rPr>
        <w:t>关于延期最长不得超过：</w:t>
      </w:r>
      <w:r>
        <w:rPr>
          <w:rStyle w:val="8"/>
          <w:rFonts w:hint="eastAsia" w:ascii="宋体" w:hAnsi="宋体"/>
          <w:color w:val="auto"/>
          <w:kern w:val="2"/>
          <w:sz w:val="22"/>
          <w:szCs w:val="22"/>
          <w:highlight w:val="none"/>
          <w:u w:val="single"/>
        </w:rPr>
        <w:t xml:space="preserve"> 12小时。承包人应在隐蔽工程完工后进入下一道工序前向监理、发包人申请隐蔽工程验收，经验收合格方可进行下一步工序，因承包人未申请验收或者产生争议时承包人无法提供隐蔽工程验收记录的，导致隐蔽工程施工情况无法界定的责任由承包人承担。</w:t>
      </w:r>
    </w:p>
    <w:p w14:paraId="0FCFEC3F">
      <w:pPr>
        <w:pStyle w:val="15"/>
        <w:spacing w:before="120" w:after="120" w:line="360" w:lineRule="auto"/>
        <w:rPr>
          <w:rStyle w:val="8"/>
          <w:rFonts w:ascii="宋体" w:hAnsi="宋体" w:eastAsia="宋体"/>
          <w:b w:val="0"/>
          <w:color w:val="auto"/>
          <w:sz w:val="22"/>
          <w:szCs w:val="22"/>
          <w:highlight w:val="none"/>
        </w:rPr>
      </w:pPr>
      <w:bookmarkStart w:id="504" w:name="_Toc256000835"/>
      <w:bookmarkStart w:id="505" w:name="_Toc25555"/>
      <w:bookmarkStart w:id="506" w:name="_Toc69461159"/>
      <w:bookmarkStart w:id="507" w:name="_Toc69461814"/>
      <w:bookmarkStart w:id="508" w:name="_Toc351203638"/>
      <w:bookmarkStart w:id="509" w:name="_Toc256000339"/>
      <w:bookmarkStart w:id="510" w:name="_Toc256001302"/>
      <w:bookmarkStart w:id="511" w:name="_Toc18974"/>
      <w:bookmarkStart w:id="512" w:name="_Toc256001072"/>
      <w:bookmarkStart w:id="513" w:name="_Toc256000568"/>
      <w:r>
        <w:rPr>
          <w:rStyle w:val="8"/>
          <w:rFonts w:ascii="宋体" w:hAnsi="宋体" w:eastAsia="宋体"/>
          <w:b w:val="0"/>
          <w:color w:val="auto"/>
          <w:sz w:val="22"/>
          <w:szCs w:val="22"/>
          <w:highlight w:val="none"/>
        </w:rPr>
        <w:t>6. 安全文明施工与环境保护</w:t>
      </w:r>
      <w:bookmarkEnd w:id="504"/>
      <w:bookmarkEnd w:id="505"/>
      <w:bookmarkEnd w:id="506"/>
      <w:bookmarkEnd w:id="507"/>
      <w:bookmarkEnd w:id="508"/>
      <w:bookmarkEnd w:id="509"/>
      <w:bookmarkEnd w:id="510"/>
      <w:bookmarkEnd w:id="511"/>
      <w:bookmarkEnd w:id="512"/>
      <w:bookmarkEnd w:id="513"/>
    </w:p>
    <w:p w14:paraId="663F7637">
      <w:pPr>
        <w:pStyle w:val="13"/>
        <w:spacing w:after="120" w:line="360" w:lineRule="auto"/>
        <w:ind w:firstLine="440" w:firstLineChars="200"/>
        <w:rPr>
          <w:rStyle w:val="8"/>
          <w:rFonts w:ascii="宋体" w:hAnsi="宋体"/>
          <w:color w:val="auto"/>
          <w:kern w:val="2"/>
          <w:sz w:val="22"/>
          <w:szCs w:val="22"/>
          <w:highlight w:val="none"/>
        </w:rPr>
      </w:pPr>
      <w:r>
        <w:rPr>
          <w:rStyle w:val="8"/>
          <w:rFonts w:ascii="宋体" w:hAnsi="宋体"/>
          <w:color w:val="auto"/>
          <w:kern w:val="2"/>
          <w:sz w:val="22"/>
          <w:szCs w:val="22"/>
          <w:highlight w:val="none"/>
        </w:rPr>
        <w:t>6.1安全文明施工</w:t>
      </w:r>
    </w:p>
    <w:p w14:paraId="211B7E2A">
      <w:pPr>
        <w:pStyle w:val="13"/>
        <w:spacing w:line="360" w:lineRule="auto"/>
        <w:ind w:firstLine="440" w:firstLineChars="200"/>
        <w:jc w:val="left"/>
        <w:rPr>
          <w:rStyle w:val="8"/>
          <w:rFonts w:ascii="宋体" w:hAnsi="宋体"/>
          <w:color w:val="auto"/>
          <w:kern w:val="2"/>
          <w:sz w:val="22"/>
          <w:szCs w:val="22"/>
          <w:highlight w:val="none"/>
          <w:u w:val="single"/>
        </w:rPr>
      </w:pPr>
      <w:r>
        <w:rPr>
          <w:rStyle w:val="8"/>
          <w:rFonts w:ascii="宋体" w:hAnsi="宋体"/>
          <w:color w:val="auto"/>
          <w:kern w:val="2"/>
          <w:sz w:val="22"/>
          <w:szCs w:val="22"/>
          <w:highlight w:val="none"/>
        </w:rPr>
        <w:t>6.1.1 项目安全生产的达标目标及相应事项的约定：</w:t>
      </w:r>
      <w:r>
        <w:rPr>
          <w:rStyle w:val="8"/>
          <w:rFonts w:ascii="宋体" w:hAnsi="宋体"/>
          <w:color w:val="auto"/>
          <w:kern w:val="2"/>
          <w:sz w:val="22"/>
          <w:szCs w:val="22"/>
          <w:highlight w:val="none"/>
          <w:u w:val="single"/>
        </w:rPr>
        <w:t xml:space="preserve">         </w:t>
      </w:r>
    </w:p>
    <w:p w14:paraId="34CDA09B">
      <w:pPr>
        <w:pStyle w:val="13"/>
        <w:spacing w:line="360" w:lineRule="auto"/>
        <w:jc w:val="left"/>
        <w:rPr>
          <w:rStyle w:val="8"/>
          <w:rFonts w:ascii="宋体" w:hAnsi="宋体"/>
          <w:color w:val="auto"/>
          <w:kern w:val="2"/>
          <w:sz w:val="22"/>
          <w:szCs w:val="22"/>
          <w:highlight w:val="none"/>
        </w:rPr>
      </w:pPr>
      <w:r>
        <w:rPr>
          <w:rStyle w:val="8"/>
          <w:rFonts w:ascii="宋体" w:hAnsi="宋体"/>
          <w:color w:val="auto"/>
          <w:kern w:val="2"/>
          <w:sz w:val="22"/>
          <w:szCs w:val="22"/>
          <w:highlight w:val="none"/>
          <w:u w:val="single"/>
        </w:rPr>
        <w:t xml:space="preserve">   </w:t>
      </w:r>
      <w:r>
        <w:rPr>
          <w:rStyle w:val="8"/>
          <w:rFonts w:hint="eastAsia" w:ascii="宋体" w:hAnsi="宋体"/>
          <w:color w:val="auto"/>
          <w:kern w:val="2"/>
          <w:sz w:val="22"/>
          <w:szCs w:val="22"/>
          <w:highlight w:val="none"/>
          <w:u w:val="single"/>
        </w:rPr>
        <w:t xml:space="preserve">                                                     </w:t>
      </w:r>
      <w:r>
        <w:rPr>
          <w:rStyle w:val="8"/>
          <w:rFonts w:ascii="宋体" w:hAnsi="宋体"/>
          <w:color w:val="auto"/>
          <w:kern w:val="2"/>
          <w:sz w:val="22"/>
          <w:szCs w:val="22"/>
          <w:highlight w:val="none"/>
          <w:u w:val="single"/>
        </w:rPr>
        <w:t xml:space="preserve"> </w:t>
      </w:r>
      <w:r>
        <w:rPr>
          <w:rStyle w:val="8"/>
          <w:rFonts w:ascii="宋体" w:hAnsi="宋体"/>
          <w:color w:val="auto"/>
          <w:kern w:val="2"/>
          <w:sz w:val="22"/>
          <w:szCs w:val="22"/>
          <w:highlight w:val="none"/>
        </w:rPr>
        <w:t>。</w:t>
      </w:r>
    </w:p>
    <w:p w14:paraId="5DEAC367">
      <w:pPr>
        <w:pStyle w:val="13"/>
        <w:spacing w:line="360" w:lineRule="auto"/>
        <w:ind w:firstLine="440" w:firstLineChars="200"/>
        <w:jc w:val="left"/>
        <w:rPr>
          <w:rStyle w:val="8"/>
          <w:rFonts w:ascii="宋体" w:hAnsi="宋体"/>
          <w:color w:val="auto"/>
          <w:kern w:val="2"/>
          <w:sz w:val="22"/>
          <w:szCs w:val="22"/>
          <w:highlight w:val="none"/>
          <w:u w:val="single"/>
        </w:rPr>
      </w:pPr>
      <w:r>
        <w:rPr>
          <w:rStyle w:val="8"/>
          <w:rFonts w:ascii="宋体" w:hAnsi="宋体"/>
          <w:color w:val="auto"/>
          <w:kern w:val="2"/>
          <w:sz w:val="22"/>
          <w:szCs w:val="22"/>
          <w:highlight w:val="none"/>
        </w:rPr>
        <w:t>6.1.4 关于治安保卫的特别约定：</w:t>
      </w:r>
      <w:r>
        <w:rPr>
          <w:rStyle w:val="8"/>
          <w:rFonts w:ascii="宋体" w:hAnsi="宋体"/>
          <w:color w:val="auto"/>
          <w:kern w:val="2"/>
          <w:sz w:val="22"/>
          <w:szCs w:val="22"/>
          <w:highlight w:val="none"/>
          <w:u w:val="single"/>
        </w:rPr>
        <w:t xml:space="preserve">                         </w:t>
      </w:r>
    </w:p>
    <w:p w14:paraId="4E8FB8B3">
      <w:pPr>
        <w:pStyle w:val="13"/>
        <w:spacing w:line="360" w:lineRule="auto"/>
        <w:jc w:val="left"/>
        <w:rPr>
          <w:rStyle w:val="8"/>
          <w:rFonts w:ascii="宋体" w:hAnsi="宋体"/>
          <w:color w:val="auto"/>
          <w:kern w:val="2"/>
          <w:sz w:val="22"/>
          <w:szCs w:val="22"/>
          <w:highlight w:val="none"/>
        </w:rPr>
      </w:pPr>
      <w:r>
        <w:rPr>
          <w:rStyle w:val="8"/>
          <w:rFonts w:ascii="宋体" w:hAnsi="宋体"/>
          <w:color w:val="auto"/>
          <w:kern w:val="2"/>
          <w:sz w:val="22"/>
          <w:szCs w:val="22"/>
          <w:highlight w:val="none"/>
          <w:u w:val="single"/>
        </w:rPr>
        <w:t xml:space="preserve">                                     </w:t>
      </w:r>
      <w:r>
        <w:rPr>
          <w:rStyle w:val="8"/>
          <w:rFonts w:hint="eastAsia" w:ascii="宋体" w:hAnsi="宋体"/>
          <w:color w:val="auto"/>
          <w:kern w:val="2"/>
          <w:sz w:val="22"/>
          <w:szCs w:val="22"/>
          <w:highlight w:val="none"/>
          <w:u w:val="single"/>
        </w:rPr>
        <w:t xml:space="preserve">               </w:t>
      </w:r>
      <w:r>
        <w:rPr>
          <w:rStyle w:val="8"/>
          <w:rFonts w:ascii="宋体" w:hAnsi="宋体"/>
          <w:color w:val="auto"/>
          <w:kern w:val="2"/>
          <w:sz w:val="22"/>
          <w:szCs w:val="22"/>
          <w:highlight w:val="none"/>
          <w:u w:val="single"/>
        </w:rPr>
        <w:t xml:space="preserve">     </w:t>
      </w:r>
      <w:r>
        <w:rPr>
          <w:rStyle w:val="8"/>
          <w:rFonts w:ascii="宋体" w:hAnsi="宋体"/>
          <w:color w:val="auto"/>
          <w:kern w:val="2"/>
          <w:sz w:val="22"/>
          <w:szCs w:val="22"/>
          <w:highlight w:val="none"/>
        </w:rPr>
        <w:t>。</w:t>
      </w:r>
    </w:p>
    <w:p w14:paraId="13DE740D">
      <w:pPr>
        <w:pStyle w:val="14"/>
        <w:spacing w:line="360" w:lineRule="auto"/>
        <w:ind w:firstLine="440" w:firstLineChars="200"/>
        <w:jc w:val="left"/>
        <w:rPr>
          <w:rStyle w:val="8"/>
          <w:rFonts w:ascii="宋体" w:hAnsi="宋体"/>
          <w:color w:val="auto"/>
          <w:kern w:val="2"/>
          <w:sz w:val="22"/>
          <w:szCs w:val="22"/>
          <w:highlight w:val="none"/>
          <w:u w:val="single"/>
        </w:rPr>
      </w:pPr>
      <w:r>
        <w:rPr>
          <w:rStyle w:val="8"/>
          <w:rFonts w:ascii="宋体" w:hAnsi="宋体"/>
          <w:color w:val="auto"/>
          <w:kern w:val="2"/>
          <w:sz w:val="22"/>
          <w:szCs w:val="22"/>
          <w:highlight w:val="none"/>
        </w:rPr>
        <w:t>关于编制施工场地治安管理计划的约定：</w:t>
      </w:r>
      <w:r>
        <w:rPr>
          <w:rStyle w:val="8"/>
          <w:rFonts w:hint="eastAsia" w:ascii="宋体" w:hAnsi="宋体"/>
          <w:color w:val="auto"/>
          <w:kern w:val="2"/>
          <w:sz w:val="22"/>
          <w:szCs w:val="22"/>
          <w:highlight w:val="none"/>
          <w:u w:val="single"/>
        </w:rPr>
        <w:t>承包人负责编制和执行施工场地治安管理计划，发包人应予以协助  。</w:t>
      </w:r>
    </w:p>
    <w:p w14:paraId="12E6D652">
      <w:pPr>
        <w:pStyle w:val="13"/>
        <w:spacing w:line="360" w:lineRule="auto"/>
        <w:ind w:firstLine="440" w:firstLineChars="200"/>
        <w:jc w:val="left"/>
        <w:rPr>
          <w:rStyle w:val="8"/>
          <w:rFonts w:ascii="宋体" w:hAnsi="宋体"/>
          <w:color w:val="auto"/>
          <w:kern w:val="2"/>
          <w:sz w:val="22"/>
          <w:szCs w:val="22"/>
          <w:highlight w:val="none"/>
        </w:rPr>
      </w:pPr>
      <w:r>
        <w:rPr>
          <w:rStyle w:val="8"/>
          <w:rFonts w:hint="eastAsia" w:ascii="宋体" w:hAnsi="宋体"/>
          <w:color w:val="auto"/>
          <w:kern w:val="2"/>
          <w:sz w:val="22"/>
          <w:szCs w:val="22"/>
          <w:highlight w:val="none"/>
        </w:rPr>
        <w:t>6.1.5 文明施工</w:t>
      </w:r>
    </w:p>
    <w:p w14:paraId="1A94FAE3">
      <w:pPr>
        <w:pStyle w:val="14"/>
        <w:spacing w:line="360" w:lineRule="auto"/>
        <w:ind w:firstLine="440" w:firstLineChars="200"/>
        <w:jc w:val="left"/>
        <w:rPr>
          <w:rStyle w:val="8"/>
          <w:rFonts w:ascii="宋体" w:hAnsi="宋体"/>
          <w:color w:val="auto"/>
          <w:kern w:val="2"/>
          <w:sz w:val="22"/>
          <w:szCs w:val="22"/>
          <w:highlight w:val="none"/>
          <w:u w:val="single"/>
        </w:rPr>
      </w:pPr>
      <w:r>
        <w:rPr>
          <w:rStyle w:val="8"/>
          <w:rFonts w:hint="eastAsia" w:ascii="宋体" w:hAnsi="宋体"/>
          <w:color w:val="auto"/>
          <w:kern w:val="2"/>
          <w:sz w:val="22"/>
          <w:szCs w:val="22"/>
          <w:highlight w:val="none"/>
        </w:rPr>
        <w:t>合同当事人对文明施工的要求：</w:t>
      </w:r>
      <w:r>
        <w:rPr>
          <w:rStyle w:val="8"/>
          <w:rFonts w:ascii="宋体" w:hAnsi="宋体"/>
          <w:color w:val="auto"/>
          <w:kern w:val="2"/>
          <w:sz w:val="22"/>
          <w:szCs w:val="22"/>
          <w:highlight w:val="none"/>
          <w:u w:val="single"/>
        </w:rPr>
        <w:t xml:space="preserve"> </w:t>
      </w:r>
      <w:r>
        <w:rPr>
          <w:rStyle w:val="8"/>
          <w:rFonts w:hint="eastAsia" w:ascii="宋体" w:hAnsi="宋体"/>
          <w:color w:val="auto"/>
          <w:kern w:val="2"/>
          <w:sz w:val="22"/>
          <w:szCs w:val="22"/>
          <w:highlight w:val="none"/>
          <w:u w:val="single"/>
        </w:rPr>
        <w:t>符合国家建设工程安全文明施工的要求及</w:t>
      </w:r>
      <w:r>
        <w:rPr>
          <w:rStyle w:val="8"/>
          <w:rFonts w:hint="eastAsia" w:ascii="宋体" w:hAnsi="宋体"/>
          <w:color w:val="auto"/>
          <w:kern w:val="2"/>
          <w:sz w:val="22"/>
          <w:szCs w:val="22"/>
          <w:highlight w:val="none"/>
          <w:u w:val="single"/>
          <w:lang w:eastAsia="zh-CN"/>
        </w:rPr>
        <w:t>营口市</w:t>
      </w:r>
      <w:r>
        <w:rPr>
          <w:rStyle w:val="8"/>
          <w:rFonts w:hint="eastAsia" w:ascii="宋体" w:hAnsi="宋体"/>
          <w:color w:val="auto"/>
          <w:kern w:val="2"/>
          <w:sz w:val="22"/>
          <w:szCs w:val="22"/>
          <w:highlight w:val="none"/>
          <w:u w:val="single"/>
        </w:rPr>
        <w:t>政府相关规定 。</w:t>
      </w:r>
    </w:p>
    <w:p w14:paraId="3F41255C">
      <w:pPr>
        <w:pStyle w:val="14"/>
        <w:spacing w:line="360" w:lineRule="auto"/>
        <w:ind w:firstLine="440" w:firstLineChars="200"/>
        <w:jc w:val="left"/>
        <w:rPr>
          <w:rStyle w:val="8"/>
          <w:rFonts w:ascii="宋体" w:hAnsi="宋体"/>
          <w:color w:val="auto"/>
          <w:kern w:val="2"/>
          <w:sz w:val="22"/>
          <w:szCs w:val="22"/>
          <w:highlight w:val="none"/>
          <w:u w:val="single"/>
        </w:rPr>
      </w:pPr>
      <w:r>
        <w:rPr>
          <w:rStyle w:val="8"/>
          <w:rFonts w:ascii="宋体" w:hAnsi="宋体"/>
          <w:color w:val="auto"/>
          <w:kern w:val="2"/>
          <w:sz w:val="22"/>
          <w:szCs w:val="22"/>
          <w:highlight w:val="none"/>
        </w:rPr>
        <w:t>6.1.6 关于安全文明施工费支付比例和支付期限的约定：</w:t>
      </w:r>
      <w:r>
        <w:rPr>
          <w:rStyle w:val="8"/>
          <w:rFonts w:ascii="宋体" w:hAnsi="宋体"/>
          <w:color w:val="auto"/>
          <w:kern w:val="2"/>
          <w:sz w:val="22"/>
          <w:szCs w:val="22"/>
          <w:highlight w:val="none"/>
          <w:u w:val="single"/>
        </w:rPr>
        <w:t xml:space="preserve">  </w:t>
      </w:r>
      <w:r>
        <w:rPr>
          <w:rStyle w:val="8"/>
          <w:rFonts w:hint="eastAsia" w:ascii="宋体" w:hAnsi="宋体"/>
          <w:color w:val="auto"/>
          <w:kern w:val="2"/>
          <w:sz w:val="22"/>
          <w:szCs w:val="22"/>
          <w:highlight w:val="none"/>
          <w:u w:val="single"/>
        </w:rPr>
        <w:t>随工程进度款同比例支付  。</w:t>
      </w:r>
    </w:p>
    <w:bookmarkEnd w:id="485"/>
    <w:bookmarkEnd w:id="486"/>
    <w:bookmarkEnd w:id="487"/>
    <w:bookmarkEnd w:id="488"/>
    <w:bookmarkEnd w:id="489"/>
    <w:bookmarkEnd w:id="490"/>
    <w:bookmarkEnd w:id="491"/>
    <w:p w14:paraId="09259224">
      <w:pPr>
        <w:pStyle w:val="15"/>
        <w:spacing w:before="120" w:after="120" w:line="360" w:lineRule="auto"/>
        <w:rPr>
          <w:rStyle w:val="8"/>
          <w:rFonts w:ascii="宋体" w:hAnsi="宋体" w:eastAsia="宋体"/>
          <w:b w:val="0"/>
          <w:color w:val="auto"/>
          <w:sz w:val="22"/>
          <w:szCs w:val="22"/>
          <w:highlight w:val="none"/>
        </w:rPr>
      </w:pPr>
      <w:bookmarkStart w:id="514" w:name="_Toc256001303"/>
      <w:bookmarkStart w:id="515" w:name="_Toc23654"/>
      <w:bookmarkStart w:id="516" w:name="_Toc351203639"/>
      <w:bookmarkStart w:id="517" w:name="_Toc69461815"/>
      <w:bookmarkStart w:id="518" w:name="_Toc3767"/>
      <w:bookmarkStart w:id="519" w:name="_Toc256000340"/>
      <w:bookmarkStart w:id="520" w:name="_Toc256000569"/>
      <w:bookmarkStart w:id="521" w:name="_Toc256000836"/>
      <w:bookmarkStart w:id="522" w:name="_Toc256001073"/>
      <w:bookmarkStart w:id="523" w:name="_Toc69461160"/>
      <w:r>
        <w:rPr>
          <w:rStyle w:val="8"/>
          <w:rFonts w:ascii="宋体" w:hAnsi="宋体" w:eastAsia="宋体"/>
          <w:b w:val="0"/>
          <w:color w:val="auto"/>
          <w:sz w:val="22"/>
          <w:szCs w:val="22"/>
          <w:highlight w:val="none"/>
        </w:rPr>
        <w:t>7. 工期和进度</w:t>
      </w:r>
      <w:bookmarkEnd w:id="514"/>
      <w:bookmarkEnd w:id="515"/>
      <w:bookmarkEnd w:id="516"/>
      <w:bookmarkEnd w:id="517"/>
      <w:bookmarkEnd w:id="518"/>
      <w:bookmarkEnd w:id="519"/>
      <w:bookmarkEnd w:id="520"/>
      <w:bookmarkEnd w:id="521"/>
      <w:bookmarkEnd w:id="522"/>
      <w:bookmarkEnd w:id="523"/>
    </w:p>
    <w:p w14:paraId="3D1D3375">
      <w:pPr>
        <w:pStyle w:val="13"/>
        <w:spacing w:after="120" w:line="360" w:lineRule="auto"/>
        <w:ind w:firstLine="440" w:firstLineChars="200"/>
        <w:rPr>
          <w:rStyle w:val="8"/>
          <w:rFonts w:ascii="宋体" w:hAnsi="宋体"/>
          <w:color w:val="auto"/>
          <w:kern w:val="2"/>
          <w:sz w:val="22"/>
          <w:szCs w:val="22"/>
          <w:highlight w:val="none"/>
        </w:rPr>
      </w:pPr>
      <w:r>
        <w:rPr>
          <w:rStyle w:val="8"/>
          <w:rFonts w:ascii="宋体" w:hAnsi="宋体"/>
          <w:color w:val="auto"/>
          <w:kern w:val="2"/>
          <w:sz w:val="22"/>
          <w:szCs w:val="22"/>
          <w:highlight w:val="none"/>
        </w:rPr>
        <w:t>7.1 施工组织设计</w:t>
      </w:r>
    </w:p>
    <w:p w14:paraId="42DC7F83">
      <w:pPr>
        <w:pStyle w:val="13"/>
        <w:autoSpaceDE w:val="0"/>
        <w:autoSpaceDN w:val="0"/>
        <w:adjustRightInd w:val="0"/>
        <w:spacing w:line="360" w:lineRule="auto"/>
        <w:ind w:firstLine="440" w:firstLineChars="200"/>
        <w:jc w:val="left"/>
        <w:rPr>
          <w:rStyle w:val="8"/>
          <w:rFonts w:ascii="宋体" w:hAnsi="宋体"/>
          <w:color w:val="auto"/>
          <w:kern w:val="2"/>
          <w:sz w:val="22"/>
          <w:szCs w:val="22"/>
          <w:highlight w:val="none"/>
          <w:u w:val="single"/>
        </w:rPr>
      </w:pPr>
      <w:r>
        <w:rPr>
          <w:rStyle w:val="8"/>
          <w:rFonts w:ascii="宋体" w:hAnsi="宋体"/>
          <w:color w:val="auto"/>
          <w:kern w:val="2"/>
          <w:sz w:val="22"/>
          <w:szCs w:val="22"/>
          <w:highlight w:val="none"/>
        </w:rPr>
        <w:t>7.1.</w:t>
      </w:r>
      <w:r>
        <w:rPr>
          <w:rStyle w:val="8"/>
          <w:rFonts w:hint="eastAsia" w:ascii="宋体" w:hAnsi="宋体"/>
          <w:color w:val="auto"/>
          <w:kern w:val="2"/>
          <w:sz w:val="22"/>
          <w:szCs w:val="22"/>
          <w:highlight w:val="none"/>
        </w:rPr>
        <w:t>1 合</w:t>
      </w:r>
      <w:r>
        <w:rPr>
          <w:rStyle w:val="8"/>
          <w:rFonts w:hint="eastAsia" w:ascii="宋体" w:hAnsi="宋体"/>
          <w:color w:val="auto"/>
          <w:sz w:val="22"/>
          <w:szCs w:val="22"/>
          <w:highlight w:val="none"/>
        </w:rPr>
        <w:t>同当事人约定的</w:t>
      </w:r>
      <w:r>
        <w:rPr>
          <w:rStyle w:val="8"/>
          <w:rFonts w:ascii="宋体" w:hAnsi="宋体"/>
          <w:color w:val="auto"/>
          <w:sz w:val="22"/>
          <w:szCs w:val="22"/>
          <w:highlight w:val="none"/>
        </w:rPr>
        <w:t>施工组织设计</w:t>
      </w:r>
      <w:r>
        <w:rPr>
          <w:rStyle w:val="8"/>
          <w:rFonts w:hint="eastAsia" w:ascii="宋体" w:hAnsi="宋体"/>
          <w:color w:val="auto"/>
          <w:sz w:val="22"/>
          <w:szCs w:val="22"/>
          <w:highlight w:val="none"/>
        </w:rPr>
        <w:t>应包括的其他内容</w:t>
      </w:r>
      <w:r>
        <w:rPr>
          <w:rStyle w:val="8"/>
          <w:rFonts w:ascii="宋体" w:hAnsi="宋体"/>
          <w:color w:val="auto"/>
          <w:sz w:val="22"/>
          <w:szCs w:val="22"/>
          <w:highlight w:val="none"/>
        </w:rPr>
        <w:t>：</w:t>
      </w:r>
      <w:r>
        <w:rPr>
          <w:rStyle w:val="8"/>
          <w:rFonts w:hint="eastAsia" w:ascii="宋体" w:hAnsi="宋体"/>
          <w:color w:val="auto"/>
          <w:kern w:val="2"/>
          <w:sz w:val="22"/>
          <w:szCs w:val="22"/>
          <w:highlight w:val="none"/>
          <w:u w:val="single"/>
        </w:rPr>
        <w:t xml:space="preserve">/ </w:t>
      </w:r>
      <w:r>
        <w:rPr>
          <w:rStyle w:val="8"/>
          <w:rFonts w:ascii="宋体" w:hAnsi="宋体"/>
          <w:color w:val="auto"/>
          <w:kern w:val="2"/>
          <w:sz w:val="22"/>
          <w:szCs w:val="22"/>
          <w:highlight w:val="none"/>
          <w:u w:val="single"/>
        </w:rPr>
        <w:t xml:space="preserve">  </w:t>
      </w:r>
      <w:r>
        <w:rPr>
          <w:rStyle w:val="8"/>
          <w:rFonts w:hint="eastAsia" w:ascii="宋体" w:hAnsi="宋体"/>
          <w:color w:val="auto"/>
          <w:kern w:val="2"/>
          <w:sz w:val="22"/>
          <w:szCs w:val="22"/>
          <w:highlight w:val="none"/>
          <w:u w:val="single"/>
        </w:rPr>
        <w:t xml:space="preserve"> </w:t>
      </w:r>
      <w:r>
        <w:rPr>
          <w:rStyle w:val="8"/>
          <w:rFonts w:ascii="宋体" w:hAnsi="宋体"/>
          <w:color w:val="auto"/>
          <w:kern w:val="2"/>
          <w:sz w:val="22"/>
          <w:szCs w:val="22"/>
          <w:highlight w:val="none"/>
        </w:rPr>
        <w:t>。</w:t>
      </w:r>
    </w:p>
    <w:p w14:paraId="5E236DDD">
      <w:pPr>
        <w:pStyle w:val="13"/>
        <w:autoSpaceDE w:val="0"/>
        <w:autoSpaceDN w:val="0"/>
        <w:adjustRightInd w:val="0"/>
        <w:spacing w:line="360" w:lineRule="auto"/>
        <w:ind w:firstLine="440" w:firstLineChars="200"/>
        <w:jc w:val="left"/>
        <w:rPr>
          <w:rStyle w:val="8"/>
          <w:rFonts w:ascii="宋体" w:hAnsi="宋体"/>
          <w:color w:val="auto"/>
          <w:sz w:val="22"/>
          <w:szCs w:val="22"/>
          <w:highlight w:val="none"/>
        </w:rPr>
      </w:pPr>
      <w:r>
        <w:rPr>
          <w:rStyle w:val="8"/>
          <w:rFonts w:ascii="宋体" w:hAnsi="宋体"/>
          <w:color w:val="auto"/>
          <w:kern w:val="2"/>
          <w:sz w:val="22"/>
          <w:szCs w:val="22"/>
          <w:highlight w:val="none"/>
        </w:rPr>
        <w:t xml:space="preserve">7.1.2 </w:t>
      </w:r>
      <w:r>
        <w:rPr>
          <w:rStyle w:val="8"/>
          <w:rFonts w:ascii="宋体" w:hAnsi="宋体"/>
          <w:color w:val="auto"/>
          <w:sz w:val="22"/>
          <w:szCs w:val="22"/>
          <w:highlight w:val="none"/>
        </w:rPr>
        <w:t>施工组织设计的提交和修改</w:t>
      </w:r>
    </w:p>
    <w:p w14:paraId="2C988727">
      <w:pPr>
        <w:pStyle w:val="14"/>
        <w:autoSpaceDE w:val="0"/>
        <w:autoSpaceDN w:val="0"/>
        <w:adjustRightInd w:val="0"/>
        <w:spacing w:line="360" w:lineRule="auto"/>
        <w:ind w:firstLine="440" w:firstLineChars="200"/>
        <w:jc w:val="left"/>
        <w:rPr>
          <w:rStyle w:val="8"/>
          <w:rFonts w:ascii="宋体" w:hAnsi="宋体"/>
          <w:color w:val="auto"/>
          <w:kern w:val="2"/>
          <w:sz w:val="22"/>
          <w:szCs w:val="22"/>
          <w:highlight w:val="none"/>
          <w:u w:val="single"/>
        </w:rPr>
      </w:pPr>
      <w:r>
        <w:rPr>
          <w:rStyle w:val="8"/>
          <w:rFonts w:ascii="宋体" w:hAnsi="宋体"/>
          <w:color w:val="auto"/>
          <w:sz w:val="22"/>
          <w:szCs w:val="22"/>
          <w:highlight w:val="none"/>
        </w:rPr>
        <w:t>承包人提交详细施工组织设计的期限的约定：</w:t>
      </w:r>
      <w:r>
        <w:rPr>
          <w:rStyle w:val="8"/>
          <w:rFonts w:ascii="宋体" w:hAnsi="宋体"/>
          <w:color w:val="auto"/>
          <w:kern w:val="2"/>
          <w:sz w:val="22"/>
          <w:szCs w:val="22"/>
          <w:highlight w:val="none"/>
          <w:u w:val="single"/>
        </w:rPr>
        <w:t xml:space="preserve">  </w:t>
      </w:r>
      <w:r>
        <w:rPr>
          <w:rStyle w:val="8"/>
          <w:rFonts w:hint="eastAsia" w:ascii="宋体" w:hAnsi="宋体"/>
          <w:color w:val="auto"/>
          <w:kern w:val="2"/>
          <w:sz w:val="22"/>
          <w:szCs w:val="22"/>
          <w:highlight w:val="none"/>
          <w:u w:val="single"/>
        </w:rPr>
        <w:t>承包人在收到发包人下发的开工通知后5日内    。</w:t>
      </w:r>
    </w:p>
    <w:p w14:paraId="6BD6D1B2">
      <w:pPr>
        <w:pStyle w:val="13"/>
        <w:spacing w:line="360" w:lineRule="auto"/>
        <w:ind w:firstLine="440" w:firstLineChars="200"/>
        <w:jc w:val="left"/>
        <w:rPr>
          <w:rStyle w:val="8"/>
          <w:rFonts w:ascii="宋体" w:hAnsi="宋体"/>
          <w:color w:val="auto"/>
          <w:kern w:val="2"/>
          <w:sz w:val="22"/>
          <w:szCs w:val="22"/>
          <w:highlight w:val="none"/>
        </w:rPr>
      </w:pPr>
      <w:r>
        <w:rPr>
          <w:rStyle w:val="8"/>
          <w:rFonts w:ascii="宋体" w:hAnsi="宋体"/>
          <w:color w:val="auto"/>
          <w:kern w:val="2"/>
          <w:sz w:val="22"/>
          <w:szCs w:val="22"/>
          <w:highlight w:val="none"/>
        </w:rPr>
        <w:t>发包人和监理人在收到</w:t>
      </w:r>
      <w:r>
        <w:rPr>
          <w:rStyle w:val="8"/>
          <w:rFonts w:hint="eastAsia" w:ascii="宋体" w:hAnsi="宋体"/>
          <w:color w:val="auto"/>
          <w:kern w:val="2"/>
          <w:sz w:val="22"/>
          <w:szCs w:val="22"/>
          <w:highlight w:val="none"/>
        </w:rPr>
        <w:t>详细的施工组织设计</w:t>
      </w:r>
      <w:r>
        <w:rPr>
          <w:rStyle w:val="8"/>
          <w:rFonts w:ascii="宋体" w:hAnsi="宋体"/>
          <w:color w:val="auto"/>
          <w:kern w:val="2"/>
          <w:sz w:val="22"/>
          <w:szCs w:val="22"/>
          <w:highlight w:val="none"/>
        </w:rPr>
        <w:t>后确认或提出修改意见的期限：</w:t>
      </w:r>
      <w:r>
        <w:rPr>
          <w:rStyle w:val="8"/>
          <w:rFonts w:hint="eastAsia" w:ascii="宋体" w:hAnsi="宋体"/>
          <w:color w:val="auto"/>
          <w:kern w:val="2"/>
          <w:sz w:val="22"/>
          <w:szCs w:val="22"/>
          <w:highlight w:val="none"/>
          <w:u w:val="single"/>
        </w:rPr>
        <w:t>自发包人收到承包人报送的相关进度计划和设计方案说明后5天内 。</w:t>
      </w:r>
    </w:p>
    <w:p w14:paraId="692310B8">
      <w:pPr>
        <w:pStyle w:val="13"/>
        <w:spacing w:after="120" w:line="360" w:lineRule="auto"/>
        <w:ind w:firstLine="440" w:firstLineChars="200"/>
        <w:rPr>
          <w:rStyle w:val="8"/>
          <w:rFonts w:ascii="宋体" w:hAnsi="宋体"/>
          <w:color w:val="auto"/>
          <w:kern w:val="2"/>
          <w:sz w:val="22"/>
          <w:szCs w:val="22"/>
          <w:highlight w:val="none"/>
        </w:rPr>
      </w:pPr>
      <w:r>
        <w:rPr>
          <w:rStyle w:val="8"/>
          <w:rFonts w:ascii="宋体" w:hAnsi="宋体"/>
          <w:color w:val="auto"/>
          <w:kern w:val="2"/>
          <w:sz w:val="22"/>
          <w:szCs w:val="22"/>
          <w:highlight w:val="none"/>
        </w:rPr>
        <w:t>7</w:t>
      </w:r>
      <w:bookmarkStart w:id="524" w:name="_Toc312677479"/>
      <w:bookmarkStart w:id="525" w:name="_Toc297123514"/>
      <w:bookmarkStart w:id="526" w:name="_Toc312678005"/>
      <w:bookmarkStart w:id="527" w:name="_Toc297216173"/>
      <w:bookmarkStart w:id="528" w:name="_Toc303539123"/>
      <w:bookmarkStart w:id="529" w:name="_Toc304295541"/>
      <w:bookmarkStart w:id="530" w:name="_Toc300934966"/>
      <w:r>
        <w:rPr>
          <w:rStyle w:val="8"/>
          <w:rFonts w:ascii="宋体" w:hAnsi="宋体"/>
          <w:color w:val="auto"/>
          <w:kern w:val="2"/>
          <w:sz w:val="22"/>
          <w:szCs w:val="22"/>
          <w:highlight w:val="none"/>
        </w:rPr>
        <w:t>.2 施工进度计划</w:t>
      </w:r>
    </w:p>
    <w:p w14:paraId="7AB89F14">
      <w:pPr>
        <w:pStyle w:val="13"/>
        <w:spacing w:line="360" w:lineRule="auto"/>
        <w:ind w:firstLine="440" w:firstLineChars="200"/>
        <w:jc w:val="left"/>
        <w:rPr>
          <w:rStyle w:val="8"/>
          <w:rFonts w:ascii="宋体" w:hAnsi="宋体"/>
          <w:color w:val="auto"/>
          <w:kern w:val="2"/>
          <w:sz w:val="22"/>
          <w:szCs w:val="22"/>
          <w:highlight w:val="none"/>
        </w:rPr>
      </w:pPr>
      <w:r>
        <w:rPr>
          <w:rStyle w:val="8"/>
          <w:rFonts w:ascii="宋体" w:hAnsi="宋体"/>
          <w:color w:val="auto"/>
          <w:kern w:val="2"/>
          <w:sz w:val="22"/>
          <w:szCs w:val="22"/>
          <w:highlight w:val="none"/>
        </w:rPr>
        <w:t>7.2.2 施工进度计划的修订</w:t>
      </w:r>
    </w:p>
    <w:p w14:paraId="3784B2A2">
      <w:pPr>
        <w:pStyle w:val="14"/>
        <w:spacing w:line="360" w:lineRule="auto"/>
        <w:ind w:firstLine="440" w:firstLineChars="200"/>
        <w:jc w:val="left"/>
        <w:rPr>
          <w:rStyle w:val="8"/>
          <w:rFonts w:ascii="宋体" w:hAnsi="宋体"/>
          <w:color w:val="auto"/>
          <w:kern w:val="2"/>
          <w:sz w:val="22"/>
          <w:szCs w:val="22"/>
          <w:highlight w:val="none"/>
          <w:u w:val="single"/>
        </w:rPr>
      </w:pPr>
      <w:r>
        <w:rPr>
          <w:rStyle w:val="8"/>
          <w:rFonts w:ascii="宋体" w:hAnsi="宋体"/>
          <w:color w:val="auto"/>
          <w:kern w:val="2"/>
          <w:sz w:val="22"/>
          <w:szCs w:val="22"/>
          <w:highlight w:val="none"/>
        </w:rPr>
        <w:t>发包人和监理人在收到修订的施工进度计划后确认或提出修改意见的期限：</w:t>
      </w:r>
      <w:r>
        <w:rPr>
          <w:rStyle w:val="8"/>
          <w:rFonts w:ascii="宋体" w:hAnsi="宋体"/>
          <w:color w:val="auto"/>
          <w:kern w:val="2"/>
          <w:sz w:val="22"/>
          <w:szCs w:val="22"/>
          <w:highlight w:val="none"/>
          <w:u w:val="single"/>
        </w:rPr>
        <w:t xml:space="preserve">  </w:t>
      </w:r>
      <w:r>
        <w:rPr>
          <w:rStyle w:val="8"/>
          <w:rFonts w:hint="eastAsia" w:ascii="宋体" w:hAnsi="宋体"/>
          <w:color w:val="auto"/>
          <w:kern w:val="2"/>
          <w:sz w:val="22"/>
          <w:szCs w:val="22"/>
          <w:highlight w:val="none"/>
          <w:u w:val="single"/>
        </w:rPr>
        <w:t>5 天内完成审核和批准或提出修改意见 。</w:t>
      </w:r>
    </w:p>
    <w:p w14:paraId="2FF493BD">
      <w:pPr>
        <w:pStyle w:val="13"/>
        <w:spacing w:after="120" w:line="360" w:lineRule="auto"/>
        <w:ind w:firstLine="440" w:firstLineChars="200"/>
        <w:rPr>
          <w:rStyle w:val="8"/>
          <w:rFonts w:ascii="宋体" w:hAnsi="宋体"/>
          <w:color w:val="auto"/>
          <w:kern w:val="2"/>
          <w:sz w:val="22"/>
          <w:szCs w:val="22"/>
          <w:highlight w:val="none"/>
        </w:rPr>
      </w:pPr>
      <w:r>
        <w:rPr>
          <w:rStyle w:val="8"/>
          <w:rFonts w:ascii="宋体" w:hAnsi="宋体"/>
          <w:color w:val="auto"/>
          <w:kern w:val="2"/>
          <w:sz w:val="22"/>
          <w:szCs w:val="22"/>
          <w:highlight w:val="none"/>
        </w:rPr>
        <w:t>7.3 开工</w:t>
      </w:r>
    </w:p>
    <w:p w14:paraId="2C556D90">
      <w:pPr>
        <w:pStyle w:val="13"/>
        <w:spacing w:line="360" w:lineRule="auto"/>
        <w:ind w:firstLine="440" w:firstLineChars="200"/>
        <w:jc w:val="left"/>
        <w:rPr>
          <w:rStyle w:val="8"/>
          <w:rFonts w:ascii="宋体" w:hAnsi="宋体"/>
          <w:color w:val="auto"/>
          <w:kern w:val="2"/>
          <w:sz w:val="22"/>
          <w:szCs w:val="22"/>
          <w:highlight w:val="none"/>
        </w:rPr>
      </w:pPr>
      <w:r>
        <w:rPr>
          <w:rStyle w:val="8"/>
          <w:rFonts w:ascii="宋体" w:hAnsi="宋体"/>
          <w:color w:val="auto"/>
          <w:kern w:val="2"/>
          <w:sz w:val="22"/>
          <w:szCs w:val="22"/>
          <w:highlight w:val="none"/>
        </w:rPr>
        <w:t>7.3.1 开工准备</w:t>
      </w:r>
    </w:p>
    <w:p w14:paraId="0B51A2A1">
      <w:pPr>
        <w:pStyle w:val="14"/>
        <w:spacing w:line="360" w:lineRule="auto"/>
        <w:ind w:firstLine="645"/>
        <w:jc w:val="left"/>
        <w:rPr>
          <w:rStyle w:val="8"/>
          <w:rFonts w:ascii="宋体" w:hAnsi="宋体"/>
          <w:color w:val="auto"/>
          <w:kern w:val="2"/>
          <w:sz w:val="22"/>
          <w:szCs w:val="22"/>
          <w:highlight w:val="none"/>
          <w:u w:val="single"/>
        </w:rPr>
      </w:pPr>
      <w:r>
        <w:rPr>
          <w:rStyle w:val="8"/>
          <w:rFonts w:ascii="宋体" w:hAnsi="宋体"/>
          <w:color w:val="auto"/>
          <w:kern w:val="2"/>
          <w:sz w:val="22"/>
          <w:szCs w:val="22"/>
          <w:highlight w:val="none"/>
        </w:rPr>
        <w:t>关于承包人提交</w:t>
      </w:r>
      <w:r>
        <w:rPr>
          <w:rStyle w:val="8"/>
          <w:rFonts w:ascii="宋体" w:hAnsi="宋体"/>
          <w:color w:val="auto"/>
          <w:sz w:val="22"/>
          <w:szCs w:val="22"/>
          <w:highlight w:val="none"/>
        </w:rPr>
        <w:t>工程开工报审表的期限：</w:t>
      </w:r>
      <w:r>
        <w:rPr>
          <w:rStyle w:val="8"/>
          <w:rFonts w:hint="eastAsia" w:ascii="宋体" w:hAnsi="宋体"/>
          <w:color w:val="auto"/>
          <w:kern w:val="2"/>
          <w:sz w:val="22"/>
          <w:szCs w:val="22"/>
          <w:highlight w:val="none"/>
          <w:u w:val="single"/>
        </w:rPr>
        <w:t>承包人应在合同签订后10 天内，但不迟于开工通知载明的开工日期前7 日内   。</w:t>
      </w:r>
    </w:p>
    <w:p w14:paraId="034BC56A">
      <w:pPr>
        <w:pStyle w:val="13"/>
        <w:spacing w:line="360" w:lineRule="auto"/>
        <w:ind w:firstLine="645"/>
        <w:jc w:val="left"/>
        <w:rPr>
          <w:rStyle w:val="8"/>
          <w:rFonts w:ascii="宋体" w:hAnsi="宋体"/>
          <w:color w:val="auto"/>
          <w:kern w:val="2"/>
          <w:sz w:val="22"/>
          <w:szCs w:val="22"/>
          <w:highlight w:val="none"/>
          <w:u w:val="single"/>
        </w:rPr>
      </w:pPr>
      <w:r>
        <w:rPr>
          <w:rStyle w:val="8"/>
          <w:rFonts w:ascii="宋体" w:hAnsi="宋体"/>
          <w:color w:val="auto"/>
          <w:kern w:val="2"/>
          <w:sz w:val="22"/>
          <w:szCs w:val="22"/>
          <w:highlight w:val="none"/>
        </w:rPr>
        <w:t>关于发包人应完成的其他开工准备工作及期限：</w:t>
      </w:r>
      <w:r>
        <w:rPr>
          <w:rStyle w:val="8"/>
          <w:rFonts w:ascii="宋体" w:hAnsi="宋体"/>
          <w:color w:val="auto"/>
          <w:kern w:val="2"/>
          <w:sz w:val="22"/>
          <w:szCs w:val="22"/>
          <w:highlight w:val="none"/>
          <w:u w:val="single"/>
        </w:rPr>
        <w:t xml:space="preserve">    </w:t>
      </w:r>
      <w:r>
        <w:rPr>
          <w:rStyle w:val="8"/>
          <w:rFonts w:hint="eastAsia" w:ascii="宋体" w:hAnsi="宋体"/>
          <w:color w:val="auto"/>
          <w:kern w:val="2"/>
          <w:sz w:val="22"/>
          <w:szCs w:val="22"/>
          <w:highlight w:val="none"/>
          <w:u w:val="single"/>
        </w:rPr>
        <w:t xml:space="preserve">/  </w:t>
      </w:r>
      <w:r>
        <w:rPr>
          <w:rStyle w:val="8"/>
          <w:rFonts w:ascii="宋体" w:hAnsi="宋体"/>
          <w:color w:val="auto"/>
          <w:kern w:val="2"/>
          <w:sz w:val="22"/>
          <w:szCs w:val="22"/>
          <w:highlight w:val="none"/>
          <w:u w:val="single"/>
        </w:rPr>
        <w:t xml:space="preserve">         </w:t>
      </w:r>
    </w:p>
    <w:p w14:paraId="7C84D5D1">
      <w:pPr>
        <w:pStyle w:val="13"/>
        <w:spacing w:line="360" w:lineRule="auto"/>
        <w:ind w:firstLine="440" w:firstLineChars="200"/>
        <w:jc w:val="left"/>
        <w:rPr>
          <w:rStyle w:val="8"/>
          <w:rFonts w:ascii="宋体" w:hAnsi="宋体"/>
          <w:color w:val="auto"/>
          <w:kern w:val="2"/>
          <w:sz w:val="22"/>
          <w:szCs w:val="22"/>
          <w:highlight w:val="none"/>
          <w:u w:val="single"/>
        </w:rPr>
      </w:pPr>
      <w:r>
        <w:rPr>
          <w:rStyle w:val="8"/>
          <w:rFonts w:ascii="宋体" w:hAnsi="宋体"/>
          <w:color w:val="auto"/>
          <w:kern w:val="2"/>
          <w:sz w:val="22"/>
          <w:szCs w:val="22"/>
          <w:highlight w:val="none"/>
        </w:rPr>
        <w:t>关于承包人应完成的其他开工准备工作及期限：</w:t>
      </w:r>
      <w:r>
        <w:rPr>
          <w:rStyle w:val="8"/>
          <w:rFonts w:ascii="宋体" w:hAnsi="宋体"/>
          <w:color w:val="auto"/>
          <w:kern w:val="2"/>
          <w:sz w:val="22"/>
          <w:szCs w:val="22"/>
          <w:highlight w:val="none"/>
          <w:u w:val="single"/>
        </w:rPr>
        <w:t xml:space="preserve">   </w:t>
      </w:r>
      <w:r>
        <w:rPr>
          <w:rStyle w:val="8"/>
          <w:rFonts w:hint="eastAsia" w:ascii="宋体" w:hAnsi="宋体"/>
          <w:color w:val="auto"/>
          <w:kern w:val="2"/>
          <w:sz w:val="22"/>
          <w:szCs w:val="22"/>
          <w:highlight w:val="none"/>
          <w:u w:val="single"/>
        </w:rPr>
        <w:t xml:space="preserve">/  </w:t>
      </w:r>
      <w:r>
        <w:rPr>
          <w:rStyle w:val="8"/>
          <w:rFonts w:ascii="宋体" w:hAnsi="宋体"/>
          <w:color w:val="auto"/>
          <w:kern w:val="2"/>
          <w:sz w:val="22"/>
          <w:szCs w:val="22"/>
          <w:highlight w:val="none"/>
          <w:u w:val="single"/>
        </w:rPr>
        <w:t xml:space="preserve">      </w:t>
      </w:r>
      <w:r>
        <w:rPr>
          <w:rStyle w:val="8"/>
          <w:rFonts w:hint="eastAsia" w:ascii="宋体" w:hAnsi="宋体"/>
          <w:color w:val="auto"/>
          <w:kern w:val="2"/>
          <w:sz w:val="22"/>
          <w:szCs w:val="22"/>
          <w:highlight w:val="none"/>
          <w:u w:val="single"/>
        </w:rPr>
        <w:t xml:space="preserve"> </w:t>
      </w:r>
      <w:r>
        <w:rPr>
          <w:rStyle w:val="8"/>
          <w:rFonts w:ascii="宋体" w:hAnsi="宋体"/>
          <w:color w:val="auto"/>
          <w:kern w:val="2"/>
          <w:sz w:val="22"/>
          <w:szCs w:val="22"/>
          <w:highlight w:val="none"/>
          <w:u w:val="single"/>
        </w:rPr>
        <w:t xml:space="preserve">  </w:t>
      </w:r>
    </w:p>
    <w:p w14:paraId="61636FA5">
      <w:pPr>
        <w:pStyle w:val="13"/>
        <w:spacing w:line="360" w:lineRule="auto"/>
        <w:ind w:firstLine="440" w:firstLineChars="200"/>
        <w:jc w:val="left"/>
        <w:rPr>
          <w:rStyle w:val="8"/>
          <w:rFonts w:ascii="宋体" w:hAnsi="宋体"/>
          <w:color w:val="auto"/>
          <w:kern w:val="2"/>
          <w:sz w:val="22"/>
          <w:szCs w:val="22"/>
          <w:highlight w:val="none"/>
        </w:rPr>
      </w:pPr>
      <w:r>
        <w:rPr>
          <w:rStyle w:val="8"/>
          <w:rFonts w:ascii="宋体" w:hAnsi="宋体"/>
          <w:color w:val="auto"/>
          <w:kern w:val="2"/>
          <w:sz w:val="22"/>
          <w:szCs w:val="22"/>
          <w:highlight w:val="none"/>
        </w:rPr>
        <w:t>7.3.2开工通知</w:t>
      </w:r>
    </w:p>
    <w:p w14:paraId="3EB0BF24">
      <w:pPr>
        <w:pStyle w:val="13"/>
        <w:spacing w:line="360" w:lineRule="auto"/>
        <w:ind w:firstLine="440" w:firstLineChars="200"/>
        <w:jc w:val="left"/>
        <w:rPr>
          <w:rStyle w:val="8"/>
          <w:rFonts w:ascii="宋体" w:hAnsi="宋体"/>
          <w:color w:val="auto"/>
          <w:kern w:val="2"/>
          <w:sz w:val="22"/>
          <w:szCs w:val="22"/>
          <w:highlight w:val="none"/>
        </w:rPr>
      </w:pPr>
      <w:r>
        <w:rPr>
          <w:rStyle w:val="8"/>
          <w:rFonts w:ascii="宋体" w:hAnsi="宋体"/>
          <w:color w:val="auto"/>
          <w:kern w:val="2"/>
          <w:sz w:val="22"/>
          <w:szCs w:val="22"/>
          <w:highlight w:val="none"/>
        </w:rPr>
        <w:t>因发包人原因造成监理人未能在计划开工日期之日起</w:t>
      </w:r>
      <w:r>
        <w:rPr>
          <w:rStyle w:val="8"/>
          <w:rFonts w:ascii="宋体" w:hAnsi="宋体"/>
          <w:color w:val="auto"/>
          <w:kern w:val="2"/>
          <w:sz w:val="22"/>
          <w:szCs w:val="22"/>
          <w:highlight w:val="none"/>
          <w:u w:val="single"/>
        </w:rPr>
        <w:t xml:space="preserve">   7  </w:t>
      </w:r>
      <w:r>
        <w:rPr>
          <w:rStyle w:val="8"/>
          <w:rFonts w:ascii="宋体" w:hAnsi="宋体"/>
          <w:color w:val="auto"/>
          <w:kern w:val="2"/>
          <w:sz w:val="22"/>
          <w:szCs w:val="22"/>
          <w:highlight w:val="none"/>
        </w:rPr>
        <w:t>天内发出开工通知的，承包人有权提出价格调整要求，或者解除合同。</w:t>
      </w:r>
    </w:p>
    <w:bookmarkEnd w:id="524"/>
    <w:bookmarkEnd w:id="525"/>
    <w:bookmarkEnd w:id="526"/>
    <w:bookmarkEnd w:id="527"/>
    <w:bookmarkEnd w:id="528"/>
    <w:bookmarkEnd w:id="529"/>
    <w:bookmarkEnd w:id="530"/>
    <w:p w14:paraId="0F50C1C2">
      <w:pPr>
        <w:pStyle w:val="13"/>
        <w:spacing w:after="120" w:line="360" w:lineRule="auto"/>
        <w:ind w:firstLine="440" w:firstLineChars="200"/>
        <w:rPr>
          <w:rStyle w:val="8"/>
          <w:rFonts w:ascii="宋体" w:hAnsi="宋体"/>
          <w:color w:val="auto"/>
          <w:kern w:val="2"/>
          <w:sz w:val="22"/>
          <w:szCs w:val="22"/>
          <w:highlight w:val="none"/>
        </w:rPr>
      </w:pPr>
      <w:r>
        <w:rPr>
          <w:rStyle w:val="8"/>
          <w:rFonts w:ascii="宋体" w:hAnsi="宋体"/>
          <w:color w:val="auto"/>
          <w:kern w:val="2"/>
          <w:sz w:val="22"/>
          <w:szCs w:val="22"/>
          <w:highlight w:val="none"/>
        </w:rPr>
        <w:t>7.4 测量放线</w:t>
      </w:r>
    </w:p>
    <w:p w14:paraId="3E177617">
      <w:pPr>
        <w:pStyle w:val="13"/>
        <w:spacing w:line="360" w:lineRule="auto"/>
        <w:ind w:firstLine="440" w:firstLineChars="200"/>
        <w:jc w:val="left"/>
        <w:rPr>
          <w:rStyle w:val="8"/>
          <w:rFonts w:ascii="宋体" w:hAnsi="宋体"/>
          <w:color w:val="auto"/>
          <w:kern w:val="2"/>
          <w:sz w:val="22"/>
          <w:szCs w:val="22"/>
          <w:highlight w:val="none"/>
          <w:u w:val="single"/>
        </w:rPr>
      </w:pPr>
      <w:r>
        <w:rPr>
          <w:rStyle w:val="8"/>
          <w:rFonts w:ascii="宋体" w:hAnsi="宋体"/>
          <w:color w:val="auto"/>
          <w:kern w:val="2"/>
          <w:sz w:val="22"/>
          <w:szCs w:val="22"/>
          <w:highlight w:val="none"/>
        </w:rPr>
        <w:t>7.4.1发包人通过监理人向承包人提供测量基准点、基准线和水准点及其书面资料的期限：</w:t>
      </w:r>
      <w:r>
        <w:rPr>
          <w:rStyle w:val="8"/>
          <w:rFonts w:ascii="宋体" w:hAnsi="宋体"/>
          <w:color w:val="auto"/>
          <w:kern w:val="2"/>
          <w:sz w:val="22"/>
          <w:szCs w:val="22"/>
          <w:highlight w:val="none"/>
          <w:u w:val="single"/>
        </w:rPr>
        <w:t xml:space="preserve">      </w:t>
      </w:r>
      <w:r>
        <w:rPr>
          <w:rStyle w:val="8"/>
          <w:rFonts w:hint="eastAsia" w:ascii="宋体" w:hAnsi="宋体"/>
          <w:color w:val="auto"/>
          <w:kern w:val="2"/>
          <w:sz w:val="22"/>
          <w:szCs w:val="22"/>
          <w:highlight w:val="none"/>
          <w:u w:val="single"/>
        </w:rPr>
        <w:t xml:space="preserve">工程开工前7日内 </w:t>
      </w:r>
      <w:r>
        <w:rPr>
          <w:rStyle w:val="8"/>
          <w:rFonts w:ascii="宋体" w:hAnsi="宋体"/>
          <w:color w:val="auto"/>
          <w:kern w:val="2"/>
          <w:sz w:val="22"/>
          <w:szCs w:val="22"/>
          <w:highlight w:val="none"/>
          <w:u w:val="single"/>
        </w:rPr>
        <w:t xml:space="preserve">         </w:t>
      </w:r>
      <w:r>
        <w:rPr>
          <w:rStyle w:val="8"/>
          <w:rFonts w:hint="eastAsia" w:ascii="宋体" w:hAnsi="宋体"/>
          <w:color w:val="auto"/>
          <w:kern w:val="2"/>
          <w:sz w:val="22"/>
          <w:szCs w:val="22"/>
          <w:highlight w:val="none"/>
          <w:u w:val="single"/>
        </w:rPr>
        <w:t xml:space="preserve">             </w:t>
      </w:r>
      <w:r>
        <w:rPr>
          <w:rStyle w:val="8"/>
          <w:rFonts w:ascii="宋体" w:hAnsi="宋体"/>
          <w:color w:val="auto"/>
          <w:kern w:val="2"/>
          <w:sz w:val="22"/>
          <w:szCs w:val="22"/>
          <w:highlight w:val="none"/>
          <w:u w:val="single"/>
        </w:rPr>
        <w:t xml:space="preserve">     </w:t>
      </w:r>
      <w:r>
        <w:rPr>
          <w:rStyle w:val="8"/>
          <w:rFonts w:hint="eastAsia" w:ascii="宋体" w:hAnsi="宋体"/>
          <w:color w:val="auto"/>
          <w:kern w:val="2"/>
          <w:sz w:val="22"/>
          <w:szCs w:val="22"/>
          <w:highlight w:val="none"/>
          <w:u w:val="single"/>
        </w:rPr>
        <w:t xml:space="preserve"> </w:t>
      </w:r>
      <w:r>
        <w:rPr>
          <w:rStyle w:val="8"/>
          <w:rFonts w:ascii="宋体" w:hAnsi="宋体"/>
          <w:color w:val="auto"/>
          <w:kern w:val="2"/>
          <w:sz w:val="22"/>
          <w:szCs w:val="22"/>
          <w:highlight w:val="none"/>
        </w:rPr>
        <w:t>。</w:t>
      </w:r>
    </w:p>
    <w:p w14:paraId="6449348A">
      <w:pPr>
        <w:pStyle w:val="13"/>
        <w:spacing w:after="120" w:line="360" w:lineRule="auto"/>
        <w:ind w:firstLine="440" w:firstLineChars="200"/>
        <w:rPr>
          <w:rStyle w:val="8"/>
          <w:rFonts w:ascii="宋体" w:hAnsi="宋体"/>
          <w:color w:val="auto"/>
          <w:kern w:val="2"/>
          <w:sz w:val="22"/>
          <w:szCs w:val="22"/>
          <w:highlight w:val="none"/>
        </w:rPr>
      </w:pPr>
      <w:r>
        <w:rPr>
          <w:rStyle w:val="8"/>
          <w:rFonts w:ascii="宋体" w:hAnsi="宋体"/>
          <w:color w:val="auto"/>
          <w:kern w:val="2"/>
          <w:sz w:val="22"/>
          <w:szCs w:val="22"/>
          <w:highlight w:val="none"/>
        </w:rPr>
        <w:t>7</w:t>
      </w:r>
      <w:bookmarkStart w:id="531" w:name="_Toc297123516"/>
      <w:bookmarkStart w:id="532" w:name="_Toc312678010"/>
      <w:bookmarkStart w:id="533" w:name="_Toc312677484"/>
      <w:bookmarkStart w:id="534" w:name="_Toc300934968"/>
      <w:bookmarkStart w:id="535" w:name="_Toc303539125"/>
      <w:bookmarkStart w:id="536" w:name="_Toc304295546"/>
      <w:bookmarkStart w:id="537" w:name="_Toc297216175"/>
      <w:r>
        <w:rPr>
          <w:rStyle w:val="8"/>
          <w:rFonts w:ascii="宋体" w:hAnsi="宋体"/>
          <w:color w:val="auto"/>
          <w:kern w:val="2"/>
          <w:sz w:val="22"/>
          <w:szCs w:val="22"/>
          <w:highlight w:val="none"/>
        </w:rPr>
        <w:t>.5 工期延误</w:t>
      </w:r>
    </w:p>
    <w:bookmarkEnd w:id="531"/>
    <w:bookmarkEnd w:id="532"/>
    <w:bookmarkEnd w:id="533"/>
    <w:bookmarkEnd w:id="534"/>
    <w:bookmarkEnd w:id="535"/>
    <w:bookmarkEnd w:id="536"/>
    <w:bookmarkEnd w:id="537"/>
    <w:p w14:paraId="4461AFF2">
      <w:pPr>
        <w:pStyle w:val="13"/>
        <w:spacing w:line="360" w:lineRule="auto"/>
        <w:ind w:firstLine="440" w:firstLineChars="200"/>
        <w:jc w:val="left"/>
        <w:rPr>
          <w:rStyle w:val="8"/>
          <w:rFonts w:ascii="宋体" w:hAnsi="宋体"/>
          <w:color w:val="auto"/>
          <w:kern w:val="2"/>
          <w:sz w:val="22"/>
          <w:szCs w:val="22"/>
          <w:highlight w:val="none"/>
        </w:rPr>
      </w:pPr>
      <w:r>
        <w:rPr>
          <w:rStyle w:val="8"/>
          <w:rFonts w:ascii="宋体" w:hAnsi="宋体"/>
          <w:color w:val="auto"/>
          <w:kern w:val="2"/>
          <w:sz w:val="22"/>
          <w:szCs w:val="22"/>
          <w:highlight w:val="none"/>
        </w:rPr>
        <w:t>7.5.1 因发包人原因导致工期延误</w:t>
      </w:r>
    </w:p>
    <w:p w14:paraId="46485298">
      <w:pPr>
        <w:pStyle w:val="14"/>
        <w:spacing w:line="360" w:lineRule="auto"/>
        <w:ind w:firstLine="440" w:firstLineChars="200"/>
        <w:jc w:val="left"/>
        <w:rPr>
          <w:rStyle w:val="8"/>
          <w:rFonts w:ascii="宋体" w:hAnsi="宋体"/>
          <w:color w:val="auto"/>
          <w:kern w:val="2"/>
          <w:sz w:val="22"/>
          <w:szCs w:val="22"/>
          <w:highlight w:val="none"/>
          <w:u w:val="single"/>
        </w:rPr>
      </w:pPr>
      <w:r>
        <w:rPr>
          <w:rStyle w:val="8"/>
          <w:rFonts w:ascii="宋体" w:hAnsi="宋体"/>
          <w:color w:val="auto"/>
          <w:kern w:val="2"/>
          <w:sz w:val="22"/>
          <w:szCs w:val="22"/>
          <w:highlight w:val="none"/>
        </w:rPr>
        <w:t>（7）因发包人原因导致工期延误的其他情形：</w:t>
      </w:r>
      <w:r>
        <w:rPr>
          <w:rStyle w:val="8"/>
          <w:rFonts w:ascii="宋体" w:hAnsi="宋体"/>
          <w:color w:val="auto"/>
          <w:kern w:val="2"/>
          <w:sz w:val="22"/>
          <w:szCs w:val="22"/>
          <w:highlight w:val="none"/>
          <w:u w:val="single"/>
        </w:rPr>
        <w:t xml:space="preserve">  </w:t>
      </w:r>
      <w:r>
        <w:rPr>
          <w:rStyle w:val="8"/>
          <w:rFonts w:hint="eastAsia" w:ascii="宋体" w:hAnsi="宋体"/>
          <w:color w:val="auto"/>
          <w:kern w:val="2"/>
          <w:sz w:val="22"/>
          <w:szCs w:val="22"/>
          <w:highlight w:val="none"/>
          <w:u w:val="single"/>
        </w:rPr>
        <w:t>发包人因政策变化等原因推迟开工需以书面形式通知承包人，顺延相应工期，发包人不承担补偿和损失的费用及违约责任  。</w:t>
      </w:r>
    </w:p>
    <w:p w14:paraId="7D3966B9">
      <w:pPr>
        <w:pStyle w:val="13"/>
        <w:spacing w:line="360" w:lineRule="auto"/>
        <w:ind w:firstLine="440" w:firstLineChars="200"/>
        <w:jc w:val="left"/>
        <w:rPr>
          <w:rStyle w:val="8"/>
          <w:rFonts w:ascii="宋体" w:hAnsi="宋体"/>
          <w:color w:val="auto"/>
          <w:kern w:val="2"/>
          <w:sz w:val="22"/>
          <w:szCs w:val="22"/>
          <w:highlight w:val="none"/>
        </w:rPr>
      </w:pPr>
      <w:r>
        <w:rPr>
          <w:rStyle w:val="8"/>
          <w:rFonts w:ascii="宋体" w:hAnsi="宋体"/>
          <w:color w:val="auto"/>
          <w:kern w:val="2"/>
          <w:sz w:val="22"/>
          <w:szCs w:val="22"/>
          <w:highlight w:val="none"/>
        </w:rPr>
        <w:t>7</w:t>
      </w:r>
      <w:bookmarkStart w:id="538" w:name="_Toc318581169"/>
      <w:bookmarkStart w:id="539" w:name="_Toc312678012"/>
      <w:bookmarkStart w:id="540" w:name="_Toc312677486"/>
      <w:bookmarkStart w:id="541" w:name="_Toc297216177"/>
      <w:bookmarkStart w:id="542" w:name="_Toc297123518"/>
      <w:bookmarkStart w:id="543" w:name="_Toc303539127"/>
      <w:bookmarkStart w:id="544" w:name="_Toc300934970"/>
      <w:bookmarkStart w:id="545" w:name="_Toc304295548"/>
      <w:r>
        <w:rPr>
          <w:rStyle w:val="8"/>
          <w:rFonts w:ascii="宋体" w:hAnsi="宋体"/>
          <w:color w:val="auto"/>
          <w:kern w:val="2"/>
          <w:sz w:val="22"/>
          <w:szCs w:val="22"/>
          <w:highlight w:val="none"/>
        </w:rPr>
        <w:t>.5.2 因承包人原因导致工期延误</w:t>
      </w:r>
    </w:p>
    <w:bookmarkEnd w:id="538"/>
    <w:bookmarkEnd w:id="539"/>
    <w:bookmarkEnd w:id="540"/>
    <w:p w14:paraId="07C94B7B">
      <w:pPr>
        <w:pStyle w:val="13"/>
        <w:spacing w:line="360" w:lineRule="auto"/>
        <w:ind w:firstLine="440" w:firstLineChars="200"/>
        <w:jc w:val="left"/>
        <w:rPr>
          <w:rStyle w:val="8"/>
          <w:rFonts w:ascii="宋体" w:hAnsi="宋体"/>
          <w:color w:val="auto"/>
          <w:kern w:val="2"/>
          <w:sz w:val="22"/>
          <w:szCs w:val="22"/>
          <w:highlight w:val="none"/>
          <w:u w:val="single"/>
        </w:rPr>
      </w:pPr>
      <w:r>
        <w:rPr>
          <w:rStyle w:val="8"/>
          <w:rFonts w:ascii="宋体" w:hAnsi="宋体"/>
          <w:color w:val="auto"/>
          <w:kern w:val="2"/>
          <w:sz w:val="22"/>
          <w:szCs w:val="22"/>
          <w:highlight w:val="none"/>
        </w:rPr>
        <w:t>因</w:t>
      </w:r>
      <w:bookmarkStart w:id="546" w:name="_Toc312678013"/>
      <w:bookmarkStart w:id="547" w:name="_Toc312677487"/>
      <w:bookmarkStart w:id="548" w:name="_Toc318581170"/>
      <w:r>
        <w:rPr>
          <w:rStyle w:val="8"/>
          <w:rFonts w:ascii="宋体" w:hAnsi="宋体"/>
          <w:color w:val="auto"/>
          <w:kern w:val="2"/>
          <w:sz w:val="22"/>
          <w:szCs w:val="22"/>
          <w:highlight w:val="none"/>
        </w:rPr>
        <w:t>承包人原因造成工期延误，逾期竣工违约金的计算方法为：</w:t>
      </w:r>
      <w:r>
        <w:rPr>
          <w:rStyle w:val="8"/>
          <w:rFonts w:hint="eastAsia" w:ascii="宋体" w:hAnsi="宋体"/>
          <w:color w:val="auto"/>
          <w:kern w:val="2"/>
          <w:sz w:val="22"/>
          <w:szCs w:val="22"/>
          <w:highlight w:val="none"/>
          <w:u w:val="single"/>
          <w:lang w:val="en-US" w:eastAsia="zh-CN"/>
        </w:rPr>
        <w:t>发包人根据工期延误的实际情况，可以进行每延误1天按照合同额0.1%</w:t>
      </w:r>
      <w:r>
        <w:rPr>
          <w:rStyle w:val="8"/>
          <w:rFonts w:hint="eastAsia" w:ascii="宋体" w:hAnsi="宋体"/>
          <w:color w:val="auto"/>
          <w:kern w:val="2"/>
          <w:sz w:val="22"/>
          <w:szCs w:val="22"/>
          <w:highlight w:val="none"/>
          <w:u w:val="single"/>
        </w:rPr>
        <w:t xml:space="preserve"> </w:t>
      </w:r>
      <w:r>
        <w:rPr>
          <w:rStyle w:val="8"/>
          <w:rFonts w:hint="eastAsia" w:ascii="宋体" w:hAnsi="宋体"/>
          <w:color w:val="auto"/>
          <w:kern w:val="2"/>
          <w:sz w:val="22"/>
          <w:szCs w:val="22"/>
          <w:highlight w:val="none"/>
          <w:u w:val="single"/>
          <w:lang w:val="en-US" w:eastAsia="zh-CN"/>
        </w:rPr>
        <w:t>进行处罚</w:t>
      </w:r>
      <w:r>
        <w:rPr>
          <w:rStyle w:val="8"/>
          <w:rFonts w:hint="eastAsia" w:ascii="宋体" w:hAnsi="宋体"/>
          <w:color w:val="auto"/>
          <w:kern w:val="2"/>
          <w:sz w:val="22"/>
          <w:szCs w:val="22"/>
          <w:highlight w:val="none"/>
          <w:u w:val="single"/>
        </w:rPr>
        <w:t>。</w:t>
      </w:r>
    </w:p>
    <w:bookmarkEnd w:id="541"/>
    <w:bookmarkEnd w:id="542"/>
    <w:bookmarkEnd w:id="543"/>
    <w:bookmarkEnd w:id="544"/>
    <w:bookmarkEnd w:id="545"/>
    <w:bookmarkEnd w:id="546"/>
    <w:bookmarkEnd w:id="547"/>
    <w:bookmarkEnd w:id="548"/>
    <w:p w14:paraId="43A2E6DF">
      <w:pPr>
        <w:pStyle w:val="13"/>
        <w:spacing w:line="360" w:lineRule="auto"/>
        <w:ind w:firstLine="440" w:firstLineChars="200"/>
        <w:jc w:val="left"/>
        <w:rPr>
          <w:rStyle w:val="8"/>
          <w:rFonts w:ascii="宋体" w:hAnsi="宋体"/>
          <w:color w:val="auto"/>
          <w:kern w:val="2"/>
          <w:sz w:val="22"/>
          <w:szCs w:val="22"/>
          <w:highlight w:val="none"/>
        </w:rPr>
      </w:pPr>
      <w:r>
        <w:rPr>
          <w:rStyle w:val="8"/>
          <w:rFonts w:ascii="宋体" w:hAnsi="宋体"/>
          <w:color w:val="auto"/>
          <w:kern w:val="2"/>
          <w:sz w:val="22"/>
          <w:szCs w:val="22"/>
          <w:highlight w:val="none"/>
        </w:rPr>
        <w:t>因承包人原因造成工期延误，逾</w:t>
      </w:r>
      <w:bookmarkStart w:id="549" w:name="_Toc312678014"/>
      <w:bookmarkStart w:id="550" w:name="_Toc318581171"/>
      <w:r>
        <w:rPr>
          <w:rStyle w:val="8"/>
          <w:rFonts w:ascii="宋体" w:hAnsi="宋体"/>
          <w:color w:val="auto"/>
          <w:kern w:val="2"/>
          <w:sz w:val="22"/>
          <w:szCs w:val="22"/>
          <w:highlight w:val="none"/>
        </w:rPr>
        <w:t>期竣工违约金的上限：</w:t>
      </w:r>
      <w:r>
        <w:rPr>
          <w:rStyle w:val="8"/>
          <w:rFonts w:ascii="宋体" w:hAnsi="宋体"/>
          <w:color w:val="auto"/>
          <w:kern w:val="2"/>
          <w:sz w:val="22"/>
          <w:szCs w:val="22"/>
          <w:highlight w:val="none"/>
          <w:u w:val="single"/>
        </w:rPr>
        <w:t xml:space="preserve">  </w:t>
      </w:r>
      <w:r>
        <w:rPr>
          <w:rStyle w:val="8"/>
          <w:rFonts w:hint="eastAsia" w:ascii="宋体" w:hAnsi="宋体"/>
          <w:color w:val="auto"/>
          <w:kern w:val="2"/>
          <w:sz w:val="22"/>
          <w:szCs w:val="22"/>
          <w:highlight w:val="none"/>
          <w:u w:val="single"/>
        </w:rPr>
        <w:t>合同价款的</w:t>
      </w:r>
      <w:r>
        <w:rPr>
          <w:rStyle w:val="8"/>
          <w:rFonts w:hint="eastAsia" w:ascii="宋体" w:hAnsi="宋体"/>
          <w:color w:val="auto"/>
          <w:kern w:val="2"/>
          <w:sz w:val="22"/>
          <w:szCs w:val="22"/>
          <w:highlight w:val="none"/>
          <w:u w:val="single"/>
          <w:lang w:val="en-US" w:eastAsia="zh-CN"/>
        </w:rPr>
        <w:t>5</w:t>
      </w:r>
      <w:r>
        <w:rPr>
          <w:rStyle w:val="8"/>
          <w:rFonts w:hint="eastAsia" w:ascii="宋体" w:hAnsi="宋体"/>
          <w:color w:val="auto"/>
          <w:kern w:val="2"/>
          <w:sz w:val="22"/>
          <w:szCs w:val="22"/>
          <w:highlight w:val="none"/>
          <w:u w:val="single"/>
        </w:rPr>
        <w:t>% 。</w:t>
      </w:r>
      <w:r>
        <w:rPr>
          <w:rStyle w:val="8"/>
          <w:rFonts w:ascii="宋体" w:hAnsi="宋体"/>
          <w:color w:val="auto"/>
          <w:kern w:val="2"/>
          <w:sz w:val="22"/>
          <w:szCs w:val="22"/>
          <w:highlight w:val="none"/>
          <w:u w:val="single"/>
        </w:rPr>
        <w:t xml:space="preserve">     </w:t>
      </w:r>
    </w:p>
    <w:bookmarkEnd w:id="549"/>
    <w:bookmarkEnd w:id="550"/>
    <w:p w14:paraId="4C94F90F">
      <w:pPr>
        <w:pStyle w:val="13"/>
        <w:spacing w:after="120" w:line="360" w:lineRule="auto"/>
        <w:ind w:firstLine="440" w:firstLineChars="200"/>
        <w:rPr>
          <w:rStyle w:val="8"/>
          <w:rFonts w:ascii="宋体" w:hAnsi="宋体"/>
          <w:color w:val="auto"/>
          <w:kern w:val="2"/>
          <w:sz w:val="22"/>
          <w:szCs w:val="22"/>
          <w:highlight w:val="none"/>
        </w:rPr>
      </w:pPr>
      <w:r>
        <w:rPr>
          <w:rStyle w:val="8"/>
          <w:rFonts w:ascii="宋体" w:hAnsi="宋体"/>
          <w:color w:val="auto"/>
          <w:kern w:val="2"/>
          <w:sz w:val="22"/>
          <w:szCs w:val="22"/>
          <w:highlight w:val="none"/>
        </w:rPr>
        <w:t>7</w:t>
      </w:r>
      <w:bookmarkStart w:id="551" w:name="_Toc303539128"/>
      <w:bookmarkStart w:id="552" w:name="_Toc312678015"/>
      <w:bookmarkStart w:id="553" w:name="_Toc297216178"/>
      <w:bookmarkStart w:id="554" w:name="_Toc300934971"/>
      <w:bookmarkStart w:id="555" w:name="_Toc297123519"/>
      <w:bookmarkStart w:id="556" w:name="_Toc304295549"/>
      <w:r>
        <w:rPr>
          <w:rStyle w:val="8"/>
          <w:rFonts w:ascii="宋体" w:hAnsi="宋体"/>
          <w:color w:val="auto"/>
          <w:kern w:val="2"/>
          <w:sz w:val="22"/>
          <w:szCs w:val="22"/>
          <w:highlight w:val="none"/>
        </w:rPr>
        <w:t>.6 不</w:t>
      </w:r>
      <w:bookmarkEnd w:id="551"/>
      <w:bookmarkEnd w:id="552"/>
      <w:bookmarkEnd w:id="553"/>
      <w:bookmarkEnd w:id="554"/>
      <w:bookmarkEnd w:id="555"/>
      <w:bookmarkEnd w:id="556"/>
      <w:r>
        <w:rPr>
          <w:rStyle w:val="8"/>
          <w:rFonts w:ascii="宋体" w:hAnsi="宋体"/>
          <w:color w:val="auto"/>
          <w:kern w:val="2"/>
          <w:sz w:val="22"/>
          <w:szCs w:val="22"/>
          <w:highlight w:val="none"/>
        </w:rPr>
        <w:t>利物质条件</w:t>
      </w:r>
    </w:p>
    <w:p w14:paraId="1395CED3">
      <w:pPr>
        <w:pStyle w:val="13"/>
        <w:spacing w:line="360" w:lineRule="auto"/>
        <w:ind w:firstLine="440" w:firstLineChars="200"/>
        <w:jc w:val="left"/>
        <w:rPr>
          <w:rStyle w:val="8"/>
          <w:rFonts w:ascii="宋体" w:hAnsi="宋体"/>
          <w:color w:val="auto"/>
          <w:kern w:val="2"/>
          <w:sz w:val="22"/>
          <w:szCs w:val="22"/>
          <w:highlight w:val="none"/>
          <w:u w:val="single"/>
        </w:rPr>
      </w:pPr>
      <w:bookmarkStart w:id="557" w:name="_Toc297216179"/>
      <w:bookmarkStart w:id="558" w:name="_Toc303539129"/>
      <w:bookmarkStart w:id="559" w:name="_Toc297123520"/>
      <w:bookmarkStart w:id="560" w:name="_Toc304295550"/>
      <w:bookmarkStart w:id="561" w:name="_Toc312678016"/>
      <w:bookmarkStart w:id="562" w:name="_Toc300934972"/>
      <w:bookmarkStart w:id="563" w:name="_Toc318581172"/>
      <w:r>
        <w:rPr>
          <w:rStyle w:val="8"/>
          <w:rFonts w:ascii="宋体" w:hAnsi="宋体"/>
          <w:color w:val="auto"/>
          <w:kern w:val="2"/>
          <w:sz w:val="22"/>
          <w:szCs w:val="22"/>
          <w:highlight w:val="none"/>
        </w:rPr>
        <w:t>不利物质条件的其他情形和有关约定：</w:t>
      </w:r>
      <w:r>
        <w:rPr>
          <w:rStyle w:val="8"/>
          <w:rFonts w:ascii="宋体" w:hAnsi="宋体"/>
          <w:color w:val="auto"/>
          <w:kern w:val="2"/>
          <w:sz w:val="22"/>
          <w:szCs w:val="22"/>
          <w:highlight w:val="none"/>
          <w:u w:val="single"/>
        </w:rPr>
        <w:t xml:space="preserve">                    </w:t>
      </w:r>
    </w:p>
    <w:p w14:paraId="007750A3">
      <w:pPr>
        <w:pStyle w:val="13"/>
        <w:spacing w:line="360" w:lineRule="auto"/>
        <w:jc w:val="left"/>
        <w:rPr>
          <w:rStyle w:val="8"/>
          <w:rFonts w:ascii="宋体" w:hAnsi="宋体"/>
          <w:color w:val="auto"/>
          <w:kern w:val="2"/>
          <w:sz w:val="22"/>
          <w:szCs w:val="22"/>
          <w:highlight w:val="none"/>
        </w:rPr>
      </w:pPr>
      <w:r>
        <w:rPr>
          <w:rStyle w:val="8"/>
          <w:rFonts w:ascii="宋体" w:hAnsi="宋体"/>
          <w:color w:val="auto"/>
          <w:kern w:val="2"/>
          <w:sz w:val="22"/>
          <w:szCs w:val="22"/>
          <w:highlight w:val="none"/>
          <w:u w:val="single"/>
        </w:rPr>
        <w:t xml:space="preserve">                                         </w:t>
      </w:r>
      <w:r>
        <w:rPr>
          <w:rStyle w:val="8"/>
          <w:rFonts w:hint="eastAsia" w:ascii="宋体" w:hAnsi="宋体"/>
          <w:color w:val="auto"/>
          <w:kern w:val="2"/>
          <w:sz w:val="22"/>
          <w:szCs w:val="22"/>
          <w:highlight w:val="none"/>
          <w:u w:val="single"/>
        </w:rPr>
        <w:t xml:space="preserve">             </w:t>
      </w:r>
      <w:r>
        <w:rPr>
          <w:rStyle w:val="8"/>
          <w:rFonts w:ascii="宋体" w:hAnsi="宋体"/>
          <w:color w:val="auto"/>
          <w:kern w:val="2"/>
          <w:sz w:val="22"/>
          <w:szCs w:val="22"/>
          <w:highlight w:val="none"/>
          <w:u w:val="single"/>
        </w:rPr>
        <w:t xml:space="preserve">   </w:t>
      </w:r>
      <w:r>
        <w:rPr>
          <w:rStyle w:val="8"/>
          <w:rFonts w:ascii="宋体" w:hAnsi="宋体"/>
          <w:color w:val="auto"/>
          <w:kern w:val="2"/>
          <w:sz w:val="22"/>
          <w:szCs w:val="22"/>
          <w:highlight w:val="none"/>
        </w:rPr>
        <w:t>。</w:t>
      </w:r>
    </w:p>
    <w:bookmarkEnd w:id="557"/>
    <w:bookmarkEnd w:id="558"/>
    <w:bookmarkEnd w:id="559"/>
    <w:bookmarkEnd w:id="560"/>
    <w:bookmarkEnd w:id="561"/>
    <w:bookmarkEnd w:id="562"/>
    <w:bookmarkEnd w:id="563"/>
    <w:p w14:paraId="2CA7A902">
      <w:pPr>
        <w:pStyle w:val="13"/>
        <w:spacing w:after="120" w:line="360" w:lineRule="auto"/>
        <w:ind w:firstLine="440" w:firstLineChars="200"/>
        <w:rPr>
          <w:rStyle w:val="8"/>
          <w:rFonts w:ascii="宋体" w:hAnsi="宋体"/>
          <w:color w:val="auto"/>
          <w:kern w:val="2"/>
          <w:sz w:val="22"/>
          <w:szCs w:val="22"/>
          <w:highlight w:val="none"/>
        </w:rPr>
      </w:pPr>
      <w:r>
        <w:rPr>
          <w:rStyle w:val="8"/>
          <w:rFonts w:ascii="宋体" w:hAnsi="宋体"/>
          <w:color w:val="auto"/>
          <w:kern w:val="2"/>
          <w:sz w:val="22"/>
          <w:szCs w:val="22"/>
          <w:highlight w:val="none"/>
        </w:rPr>
        <w:t>7</w:t>
      </w:r>
      <w:bookmarkStart w:id="564" w:name="_Toc312678017"/>
      <w:bookmarkStart w:id="565" w:name="_Toc297216180"/>
      <w:bookmarkStart w:id="566" w:name="_Toc300934973"/>
      <w:bookmarkStart w:id="567" w:name="_Toc297123521"/>
      <w:bookmarkStart w:id="568" w:name="_Toc304295551"/>
      <w:bookmarkStart w:id="569" w:name="_Toc303539130"/>
      <w:r>
        <w:rPr>
          <w:rStyle w:val="8"/>
          <w:rFonts w:ascii="宋体" w:hAnsi="宋体"/>
          <w:color w:val="auto"/>
          <w:kern w:val="2"/>
          <w:sz w:val="22"/>
          <w:szCs w:val="22"/>
          <w:highlight w:val="none"/>
        </w:rPr>
        <w:t>.7异常恶劣的气候条件</w:t>
      </w:r>
    </w:p>
    <w:bookmarkEnd w:id="564"/>
    <w:bookmarkEnd w:id="565"/>
    <w:bookmarkEnd w:id="566"/>
    <w:bookmarkEnd w:id="567"/>
    <w:bookmarkEnd w:id="568"/>
    <w:bookmarkEnd w:id="569"/>
    <w:p w14:paraId="41155434">
      <w:pPr>
        <w:pStyle w:val="13"/>
        <w:spacing w:line="360" w:lineRule="auto"/>
        <w:ind w:firstLine="440" w:firstLineChars="200"/>
        <w:jc w:val="left"/>
        <w:rPr>
          <w:rStyle w:val="8"/>
          <w:rFonts w:ascii="宋体" w:hAnsi="宋体"/>
          <w:color w:val="auto"/>
          <w:kern w:val="2"/>
          <w:sz w:val="22"/>
          <w:szCs w:val="22"/>
          <w:highlight w:val="none"/>
        </w:rPr>
      </w:pPr>
      <w:r>
        <w:rPr>
          <w:rStyle w:val="8"/>
          <w:rFonts w:ascii="宋体" w:hAnsi="宋体"/>
          <w:color w:val="auto"/>
          <w:kern w:val="2"/>
          <w:sz w:val="22"/>
          <w:szCs w:val="22"/>
          <w:highlight w:val="none"/>
        </w:rPr>
        <w:t>发包人和承包人同意以下情形视为异常恶劣的气候条件：</w:t>
      </w:r>
    </w:p>
    <w:p w14:paraId="5C4EFCAA">
      <w:pPr>
        <w:pStyle w:val="13"/>
        <w:spacing w:line="360" w:lineRule="auto"/>
        <w:ind w:firstLine="440" w:firstLineChars="200"/>
        <w:jc w:val="left"/>
        <w:rPr>
          <w:rStyle w:val="8"/>
          <w:rFonts w:ascii="宋体" w:hAnsi="宋体"/>
          <w:color w:val="auto"/>
          <w:kern w:val="2"/>
          <w:sz w:val="22"/>
          <w:szCs w:val="22"/>
          <w:highlight w:val="none"/>
          <w:u w:val="single"/>
        </w:rPr>
      </w:pPr>
      <w:r>
        <w:rPr>
          <w:rStyle w:val="8"/>
          <w:rFonts w:hint="eastAsia" w:ascii="宋体" w:hAnsi="宋体"/>
          <w:color w:val="auto"/>
          <w:kern w:val="2"/>
          <w:sz w:val="22"/>
          <w:szCs w:val="22"/>
          <w:highlight w:val="none"/>
          <w:u w:val="single"/>
        </w:rPr>
        <w:t xml:space="preserve">①7 级以上（含7 级）大风持续12 小时（以气象台提供的资料为准）；②24 小时降雨量达到100mm 以上（含100mm） 暴雨（以气象台提供的资料为准）；③7 级以上地震（含7 级）；④战争、动乱、洪水、空中飞行物坠落；⑤其它不能预见并对其发生的后果不能防止或避免的不可抗力事故，致使直接影响本合同的履行或不能按约定的期限、条件履行时（以上事件仅指发生于工程所在地且应以工程所在地政府或授权相应机构出具证明文件为依据）。 </w:t>
      </w:r>
    </w:p>
    <w:p w14:paraId="6F8BD461">
      <w:pPr>
        <w:pStyle w:val="13"/>
        <w:spacing w:after="120" w:line="360" w:lineRule="auto"/>
        <w:ind w:firstLine="440" w:firstLineChars="200"/>
        <w:outlineLvl w:val="0"/>
        <w:rPr>
          <w:rStyle w:val="8"/>
          <w:rFonts w:ascii="宋体" w:hAnsi="宋体"/>
          <w:color w:val="auto"/>
          <w:kern w:val="2"/>
          <w:sz w:val="22"/>
          <w:szCs w:val="22"/>
          <w:highlight w:val="none"/>
        </w:rPr>
      </w:pPr>
      <w:bookmarkStart w:id="570" w:name="_Toc3692"/>
      <w:bookmarkStart w:id="571" w:name="_Toc256000341"/>
      <w:bookmarkStart w:id="572" w:name="_Toc256001074"/>
      <w:bookmarkStart w:id="573" w:name="_Toc25575"/>
      <w:bookmarkStart w:id="574" w:name="_Toc256000058"/>
      <w:bookmarkStart w:id="575" w:name="_Toc69461816"/>
      <w:bookmarkStart w:id="576" w:name="_Toc256000837"/>
      <w:bookmarkStart w:id="577" w:name="_Toc31209"/>
      <w:bookmarkStart w:id="578" w:name="_Toc256000570"/>
      <w:bookmarkStart w:id="579" w:name="_Toc69461161"/>
      <w:bookmarkStart w:id="580" w:name="_Toc31517"/>
      <w:bookmarkStart w:id="581" w:name="_Toc256001304"/>
      <w:r>
        <w:rPr>
          <w:rStyle w:val="8"/>
          <w:rFonts w:ascii="宋体" w:hAnsi="宋体"/>
          <w:color w:val="auto"/>
          <w:kern w:val="2"/>
          <w:sz w:val="22"/>
          <w:szCs w:val="22"/>
          <w:highlight w:val="none"/>
        </w:rPr>
        <w:t>7.9 提前竣工的奖励</w:t>
      </w:r>
      <w:bookmarkEnd w:id="570"/>
      <w:bookmarkEnd w:id="571"/>
      <w:bookmarkEnd w:id="572"/>
      <w:bookmarkEnd w:id="573"/>
      <w:bookmarkEnd w:id="574"/>
      <w:bookmarkEnd w:id="575"/>
      <w:bookmarkEnd w:id="576"/>
      <w:bookmarkEnd w:id="577"/>
      <w:bookmarkEnd w:id="578"/>
      <w:bookmarkEnd w:id="579"/>
      <w:bookmarkEnd w:id="580"/>
      <w:bookmarkEnd w:id="581"/>
    </w:p>
    <w:p w14:paraId="22F72C12">
      <w:pPr>
        <w:pStyle w:val="13"/>
        <w:spacing w:line="360" w:lineRule="auto"/>
        <w:ind w:firstLine="440" w:firstLineChars="200"/>
        <w:jc w:val="left"/>
        <w:rPr>
          <w:rStyle w:val="8"/>
          <w:rFonts w:ascii="宋体" w:hAnsi="宋体"/>
          <w:color w:val="auto"/>
          <w:kern w:val="2"/>
          <w:sz w:val="22"/>
          <w:szCs w:val="22"/>
          <w:highlight w:val="none"/>
        </w:rPr>
      </w:pPr>
      <w:r>
        <w:rPr>
          <w:rStyle w:val="8"/>
          <w:rFonts w:ascii="宋体" w:hAnsi="宋体"/>
          <w:color w:val="auto"/>
          <w:kern w:val="2"/>
          <w:sz w:val="22"/>
          <w:szCs w:val="22"/>
          <w:highlight w:val="none"/>
        </w:rPr>
        <w:t>7.9.2提前竣工的奖励：</w:t>
      </w:r>
      <w:r>
        <w:rPr>
          <w:rStyle w:val="8"/>
          <w:rFonts w:ascii="宋体" w:hAnsi="宋体"/>
          <w:color w:val="auto"/>
          <w:kern w:val="2"/>
          <w:sz w:val="22"/>
          <w:szCs w:val="22"/>
          <w:highlight w:val="none"/>
          <w:u w:val="single"/>
        </w:rPr>
        <w:t xml:space="preserve">        </w:t>
      </w:r>
      <w:r>
        <w:rPr>
          <w:rStyle w:val="8"/>
          <w:rFonts w:hint="eastAsia" w:ascii="宋体" w:hAnsi="宋体"/>
          <w:color w:val="auto"/>
          <w:kern w:val="2"/>
          <w:sz w:val="22"/>
          <w:szCs w:val="22"/>
          <w:highlight w:val="none"/>
          <w:u w:val="single"/>
        </w:rPr>
        <w:t xml:space="preserve">  /  </w:t>
      </w:r>
      <w:r>
        <w:rPr>
          <w:rStyle w:val="8"/>
          <w:rFonts w:ascii="宋体" w:hAnsi="宋体"/>
          <w:color w:val="auto"/>
          <w:kern w:val="2"/>
          <w:sz w:val="22"/>
          <w:szCs w:val="22"/>
          <w:highlight w:val="none"/>
          <w:u w:val="single"/>
        </w:rPr>
        <w:t xml:space="preserve">                </w:t>
      </w:r>
      <w:r>
        <w:rPr>
          <w:rStyle w:val="8"/>
          <w:rFonts w:hint="eastAsia" w:ascii="宋体" w:hAnsi="宋体"/>
          <w:color w:val="auto"/>
          <w:kern w:val="2"/>
          <w:sz w:val="22"/>
          <w:szCs w:val="22"/>
          <w:highlight w:val="none"/>
          <w:u w:val="single"/>
        </w:rPr>
        <w:t xml:space="preserve"> </w:t>
      </w:r>
      <w:r>
        <w:rPr>
          <w:rStyle w:val="8"/>
          <w:rFonts w:ascii="宋体" w:hAnsi="宋体"/>
          <w:color w:val="auto"/>
          <w:kern w:val="2"/>
          <w:sz w:val="22"/>
          <w:szCs w:val="22"/>
          <w:highlight w:val="none"/>
          <w:u w:val="single"/>
        </w:rPr>
        <w:t xml:space="preserve">   </w:t>
      </w:r>
      <w:r>
        <w:rPr>
          <w:rStyle w:val="8"/>
          <w:rFonts w:hint="eastAsia" w:ascii="宋体" w:hAnsi="宋体"/>
          <w:color w:val="auto"/>
          <w:kern w:val="2"/>
          <w:sz w:val="22"/>
          <w:szCs w:val="22"/>
          <w:highlight w:val="none"/>
          <w:u w:val="single"/>
        </w:rPr>
        <w:t xml:space="preserve"> </w:t>
      </w:r>
      <w:r>
        <w:rPr>
          <w:rStyle w:val="8"/>
          <w:rFonts w:ascii="宋体" w:hAnsi="宋体"/>
          <w:color w:val="auto"/>
          <w:kern w:val="2"/>
          <w:sz w:val="22"/>
          <w:szCs w:val="22"/>
          <w:highlight w:val="none"/>
          <w:u w:val="single"/>
        </w:rPr>
        <w:t xml:space="preserve">   </w:t>
      </w:r>
      <w:r>
        <w:rPr>
          <w:rStyle w:val="8"/>
          <w:rFonts w:ascii="宋体" w:hAnsi="宋体"/>
          <w:color w:val="auto"/>
          <w:kern w:val="2"/>
          <w:sz w:val="22"/>
          <w:szCs w:val="22"/>
          <w:highlight w:val="none"/>
        </w:rPr>
        <w:t>。</w:t>
      </w:r>
    </w:p>
    <w:p w14:paraId="52AFA8D5">
      <w:pPr>
        <w:pStyle w:val="15"/>
        <w:spacing w:before="120" w:after="120" w:line="360" w:lineRule="auto"/>
        <w:rPr>
          <w:rStyle w:val="8"/>
          <w:rFonts w:ascii="宋体" w:hAnsi="宋体" w:eastAsia="宋体"/>
          <w:b w:val="0"/>
          <w:color w:val="auto"/>
          <w:sz w:val="22"/>
          <w:szCs w:val="22"/>
          <w:highlight w:val="none"/>
        </w:rPr>
      </w:pPr>
      <w:bookmarkStart w:id="582" w:name="_Toc256000571"/>
      <w:bookmarkStart w:id="583" w:name="_Toc256001305"/>
      <w:bookmarkStart w:id="584" w:name="_Toc29641"/>
      <w:bookmarkStart w:id="585" w:name="_Toc256001075"/>
      <w:bookmarkStart w:id="586" w:name="_Toc69461817"/>
      <w:bookmarkStart w:id="587" w:name="_Toc256000342"/>
      <w:bookmarkStart w:id="588" w:name="_Toc256000838"/>
      <w:bookmarkStart w:id="589" w:name="_Toc351203640"/>
      <w:bookmarkStart w:id="590" w:name="_Toc24204"/>
      <w:bookmarkStart w:id="591" w:name="_Toc69461162"/>
      <w:r>
        <w:rPr>
          <w:rStyle w:val="8"/>
          <w:rFonts w:ascii="宋体" w:hAnsi="宋体" w:eastAsia="宋体"/>
          <w:b w:val="0"/>
          <w:color w:val="auto"/>
          <w:sz w:val="22"/>
          <w:szCs w:val="22"/>
          <w:highlight w:val="none"/>
        </w:rPr>
        <w:t>8. 材料与设备</w:t>
      </w:r>
      <w:bookmarkEnd w:id="582"/>
      <w:bookmarkEnd w:id="583"/>
      <w:bookmarkEnd w:id="584"/>
      <w:bookmarkEnd w:id="585"/>
      <w:bookmarkEnd w:id="586"/>
      <w:bookmarkEnd w:id="587"/>
      <w:bookmarkEnd w:id="588"/>
      <w:bookmarkEnd w:id="589"/>
      <w:bookmarkEnd w:id="590"/>
      <w:bookmarkEnd w:id="591"/>
    </w:p>
    <w:bookmarkEnd w:id="463"/>
    <w:bookmarkEnd w:id="464"/>
    <w:bookmarkEnd w:id="465"/>
    <w:bookmarkEnd w:id="466"/>
    <w:bookmarkEnd w:id="467"/>
    <w:bookmarkEnd w:id="468"/>
    <w:bookmarkEnd w:id="469"/>
    <w:bookmarkEnd w:id="470"/>
    <w:bookmarkEnd w:id="471"/>
    <w:bookmarkEnd w:id="472"/>
    <w:p w14:paraId="3F4E51D2">
      <w:pPr>
        <w:pStyle w:val="13"/>
        <w:spacing w:after="120" w:line="360" w:lineRule="auto"/>
        <w:ind w:firstLine="440" w:firstLineChars="200"/>
        <w:rPr>
          <w:rStyle w:val="8"/>
          <w:rFonts w:ascii="宋体" w:hAnsi="宋体"/>
          <w:color w:val="auto"/>
          <w:kern w:val="2"/>
          <w:sz w:val="22"/>
          <w:szCs w:val="22"/>
          <w:highlight w:val="none"/>
        </w:rPr>
      </w:pPr>
      <w:r>
        <w:rPr>
          <w:rStyle w:val="8"/>
          <w:rFonts w:ascii="宋体" w:hAnsi="宋体"/>
          <w:color w:val="auto"/>
          <w:kern w:val="2"/>
          <w:sz w:val="22"/>
          <w:szCs w:val="22"/>
          <w:highlight w:val="none"/>
        </w:rPr>
        <w:t>8</w:t>
      </w:r>
      <w:bookmarkStart w:id="592" w:name="_Toc296944506"/>
      <w:bookmarkStart w:id="593" w:name="_Toc312677493"/>
      <w:bookmarkStart w:id="594" w:name="_Toc297216186"/>
      <w:bookmarkStart w:id="595" w:name="_Toc300934979"/>
      <w:bookmarkStart w:id="596" w:name="_Toc297048353"/>
      <w:bookmarkStart w:id="597" w:name="_Toc296890995"/>
      <w:bookmarkStart w:id="598" w:name="_Toc280868654"/>
      <w:bookmarkStart w:id="599" w:name="_Toc303539136"/>
      <w:bookmarkStart w:id="600" w:name="_Toc304295556"/>
      <w:bookmarkStart w:id="601" w:name="_Toc292559877"/>
      <w:bookmarkStart w:id="602" w:name="_Toc296347166"/>
      <w:bookmarkStart w:id="603" w:name="_Toc296503167"/>
      <w:bookmarkStart w:id="604" w:name="_Toc297120467"/>
      <w:bookmarkStart w:id="605" w:name="_Toc296891207"/>
      <w:bookmarkStart w:id="606" w:name="_Toc312678019"/>
      <w:bookmarkStart w:id="607" w:name="_Toc292559372"/>
      <w:bookmarkStart w:id="608" w:name="_Toc297123527"/>
      <w:bookmarkStart w:id="609" w:name="_Toc296346668"/>
      <w:bookmarkStart w:id="610" w:name="_Toc280868655"/>
      <w:bookmarkStart w:id="611" w:name="_Toc280868656"/>
      <w:bookmarkStart w:id="612" w:name="_Toc267251424"/>
      <w:r>
        <w:rPr>
          <w:rStyle w:val="8"/>
          <w:rFonts w:ascii="宋体" w:hAnsi="宋体"/>
          <w:color w:val="auto"/>
          <w:kern w:val="2"/>
          <w:sz w:val="22"/>
          <w:szCs w:val="22"/>
          <w:highlight w:val="none"/>
        </w:rPr>
        <w:t>.4材料与工程设备的保管与使用</w:t>
      </w:r>
    </w:p>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p w14:paraId="52D3924D">
      <w:pPr>
        <w:pStyle w:val="13"/>
        <w:spacing w:line="360" w:lineRule="auto"/>
        <w:ind w:firstLine="440" w:firstLineChars="200"/>
        <w:jc w:val="left"/>
        <w:rPr>
          <w:rStyle w:val="8"/>
          <w:rFonts w:ascii="宋体" w:hAnsi="宋体"/>
          <w:color w:val="auto"/>
          <w:kern w:val="2"/>
          <w:sz w:val="22"/>
          <w:szCs w:val="22"/>
          <w:highlight w:val="none"/>
          <w:u w:val="single"/>
        </w:rPr>
      </w:pPr>
      <w:r>
        <w:rPr>
          <w:rStyle w:val="8"/>
          <w:rFonts w:ascii="宋体" w:hAnsi="宋体"/>
          <w:color w:val="auto"/>
          <w:kern w:val="2"/>
          <w:sz w:val="22"/>
          <w:szCs w:val="22"/>
          <w:highlight w:val="none"/>
        </w:rPr>
        <w:t>8</w:t>
      </w:r>
      <w:bookmarkStart w:id="613" w:name="_Toc292559878"/>
      <w:bookmarkStart w:id="614" w:name="_Toc292559373"/>
      <w:bookmarkStart w:id="615" w:name="_Toc296891208"/>
      <w:bookmarkStart w:id="616" w:name="_Toc318581173"/>
      <w:bookmarkStart w:id="617" w:name="_Toc312678020"/>
      <w:bookmarkStart w:id="618" w:name="_Toc297048354"/>
      <w:bookmarkStart w:id="619" w:name="_Toc304295557"/>
      <w:bookmarkStart w:id="620" w:name="_Toc296346669"/>
      <w:bookmarkStart w:id="621" w:name="_Toc297123528"/>
      <w:bookmarkStart w:id="622" w:name="_Toc300934980"/>
      <w:bookmarkStart w:id="623" w:name="_Toc296503168"/>
      <w:bookmarkStart w:id="624" w:name="_Toc297216187"/>
      <w:bookmarkStart w:id="625" w:name="_Toc296944507"/>
      <w:bookmarkStart w:id="626" w:name="_Toc296890996"/>
      <w:bookmarkStart w:id="627" w:name="_Toc312677494"/>
      <w:bookmarkStart w:id="628" w:name="_Toc296347167"/>
      <w:bookmarkStart w:id="629" w:name="_Toc303539137"/>
      <w:bookmarkStart w:id="630" w:name="_Toc297120468"/>
      <w:r>
        <w:rPr>
          <w:rStyle w:val="8"/>
          <w:rFonts w:ascii="宋体" w:hAnsi="宋体"/>
          <w:color w:val="auto"/>
          <w:kern w:val="2"/>
          <w:sz w:val="22"/>
          <w:szCs w:val="22"/>
          <w:highlight w:val="none"/>
        </w:rPr>
        <w:t>.4.1发包人供应的材料设备的保管费用的承担：</w:t>
      </w:r>
      <w:r>
        <w:rPr>
          <w:rStyle w:val="8"/>
          <w:rFonts w:ascii="宋体" w:hAnsi="宋体"/>
          <w:color w:val="auto"/>
          <w:kern w:val="2"/>
          <w:sz w:val="22"/>
          <w:szCs w:val="22"/>
          <w:highlight w:val="none"/>
          <w:u w:val="single"/>
        </w:rPr>
        <w:t xml:space="preserve">    </w:t>
      </w:r>
      <w:r>
        <w:rPr>
          <w:rStyle w:val="8"/>
          <w:rFonts w:hint="eastAsia" w:ascii="宋体" w:hAnsi="宋体"/>
          <w:color w:val="auto"/>
          <w:kern w:val="2"/>
          <w:sz w:val="22"/>
          <w:szCs w:val="22"/>
          <w:highlight w:val="none"/>
          <w:u w:val="single"/>
        </w:rPr>
        <w:t xml:space="preserve">  /  </w:t>
      </w:r>
      <w:r>
        <w:rPr>
          <w:rStyle w:val="8"/>
          <w:rFonts w:ascii="宋体" w:hAnsi="宋体"/>
          <w:color w:val="auto"/>
          <w:kern w:val="2"/>
          <w:sz w:val="22"/>
          <w:szCs w:val="22"/>
          <w:highlight w:val="none"/>
          <w:u w:val="single"/>
        </w:rPr>
        <w:t xml:space="preserve">    </w:t>
      </w:r>
      <w:r>
        <w:rPr>
          <w:rStyle w:val="8"/>
          <w:rFonts w:hint="eastAsia" w:ascii="宋体" w:hAnsi="宋体"/>
          <w:color w:val="auto"/>
          <w:kern w:val="2"/>
          <w:sz w:val="22"/>
          <w:szCs w:val="22"/>
          <w:highlight w:val="none"/>
          <w:u w:val="single"/>
        </w:rPr>
        <w:t xml:space="preserve"> </w:t>
      </w:r>
      <w:r>
        <w:rPr>
          <w:rStyle w:val="8"/>
          <w:rFonts w:ascii="宋体" w:hAnsi="宋体"/>
          <w:color w:val="auto"/>
          <w:kern w:val="2"/>
          <w:sz w:val="22"/>
          <w:szCs w:val="22"/>
          <w:highlight w:val="none"/>
          <w:u w:val="single"/>
        </w:rPr>
        <w:t xml:space="preserve">   </w:t>
      </w:r>
    </w:p>
    <w:bookmarkEnd w:id="613"/>
    <w:bookmarkEnd w:id="614"/>
    <w:p w14:paraId="6577DF85">
      <w:pPr>
        <w:pStyle w:val="13"/>
        <w:spacing w:after="120" w:line="360" w:lineRule="auto"/>
        <w:ind w:firstLine="440" w:firstLineChars="200"/>
        <w:outlineLvl w:val="0"/>
        <w:rPr>
          <w:rStyle w:val="8"/>
          <w:rFonts w:ascii="宋体" w:hAnsi="宋体"/>
          <w:color w:val="auto"/>
          <w:kern w:val="2"/>
          <w:sz w:val="22"/>
          <w:szCs w:val="22"/>
          <w:highlight w:val="none"/>
        </w:rPr>
      </w:pPr>
      <w:bookmarkStart w:id="631" w:name="_Toc256001076"/>
      <w:bookmarkStart w:id="632" w:name="_Toc19160"/>
      <w:bookmarkStart w:id="633" w:name="_Toc256000572"/>
      <w:bookmarkStart w:id="634" w:name="_Toc3891"/>
      <w:bookmarkStart w:id="635" w:name="_Toc256000059"/>
      <w:bookmarkStart w:id="636" w:name="_Toc256001306"/>
      <w:bookmarkStart w:id="637" w:name="_Toc20296"/>
      <w:bookmarkStart w:id="638" w:name="_Toc256000092"/>
      <w:bookmarkStart w:id="639" w:name="_Toc69461818"/>
      <w:bookmarkStart w:id="640" w:name="_Toc6373"/>
      <w:bookmarkStart w:id="641" w:name="_Toc256000839"/>
      <w:bookmarkStart w:id="642" w:name="_Toc69461163"/>
      <w:bookmarkStart w:id="643" w:name="_Toc256000343"/>
      <w:r>
        <w:rPr>
          <w:rStyle w:val="8"/>
          <w:rFonts w:ascii="宋体" w:hAnsi="宋体"/>
          <w:color w:val="auto"/>
          <w:kern w:val="2"/>
          <w:sz w:val="22"/>
          <w:szCs w:val="22"/>
          <w:highlight w:val="none"/>
        </w:rPr>
        <w:t>8.6 样品</w:t>
      </w:r>
      <w:bookmarkEnd w:id="631"/>
      <w:bookmarkEnd w:id="632"/>
      <w:bookmarkEnd w:id="633"/>
      <w:bookmarkEnd w:id="634"/>
      <w:bookmarkEnd w:id="635"/>
      <w:bookmarkEnd w:id="636"/>
      <w:bookmarkEnd w:id="637"/>
      <w:bookmarkEnd w:id="638"/>
      <w:bookmarkEnd w:id="639"/>
      <w:bookmarkEnd w:id="640"/>
      <w:bookmarkEnd w:id="641"/>
      <w:bookmarkEnd w:id="642"/>
      <w:bookmarkEnd w:id="643"/>
    </w:p>
    <w:p w14:paraId="3B37A251">
      <w:pPr>
        <w:pStyle w:val="13"/>
        <w:autoSpaceDE w:val="0"/>
        <w:autoSpaceDN w:val="0"/>
        <w:adjustRightInd w:val="0"/>
        <w:spacing w:line="360" w:lineRule="auto"/>
        <w:ind w:firstLine="440" w:firstLineChars="200"/>
        <w:jc w:val="left"/>
        <w:rPr>
          <w:rStyle w:val="8"/>
          <w:rFonts w:ascii="宋体" w:hAnsi="宋体"/>
          <w:color w:val="auto"/>
          <w:sz w:val="22"/>
          <w:szCs w:val="22"/>
          <w:highlight w:val="none"/>
        </w:rPr>
      </w:pPr>
      <w:r>
        <w:rPr>
          <w:rStyle w:val="8"/>
          <w:rFonts w:ascii="宋体" w:hAnsi="宋体"/>
          <w:color w:val="auto"/>
          <w:sz w:val="22"/>
          <w:szCs w:val="22"/>
          <w:highlight w:val="none"/>
        </w:rPr>
        <w:t>8.6.1</w:t>
      </w:r>
      <w:r>
        <w:rPr>
          <w:rStyle w:val="8"/>
          <w:rFonts w:ascii="宋体" w:hAnsi="宋体"/>
          <w:color w:val="auto"/>
          <w:sz w:val="22"/>
          <w:szCs w:val="22"/>
          <w:highlight w:val="none"/>
        </w:rPr>
        <w:tab/>
      </w:r>
      <w:r>
        <w:rPr>
          <w:rStyle w:val="8"/>
          <w:rFonts w:ascii="宋体" w:hAnsi="宋体"/>
          <w:color w:val="auto"/>
          <w:sz w:val="22"/>
          <w:szCs w:val="22"/>
          <w:highlight w:val="none"/>
        </w:rPr>
        <w:t>样品的报送</w:t>
      </w:r>
      <w:r>
        <w:rPr>
          <w:rStyle w:val="8"/>
          <w:rFonts w:hint="eastAsia" w:ascii="宋体" w:hAnsi="宋体"/>
          <w:color w:val="auto"/>
          <w:sz w:val="22"/>
          <w:szCs w:val="22"/>
          <w:highlight w:val="none"/>
        </w:rPr>
        <w:t>与封存</w:t>
      </w:r>
    </w:p>
    <w:p w14:paraId="76120DF6">
      <w:pPr>
        <w:pStyle w:val="13"/>
        <w:autoSpaceDE w:val="0"/>
        <w:autoSpaceDN w:val="0"/>
        <w:adjustRightInd w:val="0"/>
        <w:spacing w:line="360" w:lineRule="auto"/>
        <w:ind w:firstLine="440" w:firstLineChars="200"/>
        <w:jc w:val="left"/>
        <w:rPr>
          <w:rStyle w:val="8"/>
          <w:rFonts w:ascii="宋体" w:hAnsi="宋体"/>
          <w:color w:val="auto"/>
          <w:kern w:val="2"/>
          <w:sz w:val="22"/>
          <w:szCs w:val="22"/>
          <w:highlight w:val="none"/>
          <w:u w:val="single"/>
        </w:rPr>
      </w:pPr>
      <w:r>
        <w:rPr>
          <w:rStyle w:val="8"/>
          <w:rFonts w:ascii="宋体" w:hAnsi="宋体"/>
          <w:color w:val="auto"/>
          <w:sz w:val="22"/>
          <w:szCs w:val="22"/>
          <w:highlight w:val="none"/>
        </w:rPr>
        <w:t>需要承包人报送样品的材料或工程设备，样品的种类、名称、规格、数量要求：</w:t>
      </w:r>
      <w:r>
        <w:rPr>
          <w:rStyle w:val="8"/>
          <w:rFonts w:ascii="宋体" w:hAnsi="宋体"/>
          <w:color w:val="auto"/>
          <w:kern w:val="2"/>
          <w:sz w:val="22"/>
          <w:szCs w:val="22"/>
          <w:highlight w:val="none"/>
          <w:u w:val="single"/>
        </w:rPr>
        <w:t xml:space="preserve">                </w:t>
      </w:r>
      <w:r>
        <w:rPr>
          <w:rStyle w:val="8"/>
          <w:rFonts w:hint="eastAsia" w:ascii="宋体" w:hAnsi="宋体"/>
          <w:color w:val="auto"/>
          <w:kern w:val="2"/>
          <w:sz w:val="22"/>
          <w:szCs w:val="22"/>
          <w:highlight w:val="none"/>
          <w:u w:val="single"/>
        </w:rPr>
        <w:t xml:space="preserve">                    </w:t>
      </w:r>
      <w:r>
        <w:rPr>
          <w:rStyle w:val="8"/>
          <w:rFonts w:ascii="宋体" w:hAnsi="宋体"/>
          <w:color w:val="auto"/>
          <w:kern w:val="2"/>
          <w:sz w:val="22"/>
          <w:szCs w:val="22"/>
          <w:highlight w:val="none"/>
          <w:u w:val="single"/>
        </w:rPr>
        <w:t xml:space="preserve">      </w:t>
      </w:r>
    </w:p>
    <w:p w14:paraId="591396E8">
      <w:pPr>
        <w:pStyle w:val="13"/>
        <w:spacing w:line="360" w:lineRule="auto"/>
        <w:ind w:firstLine="440" w:firstLineChars="200"/>
        <w:jc w:val="left"/>
        <w:rPr>
          <w:rStyle w:val="8"/>
          <w:rFonts w:ascii="宋体" w:hAnsi="宋体"/>
          <w:color w:val="auto"/>
          <w:kern w:val="2"/>
          <w:sz w:val="22"/>
          <w:szCs w:val="22"/>
          <w:highlight w:val="none"/>
          <w:u w:val="single"/>
        </w:rPr>
      </w:pPr>
      <w:r>
        <w:rPr>
          <w:rStyle w:val="8"/>
          <w:rFonts w:hint="eastAsia" w:ascii="宋体" w:hAnsi="宋体"/>
          <w:color w:val="auto"/>
          <w:kern w:val="2"/>
          <w:sz w:val="22"/>
          <w:szCs w:val="22"/>
          <w:highlight w:val="none"/>
          <w:u w:val="single"/>
        </w:rPr>
        <w:t>按发包人要求</w:t>
      </w:r>
      <w:r>
        <w:rPr>
          <w:rStyle w:val="8"/>
          <w:rFonts w:ascii="宋体" w:hAnsi="宋体"/>
          <w:color w:val="auto"/>
          <w:kern w:val="2"/>
          <w:sz w:val="22"/>
          <w:szCs w:val="22"/>
          <w:highlight w:val="none"/>
          <w:u w:val="single"/>
        </w:rPr>
        <w:t>。</w:t>
      </w:r>
    </w:p>
    <w:p w14:paraId="79448394">
      <w:pPr>
        <w:pStyle w:val="13"/>
        <w:spacing w:after="120" w:line="360" w:lineRule="auto"/>
        <w:ind w:firstLine="440" w:firstLineChars="200"/>
        <w:outlineLvl w:val="0"/>
        <w:rPr>
          <w:rStyle w:val="8"/>
          <w:rFonts w:ascii="宋体" w:hAnsi="宋体"/>
          <w:color w:val="auto"/>
          <w:kern w:val="2"/>
          <w:sz w:val="22"/>
          <w:szCs w:val="22"/>
          <w:highlight w:val="none"/>
        </w:rPr>
      </w:pPr>
      <w:bookmarkStart w:id="644" w:name="_Toc256000573"/>
      <w:bookmarkStart w:id="645" w:name="_Toc22173"/>
      <w:bookmarkStart w:id="646" w:name="_Toc21091"/>
      <w:bookmarkStart w:id="647" w:name="_Toc256000840"/>
      <w:bookmarkStart w:id="648" w:name="_Toc24887"/>
      <w:bookmarkStart w:id="649" w:name="_Toc69461819"/>
      <w:bookmarkStart w:id="650" w:name="_Toc256000344"/>
      <w:bookmarkStart w:id="651" w:name="_Toc256000093"/>
      <w:bookmarkStart w:id="652" w:name="_Toc24239"/>
      <w:bookmarkStart w:id="653" w:name="_Toc256001307"/>
      <w:bookmarkStart w:id="654" w:name="_Toc69461164"/>
      <w:bookmarkStart w:id="655" w:name="_Toc256001077"/>
      <w:bookmarkStart w:id="656" w:name="_Toc256000060"/>
      <w:r>
        <w:rPr>
          <w:rStyle w:val="8"/>
          <w:rFonts w:ascii="宋体" w:hAnsi="宋体"/>
          <w:color w:val="auto"/>
          <w:kern w:val="2"/>
          <w:sz w:val="22"/>
          <w:szCs w:val="22"/>
          <w:highlight w:val="none"/>
        </w:rPr>
        <w:t>8.8 施工设备和临时设施</w:t>
      </w:r>
      <w:bookmarkEnd w:id="644"/>
      <w:bookmarkEnd w:id="645"/>
      <w:bookmarkEnd w:id="646"/>
      <w:bookmarkEnd w:id="647"/>
      <w:bookmarkEnd w:id="648"/>
      <w:bookmarkEnd w:id="649"/>
      <w:bookmarkEnd w:id="650"/>
      <w:bookmarkEnd w:id="651"/>
      <w:bookmarkEnd w:id="652"/>
      <w:bookmarkEnd w:id="653"/>
      <w:bookmarkEnd w:id="654"/>
      <w:bookmarkEnd w:id="655"/>
      <w:bookmarkEnd w:id="656"/>
    </w:p>
    <w:p w14:paraId="6B74B0A6">
      <w:pPr>
        <w:pStyle w:val="13"/>
        <w:autoSpaceDE w:val="0"/>
        <w:autoSpaceDN w:val="0"/>
        <w:adjustRightInd w:val="0"/>
        <w:spacing w:line="360" w:lineRule="auto"/>
        <w:ind w:firstLine="440" w:firstLineChars="200"/>
        <w:jc w:val="left"/>
        <w:rPr>
          <w:rStyle w:val="8"/>
          <w:rFonts w:ascii="宋体" w:hAnsi="宋体"/>
          <w:color w:val="auto"/>
          <w:kern w:val="2"/>
          <w:sz w:val="22"/>
          <w:szCs w:val="22"/>
          <w:highlight w:val="none"/>
        </w:rPr>
      </w:pPr>
      <w:r>
        <w:rPr>
          <w:rStyle w:val="8"/>
          <w:rFonts w:ascii="宋体" w:hAnsi="宋体"/>
          <w:color w:val="auto"/>
          <w:kern w:val="2"/>
          <w:sz w:val="22"/>
          <w:szCs w:val="22"/>
          <w:highlight w:val="none"/>
        </w:rPr>
        <w:t>8.8.1 承包人提供的施工设备和临时设施</w:t>
      </w:r>
    </w:p>
    <w:p w14:paraId="5C7E45A3">
      <w:pPr>
        <w:pStyle w:val="14"/>
        <w:autoSpaceDE w:val="0"/>
        <w:autoSpaceDN w:val="0"/>
        <w:adjustRightInd w:val="0"/>
        <w:spacing w:line="360" w:lineRule="auto"/>
        <w:ind w:firstLine="440" w:firstLineChars="200"/>
        <w:jc w:val="left"/>
        <w:rPr>
          <w:rStyle w:val="8"/>
          <w:rFonts w:ascii="宋体" w:hAnsi="宋体"/>
          <w:color w:val="auto"/>
          <w:kern w:val="2"/>
          <w:sz w:val="22"/>
          <w:szCs w:val="22"/>
          <w:highlight w:val="none"/>
          <w:u w:val="single"/>
        </w:rPr>
      </w:pPr>
      <w:r>
        <w:rPr>
          <w:rStyle w:val="8"/>
          <w:rFonts w:ascii="宋体" w:hAnsi="宋体"/>
          <w:color w:val="auto"/>
          <w:kern w:val="2"/>
          <w:sz w:val="22"/>
          <w:szCs w:val="22"/>
          <w:highlight w:val="none"/>
        </w:rPr>
        <w:t>关于修建临时设施费用承担的约定：</w:t>
      </w:r>
      <w:r>
        <w:rPr>
          <w:rStyle w:val="8"/>
          <w:rFonts w:ascii="宋体" w:hAnsi="宋体"/>
          <w:color w:val="auto"/>
          <w:kern w:val="2"/>
          <w:sz w:val="22"/>
          <w:szCs w:val="22"/>
          <w:highlight w:val="none"/>
          <w:u w:val="single"/>
        </w:rPr>
        <w:t xml:space="preserve">    </w:t>
      </w:r>
      <w:r>
        <w:rPr>
          <w:rStyle w:val="8"/>
          <w:rFonts w:hint="eastAsia" w:ascii="宋体" w:hAnsi="宋体"/>
          <w:color w:val="auto"/>
          <w:kern w:val="2"/>
          <w:sz w:val="22"/>
          <w:szCs w:val="22"/>
          <w:highlight w:val="none"/>
          <w:u w:val="single"/>
        </w:rPr>
        <w:t xml:space="preserve">  由承包人自行承担，同时需服从发包人管理。</w:t>
      </w:r>
    </w:p>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p w14:paraId="700A6BAC">
      <w:pPr>
        <w:pStyle w:val="15"/>
        <w:spacing w:before="120" w:after="120" w:line="360" w:lineRule="auto"/>
        <w:rPr>
          <w:rStyle w:val="8"/>
          <w:rFonts w:ascii="宋体" w:hAnsi="宋体" w:eastAsia="宋体"/>
          <w:b w:val="0"/>
          <w:color w:val="auto"/>
          <w:sz w:val="22"/>
          <w:szCs w:val="22"/>
          <w:highlight w:val="none"/>
        </w:rPr>
      </w:pPr>
      <w:bookmarkStart w:id="657" w:name="_Toc15577"/>
      <w:bookmarkStart w:id="658" w:name="_Toc256001078"/>
      <w:bookmarkStart w:id="659" w:name="_Toc351203641"/>
      <w:bookmarkStart w:id="660" w:name="_Toc256000574"/>
      <w:bookmarkStart w:id="661" w:name="_Toc256000345"/>
      <w:bookmarkStart w:id="662" w:name="_Toc256001308"/>
      <w:bookmarkStart w:id="663" w:name="_Toc256000841"/>
      <w:bookmarkStart w:id="664" w:name="_Toc26062"/>
      <w:bookmarkStart w:id="665" w:name="_Toc69461165"/>
      <w:bookmarkStart w:id="666" w:name="_Toc69461820"/>
      <w:r>
        <w:rPr>
          <w:rStyle w:val="8"/>
          <w:rFonts w:ascii="宋体" w:hAnsi="宋体" w:eastAsia="宋体"/>
          <w:b w:val="0"/>
          <w:color w:val="auto"/>
          <w:sz w:val="22"/>
          <w:szCs w:val="22"/>
          <w:highlight w:val="none"/>
        </w:rPr>
        <w:t>9</w:t>
      </w:r>
      <w:bookmarkEnd w:id="610"/>
      <w:bookmarkEnd w:id="611"/>
      <w:bookmarkEnd w:id="612"/>
      <w:bookmarkStart w:id="667" w:name="_Toc297123533"/>
      <w:bookmarkStart w:id="668" w:name="_Toc304295559"/>
      <w:bookmarkStart w:id="669" w:name="_Toc312678021"/>
      <w:bookmarkStart w:id="670" w:name="_Toc303539139"/>
      <w:bookmarkStart w:id="671" w:name="_Toc300934982"/>
      <w:bookmarkStart w:id="672" w:name="_Toc312677495"/>
      <w:bookmarkStart w:id="673" w:name="_Toc297216192"/>
      <w:bookmarkStart w:id="674" w:name="_Toc296347172"/>
      <w:bookmarkStart w:id="675" w:name="_Toc296346674"/>
      <w:bookmarkStart w:id="676" w:name="_Toc296503173"/>
      <w:bookmarkStart w:id="677" w:name="_Toc267251427"/>
      <w:bookmarkStart w:id="678" w:name="_Toc296891213"/>
      <w:bookmarkStart w:id="679" w:name="_Toc292559883"/>
      <w:bookmarkStart w:id="680" w:name="_Toc267251428"/>
      <w:bookmarkStart w:id="681" w:name="_Toc297048359"/>
      <w:bookmarkStart w:id="682" w:name="_Toc296891001"/>
      <w:bookmarkStart w:id="683" w:name="_Toc292559378"/>
      <w:bookmarkStart w:id="684" w:name="_Toc297120473"/>
      <w:bookmarkStart w:id="685" w:name="_Toc296944512"/>
      <w:r>
        <w:rPr>
          <w:rStyle w:val="8"/>
          <w:rFonts w:ascii="宋体" w:hAnsi="宋体" w:eastAsia="宋体"/>
          <w:b w:val="0"/>
          <w:color w:val="auto"/>
          <w:sz w:val="22"/>
          <w:szCs w:val="22"/>
          <w:highlight w:val="none"/>
        </w:rPr>
        <w:t>. 试验与检验</w:t>
      </w:r>
      <w:bookmarkEnd w:id="657"/>
      <w:bookmarkEnd w:id="658"/>
      <w:bookmarkEnd w:id="659"/>
      <w:bookmarkEnd w:id="660"/>
      <w:bookmarkEnd w:id="661"/>
      <w:bookmarkEnd w:id="662"/>
      <w:bookmarkEnd w:id="663"/>
      <w:bookmarkEnd w:id="664"/>
      <w:bookmarkEnd w:id="665"/>
      <w:bookmarkEnd w:id="666"/>
    </w:p>
    <w:bookmarkEnd w:id="667"/>
    <w:bookmarkEnd w:id="668"/>
    <w:bookmarkEnd w:id="669"/>
    <w:bookmarkEnd w:id="670"/>
    <w:bookmarkEnd w:id="671"/>
    <w:bookmarkEnd w:id="672"/>
    <w:bookmarkEnd w:id="673"/>
    <w:p w14:paraId="735CA9B6">
      <w:pPr>
        <w:pStyle w:val="13"/>
        <w:spacing w:after="120" w:line="360" w:lineRule="auto"/>
        <w:ind w:firstLine="440" w:firstLineChars="200"/>
        <w:rPr>
          <w:rStyle w:val="8"/>
          <w:rFonts w:ascii="宋体" w:hAnsi="宋体"/>
          <w:color w:val="auto"/>
          <w:kern w:val="2"/>
          <w:sz w:val="22"/>
          <w:szCs w:val="22"/>
          <w:highlight w:val="none"/>
        </w:rPr>
      </w:pPr>
      <w:r>
        <w:rPr>
          <w:rStyle w:val="8"/>
          <w:rFonts w:ascii="宋体" w:hAnsi="宋体"/>
          <w:color w:val="auto"/>
          <w:kern w:val="2"/>
          <w:sz w:val="22"/>
          <w:szCs w:val="22"/>
          <w:highlight w:val="none"/>
        </w:rPr>
        <w:t>9</w:t>
      </w:r>
      <w:bookmarkStart w:id="686" w:name="_Toc297216193"/>
      <w:bookmarkStart w:id="687" w:name="_Toc300934983"/>
      <w:bookmarkStart w:id="688" w:name="_Toc312678022"/>
      <w:bookmarkStart w:id="689" w:name="_Toc312677496"/>
      <w:bookmarkStart w:id="690" w:name="_Toc303539140"/>
      <w:bookmarkStart w:id="691" w:name="_Toc297123534"/>
      <w:bookmarkStart w:id="692" w:name="_Toc304295560"/>
      <w:r>
        <w:rPr>
          <w:rStyle w:val="8"/>
          <w:rFonts w:ascii="宋体" w:hAnsi="宋体"/>
          <w:color w:val="auto"/>
          <w:kern w:val="2"/>
          <w:sz w:val="22"/>
          <w:szCs w:val="22"/>
          <w:highlight w:val="none"/>
        </w:rPr>
        <w:t>.1试验设备与试验人员</w:t>
      </w:r>
    </w:p>
    <w:bookmarkEnd w:id="686"/>
    <w:bookmarkEnd w:id="687"/>
    <w:bookmarkEnd w:id="688"/>
    <w:bookmarkEnd w:id="689"/>
    <w:bookmarkEnd w:id="690"/>
    <w:bookmarkEnd w:id="691"/>
    <w:bookmarkEnd w:id="692"/>
    <w:p w14:paraId="446F2CEE">
      <w:pPr>
        <w:pStyle w:val="13"/>
        <w:spacing w:line="360" w:lineRule="auto"/>
        <w:ind w:firstLine="440" w:firstLineChars="200"/>
        <w:jc w:val="left"/>
        <w:rPr>
          <w:rStyle w:val="8"/>
          <w:rFonts w:ascii="宋体" w:hAnsi="宋体"/>
          <w:color w:val="auto"/>
          <w:kern w:val="2"/>
          <w:sz w:val="22"/>
          <w:szCs w:val="22"/>
          <w:highlight w:val="none"/>
        </w:rPr>
      </w:pPr>
      <w:r>
        <w:rPr>
          <w:rStyle w:val="8"/>
          <w:rFonts w:ascii="宋体" w:hAnsi="宋体"/>
          <w:color w:val="auto"/>
          <w:kern w:val="2"/>
          <w:sz w:val="22"/>
          <w:szCs w:val="22"/>
          <w:highlight w:val="none"/>
        </w:rPr>
        <w:t>9</w:t>
      </w:r>
      <w:bookmarkStart w:id="693" w:name="_Toc312677497"/>
      <w:bookmarkStart w:id="694" w:name="_Toc300934984"/>
      <w:bookmarkStart w:id="695" w:name="_Toc297123535"/>
      <w:bookmarkStart w:id="696" w:name="_Toc297216194"/>
      <w:bookmarkStart w:id="697" w:name="_Toc303539141"/>
      <w:bookmarkStart w:id="698" w:name="_Toc312678023"/>
      <w:bookmarkStart w:id="699" w:name="_Toc304295561"/>
      <w:bookmarkStart w:id="700" w:name="_Toc318581174"/>
      <w:r>
        <w:rPr>
          <w:rStyle w:val="8"/>
          <w:rFonts w:ascii="宋体" w:hAnsi="宋体"/>
          <w:color w:val="auto"/>
          <w:kern w:val="2"/>
          <w:sz w:val="22"/>
          <w:szCs w:val="22"/>
          <w:highlight w:val="none"/>
        </w:rPr>
        <w:t>.1.2 试验设备</w:t>
      </w:r>
    </w:p>
    <w:p w14:paraId="72EBE753">
      <w:pPr>
        <w:pStyle w:val="13"/>
        <w:spacing w:line="360" w:lineRule="auto"/>
        <w:ind w:firstLine="440" w:firstLineChars="200"/>
        <w:jc w:val="left"/>
        <w:rPr>
          <w:rStyle w:val="8"/>
          <w:rFonts w:ascii="宋体" w:hAnsi="宋体"/>
          <w:color w:val="auto"/>
          <w:kern w:val="2"/>
          <w:sz w:val="22"/>
          <w:szCs w:val="22"/>
          <w:highlight w:val="none"/>
          <w:u w:val="single"/>
        </w:rPr>
      </w:pPr>
      <w:r>
        <w:rPr>
          <w:rStyle w:val="8"/>
          <w:rFonts w:ascii="宋体" w:hAnsi="宋体"/>
          <w:color w:val="auto"/>
          <w:kern w:val="2"/>
          <w:sz w:val="22"/>
          <w:szCs w:val="22"/>
          <w:highlight w:val="none"/>
        </w:rPr>
        <w:t>施工现场需要配置的试验场所：</w:t>
      </w:r>
      <w:bookmarkEnd w:id="693"/>
      <w:bookmarkEnd w:id="694"/>
      <w:bookmarkEnd w:id="695"/>
      <w:bookmarkEnd w:id="696"/>
      <w:bookmarkEnd w:id="697"/>
      <w:bookmarkEnd w:id="698"/>
      <w:bookmarkEnd w:id="699"/>
      <w:bookmarkStart w:id="701" w:name="_Toc297216195"/>
      <w:bookmarkStart w:id="702" w:name="_Toc312678024"/>
      <w:bookmarkStart w:id="703" w:name="_Toc297123536"/>
      <w:bookmarkStart w:id="704" w:name="_Toc304295562"/>
      <w:bookmarkStart w:id="705" w:name="_Toc303539142"/>
      <w:bookmarkStart w:id="706" w:name="_Toc300934985"/>
      <w:bookmarkStart w:id="707" w:name="_Toc312677498"/>
      <w:r>
        <w:rPr>
          <w:rStyle w:val="8"/>
          <w:rFonts w:ascii="宋体" w:hAnsi="宋体"/>
          <w:color w:val="auto"/>
          <w:kern w:val="2"/>
          <w:sz w:val="22"/>
          <w:szCs w:val="22"/>
          <w:highlight w:val="none"/>
          <w:u w:val="single"/>
        </w:rPr>
        <w:t xml:space="preserve">   </w:t>
      </w:r>
      <w:r>
        <w:rPr>
          <w:rStyle w:val="8"/>
          <w:rFonts w:hint="eastAsia" w:ascii="宋体" w:hAnsi="宋体"/>
          <w:color w:val="auto"/>
          <w:kern w:val="2"/>
          <w:sz w:val="22"/>
          <w:szCs w:val="22"/>
          <w:highlight w:val="none"/>
          <w:u w:val="single"/>
        </w:rPr>
        <w:t>按相关规定执行</w:t>
      </w:r>
      <w:r>
        <w:rPr>
          <w:rStyle w:val="8"/>
          <w:rFonts w:ascii="宋体" w:hAnsi="宋体"/>
          <w:color w:val="auto"/>
          <w:kern w:val="2"/>
          <w:sz w:val="22"/>
          <w:szCs w:val="22"/>
          <w:highlight w:val="none"/>
          <w:u w:val="single"/>
        </w:rPr>
        <w:t xml:space="preserve">          </w:t>
      </w:r>
      <w:r>
        <w:rPr>
          <w:rStyle w:val="8"/>
          <w:rFonts w:hint="eastAsia" w:ascii="宋体" w:hAnsi="宋体"/>
          <w:color w:val="auto"/>
          <w:kern w:val="2"/>
          <w:sz w:val="22"/>
          <w:szCs w:val="22"/>
          <w:highlight w:val="none"/>
          <w:u w:val="single"/>
        </w:rPr>
        <w:t xml:space="preserve">    </w:t>
      </w:r>
      <w:r>
        <w:rPr>
          <w:rStyle w:val="8"/>
          <w:rFonts w:ascii="宋体" w:hAnsi="宋体"/>
          <w:color w:val="auto"/>
          <w:kern w:val="2"/>
          <w:sz w:val="22"/>
          <w:szCs w:val="22"/>
          <w:highlight w:val="none"/>
          <w:u w:val="single"/>
        </w:rPr>
        <w:t xml:space="preserve">          </w:t>
      </w:r>
    </w:p>
    <w:p w14:paraId="710C3946">
      <w:pPr>
        <w:pStyle w:val="13"/>
        <w:spacing w:line="360" w:lineRule="auto"/>
        <w:ind w:firstLine="440" w:firstLineChars="200"/>
        <w:jc w:val="left"/>
        <w:rPr>
          <w:rStyle w:val="8"/>
          <w:rFonts w:ascii="宋体" w:hAnsi="宋体"/>
          <w:color w:val="auto"/>
          <w:kern w:val="2"/>
          <w:sz w:val="22"/>
          <w:szCs w:val="22"/>
          <w:highlight w:val="none"/>
          <w:u w:val="single"/>
        </w:rPr>
      </w:pPr>
      <w:r>
        <w:rPr>
          <w:rStyle w:val="8"/>
          <w:rFonts w:ascii="宋体" w:hAnsi="宋体"/>
          <w:color w:val="auto"/>
          <w:kern w:val="2"/>
          <w:sz w:val="22"/>
          <w:szCs w:val="22"/>
          <w:highlight w:val="none"/>
        </w:rPr>
        <w:t>施工现场需要配备的试验设备：</w:t>
      </w:r>
      <w:r>
        <w:rPr>
          <w:rStyle w:val="8"/>
          <w:rFonts w:ascii="宋体" w:hAnsi="宋体"/>
          <w:color w:val="auto"/>
          <w:kern w:val="2"/>
          <w:sz w:val="22"/>
          <w:szCs w:val="22"/>
          <w:highlight w:val="none"/>
          <w:u w:val="single"/>
        </w:rPr>
        <w:t xml:space="preserve">          </w:t>
      </w:r>
      <w:r>
        <w:rPr>
          <w:rStyle w:val="8"/>
          <w:rFonts w:hint="eastAsia" w:ascii="宋体" w:hAnsi="宋体"/>
          <w:color w:val="auto"/>
          <w:kern w:val="2"/>
          <w:sz w:val="22"/>
          <w:szCs w:val="22"/>
          <w:highlight w:val="none"/>
          <w:u w:val="single"/>
        </w:rPr>
        <w:t>按相关规定执行。</w:t>
      </w:r>
      <w:r>
        <w:rPr>
          <w:rStyle w:val="8"/>
          <w:rFonts w:ascii="宋体" w:hAnsi="宋体"/>
          <w:color w:val="auto"/>
          <w:kern w:val="2"/>
          <w:sz w:val="22"/>
          <w:szCs w:val="22"/>
          <w:highlight w:val="none"/>
          <w:u w:val="single"/>
        </w:rPr>
        <w:t xml:space="preserve">     </w:t>
      </w:r>
      <w:r>
        <w:rPr>
          <w:rStyle w:val="8"/>
          <w:rFonts w:hint="eastAsia" w:ascii="宋体" w:hAnsi="宋体"/>
          <w:color w:val="auto"/>
          <w:kern w:val="2"/>
          <w:sz w:val="22"/>
          <w:szCs w:val="22"/>
          <w:highlight w:val="none"/>
          <w:u w:val="single"/>
        </w:rPr>
        <w:t xml:space="preserve"> </w:t>
      </w:r>
      <w:r>
        <w:rPr>
          <w:rStyle w:val="8"/>
          <w:rFonts w:ascii="宋体" w:hAnsi="宋体"/>
          <w:color w:val="auto"/>
          <w:kern w:val="2"/>
          <w:sz w:val="22"/>
          <w:szCs w:val="22"/>
          <w:highlight w:val="none"/>
          <w:u w:val="single"/>
        </w:rPr>
        <w:t xml:space="preserve">   </w:t>
      </w:r>
      <w:r>
        <w:rPr>
          <w:rStyle w:val="8"/>
          <w:rFonts w:hint="eastAsia" w:ascii="宋体" w:hAnsi="宋体"/>
          <w:color w:val="auto"/>
          <w:kern w:val="2"/>
          <w:sz w:val="22"/>
          <w:szCs w:val="22"/>
          <w:highlight w:val="none"/>
          <w:u w:val="single"/>
        </w:rPr>
        <w:t xml:space="preserve"> </w:t>
      </w:r>
      <w:r>
        <w:rPr>
          <w:rStyle w:val="8"/>
          <w:rFonts w:ascii="宋体" w:hAnsi="宋体"/>
          <w:color w:val="auto"/>
          <w:kern w:val="2"/>
          <w:sz w:val="22"/>
          <w:szCs w:val="22"/>
          <w:highlight w:val="none"/>
          <w:u w:val="single"/>
        </w:rPr>
        <w:t xml:space="preserve">       </w:t>
      </w:r>
    </w:p>
    <w:p w14:paraId="44D9435F">
      <w:pPr>
        <w:pStyle w:val="13"/>
        <w:spacing w:line="360" w:lineRule="auto"/>
        <w:ind w:firstLine="440" w:firstLineChars="200"/>
        <w:jc w:val="left"/>
        <w:rPr>
          <w:rStyle w:val="8"/>
          <w:rFonts w:ascii="宋体" w:hAnsi="宋体"/>
          <w:color w:val="auto"/>
          <w:kern w:val="2"/>
          <w:sz w:val="22"/>
          <w:szCs w:val="22"/>
          <w:highlight w:val="none"/>
          <w:u w:val="single"/>
        </w:rPr>
      </w:pPr>
      <w:r>
        <w:rPr>
          <w:rStyle w:val="8"/>
          <w:rFonts w:ascii="宋体" w:hAnsi="宋体"/>
          <w:color w:val="auto"/>
          <w:kern w:val="2"/>
          <w:sz w:val="22"/>
          <w:szCs w:val="22"/>
          <w:highlight w:val="none"/>
        </w:rPr>
        <w:t>施工现场需要具备的其他试验条件：</w:t>
      </w:r>
      <w:r>
        <w:rPr>
          <w:rStyle w:val="8"/>
          <w:rFonts w:ascii="宋体" w:hAnsi="宋体"/>
          <w:color w:val="auto"/>
          <w:kern w:val="2"/>
          <w:sz w:val="22"/>
          <w:szCs w:val="22"/>
          <w:highlight w:val="none"/>
          <w:u w:val="single"/>
        </w:rPr>
        <w:t xml:space="preserve">        </w:t>
      </w:r>
      <w:r>
        <w:rPr>
          <w:rStyle w:val="8"/>
          <w:rFonts w:hint="eastAsia" w:ascii="宋体" w:hAnsi="宋体"/>
          <w:color w:val="auto"/>
          <w:kern w:val="2"/>
          <w:sz w:val="22"/>
          <w:szCs w:val="22"/>
          <w:highlight w:val="none"/>
          <w:u w:val="single"/>
        </w:rPr>
        <w:t>按相关规定执行</w:t>
      </w:r>
      <w:r>
        <w:rPr>
          <w:rStyle w:val="8"/>
          <w:rFonts w:ascii="宋体" w:hAnsi="宋体"/>
          <w:color w:val="auto"/>
          <w:kern w:val="2"/>
          <w:sz w:val="22"/>
          <w:szCs w:val="22"/>
          <w:highlight w:val="none"/>
          <w:u w:val="single"/>
        </w:rPr>
        <w:t xml:space="preserve">     </w:t>
      </w:r>
      <w:r>
        <w:rPr>
          <w:rStyle w:val="8"/>
          <w:rFonts w:hint="eastAsia" w:ascii="宋体" w:hAnsi="宋体"/>
          <w:color w:val="auto"/>
          <w:kern w:val="2"/>
          <w:sz w:val="22"/>
          <w:szCs w:val="22"/>
          <w:highlight w:val="none"/>
          <w:u w:val="single"/>
        </w:rPr>
        <w:t xml:space="preserve"> </w:t>
      </w:r>
      <w:r>
        <w:rPr>
          <w:rStyle w:val="8"/>
          <w:rFonts w:ascii="宋体" w:hAnsi="宋体"/>
          <w:color w:val="auto"/>
          <w:kern w:val="2"/>
          <w:sz w:val="22"/>
          <w:szCs w:val="22"/>
          <w:highlight w:val="none"/>
          <w:u w:val="single"/>
        </w:rPr>
        <w:t xml:space="preserve"> </w:t>
      </w:r>
      <w:r>
        <w:rPr>
          <w:rStyle w:val="8"/>
          <w:rFonts w:hint="eastAsia" w:ascii="宋体" w:hAnsi="宋体"/>
          <w:color w:val="auto"/>
          <w:kern w:val="2"/>
          <w:sz w:val="22"/>
          <w:szCs w:val="22"/>
          <w:highlight w:val="none"/>
          <w:u w:val="single"/>
        </w:rPr>
        <w:t xml:space="preserve"> </w:t>
      </w:r>
      <w:r>
        <w:rPr>
          <w:rStyle w:val="8"/>
          <w:rFonts w:ascii="宋体" w:hAnsi="宋体"/>
          <w:color w:val="auto"/>
          <w:kern w:val="2"/>
          <w:sz w:val="22"/>
          <w:szCs w:val="22"/>
          <w:highlight w:val="none"/>
          <w:u w:val="single"/>
        </w:rPr>
        <w:t xml:space="preserve">     </w:t>
      </w:r>
    </w:p>
    <w:p w14:paraId="1ABAA2DB">
      <w:pPr>
        <w:pStyle w:val="14"/>
        <w:spacing w:line="360" w:lineRule="auto"/>
        <w:ind w:firstLine="440" w:firstLineChars="200"/>
        <w:jc w:val="left"/>
        <w:rPr>
          <w:rStyle w:val="8"/>
          <w:rFonts w:ascii="宋体" w:hAnsi="宋体"/>
          <w:color w:val="auto"/>
          <w:kern w:val="2"/>
          <w:sz w:val="22"/>
          <w:szCs w:val="22"/>
          <w:highlight w:val="none"/>
          <w:u w:val="single"/>
        </w:rPr>
      </w:pPr>
      <w:r>
        <w:rPr>
          <w:rStyle w:val="8"/>
          <w:rFonts w:hint="eastAsia" w:ascii="宋体" w:hAnsi="宋体"/>
          <w:color w:val="auto"/>
          <w:kern w:val="2"/>
          <w:sz w:val="22"/>
          <w:szCs w:val="22"/>
          <w:highlight w:val="none"/>
        </w:rPr>
        <w:t>9.3 材料、工程设备和工程的试验和检验的有关约定：</w:t>
      </w:r>
      <w:r>
        <w:rPr>
          <w:rStyle w:val="8"/>
          <w:rFonts w:hint="eastAsia" w:ascii="宋体" w:hAnsi="宋体"/>
          <w:color w:val="auto"/>
          <w:kern w:val="2"/>
          <w:sz w:val="22"/>
          <w:szCs w:val="22"/>
          <w:highlight w:val="none"/>
          <w:u w:val="single"/>
        </w:rPr>
        <w:t xml:space="preserve">试验和检验费用（检测费）用由承包人承担，如发包人或监理人对承包人的试验和检验结果有疑问的，或为查清承包人试验和检验成果的可靠性要求承包人重新试验和检验的，可按合同约定由发包人或监理人与承包人共同进行委托检测。重新试验和检验的结果证明该项材料、工程设备或工程的质量不符合合同要求的，由此增加的费用和（或）工期延误由承包人承担；重新试验和检验结果证明该项材料、工程设备和工程符合合同要求，由发包人承担由此增加的费用，发包人有权随时抽检进场材料，费用由发包人承担，如质量不符合合同要求的，由此增加的费用和（或）工期延误由承包人承担。 </w:t>
      </w:r>
    </w:p>
    <w:p w14:paraId="7A2294B0">
      <w:pPr>
        <w:pStyle w:val="13"/>
        <w:spacing w:after="120" w:line="360" w:lineRule="auto"/>
        <w:ind w:firstLine="440" w:firstLineChars="200"/>
        <w:outlineLvl w:val="0"/>
        <w:rPr>
          <w:rStyle w:val="8"/>
          <w:rFonts w:ascii="宋体" w:hAnsi="宋体"/>
          <w:color w:val="auto"/>
          <w:kern w:val="2"/>
          <w:sz w:val="22"/>
          <w:szCs w:val="22"/>
          <w:highlight w:val="none"/>
        </w:rPr>
      </w:pPr>
      <w:bookmarkStart w:id="708" w:name="_Toc29006"/>
      <w:bookmarkStart w:id="709" w:name="_Toc256000061"/>
      <w:bookmarkStart w:id="710" w:name="_Toc69461821"/>
      <w:bookmarkStart w:id="711" w:name="_Toc17776"/>
      <w:bookmarkStart w:id="712" w:name="_Toc256001309"/>
      <w:bookmarkStart w:id="713" w:name="_Toc69461166"/>
      <w:bookmarkStart w:id="714" w:name="_Toc256000094"/>
      <w:bookmarkStart w:id="715" w:name="_Toc256000575"/>
      <w:bookmarkStart w:id="716" w:name="_Toc256000346"/>
      <w:bookmarkStart w:id="717" w:name="_Toc31959"/>
      <w:bookmarkStart w:id="718" w:name="_Toc256000842"/>
      <w:bookmarkStart w:id="719" w:name="_Toc10666"/>
      <w:bookmarkStart w:id="720" w:name="_Toc256001079"/>
      <w:r>
        <w:rPr>
          <w:rStyle w:val="8"/>
          <w:rFonts w:ascii="宋体" w:hAnsi="宋体"/>
          <w:color w:val="auto"/>
          <w:kern w:val="2"/>
          <w:sz w:val="22"/>
          <w:szCs w:val="22"/>
          <w:highlight w:val="none"/>
        </w:rPr>
        <w:t>9.4 现场工艺试验</w:t>
      </w:r>
      <w:bookmarkEnd w:id="708"/>
      <w:bookmarkEnd w:id="709"/>
      <w:bookmarkEnd w:id="710"/>
      <w:bookmarkEnd w:id="711"/>
      <w:bookmarkEnd w:id="712"/>
      <w:bookmarkEnd w:id="713"/>
      <w:bookmarkEnd w:id="714"/>
      <w:bookmarkEnd w:id="715"/>
      <w:bookmarkEnd w:id="716"/>
      <w:bookmarkEnd w:id="717"/>
      <w:bookmarkEnd w:id="718"/>
      <w:bookmarkEnd w:id="719"/>
      <w:bookmarkEnd w:id="720"/>
      <w:r>
        <w:rPr>
          <w:rStyle w:val="8"/>
          <w:rFonts w:hint="eastAsia" w:ascii="宋体" w:hAnsi="宋体"/>
          <w:color w:val="auto"/>
          <w:kern w:val="2"/>
          <w:sz w:val="22"/>
          <w:szCs w:val="22"/>
          <w:highlight w:val="none"/>
        </w:rPr>
        <w:t xml:space="preserve"> </w:t>
      </w:r>
    </w:p>
    <w:p w14:paraId="7BC91709">
      <w:pPr>
        <w:pStyle w:val="14"/>
        <w:spacing w:line="360" w:lineRule="auto"/>
        <w:ind w:firstLine="440" w:firstLineChars="200"/>
        <w:jc w:val="left"/>
        <w:rPr>
          <w:rStyle w:val="8"/>
          <w:rFonts w:ascii="宋体" w:hAnsi="宋体"/>
          <w:color w:val="auto"/>
          <w:kern w:val="2"/>
          <w:sz w:val="22"/>
          <w:szCs w:val="22"/>
          <w:highlight w:val="none"/>
          <w:u w:val="single"/>
        </w:rPr>
      </w:pPr>
      <w:r>
        <w:rPr>
          <w:rStyle w:val="8"/>
          <w:rFonts w:ascii="宋体" w:hAnsi="宋体"/>
          <w:color w:val="auto"/>
          <w:kern w:val="2"/>
          <w:sz w:val="22"/>
          <w:szCs w:val="22"/>
          <w:highlight w:val="none"/>
        </w:rPr>
        <w:t>现场工艺试验的有关约定：</w:t>
      </w:r>
      <w:r>
        <w:rPr>
          <w:rStyle w:val="8"/>
          <w:rFonts w:hint="eastAsia" w:ascii="宋体" w:hAnsi="宋体"/>
          <w:color w:val="auto"/>
          <w:kern w:val="2"/>
          <w:sz w:val="22"/>
          <w:szCs w:val="22"/>
          <w:highlight w:val="none"/>
          <w:u w:val="single"/>
        </w:rPr>
        <w:t>执行通用条款</w:t>
      </w:r>
    </w:p>
    <w:bookmarkEnd w:id="700"/>
    <w:bookmarkEnd w:id="701"/>
    <w:bookmarkEnd w:id="702"/>
    <w:bookmarkEnd w:id="703"/>
    <w:bookmarkEnd w:id="704"/>
    <w:bookmarkEnd w:id="705"/>
    <w:bookmarkEnd w:id="706"/>
    <w:bookmarkEnd w:id="707"/>
    <w:p w14:paraId="64D40FA7">
      <w:pPr>
        <w:pStyle w:val="15"/>
        <w:spacing w:before="120" w:after="120" w:line="360" w:lineRule="auto"/>
        <w:rPr>
          <w:rStyle w:val="8"/>
          <w:rFonts w:ascii="宋体" w:hAnsi="宋体" w:eastAsia="宋体"/>
          <w:b w:val="0"/>
          <w:color w:val="auto"/>
          <w:sz w:val="22"/>
          <w:szCs w:val="22"/>
          <w:highlight w:val="none"/>
        </w:rPr>
      </w:pPr>
      <w:bookmarkStart w:id="721" w:name="_Toc256000843"/>
      <w:bookmarkStart w:id="722" w:name="_Toc5521"/>
      <w:bookmarkStart w:id="723" w:name="_Toc2041"/>
      <w:bookmarkStart w:id="724" w:name="_Toc256001310"/>
      <w:bookmarkStart w:id="725" w:name="_Toc69461822"/>
      <w:bookmarkStart w:id="726" w:name="_Toc256000347"/>
      <w:bookmarkStart w:id="727" w:name="_Toc69461167"/>
      <w:bookmarkStart w:id="728" w:name="_Toc256000576"/>
      <w:bookmarkStart w:id="729" w:name="_Toc256001080"/>
      <w:bookmarkStart w:id="730" w:name="_Toc351203642"/>
      <w:r>
        <w:rPr>
          <w:rStyle w:val="8"/>
          <w:rFonts w:ascii="宋体" w:hAnsi="宋体" w:eastAsia="宋体"/>
          <w:b w:val="0"/>
          <w:color w:val="auto"/>
          <w:sz w:val="22"/>
          <w:szCs w:val="22"/>
          <w:highlight w:val="none"/>
        </w:rPr>
        <w:t>1</w:t>
      </w:r>
      <w:bookmarkEnd w:id="674"/>
      <w:bookmarkEnd w:id="675"/>
      <w:bookmarkEnd w:id="676"/>
      <w:bookmarkEnd w:id="677"/>
      <w:bookmarkEnd w:id="678"/>
      <w:bookmarkEnd w:id="679"/>
      <w:bookmarkEnd w:id="680"/>
      <w:bookmarkEnd w:id="681"/>
      <w:bookmarkEnd w:id="682"/>
      <w:bookmarkEnd w:id="683"/>
      <w:bookmarkEnd w:id="684"/>
      <w:bookmarkEnd w:id="685"/>
      <w:bookmarkStart w:id="731" w:name="_Toc297048379"/>
      <w:bookmarkStart w:id="732" w:name="_Toc296944532"/>
      <w:bookmarkStart w:id="733" w:name="_Toc296503193"/>
      <w:bookmarkStart w:id="734" w:name="_Toc297216199"/>
      <w:bookmarkStart w:id="735" w:name="_Toc304295566"/>
      <w:bookmarkStart w:id="736" w:name="_Toc297120493"/>
      <w:bookmarkStart w:id="737" w:name="_Toc296891021"/>
      <w:bookmarkStart w:id="738" w:name="_Toc297123540"/>
      <w:bookmarkStart w:id="739" w:name="_Toc303539146"/>
      <w:bookmarkStart w:id="740" w:name="_Toc292559398"/>
      <w:bookmarkStart w:id="741" w:name="_Toc296891233"/>
      <w:bookmarkStart w:id="742" w:name="_Toc292559903"/>
      <w:bookmarkStart w:id="743" w:name="_Toc296347192"/>
      <w:bookmarkStart w:id="744" w:name="_Toc296346694"/>
      <w:bookmarkStart w:id="745" w:name="_Toc300934989"/>
      <w:bookmarkStart w:id="746" w:name="_Toc312677499"/>
      <w:bookmarkStart w:id="747" w:name="_Toc312678025"/>
      <w:bookmarkStart w:id="748" w:name="_Toc267251433"/>
      <w:bookmarkStart w:id="749" w:name="_Toc267251440"/>
      <w:bookmarkStart w:id="750" w:name="_Toc267251437"/>
      <w:bookmarkStart w:id="751" w:name="_Toc267251441"/>
      <w:bookmarkStart w:id="752" w:name="_Toc267251439"/>
      <w:bookmarkStart w:id="753" w:name="_Toc267251435"/>
      <w:bookmarkStart w:id="754" w:name="_Toc267251442"/>
      <w:r>
        <w:rPr>
          <w:rStyle w:val="8"/>
          <w:rFonts w:ascii="宋体" w:hAnsi="宋体" w:eastAsia="宋体"/>
          <w:b w:val="0"/>
          <w:color w:val="auto"/>
          <w:sz w:val="22"/>
          <w:szCs w:val="22"/>
          <w:highlight w:val="none"/>
        </w:rPr>
        <w:t>0. 变更</w:t>
      </w:r>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p>
    <w:bookmarkEnd w:id="746"/>
    <w:bookmarkEnd w:id="747"/>
    <w:p w14:paraId="45457399">
      <w:pPr>
        <w:pStyle w:val="13"/>
        <w:spacing w:after="120" w:line="360" w:lineRule="auto"/>
        <w:ind w:firstLine="440" w:firstLineChars="200"/>
        <w:rPr>
          <w:rStyle w:val="8"/>
          <w:rFonts w:ascii="宋体" w:hAnsi="宋体"/>
          <w:color w:val="auto"/>
          <w:kern w:val="2"/>
          <w:sz w:val="22"/>
          <w:szCs w:val="22"/>
          <w:highlight w:val="none"/>
        </w:rPr>
      </w:pPr>
      <w:r>
        <w:rPr>
          <w:rStyle w:val="8"/>
          <w:rFonts w:ascii="宋体" w:hAnsi="宋体"/>
          <w:color w:val="auto"/>
          <w:kern w:val="2"/>
          <w:sz w:val="22"/>
          <w:szCs w:val="22"/>
          <w:highlight w:val="none"/>
        </w:rPr>
        <w:t>1</w:t>
      </w:r>
      <w:bookmarkStart w:id="755" w:name="_Toc297048380"/>
      <w:bookmarkStart w:id="756" w:name="_Toc300934990"/>
      <w:bookmarkStart w:id="757" w:name="_Toc296891234"/>
      <w:bookmarkStart w:id="758" w:name="_Toc297120494"/>
      <w:bookmarkStart w:id="759" w:name="_Toc304295567"/>
      <w:bookmarkStart w:id="760" w:name="_Toc297123541"/>
      <w:bookmarkStart w:id="761" w:name="_Toc292559399"/>
      <w:bookmarkStart w:id="762" w:name="_Toc296891022"/>
      <w:bookmarkStart w:id="763" w:name="_Toc296346695"/>
      <w:bookmarkStart w:id="764" w:name="_Toc296347193"/>
      <w:bookmarkStart w:id="765" w:name="_Toc296503194"/>
      <w:bookmarkStart w:id="766" w:name="_Toc297216200"/>
      <w:bookmarkStart w:id="767" w:name="_Toc312677500"/>
      <w:bookmarkStart w:id="768" w:name="_Toc312678026"/>
      <w:bookmarkStart w:id="769" w:name="_Toc296944533"/>
      <w:bookmarkStart w:id="770" w:name="_Toc292559904"/>
      <w:bookmarkStart w:id="771" w:name="_Toc303539147"/>
      <w:r>
        <w:rPr>
          <w:rStyle w:val="8"/>
          <w:rFonts w:ascii="宋体" w:hAnsi="宋体"/>
          <w:color w:val="auto"/>
          <w:kern w:val="2"/>
          <w:sz w:val="22"/>
          <w:szCs w:val="22"/>
          <w:highlight w:val="none"/>
        </w:rPr>
        <w:t>0.1变更的范围</w:t>
      </w:r>
    </w:p>
    <w:p w14:paraId="2687ACC1">
      <w:pPr>
        <w:pStyle w:val="14"/>
        <w:spacing w:line="360" w:lineRule="auto"/>
        <w:ind w:firstLine="440" w:firstLineChars="200"/>
        <w:jc w:val="left"/>
        <w:rPr>
          <w:rStyle w:val="8"/>
          <w:rFonts w:ascii="宋体" w:hAnsi="宋体"/>
          <w:color w:val="auto"/>
          <w:kern w:val="2"/>
          <w:sz w:val="22"/>
          <w:szCs w:val="22"/>
          <w:highlight w:val="none"/>
          <w:u w:val="single"/>
        </w:rPr>
      </w:pPr>
      <w:r>
        <w:rPr>
          <w:rStyle w:val="8"/>
          <w:rFonts w:ascii="宋体" w:hAnsi="宋体"/>
          <w:color w:val="auto"/>
          <w:kern w:val="2"/>
          <w:sz w:val="22"/>
          <w:szCs w:val="22"/>
          <w:highlight w:val="none"/>
        </w:rPr>
        <w:t>关于变更的范围的约定：</w:t>
      </w:r>
      <w:r>
        <w:rPr>
          <w:rStyle w:val="8"/>
          <w:rFonts w:ascii="宋体" w:hAnsi="宋体"/>
          <w:color w:val="auto"/>
          <w:kern w:val="2"/>
          <w:sz w:val="22"/>
          <w:szCs w:val="22"/>
          <w:highlight w:val="none"/>
          <w:u w:val="single"/>
        </w:rPr>
        <w:t xml:space="preserve">   </w:t>
      </w:r>
      <w:r>
        <w:rPr>
          <w:rStyle w:val="8"/>
          <w:rFonts w:hint="eastAsia" w:ascii="宋体" w:hAnsi="宋体"/>
          <w:color w:val="auto"/>
          <w:kern w:val="2"/>
          <w:sz w:val="22"/>
          <w:szCs w:val="22"/>
          <w:highlight w:val="none"/>
          <w:u w:val="single"/>
        </w:rPr>
        <w:t>执行通用条款</w:t>
      </w:r>
    </w:p>
    <w:p w14:paraId="621F3A6B">
      <w:pPr>
        <w:pStyle w:val="13"/>
        <w:spacing w:after="120" w:line="360" w:lineRule="auto"/>
        <w:ind w:firstLine="440" w:firstLineChars="200"/>
        <w:outlineLvl w:val="0"/>
        <w:rPr>
          <w:rStyle w:val="8"/>
          <w:rFonts w:ascii="宋体" w:hAnsi="宋体"/>
          <w:color w:val="auto"/>
          <w:kern w:val="2"/>
          <w:sz w:val="22"/>
          <w:szCs w:val="22"/>
          <w:highlight w:val="none"/>
        </w:rPr>
      </w:pPr>
      <w:bookmarkStart w:id="772" w:name="_Toc256001311"/>
      <w:bookmarkStart w:id="773" w:name="_Toc256000844"/>
      <w:bookmarkStart w:id="774" w:name="_Toc256000095"/>
      <w:bookmarkStart w:id="775" w:name="_Toc256001081"/>
      <w:bookmarkStart w:id="776" w:name="_Toc10204"/>
      <w:bookmarkStart w:id="777" w:name="_Toc256000577"/>
      <w:bookmarkStart w:id="778" w:name="_Toc31952"/>
      <w:bookmarkStart w:id="779" w:name="_Toc69461168"/>
      <w:bookmarkStart w:id="780" w:name="_Toc256000348"/>
      <w:bookmarkStart w:id="781" w:name="_Toc256000062"/>
      <w:bookmarkStart w:id="782" w:name="_Toc6690"/>
      <w:bookmarkStart w:id="783" w:name="_Toc3763"/>
      <w:bookmarkStart w:id="784" w:name="_Toc69461823"/>
      <w:r>
        <w:rPr>
          <w:rStyle w:val="8"/>
          <w:rFonts w:ascii="宋体" w:hAnsi="宋体"/>
          <w:color w:val="auto"/>
          <w:kern w:val="2"/>
          <w:sz w:val="22"/>
          <w:szCs w:val="22"/>
          <w:highlight w:val="none"/>
        </w:rPr>
        <w:t>10.4 变更估价</w:t>
      </w:r>
      <w:bookmarkEnd w:id="772"/>
      <w:bookmarkEnd w:id="773"/>
      <w:bookmarkEnd w:id="774"/>
      <w:bookmarkEnd w:id="775"/>
      <w:bookmarkEnd w:id="776"/>
      <w:bookmarkEnd w:id="777"/>
      <w:bookmarkEnd w:id="778"/>
      <w:bookmarkEnd w:id="779"/>
      <w:bookmarkEnd w:id="780"/>
      <w:bookmarkEnd w:id="781"/>
      <w:bookmarkEnd w:id="782"/>
      <w:bookmarkEnd w:id="783"/>
      <w:bookmarkEnd w:id="784"/>
    </w:p>
    <w:p w14:paraId="15EF50E4">
      <w:pPr>
        <w:pStyle w:val="13"/>
        <w:spacing w:line="360" w:lineRule="auto"/>
        <w:ind w:firstLine="440" w:firstLineChars="200"/>
        <w:jc w:val="left"/>
        <w:rPr>
          <w:rStyle w:val="8"/>
          <w:rFonts w:ascii="宋体" w:hAnsi="宋体"/>
          <w:color w:val="auto"/>
          <w:kern w:val="2"/>
          <w:sz w:val="22"/>
          <w:szCs w:val="22"/>
          <w:highlight w:val="none"/>
        </w:rPr>
      </w:pPr>
      <w:r>
        <w:rPr>
          <w:rStyle w:val="8"/>
          <w:rFonts w:hint="eastAsia" w:ascii="宋体" w:hAnsi="宋体"/>
          <w:color w:val="auto"/>
          <w:kern w:val="2"/>
          <w:sz w:val="22"/>
          <w:szCs w:val="22"/>
          <w:highlight w:val="none"/>
        </w:rPr>
        <w:t>10.4.1 变更估价原则</w:t>
      </w:r>
    </w:p>
    <w:p w14:paraId="66D15D0C">
      <w:pPr>
        <w:pStyle w:val="14"/>
        <w:spacing w:line="360" w:lineRule="auto"/>
        <w:ind w:firstLine="440" w:firstLineChars="200"/>
        <w:jc w:val="left"/>
        <w:rPr>
          <w:rStyle w:val="8"/>
          <w:rFonts w:ascii="宋体" w:hAnsi="宋体"/>
          <w:color w:val="auto"/>
          <w:kern w:val="2"/>
          <w:sz w:val="22"/>
          <w:szCs w:val="22"/>
          <w:highlight w:val="none"/>
        </w:rPr>
      </w:pPr>
      <w:r>
        <w:rPr>
          <w:rStyle w:val="8"/>
          <w:rFonts w:ascii="宋体" w:hAnsi="宋体"/>
          <w:color w:val="auto"/>
          <w:kern w:val="2"/>
          <w:sz w:val="22"/>
          <w:szCs w:val="22"/>
          <w:highlight w:val="none"/>
        </w:rPr>
        <w:t xml:space="preserve">关于变更估价的约定: </w:t>
      </w:r>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Start w:id="785" w:name="_Toc303539151"/>
      <w:bookmarkStart w:id="786" w:name="_Toc296891031"/>
      <w:bookmarkStart w:id="787" w:name="_Toc304295570"/>
      <w:bookmarkStart w:id="788" w:name="_Toc300934994"/>
      <w:bookmarkStart w:id="789" w:name="_Toc297216204"/>
      <w:bookmarkStart w:id="790" w:name="_Toc297048389"/>
      <w:bookmarkStart w:id="791" w:name="_Toc296346704"/>
      <w:bookmarkStart w:id="792" w:name="_Toc296944542"/>
      <w:bookmarkStart w:id="793" w:name="_Toc312677503"/>
      <w:bookmarkStart w:id="794" w:name="_Toc297120503"/>
      <w:bookmarkStart w:id="795" w:name="_Toc296347202"/>
      <w:bookmarkStart w:id="796" w:name="_Toc292559913"/>
      <w:bookmarkStart w:id="797" w:name="_Toc296503203"/>
      <w:bookmarkStart w:id="798" w:name="_Toc296891243"/>
      <w:bookmarkStart w:id="799" w:name="_Toc292559408"/>
      <w:bookmarkStart w:id="800" w:name="_Toc297123545"/>
      <w:bookmarkStart w:id="801" w:name="_Toc312678029"/>
      <w:r>
        <w:rPr>
          <w:rStyle w:val="8"/>
          <w:rFonts w:hint="eastAsia" w:ascii="宋体" w:hAnsi="宋体"/>
          <w:color w:val="auto"/>
          <w:kern w:val="2"/>
          <w:sz w:val="22"/>
          <w:szCs w:val="22"/>
          <w:highlight w:val="none"/>
        </w:rPr>
        <w:t>⑴合同中已有适用的综合单价，按合同中已有的综合单价确定；</w:t>
      </w:r>
    </w:p>
    <w:p w14:paraId="12D1D041">
      <w:pPr>
        <w:pStyle w:val="14"/>
        <w:spacing w:line="360" w:lineRule="auto"/>
        <w:ind w:firstLine="440" w:firstLineChars="200"/>
        <w:jc w:val="left"/>
        <w:rPr>
          <w:rStyle w:val="8"/>
          <w:rFonts w:ascii="宋体" w:hAnsi="宋体"/>
          <w:color w:val="auto"/>
          <w:kern w:val="2"/>
          <w:sz w:val="22"/>
          <w:szCs w:val="22"/>
          <w:highlight w:val="none"/>
        </w:rPr>
      </w:pPr>
      <w:r>
        <w:rPr>
          <w:rStyle w:val="8"/>
          <w:rFonts w:hint="eastAsia" w:ascii="宋体" w:hAnsi="宋体"/>
          <w:color w:val="auto"/>
          <w:kern w:val="2"/>
          <w:sz w:val="22"/>
          <w:szCs w:val="22"/>
          <w:highlight w:val="none"/>
        </w:rPr>
        <w:t>⑵合同中有类似的综合单价，参照类似的综合单价确定；</w:t>
      </w:r>
    </w:p>
    <w:p w14:paraId="54BA7A57">
      <w:pPr>
        <w:pStyle w:val="14"/>
        <w:spacing w:line="360" w:lineRule="auto"/>
        <w:ind w:firstLine="440" w:firstLineChars="200"/>
        <w:jc w:val="left"/>
        <w:rPr>
          <w:rStyle w:val="8"/>
          <w:rFonts w:ascii="宋体" w:hAnsi="宋体"/>
          <w:color w:val="auto"/>
          <w:kern w:val="2"/>
          <w:sz w:val="22"/>
          <w:szCs w:val="22"/>
          <w:highlight w:val="none"/>
        </w:rPr>
      </w:pPr>
      <w:r>
        <w:rPr>
          <w:rStyle w:val="8"/>
          <w:rFonts w:hint="eastAsia" w:ascii="宋体" w:hAnsi="宋体"/>
          <w:color w:val="auto"/>
          <w:kern w:val="2"/>
          <w:sz w:val="22"/>
          <w:szCs w:val="22"/>
          <w:highlight w:val="none"/>
        </w:rPr>
        <w:t>⑶合同中没有适用或类似的综合单价，由承包人提出新的综合单价，经发包人、审计确认后执行。</w:t>
      </w:r>
    </w:p>
    <w:p w14:paraId="06BB2DB6">
      <w:pPr>
        <w:pStyle w:val="14"/>
        <w:spacing w:line="360" w:lineRule="auto"/>
        <w:ind w:firstLine="440" w:firstLineChars="200"/>
        <w:jc w:val="left"/>
        <w:rPr>
          <w:rStyle w:val="8"/>
          <w:rFonts w:ascii="宋体" w:hAnsi="宋体"/>
          <w:color w:val="auto"/>
          <w:kern w:val="2"/>
          <w:sz w:val="22"/>
          <w:szCs w:val="22"/>
          <w:highlight w:val="none"/>
        </w:rPr>
      </w:pPr>
      <w:r>
        <w:rPr>
          <w:rStyle w:val="8"/>
          <w:rFonts w:hint="eastAsia" w:ascii="宋体" w:hAnsi="宋体"/>
          <w:color w:val="auto"/>
          <w:kern w:val="2"/>
          <w:sz w:val="22"/>
          <w:szCs w:val="22"/>
          <w:highlight w:val="none"/>
        </w:rPr>
        <w:t>由承包人提出的新的综合单价，发包人按如下原则进行确认：</w:t>
      </w:r>
    </w:p>
    <w:p w14:paraId="46D04E3B">
      <w:pPr>
        <w:pStyle w:val="14"/>
        <w:spacing w:line="360" w:lineRule="auto"/>
        <w:ind w:firstLine="440" w:firstLineChars="200"/>
        <w:jc w:val="left"/>
        <w:rPr>
          <w:rStyle w:val="8"/>
          <w:rFonts w:ascii="宋体" w:hAnsi="宋体"/>
          <w:color w:val="auto"/>
          <w:kern w:val="2"/>
          <w:sz w:val="22"/>
          <w:szCs w:val="22"/>
          <w:highlight w:val="none"/>
        </w:rPr>
      </w:pPr>
      <w:r>
        <w:rPr>
          <w:rStyle w:val="8"/>
          <w:rFonts w:hint="eastAsia" w:ascii="宋体" w:hAnsi="宋体"/>
          <w:color w:val="auto"/>
          <w:kern w:val="2"/>
          <w:sz w:val="22"/>
          <w:szCs w:val="22"/>
          <w:highlight w:val="none"/>
        </w:rPr>
        <w:t>①人工费、材料费、机械使用费按对应分部工程投标综合单价中相应单价执行；</w:t>
      </w:r>
    </w:p>
    <w:p w14:paraId="7F452ACE">
      <w:pPr>
        <w:pStyle w:val="14"/>
        <w:spacing w:line="360" w:lineRule="auto"/>
        <w:ind w:firstLine="440" w:firstLineChars="200"/>
        <w:jc w:val="left"/>
        <w:rPr>
          <w:rStyle w:val="8"/>
          <w:rFonts w:ascii="宋体" w:hAnsi="宋体"/>
          <w:color w:val="auto"/>
          <w:kern w:val="2"/>
          <w:sz w:val="22"/>
          <w:szCs w:val="22"/>
          <w:highlight w:val="none"/>
        </w:rPr>
      </w:pPr>
      <w:r>
        <w:rPr>
          <w:rStyle w:val="8"/>
          <w:rFonts w:hint="eastAsia" w:ascii="宋体" w:hAnsi="宋体"/>
          <w:color w:val="auto"/>
          <w:kern w:val="2"/>
          <w:sz w:val="22"/>
          <w:szCs w:val="22"/>
          <w:highlight w:val="none"/>
        </w:rPr>
        <w:t>②管理费和利润，按对应分部工程投标报价中费率系数执行；</w:t>
      </w:r>
    </w:p>
    <w:p w14:paraId="573306EA">
      <w:pPr>
        <w:pStyle w:val="14"/>
        <w:spacing w:line="360" w:lineRule="auto"/>
        <w:ind w:firstLine="440" w:firstLineChars="200"/>
        <w:jc w:val="left"/>
        <w:rPr>
          <w:rStyle w:val="8"/>
          <w:rFonts w:ascii="宋体" w:hAnsi="宋体"/>
          <w:color w:val="auto"/>
          <w:kern w:val="2"/>
          <w:sz w:val="22"/>
          <w:szCs w:val="22"/>
          <w:highlight w:val="none"/>
        </w:rPr>
      </w:pPr>
      <w:r>
        <w:rPr>
          <w:rStyle w:val="8"/>
          <w:rFonts w:hint="eastAsia" w:ascii="宋体" w:hAnsi="宋体"/>
          <w:color w:val="auto"/>
          <w:kern w:val="2"/>
          <w:sz w:val="22"/>
          <w:szCs w:val="22"/>
          <w:highlight w:val="none"/>
        </w:rPr>
        <w:t xml:space="preserve">③如同一分部工程投标人工单价、同一材料的材料单价、同一机械的机械台班单价及管理费率、利润率不同时，取最低者； </w:t>
      </w:r>
    </w:p>
    <w:p w14:paraId="3201A89A">
      <w:pPr>
        <w:pStyle w:val="14"/>
        <w:spacing w:line="360" w:lineRule="auto"/>
        <w:ind w:firstLine="440" w:firstLineChars="200"/>
        <w:jc w:val="left"/>
        <w:rPr>
          <w:rStyle w:val="8"/>
          <w:rFonts w:ascii="宋体" w:hAnsi="宋体"/>
          <w:color w:val="auto"/>
          <w:kern w:val="2"/>
          <w:sz w:val="22"/>
          <w:szCs w:val="22"/>
          <w:highlight w:val="none"/>
        </w:rPr>
      </w:pPr>
      <w:r>
        <w:rPr>
          <w:rStyle w:val="8"/>
          <w:rFonts w:hint="eastAsia" w:ascii="宋体" w:hAnsi="宋体"/>
          <w:color w:val="auto"/>
          <w:kern w:val="2"/>
          <w:sz w:val="22"/>
          <w:szCs w:val="22"/>
          <w:highlight w:val="none"/>
        </w:rPr>
        <w:t>④投标报价中没有的材料，按材料进场当期的《辽宁工程造价信息》执行；</w:t>
      </w:r>
    </w:p>
    <w:p w14:paraId="2F0E5937">
      <w:pPr>
        <w:pStyle w:val="14"/>
        <w:spacing w:line="360" w:lineRule="auto"/>
        <w:ind w:firstLine="440" w:firstLineChars="200"/>
        <w:jc w:val="left"/>
        <w:rPr>
          <w:rStyle w:val="8"/>
          <w:rFonts w:ascii="宋体" w:hAnsi="宋体"/>
          <w:color w:val="auto"/>
          <w:kern w:val="2"/>
          <w:sz w:val="22"/>
          <w:szCs w:val="22"/>
          <w:highlight w:val="none"/>
        </w:rPr>
      </w:pPr>
      <w:r>
        <w:rPr>
          <w:rStyle w:val="8"/>
          <w:rFonts w:hint="eastAsia" w:ascii="宋体" w:hAnsi="宋体"/>
          <w:color w:val="auto"/>
          <w:kern w:val="2"/>
          <w:sz w:val="22"/>
          <w:szCs w:val="22"/>
          <w:highlight w:val="none"/>
        </w:rPr>
        <w:t>⑤投标报价及《辽宁工程造价信息》均没有的材料，材料价格由承包人提出，经监理人核准报发包人、审计确认后作为结算依据。</w:t>
      </w:r>
    </w:p>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p w14:paraId="53E54500">
      <w:pPr>
        <w:pStyle w:val="13"/>
        <w:spacing w:line="360" w:lineRule="auto"/>
        <w:ind w:firstLine="440" w:firstLineChars="200"/>
        <w:jc w:val="left"/>
        <w:rPr>
          <w:rStyle w:val="8"/>
          <w:rFonts w:ascii="宋体" w:hAnsi="宋体"/>
          <w:color w:val="auto"/>
          <w:kern w:val="2"/>
          <w:sz w:val="22"/>
          <w:szCs w:val="22"/>
          <w:highlight w:val="none"/>
        </w:rPr>
      </w:pPr>
      <w:r>
        <w:rPr>
          <w:rStyle w:val="8"/>
          <w:rFonts w:ascii="宋体" w:hAnsi="宋体"/>
          <w:color w:val="auto"/>
          <w:kern w:val="2"/>
          <w:sz w:val="22"/>
          <w:szCs w:val="22"/>
          <w:highlight w:val="none"/>
        </w:rPr>
        <w:t>监理人审查承包人合理化建议的期限：</w:t>
      </w:r>
      <w:r>
        <w:rPr>
          <w:rStyle w:val="8"/>
          <w:rFonts w:ascii="宋体" w:hAnsi="宋体"/>
          <w:color w:val="auto"/>
          <w:kern w:val="2"/>
          <w:sz w:val="22"/>
          <w:szCs w:val="22"/>
          <w:highlight w:val="none"/>
          <w:u w:val="single"/>
        </w:rPr>
        <w:t xml:space="preserve">     </w:t>
      </w:r>
      <w:r>
        <w:rPr>
          <w:rStyle w:val="8"/>
          <w:rFonts w:hint="eastAsia" w:ascii="宋体" w:hAnsi="宋体"/>
          <w:color w:val="auto"/>
          <w:kern w:val="2"/>
          <w:sz w:val="22"/>
          <w:szCs w:val="22"/>
          <w:highlight w:val="none"/>
          <w:u w:val="single"/>
        </w:rPr>
        <w:t xml:space="preserve"> </w:t>
      </w:r>
      <w:r>
        <w:rPr>
          <w:rStyle w:val="8"/>
          <w:rFonts w:ascii="宋体" w:hAnsi="宋体"/>
          <w:color w:val="auto"/>
          <w:kern w:val="2"/>
          <w:sz w:val="22"/>
          <w:szCs w:val="22"/>
          <w:highlight w:val="none"/>
          <w:u w:val="single"/>
        </w:rPr>
        <w:t xml:space="preserve">     </w:t>
      </w:r>
      <w:r>
        <w:rPr>
          <w:rStyle w:val="8"/>
          <w:rFonts w:hint="eastAsia" w:ascii="宋体" w:hAnsi="宋体"/>
          <w:color w:val="auto"/>
          <w:kern w:val="2"/>
          <w:sz w:val="22"/>
          <w:szCs w:val="22"/>
          <w:highlight w:val="none"/>
          <w:u w:val="single"/>
        </w:rPr>
        <w:t xml:space="preserve">  </w:t>
      </w:r>
      <w:r>
        <w:rPr>
          <w:rStyle w:val="8"/>
          <w:rFonts w:ascii="宋体" w:hAnsi="宋体"/>
          <w:color w:val="auto"/>
          <w:kern w:val="2"/>
          <w:sz w:val="22"/>
          <w:szCs w:val="22"/>
          <w:highlight w:val="none"/>
          <w:u w:val="single"/>
        </w:rPr>
        <w:t xml:space="preserve"> </w:t>
      </w:r>
      <w:r>
        <w:rPr>
          <w:rStyle w:val="8"/>
          <w:rFonts w:hint="eastAsia" w:ascii="宋体" w:hAnsi="宋体"/>
          <w:color w:val="auto"/>
          <w:kern w:val="2"/>
          <w:sz w:val="22"/>
          <w:szCs w:val="22"/>
          <w:highlight w:val="none"/>
          <w:u w:val="single"/>
        </w:rPr>
        <w:t xml:space="preserve"> </w:t>
      </w:r>
      <w:r>
        <w:rPr>
          <w:rStyle w:val="8"/>
          <w:rFonts w:ascii="宋体" w:hAnsi="宋体"/>
          <w:color w:val="auto"/>
          <w:kern w:val="2"/>
          <w:sz w:val="22"/>
          <w:szCs w:val="22"/>
          <w:highlight w:val="none"/>
          <w:u w:val="single"/>
        </w:rPr>
        <w:t xml:space="preserve">     </w:t>
      </w:r>
      <w:r>
        <w:rPr>
          <w:rStyle w:val="8"/>
          <w:rFonts w:ascii="宋体" w:hAnsi="宋体"/>
          <w:color w:val="auto"/>
          <w:kern w:val="2"/>
          <w:sz w:val="22"/>
          <w:szCs w:val="22"/>
          <w:highlight w:val="none"/>
        </w:rPr>
        <w:t>。</w:t>
      </w:r>
    </w:p>
    <w:p w14:paraId="1FDBD1FF">
      <w:pPr>
        <w:pStyle w:val="14"/>
        <w:spacing w:line="360" w:lineRule="auto"/>
        <w:ind w:firstLine="440" w:firstLineChars="200"/>
        <w:jc w:val="left"/>
        <w:rPr>
          <w:rStyle w:val="8"/>
          <w:rFonts w:ascii="宋体" w:hAnsi="宋体"/>
          <w:color w:val="auto"/>
          <w:kern w:val="2"/>
          <w:sz w:val="22"/>
          <w:szCs w:val="22"/>
          <w:highlight w:val="none"/>
          <w:u w:val="single"/>
        </w:rPr>
      </w:pPr>
      <w:r>
        <w:rPr>
          <w:rStyle w:val="8"/>
          <w:rFonts w:ascii="宋体" w:hAnsi="宋体"/>
          <w:color w:val="auto"/>
          <w:kern w:val="2"/>
          <w:sz w:val="22"/>
          <w:szCs w:val="22"/>
          <w:highlight w:val="none"/>
        </w:rPr>
        <w:t>发包人审批承包人合理化建议的期限：</w:t>
      </w:r>
      <w:r>
        <w:rPr>
          <w:rStyle w:val="8"/>
          <w:rFonts w:ascii="宋体" w:hAnsi="宋体"/>
          <w:color w:val="auto"/>
          <w:kern w:val="2"/>
          <w:sz w:val="22"/>
          <w:szCs w:val="22"/>
          <w:highlight w:val="none"/>
          <w:u w:val="single"/>
        </w:rPr>
        <w:t xml:space="preserve">    </w:t>
      </w:r>
      <w:r>
        <w:rPr>
          <w:rStyle w:val="8"/>
          <w:rFonts w:hint="eastAsia" w:ascii="宋体" w:hAnsi="宋体"/>
          <w:color w:val="auto"/>
          <w:kern w:val="2"/>
          <w:sz w:val="22"/>
          <w:szCs w:val="22"/>
          <w:highlight w:val="none"/>
          <w:u w:val="single"/>
        </w:rPr>
        <w:t>执行通用条款。</w:t>
      </w:r>
    </w:p>
    <w:p w14:paraId="53EEB949">
      <w:pPr>
        <w:pStyle w:val="14"/>
        <w:spacing w:line="360" w:lineRule="auto"/>
        <w:ind w:firstLine="440" w:firstLineChars="200"/>
        <w:jc w:val="left"/>
        <w:rPr>
          <w:rStyle w:val="8"/>
          <w:rFonts w:ascii="宋体" w:hAnsi="宋体"/>
          <w:color w:val="auto"/>
          <w:kern w:val="2"/>
          <w:sz w:val="22"/>
          <w:szCs w:val="22"/>
          <w:highlight w:val="none"/>
          <w:u w:val="single"/>
        </w:rPr>
      </w:pPr>
      <w:r>
        <w:rPr>
          <w:rStyle w:val="8"/>
          <w:rFonts w:ascii="宋体" w:hAnsi="宋体"/>
          <w:color w:val="auto"/>
          <w:kern w:val="2"/>
          <w:sz w:val="22"/>
          <w:szCs w:val="22"/>
          <w:highlight w:val="none"/>
        </w:rPr>
        <w:t>承</w:t>
      </w:r>
      <w:bookmarkStart w:id="802" w:name="_Toc297216205"/>
      <w:bookmarkStart w:id="803" w:name="_Toc304295571"/>
      <w:bookmarkStart w:id="804" w:name="_Toc312678030"/>
      <w:bookmarkStart w:id="805" w:name="_Toc300934995"/>
      <w:bookmarkStart w:id="806" w:name="_Toc312677504"/>
      <w:bookmarkStart w:id="807" w:name="_Toc297123546"/>
      <w:bookmarkStart w:id="808" w:name="_Toc296891032"/>
      <w:bookmarkStart w:id="809" w:name="_Toc292559914"/>
      <w:bookmarkStart w:id="810" w:name="_Toc318581175"/>
      <w:bookmarkStart w:id="811" w:name="_Toc296944543"/>
      <w:bookmarkStart w:id="812" w:name="_Toc296891244"/>
      <w:bookmarkStart w:id="813" w:name="_Toc297120504"/>
      <w:bookmarkStart w:id="814" w:name="_Toc297048390"/>
      <w:bookmarkStart w:id="815" w:name="_Toc296503204"/>
      <w:bookmarkStart w:id="816" w:name="_Toc292559409"/>
      <w:bookmarkStart w:id="817" w:name="_Toc296347203"/>
      <w:bookmarkStart w:id="818" w:name="_Toc296346705"/>
      <w:bookmarkStart w:id="819" w:name="_Toc303539152"/>
      <w:r>
        <w:rPr>
          <w:rStyle w:val="8"/>
          <w:rFonts w:ascii="宋体" w:hAnsi="宋体"/>
          <w:color w:val="auto"/>
          <w:kern w:val="2"/>
          <w:sz w:val="22"/>
          <w:szCs w:val="22"/>
          <w:highlight w:val="none"/>
        </w:rPr>
        <w:t>包人提出的合理化建议降低了合同价格或者提高了工程经济效益的奖励的方法和金额为：</w:t>
      </w:r>
      <w:r>
        <w:rPr>
          <w:rStyle w:val="8"/>
          <w:rFonts w:hint="eastAsia" w:ascii="宋体" w:hAnsi="宋体"/>
          <w:color w:val="auto"/>
          <w:kern w:val="2"/>
          <w:sz w:val="22"/>
          <w:szCs w:val="22"/>
          <w:highlight w:val="none"/>
          <w:u w:val="single"/>
        </w:rPr>
        <w:t>/</w:t>
      </w:r>
      <w:r>
        <w:rPr>
          <w:rStyle w:val="8"/>
          <w:rFonts w:ascii="宋体" w:hAnsi="宋体"/>
          <w:color w:val="auto"/>
          <w:kern w:val="2"/>
          <w:sz w:val="22"/>
          <w:szCs w:val="22"/>
          <w:highlight w:val="none"/>
          <w:u w:val="single"/>
        </w:rPr>
        <w:t xml:space="preserve"> </w:t>
      </w:r>
    </w:p>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p w14:paraId="5A54D437">
      <w:pPr>
        <w:pStyle w:val="13"/>
        <w:spacing w:after="120" w:line="360" w:lineRule="auto"/>
        <w:ind w:firstLine="440" w:firstLineChars="200"/>
        <w:outlineLvl w:val="0"/>
        <w:rPr>
          <w:rStyle w:val="8"/>
          <w:rFonts w:ascii="宋体" w:hAnsi="宋体"/>
          <w:color w:val="auto"/>
          <w:kern w:val="2"/>
          <w:sz w:val="22"/>
          <w:szCs w:val="22"/>
          <w:highlight w:val="none"/>
        </w:rPr>
      </w:pPr>
      <w:bookmarkStart w:id="820" w:name="_Toc256000578"/>
      <w:bookmarkStart w:id="821" w:name="_Toc69461169"/>
      <w:bookmarkStart w:id="822" w:name="_Toc10691"/>
      <w:bookmarkStart w:id="823" w:name="_Toc9666"/>
      <w:bookmarkStart w:id="824" w:name="_Toc256001312"/>
      <w:bookmarkStart w:id="825" w:name="_Toc256000845"/>
      <w:bookmarkStart w:id="826" w:name="_Toc4603"/>
      <w:bookmarkStart w:id="827" w:name="_Toc256000096"/>
      <w:bookmarkStart w:id="828" w:name="_Toc69461824"/>
      <w:bookmarkStart w:id="829" w:name="_Toc256000349"/>
      <w:bookmarkStart w:id="830" w:name="_Toc256001082"/>
      <w:bookmarkStart w:id="831" w:name="_Toc10086"/>
      <w:bookmarkStart w:id="832" w:name="_Toc256000063"/>
      <w:r>
        <w:rPr>
          <w:rStyle w:val="8"/>
          <w:rFonts w:ascii="宋体" w:hAnsi="宋体"/>
          <w:color w:val="auto"/>
          <w:kern w:val="2"/>
          <w:sz w:val="22"/>
          <w:szCs w:val="22"/>
          <w:highlight w:val="none"/>
        </w:rPr>
        <w:t>1</w:t>
      </w:r>
      <w:bookmarkStart w:id="833" w:name="_Toc297216207"/>
      <w:bookmarkStart w:id="834" w:name="_Toc296347198"/>
      <w:bookmarkStart w:id="835" w:name="_Toc292559404"/>
      <w:bookmarkStart w:id="836" w:name="_Toc297123548"/>
      <w:bookmarkStart w:id="837" w:name="_Toc304295574"/>
      <w:bookmarkStart w:id="838" w:name="_Toc297048385"/>
      <w:bookmarkStart w:id="839" w:name="_Toc296891239"/>
      <w:bookmarkStart w:id="840" w:name="_Toc296891027"/>
      <w:bookmarkStart w:id="841" w:name="_Toc303539154"/>
      <w:bookmarkStart w:id="842" w:name="_Toc300934997"/>
      <w:bookmarkStart w:id="843" w:name="_Toc312678033"/>
      <w:bookmarkStart w:id="844" w:name="_Toc296346700"/>
      <w:bookmarkStart w:id="845" w:name="_Toc292559909"/>
      <w:bookmarkStart w:id="846" w:name="_Toc297120499"/>
      <w:bookmarkStart w:id="847" w:name="_Toc312677507"/>
      <w:bookmarkStart w:id="848" w:name="_Toc296503199"/>
      <w:bookmarkStart w:id="849" w:name="_Toc296944538"/>
      <w:r>
        <w:rPr>
          <w:rStyle w:val="8"/>
          <w:rFonts w:ascii="宋体" w:hAnsi="宋体"/>
          <w:color w:val="auto"/>
          <w:kern w:val="2"/>
          <w:sz w:val="22"/>
          <w:szCs w:val="22"/>
          <w:highlight w:val="none"/>
        </w:rPr>
        <w:t>0.7 暂估价</w:t>
      </w:r>
      <w:bookmarkEnd w:id="820"/>
      <w:bookmarkEnd w:id="821"/>
      <w:bookmarkEnd w:id="822"/>
      <w:bookmarkEnd w:id="823"/>
      <w:bookmarkEnd w:id="824"/>
      <w:bookmarkEnd w:id="825"/>
      <w:bookmarkEnd w:id="826"/>
      <w:bookmarkEnd w:id="827"/>
      <w:bookmarkEnd w:id="828"/>
      <w:bookmarkEnd w:id="829"/>
      <w:bookmarkEnd w:id="830"/>
      <w:bookmarkEnd w:id="831"/>
      <w:bookmarkEnd w:id="832"/>
    </w:p>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p w14:paraId="7EB33F2E">
      <w:pPr>
        <w:pStyle w:val="13"/>
        <w:spacing w:line="360" w:lineRule="auto"/>
        <w:ind w:firstLine="440" w:firstLineChars="200"/>
        <w:jc w:val="left"/>
        <w:rPr>
          <w:rStyle w:val="8"/>
          <w:rFonts w:ascii="宋体" w:hAnsi="宋体"/>
          <w:color w:val="auto"/>
          <w:kern w:val="2"/>
          <w:sz w:val="22"/>
          <w:szCs w:val="22"/>
          <w:highlight w:val="none"/>
        </w:rPr>
      </w:pPr>
      <w:r>
        <w:rPr>
          <w:rStyle w:val="8"/>
          <w:rFonts w:ascii="宋体" w:hAnsi="宋体"/>
          <w:color w:val="auto"/>
          <w:sz w:val="22"/>
          <w:szCs w:val="22"/>
          <w:highlight w:val="none"/>
        </w:rPr>
        <w:t>暂</w:t>
      </w:r>
      <w:bookmarkStart w:id="850" w:name="_Toc318581176"/>
      <w:bookmarkStart w:id="851" w:name="_Toc312677508"/>
      <w:bookmarkStart w:id="852" w:name="_Toc312678034"/>
      <w:r>
        <w:rPr>
          <w:rStyle w:val="8"/>
          <w:rFonts w:ascii="宋体" w:hAnsi="宋体"/>
          <w:color w:val="auto"/>
          <w:sz w:val="22"/>
          <w:szCs w:val="22"/>
          <w:highlight w:val="none"/>
        </w:rPr>
        <w:t>估价材料和工程设备的明细详见附件</w:t>
      </w:r>
      <w:r>
        <w:rPr>
          <w:rStyle w:val="8"/>
          <w:rFonts w:hint="eastAsia" w:ascii="宋体" w:hAnsi="宋体"/>
          <w:color w:val="auto"/>
          <w:sz w:val="22"/>
          <w:szCs w:val="22"/>
          <w:highlight w:val="none"/>
        </w:rPr>
        <w:t>11：《</w:t>
      </w:r>
      <w:r>
        <w:rPr>
          <w:rStyle w:val="8"/>
          <w:rFonts w:ascii="宋体" w:hAnsi="宋体"/>
          <w:color w:val="auto"/>
          <w:kern w:val="2"/>
          <w:sz w:val="22"/>
          <w:szCs w:val="22"/>
          <w:highlight w:val="none"/>
        </w:rPr>
        <w:t>暂估价一览表</w:t>
      </w:r>
      <w:r>
        <w:rPr>
          <w:rStyle w:val="8"/>
          <w:rFonts w:hint="eastAsia" w:ascii="宋体" w:hAnsi="宋体"/>
          <w:color w:val="auto"/>
          <w:kern w:val="2"/>
          <w:sz w:val="22"/>
          <w:szCs w:val="22"/>
          <w:highlight w:val="none"/>
        </w:rPr>
        <w:t>》</w:t>
      </w:r>
      <w:r>
        <w:rPr>
          <w:rStyle w:val="8"/>
          <w:rFonts w:hint="eastAsia" w:ascii="宋体" w:hAnsi="宋体"/>
          <w:color w:val="auto"/>
          <w:sz w:val="22"/>
          <w:szCs w:val="22"/>
          <w:highlight w:val="none"/>
        </w:rPr>
        <w:t>。</w:t>
      </w:r>
    </w:p>
    <w:bookmarkEnd w:id="850"/>
    <w:bookmarkEnd w:id="851"/>
    <w:bookmarkEnd w:id="852"/>
    <w:p w14:paraId="0873E00C">
      <w:pPr>
        <w:pStyle w:val="13"/>
        <w:spacing w:line="360" w:lineRule="auto"/>
        <w:ind w:firstLine="440" w:firstLineChars="200"/>
        <w:jc w:val="left"/>
        <w:rPr>
          <w:rStyle w:val="8"/>
          <w:rFonts w:ascii="宋体" w:hAnsi="宋体"/>
          <w:color w:val="auto"/>
          <w:kern w:val="2"/>
          <w:sz w:val="22"/>
          <w:szCs w:val="22"/>
          <w:highlight w:val="none"/>
        </w:rPr>
      </w:pPr>
      <w:r>
        <w:rPr>
          <w:rStyle w:val="8"/>
          <w:rFonts w:ascii="宋体" w:hAnsi="宋体"/>
          <w:color w:val="auto"/>
          <w:kern w:val="2"/>
          <w:sz w:val="22"/>
          <w:szCs w:val="22"/>
          <w:highlight w:val="none"/>
        </w:rPr>
        <w:t>1</w:t>
      </w:r>
      <w:bookmarkStart w:id="853" w:name="_Toc312678035"/>
      <w:bookmarkStart w:id="854" w:name="_Toc318581177"/>
      <w:bookmarkStart w:id="855" w:name="_Toc312677509"/>
      <w:r>
        <w:rPr>
          <w:rStyle w:val="8"/>
          <w:rFonts w:ascii="宋体" w:hAnsi="宋体"/>
          <w:color w:val="auto"/>
          <w:kern w:val="2"/>
          <w:sz w:val="22"/>
          <w:szCs w:val="22"/>
          <w:highlight w:val="none"/>
        </w:rPr>
        <w:t>0.7.1 依法必须招标的暂估价项目</w:t>
      </w:r>
    </w:p>
    <w:bookmarkEnd w:id="853"/>
    <w:bookmarkEnd w:id="854"/>
    <w:bookmarkEnd w:id="855"/>
    <w:p w14:paraId="7067638A">
      <w:pPr>
        <w:pStyle w:val="13"/>
        <w:spacing w:line="360" w:lineRule="auto"/>
        <w:ind w:firstLine="440" w:firstLineChars="200"/>
        <w:jc w:val="left"/>
        <w:rPr>
          <w:rStyle w:val="8"/>
          <w:rFonts w:ascii="宋体" w:hAnsi="宋体"/>
          <w:color w:val="auto"/>
          <w:kern w:val="2"/>
          <w:sz w:val="22"/>
          <w:szCs w:val="22"/>
          <w:highlight w:val="none"/>
        </w:rPr>
      </w:pPr>
      <w:r>
        <w:rPr>
          <w:rStyle w:val="8"/>
          <w:rFonts w:ascii="宋体" w:hAnsi="宋体"/>
          <w:color w:val="auto"/>
          <w:kern w:val="2"/>
          <w:sz w:val="22"/>
          <w:szCs w:val="22"/>
          <w:highlight w:val="none"/>
        </w:rPr>
        <w:t>对于依法必须招标的暂估价项目的确认和批准采取第</w:t>
      </w:r>
      <w:r>
        <w:rPr>
          <w:rStyle w:val="8"/>
          <w:rFonts w:ascii="宋体" w:hAnsi="宋体"/>
          <w:color w:val="auto"/>
          <w:kern w:val="2"/>
          <w:sz w:val="22"/>
          <w:szCs w:val="22"/>
          <w:highlight w:val="none"/>
          <w:u w:val="single"/>
        </w:rPr>
        <w:t xml:space="preserve">  </w:t>
      </w:r>
      <w:r>
        <w:rPr>
          <w:rStyle w:val="8"/>
          <w:rFonts w:hint="eastAsia" w:ascii="宋体" w:hAnsi="宋体"/>
          <w:color w:val="auto"/>
          <w:kern w:val="2"/>
          <w:sz w:val="22"/>
          <w:szCs w:val="22"/>
          <w:highlight w:val="none"/>
          <w:u w:val="single"/>
        </w:rPr>
        <w:t>/</w:t>
      </w:r>
      <w:r>
        <w:rPr>
          <w:rStyle w:val="8"/>
          <w:rFonts w:ascii="宋体" w:hAnsi="宋体"/>
          <w:color w:val="auto"/>
          <w:kern w:val="2"/>
          <w:sz w:val="22"/>
          <w:szCs w:val="22"/>
          <w:highlight w:val="none"/>
          <w:u w:val="single"/>
        </w:rPr>
        <w:t xml:space="preserve">  </w:t>
      </w:r>
      <w:r>
        <w:rPr>
          <w:rStyle w:val="8"/>
          <w:rFonts w:ascii="宋体" w:hAnsi="宋体"/>
          <w:color w:val="auto"/>
          <w:kern w:val="2"/>
          <w:sz w:val="22"/>
          <w:szCs w:val="22"/>
          <w:highlight w:val="none"/>
        </w:rPr>
        <w:t>种方式确定。</w:t>
      </w:r>
    </w:p>
    <w:p w14:paraId="4E1A06AD">
      <w:pPr>
        <w:pStyle w:val="13"/>
        <w:spacing w:line="360" w:lineRule="auto"/>
        <w:ind w:firstLine="440" w:firstLineChars="200"/>
        <w:jc w:val="left"/>
        <w:rPr>
          <w:rStyle w:val="8"/>
          <w:rFonts w:ascii="宋体" w:hAnsi="宋体"/>
          <w:color w:val="auto"/>
          <w:kern w:val="2"/>
          <w:sz w:val="22"/>
          <w:szCs w:val="22"/>
          <w:highlight w:val="none"/>
        </w:rPr>
      </w:pPr>
      <w:r>
        <w:rPr>
          <w:rStyle w:val="8"/>
          <w:rFonts w:ascii="宋体" w:hAnsi="宋体"/>
          <w:color w:val="auto"/>
          <w:kern w:val="2"/>
          <w:sz w:val="22"/>
          <w:szCs w:val="22"/>
          <w:highlight w:val="none"/>
        </w:rPr>
        <w:t>10.7.2 不属于依法必须招标的暂估价项目</w:t>
      </w:r>
    </w:p>
    <w:p w14:paraId="62380B41">
      <w:pPr>
        <w:pStyle w:val="13"/>
        <w:spacing w:line="360" w:lineRule="auto"/>
        <w:ind w:firstLine="440" w:firstLineChars="200"/>
        <w:jc w:val="left"/>
        <w:rPr>
          <w:rStyle w:val="8"/>
          <w:rFonts w:ascii="宋体" w:hAnsi="宋体"/>
          <w:color w:val="auto"/>
          <w:kern w:val="2"/>
          <w:sz w:val="22"/>
          <w:szCs w:val="22"/>
          <w:highlight w:val="none"/>
        </w:rPr>
      </w:pPr>
      <w:r>
        <w:rPr>
          <w:rStyle w:val="8"/>
          <w:rFonts w:ascii="宋体" w:hAnsi="宋体"/>
          <w:color w:val="auto"/>
          <w:kern w:val="2"/>
          <w:sz w:val="22"/>
          <w:szCs w:val="22"/>
          <w:highlight w:val="none"/>
        </w:rPr>
        <w:t>对于不属于依法必须招标的暂估价项目的确认和批准采取第</w:t>
      </w:r>
      <w:r>
        <w:rPr>
          <w:rStyle w:val="8"/>
          <w:rFonts w:ascii="宋体" w:hAnsi="宋体"/>
          <w:color w:val="auto"/>
          <w:kern w:val="2"/>
          <w:sz w:val="22"/>
          <w:szCs w:val="22"/>
          <w:highlight w:val="none"/>
          <w:u w:val="single"/>
        </w:rPr>
        <w:t xml:space="preserve">   </w:t>
      </w:r>
      <w:r>
        <w:rPr>
          <w:rStyle w:val="8"/>
          <w:rFonts w:ascii="宋体" w:hAnsi="宋体"/>
          <w:color w:val="auto"/>
          <w:kern w:val="2"/>
          <w:sz w:val="22"/>
          <w:szCs w:val="22"/>
          <w:highlight w:val="none"/>
        </w:rPr>
        <w:t xml:space="preserve"> 种方式确定。</w:t>
      </w:r>
    </w:p>
    <w:p w14:paraId="47128824">
      <w:pPr>
        <w:pStyle w:val="13"/>
        <w:spacing w:line="360" w:lineRule="auto"/>
        <w:ind w:firstLine="440" w:firstLineChars="200"/>
        <w:jc w:val="left"/>
        <w:rPr>
          <w:rStyle w:val="8"/>
          <w:rFonts w:ascii="宋体" w:hAnsi="宋体"/>
          <w:color w:val="auto"/>
          <w:sz w:val="22"/>
          <w:szCs w:val="22"/>
          <w:highlight w:val="none"/>
        </w:rPr>
      </w:pPr>
      <w:r>
        <w:rPr>
          <w:rStyle w:val="8"/>
          <w:rFonts w:ascii="宋体" w:hAnsi="宋体"/>
          <w:color w:val="auto"/>
          <w:kern w:val="2"/>
          <w:sz w:val="22"/>
          <w:szCs w:val="22"/>
          <w:highlight w:val="none"/>
        </w:rPr>
        <w:t>第3种方式：</w:t>
      </w:r>
      <w:r>
        <w:rPr>
          <w:rStyle w:val="8"/>
          <w:rFonts w:ascii="宋体" w:hAnsi="宋体"/>
          <w:color w:val="auto"/>
          <w:sz w:val="22"/>
          <w:szCs w:val="22"/>
          <w:highlight w:val="none"/>
        </w:rPr>
        <w:t>承包人直接实施的暂估价项目</w:t>
      </w:r>
    </w:p>
    <w:p w14:paraId="137F3167">
      <w:pPr>
        <w:pStyle w:val="13"/>
        <w:spacing w:line="360" w:lineRule="auto"/>
        <w:ind w:firstLine="440" w:firstLineChars="200"/>
        <w:jc w:val="left"/>
        <w:rPr>
          <w:rStyle w:val="8"/>
          <w:rFonts w:ascii="宋体" w:hAnsi="宋体"/>
          <w:color w:val="auto"/>
          <w:kern w:val="2"/>
          <w:sz w:val="22"/>
          <w:szCs w:val="22"/>
          <w:highlight w:val="none"/>
        </w:rPr>
      </w:pPr>
      <w:r>
        <w:rPr>
          <w:rStyle w:val="8"/>
          <w:rFonts w:ascii="宋体" w:hAnsi="宋体"/>
          <w:color w:val="auto"/>
          <w:kern w:val="2"/>
          <w:sz w:val="22"/>
          <w:szCs w:val="22"/>
          <w:highlight w:val="none"/>
        </w:rPr>
        <w:t>承包人直接实施的暂估价项目的约定：</w:t>
      </w:r>
      <w:r>
        <w:rPr>
          <w:rStyle w:val="8"/>
          <w:rFonts w:ascii="宋体" w:hAnsi="宋体"/>
          <w:color w:val="auto"/>
          <w:kern w:val="2"/>
          <w:sz w:val="22"/>
          <w:szCs w:val="22"/>
          <w:highlight w:val="none"/>
          <w:u w:val="single"/>
        </w:rPr>
        <w:t xml:space="preserve">                     </w:t>
      </w:r>
    </w:p>
    <w:p w14:paraId="0B2EC138">
      <w:pPr>
        <w:pStyle w:val="13"/>
        <w:spacing w:line="360" w:lineRule="auto"/>
        <w:jc w:val="left"/>
        <w:rPr>
          <w:rStyle w:val="8"/>
          <w:rFonts w:ascii="宋体" w:hAnsi="宋体"/>
          <w:color w:val="auto"/>
          <w:kern w:val="2"/>
          <w:sz w:val="22"/>
          <w:szCs w:val="22"/>
          <w:highlight w:val="none"/>
        </w:rPr>
      </w:pPr>
      <w:r>
        <w:rPr>
          <w:rStyle w:val="8"/>
          <w:rFonts w:hint="eastAsia" w:ascii="宋体" w:hAnsi="宋体"/>
          <w:color w:val="auto"/>
          <w:kern w:val="2"/>
          <w:sz w:val="22"/>
          <w:szCs w:val="22"/>
          <w:highlight w:val="none"/>
          <w:u w:val="single"/>
        </w:rPr>
        <w:t xml:space="preserve">                                                      </w:t>
      </w:r>
      <w:r>
        <w:rPr>
          <w:rStyle w:val="8"/>
          <w:rFonts w:ascii="宋体" w:hAnsi="宋体"/>
          <w:color w:val="auto"/>
          <w:kern w:val="2"/>
          <w:sz w:val="22"/>
          <w:szCs w:val="22"/>
          <w:highlight w:val="none"/>
          <w:u w:val="single"/>
        </w:rPr>
        <w:t xml:space="preserve">   </w:t>
      </w:r>
      <w:r>
        <w:rPr>
          <w:rStyle w:val="8"/>
          <w:rFonts w:ascii="宋体" w:hAnsi="宋体"/>
          <w:color w:val="auto"/>
          <w:kern w:val="2"/>
          <w:sz w:val="22"/>
          <w:szCs w:val="22"/>
          <w:highlight w:val="none"/>
        </w:rPr>
        <w:t>。</w:t>
      </w:r>
    </w:p>
    <w:p w14:paraId="076EEA8F">
      <w:pPr>
        <w:pStyle w:val="13"/>
        <w:spacing w:after="120" w:line="360" w:lineRule="auto"/>
        <w:ind w:firstLine="440" w:firstLineChars="200"/>
        <w:rPr>
          <w:rStyle w:val="8"/>
          <w:rFonts w:ascii="宋体" w:hAnsi="宋体"/>
          <w:color w:val="auto"/>
          <w:kern w:val="2"/>
          <w:sz w:val="22"/>
          <w:szCs w:val="22"/>
          <w:highlight w:val="none"/>
        </w:rPr>
      </w:pPr>
      <w:r>
        <w:rPr>
          <w:rStyle w:val="8"/>
          <w:rFonts w:ascii="宋体" w:hAnsi="宋体"/>
          <w:color w:val="auto"/>
          <w:kern w:val="2"/>
          <w:sz w:val="22"/>
          <w:szCs w:val="22"/>
          <w:highlight w:val="none"/>
        </w:rPr>
        <w:t>10.8 暂列金额</w:t>
      </w:r>
    </w:p>
    <w:p w14:paraId="60180BC8">
      <w:pPr>
        <w:pStyle w:val="13"/>
        <w:autoSpaceDE w:val="0"/>
        <w:autoSpaceDN w:val="0"/>
        <w:adjustRightInd w:val="0"/>
        <w:spacing w:line="360" w:lineRule="auto"/>
        <w:ind w:firstLine="440" w:firstLineChars="200"/>
        <w:jc w:val="left"/>
        <w:rPr>
          <w:rStyle w:val="8"/>
          <w:rFonts w:ascii="宋体" w:hAnsi="宋体"/>
          <w:color w:val="auto"/>
          <w:kern w:val="2"/>
          <w:sz w:val="22"/>
          <w:szCs w:val="22"/>
          <w:highlight w:val="none"/>
          <w:u w:val="single"/>
        </w:rPr>
      </w:pPr>
      <w:r>
        <w:rPr>
          <w:rStyle w:val="8"/>
          <w:rFonts w:hint="eastAsia" w:ascii="宋体" w:hAnsi="宋体"/>
          <w:color w:val="auto"/>
          <w:sz w:val="22"/>
          <w:szCs w:val="22"/>
          <w:highlight w:val="none"/>
        </w:rPr>
        <w:t>合同当事人关于暂列金额使用的约定：</w:t>
      </w:r>
      <w:r>
        <w:rPr>
          <w:rStyle w:val="8"/>
          <w:rFonts w:ascii="宋体" w:hAnsi="宋体"/>
          <w:color w:val="auto"/>
          <w:kern w:val="2"/>
          <w:sz w:val="22"/>
          <w:szCs w:val="22"/>
          <w:highlight w:val="none"/>
          <w:u w:val="single"/>
        </w:rPr>
        <w:t xml:space="preserve">  </w:t>
      </w:r>
      <w:r>
        <w:rPr>
          <w:rStyle w:val="8"/>
          <w:rFonts w:hint="eastAsia" w:ascii="宋体" w:hAnsi="宋体"/>
          <w:color w:val="auto"/>
          <w:kern w:val="2"/>
          <w:sz w:val="22"/>
          <w:szCs w:val="22"/>
          <w:highlight w:val="none"/>
          <w:u w:val="single"/>
        </w:rPr>
        <w:t xml:space="preserve">按照发包人要求使用，以发包人批准 </w:t>
      </w:r>
    </w:p>
    <w:p w14:paraId="0EB9E451">
      <w:pPr>
        <w:pStyle w:val="13"/>
        <w:autoSpaceDE w:val="0"/>
        <w:autoSpaceDN w:val="0"/>
        <w:adjustRightInd w:val="0"/>
        <w:spacing w:line="360" w:lineRule="auto"/>
        <w:jc w:val="left"/>
        <w:rPr>
          <w:rStyle w:val="8"/>
          <w:rFonts w:ascii="宋体" w:hAnsi="宋体"/>
          <w:color w:val="auto"/>
          <w:sz w:val="22"/>
          <w:szCs w:val="22"/>
          <w:highlight w:val="none"/>
        </w:rPr>
      </w:pPr>
      <w:r>
        <w:rPr>
          <w:rStyle w:val="8"/>
          <w:rFonts w:hint="eastAsia" w:ascii="宋体" w:hAnsi="宋体"/>
          <w:color w:val="auto"/>
          <w:kern w:val="2"/>
          <w:sz w:val="22"/>
          <w:szCs w:val="22"/>
          <w:highlight w:val="none"/>
          <w:u w:val="single"/>
        </w:rPr>
        <w:t xml:space="preserve">    的实际发生的工程量结算    </w:t>
      </w:r>
      <w:r>
        <w:rPr>
          <w:rStyle w:val="8"/>
          <w:rFonts w:hint="eastAsia" w:ascii="宋体" w:hAnsi="宋体"/>
          <w:color w:val="auto"/>
          <w:sz w:val="22"/>
          <w:szCs w:val="22"/>
          <w:highlight w:val="none"/>
        </w:rPr>
        <w:t>。</w:t>
      </w:r>
    </w:p>
    <w:p w14:paraId="67E47EDD">
      <w:pPr>
        <w:pStyle w:val="15"/>
        <w:spacing w:before="120" w:after="120" w:line="360" w:lineRule="auto"/>
        <w:rPr>
          <w:rStyle w:val="8"/>
          <w:rFonts w:ascii="宋体" w:hAnsi="宋体" w:eastAsia="宋体"/>
          <w:b w:val="0"/>
          <w:color w:val="auto"/>
          <w:sz w:val="22"/>
          <w:szCs w:val="22"/>
          <w:highlight w:val="none"/>
        </w:rPr>
      </w:pPr>
      <w:bookmarkStart w:id="856" w:name="_Toc69461170"/>
      <w:bookmarkStart w:id="857" w:name="_Toc69461825"/>
      <w:bookmarkStart w:id="858" w:name="_Toc256000350"/>
      <w:bookmarkStart w:id="859" w:name="_Toc256000846"/>
      <w:bookmarkStart w:id="860" w:name="_Toc351203643"/>
      <w:bookmarkStart w:id="861" w:name="_Toc5177"/>
      <w:bookmarkStart w:id="862" w:name="_Toc256001083"/>
      <w:bookmarkStart w:id="863" w:name="_Toc28238"/>
      <w:bookmarkStart w:id="864" w:name="_Toc256000579"/>
      <w:bookmarkStart w:id="865" w:name="_Toc256001313"/>
      <w:r>
        <w:rPr>
          <w:rStyle w:val="8"/>
          <w:rFonts w:ascii="宋体" w:hAnsi="宋体" w:eastAsia="宋体"/>
          <w:b w:val="0"/>
          <w:color w:val="auto"/>
          <w:sz w:val="22"/>
          <w:szCs w:val="22"/>
          <w:highlight w:val="none"/>
        </w:rPr>
        <w:t>11. 价格调整</w:t>
      </w:r>
      <w:bookmarkEnd w:id="856"/>
      <w:bookmarkEnd w:id="857"/>
      <w:bookmarkEnd w:id="858"/>
      <w:bookmarkEnd w:id="859"/>
      <w:bookmarkEnd w:id="860"/>
      <w:bookmarkEnd w:id="861"/>
      <w:bookmarkEnd w:id="862"/>
      <w:bookmarkEnd w:id="863"/>
      <w:bookmarkEnd w:id="864"/>
      <w:bookmarkEnd w:id="865"/>
    </w:p>
    <w:p w14:paraId="2FE7726C">
      <w:pPr>
        <w:pStyle w:val="13"/>
        <w:spacing w:after="120" w:line="360" w:lineRule="auto"/>
        <w:ind w:firstLine="440" w:firstLineChars="200"/>
        <w:rPr>
          <w:rStyle w:val="8"/>
          <w:rFonts w:ascii="宋体" w:hAnsi="宋体"/>
          <w:color w:val="auto"/>
          <w:kern w:val="2"/>
          <w:sz w:val="22"/>
          <w:szCs w:val="22"/>
          <w:highlight w:val="none"/>
        </w:rPr>
      </w:pPr>
      <w:bookmarkStart w:id="866" w:name="_Toc303539157"/>
      <w:bookmarkStart w:id="867" w:name="_Toc292559911"/>
      <w:bookmarkStart w:id="868" w:name="_Toc297123550"/>
      <w:bookmarkStart w:id="869" w:name="_Toc296891029"/>
      <w:bookmarkStart w:id="870" w:name="_Toc292559406"/>
      <w:bookmarkStart w:id="871" w:name="_Toc296944540"/>
      <w:bookmarkStart w:id="872" w:name="_Toc296891241"/>
      <w:bookmarkStart w:id="873" w:name="_Toc300935000"/>
      <w:bookmarkStart w:id="874" w:name="_Toc304295577"/>
      <w:bookmarkStart w:id="875" w:name="_Toc297048387"/>
      <w:bookmarkStart w:id="876" w:name="_Toc312678039"/>
      <w:bookmarkStart w:id="877" w:name="_Toc296346702"/>
      <w:bookmarkStart w:id="878" w:name="_Toc296503201"/>
      <w:bookmarkStart w:id="879" w:name="_Toc296347200"/>
      <w:bookmarkStart w:id="880" w:name="_Toc297216209"/>
      <w:bookmarkStart w:id="881" w:name="_Toc297120501"/>
      <w:r>
        <w:rPr>
          <w:rStyle w:val="8"/>
          <w:rFonts w:ascii="宋体" w:hAnsi="宋体"/>
          <w:color w:val="auto"/>
          <w:kern w:val="2"/>
          <w:sz w:val="22"/>
          <w:szCs w:val="22"/>
          <w:highlight w:val="none"/>
        </w:rPr>
        <w:t>11.1 市场价格波动引起的调整</w:t>
      </w:r>
    </w:p>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p w14:paraId="6AD652CD">
      <w:pPr>
        <w:pStyle w:val="13"/>
        <w:spacing w:line="360" w:lineRule="auto"/>
        <w:ind w:firstLine="440" w:firstLineChars="200"/>
        <w:jc w:val="left"/>
        <w:rPr>
          <w:rStyle w:val="8"/>
          <w:rFonts w:ascii="宋体" w:hAnsi="宋体"/>
          <w:color w:val="auto"/>
          <w:kern w:val="2"/>
          <w:sz w:val="22"/>
          <w:szCs w:val="22"/>
          <w:highlight w:val="none"/>
        </w:rPr>
      </w:pPr>
      <w:r>
        <w:rPr>
          <w:rStyle w:val="8"/>
          <w:rFonts w:ascii="宋体" w:hAnsi="宋体"/>
          <w:color w:val="auto"/>
          <w:sz w:val="22"/>
          <w:szCs w:val="22"/>
          <w:highlight w:val="none"/>
        </w:rPr>
        <w:t>市场价格波动是否调整合同价格的约定：</w:t>
      </w:r>
      <w:r>
        <w:rPr>
          <w:rStyle w:val="8"/>
          <w:rFonts w:ascii="宋体" w:hAnsi="宋体"/>
          <w:color w:val="auto"/>
          <w:kern w:val="2"/>
          <w:sz w:val="22"/>
          <w:szCs w:val="22"/>
          <w:highlight w:val="none"/>
          <w:u w:val="single"/>
        </w:rPr>
        <w:t xml:space="preserve">      </w:t>
      </w:r>
      <w:r>
        <w:rPr>
          <w:rStyle w:val="8"/>
          <w:rFonts w:hint="eastAsia" w:ascii="宋体" w:hAnsi="宋体"/>
          <w:color w:val="auto"/>
          <w:kern w:val="2"/>
          <w:sz w:val="22"/>
          <w:szCs w:val="22"/>
          <w:highlight w:val="none"/>
          <w:u w:val="single"/>
        </w:rPr>
        <w:t>不</w:t>
      </w:r>
      <w:r>
        <w:rPr>
          <w:rStyle w:val="8"/>
          <w:rFonts w:ascii="宋体" w:hAnsi="宋体"/>
          <w:color w:val="auto"/>
          <w:kern w:val="2"/>
          <w:sz w:val="22"/>
          <w:szCs w:val="22"/>
          <w:highlight w:val="none"/>
          <w:u w:val="single"/>
        </w:rPr>
        <w:t xml:space="preserve">调整          </w:t>
      </w:r>
      <w:r>
        <w:rPr>
          <w:rStyle w:val="8"/>
          <w:rFonts w:ascii="宋体" w:hAnsi="宋体"/>
          <w:color w:val="auto"/>
          <w:kern w:val="2"/>
          <w:sz w:val="22"/>
          <w:szCs w:val="22"/>
          <w:highlight w:val="none"/>
        </w:rPr>
        <w:t>。</w:t>
      </w:r>
    </w:p>
    <w:p w14:paraId="66B51212">
      <w:pPr>
        <w:pStyle w:val="13"/>
        <w:spacing w:line="360" w:lineRule="auto"/>
        <w:ind w:firstLine="440" w:firstLineChars="200"/>
        <w:jc w:val="left"/>
        <w:rPr>
          <w:rStyle w:val="8"/>
          <w:rFonts w:ascii="宋体" w:hAnsi="宋体"/>
          <w:color w:val="auto"/>
          <w:kern w:val="2"/>
          <w:sz w:val="22"/>
          <w:szCs w:val="22"/>
          <w:highlight w:val="none"/>
        </w:rPr>
      </w:pPr>
      <w:r>
        <w:rPr>
          <w:rStyle w:val="8"/>
          <w:rFonts w:ascii="宋体" w:hAnsi="宋体"/>
          <w:color w:val="auto"/>
          <w:kern w:val="2"/>
          <w:sz w:val="22"/>
          <w:szCs w:val="22"/>
          <w:highlight w:val="none"/>
        </w:rPr>
        <w:t>因市场价格波动调整合同价格，采用以下第</w:t>
      </w:r>
      <w:r>
        <w:rPr>
          <w:rStyle w:val="8"/>
          <w:rFonts w:ascii="宋体" w:hAnsi="宋体"/>
          <w:color w:val="auto"/>
          <w:kern w:val="2"/>
          <w:sz w:val="22"/>
          <w:szCs w:val="22"/>
          <w:highlight w:val="none"/>
          <w:u w:val="single"/>
        </w:rPr>
        <w:t xml:space="preserve">  </w:t>
      </w:r>
      <w:r>
        <w:rPr>
          <w:rStyle w:val="8"/>
          <w:rFonts w:hint="eastAsia" w:ascii="宋体" w:hAnsi="宋体"/>
          <w:color w:val="auto"/>
          <w:kern w:val="2"/>
          <w:sz w:val="22"/>
          <w:szCs w:val="22"/>
          <w:highlight w:val="none"/>
          <w:u w:val="single"/>
        </w:rPr>
        <w:t>/</w:t>
      </w:r>
      <w:r>
        <w:rPr>
          <w:rStyle w:val="8"/>
          <w:rFonts w:ascii="宋体" w:hAnsi="宋体"/>
          <w:color w:val="auto"/>
          <w:kern w:val="2"/>
          <w:sz w:val="22"/>
          <w:szCs w:val="22"/>
          <w:highlight w:val="none"/>
          <w:u w:val="single"/>
        </w:rPr>
        <w:t xml:space="preserve"> </w:t>
      </w:r>
      <w:r>
        <w:rPr>
          <w:rStyle w:val="8"/>
          <w:rFonts w:ascii="宋体" w:hAnsi="宋体"/>
          <w:color w:val="auto"/>
          <w:kern w:val="2"/>
          <w:sz w:val="22"/>
          <w:szCs w:val="22"/>
          <w:highlight w:val="none"/>
        </w:rPr>
        <w:t>种方式对合同价格进行调整：</w:t>
      </w:r>
    </w:p>
    <w:p w14:paraId="07B6B0B2">
      <w:pPr>
        <w:pStyle w:val="13"/>
        <w:spacing w:line="360" w:lineRule="auto"/>
        <w:ind w:firstLine="440" w:firstLineChars="200"/>
        <w:jc w:val="left"/>
        <w:rPr>
          <w:rStyle w:val="8"/>
          <w:rFonts w:ascii="宋体" w:hAnsi="宋体"/>
          <w:color w:val="auto"/>
          <w:kern w:val="2"/>
          <w:sz w:val="22"/>
          <w:szCs w:val="22"/>
          <w:highlight w:val="none"/>
        </w:rPr>
      </w:pPr>
      <w:r>
        <w:rPr>
          <w:rStyle w:val="8"/>
          <w:rFonts w:ascii="宋体" w:hAnsi="宋体"/>
          <w:color w:val="auto"/>
          <w:kern w:val="2"/>
          <w:sz w:val="22"/>
          <w:szCs w:val="22"/>
          <w:highlight w:val="none"/>
        </w:rPr>
        <w:t>第1种方式：采用价格指数</w:t>
      </w:r>
      <w:r>
        <w:rPr>
          <w:rStyle w:val="8"/>
          <w:rFonts w:hint="eastAsia" w:ascii="宋体" w:hAnsi="宋体"/>
          <w:color w:val="auto"/>
          <w:kern w:val="2"/>
          <w:sz w:val="22"/>
          <w:szCs w:val="22"/>
          <w:highlight w:val="none"/>
        </w:rPr>
        <w:t>进行价格</w:t>
      </w:r>
      <w:r>
        <w:rPr>
          <w:rStyle w:val="8"/>
          <w:rFonts w:ascii="宋体" w:hAnsi="宋体"/>
          <w:color w:val="auto"/>
          <w:kern w:val="2"/>
          <w:sz w:val="22"/>
          <w:szCs w:val="22"/>
          <w:highlight w:val="none"/>
        </w:rPr>
        <w:t>调整。</w:t>
      </w:r>
    </w:p>
    <w:p w14:paraId="4E663974">
      <w:pPr>
        <w:pStyle w:val="13"/>
        <w:spacing w:line="360" w:lineRule="auto"/>
        <w:ind w:firstLine="440" w:firstLineChars="200"/>
        <w:jc w:val="left"/>
        <w:rPr>
          <w:rStyle w:val="8"/>
          <w:rFonts w:ascii="宋体" w:hAnsi="宋体"/>
          <w:color w:val="auto"/>
          <w:kern w:val="2"/>
          <w:sz w:val="22"/>
          <w:szCs w:val="22"/>
          <w:highlight w:val="none"/>
          <w:u w:val="single"/>
        </w:rPr>
      </w:pPr>
      <w:r>
        <w:rPr>
          <w:rStyle w:val="8"/>
          <w:rFonts w:ascii="宋体" w:hAnsi="宋体"/>
          <w:color w:val="auto"/>
          <w:kern w:val="2"/>
          <w:sz w:val="22"/>
          <w:szCs w:val="22"/>
          <w:highlight w:val="none"/>
        </w:rPr>
        <w:t>关于各可调因子、定值和变值权重，以及基本价格指数及其来源的约定：</w:t>
      </w:r>
      <w:r>
        <w:rPr>
          <w:rStyle w:val="8"/>
          <w:rFonts w:ascii="宋体" w:hAnsi="宋体"/>
          <w:color w:val="auto"/>
          <w:kern w:val="2"/>
          <w:sz w:val="22"/>
          <w:szCs w:val="22"/>
          <w:highlight w:val="none"/>
          <w:u w:val="single"/>
        </w:rPr>
        <w:t xml:space="preserve">                                                </w:t>
      </w:r>
      <w:r>
        <w:rPr>
          <w:rStyle w:val="8"/>
          <w:rFonts w:ascii="宋体" w:hAnsi="宋体"/>
          <w:color w:val="auto"/>
          <w:kern w:val="2"/>
          <w:sz w:val="22"/>
          <w:szCs w:val="22"/>
          <w:highlight w:val="none"/>
        </w:rPr>
        <w:t xml:space="preserve">；  </w:t>
      </w:r>
    </w:p>
    <w:p w14:paraId="73491C2A">
      <w:pPr>
        <w:pStyle w:val="13"/>
        <w:spacing w:line="360" w:lineRule="auto"/>
        <w:ind w:firstLine="440" w:firstLineChars="200"/>
        <w:jc w:val="left"/>
        <w:rPr>
          <w:rStyle w:val="8"/>
          <w:rFonts w:ascii="宋体" w:hAnsi="宋体"/>
          <w:color w:val="auto"/>
          <w:kern w:val="2"/>
          <w:sz w:val="22"/>
          <w:szCs w:val="22"/>
          <w:highlight w:val="none"/>
        </w:rPr>
      </w:pPr>
      <w:r>
        <w:rPr>
          <w:rStyle w:val="8"/>
          <w:rFonts w:ascii="宋体" w:hAnsi="宋体"/>
          <w:color w:val="auto"/>
          <w:kern w:val="2"/>
          <w:sz w:val="22"/>
          <w:szCs w:val="22"/>
          <w:highlight w:val="none"/>
        </w:rPr>
        <w:t>第2种方式：采用造价信息</w:t>
      </w:r>
      <w:r>
        <w:rPr>
          <w:rStyle w:val="8"/>
          <w:rFonts w:hint="eastAsia" w:ascii="宋体" w:hAnsi="宋体"/>
          <w:color w:val="auto"/>
          <w:kern w:val="2"/>
          <w:sz w:val="22"/>
          <w:szCs w:val="22"/>
          <w:highlight w:val="none"/>
        </w:rPr>
        <w:t>进行价格</w:t>
      </w:r>
      <w:r>
        <w:rPr>
          <w:rStyle w:val="8"/>
          <w:rFonts w:ascii="宋体" w:hAnsi="宋体"/>
          <w:color w:val="auto"/>
          <w:kern w:val="2"/>
          <w:sz w:val="22"/>
          <w:szCs w:val="22"/>
          <w:highlight w:val="none"/>
        </w:rPr>
        <w:t>调整。</w:t>
      </w:r>
    </w:p>
    <w:p w14:paraId="2AC5A98E">
      <w:pPr>
        <w:pStyle w:val="13"/>
        <w:spacing w:line="360" w:lineRule="auto"/>
        <w:ind w:firstLine="440" w:firstLineChars="200"/>
        <w:jc w:val="left"/>
        <w:rPr>
          <w:rStyle w:val="8"/>
          <w:rFonts w:ascii="宋体" w:hAnsi="宋体"/>
          <w:color w:val="auto"/>
          <w:kern w:val="2"/>
          <w:sz w:val="22"/>
          <w:szCs w:val="22"/>
          <w:highlight w:val="none"/>
        </w:rPr>
      </w:pPr>
      <w:r>
        <w:rPr>
          <w:rStyle w:val="8"/>
          <w:rFonts w:ascii="宋体" w:hAnsi="宋体"/>
          <w:color w:val="auto"/>
          <w:kern w:val="2"/>
          <w:sz w:val="22"/>
          <w:szCs w:val="22"/>
          <w:highlight w:val="none"/>
        </w:rPr>
        <w:t>（2）关于基准价格的约定：</w:t>
      </w:r>
      <w:r>
        <w:rPr>
          <w:rStyle w:val="8"/>
          <w:rFonts w:ascii="宋体" w:hAnsi="宋体"/>
          <w:color w:val="auto"/>
          <w:kern w:val="2"/>
          <w:sz w:val="22"/>
          <w:szCs w:val="22"/>
          <w:highlight w:val="none"/>
          <w:u w:val="single"/>
        </w:rPr>
        <w:t>投标截止日期前</w:t>
      </w:r>
      <w:r>
        <w:rPr>
          <w:rStyle w:val="8"/>
          <w:rFonts w:hint="eastAsia" w:ascii="宋体" w:hAnsi="宋体"/>
          <w:color w:val="auto"/>
          <w:kern w:val="2"/>
          <w:sz w:val="22"/>
          <w:szCs w:val="22"/>
          <w:highlight w:val="none"/>
          <w:u w:val="single"/>
        </w:rPr>
        <w:t>28天的造价部门发布的工程所在地的造价信息价格</w:t>
      </w:r>
      <w:r>
        <w:rPr>
          <w:rStyle w:val="8"/>
          <w:rFonts w:ascii="宋体" w:hAnsi="宋体"/>
          <w:color w:val="auto"/>
          <w:kern w:val="2"/>
          <w:sz w:val="22"/>
          <w:szCs w:val="22"/>
          <w:highlight w:val="none"/>
        </w:rPr>
        <w:t>。</w:t>
      </w:r>
    </w:p>
    <w:p w14:paraId="7C594662">
      <w:pPr>
        <w:pStyle w:val="13"/>
        <w:spacing w:line="360" w:lineRule="auto"/>
        <w:ind w:firstLine="440" w:firstLineChars="200"/>
        <w:jc w:val="left"/>
        <w:rPr>
          <w:rStyle w:val="8"/>
          <w:rFonts w:ascii="宋体" w:hAnsi="宋体"/>
          <w:color w:val="auto"/>
          <w:kern w:val="2"/>
          <w:sz w:val="22"/>
          <w:szCs w:val="22"/>
          <w:highlight w:val="none"/>
        </w:rPr>
      </w:pPr>
      <w:r>
        <w:rPr>
          <w:rStyle w:val="8"/>
          <w:rFonts w:ascii="宋体" w:hAnsi="宋体"/>
          <w:color w:val="auto"/>
          <w:kern w:val="2"/>
          <w:sz w:val="22"/>
          <w:szCs w:val="22"/>
          <w:highlight w:val="none"/>
        </w:rPr>
        <w:t>专用合同条款</w:t>
      </w:r>
      <w:r>
        <w:rPr>
          <w:rStyle w:val="8"/>
          <w:rFonts w:hint="eastAsia" w:ascii="宋体" w:hAnsi="宋体" w:cs="宋体"/>
          <w:color w:val="auto"/>
          <w:kern w:val="2"/>
          <w:sz w:val="22"/>
          <w:szCs w:val="22"/>
          <w:highlight w:val="none"/>
        </w:rPr>
        <w:t>①</w:t>
      </w:r>
      <w:r>
        <w:rPr>
          <w:rStyle w:val="8"/>
          <w:rFonts w:ascii="宋体" w:hAnsi="宋体"/>
          <w:color w:val="auto"/>
          <w:kern w:val="2"/>
          <w:sz w:val="22"/>
          <w:szCs w:val="22"/>
          <w:highlight w:val="none"/>
        </w:rPr>
        <w:t>承包人在已标价工程量清单或预算书中载明的材料单价低于基准价格的：专用合同条款合同履行期间材料单价涨幅以基准价格为基础超过</w:t>
      </w:r>
      <w:r>
        <w:rPr>
          <w:rStyle w:val="8"/>
          <w:rFonts w:ascii="宋体" w:hAnsi="宋体"/>
          <w:color w:val="auto"/>
          <w:kern w:val="2"/>
          <w:sz w:val="22"/>
          <w:szCs w:val="22"/>
          <w:highlight w:val="none"/>
          <w:u w:val="single"/>
        </w:rPr>
        <w:t xml:space="preserve">  </w:t>
      </w:r>
      <w:r>
        <w:rPr>
          <w:rStyle w:val="8"/>
          <w:rFonts w:hint="eastAsia" w:ascii="宋体" w:hAnsi="宋体"/>
          <w:color w:val="auto"/>
          <w:kern w:val="2"/>
          <w:sz w:val="22"/>
          <w:szCs w:val="22"/>
          <w:highlight w:val="none"/>
          <w:u w:val="single"/>
        </w:rPr>
        <w:t>/</w:t>
      </w:r>
      <w:r>
        <w:rPr>
          <w:rStyle w:val="8"/>
          <w:rFonts w:ascii="宋体" w:hAnsi="宋体"/>
          <w:color w:val="auto"/>
          <w:kern w:val="2"/>
          <w:sz w:val="22"/>
          <w:szCs w:val="22"/>
          <w:highlight w:val="none"/>
          <w:u w:val="single"/>
        </w:rPr>
        <w:t xml:space="preserve"> </w:t>
      </w:r>
      <w:r>
        <w:rPr>
          <w:rStyle w:val="8"/>
          <w:rFonts w:ascii="宋体" w:hAnsi="宋体"/>
          <w:color w:val="auto"/>
          <w:kern w:val="2"/>
          <w:sz w:val="22"/>
          <w:szCs w:val="22"/>
          <w:highlight w:val="none"/>
        </w:rPr>
        <w:t>%时，或材料单价跌幅以已标价工程量清单或预算书中载明材料单价为基础超过</w:t>
      </w:r>
      <w:r>
        <w:rPr>
          <w:rStyle w:val="8"/>
          <w:rFonts w:ascii="宋体" w:hAnsi="宋体"/>
          <w:color w:val="auto"/>
          <w:kern w:val="2"/>
          <w:sz w:val="22"/>
          <w:szCs w:val="22"/>
          <w:highlight w:val="none"/>
          <w:u w:val="single"/>
        </w:rPr>
        <w:t xml:space="preserve"> </w:t>
      </w:r>
      <w:r>
        <w:rPr>
          <w:rStyle w:val="8"/>
          <w:rFonts w:hint="eastAsia" w:ascii="宋体" w:hAnsi="宋体"/>
          <w:color w:val="auto"/>
          <w:kern w:val="2"/>
          <w:sz w:val="22"/>
          <w:szCs w:val="22"/>
          <w:highlight w:val="none"/>
          <w:u w:val="single"/>
        </w:rPr>
        <w:t>/</w:t>
      </w:r>
      <w:r>
        <w:rPr>
          <w:rStyle w:val="8"/>
          <w:rFonts w:ascii="宋体" w:hAnsi="宋体"/>
          <w:color w:val="auto"/>
          <w:kern w:val="2"/>
          <w:sz w:val="22"/>
          <w:szCs w:val="22"/>
          <w:highlight w:val="none"/>
        </w:rPr>
        <w:t>%时，其超过部分据实调整。</w:t>
      </w:r>
    </w:p>
    <w:p w14:paraId="2B4C48F9">
      <w:pPr>
        <w:pStyle w:val="13"/>
        <w:spacing w:line="360" w:lineRule="auto"/>
        <w:ind w:firstLine="440" w:firstLineChars="200"/>
        <w:jc w:val="left"/>
        <w:rPr>
          <w:rStyle w:val="8"/>
          <w:rFonts w:ascii="宋体" w:hAnsi="宋体"/>
          <w:color w:val="auto"/>
          <w:kern w:val="2"/>
          <w:sz w:val="22"/>
          <w:szCs w:val="22"/>
          <w:highlight w:val="none"/>
        </w:rPr>
      </w:pPr>
      <w:r>
        <w:rPr>
          <w:rStyle w:val="8"/>
          <w:rFonts w:hint="eastAsia" w:ascii="宋体" w:hAnsi="宋体" w:cs="宋体"/>
          <w:color w:val="auto"/>
          <w:kern w:val="2"/>
          <w:sz w:val="22"/>
          <w:szCs w:val="22"/>
          <w:highlight w:val="none"/>
        </w:rPr>
        <w:t>②</w:t>
      </w:r>
      <w:r>
        <w:rPr>
          <w:rStyle w:val="8"/>
          <w:rFonts w:ascii="宋体" w:hAnsi="宋体"/>
          <w:color w:val="auto"/>
          <w:kern w:val="2"/>
          <w:sz w:val="22"/>
          <w:szCs w:val="22"/>
          <w:highlight w:val="none"/>
        </w:rPr>
        <w:t>承包人在已标价工程量清单或预算书中载明的材料单价高于基准价格的：专用合同条款合同履行期间材料单价跌幅以基准价格为基础超过</w:t>
      </w:r>
      <w:r>
        <w:rPr>
          <w:rStyle w:val="8"/>
          <w:rFonts w:ascii="宋体" w:hAnsi="宋体"/>
          <w:color w:val="auto"/>
          <w:kern w:val="2"/>
          <w:sz w:val="22"/>
          <w:szCs w:val="22"/>
          <w:highlight w:val="none"/>
          <w:u w:val="single"/>
        </w:rPr>
        <w:t xml:space="preserve">  </w:t>
      </w:r>
      <w:r>
        <w:rPr>
          <w:rStyle w:val="8"/>
          <w:rFonts w:hint="eastAsia" w:ascii="宋体" w:hAnsi="宋体"/>
          <w:color w:val="auto"/>
          <w:kern w:val="2"/>
          <w:sz w:val="22"/>
          <w:szCs w:val="22"/>
          <w:highlight w:val="none"/>
          <w:u w:val="single"/>
        </w:rPr>
        <w:t>/</w:t>
      </w:r>
      <w:r>
        <w:rPr>
          <w:rStyle w:val="8"/>
          <w:rFonts w:ascii="宋体" w:hAnsi="宋体"/>
          <w:color w:val="auto"/>
          <w:kern w:val="2"/>
          <w:sz w:val="22"/>
          <w:szCs w:val="22"/>
          <w:highlight w:val="none"/>
          <w:u w:val="single"/>
        </w:rPr>
        <w:t xml:space="preserve"> </w:t>
      </w:r>
      <w:r>
        <w:rPr>
          <w:rStyle w:val="8"/>
          <w:rFonts w:ascii="宋体" w:hAnsi="宋体"/>
          <w:color w:val="auto"/>
          <w:kern w:val="2"/>
          <w:sz w:val="22"/>
          <w:szCs w:val="22"/>
          <w:highlight w:val="none"/>
        </w:rPr>
        <w:t>%时，材料单价涨幅以已标价工程量清单或预算书中载明材料单价为基础超过</w:t>
      </w:r>
      <w:r>
        <w:rPr>
          <w:rStyle w:val="8"/>
          <w:rFonts w:hint="eastAsia" w:ascii="宋体" w:hAnsi="宋体"/>
          <w:color w:val="auto"/>
          <w:kern w:val="2"/>
          <w:sz w:val="22"/>
          <w:szCs w:val="22"/>
          <w:highlight w:val="none"/>
          <w:u w:val="single"/>
        </w:rPr>
        <w:t>/</w:t>
      </w:r>
      <w:r>
        <w:rPr>
          <w:rStyle w:val="8"/>
          <w:rFonts w:ascii="宋体" w:hAnsi="宋体"/>
          <w:color w:val="auto"/>
          <w:kern w:val="2"/>
          <w:sz w:val="22"/>
          <w:szCs w:val="22"/>
          <w:highlight w:val="none"/>
          <w:u w:val="single"/>
        </w:rPr>
        <w:t xml:space="preserve">  </w:t>
      </w:r>
      <w:r>
        <w:rPr>
          <w:rStyle w:val="8"/>
          <w:rFonts w:ascii="宋体" w:hAnsi="宋体"/>
          <w:color w:val="auto"/>
          <w:kern w:val="2"/>
          <w:sz w:val="22"/>
          <w:szCs w:val="22"/>
          <w:highlight w:val="none"/>
        </w:rPr>
        <w:t>%时，其超过部分据实调整。</w:t>
      </w:r>
    </w:p>
    <w:p w14:paraId="5C4B3AD5">
      <w:pPr>
        <w:pStyle w:val="13"/>
        <w:spacing w:line="360" w:lineRule="auto"/>
        <w:ind w:firstLine="645"/>
        <w:jc w:val="left"/>
        <w:rPr>
          <w:rStyle w:val="8"/>
          <w:rFonts w:ascii="宋体" w:hAnsi="宋体"/>
          <w:color w:val="auto"/>
          <w:kern w:val="2"/>
          <w:sz w:val="22"/>
          <w:szCs w:val="22"/>
          <w:highlight w:val="none"/>
        </w:rPr>
      </w:pPr>
      <w:r>
        <w:rPr>
          <w:rStyle w:val="8"/>
          <w:rFonts w:hint="eastAsia" w:ascii="宋体" w:hAnsi="宋体" w:cs="宋体"/>
          <w:color w:val="auto"/>
          <w:kern w:val="2"/>
          <w:sz w:val="22"/>
          <w:szCs w:val="22"/>
          <w:highlight w:val="none"/>
        </w:rPr>
        <w:t>③</w:t>
      </w:r>
      <w:r>
        <w:rPr>
          <w:rStyle w:val="8"/>
          <w:rFonts w:ascii="宋体" w:hAnsi="宋体"/>
          <w:color w:val="auto"/>
          <w:kern w:val="2"/>
          <w:sz w:val="22"/>
          <w:szCs w:val="22"/>
          <w:highlight w:val="none"/>
        </w:rPr>
        <w:t>承包人在已标价工程量清单或预算书中载明的材料单价等于基准单价的：专用合同条款合同履行期间材料单价涨跌幅以基准单价为基础超过±</w:t>
      </w:r>
      <w:r>
        <w:rPr>
          <w:rStyle w:val="8"/>
          <w:rFonts w:ascii="宋体" w:hAnsi="宋体"/>
          <w:color w:val="auto"/>
          <w:kern w:val="2"/>
          <w:sz w:val="22"/>
          <w:szCs w:val="22"/>
          <w:highlight w:val="none"/>
          <w:u w:val="single"/>
        </w:rPr>
        <w:t xml:space="preserve"> </w:t>
      </w:r>
      <w:r>
        <w:rPr>
          <w:rStyle w:val="8"/>
          <w:rFonts w:hint="eastAsia" w:ascii="宋体" w:hAnsi="宋体"/>
          <w:color w:val="auto"/>
          <w:kern w:val="2"/>
          <w:sz w:val="22"/>
          <w:szCs w:val="22"/>
          <w:highlight w:val="none"/>
          <w:u w:val="single"/>
        </w:rPr>
        <w:t>/</w:t>
      </w:r>
      <w:r>
        <w:rPr>
          <w:rStyle w:val="8"/>
          <w:rFonts w:ascii="宋体" w:hAnsi="宋体"/>
          <w:color w:val="auto"/>
          <w:kern w:val="2"/>
          <w:sz w:val="22"/>
          <w:szCs w:val="22"/>
          <w:highlight w:val="none"/>
          <w:u w:val="single"/>
        </w:rPr>
        <w:t xml:space="preserve">  </w:t>
      </w:r>
      <w:r>
        <w:rPr>
          <w:rStyle w:val="8"/>
          <w:rFonts w:ascii="宋体" w:hAnsi="宋体"/>
          <w:color w:val="auto"/>
          <w:kern w:val="2"/>
          <w:sz w:val="22"/>
          <w:szCs w:val="22"/>
          <w:highlight w:val="none"/>
        </w:rPr>
        <w:t>%时，其超过部分据实调整。</w:t>
      </w:r>
    </w:p>
    <w:p w14:paraId="717ED026">
      <w:pPr>
        <w:pStyle w:val="13"/>
        <w:spacing w:line="360" w:lineRule="auto"/>
        <w:ind w:firstLine="645"/>
        <w:jc w:val="left"/>
        <w:rPr>
          <w:rStyle w:val="8"/>
          <w:rFonts w:ascii="宋体" w:hAnsi="宋体"/>
          <w:color w:val="auto"/>
          <w:kern w:val="2"/>
          <w:sz w:val="22"/>
          <w:szCs w:val="22"/>
          <w:highlight w:val="none"/>
          <w:u w:val="single"/>
        </w:rPr>
      </w:pPr>
      <w:r>
        <w:rPr>
          <w:rStyle w:val="8"/>
          <w:rFonts w:ascii="宋体" w:hAnsi="宋体"/>
          <w:color w:val="auto"/>
          <w:kern w:val="2"/>
          <w:sz w:val="22"/>
          <w:szCs w:val="22"/>
          <w:highlight w:val="none"/>
        </w:rPr>
        <w:t>第3种方式：其他价格调整方式：</w:t>
      </w:r>
      <w:r>
        <w:rPr>
          <w:rStyle w:val="8"/>
          <w:rFonts w:ascii="宋体" w:hAnsi="宋体"/>
          <w:color w:val="auto"/>
          <w:kern w:val="2"/>
          <w:sz w:val="22"/>
          <w:szCs w:val="22"/>
          <w:highlight w:val="none"/>
          <w:u w:val="single"/>
        </w:rPr>
        <w:t xml:space="preserve">                        </w:t>
      </w:r>
    </w:p>
    <w:p w14:paraId="4CA9E749">
      <w:pPr>
        <w:pStyle w:val="13"/>
        <w:spacing w:line="360" w:lineRule="auto"/>
        <w:jc w:val="left"/>
        <w:rPr>
          <w:rStyle w:val="8"/>
          <w:rFonts w:ascii="宋体" w:hAnsi="宋体"/>
          <w:color w:val="auto"/>
          <w:kern w:val="2"/>
          <w:sz w:val="22"/>
          <w:szCs w:val="22"/>
          <w:highlight w:val="none"/>
        </w:rPr>
      </w:pPr>
      <w:r>
        <w:rPr>
          <w:rStyle w:val="8"/>
          <w:rFonts w:hint="eastAsia" w:ascii="宋体" w:hAnsi="宋体"/>
          <w:color w:val="auto"/>
          <w:kern w:val="2"/>
          <w:sz w:val="22"/>
          <w:szCs w:val="22"/>
          <w:highlight w:val="none"/>
          <w:u w:val="single"/>
        </w:rPr>
        <w:t xml:space="preserve">                                                       </w:t>
      </w:r>
      <w:r>
        <w:rPr>
          <w:rStyle w:val="8"/>
          <w:rFonts w:ascii="宋体" w:hAnsi="宋体"/>
          <w:color w:val="auto"/>
          <w:kern w:val="2"/>
          <w:sz w:val="22"/>
          <w:szCs w:val="22"/>
          <w:highlight w:val="none"/>
          <w:u w:val="single"/>
        </w:rPr>
        <w:t xml:space="preserve">  </w:t>
      </w:r>
      <w:r>
        <w:rPr>
          <w:rStyle w:val="8"/>
          <w:rFonts w:ascii="宋体" w:hAnsi="宋体"/>
          <w:color w:val="auto"/>
          <w:kern w:val="2"/>
          <w:sz w:val="22"/>
          <w:szCs w:val="22"/>
          <w:highlight w:val="none"/>
        </w:rPr>
        <w:t>。</w:t>
      </w:r>
    </w:p>
    <w:bookmarkEnd w:id="748"/>
    <w:bookmarkEnd w:id="749"/>
    <w:bookmarkEnd w:id="750"/>
    <w:bookmarkEnd w:id="751"/>
    <w:bookmarkEnd w:id="752"/>
    <w:bookmarkEnd w:id="753"/>
    <w:p w14:paraId="7C8FF1FD">
      <w:pPr>
        <w:pStyle w:val="15"/>
        <w:spacing w:before="120" w:after="120" w:line="360" w:lineRule="auto"/>
        <w:rPr>
          <w:rStyle w:val="8"/>
          <w:rFonts w:ascii="宋体" w:hAnsi="宋体" w:eastAsia="宋体"/>
          <w:b w:val="0"/>
          <w:color w:val="auto"/>
          <w:sz w:val="22"/>
          <w:szCs w:val="22"/>
          <w:highlight w:val="none"/>
        </w:rPr>
      </w:pPr>
      <w:bookmarkStart w:id="882" w:name="_Toc296891245"/>
      <w:bookmarkStart w:id="883" w:name="_Toc296503205"/>
      <w:bookmarkStart w:id="884" w:name="_Toc296944544"/>
      <w:bookmarkStart w:id="885" w:name="_Toc296346706"/>
      <w:bookmarkStart w:id="886" w:name="_Toc297048391"/>
      <w:bookmarkStart w:id="887" w:name="_Toc292559410"/>
      <w:bookmarkStart w:id="888" w:name="_Toc297120505"/>
      <w:bookmarkStart w:id="889" w:name="_Toc296891033"/>
      <w:bookmarkStart w:id="890" w:name="_Toc292559915"/>
      <w:bookmarkStart w:id="891" w:name="_Toc296347204"/>
      <w:bookmarkStart w:id="892" w:name="_Toc256001314"/>
      <w:bookmarkStart w:id="893" w:name="_Toc256000847"/>
      <w:bookmarkStart w:id="894" w:name="_Toc8434"/>
      <w:bookmarkStart w:id="895" w:name="_Toc32048"/>
      <w:bookmarkStart w:id="896" w:name="_Toc351203644"/>
      <w:bookmarkStart w:id="897" w:name="_Toc256000351"/>
      <w:bookmarkStart w:id="898" w:name="_Toc69461826"/>
      <w:bookmarkStart w:id="899" w:name="_Toc69461171"/>
      <w:bookmarkStart w:id="900" w:name="_Toc256000580"/>
      <w:bookmarkStart w:id="901" w:name="_Toc256001084"/>
      <w:bookmarkStart w:id="902" w:name="_Toc312678040"/>
      <w:bookmarkStart w:id="903" w:name="_Toc297216211"/>
      <w:bookmarkStart w:id="904" w:name="_Toc300935002"/>
      <w:bookmarkStart w:id="905" w:name="_Toc297123552"/>
      <w:bookmarkStart w:id="906" w:name="_Toc303539159"/>
      <w:bookmarkStart w:id="907" w:name="_Toc304295579"/>
      <w:r>
        <w:rPr>
          <w:rStyle w:val="8"/>
          <w:rFonts w:ascii="宋体" w:hAnsi="宋体" w:eastAsia="宋体"/>
          <w:b w:val="0"/>
          <w:color w:val="auto"/>
          <w:sz w:val="22"/>
          <w:szCs w:val="22"/>
          <w:highlight w:val="none"/>
        </w:rPr>
        <w:t xml:space="preserve">12. </w:t>
      </w:r>
      <w:bookmarkEnd w:id="882"/>
      <w:bookmarkEnd w:id="883"/>
      <w:bookmarkEnd w:id="884"/>
      <w:bookmarkEnd w:id="885"/>
      <w:bookmarkEnd w:id="886"/>
      <w:bookmarkEnd w:id="887"/>
      <w:bookmarkEnd w:id="888"/>
      <w:bookmarkEnd w:id="889"/>
      <w:bookmarkEnd w:id="890"/>
      <w:bookmarkEnd w:id="891"/>
      <w:r>
        <w:rPr>
          <w:rStyle w:val="8"/>
          <w:rFonts w:ascii="宋体" w:hAnsi="宋体" w:eastAsia="宋体"/>
          <w:b w:val="0"/>
          <w:color w:val="auto"/>
          <w:sz w:val="22"/>
          <w:szCs w:val="22"/>
          <w:highlight w:val="none"/>
        </w:rPr>
        <w:t>合同价格、计量与支付</w:t>
      </w:r>
      <w:bookmarkEnd w:id="892"/>
      <w:bookmarkEnd w:id="893"/>
      <w:bookmarkEnd w:id="894"/>
      <w:bookmarkEnd w:id="895"/>
      <w:bookmarkEnd w:id="896"/>
      <w:bookmarkEnd w:id="897"/>
      <w:bookmarkEnd w:id="898"/>
      <w:bookmarkEnd w:id="899"/>
      <w:bookmarkEnd w:id="900"/>
      <w:bookmarkEnd w:id="901"/>
    </w:p>
    <w:bookmarkEnd w:id="902"/>
    <w:bookmarkEnd w:id="903"/>
    <w:bookmarkEnd w:id="904"/>
    <w:bookmarkEnd w:id="905"/>
    <w:bookmarkEnd w:id="906"/>
    <w:bookmarkEnd w:id="907"/>
    <w:p w14:paraId="0AE4D0EC">
      <w:pPr>
        <w:pStyle w:val="13"/>
        <w:spacing w:after="120" w:line="360" w:lineRule="auto"/>
        <w:ind w:firstLine="440" w:firstLineChars="200"/>
        <w:rPr>
          <w:rStyle w:val="8"/>
          <w:rFonts w:ascii="宋体" w:hAnsi="宋体"/>
          <w:color w:val="auto"/>
          <w:kern w:val="2"/>
          <w:sz w:val="22"/>
          <w:szCs w:val="22"/>
          <w:highlight w:val="none"/>
        </w:rPr>
      </w:pPr>
      <w:bookmarkStart w:id="908" w:name="_Toc292559411"/>
      <w:bookmarkStart w:id="909" w:name="_Toc292559916"/>
      <w:bookmarkStart w:id="910" w:name="_Toc267251461"/>
      <w:bookmarkStart w:id="911" w:name="_Toc297048392"/>
      <w:bookmarkStart w:id="912" w:name="_Toc296346707"/>
      <w:bookmarkStart w:id="913" w:name="_Toc296891246"/>
      <w:bookmarkStart w:id="914" w:name="_Toc296891034"/>
      <w:bookmarkStart w:id="915" w:name="_Toc297120506"/>
      <w:bookmarkStart w:id="916" w:name="_Toc296347205"/>
      <w:bookmarkStart w:id="917" w:name="_Toc296944545"/>
      <w:bookmarkStart w:id="918" w:name="_Toc296503206"/>
      <w:bookmarkStart w:id="919" w:name="_Toc312678041"/>
      <w:bookmarkStart w:id="920" w:name="_Toc300935003"/>
      <w:bookmarkStart w:id="921" w:name="_Toc297123553"/>
      <w:bookmarkStart w:id="922" w:name="_Toc304295580"/>
      <w:bookmarkStart w:id="923" w:name="_Toc303539160"/>
      <w:bookmarkStart w:id="924" w:name="_Toc297216212"/>
      <w:r>
        <w:rPr>
          <w:rStyle w:val="8"/>
          <w:rFonts w:ascii="宋体" w:hAnsi="宋体"/>
          <w:color w:val="auto"/>
          <w:kern w:val="2"/>
          <w:sz w:val="22"/>
          <w:szCs w:val="22"/>
          <w:highlight w:val="none"/>
        </w:rPr>
        <w:t>12.1 合</w:t>
      </w:r>
      <w:bookmarkEnd w:id="908"/>
      <w:bookmarkEnd w:id="909"/>
      <w:bookmarkEnd w:id="910"/>
      <w:r>
        <w:rPr>
          <w:rStyle w:val="8"/>
          <w:rFonts w:ascii="宋体" w:hAnsi="宋体"/>
          <w:color w:val="auto"/>
          <w:kern w:val="2"/>
          <w:sz w:val="22"/>
          <w:szCs w:val="22"/>
          <w:highlight w:val="none"/>
        </w:rPr>
        <w:t>同价</w:t>
      </w:r>
      <w:bookmarkEnd w:id="911"/>
      <w:bookmarkEnd w:id="912"/>
      <w:bookmarkEnd w:id="913"/>
      <w:bookmarkEnd w:id="914"/>
      <w:bookmarkEnd w:id="915"/>
      <w:bookmarkEnd w:id="916"/>
      <w:bookmarkEnd w:id="917"/>
      <w:bookmarkEnd w:id="918"/>
      <w:r>
        <w:rPr>
          <w:rStyle w:val="8"/>
          <w:rFonts w:ascii="宋体" w:hAnsi="宋体"/>
          <w:color w:val="auto"/>
          <w:kern w:val="2"/>
          <w:sz w:val="22"/>
          <w:szCs w:val="22"/>
          <w:highlight w:val="none"/>
        </w:rPr>
        <w:t>格形式</w:t>
      </w:r>
    </w:p>
    <w:bookmarkEnd w:id="919"/>
    <w:bookmarkEnd w:id="920"/>
    <w:bookmarkEnd w:id="921"/>
    <w:bookmarkEnd w:id="922"/>
    <w:bookmarkEnd w:id="923"/>
    <w:bookmarkEnd w:id="924"/>
    <w:p w14:paraId="524F7ECD">
      <w:pPr>
        <w:pStyle w:val="13"/>
        <w:spacing w:line="360" w:lineRule="auto"/>
        <w:ind w:firstLine="645"/>
        <w:jc w:val="left"/>
        <w:rPr>
          <w:rStyle w:val="8"/>
          <w:rFonts w:ascii="宋体" w:hAnsi="宋体"/>
          <w:color w:val="auto"/>
          <w:kern w:val="2"/>
          <w:sz w:val="22"/>
          <w:szCs w:val="22"/>
          <w:highlight w:val="none"/>
          <w:u w:val="single"/>
        </w:rPr>
      </w:pPr>
      <w:r>
        <w:rPr>
          <w:rStyle w:val="8"/>
          <w:rFonts w:hint="eastAsia" w:ascii="宋体" w:hAnsi="宋体"/>
          <w:color w:val="auto"/>
          <w:kern w:val="2"/>
          <w:sz w:val="22"/>
          <w:szCs w:val="22"/>
          <w:highlight w:val="none"/>
        </w:rPr>
        <w:t>综合单价包含的风险范围：</w:t>
      </w:r>
      <w:r>
        <w:rPr>
          <w:rStyle w:val="8"/>
          <w:rFonts w:hint="eastAsia" w:ascii="宋体" w:hAnsi="宋体"/>
          <w:color w:val="auto"/>
          <w:kern w:val="2"/>
          <w:sz w:val="22"/>
          <w:szCs w:val="22"/>
          <w:highlight w:val="none"/>
          <w:u w:val="single"/>
        </w:rPr>
        <w:t xml:space="preserve">(1)完成本项目招标及图纸范围内所有可能遇到的各种涉及报价的风险因素均应综合考虑到报价中, 除工程量调整外，中标后不再调整。其综合单价中包括但不限于材料费、制作费、运杂费、安装费、检验费、检测费、措施费、资料费、技术服务费、管理费、利润、政策性文件规定的费用、税金等完成本项目的全部费用直至验收合格、交付使用及质保的全部内容。 </w:t>
      </w:r>
    </w:p>
    <w:p w14:paraId="3D834D64">
      <w:pPr>
        <w:pStyle w:val="13"/>
        <w:spacing w:line="360" w:lineRule="auto"/>
        <w:ind w:firstLine="645"/>
        <w:jc w:val="left"/>
        <w:rPr>
          <w:rStyle w:val="8"/>
          <w:rFonts w:ascii="宋体" w:hAnsi="宋体"/>
          <w:color w:val="auto"/>
          <w:kern w:val="2"/>
          <w:sz w:val="22"/>
          <w:szCs w:val="22"/>
          <w:highlight w:val="none"/>
          <w:u w:val="single"/>
        </w:rPr>
      </w:pPr>
      <w:r>
        <w:rPr>
          <w:rStyle w:val="8"/>
          <w:rFonts w:hint="eastAsia" w:ascii="宋体" w:hAnsi="宋体"/>
          <w:color w:val="auto"/>
          <w:kern w:val="2"/>
          <w:sz w:val="22"/>
          <w:szCs w:val="22"/>
          <w:highlight w:val="none"/>
          <w:u w:val="single"/>
        </w:rPr>
        <w:t xml:space="preserve">（2）吊装、运输工具、照明器具和施工的脚手架等由承包人自行解决，费用在投标报价中考虑。 </w:t>
      </w:r>
    </w:p>
    <w:p w14:paraId="61AD731C">
      <w:pPr>
        <w:pStyle w:val="13"/>
        <w:spacing w:line="360" w:lineRule="auto"/>
        <w:ind w:firstLine="645"/>
        <w:jc w:val="left"/>
        <w:rPr>
          <w:rStyle w:val="8"/>
          <w:rFonts w:ascii="宋体" w:hAnsi="宋体"/>
          <w:color w:val="auto"/>
          <w:kern w:val="2"/>
          <w:sz w:val="22"/>
          <w:szCs w:val="22"/>
          <w:highlight w:val="none"/>
          <w:u w:val="single"/>
        </w:rPr>
      </w:pPr>
      <w:r>
        <w:rPr>
          <w:rStyle w:val="8"/>
          <w:rFonts w:hint="eastAsia" w:ascii="宋体" w:hAnsi="宋体"/>
          <w:color w:val="auto"/>
          <w:kern w:val="2"/>
          <w:sz w:val="22"/>
          <w:szCs w:val="22"/>
          <w:highlight w:val="none"/>
          <w:u w:val="single"/>
        </w:rPr>
        <w:t xml:space="preserve">（3）风险费用的计算方法：投标人已在投标报价中自行报价，中标后除工程量调整外不再调整。 </w:t>
      </w:r>
    </w:p>
    <w:p w14:paraId="2D2A6156">
      <w:pPr>
        <w:pStyle w:val="13"/>
        <w:spacing w:line="360" w:lineRule="auto"/>
        <w:ind w:firstLine="645"/>
        <w:jc w:val="left"/>
        <w:rPr>
          <w:rStyle w:val="8"/>
          <w:rFonts w:hint="eastAsia" w:ascii="宋体" w:hAnsi="宋体"/>
          <w:color w:val="auto"/>
          <w:kern w:val="2"/>
          <w:sz w:val="22"/>
          <w:szCs w:val="22"/>
          <w:highlight w:val="none"/>
          <w:u w:val="single"/>
        </w:rPr>
      </w:pPr>
      <w:r>
        <w:rPr>
          <w:rStyle w:val="8"/>
          <w:rFonts w:hint="eastAsia" w:ascii="宋体" w:hAnsi="宋体"/>
          <w:color w:val="auto"/>
          <w:kern w:val="2"/>
          <w:sz w:val="22"/>
          <w:szCs w:val="22"/>
          <w:highlight w:val="none"/>
          <w:u w:val="single"/>
        </w:rPr>
        <w:t>（4）</w:t>
      </w:r>
      <w:r>
        <w:rPr>
          <w:rStyle w:val="8"/>
          <w:rFonts w:ascii="宋体" w:hAnsi="宋体"/>
          <w:color w:val="auto"/>
          <w:kern w:val="2"/>
          <w:sz w:val="22"/>
          <w:szCs w:val="22"/>
          <w:highlight w:val="none"/>
          <w:u w:val="single"/>
        </w:rPr>
        <w:t>风险范围以外的合同价格的调整方法</w:t>
      </w:r>
      <w:r>
        <w:rPr>
          <w:rStyle w:val="8"/>
          <w:rFonts w:hint="eastAsia" w:ascii="宋体" w:hAnsi="宋体"/>
          <w:color w:val="auto"/>
          <w:kern w:val="2"/>
          <w:sz w:val="22"/>
          <w:szCs w:val="22"/>
          <w:highlight w:val="none"/>
          <w:u w:val="single"/>
        </w:rPr>
        <w:t>：</w:t>
      </w:r>
      <w:r>
        <w:rPr>
          <w:rStyle w:val="8"/>
          <w:rFonts w:ascii="宋体" w:hAnsi="宋体"/>
          <w:color w:val="auto"/>
          <w:kern w:val="2"/>
          <w:sz w:val="22"/>
          <w:szCs w:val="22"/>
          <w:highlight w:val="none"/>
          <w:u w:val="single"/>
        </w:rPr>
        <w:t>因市场价格波动引起的调整按第11.1款</w:t>
      </w:r>
      <w:r>
        <w:rPr>
          <w:rStyle w:val="8"/>
          <w:rFonts w:hint="eastAsia" w:ascii="宋体" w:hAnsi="宋体"/>
          <w:color w:val="auto"/>
          <w:kern w:val="2"/>
          <w:sz w:val="22"/>
          <w:szCs w:val="22"/>
          <w:highlight w:val="none"/>
          <w:u w:val="single"/>
        </w:rPr>
        <w:t>〔</w:t>
      </w:r>
      <w:r>
        <w:rPr>
          <w:rStyle w:val="8"/>
          <w:rFonts w:ascii="宋体" w:hAnsi="宋体"/>
          <w:color w:val="auto"/>
          <w:kern w:val="2"/>
          <w:sz w:val="22"/>
          <w:szCs w:val="22"/>
          <w:highlight w:val="none"/>
          <w:u w:val="single"/>
        </w:rPr>
        <w:t>市场价格波动引起的调整</w:t>
      </w:r>
      <w:r>
        <w:rPr>
          <w:rStyle w:val="8"/>
          <w:rFonts w:hint="eastAsia" w:ascii="宋体" w:hAnsi="宋体"/>
          <w:color w:val="auto"/>
          <w:kern w:val="2"/>
          <w:sz w:val="22"/>
          <w:szCs w:val="22"/>
          <w:highlight w:val="none"/>
          <w:u w:val="single"/>
        </w:rPr>
        <w:t>〕</w:t>
      </w:r>
      <w:r>
        <w:rPr>
          <w:rStyle w:val="8"/>
          <w:rFonts w:ascii="宋体" w:hAnsi="宋体"/>
          <w:color w:val="auto"/>
          <w:kern w:val="2"/>
          <w:sz w:val="22"/>
          <w:szCs w:val="22"/>
          <w:highlight w:val="none"/>
          <w:u w:val="single"/>
        </w:rPr>
        <w:t>约定执行。</w:t>
      </w:r>
    </w:p>
    <w:p w14:paraId="5F50A787">
      <w:pPr>
        <w:pStyle w:val="13"/>
        <w:spacing w:line="360" w:lineRule="auto"/>
        <w:ind w:firstLine="440" w:firstLineChars="200"/>
        <w:jc w:val="left"/>
        <w:rPr>
          <w:rStyle w:val="8"/>
          <w:rFonts w:ascii="宋体" w:hAnsi="宋体"/>
          <w:color w:val="auto"/>
          <w:kern w:val="2"/>
          <w:sz w:val="22"/>
          <w:szCs w:val="22"/>
          <w:highlight w:val="none"/>
        </w:rPr>
      </w:pPr>
      <w:r>
        <w:rPr>
          <w:rStyle w:val="8"/>
          <w:rFonts w:ascii="宋体" w:hAnsi="宋体"/>
          <w:color w:val="auto"/>
          <w:kern w:val="2"/>
          <w:sz w:val="22"/>
          <w:szCs w:val="22"/>
          <w:highlight w:val="none"/>
        </w:rPr>
        <w:t>2、总价合同。</w:t>
      </w:r>
    </w:p>
    <w:p w14:paraId="20A68009">
      <w:pPr>
        <w:pStyle w:val="13"/>
        <w:spacing w:line="360" w:lineRule="auto"/>
        <w:ind w:firstLine="440" w:firstLineChars="200"/>
        <w:jc w:val="left"/>
        <w:rPr>
          <w:rStyle w:val="8"/>
          <w:rFonts w:ascii="宋体" w:hAnsi="宋体"/>
          <w:color w:val="auto"/>
          <w:kern w:val="2"/>
          <w:sz w:val="22"/>
          <w:szCs w:val="22"/>
          <w:highlight w:val="none"/>
          <w:u w:val="single"/>
        </w:rPr>
      </w:pPr>
      <w:r>
        <w:rPr>
          <w:rStyle w:val="8"/>
          <w:rFonts w:ascii="宋体" w:hAnsi="宋体"/>
          <w:color w:val="auto"/>
          <w:kern w:val="2"/>
          <w:sz w:val="22"/>
          <w:szCs w:val="22"/>
          <w:highlight w:val="none"/>
        </w:rPr>
        <w:t>总价包含的风险范围：</w:t>
      </w:r>
      <w:r>
        <w:rPr>
          <w:rStyle w:val="8"/>
          <w:rFonts w:ascii="宋体" w:hAnsi="宋体"/>
          <w:color w:val="auto"/>
          <w:kern w:val="2"/>
          <w:sz w:val="22"/>
          <w:szCs w:val="22"/>
          <w:highlight w:val="none"/>
          <w:u w:val="single"/>
        </w:rPr>
        <w:t xml:space="preserve">      </w:t>
      </w:r>
      <w:r>
        <w:rPr>
          <w:rStyle w:val="8"/>
          <w:rFonts w:hint="eastAsia" w:ascii="宋体" w:hAnsi="宋体"/>
          <w:color w:val="auto"/>
          <w:kern w:val="2"/>
          <w:sz w:val="22"/>
          <w:szCs w:val="22"/>
          <w:highlight w:val="none"/>
          <w:u w:val="single"/>
        </w:rPr>
        <w:t>/</w:t>
      </w:r>
      <w:r>
        <w:rPr>
          <w:rStyle w:val="8"/>
          <w:rFonts w:ascii="宋体" w:hAnsi="宋体"/>
          <w:color w:val="auto"/>
          <w:kern w:val="2"/>
          <w:sz w:val="22"/>
          <w:szCs w:val="22"/>
          <w:highlight w:val="none"/>
          <w:u w:val="single"/>
        </w:rPr>
        <w:t xml:space="preserve">                             </w:t>
      </w:r>
    </w:p>
    <w:p w14:paraId="1670C397">
      <w:pPr>
        <w:pStyle w:val="13"/>
        <w:spacing w:line="360" w:lineRule="auto"/>
        <w:ind w:firstLine="440" w:firstLineChars="200"/>
        <w:jc w:val="left"/>
        <w:rPr>
          <w:rStyle w:val="8"/>
          <w:rFonts w:ascii="宋体" w:hAnsi="宋体"/>
          <w:color w:val="auto"/>
          <w:kern w:val="2"/>
          <w:sz w:val="22"/>
          <w:szCs w:val="22"/>
          <w:highlight w:val="none"/>
          <w:u w:val="single"/>
        </w:rPr>
      </w:pPr>
      <w:r>
        <w:rPr>
          <w:rStyle w:val="8"/>
          <w:rFonts w:ascii="宋体" w:hAnsi="宋体"/>
          <w:color w:val="auto"/>
          <w:kern w:val="2"/>
          <w:sz w:val="22"/>
          <w:szCs w:val="22"/>
          <w:highlight w:val="none"/>
        </w:rPr>
        <w:t>风险费用的计算方法：</w:t>
      </w:r>
      <w:r>
        <w:rPr>
          <w:rStyle w:val="8"/>
          <w:rFonts w:ascii="宋体" w:hAnsi="宋体"/>
          <w:color w:val="auto"/>
          <w:kern w:val="2"/>
          <w:sz w:val="22"/>
          <w:szCs w:val="22"/>
          <w:highlight w:val="none"/>
          <w:u w:val="single"/>
        </w:rPr>
        <w:t xml:space="preserve">        </w:t>
      </w:r>
      <w:r>
        <w:rPr>
          <w:rStyle w:val="8"/>
          <w:rFonts w:hint="eastAsia" w:ascii="宋体" w:hAnsi="宋体"/>
          <w:color w:val="auto"/>
          <w:kern w:val="2"/>
          <w:sz w:val="22"/>
          <w:szCs w:val="22"/>
          <w:highlight w:val="none"/>
          <w:u w:val="single"/>
        </w:rPr>
        <w:t>/</w:t>
      </w:r>
      <w:r>
        <w:rPr>
          <w:rStyle w:val="8"/>
          <w:rFonts w:ascii="宋体" w:hAnsi="宋体"/>
          <w:color w:val="auto"/>
          <w:kern w:val="2"/>
          <w:sz w:val="22"/>
          <w:szCs w:val="22"/>
          <w:highlight w:val="none"/>
          <w:u w:val="single"/>
        </w:rPr>
        <w:t xml:space="preserve">              </w:t>
      </w:r>
      <w:r>
        <w:rPr>
          <w:rStyle w:val="8"/>
          <w:rFonts w:hint="eastAsia" w:ascii="宋体" w:hAnsi="宋体"/>
          <w:color w:val="auto"/>
          <w:kern w:val="2"/>
          <w:sz w:val="22"/>
          <w:szCs w:val="22"/>
          <w:highlight w:val="none"/>
          <w:u w:val="single"/>
        </w:rPr>
        <w:t xml:space="preserve">     </w:t>
      </w:r>
      <w:r>
        <w:rPr>
          <w:rStyle w:val="8"/>
          <w:rFonts w:ascii="宋体" w:hAnsi="宋体"/>
          <w:color w:val="auto"/>
          <w:kern w:val="2"/>
          <w:sz w:val="22"/>
          <w:szCs w:val="22"/>
          <w:highlight w:val="none"/>
          <w:u w:val="single"/>
        </w:rPr>
        <w:t xml:space="preserve">        </w:t>
      </w:r>
    </w:p>
    <w:p w14:paraId="2CA70659">
      <w:pPr>
        <w:pStyle w:val="13"/>
        <w:spacing w:line="360" w:lineRule="auto"/>
        <w:ind w:firstLine="440" w:firstLineChars="200"/>
        <w:jc w:val="left"/>
        <w:rPr>
          <w:rStyle w:val="8"/>
          <w:rFonts w:ascii="宋体" w:hAnsi="宋体"/>
          <w:color w:val="auto"/>
          <w:kern w:val="2"/>
          <w:sz w:val="22"/>
          <w:szCs w:val="22"/>
          <w:highlight w:val="none"/>
        </w:rPr>
      </w:pPr>
      <w:r>
        <w:rPr>
          <w:rStyle w:val="8"/>
          <w:rFonts w:ascii="宋体" w:hAnsi="宋体"/>
          <w:color w:val="auto"/>
          <w:kern w:val="2"/>
          <w:sz w:val="22"/>
          <w:szCs w:val="22"/>
          <w:highlight w:val="none"/>
        </w:rPr>
        <w:t>风险范围以外合同价格的调整方法：</w:t>
      </w:r>
      <w:r>
        <w:rPr>
          <w:rStyle w:val="8"/>
          <w:rFonts w:ascii="宋体" w:hAnsi="宋体"/>
          <w:color w:val="auto"/>
          <w:kern w:val="2"/>
          <w:sz w:val="22"/>
          <w:szCs w:val="22"/>
          <w:highlight w:val="none"/>
          <w:u w:val="single"/>
        </w:rPr>
        <w:t xml:space="preserve">                      </w:t>
      </w:r>
      <w:r>
        <w:rPr>
          <w:rStyle w:val="8"/>
          <w:rFonts w:ascii="宋体" w:hAnsi="宋体"/>
          <w:color w:val="auto"/>
          <w:kern w:val="2"/>
          <w:sz w:val="22"/>
          <w:szCs w:val="22"/>
          <w:highlight w:val="none"/>
        </w:rPr>
        <w:t xml:space="preserve">        </w:t>
      </w:r>
    </w:p>
    <w:p w14:paraId="29C65062">
      <w:pPr>
        <w:pStyle w:val="13"/>
        <w:spacing w:line="360" w:lineRule="auto"/>
        <w:jc w:val="left"/>
        <w:rPr>
          <w:rStyle w:val="8"/>
          <w:rFonts w:ascii="宋体" w:hAnsi="宋体"/>
          <w:color w:val="auto"/>
          <w:kern w:val="2"/>
          <w:sz w:val="22"/>
          <w:szCs w:val="22"/>
          <w:highlight w:val="none"/>
        </w:rPr>
      </w:pPr>
      <w:r>
        <w:rPr>
          <w:rStyle w:val="8"/>
          <w:rFonts w:ascii="宋体" w:hAnsi="宋体"/>
          <w:color w:val="auto"/>
          <w:kern w:val="2"/>
          <w:sz w:val="22"/>
          <w:szCs w:val="22"/>
          <w:highlight w:val="none"/>
          <w:u w:val="single"/>
        </w:rPr>
        <w:t xml:space="preserve">                                         </w:t>
      </w:r>
      <w:r>
        <w:rPr>
          <w:rStyle w:val="8"/>
          <w:rFonts w:hint="eastAsia" w:ascii="宋体" w:hAnsi="宋体"/>
          <w:color w:val="auto"/>
          <w:kern w:val="2"/>
          <w:sz w:val="22"/>
          <w:szCs w:val="22"/>
          <w:highlight w:val="none"/>
          <w:u w:val="single"/>
        </w:rPr>
        <w:t xml:space="preserve">            </w:t>
      </w:r>
      <w:r>
        <w:rPr>
          <w:rStyle w:val="8"/>
          <w:rFonts w:ascii="宋体" w:hAnsi="宋体"/>
          <w:color w:val="auto"/>
          <w:kern w:val="2"/>
          <w:sz w:val="22"/>
          <w:szCs w:val="22"/>
          <w:highlight w:val="none"/>
          <w:u w:val="single"/>
        </w:rPr>
        <w:t xml:space="preserve">    </w:t>
      </w:r>
      <w:r>
        <w:rPr>
          <w:rStyle w:val="8"/>
          <w:rFonts w:ascii="宋体" w:hAnsi="宋体"/>
          <w:color w:val="auto"/>
          <w:kern w:val="2"/>
          <w:sz w:val="22"/>
          <w:szCs w:val="22"/>
          <w:highlight w:val="none"/>
        </w:rPr>
        <w:t>。</w:t>
      </w:r>
    </w:p>
    <w:p w14:paraId="5BC4429A">
      <w:pPr>
        <w:pStyle w:val="13"/>
        <w:spacing w:line="360" w:lineRule="auto"/>
        <w:ind w:firstLine="440" w:firstLineChars="200"/>
        <w:jc w:val="left"/>
        <w:rPr>
          <w:rStyle w:val="8"/>
          <w:rFonts w:ascii="宋体" w:hAnsi="宋体"/>
          <w:color w:val="auto"/>
          <w:kern w:val="2"/>
          <w:sz w:val="22"/>
          <w:szCs w:val="22"/>
          <w:highlight w:val="none"/>
          <w:u w:val="single"/>
        </w:rPr>
      </w:pPr>
      <w:r>
        <w:rPr>
          <w:rStyle w:val="8"/>
          <w:rFonts w:ascii="宋体" w:hAnsi="宋体"/>
          <w:color w:val="auto"/>
          <w:kern w:val="2"/>
          <w:sz w:val="22"/>
          <w:szCs w:val="22"/>
          <w:highlight w:val="none"/>
        </w:rPr>
        <w:t>3、其他价格方式：</w:t>
      </w:r>
      <w:r>
        <w:rPr>
          <w:rStyle w:val="8"/>
          <w:rFonts w:ascii="宋体" w:hAnsi="宋体"/>
          <w:color w:val="auto"/>
          <w:kern w:val="2"/>
          <w:sz w:val="22"/>
          <w:szCs w:val="22"/>
          <w:highlight w:val="none"/>
          <w:u w:val="single"/>
        </w:rPr>
        <w:t xml:space="preserve">                                     </w:t>
      </w:r>
    </w:p>
    <w:p w14:paraId="17BDD12B">
      <w:pPr>
        <w:pStyle w:val="13"/>
        <w:spacing w:line="360" w:lineRule="auto"/>
        <w:jc w:val="left"/>
        <w:rPr>
          <w:rStyle w:val="8"/>
          <w:rFonts w:ascii="宋体" w:hAnsi="宋体"/>
          <w:color w:val="auto"/>
          <w:kern w:val="2"/>
          <w:sz w:val="22"/>
          <w:szCs w:val="22"/>
          <w:highlight w:val="none"/>
        </w:rPr>
      </w:pPr>
      <w:r>
        <w:rPr>
          <w:rStyle w:val="8"/>
          <w:rFonts w:ascii="宋体" w:hAnsi="宋体"/>
          <w:color w:val="auto"/>
          <w:kern w:val="2"/>
          <w:sz w:val="22"/>
          <w:szCs w:val="22"/>
          <w:highlight w:val="none"/>
          <w:u w:val="single"/>
        </w:rPr>
        <w:t xml:space="preserve">                                               </w:t>
      </w:r>
      <w:r>
        <w:rPr>
          <w:rStyle w:val="8"/>
          <w:rFonts w:hint="eastAsia" w:ascii="宋体" w:hAnsi="宋体"/>
          <w:color w:val="auto"/>
          <w:kern w:val="2"/>
          <w:sz w:val="22"/>
          <w:szCs w:val="22"/>
          <w:highlight w:val="none"/>
          <w:u w:val="single"/>
        </w:rPr>
        <w:t xml:space="preserve">            </w:t>
      </w:r>
      <w:r>
        <w:rPr>
          <w:rStyle w:val="8"/>
          <w:rFonts w:ascii="宋体" w:hAnsi="宋体"/>
          <w:color w:val="auto"/>
          <w:kern w:val="2"/>
          <w:sz w:val="22"/>
          <w:szCs w:val="22"/>
          <w:highlight w:val="none"/>
          <w:u w:val="single"/>
        </w:rPr>
        <w:t xml:space="preserve">    </w:t>
      </w:r>
      <w:r>
        <w:rPr>
          <w:rStyle w:val="8"/>
          <w:rFonts w:hint="eastAsia" w:ascii="宋体" w:hAnsi="宋体"/>
          <w:color w:val="auto"/>
          <w:kern w:val="2"/>
          <w:sz w:val="22"/>
          <w:szCs w:val="22"/>
          <w:highlight w:val="none"/>
          <w:u w:val="single"/>
        </w:rPr>
        <w:t xml:space="preserve">                                                 </w:t>
      </w:r>
      <w:r>
        <w:rPr>
          <w:rStyle w:val="8"/>
          <w:rFonts w:ascii="宋体" w:hAnsi="宋体"/>
          <w:color w:val="auto"/>
          <w:kern w:val="2"/>
          <w:sz w:val="22"/>
          <w:szCs w:val="22"/>
          <w:highlight w:val="none"/>
          <w:u w:val="single"/>
        </w:rPr>
        <w:t xml:space="preserve">   </w:t>
      </w:r>
      <w:r>
        <w:rPr>
          <w:rStyle w:val="8"/>
          <w:rFonts w:ascii="宋体" w:hAnsi="宋体"/>
          <w:color w:val="auto"/>
          <w:kern w:val="2"/>
          <w:sz w:val="22"/>
          <w:szCs w:val="22"/>
          <w:highlight w:val="none"/>
        </w:rPr>
        <w:t>。</w:t>
      </w:r>
    </w:p>
    <w:p w14:paraId="2C9E4842">
      <w:pPr>
        <w:pStyle w:val="13"/>
        <w:spacing w:after="120" w:line="360" w:lineRule="auto"/>
        <w:ind w:firstLine="440" w:firstLineChars="200"/>
        <w:rPr>
          <w:rStyle w:val="8"/>
          <w:rFonts w:ascii="宋体" w:hAnsi="宋体"/>
          <w:color w:val="auto"/>
          <w:kern w:val="2"/>
          <w:sz w:val="22"/>
          <w:szCs w:val="22"/>
          <w:highlight w:val="none"/>
        </w:rPr>
      </w:pPr>
      <w:bookmarkStart w:id="925" w:name="_Toc312678042"/>
      <w:bookmarkStart w:id="926" w:name="_Toc297216213"/>
      <w:bookmarkStart w:id="927" w:name="_Toc300935004"/>
      <w:bookmarkStart w:id="928" w:name="_Toc303539161"/>
      <w:bookmarkStart w:id="929" w:name="_Toc297123554"/>
      <w:bookmarkStart w:id="930" w:name="_Toc304295581"/>
      <w:bookmarkStart w:id="931" w:name="_Toc296347206"/>
      <w:bookmarkStart w:id="932" w:name="_Toc292559412"/>
      <w:bookmarkStart w:id="933" w:name="_Toc296503207"/>
      <w:bookmarkStart w:id="934" w:name="_Toc292559917"/>
      <w:bookmarkStart w:id="935" w:name="_Toc297048393"/>
      <w:bookmarkStart w:id="936" w:name="_Toc297120507"/>
      <w:bookmarkStart w:id="937" w:name="_Toc296891247"/>
      <w:bookmarkStart w:id="938" w:name="_Toc296944546"/>
      <w:bookmarkStart w:id="939" w:name="_Toc296346708"/>
      <w:bookmarkStart w:id="940" w:name="_Toc296891035"/>
      <w:r>
        <w:rPr>
          <w:rStyle w:val="8"/>
          <w:rFonts w:ascii="宋体" w:hAnsi="宋体"/>
          <w:color w:val="auto"/>
          <w:kern w:val="2"/>
          <w:sz w:val="22"/>
          <w:szCs w:val="22"/>
          <w:highlight w:val="none"/>
        </w:rPr>
        <w:t>12.2 预付款</w:t>
      </w:r>
    </w:p>
    <w:bookmarkEnd w:id="925"/>
    <w:bookmarkEnd w:id="926"/>
    <w:bookmarkEnd w:id="927"/>
    <w:bookmarkEnd w:id="928"/>
    <w:bookmarkEnd w:id="929"/>
    <w:bookmarkEnd w:id="930"/>
    <w:p w14:paraId="03E303E2">
      <w:pPr>
        <w:pStyle w:val="13"/>
        <w:spacing w:line="360" w:lineRule="auto"/>
        <w:ind w:firstLine="440" w:firstLineChars="200"/>
        <w:jc w:val="left"/>
        <w:rPr>
          <w:rStyle w:val="8"/>
          <w:rFonts w:ascii="宋体" w:hAnsi="宋体"/>
          <w:color w:val="auto"/>
          <w:kern w:val="2"/>
          <w:sz w:val="22"/>
          <w:szCs w:val="22"/>
          <w:highlight w:val="none"/>
        </w:rPr>
      </w:pPr>
      <w:r>
        <w:rPr>
          <w:rStyle w:val="8"/>
          <w:rFonts w:ascii="宋体" w:hAnsi="宋体"/>
          <w:color w:val="auto"/>
          <w:kern w:val="2"/>
          <w:sz w:val="22"/>
          <w:szCs w:val="22"/>
          <w:highlight w:val="none"/>
        </w:rPr>
        <w:t>12.2.1 预付款的支付</w:t>
      </w:r>
    </w:p>
    <w:p w14:paraId="70A5B6CA">
      <w:pPr>
        <w:pStyle w:val="13"/>
        <w:spacing w:line="360" w:lineRule="auto"/>
        <w:ind w:firstLine="440" w:firstLineChars="200"/>
        <w:jc w:val="left"/>
        <w:rPr>
          <w:rStyle w:val="8"/>
          <w:rFonts w:ascii="宋体" w:hAnsi="宋体"/>
          <w:color w:val="auto"/>
          <w:kern w:val="2"/>
          <w:sz w:val="22"/>
          <w:szCs w:val="22"/>
          <w:highlight w:val="none"/>
        </w:rPr>
      </w:pPr>
      <w:r>
        <w:rPr>
          <w:rStyle w:val="8"/>
          <w:rFonts w:ascii="宋体" w:hAnsi="宋体"/>
          <w:color w:val="auto"/>
          <w:kern w:val="2"/>
          <w:sz w:val="22"/>
          <w:szCs w:val="22"/>
          <w:highlight w:val="none"/>
        </w:rPr>
        <w:t>预付款支付比例或金额：</w:t>
      </w:r>
      <w:r>
        <w:rPr>
          <w:rStyle w:val="8"/>
          <w:rFonts w:ascii="宋体" w:hAnsi="宋体"/>
          <w:color w:val="auto"/>
          <w:kern w:val="2"/>
          <w:sz w:val="22"/>
          <w:szCs w:val="22"/>
          <w:highlight w:val="none"/>
          <w:u w:val="single"/>
        </w:rPr>
        <w:t xml:space="preserve">      </w:t>
      </w:r>
      <w:r>
        <w:rPr>
          <w:rStyle w:val="8"/>
          <w:rFonts w:hint="eastAsia" w:ascii="宋体" w:hAnsi="宋体"/>
          <w:color w:val="auto"/>
          <w:kern w:val="2"/>
          <w:sz w:val="22"/>
          <w:szCs w:val="22"/>
          <w:highlight w:val="none"/>
          <w:u w:val="single"/>
        </w:rPr>
        <w:t xml:space="preserve">/  </w:t>
      </w:r>
      <w:r>
        <w:rPr>
          <w:rStyle w:val="8"/>
          <w:rFonts w:ascii="宋体" w:hAnsi="宋体"/>
          <w:color w:val="auto"/>
          <w:kern w:val="2"/>
          <w:sz w:val="22"/>
          <w:szCs w:val="22"/>
          <w:highlight w:val="none"/>
          <w:u w:val="single"/>
        </w:rPr>
        <w:t xml:space="preserve">        </w:t>
      </w:r>
      <w:r>
        <w:rPr>
          <w:rStyle w:val="8"/>
          <w:rFonts w:hint="eastAsia" w:ascii="宋体" w:hAnsi="宋体"/>
          <w:color w:val="auto"/>
          <w:kern w:val="2"/>
          <w:sz w:val="22"/>
          <w:szCs w:val="22"/>
          <w:highlight w:val="none"/>
          <w:u w:val="single"/>
        </w:rPr>
        <w:t xml:space="preserve">          </w:t>
      </w:r>
      <w:r>
        <w:rPr>
          <w:rStyle w:val="8"/>
          <w:rFonts w:ascii="宋体" w:hAnsi="宋体"/>
          <w:color w:val="auto"/>
          <w:kern w:val="2"/>
          <w:sz w:val="22"/>
          <w:szCs w:val="22"/>
          <w:highlight w:val="none"/>
          <w:u w:val="single"/>
        </w:rPr>
        <w:t xml:space="preserve">       </w:t>
      </w:r>
      <w:r>
        <w:rPr>
          <w:rStyle w:val="8"/>
          <w:rFonts w:ascii="宋体" w:hAnsi="宋体"/>
          <w:color w:val="auto"/>
          <w:kern w:val="2"/>
          <w:sz w:val="22"/>
          <w:szCs w:val="22"/>
          <w:highlight w:val="none"/>
        </w:rPr>
        <w:t>。</w:t>
      </w:r>
    </w:p>
    <w:p w14:paraId="01043C2E">
      <w:pPr>
        <w:pStyle w:val="13"/>
        <w:spacing w:line="360" w:lineRule="auto"/>
        <w:ind w:firstLine="440" w:firstLineChars="200"/>
        <w:jc w:val="left"/>
        <w:rPr>
          <w:rStyle w:val="8"/>
          <w:rFonts w:ascii="宋体" w:hAnsi="宋体"/>
          <w:color w:val="auto"/>
          <w:kern w:val="2"/>
          <w:sz w:val="22"/>
          <w:szCs w:val="22"/>
          <w:highlight w:val="none"/>
        </w:rPr>
      </w:pPr>
      <w:r>
        <w:rPr>
          <w:rStyle w:val="8"/>
          <w:rFonts w:ascii="宋体" w:hAnsi="宋体"/>
          <w:color w:val="auto"/>
          <w:kern w:val="2"/>
          <w:sz w:val="22"/>
          <w:szCs w:val="22"/>
          <w:highlight w:val="none"/>
        </w:rPr>
        <w:t>预付款支付期限：</w:t>
      </w:r>
      <w:r>
        <w:rPr>
          <w:rStyle w:val="8"/>
          <w:rFonts w:ascii="宋体" w:hAnsi="宋体"/>
          <w:color w:val="auto"/>
          <w:kern w:val="2"/>
          <w:sz w:val="22"/>
          <w:szCs w:val="22"/>
          <w:highlight w:val="none"/>
          <w:u w:val="single"/>
        </w:rPr>
        <w:t xml:space="preserve">                    </w:t>
      </w:r>
      <w:r>
        <w:rPr>
          <w:rStyle w:val="8"/>
          <w:rFonts w:hint="eastAsia" w:ascii="宋体" w:hAnsi="宋体"/>
          <w:color w:val="auto"/>
          <w:kern w:val="2"/>
          <w:sz w:val="22"/>
          <w:szCs w:val="22"/>
          <w:highlight w:val="none"/>
          <w:u w:val="single"/>
        </w:rPr>
        <w:t xml:space="preserve">          </w:t>
      </w:r>
      <w:r>
        <w:rPr>
          <w:rStyle w:val="8"/>
          <w:rFonts w:ascii="宋体" w:hAnsi="宋体"/>
          <w:color w:val="auto"/>
          <w:kern w:val="2"/>
          <w:sz w:val="22"/>
          <w:szCs w:val="22"/>
          <w:highlight w:val="none"/>
          <w:u w:val="single"/>
        </w:rPr>
        <w:t xml:space="preserve">        </w:t>
      </w:r>
      <w:r>
        <w:rPr>
          <w:rStyle w:val="8"/>
          <w:rFonts w:ascii="宋体" w:hAnsi="宋体"/>
          <w:color w:val="auto"/>
          <w:kern w:val="2"/>
          <w:sz w:val="22"/>
          <w:szCs w:val="22"/>
          <w:highlight w:val="none"/>
        </w:rPr>
        <w:t>。</w:t>
      </w:r>
    </w:p>
    <w:p w14:paraId="038523BE">
      <w:pPr>
        <w:pStyle w:val="13"/>
        <w:spacing w:line="360" w:lineRule="auto"/>
        <w:ind w:firstLine="440" w:firstLineChars="200"/>
        <w:jc w:val="left"/>
        <w:rPr>
          <w:rStyle w:val="8"/>
          <w:rFonts w:ascii="宋体" w:hAnsi="宋体"/>
          <w:color w:val="auto"/>
          <w:kern w:val="2"/>
          <w:sz w:val="22"/>
          <w:szCs w:val="22"/>
          <w:highlight w:val="none"/>
        </w:rPr>
      </w:pPr>
      <w:r>
        <w:rPr>
          <w:rStyle w:val="8"/>
          <w:rFonts w:ascii="宋体" w:hAnsi="宋体"/>
          <w:color w:val="auto"/>
          <w:kern w:val="2"/>
          <w:sz w:val="22"/>
          <w:szCs w:val="22"/>
          <w:highlight w:val="none"/>
        </w:rPr>
        <w:t>预付款扣回的方式：</w:t>
      </w:r>
      <w:r>
        <w:rPr>
          <w:rStyle w:val="8"/>
          <w:rFonts w:ascii="宋体" w:hAnsi="宋体"/>
          <w:color w:val="auto"/>
          <w:kern w:val="2"/>
          <w:sz w:val="22"/>
          <w:szCs w:val="22"/>
          <w:highlight w:val="none"/>
          <w:u w:val="single"/>
        </w:rPr>
        <w:t xml:space="preserve">                    </w:t>
      </w:r>
      <w:r>
        <w:rPr>
          <w:rStyle w:val="8"/>
          <w:rFonts w:hint="eastAsia" w:ascii="宋体" w:hAnsi="宋体"/>
          <w:color w:val="auto"/>
          <w:kern w:val="2"/>
          <w:sz w:val="22"/>
          <w:szCs w:val="22"/>
          <w:highlight w:val="none"/>
          <w:u w:val="single"/>
        </w:rPr>
        <w:t xml:space="preserve">          </w:t>
      </w:r>
      <w:r>
        <w:rPr>
          <w:rStyle w:val="8"/>
          <w:rFonts w:ascii="宋体" w:hAnsi="宋体"/>
          <w:color w:val="auto"/>
          <w:kern w:val="2"/>
          <w:sz w:val="22"/>
          <w:szCs w:val="22"/>
          <w:highlight w:val="none"/>
          <w:u w:val="single"/>
        </w:rPr>
        <w:t xml:space="preserve">      </w:t>
      </w:r>
      <w:r>
        <w:rPr>
          <w:rStyle w:val="8"/>
          <w:rFonts w:ascii="宋体" w:hAnsi="宋体"/>
          <w:color w:val="auto"/>
          <w:kern w:val="2"/>
          <w:sz w:val="22"/>
          <w:szCs w:val="22"/>
          <w:highlight w:val="none"/>
        </w:rPr>
        <w:t>。</w:t>
      </w:r>
    </w:p>
    <w:p w14:paraId="02EF5403">
      <w:pPr>
        <w:pStyle w:val="13"/>
        <w:spacing w:line="360" w:lineRule="auto"/>
        <w:ind w:firstLine="440" w:firstLineChars="200"/>
        <w:jc w:val="left"/>
        <w:rPr>
          <w:rStyle w:val="8"/>
          <w:rFonts w:ascii="宋体" w:hAnsi="宋体"/>
          <w:color w:val="auto"/>
          <w:kern w:val="2"/>
          <w:sz w:val="22"/>
          <w:szCs w:val="22"/>
          <w:highlight w:val="none"/>
        </w:rPr>
      </w:pPr>
      <w:r>
        <w:rPr>
          <w:rStyle w:val="8"/>
          <w:rFonts w:ascii="宋体" w:hAnsi="宋体"/>
          <w:color w:val="auto"/>
          <w:kern w:val="2"/>
          <w:sz w:val="22"/>
          <w:szCs w:val="22"/>
          <w:highlight w:val="none"/>
        </w:rPr>
        <w:t>12.2.2 预付款担保</w:t>
      </w:r>
    </w:p>
    <w:p w14:paraId="3B51467E">
      <w:pPr>
        <w:pStyle w:val="13"/>
        <w:spacing w:line="360" w:lineRule="auto"/>
        <w:ind w:firstLine="440" w:firstLineChars="200"/>
        <w:jc w:val="left"/>
        <w:rPr>
          <w:rStyle w:val="8"/>
          <w:rFonts w:ascii="宋体" w:hAnsi="宋体"/>
          <w:color w:val="auto"/>
          <w:kern w:val="2"/>
          <w:sz w:val="22"/>
          <w:szCs w:val="22"/>
          <w:highlight w:val="none"/>
        </w:rPr>
      </w:pPr>
      <w:r>
        <w:rPr>
          <w:rStyle w:val="8"/>
          <w:rFonts w:ascii="宋体" w:hAnsi="宋体"/>
          <w:color w:val="auto"/>
          <w:kern w:val="2"/>
          <w:sz w:val="22"/>
          <w:szCs w:val="22"/>
          <w:highlight w:val="none"/>
        </w:rPr>
        <w:t>承包人提交预付款担保的期限：</w:t>
      </w:r>
      <w:r>
        <w:rPr>
          <w:rStyle w:val="8"/>
          <w:rFonts w:ascii="宋体" w:hAnsi="宋体"/>
          <w:color w:val="auto"/>
          <w:kern w:val="2"/>
          <w:sz w:val="22"/>
          <w:szCs w:val="22"/>
          <w:highlight w:val="none"/>
          <w:u w:val="single"/>
        </w:rPr>
        <w:t xml:space="preserve">          </w:t>
      </w:r>
      <w:r>
        <w:rPr>
          <w:rStyle w:val="8"/>
          <w:rFonts w:hint="eastAsia" w:ascii="宋体" w:hAnsi="宋体"/>
          <w:color w:val="auto"/>
          <w:kern w:val="2"/>
          <w:sz w:val="22"/>
          <w:szCs w:val="22"/>
          <w:highlight w:val="none"/>
          <w:u w:val="single"/>
        </w:rPr>
        <w:t xml:space="preserve">          </w:t>
      </w:r>
      <w:r>
        <w:rPr>
          <w:rStyle w:val="8"/>
          <w:rFonts w:ascii="宋体" w:hAnsi="宋体"/>
          <w:color w:val="auto"/>
          <w:kern w:val="2"/>
          <w:sz w:val="22"/>
          <w:szCs w:val="22"/>
          <w:highlight w:val="none"/>
          <w:u w:val="single"/>
        </w:rPr>
        <w:t xml:space="preserve">      </w:t>
      </w:r>
      <w:r>
        <w:rPr>
          <w:rStyle w:val="8"/>
          <w:rFonts w:ascii="宋体" w:hAnsi="宋体"/>
          <w:color w:val="auto"/>
          <w:kern w:val="2"/>
          <w:sz w:val="22"/>
          <w:szCs w:val="22"/>
          <w:highlight w:val="none"/>
        </w:rPr>
        <w:t>。</w:t>
      </w:r>
    </w:p>
    <w:p w14:paraId="2E9F8F66">
      <w:pPr>
        <w:pStyle w:val="13"/>
        <w:spacing w:line="360" w:lineRule="auto"/>
        <w:ind w:firstLine="440" w:firstLineChars="200"/>
        <w:jc w:val="left"/>
        <w:rPr>
          <w:rStyle w:val="8"/>
          <w:rFonts w:ascii="宋体" w:hAnsi="宋体"/>
          <w:color w:val="auto"/>
          <w:kern w:val="2"/>
          <w:sz w:val="22"/>
          <w:szCs w:val="22"/>
          <w:highlight w:val="none"/>
        </w:rPr>
      </w:pPr>
      <w:r>
        <w:rPr>
          <w:rStyle w:val="8"/>
          <w:rFonts w:ascii="宋体" w:hAnsi="宋体"/>
          <w:color w:val="auto"/>
          <w:kern w:val="2"/>
          <w:sz w:val="22"/>
          <w:szCs w:val="22"/>
          <w:highlight w:val="none"/>
        </w:rPr>
        <w:t>预付款担保的形式为：</w:t>
      </w:r>
      <w:r>
        <w:rPr>
          <w:rStyle w:val="8"/>
          <w:rFonts w:ascii="宋体" w:hAnsi="宋体"/>
          <w:color w:val="auto"/>
          <w:kern w:val="2"/>
          <w:sz w:val="22"/>
          <w:szCs w:val="22"/>
          <w:highlight w:val="none"/>
          <w:u w:val="single"/>
        </w:rPr>
        <w:t xml:space="preserve">                    </w:t>
      </w:r>
      <w:r>
        <w:rPr>
          <w:rStyle w:val="8"/>
          <w:rFonts w:hint="eastAsia" w:ascii="宋体" w:hAnsi="宋体"/>
          <w:color w:val="auto"/>
          <w:kern w:val="2"/>
          <w:sz w:val="22"/>
          <w:szCs w:val="22"/>
          <w:highlight w:val="none"/>
          <w:u w:val="single"/>
        </w:rPr>
        <w:t xml:space="preserve">          </w:t>
      </w:r>
      <w:r>
        <w:rPr>
          <w:rStyle w:val="8"/>
          <w:rFonts w:ascii="宋体" w:hAnsi="宋体"/>
          <w:color w:val="auto"/>
          <w:kern w:val="2"/>
          <w:sz w:val="22"/>
          <w:szCs w:val="22"/>
          <w:highlight w:val="none"/>
          <w:u w:val="single"/>
        </w:rPr>
        <w:t xml:space="preserve">    </w:t>
      </w:r>
      <w:r>
        <w:rPr>
          <w:rStyle w:val="8"/>
          <w:rFonts w:ascii="宋体" w:hAnsi="宋体"/>
          <w:color w:val="auto"/>
          <w:kern w:val="2"/>
          <w:sz w:val="22"/>
          <w:szCs w:val="22"/>
          <w:highlight w:val="none"/>
        </w:rPr>
        <w:t>。</w:t>
      </w:r>
    </w:p>
    <w:bookmarkEnd w:id="931"/>
    <w:bookmarkEnd w:id="932"/>
    <w:bookmarkEnd w:id="933"/>
    <w:bookmarkEnd w:id="934"/>
    <w:bookmarkEnd w:id="935"/>
    <w:bookmarkEnd w:id="936"/>
    <w:bookmarkEnd w:id="937"/>
    <w:bookmarkEnd w:id="938"/>
    <w:bookmarkEnd w:id="939"/>
    <w:bookmarkEnd w:id="940"/>
    <w:p w14:paraId="12D105F2">
      <w:pPr>
        <w:pStyle w:val="13"/>
        <w:spacing w:after="120" w:line="360" w:lineRule="auto"/>
        <w:ind w:firstLine="440" w:firstLineChars="200"/>
        <w:rPr>
          <w:rStyle w:val="8"/>
          <w:rFonts w:ascii="宋体" w:hAnsi="宋体"/>
          <w:color w:val="auto"/>
          <w:kern w:val="2"/>
          <w:sz w:val="22"/>
          <w:szCs w:val="22"/>
          <w:highlight w:val="none"/>
        </w:rPr>
      </w:pPr>
      <w:r>
        <w:rPr>
          <w:rStyle w:val="8"/>
          <w:rFonts w:ascii="宋体" w:hAnsi="宋体"/>
          <w:color w:val="auto"/>
          <w:kern w:val="2"/>
          <w:sz w:val="22"/>
          <w:szCs w:val="22"/>
          <w:highlight w:val="none"/>
        </w:rPr>
        <w:t>12.3 计量</w:t>
      </w:r>
    </w:p>
    <w:p w14:paraId="4B22A77E">
      <w:pPr>
        <w:pStyle w:val="13"/>
        <w:spacing w:line="360" w:lineRule="auto"/>
        <w:ind w:firstLine="440" w:firstLineChars="200"/>
        <w:jc w:val="left"/>
        <w:rPr>
          <w:rStyle w:val="8"/>
          <w:rFonts w:ascii="宋体" w:hAnsi="宋体"/>
          <w:color w:val="auto"/>
          <w:kern w:val="2"/>
          <w:sz w:val="22"/>
          <w:szCs w:val="22"/>
          <w:highlight w:val="none"/>
        </w:rPr>
      </w:pPr>
      <w:r>
        <w:rPr>
          <w:rStyle w:val="8"/>
          <w:rFonts w:ascii="宋体" w:hAnsi="宋体"/>
          <w:color w:val="auto"/>
          <w:kern w:val="2"/>
          <w:sz w:val="22"/>
          <w:szCs w:val="22"/>
          <w:highlight w:val="none"/>
        </w:rPr>
        <w:t>12.3.1 计量原则</w:t>
      </w:r>
    </w:p>
    <w:p w14:paraId="3FD1395A">
      <w:pPr>
        <w:pStyle w:val="13"/>
        <w:spacing w:line="420" w:lineRule="exact"/>
        <w:ind w:firstLine="440" w:firstLineChars="200"/>
        <w:rPr>
          <w:rStyle w:val="8"/>
          <w:rFonts w:ascii="宋体" w:hAnsi="宋体"/>
          <w:color w:val="auto"/>
          <w:kern w:val="2"/>
          <w:sz w:val="22"/>
          <w:szCs w:val="22"/>
          <w:highlight w:val="yellow"/>
          <w:u w:val="single"/>
        </w:rPr>
      </w:pPr>
      <w:r>
        <w:rPr>
          <w:rStyle w:val="8"/>
          <w:rFonts w:ascii="宋体" w:hAnsi="宋体"/>
          <w:color w:val="auto"/>
          <w:kern w:val="2"/>
          <w:sz w:val="22"/>
          <w:szCs w:val="22"/>
          <w:highlight w:val="none"/>
        </w:rPr>
        <w:t>工程量计算规则：</w:t>
      </w:r>
      <w:r>
        <w:rPr>
          <w:rStyle w:val="8"/>
          <w:rFonts w:ascii="宋体" w:hAnsi="宋体"/>
          <w:color w:val="auto"/>
          <w:kern w:val="2"/>
          <w:sz w:val="22"/>
          <w:szCs w:val="22"/>
          <w:highlight w:val="none"/>
          <w:u w:val="single"/>
        </w:rPr>
        <w:t xml:space="preserve">  </w:t>
      </w:r>
      <w:r>
        <w:rPr>
          <w:rStyle w:val="8"/>
          <w:rFonts w:hint="eastAsia" w:ascii="宋体" w:hAnsi="宋体" w:eastAsia="宋体" w:cs="Times New Roman"/>
          <w:color w:val="auto"/>
          <w:kern w:val="2"/>
          <w:sz w:val="22"/>
          <w:szCs w:val="22"/>
          <w:highlight w:val="yellow"/>
          <w:u w:val="single"/>
        </w:rPr>
        <w:t>依据《铁路基本建设工程设计概(预)算费用定额》(TB 10811-2024)</w:t>
      </w:r>
      <w:r>
        <w:rPr>
          <w:rStyle w:val="8"/>
          <w:rFonts w:hint="eastAsia" w:ascii="宋体" w:hAnsi="宋体"/>
          <w:color w:val="auto"/>
          <w:kern w:val="2"/>
          <w:sz w:val="22"/>
          <w:szCs w:val="22"/>
          <w:highlight w:val="yellow"/>
          <w:u w:val="single"/>
        </w:rPr>
        <w:t xml:space="preserve"> </w:t>
      </w:r>
    </w:p>
    <w:p w14:paraId="22F03B1A">
      <w:pPr>
        <w:pStyle w:val="13"/>
        <w:spacing w:line="360" w:lineRule="auto"/>
        <w:ind w:firstLine="440" w:firstLineChars="200"/>
        <w:jc w:val="left"/>
        <w:rPr>
          <w:rStyle w:val="8"/>
          <w:rFonts w:ascii="宋体" w:hAnsi="宋体"/>
          <w:color w:val="auto"/>
          <w:kern w:val="2"/>
          <w:sz w:val="22"/>
          <w:szCs w:val="22"/>
          <w:highlight w:val="none"/>
        </w:rPr>
      </w:pPr>
      <w:r>
        <w:rPr>
          <w:rStyle w:val="8"/>
          <w:rFonts w:ascii="宋体" w:hAnsi="宋体"/>
          <w:color w:val="auto"/>
          <w:kern w:val="2"/>
          <w:sz w:val="22"/>
          <w:szCs w:val="22"/>
          <w:highlight w:val="none"/>
        </w:rPr>
        <w:t>12.3.2 计量周期</w:t>
      </w:r>
    </w:p>
    <w:p w14:paraId="5F967911">
      <w:pPr>
        <w:pStyle w:val="13"/>
        <w:spacing w:line="360" w:lineRule="auto"/>
        <w:ind w:firstLine="440" w:firstLineChars="200"/>
        <w:jc w:val="left"/>
        <w:rPr>
          <w:rStyle w:val="8"/>
          <w:rFonts w:ascii="宋体" w:hAnsi="宋体"/>
          <w:color w:val="auto"/>
          <w:kern w:val="2"/>
          <w:sz w:val="22"/>
          <w:szCs w:val="22"/>
          <w:highlight w:val="none"/>
        </w:rPr>
      </w:pPr>
      <w:r>
        <w:rPr>
          <w:rStyle w:val="8"/>
          <w:rFonts w:ascii="宋体" w:hAnsi="宋体"/>
          <w:color w:val="auto"/>
          <w:kern w:val="2"/>
          <w:sz w:val="22"/>
          <w:szCs w:val="22"/>
          <w:highlight w:val="none"/>
        </w:rPr>
        <w:t>关于计量周期的约定：</w:t>
      </w:r>
      <w:r>
        <w:rPr>
          <w:rStyle w:val="8"/>
          <w:rFonts w:ascii="宋体" w:hAnsi="宋体"/>
          <w:color w:val="auto"/>
          <w:kern w:val="2"/>
          <w:sz w:val="22"/>
          <w:szCs w:val="22"/>
          <w:highlight w:val="none"/>
          <w:u w:val="single"/>
        </w:rPr>
        <w:t xml:space="preserve">             </w:t>
      </w:r>
      <w:r>
        <w:rPr>
          <w:rStyle w:val="8"/>
          <w:rFonts w:hint="eastAsia" w:ascii="宋体" w:hAnsi="宋体"/>
          <w:color w:val="auto"/>
          <w:kern w:val="2"/>
          <w:sz w:val="22"/>
          <w:szCs w:val="22"/>
          <w:highlight w:val="none"/>
          <w:u w:val="single"/>
        </w:rPr>
        <w:t xml:space="preserve"> </w:t>
      </w:r>
      <w:r>
        <w:rPr>
          <w:rStyle w:val="8"/>
          <w:rFonts w:ascii="宋体" w:hAnsi="宋体"/>
          <w:color w:val="auto"/>
          <w:kern w:val="2"/>
          <w:sz w:val="22"/>
          <w:szCs w:val="22"/>
          <w:highlight w:val="none"/>
          <w:u w:val="single"/>
        </w:rPr>
        <w:t xml:space="preserve">       </w:t>
      </w:r>
      <w:r>
        <w:rPr>
          <w:rStyle w:val="8"/>
          <w:rFonts w:hint="eastAsia" w:ascii="宋体" w:hAnsi="宋体"/>
          <w:color w:val="auto"/>
          <w:kern w:val="2"/>
          <w:sz w:val="22"/>
          <w:szCs w:val="22"/>
          <w:highlight w:val="none"/>
          <w:u w:val="single"/>
        </w:rPr>
        <w:t xml:space="preserve">       </w:t>
      </w:r>
      <w:r>
        <w:rPr>
          <w:rStyle w:val="8"/>
          <w:rFonts w:ascii="宋体" w:hAnsi="宋体"/>
          <w:color w:val="auto"/>
          <w:kern w:val="2"/>
          <w:sz w:val="22"/>
          <w:szCs w:val="22"/>
          <w:highlight w:val="none"/>
          <w:u w:val="single"/>
        </w:rPr>
        <w:t xml:space="preserve">      </w:t>
      </w:r>
      <w:r>
        <w:rPr>
          <w:rStyle w:val="8"/>
          <w:rFonts w:ascii="宋体" w:hAnsi="宋体"/>
          <w:color w:val="auto"/>
          <w:kern w:val="2"/>
          <w:sz w:val="22"/>
          <w:szCs w:val="22"/>
          <w:highlight w:val="none"/>
        </w:rPr>
        <w:t>。</w:t>
      </w:r>
    </w:p>
    <w:p w14:paraId="1B76449A">
      <w:pPr>
        <w:pStyle w:val="13"/>
        <w:spacing w:line="360" w:lineRule="auto"/>
        <w:ind w:firstLine="440" w:firstLineChars="200"/>
        <w:jc w:val="left"/>
        <w:rPr>
          <w:rStyle w:val="8"/>
          <w:rFonts w:ascii="宋体" w:hAnsi="宋体"/>
          <w:color w:val="auto"/>
          <w:kern w:val="2"/>
          <w:sz w:val="22"/>
          <w:szCs w:val="22"/>
          <w:highlight w:val="none"/>
        </w:rPr>
      </w:pPr>
      <w:r>
        <w:rPr>
          <w:rStyle w:val="8"/>
          <w:rFonts w:ascii="宋体" w:hAnsi="宋体"/>
          <w:color w:val="auto"/>
          <w:kern w:val="2"/>
          <w:sz w:val="22"/>
          <w:szCs w:val="22"/>
          <w:highlight w:val="none"/>
        </w:rPr>
        <w:t>12.3.3 单价合同的计量</w:t>
      </w:r>
    </w:p>
    <w:p w14:paraId="60565495">
      <w:pPr>
        <w:pStyle w:val="13"/>
        <w:spacing w:line="360" w:lineRule="auto"/>
        <w:ind w:firstLine="440" w:firstLineChars="200"/>
        <w:jc w:val="left"/>
        <w:rPr>
          <w:rStyle w:val="8"/>
          <w:rFonts w:ascii="宋体" w:hAnsi="宋体"/>
          <w:color w:val="auto"/>
          <w:kern w:val="2"/>
          <w:sz w:val="22"/>
          <w:szCs w:val="22"/>
          <w:highlight w:val="none"/>
        </w:rPr>
      </w:pPr>
      <w:r>
        <w:rPr>
          <w:rStyle w:val="8"/>
          <w:rFonts w:ascii="宋体" w:hAnsi="宋体"/>
          <w:color w:val="auto"/>
          <w:kern w:val="2"/>
          <w:sz w:val="22"/>
          <w:szCs w:val="22"/>
          <w:highlight w:val="none"/>
        </w:rPr>
        <w:t>关于单价合同计量的约定：</w:t>
      </w:r>
      <w:r>
        <w:rPr>
          <w:rStyle w:val="8"/>
          <w:rFonts w:ascii="宋体" w:hAnsi="宋体"/>
          <w:color w:val="auto"/>
          <w:kern w:val="2"/>
          <w:sz w:val="22"/>
          <w:szCs w:val="22"/>
          <w:highlight w:val="none"/>
          <w:u w:val="single"/>
        </w:rPr>
        <w:t xml:space="preserve">     </w:t>
      </w:r>
      <w:r>
        <w:rPr>
          <w:rStyle w:val="8"/>
          <w:rFonts w:hint="eastAsia" w:ascii="宋体" w:hAnsi="宋体"/>
          <w:color w:val="auto"/>
          <w:kern w:val="2"/>
          <w:sz w:val="22"/>
          <w:szCs w:val="22"/>
          <w:highlight w:val="none"/>
          <w:u w:val="single"/>
        </w:rPr>
        <w:t>按实计算工程量</w:t>
      </w:r>
      <w:r>
        <w:rPr>
          <w:rStyle w:val="8"/>
          <w:rFonts w:ascii="宋体" w:hAnsi="宋体"/>
          <w:color w:val="auto"/>
          <w:kern w:val="2"/>
          <w:sz w:val="22"/>
          <w:szCs w:val="22"/>
          <w:highlight w:val="none"/>
          <w:u w:val="single"/>
        </w:rPr>
        <w:t xml:space="preserve">          </w:t>
      </w:r>
      <w:r>
        <w:rPr>
          <w:rStyle w:val="8"/>
          <w:rFonts w:hint="eastAsia" w:ascii="宋体" w:hAnsi="宋体"/>
          <w:color w:val="auto"/>
          <w:kern w:val="2"/>
          <w:sz w:val="22"/>
          <w:szCs w:val="22"/>
          <w:highlight w:val="none"/>
          <w:u w:val="single"/>
        </w:rPr>
        <w:t xml:space="preserve">       </w:t>
      </w:r>
      <w:r>
        <w:rPr>
          <w:rStyle w:val="8"/>
          <w:rFonts w:ascii="宋体" w:hAnsi="宋体"/>
          <w:color w:val="auto"/>
          <w:kern w:val="2"/>
          <w:sz w:val="22"/>
          <w:szCs w:val="22"/>
          <w:highlight w:val="none"/>
          <w:u w:val="single"/>
        </w:rPr>
        <w:t xml:space="preserve">        </w:t>
      </w:r>
      <w:r>
        <w:rPr>
          <w:rStyle w:val="8"/>
          <w:rFonts w:ascii="宋体" w:hAnsi="宋体"/>
          <w:color w:val="auto"/>
          <w:kern w:val="2"/>
          <w:sz w:val="22"/>
          <w:szCs w:val="22"/>
          <w:highlight w:val="none"/>
        </w:rPr>
        <w:t>。</w:t>
      </w:r>
    </w:p>
    <w:p w14:paraId="7E5B6293">
      <w:pPr>
        <w:pStyle w:val="13"/>
        <w:spacing w:line="360" w:lineRule="auto"/>
        <w:ind w:firstLine="440" w:firstLineChars="200"/>
        <w:jc w:val="left"/>
        <w:rPr>
          <w:rStyle w:val="8"/>
          <w:rFonts w:ascii="宋体" w:hAnsi="宋体"/>
          <w:color w:val="auto"/>
          <w:kern w:val="2"/>
          <w:sz w:val="22"/>
          <w:szCs w:val="22"/>
          <w:highlight w:val="none"/>
        </w:rPr>
      </w:pPr>
      <w:r>
        <w:rPr>
          <w:rStyle w:val="8"/>
          <w:rFonts w:ascii="宋体" w:hAnsi="宋体"/>
          <w:color w:val="auto"/>
          <w:kern w:val="2"/>
          <w:sz w:val="22"/>
          <w:szCs w:val="22"/>
          <w:highlight w:val="none"/>
        </w:rPr>
        <w:t>12.3.4 总价合同的计量</w:t>
      </w:r>
    </w:p>
    <w:p w14:paraId="1034BEAC">
      <w:pPr>
        <w:pStyle w:val="13"/>
        <w:spacing w:line="360" w:lineRule="auto"/>
        <w:ind w:firstLine="440" w:firstLineChars="200"/>
        <w:jc w:val="left"/>
        <w:rPr>
          <w:rStyle w:val="8"/>
          <w:rFonts w:ascii="宋体" w:hAnsi="宋体"/>
          <w:color w:val="auto"/>
          <w:kern w:val="2"/>
          <w:sz w:val="22"/>
          <w:szCs w:val="22"/>
          <w:highlight w:val="none"/>
        </w:rPr>
      </w:pPr>
      <w:r>
        <w:rPr>
          <w:rStyle w:val="8"/>
          <w:rFonts w:ascii="宋体" w:hAnsi="宋体"/>
          <w:color w:val="auto"/>
          <w:kern w:val="2"/>
          <w:sz w:val="22"/>
          <w:szCs w:val="22"/>
          <w:highlight w:val="none"/>
        </w:rPr>
        <w:t>关于总价合同计量的约定：</w:t>
      </w:r>
      <w:r>
        <w:rPr>
          <w:rStyle w:val="8"/>
          <w:rFonts w:ascii="宋体" w:hAnsi="宋体"/>
          <w:color w:val="auto"/>
          <w:kern w:val="2"/>
          <w:sz w:val="22"/>
          <w:szCs w:val="22"/>
          <w:highlight w:val="none"/>
          <w:u w:val="single"/>
        </w:rPr>
        <w:t xml:space="preserve">              </w:t>
      </w:r>
      <w:r>
        <w:rPr>
          <w:rStyle w:val="8"/>
          <w:rFonts w:hint="eastAsia" w:ascii="宋体" w:hAnsi="宋体"/>
          <w:color w:val="auto"/>
          <w:kern w:val="2"/>
          <w:sz w:val="22"/>
          <w:szCs w:val="22"/>
          <w:highlight w:val="none"/>
          <w:u w:val="single"/>
        </w:rPr>
        <w:t xml:space="preserve">       </w:t>
      </w:r>
      <w:r>
        <w:rPr>
          <w:rStyle w:val="8"/>
          <w:rFonts w:ascii="宋体" w:hAnsi="宋体"/>
          <w:color w:val="auto"/>
          <w:kern w:val="2"/>
          <w:sz w:val="22"/>
          <w:szCs w:val="22"/>
          <w:highlight w:val="none"/>
          <w:u w:val="single"/>
        </w:rPr>
        <w:t xml:space="preserve">         </w:t>
      </w:r>
      <w:r>
        <w:rPr>
          <w:rStyle w:val="8"/>
          <w:rFonts w:ascii="宋体" w:hAnsi="宋体"/>
          <w:color w:val="auto"/>
          <w:kern w:val="2"/>
          <w:sz w:val="22"/>
          <w:szCs w:val="22"/>
          <w:highlight w:val="none"/>
        </w:rPr>
        <w:t>。</w:t>
      </w:r>
    </w:p>
    <w:p w14:paraId="6203F416">
      <w:pPr>
        <w:pStyle w:val="13"/>
        <w:spacing w:line="360" w:lineRule="auto"/>
        <w:ind w:firstLine="440" w:firstLineChars="200"/>
        <w:jc w:val="left"/>
        <w:rPr>
          <w:rStyle w:val="8"/>
          <w:rFonts w:ascii="宋体" w:hAnsi="宋体"/>
          <w:color w:val="auto"/>
          <w:kern w:val="2"/>
          <w:sz w:val="22"/>
          <w:szCs w:val="22"/>
          <w:highlight w:val="none"/>
        </w:rPr>
      </w:pPr>
      <w:r>
        <w:rPr>
          <w:rStyle w:val="8"/>
          <w:rFonts w:ascii="宋体" w:hAnsi="宋体"/>
          <w:color w:val="auto"/>
          <w:kern w:val="2"/>
          <w:sz w:val="22"/>
          <w:szCs w:val="22"/>
          <w:highlight w:val="none"/>
        </w:rPr>
        <w:t>12.3.5总价合同采用支付分解表计量支付的，是否适用第</w:t>
      </w:r>
      <w:r>
        <w:rPr>
          <w:rStyle w:val="8"/>
          <w:rFonts w:ascii="宋体" w:hAnsi="宋体"/>
          <w:color w:val="auto"/>
          <w:sz w:val="22"/>
          <w:szCs w:val="22"/>
          <w:highlight w:val="none"/>
        </w:rPr>
        <w:t xml:space="preserve">12.3.4 </w:t>
      </w:r>
      <w:r>
        <w:rPr>
          <w:rStyle w:val="8"/>
          <w:rFonts w:ascii="宋体" w:hAnsi="宋体"/>
          <w:color w:val="auto"/>
          <w:kern w:val="2"/>
          <w:sz w:val="22"/>
          <w:szCs w:val="22"/>
          <w:highlight w:val="none"/>
        </w:rPr>
        <w:t>项</w:t>
      </w:r>
      <w:r>
        <w:rPr>
          <w:rStyle w:val="8"/>
          <w:rFonts w:hint="eastAsia" w:ascii="宋体" w:hAnsi="宋体"/>
          <w:color w:val="auto"/>
          <w:sz w:val="22"/>
          <w:szCs w:val="22"/>
          <w:highlight w:val="none"/>
        </w:rPr>
        <w:t>〔</w:t>
      </w:r>
      <w:r>
        <w:rPr>
          <w:rStyle w:val="8"/>
          <w:rFonts w:ascii="宋体" w:hAnsi="宋体"/>
          <w:color w:val="auto"/>
          <w:sz w:val="22"/>
          <w:szCs w:val="22"/>
          <w:highlight w:val="none"/>
        </w:rPr>
        <w:t>总价合同的计量</w:t>
      </w:r>
      <w:r>
        <w:rPr>
          <w:rStyle w:val="8"/>
          <w:rFonts w:hint="eastAsia" w:ascii="宋体" w:hAnsi="宋体"/>
          <w:color w:val="auto"/>
          <w:sz w:val="22"/>
          <w:szCs w:val="22"/>
          <w:highlight w:val="none"/>
        </w:rPr>
        <w:t>〕</w:t>
      </w:r>
      <w:r>
        <w:rPr>
          <w:rStyle w:val="8"/>
          <w:rFonts w:ascii="宋体" w:hAnsi="宋体"/>
          <w:color w:val="auto"/>
          <w:kern w:val="2"/>
          <w:sz w:val="22"/>
          <w:szCs w:val="22"/>
          <w:highlight w:val="none"/>
        </w:rPr>
        <w:t>约定</w:t>
      </w:r>
      <w:r>
        <w:rPr>
          <w:rStyle w:val="8"/>
          <w:rFonts w:hint="eastAsia" w:ascii="宋体" w:hAnsi="宋体"/>
          <w:color w:val="auto"/>
          <w:kern w:val="2"/>
          <w:sz w:val="22"/>
          <w:szCs w:val="22"/>
          <w:highlight w:val="none"/>
        </w:rPr>
        <w:t>进行计量：</w:t>
      </w:r>
      <w:r>
        <w:rPr>
          <w:rStyle w:val="8"/>
          <w:rFonts w:ascii="宋体" w:hAnsi="宋体"/>
          <w:color w:val="auto"/>
          <w:kern w:val="2"/>
          <w:sz w:val="22"/>
          <w:szCs w:val="22"/>
          <w:highlight w:val="none"/>
          <w:u w:val="single"/>
        </w:rPr>
        <w:t xml:space="preserve">        </w:t>
      </w:r>
      <w:r>
        <w:rPr>
          <w:rStyle w:val="8"/>
          <w:rFonts w:hint="eastAsia" w:ascii="宋体" w:hAnsi="宋体"/>
          <w:color w:val="auto"/>
          <w:kern w:val="2"/>
          <w:sz w:val="22"/>
          <w:szCs w:val="22"/>
          <w:highlight w:val="none"/>
          <w:u w:val="single"/>
        </w:rPr>
        <w:t xml:space="preserve">             </w:t>
      </w:r>
      <w:r>
        <w:rPr>
          <w:rStyle w:val="8"/>
          <w:rFonts w:ascii="宋体" w:hAnsi="宋体"/>
          <w:color w:val="auto"/>
          <w:kern w:val="2"/>
          <w:sz w:val="22"/>
          <w:szCs w:val="22"/>
          <w:highlight w:val="none"/>
        </w:rPr>
        <w:t>。</w:t>
      </w:r>
    </w:p>
    <w:p w14:paraId="01C553E8">
      <w:pPr>
        <w:pStyle w:val="13"/>
        <w:spacing w:line="360" w:lineRule="auto"/>
        <w:ind w:firstLine="440" w:firstLineChars="200"/>
        <w:jc w:val="left"/>
        <w:rPr>
          <w:rStyle w:val="8"/>
          <w:rFonts w:ascii="宋体" w:hAnsi="宋体"/>
          <w:color w:val="auto"/>
          <w:kern w:val="2"/>
          <w:sz w:val="22"/>
          <w:szCs w:val="22"/>
          <w:highlight w:val="none"/>
        </w:rPr>
      </w:pPr>
      <w:r>
        <w:rPr>
          <w:rStyle w:val="8"/>
          <w:rFonts w:ascii="宋体" w:hAnsi="宋体"/>
          <w:color w:val="auto"/>
          <w:kern w:val="2"/>
          <w:sz w:val="22"/>
          <w:szCs w:val="22"/>
          <w:highlight w:val="none"/>
        </w:rPr>
        <w:t>12.3.6 其他价格形式合同的计量</w:t>
      </w:r>
    </w:p>
    <w:p w14:paraId="3D4FD8E8">
      <w:pPr>
        <w:pStyle w:val="13"/>
        <w:spacing w:line="360" w:lineRule="auto"/>
        <w:ind w:firstLine="440" w:firstLineChars="200"/>
        <w:jc w:val="left"/>
        <w:rPr>
          <w:rStyle w:val="8"/>
          <w:rFonts w:ascii="宋体" w:hAnsi="宋体"/>
          <w:color w:val="auto"/>
          <w:kern w:val="2"/>
          <w:sz w:val="22"/>
          <w:szCs w:val="22"/>
          <w:highlight w:val="none"/>
          <w:u w:val="single"/>
        </w:rPr>
      </w:pPr>
      <w:r>
        <w:rPr>
          <w:rStyle w:val="8"/>
          <w:rFonts w:ascii="宋体" w:hAnsi="宋体"/>
          <w:color w:val="auto"/>
          <w:kern w:val="2"/>
          <w:sz w:val="22"/>
          <w:szCs w:val="22"/>
          <w:highlight w:val="none"/>
        </w:rPr>
        <w:t>其他价格形式的计量方式和程序：</w:t>
      </w:r>
      <w:r>
        <w:rPr>
          <w:rStyle w:val="8"/>
          <w:rFonts w:ascii="宋体" w:hAnsi="宋体"/>
          <w:color w:val="auto"/>
          <w:kern w:val="2"/>
          <w:sz w:val="22"/>
          <w:szCs w:val="22"/>
          <w:highlight w:val="none"/>
          <w:u w:val="single"/>
        </w:rPr>
        <w:t xml:space="preserve">                   </w:t>
      </w:r>
      <w:r>
        <w:rPr>
          <w:rStyle w:val="8"/>
          <w:rFonts w:hint="eastAsia" w:ascii="宋体" w:hAnsi="宋体"/>
          <w:color w:val="auto"/>
          <w:kern w:val="2"/>
          <w:sz w:val="22"/>
          <w:szCs w:val="22"/>
          <w:highlight w:val="none"/>
          <w:u w:val="single"/>
        </w:rPr>
        <w:t xml:space="preserve">  </w:t>
      </w:r>
      <w:r>
        <w:rPr>
          <w:rStyle w:val="8"/>
          <w:rFonts w:ascii="宋体" w:hAnsi="宋体"/>
          <w:color w:val="auto"/>
          <w:kern w:val="2"/>
          <w:sz w:val="22"/>
          <w:szCs w:val="22"/>
          <w:highlight w:val="none"/>
          <w:u w:val="single"/>
        </w:rPr>
        <w:t xml:space="preserve">    </w:t>
      </w:r>
    </w:p>
    <w:p w14:paraId="2EFAB9EB">
      <w:pPr>
        <w:pStyle w:val="13"/>
        <w:spacing w:line="360" w:lineRule="auto"/>
        <w:jc w:val="left"/>
        <w:rPr>
          <w:rStyle w:val="8"/>
          <w:rFonts w:ascii="宋体" w:hAnsi="宋体"/>
          <w:color w:val="auto"/>
          <w:kern w:val="2"/>
          <w:sz w:val="22"/>
          <w:szCs w:val="22"/>
          <w:highlight w:val="none"/>
        </w:rPr>
      </w:pPr>
      <w:r>
        <w:rPr>
          <w:rStyle w:val="8"/>
          <w:rFonts w:ascii="宋体" w:hAnsi="宋体"/>
          <w:color w:val="auto"/>
          <w:kern w:val="2"/>
          <w:sz w:val="22"/>
          <w:szCs w:val="22"/>
          <w:highlight w:val="none"/>
          <w:u w:val="single"/>
        </w:rPr>
        <w:t xml:space="preserve"> </w:t>
      </w:r>
      <w:r>
        <w:rPr>
          <w:rStyle w:val="8"/>
          <w:rFonts w:hint="eastAsia" w:ascii="宋体" w:hAnsi="宋体"/>
          <w:color w:val="auto"/>
          <w:kern w:val="2"/>
          <w:sz w:val="22"/>
          <w:szCs w:val="22"/>
          <w:highlight w:val="none"/>
          <w:u w:val="single"/>
        </w:rPr>
        <w:t xml:space="preserve">  </w:t>
      </w:r>
      <w:r>
        <w:rPr>
          <w:rStyle w:val="8"/>
          <w:rFonts w:ascii="宋体" w:hAnsi="宋体"/>
          <w:color w:val="auto"/>
          <w:kern w:val="2"/>
          <w:sz w:val="22"/>
          <w:szCs w:val="22"/>
          <w:highlight w:val="none"/>
          <w:u w:val="single"/>
        </w:rPr>
        <w:t xml:space="preserve">   </w:t>
      </w:r>
      <w:r>
        <w:rPr>
          <w:rStyle w:val="8"/>
          <w:rFonts w:hint="eastAsia" w:ascii="宋体" w:hAnsi="宋体"/>
          <w:color w:val="auto"/>
          <w:kern w:val="2"/>
          <w:sz w:val="22"/>
          <w:szCs w:val="22"/>
          <w:highlight w:val="none"/>
          <w:u w:val="single"/>
        </w:rPr>
        <w:t xml:space="preserve">                                             </w:t>
      </w:r>
      <w:r>
        <w:rPr>
          <w:rStyle w:val="8"/>
          <w:rFonts w:ascii="宋体" w:hAnsi="宋体"/>
          <w:color w:val="auto"/>
          <w:kern w:val="2"/>
          <w:sz w:val="22"/>
          <w:szCs w:val="22"/>
          <w:highlight w:val="none"/>
          <w:u w:val="single"/>
        </w:rPr>
        <w:t xml:space="preserve">      </w:t>
      </w:r>
      <w:r>
        <w:rPr>
          <w:rStyle w:val="8"/>
          <w:rFonts w:ascii="宋体" w:hAnsi="宋体"/>
          <w:color w:val="auto"/>
          <w:kern w:val="2"/>
          <w:sz w:val="22"/>
          <w:szCs w:val="22"/>
          <w:highlight w:val="none"/>
        </w:rPr>
        <w:t>。</w:t>
      </w:r>
    </w:p>
    <w:p w14:paraId="5A43C46B">
      <w:pPr>
        <w:pStyle w:val="13"/>
        <w:spacing w:after="120" w:line="360" w:lineRule="auto"/>
        <w:ind w:firstLine="440" w:firstLineChars="200"/>
        <w:rPr>
          <w:rStyle w:val="8"/>
          <w:rFonts w:ascii="宋体" w:hAnsi="宋体"/>
          <w:color w:val="auto"/>
          <w:kern w:val="2"/>
          <w:sz w:val="22"/>
          <w:szCs w:val="22"/>
          <w:highlight w:val="none"/>
        </w:rPr>
      </w:pPr>
      <w:r>
        <w:rPr>
          <w:rStyle w:val="8"/>
          <w:rFonts w:ascii="宋体" w:hAnsi="宋体"/>
          <w:color w:val="auto"/>
          <w:kern w:val="2"/>
          <w:sz w:val="22"/>
          <w:szCs w:val="22"/>
          <w:highlight w:val="none"/>
        </w:rPr>
        <w:t>12.4 工程进度款支付</w:t>
      </w:r>
    </w:p>
    <w:p w14:paraId="02E2B6D6">
      <w:pPr>
        <w:pStyle w:val="13"/>
        <w:spacing w:line="360" w:lineRule="auto"/>
        <w:ind w:firstLine="440" w:firstLineChars="200"/>
        <w:jc w:val="left"/>
        <w:rPr>
          <w:rStyle w:val="8"/>
          <w:rFonts w:ascii="宋体" w:hAnsi="宋体"/>
          <w:color w:val="auto"/>
          <w:kern w:val="2"/>
          <w:sz w:val="22"/>
          <w:szCs w:val="22"/>
          <w:highlight w:val="yellow"/>
        </w:rPr>
      </w:pPr>
      <w:bookmarkStart w:id="941" w:name="_Toc297123556"/>
      <w:bookmarkStart w:id="942" w:name="_Toc296891039"/>
      <w:bookmarkStart w:id="943" w:name="_Toc292559416"/>
      <w:bookmarkStart w:id="944" w:name="_Toc296503211"/>
      <w:bookmarkStart w:id="945" w:name="_Toc296944550"/>
      <w:bookmarkStart w:id="946" w:name="_Toc297048397"/>
      <w:bookmarkStart w:id="947" w:name="_Toc292559921"/>
      <w:bookmarkStart w:id="948" w:name="_Toc296346712"/>
      <w:bookmarkStart w:id="949" w:name="_Toc296347210"/>
      <w:bookmarkStart w:id="950" w:name="_Toc297216215"/>
      <w:bookmarkStart w:id="951" w:name="_Toc303539163"/>
      <w:bookmarkStart w:id="952" w:name="_Toc297120511"/>
      <w:bookmarkStart w:id="953" w:name="_Toc300935006"/>
      <w:bookmarkStart w:id="954" w:name="_Toc296891251"/>
      <w:r>
        <w:rPr>
          <w:rStyle w:val="8"/>
          <w:rFonts w:ascii="宋体" w:hAnsi="宋体"/>
          <w:color w:val="auto"/>
          <w:kern w:val="2"/>
          <w:sz w:val="22"/>
          <w:szCs w:val="22"/>
          <w:highlight w:val="yellow"/>
        </w:rPr>
        <w:t>12.4.1 付款周期</w:t>
      </w:r>
    </w:p>
    <w:p w14:paraId="16BC75A7">
      <w:pPr>
        <w:pStyle w:val="13"/>
        <w:spacing w:line="360" w:lineRule="auto"/>
        <w:ind w:firstLine="440" w:firstLineChars="200"/>
        <w:jc w:val="left"/>
        <w:rPr>
          <w:rStyle w:val="8"/>
          <w:rFonts w:hint="eastAsia" w:ascii="宋体" w:hAnsi="宋体" w:eastAsia="宋体" w:cs="Times New Roman"/>
          <w:color w:val="auto"/>
          <w:kern w:val="2"/>
          <w:sz w:val="22"/>
          <w:szCs w:val="22"/>
          <w:highlight w:val="yellow"/>
        </w:rPr>
      </w:pPr>
      <w:r>
        <w:rPr>
          <w:rStyle w:val="8"/>
          <w:rFonts w:hint="eastAsia" w:ascii="宋体" w:hAnsi="宋体" w:eastAsia="宋体" w:cs="Times New Roman"/>
          <w:color w:val="auto"/>
          <w:kern w:val="2"/>
          <w:sz w:val="22"/>
          <w:szCs w:val="22"/>
          <w:highlight w:val="yellow"/>
          <w:lang w:val="en-US" w:eastAsia="zh-CN"/>
        </w:rPr>
        <w:t>1</w:t>
      </w:r>
      <w:r>
        <w:rPr>
          <w:rStyle w:val="8"/>
          <w:rFonts w:hint="eastAsia" w:ascii="宋体" w:hAnsi="宋体" w:eastAsia="宋体" w:cs="Times New Roman"/>
          <w:color w:val="auto"/>
          <w:kern w:val="2"/>
          <w:sz w:val="22"/>
          <w:szCs w:val="22"/>
          <w:highlight w:val="yellow"/>
        </w:rPr>
        <w:t>)工程竣工验收合格，支付至合同价金额的80%，结算审核完成后，支付至结算金额的97%，余款缺陷责任期满并完成项目移交后一次性付清。</w:t>
      </w:r>
      <w:r>
        <w:rPr>
          <w:rStyle w:val="8"/>
          <w:rFonts w:hint="eastAsia" w:ascii="宋体" w:hAnsi="宋体" w:eastAsia="宋体" w:cs="Times New Roman"/>
          <w:color w:val="auto"/>
          <w:kern w:val="2"/>
          <w:sz w:val="22"/>
          <w:szCs w:val="22"/>
          <w:highlight w:val="yellow"/>
        </w:rPr>
        <w:cr/>
      </w:r>
      <w:r>
        <w:rPr>
          <w:rStyle w:val="8"/>
          <w:rFonts w:hint="eastAsia" w:ascii="宋体" w:hAnsi="宋体" w:eastAsia="宋体" w:cs="Times New Roman"/>
          <w:color w:val="auto"/>
          <w:kern w:val="2"/>
          <w:sz w:val="22"/>
          <w:szCs w:val="22"/>
          <w:highlight w:val="yellow"/>
          <w:lang w:val="en-US" w:eastAsia="zh-CN"/>
        </w:rPr>
        <w:t xml:space="preserve">    2</w:t>
      </w:r>
      <w:r>
        <w:rPr>
          <w:rStyle w:val="8"/>
          <w:rFonts w:hint="eastAsia" w:ascii="宋体" w:hAnsi="宋体" w:eastAsia="宋体" w:cs="Times New Roman"/>
          <w:color w:val="auto"/>
          <w:kern w:val="2"/>
          <w:sz w:val="22"/>
          <w:szCs w:val="22"/>
          <w:highlight w:val="yellow"/>
        </w:rPr>
        <w:t>)</w:t>
      </w:r>
      <w:r>
        <w:rPr>
          <w:rStyle w:val="8"/>
          <w:rFonts w:hint="eastAsia" w:ascii="宋体" w:hAnsi="宋体" w:cs="Times New Roman"/>
          <w:color w:val="auto"/>
          <w:kern w:val="2"/>
          <w:sz w:val="22"/>
          <w:szCs w:val="22"/>
          <w:highlight w:val="yellow"/>
          <w:lang w:val="en-US" w:eastAsia="zh-CN"/>
        </w:rPr>
        <w:t>中标人须负责办理铁路相关报检及验收手续。协助招标人办理工程相关报批、报建工作，配合招标人通过各项验收工作(包括配电系统验收、消防验收、安全验收、规划验收、环保验收、防雷验收、质监验收等)并在竣工后完成竣工档案并交付。</w:t>
      </w:r>
      <w:r>
        <w:rPr>
          <w:rStyle w:val="8"/>
          <w:rFonts w:hint="eastAsia" w:ascii="宋体" w:hAnsi="宋体" w:eastAsia="宋体" w:cs="Times New Roman"/>
          <w:color w:val="auto"/>
          <w:kern w:val="2"/>
          <w:sz w:val="22"/>
          <w:szCs w:val="22"/>
          <w:highlight w:val="yellow"/>
          <w:lang w:val="en-US" w:eastAsia="zh-CN"/>
        </w:rPr>
        <w:t>。</w:t>
      </w:r>
    </w:p>
    <w:p w14:paraId="29B4393E">
      <w:pPr>
        <w:pStyle w:val="13"/>
        <w:spacing w:line="360" w:lineRule="auto"/>
        <w:ind w:firstLine="440" w:firstLineChars="200"/>
        <w:jc w:val="left"/>
        <w:rPr>
          <w:rStyle w:val="8"/>
          <w:rFonts w:ascii="宋体" w:hAnsi="宋体"/>
          <w:color w:val="auto"/>
          <w:kern w:val="2"/>
          <w:sz w:val="22"/>
          <w:szCs w:val="22"/>
          <w:highlight w:val="none"/>
        </w:rPr>
      </w:pPr>
      <w:r>
        <w:rPr>
          <w:rStyle w:val="8"/>
          <w:rFonts w:ascii="宋体" w:hAnsi="宋体"/>
          <w:color w:val="auto"/>
          <w:kern w:val="2"/>
          <w:sz w:val="22"/>
          <w:szCs w:val="22"/>
          <w:highlight w:val="none"/>
        </w:rPr>
        <w:t>12.4.2 进度付款申请单的编制</w:t>
      </w:r>
    </w:p>
    <w:p w14:paraId="4549408D">
      <w:pPr>
        <w:pStyle w:val="14"/>
        <w:spacing w:line="360" w:lineRule="auto"/>
        <w:ind w:firstLine="440" w:firstLineChars="200"/>
        <w:jc w:val="left"/>
        <w:rPr>
          <w:rStyle w:val="8"/>
          <w:rFonts w:ascii="宋体" w:hAnsi="宋体"/>
          <w:color w:val="auto"/>
          <w:kern w:val="2"/>
          <w:sz w:val="22"/>
          <w:szCs w:val="22"/>
          <w:highlight w:val="none"/>
          <w:u w:val="single"/>
        </w:rPr>
      </w:pPr>
      <w:r>
        <w:rPr>
          <w:rStyle w:val="8"/>
          <w:rFonts w:ascii="宋体" w:hAnsi="宋体"/>
          <w:color w:val="auto"/>
          <w:kern w:val="2"/>
          <w:sz w:val="22"/>
          <w:szCs w:val="22"/>
          <w:highlight w:val="none"/>
        </w:rPr>
        <w:t>关于进度付款申请单编制的约定：</w:t>
      </w:r>
      <w:r>
        <w:rPr>
          <w:rStyle w:val="8"/>
          <w:rFonts w:ascii="宋体" w:hAnsi="宋体"/>
          <w:color w:val="auto"/>
          <w:kern w:val="2"/>
          <w:sz w:val="22"/>
          <w:szCs w:val="22"/>
          <w:highlight w:val="none"/>
          <w:u w:val="single"/>
        </w:rPr>
        <w:t xml:space="preserve">    </w:t>
      </w:r>
      <w:r>
        <w:rPr>
          <w:rStyle w:val="8"/>
          <w:rFonts w:hint="eastAsia" w:ascii="宋体" w:hAnsi="宋体"/>
          <w:color w:val="auto"/>
          <w:kern w:val="2"/>
          <w:sz w:val="22"/>
          <w:szCs w:val="22"/>
          <w:highlight w:val="none"/>
          <w:u w:val="single"/>
        </w:rPr>
        <w:t>按发包人要求。</w:t>
      </w:r>
    </w:p>
    <w:p w14:paraId="52C9D2FE">
      <w:pPr>
        <w:pStyle w:val="13"/>
        <w:spacing w:line="360" w:lineRule="auto"/>
        <w:ind w:firstLine="440" w:firstLineChars="200"/>
        <w:jc w:val="left"/>
        <w:rPr>
          <w:rStyle w:val="8"/>
          <w:rFonts w:ascii="宋体" w:hAnsi="宋体"/>
          <w:color w:val="auto"/>
          <w:kern w:val="2"/>
          <w:sz w:val="22"/>
          <w:szCs w:val="22"/>
          <w:highlight w:val="none"/>
        </w:rPr>
      </w:pPr>
      <w:r>
        <w:rPr>
          <w:rStyle w:val="8"/>
          <w:rFonts w:ascii="宋体" w:hAnsi="宋体"/>
          <w:color w:val="auto"/>
          <w:kern w:val="2"/>
          <w:sz w:val="22"/>
          <w:szCs w:val="22"/>
          <w:highlight w:val="none"/>
        </w:rPr>
        <w:t>1</w:t>
      </w:r>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r>
        <w:rPr>
          <w:rStyle w:val="8"/>
          <w:rFonts w:ascii="宋体" w:hAnsi="宋体"/>
          <w:color w:val="auto"/>
          <w:kern w:val="2"/>
          <w:sz w:val="22"/>
          <w:szCs w:val="22"/>
          <w:highlight w:val="none"/>
        </w:rPr>
        <w:t>2.4.3 进度付款申请单的提交</w:t>
      </w:r>
    </w:p>
    <w:p w14:paraId="77168580">
      <w:pPr>
        <w:pStyle w:val="13"/>
        <w:spacing w:line="360" w:lineRule="auto"/>
        <w:ind w:firstLine="440" w:firstLineChars="200"/>
        <w:jc w:val="left"/>
        <w:rPr>
          <w:rStyle w:val="8"/>
          <w:rFonts w:ascii="宋体" w:hAnsi="宋体"/>
          <w:color w:val="auto"/>
          <w:kern w:val="2"/>
          <w:sz w:val="22"/>
          <w:szCs w:val="22"/>
          <w:highlight w:val="none"/>
        </w:rPr>
      </w:pPr>
      <w:r>
        <w:rPr>
          <w:rStyle w:val="8"/>
          <w:rFonts w:ascii="宋体" w:hAnsi="宋体"/>
          <w:color w:val="auto"/>
          <w:kern w:val="2"/>
          <w:sz w:val="22"/>
          <w:szCs w:val="22"/>
          <w:highlight w:val="none"/>
        </w:rPr>
        <w:t>（1）单价合同进度付款申请单提交的约定</w:t>
      </w:r>
      <w:r>
        <w:rPr>
          <w:rStyle w:val="8"/>
          <w:rFonts w:hint="eastAsia" w:ascii="宋体" w:hAnsi="宋体"/>
          <w:color w:val="auto"/>
          <w:kern w:val="2"/>
          <w:sz w:val="22"/>
          <w:szCs w:val="22"/>
          <w:highlight w:val="none"/>
        </w:rPr>
        <w:t>：</w:t>
      </w:r>
      <w:r>
        <w:rPr>
          <w:rStyle w:val="8"/>
          <w:rFonts w:ascii="宋体" w:hAnsi="宋体"/>
          <w:color w:val="auto"/>
          <w:kern w:val="2"/>
          <w:sz w:val="22"/>
          <w:szCs w:val="22"/>
          <w:highlight w:val="none"/>
          <w:u w:val="single"/>
        </w:rPr>
        <w:t xml:space="preserve">  </w:t>
      </w:r>
      <w:r>
        <w:rPr>
          <w:rStyle w:val="8"/>
          <w:rFonts w:hint="eastAsia" w:ascii="宋体" w:hAnsi="宋体"/>
          <w:color w:val="auto"/>
          <w:kern w:val="2"/>
          <w:sz w:val="22"/>
          <w:szCs w:val="22"/>
          <w:highlight w:val="none"/>
          <w:u w:val="single"/>
        </w:rPr>
        <w:t>执行通用条款。</w:t>
      </w:r>
      <w:r>
        <w:rPr>
          <w:rStyle w:val="8"/>
          <w:rFonts w:ascii="宋体" w:hAnsi="宋体"/>
          <w:color w:val="auto"/>
          <w:kern w:val="2"/>
          <w:sz w:val="22"/>
          <w:szCs w:val="22"/>
          <w:highlight w:val="none"/>
          <w:u w:val="single"/>
        </w:rPr>
        <w:t xml:space="preserve">     </w:t>
      </w:r>
      <w:r>
        <w:rPr>
          <w:rStyle w:val="8"/>
          <w:rFonts w:hint="eastAsia" w:ascii="宋体" w:hAnsi="宋体"/>
          <w:color w:val="auto"/>
          <w:kern w:val="2"/>
          <w:sz w:val="22"/>
          <w:szCs w:val="22"/>
          <w:highlight w:val="none"/>
          <w:u w:val="single"/>
        </w:rPr>
        <w:t xml:space="preserve">  </w:t>
      </w:r>
      <w:r>
        <w:rPr>
          <w:rStyle w:val="8"/>
          <w:rFonts w:ascii="宋体" w:hAnsi="宋体"/>
          <w:color w:val="auto"/>
          <w:kern w:val="2"/>
          <w:sz w:val="22"/>
          <w:szCs w:val="22"/>
          <w:highlight w:val="none"/>
          <w:u w:val="single"/>
        </w:rPr>
        <w:t xml:space="preserve"> </w:t>
      </w:r>
      <w:r>
        <w:rPr>
          <w:rStyle w:val="8"/>
          <w:rFonts w:hint="eastAsia" w:ascii="宋体" w:hAnsi="宋体"/>
          <w:color w:val="auto"/>
          <w:kern w:val="2"/>
          <w:sz w:val="22"/>
          <w:szCs w:val="22"/>
          <w:highlight w:val="none"/>
          <w:u w:val="single"/>
        </w:rPr>
        <w:t xml:space="preserve"> </w:t>
      </w:r>
      <w:r>
        <w:rPr>
          <w:rStyle w:val="8"/>
          <w:rFonts w:ascii="宋体" w:hAnsi="宋体"/>
          <w:color w:val="auto"/>
          <w:kern w:val="2"/>
          <w:sz w:val="22"/>
          <w:szCs w:val="22"/>
          <w:highlight w:val="none"/>
          <w:u w:val="single"/>
        </w:rPr>
        <w:t xml:space="preserve">    </w:t>
      </w:r>
      <w:r>
        <w:rPr>
          <w:rStyle w:val="8"/>
          <w:rFonts w:ascii="宋体" w:hAnsi="宋体"/>
          <w:color w:val="auto"/>
          <w:kern w:val="2"/>
          <w:sz w:val="22"/>
          <w:szCs w:val="22"/>
          <w:highlight w:val="none"/>
        </w:rPr>
        <w:t>。</w:t>
      </w:r>
    </w:p>
    <w:p w14:paraId="7CE8A0FB">
      <w:pPr>
        <w:pStyle w:val="13"/>
        <w:spacing w:line="360" w:lineRule="auto"/>
        <w:ind w:firstLine="440" w:firstLineChars="200"/>
        <w:jc w:val="left"/>
        <w:rPr>
          <w:rStyle w:val="8"/>
          <w:rFonts w:ascii="宋体" w:hAnsi="宋体"/>
          <w:color w:val="auto"/>
          <w:kern w:val="2"/>
          <w:sz w:val="22"/>
          <w:szCs w:val="22"/>
          <w:highlight w:val="none"/>
        </w:rPr>
      </w:pPr>
      <w:r>
        <w:rPr>
          <w:rStyle w:val="8"/>
          <w:rFonts w:ascii="宋体" w:hAnsi="宋体"/>
          <w:color w:val="auto"/>
          <w:kern w:val="2"/>
          <w:sz w:val="22"/>
          <w:szCs w:val="22"/>
          <w:highlight w:val="none"/>
        </w:rPr>
        <w:t>（2）总价合同进度付款申请单提交的约定</w:t>
      </w:r>
      <w:r>
        <w:rPr>
          <w:rStyle w:val="8"/>
          <w:rFonts w:hint="eastAsia" w:ascii="宋体" w:hAnsi="宋体"/>
          <w:color w:val="auto"/>
          <w:kern w:val="2"/>
          <w:sz w:val="22"/>
          <w:szCs w:val="22"/>
          <w:highlight w:val="none"/>
        </w:rPr>
        <w:t>：</w:t>
      </w:r>
      <w:r>
        <w:rPr>
          <w:rStyle w:val="8"/>
          <w:rFonts w:ascii="宋体" w:hAnsi="宋体"/>
          <w:color w:val="auto"/>
          <w:kern w:val="2"/>
          <w:sz w:val="22"/>
          <w:szCs w:val="22"/>
          <w:highlight w:val="none"/>
          <w:u w:val="single"/>
        </w:rPr>
        <w:t xml:space="preserve">     </w:t>
      </w:r>
      <w:r>
        <w:rPr>
          <w:rStyle w:val="8"/>
          <w:rFonts w:hint="eastAsia" w:ascii="宋体" w:hAnsi="宋体"/>
          <w:color w:val="auto"/>
          <w:kern w:val="2"/>
          <w:sz w:val="22"/>
          <w:szCs w:val="22"/>
          <w:highlight w:val="none"/>
          <w:u w:val="single"/>
        </w:rPr>
        <w:t xml:space="preserve"> </w:t>
      </w:r>
      <w:r>
        <w:rPr>
          <w:rStyle w:val="8"/>
          <w:rFonts w:ascii="宋体" w:hAnsi="宋体"/>
          <w:color w:val="auto"/>
          <w:kern w:val="2"/>
          <w:sz w:val="22"/>
          <w:szCs w:val="22"/>
          <w:highlight w:val="none"/>
          <w:u w:val="single"/>
        </w:rPr>
        <w:t xml:space="preserve">   </w:t>
      </w:r>
      <w:r>
        <w:rPr>
          <w:rStyle w:val="8"/>
          <w:rFonts w:hint="eastAsia" w:ascii="宋体" w:hAnsi="宋体"/>
          <w:color w:val="auto"/>
          <w:kern w:val="2"/>
          <w:sz w:val="22"/>
          <w:szCs w:val="22"/>
          <w:highlight w:val="none"/>
          <w:u w:val="single"/>
        </w:rPr>
        <w:t xml:space="preserve">  </w:t>
      </w:r>
      <w:r>
        <w:rPr>
          <w:rStyle w:val="8"/>
          <w:rFonts w:ascii="宋体" w:hAnsi="宋体"/>
          <w:color w:val="auto"/>
          <w:kern w:val="2"/>
          <w:sz w:val="22"/>
          <w:szCs w:val="22"/>
          <w:highlight w:val="none"/>
          <w:u w:val="single"/>
        </w:rPr>
        <w:t xml:space="preserve">    </w:t>
      </w:r>
      <w:r>
        <w:rPr>
          <w:rStyle w:val="8"/>
          <w:rFonts w:ascii="宋体" w:hAnsi="宋体"/>
          <w:color w:val="auto"/>
          <w:kern w:val="2"/>
          <w:sz w:val="22"/>
          <w:szCs w:val="22"/>
          <w:highlight w:val="none"/>
        </w:rPr>
        <w:t>。</w:t>
      </w:r>
    </w:p>
    <w:p w14:paraId="20147995">
      <w:pPr>
        <w:pStyle w:val="13"/>
        <w:spacing w:line="360" w:lineRule="auto"/>
        <w:ind w:firstLine="440" w:firstLineChars="200"/>
        <w:jc w:val="left"/>
        <w:rPr>
          <w:rStyle w:val="8"/>
          <w:rFonts w:ascii="宋体" w:hAnsi="宋体"/>
          <w:color w:val="auto"/>
          <w:kern w:val="2"/>
          <w:sz w:val="22"/>
          <w:szCs w:val="22"/>
          <w:highlight w:val="none"/>
          <w:u w:val="single"/>
        </w:rPr>
      </w:pPr>
      <w:r>
        <w:rPr>
          <w:rStyle w:val="8"/>
          <w:rFonts w:ascii="宋体" w:hAnsi="宋体"/>
          <w:color w:val="auto"/>
          <w:kern w:val="2"/>
          <w:sz w:val="22"/>
          <w:szCs w:val="22"/>
          <w:highlight w:val="none"/>
        </w:rPr>
        <w:t>（3）其他价格形式合同进度付款申请单提交的约定：</w:t>
      </w:r>
      <w:r>
        <w:rPr>
          <w:rStyle w:val="8"/>
          <w:rFonts w:ascii="宋体" w:hAnsi="宋体"/>
          <w:color w:val="auto"/>
          <w:kern w:val="2"/>
          <w:sz w:val="22"/>
          <w:szCs w:val="22"/>
          <w:highlight w:val="none"/>
          <w:u w:val="single"/>
        </w:rPr>
        <w:t xml:space="preserve">       </w:t>
      </w:r>
    </w:p>
    <w:p w14:paraId="11D4C0BC">
      <w:pPr>
        <w:pStyle w:val="13"/>
        <w:spacing w:line="360" w:lineRule="auto"/>
        <w:jc w:val="left"/>
        <w:rPr>
          <w:rStyle w:val="8"/>
          <w:rFonts w:ascii="宋体" w:hAnsi="宋体"/>
          <w:color w:val="auto"/>
          <w:kern w:val="2"/>
          <w:sz w:val="22"/>
          <w:szCs w:val="22"/>
          <w:highlight w:val="none"/>
        </w:rPr>
      </w:pPr>
      <w:r>
        <w:rPr>
          <w:rStyle w:val="8"/>
          <w:rFonts w:ascii="宋体" w:hAnsi="宋体"/>
          <w:color w:val="auto"/>
          <w:kern w:val="2"/>
          <w:sz w:val="22"/>
          <w:szCs w:val="22"/>
          <w:highlight w:val="none"/>
          <w:u w:val="single"/>
        </w:rPr>
        <w:t xml:space="preserve">              </w:t>
      </w:r>
      <w:r>
        <w:rPr>
          <w:rStyle w:val="8"/>
          <w:rFonts w:hint="eastAsia" w:ascii="宋体" w:hAnsi="宋体"/>
          <w:color w:val="auto"/>
          <w:kern w:val="2"/>
          <w:sz w:val="22"/>
          <w:szCs w:val="22"/>
          <w:highlight w:val="none"/>
          <w:u w:val="single"/>
        </w:rPr>
        <w:t xml:space="preserve">                                    </w:t>
      </w:r>
      <w:r>
        <w:rPr>
          <w:rStyle w:val="8"/>
          <w:rFonts w:ascii="宋体" w:hAnsi="宋体"/>
          <w:color w:val="auto"/>
          <w:kern w:val="2"/>
          <w:sz w:val="22"/>
          <w:szCs w:val="22"/>
          <w:highlight w:val="none"/>
          <w:u w:val="single"/>
        </w:rPr>
        <w:t xml:space="preserve">  </w:t>
      </w:r>
      <w:r>
        <w:rPr>
          <w:rStyle w:val="8"/>
          <w:rFonts w:hint="eastAsia" w:ascii="宋体" w:hAnsi="宋体"/>
          <w:color w:val="auto"/>
          <w:kern w:val="2"/>
          <w:sz w:val="22"/>
          <w:szCs w:val="22"/>
          <w:highlight w:val="none"/>
          <w:u w:val="single"/>
        </w:rPr>
        <w:t xml:space="preserve"> </w:t>
      </w:r>
      <w:r>
        <w:rPr>
          <w:rStyle w:val="8"/>
          <w:rFonts w:ascii="宋体" w:hAnsi="宋体"/>
          <w:color w:val="auto"/>
          <w:kern w:val="2"/>
          <w:sz w:val="22"/>
          <w:szCs w:val="22"/>
          <w:highlight w:val="none"/>
          <w:u w:val="single"/>
        </w:rPr>
        <w:t xml:space="preserve">    </w:t>
      </w:r>
      <w:r>
        <w:rPr>
          <w:rStyle w:val="8"/>
          <w:rFonts w:ascii="宋体" w:hAnsi="宋体"/>
          <w:color w:val="auto"/>
          <w:kern w:val="2"/>
          <w:sz w:val="22"/>
          <w:szCs w:val="22"/>
          <w:highlight w:val="none"/>
        </w:rPr>
        <w:t>。</w:t>
      </w:r>
    </w:p>
    <w:p w14:paraId="24CA205A">
      <w:pPr>
        <w:pStyle w:val="13"/>
        <w:spacing w:line="360" w:lineRule="auto"/>
        <w:ind w:firstLine="440" w:firstLineChars="200"/>
        <w:jc w:val="left"/>
        <w:rPr>
          <w:rStyle w:val="8"/>
          <w:rFonts w:ascii="宋体" w:hAnsi="宋体"/>
          <w:color w:val="auto"/>
          <w:kern w:val="2"/>
          <w:sz w:val="22"/>
          <w:szCs w:val="22"/>
          <w:highlight w:val="none"/>
        </w:rPr>
      </w:pPr>
      <w:r>
        <w:rPr>
          <w:rStyle w:val="8"/>
          <w:rFonts w:ascii="宋体" w:hAnsi="宋体"/>
          <w:color w:val="auto"/>
          <w:kern w:val="2"/>
          <w:sz w:val="22"/>
          <w:szCs w:val="22"/>
          <w:highlight w:val="none"/>
        </w:rPr>
        <w:t>12.4.4 进度款审核和支付</w:t>
      </w:r>
    </w:p>
    <w:p w14:paraId="22E96EF1">
      <w:pPr>
        <w:pStyle w:val="13"/>
        <w:spacing w:line="360" w:lineRule="auto"/>
        <w:ind w:firstLine="440" w:firstLineChars="200"/>
        <w:jc w:val="left"/>
        <w:rPr>
          <w:rStyle w:val="8"/>
          <w:rFonts w:ascii="宋体" w:hAnsi="宋体"/>
          <w:color w:val="auto"/>
          <w:kern w:val="2"/>
          <w:sz w:val="22"/>
          <w:szCs w:val="22"/>
          <w:highlight w:val="none"/>
          <w:u w:val="single"/>
        </w:rPr>
      </w:pPr>
      <w:r>
        <w:rPr>
          <w:rStyle w:val="8"/>
          <w:rFonts w:ascii="宋体" w:hAnsi="宋体"/>
          <w:color w:val="auto"/>
          <w:kern w:val="2"/>
          <w:sz w:val="22"/>
          <w:szCs w:val="22"/>
          <w:highlight w:val="none"/>
        </w:rPr>
        <w:t>（1）监理人审查并报送发包人的期限：</w:t>
      </w:r>
      <w:r>
        <w:rPr>
          <w:rStyle w:val="8"/>
          <w:rFonts w:ascii="宋体" w:hAnsi="宋体"/>
          <w:color w:val="auto"/>
          <w:kern w:val="2"/>
          <w:sz w:val="22"/>
          <w:szCs w:val="22"/>
          <w:highlight w:val="none"/>
          <w:u w:val="single"/>
        </w:rPr>
        <w:t xml:space="preserve">       </w:t>
      </w:r>
      <w:r>
        <w:rPr>
          <w:rStyle w:val="8"/>
          <w:rFonts w:hint="eastAsia" w:ascii="宋体" w:hAnsi="宋体"/>
          <w:color w:val="auto"/>
          <w:kern w:val="2"/>
          <w:sz w:val="22"/>
          <w:szCs w:val="22"/>
          <w:highlight w:val="none"/>
          <w:u w:val="single"/>
        </w:rPr>
        <w:t xml:space="preserve">           </w:t>
      </w:r>
      <w:r>
        <w:rPr>
          <w:rStyle w:val="8"/>
          <w:rFonts w:ascii="宋体" w:hAnsi="宋体"/>
          <w:color w:val="auto"/>
          <w:kern w:val="2"/>
          <w:sz w:val="22"/>
          <w:szCs w:val="22"/>
          <w:highlight w:val="none"/>
        </w:rPr>
        <w:t>。</w:t>
      </w:r>
    </w:p>
    <w:p w14:paraId="4FD109D6">
      <w:pPr>
        <w:pStyle w:val="13"/>
        <w:spacing w:line="360" w:lineRule="auto"/>
        <w:ind w:firstLine="440" w:firstLineChars="200"/>
        <w:jc w:val="left"/>
        <w:rPr>
          <w:rStyle w:val="8"/>
          <w:rFonts w:ascii="宋体" w:hAnsi="宋体"/>
          <w:color w:val="auto"/>
          <w:kern w:val="2"/>
          <w:sz w:val="22"/>
          <w:szCs w:val="22"/>
          <w:highlight w:val="none"/>
          <w:u w:val="single"/>
        </w:rPr>
      </w:pPr>
      <w:r>
        <w:rPr>
          <w:rStyle w:val="8"/>
          <w:rFonts w:ascii="宋体" w:hAnsi="宋体"/>
          <w:color w:val="auto"/>
          <w:kern w:val="2"/>
          <w:sz w:val="22"/>
          <w:szCs w:val="22"/>
          <w:highlight w:val="none"/>
        </w:rPr>
        <w:t>发包人完成审批并签发进度款支付证书的期限：</w:t>
      </w:r>
      <w:r>
        <w:rPr>
          <w:rStyle w:val="8"/>
          <w:rFonts w:ascii="宋体" w:hAnsi="宋体"/>
          <w:color w:val="auto"/>
          <w:kern w:val="2"/>
          <w:sz w:val="22"/>
          <w:szCs w:val="22"/>
          <w:highlight w:val="none"/>
          <w:u w:val="single"/>
        </w:rPr>
        <w:t xml:space="preserve">      </w:t>
      </w:r>
      <w:r>
        <w:rPr>
          <w:rStyle w:val="8"/>
          <w:rFonts w:hint="eastAsia" w:ascii="宋体" w:hAnsi="宋体"/>
          <w:color w:val="auto"/>
          <w:kern w:val="2"/>
          <w:sz w:val="22"/>
          <w:szCs w:val="22"/>
          <w:highlight w:val="none"/>
          <w:u w:val="single"/>
        </w:rPr>
        <w:t xml:space="preserve">   </w:t>
      </w:r>
      <w:r>
        <w:rPr>
          <w:rStyle w:val="8"/>
          <w:rFonts w:ascii="宋体" w:hAnsi="宋体"/>
          <w:color w:val="auto"/>
          <w:kern w:val="2"/>
          <w:sz w:val="22"/>
          <w:szCs w:val="22"/>
          <w:highlight w:val="none"/>
          <w:u w:val="single"/>
        </w:rPr>
        <w:t xml:space="preserve">  </w:t>
      </w:r>
    </w:p>
    <w:p w14:paraId="3E0AC0E1">
      <w:pPr>
        <w:pStyle w:val="13"/>
        <w:spacing w:line="360" w:lineRule="auto"/>
        <w:jc w:val="left"/>
        <w:rPr>
          <w:rStyle w:val="8"/>
          <w:rFonts w:ascii="宋体" w:hAnsi="宋体"/>
          <w:color w:val="auto"/>
          <w:kern w:val="2"/>
          <w:sz w:val="22"/>
          <w:szCs w:val="22"/>
          <w:highlight w:val="none"/>
        </w:rPr>
      </w:pPr>
      <w:r>
        <w:rPr>
          <w:rStyle w:val="8"/>
          <w:rFonts w:ascii="宋体" w:hAnsi="宋体"/>
          <w:color w:val="auto"/>
          <w:kern w:val="2"/>
          <w:sz w:val="22"/>
          <w:szCs w:val="22"/>
          <w:highlight w:val="none"/>
          <w:u w:val="single"/>
        </w:rPr>
        <w:t xml:space="preserve">  </w:t>
      </w:r>
      <w:r>
        <w:rPr>
          <w:rStyle w:val="8"/>
          <w:rFonts w:hint="eastAsia" w:ascii="宋体" w:hAnsi="宋体"/>
          <w:color w:val="auto"/>
          <w:kern w:val="2"/>
          <w:sz w:val="22"/>
          <w:szCs w:val="22"/>
          <w:highlight w:val="none"/>
          <w:u w:val="single"/>
        </w:rPr>
        <w:t xml:space="preserve">                                                   </w:t>
      </w:r>
      <w:r>
        <w:rPr>
          <w:rStyle w:val="8"/>
          <w:rFonts w:ascii="宋体" w:hAnsi="宋体"/>
          <w:color w:val="auto"/>
          <w:kern w:val="2"/>
          <w:sz w:val="22"/>
          <w:szCs w:val="22"/>
          <w:highlight w:val="none"/>
          <w:u w:val="single"/>
        </w:rPr>
        <w:t xml:space="preserve">   </w:t>
      </w:r>
      <w:r>
        <w:rPr>
          <w:rStyle w:val="8"/>
          <w:rFonts w:hint="eastAsia" w:ascii="宋体" w:hAnsi="宋体"/>
          <w:color w:val="auto"/>
          <w:kern w:val="2"/>
          <w:sz w:val="22"/>
          <w:szCs w:val="22"/>
          <w:highlight w:val="none"/>
          <w:u w:val="single"/>
        </w:rPr>
        <w:t xml:space="preserve"> </w:t>
      </w:r>
      <w:r>
        <w:rPr>
          <w:rStyle w:val="8"/>
          <w:rFonts w:ascii="宋体" w:hAnsi="宋体"/>
          <w:color w:val="auto"/>
          <w:kern w:val="2"/>
          <w:sz w:val="22"/>
          <w:szCs w:val="22"/>
          <w:highlight w:val="none"/>
        </w:rPr>
        <w:t>。</w:t>
      </w:r>
    </w:p>
    <w:p w14:paraId="60C60A5E">
      <w:pPr>
        <w:pStyle w:val="13"/>
        <w:spacing w:line="360" w:lineRule="auto"/>
        <w:ind w:firstLine="440" w:firstLineChars="200"/>
        <w:jc w:val="left"/>
        <w:rPr>
          <w:rStyle w:val="8"/>
          <w:rFonts w:ascii="宋体" w:hAnsi="宋体"/>
          <w:color w:val="auto"/>
          <w:kern w:val="2"/>
          <w:sz w:val="22"/>
          <w:szCs w:val="22"/>
          <w:highlight w:val="none"/>
        </w:rPr>
      </w:pPr>
      <w:r>
        <w:rPr>
          <w:rStyle w:val="8"/>
          <w:rFonts w:ascii="宋体" w:hAnsi="宋体"/>
          <w:color w:val="auto"/>
          <w:kern w:val="2"/>
          <w:sz w:val="22"/>
          <w:szCs w:val="22"/>
          <w:highlight w:val="none"/>
        </w:rPr>
        <w:t>（2）发包人支付进度款的期限：</w:t>
      </w:r>
      <w:r>
        <w:rPr>
          <w:rStyle w:val="8"/>
          <w:rFonts w:ascii="宋体" w:hAnsi="宋体"/>
          <w:color w:val="auto"/>
          <w:kern w:val="2"/>
          <w:sz w:val="22"/>
          <w:szCs w:val="22"/>
          <w:highlight w:val="none"/>
          <w:u w:val="single"/>
        </w:rPr>
        <w:t xml:space="preserve">       </w:t>
      </w:r>
      <w:r>
        <w:rPr>
          <w:rStyle w:val="8"/>
          <w:rFonts w:hint="eastAsia" w:ascii="宋体" w:hAnsi="宋体"/>
          <w:color w:val="auto"/>
          <w:kern w:val="2"/>
          <w:sz w:val="22"/>
          <w:szCs w:val="22"/>
          <w:highlight w:val="none"/>
          <w:u w:val="single"/>
        </w:rPr>
        <w:t>双方商定</w:t>
      </w:r>
      <w:r>
        <w:rPr>
          <w:rStyle w:val="8"/>
          <w:rFonts w:ascii="宋体" w:hAnsi="宋体"/>
          <w:color w:val="auto"/>
          <w:kern w:val="2"/>
          <w:sz w:val="22"/>
          <w:szCs w:val="22"/>
          <w:highlight w:val="none"/>
          <w:u w:val="single"/>
        </w:rPr>
        <w:t xml:space="preserve">           </w:t>
      </w:r>
      <w:r>
        <w:rPr>
          <w:rStyle w:val="8"/>
          <w:rFonts w:hint="eastAsia" w:ascii="宋体" w:hAnsi="宋体"/>
          <w:color w:val="auto"/>
          <w:kern w:val="2"/>
          <w:sz w:val="22"/>
          <w:szCs w:val="22"/>
          <w:highlight w:val="none"/>
          <w:u w:val="single"/>
        </w:rPr>
        <w:t xml:space="preserve"> </w:t>
      </w:r>
      <w:r>
        <w:rPr>
          <w:rStyle w:val="8"/>
          <w:rFonts w:ascii="宋体" w:hAnsi="宋体"/>
          <w:color w:val="auto"/>
          <w:kern w:val="2"/>
          <w:sz w:val="22"/>
          <w:szCs w:val="22"/>
          <w:highlight w:val="none"/>
          <w:u w:val="single"/>
        </w:rPr>
        <w:t xml:space="preserve">     </w:t>
      </w:r>
      <w:r>
        <w:rPr>
          <w:rStyle w:val="8"/>
          <w:rFonts w:ascii="宋体" w:hAnsi="宋体"/>
          <w:color w:val="auto"/>
          <w:kern w:val="2"/>
          <w:sz w:val="22"/>
          <w:szCs w:val="22"/>
          <w:highlight w:val="none"/>
        </w:rPr>
        <w:t>。</w:t>
      </w:r>
    </w:p>
    <w:p w14:paraId="6AFE3EC1">
      <w:pPr>
        <w:pStyle w:val="13"/>
        <w:spacing w:line="360" w:lineRule="auto"/>
        <w:ind w:firstLine="550" w:firstLineChars="250"/>
        <w:jc w:val="left"/>
        <w:rPr>
          <w:rStyle w:val="8"/>
          <w:rFonts w:ascii="宋体" w:hAnsi="宋体"/>
          <w:color w:val="auto"/>
          <w:kern w:val="2"/>
          <w:sz w:val="22"/>
          <w:szCs w:val="22"/>
          <w:highlight w:val="none"/>
          <w:u w:val="single"/>
        </w:rPr>
      </w:pPr>
      <w:r>
        <w:rPr>
          <w:rStyle w:val="8"/>
          <w:rFonts w:ascii="宋体" w:hAnsi="宋体"/>
          <w:color w:val="auto"/>
          <w:kern w:val="2"/>
          <w:sz w:val="22"/>
          <w:szCs w:val="22"/>
          <w:highlight w:val="none"/>
        </w:rPr>
        <w:t>发包人逾期支付进度款的违约金的计算方式：</w:t>
      </w:r>
      <w:r>
        <w:rPr>
          <w:rStyle w:val="8"/>
          <w:rFonts w:ascii="宋体" w:hAnsi="宋体"/>
          <w:color w:val="auto"/>
          <w:kern w:val="2"/>
          <w:sz w:val="22"/>
          <w:szCs w:val="22"/>
          <w:highlight w:val="none"/>
          <w:u w:val="single"/>
        </w:rPr>
        <w:t xml:space="preserve">      </w:t>
      </w:r>
      <w:r>
        <w:rPr>
          <w:rStyle w:val="8"/>
          <w:rFonts w:hint="eastAsia" w:ascii="宋体" w:hAnsi="宋体"/>
          <w:color w:val="auto"/>
          <w:kern w:val="2"/>
          <w:sz w:val="22"/>
          <w:szCs w:val="22"/>
          <w:highlight w:val="none"/>
          <w:u w:val="single"/>
        </w:rPr>
        <w:t xml:space="preserve">      </w:t>
      </w:r>
    </w:p>
    <w:p w14:paraId="15723712">
      <w:pPr>
        <w:pStyle w:val="13"/>
        <w:spacing w:line="360" w:lineRule="auto"/>
        <w:jc w:val="left"/>
        <w:rPr>
          <w:rStyle w:val="8"/>
          <w:rFonts w:ascii="宋体" w:hAnsi="宋体"/>
          <w:color w:val="auto"/>
          <w:kern w:val="2"/>
          <w:sz w:val="22"/>
          <w:szCs w:val="22"/>
          <w:highlight w:val="none"/>
        </w:rPr>
      </w:pPr>
      <w:r>
        <w:rPr>
          <w:rStyle w:val="8"/>
          <w:rFonts w:ascii="宋体" w:hAnsi="宋体"/>
          <w:color w:val="auto"/>
          <w:kern w:val="2"/>
          <w:sz w:val="22"/>
          <w:szCs w:val="22"/>
          <w:highlight w:val="none"/>
          <w:u w:val="single"/>
        </w:rPr>
        <w:t xml:space="preserve"> </w:t>
      </w:r>
      <w:r>
        <w:rPr>
          <w:rStyle w:val="8"/>
          <w:rFonts w:hint="eastAsia" w:ascii="宋体" w:hAnsi="宋体"/>
          <w:color w:val="auto"/>
          <w:kern w:val="2"/>
          <w:sz w:val="22"/>
          <w:szCs w:val="22"/>
          <w:highlight w:val="none"/>
          <w:u w:val="single"/>
        </w:rPr>
        <w:t xml:space="preserve">                                                   </w:t>
      </w:r>
      <w:r>
        <w:rPr>
          <w:rStyle w:val="8"/>
          <w:rFonts w:ascii="宋体" w:hAnsi="宋体"/>
          <w:color w:val="auto"/>
          <w:kern w:val="2"/>
          <w:sz w:val="22"/>
          <w:szCs w:val="22"/>
          <w:highlight w:val="none"/>
          <w:u w:val="single"/>
        </w:rPr>
        <w:t xml:space="preserve">     </w:t>
      </w:r>
      <w:r>
        <w:rPr>
          <w:rStyle w:val="8"/>
          <w:rFonts w:ascii="宋体" w:hAnsi="宋体"/>
          <w:color w:val="auto"/>
          <w:kern w:val="2"/>
          <w:sz w:val="22"/>
          <w:szCs w:val="22"/>
          <w:highlight w:val="none"/>
        </w:rPr>
        <w:t>。</w:t>
      </w:r>
    </w:p>
    <w:p w14:paraId="04318981">
      <w:pPr>
        <w:pStyle w:val="13"/>
        <w:spacing w:line="360" w:lineRule="auto"/>
        <w:ind w:firstLine="550" w:firstLineChars="250"/>
        <w:jc w:val="left"/>
        <w:rPr>
          <w:rStyle w:val="8"/>
          <w:rFonts w:ascii="宋体" w:hAnsi="宋体"/>
          <w:color w:val="auto"/>
          <w:kern w:val="2"/>
          <w:sz w:val="22"/>
          <w:szCs w:val="22"/>
          <w:highlight w:val="none"/>
        </w:rPr>
      </w:pPr>
      <w:r>
        <w:rPr>
          <w:rStyle w:val="8"/>
          <w:rFonts w:ascii="宋体" w:hAnsi="宋体"/>
          <w:color w:val="auto"/>
          <w:kern w:val="2"/>
          <w:sz w:val="22"/>
          <w:szCs w:val="22"/>
          <w:highlight w:val="none"/>
        </w:rPr>
        <w:t>12.4.6 支付分解表的编制</w:t>
      </w:r>
    </w:p>
    <w:p w14:paraId="332066AE">
      <w:pPr>
        <w:pStyle w:val="13"/>
        <w:spacing w:line="360" w:lineRule="auto"/>
        <w:ind w:firstLine="440" w:firstLineChars="200"/>
        <w:jc w:val="left"/>
        <w:rPr>
          <w:rStyle w:val="8"/>
          <w:rFonts w:ascii="宋体" w:hAnsi="宋体"/>
          <w:color w:val="auto"/>
          <w:kern w:val="2"/>
          <w:sz w:val="22"/>
          <w:szCs w:val="22"/>
          <w:highlight w:val="none"/>
          <w:u w:val="single"/>
        </w:rPr>
      </w:pPr>
      <w:r>
        <w:rPr>
          <w:rStyle w:val="8"/>
          <w:rFonts w:ascii="宋体" w:hAnsi="宋体"/>
          <w:color w:val="auto"/>
          <w:kern w:val="2"/>
          <w:sz w:val="22"/>
          <w:szCs w:val="22"/>
          <w:highlight w:val="none"/>
        </w:rPr>
        <w:t>2、总价合同支付分解表的编制与审批：</w:t>
      </w:r>
      <w:r>
        <w:rPr>
          <w:rStyle w:val="8"/>
          <w:rFonts w:ascii="宋体" w:hAnsi="宋体"/>
          <w:color w:val="auto"/>
          <w:kern w:val="2"/>
          <w:sz w:val="22"/>
          <w:szCs w:val="22"/>
          <w:highlight w:val="none"/>
          <w:u w:val="single"/>
        </w:rPr>
        <w:t xml:space="preserve">                  </w:t>
      </w:r>
    </w:p>
    <w:p w14:paraId="2A1C37E1">
      <w:pPr>
        <w:pStyle w:val="13"/>
        <w:spacing w:line="360" w:lineRule="auto"/>
        <w:ind w:left="4800" w:hanging="4400" w:hangingChars="2000"/>
        <w:jc w:val="left"/>
        <w:rPr>
          <w:rStyle w:val="8"/>
          <w:rFonts w:ascii="宋体" w:hAnsi="宋体"/>
          <w:color w:val="auto"/>
          <w:kern w:val="2"/>
          <w:sz w:val="22"/>
          <w:szCs w:val="22"/>
          <w:highlight w:val="none"/>
        </w:rPr>
      </w:pPr>
      <w:r>
        <w:rPr>
          <w:rStyle w:val="8"/>
          <w:rFonts w:ascii="宋体" w:hAnsi="宋体"/>
          <w:color w:val="auto"/>
          <w:kern w:val="2"/>
          <w:sz w:val="22"/>
          <w:szCs w:val="22"/>
          <w:highlight w:val="none"/>
          <w:u w:val="single"/>
        </w:rPr>
        <w:t xml:space="preserve">   </w:t>
      </w:r>
      <w:r>
        <w:rPr>
          <w:rStyle w:val="8"/>
          <w:rFonts w:hint="eastAsia" w:ascii="宋体" w:hAnsi="宋体"/>
          <w:color w:val="auto"/>
          <w:kern w:val="2"/>
          <w:sz w:val="22"/>
          <w:szCs w:val="22"/>
          <w:highlight w:val="none"/>
          <w:u w:val="single"/>
        </w:rPr>
        <w:t xml:space="preserve">                                                  </w:t>
      </w:r>
      <w:r>
        <w:rPr>
          <w:rStyle w:val="8"/>
          <w:rFonts w:ascii="宋体" w:hAnsi="宋体"/>
          <w:color w:val="auto"/>
          <w:kern w:val="2"/>
          <w:sz w:val="22"/>
          <w:szCs w:val="22"/>
          <w:highlight w:val="none"/>
          <w:u w:val="single"/>
        </w:rPr>
        <w:t xml:space="preserve">    </w:t>
      </w:r>
      <w:r>
        <w:rPr>
          <w:rStyle w:val="8"/>
          <w:rFonts w:ascii="宋体" w:hAnsi="宋体"/>
          <w:color w:val="auto"/>
          <w:kern w:val="2"/>
          <w:sz w:val="22"/>
          <w:szCs w:val="22"/>
          <w:highlight w:val="none"/>
        </w:rPr>
        <w:t>。</w:t>
      </w:r>
    </w:p>
    <w:p w14:paraId="02D40AE8">
      <w:pPr>
        <w:pStyle w:val="14"/>
        <w:spacing w:line="360" w:lineRule="auto"/>
        <w:ind w:firstLine="440" w:firstLineChars="200"/>
        <w:jc w:val="left"/>
        <w:rPr>
          <w:rStyle w:val="8"/>
          <w:rFonts w:ascii="宋体" w:hAnsi="宋体"/>
          <w:color w:val="auto"/>
          <w:kern w:val="2"/>
          <w:sz w:val="22"/>
          <w:szCs w:val="22"/>
          <w:highlight w:val="none"/>
          <w:u w:val="single"/>
        </w:rPr>
      </w:pPr>
      <w:r>
        <w:rPr>
          <w:rStyle w:val="8"/>
          <w:rFonts w:ascii="宋体" w:hAnsi="宋体"/>
          <w:color w:val="auto"/>
          <w:kern w:val="2"/>
          <w:sz w:val="22"/>
          <w:szCs w:val="22"/>
          <w:highlight w:val="none"/>
        </w:rPr>
        <w:t>3、单价合同的总价项目支付分解表的编制与审批：</w:t>
      </w:r>
      <w:r>
        <w:rPr>
          <w:rStyle w:val="8"/>
          <w:rFonts w:ascii="宋体" w:hAnsi="宋体"/>
          <w:color w:val="auto"/>
          <w:kern w:val="2"/>
          <w:sz w:val="22"/>
          <w:szCs w:val="22"/>
          <w:highlight w:val="none"/>
          <w:u w:val="single"/>
        </w:rPr>
        <w:t xml:space="preserve">  </w:t>
      </w:r>
      <w:r>
        <w:rPr>
          <w:rStyle w:val="8"/>
          <w:rFonts w:hint="eastAsia" w:ascii="宋体" w:hAnsi="宋体"/>
          <w:color w:val="auto"/>
          <w:kern w:val="2"/>
          <w:sz w:val="22"/>
          <w:szCs w:val="22"/>
          <w:highlight w:val="none"/>
          <w:u w:val="single"/>
        </w:rPr>
        <w:t>执行通用条款</w:t>
      </w:r>
    </w:p>
    <w:bookmarkEnd w:id="754"/>
    <w:p w14:paraId="549E2663">
      <w:pPr>
        <w:pStyle w:val="15"/>
        <w:spacing w:before="120" w:after="120" w:line="360" w:lineRule="auto"/>
        <w:rPr>
          <w:rStyle w:val="8"/>
          <w:rFonts w:ascii="宋体" w:hAnsi="宋体" w:eastAsia="宋体"/>
          <w:b w:val="0"/>
          <w:color w:val="auto"/>
          <w:sz w:val="22"/>
          <w:szCs w:val="22"/>
          <w:highlight w:val="none"/>
        </w:rPr>
      </w:pPr>
      <w:bookmarkStart w:id="955" w:name="_Toc256000581"/>
      <w:bookmarkStart w:id="956" w:name="_Toc256000352"/>
      <w:bookmarkStart w:id="957" w:name="_Toc69461827"/>
      <w:bookmarkStart w:id="958" w:name="_Toc256001315"/>
      <w:bookmarkStart w:id="959" w:name="_Toc8681"/>
      <w:bookmarkStart w:id="960" w:name="_Toc256001085"/>
      <w:bookmarkStart w:id="961" w:name="_Toc351203645"/>
      <w:bookmarkStart w:id="962" w:name="_Toc69461172"/>
      <w:bookmarkStart w:id="963" w:name="_Toc256000848"/>
      <w:bookmarkStart w:id="964" w:name="_Toc30296"/>
      <w:bookmarkStart w:id="965" w:name="_Toc297120519"/>
      <w:bookmarkStart w:id="966" w:name="_Toc304295593"/>
      <w:bookmarkStart w:id="967" w:name="_Toc297048405"/>
      <w:bookmarkStart w:id="968" w:name="_Toc296891259"/>
      <w:bookmarkStart w:id="969" w:name="_Toc296347218"/>
      <w:bookmarkStart w:id="970" w:name="_Toc292559929"/>
      <w:bookmarkStart w:id="971" w:name="_Toc296891047"/>
      <w:bookmarkStart w:id="972" w:name="_Toc296944558"/>
      <w:bookmarkStart w:id="973" w:name="_Toc297216223"/>
      <w:bookmarkStart w:id="974" w:name="_Toc292559424"/>
      <w:bookmarkStart w:id="975" w:name="_Toc300935015"/>
      <w:bookmarkStart w:id="976" w:name="_Toc312678053"/>
      <w:bookmarkStart w:id="977" w:name="_Toc303539172"/>
      <w:bookmarkStart w:id="978" w:name="_Toc296503219"/>
      <w:bookmarkStart w:id="979" w:name="_Toc297123564"/>
      <w:bookmarkStart w:id="980" w:name="_Toc296346720"/>
      <w:r>
        <w:rPr>
          <w:rStyle w:val="8"/>
          <w:rFonts w:ascii="宋体" w:hAnsi="宋体" w:eastAsia="宋体"/>
          <w:b w:val="0"/>
          <w:color w:val="auto"/>
          <w:sz w:val="22"/>
          <w:szCs w:val="22"/>
          <w:highlight w:val="none"/>
        </w:rPr>
        <w:t>13.</w:t>
      </w:r>
      <w:r>
        <w:rPr>
          <w:rStyle w:val="8"/>
          <w:rFonts w:hint="eastAsia" w:ascii="宋体" w:hAnsi="宋体" w:eastAsia="宋体"/>
          <w:b w:val="0"/>
          <w:color w:val="auto"/>
          <w:sz w:val="22"/>
          <w:szCs w:val="22"/>
          <w:highlight w:val="none"/>
        </w:rPr>
        <w:t xml:space="preserve"> </w:t>
      </w:r>
      <w:r>
        <w:rPr>
          <w:rStyle w:val="8"/>
          <w:rFonts w:ascii="宋体" w:hAnsi="宋体" w:eastAsia="宋体"/>
          <w:b w:val="0"/>
          <w:color w:val="auto"/>
          <w:sz w:val="22"/>
          <w:szCs w:val="22"/>
          <w:highlight w:val="none"/>
        </w:rPr>
        <w:t>验收和工程试车</w:t>
      </w:r>
      <w:bookmarkEnd w:id="955"/>
      <w:bookmarkEnd w:id="956"/>
      <w:bookmarkEnd w:id="957"/>
      <w:bookmarkEnd w:id="958"/>
      <w:bookmarkEnd w:id="959"/>
      <w:bookmarkEnd w:id="960"/>
      <w:bookmarkEnd w:id="961"/>
      <w:bookmarkEnd w:id="962"/>
      <w:bookmarkEnd w:id="963"/>
      <w:bookmarkEnd w:id="964"/>
    </w:p>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p w14:paraId="1DB0162F">
      <w:pPr>
        <w:pStyle w:val="13"/>
        <w:spacing w:after="120" w:line="360" w:lineRule="auto"/>
        <w:ind w:firstLine="440" w:firstLineChars="200"/>
        <w:rPr>
          <w:rStyle w:val="8"/>
          <w:rFonts w:ascii="宋体" w:hAnsi="宋体"/>
          <w:color w:val="auto"/>
          <w:kern w:val="2"/>
          <w:sz w:val="22"/>
          <w:szCs w:val="22"/>
          <w:highlight w:val="none"/>
        </w:rPr>
      </w:pPr>
      <w:r>
        <w:rPr>
          <w:rStyle w:val="8"/>
          <w:rFonts w:ascii="宋体" w:hAnsi="宋体"/>
          <w:color w:val="auto"/>
          <w:kern w:val="2"/>
          <w:sz w:val="22"/>
          <w:szCs w:val="22"/>
          <w:highlight w:val="none"/>
        </w:rPr>
        <w:t>13.1 分部分项工程验收</w:t>
      </w:r>
    </w:p>
    <w:p w14:paraId="08DCB11C">
      <w:pPr>
        <w:pStyle w:val="13"/>
        <w:spacing w:line="360" w:lineRule="auto"/>
        <w:ind w:firstLine="440" w:firstLineChars="200"/>
        <w:jc w:val="left"/>
        <w:rPr>
          <w:rStyle w:val="8"/>
          <w:rFonts w:ascii="宋体" w:hAnsi="宋体"/>
          <w:color w:val="auto"/>
          <w:kern w:val="2"/>
          <w:sz w:val="22"/>
          <w:szCs w:val="22"/>
          <w:highlight w:val="none"/>
        </w:rPr>
      </w:pPr>
      <w:r>
        <w:rPr>
          <w:rStyle w:val="8"/>
          <w:rFonts w:ascii="宋体" w:hAnsi="宋体"/>
          <w:color w:val="auto"/>
          <w:kern w:val="2"/>
          <w:sz w:val="22"/>
          <w:szCs w:val="22"/>
          <w:highlight w:val="none"/>
        </w:rPr>
        <w:t>13.1.2监理人不能按时进行验收时，应提前</w:t>
      </w:r>
      <w:r>
        <w:rPr>
          <w:rStyle w:val="8"/>
          <w:rFonts w:ascii="宋体" w:hAnsi="宋体"/>
          <w:color w:val="auto"/>
          <w:kern w:val="2"/>
          <w:sz w:val="22"/>
          <w:szCs w:val="22"/>
          <w:highlight w:val="none"/>
          <w:u w:val="single"/>
        </w:rPr>
        <w:t xml:space="preserve">       </w:t>
      </w:r>
      <w:r>
        <w:rPr>
          <w:rStyle w:val="8"/>
          <w:rFonts w:ascii="宋体" w:hAnsi="宋体"/>
          <w:color w:val="auto"/>
          <w:kern w:val="2"/>
          <w:sz w:val="22"/>
          <w:szCs w:val="22"/>
          <w:highlight w:val="none"/>
        </w:rPr>
        <w:t>小时提交书面延期要求。</w:t>
      </w:r>
    </w:p>
    <w:p w14:paraId="7FDCEAB0">
      <w:pPr>
        <w:pStyle w:val="13"/>
        <w:spacing w:line="360" w:lineRule="auto"/>
        <w:ind w:firstLine="440" w:firstLineChars="200"/>
        <w:jc w:val="left"/>
        <w:rPr>
          <w:rStyle w:val="8"/>
          <w:rFonts w:ascii="宋体" w:hAnsi="宋体"/>
          <w:b/>
          <w:color w:val="auto"/>
          <w:kern w:val="2"/>
          <w:sz w:val="22"/>
          <w:szCs w:val="22"/>
          <w:highlight w:val="none"/>
        </w:rPr>
      </w:pPr>
      <w:r>
        <w:rPr>
          <w:rStyle w:val="8"/>
          <w:rFonts w:ascii="宋体" w:hAnsi="宋体"/>
          <w:color w:val="auto"/>
          <w:kern w:val="2"/>
          <w:sz w:val="22"/>
          <w:szCs w:val="22"/>
          <w:highlight w:val="none"/>
        </w:rPr>
        <w:t>关于延期最长不得超过：</w:t>
      </w:r>
      <w:r>
        <w:rPr>
          <w:rStyle w:val="8"/>
          <w:rFonts w:ascii="宋体" w:hAnsi="宋体"/>
          <w:color w:val="auto"/>
          <w:kern w:val="2"/>
          <w:sz w:val="22"/>
          <w:szCs w:val="22"/>
          <w:highlight w:val="none"/>
          <w:u w:val="single"/>
        </w:rPr>
        <w:t xml:space="preserve">         </w:t>
      </w:r>
      <w:r>
        <w:rPr>
          <w:rStyle w:val="8"/>
          <w:rFonts w:ascii="宋体" w:hAnsi="宋体"/>
          <w:color w:val="auto"/>
          <w:kern w:val="2"/>
          <w:sz w:val="22"/>
          <w:szCs w:val="22"/>
          <w:highlight w:val="none"/>
        </w:rPr>
        <w:t>小时。</w:t>
      </w:r>
    </w:p>
    <w:p w14:paraId="67399671">
      <w:pPr>
        <w:pStyle w:val="13"/>
        <w:spacing w:after="120" w:line="360" w:lineRule="auto"/>
        <w:ind w:firstLine="440" w:firstLineChars="200"/>
        <w:rPr>
          <w:rStyle w:val="8"/>
          <w:rFonts w:ascii="宋体" w:hAnsi="宋体"/>
          <w:color w:val="auto"/>
          <w:kern w:val="2"/>
          <w:sz w:val="22"/>
          <w:szCs w:val="22"/>
          <w:highlight w:val="none"/>
        </w:rPr>
      </w:pPr>
      <w:bookmarkStart w:id="981" w:name="_Toc297123565"/>
      <w:bookmarkStart w:id="982" w:name="_Toc297048409"/>
      <w:bookmarkStart w:id="983" w:name="_Toc292559933"/>
      <w:bookmarkStart w:id="984" w:name="_Toc296347222"/>
      <w:bookmarkStart w:id="985" w:name="_Toc296944562"/>
      <w:bookmarkStart w:id="986" w:name="_Toc292559428"/>
      <w:bookmarkStart w:id="987" w:name="_Toc304295596"/>
      <w:bookmarkStart w:id="988" w:name="_Toc303539173"/>
      <w:bookmarkStart w:id="989" w:name="_Toc296346724"/>
      <w:bookmarkStart w:id="990" w:name="_Toc296891263"/>
      <w:bookmarkStart w:id="991" w:name="_Toc300935016"/>
      <w:bookmarkStart w:id="992" w:name="_Toc296891051"/>
      <w:bookmarkStart w:id="993" w:name="_Toc297120523"/>
      <w:bookmarkStart w:id="994" w:name="_Toc312678056"/>
      <w:bookmarkStart w:id="995" w:name="_Toc296503223"/>
      <w:bookmarkStart w:id="996" w:name="_Toc297216224"/>
      <w:bookmarkStart w:id="997" w:name="_Toc267251471"/>
      <w:bookmarkStart w:id="998" w:name="_Toc267251472"/>
      <w:bookmarkStart w:id="999" w:name="_Toc267251470"/>
      <w:bookmarkStart w:id="1000" w:name="_Toc267251474"/>
      <w:bookmarkStart w:id="1001" w:name="_Toc267251473"/>
      <w:bookmarkStart w:id="1002" w:name="_Toc267251475"/>
      <w:bookmarkStart w:id="1003" w:name="_Toc267251476"/>
      <w:r>
        <w:rPr>
          <w:rStyle w:val="8"/>
          <w:rFonts w:ascii="宋体" w:hAnsi="宋体"/>
          <w:color w:val="auto"/>
          <w:kern w:val="2"/>
          <w:sz w:val="22"/>
          <w:szCs w:val="22"/>
          <w:highlight w:val="none"/>
        </w:rPr>
        <w:t>13.2 竣工验收</w:t>
      </w:r>
    </w:p>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p w14:paraId="47CACAA7">
      <w:pPr>
        <w:pStyle w:val="13"/>
        <w:spacing w:line="360" w:lineRule="auto"/>
        <w:ind w:firstLine="440" w:firstLineChars="200"/>
        <w:jc w:val="left"/>
        <w:rPr>
          <w:rStyle w:val="8"/>
          <w:rFonts w:ascii="宋体" w:hAnsi="宋体"/>
          <w:color w:val="auto"/>
          <w:kern w:val="2"/>
          <w:sz w:val="22"/>
          <w:szCs w:val="22"/>
          <w:highlight w:val="none"/>
        </w:rPr>
      </w:pPr>
      <w:bookmarkStart w:id="1004" w:name="_Toc280868704"/>
      <w:bookmarkStart w:id="1005" w:name="_Toc280868705"/>
      <w:bookmarkStart w:id="1006" w:name="_Toc280868706"/>
      <w:bookmarkStart w:id="1007" w:name="_Toc280868707"/>
      <w:bookmarkStart w:id="1008" w:name="_Toc280868708"/>
      <w:bookmarkStart w:id="1009" w:name="_Toc280868709"/>
      <w:r>
        <w:rPr>
          <w:rStyle w:val="8"/>
          <w:rFonts w:ascii="宋体" w:hAnsi="宋体"/>
          <w:color w:val="auto"/>
          <w:kern w:val="2"/>
          <w:sz w:val="22"/>
          <w:szCs w:val="22"/>
          <w:highlight w:val="none"/>
        </w:rPr>
        <w:t>13.2.2竣工验收程序</w:t>
      </w:r>
    </w:p>
    <w:bookmarkEnd w:id="1004"/>
    <w:p w14:paraId="79053EEF">
      <w:pPr>
        <w:pStyle w:val="13"/>
        <w:spacing w:line="360" w:lineRule="auto"/>
        <w:ind w:firstLine="440" w:firstLineChars="200"/>
        <w:jc w:val="left"/>
        <w:rPr>
          <w:rStyle w:val="8"/>
          <w:rFonts w:ascii="宋体" w:hAnsi="宋体"/>
          <w:color w:val="auto"/>
          <w:kern w:val="2"/>
          <w:sz w:val="22"/>
          <w:szCs w:val="22"/>
          <w:highlight w:val="none"/>
          <w:u w:val="single"/>
        </w:rPr>
      </w:pPr>
      <w:r>
        <w:rPr>
          <w:rStyle w:val="8"/>
          <w:rFonts w:ascii="宋体" w:hAnsi="宋体"/>
          <w:color w:val="auto"/>
          <w:sz w:val="22"/>
          <w:szCs w:val="22"/>
          <w:highlight w:val="none"/>
        </w:rPr>
        <w:t>关于竣工验收程序的约定：</w:t>
      </w:r>
      <w:r>
        <w:rPr>
          <w:rStyle w:val="8"/>
          <w:rFonts w:ascii="宋体" w:hAnsi="宋体"/>
          <w:color w:val="auto"/>
          <w:kern w:val="2"/>
          <w:sz w:val="22"/>
          <w:szCs w:val="22"/>
          <w:highlight w:val="none"/>
          <w:u w:val="single"/>
        </w:rPr>
        <w:t xml:space="preserve">      </w:t>
      </w:r>
      <w:r>
        <w:rPr>
          <w:rStyle w:val="8"/>
          <w:rFonts w:hint="eastAsia" w:ascii="宋体" w:hAnsi="宋体"/>
          <w:color w:val="auto"/>
          <w:kern w:val="2"/>
          <w:sz w:val="22"/>
          <w:szCs w:val="22"/>
          <w:highlight w:val="none"/>
          <w:u w:val="single"/>
        </w:rPr>
        <w:t>执行通用条款</w:t>
      </w:r>
      <w:r>
        <w:rPr>
          <w:rStyle w:val="8"/>
          <w:rFonts w:ascii="宋体" w:hAnsi="宋体"/>
          <w:color w:val="auto"/>
          <w:kern w:val="2"/>
          <w:sz w:val="22"/>
          <w:szCs w:val="22"/>
          <w:highlight w:val="none"/>
          <w:u w:val="single"/>
        </w:rPr>
        <w:t xml:space="preserve">                        </w:t>
      </w:r>
    </w:p>
    <w:p w14:paraId="1AE443C2">
      <w:pPr>
        <w:pStyle w:val="13"/>
        <w:spacing w:line="360" w:lineRule="auto"/>
        <w:ind w:firstLine="440" w:firstLineChars="200"/>
        <w:jc w:val="left"/>
        <w:rPr>
          <w:rStyle w:val="8"/>
          <w:rFonts w:ascii="宋体" w:hAnsi="宋体"/>
          <w:color w:val="auto"/>
          <w:kern w:val="2"/>
          <w:sz w:val="22"/>
          <w:szCs w:val="22"/>
          <w:highlight w:val="none"/>
          <w:u w:val="single"/>
        </w:rPr>
      </w:pPr>
      <w:r>
        <w:rPr>
          <w:rStyle w:val="8"/>
          <w:rFonts w:ascii="宋体" w:hAnsi="宋体"/>
          <w:color w:val="auto"/>
          <w:sz w:val="22"/>
          <w:szCs w:val="22"/>
          <w:highlight w:val="none"/>
        </w:rPr>
        <w:t>发包人不按照本项约定组织竣工验收、颁发工程接收证书的违约金的计算方法：</w:t>
      </w:r>
      <w:r>
        <w:rPr>
          <w:rStyle w:val="8"/>
          <w:rFonts w:ascii="宋体" w:hAnsi="宋体"/>
          <w:color w:val="auto"/>
          <w:kern w:val="2"/>
          <w:sz w:val="22"/>
          <w:szCs w:val="22"/>
          <w:highlight w:val="none"/>
          <w:u w:val="single"/>
        </w:rPr>
        <w:t xml:space="preserve">                 </w:t>
      </w:r>
      <w:r>
        <w:rPr>
          <w:rStyle w:val="8"/>
          <w:rFonts w:hint="eastAsia" w:ascii="宋体" w:hAnsi="宋体"/>
          <w:color w:val="auto"/>
          <w:kern w:val="2"/>
          <w:sz w:val="22"/>
          <w:szCs w:val="22"/>
          <w:highlight w:val="none"/>
          <w:u w:val="single"/>
        </w:rPr>
        <w:t xml:space="preserve">             </w:t>
      </w:r>
      <w:r>
        <w:rPr>
          <w:rStyle w:val="8"/>
          <w:rFonts w:ascii="宋体" w:hAnsi="宋体"/>
          <w:color w:val="auto"/>
          <w:kern w:val="2"/>
          <w:sz w:val="22"/>
          <w:szCs w:val="22"/>
          <w:highlight w:val="none"/>
          <w:u w:val="single"/>
        </w:rPr>
        <w:t xml:space="preserve">           </w:t>
      </w:r>
    </w:p>
    <w:p w14:paraId="707E6E6A">
      <w:pPr>
        <w:pStyle w:val="13"/>
        <w:spacing w:line="360" w:lineRule="auto"/>
        <w:jc w:val="left"/>
        <w:rPr>
          <w:rStyle w:val="8"/>
          <w:rFonts w:ascii="宋体" w:hAnsi="宋体"/>
          <w:color w:val="auto"/>
          <w:kern w:val="2"/>
          <w:sz w:val="22"/>
          <w:szCs w:val="22"/>
          <w:highlight w:val="none"/>
        </w:rPr>
      </w:pPr>
      <w:r>
        <w:rPr>
          <w:rStyle w:val="8"/>
          <w:rFonts w:ascii="宋体" w:hAnsi="宋体"/>
          <w:color w:val="auto"/>
          <w:kern w:val="2"/>
          <w:sz w:val="22"/>
          <w:szCs w:val="22"/>
          <w:highlight w:val="none"/>
          <w:u w:val="single"/>
        </w:rPr>
        <w:t xml:space="preserve">          </w:t>
      </w:r>
      <w:r>
        <w:rPr>
          <w:rStyle w:val="8"/>
          <w:rFonts w:hint="eastAsia" w:ascii="宋体" w:hAnsi="宋体"/>
          <w:color w:val="auto"/>
          <w:kern w:val="2"/>
          <w:sz w:val="22"/>
          <w:szCs w:val="22"/>
          <w:highlight w:val="none"/>
          <w:u w:val="single"/>
        </w:rPr>
        <w:t xml:space="preserve">                    /              </w:t>
      </w:r>
      <w:r>
        <w:rPr>
          <w:rStyle w:val="8"/>
          <w:rFonts w:ascii="宋体" w:hAnsi="宋体"/>
          <w:color w:val="auto"/>
          <w:kern w:val="2"/>
          <w:sz w:val="22"/>
          <w:szCs w:val="22"/>
          <w:highlight w:val="none"/>
          <w:u w:val="single"/>
        </w:rPr>
        <w:t xml:space="preserve">            </w:t>
      </w:r>
      <w:r>
        <w:rPr>
          <w:rStyle w:val="8"/>
          <w:rFonts w:ascii="宋体" w:hAnsi="宋体"/>
          <w:color w:val="auto"/>
          <w:kern w:val="2"/>
          <w:sz w:val="22"/>
          <w:szCs w:val="22"/>
          <w:highlight w:val="none"/>
        </w:rPr>
        <w:t>。</w:t>
      </w:r>
    </w:p>
    <w:bookmarkEnd w:id="1005"/>
    <w:p w14:paraId="4F2188DC">
      <w:pPr>
        <w:pStyle w:val="13"/>
        <w:spacing w:line="360" w:lineRule="auto"/>
        <w:ind w:firstLine="440" w:firstLineChars="200"/>
        <w:jc w:val="left"/>
        <w:rPr>
          <w:rStyle w:val="8"/>
          <w:rFonts w:ascii="宋体" w:hAnsi="宋体"/>
          <w:color w:val="auto"/>
          <w:kern w:val="2"/>
          <w:sz w:val="22"/>
          <w:szCs w:val="22"/>
          <w:highlight w:val="none"/>
        </w:rPr>
      </w:pPr>
      <w:r>
        <w:rPr>
          <w:rStyle w:val="8"/>
          <w:rFonts w:ascii="宋体" w:hAnsi="宋体"/>
          <w:color w:val="auto"/>
          <w:kern w:val="2"/>
          <w:sz w:val="22"/>
          <w:szCs w:val="22"/>
          <w:highlight w:val="none"/>
        </w:rPr>
        <w:t>13.2.5移交、接收全部与部分工程</w:t>
      </w:r>
    </w:p>
    <w:bookmarkEnd w:id="1006"/>
    <w:p w14:paraId="71569812">
      <w:pPr>
        <w:pStyle w:val="14"/>
        <w:spacing w:line="360" w:lineRule="auto"/>
        <w:ind w:firstLine="440" w:firstLineChars="200"/>
        <w:jc w:val="left"/>
        <w:rPr>
          <w:rStyle w:val="8"/>
          <w:rFonts w:ascii="宋体" w:hAnsi="宋体"/>
          <w:color w:val="auto"/>
          <w:kern w:val="2"/>
          <w:sz w:val="22"/>
          <w:szCs w:val="22"/>
          <w:highlight w:val="none"/>
          <w:u w:val="single"/>
        </w:rPr>
      </w:pPr>
      <w:r>
        <w:rPr>
          <w:rStyle w:val="8"/>
          <w:rFonts w:hint="eastAsia" w:ascii="宋体" w:hAnsi="宋体"/>
          <w:color w:val="auto"/>
          <w:sz w:val="22"/>
          <w:szCs w:val="22"/>
          <w:highlight w:val="none"/>
        </w:rPr>
        <w:t>承包人向发包人移交工程的期限：</w:t>
      </w:r>
      <w:r>
        <w:rPr>
          <w:rStyle w:val="8"/>
          <w:rFonts w:ascii="宋体" w:hAnsi="宋体"/>
          <w:color w:val="auto"/>
          <w:kern w:val="2"/>
          <w:sz w:val="22"/>
          <w:szCs w:val="22"/>
          <w:highlight w:val="none"/>
          <w:u w:val="single"/>
        </w:rPr>
        <w:t xml:space="preserve"> </w:t>
      </w:r>
      <w:r>
        <w:rPr>
          <w:rStyle w:val="8"/>
          <w:rFonts w:hint="eastAsia" w:ascii="宋体" w:hAnsi="宋体"/>
          <w:color w:val="auto"/>
          <w:kern w:val="2"/>
          <w:sz w:val="22"/>
          <w:szCs w:val="22"/>
          <w:highlight w:val="none"/>
          <w:u w:val="single"/>
        </w:rPr>
        <w:t>乙方向政府相关部门报验并通过审核验收合格后,整体工程验收后10天内，承包人须无条件向发包人移交全部工程   。</w:t>
      </w:r>
    </w:p>
    <w:p w14:paraId="72BFA50B">
      <w:pPr>
        <w:pStyle w:val="13"/>
        <w:spacing w:line="360" w:lineRule="auto"/>
        <w:ind w:firstLine="440" w:firstLineChars="200"/>
        <w:jc w:val="left"/>
        <w:rPr>
          <w:rStyle w:val="8"/>
          <w:rFonts w:ascii="宋体" w:hAnsi="宋体"/>
          <w:color w:val="auto"/>
          <w:kern w:val="2"/>
          <w:sz w:val="22"/>
          <w:szCs w:val="22"/>
          <w:highlight w:val="none"/>
          <w:u w:val="single"/>
        </w:rPr>
      </w:pPr>
      <w:r>
        <w:rPr>
          <w:rStyle w:val="8"/>
          <w:rFonts w:ascii="宋体" w:hAnsi="宋体"/>
          <w:color w:val="auto"/>
          <w:sz w:val="22"/>
          <w:szCs w:val="22"/>
          <w:highlight w:val="none"/>
        </w:rPr>
        <w:t>发包人未按本合同约定接收全部或部分工程的，违约金的计算方法为：</w:t>
      </w:r>
      <w:r>
        <w:rPr>
          <w:rStyle w:val="8"/>
          <w:rFonts w:hint="eastAsia" w:ascii="宋体" w:hAnsi="宋体"/>
          <w:color w:val="auto"/>
          <w:kern w:val="2"/>
          <w:sz w:val="22"/>
          <w:szCs w:val="22"/>
          <w:highlight w:val="none"/>
          <w:u w:val="single"/>
        </w:rPr>
        <w:t xml:space="preserve">  /  </w:t>
      </w:r>
    </w:p>
    <w:bookmarkEnd w:id="1007"/>
    <w:p w14:paraId="2D4B3F18">
      <w:pPr>
        <w:pStyle w:val="13"/>
        <w:spacing w:line="360" w:lineRule="auto"/>
        <w:ind w:firstLine="440" w:firstLineChars="200"/>
        <w:jc w:val="left"/>
        <w:rPr>
          <w:rStyle w:val="8"/>
          <w:rFonts w:ascii="宋体" w:hAnsi="宋体"/>
          <w:color w:val="auto"/>
          <w:kern w:val="2"/>
          <w:sz w:val="22"/>
          <w:szCs w:val="22"/>
          <w:highlight w:val="none"/>
          <w:u w:val="single"/>
        </w:rPr>
      </w:pPr>
      <w:r>
        <w:rPr>
          <w:rStyle w:val="8"/>
          <w:rFonts w:ascii="宋体" w:hAnsi="宋体"/>
          <w:color w:val="auto"/>
          <w:kern w:val="2"/>
          <w:sz w:val="22"/>
          <w:szCs w:val="22"/>
          <w:highlight w:val="none"/>
        </w:rPr>
        <w:t>承包人未按时移交工程的，违约金的计算方法为：</w:t>
      </w:r>
      <w:r>
        <w:rPr>
          <w:rStyle w:val="8"/>
          <w:rFonts w:hint="eastAsia" w:ascii="宋体" w:hAnsi="宋体"/>
          <w:color w:val="auto"/>
          <w:kern w:val="2"/>
          <w:sz w:val="22"/>
          <w:szCs w:val="22"/>
          <w:highlight w:val="none"/>
          <w:u w:val="single"/>
        </w:rPr>
        <w:t xml:space="preserve">  / </w:t>
      </w:r>
    </w:p>
    <w:p w14:paraId="315F5BFD">
      <w:pPr>
        <w:pStyle w:val="13"/>
        <w:spacing w:after="120" w:line="360" w:lineRule="auto"/>
        <w:ind w:firstLine="440" w:firstLineChars="200"/>
        <w:rPr>
          <w:rStyle w:val="8"/>
          <w:rFonts w:ascii="宋体" w:hAnsi="宋体"/>
          <w:color w:val="auto"/>
          <w:kern w:val="2"/>
          <w:sz w:val="22"/>
          <w:szCs w:val="22"/>
          <w:highlight w:val="none"/>
        </w:rPr>
      </w:pPr>
      <w:r>
        <w:rPr>
          <w:rStyle w:val="8"/>
          <w:rFonts w:ascii="宋体" w:hAnsi="宋体"/>
          <w:color w:val="auto"/>
          <w:kern w:val="2"/>
          <w:sz w:val="22"/>
          <w:szCs w:val="22"/>
          <w:highlight w:val="none"/>
        </w:rPr>
        <w:t>13.3 工程试车</w:t>
      </w:r>
    </w:p>
    <w:bookmarkEnd w:id="1008"/>
    <w:p w14:paraId="1D505CBC">
      <w:pPr>
        <w:pStyle w:val="13"/>
        <w:spacing w:line="360" w:lineRule="auto"/>
        <w:ind w:firstLine="440" w:firstLineChars="200"/>
        <w:jc w:val="left"/>
        <w:rPr>
          <w:rStyle w:val="8"/>
          <w:rFonts w:ascii="宋体" w:hAnsi="宋体"/>
          <w:color w:val="auto"/>
          <w:sz w:val="22"/>
          <w:szCs w:val="22"/>
          <w:highlight w:val="none"/>
        </w:rPr>
      </w:pPr>
      <w:r>
        <w:rPr>
          <w:rStyle w:val="8"/>
          <w:rFonts w:ascii="宋体" w:hAnsi="宋体"/>
          <w:color w:val="auto"/>
          <w:sz w:val="22"/>
          <w:szCs w:val="22"/>
          <w:highlight w:val="none"/>
        </w:rPr>
        <w:t>13.3.1 试车程序</w:t>
      </w:r>
    </w:p>
    <w:p w14:paraId="0DDDF4A4">
      <w:pPr>
        <w:pStyle w:val="13"/>
        <w:spacing w:line="360" w:lineRule="auto"/>
        <w:ind w:firstLine="440" w:firstLineChars="200"/>
        <w:jc w:val="left"/>
        <w:rPr>
          <w:rStyle w:val="8"/>
          <w:rFonts w:ascii="宋体" w:hAnsi="宋体"/>
          <w:color w:val="auto"/>
          <w:kern w:val="2"/>
          <w:sz w:val="22"/>
          <w:szCs w:val="22"/>
          <w:highlight w:val="none"/>
          <w:u w:val="single"/>
        </w:rPr>
      </w:pPr>
      <w:r>
        <w:rPr>
          <w:rStyle w:val="8"/>
          <w:rFonts w:ascii="宋体" w:hAnsi="宋体"/>
          <w:color w:val="auto"/>
          <w:sz w:val="22"/>
          <w:szCs w:val="22"/>
          <w:highlight w:val="none"/>
        </w:rPr>
        <w:t>工程试车内容：</w:t>
      </w:r>
      <w:r>
        <w:rPr>
          <w:rStyle w:val="8"/>
          <w:rFonts w:ascii="宋体" w:hAnsi="宋体"/>
          <w:color w:val="auto"/>
          <w:kern w:val="2"/>
          <w:sz w:val="22"/>
          <w:szCs w:val="22"/>
          <w:highlight w:val="none"/>
          <w:u w:val="single"/>
        </w:rPr>
        <w:t xml:space="preserve">             </w:t>
      </w:r>
      <w:r>
        <w:rPr>
          <w:rStyle w:val="8"/>
          <w:rFonts w:hint="eastAsia" w:ascii="宋体" w:hAnsi="宋体"/>
          <w:color w:val="auto"/>
          <w:kern w:val="2"/>
          <w:sz w:val="22"/>
          <w:szCs w:val="22"/>
          <w:highlight w:val="none"/>
          <w:u w:val="single"/>
        </w:rPr>
        <w:t xml:space="preserve">              </w:t>
      </w:r>
      <w:r>
        <w:rPr>
          <w:rStyle w:val="8"/>
          <w:rFonts w:ascii="宋体" w:hAnsi="宋体"/>
          <w:color w:val="auto"/>
          <w:kern w:val="2"/>
          <w:sz w:val="22"/>
          <w:szCs w:val="22"/>
          <w:highlight w:val="none"/>
          <w:u w:val="single"/>
        </w:rPr>
        <w:t xml:space="preserve">        </w:t>
      </w:r>
      <w:r>
        <w:rPr>
          <w:rStyle w:val="8"/>
          <w:rFonts w:hint="eastAsia" w:ascii="宋体" w:hAnsi="宋体"/>
          <w:color w:val="auto"/>
          <w:kern w:val="2"/>
          <w:sz w:val="22"/>
          <w:szCs w:val="22"/>
          <w:highlight w:val="none"/>
          <w:u w:val="single"/>
        </w:rPr>
        <w:t xml:space="preserve"> </w:t>
      </w:r>
      <w:r>
        <w:rPr>
          <w:rStyle w:val="8"/>
          <w:rFonts w:ascii="宋体" w:hAnsi="宋体"/>
          <w:color w:val="auto"/>
          <w:kern w:val="2"/>
          <w:sz w:val="22"/>
          <w:szCs w:val="22"/>
          <w:highlight w:val="none"/>
          <w:u w:val="single"/>
        </w:rPr>
        <w:t xml:space="preserve">    </w:t>
      </w:r>
    </w:p>
    <w:p w14:paraId="768534CA">
      <w:pPr>
        <w:pStyle w:val="13"/>
        <w:spacing w:line="360" w:lineRule="auto"/>
        <w:jc w:val="left"/>
        <w:rPr>
          <w:rStyle w:val="8"/>
          <w:rFonts w:ascii="宋体" w:hAnsi="宋体"/>
          <w:color w:val="auto"/>
          <w:sz w:val="22"/>
          <w:szCs w:val="22"/>
          <w:highlight w:val="none"/>
        </w:rPr>
      </w:pPr>
      <w:r>
        <w:rPr>
          <w:rStyle w:val="8"/>
          <w:rFonts w:ascii="宋体" w:hAnsi="宋体"/>
          <w:color w:val="auto"/>
          <w:kern w:val="2"/>
          <w:sz w:val="22"/>
          <w:szCs w:val="22"/>
          <w:highlight w:val="none"/>
          <w:u w:val="single"/>
        </w:rPr>
        <w:t xml:space="preserve">       </w:t>
      </w:r>
      <w:r>
        <w:rPr>
          <w:rStyle w:val="8"/>
          <w:rFonts w:hint="eastAsia" w:ascii="宋体" w:hAnsi="宋体"/>
          <w:color w:val="auto"/>
          <w:kern w:val="2"/>
          <w:sz w:val="22"/>
          <w:szCs w:val="22"/>
          <w:highlight w:val="none"/>
          <w:u w:val="single"/>
        </w:rPr>
        <w:t xml:space="preserve">                                                                                                          </w:t>
      </w:r>
      <w:r>
        <w:rPr>
          <w:rStyle w:val="8"/>
          <w:rFonts w:ascii="宋体" w:hAnsi="宋体"/>
          <w:color w:val="auto"/>
          <w:kern w:val="2"/>
          <w:sz w:val="22"/>
          <w:szCs w:val="22"/>
          <w:highlight w:val="none"/>
          <w:u w:val="single"/>
        </w:rPr>
        <w:t xml:space="preserve">  </w:t>
      </w:r>
      <w:r>
        <w:rPr>
          <w:rStyle w:val="8"/>
          <w:rFonts w:ascii="宋体" w:hAnsi="宋体"/>
          <w:color w:val="auto"/>
          <w:kern w:val="2"/>
          <w:sz w:val="22"/>
          <w:szCs w:val="22"/>
          <w:highlight w:val="none"/>
        </w:rPr>
        <w:t>。</w:t>
      </w:r>
    </w:p>
    <w:p w14:paraId="5E3CDE3A">
      <w:pPr>
        <w:pStyle w:val="13"/>
        <w:spacing w:line="360" w:lineRule="auto"/>
        <w:ind w:firstLine="440" w:firstLineChars="200"/>
        <w:jc w:val="left"/>
        <w:rPr>
          <w:rStyle w:val="8"/>
          <w:rFonts w:ascii="宋体" w:hAnsi="宋体"/>
          <w:color w:val="auto"/>
          <w:sz w:val="22"/>
          <w:szCs w:val="22"/>
          <w:highlight w:val="none"/>
        </w:rPr>
      </w:pPr>
      <w:r>
        <w:rPr>
          <w:rStyle w:val="8"/>
          <w:rFonts w:ascii="宋体" w:hAnsi="宋体"/>
          <w:color w:val="auto"/>
          <w:sz w:val="22"/>
          <w:szCs w:val="22"/>
          <w:highlight w:val="none"/>
        </w:rPr>
        <w:t>（1）单机无负荷试车费用由</w:t>
      </w:r>
      <w:r>
        <w:rPr>
          <w:rStyle w:val="8"/>
          <w:rFonts w:ascii="宋体" w:hAnsi="宋体"/>
          <w:color w:val="auto"/>
          <w:kern w:val="2"/>
          <w:sz w:val="22"/>
          <w:szCs w:val="22"/>
          <w:highlight w:val="none"/>
          <w:u w:val="single"/>
        </w:rPr>
        <w:t xml:space="preserve">                     </w:t>
      </w:r>
      <w:r>
        <w:rPr>
          <w:rStyle w:val="8"/>
          <w:rFonts w:ascii="宋体" w:hAnsi="宋体"/>
          <w:color w:val="auto"/>
          <w:sz w:val="22"/>
          <w:szCs w:val="22"/>
          <w:highlight w:val="none"/>
        </w:rPr>
        <w:t>承担；</w:t>
      </w:r>
    </w:p>
    <w:p w14:paraId="2BAA0CA2">
      <w:pPr>
        <w:pStyle w:val="13"/>
        <w:spacing w:line="360" w:lineRule="auto"/>
        <w:ind w:firstLine="440" w:firstLineChars="200"/>
        <w:jc w:val="left"/>
        <w:rPr>
          <w:rStyle w:val="8"/>
          <w:rFonts w:ascii="宋体" w:hAnsi="宋体"/>
          <w:color w:val="auto"/>
          <w:sz w:val="22"/>
          <w:szCs w:val="22"/>
          <w:highlight w:val="none"/>
        </w:rPr>
      </w:pPr>
      <w:r>
        <w:rPr>
          <w:rStyle w:val="8"/>
          <w:rFonts w:ascii="宋体" w:hAnsi="宋体"/>
          <w:color w:val="auto"/>
          <w:sz w:val="22"/>
          <w:szCs w:val="22"/>
          <w:highlight w:val="none"/>
        </w:rPr>
        <w:t>（2）无负荷联动试车费用由</w:t>
      </w:r>
      <w:r>
        <w:rPr>
          <w:rStyle w:val="8"/>
          <w:rFonts w:ascii="宋体" w:hAnsi="宋体"/>
          <w:color w:val="auto"/>
          <w:kern w:val="2"/>
          <w:sz w:val="22"/>
          <w:szCs w:val="22"/>
          <w:highlight w:val="none"/>
          <w:u w:val="single"/>
        </w:rPr>
        <w:t xml:space="preserve">                     </w:t>
      </w:r>
      <w:r>
        <w:rPr>
          <w:rStyle w:val="8"/>
          <w:rFonts w:ascii="宋体" w:hAnsi="宋体"/>
          <w:color w:val="auto"/>
          <w:sz w:val="22"/>
          <w:szCs w:val="22"/>
          <w:highlight w:val="none"/>
        </w:rPr>
        <w:t>承担。</w:t>
      </w:r>
    </w:p>
    <w:p w14:paraId="73D9396A">
      <w:pPr>
        <w:pStyle w:val="13"/>
        <w:spacing w:line="360" w:lineRule="auto"/>
        <w:ind w:firstLine="440" w:firstLineChars="200"/>
        <w:jc w:val="left"/>
        <w:rPr>
          <w:rStyle w:val="8"/>
          <w:rFonts w:ascii="宋体" w:hAnsi="宋体"/>
          <w:color w:val="auto"/>
          <w:sz w:val="22"/>
          <w:szCs w:val="22"/>
          <w:highlight w:val="none"/>
        </w:rPr>
      </w:pPr>
      <w:r>
        <w:rPr>
          <w:rStyle w:val="8"/>
          <w:rFonts w:ascii="宋体" w:hAnsi="宋体"/>
          <w:color w:val="auto"/>
          <w:sz w:val="22"/>
          <w:szCs w:val="22"/>
          <w:highlight w:val="none"/>
        </w:rPr>
        <w:t>13.3.3 投料试车</w:t>
      </w:r>
    </w:p>
    <w:p w14:paraId="01C530A2">
      <w:pPr>
        <w:pStyle w:val="13"/>
        <w:spacing w:line="360" w:lineRule="auto"/>
        <w:ind w:firstLine="440" w:firstLineChars="200"/>
        <w:jc w:val="left"/>
        <w:rPr>
          <w:rStyle w:val="8"/>
          <w:rFonts w:ascii="宋体" w:hAnsi="宋体"/>
          <w:color w:val="auto"/>
          <w:kern w:val="2"/>
          <w:sz w:val="22"/>
          <w:szCs w:val="22"/>
          <w:highlight w:val="none"/>
          <w:u w:val="single"/>
        </w:rPr>
      </w:pPr>
      <w:r>
        <w:rPr>
          <w:rStyle w:val="8"/>
          <w:rFonts w:hint="eastAsia" w:ascii="宋体" w:hAnsi="宋体"/>
          <w:color w:val="auto"/>
          <w:sz w:val="22"/>
          <w:szCs w:val="22"/>
          <w:highlight w:val="none"/>
        </w:rPr>
        <w:t>关于投料试车相关事项的约定：</w:t>
      </w:r>
      <w:r>
        <w:rPr>
          <w:rStyle w:val="8"/>
          <w:rFonts w:hint="eastAsia" w:ascii="宋体" w:hAnsi="宋体"/>
          <w:color w:val="auto"/>
          <w:kern w:val="2"/>
          <w:sz w:val="22"/>
          <w:szCs w:val="22"/>
          <w:highlight w:val="none"/>
          <w:u w:val="single"/>
        </w:rPr>
        <w:t xml:space="preserve">                           </w:t>
      </w:r>
    </w:p>
    <w:p w14:paraId="356A3791">
      <w:pPr>
        <w:pStyle w:val="13"/>
        <w:spacing w:line="360" w:lineRule="auto"/>
        <w:jc w:val="left"/>
        <w:rPr>
          <w:rStyle w:val="8"/>
          <w:rFonts w:ascii="宋体" w:hAnsi="宋体"/>
          <w:color w:val="auto"/>
          <w:sz w:val="22"/>
          <w:szCs w:val="22"/>
          <w:highlight w:val="none"/>
        </w:rPr>
      </w:pPr>
      <w:r>
        <w:rPr>
          <w:rStyle w:val="8"/>
          <w:rFonts w:hint="eastAsia" w:ascii="宋体" w:hAnsi="宋体"/>
          <w:color w:val="auto"/>
          <w:kern w:val="2"/>
          <w:sz w:val="22"/>
          <w:szCs w:val="22"/>
          <w:highlight w:val="none"/>
          <w:u w:val="single"/>
        </w:rPr>
        <w:t xml:space="preserve">                                                       </w:t>
      </w:r>
      <w:r>
        <w:rPr>
          <w:rStyle w:val="8"/>
          <w:rFonts w:ascii="宋体" w:hAnsi="宋体"/>
          <w:color w:val="auto"/>
          <w:kern w:val="2"/>
          <w:sz w:val="22"/>
          <w:szCs w:val="22"/>
          <w:highlight w:val="none"/>
          <w:u w:val="single"/>
        </w:rPr>
        <w:t xml:space="preserve">  </w:t>
      </w:r>
      <w:r>
        <w:rPr>
          <w:rStyle w:val="8"/>
          <w:rFonts w:ascii="宋体" w:hAnsi="宋体"/>
          <w:color w:val="auto"/>
          <w:kern w:val="2"/>
          <w:sz w:val="22"/>
          <w:szCs w:val="22"/>
          <w:highlight w:val="none"/>
        </w:rPr>
        <w:t>。</w:t>
      </w:r>
    </w:p>
    <w:p w14:paraId="11646792">
      <w:pPr>
        <w:pStyle w:val="13"/>
        <w:spacing w:after="120" w:line="360" w:lineRule="auto"/>
        <w:ind w:firstLine="440" w:firstLineChars="200"/>
        <w:rPr>
          <w:rStyle w:val="8"/>
          <w:rFonts w:ascii="宋体" w:hAnsi="宋体"/>
          <w:color w:val="auto"/>
          <w:kern w:val="2"/>
          <w:sz w:val="22"/>
          <w:szCs w:val="22"/>
          <w:highlight w:val="none"/>
        </w:rPr>
      </w:pPr>
      <w:bookmarkStart w:id="1010" w:name="_Toc256000113"/>
      <w:bookmarkStart w:id="1011" w:name="_Toc59198340"/>
      <w:bookmarkStart w:id="1012" w:name="_Toc45291960"/>
      <w:bookmarkStart w:id="1013" w:name="_Toc351203646"/>
      <w:r>
        <w:rPr>
          <w:rStyle w:val="8"/>
          <w:rFonts w:hint="eastAsia" w:ascii="宋体" w:hAnsi="宋体"/>
          <w:color w:val="auto"/>
          <w:kern w:val="2"/>
          <w:sz w:val="22"/>
          <w:szCs w:val="22"/>
          <w:highlight w:val="none"/>
        </w:rPr>
        <w:t>13.6 竣工退场</w:t>
      </w:r>
      <w:bookmarkEnd w:id="1010"/>
      <w:bookmarkEnd w:id="1011"/>
      <w:bookmarkEnd w:id="1012"/>
    </w:p>
    <w:p w14:paraId="3A6DBAA8">
      <w:pPr>
        <w:pStyle w:val="13"/>
        <w:spacing w:line="360" w:lineRule="auto"/>
        <w:ind w:firstLine="440" w:firstLineChars="200"/>
        <w:jc w:val="left"/>
        <w:rPr>
          <w:rStyle w:val="8"/>
          <w:rFonts w:ascii="宋体" w:hAnsi="宋体"/>
          <w:color w:val="auto"/>
          <w:kern w:val="2"/>
          <w:sz w:val="22"/>
          <w:szCs w:val="22"/>
          <w:highlight w:val="none"/>
        </w:rPr>
      </w:pPr>
      <w:r>
        <w:rPr>
          <w:rStyle w:val="8"/>
          <w:rFonts w:hint="eastAsia" w:ascii="宋体" w:hAnsi="宋体"/>
          <w:color w:val="auto"/>
          <w:kern w:val="2"/>
          <w:sz w:val="22"/>
          <w:szCs w:val="22"/>
          <w:highlight w:val="none"/>
        </w:rPr>
        <w:t>13.6.1 竣工退场</w:t>
      </w:r>
    </w:p>
    <w:p w14:paraId="36F5E379">
      <w:pPr>
        <w:pStyle w:val="14"/>
        <w:spacing w:line="360" w:lineRule="auto"/>
        <w:ind w:firstLine="440" w:firstLineChars="200"/>
        <w:jc w:val="left"/>
        <w:rPr>
          <w:rStyle w:val="8"/>
          <w:rFonts w:ascii="宋体" w:hAnsi="宋体"/>
          <w:color w:val="auto"/>
          <w:kern w:val="2"/>
          <w:sz w:val="22"/>
          <w:szCs w:val="22"/>
          <w:highlight w:val="none"/>
          <w:u w:val="single"/>
        </w:rPr>
      </w:pPr>
      <w:r>
        <w:rPr>
          <w:rStyle w:val="8"/>
          <w:rFonts w:hint="eastAsia" w:ascii="宋体" w:hAnsi="宋体"/>
          <w:color w:val="auto"/>
          <w:sz w:val="22"/>
          <w:szCs w:val="22"/>
          <w:highlight w:val="none"/>
        </w:rPr>
        <w:t>承包人完成竣工退场的期限：</w:t>
      </w:r>
      <w:r>
        <w:rPr>
          <w:rStyle w:val="8"/>
          <w:rFonts w:hint="eastAsia" w:ascii="宋体" w:hAnsi="宋体"/>
          <w:color w:val="auto"/>
          <w:kern w:val="2"/>
          <w:sz w:val="22"/>
          <w:szCs w:val="22"/>
          <w:highlight w:val="none"/>
          <w:u w:val="single"/>
        </w:rPr>
        <w:t xml:space="preserve"> 竣工验收合格，并提交完整的工程存档资料后退场  。</w:t>
      </w:r>
    </w:p>
    <w:p w14:paraId="39B413E2">
      <w:pPr>
        <w:pStyle w:val="15"/>
        <w:spacing w:before="120" w:after="120" w:line="360" w:lineRule="auto"/>
        <w:rPr>
          <w:rStyle w:val="8"/>
          <w:rFonts w:ascii="宋体" w:hAnsi="宋体" w:eastAsia="宋体"/>
          <w:b w:val="0"/>
          <w:color w:val="auto"/>
          <w:sz w:val="22"/>
          <w:szCs w:val="22"/>
          <w:highlight w:val="none"/>
        </w:rPr>
      </w:pPr>
      <w:bookmarkStart w:id="1014" w:name="_Toc24276"/>
      <w:bookmarkStart w:id="1015" w:name="_Toc256000582"/>
      <w:bookmarkStart w:id="1016" w:name="_Toc69461828"/>
      <w:bookmarkStart w:id="1017" w:name="_Toc256001316"/>
      <w:bookmarkStart w:id="1018" w:name="_Toc256001086"/>
      <w:bookmarkStart w:id="1019" w:name="_Toc256000353"/>
      <w:bookmarkStart w:id="1020" w:name="_Toc256000849"/>
      <w:bookmarkStart w:id="1021" w:name="_Toc69461173"/>
      <w:bookmarkStart w:id="1022" w:name="_Toc8609"/>
      <w:r>
        <w:rPr>
          <w:rStyle w:val="8"/>
          <w:rFonts w:ascii="宋体" w:hAnsi="宋体" w:eastAsia="宋体"/>
          <w:b w:val="0"/>
          <w:color w:val="auto"/>
          <w:sz w:val="22"/>
          <w:szCs w:val="22"/>
          <w:highlight w:val="none"/>
        </w:rPr>
        <w:t>14. 竣工结算</w:t>
      </w:r>
      <w:bookmarkEnd w:id="1013"/>
      <w:bookmarkEnd w:id="1014"/>
      <w:bookmarkEnd w:id="1015"/>
      <w:bookmarkEnd w:id="1016"/>
      <w:bookmarkEnd w:id="1017"/>
      <w:bookmarkEnd w:id="1018"/>
      <w:bookmarkEnd w:id="1019"/>
      <w:bookmarkEnd w:id="1020"/>
      <w:bookmarkEnd w:id="1021"/>
      <w:bookmarkEnd w:id="1022"/>
    </w:p>
    <w:p w14:paraId="5A40B7FC">
      <w:pPr>
        <w:pStyle w:val="13"/>
        <w:spacing w:after="120" w:line="360" w:lineRule="auto"/>
        <w:ind w:firstLine="440" w:firstLineChars="200"/>
        <w:rPr>
          <w:rStyle w:val="8"/>
          <w:rFonts w:ascii="宋体" w:hAnsi="宋体"/>
          <w:color w:val="auto"/>
          <w:kern w:val="2"/>
          <w:sz w:val="22"/>
          <w:szCs w:val="22"/>
          <w:highlight w:val="none"/>
        </w:rPr>
      </w:pPr>
      <w:r>
        <w:rPr>
          <w:rStyle w:val="8"/>
          <w:rFonts w:ascii="宋体" w:hAnsi="宋体"/>
          <w:color w:val="auto"/>
          <w:kern w:val="2"/>
          <w:sz w:val="22"/>
          <w:szCs w:val="22"/>
          <w:highlight w:val="none"/>
        </w:rPr>
        <w:t>14.1 竣工</w:t>
      </w:r>
      <w:r>
        <w:rPr>
          <w:rStyle w:val="8"/>
          <w:rFonts w:hint="eastAsia" w:ascii="宋体" w:hAnsi="宋体"/>
          <w:color w:val="auto"/>
          <w:kern w:val="2"/>
          <w:sz w:val="22"/>
          <w:szCs w:val="22"/>
          <w:highlight w:val="none"/>
        </w:rPr>
        <w:t>结算</w:t>
      </w:r>
      <w:r>
        <w:rPr>
          <w:rStyle w:val="8"/>
          <w:rFonts w:ascii="宋体" w:hAnsi="宋体"/>
          <w:color w:val="auto"/>
          <w:kern w:val="2"/>
          <w:sz w:val="22"/>
          <w:szCs w:val="22"/>
          <w:highlight w:val="none"/>
        </w:rPr>
        <w:t>申请</w:t>
      </w:r>
    </w:p>
    <w:p w14:paraId="2F18B6EF">
      <w:pPr>
        <w:pStyle w:val="13"/>
        <w:spacing w:line="360" w:lineRule="auto"/>
        <w:ind w:firstLine="440" w:firstLineChars="200"/>
        <w:jc w:val="left"/>
        <w:rPr>
          <w:rStyle w:val="8"/>
          <w:rFonts w:ascii="宋体" w:hAnsi="宋体"/>
          <w:color w:val="auto"/>
          <w:kern w:val="2"/>
          <w:sz w:val="22"/>
          <w:szCs w:val="22"/>
          <w:highlight w:val="none"/>
        </w:rPr>
      </w:pPr>
      <w:r>
        <w:rPr>
          <w:rStyle w:val="8"/>
          <w:rFonts w:ascii="宋体" w:hAnsi="宋体"/>
          <w:color w:val="auto"/>
          <w:kern w:val="2"/>
          <w:sz w:val="22"/>
          <w:szCs w:val="22"/>
          <w:highlight w:val="none"/>
        </w:rPr>
        <w:t>承包人提交竣工</w:t>
      </w:r>
      <w:r>
        <w:rPr>
          <w:rStyle w:val="8"/>
          <w:rFonts w:hint="eastAsia" w:ascii="宋体" w:hAnsi="宋体"/>
          <w:color w:val="auto"/>
          <w:kern w:val="2"/>
          <w:sz w:val="22"/>
          <w:szCs w:val="22"/>
          <w:highlight w:val="none"/>
        </w:rPr>
        <w:t>结算</w:t>
      </w:r>
      <w:r>
        <w:rPr>
          <w:rStyle w:val="8"/>
          <w:rFonts w:ascii="宋体" w:hAnsi="宋体"/>
          <w:color w:val="auto"/>
          <w:kern w:val="2"/>
          <w:sz w:val="22"/>
          <w:szCs w:val="22"/>
          <w:highlight w:val="none"/>
        </w:rPr>
        <w:t>申请单的期限：</w:t>
      </w:r>
      <w:r>
        <w:rPr>
          <w:rStyle w:val="8"/>
          <w:rFonts w:ascii="宋体" w:hAnsi="宋体"/>
          <w:color w:val="auto"/>
          <w:kern w:val="2"/>
          <w:sz w:val="22"/>
          <w:szCs w:val="22"/>
          <w:highlight w:val="none"/>
          <w:u w:val="single"/>
        </w:rPr>
        <w:t xml:space="preserve">            </w:t>
      </w:r>
      <w:r>
        <w:rPr>
          <w:rStyle w:val="8"/>
          <w:rFonts w:hint="eastAsia" w:ascii="宋体" w:hAnsi="宋体"/>
          <w:color w:val="auto"/>
          <w:kern w:val="2"/>
          <w:sz w:val="22"/>
          <w:szCs w:val="22"/>
          <w:highlight w:val="none"/>
          <w:u w:val="single"/>
        </w:rPr>
        <w:t xml:space="preserve"> </w:t>
      </w:r>
      <w:r>
        <w:rPr>
          <w:rStyle w:val="8"/>
          <w:rFonts w:ascii="宋体" w:hAnsi="宋体"/>
          <w:color w:val="auto"/>
          <w:kern w:val="2"/>
          <w:sz w:val="22"/>
          <w:szCs w:val="22"/>
          <w:highlight w:val="none"/>
          <w:u w:val="single"/>
        </w:rPr>
        <w:t xml:space="preserve">   </w:t>
      </w:r>
      <w:r>
        <w:rPr>
          <w:rStyle w:val="8"/>
          <w:rFonts w:hint="eastAsia" w:ascii="宋体" w:hAnsi="宋体"/>
          <w:color w:val="auto"/>
          <w:kern w:val="2"/>
          <w:sz w:val="22"/>
          <w:szCs w:val="22"/>
          <w:highlight w:val="none"/>
          <w:u w:val="single"/>
        </w:rPr>
        <w:t xml:space="preserve"> </w:t>
      </w:r>
      <w:r>
        <w:rPr>
          <w:rStyle w:val="8"/>
          <w:rFonts w:ascii="宋体" w:hAnsi="宋体"/>
          <w:color w:val="auto"/>
          <w:kern w:val="2"/>
          <w:sz w:val="22"/>
          <w:szCs w:val="22"/>
          <w:highlight w:val="none"/>
          <w:u w:val="single"/>
        </w:rPr>
        <w:t xml:space="preserve">   </w:t>
      </w:r>
      <w:r>
        <w:rPr>
          <w:rStyle w:val="8"/>
          <w:rFonts w:ascii="宋体" w:hAnsi="宋体"/>
          <w:color w:val="auto"/>
          <w:kern w:val="2"/>
          <w:sz w:val="22"/>
          <w:szCs w:val="22"/>
          <w:highlight w:val="none"/>
        </w:rPr>
        <w:t>。</w:t>
      </w:r>
    </w:p>
    <w:p w14:paraId="1E50D026">
      <w:pPr>
        <w:pStyle w:val="13"/>
        <w:spacing w:line="360" w:lineRule="auto"/>
        <w:ind w:firstLine="440" w:firstLineChars="200"/>
        <w:jc w:val="left"/>
        <w:rPr>
          <w:rStyle w:val="8"/>
          <w:rFonts w:ascii="宋体" w:hAnsi="宋体"/>
          <w:color w:val="auto"/>
          <w:kern w:val="2"/>
          <w:sz w:val="22"/>
          <w:szCs w:val="22"/>
          <w:highlight w:val="none"/>
          <w:u w:val="single"/>
        </w:rPr>
      </w:pPr>
      <w:r>
        <w:rPr>
          <w:rStyle w:val="8"/>
          <w:rFonts w:ascii="宋体" w:hAnsi="宋体"/>
          <w:color w:val="auto"/>
          <w:kern w:val="2"/>
          <w:sz w:val="22"/>
          <w:szCs w:val="22"/>
          <w:highlight w:val="none"/>
        </w:rPr>
        <w:t>竣工</w:t>
      </w:r>
      <w:r>
        <w:rPr>
          <w:rStyle w:val="8"/>
          <w:rFonts w:hint="eastAsia" w:ascii="宋体" w:hAnsi="宋体"/>
          <w:color w:val="auto"/>
          <w:kern w:val="2"/>
          <w:sz w:val="22"/>
          <w:szCs w:val="22"/>
          <w:highlight w:val="none"/>
        </w:rPr>
        <w:t>结算</w:t>
      </w:r>
      <w:r>
        <w:rPr>
          <w:rStyle w:val="8"/>
          <w:rFonts w:ascii="宋体" w:hAnsi="宋体"/>
          <w:color w:val="auto"/>
          <w:kern w:val="2"/>
          <w:sz w:val="22"/>
          <w:szCs w:val="22"/>
          <w:highlight w:val="none"/>
        </w:rPr>
        <w:t>申请单应包括的内容：</w:t>
      </w:r>
      <w:r>
        <w:rPr>
          <w:rStyle w:val="8"/>
          <w:rFonts w:ascii="宋体" w:hAnsi="宋体"/>
          <w:color w:val="auto"/>
          <w:kern w:val="2"/>
          <w:sz w:val="22"/>
          <w:szCs w:val="22"/>
          <w:highlight w:val="none"/>
          <w:u w:val="single"/>
        </w:rPr>
        <w:t xml:space="preserve">      </w:t>
      </w:r>
      <w:r>
        <w:rPr>
          <w:rStyle w:val="8"/>
          <w:rFonts w:hint="eastAsia" w:ascii="宋体" w:hAnsi="宋体"/>
          <w:color w:val="auto"/>
          <w:kern w:val="2"/>
          <w:sz w:val="22"/>
          <w:szCs w:val="22"/>
          <w:highlight w:val="none"/>
          <w:u w:val="single"/>
        </w:rPr>
        <w:t>执行通用条款 。</w:t>
      </w:r>
      <w:r>
        <w:rPr>
          <w:rStyle w:val="8"/>
          <w:rFonts w:ascii="宋体" w:hAnsi="宋体"/>
          <w:color w:val="auto"/>
          <w:kern w:val="2"/>
          <w:sz w:val="22"/>
          <w:szCs w:val="22"/>
          <w:highlight w:val="none"/>
          <w:u w:val="single"/>
        </w:rPr>
        <w:t xml:space="preserve">    </w:t>
      </w:r>
      <w:r>
        <w:rPr>
          <w:rStyle w:val="8"/>
          <w:rFonts w:hint="eastAsia" w:ascii="宋体" w:hAnsi="宋体"/>
          <w:color w:val="auto"/>
          <w:kern w:val="2"/>
          <w:sz w:val="22"/>
          <w:szCs w:val="22"/>
          <w:highlight w:val="none"/>
          <w:u w:val="single"/>
        </w:rPr>
        <w:t xml:space="preserve">         </w:t>
      </w:r>
      <w:r>
        <w:rPr>
          <w:rStyle w:val="8"/>
          <w:rFonts w:ascii="宋体" w:hAnsi="宋体"/>
          <w:color w:val="auto"/>
          <w:kern w:val="2"/>
          <w:sz w:val="22"/>
          <w:szCs w:val="22"/>
          <w:highlight w:val="none"/>
          <w:u w:val="single"/>
        </w:rPr>
        <w:t xml:space="preserve">     </w:t>
      </w:r>
    </w:p>
    <w:p w14:paraId="592671C8">
      <w:pPr>
        <w:pStyle w:val="13"/>
        <w:spacing w:after="120" w:line="360" w:lineRule="auto"/>
        <w:ind w:firstLine="440" w:firstLineChars="200"/>
        <w:outlineLvl w:val="0"/>
        <w:rPr>
          <w:rStyle w:val="8"/>
          <w:rFonts w:ascii="宋体" w:hAnsi="宋体"/>
          <w:color w:val="auto"/>
          <w:kern w:val="2"/>
          <w:sz w:val="22"/>
          <w:szCs w:val="22"/>
          <w:highlight w:val="none"/>
        </w:rPr>
      </w:pPr>
      <w:bookmarkStart w:id="1023" w:name="_Toc69461174"/>
      <w:bookmarkStart w:id="1024" w:name="_Toc2368"/>
      <w:bookmarkStart w:id="1025" w:name="_Toc18186"/>
      <w:bookmarkStart w:id="1026" w:name="_Toc711"/>
      <w:bookmarkStart w:id="1027" w:name="_Toc256000583"/>
      <w:bookmarkStart w:id="1028" w:name="_Toc256000850"/>
      <w:bookmarkStart w:id="1029" w:name="_Toc69461829"/>
      <w:bookmarkStart w:id="1030" w:name="_Toc256000064"/>
      <w:bookmarkStart w:id="1031" w:name="_Toc256001317"/>
      <w:bookmarkStart w:id="1032" w:name="_Toc28482"/>
      <w:bookmarkStart w:id="1033" w:name="_Toc256001087"/>
      <w:bookmarkStart w:id="1034" w:name="_Toc256000097"/>
      <w:bookmarkStart w:id="1035" w:name="_Toc256000354"/>
      <w:r>
        <w:rPr>
          <w:rStyle w:val="8"/>
          <w:rFonts w:ascii="宋体" w:hAnsi="宋体"/>
          <w:color w:val="auto"/>
          <w:kern w:val="2"/>
          <w:sz w:val="22"/>
          <w:szCs w:val="22"/>
          <w:highlight w:val="none"/>
        </w:rPr>
        <w:t>14.2 竣工结算审核</w:t>
      </w:r>
      <w:bookmarkEnd w:id="1023"/>
      <w:bookmarkEnd w:id="1024"/>
      <w:bookmarkEnd w:id="1025"/>
      <w:bookmarkEnd w:id="1026"/>
      <w:bookmarkEnd w:id="1027"/>
      <w:bookmarkEnd w:id="1028"/>
      <w:bookmarkEnd w:id="1029"/>
      <w:bookmarkEnd w:id="1030"/>
      <w:bookmarkEnd w:id="1031"/>
      <w:bookmarkEnd w:id="1032"/>
      <w:bookmarkEnd w:id="1033"/>
      <w:bookmarkEnd w:id="1034"/>
      <w:bookmarkEnd w:id="1035"/>
    </w:p>
    <w:p w14:paraId="6860273C">
      <w:pPr>
        <w:pStyle w:val="13"/>
        <w:spacing w:line="360" w:lineRule="auto"/>
        <w:ind w:firstLine="440" w:firstLineChars="200"/>
        <w:jc w:val="left"/>
        <w:rPr>
          <w:rStyle w:val="8"/>
          <w:rFonts w:ascii="宋体" w:hAnsi="宋体"/>
          <w:color w:val="auto"/>
          <w:kern w:val="2"/>
          <w:sz w:val="22"/>
          <w:szCs w:val="22"/>
          <w:highlight w:val="none"/>
        </w:rPr>
      </w:pPr>
      <w:r>
        <w:rPr>
          <w:rStyle w:val="8"/>
          <w:rFonts w:ascii="宋体" w:hAnsi="宋体"/>
          <w:color w:val="auto"/>
          <w:kern w:val="2"/>
          <w:sz w:val="22"/>
          <w:szCs w:val="22"/>
          <w:highlight w:val="none"/>
        </w:rPr>
        <w:t>发包人</w:t>
      </w:r>
      <w:r>
        <w:rPr>
          <w:rStyle w:val="8"/>
          <w:rFonts w:hint="eastAsia" w:ascii="宋体" w:hAnsi="宋体"/>
          <w:color w:val="auto"/>
          <w:kern w:val="2"/>
          <w:sz w:val="22"/>
          <w:szCs w:val="22"/>
          <w:highlight w:val="none"/>
        </w:rPr>
        <w:t>审批</w:t>
      </w:r>
      <w:r>
        <w:rPr>
          <w:rStyle w:val="8"/>
          <w:rFonts w:ascii="宋体" w:hAnsi="宋体"/>
          <w:color w:val="auto"/>
          <w:kern w:val="2"/>
          <w:sz w:val="22"/>
          <w:szCs w:val="22"/>
          <w:highlight w:val="none"/>
        </w:rPr>
        <w:t>竣工付款申请单的期限：</w:t>
      </w:r>
      <w:r>
        <w:rPr>
          <w:rStyle w:val="8"/>
          <w:rFonts w:ascii="宋体" w:hAnsi="宋体"/>
          <w:color w:val="auto"/>
          <w:kern w:val="2"/>
          <w:sz w:val="22"/>
          <w:szCs w:val="22"/>
          <w:highlight w:val="none"/>
          <w:u w:val="single"/>
        </w:rPr>
        <w:t xml:space="preserve">             </w:t>
      </w:r>
      <w:r>
        <w:rPr>
          <w:rStyle w:val="8"/>
          <w:rFonts w:hint="eastAsia" w:ascii="宋体" w:hAnsi="宋体"/>
          <w:color w:val="auto"/>
          <w:kern w:val="2"/>
          <w:sz w:val="22"/>
          <w:szCs w:val="22"/>
          <w:highlight w:val="none"/>
          <w:u w:val="single"/>
        </w:rPr>
        <w:t xml:space="preserve"> </w:t>
      </w:r>
      <w:r>
        <w:rPr>
          <w:rStyle w:val="8"/>
          <w:rFonts w:ascii="宋体" w:hAnsi="宋体"/>
          <w:color w:val="auto"/>
          <w:kern w:val="2"/>
          <w:sz w:val="22"/>
          <w:szCs w:val="22"/>
          <w:highlight w:val="none"/>
          <w:u w:val="single"/>
        </w:rPr>
        <w:t xml:space="preserve"> </w:t>
      </w:r>
      <w:r>
        <w:rPr>
          <w:rStyle w:val="8"/>
          <w:rFonts w:hint="eastAsia" w:ascii="宋体" w:hAnsi="宋体"/>
          <w:color w:val="auto"/>
          <w:kern w:val="2"/>
          <w:sz w:val="22"/>
          <w:szCs w:val="22"/>
          <w:highlight w:val="none"/>
          <w:u w:val="single"/>
        </w:rPr>
        <w:t xml:space="preserve">   </w:t>
      </w:r>
      <w:r>
        <w:rPr>
          <w:rStyle w:val="8"/>
          <w:rFonts w:ascii="宋体" w:hAnsi="宋体"/>
          <w:color w:val="auto"/>
          <w:kern w:val="2"/>
          <w:sz w:val="22"/>
          <w:szCs w:val="22"/>
          <w:highlight w:val="none"/>
          <w:u w:val="single"/>
        </w:rPr>
        <w:t xml:space="preserve">    </w:t>
      </w:r>
      <w:r>
        <w:rPr>
          <w:rStyle w:val="8"/>
          <w:rFonts w:ascii="宋体" w:hAnsi="宋体"/>
          <w:color w:val="auto"/>
          <w:kern w:val="2"/>
          <w:sz w:val="22"/>
          <w:szCs w:val="22"/>
          <w:highlight w:val="none"/>
        </w:rPr>
        <w:t>。</w:t>
      </w:r>
    </w:p>
    <w:p w14:paraId="52C1B06A">
      <w:pPr>
        <w:pStyle w:val="13"/>
        <w:spacing w:line="360" w:lineRule="auto"/>
        <w:ind w:firstLine="440" w:firstLineChars="200"/>
        <w:jc w:val="left"/>
        <w:rPr>
          <w:rStyle w:val="8"/>
          <w:rFonts w:ascii="宋体" w:hAnsi="宋体"/>
          <w:color w:val="auto"/>
          <w:kern w:val="2"/>
          <w:sz w:val="22"/>
          <w:szCs w:val="22"/>
          <w:highlight w:val="none"/>
        </w:rPr>
      </w:pPr>
      <w:r>
        <w:rPr>
          <w:rStyle w:val="8"/>
          <w:rFonts w:ascii="宋体" w:hAnsi="宋体"/>
          <w:color w:val="auto"/>
          <w:kern w:val="2"/>
          <w:sz w:val="22"/>
          <w:szCs w:val="22"/>
          <w:highlight w:val="none"/>
        </w:rPr>
        <w:t>发包人完成竣工付款的期限：</w:t>
      </w:r>
      <w:r>
        <w:rPr>
          <w:rStyle w:val="8"/>
          <w:rFonts w:ascii="宋体" w:hAnsi="宋体"/>
          <w:color w:val="auto"/>
          <w:kern w:val="2"/>
          <w:sz w:val="22"/>
          <w:szCs w:val="22"/>
          <w:highlight w:val="none"/>
          <w:u w:val="single"/>
        </w:rPr>
        <w:t xml:space="preserve">                   </w:t>
      </w:r>
      <w:r>
        <w:rPr>
          <w:rStyle w:val="8"/>
          <w:rFonts w:hint="eastAsia" w:ascii="宋体" w:hAnsi="宋体"/>
          <w:color w:val="auto"/>
          <w:kern w:val="2"/>
          <w:sz w:val="22"/>
          <w:szCs w:val="22"/>
          <w:highlight w:val="none"/>
          <w:u w:val="single"/>
        </w:rPr>
        <w:t xml:space="preserve"> </w:t>
      </w:r>
      <w:r>
        <w:rPr>
          <w:rStyle w:val="8"/>
          <w:rFonts w:ascii="宋体" w:hAnsi="宋体"/>
          <w:color w:val="auto"/>
          <w:kern w:val="2"/>
          <w:sz w:val="22"/>
          <w:szCs w:val="22"/>
          <w:highlight w:val="none"/>
          <w:u w:val="single"/>
        </w:rPr>
        <w:t xml:space="preserve">  </w:t>
      </w:r>
      <w:r>
        <w:rPr>
          <w:rStyle w:val="8"/>
          <w:rFonts w:hint="eastAsia" w:ascii="宋体" w:hAnsi="宋体"/>
          <w:color w:val="auto"/>
          <w:kern w:val="2"/>
          <w:sz w:val="22"/>
          <w:szCs w:val="22"/>
          <w:highlight w:val="none"/>
          <w:u w:val="single"/>
        </w:rPr>
        <w:t xml:space="preserve">   </w:t>
      </w:r>
      <w:r>
        <w:rPr>
          <w:rStyle w:val="8"/>
          <w:rFonts w:ascii="宋体" w:hAnsi="宋体"/>
          <w:color w:val="auto"/>
          <w:kern w:val="2"/>
          <w:sz w:val="22"/>
          <w:szCs w:val="22"/>
          <w:highlight w:val="none"/>
          <w:u w:val="single"/>
        </w:rPr>
        <w:t xml:space="preserve">   </w:t>
      </w:r>
      <w:r>
        <w:rPr>
          <w:rStyle w:val="8"/>
          <w:rFonts w:ascii="宋体" w:hAnsi="宋体"/>
          <w:color w:val="auto"/>
          <w:kern w:val="2"/>
          <w:sz w:val="22"/>
          <w:szCs w:val="22"/>
          <w:highlight w:val="none"/>
        </w:rPr>
        <w:t>。</w:t>
      </w:r>
    </w:p>
    <w:p w14:paraId="5C17DC32">
      <w:pPr>
        <w:pStyle w:val="13"/>
        <w:spacing w:line="360" w:lineRule="auto"/>
        <w:ind w:firstLine="440" w:firstLineChars="200"/>
        <w:jc w:val="left"/>
        <w:rPr>
          <w:rStyle w:val="8"/>
          <w:rFonts w:ascii="宋体" w:hAnsi="宋体"/>
          <w:color w:val="auto"/>
          <w:kern w:val="2"/>
          <w:sz w:val="22"/>
          <w:szCs w:val="22"/>
          <w:highlight w:val="none"/>
          <w:u w:val="single"/>
        </w:rPr>
      </w:pPr>
      <w:r>
        <w:rPr>
          <w:rStyle w:val="8"/>
          <w:rFonts w:hint="eastAsia" w:ascii="宋体" w:hAnsi="宋体"/>
          <w:color w:val="auto"/>
          <w:kern w:val="2"/>
          <w:sz w:val="22"/>
          <w:szCs w:val="22"/>
          <w:highlight w:val="none"/>
        </w:rPr>
        <w:t>关于竣工付款证书异议部分复核的方式和程序：</w:t>
      </w:r>
      <w:r>
        <w:rPr>
          <w:rStyle w:val="8"/>
          <w:rFonts w:ascii="宋体" w:hAnsi="宋体"/>
          <w:color w:val="auto"/>
          <w:kern w:val="2"/>
          <w:sz w:val="22"/>
          <w:szCs w:val="22"/>
          <w:highlight w:val="none"/>
          <w:u w:val="single"/>
        </w:rPr>
        <w:t xml:space="preserve">   </w:t>
      </w:r>
      <w:r>
        <w:rPr>
          <w:rStyle w:val="8"/>
          <w:rFonts w:hint="eastAsia" w:ascii="宋体" w:hAnsi="宋体"/>
          <w:color w:val="auto"/>
          <w:kern w:val="2"/>
          <w:sz w:val="22"/>
          <w:szCs w:val="22"/>
          <w:highlight w:val="none"/>
          <w:u w:val="single"/>
        </w:rPr>
        <w:t xml:space="preserve"> </w:t>
      </w:r>
      <w:r>
        <w:rPr>
          <w:rStyle w:val="8"/>
          <w:rFonts w:ascii="宋体" w:hAnsi="宋体"/>
          <w:color w:val="auto"/>
          <w:kern w:val="2"/>
          <w:sz w:val="22"/>
          <w:szCs w:val="22"/>
          <w:highlight w:val="none"/>
          <w:u w:val="single"/>
        </w:rPr>
        <w:t xml:space="preserve"> </w:t>
      </w:r>
      <w:r>
        <w:rPr>
          <w:rStyle w:val="8"/>
          <w:rFonts w:hint="eastAsia" w:ascii="宋体" w:hAnsi="宋体"/>
          <w:color w:val="auto"/>
          <w:kern w:val="2"/>
          <w:sz w:val="22"/>
          <w:szCs w:val="22"/>
          <w:highlight w:val="none"/>
          <w:u w:val="single"/>
        </w:rPr>
        <w:t xml:space="preserve"> </w:t>
      </w:r>
      <w:r>
        <w:rPr>
          <w:rStyle w:val="8"/>
          <w:rFonts w:ascii="宋体" w:hAnsi="宋体"/>
          <w:color w:val="auto"/>
          <w:kern w:val="2"/>
          <w:sz w:val="22"/>
          <w:szCs w:val="22"/>
          <w:highlight w:val="none"/>
          <w:u w:val="single"/>
        </w:rPr>
        <w:t xml:space="preserve"> </w:t>
      </w:r>
      <w:r>
        <w:rPr>
          <w:rStyle w:val="8"/>
          <w:rFonts w:hint="eastAsia" w:ascii="宋体" w:hAnsi="宋体"/>
          <w:color w:val="auto"/>
          <w:kern w:val="2"/>
          <w:sz w:val="22"/>
          <w:szCs w:val="22"/>
          <w:highlight w:val="none"/>
          <w:u w:val="single"/>
        </w:rPr>
        <w:t xml:space="preserve">  </w:t>
      </w:r>
      <w:r>
        <w:rPr>
          <w:rStyle w:val="8"/>
          <w:rFonts w:ascii="宋体" w:hAnsi="宋体"/>
          <w:color w:val="auto"/>
          <w:kern w:val="2"/>
          <w:sz w:val="22"/>
          <w:szCs w:val="22"/>
          <w:highlight w:val="none"/>
          <w:u w:val="single"/>
        </w:rPr>
        <w:t xml:space="preserve"> </w:t>
      </w:r>
    </w:p>
    <w:p w14:paraId="69B221FE">
      <w:pPr>
        <w:pStyle w:val="13"/>
        <w:spacing w:line="360" w:lineRule="auto"/>
        <w:jc w:val="left"/>
        <w:rPr>
          <w:rStyle w:val="8"/>
          <w:rFonts w:ascii="宋体" w:hAnsi="宋体"/>
          <w:color w:val="auto"/>
          <w:kern w:val="2"/>
          <w:sz w:val="22"/>
          <w:szCs w:val="22"/>
          <w:highlight w:val="none"/>
        </w:rPr>
      </w:pPr>
      <w:r>
        <w:rPr>
          <w:rStyle w:val="8"/>
          <w:rFonts w:ascii="宋体" w:hAnsi="宋体"/>
          <w:color w:val="auto"/>
          <w:kern w:val="2"/>
          <w:sz w:val="22"/>
          <w:szCs w:val="22"/>
          <w:highlight w:val="none"/>
          <w:u w:val="single"/>
        </w:rPr>
        <w:t xml:space="preserve"> </w:t>
      </w:r>
      <w:r>
        <w:rPr>
          <w:rStyle w:val="8"/>
          <w:rFonts w:hint="eastAsia" w:ascii="宋体" w:hAnsi="宋体"/>
          <w:color w:val="auto"/>
          <w:kern w:val="2"/>
          <w:sz w:val="22"/>
          <w:szCs w:val="22"/>
          <w:highlight w:val="none"/>
          <w:u w:val="single"/>
        </w:rPr>
        <w:t xml:space="preserve">                                                       </w:t>
      </w:r>
      <w:r>
        <w:rPr>
          <w:rStyle w:val="8"/>
          <w:rFonts w:ascii="宋体" w:hAnsi="宋体"/>
          <w:color w:val="auto"/>
          <w:kern w:val="2"/>
          <w:sz w:val="22"/>
          <w:szCs w:val="22"/>
          <w:highlight w:val="none"/>
          <w:u w:val="single"/>
        </w:rPr>
        <w:t xml:space="preserve"> </w:t>
      </w:r>
      <w:r>
        <w:rPr>
          <w:rStyle w:val="8"/>
          <w:rFonts w:ascii="宋体" w:hAnsi="宋体"/>
          <w:color w:val="auto"/>
          <w:kern w:val="2"/>
          <w:sz w:val="22"/>
          <w:szCs w:val="22"/>
          <w:highlight w:val="none"/>
        </w:rPr>
        <w:t>。</w:t>
      </w:r>
    </w:p>
    <w:p w14:paraId="6C0E28AF">
      <w:pPr>
        <w:pStyle w:val="13"/>
        <w:spacing w:after="120" w:line="360" w:lineRule="auto"/>
        <w:ind w:firstLine="440" w:firstLineChars="200"/>
        <w:rPr>
          <w:rStyle w:val="8"/>
          <w:rFonts w:ascii="宋体" w:hAnsi="宋体"/>
          <w:color w:val="auto"/>
          <w:kern w:val="2"/>
          <w:sz w:val="22"/>
          <w:szCs w:val="22"/>
          <w:highlight w:val="none"/>
        </w:rPr>
      </w:pPr>
      <w:r>
        <w:rPr>
          <w:rStyle w:val="8"/>
          <w:rFonts w:ascii="宋体" w:hAnsi="宋体"/>
          <w:color w:val="auto"/>
          <w:kern w:val="2"/>
          <w:sz w:val="22"/>
          <w:szCs w:val="22"/>
          <w:highlight w:val="none"/>
        </w:rPr>
        <w:t>14.4 最终结清</w:t>
      </w:r>
    </w:p>
    <w:p w14:paraId="1F05186C">
      <w:pPr>
        <w:pStyle w:val="13"/>
        <w:spacing w:line="360" w:lineRule="auto"/>
        <w:ind w:firstLine="440" w:firstLineChars="200"/>
        <w:jc w:val="left"/>
        <w:rPr>
          <w:rStyle w:val="8"/>
          <w:rFonts w:ascii="宋体" w:hAnsi="宋体"/>
          <w:color w:val="auto"/>
          <w:sz w:val="22"/>
          <w:szCs w:val="22"/>
          <w:highlight w:val="none"/>
        </w:rPr>
      </w:pPr>
      <w:r>
        <w:rPr>
          <w:rStyle w:val="8"/>
          <w:rFonts w:ascii="宋体" w:hAnsi="宋体"/>
          <w:color w:val="auto"/>
          <w:sz w:val="22"/>
          <w:szCs w:val="22"/>
          <w:highlight w:val="none"/>
        </w:rPr>
        <w:t>14.4.1 最终结清申请单</w:t>
      </w:r>
    </w:p>
    <w:p w14:paraId="71AF5CED">
      <w:pPr>
        <w:pStyle w:val="14"/>
        <w:spacing w:line="360" w:lineRule="auto"/>
        <w:ind w:firstLine="440" w:firstLineChars="200"/>
        <w:jc w:val="left"/>
        <w:rPr>
          <w:rStyle w:val="8"/>
          <w:rFonts w:ascii="宋体" w:hAnsi="宋体"/>
          <w:color w:val="auto"/>
          <w:kern w:val="2"/>
          <w:sz w:val="22"/>
          <w:szCs w:val="22"/>
          <w:highlight w:val="none"/>
          <w:u w:val="single"/>
        </w:rPr>
      </w:pPr>
      <w:r>
        <w:rPr>
          <w:rStyle w:val="8"/>
          <w:rFonts w:ascii="宋体" w:hAnsi="宋体"/>
          <w:color w:val="auto"/>
          <w:sz w:val="22"/>
          <w:szCs w:val="22"/>
          <w:highlight w:val="none"/>
        </w:rPr>
        <w:t>承包人提交最终结清申请单的份数：</w:t>
      </w:r>
      <w:r>
        <w:rPr>
          <w:rStyle w:val="8"/>
          <w:rFonts w:hint="eastAsia" w:ascii="宋体" w:hAnsi="宋体"/>
          <w:color w:val="auto"/>
          <w:kern w:val="2"/>
          <w:sz w:val="22"/>
          <w:szCs w:val="22"/>
          <w:highlight w:val="none"/>
          <w:u w:val="single"/>
        </w:rPr>
        <w:t>承包人向发包人提交6套，同时相应备有全套PDF电子文件，以及计算价款的可编辑电子文档，一并递交发包人  。</w:t>
      </w:r>
    </w:p>
    <w:p w14:paraId="07301D11">
      <w:pPr>
        <w:pStyle w:val="13"/>
        <w:spacing w:line="360" w:lineRule="auto"/>
        <w:ind w:firstLine="440" w:firstLineChars="200"/>
        <w:jc w:val="left"/>
        <w:rPr>
          <w:rStyle w:val="8"/>
          <w:rFonts w:ascii="宋体" w:hAnsi="宋体"/>
          <w:color w:val="auto"/>
          <w:sz w:val="22"/>
          <w:szCs w:val="22"/>
          <w:highlight w:val="none"/>
        </w:rPr>
      </w:pPr>
    </w:p>
    <w:p w14:paraId="6195298F">
      <w:pPr>
        <w:pStyle w:val="13"/>
        <w:spacing w:line="360" w:lineRule="auto"/>
        <w:ind w:firstLine="440" w:firstLineChars="200"/>
        <w:jc w:val="left"/>
        <w:rPr>
          <w:rStyle w:val="8"/>
          <w:rFonts w:ascii="宋体" w:hAnsi="宋体"/>
          <w:color w:val="auto"/>
          <w:kern w:val="2"/>
          <w:sz w:val="22"/>
          <w:szCs w:val="22"/>
          <w:highlight w:val="none"/>
        </w:rPr>
      </w:pPr>
      <w:r>
        <w:rPr>
          <w:rStyle w:val="8"/>
          <w:rFonts w:ascii="宋体" w:hAnsi="宋体"/>
          <w:color w:val="auto"/>
          <w:sz w:val="22"/>
          <w:szCs w:val="22"/>
          <w:highlight w:val="none"/>
        </w:rPr>
        <w:t>承包人提交最终结算申请单的期限：</w:t>
      </w:r>
      <w:r>
        <w:rPr>
          <w:rStyle w:val="8"/>
          <w:rFonts w:ascii="宋体" w:hAnsi="宋体"/>
          <w:color w:val="auto"/>
          <w:kern w:val="2"/>
          <w:sz w:val="22"/>
          <w:szCs w:val="22"/>
          <w:highlight w:val="none"/>
          <w:u w:val="single"/>
        </w:rPr>
        <w:t xml:space="preserve">             </w:t>
      </w:r>
      <w:r>
        <w:rPr>
          <w:rStyle w:val="8"/>
          <w:rFonts w:hint="eastAsia" w:ascii="宋体" w:hAnsi="宋体"/>
          <w:color w:val="auto"/>
          <w:kern w:val="2"/>
          <w:sz w:val="22"/>
          <w:szCs w:val="22"/>
          <w:highlight w:val="none"/>
          <w:u w:val="single"/>
        </w:rPr>
        <w:t xml:space="preserve"> </w:t>
      </w:r>
      <w:r>
        <w:rPr>
          <w:rStyle w:val="8"/>
          <w:rFonts w:ascii="宋体" w:hAnsi="宋体"/>
          <w:color w:val="auto"/>
          <w:kern w:val="2"/>
          <w:sz w:val="22"/>
          <w:szCs w:val="22"/>
          <w:highlight w:val="none"/>
          <w:u w:val="single"/>
        </w:rPr>
        <w:t xml:space="preserve"> </w:t>
      </w:r>
      <w:r>
        <w:rPr>
          <w:rStyle w:val="8"/>
          <w:rFonts w:hint="eastAsia" w:ascii="宋体" w:hAnsi="宋体"/>
          <w:color w:val="auto"/>
          <w:kern w:val="2"/>
          <w:sz w:val="22"/>
          <w:szCs w:val="22"/>
          <w:highlight w:val="none"/>
          <w:u w:val="single"/>
        </w:rPr>
        <w:t xml:space="preserve"> </w:t>
      </w:r>
      <w:r>
        <w:rPr>
          <w:rStyle w:val="8"/>
          <w:rFonts w:ascii="宋体" w:hAnsi="宋体"/>
          <w:color w:val="auto"/>
          <w:kern w:val="2"/>
          <w:sz w:val="22"/>
          <w:szCs w:val="22"/>
          <w:highlight w:val="none"/>
          <w:u w:val="single"/>
        </w:rPr>
        <w:t xml:space="preserve">    </w:t>
      </w:r>
      <w:r>
        <w:rPr>
          <w:rStyle w:val="8"/>
          <w:rFonts w:ascii="宋体" w:hAnsi="宋体"/>
          <w:color w:val="auto"/>
          <w:kern w:val="2"/>
          <w:sz w:val="22"/>
          <w:szCs w:val="22"/>
          <w:highlight w:val="none"/>
        </w:rPr>
        <w:t xml:space="preserve">。 </w:t>
      </w:r>
    </w:p>
    <w:p w14:paraId="601B53BB">
      <w:pPr>
        <w:pStyle w:val="13"/>
        <w:spacing w:line="360" w:lineRule="auto"/>
        <w:ind w:firstLine="440" w:firstLineChars="200"/>
        <w:jc w:val="left"/>
        <w:rPr>
          <w:rStyle w:val="8"/>
          <w:rFonts w:ascii="宋体" w:hAnsi="宋体"/>
          <w:color w:val="auto"/>
          <w:kern w:val="2"/>
          <w:sz w:val="22"/>
          <w:szCs w:val="22"/>
          <w:highlight w:val="none"/>
        </w:rPr>
      </w:pPr>
      <w:r>
        <w:rPr>
          <w:rStyle w:val="8"/>
          <w:rFonts w:ascii="宋体" w:hAnsi="宋体"/>
          <w:color w:val="auto"/>
          <w:kern w:val="2"/>
          <w:sz w:val="22"/>
          <w:szCs w:val="22"/>
          <w:highlight w:val="none"/>
        </w:rPr>
        <w:t>14.4.2 最终结清证书和支付</w:t>
      </w:r>
    </w:p>
    <w:p w14:paraId="1131ECD7">
      <w:pPr>
        <w:pStyle w:val="13"/>
        <w:spacing w:line="360" w:lineRule="auto"/>
        <w:ind w:firstLine="440" w:firstLineChars="200"/>
        <w:jc w:val="left"/>
        <w:rPr>
          <w:rStyle w:val="8"/>
          <w:rFonts w:ascii="宋体" w:hAnsi="宋体"/>
          <w:color w:val="auto"/>
          <w:kern w:val="2"/>
          <w:sz w:val="22"/>
          <w:szCs w:val="22"/>
          <w:highlight w:val="none"/>
          <w:u w:val="single"/>
        </w:rPr>
      </w:pPr>
      <w:r>
        <w:rPr>
          <w:rStyle w:val="8"/>
          <w:rFonts w:ascii="宋体" w:hAnsi="宋体"/>
          <w:color w:val="auto"/>
          <w:kern w:val="2"/>
          <w:sz w:val="22"/>
          <w:szCs w:val="22"/>
          <w:highlight w:val="none"/>
        </w:rPr>
        <w:t>（1）发包人完成最终结清申请单的</w:t>
      </w:r>
      <w:r>
        <w:rPr>
          <w:rStyle w:val="8"/>
          <w:rFonts w:hint="eastAsia" w:ascii="宋体" w:hAnsi="宋体"/>
          <w:color w:val="auto"/>
          <w:kern w:val="2"/>
          <w:sz w:val="22"/>
          <w:szCs w:val="22"/>
          <w:highlight w:val="none"/>
        </w:rPr>
        <w:t>审批</w:t>
      </w:r>
      <w:r>
        <w:rPr>
          <w:rStyle w:val="8"/>
          <w:rFonts w:ascii="宋体" w:hAnsi="宋体"/>
          <w:color w:val="auto"/>
          <w:kern w:val="2"/>
          <w:sz w:val="22"/>
          <w:szCs w:val="22"/>
          <w:highlight w:val="none"/>
        </w:rPr>
        <w:t>并颁发最终结清证书的期限：</w:t>
      </w:r>
      <w:r>
        <w:rPr>
          <w:rStyle w:val="8"/>
          <w:rFonts w:ascii="宋体" w:hAnsi="宋体"/>
          <w:color w:val="auto"/>
          <w:kern w:val="2"/>
          <w:sz w:val="22"/>
          <w:szCs w:val="22"/>
          <w:highlight w:val="none"/>
          <w:u w:val="single"/>
        </w:rPr>
        <w:t xml:space="preserve">   </w:t>
      </w:r>
      <w:r>
        <w:rPr>
          <w:rStyle w:val="8"/>
          <w:rFonts w:hint="eastAsia" w:ascii="宋体" w:hAnsi="宋体"/>
          <w:color w:val="auto"/>
          <w:kern w:val="2"/>
          <w:sz w:val="22"/>
          <w:szCs w:val="22"/>
          <w:highlight w:val="none"/>
          <w:u w:val="single"/>
        </w:rPr>
        <w:t>由双方另行商定</w:t>
      </w:r>
      <w:r>
        <w:rPr>
          <w:rStyle w:val="8"/>
          <w:rFonts w:ascii="宋体" w:hAnsi="宋体"/>
          <w:color w:val="auto"/>
          <w:kern w:val="2"/>
          <w:sz w:val="22"/>
          <w:szCs w:val="22"/>
          <w:highlight w:val="none"/>
          <w:u w:val="single"/>
        </w:rPr>
        <w:t>。</w:t>
      </w:r>
    </w:p>
    <w:p w14:paraId="7FFDB74D">
      <w:pPr>
        <w:pStyle w:val="14"/>
        <w:spacing w:line="360" w:lineRule="auto"/>
        <w:ind w:firstLine="440" w:firstLineChars="200"/>
        <w:jc w:val="left"/>
        <w:rPr>
          <w:rStyle w:val="8"/>
          <w:rFonts w:ascii="宋体" w:hAnsi="宋体"/>
          <w:color w:val="auto"/>
          <w:kern w:val="2"/>
          <w:sz w:val="22"/>
          <w:szCs w:val="22"/>
          <w:highlight w:val="none"/>
          <w:u w:val="single"/>
        </w:rPr>
      </w:pPr>
      <w:r>
        <w:rPr>
          <w:rStyle w:val="8"/>
          <w:rFonts w:ascii="宋体" w:hAnsi="宋体"/>
          <w:color w:val="auto"/>
          <w:kern w:val="2"/>
          <w:sz w:val="22"/>
          <w:szCs w:val="22"/>
          <w:highlight w:val="none"/>
        </w:rPr>
        <w:t>（2）发包人完成支付的期限：</w:t>
      </w:r>
      <w:r>
        <w:rPr>
          <w:rStyle w:val="8"/>
          <w:rFonts w:hint="eastAsia" w:ascii="宋体" w:hAnsi="宋体"/>
          <w:color w:val="auto"/>
          <w:kern w:val="2"/>
          <w:sz w:val="22"/>
          <w:szCs w:val="22"/>
          <w:highlight w:val="none"/>
          <w:u w:val="single"/>
        </w:rPr>
        <w:t xml:space="preserve">由双方另行商定 </w:t>
      </w:r>
    </w:p>
    <w:bookmarkEnd w:id="997"/>
    <w:bookmarkEnd w:id="998"/>
    <w:bookmarkEnd w:id="999"/>
    <w:bookmarkEnd w:id="1000"/>
    <w:bookmarkEnd w:id="1001"/>
    <w:bookmarkEnd w:id="1002"/>
    <w:bookmarkEnd w:id="1003"/>
    <w:bookmarkEnd w:id="1009"/>
    <w:p w14:paraId="3C3DEDFF">
      <w:pPr>
        <w:pStyle w:val="15"/>
        <w:spacing w:before="120" w:after="120" w:line="360" w:lineRule="auto"/>
        <w:rPr>
          <w:rStyle w:val="8"/>
          <w:rFonts w:ascii="宋体" w:hAnsi="宋体" w:eastAsia="宋体"/>
          <w:b w:val="0"/>
          <w:color w:val="auto"/>
          <w:sz w:val="22"/>
          <w:szCs w:val="22"/>
          <w:highlight w:val="none"/>
        </w:rPr>
      </w:pPr>
      <w:bookmarkStart w:id="1036" w:name="_Toc256000584"/>
      <w:bookmarkStart w:id="1037" w:name="_Toc351203647"/>
      <w:bookmarkStart w:id="1038" w:name="_Toc17923"/>
      <w:bookmarkStart w:id="1039" w:name="_Toc69461830"/>
      <w:bookmarkStart w:id="1040" w:name="_Toc256001088"/>
      <w:bookmarkStart w:id="1041" w:name="_Toc32547"/>
      <w:bookmarkStart w:id="1042" w:name="_Toc256001318"/>
      <w:bookmarkStart w:id="1043" w:name="_Toc69461175"/>
      <w:bookmarkStart w:id="1044" w:name="_Toc256000355"/>
      <w:bookmarkStart w:id="1045" w:name="_Toc256000851"/>
      <w:bookmarkStart w:id="1046" w:name="_Toc267251483"/>
      <w:bookmarkStart w:id="1047" w:name="_Toc267251484"/>
      <w:bookmarkStart w:id="1048" w:name="_Toc267251482"/>
      <w:bookmarkStart w:id="1049" w:name="_Toc267251485"/>
      <w:bookmarkStart w:id="1050" w:name="_Toc267251490"/>
      <w:bookmarkStart w:id="1051" w:name="_Toc267251489"/>
      <w:bookmarkStart w:id="1052" w:name="_Toc267251486"/>
      <w:bookmarkStart w:id="1053" w:name="_Toc267251488"/>
      <w:bookmarkStart w:id="1054" w:name="_Toc267251501"/>
      <w:bookmarkStart w:id="1055" w:name="_Toc267251498"/>
      <w:bookmarkStart w:id="1056" w:name="_Toc267251495"/>
      <w:bookmarkStart w:id="1057" w:name="_Toc267251494"/>
      <w:bookmarkStart w:id="1058" w:name="_Toc267251499"/>
      <w:bookmarkStart w:id="1059" w:name="_Toc267251502"/>
      <w:bookmarkStart w:id="1060" w:name="_Toc267251492"/>
      <w:bookmarkStart w:id="1061" w:name="_Toc267251497"/>
      <w:bookmarkStart w:id="1062" w:name="_Toc267251496"/>
      <w:bookmarkStart w:id="1063" w:name="_Toc267251503"/>
      <w:bookmarkStart w:id="1064" w:name="_Toc267251491"/>
      <w:bookmarkStart w:id="1065" w:name="_Toc267251493"/>
      <w:bookmarkStart w:id="1066" w:name="_Toc267251506"/>
      <w:bookmarkStart w:id="1067" w:name="_Toc267251504"/>
      <w:bookmarkStart w:id="1068" w:name="_Toc267251507"/>
      <w:bookmarkStart w:id="1069" w:name="_Toc267251508"/>
      <w:bookmarkStart w:id="1070" w:name="_Toc267251510"/>
      <w:bookmarkStart w:id="1071" w:name="_Toc267251511"/>
      <w:bookmarkStart w:id="1072" w:name="_Toc267251514"/>
      <w:bookmarkStart w:id="1073" w:name="_Toc267251513"/>
      <w:bookmarkStart w:id="1074" w:name="_Toc267251515"/>
      <w:bookmarkStart w:id="1075" w:name="_Toc267251509"/>
      <w:r>
        <w:rPr>
          <w:rStyle w:val="8"/>
          <w:rFonts w:ascii="宋体" w:hAnsi="宋体" w:eastAsia="宋体"/>
          <w:b w:val="0"/>
          <w:color w:val="auto"/>
          <w:sz w:val="22"/>
          <w:szCs w:val="22"/>
          <w:highlight w:val="none"/>
        </w:rPr>
        <w:t>15. 缺陷责任期与保修</w:t>
      </w:r>
      <w:bookmarkEnd w:id="1036"/>
      <w:bookmarkEnd w:id="1037"/>
      <w:bookmarkEnd w:id="1038"/>
      <w:bookmarkEnd w:id="1039"/>
      <w:bookmarkEnd w:id="1040"/>
      <w:bookmarkEnd w:id="1041"/>
      <w:bookmarkEnd w:id="1042"/>
      <w:bookmarkEnd w:id="1043"/>
      <w:bookmarkEnd w:id="1044"/>
      <w:bookmarkEnd w:id="1045"/>
    </w:p>
    <w:p w14:paraId="60EA9450">
      <w:pPr>
        <w:pStyle w:val="13"/>
        <w:spacing w:after="120" w:line="360" w:lineRule="auto"/>
        <w:ind w:firstLine="440" w:firstLineChars="200"/>
        <w:rPr>
          <w:rStyle w:val="8"/>
          <w:rFonts w:ascii="宋体" w:hAnsi="宋体"/>
          <w:color w:val="auto"/>
          <w:kern w:val="2"/>
          <w:sz w:val="22"/>
          <w:szCs w:val="22"/>
          <w:highlight w:val="none"/>
        </w:rPr>
      </w:pPr>
      <w:r>
        <w:rPr>
          <w:rStyle w:val="8"/>
          <w:rFonts w:ascii="宋体" w:hAnsi="宋体"/>
          <w:color w:val="auto"/>
          <w:kern w:val="2"/>
          <w:sz w:val="22"/>
          <w:szCs w:val="22"/>
          <w:highlight w:val="none"/>
        </w:rPr>
        <w:t>15.2缺陷责任期</w:t>
      </w:r>
      <w:bookmarkEnd w:id="1046"/>
    </w:p>
    <w:p w14:paraId="6902693A">
      <w:pPr>
        <w:pStyle w:val="13"/>
        <w:spacing w:line="360" w:lineRule="auto"/>
        <w:ind w:firstLine="440" w:firstLineChars="200"/>
        <w:jc w:val="left"/>
        <w:rPr>
          <w:rStyle w:val="8"/>
          <w:rFonts w:ascii="宋体" w:hAnsi="宋体"/>
          <w:color w:val="auto"/>
          <w:kern w:val="2"/>
          <w:sz w:val="22"/>
          <w:szCs w:val="22"/>
          <w:highlight w:val="none"/>
        </w:rPr>
      </w:pPr>
      <w:r>
        <w:rPr>
          <w:rStyle w:val="8"/>
          <w:rFonts w:ascii="宋体" w:hAnsi="宋体"/>
          <w:color w:val="auto"/>
          <w:kern w:val="2"/>
          <w:sz w:val="22"/>
          <w:szCs w:val="22"/>
          <w:highlight w:val="none"/>
        </w:rPr>
        <w:t>缺陷责任期的具体期限：</w:t>
      </w:r>
      <w:r>
        <w:rPr>
          <w:rStyle w:val="8"/>
          <w:rFonts w:ascii="宋体" w:hAnsi="宋体"/>
          <w:color w:val="auto"/>
          <w:kern w:val="2"/>
          <w:sz w:val="22"/>
          <w:szCs w:val="22"/>
          <w:highlight w:val="none"/>
          <w:u w:val="single"/>
        </w:rPr>
        <w:t xml:space="preserve">  </w:t>
      </w:r>
      <w:r>
        <w:rPr>
          <w:rStyle w:val="8"/>
          <w:rFonts w:hint="eastAsia" w:ascii="宋体" w:hAnsi="宋体"/>
          <w:color w:val="auto"/>
          <w:kern w:val="2"/>
          <w:sz w:val="22"/>
          <w:szCs w:val="22"/>
          <w:highlight w:val="none"/>
          <w:u w:val="single"/>
        </w:rPr>
        <w:t xml:space="preserve">除国家规定的期限外其余为 24个月 </w:t>
      </w:r>
    </w:p>
    <w:p w14:paraId="4AEFE740">
      <w:pPr>
        <w:pStyle w:val="13"/>
        <w:spacing w:after="120" w:line="360" w:lineRule="auto"/>
        <w:ind w:firstLine="440" w:firstLineChars="200"/>
        <w:outlineLvl w:val="0"/>
        <w:rPr>
          <w:rStyle w:val="8"/>
          <w:rFonts w:ascii="宋体" w:hAnsi="宋体"/>
          <w:color w:val="auto"/>
          <w:kern w:val="2"/>
          <w:sz w:val="22"/>
          <w:szCs w:val="22"/>
          <w:highlight w:val="none"/>
        </w:rPr>
      </w:pPr>
      <w:bookmarkStart w:id="1076" w:name="_Toc13307"/>
      <w:bookmarkStart w:id="1077" w:name="_Toc69461831"/>
      <w:bookmarkStart w:id="1078" w:name="_Toc256000585"/>
      <w:bookmarkStart w:id="1079" w:name="_Toc256000098"/>
      <w:bookmarkStart w:id="1080" w:name="_Toc256000852"/>
      <w:bookmarkStart w:id="1081" w:name="_Toc256001089"/>
      <w:bookmarkStart w:id="1082" w:name="_Toc21420"/>
      <w:bookmarkStart w:id="1083" w:name="_Toc69461176"/>
      <w:bookmarkStart w:id="1084" w:name="_Toc256000065"/>
      <w:bookmarkStart w:id="1085" w:name="_Toc256001319"/>
      <w:bookmarkStart w:id="1086" w:name="_Toc2864"/>
      <w:bookmarkStart w:id="1087" w:name="_Toc22833"/>
      <w:bookmarkStart w:id="1088" w:name="_Toc256000356"/>
      <w:r>
        <w:rPr>
          <w:rStyle w:val="8"/>
          <w:rFonts w:ascii="宋体" w:hAnsi="宋体"/>
          <w:color w:val="auto"/>
          <w:kern w:val="2"/>
          <w:sz w:val="22"/>
          <w:szCs w:val="22"/>
          <w:highlight w:val="none"/>
        </w:rPr>
        <w:t>15.3 质量保证金</w:t>
      </w:r>
      <w:bookmarkEnd w:id="1076"/>
      <w:bookmarkEnd w:id="1077"/>
      <w:bookmarkEnd w:id="1078"/>
      <w:bookmarkEnd w:id="1079"/>
      <w:bookmarkEnd w:id="1080"/>
      <w:bookmarkEnd w:id="1081"/>
      <w:bookmarkEnd w:id="1082"/>
      <w:bookmarkEnd w:id="1083"/>
      <w:bookmarkEnd w:id="1084"/>
      <w:bookmarkEnd w:id="1085"/>
      <w:bookmarkEnd w:id="1086"/>
      <w:bookmarkEnd w:id="1087"/>
      <w:bookmarkEnd w:id="1088"/>
    </w:p>
    <w:p w14:paraId="3ADBD777">
      <w:pPr>
        <w:pStyle w:val="13"/>
        <w:spacing w:line="360" w:lineRule="auto"/>
        <w:ind w:firstLine="440" w:firstLineChars="200"/>
        <w:jc w:val="left"/>
        <w:rPr>
          <w:rStyle w:val="8"/>
          <w:rFonts w:ascii="宋体" w:hAnsi="宋体"/>
          <w:color w:val="auto"/>
          <w:kern w:val="2"/>
          <w:sz w:val="22"/>
          <w:szCs w:val="22"/>
          <w:highlight w:val="none"/>
        </w:rPr>
      </w:pPr>
      <w:r>
        <w:rPr>
          <w:rStyle w:val="8"/>
          <w:rFonts w:hint="eastAsia" w:ascii="宋体" w:hAnsi="宋体"/>
          <w:color w:val="auto"/>
          <w:kern w:val="2"/>
          <w:sz w:val="22"/>
          <w:szCs w:val="22"/>
          <w:highlight w:val="none"/>
        </w:rPr>
        <w:t>关于是否扣留质量保证金的约定：</w:t>
      </w:r>
      <w:r>
        <w:rPr>
          <w:rStyle w:val="8"/>
          <w:rFonts w:hint="eastAsia" w:ascii="宋体" w:hAnsi="宋体"/>
          <w:color w:val="auto"/>
          <w:kern w:val="2"/>
          <w:sz w:val="22"/>
          <w:szCs w:val="22"/>
          <w:highlight w:val="none"/>
          <w:u w:val="single"/>
        </w:rPr>
        <w:t xml:space="preserve"> 扣留</w:t>
      </w:r>
      <w:r>
        <w:rPr>
          <w:rStyle w:val="8"/>
          <w:rFonts w:ascii="宋体" w:hAnsi="宋体"/>
          <w:color w:val="auto"/>
          <w:kern w:val="2"/>
          <w:sz w:val="22"/>
          <w:szCs w:val="22"/>
          <w:highlight w:val="none"/>
        </w:rPr>
        <w:t>。</w:t>
      </w:r>
      <w:r>
        <w:rPr>
          <w:rStyle w:val="8"/>
          <w:rFonts w:hint="eastAsia" w:ascii="宋体" w:hAnsi="宋体"/>
          <w:color w:val="auto"/>
          <w:kern w:val="2"/>
          <w:sz w:val="22"/>
          <w:szCs w:val="22"/>
          <w:highlight w:val="none"/>
        </w:rPr>
        <w:t>在工程项目竣工前，承包人按专用合同条款第3.7条提供履约担保的，发包人不得同时预留工程质量保证金。</w:t>
      </w:r>
    </w:p>
    <w:p w14:paraId="09EFA8A1">
      <w:pPr>
        <w:pStyle w:val="13"/>
        <w:spacing w:line="360" w:lineRule="auto"/>
        <w:ind w:firstLine="440" w:firstLineChars="200"/>
        <w:jc w:val="left"/>
        <w:rPr>
          <w:rStyle w:val="8"/>
          <w:rFonts w:ascii="宋体" w:hAnsi="宋体"/>
          <w:color w:val="auto"/>
          <w:kern w:val="2"/>
          <w:sz w:val="22"/>
          <w:szCs w:val="22"/>
          <w:highlight w:val="none"/>
        </w:rPr>
      </w:pPr>
    </w:p>
    <w:p w14:paraId="05B749A2">
      <w:pPr>
        <w:pStyle w:val="13"/>
        <w:spacing w:line="360" w:lineRule="auto"/>
        <w:ind w:firstLine="440" w:firstLineChars="200"/>
        <w:jc w:val="left"/>
        <w:outlineLvl w:val="0"/>
        <w:rPr>
          <w:rStyle w:val="8"/>
          <w:rFonts w:ascii="宋体" w:hAnsi="宋体"/>
          <w:color w:val="auto"/>
          <w:kern w:val="2"/>
          <w:sz w:val="22"/>
          <w:szCs w:val="22"/>
          <w:highlight w:val="none"/>
        </w:rPr>
      </w:pPr>
      <w:bookmarkStart w:id="1089" w:name="_Toc256000586"/>
      <w:bookmarkStart w:id="1090" w:name="_Toc4515"/>
      <w:bookmarkStart w:id="1091" w:name="_Toc69461177"/>
      <w:bookmarkStart w:id="1092" w:name="_Toc256001090"/>
      <w:bookmarkStart w:id="1093" w:name="_Toc256001320"/>
      <w:bookmarkStart w:id="1094" w:name="_Toc12317"/>
      <w:bookmarkStart w:id="1095" w:name="_Toc69461832"/>
      <w:bookmarkStart w:id="1096" w:name="_Toc256000099"/>
      <w:bookmarkStart w:id="1097" w:name="_Toc256000853"/>
      <w:bookmarkStart w:id="1098" w:name="_Toc256000357"/>
      <w:bookmarkStart w:id="1099" w:name="_Toc7166"/>
      <w:bookmarkStart w:id="1100" w:name="_Toc5682"/>
      <w:bookmarkStart w:id="1101" w:name="_Toc256000066"/>
      <w:r>
        <w:rPr>
          <w:rStyle w:val="8"/>
          <w:rFonts w:ascii="宋体" w:hAnsi="宋体"/>
          <w:color w:val="auto"/>
          <w:kern w:val="2"/>
          <w:sz w:val="22"/>
          <w:szCs w:val="22"/>
          <w:highlight w:val="none"/>
        </w:rPr>
        <w:t xml:space="preserve">15.3.1 </w:t>
      </w:r>
      <w:r>
        <w:rPr>
          <w:rStyle w:val="8"/>
          <w:rFonts w:hint="eastAsia" w:ascii="宋体" w:hAnsi="宋体"/>
          <w:color w:val="auto"/>
          <w:kern w:val="2"/>
          <w:sz w:val="22"/>
          <w:szCs w:val="22"/>
          <w:highlight w:val="none"/>
        </w:rPr>
        <w:t>承包人提供</w:t>
      </w:r>
      <w:r>
        <w:rPr>
          <w:rStyle w:val="8"/>
          <w:rFonts w:ascii="宋体" w:hAnsi="宋体"/>
          <w:color w:val="auto"/>
          <w:kern w:val="2"/>
          <w:sz w:val="22"/>
          <w:szCs w:val="22"/>
          <w:highlight w:val="none"/>
        </w:rPr>
        <w:t>质量保证金的</w:t>
      </w:r>
      <w:r>
        <w:rPr>
          <w:rStyle w:val="8"/>
          <w:rFonts w:hint="eastAsia" w:ascii="宋体" w:hAnsi="宋体"/>
          <w:color w:val="auto"/>
          <w:kern w:val="2"/>
          <w:sz w:val="22"/>
          <w:szCs w:val="22"/>
          <w:highlight w:val="none"/>
        </w:rPr>
        <w:t>方</w:t>
      </w:r>
      <w:r>
        <w:rPr>
          <w:rStyle w:val="8"/>
          <w:rFonts w:ascii="宋体" w:hAnsi="宋体"/>
          <w:color w:val="auto"/>
          <w:kern w:val="2"/>
          <w:sz w:val="22"/>
          <w:szCs w:val="22"/>
          <w:highlight w:val="none"/>
        </w:rPr>
        <w:t>式</w:t>
      </w:r>
      <w:bookmarkEnd w:id="1089"/>
      <w:bookmarkEnd w:id="1090"/>
      <w:bookmarkEnd w:id="1091"/>
      <w:bookmarkEnd w:id="1092"/>
      <w:bookmarkEnd w:id="1093"/>
      <w:bookmarkEnd w:id="1094"/>
      <w:bookmarkEnd w:id="1095"/>
      <w:bookmarkEnd w:id="1096"/>
      <w:bookmarkEnd w:id="1097"/>
      <w:bookmarkEnd w:id="1098"/>
      <w:bookmarkEnd w:id="1099"/>
      <w:bookmarkEnd w:id="1100"/>
      <w:bookmarkEnd w:id="1101"/>
    </w:p>
    <w:p w14:paraId="1395C540">
      <w:pPr>
        <w:pStyle w:val="13"/>
        <w:spacing w:line="360" w:lineRule="auto"/>
        <w:ind w:firstLine="440" w:firstLineChars="200"/>
        <w:jc w:val="left"/>
        <w:rPr>
          <w:rStyle w:val="8"/>
          <w:rFonts w:ascii="宋体" w:hAnsi="宋体"/>
          <w:color w:val="auto"/>
          <w:kern w:val="2"/>
          <w:sz w:val="22"/>
          <w:szCs w:val="22"/>
          <w:highlight w:val="none"/>
        </w:rPr>
      </w:pPr>
      <w:r>
        <w:rPr>
          <w:rStyle w:val="8"/>
          <w:rFonts w:ascii="宋体" w:hAnsi="宋体"/>
          <w:color w:val="auto"/>
          <w:kern w:val="2"/>
          <w:sz w:val="22"/>
          <w:szCs w:val="22"/>
          <w:highlight w:val="none"/>
        </w:rPr>
        <w:t>质量保证金采用以下第</w:t>
      </w:r>
      <w:r>
        <w:rPr>
          <w:rStyle w:val="8"/>
          <w:rFonts w:ascii="宋体" w:hAnsi="宋体"/>
          <w:color w:val="auto"/>
          <w:kern w:val="2"/>
          <w:sz w:val="22"/>
          <w:szCs w:val="22"/>
          <w:highlight w:val="none"/>
          <w:u w:val="single"/>
        </w:rPr>
        <w:t xml:space="preserve"> </w:t>
      </w:r>
      <w:r>
        <w:rPr>
          <w:rStyle w:val="8"/>
          <w:rFonts w:hint="eastAsia" w:ascii="宋体" w:hAnsi="宋体"/>
          <w:color w:val="auto"/>
          <w:kern w:val="2"/>
          <w:sz w:val="22"/>
          <w:szCs w:val="22"/>
          <w:highlight w:val="none"/>
          <w:u w:val="single"/>
        </w:rPr>
        <w:t xml:space="preserve">  3 </w:t>
      </w:r>
      <w:r>
        <w:rPr>
          <w:rStyle w:val="8"/>
          <w:rFonts w:ascii="宋体" w:hAnsi="宋体"/>
          <w:color w:val="auto"/>
          <w:kern w:val="2"/>
          <w:sz w:val="22"/>
          <w:szCs w:val="22"/>
          <w:highlight w:val="none"/>
          <w:u w:val="single"/>
        </w:rPr>
        <w:t xml:space="preserve">  </w:t>
      </w:r>
      <w:r>
        <w:rPr>
          <w:rStyle w:val="8"/>
          <w:rFonts w:ascii="宋体" w:hAnsi="宋体"/>
          <w:color w:val="auto"/>
          <w:kern w:val="2"/>
          <w:sz w:val="22"/>
          <w:szCs w:val="22"/>
          <w:highlight w:val="none"/>
        </w:rPr>
        <w:t>种方式：</w:t>
      </w:r>
    </w:p>
    <w:p w14:paraId="3E1728B7">
      <w:pPr>
        <w:pStyle w:val="13"/>
        <w:autoSpaceDE w:val="0"/>
        <w:autoSpaceDN w:val="0"/>
        <w:adjustRightInd w:val="0"/>
        <w:spacing w:line="360" w:lineRule="auto"/>
        <w:ind w:firstLine="440" w:firstLineChars="200"/>
        <w:jc w:val="left"/>
        <w:rPr>
          <w:rStyle w:val="8"/>
          <w:rFonts w:ascii="宋体" w:hAnsi="宋体"/>
          <w:color w:val="auto"/>
          <w:sz w:val="22"/>
          <w:szCs w:val="22"/>
          <w:highlight w:val="none"/>
        </w:rPr>
      </w:pPr>
      <w:r>
        <w:rPr>
          <w:rStyle w:val="8"/>
          <w:rFonts w:ascii="宋体" w:hAnsi="宋体"/>
          <w:color w:val="auto"/>
          <w:sz w:val="22"/>
          <w:szCs w:val="22"/>
          <w:highlight w:val="none"/>
        </w:rPr>
        <w:t>（1）质量保证金保函，保证金额为：</w:t>
      </w:r>
      <w:r>
        <w:rPr>
          <w:rStyle w:val="8"/>
          <w:rFonts w:ascii="宋体" w:hAnsi="宋体"/>
          <w:color w:val="auto"/>
          <w:sz w:val="22"/>
          <w:szCs w:val="22"/>
          <w:highlight w:val="none"/>
          <w:u w:val="single"/>
        </w:rPr>
        <w:t xml:space="preserve">   </w:t>
      </w:r>
      <w:r>
        <w:rPr>
          <w:rStyle w:val="8"/>
          <w:rFonts w:hint="eastAsia" w:ascii="宋体" w:hAnsi="宋体"/>
          <w:color w:val="auto"/>
          <w:sz w:val="22"/>
          <w:szCs w:val="22"/>
          <w:highlight w:val="none"/>
          <w:u w:val="single"/>
        </w:rPr>
        <w:t xml:space="preserve">            </w:t>
      </w:r>
      <w:r>
        <w:rPr>
          <w:rStyle w:val="8"/>
          <w:rFonts w:ascii="宋体" w:hAnsi="宋体"/>
          <w:color w:val="auto"/>
          <w:sz w:val="22"/>
          <w:szCs w:val="22"/>
          <w:highlight w:val="none"/>
          <w:u w:val="single"/>
        </w:rPr>
        <w:t xml:space="preserve">    </w:t>
      </w:r>
      <w:r>
        <w:rPr>
          <w:rStyle w:val="8"/>
          <w:rFonts w:ascii="宋体" w:hAnsi="宋体"/>
          <w:color w:val="auto"/>
          <w:sz w:val="22"/>
          <w:szCs w:val="22"/>
          <w:highlight w:val="none"/>
        </w:rPr>
        <w:t xml:space="preserve">； </w:t>
      </w:r>
    </w:p>
    <w:p w14:paraId="24AD46DE">
      <w:pPr>
        <w:pStyle w:val="13"/>
        <w:autoSpaceDE w:val="0"/>
        <w:autoSpaceDN w:val="0"/>
        <w:adjustRightInd w:val="0"/>
        <w:spacing w:line="360" w:lineRule="auto"/>
        <w:ind w:firstLine="440" w:firstLineChars="200"/>
        <w:jc w:val="left"/>
        <w:rPr>
          <w:rStyle w:val="8"/>
          <w:rFonts w:ascii="宋体" w:hAnsi="宋体"/>
          <w:color w:val="auto"/>
          <w:sz w:val="22"/>
          <w:szCs w:val="22"/>
          <w:highlight w:val="none"/>
        </w:rPr>
      </w:pPr>
      <w:r>
        <w:rPr>
          <w:rStyle w:val="8"/>
          <w:rFonts w:ascii="宋体" w:hAnsi="宋体"/>
          <w:color w:val="auto"/>
          <w:sz w:val="22"/>
          <w:szCs w:val="22"/>
          <w:highlight w:val="none"/>
        </w:rPr>
        <w:t>（2）</w:t>
      </w:r>
      <w:r>
        <w:rPr>
          <w:rStyle w:val="8"/>
          <w:rFonts w:ascii="宋体" w:hAnsi="宋体"/>
          <w:color w:val="auto"/>
          <w:sz w:val="22"/>
          <w:szCs w:val="22"/>
          <w:highlight w:val="none"/>
          <w:u w:val="single"/>
        </w:rPr>
        <w:t xml:space="preserve">      </w:t>
      </w:r>
      <w:r>
        <w:rPr>
          <w:rStyle w:val="8"/>
          <w:rFonts w:ascii="宋体" w:hAnsi="宋体"/>
          <w:color w:val="auto"/>
          <w:sz w:val="22"/>
          <w:szCs w:val="22"/>
          <w:highlight w:val="none"/>
        </w:rPr>
        <w:t>%的工程款；</w:t>
      </w:r>
    </w:p>
    <w:p w14:paraId="19F7357B">
      <w:pPr>
        <w:pStyle w:val="13"/>
        <w:autoSpaceDE w:val="0"/>
        <w:autoSpaceDN w:val="0"/>
        <w:adjustRightInd w:val="0"/>
        <w:spacing w:line="360" w:lineRule="auto"/>
        <w:ind w:firstLine="440" w:firstLineChars="200"/>
        <w:jc w:val="left"/>
        <w:rPr>
          <w:rStyle w:val="8"/>
          <w:rFonts w:ascii="宋体" w:hAnsi="宋体"/>
          <w:color w:val="auto"/>
          <w:sz w:val="22"/>
          <w:szCs w:val="22"/>
          <w:highlight w:val="none"/>
        </w:rPr>
      </w:pPr>
      <w:r>
        <w:rPr>
          <w:rStyle w:val="8"/>
          <w:rFonts w:ascii="宋体" w:hAnsi="宋体"/>
          <w:color w:val="auto"/>
          <w:sz w:val="22"/>
          <w:szCs w:val="22"/>
          <w:highlight w:val="none"/>
        </w:rPr>
        <w:t>（3）其他</w:t>
      </w:r>
      <w:r>
        <w:rPr>
          <w:rStyle w:val="8"/>
          <w:rFonts w:hint="eastAsia" w:ascii="宋体" w:hAnsi="宋体"/>
          <w:color w:val="auto"/>
          <w:sz w:val="22"/>
          <w:szCs w:val="22"/>
          <w:highlight w:val="none"/>
        </w:rPr>
        <w:t>方</w:t>
      </w:r>
      <w:r>
        <w:rPr>
          <w:rStyle w:val="8"/>
          <w:rFonts w:ascii="宋体" w:hAnsi="宋体"/>
          <w:color w:val="auto"/>
          <w:sz w:val="22"/>
          <w:szCs w:val="22"/>
          <w:highlight w:val="none"/>
        </w:rPr>
        <w:t>式:</w:t>
      </w:r>
      <w:r>
        <w:rPr>
          <w:rStyle w:val="8"/>
          <w:rFonts w:ascii="宋体" w:hAnsi="宋体"/>
          <w:color w:val="auto"/>
          <w:sz w:val="22"/>
          <w:szCs w:val="22"/>
          <w:highlight w:val="none"/>
          <w:u w:val="single"/>
        </w:rPr>
        <w:t xml:space="preserve">  </w:t>
      </w:r>
      <w:r>
        <w:rPr>
          <w:rStyle w:val="8"/>
          <w:rFonts w:hint="eastAsia" w:ascii="宋体" w:hAnsi="宋体"/>
          <w:color w:val="auto"/>
          <w:kern w:val="2"/>
          <w:sz w:val="22"/>
          <w:szCs w:val="22"/>
          <w:highlight w:val="none"/>
          <w:u w:val="single"/>
        </w:rPr>
        <w:t xml:space="preserve">工程结算价款的3% </w:t>
      </w:r>
      <w:r>
        <w:rPr>
          <w:rStyle w:val="8"/>
          <w:rFonts w:ascii="宋体" w:hAnsi="宋体"/>
          <w:color w:val="auto"/>
          <w:kern w:val="2"/>
          <w:sz w:val="22"/>
          <w:szCs w:val="22"/>
          <w:highlight w:val="none"/>
          <w:u w:val="single"/>
        </w:rPr>
        <w:t xml:space="preserve">  </w:t>
      </w:r>
      <w:r>
        <w:rPr>
          <w:rStyle w:val="8"/>
          <w:rFonts w:hint="eastAsia" w:ascii="宋体" w:hAnsi="宋体"/>
          <w:color w:val="auto"/>
          <w:kern w:val="2"/>
          <w:sz w:val="22"/>
          <w:szCs w:val="22"/>
          <w:highlight w:val="none"/>
          <w:u w:val="single"/>
        </w:rPr>
        <w:t xml:space="preserve">  </w:t>
      </w:r>
      <w:r>
        <w:rPr>
          <w:rStyle w:val="8"/>
          <w:rFonts w:hint="eastAsia" w:ascii="宋体" w:hAnsi="宋体"/>
          <w:color w:val="auto"/>
          <w:sz w:val="22"/>
          <w:szCs w:val="22"/>
          <w:highlight w:val="none"/>
          <w:u w:val="single"/>
        </w:rPr>
        <w:t xml:space="preserve">                     </w:t>
      </w:r>
      <w:r>
        <w:rPr>
          <w:rStyle w:val="8"/>
          <w:rFonts w:ascii="宋体" w:hAnsi="宋体"/>
          <w:color w:val="auto"/>
          <w:sz w:val="22"/>
          <w:szCs w:val="22"/>
          <w:highlight w:val="none"/>
          <w:u w:val="single"/>
        </w:rPr>
        <w:t xml:space="preserve">      </w:t>
      </w:r>
      <w:r>
        <w:rPr>
          <w:rStyle w:val="8"/>
          <w:rFonts w:ascii="宋体" w:hAnsi="宋体"/>
          <w:color w:val="auto"/>
          <w:sz w:val="22"/>
          <w:szCs w:val="22"/>
          <w:highlight w:val="none"/>
        </w:rPr>
        <w:t>。</w:t>
      </w:r>
    </w:p>
    <w:p w14:paraId="0E5E6CFB">
      <w:pPr>
        <w:pStyle w:val="13"/>
        <w:spacing w:line="360" w:lineRule="auto"/>
        <w:ind w:firstLine="440" w:firstLineChars="200"/>
        <w:jc w:val="left"/>
        <w:outlineLvl w:val="0"/>
        <w:rPr>
          <w:rStyle w:val="8"/>
          <w:rFonts w:ascii="宋体" w:hAnsi="宋体"/>
          <w:color w:val="auto"/>
          <w:kern w:val="2"/>
          <w:sz w:val="22"/>
          <w:szCs w:val="22"/>
          <w:highlight w:val="none"/>
        </w:rPr>
      </w:pPr>
      <w:bookmarkStart w:id="1102" w:name="_Toc4390"/>
      <w:bookmarkStart w:id="1103" w:name="_Toc256000854"/>
      <w:bookmarkStart w:id="1104" w:name="_Toc256000358"/>
      <w:bookmarkStart w:id="1105" w:name="_Toc69461833"/>
      <w:bookmarkStart w:id="1106" w:name="_Toc256000067"/>
      <w:bookmarkStart w:id="1107" w:name="_Toc69461178"/>
      <w:bookmarkStart w:id="1108" w:name="_Toc30860"/>
      <w:bookmarkStart w:id="1109" w:name="_Toc256000587"/>
      <w:bookmarkStart w:id="1110" w:name="_Toc32324"/>
      <w:bookmarkStart w:id="1111" w:name="_Toc256000100"/>
      <w:bookmarkStart w:id="1112" w:name="_Toc256001321"/>
      <w:bookmarkStart w:id="1113" w:name="_Toc256001091"/>
      <w:bookmarkStart w:id="1114" w:name="_Toc5117"/>
      <w:r>
        <w:rPr>
          <w:rStyle w:val="8"/>
          <w:rFonts w:ascii="宋体" w:hAnsi="宋体"/>
          <w:color w:val="auto"/>
          <w:kern w:val="2"/>
          <w:sz w:val="22"/>
          <w:szCs w:val="22"/>
          <w:highlight w:val="none"/>
        </w:rPr>
        <w:t>15.3.2 质量保证金的扣留</w:t>
      </w:r>
      <w:bookmarkEnd w:id="1102"/>
      <w:bookmarkEnd w:id="1103"/>
      <w:bookmarkEnd w:id="1104"/>
      <w:bookmarkEnd w:id="1105"/>
      <w:bookmarkEnd w:id="1106"/>
      <w:bookmarkEnd w:id="1107"/>
      <w:bookmarkEnd w:id="1108"/>
      <w:bookmarkEnd w:id="1109"/>
      <w:bookmarkEnd w:id="1110"/>
      <w:bookmarkEnd w:id="1111"/>
      <w:bookmarkEnd w:id="1112"/>
      <w:bookmarkEnd w:id="1113"/>
      <w:bookmarkEnd w:id="1114"/>
      <w:r>
        <w:rPr>
          <w:rStyle w:val="8"/>
          <w:rFonts w:ascii="宋体" w:hAnsi="宋体"/>
          <w:color w:val="auto"/>
          <w:kern w:val="2"/>
          <w:sz w:val="22"/>
          <w:szCs w:val="22"/>
          <w:highlight w:val="none"/>
        </w:rPr>
        <w:t xml:space="preserve"> </w:t>
      </w:r>
    </w:p>
    <w:p w14:paraId="26C97B4A">
      <w:pPr>
        <w:pStyle w:val="13"/>
        <w:spacing w:line="360" w:lineRule="auto"/>
        <w:ind w:firstLine="440" w:firstLineChars="200"/>
        <w:jc w:val="left"/>
        <w:rPr>
          <w:rStyle w:val="8"/>
          <w:rFonts w:ascii="宋体" w:hAnsi="宋体"/>
          <w:color w:val="auto"/>
          <w:kern w:val="2"/>
          <w:sz w:val="22"/>
          <w:szCs w:val="22"/>
          <w:highlight w:val="none"/>
        </w:rPr>
      </w:pPr>
      <w:r>
        <w:rPr>
          <w:rStyle w:val="8"/>
          <w:rFonts w:ascii="宋体" w:hAnsi="宋体"/>
          <w:color w:val="auto"/>
          <w:kern w:val="2"/>
          <w:sz w:val="22"/>
          <w:szCs w:val="22"/>
          <w:highlight w:val="none"/>
        </w:rPr>
        <w:t>质量保证金的扣留采取以下第</w:t>
      </w:r>
      <w:r>
        <w:rPr>
          <w:rStyle w:val="8"/>
          <w:rFonts w:ascii="宋体" w:hAnsi="宋体"/>
          <w:color w:val="auto"/>
          <w:kern w:val="2"/>
          <w:sz w:val="22"/>
          <w:szCs w:val="22"/>
          <w:highlight w:val="none"/>
          <w:u w:val="single"/>
        </w:rPr>
        <w:t xml:space="preserve"> </w:t>
      </w:r>
      <w:r>
        <w:rPr>
          <w:rStyle w:val="8"/>
          <w:rFonts w:hint="eastAsia" w:ascii="宋体" w:hAnsi="宋体"/>
          <w:color w:val="auto"/>
          <w:kern w:val="2"/>
          <w:sz w:val="22"/>
          <w:szCs w:val="22"/>
          <w:highlight w:val="none"/>
          <w:u w:val="single"/>
        </w:rPr>
        <w:t xml:space="preserve">  (2)</w:t>
      </w:r>
      <w:r>
        <w:rPr>
          <w:rStyle w:val="8"/>
          <w:rFonts w:ascii="宋体" w:hAnsi="宋体"/>
          <w:color w:val="auto"/>
          <w:kern w:val="2"/>
          <w:sz w:val="22"/>
          <w:szCs w:val="22"/>
          <w:highlight w:val="none"/>
          <w:u w:val="single"/>
        </w:rPr>
        <w:t xml:space="preserve">  </w:t>
      </w:r>
      <w:r>
        <w:rPr>
          <w:rStyle w:val="8"/>
          <w:rFonts w:ascii="宋体" w:hAnsi="宋体"/>
          <w:color w:val="auto"/>
          <w:kern w:val="2"/>
          <w:sz w:val="22"/>
          <w:szCs w:val="22"/>
          <w:highlight w:val="none"/>
        </w:rPr>
        <w:t>种方式：</w:t>
      </w:r>
    </w:p>
    <w:p w14:paraId="38F137D0">
      <w:pPr>
        <w:pStyle w:val="13"/>
        <w:autoSpaceDE w:val="0"/>
        <w:autoSpaceDN w:val="0"/>
        <w:adjustRightInd w:val="0"/>
        <w:spacing w:line="360" w:lineRule="auto"/>
        <w:ind w:firstLine="440" w:firstLineChars="200"/>
        <w:jc w:val="left"/>
        <w:rPr>
          <w:rStyle w:val="8"/>
          <w:rFonts w:ascii="宋体" w:hAnsi="宋体"/>
          <w:color w:val="auto"/>
          <w:sz w:val="22"/>
          <w:szCs w:val="22"/>
          <w:highlight w:val="none"/>
        </w:rPr>
      </w:pPr>
      <w:r>
        <w:rPr>
          <w:rStyle w:val="8"/>
          <w:rFonts w:ascii="宋体" w:hAnsi="宋体"/>
          <w:color w:val="auto"/>
          <w:sz w:val="22"/>
          <w:szCs w:val="22"/>
          <w:highlight w:val="none"/>
        </w:rPr>
        <w:t>（1）在支付工程进度款时逐次扣留，在此情形下，质量保证金的计算基数不包括预付款的支付、扣回以及价格调整的金额；</w:t>
      </w:r>
    </w:p>
    <w:p w14:paraId="71A94235">
      <w:pPr>
        <w:pStyle w:val="13"/>
        <w:autoSpaceDE w:val="0"/>
        <w:autoSpaceDN w:val="0"/>
        <w:adjustRightInd w:val="0"/>
        <w:spacing w:line="360" w:lineRule="auto"/>
        <w:ind w:firstLine="440" w:firstLineChars="200"/>
        <w:jc w:val="left"/>
        <w:outlineLvl w:val="0"/>
        <w:rPr>
          <w:rStyle w:val="8"/>
          <w:rFonts w:ascii="宋体" w:hAnsi="宋体"/>
          <w:color w:val="auto"/>
          <w:sz w:val="22"/>
          <w:szCs w:val="22"/>
          <w:highlight w:val="none"/>
        </w:rPr>
      </w:pPr>
      <w:bookmarkStart w:id="1115" w:name="_Toc256001322"/>
      <w:bookmarkStart w:id="1116" w:name="_Toc256000855"/>
      <w:bookmarkStart w:id="1117" w:name="_Toc256000588"/>
      <w:bookmarkStart w:id="1118" w:name="_Toc31254"/>
      <w:bookmarkStart w:id="1119" w:name="_Toc15723"/>
      <w:bookmarkStart w:id="1120" w:name="_Toc256000068"/>
      <w:bookmarkStart w:id="1121" w:name="_Toc69461179"/>
      <w:bookmarkStart w:id="1122" w:name="_Toc21525"/>
      <w:bookmarkStart w:id="1123" w:name="_Toc256001092"/>
      <w:bookmarkStart w:id="1124" w:name="_Toc256000359"/>
      <w:bookmarkStart w:id="1125" w:name="_Toc256000101"/>
      <w:bookmarkStart w:id="1126" w:name="_Toc69461834"/>
      <w:bookmarkStart w:id="1127" w:name="_Toc29412"/>
      <w:r>
        <w:rPr>
          <w:rStyle w:val="8"/>
          <w:rFonts w:ascii="宋体" w:hAnsi="宋体"/>
          <w:color w:val="auto"/>
          <w:sz w:val="22"/>
          <w:szCs w:val="22"/>
          <w:highlight w:val="none"/>
        </w:rPr>
        <w:t>（2）工程竣工结算时一次性扣留质量保证金；</w:t>
      </w:r>
      <w:bookmarkEnd w:id="1115"/>
      <w:bookmarkEnd w:id="1116"/>
      <w:bookmarkEnd w:id="1117"/>
      <w:bookmarkEnd w:id="1118"/>
      <w:bookmarkEnd w:id="1119"/>
      <w:bookmarkEnd w:id="1120"/>
      <w:bookmarkEnd w:id="1121"/>
      <w:bookmarkEnd w:id="1122"/>
      <w:bookmarkEnd w:id="1123"/>
      <w:bookmarkEnd w:id="1124"/>
      <w:bookmarkEnd w:id="1125"/>
      <w:bookmarkEnd w:id="1126"/>
      <w:bookmarkEnd w:id="1127"/>
    </w:p>
    <w:p w14:paraId="6AE4D458">
      <w:pPr>
        <w:pStyle w:val="13"/>
        <w:autoSpaceDE w:val="0"/>
        <w:autoSpaceDN w:val="0"/>
        <w:adjustRightInd w:val="0"/>
        <w:spacing w:line="360" w:lineRule="auto"/>
        <w:ind w:firstLine="440" w:firstLineChars="200"/>
        <w:jc w:val="left"/>
        <w:rPr>
          <w:rStyle w:val="8"/>
          <w:rFonts w:ascii="宋体" w:hAnsi="宋体"/>
          <w:color w:val="auto"/>
          <w:sz w:val="22"/>
          <w:szCs w:val="22"/>
          <w:highlight w:val="none"/>
        </w:rPr>
      </w:pPr>
      <w:r>
        <w:rPr>
          <w:rStyle w:val="8"/>
          <w:rFonts w:ascii="宋体" w:hAnsi="宋体"/>
          <w:color w:val="auto"/>
          <w:sz w:val="22"/>
          <w:szCs w:val="22"/>
          <w:highlight w:val="none"/>
        </w:rPr>
        <w:t>（3）其他扣留方式:</w:t>
      </w:r>
      <w:r>
        <w:rPr>
          <w:rStyle w:val="8"/>
          <w:rFonts w:ascii="宋体" w:hAnsi="宋体"/>
          <w:color w:val="auto"/>
          <w:sz w:val="22"/>
          <w:szCs w:val="22"/>
          <w:highlight w:val="none"/>
          <w:u w:val="single"/>
        </w:rPr>
        <w:t xml:space="preserve">             </w:t>
      </w:r>
      <w:r>
        <w:rPr>
          <w:rStyle w:val="8"/>
          <w:rFonts w:hint="eastAsia" w:ascii="宋体" w:hAnsi="宋体"/>
          <w:color w:val="auto"/>
          <w:sz w:val="22"/>
          <w:szCs w:val="22"/>
          <w:highlight w:val="none"/>
          <w:u w:val="single"/>
        </w:rPr>
        <w:t xml:space="preserve">   </w:t>
      </w:r>
      <w:r>
        <w:rPr>
          <w:rStyle w:val="8"/>
          <w:rFonts w:ascii="宋体" w:hAnsi="宋体"/>
          <w:color w:val="auto"/>
          <w:sz w:val="22"/>
          <w:szCs w:val="22"/>
          <w:highlight w:val="none"/>
          <w:u w:val="single"/>
        </w:rPr>
        <w:t xml:space="preserve">  </w:t>
      </w:r>
      <w:r>
        <w:rPr>
          <w:rStyle w:val="8"/>
          <w:rFonts w:hint="eastAsia" w:ascii="宋体" w:hAnsi="宋体"/>
          <w:color w:val="auto"/>
          <w:sz w:val="22"/>
          <w:szCs w:val="22"/>
          <w:highlight w:val="none"/>
          <w:u w:val="single"/>
        </w:rPr>
        <w:t xml:space="preserve">               </w:t>
      </w:r>
      <w:r>
        <w:rPr>
          <w:rStyle w:val="8"/>
          <w:rFonts w:ascii="宋体" w:hAnsi="宋体"/>
          <w:color w:val="auto"/>
          <w:sz w:val="22"/>
          <w:szCs w:val="22"/>
          <w:highlight w:val="none"/>
          <w:u w:val="single"/>
        </w:rPr>
        <w:t xml:space="preserve">    </w:t>
      </w:r>
      <w:r>
        <w:rPr>
          <w:rStyle w:val="8"/>
          <w:rFonts w:ascii="宋体" w:hAnsi="宋体"/>
          <w:color w:val="auto"/>
          <w:sz w:val="22"/>
          <w:szCs w:val="22"/>
          <w:highlight w:val="none"/>
        </w:rPr>
        <w:t>。</w:t>
      </w:r>
    </w:p>
    <w:p w14:paraId="1AF2BF52">
      <w:pPr>
        <w:pStyle w:val="13"/>
        <w:spacing w:line="360" w:lineRule="auto"/>
        <w:ind w:firstLine="440" w:firstLineChars="200"/>
        <w:jc w:val="left"/>
        <w:rPr>
          <w:rStyle w:val="8"/>
          <w:rFonts w:ascii="宋体" w:hAnsi="宋体"/>
          <w:color w:val="auto"/>
          <w:sz w:val="22"/>
          <w:szCs w:val="22"/>
          <w:highlight w:val="none"/>
          <w:u w:val="single"/>
        </w:rPr>
      </w:pPr>
      <w:r>
        <w:rPr>
          <w:rStyle w:val="8"/>
          <w:rFonts w:ascii="宋体" w:hAnsi="宋体"/>
          <w:color w:val="auto"/>
          <w:kern w:val="2"/>
          <w:sz w:val="22"/>
          <w:szCs w:val="22"/>
          <w:highlight w:val="none"/>
        </w:rPr>
        <w:t>关于质量保证金的补充约定：</w:t>
      </w:r>
      <w:r>
        <w:rPr>
          <w:rStyle w:val="8"/>
          <w:rFonts w:ascii="宋体" w:hAnsi="宋体"/>
          <w:color w:val="auto"/>
          <w:sz w:val="22"/>
          <w:szCs w:val="22"/>
          <w:highlight w:val="none"/>
          <w:u w:val="single"/>
        </w:rPr>
        <w:t xml:space="preserve">          </w:t>
      </w:r>
      <w:r>
        <w:rPr>
          <w:rStyle w:val="8"/>
          <w:rFonts w:hint="eastAsia" w:ascii="宋体" w:hAnsi="宋体"/>
          <w:color w:val="auto"/>
          <w:sz w:val="22"/>
          <w:szCs w:val="22"/>
          <w:highlight w:val="none"/>
          <w:u w:val="single"/>
        </w:rPr>
        <w:t xml:space="preserve">    </w:t>
      </w:r>
      <w:r>
        <w:rPr>
          <w:rStyle w:val="8"/>
          <w:rFonts w:ascii="宋体" w:hAnsi="宋体"/>
          <w:color w:val="auto"/>
          <w:sz w:val="22"/>
          <w:szCs w:val="22"/>
          <w:highlight w:val="none"/>
          <w:u w:val="single"/>
        </w:rPr>
        <w:t xml:space="preserve">  </w:t>
      </w:r>
      <w:r>
        <w:rPr>
          <w:rStyle w:val="8"/>
          <w:rFonts w:hint="eastAsia" w:ascii="宋体" w:hAnsi="宋体"/>
          <w:color w:val="auto"/>
          <w:sz w:val="22"/>
          <w:szCs w:val="22"/>
          <w:highlight w:val="none"/>
          <w:u w:val="single"/>
        </w:rPr>
        <w:t xml:space="preserve">      </w:t>
      </w:r>
      <w:r>
        <w:rPr>
          <w:rStyle w:val="8"/>
          <w:rFonts w:ascii="宋体" w:hAnsi="宋体"/>
          <w:color w:val="auto"/>
          <w:sz w:val="22"/>
          <w:szCs w:val="22"/>
          <w:highlight w:val="none"/>
          <w:u w:val="single"/>
        </w:rPr>
        <w:t xml:space="preserve">  </w:t>
      </w:r>
      <w:r>
        <w:rPr>
          <w:rStyle w:val="8"/>
          <w:rFonts w:hint="eastAsia" w:ascii="宋体" w:hAnsi="宋体"/>
          <w:color w:val="auto"/>
          <w:sz w:val="22"/>
          <w:szCs w:val="22"/>
          <w:highlight w:val="none"/>
          <w:u w:val="single"/>
        </w:rPr>
        <w:t xml:space="preserve">    </w:t>
      </w:r>
    </w:p>
    <w:p w14:paraId="2748C126">
      <w:pPr>
        <w:pStyle w:val="13"/>
        <w:spacing w:line="360" w:lineRule="auto"/>
        <w:jc w:val="left"/>
        <w:rPr>
          <w:rStyle w:val="8"/>
          <w:rFonts w:ascii="宋体" w:hAnsi="宋体"/>
          <w:color w:val="auto"/>
          <w:kern w:val="2"/>
          <w:sz w:val="22"/>
          <w:szCs w:val="22"/>
          <w:highlight w:val="none"/>
        </w:rPr>
      </w:pPr>
      <w:r>
        <w:rPr>
          <w:rStyle w:val="8"/>
          <w:rFonts w:hint="eastAsia" w:ascii="宋体" w:hAnsi="宋体"/>
          <w:color w:val="auto"/>
          <w:sz w:val="22"/>
          <w:szCs w:val="22"/>
          <w:highlight w:val="none"/>
          <w:u w:val="single"/>
        </w:rPr>
        <w:t xml:space="preserve">                                                         </w:t>
      </w:r>
      <w:r>
        <w:rPr>
          <w:rStyle w:val="8"/>
          <w:rFonts w:ascii="宋体" w:hAnsi="宋体"/>
          <w:color w:val="auto"/>
          <w:sz w:val="22"/>
          <w:szCs w:val="22"/>
          <w:highlight w:val="none"/>
        </w:rPr>
        <w:t>。</w:t>
      </w:r>
    </w:p>
    <w:bookmarkEnd w:id="1047"/>
    <w:bookmarkEnd w:id="1048"/>
    <w:p w14:paraId="6C19FF97">
      <w:pPr>
        <w:pStyle w:val="13"/>
        <w:spacing w:after="120" w:line="360" w:lineRule="auto"/>
        <w:ind w:firstLine="440" w:firstLineChars="200"/>
        <w:rPr>
          <w:rStyle w:val="8"/>
          <w:rFonts w:ascii="宋体" w:hAnsi="宋体"/>
          <w:color w:val="auto"/>
          <w:kern w:val="2"/>
          <w:sz w:val="22"/>
          <w:szCs w:val="22"/>
          <w:highlight w:val="none"/>
        </w:rPr>
      </w:pPr>
      <w:r>
        <w:rPr>
          <w:rStyle w:val="8"/>
          <w:rFonts w:ascii="宋体" w:hAnsi="宋体"/>
          <w:color w:val="auto"/>
          <w:kern w:val="2"/>
          <w:sz w:val="22"/>
          <w:szCs w:val="22"/>
          <w:highlight w:val="none"/>
        </w:rPr>
        <w:t>15.4保修</w:t>
      </w:r>
    </w:p>
    <w:bookmarkEnd w:id="1049"/>
    <w:p w14:paraId="0DD71D0B">
      <w:pPr>
        <w:pStyle w:val="13"/>
        <w:spacing w:line="360" w:lineRule="auto"/>
        <w:ind w:firstLine="429" w:firstLineChars="195"/>
        <w:jc w:val="left"/>
        <w:rPr>
          <w:rStyle w:val="8"/>
          <w:rFonts w:ascii="宋体" w:hAnsi="宋体"/>
          <w:color w:val="auto"/>
          <w:kern w:val="2"/>
          <w:sz w:val="22"/>
          <w:szCs w:val="22"/>
          <w:highlight w:val="none"/>
        </w:rPr>
      </w:pPr>
      <w:r>
        <w:rPr>
          <w:rStyle w:val="8"/>
          <w:rFonts w:ascii="宋体" w:hAnsi="宋体"/>
          <w:color w:val="auto"/>
          <w:kern w:val="2"/>
          <w:sz w:val="22"/>
          <w:szCs w:val="22"/>
          <w:highlight w:val="none"/>
        </w:rPr>
        <w:t>15.4.1 保修责任</w:t>
      </w:r>
    </w:p>
    <w:p w14:paraId="0A58CCA2">
      <w:pPr>
        <w:pStyle w:val="14"/>
        <w:spacing w:line="360" w:lineRule="auto"/>
        <w:ind w:firstLine="429" w:firstLineChars="195"/>
        <w:jc w:val="left"/>
        <w:rPr>
          <w:rStyle w:val="8"/>
          <w:rFonts w:ascii="宋体" w:hAnsi="宋体"/>
          <w:color w:val="auto"/>
          <w:kern w:val="2"/>
          <w:sz w:val="22"/>
          <w:szCs w:val="22"/>
          <w:highlight w:val="none"/>
          <w:u w:val="single"/>
        </w:rPr>
      </w:pPr>
      <w:r>
        <w:rPr>
          <w:rStyle w:val="8"/>
          <w:rFonts w:ascii="宋体" w:hAnsi="宋体"/>
          <w:color w:val="auto"/>
          <w:kern w:val="2"/>
          <w:sz w:val="22"/>
          <w:szCs w:val="22"/>
          <w:highlight w:val="none"/>
        </w:rPr>
        <w:t>工程保修期为：</w:t>
      </w:r>
      <w:r>
        <w:rPr>
          <w:rStyle w:val="8"/>
          <w:rFonts w:ascii="宋体" w:hAnsi="宋体"/>
          <w:color w:val="auto"/>
          <w:sz w:val="22"/>
          <w:szCs w:val="22"/>
          <w:highlight w:val="none"/>
          <w:u w:val="single"/>
        </w:rPr>
        <w:t xml:space="preserve">  </w:t>
      </w:r>
      <w:r>
        <w:rPr>
          <w:rStyle w:val="8"/>
          <w:rFonts w:ascii="宋体" w:hAnsi="宋体"/>
          <w:color w:val="auto"/>
          <w:kern w:val="2"/>
          <w:sz w:val="22"/>
          <w:szCs w:val="22"/>
          <w:highlight w:val="none"/>
          <w:u w:val="single"/>
        </w:rPr>
        <w:t xml:space="preserve">  </w:t>
      </w:r>
      <w:r>
        <w:rPr>
          <w:rStyle w:val="8"/>
          <w:rFonts w:hint="eastAsia" w:ascii="宋体" w:hAnsi="宋体"/>
          <w:color w:val="auto"/>
          <w:kern w:val="2"/>
          <w:sz w:val="22"/>
          <w:szCs w:val="22"/>
          <w:highlight w:val="none"/>
          <w:u w:val="single"/>
        </w:rPr>
        <w:t>按照 《建筑工程质量管理条例》执行 。</w:t>
      </w:r>
    </w:p>
    <w:p w14:paraId="4C849830">
      <w:pPr>
        <w:pStyle w:val="13"/>
        <w:spacing w:line="360" w:lineRule="auto"/>
        <w:ind w:firstLine="429" w:firstLineChars="195"/>
        <w:jc w:val="left"/>
        <w:rPr>
          <w:rStyle w:val="8"/>
          <w:rFonts w:ascii="宋体" w:hAnsi="宋体"/>
          <w:color w:val="auto"/>
          <w:kern w:val="2"/>
          <w:sz w:val="22"/>
          <w:szCs w:val="22"/>
          <w:highlight w:val="none"/>
        </w:rPr>
      </w:pPr>
      <w:r>
        <w:rPr>
          <w:rStyle w:val="8"/>
          <w:rFonts w:ascii="宋体" w:hAnsi="宋体"/>
          <w:color w:val="auto"/>
          <w:kern w:val="2"/>
          <w:sz w:val="22"/>
          <w:szCs w:val="22"/>
          <w:highlight w:val="none"/>
        </w:rPr>
        <w:t>15.4.3 修复通知</w:t>
      </w:r>
    </w:p>
    <w:p w14:paraId="0ABCF51A">
      <w:pPr>
        <w:pStyle w:val="13"/>
        <w:spacing w:line="360" w:lineRule="auto"/>
        <w:ind w:firstLine="429" w:firstLineChars="195"/>
        <w:jc w:val="left"/>
        <w:rPr>
          <w:rStyle w:val="8"/>
          <w:rFonts w:ascii="宋体" w:hAnsi="宋体"/>
          <w:color w:val="auto"/>
          <w:sz w:val="22"/>
          <w:szCs w:val="22"/>
          <w:highlight w:val="none"/>
          <w:u w:val="single"/>
        </w:rPr>
      </w:pPr>
      <w:r>
        <w:rPr>
          <w:rStyle w:val="8"/>
          <w:rFonts w:ascii="宋体" w:hAnsi="宋体"/>
          <w:color w:val="auto"/>
          <w:sz w:val="22"/>
          <w:szCs w:val="22"/>
          <w:highlight w:val="none"/>
        </w:rPr>
        <w:t>承包人收到保修通知并到达工程现场的合理时间：</w:t>
      </w:r>
      <w:r>
        <w:rPr>
          <w:rStyle w:val="8"/>
          <w:rFonts w:ascii="宋体" w:hAnsi="宋体"/>
          <w:color w:val="auto"/>
          <w:sz w:val="22"/>
          <w:szCs w:val="22"/>
          <w:highlight w:val="none"/>
          <w:u w:val="single"/>
        </w:rPr>
        <w:t xml:space="preserve">          </w:t>
      </w:r>
    </w:p>
    <w:p w14:paraId="1E840138">
      <w:pPr>
        <w:pStyle w:val="13"/>
        <w:spacing w:line="360" w:lineRule="auto"/>
        <w:jc w:val="left"/>
        <w:rPr>
          <w:rStyle w:val="8"/>
          <w:rFonts w:ascii="宋体" w:hAnsi="宋体"/>
          <w:color w:val="auto"/>
          <w:sz w:val="22"/>
          <w:szCs w:val="22"/>
          <w:highlight w:val="none"/>
        </w:rPr>
      </w:pPr>
      <w:r>
        <w:rPr>
          <w:rStyle w:val="8"/>
          <w:rFonts w:ascii="宋体" w:hAnsi="宋体"/>
          <w:color w:val="auto"/>
          <w:sz w:val="22"/>
          <w:szCs w:val="22"/>
          <w:highlight w:val="none"/>
          <w:u w:val="single"/>
        </w:rPr>
        <w:t xml:space="preserve">             </w:t>
      </w:r>
      <w:r>
        <w:rPr>
          <w:rStyle w:val="8"/>
          <w:rFonts w:hint="eastAsia" w:ascii="宋体" w:hAnsi="宋体"/>
          <w:color w:val="auto"/>
          <w:sz w:val="22"/>
          <w:szCs w:val="22"/>
          <w:highlight w:val="none"/>
          <w:u w:val="single"/>
        </w:rPr>
        <w:t xml:space="preserve">                                        </w:t>
      </w:r>
      <w:r>
        <w:rPr>
          <w:rStyle w:val="8"/>
          <w:rFonts w:ascii="宋体" w:hAnsi="宋体"/>
          <w:color w:val="auto"/>
          <w:sz w:val="22"/>
          <w:szCs w:val="22"/>
          <w:highlight w:val="none"/>
          <w:u w:val="single"/>
        </w:rPr>
        <w:t xml:space="preserve">    </w:t>
      </w:r>
      <w:r>
        <w:rPr>
          <w:rStyle w:val="8"/>
          <w:rFonts w:ascii="宋体" w:hAnsi="宋体"/>
          <w:color w:val="auto"/>
          <w:sz w:val="22"/>
          <w:szCs w:val="22"/>
          <w:highlight w:val="none"/>
        </w:rPr>
        <w:t>。</w:t>
      </w:r>
    </w:p>
    <w:bookmarkEnd w:id="1050"/>
    <w:bookmarkEnd w:id="1051"/>
    <w:bookmarkEnd w:id="1052"/>
    <w:bookmarkEnd w:id="1053"/>
    <w:p w14:paraId="33A356C3">
      <w:pPr>
        <w:pStyle w:val="15"/>
        <w:spacing w:before="120" w:after="120" w:line="360" w:lineRule="auto"/>
        <w:rPr>
          <w:rStyle w:val="8"/>
          <w:rFonts w:ascii="宋体" w:hAnsi="宋体" w:eastAsia="宋体"/>
          <w:b w:val="0"/>
          <w:color w:val="auto"/>
          <w:sz w:val="22"/>
          <w:szCs w:val="22"/>
          <w:highlight w:val="none"/>
        </w:rPr>
      </w:pPr>
      <w:bookmarkStart w:id="1128" w:name="_Toc256000589"/>
      <w:bookmarkStart w:id="1129" w:name="_Toc351203648"/>
      <w:bookmarkStart w:id="1130" w:name="_Toc10573"/>
      <w:bookmarkStart w:id="1131" w:name="_Toc256000360"/>
      <w:bookmarkStart w:id="1132" w:name="_Toc69461835"/>
      <w:bookmarkStart w:id="1133" w:name="_Toc256001323"/>
      <w:bookmarkStart w:id="1134" w:name="_Toc256001093"/>
      <w:bookmarkStart w:id="1135" w:name="_Toc256000856"/>
      <w:bookmarkStart w:id="1136" w:name="_Toc69461180"/>
      <w:bookmarkStart w:id="1137" w:name="_Toc7023"/>
      <w:bookmarkStart w:id="1138" w:name="_Toc280868717"/>
      <w:bookmarkStart w:id="1139" w:name="_Toc280868718"/>
      <w:r>
        <w:rPr>
          <w:rStyle w:val="8"/>
          <w:rFonts w:ascii="宋体" w:hAnsi="宋体" w:eastAsia="宋体"/>
          <w:b w:val="0"/>
          <w:color w:val="auto"/>
          <w:sz w:val="22"/>
          <w:szCs w:val="22"/>
          <w:highlight w:val="none"/>
        </w:rPr>
        <w:t>16. 违约</w:t>
      </w:r>
      <w:bookmarkEnd w:id="1128"/>
      <w:bookmarkEnd w:id="1129"/>
      <w:bookmarkEnd w:id="1130"/>
      <w:bookmarkEnd w:id="1131"/>
      <w:bookmarkEnd w:id="1132"/>
      <w:bookmarkEnd w:id="1133"/>
      <w:bookmarkEnd w:id="1134"/>
      <w:bookmarkEnd w:id="1135"/>
      <w:bookmarkEnd w:id="1136"/>
      <w:bookmarkEnd w:id="1137"/>
    </w:p>
    <w:p w14:paraId="0878F9AE">
      <w:pPr>
        <w:pStyle w:val="13"/>
        <w:spacing w:after="120" w:line="360" w:lineRule="auto"/>
        <w:ind w:firstLine="440" w:firstLineChars="200"/>
        <w:outlineLvl w:val="0"/>
        <w:rPr>
          <w:rStyle w:val="8"/>
          <w:rFonts w:ascii="宋体" w:hAnsi="宋体"/>
          <w:color w:val="auto"/>
          <w:kern w:val="2"/>
          <w:sz w:val="22"/>
          <w:szCs w:val="22"/>
          <w:highlight w:val="none"/>
        </w:rPr>
      </w:pPr>
      <w:bookmarkStart w:id="1140" w:name="_Toc256000857"/>
      <w:bookmarkStart w:id="1141" w:name="_Toc14569"/>
      <w:bookmarkStart w:id="1142" w:name="_Toc256000069"/>
      <w:bookmarkStart w:id="1143" w:name="_Toc69461836"/>
      <w:bookmarkStart w:id="1144" w:name="_Toc69461181"/>
      <w:bookmarkStart w:id="1145" w:name="_Toc256000590"/>
      <w:bookmarkStart w:id="1146" w:name="_Toc256001324"/>
      <w:bookmarkStart w:id="1147" w:name="_Toc256000361"/>
      <w:bookmarkStart w:id="1148" w:name="_Toc256001094"/>
      <w:bookmarkStart w:id="1149" w:name="_Toc9758"/>
      <w:bookmarkStart w:id="1150" w:name="_Toc18586"/>
      <w:bookmarkStart w:id="1151" w:name="_Toc256000102"/>
      <w:bookmarkStart w:id="1152" w:name="_Toc27815"/>
      <w:r>
        <w:rPr>
          <w:rStyle w:val="8"/>
          <w:rFonts w:ascii="宋体" w:hAnsi="宋体"/>
          <w:color w:val="auto"/>
          <w:kern w:val="2"/>
          <w:sz w:val="22"/>
          <w:szCs w:val="22"/>
          <w:highlight w:val="none"/>
        </w:rPr>
        <w:t>16.1 发包人违约</w:t>
      </w:r>
      <w:bookmarkEnd w:id="1140"/>
      <w:bookmarkEnd w:id="1141"/>
      <w:bookmarkEnd w:id="1142"/>
      <w:bookmarkEnd w:id="1143"/>
      <w:bookmarkEnd w:id="1144"/>
      <w:bookmarkEnd w:id="1145"/>
      <w:bookmarkEnd w:id="1146"/>
      <w:bookmarkEnd w:id="1147"/>
      <w:bookmarkEnd w:id="1148"/>
      <w:bookmarkEnd w:id="1149"/>
      <w:bookmarkEnd w:id="1150"/>
      <w:bookmarkEnd w:id="1151"/>
      <w:bookmarkEnd w:id="1152"/>
    </w:p>
    <w:p w14:paraId="6AB71CB2">
      <w:pPr>
        <w:pStyle w:val="13"/>
        <w:spacing w:line="360" w:lineRule="auto"/>
        <w:ind w:firstLine="440" w:firstLineChars="200"/>
        <w:jc w:val="left"/>
        <w:rPr>
          <w:rStyle w:val="8"/>
          <w:rFonts w:ascii="宋体" w:hAnsi="宋体"/>
          <w:color w:val="auto"/>
          <w:kern w:val="2"/>
          <w:sz w:val="22"/>
          <w:szCs w:val="22"/>
          <w:highlight w:val="none"/>
        </w:rPr>
      </w:pPr>
      <w:r>
        <w:rPr>
          <w:rStyle w:val="8"/>
          <w:rFonts w:ascii="宋体" w:hAnsi="宋体"/>
          <w:color w:val="auto"/>
          <w:kern w:val="2"/>
          <w:sz w:val="22"/>
          <w:szCs w:val="22"/>
          <w:highlight w:val="none"/>
        </w:rPr>
        <w:t>16.1.1发包人违约的情形</w:t>
      </w:r>
    </w:p>
    <w:p w14:paraId="117CB9D2">
      <w:pPr>
        <w:pStyle w:val="13"/>
        <w:spacing w:line="360" w:lineRule="auto"/>
        <w:ind w:firstLine="440" w:firstLineChars="200"/>
        <w:jc w:val="left"/>
        <w:rPr>
          <w:rStyle w:val="8"/>
          <w:rFonts w:ascii="宋体" w:hAnsi="宋体"/>
          <w:color w:val="auto"/>
          <w:sz w:val="22"/>
          <w:szCs w:val="22"/>
          <w:highlight w:val="none"/>
          <w:u w:val="single"/>
        </w:rPr>
      </w:pPr>
      <w:r>
        <w:rPr>
          <w:rStyle w:val="8"/>
          <w:rFonts w:ascii="宋体" w:hAnsi="宋体"/>
          <w:color w:val="auto"/>
          <w:sz w:val="22"/>
          <w:szCs w:val="22"/>
          <w:highlight w:val="none"/>
        </w:rPr>
        <w:t>发包人违约的其他情形：</w:t>
      </w:r>
      <w:r>
        <w:rPr>
          <w:rStyle w:val="8"/>
          <w:rFonts w:ascii="宋体" w:hAnsi="宋体"/>
          <w:color w:val="auto"/>
          <w:sz w:val="22"/>
          <w:szCs w:val="22"/>
          <w:highlight w:val="none"/>
          <w:u w:val="single"/>
        </w:rPr>
        <w:t xml:space="preserve">                                </w:t>
      </w:r>
    </w:p>
    <w:p w14:paraId="0317A38C">
      <w:pPr>
        <w:pStyle w:val="13"/>
        <w:spacing w:line="360" w:lineRule="auto"/>
        <w:ind w:left="1200" w:hanging="1100" w:hangingChars="500"/>
        <w:jc w:val="left"/>
        <w:rPr>
          <w:rStyle w:val="8"/>
          <w:rFonts w:ascii="宋体" w:hAnsi="宋体"/>
          <w:color w:val="auto"/>
          <w:sz w:val="22"/>
          <w:szCs w:val="22"/>
          <w:highlight w:val="none"/>
        </w:rPr>
      </w:pPr>
      <w:r>
        <w:rPr>
          <w:rStyle w:val="8"/>
          <w:rFonts w:ascii="宋体" w:hAnsi="宋体"/>
          <w:color w:val="auto"/>
          <w:sz w:val="22"/>
          <w:szCs w:val="22"/>
          <w:highlight w:val="none"/>
          <w:u w:val="single"/>
        </w:rPr>
        <w:t xml:space="preserve">              </w:t>
      </w:r>
      <w:r>
        <w:rPr>
          <w:rStyle w:val="8"/>
          <w:rFonts w:hint="eastAsia" w:ascii="宋体" w:hAnsi="宋体"/>
          <w:color w:val="auto"/>
          <w:sz w:val="22"/>
          <w:szCs w:val="22"/>
          <w:highlight w:val="none"/>
          <w:u w:val="single"/>
        </w:rPr>
        <w:t xml:space="preserve">                    </w:t>
      </w:r>
      <w:r>
        <w:rPr>
          <w:rStyle w:val="8"/>
          <w:rFonts w:ascii="宋体" w:hAnsi="宋体"/>
          <w:color w:val="auto"/>
          <w:sz w:val="22"/>
          <w:szCs w:val="22"/>
          <w:highlight w:val="none"/>
          <w:u w:val="single"/>
        </w:rPr>
        <w:t xml:space="preserve"> </w:t>
      </w:r>
      <w:r>
        <w:rPr>
          <w:rStyle w:val="8"/>
          <w:rFonts w:hint="eastAsia" w:ascii="宋体" w:hAnsi="宋体"/>
          <w:color w:val="auto"/>
          <w:sz w:val="22"/>
          <w:szCs w:val="22"/>
          <w:highlight w:val="none"/>
          <w:u w:val="single"/>
        </w:rPr>
        <w:t xml:space="preserve">               </w:t>
      </w:r>
      <w:r>
        <w:rPr>
          <w:rStyle w:val="8"/>
          <w:rFonts w:ascii="宋体" w:hAnsi="宋体"/>
          <w:color w:val="auto"/>
          <w:sz w:val="22"/>
          <w:szCs w:val="22"/>
          <w:highlight w:val="none"/>
          <w:u w:val="single"/>
        </w:rPr>
        <w:t xml:space="preserve">       </w:t>
      </w:r>
      <w:r>
        <w:rPr>
          <w:rStyle w:val="8"/>
          <w:rFonts w:ascii="宋体" w:hAnsi="宋体"/>
          <w:color w:val="auto"/>
          <w:sz w:val="22"/>
          <w:szCs w:val="22"/>
          <w:highlight w:val="none"/>
        </w:rPr>
        <w:t>。</w:t>
      </w:r>
    </w:p>
    <w:p w14:paraId="62AA5172">
      <w:pPr>
        <w:pStyle w:val="13"/>
        <w:spacing w:line="360" w:lineRule="auto"/>
        <w:ind w:left="1200" w:hanging="1100" w:hangingChars="500"/>
        <w:jc w:val="left"/>
        <w:rPr>
          <w:rStyle w:val="8"/>
          <w:rFonts w:ascii="宋体" w:hAnsi="宋体"/>
          <w:color w:val="auto"/>
          <w:sz w:val="22"/>
          <w:szCs w:val="22"/>
          <w:highlight w:val="none"/>
        </w:rPr>
      </w:pPr>
      <w:r>
        <w:rPr>
          <w:rStyle w:val="8"/>
          <w:rFonts w:ascii="宋体" w:hAnsi="宋体"/>
          <w:color w:val="auto"/>
          <w:sz w:val="22"/>
          <w:szCs w:val="22"/>
          <w:highlight w:val="none"/>
        </w:rPr>
        <w:t xml:space="preserve">    16.1.2 发包人违约的责任</w:t>
      </w:r>
    </w:p>
    <w:p w14:paraId="19C6EA88">
      <w:pPr>
        <w:pStyle w:val="13"/>
        <w:spacing w:line="360" w:lineRule="auto"/>
        <w:ind w:firstLine="440" w:firstLineChars="200"/>
        <w:jc w:val="left"/>
        <w:rPr>
          <w:rStyle w:val="8"/>
          <w:rFonts w:ascii="宋体" w:hAnsi="宋体"/>
          <w:color w:val="auto"/>
          <w:sz w:val="22"/>
          <w:szCs w:val="22"/>
          <w:highlight w:val="none"/>
        </w:rPr>
      </w:pPr>
      <w:r>
        <w:rPr>
          <w:rStyle w:val="8"/>
          <w:rFonts w:ascii="宋体" w:hAnsi="宋体"/>
          <w:color w:val="auto"/>
          <w:sz w:val="22"/>
          <w:szCs w:val="22"/>
          <w:highlight w:val="none"/>
        </w:rPr>
        <w:t>发包人违约责任的承担方式和计算方法：</w:t>
      </w:r>
    </w:p>
    <w:p w14:paraId="755696A9">
      <w:pPr>
        <w:pStyle w:val="14"/>
        <w:spacing w:line="360" w:lineRule="auto"/>
        <w:ind w:firstLine="440" w:firstLineChars="200"/>
        <w:jc w:val="left"/>
        <w:rPr>
          <w:rStyle w:val="8"/>
          <w:rFonts w:ascii="宋体" w:hAnsi="宋体"/>
          <w:color w:val="auto"/>
          <w:kern w:val="2"/>
          <w:sz w:val="22"/>
          <w:szCs w:val="22"/>
          <w:highlight w:val="none"/>
          <w:u w:val="single"/>
        </w:rPr>
      </w:pPr>
      <w:r>
        <w:rPr>
          <w:rStyle w:val="8"/>
          <w:rFonts w:ascii="宋体" w:hAnsi="宋体"/>
          <w:color w:val="auto"/>
          <w:sz w:val="22"/>
          <w:szCs w:val="22"/>
          <w:highlight w:val="none"/>
        </w:rPr>
        <w:t>（1）因发包人原因未能在计划开工日期前7天内下达开工通知的违约责任：</w:t>
      </w:r>
      <w:r>
        <w:rPr>
          <w:rStyle w:val="8"/>
          <w:rFonts w:ascii="宋体" w:hAnsi="宋体"/>
          <w:color w:val="auto"/>
          <w:sz w:val="22"/>
          <w:szCs w:val="22"/>
          <w:highlight w:val="none"/>
          <w:u w:val="single"/>
        </w:rPr>
        <w:t xml:space="preserve">   </w:t>
      </w:r>
      <w:r>
        <w:rPr>
          <w:rStyle w:val="8"/>
          <w:rFonts w:hint="eastAsia" w:ascii="宋体" w:hAnsi="宋体"/>
          <w:color w:val="auto"/>
          <w:kern w:val="2"/>
          <w:sz w:val="22"/>
          <w:szCs w:val="22"/>
          <w:highlight w:val="none"/>
          <w:u w:val="single"/>
        </w:rPr>
        <w:t>延误的工期相应顺延，但发包人不承担任何形式的违约责任。</w:t>
      </w:r>
    </w:p>
    <w:p w14:paraId="04CE3DEA">
      <w:pPr>
        <w:pStyle w:val="14"/>
        <w:spacing w:line="360" w:lineRule="auto"/>
        <w:ind w:firstLine="440" w:firstLineChars="200"/>
        <w:jc w:val="left"/>
        <w:rPr>
          <w:rStyle w:val="8"/>
          <w:rFonts w:ascii="宋体" w:hAnsi="宋体"/>
          <w:color w:val="auto"/>
          <w:kern w:val="2"/>
          <w:sz w:val="22"/>
          <w:szCs w:val="22"/>
          <w:highlight w:val="none"/>
          <w:u w:val="single"/>
        </w:rPr>
      </w:pPr>
      <w:r>
        <w:rPr>
          <w:rStyle w:val="8"/>
          <w:rFonts w:ascii="宋体" w:hAnsi="宋体"/>
          <w:color w:val="auto"/>
          <w:sz w:val="22"/>
          <w:szCs w:val="22"/>
          <w:highlight w:val="none"/>
        </w:rPr>
        <w:t>（2）因发包人原因未能按合同约定支付合同价款的违约责任：</w:t>
      </w:r>
      <w:r>
        <w:rPr>
          <w:rStyle w:val="8"/>
          <w:rFonts w:hint="eastAsia" w:ascii="宋体" w:hAnsi="宋体"/>
          <w:color w:val="auto"/>
          <w:kern w:val="2"/>
          <w:sz w:val="22"/>
          <w:szCs w:val="22"/>
          <w:highlight w:val="none"/>
          <w:u w:val="single"/>
        </w:rPr>
        <w:t>发包人不支付逾期付款期间的利息，不承担违约责任  。</w:t>
      </w:r>
    </w:p>
    <w:p w14:paraId="271BCB1C">
      <w:pPr>
        <w:pStyle w:val="13"/>
        <w:spacing w:line="360" w:lineRule="auto"/>
        <w:ind w:firstLine="440" w:firstLineChars="200"/>
        <w:jc w:val="left"/>
        <w:rPr>
          <w:rStyle w:val="8"/>
          <w:rFonts w:ascii="宋体" w:hAnsi="宋体"/>
          <w:color w:val="auto"/>
          <w:sz w:val="22"/>
          <w:szCs w:val="22"/>
          <w:highlight w:val="none"/>
          <w:u w:val="single"/>
        </w:rPr>
      </w:pPr>
      <w:r>
        <w:rPr>
          <w:rStyle w:val="8"/>
          <w:rFonts w:ascii="宋体" w:hAnsi="宋体"/>
          <w:color w:val="auto"/>
          <w:sz w:val="22"/>
          <w:szCs w:val="22"/>
          <w:highlight w:val="none"/>
        </w:rPr>
        <w:t>（3）发包人违反第10.1款</w:t>
      </w:r>
      <w:r>
        <w:rPr>
          <w:rStyle w:val="8"/>
          <w:rFonts w:hint="eastAsia" w:ascii="宋体" w:hAnsi="宋体"/>
          <w:color w:val="auto"/>
          <w:sz w:val="22"/>
          <w:szCs w:val="22"/>
          <w:highlight w:val="none"/>
        </w:rPr>
        <w:t>〔</w:t>
      </w:r>
      <w:r>
        <w:rPr>
          <w:rStyle w:val="8"/>
          <w:rFonts w:ascii="宋体" w:hAnsi="宋体"/>
          <w:color w:val="auto"/>
          <w:sz w:val="22"/>
          <w:szCs w:val="22"/>
          <w:highlight w:val="none"/>
        </w:rPr>
        <w:t>变更的范围</w:t>
      </w:r>
      <w:r>
        <w:rPr>
          <w:rStyle w:val="8"/>
          <w:rFonts w:hint="eastAsia" w:ascii="宋体" w:hAnsi="宋体"/>
          <w:color w:val="auto"/>
          <w:sz w:val="22"/>
          <w:szCs w:val="22"/>
          <w:highlight w:val="none"/>
        </w:rPr>
        <w:t>〕</w:t>
      </w:r>
      <w:r>
        <w:rPr>
          <w:rStyle w:val="8"/>
          <w:rFonts w:ascii="宋体" w:hAnsi="宋体"/>
          <w:color w:val="auto"/>
          <w:sz w:val="22"/>
          <w:szCs w:val="22"/>
          <w:highlight w:val="none"/>
        </w:rPr>
        <w:t>第（2）项约定，自行实施被取消的工作或转由他人实施的违约责任：</w:t>
      </w:r>
      <w:r>
        <w:rPr>
          <w:rStyle w:val="8"/>
          <w:rFonts w:ascii="宋体" w:hAnsi="宋体"/>
          <w:color w:val="auto"/>
          <w:sz w:val="22"/>
          <w:szCs w:val="22"/>
          <w:highlight w:val="none"/>
          <w:u w:val="single"/>
        </w:rPr>
        <w:t xml:space="preserve">      </w:t>
      </w:r>
      <w:r>
        <w:rPr>
          <w:rStyle w:val="8"/>
          <w:rFonts w:hint="eastAsia" w:ascii="宋体" w:hAnsi="宋体"/>
          <w:color w:val="auto"/>
          <w:sz w:val="22"/>
          <w:szCs w:val="22"/>
          <w:highlight w:val="none"/>
          <w:u w:val="single"/>
        </w:rPr>
        <w:t xml:space="preserve">        </w:t>
      </w:r>
    </w:p>
    <w:p w14:paraId="0B4CB97A">
      <w:pPr>
        <w:pStyle w:val="13"/>
        <w:spacing w:line="360" w:lineRule="auto"/>
        <w:jc w:val="left"/>
        <w:rPr>
          <w:rStyle w:val="8"/>
          <w:rFonts w:ascii="宋体" w:hAnsi="宋体"/>
          <w:color w:val="auto"/>
          <w:sz w:val="22"/>
          <w:szCs w:val="22"/>
          <w:highlight w:val="none"/>
        </w:rPr>
      </w:pPr>
      <w:r>
        <w:rPr>
          <w:rStyle w:val="8"/>
          <w:rFonts w:ascii="宋体" w:hAnsi="宋体"/>
          <w:color w:val="auto"/>
          <w:sz w:val="22"/>
          <w:szCs w:val="22"/>
          <w:highlight w:val="none"/>
          <w:u w:val="single"/>
        </w:rPr>
        <w:t xml:space="preserve">  </w:t>
      </w:r>
      <w:r>
        <w:rPr>
          <w:rStyle w:val="8"/>
          <w:rFonts w:hint="eastAsia" w:ascii="宋体" w:hAnsi="宋体"/>
          <w:color w:val="auto"/>
          <w:sz w:val="22"/>
          <w:szCs w:val="22"/>
          <w:highlight w:val="none"/>
          <w:u w:val="single"/>
        </w:rPr>
        <w:t xml:space="preserve">                                                      </w:t>
      </w:r>
      <w:r>
        <w:rPr>
          <w:rStyle w:val="8"/>
          <w:rFonts w:ascii="宋体" w:hAnsi="宋体"/>
          <w:color w:val="auto"/>
          <w:sz w:val="22"/>
          <w:szCs w:val="22"/>
          <w:highlight w:val="none"/>
          <w:u w:val="single"/>
        </w:rPr>
        <w:t xml:space="preserve"> </w:t>
      </w:r>
      <w:r>
        <w:rPr>
          <w:rStyle w:val="8"/>
          <w:rFonts w:ascii="宋体" w:hAnsi="宋体"/>
          <w:color w:val="auto"/>
          <w:sz w:val="22"/>
          <w:szCs w:val="22"/>
          <w:highlight w:val="none"/>
        </w:rPr>
        <w:t>。</w:t>
      </w:r>
    </w:p>
    <w:p w14:paraId="0E14DA61">
      <w:pPr>
        <w:pStyle w:val="13"/>
        <w:spacing w:line="360" w:lineRule="auto"/>
        <w:ind w:firstLine="440" w:firstLineChars="200"/>
        <w:jc w:val="left"/>
        <w:rPr>
          <w:rStyle w:val="8"/>
          <w:rFonts w:ascii="宋体" w:hAnsi="宋体"/>
          <w:color w:val="auto"/>
          <w:sz w:val="22"/>
          <w:szCs w:val="22"/>
          <w:highlight w:val="none"/>
        </w:rPr>
      </w:pPr>
      <w:r>
        <w:rPr>
          <w:rStyle w:val="8"/>
          <w:rFonts w:ascii="宋体" w:hAnsi="宋体"/>
          <w:color w:val="auto"/>
          <w:sz w:val="22"/>
          <w:szCs w:val="22"/>
          <w:highlight w:val="none"/>
        </w:rPr>
        <w:t>（4）发包人提供的材料、工程设备的规格、数量或质量不符合合同约定，或因发包人原因导致交货日期延误或交货地点变更等情况的违约责任：</w:t>
      </w:r>
      <w:r>
        <w:rPr>
          <w:rStyle w:val="8"/>
          <w:rFonts w:ascii="宋体" w:hAnsi="宋体"/>
          <w:color w:val="auto"/>
          <w:sz w:val="22"/>
          <w:szCs w:val="22"/>
          <w:highlight w:val="none"/>
          <w:u w:val="single"/>
        </w:rPr>
        <w:t xml:space="preserve">        </w:t>
      </w:r>
      <w:r>
        <w:rPr>
          <w:rStyle w:val="8"/>
          <w:rFonts w:hint="eastAsia" w:ascii="宋体" w:hAnsi="宋体"/>
          <w:color w:val="auto"/>
          <w:sz w:val="22"/>
          <w:szCs w:val="22"/>
          <w:highlight w:val="none"/>
          <w:u w:val="single"/>
        </w:rPr>
        <w:t xml:space="preserve">                    </w:t>
      </w:r>
      <w:r>
        <w:rPr>
          <w:rStyle w:val="8"/>
          <w:rFonts w:ascii="宋体" w:hAnsi="宋体"/>
          <w:color w:val="auto"/>
          <w:sz w:val="22"/>
          <w:szCs w:val="22"/>
          <w:highlight w:val="none"/>
          <w:u w:val="single"/>
        </w:rPr>
        <w:t xml:space="preserve">   </w:t>
      </w:r>
      <w:r>
        <w:rPr>
          <w:rStyle w:val="8"/>
          <w:rFonts w:hint="eastAsia" w:ascii="宋体" w:hAnsi="宋体"/>
          <w:color w:val="auto"/>
          <w:sz w:val="22"/>
          <w:szCs w:val="22"/>
          <w:highlight w:val="none"/>
          <w:u w:val="single"/>
        </w:rPr>
        <w:t xml:space="preserve">      </w:t>
      </w:r>
      <w:r>
        <w:rPr>
          <w:rStyle w:val="8"/>
          <w:rFonts w:ascii="宋体" w:hAnsi="宋体"/>
          <w:color w:val="auto"/>
          <w:sz w:val="22"/>
          <w:szCs w:val="22"/>
          <w:highlight w:val="none"/>
          <w:u w:val="single"/>
        </w:rPr>
        <w:t xml:space="preserve">      </w:t>
      </w:r>
      <w:r>
        <w:rPr>
          <w:rStyle w:val="8"/>
          <w:rFonts w:ascii="宋体" w:hAnsi="宋体"/>
          <w:color w:val="auto"/>
          <w:sz w:val="22"/>
          <w:szCs w:val="22"/>
          <w:highlight w:val="none"/>
        </w:rPr>
        <w:t>。</w:t>
      </w:r>
    </w:p>
    <w:p w14:paraId="03F57309">
      <w:pPr>
        <w:pStyle w:val="13"/>
        <w:spacing w:line="360" w:lineRule="auto"/>
        <w:ind w:firstLine="440" w:firstLineChars="200"/>
        <w:jc w:val="left"/>
        <w:rPr>
          <w:rStyle w:val="8"/>
          <w:rFonts w:ascii="宋体" w:hAnsi="宋体"/>
          <w:color w:val="auto"/>
          <w:sz w:val="22"/>
          <w:szCs w:val="22"/>
          <w:highlight w:val="none"/>
          <w:u w:val="single"/>
        </w:rPr>
      </w:pPr>
      <w:r>
        <w:rPr>
          <w:rStyle w:val="8"/>
          <w:rFonts w:ascii="宋体" w:hAnsi="宋体"/>
          <w:color w:val="auto"/>
          <w:sz w:val="22"/>
          <w:szCs w:val="22"/>
          <w:highlight w:val="none"/>
        </w:rPr>
        <w:t>（5）因发包人违反合同约定造成暂停施工的违约责任：</w:t>
      </w:r>
      <w:r>
        <w:rPr>
          <w:rStyle w:val="8"/>
          <w:rFonts w:ascii="宋体" w:hAnsi="宋体"/>
          <w:color w:val="auto"/>
          <w:sz w:val="22"/>
          <w:szCs w:val="22"/>
          <w:highlight w:val="none"/>
          <w:u w:val="single"/>
        </w:rPr>
        <w:t xml:space="preserve">     </w:t>
      </w:r>
    </w:p>
    <w:p w14:paraId="76173907">
      <w:pPr>
        <w:pStyle w:val="13"/>
        <w:spacing w:line="360" w:lineRule="auto"/>
        <w:jc w:val="left"/>
        <w:rPr>
          <w:rStyle w:val="8"/>
          <w:rFonts w:ascii="宋体" w:hAnsi="宋体"/>
          <w:color w:val="auto"/>
          <w:sz w:val="22"/>
          <w:szCs w:val="22"/>
          <w:highlight w:val="none"/>
        </w:rPr>
      </w:pPr>
      <w:r>
        <w:rPr>
          <w:rStyle w:val="8"/>
          <w:rFonts w:ascii="宋体" w:hAnsi="宋体"/>
          <w:color w:val="auto"/>
          <w:sz w:val="22"/>
          <w:szCs w:val="22"/>
          <w:highlight w:val="none"/>
          <w:u w:val="single"/>
        </w:rPr>
        <w:t xml:space="preserve">                        </w:t>
      </w:r>
      <w:r>
        <w:rPr>
          <w:rStyle w:val="8"/>
          <w:rFonts w:hint="eastAsia" w:ascii="宋体" w:hAnsi="宋体"/>
          <w:color w:val="auto"/>
          <w:sz w:val="22"/>
          <w:szCs w:val="22"/>
          <w:highlight w:val="none"/>
          <w:u w:val="single"/>
        </w:rPr>
        <w:t xml:space="preserve">                    </w:t>
      </w:r>
      <w:r>
        <w:rPr>
          <w:rStyle w:val="8"/>
          <w:rFonts w:ascii="宋体" w:hAnsi="宋体"/>
          <w:color w:val="auto"/>
          <w:sz w:val="22"/>
          <w:szCs w:val="22"/>
          <w:highlight w:val="none"/>
          <w:u w:val="single"/>
        </w:rPr>
        <w:t xml:space="preserve">   </w:t>
      </w:r>
      <w:r>
        <w:rPr>
          <w:rStyle w:val="8"/>
          <w:rFonts w:hint="eastAsia" w:ascii="宋体" w:hAnsi="宋体"/>
          <w:color w:val="auto"/>
          <w:sz w:val="22"/>
          <w:szCs w:val="22"/>
          <w:highlight w:val="none"/>
          <w:u w:val="single"/>
        </w:rPr>
        <w:t xml:space="preserve">         </w:t>
      </w:r>
      <w:r>
        <w:rPr>
          <w:rStyle w:val="8"/>
          <w:rFonts w:ascii="宋体" w:hAnsi="宋体"/>
          <w:color w:val="auto"/>
          <w:sz w:val="22"/>
          <w:szCs w:val="22"/>
          <w:highlight w:val="none"/>
          <w:u w:val="single"/>
        </w:rPr>
        <w:t xml:space="preserve"> </w:t>
      </w:r>
      <w:r>
        <w:rPr>
          <w:rStyle w:val="8"/>
          <w:rFonts w:ascii="宋体" w:hAnsi="宋体"/>
          <w:color w:val="auto"/>
          <w:sz w:val="22"/>
          <w:szCs w:val="22"/>
          <w:highlight w:val="none"/>
        </w:rPr>
        <w:t>。</w:t>
      </w:r>
    </w:p>
    <w:p w14:paraId="6F214D84">
      <w:pPr>
        <w:pStyle w:val="14"/>
        <w:spacing w:line="360" w:lineRule="auto"/>
        <w:ind w:firstLine="440" w:firstLineChars="200"/>
        <w:jc w:val="left"/>
        <w:rPr>
          <w:rStyle w:val="8"/>
          <w:rFonts w:ascii="宋体" w:hAnsi="宋体"/>
          <w:color w:val="auto"/>
          <w:kern w:val="2"/>
          <w:sz w:val="22"/>
          <w:szCs w:val="22"/>
          <w:highlight w:val="none"/>
          <w:u w:val="single"/>
        </w:rPr>
      </w:pPr>
      <w:r>
        <w:rPr>
          <w:rStyle w:val="8"/>
          <w:rFonts w:ascii="宋体" w:hAnsi="宋体"/>
          <w:color w:val="auto"/>
          <w:sz w:val="22"/>
          <w:szCs w:val="22"/>
          <w:highlight w:val="none"/>
        </w:rPr>
        <w:t>（6）发包人无正当理由没有在约定期限内发出复工指示，导致承包人无法复工的违约责任：</w:t>
      </w:r>
      <w:r>
        <w:rPr>
          <w:rStyle w:val="8"/>
          <w:rFonts w:ascii="宋体" w:hAnsi="宋体"/>
          <w:color w:val="auto"/>
          <w:kern w:val="2"/>
          <w:sz w:val="22"/>
          <w:szCs w:val="22"/>
          <w:highlight w:val="none"/>
          <w:u w:val="single"/>
        </w:rPr>
        <w:t xml:space="preserve"> </w:t>
      </w:r>
      <w:r>
        <w:rPr>
          <w:rStyle w:val="8"/>
          <w:rFonts w:hint="eastAsia" w:ascii="宋体" w:hAnsi="宋体"/>
          <w:color w:val="auto"/>
          <w:kern w:val="2"/>
          <w:sz w:val="22"/>
          <w:szCs w:val="22"/>
          <w:highlight w:val="none"/>
          <w:u w:val="single"/>
        </w:rPr>
        <w:t>工期可适当顺延，但发包人不承担任何形式的违约责任。</w:t>
      </w:r>
    </w:p>
    <w:p w14:paraId="2D56F2FC">
      <w:pPr>
        <w:pStyle w:val="13"/>
        <w:spacing w:line="360" w:lineRule="auto"/>
        <w:ind w:firstLine="440" w:firstLineChars="200"/>
        <w:jc w:val="left"/>
        <w:rPr>
          <w:rStyle w:val="8"/>
          <w:rFonts w:ascii="宋体" w:hAnsi="宋体"/>
          <w:color w:val="auto"/>
          <w:sz w:val="22"/>
          <w:szCs w:val="22"/>
          <w:highlight w:val="none"/>
        </w:rPr>
      </w:pPr>
      <w:r>
        <w:rPr>
          <w:rStyle w:val="8"/>
          <w:rFonts w:ascii="宋体" w:hAnsi="宋体"/>
          <w:color w:val="auto"/>
          <w:sz w:val="22"/>
          <w:szCs w:val="22"/>
          <w:highlight w:val="none"/>
        </w:rPr>
        <w:t>（7）</w:t>
      </w:r>
      <w:r>
        <w:rPr>
          <w:rStyle w:val="8"/>
          <w:rFonts w:hint="eastAsia" w:ascii="宋体" w:hAnsi="宋体"/>
          <w:color w:val="auto"/>
          <w:sz w:val="22"/>
          <w:szCs w:val="22"/>
          <w:highlight w:val="none"/>
        </w:rPr>
        <w:t>其他：</w:t>
      </w:r>
      <w:r>
        <w:rPr>
          <w:rStyle w:val="8"/>
          <w:rFonts w:ascii="宋体" w:hAnsi="宋体"/>
          <w:color w:val="auto"/>
          <w:sz w:val="22"/>
          <w:szCs w:val="22"/>
          <w:highlight w:val="none"/>
          <w:u w:val="single"/>
        </w:rPr>
        <w:t xml:space="preserve">                           </w:t>
      </w:r>
      <w:r>
        <w:rPr>
          <w:rStyle w:val="8"/>
          <w:rFonts w:hint="eastAsia" w:ascii="宋体" w:hAnsi="宋体"/>
          <w:color w:val="auto"/>
          <w:sz w:val="22"/>
          <w:szCs w:val="22"/>
          <w:highlight w:val="none"/>
          <w:u w:val="single"/>
        </w:rPr>
        <w:t xml:space="preserve">      </w:t>
      </w:r>
      <w:r>
        <w:rPr>
          <w:rStyle w:val="8"/>
          <w:rFonts w:ascii="宋体" w:hAnsi="宋体"/>
          <w:color w:val="auto"/>
          <w:sz w:val="22"/>
          <w:szCs w:val="22"/>
          <w:highlight w:val="none"/>
          <w:u w:val="single"/>
        </w:rPr>
        <w:t xml:space="preserve">       </w:t>
      </w:r>
      <w:r>
        <w:rPr>
          <w:rStyle w:val="8"/>
          <w:rFonts w:hint="eastAsia" w:ascii="宋体" w:hAnsi="宋体"/>
          <w:color w:val="auto"/>
          <w:sz w:val="22"/>
          <w:szCs w:val="22"/>
          <w:highlight w:val="none"/>
          <w:u w:val="single"/>
        </w:rPr>
        <w:t xml:space="preserve">  </w:t>
      </w:r>
      <w:r>
        <w:rPr>
          <w:rStyle w:val="8"/>
          <w:rFonts w:ascii="宋体" w:hAnsi="宋体"/>
          <w:color w:val="auto"/>
          <w:sz w:val="22"/>
          <w:szCs w:val="22"/>
          <w:highlight w:val="none"/>
        </w:rPr>
        <w:t>。</w:t>
      </w:r>
    </w:p>
    <w:p w14:paraId="32BF4614">
      <w:pPr>
        <w:pStyle w:val="13"/>
        <w:spacing w:line="360" w:lineRule="auto"/>
        <w:ind w:firstLine="440" w:firstLineChars="200"/>
        <w:jc w:val="left"/>
        <w:rPr>
          <w:rStyle w:val="8"/>
          <w:rFonts w:ascii="宋体" w:hAnsi="宋体"/>
          <w:color w:val="auto"/>
          <w:kern w:val="2"/>
          <w:sz w:val="22"/>
          <w:szCs w:val="22"/>
          <w:highlight w:val="none"/>
        </w:rPr>
      </w:pPr>
      <w:r>
        <w:rPr>
          <w:rStyle w:val="8"/>
          <w:rFonts w:ascii="宋体" w:hAnsi="宋体"/>
          <w:color w:val="auto"/>
          <w:kern w:val="2"/>
          <w:sz w:val="22"/>
          <w:szCs w:val="22"/>
          <w:highlight w:val="none"/>
        </w:rPr>
        <w:t>16.1.3 因发包人违约解除合同</w:t>
      </w:r>
    </w:p>
    <w:p w14:paraId="3846CF67">
      <w:pPr>
        <w:pStyle w:val="13"/>
        <w:autoSpaceDE w:val="0"/>
        <w:autoSpaceDN w:val="0"/>
        <w:adjustRightInd w:val="0"/>
        <w:spacing w:line="360" w:lineRule="auto"/>
        <w:ind w:firstLine="440" w:firstLineChars="200"/>
        <w:jc w:val="left"/>
        <w:rPr>
          <w:rStyle w:val="8"/>
          <w:rFonts w:ascii="宋体" w:hAnsi="宋体"/>
          <w:color w:val="auto"/>
          <w:sz w:val="22"/>
          <w:szCs w:val="22"/>
          <w:highlight w:val="none"/>
        </w:rPr>
      </w:pPr>
      <w:r>
        <w:rPr>
          <w:rStyle w:val="8"/>
          <w:rFonts w:ascii="宋体" w:hAnsi="宋体"/>
          <w:color w:val="auto"/>
          <w:sz w:val="22"/>
          <w:szCs w:val="22"/>
          <w:highlight w:val="none"/>
        </w:rPr>
        <w:t>承包人按16.1.1项</w:t>
      </w:r>
      <w:r>
        <w:rPr>
          <w:rStyle w:val="8"/>
          <w:rFonts w:hint="eastAsia" w:ascii="宋体" w:hAnsi="宋体"/>
          <w:color w:val="auto"/>
          <w:sz w:val="22"/>
          <w:szCs w:val="22"/>
          <w:highlight w:val="none"/>
        </w:rPr>
        <w:t>〔</w:t>
      </w:r>
      <w:r>
        <w:rPr>
          <w:rStyle w:val="8"/>
          <w:rFonts w:ascii="宋体" w:hAnsi="宋体"/>
          <w:color w:val="auto"/>
          <w:sz w:val="22"/>
          <w:szCs w:val="22"/>
          <w:highlight w:val="none"/>
        </w:rPr>
        <w:t>发包人违约的情形</w:t>
      </w:r>
      <w:r>
        <w:rPr>
          <w:rStyle w:val="8"/>
          <w:rFonts w:hint="eastAsia" w:ascii="宋体" w:hAnsi="宋体"/>
          <w:color w:val="auto"/>
          <w:sz w:val="22"/>
          <w:szCs w:val="22"/>
          <w:highlight w:val="none"/>
        </w:rPr>
        <w:t>〕</w:t>
      </w:r>
      <w:r>
        <w:rPr>
          <w:rStyle w:val="8"/>
          <w:rFonts w:ascii="宋体" w:hAnsi="宋体"/>
          <w:color w:val="auto"/>
          <w:sz w:val="22"/>
          <w:szCs w:val="22"/>
          <w:highlight w:val="none"/>
        </w:rPr>
        <w:t>约定暂停施工满</w:t>
      </w:r>
      <w:r>
        <w:rPr>
          <w:rStyle w:val="8"/>
          <w:rFonts w:ascii="宋体" w:hAnsi="宋体"/>
          <w:color w:val="auto"/>
          <w:sz w:val="22"/>
          <w:szCs w:val="22"/>
          <w:highlight w:val="none"/>
          <w:u w:val="single"/>
        </w:rPr>
        <w:t xml:space="preserve">    </w:t>
      </w:r>
      <w:r>
        <w:rPr>
          <w:rStyle w:val="8"/>
          <w:rFonts w:ascii="宋体" w:hAnsi="宋体"/>
          <w:color w:val="auto"/>
          <w:sz w:val="22"/>
          <w:szCs w:val="22"/>
          <w:highlight w:val="none"/>
        </w:rPr>
        <w:t>天后发包人仍不纠正其违约行为并致使合同目的不能实现的，承包人有权解除合同。</w:t>
      </w:r>
    </w:p>
    <w:p w14:paraId="7AD40E56">
      <w:pPr>
        <w:pStyle w:val="13"/>
        <w:spacing w:after="120" w:line="360" w:lineRule="auto"/>
        <w:ind w:firstLine="440" w:firstLineChars="200"/>
        <w:outlineLvl w:val="0"/>
        <w:rPr>
          <w:rStyle w:val="8"/>
          <w:rFonts w:ascii="宋体" w:hAnsi="宋体"/>
          <w:color w:val="auto"/>
          <w:kern w:val="2"/>
          <w:sz w:val="22"/>
          <w:szCs w:val="22"/>
          <w:highlight w:val="none"/>
        </w:rPr>
      </w:pPr>
      <w:bookmarkStart w:id="1153" w:name="_Toc256000070"/>
      <w:bookmarkStart w:id="1154" w:name="_Toc256000858"/>
      <w:bookmarkStart w:id="1155" w:name="_Toc69461182"/>
      <w:bookmarkStart w:id="1156" w:name="_Toc11516"/>
      <w:bookmarkStart w:id="1157" w:name="_Toc25870"/>
      <w:bookmarkStart w:id="1158" w:name="_Toc256000362"/>
      <w:bookmarkStart w:id="1159" w:name="_Toc256000103"/>
      <w:bookmarkStart w:id="1160" w:name="_Toc256001095"/>
      <w:bookmarkStart w:id="1161" w:name="_Toc256000591"/>
      <w:bookmarkStart w:id="1162" w:name="_Toc69461837"/>
      <w:bookmarkStart w:id="1163" w:name="_Toc256001325"/>
      <w:bookmarkStart w:id="1164" w:name="_Toc16856"/>
      <w:bookmarkStart w:id="1165" w:name="_Toc28749"/>
      <w:r>
        <w:rPr>
          <w:rStyle w:val="8"/>
          <w:rFonts w:ascii="宋体" w:hAnsi="宋体"/>
          <w:color w:val="auto"/>
          <w:kern w:val="2"/>
          <w:sz w:val="22"/>
          <w:szCs w:val="22"/>
          <w:highlight w:val="none"/>
        </w:rPr>
        <w:t>16.2 承包人违约</w:t>
      </w:r>
      <w:bookmarkEnd w:id="1153"/>
      <w:bookmarkEnd w:id="1154"/>
      <w:bookmarkEnd w:id="1155"/>
      <w:bookmarkEnd w:id="1156"/>
      <w:bookmarkEnd w:id="1157"/>
      <w:bookmarkEnd w:id="1158"/>
      <w:bookmarkEnd w:id="1159"/>
      <w:bookmarkEnd w:id="1160"/>
      <w:bookmarkEnd w:id="1161"/>
      <w:bookmarkEnd w:id="1162"/>
      <w:bookmarkEnd w:id="1163"/>
      <w:bookmarkEnd w:id="1164"/>
      <w:bookmarkEnd w:id="1165"/>
    </w:p>
    <w:p w14:paraId="717E4D97">
      <w:pPr>
        <w:pStyle w:val="13"/>
        <w:spacing w:line="360" w:lineRule="auto"/>
        <w:ind w:firstLine="440" w:firstLineChars="200"/>
        <w:jc w:val="left"/>
        <w:rPr>
          <w:rStyle w:val="8"/>
          <w:rFonts w:ascii="宋体" w:hAnsi="宋体"/>
          <w:color w:val="auto"/>
          <w:sz w:val="22"/>
          <w:szCs w:val="22"/>
          <w:highlight w:val="none"/>
        </w:rPr>
      </w:pPr>
      <w:r>
        <w:rPr>
          <w:rStyle w:val="8"/>
          <w:rFonts w:ascii="宋体" w:hAnsi="宋体"/>
          <w:color w:val="auto"/>
          <w:sz w:val="22"/>
          <w:szCs w:val="22"/>
          <w:highlight w:val="none"/>
        </w:rPr>
        <w:t>16.2.1 承包人违约的情形</w:t>
      </w:r>
    </w:p>
    <w:p w14:paraId="078E7C32">
      <w:pPr>
        <w:pStyle w:val="14"/>
        <w:spacing w:line="360" w:lineRule="auto"/>
        <w:ind w:firstLine="440" w:firstLineChars="200"/>
        <w:jc w:val="left"/>
        <w:rPr>
          <w:rStyle w:val="8"/>
          <w:rFonts w:ascii="宋体" w:hAnsi="宋体"/>
          <w:color w:val="auto"/>
          <w:kern w:val="2"/>
          <w:sz w:val="22"/>
          <w:szCs w:val="22"/>
          <w:highlight w:val="none"/>
          <w:u w:val="single"/>
        </w:rPr>
      </w:pPr>
      <w:r>
        <w:rPr>
          <w:rStyle w:val="8"/>
          <w:rFonts w:ascii="宋体" w:hAnsi="宋体"/>
          <w:color w:val="auto"/>
          <w:sz w:val="22"/>
          <w:szCs w:val="22"/>
          <w:highlight w:val="none"/>
        </w:rPr>
        <w:t>承包人违约的其他情形：</w:t>
      </w:r>
      <w:r>
        <w:rPr>
          <w:rStyle w:val="8"/>
          <w:rFonts w:hint="eastAsia" w:ascii="宋体" w:hAnsi="宋体"/>
          <w:color w:val="auto"/>
          <w:kern w:val="2"/>
          <w:sz w:val="22"/>
          <w:szCs w:val="22"/>
          <w:highlight w:val="none"/>
          <w:u w:val="single"/>
        </w:rPr>
        <w:t>(1）承包人私自将合同的全部或部分权利转让给其他人，或私自将合同的全部或部分义务转移给其他人；</w:t>
      </w:r>
    </w:p>
    <w:p w14:paraId="25E9D65F">
      <w:pPr>
        <w:pStyle w:val="14"/>
        <w:spacing w:line="360" w:lineRule="auto"/>
        <w:ind w:firstLine="440" w:firstLineChars="200"/>
        <w:jc w:val="left"/>
        <w:rPr>
          <w:rStyle w:val="8"/>
          <w:rFonts w:ascii="宋体" w:hAnsi="宋体"/>
          <w:color w:val="auto"/>
          <w:kern w:val="2"/>
          <w:sz w:val="22"/>
          <w:szCs w:val="22"/>
          <w:highlight w:val="none"/>
          <w:u w:val="single"/>
        </w:rPr>
      </w:pPr>
      <w:r>
        <w:rPr>
          <w:rStyle w:val="8"/>
          <w:rFonts w:hint="eastAsia" w:ascii="宋体" w:hAnsi="宋体"/>
          <w:color w:val="auto"/>
          <w:kern w:val="2"/>
          <w:sz w:val="22"/>
          <w:szCs w:val="22"/>
          <w:highlight w:val="none"/>
          <w:u w:val="single"/>
        </w:rPr>
        <w:t>(2）承包人未经监理人批准，私自将己按合同约定进入施工场地的施工设备、临时设施或材料撤离施工场地；</w:t>
      </w:r>
    </w:p>
    <w:p w14:paraId="35A837A1">
      <w:pPr>
        <w:pStyle w:val="14"/>
        <w:spacing w:line="360" w:lineRule="auto"/>
        <w:ind w:firstLine="440" w:firstLineChars="200"/>
        <w:jc w:val="left"/>
        <w:rPr>
          <w:rStyle w:val="8"/>
          <w:rFonts w:ascii="宋体" w:hAnsi="宋体"/>
          <w:color w:val="auto"/>
          <w:kern w:val="2"/>
          <w:sz w:val="22"/>
          <w:szCs w:val="22"/>
          <w:highlight w:val="none"/>
          <w:u w:val="single"/>
        </w:rPr>
      </w:pPr>
      <w:r>
        <w:rPr>
          <w:rStyle w:val="8"/>
          <w:rFonts w:hint="eastAsia" w:ascii="宋体" w:hAnsi="宋体"/>
          <w:color w:val="auto"/>
          <w:kern w:val="2"/>
          <w:sz w:val="22"/>
          <w:szCs w:val="22"/>
          <w:highlight w:val="none"/>
          <w:u w:val="single"/>
        </w:rPr>
        <w:t>(3）承包人使用了不合格材料或工程设备，工程质量达不到标准要求，又拒绝清除不合格工程；</w:t>
      </w:r>
    </w:p>
    <w:p w14:paraId="487065D1">
      <w:pPr>
        <w:pStyle w:val="14"/>
        <w:spacing w:line="360" w:lineRule="auto"/>
        <w:ind w:firstLine="440" w:firstLineChars="200"/>
        <w:jc w:val="left"/>
        <w:rPr>
          <w:rStyle w:val="8"/>
          <w:rFonts w:ascii="宋体" w:hAnsi="宋体"/>
          <w:color w:val="auto"/>
          <w:kern w:val="2"/>
          <w:sz w:val="22"/>
          <w:szCs w:val="22"/>
          <w:highlight w:val="none"/>
          <w:u w:val="single"/>
        </w:rPr>
      </w:pPr>
      <w:r>
        <w:rPr>
          <w:rStyle w:val="8"/>
          <w:rFonts w:hint="eastAsia" w:ascii="宋体" w:hAnsi="宋体"/>
          <w:color w:val="auto"/>
          <w:kern w:val="2"/>
          <w:sz w:val="22"/>
          <w:szCs w:val="22"/>
          <w:highlight w:val="none"/>
          <w:u w:val="single"/>
        </w:rPr>
        <w:t>(4）承包人未能按合同进度计划及时完成合同约定的工作，已造成或预期造成工期延误；</w:t>
      </w:r>
    </w:p>
    <w:p w14:paraId="7AB14ABF">
      <w:pPr>
        <w:pStyle w:val="14"/>
        <w:spacing w:line="360" w:lineRule="auto"/>
        <w:ind w:firstLine="440" w:firstLineChars="200"/>
        <w:jc w:val="left"/>
        <w:rPr>
          <w:rStyle w:val="8"/>
          <w:rFonts w:ascii="宋体" w:hAnsi="宋体"/>
          <w:color w:val="auto"/>
          <w:kern w:val="2"/>
          <w:sz w:val="22"/>
          <w:szCs w:val="22"/>
          <w:highlight w:val="none"/>
          <w:u w:val="single"/>
        </w:rPr>
      </w:pPr>
      <w:r>
        <w:rPr>
          <w:rStyle w:val="8"/>
          <w:rFonts w:hint="eastAsia" w:ascii="宋体" w:hAnsi="宋体"/>
          <w:color w:val="auto"/>
          <w:kern w:val="2"/>
          <w:sz w:val="22"/>
          <w:szCs w:val="22"/>
          <w:highlight w:val="none"/>
          <w:u w:val="single"/>
        </w:rPr>
        <w:t>(5）承包人在缺陷责任期内，未能对工程接收证书所列的缺陷清单的内容或缺陷责任期内发生的缺陷进行修复，而又拒绝按监理人指示再进行修补；</w:t>
      </w:r>
    </w:p>
    <w:p w14:paraId="476C18BA">
      <w:pPr>
        <w:pStyle w:val="14"/>
        <w:spacing w:line="360" w:lineRule="auto"/>
        <w:ind w:firstLine="440" w:firstLineChars="200"/>
        <w:jc w:val="left"/>
        <w:rPr>
          <w:rStyle w:val="8"/>
          <w:rFonts w:ascii="宋体" w:hAnsi="宋体"/>
          <w:color w:val="auto"/>
          <w:kern w:val="2"/>
          <w:sz w:val="22"/>
          <w:szCs w:val="22"/>
          <w:highlight w:val="none"/>
          <w:u w:val="single"/>
        </w:rPr>
      </w:pPr>
      <w:r>
        <w:rPr>
          <w:rStyle w:val="8"/>
          <w:rFonts w:hint="eastAsia" w:ascii="宋体" w:hAnsi="宋体"/>
          <w:color w:val="auto"/>
          <w:kern w:val="2"/>
          <w:sz w:val="22"/>
          <w:szCs w:val="22"/>
          <w:highlight w:val="none"/>
          <w:u w:val="single"/>
        </w:rPr>
        <w:t>(6）承包人无法继续履行或明确表示不履行或实质上己停止履行合同；</w:t>
      </w:r>
    </w:p>
    <w:p w14:paraId="09D139CA">
      <w:pPr>
        <w:pStyle w:val="14"/>
        <w:spacing w:line="360" w:lineRule="auto"/>
        <w:ind w:firstLine="440" w:firstLineChars="200"/>
        <w:jc w:val="left"/>
        <w:rPr>
          <w:rStyle w:val="8"/>
          <w:rFonts w:ascii="宋体" w:hAnsi="宋体"/>
          <w:color w:val="auto"/>
          <w:kern w:val="2"/>
          <w:sz w:val="22"/>
          <w:szCs w:val="22"/>
          <w:highlight w:val="none"/>
          <w:u w:val="single"/>
        </w:rPr>
      </w:pPr>
      <w:r>
        <w:rPr>
          <w:rStyle w:val="8"/>
          <w:rFonts w:hint="eastAsia" w:ascii="宋体" w:hAnsi="宋体"/>
          <w:color w:val="auto"/>
          <w:kern w:val="2"/>
          <w:sz w:val="22"/>
          <w:szCs w:val="22"/>
          <w:highlight w:val="none"/>
          <w:u w:val="single"/>
        </w:rPr>
        <w:t>(7）承包人不按合同约定履行义务的其他情况。</w:t>
      </w:r>
    </w:p>
    <w:p w14:paraId="3C0ACFD1">
      <w:pPr>
        <w:pStyle w:val="13"/>
        <w:spacing w:line="360" w:lineRule="auto"/>
        <w:ind w:firstLine="440" w:firstLineChars="200"/>
        <w:jc w:val="left"/>
        <w:rPr>
          <w:rStyle w:val="8"/>
          <w:rFonts w:ascii="宋体" w:hAnsi="宋体"/>
          <w:color w:val="auto"/>
          <w:sz w:val="22"/>
          <w:szCs w:val="22"/>
          <w:highlight w:val="none"/>
        </w:rPr>
      </w:pPr>
      <w:r>
        <w:rPr>
          <w:rStyle w:val="8"/>
          <w:rFonts w:ascii="宋体" w:hAnsi="宋体"/>
          <w:color w:val="auto"/>
          <w:sz w:val="22"/>
          <w:szCs w:val="22"/>
          <w:highlight w:val="none"/>
        </w:rPr>
        <w:t>16.2.2承包人违约的责任</w:t>
      </w:r>
    </w:p>
    <w:p w14:paraId="503CE5F0">
      <w:pPr>
        <w:pStyle w:val="14"/>
        <w:spacing w:line="360" w:lineRule="auto"/>
        <w:ind w:firstLine="440" w:firstLineChars="200"/>
        <w:jc w:val="left"/>
        <w:rPr>
          <w:rStyle w:val="8"/>
          <w:rFonts w:ascii="宋体" w:hAnsi="宋体"/>
          <w:color w:val="auto"/>
          <w:kern w:val="2"/>
          <w:sz w:val="22"/>
          <w:szCs w:val="22"/>
          <w:highlight w:val="none"/>
          <w:u w:val="single"/>
        </w:rPr>
      </w:pPr>
      <w:r>
        <w:rPr>
          <w:rStyle w:val="8"/>
          <w:rFonts w:ascii="宋体" w:hAnsi="宋体"/>
          <w:color w:val="auto"/>
          <w:sz w:val="22"/>
          <w:szCs w:val="22"/>
          <w:highlight w:val="none"/>
        </w:rPr>
        <w:t>承包人违约责任的承担方式和计算方法：</w:t>
      </w:r>
      <w:r>
        <w:rPr>
          <w:rStyle w:val="8"/>
          <w:rFonts w:hint="eastAsia" w:ascii="宋体" w:hAnsi="宋体"/>
          <w:color w:val="auto"/>
          <w:kern w:val="2"/>
          <w:sz w:val="22"/>
          <w:szCs w:val="22"/>
          <w:highlight w:val="none"/>
          <w:u w:val="single"/>
        </w:rPr>
        <w:t>（1）承包人违反合同约定采购和使用不合格的材料和工程设备的，合同工期不予顺延，无偿更换、修复直至合格并赔偿因此给发包人造成的损失。</w:t>
      </w:r>
    </w:p>
    <w:p w14:paraId="00CE26B0">
      <w:pPr>
        <w:pStyle w:val="14"/>
        <w:spacing w:line="360" w:lineRule="auto"/>
        <w:ind w:firstLine="440" w:firstLineChars="200"/>
        <w:jc w:val="left"/>
        <w:rPr>
          <w:rStyle w:val="8"/>
          <w:rFonts w:ascii="宋体" w:hAnsi="宋体"/>
          <w:color w:val="auto"/>
          <w:kern w:val="2"/>
          <w:sz w:val="22"/>
          <w:szCs w:val="22"/>
          <w:highlight w:val="none"/>
          <w:u w:val="single"/>
        </w:rPr>
      </w:pPr>
      <w:r>
        <w:rPr>
          <w:rStyle w:val="8"/>
          <w:rFonts w:hint="eastAsia" w:ascii="宋体" w:hAnsi="宋体"/>
          <w:color w:val="auto"/>
          <w:kern w:val="2"/>
          <w:sz w:val="22"/>
          <w:szCs w:val="22"/>
          <w:highlight w:val="none"/>
          <w:u w:val="single"/>
        </w:rPr>
        <w:t>承包人采购和安装使用的材料、设备，应当向发包人提供产品质量合格证书，否则视为该材料、设备质量不合格。双方同意，不得以本工程实际使用认定为承包人提供的采购和安装所使用的材料、设备合格。若承包人未提供采购和安装使用的材料、设备的产品质量合格证书，则发包人有权拒绝付款且不承担延期付款期间的利息和违约责任。</w:t>
      </w:r>
    </w:p>
    <w:p w14:paraId="766D2ADB">
      <w:pPr>
        <w:pStyle w:val="14"/>
        <w:spacing w:line="360" w:lineRule="auto"/>
        <w:ind w:firstLine="440" w:firstLineChars="200"/>
        <w:jc w:val="left"/>
        <w:rPr>
          <w:rStyle w:val="8"/>
          <w:rFonts w:ascii="宋体" w:hAnsi="宋体"/>
          <w:color w:val="auto"/>
          <w:kern w:val="2"/>
          <w:sz w:val="22"/>
          <w:szCs w:val="22"/>
          <w:highlight w:val="none"/>
          <w:u w:val="single"/>
        </w:rPr>
      </w:pPr>
      <w:r>
        <w:rPr>
          <w:rStyle w:val="8"/>
          <w:rFonts w:hint="eastAsia" w:ascii="宋体" w:hAnsi="宋体"/>
          <w:color w:val="auto"/>
          <w:kern w:val="2"/>
          <w:sz w:val="22"/>
          <w:szCs w:val="22"/>
          <w:highlight w:val="none"/>
          <w:u w:val="single"/>
        </w:rPr>
        <w:t xml:space="preserve">（2）因承包人原因导致工程质量不符合合同要求的：合同工期不予顺延，无偿整改至合格，并赔偿因此给发包人造成的损失。一次整改后工程质量仍不符合合同要求或承包人未按发包人要求整改的，发包人有权自行整改或另行委托第三方，因此产生的费用由承包人承担，发包人有权直接从工程款中直接扣除，同时向发包人支付不合格工程价款1%的违约金。 </w:t>
      </w:r>
    </w:p>
    <w:p w14:paraId="3DA3DE8E">
      <w:pPr>
        <w:pStyle w:val="14"/>
        <w:spacing w:line="360" w:lineRule="auto"/>
        <w:ind w:firstLine="440" w:firstLineChars="200"/>
        <w:jc w:val="left"/>
        <w:rPr>
          <w:rStyle w:val="8"/>
          <w:rFonts w:ascii="宋体" w:hAnsi="宋体"/>
          <w:color w:val="auto"/>
          <w:kern w:val="2"/>
          <w:sz w:val="22"/>
          <w:szCs w:val="22"/>
          <w:highlight w:val="none"/>
          <w:u w:val="single"/>
        </w:rPr>
      </w:pPr>
      <w:r>
        <w:rPr>
          <w:rStyle w:val="8"/>
          <w:rFonts w:hint="eastAsia" w:ascii="宋体" w:hAnsi="宋体"/>
          <w:color w:val="auto"/>
          <w:kern w:val="2"/>
          <w:sz w:val="22"/>
          <w:szCs w:val="22"/>
          <w:highlight w:val="none"/>
          <w:u w:val="single"/>
        </w:rPr>
        <w:t xml:space="preserve">（3）承包人违反第8.9 款〔材料与设备专用要求〕的约定，未经批准，私自将已按照合同约定进入施工现场的材料或设备撤离施工现场的：每发现一次罚款2000 元。 </w:t>
      </w:r>
    </w:p>
    <w:p w14:paraId="0224ED64">
      <w:pPr>
        <w:pStyle w:val="14"/>
        <w:spacing w:line="360" w:lineRule="auto"/>
        <w:ind w:firstLine="440" w:firstLineChars="200"/>
        <w:jc w:val="left"/>
        <w:rPr>
          <w:rStyle w:val="8"/>
          <w:rFonts w:ascii="宋体" w:hAnsi="宋体"/>
          <w:color w:val="auto"/>
          <w:kern w:val="2"/>
          <w:sz w:val="22"/>
          <w:szCs w:val="22"/>
          <w:highlight w:val="none"/>
          <w:u w:val="single"/>
        </w:rPr>
      </w:pPr>
      <w:r>
        <w:rPr>
          <w:rStyle w:val="8"/>
          <w:rFonts w:hint="eastAsia" w:ascii="宋体" w:hAnsi="宋体"/>
          <w:color w:val="auto"/>
          <w:kern w:val="2"/>
          <w:sz w:val="22"/>
          <w:szCs w:val="22"/>
          <w:highlight w:val="none"/>
          <w:u w:val="single"/>
        </w:rPr>
        <w:t>（4）承包人未能按施工进度计划及时完成合同约定的工作，造成工期延误的：</w:t>
      </w:r>
    </w:p>
    <w:p w14:paraId="13466346">
      <w:pPr>
        <w:pStyle w:val="14"/>
        <w:spacing w:line="360" w:lineRule="auto"/>
        <w:ind w:firstLine="440" w:firstLineChars="200"/>
        <w:jc w:val="left"/>
        <w:rPr>
          <w:rStyle w:val="8"/>
          <w:rFonts w:ascii="宋体" w:hAnsi="宋体"/>
          <w:color w:val="auto"/>
          <w:kern w:val="2"/>
          <w:sz w:val="22"/>
          <w:szCs w:val="22"/>
          <w:highlight w:val="none"/>
          <w:u w:val="single"/>
        </w:rPr>
      </w:pPr>
      <w:r>
        <w:rPr>
          <w:rStyle w:val="8"/>
          <w:rFonts w:hint="eastAsia" w:ascii="宋体" w:hAnsi="宋体"/>
          <w:color w:val="auto"/>
          <w:kern w:val="2"/>
          <w:sz w:val="22"/>
          <w:szCs w:val="22"/>
          <w:highlight w:val="none"/>
          <w:u w:val="single"/>
        </w:rPr>
        <w:t>工程施工节点逾期或竣工逾期的，按专用条款7.5.2条款收取违约金；</w:t>
      </w:r>
    </w:p>
    <w:p w14:paraId="4AF19898">
      <w:pPr>
        <w:pStyle w:val="14"/>
        <w:spacing w:line="360" w:lineRule="auto"/>
        <w:ind w:firstLine="440" w:firstLineChars="200"/>
        <w:jc w:val="left"/>
        <w:rPr>
          <w:rStyle w:val="8"/>
          <w:rFonts w:ascii="宋体" w:hAnsi="宋体"/>
          <w:color w:val="auto"/>
          <w:kern w:val="2"/>
          <w:sz w:val="22"/>
          <w:szCs w:val="22"/>
          <w:highlight w:val="none"/>
          <w:u w:val="single"/>
        </w:rPr>
      </w:pPr>
      <w:r>
        <w:rPr>
          <w:rStyle w:val="8"/>
          <w:rFonts w:hint="eastAsia" w:ascii="宋体" w:hAnsi="宋体"/>
          <w:color w:val="auto"/>
          <w:kern w:val="2"/>
          <w:sz w:val="22"/>
          <w:szCs w:val="22"/>
          <w:highlight w:val="none"/>
          <w:u w:val="single"/>
        </w:rPr>
        <w:t>（5）承包人在缺陷责任期及保修期内，未能在合理期限对工程缺陷进行修复，或拒绝按发包人要求进行修复的：承包人在发包人提出修复要求内24小时响应发包人修复要求，未予响应的发包人有权自行修复或另行委托第三方修复，因此产生的修复费用由发包人直接从承包人的质量保证金中扣除。</w:t>
      </w:r>
    </w:p>
    <w:p w14:paraId="1F0622C8">
      <w:pPr>
        <w:pStyle w:val="14"/>
        <w:spacing w:line="360" w:lineRule="auto"/>
        <w:ind w:firstLine="440" w:firstLineChars="200"/>
        <w:jc w:val="left"/>
        <w:rPr>
          <w:rStyle w:val="8"/>
          <w:rFonts w:ascii="宋体" w:hAnsi="宋体"/>
          <w:color w:val="auto"/>
          <w:kern w:val="2"/>
          <w:sz w:val="22"/>
          <w:szCs w:val="22"/>
          <w:highlight w:val="none"/>
          <w:u w:val="single"/>
        </w:rPr>
      </w:pPr>
      <w:r>
        <w:rPr>
          <w:rStyle w:val="8"/>
          <w:rFonts w:hint="eastAsia" w:ascii="宋体" w:hAnsi="宋体"/>
          <w:color w:val="auto"/>
          <w:kern w:val="2"/>
          <w:sz w:val="22"/>
          <w:szCs w:val="22"/>
          <w:highlight w:val="none"/>
          <w:u w:val="single"/>
        </w:rPr>
        <w:t>（6）承包人违反本合同约定所应支付的违约金，发包人均有权从应付的工程款中直接扣减，无需征得承包人同意。</w:t>
      </w:r>
    </w:p>
    <w:p w14:paraId="27159900">
      <w:pPr>
        <w:pStyle w:val="13"/>
        <w:spacing w:line="360" w:lineRule="auto"/>
        <w:ind w:firstLine="440" w:firstLineChars="200"/>
        <w:jc w:val="left"/>
        <w:rPr>
          <w:rStyle w:val="8"/>
          <w:rFonts w:ascii="宋体" w:hAnsi="宋体"/>
          <w:color w:val="auto"/>
          <w:kern w:val="2"/>
          <w:sz w:val="22"/>
          <w:szCs w:val="22"/>
          <w:highlight w:val="none"/>
        </w:rPr>
      </w:pPr>
      <w:r>
        <w:rPr>
          <w:rStyle w:val="8"/>
          <w:rFonts w:ascii="宋体" w:hAnsi="宋体"/>
          <w:color w:val="auto"/>
          <w:kern w:val="2"/>
          <w:sz w:val="22"/>
          <w:szCs w:val="22"/>
          <w:highlight w:val="none"/>
        </w:rPr>
        <w:t>16.2.3 因承包人违约解除合同</w:t>
      </w:r>
    </w:p>
    <w:p w14:paraId="7A6202AE">
      <w:pPr>
        <w:pStyle w:val="14"/>
        <w:spacing w:line="360" w:lineRule="auto"/>
        <w:ind w:firstLine="440" w:firstLineChars="200"/>
        <w:jc w:val="left"/>
        <w:rPr>
          <w:rStyle w:val="8"/>
          <w:rFonts w:ascii="宋体" w:hAnsi="宋体"/>
          <w:color w:val="auto"/>
          <w:kern w:val="2"/>
          <w:sz w:val="22"/>
          <w:szCs w:val="22"/>
          <w:highlight w:val="none"/>
          <w:u w:val="single"/>
        </w:rPr>
      </w:pPr>
      <w:r>
        <w:rPr>
          <w:rStyle w:val="8"/>
          <w:rFonts w:ascii="宋体" w:hAnsi="宋体"/>
          <w:color w:val="auto"/>
          <w:sz w:val="22"/>
          <w:szCs w:val="22"/>
          <w:highlight w:val="none"/>
        </w:rPr>
        <w:t>关于承包人违约解除合同的特别约定：</w:t>
      </w:r>
      <w:r>
        <w:rPr>
          <w:rStyle w:val="8"/>
          <w:rFonts w:ascii="宋体" w:hAnsi="宋体"/>
          <w:color w:val="auto"/>
          <w:sz w:val="22"/>
          <w:szCs w:val="22"/>
          <w:highlight w:val="none"/>
          <w:u w:val="single"/>
        </w:rPr>
        <w:t xml:space="preserve"> </w:t>
      </w:r>
      <w:r>
        <w:rPr>
          <w:rStyle w:val="8"/>
          <w:rFonts w:ascii="宋体" w:hAnsi="宋体"/>
          <w:color w:val="auto"/>
          <w:kern w:val="2"/>
          <w:sz w:val="22"/>
          <w:szCs w:val="22"/>
          <w:highlight w:val="none"/>
          <w:u w:val="single"/>
        </w:rPr>
        <w:t xml:space="preserve"> </w:t>
      </w:r>
      <w:r>
        <w:rPr>
          <w:rStyle w:val="8"/>
          <w:rFonts w:hint="eastAsia" w:ascii="宋体" w:hAnsi="宋体"/>
          <w:color w:val="auto"/>
          <w:kern w:val="2"/>
          <w:sz w:val="22"/>
          <w:szCs w:val="22"/>
          <w:highlight w:val="none"/>
          <w:u w:val="single"/>
        </w:rPr>
        <w:t xml:space="preserve">赔偿因此给发包人造成的一切损失。 </w:t>
      </w:r>
    </w:p>
    <w:p w14:paraId="6C276042">
      <w:pPr>
        <w:pStyle w:val="13"/>
        <w:spacing w:before="120" w:after="120" w:line="360" w:lineRule="auto"/>
        <w:ind w:firstLine="440" w:firstLineChars="200"/>
        <w:rPr>
          <w:rStyle w:val="8"/>
          <w:rFonts w:ascii="宋体" w:hAnsi="宋体"/>
          <w:color w:val="auto"/>
          <w:kern w:val="2"/>
          <w:sz w:val="22"/>
          <w:szCs w:val="22"/>
          <w:highlight w:val="none"/>
          <w:u w:val="single"/>
        </w:rPr>
      </w:pPr>
      <w:r>
        <w:rPr>
          <w:rStyle w:val="8"/>
          <w:rFonts w:ascii="宋体" w:hAnsi="宋体"/>
          <w:color w:val="auto"/>
          <w:sz w:val="22"/>
          <w:szCs w:val="22"/>
          <w:highlight w:val="none"/>
        </w:rPr>
        <w:t>发包人</w:t>
      </w:r>
      <w:r>
        <w:rPr>
          <w:rStyle w:val="8"/>
          <w:rFonts w:hint="eastAsia" w:ascii="宋体" w:hAnsi="宋体"/>
          <w:color w:val="auto"/>
          <w:sz w:val="22"/>
          <w:szCs w:val="22"/>
          <w:highlight w:val="none"/>
        </w:rPr>
        <w:t>继续</w:t>
      </w:r>
      <w:r>
        <w:rPr>
          <w:rStyle w:val="8"/>
          <w:rFonts w:ascii="宋体" w:hAnsi="宋体"/>
          <w:color w:val="auto"/>
          <w:sz w:val="22"/>
          <w:szCs w:val="22"/>
          <w:highlight w:val="none"/>
        </w:rPr>
        <w:t>使用承包人在施工现场的材料、设备、临时工程、承包人文件和由承包人或以其名义编制的其他文件</w:t>
      </w:r>
      <w:r>
        <w:rPr>
          <w:rStyle w:val="8"/>
          <w:rFonts w:hint="eastAsia" w:ascii="宋体" w:hAnsi="宋体"/>
          <w:color w:val="auto"/>
          <w:sz w:val="22"/>
          <w:szCs w:val="22"/>
          <w:highlight w:val="none"/>
        </w:rPr>
        <w:t>的费用承担方式</w:t>
      </w:r>
      <w:r>
        <w:rPr>
          <w:rStyle w:val="8"/>
          <w:rFonts w:ascii="宋体" w:hAnsi="宋体"/>
          <w:color w:val="auto"/>
          <w:sz w:val="22"/>
          <w:szCs w:val="22"/>
          <w:highlight w:val="none"/>
        </w:rPr>
        <w:t>：</w:t>
      </w:r>
      <w:r>
        <w:rPr>
          <w:rStyle w:val="8"/>
          <w:rFonts w:hint="eastAsia" w:ascii="宋体" w:hAnsi="宋体"/>
          <w:color w:val="auto"/>
          <w:kern w:val="2"/>
          <w:sz w:val="22"/>
          <w:szCs w:val="22"/>
          <w:highlight w:val="none"/>
          <w:u w:val="single"/>
        </w:rPr>
        <w:t>承包人承担。</w:t>
      </w:r>
    </w:p>
    <w:p w14:paraId="0B5A4C66">
      <w:pPr>
        <w:pStyle w:val="15"/>
        <w:spacing w:before="120" w:after="120" w:line="360" w:lineRule="auto"/>
        <w:rPr>
          <w:rStyle w:val="8"/>
          <w:rFonts w:ascii="宋体" w:hAnsi="宋体" w:eastAsia="宋体"/>
          <w:b w:val="0"/>
          <w:color w:val="auto"/>
          <w:sz w:val="22"/>
          <w:szCs w:val="22"/>
          <w:highlight w:val="none"/>
        </w:rPr>
      </w:pPr>
      <w:bookmarkStart w:id="1166" w:name="_Toc69461183"/>
      <w:bookmarkStart w:id="1167" w:name="_Toc30141"/>
      <w:bookmarkStart w:id="1168" w:name="_Toc351203649"/>
      <w:bookmarkStart w:id="1169" w:name="_Toc256000363"/>
      <w:bookmarkStart w:id="1170" w:name="_Toc256001326"/>
      <w:bookmarkStart w:id="1171" w:name="_Toc256001096"/>
      <w:bookmarkStart w:id="1172" w:name="_Toc2487"/>
      <w:bookmarkStart w:id="1173" w:name="_Toc256000592"/>
      <w:bookmarkStart w:id="1174" w:name="_Toc69461838"/>
      <w:bookmarkStart w:id="1175" w:name="_Toc256000859"/>
      <w:r>
        <w:rPr>
          <w:rStyle w:val="8"/>
          <w:rFonts w:ascii="宋体" w:hAnsi="宋体" w:eastAsia="宋体"/>
          <w:b w:val="0"/>
          <w:color w:val="auto"/>
          <w:sz w:val="22"/>
          <w:szCs w:val="22"/>
          <w:highlight w:val="none"/>
        </w:rPr>
        <w:t>17. 不可抗力</w:t>
      </w:r>
      <w:bookmarkEnd w:id="1166"/>
      <w:bookmarkEnd w:id="1167"/>
      <w:bookmarkEnd w:id="1168"/>
      <w:bookmarkEnd w:id="1169"/>
      <w:bookmarkEnd w:id="1170"/>
      <w:bookmarkEnd w:id="1171"/>
      <w:bookmarkEnd w:id="1172"/>
      <w:bookmarkEnd w:id="1173"/>
      <w:bookmarkEnd w:id="1174"/>
      <w:bookmarkEnd w:id="1175"/>
      <w:r>
        <w:rPr>
          <w:rStyle w:val="8"/>
          <w:rFonts w:ascii="宋体" w:hAnsi="宋体" w:eastAsia="宋体"/>
          <w:b w:val="0"/>
          <w:color w:val="auto"/>
          <w:sz w:val="22"/>
          <w:szCs w:val="22"/>
          <w:highlight w:val="none"/>
        </w:rPr>
        <w:t xml:space="preserve"> </w:t>
      </w:r>
      <w:bookmarkEnd w:id="1138"/>
    </w:p>
    <w:p w14:paraId="2022DDA7">
      <w:pPr>
        <w:pStyle w:val="13"/>
        <w:spacing w:after="120" w:line="360" w:lineRule="auto"/>
        <w:ind w:firstLine="440" w:firstLineChars="200"/>
        <w:rPr>
          <w:rStyle w:val="8"/>
          <w:rFonts w:ascii="宋体" w:hAnsi="宋体"/>
          <w:color w:val="auto"/>
          <w:kern w:val="2"/>
          <w:sz w:val="22"/>
          <w:szCs w:val="22"/>
          <w:highlight w:val="none"/>
        </w:rPr>
      </w:pPr>
      <w:r>
        <w:rPr>
          <w:rStyle w:val="8"/>
          <w:rFonts w:ascii="宋体" w:hAnsi="宋体"/>
          <w:color w:val="auto"/>
          <w:kern w:val="2"/>
          <w:sz w:val="22"/>
          <w:szCs w:val="22"/>
          <w:highlight w:val="none"/>
        </w:rPr>
        <w:t>17.1 不可抗力的确认</w:t>
      </w:r>
    </w:p>
    <w:p w14:paraId="3B842A3E">
      <w:pPr>
        <w:pStyle w:val="14"/>
        <w:spacing w:line="360" w:lineRule="auto"/>
        <w:ind w:firstLine="440" w:firstLineChars="200"/>
        <w:jc w:val="left"/>
        <w:rPr>
          <w:rStyle w:val="8"/>
          <w:rFonts w:ascii="宋体" w:hAnsi="宋体"/>
          <w:color w:val="auto"/>
          <w:kern w:val="2"/>
          <w:sz w:val="22"/>
          <w:szCs w:val="22"/>
          <w:highlight w:val="none"/>
          <w:u w:val="single"/>
        </w:rPr>
      </w:pPr>
      <w:r>
        <w:rPr>
          <w:rStyle w:val="8"/>
          <w:rFonts w:ascii="宋体" w:hAnsi="宋体"/>
          <w:color w:val="auto"/>
          <w:kern w:val="2"/>
          <w:sz w:val="22"/>
          <w:szCs w:val="22"/>
          <w:highlight w:val="none"/>
        </w:rPr>
        <w:t>除通用合同条款约定的不可抗力事件之外，视为不可抗力的其他情形：</w:t>
      </w:r>
      <w:r>
        <w:rPr>
          <w:rStyle w:val="8"/>
          <w:rFonts w:hint="eastAsia" w:ascii="宋体" w:hAnsi="宋体"/>
          <w:color w:val="auto"/>
          <w:kern w:val="2"/>
          <w:sz w:val="22"/>
          <w:szCs w:val="22"/>
          <w:highlight w:val="none"/>
          <w:u w:val="single"/>
        </w:rPr>
        <w:t>烈度6级以上的地震、十级以上持续三天的大风、200㎜以上持续6小时的大雨、持续四天以上的大雪（以上需经市级气象单位确认）  。</w:t>
      </w:r>
    </w:p>
    <w:p w14:paraId="06B8E808">
      <w:pPr>
        <w:pStyle w:val="13"/>
        <w:spacing w:line="360" w:lineRule="auto"/>
        <w:ind w:firstLine="440" w:firstLineChars="200"/>
        <w:jc w:val="left"/>
        <w:rPr>
          <w:rStyle w:val="8"/>
          <w:rFonts w:ascii="宋体" w:hAnsi="宋体"/>
          <w:color w:val="auto"/>
          <w:sz w:val="22"/>
          <w:szCs w:val="22"/>
          <w:highlight w:val="none"/>
          <w:u w:val="single"/>
        </w:rPr>
      </w:pPr>
    </w:p>
    <w:p w14:paraId="2284F8F4">
      <w:pPr>
        <w:pStyle w:val="13"/>
        <w:spacing w:after="120" w:line="360" w:lineRule="auto"/>
        <w:ind w:firstLine="440" w:firstLineChars="200"/>
        <w:outlineLvl w:val="0"/>
        <w:rPr>
          <w:rStyle w:val="8"/>
          <w:rFonts w:ascii="宋体" w:hAnsi="宋体"/>
          <w:color w:val="auto"/>
          <w:kern w:val="2"/>
          <w:sz w:val="22"/>
          <w:szCs w:val="22"/>
          <w:highlight w:val="none"/>
        </w:rPr>
      </w:pPr>
      <w:bookmarkStart w:id="1176" w:name="_Toc256000104"/>
      <w:bookmarkStart w:id="1177" w:name="_Toc69461184"/>
      <w:bookmarkStart w:id="1178" w:name="_Toc29062"/>
      <w:bookmarkStart w:id="1179" w:name="_Toc17278"/>
      <w:bookmarkStart w:id="1180" w:name="_Toc256000071"/>
      <w:bookmarkStart w:id="1181" w:name="_Toc17652"/>
      <w:bookmarkStart w:id="1182" w:name="_Toc19757"/>
      <w:bookmarkStart w:id="1183" w:name="_Toc69461839"/>
      <w:bookmarkStart w:id="1184" w:name="_Toc256000860"/>
      <w:bookmarkStart w:id="1185" w:name="_Toc256000593"/>
      <w:bookmarkStart w:id="1186" w:name="_Toc256001327"/>
      <w:bookmarkStart w:id="1187" w:name="_Toc256000364"/>
      <w:bookmarkStart w:id="1188" w:name="_Toc256001097"/>
      <w:r>
        <w:rPr>
          <w:rStyle w:val="8"/>
          <w:rFonts w:ascii="宋体" w:hAnsi="宋体"/>
          <w:color w:val="auto"/>
          <w:kern w:val="2"/>
          <w:sz w:val="22"/>
          <w:szCs w:val="22"/>
          <w:highlight w:val="none"/>
        </w:rPr>
        <w:t>17.4 因不可抗力解除合同</w:t>
      </w:r>
      <w:bookmarkEnd w:id="1176"/>
      <w:bookmarkEnd w:id="1177"/>
      <w:bookmarkEnd w:id="1178"/>
      <w:bookmarkEnd w:id="1179"/>
      <w:bookmarkEnd w:id="1180"/>
      <w:bookmarkEnd w:id="1181"/>
      <w:bookmarkEnd w:id="1182"/>
      <w:bookmarkEnd w:id="1183"/>
      <w:bookmarkEnd w:id="1184"/>
      <w:bookmarkEnd w:id="1185"/>
      <w:bookmarkEnd w:id="1186"/>
      <w:bookmarkEnd w:id="1187"/>
      <w:bookmarkEnd w:id="1188"/>
    </w:p>
    <w:p w14:paraId="38320D43">
      <w:pPr>
        <w:pStyle w:val="13"/>
        <w:spacing w:line="360" w:lineRule="auto"/>
        <w:ind w:firstLine="440" w:firstLineChars="200"/>
        <w:jc w:val="left"/>
        <w:rPr>
          <w:rStyle w:val="8"/>
          <w:rFonts w:ascii="宋体" w:hAnsi="宋体"/>
          <w:color w:val="auto"/>
          <w:kern w:val="2"/>
          <w:sz w:val="22"/>
          <w:szCs w:val="22"/>
          <w:highlight w:val="none"/>
        </w:rPr>
      </w:pPr>
      <w:r>
        <w:rPr>
          <w:rStyle w:val="8"/>
          <w:rFonts w:ascii="宋体" w:hAnsi="宋体"/>
          <w:color w:val="auto"/>
          <w:kern w:val="2"/>
          <w:sz w:val="22"/>
          <w:szCs w:val="22"/>
          <w:highlight w:val="none"/>
        </w:rPr>
        <w:t>合同解除后，发包人应在商定或确定发包人应支付款项后</w:t>
      </w:r>
      <w:r>
        <w:rPr>
          <w:rStyle w:val="8"/>
          <w:rFonts w:ascii="宋体" w:hAnsi="宋体"/>
          <w:color w:val="auto"/>
          <w:kern w:val="2"/>
          <w:sz w:val="22"/>
          <w:szCs w:val="22"/>
          <w:highlight w:val="none"/>
          <w:u w:val="single"/>
        </w:rPr>
        <w:t xml:space="preserve">  90  </w:t>
      </w:r>
      <w:r>
        <w:rPr>
          <w:rStyle w:val="8"/>
          <w:rFonts w:ascii="宋体" w:hAnsi="宋体"/>
          <w:color w:val="auto"/>
          <w:kern w:val="2"/>
          <w:sz w:val="22"/>
          <w:szCs w:val="22"/>
          <w:highlight w:val="none"/>
        </w:rPr>
        <w:t>天内完成款项的支付。</w:t>
      </w:r>
    </w:p>
    <w:p w14:paraId="3FBF344F">
      <w:pPr>
        <w:pStyle w:val="15"/>
        <w:spacing w:before="120" w:after="120" w:line="360" w:lineRule="auto"/>
        <w:rPr>
          <w:rStyle w:val="8"/>
          <w:rFonts w:ascii="宋体" w:hAnsi="宋体" w:eastAsia="宋体"/>
          <w:b w:val="0"/>
          <w:color w:val="auto"/>
          <w:sz w:val="22"/>
          <w:szCs w:val="22"/>
          <w:highlight w:val="none"/>
        </w:rPr>
      </w:pPr>
      <w:bookmarkStart w:id="1189" w:name="_Toc351203650"/>
      <w:bookmarkStart w:id="1190" w:name="_Toc256001098"/>
      <w:bookmarkStart w:id="1191" w:name="_Toc69461840"/>
      <w:bookmarkStart w:id="1192" w:name="_Toc23899"/>
      <w:bookmarkStart w:id="1193" w:name="_Toc256000365"/>
      <w:bookmarkStart w:id="1194" w:name="_Toc256001328"/>
      <w:bookmarkStart w:id="1195" w:name="_Toc256000861"/>
      <w:bookmarkStart w:id="1196" w:name="_Toc69461185"/>
      <w:bookmarkStart w:id="1197" w:name="_Toc2594"/>
      <w:bookmarkStart w:id="1198" w:name="_Toc256000594"/>
      <w:r>
        <w:rPr>
          <w:rStyle w:val="8"/>
          <w:rFonts w:ascii="宋体" w:hAnsi="宋体" w:eastAsia="宋体"/>
          <w:b w:val="0"/>
          <w:color w:val="auto"/>
          <w:sz w:val="22"/>
          <w:szCs w:val="22"/>
          <w:highlight w:val="none"/>
        </w:rPr>
        <w:t>18. 保险</w:t>
      </w:r>
      <w:bookmarkEnd w:id="1189"/>
      <w:bookmarkEnd w:id="1190"/>
      <w:bookmarkEnd w:id="1191"/>
      <w:bookmarkEnd w:id="1192"/>
      <w:bookmarkEnd w:id="1193"/>
      <w:bookmarkEnd w:id="1194"/>
      <w:bookmarkEnd w:id="1195"/>
      <w:bookmarkEnd w:id="1196"/>
      <w:bookmarkEnd w:id="1197"/>
      <w:bookmarkEnd w:id="1198"/>
    </w:p>
    <w:bookmarkEnd w:id="1139"/>
    <w:p w14:paraId="3B4C8AB8">
      <w:pPr>
        <w:pStyle w:val="13"/>
        <w:spacing w:after="120" w:line="360" w:lineRule="auto"/>
        <w:ind w:firstLine="440" w:firstLineChars="200"/>
        <w:rPr>
          <w:rStyle w:val="8"/>
          <w:rFonts w:ascii="宋体" w:hAnsi="宋体"/>
          <w:color w:val="auto"/>
          <w:kern w:val="2"/>
          <w:sz w:val="22"/>
          <w:szCs w:val="22"/>
          <w:highlight w:val="none"/>
        </w:rPr>
      </w:pPr>
      <w:r>
        <w:rPr>
          <w:rStyle w:val="8"/>
          <w:rFonts w:ascii="宋体" w:hAnsi="宋体"/>
          <w:color w:val="auto"/>
          <w:kern w:val="2"/>
          <w:sz w:val="22"/>
          <w:szCs w:val="22"/>
          <w:highlight w:val="none"/>
        </w:rPr>
        <w:t>18.1 工程保险</w:t>
      </w:r>
    </w:p>
    <w:p w14:paraId="05CCB82C">
      <w:pPr>
        <w:pStyle w:val="13"/>
        <w:spacing w:line="360" w:lineRule="auto"/>
        <w:ind w:firstLine="440" w:firstLineChars="200"/>
        <w:jc w:val="left"/>
        <w:rPr>
          <w:rStyle w:val="8"/>
          <w:rFonts w:ascii="宋体" w:hAnsi="宋体"/>
          <w:color w:val="auto"/>
          <w:kern w:val="2"/>
          <w:sz w:val="22"/>
          <w:szCs w:val="22"/>
          <w:highlight w:val="none"/>
        </w:rPr>
      </w:pPr>
      <w:r>
        <w:rPr>
          <w:rStyle w:val="8"/>
          <w:rFonts w:ascii="宋体" w:hAnsi="宋体"/>
          <w:color w:val="auto"/>
          <w:kern w:val="2"/>
          <w:sz w:val="22"/>
          <w:szCs w:val="22"/>
          <w:highlight w:val="none"/>
        </w:rPr>
        <w:t>关于工程保险的特别约定：</w:t>
      </w:r>
      <w:r>
        <w:rPr>
          <w:rStyle w:val="8"/>
          <w:rFonts w:ascii="宋体" w:hAnsi="宋体"/>
          <w:color w:val="auto"/>
          <w:sz w:val="22"/>
          <w:szCs w:val="22"/>
          <w:highlight w:val="none"/>
          <w:u w:val="single"/>
        </w:rPr>
        <w:t xml:space="preserve"> </w:t>
      </w:r>
      <w:r>
        <w:rPr>
          <w:rStyle w:val="8"/>
          <w:rFonts w:hint="eastAsia" w:ascii="宋体" w:hAnsi="宋体"/>
          <w:color w:val="auto"/>
          <w:kern w:val="2"/>
          <w:sz w:val="22"/>
          <w:szCs w:val="22"/>
          <w:highlight w:val="none"/>
          <w:u w:val="single"/>
        </w:rPr>
        <w:t>按省、市有关文件执行</w:t>
      </w:r>
      <w:r>
        <w:rPr>
          <w:rStyle w:val="8"/>
          <w:rFonts w:ascii="宋体" w:hAnsi="宋体"/>
          <w:color w:val="auto"/>
          <w:kern w:val="2"/>
          <w:sz w:val="22"/>
          <w:szCs w:val="22"/>
          <w:highlight w:val="none"/>
          <w:u w:val="single"/>
        </w:rPr>
        <w:t>。</w:t>
      </w:r>
    </w:p>
    <w:p w14:paraId="3DE7A463">
      <w:pPr>
        <w:pStyle w:val="13"/>
        <w:spacing w:after="120" w:line="360" w:lineRule="auto"/>
        <w:ind w:firstLine="440" w:firstLineChars="200"/>
        <w:outlineLvl w:val="0"/>
        <w:rPr>
          <w:rStyle w:val="8"/>
          <w:rFonts w:ascii="宋体" w:hAnsi="宋体"/>
          <w:color w:val="auto"/>
          <w:kern w:val="2"/>
          <w:sz w:val="22"/>
          <w:szCs w:val="22"/>
          <w:highlight w:val="none"/>
        </w:rPr>
      </w:pPr>
      <w:bookmarkStart w:id="1199" w:name="_Toc5549"/>
      <w:bookmarkStart w:id="1200" w:name="_Toc256001329"/>
      <w:bookmarkStart w:id="1201" w:name="_Toc256000366"/>
      <w:bookmarkStart w:id="1202" w:name="_Toc21713"/>
      <w:bookmarkStart w:id="1203" w:name="_Toc256000595"/>
      <w:bookmarkStart w:id="1204" w:name="_Toc19366"/>
      <w:bookmarkStart w:id="1205" w:name="_Toc256001099"/>
      <w:bookmarkStart w:id="1206" w:name="_Toc256000105"/>
      <w:bookmarkStart w:id="1207" w:name="_Toc256000862"/>
      <w:bookmarkStart w:id="1208" w:name="_Toc23463"/>
      <w:bookmarkStart w:id="1209" w:name="_Toc69461186"/>
      <w:bookmarkStart w:id="1210" w:name="_Toc69461841"/>
      <w:bookmarkStart w:id="1211" w:name="_Toc256000072"/>
      <w:r>
        <w:rPr>
          <w:rStyle w:val="8"/>
          <w:rFonts w:ascii="宋体" w:hAnsi="宋体"/>
          <w:color w:val="auto"/>
          <w:kern w:val="2"/>
          <w:sz w:val="22"/>
          <w:szCs w:val="22"/>
          <w:highlight w:val="none"/>
        </w:rPr>
        <w:t>18.3 其他保险</w:t>
      </w:r>
      <w:bookmarkEnd w:id="1199"/>
      <w:bookmarkEnd w:id="1200"/>
      <w:bookmarkEnd w:id="1201"/>
      <w:bookmarkEnd w:id="1202"/>
      <w:bookmarkEnd w:id="1203"/>
      <w:bookmarkEnd w:id="1204"/>
      <w:bookmarkEnd w:id="1205"/>
      <w:bookmarkEnd w:id="1206"/>
      <w:bookmarkEnd w:id="1207"/>
      <w:bookmarkEnd w:id="1208"/>
      <w:bookmarkEnd w:id="1209"/>
      <w:bookmarkEnd w:id="1210"/>
      <w:bookmarkEnd w:id="1211"/>
    </w:p>
    <w:p w14:paraId="672F5E10">
      <w:pPr>
        <w:pStyle w:val="14"/>
        <w:spacing w:line="360" w:lineRule="auto"/>
        <w:ind w:firstLine="440" w:firstLineChars="200"/>
        <w:jc w:val="left"/>
        <w:rPr>
          <w:rStyle w:val="8"/>
          <w:rFonts w:ascii="宋体" w:hAnsi="宋体"/>
          <w:color w:val="auto"/>
          <w:kern w:val="2"/>
          <w:sz w:val="22"/>
          <w:szCs w:val="22"/>
          <w:highlight w:val="none"/>
          <w:u w:val="single"/>
        </w:rPr>
      </w:pPr>
      <w:r>
        <w:rPr>
          <w:rStyle w:val="8"/>
          <w:rFonts w:ascii="宋体" w:hAnsi="宋体"/>
          <w:color w:val="auto"/>
          <w:kern w:val="2"/>
          <w:sz w:val="22"/>
          <w:szCs w:val="22"/>
          <w:highlight w:val="none"/>
        </w:rPr>
        <w:t>关于其他保险的约定：</w:t>
      </w:r>
      <w:r>
        <w:rPr>
          <w:rStyle w:val="8"/>
          <w:rFonts w:ascii="宋体" w:hAnsi="宋体"/>
          <w:color w:val="auto"/>
          <w:sz w:val="22"/>
          <w:szCs w:val="22"/>
          <w:highlight w:val="none"/>
          <w:u w:val="single"/>
        </w:rPr>
        <w:t xml:space="preserve">  </w:t>
      </w:r>
      <w:r>
        <w:rPr>
          <w:rStyle w:val="8"/>
          <w:rFonts w:hint="eastAsia" w:ascii="宋体" w:hAnsi="宋体"/>
          <w:color w:val="auto"/>
          <w:kern w:val="2"/>
          <w:sz w:val="22"/>
          <w:szCs w:val="22"/>
          <w:highlight w:val="none"/>
          <w:u w:val="single"/>
        </w:rPr>
        <w:t>(1)承包人员工伤事故的保险：承包人应依照有关法律规定参加工伤保险，要求其履行合同所雇佣的全部人员参加工伤保险，缴纳工伤保险费，并要求其分包人也进行此项保险，费用含在投标报价中。</w:t>
      </w:r>
    </w:p>
    <w:p w14:paraId="29A6F58D">
      <w:pPr>
        <w:pStyle w:val="14"/>
        <w:spacing w:line="360" w:lineRule="auto"/>
        <w:ind w:firstLine="440" w:firstLineChars="200"/>
        <w:jc w:val="left"/>
        <w:rPr>
          <w:rStyle w:val="8"/>
          <w:rFonts w:ascii="宋体" w:hAnsi="宋体"/>
          <w:color w:val="auto"/>
          <w:kern w:val="2"/>
          <w:sz w:val="22"/>
          <w:szCs w:val="22"/>
          <w:highlight w:val="none"/>
          <w:u w:val="single"/>
        </w:rPr>
      </w:pPr>
      <w:r>
        <w:rPr>
          <w:rStyle w:val="8"/>
          <w:rFonts w:hint="eastAsia" w:ascii="宋体" w:hAnsi="宋体"/>
          <w:color w:val="auto"/>
          <w:kern w:val="2"/>
          <w:sz w:val="22"/>
          <w:szCs w:val="22"/>
          <w:highlight w:val="none"/>
          <w:u w:val="single"/>
        </w:rPr>
        <w:t>(2)人身意外伤害险：承包人应在整个施工期间为其现场机构雇佣的全部人员，投保人身意外伤害险，缴纳保险费，并要求其分包人也进行此项保险，费用含在投标报价中 。</w:t>
      </w:r>
    </w:p>
    <w:p w14:paraId="645428B7">
      <w:pPr>
        <w:pStyle w:val="14"/>
        <w:spacing w:line="360" w:lineRule="auto"/>
        <w:ind w:firstLine="440" w:firstLineChars="200"/>
        <w:jc w:val="left"/>
        <w:rPr>
          <w:rStyle w:val="8"/>
          <w:rFonts w:ascii="宋体" w:hAnsi="宋体"/>
          <w:color w:val="auto"/>
          <w:kern w:val="2"/>
          <w:sz w:val="22"/>
          <w:szCs w:val="22"/>
          <w:highlight w:val="none"/>
          <w:u w:val="single"/>
        </w:rPr>
      </w:pPr>
      <w:r>
        <w:rPr>
          <w:rStyle w:val="8"/>
          <w:rFonts w:hint="eastAsia" w:ascii="宋体" w:hAnsi="宋体"/>
          <w:color w:val="auto"/>
          <w:kern w:val="2"/>
          <w:sz w:val="22"/>
          <w:szCs w:val="22"/>
          <w:highlight w:val="none"/>
          <w:u w:val="single"/>
        </w:rPr>
        <w:t>承包人是否应为其施工设备等办理财产保险：承包人应为其施工设备、进场的材料和工程设备等办理保险，费用含在投标报价中   。</w:t>
      </w:r>
    </w:p>
    <w:p w14:paraId="3AA2C7AE">
      <w:pPr>
        <w:pStyle w:val="13"/>
        <w:spacing w:line="360" w:lineRule="auto"/>
        <w:ind w:firstLine="440" w:firstLineChars="200"/>
        <w:jc w:val="left"/>
        <w:rPr>
          <w:rStyle w:val="8"/>
          <w:rFonts w:ascii="宋体" w:hAnsi="宋体"/>
          <w:color w:val="auto"/>
          <w:kern w:val="2"/>
          <w:sz w:val="22"/>
          <w:szCs w:val="22"/>
          <w:highlight w:val="none"/>
          <w:u w:val="single"/>
        </w:rPr>
      </w:pPr>
    </w:p>
    <w:p w14:paraId="03605620">
      <w:pPr>
        <w:pStyle w:val="13"/>
        <w:spacing w:after="120" w:line="360" w:lineRule="auto"/>
        <w:ind w:firstLine="440" w:firstLineChars="200"/>
        <w:rPr>
          <w:rStyle w:val="8"/>
          <w:rFonts w:ascii="宋体" w:hAnsi="宋体"/>
          <w:color w:val="auto"/>
          <w:kern w:val="2"/>
          <w:sz w:val="22"/>
          <w:szCs w:val="22"/>
          <w:highlight w:val="none"/>
        </w:rPr>
      </w:pPr>
      <w:r>
        <w:rPr>
          <w:rStyle w:val="8"/>
          <w:rFonts w:ascii="宋体" w:hAnsi="宋体"/>
          <w:color w:val="auto"/>
          <w:kern w:val="2"/>
          <w:sz w:val="22"/>
          <w:szCs w:val="22"/>
          <w:highlight w:val="none"/>
        </w:rPr>
        <w:t>18.7 通知义务</w:t>
      </w:r>
    </w:p>
    <w:p w14:paraId="4320CCA0">
      <w:pPr>
        <w:pStyle w:val="13"/>
        <w:spacing w:line="360" w:lineRule="auto"/>
        <w:ind w:firstLine="440" w:firstLineChars="200"/>
        <w:jc w:val="left"/>
        <w:rPr>
          <w:rStyle w:val="8"/>
          <w:rFonts w:ascii="宋体" w:hAnsi="宋体"/>
          <w:color w:val="auto"/>
          <w:kern w:val="2"/>
          <w:sz w:val="22"/>
          <w:szCs w:val="22"/>
          <w:highlight w:val="none"/>
          <w:u w:val="single"/>
        </w:rPr>
      </w:pPr>
      <w:r>
        <w:rPr>
          <w:rStyle w:val="8"/>
          <w:rFonts w:ascii="宋体" w:hAnsi="宋体"/>
          <w:color w:val="auto"/>
          <w:sz w:val="22"/>
          <w:szCs w:val="22"/>
          <w:highlight w:val="none"/>
        </w:rPr>
        <w:t>关于变更保险合同时的通知义务的约定：</w:t>
      </w:r>
      <w:r>
        <w:rPr>
          <w:rStyle w:val="8"/>
          <w:rFonts w:ascii="宋体" w:hAnsi="宋体"/>
          <w:color w:val="auto"/>
          <w:kern w:val="2"/>
          <w:sz w:val="22"/>
          <w:szCs w:val="22"/>
          <w:highlight w:val="none"/>
          <w:u w:val="single"/>
        </w:rPr>
        <w:t xml:space="preserve">  </w:t>
      </w:r>
      <w:r>
        <w:rPr>
          <w:rStyle w:val="8"/>
          <w:rFonts w:hint="eastAsia" w:ascii="宋体" w:hAnsi="宋体"/>
          <w:color w:val="auto"/>
          <w:kern w:val="2"/>
          <w:sz w:val="22"/>
          <w:szCs w:val="22"/>
          <w:highlight w:val="none"/>
          <w:u w:val="single"/>
        </w:rPr>
        <w:t>执行通用条款</w:t>
      </w:r>
      <w:r>
        <w:rPr>
          <w:rStyle w:val="8"/>
          <w:rFonts w:ascii="宋体" w:hAnsi="宋体"/>
          <w:color w:val="auto"/>
          <w:kern w:val="2"/>
          <w:sz w:val="22"/>
          <w:szCs w:val="22"/>
          <w:highlight w:val="none"/>
          <w:u w:val="single"/>
        </w:rPr>
        <w:t xml:space="preserve">         </w:t>
      </w:r>
      <w:r>
        <w:rPr>
          <w:rStyle w:val="8"/>
          <w:rFonts w:hint="eastAsia" w:ascii="宋体" w:hAnsi="宋体"/>
          <w:color w:val="auto"/>
          <w:kern w:val="2"/>
          <w:sz w:val="22"/>
          <w:szCs w:val="22"/>
          <w:highlight w:val="none"/>
          <w:u w:val="single"/>
        </w:rPr>
        <w:t xml:space="preserve"> </w:t>
      </w:r>
      <w:r>
        <w:rPr>
          <w:rStyle w:val="8"/>
          <w:rFonts w:ascii="宋体" w:hAnsi="宋体"/>
          <w:color w:val="auto"/>
          <w:kern w:val="2"/>
          <w:sz w:val="22"/>
          <w:szCs w:val="22"/>
          <w:highlight w:val="none"/>
          <w:u w:val="single"/>
        </w:rPr>
        <w:t xml:space="preserve"> </w:t>
      </w:r>
      <w:r>
        <w:rPr>
          <w:rStyle w:val="8"/>
          <w:rFonts w:hint="eastAsia" w:ascii="宋体" w:hAnsi="宋体"/>
          <w:color w:val="auto"/>
          <w:kern w:val="2"/>
          <w:sz w:val="22"/>
          <w:szCs w:val="22"/>
          <w:highlight w:val="none"/>
          <w:u w:val="single"/>
        </w:rPr>
        <w:t xml:space="preserve">     </w:t>
      </w:r>
    </w:p>
    <w:bookmarkEnd w:id="1054"/>
    <w:bookmarkEnd w:id="1055"/>
    <w:bookmarkEnd w:id="1056"/>
    <w:bookmarkEnd w:id="1057"/>
    <w:bookmarkEnd w:id="1058"/>
    <w:bookmarkEnd w:id="1059"/>
    <w:bookmarkEnd w:id="1060"/>
    <w:bookmarkEnd w:id="1061"/>
    <w:bookmarkEnd w:id="1062"/>
    <w:bookmarkEnd w:id="1063"/>
    <w:bookmarkEnd w:id="1064"/>
    <w:bookmarkEnd w:id="1065"/>
    <w:p w14:paraId="0729ECD7">
      <w:pPr>
        <w:pStyle w:val="15"/>
        <w:spacing w:before="120" w:after="120" w:line="360" w:lineRule="auto"/>
        <w:rPr>
          <w:rStyle w:val="8"/>
          <w:rFonts w:ascii="宋体" w:hAnsi="宋体" w:eastAsia="宋体"/>
          <w:b w:val="0"/>
          <w:color w:val="auto"/>
          <w:sz w:val="22"/>
          <w:szCs w:val="22"/>
          <w:highlight w:val="none"/>
        </w:rPr>
      </w:pPr>
      <w:bookmarkStart w:id="1212" w:name="_Toc29687"/>
      <w:bookmarkStart w:id="1213" w:name="_Toc256000596"/>
      <w:bookmarkStart w:id="1214" w:name="_Toc256000367"/>
      <w:bookmarkStart w:id="1215" w:name="_Toc351203651"/>
      <w:bookmarkStart w:id="1216" w:name="_Toc69461842"/>
      <w:bookmarkStart w:id="1217" w:name="_Toc256001330"/>
      <w:bookmarkStart w:id="1218" w:name="_Toc256000863"/>
      <w:bookmarkStart w:id="1219" w:name="_Toc12994"/>
      <w:bookmarkStart w:id="1220" w:name="_Toc256001100"/>
      <w:bookmarkStart w:id="1221" w:name="_Toc69461187"/>
      <w:r>
        <w:rPr>
          <w:rStyle w:val="8"/>
          <w:rFonts w:ascii="宋体" w:hAnsi="宋体" w:eastAsia="宋体"/>
          <w:b w:val="0"/>
          <w:color w:val="auto"/>
          <w:sz w:val="22"/>
          <w:szCs w:val="22"/>
          <w:highlight w:val="none"/>
        </w:rPr>
        <w:t>20. 争议解决</w:t>
      </w:r>
      <w:bookmarkEnd w:id="1212"/>
      <w:bookmarkEnd w:id="1213"/>
      <w:bookmarkEnd w:id="1214"/>
      <w:bookmarkEnd w:id="1215"/>
      <w:bookmarkEnd w:id="1216"/>
      <w:bookmarkEnd w:id="1217"/>
      <w:bookmarkEnd w:id="1218"/>
      <w:bookmarkEnd w:id="1219"/>
      <w:bookmarkEnd w:id="1220"/>
      <w:bookmarkEnd w:id="1221"/>
    </w:p>
    <w:bookmarkEnd w:id="1066"/>
    <w:bookmarkEnd w:id="1067"/>
    <w:p w14:paraId="4FA3D90E">
      <w:pPr>
        <w:pStyle w:val="13"/>
        <w:spacing w:after="120" w:line="360" w:lineRule="auto"/>
        <w:ind w:firstLine="440" w:firstLineChars="200"/>
        <w:outlineLvl w:val="0"/>
        <w:rPr>
          <w:rStyle w:val="8"/>
          <w:rFonts w:ascii="宋体" w:hAnsi="宋体"/>
          <w:color w:val="auto"/>
          <w:kern w:val="2"/>
          <w:sz w:val="22"/>
          <w:szCs w:val="22"/>
          <w:highlight w:val="none"/>
        </w:rPr>
      </w:pPr>
      <w:bookmarkStart w:id="1222" w:name="_Toc256001331"/>
      <w:bookmarkStart w:id="1223" w:name="_Toc256000597"/>
      <w:bookmarkStart w:id="1224" w:name="_Toc256000106"/>
      <w:bookmarkStart w:id="1225" w:name="_Toc69461188"/>
      <w:bookmarkStart w:id="1226" w:name="_Toc256000073"/>
      <w:bookmarkStart w:id="1227" w:name="_Toc256000368"/>
      <w:bookmarkStart w:id="1228" w:name="_Toc32586"/>
      <w:bookmarkStart w:id="1229" w:name="_Toc256000864"/>
      <w:bookmarkStart w:id="1230" w:name="_Toc18398"/>
      <w:bookmarkStart w:id="1231" w:name="_Toc20836"/>
      <w:bookmarkStart w:id="1232" w:name="_Toc256001101"/>
      <w:bookmarkStart w:id="1233" w:name="_Toc16036"/>
      <w:bookmarkStart w:id="1234" w:name="_Toc69461843"/>
      <w:r>
        <w:rPr>
          <w:rStyle w:val="8"/>
          <w:rFonts w:ascii="宋体" w:hAnsi="宋体"/>
          <w:color w:val="auto"/>
          <w:kern w:val="2"/>
          <w:sz w:val="22"/>
          <w:szCs w:val="22"/>
          <w:highlight w:val="none"/>
        </w:rPr>
        <w:t>20.3 争</w:t>
      </w:r>
      <w:bookmarkEnd w:id="1068"/>
      <w:r>
        <w:rPr>
          <w:rStyle w:val="8"/>
          <w:rFonts w:ascii="宋体" w:hAnsi="宋体"/>
          <w:color w:val="auto"/>
          <w:kern w:val="2"/>
          <w:sz w:val="22"/>
          <w:szCs w:val="22"/>
          <w:highlight w:val="none"/>
        </w:rPr>
        <w:t>议评审</w:t>
      </w:r>
      <w:bookmarkEnd w:id="1222"/>
      <w:bookmarkEnd w:id="1223"/>
      <w:bookmarkEnd w:id="1224"/>
      <w:bookmarkEnd w:id="1225"/>
      <w:bookmarkEnd w:id="1226"/>
      <w:bookmarkEnd w:id="1227"/>
      <w:bookmarkEnd w:id="1228"/>
      <w:bookmarkEnd w:id="1229"/>
      <w:bookmarkEnd w:id="1230"/>
      <w:bookmarkEnd w:id="1231"/>
      <w:bookmarkEnd w:id="1232"/>
      <w:bookmarkEnd w:id="1233"/>
      <w:bookmarkEnd w:id="1234"/>
    </w:p>
    <w:p w14:paraId="579BF6F6">
      <w:pPr>
        <w:pStyle w:val="13"/>
        <w:spacing w:line="360" w:lineRule="auto"/>
        <w:ind w:left="149" w:leftChars="71" w:firstLine="330" w:firstLineChars="150"/>
        <w:jc w:val="left"/>
        <w:rPr>
          <w:rStyle w:val="8"/>
          <w:rFonts w:ascii="宋体" w:hAnsi="宋体"/>
          <w:color w:val="auto"/>
          <w:kern w:val="2"/>
          <w:sz w:val="22"/>
          <w:szCs w:val="22"/>
          <w:highlight w:val="none"/>
          <w:u w:val="single"/>
        </w:rPr>
      </w:pPr>
      <w:r>
        <w:rPr>
          <w:rStyle w:val="8"/>
          <w:rFonts w:ascii="宋体" w:hAnsi="宋体"/>
          <w:color w:val="auto"/>
          <w:kern w:val="2"/>
          <w:sz w:val="22"/>
          <w:szCs w:val="22"/>
          <w:highlight w:val="none"/>
        </w:rPr>
        <w:t>合同当事人是否同意将工程争议提交争议评审小组决</w:t>
      </w:r>
      <w:r>
        <w:rPr>
          <w:rStyle w:val="8"/>
          <w:rFonts w:hint="eastAsia" w:ascii="宋体" w:hAnsi="宋体"/>
          <w:color w:val="auto"/>
          <w:kern w:val="2"/>
          <w:sz w:val="22"/>
          <w:szCs w:val="22"/>
          <w:highlight w:val="none"/>
        </w:rPr>
        <w:t>定：</w:t>
      </w:r>
      <w:r>
        <w:rPr>
          <w:rStyle w:val="8"/>
          <w:rFonts w:hint="eastAsia" w:ascii="宋体" w:hAnsi="宋体"/>
          <w:color w:val="auto"/>
          <w:kern w:val="2"/>
          <w:sz w:val="22"/>
          <w:szCs w:val="22"/>
          <w:highlight w:val="none"/>
          <w:u w:val="single"/>
        </w:rPr>
        <w:t xml:space="preserve">    </w:t>
      </w:r>
    </w:p>
    <w:p w14:paraId="01A5ADBA">
      <w:pPr>
        <w:pStyle w:val="13"/>
        <w:spacing w:line="360" w:lineRule="auto"/>
        <w:jc w:val="left"/>
        <w:rPr>
          <w:rStyle w:val="8"/>
          <w:rFonts w:ascii="宋体" w:hAnsi="宋体"/>
          <w:color w:val="auto"/>
          <w:kern w:val="2"/>
          <w:sz w:val="22"/>
          <w:szCs w:val="22"/>
          <w:highlight w:val="none"/>
        </w:rPr>
      </w:pPr>
      <w:r>
        <w:rPr>
          <w:rStyle w:val="8"/>
          <w:rFonts w:hint="eastAsia" w:ascii="宋体" w:hAnsi="宋体"/>
          <w:color w:val="auto"/>
          <w:kern w:val="2"/>
          <w:sz w:val="22"/>
          <w:szCs w:val="22"/>
          <w:highlight w:val="none"/>
          <w:u w:val="single"/>
        </w:rPr>
        <w:t xml:space="preserve">                                                         </w:t>
      </w:r>
      <w:r>
        <w:rPr>
          <w:rStyle w:val="8"/>
          <w:rFonts w:hint="eastAsia" w:ascii="宋体" w:hAnsi="宋体"/>
          <w:color w:val="auto"/>
          <w:kern w:val="2"/>
          <w:sz w:val="22"/>
          <w:szCs w:val="22"/>
          <w:highlight w:val="none"/>
        </w:rPr>
        <w:t xml:space="preserve">。  </w:t>
      </w:r>
    </w:p>
    <w:p w14:paraId="6097B93E">
      <w:pPr>
        <w:pStyle w:val="13"/>
        <w:spacing w:line="360" w:lineRule="auto"/>
        <w:ind w:firstLine="440" w:firstLineChars="200"/>
        <w:jc w:val="left"/>
        <w:outlineLvl w:val="0"/>
        <w:rPr>
          <w:rStyle w:val="8"/>
          <w:rFonts w:ascii="宋体" w:hAnsi="宋体"/>
          <w:color w:val="auto"/>
          <w:kern w:val="2"/>
          <w:sz w:val="22"/>
          <w:szCs w:val="22"/>
          <w:highlight w:val="none"/>
        </w:rPr>
      </w:pPr>
      <w:bookmarkStart w:id="1235" w:name="_Toc31093"/>
      <w:bookmarkStart w:id="1236" w:name="_Toc69461844"/>
      <w:bookmarkStart w:id="1237" w:name="_Toc12880"/>
      <w:bookmarkStart w:id="1238" w:name="_Toc256000369"/>
      <w:bookmarkStart w:id="1239" w:name="_Toc31833"/>
      <w:bookmarkStart w:id="1240" w:name="_Toc69461189"/>
      <w:bookmarkStart w:id="1241" w:name="_Toc256001102"/>
      <w:bookmarkStart w:id="1242" w:name="_Toc256000107"/>
      <w:bookmarkStart w:id="1243" w:name="_Toc256000074"/>
      <w:bookmarkStart w:id="1244" w:name="_Toc256000598"/>
      <w:bookmarkStart w:id="1245" w:name="_Toc256000865"/>
      <w:bookmarkStart w:id="1246" w:name="_Toc13518"/>
      <w:bookmarkStart w:id="1247" w:name="_Toc256001332"/>
      <w:r>
        <w:rPr>
          <w:rStyle w:val="8"/>
          <w:rFonts w:ascii="宋体" w:hAnsi="宋体"/>
          <w:color w:val="auto"/>
          <w:kern w:val="2"/>
          <w:sz w:val="22"/>
          <w:szCs w:val="22"/>
          <w:highlight w:val="none"/>
        </w:rPr>
        <w:t>20.3.1 争议评审小组的确定</w:t>
      </w:r>
      <w:bookmarkEnd w:id="1235"/>
      <w:bookmarkEnd w:id="1236"/>
      <w:bookmarkEnd w:id="1237"/>
      <w:bookmarkEnd w:id="1238"/>
      <w:bookmarkEnd w:id="1239"/>
      <w:bookmarkEnd w:id="1240"/>
      <w:bookmarkEnd w:id="1241"/>
      <w:bookmarkEnd w:id="1242"/>
      <w:bookmarkEnd w:id="1243"/>
      <w:bookmarkEnd w:id="1244"/>
      <w:bookmarkEnd w:id="1245"/>
      <w:bookmarkEnd w:id="1246"/>
      <w:bookmarkEnd w:id="1247"/>
    </w:p>
    <w:p w14:paraId="00D63D8C">
      <w:pPr>
        <w:pStyle w:val="13"/>
        <w:spacing w:line="360" w:lineRule="auto"/>
        <w:ind w:firstLine="440" w:firstLineChars="200"/>
        <w:jc w:val="left"/>
        <w:rPr>
          <w:rStyle w:val="8"/>
          <w:rFonts w:ascii="宋体" w:hAnsi="宋体"/>
          <w:color w:val="auto"/>
          <w:kern w:val="2"/>
          <w:sz w:val="22"/>
          <w:szCs w:val="22"/>
          <w:highlight w:val="none"/>
          <w:u w:val="single"/>
        </w:rPr>
      </w:pPr>
      <w:r>
        <w:rPr>
          <w:rStyle w:val="8"/>
          <w:rFonts w:ascii="宋体" w:hAnsi="宋体"/>
          <w:color w:val="auto"/>
          <w:kern w:val="2"/>
          <w:sz w:val="22"/>
          <w:szCs w:val="22"/>
          <w:highlight w:val="none"/>
        </w:rPr>
        <w:t>争议评审小组成员的确定：</w:t>
      </w:r>
      <w:r>
        <w:rPr>
          <w:rStyle w:val="8"/>
          <w:rFonts w:ascii="宋体" w:hAnsi="宋体"/>
          <w:color w:val="auto"/>
          <w:kern w:val="2"/>
          <w:sz w:val="22"/>
          <w:szCs w:val="22"/>
          <w:highlight w:val="none"/>
          <w:u w:val="single"/>
        </w:rPr>
        <w:t xml:space="preserve">                     </w:t>
      </w:r>
      <w:r>
        <w:rPr>
          <w:rStyle w:val="8"/>
          <w:rFonts w:hint="eastAsia" w:ascii="宋体" w:hAnsi="宋体"/>
          <w:color w:val="auto"/>
          <w:kern w:val="2"/>
          <w:sz w:val="22"/>
          <w:szCs w:val="22"/>
          <w:highlight w:val="none"/>
          <w:u w:val="single"/>
        </w:rPr>
        <w:t xml:space="preserve">    </w:t>
      </w:r>
      <w:r>
        <w:rPr>
          <w:rStyle w:val="8"/>
          <w:rFonts w:ascii="宋体" w:hAnsi="宋体"/>
          <w:color w:val="auto"/>
          <w:kern w:val="2"/>
          <w:sz w:val="22"/>
          <w:szCs w:val="22"/>
          <w:highlight w:val="none"/>
          <w:u w:val="single"/>
        </w:rPr>
        <w:t xml:space="preserve">    </w:t>
      </w:r>
      <w:r>
        <w:rPr>
          <w:rStyle w:val="8"/>
          <w:rFonts w:ascii="宋体" w:hAnsi="宋体"/>
          <w:color w:val="auto"/>
          <w:kern w:val="2"/>
          <w:sz w:val="22"/>
          <w:szCs w:val="22"/>
          <w:highlight w:val="none"/>
        </w:rPr>
        <w:t>。</w:t>
      </w:r>
    </w:p>
    <w:p w14:paraId="3AE7856E">
      <w:pPr>
        <w:pStyle w:val="13"/>
        <w:spacing w:line="360" w:lineRule="auto"/>
        <w:ind w:firstLine="440" w:firstLineChars="200"/>
        <w:jc w:val="left"/>
        <w:rPr>
          <w:rStyle w:val="8"/>
          <w:rFonts w:ascii="宋体" w:hAnsi="宋体"/>
          <w:color w:val="auto"/>
          <w:kern w:val="2"/>
          <w:sz w:val="22"/>
          <w:szCs w:val="22"/>
          <w:highlight w:val="none"/>
        </w:rPr>
      </w:pPr>
      <w:r>
        <w:rPr>
          <w:rStyle w:val="8"/>
          <w:rFonts w:ascii="宋体" w:hAnsi="宋体"/>
          <w:color w:val="auto"/>
          <w:kern w:val="2"/>
          <w:sz w:val="22"/>
          <w:szCs w:val="22"/>
          <w:highlight w:val="none"/>
        </w:rPr>
        <w:t>选定争议评审员的期限：</w:t>
      </w:r>
      <w:r>
        <w:rPr>
          <w:rStyle w:val="8"/>
          <w:rFonts w:ascii="宋体" w:hAnsi="宋体"/>
          <w:color w:val="auto"/>
          <w:kern w:val="2"/>
          <w:sz w:val="22"/>
          <w:szCs w:val="22"/>
          <w:highlight w:val="none"/>
          <w:u w:val="single"/>
        </w:rPr>
        <w:t xml:space="preserve">                     </w:t>
      </w:r>
      <w:r>
        <w:rPr>
          <w:rStyle w:val="8"/>
          <w:rFonts w:hint="eastAsia" w:ascii="宋体" w:hAnsi="宋体"/>
          <w:color w:val="auto"/>
          <w:kern w:val="2"/>
          <w:sz w:val="22"/>
          <w:szCs w:val="22"/>
          <w:highlight w:val="none"/>
          <w:u w:val="single"/>
        </w:rPr>
        <w:t xml:space="preserve">    </w:t>
      </w:r>
      <w:r>
        <w:rPr>
          <w:rStyle w:val="8"/>
          <w:rFonts w:ascii="宋体" w:hAnsi="宋体"/>
          <w:color w:val="auto"/>
          <w:kern w:val="2"/>
          <w:sz w:val="22"/>
          <w:szCs w:val="22"/>
          <w:highlight w:val="none"/>
          <w:u w:val="single"/>
        </w:rPr>
        <w:t xml:space="preserve">      </w:t>
      </w:r>
      <w:r>
        <w:rPr>
          <w:rStyle w:val="8"/>
          <w:rFonts w:ascii="宋体" w:hAnsi="宋体"/>
          <w:color w:val="auto"/>
          <w:kern w:val="2"/>
          <w:sz w:val="22"/>
          <w:szCs w:val="22"/>
          <w:highlight w:val="none"/>
        </w:rPr>
        <w:t>。</w:t>
      </w:r>
    </w:p>
    <w:p w14:paraId="44A25989">
      <w:pPr>
        <w:pStyle w:val="13"/>
        <w:spacing w:line="360" w:lineRule="auto"/>
        <w:ind w:firstLine="440" w:firstLineChars="200"/>
        <w:jc w:val="left"/>
        <w:rPr>
          <w:rStyle w:val="8"/>
          <w:rFonts w:ascii="宋体" w:hAnsi="宋体"/>
          <w:color w:val="auto"/>
          <w:kern w:val="2"/>
          <w:sz w:val="22"/>
          <w:szCs w:val="22"/>
          <w:highlight w:val="none"/>
        </w:rPr>
      </w:pPr>
      <w:r>
        <w:rPr>
          <w:rStyle w:val="8"/>
          <w:rFonts w:ascii="宋体" w:hAnsi="宋体"/>
          <w:color w:val="auto"/>
          <w:kern w:val="2"/>
          <w:sz w:val="22"/>
          <w:szCs w:val="22"/>
          <w:highlight w:val="none"/>
        </w:rPr>
        <w:t>争议评审小组成员的报酬承担方式：</w:t>
      </w:r>
      <w:r>
        <w:rPr>
          <w:rStyle w:val="8"/>
          <w:rFonts w:ascii="宋体" w:hAnsi="宋体"/>
          <w:color w:val="auto"/>
          <w:kern w:val="2"/>
          <w:sz w:val="22"/>
          <w:szCs w:val="22"/>
          <w:highlight w:val="none"/>
          <w:u w:val="single"/>
        </w:rPr>
        <w:t xml:space="preserve">           </w:t>
      </w:r>
      <w:r>
        <w:rPr>
          <w:rStyle w:val="8"/>
          <w:rFonts w:hint="eastAsia" w:ascii="宋体" w:hAnsi="宋体"/>
          <w:color w:val="auto"/>
          <w:kern w:val="2"/>
          <w:sz w:val="22"/>
          <w:szCs w:val="22"/>
          <w:highlight w:val="none"/>
          <w:u w:val="single"/>
        </w:rPr>
        <w:t xml:space="preserve">    </w:t>
      </w:r>
      <w:r>
        <w:rPr>
          <w:rStyle w:val="8"/>
          <w:rFonts w:ascii="宋体" w:hAnsi="宋体"/>
          <w:color w:val="auto"/>
          <w:kern w:val="2"/>
          <w:sz w:val="22"/>
          <w:szCs w:val="22"/>
          <w:highlight w:val="none"/>
          <w:u w:val="single"/>
        </w:rPr>
        <w:t xml:space="preserve">      </w:t>
      </w:r>
      <w:r>
        <w:rPr>
          <w:rStyle w:val="8"/>
          <w:rFonts w:ascii="宋体" w:hAnsi="宋体"/>
          <w:color w:val="auto"/>
          <w:kern w:val="2"/>
          <w:sz w:val="22"/>
          <w:szCs w:val="22"/>
          <w:highlight w:val="none"/>
        </w:rPr>
        <w:t>。</w:t>
      </w:r>
    </w:p>
    <w:p w14:paraId="2B40CDA1">
      <w:pPr>
        <w:pStyle w:val="13"/>
        <w:spacing w:line="360" w:lineRule="auto"/>
        <w:ind w:firstLine="440" w:firstLineChars="200"/>
        <w:jc w:val="left"/>
        <w:rPr>
          <w:rStyle w:val="8"/>
          <w:rFonts w:ascii="宋体" w:hAnsi="宋体"/>
          <w:color w:val="auto"/>
          <w:kern w:val="2"/>
          <w:sz w:val="22"/>
          <w:szCs w:val="22"/>
          <w:highlight w:val="none"/>
        </w:rPr>
      </w:pPr>
      <w:r>
        <w:rPr>
          <w:rStyle w:val="8"/>
          <w:rFonts w:ascii="宋体" w:hAnsi="宋体"/>
          <w:color w:val="auto"/>
          <w:kern w:val="2"/>
          <w:sz w:val="22"/>
          <w:szCs w:val="22"/>
          <w:highlight w:val="none"/>
        </w:rPr>
        <w:t>其他事项的约定：</w:t>
      </w:r>
      <w:r>
        <w:rPr>
          <w:rStyle w:val="8"/>
          <w:rFonts w:ascii="宋体" w:hAnsi="宋体"/>
          <w:color w:val="auto"/>
          <w:kern w:val="2"/>
          <w:sz w:val="22"/>
          <w:szCs w:val="22"/>
          <w:highlight w:val="none"/>
          <w:u w:val="single"/>
        </w:rPr>
        <w:t xml:space="preserve">                          </w:t>
      </w:r>
      <w:r>
        <w:rPr>
          <w:rStyle w:val="8"/>
          <w:rFonts w:hint="eastAsia" w:ascii="宋体" w:hAnsi="宋体"/>
          <w:color w:val="auto"/>
          <w:kern w:val="2"/>
          <w:sz w:val="22"/>
          <w:szCs w:val="22"/>
          <w:highlight w:val="none"/>
          <w:u w:val="single"/>
        </w:rPr>
        <w:t xml:space="preserve">    </w:t>
      </w:r>
      <w:r>
        <w:rPr>
          <w:rStyle w:val="8"/>
          <w:rFonts w:ascii="宋体" w:hAnsi="宋体"/>
          <w:color w:val="auto"/>
          <w:kern w:val="2"/>
          <w:sz w:val="22"/>
          <w:szCs w:val="22"/>
          <w:highlight w:val="none"/>
          <w:u w:val="single"/>
        </w:rPr>
        <w:t xml:space="preserve">       </w:t>
      </w:r>
      <w:r>
        <w:rPr>
          <w:rStyle w:val="8"/>
          <w:rFonts w:ascii="宋体" w:hAnsi="宋体"/>
          <w:color w:val="auto"/>
          <w:kern w:val="2"/>
          <w:sz w:val="22"/>
          <w:szCs w:val="22"/>
          <w:highlight w:val="none"/>
        </w:rPr>
        <w:t>。</w:t>
      </w:r>
    </w:p>
    <w:p w14:paraId="315843CA">
      <w:pPr>
        <w:pStyle w:val="13"/>
        <w:autoSpaceDE w:val="0"/>
        <w:autoSpaceDN w:val="0"/>
        <w:adjustRightInd w:val="0"/>
        <w:spacing w:line="360" w:lineRule="auto"/>
        <w:ind w:firstLine="440" w:firstLineChars="200"/>
        <w:jc w:val="left"/>
        <w:outlineLvl w:val="0"/>
        <w:rPr>
          <w:rStyle w:val="8"/>
          <w:rFonts w:ascii="宋体" w:hAnsi="宋体"/>
          <w:color w:val="auto"/>
          <w:sz w:val="22"/>
          <w:szCs w:val="22"/>
          <w:highlight w:val="none"/>
        </w:rPr>
      </w:pPr>
      <w:bookmarkStart w:id="1248" w:name="_Toc256000599"/>
      <w:bookmarkStart w:id="1249" w:name="_Toc69461190"/>
      <w:bookmarkStart w:id="1250" w:name="_Toc256000075"/>
      <w:bookmarkStart w:id="1251" w:name="_Toc4602"/>
      <w:bookmarkStart w:id="1252" w:name="_Toc256001103"/>
      <w:bookmarkStart w:id="1253" w:name="_Toc256000108"/>
      <w:bookmarkStart w:id="1254" w:name="_Toc22039"/>
      <w:bookmarkStart w:id="1255" w:name="_Toc69461845"/>
      <w:bookmarkStart w:id="1256" w:name="_Toc256001333"/>
      <w:bookmarkStart w:id="1257" w:name="_Toc256000866"/>
      <w:bookmarkStart w:id="1258" w:name="_Toc23311"/>
      <w:bookmarkStart w:id="1259" w:name="_Toc256000370"/>
      <w:bookmarkStart w:id="1260" w:name="_Toc12219"/>
      <w:r>
        <w:rPr>
          <w:rStyle w:val="8"/>
          <w:rFonts w:ascii="宋体" w:hAnsi="宋体"/>
          <w:color w:val="auto"/>
          <w:sz w:val="22"/>
          <w:szCs w:val="22"/>
          <w:highlight w:val="none"/>
        </w:rPr>
        <w:t>20.3.2 争议评审小组的决定</w:t>
      </w:r>
      <w:bookmarkEnd w:id="1248"/>
      <w:bookmarkEnd w:id="1249"/>
      <w:bookmarkEnd w:id="1250"/>
      <w:bookmarkEnd w:id="1251"/>
      <w:bookmarkEnd w:id="1252"/>
      <w:bookmarkEnd w:id="1253"/>
      <w:bookmarkEnd w:id="1254"/>
      <w:bookmarkEnd w:id="1255"/>
      <w:bookmarkEnd w:id="1256"/>
      <w:bookmarkEnd w:id="1257"/>
      <w:bookmarkEnd w:id="1258"/>
      <w:bookmarkEnd w:id="1259"/>
      <w:bookmarkEnd w:id="1260"/>
    </w:p>
    <w:p w14:paraId="583B8686">
      <w:pPr>
        <w:pStyle w:val="13"/>
        <w:spacing w:line="360" w:lineRule="auto"/>
        <w:ind w:firstLine="440" w:firstLineChars="200"/>
        <w:jc w:val="left"/>
        <w:rPr>
          <w:rStyle w:val="8"/>
          <w:rFonts w:ascii="宋体" w:hAnsi="宋体"/>
          <w:color w:val="auto"/>
          <w:kern w:val="2"/>
          <w:sz w:val="22"/>
          <w:szCs w:val="22"/>
          <w:highlight w:val="none"/>
        </w:rPr>
      </w:pPr>
      <w:r>
        <w:rPr>
          <w:rStyle w:val="8"/>
          <w:rFonts w:ascii="宋体" w:hAnsi="宋体"/>
          <w:color w:val="auto"/>
          <w:kern w:val="2"/>
          <w:sz w:val="22"/>
          <w:szCs w:val="22"/>
          <w:highlight w:val="none"/>
        </w:rPr>
        <w:t>合同当事人关于本项的约定：</w:t>
      </w:r>
      <w:r>
        <w:rPr>
          <w:rStyle w:val="8"/>
          <w:rFonts w:ascii="宋体" w:hAnsi="宋体"/>
          <w:color w:val="auto"/>
          <w:kern w:val="2"/>
          <w:sz w:val="22"/>
          <w:szCs w:val="22"/>
          <w:highlight w:val="none"/>
          <w:u w:val="single"/>
        </w:rPr>
        <w:t xml:space="preserve">                      </w:t>
      </w:r>
      <w:r>
        <w:rPr>
          <w:rStyle w:val="8"/>
          <w:rFonts w:hint="eastAsia" w:ascii="宋体" w:hAnsi="宋体"/>
          <w:color w:val="auto"/>
          <w:kern w:val="2"/>
          <w:sz w:val="22"/>
          <w:szCs w:val="22"/>
          <w:highlight w:val="none"/>
          <w:u w:val="single"/>
        </w:rPr>
        <w:t xml:space="preserve">   </w:t>
      </w:r>
      <w:r>
        <w:rPr>
          <w:rStyle w:val="8"/>
          <w:rFonts w:ascii="宋体" w:hAnsi="宋体"/>
          <w:color w:val="auto"/>
          <w:kern w:val="2"/>
          <w:sz w:val="22"/>
          <w:szCs w:val="22"/>
          <w:highlight w:val="none"/>
          <w:u w:val="single"/>
        </w:rPr>
        <w:t xml:space="preserve">  </w:t>
      </w:r>
      <w:r>
        <w:rPr>
          <w:rStyle w:val="8"/>
          <w:rFonts w:ascii="宋体" w:hAnsi="宋体"/>
          <w:color w:val="auto"/>
          <w:kern w:val="2"/>
          <w:sz w:val="22"/>
          <w:szCs w:val="22"/>
          <w:highlight w:val="none"/>
        </w:rPr>
        <w:t>。</w:t>
      </w:r>
    </w:p>
    <w:p w14:paraId="54512921">
      <w:pPr>
        <w:pStyle w:val="13"/>
        <w:spacing w:after="120" w:line="360" w:lineRule="auto"/>
        <w:ind w:firstLine="440" w:firstLineChars="200"/>
        <w:outlineLvl w:val="0"/>
        <w:rPr>
          <w:rStyle w:val="8"/>
          <w:rFonts w:ascii="宋体" w:hAnsi="宋体"/>
          <w:color w:val="auto"/>
          <w:kern w:val="2"/>
          <w:sz w:val="22"/>
          <w:szCs w:val="22"/>
          <w:highlight w:val="none"/>
        </w:rPr>
      </w:pPr>
      <w:bookmarkStart w:id="1261" w:name="_Toc2946"/>
      <w:bookmarkStart w:id="1262" w:name="_Toc256000076"/>
      <w:bookmarkStart w:id="1263" w:name="_Toc256000600"/>
      <w:bookmarkStart w:id="1264" w:name="_Toc25005"/>
      <w:bookmarkStart w:id="1265" w:name="_Toc256000109"/>
      <w:bookmarkStart w:id="1266" w:name="_Toc11928"/>
      <w:bookmarkStart w:id="1267" w:name="_Toc256000371"/>
      <w:bookmarkStart w:id="1268" w:name="_Toc256001334"/>
      <w:bookmarkStart w:id="1269" w:name="_Toc256000867"/>
      <w:bookmarkStart w:id="1270" w:name="_Toc69461846"/>
      <w:bookmarkStart w:id="1271" w:name="_Toc256001104"/>
      <w:bookmarkStart w:id="1272" w:name="_Toc69461191"/>
      <w:bookmarkStart w:id="1273" w:name="_Toc13535"/>
      <w:r>
        <w:rPr>
          <w:rStyle w:val="8"/>
          <w:rFonts w:ascii="宋体" w:hAnsi="宋体"/>
          <w:color w:val="auto"/>
          <w:kern w:val="2"/>
          <w:sz w:val="22"/>
          <w:szCs w:val="22"/>
          <w:highlight w:val="none"/>
        </w:rPr>
        <w:t>20.4仲裁或诉讼</w:t>
      </w:r>
      <w:bookmarkEnd w:id="1069"/>
      <w:bookmarkEnd w:id="1261"/>
      <w:bookmarkEnd w:id="1262"/>
      <w:bookmarkEnd w:id="1263"/>
      <w:bookmarkEnd w:id="1264"/>
      <w:bookmarkEnd w:id="1265"/>
      <w:bookmarkEnd w:id="1266"/>
      <w:bookmarkEnd w:id="1267"/>
      <w:bookmarkEnd w:id="1268"/>
      <w:bookmarkEnd w:id="1269"/>
      <w:bookmarkEnd w:id="1270"/>
      <w:bookmarkEnd w:id="1271"/>
      <w:bookmarkEnd w:id="1272"/>
      <w:bookmarkEnd w:id="1273"/>
    </w:p>
    <w:p w14:paraId="65FB6727">
      <w:pPr>
        <w:pStyle w:val="13"/>
        <w:spacing w:after="120" w:line="360" w:lineRule="auto"/>
        <w:ind w:firstLine="440" w:firstLineChars="200"/>
        <w:rPr>
          <w:rStyle w:val="8"/>
          <w:rFonts w:ascii="宋体" w:hAnsi="宋体"/>
          <w:color w:val="auto"/>
          <w:kern w:val="2"/>
          <w:sz w:val="22"/>
          <w:szCs w:val="22"/>
          <w:highlight w:val="none"/>
        </w:rPr>
      </w:pPr>
      <w:r>
        <w:rPr>
          <w:rStyle w:val="8"/>
          <w:rFonts w:ascii="宋体" w:hAnsi="宋体"/>
          <w:color w:val="auto"/>
          <w:kern w:val="2"/>
          <w:sz w:val="22"/>
          <w:szCs w:val="22"/>
          <w:highlight w:val="none"/>
        </w:rPr>
        <w:t>因合同及合同有关事项发生的争议，按下列第</w:t>
      </w:r>
      <w:r>
        <w:rPr>
          <w:rStyle w:val="8"/>
          <w:rFonts w:ascii="宋体" w:hAnsi="宋体"/>
          <w:color w:val="auto"/>
          <w:kern w:val="2"/>
          <w:sz w:val="22"/>
          <w:szCs w:val="22"/>
          <w:highlight w:val="none"/>
          <w:u w:val="single"/>
        </w:rPr>
        <w:t xml:space="preserve">   </w:t>
      </w:r>
      <w:r>
        <w:rPr>
          <w:rStyle w:val="8"/>
          <w:rFonts w:hint="eastAsia" w:ascii="宋体" w:hAnsi="宋体"/>
          <w:color w:val="auto"/>
          <w:kern w:val="2"/>
          <w:sz w:val="22"/>
          <w:szCs w:val="22"/>
          <w:highlight w:val="none"/>
          <w:u w:val="single"/>
        </w:rPr>
        <w:t>（2）</w:t>
      </w:r>
      <w:r>
        <w:rPr>
          <w:rStyle w:val="8"/>
          <w:rFonts w:ascii="宋体" w:hAnsi="宋体"/>
          <w:color w:val="auto"/>
          <w:kern w:val="2"/>
          <w:sz w:val="22"/>
          <w:szCs w:val="22"/>
          <w:highlight w:val="none"/>
          <w:u w:val="single"/>
        </w:rPr>
        <w:t xml:space="preserve">  </w:t>
      </w:r>
      <w:r>
        <w:rPr>
          <w:rStyle w:val="8"/>
          <w:rFonts w:ascii="宋体" w:hAnsi="宋体"/>
          <w:color w:val="auto"/>
          <w:kern w:val="2"/>
          <w:sz w:val="22"/>
          <w:szCs w:val="22"/>
          <w:highlight w:val="none"/>
        </w:rPr>
        <w:t>种方式</w:t>
      </w:r>
      <w:r>
        <w:rPr>
          <w:rStyle w:val="8"/>
          <w:rFonts w:hint="eastAsia" w:ascii="宋体" w:hAnsi="宋体"/>
          <w:color w:val="auto"/>
          <w:kern w:val="2"/>
          <w:sz w:val="22"/>
          <w:szCs w:val="22"/>
          <w:highlight w:val="none"/>
        </w:rPr>
        <w:t>解</w:t>
      </w:r>
      <w:r>
        <w:rPr>
          <w:rStyle w:val="8"/>
          <w:rFonts w:ascii="宋体" w:hAnsi="宋体"/>
          <w:color w:val="auto"/>
          <w:kern w:val="2"/>
          <w:sz w:val="22"/>
          <w:szCs w:val="22"/>
          <w:highlight w:val="none"/>
        </w:rPr>
        <w:t>决：</w:t>
      </w:r>
    </w:p>
    <w:p w14:paraId="6FC8904A">
      <w:pPr>
        <w:pStyle w:val="13"/>
        <w:spacing w:line="360" w:lineRule="auto"/>
        <w:ind w:firstLine="440" w:firstLineChars="200"/>
        <w:jc w:val="left"/>
        <w:rPr>
          <w:rStyle w:val="8"/>
          <w:rFonts w:ascii="宋体" w:hAnsi="宋体"/>
          <w:color w:val="auto"/>
          <w:kern w:val="2"/>
          <w:sz w:val="22"/>
          <w:szCs w:val="22"/>
          <w:highlight w:val="none"/>
        </w:rPr>
      </w:pPr>
      <w:r>
        <w:rPr>
          <w:rStyle w:val="8"/>
          <w:rFonts w:ascii="宋体" w:hAnsi="宋体"/>
          <w:color w:val="auto"/>
          <w:kern w:val="2"/>
          <w:sz w:val="22"/>
          <w:szCs w:val="22"/>
          <w:highlight w:val="none"/>
        </w:rPr>
        <w:t>（1）向</w:t>
      </w:r>
      <w:r>
        <w:rPr>
          <w:rStyle w:val="8"/>
          <w:rFonts w:ascii="宋体" w:hAnsi="宋体"/>
          <w:color w:val="auto"/>
          <w:kern w:val="2"/>
          <w:sz w:val="22"/>
          <w:szCs w:val="22"/>
          <w:highlight w:val="none"/>
          <w:u w:val="single"/>
        </w:rPr>
        <w:t xml:space="preserve">                     </w:t>
      </w:r>
      <w:r>
        <w:rPr>
          <w:rStyle w:val="8"/>
          <w:rFonts w:ascii="宋体" w:hAnsi="宋体"/>
          <w:color w:val="auto"/>
          <w:kern w:val="2"/>
          <w:sz w:val="22"/>
          <w:szCs w:val="22"/>
          <w:highlight w:val="none"/>
        </w:rPr>
        <w:t>仲裁委员会申请仲裁；</w:t>
      </w:r>
    </w:p>
    <w:p w14:paraId="62822763">
      <w:pPr>
        <w:pStyle w:val="13"/>
        <w:spacing w:line="360" w:lineRule="auto"/>
        <w:ind w:firstLine="440" w:firstLineChars="200"/>
        <w:jc w:val="left"/>
        <w:rPr>
          <w:rStyle w:val="8"/>
          <w:rFonts w:ascii="宋体" w:hAnsi="宋体"/>
          <w:color w:val="auto"/>
          <w:kern w:val="2"/>
          <w:sz w:val="22"/>
          <w:szCs w:val="22"/>
          <w:highlight w:val="none"/>
        </w:rPr>
      </w:pPr>
      <w:r>
        <w:rPr>
          <w:rStyle w:val="8"/>
          <w:rFonts w:ascii="宋体" w:hAnsi="宋体"/>
          <w:color w:val="auto"/>
          <w:kern w:val="2"/>
          <w:sz w:val="22"/>
          <w:szCs w:val="22"/>
          <w:highlight w:val="none"/>
        </w:rPr>
        <w:t>（2）向</w:t>
      </w:r>
      <w:r>
        <w:rPr>
          <w:rStyle w:val="8"/>
          <w:rFonts w:ascii="宋体" w:hAnsi="宋体"/>
          <w:color w:val="auto"/>
          <w:kern w:val="2"/>
          <w:sz w:val="22"/>
          <w:szCs w:val="22"/>
          <w:highlight w:val="none"/>
          <w:u w:val="single"/>
        </w:rPr>
        <w:t xml:space="preserve">           </w:t>
      </w:r>
      <w:r>
        <w:rPr>
          <w:rStyle w:val="8"/>
          <w:rFonts w:hint="eastAsia" w:ascii="宋体" w:hAnsi="宋体"/>
          <w:color w:val="auto"/>
          <w:kern w:val="2"/>
          <w:sz w:val="22"/>
          <w:szCs w:val="22"/>
          <w:highlight w:val="none"/>
          <w:u w:val="single"/>
        </w:rPr>
        <w:t xml:space="preserve">工程所在地 </w:t>
      </w:r>
      <w:r>
        <w:rPr>
          <w:rStyle w:val="8"/>
          <w:rFonts w:ascii="宋体" w:hAnsi="宋体"/>
          <w:color w:val="auto"/>
          <w:kern w:val="2"/>
          <w:sz w:val="22"/>
          <w:szCs w:val="22"/>
          <w:highlight w:val="none"/>
          <w:u w:val="single"/>
        </w:rPr>
        <w:t xml:space="preserve">          </w:t>
      </w:r>
      <w:r>
        <w:rPr>
          <w:rStyle w:val="8"/>
          <w:rFonts w:ascii="宋体" w:hAnsi="宋体"/>
          <w:color w:val="auto"/>
          <w:kern w:val="2"/>
          <w:sz w:val="22"/>
          <w:szCs w:val="22"/>
          <w:highlight w:val="none"/>
        </w:rPr>
        <w:t>人民法院起诉。</w:t>
      </w:r>
      <w:bookmarkEnd w:id="1070"/>
      <w:bookmarkEnd w:id="1071"/>
      <w:bookmarkEnd w:id="1072"/>
      <w:bookmarkEnd w:id="1073"/>
      <w:bookmarkEnd w:id="1074"/>
      <w:bookmarkEnd w:id="1075"/>
    </w:p>
    <w:p w14:paraId="296D2C3B">
      <w:pPr>
        <w:spacing w:line="221" w:lineRule="auto"/>
        <w:rPr>
          <w:rFonts w:ascii="宋体" w:hAnsi="宋体" w:eastAsia="宋体" w:cs="宋体"/>
          <w:sz w:val="20"/>
          <w:szCs w:val="20"/>
        </w:rPr>
        <w:sectPr>
          <w:headerReference r:id="rId140" w:type="default"/>
          <w:footerReference r:id="rId141" w:type="default"/>
          <w:pgSz w:w="11905" w:h="16839"/>
          <w:pgMar w:top="400" w:right="1785" w:bottom="1004" w:left="1785" w:header="0" w:footer="828" w:gutter="0"/>
          <w:pgNumType w:fmt="decimal"/>
          <w:cols w:space="720" w:num="1"/>
        </w:sectPr>
      </w:pPr>
    </w:p>
    <w:p w14:paraId="2A86D358">
      <w:pPr>
        <w:pStyle w:val="3"/>
        <w:spacing w:line="269" w:lineRule="auto"/>
      </w:pPr>
    </w:p>
    <w:p w14:paraId="08E8F3FA">
      <w:pPr>
        <w:pStyle w:val="3"/>
        <w:spacing w:line="270" w:lineRule="auto"/>
      </w:pPr>
    </w:p>
    <w:p w14:paraId="541378D6">
      <w:pPr>
        <w:pStyle w:val="3"/>
        <w:spacing w:line="270" w:lineRule="auto"/>
      </w:pPr>
    </w:p>
    <w:p w14:paraId="1E8F3F9D">
      <w:pPr>
        <w:pStyle w:val="3"/>
        <w:spacing w:line="270" w:lineRule="auto"/>
      </w:pPr>
    </w:p>
    <w:p w14:paraId="47988049">
      <w:pPr>
        <w:pStyle w:val="3"/>
        <w:spacing w:line="270" w:lineRule="auto"/>
      </w:pPr>
    </w:p>
    <w:p w14:paraId="47F379DC">
      <w:pPr>
        <w:spacing w:before="87" w:line="227" w:lineRule="auto"/>
        <w:ind w:left="36"/>
        <w:rPr>
          <w:rFonts w:ascii="黑体" w:hAnsi="黑体" w:eastAsia="黑体" w:cs="黑体"/>
          <w:sz w:val="27"/>
          <w:szCs w:val="27"/>
        </w:rPr>
      </w:pPr>
      <w:r>
        <w:rPr>
          <w:rFonts w:ascii="黑体" w:hAnsi="黑体" w:eastAsia="黑体" w:cs="黑体"/>
          <w:spacing w:val="-2"/>
          <w:sz w:val="27"/>
          <w:szCs w:val="27"/>
          <w14:textOutline w14:w="5050" w14:cap="flat" w14:cmpd="sng">
            <w14:solidFill>
              <w14:srgbClr w14:val="000000"/>
            </w14:solidFill>
            <w14:prstDash w14:val="solid"/>
            <w14:miter w14:val="0"/>
          </w14:textOutline>
        </w:rPr>
        <w:t>附件</w:t>
      </w:r>
    </w:p>
    <w:p w14:paraId="57C11844">
      <w:pPr>
        <w:spacing w:before="128" w:line="220" w:lineRule="auto"/>
        <w:ind w:left="442"/>
        <w:rPr>
          <w:rFonts w:ascii="宋体" w:hAnsi="宋体" w:eastAsia="宋体" w:cs="宋体"/>
          <w:sz w:val="21"/>
          <w:szCs w:val="21"/>
        </w:rPr>
      </w:pPr>
      <w:r>
        <w:rPr>
          <w:rFonts w:ascii="宋体" w:hAnsi="宋体" w:eastAsia="宋体" w:cs="宋体"/>
          <w:spacing w:val="-1"/>
          <w:sz w:val="21"/>
          <w:szCs w:val="21"/>
        </w:rPr>
        <w:t>协议书附件：</w:t>
      </w:r>
    </w:p>
    <w:p w14:paraId="17A45637">
      <w:pPr>
        <w:spacing w:before="148" w:line="220" w:lineRule="auto"/>
        <w:ind w:left="457"/>
        <w:rPr>
          <w:rFonts w:ascii="宋体" w:hAnsi="宋体" w:eastAsia="宋体" w:cs="宋体"/>
          <w:sz w:val="21"/>
          <w:szCs w:val="21"/>
        </w:rPr>
      </w:pPr>
      <w:r>
        <w:rPr>
          <w:rFonts w:ascii="宋体" w:hAnsi="宋体" w:eastAsia="宋体" w:cs="宋体"/>
          <w:spacing w:val="-3"/>
          <w:sz w:val="21"/>
          <w:szCs w:val="21"/>
        </w:rPr>
        <w:t>附件</w:t>
      </w:r>
      <w:r>
        <w:rPr>
          <w:rFonts w:ascii="宋体" w:hAnsi="宋体" w:eastAsia="宋体" w:cs="宋体"/>
          <w:spacing w:val="-26"/>
          <w:sz w:val="21"/>
          <w:szCs w:val="21"/>
        </w:rPr>
        <w:t xml:space="preserve"> </w:t>
      </w:r>
      <w:r>
        <w:rPr>
          <w:rFonts w:ascii="Times New Roman" w:hAnsi="Times New Roman" w:eastAsia="Times New Roman" w:cs="Times New Roman"/>
          <w:spacing w:val="-3"/>
          <w:sz w:val="21"/>
          <w:szCs w:val="21"/>
        </w:rPr>
        <w:t>1</w:t>
      </w:r>
      <w:r>
        <w:rPr>
          <w:rFonts w:ascii="宋体" w:hAnsi="宋体" w:eastAsia="宋体" w:cs="宋体"/>
          <w:spacing w:val="-3"/>
          <w:sz w:val="21"/>
          <w:szCs w:val="21"/>
        </w:rPr>
        <w:t>：承包人承揽工程项目一览表</w:t>
      </w:r>
    </w:p>
    <w:p w14:paraId="7A680089">
      <w:pPr>
        <w:pStyle w:val="3"/>
      </w:pPr>
    </w:p>
    <w:p w14:paraId="68E0A553">
      <w:pPr>
        <w:pStyle w:val="3"/>
      </w:pPr>
    </w:p>
    <w:p w14:paraId="7A7F4E28">
      <w:pPr>
        <w:spacing w:before="68" w:line="220" w:lineRule="auto"/>
        <w:ind w:left="442"/>
        <w:rPr>
          <w:rFonts w:ascii="宋体" w:hAnsi="宋体" w:eastAsia="宋体" w:cs="宋体"/>
          <w:sz w:val="21"/>
          <w:szCs w:val="21"/>
        </w:rPr>
      </w:pPr>
      <w:r>
        <w:rPr>
          <w:rFonts w:ascii="宋体" w:hAnsi="宋体" w:eastAsia="宋体" w:cs="宋体"/>
          <w:spacing w:val="-5"/>
          <w:sz w:val="21"/>
          <w:szCs w:val="21"/>
        </w:rPr>
        <w:t>专用合同条款附件：</w:t>
      </w:r>
    </w:p>
    <w:p w14:paraId="37C0B639">
      <w:pPr>
        <w:spacing w:before="148" w:line="403" w:lineRule="exact"/>
        <w:ind w:left="457"/>
        <w:rPr>
          <w:rFonts w:ascii="宋体" w:hAnsi="宋体" w:eastAsia="宋体" w:cs="宋体"/>
          <w:sz w:val="21"/>
          <w:szCs w:val="21"/>
        </w:rPr>
      </w:pPr>
      <w:r>
        <w:rPr>
          <w:rFonts w:ascii="宋体" w:hAnsi="宋体" w:eastAsia="宋体" w:cs="宋体"/>
          <w:spacing w:val="-2"/>
          <w:position w:val="14"/>
          <w:sz w:val="21"/>
          <w:szCs w:val="21"/>
        </w:rPr>
        <w:t>附件</w:t>
      </w:r>
      <w:r>
        <w:rPr>
          <w:rFonts w:ascii="宋体" w:hAnsi="宋体" w:eastAsia="宋体" w:cs="宋体"/>
          <w:spacing w:val="-42"/>
          <w:position w:val="14"/>
          <w:sz w:val="21"/>
          <w:szCs w:val="21"/>
        </w:rPr>
        <w:t xml:space="preserve"> </w:t>
      </w:r>
      <w:r>
        <w:rPr>
          <w:rFonts w:ascii="Times New Roman" w:hAnsi="Times New Roman" w:eastAsia="Times New Roman" w:cs="Times New Roman"/>
          <w:spacing w:val="-2"/>
          <w:position w:val="14"/>
          <w:sz w:val="21"/>
          <w:szCs w:val="21"/>
        </w:rPr>
        <w:t>2</w:t>
      </w:r>
      <w:r>
        <w:rPr>
          <w:rFonts w:ascii="宋体" w:hAnsi="宋体" w:eastAsia="宋体" w:cs="宋体"/>
          <w:spacing w:val="-2"/>
          <w:position w:val="14"/>
          <w:sz w:val="21"/>
          <w:szCs w:val="21"/>
        </w:rPr>
        <w:t>：发包人供应材料设备一览表</w:t>
      </w:r>
    </w:p>
    <w:p w14:paraId="4C6C25B6">
      <w:pPr>
        <w:spacing w:before="1" w:line="219" w:lineRule="auto"/>
        <w:ind w:left="457"/>
        <w:rPr>
          <w:rFonts w:ascii="宋体" w:hAnsi="宋体" w:eastAsia="宋体" w:cs="宋体"/>
          <w:sz w:val="21"/>
          <w:szCs w:val="21"/>
        </w:rPr>
      </w:pPr>
      <w:r>
        <w:rPr>
          <w:rFonts w:ascii="宋体" w:hAnsi="宋体" w:eastAsia="宋体" w:cs="宋体"/>
          <w:spacing w:val="-4"/>
          <w:sz w:val="21"/>
          <w:szCs w:val="21"/>
        </w:rPr>
        <w:t>附件</w:t>
      </w:r>
      <w:r>
        <w:rPr>
          <w:rFonts w:ascii="宋体" w:hAnsi="宋体" w:eastAsia="宋体" w:cs="宋体"/>
          <w:spacing w:val="-37"/>
          <w:sz w:val="21"/>
          <w:szCs w:val="21"/>
        </w:rPr>
        <w:t xml:space="preserve"> </w:t>
      </w:r>
      <w:r>
        <w:rPr>
          <w:rFonts w:ascii="Times New Roman" w:hAnsi="Times New Roman" w:eastAsia="Times New Roman" w:cs="Times New Roman"/>
          <w:spacing w:val="-4"/>
          <w:sz w:val="21"/>
          <w:szCs w:val="21"/>
        </w:rPr>
        <w:t>3</w:t>
      </w:r>
      <w:r>
        <w:rPr>
          <w:rFonts w:ascii="宋体" w:hAnsi="宋体" w:eastAsia="宋体" w:cs="宋体"/>
          <w:spacing w:val="-4"/>
          <w:sz w:val="21"/>
          <w:szCs w:val="21"/>
        </w:rPr>
        <w:t>：工程质量保修书</w:t>
      </w:r>
    </w:p>
    <w:p w14:paraId="2AC4DA8C">
      <w:pPr>
        <w:spacing w:before="149" w:line="220" w:lineRule="auto"/>
        <w:ind w:left="457"/>
        <w:rPr>
          <w:rFonts w:ascii="宋体" w:hAnsi="宋体" w:eastAsia="宋体" w:cs="宋体"/>
          <w:sz w:val="21"/>
          <w:szCs w:val="21"/>
        </w:rPr>
      </w:pPr>
      <w:r>
        <w:rPr>
          <w:rFonts w:ascii="宋体" w:hAnsi="宋体" w:eastAsia="宋体" w:cs="宋体"/>
          <w:spacing w:val="-2"/>
          <w:sz w:val="21"/>
          <w:szCs w:val="21"/>
        </w:rPr>
        <w:t>附件</w:t>
      </w:r>
      <w:r>
        <w:rPr>
          <w:rFonts w:ascii="宋体" w:hAnsi="宋体" w:eastAsia="宋体" w:cs="宋体"/>
          <w:spacing w:val="-45"/>
          <w:sz w:val="21"/>
          <w:szCs w:val="21"/>
        </w:rPr>
        <w:t xml:space="preserve"> </w:t>
      </w:r>
      <w:r>
        <w:rPr>
          <w:rFonts w:ascii="Times New Roman" w:hAnsi="Times New Roman" w:eastAsia="Times New Roman" w:cs="Times New Roman"/>
          <w:spacing w:val="-2"/>
          <w:sz w:val="21"/>
          <w:szCs w:val="21"/>
        </w:rPr>
        <w:t>4</w:t>
      </w:r>
      <w:r>
        <w:rPr>
          <w:rFonts w:ascii="宋体" w:hAnsi="宋体" w:eastAsia="宋体" w:cs="宋体"/>
          <w:spacing w:val="-2"/>
          <w:sz w:val="21"/>
          <w:szCs w:val="21"/>
        </w:rPr>
        <w:t>：主要建设工程文件目录</w:t>
      </w:r>
    </w:p>
    <w:p w14:paraId="0376FF5F">
      <w:pPr>
        <w:spacing w:before="148" w:line="403" w:lineRule="exact"/>
        <w:ind w:left="457"/>
        <w:rPr>
          <w:rFonts w:ascii="宋体" w:hAnsi="宋体" w:eastAsia="宋体" w:cs="宋体"/>
          <w:sz w:val="21"/>
          <w:szCs w:val="21"/>
        </w:rPr>
      </w:pPr>
      <w:r>
        <w:rPr>
          <w:rFonts w:ascii="宋体" w:hAnsi="宋体" w:eastAsia="宋体" w:cs="宋体"/>
          <w:spacing w:val="-2"/>
          <w:position w:val="14"/>
          <w:sz w:val="21"/>
          <w:szCs w:val="21"/>
        </w:rPr>
        <w:t>附件</w:t>
      </w:r>
      <w:r>
        <w:rPr>
          <w:rFonts w:ascii="宋体" w:hAnsi="宋体" w:eastAsia="宋体" w:cs="宋体"/>
          <w:spacing w:val="-41"/>
          <w:position w:val="14"/>
          <w:sz w:val="21"/>
          <w:szCs w:val="21"/>
        </w:rPr>
        <w:t xml:space="preserve"> </w:t>
      </w:r>
      <w:r>
        <w:rPr>
          <w:rFonts w:ascii="Times New Roman" w:hAnsi="Times New Roman" w:eastAsia="Times New Roman" w:cs="Times New Roman"/>
          <w:spacing w:val="-2"/>
          <w:position w:val="14"/>
          <w:sz w:val="21"/>
          <w:szCs w:val="21"/>
        </w:rPr>
        <w:t>5</w:t>
      </w:r>
      <w:r>
        <w:rPr>
          <w:rFonts w:ascii="宋体" w:hAnsi="宋体" w:eastAsia="宋体" w:cs="宋体"/>
          <w:spacing w:val="-2"/>
          <w:position w:val="14"/>
          <w:sz w:val="21"/>
          <w:szCs w:val="21"/>
        </w:rPr>
        <w:t>：承包人用于本工程施工的机械设备表</w:t>
      </w:r>
    </w:p>
    <w:p w14:paraId="5BD09B53">
      <w:pPr>
        <w:spacing w:before="1" w:line="219" w:lineRule="auto"/>
        <w:ind w:left="457"/>
        <w:rPr>
          <w:rFonts w:ascii="宋体" w:hAnsi="宋体" w:eastAsia="宋体" w:cs="宋体"/>
          <w:sz w:val="21"/>
          <w:szCs w:val="21"/>
        </w:rPr>
      </w:pPr>
      <w:r>
        <w:rPr>
          <w:rFonts w:ascii="宋体" w:hAnsi="宋体" w:eastAsia="宋体" w:cs="宋体"/>
          <w:spacing w:val="-3"/>
          <w:sz w:val="21"/>
          <w:szCs w:val="21"/>
        </w:rPr>
        <w:t>附件</w:t>
      </w:r>
      <w:r>
        <w:rPr>
          <w:rFonts w:ascii="宋体" w:hAnsi="宋体" w:eastAsia="宋体" w:cs="宋体"/>
          <w:spacing w:val="-33"/>
          <w:sz w:val="21"/>
          <w:szCs w:val="21"/>
        </w:rPr>
        <w:t xml:space="preserve"> </w:t>
      </w:r>
      <w:r>
        <w:rPr>
          <w:rFonts w:ascii="Times New Roman" w:hAnsi="Times New Roman" w:eastAsia="Times New Roman" w:cs="Times New Roman"/>
          <w:spacing w:val="-3"/>
          <w:sz w:val="21"/>
          <w:szCs w:val="21"/>
        </w:rPr>
        <w:t>6</w:t>
      </w:r>
      <w:r>
        <w:rPr>
          <w:rFonts w:ascii="宋体" w:hAnsi="宋体" w:eastAsia="宋体" w:cs="宋体"/>
          <w:spacing w:val="-3"/>
          <w:sz w:val="21"/>
          <w:szCs w:val="21"/>
        </w:rPr>
        <w:t>：承包人主要施工管理人员表</w:t>
      </w:r>
    </w:p>
    <w:p w14:paraId="33060FB3">
      <w:pPr>
        <w:spacing w:before="148" w:line="220" w:lineRule="auto"/>
        <w:ind w:left="457"/>
        <w:rPr>
          <w:rFonts w:ascii="宋体" w:hAnsi="宋体" w:eastAsia="宋体" w:cs="宋体"/>
          <w:sz w:val="21"/>
          <w:szCs w:val="21"/>
        </w:rPr>
      </w:pPr>
      <w:r>
        <w:rPr>
          <w:rFonts w:ascii="宋体" w:hAnsi="宋体" w:eastAsia="宋体" w:cs="宋体"/>
          <w:spacing w:val="-3"/>
          <w:sz w:val="21"/>
          <w:szCs w:val="21"/>
        </w:rPr>
        <w:t>附件</w:t>
      </w:r>
      <w:r>
        <w:rPr>
          <w:rFonts w:ascii="宋体" w:hAnsi="宋体" w:eastAsia="宋体" w:cs="宋体"/>
          <w:spacing w:val="-33"/>
          <w:sz w:val="21"/>
          <w:szCs w:val="21"/>
        </w:rPr>
        <w:t xml:space="preserve"> </w:t>
      </w:r>
      <w:r>
        <w:rPr>
          <w:rFonts w:ascii="Times New Roman" w:hAnsi="Times New Roman" w:eastAsia="Times New Roman" w:cs="Times New Roman"/>
          <w:spacing w:val="-3"/>
          <w:sz w:val="21"/>
          <w:szCs w:val="21"/>
        </w:rPr>
        <w:t>7</w:t>
      </w:r>
      <w:r>
        <w:rPr>
          <w:rFonts w:ascii="宋体" w:hAnsi="宋体" w:eastAsia="宋体" w:cs="宋体"/>
          <w:spacing w:val="-3"/>
          <w:sz w:val="21"/>
          <w:szCs w:val="21"/>
        </w:rPr>
        <w:t>：分包人主要施工管理人员表</w:t>
      </w:r>
    </w:p>
    <w:p w14:paraId="37FCD5C4">
      <w:pPr>
        <w:spacing w:before="149" w:line="220" w:lineRule="auto"/>
        <w:ind w:left="457"/>
        <w:rPr>
          <w:rFonts w:ascii="宋体" w:hAnsi="宋体" w:eastAsia="宋体" w:cs="宋体"/>
          <w:sz w:val="21"/>
          <w:szCs w:val="21"/>
        </w:rPr>
      </w:pPr>
      <w:r>
        <w:rPr>
          <w:rFonts w:ascii="宋体" w:hAnsi="宋体" w:eastAsia="宋体" w:cs="宋体"/>
          <w:spacing w:val="-4"/>
          <w:sz w:val="21"/>
          <w:szCs w:val="21"/>
        </w:rPr>
        <w:t>附件</w:t>
      </w:r>
      <w:r>
        <w:rPr>
          <w:rFonts w:ascii="宋体" w:hAnsi="宋体" w:eastAsia="宋体" w:cs="宋体"/>
          <w:spacing w:val="-33"/>
          <w:sz w:val="21"/>
          <w:szCs w:val="21"/>
        </w:rPr>
        <w:t xml:space="preserve"> </w:t>
      </w:r>
      <w:r>
        <w:rPr>
          <w:rFonts w:ascii="Times New Roman" w:hAnsi="Times New Roman" w:eastAsia="Times New Roman" w:cs="Times New Roman"/>
          <w:spacing w:val="-4"/>
          <w:sz w:val="21"/>
          <w:szCs w:val="21"/>
        </w:rPr>
        <w:t>8</w:t>
      </w:r>
      <w:r>
        <w:rPr>
          <w:rFonts w:ascii="宋体" w:hAnsi="宋体" w:eastAsia="宋体" w:cs="宋体"/>
          <w:spacing w:val="-4"/>
          <w:sz w:val="21"/>
          <w:szCs w:val="21"/>
        </w:rPr>
        <w:t>：履约担保格式</w:t>
      </w:r>
    </w:p>
    <w:p w14:paraId="3EA0AA28">
      <w:pPr>
        <w:spacing w:before="153" w:line="398" w:lineRule="exact"/>
        <w:ind w:left="457"/>
        <w:rPr>
          <w:rFonts w:ascii="宋体" w:hAnsi="宋体" w:eastAsia="宋体" w:cs="宋体"/>
          <w:sz w:val="21"/>
          <w:szCs w:val="21"/>
        </w:rPr>
      </w:pPr>
      <w:r>
        <w:rPr>
          <w:rFonts w:ascii="宋体" w:hAnsi="宋体" w:eastAsia="宋体" w:cs="宋体"/>
          <w:spacing w:val="-4"/>
          <w:position w:val="14"/>
          <w:sz w:val="21"/>
          <w:szCs w:val="21"/>
        </w:rPr>
        <w:t>附件</w:t>
      </w:r>
      <w:r>
        <w:rPr>
          <w:rFonts w:ascii="宋体" w:hAnsi="宋体" w:eastAsia="宋体" w:cs="宋体"/>
          <w:spacing w:val="-34"/>
          <w:position w:val="14"/>
          <w:sz w:val="21"/>
          <w:szCs w:val="21"/>
        </w:rPr>
        <w:t xml:space="preserve"> </w:t>
      </w:r>
      <w:r>
        <w:rPr>
          <w:rFonts w:ascii="Times New Roman" w:hAnsi="Times New Roman" w:eastAsia="Times New Roman" w:cs="Times New Roman"/>
          <w:spacing w:val="-4"/>
          <w:position w:val="14"/>
          <w:sz w:val="21"/>
          <w:szCs w:val="21"/>
        </w:rPr>
        <w:t>9</w:t>
      </w:r>
      <w:r>
        <w:rPr>
          <w:rFonts w:ascii="宋体" w:hAnsi="宋体" w:eastAsia="宋体" w:cs="宋体"/>
          <w:spacing w:val="-4"/>
          <w:position w:val="14"/>
          <w:sz w:val="21"/>
          <w:szCs w:val="21"/>
        </w:rPr>
        <w:t>：预付款担保格式</w:t>
      </w:r>
    </w:p>
    <w:p w14:paraId="2D38A6FD">
      <w:pPr>
        <w:spacing w:before="1" w:line="219" w:lineRule="auto"/>
        <w:ind w:left="457"/>
        <w:rPr>
          <w:rFonts w:ascii="宋体" w:hAnsi="宋体" w:eastAsia="宋体" w:cs="宋体"/>
          <w:sz w:val="21"/>
          <w:szCs w:val="21"/>
        </w:rPr>
      </w:pPr>
      <w:r>
        <w:rPr>
          <w:rFonts w:ascii="宋体" w:hAnsi="宋体" w:eastAsia="宋体" w:cs="宋体"/>
          <w:spacing w:val="-4"/>
          <w:sz w:val="21"/>
          <w:szCs w:val="21"/>
        </w:rPr>
        <w:t>附件</w:t>
      </w:r>
      <w:r>
        <w:rPr>
          <w:rFonts w:ascii="宋体" w:hAnsi="宋体" w:eastAsia="宋体" w:cs="宋体"/>
          <w:spacing w:val="-28"/>
          <w:sz w:val="21"/>
          <w:szCs w:val="21"/>
        </w:rPr>
        <w:t xml:space="preserve"> </w:t>
      </w:r>
      <w:r>
        <w:rPr>
          <w:rFonts w:ascii="Times New Roman" w:hAnsi="Times New Roman" w:eastAsia="Times New Roman" w:cs="Times New Roman"/>
          <w:spacing w:val="-4"/>
          <w:sz w:val="21"/>
          <w:szCs w:val="21"/>
        </w:rPr>
        <w:t>10</w:t>
      </w:r>
      <w:r>
        <w:rPr>
          <w:rFonts w:ascii="宋体" w:hAnsi="宋体" w:eastAsia="宋体" w:cs="宋体"/>
          <w:spacing w:val="-4"/>
          <w:sz w:val="21"/>
          <w:szCs w:val="21"/>
        </w:rPr>
        <w:t>：支付担保格式</w:t>
      </w:r>
    </w:p>
    <w:p w14:paraId="7A6E0D79">
      <w:pPr>
        <w:spacing w:before="149" w:line="219" w:lineRule="auto"/>
        <w:ind w:left="457"/>
        <w:rPr>
          <w:rFonts w:ascii="宋体" w:hAnsi="宋体" w:eastAsia="宋体" w:cs="宋体"/>
          <w:sz w:val="21"/>
          <w:szCs w:val="21"/>
        </w:rPr>
      </w:pPr>
      <w:r>
        <w:rPr>
          <w:rFonts w:ascii="宋体" w:hAnsi="宋体" w:eastAsia="宋体" w:cs="宋体"/>
          <w:spacing w:val="-5"/>
          <w:sz w:val="21"/>
          <w:szCs w:val="21"/>
        </w:rPr>
        <w:t>附件</w:t>
      </w:r>
      <w:r>
        <w:rPr>
          <w:rFonts w:ascii="宋体" w:hAnsi="宋体" w:eastAsia="宋体" w:cs="宋体"/>
          <w:spacing w:val="-26"/>
          <w:sz w:val="21"/>
          <w:szCs w:val="21"/>
        </w:rPr>
        <w:t xml:space="preserve"> </w:t>
      </w:r>
      <w:r>
        <w:rPr>
          <w:rFonts w:ascii="Times New Roman" w:hAnsi="Times New Roman" w:eastAsia="Times New Roman" w:cs="Times New Roman"/>
          <w:spacing w:val="-5"/>
          <w:sz w:val="21"/>
          <w:szCs w:val="21"/>
        </w:rPr>
        <w:t>11</w:t>
      </w:r>
      <w:r>
        <w:rPr>
          <w:rFonts w:ascii="宋体" w:hAnsi="宋体" w:eastAsia="宋体" w:cs="宋体"/>
          <w:spacing w:val="-5"/>
          <w:sz w:val="21"/>
          <w:szCs w:val="21"/>
        </w:rPr>
        <w:t>：暂估价一览表</w:t>
      </w:r>
    </w:p>
    <w:p w14:paraId="7911B4A5">
      <w:pPr>
        <w:spacing w:line="219" w:lineRule="auto"/>
        <w:rPr>
          <w:rFonts w:ascii="宋体" w:hAnsi="宋体" w:eastAsia="宋体" w:cs="宋体"/>
          <w:sz w:val="21"/>
          <w:szCs w:val="21"/>
        </w:rPr>
        <w:sectPr>
          <w:footerReference r:id="rId142" w:type="default"/>
          <w:pgSz w:w="11905" w:h="16839"/>
          <w:pgMar w:top="400" w:right="1785" w:bottom="1004" w:left="1785" w:header="0" w:footer="828" w:gutter="0"/>
          <w:pgNumType w:fmt="decimal"/>
          <w:cols w:space="720" w:num="1"/>
        </w:sectPr>
      </w:pPr>
    </w:p>
    <w:p w14:paraId="7F58C0E0">
      <w:pPr>
        <w:pStyle w:val="3"/>
        <w:spacing w:line="276" w:lineRule="auto"/>
      </w:pPr>
    </w:p>
    <w:p w14:paraId="65B7C62F">
      <w:pPr>
        <w:pStyle w:val="3"/>
        <w:spacing w:line="276" w:lineRule="auto"/>
      </w:pPr>
    </w:p>
    <w:p w14:paraId="4FA67DE2">
      <w:pPr>
        <w:pStyle w:val="3"/>
        <w:spacing w:line="276" w:lineRule="auto"/>
      </w:pPr>
    </w:p>
    <w:p w14:paraId="549007FB">
      <w:pPr>
        <w:pStyle w:val="3"/>
        <w:spacing w:line="276" w:lineRule="auto"/>
      </w:pPr>
    </w:p>
    <w:p w14:paraId="3F08372C">
      <w:pPr>
        <w:spacing w:before="78" w:line="219" w:lineRule="auto"/>
        <w:ind w:left="38"/>
        <w:rPr>
          <w:rFonts w:ascii="宋体" w:hAnsi="宋体" w:eastAsia="宋体" w:cs="宋体"/>
          <w:sz w:val="24"/>
          <w:szCs w:val="24"/>
        </w:rPr>
      </w:pPr>
      <w:r>
        <w:rPr>
          <w:rFonts w:ascii="宋体" w:hAnsi="宋体" w:eastAsia="宋体" w:cs="宋体"/>
          <w:spacing w:val="-15"/>
          <w:sz w:val="24"/>
          <w:szCs w:val="24"/>
        </w:rPr>
        <w:t>附件</w:t>
      </w:r>
      <w:r>
        <w:rPr>
          <w:rFonts w:ascii="宋体" w:hAnsi="宋体" w:eastAsia="宋体" w:cs="宋体"/>
          <w:spacing w:val="-31"/>
          <w:sz w:val="24"/>
          <w:szCs w:val="24"/>
        </w:rPr>
        <w:t xml:space="preserve"> </w:t>
      </w:r>
      <w:r>
        <w:rPr>
          <w:rFonts w:ascii="Times New Roman" w:hAnsi="Times New Roman" w:eastAsia="Times New Roman" w:cs="Times New Roman"/>
          <w:spacing w:val="-15"/>
          <w:sz w:val="24"/>
          <w:szCs w:val="24"/>
        </w:rPr>
        <w:t>1</w:t>
      </w:r>
      <w:r>
        <w:rPr>
          <w:rFonts w:ascii="宋体" w:hAnsi="宋体" w:eastAsia="宋体" w:cs="宋体"/>
          <w:spacing w:val="-15"/>
          <w:sz w:val="24"/>
          <w:szCs w:val="24"/>
        </w:rPr>
        <w:t>：</w:t>
      </w:r>
    </w:p>
    <w:p w14:paraId="478DB4BA">
      <w:pPr>
        <w:spacing w:before="243" w:line="225" w:lineRule="auto"/>
        <w:ind w:left="2497"/>
        <w:rPr>
          <w:rFonts w:ascii="黑体" w:hAnsi="黑体" w:eastAsia="黑体" w:cs="黑体"/>
          <w:sz w:val="27"/>
          <w:szCs w:val="27"/>
        </w:rPr>
      </w:pPr>
      <w:r>
        <w:rPr>
          <w:rFonts w:ascii="黑体" w:hAnsi="黑体" w:eastAsia="黑体" w:cs="黑体"/>
          <w:spacing w:val="8"/>
          <w:sz w:val="27"/>
          <w:szCs w:val="27"/>
        </w:rPr>
        <w:t>承包人承揽工程项目一览表</w:t>
      </w:r>
    </w:p>
    <w:p w14:paraId="303304CA">
      <w:pPr>
        <w:spacing w:line="112" w:lineRule="exact"/>
      </w:pPr>
    </w:p>
    <w:tbl>
      <w:tblPr>
        <w:tblStyle w:val="10"/>
        <w:tblW w:w="8291" w:type="dxa"/>
        <w:tblInd w:w="2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568"/>
        <w:gridCol w:w="708"/>
        <w:gridCol w:w="1106"/>
        <w:gridCol w:w="732"/>
        <w:gridCol w:w="565"/>
        <w:gridCol w:w="838"/>
        <w:gridCol w:w="776"/>
        <w:gridCol w:w="938"/>
        <w:gridCol w:w="522"/>
        <w:gridCol w:w="538"/>
      </w:tblGrid>
      <w:tr w14:paraId="38755A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68" w:hRule="atLeast"/>
        </w:trPr>
        <w:tc>
          <w:tcPr>
            <w:tcW w:w="1568" w:type="dxa"/>
            <w:tcBorders>
              <w:top w:val="single" w:color="000000" w:sz="10" w:space="0"/>
              <w:left w:val="single" w:color="000000" w:sz="10" w:space="0"/>
            </w:tcBorders>
            <w:vAlign w:val="top"/>
          </w:tcPr>
          <w:p w14:paraId="5F9312A9">
            <w:pPr>
              <w:spacing w:line="274" w:lineRule="auto"/>
              <w:rPr>
                <w:rFonts w:ascii="Arial"/>
                <w:sz w:val="21"/>
              </w:rPr>
            </w:pPr>
          </w:p>
          <w:p w14:paraId="3D093CD4">
            <w:pPr>
              <w:spacing w:line="274" w:lineRule="auto"/>
              <w:rPr>
                <w:rFonts w:ascii="Arial"/>
                <w:sz w:val="21"/>
              </w:rPr>
            </w:pPr>
          </w:p>
          <w:p w14:paraId="7F47FC60">
            <w:pPr>
              <w:pStyle w:val="11"/>
              <w:spacing w:before="68" w:line="442" w:lineRule="exact"/>
              <w:ind w:left="359"/>
            </w:pPr>
            <w:r>
              <w:rPr>
                <w:spacing w:val="-1"/>
                <w:position w:val="17"/>
              </w:rPr>
              <w:t>单位工程</w:t>
            </w:r>
          </w:p>
          <w:p w14:paraId="47376D46">
            <w:pPr>
              <w:pStyle w:val="11"/>
              <w:spacing w:line="222" w:lineRule="auto"/>
              <w:ind w:left="571"/>
            </w:pPr>
            <w:r>
              <w:rPr>
                <w:spacing w:val="-3"/>
              </w:rPr>
              <w:t>名称</w:t>
            </w:r>
          </w:p>
        </w:tc>
        <w:tc>
          <w:tcPr>
            <w:tcW w:w="708" w:type="dxa"/>
            <w:tcBorders>
              <w:top w:val="single" w:color="000000" w:sz="10" w:space="0"/>
            </w:tcBorders>
            <w:vAlign w:val="top"/>
          </w:tcPr>
          <w:p w14:paraId="56AFAF72">
            <w:pPr>
              <w:spacing w:line="274" w:lineRule="auto"/>
              <w:rPr>
                <w:rFonts w:ascii="Arial"/>
                <w:sz w:val="21"/>
              </w:rPr>
            </w:pPr>
          </w:p>
          <w:p w14:paraId="2CE80A29">
            <w:pPr>
              <w:spacing w:line="274" w:lineRule="auto"/>
              <w:rPr>
                <w:rFonts w:ascii="Arial"/>
                <w:sz w:val="21"/>
              </w:rPr>
            </w:pPr>
          </w:p>
          <w:p w14:paraId="0987F7E3">
            <w:pPr>
              <w:pStyle w:val="11"/>
              <w:spacing w:before="68" w:line="442" w:lineRule="exact"/>
              <w:ind w:left="144"/>
            </w:pPr>
            <w:r>
              <w:rPr>
                <w:spacing w:val="-3"/>
                <w:position w:val="17"/>
              </w:rPr>
              <w:t>建设</w:t>
            </w:r>
          </w:p>
          <w:p w14:paraId="4B86E325">
            <w:pPr>
              <w:pStyle w:val="11"/>
              <w:spacing w:line="220" w:lineRule="auto"/>
              <w:ind w:left="142"/>
            </w:pPr>
            <w:r>
              <w:rPr>
                <w:spacing w:val="-2"/>
              </w:rPr>
              <w:t>规模</w:t>
            </w:r>
          </w:p>
        </w:tc>
        <w:tc>
          <w:tcPr>
            <w:tcW w:w="1106" w:type="dxa"/>
            <w:tcBorders>
              <w:top w:val="single" w:color="000000" w:sz="10" w:space="0"/>
            </w:tcBorders>
            <w:vAlign w:val="top"/>
          </w:tcPr>
          <w:p w14:paraId="7178636D">
            <w:pPr>
              <w:spacing w:line="329" w:lineRule="auto"/>
              <w:rPr>
                <w:rFonts w:ascii="Arial"/>
                <w:sz w:val="21"/>
              </w:rPr>
            </w:pPr>
          </w:p>
          <w:p w14:paraId="4585C7C1">
            <w:pPr>
              <w:pStyle w:val="11"/>
              <w:spacing w:before="68" w:line="221" w:lineRule="auto"/>
              <w:ind w:left="137"/>
            </w:pPr>
            <w:r>
              <w:rPr>
                <w:spacing w:val="-2"/>
              </w:rPr>
              <w:t>建筑面积</w:t>
            </w:r>
          </w:p>
          <w:p w14:paraId="0CB87E1C">
            <w:pPr>
              <w:pStyle w:val="11"/>
              <w:spacing w:before="189" w:line="437" w:lineRule="exact"/>
              <w:ind w:left="247"/>
            </w:pPr>
            <w:r>
              <w:rPr>
                <w:spacing w:val="-4"/>
                <w:position w:val="17"/>
              </w:rPr>
              <w:t>（平方</w:t>
            </w:r>
          </w:p>
          <w:p w14:paraId="1133466A">
            <w:pPr>
              <w:pStyle w:val="11"/>
              <w:spacing w:line="220" w:lineRule="auto"/>
              <w:ind w:left="346"/>
            </w:pPr>
            <w:r>
              <w:rPr>
                <w:spacing w:val="-4"/>
              </w:rPr>
              <w:t>米）</w:t>
            </w:r>
          </w:p>
        </w:tc>
        <w:tc>
          <w:tcPr>
            <w:tcW w:w="732" w:type="dxa"/>
            <w:tcBorders>
              <w:top w:val="single" w:color="000000" w:sz="10" w:space="0"/>
            </w:tcBorders>
            <w:vAlign w:val="top"/>
          </w:tcPr>
          <w:p w14:paraId="7F20830A">
            <w:pPr>
              <w:spacing w:line="274" w:lineRule="auto"/>
              <w:rPr>
                <w:rFonts w:ascii="Arial"/>
                <w:sz w:val="21"/>
              </w:rPr>
            </w:pPr>
          </w:p>
          <w:p w14:paraId="4A250008">
            <w:pPr>
              <w:spacing w:line="274" w:lineRule="auto"/>
              <w:rPr>
                <w:rFonts w:ascii="Arial"/>
                <w:sz w:val="21"/>
              </w:rPr>
            </w:pPr>
          </w:p>
          <w:p w14:paraId="60D3124C">
            <w:pPr>
              <w:pStyle w:val="11"/>
              <w:spacing w:before="68" w:line="442" w:lineRule="exact"/>
              <w:ind w:left="167"/>
            </w:pPr>
            <w:r>
              <w:rPr>
                <w:spacing w:val="-3"/>
                <w:position w:val="17"/>
              </w:rPr>
              <w:t>结构</w:t>
            </w:r>
          </w:p>
          <w:p w14:paraId="5288A8AA">
            <w:pPr>
              <w:pStyle w:val="11"/>
              <w:spacing w:line="222" w:lineRule="auto"/>
              <w:ind w:left="164"/>
            </w:pPr>
            <w:r>
              <w:rPr>
                <w:spacing w:val="-3"/>
              </w:rPr>
              <w:t>形式</w:t>
            </w:r>
          </w:p>
        </w:tc>
        <w:tc>
          <w:tcPr>
            <w:tcW w:w="565" w:type="dxa"/>
            <w:tcBorders>
              <w:top w:val="single" w:color="000000" w:sz="10" w:space="0"/>
            </w:tcBorders>
            <w:textDirection w:val="tbRlV"/>
            <w:vAlign w:val="top"/>
          </w:tcPr>
          <w:p w14:paraId="46B84440">
            <w:pPr>
              <w:pStyle w:val="11"/>
              <w:spacing w:before="167" w:line="209" w:lineRule="auto"/>
              <w:ind w:left="619"/>
            </w:pPr>
            <w:r>
              <w:rPr>
                <w:spacing w:val="1"/>
              </w:rPr>
              <w:t>层</w:t>
            </w:r>
            <w:r>
              <w:rPr>
                <w:spacing w:val="10"/>
              </w:rPr>
              <w:t xml:space="preserve">  </w:t>
            </w:r>
            <w:r>
              <w:rPr>
                <w:spacing w:val="1"/>
              </w:rPr>
              <w:t>数</w:t>
            </w:r>
          </w:p>
        </w:tc>
        <w:tc>
          <w:tcPr>
            <w:tcW w:w="838" w:type="dxa"/>
            <w:tcBorders>
              <w:top w:val="single" w:color="000000" w:sz="10" w:space="0"/>
            </w:tcBorders>
            <w:vAlign w:val="top"/>
          </w:tcPr>
          <w:p w14:paraId="2D716BA0">
            <w:pPr>
              <w:spacing w:line="274" w:lineRule="auto"/>
              <w:rPr>
                <w:rFonts w:ascii="Arial"/>
                <w:sz w:val="21"/>
              </w:rPr>
            </w:pPr>
          </w:p>
          <w:p w14:paraId="5ED18174">
            <w:pPr>
              <w:spacing w:line="274" w:lineRule="auto"/>
              <w:rPr>
                <w:rFonts w:ascii="Arial"/>
                <w:sz w:val="21"/>
              </w:rPr>
            </w:pPr>
          </w:p>
          <w:p w14:paraId="5F3BEF5B">
            <w:pPr>
              <w:pStyle w:val="11"/>
              <w:spacing w:before="68" w:line="442" w:lineRule="exact"/>
              <w:ind w:left="220"/>
            </w:pPr>
            <w:r>
              <w:rPr>
                <w:spacing w:val="-2"/>
                <w:position w:val="17"/>
              </w:rPr>
              <w:t>生产</w:t>
            </w:r>
          </w:p>
          <w:p w14:paraId="0BEE1D16">
            <w:pPr>
              <w:pStyle w:val="11"/>
              <w:spacing w:line="220" w:lineRule="auto"/>
              <w:ind w:left="227"/>
            </w:pPr>
            <w:r>
              <w:rPr>
                <w:spacing w:val="-4"/>
              </w:rPr>
              <w:t>能力</w:t>
            </w:r>
          </w:p>
        </w:tc>
        <w:tc>
          <w:tcPr>
            <w:tcW w:w="776" w:type="dxa"/>
            <w:tcBorders>
              <w:top w:val="single" w:color="000000" w:sz="10" w:space="0"/>
            </w:tcBorders>
            <w:vAlign w:val="top"/>
          </w:tcPr>
          <w:p w14:paraId="13824CBC">
            <w:pPr>
              <w:spacing w:line="328" w:lineRule="auto"/>
              <w:rPr>
                <w:rFonts w:ascii="Arial"/>
                <w:sz w:val="21"/>
              </w:rPr>
            </w:pPr>
          </w:p>
          <w:p w14:paraId="21CBED22">
            <w:pPr>
              <w:pStyle w:val="11"/>
              <w:spacing w:before="68" w:line="442" w:lineRule="exact"/>
              <w:ind w:left="196"/>
            </w:pPr>
            <w:r>
              <w:rPr>
                <w:spacing w:val="-3"/>
                <w:position w:val="17"/>
              </w:rPr>
              <w:t>设备</w:t>
            </w:r>
          </w:p>
          <w:p w14:paraId="1141CE44">
            <w:pPr>
              <w:pStyle w:val="11"/>
              <w:spacing w:line="221" w:lineRule="auto"/>
              <w:ind w:left="197"/>
            </w:pPr>
            <w:r>
              <w:rPr>
                <w:spacing w:val="-3"/>
              </w:rPr>
              <w:t>安装</w:t>
            </w:r>
          </w:p>
          <w:p w14:paraId="25A96F40">
            <w:pPr>
              <w:pStyle w:val="11"/>
              <w:spacing w:before="184" w:line="221" w:lineRule="auto"/>
              <w:ind w:left="218"/>
            </w:pPr>
            <w:r>
              <w:rPr>
                <w:spacing w:val="-8"/>
              </w:rPr>
              <w:t>内容</w:t>
            </w:r>
          </w:p>
        </w:tc>
        <w:tc>
          <w:tcPr>
            <w:tcW w:w="938" w:type="dxa"/>
            <w:tcBorders>
              <w:top w:val="single" w:color="000000" w:sz="10" w:space="0"/>
            </w:tcBorders>
            <w:vAlign w:val="top"/>
          </w:tcPr>
          <w:p w14:paraId="6CA69648">
            <w:pPr>
              <w:spacing w:line="328" w:lineRule="auto"/>
              <w:rPr>
                <w:rFonts w:ascii="Arial"/>
                <w:sz w:val="21"/>
              </w:rPr>
            </w:pPr>
          </w:p>
          <w:p w14:paraId="1C098712">
            <w:pPr>
              <w:pStyle w:val="11"/>
              <w:spacing w:before="68" w:line="442" w:lineRule="exact"/>
              <w:ind w:left="171"/>
            </w:pPr>
            <w:r>
              <w:rPr>
                <w:spacing w:val="-2"/>
                <w:position w:val="17"/>
              </w:rPr>
              <w:t>合同价</w:t>
            </w:r>
          </w:p>
          <w:p w14:paraId="20205732">
            <w:pPr>
              <w:pStyle w:val="11"/>
              <w:spacing w:line="220" w:lineRule="auto"/>
              <w:ind w:left="382"/>
            </w:pPr>
            <w:r>
              <w:t>格</w:t>
            </w:r>
          </w:p>
          <w:p w14:paraId="2B1EB09A">
            <w:pPr>
              <w:pStyle w:val="11"/>
              <w:spacing w:before="186" w:line="221" w:lineRule="auto"/>
              <w:ind w:left="177"/>
            </w:pPr>
            <w:r>
              <w:rPr>
                <w:spacing w:val="-6"/>
              </w:rPr>
              <w:t>（元）</w:t>
            </w:r>
          </w:p>
        </w:tc>
        <w:tc>
          <w:tcPr>
            <w:tcW w:w="522" w:type="dxa"/>
            <w:tcBorders>
              <w:top w:val="single" w:color="000000" w:sz="10" w:space="0"/>
            </w:tcBorders>
            <w:textDirection w:val="tbRlV"/>
            <w:vAlign w:val="top"/>
          </w:tcPr>
          <w:p w14:paraId="5DB2A760">
            <w:pPr>
              <w:pStyle w:val="11"/>
              <w:spacing w:before="135" w:line="200" w:lineRule="auto"/>
              <w:ind w:left="178"/>
            </w:pPr>
            <w:r>
              <w:rPr>
                <w:spacing w:val="1"/>
              </w:rPr>
              <w:t>开</w:t>
            </w:r>
            <w:r>
              <w:rPr>
                <w:spacing w:val="10"/>
              </w:rPr>
              <w:t xml:space="preserve">  </w:t>
            </w:r>
            <w:r>
              <w:rPr>
                <w:spacing w:val="1"/>
              </w:rPr>
              <w:t>工</w:t>
            </w:r>
            <w:r>
              <w:rPr>
                <w:spacing w:val="10"/>
              </w:rPr>
              <w:t xml:space="preserve">  </w:t>
            </w:r>
            <w:r>
              <w:rPr>
                <w:spacing w:val="1"/>
                <w:position w:val="1"/>
              </w:rPr>
              <w:t>日</w:t>
            </w:r>
            <w:r>
              <w:rPr>
                <w:spacing w:val="8"/>
                <w:position w:val="1"/>
              </w:rPr>
              <w:t xml:space="preserve">  </w:t>
            </w:r>
            <w:r>
              <w:rPr>
                <w:spacing w:val="1"/>
              </w:rPr>
              <w:t>期</w:t>
            </w:r>
          </w:p>
        </w:tc>
        <w:tc>
          <w:tcPr>
            <w:tcW w:w="538" w:type="dxa"/>
            <w:tcBorders>
              <w:top w:val="single" w:color="000000" w:sz="10" w:space="0"/>
              <w:right w:val="single" w:color="000000" w:sz="10" w:space="0"/>
            </w:tcBorders>
            <w:textDirection w:val="tbRlV"/>
            <w:vAlign w:val="top"/>
          </w:tcPr>
          <w:p w14:paraId="093741F8">
            <w:pPr>
              <w:pStyle w:val="11"/>
              <w:spacing w:before="146" w:line="200" w:lineRule="auto"/>
              <w:ind w:left="178"/>
            </w:pPr>
            <w:r>
              <w:rPr>
                <w:spacing w:val="1"/>
              </w:rPr>
              <w:t>竣</w:t>
            </w:r>
            <w:r>
              <w:rPr>
                <w:spacing w:val="10"/>
              </w:rPr>
              <w:t xml:space="preserve">  </w:t>
            </w:r>
            <w:r>
              <w:rPr>
                <w:spacing w:val="1"/>
              </w:rPr>
              <w:t>工</w:t>
            </w:r>
            <w:r>
              <w:rPr>
                <w:spacing w:val="10"/>
              </w:rPr>
              <w:t xml:space="preserve">  </w:t>
            </w:r>
            <w:r>
              <w:rPr>
                <w:spacing w:val="1"/>
                <w:position w:val="1"/>
              </w:rPr>
              <w:t>日</w:t>
            </w:r>
            <w:r>
              <w:rPr>
                <w:spacing w:val="8"/>
                <w:position w:val="1"/>
              </w:rPr>
              <w:t xml:space="preserve">  </w:t>
            </w:r>
            <w:r>
              <w:rPr>
                <w:spacing w:val="1"/>
              </w:rPr>
              <w:t>期</w:t>
            </w:r>
          </w:p>
        </w:tc>
      </w:tr>
      <w:tr w14:paraId="06E89C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3" w:hRule="atLeast"/>
        </w:trPr>
        <w:tc>
          <w:tcPr>
            <w:tcW w:w="1568" w:type="dxa"/>
            <w:tcBorders>
              <w:left w:val="single" w:color="000000" w:sz="10" w:space="0"/>
            </w:tcBorders>
            <w:vAlign w:val="top"/>
          </w:tcPr>
          <w:p w14:paraId="7777E83D">
            <w:pPr>
              <w:rPr>
                <w:rFonts w:ascii="Arial"/>
                <w:sz w:val="21"/>
              </w:rPr>
            </w:pPr>
            <w:r>
              <w:pict>
                <v:rect id="_x0000_s1033" o:spid="_x0000_s1033" o:spt="1" style="position:absolute;left:0pt;margin-left:0.85pt;margin-top:1.3pt;height:0.75pt;width:76.85pt;mso-position-horizontal-relative:page;mso-position-vertical-relative:page;z-index:251681792;mso-width-relative:page;mso-height-relative:page;" fillcolor="#000000" filled="t" stroked="f" coordsize="21600,21600">
                  <v:path/>
                  <v:fill on="t" focussize="0,0"/>
                  <v:stroke on="f"/>
                  <v:imagedata o:title=""/>
                  <o:lock v:ext="edit"/>
                </v:rect>
              </w:pict>
            </w:r>
          </w:p>
        </w:tc>
        <w:tc>
          <w:tcPr>
            <w:tcW w:w="708" w:type="dxa"/>
            <w:vAlign w:val="top"/>
          </w:tcPr>
          <w:p w14:paraId="2838A20D">
            <w:pPr>
              <w:rPr>
                <w:rFonts w:ascii="Arial"/>
                <w:sz w:val="21"/>
              </w:rPr>
            </w:pPr>
            <w:r>
              <w:pict>
                <v:shape id="_x0000_s1034" o:spid="_x0000_s1034" style="position:absolute;left:0pt;margin-left:-0.7pt;margin-top:1.3pt;height:0.75pt;width:2.2pt;mso-position-horizontal-relative:page;mso-position-vertical-relative:page;z-index:251673600;mso-width-relative:page;mso-height-relative:page;" fillcolor="#000000" filled="t" stroked="f" coordsize="44,15" path="m0,14l43,14,43,0,0,0,0,14xe">
                  <v:path/>
                  <v:fill on="t" focussize="0,0"/>
                  <v:stroke on="f"/>
                  <v:imagedata o:title=""/>
                  <o:lock v:ext="edit"/>
                </v:shape>
              </w:pict>
            </w:r>
            <w:r>
              <w:pict>
                <v:shape id="_x0000_s1035" o:spid="_x0000_s1035" style="position:absolute;left:0pt;margin-left:1.45pt;margin-top:1.3pt;height:0.75pt;width:33.4pt;mso-position-horizontal-relative:page;mso-position-vertical-relative:page;z-index:251668480;mso-width-relative:page;mso-height-relative:page;" fillcolor="#000000" filled="t" stroked="f" coordsize="668,15" path="m0,14l667,14,667,0,0,0,0,14xe">
                  <v:path/>
                  <v:fill on="t" focussize="0,0"/>
                  <v:stroke on="f"/>
                  <v:imagedata o:title=""/>
                  <o:lock v:ext="edit"/>
                </v:shape>
              </w:pict>
            </w:r>
          </w:p>
        </w:tc>
        <w:tc>
          <w:tcPr>
            <w:tcW w:w="1106" w:type="dxa"/>
            <w:vAlign w:val="top"/>
          </w:tcPr>
          <w:p w14:paraId="1F56822B">
            <w:pPr>
              <w:rPr>
                <w:rFonts w:ascii="Arial"/>
                <w:sz w:val="21"/>
              </w:rPr>
            </w:pPr>
            <w:r>
              <w:pict>
                <v:shape id="_x0000_s1036" o:spid="_x0000_s1036" style="position:absolute;left:0pt;margin-left:-0.6pt;margin-top:1.3pt;height:0.75pt;width:2.2pt;mso-position-horizontal-relative:page;mso-position-vertical-relative:page;z-index:251672576;mso-width-relative:page;mso-height-relative:page;" fillcolor="#000000" filled="t" stroked="f" coordsize="44,15" path="m0,14l43,14,43,0,0,0,0,14xe">
                  <v:path/>
                  <v:fill on="t" focussize="0,0"/>
                  <v:stroke on="f"/>
                  <v:imagedata o:title=""/>
                  <o:lock v:ext="edit"/>
                </v:shape>
              </w:pict>
            </w:r>
            <w:r>
              <w:pict>
                <v:shape id="_x0000_s1037" o:spid="_x0000_s1037" style="position:absolute;left:0pt;margin-left:1.55pt;margin-top:1.3pt;height:0.75pt;width:53.35pt;mso-position-horizontal-relative:page;mso-position-vertical-relative:page;z-index:251663360;mso-width-relative:page;mso-height-relative:page;" fillcolor="#000000" filled="t" stroked="f" coordsize="1066,15" path="m0,14l1066,14,1066,0,0,0,0,14xe">
                  <v:path/>
                  <v:fill on="t" focussize="0,0"/>
                  <v:stroke on="f"/>
                  <v:imagedata o:title=""/>
                  <o:lock v:ext="edit"/>
                </v:shape>
              </w:pict>
            </w:r>
          </w:p>
        </w:tc>
        <w:tc>
          <w:tcPr>
            <w:tcW w:w="732" w:type="dxa"/>
            <w:vAlign w:val="top"/>
          </w:tcPr>
          <w:p w14:paraId="4A70A856">
            <w:pPr>
              <w:rPr>
                <w:rFonts w:ascii="Arial"/>
                <w:sz w:val="21"/>
              </w:rPr>
            </w:pPr>
            <w:r>
              <w:pict>
                <v:shape id="_x0000_s1038" o:spid="_x0000_s1038" style="position:absolute;left:0pt;margin-left:-0.4pt;margin-top:1.3pt;height:0.75pt;width:2.2pt;mso-position-horizontal-relative:page;mso-position-vertical-relative:page;z-index:251674624;mso-width-relative:page;mso-height-relative:page;" fillcolor="#000000" filled="t" stroked="f" coordsize="44,15" path="m0,14l43,14,43,0,0,0,0,14xe">
                  <v:path/>
                  <v:fill on="t" focussize="0,0"/>
                  <v:stroke on="f"/>
                  <v:imagedata o:title=""/>
                  <o:lock v:ext="edit"/>
                </v:shape>
              </w:pict>
            </w:r>
            <w:r>
              <w:pict>
                <v:shape id="_x0000_s1039" o:spid="_x0000_s1039" style="position:absolute;left:0pt;margin-left:1.75pt;margin-top:1.3pt;height:0.75pt;width:34.6pt;mso-position-horizontal-relative:page;mso-position-vertical-relative:page;z-index:251667456;mso-width-relative:page;mso-height-relative:page;" fillcolor="#000000" filled="t" stroked="f" coordsize="691,15" path="m0,14l691,14,691,0,0,0,0,14xe">
                  <v:path/>
                  <v:fill on="t" focussize="0,0"/>
                  <v:stroke on="f"/>
                  <v:imagedata o:title=""/>
                  <o:lock v:ext="edit"/>
                </v:shape>
              </w:pict>
            </w:r>
          </w:p>
        </w:tc>
        <w:tc>
          <w:tcPr>
            <w:tcW w:w="565" w:type="dxa"/>
            <w:vAlign w:val="top"/>
          </w:tcPr>
          <w:p w14:paraId="4818E360">
            <w:pPr>
              <w:rPr>
                <w:rFonts w:ascii="Arial"/>
                <w:sz w:val="21"/>
              </w:rPr>
            </w:pPr>
            <w:r>
              <w:pict>
                <v:shape id="_x0000_s1040" o:spid="_x0000_s1040" style="position:absolute;left:0pt;margin-left:-0.3pt;margin-top:1.3pt;height:0.75pt;width:2.2pt;mso-position-horizontal-relative:page;mso-position-vertical-relative:page;z-index:251676672;mso-width-relative:page;mso-height-relative:page;" fillcolor="#000000" filled="t" stroked="f" coordsize="44,15" path="m0,14l43,14,43,0,0,0,0,14xe">
                  <v:path/>
                  <v:fill on="t" focussize="0,0"/>
                  <v:stroke on="f"/>
                  <v:imagedata o:title=""/>
                  <o:lock v:ext="edit"/>
                </v:shape>
              </w:pict>
            </w:r>
            <w:r>
              <w:pict>
                <v:shape id="_x0000_s1041" o:spid="_x0000_s1041" style="position:absolute;left:0pt;margin-left:1.9pt;margin-top:1.3pt;height:0.75pt;width:26.2pt;mso-position-horizontal-relative:page;mso-position-vertical-relative:page;z-index:251669504;mso-width-relative:page;mso-height-relative:page;" fillcolor="#000000" filled="t" stroked="f" coordsize="524,15" path="m0,14l523,14,523,0,0,0,0,14xe">
                  <v:path/>
                  <v:fill on="t" focussize="0,0"/>
                  <v:stroke on="f"/>
                  <v:imagedata o:title=""/>
                  <o:lock v:ext="edit"/>
                </v:shape>
              </w:pict>
            </w:r>
          </w:p>
        </w:tc>
        <w:tc>
          <w:tcPr>
            <w:tcW w:w="838" w:type="dxa"/>
            <w:vAlign w:val="top"/>
          </w:tcPr>
          <w:p w14:paraId="5D1473CF">
            <w:pPr>
              <w:rPr>
                <w:rFonts w:ascii="Arial"/>
                <w:sz w:val="21"/>
              </w:rPr>
            </w:pPr>
            <w:r>
              <w:pict>
                <v:shape id="_x0000_s1042" o:spid="_x0000_s1042" style="position:absolute;left:0pt;margin-left:-0.2pt;margin-top:1.3pt;height:0.75pt;width:2.2pt;mso-position-horizontal-relative:page;mso-position-vertical-relative:page;z-index:251675648;mso-width-relative:page;mso-height-relative:page;" fillcolor="#000000" filled="t" stroked="f" coordsize="44,15" path="m0,14l43,14,43,0,0,0,0,14xe">
                  <v:path/>
                  <v:fill on="t" focussize="0,0"/>
                  <v:stroke on="f"/>
                  <v:imagedata o:title=""/>
                  <o:lock v:ext="edit"/>
                </v:shape>
              </w:pict>
            </w:r>
            <w:r>
              <w:pict>
                <v:shape id="_x0000_s1043" o:spid="_x0000_s1043" style="position:absolute;left:0pt;margin-left:1.95pt;margin-top:1.3pt;height:0.75pt;width:39.9pt;mso-position-horizontal-relative:page;mso-position-vertical-relative:page;z-index:251665408;mso-width-relative:page;mso-height-relative:page;" fillcolor="#000000" filled="t" stroked="f" coordsize="798,15" path="m0,14l797,14,797,0,0,0,0,14xe">
                  <v:path/>
                  <v:fill on="t" focussize="0,0"/>
                  <v:stroke on="f"/>
                  <v:imagedata o:title=""/>
                  <o:lock v:ext="edit"/>
                </v:shape>
              </w:pict>
            </w:r>
          </w:p>
        </w:tc>
        <w:tc>
          <w:tcPr>
            <w:tcW w:w="776" w:type="dxa"/>
            <w:vAlign w:val="top"/>
          </w:tcPr>
          <w:p w14:paraId="463BFE46">
            <w:pPr>
              <w:rPr>
                <w:rFonts w:ascii="Arial"/>
                <w:sz w:val="21"/>
              </w:rPr>
            </w:pPr>
            <w:r>
              <w:pict>
                <v:shape id="_x0000_s1044" o:spid="_x0000_s1044" style="position:absolute;left:0pt;margin-left:-0.1pt;margin-top:1.3pt;height:0.75pt;width:2.2pt;mso-position-horizontal-relative:page;mso-position-vertical-relative:page;z-index:251677696;mso-width-relative:page;mso-height-relative:page;" fillcolor="#000000" filled="t" stroked="f" coordsize="44,15" path="m0,14l43,14,43,0,0,0,0,14xe">
                  <v:path/>
                  <v:fill on="t" focussize="0,0"/>
                  <v:stroke on="f"/>
                  <v:imagedata o:title=""/>
                  <o:lock v:ext="edit"/>
                </v:shape>
              </w:pict>
            </w:r>
            <w:r>
              <w:pict>
                <v:shape id="_x0000_s1045" o:spid="_x0000_s1045" style="position:absolute;left:0pt;margin-left:2.05pt;margin-top:1.3pt;height:0.75pt;width:36.75pt;mso-position-horizontal-relative:page;mso-position-vertical-relative:page;z-index:251666432;mso-width-relative:page;mso-height-relative:page;" fillcolor="#000000" filled="t" stroked="f" coordsize="735,15" path="m0,14l734,14,734,0,0,0,0,14xe">
                  <v:path/>
                  <v:fill on="t" focussize="0,0"/>
                  <v:stroke on="f"/>
                  <v:imagedata o:title=""/>
                  <o:lock v:ext="edit"/>
                </v:shape>
              </w:pict>
            </w:r>
          </w:p>
        </w:tc>
        <w:tc>
          <w:tcPr>
            <w:tcW w:w="938" w:type="dxa"/>
            <w:vAlign w:val="top"/>
          </w:tcPr>
          <w:p w14:paraId="5D8F10C0">
            <w:pPr>
              <w:rPr>
                <w:rFonts w:ascii="Arial"/>
                <w:sz w:val="21"/>
              </w:rPr>
            </w:pPr>
            <w:r>
              <w:pict>
                <v:shape id="_x0000_s1046" o:spid="_x0000_s1046" style="position:absolute;left:0pt;margin-left:0pt;margin-top:1.3pt;height:0.75pt;width:2.2pt;mso-position-horizontal-relative:page;mso-position-vertical-relative:page;z-index:251678720;mso-width-relative:page;mso-height-relative:page;" fillcolor="#000000" filled="t" stroked="f" coordsize="44,15" path="m0,14l43,14,43,0,0,0,0,14xe">
                  <v:path/>
                  <v:fill on="t" focussize="0,0"/>
                  <v:stroke on="f"/>
                  <v:imagedata o:title=""/>
                  <o:lock v:ext="edit"/>
                </v:shape>
              </w:pict>
            </w:r>
            <w:r>
              <w:pict>
                <v:shape id="_x0000_s1047" o:spid="_x0000_s1047" style="position:absolute;left:0pt;margin-left:2.2pt;margin-top:1.3pt;height:0.75pt;width:44.9pt;mso-position-horizontal-relative:page;mso-position-vertical-relative:page;z-index:251664384;mso-width-relative:page;mso-height-relative:page;" fillcolor="#000000" filled="t" stroked="f" coordsize="898,15" path="m0,14l897,14,897,0,0,0,0,14xe">
                  <v:path/>
                  <v:fill on="t" focussize="0,0"/>
                  <v:stroke on="f"/>
                  <v:imagedata o:title=""/>
                  <o:lock v:ext="edit"/>
                </v:shape>
              </w:pict>
            </w:r>
          </w:p>
        </w:tc>
        <w:tc>
          <w:tcPr>
            <w:tcW w:w="522" w:type="dxa"/>
            <w:vAlign w:val="top"/>
          </w:tcPr>
          <w:p w14:paraId="36F49429">
            <w:pPr>
              <w:rPr>
                <w:rFonts w:ascii="Arial"/>
                <w:sz w:val="21"/>
              </w:rPr>
            </w:pPr>
            <w:r>
              <w:pict>
                <v:shape id="_x0000_s1048" o:spid="_x0000_s1048" style="position:absolute;left:0pt;margin-left:0.15pt;margin-top:1.3pt;height:0.75pt;width:2.2pt;mso-position-horizontal-relative:page;mso-position-vertical-relative:page;z-index:251680768;mso-width-relative:page;mso-height-relative:page;" fillcolor="#000000" filled="t" stroked="f" coordsize="44,15" path="m0,14l43,14,43,0,0,0,0,14xe">
                  <v:path/>
                  <v:fill on="t" focussize="0,0"/>
                  <v:stroke on="f"/>
                  <v:imagedata o:title=""/>
                  <o:lock v:ext="edit"/>
                </v:shape>
              </w:pict>
            </w:r>
            <w:r>
              <w:pict>
                <v:shape id="_x0000_s1049" o:spid="_x0000_s1049" style="position:absolute;left:0pt;margin-left:2.3pt;margin-top:1.3pt;height:0.75pt;width:24.05pt;mso-position-horizontal-relative:page;mso-position-vertical-relative:page;z-index:251670528;mso-width-relative:page;mso-height-relative:page;" fillcolor="#000000" filled="t" stroked="f" coordsize="480,15" path="m0,14l480,14,480,0,0,0,0,14xe">
                  <v:path/>
                  <v:fill on="t" focussize="0,0"/>
                  <v:stroke on="f"/>
                  <v:imagedata o:title=""/>
                  <o:lock v:ext="edit"/>
                </v:shape>
              </w:pict>
            </w:r>
          </w:p>
        </w:tc>
        <w:tc>
          <w:tcPr>
            <w:tcW w:w="538" w:type="dxa"/>
            <w:tcBorders>
              <w:right w:val="single" w:color="000000" w:sz="10" w:space="0"/>
            </w:tcBorders>
            <w:vAlign w:val="top"/>
          </w:tcPr>
          <w:p w14:paraId="1CA5F56C">
            <w:pPr>
              <w:rPr>
                <w:rFonts w:ascii="Arial"/>
                <w:sz w:val="21"/>
              </w:rPr>
            </w:pPr>
            <w:r>
              <w:pict>
                <v:shape id="_x0000_s1050" o:spid="_x0000_s1050" style="position:absolute;left:0pt;margin-left:0.25pt;margin-top:1.3pt;height:0.75pt;width:2.2pt;mso-position-horizontal-relative:page;mso-position-vertical-relative:page;z-index:251679744;mso-width-relative:page;mso-height-relative:page;" fillcolor="#000000" filled="t" stroked="f" coordsize="44,15" path="m0,14l43,14,43,0,0,0,0,14xe">
                  <v:path/>
                  <v:fill on="t" focussize="0,0"/>
                  <v:stroke on="f"/>
                  <v:imagedata o:title=""/>
                  <o:lock v:ext="edit"/>
                </v:shape>
              </w:pict>
            </w:r>
            <w:r>
              <w:pict>
                <v:shape id="_x0000_s1051" o:spid="_x0000_s1051" style="position:absolute;left:0pt;margin-left:2.4pt;margin-top:1.3pt;height:0.75pt;width:23.8pt;mso-position-horizontal-relative:page;mso-position-vertical-relative:page;z-index:251671552;mso-width-relative:page;mso-height-relative:page;" fillcolor="#000000" filled="t" stroked="f" coordsize="475,15" path="m0,14l475,14,475,0,0,0,0,14xe">
                  <v:path/>
                  <v:fill on="t" focussize="0,0"/>
                  <v:stroke on="f"/>
                  <v:imagedata o:title=""/>
                  <o:lock v:ext="edit"/>
                </v:shape>
              </w:pict>
            </w:r>
          </w:p>
        </w:tc>
      </w:tr>
      <w:tr w14:paraId="10F42D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9" w:hRule="atLeast"/>
        </w:trPr>
        <w:tc>
          <w:tcPr>
            <w:tcW w:w="1568" w:type="dxa"/>
            <w:tcBorders>
              <w:left w:val="single" w:color="000000" w:sz="10" w:space="0"/>
            </w:tcBorders>
            <w:vAlign w:val="top"/>
          </w:tcPr>
          <w:p w14:paraId="4C443040">
            <w:pPr>
              <w:rPr>
                <w:rFonts w:ascii="Arial"/>
                <w:sz w:val="21"/>
              </w:rPr>
            </w:pPr>
          </w:p>
        </w:tc>
        <w:tc>
          <w:tcPr>
            <w:tcW w:w="708" w:type="dxa"/>
            <w:vAlign w:val="top"/>
          </w:tcPr>
          <w:p w14:paraId="0B8828F2">
            <w:pPr>
              <w:rPr>
                <w:rFonts w:ascii="Arial"/>
                <w:sz w:val="21"/>
              </w:rPr>
            </w:pPr>
          </w:p>
        </w:tc>
        <w:tc>
          <w:tcPr>
            <w:tcW w:w="1106" w:type="dxa"/>
            <w:vAlign w:val="top"/>
          </w:tcPr>
          <w:p w14:paraId="31CF2F74">
            <w:pPr>
              <w:rPr>
                <w:rFonts w:ascii="Arial"/>
                <w:sz w:val="21"/>
              </w:rPr>
            </w:pPr>
          </w:p>
        </w:tc>
        <w:tc>
          <w:tcPr>
            <w:tcW w:w="732" w:type="dxa"/>
            <w:vAlign w:val="top"/>
          </w:tcPr>
          <w:p w14:paraId="68F33CD0">
            <w:pPr>
              <w:rPr>
                <w:rFonts w:ascii="Arial"/>
                <w:sz w:val="21"/>
              </w:rPr>
            </w:pPr>
          </w:p>
        </w:tc>
        <w:tc>
          <w:tcPr>
            <w:tcW w:w="565" w:type="dxa"/>
            <w:vAlign w:val="top"/>
          </w:tcPr>
          <w:p w14:paraId="02BD9E95">
            <w:pPr>
              <w:rPr>
                <w:rFonts w:ascii="Arial"/>
                <w:sz w:val="21"/>
              </w:rPr>
            </w:pPr>
          </w:p>
        </w:tc>
        <w:tc>
          <w:tcPr>
            <w:tcW w:w="838" w:type="dxa"/>
            <w:vAlign w:val="top"/>
          </w:tcPr>
          <w:p w14:paraId="7B12C53B">
            <w:pPr>
              <w:rPr>
                <w:rFonts w:ascii="Arial"/>
                <w:sz w:val="21"/>
              </w:rPr>
            </w:pPr>
          </w:p>
        </w:tc>
        <w:tc>
          <w:tcPr>
            <w:tcW w:w="776" w:type="dxa"/>
            <w:vAlign w:val="top"/>
          </w:tcPr>
          <w:p w14:paraId="6F1AC819">
            <w:pPr>
              <w:rPr>
                <w:rFonts w:ascii="Arial"/>
                <w:sz w:val="21"/>
              </w:rPr>
            </w:pPr>
          </w:p>
        </w:tc>
        <w:tc>
          <w:tcPr>
            <w:tcW w:w="938" w:type="dxa"/>
            <w:vAlign w:val="top"/>
          </w:tcPr>
          <w:p w14:paraId="62ECA319">
            <w:pPr>
              <w:rPr>
                <w:rFonts w:ascii="Arial"/>
                <w:sz w:val="21"/>
              </w:rPr>
            </w:pPr>
          </w:p>
        </w:tc>
        <w:tc>
          <w:tcPr>
            <w:tcW w:w="522" w:type="dxa"/>
            <w:vAlign w:val="top"/>
          </w:tcPr>
          <w:p w14:paraId="1273707E">
            <w:pPr>
              <w:rPr>
                <w:rFonts w:ascii="Arial"/>
                <w:sz w:val="21"/>
              </w:rPr>
            </w:pPr>
          </w:p>
        </w:tc>
        <w:tc>
          <w:tcPr>
            <w:tcW w:w="538" w:type="dxa"/>
            <w:tcBorders>
              <w:right w:val="single" w:color="000000" w:sz="10" w:space="0"/>
            </w:tcBorders>
            <w:vAlign w:val="top"/>
          </w:tcPr>
          <w:p w14:paraId="3EC7C97B">
            <w:pPr>
              <w:rPr>
                <w:rFonts w:ascii="Arial"/>
                <w:sz w:val="21"/>
              </w:rPr>
            </w:pPr>
          </w:p>
        </w:tc>
      </w:tr>
      <w:tr w14:paraId="62608B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9" w:hRule="atLeast"/>
        </w:trPr>
        <w:tc>
          <w:tcPr>
            <w:tcW w:w="1568" w:type="dxa"/>
            <w:tcBorders>
              <w:left w:val="single" w:color="000000" w:sz="10" w:space="0"/>
            </w:tcBorders>
            <w:vAlign w:val="top"/>
          </w:tcPr>
          <w:p w14:paraId="06E23EDD">
            <w:pPr>
              <w:rPr>
                <w:rFonts w:ascii="Arial"/>
                <w:sz w:val="21"/>
              </w:rPr>
            </w:pPr>
          </w:p>
        </w:tc>
        <w:tc>
          <w:tcPr>
            <w:tcW w:w="708" w:type="dxa"/>
            <w:vAlign w:val="top"/>
          </w:tcPr>
          <w:p w14:paraId="12A4BBC0">
            <w:pPr>
              <w:rPr>
                <w:rFonts w:ascii="Arial"/>
                <w:sz w:val="21"/>
              </w:rPr>
            </w:pPr>
          </w:p>
        </w:tc>
        <w:tc>
          <w:tcPr>
            <w:tcW w:w="1106" w:type="dxa"/>
            <w:vAlign w:val="top"/>
          </w:tcPr>
          <w:p w14:paraId="69D5ABBE">
            <w:pPr>
              <w:rPr>
                <w:rFonts w:ascii="Arial"/>
                <w:sz w:val="21"/>
              </w:rPr>
            </w:pPr>
          </w:p>
        </w:tc>
        <w:tc>
          <w:tcPr>
            <w:tcW w:w="732" w:type="dxa"/>
            <w:vAlign w:val="top"/>
          </w:tcPr>
          <w:p w14:paraId="08AFE187">
            <w:pPr>
              <w:rPr>
                <w:rFonts w:ascii="Arial"/>
                <w:sz w:val="21"/>
              </w:rPr>
            </w:pPr>
          </w:p>
        </w:tc>
        <w:tc>
          <w:tcPr>
            <w:tcW w:w="565" w:type="dxa"/>
            <w:vAlign w:val="top"/>
          </w:tcPr>
          <w:p w14:paraId="0786E51B">
            <w:pPr>
              <w:rPr>
                <w:rFonts w:ascii="Arial"/>
                <w:sz w:val="21"/>
              </w:rPr>
            </w:pPr>
          </w:p>
        </w:tc>
        <w:tc>
          <w:tcPr>
            <w:tcW w:w="838" w:type="dxa"/>
            <w:vAlign w:val="top"/>
          </w:tcPr>
          <w:p w14:paraId="4C18E1FF">
            <w:pPr>
              <w:rPr>
                <w:rFonts w:ascii="Arial"/>
                <w:sz w:val="21"/>
              </w:rPr>
            </w:pPr>
          </w:p>
        </w:tc>
        <w:tc>
          <w:tcPr>
            <w:tcW w:w="776" w:type="dxa"/>
            <w:vAlign w:val="top"/>
          </w:tcPr>
          <w:p w14:paraId="782C6E45">
            <w:pPr>
              <w:rPr>
                <w:rFonts w:ascii="Arial"/>
                <w:sz w:val="21"/>
              </w:rPr>
            </w:pPr>
          </w:p>
        </w:tc>
        <w:tc>
          <w:tcPr>
            <w:tcW w:w="938" w:type="dxa"/>
            <w:vAlign w:val="top"/>
          </w:tcPr>
          <w:p w14:paraId="0E238E32">
            <w:pPr>
              <w:rPr>
                <w:rFonts w:ascii="Arial"/>
                <w:sz w:val="21"/>
              </w:rPr>
            </w:pPr>
          </w:p>
        </w:tc>
        <w:tc>
          <w:tcPr>
            <w:tcW w:w="522" w:type="dxa"/>
            <w:vAlign w:val="top"/>
          </w:tcPr>
          <w:p w14:paraId="47A2DED2">
            <w:pPr>
              <w:rPr>
                <w:rFonts w:ascii="Arial"/>
                <w:sz w:val="21"/>
              </w:rPr>
            </w:pPr>
          </w:p>
        </w:tc>
        <w:tc>
          <w:tcPr>
            <w:tcW w:w="538" w:type="dxa"/>
            <w:tcBorders>
              <w:right w:val="single" w:color="000000" w:sz="10" w:space="0"/>
            </w:tcBorders>
            <w:vAlign w:val="top"/>
          </w:tcPr>
          <w:p w14:paraId="6340650B">
            <w:pPr>
              <w:rPr>
                <w:rFonts w:ascii="Arial"/>
                <w:sz w:val="21"/>
              </w:rPr>
            </w:pPr>
          </w:p>
        </w:tc>
      </w:tr>
      <w:tr w14:paraId="1C0C3C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4" w:hRule="atLeast"/>
        </w:trPr>
        <w:tc>
          <w:tcPr>
            <w:tcW w:w="1568" w:type="dxa"/>
            <w:tcBorders>
              <w:left w:val="single" w:color="000000" w:sz="10" w:space="0"/>
            </w:tcBorders>
            <w:vAlign w:val="top"/>
          </w:tcPr>
          <w:p w14:paraId="630419A4">
            <w:pPr>
              <w:rPr>
                <w:rFonts w:ascii="Arial"/>
                <w:sz w:val="21"/>
              </w:rPr>
            </w:pPr>
          </w:p>
        </w:tc>
        <w:tc>
          <w:tcPr>
            <w:tcW w:w="708" w:type="dxa"/>
            <w:vAlign w:val="top"/>
          </w:tcPr>
          <w:p w14:paraId="70E8DF87">
            <w:pPr>
              <w:rPr>
                <w:rFonts w:ascii="Arial"/>
                <w:sz w:val="21"/>
              </w:rPr>
            </w:pPr>
          </w:p>
        </w:tc>
        <w:tc>
          <w:tcPr>
            <w:tcW w:w="1106" w:type="dxa"/>
            <w:vAlign w:val="top"/>
          </w:tcPr>
          <w:p w14:paraId="19F3CC4C">
            <w:pPr>
              <w:rPr>
                <w:rFonts w:ascii="Arial"/>
                <w:sz w:val="21"/>
              </w:rPr>
            </w:pPr>
          </w:p>
        </w:tc>
        <w:tc>
          <w:tcPr>
            <w:tcW w:w="732" w:type="dxa"/>
            <w:vAlign w:val="top"/>
          </w:tcPr>
          <w:p w14:paraId="41F42FEE">
            <w:pPr>
              <w:rPr>
                <w:rFonts w:ascii="Arial"/>
                <w:sz w:val="21"/>
              </w:rPr>
            </w:pPr>
          </w:p>
        </w:tc>
        <w:tc>
          <w:tcPr>
            <w:tcW w:w="565" w:type="dxa"/>
            <w:vAlign w:val="top"/>
          </w:tcPr>
          <w:p w14:paraId="4B47B2E2">
            <w:pPr>
              <w:rPr>
                <w:rFonts w:ascii="Arial"/>
                <w:sz w:val="21"/>
              </w:rPr>
            </w:pPr>
          </w:p>
        </w:tc>
        <w:tc>
          <w:tcPr>
            <w:tcW w:w="838" w:type="dxa"/>
            <w:vAlign w:val="top"/>
          </w:tcPr>
          <w:p w14:paraId="13965B01">
            <w:pPr>
              <w:rPr>
                <w:rFonts w:ascii="Arial"/>
                <w:sz w:val="21"/>
              </w:rPr>
            </w:pPr>
          </w:p>
        </w:tc>
        <w:tc>
          <w:tcPr>
            <w:tcW w:w="776" w:type="dxa"/>
            <w:vAlign w:val="top"/>
          </w:tcPr>
          <w:p w14:paraId="12A9578A">
            <w:pPr>
              <w:rPr>
                <w:rFonts w:ascii="Arial"/>
                <w:sz w:val="21"/>
              </w:rPr>
            </w:pPr>
          </w:p>
        </w:tc>
        <w:tc>
          <w:tcPr>
            <w:tcW w:w="938" w:type="dxa"/>
            <w:vAlign w:val="top"/>
          </w:tcPr>
          <w:p w14:paraId="3A4CF99C">
            <w:pPr>
              <w:rPr>
                <w:rFonts w:ascii="Arial"/>
                <w:sz w:val="21"/>
              </w:rPr>
            </w:pPr>
          </w:p>
        </w:tc>
        <w:tc>
          <w:tcPr>
            <w:tcW w:w="522" w:type="dxa"/>
            <w:vAlign w:val="top"/>
          </w:tcPr>
          <w:p w14:paraId="31536007">
            <w:pPr>
              <w:rPr>
                <w:rFonts w:ascii="Arial"/>
                <w:sz w:val="21"/>
              </w:rPr>
            </w:pPr>
          </w:p>
        </w:tc>
        <w:tc>
          <w:tcPr>
            <w:tcW w:w="538" w:type="dxa"/>
            <w:tcBorders>
              <w:right w:val="single" w:color="000000" w:sz="10" w:space="0"/>
            </w:tcBorders>
            <w:vAlign w:val="top"/>
          </w:tcPr>
          <w:p w14:paraId="7E902C63">
            <w:pPr>
              <w:rPr>
                <w:rFonts w:ascii="Arial"/>
                <w:sz w:val="21"/>
              </w:rPr>
            </w:pPr>
          </w:p>
        </w:tc>
      </w:tr>
      <w:tr w14:paraId="5735D2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9" w:hRule="atLeast"/>
        </w:trPr>
        <w:tc>
          <w:tcPr>
            <w:tcW w:w="1568" w:type="dxa"/>
            <w:tcBorders>
              <w:left w:val="single" w:color="000000" w:sz="10" w:space="0"/>
            </w:tcBorders>
            <w:vAlign w:val="top"/>
          </w:tcPr>
          <w:p w14:paraId="7ACEE4B8">
            <w:pPr>
              <w:rPr>
                <w:rFonts w:ascii="Arial"/>
                <w:sz w:val="21"/>
              </w:rPr>
            </w:pPr>
          </w:p>
        </w:tc>
        <w:tc>
          <w:tcPr>
            <w:tcW w:w="708" w:type="dxa"/>
            <w:vAlign w:val="top"/>
          </w:tcPr>
          <w:p w14:paraId="52323BE0">
            <w:pPr>
              <w:rPr>
                <w:rFonts w:ascii="Arial"/>
                <w:sz w:val="21"/>
              </w:rPr>
            </w:pPr>
          </w:p>
        </w:tc>
        <w:tc>
          <w:tcPr>
            <w:tcW w:w="1106" w:type="dxa"/>
            <w:vAlign w:val="top"/>
          </w:tcPr>
          <w:p w14:paraId="4C4854AD">
            <w:pPr>
              <w:rPr>
                <w:rFonts w:ascii="Arial"/>
                <w:sz w:val="21"/>
              </w:rPr>
            </w:pPr>
          </w:p>
        </w:tc>
        <w:tc>
          <w:tcPr>
            <w:tcW w:w="732" w:type="dxa"/>
            <w:vAlign w:val="top"/>
          </w:tcPr>
          <w:p w14:paraId="47F30388">
            <w:pPr>
              <w:rPr>
                <w:rFonts w:ascii="Arial"/>
                <w:sz w:val="21"/>
              </w:rPr>
            </w:pPr>
          </w:p>
        </w:tc>
        <w:tc>
          <w:tcPr>
            <w:tcW w:w="565" w:type="dxa"/>
            <w:vAlign w:val="top"/>
          </w:tcPr>
          <w:p w14:paraId="7461B39D">
            <w:pPr>
              <w:rPr>
                <w:rFonts w:ascii="Arial"/>
                <w:sz w:val="21"/>
              </w:rPr>
            </w:pPr>
          </w:p>
        </w:tc>
        <w:tc>
          <w:tcPr>
            <w:tcW w:w="838" w:type="dxa"/>
            <w:vAlign w:val="top"/>
          </w:tcPr>
          <w:p w14:paraId="121EAE18">
            <w:pPr>
              <w:rPr>
                <w:rFonts w:ascii="Arial"/>
                <w:sz w:val="21"/>
              </w:rPr>
            </w:pPr>
          </w:p>
        </w:tc>
        <w:tc>
          <w:tcPr>
            <w:tcW w:w="776" w:type="dxa"/>
            <w:vAlign w:val="top"/>
          </w:tcPr>
          <w:p w14:paraId="51387FFA">
            <w:pPr>
              <w:rPr>
                <w:rFonts w:ascii="Arial"/>
                <w:sz w:val="21"/>
              </w:rPr>
            </w:pPr>
          </w:p>
        </w:tc>
        <w:tc>
          <w:tcPr>
            <w:tcW w:w="938" w:type="dxa"/>
            <w:vAlign w:val="top"/>
          </w:tcPr>
          <w:p w14:paraId="1B77E5E8">
            <w:pPr>
              <w:rPr>
                <w:rFonts w:ascii="Arial"/>
                <w:sz w:val="21"/>
              </w:rPr>
            </w:pPr>
          </w:p>
        </w:tc>
        <w:tc>
          <w:tcPr>
            <w:tcW w:w="522" w:type="dxa"/>
            <w:vAlign w:val="top"/>
          </w:tcPr>
          <w:p w14:paraId="4B9D3E70">
            <w:pPr>
              <w:rPr>
                <w:rFonts w:ascii="Arial"/>
                <w:sz w:val="21"/>
              </w:rPr>
            </w:pPr>
          </w:p>
        </w:tc>
        <w:tc>
          <w:tcPr>
            <w:tcW w:w="538" w:type="dxa"/>
            <w:tcBorders>
              <w:right w:val="single" w:color="000000" w:sz="10" w:space="0"/>
            </w:tcBorders>
            <w:vAlign w:val="top"/>
          </w:tcPr>
          <w:p w14:paraId="60431533">
            <w:pPr>
              <w:rPr>
                <w:rFonts w:ascii="Arial"/>
                <w:sz w:val="21"/>
              </w:rPr>
            </w:pPr>
          </w:p>
        </w:tc>
      </w:tr>
      <w:tr w14:paraId="7FB921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9" w:hRule="atLeast"/>
        </w:trPr>
        <w:tc>
          <w:tcPr>
            <w:tcW w:w="1568" w:type="dxa"/>
            <w:tcBorders>
              <w:left w:val="single" w:color="000000" w:sz="10" w:space="0"/>
            </w:tcBorders>
            <w:vAlign w:val="top"/>
          </w:tcPr>
          <w:p w14:paraId="0BFA9937">
            <w:pPr>
              <w:rPr>
                <w:rFonts w:ascii="Arial"/>
                <w:sz w:val="21"/>
              </w:rPr>
            </w:pPr>
          </w:p>
        </w:tc>
        <w:tc>
          <w:tcPr>
            <w:tcW w:w="708" w:type="dxa"/>
            <w:vAlign w:val="top"/>
          </w:tcPr>
          <w:p w14:paraId="163CE0B3">
            <w:pPr>
              <w:rPr>
                <w:rFonts w:ascii="Arial"/>
                <w:sz w:val="21"/>
              </w:rPr>
            </w:pPr>
          </w:p>
        </w:tc>
        <w:tc>
          <w:tcPr>
            <w:tcW w:w="1106" w:type="dxa"/>
            <w:vAlign w:val="top"/>
          </w:tcPr>
          <w:p w14:paraId="03BC6BA7">
            <w:pPr>
              <w:rPr>
                <w:rFonts w:ascii="Arial"/>
                <w:sz w:val="21"/>
              </w:rPr>
            </w:pPr>
          </w:p>
        </w:tc>
        <w:tc>
          <w:tcPr>
            <w:tcW w:w="732" w:type="dxa"/>
            <w:vAlign w:val="top"/>
          </w:tcPr>
          <w:p w14:paraId="01C0C088">
            <w:pPr>
              <w:rPr>
                <w:rFonts w:ascii="Arial"/>
                <w:sz w:val="21"/>
              </w:rPr>
            </w:pPr>
          </w:p>
        </w:tc>
        <w:tc>
          <w:tcPr>
            <w:tcW w:w="565" w:type="dxa"/>
            <w:vAlign w:val="top"/>
          </w:tcPr>
          <w:p w14:paraId="1C46391E">
            <w:pPr>
              <w:rPr>
                <w:rFonts w:ascii="Arial"/>
                <w:sz w:val="21"/>
              </w:rPr>
            </w:pPr>
          </w:p>
        </w:tc>
        <w:tc>
          <w:tcPr>
            <w:tcW w:w="838" w:type="dxa"/>
            <w:vAlign w:val="top"/>
          </w:tcPr>
          <w:p w14:paraId="36F3A834">
            <w:pPr>
              <w:rPr>
                <w:rFonts w:ascii="Arial"/>
                <w:sz w:val="21"/>
              </w:rPr>
            </w:pPr>
          </w:p>
        </w:tc>
        <w:tc>
          <w:tcPr>
            <w:tcW w:w="776" w:type="dxa"/>
            <w:vAlign w:val="top"/>
          </w:tcPr>
          <w:p w14:paraId="4032B8E5">
            <w:pPr>
              <w:rPr>
                <w:rFonts w:ascii="Arial"/>
                <w:sz w:val="21"/>
              </w:rPr>
            </w:pPr>
          </w:p>
        </w:tc>
        <w:tc>
          <w:tcPr>
            <w:tcW w:w="938" w:type="dxa"/>
            <w:vAlign w:val="top"/>
          </w:tcPr>
          <w:p w14:paraId="3EE80063">
            <w:pPr>
              <w:rPr>
                <w:rFonts w:ascii="Arial"/>
                <w:sz w:val="21"/>
              </w:rPr>
            </w:pPr>
          </w:p>
        </w:tc>
        <w:tc>
          <w:tcPr>
            <w:tcW w:w="522" w:type="dxa"/>
            <w:vAlign w:val="top"/>
          </w:tcPr>
          <w:p w14:paraId="63554209">
            <w:pPr>
              <w:rPr>
                <w:rFonts w:ascii="Arial"/>
                <w:sz w:val="21"/>
              </w:rPr>
            </w:pPr>
          </w:p>
        </w:tc>
        <w:tc>
          <w:tcPr>
            <w:tcW w:w="538" w:type="dxa"/>
            <w:tcBorders>
              <w:right w:val="single" w:color="000000" w:sz="10" w:space="0"/>
            </w:tcBorders>
            <w:vAlign w:val="top"/>
          </w:tcPr>
          <w:p w14:paraId="03820FA5">
            <w:pPr>
              <w:rPr>
                <w:rFonts w:ascii="Arial"/>
                <w:sz w:val="21"/>
              </w:rPr>
            </w:pPr>
          </w:p>
        </w:tc>
      </w:tr>
      <w:tr w14:paraId="646C9D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9" w:hRule="atLeast"/>
        </w:trPr>
        <w:tc>
          <w:tcPr>
            <w:tcW w:w="1568" w:type="dxa"/>
            <w:tcBorders>
              <w:left w:val="single" w:color="000000" w:sz="10" w:space="0"/>
            </w:tcBorders>
            <w:vAlign w:val="top"/>
          </w:tcPr>
          <w:p w14:paraId="1390E2A7">
            <w:pPr>
              <w:rPr>
                <w:rFonts w:ascii="Arial"/>
                <w:sz w:val="21"/>
              </w:rPr>
            </w:pPr>
          </w:p>
        </w:tc>
        <w:tc>
          <w:tcPr>
            <w:tcW w:w="708" w:type="dxa"/>
            <w:vAlign w:val="top"/>
          </w:tcPr>
          <w:p w14:paraId="178BF25C">
            <w:pPr>
              <w:rPr>
                <w:rFonts w:ascii="Arial"/>
                <w:sz w:val="21"/>
              </w:rPr>
            </w:pPr>
          </w:p>
        </w:tc>
        <w:tc>
          <w:tcPr>
            <w:tcW w:w="1106" w:type="dxa"/>
            <w:vAlign w:val="top"/>
          </w:tcPr>
          <w:p w14:paraId="6C91C3A0">
            <w:pPr>
              <w:rPr>
                <w:rFonts w:ascii="Arial"/>
                <w:sz w:val="21"/>
              </w:rPr>
            </w:pPr>
          </w:p>
        </w:tc>
        <w:tc>
          <w:tcPr>
            <w:tcW w:w="732" w:type="dxa"/>
            <w:vAlign w:val="top"/>
          </w:tcPr>
          <w:p w14:paraId="219C8CC2">
            <w:pPr>
              <w:rPr>
                <w:rFonts w:ascii="Arial"/>
                <w:sz w:val="21"/>
              </w:rPr>
            </w:pPr>
          </w:p>
        </w:tc>
        <w:tc>
          <w:tcPr>
            <w:tcW w:w="565" w:type="dxa"/>
            <w:vAlign w:val="top"/>
          </w:tcPr>
          <w:p w14:paraId="50E94C65">
            <w:pPr>
              <w:rPr>
                <w:rFonts w:ascii="Arial"/>
                <w:sz w:val="21"/>
              </w:rPr>
            </w:pPr>
          </w:p>
        </w:tc>
        <w:tc>
          <w:tcPr>
            <w:tcW w:w="838" w:type="dxa"/>
            <w:vAlign w:val="top"/>
          </w:tcPr>
          <w:p w14:paraId="4AF180A3">
            <w:pPr>
              <w:rPr>
                <w:rFonts w:ascii="Arial"/>
                <w:sz w:val="21"/>
              </w:rPr>
            </w:pPr>
          </w:p>
        </w:tc>
        <w:tc>
          <w:tcPr>
            <w:tcW w:w="776" w:type="dxa"/>
            <w:vAlign w:val="top"/>
          </w:tcPr>
          <w:p w14:paraId="6A5C8E2C">
            <w:pPr>
              <w:rPr>
                <w:rFonts w:ascii="Arial"/>
                <w:sz w:val="21"/>
              </w:rPr>
            </w:pPr>
          </w:p>
        </w:tc>
        <w:tc>
          <w:tcPr>
            <w:tcW w:w="938" w:type="dxa"/>
            <w:vAlign w:val="top"/>
          </w:tcPr>
          <w:p w14:paraId="09538B12">
            <w:pPr>
              <w:rPr>
                <w:rFonts w:ascii="Arial"/>
                <w:sz w:val="21"/>
              </w:rPr>
            </w:pPr>
          </w:p>
        </w:tc>
        <w:tc>
          <w:tcPr>
            <w:tcW w:w="522" w:type="dxa"/>
            <w:vAlign w:val="top"/>
          </w:tcPr>
          <w:p w14:paraId="04147C65">
            <w:pPr>
              <w:rPr>
                <w:rFonts w:ascii="Arial"/>
                <w:sz w:val="21"/>
              </w:rPr>
            </w:pPr>
          </w:p>
        </w:tc>
        <w:tc>
          <w:tcPr>
            <w:tcW w:w="538" w:type="dxa"/>
            <w:tcBorders>
              <w:right w:val="single" w:color="000000" w:sz="10" w:space="0"/>
            </w:tcBorders>
            <w:vAlign w:val="top"/>
          </w:tcPr>
          <w:p w14:paraId="457FB435">
            <w:pPr>
              <w:rPr>
                <w:rFonts w:ascii="Arial"/>
                <w:sz w:val="21"/>
              </w:rPr>
            </w:pPr>
          </w:p>
        </w:tc>
      </w:tr>
      <w:tr w14:paraId="6EA69D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4" w:hRule="atLeast"/>
        </w:trPr>
        <w:tc>
          <w:tcPr>
            <w:tcW w:w="1568" w:type="dxa"/>
            <w:tcBorders>
              <w:left w:val="single" w:color="000000" w:sz="10" w:space="0"/>
            </w:tcBorders>
            <w:vAlign w:val="top"/>
          </w:tcPr>
          <w:p w14:paraId="6F597ACD">
            <w:pPr>
              <w:rPr>
                <w:rFonts w:ascii="Arial"/>
                <w:sz w:val="21"/>
              </w:rPr>
            </w:pPr>
          </w:p>
        </w:tc>
        <w:tc>
          <w:tcPr>
            <w:tcW w:w="708" w:type="dxa"/>
            <w:vAlign w:val="top"/>
          </w:tcPr>
          <w:p w14:paraId="7C6378FB">
            <w:pPr>
              <w:rPr>
                <w:rFonts w:ascii="Arial"/>
                <w:sz w:val="21"/>
              </w:rPr>
            </w:pPr>
          </w:p>
        </w:tc>
        <w:tc>
          <w:tcPr>
            <w:tcW w:w="1106" w:type="dxa"/>
            <w:vAlign w:val="top"/>
          </w:tcPr>
          <w:p w14:paraId="3F1765CF">
            <w:pPr>
              <w:rPr>
                <w:rFonts w:ascii="Arial"/>
                <w:sz w:val="21"/>
              </w:rPr>
            </w:pPr>
          </w:p>
        </w:tc>
        <w:tc>
          <w:tcPr>
            <w:tcW w:w="732" w:type="dxa"/>
            <w:vAlign w:val="top"/>
          </w:tcPr>
          <w:p w14:paraId="1C4372F4">
            <w:pPr>
              <w:rPr>
                <w:rFonts w:ascii="Arial"/>
                <w:sz w:val="21"/>
              </w:rPr>
            </w:pPr>
          </w:p>
        </w:tc>
        <w:tc>
          <w:tcPr>
            <w:tcW w:w="565" w:type="dxa"/>
            <w:vAlign w:val="top"/>
          </w:tcPr>
          <w:p w14:paraId="5655B950">
            <w:pPr>
              <w:rPr>
                <w:rFonts w:ascii="Arial"/>
                <w:sz w:val="21"/>
              </w:rPr>
            </w:pPr>
          </w:p>
        </w:tc>
        <w:tc>
          <w:tcPr>
            <w:tcW w:w="838" w:type="dxa"/>
            <w:vAlign w:val="top"/>
          </w:tcPr>
          <w:p w14:paraId="18643FA5">
            <w:pPr>
              <w:rPr>
                <w:rFonts w:ascii="Arial"/>
                <w:sz w:val="21"/>
              </w:rPr>
            </w:pPr>
          </w:p>
        </w:tc>
        <w:tc>
          <w:tcPr>
            <w:tcW w:w="776" w:type="dxa"/>
            <w:vAlign w:val="top"/>
          </w:tcPr>
          <w:p w14:paraId="3AC42790">
            <w:pPr>
              <w:rPr>
                <w:rFonts w:ascii="Arial"/>
                <w:sz w:val="21"/>
              </w:rPr>
            </w:pPr>
          </w:p>
        </w:tc>
        <w:tc>
          <w:tcPr>
            <w:tcW w:w="938" w:type="dxa"/>
            <w:vAlign w:val="top"/>
          </w:tcPr>
          <w:p w14:paraId="65AED1CF">
            <w:pPr>
              <w:rPr>
                <w:rFonts w:ascii="Arial"/>
                <w:sz w:val="21"/>
              </w:rPr>
            </w:pPr>
          </w:p>
        </w:tc>
        <w:tc>
          <w:tcPr>
            <w:tcW w:w="522" w:type="dxa"/>
            <w:vAlign w:val="top"/>
          </w:tcPr>
          <w:p w14:paraId="0871CECA">
            <w:pPr>
              <w:rPr>
                <w:rFonts w:ascii="Arial"/>
                <w:sz w:val="21"/>
              </w:rPr>
            </w:pPr>
          </w:p>
        </w:tc>
        <w:tc>
          <w:tcPr>
            <w:tcW w:w="538" w:type="dxa"/>
            <w:tcBorders>
              <w:right w:val="single" w:color="000000" w:sz="10" w:space="0"/>
            </w:tcBorders>
            <w:vAlign w:val="top"/>
          </w:tcPr>
          <w:p w14:paraId="354BEE21">
            <w:pPr>
              <w:rPr>
                <w:rFonts w:ascii="Arial"/>
                <w:sz w:val="21"/>
              </w:rPr>
            </w:pPr>
          </w:p>
        </w:tc>
      </w:tr>
      <w:tr w14:paraId="1D6AB8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9" w:hRule="atLeast"/>
        </w:trPr>
        <w:tc>
          <w:tcPr>
            <w:tcW w:w="1568" w:type="dxa"/>
            <w:tcBorders>
              <w:left w:val="single" w:color="000000" w:sz="10" w:space="0"/>
            </w:tcBorders>
            <w:vAlign w:val="top"/>
          </w:tcPr>
          <w:p w14:paraId="445E0DA8">
            <w:pPr>
              <w:rPr>
                <w:rFonts w:ascii="Arial"/>
                <w:sz w:val="21"/>
              </w:rPr>
            </w:pPr>
          </w:p>
        </w:tc>
        <w:tc>
          <w:tcPr>
            <w:tcW w:w="708" w:type="dxa"/>
            <w:vAlign w:val="top"/>
          </w:tcPr>
          <w:p w14:paraId="541A9868">
            <w:pPr>
              <w:rPr>
                <w:rFonts w:ascii="Arial"/>
                <w:sz w:val="21"/>
              </w:rPr>
            </w:pPr>
          </w:p>
        </w:tc>
        <w:tc>
          <w:tcPr>
            <w:tcW w:w="1106" w:type="dxa"/>
            <w:vAlign w:val="top"/>
          </w:tcPr>
          <w:p w14:paraId="2B196990">
            <w:pPr>
              <w:rPr>
                <w:rFonts w:ascii="Arial"/>
                <w:sz w:val="21"/>
              </w:rPr>
            </w:pPr>
          </w:p>
        </w:tc>
        <w:tc>
          <w:tcPr>
            <w:tcW w:w="732" w:type="dxa"/>
            <w:vAlign w:val="top"/>
          </w:tcPr>
          <w:p w14:paraId="2D9226B9">
            <w:pPr>
              <w:rPr>
                <w:rFonts w:ascii="Arial"/>
                <w:sz w:val="21"/>
              </w:rPr>
            </w:pPr>
          </w:p>
        </w:tc>
        <w:tc>
          <w:tcPr>
            <w:tcW w:w="565" w:type="dxa"/>
            <w:vAlign w:val="top"/>
          </w:tcPr>
          <w:p w14:paraId="04692031">
            <w:pPr>
              <w:rPr>
                <w:rFonts w:ascii="Arial"/>
                <w:sz w:val="21"/>
              </w:rPr>
            </w:pPr>
          </w:p>
        </w:tc>
        <w:tc>
          <w:tcPr>
            <w:tcW w:w="838" w:type="dxa"/>
            <w:vAlign w:val="top"/>
          </w:tcPr>
          <w:p w14:paraId="1F92F2E7">
            <w:pPr>
              <w:rPr>
                <w:rFonts w:ascii="Arial"/>
                <w:sz w:val="21"/>
              </w:rPr>
            </w:pPr>
          </w:p>
        </w:tc>
        <w:tc>
          <w:tcPr>
            <w:tcW w:w="776" w:type="dxa"/>
            <w:vAlign w:val="top"/>
          </w:tcPr>
          <w:p w14:paraId="4DFDDC25">
            <w:pPr>
              <w:rPr>
                <w:rFonts w:ascii="Arial"/>
                <w:sz w:val="21"/>
              </w:rPr>
            </w:pPr>
          </w:p>
        </w:tc>
        <w:tc>
          <w:tcPr>
            <w:tcW w:w="938" w:type="dxa"/>
            <w:vAlign w:val="top"/>
          </w:tcPr>
          <w:p w14:paraId="5EE500D9">
            <w:pPr>
              <w:rPr>
                <w:rFonts w:ascii="Arial"/>
                <w:sz w:val="21"/>
              </w:rPr>
            </w:pPr>
          </w:p>
        </w:tc>
        <w:tc>
          <w:tcPr>
            <w:tcW w:w="522" w:type="dxa"/>
            <w:vAlign w:val="top"/>
          </w:tcPr>
          <w:p w14:paraId="16706B91">
            <w:pPr>
              <w:rPr>
                <w:rFonts w:ascii="Arial"/>
                <w:sz w:val="21"/>
              </w:rPr>
            </w:pPr>
          </w:p>
        </w:tc>
        <w:tc>
          <w:tcPr>
            <w:tcW w:w="538" w:type="dxa"/>
            <w:tcBorders>
              <w:right w:val="single" w:color="000000" w:sz="10" w:space="0"/>
            </w:tcBorders>
            <w:vAlign w:val="top"/>
          </w:tcPr>
          <w:p w14:paraId="6CEEDF80">
            <w:pPr>
              <w:rPr>
                <w:rFonts w:ascii="Arial"/>
                <w:sz w:val="21"/>
              </w:rPr>
            </w:pPr>
          </w:p>
        </w:tc>
      </w:tr>
      <w:tr w14:paraId="4FA7E4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0" w:hRule="atLeast"/>
        </w:trPr>
        <w:tc>
          <w:tcPr>
            <w:tcW w:w="1568" w:type="dxa"/>
            <w:tcBorders>
              <w:left w:val="single" w:color="000000" w:sz="10" w:space="0"/>
            </w:tcBorders>
            <w:vAlign w:val="top"/>
          </w:tcPr>
          <w:p w14:paraId="46E81CFF">
            <w:pPr>
              <w:rPr>
                <w:rFonts w:ascii="Arial"/>
                <w:sz w:val="21"/>
              </w:rPr>
            </w:pPr>
          </w:p>
        </w:tc>
        <w:tc>
          <w:tcPr>
            <w:tcW w:w="708" w:type="dxa"/>
            <w:vAlign w:val="top"/>
          </w:tcPr>
          <w:p w14:paraId="1EAFDDFA">
            <w:pPr>
              <w:rPr>
                <w:rFonts w:ascii="Arial"/>
                <w:sz w:val="21"/>
              </w:rPr>
            </w:pPr>
          </w:p>
        </w:tc>
        <w:tc>
          <w:tcPr>
            <w:tcW w:w="1106" w:type="dxa"/>
            <w:vAlign w:val="top"/>
          </w:tcPr>
          <w:p w14:paraId="76453F85">
            <w:pPr>
              <w:rPr>
                <w:rFonts w:ascii="Arial"/>
                <w:sz w:val="21"/>
              </w:rPr>
            </w:pPr>
          </w:p>
        </w:tc>
        <w:tc>
          <w:tcPr>
            <w:tcW w:w="732" w:type="dxa"/>
            <w:vAlign w:val="top"/>
          </w:tcPr>
          <w:p w14:paraId="28419B41">
            <w:pPr>
              <w:rPr>
                <w:rFonts w:ascii="Arial"/>
                <w:sz w:val="21"/>
              </w:rPr>
            </w:pPr>
          </w:p>
        </w:tc>
        <w:tc>
          <w:tcPr>
            <w:tcW w:w="565" w:type="dxa"/>
            <w:vAlign w:val="top"/>
          </w:tcPr>
          <w:p w14:paraId="366792D3">
            <w:pPr>
              <w:rPr>
                <w:rFonts w:ascii="Arial"/>
                <w:sz w:val="21"/>
              </w:rPr>
            </w:pPr>
          </w:p>
        </w:tc>
        <w:tc>
          <w:tcPr>
            <w:tcW w:w="838" w:type="dxa"/>
            <w:vAlign w:val="top"/>
          </w:tcPr>
          <w:p w14:paraId="424E09B5">
            <w:pPr>
              <w:rPr>
                <w:rFonts w:ascii="Arial"/>
                <w:sz w:val="21"/>
              </w:rPr>
            </w:pPr>
          </w:p>
        </w:tc>
        <w:tc>
          <w:tcPr>
            <w:tcW w:w="776" w:type="dxa"/>
            <w:vAlign w:val="top"/>
          </w:tcPr>
          <w:p w14:paraId="7757F431">
            <w:pPr>
              <w:rPr>
                <w:rFonts w:ascii="Arial"/>
                <w:sz w:val="21"/>
              </w:rPr>
            </w:pPr>
          </w:p>
        </w:tc>
        <w:tc>
          <w:tcPr>
            <w:tcW w:w="938" w:type="dxa"/>
            <w:vAlign w:val="top"/>
          </w:tcPr>
          <w:p w14:paraId="3CA9CBF2">
            <w:pPr>
              <w:rPr>
                <w:rFonts w:ascii="Arial"/>
                <w:sz w:val="21"/>
              </w:rPr>
            </w:pPr>
          </w:p>
        </w:tc>
        <w:tc>
          <w:tcPr>
            <w:tcW w:w="522" w:type="dxa"/>
            <w:vAlign w:val="top"/>
          </w:tcPr>
          <w:p w14:paraId="4DB79D9D">
            <w:pPr>
              <w:rPr>
                <w:rFonts w:ascii="Arial"/>
                <w:sz w:val="21"/>
              </w:rPr>
            </w:pPr>
          </w:p>
        </w:tc>
        <w:tc>
          <w:tcPr>
            <w:tcW w:w="538" w:type="dxa"/>
            <w:tcBorders>
              <w:right w:val="single" w:color="000000" w:sz="10" w:space="0"/>
            </w:tcBorders>
            <w:vAlign w:val="top"/>
          </w:tcPr>
          <w:p w14:paraId="5BEC20F6">
            <w:pPr>
              <w:rPr>
                <w:rFonts w:ascii="Arial"/>
                <w:sz w:val="21"/>
              </w:rPr>
            </w:pPr>
          </w:p>
        </w:tc>
      </w:tr>
      <w:tr w14:paraId="7273C1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5" w:hRule="atLeast"/>
        </w:trPr>
        <w:tc>
          <w:tcPr>
            <w:tcW w:w="1568" w:type="dxa"/>
            <w:tcBorders>
              <w:left w:val="single" w:color="000000" w:sz="10" w:space="0"/>
              <w:bottom w:val="single" w:color="000000" w:sz="10" w:space="0"/>
            </w:tcBorders>
            <w:vAlign w:val="top"/>
          </w:tcPr>
          <w:p w14:paraId="1D1698FA">
            <w:pPr>
              <w:rPr>
                <w:rFonts w:ascii="Arial"/>
                <w:sz w:val="21"/>
              </w:rPr>
            </w:pPr>
          </w:p>
        </w:tc>
        <w:tc>
          <w:tcPr>
            <w:tcW w:w="708" w:type="dxa"/>
            <w:tcBorders>
              <w:bottom w:val="single" w:color="000000" w:sz="10" w:space="0"/>
            </w:tcBorders>
            <w:vAlign w:val="top"/>
          </w:tcPr>
          <w:p w14:paraId="2994D24F">
            <w:pPr>
              <w:rPr>
                <w:rFonts w:ascii="Arial"/>
                <w:sz w:val="21"/>
              </w:rPr>
            </w:pPr>
          </w:p>
        </w:tc>
        <w:tc>
          <w:tcPr>
            <w:tcW w:w="1106" w:type="dxa"/>
            <w:tcBorders>
              <w:bottom w:val="single" w:color="000000" w:sz="10" w:space="0"/>
            </w:tcBorders>
            <w:vAlign w:val="top"/>
          </w:tcPr>
          <w:p w14:paraId="0128BA90">
            <w:pPr>
              <w:rPr>
                <w:rFonts w:ascii="Arial"/>
                <w:sz w:val="21"/>
              </w:rPr>
            </w:pPr>
          </w:p>
        </w:tc>
        <w:tc>
          <w:tcPr>
            <w:tcW w:w="732" w:type="dxa"/>
            <w:tcBorders>
              <w:bottom w:val="single" w:color="000000" w:sz="10" w:space="0"/>
            </w:tcBorders>
            <w:vAlign w:val="top"/>
          </w:tcPr>
          <w:p w14:paraId="641C6103">
            <w:pPr>
              <w:rPr>
                <w:rFonts w:ascii="Arial"/>
                <w:sz w:val="21"/>
              </w:rPr>
            </w:pPr>
          </w:p>
        </w:tc>
        <w:tc>
          <w:tcPr>
            <w:tcW w:w="565" w:type="dxa"/>
            <w:tcBorders>
              <w:bottom w:val="single" w:color="000000" w:sz="10" w:space="0"/>
            </w:tcBorders>
            <w:vAlign w:val="top"/>
          </w:tcPr>
          <w:p w14:paraId="0BB316D5">
            <w:pPr>
              <w:rPr>
                <w:rFonts w:ascii="Arial"/>
                <w:sz w:val="21"/>
              </w:rPr>
            </w:pPr>
          </w:p>
        </w:tc>
        <w:tc>
          <w:tcPr>
            <w:tcW w:w="838" w:type="dxa"/>
            <w:tcBorders>
              <w:bottom w:val="single" w:color="000000" w:sz="10" w:space="0"/>
            </w:tcBorders>
            <w:vAlign w:val="top"/>
          </w:tcPr>
          <w:p w14:paraId="6D99AE12">
            <w:pPr>
              <w:rPr>
                <w:rFonts w:ascii="Arial"/>
                <w:sz w:val="21"/>
              </w:rPr>
            </w:pPr>
          </w:p>
        </w:tc>
        <w:tc>
          <w:tcPr>
            <w:tcW w:w="776" w:type="dxa"/>
            <w:tcBorders>
              <w:bottom w:val="single" w:color="000000" w:sz="10" w:space="0"/>
            </w:tcBorders>
            <w:vAlign w:val="top"/>
          </w:tcPr>
          <w:p w14:paraId="1DD2140D">
            <w:pPr>
              <w:rPr>
                <w:rFonts w:ascii="Arial"/>
                <w:sz w:val="21"/>
              </w:rPr>
            </w:pPr>
          </w:p>
        </w:tc>
        <w:tc>
          <w:tcPr>
            <w:tcW w:w="938" w:type="dxa"/>
            <w:tcBorders>
              <w:bottom w:val="single" w:color="000000" w:sz="10" w:space="0"/>
            </w:tcBorders>
            <w:vAlign w:val="top"/>
          </w:tcPr>
          <w:p w14:paraId="10260C4E">
            <w:pPr>
              <w:rPr>
                <w:rFonts w:ascii="Arial"/>
                <w:sz w:val="21"/>
              </w:rPr>
            </w:pPr>
          </w:p>
        </w:tc>
        <w:tc>
          <w:tcPr>
            <w:tcW w:w="522" w:type="dxa"/>
            <w:tcBorders>
              <w:bottom w:val="single" w:color="000000" w:sz="10" w:space="0"/>
            </w:tcBorders>
            <w:vAlign w:val="top"/>
          </w:tcPr>
          <w:p w14:paraId="54ACC5AC">
            <w:pPr>
              <w:rPr>
                <w:rFonts w:ascii="Arial"/>
                <w:sz w:val="21"/>
              </w:rPr>
            </w:pPr>
          </w:p>
        </w:tc>
        <w:tc>
          <w:tcPr>
            <w:tcW w:w="538" w:type="dxa"/>
            <w:tcBorders>
              <w:bottom w:val="single" w:color="000000" w:sz="10" w:space="0"/>
              <w:right w:val="single" w:color="000000" w:sz="10" w:space="0"/>
            </w:tcBorders>
            <w:vAlign w:val="top"/>
          </w:tcPr>
          <w:p w14:paraId="71B5F2A4">
            <w:pPr>
              <w:rPr>
                <w:rFonts w:ascii="Arial"/>
                <w:sz w:val="21"/>
              </w:rPr>
            </w:pPr>
          </w:p>
        </w:tc>
      </w:tr>
    </w:tbl>
    <w:p w14:paraId="036E52B4">
      <w:pPr>
        <w:pStyle w:val="3"/>
      </w:pPr>
    </w:p>
    <w:p w14:paraId="40B35008">
      <w:pPr>
        <w:sectPr>
          <w:footerReference r:id="rId143" w:type="default"/>
          <w:pgSz w:w="11905" w:h="16839"/>
          <w:pgMar w:top="400" w:right="1785" w:bottom="400" w:left="1785" w:header="0" w:footer="0" w:gutter="0"/>
          <w:pgNumType w:fmt="decimal"/>
          <w:cols w:space="720" w:num="1"/>
        </w:sectPr>
      </w:pPr>
    </w:p>
    <w:p w14:paraId="65807C75">
      <w:pPr>
        <w:pStyle w:val="3"/>
        <w:spacing w:line="276" w:lineRule="auto"/>
      </w:pPr>
    </w:p>
    <w:p w14:paraId="516B07A1">
      <w:pPr>
        <w:pStyle w:val="3"/>
        <w:spacing w:line="276" w:lineRule="auto"/>
      </w:pPr>
    </w:p>
    <w:p w14:paraId="330F7FF5">
      <w:pPr>
        <w:pStyle w:val="3"/>
        <w:spacing w:line="276" w:lineRule="auto"/>
      </w:pPr>
    </w:p>
    <w:p w14:paraId="661359D4">
      <w:pPr>
        <w:pStyle w:val="3"/>
        <w:spacing w:line="276" w:lineRule="auto"/>
      </w:pPr>
    </w:p>
    <w:p w14:paraId="67A02FFA">
      <w:pPr>
        <w:spacing w:before="78" w:line="219" w:lineRule="auto"/>
        <w:ind w:left="253"/>
        <w:rPr>
          <w:rFonts w:ascii="宋体" w:hAnsi="宋体" w:eastAsia="宋体" w:cs="宋体"/>
          <w:sz w:val="24"/>
          <w:szCs w:val="24"/>
        </w:rPr>
      </w:pPr>
      <w:r>
        <w:rPr>
          <w:rFonts w:ascii="宋体" w:hAnsi="宋体" w:eastAsia="宋体" w:cs="宋体"/>
          <w:spacing w:val="-9"/>
          <w:sz w:val="24"/>
          <w:szCs w:val="24"/>
        </w:rPr>
        <w:t>附件</w:t>
      </w:r>
      <w:r>
        <w:rPr>
          <w:rFonts w:ascii="宋体" w:hAnsi="宋体" w:eastAsia="宋体" w:cs="宋体"/>
          <w:spacing w:val="-55"/>
          <w:sz w:val="24"/>
          <w:szCs w:val="24"/>
        </w:rPr>
        <w:t xml:space="preserve"> </w:t>
      </w:r>
      <w:r>
        <w:rPr>
          <w:rFonts w:ascii="Times New Roman" w:hAnsi="Times New Roman" w:eastAsia="Times New Roman" w:cs="Times New Roman"/>
          <w:spacing w:val="-9"/>
          <w:sz w:val="24"/>
          <w:szCs w:val="24"/>
        </w:rPr>
        <w:t>2</w:t>
      </w:r>
      <w:r>
        <w:rPr>
          <w:rFonts w:ascii="宋体" w:hAnsi="宋体" w:eastAsia="宋体" w:cs="宋体"/>
          <w:spacing w:val="-9"/>
          <w:sz w:val="24"/>
          <w:szCs w:val="24"/>
        </w:rPr>
        <w:t>：</w:t>
      </w:r>
    </w:p>
    <w:p w14:paraId="01CA86AB">
      <w:pPr>
        <w:spacing w:before="243" w:line="224" w:lineRule="auto"/>
        <w:ind w:left="2716"/>
        <w:rPr>
          <w:rFonts w:ascii="黑体" w:hAnsi="黑体" w:eastAsia="黑体" w:cs="黑体"/>
          <w:sz w:val="27"/>
          <w:szCs w:val="27"/>
        </w:rPr>
      </w:pPr>
      <w:r>
        <w:rPr>
          <w:rFonts w:ascii="黑体" w:hAnsi="黑体" w:eastAsia="黑体" w:cs="黑体"/>
          <w:spacing w:val="8"/>
          <w:sz w:val="27"/>
          <w:szCs w:val="27"/>
        </w:rPr>
        <w:t>发包人供应材料设备一览表</w:t>
      </w:r>
    </w:p>
    <w:p w14:paraId="6403301F">
      <w:pPr>
        <w:spacing w:line="113" w:lineRule="exact"/>
      </w:pPr>
    </w:p>
    <w:tbl>
      <w:tblPr>
        <w:tblStyle w:val="10"/>
        <w:tblW w:w="8747" w:type="dxa"/>
        <w:tblInd w:w="1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77"/>
        <w:gridCol w:w="1130"/>
        <w:gridCol w:w="852"/>
        <w:gridCol w:w="704"/>
        <w:gridCol w:w="709"/>
        <w:gridCol w:w="847"/>
        <w:gridCol w:w="847"/>
        <w:gridCol w:w="800"/>
        <w:gridCol w:w="1465"/>
        <w:gridCol w:w="816"/>
      </w:tblGrid>
      <w:tr w14:paraId="6FB990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93" w:hRule="atLeast"/>
        </w:trPr>
        <w:tc>
          <w:tcPr>
            <w:tcW w:w="577" w:type="dxa"/>
            <w:tcBorders>
              <w:top w:val="single" w:color="000000" w:sz="10" w:space="0"/>
              <w:left w:val="single" w:color="000000" w:sz="10" w:space="0"/>
            </w:tcBorders>
            <w:textDirection w:val="tbRlV"/>
            <w:vAlign w:val="top"/>
          </w:tcPr>
          <w:p w14:paraId="554F2039">
            <w:pPr>
              <w:pStyle w:val="11"/>
              <w:spacing w:before="181" w:line="211" w:lineRule="auto"/>
              <w:ind w:left="178"/>
            </w:pPr>
            <w:r>
              <w:rPr>
                <w:spacing w:val="1"/>
              </w:rPr>
              <w:t>序</w:t>
            </w:r>
            <w:r>
              <w:rPr>
                <w:spacing w:val="10"/>
              </w:rPr>
              <w:t xml:space="preserve">  </w:t>
            </w:r>
            <w:r>
              <w:rPr>
                <w:spacing w:val="1"/>
              </w:rPr>
              <w:t>号</w:t>
            </w:r>
          </w:p>
        </w:tc>
        <w:tc>
          <w:tcPr>
            <w:tcW w:w="1130" w:type="dxa"/>
            <w:tcBorders>
              <w:top w:val="single" w:color="000000" w:sz="10" w:space="0"/>
            </w:tcBorders>
            <w:vAlign w:val="top"/>
          </w:tcPr>
          <w:p w14:paraId="3385DE11">
            <w:pPr>
              <w:pStyle w:val="11"/>
              <w:spacing w:before="178" w:line="441" w:lineRule="exact"/>
              <w:ind w:left="350"/>
            </w:pPr>
            <w:r>
              <w:rPr>
                <w:spacing w:val="-8"/>
                <w:position w:val="17"/>
              </w:rPr>
              <w:t>材料、</w:t>
            </w:r>
          </w:p>
          <w:p w14:paraId="323ABB19">
            <w:pPr>
              <w:pStyle w:val="11"/>
              <w:spacing w:line="221" w:lineRule="auto"/>
              <w:ind w:left="113"/>
            </w:pPr>
            <w:r>
              <w:rPr>
                <w:spacing w:val="-2"/>
              </w:rPr>
              <w:t>设备品种</w:t>
            </w:r>
          </w:p>
        </w:tc>
        <w:tc>
          <w:tcPr>
            <w:tcW w:w="852" w:type="dxa"/>
            <w:tcBorders>
              <w:top w:val="single" w:color="000000" w:sz="10" w:space="0"/>
            </w:tcBorders>
            <w:vAlign w:val="top"/>
          </w:tcPr>
          <w:p w14:paraId="1E595DAD">
            <w:pPr>
              <w:pStyle w:val="11"/>
              <w:spacing w:before="178" w:line="441" w:lineRule="exact"/>
              <w:ind w:left="215"/>
            </w:pPr>
            <w:r>
              <w:rPr>
                <w:spacing w:val="-2"/>
                <w:position w:val="17"/>
              </w:rPr>
              <w:t>规格</w:t>
            </w:r>
          </w:p>
          <w:p w14:paraId="311C35D8">
            <w:pPr>
              <w:pStyle w:val="11"/>
              <w:spacing w:line="222" w:lineRule="auto"/>
              <w:ind w:left="220"/>
            </w:pPr>
            <w:r>
              <w:rPr>
                <w:spacing w:val="-4"/>
              </w:rPr>
              <w:t>型号</w:t>
            </w:r>
          </w:p>
        </w:tc>
        <w:tc>
          <w:tcPr>
            <w:tcW w:w="704" w:type="dxa"/>
            <w:tcBorders>
              <w:top w:val="single" w:color="000000" w:sz="10" w:space="0"/>
            </w:tcBorders>
            <w:vAlign w:val="top"/>
          </w:tcPr>
          <w:p w14:paraId="75934F20">
            <w:pPr>
              <w:spacing w:line="329" w:lineRule="auto"/>
              <w:rPr>
                <w:rFonts w:ascii="Arial"/>
                <w:sz w:val="21"/>
              </w:rPr>
            </w:pPr>
          </w:p>
          <w:p w14:paraId="2A19337A">
            <w:pPr>
              <w:pStyle w:val="11"/>
              <w:spacing w:before="68" w:line="221" w:lineRule="auto"/>
              <w:ind w:left="141"/>
            </w:pPr>
            <w:r>
              <w:rPr>
                <w:spacing w:val="-2"/>
              </w:rPr>
              <w:t>单位</w:t>
            </w:r>
          </w:p>
        </w:tc>
        <w:tc>
          <w:tcPr>
            <w:tcW w:w="709" w:type="dxa"/>
            <w:tcBorders>
              <w:top w:val="single" w:color="000000" w:sz="10" w:space="0"/>
            </w:tcBorders>
            <w:vAlign w:val="top"/>
          </w:tcPr>
          <w:p w14:paraId="1DA0B006">
            <w:pPr>
              <w:spacing w:line="328" w:lineRule="auto"/>
              <w:rPr>
                <w:rFonts w:ascii="Arial"/>
                <w:sz w:val="21"/>
              </w:rPr>
            </w:pPr>
          </w:p>
          <w:p w14:paraId="40AD9287">
            <w:pPr>
              <w:pStyle w:val="11"/>
              <w:spacing w:before="68" w:line="221" w:lineRule="auto"/>
              <w:ind w:left="148"/>
            </w:pPr>
            <w:r>
              <w:rPr>
                <w:spacing w:val="-2"/>
              </w:rPr>
              <w:t>数量</w:t>
            </w:r>
          </w:p>
        </w:tc>
        <w:tc>
          <w:tcPr>
            <w:tcW w:w="847" w:type="dxa"/>
            <w:tcBorders>
              <w:top w:val="single" w:color="000000" w:sz="10" w:space="0"/>
            </w:tcBorders>
            <w:vAlign w:val="top"/>
          </w:tcPr>
          <w:p w14:paraId="7DDEC2CD">
            <w:pPr>
              <w:pStyle w:val="11"/>
              <w:spacing w:before="178" w:line="441" w:lineRule="exact"/>
              <w:ind w:left="217"/>
            </w:pPr>
            <w:r>
              <w:rPr>
                <w:spacing w:val="-2"/>
                <w:position w:val="17"/>
              </w:rPr>
              <w:t>单价</w:t>
            </w:r>
          </w:p>
          <w:p w14:paraId="4BCA3A19">
            <w:pPr>
              <w:pStyle w:val="11"/>
              <w:spacing w:line="221" w:lineRule="auto"/>
              <w:ind w:left="116"/>
            </w:pPr>
            <w:r>
              <w:rPr>
                <w:spacing w:val="-6"/>
              </w:rPr>
              <w:t>（元）</w:t>
            </w:r>
          </w:p>
        </w:tc>
        <w:tc>
          <w:tcPr>
            <w:tcW w:w="847" w:type="dxa"/>
            <w:tcBorders>
              <w:top w:val="single" w:color="000000" w:sz="10" w:space="0"/>
            </w:tcBorders>
            <w:vAlign w:val="top"/>
          </w:tcPr>
          <w:p w14:paraId="086F6C18">
            <w:pPr>
              <w:pStyle w:val="11"/>
              <w:spacing w:before="178" w:line="441" w:lineRule="exact"/>
              <w:ind w:left="224"/>
            </w:pPr>
            <w:r>
              <w:rPr>
                <w:spacing w:val="-2"/>
                <w:position w:val="17"/>
              </w:rPr>
              <w:t>质量</w:t>
            </w:r>
          </w:p>
          <w:p w14:paraId="27584344">
            <w:pPr>
              <w:pStyle w:val="11"/>
              <w:spacing w:line="220" w:lineRule="auto"/>
              <w:ind w:left="224"/>
            </w:pPr>
            <w:r>
              <w:rPr>
                <w:spacing w:val="-2"/>
              </w:rPr>
              <w:t>等级</w:t>
            </w:r>
          </w:p>
        </w:tc>
        <w:tc>
          <w:tcPr>
            <w:tcW w:w="800" w:type="dxa"/>
            <w:tcBorders>
              <w:top w:val="single" w:color="000000" w:sz="10" w:space="0"/>
            </w:tcBorders>
            <w:vAlign w:val="top"/>
          </w:tcPr>
          <w:p w14:paraId="7650610B">
            <w:pPr>
              <w:pStyle w:val="11"/>
              <w:spacing w:before="178" w:line="441" w:lineRule="exact"/>
              <w:ind w:left="202"/>
            </w:pPr>
            <w:r>
              <w:rPr>
                <w:spacing w:val="-2"/>
                <w:position w:val="17"/>
              </w:rPr>
              <w:t>供应</w:t>
            </w:r>
          </w:p>
          <w:p w14:paraId="1D956F69">
            <w:pPr>
              <w:pStyle w:val="11"/>
              <w:spacing w:line="222" w:lineRule="auto"/>
              <w:ind w:left="212"/>
            </w:pPr>
            <w:r>
              <w:rPr>
                <w:spacing w:val="-4"/>
              </w:rPr>
              <w:t>时间</w:t>
            </w:r>
          </w:p>
        </w:tc>
        <w:tc>
          <w:tcPr>
            <w:tcW w:w="1465" w:type="dxa"/>
            <w:tcBorders>
              <w:top w:val="single" w:color="000000" w:sz="10" w:space="0"/>
            </w:tcBorders>
            <w:vAlign w:val="top"/>
          </w:tcPr>
          <w:p w14:paraId="23013689">
            <w:pPr>
              <w:spacing w:line="328" w:lineRule="auto"/>
              <w:rPr>
                <w:rFonts w:ascii="Arial"/>
                <w:sz w:val="21"/>
              </w:rPr>
            </w:pPr>
          </w:p>
          <w:p w14:paraId="6FDA1EA1">
            <w:pPr>
              <w:pStyle w:val="11"/>
              <w:spacing w:before="68" w:line="225" w:lineRule="auto"/>
              <w:ind w:left="322"/>
            </w:pPr>
            <w:r>
              <w:rPr>
                <w:spacing w:val="-1"/>
              </w:rPr>
              <w:t>送达地点</w:t>
            </w:r>
          </w:p>
        </w:tc>
        <w:tc>
          <w:tcPr>
            <w:tcW w:w="816" w:type="dxa"/>
            <w:tcBorders>
              <w:top w:val="single" w:color="000000" w:sz="10" w:space="0"/>
              <w:right w:val="single" w:color="000000" w:sz="10" w:space="0"/>
            </w:tcBorders>
            <w:vAlign w:val="top"/>
          </w:tcPr>
          <w:p w14:paraId="1BA449F3">
            <w:pPr>
              <w:spacing w:line="328" w:lineRule="auto"/>
              <w:rPr>
                <w:rFonts w:ascii="Arial"/>
                <w:sz w:val="21"/>
              </w:rPr>
            </w:pPr>
          </w:p>
          <w:p w14:paraId="342557B3">
            <w:pPr>
              <w:pStyle w:val="11"/>
              <w:spacing w:before="68" w:line="222" w:lineRule="auto"/>
              <w:ind w:left="206"/>
            </w:pPr>
            <w:r>
              <w:rPr>
                <w:spacing w:val="-3"/>
              </w:rPr>
              <w:t>备注</w:t>
            </w:r>
          </w:p>
        </w:tc>
      </w:tr>
      <w:tr w14:paraId="6FB3D0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8" w:hRule="atLeast"/>
        </w:trPr>
        <w:tc>
          <w:tcPr>
            <w:tcW w:w="577" w:type="dxa"/>
            <w:tcBorders>
              <w:left w:val="single" w:color="000000" w:sz="10" w:space="0"/>
            </w:tcBorders>
            <w:vAlign w:val="top"/>
          </w:tcPr>
          <w:p w14:paraId="2C4EE5C9">
            <w:pPr>
              <w:rPr>
                <w:rFonts w:ascii="Arial"/>
                <w:sz w:val="21"/>
              </w:rPr>
            </w:pPr>
          </w:p>
        </w:tc>
        <w:tc>
          <w:tcPr>
            <w:tcW w:w="1130" w:type="dxa"/>
            <w:vAlign w:val="top"/>
          </w:tcPr>
          <w:p w14:paraId="09BBEF3D">
            <w:pPr>
              <w:rPr>
                <w:rFonts w:ascii="Arial"/>
                <w:sz w:val="21"/>
              </w:rPr>
            </w:pPr>
          </w:p>
        </w:tc>
        <w:tc>
          <w:tcPr>
            <w:tcW w:w="852" w:type="dxa"/>
            <w:vAlign w:val="top"/>
          </w:tcPr>
          <w:p w14:paraId="57D26421">
            <w:pPr>
              <w:rPr>
                <w:rFonts w:ascii="Arial"/>
                <w:sz w:val="21"/>
              </w:rPr>
            </w:pPr>
          </w:p>
        </w:tc>
        <w:tc>
          <w:tcPr>
            <w:tcW w:w="704" w:type="dxa"/>
            <w:vAlign w:val="top"/>
          </w:tcPr>
          <w:p w14:paraId="11169130">
            <w:pPr>
              <w:rPr>
                <w:rFonts w:ascii="Arial"/>
                <w:sz w:val="21"/>
              </w:rPr>
            </w:pPr>
          </w:p>
        </w:tc>
        <w:tc>
          <w:tcPr>
            <w:tcW w:w="709" w:type="dxa"/>
            <w:vAlign w:val="top"/>
          </w:tcPr>
          <w:p w14:paraId="48D117F3">
            <w:pPr>
              <w:rPr>
                <w:rFonts w:ascii="Arial"/>
                <w:sz w:val="21"/>
              </w:rPr>
            </w:pPr>
          </w:p>
        </w:tc>
        <w:tc>
          <w:tcPr>
            <w:tcW w:w="847" w:type="dxa"/>
            <w:vAlign w:val="top"/>
          </w:tcPr>
          <w:p w14:paraId="1C6A7B13">
            <w:pPr>
              <w:rPr>
                <w:rFonts w:ascii="Arial"/>
                <w:sz w:val="21"/>
              </w:rPr>
            </w:pPr>
          </w:p>
        </w:tc>
        <w:tc>
          <w:tcPr>
            <w:tcW w:w="847" w:type="dxa"/>
            <w:vAlign w:val="top"/>
          </w:tcPr>
          <w:p w14:paraId="42A51D9A">
            <w:pPr>
              <w:rPr>
                <w:rFonts w:ascii="Arial"/>
                <w:sz w:val="21"/>
              </w:rPr>
            </w:pPr>
          </w:p>
        </w:tc>
        <w:tc>
          <w:tcPr>
            <w:tcW w:w="800" w:type="dxa"/>
            <w:vAlign w:val="top"/>
          </w:tcPr>
          <w:p w14:paraId="6A2F29F4">
            <w:pPr>
              <w:rPr>
                <w:rFonts w:ascii="Arial"/>
                <w:sz w:val="21"/>
              </w:rPr>
            </w:pPr>
          </w:p>
        </w:tc>
        <w:tc>
          <w:tcPr>
            <w:tcW w:w="1465" w:type="dxa"/>
            <w:vAlign w:val="top"/>
          </w:tcPr>
          <w:p w14:paraId="7ED9DDBB">
            <w:pPr>
              <w:rPr>
                <w:rFonts w:ascii="Arial"/>
                <w:sz w:val="21"/>
              </w:rPr>
            </w:pPr>
          </w:p>
        </w:tc>
        <w:tc>
          <w:tcPr>
            <w:tcW w:w="816" w:type="dxa"/>
            <w:tcBorders>
              <w:right w:val="single" w:color="000000" w:sz="10" w:space="0"/>
            </w:tcBorders>
            <w:vAlign w:val="top"/>
          </w:tcPr>
          <w:p w14:paraId="2C1E332F">
            <w:pPr>
              <w:rPr>
                <w:rFonts w:ascii="Arial"/>
                <w:sz w:val="21"/>
              </w:rPr>
            </w:pPr>
          </w:p>
        </w:tc>
      </w:tr>
      <w:tr w14:paraId="58311A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75" w:hRule="atLeast"/>
        </w:trPr>
        <w:tc>
          <w:tcPr>
            <w:tcW w:w="577" w:type="dxa"/>
            <w:tcBorders>
              <w:left w:val="single" w:color="000000" w:sz="10" w:space="0"/>
            </w:tcBorders>
            <w:vAlign w:val="top"/>
          </w:tcPr>
          <w:p w14:paraId="66DEAD24">
            <w:pPr>
              <w:rPr>
                <w:rFonts w:ascii="Arial"/>
                <w:sz w:val="21"/>
              </w:rPr>
            </w:pPr>
          </w:p>
        </w:tc>
        <w:tc>
          <w:tcPr>
            <w:tcW w:w="1130" w:type="dxa"/>
            <w:vAlign w:val="top"/>
          </w:tcPr>
          <w:p w14:paraId="050D996A">
            <w:pPr>
              <w:rPr>
                <w:rFonts w:ascii="Arial"/>
                <w:sz w:val="21"/>
              </w:rPr>
            </w:pPr>
          </w:p>
        </w:tc>
        <w:tc>
          <w:tcPr>
            <w:tcW w:w="852" w:type="dxa"/>
            <w:vAlign w:val="top"/>
          </w:tcPr>
          <w:p w14:paraId="5D22425E">
            <w:pPr>
              <w:rPr>
                <w:rFonts w:ascii="Arial"/>
                <w:sz w:val="21"/>
              </w:rPr>
            </w:pPr>
          </w:p>
        </w:tc>
        <w:tc>
          <w:tcPr>
            <w:tcW w:w="704" w:type="dxa"/>
            <w:vAlign w:val="top"/>
          </w:tcPr>
          <w:p w14:paraId="72FC1E7B">
            <w:pPr>
              <w:rPr>
                <w:rFonts w:ascii="Arial"/>
                <w:sz w:val="21"/>
              </w:rPr>
            </w:pPr>
          </w:p>
        </w:tc>
        <w:tc>
          <w:tcPr>
            <w:tcW w:w="709" w:type="dxa"/>
            <w:vAlign w:val="top"/>
          </w:tcPr>
          <w:p w14:paraId="594376C3">
            <w:pPr>
              <w:rPr>
                <w:rFonts w:ascii="Arial"/>
                <w:sz w:val="21"/>
              </w:rPr>
            </w:pPr>
          </w:p>
        </w:tc>
        <w:tc>
          <w:tcPr>
            <w:tcW w:w="847" w:type="dxa"/>
            <w:vAlign w:val="top"/>
          </w:tcPr>
          <w:p w14:paraId="414AD573">
            <w:pPr>
              <w:rPr>
                <w:rFonts w:ascii="Arial"/>
                <w:sz w:val="21"/>
              </w:rPr>
            </w:pPr>
          </w:p>
        </w:tc>
        <w:tc>
          <w:tcPr>
            <w:tcW w:w="847" w:type="dxa"/>
            <w:vAlign w:val="top"/>
          </w:tcPr>
          <w:p w14:paraId="5DC7A867">
            <w:pPr>
              <w:rPr>
                <w:rFonts w:ascii="Arial"/>
                <w:sz w:val="21"/>
              </w:rPr>
            </w:pPr>
          </w:p>
        </w:tc>
        <w:tc>
          <w:tcPr>
            <w:tcW w:w="800" w:type="dxa"/>
            <w:vAlign w:val="top"/>
          </w:tcPr>
          <w:p w14:paraId="7B1B636E">
            <w:pPr>
              <w:rPr>
                <w:rFonts w:ascii="Arial"/>
                <w:sz w:val="21"/>
              </w:rPr>
            </w:pPr>
          </w:p>
        </w:tc>
        <w:tc>
          <w:tcPr>
            <w:tcW w:w="1465" w:type="dxa"/>
            <w:vAlign w:val="top"/>
          </w:tcPr>
          <w:p w14:paraId="33285A41">
            <w:pPr>
              <w:rPr>
                <w:rFonts w:ascii="Arial"/>
                <w:sz w:val="21"/>
              </w:rPr>
            </w:pPr>
          </w:p>
        </w:tc>
        <w:tc>
          <w:tcPr>
            <w:tcW w:w="816" w:type="dxa"/>
            <w:tcBorders>
              <w:right w:val="single" w:color="000000" w:sz="10" w:space="0"/>
            </w:tcBorders>
            <w:vAlign w:val="top"/>
          </w:tcPr>
          <w:p w14:paraId="283FD58A">
            <w:pPr>
              <w:rPr>
                <w:rFonts w:ascii="Arial"/>
                <w:sz w:val="21"/>
              </w:rPr>
            </w:pPr>
          </w:p>
        </w:tc>
      </w:tr>
      <w:tr w14:paraId="15098C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9" w:hRule="atLeast"/>
        </w:trPr>
        <w:tc>
          <w:tcPr>
            <w:tcW w:w="577" w:type="dxa"/>
            <w:tcBorders>
              <w:left w:val="single" w:color="000000" w:sz="10" w:space="0"/>
            </w:tcBorders>
            <w:vAlign w:val="top"/>
          </w:tcPr>
          <w:p w14:paraId="15F3EC8D">
            <w:pPr>
              <w:rPr>
                <w:rFonts w:ascii="Arial"/>
                <w:sz w:val="21"/>
              </w:rPr>
            </w:pPr>
          </w:p>
        </w:tc>
        <w:tc>
          <w:tcPr>
            <w:tcW w:w="1130" w:type="dxa"/>
            <w:vAlign w:val="top"/>
          </w:tcPr>
          <w:p w14:paraId="3BB991E3">
            <w:pPr>
              <w:rPr>
                <w:rFonts w:ascii="Arial"/>
                <w:sz w:val="21"/>
              </w:rPr>
            </w:pPr>
          </w:p>
        </w:tc>
        <w:tc>
          <w:tcPr>
            <w:tcW w:w="852" w:type="dxa"/>
            <w:vAlign w:val="top"/>
          </w:tcPr>
          <w:p w14:paraId="40F77C9C">
            <w:pPr>
              <w:rPr>
                <w:rFonts w:ascii="Arial"/>
                <w:sz w:val="21"/>
              </w:rPr>
            </w:pPr>
          </w:p>
        </w:tc>
        <w:tc>
          <w:tcPr>
            <w:tcW w:w="704" w:type="dxa"/>
            <w:vAlign w:val="top"/>
          </w:tcPr>
          <w:p w14:paraId="6910509C">
            <w:pPr>
              <w:rPr>
                <w:rFonts w:ascii="Arial"/>
                <w:sz w:val="21"/>
              </w:rPr>
            </w:pPr>
          </w:p>
        </w:tc>
        <w:tc>
          <w:tcPr>
            <w:tcW w:w="709" w:type="dxa"/>
            <w:vAlign w:val="top"/>
          </w:tcPr>
          <w:p w14:paraId="38786FE5">
            <w:pPr>
              <w:rPr>
                <w:rFonts w:ascii="Arial"/>
                <w:sz w:val="21"/>
              </w:rPr>
            </w:pPr>
          </w:p>
        </w:tc>
        <w:tc>
          <w:tcPr>
            <w:tcW w:w="847" w:type="dxa"/>
            <w:vAlign w:val="top"/>
          </w:tcPr>
          <w:p w14:paraId="29D48A66">
            <w:pPr>
              <w:rPr>
                <w:rFonts w:ascii="Arial"/>
                <w:sz w:val="21"/>
              </w:rPr>
            </w:pPr>
          </w:p>
        </w:tc>
        <w:tc>
          <w:tcPr>
            <w:tcW w:w="847" w:type="dxa"/>
            <w:vAlign w:val="top"/>
          </w:tcPr>
          <w:p w14:paraId="659489FE">
            <w:pPr>
              <w:rPr>
                <w:rFonts w:ascii="Arial"/>
                <w:sz w:val="21"/>
              </w:rPr>
            </w:pPr>
          </w:p>
        </w:tc>
        <w:tc>
          <w:tcPr>
            <w:tcW w:w="800" w:type="dxa"/>
            <w:vAlign w:val="top"/>
          </w:tcPr>
          <w:p w14:paraId="316E9E97">
            <w:pPr>
              <w:rPr>
                <w:rFonts w:ascii="Arial"/>
                <w:sz w:val="21"/>
              </w:rPr>
            </w:pPr>
          </w:p>
        </w:tc>
        <w:tc>
          <w:tcPr>
            <w:tcW w:w="1465" w:type="dxa"/>
            <w:vAlign w:val="top"/>
          </w:tcPr>
          <w:p w14:paraId="22DA4B0B">
            <w:pPr>
              <w:rPr>
                <w:rFonts w:ascii="Arial"/>
                <w:sz w:val="21"/>
              </w:rPr>
            </w:pPr>
          </w:p>
        </w:tc>
        <w:tc>
          <w:tcPr>
            <w:tcW w:w="816" w:type="dxa"/>
            <w:tcBorders>
              <w:right w:val="single" w:color="000000" w:sz="10" w:space="0"/>
            </w:tcBorders>
            <w:vAlign w:val="top"/>
          </w:tcPr>
          <w:p w14:paraId="5CCD441C">
            <w:pPr>
              <w:rPr>
                <w:rFonts w:ascii="Arial"/>
                <w:sz w:val="21"/>
              </w:rPr>
            </w:pPr>
          </w:p>
        </w:tc>
      </w:tr>
      <w:tr w14:paraId="7B3207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9" w:hRule="atLeast"/>
        </w:trPr>
        <w:tc>
          <w:tcPr>
            <w:tcW w:w="577" w:type="dxa"/>
            <w:tcBorders>
              <w:left w:val="single" w:color="000000" w:sz="10" w:space="0"/>
            </w:tcBorders>
            <w:vAlign w:val="top"/>
          </w:tcPr>
          <w:p w14:paraId="36A2A82A">
            <w:pPr>
              <w:rPr>
                <w:rFonts w:ascii="Arial"/>
                <w:sz w:val="21"/>
              </w:rPr>
            </w:pPr>
          </w:p>
        </w:tc>
        <w:tc>
          <w:tcPr>
            <w:tcW w:w="1130" w:type="dxa"/>
            <w:vAlign w:val="top"/>
          </w:tcPr>
          <w:p w14:paraId="7241C941">
            <w:pPr>
              <w:rPr>
                <w:rFonts w:ascii="Arial"/>
                <w:sz w:val="21"/>
              </w:rPr>
            </w:pPr>
          </w:p>
        </w:tc>
        <w:tc>
          <w:tcPr>
            <w:tcW w:w="852" w:type="dxa"/>
            <w:vAlign w:val="top"/>
          </w:tcPr>
          <w:p w14:paraId="416ABEDF">
            <w:pPr>
              <w:rPr>
                <w:rFonts w:ascii="Arial"/>
                <w:sz w:val="21"/>
              </w:rPr>
            </w:pPr>
          </w:p>
        </w:tc>
        <w:tc>
          <w:tcPr>
            <w:tcW w:w="704" w:type="dxa"/>
            <w:vAlign w:val="top"/>
          </w:tcPr>
          <w:p w14:paraId="6659DE22">
            <w:pPr>
              <w:rPr>
                <w:rFonts w:ascii="Arial"/>
                <w:sz w:val="21"/>
              </w:rPr>
            </w:pPr>
          </w:p>
        </w:tc>
        <w:tc>
          <w:tcPr>
            <w:tcW w:w="709" w:type="dxa"/>
            <w:vAlign w:val="top"/>
          </w:tcPr>
          <w:p w14:paraId="5DE43175">
            <w:pPr>
              <w:rPr>
                <w:rFonts w:ascii="Arial"/>
                <w:sz w:val="21"/>
              </w:rPr>
            </w:pPr>
          </w:p>
        </w:tc>
        <w:tc>
          <w:tcPr>
            <w:tcW w:w="847" w:type="dxa"/>
            <w:vAlign w:val="top"/>
          </w:tcPr>
          <w:p w14:paraId="14CB946C">
            <w:pPr>
              <w:rPr>
                <w:rFonts w:ascii="Arial"/>
                <w:sz w:val="21"/>
              </w:rPr>
            </w:pPr>
          </w:p>
        </w:tc>
        <w:tc>
          <w:tcPr>
            <w:tcW w:w="847" w:type="dxa"/>
            <w:vAlign w:val="top"/>
          </w:tcPr>
          <w:p w14:paraId="0858C9C3">
            <w:pPr>
              <w:rPr>
                <w:rFonts w:ascii="Arial"/>
                <w:sz w:val="21"/>
              </w:rPr>
            </w:pPr>
          </w:p>
        </w:tc>
        <w:tc>
          <w:tcPr>
            <w:tcW w:w="800" w:type="dxa"/>
            <w:vAlign w:val="top"/>
          </w:tcPr>
          <w:p w14:paraId="6A77451D">
            <w:pPr>
              <w:rPr>
                <w:rFonts w:ascii="Arial"/>
                <w:sz w:val="21"/>
              </w:rPr>
            </w:pPr>
          </w:p>
        </w:tc>
        <w:tc>
          <w:tcPr>
            <w:tcW w:w="1465" w:type="dxa"/>
            <w:vAlign w:val="top"/>
          </w:tcPr>
          <w:p w14:paraId="77546121">
            <w:pPr>
              <w:rPr>
                <w:rFonts w:ascii="Arial"/>
                <w:sz w:val="21"/>
              </w:rPr>
            </w:pPr>
          </w:p>
        </w:tc>
        <w:tc>
          <w:tcPr>
            <w:tcW w:w="816" w:type="dxa"/>
            <w:tcBorders>
              <w:right w:val="single" w:color="000000" w:sz="10" w:space="0"/>
            </w:tcBorders>
            <w:vAlign w:val="top"/>
          </w:tcPr>
          <w:p w14:paraId="7C96D358">
            <w:pPr>
              <w:rPr>
                <w:rFonts w:ascii="Arial"/>
                <w:sz w:val="21"/>
              </w:rPr>
            </w:pPr>
          </w:p>
        </w:tc>
      </w:tr>
      <w:tr w14:paraId="6E20E2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70" w:hRule="atLeast"/>
        </w:trPr>
        <w:tc>
          <w:tcPr>
            <w:tcW w:w="577" w:type="dxa"/>
            <w:tcBorders>
              <w:left w:val="single" w:color="000000" w:sz="10" w:space="0"/>
            </w:tcBorders>
            <w:vAlign w:val="top"/>
          </w:tcPr>
          <w:p w14:paraId="1C5B2BFD">
            <w:pPr>
              <w:rPr>
                <w:rFonts w:ascii="Arial"/>
                <w:sz w:val="21"/>
              </w:rPr>
            </w:pPr>
          </w:p>
        </w:tc>
        <w:tc>
          <w:tcPr>
            <w:tcW w:w="1130" w:type="dxa"/>
            <w:vAlign w:val="top"/>
          </w:tcPr>
          <w:p w14:paraId="77AB0956">
            <w:pPr>
              <w:rPr>
                <w:rFonts w:ascii="Arial"/>
                <w:sz w:val="21"/>
              </w:rPr>
            </w:pPr>
          </w:p>
        </w:tc>
        <w:tc>
          <w:tcPr>
            <w:tcW w:w="852" w:type="dxa"/>
            <w:vAlign w:val="top"/>
          </w:tcPr>
          <w:p w14:paraId="5A24BBF6">
            <w:pPr>
              <w:rPr>
                <w:rFonts w:ascii="Arial"/>
                <w:sz w:val="21"/>
              </w:rPr>
            </w:pPr>
          </w:p>
        </w:tc>
        <w:tc>
          <w:tcPr>
            <w:tcW w:w="704" w:type="dxa"/>
            <w:vAlign w:val="top"/>
          </w:tcPr>
          <w:p w14:paraId="53579CDC">
            <w:pPr>
              <w:rPr>
                <w:rFonts w:ascii="Arial"/>
                <w:sz w:val="21"/>
              </w:rPr>
            </w:pPr>
          </w:p>
        </w:tc>
        <w:tc>
          <w:tcPr>
            <w:tcW w:w="709" w:type="dxa"/>
            <w:vAlign w:val="top"/>
          </w:tcPr>
          <w:p w14:paraId="7EA3D222">
            <w:pPr>
              <w:rPr>
                <w:rFonts w:ascii="Arial"/>
                <w:sz w:val="21"/>
              </w:rPr>
            </w:pPr>
          </w:p>
        </w:tc>
        <w:tc>
          <w:tcPr>
            <w:tcW w:w="847" w:type="dxa"/>
            <w:vAlign w:val="top"/>
          </w:tcPr>
          <w:p w14:paraId="55213170">
            <w:pPr>
              <w:rPr>
                <w:rFonts w:ascii="Arial"/>
                <w:sz w:val="21"/>
              </w:rPr>
            </w:pPr>
          </w:p>
        </w:tc>
        <w:tc>
          <w:tcPr>
            <w:tcW w:w="847" w:type="dxa"/>
            <w:vAlign w:val="top"/>
          </w:tcPr>
          <w:p w14:paraId="4B9982BD">
            <w:pPr>
              <w:rPr>
                <w:rFonts w:ascii="Arial"/>
                <w:sz w:val="21"/>
              </w:rPr>
            </w:pPr>
          </w:p>
        </w:tc>
        <w:tc>
          <w:tcPr>
            <w:tcW w:w="800" w:type="dxa"/>
            <w:vAlign w:val="top"/>
          </w:tcPr>
          <w:p w14:paraId="784AE9B7">
            <w:pPr>
              <w:rPr>
                <w:rFonts w:ascii="Arial"/>
                <w:sz w:val="21"/>
              </w:rPr>
            </w:pPr>
          </w:p>
        </w:tc>
        <w:tc>
          <w:tcPr>
            <w:tcW w:w="1465" w:type="dxa"/>
            <w:vAlign w:val="top"/>
          </w:tcPr>
          <w:p w14:paraId="70DB7428">
            <w:pPr>
              <w:rPr>
                <w:rFonts w:ascii="Arial"/>
                <w:sz w:val="21"/>
              </w:rPr>
            </w:pPr>
          </w:p>
        </w:tc>
        <w:tc>
          <w:tcPr>
            <w:tcW w:w="816" w:type="dxa"/>
            <w:tcBorders>
              <w:right w:val="single" w:color="000000" w:sz="10" w:space="0"/>
            </w:tcBorders>
            <w:vAlign w:val="top"/>
          </w:tcPr>
          <w:p w14:paraId="03F6A26D">
            <w:pPr>
              <w:rPr>
                <w:rFonts w:ascii="Arial"/>
                <w:sz w:val="21"/>
              </w:rPr>
            </w:pPr>
          </w:p>
        </w:tc>
      </w:tr>
      <w:tr w14:paraId="0C3F0E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74" w:hRule="atLeast"/>
        </w:trPr>
        <w:tc>
          <w:tcPr>
            <w:tcW w:w="577" w:type="dxa"/>
            <w:tcBorders>
              <w:left w:val="single" w:color="000000" w:sz="10" w:space="0"/>
            </w:tcBorders>
            <w:vAlign w:val="top"/>
          </w:tcPr>
          <w:p w14:paraId="240FDC4F">
            <w:pPr>
              <w:rPr>
                <w:rFonts w:ascii="Arial"/>
                <w:sz w:val="21"/>
              </w:rPr>
            </w:pPr>
          </w:p>
        </w:tc>
        <w:tc>
          <w:tcPr>
            <w:tcW w:w="1130" w:type="dxa"/>
            <w:vAlign w:val="top"/>
          </w:tcPr>
          <w:p w14:paraId="55945527">
            <w:pPr>
              <w:rPr>
                <w:rFonts w:ascii="Arial"/>
                <w:sz w:val="21"/>
              </w:rPr>
            </w:pPr>
          </w:p>
        </w:tc>
        <w:tc>
          <w:tcPr>
            <w:tcW w:w="852" w:type="dxa"/>
            <w:vAlign w:val="top"/>
          </w:tcPr>
          <w:p w14:paraId="450247F1">
            <w:pPr>
              <w:rPr>
                <w:rFonts w:ascii="Arial"/>
                <w:sz w:val="21"/>
              </w:rPr>
            </w:pPr>
          </w:p>
        </w:tc>
        <w:tc>
          <w:tcPr>
            <w:tcW w:w="704" w:type="dxa"/>
            <w:vAlign w:val="top"/>
          </w:tcPr>
          <w:p w14:paraId="33DC353F">
            <w:pPr>
              <w:rPr>
                <w:rFonts w:ascii="Arial"/>
                <w:sz w:val="21"/>
              </w:rPr>
            </w:pPr>
          </w:p>
        </w:tc>
        <w:tc>
          <w:tcPr>
            <w:tcW w:w="709" w:type="dxa"/>
            <w:vAlign w:val="top"/>
          </w:tcPr>
          <w:p w14:paraId="2CA78C07">
            <w:pPr>
              <w:rPr>
                <w:rFonts w:ascii="Arial"/>
                <w:sz w:val="21"/>
              </w:rPr>
            </w:pPr>
          </w:p>
        </w:tc>
        <w:tc>
          <w:tcPr>
            <w:tcW w:w="847" w:type="dxa"/>
            <w:vAlign w:val="top"/>
          </w:tcPr>
          <w:p w14:paraId="59CD6DEC">
            <w:pPr>
              <w:rPr>
                <w:rFonts w:ascii="Arial"/>
                <w:sz w:val="21"/>
              </w:rPr>
            </w:pPr>
          </w:p>
        </w:tc>
        <w:tc>
          <w:tcPr>
            <w:tcW w:w="847" w:type="dxa"/>
            <w:vAlign w:val="top"/>
          </w:tcPr>
          <w:p w14:paraId="6CE97B38">
            <w:pPr>
              <w:rPr>
                <w:rFonts w:ascii="Arial"/>
                <w:sz w:val="21"/>
              </w:rPr>
            </w:pPr>
          </w:p>
        </w:tc>
        <w:tc>
          <w:tcPr>
            <w:tcW w:w="800" w:type="dxa"/>
            <w:vAlign w:val="top"/>
          </w:tcPr>
          <w:p w14:paraId="02486E89">
            <w:pPr>
              <w:rPr>
                <w:rFonts w:ascii="Arial"/>
                <w:sz w:val="21"/>
              </w:rPr>
            </w:pPr>
          </w:p>
        </w:tc>
        <w:tc>
          <w:tcPr>
            <w:tcW w:w="1465" w:type="dxa"/>
            <w:vAlign w:val="top"/>
          </w:tcPr>
          <w:p w14:paraId="2CA17B38">
            <w:pPr>
              <w:rPr>
                <w:rFonts w:ascii="Arial"/>
                <w:sz w:val="21"/>
              </w:rPr>
            </w:pPr>
          </w:p>
        </w:tc>
        <w:tc>
          <w:tcPr>
            <w:tcW w:w="816" w:type="dxa"/>
            <w:tcBorders>
              <w:right w:val="single" w:color="000000" w:sz="10" w:space="0"/>
            </w:tcBorders>
            <w:vAlign w:val="top"/>
          </w:tcPr>
          <w:p w14:paraId="74B09B8A">
            <w:pPr>
              <w:rPr>
                <w:rFonts w:ascii="Arial"/>
                <w:sz w:val="21"/>
              </w:rPr>
            </w:pPr>
          </w:p>
        </w:tc>
      </w:tr>
      <w:tr w14:paraId="1D8391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9" w:hRule="atLeast"/>
        </w:trPr>
        <w:tc>
          <w:tcPr>
            <w:tcW w:w="577" w:type="dxa"/>
            <w:tcBorders>
              <w:left w:val="single" w:color="000000" w:sz="10" w:space="0"/>
            </w:tcBorders>
            <w:vAlign w:val="top"/>
          </w:tcPr>
          <w:p w14:paraId="7E73C475">
            <w:pPr>
              <w:rPr>
                <w:rFonts w:ascii="Arial"/>
                <w:sz w:val="21"/>
              </w:rPr>
            </w:pPr>
          </w:p>
        </w:tc>
        <w:tc>
          <w:tcPr>
            <w:tcW w:w="1130" w:type="dxa"/>
            <w:vAlign w:val="top"/>
          </w:tcPr>
          <w:p w14:paraId="458EC103">
            <w:pPr>
              <w:rPr>
                <w:rFonts w:ascii="Arial"/>
                <w:sz w:val="21"/>
              </w:rPr>
            </w:pPr>
          </w:p>
        </w:tc>
        <w:tc>
          <w:tcPr>
            <w:tcW w:w="852" w:type="dxa"/>
            <w:vAlign w:val="top"/>
          </w:tcPr>
          <w:p w14:paraId="4568E187">
            <w:pPr>
              <w:rPr>
                <w:rFonts w:ascii="Arial"/>
                <w:sz w:val="21"/>
              </w:rPr>
            </w:pPr>
          </w:p>
        </w:tc>
        <w:tc>
          <w:tcPr>
            <w:tcW w:w="704" w:type="dxa"/>
            <w:vAlign w:val="top"/>
          </w:tcPr>
          <w:p w14:paraId="174FE589">
            <w:pPr>
              <w:rPr>
                <w:rFonts w:ascii="Arial"/>
                <w:sz w:val="21"/>
              </w:rPr>
            </w:pPr>
          </w:p>
        </w:tc>
        <w:tc>
          <w:tcPr>
            <w:tcW w:w="709" w:type="dxa"/>
            <w:vAlign w:val="top"/>
          </w:tcPr>
          <w:p w14:paraId="19CB7DE1">
            <w:pPr>
              <w:rPr>
                <w:rFonts w:ascii="Arial"/>
                <w:sz w:val="21"/>
              </w:rPr>
            </w:pPr>
          </w:p>
        </w:tc>
        <w:tc>
          <w:tcPr>
            <w:tcW w:w="847" w:type="dxa"/>
            <w:vAlign w:val="top"/>
          </w:tcPr>
          <w:p w14:paraId="07E5019F">
            <w:pPr>
              <w:rPr>
                <w:rFonts w:ascii="Arial"/>
                <w:sz w:val="21"/>
              </w:rPr>
            </w:pPr>
          </w:p>
        </w:tc>
        <w:tc>
          <w:tcPr>
            <w:tcW w:w="847" w:type="dxa"/>
            <w:vAlign w:val="top"/>
          </w:tcPr>
          <w:p w14:paraId="3FD37E30">
            <w:pPr>
              <w:rPr>
                <w:rFonts w:ascii="Arial"/>
                <w:sz w:val="21"/>
              </w:rPr>
            </w:pPr>
          </w:p>
        </w:tc>
        <w:tc>
          <w:tcPr>
            <w:tcW w:w="800" w:type="dxa"/>
            <w:vAlign w:val="top"/>
          </w:tcPr>
          <w:p w14:paraId="7777DFD8">
            <w:pPr>
              <w:rPr>
                <w:rFonts w:ascii="Arial"/>
                <w:sz w:val="21"/>
              </w:rPr>
            </w:pPr>
          </w:p>
        </w:tc>
        <w:tc>
          <w:tcPr>
            <w:tcW w:w="1465" w:type="dxa"/>
            <w:vAlign w:val="top"/>
          </w:tcPr>
          <w:p w14:paraId="3C4B438E">
            <w:pPr>
              <w:rPr>
                <w:rFonts w:ascii="Arial"/>
                <w:sz w:val="21"/>
              </w:rPr>
            </w:pPr>
          </w:p>
        </w:tc>
        <w:tc>
          <w:tcPr>
            <w:tcW w:w="816" w:type="dxa"/>
            <w:tcBorders>
              <w:right w:val="single" w:color="000000" w:sz="10" w:space="0"/>
            </w:tcBorders>
            <w:vAlign w:val="top"/>
          </w:tcPr>
          <w:p w14:paraId="6CD44312">
            <w:pPr>
              <w:rPr>
                <w:rFonts w:ascii="Arial"/>
                <w:sz w:val="21"/>
              </w:rPr>
            </w:pPr>
          </w:p>
        </w:tc>
      </w:tr>
      <w:tr w14:paraId="26E680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0" w:hRule="atLeast"/>
        </w:trPr>
        <w:tc>
          <w:tcPr>
            <w:tcW w:w="577" w:type="dxa"/>
            <w:tcBorders>
              <w:left w:val="single" w:color="000000" w:sz="10" w:space="0"/>
            </w:tcBorders>
            <w:vAlign w:val="top"/>
          </w:tcPr>
          <w:p w14:paraId="4FE1CDDF">
            <w:pPr>
              <w:rPr>
                <w:rFonts w:ascii="Arial"/>
                <w:sz w:val="21"/>
              </w:rPr>
            </w:pPr>
          </w:p>
        </w:tc>
        <w:tc>
          <w:tcPr>
            <w:tcW w:w="1130" w:type="dxa"/>
            <w:vAlign w:val="top"/>
          </w:tcPr>
          <w:p w14:paraId="291F39B4">
            <w:pPr>
              <w:rPr>
                <w:rFonts w:ascii="Arial"/>
                <w:sz w:val="21"/>
              </w:rPr>
            </w:pPr>
          </w:p>
        </w:tc>
        <w:tc>
          <w:tcPr>
            <w:tcW w:w="852" w:type="dxa"/>
            <w:vAlign w:val="top"/>
          </w:tcPr>
          <w:p w14:paraId="1105DD55">
            <w:pPr>
              <w:rPr>
                <w:rFonts w:ascii="Arial"/>
                <w:sz w:val="21"/>
              </w:rPr>
            </w:pPr>
          </w:p>
        </w:tc>
        <w:tc>
          <w:tcPr>
            <w:tcW w:w="704" w:type="dxa"/>
            <w:vAlign w:val="top"/>
          </w:tcPr>
          <w:p w14:paraId="45303AED">
            <w:pPr>
              <w:rPr>
                <w:rFonts w:ascii="Arial"/>
                <w:sz w:val="21"/>
              </w:rPr>
            </w:pPr>
          </w:p>
        </w:tc>
        <w:tc>
          <w:tcPr>
            <w:tcW w:w="709" w:type="dxa"/>
            <w:vAlign w:val="top"/>
          </w:tcPr>
          <w:p w14:paraId="0A73EDE6">
            <w:pPr>
              <w:rPr>
                <w:rFonts w:ascii="Arial"/>
                <w:sz w:val="21"/>
              </w:rPr>
            </w:pPr>
          </w:p>
        </w:tc>
        <w:tc>
          <w:tcPr>
            <w:tcW w:w="847" w:type="dxa"/>
            <w:vAlign w:val="top"/>
          </w:tcPr>
          <w:p w14:paraId="273AB16A">
            <w:pPr>
              <w:rPr>
                <w:rFonts w:ascii="Arial"/>
                <w:sz w:val="21"/>
              </w:rPr>
            </w:pPr>
          </w:p>
        </w:tc>
        <w:tc>
          <w:tcPr>
            <w:tcW w:w="847" w:type="dxa"/>
            <w:vAlign w:val="top"/>
          </w:tcPr>
          <w:p w14:paraId="3056695E">
            <w:pPr>
              <w:rPr>
                <w:rFonts w:ascii="Arial"/>
                <w:sz w:val="21"/>
              </w:rPr>
            </w:pPr>
          </w:p>
        </w:tc>
        <w:tc>
          <w:tcPr>
            <w:tcW w:w="800" w:type="dxa"/>
            <w:vAlign w:val="top"/>
          </w:tcPr>
          <w:p w14:paraId="5EF8C1BB">
            <w:pPr>
              <w:rPr>
                <w:rFonts w:ascii="Arial"/>
                <w:sz w:val="21"/>
              </w:rPr>
            </w:pPr>
          </w:p>
        </w:tc>
        <w:tc>
          <w:tcPr>
            <w:tcW w:w="1465" w:type="dxa"/>
            <w:vAlign w:val="top"/>
          </w:tcPr>
          <w:p w14:paraId="29584864">
            <w:pPr>
              <w:rPr>
                <w:rFonts w:ascii="Arial"/>
                <w:sz w:val="21"/>
              </w:rPr>
            </w:pPr>
          </w:p>
        </w:tc>
        <w:tc>
          <w:tcPr>
            <w:tcW w:w="816" w:type="dxa"/>
            <w:tcBorders>
              <w:right w:val="single" w:color="000000" w:sz="10" w:space="0"/>
            </w:tcBorders>
            <w:vAlign w:val="top"/>
          </w:tcPr>
          <w:p w14:paraId="7DE987C0">
            <w:pPr>
              <w:rPr>
                <w:rFonts w:ascii="Arial"/>
                <w:sz w:val="21"/>
              </w:rPr>
            </w:pPr>
          </w:p>
        </w:tc>
      </w:tr>
      <w:tr w14:paraId="392443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0" w:hRule="atLeast"/>
        </w:trPr>
        <w:tc>
          <w:tcPr>
            <w:tcW w:w="577" w:type="dxa"/>
            <w:tcBorders>
              <w:left w:val="single" w:color="000000" w:sz="10" w:space="0"/>
            </w:tcBorders>
            <w:vAlign w:val="top"/>
          </w:tcPr>
          <w:p w14:paraId="7A4CF3BF">
            <w:pPr>
              <w:rPr>
                <w:rFonts w:ascii="Arial"/>
                <w:sz w:val="21"/>
              </w:rPr>
            </w:pPr>
          </w:p>
        </w:tc>
        <w:tc>
          <w:tcPr>
            <w:tcW w:w="1130" w:type="dxa"/>
            <w:vAlign w:val="top"/>
          </w:tcPr>
          <w:p w14:paraId="49506E79">
            <w:pPr>
              <w:rPr>
                <w:rFonts w:ascii="Arial"/>
                <w:sz w:val="21"/>
              </w:rPr>
            </w:pPr>
          </w:p>
        </w:tc>
        <w:tc>
          <w:tcPr>
            <w:tcW w:w="852" w:type="dxa"/>
            <w:vAlign w:val="top"/>
          </w:tcPr>
          <w:p w14:paraId="49B9584A">
            <w:pPr>
              <w:rPr>
                <w:rFonts w:ascii="Arial"/>
                <w:sz w:val="21"/>
              </w:rPr>
            </w:pPr>
          </w:p>
        </w:tc>
        <w:tc>
          <w:tcPr>
            <w:tcW w:w="704" w:type="dxa"/>
            <w:vAlign w:val="top"/>
          </w:tcPr>
          <w:p w14:paraId="681F4658">
            <w:pPr>
              <w:rPr>
                <w:rFonts w:ascii="Arial"/>
                <w:sz w:val="21"/>
              </w:rPr>
            </w:pPr>
          </w:p>
        </w:tc>
        <w:tc>
          <w:tcPr>
            <w:tcW w:w="709" w:type="dxa"/>
            <w:vAlign w:val="top"/>
          </w:tcPr>
          <w:p w14:paraId="7DA2024C">
            <w:pPr>
              <w:rPr>
                <w:rFonts w:ascii="Arial"/>
                <w:sz w:val="21"/>
              </w:rPr>
            </w:pPr>
          </w:p>
        </w:tc>
        <w:tc>
          <w:tcPr>
            <w:tcW w:w="847" w:type="dxa"/>
            <w:vAlign w:val="top"/>
          </w:tcPr>
          <w:p w14:paraId="318174FB">
            <w:pPr>
              <w:rPr>
                <w:rFonts w:ascii="Arial"/>
                <w:sz w:val="21"/>
              </w:rPr>
            </w:pPr>
          </w:p>
        </w:tc>
        <w:tc>
          <w:tcPr>
            <w:tcW w:w="847" w:type="dxa"/>
            <w:vAlign w:val="top"/>
          </w:tcPr>
          <w:p w14:paraId="59A0D606">
            <w:pPr>
              <w:rPr>
                <w:rFonts w:ascii="Arial"/>
                <w:sz w:val="21"/>
              </w:rPr>
            </w:pPr>
          </w:p>
        </w:tc>
        <w:tc>
          <w:tcPr>
            <w:tcW w:w="800" w:type="dxa"/>
            <w:vAlign w:val="top"/>
          </w:tcPr>
          <w:p w14:paraId="3A72702C">
            <w:pPr>
              <w:rPr>
                <w:rFonts w:ascii="Arial"/>
                <w:sz w:val="21"/>
              </w:rPr>
            </w:pPr>
          </w:p>
        </w:tc>
        <w:tc>
          <w:tcPr>
            <w:tcW w:w="1465" w:type="dxa"/>
            <w:vAlign w:val="top"/>
          </w:tcPr>
          <w:p w14:paraId="1655339F">
            <w:pPr>
              <w:rPr>
                <w:rFonts w:ascii="Arial"/>
                <w:sz w:val="21"/>
              </w:rPr>
            </w:pPr>
          </w:p>
        </w:tc>
        <w:tc>
          <w:tcPr>
            <w:tcW w:w="816" w:type="dxa"/>
            <w:tcBorders>
              <w:right w:val="single" w:color="000000" w:sz="10" w:space="0"/>
            </w:tcBorders>
            <w:vAlign w:val="top"/>
          </w:tcPr>
          <w:p w14:paraId="06E66C61">
            <w:pPr>
              <w:rPr>
                <w:rFonts w:ascii="Arial"/>
                <w:sz w:val="21"/>
              </w:rPr>
            </w:pPr>
          </w:p>
        </w:tc>
      </w:tr>
      <w:tr w14:paraId="633981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74" w:hRule="atLeast"/>
        </w:trPr>
        <w:tc>
          <w:tcPr>
            <w:tcW w:w="577" w:type="dxa"/>
            <w:tcBorders>
              <w:left w:val="single" w:color="000000" w:sz="10" w:space="0"/>
            </w:tcBorders>
            <w:vAlign w:val="top"/>
          </w:tcPr>
          <w:p w14:paraId="2E70DF35">
            <w:pPr>
              <w:rPr>
                <w:rFonts w:ascii="Arial"/>
                <w:sz w:val="21"/>
              </w:rPr>
            </w:pPr>
          </w:p>
        </w:tc>
        <w:tc>
          <w:tcPr>
            <w:tcW w:w="1130" w:type="dxa"/>
            <w:vAlign w:val="top"/>
          </w:tcPr>
          <w:p w14:paraId="2B6B866D">
            <w:pPr>
              <w:rPr>
                <w:rFonts w:ascii="Arial"/>
                <w:sz w:val="21"/>
              </w:rPr>
            </w:pPr>
          </w:p>
        </w:tc>
        <w:tc>
          <w:tcPr>
            <w:tcW w:w="852" w:type="dxa"/>
            <w:vAlign w:val="top"/>
          </w:tcPr>
          <w:p w14:paraId="262B9B53">
            <w:pPr>
              <w:rPr>
                <w:rFonts w:ascii="Arial"/>
                <w:sz w:val="21"/>
              </w:rPr>
            </w:pPr>
          </w:p>
        </w:tc>
        <w:tc>
          <w:tcPr>
            <w:tcW w:w="704" w:type="dxa"/>
            <w:vAlign w:val="top"/>
          </w:tcPr>
          <w:p w14:paraId="4CD58C3B">
            <w:pPr>
              <w:rPr>
                <w:rFonts w:ascii="Arial"/>
                <w:sz w:val="21"/>
              </w:rPr>
            </w:pPr>
          </w:p>
        </w:tc>
        <w:tc>
          <w:tcPr>
            <w:tcW w:w="709" w:type="dxa"/>
            <w:vAlign w:val="top"/>
          </w:tcPr>
          <w:p w14:paraId="385BBD75">
            <w:pPr>
              <w:rPr>
                <w:rFonts w:ascii="Arial"/>
                <w:sz w:val="21"/>
              </w:rPr>
            </w:pPr>
          </w:p>
        </w:tc>
        <w:tc>
          <w:tcPr>
            <w:tcW w:w="847" w:type="dxa"/>
            <w:vAlign w:val="top"/>
          </w:tcPr>
          <w:p w14:paraId="2C8110D0">
            <w:pPr>
              <w:rPr>
                <w:rFonts w:ascii="Arial"/>
                <w:sz w:val="21"/>
              </w:rPr>
            </w:pPr>
          </w:p>
        </w:tc>
        <w:tc>
          <w:tcPr>
            <w:tcW w:w="847" w:type="dxa"/>
            <w:vAlign w:val="top"/>
          </w:tcPr>
          <w:p w14:paraId="52EE4F6E">
            <w:pPr>
              <w:rPr>
                <w:rFonts w:ascii="Arial"/>
                <w:sz w:val="21"/>
              </w:rPr>
            </w:pPr>
          </w:p>
        </w:tc>
        <w:tc>
          <w:tcPr>
            <w:tcW w:w="800" w:type="dxa"/>
            <w:vAlign w:val="top"/>
          </w:tcPr>
          <w:p w14:paraId="29045A0D">
            <w:pPr>
              <w:rPr>
                <w:rFonts w:ascii="Arial"/>
                <w:sz w:val="21"/>
              </w:rPr>
            </w:pPr>
          </w:p>
        </w:tc>
        <w:tc>
          <w:tcPr>
            <w:tcW w:w="1465" w:type="dxa"/>
            <w:vAlign w:val="top"/>
          </w:tcPr>
          <w:p w14:paraId="5CDEEBF8">
            <w:pPr>
              <w:rPr>
                <w:rFonts w:ascii="Arial"/>
                <w:sz w:val="21"/>
              </w:rPr>
            </w:pPr>
          </w:p>
        </w:tc>
        <w:tc>
          <w:tcPr>
            <w:tcW w:w="816" w:type="dxa"/>
            <w:tcBorders>
              <w:right w:val="single" w:color="000000" w:sz="10" w:space="0"/>
            </w:tcBorders>
            <w:vAlign w:val="top"/>
          </w:tcPr>
          <w:p w14:paraId="4F9E4488">
            <w:pPr>
              <w:rPr>
                <w:rFonts w:ascii="Arial"/>
                <w:sz w:val="21"/>
              </w:rPr>
            </w:pPr>
          </w:p>
        </w:tc>
      </w:tr>
      <w:tr w14:paraId="1E7426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0" w:hRule="atLeast"/>
        </w:trPr>
        <w:tc>
          <w:tcPr>
            <w:tcW w:w="577" w:type="dxa"/>
            <w:tcBorders>
              <w:left w:val="single" w:color="000000" w:sz="10" w:space="0"/>
            </w:tcBorders>
            <w:vAlign w:val="top"/>
          </w:tcPr>
          <w:p w14:paraId="4F234E24">
            <w:pPr>
              <w:rPr>
                <w:rFonts w:ascii="Arial"/>
                <w:sz w:val="21"/>
              </w:rPr>
            </w:pPr>
          </w:p>
        </w:tc>
        <w:tc>
          <w:tcPr>
            <w:tcW w:w="1130" w:type="dxa"/>
            <w:vAlign w:val="top"/>
          </w:tcPr>
          <w:p w14:paraId="7861141F">
            <w:pPr>
              <w:rPr>
                <w:rFonts w:ascii="Arial"/>
                <w:sz w:val="21"/>
              </w:rPr>
            </w:pPr>
          </w:p>
        </w:tc>
        <w:tc>
          <w:tcPr>
            <w:tcW w:w="852" w:type="dxa"/>
            <w:vAlign w:val="top"/>
          </w:tcPr>
          <w:p w14:paraId="076ECDFA">
            <w:pPr>
              <w:rPr>
                <w:rFonts w:ascii="Arial"/>
                <w:sz w:val="21"/>
              </w:rPr>
            </w:pPr>
          </w:p>
        </w:tc>
        <w:tc>
          <w:tcPr>
            <w:tcW w:w="704" w:type="dxa"/>
            <w:vAlign w:val="top"/>
          </w:tcPr>
          <w:p w14:paraId="02FD609C">
            <w:pPr>
              <w:rPr>
                <w:rFonts w:ascii="Arial"/>
                <w:sz w:val="21"/>
              </w:rPr>
            </w:pPr>
          </w:p>
        </w:tc>
        <w:tc>
          <w:tcPr>
            <w:tcW w:w="709" w:type="dxa"/>
            <w:vAlign w:val="top"/>
          </w:tcPr>
          <w:p w14:paraId="6CA9F3E0">
            <w:pPr>
              <w:rPr>
                <w:rFonts w:ascii="Arial"/>
                <w:sz w:val="21"/>
              </w:rPr>
            </w:pPr>
          </w:p>
        </w:tc>
        <w:tc>
          <w:tcPr>
            <w:tcW w:w="847" w:type="dxa"/>
            <w:vAlign w:val="top"/>
          </w:tcPr>
          <w:p w14:paraId="3CCC651C">
            <w:pPr>
              <w:rPr>
                <w:rFonts w:ascii="Arial"/>
                <w:sz w:val="21"/>
              </w:rPr>
            </w:pPr>
          </w:p>
        </w:tc>
        <w:tc>
          <w:tcPr>
            <w:tcW w:w="847" w:type="dxa"/>
            <w:vAlign w:val="top"/>
          </w:tcPr>
          <w:p w14:paraId="231EE50C">
            <w:pPr>
              <w:rPr>
                <w:rFonts w:ascii="Arial"/>
                <w:sz w:val="21"/>
              </w:rPr>
            </w:pPr>
          </w:p>
        </w:tc>
        <w:tc>
          <w:tcPr>
            <w:tcW w:w="800" w:type="dxa"/>
            <w:vAlign w:val="top"/>
          </w:tcPr>
          <w:p w14:paraId="7978325D">
            <w:pPr>
              <w:rPr>
                <w:rFonts w:ascii="Arial"/>
                <w:sz w:val="21"/>
              </w:rPr>
            </w:pPr>
          </w:p>
        </w:tc>
        <w:tc>
          <w:tcPr>
            <w:tcW w:w="1465" w:type="dxa"/>
            <w:vAlign w:val="top"/>
          </w:tcPr>
          <w:p w14:paraId="02DD49D0">
            <w:pPr>
              <w:rPr>
                <w:rFonts w:ascii="Arial"/>
                <w:sz w:val="21"/>
              </w:rPr>
            </w:pPr>
          </w:p>
        </w:tc>
        <w:tc>
          <w:tcPr>
            <w:tcW w:w="816" w:type="dxa"/>
            <w:tcBorders>
              <w:right w:val="single" w:color="000000" w:sz="10" w:space="0"/>
            </w:tcBorders>
            <w:vAlign w:val="top"/>
          </w:tcPr>
          <w:p w14:paraId="4BA9C737">
            <w:pPr>
              <w:rPr>
                <w:rFonts w:ascii="Arial"/>
                <w:sz w:val="21"/>
              </w:rPr>
            </w:pPr>
          </w:p>
        </w:tc>
      </w:tr>
      <w:tr w14:paraId="3AD973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0" w:hRule="atLeast"/>
        </w:trPr>
        <w:tc>
          <w:tcPr>
            <w:tcW w:w="577" w:type="dxa"/>
            <w:tcBorders>
              <w:left w:val="single" w:color="000000" w:sz="10" w:space="0"/>
            </w:tcBorders>
            <w:vAlign w:val="top"/>
          </w:tcPr>
          <w:p w14:paraId="7DC56D3A">
            <w:pPr>
              <w:rPr>
                <w:rFonts w:ascii="Arial"/>
                <w:sz w:val="21"/>
              </w:rPr>
            </w:pPr>
          </w:p>
        </w:tc>
        <w:tc>
          <w:tcPr>
            <w:tcW w:w="1130" w:type="dxa"/>
            <w:vAlign w:val="top"/>
          </w:tcPr>
          <w:p w14:paraId="74914CF2">
            <w:pPr>
              <w:rPr>
                <w:rFonts w:ascii="Arial"/>
                <w:sz w:val="21"/>
              </w:rPr>
            </w:pPr>
          </w:p>
        </w:tc>
        <w:tc>
          <w:tcPr>
            <w:tcW w:w="852" w:type="dxa"/>
            <w:vAlign w:val="top"/>
          </w:tcPr>
          <w:p w14:paraId="33AEEC4A">
            <w:pPr>
              <w:rPr>
                <w:rFonts w:ascii="Arial"/>
                <w:sz w:val="21"/>
              </w:rPr>
            </w:pPr>
          </w:p>
        </w:tc>
        <w:tc>
          <w:tcPr>
            <w:tcW w:w="704" w:type="dxa"/>
            <w:vAlign w:val="top"/>
          </w:tcPr>
          <w:p w14:paraId="73F38A20">
            <w:pPr>
              <w:rPr>
                <w:rFonts w:ascii="Arial"/>
                <w:sz w:val="21"/>
              </w:rPr>
            </w:pPr>
          </w:p>
        </w:tc>
        <w:tc>
          <w:tcPr>
            <w:tcW w:w="709" w:type="dxa"/>
            <w:vAlign w:val="top"/>
          </w:tcPr>
          <w:p w14:paraId="58F5A76F">
            <w:pPr>
              <w:rPr>
                <w:rFonts w:ascii="Arial"/>
                <w:sz w:val="21"/>
              </w:rPr>
            </w:pPr>
          </w:p>
        </w:tc>
        <w:tc>
          <w:tcPr>
            <w:tcW w:w="847" w:type="dxa"/>
            <w:vAlign w:val="top"/>
          </w:tcPr>
          <w:p w14:paraId="4A6502B1">
            <w:pPr>
              <w:rPr>
                <w:rFonts w:ascii="Arial"/>
                <w:sz w:val="21"/>
              </w:rPr>
            </w:pPr>
          </w:p>
        </w:tc>
        <w:tc>
          <w:tcPr>
            <w:tcW w:w="847" w:type="dxa"/>
            <w:vAlign w:val="top"/>
          </w:tcPr>
          <w:p w14:paraId="34CBEE67">
            <w:pPr>
              <w:rPr>
                <w:rFonts w:ascii="Arial"/>
                <w:sz w:val="21"/>
              </w:rPr>
            </w:pPr>
          </w:p>
        </w:tc>
        <w:tc>
          <w:tcPr>
            <w:tcW w:w="800" w:type="dxa"/>
            <w:vAlign w:val="top"/>
          </w:tcPr>
          <w:p w14:paraId="0C13A551">
            <w:pPr>
              <w:rPr>
                <w:rFonts w:ascii="Arial"/>
                <w:sz w:val="21"/>
              </w:rPr>
            </w:pPr>
          </w:p>
        </w:tc>
        <w:tc>
          <w:tcPr>
            <w:tcW w:w="1465" w:type="dxa"/>
            <w:vAlign w:val="top"/>
          </w:tcPr>
          <w:p w14:paraId="15DFE968">
            <w:pPr>
              <w:rPr>
                <w:rFonts w:ascii="Arial"/>
                <w:sz w:val="21"/>
              </w:rPr>
            </w:pPr>
          </w:p>
        </w:tc>
        <w:tc>
          <w:tcPr>
            <w:tcW w:w="816" w:type="dxa"/>
            <w:tcBorders>
              <w:right w:val="single" w:color="000000" w:sz="10" w:space="0"/>
            </w:tcBorders>
            <w:vAlign w:val="top"/>
          </w:tcPr>
          <w:p w14:paraId="744ACF0D">
            <w:pPr>
              <w:rPr>
                <w:rFonts w:ascii="Arial"/>
                <w:sz w:val="21"/>
              </w:rPr>
            </w:pPr>
          </w:p>
        </w:tc>
      </w:tr>
      <w:tr w14:paraId="10D562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0" w:hRule="atLeast"/>
        </w:trPr>
        <w:tc>
          <w:tcPr>
            <w:tcW w:w="577" w:type="dxa"/>
            <w:tcBorders>
              <w:left w:val="single" w:color="000000" w:sz="10" w:space="0"/>
            </w:tcBorders>
            <w:vAlign w:val="top"/>
          </w:tcPr>
          <w:p w14:paraId="6A2DFA0C">
            <w:pPr>
              <w:rPr>
                <w:rFonts w:ascii="Arial"/>
                <w:sz w:val="21"/>
              </w:rPr>
            </w:pPr>
          </w:p>
        </w:tc>
        <w:tc>
          <w:tcPr>
            <w:tcW w:w="1130" w:type="dxa"/>
            <w:vAlign w:val="top"/>
          </w:tcPr>
          <w:p w14:paraId="09B87214">
            <w:pPr>
              <w:rPr>
                <w:rFonts w:ascii="Arial"/>
                <w:sz w:val="21"/>
              </w:rPr>
            </w:pPr>
          </w:p>
        </w:tc>
        <w:tc>
          <w:tcPr>
            <w:tcW w:w="852" w:type="dxa"/>
            <w:vAlign w:val="top"/>
          </w:tcPr>
          <w:p w14:paraId="339D6347">
            <w:pPr>
              <w:rPr>
                <w:rFonts w:ascii="Arial"/>
                <w:sz w:val="21"/>
              </w:rPr>
            </w:pPr>
          </w:p>
        </w:tc>
        <w:tc>
          <w:tcPr>
            <w:tcW w:w="704" w:type="dxa"/>
            <w:vAlign w:val="top"/>
          </w:tcPr>
          <w:p w14:paraId="4776D8A7">
            <w:pPr>
              <w:rPr>
                <w:rFonts w:ascii="Arial"/>
                <w:sz w:val="21"/>
              </w:rPr>
            </w:pPr>
          </w:p>
        </w:tc>
        <w:tc>
          <w:tcPr>
            <w:tcW w:w="709" w:type="dxa"/>
            <w:vAlign w:val="top"/>
          </w:tcPr>
          <w:p w14:paraId="4546CA70">
            <w:pPr>
              <w:rPr>
                <w:rFonts w:ascii="Arial"/>
                <w:sz w:val="21"/>
              </w:rPr>
            </w:pPr>
          </w:p>
        </w:tc>
        <w:tc>
          <w:tcPr>
            <w:tcW w:w="847" w:type="dxa"/>
            <w:vAlign w:val="top"/>
          </w:tcPr>
          <w:p w14:paraId="18340604">
            <w:pPr>
              <w:rPr>
                <w:rFonts w:ascii="Arial"/>
                <w:sz w:val="21"/>
              </w:rPr>
            </w:pPr>
          </w:p>
        </w:tc>
        <w:tc>
          <w:tcPr>
            <w:tcW w:w="847" w:type="dxa"/>
            <w:vAlign w:val="top"/>
          </w:tcPr>
          <w:p w14:paraId="3DCC0B91">
            <w:pPr>
              <w:rPr>
                <w:rFonts w:ascii="Arial"/>
                <w:sz w:val="21"/>
              </w:rPr>
            </w:pPr>
          </w:p>
        </w:tc>
        <w:tc>
          <w:tcPr>
            <w:tcW w:w="800" w:type="dxa"/>
            <w:vAlign w:val="top"/>
          </w:tcPr>
          <w:p w14:paraId="08460B48">
            <w:pPr>
              <w:rPr>
                <w:rFonts w:ascii="Arial"/>
                <w:sz w:val="21"/>
              </w:rPr>
            </w:pPr>
          </w:p>
        </w:tc>
        <w:tc>
          <w:tcPr>
            <w:tcW w:w="1465" w:type="dxa"/>
            <w:vAlign w:val="top"/>
          </w:tcPr>
          <w:p w14:paraId="1E6E9F9B">
            <w:pPr>
              <w:rPr>
                <w:rFonts w:ascii="Arial"/>
                <w:sz w:val="21"/>
              </w:rPr>
            </w:pPr>
          </w:p>
        </w:tc>
        <w:tc>
          <w:tcPr>
            <w:tcW w:w="816" w:type="dxa"/>
            <w:tcBorders>
              <w:right w:val="single" w:color="000000" w:sz="10" w:space="0"/>
            </w:tcBorders>
            <w:vAlign w:val="top"/>
          </w:tcPr>
          <w:p w14:paraId="0D665F4E">
            <w:pPr>
              <w:rPr>
                <w:rFonts w:ascii="Arial"/>
                <w:sz w:val="21"/>
              </w:rPr>
            </w:pPr>
          </w:p>
        </w:tc>
      </w:tr>
      <w:tr w14:paraId="233464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5" w:hRule="atLeast"/>
        </w:trPr>
        <w:tc>
          <w:tcPr>
            <w:tcW w:w="577" w:type="dxa"/>
            <w:tcBorders>
              <w:left w:val="single" w:color="000000" w:sz="10" w:space="0"/>
            </w:tcBorders>
            <w:vAlign w:val="top"/>
          </w:tcPr>
          <w:p w14:paraId="1FD955E8">
            <w:pPr>
              <w:rPr>
                <w:rFonts w:ascii="Arial"/>
                <w:sz w:val="21"/>
              </w:rPr>
            </w:pPr>
          </w:p>
        </w:tc>
        <w:tc>
          <w:tcPr>
            <w:tcW w:w="1130" w:type="dxa"/>
            <w:vAlign w:val="top"/>
          </w:tcPr>
          <w:p w14:paraId="78BAC964">
            <w:pPr>
              <w:rPr>
                <w:rFonts w:ascii="Arial"/>
                <w:sz w:val="21"/>
              </w:rPr>
            </w:pPr>
          </w:p>
        </w:tc>
        <w:tc>
          <w:tcPr>
            <w:tcW w:w="852" w:type="dxa"/>
            <w:vAlign w:val="top"/>
          </w:tcPr>
          <w:p w14:paraId="09D2CB3A">
            <w:pPr>
              <w:rPr>
                <w:rFonts w:ascii="Arial"/>
                <w:sz w:val="21"/>
              </w:rPr>
            </w:pPr>
          </w:p>
        </w:tc>
        <w:tc>
          <w:tcPr>
            <w:tcW w:w="704" w:type="dxa"/>
            <w:vAlign w:val="top"/>
          </w:tcPr>
          <w:p w14:paraId="522B2498">
            <w:pPr>
              <w:rPr>
                <w:rFonts w:ascii="Arial"/>
                <w:sz w:val="21"/>
              </w:rPr>
            </w:pPr>
          </w:p>
        </w:tc>
        <w:tc>
          <w:tcPr>
            <w:tcW w:w="709" w:type="dxa"/>
            <w:vAlign w:val="top"/>
          </w:tcPr>
          <w:p w14:paraId="65B68771">
            <w:pPr>
              <w:rPr>
                <w:rFonts w:ascii="Arial"/>
                <w:sz w:val="21"/>
              </w:rPr>
            </w:pPr>
          </w:p>
        </w:tc>
        <w:tc>
          <w:tcPr>
            <w:tcW w:w="847" w:type="dxa"/>
            <w:vAlign w:val="top"/>
          </w:tcPr>
          <w:p w14:paraId="12F7CF4A">
            <w:pPr>
              <w:rPr>
                <w:rFonts w:ascii="Arial"/>
                <w:sz w:val="21"/>
              </w:rPr>
            </w:pPr>
          </w:p>
        </w:tc>
        <w:tc>
          <w:tcPr>
            <w:tcW w:w="847" w:type="dxa"/>
            <w:vAlign w:val="top"/>
          </w:tcPr>
          <w:p w14:paraId="02F3A8C3">
            <w:pPr>
              <w:rPr>
                <w:rFonts w:ascii="Arial"/>
                <w:sz w:val="21"/>
              </w:rPr>
            </w:pPr>
          </w:p>
        </w:tc>
        <w:tc>
          <w:tcPr>
            <w:tcW w:w="800" w:type="dxa"/>
            <w:vAlign w:val="top"/>
          </w:tcPr>
          <w:p w14:paraId="3E793922">
            <w:pPr>
              <w:rPr>
                <w:rFonts w:ascii="Arial"/>
                <w:sz w:val="21"/>
              </w:rPr>
            </w:pPr>
          </w:p>
        </w:tc>
        <w:tc>
          <w:tcPr>
            <w:tcW w:w="1465" w:type="dxa"/>
            <w:vAlign w:val="top"/>
          </w:tcPr>
          <w:p w14:paraId="54F494F9">
            <w:pPr>
              <w:rPr>
                <w:rFonts w:ascii="Arial"/>
                <w:sz w:val="21"/>
              </w:rPr>
            </w:pPr>
          </w:p>
        </w:tc>
        <w:tc>
          <w:tcPr>
            <w:tcW w:w="816" w:type="dxa"/>
            <w:tcBorders>
              <w:right w:val="single" w:color="000000" w:sz="10" w:space="0"/>
            </w:tcBorders>
            <w:vAlign w:val="top"/>
          </w:tcPr>
          <w:p w14:paraId="676CA3B2">
            <w:pPr>
              <w:rPr>
                <w:rFonts w:ascii="Arial"/>
                <w:sz w:val="21"/>
              </w:rPr>
            </w:pPr>
          </w:p>
        </w:tc>
      </w:tr>
      <w:tr w14:paraId="062661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9" w:hRule="atLeast"/>
        </w:trPr>
        <w:tc>
          <w:tcPr>
            <w:tcW w:w="577" w:type="dxa"/>
            <w:tcBorders>
              <w:left w:val="single" w:color="000000" w:sz="10" w:space="0"/>
            </w:tcBorders>
            <w:vAlign w:val="top"/>
          </w:tcPr>
          <w:p w14:paraId="57208011">
            <w:pPr>
              <w:rPr>
                <w:rFonts w:ascii="Arial"/>
                <w:sz w:val="21"/>
              </w:rPr>
            </w:pPr>
          </w:p>
        </w:tc>
        <w:tc>
          <w:tcPr>
            <w:tcW w:w="1130" w:type="dxa"/>
            <w:vAlign w:val="top"/>
          </w:tcPr>
          <w:p w14:paraId="34DECA3A">
            <w:pPr>
              <w:rPr>
                <w:rFonts w:ascii="Arial"/>
                <w:sz w:val="21"/>
              </w:rPr>
            </w:pPr>
          </w:p>
        </w:tc>
        <w:tc>
          <w:tcPr>
            <w:tcW w:w="852" w:type="dxa"/>
            <w:vAlign w:val="top"/>
          </w:tcPr>
          <w:p w14:paraId="10B3A457">
            <w:pPr>
              <w:rPr>
                <w:rFonts w:ascii="Arial"/>
                <w:sz w:val="21"/>
              </w:rPr>
            </w:pPr>
          </w:p>
        </w:tc>
        <w:tc>
          <w:tcPr>
            <w:tcW w:w="704" w:type="dxa"/>
            <w:vAlign w:val="top"/>
          </w:tcPr>
          <w:p w14:paraId="1B328B61">
            <w:pPr>
              <w:rPr>
                <w:rFonts w:ascii="Arial"/>
                <w:sz w:val="21"/>
              </w:rPr>
            </w:pPr>
          </w:p>
        </w:tc>
        <w:tc>
          <w:tcPr>
            <w:tcW w:w="709" w:type="dxa"/>
            <w:vAlign w:val="top"/>
          </w:tcPr>
          <w:p w14:paraId="4921A1AE">
            <w:pPr>
              <w:rPr>
                <w:rFonts w:ascii="Arial"/>
                <w:sz w:val="21"/>
              </w:rPr>
            </w:pPr>
          </w:p>
        </w:tc>
        <w:tc>
          <w:tcPr>
            <w:tcW w:w="847" w:type="dxa"/>
            <w:vAlign w:val="top"/>
          </w:tcPr>
          <w:p w14:paraId="35C2CAC4">
            <w:pPr>
              <w:rPr>
                <w:rFonts w:ascii="Arial"/>
                <w:sz w:val="21"/>
              </w:rPr>
            </w:pPr>
          </w:p>
        </w:tc>
        <w:tc>
          <w:tcPr>
            <w:tcW w:w="847" w:type="dxa"/>
            <w:vAlign w:val="top"/>
          </w:tcPr>
          <w:p w14:paraId="4EB9F30D">
            <w:pPr>
              <w:rPr>
                <w:rFonts w:ascii="Arial"/>
                <w:sz w:val="21"/>
              </w:rPr>
            </w:pPr>
          </w:p>
        </w:tc>
        <w:tc>
          <w:tcPr>
            <w:tcW w:w="800" w:type="dxa"/>
            <w:vAlign w:val="top"/>
          </w:tcPr>
          <w:p w14:paraId="09D6BAF7">
            <w:pPr>
              <w:rPr>
                <w:rFonts w:ascii="Arial"/>
                <w:sz w:val="21"/>
              </w:rPr>
            </w:pPr>
          </w:p>
        </w:tc>
        <w:tc>
          <w:tcPr>
            <w:tcW w:w="1465" w:type="dxa"/>
            <w:vAlign w:val="top"/>
          </w:tcPr>
          <w:p w14:paraId="2766CCA5">
            <w:pPr>
              <w:rPr>
                <w:rFonts w:ascii="Arial"/>
                <w:sz w:val="21"/>
              </w:rPr>
            </w:pPr>
          </w:p>
        </w:tc>
        <w:tc>
          <w:tcPr>
            <w:tcW w:w="816" w:type="dxa"/>
            <w:tcBorders>
              <w:right w:val="single" w:color="000000" w:sz="10" w:space="0"/>
            </w:tcBorders>
            <w:vAlign w:val="top"/>
          </w:tcPr>
          <w:p w14:paraId="2EDD1996">
            <w:pPr>
              <w:rPr>
                <w:rFonts w:ascii="Arial"/>
                <w:sz w:val="21"/>
              </w:rPr>
            </w:pPr>
          </w:p>
        </w:tc>
      </w:tr>
      <w:tr w14:paraId="432287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0" w:hRule="atLeast"/>
        </w:trPr>
        <w:tc>
          <w:tcPr>
            <w:tcW w:w="577" w:type="dxa"/>
            <w:tcBorders>
              <w:left w:val="single" w:color="000000" w:sz="10" w:space="0"/>
            </w:tcBorders>
            <w:vAlign w:val="top"/>
          </w:tcPr>
          <w:p w14:paraId="6771CE87">
            <w:pPr>
              <w:rPr>
                <w:rFonts w:ascii="Arial"/>
                <w:sz w:val="21"/>
              </w:rPr>
            </w:pPr>
          </w:p>
        </w:tc>
        <w:tc>
          <w:tcPr>
            <w:tcW w:w="1130" w:type="dxa"/>
            <w:vAlign w:val="top"/>
          </w:tcPr>
          <w:p w14:paraId="0FE7B5B0">
            <w:pPr>
              <w:rPr>
                <w:rFonts w:ascii="Arial"/>
                <w:sz w:val="21"/>
              </w:rPr>
            </w:pPr>
          </w:p>
        </w:tc>
        <w:tc>
          <w:tcPr>
            <w:tcW w:w="852" w:type="dxa"/>
            <w:vAlign w:val="top"/>
          </w:tcPr>
          <w:p w14:paraId="56F9C6C1">
            <w:pPr>
              <w:rPr>
                <w:rFonts w:ascii="Arial"/>
                <w:sz w:val="21"/>
              </w:rPr>
            </w:pPr>
          </w:p>
        </w:tc>
        <w:tc>
          <w:tcPr>
            <w:tcW w:w="704" w:type="dxa"/>
            <w:vAlign w:val="top"/>
          </w:tcPr>
          <w:p w14:paraId="3591603C">
            <w:pPr>
              <w:rPr>
                <w:rFonts w:ascii="Arial"/>
                <w:sz w:val="21"/>
              </w:rPr>
            </w:pPr>
          </w:p>
        </w:tc>
        <w:tc>
          <w:tcPr>
            <w:tcW w:w="709" w:type="dxa"/>
            <w:vAlign w:val="top"/>
          </w:tcPr>
          <w:p w14:paraId="1F6E5F47">
            <w:pPr>
              <w:rPr>
                <w:rFonts w:ascii="Arial"/>
                <w:sz w:val="21"/>
              </w:rPr>
            </w:pPr>
          </w:p>
        </w:tc>
        <w:tc>
          <w:tcPr>
            <w:tcW w:w="847" w:type="dxa"/>
            <w:vAlign w:val="top"/>
          </w:tcPr>
          <w:p w14:paraId="0F50B10E">
            <w:pPr>
              <w:rPr>
                <w:rFonts w:ascii="Arial"/>
                <w:sz w:val="21"/>
              </w:rPr>
            </w:pPr>
          </w:p>
        </w:tc>
        <w:tc>
          <w:tcPr>
            <w:tcW w:w="847" w:type="dxa"/>
            <w:vAlign w:val="top"/>
          </w:tcPr>
          <w:p w14:paraId="6CAB8163">
            <w:pPr>
              <w:rPr>
                <w:rFonts w:ascii="Arial"/>
                <w:sz w:val="21"/>
              </w:rPr>
            </w:pPr>
          </w:p>
        </w:tc>
        <w:tc>
          <w:tcPr>
            <w:tcW w:w="800" w:type="dxa"/>
            <w:vAlign w:val="top"/>
          </w:tcPr>
          <w:p w14:paraId="42A4C532">
            <w:pPr>
              <w:rPr>
                <w:rFonts w:ascii="Arial"/>
                <w:sz w:val="21"/>
              </w:rPr>
            </w:pPr>
          </w:p>
        </w:tc>
        <w:tc>
          <w:tcPr>
            <w:tcW w:w="1465" w:type="dxa"/>
            <w:vAlign w:val="top"/>
          </w:tcPr>
          <w:p w14:paraId="1A54DA42">
            <w:pPr>
              <w:rPr>
                <w:rFonts w:ascii="Arial"/>
                <w:sz w:val="21"/>
              </w:rPr>
            </w:pPr>
          </w:p>
        </w:tc>
        <w:tc>
          <w:tcPr>
            <w:tcW w:w="816" w:type="dxa"/>
            <w:tcBorders>
              <w:right w:val="single" w:color="000000" w:sz="10" w:space="0"/>
            </w:tcBorders>
            <w:vAlign w:val="top"/>
          </w:tcPr>
          <w:p w14:paraId="44264679">
            <w:pPr>
              <w:rPr>
                <w:rFonts w:ascii="Arial"/>
                <w:sz w:val="21"/>
              </w:rPr>
            </w:pPr>
          </w:p>
        </w:tc>
      </w:tr>
      <w:tr w14:paraId="703DBE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0" w:hRule="atLeast"/>
        </w:trPr>
        <w:tc>
          <w:tcPr>
            <w:tcW w:w="577" w:type="dxa"/>
            <w:tcBorders>
              <w:left w:val="single" w:color="000000" w:sz="10" w:space="0"/>
            </w:tcBorders>
            <w:vAlign w:val="top"/>
          </w:tcPr>
          <w:p w14:paraId="08647FDB">
            <w:pPr>
              <w:rPr>
                <w:rFonts w:ascii="Arial"/>
                <w:sz w:val="21"/>
              </w:rPr>
            </w:pPr>
          </w:p>
        </w:tc>
        <w:tc>
          <w:tcPr>
            <w:tcW w:w="1130" w:type="dxa"/>
            <w:vAlign w:val="top"/>
          </w:tcPr>
          <w:p w14:paraId="6D6E7180">
            <w:pPr>
              <w:rPr>
                <w:rFonts w:ascii="Arial"/>
                <w:sz w:val="21"/>
              </w:rPr>
            </w:pPr>
          </w:p>
        </w:tc>
        <w:tc>
          <w:tcPr>
            <w:tcW w:w="852" w:type="dxa"/>
            <w:vAlign w:val="top"/>
          </w:tcPr>
          <w:p w14:paraId="354742D8">
            <w:pPr>
              <w:rPr>
                <w:rFonts w:ascii="Arial"/>
                <w:sz w:val="21"/>
              </w:rPr>
            </w:pPr>
          </w:p>
        </w:tc>
        <w:tc>
          <w:tcPr>
            <w:tcW w:w="704" w:type="dxa"/>
            <w:vAlign w:val="top"/>
          </w:tcPr>
          <w:p w14:paraId="06FD476B">
            <w:pPr>
              <w:rPr>
                <w:rFonts w:ascii="Arial"/>
                <w:sz w:val="21"/>
              </w:rPr>
            </w:pPr>
          </w:p>
        </w:tc>
        <w:tc>
          <w:tcPr>
            <w:tcW w:w="709" w:type="dxa"/>
            <w:vAlign w:val="top"/>
          </w:tcPr>
          <w:p w14:paraId="45854A19">
            <w:pPr>
              <w:rPr>
                <w:rFonts w:ascii="Arial"/>
                <w:sz w:val="21"/>
              </w:rPr>
            </w:pPr>
          </w:p>
        </w:tc>
        <w:tc>
          <w:tcPr>
            <w:tcW w:w="847" w:type="dxa"/>
            <w:vAlign w:val="top"/>
          </w:tcPr>
          <w:p w14:paraId="64111094">
            <w:pPr>
              <w:rPr>
                <w:rFonts w:ascii="Arial"/>
                <w:sz w:val="21"/>
              </w:rPr>
            </w:pPr>
          </w:p>
        </w:tc>
        <w:tc>
          <w:tcPr>
            <w:tcW w:w="847" w:type="dxa"/>
            <w:vAlign w:val="top"/>
          </w:tcPr>
          <w:p w14:paraId="538734FE">
            <w:pPr>
              <w:rPr>
                <w:rFonts w:ascii="Arial"/>
                <w:sz w:val="21"/>
              </w:rPr>
            </w:pPr>
          </w:p>
        </w:tc>
        <w:tc>
          <w:tcPr>
            <w:tcW w:w="800" w:type="dxa"/>
            <w:vAlign w:val="top"/>
          </w:tcPr>
          <w:p w14:paraId="20980E8F">
            <w:pPr>
              <w:rPr>
                <w:rFonts w:ascii="Arial"/>
                <w:sz w:val="21"/>
              </w:rPr>
            </w:pPr>
          </w:p>
        </w:tc>
        <w:tc>
          <w:tcPr>
            <w:tcW w:w="1465" w:type="dxa"/>
            <w:vAlign w:val="top"/>
          </w:tcPr>
          <w:p w14:paraId="521B20E6">
            <w:pPr>
              <w:rPr>
                <w:rFonts w:ascii="Arial"/>
                <w:sz w:val="21"/>
              </w:rPr>
            </w:pPr>
          </w:p>
        </w:tc>
        <w:tc>
          <w:tcPr>
            <w:tcW w:w="816" w:type="dxa"/>
            <w:tcBorders>
              <w:right w:val="single" w:color="000000" w:sz="10" w:space="0"/>
            </w:tcBorders>
            <w:vAlign w:val="top"/>
          </w:tcPr>
          <w:p w14:paraId="058C91EB">
            <w:pPr>
              <w:rPr>
                <w:rFonts w:ascii="Arial"/>
                <w:sz w:val="21"/>
              </w:rPr>
            </w:pPr>
          </w:p>
        </w:tc>
      </w:tr>
      <w:tr w14:paraId="6C47D1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6" w:hRule="atLeast"/>
        </w:trPr>
        <w:tc>
          <w:tcPr>
            <w:tcW w:w="577" w:type="dxa"/>
            <w:tcBorders>
              <w:left w:val="single" w:color="000000" w:sz="10" w:space="0"/>
              <w:bottom w:val="single" w:color="000000" w:sz="10" w:space="0"/>
            </w:tcBorders>
            <w:vAlign w:val="top"/>
          </w:tcPr>
          <w:p w14:paraId="5E1C0E2A">
            <w:pPr>
              <w:rPr>
                <w:rFonts w:ascii="Arial"/>
                <w:sz w:val="21"/>
              </w:rPr>
            </w:pPr>
          </w:p>
        </w:tc>
        <w:tc>
          <w:tcPr>
            <w:tcW w:w="1130" w:type="dxa"/>
            <w:tcBorders>
              <w:bottom w:val="single" w:color="000000" w:sz="10" w:space="0"/>
            </w:tcBorders>
            <w:vAlign w:val="top"/>
          </w:tcPr>
          <w:p w14:paraId="1B3973D3">
            <w:pPr>
              <w:rPr>
                <w:rFonts w:ascii="Arial"/>
                <w:sz w:val="21"/>
              </w:rPr>
            </w:pPr>
          </w:p>
        </w:tc>
        <w:tc>
          <w:tcPr>
            <w:tcW w:w="852" w:type="dxa"/>
            <w:tcBorders>
              <w:bottom w:val="single" w:color="000000" w:sz="10" w:space="0"/>
            </w:tcBorders>
            <w:vAlign w:val="top"/>
          </w:tcPr>
          <w:p w14:paraId="62B4C19A">
            <w:pPr>
              <w:rPr>
                <w:rFonts w:ascii="Arial"/>
                <w:sz w:val="21"/>
              </w:rPr>
            </w:pPr>
          </w:p>
        </w:tc>
        <w:tc>
          <w:tcPr>
            <w:tcW w:w="704" w:type="dxa"/>
            <w:tcBorders>
              <w:bottom w:val="single" w:color="000000" w:sz="10" w:space="0"/>
            </w:tcBorders>
            <w:vAlign w:val="top"/>
          </w:tcPr>
          <w:p w14:paraId="5A2B85F4">
            <w:pPr>
              <w:rPr>
                <w:rFonts w:ascii="Arial"/>
                <w:sz w:val="21"/>
              </w:rPr>
            </w:pPr>
          </w:p>
        </w:tc>
        <w:tc>
          <w:tcPr>
            <w:tcW w:w="709" w:type="dxa"/>
            <w:tcBorders>
              <w:bottom w:val="single" w:color="000000" w:sz="10" w:space="0"/>
            </w:tcBorders>
            <w:vAlign w:val="top"/>
          </w:tcPr>
          <w:p w14:paraId="4A77FAFD">
            <w:pPr>
              <w:rPr>
                <w:rFonts w:ascii="Arial"/>
                <w:sz w:val="21"/>
              </w:rPr>
            </w:pPr>
          </w:p>
        </w:tc>
        <w:tc>
          <w:tcPr>
            <w:tcW w:w="847" w:type="dxa"/>
            <w:tcBorders>
              <w:bottom w:val="single" w:color="000000" w:sz="10" w:space="0"/>
            </w:tcBorders>
            <w:vAlign w:val="top"/>
          </w:tcPr>
          <w:p w14:paraId="62692936">
            <w:pPr>
              <w:rPr>
                <w:rFonts w:ascii="Arial"/>
                <w:sz w:val="21"/>
              </w:rPr>
            </w:pPr>
          </w:p>
        </w:tc>
        <w:tc>
          <w:tcPr>
            <w:tcW w:w="847" w:type="dxa"/>
            <w:tcBorders>
              <w:bottom w:val="single" w:color="000000" w:sz="10" w:space="0"/>
            </w:tcBorders>
            <w:vAlign w:val="top"/>
          </w:tcPr>
          <w:p w14:paraId="7FC82222">
            <w:pPr>
              <w:rPr>
                <w:rFonts w:ascii="Arial"/>
                <w:sz w:val="21"/>
              </w:rPr>
            </w:pPr>
          </w:p>
        </w:tc>
        <w:tc>
          <w:tcPr>
            <w:tcW w:w="800" w:type="dxa"/>
            <w:tcBorders>
              <w:bottom w:val="single" w:color="000000" w:sz="10" w:space="0"/>
            </w:tcBorders>
            <w:vAlign w:val="top"/>
          </w:tcPr>
          <w:p w14:paraId="489FFAE9">
            <w:pPr>
              <w:rPr>
                <w:rFonts w:ascii="Arial"/>
                <w:sz w:val="21"/>
              </w:rPr>
            </w:pPr>
          </w:p>
        </w:tc>
        <w:tc>
          <w:tcPr>
            <w:tcW w:w="1465" w:type="dxa"/>
            <w:tcBorders>
              <w:bottom w:val="single" w:color="000000" w:sz="10" w:space="0"/>
            </w:tcBorders>
            <w:vAlign w:val="top"/>
          </w:tcPr>
          <w:p w14:paraId="0B8D2E81">
            <w:pPr>
              <w:rPr>
                <w:rFonts w:ascii="Arial"/>
                <w:sz w:val="21"/>
              </w:rPr>
            </w:pPr>
          </w:p>
        </w:tc>
        <w:tc>
          <w:tcPr>
            <w:tcW w:w="816" w:type="dxa"/>
            <w:tcBorders>
              <w:bottom w:val="single" w:color="000000" w:sz="10" w:space="0"/>
              <w:right w:val="single" w:color="000000" w:sz="10" w:space="0"/>
            </w:tcBorders>
            <w:vAlign w:val="top"/>
          </w:tcPr>
          <w:p w14:paraId="29F2DC91">
            <w:pPr>
              <w:rPr>
                <w:rFonts w:ascii="Arial"/>
                <w:sz w:val="21"/>
              </w:rPr>
            </w:pPr>
          </w:p>
        </w:tc>
      </w:tr>
    </w:tbl>
    <w:p w14:paraId="214CBA50">
      <w:pPr>
        <w:pStyle w:val="3"/>
      </w:pPr>
    </w:p>
    <w:p w14:paraId="2542D41B">
      <w:pPr>
        <w:sectPr>
          <w:footerReference r:id="rId144" w:type="default"/>
          <w:pgSz w:w="11905" w:h="16839"/>
          <w:pgMar w:top="400" w:right="1560" w:bottom="1004" w:left="1570" w:header="0" w:footer="828" w:gutter="0"/>
          <w:pgNumType w:fmt="decimal"/>
          <w:cols w:space="720" w:num="1"/>
        </w:sectPr>
      </w:pPr>
    </w:p>
    <w:p w14:paraId="1740FFD8">
      <w:pPr>
        <w:pStyle w:val="3"/>
        <w:spacing w:line="276" w:lineRule="auto"/>
      </w:pPr>
    </w:p>
    <w:p w14:paraId="190CCA14">
      <w:pPr>
        <w:pStyle w:val="3"/>
        <w:spacing w:line="276" w:lineRule="auto"/>
      </w:pPr>
    </w:p>
    <w:p w14:paraId="4F0CE6CB">
      <w:pPr>
        <w:pStyle w:val="3"/>
        <w:spacing w:line="276" w:lineRule="auto"/>
      </w:pPr>
    </w:p>
    <w:p w14:paraId="120118EE">
      <w:pPr>
        <w:pStyle w:val="3"/>
        <w:spacing w:line="276" w:lineRule="auto"/>
      </w:pPr>
    </w:p>
    <w:p w14:paraId="075E22FD">
      <w:pPr>
        <w:spacing w:before="78" w:line="219" w:lineRule="auto"/>
        <w:ind w:left="38"/>
        <w:rPr>
          <w:rFonts w:ascii="宋体" w:hAnsi="宋体" w:eastAsia="宋体" w:cs="宋体"/>
          <w:sz w:val="24"/>
          <w:szCs w:val="24"/>
        </w:rPr>
      </w:pPr>
      <w:r>
        <w:rPr>
          <w:rFonts w:ascii="宋体" w:hAnsi="宋体" w:eastAsia="宋体" w:cs="宋体"/>
          <w:spacing w:val="-10"/>
          <w:sz w:val="24"/>
          <w:szCs w:val="24"/>
        </w:rPr>
        <w:t>附件</w:t>
      </w:r>
      <w:r>
        <w:rPr>
          <w:rFonts w:ascii="宋体" w:hAnsi="宋体" w:eastAsia="宋体" w:cs="宋体"/>
          <w:spacing w:val="-51"/>
          <w:sz w:val="24"/>
          <w:szCs w:val="24"/>
        </w:rPr>
        <w:t xml:space="preserve"> </w:t>
      </w:r>
      <w:r>
        <w:rPr>
          <w:rFonts w:ascii="Times New Roman" w:hAnsi="Times New Roman" w:eastAsia="Times New Roman" w:cs="Times New Roman"/>
          <w:spacing w:val="-10"/>
          <w:sz w:val="24"/>
          <w:szCs w:val="24"/>
        </w:rPr>
        <w:t>3</w:t>
      </w:r>
      <w:r>
        <w:rPr>
          <w:rFonts w:ascii="宋体" w:hAnsi="宋体" w:eastAsia="宋体" w:cs="宋体"/>
          <w:spacing w:val="-10"/>
          <w:sz w:val="24"/>
          <w:szCs w:val="24"/>
        </w:rPr>
        <w:t>：</w:t>
      </w:r>
    </w:p>
    <w:p w14:paraId="2DA30CB4">
      <w:pPr>
        <w:spacing w:before="244" w:line="471" w:lineRule="exact"/>
        <w:ind w:left="3201"/>
        <w:rPr>
          <w:rFonts w:ascii="黑体" w:hAnsi="黑体" w:eastAsia="黑体" w:cs="黑体"/>
          <w:sz w:val="27"/>
          <w:szCs w:val="27"/>
        </w:rPr>
      </w:pPr>
      <w:r>
        <w:rPr>
          <w:rFonts w:ascii="黑体" w:hAnsi="黑体" w:eastAsia="黑体" w:cs="黑体"/>
          <w:spacing w:val="7"/>
          <w:position w:val="14"/>
          <w:sz w:val="27"/>
          <w:szCs w:val="27"/>
        </w:rPr>
        <w:t>工程质量保修书</w:t>
      </w:r>
    </w:p>
    <w:p w14:paraId="36442DE1">
      <w:pPr>
        <w:spacing w:line="221" w:lineRule="auto"/>
        <w:ind w:left="444"/>
        <w:rPr>
          <w:rFonts w:ascii="宋体" w:hAnsi="宋体" w:eastAsia="宋体" w:cs="宋体"/>
          <w:sz w:val="21"/>
          <w:szCs w:val="21"/>
        </w:rPr>
      </w:pPr>
      <w:r>
        <w:rPr>
          <w:rFonts w:ascii="宋体" w:hAnsi="宋体" w:eastAsia="宋体" w:cs="宋体"/>
          <w:spacing w:val="-12"/>
          <w:sz w:val="21"/>
          <w:szCs w:val="21"/>
        </w:rPr>
        <w:t>发包人（全称</w:t>
      </w:r>
      <w:r>
        <w:rPr>
          <w:rFonts w:ascii="宋体" w:hAnsi="宋体" w:eastAsia="宋体" w:cs="宋体"/>
          <w:spacing w:val="-21"/>
          <w:sz w:val="21"/>
          <w:szCs w:val="21"/>
        </w:rPr>
        <w:t>）：</w:t>
      </w:r>
      <w:r>
        <w:rPr>
          <w:rFonts w:ascii="宋体" w:hAnsi="宋体" w:eastAsia="宋体" w:cs="宋体"/>
          <w:sz w:val="21"/>
          <w:szCs w:val="21"/>
          <w:u w:val="single" w:color="auto"/>
        </w:rPr>
        <w:t xml:space="preserve">                                </w:t>
      </w:r>
    </w:p>
    <w:p w14:paraId="1F9966CD">
      <w:pPr>
        <w:spacing w:before="155" w:line="221" w:lineRule="auto"/>
        <w:ind w:left="441"/>
        <w:rPr>
          <w:rFonts w:ascii="宋体" w:hAnsi="宋体" w:eastAsia="宋体" w:cs="宋体"/>
          <w:sz w:val="21"/>
          <w:szCs w:val="21"/>
        </w:rPr>
      </w:pPr>
      <w:r>
        <w:rPr>
          <w:rFonts w:ascii="宋体" w:hAnsi="宋体" w:eastAsia="宋体" w:cs="宋体"/>
          <w:spacing w:val="-11"/>
          <w:sz w:val="21"/>
          <w:szCs w:val="21"/>
        </w:rPr>
        <w:t>承包人（全称</w:t>
      </w:r>
      <w:r>
        <w:rPr>
          <w:rFonts w:ascii="宋体" w:hAnsi="宋体" w:eastAsia="宋体" w:cs="宋体"/>
          <w:spacing w:val="-22"/>
          <w:sz w:val="21"/>
          <w:szCs w:val="21"/>
        </w:rPr>
        <w:t>）：</w:t>
      </w:r>
      <w:r>
        <w:rPr>
          <w:rFonts w:ascii="宋体" w:hAnsi="宋体" w:eastAsia="宋体" w:cs="宋体"/>
          <w:sz w:val="21"/>
          <w:szCs w:val="21"/>
          <w:u w:val="single" w:color="auto"/>
        </w:rPr>
        <w:t xml:space="preserve">                                </w:t>
      </w:r>
    </w:p>
    <w:p w14:paraId="48E25180">
      <w:pPr>
        <w:pStyle w:val="3"/>
        <w:spacing w:line="249" w:lineRule="auto"/>
      </w:pPr>
    </w:p>
    <w:p w14:paraId="6A371A52">
      <w:pPr>
        <w:pStyle w:val="3"/>
        <w:spacing w:line="249" w:lineRule="auto"/>
      </w:pPr>
    </w:p>
    <w:p w14:paraId="71D457CF">
      <w:pPr>
        <w:spacing w:before="68" w:line="409" w:lineRule="exact"/>
        <w:ind w:right="17"/>
        <w:jc w:val="right"/>
        <w:rPr>
          <w:rFonts w:ascii="宋体" w:hAnsi="宋体" w:eastAsia="宋体" w:cs="宋体"/>
          <w:sz w:val="21"/>
          <w:szCs w:val="21"/>
        </w:rPr>
      </w:pPr>
      <w:r>
        <w:rPr>
          <w:rFonts w:ascii="宋体" w:hAnsi="宋体" w:eastAsia="宋体" w:cs="宋体"/>
          <w:spacing w:val="-3"/>
          <w:position w:val="14"/>
          <w:sz w:val="21"/>
          <w:szCs w:val="21"/>
        </w:rPr>
        <w:t>发包人和承包人根据《中华人民共和国建筑法》和《建设工程质量管理条例》，经协商</w:t>
      </w:r>
    </w:p>
    <w:p w14:paraId="35F0A97D">
      <w:pPr>
        <w:spacing w:line="219" w:lineRule="auto"/>
        <w:ind w:left="21"/>
        <w:rPr>
          <w:rFonts w:ascii="宋体" w:hAnsi="宋体" w:eastAsia="宋体" w:cs="宋体"/>
          <w:sz w:val="21"/>
          <w:szCs w:val="21"/>
        </w:rPr>
      </w:pPr>
      <w:r>
        <w:rPr>
          <w:rFonts w:ascii="宋体" w:hAnsi="宋体" w:eastAsia="宋体" w:cs="宋体"/>
          <w:spacing w:val="-10"/>
          <w:sz w:val="21"/>
          <w:szCs w:val="21"/>
        </w:rPr>
        <w:t>一致就</w:t>
      </w:r>
      <w:r>
        <w:rPr>
          <w:rFonts w:ascii="宋体" w:hAnsi="宋体" w:eastAsia="宋体" w:cs="宋体"/>
          <w:spacing w:val="-98"/>
          <w:sz w:val="21"/>
          <w:szCs w:val="21"/>
        </w:rPr>
        <w:t xml:space="preserve"> </w:t>
      </w:r>
      <w:r>
        <w:rPr>
          <w:rFonts w:ascii="宋体" w:hAnsi="宋体" w:eastAsia="宋体" w:cs="宋体"/>
          <w:sz w:val="21"/>
          <w:szCs w:val="21"/>
          <w:u w:val="single" w:color="auto"/>
        </w:rPr>
        <w:t xml:space="preserve">                </w:t>
      </w:r>
      <w:r>
        <w:rPr>
          <w:rFonts w:ascii="宋体" w:hAnsi="宋体" w:eastAsia="宋体" w:cs="宋体"/>
          <w:spacing w:val="-49"/>
          <w:sz w:val="21"/>
          <w:szCs w:val="21"/>
        </w:rPr>
        <w:t xml:space="preserve"> </w:t>
      </w:r>
      <w:r>
        <w:rPr>
          <w:rFonts w:ascii="宋体" w:hAnsi="宋体" w:eastAsia="宋体" w:cs="宋体"/>
          <w:spacing w:val="-10"/>
          <w:sz w:val="21"/>
          <w:szCs w:val="21"/>
        </w:rPr>
        <w:t>（工程全称） 签订工程质量保修书。</w:t>
      </w:r>
    </w:p>
    <w:p w14:paraId="7263A866">
      <w:pPr>
        <w:spacing w:before="158" w:line="220" w:lineRule="auto"/>
        <w:ind w:left="444"/>
        <w:rPr>
          <w:rFonts w:ascii="黑体" w:hAnsi="黑体" w:eastAsia="黑体" w:cs="黑体"/>
          <w:sz w:val="21"/>
          <w:szCs w:val="21"/>
        </w:rPr>
      </w:pPr>
      <w:r>
        <w:rPr>
          <w:rFonts w:ascii="黑体" w:hAnsi="黑体" w:eastAsia="黑体" w:cs="黑体"/>
          <w:spacing w:val="-2"/>
          <w:sz w:val="21"/>
          <w:szCs w:val="21"/>
        </w:rPr>
        <w:t>一、工程质量保修范围和内容</w:t>
      </w:r>
    </w:p>
    <w:p w14:paraId="2C986A7D">
      <w:pPr>
        <w:spacing w:before="95" w:line="221" w:lineRule="auto"/>
        <w:ind w:left="441"/>
        <w:rPr>
          <w:rFonts w:ascii="宋体" w:hAnsi="宋体" w:eastAsia="宋体" w:cs="宋体"/>
          <w:sz w:val="21"/>
          <w:szCs w:val="21"/>
        </w:rPr>
      </w:pPr>
      <w:r>
        <w:rPr>
          <w:rFonts w:ascii="宋体" w:hAnsi="宋体" w:eastAsia="宋体" w:cs="宋体"/>
          <w:spacing w:val="-1"/>
          <w:sz w:val="21"/>
          <w:szCs w:val="21"/>
        </w:rPr>
        <w:t>承包人在质量保修期内，按照有关法律规定和合同约定，承担工程质量保修责任。</w:t>
      </w:r>
    </w:p>
    <w:p w14:paraId="03D1B12E">
      <w:pPr>
        <w:spacing w:before="157" w:line="359" w:lineRule="auto"/>
        <w:ind w:left="34" w:right="6" w:firstLine="407"/>
        <w:rPr>
          <w:rFonts w:ascii="宋体" w:hAnsi="宋体" w:eastAsia="宋体" w:cs="宋体"/>
          <w:sz w:val="21"/>
          <w:szCs w:val="21"/>
        </w:rPr>
      </w:pPr>
      <w:r>
        <w:rPr>
          <w:rFonts w:ascii="宋体" w:hAnsi="宋体" w:eastAsia="宋体" w:cs="宋体"/>
          <w:spacing w:val="3"/>
          <w:sz w:val="21"/>
          <w:szCs w:val="21"/>
        </w:rPr>
        <w:t>质量保修范围包括地基基础工程、主体结构工程，屋面防水工程、有防水要求的卫生</w:t>
      </w:r>
      <w:r>
        <w:rPr>
          <w:rFonts w:ascii="宋体" w:hAnsi="宋体" w:eastAsia="宋体" w:cs="宋体"/>
          <w:spacing w:val="2"/>
          <w:sz w:val="21"/>
          <w:szCs w:val="21"/>
        </w:rPr>
        <w:t xml:space="preserve"> </w:t>
      </w:r>
      <w:r>
        <w:rPr>
          <w:rFonts w:ascii="宋体" w:hAnsi="宋体" w:eastAsia="宋体" w:cs="宋体"/>
          <w:sz w:val="21"/>
          <w:szCs w:val="21"/>
        </w:rPr>
        <w:t>间、房间和外墙面的防渗漏， 供热与供冷系统，电气管线、给排水</w:t>
      </w:r>
      <w:r>
        <w:rPr>
          <w:rFonts w:ascii="宋体" w:hAnsi="宋体" w:eastAsia="宋体" w:cs="宋体"/>
          <w:spacing w:val="-1"/>
          <w:sz w:val="21"/>
          <w:szCs w:val="21"/>
        </w:rPr>
        <w:t>管道、设备安装和装修</w:t>
      </w:r>
    </w:p>
    <w:p w14:paraId="6279C7D8">
      <w:pPr>
        <w:spacing w:before="1" w:line="220" w:lineRule="auto"/>
        <w:ind w:left="20"/>
        <w:rPr>
          <w:rFonts w:ascii="宋体" w:hAnsi="宋体" w:eastAsia="宋体" w:cs="宋体"/>
          <w:sz w:val="21"/>
          <w:szCs w:val="21"/>
        </w:rPr>
      </w:pPr>
      <w:r>
        <w:rPr>
          <w:rFonts w:ascii="宋体" w:hAnsi="宋体" w:eastAsia="宋体" w:cs="宋体"/>
          <w:spacing w:val="-4"/>
          <w:sz w:val="21"/>
          <w:szCs w:val="21"/>
        </w:rPr>
        <w:t>工程，以及双方约定的其他项目。具体保修的内容，</w:t>
      </w:r>
      <w:r>
        <w:rPr>
          <w:rFonts w:ascii="宋体" w:hAnsi="宋体" w:eastAsia="宋体" w:cs="宋体"/>
          <w:spacing w:val="-19"/>
          <w:sz w:val="21"/>
          <w:szCs w:val="21"/>
        </w:rPr>
        <w:t xml:space="preserve"> </w:t>
      </w:r>
      <w:r>
        <w:rPr>
          <w:rFonts w:ascii="宋体" w:hAnsi="宋体" w:eastAsia="宋体" w:cs="宋体"/>
          <w:spacing w:val="-4"/>
          <w:sz w:val="21"/>
          <w:szCs w:val="21"/>
        </w:rPr>
        <w:t>双方约定如下：</w:t>
      </w:r>
    </w:p>
    <w:p w14:paraId="1BD5594E">
      <w:pPr>
        <w:pStyle w:val="3"/>
        <w:tabs>
          <w:tab w:val="left" w:pos="8325"/>
        </w:tabs>
        <w:spacing w:before="175" w:line="242" w:lineRule="exact"/>
        <w:ind w:left="212"/>
      </w:pPr>
      <w:r>
        <w:rPr>
          <w:u w:val="single" w:color="auto"/>
        </w:rPr>
        <w:tab/>
      </w:r>
    </w:p>
    <w:p w14:paraId="4A671EF6">
      <w:pPr>
        <w:pStyle w:val="3"/>
        <w:spacing w:line="261" w:lineRule="auto"/>
      </w:pPr>
    </w:p>
    <w:p w14:paraId="292C6C19">
      <w:pPr>
        <w:tabs>
          <w:tab w:val="left" w:pos="7679"/>
        </w:tabs>
        <w:spacing w:before="26" w:line="159" w:lineRule="auto"/>
        <w:ind w:left="10"/>
        <w:rPr>
          <w:rFonts w:ascii="宋体" w:hAnsi="宋体" w:eastAsia="宋体" w:cs="宋体"/>
          <w:sz w:val="8"/>
          <w:szCs w:val="8"/>
        </w:rPr>
      </w:pPr>
      <w:r>
        <w:rPr>
          <w:rFonts w:ascii="宋体" w:hAnsi="宋体" w:eastAsia="宋体" w:cs="宋体"/>
          <w:sz w:val="8"/>
          <w:szCs w:val="8"/>
          <w:u w:val="single" w:color="auto"/>
        </w:rPr>
        <w:tab/>
      </w:r>
      <w:r>
        <w:rPr>
          <w:rFonts w:ascii="宋体" w:hAnsi="宋体" w:eastAsia="宋体" w:cs="宋体"/>
          <w:spacing w:val="-12"/>
          <w:sz w:val="8"/>
          <w:szCs w:val="8"/>
        </w:rPr>
        <w:t xml:space="preserve"> </w:t>
      </w:r>
      <w:r>
        <w:rPr>
          <w:rFonts w:ascii="宋体" w:hAnsi="宋体" w:eastAsia="宋体" w:cs="宋体"/>
          <w:spacing w:val="6"/>
          <w:sz w:val="8"/>
          <w:szCs w:val="8"/>
        </w:rPr>
        <w:t>。</w:t>
      </w:r>
    </w:p>
    <w:p w14:paraId="40707F51">
      <w:pPr>
        <w:spacing w:before="203" w:line="220" w:lineRule="auto"/>
        <w:ind w:left="444"/>
        <w:rPr>
          <w:rFonts w:ascii="黑体" w:hAnsi="黑体" w:eastAsia="黑体" w:cs="黑体"/>
          <w:sz w:val="21"/>
          <w:szCs w:val="21"/>
        </w:rPr>
      </w:pPr>
      <w:r>
        <w:rPr>
          <w:rFonts w:ascii="黑体" w:hAnsi="黑体" w:eastAsia="黑体" w:cs="黑体"/>
          <w:spacing w:val="-1"/>
          <w:sz w:val="21"/>
          <w:szCs w:val="21"/>
        </w:rPr>
        <w:t>二、质量保修期</w:t>
      </w:r>
    </w:p>
    <w:p w14:paraId="0F725744">
      <w:pPr>
        <w:spacing w:before="96" w:line="408" w:lineRule="exact"/>
        <w:ind w:left="441"/>
        <w:rPr>
          <w:rFonts w:ascii="宋体" w:hAnsi="宋体" w:eastAsia="宋体" w:cs="宋体"/>
          <w:sz w:val="21"/>
          <w:szCs w:val="21"/>
        </w:rPr>
      </w:pPr>
      <w:r>
        <w:rPr>
          <w:rFonts w:ascii="宋体" w:hAnsi="宋体" w:eastAsia="宋体" w:cs="宋体"/>
          <w:spacing w:val="-1"/>
          <w:position w:val="14"/>
          <w:sz w:val="21"/>
          <w:szCs w:val="21"/>
        </w:rPr>
        <w:t>根据《建设工程质量管理条例》及有关规定，工程的</w:t>
      </w:r>
      <w:r>
        <w:rPr>
          <w:rFonts w:ascii="宋体" w:hAnsi="宋体" w:eastAsia="宋体" w:cs="宋体"/>
          <w:spacing w:val="-2"/>
          <w:position w:val="14"/>
          <w:sz w:val="21"/>
          <w:szCs w:val="21"/>
        </w:rPr>
        <w:t>质量保修期如下：</w:t>
      </w:r>
    </w:p>
    <w:p w14:paraId="5E0FAE88">
      <w:pPr>
        <w:spacing w:before="1" w:line="220" w:lineRule="auto"/>
        <w:ind w:left="457"/>
        <w:rPr>
          <w:rFonts w:ascii="宋体" w:hAnsi="宋体" w:eastAsia="宋体" w:cs="宋体"/>
          <w:sz w:val="21"/>
          <w:szCs w:val="21"/>
        </w:rPr>
      </w:pPr>
      <w:r>
        <w:rPr>
          <w:rFonts w:ascii="Times New Roman" w:hAnsi="Times New Roman" w:eastAsia="Times New Roman" w:cs="Times New Roman"/>
          <w:spacing w:val="-3"/>
          <w:sz w:val="21"/>
          <w:szCs w:val="21"/>
        </w:rPr>
        <w:t>1</w:t>
      </w:r>
      <w:r>
        <w:rPr>
          <w:rFonts w:ascii="Times New Roman" w:hAnsi="Times New Roman" w:eastAsia="Times New Roman" w:cs="Times New Roman"/>
          <w:spacing w:val="-16"/>
          <w:sz w:val="21"/>
          <w:szCs w:val="21"/>
        </w:rPr>
        <w:t xml:space="preserve"> </w:t>
      </w:r>
      <w:r>
        <w:rPr>
          <w:rFonts w:ascii="宋体" w:hAnsi="宋体" w:eastAsia="宋体" w:cs="宋体"/>
          <w:spacing w:val="-3"/>
          <w:sz w:val="21"/>
          <w:szCs w:val="21"/>
        </w:rPr>
        <w:t>．地基基础工程和主体结构工程为设计文件规定的工程合理使用年限；</w:t>
      </w:r>
    </w:p>
    <w:p w14:paraId="47902017">
      <w:pPr>
        <w:spacing w:before="156" w:line="359" w:lineRule="auto"/>
        <w:ind w:left="437"/>
        <w:rPr>
          <w:rFonts w:ascii="宋体" w:hAnsi="宋体" w:eastAsia="宋体" w:cs="宋体"/>
          <w:sz w:val="21"/>
          <w:szCs w:val="21"/>
        </w:rPr>
      </w:pPr>
      <w:r>
        <w:rPr>
          <w:rFonts w:ascii="Times New Roman" w:hAnsi="Times New Roman" w:eastAsia="Times New Roman" w:cs="Times New Roman"/>
          <w:spacing w:val="-2"/>
          <w:sz w:val="21"/>
          <w:szCs w:val="21"/>
        </w:rPr>
        <w:t>2</w:t>
      </w:r>
      <w:r>
        <w:rPr>
          <w:rFonts w:ascii="Times New Roman" w:hAnsi="Times New Roman" w:eastAsia="Times New Roman" w:cs="Times New Roman"/>
          <w:spacing w:val="-22"/>
          <w:sz w:val="21"/>
          <w:szCs w:val="21"/>
        </w:rPr>
        <w:t xml:space="preserve"> </w:t>
      </w:r>
      <w:r>
        <w:rPr>
          <w:rFonts w:ascii="宋体" w:hAnsi="宋体" w:eastAsia="宋体" w:cs="宋体"/>
          <w:spacing w:val="-2"/>
          <w:sz w:val="21"/>
          <w:szCs w:val="21"/>
        </w:rPr>
        <w:t>．屋面防水工程、有防水要求的卫生间、房间和外墙面的防渗为</w:t>
      </w:r>
      <w:r>
        <w:rPr>
          <w:rFonts w:ascii="宋体" w:hAnsi="宋体" w:eastAsia="宋体" w:cs="宋体"/>
          <w:spacing w:val="-105"/>
          <w:sz w:val="21"/>
          <w:szCs w:val="21"/>
        </w:rPr>
        <w:t xml:space="preserve"> </w:t>
      </w:r>
      <w:r>
        <w:rPr>
          <w:rFonts w:ascii="宋体" w:hAnsi="宋体" w:eastAsia="宋体" w:cs="宋体"/>
          <w:sz w:val="21"/>
          <w:szCs w:val="21"/>
          <w:u w:val="single" w:color="auto"/>
        </w:rPr>
        <w:t xml:space="preserve">        </w:t>
      </w:r>
      <w:r>
        <w:rPr>
          <w:rFonts w:ascii="宋体" w:hAnsi="宋体" w:eastAsia="宋体" w:cs="宋体"/>
          <w:spacing w:val="-96"/>
          <w:sz w:val="21"/>
          <w:szCs w:val="21"/>
        </w:rPr>
        <w:t xml:space="preserve"> </w:t>
      </w:r>
      <w:r>
        <w:rPr>
          <w:rFonts w:ascii="宋体" w:hAnsi="宋体" w:eastAsia="宋体" w:cs="宋体"/>
          <w:spacing w:val="-2"/>
          <w:sz w:val="21"/>
          <w:szCs w:val="21"/>
        </w:rPr>
        <w:t>年；</w:t>
      </w:r>
    </w:p>
    <w:p w14:paraId="686E3C61">
      <w:pPr>
        <w:spacing w:before="1" w:line="220" w:lineRule="auto"/>
        <w:ind w:left="441"/>
        <w:rPr>
          <w:rFonts w:ascii="宋体" w:hAnsi="宋体" w:eastAsia="宋体" w:cs="宋体"/>
          <w:sz w:val="21"/>
          <w:szCs w:val="21"/>
        </w:rPr>
      </w:pPr>
      <w:r>
        <w:rPr>
          <w:rFonts w:ascii="Times New Roman" w:hAnsi="Times New Roman" w:eastAsia="Times New Roman" w:cs="Times New Roman"/>
          <w:spacing w:val="-7"/>
          <w:sz w:val="21"/>
          <w:szCs w:val="21"/>
        </w:rPr>
        <w:t>3</w:t>
      </w:r>
      <w:r>
        <w:rPr>
          <w:rFonts w:ascii="Times New Roman" w:hAnsi="Times New Roman" w:eastAsia="Times New Roman" w:cs="Times New Roman"/>
          <w:spacing w:val="-25"/>
          <w:sz w:val="21"/>
          <w:szCs w:val="21"/>
        </w:rPr>
        <w:t xml:space="preserve"> </w:t>
      </w:r>
      <w:r>
        <w:rPr>
          <w:rFonts w:ascii="宋体" w:hAnsi="宋体" w:eastAsia="宋体" w:cs="宋体"/>
          <w:spacing w:val="-7"/>
          <w:sz w:val="21"/>
          <w:szCs w:val="21"/>
        </w:rPr>
        <w:t>．装修工程为</w:t>
      </w:r>
      <w:r>
        <w:rPr>
          <w:rFonts w:ascii="宋体" w:hAnsi="宋体" w:eastAsia="宋体" w:cs="宋体"/>
          <w:spacing w:val="-105"/>
          <w:sz w:val="21"/>
          <w:szCs w:val="21"/>
        </w:rPr>
        <w:t xml:space="preserve"> </w:t>
      </w:r>
      <w:r>
        <w:rPr>
          <w:rFonts w:ascii="宋体" w:hAnsi="宋体" w:eastAsia="宋体" w:cs="宋体"/>
          <w:sz w:val="21"/>
          <w:szCs w:val="21"/>
          <w:u w:val="single" w:color="auto"/>
        </w:rPr>
        <w:t xml:space="preserve">         </w:t>
      </w:r>
      <w:r>
        <w:rPr>
          <w:rFonts w:ascii="宋体" w:hAnsi="宋体" w:eastAsia="宋体" w:cs="宋体"/>
          <w:spacing w:val="-94"/>
          <w:sz w:val="21"/>
          <w:szCs w:val="21"/>
        </w:rPr>
        <w:t xml:space="preserve"> </w:t>
      </w:r>
      <w:r>
        <w:rPr>
          <w:rFonts w:ascii="宋体" w:hAnsi="宋体" w:eastAsia="宋体" w:cs="宋体"/>
          <w:spacing w:val="-7"/>
          <w:sz w:val="21"/>
          <w:szCs w:val="21"/>
        </w:rPr>
        <w:t>年；</w:t>
      </w:r>
    </w:p>
    <w:p w14:paraId="5F2C6131">
      <w:pPr>
        <w:spacing w:before="157" w:line="359" w:lineRule="auto"/>
        <w:ind w:left="436"/>
        <w:rPr>
          <w:rFonts w:ascii="宋体" w:hAnsi="宋体" w:eastAsia="宋体" w:cs="宋体"/>
          <w:sz w:val="21"/>
          <w:szCs w:val="21"/>
        </w:rPr>
      </w:pPr>
      <w:r>
        <w:rPr>
          <w:rFonts w:ascii="Times New Roman" w:hAnsi="Times New Roman" w:eastAsia="Times New Roman" w:cs="Times New Roman"/>
          <w:spacing w:val="-3"/>
          <w:sz w:val="21"/>
          <w:szCs w:val="21"/>
        </w:rPr>
        <w:t>4</w:t>
      </w:r>
      <w:r>
        <w:rPr>
          <w:rFonts w:ascii="Times New Roman" w:hAnsi="Times New Roman" w:eastAsia="Times New Roman" w:cs="Times New Roman"/>
          <w:spacing w:val="-16"/>
          <w:sz w:val="21"/>
          <w:szCs w:val="21"/>
        </w:rPr>
        <w:t xml:space="preserve"> </w:t>
      </w:r>
      <w:r>
        <w:rPr>
          <w:rFonts w:ascii="宋体" w:hAnsi="宋体" w:eastAsia="宋体" w:cs="宋体"/>
          <w:spacing w:val="-3"/>
          <w:sz w:val="21"/>
          <w:szCs w:val="21"/>
        </w:rPr>
        <w:t>．电气管线、给排水管道、设备安装工程为</w:t>
      </w:r>
      <w:r>
        <w:rPr>
          <w:rFonts w:ascii="宋体" w:hAnsi="宋体" w:eastAsia="宋体" w:cs="宋体"/>
          <w:spacing w:val="-103"/>
          <w:sz w:val="21"/>
          <w:szCs w:val="21"/>
        </w:rPr>
        <w:t xml:space="preserve"> </w:t>
      </w:r>
      <w:r>
        <w:rPr>
          <w:rFonts w:ascii="宋体" w:hAnsi="宋体" w:eastAsia="宋体" w:cs="宋体"/>
          <w:spacing w:val="12"/>
          <w:sz w:val="21"/>
          <w:szCs w:val="21"/>
          <w:u w:val="single" w:color="auto"/>
        </w:rPr>
        <w:t xml:space="preserve">        </w:t>
      </w:r>
      <w:r>
        <w:rPr>
          <w:rFonts w:ascii="宋体" w:hAnsi="宋体" w:eastAsia="宋体" w:cs="宋体"/>
          <w:spacing w:val="-91"/>
          <w:sz w:val="21"/>
          <w:szCs w:val="21"/>
        </w:rPr>
        <w:t xml:space="preserve"> </w:t>
      </w:r>
      <w:r>
        <w:rPr>
          <w:rFonts w:ascii="宋体" w:hAnsi="宋体" w:eastAsia="宋体" w:cs="宋体"/>
          <w:spacing w:val="-3"/>
          <w:sz w:val="21"/>
          <w:szCs w:val="21"/>
        </w:rPr>
        <w:t>年；</w:t>
      </w:r>
    </w:p>
    <w:p w14:paraId="74339EDD">
      <w:pPr>
        <w:spacing w:before="1" w:line="219" w:lineRule="auto"/>
        <w:ind w:left="443"/>
        <w:rPr>
          <w:rFonts w:ascii="宋体" w:hAnsi="宋体" w:eastAsia="宋体" w:cs="宋体"/>
          <w:sz w:val="21"/>
          <w:szCs w:val="21"/>
        </w:rPr>
      </w:pPr>
      <w:r>
        <w:rPr>
          <w:rFonts w:ascii="Times New Roman" w:hAnsi="Times New Roman" w:eastAsia="Times New Roman" w:cs="Times New Roman"/>
          <w:spacing w:val="-3"/>
          <w:sz w:val="21"/>
          <w:szCs w:val="21"/>
        </w:rPr>
        <w:t>5</w:t>
      </w:r>
      <w:r>
        <w:rPr>
          <w:rFonts w:ascii="Times New Roman" w:hAnsi="Times New Roman" w:eastAsia="Times New Roman" w:cs="Times New Roman"/>
          <w:spacing w:val="-8"/>
          <w:sz w:val="21"/>
          <w:szCs w:val="21"/>
        </w:rPr>
        <w:t xml:space="preserve"> </w:t>
      </w:r>
      <w:r>
        <w:rPr>
          <w:rFonts w:ascii="宋体" w:hAnsi="宋体" w:eastAsia="宋体" w:cs="宋体"/>
          <w:spacing w:val="-3"/>
          <w:sz w:val="21"/>
          <w:szCs w:val="21"/>
        </w:rPr>
        <w:t>．供热与供冷系统为</w:t>
      </w:r>
      <w:r>
        <w:rPr>
          <w:rFonts w:ascii="宋体" w:hAnsi="宋体" w:eastAsia="宋体" w:cs="宋体"/>
          <w:spacing w:val="-3"/>
          <w:sz w:val="21"/>
          <w:szCs w:val="21"/>
          <w:u w:val="single" w:color="auto"/>
        </w:rPr>
        <w:t xml:space="preserve">         </w:t>
      </w:r>
      <w:r>
        <w:rPr>
          <w:rFonts w:ascii="宋体" w:hAnsi="宋体" w:eastAsia="宋体" w:cs="宋体"/>
          <w:spacing w:val="-96"/>
          <w:sz w:val="21"/>
          <w:szCs w:val="21"/>
        </w:rPr>
        <w:t xml:space="preserve"> </w:t>
      </w:r>
      <w:r>
        <w:rPr>
          <w:rFonts w:ascii="宋体" w:hAnsi="宋体" w:eastAsia="宋体" w:cs="宋体"/>
          <w:spacing w:val="-3"/>
          <w:sz w:val="21"/>
          <w:szCs w:val="21"/>
        </w:rPr>
        <w:t>个采暖期、供冷期；</w:t>
      </w:r>
    </w:p>
    <w:p w14:paraId="64C34FC0">
      <w:pPr>
        <w:spacing w:before="158" w:line="359" w:lineRule="auto"/>
        <w:ind w:left="442"/>
        <w:rPr>
          <w:rFonts w:ascii="宋体" w:hAnsi="宋体" w:eastAsia="宋体" w:cs="宋体"/>
          <w:sz w:val="21"/>
          <w:szCs w:val="21"/>
        </w:rPr>
      </w:pPr>
      <w:r>
        <w:rPr>
          <w:rFonts w:ascii="Times New Roman" w:hAnsi="Times New Roman" w:eastAsia="Times New Roman" w:cs="Times New Roman"/>
          <w:spacing w:val="-3"/>
          <w:sz w:val="21"/>
          <w:szCs w:val="21"/>
        </w:rPr>
        <w:t>6</w:t>
      </w:r>
      <w:r>
        <w:rPr>
          <w:rFonts w:ascii="Times New Roman" w:hAnsi="Times New Roman" w:eastAsia="Times New Roman" w:cs="Times New Roman"/>
          <w:spacing w:val="-18"/>
          <w:sz w:val="21"/>
          <w:szCs w:val="21"/>
        </w:rPr>
        <w:t xml:space="preserve"> </w:t>
      </w:r>
      <w:r>
        <w:rPr>
          <w:rFonts w:ascii="宋体" w:hAnsi="宋体" w:eastAsia="宋体" w:cs="宋体"/>
          <w:spacing w:val="-3"/>
          <w:sz w:val="21"/>
          <w:szCs w:val="21"/>
        </w:rPr>
        <w:t>．住宅小区内的给排水设施、道路等配套工程为</w:t>
      </w:r>
      <w:r>
        <w:rPr>
          <w:rFonts w:ascii="宋体" w:hAnsi="宋体" w:eastAsia="宋体" w:cs="宋体"/>
          <w:spacing w:val="-103"/>
          <w:sz w:val="21"/>
          <w:szCs w:val="21"/>
        </w:rPr>
        <w:t xml:space="preserve"> </w:t>
      </w:r>
      <w:r>
        <w:rPr>
          <w:rFonts w:ascii="宋体" w:hAnsi="宋体" w:eastAsia="宋体" w:cs="宋体"/>
          <w:sz w:val="21"/>
          <w:szCs w:val="21"/>
          <w:u w:val="single" w:color="auto"/>
        </w:rPr>
        <w:t xml:space="preserve">         </w:t>
      </w:r>
      <w:r>
        <w:rPr>
          <w:rFonts w:ascii="宋体" w:hAnsi="宋体" w:eastAsia="宋体" w:cs="宋体"/>
          <w:spacing w:val="-95"/>
          <w:sz w:val="21"/>
          <w:szCs w:val="21"/>
        </w:rPr>
        <w:t xml:space="preserve"> </w:t>
      </w:r>
      <w:r>
        <w:rPr>
          <w:rFonts w:ascii="宋体" w:hAnsi="宋体" w:eastAsia="宋体" w:cs="宋体"/>
          <w:spacing w:val="-3"/>
          <w:sz w:val="21"/>
          <w:szCs w:val="21"/>
        </w:rPr>
        <w:t>年；</w:t>
      </w:r>
    </w:p>
    <w:p w14:paraId="013609F6">
      <w:pPr>
        <w:spacing w:line="220" w:lineRule="auto"/>
        <w:ind w:left="440"/>
        <w:rPr>
          <w:rFonts w:ascii="宋体" w:hAnsi="宋体" w:eastAsia="宋体" w:cs="宋体"/>
          <w:sz w:val="21"/>
          <w:szCs w:val="21"/>
        </w:rPr>
      </w:pPr>
      <w:r>
        <w:rPr>
          <w:rFonts w:ascii="Times New Roman" w:hAnsi="Times New Roman" w:eastAsia="Times New Roman" w:cs="Times New Roman"/>
          <w:spacing w:val="-2"/>
          <w:sz w:val="21"/>
          <w:szCs w:val="21"/>
        </w:rPr>
        <w:t>7</w:t>
      </w:r>
      <w:r>
        <w:rPr>
          <w:rFonts w:ascii="Times New Roman" w:hAnsi="Times New Roman" w:eastAsia="Times New Roman" w:cs="Times New Roman"/>
          <w:spacing w:val="-25"/>
          <w:sz w:val="21"/>
          <w:szCs w:val="21"/>
        </w:rPr>
        <w:t xml:space="preserve"> </w:t>
      </w:r>
      <w:r>
        <w:rPr>
          <w:rFonts w:ascii="宋体" w:hAnsi="宋体" w:eastAsia="宋体" w:cs="宋体"/>
          <w:spacing w:val="-2"/>
          <w:sz w:val="21"/>
          <w:szCs w:val="21"/>
        </w:rPr>
        <w:t>．其他项目保修期限约定如下：</w:t>
      </w:r>
    </w:p>
    <w:p w14:paraId="51FBE718">
      <w:pPr>
        <w:pStyle w:val="3"/>
        <w:tabs>
          <w:tab w:val="left" w:pos="8325"/>
        </w:tabs>
        <w:spacing w:before="180" w:line="242" w:lineRule="exact"/>
        <w:ind w:left="212"/>
      </w:pPr>
      <w:r>
        <w:rPr>
          <w:u w:val="single" w:color="auto"/>
        </w:rPr>
        <w:tab/>
      </w:r>
    </w:p>
    <w:p w14:paraId="13CE74A2">
      <w:pPr>
        <w:pStyle w:val="3"/>
        <w:tabs>
          <w:tab w:val="left" w:pos="8327"/>
        </w:tabs>
        <w:spacing w:before="167" w:line="241" w:lineRule="exact"/>
        <w:ind w:left="10"/>
      </w:pPr>
      <w:r>
        <w:rPr>
          <w:u w:val="single" w:color="auto"/>
        </w:rPr>
        <w:tab/>
      </w:r>
    </w:p>
    <w:p w14:paraId="7836B53B">
      <w:pPr>
        <w:spacing w:before="285" w:line="106" w:lineRule="exact"/>
        <w:ind w:left="39"/>
        <w:rPr>
          <w:rFonts w:ascii="宋体" w:hAnsi="宋体" w:eastAsia="宋体" w:cs="宋体"/>
          <w:sz w:val="21"/>
          <w:szCs w:val="21"/>
        </w:rPr>
      </w:pPr>
      <w:r>
        <w:rPr>
          <w:rFonts w:ascii="宋体" w:hAnsi="宋体" w:eastAsia="宋体" w:cs="宋体"/>
          <w:position w:val="1"/>
          <w:sz w:val="21"/>
          <w:szCs w:val="21"/>
        </w:rPr>
        <w:t>。</w:t>
      </w:r>
    </w:p>
    <w:p w14:paraId="4DD6F0DD">
      <w:pPr>
        <w:spacing w:before="165" w:line="221" w:lineRule="auto"/>
        <w:ind w:left="221"/>
        <w:rPr>
          <w:rFonts w:ascii="宋体" w:hAnsi="宋体" w:eastAsia="宋体" w:cs="宋体"/>
          <w:sz w:val="21"/>
          <w:szCs w:val="21"/>
        </w:rPr>
      </w:pPr>
      <w:r>
        <w:rPr>
          <w:rFonts w:ascii="宋体" w:hAnsi="宋体" w:eastAsia="宋体" w:cs="宋体"/>
          <w:spacing w:val="-2"/>
          <w:sz w:val="21"/>
          <w:szCs w:val="21"/>
        </w:rPr>
        <w:t>质量保修期自工程竣工验收合格之日起计算。</w:t>
      </w:r>
    </w:p>
    <w:p w14:paraId="04F3365C">
      <w:pPr>
        <w:spacing w:before="158" w:line="219" w:lineRule="auto"/>
        <w:ind w:left="445"/>
        <w:rPr>
          <w:rFonts w:ascii="黑体" w:hAnsi="黑体" w:eastAsia="黑体" w:cs="黑体"/>
          <w:sz w:val="21"/>
          <w:szCs w:val="21"/>
        </w:rPr>
      </w:pPr>
      <w:r>
        <w:rPr>
          <w:rFonts w:ascii="黑体" w:hAnsi="黑体" w:eastAsia="黑体" w:cs="黑体"/>
          <w:spacing w:val="-2"/>
          <w:sz w:val="21"/>
          <w:szCs w:val="21"/>
        </w:rPr>
        <w:t>三、缺陷责任期</w:t>
      </w:r>
    </w:p>
    <w:p w14:paraId="62CFEEA7">
      <w:pPr>
        <w:spacing w:before="96" w:line="359" w:lineRule="auto"/>
        <w:ind w:right="1"/>
        <w:jc w:val="right"/>
        <w:rPr>
          <w:rFonts w:ascii="宋体" w:hAnsi="宋体" w:eastAsia="宋体" w:cs="宋体"/>
          <w:sz w:val="21"/>
          <w:szCs w:val="21"/>
        </w:rPr>
      </w:pPr>
      <w:r>
        <w:rPr>
          <w:rFonts w:ascii="宋体" w:hAnsi="宋体" w:eastAsia="宋体" w:cs="宋体"/>
          <w:sz w:val="21"/>
          <w:szCs w:val="21"/>
        </w:rPr>
        <w:t>工程缺陷责任期为</w:t>
      </w:r>
      <w:r>
        <w:rPr>
          <w:rFonts w:ascii="宋体" w:hAnsi="宋体" w:eastAsia="宋体" w:cs="宋体"/>
          <w:spacing w:val="-104"/>
          <w:sz w:val="21"/>
          <w:szCs w:val="21"/>
        </w:rPr>
        <w:t xml:space="preserve"> </w:t>
      </w:r>
      <w:r>
        <w:rPr>
          <w:rFonts w:ascii="宋体" w:hAnsi="宋体" w:eastAsia="宋体" w:cs="宋体"/>
          <w:sz w:val="21"/>
          <w:szCs w:val="21"/>
          <w:u w:val="single" w:color="auto"/>
        </w:rPr>
        <w:t xml:space="preserve">         </w:t>
      </w:r>
      <w:r>
        <w:rPr>
          <w:rFonts w:ascii="宋体" w:hAnsi="宋体" w:eastAsia="宋体" w:cs="宋体"/>
          <w:spacing w:val="-91"/>
          <w:sz w:val="21"/>
          <w:szCs w:val="21"/>
        </w:rPr>
        <w:t xml:space="preserve"> </w:t>
      </w:r>
      <w:r>
        <w:rPr>
          <w:rFonts w:ascii="宋体" w:hAnsi="宋体" w:eastAsia="宋体" w:cs="宋体"/>
          <w:sz w:val="21"/>
          <w:szCs w:val="21"/>
        </w:rPr>
        <w:t>个月，缺陷责任期自工程通过竣工验收之日起计</w:t>
      </w:r>
      <w:r>
        <w:rPr>
          <w:rFonts w:ascii="宋体" w:hAnsi="宋体" w:eastAsia="宋体" w:cs="宋体"/>
          <w:spacing w:val="-1"/>
          <w:sz w:val="21"/>
          <w:szCs w:val="21"/>
        </w:rPr>
        <w:t>算。单位</w:t>
      </w:r>
    </w:p>
    <w:p w14:paraId="69D407BF">
      <w:pPr>
        <w:spacing w:before="1" w:line="220" w:lineRule="auto"/>
        <w:ind w:left="20"/>
        <w:rPr>
          <w:rFonts w:ascii="宋体" w:hAnsi="宋体" w:eastAsia="宋体" w:cs="宋体"/>
          <w:sz w:val="21"/>
          <w:szCs w:val="21"/>
        </w:rPr>
      </w:pPr>
      <w:r>
        <w:rPr>
          <w:rFonts w:ascii="宋体" w:hAnsi="宋体" w:eastAsia="宋体" w:cs="宋体"/>
          <w:spacing w:val="-4"/>
          <w:sz w:val="21"/>
          <w:szCs w:val="21"/>
        </w:rPr>
        <w:t>工程先于全部工程进行验收， 单位工程缺陷责任期自单位工程验收合格之日起算。</w:t>
      </w:r>
    </w:p>
    <w:p w14:paraId="67BC424B">
      <w:pPr>
        <w:spacing w:before="156" w:line="221" w:lineRule="auto"/>
        <w:ind w:left="441"/>
        <w:rPr>
          <w:rFonts w:ascii="宋体" w:hAnsi="宋体" w:eastAsia="宋体" w:cs="宋体"/>
          <w:sz w:val="21"/>
          <w:szCs w:val="21"/>
        </w:rPr>
      </w:pPr>
      <w:r>
        <w:rPr>
          <w:rFonts w:ascii="宋体" w:hAnsi="宋体" w:eastAsia="宋体" w:cs="宋体"/>
          <w:spacing w:val="-5"/>
          <w:sz w:val="21"/>
          <w:szCs w:val="21"/>
        </w:rPr>
        <w:t>缺陷责任期终止后， 发包人应退还剩余的质量保证金。</w:t>
      </w:r>
    </w:p>
    <w:p w14:paraId="4D5E7A8B">
      <w:pPr>
        <w:spacing w:before="158" w:line="219" w:lineRule="auto"/>
        <w:ind w:left="453"/>
        <w:rPr>
          <w:rFonts w:ascii="黑体" w:hAnsi="黑体" w:eastAsia="黑体" w:cs="黑体"/>
          <w:sz w:val="21"/>
          <w:szCs w:val="21"/>
        </w:rPr>
      </w:pPr>
      <w:r>
        <w:rPr>
          <w:rFonts w:ascii="黑体" w:hAnsi="黑体" w:eastAsia="黑体" w:cs="黑体"/>
          <w:spacing w:val="-11"/>
          <w:sz w:val="21"/>
          <w:szCs w:val="21"/>
        </w:rPr>
        <w:t>四、</w:t>
      </w:r>
      <w:r>
        <w:rPr>
          <w:rFonts w:ascii="黑体" w:hAnsi="黑体" w:eastAsia="黑体" w:cs="黑体"/>
          <w:spacing w:val="-34"/>
          <w:sz w:val="21"/>
          <w:szCs w:val="21"/>
        </w:rPr>
        <w:t xml:space="preserve"> </w:t>
      </w:r>
      <w:r>
        <w:rPr>
          <w:rFonts w:ascii="黑体" w:hAnsi="黑体" w:eastAsia="黑体" w:cs="黑体"/>
          <w:spacing w:val="-11"/>
          <w:sz w:val="21"/>
          <w:szCs w:val="21"/>
        </w:rPr>
        <w:t>质量保修责任</w:t>
      </w:r>
    </w:p>
    <w:p w14:paraId="1104318C">
      <w:pPr>
        <w:spacing w:before="101" w:line="408" w:lineRule="exact"/>
        <w:ind w:right="24"/>
        <w:jc w:val="right"/>
        <w:rPr>
          <w:rFonts w:ascii="宋体" w:hAnsi="宋体" w:eastAsia="宋体" w:cs="宋体"/>
          <w:sz w:val="21"/>
          <w:szCs w:val="21"/>
        </w:rPr>
      </w:pPr>
      <w:r>
        <w:rPr>
          <w:rFonts w:ascii="Times New Roman" w:hAnsi="Times New Roman" w:eastAsia="Times New Roman" w:cs="Times New Roman"/>
          <w:spacing w:val="-3"/>
          <w:position w:val="15"/>
          <w:sz w:val="21"/>
          <w:szCs w:val="21"/>
        </w:rPr>
        <w:t>1</w:t>
      </w:r>
      <w:r>
        <w:rPr>
          <w:rFonts w:ascii="Times New Roman" w:hAnsi="Times New Roman" w:eastAsia="Times New Roman" w:cs="Times New Roman"/>
          <w:spacing w:val="-8"/>
          <w:position w:val="15"/>
          <w:sz w:val="21"/>
          <w:szCs w:val="21"/>
        </w:rPr>
        <w:t xml:space="preserve"> </w:t>
      </w:r>
      <w:r>
        <w:rPr>
          <w:rFonts w:ascii="宋体" w:hAnsi="宋体" w:eastAsia="宋体" w:cs="宋体"/>
          <w:spacing w:val="-3"/>
          <w:position w:val="15"/>
          <w:sz w:val="21"/>
          <w:szCs w:val="21"/>
        </w:rPr>
        <w:t>．属于保修范围、内容的项目，承包人应当在接到保修通知之日起</w:t>
      </w:r>
      <w:r>
        <w:rPr>
          <w:rFonts w:ascii="宋体" w:hAnsi="宋体" w:eastAsia="宋体" w:cs="宋体"/>
          <w:spacing w:val="-36"/>
          <w:position w:val="15"/>
          <w:sz w:val="21"/>
          <w:szCs w:val="21"/>
        </w:rPr>
        <w:t xml:space="preserve"> </w:t>
      </w:r>
      <w:r>
        <w:rPr>
          <w:rFonts w:ascii="宋体" w:hAnsi="宋体" w:eastAsia="宋体" w:cs="宋体"/>
          <w:spacing w:val="-3"/>
          <w:position w:val="15"/>
          <w:sz w:val="21"/>
          <w:szCs w:val="21"/>
        </w:rPr>
        <w:t>7</w:t>
      </w:r>
      <w:r>
        <w:rPr>
          <w:rFonts w:ascii="宋体" w:hAnsi="宋体" w:eastAsia="宋体" w:cs="宋体"/>
          <w:spacing w:val="-35"/>
          <w:position w:val="15"/>
          <w:sz w:val="21"/>
          <w:szCs w:val="21"/>
        </w:rPr>
        <w:t xml:space="preserve"> </w:t>
      </w:r>
      <w:r>
        <w:rPr>
          <w:rFonts w:ascii="宋体" w:hAnsi="宋体" w:eastAsia="宋体" w:cs="宋体"/>
          <w:spacing w:val="-3"/>
          <w:position w:val="15"/>
          <w:sz w:val="21"/>
          <w:szCs w:val="21"/>
        </w:rPr>
        <w:t>天内派人保修。</w:t>
      </w:r>
    </w:p>
    <w:p w14:paraId="7BA6DF01">
      <w:pPr>
        <w:spacing w:before="1" w:line="220" w:lineRule="auto"/>
        <w:ind w:left="18"/>
        <w:rPr>
          <w:rFonts w:ascii="宋体" w:hAnsi="宋体" w:eastAsia="宋体" w:cs="宋体"/>
          <w:sz w:val="21"/>
          <w:szCs w:val="21"/>
        </w:rPr>
      </w:pPr>
      <w:r>
        <w:rPr>
          <w:rFonts w:ascii="宋体" w:hAnsi="宋体" w:eastAsia="宋体" w:cs="宋体"/>
          <w:spacing w:val="-1"/>
          <w:sz w:val="21"/>
          <w:szCs w:val="21"/>
        </w:rPr>
        <w:t>承包人不在约定期限内派人保修的，发包人可以委托他人修</w:t>
      </w:r>
      <w:r>
        <w:rPr>
          <w:rFonts w:ascii="宋体" w:hAnsi="宋体" w:eastAsia="宋体" w:cs="宋体"/>
          <w:spacing w:val="-2"/>
          <w:sz w:val="21"/>
          <w:szCs w:val="21"/>
        </w:rPr>
        <w:t>理。</w:t>
      </w:r>
    </w:p>
    <w:p w14:paraId="5636CA42">
      <w:pPr>
        <w:spacing w:line="220" w:lineRule="auto"/>
        <w:rPr>
          <w:rFonts w:ascii="宋体" w:hAnsi="宋体" w:eastAsia="宋体" w:cs="宋体"/>
          <w:sz w:val="21"/>
          <w:szCs w:val="21"/>
        </w:rPr>
        <w:sectPr>
          <w:footerReference r:id="rId145" w:type="default"/>
          <w:pgSz w:w="11905" w:h="16839"/>
          <w:pgMar w:top="400" w:right="1785" w:bottom="1004" w:left="1785" w:header="0" w:footer="828" w:gutter="0"/>
          <w:pgNumType w:fmt="decimal"/>
          <w:cols w:space="720" w:num="1"/>
        </w:sectPr>
      </w:pPr>
    </w:p>
    <w:p w14:paraId="78B1A47A">
      <w:pPr>
        <w:pStyle w:val="3"/>
        <w:spacing w:line="248" w:lineRule="auto"/>
      </w:pPr>
    </w:p>
    <w:p w14:paraId="6D98CC76">
      <w:pPr>
        <w:pStyle w:val="3"/>
        <w:spacing w:line="249" w:lineRule="auto"/>
      </w:pPr>
    </w:p>
    <w:p w14:paraId="73099433">
      <w:pPr>
        <w:pStyle w:val="3"/>
        <w:spacing w:line="249" w:lineRule="auto"/>
      </w:pPr>
    </w:p>
    <w:p w14:paraId="179BD2D3">
      <w:pPr>
        <w:pStyle w:val="3"/>
        <w:spacing w:line="249" w:lineRule="auto"/>
      </w:pPr>
    </w:p>
    <w:p w14:paraId="01B8F4E7">
      <w:pPr>
        <w:spacing w:before="68" w:line="221" w:lineRule="auto"/>
        <w:ind w:right="28"/>
        <w:jc w:val="right"/>
        <w:rPr>
          <w:rFonts w:ascii="宋体" w:hAnsi="宋体" w:eastAsia="宋体" w:cs="宋体"/>
          <w:sz w:val="21"/>
          <w:szCs w:val="21"/>
        </w:rPr>
      </w:pPr>
      <w:r>
        <w:rPr>
          <w:rFonts w:ascii="Times New Roman" w:hAnsi="Times New Roman" w:eastAsia="Times New Roman" w:cs="Times New Roman"/>
          <w:spacing w:val="-1"/>
          <w:sz w:val="21"/>
          <w:szCs w:val="21"/>
        </w:rPr>
        <w:t>2</w:t>
      </w:r>
      <w:r>
        <w:rPr>
          <w:rFonts w:ascii="Times New Roman" w:hAnsi="Times New Roman" w:eastAsia="Times New Roman" w:cs="Times New Roman"/>
          <w:spacing w:val="-25"/>
          <w:sz w:val="21"/>
          <w:szCs w:val="21"/>
        </w:rPr>
        <w:t xml:space="preserve"> </w:t>
      </w:r>
      <w:r>
        <w:rPr>
          <w:rFonts w:ascii="宋体" w:hAnsi="宋体" w:eastAsia="宋体" w:cs="宋体"/>
          <w:spacing w:val="-1"/>
          <w:sz w:val="21"/>
          <w:szCs w:val="21"/>
        </w:rPr>
        <w:t>．发生紧急事故需抢修的，承包人在接到事故通知后，应当立即</w:t>
      </w:r>
      <w:r>
        <w:rPr>
          <w:rFonts w:ascii="宋体" w:hAnsi="宋体" w:eastAsia="宋体" w:cs="宋体"/>
          <w:spacing w:val="-2"/>
          <w:sz w:val="21"/>
          <w:szCs w:val="21"/>
        </w:rPr>
        <w:t>到达事故现场抢修。</w:t>
      </w:r>
    </w:p>
    <w:p w14:paraId="621E260A">
      <w:pPr>
        <w:spacing w:before="156" w:line="359" w:lineRule="auto"/>
        <w:ind w:left="39" w:right="4" w:firstLine="411"/>
        <w:rPr>
          <w:rFonts w:ascii="宋体" w:hAnsi="宋体" w:eastAsia="宋体" w:cs="宋体"/>
          <w:sz w:val="21"/>
          <w:szCs w:val="21"/>
        </w:rPr>
      </w:pPr>
      <w:r>
        <w:rPr>
          <w:rFonts w:ascii="Times New Roman" w:hAnsi="Times New Roman" w:eastAsia="Times New Roman" w:cs="Times New Roman"/>
          <w:spacing w:val="-5"/>
          <w:sz w:val="21"/>
          <w:szCs w:val="21"/>
        </w:rPr>
        <w:t>3</w:t>
      </w:r>
      <w:r>
        <w:rPr>
          <w:rFonts w:ascii="Times New Roman" w:hAnsi="Times New Roman" w:eastAsia="Times New Roman" w:cs="Times New Roman"/>
          <w:spacing w:val="-18"/>
          <w:sz w:val="21"/>
          <w:szCs w:val="21"/>
        </w:rPr>
        <w:t xml:space="preserve"> </w:t>
      </w:r>
      <w:r>
        <w:rPr>
          <w:rFonts w:ascii="宋体" w:hAnsi="宋体" w:eastAsia="宋体" w:cs="宋体"/>
          <w:spacing w:val="-5"/>
          <w:sz w:val="21"/>
          <w:szCs w:val="21"/>
        </w:rPr>
        <w:t>．对于涉及结构安全的质量问题，</w:t>
      </w:r>
      <w:r>
        <w:rPr>
          <w:rFonts w:ascii="宋体" w:hAnsi="宋体" w:eastAsia="宋体" w:cs="宋体"/>
          <w:spacing w:val="51"/>
          <w:sz w:val="21"/>
          <w:szCs w:val="21"/>
        </w:rPr>
        <w:t xml:space="preserve"> </w:t>
      </w:r>
      <w:r>
        <w:rPr>
          <w:rFonts w:ascii="宋体" w:hAnsi="宋体" w:eastAsia="宋体" w:cs="宋体"/>
          <w:spacing w:val="-5"/>
          <w:sz w:val="21"/>
          <w:szCs w:val="21"/>
        </w:rPr>
        <w:t>应当按照《建设工程质量管理条例》的规定，立即</w:t>
      </w:r>
      <w:r>
        <w:rPr>
          <w:rFonts w:ascii="宋体" w:hAnsi="宋体" w:eastAsia="宋体" w:cs="宋体"/>
          <w:sz w:val="21"/>
          <w:szCs w:val="21"/>
        </w:rPr>
        <w:t xml:space="preserve"> </w:t>
      </w:r>
      <w:r>
        <w:rPr>
          <w:rFonts w:ascii="宋体" w:hAnsi="宋体" w:eastAsia="宋体" w:cs="宋体"/>
          <w:spacing w:val="2"/>
          <w:sz w:val="21"/>
          <w:szCs w:val="21"/>
        </w:rPr>
        <w:t>向当地建设行政主管部门和有关部门报告，采取安全防范措施，并由原设计人或者具有相</w:t>
      </w:r>
    </w:p>
    <w:p w14:paraId="3E30ECD1">
      <w:pPr>
        <w:spacing w:line="220" w:lineRule="auto"/>
        <w:ind w:left="18"/>
        <w:rPr>
          <w:rFonts w:ascii="宋体" w:hAnsi="宋体" w:eastAsia="宋体" w:cs="宋体"/>
          <w:sz w:val="21"/>
          <w:szCs w:val="21"/>
        </w:rPr>
      </w:pPr>
      <w:r>
        <w:rPr>
          <w:rFonts w:ascii="宋体" w:hAnsi="宋体" w:eastAsia="宋体" w:cs="宋体"/>
          <w:spacing w:val="-1"/>
          <w:sz w:val="21"/>
          <w:szCs w:val="21"/>
        </w:rPr>
        <w:t>应资质等级的设计人提出保修方案，承包人实施保修。</w:t>
      </w:r>
    </w:p>
    <w:p w14:paraId="5CB539D1">
      <w:pPr>
        <w:spacing w:before="156" w:line="221" w:lineRule="auto"/>
        <w:ind w:left="436"/>
        <w:rPr>
          <w:rFonts w:ascii="宋体" w:hAnsi="宋体" w:eastAsia="宋体" w:cs="宋体"/>
          <w:sz w:val="21"/>
          <w:szCs w:val="21"/>
        </w:rPr>
      </w:pPr>
      <w:r>
        <w:rPr>
          <w:rFonts w:ascii="Times New Roman" w:hAnsi="Times New Roman" w:eastAsia="Times New Roman" w:cs="Times New Roman"/>
          <w:spacing w:val="-9"/>
          <w:sz w:val="21"/>
          <w:szCs w:val="21"/>
        </w:rPr>
        <w:t>4</w:t>
      </w:r>
      <w:r>
        <w:rPr>
          <w:rFonts w:ascii="Times New Roman" w:hAnsi="Times New Roman" w:eastAsia="Times New Roman" w:cs="Times New Roman"/>
          <w:spacing w:val="-23"/>
          <w:sz w:val="21"/>
          <w:szCs w:val="21"/>
        </w:rPr>
        <w:t xml:space="preserve"> </w:t>
      </w:r>
      <w:r>
        <w:rPr>
          <w:rFonts w:ascii="宋体" w:hAnsi="宋体" w:eastAsia="宋体" w:cs="宋体"/>
          <w:spacing w:val="-9"/>
          <w:sz w:val="21"/>
          <w:szCs w:val="21"/>
        </w:rPr>
        <w:t>．质量保修完成后，</w:t>
      </w:r>
      <w:r>
        <w:rPr>
          <w:rFonts w:ascii="宋体" w:hAnsi="宋体" w:eastAsia="宋体" w:cs="宋体"/>
          <w:spacing w:val="38"/>
          <w:sz w:val="21"/>
          <w:szCs w:val="21"/>
        </w:rPr>
        <w:t xml:space="preserve"> </w:t>
      </w:r>
      <w:r>
        <w:rPr>
          <w:rFonts w:ascii="宋体" w:hAnsi="宋体" w:eastAsia="宋体" w:cs="宋体"/>
          <w:spacing w:val="-9"/>
          <w:sz w:val="21"/>
          <w:szCs w:val="21"/>
        </w:rPr>
        <w:t>由发包人组织验收。</w:t>
      </w:r>
    </w:p>
    <w:p w14:paraId="73C68B42">
      <w:pPr>
        <w:spacing w:before="162" w:line="220" w:lineRule="auto"/>
        <w:ind w:left="446"/>
        <w:rPr>
          <w:rFonts w:ascii="黑体" w:hAnsi="黑体" w:eastAsia="黑体" w:cs="黑体"/>
          <w:sz w:val="21"/>
          <w:szCs w:val="21"/>
        </w:rPr>
      </w:pPr>
      <w:r>
        <w:rPr>
          <w:rFonts w:ascii="黑体" w:hAnsi="黑体" w:eastAsia="黑体" w:cs="黑体"/>
          <w:spacing w:val="-14"/>
          <w:sz w:val="21"/>
          <w:szCs w:val="21"/>
        </w:rPr>
        <w:t>五、</w:t>
      </w:r>
      <w:r>
        <w:rPr>
          <w:rFonts w:ascii="黑体" w:hAnsi="黑体" w:eastAsia="黑体" w:cs="黑体"/>
          <w:spacing w:val="-33"/>
          <w:sz w:val="21"/>
          <w:szCs w:val="21"/>
        </w:rPr>
        <w:t xml:space="preserve"> </w:t>
      </w:r>
      <w:r>
        <w:rPr>
          <w:rFonts w:ascii="黑体" w:hAnsi="黑体" w:eastAsia="黑体" w:cs="黑体"/>
          <w:spacing w:val="-14"/>
          <w:sz w:val="21"/>
          <w:szCs w:val="21"/>
        </w:rPr>
        <w:t>保修费用</w:t>
      </w:r>
    </w:p>
    <w:p w14:paraId="624B765C">
      <w:pPr>
        <w:spacing w:before="95" w:line="221" w:lineRule="auto"/>
        <w:ind w:left="221"/>
        <w:rPr>
          <w:rFonts w:ascii="宋体" w:hAnsi="宋体" w:eastAsia="宋体" w:cs="宋体"/>
          <w:sz w:val="21"/>
          <w:szCs w:val="21"/>
        </w:rPr>
      </w:pPr>
      <w:r>
        <w:rPr>
          <w:rFonts w:ascii="宋体" w:hAnsi="宋体" w:eastAsia="宋体" w:cs="宋体"/>
          <w:spacing w:val="-1"/>
          <w:sz w:val="21"/>
          <w:szCs w:val="21"/>
        </w:rPr>
        <w:t>保修费用由造成质量缺陷的责任方承担。</w:t>
      </w:r>
    </w:p>
    <w:p w14:paraId="415FC50A">
      <w:pPr>
        <w:spacing w:before="158" w:line="219" w:lineRule="auto"/>
        <w:ind w:left="447"/>
        <w:rPr>
          <w:rFonts w:ascii="黑体" w:hAnsi="黑体" w:eastAsia="黑体" w:cs="黑体"/>
          <w:sz w:val="21"/>
          <w:szCs w:val="21"/>
        </w:rPr>
      </w:pPr>
      <w:r>
        <w:rPr>
          <w:rFonts w:ascii="黑体" w:hAnsi="黑体" w:eastAsia="黑体" w:cs="黑体"/>
          <w:spacing w:val="-5"/>
          <w:sz w:val="21"/>
          <w:szCs w:val="21"/>
        </w:rPr>
        <w:t>六、</w:t>
      </w:r>
      <w:r>
        <w:rPr>
          <w:rFonts w:ascii="黑体" w:hAnsi="黑体" w:eastAsia="黑体" w:cs="黑体"/>
          <w:spacing w:val="-25"/>
          <w:sz w:val="21"/>
          <w:szCs w:val="21"/>
        </w:rPr>
        <w:t xml:space="preserve"> </w:t>
      </w:r>
      <w:r>
        <w:rPr>
          <w:rFonts w:ascii="黑体" w:hAnsi="黑体" w:eastAsia="黑体" w:cs="黑体"/>
          <w:spacing w:val="-5"/>
          <w:sz w:val="21"/>
          <w:szCs w:val="21"/>
        </w:rPr>
        <w:t>双方约定的其他工程质量保修事项：</w:t>
      </w:r>
    </w:p>
    <w:p w14:paraId="676AB4D2">
      <w:pPr>
        <w:tabs>
          <w:tab w:val="left" w:pos="7682"/>
        </w:tabs>
        <w:spacing w:before="232" w:line="159" w:lineRule="auto"/>
        <w:ind w:left="432"/>
        <w:rPr>
          <w:rFonts w:ascii="宋体" w:hAnsi="宋体" w:eastAsia="宋体" w:cs="宋体"/>
          <w:sz w:val="8"/>
          <w:szCs w:val="8"/>
        </w:rPr>
      </w:pPr>
      <w:r>
        <w:rPr>
          <w:rFonts w:ascii="宋体" w:hAnsi="宋体" w:eastAsia="宋体" w:cs="宋体"/>
          <w:sz w:val="8"/>
          <w:szCs w:val="8"/>
          <w:u w:val="single" w:color="auto"/>
        </w:rPr>
        <w:tab/>
      </w:r>
      <w:r>
        <w:rPr>
          <w:rFonts w:ascii="宋体" w:hAnsi="宋体" w:eastAsia="宋体" w:cs="宋体"/>
          <w:spacing w:val="-11"/>
          <w:sz w:val="8"/>
          <w:szCs w:val="8"/>
        </w:rPr>
        <w:t xml:space="preserve"> </w:t>
      </w:r>
      <w:r>
        <w:rPr>
          <w:rFonts w:ascii="宋体" w:hAnsi="宋体" w:eastAsia="宋体" w:cs="宋体"/>
          <w:spacing w:val="6"/>
          <w:sz w:val="8"/>
          <w:szCs w:val="8"/>
        </w:rPr>
        <w:t>。</w:t>
      </w:r>
    </w:p>
    <w:p w14:paraId="0AFFEC91">
      <w:pPr>
        <w:spacing w:before="141" w:line="408" w:lineRule="exact"/>
        <w:ind w:right="13"/>
        <w:jc w:val="right"/>
        <w:rPr>
          <w:rFonts w:ascii="宋体" w:hAnsi="宋体" w:eastAsia="宋体" w:cs="宋体"/>
          <w:sz w:val="21"/>
          <w:szCs w:val="21"/>
        </w:rPr>
      </w:pPr>
      <w:r>
        <w:rPr>
          <w:rFonts w:ascii="宋体" w:hAnsi="宋体" w:eastAsia="宋体" w:cs="宋体"/>
          <w:spacing w:val="1"/>
          <w:position w:val="15"/>
          <w:sz w:val="21"/>
          <w:szCs w:val="21"/>
        </w:rPr>
        <w:t>工程质量保修书由发包人、承包人在工程竣工验收前共</w:t>
      </w:r>
      <w:r>
        <w:rPr>
          <w:rFonts w:ascii="宋体" w:hAnsi="宋体" w:eastAsia="宋体" w:cs="宋体"/>
          <w:position w:val="15"/>
          <w:sz w:val="21"/>
          <w:szCs w:val="21"/>
        </w:rPr>
        <w:t>同签署， 作为施工合同附件，</w:t>
      </w:r>
    </w:p>
    <w:p w14:paraId="5F8EE425">
      <w:pPr>
        <w:spacing w:line="220" w:lineRule="auto"/>
        <w:ind w:left="19"/>
        <w:rPr>
          <w:rFonts w:ascii="宋体" w:hAnsi="宋体" w:eastAsia="宋体" w:cs="宋体"/>
          <w:sz w:val="21"/>
          <w:szCs w:val="21"/>
        </w:rPr>
      </w:pPr>
      <w:r>
        <w:rPr>
          <w:rFonts w:ascii="宋体" w:hAnsi="宋体" w:eastAsia="宋体" w:cs="宋体"/>
          <w:spacing w:val="-2"/>
          <w:sz w:val="21"/>
          <w:szCs w:val="21"/>
        </w:rPr>
        <w:t>其有效期限至保修期满。</w:t>
      </w:r>
    </w:p>
    <w:p w14:paraId="2147A824">
      <w:pPr>
        <w:spacing w:before="27"/>
      </w:pPr>
    </w:p>
    <w:p w14:paraId="57DCD772">
      <w:pPr>
        <w:spacing w:before="27"/>
      </w:pPr>
    </w:p>
    <w:p w14:paraId="5E7B6E59">
      <w:pPr>
        <w:spacing w:before="26"/>
      </w:pPr>
    </w:p>
    <w:p w14:paraId="2047A1AE">
      <w:pPr>
        <w:spacing w:before="26"/>
      </w:pPr>
    </w:p>
    <w:p w14:paraId="5810CF8B">
      <w:pPr>
        <w:spacing w:before="26"/>
      </w:pPr>
    </w:p>
    <w:p w14:paraId="5E54F43A">
      <w:pPr>
        <w:sectPr>
          <w:footerReference r:id="rId146" w:type="default"/>
          <w:pgSz w:w="11905" w:h="16839"/>
          <w:pgMar w:top="400" w:right="1785" w:bottom="1004" w:left="1785" w:header="0" w:footer="828" w:gutter="0"/>
          <w:pgNumType w:fmt="decimal"/>
          <w:cols w:equalWidth="0" w:num="1">
            <w:col w:w="8333"/>
          </w:cols>
        </w:sectPr>
      </w:pPr>
    </w:p>
    <w:p w14:paraId="2B045409">
      <w:pPr>
        <w:spacing w:before="43" w:line="363" w:lineRule="auto"/>
        <w:ind w:left="651"/>
        <w:rPr>
          <w:rFonts w:ascii="宋体" w:hAnsi="宋体" w:eastAsia="宋体" w:cs="宋体"/>
          <w:sz w:val="21"/>
          <w:szCs w:val="21"/>
        </w:rPr>
      </w:pPr>
      <w:r>
        <w:rPr>
          <w:rFonts w:ascii="宋体" w:hAnsi="宋体" w:eastAsia="宋体" w:cs="宋体"/>
          <w:spacing w:val="-2"/>
          <w:sz w:val="21"/>
          <w:szCs w:val="21"/>
        </w:rPr>
        <w:t>发包人（公章</w:t>
      </w:r>
      <w:r>
        <w:rPr>
          <w:rFonts w:ascii="宋体" w:hAnsi="宋体" w:eastAsia="宋体" w:cs="宋体"/>
          <w:spacing w:val="-51"/>
          <w:sz w:val="21"/>
          <w:szCs w:val="21"/>
        </w:rPr>
        <w:t>）：</w:t>
      </w:r>
      <w:r>
        <w:rPr>
          <w:rFonts w:ascii="宋体" w:hAnsi="宋体" w:eastAsia="宋体" w:cs="宋体"/>
          <w:sz w:val="21"/>
          <w:szCs w:val="21"/>
          <w:u w:val="single" w:color="auto"/>
        </w:rPr>
        <w:t xml:space="preserve">              </w:t>
      </w:r>
    </w:p>
    <w:p w14:paraId="6EE37BBC">
      <w:pPr>
        <w:spacing w:before="1" w:line="229" w:lineRule="auto"/>
        <w:ind w:left="647"/>
        <w:rPr>
          <w:rFonts w:ascii="宋体" w:hAnsi="宋体" w:eastAsia="宋体" w:cs="宋体"/>
          <w:sz w:val="21"/>
          <w:szCs w:val="21"/>
        </w:rPr>
      </w:pPr>
      <w:r>
        <w:rPr>
          <w:rFonts w:ascii="宋体" w:hAnsi="宋体" w:eastAsia="宋体" w:cs="宋体"/>
          <w:spacing w:val="-29"/>
          <w:w w:val="99"/>
          <w:sz w:val="21"/>
          <w:szCs w:val="21"/>
        </w:rPr>
        <w:t>地</w:t>
      </w:r>
      <w:r>
        <w:rPr>
          <w:rFonts w:ascii="宋体" w:hAnsi="宋体" w:eastAsia="宋体" w:cs="宋体"/>
          <w:spacing w:val="7"/>
          <w:sz w:val="21"/>
          <w:szCs w:val="21"/>
        </w:rPr>
        <w:t xml:space="preserve">  </w:t>
      </w:r>
      <w:r>
        <w:rPr>
          <w:rFonts w:ascii="宋体" w:hAnsi="宋体" w:eastAsia="宋体" w:cs="宋体"/>
          <w:spacing w:val="-29"/>
          <w:w w:val="99"/>
          <w:sz w:val="21"/>
          <w:szCs w:val="21"/>
        </w:rPr>
        <w:t>址：</w:t>
      </w:r>
      <w:r>
        <w:rPr>
          <w:rFonts w:ascii="宋体" w:hAnsi="宋体" w:eastAsia="宋体" w:cs="宋体"/>
          <w:spacing w:val="-30"/>
          <w:sz w:val="21"/>
          <w:szCs w:val="21"/>
        </w:rPr>
        <w:t xml:space="preserve"> </w:t>
      </w:r>
      <w:r>
        <w:rPr>
          <w:rFonts w:ascii="宋体" w:hAnsi="宋体" w:eastAsia="宋体" w:cs="宋体"/>
          <w:sz w:val="21"/>
          <w:szCs w:val="21"/>
          <w:u w:val="single" w:color="auto"/>
        </w:rPr>
        <w:t xml:space="preserve">                   </w:t>
      </w:r>
    </w:p>
    <w:p w14:paraId="79F34804">
      <w:pPr>
        <w:spacing w:before="146" w:line="359" w:lineRule="auto"/>
        <w:ind w:left="648"/>
        <w:rPr>
          <w:rFonts w:ascii="宋体" w:hAnsi="宋体" w:eastAsia="宋体" w:cs="宋体"/>
          <w:sz w:val="21"/>
          <w:szCs w:val="21"/>
        </w:rPr>
      </w:pPr>
      <w:r>
        <w:rPr>
          <w:rFonts w:ascii="宋体" w:hAnsi="宋体" w:eastAsia="宋体" w:cs="宋体"/>
          <w:spacing w:val="-1"/>
          <w:sz w:val="21"/>
          <w:szCs w:val="21"/>
        </w:rPr>
        <w:t>法定代表人（签字</w:t>
      </w:r>
      <w:r>
        <w:rPr>
          <w:rFonts w:ascii="宋体" w:hAnsi="宋体" w:eastAsia="宋体" w:cs="宋体"/>
          <w:spacing w:val="-53"/>
          <w:sz w:val="21"/>
          <w:szCs w:val="21"/>
        </w:rPr>
        <w:t>）：</w:t>
      </w:r>
      <w:r>
        <w:rPr>
          <w:rFonts w:ascii="宋体" w:hAnsi="宋体" w:eastAsia="宋体" w:cs="宋体"/>
          <w:sz w:val="21"/>
          <w:szCs w:val="21"/>
          <w:u w:val="single" w:color="auto"/>
        </w:rPr>
        <w:t xml:space="preserve">           </w:t>
      </w:r>
    </w:p>
    <w:p w14:paraId="39A7F66F">
      <w:pPr>
        <w:spacing w:before="1" w:line="220" w:lineRule="auto"/>
        <w:ind w:left="646"/>
        <w:rPr>
          <w:rFonts w:ascii="宋体" w:hAnsi="宋体" w:eastAsia="宋体" w:cs="宋体"/>
          <w:sz w:val="21"/>
          <w:szCs w:val="21"/>
        </w:rPr>
      </w:pPr>
      <w:r>
        <w:rPr>
          <w:rFonts w:ascii="宋体" w:hAnsi="宋体" w:eastAsia="宋体" w:cs="宋体"/>
          <w:spacing w:val="-1"/>
          <w:sz w:val="21"/>
          <w:szCs w:val="21"/>
        </w:rPr>
        <w:t>委托代理人（签字</w:t>
      </w:r>
      <w:r>
        <w:rPr>
          <w:rFonts w:ascii="宋体" w:hAnsi="宋体" w:eastAsia="宋体" w:cs="宋体"/>
          <w:spacing w:val="-52"/>
          <w:sz w:val="21"/>
          <w:szCs w:val="21"/>
        </w:rPr>
        <w:t>）：</w:t>
      </w:r>
      <w:r>
        <w:rPr>
          <w:rFonts w:ascii="宋体" w:hAnsi="宋体" w:eastAsia="宋体" w:cs="宋体"/>
          <w:sz w:val="21"/>
          <w:szCs w:val="21"/>
          <w:u w:val="single" w:color="auto"/>
        </w:rPr>
        <w:t xml:space="preserve">           </w:t>
      </w:r>
    </w:p>
    <w:p w14:paraId="7414CC69">
      <w:pPr>
        <w:spacing w:before="157" w:line="223" w:lineRule="auto"/>
        <w:ind w:left="672"/>
        <w:rPr>
          <w:rFonts w:ascii="宋体" w:hAnsi="宋体" w:eastAsia="宋体" w:cs="宋体"/>
          <w:sz w:val="21"/>
          <w:szCs w:val="21"/>
        </w:rPr>
      </w:pPr>
      <w:r>
        <w:rPr>
          <w:rFonts w:ascii="宋体" w:hAnsi="宋体" w:eastAsia="宋体" w:cs="宋体"/>
          <w:spacing w:val="-30"/>
          <w:w w:val="96"/>
          <w:sz w:val="21"/>
          <w:szCs w:val="21"/>
        </w:rPr>
        <w:t>电</w:t>
      </w:r>
      <w:r>
        <w:rPr>
          <w:rFonts w:ascii="宋体" w:hAnsi="宋体" w:eastAsia="宋体" w:cs="宋体"/>
          <w:spacing w:val="5"/>
          <w:sz w:val="21"/>
          <w:szCs w:val="21"/>
        </w:rPr>
        <w:t xml:space="preserve">  </w:t>
      </w:r>
      <w:r>
        <w:rPr>
          <w:rFonts w:ascii="宋体" w:hAnsi="宋体" w:eastAsia="宋体" w:cs="宋体"/>
          <w:spacing w:val="-30"/>
          <w:w w:val="96"/>
          <w:sz w:val="21"/>
          <w:szCs w:val="21"/>
        </w:rPr>
        <w:t>话：</w:t>
      </w:r>
      <w:r>
        <w:rPr>
          <w:rFonts w:ascii="宋体" w:hAnsi="宋体" w:eastAsia="宋体" w:cs="宋体"/>
          <w:spacing w:val="-29"/>
          <w:sz w:val="21"/>
          <w:szCs w:val="21"/>
        </w:rPr>
        <w:t xml:space="preserve"> </w:t>
      </w:r>
      <w:r>
        <w:rPr>
          <w:rFonts w:ascii="宋体" w:hAnsi="宋体" w:eastAsia="宋体" w:cs="宋体"/>
          <w:sz w:val="21"/>
          <w:szCs w:val="21"/>
          <w:u w:val="single" w:color="auto"/>
        </w:rPr>
        <w:t xml:space="preserve">                   </w:t>
      </w:r>
    </w:p>
    <w:p w14:paraId="710ABCD5">
      <w:pPr>
        <w:spacing w:before="154" w:line="359" w:lineRule="auto"/>
        <w:ind w:left="645"/>
        <w:rPr>
          <w:rFonts w:ascii="宋体" w:hAnsi="宋体" w:eastAsia="宋体" w:cs="宋体"/>
          <w:sz w:val="21"/>
          <w:szCs w:val="21"/>
        </w:rPr>
      </w:pPr>
      <w:r>
        <w:rPr>
          <w:rFonts w:ascii="宋体" w:hAnsi="宋体" w:eastAsia="宋体" w:cs="宋体"/>
          <w:spacing w:val="-28"/>
          <w:w w:val="99"/>
          <w:sz w:val="21"/>
          <w:szCs w:val="21"/>
        </w:rPr>
        <w:t>传</w:t>
      </w:r>
      <w:r>
        <w:rPr>
          <w:rFonts w:ascii="宋体" w:hAnsi="宋体" w:eastAsia="宋体" w:cs="宋体"/>
          <w:spacing w:val="7"/>
          <w:sz w:val="21"/>
          <w:szCs w:val="21"/>
        </w:rPr>
        <w:t xml:space="preserve">  </w:t>
      </w:r>
      <w:r>
        <w:rPr>
          <w:rFonts w:ascii="宋体" w:hAnsi="宋体" w:eastAsia="宋体" w:cs="宋体"/>
          <w:spacing w:val="-28"/>
          <w:w w:val="99"/>
          <w:sz w:val="21"/>
          <w:szCs w:val="21"/>
        </w:rPr>
        <w:t>真：</w:t>
      </w:r>
      <w:r>
        <w:rPr>
          <w:rFonts w:ascii="宋体" w:hAnsi="宋体" w:eastAsia="宋体" w:cs="宋体"/>
          <w:spacing w:val="-32"/>
          <w:sz w:val="21"/>
          <w:szCs w:val="21"/>
        </w:rPr>
        <w:t xml:space="preserve"> </w:t>
      </w:r>
      <w:r>
        <w:rPr>
          <w:rFonts w:ascii="宋体" w:hAnsi="宋体" w:eastAsia="宋体" w:cs="宋体"/>
          <w:sz w:val="21"/>
          <w:szCs w:val="21"/>
          <w:u w:val="single" w:color="auto"/>
        </w:rPr>
        <w:t xml:space="preserve">                   </w:t>
      </w:r>
    </w:p>
    <w:p w14:paraId="595FD4AB">
      <w:pPr>
        <w:spacing w:line="221" w:lineRule="auto"/>
        <w:ind w:left="648"/>
        <w:rPr>
          <w:rFonts w:ascii="宋体" w:hAnsi="宋体" w:eastAsia="宋体" w:cs="宋体"/>
          <w:sz w:val="21"/>
          <w:szCs w:val="21"/>
        </w:rPr>
      </w:pPr>
      <w:r>
        <w:rPr>
          <w:rFonts w:ascii="宋体" w:hAnsi="宋体" w:eastAsia="宋体" w:cs="宋体"/>
          <w:spacing w:val="-24"/>
          <w:w w:val="96"/>
          <w:sz w:val="21"/>
          <w:szCs w:val="21"/>
        </w:rPr>
        <w:t>开户银行：</w:t>
      </w:r>
      <w:r>
        <w:rPr>
          <w:rFonts w:ascii="宋体" w:hAnsi="宋体" w:eastAsia="宋体" w:cs="宋体"/>
          <w:spacing w:val="48"/>
          <w:sz w:val="21"/>
          <w:szCs w:val="21"/>
        </w:rPr>
        <w:t xml:space="preserve"> </w:t>
      </w:r>
      <w:r>
        <w:rPr>
          <w:rFonts w:ascii="宋体" w:hAnsi="宋体" w:eastAsia="宋体" w:cs="宋体"/>
          <w:sz w:val="21"/>
          <w:szCs w:val="21"/>
          <w:u w:val="single" w:color="auto"/>
        </w:rPr>
        <w:t xml:space="preserve">                  </w:t>
      </w:r>
    </w:p>
    <w:p w14:paraId="27646E8F">
      <w:pPr>
        <w:spacing w:before="157" w:line="222" w:lineRule="auto"/>
        <w:ind w:left="651"/>
        <w:rPr>
          <w:rFonts w:ascii="宋体" w:hAnsi="宋体" w:eastAsia="宋体" w:cs="宋体"/>
          <w:sz w:val="21"/>
          <w:szCs w:val="21"/>
        </w:rPr>
      </w:pPr>
      <w:r>
        <w:rPr>
          <w:rFonts w:ascii="宋体" w:hAnsi="宋体" w:eastAsia="宋体" w:cs="宋体"/>
          <w:spacing w:val="-31"/>
          <w:sz w:val="21"/>
          <w:szCs w:val="21"/>
        </w:rPr>
        <w:t>账</w:t>
      </w:r>
      <w:r>
        <w:rPr>
          <w:rFonts w:ascii="宋体" w:hAnsi="宋体" w:eastAsia="宋体" w:cs="宋体"/>
          <w:spacing w:val="7"/>
          <w:sz w:val="21"/>
          <w:szCs w:val="21"/>
        </w:rPr>
        <w:t xml:space="preserve">  </w:t>
      </w:r>
      <w:r>
        <w:rPr>
          <w:rFonts w:ascii="宋体" w:hAnsi="宋体" w:eastAsia="宋体" w:cs="宋体"/>
          <w:spacing w:val="-31"/>
          <w:sz w:val="21"/>
          <w:szCs w:val="21"/>
        </w:rPr>
        <w:t>号：</w:t>
      </w:r>
      <w:r>
        <w:rPr>
          <w:rFonts w:ascii="宋体" w:hAnsi="宋体" w:eastAsia="宋体" w:cs="宋体"/>
          <w:spacing w:val="-33"/>
          <w:sz w:val="21"/>
          <w:szCs w:val="21"/>
        </w:rPr>
        <w:t xml:space="preserve"> </w:t>
      </w:r>
      <w:r>
        <w:rPr>
          <w:rFonts w:ascii="宋体" w:hAnsi="宋体" w:eastAsia="宋体" w:cs="宋体"/>
          <w:sz w:val="21"/>
          <w:szCs w:val="21"/>
          <w:u w:val="single" w:color="auto"/>
        </w:rPr>
        <w:t xml:space="preserve">                   </w:t>
      </w:r>
    </w:p>
    <w:p w14:paraId="61B2E527">
      <w:pPr>
        <w:spacing w:before="155" w:line="186" w:lineRule="auto"/>
        <w:ind w:left="663"/>
        <w:rPr>
          <w:rFonts w:ascii="宋体" w:hAnsi="宋体" w:eastAsia="宋体" w:cs="宋体"/>
          <w:sz w:val="21"/>
          <w:szCs w:val="21"/>
        </w:rPr>
      </w:pPr>
      <w:r>
        <w:rPr>
          <w:rFonts w:ascii="宋体" w:hAnsi="宋体" w:eastAsia="宋体" w:cs="宋体"/>
          <w:spacing w:val="-24"/>
          <w:w w:val="98"/>
          <w:sz w:val="21"/>
          <w:szCs w:val="21"/>
        </w:rPr>
        <w:t>邮政编码：</w:t>
      </w:r>
      <w:r>
        <w:rPr>
          <w:rFonts w:ascii="宋体" w:hAnsi="宋体" w:eastAsia="宋体" w:cs="宋体"/>
          <w:spacing w:val="17"/>
          <w:sz w:val="21"/>
          <w:szCs w:val="21"/>
        </w:rPr>
        <w:t xml:space="preserve"> </w:t>
      </w:r>
      <w:r>
        <w:rPr>
          <w:rFonts w:ascii="宋体" w:hAnsi="宋体" w:eastAsia="宋体" w:cs="宋体"/>
          <w:sz w:val="21"/>
          <w:szCs w:val="21"/>
          <w:u w:val="single" w:color="auto"/>
        </w:rPr>
        <w:t xml:space="preserve">                 </w:t>
      </w:r>
    </w:p>
    <w:p w14:paraId="52197BCE">
      <w:pPr>
        <w:pStyle w:val="3"/>
        <w:spacing w:line="14" w:lineRule="auto"/>
        <w:rPr>
          <w:sz w:val="2"/>
        </w:rPr>
      </w:pPr>
      <w:r>
        <w:rPr>
          <w:sz w:val="2"/>
          <w:szCs w:val="2"/>
        </w:rPr>
        <w:br w:type="column"/>
      </w:r>
    </w:p>
    <w:p w14:paraId="44D58112">
      <w:pPr>
        <w:spacing w:before="41" w:line="363" w:lineRule="auto"/>
        <w:ind w:left="107"/>
        <w:rPr>
          <w:rFonts w:ascii="宋体" w:hAnsi="宋体" w:eastAsia="宋体" w:cs="宋体"/>
          <w:sz w:val="21"/>
          <w:szCs w:val="21"/>
        </w:rPr>
      </w:pPr>
      <w:r>
        <w:rPr>
          <w:rFonts w:ascii="宋体" w:hAnsi="宋体" w:eastAsia="宋体" w:cs="宋体"/>
          <w:spacing w:val="-2"/>
          <w:sz w:val="21"/>
          <w:szCs w:val="21"/>
        </w:rPr>
        <w:t>承包人（公章</w:t>
      </w:r>
      <w:r>
        <w:rPr>
          <w:rFonts w:ascii="宋体" w:hAnsi="宋体" w:eastAsia="宋体" w:cs="宋体"/>
          <w:spacing w:val="-51"/>
          <w:sz w:val="21"/>
          <w:szCs w:val="21"/>
        </w:rPr>
        <w:t>）：</w:t>
      </w:r>
      <w:r>
        <w:rPr>
          <w:rFonts w:ascii="宋体" w:hAnsi="宋体" w:eastAsia="宋体" w:cs="宋体"/>
          <w:sz w:val="21"/>
          <w:szCs w:val="21"/>
          <w:u w:val="single" w:color="auto"/>
        </w:rPr>
        <w:t xml:space="preserve">               </w:t>
      </w:r>
    </w:p>
    <w:p w14:paraId="2C275865">
      <w:pPr>
        <w:spacing w:before="1" w:line="229" w:lineRule="auto"/>
        <w:ind w:left="1"/>
        <w:rPr>
          <w:rFonts w:ascii="宋体" w:hAnsi="宋体" w:eastAsia="宋体" w:cs="宋体"/>
          <w:sz w:val="21"/>
          <w:szCs w:val="21"/>
        </w:rPr>
      </w:pPr>
      <w:r>
        <w:rPr>
          <w:rFonts w:ascii="宋体" w:hAnsi="宋体" w:eastAsia="宋体" w:cs="宋体"/>
          <w:spacing w:val="-29"/>
          <w:w w:val="99"/>
          <w:sz w:val="21"/>
          <w:szCs w:val="21"/>
        </w:rPr>
        <w:t>地</w:t>
      </w:r>
      <w:r>
        <w:rPr>
          <w:rFonts w:ascii="宋体" w:hAnsi="宋体" w:eastAsia="宋体" w:cs="宋体"/>
          <w:spacing w:val="4"/>
          <w:sz w:val="21"/>
          <w:szCs w:val="21"/>
        </w:rPr>
        <w:t xml:space="preserve">  </w:t>
      </w:r>
      <w:r>
        <w:rPr>
          <w:rFonts w:ascii="宋体" w:hAnsi="宋体" w:eastAsia="宋体" w:cs="宋体"/>
          <w:spacing w:val="-29"/>
          <w:w w:val="99"/>
          <w:sz w:val="21"/>
          <w:szCs w:val="21"/>
        </w:rPr>
        <w:t>址：</w:t>
      </w:r>
      <w:r>
        <w:rPr>
          <w:rFonts w:ascii="宋体" w:hAnsi="宋体" w:eastAsia="宋体" w:cs="宋体"/>
          <w:spacing w:val="-34"/>
          <w:sz w:val="21"/>
          <w:szCs w:val="21"/>
        </w:rPr>
        <w:t xml:space="preserve"> </w:t>
      </w:r>
      <w:r>
        <w:rPr>
          <w:rFonts w:ascii="宋体" w:hAnsi="宋体" w:eastAsia="宋体" w:cs="宋体"/>
          <w:sz w:val="21"/>
          <w:szCs w:val="21"/>
          <w:u w:val="single" w:color="auto"/>
        </w:rPr>
        <w:t xml:space="preserve">                     </w:t>
      </w:r>
    </w:p>
    <w:p w14:paraId="1F209AB2">
      <w:pPr>
        <w:spacing w:before="146" w:line="359" w:lineRule="auto"/>
        <w:ind w:left="106" w:right="341" w:firstLine="1"/>
        <w:rPr>
          <w:rFonts w:ascii="宋体" w:hAnsi="宋体" w:eastAsia="宋体" w:cs="宋体"/>
          <w:sz w:val="21"/>
          <w:szCs w:val="21"/>
        </w:rPr>
      </w:pPr>
      <w:r>
        <w:rPr>
          <w:rFonts w:ascii="宋体" w:hAnsi="宋体" w:eastAsia="宋体" w:cs="宋体"/>
          <w:spacing w:val="-2"/>
          <w:sz w:val="21"/>
          <w:szCs w:val="21"/>
        </w:rPr>
        <w:t>法定代表人（签字</w:t>
      </w:r>
      <w:r>
        <w:rPr>
          <w:rFonts w:ascii="宋体" w:hAnsi="宋体" w:eastAsia="宋体" w:cs="宋体"/>
          <w:spacing w:val="-51"/>
          <w:sz w:val="21"/>
          <w:szCs w:val="21"/>
        </w:rPr>
        <w:t>）：</w:t>
      </w:r>
      <w:r>
        <w:rPr>
          <w:rFonts w:ascii="宋体" w:hAnsi="宋体" w:eastAsia="宋体" w:cs="宋体"/>
          <w:spacing w:val="10"/>
          <w:sz w:val="21"/>
          <w:szCs w:val="21"/>
          <w:u w:val="single" w:color="auto"/>
        </w:rPr>
        <w:t xml:space="preserve">          </w:t>
      </w:r>
      <w:r>
        <w:rPr>
          <w:rFonts w:ascii="宋体" w:hAnsi="宋体" w:eastAsia="宋体" w:cs="宋体"/>
          <w:spacing w:val="3"/>
          <w:sz w:val="21"/>
          <w:szCs w:val="21"/>
        </w:rPr>
        <w:t xml:space="preserve"> </w:t>
      </w:r>
      <w:r>
        <w:rPr>
          <w:rFonts w:ascii="宋体" w:hAnsi="宋体" w:eastAsia="宋体" w:cs="宋体"/>
          <w:spacing w:val="-1"/>
          <w:sz w:val="21"/>
          <w:szCs w:val="21"/>
        </w:rPr>
        <w:t>委托代理人（签字</w:t>
      </w:r>
      <w:r>
        <w:rPr>
          <w:rFonts w:ascii="宋体" w:hAnsi="宋体" w:eastAsia="宋体" w:cs="宋体"/>
          <w:spacing w:val="-54"/>
          <w:sz w:val="21"/>
          <w:szCs w:val="21"/>
        </w:rPr>
        <w:t>）：</w:t>
      </w:r>
      <w:r>
        <w:rPr>
          <w:rFonts w:ascii="宋体" w:hAnsi="宋体" w:eastAsia="宋体" w:cs="宋体"/>
          <w:sz w:val="21"/>
          <w:szCs w:val="21"/>
          <w:u w:val="single" w:color="auto"/>
        </w:rPr>
        <w:t xml:space="preserve">           </w:t>
      </w:r>
    </w:p>
    <w:p w14:paraId="7319C979">
      <w:pPr>
        <w:spacing w:before="1" w:line="222" w:lineRule="auto"/>
        <w:ind w:left="26"/>
        <w:rPr>
          <w:rFonts w:ascii="宋体" w:hAnsi="宋体" w:eastAsia="宋体" w:cs="宋体"/>
          <w:sz w:val="21"/>
          <w:szCs w:val="21"/>
        </w:rPr>
      </w:pPr>
      <w:r>
        <w:rPr>
          <w:rFonts w:ascii="宋体" w:hAnsi="宋体" w:eastAsia="宋体" w:cs="宋体"/>
          <w:spacing w:val="-29"/>
          <w:w w:val="95"/>
          <w:sz w:val="21"/>
          <w:szCs w:val="21"/>
        </w:rPr>
        <w:t>电</w:t>
      </w:r>
      <w:r>
        <w:rPr>
          <w:rFonts w:ascii="宋体" w:hAnsi="宋体" w:eastAsia="宋体" w:cs="宋体"/>
          <w:spacing w:val="4"/>
          <w:sz w:val="21"/>
          <w:szCs w:val="21"/>
        </w:rPr>
        <w:t xml:space="preserve">  </w:t>
      </w:r>
      <w:r>
        <w:rPr>
          <w:rFonts w:ascii="宋体" w:hAnsi="宋体" w:eastAsia="宋体" w:cs="宋体"/>
          <w:spacing w:val="-29"/>
          <w:w w:val="95"/>
          <w:sz w:val="21"/>
          <w:szCs w:val="21"/>
        </w:rPr>
        <w:t>话：</w:t>
      </w:r>
      <w:r>
        <w:rPr>
          <w:rFonts w:ascii="宋体" w:hAnsi="宋体" w:eastAsia="宋体" w:cs="宋体"/>
          <w:spacing w:val="-33"/>
          <w:sz w:val="21"/>
          <w:szCs w:val="21"/>
        </w:rPr>
        <w:t xml:space="preserve"> </w:t>
      </w:r>
      <w:r>
        <w:rPr>
          <w:rFonts w:ascii="宋体" w:hAnsi="宋体" w:eastAsia="宋体" w:cs="宋体"/>
          <w:sz w:val="21"/>
          <w:szCs w:val="21"/>
          <w:u w:val="single" w:color="auto"/>
        </w:rPr>
        <w:t xml:space="preserve">                     </w:t>
      </w:r>
    </w:p>
    <w:p w14:paraId="1F2633EC">
      <w:pPr>
        <w:spacing w:before="154" w:line="359" w:lineRule="auto"/>
        <w:ind w:left="2" w:right="553" w:hanging="2"/>
        <w:rPr>
          <w:rFonts w:ascii="宋体" w:hAnsi="宋体" w:eastAsia="宋体" w:cs="宋体"/>
          <w:sz w:val="21"/>
          <w:szCs w:val="21"/>
        </w:rPr>
      </w:pPr>
      <w:r>
        <w:rPr>
          <w:rFonts w:ascii="宋体" w:hAnsi="宋体" w:eastAsia="宋体" w:cs="宋体"/>
          <w:spacing w:val="-27"/>
          <w:w w:val="98"/>
          <w:sz w:val="21"/>
          <w:szCs w:val="21"/>
        </w:rPr>
        <w:t>传</w:t>
      </w:r>
      <w:r>
        <w:rPr>
          <w:rFonts w:ascii="宋体" w:hAnsi="宋体" w:eastAsia="宋体" w:cs="宋体"/>
          <w:spacing w:val="5"/>
          <w:sz w:val="21"/>
          <w:szCs w:val="21"/>
        </w:rPr>
        <w:t xml:space="preserve">  </w:t>
      </w:r>
      <w:r>
        <w:rPr>
          <w:rFonts w:ascii="宋体" w:hAnsi="宋体" w:eastAsia="宋体" w:cs="宋体"/>
          <w:spacing w:val="-27"/>
          <w:w w:val="98"/>
          <w:sz w:val="21"/>
          <w:szCs w:val="21"/>
        </w:rPr>
        <w:t>真：</w:t>
      </w:r>
      <w:r>
        <w:rPr>
          <w:rFonts w:ascii="宋体" w:hAnsi="宋体" w:eastAsia="宋体" w:cs="宋体"/>
          <w:spacing w:val="-34"/>
          <w:sz w:val="21"/>
          <w:szCs w:val="21"/>
        </w:rPr>
        <w:t xml:space="preserve"> </w:t>
      </w:r>
      <w:r>
        <w:rPr>
          <w:rFonts w:ascii="宋体" w:hAnsi="宋体" w:eastAsia="宋体" w:cs="宋体"/>
          <w:spacing w:val="5"/>
          <w:sz w:val="21"/>
          <w:szCs w:val="21"/>
          <w:u w:val="single" w:color="auto"/>
        </w:rPr>
        <w:t xml:space="preserve">                    </w:t>
      </w:r>
      <w:r>
        <w:rPr>
          <w:rFonts w:ascii="宋体" w:hAnsi="宋体" w:eastAsia="宋体" w:cs="宋体"/>
          <w:spacing w:val="4"/>
          <w:sz w:val="21"/>
          <w:szCs w:val="21"/>
        </w:rPr>
        <w:t xml:space="preserve"> </w:t>
      </w:r>
      <w:r>
        <w:rPr>
          <w:rFonts w:ascii="宋体" w:hAnsi="宋体" w:eastAsia="宋体" w:cs="宋体"/>
          <w:spacing w:val="-18"/>
          <w:sz w:val="21"/>
          <w:szCs w:val="21"/>
        </w:rPr>
        <w:t>开户银行：</w:t>
      </w:r>
      <w:r>
        <w:rPr>
          <w:rFonts w:ascii="宋体" w:hAnsi="宋体" w:eastAsia="宋体" w:cs="宋体"/>
          <w:spacing w:val="-29"/>
          <w:sz w:val="21"/>
          <w:szCs w:val="21"/>
        </w:rPr>
        <w:t xml:space="preserve"> </w:t>
      </w:r>
      <w:r>
        <w:rPr>
          <w:rFonts w:ascii="宋体" w:hAnsi="宋体" w:eastAsia="宋体" w:cs="宋体"/>
          <w:spacing w:val="5"/>
          <w:sz w:val="21"/>
          <w:szCs w:val="21"/>
          <w:u w:val="single" w:color="auto"/>
        </w:rPr>
        <w:t xml:space="preserve">                  </w:t>
      </w:r>
      <w:r>
        <w:rPr>
          <w:rFonts w:ascii="宋体" w:hAnsi="宋体" w:eastAsia="宋体" w:cs="宋体"/>
          <w:spacing w:val="13"/>
          <w:sz w:val="21"/>
          <w:szCs w:val="21"/>
        </w:rPr>
        <w:t xml:space="preserve"> </w:t>
      </w:r>
      <w:r>
        <w:rPr>
          <w:rFonts w:ascii="宋体" w:hAnsi="宋体" w:eastAsia="宋体" w:cs="宋体"/>
          <w:spacing w:val="-31"/>
          <w:sz w:val="21"/>
          <w:szCs w:val="21"/>
        </w:rPr>
        <w:t>账</w:t>
      </w:r>
      <w:r>
        <w:rPr>
          <w:rFonts w:ascii="宋体" w:hAnsi="宋体" w:eastAsia="宋体" w:cs="宋体"/>
          <w:spacing w:val="5"/>
          <w:sz w:val="21"/>
          <w:szCs w:val="21"/>
        </w:rPr>
        <w:t xml:space="preserve">  </w:t>
      </w:r>
      <w:r>
        <w:rPr>
          <w:rFonts w:ascii="宋体" w:hAnsi="宋体" w:eastAsia="宋体" w:cs="宋体"/>
          <w:spacing w:val="-31"/>
          <w:sz w:val="21"/>
          <w:szCs w:val="21"/>
        </w:rPr>
        <w:t>号：</w:t>
      </w:r>
      <w:r>
        <w:rPr>
          <w:rFonts w:ascii="宋体" w:hAnsi="宋体" w:eastAsia="宋体" w:cs="宋体"/>
          <w:spacing w:val="-36"/>
          <w:sz w:val="21"/>
          <w:szCs w:val="21"/>
        </w:rPr>
        <w:t xml:space="preserve"> </w:t>
      </w:r>
      <w:r>
        <w:rPr>
          <w:rFonts w:ascii="宋体" w:hAnsi="宋体" w:eastAsia="宋体" w:cs="宋体"/>
          <w:sz w:val="21"/>
          <w:szCs w:val="21"/>
          <w:u w:val="single" w:color="auto"/>
        </w:rPr>
        <w:t xml:space="preserve">                     </w:t>
      </w:r>
    </w:p>
    <w:p w14:paraId="6A8719C0">
      <w:pPr>
        <w:spacing w:before="1" w:line="185" w:lineRule="auto"/>
        <w:ind w:left="17"/>
        <w:rPr>
          <w:rFonts w:ascii="宋体" w:hAnsi="宋体" w:eastAsia="宋体" w:cs="宋体"/>
          <w:sz w:val="21"/>
          <w:szCs w:val="21"/>
        </w:rPr>
      </w:pPr>
      <w:r>
        <w:rPr>
          <w:rFonts w:ascii="宋体" w:hAnsi="宋体" w:eastAsia="宋体" w:cs="宋体"/>
          <w:spacing w:val="-21"/>
          <w:sz w:val="21"/>
          <w:szCs w:val="21"/>
        </w:rPr>
        <w:t>邮政编码：</w:t>
      </w:r>
      <w:r>
        <w:rPr>
          <w:rFonts w:ascii="宋体" w:hAnsi="宋体" w:eastAsia="宋体" w:cs="宋体"/>
          <w:spacing w:val="-29"/>
          <w:sz w:val="21"/>
          <w:szCs w:val="21"/>
        </w:rPr>
        <w:t xml:space="preserve"> </w:t>
      </w:r>
      <w:r>
        <w:rPr>
          <w:rFonts w:ascii="宋体" w:hAnsi="宋体" w:eastAsia="宋体" w:cs="宋体"/>
          <w:sz w:val="21"/>
          <w:szCs w:val="21"/>
          <w:u w:val="single" w:color="auto"/>
        </w:rPr>
        <w:t xml:space="preserve">                   </w:t>
      </w:r>
    </w:p>
    <w:p w14:paraId="4CD72BB0">
      <w:pPr>
        <w:spacing w:line="185" w:lineRule="auto"/>
        <w:rPr>
          <w:rFonts w:ascii="宋体" w:hAnsi="宋体" w:eastAsia="宋体" w:cs="宋体"/>
          <w:sz w:val="21"/>
          <w:szCs w:val="21"/>
        </w:rPr>
        <w:sectPr>
          <w:type w:val="continuous"/>
          <w:pgSz w:w="11905" w:h="16839"/>
          <w:pgMar w:top="400" w:right="1785" w:bottom="1004" w:left="1785" w:header="0" w:footer="828" w:gutter="0"/>
          <w:pgNumType w:fmt="decimal"/>
          <w:cols w:equalWidth="0" w:num="2">
            <w:col w:w="4647" w:space="100"/>
            <w:col w:w="3587"/>
          </w:cols>
        </w:sectPr>
      </w:pPr>
    </w:p>
    <w:p w14:paraId="415272D8">
      <w:pPr>
        <w:pStyle w:val="3"/>
        <w:spacing w:line="276" w:lineRule="auto"/>
      </w:pPr>
    </w:p>
    <w:p w14:paraId="24A59151">
      <w:pPr>
        <w:pStyle w:val="3"/>
        <w:spacing w:line="276" w:lineRule="auto"/>
      </w:pPr>
    </w:p>
    <w:p w14:paraId="727EFA35">
      <w:pPr>
        <w:pStyle w:val="3"/>
        <w:spacing w:line="276" w:lineRule="auto"/>
      </w:pPr>
    </w:p>
    <w:p w14:paraId="3D800725">
      <w:pPr>
        <w:pStyle w:val="3"/>
        <w:spacing w:line="276" w:lineRule="auto"/>
      </w:pPr>
    </w:p>
    <w:p w14:paraId="34814422">
      <w:pPr>
        <w:spacing w:before="78" w:line="219" w:lineRule="auto"/>
        <w:ind w:left="402"/>
        <w:rPr>
          <w:rFonts w:ascii="宋体" w:hAnsi="宋体" w:eastAsia="宋体" w:cs="宋体"/>
          <w:sz w:val="24"/>
          <w:szCs w:val="24"/>
        </w:rPr>
      </w:pPr>
      <w:r>
        <w:rPr>
          <w:rFonts w:ascii="宋体" w:hAnsi="宋体" w:eastAsia="宋体" w:cs="宋体"/>
          <w:spacing w:val="-8"/>
          <w:sz w:val="24"/>
          <w:szCs w:val="24"/>
        </w:rPr>
        <w:t>附件</w:t>
      </w:r>
      <w:r>
        <w:rPr>
          <w:rFonts w:ascii="宋体" w:hAnsi="宋体" w:eastAsia="宋体" w:cs="宋体"/>
          <w:spacing w:val="-59"/>
          <w:sz w:val="24"/>
          <w:szCs w:val="24"/>
        </w:rPr>
        <w:t xml:space="preserve"> </w:t>
      </w:r>
      <w:r>
        <w:rPr>
          <w:rFonts w:ascii="Times New Roman" w:hAnsi="Times New Roman" w:eastAsia="Times New Roman" w:cs="Times New Roman"/>
          <w:spacing w:val="-8"/>
          <w:sz w:val="24"/>
          <w:szCs w:val="24"/>
        </w:rPr>
        <w:t>4</w:t>
      </w:r>
      <w:r>
        <w:rPr>
          <w:rFonts w:ascii="宋体" w:hAnsi="宋体" w:eastAsia="宋体" w:cs="宋体"/>
          <w:spacing w:val="-8"/>
          <w:sz w:val="24"/>
          <w:szCs w:val="24"/>
        </w:rPr>
        <w:t>：</w:t>
      </w:r>
    </w:p>
    <w:p w14:paraId="298AF4F1">
      <w:pPr>
        <w:spacing w:before="243" w:line="225" w:lineRule="auto"/>
        <w:ind w:left="3146"/>
        <w:rPr>
          <w:rFonts w:ascii="黑体" w:hAnsi="黑体" w:eastAsia="黑体" w:cs="黑体"/>
          <w:sz w:val="27"/>
          <w:szCs w:val="27"/>
        </w:rPr>
      </w:pPr>
      <w:r>
        <w:rPr>
          <w:rFonts w:ascii="黑体" w:hAnsi="黑体" w:eastAsia="黑体" w:cs="黑体"/>
          <w:spacing w:val="7"/>
          <w:sz w:val="27"/>
          <w:szCs w:val="27"/>
        </w:rPr>
        <w:t>主要建设工程文件目录</w:t>
      </w:r>
    </w:p>
    <w:p w14:paraId="74040300">
      <w:pPr>
        <w:spacing w:line="112" w:lineRule="exact"/>
      </w:pPr>
    </w:p>
    <w:tbl>
      <w:tblPr>
        <w:tblStyle w:val="10"/>
        <w:tblW w:w="9046" w:type="dxa"/>
        <w:tblInd w:w="1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61"/>
        <w:gridCol w:w="1274"/>
        <w:gridCol w:w="1446"/>
        <w:gridCol w:w="1240"/>
        <w:gridCol w:w="1446"/>
        <w:gridCol w:w="1679"/>
      </w:tblGrid>
      <w:tr w14:paraId="75373E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2" w:hRule="atLeast"/>
        </w:trPr>
        <w:tc>
          <w:tcPr>
            <w:tcW w:w="1961" w:type="dxa"/>
            <w:tcBorders>
              <w:top w:val="single" w:color="000000" w:sz="10" w:space="0"/>
              <w:left w:val="single" w:color="000000" w:sz="10" w:space="0"/>
            </w:tcBorders>
            <w:vAlign w:val="top"/>
          </w:tcPr>
          <w:p w14:paraId="3FBCB15A">
            <w:pPr>
              <w:pStyle w:val="11"/>
              <w:spacing w:before="177" w:line="221" w:lineRule="auto"/>
              <w:ind w:left="85"/>
            </w:pPr>
            <w:r>
              <w:rPr>
                <w:spacing w:val="-1"/>
              </w:rPr>
              <w:t>文件名称</w:t>
            </w:r>
          </w:p>
        </w:tc>
        <w:tc>
          <w:tcPr>
            <w:tcW w:w="1274" w:type="dxa"/>
            <w:tcBorders>
              <w:top w:val="single" w:color="000000" w:sz="10" w:space="0"/>
            </w:tcBorders>
            <w:vAlign w:val="top"/>
          </w:tcPr>
          <w:p w14:paraId="31F63685">
            <w:pPr>
              <w:pStyle w:val="11"/>
              <w:spacing w:before="177" w:line="221" w:lineRule="auto"/>
              <w:ind w:left="85"/>
            </w:pPr>
            <w:r>
              <w:rPr>
                <w:spacing w:val="-2"/>
              </w:rPr>
              <w:t>套数</w:t>
            </w:r>
          </w:p>
        </w:tc>
        <w:tc>
          <w:tcPr>
            <w:tcW w:w="1446" w:type="dxa"/>
            <w:tcBorders>
              <w:top w:val="single" w:color="000000" w:sz="10" w:space="0"/>
            </w:tcBorders>
            <w:vAlign w:val="top"/>
          </w:tcPr>
          <w:p w14:paraId="43A499DD">
            <w:pPr>
              <w:pStyle w:val="11"/>
              <w:spacing w:before="178" w:line="221" w:lineRule="auto"/>
              <w:ind w:left="100"/>
            </w:pPr>
            <w:r>
              <w:rPr>
                <w:spacing w:val="-5"/>
              </w:rPr>
              <w:t>费用（元）</w:t>
            </w:r>
          </w:p>
        </w:tc>
        <w:tc>
          <w:tcPr>
            <w:tcW w:w="1240" w:type="dxa"/>
            <w:tcBorders>
              <w:top w:val="single" w:color="000000" w:sz="10" w:space="0"/>
            </w:tcBorders>
            <w:vAlign w:val="top"/>
          </w:tcPr>
          <w:p w14:paraId="7FD6CAF4">
            <w:pPr>
              <w:pStyle w:val="11"/>
              <w:spacing w:before="178" w:line="221" w:lineRule="auto"/>
              <w:ind w:left="93"/>
            </w:pPr>
            <w:r>
              <w:rPr>
                <w:spacing w:val="-2"/>
              </w:rPr>
              <w:t>质量</w:t>
            </w:r>
          </w:p>
        </w:tc>
        <w:tc>
          <w:tcPr>
            <w:tcW w:w="1446" w:type="dxa"/>
            <w:tcBorders>
              <w:top w:val="single" w:color="000000" w:sz="10" w:space="0"/>
            </w:tcBorders>
            <w:vAlign w:val="top"/>
          </w:tcPr>
          <w:p w14:paraId="2CF5A0CA">
            <w:pPr>
              <w:pStyle w:val="11"/>
              <w:spacing w:before="178" w:line="222" w:lineRule="auto"/>
              <w:ind w:left="308"/>
            </w:pPr>
            <w:r>
              <w:rPr>
                <w:spacing w:val="-1"/>
              </w:rPr>
              <w:t>移交时间</w:t>
            </w:r>
          </w:p>
        </w:tc>
        <w:tc>
          <w:tcPr>
            <w:tcW w:w="1679" w:type="dxa"/>
            <w:tcBorders>
              <w:top w:val="single" w:color="000000" w:sz="10" w:space="0"/>
              <w:right w:val="single" w:color="000000" w:sz="10" w:space="0"/>
            </w:tcBorders>
            <w:vAlign w:val="top"/>
          </w:tcPr>
          <w:p w14:paraId="3C9E8AF8">
            <w:pPr>
              <w:pStyle w:val="11"/>
              <w:spacing w:before="177" w:line="221" w:lineRule="auto"/>
              <w:ind w:left="535"/>
            </w:pPr>
            <w:r>
              <w:rPr>
                <w:spacing w:val="-3"/>
              </w:rPr>
              <w:t>责任人</w:t>
            </w:r>
          </w:p>
        </w:tc>
      </w:tr>
      <w:tr w14:paraId="0BD6E9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3" w:hRule="atLeast"/>
        </w:trPr>
        <w:tc>
          <w:tcPr>
            <w:tcW w:w="1961" w:type="dxa"/>
            <w:tcBorders>
              <w:left w:val="single" w:color="000000" w:sz="10" w:space="0"/>
            </w:tcBorders>
            <w:vAlign w:val="top"/>
          </w:tcPr>
          <w:p w14:paraId="00FC5800">
            <w:pPr>
              <w:rPr>
                <w:rFonts w:ascii="Arial"/>
                <w:sz w:val="21"/>
              </w:rPr>
            </w:pPr>
          </w:p>
        </w:tc>
        <w:tc>
          <w:tcPr>
            <w:tcW w:w="1274" w:type="dxa"/>
            <w:vAlign w:val="top"/>
          </w:tcPr>
          <w:p w14:paraId="4FAD16FE">
            <w:pPr>
              <w:rPr>
                <w:rFonts w:ascii="Arial"/>
                <w:sz w:val="21"/>
              </w:rPr>
            </w:pPr>
          </w:p>
        </w:tc>
        <w:tc>
          <w:tcPr>
            <w:tcW w:w="1446" w:type="dxa"/>
            <w:vAlign w:val="top"/>
          </w:tcPr>
          <w:p w14:paraId="5CB55C43">
            <w:pPr>
              <w:rPr>
                <w:rFonts w:ascii="Arial"/>
                <w:sz w:val="21"/>
              </w:rPr>
            </w:pPr>
          </w:p>
        </w:tc>
        <w:tc>
          <w:tcPr>
            <w:tcW w:w="1240" w:type="dxa"/>
            <w:vAlign w:val="top"/>
          </w:tcPr>
          <w:p w14:paraId="0CD59E09">
            <w:pPr>
              <w:rPr>
                <w:rFonts w:ascii="Arial"/>
                <w:sz w:val="21"/>
              </w:rPr>
            </w:pPr>
          </w:p>
        </w:tc>
        <w:tc>
          <w:tcPr>
            <w:tcW w:w="1446" w:type="dxa"/>
            <w:vAlign w:val="top"/>
          </w:tcPr>
          <w:p w14:paraId="72933B57">
            <w:pPr>
              <w:rPr>
                <w:rFonts w:ascii="Arial"/>
                <w:sz w:val="21"/>
              </w:rPr>
            </w:pPr>
          </w:p>
        </w:tc>
        <w:tc>
          <w:tcPr>
            <w:tcW w:w="1679" w:type="dxa"/>
            <w:tcBorders>
              <w:right w:val="single" w:color="000000" w:sz="10" w:space="0"/>
            </w:tcBorders>
            <w:vAlign w:val="top"/>
          </w:tcPr>
          <w:p w14:paraId="50FC0AB7">
            <w:pPr>
              <w:rPr>
                <w:rFonts w:ascii="Arial"/>
                <w:sz w:val="21"/>
              </w:rPr>
            </w:pPr>
          </w:p>
        </w:tc>
      </w:tr>
      <w:tr w14:paraId="123837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0" w:hRule="atLeast"/>
        </w:trPr>
        <w:tc>
          <w:tcPr>
            <w:tcW w:w="1961" w:type="dxa"/>
            <w:tcBorders>
              <w:left w:val="single" w:color="000000" w:sz="10" w:space="0"/>
            </w:tcBorders>
            <w:vAlign w:val="top"/>
          </w:tcPr>
          <w:p w14:paraId="4673AF15">
            <w:pPr>
              <w:rPr>
                <w:rFonts w:ascii="Arial"/>
                <w:sz w:val="21"/>
              </w:rPr>
            </w:pPr>
          </w:p>
        </w:tc>
        <w:tc>
          <w:tcPr>
            <w:tcW w:w="1274" w:type="dxa"/>
            <w:vAlign w:val="top"/>
          </w:tcPr>
          <w:p w14:paraId="61B1F09E">
            <w:pPr>
              <w:rPr>
                <w:rFonts w:ascii="Arial"/>
                <w:sz w:val="21"/>
              </w:rPr>
            </w:pPr>
          </w:p>
        </w:tc>
        <w:tc>
          <w:tcPr>
            <w:tcW w:w="1446" w:type="dxa"/>
            <w:vAlign w:val="top"/>
          </w:tcPr>
          <w:p w14:paraId="2C7D00CD">
            <w:pPr>
              <w:rPr>
                <w:rFonts w:ascii="Arial"/>
                <w:sz w:val="21"/>
              </w:rPr>
            </w:pPr>
          </w:p>
        </w:tc>
        <w:tc>
          <w:tcPr>
            <w:tcW w:w="1240" w:type="dxa"/>
            <w:vAlign w:val="top"/>
          </w:tcPr>
          <w:p w14:paraId="0382883B">
            <w:pPr>
              <w:rPr>
                <w:rFonts w:ascii="Arial"/>
                <w:sz w:val="21"/>
              </w:rPr>
            </w:pPr>
          </w:p>
        </w:tc>
        <w:tc>
          <w:tcPr>
            <w:tcW w:w="1446" w:type="dxa"/>
            <w:vAlign w:val="top"/>
          </w:tcPr>
          <w:p w14:paraId="5254D539">
            <w:pPr>
              <w:rPr>
                <w:rFonts w:ascii="Arial"/>
                <w:sz w:val="21"/>
              </w:rPr>
            </w:pPr>
          </w:p>
        </w:tc>
        <w:tc>
          <w:tcPr>
            <w:tcW w:w="1679" w:type="dxa"/>
            <w:tcBorders>
              <w:right w:val="single" w:color="000000" w:sz="10" w:space="0"/>
            </w:tcBorders>
            <w:vAlign w:val="top"/>
          </w:tcPr>
          <w:p w14:paraId="7D938F47">
            <w:pPr>
              <w:rPr>
                <w:rFonts w:ascii="Arial"/>
                <w:sz w:val="21"/>
              </w:rPr>
            </w:pPr>
          </w:p>
        </w:tc>
      </w:tr>
      <w:tr w14:paraId="1543F4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0" w:hRule="atLeast"/>
        </w:trPr>
        <w:tc>
          <w:tcPr>
            <w:tcW w:w="1961" w:type="dxa"/>
            <w:tcBorders>
              <w:left w:val="single" w:color="000000" w:sz="10" w:space="0"/>
            </w:tcBorders>
            <w:vAlign w:val="top"/>
          </w:tcPr>
          <w:p w14:paraId="21AB43CD">
            <w:pPr>
              <w:rPr>
                <w:rFonts w:ascii="Arial"/>
                <w:sz w:val="21"/>
              </w:rPr>
            </w:pPr>
          </w:p>
        </w:tc>
        <w:tc>
          <w:tcPr>
            <w:tcW w:w="1274" w:type="dxa"/>
            <w:vAlign w:val="top"/>
          </w:tcPr>
          <w:p w14:paraId="2F7E4C6F">
            <w:pPr>
              <w:rPr>
                <w:rFonts w:ascii="Arial"/>
                <w:sz w:val="21"/>
              </w:rPr>
            </w:pPr>
          </w:p>
        </w:tc>
        <w:tc>
          <w:tcPr>
            <w:tcW w:w="1446" w:type="dxa"/>
            <w:vAlign w:val="top"/>
          </w:tcPr>
          <w:p w14:paraId="4DEF4E6B">
            <w:pPr>
              <w:rPr>
                <w:rFonts w:ascii="Arial"/>
                <w:sz w:val="21"/>
              </w:rPr>
            </w:pPr>
          </w:p>
        </w:tc>
        <w:tc>
          <w:tcPr>
            <w:tcW w:w="1240" w:type="dxa"/>
            <w:vAlign w:val="top"/>
          </w:tcPr>
          <w:p w14:paraId="128E8061">
            <w:pPr>
              <w:rPr>
                <w:rFonts w:ascii="Arial"/>
                <w:sz w:val="21"/>
              </w:rPr>
            </w:pPr>
          </w:p>
        </w:tc>
        <w:tc>
          <w:tcPr>
            <w:tcW w:w="1446" w:type="dxa"/>
            <w:vAlign w:val="top"/>
          </w:tcPr>
          <w:p w14:paraId="4C5A20C5">
            <w:pPr>
              <w:rPr>
                <w:rFonts w:ascii="Arial"/>
                <w:sz w:val="21"/>
              </w:rPr>
            </w:pPr>
          </w:p>
        </w:tc>
        <w:tc>
          <w:tcPr>
            <w:tcW w:w="1679" w:type="dxa"/>
            <w:tcBorders>
              <w:right w:val="single" w:color="000000" w:sz="10" w:space="0"/>
            </w:tcBorders>
            <w:vAlign w:val="top"/>
          </w:tcPr>
          <w:p w14:paraId="3401D2B6">
            <w:pPr>
              <w:rPr>
                <w:rFonts w:ascii="Arial"/>
                <w:sz w:val="21"/>
              </w:rPr>
            </w:pPr>
          </w:p>
        </w:tc>
      </w:tr>
      <w:tr w14:paraId="400997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4" w:hRule="atLeast"/>
        </w:trPr>
        <w:tc>
          <w:tcPr>
            <w:tcW w:w="1961" w:type="dxa"/>
            <w:tcBorders>
              <w:left w:val="single" w:color="000000" w:sz="10" w:space="0"/>
            </w:tcBorders>
            <w:vAlign w:val="top"/>
          </w:tcPr>
          <w:p w14:paraId="27558DD2">
            <w:pPr>
              <w:rPr>
                <w:rFonts w:ascii="Arial"/>
                <w:sz w:val="21"/>
              </w:rPr>
            </w:pPr>
          </w:p>
        </w:tc>
        <w:tc>
          <w:tcPr>
            <w:tcW w:w="1274" w:type="dxa"/>
            <w:vAlign w:val="top"/>
          </w:tcPr>
          <w:p w14:paraId="1134B002">
            <w:pPr>
              <w:rPr>
                <w:rFonts w:ascii="Arial"/>
                <w:sz w:val="21"/>
              </w:rPr>
            </w:pPr>
          </w:p>
        </w:tc>
        <w:tc>
          <w:tcPr>
            <w:tcW w:w="1446" w:type="dxa"/>
            <w:vAlign w:val="top"/>
          </w:tcPr>
          <w:p w14:paraId="79A733CB">
            <w:pPr>
              <w:rPr>
                <w:rFonts w:ascii="Arial"/>
                <w:sz w:val="21"/>
              </w:rPr>
            </w:pPr>
          </w:p>
        </w:tc>
        <w:tc>
          <w:tcPr>
            <w:tcW w:w="1240" w:type="dxa"/>
            <w:vAlign w:val="top"/>
          </w:tcPr>
          <w:p w14:paraId="179B068D">
            <w:pPr>
              <w:rPr>
                <w:rFonts w:ascii="Arial"/>
                <w:sz w:val="21"/>
              </w:rPr>
            </w:pPr>
          </w:p>
        </w:tc>
        <w:tc>
          <w:tcPr>
            <w:tcW w:w="1446" w:type="dxa"/>
            <w:vAlign w:val="top"/>
          </w:tcPr>
          <w:p w14:paraId="27B77F1E">
            <w:pPr>
              <w:rPr>
                <w:rFonts w:ascii="Arial"/>
                <w:sz w:val="21"/>
              </w:rPr>
            </w:pPr>
          </w:p>
        </w:tc>
        <w:tc>
          <w:tcPr>
            <w:tcW w:w="1679" w:type="dxa"/>
            <w:tcBorders>
              <w:right w:val="single" w:color="000000" w:sz="10" w:space="0"/>
            </w:tcBorders>
            <w:vAlign w:val="top"/>
          </w:tcPr>
          <w:p w14:paraId="71DB0531">
            <w:pPr>
              <w:rPr>
                <w:rFonts w:ascii="Arial"/>
                <w:sz w:val="21"/>
              </w:rPr>
            </w:pPr>
          </w:p>
        </w:tc>
      </w:tr>
      <w:tr w14:paraId="0C26E1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9" w:hRule="atLeast"/>
        </w:trPr>
        <w:tc>
          <w:tcPr>
            <w:tcW w:w="1961" w:type="dxa"/>
            <w:tcBorders>
              <w:left w:val="single" w:color="000000" w:sz="10" w:space="0"/>
            </w:tcBorders>
            <w:vAlign w:val="top"/>
          </w:tcPr>
          <w:p w14:paraId="6C37946C">
            <w:pPr>
              <w:rPr>
                <w:rFonts w:ascii="Arial"/>
                <w:sz w:val="21"/>
              </w:rPr>
            </w:pPr>
          </w:p>
        </w:tc>
        <w:tc>
          <w:tcPr>
            <w:tcW w:w="1274" w:type="dxa"/>
            <w:vAlign w:val="top"/>
          </w:tcPr>
          <w:p w14:paraId="160B9933">
            <w:pPr>
              <w:rPr>
                <w:rFonts w:ascii="Arial"/>
                <w:sz w:val="21"/>
              </w:rPr>
            </w:pPr>
          </w:p>
        </w:tc>
        <w:tc>
          <w:tcPr>
            <w:tcW w:w="1446" w:type="dxa"/>
            <w:vAlign w:val="top"/>
          </w:tcPr>
          <w:p w14:paraId="4E7F5576">
            <w:pPr>
              <w:rPr>
                <w:rFonts w:ascii="Arial"/>
                <w:sz w:val="21"/>
              </w:rPr>
            </w:pPr>
          </w:p>
        </w:tc>
        <w:tc>
          <w:tcPr>
            <w:tcW w:w="1240" w:type="dxa"/>
            <w:vAlign w:val="top"/>
          </w:tcPr>
          <w:p w14:paraId="375A3344">
            <w:pPr>
              <w:rPr>
                <w:rFonts w:ascii="Arial"/>
                <w:sz w:val="21"/>
              </w:rPr>
            </w:pPr>
          </w:p>
        </w:tc>
        <w:tc>
          <w:tcPr>
            <w:tcW w:w="1446" w:type="dxa"/>
            <w:vAlign w:val="top"/>
          </w:tcPr>
          <w:p w14:paraId="74573776">
            <w:pPr>
              <w:rPr>
                <w:rFonts w:ascii="Arial"/>
                <w:sz w:val="21"/>
              </w:rPr>
            </w:pPr>
          </w:p>
        </w:tc>
        <w:tc>
          <w:tcPr>
            <w:tcW w:w="1679" w:type="dxa"/>
            <w:tcBorders>
              <w:right w:val="single" w:color="000000" w:sz="10" w:space="0"/>
            </w:tcBorders>
            <w:vAlign w:val="top"/>
          </w:tcPr>
          <w:p w14:paraId="4677F067">
            <w:pPr>
              <w:rPr>
                <w:rFonts w:ascii="Arial"/>
                <w:sz w:val="21"/>
              </w:rPr>
            </w:pPr>
          </w:p>
        </w:tc>
      </w:tr>
      <w:tr w14:paraId="2EA625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0" w:hRule="atLeast"/>
        </w:trPr>
        <w:tc>
          <w:tcPr>
            <w:tcW w:w="1961" w:type="dxa"/>
            <w:tcBorders>
              <w:left w:val="single" w:color="000000" w:sz="10" w:space="0"/>
            </w:tcBorders>
            <w:vAlign w:val="top"/>
          </w:tcPr>
          <w:p w14:paraId="5F78B72D">
            <w:pPr>
              <w:rPr>
                <w:rFonts w:ascii="Arial"/>
                <w:sz w:val="21"/>
              </w:rPr>
            </w:pPr>
          </w:p>
        </w:tc>
        <w:tc>
          <w:tcPr>
            <w:tcW w:w="1274" w:type="dxa"/>
            <w:vAlign w:val="top"/>
          </w:tcPr>
          <w:p w14:paraId="169FAAC1">
            <w:pPr>
              <w:rPr>
                <w:rFonts w:ascii="Arial"/>
                <w:sz w:val="21"/>
              </w:rPr>
            </w:pPr>
          </w:p>
        </w:tc>
        <w:tc>
          <w:tcPr>
            <w:tcW w:w="1446" w:type="dxa"/>
            <w:vAlign w:val="top"/>
          </w:tcPr>
          <w:p w14:paraId="54B6B9C1">
            <w:pPr>
              <w:rPr>
                <w:rFonts w:ascii="Arial"/>
                <w:sz w:val="21"/>
              </w:rPr>
            </w:pPr>
          </w:p>
        </w:tc>
        <w:tc>
          <w:tcPr>
            <w:tcW w:w="1240" w:type="dxa"/>
            <w:vAlign w:val="top"/>
          </w:tcPr>
          <w:p w14:paraId="5F3304B1">
            <w:pPr>
              <w:rPr>
                <w:rFonts w:ascii="Arial"/>
                <w:sz w:val="21"/>
              </w:rPr>
            </w:pPr>
          </w:p>
        </w:tc>
        <w:tc>
          <w:tcPr>
            <w:tcW w:w="1446" w:type="dxa"/>
            <w:vAlign w:val="top"/>
          </w:tcPr>
          <w:p w14:paraId="033C87A9">
            <w:pPr>
              <w:rPr>
                <w:rFonts w:ascii="Arial"/>
                <w:sz w:val="21"/>
              </w:rPr>
            </w:pPr>
          </w:p>
        </w:tc>
        <w:tc>
          <w:tcPr>
            <w:tcW w:w="1679" w:type="dxa"/>
            <w:tcBorders>
              <w:right w:val="single" w:color="000000" w:sz="10" w:space="0"/>
            </w:tcBorders>
            <w:vAlign w:val="top"/>
          </w:tcPr>
          <w:p w14:paraId="537C5117">
            <w:pPr>
              <w:rPr>
                <w:rFonts w:ascii="Arial"/>
                <w:sz w:val="21"/>
              </w:rPr>
            </w:pPr>
          </w:p>
        </w:tc>
      </w:tr>
      <w:tr w14:paraId="057015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9" w:hRule="atLeast"/>
        </w:trPr>
        <w:tc>
          <w:tcPr>
            <w:tcW w:w="1961" w:type="dxa"/>
            <w:tcBorders>
              <w:left w:val="single" w:color="000000" w:sz="10" w:space="0"/>
            </w:tcBorders>
            <w:vAlign w:val="top"/>
          </w:tcPr>
          <w:p w14:paraId="24810481">
            <w:pPr>
              <w:rPr>
                <w:rFonts w:ascii="Arial"/>
                <w:sz w:val="21"/>
              </w:rPr>
            </w:pPr>
          </w:p>
        </w:tc>
        <w:tc>
          <w:tcPr>
            <w:tcW w:w="1274" w:type="dxa"/>
            <w:vAlign w:val="top"/>
          </w:tcPr>
          <w:p w14:paraId="7BCE9C1A">
            <w:pPr>
              <w:rPr>
                <w:rFonts w:ascii="Arial"/>
                <w:sz w:val="21"/>
              </w:rPr>
            </w:pPr>
          </w:p>
        </w:tc>
        <w:tc>
          <w:tcPr>
            <w:tcW w:w="1446" w:type="dxa"/>
            <w:vAlign w:val="top"/>
          </w:tcPr>
          <w:p w14:paraId="28CCFB2F">
            <w:pPr>
              <w:rPr>
                <w:rFonts w:ascii="Arial"/>
                <w:sz w:val="21"/>
              </w:rPr>
            </w:pPr>
          </w:p>
        </w:tc>
        <w:tc>
          <w:tcPr>
            <w:tcW w:w="1240" w:type="dxa"/>
            <w:vAlign w:val="top"/>
          </w:tcPr>
          <w:p w14:paraId="0BE4CD92">
            <w:pPr>
              <w:rPr>
                <w:rFonts w:ascii="Arial"/>
                <w:sz w:val="21"/>
              </w:rPr>
            </w:pPr>
          </w:p>
        </w:tc>
        <w:tc>
          <w:tcPr>
            <w:tcW w:w="1446" w:type="dxa"/>
            <w:vAlign w:val="top"/>
          </w:tcPr>
          <w:p w14:paraId="7E6A64DC">
            <w:pPr>
              <w:rPr>
                <w:rFonts w:ascii="Arial"/>
                <w:sz w:val="21"/>
              </w:rPr>
            </w:pPr>
          </w:p>
        </w:tc>
        <w:tc>
          <w:tcPr>
            <w:tcW w:w="1679" w:type="dxa"/>
            <w:tcBorders>
              <w:right w:val="single" w:color="000000" w:sz="10" w:space="0"/>
            </w:tcBorders>
            <w:vAlign w:val="top"/>
          </w:tcPr>
          <w:p w14:paraId="23D1455B">
            <w:pPr>
              <w:rPr>
                <w:rFonts w:ascii="Arial"/>
                <w:sz w:val="21"/>
              </w:rPr>
            </w:pPr>
          </w:p>
        </w:tc>
      </w:tr>
      <w:tr w14:paraId="3D34F4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4" w:hRule="atLeast"/>
        </w:trPr>
        <w:tc>
          <w:tcPr>
            <w:tcW w:w="1961" w:type="dxa"/>
            <w:tcBorders>
              <w:left w:val="single" w:color="000000" w:sz="10" w:space="0"/>
            </w:tcBorders>
            <w:vAlign w:val="top"/>
          </w:tcPr>
          <w:p w14:paraId="016AFA2F">
            <w:pPr>
              <w:rPr>
                <w:rFonts w:ascii="Arial"/>
                <w:sz w:val="21"/>
              </w:rPr>
            </w:pPr>
          </w:p>
        </w:tc>
        <w:tc>
          <w:tcPr>
            <w:tcW w:w="1274" w:type="dxa"/>
            <w:vAlign w:val="top"/>
          </w:tcPr>
          <w:p w14:paraId="5871099E">
            <w:pPr>
              <w:rPr>
                <w:rFonts w:ascii="Arial"/>
                <w:sz w:val="21"/>
              </w:rPr>
            </w:pPr>
          </w:p>
        </w:tc>
        <w:tc>
          <w:tcPr>
            <w:tcW w:w="1446" w:type="dxa"/>
            <w:vAlign w:val="top"/>
          </w:tcPr>
          <w:p w14:paraId="1FB9A6C1">
            <w:pPr>
              <w:rPr>
                <w:rFonts w:ascii="Arial"/>
                <w:sz w:val="21"/>
              </w:rPr>
            </w:pPr>
          </w:p>
        </w:tc>
        <w:tc>
          <w:tcPr>
            <w:tcW w:w="1240" w:type="dxa"/>
            <w:vAlign w:val="top"/>
          </w:tcPr>
          <w:p w14:paraId="525D245E">
            <w:pPr>
              <w:rPr>
                <w:rFonts w:ascii="Arial"/>
                <w:sz w:val="21"/>
              </w:rPr>
            </w:pPr>
          </w:p>
        </w:tc>
        <w:tc>
          <w:tcPr>
            <w:tcW w:w="1446" w:type="dxa"/>
            <w:vAlign w:val="top"/>
          </w:tcPr>
          <w:p w14:paraId="6154EC64">
            <w:pPr>
              <w:rPr>
                <w:rFonts w:ascii="Arial"/>
                <w:sz w:val="21"/>
              </w:rPr>
            </w:pPr>
          </w:p>
        </w:tc>
        <w:tc>
          <w:tcPr>
            <w:tcW w:w="1679" w:type="dxa"/>
            <w:tcBorders>
              <w:right w:val="single" w:color="000000" w:sz="10" w:space="0"/>
            </w:tcBorders>
            <w:vAlign w:val="top"/>
          </w:tcPr>
          <w:p w14:paraId="27258533">
            <w:pPr>
              <w:rPr>
                <w:rFonts w:ascii="Arial"/>
                <w:sz w:val="21"/>
              </w:rPr>
            </w:pPr>
          </w:p>
        </w:tc>
      </w:tr>
      <w:tr w14:paraId="09CA2D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0" w:hRule="atLeast"/>
        </w:trPr>
        <w:tc>
          <w:tcPr>
            <w:tcW w:w="1961" w:type="dxa"/>
            <w:tcBorders>
              <w:left w:val="single" w:color="000000" w:sz="10" w:space="0"/>
            </w:tcBorders>
            <w:vAlign w:val="top"/>
          </w:tcPr>
          <w:p w14:paraId="44B00782">
            <w:pPr>
              <w:rPr>
                <w:rFonts w:ascii="Arial"/>
                <w:sz w:val="21"/>
              </w:rPr>
            </w:pPr>
          </w:p>
        </w:tc>
        <w:tc>
          <w:tcPr>
            <w:tcW w:w="1274" w:type="dxa"/>
            <w:vAlign w:val="top"/>
          </w:tcPr>
          <w:p w14:paraId="5FABAAE6">
            <w:pPr>
              <w:rPr>
                <w:rFonts w:ascii="Arial"/>
                <w:sz w:val="21"/>
              </w:rPr>
            </w:pPr>
          </w:p>
        </w:tc>
        <w:tc>
          <w:tcPr>
            <w:tcW w:w="1446" w:type="dxa"/>
            <w:vAlign w:val="top"/>
          </w:tcPr>
          <w:p w14:paraId="22AA9685">
            <w:pPr>
              <w:rPr>
                <w:rFonts w:ascii="Arial"/>
                <w:sz w:val="21"/>
              </w:rPr>
            </w:pPr>
          </w:p>
        </w:tc>
        <w:tc>
          <w:tcPr>
            <w:tcW w:w="1240" w:type="dxa"/>
            <w:vAlign w:val="top"/>
          </w:tcPr>
          <w:p w14:paraId="507442B7">
            <w:pPr>
              <w:rPr>
                <w:rFonts w:ascii="Arial"/>
                <w:sz w:val="21"/>
              </w:rPr>
            </w:pPr>
          </w:p>
        </w:tc>
        <w:tc>
          <w:tcPr>
            <w:tcW w:w="1446" w:type="dxa"/>
            <w:vAlign w:val="top"/>
          </w:tcPr>
          <w:p w14:paraId="52111BD9">
            <w:pPr>
              <w:rPr>
                <w:rFonts w:ascii="Arial"/>
                <w:sz w:val="21"/>
              </w:rPr>
            </w:pPr>
          </w:p>
        </w:tc>
        <w:tc>
          <w:tcPr>
            <w:tcW w:w="1679" w:type="dxa"/>
            <w:tcBorders>
              <w:right w:val="single" w:color="000000" w:sz="10" w:space="0"/>
            </w:tcBorders>
            <w:vAlign w:val="top"/>
          </w:tcPr>
          <w:p w14:paraId="7CE4F196">
            <w:pPr>
              <w:rPr>
                <w:rFonts w:ascii="Arial"/>
                <w:sz w:val="21"/>
              </w:rPr>
            </w:pPr>
          </w:p>
        </w:tc>
      </w:tr>
      <w:tr w14:paraId="23DAE0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9" w:hRule="atLeast"/>
        </w:trPr>
        <w:tc>
          <w:tcPr>
            <w:tcW w:w="1961" w:type="dxa"/>
            <w:tcBorders>
              <w:left w:val="single" w:color="000000" w:sz="10" w:space="0"/>
            </w:tcBorders>
            <w:vAlign w:val="top"/>
          </w:tcPr>
          <w:p w14:paraId="6A5FB4D9">
            <w:pPr>
              <w:rPr>
                <w:rFonts w:ascii="Arial"/>
                <w:sz w:val="21"/>
              </w:rPr>
            </w:pPr>
          </w:p>
        </w:tc>
        <w:tc>
          <w:tcPr>
            <w:tcW w:w="1274" w:type="dxa"/>
            <w:vAlign w:val="top"/>
          </w:tcPr>
          <w:p w14:paraId="2D50F948">
            <w:pPr>
              <w:rPr>
                <w:rFonts w:ascii="Arial"/>
                <w:sz w:val="21"/>
              </w:rPr>
            </w:pPr>
          </w:p>
        </w:tc>
        <w:tc>
          <w:tcPr>
            <w:tcW w:w="1446" w:type="dxa"/>
            <w:vAlign w:val="top"/>
          </w:tcPr>
          <w:p w14:paraId="7B2CF2A4">
            <w:pPr>
              <w:rPr>
                <w:rFonts w:ascii="Arial"/>
                <w:sz w:val="21"/>
              </w:rPr>
            </w:pPr>
          </w:p>
        </w:tc>
        <w:tc>
          <w:tcPr>
            <w:tcW w:w="1240" w:type="dxa"/>
            <w:vAlign w:val="top"/>
          </w:tcPr>
          <w:p w14:paraId="7CDB059A">
            <w:pPr>
              <w:rPr>
                <w:rFonts w:ascii="Arial"/>
                <w:sz w:val="21"/>
              </w:rPr>
            </w:pPr>
          </w:p>
        </w:tc>
        <w:tc>
          <w:tcPr>
            <w:tcW w:w="1446" w:type="dxa"/>
            <w:vAlign w:val="top"/>
          </w:tcPr>
          <w:p w14:paraId="37614A9D">
            <w:pPr>
              <w:rPr>
                <w:rFonts w:ascii="Arial"/>
                <w:sz w:val="21"/>
              </w:rPr>
            </w:pPr>
          </w:p>
        </w:tc>
        <w:tc>
          <w:tcPr>
            <w:tcW w:w="1679" w:type="dxa"/>
            <w:tcBorders>
              <w:right w:val="single" w:color="000000" w:sz="10" w:space="0"/>
            </w:tcBorders>
            <w:vAlign w:val="top"/>
          </w:tcPr>
          <w:p w14:paraId="5E1E78C7">
            <w:pPr>
              <w:rPr>
                <w:rFonts w:ascii="Arial"/>
                <w:sz w:val="21"/>
              </w:rPr>
            </w:pPr>
          </w:p>
        </w:tc>
      </w:tr>
      <w:tr w14:paraId="264475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0" w:hRule="atLeast"/>
        </w:trPr>
        <w:tc>
          <w:tcPr>
            <w:tcW w:w="1961" w:type="dxa"/>
            <w:tcBorders>
              <w:left w:val="single" w:color="000000" w:sz="10" w:space="0"/>
            </w:tcBorders>
            <w:vAlign w:val="top"/>
          </w:tcPr>
          <w:p w14:paraId="43EAD2D4">
            <w:pPr>
              <w:rPr>
                <w:rFonts w:ascii="Arial"/>
                <w:sz w:val="21"/>
              </w:rPr>
            </w:pPr>
          </w:p>
        </w:tc>
        <w:tc>
          <w:tcPr>
            <w:tcW w:w="1274" w:type="dxa"/>
            <w:vAlign w:val="top"/>
          </w:tcPr>
          <w:p w14:paraId="23BC89E7">
            <w:pPr>
              <w:rPr>
                <w:rFonts w:ascii="Arial"/>
                <w:sz w:val="21"/>
              </w:rPr>
            </w:pPr>
          </w:p>
        </w:tc>
        <w:tc>
          <w:tcPr>
            <w:tcW w:w="1446" w:type="dxa"/>
            <w:vAlign w:val="top"/>
          </w:tcPr>
          <w:p w14:paraId="1F9527E4">
            <w:pPr>
              <w:rPr>
                <w:rFonts w:ascii="Arial"/>
                <w:sz w:val="21"/>
              </w:rPr>
            </w:pPr>
          </w:p>
        </w:tc>
        <w:tc>
          <w:tcPr>
            <w:tcW w:w="1240" w:type="dxa"/>
            <w:vAlign w:val="top"/>
          </w:tcPr>
          <w:p w14:paraId="226942E7">
            <w:pPr>
              <w:rPr>
                <w:rFonts w:ascii="Arial"/>
                <w:sz w:val="21"/>
              </w:rPr>
            </w:pPr>
          </w:p>
        </w:tc>
        <w:tc>
          <w:tcPr>
            <w:tcW w:w="1446" w:type="dxa"/>
            <w:vAlign w:val="top"/>
          </w:tcPr>
          <w:p w14:paraId="374EA23E">
            <w:pPr>
              <w:rPr>
                <w:rFonts w:ascii="Arial"/>
                <w:sz w:val="21"/>
              </w:rPr>
            </w:pPr>
          </w:p>
        </w:tc>
        <w:tc>
          <w:tcPr>
            <w:tcW w:w="1679" w:type="dxa"/>
            <w:tcBorders>
              <w:right w:val="single" w:color="000000" w:sz="10" w:space="0"/>
            </w:tcBorders>
            <w:vAlign w:val="top"/>
          </w:tcPr>
          <w:p w14:paraId="24AC299C">
            <w:pPr>
              <w:rPr>
                <w:rFonts w:ascii="Arial"/>
                <w:sz w:val="21"/>
              </w:rPr>
            </w:pPr>
          </w:p>
        </w:tc>
      </w:tr>
      <w:tr w14:paraId="56AFFC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5" w:hRule="atLeast"/>
        </w:trPr>
        <w:tc>
          <w:tcPr>
            <w:tcW w:w="1961" w:type="dxa"/>
            <w:tcBorders>
              <w:left w:val="single" w:color="000000" w:sz="10" w:space="0"/>
            </w:tcBorders>
            <w:vAlign w:val="top"/>
          </w:tcPr>
          <w:p w14:paraId="7E495BB0">
            <w:pPr>
              <w:rPr>
                <w:rFonts w:ascii="Arial"/>
                <w:sz w:val="21"/>
              </w:rPr>
            </w:pPr>
          </w:p>
        </w:tc>
        <w:tc>
          <w:tcPr>
            <w:tcW w:w="1274" w:type="dxa"/>
            <w:vAlign w:val="top"/>
          </w:tcPr>
          <w:p w14:paraId="7B3D3319">
            <w:pPr>
              <w:rPr>
                <w:rFonts w:ascii="Arial"/>
                <w:sz w:val="21"/>
              </w:rPr>
            </w:pPr>
          </w:p>
        </w:tc>
        <w:tc>
          <w:tcPr>
            <w:tcW w:w="1446" w:type="dxa"/>
            <w:vAlign w:val="top"/>
          </w:tcPr>
          <w:p w14:paraId="0C4B141E">
            <w:pPr>
              <w:rPr>
                <w:rFonts w:ascii="Arial"/>
                <w:sz w:val="21"/>
              </w:rPr>
            </w:pPr>
          </w:p>
        </w:tc>
        <w:tc>
          <w:tcPr>
            <w:tcW w:w="1240" w:type="dxa"/>
            <w:vAlign w:val="top"/>
          </w:tcPr>
          <w:p w14:paraId="16CD94EF">
            <w:pPr>
              <w:rPr>
                <w:rFonts w:ascii="Arial"/>
                <w:sz w:val="21"/>
              </w:rPr>
            </w:pPr>
          </w:p>
        </w:tc>
        <w:tc>
          <w:tcPr>
            <w:tcW w:w="1446" w:type="dxa"/>
            <w:vAlign w:val="top"/>
          </w:tcPr>
          <w:p w14:paraId="308B41F5">
            <w:pPr>
              <w:rPr>
                <w:rFonts w:ascii="Arial"/>
                <w:sz w:val="21"/>
              </w:rPr>
            </w:pPr>
          </w:p>
        </w:tc>
        <w:tc>
          <w:tcPr>
            <w:tcW w:w="1679" w:type="dxa"/>
            <w:tcBorders>
              <w:right w:val="single" w:color="000000" w:sz="10" w:space="0"/>
            </w:tcBorders>
            <w:vAlign w:val="top"/>
          </w:tcPr>
          <w:p w14:paraId="4CF68F74">
            <w:pPr>
              <w:rPr>
                <w:rFonts w:ascii="Arial"/>
                <w:sz w:val="21"/>
              </w:rPr>
            </w:pPr>
          </w:p>
        </w:tc>
      </w:tr>
      <w:tr w14:paraId="1587B2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0" w:hRule="atLeast"/>
        </w:trPr>
        <w:tc>
          <w:tcPr>
            <w:tcW w:w="1961" w:type="dxa"/>
            <w:tcBorders>
              <w:left w:val="single" w:color="000000" w:sz="10" w:space="0"/>
            </w:tcBorders>
            <w:vAlign w:val="top"/>
          </w:tcPr>
          <w:p w14:paraId="01A674F5">
            <w:pPr>
              <w:rPr>
                <w:rFonts w:ascii="Arial"/>
                <w:sz w:val="21"/>
              </w:rPr>
            </w:pPr>
          </w:p>
        </w:tc>
        <w:tc>
          <w:tcPr>
            <w:tcW w:w="1274" w:type="dxa"/>
            <w:vAlign w:val="top"/>
          </w:tcPr>
          <w:p w14:paraId="6F8D35DC">
            <w:pPr>
              <w:rPr>
                <w:rFonts w:ascii="Arial"/>
                <w:sz w:val="21"/>
              </w:rPr>
            </w:pPr>
          </w:p>
        </w:tc>
        <w:tc>
          <w:tcPr>
            <w:tcW w:w="1446" w:type="dxa"/>
            <w:vAlign w:val="top"/>
          </w:tcPr>
          <w:p w14:paraId="127A1102">
            <w:pPr>
              <w:rPr>
                <w:rFonts w:ascii="Arial"/>
                <w:sz w:val="21"/>
              </w:rPr>
            </w:pPr>
          </w:p>
        </w:tc>
        <w:tc>
          <w:tcPr>
            <w:tcW w:w="1240" w:type="dxa"/>
            <w:vAlign w:val="top"/>
          </w:tcPr>
          <w:p w14:paraId="008C54D0">
            <w:pPr>
              <w:rPr>
                <w:rFonts w:ascii="Arial"/>
                <w:sz w:val="21"/>
              </w:rPr>
            </w:pPr>
          </w:p>
        </w:tc>
        <w:tc>
          <w:tcPr>
            <w:tcW w:w="1446" w:type="dxa"/>
            <w:vAlign w:val="top"/>
          </w:tcPr>
          <w:p w14:paraId="0D565B6F">
            <w:pPr>
              <w:rPr>
                <w:rFonts w:ascii="Arial"/>
                <w:sz w:val="21"/>
              </w:rPr>
            </w:pPr>
          </w:p>
        </w:tc>
        <w:tc>
          <w:tcPr>
            <w:tcW w:w="1679" w:type="dxa"/>
            <w:tcBorders>
              <w:right w:val="single" w:color="000000" w:sz="10" w:space="0"/>
            </w:tcBorders>
            <w:vAlign w:val="top"/>
          </w:tcPr>
          <w:p w14:paraId="2C99DA98">
            <w:pPr>
              <w:rPr>
                <w:rFonts w:ascii="Arial"/>
                <w:sz w:val="21"/>
              </w:rPr>
            </w:pPr>
          </w:p>
        </w:tc>
      </w:tr>
      <w:tr w14:paraId="365B74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0" w:hRule="atLeast"/>
        </w:trPr>
        <w:tc>
          <w:tcPr>
            <w:tcW w:w="1961" w:type="dxa"/>
            <w:tcBorders>
              <w:left w:val="single" w:color="000000" w:sz="10" w:space="0"/>
            </w:tcBorders>
            <w:vAlign w:val="top"/>
          </w:tcPr>
          <w:p w14:paraId="73E9DB3D">
            <w:pPr>
              <w:rPr>
                <w:rFonts w:ascii="Arial"/>
                <w:sz w:val="21"/>
              </w:rPr>
            </w:pPr>
          </w:p>
        </w:tc>
        <w:tc>
          <w:tcPr>
            <w:tcW w:w="1274" w:type="dxa"/>
            <w:vAlign w:val="top"/>
          </w:tcPr>
          <w:p w14:paraId="2CECE1A3">
            <w:pPr>
              <w:rPr>
                <w:rFonts w:ascii="Arial"/>
                <w:sz w:val="21"/>
              </w:rPr>
            </w:pPr>
          </w:p>
        </w:tc>
        <w:tc>
          <w:tcPr>
            <w:tcW w:w="1446" w:type="dxa"/>
            <w:vAlign w:val="top"/>
          </w:tcPr>
          <w:p w14:paraId="1CFBB17F">
            <w:pPr>
              <w:rPr>
                <w:rFonts w:ascii="Arial"/>
                <w:sz w:val="21"/>
              </w:rPr>
            </w:pPr>
          </w:p>
        </w:tc>
        <w:tc>
          <w:tcPr>
            <w:tcW w:w="1240" w:type="dxa"/>
            <w:vAlign w:val="top"/>
          </w:tcPr>
          <w:p w14:paraId="169C65A2">
            <w:pPr>
              <w:rPr>
                <w:rFonts w:ascii="Arial"/>
                <w:sz w:val="21"/>
              </w:rPr>
            </w:pPr>
          </w:p>
        </w:tc>
        <w:tc>
          <w:tcPr>
            <w:tcW w:w="1446" w:type="dxa"/>
            <w:vAlign w:val="top"/>
          </w:tcPr>
          <w:p w14:paraId="3AB13E27">
            <w:pPr>
              <w:rPr>
                <w:rFonts w:ascii="Arial"/>
                <w:sz w:val="21"/>
              </w:rPr>
            </w:pPr>
          </w:p>
        </w:tc>
        <w:tc>
          <w:tcPr>
            <w:tcW w:w="1679" w:type="dxa"/>
            <w:tcBorders>
              <w:right w:val="single" w:color="000000" w:sz="10" w:space="0"/>
            </w:tcBorders>
            <w:vAlign w:val="top"/>
          </w:tcPr>
          <w:p w14:paraId="1767018F">
            <w:pPr>
              <w:rPr>
                <w:rFonts w:ascii="Arial"/>
                <w:sz w:val="21"/>
              </w:rPr>
            </w:pPr>
          </w:p>
        </w:tc>
      </w:tr>
      <w:tr w14:paraId="3053FA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0" w:hRule="atLeast"/>
        </w:trPr>
        <w:tc>
          <w:tcPr>
            <w:tcW w:w="1961" w:type="dxa"/>
            <w:tcBorders>
              <w:left w:val="single" w:color="000000" w:sz="10" w:space="0"/>
            </w:tcBorders>
            <w:vAlign w:val="top"/>
          </w:tcPr>
          <w:p w14:paraId="682A5F2D">
            <w:pPr>
              <w:rPr>
                <w:rFonts w:ascii="Arial"/>
                <w:sz w:val="21"/>
              </w:rPr>
            </w:pPr>
          </w:p>
        </w:tc>
        <w:tc>
          <w:tcPr>
            <w:tcW w:w="1274" w:type="dxa"/>
            <w:vAlign w:val="top"/>
          </w:tcPr>
          <w:p w14:paraId="3D75412D">
            <w:pPr>
              <w:rPr>
                <w:rFonts w:ascii="Arial"/>
                <w:sz w:val="21"/>
              </w:rPr>
            </w:pPr>
          </w:p>
        </w:tc>
        <w:tc>
          <w:tcPr>
            <w:tcW w:w="1446" w:type="dxa"/>
            <w:vAlign w:val="top"/>
          </w:tcPr>
          <w:p w14:paraId="08B0D046">
            <w:pPr>
              <w:rPr>
                <w:rFonts w:ascii="Arial"/>
                <w:sz w:val="21"/>
              </w:rPr>
            </w:pPr>
          </w:p>
        </w:tc>
        <w:tc>
          <w:tcPr>
            <w:tcW w:w="1240" w:type="dxa"/>
            <w:vAlign w:val="top"/>
          </w:tcPr>
          <w:p w14:paraId="022C7BF0">
            <w:pPr>
              <w:rPr>
                <w:rFonts w:ascii="Arial"/>
                <w:sz w:val="21"/>
              </w:rPr>
            </w:pPr>
          </w:p>
        </w:tc>
        <w:tc>
          <w:tcPr>
            <w:tcW w:w="1446" w:type="dxa"/>
            <w:vAlign w:val="top"/>
          </w:tcPr>
          <w:p w14:paraId="0325324D">
            <w:pPr>
              <w:rPr>
                <w:rFonts w:ascii="Arial"/>
                <w:sz w:val="21"/>
              </w:rPr>
            </w:pPr>
          </w:p>
        </w:tc>
        <w:tc>
          <w:tcPr>
            <w:tcW w:w="1679" w:type="dxa"/>
            <w:tcBorders>
              <w:right w:val="single" w:color="000000" w:sz="10" w:space="0"/>
            </w:tcBorders>
            <w:vAlign w:val="top"/>
          </w:tcPr>
          <w:p w14:paraId="4E51847C">
            <w:pPr>
              <w:rPr>
                <w:rFonts w:ascii="Arial"/>
                <w:sz w:val="21"/>
              </w:rPr>
            </w:pPr>
          </w:p>
        </w:tc>
      </w:tr>
      <w:tr w14:paraId="259FB6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4" w:hRule="atLeast"/>
        </w:trPr>
        <w:tc>
          <w:tcPr>
            <w:tcW w:w="1961" w:type="dxa"/>
            <w:tcBorders>
              <w:left w:val="single" w:color="000000" w:sz="10" w:space="0"/>
            </w:tcBorders>
            <w:vAlign w:val="top"/>
          </w:tcPr>
          <w:p w14:paraId="2C91505F">
            <w:pPr>
              <w:rPr>
                <w:rFonts w:ascii="Arial"/>
                <w:sz w:val="21"/>
              </w:rPr>
            </w:pPr>
          </w:p>
        </w:tc>
        <w:tc>
          <w:tcPr>
            <w:tcW w:w="1274" w:type="dxa"/>
            <w:vAlign w:val="top"/>
          </w:tcPr>
          <w:p w14:paraId="652F2320">
            <w:pPr>
              <w:rPr>
                <w:rFonts w:ascii="Arial"/>
                <w:sz w:val="21"/>
              </w:rPr>
            </w:pPr>
          </w:p>
        </w:tc>
        <w:tc>
          <w:tcPr>
            <w:tcW w:w="1446" w:type="dxa"/>
            <w:vAlign w:val="top"/>
          </w:tcPr>
          <w:p w14:paraId="2072C969">
            <w:pPr>
              <w:rPr>
                <w:rFonts w:ascii="Arial"/>
                <w:sz w:val="21"/>
              </w:rPr>
            </w:pPr>
          </w:p>
        </w:tc>
        <w:tc>
          <w:tcPr>
            <w:tcW w:w="1240" w:type="dxa"/>
            <w:vAlign w:val="top"/>
          </w:tcPr>
          <w:p w14:paraId="5B88A79D">
            <w:pPr>
              <w:rPr>
                <w:rFonts w:ascii="Arial"/>
                <w:sz w:val="21"/>
              </w:rPr>
            </w:pPr>
          </w:p>
        </w:tc>
        <w:tc>
          <w:tcPr>
            <w:tcW w:w="1446" w:type="dxa"/>
            <w:vAlign w:val="top"/>
          </w:tcPr>
          <w:p w14:paraId="20B4FDB1">
            <w:pPr>
              <w:rPr>
                <w:rFonts w:ascii="Arial"/>
                <w:sz w:val="21"/>
              </w:rPr>
            </w:pPr>
          </w:p>
        </w:tc>
        <w:tc>
          <w:tcPr>
            <w:tcW w:w="1679" w:type="dxa"/>
            <w:tcBorders>
              <w:right w:val="single" w:color="000000" w:sz="10" w:space="0"/>
            </w:tcBorders>
            <w:vAlign w:val="top"/>
          </w:tcPr>
          <w:p w14:paraId="3F38C251">
            <w:pPr>
              <w:rPr>
                <w:rFonts w:ascii="Arial"/>
                <w:sz w:val="21"/>
              </w:rPr>
            </w:pPr>
          </w:p>
        </w:tc>
      </w:tr>
      <w:tr w14:paraId="61CA96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0" w:hRule="atLeast"/>
        </w:trPr>
        <w:tc>
          <w:tcPr>
            <w:tcW w:w="1961" w:type="dxa"/>
            <w:tcBorders>
              <w:left w:val="single" w:color="000000" w:sz="10" w:space="0"/>
            </w:tcBorders>
            <w:vAlign w:val="top"/>
          </w:tcPr>
          <w:p w14:paraId="5A8EDCF1">
            <w:pPr>
              <w:rPr>
                <w:rFonts w:ascii="Arial"/>
                <w:sz w:val="21"/>
              </w:rPr>
            </w:pPr>
          </w:p>
        </w:tc>
        <w:tc>
          <w:tcPr>
            <w:tcW w:w="1274" w:type="dxa"/>
            <w:vAlign w:val="top"/>
          </w:tcPr>
          <w:p w14:paraId="0F4E2A1B">
            <w:pPr>
              <w:rPr>
                <w:rFonts w:ascii="Arial"/>
                <w:sz w:val="21"/>
              </w:rPr>
            </w:pPr>
          </w:p>
        </w:tc>
        <w:tc>
          <w:tcPr>
            <w:tcW w:w="1446" w:type="dxa"/>
            <w:vAlign w:val="top"/>
          </w:tcPr>
          <w:p w14:paraId="01E2B319">
            <w:pPr>
              <w:rPr>
                <w:rFonts w:ascii="Arial"/>
                <w:sz w:val="21"/>
              </w:rPr>
            </w:pPr>
          </w:p>
        </w:tc>
        <w:tc>
          <w:tcPr>
            <w:tcW w:w="1240" w:type="dxa"/>
            <w:vAlign w:val="top"/>
          </w:tcPr>
          <w:p w14:paraId="1E1B0DE3">
            <w:pPr>
              <w:rPr>
                <w:rFonts w:ascii="Arial"/>
                <w:sz w:val="21"/>
              </w:rPr>
            </w:pPr>
          </w:p>
        </w:tc>
        <w:tc>
          <w:tcPr>
            <w:tcW w:w="1446" w:type="dxa"/>
            <w:vAlign w:val="top"/>
          </w:tcPr>
          <w:p w14:paraId="2B39180D">
            <w:pPr>
              <w:rPr>
                <w:rFonts w:ascii="Arial"/>
                <w:sz w:val="21"/>
              </w:rPr>
            </w:pPr>
          </w:p>
        </w:tc>
        <w:tc>
          <w:tcPr>
            <w:tcW w:w="1679" w:type="dxa"/>
            <w:tcBorders>
              <w:right w:val="single" w:color="000000" w:sz="10" w:space="0"/>
            </w:tcBorders>
            <w:vAlign w:val="top"/>
          </w:tcPr>
          <w:p w14:paraId="07AE4F9F">
            <w:pPr>
              <w:rPr>
                <w:rFonts w:ascii="Arial"/>
                <w:sz w:val="21"/>
              </w:rPr>
            </w:pPr>
          </w:p>
        </w:tc>
      </w:tr>
      <w:tr w14:paraId="6BA82A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0" w:hRule="atLeast"/>
        </w:trPr>
        <w:tc>
          <w:tcPr>
            <w:tcW w:w="1961" w:type="dxa"/>
            <w:tcBorders>
              <w:left w:val="single" w:color="000000" w:sz="10" w:space="0"/>
            </w:tcBorders>
            <w:vAlign w:val="top"/>
          </w:tcPr>
          <w:p w14:paraId="33B91628">
            <w:pPr>
              <w:rPr>
                <w:rFonts w:ascii="Arial"/>
                <w:sz w:val="21"/>
              </w:rPr>
            </w:pPr>
          </w:p>
        </w:tc>
        <w:tc>
          <w:tcPr>
            <w:tcW w:w="1274" w:type="dxa"/>
            <w:vAlign w:val="top"/>
          </w:tcPr>
          <w:p w14:paraId="3A8D64AD">
            <w:pPr>
              <w:rPr>
                <w:rFonts w:ascii="Arial"/>
                <w:sz w:val="21"/>
              </w:rPr>
            </w:pPr>
          </w:p>
        </w:tc>
        <w:tc>
          <w:tcPr>
            <w:tcW w:w="1446" w:type="dxa"/>
            <w:vAlign w:val="top"/>
          </w:tcPr>
          <w:p w14:paraId="7109C52C">
            <w:pPr>
              <w:rPr>
                <w:rFonts w:ascii="Arial"/>
                <w:sz w:val="21"/>
              </w:rPr>
            </w:pPr>
          </w:p>
        </w:tc>
        <w:tc>
          <w:tcPr>
            <w:tcW w:w="1240" w:type="dxa"/>
            <w:vAlign w:val="top"/>
          </w:tcPr>
          <w:p w14:paraId="26E69E6F">
            <w:pPr>
              <w:rPr>
                <w:rFonts w:ascii="Arial"/>
                <w:sz w:val="21"/>
              </w:rPr>
            </w:pPr>
          </w:p>
        </w:tc>
        <w:tc>
          <w:tcPr>
            <w:tcW w:w="1446" w:type="dxa"/>
            <w:vAlign w:val="top"/>
          </w:tcPr>
          <w:p w14:paraId="1B7D079A">
            <w:pPr>
              <w:rPr>
                <w:rFonts w:ascii="Arial"/>
                <w:sz w:val="21"/>
              </w:rPr>
            </w:pPr>
          </w:p>
        </w:tc>
        <w:tc>
          <w:tcPr>
            <w:tcW w:w="1679" w:type="dxa"/>
            <w:tcBorders>
              <w:right w:val="single" w:color="000000" w:sz="10" w:space="0"/>
            </w:tcBorders>
            <w:vAlign w:val="top"/>
          </w:tcPr>
          <w:p w14:paraId="2501322C">
            <w:pPr>
              <w:rPr>
                <w:rFonts w:ascii="Arial"/>
                <w:sz w:val="21"/>
              </w:rPr>
            </w:pPr>
          </w:p>
        </w:tc>
      </w:tr>
      <w:tr w14:paraId="22E3F8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6" w:hRule="atLeast"/>
        </w:trPr>
        <w:tc>
          <w:tcPr>
            <w:tcW w:w="1961" w:type="dxa"/>
            <w:tcBorders>
              <w:left w:val="single" w:color="000000" w:sz="10" w:space="0"/>
              <w:bottom w:val="single" w:color="000000" w:sz="10" w:space="0"/>
            </w:tcBorders>
            <w:vAlign w:val="top"/>
          </w:tcPr>
          <w:p w14:paraId="7C7C67EA">
            <w:pPr>
              <w:rPr>
                <w:rFonts w:ascii="Arial"/>
                <w:sz w:val="21"/>
              </w:rPr>
            </w:pPr>
          </w:p>
        </w:tc>
        <w:tc>
          <w:tcPr>
            <w:tcW w:w="1274" w:type="dxa"/>
            <w:tcBorders>
              <w:bottom w:val="single" w:color="000000" w:sz="10" w:space="0"/>
            </w:tcBorders>
            <w:vAlign w:val="top"/>
          </w:tcPr>
          <w:p w14:paraId="4BE6FD48">
            <w:pPr>
              <w:rPr>
                <w:rFonts w:ascii="Arial"/>
                <w:sz w:val="21"/>
              </w:rPr>
            </w:pPr>
          </w:p>
        </w:tc>
        <w:tc>
          <w:tcPr>
            <w:tcW w:w="1446" w:type="dxa"/>
            <w:tcBorders>
              <w:bottom w:val="single" w:color="000000" w:sz="10" w:space="0"/>
            </w:tcBorders>
            <w:vAlign w:val="top"/>
          </w:tcPr>
          <w:p w14:paraId="57AE3684">
            <w:pPr>
              <w:rPr>
                <w:rFonts w:ascii="Arial"/>
                <w:sz w:val="21"/>
              </w:rPr>
            </w:pPr>
          </w:p>
        </w:tc>
        <w:tc>
          <w:tcPr>
            <w:tcW w:w="1240" w:type="dxa"/>
            <w:tcBorders>
              <w:bottom w:val="single" w:color="000000" w:sz="10" w:space="0"/>
            </w:tcBorders>
            <w:vAlign w:val="top"/>
          </w:tcPr>
          <w:p w14:paraId="17C7082C">
            <w:pPr>
              <w:rPr>
                <w:rFonts w:ascii="Arial"/>
                <w:sz w:val="21"/>
              </w:rPr>
            </w:pPr>
          </w:p>
        </w:tc>
        <w:tc>
          <w:tcPr>
            <w:tcW w:w="1446" w:type="dxa"/>
            <w:tcBorders>
              <w:bottom w:val="single" w:color="000000" w:sz="10" w:space="0"/>
            </w:tcBorders>
            <w:vAlign w:val="top"/>
          </w:tcPr>
          <w:p w14:paraId="3615EFD3">
            <w:pPr>
              <w:rPr>
                <w:rFonts w:ascii="Arial"/>
                <w:sz w:val="21"/>
              </w:rPr>
            </w:pPr>
          </w:p>
        </w:tc>
        <w:tc>
          <w:tcPr>
            <w:tcW w:w="1679" w:type="dxa"/>
            <w:tcBorders>
              <w:bottom w:val="single" w:color="000000" w:sz="10" w:space="0"/>
              <w:right w:val="single" w:color="000000" w:sz="10" w:space="0"/>
            </w:tcBorders>
            <w:vAlign w:val="top"/>
          </w:tcPr>
          <w:p w14:paraId="5A499D1D">
            <w:pPr>
              <w:rPr>
                <w:rFonts w:ascii="Arial"/>
                <w:sz w:val="21"/>
              </w:rPr>
            </w:pPr>
          </w:p>
        </w:tc>
      </w:tr>
    </w:tbl>
    <w:p w14:paraId="2021E0A6">
      <w:pPr>
        <w:pStyle w:val="3"/>
      </w:pPr>
    </w:p>
    <w:p w14:paraId="4C1FB715">
      <w:pPr>
        <w:sectPr>
          <w:footerReference r:id="rId147" w:type="default"/>
          <w:pgSz w:w="11905" w:h="16839"/>
          <w:pgMar w:top="400" w:right="1411" w:bottom="1004" w:left="1421" w:header="0" w:footer="828" w:gutter="0"/>
          <w:pgNumType w:fmt="decimal"/>
          <w:cols w:space="720" w:num="1"/>
        </w:sectPr>
      </w:pPr>
    </w:p>
    <w:p w14:paraId="157E863E">
      <w:pPr>
        <w:pStyle w:val="3"/>
        <w:spacing w:line="276" w:lineRule="auto"/>
      </w:pPr>
    </w:p>
    <w:p w14:paraId="18E31703">
      <w:pPr>
        <w:pStyle w:val="3"/>
        <w:spacing w:line="276" w:lineRule="auto"/>
      </w:pPr>
    </w:p>
    <w:p w14:paraId="71AB2F1B">
      <w:pPr>
        <w:pStyle w:val="3"/>
        <w:spacing w:line="276" w:lineRule="auto"/>
      </w:pPr>
    </w:p>
    <w:p w14:paraId="79B907B0">
      <w:pPr>
        <w:pStyle w:val="3"/>
        <w:spacing w:line="276" w:lineRule="auto"/>
      </w:pPr>
    </w:p>
    <w:p w14:paraId="7EF23F5F">
      <w:pPr>
        <w:spacing w:before="78" w:line="219" w:lineRule="auto"/>
        <w:ind w:left="364"/>
        <w:rPr>
          <w:rFonts w:ascii="宋体" w:hAnsi="宋体" w:eastAsia="宋体" w:cs="宋体"/>
          <w:sz w:val="24"/>
          <w:szCs w:val="24"/>
        </w:rPr>
      </w:pPr>
      <w:r>
        <w:rPr>
          <w:rFonts w:ascii="宋体" w:hAnsi="宋体" w:eastAsia="宋体" w:cs="宋体"/>
          <w:spacing w:val="-10"/>
          <w:sz w:val="24"/>
          <w:szCs w:val="24"/>
        </w:rPr>
        <w:t>附件</w:t>
      </w:r>
      <w:r>
        <w:rPr>
          <w:rFonts w:ascii="宋体" w:hAnsi="宋体" w:eastAsia="宋体" w:cs="宋体"/>
          <w:spacing w:val="-51"/>
          <w:sz w:val="24"/>
          <w:szCs w:val="24"/>
        </w:rPr>
        <w:t xml:space="preserve"> </w:t>
      </w:r>
      <w:r>
        <w:rPr>
          <w:rFonts w:ascii="Times New Roman" w:hAnsi="Times New Roman" w:eastAsia="Times New Roman" w:cs="Times New Roman"/>
          <w:spacing w:val="-10"/>
          <w:sz w:val="24"/>
          <w:szCs w:val="24"/>
        </w:rPr>
        <w:t>5</w:t>
      </w:r>
      <w:r>
        <w:rPr>
          <w:rFonts w:ascii="宋体" w:hAnsi="宋体" w:eastAsia="宋体" w:cs="宋体"/>
          <w:spacing w:val="-10"/>
          <w:sz w:val="24"/>
          <w:szCs w:val="24"/>
        </w:rPr>
        <w:t>：</w:t>
      </w:r>
    </w:p>
    <w:p w14:paraId="45749835">
      <w:pPr>
        <w:spacing w:before="243" w:line="225" w:lineRule="auto"/>
        <w:ind w:left="2261"/>
        <w:rPr>
          <w:rFonts w:ascii="黑体" w:hAnsi="黑体" w:eastAsia="黑体" w:cs="黑体"/>
          <w:sz w:val="27"/>
          <w:szCs w:val="27"/>
        </w:rPr>
      </w:pPr>
      <w:r>
        <w:rPr>
          <w:rFonts w:ascii="黑体" w:hAnsi="黑体" w:eastAsia="黑体" w:cs="黑体"/>
          <w:spacing w:val="8"/>
          <w:sz w:val="27"/>
          <w:szCs w:val="27"/>
        </w:rPr>
        <w:t>承包人用于本工程施工的机械设备表</w:t>
      </w:r>
    </w:p>
    <w:p w14:paraId="7D24EE8D">
      <w:pPr>
        <w:spacing w:line="112" w:lineRule="exact"/>
      </w:pPr>
    </w:p>
    <w:tbl>
      <w:tblPr>
        <w:tblStyle w:val="10"/>
        <w:tblW w:w="8968" w:type="dxa"/>
        <w:tblInd w:w="1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49"/>
        <w:gridCol w:w="1412"/>
        <w:gridCol w:w="848"/>
        <w:gridCol w:w="708"/>
        <w:gridCol w:w="848"/>
        <w:gridCol w:w="848"/>
        <w:gridCol w:w="1274"/>
        <w:gridCol w:w="1274"/>
        <w:gridCol w:w="1007"/>
      </w:tblGrid>
      <w:tr w14:paraId="12A125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93" w:hRule="atLeast"/>
        </w:trPr>
        <w:tc>
          <w:tcPr>
            <w:tcW w:w="749" w:type="dxa"/>
            <w:tcBorders>
              <w:top w:val="single" w:color="000000" w:sz="10" w:space="0"/>
              <w:left w:val="single" w:color="000000" w:sz="10" w:space="0"/>
            </w:tcBorders>
            <w:vAlign w:val="top"/>
          </w:tcPr>
          <w:p w14:paraId="60991DC0">
            <w:pPr>
              <w:spacing w:line="328" w:lineRule="auto"/>
              <w:rPr>
                <w:rFonts w:ascii="Arial"/>
                <w:sz w:val="21"/>
              </w:rPr>
            </w:pPr>
          </w:p>
          <w:p w14:paraId="0144B5AD">
            <w:pPr>
              <w:pStyle w:val="11"/>
              <w:spacing w:before="68" w:line="222" w:lineRule="auto"/>
              <w:ind w:left="155"/>
            </w:pPr>
            <w:r>
              <w:rPr>
                <w:spacing w:val="-2"/>
              </w:rPr>
              <w:t>序号</w:t>
            </w:r>
          </w:p>
        </w:tc>
        <w:tc>
          <w:tcPr>
            <w:tcW w:w="1412" w:type="dxa"/>
            <w:tcBorders>
              <w:top w:val="single" w:color="000000" w:sz="10" w:space="0"/>
            </w:tcBorders>
            <w:vAlign w:val="top"/>
          </w:tcPr>
          <w:p w14:paraId="0E9BAB22">
            <w:pPr>
              <w:pStyle w:val="11"/>
              <w:spacing w:before="178" w:line="441" w:lineRule="exact"/>
              <w:ind w:left="177"/>
            </w:pPr>
            <w:r>
              <w:rPr>
                <w:spacing w:val="-1"/>
                <w:position w:val="17"/>
              </w:rPr>
              <w:t>机械或设备</w:t>
            </w:r>
          </w:p>
          <w:p w14:paraId="518D5978">
            <w:pPr>
              <w:pStyle w:val="11"/>
              <w:spacing w:line="222" w:lineRule="auto"/>
              <w:ind w:left="497"/>
            </w:pPr>
            <w:r>
              <w:rPr>
                <w:spacing w:val="-3"/>
              </w:rPr>
              <w:t>名称</w:t>
            </w:r>
          </w:p>
        </w:tc>
        <w:tc>
          <w:tcPr>
            <w:tcW w:w="848" w:type="dxa"/>
            <w:tcBorders>
              <w:top w:val="single" w:color="000000" w:sz="10" w:space="0"/>
            </w:tcBorders>
            <w:vAlign w:val="top"/>
          </w:tcPr>
          <w:p w14:paraId="7A2CDE05">
            <w:pPr>
              <w:pStyle w:val="11"/>
              <w:spacing w:before="178" w:line="441" w:lineRule="exact"/>
              <w:ind w:left="217"/>
            </w:pPr>
            <w:r>
              <w:rPr>
                <w:spacing w:val="-2"/>
                <w:position w:val="17"/>
              </w:rPr>
              <w:t>规格</w:t>
            </w:r>
          </w:p>
          <w:p w14:paraId="43442A44">
            <w:pPr>
              <w:pStyle w:val="11"/>
              <w:spacing w:line="222" w:lineRule="auto"/>
              <w:ind w:left="222"/>
            </w:pPr>
            <w:r>
              <w:rPr>
                <w:spacing w:val="-4"/>
              </w:rPr>
              <w:t>型号</w:t>
            </w:r>
          </w:p>
        </w:tc>
        <w:tc>
          <w:tcPr>
            <w:tcW w:w="708" w:type="dxa"/>
            <w:tcBorders>
              <w:top w:val="single" w:color="000000" w:sz="10" w:space="0"/>
            </w:tcBorders>
            <w:vAlign w:val="top"/>
          </w:tcPr>
          <w:p w14:paraId="06383826">
            <w:pPr>
              <w:spacing w:line="328" w:lineRule="auto"/>
              <w:rPr>
                <w:rFonts w:ascii="Arial"/>
                <w:sz w:val="21"/>
              </w:rPr>
            </w:pPr>
          </w:p>
          <w:p w14:paraId="4AFA0217">
            <w:pPr>
              <w:pStyle w:val="11"/>
              <w:spacing w:before="68" w:line="221" w:lineRule="auto"/>
              <w:ind w:left="148"/>
            </w:pPr>
            <w:r>
              <w:rPr>
                <w:spacing w:val="-2"/>
              </w:rPr>
              <w:t>数量</w:t>
            </w:r>
          </w:p>
        </w:tc>
        <w:tc>
          <w:tcPr>
            <w:tcW w:w="848" w:type="dxa"/>
            <w:tcBorders>
              <w:top w:val="single" w:color="000000" w:sz="10" w:space="0"/>
            </w:tcBorders>
            <w:vAlign w:val="top"/>
          </w:tcPr>
          <w:p w14:paraId="61EFE6A4">
            <w:pPr>
              <w:spacing w:line="328" w:lineRule="auto"/>
              <w:rPr>
                <w:rFonts w:ascii="Arial"/>
                <w:sz w:val="21"/>
              </w:rPr>
            </w:pPr>
          </w:p>
          <w:p w14:paraId="1BEE8847">
            <w:pPr>
              <w:pStyle w:val="11"/>
              <w:spacing w:before="68" w:line="221" w:lineRule="auto"/>
              <w:ind w:left="220"/>
            </w:pPr>
            <w:r>
              <w:rPr>
                <w:spacing w:val="-2"/>
              </w:rPr>
              <w:t>产地</w:t>
            </w:r>
          </w:p>
        </w:tc>
        <w:tc>
          <w:tcPr>
            <w:tcW w:w="848" w:type="dxa"/>
            <w:tcBorders>
              <w:top w:val="single" w:color="000000" w:sz="10" w:space="0"/>
            </w:tcBorders>
            <w:vAlign w:val="top"/>
          </w:tcPr>
          <w:p w14:paraId="58E83139">
            <w:pPr>
              <w:pStyle w:val="11"/>
              <w:spacing w:before="178" w:line="441" w:lineRule="exact"/>
              <w:ind w:left="223"/>
            </w:pPr>
            <w:r>
              <w:rPr>
                <w:spacing w:val="-2"/>
                <w:position w:val="17"/>
              </w:rPr>
              <w:t>制造</w:t>
            </w:r>
          </w:p>
          <w:p w14:paraId="4F28421F">
            <w:pPr>
              <w:pStyle w:val="11"/>
              <w:spacing w:line="220" w:lineRule="auto"/>
              <w:ind w:left="223"/>
            </w:pPr>
            <w:r>
              <w:rPr>
                <w:spacing w:val="-2"/>
              </w:rPr>
              <w:t>年份</w:t>
            </w:r>
          </w:p>
        </w:tc>
        <w:tc>
          <w:tcPr>
            <w:tcW w:w="1274" w:type="dxa"/>
            <w:tcBorders>
              <w:top w:val="single" w:color="000000" w:sz="10" w:space="0"/>
            </w:tcBorders>
            <w:vAlign w:val="top"/>
          </w:tcPr>
          <w:p w14:paraId="2DD374D6">
            <w:pPr>
              <w:pStyle w:val="11"/>
              <w:spacing w:before="178" w:line="441" w:lineRule="exact"/>
              <w:ind w:left="224"/>
            </w:pPr>
            <w:r>
              <w:rPr>
                <w:spacing w:val="-1"/>
                <w:position w:val="17"/>
              </w:rPr>
              <w:t>额定功率</w:t>
            </w:r>
          </w:p>
          <w:p w14:paraId="4C3D9EFD">
            <w:pPr>
              <w:pStyle w:val="11"/>
              <w:spacing w:line="231" w:lineRule="auto"/>
              <w:ind w:left="336"/>
            </w:pPr>
            <w:r>
              <w:rPr>
                <w:spacing w:val="-4"/>
              </w:rPr>
              <w:t>（kW）</w:t>
            </w:r>
          </w:p>
        </w:tc>
        <w:tc>
          <w:tcPr>
            <w:tcW w:w="1274" w:type="dxa"/>
            <w:tcBorders>
              <w:top w:val="single" w:color="000000" w:sz="10" w:space="0"/>
            </w:tcBorders>
            <w:vAlign w:val="top"/>
          </w:tcPr>
          <w:p w14:paraId="0B31F901">
            <w:pPr>
              <w:spacing w:line="328" w:lineRule="auto"/>
              <w:rPr>
                <w:rFonts w:ascii="Arial"/>
                <w:sz w:val="21"/>
              </w:rPr>
            </w:pPr>
          </w:p>
          <w:p w14:paraId="3B686B6A">
            <w:pPr>
              <w:pStyle w:val="11"/>
              <w:spacing w:before="68" w:line="221" w:lineRule="auto"/>
              <w:ind w:left="229"/>
            </w:pPr>
            <w:r>
              <w:rPr>
                <w:spacing w:val="-1"/>
              </w:rPr>
              <w:t>生产能力</w:t>
            </w:r>
          </w:p>
        </w:tc>
        <w:tc>
          <w:tcPr>
            <w:tcW w:w="1007" w:type="dxa"/>
            <w:tcBorders>
              <w:top w:val="single" w:color="000000" w:sz="10" w:space="0"/>
              <w:right w:val="single" w:color="000000" w:sz="10" w:space="0"/>
            </w:tcBorders>
            <w:vAlign w:val="top"/>
          </w:tcPr>
          <w:p w14:paraId="31BEB399">
            <w:pPr>
              <w:spacing w:line="328" w:lineRule="auto"/>
              <w:rPr>
                <w:rFonts w:ascii="Arial"/>
                <w:sz w:val="21"/>
              </w:rPr>
            </w:pPr>
          </w:p>
          <w:p w14:paraId="26615355">
            <w:pPr>
              <w:pStyle w:val="11"/>
              <w:spacing w:before="68" w:line="222" w:lineRule="auto"/>
              <w:ind w:left="305"/>
            </w:pPr>
            <w:r>
              <w:rPr>
                <w:spacing w:val="-3"/>
              </w:rPr>
              <w:t>备注</w:t>
            </w:r>
          </w:p>
        </w:tc>
      </w:tr>
      <w:tr w14:paraId="5F56E0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8" w:hRule="atLeast"/>
        </w:trPr>
        <w:tc>
          <w:tcPr>
            <w:tcW w:w="749" w:type="dxa"/>
            <w:tcBorders>
              <w:left w:val="single" w:color="000000" w:sz="10" w:space="0"/>
            </w:tcBorders>
            <w:vAlign w:val="top"/>
          </w:tcPr>
          <w:p w14:paraId="58FDC25F">
            <w:pPr>
              <w:rPr>
                <w:rFonts w:ascii="Arial"/>
                <w:sz w:val="21"/>
              </w:rPr>
            </w:pPr>
          </w:p>
        </w:tc>
        <w:tc>
          <w:tcPr>
            <w:tcW w:w="1412" w:type="dxa"/>
            <w:vAlign w:val="top"/>
          </w:tcPr>
          <w:p w14:paraId="2EF64041">
            <w:pPr>
              <w:rPr>
                <w:rFonts w:ascii="Arial"/>
                <w:sz w:val="21"/>
              </w:rPr>
            </w:pPr>
          </w:p>
        </w:tc>
        <w:tc>
          <w:tcPr>
            <w:tcW w:w="848" w:type="dxa"/>
            <w:vAlign w:val="top"/>
          </w:tcPr>
          <w:p w14:paraId="7EC94B2C">
            <w:pPr>
              <w:rPr>
                <w:rFonts w:ascii="Arial"/>
                <w:sz w:val="21"/>
              </w:rPr>
            </w:pPr>
          </w:p>
        </w:tc>
        <w:tc>
          <w:tcPr>
            <w:tcW w:w="708" w:type="dxa"/>
            <w:vAlign w:val="top"/>
          </w:tcPr>
          <w:p w14:paraId="7A7DE71F">
            <w:pPr>
              <w:rPr>
                <w:rFonts w:ascii="Arial"/>
                <w:sz w:val="21"/>
              </w:rPr>
            </w:pPr>
          </w:p>
        </w:tc>
        <w:tc>
          <w:tcPr>
            <w:tcW w:w="848" w:type="dxa"/>
            <w:vAlign w:val="top"/>
          </w:tcPr>
          <w:p w14:paraId="17E926F2">
            <w:pPr>
              <w:rPr>
                <w:rFonts w:ascii="Arial"/>
                <w:sz w:val="21"/>
              </w:rPr>
            </w:pPr>
          </w:p>
        </w:tc>
        <w:tc>
          <w:tcPr>
            <w:tcW w:w="848" w:type="dxa"/>
            <w:vAlign w:val="top"/>
          </w:tcPr>
          <w:p w14:paraId="57F121ED">
            <w:pPr>
              <w:rPr>
                <w:rFonts w:ascii="Arial"/>
                <w:sz w:val="21"/>
              </w:rPr>
            </w:pPr>
          </w:p>
        </w:tc>
        <w:tc>
          <w:tcPr>
            <w:tcW w:w="1274" w:type="dxa"/>
            <w:vAlign w:val="top"/>
          </w:tcPr>
          <w:p w14:paraId="26476D9D">
            <w:pPr>
              <w:rPr>
                <w:rFonts w:ascii="Arial"/>
                <w:sz w:val="21"/>
              </w:rPr>
            </w:pPr>
          </w:p>
        </w:tc>
        <w:tc>
          <w:tcPr>
            <w:tcW w:w="1274" w:type="dxa"/>
            <w:vAlign w:val="top"/>
          </w:tcPr>
          <w:p w14:paraId="5CF63254">
            <w:pPr>
              <w:rPr>
                <w:rFonts w:ascii="Arial"/>
                <w:sz w:val="21"/>
              </w:rPr>
            </w:pPr>
          </w:p>
        </w:tc>
        <w:tc>
          <w:tcPr>
            <w:tcW w:w="1007" w:type="dxa"/>
            <w:tcBorders>
              <w:right w:val="single" w:color="000000" w:sz="10" w:space="0"/>
            </w:tcBorders>
            <w:vAlign w:val="top"/>
          </w:tcPr>
          <w:p w14:paraId="049E4BD4">
            <w:pPr>
              <w:rPr>
                <w:rFonts w:ascii="Arial"/>
                <w:sz w:val="21"/>
              </w:rPr>
            </w:pPr>
          </w:p>
        </w:tc>
      </w:tr>
      <w:tr w14:paraId="533F57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5" w:hRule="atLeast"/>
        </w:trPr>
        <w:tc>
          <w:tcPr>
            <w:tcW w:w="749" w:type="dxa"/>
            <w:tcBorders>
              <w:left w:val="single" w:color="000000" w:sz="10" w:space="0"/>
            </w:tcBorders>
            <w:vAlign w:val="top"/>
          </w:tcPr>
          <w:p w14:paraId="19DA637C">
            <w:pPr>
              <w:rPr>
                <w:rFonts w:ascii="Arial"/>
                <w:sz w:val="21"/>
              </w:rPr>
            </w:pPr>
          </w:p>
        </w:tc>
        <w:tc>
          <w:tcPr>
            <w:tcW w:w="1412" w:type="dxa"/>
            <w:vAlign w:val="top"/>
          </w:tcPr>
          <w:p w14:paraId="243702B4">
            <w:pPr>
              <w:rPr>
                <w:rFonts w:ascii="Arial"/>
                <w:sz w:val="21"/>
              </w:rPr>
            </w:pPr>
          </w:p>
        </w:tc>
        <w:tc>
          <w:tcPr>
            <w:tcW w:w="848" w:type="dxa"/>
            <w:vAlign w:val="top"/>
          </w:tcPr>
          <w:p w14:paraId="7A66916B">
            <w:pPr>
              <w:rPr>
                <w:rFonts w:ascii="Arial"/>
                <w:sz w:val="21"/>
              </w:rPr>
            </w:pPr>
          </w:p>
        </w:tc>
        <w:tc>
          <w:tcPr>
            <w:tcW w:w="708" w:type="dxa"/>
            <w:vAlign w:val="top"/>
          </w:tcPr>
          <w:p w14:paraId="2604616E">
            <w:pPr>
              <w:rPr>
                <w:rFonts w:ascii="Arial"/>
                <w:sz w:val="21"/>
              </w:rPr>
            </w:pPr>
          </w:p>
        </w:tc>
        <w:tc>
          <w:tcPr>
            <w:tcW w:w="848" w:type="dxa"/>
            <w:vAlign w:val="top"/>
          </w:tcPr>
          <w:p w14:paraId="2A02EB5D">
            <w:pPr>
              <w:rPr>
                <w:rFonts w:ascii="Arial"/>
                <w:sz w:val="21"/>
              </w:rPr>
            </w:pPr>
          </w:p>
        </w:tc>
        <w:tc>
          <w:tcPr>
            <w:tcW w:w="848" w:type="dxa"/>
            <w:vAlign w:val="top"/>
          </w:tcPr>
          <w:p w14:paraId="535BEDD1">
            <w:pPr>
              <w:rPr>
                <w:rFonts w:ascii="Arial"/>
                <w:sz w:val="21"/>
              </w:rPr>
            </w:pPr>
          </w:p>
        </w:tc>
        <w:tc>
          <w:tcPr>
            <w:tcW w:w="1274" w:type="dxa"/>
            <w:vAlign w:val="top"/>
          </w:tcPr>
          <w:p w14:paraId="5881972D">
            <w:pPr>
              <w:rPr>
                <w:rFonts w:ascii="Arial"/>
                <w:sz w:val="21"/>
              </w:rPr>
            </w:pPr>
          </w:p>
        </w:tc>
        <w:tc>
          <w:tcPr>
            <w:tcW w:w="1274" w:type="dxa"/>
            <w:vAlign w:val="top"/>
          </w:tcPr>
          <w:p w14:paraId="5E89E038">
            <w:pPr>
              <w:rPr>
                <w:rFonts w:ascii="Arial"/>
                <w:sz w:val="21"/>
              </w:rPr>
            </w:pPr>
          </w:p>
        </w:tc>
        <w:tc>
          <w:tcPr>
            <w:tcW w:w="1007" w:type="dxa"/>
            <w:tcBorders>
              <w:right w:val="single" w:color="000000" w:sz="10" w:space="0"/>
            </w:tcBorders>
            <w:vAlign w:val="top"/>
          </w:tcPr>
          <w:p w14:paraId="72652F5B">
            <w:pPr>
              <w:rPr>
                <w:rFonts w:ascii="Arial"/>
                <w:sz w:val="21"/>
              </w:rPr>
            </w:pPr>
          </w:p>
        </w:tc>
      </w:tr>
      <w:tr w14:paraId="1DBC53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9" w:hRule="atLeast"/>
        </w:trPr>
        <w:tc>
          <w:tcPr>
            <w:tcW w:w="749" w:type="dxa"/>
            <w:tcBorders>
              <w:left w:val="single" w:color="000000" w:sz="10" w:space="0"/>
            </w:tcBorders>
            <w:vAlign w:val="top"/>
          </w:tcPr>
          <w:p w14:paraId="64599EDA">
            <w:pPr>
              <w:rPr>
                <w:rFonts w:ascii="Arial"/>
                <w:sz w:val="21"/>
              </w:rPr>
            </w:pPr>
          </w:p>
        </w:tc>
        <w:tc>
          <w:tcPr>
            <w:tcW w:w="1412" w:type="dxa"/>
            <w:vAlign w:val="top"/>
          </w:tcPr>
          <w:p w14:paraId="62D4607C">
            <w:pPr>
              <w:rPr>
                <w:rFonts w:ascii="Arial"/>
                <w:sz w:val="21"/>
              </w:rPr>
            </w:pPr>
          </w:p>
        </w:tc>
        <w:tc>
          <w:tcPr>
            <w:tcW w:w="848" w:type="dxa"/>
            <w:vAlign w:val="top"/>
          </w:tcPr>
          <w:p w14:paraId="54C60A17">
            <w:pPr>
              <w:rPr>
                <w:rFonts w:ascii="Arial"/>
                <w:sz w:val="21"/>
              </w:rPr>
            </w:pPr>
          </w:p>
        </w:tc>
        <w:tc>
          <w:tcPr>
            <w:tcW w:w="708" w:type="dxa"/>
            <w:vAlign w:val="top"/>
          </w:tcPr>
          <w:p w14:paraId="10B690AF">
            <w:pPr>
              <w:rPr>
                <w:rFonts w:ascii="Arial"/>
                <w:sz w:val="21"/>
              </w:rPr>
            </w:pPr>
          </w:p>
        </w:tc>
        <w:tc>
          <w:tcPr>
            <w:tcW w:w="848" w:type="dxa"/>
            <w:vAlign w:val="top"/>
          </w:tcPr>
          <w:p w14:paraId="2D905420">
            <w:pPr>
              <w:rPr>
                <w:rFonts w:ascii="Arial"/>
                <w:sz w:val="21"/>
              </w:rPr>
            </w:pPr>
          </w:p>
        </w:tc>
        <w:tc>
          <w:tcPr>
            <w:tcW w:w="848" w:type="dxa"/>
            <w:vAlign w:val="top"/>
          </w:tcPr>
          <w:p w14:paraId="40AF8EB6">
            <w:pPr>
              <w:rPr>
                <w:rFonts w:ascii="Arial"/>
                <w:sz w:val="21"/>
              </w:rPr>
            </w:pPr>
          </w:p>
        </w:tc>
        <w:tc>
          <w:tcPr>
            <w:tcW w:w="1274" w:type="dxa"/>
            <w:vAlign w:val="top"/>
          </w:tcPr>
          <w:p w14:paraId="28EBBDDE">
            <w:pPr>
              <w:rPr>
                <w:rFonts w:ascii="Arial"/>
                <w:sz w:val="21"/>
              </w:rPr>
            </w:pPr>
          </w:p>
        </w:tc>
        <w:tc>
          <w:tcPr>
            <w:tcW w:w="1274" w:type="dxa"/>
            <w:vAlign w:val="top"/>
          </w:tcPr>
          <w:p w14:paraId="5658F332">
            <w:pPr>
              <w:rPr>
                <w:rFonts w:ascii="Arial"/>
                <w:sz w:val="21"/>
              </w:rPr>
            </w:pPr>
          </w:p>
        </w:tc>
        <w:tc>
          <w:tcPr>
            <w:tcW w:w="1007" w:type="dxa"/>
            <w:tcBorders>
              <w:right w:val="single" w:color="000000" w:sz="10" w:space="0"/>
            </w:tcBorders>
            <w:vAlign w:val="top"/>
          </w:tcPr>
          <w:p w14:paraId="34F07879">
            <w:pPr>
              <w:rPr>
                <w:rFonts w:ascii="Arial"/>
                <w:sz w:val="21"/>
              </w:rPr>
            </w:pPr>
          </w:p>
        </w:tc>
      </w:tr>
      <w:tr w14:paraId="3C7B68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0" w:hRule="atLeast"/>
        </w:trPr>
        <w:tc>
          <w:tcPr>
            <w:tcW w:w="749" w:type="dxa"/>
            <w:tcBorders>
              <w:left w:val="single" w:color="000000" w:sz="10" w:space="0"/>
            </w:tcBorders>
            <w:vAlign w:val="top"/>
          </w:tcPr>
          <w:p w14:paraId="0B9954EE">
            <w:pPr>
              <w:rPr>
                <w:rFonts w:ascii="Arial"/>
                <w:sz w:val="21"/>
              </w:rPr>
            </w:pPr>
          </w:p>
        </w:tc>
        <w:tc>
          <w:tcPr>
            <w:tcW w:w="1412" w:type="dxa"/>
            <w:vAlign w:val="top"/>
          </w:tcPr>
          <w:p w14:paraId="09A7880C">
            <w:pPr>
              <w:rPr>
                <w:rFonts w:ascii="Arial"/>
                <w:sz w:val="21"/>
              </w:rPr>
            </w:pPr>
          </w:p>
        </w:tc>
        <w:tc>
          <w:tcPr>
            <w:tcW w:w="848" w:type="dxa"/>
            <w:vAlign w:val="top"/>
          </w:tcPr>
          <w:p w14:paraId="5E77A8BD">
            <w:pPr>
              <w:rPr>
                <w:rFonts w:ascii="Arial"/>
                <w:sz w:val="21"/>
              </w:rPr>
            </w:pPr>
          </w:p>
        </w:tc>
        <w:tc>
          <w:tcPr>
            <w:tcW w:w="708" w:type="dxa"/>
            <w:vAlign w:val="top"/>
          </w:tcPr>
          <w:p w14:paraId="7AA11C8C">
            <w:pPr>
              <w:rPr>
                <w:rFonts w:ascii="Arial"/>
                <w:sz w:val="21"/>
              </w:rPr>
            </w:pPr>
          </w:p>
        </w:tc>
        <w:tc>
          <w:tcPr>
            <w:tcW w:w="848" w:type="dxa"/>
            <w:vAlign w:val="top"/>
          </w:tcPr>
          <w:p w14:paraId="1BF65A59">
            <w:pPr>
              <w:rPr>
                <w:rFonts w:ascii="Arial"/>
                <w:sz w:val="21"/>
              </w:rPr>
            </w:pPr>
          </w:p>
        </w:tc>
        <w:tc>
          <w:tcPr>
            <w:tcW w:w="848" w:type="dxa"/>
            <w:vAlign w:val="top"/>
          </w:tcPr>
          <w:p w14:paraId="6A1F3DBB">
            <w:pPr>
              <w:rPr>
                <w:rFonts w:ascii="Arial"/>
                <w:sz w:val="21"/>
              </w:rPr>
            </w:pPr>
          </w:p>
        </w:tc>
        <w:tc>
          <w:tcPr>
            <w:tcW w:w="1274" w:type="dxa"/>
            <w:vAlign w:val="top"/>
          </w:tcPr>
          <w:p w14:paraId="695CFF3C">
            <w:pPr>
              <w:rPr>
                <w:rFonts w:ascii="Arial"/>
                <w:sz w:val="21"/>
              </w:rPr>
            </w:pPr>
          </w:p>
        </w:tc>
        <w:tc>
          <w:tcPr>
            <w:tcW w:w="1274" w:type="dxa"/>
            <w:vAlign w:val="top"/>
          </w:tcPr>
          <w:p w14:paraId="4CF45AEF">
            <w:pPr>
              <w:rPr>
                <w:rFonts w:ascii="Arial"/>
                <w:sz w:val="21"/>
              </w:rPr>
            </w:pPr>
          </w:p>
        </w:tc>
        <w:tc>
          <w:tcPr>
            <w:tcW w:w="1007" w:type="dxa"/>
            <w:tcBorders>
              <w:right w:val="single" w:color="000000" w:sz="10" w:space="0"/>
            </w:tcBorders>
            <w:vAlign w:val="top"/>
          </w:tcPr>
          <w:p w14:paraId="67903FCC">
            <w:pPr>
              <w:rPr>
                <w:rFonts w:ascii="Arial"/>
                <w:sz w:val="21"/>
              </w:rPr>
            </w:pPr>
          </w:p>
        </w:tc>
      </w:tr>
      <w:tr w14:paraId="388186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0" w:hRule="atLeast"/>
        </w:trPr>
        <w:tc>
          <w:tcPr>
            <w:tcW w:w="749" w:type="dxa"/>
            <w:tcBorders>
              <w:left w:val="single" w:color="000000" w:sz="10" w:space="0"/>
            </w:tcBorders>
            <w:vAlign w:val="top"/>
          </w:tcPr>
          <w:p w14:paraId="2E7A43F5">
            <w:pPr>
              <w:rPr>
                <w:rFonts w:ascii="Arial"/>
                <w:sz w:val="21"/>
              </w:rPr>
            </w:pPr>
          </w:p>
        </w:tc>
        <w:tc>
          <w:tcPr>
            <w:tcW w:w="1412" w:type="dxa"/>
            <w:vAlign w:val="top"/>
          </w:tcPr>
          <w:p w14:paraId="330619E1">
            <w:pPr>
              <w:rPr>
                <w:rFonts w:ascii="Arial"/>
                <w:sz w:val="21"/>
              </w:rPr>
            </w:pPr>
          </w:p>
        </w:tc>
        <w:tc>
          <w:tcPr>
            <w:tcW w:w="848" w:type="dxa"/>
            <w:vAlign w:val="top"/>
          </w:tcPr>
          <w:p w14:paraId="7EF4AF90">
            <w:pPr>
              <w:rPr>
                <w:rFonts w:ascii="Arial"/>
                <w:sz w:val="21"/>
              </w:rPr>
            </w:pPr>
          </w:p>
        </w:tc>
        <w:tc>
          <w:tcPr>
            <w:tcW w:w="708" w:type="dxa"/>
            <w:vAlign w:val="top"/>
          </w:tcPr>
          <w:p w14:paraId="1B1B265B">
            <w:pPr>
              <w:rPr>
                <w:rFonts w:ascii="Arial"/>
                <w:sz w:val="21"/>
              </w:rPr>
            </w:pPr>
          </w:p>
        </w:tc>
        <w:tc>
          <w:tcPr>
            <w:tcW w:w="848" w:type="dxa"/>
            <w:vAlign w:val="top"/>
          </w:tcPr>
          <w:p w14:paraId="3FEC1EF1">
            <w:pPr>
              <w:rPr>
                <w:rFonts w:ascii="Arial"/>
                <w:sz w:val="21"/>
              </w:rPr>
            </w:pPr>
          </w:p>
        </w:tc>
        <w:tc>
          <w:tcPr>
            <w:tcW w:w="848" w:type="dxa"/>
            <w:vAlign w:val="top"/>
          </w:tcPr>
          <w:p w14:paraId="23A5F836">
            <w:pPr>
              <w:rPr>
                <w:rFonts w:ascii="Arial"/>
                <w:sz w:val="21"/>
              </w:rPr>
            </w:pPr>
          </w:p>
        </w:tc>
        <w:tc>
          <w:tcPr>
            <w:tcW w:w="1274" w:type="dxa"/>
            <w:vAlign w:val="top"/>
          </w:tcPr>
          <w:p w14:paraId="4F7A30D0">
            <w:pPr>
              <w:rPr>
                <w:rFonts w:ascii="Arial"/>
                <w:sz w:val="21"/>
              </w:rPr>
            </w:pPr>
          </w:p>
        </w:tc>
        <w:tc>
          <w:tcPr>
            <w:tcW w:w="1274" w:type="dxa"/>
            <w:vAlign w:val="top"/>
          </w:tcPr>
          <w:p w14:paraId="25CE9DEB">
            <w:pPr>
              <w:rPr>
                <w:rFonts w:ascii="Arial"/>
                <w:sz w:val="21"/>
              </w:rPr>
            </w:pPr>
          </w:p>
        </w:tc>
        <w:tc>
          <w:tcPr>
            <w:tcW w:w="1007" w:type="dxa"/>
            <w:tcBorders>
              <w:right w:val="single" w:color="000000" w:sz="10" w:space="0"/>
            </w:tcBorders>
            <w:vAlign w:val="top"/>
          </w:tcPr>
          <w:p w14:paraId="2678D1A7">
            <w:pPr>
              <w:rPr>
                <w:rFonts w:ascii="Arial"/>
                <w:sz w:val="21"/>
              </w:rPr>
            </w:pPr>
          </w:p>
        </w:tc>
      </w:tr>
      <w:tr w14:paraId="7870E3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4" w:hRule="atLeast"/>
        </w:trPr>
        <w:tc>
          <w:tcPr>
            <w:tcW w:w="749" w:type="dxa"/>
            <w:tcBorders>
              <w:left w:val="single" w:color="000000" w:sz="10" w:space="0"/>
            </w:tcBorders>
            <w:vAlign w:val="top"/>
          </w:tcPr>
          <w:p w14:paraId="30145CAC">
            <w:pPr>
              <w:rPr>
                <w:rFonts w:ascii="Arial"/>
                <w:sz w:val="21"/>
              </w:rPr>
            </w:pPr>
          </w:p>
        </w:tc>
        <w:tc>
          <w:tcPr>
            <w:tcW w:w="1412" w:type="dxa"/>
            <w:vAlign w:val="top"/>
          </w:tcPr>
          <w:p w14:paraId="08DD6286">
            <w:pPr>
              <w:rPr>
                <w:rFonts w:ascii="Arial"/>
                <w:sz w:val="21"/>
              </w:rPr>
            </w:pPr>
          </w:p>
        </w:tc>
        <w:tc>
          <w:tcPr>
            <w:tcW w:w="848" w:type="dxa"/>
            <w:vAlign w:val="top"/>
          </w:tcPr>
          <w:p w14:paraId="0D241EB4">
            <w:pPr>
              <w:rPr>
                <w:rFonts w:ascii="Arial"/>
                <w:sz w:val="21"/>
              </w:rPr>
            </w:pPr>
          </w:p>
        </w:tc>
        <w:tc>
          <w:tcPr>
            <w:tcW w:w="708" w:type="dxa"/>
            <w:vAlign w:val="top"/>
          </w:tcPr>
          <w:p w14:paraId="5357A8A9">
            <w:pPr>
              <w:rPr>
                <w:rFonts w:ascii="Arial"/>
                <w:sz w:val="21"/>
              </w:rPr>
            </w:pPr>
          </w:p>
        </w:tc>
        <w:tc>
          <w:tcPr>
            <w:tcW w:w="848" w:type="dxa"/>
            <w:vAlign w:val="top"/>
          </w:tcPr>
          <w:p w14:paraId="0571EFA7">
            <w:pPr>
              <w:rPr>
                <w:rFonts w:ascii="Arial"/>
                <w:sz w:val="21"/>
              </w:rPr>
            </w:pPr>
          </w:p>
        </w:tc>
        <w:tc>
          <w:tcPr>
            <w:tcW w:w="848" w:type="dxa"/>
            <w:vAlign w:val="top"/>
          </w:tcPr>
          <w:p w14:paraId="2314A8F0">
            <w:pPr>
              <w:rPr>
                <w:rFonts w:ascii="Arial"/>
                <w:sz w:val="21"/>
              </w:rPr>
            </w:pPr>
          </w:p>
        </w:tc>
        <w:tc>
          <w:tcPr>
            <w:tcW w:w="1274" w:type="dxa"/>
            <w:vAlign w:val="top"/>
          </w:tcPr>
          <w:p w14:paraId="28F12E62">
            <w:pPr>
              <w:rPr>
                <w:rFonts w:ascii="Arial"/>
                <w:sz w:val="21"/>
              </w:rPr>
            </w:pPr>
          </w:p>
        </w:tc>
        <w:tc>
          <w:tcPr>
            <w:tcW w:w="1274" w:type="dxa"/>
            <w:vAlign w:val="top"/>
          </w:tcPr>
          <w:p w14:paraId="6A5ADE17">
            <w:pPr>
              <w:rPr>
                <w:rFonts w:ascii="Arial"/>
                <w:sz w:val="21"/>
              </w:rPr>
            </w:pPr>
          </w:p>
        </w:tc>
        <w:tc>
          <w:tcPr>
            <w:tcW w:w="1007" w:type="dxa"/>
            <w:tcBorders>
              <w:right w:val="single" w:color="000000" w:sz="10" w:space="0"/>
            </w:tcBorders>
            <w:vAlign w:val="top"/>
          </w:tcPr>
          <w:p w14:paraId="54457C19">
            <w:pPr>
              <w:rPr>
                <w:rFonts w:ascii="Arial"/>
                <w:sz w:val="21"/>
              </w:rPr>
            </w:pPr>
          </w:p>
        </w:tc>
      </w:tr>
      <w:tr w14:paraId="7B1D02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0" w:hRule="atLeast"/>
        </w:trPr>
        <w:tc>
          <w:tcPr>
            <w:tcW w:w="749" w:type="dxa"/>
            <w:tcBorders>
              <w:left w:val="single" w:color="000000" w:sz="10" w:space="0"/>
            </w:tcBorders>
            <w:vAlign w:val="top"/>
          </w:tcPr>
          <w:p w14:paraId="790A7B68">
            <w:pPr>
              <w:rPr>
                <w:rFonts w:ascii="Arial"/>
                <w:sz w:val="21"/>
              </w:rPr>
            </w:pPr>
          </w:p>
        </w:tc>
        <w:tc>
          <w:tcPr>
            <w:tcW w:w="1412" w:type="dxa"/>
            <w:vAlign w:val="top"/>
          </w:tcPr>
          <w:p w14:paraId="5FDA771A">
            <w:pPr>
              <w:rPr>
                <w:rFonts w:ascii="Arial"/>
                <w:sz w:val="21"/>
              </w:rPr>
            </w:pPr>
          </w:p>
        </w:tc>
        <w:tc>
          <w:tcPr>
            <w:tcW w:w="848" w:type="dxa"/>
            <w:vAlign w:val="top"/>
          </w:tcPr>
          <w:p w14:paraId="22C353B4">
            <w:pPr>
              <w:rPr>
                <w:rFonts w:ascii="Arial"/>
                <w:sz w:val="21"/>
              </w:rPr>
            </w:pPr>
          </w:p>
        </w:tc>
        <w:tc>
          <w:tcPr>
            <w:tcW w:w="708" w:type="dxa"/>
            <w:vAlign w:val="top"/>
          </w:tcPr>
          <w:p w14:paraId="2053421B">
            <w:pPr>
              <w:rPr>
                <w:rFonts w:ascii="Arial"/>
                <w:sz w:val="21"/>
              </w:rPr>
            </w:pPr>
          </w:p>
        </w:tc>
        <w:tc>
          <w:tcPr>
            <w:tcW w:w="848" w:type="dxa"/>
            <w:vAlign w:val="top"/>
          </w:tcPr>
          <w:p w14:paraId="54A3D0F7">
            <w:pPr>
              <w:rPr>
                <w:rFonts w:ascii="Arial"/>
                <w:sz w:val="21"/>
              </w:rPr>
            </w:pPr>
          </w:p>
        </w:tc>
        <w:tc>
          <w:tcPr>
            <w:tcW w:w="848" w:type="dxa"/>
            <w:vAlign w:val="top"/>
          </w:tcPr>
          <w:p w14:paraId="04751B56">
            <w:pPr>
              <w:rPr>
                <w:rFonts w:ascii="Arial"/>
                <w:sz w:val="21"/>
              </w:rPr>
            </w:pPr>
          </w:p>
        </w:tc>
        <w:tc>
          <w:tcPr>
            <w:tcW w:w="1274" w:type="dxa"/>
            <w:vAlign w:val="top"/>
          </w:tcPr>
          <w:p w14:paraId="51E70C59">
            <w:pPr>
              <w:rPr>
                <w:rFonts w:ascii="Arial"/>
                <w:sz w:val="21"/>
              </w:rPr>
            </w:pPr>
          </w:p>
        </w:tc>
        <w:tc>
          <w:tcPr>
            <w:tcW w:w="1274" w:type="dxa"/>
            <w:vAlign w:val="top"/>
          </w:tcPr>
          <w:p w14:paraId="0E6A07D4">
            <w:pPr>
              <w:rPr>
                <w:rFonts w:ascii="Arial"/>
                <w:sz w:val="21"/>
              </w:rPr>
            </w:pPr>
          </w:p>
        </w:tc>
        <w:tc>
          <w:tcPr>
            <w:tcW w:w="1007" w:type="dxa"/>
            <w:tcBorders>
              <w:right w:val="single" w:color="000000" w:sz="10" w:space="0"/>
            </w:tcBorders>
            <w:vAlign w:val="top"/>
          </w:tcPr>
          <w:p w14:paraId="36842277">
            <w:pPr>
              <w:rPr>
                <w:rFonts w:ascii="Arial"/>
                <w:sz w:val="21"/>
              </w:rPr>
            </w:pPr>
          </w:p>
        </w:tc>
      </w:tr>
      <w:tr w14:paraId="299A51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0" w:hRule="atLeast"/>
        </w:trPr>
        <w:tc>
          <w:tcPr>
            <w:tcW w:w="749" w:type="dxa"/>
            <w:tcBorders>
              <w:left w:val="single" w:color="000000" w:sz="10" w:space="0"/>
            </w:tcBorders>
            <w:vAlign w:val="top"/>
          </w:tcPr>
          <w:p w14:paraId="0992B9DA">
            <w:pPr>
              <w:rPr>
                <w:rFonts w:ascii="Arial"/>
                <w:sz w:val="21"/>
              </w:rPr>
            </w:pPr>
          </w:p>
        </w:tc>
        <w:tc>
          <w:tcPr>
            <w:tcW w:w="1412" w:type="dxa"/>
            <w:vAlign w:val="top"/>
          </w:tcPr>
          <w:p w14:paraId="2F5D703D">
            <w:pPr>
              <w:rPr>
                <w:rFonts w:ascii="Arial"/>
                <w:sz w:val="21"/>
              </w:rPr>
            </w:pPr>
          </w:p>
        </w:tc>
        <w:tc>
          <w:tcPr>
            <w:tcW w:w="848" w:type="dxa"/>
            <w:vAlign w:val="top"/>
          </w:tcPr>
          <w:p w14:paraId="0335AB9F">
            <w:pPr>
              <w:rPr>
                <w:rFonts w:ascii="Arial"/>
                <w:sz w:val="21"/>
              </w:rPr>
            </w:pPr>
          </w:p>
        </w:tc>
        <w:tc>
          <w:tcPr>
            <w:tcW w:w="708" w:type="dxa"/>
            <w:vAlign w:val="top"/>
          </w:tcPr>
          <w:p w14:paraId="27C7E5F4">
            <w:pPr>
              <w:rPr>
                <w:rFonts w:ascii="Arial"/>
                <w:sz w:val="21"/>
              </w:rPr>
            </w:pPr>
          </w:p>
        </w:tc>
        <w:tc>
          <w:tcPr>
            <w:tcW w:w="848" w:type="dxa"/>
            <w:vAlign w:val="top"/>
          </w:tcPr>
          <w:p w14:paraId="6FB96AAC">
            <w:pPr>
              <w:rPr>
                <w:rFonts w:ascii="Arial"/>
                <w:sz w:val="21"/>
              </w:rPr>
            </w:pPr>
          </w:p>
        </w:tc>
        <w:tc>
          <w:tcPr>
            <w:tcW w:w="848" w:type="dxa"/>
            <w:vAlign w:val="top"/>
          </w:tcPr>
          <w:p w14:paraId="56F76507">
            <w:pPr>
              <w:rPr>
                <w:rFonts w:ascii="Arial"/>
                <w:sz w:val="21"/>
              </w:rPr>
            </w:pPr>
          </w:p>
        </w:tc>
        <w:tc>
          <w:tcPr>
            <w:tcW w:w="1274" w:type="dxa"/>
            <w:vAlign w:val="top"/>
          </w:tcPr>
          <w:p w14:paraId="57A5012D">
            <w:pPr>
              <w:rPr>
                <w:rFonts w:ascii="Arial"/>
                <w:sz w:val="21"/>
              </w:rPr>
            </w:pPr>
          </w:p>
        </w:tc>
        <w:tc>
          <w:tcPr>
            <w:tcW w:w="1274" w:type="dxa"/>
            <w:vAlign w:val="top"/>
          </w:tcPr>
          <w:p w14:paraId="19218670">
            <w:pPr>
              <w:rPr>
                <w:rFonts w:ascii="Arial"/>
                <w:sz w:val="21"/>
              </w:rPr>
            </w:pPr>
          </w:p>
        </w:tc>
        <w:tc>
          <w:tcPr>
            <w:tcW w:w="1007" w:type="dxa"/>
            <w:tcBorders>
              <w:right w:val="single" w:color="000000" w:sz="10" w:space="0"/>
            </w:tcBorders>
            <w:vAlign w:val="top"/>
          </w:tcPr>
          <w:p w14:paraId="655048CD">
            <w:pPr>
              <w:rPr>
                <w:rFonts w:ascii="Arial"/>
                <w:sz w:val="21"/>
              </w:rPr>
            </w:pPr>
          </w:p>
        </w:tc>
      </w:tr>
      <w:tr w14:paraId="2776BF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0" w:hRule="atLeast"/>
        </w:trPr>
        <w:tc>
          <w:tcPr>
            <w:tcW w:w="749" w:type="dxa"/>
            <w:tcBorders>
              <w:left w:val="single" w:color="000000" w:sz="10" w:space="0"/>
            </w:tcBorders>
            <w:vAlign w:val="top"/>
          </w:tcPr>
          <w:p w14:paraId="70F1F0E7">
            <w:pPr>
              <w:rPr>
                <w:rFonts w:ascii="Arial"/>
                <w:sz w:val="21"/>
              </w:rPr>
            </w:pPr>
          </w:p>
        </w:tc>
        <w:tc>
          <w:tcPr>
            <w:tcW w:w="1412" w:type="dxa"/>
            <w:vAlign w:val="top"/>
          </w:tcPr>
          <w:p w14:paraId="6441060E">
            <w:pPr>
              <w:rPr>
                <w:rFonts w:ascii="Arial"/>
                <w:sz w:val="21"/>
              </w:rPr>
            </w:pPr>
          </w:p>
        </w:tc>
        <w:tc>
          <w:tcPr>
            <w:tcW w:w="848" w:type="dxa"/>
            <w:vAlign w:val="top"/>
          </w:tcPr>
          <w:p w14:paraId="6DF96DB8">
            <w:pPr>
              <w:rPr>
                <w:rFonts w:ascii="Arial"/>
                <w:sz w:val="21"/>
              </w:rPr>
            </w:pPr>
          </w:p>
        </w:tc>
        <w:tc>
          <w:tcPr>
            <w:tcW w:w="708" w:type="dxa"/>
            <w:vAlign w:val="top"/>
          </w:tcPr>
          <w:p w14:paraId="4F16EB42">
            <w:pPr>
              <w:rPr>
                <w:rFonts w:ascii="Arial"/>
                <w:sz w:val="21"/>
              </w:rPr>
            </w:pPr>
          </w:p>
        </w:tc>
        <w:tc>
          <w:tcPr>
            <w:tcW w:w="848" w:type="dxa"/>
            <w:vAlign w:val="top"/>
          </w:tcPr>
          <w:p w14:paraId="7CAAEE76">
            <w:pPr>
              <w:rPr>
                <w:rFonts w:ascii="Arial"/>
                <w:sz w:val="21"/>
              </w:rPr>
            </w:pPr>
          </w:p>
        </w:tc>
        <w:tc>
          <w:tcPr>
            <w:tcW w:w="848" w:type="dxa"/>
            <w:vAlign w:val="top"/>
          </w:tcPr>
          <w:p w14:paraId="0E7EDA9D">
            <w:pPr>
              <w:rPr>
                <w:rFonts w:ascii="Arial"/>
                <w:sz w:val="21"/>
              </w:rPr>
            </w:pPr>
          </w:p>
        </w:tc>
        <w:tc>
          <w:tcPr>
            <w:tcW w:w="1274" w:type="dxa"/>
            <w:vAlign w:val="top"/>
          </w:tcPr>
          <w:p w14:paraId="5C4D1BCC">
            <w:pPr>
              <w:rPr>
                <w:rFonts w:ascii="Arial"/>
                <w:sz w:val="21"/>
              </w:rPr>
            </w:pPr>
          </w:p>
        </w:tc>
        <w:tc>
          <w:tcPr>
            <w:tcW w:w="1274" w:type="dxa"/>
            <w:vAlign w:val="top"/>
          </w:tcPr>
          <w:p w14:paraId="4CE6ABC9">
            <w:pPr>
              <w:rPr>
                <w:rFonts w:ascii="Arial"/>
                <w:sz w:val="21"/>
              </w:rPr>
            </w:pPr>
          </w:p>
        </w:tc>
        <w:tc>
          <w:tcPr>
            <w:tcW w:w="1007" w:type="dxa"/>
            <w:tcBorders>
              <w:right w:val="single" w:color="000000" w:sz="10" w:space="0"/>
            </w:tcBorders>
            <w:vAlign w:val="top"/>
          </w:tcPr>
          <w:p w14:paraId="701D4D02">
            <w:pPr>
              <w:rPr>
                <w:rFonts w:ascii="Arial"/>
                <w:sz w:val="21"/>
              </w:rPr>
            </w:pPr>
          </w:p>
        </w:tc>
      </w:tr>
      <w:tr w14:paraId="5D8536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4" w:hRule="atLeast"/>
        </w:trPr>
        <w:tc>
          <w:tcPr>
            <w:tcW w:w="749" w:type="dxa"/>
            <w:tcBorders>
              <w:left w:val="single" w:color="000000" w:sz="10" w:space="0"/>
            </w:tcBorders>
            <w:vAlign w:val="top"/>
          </w:tcPr>
          <w:p w14:paraId="188EB9A8">
            <w:pPr>
              <w:rPr>
                <w:rFonts w:ascii="Arial"/>
                <w:sz w:val="21"/>
              </w:rPr>
            </w:pPr>
          </w:p>
        </w:tc>
        <w:tc>
          <w:tcPr>
            <w:tcW w:w="1412" w:type="dxa"/>
            <w:vAlign w:val="top"/>
          </w:tcPr>
          <w:p w14:paraId="5F73CFDD">
            <w:pPr>
              <w:rPr>
                <w:rFonts w:ascii="Arial"/>
                <w:sz w:val="21"/>
              </w:rPr>
            </w:pPr>
          </w:p>
        </w:tc>
        <w:tc>
          <w:tcPr>
            <w:tcW w:w="848" w:type="dxa"/>
            <w:vAlign w:val="top"/>
          </w:tcPr>
          <w:p w14:paraId="00CD60E3">
            <w:pPr>
              <w:rPr>
                <w:rFonts w:ascii="Arial"/>
                <w:sz w:val="21"/>
              </w:rPr>
            </w:pPr>
          </w:p>
        </w:tc>
        <w:tc>
          <w:tcPr>
            <w:tcW w:w="708" w:type="dxa"/>
            <w:vAlign w:val="top"/>
          </w:tcPr>
          <w:p w14:paraId="2C4859A6">
            <w:pPr>
              <w:rPr>
                <w:rFonts w:ascii="Arial"/>
                <w:sz w:val="21"/>
              </w:rPr>
            </w:pPr>
          </w:p>
        </w:tc>
        <w:tc>
          <w:tcPr>
            <w:tcW w:w="848" w:type="dxa"/>
            <w:vAlign w:val="top"/>
          </w:tcPr>
          <w:p w14:paraId="048164E3">
            <w:pPr>
              <w:rPr>
                <w:rFonts w:ascii="Arial"/>
                <w:sz w:val="21"/>
              </w:rPr>
            </w:pPr>
          </w:p>
        </w:tc>
        <w:tc>
          <w:tcPr>
            <w:tcW w:w="848" w:type="dxa"/>
            <w:vAlign w:val="top"/>
          </w:tcPr>
          <w:p w14:paraId="24516DF1">
            <w:pPr>
              <w:rPr>
                <w:rFonts w:ascii="Arial"/>
                <w:sz w:val="21"/>
              </w:rPr>
            </w:pPr>
          </w:p>
        </w:tc>
        <w:tc>
          <w:tcPr>
            <w:tcW w:w="1274" w:type="dxa"/>
            <w:vAlign w:val="top"/>
          </w:tcPr>
          <w:p w14:paraId="57B69D3E">
            <w:pPr>
              <w:rPr>
                <w:rFonts w:ascii="Arial"/>
                <w:sz w:val="21"/>
              </w:rPr>
            </w:pPr>
          </w:p>
        </w:tc>
        <w:tc>
          <w:tcPr>
            <w:tcW w:w="1274" w:type="dxa"/>
            <w:vAlign w:val="top"/>
          </w:tcPr>
          <w:p w14:paraId="33E904D3">
            <w:pPr>
              <w:rPr>
                <w:rFonts w:ascii="Arial"/>
                <w:sz w:val="21"/>
              </w:rPr>
            </w:pPr>
          </w:p>
        </w:tc>
        <w:tc>
          <w:tcPr>
            <w:tcW w:w="1007" w:type="dxa"/>
            <w:tcBorders>
              <w:right w:val="single" w:color="000000" w:sz="10" w:space="0"/>
            </w:tcBorders>
            <w:vAlign w:val="top"/>
          </w:tcPr>
          <w:p w14:paraId="14108E64">
            <w:pPr>
              <w:rPr>
                <w:rFonts w:ascii="Arial"/>
                <w:sz w:val="21"/>
              </w:rPr>
            </w:pPr>
          </w:p>
        </w:tc>
      </w:tr>
      <w:tr w14:paraId="2BA7AF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0" w:hRule="atLeast"/>
        </w:trPr>
        <w:tc>
          <w:tcPr>
            <w:tcW w:w="749" w:type="dxa"/>
            <w:tcBorders>
              <w:left w:val="single" w:color="000000" w:sz="10" w:space="0"/>
            </w:tcBorders>
            <w:vAlign w:val="top"/>
          </w:tcPr>
          <w:p w14:paraId="4B69789E">
            <w:pPr>
              <w:rPr>
                <w:rFonts w:ascii="Arial"/>
                <w:sz w:val="21"/>
              </w:rPr>
            </w:pPr>
          </w:p>
        </w:tc>
        <w:tc>
          <w:tcPr>
            <w:tcW w:w="1412" w:type="dxa"/>
            <w:vAlign w:val="top"/>
          </w:tcPr>
          <w:p w14:paraId="611652F1">
            <w:pPr>
              <w:rPr>
                <w:rFonts w:ascii="Arial"/>
                <w:sz w:val="21"/>
              </w:rPr>
            </w:pPr>
          </w:p>
        </w:tc>
        <w:tc>
          <w:tcPr>
            <w:tcW w:w="848" w:type="dxa"/>
            <w:vAlign w:val="top"/>
          </w:tcPr>
          <w:p w14:paraId="2F7D9351">
            <w:pPr>
              <w:rPr>
                <w:rFonts w:ascii="Arial"/>
                <w:sz w:val="21"/>
              </w:rPr>
            </w:pPr>
          </w:p>
        </w:tc>
        <w:tc>
          <w:tcPr>
            <w:tcW w:w="708" w:type="dxa"/>
            <w:vAlign w:val="top"/>
          </w:tcPr>
          <w:p w14:paraId="1DFA07F8">
            <w:pPr>
              <w:rPr>
                <w:rFonts w:ascii="Arial"/>
                <w:sz w:val="21"/>
              </w:rPr>
            </w:pPr>
          </w:p>
        </w:tc>
        <w:tc>
          <w:tcPr>
            <w:tcW w:w="848" w:type="dxa"/>
            <w:vAlign w:val="top"/>
          </w:tcPr>
          <w:p w14:paraId="1CD9A909">
            <w:pPr>
              <w:rPr>
                <w:rFonts w:ascii="Arial"/>
                <w:sz w:val="21"/>
              </w:rPr>
            </w:pPr>
          </w:p>
        </w:tc>
        <w:tc>
          <w:tcPr>
            <w:tcW w:w="848" w:type="dxa"/>
            <w:vAlign w:val="top"/>
          </w:tcPr>
          <w:p w14:paraId="70E2200D">
            <w:pPr>
              <w:rPr>
                <w:rFonts w:ascii="Arial"/>
                <w:sz w:val="21"/>
              </w:rPr>
            </w:pPr>
          </w:p>
        </w:tc>
        <w:tc>
          <w:tcPr>
            <w:tcW w:w="1274" w:type="dxa"/>
            <w:vAlign w:val="top"/>
          </w:tcPr>
          <w:p w14:paraId="0BECE774">
            <w:pPr>
              <w:rPr>
                <w:rFonts w:ascii="Arial"/>
                <w:sz w:val="21"/>
              </w:rPr>
            </w:pPr>
          </w:p>
        </w:tc>
        <w:tc>
          <w:tcPr>
            <w:tcW w:w="1274" w:type="dxa"/>
            <w:vAlign w:val="top"/>
          </w:tcPr>
          <w:p w14:paraId="37097286">
            <w:pPr>
              <w:rPr>
                <w:rFonts w:ascii="Arial"/>
                <w:sz w:val="21"/>
              </w:rPr>
            </w:pPr>
          </w:p>
        </w:tc>
        <w:tc>
          <w:tcPr>
            <w:tcW w:w="1007" w:type="dxa"/>
            <w:tcBorders>
              <w:right w:val="single" w:color="000000" w:sz="10" w:space="0"/>
            </w:tcBorders>
            <w:vAlign w:val="top"/>
          </w:tcPr>
          <w:p w14:paraId="588B4F57">
            <w:pPr>
              <w:rPr>
                <w:rFonts w:ascii="Arial"/>
                <w:sz w:val="21"/>
              </w:rPr>
            </w:pPr>
          </w:p>
        </w:tc>
      </w:tr>
      <w:tr w14:paraId="4B45AE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0" w:hRule="atLeast"/>
        </w:trPr>
        <w:tc>
          <w:tcPr>
            <w:tcW w:w="749" w:type="dxa"/>
            <w:tcBorders>
              <w:left w:val="single" w:color="000000" w:sz="10" w:space="0"/>
            </w:tcBorders>
            <w:vAlign w:val="top"/>
          </w:tcPr>
          <w:p w14:paraId="29663A5F">
            <w:pPr>
              <w:rPr>
                <w:rFonts w:ascii="Arial"/>
                <w:sz w:val="21"/>
              </w:rPr>
            </w:pPr>
          </w:p>
        </w:tc>
        <w:tc>
          <w:tcPr>
            <w:tcW w:w="1412" w:type="dxa"/>
            <w:vAlign w:val="top"/>
          </w:tcPr>
          <w:p w14:paraId="2CFE9887">
            <w:pPr>
              <w:rPr>
                <w:rFonts w:ascii="Arial"/>
                <w:sz w:val="21"/>
              </w:rPr>
            </w:pPr>
          </w:p>
        </w:tc>
        <w:tc>
          <w:tcPr>
            <w:tcW w:w="848" w:type="dxa"/>
            <w:vAlign w:val="top"/>
          </w:tcPr>
          <w:p w14:paraId="15C6972B">
            <w:pPr>
              <w:rPr>
                <w:rFonts w:ascii="Arial"/>
                <w:sz w:val="21"/>
              </w:rPr>
            </w:pPr>
          </w:p>
        </w:tc>
        <w:tc>
          <w:tcPr>
            <w:tcW w:w="708" w:type="dxa"/>
            <w:vAlign w:val="top"/>
          </w:tcPr>
          <w:p w14:paraId="65DFB5E0">
            <w:pPr>
              <w:rPr>
                <w:rFonts w:ascii="Arial"/>
                <w:sz w:val="21"/>
              </w:rPr>
            </w:pPr>
          </w:p>
        </w:tc>
        <w:tc>
          <w:tcPr>
            <w:tcW w:w="848" w:type="dxa"/>
            <w:vAlign w:val="top"/>
          </w:tcPr>
          <w:p w14:paraId="394943E5">
            <w:pPr>
              <w:rPr>
                <w:rFonts w:ascii="Arial"/>
                <w:sz w:val="21"/>
              </w:rPr>
            </w:pPr>
          </w:p>
        </w:tc>
        <w:tc>
          <w:tcPr>
            <w:tcW w:w="848" w:type="dxa"/>
            <w:vAlign w:val="top"/>
          </w:tcPr>
          <w:p w14:paraId="74B1520E">
            <w:pPr>
              <w:rPr>
                <w:rFonts w:ascii="Arial"/>
                <w:sz w:val="21"/>
              </w:rPr>
            </w:pPr>
          </w:p>
        </w:tc>
        <w:tc>
          <w:tcPr>
            <w:tcW w:w="1274" w:type="dxa"/>
            <w:vAlign w:val="top"/>
          </w:tcPr>
          <w:p w14:paraId="1026684E">
            <w:pPr>
              <w:rPr>
                <w:rFonts w:ascii="Arial"/>
                <w:sz w:val="21"/>
              </w:rPr>
            </w:pPr>
          </w:p>
        </w:tc>
        <w:tc>
          <w:tcPr>
            <w:tcW w:w="1274" w:type="dxa"/>
            <w:vAlign w:val="top"/>
          </w:tcPr>
          <w:p w14:paraId="268FA5A2">
            <w:pPr>
              <w:rPr>
                <w:rFonts w:ascii="Arial"/>
                <w:sz w:val="21"/>
              </w:rPr>
            </w:pPr>
          </w:p>
        </w:tc>
        <w:tc>
          <w:tcPr>
            <w:tcW w:w="1007" w:type="dxa"/>
            <w:tcBorders>
              <w:right w:val="single" w:color="000000" w:sz="10" w:space="0"/>
            </w:tcBorders>
            <w:vAlign w:val="top"/>
          </w:tcPr>
          <w:p w14:paraId="4121848A">
            <w:pPr>
              <w:rPr>
                <w:rFonts w:ascii="Arial"/>
                <w:sz w:val="21"/>
              </w:rPr>
            </w:pPr>
          </w:p>
        </w:tc>
      </w:tr>
      <w:tr w14:paraId="1EC413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0" w:hRule="atLeast"/>
        </w:trPr>
        <w:tc>
          <w:tcPr>
            <w:tcW w:w="749" w:type="dxa"/>
            <w:tcBorders>
              <w:left w:val="single" w:color="000000" w:sz="10" w:space="0"/>
            </w:tcBorders>
            <w:vAlign w:val="top"/>
          </w:tcPr>
          <w:p w14:paraId="11606B2D">
            <w:pPr>
              <w:rPr>
                <w:rFonts w:ascii="Arial"/>
                <w:sz w:val="21"/>
              </w:rPr>
            </w:pPr>
          </w:p>
        </w:tc>
        <w:tc>
          <w:tcPr>
            <w:tcW w:w="1412" w:type="dxa"/>
            <w:vAlign w:val="top"/>
          </w:tcPr>
          <w:p w14:paraId="2C413B96">
            <w:pPr>
              <w:rPr>
                <w:rFonts w:ascii="Arial"/>
                <w:sz w:val="21"/>
              </w:rPr>
            </w:pPr>
          </w:p>
        </w:tc>
        <w:tc>
          <w:tcPr>
            <w:tcW w:w="848" w:type="dxa"/>
            <w:vAlign w:val="top"/>
          </w:tcPr>
          <w:p w14:paraId="36EFF0EE">
            <w:pPr>
              <w:rPr>
                <w:rFonts w:ascii="Arial"/>
                <w:sz w:val="21"/>
              </w:rPr>
            </w:pPr>
          </w:p>
        </w:tc>
        <w:tc>
          <w:tcPr>
            <w:tcW w:w="708" w:type="dxa"/>
            <w:vAlign w:val="top"/>
          </w:tcPr>
          <w:p w14:paraId="7D5BA5B1">
            <w:pPr>
              <w:rPr>
                <w:rFonts w:ascii="Arial"/>
                <w:sz w:val="21"/>
              </w:rPr>
            </w:pPr>
          </w:p>
        </w:tc>
        <w:tc>
          <w:tcPr>
            <w:tcW w:w="848" w:type="dxa"/>
            <w:vAlign w:val="top"/>
          </w:tcPr>
          <w:p w14:paraId="3540E71F">
            <w:pPr>
              <w:rPr>
                <w:rFonts w:ascii="Arial"/>
                <w:sz w:val="21"/>
              </w:rPr>
            </w:pPr>
          </w:p>
        </w:tc>
        <w:tc>
          <w:tcPr>
            <w:tcW w:w="848" w:type="dxa"/>
            <w:vAlign w:val="top"/>
          </w:tcPr>
          <w:p w14:paraId="2F72B806">
            <w:pPr>
              <w:rPr>
                <w:rFonts w:ascii="Arial"/>
                <w:sz w:val="21"/>
              </w:rPr>
            </w:pPr>
          </w:p>
        </w:tc>
        <w:tc>
          <w:tcPr>
            <w:tcW w:w="1274" w:type="dxa"/>
            <w:vAlign w:val="top"/>
          </w:tcPr>
          <w:p w14:paraId="47F0190F">
            <w:pPr>
              <w:rPr>
                <w:rFonts w:ascii="Arial"/>
                <w:sz w:val="21"/>
              </w:rPr>
            </w:pPr>
          </w:p>
        </w:tc>
        <w:tc>
          <w:tcPr>
            <w:tcW w:w="1274" w:type="dxa"/>
            <w:vAlign w:val="top"/>
          </w:tcPr>
          <w:p w14:paraId="6FF94EF5">
            <w:pPr>
              <w:rPr>
                <w:rFonts w:ascii="Arial"/>
                <w:sz w:val="21"/>
              </w:rPr>
            </w:pPr>
          </w:p>
        </w:tc>
        <w:tc>
          <w:tcPr>
            <w:tcW w:w="1007" w:type="dxa"/>
            <w:tcBorders>
              <w:right w:val="single" w:color="000000" w:sz="10" w:space="0"/>
            </w:tcBorders>
            <w:vAlign w:val="top"/>
          </w:tcPr>
          <w:p w14:paraId="2D4918C6">
            <w:pPr>
              <w:rPr>
                <w:rFonts w:ascii="Arial"/>
                <w:sz w:val="21"/>
              </w:rPr>
            </w:pPr>
          </w:p>
        </w:tc>
      </w:tr>
      <w:tr w14:paraId="2FD5D0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5" w:hRule="atLeast"/>
        </w:trPr>
        <w:tc>
          <w:tcPr>
            <w:tcW w:w="749" w:type="dxa"/>
            <w:tcBorders>
              <w:left w:val="single" w:color="000000" w:sz="10" w:space="0"/>
            </w:tcBorders>
            <w:vAlign w:val="top"/>
          </w:tcPr>
          <w:p w14:paraId="50C09A8A">
            <w:pPr>
              <w:rPr>
                <w:rFonts w:ascii="Arial"/>
                <w:sz w:val="21"/>
              </w:rPr>
            </w:pPr>
          </w:p>
        </w:tc>
        <w:tc>
          <w:tcPr>
            <w:tcW w:w="1412" w:type="dxa"/>
            <w:vAlign w:val="top"/>
          </w:tcPr>
          <w:p w14:paraId="277A1016">
            <w:pPr>
              <w:rPr>
                <w:rFonts w:ascii="Arial"/>
                <w:sz w:val="21"/>
              </w:rPr>
            </w:pPr>
          </w:p>
        </w:tc>
        <w:tc>
          <w:tcPr>
            <w:tcW w:w="848" w:type="dxa"/>
            <w:vAlign w:val="top"/>
          </w:tcPr>
          <w:p w14:paraId="28F083E1">
            <w:pPr>
              <w:rPr>
                <w:rFonts w:ascii="Arial"/>
                <w:sz w:val="21"/>
              </w:rPr>
            </w:pPr>
          </w:p>
        </w:tc>
        <w:tc>
          <w:tcPr>
            <w:tcW w:w="708" w:type="dxa"/>
            <w:vAlign w:val="top"/>
          </w:tcPr>
          <w:p w14:paraId="6A27FB5D">
            <w:pPr>
              <w:rPr>
                <w:rFonts w:ascii="Arial"/>
                <w:sz w:val="21"/>
              </w:rPr>
            </w:pPr>
          </w:p>
        </w:tc>
        <w:tc>
          <w:tcPr>
            <w:tcW w:w="848" w:type="dxa"/>
            <w:vAlign w:val="top"/>
          </w:tcPr>
          <w:p w14:paraId="5E406F72">
            <w:pPr>
              <w:rPr>
                <w:rFonts w:ascii="Arial"/>
                <w:sz w:val="21"/>
              </w:rPr>
            </w:pPr>
          </w:p>
        </w:tc>
        <w:tc>
          <w:tcPr>
            <w:tcW w:w="848" w:type="dxa"/>
            <w:vAlign w:val="top"/>
          </w:tcPr>
          <w:p w14:paraId="7CE777BC">
            <w:pPr>
              <w:rPr>
                <w:rFonts w:ascii="Arial"/>
                <w:sz w:val="21"/>
              </w:rPr>
            </w:pPr>
          </w:p>
        </w:tc>
        <w:tc>
          <w:tcPr>
            <w:tcW w:w="1274" w:type="dxa"/>
            <w:vAlign w:val="top"/>
          </w:tcPr>
          <w:p w14:paraId="7D194711">
            <w:pPr>
              <w:rPr>
                <w:rFonts w:ascii="Arial"/>
                <w:sz w:val="21"/>
              </w:rPr>
            </w:pPr>
          </w:p>
        </w:tc>
        <w:tc>
          <w:tcPr>
            <w:tcW w:w="1274" w:type="dxa"/>
            <w:vAlign w:val="top"/>
          </w:tcPr>
          <w:p w14:paraId="0ECA10A4">
            <w:pPr>
              <w:rPr>
                <w:rFonts w:ascii="Arial"/>
                <w:sz w:val="21"/>
              </w:rPr>
            </w:pPr>
          </w:p>
        </w:tc>
        <w:tc>
          <w:tcPr>
            <w:tcW w:w="1007" w:type="dxa"/>
            <w:tcBorders>
              <w:right w:val="single" w:color="000000" w:sz="10" w:space="0"/>
            </w:tcBorders>
            <w:vAlign w:val="top"/>
          </w:tcPr>
          <w:p w14:paraId="0FBF7993">
            <w:pPr>
              <w:rPr>
                <w:rFonts w:ascii="Arial"/>
                <w:sz w:val="21"/>
              </w:rPr>
            </w:pPr>
          </w:p>
        </w:tc>
      </w:tr>
      <w:tr w14:paraId="333B11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9" w:hRule="atLeast"/>
        </w:trPr>
        <w:tc>
          <w:tcPr>
            <w:tcW w:w="749" w:type="dxa"/>
            <w:tcBorders>
              <w:left w:val="single" w:color="000000" w:sz="10" w:space="0"/>
            </w:tcBorders>
            <w:vAlign w:val="top"/>
          </w:tcPr>
          <w:p w14:paraId="6D9BB986">
            <w:pPr>
              <w:rPr>
                <w:rFonts w:ascii="Arial"/>
                <w:sz w:val="21"/>
              </w:rPr>
            </w:pPr>
          </w:p>
        </w:tc>
        <w:tc>
          <w:tcPr>
            <w:tcW w:w="1412" w:type="dxa"/>
            <w:vAlign w:val="top"/>
          </w:tcPr>
          <w:p w14:paraId="2FF9274D">
            <w:pPr>
              <w:rPr>
                <w:rFonts w:ascii="Arial"/>
                <w:sz w:val="21"/>
              </w:rPr>
            </w:pPr>
          </w:p>
        </w:tc>
        <w:tc>
          <w:tcPr>
            <w:tcW w:w="848" w:type="dxa"/>
            <w:vAlign w:val="top"/>
          </w:tcPr>
          <w:p w14:paraId="4F503437">
            <w:pPr>
              <w:rPr>
                <w:rFonts w:ascii="Arial"/>
                <w:sz w:val="21"/>
              </w:rPr>
            </w:pPr>
          </w:p>
        </w:tc>
        <w:tc>
          <w:tcPr>
            <w:tcW w:w="708" w:type="dxa"/>
            <w:vAlign w:val="top"/>
          </w:tcPr>
          <w:p w14:paraId="3CC30CEF">
            <w:pPr>
              <w:rPr>
                <w:rFonts w:ascii="Arial"/>
                <w:sz w:val="21"/>
              </w:rPr>
            </w:pPr>
          </w:p>
        </w:tc>
        <w:tc>
          <w:tcPr>
            <w:tcW w:w="848" w:type="dxa"/>
            <w:vAlign w:val="top"/>
          </w:tcPr>
          <w:p w14:paraId="3241AD2C">
            <w:pPr>
              <w:rPr>
                <w:rFonts w:ascii="Arial"/>
                <w:sz w:val="21"/>
              </w:rPr>
            </w:pPr>
          </w:p>
        </w:tc>
        <w:tc>
          <w:tcPr>
            <w:tcW w:w="848" w:type="dxa"/>
            <w:vAlign w:val="top"/>
          </w:tcPr>
          <w:p w14:paraId="2EB34615">
            <w:pPr>
              <w:rPr>
                <w:rFonts w:ascii="Arial"/>
                <w:sz w:val="21"/>
              </w:rPr>
            </w:pPr>
          </w:p>
        </w:tc>
        <w:tc>
          <w:tcPr>
            <w:tcW w:w="1274" w:type="dxa"/>
            <w:vAlign w:val="top"/>
          </w:tcPr>
          <w:p w14:paraId="5B4F9EB8">
            <w:pPr>
              <w:rPr>
                <w:rFonts w:ascii="Arial"/>
                <w:sz w:val="21"/>
              </w:rPr>
            </w:pPr>
          </w:p>
        </w:tc>
        <w:tc>
          <w:tcPr>
            <w:tcW w:w="1274" w:type="dxa"/>
            <w:vAlign w:val="top"/>
          </w:tcPr>
          <w:p w14:paraId="49916729">
            <w:pPr>
              <w:rPr>
                <w:rFonts w:ascii="Arial"/>
                <w:sz w:val="21"/>
              </w:rPr>
            </w:pPr>
          </w:p>
        </w:tc>
        <w:tc>
          <w:tcPr>
            <w:tcW w:w="1007" w:type="dxa"/>
            <w:tcBorders>
              <w:right w:val="single" w:color="000000" w:sz="10" w:space="0"/>
            </w:tcBorders>
            <w:vAlign w:val="top"/>
          </w:tcPr>
          <w:p w14:paraId="05D950B7">
            <w:pPr>
              <w:rPr>
                <w:rFonts w:ascii="Arial"/>
                <w:sz w:val="21"/>
              </w:rPr>
            </w:pPr>
          </w:p>
        </w:tc>
      </w:tr>
      <w:tr w14:paraId="59FB17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0" w:hRule="atLeast"/>
        </w:trPr>
        <w:tc>
          <w:tcPr>
            <w:tcW w:w="749" w:type="dxa"/>
            <w:tcBorders>
              <w:left w:val="single" w:color="000000" w:sz="10" w:space="0"/>
            </w:tcBorders>
            <w:vAlign w:val="top"/>
          </w:tcPr>
          <w:p w14:paraId="41252C0F">
            <w:pPr>
              <w:rPr>
                <w:rFonts w:ascii="Arial"/>
                <w:sz w:val="21"/>
              </w:rPr>
            </w:pPr>
          </w:p>
        </w:tc>
        <w:tc>
          <w:tcPr>
            <w:tcW w:w="1412" w:type="dxa"/>
            <w:vAlign w:val="top"/>
          </w:tcPr>
          <w:p w14:paraId="7633C930">
            <w:pPr>
              <w:rPr>
                <w:rFonts w:ascii="Arial"/>
                <w:sz w:val="21"/>
              </w:rPr>
            </w:pPr>
          </w:p>
        </w:tc>
        <w:tc>
          <w:tcPr>
            <w:tcW w:w="848" w:type="dxa"/>
            <w:vAlign w:val="top"/>
          </w:tcPr>
          <w:p w14:paraId="5972C74E">
            <w:pPr>
              <w:rPr>
                <w:rFonts w:ascii="Arial"/>
                <w:sz w:val="21"/>
              </w:rPr>
            </w:pPr>
          </w:p>
        </w:tc>
        <w:tc>
          <w:tcPr>
            <w:tcW w:w="708" w:type="dxa"/>
            <w:vAlign w:val="top"/>
          </w:tcPr>
          <w:p w14:paraId="05A33BD9">
            <w:pPr>
              <w:rPr>
                <w:rFonts w:ascii="Arial"/>
                <w:sz w:val="21"/>
              </w:rPr>
            </w:pPr>
          </w:p>
        </w:tc>
        <w:tc>
          <w:tcPr>
            <w:tcW w:w="848" w:type="dxa"/>
            <w:vAlign w:val="top"/>
          </w:tcPr>
          <w:p w14:paraId="16AA5E2B">
            <w:pPr>
              <w:rPr>
                <w:rFonts w:ascii="Arial"/>
                <w:sz w:val="21"/>
              </w:rPr>
            </w:pPr>
          </w:p>
        </w:tc>
        <w:tc>
          <w:tcPr>
            <w:tcW w:w="848" w:type="dxa"/>
            <w:vAlign w:val="top"/>
          </w:tcPr>
          <w:p w14:paraId="3C62638D">
            <w:pPr>
              <w:rPr>
                <w:rFonts w:ascii="Arial"/>
                <w:sz w:val="21"/>
              </w:rPr>
            </w:pPr>
          </w:p>
        </w:tc>
        <w:tc>
          <w:tcPr>
            <w:tcW w:w="1274" w:type="dxa"/>
            <w:vAlign w:val="top"/>
          </w:tcPr>
          <w:p w14:paraId="0270A3EE">
            <w:pPr>
              <w:rPr>
                <w:rFonts w:ascii="Arial"/>
                <w:sz w:val="21"/>
              </w:rPr>
            </w:pPr>
          </w:p>
        </w:tc>
        <w:tc>
          <w:tcPr>
            <w:tcW w:w="1274" w:type="dxa"/>
            <w:vAlign w:val="top"/>
          </w:tcPr>
          <w:p w14:paraId="00A0EEF1">
            <w:pPr>
              <w:rPr>
                <w:rFonts w:ascii="Arial"/>
                <w:sz w:val="21"/>
              </w:rPr>
            </w:pPr>
          </w:p>
        </w:tc>
        <w:tc>
          <w:tcPr>
            <w:tcW w:w="1007" w:type="dxa"/>
            <w:tcBorders>
              <w:right w:val="single" w:color="000000" w:sz="10" w:space="0"/>
            </w:tcBorders>
            <w:vAlign w:val="top"/>
          </w:tcPr>
          <w:p w14:paraId="2ED221D5">
            <w:pPr>
              <w:rPr>
                <w:rFonts w:ascii="Arial"/>
                <w:sz w:val="21"/>
              </w:rPr>
            </w:pPr>
          </w:p>
        </w:tc>
      </w:tr>
      <w:tr w14:paraId="0D4810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0" w:hRule="atLeast"/>
        </w:trPr>
        <w:tc>
          <w:tcPr>
            <w:tcW w:w="749" w:type="dxa"/>
            <w:tcBorders>
              <w:left w:val="single" w:color="000000" w:sz="10" w:space="0"/>
            </w:tcBorders>
            <w:vAlign w:val="top"/>
          </w:tcPr>
          <w:p w14:paraId="738CC9C8">
            <w:pPr>
              <w:rPr>
                <w:rFonts w:ascii="Arial"/>
                <w:sz w:val="21"/>
              </w:rPr>
            </w:pPr>
          </w:p>
        </w:tc>
        <w:tc>
          <w:tcPr>
            <w:tcW w:w="1412" w:type="dxa"/>
            <w:vAlign w:val="top"/>
          </w:tcPr>
          <w:p w14:paraId="78EBA460">
            <w:pPr>
              <w:rPr>
                <w:rFonts w:ascii="Arial"/>
                <w:sz w:val="21"/>
              </w:rPr>
            </w:pPr>
          </w:p>
        </w:tc>
        <w:tc>
          <w:tcPr>
            <w:tcW w:w="848" w:type="dxa"/>
            <w:vAlign w:val="top"/>
          </w:tcPr>
          <w:p w14:paraId="068AE7A6">
            <w:pPr>
              <w:rPr>
                <w:rFonts w:ascii="Arial"/>
                <w:sz w:val="21"/>
              </w:rPr>
            </w:pPr>
          </w:p>
        </w:tc>
        <w:tc>
          <w:tcPr>
            <w:tcW w:w="708" w:type="dxa"/>
            <w:vAlign w:val="top"/>
          </w:tcPr>
          <w:p w14:paraId="79001F1B">
            <w:pPr>
              <w:rPr>
                <w:rFonts w:ascii="Arial"/>
                <w:sz w:val="21"/>
              </w:rPr>
            </w:pPr>
          </w:p>
        </w:tc>
        <w:tc>
          <w:tcPr>
            <w:tcW w:w="848" w:type="dxa"/>
            <w:vAlign w:val="top"/>
          </w:tcPr>
          <w:p w14:paraId="534EE9CD">
            <w:pPr>
              <w:rPr>
                <w:rFonts w:ascii="Arial"/>
                <w:sz w:val="21"/>
              </w:rPr>
            </w:pPr>
          </w:p>
        </w:tc>
        <w:tc>
          <w:tcPr>
            <w:tcW w:w="848" w:type="dxa"/>
            <w:vAlign w:val="top"/>
          </w:tcPr>
          <w:p w14:paraId="1D4A61A3">
            <w:pPr>
              <w:rPr>
                <w:rFonts w:ascii="Arial"/>
                <w:sz w:val="21"/>
              </w:rPr>
            </w:pPr>
          </w:p>
        </w:tc>
        <w:tc>
          <w:tcPr>
            <w:tcW w:w="1274" w:type="dxa"/>
            <w:vAlign w:val="top"/>
          </w:tcPr>
          <w:p w14:paraId="038E3C82">
            <w:pPr>
              <w:rPr>
                <w:rFonts w:ascii="Arial"/>
                <w:sz w:val="21"/>
              </w:rPr>
            </w:pPr>
          </w:p>
        </w:tc>
        <w:tc>
          <w:tcPr>
            <w:tcW w:w="1274" w:type="dxa"/>
            <w:vAlign w:val="top"/>
          </w:tcPr>
          <w:p w14:paraId="73ED33A4">
            <w:pPr>
              <w:rPr>
                <w:rFonts w:ascii="Arial"/>
                <w:sz w:val="21"/>
              </w:rPr>
            </w:pPr>
          </w:p>
        </w:tc>
        <w:tc>
          <w:tcPr>
            <w:tcW w:w="1007" w:type="dxa"/>
            <w:tcBorders>
              <w:right w:val="single" w:color="000000" w:sz="10" w:space="0"/>
            </w:tcBorders>
            <w:vAlign w:val="top"/>
          </w:tcPr>
          <w:p w14:paraId="38382C56">
            <w:pPr>
              <w:rPr>
                <w:rFonts w:ascii="Arial"/>
                <w:sz w:val="21"/>
              </w:rPr>
            </w:pPr>
          </w:p>
        </w:tc>
      </w:tr>
      <w:tr w14:paraId="71A50C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4" w:hRule="atLeast"/>
        </w:trPr>
        <w:tc>
          <w:tcPr>
            <w:tcW w:w="749" w:type="dxa"/>
            <w:tcBorders>
              <w:left w:val="single" w:color="000000" w:sz="10" w:space="0"/>
            </w:tcBorders>
            <w:vAlign w:val="top"/>
          </w:tcPr>
          <w:p w14:paraId="712A76F9">
            <w:pPr>
              <w:rPr>
                <w:rFonts w:ascii="Arial"/>
                <w:sz w:val="21"/>
              </w:rPr>
            </w:pPr>
          </w:p>
        </w:tc>
        <w:tc>
          <w:tcPr>
            <w:tcW w:w="1412" w:type="dxa"/>
            <w:vAlign w:val="top"/>
          </w:tcPr>
          <w:p w14:paraId="5CE28318">
            <w:pPr>
              <w:rPr>
                <w:rFonts w:ascii="Arial"/>
                <w:sz w:val="21"/>
              </w:rPr>
            </w:pPr>
          </w:p>
        </w:tc>
        <w:tc>
          <w:tcPr>
            <w:tcW w:w="848" w:type="dxa"/>
            <w:vAlign w:val="top"/>
          </w:tcPr>
          <w:p w14:paraId="4CC4400C">
            <w:pPr>
              <w:rPr>
                <w:rFonts w:ascii="Arial"/>
                <w:sz w:val="21"/>
              </w:rPr>
            </w:pPr>
          </w:p>
        </w:tc>
        <w:tc>
          <w:tcPr>
            <w:tcW w:w="708" w:type="dxa"/>
            <w:vAlign w:val="top"/>
          </w:tcPr>
          <w:p w14:paraId="117BCC19">
            <w:pPr>
              <w:rPr>
                <w:rFonts w:ascii="Arial"/>
                <w:sz w:val="21"/>
              </w:rPr>
            </w:pPr>
          </w:p>
        </w:tc>
        <w:tc>
          <w:tcPr>
            <w:tcW w:w="848" w:type="dxa"/>
            <w:vAlign w:val="top"/>
          </w:tcPr>
          <w:p w14:paraId="16C4029A">
            <w:pPr>
              <w:rPr>
                <w:rFonts w:ascii="Arial"/>
                <w:sz w:val="21"/>
              </w:rPr>
            </w:pPr>
          </w:p>
        </w:tc>
        <w:tc>
          <w:tcPr>
            <w:tcW w:w="848" w:type="dxa"/>
            <w:vAlign w:val="top"/>
          </w:tcPr>
          <w:p w14:paraId="09ACF002">
            <w:pPr>
              <w:rPr>
                <w:rFonts w:ascii="Arial"/>
                <w:sz w:val="21"/>
              </w:rPr>
            </w:pPr>
          </w:p>
        </w:tc>
        <w:tc>
          <w:tcPr>
            <w:tcW w:w="1274" w:type="dxa"/>
            <w:vAlign w:val="top"/>
          </w:tcPr>
          <w:p w14:paraId="0328EB05">
            <w:pPr>
              <w:rPr>
                <w:rFonts w:ascii="Arial"/>
                <w:sz w:val="21"/>
              </w:rPr>
            </w:pPr>
          </w:p>
        </w:tc>
        <w:tc>
          <w:tcPr>
            <w:tcW w:w="1274" w:type="dxa"/>
            <w:vAlign w:val="top"/>
          </w:tcPr>
          <w:p w14:paraId="46327D68">
            <w:pPr>
              <w:rPr>
                <w:rFonts w:ascii="Arial"/>
                <w:sz w:val="21"/>
              </w:rPr>
            </w:pPr>
          </w:p>
        </w:tc>
        <w:tc>
          <w:tcPr>
            <w:tcW w:w="1007" w:type="dxa"/>
            <w:tcBorders>
              <w:right w:val="single" w:color="000000" w:sz="10" w:space="0"/>
            </w:tcBorders>
            <w:vAlign w:val="top"/>
          </w:tcPr>
          <w:p w14:paraId="71583EE9">
            <w:pPr>
              <w:rPr>
                <w:rFonts w:ascii="Arial"/>
                <w:sz w:val="21"/>
              </w:rPr>
            </w:pPr>
          </w:p>
        </w:tc>
      </w:tr>
      <w:tr w14:paraId="14B511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1" w:hRule="atLeast"/>
        </w:trPr>
        <w:tc>
          <w:tcPr>
            <w:tcW w:w="749" w:type="dxa"/>
            <w:tcBorders>
              <w:left w:val="single" w:color="000000" w:sz="10" w:space="0"/>
              <w:bottom w:val="single" w:color="000000" w:sz="10" w:space="0"/>
            </w:tcBorders>
            <w:vAlign w:val="top"/>
          </w:tcPr>
          <w:p w14:paraId="012E3A4F">
            <w:pPr>
              <w:rPr>
                <w:rFonts w:ascii="Arial"/>
                <w:sz w:val="21"/>
              </w:rPr>
            </w:pPr>
          </w:p>
        </w:tc>
        <w:tc>
          <w:tcPr>
            <w:tcW w:w="1412" w:type="dxa"/>
            <w:tcBorders>
              <w:bottom w:val="single" w:color="000000" w:sz="10" w:space="0"/>
            </w:tcBorders>
            <w:vAlign w:val="top"/>
          </w:tcPr>
          <w:p w14:paraId="0FE4C284">
            <w:pPr>
              <w:rPr>
                <w:rFonts w:ascii="Arial"/>
                <w:sz w:val="21"/>
              </w:rPr>
            </w:pPr>
          </w:p>
        </w:tc>
        <w:tc>
          <w:tcPr>
            <w:tcW w:w="848" w:type="dxa"/>
            <w:tcBorders>
              <w:bottom w:val="single" w:color="000000" w:sz="10" w:space="0"/>
            </w:tcBorders>
            <w:vAlign w:val="top"/>
          </w:tcPr>
          <w:p w14:paraId="154D7E45">
            <w:pPr>
              <w:rPr>
                <w:rFonts w:ascii="Arial"/>
                <w:sz w:val="21"/>
              </w:rPr>
            </w:pPr>
          </w:p>
        </w:tc>
        <w:tc>
          <w:tcPr>
            <w:tcW w:w="708" w:type="dxa"/>
            <w:tcBorders>
              <w:bottom w:val="single" w:color="000000" w:sz="10" w:space="0"/>
            </w:tcBorders>
            <w:vAlign w:val="top"/>
          </w:tcPr>
          <w:p w14:paraId="3FCD7859">
            <w:pPr>
              <w:rPr>
                <w:rFonts w:ascii="Arial"/>
                <w:sz w:val="21"/>
              </w:rPr>
            </w:pPr>
          </w:p>
        </w:tc>
        <w:tc>
          <w:tcPr>
            <w:tcW w:w="848" w:type="dxa"/>
            <w:tcBorders>
              <w:bottom w:val="single" w:color="000000" w:sz="10" w:space="0"/>
            </w:tcBorders>
            <w:vAlign w:val="top"/>
          </w:tcPr>
          <w:p w14:paraId="1670229E">
            <w:pPr>
              <w:rPr>
                <w:rFonts w:ascii="Arial"/>
                <w:sz w:val="21"/>
              </w:rPr>
            </w:pPr>
          </w:p>
        </w:tc>
        <w:tc>
          <w:tcPr>
            <w:tcW w:w="848" w:type="dxa"/>
            <w:tcBorders>
              <w:bottom w:val="single" w:color="000000" w:sz="10" w:space="0"/>
            </w:tcBorders>
            <w:vAlign w:val="top"/>
          </w:tcPr>
          <w:p w14:paraId="09817427">
            <w:pPr>
              <w:rPr>
                <w:rFonts w:ascii="Arial"/>
                <w:sz w:val="21"/>
              </w:rPr>
            </w:pPr>
          </w:p>
        </w:tc>
        <w:tc>
          <w:tcPr>
            <w:tcW w:w="1274" w:type="dxa"/>
            <w:tcBorders>
              <w:bottom w:val="single" w:color="000000" w:sz="10" w:space="0"/>
            </w:tcBorders>
            <w:vAlign w:val="top"/>
          </w:tcPr>
          <w:p w14:paraId="2D9B211F">
            <w:pPr>
              <w:rPr>
                <w:rFonts w:ascii="Arial"/>
                <w:sz w:val="21"/>
              </w:rPr>
            </w:pPr>
          </w:p>
        </w:tc>
        <w:tc>
          <w:tcPr>
            <w:tcW w:w="1274" w:type="dxa"/>
            <w:tcBorders>
              <w:bottom w:val="single" w:color="000000" w:sz="10" w:space="0"/>
            </w:tcBorders>
            <w:vAlign w:val="top"/>
          </w:tcPr>
          <w:p w14:paraId="7EAD816C">
            <w:pPr>
              <w:rPr>
                <w:rFonts w:ascii="Arial"/>
                <w:sz w:val="21"/>
              </w:rPr>
            </w:pPr>
          </w:p>
        </w:tc>
        <w:tc>
          <w:tcPr>
            <w:tcW w:w="1007" w:type="dxa"/>
            <w:tcBorders>
              <w:bottom w:val="single" w:color="000000" w:sz="10" w:space="0"/>
              <w:right w:val="single" w:color="000000" w:sz="10" w:space="0"/>
            </w:tcBorders>
            <w:vAlign w:val="top"/>
          </w:tcPr>
          <w:p w14:paraId="503C8A93">
            <w:pPr>
              <w:rPr>
                <w:rFonts w:ascii="Arial"/>
                <w:sz w:val="21"/>
              </w:rPr>
            </w:pPr>
          </w:p>
        </w:tc>
      </w:tr>
    </w:tbl>
    <w:p w14:paraId="4D5BD4A0">
      <w:pPr>
        <w:pStyle w:val="3"/>
      </w:pPr>
    </w:p>
    <w:p w14:paraId="5EE13919">
      <w:pPr>
        <w:sectPr>
          <w:footerReference r:id="rId148" w:type="default"/>
          <w:pgSz w:w="11905" w:h="16839"/>
          <w:pgMar w:top="400" w:right="1450" w:bottom="1004" w:left="1459" w:header="0" w:footer="828" w:gutter="0"/>
          <w:pgNumType w:fmt="decimal"/>
          <w:cols w:space="720" w:num="1"/>
        </w:sectPr>
      </w:pPr>
    </w:p>
    <w:p w14:paraId="695CE4A2">
      <w:pPr>
        <w:pStyle w:val="3"/>
        <w:spacing w:line="276" w:lineRule="auto"/>
      </w:pPr>
    </w:p>
    <w:p w14:paraId="2C3EE337">
      <w:pPr>
        <w:pStyle w:val="3"/>
        <w:spacing w:line="276" w:lineRule="auto"/>
      </w:pPr>
    </w:p>
    <w:p w14:paraId="6A8B1FC5">
      <w:pPr>
        <w:pStyle w:val="3"/>
        <w:spacing w:line="276" w:lineRule="auto"/>
      </w:pPr>
    </w:p>
    <w:p w14:paraId="5340E7B0">
      <w:pPr>
        <w:pStyle w:val="3"/>
        <w:spacing w:line="276" w:lineRule="auto"/>
      </w:pPr>
    </w:p>
    <w:p w14:paraId="2A654968">
      <w:pPr>
        <w:spacing w:before="78" w:line="219" w:lineRule="auto"/>
        <w:ind w:left="791"/>
        <w:rPr>
          <w:rFonts w:ascii="宋体" w:hAnsi="宋体" w:eastAsia="宋体" w:cs="宋体"/>
          <w:sz w:val="24"/>
          <w:szCs w:val="24"/>
        </w:rPr>
      </w:pPr>
      <w:r>
        <w:rPr>
          <w:rFonts w:ascii="宋体" w:hAnsi="宋体" w:eastAsia="宋体" w:cs="宋体"/>
          <w:spacing w:val="-10"/>
          <w:sz w:val="24"/>
          <w:szCs w:val="24"/>
        </w:rPr>
        <w:t>附件</w:t>
      </w:r>
      <w:r>
        <w:rPr>
          <w:rFonts w:ascii="宋体" w:hAnsi="宋体" w:eastAsia="宋体" w:cs="宋体"/>
          <w:spacing w:val="-51"/>
          <w:sz w:val="24"/>
          <w:szCs w:val="24"/>
        </w:rPr>
        <w:t xml:space="preserve"> </w:t>
      </w:r>
      <w:r>
        <w:rPr>
          <w:rFonts w:ascii="Times New Roman" w:hAnsi="Times New Roman" w:eastAsia="Times New Roman" w:cs="Times New Roman"/>
          <w:spacing w:val="-10"/>
          <w:sz w:val="24"/>
          <w:szCs w:val="24"/>
        </w:rPr>
        <w:t>6</w:t>
      </w:r>
      <w:r>
        <w:rPr>
          <w:rFonts w:ascii="宋体" w:hAnsi="宋体" w:eastAsia="宋体" w:cs="宋体"/>
          <w:spacing w:val="-10"/>
          <w:sz w:val="24"/>
          <w:szCs w:val="24"/>
        </w:rPr>
        <w:t>：</w:t>
      </w:r>
    </w:p>
    <w:p w14:paraId="5846F80F">
      <w:pPr>
        <w:spacing w:before="243" w:line="224" w:lineRule="auto"/>
        <w:ind w:left="3250"/>
        <w:rPr>
          <w:rFonts w:ascii="黑体" w:hAnsi="黑体" w:eastAsia="黑体" w:cs="黑体"/>
          <w:sz w:val="27"/>
          <w:szCs w:val="27"/>
        </w:rPr>
      </w:pPr>
      <w:bookmarkStart w:id="1274" w:name="bookmark228"/>
      <w:bookmarkEnd w:id="1274"/>
      <w:r>
        <w:rPr>
          <w:rFonts w:ascii="黑体" w:hAnsi="黑体" w:eastAsia="黑体" w:cs="黑体"/>
          <w:spacing w:val="8"/>
          <w:sz w:val="27"/>
          <w:szCs w:val="27"/>
        </w:rPr>
        <w:t>承包人主要施工管理人员表</w:t>
      </w:r>
    </w:p>
    <w:p w14:paraId="54A93474">
      <w:pPr>
        <w:spacing w:line="113" w:lineRule="exact"/>
      </w:pPr>
    </w:p>
    <w:tbl>
      <w:tblPr>
        <w:tblStyle w:val="10"/>
        <w:tblW w:w="9818" w:type="dxa"/>
        <w:tblInd w:w="1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880"/>
        <w:gridCol w:w="1413"/>
        <w:gridCol w:w="1134"/>
        <w:gridCol w:w="1130"/>
        <w:gridCol w:w="4261"/>
      </w:tblGrid>
      <w:tr w14:paraId="25CF99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2" w:hRule="atLeast"/>
        </w:trPr>
        <w:tc>
          <w:tcPr>
            <w:tcW w:w="1880" w:type="dxa"/>
            <w:tcBorders>
              <w:top w:val="single" w:color="000000" w:sz="10" w:space="0"/>
              <w:left w:val="single" w:color="000000" w:sz="10" w:space="0"/>
            </w:tcBorders>
            <w:vAlign w:val="top"/>
          </w:tcPr>
          <w:p w14:paraId="6866F66C">
            <w:pPr>
              <w:pStyle w:val="11"/>
              <w:spacing w:before="177" w:line="223" w:lineRule="auto"/>
              <w:ind w:left="513"/>
            </w:pPr>
            <w:r>
              <w:rPr>
                <w:spacing w:val="-5"/>
              </w:rPr>
              <w:t>名</w:t>
            </w:r>
            <w:r>
              <w:rPr>
                <w:spacing w:val="2"/>
              </w:rPr>
              <w:t xml:space="preserve">    </w:t>
            </w:r>
            <w:r>
              <w:rPr>
                <w:spacing w:val="-5"/>
              </w:rPr>
              <w:t>称</w:t>
            </w:r>
          </w:p>
        </w:tc>
        <w:tc>
          <w:tcPr>
            <w:tcW w:w="1413" w:type="dxa"/>
            <w:tcBorders>
              <w:top w:val="single" w:color="000000" w:sz="10" w:space="0"/>
            </w:tcBorders>
            <w:vAlign w:val="top"/>
          </w:tcPr>
          <w:p w14:paraId="3B985D36">
            <w:pPr>
              <w:pStyle w:val="11"/>
              <w:spacing w:before="177" w:line="221" w:lineRule="auto"/>
              <w:ind w:left="497"/>
            </w:pPr>
            <w:r>
              <w:rPr>
                <w:spacing w:val="-2"/>
              </w:rPr>
              <w:t>姓名</w:t>
            </w:r>
          </w:p>
        </w:tc>
        <w:tc>
          <w:tcPr>
            <w:tcW w:w="1134" w:type="dxa"/>
            <w:tcBorders>
              <w:top w:val="single" w:color="000000" w:sz="10" w:space="0"/>
            </w:tcBorders>
            <w:vAlign w:val="top"/>
          </w:tcPr>
          <w:p w14:paraId="3CA1DBA1">
            <w:pPr>
              <w:pStyle w:val="11"/>
              <w:spacing w:before="177" w:line="221" w:lineRule="auto"/>
              <w:ind w:left="357"/>
            </w:pPr>
            <w:r>
              <w:rPr>
                <w:spacing w:val="-2"/>
              </w:rPr>
              <w:t>职务</w:t>
            </w:r>
          </w:p>
        </w:tc>
        <w:tc>
          <w:tcPr>
            <w:tcW w:w="1130" w:type="dxa"/>
            <w:tcBorders>
              <w:top w:val="single" w:color="000000" w:sz="10" w:space="0"/>
            </w:tcBorders>
            <w:vAlign w:val="top"/>
          </w:tcPr>
          <w:p w14:paraId="2DB5A54A">
            <w:pPr>
              <w:pStyle w:val="11"/>
              <w:spacing w:before="177" w:line="223" w:lineRule="auto"/>
              <w:ind w:left="361"/>
            </w:pPr>
            <w:r>
              <w:rPr>
                <w:spacing w:val="-2"/>
              </w:rPr>
              <w:t>职称</w:t>
            </w:r>
          </w:p>
        </w:tc>
        <w:tc>
          <w:tcPr>
            <w:tcW w:w="4261" w:type="dxa"/>
            <w:tcBorders>
              <w:top w:val="single" w:color="000000" w:sz="10" w:space="0"/>
              <w:right w:val="single" w:color="000000" w:sz="10" w:space="0"/>
            </w:tcBorders>
            <w:vAlign w:val="top"/>
          </w:tcPr>
          <w:p w14:paraId="25D466A3">
            <w:pPr>
              <w:pStyle w:val="11"/>
              <w:spacing w:before="177" w:line="221" w:lineRule="auto"/>
              <w:ind w:left="668"/>
            </w:pPr>
            <w:r>
              <w:rPr>
                <w:spacing w:val="-1"/>
              </w:rPr>
              <w:t>主要资历、经验及承担过的项目</w:t>
            </w:r>
          </w:p>
        </w:tc>
      </w:tr>
      <w:tr w14:paraId="0D6662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3" w:hRule="atLeast"/>
        </w:trPr>
        <w:tc>
          <w:tcPr>
            <w:tcW w:w="9818" w:type="dxa"/>
            <w:gridSpan w:val="5"/>
            <w:tcBorders>
              <w:left w:val="single" w:color="000000" w:sz="10" w:space="0"/>
              <w:right w:val="single" w:color="000000" w:sz="10" w:space="0"/>
            </w:tcBorders>
            <w:vAlign w:val="top"/>
          </w:tcPr>
          <w:p w14:paraId="41F54D0C">
            <w:pPr>
              <w:pStyle w:val="11"/>
              <w:spacing w:before="200" w:line="221" w:lineRule="auto"/>
              <w:ind w:left="4279"/>
            </w:pPr>
            <w:r>
              <w:rPr>
                <w:spacing w:val="-3"/>
              </w:rPr>
              <w:t>一、总部人员</w:t>
            </w:r>
          </w:p>
        </w:tc>
      </w:tr>
      <w:tr w14:paraId="305AD1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880" w:type="dxa"/>
            <w:tcBorders>
              <w:left w:val="single" w:color="000000" w:sz="10" w:space="0"/>
            </w:tcBorders>
            <w:vAlign w:val="top"/>
          </w:tcPr>
          <w:p w14:paraId="146B0894">
            <w:pPr>
              <w:pStyle w:val="11"/>
              <w:spacing w:before="173" w:line="221" w:lineRule="auto"/>
              <w:ind w:left="514"/>
            </w:pPr>
            <w:r>
              <w:rPr>
                <w:spacing w:val="-2"/>
              </w:rPr>
              <w:t>项目主管</w:t>
            </w:r>
          </w:p>
        </w:tc>
        <w:tc>
          <w:tcPr>
            <w:tcW w:w="1413" w:type="dxa"/>
            <w:vAlign w:val="top"/>
          </w:tcPr>
          <w:p w14:paraId="7DB88177">
            <w:pPr>
              <w:rPr>
                <w:rFonts w:ascii="Arial"/>
                <w:sz w:val="21"/>
              </w:rPr>
            </w:pPr>
          </w:p>
        </w:tc>
        <w:tc>
          <w:tcPr>
            <w:tcW w:w="1134" w:type="dxa"/>
            <w:vAlign w:val="top"/>
          </w:tcPr>
          <w:p w14:paraId="258A9C04">
            <w:pPr>
              <w:rPr>
                <w:rFonts w:ascii="Arial"/>
                <w:sz w:val="21"/>
              </w:rPr>
            </w:pPr>
          </w:p>
        </w:tc>
        <w:tc>
          <w:tcPr>
            <w:tcW w:w="1130" w:type="dxa"/>
            <w:vAlign w:val="top"/>
          </w:tcPr>
          <w:p w14:paraId="3E8B64AE">
            <w:pPr>
              <w:rPr>
                <w:rFonts w:ascii="Arial"/>
                <w:sz w:val="21"/>
              </w:rPr>
            </w:pPr>
          </w:p>
        </w:tc>
        <w:tc>
          <w:tcPr>
            <w:tcW w:w="4261" w:type="dxa"/>
            <w:tcBorders>
              <w:right w:val="single" w:color="000000" w:sz="10" w:space="0"/>
            </w:tcBorders>
            <w:vAlign w:val="top"/>
          </w:tcPr>
          <w:p w14:paraId="101E8099">
            <w:pPr>
              <w:rPr>
                <w:rFonts w:ascii="Arial"/>
                <w:sz w:val="21"/>
              </w:rPr>
            </w:pPr>
          </w:p>
        </w:tc>
      </w:tr>
      <w:tr w14:paraId="5C3623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880" w:type="dxa"/>
            <w:vMerge w:val="restart"/>
            <w:tcBorders>
              <w:left w:val="single" w:color="000000" w:sz="10" w:space="0"/>
              <w:bottom w:val="nil"/>
            </w:tcBorders>
            <w:vAlign w:val="top"/>
          </w:tcPr>
          <w:p w14:paraId="715CA5AD">
            <w:pPr>
              <w:spacing w:line="280" w:lineRule="auto"/>
              <w:rPr>
                <w:rFonts w:ascii="Arial"/>
                <w:sz w:val="21"/>
              </w:rPr>
            </w:pPr>
          </w:p>
          <w:p w14:paraId="7F5A4DE1">
            <w:pPr>
              <w:spacing w:line="280" w:lineRule="auto"/>
              <w:rPr>
                <w:rFonts w:ascii="Arial"/>
                <w:sz w:val="21"/>
              </w:rPr>
            </w:pPr>
          </w:p>
          <w:p w14:paraId="363852A5">
            <w:pPr>
              <w:pStyle w:val="11"/>
              <w:spacing w:before="68" w:line="221" w:lineRule="auto"/>
              <w:ind w:left="512"/>
            </w:pPr>
            <w:r>
              <w:rPr>
                <w:spacing w:val="-1"/>
              </w:rPr>
              <w:t>其他人员</w:t>
            </w:r>
          </w:p>
        </w:tc>
        <w:tc>
          <w:tcPr>
            <w:tcW w:w="1413" w:type="dxa"/>
            <w:vAlign w:val="top"/>
          </w:tcPr>
          <w:p w14:paraId="5106F728">
            <w:pPr>
              <w:rPr>
                <w:rFonts w:ascii="Arial"/>
                <w:sz w:val="21"/>
              </w:rPr>
            </w:pPr>
          </w:p>
        </w:tc>
        <w:tc>
          <w:tcPr>
            <w:tcW w:w="1134" w:type="dxa"/>
            <w:vAlign w:val="top"/>
          </w:tcPr>
          <w:p w14:paraId="2A5ABCCB">
            <w:pPr>
              <w:rPr>
                <w:rFonts w:ascii="Arial"/>
                <w:sz w:val="21"/>
              </w:rPr>
            </w:pPr>
          </w:p>
        </w:tc>
        <w:tc>
          <w:tcPr>
            <w:tcW w:w="1130" w:type="dxa"/>
            <w:vAlign w:val="top"/>
          </w:tcPr>
          <w:p w14:paraId="66F83DF1">
            <w:pPr>
              <w:rPr>
                <w:rFonts w:ascii="Arial"/>
                <w:sz w:val="21"/>
              </w:rPr>
            </w:pPr>
          </w:p>
        </w:tc>
        <w:tc>
          <w:tcPr>
            <w:tcW w:w="4261" w:type="dxa"/>
            <w:tcBorders>
              <w:right w:val="single" w:color="000000" w:sz="10" w:space="0"/>
            </w:tcBorders>
            <w:vAlign w:val="top"/>
          </w:tcPr>
          <w:p w14:paraId="44D12934">
            <w:pPr>
              <w:rPr>
                <w:rFonts w:ascii="Arial"/>
                <w:sz w:val="21"/>
              </w:rPr>
            </w:pPr>
          </w:p>
        </w:tc>
      </w:tr>
      <w:tr w14:paraId="5328DA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880" w:type="dxa"/>
            <w:vMerge w:val="continue"/>
            <w:tcBorders>
              <w:top w:val="nil"/>
              <w:left w:val="single" w:color="000000" w:sz="10" w:space="0"/>
              <w:bottom w:val="nil"/>
            </w:tcBorders>
            <w:vAlign w:val="top"/>
          </w:tcPr>
          <w:p w14:paraId="1DD000B1">
            <w:pPr>
              <w:rPr>
                <w:rFonts w:ascii="Arial"/>
                <w:sz w:val="21"/>
              </w:rPr>
            </w:pPr>
          </w:p>
        </w:tc>
        <w:tc>
          <w:tcPr>
            <w:tcW w:w="1413" w:type="dxa"/>
            <w:vAlign w:val="top"/>
          </w:tcPr>
          <w:p w14:paraId="71751E02">
            <w:pPr>
              <w:rPr>
                <w:rFonts w:ascii="Arial"/>
                <w:sz w:val="21"/>
              </w:rPr>
            </w:pPr>
          </w:p>
        </w:tc>
        <w:tc>
          <w:tcPr>
            <w:tcW w:w="1134" w:type="dxa"/>
            <w:vAlign w:val="top"/>
          </w:tcPr>
          <w:p w14:paraId="46169D7E">
            <w:pPr>
              <w:rPr>
                <w:rFonts w:ascii="Arial"/>
                <w:sz w:val="21"/>
              </w:rPr>
            </w:pPr>
          </w:p>
        </w:tc>
        <w:tc>
          <w:tcPr>
            <w:tcW w:w="1130" w:type="dxa"/>
            <w:vAlign w:val="top"/>
          </w:tcPr>
          <w:p w14:paraId="5576FF42">
            <w:pPr>
              <w:rPr>
                <w:rFonts w:ascii="Arial"/>
                <w:sz w:val="21"/>
              </w:rPr>
            </w:pPr>
          </w:p>
        </w:tc>
        <w:tc>
          <w:tcPr>
            <w:tcW w:w="4261" w:type="dxa"/>
            <w:tcBorders>
              <w:right w:val="single" w:color="000000" w:sz="10" w:space="0"/>
            </w:tcBorders>
            <w:vAlign w:val="top"/>
          </w:tcPr>
          <w:p w14:paraId="25160048">
            <w:pPr>
              <w:rPr>
                <w:rFonts w:ascii="Arial"/>
                <w:sz w:val="21"/>
              </w:rPr>
            </w:pPr>
          </w:p>
        </w:tc>
      </w:tr>
      <w:tr w14:paraId="0FCB37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0" w:hRule="atLeast"/>
        </w:trPr>
        <w:tc>
          <w:tcPr>
            <w:tcW w:w="1880" w:type="dxa"/>
            <w:vMerge w:val="continue"/>
            <w:tcBorders>
              <w:top w:val="nil"/>
              <w:left w:val="single" w:color="000000" w:sz="10" w:space="0"/>
            </w:tcBorders>
            <w:vAlign w:val="top"/>
          </w:tcPr>
          <w:p w14:paraId="06975FE6">
            <w:pPr>
              <w:rPr>
                <w:rFonts w:ascii="Arial"/>
                <w:sz w:val="21"/>
              </w:rPr>
            </w:pPr>
          </w:p>
        </w:tc>
        <w:tc>
          <w:tcPr>
            <w:tcW w:w="1413" w:type="dxa"/>
            <w:vAlign w:val="top"/>
          </w:tcPr>
          <w:p w14:paraId="70089657">
            <w:pPr>
              <w:rPr>
                <w:rFonts w:ascii="Arial"/>
                <w:sz w:val="21"/>
              </w:rPr>
            </w:pPr>
          </w:p>
        </w:tc>
        <w:tc>
          <w:tcPr>
            <w:tcW w:w="1134" w:type="dxa"/>
            <w:vAlign w:val="top"/>
          </w:tcPr>
          <w:p w14:paraId="260108FC">
            <w:pPr>
              <w:rPr>
                <w:rFonts w:ascii="Arial"/>
                <w:sz w:val="21"/>
              </w:rPr>
            </w:pPr>
          </w:p>
        </w:tc>
        <w:tc>
          <w:tcPr>
            <w:tcW w:w="1130" w:type="dxa"/>
            <w:vAlign w:val="top"/>
          </w:tcPr>
          <w:p w14:paraId="5F03B60E">
            <w:pPr>
              <w:rPr>
                <w:rFonts w:ascii="Arial"/>
                <w:sz w:val="21"/>
              </w:rPr>
            </w:pPr>
          </w:p>
        </w:tc>
        <w:tc>
          <w:tcPr>
            <w:tcW w:w="4261" w:type="dxa"/>
            <w:tcBorders>
              <w:right w:val="single" w:color="000000" w:sz="10" w:space="0"/>
            </w:tcBorders>
            <w:vAlign w:val="top"/>
          </w:tcPr>
          <w:p w14:paraId="011ABD47">
            <w:pPr>
              <w:rPr>
                <w:rFonts w:ascii="Arial"/>
                <w:sz w:val="21"/>
              </w:rPr>
            </w:pPr>
          </w:p>
        </w:tc>
      </w:tr>
      <w:tr w14:paraId="1368F7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9818" w:type="dxa"/>
            <w:gridSpan w:val="5"/>
            <w:tcBorders>
              <w:left w:val="single" w:color="000000" w:sz="10" w:space="0"/>
              <w:right w:val="single" w:color="000000" w:sz="10" w:space="0"/>
            </w:tcBorders>
            <w:vAlign w:val="top"/>
          </w:tcPr>
          <w:p w14:paraId="57FDAB84">
            <w:pPr>
              <w:pStyle w:val="11"/>
              <w:spacing w:before="178" w:line="221" w:lineRule="auto"/>
              <w:ind w:left="4279"/>
            </w:pPr>
            <w:r>
              <w:rPr>
                <w:spacing w:val="-1"/>
              </w:rPr>
              <w:t>二、现场人员</w:t>
            </w:r>
          </w:p>
        </w:tc>
      </w:tr>
      <w:tr w14:paraId="598215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880" w:type="dxa"/>
            <w:tcBorders>
              <w:left w:val="single" w:color="000000" w:sz="10" w:space="0"/>
            </w:tcBorders>
            <w:vAlign w:val="top"/>
          </w:tcPr>
          <w:p w14:paraId="240A3DE3">
            <w:pPr>
              <w:pStyle w:val="11"/>
              <w:spacing w:before="179" w:line="221" w:lineRule="auto"/>
              <w:ind w:left="514"/>
            </w:pPr>
            <w:r>
              <w:rPr>
                <w:spacing w:val="-2"/>
              </w:rPr>
              <w:t>项目经理</w:t>
            </w:r>
          </w:p>
        </w:tc>
        <w:tc>
          <w:tcPr>
            <w:tcW w:w="1413" w:type="dxa"/>
            <w:vAlign w:val="top"/>
          </w:tcPr>
          <w:p w14:paraId="298E7EB0">
            <w:pPr>
              <w:rPr>
                <w:rFonts w:ascii="Arial"/>
                <w:sz w:val="21"/>
              </w:rPr>
            </w:pPr>
          </w:p>
        </w:tc>
        <w:tc>
          <w:tcPr>
            <w:tcW w:w="1134" w:type="dxa"/>
            <w:vAlign w:val="top"/>
          </w:tcPr>
          <w:p w14:paraId="49C00454">
            <w:pPr>
              <w:rPr>
                <w:rFonts w:ascii="Arial"/>
                <w:sz w:val="21"/>
              </w:rPr>
            </w:pPr>
          </w:p>
        </w:tc>
        <w:tc>
          <w:tcPr>
            <w:tcW w:w="1130" w:type="dxa"/>
            <w:vAlign w:val="top"/>
          </w:tcPr>
          <w:p w14:paraId="72255EBF">
            <w:pPr>
              <w:rPr>
                <w:rFonts w:ascii="Arial"/>
                <w:sz w:val="21"/>
              </w:rPr>
            </w:pPr>
          </w:p>
        </w:tc>
        <w:tc>
          <w:tcPr>
            <w:tcW w:w="4261" w:type="dxa"/>
            <w:tcBorders>
              <w:right w:val="single" w:color="000000" w:sz="10" w:space="0"/>
            </w:tcBorders>
            <w:vAlign w:val="top"/>
          </w:tcPr>
          <w:p w14:paraId="3812AFDB">
            <w:pPr>
              <w:rPr>
                <w:rFonts w:ascii="Arial"/>
                <w:sz w:val="21"/>
              </w:rPr>
            </w:pPr>
          </w:p>
        </w:tc>
      </w:tr>
      <w:tr w14:paraId="063109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880" w:type="dxa"/>
            <w:tcBorders>
              <w:left w:val="single" w:color="000000" w:sz="10" w:space="0"/>
            </w:tcBorders>
            <w:vAlign w:val="top"/>
          </w:tcPr>
          <w:p w14:paraId="0300A262">
            <w:pPr>
              <w:pStyle w:val="11"/>
              <w:spacing w:before="180" w:line="221" w:lineRule="auto"/>
              <w:ind w:left="409"/>
            </w:pPr>
            <w:r>
              <w:rPr>
                <w:spacing w:val="-1"/>
              </w:rPr>
              <w:t>项目副经理</w:t>
            </w:r>
          </w:p>
        </w:tc>
        <w:tc>
          <w:tcPr>
            <w:tcW w:w="1413" w:type="dxa"/>
            <w:vAlign w:val="top"/>
          </w:tcPr>
          <w:p w14:paraId="2B7D4D0E">
            <w:pPr>
              <w:rPr>
                <w:rFonts w:ascii="Arial"/>
                <w:sz w:val="21"/>
              </w:rPr>
            </w:pPr>
          </w:p>
        </w:tc>
        <w:tc>
          <w:tcPr>
            <w:tcW w:w="1134" w:type="dxa"/>
            <w:vAlign w:val="top"/>
          </w:tcPr>
          <w:p w14:paraId="1DE8349C">
            <w:pPr>
              <w:rPr>
                <w:rFonts w:ascii="Arial"/>
                <w:sz w:val="21"/>
              </w:rPr>
            </w:pPr>
          </w:p>
        </w:tc>
        <w:tc>
          <w:tcPr>
            <w:tcW w:w="1130" w:type="dxa"/>
            <w:vAlign w:val="top"/>
          </w:tcPr>
          <w:p w14:paraId="61CFC624">
            <w:pPr>
              <w:rPr>
                <w:rFonts w:ascii="Arial"/>
                <w:sz w:val="21"/>
              </w:rPr>
            </w:pPr>
          </w:p>
        </w:tc>
        <w:tc>
          <w:tcPr>
            <w:tcW w:w="4261" w:type="dxa"/>
            <w:tcBorders>
              <w:right w:val="single" w:color="000000" w:sz="10" w:space="0"/>
            </w:tcBorders>
            <w:vAlign w:val="top"/>
          </w:tcPr>
          <w:p w14:paraId="75103572">
            <w:pPr>
              <w:rPr>
                <w:rFonts w:ascii="Arial"/>
                <w:sz w:val="21"/>
              </w:rPr>
            </w:pPr>
          </w:p>
        </w:tc>
      </w:tr>
      <w:tr w14:paraId="3D7FA9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880" w:type="dxa"/>
            <w:tcBorders>
              <w:left w:val="single" w:color="000000" w:sz="10" w:space="0"/>
            </w:tcBorders>
            <w:vAlign w:val="top"/>
          </w:tcPr>
          <w:p w14:paraId="1A7CAE23">
            <w:pPr>
              <w:pStyle w:val="11"/>
              <w:spacing w:before="181" w:line="221" w:lineRule="auto"/>
              <w:ind w:left="406"/>
            </w:pPr>
            <w:r>
              <w:rPr>
                <w:spacing w:val="-1"/>
              </w:rPr>
              <w:t>技术负责人</w:t>
            </w:r>
          </w:p>
        </w:tc>
        <w:tc>
          <w:tcPr>
            <w:tcW w:w="1413" w:type="dxa"/>
            <w:vAlign w:val="top"/>
          </w:tcPr>
          <w:p w14:paraId="269269EB">
            <w:pPr>
              <w:rPr>
                <w:rFonts w:ascii="Arial"/>
                <w:sz w:val="21"/>
              </w:rPr>
            </w:pPr>
          </w:p>
        </w:tc>
        <w:tc>
          <w:tcPr>
            <w:tcW w:w="1134" w:type="dxa"/>
            <w:vAlign w:val="top"/>
          </w:tcPr>
          <w:p w14:paraId="73301850">
            <w:pPr>
              <w:rPr>
                <w:rFonts w:ascii="Arial"/>
                <w:sz w:val="21"/>
              </w:rPr>
            </w:pPr>
          </w:p>
        </w:tc>
        <w:tc>
          <w:tcPr>
            <w:tcW w:w="1130" w:type="dxa"/>
            <w:vAlign w:val="top"/>
          </w:tcPr>
          <w:p w14:paraId="49CD5969">
            <w:pPr>
              <w:rPr>
                <w:rFonts w:ascii="Arial"/>
                <w:sz w:val="21"/>
              </w:rPr>
            </w:pPr>
          </w:p>
        </w:tc>
        <w:tc>
          <w:tcPr>
            <w:tcW w:w="4261" w:type="dxa"/>
            <w:tcBorders>
              <w:right w:val="single" w:color="000000" w:sz="10" w:space="0"/>
            </w:tcBorders>
            <w:vAlign w:val="top"/>
          </w:tcPr>
          <w:p w14:paraId="74F5D54C">
            <w:pPr>
              <w:rPr>
                <w:rFonts w:ascii="Arial"/>
                <w:sz w:val="21"/>
              </w:rPr>
            </w:pPr>
          </w:p>
        </w:tc>
      </w:tr>
      <w:tr w14:paraId="112BDB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0" w:hRule="atLeast"/>
        </w:trPr>
        <w:tc>
          <w:tcPr>
            <w:tcW w:w="1880" w:type="dxa"/>
            <w:tcBorders>
              <w:left w:val="single" w:color="000000" w:sz="10" w:space="0"/>
            </w:tcBorders>
            <w:vAlign w:val="top"/>
          </w:tcPr>
          <w:p w14:paraId="777CEC17">
            <w:pPr>
              <w:pStyle w:val="11"/>
              <w:spacing w:before="178" w:line="219" w:lineRule="auto"/>
              <w:ind w:left="510"/>
            </w:pPr>
            <w:r>
              <w:rPr>
                <w:spacing w:val="-1"/>
              </w:rPr>
              <w:t>造价管理</w:t>
            </w:r>
          </w:p>
        </w:tc>
        <w:tc>
          <w:tcPr>
            <w:tcW w:w="1413" w:type="dxa"/>
            <w:vAlign w:val="top"/>
          </w:tcPr>
          <w:p w14:paraId="1EEB8191">
            <w:pPr>
              <w:rPr>
                <w:rFonts w:ascii="Arial"/>
                <w:sz w:val="21"/>
              </w:rPr>
            </w:pPr>
          </w:p>
        </w:tc>
        <w:tc>
          <w:tcPr>
            <w:tcW w:w="1134" w:type="dxa"/>
            <w:vAlign w:val="top"/>
          </w:tcPr>
          <w:p w14:paraId="6E357B26">
            <w:pPr>
              <w:rPr>
                <w:rFonts w:ascii="Arial"/>
                <w:sz w:val="21"/>
              </w:rPr>
            </w:pPr>
          </w:p>
        </w:tc>
        <w:tc>
          <w:tcPr>
            <w:tcW w:w="1130" w:type="dxa"/>
            <w:vAlign w:val="top"/>
          </w:tcPr>
          <w:p w14:paraId="4702BE47">
            <w:pPr>
              <w:rPr>
                <w:rFonts w:ascii="Arial"/>
                <w:sz w:val="21"/>
              </w:rPr>
            </w:pPr>
          </w:p>
        </w:tc>
        <w:tc>
          <w:tcPr>
            <w:tcW w:w="4261" w:type="dxa"/>
            <w:tcBorders>
              <w:right w:val="single" w:color="000000" w:sz="10" w:space="0"/>
            </w:tcBorders>
            <w:vAlign w:val="top"/>
          </w:tcPr>
          <w:p w14:paraId="521DCAB3">
            <w:pPr>
              <w:rPr>
                <w:rFonts w:ascii="Arial"/>
                <w:sz w:val="21"/>
              </w:rPr>
            </w:pPr>
          </w:p>
        </w:tc>
      </w:tr>
      <w:tr w14:paraId="36C29D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880" w:type="dxa"/>
            <w:tcBorders>
              <w:left w:val="single" w:color="000000" w:sz="10" w:space="0"/>
            </w:tcBorders>
            <w:vAlign w:val="top"/>
          </w:tcPr>
          <w:p w14:paraId="4D0728F4">
            <w:pPr>
              <w:pStyle w:val="11"/>
              <w:spacing w:before="184" w:line="220" w:lineRule="auto"/>
              <w:ind w:left="512"/>
            </w:pPr>
            <w:r>
              <w:rPr>
                <w:spacing w:val="-1"/>
              </w:rPr>
              <w:t>质量管理</w:t>
            </w:r>
          </w:p>
        </w:tc>
        <w:tc>
          <w:tcPr>
            <w:tcW w:w="1413" w:type="dxa"/>
            <w:vAlign w:val="top"/>
          </w:tcPr>
          <w:p w14:paraId="1E4A3734">
            <w:pPr>
              <w:rPr>
                <w:rFonts w:ascii="Arial"/>
                <w:sz w:val="21"/>
              </w:rPr>
            </w:pPr>
          </w:p>
        </w:tc>
        <w:tc>
          <w:tcPr>
            <w:tcW w:w="1134" w:type="dxa"/>
            <w:vAlign w:val="top"/>
          </w:tcPr>
          <w:p w14:paraId="7828CDF0">
            <w:pPr>
              <w:rPr>
                <w:rFonts w:ascii="Arial"/>
                <w:sz w:val="21"/>
              </w:rPr>
            </w:pPr>
          </w:p>
        </w:tc>
        <w:tc>
          <w:tcPr>
            <w:tcW w:w="1130" w:type="dxa"/>
            <w:vAlign w:val="top"/>
          </w:tcPr>
          <w:p w14:paraId="590D39CC">
            <w:pPr>
              <w:rPr>
                <w:rFonts w:ascii="Arial"/>
                <w:sz w:val="21"/>
              </w:rPr>
            </w:pPr>
          </w:p>
        </w:tc>
        <w:tc>
          <w:tcPr>
            <w:tcW w:w="4261" w:type="dxa"/>
            <w:tcBorders>
              <w:right w:val="single" w:color="000000" w:sz="10" w:space="0"/>
            </w:tcBorders>
            <w:vAlign w:val="top"/>
          </w:tcPr>
          <w:p w14:paraId="352CC0F9">
            <w:pPr>
              <w:rPr>
                <w:rFonts w:ascii="Arial"/>
                <w:sz w:val="21"/>
              </w:rPr>
            </w:pPr>
          </w:p>
        </w:tc>
      </w:tr>
      <w:tr w14:paraId="597763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880" w:type="dxa"/>
            <w:tcBorders>
              <w:left w:val="single" w:color="000000" w:sz="10" w:space="0"/>
            </w:tcBorders>
            <w:vAlign w:val="top"/>
          </w:tcPr>
          <w:p w14:paraId="5789B40F">
            <w:pPr>
              <w:pStyle w:val="11"/>
              <w:spacing w:before="185" w:line="219" w:lineRule="auto"/>
              <w:ind w:left="511"/>
            </w:pPr>
            <w:r>
              <w:rPr>
                <w:spacing w:val="-1"/>
              </w:rPr>
              <w:t>材料管理</w:t>
            </w:r>
          </w:p>
        </w:tc>
        <w:tc>
          <w:tcPr>
            <w:tcW w:w="1413" w:type="dxa"/>
            <w:vAlign w:val="top"/>
          </w:tcPr>
          <w:p w14:paraId="33B84E6D">
            <w:pPr>
              <w:rPr>
                <w:rFonts w:ascii="Arial"/>
                <w:sz w:val="21"/>
              </w:rPr>
            </w:pPr>
          </w:p>
        </w:tc>
        <w:tc>
          <w:tcPr>
            <w:tcW w:w="1134" w:type="dxa"/>
            <w:vAlign w:val="top"/>
          </w:tcPr>
          <w:p w14:paraId="55F7486B">
            <w:pPr>
              <w:rPr>
                <w:rFonts w:ascii="Arial"/>
                <w:sz w:val="21"/>
              </w:rPr>
            </w:pPr>
          </w:p>
        </w:tc>
        <w:tc>
          <w:tcPr>
            <w:tcW w:w="1130" w:type="dxa"/>
            <w:vAlign w:val="top"/>
          </w:tcPr>
          <w:p w14:paraId="63A45DFD">
            <w:pPr>
              <w:rPr>
                <w:rFonts w:ascii="Arial"/>
                <w:sz w:val="21"/>
              </w:rPr>
            </w:pPr>
          </w:p>
        </w:tc>
        <w:tc>
          <w:tcPr>
            <w:tcW w:w="4261" w:type="dxa"/>
            <w:tcBorders>
              <w:right w:val="single" w:color="000000" w:sz="10" w:space="0"/>
            </w:tcBorders>
            <w:vAlign w:val="top"/>
          </w:tcPr>
          <w:p w14:paraId="5A42632B">
            <w:pPr>
              <w:rPr>
                <w:rFonts w:ascii="Arial"/>
                <w:sz w:val="21"/>
              </w:rPr>
            </w:pPr>
          </w:p>
        </w:tc>
      </w:tr>
      <w:tr w14:paraId="56FBD1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880" w:type="dxa"/>
            <w:tcBorders>
              <w:left w:val="single" w:color="000000" w:sz="10" w:space="0"/>
            </w:tcBorders>
            <w:vAlign w:val="top"/>
          </w:tcPr>
          <w:p w14:paraId="72B5C236">
            <w:pPr>
              <w:pStyle w:val="11"/>
              <w:spacing w:before="187" w:line="218" w:lineRule="auto"/>
              <w:ind w:left="511"/>
            </w:pPr>
            <w:r>
              <w:rPr>
                <w:spacing w:val="-1"/>
              </w:rPr>
              <w:t>计划管理</w:t>
            </w:r>
          </w:p>
        </w:tc>
        <w:tc>
          <w:tcPr>
            <w:tcW w:w="1413" w:type="dxa"/>
            <w:vAlign w:val="top"/>
          </w:tcPr>
          <w:p w14:paraId="6B9A4031">
            <w:pPr>
              <w:rPr>
                <w:rFonts w:ascii="Arial"/>
                <w:sz w:val="21"/>
              </w:rPr>
            </w:pPr>
          </w:p>
        </w:tc>
        <w:tc>
          <w:tcPr>
            <w:tcW w:w="1134" w:type="dxa"/>
            <w:vAlign w:val="top"/>
          </w:tcPr>
          <w:p w14:paraId="17A13C6C">
            <w:pPr>
              <w:rPr>
                <w:rFonts w:ascii="Arial"/>
                <w:sz w:val="21"/>
              </w:rPr>
            </w:pPr>
          </w:p>
        </w:tc>
        <w:tc>
          <w:tcPr>
            <w:tcW w:w="1130" w:type="dxa"/>
            <w:vAlign w:val="top"/>
          </w:tcPr>
          <w:p w14:paraId="17C0680D">
            <w:pPr>
              <w:rPr>
                <w:rFonts w:ascii="Arial"/>
                <w:sz w:val="21"/>
              </w:rPr>
            </w:pPr>
          </w:p>
        </w:tc>
        <w:tc>
          <w:tcPr>
            <w:tcW w:w="4261" w:type="dxa"/>
            <w:tcBorders>
              <w:right w:val="single" w:color="000000" w:sz="10" w:space="0"/>
            </w:tcBorders>
            <w:vAlign w:val="top"/>
          </w:tcPr>
          <w:p w14:paraId="2EA723B4">
            <w:pPr>
              <w:rPr>
                <w:rFonts w:ascii="Arial"/>
                <w:sz w:val="21"/>
              </w:rPr>
            </w:pPr>
          </w:p>
        </w:tc>
      </w:tr>
      <w:tr w14:paraId="002FDE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880" w:type="dxa"/>
            <w:tcBorders>
              <w:left w:val="single" w:color="000000" w:sz="10" w:space="0"/>
            </w:tcBorders>
            <w:vAlign w:val="top"/>
          </w:tcPr>
          <w:p w14:paraId="44B812FD">
            <w:pPr>
              <w:pStyle w:val="11"/>
              <w:spacing w:before="188" w:line="217" w:lineRule="auto"/>
              <w:ind w:left="515"/>
            </w:pPr>
            <w:r>
              <w:rPr>
                <w:spacing w:val="-2"/>
              </w:rPr>
              <w:t>安全管理</w:t>
            </w:r>
          </w:p>
        </w:tc>
        <w:tc>
          <w:tcPr>
            <w:tcW w:w="1413" w:type="dxa"/>
            <w:vAlign w:val="top"/>
          </w:tcPr>
          <w:p w14:paraId="662F655F">
            <w:pPr>
              <w:rPr>
                <w:rFonts w:ascii="Arial"/>
                <w:sz w:val="21"/>
              </w:rPr>
            </w:pPr>
          </w:p>
        </w:tc>
        <w:tc>
          <w:tcPr>
            <w:tcW w:w="1134" w:type="dxa"/>
            <w:vAlign w:val="top"/>
          </w:tcPr>
          <w:p w14:paraId="16AA5690">
            <w:pPr>
              <w:rPr>
                <w:rFonts w:ascii="Arial"/>
                <w:sz w:val="21"/>
              </w:rPr>
            </w:pPr>
          </w:p>
        </w:tc>
        <w:tc>
          <w:tcPr>
            <w:tcW w:w="1130" w:type="dxa"/>
            <w:vAlign w:val="top"/>
          </w:tcPr>
          <w:p w14:paraId="460288CE">
            <w:pPr>
              <w:rPr>
                <w:rFonts w:ascii="Arial"/>
                <w:sz w:val="21"/>
              </w:rPr>
            </w:pPr>
          </w:p>
        </w:tc>
        <w:tc>
          <w:tcPr>
            <w:tcW w:w="4261" w:type="dxa"/>
            <w:tcBorders>
              <w:right w:val="single" w:color="000000" w:sz="10" w:space="0"/>
            </w:tcBorders>
            <w:vAlign w:val="top"/>
          </w:tcPr>
          <w:p w14:paraId="036A79A4">
            <w:pPr>
              <w:rPr>
                <w:rFonts w:ascii="Arial"/>
                <w:sz w:val="21"/>
              </w:rPr>
            </w:pPr>
          </w:p>
        </w:tc>
      </w:tr>
      <w:tr w14:paraId="7008D6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0" w:hRule="atLeast"/>
        </w:trPr>
        <w:tc>
          <w:tcPr>
            <w:tcW w:w="1880" w:type="dxa"/>
            <w:vMerge w:val="restart"/>
            <w:tcBorders>
              <w:left w:val="single" w:color="000000" w:sz="10" w:space="0"/>
              <w:bottom w:val="nil"/>
            </w:tcBorders>
            <w:vAlign w:val="top"/>
          </w:tcPr>
          <w:p w14:paraId="68913ABA">
            <w:pPr>
              <w:spacing w:line="249" w:lineRule="auto"/>
              <w:rPr>
                <w:rFonts w:ascii="Arial"/>
                <w:sz w:val="21"/>
              </w:rPr>
            </w:pPr>
          </w:p>
          <w:p w14:paraId="559C22E7">
            <w:pPr>
              <w:spacing w:line="249" w:lineRule="auto"/>
              <w:rPr>
                <w:rFonts w:ascii="Arial"/>
                <w:sz w:val="21"/>
              </w:rPr>
            </w:pPr>
          </w:p>
          <w:p w14:paraId="183DC9A9">
            <w:pPr>
              <w:spacing w:line="249" w:lineRule="auto"/>
              <w:rPr>
                <w:rFonts w:ascii="Arial"/>
                <w:sz w:val="21"/>
              </w:rPr>
            </w:pPr>
          </w:p>
          <w:p w14:paraId="0B569008">
            <w:pPr>
              <w:spacing w:line="249" w:lineRule="auto"/>
              <w:rPr>
                <w:rFonts w:ascii="Arial"/>
                <w:sz w:val="21"/>
              </w:rPr>
            </w:pPr>
          </w:p>
          <w:p w14:paraId="3030226C">
            <w:pPr>
              <w:spacing w:line="250" w:lineRule="auto"/>
              <w:rPr>
                <w:rFonts w:ascii="Arial"/>
                <w:sz w:val="21"/>
              </w:rPr>
            </w:pPr>
          </w:p>
          <w:p w14:paraId="33C62BCA">
            <w:pPr>
              <w:pStyle w:val="11"/>
              <w:spacing w:before="68" w:line="221" w:lineRule="auto"/>
              <w:ind w:left="512"/>
            </w:pPr>
            <w:r>
              <w:rPr>
                <w:spacing w:val="-1"/>
              </w:rPr>
              <w:t>其他人员</w:t>
            </w:r>
          </w:p>
        </w:tc>
        <w:tc>
          <w:tcPr>
            <w:tcW w:w="1413" w:type="dxa"/>
            <w:vAlign w:val="top"/>
          </w:tcPr>
          <w:p w14:paraId="59F374DF">
            <w:pPr>
              <w:rPr>
                <w:rFonts w:ascii="Arial"/>
                <w:sz w:val="21"/>
              </w:rPr>
            </w:pPr>
          </w:p>
        </w:tc>
        <w:tc>
          <w:tcPr>
            <w:tcW w:w="1134" w:type="dxa"/>
            <w:vAlign w:val="top"/>
          </w:tcPr>
          <w:p w14:paraId="5102A046">
            <w:pPr>
              <w:rPr>
                <w:rFonts w:ascii="Arial"/>
                <w:sz w:val="21"/>
              </w:rPr>
            </w:pPr>
          </w:p>
        </w:tc>
        <w:tc>
          <w:tcPr>
            <w:tcW w:w="1130" w:type="dxa"/>
            <w:vAlign w:val="top"/>
          </w:tcPr>
          <w:p w14:paraId="2C757838">
            <w:pPr>
              <w:rPr>
                <w:rFonts w:ascii="Arial"/>
                <w:sz w:val="21"/>
              </w:rPr>
            </w:pPr>
          </w:p>
        </w:tc>
        <w:tc>
          <w:tcPr>
            <w:tcW w:w="4261" w:type="dxa"/>
            <w:tcBorders>
              <w:right w:val="single" w:color="000000" w:sz="10" w:space="0"/>
            </w:tcBorders>
            <w:vAlign w:val="top"/>
          </w:tcPr>
          <w:p w14:paraId="6B60D94E">
            <w:pPr>
              <w:rPr>
                <w:rFonts w:ascii="Arial"/>
                <w:sz w:val="21"/>
              </w:rPr>
            </w:pPr>
          </w:p>
        </w:tc>
      </w:tr>
      <w:tr w14:paraId="02525A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880" w:type="dxa"/>
            <w:vMerge w:val="continue"/>
            <w:tcBorders>
              <w:top w:val="nil"/>
              <w:left w:val="single" w:color="000000" w:sz="10" w:space="0"/>
              <w:bottom w:val="nil"/>
            </w:tcBorders>
            <w:vAlign w:val="top"/>
          </w:tcPr>
          <w:p w14:paraId="2C5C76F7">
            <w:pPr>
              <w:rPr>
                <w:rFonts w:ascii="Arial"/>
                <w:sz w:val="21"/>
              </w:rPr>
            </w:pPr>
          </w:p>
        </w:tc>
        <w:tc>
          <w:tcPr>
            <w:tcW w:w="1413" w:type="dxa"/>
            <w:vAlign w:val="top"/>
          </w:tcPr>
          <w:p w14:paraId="5099F6CD">
            <w:pPr>
              <w:rPr>
                <w:rFonts w:ascii="Arial"/>
                <w:sz w:val="21"/>
              </w:rPr>
            </w:pPr>
          </w:p>
        </w:tc>
        <w:tc>
          <w:tcPr>
            <w:tcW w:w="1134" w:type="dxa"/>
            <w:vAlign w:val="top"/>
          </w:tcPr>
          <w:p w14:paraId="061E77C2">
            <w:pPr>
              <w:rPr>
                <w:rFonts w:ascii="Arial"/>
                <w:sz w:val="21"/>
              </w:rPr>
            </w:pPr>
          </w:p>
        </w:tc>
        <w:tc>
          <w:tcPr>
            <w:tcW w:w="1130" w:type="dxa"/>
            <w:vAlign w:val="top"/>
          </w:tcPr>
          <w:p w14:paraId="6742FA2E">
            <w:pPr>
              <w:rPr>
                <w:rFonts w:ascii="Arial"/>
                <w:sz w:val="21"/>
              </w:rPr>
            </w:pPr>
          </w:p>
        </w:tc>
        <w:tc>
          <w:tcPr>
            <w:tcW w:w="4261" w:type="dxa"/>
            <w:tcBorders>
              <w:right w:val="single" w:color="000000" w:sz="10" w:space="0"/>
            </w:tcBorders>
            <w:vAlign w:val="top"/>
          </w:tcPr>
          <w:p w14:paraId="2B3DCF09">
            <w:pPr>
              <w:rPr>
                <w:rFonts w:ascii="Arial"/>
                <w:sz w:val="21"/>
              </w:rPr>
            </w:pPr>
          </w:p>
        </w:tc>
      </w:tr>
      <w:tr w14:paraId="08EDB4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45" w:hRule="atLeast"/>
        </w:trPr>
        <w:tc>
          <w:tcPr>
            <w:tcW w:w="1880" w:type="dxa"/>
            <w:vMerge w:val="continue"/>
            <w:tcBorders>
              <w:top w:val="nil"/>
              <w:left w:val="single" w:color="000000" w:sz="10" w:space="0"/>
              <w:bottom w:val="nil"/>
            </w:tcBorders>
            <w:vAlign w:val="top"/>
          </w:tcPr>
          <w:p w14:paraId="108344D6">
            <w:pPr>
              <w:rPr>
                <w:rFonts w:ascii="Arial"/>
                <w:sz w:val="21"/>
              </w:rPr>
            </w:pPr>
          </w:p>
        </w:tc>
        <w:tc>
          <w:tcPr>
            <w:tcW w:w="1413" w:type="dxa"/>
            <w:vAlign w:val="top"/>
          </w:tcPr>
          <w:p w14:paraId="51D8C917">
            <w:pPr>
              <w:rPr>
                <w:rFonts w:ascii="Arial"/>
                <w:sz w:val="21"/>
              </w:rPr>
            </w:pPr>
          </w:p>
        </w:tc>
        <w:tc>
          <w:tcPr>
            <w:tcW w:w="1134" w:type="dxa"/>
            <w:vAlign w:val="top"/>
          </w:tcPr>
          <w:p w14:paraId="76BC2B20">
            <w:pPr>
              <w:rPr>
                <w:rFonts w:ascii="Arial"/>
                <w:sz w:val="21"/>
              </w:rPr>
            </w:pPr>
          </w:p>
        </w:tc>
        <w:tc>
          <w:tcPr>
            <w:tcW w:w="1130" w:type="dxa"/>
            <w:vAlign w:val="top"/>
          </w:tcPr>
          <w:p w14:paraId="08675A10">
            <w:pPr>
              <w:rPr>
                <w:rFonts w:ascii="Arial"/>
                <w:sz w:val="21"/>
              </w:rPr>
            </w:pPr>
          </w:p>
        </w:tc>
        <w:tc>
          <w:tcPr>
            <w:tcW w:w="4261" w:type="dxa"/>
            <w:tcBorders>
              <w:right w:val="single" w:color="000000" w:sz="10" w:space="0"/>
            </w:tcBorders>
            <w:vAlign w:val="top"/>
          </w:tcPr>
          <w:p w14:paraId="77743537">
            <w:pPr>
              <w:rPr>
                <w:rFonts w:ascii="Arial"/>
                <w:sz w:val="21"/>
              </w:rPr>
            </w:pPr>
          </w:p>
        </w:tc>
      </w:tr>
      <w:tr w14:paraId="60CC4B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880" w:type="dxa"/>
            <w:vMerge w:val="continue"/>
            <w:tcBorders>
              <w:top w:val="nil"/>
              <w:left w:val="single" w:color="000000" w:sz="10" w:space="0"/>
              <w:bottom w:val="nil"/>
            </w:tcBorders>
            <w:vAlign w:val="top"/>
          </w:tcPr>
          <w:p w14:paraId="7BC7FF3C">
            <w:pPr>
              <w:rPr>
                <w:rFonts w:ascii="Arial"/>
                <w:sz w:val="21"/>
              </w:rPr>
            </w:pPr>
          </w:p>
        </w:tc>
        <w:tc>
          <w:tcPr>
            <w:tcW w:w="1413" w:type="dxa"/>
            <w:vAlign w:val="top"/>
          </w:tcPr>
          <w:p w14:paraId="77E56D6E">
            <w:pPr>
              <w:rPr>
                <w:rFonts w:ascii="Arial"/>
                <w:sz w:val="21"/>
              </w:rPr>
            </w:pPr>
          </w:p>
        </w:tc>
        <w:tc>
          <w:tcPr>
            <w:tcW w:w="1134" w:type="dxa"/>
            <w:vAlign w:val="top"/>
          </w:tcPr>
          <w:p w14:paraId="1C2770EA">
            <w:pPr>
              <w:rPr>
                <w:rFonts w:ascii="Arial"/>
                <w:sz w:val="21"/>
              </w:rPr>
            </w:pPr>
          </w:p>
        </w:tc>
        <w:tc>
          <w:tcPr>
            <w:tcW w:w="1130" w:type="dxa"/>
            <w:vAlign w:val="top"/>
          </w:tcPr>
          <w:p w14:paraId="3EE86677">
            <w:pPr>
              <w:rPr>
                <w:rFonts w:ascii="Arial"/>
                <w:sz w:val="21"/>
              </w:rPr>
            </w:pPr>
          </w:p>
        </w:tc>
        <w:tc>
          <w:tcPr>
            <w:tcW w:w="4261" w:type="dxa"/>
            <w:tcBorders>
              <w:right w:val="single" w:color="000000" w:sz="10" w:space="0"/>
            </w:tcBorders>
            <w:vAlign w:val="top"/>
          </w:tcPr>
          <w:p w14:paraId="3EEEEE17">
            <w:pPr>
              <w:rPr>
                <w:rFonts w:ascii="Arial"/>
                <w:sz w:val="21"/>
              </w:rPr>
            </w:pPr>
          </w:p>
        </w:tc>
      </w:tr>
      <w:tr w14:paraId="734C2F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880" w:type="dxa"/>
            <w:vMerge w:val="continue"/>
            <w:tcBorders>
              <w:top w:val="nil"/>
              <w:left w:val="single" w:color="000000" w:sz="10" w:space="0"/>
              <w:bottom w:val="nil"/>
            </w:tcBorders>
            <w:vAlign w:val="top"/>
          </w:tcPr>
          <w:p w14:paraId="501C0693">
            <w:pPr>
              <w:rPr>
                <w:rFonts w:ascii="Arial"/>
                <w:sz w:val="21"/>
              </w:rPr>
            </w:pPr>
          </w:p>
        </w:tc>
        <w:tc>
          <w:tcPr>
            <w:tcW w:w="1413" w:type="dxa"/>
            <w:vAlign w:val="top"/>
          </w:tcPr>
          <w:p w14:paraId="7E550586">
            <w:pPr>
              <w:rPr>
                <w:rFonts w:ascii="Arial"/>
                <w:sz w:val="21"/>
              </w:rPr>
            </w:pPr>
          </w:p>
        </w:tc>
        <w:tc>
          <w:tcPr>
            <w:tcW w:w="1134" w:type="dxa"/>
            <w:vAlign w:val="top"/>
          </w:tcPr>
          <w:p w14:paraId="317F965E">
            <w:pPr>
              <w:rPr>
                <w:rFonts w:ascii="Arial"/>
                <w:sz w:val="21"/>
              </w:rPr>
            </w:pPr>
          </w:p>
        </w:tc>
        <w:tc>
          <w:tcPr>
            <w:tcW w:w="1130" w:type="dxa"/>
            <w:vAlign w:val="top"/>
          </w:tcPr>
          <w:p w14:paraId="4EE7B661">
            <w:pPr>
              <w:rPr>
                <w:rFonts w:ascii="Arial"/>
                <w:sz w:val="21"/>
              </w:rPr>
            </w:pPr>
          </w:p>
        </w:tc>
        <w:tc>
          <w:tcPr>
            <w:tcW w:w="4261" w:type="dxa"/>
            <w:tcBorders>
              <w:right w:val="single" w:color="000000" w:sz="10" w:space="0"/>
            </w:tcBorders>
            <w:vAlign w:val="top"/>
          </w:tcPr>
          <w:p w14:paraId="6D3F7449">
            <w:pPr>
              <w:rPr>
                <w:rFonts w:ascii="Arial"/>
                <w:sz w:val="21"/>
              </w:rPr>
            </w:pPr>
          </w:p>
        </w:tc>
      </w:tr>
      <w:tr w14:paraId="4A2738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6" w:hRule="atLeast"/>
        </w:trPr>
        <w:tc>
          <w:tcPr>
            <w:tcW w:w="1880" w:type="dxa"/>
            <w:vMerge w:val="continue"/>
            <w:tcBorders>
              <w:top w:val="nil"/>
              <w:left w:val="single" w:color="000000" w:sz="10" w:space="0"/>
              <w:bottom w:val="single" w:color="000000" w:sz="10" w:space="0"/>
            </w:tcBorders>
            <w:vAlign w:val="top"/>
          </w:tcPr>
          <w:p w14:paraId="19E3AA5B">
            <w:pPr>
              <w:rPr>
                <w:rFonts w:ascii="Arial"/>
                <w:sz w:val="21"/>
              </w:rPr>
            </w:pPr>
          </w:p>
        </w:tc>
        <w:tc>
          <w:tcPr>
            <w:tcW w:w="1413" w:type="dxa"/>
            <w:tcBorders>
              <w:bottom w:val="single" w:color="000000" w:sz="10" w:space="0"/>
            </w:tcBorders>
            <w:vAlign w:val="top"/>
          </w:tcPr>
          <w:p w14:paraId="61D1D107">
            <w:pPr>
              <w:rPr>
                <w:rFonts w:ascii="Arial"/>
                <w:sz w:val="21"/>
              </w:rPr>
            </w:pPr>
          </w:p>
        </w:tc>
        <w:tc>
          <w:tcPr>
            <w:tcW w:w="1134" w:type="dxa"/>
            <w:tcBorders>
              <w:bottom w:val="single" w:color="000000" w:sz="10" w:space="0"/>
            </w:tcBorders>
            <w:vAlign w:val="top"/>
          </w:tcPr>
          <w:p w14:paraId="28F51DA2">
            <w:pPr>
              <w:rPr>
                <w:rFonts w:ascii="Arial"/>
                <w:sz w:val="21"/>
              </w:rPr>
            </w:pPr>
          </w:p>
        </w:tc>
        <w:tc>
          <w:tcPr>
            <w:tcW w:w="1130" w:type="dxa"/>
            <w:tcBorders>
              <w:bottom w:val="single" w:color="000000" w:sz="10" w:space="0"/>
            </w:tcBorders>
            <w:vAlign w:val="top"/>
          </w:tcPr>
          <w:p w14:paraId="068897C9">
            <w:pPr>
              <w:rPr>
                <w:rFonts w:ascii="Arial"/>
                <w:sz w:val="21"/>
              </w:rPr>
            </w:pPr>
          </w:p>
        </w:tc>
        <w:tc>
          <w:tcPr>
            <w:tcW w:w="4261" w:type="dxa"/>
            <w:tcBorders>
              <w:bottom w:val="single" w:color="000000" w:sz="10" w:space="0"/>
              <w:right w:val="single" w:color="000000" w:sz="10" w:space="0"/>
            </w:tcBorders>
            <w:vAlign w:val="top"/>
          </w:tcPr>
          <w:p w14:paraId="0FFAAD0F">
            <w:pPr>
              <w:rPr>
                <w:rFonts w:ascii="Arial"/>
                <w:sz w:val="21"/>
              </w:rPr>
            </w:pPr>
          </w:p>
        </w:tc>
      </w:tr>
    </w:tbl>
    <w:p w14:paraId="6D9A4EE4">
      <w:pPr>
        <w:pStyle w:val="3"/>
      </w:pPr>
    </w:p>
    <w:p w14:paraId="49209C44">
      <w:pPr>
        <w:sectPr>
          <w:footerReference r:id="rId149" w:type="default"/>
          <w:pgSz w:w="11905" w:h="16839"/>
          <w:pgMar w:top="400" w:right="1027" w:bottom="1004" w:left="1032" w:header="0" w:footer="828" w:gutter="0"/>
          <w:pgNumType w:fmt="decimal"/>
          <w:cols w:space="720" w:num="1"/>
        </w:sectPr>
      </w:pPr>
    </w:p>
    <w:p w14:paraId="2CBEB846">
      <w:pPr>
        <w:pStyle w:val="3"/>
        <w:spacing w:line="276" w:lineRule="auto"/>
      </w:pPr>
    </w:p>
    <w:p w14:paraId="5BF2F6FA">
      <w:pPr>
        <w:pStyle w:val="3"/>
        <w:spacing w:line="276" w:lineRule="auto"/>
      </w:pPr>
    </w:p>
    <w:p w14:paraId="7FB2DD42">
      <w:pPr>
        <w:pStyle w:val="3"/>
        <w:spacing w:line="276" w:lineRule="auto"/>
      </w:pPr>
    </w:p>
    <w:p w14:paraId="7D7B99F2">
      <w:pPr>
        <w:pStyle w:val="3"/>
        <w:spacing w:line="276" w:lineRule="auto"/>
      </w:pPr>
    </w:p>
    <w:p w14:paraId="04BD2249">
      <w:pPr>
        <w:spacing w:before="78" w:line="219" w:lineRule="auto"/>
        <w:ind w:left="791"/>
        <w:rPr>
          <w:rFonts w:ascii="宋体" w:hAnsi="宋体" w:eastAsia="宋体" w:cs="宋体"/>
          <w:sz w:val="24"/>
          <w:szCs w:val="24"/>
        </w:rPr>
      </w:pPr>
      <w:r>
        <w:rPr>
          <w:rFonts w:ascii="宋体" w:hAnsi="宋体" w:eastAsia="宋体" w:cs="宋体"/>
          <w:spacing w:val="-10"/>
          <w:sz w:val="24"/>
          <w:szCs w:val="24"/>
        </w:rPr>
        <w:t>附件</w:t>
      </w:r>
      <w:r>
        <w:rPr>
          <w:rFonts w:ascii="宋体" w:hAnsi="宋体" w:eastAsia="宋体" w:cs="宋体"/>
          <w:spacing w:val="-51"/>
          <w:sz w:val="24"/>
          <w:szCs w:val="24"/>
        </w:rPr>
        <w:t xml:space="preserve"> </w:t>
      </w:r>
      <w:r>
        <w:rPr>
          <w:rFonts w:ascii="Times New Roman" w:hAnsi="Times New Roman" w:eastAsia="Times New Roman" w:cs="Times New Roman"/>
          <w:spacing w:val="-10"/>
          <w:sz w:val="24"/>
          <w:szCs w:val="24"/>
        </w:rPr>
        <w:t>7</w:t>
      </w:r>
      <w:r>
        <w:rPr>
          <w:rFonts w:ascii="宋体" w:hAnsi="宋体" w:eastAsia="宋体" w:cs="宋体"/>
          <w:spacing w:val="-10"/>
          <w:sz w:val="24"/>
          <w:szCs w:val="24"/>
        </w:rPr>
        <w:t>：</w:t>
      </w:r>
    </w:p>
    <w:p w14:paraId="0B00E4D9">
      <w:pPr>
        <w:spacing w:before="243" w:line="224" w:lineRule="auto"/>
        <w:ind w:left="3258"/>
        <w:rPr>
          <w:rFonts w:ascii="黑体" w:hAnsi="黑体" w:eastAsia="黑体" w:cs="黑体"/>
          <w:sz w:val="27"/>
          <w:szCs w:val="27"/>
        </w:rPr>
      </w:pPr>
      <w:bookmarkStart w:id="1275" w:name="bookmark229"/>
      <w:bookmarkEnd w:id="1275"/>
      <w:r>
        <w:rPr>
          <w:rFonts w:ascii="黑体" w:hAnsi="黑体" w:eastAsia="黑体" w:cs="黑体"/>
          <w:spacing w:val="8"/>
          <w:sz w:val="27"/>
          <w:szCs w:val="27"/>
        </w:rPr>
        <w:t>分包人主要施工管理人员表</w:t>
      </w:r>
    </w:p>
    <w:p w14:paraId="0085252E">
      <w:pPr>
        <w:spacing w:line="113" w:lineRule="exact"/>
      </w:pPr>
    </w:p>
    <w:tbl>
      <w:tblPr>
        <w:tblStyle w:val="10"/>
        <w:tblW w:w="9818" w:type="dxa"/>
        <w:tblInd w:w="1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880"/>
        <w:gridCol w:w="1413"/>
        <w:gridCol w:w="1134"/>
        <w:gridCol w:w="1130"/>
        <w:gridCol w:w="4261"/>
      </w:tblGrid>
      <w:tr w14:paraId="0F2774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2" w:hRule="atLeast"/>
        </w:trPr>
        <w:tc>
          <w:tcPr>
            <w:tcW w:w="1880" w:type="dxa"/>
            <w:tcBorders>
              <w:top w:val="single" w:color="000000" w:sz="10" w:space="0"/>
              <w:left w:val="single" w:color="000000" w:sz="10" w:space="0"/>
            </w:tcBorders>
            <w:vAlign w:val="top"/>
          </w:tcPr>
          <w:p w14:paraId="131704E6">
            <w:pPr>
              <w:pStyle w:val="11"/>
              <w:spacing w:before="177" w:line="223" w:lineRule="auto"/>
              <w:ind w:left="513"/>
            </w:pPr>
            <w:r>
              <w:rPr>
                <w:spacing w:val="-5"/>
              </w:rPr>
              <w:t>名</w:t>
            </w:r>
            <w:r>
              <w:rPr>
                <w:spacing w:val="2"/>
              </w:rPr>
              <w:t xml:space="preserve">    </w:t>
            </w:r>
            <w:r>
              <w:rPr>
                <w:spacing w:val="-5"/>
              </w:rPr>
              <w:t>称</w:t>
            </w:r>
          </w:p>
        </w:tc>
        <w:tc>
          <w:tcPr>
            <w:tcW w:w="1413" w:type="dxa"/>
            <w:tcBorders>
              <w:top w:val="single" w:color="000000" w:sz="10" w:space="0"/>
            </w:tcBorders>
            <w:vAlign w:val="top"/>
          </w:tcPr>
          <w:p w14:paraId="3BA2D78B">
            <w:pPr>
              <w:pStyle w:val="11"/>
              <w:spacing w:before="177" w:line="221" w:lineRule="auto"/>
              <w:ind w:left="497"/>
            </w:pPr>
            <w:r>
              <w:rPr>
                <w:spacing w:val="-2"/>
              </w:rPr>
              <w:t>姓名</w:t>
            </w:r>
          </w:p>
        </w:tc>
        <w:tc>
          <w:tcPr>
            <w:tcW w:w="1134" w:type="dxa"/>
            <w:tcBorders>
              <w:top w:val="single" w:color="000000" w:sz="10" w:space="0"/>
            </w:tcBorders>
            <w:vAlign w:val="top"/>
          </w:tcPr>
          <w:p w14:paraId="6E587897">
            <w:pPr>
              <w:pStyle w:val="11"/>
              <w:spacing w:before="177" w:line="221" w:lineRule="auto"/>
              <w:ind w:left="357"/>
            </w:pPr>
            <w:r>
              <w:rPr>
                <w:spacing w:val="-2"/>
              </w:rPr>
              <w:t>职务</w:t>
            </w:r>
          </w:p>
        </w:tc>
        <w:tc>
          <w:tcPr>
            <w:tcW w:w="1130" w:type="dxa"/>
            <w:tcBorders>
              <w:top w:val="single" w:color="000000" w:sz="10" w:space="0"/>
            </w:tcBorders>
            <w:vAlign w:val="top"/>
          </w:tcPr>
          <w:p w14:paraId="5A7FC836">
            <w:pPr>
              <w:pStyle w:val="11"/>
              <w:spacing w:before="177" w:line="223" w:lineRule="auto"/>
              <w:ind w:left="361"/>
            </w:pPr>
            <w:r>
              <w:rPr>
                <w:spacing w:val="-2"/>
              </w:rPr>
              <w:t>职称</w:t>
            </w:r>
          </w:p>
        </w:tc>
        <w:tc>
          <w:tcPr>
            <w:tcW w:w="4261" w:type="dxa"/>
            <w:tcBorders>
              <w:top w:val="single" w:color="000000" w:sz="10" w:space="0"/>
              <w:right w:val="single" w:color="000000" w:sz="10" w:space="0"/>
            </w:tcBorders>
            <w:vAlign w:val="top"/>
          </w:tcPr>
          <w:p w14:paraId="091E577F">
            <w:pPr>
              <w:pStyle w:val="11"/>
              <w:spacing w:before="177" w:line="221" w:lineRule="auto"/>
              <w:ind w:left="668"/>
            </w:pPr>
            <w:r>
              <w:rPr>
                <w:spacing w:val="-1"/>
              </w:rPr>
              <w:t>主要资历、经验及承担过的项目</w:t>
            </w:r>
          </w:p>
        </w:tc>
      </w:tr>
      <w:tr w14:paraId="6F43BD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3" w:hRule="atLeast"/>
        </w:trPr>
        <w:tc>
          <w:tcPr>
            <w:tcW w:w="9818" w:type="dxa"/>
            <w:gridSpan w:val="5"/>
            <w:tcBorders>
              <w:left w:val="single" w:color="000000" w:sz="10" w:space="0"/>
              <w:right w:val="single" w:color="000000" w:sz="10" w:space="0"/>
            </w:tcBorders>
            <w:vAlign w:val="top"/>
          </w:tcPr>
          <w:p w14:paraId="67FA06DE">
            <w:pPr>
              <w:pStyle w:val="11"/>
              <w:spacing w:before="200" w:line="221" w:lineRule="auto"/>
              <w:ind w:left="4279"/>
            </w:pPr>
            <w:r>
              <w:rPr>
                <w:spacing w:val="-3"/>
              </w:rPr>
              <w:t>一、总部人员</w:t>
            </w:r>
          </w:p>
        </w:tc>
      </w:tr>
      <w:tr w14:paraId="2127C6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880" w:type="dxa"/>
            <w:tcBorders>
              <w:left w:val="single" w:color="000000" w:sz="10" w:space="0"/>
            </w:tcBorders>
            <w:vAlign w:val="top"/>
          </w:tcPr>
          <w:p w14:paraId="0FFDDDE1">
            <w:pPr>
              <w:pStyle w:val="11"/>
              <w:spacing w:before="173" w:line="221" w:lineRule="auto"/>
              <w:ind w:left="514"/>
            </w:pPr>
            <w:r>
              <w:rPr>
                <w:spacing w:val="-2"/>
              </w:rPr>
              <w:t>项目主管</w:t>
            </w:r>
          </w:p>
        </w:tc>
        <w:tc>
          <w:tcPr>
            <w:tcW w:w="1413" w:type="dxa"/>
            <w:vAlign w:val="top"/>
          </w:tcPr>
          <w:p w14:paraId="786B8750">
            <w:pPr>
              <w:rPr>
                <w:rFonts w:ascii="Arial"/>
                <w:sz w:val="21"/>
              </w:rPr>
            </w:pPr>
          </w:p>
        </w:tc>
        <w:tc>
          <w:tcPr>
            <w:tcW w:w="1134" w:type="dxa"/>
            <w:vAlign w:val="top"/>
          </w:tcPr>
          <w:p w14:paraId="25257941">
            <w:pPr>
              <w:rPr>
                <w:rFonts w:ascii="Arial"/>
                <w:sz w:val="21"/>
              </w:rPr>
            </w:pPr>
          </w:p>
        </w:tc>
        <w:tc>
          <w:tcPr>
            <w:tcW w:w="1130" w:type="dxa"/>
            <w:vAlign w:val="top"/>
          </w:tcPr>
          <w:p w14:paraId="22950366">
            <w:pPr>
              <w:rPr>
                <w:rFonts w:ascii="Arial"/>
                <w:sz w:val="21"/>
              </w:rPr>
            </w:pPr>
          </w:p>
        </w:tc>
        <w:tc>
          <w:tcPr>
            <w:tcW w:w="4261" w:type="dxa"/>
            <w:tcBorders>
              <w:right w:val="single" w:color="000000" w:sz="10" w:space="0"/>
            </w:tcBorders>
            <w:vAlign w:val="top"/>
          </w:tcPr>
          <w:p w14:paraId="406B611B">
            <w:pPr>
              <w:rPr>
                <w:rFonts w:ascii="Arial"/>
                <w:sz w:val="21"/>
              </w:rPr>
            </w:pPr>
          </w:p>
        </w:tc>
      </w:tr>
      <w:tr w14:paraId="10EF64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880" w:type="dxa"/>
            <w:vMerge w:val="restart"/>
            <w:tcBorders>
              <w:left w:val="single" w:color="000000" w:sz="10" w:space="0"/>
              <w:bottom w:val="nil"/>
            </w:tcBorders>
            <w:vAlign w:val="top"/>
          </w:tcPr>
          <w:p w14:paraId="34B5F63B">
            <w:pPr>
              <w:spacing w:line="280" w:lineRule="auto"/>
              <w:rPr>
                <w:rFonts w:ascii="Arial"/>
                <w:sz w:val="21"/>
              </w:rPr>
            </w:pPr>
          </w:p>
          <w:p w14:paraId="0C214429">
            <w:pPr>
              <w:spacing w:line="280" w:lineRule="auto"/>
              <w:rPr>
                <w:rFonts w:ascii="Arial"/>
                <w:sz w:val="21"/>
              </w:rPr>
            </w:pPr>
          </w:p>
          <w:p w14:paraId="1E762DB2">
            <w:pPr>
              <w:pStyle w:val="11"/>
              <w:spacing w:before="68" w:line="221" w:lineRule="auto"/>
              <w:ind w:left="512"/>
            </w:pPr>
            <w:r>
              <w:rPr>
                <w:spacing w:val="-1"/>
              </w:rPr>
              <w:t>其他人员</w:t>
            </w:r>
          </w:p>
        </w:tc>
        <w:tc>
          <w:tcPr>
            <w:tcW w:w="1413" w:type="dxa"/>
            <w:vAlign w:val="top"/>
          </w:tcPr>
          <w:p w14:paraId="06FBA8EA">
            <w:pPr>
              <w:rPr>
                <w:rFonts w:ascii="Arial"/>
                <w:sz w:val="21"/>
              </w:rPr>
            </w:pPr>
          </w:p>
        </w:tc>
        <w:tc>
          <w:tcPr>
            <w:tcW w:w="1134" w:type="dxa"/>
            <w:vAlign w:val="top"/>
          </w:tcPr>
          <w:p w14:paraId="453C4194">
            <w:pPr>
              <w:rPr>
                <w:rFonts w:ascii="Arial"/>
                <w:sz w:val="21"/>
              </w:rPr>
            </w:pPr>
          </w:p>
        </w:tc>
        <w:tc>
          <w:tcPr>
            <w:tcW w:w="1130" w:type="dxa"/>
            <w:vAlign w:val="top"/>
          </w:tcPr>
          <w:p w14:paraId="75B7C6DB">
            <w:pPr>
              <w:rPr>
                <w:rFonts w:ascii="Arial"/>
                <w:sz w:val="21"/>
              </w:rPr>
            </w:pPr>
          </w:p>
        </w:tc>
        <w:tc>
          <w:tcPr>
            <w:tcW w:w="4261" w:type="dxa"/>
            <w:tcBorders>
              <w:right w:val="single" w:color="000000" w:sz="10" w:space="0"/>
            </w:tcBorders>
            <w:vAlign w:val="top"/>
          </w:tcPr>
          <w:p w14:paraId="10AD7557">
            <w:pPr>
              <w:rPr>
                <w:rFonts w:ascii="Arial"/>
                <w:sz w:val="21"/>
              </w:rPr>
            </w:pPr>
          </w:p>
        </w:tc>
      </w:tr>
      <w:tr w14:paraId="091DD7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880" w:type="dxa"/>
            <w:vMerge w:val="continue"/>
            <w:tcBorders>
              <w:top w:val="nil"/>
              <w:left w:val="single" w:color="000000" w:sz="10" w:space="0"/>
              <w:bottom w:val="nil"/>
            </w:tcBorders>
            <w:vAlign w:val="top"/>
          </w:tcPr>
          <w:p w14:paraId="0A25DD75">
            <w:pPr>
              <w:rPr>
                <w:rFonts w:ascii="Arial"/>
                <w:sz w:val="21"/>
              </w:rPr>
            </w:pPr>
          </w:p>
        </w:tc>
        <w:tc>
          <w:tcPr>
            <w:tcW w:w="1413" w:type="dxa"/>
            <w:vAlign w:val="top"/>
          </w:tcPr>
          <w:p w14:paraId="6A8FEDFD">
            <w:pPr>
              <w:rPr>
                <w:rFonts w:ascii="Arial"/>
                <w:sz w:val="21"/>
              </w:rPr>
            </w:pPr>
          </w:p>
        </w:tc>
        <w:tc>
          <w:tcPr>
            <w:tcW w:w="1134" w:type="dxa"/>
            <w:vAlign w:val="top"/>
          </w:tcPr>
          <w:p w14:paraId="71B05761">
            <w:pPr>
              <w:rPr>
                <w:rFonts w:ascii="Arial"/>
                <w:sz w:val="21"/>
              </w:rPr>
            </w:pPr>
          </w:p>
        </w:tc>
        <w:tc>
          <w:tcPr>
            <w:tcW w:w="1130" w:type="dxa"/>
            <w:vAlign w:val="top"/>
          </w:tcPr>
          <w:p w14:paraId="42083D4C">
            <w:pPr>
              <w:rPr>
                <w:rFonts w:ascii="Arial"/>
                <w:sz w:val="21"/>
              </w:rPr>
            </w:pPr>
          </w:p>
        </w:tc>
        <w:tc>
          <w:tcPr>
            <w:tcW w:w="4261" w:type="dxa"/>
            <w:tcBorders>
              <w:right w:val="single" w:color="000000" w:sz="10" w:space="0"/>
            </w:tcBorders>
            <w:vAlign w:val="top"/>
          </w:tcPr>
          <w:p w14:paraId="1CBAD40F">
            <w:pPr>
              <w:rPr>
                <w:rFonts w:ascii="Arial"/>
                <w:sz w:val="21"/>
              </w:rPr>
            </w:pPr>
          </w:p>
        </w:tc>
      </w:tr>
      <w:tr w14:paraId="1CD7BD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0" w:hRule="atLeast"/>
        </w:trPr>
        <w:tc>
          <w:tcPr>
            <w:tcW w:w="1880" w:type="dxa"/>
            <w:vMerge w:val="continue"/>
            <w:tcBorders>
              <w:top w:val="nil"/>
              <w:left w:val="single" w:color="000000" w:sz="10" w:space="0"/>
            </w:tcBorders>
            <w:vAlign w:val="top"/>
          </w:tcPr>
          <w:p w14:paraId="46D13302">
            <w:pPr>
              <w:rPr>
                <w:rFonts w:ascii="Arial"/>
                <w:sz w:val="21"/>
              </w:rPr>
            </w:pPr>
          </w:p>
        </w:tc>
        <w:tc>
          <w:tcPr>
            <w:tcW w:w="1413" w:type="dxa"/>
            <w:vAlign w:val="top"/>
          </w:tcPr>
          <w:p w14:paraId="4C9DD1D8">
            <w:pPr>
              <w:rPr>
                <w:rFonts w:ascii="Arial"/>
                <w:sz w:val="21"/>
              </w:rPr>
            </w:pPr>
          </w:p>
        </w:tc>
        <w:tc>
          <w:tcPr>
            <w:tcW w:w="1134" w:type="dxa"/>
            <w:vAlign w:val="top"/>
          </w:tcPr>
          <w:p w14:paraId="146AE277">
            <w:pPr>
              <w:rPr>
                <w:rFonts w:ascii="Arial"/>
                <w:sz w:val="21"/>
              </w:rPr>
            </w:pPr>
          </w:p>
        </w:tc>
        <w:tc>
          <w:tcPr>
            <w:tcW w:w="1130" w:type="dxa"/>
            <w:vAlign w:val="top"/>
          </w:tcPr>
          <w:p w14:paraId="602E86C7">
            <w:pPr>
              <w:rPr>
                <w:rFonts w:ascii="Arial"/>
                <w:sz w:val="21"/>
              </w:rPr>
            </w:pPr>
          </w:p>
        </w:tc>
        <w:tc>
          <w:tcPr>
            <w:tcW w:w="4261" w:type="dxa"/>
            <w:tcBorders>
              <w:right w:val="single" w:color="000000" w:sz="10" w:space="0"/>
            </w:tcBorders>
            <w:vAlign w:val="top"/>
          </w:tcPr>
          <w:p w14:paraId="443324FE">
            <w:pPr>
              <w:rPr>
                <w:rFonts w:ascii="Arial"/>
                <w:sz w:val="21"/>
              </w:rPr>
            </w:pPr>
          </w:p>
        </w:tc>
      </w:tr>
      <w:tr w14:paraId="6B5995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9818" w:type="dxa"/>
            <w:gridSpan w:val="5"/>
            <w:tcBorders>
              <w:left w:val="single" w:color="000000" w:sz="10" w:space="0"/>
              <w:right w:val="single" w:color="000000" w:sz="10" w:space="0"/>
            </w:tcBorders>
            <w:vAlign w:val="top"/>
          </w:tcPr>
          <w:p w14:paraId="1FFDF8BD">
            <w:pPr>
              <w:pStyle w:val="11"/>
              <w:spacing w:before="178" w:line="221" w:lineRule="auto"/>
              <w:ind w:left="4279"/>
            </w:pPr>
            <w:r>
              <w:rPr>
                <w:spacing w:val="-1"/>
              </w:rPr>
              <w:t>二、现场人员</w:t>
            </w:r>
          </w:p>
        </w:tc>
      </w:tr>
      <w:tr w14:paraId="56C5A9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880" w:type="dxa"/>
            <w:tcBorders>
              <w:left w:val="single" w:color="000000" w:sz="10" w:space="0"/>
            </w:tcBorders>
            <w:vAlign w:val="top"/>
          </w:tcPr>
          <w:p w14:paraId="79978869">
            <w:pPr>
              <w:pStyle w:val="11"/>
              <w:spacing w:before="179" w:line="221" w:lineRule="auto"/>
              <w:ind w:left="514"/>
            </w:pPr>
            <w:r>
              <w:rPr>
                <w:spacing w:val="-2"/>
              </w:rPr>
              <w:t>项目经理</w:t>
            </w:r>
          </w:p>
        </w:tc>
        <w:tc>
          <w:tcPr>
            <w:tcW w:w="1413" w:type="dxa"/>
            <w:vAlign w:val="top"/>
          </w:tcPr>
          <w:p w14:paraId="5955E93D">
            <w:pPr>
              <w:rPr>
                <w:rFonts w:ascii="Arial"/>
                <w:sz w:val="21"/>
              </w:rPr>
            </w:pPr>
          </w:p>
        </w:tc>
        <w:tc>
          <w:tcPr>
            <w:tcW w:w="1134" w:type="dxa"/>
            <w:vAlign w:val="top"/>
          </w:tcPr>
          <w:p w14:paraId="6B7334AE">
            <w:pPr>
              <w:rPr>
                <w:rFonts w:ascii="Arial"/>
                <w:sz w:val="21"/>
              </w:rPr>
            </w:pPr>
          </w:p>
        </w:tc>
        <w:tc>
          <w:tcPr>
            <w:tcW w:w="1130" w:type="dxa"/>
            <w:vAlign w:val="top"/>
          </w:tcPr>
          <w:p w14:paraId="4E97A139">
            <w:pPr>
              <w:rPr>
                <w:rFonts w:ascii="Arial"/>
                <w:sz w:val="21"/>
              </w:rPr>
            </w:pPr>
          </w:p>
        </w:tc>
        <w:tc>
          <w:tcPr>
            <w:tcW w:w="4261" w:type="dxa"/>
            <w:tcBorders>
              <w:right w:val="single" w:color="000000" w:sz="10" w:space="0"/>
            </w:tcBorders>
            <w:vAlign w:val="top"/>
          </w:tcPr>
          <w:p w14:paraId="2BB3AF05">
            <w:pPr>
              <w:rPr>
                <w:rFonts w:ascii="Arial"/>
                <w:sz w:val="21"/>
              </w:rPr>
            </w:pPr>
          </w:p>
        </w:tc>
      </w:tr>
      <w:tr w14:paraId="34802E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880" w:type="dxa"/>
            <w:tcBorders>
              <w:left w:val="single" w:color="000000" w:sz="10" w:space="0"/>
            </w:tcBorders>
            <w:vAlign w:val="top"/>
          </w:tcPr>
          <w:p w14:paraId="1FEB1DDC">
            <w:pPr>
              <w:pStyle w:val="11"/>
              <w:spacing w:before="180" w:line="221" w:lineRule="auto"/>
              <w:ind w:left="409"/>
            </w:pPr>
            <w:r>
              <w:rPr>
                <w:spacing w:val="-1"/>
              </w:rPr>
              <w:t>项目副经理</w:t>
            </w:r>
          </w:p>
        </w:tc>
        <w:tc>
          <w:tcPr>
            <w:tcW w:w="1413" w:type="dxa"/>
            <w:vAlign w:val="top"/>
          </w:tcPr>
          <w:p w14:paraId="40D18624">
            <w:pPr>
              <w:rPr>
                <w:rFonts w:ascii="Arial"/>
                <w:sz w:val="21"/>
              </w:rPr>
            </w:pPr>
          </w:p>
        </w:tc>
        <w:tc>
          <w:tcPr>
            <w:tcW w:w="1134" w:type="dxa"/>
            <w:vAlign w:val="top"/>
          </w:tcPr>
          <w:p w14:paraId="4EA27864">
            <w:pPr>
              <w:rPr>
                <w:rFonts w:ascii="Arial"/>
                <w:sz w:val="21"/>
              </w:rPr>
            </w:pPr>
          </w:p>
        </w:tc>
        <w:tc>
          <w:tcPr>
            <w:tcW w:w="1130" w:type="dxa"/>
            <w:vAlign w:val="top"/>
          </w:tcPr>
          <w:p w14:paraId="124B3B51">
            <w:pPr>
              <w:rPr>
                <w:rFonts w:ascii="Arial"/>
                <w:sz w:val="21"/>
              </w:rPr>
            </w:pPr>
          </w:p>
        </w:tc>
        <w:tc>
          <w:tcPr>
            <w:tcW w:w="4261" w:type="dxa"/>
            <w:tcBorders>
              <w:right w:val="single" w:color="000000" w:sz="10" w:space="0"/>
            </w:tcBorders>
            <w:vAlign w:val="top"/>
          </w:tcPr>
          <w:p w14:paraId="1CE16BC0">
            <w:pPr>
              <w:rPr>
                <w:rFonts w:ascii="Arial"/>
                <w:sz w:val="21"/>
              </w:rPr>
            </w:pPr>
          </w:p>
        </w:tc>
      </w:tr>
      <w:tr w14:paraId="23839E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880" w:type="dxa"/>
            <w:tcBorders>
              <w:left w:val="single" w:color="000000" w:sz="10" w:space="0"/>
            </w:tcBorders>
            <w:vAlign w:val="top"/>
          </w:tcPr>
          <w:p w14:paraId="6EDF4FA8">
            <w:pPr>
              <w:pStyle w:val="11"/>
              <w:spacing w:before="181" w:line="221" w:lineRule="auto"/>
              <w:ind w:left="406"/>
            </w:pPr>
            <w:r>
              <w:rPr>
                <w:spacing w:val="-1"/>
              </w:rPr>
              <w:t>技术负责人</w:t>
            </w:r>
          </w:p>
        </w:tc>
        <w:tc>
          <w:tcPr>
            <w:tcW w:w="1413" w:type="dxa"/>
            <w:vAlign w:val="top"/>
          </w:tcPr>
          <w:p w14:paraId="2411B17F">
            <w:pPr>
              <w:rPr>
                <w:rFonts w:ascii="Arial"/>
                <w:sz w:val="21"/>
              </w:rPr>
            </w:pPr>
          </w:p>
        </w:tc>
        <w:tc>
          <w:tcPr>
            <w:tcW w:w="1134" w:type="dxa"/>
            <w:vAlign w:val="top"/>
          </w:tcPr>
          <w:p w14:paraId="071FEEEE">
            <w:pPr>
              <w:rPr>
                <w:rFonts w:ascii="Arial"/>
                <w:sz w:val="21"/>
              </w:rPr>
            </w:pPr>
          </w:p>
        </w:tc>
        <w:tc>
          <w:tcPr>
            <w:tcW w:w="1130" w:type="dxa"/>
            <w:vAlign w:val="top"/>
          </w:tcPr>
          <w:p w14:paraId="4A001311">
            <w:pPr>
              <w:rPr>
                <w:rFonts w:ascii="Arial"/>
                <w:sz w:val="21"/>
              </w:rPr>
            </w:pPr>
          </w:p>
        </w:tc>
        <w:tc>
          <w:tcPr>
            <w:tcW w:w="4261" w:type="dxa"/>
            <w:tcBorders>
              <w:right w:val="single" w:color="000000" w:sz="10" w:space="0"/>
            </w:tcBorders>
            <w:vAlign w:val="top"/>
          </w:tcPr>
          <w:p w14:paraId="0838F1EE">
            <w:pPr>
              <w:rPr>
                <w:rFonts w:ascii="Arial"/>
                <w:sz w:val="21"/>
              </w:rPr>
            </w:pPr>
          </w:p>
        </w:tc>
      </w:tr>
      <w:tr w14:paraId="202A75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0" w:hRule="atLeast"/>
        </w:trPr>
        <w:tc>
          <w:tcPr>
            <w:tcW w:w="1880" w:type="dxa"/>
            <w:tcBorders>
              <w:left w:val="single" w:color="000000" w:sz="10" w:space="0"/>
            </w:tcBorders>
            <w:vAlign w:val="top"/>
          </w:tcPr>
          <w:p w14:paraId="6266D64A">
            <w:pPr>
              <w:pStyle w:val="11"/>
              <w:spacing w:before="178" w:line="219" w:lineRule="auto"/>
              <w:ind w:left="510"/>
            </w:pPr>
            <w:r>
              <w:rPr>
                <w:spacing w:val="-1"/>
              </w:rPr>
              <w:t>造价管理</w:t>
            </w:r>
          </w:p>
        </w:tc>
        <w:tc>
          <w:tcPr>
            <w:tcW w:w="1413" w:type="dxa"/>
            <w:vAlign w:val="top"/>
          </w:tcPr>
          <w:p w14:paraId="4861E61C">
            <w:pPr>
              <w:rPr>
                <w:rFonts w:ascii="Arial"/>
                <w:sz w:val="21"/>
              </w:rPr>
            </w:pPr>
          </w:p>
        </w:tc>
        <w:tc>
          <w:tcPr>
            <w:tcW w:w="1134" w:type="dxa"/>
            <w:vAlign w:val="top"/>
          </w:tcPr>
          <w:p w14:paraId="5BFC1CA6">
            <w:pPr>
              <w:rPr>
                <w:rFonts w:ascii="Arial"/>
                <w:sz w:val="21"/>
              </w:rPr>
            </w:pPr>
          </w:p>
        </w:tc>
        <w:tc>
          <w:tcPr>
            <w:tcW w:w="1130" w:type="dxa"/>
            <w:vAlign w:val="top"/>
          </w:tcPr>
          <w:p w14:paraId="44EAF621">
            <w:pPr>
              <w:rPr>
                <w:rFonts w:ascii="Arial"/>
                <w:sz w:val="21"/>
              </w:rPr>
            </w:pPr>
          </w:p>
        </w:tc>
        <w:tc>
          <w:tcPr>
            <w:tcW w:w="4261" w:type="dxa"/>
            <w:tcBorders>
              <w:right w:val="single" w:color="000000" w:sz="10" w:space="0"/>
            </w:tcBorders>
            <w:vAlign w:val="top"/>
          </w:tcPr>
          <w:p w14:paraId="22DE3020">
            <w:pPr>
              <w:rPr>
                <w:rFonts w:ascii="Arial"/>
                <w:sz w:val="21"/>
              </w:rPr>
            </w:pPr>
          </w:p>
        </w:tc>
      </w:tr>
      <w:tr w14:paraId="19AB32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880" w:type="dxa"/>
            <w:tcBorders>
              <w:left w:val="single" w:color="000000" w:sz="10" w:space="0"/>
            </w:tcBorders>
            <w:vAlign w:val="top"/>
          </w:tcPr>
          <w:p w14:paraId="6AB9865B">
            <w:pPr>
              <w:pStyle w:val="11"/>
              <w:spacing w:before="184" w:line="220" w:lineRule="auto"/>
              <w:ind w:left="512"/>
            </w:pPr>
            <w:r>
              <w:rPr>
                <w:spacing w:val="-1"/>
              </w:rPr>
              <w:t>质量管理</w:t>
            </w:r>
          </w:p>
        </w:tc>
        <w:tc>
          <w:tcPr>
            <w:tcW w:w="1413" w:type="dxa"/>
            <w:vAlign w:val="top"/>
          </w:tcPr>
          <w:p w14:paraId="08ABB4D8">
            <w:pPr>
              <w:rPr>
                <w:rFonts w:ascii="Arial"/>
                <w:sz w:val="21"/>
              </w:rPr>
            </w:pPr>
          </w:p>
        </w:tc>
        <w:tc>
          <w:tcPr>
            <w:tcW w:w="1134" w:type="dxa"/>
            <w:vAlign w:val="top"/>
          </w:tcPr>
          <w:p w14:paraId="335F2AD7">
            <w:pPr>
              <w:rPr>
                <w:rFonts w:ascii="Arial"/>
                <w:sz w:val="21"/>
              </w:rPr>
            </w:pPr>
          </w:p>
        </w:tc>
        <w:tc>
          <w:tcPr>
            <w:tcW w:w="1130" w:type="dxa"/>
            <w:vAlign w:val="top"/>
          </w:tcPr>
          <w:p w14:paraId="26992EC5">
            <w:pPr>
              <w:rPr>
                <w:rFonts w:ascii="Arial"/>
                <w:sz w:val="21"/>
              </w:rPr>
            </w:pPr>
          </w:p>
        </w:tc>
        <w:tc>
          <w:tcPr>
            <w:tcW w:w="4261" w:type="dxa"/>
            <w:tcBorders>
              <w:right w:val="single" w:color="000000" w:sz="10" w:space="0"/>
            </w:tcBorders>
            <w:vAlign w:val="top"/>
          </w:tcPr>
          <w:p w14:paraId="22E184C6">
            <w:pPr>
              <w:rPr>
                <w:rFonts w:ascii="Arial"/>
                <w:sz w:val="21"/>
              </w:rPr>
            </w:pPr>
          </w:p>
        </w:tc>
      </w:tr>
      <w:tr w14:paraId="7EB31C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880" w:type="dxa"/>
            <w:tcBorders>
              <w:left w:val="single" w:color="000000" w:sz="10" w:space="0"/>
            </w:tcBorders>
            <w:vAlign w:val="top"/>
          </w:tcPr>
          <w:p w14:paraId="56E5A2F0">
            <w:pPr>
              <w:pStyle w:val="11"/>
              <w:spacing w:before="185" w:line="219" w:lineRule="auto"/>
              <w:ind w:left="511"/>
            </w:pPr>
            <w:r>
              <w:rPr>
                <w:spacing w:val="-1"/>
              </w:rPr>
              <w:t>材料管理</w:t>
            </w:r>
          </w:p>
        </w:tc>
        <w:tc>
          <w:tcPr>
            <w:tcW w:w="1413" w:type="dxa"/>
            <w:vAlign w:val="top"/>
          </w:tcPr>
          <w:p w14:paraId="4892C381">
            <w:pPr>
              <w:rPr>
                <w:rFonts w:ascii="Arial"/>
                <w:sz w:val="21"/>
              </w:rPr>
            </w:pPr>
          </w:p>
        </w:tc>
        <w:tc>
          <w:tcPr>
            <w:tcW w:w="1134" w:type="dxa"/>
            <w:vAlign w:val="top"/>
          </w:tcPr>
          <w:p w14:paraId="094A2743">
            <w:pPr>
              <w:rPr>
                <w:rFonts w:ascii="Arial"/>
                <w:sz w:val="21"/>
              </w:rPr>
            </w:pPr>
          </w:p>
        </w:tc>
        <w:tc>
          <w:tcPr>
            <w:tcW w:w="1130" w:type="dxa"/>
            <w:vAlign w:val="top"/>
          </w:tcPr>
          <w:p w14:paraId="02332D5C">
            <w:pPr>
              <w:rPr>
                <w:rFonts w:ascii="Arial"/>
                <w:sz w:val="21"/>
              </w:rPr>
            </w:pPr>
          </w:p>
        </w:tc>
        <w:tc>
          <w:tcPr>
            <w:tcW w:w="4261" w:type="dxa"/>
            <w:tcBorders>
              <w:right w:val="single" w:color="000000" w:sz="10" w:space="0"/>
            </w:tcBorders>
            <w:vAlign w:val="top"/>
          </w:tcPr>
          <w:p w14:paraId="42C800D9">
            <w:pPr>
              <w:rPr>
                <w:rFonts w:ascii="Arial"/>
                <w:sz w:val="21"/>
              </w:rPr>
            </w:pPr>
          </w:p>
        </w:tc>
      </w:tr>
      <w:tr w14:paraId="218BA9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880" w:type="dxa"/>
            <w:tcBorders>
              <w:left w:val="single" w:color="000000" w:sz="10" w:space="0"/>
            </w:tcBorders>
            <w:vAlign w:val="top"/>
          </w:tcPr>
          <w:p w14:paraId="3F4731A8">
            <w:pPr>
              <w:pStyle w:val="11"/>
              <w:spacing w:before="187" w:line="218" w:lineRule="auto"/>
              <w:ind w:left="511"/>
            </w:pPr>
            <w:r>
              <w:rPr>
                <w:spacing w:val="-1"/>
              </w:rPr>
              <w:t>计划管理</w:t>
            </w:r>
          </w:p>
        </w:tc>
        <w:tc>
          <w:tcPr>
            <w:tcW w:w="1413" w:type="dxa"/>
            <w:vAlign w:val="top"/>
          </w:tcPr>
          <w:p w14:paraId="23CDF12C">
            <w:pPr>
              <w:rPr>
                <w:rFonts w:ascii="Arial"/>
                <w:sz w:val="21"/>
              </w:rPr>
            </w:pPr>
          </w:p>
        </w:tc>
        <w:tc>
          <w:tcPr>
            <w:tcW w:w="1134" w:type="dxa"/>
            <w:vAlign w:val="top"/>
          </w:tcPr>
          <w:p w14:paraId="5029D211">
            <w:pPr>
              <w:rPr>
                <w:rFonts w:ascii="Arial"/>
                <w:sz w:val="21"/>
              </w:rPr>
            </w:pPr>
          </w:p>
        </w:tc>
        <w:tc>
          <w:tcPr>
            <w:tcW w:w="1130" w:type="dxa"/>
            <w:vAlign w:val="top"/>
          </w:tcPr>
          <w:p w14:paraId="1ADE704D">
            <w:pPr>
              <w:rPr>
                <w:rFonts w:ascii="Arial"/>
                <w:sz w:val="21"/>
              </w:rPr>
            </w:pPr>
          </w:p>
        </w:tc>
        <w:tc>
          <w:tcPr>
            <w:tcW w:w="4261" w:type="dxa"/>
            <w:tcBorders>
              <w:right w:val="single" w:color="000000" w:sz="10" w:space="0"/>
            </w:tcBorders>
            <w:vAlign w:val="top"/>
          </w:tcPr>
          <w:p w14:paraId="718CCC2E">
            <w:pPr>
              <w:rPr>
                <w:rFonts w:ascii="Arial"/>
                <w:sz w:val="21"/>
              </w:rPr>
            </w:pPr>
          </w:p>
        </w:tc>
      </w:tr>
      <w:tr w14:paraId="03DCE6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880" w:type="dxa"/>
            <w:tcBorders>
              <w:left w:val="single" w:color="000000" w:sz="10" w:space="0"/>
            </w:tcBorders>
            <w:vAlign w:val="top"/>
          </w:tcPr>
          <w:p w14:paraId="39DD26F3">
            <w:pPr>
              <w:pStyle w:val="11"/>
              <w:spacing w:before="188" w:line="217" w:lineRule="auto"/>
              <w:ind w:left="515"/>
            </w:pPr>
            <w:r>
              <w:rPr>
                <w:spacing w:val="-2"/>
              </w:rPr>
              <w:t>安全管理</w:t>
            </w:r>
          </w:p>
        </w:tc>
        <w:tc>
          <w:tcPr>
            <w:tcW w:w="1413" w:type="dxa"/>
            <w:vAlign w:val="top"/>
          </w:tcPr>
          <w:p w14:paraId="4B689370">
            <w:pPr>
              <w:rPr>
                <w:rFonts w:ascii="Arial"/>
                <w:sz w:val="21"/>
              </w:rPr>
            </w:pPr>
          </w:p>
        </w:tc>
        <w:tc>
          <w:tcPr>
            <w:tcW w:w="1134" w:type="dxa"/>
            <w:vAlign w:val="top"/>
          </w:tcPr>
          <w:p w14:paraId="728EABDA">
            <w:pPr>
              <w:rPr>
                <w:rFonts w:ascii="Arial"/>
                <w:sz w:val="21"/>
              </w:rPr>
            </w:pPr>
          </w:p>
        </w:tc>
        <w:tc>
          <w:tcPr>
            <w:tcW w:w="1130" w:type="dxa"/>
            <w:vAlign w:val="top"/>
          </w:tcPr>
          <w:p w14:paraId="521D7921">
            <w:pPr>
              <w:rPr>
                <w:rFonts w:ascii="Arial"/>
                <w:sz w:val="21"/>
              </w:rPr>
            </w:pPr>
          </w:p>
        </w:tc>
        <w:tc>
          <w:tcPr>
            <w:tcW w:w="4261" w:type="dxa"/>
            <w:tcBorders>
              <w:right w:val="single" w:color="000000" w:sz="10" w:space="0"/>
            </w:tcBorders>
            <w:vAlign w:val="top"/>
          </w:tcPr>
          <w:p w14:paraId="7C22DCF2">
            <w:pPr>
              <w:rPr>
                <w:rFonts w:ascii="Arial"/>
                <w:sz w:val="21"/>
              </w:rPr>
            </w:pPr>
          </w:p>
        </w:tc>
      </w:tr>
      <w:tr w14:paraId="59E006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0" w:hRule="atLeast"/>
        </w:trPr>
        <w:tc>
          <w:tcPr>
            <w:tcW w:w="1880" w:type="dxa"/>
            <w:vMerge w:val="restart"/>
            <w:tcBorders>
              <w:left w:val="single" w:color="000000" w:sz="10" w:space="0"/>
              <w:bottom w:val="nil"/>
            </w:tcBorders>
            <w:vAlign w:val="top"/>
          </w:tcPr>
          <w:p w14:paraId="294D2D79">
            <w:pPr>
              <w:spacing w:line="249" w:lineRule="auto"/>
              <w:rPr>
                <w:rFonts w:ascii="Arial"/>
                <w:sz w:val="21"/>
              </w:rPr>
            </w:pPr>
          </w:p>
          <w:p w14:paraId="43543B96">
            <w:pPr>
              <w:spacing w:line="249" w:lineRule="auto"/>
              <w:rPr>
                <w:rFonts w:ascii="Arial"/>
                <w:sz w:val="21"/>
              </w:rPr>
            </w:pPr>
          </w:p>
          <w:p w14:paraId="08B36A7D">
            <w:pPr>
              <w:spacing w:line="249" w:lineRule="auto"/>
              <w:rPr>
                <w:rFonts w:ascii="Arial"/>
                <w:sz w:val="21"/>
              </w:rPr>
            </w:pPr>
          </w:p>
          <w:p w14:paraId="362150B4">
            <w:pPr>
              <w:spacing w:line="249" w:lineRule="auto"/>
              <w:rPr>
                <w:rFonts w:ascii="Arial"/>
                <w:sz w:val="21"/>
              </w:rPr>
            </w:pPr>
          </w:p>
          <w:p w14:paraId="686CA76C">
            <w:pPr>
              <w:spacing w:line="250" w:lineRule="auto"/>
              <w:rPr>
                <w:rFonts w:ascii="Arial"/>
                <w:sz w:val="21"/>
              </w:rPr>
            </w:pPr>
          </w:p>
          <w:p w14:paraId="47B2586D">
            <w:pPr>
              <w:pStyle w:val="11"/>
              <w:spacing w:before="68" w:line="221" w:lineRule="auto"/>
              <w:ind w:left="512"/>
            </w:pPr>
            <w:r>
              <w:rPr>
                <w:spacing w:val="-1"/>
              </w:rPr>
              <w:t>其他人员</w:t>
            </w:r>
          </w:p>
        </w:tc>
        <w:tc>
          <w:tcPr>
            <w:tcW w:w="1413" w:type="dxa"/>
            <w:vAlign w:val="top"/>
          </w:tcPr>
          <w:p w14:paraId="78A23454">
            <w:pPr>
              <w:rPr>
                <w:rFonts w:ascii="Arial"/>
                <w:sz w:val="21"/>
              </w:rPr>
            </w:pPr>
          </w:p>
        </w:tc>
        <w:tc>
          <w:tcPr>
            <w:tcW w:w="1134" w:type="dxa"/>
            <w:vAlign w:val="top"/>
          </w:tcPr>
          <w:p w14:paraId="4B49D01E">
            <w:pPr>
              <w:rPr>
                <w:rFonts w:ascii="Arial"/>
                <w:sz w:val="21"/>
              </w:rPr>
            </w:pPr>
          </w:p>
        </w:tc>
        <w:tc>
          <w:tcPr>
            <w:tcW w:w="1130" w:type="dxa"/>
            <w:vAlign w:val="top"/>
          </w:tcPr>
          <w:p w14:paraId="582A5310">
            <w:pPr>
              <w:rPr>
                <w:rFonts w:ascii="Arial"/>
                <w:sz w:val="21"/>
              </w:rPr>
            </w:pPr>
          </w:p>
        </w:tc>
        <w:tc>
          <w:tcPr>
            <w:tcW w:w="4261" w:type="dxa"/>
            <w:tcBorders>
              <w:right w:val="single" w:color="000000" w:sz="10" w:space="0"/>
            </w:tcBorders>
            <w:vAlign w:val="top"/>
          </w:tcPr>
          <w:p w14:paraId="6C262591">
            <w:pPr>
              <w:rPr>
                <w:rFonts w:ascii="Arial"/>
                <w:sz w:val="21"/>
              </w:rPr>
            </w:pPr>
          </w:p>
        </w:tc>
      </w:tr>
      <w:tr w14:paraId="67F9F9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880" w:type="dxa"/>
            <w:vMerge w:val="continue"/>
            <w:tcBorders>
              <w:top w:val="nil"/>
              <w:left w:val="single" w:color="000000" w:sz="10" w:space="0"/>
              <w:bottom w:val="nil"/>
            </w:tcBorders>
            <w:vAlign w:val="top"/>
          </w:tcPr>
          <w:p w14:paraId="2A148420">
            <w:pPr>
              <w:rPr>
                <w:rFonts w:ascii="Arial"/>
                <w:sz w:val="21"/>
              </w:rPr>
            </w:pPr>
          </w:p>
        </w:tc>
        <w:tc>
          <w:tcPr>
            <w:tcW w:w="1413" w:type="dxa"/>
            <w:vAlign w:val="top"/>
          </w:tcPr>
          <w:p w14:paraId="76AAB3A3">
            <w:pPr>
              <w:rPr>
                <w:rFonts w:ascii="Arial"/>
                <w:sz w:val="21"/>
              </w:rPr>
            </w:pPr>
          </w:p>
        </w:tc>
        <w:tc>
          <w:tcPr>
            <w:tcW w:w="1134" w:type="dxa"/>
            <w:vAlign w:val="top"/>
          </w:tcPr>
          <w:p w14:paraId="37105801">
            <w:pPr>
              <w:rPr>
                <w:rFonts w:ascii="Arial"/>
                <w:sz w:val="21"/>
              </w:rPr>
            </w:pPr>
          </w:p>
        </w:tc>
        <w:tc>
          <w:tcPr>
            <w:tcW w:w="1130" w:type="dxa"/>
            <w:vAlign w:val="top"/>
          </w:tcPr>
          <w:p w14:paraId="46A253D0">
            <w:pPr>
              <w:rPr>
                <w:rFonts w:ascii="Arial"/>
                <w:sz w:val="21"/>
              </w:rPr>
            </w:pPr>
          </w:p>
        </w:tc>
        <w:tc>
          <w:tcPr>
            <w:tcW w:w="4261" w:type="dxa"/>
            <w:tcBorders>
              <w:right w:val="single" w:color="000000" w:sz="10" w:space="0"/>
            </w:tcBorders>
            <w:vAlign w:val="top"/>
          </w:tcPr>
          <w:p w14:paraId="46761625">
            <w:pPr>
              <w:rPr>
                <w:rFonts w:ascii="Arial"/>
                <w:sz w:val="21"/>
              </w:rPr>
            </w:pPr>
          </w:p>
        </w:tc>
      </w:tr>
      <w:tr w14:paraId="2C1611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880" w:type="dxa"/>
            <w:vMerge w:val="continue"/>
            <w:tcBorders>
              <w:top w:val="nil"/>
              <w:left w:val="single" w:color="000000" w:sz="10" w:space="0"/>
              <w:bottom w:val="nil"/>
            </w:tcBorders>
            <w:vAlign w:val="top"/>
          </w:tcPr>
          <w:p w14:paraId="510B1138">
            <w:pPr>
              <w:rPr>
                <w:rFonts w:ascii="Arial"/>
                <w:sz w:val="21"/>
              </w:rPr>
            </w:pPr>
          </w:p>
        </w:tc>
        <w:tc>
          <w:tcPr>
            <w:tcW w:w="1413" w:type="dxa"/>
            <w:vAlign w:val="top"/>
          </w:tcPr>
          <w:p w14:paraId="764233BD">
            <w:pPr>
              <w:rPr>
                <w:rFonts w:ascii="Arial"/>
                <w:sz w:val="21"/>
              </w:rPr>
            </w:pPr>
          </w:p>
        </w:tc>
        <w:tc>
          <w:tcPr>
            <w:tcW w:w="1134" w:type="dxa"/>
            <w:vAlign w:val="top"/>
          </w:tcPr>
          <w:p w14:paraId="6E9C5901">
            <w:pPr>
              <w:rPr>
                <w:rFonts w:ascii="Arial"/>
                <w:sz w:val="21"/>
              </w:rPr>
            </w:pPr>
          </w:p>
        </w:tc>
        <w:tc>
          <w:tcPr>
            <w:tcW w:w="1130" w:type="dxa"/>
            <w:vAlign w:val="top"/>
          </w:tcPr>
          <w:p w14:paraId="0C0DC22F">
            <w:pPr>
              <w:rPr>
                <w:rFonts w:ascii="Arial"/>
                <w:sz w:val="21"/>
              </w:rPr>
            </w:pPr>
          </w:p>
        </w:tc>
        <w:tc>
          <w:tcPr>
            <w:tcW w:w="4261" w:type="dxa"/>
            <w:tcBorders>
              <w:right w:val="single" w:color="000000" w:sz="10" w:space="0"/>
            </w:tcBorders>
            <w:vAlign w:val="top"/>
          </w:tcPr>
          <w:p w14:paraId="231AC5A1">
            <w:pPr>
              <w:rPr>
                <w:rFonts w:ascii="Arial"/>
                <w:sz w:val="21"/>
              </w:rPr>
            </w:pPr>
          </w:p>
        </w:tc>
      </w:tr>
      <w:tr w14:paraId="7F89D2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880" w:type="dxa"/>
            <w:vMerge w:val="continue"/>
            <w:tcBorders>
              <w:top w:val="nil"/>
              <w:left w:val="single" w:color="000000" w:sz="10" w:space="0"/>
              <w:bottom w:val="nil"/>
            </w:tcBorders>
            <w:vAlign w:val="top"/>
          </w:tcPr>
          <w:p w14:paraId="56B80287">
            <w:pPr>
              <w:rPr>
                <w:rFonts w:ascii="Arial"/>
                <w:sz w:val="21"/>
              </w:rPr>
            </w:pPr>
          </w:p>
        </w:tc>
        <w:tc>
          <w:tcPr>
            <w:tcW w:w="1413" w:type="dxa"/>
            <w:vAlign w:val="top"/>
          </w:tcPr>
          <w:p w14:paraId="1D2EFAE6">
            <w:pPr>
              <w:rPr>
                <w:rFonts w:ascii="Arial"/>
                <w:sz w:val="21"/>
              </w:rPr>
            </w:pPr>
          </w:p>
        </w:tc>
        <w:tc>
          <w:tcPr>
            <w:tcW w:w="1134" w:type="dxa"/>
            <w:vAlign w:val="top"/>
          </w:tcPr>
          <w:p w14:paraId="4A46966E">
            <w:pPr>
              <w:rPr>
                <w:rFonts w:ascii="Arial"/>
                <w:sz w:val="21"/>
              </w:rPr>
            </w:pPr>
          </w:p>
        </w:tc>
        <w:tc>
          <w:tcPr>
            <w:tcW w:w="1130" w:type="dxa"/>
            <w:vAlign w:val="top"/>
          </w:tcPr>
          <w:p w14:paraId="42867862">
            <w:pPr>
              <w:rPr>
                <w:rFonts w:ascii="Arial"/>
                <w:sz w:val="21"/>
              </w:rPr>
            </w:pPr>
          </w:p>
        </w:tc>
        <w:tc>
          <w:tcPr>
            <w:tcW w:w="4261" w:type="dxa"/>
            <w:tcBorders>
              <w:right w:val="single" w:color="000000" w:sz="10" w:space="0"/>
            </w:tcBorders>
            <w:vAlign w:val="top"/>
          </w:tcPr>
          <w:p w14:paraId="2AF97B54">
            <w:pPr>
              <w:rPr>
                <w:rFonts w:ascii="Arial"/>
                <w:sz w:val="21"/>
              </w:rPr>
            </w:pPr>
          </w:p>
        </w:tc>
      </w:tr>
      <w:tr w14:paraId="0CDC1D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880" w:type="dxa"/>
            <w:vMerge w:val="continue"/>
            <w:tcBorders>
              <w:top w:val="nil"/>
              <w:left w:val="single" w:color="000000" w:sz="10" w:space="0"/>
              <w:bottom w:val="nil"/>
            </w:tcBorders>
            <w:vAlign w:val="top"/>
          </w:tcPr>
          <w:p w14:paraId="265D2EA0">
            <w:pPr>
              <w:rPr>
                <w:rFonts w:ascii="Arial"/>
                <w:sz w:val="21"/>
              </w:rPr>
            </w:pPr>
          </w:p>
        </w:tc>
        <w:tc>
          <w:tcPr>
            <w:tcW w:w="1413" w:type="dxa"/>
            <w:vAlign w:val="top"/>
          </w:tcPr>
          <w:p w14:paraId="51119081">
            <w:pPr>
              <w:rPr>
                <w:rFonts w:ascii="Arial"/>
                <w:sz w:val="21"/>
              </w:rPr>
            </w:pPr>
          </w:p>
        </w:tc>
        <w:tc>
          <w:tcPr>
            <w:tcW w:w="1134" w:type="dxa"/>
            <w:vAlign w:val="top"/>
          </w:tcPr>
          <w:p w14:paraId="28D04C6B">
            <w:pPr>
              <w:rPr>
                <w:rFonts w:ascii="Arial"/>
                <w:sz w:val="21"/>
              </w:rPr>
            </w:pPr>
          </w:p>
        </w:tc>
        <w:tc>
          <w:tcPr>
            <w:tcW w:w="1130" w:type="dxa"/>
            <w:vAlign w:val="top"/>
          </w:tcPr>
          <w:p w14:paraId="6C167387">
            <w:pPr>
              <w:rPr>
                <w:rFonts w:ascii="Arial"/>
                <w:sz w:val="21"/>
              </w:rPr>
            </w:pPr>
          </w:p>
        </w:tc>
        <w:tc>
          <w:tcPr>
            <w:tcW w:w="4261" w:type="dxa"/>
            <w:tcBorders>
              <w:right w:val="single" w:color="000000" w:sz="10" w:space="0"/>
            </w:tcBorders>
            <w:vAlign w:val="top"/>
          </w:tcPr>
          <w:p w14:paraId="56B0BDF5">
            <w:pPr>
              <w:rPr>
                <w:rFonts w:ascii="Arial"/>
                <w:sz w:val="21"/>
              </w:rPr>
            </w:pPr>
          </w:p>
        </w:tc>
      </w:tr>
      <w:tr w14:paraId="6A69EA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6" w:hRule="atLeast"/>
        </w:trPr>
        <w:tc>
          <w:tcPr>
            <w:tcW w:w="1880" w:type="dxa"/>
            <w:vMerge w:val="continue"/>
            <w:tcBorders>
              <w:top w:val="nil"/>
              <w:left w:val="single" w:color="000000" w:sz="10" w:space="0"/>
              <w:bottom w:val="single" w:color="000000" w:sz="10" w:space="0"/>
            </w:tcBorders>
            <w:vAlign w:val="top"/>
          </w:tcPr>
          <w:p w14:paraId="6A454BE5">
            <w:pPr>
              <w:rPr>
                <w:rFonts w:ascii="Arial"/>
                <w:sz w:val="21"/>
              </w:rPr>
            </w:pPr>
          </w:p>
        </w:tc>
        <w:tc>
          <w:tcPr>
            <w:tcW w:w="1413" w:type="dxa"/>
            <w:tcBorders>
              <w:bottom w:val="single" w:color="000000" w:sz="10" w:space="0"/>
            </w:tcBorders>
            <w:vAlign w:val="top"/>
          </w:tcPr>
          <w:p w14:paraId="049FDAC2">
            <w:pPr>
              <w:rPr>
                <w:rFonts w:ascii="Arial"/>
                <w:sz w:val="21"/>
              </w:rPr>
            </w:pPr>
          </w:p>
        </w:tc>
        <w:tc>
          <w:tcPr>
            <w:tcW w:w="1134" w:type="dxa"/>
            <w:tcBorders>
              <w:bottom w:val="single" w:color="000000" w:sz="10" w:space="0"/>
            </w:tcBorders>
            <w:vAlign w:val="top"/>
          </w:tcPr>
          <w:p w14:paraId="2486D2E2">
            <w:pPr>
              <w:rPr>
                <w:rFonts w:ascii="Arial"/>
                <w:sz w:val="21"/>
              </w:rPr>
            </w:pPr>
          </w:p>
        </w:tc>
        <w:tc>
          <w:tcPr>
            <w:tcW w:w="1130" w:type="dxa"/>
            <w:tcBorders>
              <w:bottom w:val="single" w:color="000000" w:sz="10" w:space="0"/>
            </w:tcBorders>
            <w:vAlign w:val="top"/>
          </w:tcPr>
          <w:p w14:paraId="3B44603D">
            <w:pPr>
              <w:rPr>
                <w:rFonts w:ascii="Arial"/>
                <w:sz w:val="21"/>
              </w:rPr>
            </w:pPr>
          </w:p>
        </w:tc>
        <w:tc>
          <w:tcPr>
            <w:tcW w:w="4261" w:type="dxa"/>
            <w:tcBorders>
              <w:bottom w:val="single" w:color="000000" w:sz="10" w:space="0"/>
              <w:right w:val="single" w:color="000000" w:sz="10" w:space="0"/>
            </w:tcBorders>
            <w:vAlign w:val="top"/>
          </w:tcPr>
          <w:p w14:paraId="3014D9F8">
            <w:pPr>
              <w:rPr>
                <w:rFonts w:ascii="Arial"/>
                <w:sz w:val="21"/>
              </w:rPr>
            </w:pPr>
          </w:p>
        </w:tc>
      </w:tr>
    </w:tbl>
    <w:p w14:paraId="079F7B7E">
      <w:pPr>
        <w:pStyle w:val="3"/>
      </w:pPr>
    </w:p>
    <w:p w14:paraId="2429B3F2">
      <w:pPr>
        <w:sectPr>
          <w:footerReference r:id="rId150" w:type="default"/>
          <w:pgSz w:w="11905" w:h="16839"/>
          <w:pgMar w:top="400" w:right="1027" w:bottom="1004" w:left="1032" w:header="0" w:footer="828" w:gutter="0"/>
          <w:pgNumType w:fmt="decimal"/>
          <w:cols w:space="720" w:num="1"/>
        </w:sectPr>
      </w:pPr>
    </w:p>
    <w:p w14:paraId="3B8E4EB1">
      <w:pPr>
        <w:pStyle w:val="3"/>
        <w:spacing w:line="276" w:lineRule="auto"/>
      </w:pPr>
    </w:p>
    <w:p w14:paraId="1A7DC934">
      <w:pPr>
        <w:pStyle w:val="3"/>
        <w:spacing w:line="276" w:lineRule="auto"/>
      </w:pPr>
    </w:p>
    <w:p w14:paraId="66552594">
      <w:pPr>
        <w:pStyle w:val="3"/>
        <w:spacing w:line="276" w:lineRule="auto"/>
      </w:pPr>
    </w:p>
    <w:p w14:paraId="37739B42">
      <w:pPr>
        <w:pStyle w:val="3"/>
        <w:spacing w:line="276" w:lineRule="auto"/>
      </w:pPr>
    </w:p>
    <w:p w14:paraId="5159BE77">
      <w:pPr>
        <w:spacing w:before="78" w:line="219" w:lineRule="auto"/>
        <w:ind w:left="38"/>
        <w:rPr>
          <w:rFonts w:ascii="宋体" w:hAnsi="宋体" w:eastAsia="宋体" w:cs="宋体"/>
          <w:sz w:val="24"/>
          <w:szCs w:val="24"/>
        </w:rPr>
      </w:pPr>
      <w:r>
        <w:rPr>
          <w:rFonts w:ascii="宋体" w:hAnsi="宋体" w:eastAsia="宋体" w:cs="宋体"/>
          <w:spacing w:val="-11"/>
          <w:sz w:val="24"/>
          <w:szCs w:val="24"/>
        </w:rPr>
        <w:t>附件</w:t>
      </w:r>
      <w:r>
        <w:rPr>
          <w:rFonts w:ascii="宋体" w:hAnsi="宋体" w:eastAsia="宋体" w:cs="宋体"/>
          <w:spacing w:val="-47"/>
          <w:sz w:val="24"/>
          <w:szCs w:val="24"/>
        </w:rPr>
        <w:t xml:space="preserve"> </w:t>
      </w:r>
      <w:r>
        <w:rPr>
          <w:rFonts w:ascii="Times New Roman" w:hAnsi="Times New Roman" w:eastAsia="Times New Roman" w:cs="Times New Roman"/>
          <w:spacing w:val="-11"/>
          <w:sz w:val="24"/>
          <w:szCs w:val="24"/>
        </w:rPr>
        <w:t>8</w:t>
      </w:r>
      <w:r>
        <w:rPr>
          <w:rFonts w:ascii="宋体" w:hAnsi="宋体" w:eastAsia="宋体" w:cs="宋体"/>
          <w:spacing w:val="-11"/>
          <w:sz w:val="24"/>
          <w:szCs w:val="24"/>
        </w:rPr>
        <w:t>：</w:t>
      </w:r>
    </w:p>
    <w:p w14:paraId="7A6DF638">
      <w:pPr>
        <w:spacing w:before="243" w:line="225" w:lineRule="auto"/>
        <w:ind w:left="3338"/>
        <w:rPr>
          <w:rFonts w:ascii="黑体" w:hAnsi="黑体" w:eastAsia="黑体" w:cs="黑体"/>
          <w:sz w:val="27"/>
          <w:szCs w:val="27"/>
        </w:rPr>
      </w:pPr>
      <w:bookmarkStart w:id="1276" w:name="bookmark230"/>
      <w:bookmarkEnd w:id="1276"/>
      <w:r>
        <w:rPr>
          <w:rFonts w:ascii="黑体" w:hAnsi="黑体" w:eastAsia="黑体" w:cs="黑体"/>
          <w:spacing w:val="7"/>
          <w:sz w:val="27"/>
          <w:szCs w:val="27"/>
        </w:rPr>
        <w:t>履约担保格式</w:t>
      </w:r>
    </w:p>
    <w:p w14:paraId="79087E66">
      <w:pPr>
        <w:spacing w:before="142" w:line="221" w:lineRule="auto"/>
        <w:ind w:left="6550"/>
        <w:rPr>
          <w:rFonts w:ascii="宋体" w:hAnsi="宋体" w:eastAsia="宋体" w:cs="宋体"/>
          <w:sz w:val="21"/>
          <w:szCs w:val="21"/>
        </w:rPr>
      </w:pPr>
      <w:r>
        <w:rPr>
          <w:rFonts w:ascii="宋体" w:hAnsi="宋体" w:eastAsia="宋体" w:cs="宋体"/>
          <w:spacing w:val="-13"/>
          <w:sz w:val="21"/>
          <w:szCs w:val="21"/>
        </w:rPr>
        <w:t>编号：</w:t>
      </w:r>
    </w:p>
    <w:p w14:paraId="444D6703">
      <w:pPr>
        <w:spacing w:before="157" w:line="412" w:lineRule="exact"/>
        <w:ind w:left="45"/>
        <w:rPr>
          <w:rFonts w:ascii="宋体" w:hAnsi="宋体" w:eastAsia="宋体" w:cs="宋体"/>
          <w:sz w:val="21"/>
          <w:szCs w:val="21"/>
        </w:rPr>
      </w:pPr>
      <w:r>
        <w:rPr>
          <w:rFonts w:ascii="宋体" w:hAnsi="宋体" w:eastAsia="宋体" w:cs="宋体"/>
          <w:spacing w:val="-15"/>
          <w:position w:val="15"/>
          <w:sz w:val="21"/>
          <w:szCs w:val="21"/>
        </w:rPr>
        <w:t>申请人：</w:t>
      </w:r>
    </w:p>
    <w:p w14:paraId="739C8403">
      <w:pPr>
        <w:spacing w:before="1" w:line="229" w:lineRule="auto"/>
        <w:ind w:left="18"/>
        <w:rPr>
          <w:rFonts w:ascii="宋体" w:hAnsi="宋体" w:eastAsia="宋体" w:cs="宋体"/>
          <w:sz w:val="21"/>
          <w:szCs w:val="21"/>
        </w:rPr>
      </w:pPr>
      <w:r>
        <w:rPr>
          <w:rFonts w:ascii="宋体" w:hAnsi="宋体" w:eastAsia="宋体" w:cs="宋体"/>
          <w:spacing w:val="-5"/>
          <w:sz w:val="21"/>
          <w:szCs w:val="21"/>
        </w:rPr>
        <w:t>地</w:t>
      </w:r>
      <w:r>
        <w:rPr>
          <w:rFonts w:ascii="宋体" w:hAnsi="宋体" w:eastAsia="宋体" w:cs="宋体"/>
          <w:spacing w:val="5"/>
          <w:sz w:val="21"/>
          <w:szCs w:val="21"/>
        </w:rPr>
        <w:t xml:space="preserve">  </w:t>
      </w:r>
      <w:r>
        <w:rPr>
          <w:rFonts w:ascii="宋体" w:hAnsi="宋体" w:eastAsia="宋体" w:cs="宋体"/>
          <w:spacing w:val="-5"/>
          <w:sz w:val="21"/>
          <w:szCs w:val="21"/>
        </w:rPr>
        <w:t>址：</w:t>
      </w:r>
    </w:p>
    <w:p w14:paraId="725EED27">
      <w:pPr>
        <w:spacing w:before="146" w:line="223" w:lineRule="auto"/>
        <w:ind w:left="22"/>
        <w:rPr>
          <w:rFonts w:ascii="宋体" w:hAnsi="宋体" w:eastAsia="宋体" w:cs="宋体"/>
          <w:sz w:val="21"/>
          <w:szCs w:val="21"/>
        </w:rPr>
      </w:pPr>
      <w:r>
        <w:rPr>
          <w:rFonts w:ascii="宋体" w:hAnsi="宋体" w:eastAsia="宋体" w:cs="宋体"/>
          <w:spacing w:val="-11"/>
          <w:sz w:val="21"/>
          <w:szCs w:val="21"/>
        </w:rPr>
        <w:t>受益人：</w:t>
      </w:r>
    </w:p>
    <w:p w14:paraId="7F4A5629">
      <w:pPr>
        <w:spacing w:before="155" w:line="230" w:lineRule="auto"/>
        <w:ind w:left="18"/>
        <w:rPr>
          <w:rFonts w:ascii="宋体" w:hAnsi="宋体" w:eastAsia="宋体" w:cs="宋体"/>
          <w:sz w:val="21"/>
          <w:szCs w:val="21"/>
        </w:rPr>
      </w:pPr>
      <w:r>
        <w:rPr>
          <w:rFonts w:ascii="宋体" w:hAnsi="宋体" w:eastAsia="宋体" w:cs="宋体"/>
          <w:spacing w:val="-5"/>
          <w:sz w:val="21"/>
          <w:szCs w:val="21"/>
        </w:rPr>
        <w:t>地</w:t>
      </w:r>
      <w:r>
        <w:rPr>
          <w:rFonts w:ascii="宋体" w:hAnsi="宋体" w:eastAsia="宋体" w:cs="宋体"/>
          <w:spacing w:val="5"/>
          <w:sz w:val="21"/>
          <w:szCs w:val="21"/>
        </w:rPr>
        <w:t xml:space="preserve">  </w:t>
      </w:r>
      <w:r>
        <w:rPr>
          <w:rFonts w:ascii="宋体" w:hAnsi="宋体" w:eastAsia="宋体" w:cs="宋体"/>
          <w:spacing w:val="-5"/>
          <w:sz w:val="21"/>
          <w:szCs w:val="21"/>
        </w:rPr>
        <w:t>址：</w:t>
      </w:r>
    </w:p>
    <w:p w14:paraId="5246226F">
      <w:pPr>
        <w:spacing w:before="146" w:line="222" w:lineRule="auto"/>
        <w:ind w:left="19"/>
        <w:rPr>
          <w:rFonts w:ascii="宋体" w:hAnsi="宋体" w:eastAsia="宋体" w:cs="宋体"/>
          <w:sz w:val="21"/>
          <w:szCs w:val="21"/>
        </w:rPr>
      </w:pPr>
      <w:r>
        <w:rPr>
          <w:rFonts w:ascii="宋体" w:hAnsi="宋体" w:eastAsia="宋体" w:cs="宋体"/>
          <w:spacing w:val="-11"/>
          <w:sz w:val="21"/>
          <w:szCs w:val="21"/>
        </w:rPr>
        <w:t>开立人：</w:t>
      </w:r>
    </w:p>
    <w:p w14:paraId="3F8507F9">
      <w:pPr>
        <w:spacing w:before="156" w:line="230" w:lineRule="auto"/>
        <w:ind w:left="18"/>
        <w:rPr>
          <w:rFonts w:ascii="宋体" w:hAnsi="宋体" w:eastAsia="宋体" w:cs="宋体"/>
          <w:sz w:val="21"/>
          <w:szCs w:val="21"/>
        </w:rPr>
      </w:pPr>
      <w:r>
        <w:rPr>
          <w:rFonts w:ascii="宋体" w:hAnsi="宋体" w:eastAsia="宋体" w:cs="宋体"/>
          <w:spacing w:val="-5"/>
          <w:sz w:val="21"/>
          <w:szCs w:val="21"/>
        </w:rPr>
        <w:t>地</w:t>
      </w:r>
      <w:r>
        <w:rPr>
          <w:rFonts w:ascii="宋体" w:hAnsi="宋体" w:eastAsia="宋体" w:cs="宋体"/>
          <w:spacing w:val="5"/>
          <w:sz w:val="21"/>
          <w:szCs w:val="21"/>
        </w:rPr>
        <w:t xml:space="preserve">  </w:t>
      </w:r>
      <w:r>
        <w:rPr>
          <w:rFonts w:ascii="宋体" w:hAnsi="宋体" w:eastAsia="宋体" w:cs="宋体"/>
          <w:spacing w:val="-5"/>
          <w:sz w:val="21"/>
          <w:szCs w:val="21"/>
        </w:rPr>
        <w:t>址：</w:t>
      </w:r>
    </w:p>
    <w:p w14:paraId="7248B5AA">
      <w:pPr>
        <w:pStyle w:val="3"/>
        <w:spacing w:line="241" w:lineRule="auto"/>
      </w:pPr>
    </w:p>
    <w:p w14:paraId="4C95D283">
      <w:pPr>
        <w:pStyle w:val="3"/>
        <w:spacing w:line="241" w:lineRule="auto"/>
      </w:pPr>
    </w:p>
    <w:p w14:paraId="1CB47409">
      <w:pPr>
        <w:tabs>
          <w:tab w:val="left" w:pos="1483"/>
        </w:tabs>
        <w:spacing w:before="69" w:line="223" w:lineRule="auto"/>
        <w:ind w:left="10"/>
        <w:rPr>
          <w:rFonts w:ascii="宋体" w:hAnsi="宋体" w:eastAsia="宋体" w:cs="宋体"/>
          <w:sz w:val="21"/>
          <w:szCs w:val="21"/>
        </w:rPr>
      </w:pPr>
      <w:r>
        <w:rPr>
          <w:rFonts w:ascii="宋体" w:hAnsi="宋体" w:eastAsia="宋体" w:cs="宋体"/>
          <w:sz w:val="21"/>
          <w:szCs w:val="21"/>
          <w:u w:val="single" w:color="auto"/>
        </w:rPr>
        <w:tab/>
      </w:r>
      <w:r>
        <w:rPr>
          <w:rFonts w:ascii="宋体" w:hAnsi="宋体" w:eastAsia="宋体" w:cs="宋体"/>
          <w:spacing w:val="-13"/>
          <w:sz w:val="21"/>
          <w:szCs w:val="21"/>
        </w:rPr>
        <w:t>（受益人名称</w:t>
      </w:r>
      <w:r>
        <w:rPr>
          <w:rFonts w:ascii="宋体" w:hAnsi="宋体" w:eastAsia="宋体" w:cs="宋体"/>
          <w:spacing w:val="-20"/>
          <w:sz w:val="21"/>
          <w:szCs w:val="21"/>
        </w:rPr>
        <w:t>）：</w:t>
      </w:r>
    </w:p>
    <w:p w14:paraId="3357963C">
      <w:pPr>
        <w:spacing w:before="153" w:line="360" w:lineRule="auto"/>
        <w:ind w:left="17" w:right="1" w:firstLine="426"/>
        <w:rPr>
          <w:rFonts w:ascii="宋体" w:hAnsi="宋体" w:eastAsia="宋体" w:cs="宋体"/>
          <w:sz w:val="21"/>
          <w:szCs w:val="21"/>
        </w:rPr>
      </w:pPr>
      <w:r>
        <w:rPr>
          <w:rFonts w:ascii="宋体" w:hAnsi="宋体" w:eastAsia="宋体" w:cs="宋体"/>
          <w:spacing w:val="-5"/>
          <w:sz w:val="21"/>
          <w:szCs w:val="21"/>
        </w:rPr>
        <w:t>鉴于</w:t>
      </w:r>
      <w:r>
        <w:rPr>
          <w:rFonts w:ascii="宋体" w:hAnsi="宋体" w:eastAsia="宋体" w:cs="宋体"/>
          <w:spacing w:val="-5"/>
          <w:sz w:val="21"/>
          <w:szCs w:val="21"/>
          <w:u w:val="single" w:color="auto"/>
        </w:rPr>
        <w:t xml:space="preserve">            </w:t>
      </w:r>
      <w:r>
        <w:rPr>
          <w:rFonts w:ascii="宋体" w:hAnsi="宋体" w:eastAsia="宋体" w:cs="宋体"/>
          <w:spacing w:val="-81"/>
          <w:sz w:val="21"/>
          <w:szCs w:val="21"/>
        </w:rPr>
        <w:t xml:space="preserve"> </w:t>
      </w:r>
      <w:r>
        <w:rPr>
          <w:rFonts w:ascii="宋体" w:hAnsi="宋体" w:eastAsia="宋体" w:cs="宋体"/>
          <w:spacing w:val="-5"/>
          <w:sz w:val="21"/>
          <w:szCs w:val="21"/>
        </w:rPr>
        <w:t>工程（以下简称“本工程”）的《中标通知书》及</w:t>
      </w:r>
      <w:r>
        <w:rPr>
          <w:rFonts w:ascii="宋体" w:hAnsi="宋体" w:eastAsia="宋体" w:cs="宋体"/>
          <w:spacing w:val="-103"/>
          <w:sz w:val="21"/>
          <w:szCs w:val="21"/>
        </w:rPr>
        <w:t xml:space="preserve"> </w:t>
      </w:r>
      <w:r>
        <w:rPr>
          <w:rFonts w:ascii="宋体" w:hAnsi="宋体" w:eastAsia="宋体" w:cs="宋体"/>
          <w:spacing w:val="-5"/>
          <w:sz w:val="21"/>
          <w:szCs w:val="21"/>
          <w:u w:val="single" w:color="auto"/>
        </w:rPr>
        <w:t xml:space="preserve">        </w:t>
      </w:r>
      <w:r>
        <w:rPr>
          <w:rFonts w:ascii="宋体" w:hAnsi="宋体" w:eastAsia="宋体" w:cs="宋体"/>
          <w:spacing w:val="-5"/>
          <w:sz w:val="21"/>
          <w:szCs w:val="21"/>
        </w:rPr>
        <w:t xml:space="preserve"> （以下简</w:t>
      </w:r>
      <w:r>
        <w:rPr>
          <w:rFonts w:ascii="宋体" w:hAnsi="宋体" w:eastAsia="宋体" w:cs="宋体"/>
          <w:sz w:val="21"/>
          <w:szCs w:val="21"/>
        </w:rPr>
        <w:t xml:space="preserve"> </w:t>
      </w:r>
      <w:r>
        <w:rPr>
          <w:rFonts w:ascii="宋体" w:hAnsi="宋体" w:eastAsia="宋体" w:cs="宋体"/>
          <w:spacing w:val="-3"/>
          <w:sz w:val="21"/>
          <w:szCs w:val="21"/>
        </w:rPr>
        <w:t>称“受益人”）与</w:t>
      </w:r>
      <w:r>
        <w:rPr>
          <w:rFonts w:ascii="宋体" w:hAnsi="宋体" w:eastAsia="宋体" w:cs="宋体"/>
          <w:spacing w:val="-105"/>
          <w:sz w:val="21"/>
          <w:szCs w:val="21"/>
        </w:rPr>
        <w:t xml:space="preserve"> </w:t>
      </w:r>
      <w:r>
        <w:rPr>
          <w:rFonts w:ascii="宋体" w:hAnsi="宋体" w:eastAsia="宋体" w:cs="宋体"/>
          <w:spacing w:val="1"/>
          <w:sz w:val="21"/>
          <w:szCs w:val="21"/>
          <w:u w:val="single" w:color="auto"/>
        </w:rPr>
        <w:t xml:space="preserve">          </w:t>
      </w:r>
      <w:r>
        <w:rPr>
          <w:rFonts w:ascii="宋体" w:hAnsi="宋体" w:eastAsia="宋体" w:cs="宋体"/>
          <w:spacing w:val="-47"/>
          <w:sz w:val="21"/>
          <w:szCs w:val="21"/>
        </w:rPr>
        <w:t xml:space="preserve"> </w:t>
      </w:r>
      <w:r>
        <w:rPr>
          <w:rFonts w:ascii="宋体" w:hAnsi="宋体" w:eastAsia="宋体" w:cs="宋体"/>
          <w:spacing w:val="-3"/>
          <w:sz w:val="21"/>
          <w:szCs w:val="21"/>
        </w:rPr>
        <w:t>（以下简称“</w:t>
      </w:r>
      <w:r>
        <w:rPr>
          <w:rFonts w:ascii="宋体" w:hAnsi="宋体" w:eastAsia="宋体" w:cs="宋体"/>
          <w:spacing w:val="-75"/>
          <w:sz w:val="21"/>
          <w:szCs w:val="21"/>
        </w:rPr>
        <w:t xml:space="preserve"> </w:t>
      </w:r>
      <w:r>
        <w:rPr>
          <w:rFonts w:ascii="宋体" w:hAnsi="宋体" w:eastAsia="宋体" w:cs="宋体"/>
          <w:spacing w:val="-3"/>
          <w:sz w:val="21"/>
          <w:szCs w:val="21"/>
        </w:rPr>
        <w:t>申请人</w:t>
      </w:r>
      <w:r>
        <w:rPr>
          <w:rFonts w:ascii="宋体" w:hAnsi="宋体" w:eastAsia="宋体" w:cs="宋体"/>
          <w:spacing w:val="-77"/>
          <w:sz w:val="21"/>
          <w:szCs w:val="21"/>
        </w:rPr>
        <w:t xml:space="preserve"> </w:t>
      </w:r>
      <w:r>
        <w:rPr>
          <w:rFonts w:ascii="宋体" w:hAnsi="宋体" w:eastAsia="宋体" w:cs="宋体"/>
          <w:spacing w:val="-3"/>
          <w:sz w:val="21"/>
          <w:szCs w:val="21"/>
        </w:rPr>
        <w:t>”）关于本工程签订/拟签订的</w:t>
      </w:r>
      <w:r>
        <w:rPr>
          <w:rFonts w:ascii="宋体" w:hAnsi="宋体" w:eastAsia="宋体" w:cs="宋体"/>
          <w:spacing w:val="-4"/>
          <w:sz w:val="21"/>
          <w:szCs w:val="21"/>
        </w:rPr>
        <w:t>合同（以</w:t>
      </w:r>
      <w:r>
        <w:rPr>
          <w:rFonts w:ascii="宋体" w:hAnsi="宋体" w:eastAsia="宋体" w:cs="宋体"/>
          <w:sz w:val="21"/>
          <w:szCs w:val="21"/>
        </w:rPr>
        <w:t xml:space="preserve"> </w:t>
      </w:r>
      <w:r>
        <w:rPr>
          <w:rFonts w:ascii="宋体" w:hAnsi="宋体" w:eastAsia="宋体" w:cs="宋体"/>
          <w:spacing w:val="-2"/>
          <w:sz w:val="21"/>
          <w:szCs w:val="21"/>
        </w:rPr>
        <w:t>下均简称“基础合同”）和有关事项，我方（即“</w:t>
      </w:r>
      <w:r>
        <w:rPr>
          <w:rFonts w:ascii="宋体" w:hAnsi="宋体" w:eastAsia="宋体" w:cs="宋体"/>
          <w:spacing w:val="-3"/>
          <w:sz w:val="21"/>
          <w:szCs w:val="21"/>
        </w:rPr>
        <w:t>开立人”）根据基础合同了解到申请人为</w:t>
      </w:r>
      <w:r>
        <w:rPr>
          <w:rFonts w:ascii="宋体" w:hAnsi="宋体" w:eastAsia="宋体" w:cs="宋体"/>
          <w:sz w:val="21"/>
          <w:szCs w:val="21"/>
        </w:rPr>
        <w:t xml:space="preserve"> 基础合同项下之承包人，受益人为基础合同项下之发包人， 基于申请人的请求，我方同意</w:t>
      </w:r>
      <w:r>
        <w:rPr>
          <w:rFonts w:ascii="宋体" w:hAnsi="宋体" w:eastAsia="宋体" w:cs="宋体"/>
          <w:spacing w:val="12"/>
          <w:sz w:val="21"/>
          <w:szCs w:val="21"/>
        </w:rPr>
        <w:t xml:space="preserve"> </w:t>
      </w:r>
      <w:r>
        <w:rPr>
          <w:rFonts w:ascii="宋体" w:hAnsi="宋体" w:eastAsia="宋体" w:cs="宋体"/>
          <w:spacing w:val="3"/>
          <w:sz w:val="21"/>
          <w:szCs w:val="21"/>
        </w:rPr>
        <w:t>就申请人履行与贵方签订的基础合同项下的义务，向贵方提供不可撤销、不可转让的见索</w:t>
      </w:r>
    </w:p>
    <w:p w14:paraId="1C76FE75">
      <w:pPr>
        <w:spacing w:before="1" w:line="219" w:lineRule="auto"/>
        <w:ind w:left="33"/>
        <w:rPr>
          <w:rFonts w:ascii="宋体" w:hAnsi="宋体" w:eastAsia="宋体" w:cs="宋体"/>
          <w:sz w:val="21"/>
          <w:szCs w:val="21"/>
        </w:rPr>
      </w:pPr>
      <w:r>
        <w:rPr>
          <w:rFonts w:ascii="宋体" w:hAnsi="宋体" w:eastAsia="宋体" w:cs="宋体"/>
          <w:spacing w:val="-12"/>
          <w:sz w:val="21"/>
          <w:szCs w:val="21"/>
        </w:rPr>
        <w:t>即付独立保函（以下简称“本保函”）。</w:t>
      </w:r>
    </w:p>
    <w:p w14:paraId="2197A6CE">
      <w:pPr>
        <w:spacing w:before="158" w:line="408" w:lineRule="exact"/>
        <w:ind w:right="12"/>
        <w:jc w:val="right"/>
        <w:rPr>
          <w:rFonts w:ascii="宋体" w:hAnsi="宋体" w:eastAsia="宋体" w:cs="宋体"/>
          <w:sz w:val="21"/>
          <w:szCs w:val="21"/>
        </w:rPr>
      </w:pPr>
      <w:r>
        <w:rPr>
          <w:rFonts w:ascii="宋体" w:hAnsi="宋体" w:eastAsia="宋体" w:cs="宋体"/>
          <w:spacing w:val="-3"/>
          <w:position w:val="15"/>
          <w:sz w:val="21"/>
          <w:szCs w:val="21"/>
        </w:rPr>
        <w:t>一、本保函担保范围： 承包人未按照基础合同的约定履行义务， 应当向贵方承担的违</w:t>
      </w:r>
    </w:p>
    <w:p w14:paraId="56872C72">
      <w:pPr>
        <w:spacing w:line="220" w:lineRule="auto"/>
        <w:ind w:left="23"/>
        <w:rPr>
          <w:rFonts w:ascii="宋体" w:hAnsi="宋体" w:eastAsia="宋体" w:cs="宋体"/>
          <w:sz w:val="21"/>
          <w:szCs w:val="21"/>
        </w:rPr>
      </w:pPr>
      <w:r>
        <w:rPr>
          <w:rFonts w:ascii="宋体" w:hAnsi="宋体" w:eastAsia="宋体" w:cs="宋体"/>
          <w:spacing w:val="-1"/>
          <w:sz w:val="21"/>
          <w:szCs w:val="21"/>
        </w:rPr>
        <w:t>约责任和赔偿因此造成的损失、利息、律师费、诉讼费用等实现债权的费用。</w:t>
      </w:r>
    </w:p>
    <w:p w14:paraId="44E0FEE4">
      <w:pPr>
        <w:spacing w:before="157" w:line="220" w:lineRule="auto"/>
        <w:ind w:left="444"/>
        <w:rPr>
          <w:rFonts w:ascii="宋体" w:hAnsi="宋体" w:eastAsia="宋体" w:cs="宋体"/>
          <w:sz w:val="21"/>
          <w:szCs w:val="21"/>
        </w:rPr>
      </w:pPr>
      <w:r>
        <w:rPr>
          <w:rFonts w:ascii="宋体" w:hAnsi="宋体" w:eastAsia="宋体" w:cs="宋体"/>
          <w:spacing w:val="-1"/>
          <w:sz w:val="21"/>
          <w:szCs w:val="21"/>
        </w:rPr>
        <w:t xml:space="preserve">二、本保函担保金额最高不超过人民币（大写） </w:t>
      </w:r>
      <w:r>
        <w:rPr>
          <w:rFonts w:ascii="宋体" w:hAnsi="宋体" w:eastAsia="宋体" w:cs="宋体"/>
          <w:spacing w:val="-1"/>
          <w:sz w:val="21"/>
          <w:szCs w:val="21"/>
          <w:u w:val="single" w:color="auto"/>
        </w:rPr>
        <w:t xml:space="preserve">          </w:t>
      </w:r>
      <w:r>
        <w:rPr>
          <w:rFonts w:ascii="宋体" w:hAnsi="宋体" w:eastAsia="宋体" w:cs="宋体"/>
          <w:spacing w:val="-89"/>
          <w:sz w:val="21"/>
          <w:szCs w:val="21"/>
        </w:rPr>
        <w:t xml:space="preserve"> </w:t>
      </w:r>
      <w:r>
        <w:rPr>
          <w:rFonts w:ascii="宋体" w:hAnsi="宋体" w:eastAsia="宋体" w:cs="宋体"/>
          <w:spacing w:val="-1"/>
          <w:sz w:val="21"/>
          <w:szCs w:val="21"/>
        </w:rPr>
        <w:t>元(¥</w:t>
      </w:r>
      <w:r>
        <w:rPr>
          <w:rFonts w:ascii="宋体" w:hAnsi="宋体" w:eastAsia="宋体" w:cs="宋体"/>
          <w:spacing w:val="-1"/>
          <w:sz w:val="21"/>
          <w:szCs w:val="21"/>
          <w:u w:val="single" w:color="auto"/>
        </w:rPr>
        <w:t xml:space="preserve">       </w:t>
      </w:r>
      <w:r>
        <w:rPr>
          <w:rFonts w:ascii="宋体" w:hAnsi="宋体" w:eastAsia="宋体" w:cs="宋体"/>
          <w:spacing w:val="-74"/>
          <w:sz w:val="21"/>
          <w:szCs w:val="21"/>
        </w:rPr>
        <w:t xml:space="preserve"> </w:t>
      </w:r>
      <w:r>
        <w:rPr>
          <w:rFonts w:ascii="宋体" w:hAnsi="宋体" w:eastAsia="宋体" w:cs="宋体"/>
          <w:spacing w:val="-1"/>
          <w:sz w:val="21"/>
          <w:szCs w:val="21"/>
        </w:rPr>
        <w:t>)。</w:t>
      </w:r>
    </w:p>
    <w:p w14:paraId="5FC3799F">
      <w:pPr>
        <w:spacing w:before="158" w:line="359" w:lineRule="auto"/>
        <w:ind w:right="1"/>
        <w:jc w:val="right"/>
        <w:rPr>
          <w:rFonts w:ascii="宋体" w:hAnsi="宋体" w:eastAsia="宋体" w:cs="宋体"/>
          <w:sz w:val="21"/>
          <w:szCs w:val="21"/>
        </w:rPr>
      </w:pPr>
      <w:r>
        <w:rPr>
          <w:rFonts w:ascii="宋体" w:hAnsi="宋体" w:eastAsia="宋体" w:cs="宋体"/>
          <w:spacing w:val="-1"/>
          <w:sz w:val="21"/>
          <w:szCs w:val="21"/>
        </w:rPr>
        <w:t>三、本保函有效期自开立之日起至基础合同约定的缺陷责</w:t>
      </w:r>
      <w:r>
        <w:rPr>
          <w:rFonts w:ascii="宋体" w:hAnsi="宋体" w:eastAsia="宋体" w:cs="宋体"/>
          <w:spacing w:val="-2"/>
          <w:sz w:val="21"/>
          <w:szCs w:val="21"/>
        </w:rPr>
        <w:t>任期后</w:t>
      </w:r>
      <w:r>
        <w:rPr>
          <w:rFonts w:ascii="宋体" w:hAnsi="宋体" w:eastAsia="宋体" w:cs="宋体"/>
          <w:spacing w:val="-105"/>
          <w:sz w:val="21"/>
          <w:szCs w:val="21"/>
        </w:rPr>
        <w:t xml:space="preserve"> </w:t>
      </w:r>
      <w:r>
        <w:rPr>
          <w:rFonts w:ascii="宋体" w:hAnsi="宋体" w:eastAsia="宋体" w:cs="宋体"/>
          <w:spacing w:val="5"/>
          <w:sz w:val="21"/>
          <w:szCs w:val="21"/>
          <w:u w:val="single" w:color="auto"/>
        </w:rPr>
        <w:t xml:space="preserve">   </w:t>
      </w:r>
      <w:r>
        <w:rPr>
          <w:rFonts w:ascii="宋体" w:hAnsi="宋体" w:eastAsia="宋体" w:cs="宋体"/>
          <w:spacing w:val="-59"/>
          <w:sz w:val="21"/>
          <w:szCs w:val="21"/>
        </w:rPr>
        <w:t xml:space="preserve"> </w:t>
      </w:r>
      <w:r>
        <w:rPr>
          <w:rFonts w:ascii="宋体" w:hAnsi="宋体" w:eastAsia="宋体" w:cs="宋体"/>
          <w:spacing w:val="-2"/>
          <w:sz w:val="21"/>
          <w:szCs w:val="21"/>
        </w:rPr>
        <w:t>日止，最迟不超过</w:t>
      </w:r>
    </w:p>
    <w:p w14:paraId="57EB761A">
      <w:pPr>
        <w:spacing w:before="1" w:line="220" w:lineRule="auto"/>
        <w:ind w:left="19"/>
        <w:rPr>
          <w:rFonts w:ascii="宋体" w:hAnsi="宋体" w:eastAsia="宋体" w:cs="宋体"/>
          <w:sz w:val="21"/>
          <w:szCs w:val="21"/>
        </w:rPr>
      </w:pPr>
      <w:r>
        <w:rPr>
          <w:rFonts w:ascii="宋体" w:hAnsi="宋体" w:eastAsia="宋体" w:cs="宋体"/>
          <w:spacing w:val="-16"/>
          <w:sz w:val="21"/>
          <w:szCs w:val="21"/>
        </w:rPr>
        <w:t>年</w:t>
      </w:r>
      <w:r>
        <w:rPr>
          <w:rFonts w:ascii="宋体" w:hAnsi="宋体" w:eastAsia="宋体" w:cs="宋体"/>
          <w:spacing w:val="-105"/>
          <w:sz w:val="21"/>
          <w:szCs w:val="21"/>
        </w:rPr>
        <w:t xml:space="preserve"> </w:t>
      </w:r>
      <w:r>
        <w:rPr>
          <w:rFonts w:ascii="宋体" w:hAnsi="宋体" w:eastAsia="宋体" w:cs="宋体"/>
          <w:sz w:val="21"/>
          <w:szCs w:val="21"/>
          <w:u w:val="single" w:color="auto"/>
        </w:rPr>
        <w:t xml:space="preserve">    </w:t>
      </w:r>
      <w:r>
        <w:rPr>
          <w:rFonts w:ascii="宋体" w:hAnsi="宋体" w:eastAsia="宋体" w:cs="宋体"/>
          <w:spacing w:val="-90"/>
          <w:sz w:val="21"/>
          <w:szCs w:val="21"/>
        </w:rPr>
        <w:t xml:space="preserve"> </w:t>
      </w:r>
      <w:r>
        <w:rPr>
          <w:rFonts w:ascii="宋体" w:hAnsi="宋体" w:eastAsia="宋体" w:cs="宋体"/>
          <w:spacing w:val="-16"/>
          <w:sz w:val="21"/>
          <w:szCs w:val="21"/>
        </w:rPr>
        <w:t>月</w:t>
      </w:r>
      <w:r>
        <w:rPr>
          <w:rFonts w:ascii="宋体" w:hAnsi="宋体" w:eastAsia="宋体" w:cs="宋体"/>
          <w:spacing w:val="34"/>
          <w:sz w:val="21"/>
          <w:szCs w:val="21"/>
          <w:u w:val="single" w:color="auto"/>
        </w:rPr>
        <w:t xml:space="preserve">   </w:t>
      </w:r>
      <w:r>
        <w:rPr>
          <w:rFonts w:ascii="宋体" w:hAnsi="宋体" w:eastAsia="宋体" w:cs="宋体"/>
          <w:spacing w:val="-59"/>
          <w:sz w:val="21"/>
          <w:szCs w:val="21"/>
        </w:rPr>
        <w:t xml:space="preserve"> </w:t>
      </w:r>
      <w:r>
        <w:rPr>
          <w:rFonts w:ascii="宋体" w:hAnsi="宋体" w:eastAsia="宋体" w:cs="宋体"/>
          <w:spacing w:val="-16"/>
          <w:sz w:val="21"/>
          <w:szCs w:val="21"/>
        </w:rPr>
        <w:t>日。</w:t>
      </w:r>
    </w:p>
    <w:p w14:paraId="50886B1E">
      <w:pPr>
        <w:spacing w:before="157" w:line="363" w:lineRule="auto"/>
        <w:ind w:right="3"/>
        <w:jc w:val="right"/>
        <w:rPr>
          <w:rFonts w:ascii="宋体" w:hAnsi="宋体" w:eastAsia="宋体" w:cs="宋体"/>
          <w:sz w:val="21"/>
          <w:szCs w:val="21"/>
        </w:rPr>
      </w:pPr>
      <w:r>
        <w:rPr>
          <w:rFonts w:ascii="宋体" w:hAnsi="宋体" w:eastAsia="宋体" w:cs="宋体"/>
          <w:spacing w:val="-2"/>
          <w:sz w:val="21"/>
          <w:szCs w:val="21"/>
        </w:rPr>
        <w:t>四、我方承诺，在收到受益人发来的书面付款通知后的</w:t>
      </w:r>
      <w:r>
        <w:rPr>
          <w:rFonts w:ascii="宋体" w:hAnsi="宋体" w:eastAsia="宋体" w:cs="宋体"/>
          <w:spacing w:val="-100"/>
          <w:sz w:val="21"/>
          <w:szCs w:val="21"/>
        </w:rPr>
        <w:t xml:space="preserve"> </w:t>
      </w:r>
      <w:r>
        <w:rPr>
          <w:rFonts w:ascii="宋体" w:hAnsi="宋体" w:eastAsia="宋体" w:cs="宋体"/>
          <w:spacing w:val="15"/>
          <w:sz w:val="21"/>
          <w:szCs w:val="21"/>
          <w:u w:val="single" w:color="auto"/>
        </w:rPr>
        <w:t xml:space="preserve">    </w:t>
      </w:r>
      <w:r>
        <w:rPr>
          <w:rFonts w:ascii="宋体" w:hAnsi="宋体" w:eastAsia="宋体" w:cs="宋体"/>
          <w:spacing w:val="-61"/>
          <w:sz w:val="21"/>
          <w:szCs w:val="21"/>
        </w:rPr>
        <w:t xml:space="preserve"> </w:t>
      </w:r>
      <w:r>
        <w:rPr>
          <w:rFonts w:ascii="宋体" w:hAnsi="宋体" w:eastAsia="宋体" w:cs="宋体"/>
          <w:spacing w:val="-2"/>
          <w:sz w:val="21"/>
          <w:szCs w:val="21"/>
        </w:rPr>
        <w:t>日内无条件支付，前述书</w:t>
      </w:r>
    </w:p>
    <w:p w14:paraId="4B955AAA">
      <w:pPr>
        <w:spacing w:line="220" w:lineRule="auto"/>
        <w:ind w:left="19"/>
        <w:rPr>
          <w:rFonts w:ascii="宋体" w:hAnsi="宋体" w:eastAsia="宋体" w:cs="宋体"/>
          <w:sz w:val="21"/>
          <w:szCs w:val="21"/>
        </w:rPr>
      </w:pPr>
      <w:r>
        <w:rPr>
          <w:rFonts w:ascii="宋体" w:hAnsi="宋体" w:eastAsia="宋体" w:cs="宋体"/>
          <w:spacing w:val="-1"/>
          <w:sz w:val="21"/>
          <w:szCs w:val="21"/>
        </w:rPr>
        <w:t>面付款通知即为付款要求之单据，且应满足以下要求：</w:t>
      </w:r>
    </w:p>
    <w:p w14:paraId="5E922179">
      <w:pPr>
        <w:spacing w:before="158" w:line="220" w:lineRule="auto"/>
        <w:ind w:left="447"/>
        <w:rPr>
          <w:rFonts w:ascii="宋体" w:hAnsi="宋体" w:eastAsia="宋体" w:cs="宋体"/>
          <w:sz w:val="21"/>
          <w:szCs w:val="21"/>
        </w:rPr>
      </w:pPr>
      <w:r>
        <w:rPr>
          <w:rFonts w:ascii="宋体" w:hAnsi="宋体" w:eastAsia="宋体" w:cs="宋体"/>
          <w:spacing w:val="-1"/>
          <w:sz w:val="21"/>
          <w:szCs w:val="21"/>
        </w:rPr>
        <w:t>（1）付款通知到达的日期在本保函的有效期内；</w:t>
      </w:r>
    </w:p>
    <w:p w14:paraId="0D24B0E7">
      <w:pPr>
        <w:spacing w:before="157" w:line="221" w:lineRule="auto"/>
        <w:ind w:left="447"/>
        <w:rPr>
          <w:rFonts w:ascii="宋体" w:hAnsi="宋体" w:eastAsia="宋体" w:cs="宋体"/>
          <w:sz w:val="21"/>
          <w:szCs w:val="21"/>
        </w:rPr>
      </w:pPr>
      <w:r>
        <w:rPr>
          <w:rFonts w:ascii="宋体" w:hAnsi="宋体" w:eastAsia="宋体" w:cs="宋体"/>
          <w:spacing w:val="-4"/>
          <w:sz w:val="21"/>
          <w:szCs w:val="21"/>
        </w:rPr>
        <w:t>（2）载明要求支付的金额；</w:t>
      </w:r>
    </w:p>
    <w:p w14:paraId="2FF195EF">
      <w:pPr>
        <w:spacing w:before="157" w:line="221" w:lineRule="auto"/>
        <w:ind w:left="447"/>
        <w:rPr>
          <w:rFonts w:ascii="宋体" w:hAnsi="宋体" w:eastAsia="宋体" w:cs="宋体"/>
          <w:sz w:val="21"/>
          <w:szCs w:val="21"/>
        </w:rPr>
      </w:pPr>
      <w:r>
        <w:rPr>
          <w:rFonts w:ascii="宋体" w:hAnsi="宋体" w:eastAsia="宋体" w:cs="宋体"/>
          <w:spacing w:val="-2"/>
          <w:sz w:val="21"/>
          <w:szCs w:val="21"/>
        </w:rPr>
        <w:t>（3）载明申请人违反合同义务的条款和内</w:t>
      </w:r>
      <w:r>
        <w:rPr>
          <w:rFonts w:ascii="宋体" w:hAnsi="宋体" w:eastAsia="宋体" w:cs="宋体"/>
          <w:spacing w:val="-3"/>
          <w:sz w:val="21"/>
          <w:szCs w:val="21"/>
        </w:rPr>
        <w:t>容；</w:t>
      </w:r>
    </w:p>
    <w:p w14:paraId="3671DB23">
      <w:pPr>
        <w:spacing w:before="157" w:line="221" w:lineRule="auto"/>
        <w:ind w:left="447"/>
        <w:rPr>
          <w:rFonts w:ascii="宋体" w:hAnsi="宋体" w:eastAsia="宋体" w:cs="宋体"/>
          <w:sz w:val="21"/>
          <w:szCs w:val="21"/>
        </w:rPr>
      </w:pPr>
      <w:r>
        <w:rPr>
          <w:rFonts w:ascii="宋体" w:hAnsi="宋体" w:eastAsia="宋体" w:cs="宋体"/>
          <w:spacing w:val="-1"/>
          <w:sz w:val="21"/>
          <w:szCs w:val="21"/>
        </w:rPr>
        <w:t>（4）声明不存在合同文件约定或我国法律规定免除申请人或开立人支付责任的情形；</w:t>
      </w:r>
    </w:p>
    <w:p w14:paraId="5D95752A">
      <w:pPr>
        <w:spacing w:before="157" w:line="220" w:lineRule="auto"/>
        <w:ind w:left="447"/>
        <w:rPr>
          <w:rFonts w:ascii="宋体" w:hAnsi="宋体" w:eastAsia="宋体" w:cs="宋体"/>
          <w:sz w:val="21"/>
          <w:szCs w:val="21"/>
        </w:rPr>
      </w:pPr>
      <w:r>
        <w:rPr>
          <w:rFonts w:ascii="宋体" w:hAnsi="宋体" w:eastAsia="宋体" w:cs="宋体"/>
          <w:spacing w:val="-2"/>
          <w:sz w:val="21"/>
          <w:szCs w:val="21"/>
        </w:rPr>
        <w:t>（5）付款通知应在本保函有效期内到达的地</w:t>
      </w:r>
      <w:r>
        <w:rPr>
          <w:rFonts w:ascii="宋体" w:hAnsi="宋体" w:eastAsia="宋体" w:cs="宋体"/>
          <w:spacing w:val="-3"/>
          <w:sz w:val="21"/>
          <w:szCs w:val="21"/>
        </w:rPr>
        <w:t>址是：</w:t>
      </w:r>
      <w:r>
        <w:rPr>
          <w:rFonts w:ascii="宋体" w:hAnsi="宋体" w:eastAsia="宋体" w:cs="宋体"/>
          <w:spacing w:val="-27"/>
          <w:sz w:val="21"/>
          <w:szCs w:val="21"/>
        </w:rPr>
        <w:t xml:space="preserve"> </w:t>
      </w:r>
      <w:r>
        <w:rPr>
          <w:rFonts w:ascii="宋体" w:hAnsi="宋体" w:eastAsia="宋体" w:cs="宋体"/>
          <w:spacing w:val="-3"/>
          <w:sz w:val="21"/>
          <w:szCs w:val="21"/>
          <w:u w:val="single" w:color="auto"/>
        </w:rPr>
        <w:t xml:space="preserve">             </w:t>
      </w:r>
      <w:r>
        <w:rPr>
          <w:rFonts w:ascii="宋体" w:hAnsi="宋体" w:eastAsia="宋体" w:cs="宋体"/>
          <w:spacing w:val="-3"/>
          <w:sz w:val="21"/>
          <w:szCs w:val="21"/>
        </w:rPr>
        <w:t>。</w:t>
      </w:r>
    </w:p>
    <w:p w14:paraId="2D064A40">
      <w:pPr>
        <w:spacing w:before="158" w:line="408" w:lineRule="exact"/>
        <w:ind w:right="6"/>
        <w:jc w:val="right"/>
        <w:rPr>
          <w:rFonts w:ascii="宋体" w:hAnsi="宋体" w:eastAsia="宋体" w:cs="宋体"/>
          <w:sz w:val="21"/>
          <w:szCs w:val="21"/>
        </w:rPr>
      </w:pPr>
      <w:r>
        <w:rPr>
          <w:rFonts w:ascii="宋体" w:hAnsi="宋体" w:eastAsia="宋体" w:cs="宋体"/>
          <w:spacing w:val="3"/>
          <w:position w:val="15"/>
          <w:sz w:val="21"/>
          <w:szCs w:val="21"/>
        </w:rPr>
        <w:t>受益人发出的书面付款通知应由其为鉴明受益人法定代表人（负责人）或授权代</w:t>
      </w:r>
      <w:r>
        <w:rPr>
          <w:rFonts w:ascii="宋体" w:hAnsi="宋体" w:eastAsia="宋体" w:cs="宋体"/>
          <w:spacing w:val="2"/>
          <w:position w:val="15"/>
          <w:sz w:val="21"/>
          <w:szCs w:val="21"/>
        </w:rPr>
        <w:t>理人</w:t>
      </w:r>
    </w:p>
    <w:p w14:paraId="49B98E11">
      <w:pPr>
        <w:spacing w:before="1" w:line="219" w:lineRule="auto"/>
        <w:ind w:left="18"/>
        <w:rPr>
          <w:rFonts w:ascii="宋体" w:hAnsi="宋体" w:eastAsia="宋体" w:cs="宋体"/>
          <w:sz w:val="21"/>
          <w:szCs w:val="21"/>
        </w:rPr>
      </w:pPr>
      <w:r>
        <w:rPr>
          <w:rFonts w:ascii="宋体" w:hAnsi="宋体" w:eastAsia="宋体" w:cs="宋体"/>
          <w:spacing w:val="-3"/>
          <w:sz w:val="21"/>
          <w:szCs w:val="21"/>
        </w:rPr>
        <w:t>签字并加盖公章。</w:t>
      </w:r>
    </w:p>
    <w:p w14:paraId="77080476">
      <w:pPr>
        <w:spacing w:before="158" w:line="413" w:lineRule="exact"/>
        <w:jc w:val="right"/>
        <w:rPr>
          <w:rFonts w:ascii="宋体" w:hAnsi="宋体" w:eastAsia="宋体" w:cs="宋体"/>
          <w:sz w:val="21"/>
          <w:szCs w:val="21"/>
        </w:rPr>
      </w:pPr>
      <w:r>
        <w:rPr>
          <w:rFonts w:ascii="宋体" w:hAnsi="宋体" w:eastAsia="宋体" w:cs="宋体"/>
          <w:spacing w:val="-3"/>
          <w:position w:val="15"/>
          <w:sz w:val="21"/>
          <w:szCs w:val="21"/>
        </w:rPr>
        <w:t>五、</w:t>
      </w:r>
      <w:r>
        <w:rPr>
          <w:rFonts w:ascii="宋体" w:hAnsi="宋体" w:eastAsia="宋体" w:cs="宋体"/>
          <w:spacing w:val="-16"/>
          <w:position w:val="15"/>
          <w:sz w:val="21"/>
          <w:szCs w:val="21"/>
        </w:rPr>
        <w:t xml:space="preserve"> </w:t>
      </w:r>
      <w:r>
        <w:rPr>
          <w:rFonts w:ascii="宋体" w:hAnsi="宋体" w:eastAsia="宋体" w:cs="宋体"/>
          <w:spacing w:val="-3"/>
          <w:position w:val="15"/>
          <w:sz w:val="21"/>
          <w:szCs w:val="21"/>
        </w:rPr>
        <w:t>本保函项下的权利不得转让，不得设定担保。贵方未经我方书面同意转</w:t>
      </w:r>
      <w:r>
        <w:rPr>
          <w:rFonts w:ascii="宋体" w:hAnsi="宋体" w:eastAsia="宋体" w:cs="宋体"/>
          <w:spacing w:val="33"/>
          <w:position w:val="15"/>
          <w:sz w:val="21"/>
          <w:szCs w:val="21"/>
        </w:rPr>
        <w:t xml:space="preserve"> </w:t>
      </w:r>
      <w:r>
        <w:rPr>
          <w:rFonts w:ascii="宋体" w:hAnsi="宋体" w:eastAsia="宋体" w:cs="宋体"/>
          <w:spacing w:val="-3"/>
          <w:position w:val="15"/>
          <w:sz w:val="21"/>
          <w:szCs w:val="21"/>
        </w:rPr>
        <w:t>让本保函</w:t>
      </w:r>
    </w:p>
    <w:p w14:paraId="367B40BE">
      <w:pPr>
        <w:spacing w:line="220" w:lineRule="auto"/>
        <w:ind w:left="20"/>
        <w:rPr>
          <w:rFonts w:ascii="宋体" w:hAnsi="宋体" w:eastAsia="宋体" w:cs="宋体"/>
          <w:sz w:val="21"/>
          <w:szCs w:val="21"/>
        </w:rPr>
      </w:pPr>
      <w:r>
        <w:rPr>
          <w:rFonts w:ascii="宋体" w:hAnsi="宋体" w:eastAsia="宋体" w:cs="宋体"/>
          <w:spacing w:val="-6"/>
          <w:sz w:val="21"/>
          <w:szCs w:val="21"/>
        </w:rPr>
        <w:t>或其项下任何权利， 对我方不发生法律效力。</w:t>
      </w:r>
    </w:p>
    <w:p w14:paraId="6376D0F2">
      <w:pPr>
        <w:spacing w:line="220" w:lineRule="auto"/>
        <w:rPr>
          <w:rFonts w:ascii="宋体" w:hAnsi="宋体" w:eastAsia="宋体" w:cs="宋体"/>
          <w:sz w:val="21"/>
          <w:szCs w:val="21"/>
        </w:rPr>
        <w:sectPr>
          <w:footerReference r:id="rId151" w:type="default"/>
          <w:pgSz w:w="11905" w:h="16839"/>
          <w:pgMar w:top="400" w:right="1785" w:bottom="1004" w:left="1785" w:header="0" w:footer="828" w:gutter="0"/>
          <w:pgNumType w:fmt="decimal"/>
          <w:cols w:space="720" w:num="1"/>
        </w:sectPr>
      </w:pPr>
    </w:p>
    <w:p w14:paraId="7F3C70D9">
      <w:pPr>
        <w:pStyle w:val="3"/>
        <w:spacing w:line="248" w:lineRule="auto"/>
      </w:pPr>
    </w:p>
    <w:p w14:paraId="0BA52CE7">
      <w:pPr>
        <w:pStyle w:val="3"/>
        <w:spacing w:line="249" w:lineRule="auto"/>
      </w:pPr>
    </w:p>
    <w:p w14:paraId="7101B9D4">
      <w:pPr>
        <w:pStyle w:val="3"/>
        <w:spacing w:line="249" w:lineRule="auto"/>
      </w:pPr>
    </w:p>
    <w:p w14:paraId="58D30C9B">
      <w:pPr>
        <w:pStyle w:val="3"/>
        <w:spacing w:line="249" w:lineRule="auto"/>
      </w:pPr>
    </w:p>
    <w:p w14:paraId="4A3E134E">
      <w:pPr>
        <w:spacing w:before="69" w:line="408" w:lineRule="exact"/>
        <w:ind w:right="4"/>
        <w:jc w:val="right"/>
        <w:rPr>
          <w:rFonts w:ascii="宋体" w:hAnsi="宋体" w:eastAsia="宋体" w:cs="宋体"/>
          <w:sz w:val="21"/>
          <w:szCs w:val="21"/>
        </w:rPr>
      </w:pPr>
      <w:r>
        <w:rPr>
          <w:rFonts w:ascii="宋体" w:hAnsi="宋体" w:eastAsia="宋体" w:cs="宋体"/>
          <w:spacing w:val="3"/>
          <w:position w:val="15"/>
          <w:sz w:val="21"/>
          <w:szCs w:val="21"/>
        </w:rPr>
        <w:t>六、与本保函有关的基础合同不成立、不生效、无效、被撤销、被解除，不影响本保</w:t>
      </w:r>
    </w:p>
    <w:p w14:paraId="640CC086">
      <w:pPr>
        <w:spacing w:line="221" w:lineRule="auto"/>
        <w:ind w:left="32"/>
        <w:rPr>
          <w:rFonts w:ascii="宋体" w:hAnsi="宋体" w:eastAsia="宋体" w:cs="宋体"/>
          <w:sz w:val="21"/>
          <w:szCs w:val="21"/>
        </w:rPr>
      </w:pPr>
      <w:r>
        <w:rPr>
          <w:rFonts w:ascii="宋体" w:hAnsi="宋体" w:eastAsia="宋体" w:cs="宋体"/>
          <w:spacing w:val="-5"/>
          <w:sz w:val="21"/>
          <w:szCs w:val="21"/>
        </w:rPr>
        <w:t>函的独立有效。</w:t>
      </w:r>
    </w:p>
    <w:p w14:paraId="0B601B23">
      <w:pPr>
        <w:spacing w:before="156" w:line="359" w:lineRule="auto"/>
        <w:ind w:left="20" w:right="5" w:firstLine="420"/>
        <w:rPr>
          <w:rFonts w:ascii="宋体" w:hAnsi="宋体" w:eastAsia="宋体" w:cs="宋体"/>
          <w:sz w:val="21"/>
          <w:szCs w:val="21"/>
        </w:rPr>
      </w:pPr>
      <w:r>
        <w:rPr>
          <w:rFonts w:ascii="宋体" w:hAnsi="宋体" w:eastAsia="宋体" w:cs="宋体"/>
          <w:spacing w:val="1"/>
          <w:sz w:val="21"/>
          <w:szCs w:val="21"/>
        </w:rPr>
        <w:t>七、</w:t>
      </w:r>
      <w:r>
        <w:rPr>
          <w:rFonts w:ascii="宋体" w:hAnsi="宋体" w:eastAsia="宋体" w:cs="宋体"/>
          <w:spacing w:val="-27"/>
          <w:sz w:val="21"/>
          <w:szCs w:val="21"/>
        </w:rPr>
        <w:t xml:space="preserve"> </w:t>
      </w:r>
      <w:r>
        <w:rPr>
          <w:rFonts w:ascii="宋体" w:hAnsi="宋体" w:eastAsia="宋体" w:cs="宋体"/>
          <w:spacing w:val="1"/>
          <w:sz w:val="21"/>
          <w:szCs w:val="21"/>
        </w:rPr>
        <w:t>贵方应在本保函到期后的七日内将本保函正本退回我方注销，但是不论贵方是否</w:t>
      </w:r>
      <w:r>
        <w:rPr>
          <w:rFonts w:ascii="宋体" w:hAnsi="宋体" w:eastAsia="宋体" w:cs="宋体"/>
          <w:sz w:val="21"/>
          <w:szCs w:val="21"/>
        </w:rPr>
        <w:t xml:space="preserve"> 按此要求将本保函正本退回我方， 我方在本保函项下的义务和责任均在保函有效期到期后</w:t>
      </w:r>
    </w:p>
    <w:p w14:paraId="2514B9C2">
      <w:pPr>
        <w:spacing w:line="221" w:lineRule="auto"/>
        <w:ind w:left="52"/>
        <w:rPr>
          <w:rFonts w:ascii="宋体" w:hAnsi="宋体" w:eastAsia="宋体" w:cs="宋体"/>
          <w:sz w:val="21"/>
          <w:szCs w:val="21"/>
        </w:rPr>
      </w:pPr>
      <w:r>
        <w:rPr>
          <w:rFonts w:ascii="宋体" w:hAnsi="宋体" w:eastAsia="宋体" w:cs="宋体"/>
          <w:spacing w:val="-11"/>
          <w:sz w:val="21"/>
          <w:szCs w:val="21"/>
        </w:rPr>
        <w:t>自动消灭。</w:t>
      </w:r>
    </w:p>
    <w:p w14:paraId="7AFC7FCD">
      <w:pPr>
        <w:spacing w:before="161" w:line="408" w:lineRule="exact"/>
        <w:ind w:right="13"/>
        <w:jc w:val="right"/>
        <w:rPr>
          <w:rFonts w:ascii="宋体" w:hAnsi="宋体" w:eastAsia="宋体" w:cs="宋体"/>
          <w:sz w:val="21"/>
          <w:szCs w:val="21"/>
        </w:rPr>
      </w:pPr>
      <w:r>
        <w:rPr>
          <w:rFonts w:ascii="宋体" w:hAnsi="宋体" w:eastAsia="宋体" w:cs="宋体"/>
          <w:spacing w:val="6"/>
          <w:position w:val="15"/>
          <w:sz w:val="21"/>
          <w:szCs w:val="21"/>
        </w:rPr>
        <w:t>八、 本保函适用的法律为中华人民共和国法律，</w:t>
      </w:r>
      <w:r>
        <w:rPr>
          <w:rFonts w:ascii="宋体" w:hAnsi="宋体" w:eastAsia="宋体" w:cs="宋体"/>
          <w:spacing w:val="98"/>
          <w:position w:val="15"/>
          <w:sz w:val="21"/>
          <w:szCs w:val="21"/>
        </w:rPr>
        <w:t xml:space="preserve"> </w:t>
      </w:r>
      <w:r>
        <w:rPr>
          <w:rFonts w:ascii="宋体" w:hAnsi="宋体" w:eastAsia="宋体" w:cs="宋体"/>
          <w:spacing w:val="6"/>
          <w:position w:val="15"/>
          <w:sz w:val="21"/>
          <w:szCs w:val="21"/>
        </w:rPr>
        <w:t>争议裁判管辖地为中华人民共和</w:t>
      </w:r>
    </w:p>
    <w:p w14:paraId="2DFC8541">
      <w:pPr>
        <w:spacing w:line="223" w:lineRule="auto"/>
        <w:ind w:left="39"/>
        <w:rPr>
          <w:rFonts w:ascii="宋体" w:hAnsi="宋体" w:eastAsia="宋体" w:cs="宋体"/>
          <w:sz w:val="21"/>
          <w:szCs w:val="21"/>
        </w:rPr>
      </w:pPr>
      <w:r>
        <w:rPr>
          <w:rFonts w:ascii="宋体" w:hAnsi="宋体" w:eastAsia="宋体" w:cs="宋体"/>
          <w:spacing w:val="-14"/>
          <w:sz w:val="21"/>
          <w:szCs w:val="21"/>
        </w:rPr>
        <w:t>国</w:t>
      </w:r>
      <w:r>
        <w:rPr>
          <w:rFonts w:ascii="宋体" w:hAnsi="宋体" w:eastAsia="宋体" w:cs="宋体"/>
          <w:spacing w:val="-105"/>
          <w:sz w:val="21"/>
          <w:szCs w:val="21"/>
        </w:rPr>
        <w:t xml:space="preserve"> </w:t>
      </w:r>
      <w:r>
        <w:rPr>
          <w:rFonts w:ascii="宋体" w:hAnsi="宋体" w:eastAsia="宋体" w:cs="宋体"/>
          <w:sz w:val="21"/>
          <w:szCs w:val="21"/>
          <w:u w:val="single" w:color="auto"/>
        </w:rPr>
        <w:t xml:space="preserve">     </w:t>
      </w:r>
      <w:r>
        <w:rPr>
          <w:rFonts w:ascii="宋体" w:hAnsi="宋体" w:eastAsia="宋体" w:cs="宋体"/>
          <w:spacing w:val="-14"/>
          <w:sz w:val="21"/>
          <w:szCs w:val="21"/>
        </w:rPr>
        <w:t>。</w:t>
      </w:r>
    </w:p>
    <w:p w14:paraId="5D9724D4">
      <w:pPr>
        <w:spacing w:before="154" w:line="220" w:lineRule="auto"/>
        <w:ind w:left="446"/>
        <w:rPr>
          <w:rFonts w:ascii="宋体" w:hAnsi="宋体" w:eastAsia="宋体" w:cs="宋体"/>
          <w:sz w:val="21"/>
          <w:szCs w:val="21"/>
        </w:rPr>
      </w:pPr>
      <w:r>
        <w:rPr>
          <w:rFonts w:ascii="宋体" w:hAnsi="宋体" w:eastAsia="宋体" w:cs="宋体"/>
          <w:spacing w:val="-3"/>
          <w:sz w:val="21"/>
          <w:szCs w:val="21"/>
        </w:rPr>
        <w:t>九、</w:t>
      </w:r>
      <w:r>
        <w:rPr>
          <w:rFonts w:ascii="宋体" w:hAnsi="宋体" w:eastAsia="宋体" w:cs="宋体"/>
          <w:spacing w:val="-33"/>
          <w:sz w:val="21"/>
          <w:szCs w:val="21"/>
        </w:rPr>
        <w:t xml:space="preserve"> </w:t>
      </w:r>
      <w:r>
        <w:rPr>
          <w:rFonts w:ascii="宋体" w:hAnsi="宋体" w:eastAsia="宋体" w:cs="宋体"/>
          <w:spacing w:val="-3"/>
          <w:sz w:val="21"/>
          <w:szCs w:val="21"/>
        </w:rPr>
        <w:t>本保函自我方法定代表人或授权代表签字并加</w:t>
      </w:r>
      <w:r>
        <w:rPr>
          <w:rFonts w:ascii="宋体" w:hAnsi="宋体" w:eastAsia="宋体" w:cs="宋体"/>
          <w:spacing w:val="-4"/>
          <w:sz w:val="21"/>
          <w:szCs w:val="21"/>
        </w:rPr>
        <w:t>盖公章之日起生效。</w:t>
      </w:r>
    </w:p>
    <w:p w14:paraId="428F093D">
      <w:pPr>
        <w:spacing w:before="157" w:line="220" w:lineRule="auto"/>
        <w:ind w:left="442"/>
        <w:rPr>
          <w:rFonts w:ascii="宋体" w:hAnsi="宋体" w:eastAsia="宋体" w:cs="宋体"/>
          <w:sz w:val="21"/>
          <w:szCs w:val="21"/>
        </w:rPr>
      </w:pPr>
      <w:r>
        <w:rPr>
          <w:rFonts w:ascii="宋体" w:hAnsi="宋体" w:eastAsia="宋体" w:cs="宋体"/>
          <w:sz w:val="21"/>
          <w:szCs w:val="21"/>
        </w:rPr>
        <w:t>开 立</w:t>
      </w:r>
      <w:r>
        <w:rPr>
          <w:rFonts w:ascii="宋体" w:hAnsi="宋体" w:eastAsia="宋体" w:cs="宋体"/>
          <w:spacing w:val="11"/>
          <w:sz w:val="21"/>
          <w:szCs w:val="21"/>
        </w:rPr>
        <w:t xml:space="preserve"> </w:t>
      </w:r>
      <w:r>
        <w:rPr>
          <w:rFonts w:ascii="宋体" w:hAnsi="宋体" w:eastAsia="宋体" w:cs="宋体"/>
          <w:sz w:val="21"/>
          <w:szCs w:val="21"/>
        </w:rPr>
        <w:t>人</w:t>
      </w:r>
      <w:r>
        <w:rPr>
          <w:rFonts w:ascii="宋体" w:hAnsi="宋体" w:eastAsia="宋体" w:cs="宋体"/>
          <w:spacing w:val="-14"/>
          <w:sz w:val="21"/>
          <w:szCs w:val="21"/>
        </w:rPr>
        <w:t>：</w:t>
      </w:r>
      <w:r>
        <w:rPr>
          <w:rFonts w:ascii="宋体" w:hAnsi="宋体" w:eastAsia="宋体" w:cs="宋体"/>
          <w:sz w:val="21"/>
          <w:szCs w:val="21"/>
        </w:rPr>
        <w:t xml:space="preserve">                              </w:t>
      </w:r>
      <w:r>
        <w:rPr>
          <w:rFonts w:ascii="宋体" w:hAnsi="宋体" w:eastAsia="宋体" w:cs="宋体"/>
          <w:spacing w:val="-14"/>
          <w:sz w:val="21"/>
          <w:szCs w:val="21"/>
        </w:rPr>
        <w:t>（</w:t>
      </w:r>
      <w:r>
        <w:rPr>
          <w:rFonts w:ascii="宋体" w:hAnsi="宋体" w:eastAsia="宋体" w:cs="宋体"/>
          <w:sz w:val="21"/>
          <w:szCs w:val="21"/>
        </w:rPr>
        <w:t>公章）</w:t>
      </w:r>
    </w:p>
    <w:p w14:paraId="59D51BEF">
      <w:pPr>
        <w:spacing w:before="157" w:line="221" w:lineRule="auto"/>
        <w:ind w:left="442"/>
        <w:rPr>
          <w:rFonts w:ascii="宋体" w:hAnsi="宋体" w:eastAsia="宋体" w:cs="宋体"/>
          <w:sz w:val="21"/>
          <w:szCs w:val="21"/>
        </w:rPr>
      </w:pPr>
      <w:r>
        <w:rPr>
          <w:rFonts w:ascii="宋体" w:hAnsi="宋体" w:eastAsia="宋体" w:cs="宋体"/>
          <w:spacing w:val="-5"/>
          <w:sz w:val="21"/>
          <w:szCs w:val="21"/>
        </w:rPr>
        <w:t>法定代表人（或授权代表</w:t>
      </w:r>
      <w:r>
        <w:rPr>
          <w:rFonts w:ascii="宋体" w:hAnsi="宋体" w:eastAsia="宋体" w:cs="宋体"/>
          <w:spacing w:val="-19"/>
          <w:sz w:val="21"/>
          <w:szCs w:val="21"/>
        </w:rPr>
        <w:t>）：</w:t>
      </w:r>
      <w:r>
        <w:rPr>
          <w:rFonts w:ascii="宋体" w:hAnsi="宋体" w:eastAsia="宋体" w:cs="宋体"/>
          <w:spacing w:val="1"/>
          <w:sz w:val="21"/>
          <w:szCs w:val="21"/>
        </w:rPr>
        <w:t xml:space="preserve">               </w:t>
      </w:r>
      <w:r>
        <w:rPr>
          <w:rFonts w:ascii="宋体" w:hAnsi="宋体" w:eastAsia="宋体" w:cs="宋体"/>
          <w:spacing w:val="-19"/>
          <w:sz w:val="21"/>
          <w:szCs w:val="21"/>
        </w:rPr>
        <w:t>（</w:t>
      </w:r>
      <w:r>
        <w:rPr>
          <w:rFonts w:ascii="宋体" w:hAnsi="宋体" w:eastAsia="宋体" w:cs="宋体"/>
          <w:spacing w:val="-5"/>
          <w:sz w:val="21"/>
          <w:szCs w:val="21"/>
        </w:rPr>
        <w:t>签字）</w:t>
      </w:r>
    </w:p>
    <w:p w14:paraId="459259AE">
      <w:pPr>
        <w:spacing w:before="157" w:line="408" w:lineRule="exact"/>
        <w:ind w:left="441"/>
        <w:rPr>
          <w:rFonts w:ascii="宋体" w:hAnsi="宋体" w:eastAsia="宋体" w:cs="宋体"/>
          <w:sz w:val="21"/>
          <w:szCs w:val="21"/>
        </w:rPr>
      </w:pPr>
      <w:r>
        <w:rPr>
          <w:rFonts w:ascii="宋体" w:hAnsi="宋体" w:eastAsia="宋体" w:cs="宋体"/>
          <w:spacing w:val="-12"/>
          <w:position w:val="14"/>
          <w:sz w:val="21"/>
          <w:szCs w:val="21"/>
        </w:rPr>
        <w:t>地</w:t>
      </w:r>
      <w:r>
        <w:rPr>
          <w:rFonts w:ascii="宋体" w:hAnsi="宋体" w:eastAsia="宋体" w:cs="宋体"/>
          <w:spacing w:val="2"/>
          <w:position w:val="14"/>
          <w:sz w:val="21"/>
          <w:szCs w:val="21"/>
        </w:rPr>
        <w:t xml:space="preserve">    </w:t>
      </w:r>
      <w:r>
        <w:rPr>
          <w:rFonts w:ascii="宋体" w:hAnsi="宋体" w:eastAsia="宋体" w:cs="宋体"/>
          <w:spacing w:val="-12"/>
          <w:position w:val="14"/>
          <w:sz w:val="21"/>
          <w:szCs w:val="21"/>
        </w:rPr>
        <w:t>址：</w:t>
      </w:r>
    </w:p>
    <w:p w14:paraId="7D8D97F7">
      <w:pPr>
        <w:spacing w:before="1" w:line="220" w:lineRule="auto"/>
        <w:ind w:left="456"/>
        <w:rPr>
          <w:rFonts w:ascii="宋体" w:hAnsi="宋体" w:eastAsia="宋体" w:cs="宋体"/>
          <w:sz w:val="21"/>
          <w:szCs w:val="21"/>
        </w:rPr>
      </w:pPr>
      <w:r>
        <w:rPr>
          <w:rFonts w:ascii="宋体" w:hAnsi="宋体" w:eastAsia="宋体" w:cs="宋体"/>
          <w:spacing w:val="-11"/>
          <w:sz w:val="21"/>
          <w:szCs w:val="21"/>
        </w:rPr>
        <w:t>邮政编码：</w:t>
      </w:r>
    </w:p>
    <w:p w14:paraId="0AB80C68">
      <w:pPr>
        <w:spacing w:before="157" w:line="223" w:lineRule="auto"/>
        <w:ind w:left="465"/>
        <w:rPr>
          <w:rFonts w:ascii="宋体" w:hAnsi="宋体" w:eastAsia="宋体" w:cs="宋体"/>
          <w:sz w:val="21"/>
          <w:szCs w:val="21"/>
        </w:rPr>
      </w:pPr>
      <w:r>
        <w:rPr>
          <w:rFonts w:ascii="宋体" w:hAnsi="宋体" w:eastAsia="宋体" w:cs="宋体"/>
          <w:spacing w:val="-20"/>
          <w:sz w:val="21"/>
          <w:szCs w:val="21"/>
        </w:rPr>
        <w:t>电</w:t>
      </w:r>
      <w:r>
        <w:rPr>
          <w:rFonts w:ascii="宋体" w:hAnsi="宋体" w:eastAsia="宋体" w:cs="宋体"/>
          <w:spacing w:val="2"/>
          <w:sz w:val="21"/>
          <w:szCs w:val="21"/>
        </w:rPr>
        <w:t xml:space="preserve">    </w:t>
      </w:r>
      <w:r>
        <w:rPr>
          <w:rFonts w:ascii="宋体" w:hAnsi="宋体" w:eastAsia="宋体" w:cs="宋体"/>
          <w:spacing w:val="-20"/>
          <w:sz w:val="21"/>
          <w:szCs w:val="21"/>
        </w:rPr>
        <w:t>话：</w:t>
      </w:r>
    </w:p>
    <w:p w14:paraId="7BE1738D">
      <w:pPr>
        <w:spacing w:before="155" w:line="220" w:lineRule="auto"/>
        <w:ind w:left="439"/>
        <w:rPr>
          <w:rFonts w:ascii="宋体" w:hAnsi="宋体" w:eastAsia="宋体" w:cs="宋体"/>
          <w:sz w:val="21"/>
          <w:szCs w:val="21"/>
        </w:rPr>
      </w:pPr>
      <w:r>
        <w:rPr>
          <w:rFonts w:ascii="宋体" w:hAnsi="宋体" w:eastAsia="宋体" w:cs="宋体"/>
          <w:spacing w:val="-12"/>
          <w:sz w:val="21"/>
          <w:szCs w:val="21"/>
        </w:rPr>
        <w:t>传</w:t>
      </w:r>
      <w:r>
        <w:rPr>
          <w:rFonts w:ascii="宋体" w:hAnsi="宋体" w:eastAsia="宋体" w:cs="宋体"/>
          <w:spacing w:val="3"/>
          <w:sz w:val="21"/>
          <w:szCs w:val="21"/>
        </w:rPr>
        <w:t xml:space="preserve">    </w:t>
      </w:r>
      <w:r>
        <w:rPr>
          <w:rFonts w:ascii="宋体" w:hAnsi="宋体" w:eastAsia="宋体" w:cs="宋体"/>
          <w:spacing w:val="-12"/>
          <w:sz w:val="21"/>
          <w:szCs w:val="21"/>
        </w:rPr>
        <w:t>真：</w:t>
      </w:r>
    </w:p>
    <w:p w14:paraId="0917934B">
      <w:pPr>
        <w:spacing w:before="162" w:line="221" w:lineRule="auto"/>
        <w:ind w:left="442"/>
        <w:rPr>
          <w:rFonts w:ascii="宋体" w:hAnsi="宋体" w:eastAsia="宋体" w:cs="宋体"/>
          <w:sz w:val="21"/>
          <w:szCs w:val="21"/>
        </w:rPr>
      </w:pPr>
      <w:r>
        <w:rPr>
          <w:rFonts w:ascii="宋体" w:hAnsi="宋体" w:eastAsia="宋体" w:cs="宋体"/>
          <w:spacing w:val="-16"/>
          <w:sz w:val="21"/>
          <w:szCs w:val="21"/>
        </w:rPr>
        <w:t>开立时间：</w:t>
      </w:r>
      <w:r>
        <w:rPr>
          <w:rFonts w:ascii="宋体" w:hAnsi="宋体" w:eastAsia="宋体" w:cs="宋体"/>
          <w:spacing w:val="8"/>
          <w:sz w:val="21"/>
          <w:szCs w:val="21"/>
        </w:rPr>
        <w:t xml:space="preserve">       </w:t>
      </w:r>
      <w:r>
        <w:rPr>
          <w:rFonts w:ascii="宋体" w:hAnsi="宋体" w:eastAsia="宋体" w:cs="宋体"/>
          <w:spacing w:val="-16"/>
          <w:sz w:val="21"/>
          <w:szCs w:val="21"/>
        </w:rPr>
        <w:t>年</w:t>
      </w:r>
      <w:r>
        <w:rPr>
          <w:rFonts w:ascii="宋体" w:hAnsi="宋体" w:eastAsia="宋体" w:cs="宋体"/>
          <w:spacing w:val="2"/>
          <w:sz w:val="21"/>
          <w:szCs w:val="21"/>
        </w:rPr>
        <w:t xml:space="preserve">      </w:t>
      </w:r>
      <w:r>
        <w:rPr>
          <w:rFonts w:ascii="宋体" w:hAnsi="宋体" w:eastAsia="宋体" w:cs="宋体"/>
          <w:spacing w:val="-16"/>
          <w:sz w:val="21"/>
          <w:szCs w:val="21"/>
        </w:rPr>
        <w:t>月       日</w:t>
      </w:r>
    </w:p>
    <w:p w14:paraId="15EFE080">
      <w:pPr>
        <w:spacing w:line="221" w:lineRule="auto"/>
        <w:rPr>
          <w:rFonts w:ascii="宋体" w:hAnsi="宋体" w:eastAsia="宋体" w:cs="宋体"/>
          <w:sz w:val="21"/>
          <w:szCs w:val="21"/>
        </w:rPr>
        <w:sectPr>
          <w:footerReference r:id="rId152" w:type="default"/>
          <w:pgSz w:w="11905" w:h="16839"/>
          <w:pgMar w:top="400" w:right="1785" w:bottom="1004" w:left="1785" w:header="0" w:footer="828" w:gutter="0"/>
          <w:pgNumType w:fmt="decimal"/>
          <w:cols w:space="720" w:num="1"/>
        </w:sectPr>
      </w:pPr>
    </w:p>
    <w:p w14:paraId="386458A4">
      <w:pPr>
        <w:pStyle w:val="3"/>
        <w:spacing w:line="248" w:lineRule="auto"/>
      </w:pPr>
    </w:p>
    <w:p w14:paraId="17D2C803">
      <w:pPr>
        <w:pStyle w:val="3"/>
        <w:spacing w:line="248" w:lineRule="auto"/>
      </w:pPr>
    </w:p>
    <w:p w14:paraId="51EF8C75">
      <w:pPr>
        <w:pStyle w:val="3"/>
        <w:spacing w:line="248" w:lineRule="auto"/>
      </w:pPr>
    </w:p>
    <w:p w14:paraId="05F46EF6">
      <w:pPr>
        <w:pStyle w:val="3"/>
        <w:spacing w:line="248" w:lineRule="auto"/>
      </w:pPr>
    </w:p>
    <w:p w14:paraId="38D43DD1">
      <w:pPr>
        <w:pStyle w:val="3"/>
        <w:spacing w:line="248" w:lineRule="auto"/>
      </w:pPr>
    </w:p>
    <w:p w14:paraId="09A7B765">
      <w:pPr>
        <w:pStyle w:val="3"/>
        <w:spacing w:line="249" w:lineRule="auto"/>
      </w:pPr>
    </w:p>
    <w:p w14:paraId="1A0913CB">
      <w:pPr>
        <w:pStyle w:val="3"/>
        <w:spacing w:line="249" w:lineRule="auto"/>
      </w:pPr>
    </w:p>
    <w:p w14:paraId="45371BC7">
      <w:pPr>
        <w:spacing w:before="78" w:line="219" w:lineRule="auto"/>
        <w:ind w:left="38"/>
        <w:rPr>
          <w:rFonts w:ascii="宋体" w:hAnsi="宋体" w:eastAsia="宋体" w:cs="宋体"/>
          <w:sz w:val="24"/>
          <w:szCs w:val="24"/>
        </w:rPr>
      </w:pPr>
      <w:r>
        <w:rPr>
          <w:rFonts w:ascii="宋体" w:hAnsi="宋体" w:eastAsia="宋体" w:cs="宋体"/>
          <w:spacing w:val="-7"/>
          <w:sz w:val="24"/>
          <w:szCs w:val="24"/>
        </w:rPr>
        <w:t>附件</w:t>
      </w:r>
      <w:r>
        <w:rPr>
          <w:rFonts w:ascii="宋体" w:hAnsi="宋体" w:eastAsia="宋体" w:cs="宋体"/>
          <w:spacing w:val="-53"/>
          <w:sz w:val="24"/>
          <w:szCs w:val="24"/>
        </w:rPr>
        <w:t xml:space="preserve"> </w:t>
      </w:r>
      <w:r>
        <w:rPr>
          <w:rFonts w:ascii="Times New Roman" w:hAnsi="Times New Roman" w:eastAsia="Times New Roman" w:cs="Times New Roman"/>
          <w:spacing w:val="-7"/>
          <w:sz w:val="24"/>
          <w:szCs w:val="24"/>
        </w:rPr>
        <w:t xml:space="preserve">9 </w:t>
      </w:r>
      <w:r>
        <w:rPr>
          <w:rFonts w:ascii="宋体" w:hAnsi="宋体" w:eastAsia="宋体" w:cs="宋体"/>
          <w:spacing w:val="-7"/>
          <w:sz w:val="24"/>
          <w:szCs w:val="24"/>
        </w:rPr>
        <w:t>：</w:t>
      </w:r>
    </w:p>
    <w:p w14:paraId="0FF96EB2">
      <w:pPr>
        <w:spacing w:before="239" w:line="225" w:lineRule="auto"/>
        <w:ind w:left="3204"/>
        <w:rPr>
          <w:rFonts w:ascii="黑体" w:hAnsi="黑体" w:eastAsia="黑体" w:cs="黑体"/>
          <w:sz w:val="27"/>
          <w:szCs w:val="27"/>
        </w:rPr>
      </w:pPr>
      <w:bookmarkStart w:id="1277" w:name="bookmark231"/>
      <w:bookmarkEnd w:id="1277"/>
      <w:r>
        <w:rPr>
          <w:rFonts w:ascii="黑体" w:hAnsi="黑体" w:eastAsia="黑体" w:cs="黑体"/>
          <w:spacing w:val="6"/>
          <w:sz w:val="27"/>
          <w:szCs w:val="27"/>
        </w:rPr>
        <w:t>预付款担保格式</w:t>
      </w:r>
    </w:p>
    <w:p w14:paraId="727A0C67">
      <w:pPr>
        <w:spacing w:before="146" w:line="221" w:lineRule="auto"/>
        <w:ind w:left="6550"/>
        <w:rPr>
          <w:rFonts w:ascii="宋体" w:hAnsi="宋体" w:eastAsia="宋体" w:cs="宋体"/>
          <w:sz w:val="21"/>
          <w:szCs w:val="21"/>
        </w:rPr>
      </w:pPr>
      <w:r>
        <w:rPr>
          <w:rFonts w:ascii="宋体" w:hAnsi="宋体" w:eastAsia="宋体" w:cs="宋体"/>
          <w:spacing w:val="-13"/>
          <w:sz w:val="21"/>
          <w:szCs w:val="21"/>
        </w:rPr>
        <w:t>编号：</w:t>
      </w:r>
    </w:p>
    <w:p w14:paraId="3CC54D7B">
      <w:pPr>
        <w:pStyle w:val="3"/>
        <w:spacing w:line="246" w:lineRule="auto"/>
      </w:pPr>
    </w:p>
    <w:p w14:paraId="2DCE6A5F">
      <w:pPr>
        <w:pStyle w:val="3"/>
        <w:spacing w:line="247" w:lineRule="auto"/>
      </w:pPr>
    </w:p>
    <w:p w14:paraId="3A2BCA68">
      <w:pPr>
        <w:spacing w:before="69" w:line="408" w:lineRule="exact"/>
        <w:ind w:left="45"/>
        <w:rPr>
          <w:rFonts w:ascii="宋体" w:hAnsi="宋体" w:eastAsia="宋体" w:cs="宋体"/>
          <w:sz w:val="21"/>
          <w:szCs w:val="21"/>
        </w:rPr>
      </w:pPr>
      <w:r>
        <w:rPr>
          <w:rFonts w:ascii="宋体" w:hAnsi="宋体" w:eastAsia="宋体" w:cs="宋体"/>
          <w:spacing w:val="-15"/>
          <w:position w:val="15"/>
          <w:sz w:val="21"/>
          <w:szCs w:val="21"/>
        </w:rPr>
        <w:t>申请人：</w:t>
      </w:r>
    </w:p>
    <w:p w14:paraId="534A6D09">
      <w:pPr>
        <w:spacing w:before="1" w:line="229" w:lineRule="auto"/>
        <w:ind w:left="18"/>
        <w:rPr>
          <w:rFonts w:ascii="宋体" w:hAnsi="宋体" w:eastAsia="宋体" w:cs="宋体"/>
          <w:sz w:val="21"/>
          <w:szCs w:val="21"/>
        </w:rPr>
      </w:pPr>
      <w:r>
        <w:rPr>
          <w:rFonts w:ascii="宋体" w:hAnsi="宋体" w:eastAsia="宋体" w:cs="宋体"/>
          <w:spacing w:val="-12"/>
          <w:sz w:val="21"/>
          <w:szCs w:val="21"/>
        </w:rPr>
        <w:t>地址：</w:t>
      </w:r>
    </w:p>
    <w:p w14:paraId="39C12EF1">
      <w:pPr>
        <w:spacing w:before="151" w:line="408" w:lineRule="exact"/>
        <w:ind w:left="22"/>
        <w:rPr>
          <w:rFonts w:ascii="宋体" w:hAnsi="宋体" w:eastAsia="宋体" w:cs="宋体"/>
          <w:sz w:val="21"/>
          <w:szCs w:val="21"/>
        </w:rPr>
      </w:pPr>
      <w:r>
        <w:rPr>
          <w:rFonts w:ascii="宋体" w:hAnsi="宋体" w:eastAsia="宋体" w:cs="宋体"/>
          <w:spacing w:val="-11"/>
          <w:position w:val="14"/>
          <w:sz w:val="21"/>
          <w:szCs w:val="21"/>
        </w:rPr>
        <w:t>受益人：</w:t>
      </w:r>
    </w:p>
    <w:p w14:paraId="36CCCF8D">
      <w:pPr>
        <w:spacing w:before="1" w:line="229" w:lineRule="auto"/>
        <w:ind w:left="18"/>
        <w:rPr>
          <w:rFonts w:ascii="宋体" w:hAnsi="宋体" w:eastAsia="宋体" w:cs="宋体"/>
          <w:sz w:val="21"/>
          <w:szCs w:val="21"/>
        </w:rPr>
      </w:pPr>
      <w:r>
        <w:rPr>
          <w:rFonts w:ascii="宋体" w:hAnsi="宋体" w:eastAsia="宋体" w:cs="宋体"/>
          <w:spacing w:val="-12"/>
          <w:sz w:val="21"/>
          <w:szCs w:val="21"/>
        </w:rPr>
        <w:t>地址：</w:t>
      </w:r>
    </w:p>
    <w:p w14:paraId="6126473D">
      <w:pPr>
        <w:spacing w:before="146" w:line="409" w:lineRule="exact"/>
        <w:ind w:left="19"/>
        <w:rPr>
          <w:rFonts w:ascii="宋体" w:hAnsi="宋体" w:eastAsia="宋体" w:cs="宋体"/>
          <w:sz w:val="21"/>
          <w:szCs w:val="21"/>
        </w:rPr>
      </w:pPr>
      <w:r>
        <w:rPr>
          <w:rFonts w:ascii="宋体" w:hAnsi="宋体" w:eastAsia="宋体" w:cs="宋体"/>
          <w:spacing w:val="-11"/>
          <w:position w:val="15"/>
          <w:sz w:val="21"/>
          <w:szCs w:val="21"/>
        </w:rPr>
        <w:t>开立人：</w:t>
      </w:r>
    </w:p>
    <w:p w14:paraId="76C85C63">
      <w:pPr>
        <w:spacing w:before="1" w:line="229" w:lineRule="auto"/>
        <w:ind w:left="18"/>
        <w:rPr>
          <w:rFonts w:ascii="宋体" w:hAnsi="宋体" w:eastAsia="宋体" w:cs="宋体"/>
          <w:sz w:val="21"/>
          <w:szCs w:val="21"/>
        </w:rPr>
      </w:pPr>
      <w:r>
        <w:rPr>
          <w:rFonts w:ascii="宋体" w:hAnsi="宋体" w:eastAsia="宋体" w:cs="宋体"/>
          <w:spacing w:val="-12"/>
          <w:sz w:val="21"/>
          <w:szCs w:val="21"/>
        </w:rPr>
        <w:t>地址：</w:t>
      </w:r>
    </w:p>
    <w:p w14:paraId="1A395E45">
      <w:pPr>
        <w:pStyle w:val="3"/>
        <w:spacing w:line="241" w:lineRule="auto"/>
      </w:pPr>
    </w:p>
    <w:p w14:paraId="78E38216">
      <w:pPr>
        <w:pStyle w:val="3"/>
        <w:spacing w:line="241" w:lineRule="auto"/>
      </w:pPr>
    </w:p>
    <w:p w14:paraId="22778834">
      <w:pPr>
        <w:tabs>
          <w:tab w:val="left" w:pos="1483"/>
        </w:tabs>
        <w:spacing w:before="69" w:line="223" w:lineRule="auto"/>
        <w:ind w:left="10"/>
        <w:rPr>
          <w:rFonts w:ascii="宋体" w:hAnsi="宋体" w:eastAsia="宋体" w:cs="宋体"/>
          <w:sz w:val="21"/>
          <w:szCs w:val="21"/>
        </w:rPr>
      </w:pPr>
      <w:r>
        <w:rPr>
          <w:rFonts w:ascii="宋体" w:hAnsi="宋体" w:eastAsia="宋体" w:cs="宋体"/>
          <w:sz w:val="21"/>
          <w:szCs w:val="21"/>
          <w:u w:val="single" w:color="auto"/>
        </w:rPr>
        <w:tab/>
      </w:r>
      <w:r>
        <w:rPr>
          <w:rFonts w:ascii="宋体" w:hAnsi="宋体" w:eastAsia="宋体" w:cs="宋体"/>
          <w:spacing w:val="-48"/>
          <w:sz w:val="21"/>
          <w:szCs w:val="21"/>
        </w:rPr>
        <w:t xml:space="preserve"> </w:t>
      </w:r>
      <w:r>
        <w:rPr>
          <w:rFonts w:ascii="宋体" w:hAnsi="宋体" w:eastAsia="宋体" w:cs="宋体"/>
          <w:spacing w:val="-26"/>
          <w:sz w:val="21"/>
          <w:szCs w:val="21"/>
        </w:rPr>
        <w:t>（受益人名称</w:t>
      </w:r>
      <w:r>
        <w:rPr>
          <w:rFonts w:ascii="宋体" w:hAnsi="宋体" w:eastAsia="宋体" w:cs="宋体"/>
          <w:spacing w:val="-9"/>
          <w:sz w:val="21"/>
          <w:szCs w:val="21"/>
        </w:rPr>
        <w:t>）：</w:t>
      </w:r>
    </w:p>
    <w:p w14:paraId="060FC84F">
      <w:pPr>
        <w:tabs>
          <w:tab w:val="left" w:pos="123"/>
        </w:tabs>
        <w:spacing w:before="153" w:line="360" w:lineRule="auto"/>
        <w:ind w:left="10" w:right="3" w:firstLine="433"/>
        <w:rPr>
          <w:rFonts w:ascii="宋体" w:hAnsi="宋体" w:eastAsia="宋体" w:cs="宋体"/>
          <w:sz w:val="21"/>
          <w:szCs w:val="21"/>
        </w:rPr>
      </w:pPr>
      <w:r>
        <w:rPr>
          <w:rFonts w:ascii="宋体" w:hAnsi="宋体" w:eastAsia="宋体" w:cs="宋体"/>
          <w:spacing w:val="-14"/>
          <w:sz w:val="21"/>
          <w:szCs w:val="21"/>
        </w:rPr>
        <w:t>鉴于</w:t>
      </w:r>
      <w:r>
        <w:rPr>
          <w:rFonts w:ascii="宋体" w:hAnsi="宋体" w:eastAsia="宋体" w:cs="宋体"/>
          <w:spacing w:val="-14"/>
          <w:sz w:val="21"/>
          <w:szCs w:val="21"/>
          <w:u w:val="single" w:color="auto"/>
        </w:rPr>
        <w:t xml:space="preserve">          </w:t>
      </w:r>
      <w:r>
        <w:rPr>
          <w:rFonts w:ascii="宋体" w:hAnsi="宋体" w:eastAsia="宋体" w:cs="宋体"/>
          <w:spacing w:val="-14"/>
          <w:sz w:val="21"/>
          <w:szCs w:val="21"/>
        </w:rPr>
        <w:t xml:space="preserve"> （以下简称“受益人”）与</w:t>
      </w:r>
      <w:r>
        <w:rPr>
          <w:rFonts w:ascii="宋体" w:hAnsi="宋体" w:eastAsia="宋体" w:cs="宋体"/>
          <w:spacing w:val="-80"/>
          <w:sz w:val="21"/>
          <w:szCs w:val="21"/>
        </w:rPr>
        <w:t xml:space="preserve"> </w:t>
      </w:r>
      <w:r>
        <w:rPr>
          <w:rFonts w:ascii="宋体" w:hAnsi="宋体" w:eastAsia="宋体" w:cs="宋体"/>
          <w:spacing w:val="4"/>
          <w:sz w:val="21"/>
          <w:szCs w:val="21"/>
          <w:u w:val="single" w:color="auto"/>
        </w:rPr>
        <w:t xml:space="preserve">          </w:t>
      </w:r>
      <w:r>
        <w:rPr>
          <w:rFonts w:ascii="宋体" w:hAnsi="宋体" w:eastAsia="宋体" w:cs="宋体"/>
          <w:spacing w:val="-14"/>
          <w:sz w:val="21"/>
          <w:szCs w:val="21"/>
        </w:rPr>
        <w:t xml:space="preserve"> （以下简称“申请人”）于</w:t>
      </w:r>
      <w:r>
        <w:rPr>
          <w:rFonts w:ascii="宋体" w:hAnsi="宋体" w:eastAsia="宋体" w:cs="宋体"/>
          <w:spacing w:val="-91"/>
          <w:sz w:val="21"/>
          <w:szCs w:val="21"/>
        </w:rPr>
        <w:t xml:space="preserve"> </w:t>
      </w:r>
      <w:r>
        <w:rPr>
          <w:rFonts w:ascii="宋体" w:hAnsi="宋体" w:eastAsia="宋体" w:cs="宋体"/>
          <w:spacing w:val="15"/>
          <w:sz w:val="21"/>
          <w:szCs w:val="21"/>
          <w:u w:val="single" w:color="auto"/>
        </w:rPr>
        <w:t xml:space="preserve">   </w:t>
      </w:r>
      <w:r>
        <w:rPr>
          <w:rFonts w:ascii="宋体" w:hAnsi="宋体" w:eastAsia="宋体" w:cs="宋体"/>
          <w:spacing w:val="-96"/>
          <w:sz w:val="21"/>
          <w:szCs w:val="21"/>
        </w:rPr>
        <w:t xml:space="preserve"> </w:t>
      </w:r>
      <w:r>
        <w:rPr>
          <w:rFonts w:ascii="宋体" w:hAnsi="宋体" w:eastAsia="宋体" w:cs="宋体"/>
          <w:spacing w:val="-14"/>
          <w:sz w:val="21"/>
          <w:szCs w:val="21"/>
        </w:rPr>
        <w:t>年</w:t>
      </w:r>
      <w:r>
        <w:rPr>
          <w:rFonts w:ascii="宋体" w:hAnsi="宋体" w:eastAsia="宋体" w:cs="宋体"/>
          <w:sz w:val="21"/>
          <w:szCs w:val="21"/>
        </w:rPr>
        <w:t xml:space="preserve"> </w:t>
      </w:r>
      <w:r>
        <w:rPr>
          <w:rFonts w:ascii="宋体" w:hAnsi="宋体" w:eastAsia="宋体" w:cs="宋体"/>
          <w:spacing w:val="-3"/>
          <w:sz w:val="21"/>
          <w:szCs w:val="21"/>
        </w:rPr>
        <w:t>月</w:t>
      </w:r>
      <w:r>
        <w:rPr>
          <w:rFonts w:ascii="宋体" w:hAnsi="宋体" w:eastAsia="宋体" w:cs="宋体"/>
          <w:spacing w:val="-100"/>
          <w:sz w:val="21"/>
          <w:szCs w:val="21"/>
        </w:rPr>
        <w:t xml:space="preserve"> </w:t>
      </w:r>
      <w:r>
        <w:rPr>
          <w:rFonts w:ascii="宋体" w:hAnsi="宋体" w:eastAsia="宋体" w:cs="宋体"/>
          <w:spacing w:val="32"/>
          <w:sz w:val="21"/>
          <w:szCs w:val="21"/>
          <w:u w:val="single" w:color="auto"/>
        </w:rPr>
        <w:t xml:space="preserve">   </w:t>
      </w:r>
      <w:r>
        <w:rPr>
          <w:rFonts w:ascii="宋体" w:hAnsi="宋体" w:eastAsia="宋体" w:cs="宋体"/>
          <w:spacing w:val="-59"/>
          <w:sz w:val="21"/>
          <w:szCs w:val="21"/>
        </w:rPr>
        <w:t xml:space="preserve"> </w:t>
      </w:r>
      <w:r>
        <w:rPr>
          <w:rFonts w:ascii="宋体" w:hAnsi="宋体" w:eastAsia="宋体" w:cs="宋体"/>
          <w:spacing w:val="-3"/>
          <w:sz w:val="21"/>
          <w:szCs w:val="21"/>
        </w:rPr>
        <w:t>日就</w:t>
      </w:r>
      <w:r>
        <w:rPr>
          <w:rFonts w:ascii="宋体" w:hAnsi="宋体" w:eastAsia="宋体" w:cs="宋体"/>
          <w:spacing w:val="-3"/>
          <w:sz w:val="21"/>
          <w:szCs w:val="21"/>
          <w:u w:val="single" w:color="auto"/>
        </w:rPr>
        <w:t xml:space="preserve">              </w:t>
      </w:r>
      <w:r>
        <w:rPr>
          <w:rFonts w:ascii="宋体" w:hAnsi="宋体" w:eastAsia="宋体" w:cs="宋体"/>
          <w:spacing w:val="-94"/>
          <w:sz w:val="21"/>
          <w:szCs w:val="21"/>
        </w:rPr>
        <w:t xml:space="preserve"> </w:t>
      </w:r>
      <w:r>
        <w:rPr>
          <w:rFonts w:ascii="宋体" w:hAnsi="宋体" w:eastAsia="宋体" w:cs="宋体"/>
          <w:spacing w:val="-3"/>
          <w:sz w:val="21"/>
          <w:szCs w:val="21"/>
        </w:rPr>
        <w:t>工程（以下简称“本工程”）施工和有关事项协商一致共同签订</w:t>
      </w:r>
      <w:r>
        <w:rPr>
          <w:rFonts w:ascii="宋体" w:hAnsi="宋体" w:eastAsia="宋体" w:cs="宋体"/>
          <w:sz w:val="21"/>
          <w:szCs w:val="21"/>
        </w:rPr>
        <w:t xml:space="preserve"> </w:t>
      </w:r>
      <w:r>
        <w:rPr>
          <w:rFonts w:ascii="宋体" w:hAnsi="宋体" w:eastAsia="宋体" w:cs="宋体"/>
          <w:sz w:val="21"/>
          <w:szCs w:val="21"/>
          <w:u w:val="single" w:color="auto"/>
        </w:rPr>
        <w:tab/>
      </w:r>
      <w:r>
        <w:rPr>
          <w:rFonts w:ascii="宋体" w:hAnsi="宋体" w:eastAsia="宋体" w:cs="宋体"/>
          <w:spacing w:val="-10"/>
          <w:sz w:val="21"/>
          <w:szCs w:val="21"/>
          <w:u w:val="single" w:color="auto"/>
        </w:rPr>
        <w:t>《</w:t>
      </w:r>
      <w:r>
        <w:rPr>
          <w:rFonts w:ascii="宋体" w:hAnsi="宋体" w:eastAsia="宋体" w:cs="宋体"/>
          <w:spacing w:val="4"/>
          <w:sz w:val="21"/>
          <w:szCs w:val="21"/>
          <w:u w:val="single" w:color="auto"/>
        </w:rPr>
        <w:t xml:space="preserve">         </w:t>
      </w:r>
      <w:r>
        <w:rPr>
          <w:rFonts w:ascii="宋体" w:hAnsi="宋体" w:eastAsia="宋体" w:cs="宋体"/>
          <w:spacing w:val="-10"/>
          <w:sz w:val="21"/>
          <w:szCs w:val="21"/>
          <w:u w:val="single" w:color="auto"/>
        </w:rPr>
        <w:t>》</w:t>
      </w:r>
      <w:r>
        <w:rPr>
          <w:rFonts w:ascii="宋体" w:hAnsi="宋体" w:eastAsia="宋体" w:cs="宋体"/>
          <w:spacing w:val="-10"/>
          <w:sz w:val="21"/>
          <w:szCs w:val="21"/>
        </w:rPr>
        <w:t>（以下简称“基础合同”</w:t>
      </w:r>
      <w:r>
        <w:rPr>
          <w:rFonts w:ascii="宋体" w:hAnsi="宋体" w:eastAsia="宋体" w:cs="宋体"/>
          <w:spacing w:val="-39"/>
          <w:w w:val="71"/>
          <w:sz w:val="21"/>
          <w:szCs w:val="21"/>
        </w:rPr>
        <w:t>），</w:t>
      </w:r>
      <w:r>
        <w:rPr>
          <w:rFonts w:ascii="宋体" w:hAnsi="宋体" w:eastAsia="宋体" w:cs="宋体"/>
          <w:spacing w:val="-10"/>
          <w:sz w:val="21"/>
          <w:szCs w:val="21"/>
        </w:rPr>
        <w:t>我方（即“开立人”）根据主合同了解到申请人为</w:t>
      </w:r>
      <w:r>
        <w:rPr>
          <w:rFonts w:ascii="宋体" w:hAnsi="宋体" w:eastAsia="宋体" w:cs="宋体"/>
          <w:spacing w:val="2"/>
          <w:sz w:val="21"/>
          <w:szCs w:val="21"/>
        </w:rPr>
        <w:t xml:space="preserve"> </w:t>
      </w:r>
      <w:r>
        <w:rPr>
          <w:rFonts w:ascii="宋体" w:hAnsi="宋体" w:eastAsia="宋体" w:cs="宋体"/>
          <w:spacing w:val="-5"/>
          <w:sz w:val="21"/>
          <w:szCs w:val="21"/>
        </w:rPr>
        <w:t>主合同项下之承包人， 受益人为主合同项下之发包人，</w:t>
      </w:r>
      <w:r>
        <w:rPr>
          <w:rFonts w:ascii="宋体" w:hAnsi="宋体" w:eastAsia="宋体" w:cs="宋体"/>
          <w:spacing w:val="25"/>
          <w:sz w:val="21"/>
          <w:szCs w:val="21"/>
        </w:rPr>
        <w:t xml:space="preserve"> </w:t>
      </w:r>
      <w:r>
        <w:rPr>
          <w:rFonts w:ascii="宋体" w:hAnsi="宋体" w:eastAsia="宋体" w:cs="宋体"/>
          <w:spacing w:val="-5"/>
          <w:sz w:val="21"/>
          <w:szCs w:val="21"/>
        </w:rPr>
        <w:t>基</w:t>
      </w:r>
      <w:r>
        <w:rPr>
          <w:rFonts w:ascii="宋体" w:hAnsi="宋体" w:eastAsia="宋体" w:cs="宋体"/>
          <w:spacing w:val="-6"/>
          <w:sz w:val="21"/>
          <w:szCs w:val="21"/>
        </w:rPr>
        <w:t>于申请人的请求， 我方同意就申</w:t>
      </w:r>
      <w:r>
        <w:rPr>
          <w:rFonts w:ascii="宋体" w:hAnsi="宋体" w:eastAsia="宋体" w:cs="宋体"/>
          <w:sz w:val="21"/>
          <w:szCs w:val="21"/>
        </w:rPr>
        <w:t xml:space="preserve"> </w:t>
      </w:r>
      <w:r>
        <w:rPr>
          <w:rFonts w:ascii="宋体" w:hAnsi="宋体" w:eastAsia="宋体" w:cs="宋体"/>
          <w:spacing w:val="3"/>
          <w:sz w:val="21"/>
          <w:szCs w:val="21"/>
        </w:rPr>
        <w:t>请人按照合同约定正确和合理地为合同目的使用预付款，向贵方提供不可撤销、不可转让</w:t>
      </w:r>
    </w:p>
    <w:p w14:paraId="313B4D42">
      <w:pPr>
        <w:spacing w:before="1" w:line="219" w:lineRule="auto"/>
        <w:ind w:left="35"/>
        <w:rPr>
          <w:rFonts w:ascii="宋体" w:hAnsi="宋体" w:eastAsia="宋体" w:cs="宋体"/>
          <w:sz w:val="21"/>
          <w:szCs w:val="21"/>
        </w:rPr>
      </w:pPr>
      <w:r>
        <w:rPr>
          <w:rFonts w:ascii="宋体" w:hAnsi="宋体" w:eastAsia="宋体" w:cs="宋体"/>
          <w:spacing w:val="-12"/>
          <w:sz w:val="21"/>
          <w:szCs w:val="21"/>
        </w:rPr>
        <w:t>的见索即付独立保函（以下简称“本保函”）。</w:t>
      </w:r>
    </w:p>
    <w:p w14:paraId="6393CB31">
      <w:pPr>
        <w:spacing w:before="157" w:line="359" w:lineRule="auto"/>
        <w:ind w:left="18" w:right="11" w:firstLine="426"/>
        <w:rPr>
          <w:rFonts w:ascii="宋体" w:hAnsi="宋体" w:eastAsia="宋体" w:cs="宋体"/>
          <w:sz w:val="21"/>
          <w:szCs w:val="21"/>
        </w:rPr>
      </w:pPr>
      <w:r>
        <w:rPr>
          <w:rFonts w:ascii="宋体" w:hAnsi="宋体" w:eastAsia="宋体" w:cs="宋体"/>
          <w:spacing w:val="-1"/>
          <w:sz w:val="21"/>
          <w:szCs w:val="21"/>
        </w:rPr>
        <w:t>一、本保函担保范围：</w:t>
      </w:r>
      <w:r>
        <w:rPr>
          <w:rFonts w:ascii="宋体" w:hAnsi="宋体" w:eastAsia="宋体" w:cs="宋体"/>
          <w:spacing w:val="40"/>
          <w:sz w:val="21"/>
          <w:szCs w:val="21"/>
        </w:rPr>
        <w:t xml:space="preserve"> </w:t>
      </w:r>
      <w:r>
        <w:rPr>
          <w:rFonts w:ascii="宋体" w:hAnsi="宋体" w:eastAsia="宋体" w:cs="宋体"/>
          <w:spacing w:val="-1"/>
          <w:sz w:val="21"/>
          <w:szCs w:val="21"/>
        </w:rPr>
        <w:t>申请人未按照合同约定正确和合理地为合同目的使用</w:t>
      </w:r>
      <w:r>
        <w:rPr>
          <w:rFonts w:ascii="宋体" w:hAnsi="宋体" w:eastAsia="宋体" w:cs="宋体"/>
          <w:spacing w:val="-2"/>
          <w:sz w:val="21"/>
          <w:szCs w:val="21"/>
        </w:rPr>
        <w:t>预付款，</w:t>
      </w:r>
      <w:r>
        <w:rPr>
          <w:rFonts w:ascii="宋体" w:hAnsi="宋体" w:eastAsia="宋体" w:cs="宋体"/>
          <w:sz w:val="21"/>
          <w:szCs w:val="21"/>
        </w:rPr>
        <w:t xml:space="preserve"> </w:t>
      </w:r>
      <w:r>
        <w:rPr>
          <w:rFonts w:ascii="宋体" w:hAnsi="宋体" w:eastAsia="宋体" w:cs="宋体"/>
          <w:spacing w:val="3"/>
          <w:sz w:val="21"/>
          <w:szCs w:val="21"/>
        </w:rPr>
        <w:t>应当向贵方承担的违约责任和赔偿因此造成的损失、利息、律师费、诉讼费</w:t>
      </w:r>
      <w:r>
        <w:rPr>
          <w:rFonts w:ascii="宋体" w:hAnsi="宋体" w:eastAsia="宋体" w:cs="宋体"/>
          <w:spacing w:val="2"/>
          <w:sz w:val="21"/>
          <w:szCs w:val="21"/>
        </w:rPr>
        <w:t>用等实现债权</w:t>
      </w:r>
    </w:p>
    <w:p w14:paraId="2A739F53">
      <w:pPr>
        <w:spacing w:line="221" w:lineRule="auto"/>
        <w:ind w:left="35"/>
        <w:rPr>
          <w:rFonts w:ascii="宋体" w:hAnsi="宋体" w:eastAsia="宋体" w:cs="宋体"/>
          <w:sz w:val="21"/>
          <w:szCs w:val="21"/>
        </w:rPr>
      </w:pPr>
      <w:r>
        <w:rPr>
          <w:rFonts w:ascii="宋体" w:hAnsi="宋体" w:eastAsia="宋体" w:cs="宋体"/>
          <w:spacing w:val="-10"/>
          <w:sz w:val="21"/>
          <w:szCs w:val="21"/>
        </w:rPr>
        <w:t>的费用。</w:t>
      </w:r>
    </w:p>
    <w:p w14:paraId="4CA1CCB7">
      <w:pPr>
        <w:spacing w:before="157" w:line="220" w:lineRule="auto"/>
        <w:ind w:left="444"/>
        <w:rPr>
          <w:rFonts w:ascii="宋体" w:hAnsi="宋体" w:eastAsia="宋体" w:cs="宋体"/>
          <w:sz w:val="21"/>
          <w:szCs w:val="21"/>
        </w:rPr>
      </w:pPr>
      <w:r>
        <w:rPr>
          <w:rFonts w:ascii="宋体" w:hAnsi="宋体" w:eastAsia="宋体" w:cs="宋体"/>
          <w:spacing w:val="-1"/>
          <w:sz w:val="21"/>
          <w:szCs w:val="21"/>
        </w:rPr>
        <w:t xml:space="preserve">二、本保函担保金额最高不超过人民币（大写） </w:t>
      </w:r>
      <w:r>
        <w:rPr>
          <w:rFonts w:ascii="宋体" w:hAnsi="宋体" w:eastAsia="宋体" w:cs="宋体"/>
          <w:spacing w:val="-1"/>
          <w:sz w:val="21"/>
          <w:szCs w:val="21"/>
          <w:u w:val="single" w:color="auto"/>
        </w:rPr>
        <w:t xml:space="preserve">          </w:t>
      </w:r>
      <w:r>
        <w:rPr>
          <w:rFonts w:ascii="宋体" w:hAnsi="宋体" w:eastAsia="宋体" w:cs="宋体"/>
          <w:spacing w:val="-89"/>
          <w:sz w:val="21"/>
          <w:szCs w:val="21"/>
        </w:rPr>
        <w:t xml:space="preserve"> </w:t>
      </w:r>
      <w:r>
        <w:rPr>
          <w:rFonts w:ascii="宋体" w:hAnsi="宋体" w:eastAsia="宋体" w:cs="宋体"/>
          <w:spacing w:val="-1"/>
          <w:sz w:val="21"/>
          <w:szCs w:val="21"/>
        </w:rPr>
        <w:t>元(¥</w:t>
      </w:r>
      <w:r>
        <w:rPr>
          <w:rFonts w:ascii="宋体" w:hAnsi="宋体" w:eastAsia="宋体" w:cs="宋体"/>
          <w:spacing w:val="-1"/>
          <w:sz w:val="21"/>
          <w:szCs w:val="21"/>
          <w:u w:val="single" w:color="auto"/>
        </w:rPr>
        <w:t xml:space="preserve">       </w:t>
      </w:r>
      <w:r>
        <w:rPr>
          <w:rFonts w:ascii="宋体" w:hAnsi="宋体" w:eastAsia="宋体" w:cs="宋体"/>
          <w:spacing w:val="-74"/>
          <w:sz w:val="21"/>
          <w:szCs w:val="21"/>
        </w:rPr>
        <w:t xml:space="preserve"> </w:t>
      </w:r>
      <w:r>
        <w:rPr>
          <w:rFonts w:ascii="宋体" w:hAnsi="宋体" w:eastAsia="宋体" w:cs="宋体"/>
          <w:spacing w:val="-1"/>
          <w:sz w:val="21"/>
          <w:szCs w:val="21"/>
        </w:rPr>
        <w:t>)。</w:t>
      </w:r>
    </w:p>
    <w:p w14:paraId="4E539E13">
      <w:pPr>
        <w:spacing w:before="158" w:line="359" w:lineRule="auto"/>
        <w:ind w:right="3"/>
        <w:jc w:val="right"/>
        <w:rPr>
          <w:rFonts w:ascii="宋体" w:hAnsi="宋体" w:eastAsia="宋体" w:cs="宋体"/>
          <w:sz w:val="21"/>
          <w:szCs w:val="21"/>
        </w:rPr>
      </w:pPr>
      <w:r>
        <w:rPr>
          <w:rFonts w:ascii="宋体" w:hAnsi="宋体" w:eastAsia="宋体" w:cs="宋体"/>
          <w:spacing w:val="6"/>
          <w:sz w:val="21"/>
          <w:szCs w:val="21"/>
        </w:rPr>
        <w:t>三、本保函有效期自开立之日起至发包人全额扣回预付款后</w:t>
      </w:r>
      <w:r>
        <w:rPr>
          <w:rFonts w:ascii="宋体" w:hAnsi="宋体" w:eastAsia="宋体" w:cs="宋体"/>
          <w:spacing w:val="-92"/>
          <w:sz w:val="21"/>
          <w:szCs w:val="21"/>
        </w:rPr>
        <w:t xml:space="preserve"> </w:t>
      </w:r>
      <w:r>
        <w:rPr>
          <w:rFonts w:ascii="宋体" w:hAnsi="宋体" w:eastAsia="宋体" w:cs="宋体"/>
          <w:spacing w:val="16"/>
          <w:sz w:val="21"/>
          <w:szCs w:val="21"/>
          <w:u w:val="single" w:color="auto"/>
        </w:rPr>
        <w:t xml:space="preserve">    </w:t>
      </w:r>
      <w:r>
        <w:rPr>
          <w:rFonts w:ascii="宋体" w:hAnsi="宋体" w:eastAsia="宋体" w:cs="宋体"/>
          <w:spacing w:val="-59"/>
          <w:sz w:val="21"/>
          <w:szCs w:val="21"/>
        </w:rPr>
        <w:t xml:space="preserve"> </w:t>
      </w:r>
      <w:r>
        <w:rPr>
          <w:rFonts w:ascii="宋体" w:hAnsi="宋体" w:eastAsia="宋体" w:cs="宋体"/>
          <w:spacing w:val="6"/>
          <w:sz w:val="21"/>
          <w:szCs w:val="21"/>
        </w:rPr>
        <w:t>日止，最迟不超过</w:t>
      </w:r>
    </w:p>
    <w:p w14:paraId="610D8E01">
      <w:pPr>
        <w:spacing w:line="220" w:lineRule="auto"/>
        <w:ind w:left="19"/>
        <w:rPr>
          <w:rFonts w:ascii="宋体" w:hAnsi="宋体" w:eastAsia="宋体" w:cs="宋体"/>
          <w:sz w:val="21"/>
          <w:szCs w:val="21"/>
        </w:rPr>
      </w:pPr>
      <w:r>
        <w:rPr>
          <w:rFonts w:ascii="宋体" w:hAnsi="宋体" w:eastAsia="宋体" w:cs="宋体"/>
          <w:spacing w:val="-15"/>
          <w:sz w:val="21"/>
          <w:szCs w:val="21"/>
        </w:rPr>
        <w:t>年</w:t>
      </w:r>
      <w:r>
        <w:rPr>
          <w:rFonts w:ascii="宋体" w:hAnsi="宋体" w:eastAsia="宋体" w:cs="宋体"/>
          <w:spacing w:val="-103"/>
          <w:sz w:val="21"/>
          <w:szCs w:val="21"/>
        </w:rPr>
        <w:t xml:space="preserve"> </w:t>
      </w:r>
      <w:r>
        <w:rPr>
          <w:rFonts w:ascii="宋体" w:hAnsi="宋体" w:eastAsia="宋体" w:cs="宋体"/>
          <w:sz w:val="21"/>
          <w:szCs w:val="21"/>
          <w:u w:val="single" w:color="auto"/>
        </w:rPr>
        <w:t xml:space="preserve">    </w:t>
      </w:r>
      <w:r>
        <w:rPr>
          <w:rFonts w:ascii="宋体" w:hAnsi="宋体" w:eastAsia="宋体" w:cs="宋体"/>
          <w:spacing w:val="-89"/>
          <w:sz w:val="21"/>
          <w:szCs w:val="21"/>
        </w:rPr>
        <w:t xml:space="preserve"> </w:t>
      </w:r>
      <w:r>
        <w:rPr>
          <w:rFonts w:ascii="宋体" w:hAnsi="宋体" w:eastAsia="宋体" w:cs="宋体"/>
          <w:spacing w:val="-15"/>
          <w:sz w:val="21"/>
          <w:szCs w:val="21"/>
        </w:rPr>
        <w:t>月</w:t>
      </w:r>
      <w:r>
        <w:rPr>
          <w:rFonts w:ascii="宋体" w:hAnsi="宋体" w:eastAsia="宋体" w:cs="宋体"/>
          <w:spacing w:val="34"/>
          <w:sz w:val="21"/>
          <w:szCs w:val="21"/>
          <w:u w:val="single" w:color="auto"/>
        </w:rPr>
        <w:t xml:space="preserve">   </w:t>
      </w:r>
      <w:r>
        <w:rPr>
          <w:rFonts w:ascii="宋体" w:hAnsi="宋体" w:eastAsia="宋体" w:cs="宋体"/>
          <w:spacing w:val="-59"/>
          <w:sz w:val="21"/>
          <w:szCs w:val="21"/>
        </w:rPr>
        <w:t xml:space="preserve"> </w:t>
      </w:r>
      <w:r>
        <w:rPr>
          <w:rFonts w:ascii="宋体" w:hAnsi="宋体" w:eastAsia="宋体" w:cs="宋体"/>
          <w:spacing w:val="-15"/>
          <w:sz w:val="21"/>
          <w:szCs w:val="21"/>
        </w:rPr>
        <w:t>日。</w:t>
      </w:r>
    </w:p>
    <w:p w14:paraId="52B3C24C">
      <w:pPr>
        <w:spacing w:before="157" w:line="363" w:lineRule="auto"/>
        <w:jc w:val="right"/>
        <w:rPr>
          <w:rFonts w:ascii="宋体" w:hAnsi="宋体" w:eastAsia="宋体" w:cs="宋体"/>
          <w:sz w:val="21"/>
          <w:szCs w:val="21"/>
        </w:rPr>
      </w:pPr>
      <w:r>
        <w:rPr>
          <w:rFonts w:ascii="宋体" w:hAnsi="宋体" w:eastAsia="宋体" w:cs="宋体"/>
          <w:spacing w:val="-6"/>
          <w:sz w:val="21"/>
          <w:szCs w:val="21"/>
        </w:rPr>
        <w:t>四、我方承诺，在收到受益人发来的书面付</w:t>
      </w:r>
      <w:r>
        <w:rPr>
          <w:rFonts w:ascii="宋体" w:hAnsi="宋体" w:eastAsia="宋体" w:cs="宋体"/>
          <w:spacing w:val="-7"/>
          <w:sz w:val="21"/>
          <w:szCs w:val="21"/>
        </w:rPr>
        <w:t>款通知后的</w:t>
      </w:r>
      <w:r>
        <w:rPr>
          <w:rFonts w:ascii="宋体" w:hAnsi="宋体" w:eastAsia="宋体" w:cs="宋体"/>
          <w:spacing w:val="-102"/>
          <w:sz w:val="21"/>
          <w:szCs w:val="21"/>
        </w:rPr>
        <w:t xml:space="preserve"> </w:t>
      </w:r>
      <w:r>
        <w:rPr>
          <w:rFonts w:ascii="宋体" w:hAnsi="宋体" w:eastAsia="宋体" w:cs="宋体"/>
          <w:spacing w:val="2"/>
          <w:sz w:val="21"/>
          <w:szCs w:val="21"/>
          <w:u w:val="single" w:color="auto"/>
        </w:rPr>
        <w:t xml:space="preserve">     </w:t>
      </w:r>
      <w:r>
        <w:rPr>
          <w:rFonts w:ascii="宋体" w:hAnsi="宋体" w:eastAsia="宋体" w:cs="宋体"/>
          <w:spacing w:val="-58"/>
          <w:sz w:val="21"/>
          <w:szCs w:val="21"/>
        </w:rPr>
        <w:t xml:space="preserve"> </w:t>
      </w:r>
      <w:r>
        <w:rPr>
          <w:rFonts w:ascii="宋体" w:hAnsi="宋体" w:eastAsia="宋体" w:cs="宋体"/>
          <w:spacing w:val="-7"/>
          <w:sz w:val="21"/>
          <w:szCs w:val="21"/>
        </w:rPr>
        <w:t>日内无条件支付，</w:t>
      </w:r>
      <w:r>
        <w:rPr>
          <w:rFonts w:ascii="宋体" w:hAnsi="宋体" w:eastAsia="宋体" w:cs="宋体"/>
          <w:spacing w:val="54"/>
          <w:sz w:val="21"/>
          <w:szCs w:val="21"/>
        </w:rPr>
        <w:t xml:space="preserve"> </w:t>
      </w:r>
      <w:r>
        <w:rPr>
          <w:rFonts w:ascii="宋体" w:hAnsi="宋体" w:eastAsia="宋体" w:cs="宋体"/>
          <w:spacing w:val="-7"/>
          <w:sz w:val="21"/>
          <w:szCs w:val="21"/>
        </w:rPr>
        <w:t>前述书</w:t>
      </w:r>
    </w:p>
    <w:p w14:paraId="42674B9E">
      <w:pPr>
        <w:spacing w:before="1" w:line="220" w:lineRule="auto"/>
        <w:ind w:left="19"/>
        <w:rPr>
          <w:rFonts w:ascii="宋体" w:hAnsi="宋体" w:eastAsia="宋体" w:cs="宋体"/>
          <w:sz w:val="21"/>
          <w:szCs w:val="21"/>
        </w:rPr>
      </w:pPr>
      <w:r>
        <w:rPr>
          <w:rFonts w:ascii="宋体" w:hAnsi="宋体" w:eastAsia="宋体" w:cs="宋体"/>
          <w:spacing w:val="-1"/>
          <w:sz w:val="21"/>
          <w:szCs w:val="21"/>
        </w:rPr>
        <w:t>面付款通知即为付款要求之单据，且应满足以下要求：</w:t>
      </w:r>
    </w:p>
    <w:p w14:paraId="068E5E1F">
      <w:pPr>
        <w:spacing w:before="157" w:line="220" w:lineRule="auto"/>
        <w:ind w:left="447"/>
        <w:rPr>
          <w:rFonts w:ascii="宋体" w:hAnsi="宋体" w:eastAsia="宋体" w:cs="宋体"/>
          <w:sz w:val="21"/>
          <w:szCs w:val="21"/>
        </w:rPr>
      </w:pPr>
      <w:r>
        <w:rPr>
          <w:rFonts w:ascii="宋体" w:hAnsi="宋体" w:eastAsia="宋体" w:cs="宋体"/>
          <w:spacing w:val="-1"/>
          <w:sz w:val="21"/>
          <w:szCs w:val="21"/>
        </w:rPr>
        <w:t>（1）付款通知到达的日期在本保函的有效期内；</w:t>
      </w:r>
    </w:p>
    <w:p w14:paraId="6C39E519">
      <w:pPr>
        <w:spacing w:before="158" w:line="221" w:lineRule="auto"/>
        <w:ind w:left="447"/>
        <w:rPr>
          <w:rFonts w:ascii="宋体" w:hAnsi="宋体" w:eastAsia="宋体" w:cs="宋体"/>
          <w:sz w:val="21"/>
          <w:szCs w:val="21"/>
        </w:rPr>
      </w:pPr>
      <w:r>
        <w:rPr>
          <w:rFonts w:ascii="宋体" w:hAnsi="宋体" w:eastAsia="宋体" w:cs="宋体"/>
          <w:spacing w:val="-4"/>
          <w:sz w:val="21"/>
          <w:szCs w:val="21"/>
        </w:rPr>
        <w:t>（2）载明要求支付的金额；</w:t>
      </w:r>
    </w:p>
    <w:p w14:paraId="257B6D25">
      <w:pPr>
        <w:spacing w:before="156" w:line="221" w:lineRule="auto"/>
        <w:ind w:left="447"/>
        <w:rPr>
          <w:rFonts w:ascii="宋体" w:hAnsi="宋体" w:eastAsia="宋体" w:cs="宋体"/>
          <w:sz w:val="21"/>
          <w:szCs w:val="21"/>
        </w:rPr>
      </w:pPr>
      <w:r>
        <w:rPr>
          <w:rFonts w:ascii="宋体" w:hAnsi="宋体" w:eastAsia="宋体" w:cs="宋体"/>
          <w:spacing w:val="-2"/>
          <w:sz w:val="21"/>
          <w:szCs w:val="21"/>
        </w:rPr>
        <w:t>（3）载明申请人违反合同义务的条款和内</w:t>
      </w:r>
      <w:r>
        <w:rPr>
          <w:rFonts w:ascii="宋体" w:hAnsi="宋体" w:eastAsia="宋体" w:cs="宋体"/>
          <w:spacing w:val="-3"/>
          <w:sz w:val="21"/>
          <w:szCs w:val="21"/>
        </w:rPr>
        <w:t>容；</w:t>
      </w:r>
    </w:p>
    <w:p w14:paraId="293525B5">
      <w:pPr>
        <w:spacing w:before="157" w:line="221" w:lineRule="auto"/>
        <w:ind w:left="447"/>
        <w:rPr>
          <w:rFonts w:ascii="宋体" w:hAnsi="宋体" w:eastAsia="宋体" w:cs="宋体"/>
          <w:sz w:val="21"/>
          <w:szCs w:val="21"/>
        </w:rPr>
      </w:pPr>
      <w:r>
        <w:rPr>
          <w:rFonts w:ascii="宋体" w:hAnsi="宋体" w:eastAsia="宋体" w:cs="宋体"/>
          <w:spacing w:val="-1"/>
          <w:sz w:val="21"/>
          <w:szCs w:val="21"/>
        </w:rPr>
        <w:t>（4）声明不存在合同文件约定或我国法律规定免除申请人或开立人支付责任的情形；</w:t>
      </w:r>
    </w:p>
    <w:p w14:paraId="7F3447B0">
      <w:pPr>
        <w:spacing w:before="157" w:line="220" w:lineRule="auto"/>
        <w:ind w:left="447"/>
        <w:rPr>
          <w:rFonts w:ascii="宋体" w:hAnsi="宋体" w:eastAsia="宋体" w:cs="宋体"/>
          <w:sz w:val="21"/>
          <w:szCs w:val="21"/>
        </w:rPr>
      </w:pPr>
      <w:r>
        <w:rPr>
          <w:rFonts w:ascii="宋体" w:hAnsi="宋体" w:eastAsia="宋体" w:cs="宋体"/>
          <w:spacing w:val="-2"/>
          <w:sz w:val="21"/>
          <w:szCs w:val="21"/>
        </w:rPr>
        <w:t>（5）付款通知应在本保函有效期内到达的地</w:t>
      </w:r>
      <w:r>
        <w:rPr>
          <w:rFonts w:ascii="宋体" w:hAnsi="宋体" w:eastAsia="宋体" w:cs="宋体"/>
          <w:spacing w:val="-3"/>
          <w:sz w:val="21"/>
          <w:szCs w:val="21"/>
        </w:rPr>
        <w:t>址是：</w:t>
      </w:r>
      <w:r>
        <w:rPr>
          <w:rFonts w:ascii="宋体" w:hAnsi="宋体" w:eastAsia="宋体" w:cs="宋体"/>
          <w:spacing w:val="-27"/>
          <w:sz w:val="21"/>
          <w:szCs w:val="21"/>
        </w:rPr>
        <w:t xml:space="preserve"> </w:t>
      </w:r>
      <w:r>
        <w:rPr>
          <w:rFonts w:ascii="宋体" w:hAnsi="宋体" w:eastAsia="宋体" w:cs="宋体"/>
          <w:spacing w:val="-3"/>
          <w:sz w:val="21"/>
          <w:szCs w:val="21"/>
          <w:u w:val="single" w:color="auto"/>
        </w:rPr>
        <w:t xml:space="preserve">             </w:t>
      </w:r>
      <w:r>
        <w:rPr>
          <w:rFonts w:ascii="宋体" w:hAnsi="宋体" w:eastAsia="宋体" w:cs="宋体"/>
          <w:spacing w:val="-3"/>
          <w:sz w:val="21"/>
          <w:szCs w:val="21"/>
        </w:rPr>
        <w:t>。</w:t>
      </w:r>
    </w:p>
    <w:p w14:paraId="1347C808">
      <w:pPr>
        <w:spacing w:before="158" w:line="220" w:lineRule="auto"/>
        <w:ind w:right="6"/>
        <w:jc w:val="right"/>
        <w:rPr>
          <w:rFonts w:ascii="宋体" w:hAnsi="宋体" w:eastAsia="宋体" w:cs="宋体"/>
          <w:sz w:val="21"/>
          <w:szCs w:val="21"/>
        </w:rPr>
      </w:pPr>
      <w:r>
        <w:rPr>
          <w:rFonts w:ascii="宋体" w:hAnsi="宋体" w:eastAsia="宋体" w:cs="宋体"/>
          <w:spacing w:val="3"/>
          <w:sz w:val="21"/>
          <w:szCs w:val="21"/>
        </w:rPr>
        <w:t>受益人发出的书面付款通知应由其为鉴明受益人法定代表人（负责人）或授权代</w:t>
      </w:r>
      <w:r>
        <w:rPr>
          <w:rFonts w:ascii="宋体" w:hAnsi="宋体" w:eastAsia="宋体" w:cs="宋体"/>
          <w:spacing w:val="2"/>
          <w:sz w:val="21"/>
          <w:szCs w:val="21"/>
        </w:rPr>
        <w:t>理人</w:t>
      </w:r>
    </w:p>
    <w:p w14:paraId="4C18CEF2">
      <w:pPr>
        <w:spacing w:line="220" w:lineRule="auto"/>
        <w:rPr>
          <w:rFonts w:ascii="宋体" w:hAnsi="宋体" w:eastAsia="宋体" w:cs="宋体"/>
          <w:sz w:val="21"/>
          <w:szCs w:val="21"/>
        </w:rPr>
        <w:sectPr>
          <w:footerReference r:id="rId153" w:type="default"/>
          <w:pgSz w:w="11905" w:h="16839"/>
          <w:pgMar w:top="400" w:right="1785" w:bottom="1004" w:left="1785" w:header="0" w:footer="828" w:gutter="0"/>
          <w:pgNumType w:fmt="decimal"/>
          <w:cols w:space="720" w:num="1"/>
        </w:sectPr>
      </w:pPr>
    </w:p>
    <w:p w14:paraId="0077F78C">
      <w:pPr>
        <w:pStyle w:val="3"/>
        <w:spacing w:line="248" w:lineRule="auto"/>
      </w:pPr>
    </w:p>
    <w:p w14:paraId="649FF9E6">
      <w:pPr>
        <w:pStyle w:val="3"/>
        <w:spacing w:line="249" w:lineRule="auto"/>
      </w:pPr>
    </w:p>
    <w:p w14:paraId="69DEA456">
      <w:pPr>
        <w:pStyle w:val="3"/>
        <w:spacing w:line="249" w:lineRule="auto"/>
      </w:pPr>
    </w:p>
    <w:p w14:paraId="26D8C41C">
      <w:pPr>
        <w:pStyle w:val="3"/>
        <w:spacing w:line="249" w:lineRule="auto"/>
      </w:pPr>
    </w:p>
    <w:p w14:paraId="1ACBDD3A">
      <w:pPr>
        <w:spacing w:before="68" w:line="220" w:lineRule="auto"/>
        <w:ind w:left="18"/>
        <w:rPr>
          <w:rFonts w:ascii="宋体" w:hAnsi="宋体" w:eastAsia="宋体" w:cs="宋体"/>
          <w:sz w:val="21"/>
          <w:szCs w:val="21"/>
        </w:rPr>
      </w:pPr>
      <w:r>
        <w:rPr>
          <w:rFonts w:ascii="宋体" w:hAnsi="宋体" w:eastAsia="宋体" w:cs="宋体"/>
          <w:spacing w:val="-3"/>
          <w:sz w:val="21"/>
          <w:szCs w:val="21"/>
        </w:rPr>
        <w:t>签字并加盖公章。</w:t>
      </w:r>
    </w:p>
    <w:p w14:paraId="59278615">
      <w:pPr>
        <w:spacing w:before="157" w:line="408" w:lineRule="exact"/>
        <w:jc w:val="right"/>
        <w:rPr>
          <w:rFonts w:ascii="宋体" w:hAnsi="宋体" w:eastAsia="宋体" w:cs="宋体"/>
          <w:sz w:val="21"/>
          <w:szCs w:val="21"/>
        </w:rPr>
      </w:pPr>
      <w:r>
        <w:rPr>
          <w:rFonts w:ascii="宋体" w:hAnsi="宋体" w:eastAsia="宋体" w:cs="宋体"/>
          <w:spacing w:val="-1"/>
          <w:position w:val="15"/>
          <w:sz w:val="21"/>
          <w:szCs w:val="21"/>
        </w:rPr>
        <w:t>五、本保函项下的权利不得转让，不得设定担保。贵方未经我方书面同意转</w:t>
      </w:r>
      <w:r>
        <w:rPr>
          <w:rFonts w:ascii="宋体" w:hAnsi="宋体" w:eastAsia="宋体" w:cs="宋体"/>
          <w:spacing w:val="48"/>
          <w:position w:val="15"/>
          <w:sz w:val="21"/>
          <w:szCs w:val="21"/>
        </w:rPr>
        <w:t xml:space="preserve"> </w:t>
      </w:r>
      <w:r>
        <w:rPr>
          <w:rFonts w:ascii="宋体" w:hAnsi="宋体" w:eastAsia="宋体" w:cs="宋体"/>
          <w:spacing w:val="-1"/>
          <w:position w:val="15"/>
          <w:sz w:val="21"/>
          <w:szCs w:val="21"/>
        </w:rPr>
        <w:t>让本保函</w:t>
      </w:r>
    </w:p>
    <w:p w14:paraId="6A394953">
      <w:pPr>
        <w:spacing w:line="220" w:lineRule="auto"/>
        <w:ind w:left="20"/>
        <w:rPr>
          <w:rFonts w:ascii="宋体" w:hAnsi="宋体" w:eastAsia="宋体" w:cs="宋体"/>
          <w:sz w:val="21"/>
          <w:szCs w:val="21"/>
        </w:rPr>
      </w:pPr>
      <w:r>
        <w:rPr>
          <w:rFonts w:ascii="宋体" w:hAnsi="宋体" w:eastAsia="宋体" w:cs="宋体"/>
          <w:spacing w:val="-7"/>
          <w:sz w:val="21"/>
          <w:szCs w:val="21"/>
        </w:rPr>
        <w:t>或其项下任何权利， 对我方不发生法律效力。</w:t>
      </w:r>
    </w:p>
    <w:p w14:paraId="0431BF09">
      <w:pPr>
        <w:spacing w:before="158" w:line="408" w:lineRule="exact"/>
        <w:ind w:right="6"/>
        <w:jc w:val="right"/>
        <w:rPr>
          <w:rFonts w:ascii="宋体" w:hAnsi="宋体" w:eastAsia="宋体" w:cs="宋体"/>
          <w:sz w:val="21"/>
          <w:szCs w:val="21"/>
        </w:rPr>
      </w:pPr>
      <w:r>
        <w:rPr>
          <w:rFonts w:ascii="宋体" w:hAnsi="宋体" w:eastAsia="宋体" w:cs="宋体"/>
          <w:spacing w:val="3"/>
          <w:position w:val="15"/>
          <w:sz w:val="21"/>
          <w:szCs w:val="21"/>
        </w:rPr>
        <w:t>六、与本保函有关的基础合同不成立、不生效、无效、被撤销、被解除，不影响本保</w:t>
      </w:r>
    </w:p>
    <w:p w14:paraId="7388364B">
      <w:pPr>
        <w:spacing w:line="221" w:lineRule="auto"/>
        <w:ind w:left="32"/>
        <w:rPr>
          <w:rFonts w:ascii="宋体" w:hAnsi="宋体" w:eastAsia="宋体" w:cs="宋体"/>
          <w:sz w:val="21"/>
          <w:szCs w:val="21"/>
        </w:rPr>
      </w:pPr>
      <w:r>
        <w:rPr>
          <w:rFonts w:ascii="宋体" w:hAnsi="宋体" w:eastAsia="宋体" w:cs="宋体"/>
          <w:spacing w:val="-5"/>
          <w:sz w:val="21"/>
          <w:szCs w:val="21"/>
        </w:rPr>
        <w:t>函的独立有效。</w:t>
      </w:r>
    </w:p>
    <w:p w14:paraId="3CAD0369">
      <w:pPr>
        <w:spacing w:before="161" w:line="359" w:lineRule="auto"/>
        <w:ind w:left="20" w:right="6" w:firstLine="420"/>
        <w:rPr>
          <w:rFonts w:ascii="宋体" w:hAnsi="宋体" w:eastAsia="宋体" w:cs="宋体"/>
          <w:sz w:val="21"/>
          <w:szCs w:val="21"/>
        </w:rPr>
      </w:pPr>
      <w:r>
        <w:rPr>
          <w:rFonts w:ascii="宋体" w:hAnsi="宋体" w:eastAsia="宋体" w:cs="宋体"/>
          <w:spacing w:val="3"/>
          <w:sz w:val="21"/>
          <w:szCs w:val="21"/>
        </w:rPr>
        <w:t xml:space="preserve">七、贵方应在本保函到期后的七日内将本保函正本退回我方注销，但是不论贵方是否 </w:t>
      </w:r>
      <w:r>
        <w:rPr>
          <w:rFonts w:ascii="宋体" w:hAnsi="宋体" w:eastAsia="宋体" w:cs="宋体"/>
          <w:sz w:val="21"/>
          <w:szCs w:val="21"/>
        </w:rPr>
        <w:t>按此要求将本保函正本退回我方， 我方在本保函项下的义务和责任均在保函有效期到期后</w:t>
      </w:r>
    </w:p>
    <w:p w14:paraId="45090E8E">
      <w:pPr>
        <w:spacing w:line="221" w:lineRule="auto"/>
        <w:ind w:left="52"/>
        <w:rPr>
          <w:rFonts w:ascii="宋体" w:hAnsi="宋体" w:eastAsia="宋体" w:cs="宋体"/>
          <w:sz w:val="21"/>
          <w:szCs w:val="21"/>
        </w:rPr>
      </w:pPr>
      <w:r>
        <w:rPr>
          <w:rFonts w:ascii="宋体" w:hAnsi="宋体" w:eastAsia="宋体" w:cs="宋体"/>
          <w:spacing w:val="-11"/>
          <w:sz w:val="21"/>
          <w:szCs w:val="21"/>
        </w:rPr>
        <w:t>自动消灭。</w:t>
      </w:r>
    </w:p>
    <w:p w14:paraId="51963FD0">
      <w:pPr>
        <w:spacing w:before="156" w:line="408" w:lineRule="exact"/>
        <w:ind w:right="13"/>
        <w:jc w:val="right"/>
        <w:rPr>
          <w:rFonts w:ascii="宋体" w:hAnsi="宋体" w:eastAsia="宋体" w:cs="宋体"/>
          <w:sz w:val="21"/>
          <w:szCs w:val="21"/>
        </w:rPr>
      </w:pPr>
      <w:r>
        <w:rPr>
          <w:rFonts w:ascii="宋体" w:hAnsi="宋体" w:eastAsia="宋体" w:cs="宋体"/>
          <w:spacing w:val="10"/>
          <w:position w:val="15"/>
          <w:sz w:val="21"/>
          <w:szCs w:val="21"/>
        </w:rPr>
        <w:t>八、本保函适用的法律为中华人民共和国法律，</w:t>
      </w:r>
      <w:r>
        <w:rPr>
          <w:rFonts w:ascii="宋体" w:hAnsi="宋体" w:eastAsia="宋体" w:cs="宋体"/>
          <w:spacing w:val="79"/>
          <w:position w:val="15"/>
          <w:sz w:val="21"/>
          <w:szCs w:val="21"/>
        </w:rPr>
        <w:t xml:space="preserve"> </w:t>
      </w:r>
      <w:r>
        <w:rPr>
          <w:rFonts w:ascii="宋体" w:hAnsi="宋体" w:eastAsia="宋体" w:cs="宋体"/>
          <w:spacing w:val="10"/>
          <w:position w:val="15"/>
          <w:sz w:val="21"/>
          <w:szCs w:val="21"/>
        </w:rPr>
        <w:t>争议裁</w:t>
      </w:r>
      <w:r>
        <w:rPr>
          <w:rFonts w:ascii="宋体" w:hAnsi="宋体" w:eastAsia="宋体" w:cs="宋体"/>
          <w:spacing w:val="9"/>
          <w:position w:val="15"/>
          <w:sz w:val="21"/>
          <w:szCs w:val="21"/>
        </w:rPr>
        <w:t>判管辖地为中华人民共和</w:t>
      </w:r>
    </w:p>
    <w:p w14:paraId="36739432">
      <w:pPr>
        <w:spacing w:before="1" w:line="223" w:lineRule="auto"/>
        <w:ind w:left="39"/>
        <w:rPr>
          <w:rFonts w:ascii="宋体" w:hAnsi="宋体" w:eastAsia="宋体" w:cs="宋体"/>
          <w:sz w:val="21"/>
          <w:szCs w:val="21"/>
        </w:rPr>
      </w:pPr>
      <w:r>
        <w:rPr>
          <w:rFonts w:ascii="宋体" w:hAnsi="宋体" w:eastAsia="宋体" w:cs="宋体"/>
          <w:spacing w:val="-14"/>
          <w:sz w:val="21"/>
          <w:szCs w:val="21"/>
        </w:rPr>
        <w:t>国</w:t>
      </w:r>
      <w:r>
        <w:rPr>
          <w:rFonts w:ascii="宋体" w:hAnsi="宋体" w:eastAsia="宋体" w:cs="宋体"/>
          <w:spacing w:val="-105"/>
          <w:sz w:val="21"/>
          <w:szCs w:val="21"/>
        </w:rPr>
        <w:t xml:space="preserve"> </w:t>
      </w:r>
      <w:r>
        <w:rPr>
          <w:rFonts w:ascii="宋体" w:hAnsi="宋体" w:eastAsia="宋体" w:cs="宋体"/>
          <w:sz w:val="21"/>
          <w:szCs w:val="21"/>
          <w:u w:val="single" w:color="auto"/>
        </w:rPr>
        <w:t xml:space="preserve">     </w:t>
      </w:r>
      <w:r>
        <w:rPr>
          <w:rFonts w:ascii="宋体" w:hAnsi="宋体" w:eastAsia="宋体" w:cs="宋体"/>
          <w:spacing w:val="-14"/>
          <w:sz w:val="21"/>
          <w:szCs w:val="21"/>
        </w:rPr>
        <w:t>。</w:t>
      </w:r>
    </w:p>
    <w:p w14:paraId="65DB7722">
      <w:pPr>
        <w:spacing w:before="154" w:line="220" w:lineRule="auto"/>
        <w:ind w:left="446"/>
        <w:rPr>
          <w:rFonts w:ascii="宋体" w:hAnsi="宋体" w:eastAsia="宋体" w:cs="宋体"/>
          <w:sz w:val="21"/>
          <w:szCs w:val="21"/>
        </w:rPr>
      </w:pPr>
      <w:r>
        <w:rPr>
          <w:rFonts w:ascii="宋体" w:hAnsi="宋体" w:eastAsia="宋体" w:cs="宋体"/>
          <w:spacing w:val="-1"/>
          <w:sz w:val="21"/>
          <w:szCs w:val="21"/>
        </w:rPr>
        <w:t>九、本保函自我方法定代表人或授权代表签字并加盖公章之日起生效。</w:t>
      </w:r>
    </w:p>
    <w:p w14:paraId="44E47D03">
      <w:pPr>
        <w:pStyle w:val="3"/>
        <w:spacing w:line="262" w:lineRule="auto"/>
      </w:pPr>
    </w:p>
    <w:p w14:paraId="7D9FF23F">
      <w:pPr>
        <w:pStyle w:val="3"/>
        <w:spacing w:line="262" w:lineRule="auto"/>
      </w:pPr>
    </w:p>
    <w:p w14:paraId="2941801A">
      <w:pPr>
        <w:pStyle w:val="3"/>
        <w:spacing w:line="262" w:lineRule="auto"/>
      </w:pPr>
    </w:p>
    <w:p w14:paraId="29E49CC1">
      <w:pPr>
        <w:pStyle w:val="3"/>
        <w:spacing w:line="262" w:lineRule="auto"/>
      </w:pPr>
    </w:p>
    <w:p w14:paraId="2DE848CC">
      <w:pPr>
        <w:pStyle w:val="3"/>
        <w:spacing w:line="262" w:lineRule="auto"/>
      </w:pPr>
    </w:p>
    <w:p w14:paraId="45361B89">
      <w:pPr>
        <w:spacing w:before="69" w:line="408" w:lineRule="exact"/>
        <w:ind w:left="442"/>
        <w:rPr>
          <w:rFonts w:ascii="宋体" w:hAnsi="宋体" w:eastAsia="宋体" w:cs="宋体"/>
          <w:sz w:val="21"/>
          <w:szCs w:val="21"/>
        </w:rPr>
      </w:pPr>
      <w:r>
        <w:pict>
          <v:shape id="_x0000_s1052" o:spid="_x0000_s1052" o:spt="202" type="#_x0000_t202" style="position:absolute;left:0pt;margin-left:21.1pt;margin-top:-18.15pt;height:14.65pt;width:51.9pt;z-index:251683840;mso-width-relative:page;mso-height-relative:page;" filled="f" stroked="f" coordsize="21600,21600">
            <v:path/>
            <v:fill on="f" focussize="0,0"/>
            <v:stroke on="f"/>
            <v:imagedata o:title=""/>
            <o:lock v:ext="edit" aspectratio="f"/>
            <v:textbox inset="0mm,0mm,0mm,0mm">
              <w:txbxContent>
                <w:p w14:paraId="43E28FBE">
                  <w:pPr>
                    <w:spacing w:before="20" w:line="222" w:lineRule="auto"/>
                    <w:jc w:val="right"/>
                    <w:rPr>
                      <w:rFonts w:ascii="宋体" w:hAnsi="宋体" w:eastAsia="宋体" w:cs="宋体"/>
                      <w:sz w:val="21"/>
                      <w:szCs w:val="21"/>
                    </w:rPr>
                  </w:pPr>
                  <w:r>
                    <w:rPr>
                      <w:rFonts w:ascii="宋体" w:hAnsi="宋体" w:eastAsia="宋体" w:cs="宋体"/>
                      <w:spacing w:val="-18"/>
                      <w:sz w:val="21"/>
                      <w:szCs w:val="21"/>
                    </w:rPr>
                    <w:t>开</w:t>
                  </w:r>
                  <w:r>
                    <w:rPr>
                      <w:rFonts w:ascii="宋体" w:hAnsi="宋体" w:eastAsia="宋体" w:cs="宋体"/>
                      <w:spacing w:val="8"/>
                      <w:sz w:val="21"/>
                      <w:szCs w:val="21"/>
                    </w:rPr>
                    <w:t xml:space="preserve"> </w:t>
                  </w:r>
                  <w:r>
                    <w:rPr>
                      <w:rFonts w:ascii="宋体" w:hAnsi="宋体" w:eastAsia="宋体" w:cs="宋体"/>
                      <w:spacing w:val="-18"/>
                      <w:sz w:val="21"/>
                      <w:szCs w:val="21"/>
                    </w:rPr>
                    <w:t>立</w:t>
                  </w:r>
                  <w:r>
                    <w:rPr>
                      <w:rFonts w:ascii="宋体" w:hAnsi="宋体" w:eastAsia="宋体" w:cs="宋体"/>
                      <w:spacing w:val="10"/>
                      <w:sz w:val="21"/>
                      <w:szCs w:val="21"/>
                    </w:rPr>
                    <w:t xml:space="preserve"> </w:t>
                  </w:r>
                  <w:r>
                    <w:rPr>
                      <w:rFonts w:ascii="宋体" w:hAnsi="宋体" w:eastAsia="宋体" w:cs="宋体"/>
                      <w:spacing w:val="-18"/>
                      <w:sz w:val="21"/>
                      <w:szCs w:val="21"/>
                    </w:rPr>
                    <w:t>人：</w:t>
                  </w:r>
                </w:p>
              </w:txbxContent>
            </v:textbox>
          </v:shape>
        </w:pict>
      </w:r>
      <w:r>
        <w:pict>
          <v:shape id="_x0000_s1053" o:spid="_x0000_s1053" o:spt="202" type="#_x0000_t202" style="position:absolute;left:0pt;margin-left:231.65pt;margin-top:-18.15pt;height:35.2pt;width:42.35pt;z-index:251682816;mso-width-relative:page;mso-height-relative:page;" filled="f" stroked="f" coordsize="21600,21600">
            <v:path/>
            <v:fill on="f" focussize="0,0"/>
            <v:stroke on="f"/>
            <v:imagedata o:title=""/>
            <o:lock v:ext="edit" aspectratio="f"/>
            <v:textbox inset="0mm,0mm,0mm,0mm">
              <w:txbxContent>
                <w:p w14:paraId="2C5210E9">
                  <w:pPr>
                    <w:spacing w:before="20" w:line="412" w:lineRule="exact"/>
                    <w:ind w:right="1"/>
                    <w:jc w:val="right"/>
                    <w:rPr>
                      <w:rFonts w:ascii="宋体" w:hAnsi="宋体" w:eastAsia="宋体" w:cs="宋体"/>
                      <w:sz w:val="21"/>
                      <w:szCs w:val="21"/>
                    </w:rPr>
                  </w:pPr>
                  <w:r>
                    <w:rPr>
                      <w:rFonts w:ascii="宋体" w:hAnsi="宋体" w:eastAsia="宋体" w:cs="宋体"/>
                      <w:spacing w:val="-4"/>
                      <w:position w:val="15"/>
                      <w:sz w:val="21"/>
                      <w:szCs w:val="21"/>
                    </w:rPr>
                    <w:t>（公章）</w:t>
                  </w:r>
                </w:p>
                <w:p w14:paraId="5922DC88">
                  <w:pPr>
                    <w:spacing w:line="220" w:lineRule="auto"/>
                    <w:ind w:right="1"/>
                    <w:jc w:val="right"/>
                    <w:rPr>
                      <w:rFonts w:ascii="宋体" w:hAnsi="宋体" w:eastAsia="宋体" w:cs="宋体"/>
                      <w:sz w:val="21"/>
                      <w:szCs w:val="21"/>
                    </w:rPr>
                  </w:pPr>
                  <w:r>
                    <w:rPr>
                      <w:rFonts w:ascii="宋体" w:hAnsi="宋体" w:eastAsia="宋体" w:cs="宋体"/>
                      <w:spacing w:val="-4"/>
                      <w:sz w:val="21"/>
                      <w:szCs w:val="21"/>
                    </w:rPr>
                    <w:t>（签字）</w:t>
                  </w:r>
                </w:p>
              </w:txbxContent>
            </v:textbox>
          </v:shape>
        </w:pict>
      </w:r>
      <w:r>
        <w:rPr>
          <w:rFonts w:ascii="宋体" w:hAnsi="宋体" w:eastAsia="宋体" w:cs="宋体"/>
          <w:spacing w:val="-8"/>
          <w:position w:val="14"/>
          <w:sz w:val="21"/>
          <w:szCs w:val="21"/>
        </w:rPr>
        <w:t>法定代表人（或授权代表</w:t>
      </w:r>
      <w:r>
        <w:rPr>
          <w:rFonts w:ascii="宋体" w:hAnsi="宋体" w:eastAsia="宋体" w:cs="宋体"/>
          <w:spacing w:val="-19"/>
          <w:position w:val="14"/>
          <w:sz w:val="21"/>
          <w:szCs w:val="21"/>
        </w:rPr>
        <w:t>）：</w:t>
      </w:r>
    </w:p>
    <w:p w14:paraId="39ABFF0C">
      <w:pPr>
        <w:spacing w:before="1" w:line="229" w:lineRule="auto"/>
        <w:ind w:left="441"/>
        <w:rPr>
          <w:rFonts w:ascii="宋体" w:hAnsi="宋体" w:eastAsia="宋体" w:cs="宋体"/>
          <w:sz w:val="21"/>
          <w:szCs w:val="21"/>
        </w:rPr>
      </w:pPr>
      <w:r>
        <w:rPr>
          <w:rFonts w:ascii="宋体" w:hAnsi="宋体" w:eastAsia="宋体" w:cs="宋体"/>
          <w:spacing w:val="-12"/>
          <w:sz w:val="21"/>
          <w:szCs w:val="21"/>
        </w:rPr>
        <w:t>地</w:t>
      </w:r>
      <w:r>
        <w:rPr>
          <w:rFonts w:ascii="宋体" w:hAnsi="宋体" w:eastAsia="宋体" w:cs="宋体"/>
          <w:spacing w:val="2"/>
          <w:sz w:val="21"/>
          <w:szCs w:val="21"/>
        </w:rPr>
        <w:t xml:space="preserve">    </w:t>
      </w:r>
      <w:r>
        <w:rPr>
          <w:rFonts w:ascii="宋体" w:hAnsi="宋体" w:eastAsia="宋体" w:cs="宋体"/>
          <w:spacing w:val="-12"/>
          <w:sz w:val="21"/>
          <w:szCs w:val="21"/>
        </w:rPr>
        <w:t>址：</w:t>
      </w:r>
    </w:p>
    <w:p w14:paraId="4FA7A651">
      <w:pPr>
        <w:spacing w:before="147" w:line="408" w:lineRule="exact"/>
        <w:ind w:left="456"/>
        <w:rPr>
          <w:rFonts w:ascii="宋体" w:hAnsi="宋体" w:eastAsia="宋体" w:cs="宋体"/>
          <w:sz w:val="21"/>
          <w:szCs w:val="21"/>
        </w:rPr>
      </w:pPr>
      <w:r>
        <w:rPr>
          <w:rFonts w:ascii="宋体" w:hAnsi="宋体" w:eastAsia="宋体" w:cs="宋体"/>
          <w:spacing w:val="-11"/>
          <w:position w:val="14"/>
          <w:sz w:val="21"/>
          <w:szCs w:val="21"/>
        </w:rPr>
        <w:t>邮政编码：</w:t>
      </w:r>
    </w:p>
    <w:p w14:paraId="6B7642BD">
      <w:pPr>
        <w:spacing w:before="1" w:line="222" w:lineRule="auto"/>
        <w:ind w:left="465"/>
        <w:rPr>
          <w:rFonts w:ascii="宋体" w:hAnsi="宋体" w:eastAsia="宋体" w:cs="宋体"/>
          <w:sz w:val="21"/>
          <w:szCs w:val="21"/>
        </w:rPr>
      </w:pPr>
      <w:r>
        <w:rPr>
          <w:rFonts w:ascii="宋体" w:hAnsi="宋体" w:eastAsia="宋体" w:cs="宋体"/>
          <w:spacing w:val="-20"/>
          <w:sz w:val="21"/>
          <w:szCs w:val="21"/>
        </w:rPr>
        <w:t>电</w:t>
      </w:r>
      <w:r>
        <w:rPr>
          <w:rFonts w:ascii="宋体" w:hAnsi="宋体" w:eastAsia="宋体" w:cs="宋体"/>
          <w:spacing w:val="2"/>
          <w:sz w:val="21"/>
          <w:szCs w:val="21"/>
        </w:rPr>
        <w:t xml:space="preserve">    </w:t>
      </w:r>
      <w:r>
        <w:rPr>
          <w:rFonts w:ascii="宋体" w:hAnsi="宋体" w:eastAsia="宋体" w:cs="宋体"/>
          <w:spacing w:val="-20"/>
          <w:sz w:val="21"/>
          <w:szCs w:val="21"/>
        </w:rPr>
        <w:t>话：</w:t>
      </w:r>
    </w:p>
    <w:p w14:paraId="16F5CBB4">
      <w:pPr>
        <w:spacing w:before="154" w:line="220" w:lineRule="auto"/>
        <w:ind w:left="439"/>
        <w:rPr>
          <w:rFonts w:ascii="宋体" w:hAnsi="宋体" w:eastAsia="宋体" w:cs="宋体"/>
          <w:sz w:val="21"/>
          <w:szCs w:val="21"/>
        </w:rPr>
      </w:pPr>
      <w:r>
        <w:rPr>
          <w:rFonts w:ascii="宋体" w:hAnsi="宋体" w:eastAsia="宋体" w:cs="宋体"/>
          <w:spacing w:val="-12"/>
          <w:sz w:val="21"/>
          <w:szCs w:val="21"/>
        </w:rPr>
        <w:t>传</w:t>
      </w:r>
      <w:r>
        <w:rPr>
          <w:rFonts w:ascii="宋体" w:hAnsi="宋体" w:eastAsia="宋体" w:cs="宋体"/>
          <w:spacing w:val="3"/>
          <w:sz w:val="21"/>
          <w:szCs w:val="21"/>
        </w:rPr>
        <w:t xml:space="preserve">    </w:t>
      </w:r>
      <w:r>
        <w:rPr>
          <w:rFonts w:ascii="宋体" w:hAnsi="宋体" w:eastAsia="宋体" w:cs="宋体"/>
          <w:spacing w:val="-12"/>
          <w:sz w:val="21"/>
          <w:szCs w:val="21"/>
        </w:rPr>
        <w:t>真：</w:t>
      </w:r>
    </w:p>
    <w:p w14:paraId="3D2CC1A7">
      <w:pPr>
        <w:spacing w:before="157" w:line="221" w:lineRule="auto"/>
        <w:ind w:left="442"/>
        <w:rPr>
          <w:rFonts w:ascii="宋体" w:hAnsi="宋体" w:eastAsia="宋体" w:cs="宋体"/>
          <w:sz w:val="21"/>
          <w:szCs w:val="21"/>
        </w:rPr>
      </w:pPr>
      <w:r>
        <w:rPr>
          <w:rFonts w:ascii="宋体" w:hAnsi="宋体" w:eastAsia="宋体" w:cs="宋体"/>
          <w:spacing w:val="-13"/>
          <w:sz w:val="21"/>
          <w:szCs w:val="21"/>
        </w:rPr>
        <w:t>开立时间：</w:t>
      </w:r>
      <w:r>
        <w:rPr>
          <w:rFonts w:ascii="宋体" w:hAnsi="宋体" w:eastAsia="宋体" w:cs="宋体"/>
          <w:spacing w:val="14"/>
          <w:sz w:val="21"/>
          <w:szCs w:val="21"/>
        </w:rPr>
        <w:t xml:space="preserve">      </w:t>
      </w:r>
      <w:r>
        <w:rPr>
          <w:rFonts w:ascii="宋体" w:hAnsi="宋体" w:eastAsia="宋体" w:cs="宋体"/>
          <w:spacing w:val="-13"/>
          <w:sz w:val="21"/>
          <w:szCs w:val="21"/>
        </w:rPr>
        <w:t>年</w:t>
      </w:r>
      <w:r>
        <w:rPr>
          <w:rFonts w:ascii="宋体" w:hAnsi="宋体" w:eastAsia="宋体" w:cs="宋体"/>
          <w:spacing w:val="2"/>
          <w:sz w:val="21"/>
          <w:szCs w:val="21"/>
        </w:rPr>
        <w:t xml:space="preserve">      </w:t>
      </w:r>
      <w:r>
        <w:rPr>
          <w:rFonts w:ascii="宋体" w:hAnsi="宋体" w:eastAsia="宋体" w:cs="宋体"/>
          <w:spacing w:val="-13"/>
          <w:sz w:val="21"/>
          <w:szCs w:val="21"/>
        </w:rPr>
        <w:t>月</w:t>
      </w:r>
      <w:r>
        <w:rPr>
          <w:rFonts w:ascii="宋体" w:hAnsi="宋体" w:eastAsia="宋体" w:cs="宋体"/>
          <w:spacing w:val="5"/>
          <w:sz w:val="21"/>
          <w:szCs w:val="21"/>
        </w:rPr>
        <w:t xml:space="preserve">        </w:t>
      </w:r>
      <w:r>
        <w:rPr>
          <w:rFonts w:ascii="宋体" w:hAnsi="宋体" w:eastAsia="宋体" w:cs="宋体"/>
          <w:spacing w:val="-13"/>
          <w:sz w:val="21"/>
          <w:szCs w:val="21"/>
        </w:rPr>
        <w:t>日</w:t>
      </w:r>
    </w:p>
    <w:p w14:paraId="787E5B31">
      <w:pPr>
        <w:spacing w:line="221" w:lineRule="auto"/>
        <w:rPr>
          <w:rFonts w:ascii="宋体" w:hAnsi="宋体" w:eastAsia="宋体" w:cs="宋体"/>
          <w:sz w:val="21"/>
          <w:szCs w:val="21"/>
        </w:rPr>
        <w:sectPr>
          <w:footerReference r:id="rId154" w:type="default"/>
          <w:pgSz w:w="11905" w:h="16839"/>
          <w:pgMar w:top="400" w:right="1785" w:bottom="1004" w:left="1785" w:header="0" w:footer="828" w:gutter="0"/>
          <w:pgNumType w:fmt="decimal"/>
          <w:cols w:space="720" w:num="1"/>
        </w:sectPr>
      </w:pPr>
    </w:p>
    <w:p w14:paraId="4C841C70">
      <w:pPr>
        <w:pStyle w:val="3"/>
        <w:spacing w:line="276" w:lineRule="auto"/>
      </w:pPr>
    </w:p>
    <w:p w14:paraId="5CA85BAD">
      <w:pPr>
        <w:pStyle w:val="3"/>
        <w:spacing w:line="276" w:lineRule="auto"/>
      </w:pPr>
    </w:p>
    <w:p w14:paraId="3CCD0D67">
      <w:pPr>
        <w:pStyle w:val="3"/>
        <w:spacing w:line="276" w:lineRule="auto"/>
      </w:pPr>
    </w:p>
    <w:p w14:paraId="5702ADF2">
      <w:pPr>
        <w:pStyle w:val="3"/>
        <w:spacing w:line="276" w:lineRule="auto"/>
      </w:pPr>
    </w:p>
    <w:p w14:paraId="37C81B85">
      <w:pPr>
        <w:spacing w:before="78" w:line="219" w:lineRule="auto"/>
        <w:ind w:left="38"/>
        <w:rPr>
          <w:rFonts w:ascii="Times New Roman" w:hAnsi="Times New Roman" w:eastAsia="Times New Roman" w:cs="Times New Roman"/>
          <w:sz w:val="24"/>
          <w:szCs w:val="24"/>
        </w:rPr>
      </w:pPr>
      <w:r>
        <w:rPr>
          <w:rFonts w:ascii="宋体" w:hAnsi="宋体" w:eastAsia="宋体" w:cs="宋体"/>
          <w:spacing w:val="-11"/>
          <w:sz w:val="24"/>
          <w:szCs w:val="24"/>
        </w:rPr>
        <w:t>附件</w:t>
      </w:r>
      <w:r>
        <w:rPr>
          <w:rFonts w:ascii="宋体" w:hAnsi="宋体" w:eastAsia="宋体" w:cs="宋体"/>
          <w:spacing w:val="-30"/>
          <w:sz w:val="24"/>
          <w:szCs w:val="24"/>
        </w:rPr>
        <w:t xml:space="preserve"> </w:t>
      </w:r>
      <w:r>
        <w:rPr>
          <w:rFonts w:ascii="Times New Roman" w:hAnsi="Times New Roman" w:eastAsia="Times New Roman" w:cs="Times New Roman"/>
          <w:spacing w:val="-11"/>
          <w:sz w:val="24"/>
          <w:szCs w:val="24"/>
        </w:rPr>
        <w:t>10:</w:t>
      </w:r>
    </w:p>
    <w:p w14:paraId="1D1C4A33">
      <w:pPr>
        <w:spacing w:before="243" w:line="227" w:lineRule="auto"/>
        <w:ind w:left="3626"/>
        <w:rPr>
          <w:rFonts w:ascii="黑体" w:hAnsi="黑体" w:eastAsia="黑体" w:cs="黑体"/>
          <w:sz w:val="27"/>
          <w:szCs w:val="27"/>
        </w:rPr>
      </w:pPr>
      <w:bookmarkStart w:id="1278" w:name="bookmark232"/>
      <w:bookmarkEnd w:id="1278"/>
      <w:r>
        <w:rPr>
          <w:rFonts w:ascii="黑体" w:hAnsi="黑体" w:eastAsia="黑体" w:cs="黑体"/>
          <w:spacing w:val="3"/>
          <w:sz w:val="27"/>
          <w:szCs w:val="27"/>
        </w:rPr>
        <w:t>支付担保</w:t>
      </w:r>
    </w:p>
    <w:p w14:paraId="4783FD9B">
      <w:pPr>
        <w:tabs>
          <w:tab w:val="left" w:pos="1378"/>
        </w:tabs>
        <w:spacing w:before="283" w:line="221" w:lineRule="auto"/>
        <w:ind w:left="10"/>
        <w:rPr>
          <w:rFonts w:ascii="宋体" w:hAnsi="宋体" w:eastAsia="宋体" w:cs="宋体"/>
          <w:sz w:val="21"/>
          <w:szCs w:val="21"/>
        </w:rPr>
      </w:pPr>
      <w:r>
        <w:rPr>
          <w:rFonts w:ascii="宋体" w:hAnsi="宋体" w:eastAsia="宋体" w:cs="宋体"/>
          <w:sz w:val="21"/>
          <w:szCs w:val="21"/>
          <w:u w:val="single" w:color="auto"/>
        </w:rPr>
        <w:tab/>
      </w:r>
      <w:r>
        <w:rPr>
          <w:rFonts w:ascii="宋体" w:hAnsi="宋体" w:eastAsia="宋体" w:cs="宋体"/>
          <w:spacing w:val="-27"/>
          <w:sz w:val="21"/>
          <w:szCs w:val="21"/>
        </w:rPr>
        <w:t xml:space="preserve"> </w:t>
      </w:r>
      <w:r>
        <w:rPr>
          <w:rFonts w:ascii="宋体" w:hAnsi="宋体" w:eastAsia="宋体" w:cs="宋体"/>
          <w:spacing w:val="-26"/>
          <w:w w:val="95"/>
          <w:sz w:val="21"/>
          <w:szCs w:val="21"/>
        </w:rPr>
        <w:t>（承包人</w:t>
      </w:r>
      <w:r>
        <w:rPr>
          <w:rFonts w:ascii="宋体" w:hAnsi="宋体" w:eastAsia="宋体" w:cs="宋体"/>
          <w:spacing w:val="-26"/>
          <w:sz w:val="21"/>
          <w:szCs w:val="21"/>
        </w:rPr>
        <w:t>）：</w:t>
      </w:r>
    </w:p>
    <w:p w14:paraId="6F9B4E3A">
      <w:pPr>
        <w:pStyle w:val="3"/>
        <w:spacing w:line="416" w:lineRule="auto"/>
      </w:pPr>
    </w:p>
    <w:p w14:paraId="6847E320">
      <w:pPr>
        <w:spacing w:before="69" w:line="359" w:lineRule="auto"/>
        <w:ind w:left="21" w:right="5" w:firstLine="422"/>
        <w:rPr>
          <w:rFonts w:ascii="宋体" w:hAnsi="宋体" w:eastAsia="宋体" w:cs="宋体"/>
          <w:sz w:val="21"/>
          <w:szCs w:val="21"/>
        </w:rPr>
      </w:pPr>
      <w:r>
        <w:rPr>
          <w:rFonts w:ascii="宋体" w:hAnsi="宋体" w:eastAsia="宋体" w:cs="宋体"/>
          <w:spacing w:val="-6"/>
          <w:sz w:val="21"/>
          <w:szCs w:val="21"/>
        </w:rPr>
        <w:t>鉴于你方作为承包人已经与</w:t>
      </w:r>
      <w:r>
        <w:rPr>
          <w:rFonts w:ascii="宋体" w:hAnsi="宋体" w:eastAsia="宋体" w:cs="宋体"/>
          <w:spacing w:val="-103"/>
          <w:sz w:val="21"/>
          <w:szCs w:val="21"/>
        </w:rPr>
        <w:t xml:space="preserve"> </w:t>
      </w:r>
      <w:r>
        <w:rPr>
          <w:rFonts w:ascii="宋体" w:hAnsi="宋体" w:eastAsia="宋体" w:cs="宋体"/>
          <w:spacing w:val="-6"/>
          <w:sz w:val="21"/>
          <w:szCs w:val="21"/>
          <w:u w:val="single" w:color="auto"/>
        </w:rPr>
        <w:t xml:space="preserve">          </w:t>
      </w:r>
      <w:r>
        <w:rPr>
          <w:rFonts w:ascii="宋体" w:hAnsi="宋体" w:eastAsia="宋体" w:cs="宋体"/>
          <w:spacing w:val="-6"/>
          <w:sz w:val="21"/>
          <w:szCs w:val="21"/>
        </w:rPr>
        <w:t xml:space="preserve"> （发包人名称</w:t>
      </w:r>
      <w:r>
        <w:rPr>
          <w:rFonts w:ascii="宋体" w:hAnsi="宋体" w:eastAsia="宋体" w:cs="宋体"/>
          <w:spacing w:val="-61"/>
          <w:sz w:val="21"/>
          <w:szCs w:val="21"/>
        </w:rPr>
        <w:t>）（</w:t>
      </w:r>
      <w:r>
        <w:rPr>
          <w:rFonts w:ascii="宋体" w:hAnsi="宋体" w:eastAsia="宋体" w:cs="宋体"/>
          <w:spacing w:val="-7"/>
          <w:sz w:val="21"/>
          <w:szCs w:val="21"/>
        </w:rPr>
        <w:t>以下称“发包人</w:t>
      </w:r>
      <w:r>
        <w:rPr>
          <w:rFonts w:ascii="宋体" w:hAnsi="宋体" w:eastAsia="宋体" w:cs="宋体"/>
          <w:spacing w:val="-77"/>
          <w:sz w:val="21"/>
          <w:szCs w:val="21"/>
        </w:rPr>
        <w:t xml:space="preserve"> </w:t>
      </w:r>
      <w:r>
        <w:rPr>
          <w:rFonts w:ascii="宋体" w:hAnsi="宋体" w:eastAsia="宋体" w:cs="宋体"/>
          <w:spacing w:val="-7"/>
          <w:sz w:val="21"/>
          <w:szCs w:val="21"/>
        </w:rPr>
        <w:t>”）于</w:t>
      </w:r>
      <w:r>
        <w:rPr>
          <w:rFonts w:ascii="宋体" w:hAnsi="宋体" w:eastAsia="宋体" w:cs="宋体"/>
          <w:spacing w:val="-92"/>
          <w:sz w:val="21"/>
          <w:szCs w:val="21"/>
        </w:rPr>
        <w:t xml:space="preserve"> </w:t>
      </w:r>
      <w:r>
        <w:rPr>
          <w:rFonts w:ascii="宋体" w:hAnsi="宋体" w:eastAsia="宋体" w:cs="宋体"/>
          <w:sz w:val="21"/>
          <w:szCs w:val="21"/>
          <w:u w:val="single" w:color="auto"/>
        </w:rPr>
        <w:t xml:space="preserve">   </w:t>
      </w:r>
      <w:r>
        <w:rPr>
          <w:rFonts w:ascii="宋体" w:hAnsi="宋体" w:eastAsia="宋体" w:cs="宋体"/>
          <w:spacing w:val="-94"/>
          <w:sz w:val="21"/>
          <w:szCs w:val="21"/>
        </w:rPr>
        <w:t xml:space="preserve"> </w:t>
      </w:r>
      <w:r>
        <w:rPr>
          <w:rFonts w:ascii="宋体" w:hAnsi="宋体" w:eastAsia="宋体" w:cs="宋体"/>
          <w:spacing w:val="-7"/>
          <w:sz w:val="21"/>
          <w:szCs w:val="21"/>
        </w:rPr>
        <w:t>年</w:t>
      </w:r>
      <w:r>
        <w:rPr>
          <w:rFonts w:ascii="宋体" w:hAnsi="宋体" w:eastAsia="宋体" w:cs="宋体"/>
          <w:spacing w:val="5"/>
          <w:sz w:val="21"/>
          <w:szCs w:val="21"/>
          <w:u w:val="single" w:color="auto"/>
        </w:rPr>
        <w:t xml:space="preserve">  </w:t>
      </w:r>
      <w:r>
        <w:rPr>
          <w:rFonts w:ascii="宋体" w:hAnsi="宋体" w:eastAsia="宋体" w:cs="宋体"/>
          <w:spacing w:val="1"/>
          <w:sz w:val="21"/>
          <w:szCs w:val="21"/>
        </w:rPr>
        <w:t xml:space="preserve"> </w:t>
      </w:r>
      <w:r>
        <w:rPr>
          <w:rFonts w:ascii="宋体" w:hAnsi="宋体" w:eastAsia="宋体" w:cs="宋体"/>
          <w:spacing w:val="-9"/>
          <w:sz w:val="21"/>
          <w:szCs w:val="21"/>
        </w:rPr>
        <w:t>月</w:t>
      </w:r>
      <w:r>
        <w:rPr>
          <w:rFonts w:ascii="宋体" w:hAnsi="宋体" w:eastAsia="宋体" w:cs="宋体"/>
          <w:spacing w:val="-102"/>
          <w:sz w:val="21"/>
          <w:szCs w:val="21"/>
        </w:rPr>
        <w:t xml:space="preserve"> </w:t>
      </w:r>
      <w:r>
        <w:rPr>
          <w:rFonts w:ascii="宋体" w:hAnsi="宋体" w:eastAsia="宋体" w:cs="宋体"/>
          <w:sz w:val="21"/>
          <w:szCs w:val="21"/>
          <w:u w:val="single" w:color="auto"/>
        </w:rPr>
        <w:t xml:space="preserve">    </w:t>
      </w:r>
      <w:r>
        <w:rPr>
          <w:rFonts w:ascii="宋体" w:hAnsi="宋体" w:eastAsia="宋体" w:cs="宋体"/>
          <w:spacing w:val="-58"/>
          <w:sz w:val="21"/>
          <w:szCs w:val="21"/>
        </w:rPr>
        <w:t xml:space="preserve"> </w:t>
      </w:r>
      <w:r>
        <w:rPr>
          <w:rFonts w:ascii="宋体" w:hAnsi="宋体" w:eastAsia="宋体" w:cs="宋体"/>
          <w:spacing w:val="-9"/>
          <w:sz w:val="21"/>
          <w:szCs w:val="21"/>
        </w:rPr>
        <w:t>日签订了</w:t>
      </w:r>
      <w:r>
        <w:rPr>
          <w:rFonts w:ascii="宋体" w:hAnsi="宋体" w:eastAsia="宋体" w:cs="宋体"/>
          <w:spacing w:val="-105"/>
          <w:sz w:val="21"/>
          <w:szCs w:val="21"/>
        </w:rPr>
        <w:t xml:space="preserve"> </w:t>
      </w:r>
      <w:r>
        <w:rPr>
          <w:rFonts w:ascii="宋体" w:hAnsi="宋体" w:eastAsia="宋体" w:cs="宋体"/>
          <w:spacing w:val="-9"/>
          <w:sz w:val="21"/>
          <w:szCs w:val="21"/>
          <w:u w:val="single" w:color="auto"/>
        </w:rPr>
        <w:t xml:space="preserve">             </w:t>
      </w:r>
      <w:r>
        <w:rPr>
          <w:rFonts w:ascii="宋体" w:hAnsi="宋体" w:eastAsia="宋体" w:cs="宋体"/>
          <w:spacing w:val="-9"/>
          <w:sz w:val="21"/>
          <w:szCs w:val="21"/>
        </w:rPr>
        <w:t xml:space="preserve"> （工程名称）《建设工程施工合同》（以下称“主合同</w:t>
      </w:r>
      <w:r>
        <w:rPr>
          <w:rFonts w:ascii="宋体" w:hAnsi="宋体" w:eastAsia="宋体" w:cs="宋体"/>
          <w:spacing w:val="-81"/>
          <w:sz w:val="21"/>
          <w:szCs w:val="21"/>
        </w:rPr>
        <w:t xml:space="preserve"> </w:t>
      </w:r>
      <w:r>
        <w:rPr>
          <w:rFonts w:ascii="宋体" w:hAnsi="宋体" w:eastAsia="宋体" w:cs="宋体"/>
          <w:spacing w:val="-9"/>
          <w:sz w:val="21"/>
          <w:szCs w:val="21"/>
        </w:rPr>
        <w:t>”</w:t>
      </w:r>
      <w:r>
        <w:rPr>
          <w:rFonts w:ascii="宋体" w:hAnsi="宋体" w:eastAsia="宋体" w:cs="宋体"/>
          <w:spacing w:val="-37"/>
          <w:w w:val="68"/>
          <w:sz w:val="21"/>
          <w:szCs w:val="21"/>
        </w:rPr>
        <w:t>），</w:t>
      </w:r>
      <w:r>
        <w:rPr>
          <w:rFonts w:ascii="宋体" w:hAnsi="宋体" w:eastAsia="宋体" w:cs="宋体"/>
          <w:spacing w:val="-9"/>
          <w:sz w:val="21"/>
          <w:szCs w:val="21"/>
        </w:rPr>
        <w:t>应</w:t>
      </w:r>
      <w:r>
        <w:rPr>
          <w:rFonts w:ascii="宋体" w:hAnsi="宋体" w:eastAsia="宋体" w:cs="宋体"/>
          <w:sz w:val="21"/>
          <w:szCs w:val="21"/>
        </w:rPr>
        <w:t xml:space="preserve"> 发包人的申请，我方愿就发包人履行主合同约定的工程款支付义务</w:t>
      </w:r>
      <w:r>
        <w:rPr>
          <w:rFonts w:ascii="宋体" w:hAnsi="宋体" w:eastAsia="宋体" w:cs="宋体"/>
          <w:spacing w:val="-1"/>
          <w:sz w:val="21"/>
          <w:szCs w:val="21"/>
        </w:rPr>
        <w:t>以保证的方式向你方提</w:t>
      </w:r>
    </w:p>
    <w:p w14:paraId="07142DD5">
      <w:pPr>
        <w:spacing w:line="219" w:lineRule="auto"/>
        <w:ind w:left="18"/>
        <w:rPr>
          <w:rFonts w:ascii="宋体" w:hAnsi="宋体" w:eastAsia="宋体" w:cs="宋体"/>
          <w:sz w:val="21"/>
          <w:szCs w:val="21"/>
        </w:rPr>
      </w:pPr>
      <w:r>
        <w:rPr>
          <w:rFonts w:ascii="宋体" w:hAnsi="宋体" w:eastAsia="宋体" w:cs="宋体"/>
          <w:spacing w:val="-1"/>
          <w:sz w:val="21"/>
          <w:szCs w:val="21"/>
        </w:rPr>
        <w:t>供如下担保：</w:t>
      </w:r>
    </w:p>
    <w:p w14:paraId="21074F5A">
      <w:pPr>
        <w:spacing w:before="157" w:line="220" w:lineRule="auto"/>
        <w:ind w:left="444"/>
        <w:rPr>
          <w:rFonts w:ascii="黑体" w:hAnsi="黑体" w:eastAsia="黑体" w:cs="黑体"/>
          <w:sz w:val="21"/>
          <w:szCs w:val="21"/>
        </w:rPr>
      </w:pPr>
      <w:r>
        <w:rPr>
          <w:rFonts w:ascii="黑体" w:hAnsi="黑体" w:eastAsia="黑体" w:cs="黑体"/>
          <w:spacing w:val="-2"/>
          <w:sz w:val="21"/>
          <w:szCs w:val="21"/>
        </w:rPr>
        <w:t>一、保证的范围及保证金额</w:t>
      </w:r>
    </w:p>
    <w:p w14:paraId="363DC737">
      <w:pPr>
        <w:spacing w:before="96" w:line="221" w:lineRule="auto"/>
        <w:ind w:left="457"/>
        <w:rPr>
          <w:rFonts w:ascii="宋体" w:hAnsi="宋体" w:eastAsia="宋体" w:cs="宋体"/>
          <w:sz w:val="21"/>
          <w:szCs w:val="21"/>
        </w:rPr>
      </w:pPr>
      <w:r>
        <w:rPr>
          <w:rFonts w:ascii="Times New Roman" w:hAnsi="Times New Roman" w:eastAsia="Times New Roman" w:cs="Times New Roman"/>
          <w:spacing w:val="-2"/>
          <w:sz w:val="21"/>
          <w:szCs w:val="21"/>
        </w:rPr>
        <w:t xml:space="preserve">1. </w:t>
      </w:r>
      <w:r>
        <w:rPr>
          <w:rFonts w:ascii="宋体" w:hAnsi="宋体" w:eastAsia="宋体" w:cs="宋体"/>
          <w:spacing w:val="-2"/>
          <w:sz w:val="21"/>
          <w:szCs w:val="21"/>
        </w:rPr>
        <w:t>我方的保证范围是主合同约定的工程款。</w:t>
      </w:r>
    </w:p>
    <w:p w14:paraId="65886F87">
      <w:pPr>
        <w:spacing w:before="157" w:line="408" w:lineRule="exact"/>
        <w:ind w:left="437"/>
        <w:rPr>
          <w:rFonts w:ascii="宋体" w:hAnsi="宋体" w:eastAsia="宋体" w:cs="宋体"/>
          <w:sz w:val="21"/>
          <w:szCs w:val="21"/>
        </w:rPr>
      </w:pPr>
      <w:r>
        <w:rPr>
          <w:rFonts w:ascii="Times New Roman" w:hAnsi="Times New Roman" w:eastAsia="Times New Roman" w:cs="Times New Roman"/>
          <w:position w:val="15"/>
          <w:sz w:val="21"/>
          <w:szCs w:val="21"/>
        </w:rPr>
        <w:t xml:space="preserve">2. </w:t>
      </w:r>
      <w:r>
        <w:rPr>
          <w:rFonts w:ascii="宋体" w:hAnsi="宋体" w:eastAsia="宋体" w:cs="宋体"/>
          <w:position w:val="15"/>
          <w:sz w:val="21"/>
          <w:szCs w:val="21"/>
        </w:rPr>
        <w:t>本保函所称主合同约定的工程款是指主合同约定的除工程质量保证金以外的合</w:t>
      </w:r>
      <w:r>
        <w:rPr>
          <w:rFonts w:ascii="宋体" w:hAnsi="宋体" w:eastAsia="宋体" w:cs="宋体"/>
          <w:spacing w:val="-1"/>
          <w:position w:val="15"/>
          <w:sz w:val="21"/>
          <w:szCs w:val="21"/>
        </w:rPr>
        <w:t>同价</w:t>
      </w:r>
    </w:p>
    <w:p w14:paraId="7D1ED7C3">
      <w:pPr>
        <w:spacing w:line="222" w:lineRule="auto"/>
        <w:ind w:left="19"/>
        <w:rPr>
          <w:rFonts w:ascii="宋体" w:hAnsi="宋体" w:eastAsia="宋体" w:cs="宋体"/>
          <w:sz w:val="21"/>
          <w:szCs w:val="21"/>
        </w:rPr>
      </w:pPr>
      <w:r>
        <w:rPr>
          <w:rFonts w:ascii="宋体" w:hAnsi="宋体" w:eastAsia="宋体" w:cs="宋体"/>
          <w:spacing w:val="-10"/>
          <w:sz w:val="21"/>
          <w:szCs w:val="21"/>
        </w:rPr>
        <w:t>款。</w:t>
      </w:r>
    </w:p>
    <w:p w14:paraId="6E46CD4F">
      <w:pPr>
        <w:spacing w:before="160" w:line="359" w:lineRule="auto"/>
        <w:ind w:left="441"/>
        <w:rPr>
          <w:rFonts w:ascii="宋体" w:hAnsi="宋体" w:eastAsia="宋体" w:cs="宋体"/>
          <w:sz w:val="21"/>
          <w:szCs w:val="21"/>
        </w:rPr>
      </w:pPr>
      <w:r>
        <w:rPr>
          <w:rFonts w:ascii="Times New Roman" w:hAnsi="Times New Roman" w:eastAsia="Times New Roman" w:cs="Times New Roman"/>
          <w:sz w:val="21"/>
          <w:szCs w:val="21"/>
        </w:rPr>
        <w:t xml:space="preserve">3. </w:t>
      </w:r>
      <w:r>
        <w:rPr>
          <w:rFonts w:ascii="宋体" w:hAnsi="宋体" w:eastAsia="宋体" w:cs="宋体"/>
          <w:sz w:val="21"/>
          <w:szCs w:val="21"/>
        </w:rPr>
        <w:t>我方保证的金额是主合同约定的工程款的</w:t>
      </w:r>
      <w:r>
        <w:rPr>
          <w:rFonts w:ascii="宋体" w:hAnsi="宋体" w:eastAsia="宋体" w:cs="宋体"/>
          <w:spacing w:val="-104"/>
          <w:sz w:val="21"/>
          <w:szCs w:val="21"/>
        </w:rPr>
        <w:t xml:space="preserve"> </w:t>
      </w:r>
      <w:r>
        <w:rPr>
          <w:rFonts w:ascii="宋体" w:hAnsi="宋体" w:eastAsia="宋体" w:cs="宋体"/>
          <w:spacing w:val="51"/>
          <w:sz w:val="21"/>
          <w:szCs w:val="21"/>
          <w:u w:val="single" w:color="auto"/>
        </w:rPr>
        <w:t xml:space="preserve">  </w:t>
      </w:r>
      <w:r>
        <w:rPr>
          <w:rFonts w:ascii="宋体" w:hAnsi="宋体" w:eastAsia="宋体" w:cs="宋体"/>
          <w:spacing w:val="-97"/>
          <w:sz w:val="21"/>
          <w:szCs w:val="21"/>
        </w:rPr>
        <w:t xml:space="preserve"> </w:t>
      </w:r>
      <w:r>
        <w:rPr>
          <w:rFonts w:ascii="Times New Roman" w:hAnsi="Times New Roman" w:eastAsia="Times New Roman" w:cs="Times New Roman"/>
          <w:spacing w:val="-1"/>
          <w:sz w:val="21"/>
          <w:szCs w:val="21"/>
        </w:rPr>
        <w:t>%</w:t>
      </w:r>
      <w:r>
        <w:rPr>
          <w:rFonts w:ascii="宋体" w:hAnsi="宋体" w:eastAsia="宋体" w:cs="宋体"/>
          <w:spacing w:val="-1"/>
          <w:sz w:val="21"/>
          <w:szCs w:val="21"/>
        </w:rPr>
        <w:t>，数额最高不超过人民币元（大</w:t>
      </w:r>
    </w:p>
    <w:p w14:paraId="35CFCEDB">
      <w:pPr>
        <w:spacing w:before="1" w:line="222" w:lineRule="auto"/>
        <w:ind w:left="24"/>
        <w:rPr>
          <w:rFonts w:ascii="宋体" w:hAnsi="宋体" w:eastAsia="宋体" w:cs="宋体"/>
          <w:sz w:val="21"/>
          <w:szCs w:val="21"/>
        </w:rPr>
      </w:pPr>
      <w:r>
        <w:rPr>
          <w:rFonts w:ascii="宋体" w:hAnsi="宋体" w:eastAsia="宋体" w:cs="宋体"/>
          <w:spacing w:val="-42"/>
          <w:sz w:val="21"/>
          <w:szCs w:val="21"/>
        </w:rPr>
        <w:t>写</w:t>
      </w:r>
      <w:r>
        <w:rPr>
          <w:rFonts w:ascii="宋体" w:hAnsi="宋体" w:eastAsia="宋体" w:cs="宋体"/>
          <w:spacing w:val="-26"/>
          <w:sz w:val="21"/>
          <w:szCs w:val="21"/>
        </w:rPr>
        <w:t>：</w:t>
      </w:r>
      <w:r>
        <w:rPr>
          <w:rFonts w:ascii="宋体" w:hAnsi="宋体" w:eastAsia="宋体" w:cs="宋体"/>
          <w:spacing w:val="-33"/>
          <w:sz w:val="21"/>
          <w:szCs w:val="21"/>
        </w:rPr>
        <w:t xml:space="preserve"> </w:t>
      </w:r>
      <w:r>
        <w:rPr>
          <w:rFonts w:ascii="宋体" w:hAnsi="宋体" w:eastAsia="宋体" w:cs="宋体"/>
          <w:sz w:val="21"/>
          <w:szCs w:val="21"/>
          <w:u w:val="single" w:color="auto"/>
        </w:rPr>
        <w:t xml:space="preserve">    </w:t>
      </w:r>
      <w:r>
        <w:rPr>
          <w:rFonts w:ascii="宋体" w:hAnsi="宋体" w:eastAsia="宋体" w:cs="宋体"/>
          <w:spacing w:val="-26"/>
          <w:sz w:val="21"/>
          <w:szCs w:val="21"/>
        </w:rPr>
        <w:t>）</w:t>
      </w:r>
      <w:r>
        <w:rPr>
          <w:rFonts w:ascii="宋体" w:hAnsi="宋体" w:eastAsia="宋体" w:cs="宋体"/>
          <w:spacing w:val="-42"/>
          <w:sz w:val="21"/>
          <w:szCs w:val="21"/>
        </w:rPr>
        <w:t>。</w:t>
      </w:r>
    </w:p>
    <w:p w14:paraId="5EC21D40">
      <w:pPr>
        <w:spacing w:before="155" w:line="219" w:lineRule="auto"/>
        <w:ind w:left="444"/>
        <w:rPr>
          <w:rFonts w:ascii="黑体" w:hAnsi="黑体" w:eastAsia="黑体" w:cs="黑体"/>
          <w:sz w:val="21"/>
          <w:szCs w:val="21"/>
        </w:rPr>
      </w:pPr>
      <w:r>
        <w:rPr>
          <w:rFonts w:ascii="黑体" w:hAnsi="黑体" w:eastAsia="黑体" w:cs="黑体"/>
          <w:spacing w:val="-7"/>
          <w:sz w:val="21"/>
          <w:szCs w:val="21"/>
        </w:rPr>
        <w:t>二、</w:t>
      </w:r>
      <w:r>
        <w:rPr>
          <w:rFonts w:ascii="黑体" w:hAnsi="黑体" w:eastAsia="黑体" w:cs="黑体"/>
          <w:spacing w:val="-29"/>
          <w:sz w:val="21"/>
          <w:szCs w:val="21"/>
        </w:rPr>
        <w:t xml:space="preserve"> </w:t>
      </w:r>
      <w:r>
        <w:rPr>
          <w:rFonts w:ascii="黑体" w:hAnsi="黑体" w:eastAsia="黑体" w:cs="黑体"/>
          <w:spacing w:val="-7"/>
          <w:sz w:val="21"/>
          <w:szCs w:val="21"/>
        </w:rPr>
        <w:t>保证的方式及保证期间</w:t>
      </w:r>
    </w:p>
    <w:p w14:paraId="56E5222F">
      <w:pPr>
        <w:spacing w:before="96" w:line="221" w:lineRule="auto"/>
        <w:ind w:left="457"/>
        <w:rPr>
          <w:rFonts w:ascii="宋体" w:hAnsi="宋体" w:eastAsia="宋体" w:cs="宋体"/>
          <w:sz w:val="21"/>
          <w:szCs w:val="21"/>
        </w:rPr>
      </w:pPr>
      <w:r>
        <w:rPr>
          <w:rFonts w:ascii="Times New Roman" w:hAnsi="Times New Roman" w:eastAsia="Times New Roman" w:cs="Times New Roman"/>
          <w:spacing w:val="-3"/>
          <w:sz w:val="21"/>
          <w:szCs w:val="21"/>
        </w:rPr>
        <w:t xml:space="preserve">1. </w:t>
      </w:r>
      <w:r>
        <w:rPr>
          <w:rFonts w:ascii="宋体" w:hAnsi="宋体" w:eastAsia="宋体" w:cs="宋体"/>
          <w:spacing w:val="-3"/>
          <w:sz w:val="21"/>
          <w:szCs w:val="21"/>
        </w:rPr>
        <w:t>我方保证的方式为：连带责任保证。</w:t>
      </w:r>
    </w:p>
    <w:p w14:paraId="2F322658">
      <w:pPr>
        <w:spacing w:before="157" w:line="359" w:lineRule="auto"/>
        <w:ind w:left="437"/>
        <w:rPr>
          <w:rFonts w:ascii="宋体" w:hAnsi="宋体" w:eastAsia="宋体" w:cs="宋体"/>
          <w:sz w:val="21"/>
          <w:szCs w:val="21"/>
        </w:rPr>
      </w:pPr>
      <w:r>
        <w:rPr>
          <w:rFonts w:ascii="Times New Roman" w:hAnsi="Times New Roman" w:eastAsia="Times New Roman" w:cs="Times New Roman"/>
          <w:sz w:val="21"/>
          <w:szCs w:val="21"/>
        </w:rPr>
        <w:t xml:space="preserve">2. </w:t>
      </w:r>
      <w:r>
        <w:rPr>
          <w:rFonts w:ascii="宋体" w:hAnsi="宋体" w:eastAsia="宋体" w:cs="宋体"/>
          <w:sz w:val="21"/>
          <w:szCs w:val="21"/>
        </w:rPr>
        <w:t>我方保证的期间为：自本合同生效之日起至主合同约定的工程款支付</w:t>
      </w:r>
      <w:r>
        <w:rPr>
          <w:rFonts w:ascii="宋体" w:hAnsi="宋体" w:eastAsia="宋体" w:cs="宋体"/>
          <w:spacing w:val="-1"/>
          <w:sz w:val="21"/>
          <w:szCs w:val="21"/>
        </w:rPr>
        <w:t>完毕之日后</w:t>
      </w:r>
      <w:r>
        <w:rPr>
          <w:rFonts w:ascii="宋体" w:hAnsi="宋体" w:eastAsia="宋体" w:cs="宋体"/>
          <w:spacing w:val="-1"/>
          <w:sz w:val="21"/>
          <w:szCs w:val="21"/>
          <w:u w:val="single" w:color="auto"/>
        </w:rPr>
        <w:t xml:space="preserve">  </w:t>
      </w:r>
    </w:p>
    <w:p w14:paraId="55D7B11D">
      <w:pPr>
        <w:spacing w:line="220" w:lineRule="auto"/>
        <w:ind w:left="54"/>
        <w:rPr>
          <w:rFonts w:ascii="宋体" w:hAnsi="宋体" w:eastAsia="宋体" w:cs="宋体"/>
          <w:sz w:val="21"/>
          <w:szCs w:val="21"/>
        </w:rPr>
      </w:pPr>
      <w:r>
        <w:rPr>
          <w:rFonts w:ascii="宋体" w:hAnsi="宋体" w:eastAsia="宋体" w:cs="宋体"/>
          <w:spacing w:val="-17"/>
          <w:sz w:val="21"/>
          <w:szCs w:val="21"/>
        </w:rPr>
        <w:t>日内。</w:t>
      </w:r>
    </w:p>
    <w:p w14:paraId="4A7545BC">
      <w:pPr>
        <w:spacing w:before="157" w:line="408" w:lineRule="exact"/>
        <w:ind w:left="441"/>
        <w:rPr>
          <w:rFonts w:ascii="宋体" w:hAnsi="宋体" w:eastAsia="宋体" w:cs="宋体"/>
          <w:sz w:val="21"/>
          <w:szCs w:val="21"/>
        </w:rPr>
      </w:pPr>
      <w:r>
        <w:rPr>
          <w:rFonts w:ascii="Times New Roman" w:hAnsi="Times New Roman" w:eastAsia="Times New Roman" w:cs="Times New Roman"/>
          <w:position w:val="15"/>
          <w:sz w:val="21"/>
          <w:szCs w:val="21"/>
        </w:rPr>
        <w:t xml:space="preserve">3. </w:t>
      </w:r>
      <w:r>
        <w:rPr>
          <w:rFonts w:ascii="宋体" w:hAnsi="宋体" w:eastAsia="宋体" w:cs="宋体"/>
          <w:position w:val="15"/>
          <w:sz w:val="21"/>
          <w:szCs w:val="21"/>
        </w:rPr>
        <w:t>你方与发包人协议变更工程款支付日期的，经我方书面同意后，保证</w:t>
      </w:r>
      <w:r>
        <w:rPr>
          <w:rFonts w:ascii="宋体" w:hAnsi="宋体" w:eastAsia="宋体" w:cs="宋体"/>
          <w:spacing w:val="-1"/>
          <w:position w:val="15"/>
          <w:sz w:val="21"/>
          <w:szCs w:val="21"/>
        </w:rPr>
        <w:t>期间按照变更</w:t>
      </w:r>
    </w:p>
    <w:p w14:paraId="53877487">
      <w:pPr>
        <w:spacing w:before="1" w:line="220" w:lineRule="auto"/>
        <w:ind w:left="20"/>
        <w:rPr>
          <w:rFonts w:ascii="宋体" w:hAnsi="宋体" w:eastAsia="宋体" w:cs="宋体"/>
          <w:sz w:val="21"/>
          <w:szCs w:val="21"/>
        </w:rPr>
      </w:pPr>
      <w:r>
        <w:rPr>
          <w:rFonts w:ascii="宋体" w:hAnsi="宋体" w:eastAsia="宋体" w:cs="宋体"/>
          <w:spacing w:val="-3"/>
          <w:sz w:val="21"/>
          <w:szCs w:val="21"/>
        </w:rPr>
        <w:t>后的支付日期做相应调整。</w:t>
      </w:r>
    </w:p>
    <w:p w14:paraId="6D40F5D0">
      <w:pPr>
        <w:spacing w:before="158" w:line="219" w:lineRule="auto"/>
        <w:ind w:left="445"/>
        <w:rPr>
          <w:rFonts w:ascii="黑体" w:hAnsi="黑体" w:eastAsia="黑体" w:cs="黑体"/>
          <w:sz w:val="21"/>
          <w:szCs w:val="21"/>
        </w:rPr>
      </w:pPr>
      <w:r>
        <w:rPr>
          <w:rFonts w:ascii="黑体" w:hAnsi="黑体" w:eastAsia="黑体" w:cs="黑体"/>
          <w:spacing w:val="-7"/>
          <w:sz w:val="21"/>
          <w:szCs w:val="21"/>
        </w:rPr>
        <w:t>三、</w:t>
      </w:r>
      <w:r>
        <w:rPr>
          <w:rFonts w:ascii="黑体" w:hAnsi="黑体" w:eastAsia="黑体" w:cs="黑体"/>
          <w:spacing w:val="-36"/>
          <w:sz w:val="21"/>
          <w:szCs w:val="21"/>
        </w:rPr>
        <w:t xml:space="preserve"> </w:t>
      </w:r>
      <w:r>
        <w:rPr>
          <w:rFonts w:ascii="黑体" w:hAnsi="黑体" w:eastAsia="黑体" w:cs="黑体"/>
          <w:spacing w:val="-7"/>
          <w:sz w:val="21"/>
          <w:szCs w:val="21"/>
        </w:rPr>
        <w:t>承担保证责任的形式</w:t>
      </w:r>
    </w:p>
    <w:p w14:paraId="09E96E45">
      <w:pPr>
        <w:spacing w:before="96" w:line="413" w:lineRule="exact"/>
        <w:ind w:left="442"/>
        <w:rPr>
          <w:rFonts w:ascii="宋体" w:hAnsi="宋体" w:eastAsia="宋体" w:cs="宋体"/>
          <w:sz w:val="21"/>
          <w:szCs w:val="21"/>
        </w:rPr>
      </w:pPr>
      <w:r>
        <w:rPr>
          <w:rFonts w:ascii="宋体" w:hAnsi="宋体" w:eastAsia="宋体" w:cs="宋体"/>
          <w:position w:val="15"/>
          <w:sz w:val="21"/>
          <w:szCs w:val="21"/>
        </w:rPr>
        <w:t>我方承担保证责任的形式是代为支付。发包人未按主合同约定向你方</w:t>
      </w:r>
      <w:r>
        <w:rPr>
          <w:rFonts w:ascii="宋体" w:hAnsi="宋体" w:eastAsia="宋体" w:cs="宋体"/>
          <w:spacing w:val="-1"/>
          <w:position w:val="15"/>
          <w:sz w:val="21"/>
          <w:szCs w:val="21"/>
        </w:rPr>
        <w:t>支付工程款的，</w:t>
      </w:r>
    </w:p>
    <w:p w14:paraId="562B36D7">
      <w:pPr>
        <w:spacing w:before="1" w:line="220" w:lineRule="auto"/>
        <w:ind w:left="43"/>
        <w:rPr>
          <w:rFonts w:ascii="宋体" w:hAnsi="宋体" w:eastAsia="宋体" w:cs="宋体"/>
          <w:sz w:val="21"/>
          <w:szCs w:val="21"/>
        </w:rPr>
      </w:pPr>
      <w:r>
        <w:rPr>
          <w:rFonts w:ascii="宋体" w:hAnsi="宋体" w:eastAsia="宋体" w:cs="宋体"/>
          <w:spacing w:val="-2"/>
          <w:sz w:val="21"/>
          <w:szCs w:val="21"/>
        </w:rPr>
        <w:t>由我方在保证金额内代为支付。</w:t>
      </w:r>
    </w:p>
    <w:p w14:paraId="79F7923F">
      <w:pPr>
        <w:spacing w:before="156" w:line="221" w:lineRule="auto"/>
        <w:ind w:left="453"/>
        <w:rPr>
          <w:rFonts w:ascii="黑体" w:hAnsi="黑体" w:eastAsia="黑体" w:cs="黑体"/>
          <w:sz w:val="21"/>
          <w:szCs w:val="21"/>
        </w:rPr>
      </w:pPr>
      <w:r>
        <w:rPr>
          <w:rFonts w:ascii="黑体" w:hAnsi="黑体" w:eastAsia="黑体" w:cs="黑体"/>
          <w:spacing w:val="-12"/>
          <w:sz w:val="21"/>
          <w:szCs w:val="21"/>
        </w:rPr>
        <w:t>四、</w:t>
      </w:r>
      <w:r>
        <w:rPr>
          <w:rFonts w:ascii="黑体" w:hAnsi="黑体" w:eastAsia="黑体" w:cs="黑体"/>
          <w:spacing w:val="-38"/>
          <w:sz w:val="21"/>
          <w:szCs w:val="21"/>
        </w:rPr>
        <w:t xml:space="preserve"> </w:t>
      </w:r>
      <w:r>
        <w:rPr>
          <w:rFonts w:ascii="黑体" w:hAnsi="黑体" w:eastAsia="黑体" w:cs="黑体"/>
          <w:spacing w:val="-12"/>
          <w:sz w:val="21"/>
          <w:szCs w:val="21"/>
        </w:rPr>
        <w:t>代偿的安排</w:t>
      </w:r>
    </w:p>
    <w:p w14:paraId="549267D4">
      <w:pPr>
        <w:spacing w:before="95" w:line="408" w:lineRule="exact"/>
        <w:ind w:left="457"/>
        <w:rPr>
          <w:rFonts w:ascii="宋体" w:hAnsi="宋体" w:eastAsia="宋体" w:cs="宋体"/>
          <w:sz w:val="21"/>
          <w:szCs w:val="21"/>
        </w:rPr>
      </w:pPr>
      <w:r>
        <w:rPr>
          <w:rFonts w:ascii="Times New Roman" w:hAnsi="Times New Roman" w:eastAsia="Times New Roman" w:cs="Times New Roman"/>
          <w:spacing w:val="-1"/>
          <w:position w:val="15"/>
          <w:sz w:val="21"/>
          <w:szCs w:val="21"/>
        </w:rPr>
        <w:t xml:space="preserve">1. </w:t>
      </w:r>
      <w:r>
        <w:rPr>
          <w:rFonts w:ascii="宋体" w:hAnsi="宋体" w:eastAsia="宋体" w:cs="宋体"/>
          <w:spacing w:val="-1"/>
          <w:position w:val="15"/>
          <w:sz w:val="21"/>
          <w:szCs w:val="21"/>
        </w:rPr>
        <w:t>你方要求我方承担保证责任的，应向我方发出书面索赔通知及发包人未支付主合同</w:t>
      </w:r>
    </w:p>
    <w:p w14:paraId="605B8309">
      <w:pPr>
        <w:spacing w:before="1" w:line="219" w:lineRule="auto"/>
        <w:ind w:left="23"/>
        <w:rPr>
          <w:rFonts w:ascii="宋体" w:hAnsi="宋体" w:eastAsia="宋体" w:cs="宋体"/>
          <w:sz w:val="21"/>
          <w:szCs w:val="21"/>
        </w:rPr>
      </w:pPr>
      <w:r>
        <w:rPr>
          <w:rFonts w:ascii="宋体" w:hAnsi="宋体" w:eastAsia="宋体" w:cs="宋体"/>
          <w:sz w:val="21"/>
          <w:szCs w:val="21"/>
        </w:rPr>
        <w:t>约定工程款的证明材料。索赔通知应写明要求索赔的金额，支</w:t>
      </w:r>
      <w:r>
        <w:rPr>
          <w:rFonts w:ascii="宋体" w:hAnsi="宋体" w:eastAsia="宋体" w:cs="宋体"/>
          <w:spacing w:val="-1"/>
          <w:sz w:val="21"/>
          <w:szCs w:val="21"/>
        </w:rPr>
        <w:t>付款项应到达的账号。</w:t>
      </w:r>
    </w:p>
    <w:p w14:paraId="0210F607">
      <w:pPr>
        <w:spacing w:before="158" w:line="221" w:lineRule="auto"/>
        <w:ind w:left="437"/>
        <w:rPr>
          <w:rFonts w:ascii="宋体" w:hAnsi="宋体" w:eastAsia="宋体" w:cs="宋体"/>
          <w:sz w:val="21"/>
          <w:szCs w:val="21"/>
        </w:rPr>
      </w:pPr>
      <w:r>
        <w:rPr>
          <w:rFonts w:ascii="Times New Roman" w:hAnsi="Times New Roman" w:eastAsia="Times New Roman" w:cs="Times New Roman"/>
          <w:sz w:val="21"/>
          <w:szCs w:val="21"/>
        </w:rPr>
        <w:t xml:space="preserve">2. </w:t>
      </w:r>
      <w:r>
        <w:rPr>
          <w:rFonts w:ascii="宋体" w:hAnsi="宋体" w:eastAsia="宋体" w:cs="宋体"/>
          <w:sz w:val="21"/>
          <w:szCs w:val="21"/>
        </w:rPr>
        <w:t>在出现你方与发包人因工程质量发生争议，发包人拒绝向你方支付工程款的</w:t>
      </w:r>
      <w:r>
        <w:rPr>
          <w:rFonts w:ascii="宋体" w:hAnsi="宋体" w:eastAsia="宋体" w:cs="宋体"/>
          <w:spacing w:val="-1"/>
          <w:sz w:val="21"/>
          <w:szCs w:val="21"/>
        </w:rPr>
        <w:t>情形</w:t>
      </w:r>
    </w:p>
    <w:p w14:paraId="1AD3D2FE">
      <w:pPr>
        <w:spacing w:before="157" w:line="408" w:lineRule="exact"/>
        <w:ind w:left="28"/>
        <w:rPr>
          <w:rFonts w:ascii="宋体" w:hAnsi="宋体" w:eastAsia="宋体" w:cs="宋体"/>
          <w:sz w:val="21"/>
          <w:szCs w:val="21"/>
        </w:rPr>
      </w:pPr>
      <w:r>
        <w:rPr>
          <w:rFonts w:ascii="宋体" w:hAnsi="宋体" w:eastAsia="宋体" w:cs="宋体"/>
          <w:position w:val="14"/>
          <w:sz w:val="21"/>
          <w:szCs w:val="21"/>
        </w:rPr>
        <w:t>时，你方要求我方履行保证责任代为支付的，需提供</w:t>
      </w:r>
      <w:r>
        <w:rPr>
          <w:rFonts w:ascii="宋体" w:hAnsi="宋体" w:eastAsia="宋体" w:cs="宋体"/>
          <w:spacing w:val="-1"/>
          <w:position w:val="14"/>
          <w:sz w:val="21"/>
          <w:szCs w:val="21"/>
        </w:rPr>
        <w:t>符合相应条件要求的工程质量检测机</w:t>
      </w:r>
    </w:p>
    <w:p w14:paraId="4370F12B">
      <w:pPr>
        <w:spacing w:before="1" w:line="219" w:lineRule="auto"/>
        <w:ind w:left="20"/>
        <w:rPr>
          <w:rFonts w:ascii="宋体" w:hAnsi="宋体" w:eastAsia="宋体" w:cs="宋体"/>
          <w:sz w:val="21"/>
          <w:szCs w:val="21"/>
        </w:rPr>
      </w:pPr>
      <w:r>
        <w:rPr>
          <w:rFonts w:ascii="宋体" w:hAnsi="宋体" w:eastAsia="宋体" w:cs="宋体"/>
          <w:spacing w:val="-2"/>
          <w:sz w:val="21"/>
          <w:szCs w:val="21"/>
        </w:rPr>
        <w:t>构出具的质量说明材料。</w:t>
      </w:r>
    </w:p>
    <w:p w14:paraId="2703002C">
      <w:pPr>
        <w:spacing w:before="158" w:line="220" w:lineRule="auto"/>
        <w:ind w:left="441"/>
        <w:rPr>
          <w:rFonts w:ascii="宋体" w:hAnsi="宋体" w:eastAsia="宋体" w:cs="宋体"/>
          <w:sz w:val="21"/>
          <w:szCs w:val="21"/>
        </w:rPr>
      </w:pPr>
      <w:r>
        <w:rPr>
          <w:rFonts w:ascii="Times New Roman" w:hAnsi="Times New Roman" w:eastAsia="Times New Roman" w:cs="Times New Roman"/>
          <w:spacing w:val="2"/>
          <w:sz w:val="21"/>
          <w:szCs w:val="21"/>
        </w:rPr>
        <w:t xml:space="preserve">3. </w:t>
      </w:r>
      <w:r>
        <w:rPr>
          <w:rFonts w:ascii="宋体" w:hAnsi="宋体" w:eastAsia="宋体" w:cs="宋体"/>
          <w:spacing w:val="2"/>
          <w:sz w:val="21"/>
          <w:szCs w:val="21"/>
        </w:rPr>
        <w:t>我方收到你方的书面索赔通知及相应的证明材料后7天内无条件支付。</w:t>
      </w:r>
    </w:p>
    <w:p w14:paraId="50F4C36D">
      <w:pPr>
        <w:spacing w:before="158" w:line="219" w:lineRule="auto"/>
        <w:ind w:left="446"/>
        <w:rPr>
          <w:rFonts w:ascii="黑体" w:hAnsi="黑体" w:eastAsia="黑体" w:cs="黑体"/>
          <w:sz w:val="21"/>
          <w:szCs w:val="21"/>
        </w:rPr>
      </w:pPr>
      <w:r>
        <w:rPr>
          <w:rFonts w:ascii="黑体" w:hAnsi="黑体" w:eastAsia="黑体" w:cs="黑体"/>
          <w:spacing w:val="-1"/>
          <w:sz w:val="21"/>
          <w:szCs w:val="21"/>
        </w:rPr>
        <w:t>五、保证责任的解除</w:t>
      </w:r>
    </w:p>
    <w:p w14:paraId="298AE86C">
      <w:pPr>
        <w:spacing w:before="101" w:line="408" w:lineRule="exact"/>
        <w:ind w:left="457"/>
        <w:rPr>
          <w:rFonts w:ascii="宋体" w:hAnsi="宋体" w:eastAsia="宋体" w:cs="宋体"/>
          <w:sz w:val="21"/>
          <w:szCs w:val="21"/>
        </w:rPr>
      </w:pPr>
      <w:r>
        <w:rPr>
          <w:rFonts w:ascii="Times New Roman" w:hAnsi="Times New Roman" w:eastAsia="Times New Roman" w:cs="Times New Roman"/>
          <w:spacing w:val="-1"/>
          <w:position w:val="15"/>
          <w:sz w:val="21"/>
          <w:szCs w:val="21"/>
        </w:rPr>
        <w:t xml:space="preserve">1. </w:t>
      </w:r>
      <w:r>
        <w:rPr>
          <w:rFonts w:ascii="宋体" w:hAnsi="宋体" w:eastAsia="宋体" w:cs="宋体"/>
          <w:spacing w:val="-1"/>
          <w:position w:val="15"/>
          <w:sz w:val="21"/>
          <w:szCs w:val="21"/>
        </w:rPr>
        <w:t>在本保函承诺的保证期间内，你方未书面向我方主张保证责任的，自保证期间届满</w:t>
      </w:r>
    </w:p>
    <w:p w14:paraId="25D99362">
      <w:pPr>
        <w:spacing w:before="1" w:line="220" w:lineRule="auto"/>
        <w:ind w:left="24"/>
        <w:rPr>
          <w:rFonts w:ascii="宋体" w:hAnsi="宋体" w:eastAsia="宋体" w:cs="宋体"/>
          <w:sz w:val="21"/>
          <w:szCs w:val="21"/>
        </w:rPr>
      </w:pPr>
      <w:r>
        <w:rPr>
          <w:rFonts w:ascii="宋体" w:hAnsi="宋体" w:eastAsia="宋体" w:cs="宋体"/>
          <w:spacing w:val="-3"/>
          <w:sz w:val="21"/>
          <w:szCs w:val="21"/>
        </w:rPr>
        <w:t>次日起，我方保证责任解除。</w:t>
      </w:r>
    </w:p>
    <w:p w14:paraId="3A659916">
      <w:pPr>
        <w:spacing w:before="157" w:line="220" w:lineRule="auto"/>
        <w:ind w:left="437"/>
        <w:rPr>
          <w:rFonts w:ascii="宋体" w:hAnsi="宋体" w:eastAsia="宋体" w:cs="宋体"/>
          <w:sz w:val="21"/>
          <w:szCs w:val="21"/>
        </w:rPr>
      </w:pPr>
      <w:r>
        <w:rPr>
          <w:rFonts w:ascii="Times New Roman" w:hAnsi="Times New Roman" w:eastAsia="Times New Roman" w:cs="Times New Roman"/>
          <w:sz w:val="21"/>
          <w:szCs w:val="21"/>
        </w:rPr>
        <w:t xml:space="preserve">2. </w:t>
      </w:r>
      <w:r>
        <w:rPr>
          <w:rFonts w:ascii="宋体" w:hAnsi="宋体" w:eastAsia="宋体" w:cs="宋体"/>
          <w:sz w:val="21"/>
          <w:szCs w:val="21"/>
        </w:rPr>
        <w:t>发包人按主合同约定履行了工程款的全部支付义务的，自本保函承诺的保证期</w:t>
      </w:r>
      <w:r>
        <w:rPr>
          <w:rFonts w:ascii="宋体" w:hAnsi="宋体" w:eastAsia="宋体" w:cs="宋体"/>
          <w:spacing w:val="-1"/>
          <w:sz w:val="21"/>
          <w:szCs w:val="21"/>
        </w:rPr>
        <w:t>间届</w:t>
      </w:r>
    </w:p>
    <w:p w14:paraId="365A7779">
      <w:pPr>
        <w:spacing w:line="220" w:lineRule="auto"/>
        <w:rPr>
          <w:rFonts w:ascii="宋体" w:hAnsi="宋体" w:eastAsia="宋体" w:cs="宋体"/>
          <w:sz w:val="21"/>
          <w:szCs w:val="21"/>
        </w:rPr>
        <w:sectPr>
          <w:footerReference r:id="rId155" w:type="default"/>
          <w:pgSz w:w="11905" w:h="16839"/>
          <w:pgMar w:top="400" w:right="1785" w:bottom="1004" w:left="1785" w:header="0" w:footer="828" w:gutter="0"/>
          <w:pgNumType w:fmt="decimal"/>
          <w:cols w:space="720" w:num="1"/>
        </w:sectPr>
      </w:pPr>
    </w:p>
    <w:p w14:paraId="751A9A24">
      <w:pPr>
        <w:pStyle w:val="3"/>
        <w:spacing w:line="248" w:lineRule="auto"/>
      </w:pPr>
    </w:p>
    <w:p w14:paraId="43BF1748">
      <w:pPr>
        <w:pStyle w:val="3"/>
        <w:spacing w:line="249" w:lineRule="auto"/>
      </w:pPr>
    </w:p>
    <w:p w14:paraId="7C96619A">
      <w:pPr>
        <w:pStyle w:val="3"/>
        <w:spacing w:line="249" w:lineRule="auto"/>
      </w:pPr>
    </w:p>
    <w:p w14:paraId="4122C5E9">
      <w:pPr>
        <w:pStyle w:val="3"/>
        <w:spacing w:line="249" w:lineRule="auto"/>
      </w:pPr>
    </w:p>
    <w:p w14:paraId="02841ED4">
      <w:pPr>
        <w:spacing w:before="68" w:line="221" w:lineRule="auto"/>
        <w:ind w:left="18"/>
        <w:rPr>
          <w:rFonts w:ascii="宋体" w:hAnsi="宋体" w:eastAsia="宋体" w:cs="宋体"/>
          <w:sz w:val="21"/>
          <w:szCs w:val="21"/>
        </w:rPr>
      </w:pPr>
      <w:bookmarkStart w:id="1279" w:name="bookmark233"/>
      <w:bookmarkEnd w:id="1279"/>
      <w:r>
        <w:rPr>
          <w:rFonts w:ascii="宋体" w:hAnsi="宋体" w:eastAsia="宋体" w:cs="宋体"/>
          <w:spacing w:val="-12"/>
          <w:sz w:val="21"/>
          <w:szCs w:val="21"/>
        </w:rPr>
        <w:t>满次日起，</w:t>
      </w:r>
      <w:r>
        <w:rPr>
          <w:rFonts w:ascii="宋体" w:hAnsi="宋体" w:eastAsia="宋体" w:cs="宋体"/>
          <w:spacing w:val="59"/>
          <w:sz w:val="21"/>
          <w:szCs w:val="21"/>
        </w:rPr>
        <w:t xml:space="preserve"> </w:t>
      </w:r>
      <w:r>
        <w:rPr>
          <w:rFonts w:ascii="宋体" w:hAnsi="宋体" w:eastAsia="宋体" w:cs="宋体"/>
          <w:spacing w:val="-12"/>
          <w:sz w:val="21"/>
          <w:szCs w:val="21"/>
        </w:rPr>
        <w:t>我方保证责任解除。</w:t>
      </w:r>
    </w:p>
    <w:p w14:paraId="6A199E46">
      <w:pPr>
        <w:spacing w:before="157" w:line="408" w:lineRule="exact"/>
        <w:ind w:left="441"/>
        <w:rPr>
          <w:rFonts w:ascii="宋体" w:hAnsi="宋体" w:eastAsia="宋体" w:cs="宋体"/>
          <w:sz w:val="21"/>
          <w:szCs w:val="21"/>
        </w:rPr>
      </w:pPr>
      <w:r>
        <w:rPr>
          <w:rFonts w:ascii="Times New Roman" w:hAnsi="Times New Roman" w:eastAsia="Times New Roman" w:cs="Times New Roman"/>
          <w:position w:val="15"/>
          <w:sz w:val="21"/>
          <w:szCs w:val="21"/>
        </w:rPr>
        <w:t xml:space="preserve">3. </w:t>
      </w:r>
      <w:r>
        <w:rPr>
          <w:rFonts w:ascii="宋体" w:hAnsi="宋体" w:eastAsia="宋体" w:cs="宋体"/>
          <w:position w:val="15"/>
          <w:sz w:val="21"/>
          <w:szCs w:val="21"/>
        </w:rPr>
        <w:t>我方按照本保函向你方履行保证责任所支付金额达到本保函保</w:t>
      </w:r>
      <w:r>
        <w:rPr>
          <w:rFonts w:ascii="宋体" w:hAnsi="宋体" w:eastAsia="宋体" w:cs="宋体"/>
          <w:spacing w:val="-1"/>
          <w:position w:val="15"/>
          <w:sz w:val="21"/>
          <w:szCs w:val="21"/>
        </w:rPr>
        <w:t>证金额时，自我方向</w:t>
      </w:r>
    </w:p>
    <w:p w14:paraId="1B66C567">
      <w:pPr>
        <w:spacing w:line="220" w:lineRule="auto"/>
        <w:ind w:left="19"/>
        <w:rPr>
          <w:rFonts w:ascii="宋体" w:hAnsi="宋体" w:eastAsia="宋体" w:cs="宋体"/>
          <w:sz w:val="21"/>
          <w:szCs w:val="21"/>
        </w:rPr>
      </w:pPr>
      <w:r>
        <w:rPr>
          <w:rFonts w:ascii="宋体" w:hAnsi="宋体" w:eastAsia="宋体" w:cs="宋体"/>
          <w:spacing w:val="-7"/>
          <w:sz w:val="21"/>
          <w:szCs w:val="21"/>
        </w:rPr>
        <w:t>你方支付（支付款项从我方账户划出） 之日起， 保证责任即解除。</w:t>
      </w:r>
    </w:p>
    <w:p w14:paraId="3A490148">
      <w:pPr>
        <w:spacing w:before="157" w:line="408" w:lineRule="exact"/>
        <w:ind w:left="436"/>
        <w:rPr>
          <w:rFonts w:ascii="宋体" w:hAnsi="宋体" w:eastAsia="宋体" w:cs="宋体"/>
          <w:sz w:val="21"/>
          <w:szCs w:val="21"/>
        </w:rPr>
      </w:pPr>
      <w:r>
        <w:rPr>
          <w:rFonts w:ascii="Times New Roman" w:hAnsi="Times New Roman" w:eastAsia="Times New Roman" w:cs="Times New Roman"/>
          <w:position w:val="15"/>
          <w:sz w:val="21"/>
          <w:szCs w:val="21"/>
        </w:rPr>
        <w:t xml:space="preserve">4. </w:t>
      </w:r>
      <w:r>
        <w:rPr>
          <w:rFonts w:ascii="宋体" w:hAnsi="宋体" w:eastAsia="宋体" w:cs="宋体"/>
          <w:position w:val="15"/>
          <w:sz w:val="21"/>
          <w:szCs w:val="21"/>
        </w:rPr>
        <w:t>按照法律法规的规定或出现应解除我方保证责任的其他情形的，我方在本保函项下</w:t>
      </w:r>
    </w:p>
    <w:p w14:paraId="49E4D32A">
      <w:pPr>
        <w:spacing w:line="220" w:lineRule="auto"/>
        <w:ind w:left="35"/>
        <w:rPr>
          <w:rFonts w:ascii="宋体" w:hAnsi="宋体" w:eastAsia="宋体" w:cs="宋体"/>
          <w:sz w:val="21"/>
          <w:szCs w:val="21"/>
        </w:rPr>
      </w:pPr>
      <w:r>
        <w:rPr>
          <w:rFonts w:ascii="宋体" w:hAnsi="宋体" w:eastAsia="宋体" w:cs="宋体"/>
          <w:spacing w:val="-5"/>
          <w:sz w:val="21"/>
          <w:szCs w:val="21"/>
        </w:rPr>
        <w:t>的保证责任亦解除。</w:t>
      </w:r>
    </w:p>
    <w:p w14:paraId="564FAC3F">
      <w:pPr>
        <w:pStyle w:val="3"/>
        <w:spacing w:line="450" w:lineRule="auto"/>
      </w:pPr>
    </w:p>
    <w:p w14:paraId="2C83EB36">
      <w:pPr>
        <w:spacing w:before="69" w:line="409" w:lineRule="exact"/>
        <w:ind w:right="21"/>
        <w:jc w:val="right"/>
        <w:rPr>
          <w:sz w:val="21"/>
          <w:szCs w:val="21"/>
        </w:rPr>
      </w:pPr>
      <w:r>
        <w:rPr>
          <w:rFonts w:ascii="Times New Roman" w:hAnsi="Times New Roman" w:eastAsia="Times New Roman" w:cs="Times New Roman"/>
          <w:spacing w:val="-3"/>
          <w:position w:val="15"/>
          <w:sz w:val="21"/>
          <w:szCs w:val="21"/>
        </w:rPr>
        <w:t xml:space="preserve">5. </w:t>
      </w:r>
      <w:r>
        <w:rPr>
          <w:rFonts w:ascii="宋体" w:hAnsi="宋体" w:eastAsia="宋体" w:cs="宋体"/>
          <w:spacing w:val="-3"/>
          <w:position w:val="15"/>
          <w:sz w:val="21"/>
          <w:szCs w:val="21"/>
        </w:rPr>
        <w:t>我方解除保证责任后，你方应自我方保证责任解除之日起 个工作日内， 将本保函原</w:t>
      </w:r>
      <w:r>
        <w:rPr>
          <w:position w:val="12"/>
          <w:sz w:val="21"/>
          <w:szCs w:val="21"/>
        </w:rPr>
        <w:drawing>
          <wp:inline distT="0" distB="0" distL="0" distR="0">
            <wp:extent cx="0" cy="5715"/>
            <wp:effectExtent l="0" t="0" r="0" b="0"/>
            <wp:docPr id="4" name="IM 4"/>
            <wp:cNvGraphicFramePr/>
            <a:graphic xmlns:a="http://schemas.openxmlformats.org/drawingml/2006/main">
              <a:graphicData uri="http://schemas.openxmlformats.org/drawingml/2006/picture">
                <pic:pic xmlns:pic="http://schemas.openxmlformats.org/drawingml/2006/picture">
                  <pic:nvPicPr>
                    <pic:cNvPr id="4" name="IM 4"/>
                    <pic:cNvPicPr/>
                  </pic:nvPicPr>
                  <pic:blipFill>
                    <a:blip r:embed="rId238"/>
                    <a:stretch>
                      <a:fillRect/>
                    </a:stretch>
                  </pic:blipFill>
                  <pic:spPr>
                    <a:xfrm>
                      <a:off x="0" y="0"/>
                      <a:ext cx="0" cy="6095"/>
                    </a:xfrm>
                    <a:prstGeom prst="rect">
                      <a:avLst/>
                    </a:prstGeom>
                  </pic:spPr>
                </pic:pic>
              </a:graphicData>
            </a:graphic>
          </wp:inline>
        </w:drawing>
      </w:r>
    </w:p>
    <w:p w14:paraId="78717C73">
      <w:pPr>
        <w:spacing w:line="220" w:lineRule="auto"/>
        <w:ind w:left="17"/>
        <w:rPr>
          <w:rFonts w:ascii="宋体" w:hAnsi="宋体" w:eastAsia="宋体" w:cs="宋体"/>
          <w:sz w:val="21"/>
          <w:szCs w:val="21"/>
        </w:rPr>
      </w:pPr>
      <w:r>
        <w:rPr>
          <w:rFonts w:ascii="宋体" w:hAnsi="宋体" w:eastAsia="宋体" w:cs="宋体"/>
          <w:spacing w:val="-1"/>
          <w:sz w:val="21"/>
          <w:szCs w:val="21"/>
        </w:rPr>
        <w:t>件返还我方。</w:t>
      </w:r>
    </w:p>
    <w:p w14:paraId="1F9856E4">
      <w:pPr>
        <w:spacing w:before="158" w:line="219" w:lineRule="auto"/>
        <w:ind w:left="447"/>
        <w:rPr>
          <w:rFonts w:ascii="黑体" w:hAnsi="黑体" w:eastAsia="黑体" w:cs="黑体"/>
          <w:sz w:val="21"/>
          <w:szCs w:val="21"/>
        </w:rPr>
      </w:pPr>
      <w:r>
        <w:rPr>
          <w:rFonts w:ascii="黑体" w:hAnsi="黑体" w:eastAsia="黑体" w:cs="黑体"/>
          <w:spacing w:val="-14"/>
          <w:sz w:val="21"/>
          <w:szCs w:val="21"/>
        </w:rPr>
        <w:t>六、</w:t>
      </w:r>
      <w:r>
        <w:rPr>
          <w:rFonts w:ascii="黑体" w:hAnsi="黑体" w:eastAsia="黑体" w:cs="黑体"/>
          <w:spacing w:val="-33"/>
          <w:sz w:val="21"/>
          <w:szCs w:val="21"/>
        </w:rPr>
        <w:t xml:space="preserve"> </w:t>
      </w:r>
      <w:r>
        <w:rPr>
          <w:rFonts w:ascii="黑体" w:hAnsi="黑体" w:eastAsia="黑体" w:cs="黑体"/>
          <w:spacing w:val="-14"/>
          <w:sz w:val="21"/>
          <w:szCs w:val="21"/>
        </w:rPr>
        <w:t>免责条款</w:t>
      </w:r>
    </w:p>
    <w:p w14:paraId="2A900BA3">
      <w:pPr>
        <w:spacing w:before="95" w:line="221" w:lineRule="auto"/>
        <w:ind w:left="457"/>
        <w:rPr>
          <w:rFonts w:ascii="宋体" w:hAnsi="宋体" w:eastAsia="宋体" w:cs="宋体"/>
          <w:sz w:val="21"/>
          <w:szCs w:val="21"/>
        </w:rPr>
      </w:pPr>
      <w:r>
        <w:rPr>
          <w:rFonts w:ascii="Times New Roman" w:hAnsi="Times New Roman" w:eastAsia="Times New Roman" w:cs="Times New Roman"/>
          <w:spacing w:val="-2"/>
          <w:sz w:val="21"/>
          <w:szCs w:val="21"/>
        </w:rPr>
        <w:t>1.</w:t>
      </w:r>
      <w:r>
        <w:rPr>
          <w:rFonts w:ascii="Times New Roman" w:hAnsi="Times New Roman" w:eastAsia="Times New Roman" w:cs="Times New Roman"/>
          <w:spacing w:val="38"/>
          <w:w w:val="101"/>
          <w:sz w:val="21"/>
          <w:szCs w:val="21"/>
        </w:rPr>
        <w:t xml:space="preserve"> </w:t>
      </w:r>
      <w:r>
        <w:rPr>
          <w:rFonts w:ascii="宋体" w:hAnsi="宋体" w:eastAsia="宋体" w:cs="宋体"/>
          <w:spacing w:val="-2"/>
          <w:sz w:val="21"/>
          <w:szCs w:val="21"/>
        </w:rPr>
        <w:t>因你方违约致使发包人不能履行义务的，我方不承担保证责任。</w:t>
      </w:r>
    </w:p>
    <w:p w14:paraId="7BF14FC6">
      <w:pPr>
        <w:spacing w:before="158" w:line="412" w:lineRule="exact"/>
        <w:ind w:left="437"/>
        <w:rPr>
          <w:rFonts w:ascii="宋体" w:hAnsi="宋体" w:eastAsia="宋体" w:cs="宋体"/>
          <w:sz w:val="21"/>
          <w:szCs w:val="21"/>
        </w:rPr>
      </w:pPr>
      <w:r>
        <w:rPr>
          <w:rFonts w:ascii="Times New Roman" w:hAnsi="Times New Roman" w:eastAsia="Times New Roman" w:cs="Times New Roman"/>
          <w:spacing w:val="-2"/>
          <w:position w:val="15"/>
          <w:sz w:val="21"/>
          <w:szCs w:val="21"/>
        </w:rPr>
        <w:t xml:space="preserve">2. </w:t>
      </w:r>
      <w:r>
        <w:rPr>
          <w:rFonts w:ascii="宋体" w:hAnsi="宋体" w:eastAsia="宋体" w:cs="宋体"/>
          <w:spacing w:val="-2"/>
          <w:position w:val="15"/>
          <w:sz w:val="21"/>
          <w:szCs w:val="21"/>
        </w:rPr>
        <w:t>依照法律法规的规定或你方与发包人的另行约定，</w:t>
      </w:r>
      <w:r>
        <w:rPr>
          <w:rFonts w:ascii="宋体" w:hAnsi="宋体" w:eastAsia="宋体" w:cs="宋体"/>
          <w:spacing w:val="-22"/>
          <w:position w:val="15"/>
          <w:sz w:val="21"/>
          <w:szCs w:val="21"/>
        </w:rPr>
        <w:t xml:space="preserve"> </w:t>
      </w:r>
      <w:r>
        <w:rPr>
          <w:rFonts w:ascii="宋体" w:hAnsi="宋体" w:eastAsia="宋体" w:cs="宋体"/>
          <w:spacing w:val="-2"/>
          <w:position w:val="15"/>
          <w:sz w:val="21"/>
          <w:szCs w:val="21"/>
        </w:rPr>
        <w:t>免除发包人部分</w:t>
      </w:r>
      <w:r>
        <w:rPr>
          <w:rFonts w:ascii="宋体" w:hAnsi="宋体" w:eastAsia="宋体" w:cs="宋体"/>
          <w:spacing w:val="-3"/>
          <w:position w:val="15"/>
          <w:sz w:val="21"/>
          <w:szCs w:val="21"/>
        </w:rPr>
        <w:t>或全部义务的，</w:t>
      </w:r>
    </w:p>
    <w:p w14:paraId="7BFDFB8C">
      <w:pPr>
        <w:spacing w:before="1" w:line="220" w:lineRule="auto"/>
        <w:ind w:left="20"/>
        <w:rPr>
          <w:rFonts w:ascii="宋体" w:hAnsi="宋体" w:eastAsia="宋体" w:cs="宋体"/>
          <w:sz w:val="21"/>
          <w:szCs w:val="21"/>
        </w:rPr>
      </w:pPr>
      <w:r>
        <w:rPr>
          <w:rFonts w:ascii="宋体" w:hAnsi="宋体" w:eastAsia="宋体" w:cs="宋体"/>
          <w:spacing w:val="-1"/>
          <w:sz w:val="21"/>
          <w:szCs w:val="21"/>
        </w:rPr>
        <w:t>我方亦免除其相应的保证责任。</w:t>
      </w:r>
    </w:p>
    <w:p w14:paraId="08174796">
      <w:pPr>
        <w:spacing w:before="157" w:line="359" w:lineRule="auto"/>
        <w:ind w:left="20" w:right="29" w:firstLine="420"/>
        <w:rPr>
          <w:rFonts w:ascii="宋体" w:hAnsi="宋体" w:eastAsia="宋体" w:cs="宋体"/>
          <w:sz w:val="21"/>
          <w:szCs w:val="21"/>
        </w:rPr>
      </w:pPr>
      <w:r>
        <w:rPr>
          <w:rFonts w:ascii="Times New Roman" w:hAnsi="Times New Roman" w:eastAsia="Times New Roman" w:cs="Times New Roman"/>
          <w:spacing w:val="-4"/>
          <w:sz w:val="21"/>
          <w:szCs w:val="21"/>
        </w:rPr>
        <w:t xml:space="preserve">3. </w:t>
      </w:r>
      <w:r>
        <w:rPr>
          <w:rFonts w:ascii="宋体" w:hAnsi="宋体" w:eastAsia="宋体" w:cs="宋体"/>
          <w:spacing w:val="-4"/>
          <w:sz w:val="21"/>
          <w:szCs w:val="21"/>
        </w:rPr>
        <w:t>你方与发包人协议变更主合同的，如加重发包人责任致使我方保证责任加重的，</w:t>
      </w:r>
      <w:r>
        <w:rPr>
          <w:rFonts w:ascii="宋体" w:hAnsi="宋体" w:eastAsia="宋体" w:cs="宋体"/>
          <w:spacing w:val="42"/>
          <w:sz w:val="21"/>
          <w:szCs w:val="21"/>
        </w:rPr>
        <w:t xml:space="preserve"> </w:t>
      </w:r>
      <w:r>
        <w:rPr>
          <w:rFonts w:ascii="宋体" w:hAnsi="宋体" w:eastAsia="宋体" w:cs="宋体"/>
          <w:spacing w:val="-4"/>
          <w:sz w:val="21"/>
          <w:szCs w:val="21"/>
        </w:rPr>
        <w:t>需</w:t>
      </w:r>
      <w:r>
        <w:rPr>
          <w:rFonts w:ascii="宋体" w:hAnsi="宋体" w:eastAsia="宋体" w:cs="宋体"/>
          <w:sz w:val="21"/>
          <w:szCs w:val="21"/>
        </w:rPr>
        <w:t xml:space="preserve">  </w:t>
      </w:r>
      <w:r>
        <w:rPr>
          <w:rFonts w:ascii="宋体" w:hAnsi="宋体" w:eastAsia="宋体" w:cs="宋体"/>
          <w:spacing w:val="-3"/>
          <w:sz w:val="21"/>
          <w:szCs w:val="21"/>
        </w:rPr>
        <w:t>征得我方书面同意， 否则我方不再承担因此</w:t>
      </w:r>
      <w:r>
        <w:rPr>
          <w:rFonts w:ascii="宋体" w:hAnsi="宋体" w:eastAsia="宋体" w:cs="宋体"/>
          <w:spacing w:val="-4"/>
          <w:sz w:val="21"/>
          <w:szCs w:val="21"/>
        </w:rPr>
        <w:t>而加重部分的保证责任，但主合同第</w:t>
      </w:r>
      <w:r>
        <w:rPr>
          <w:rFonts w:ascii="宋体" w:hAnsi="宋体" w:eastAsia="宋体" w:cs="宋体"/>
          <w:spacing w:val="-24"/>
          <w:sz w:val="21"/>
          <w:szCs w:val="21"/>
        </w:rPr>
        <w:t xml:space="preserve"> </w:t>
      </w:r>
      <w:r>
        <w:rPr>
          <w:rFonts w:ascii="Times New Roman" w:hAnsi="Times New Roman" w:eastAsia="Times New Roman" w:cs="Times New Roman"/>
          <w:spacing w:val="-4"/>
          <w:sz w:val="21"/>
          <w:szCs w:val="21"/>
        </w:rPr>
        <w:t xml:space="preserve">10 </w:t>
      </w:r>
      <w:r>
        <w:rPr>
          <w:rFonts w:ascii="宋体" w:hAnsi="宋体" w:eastAsia="宋体" w:cs="宋体"/>
          <w:spacing w:val="-4"/>
          <w:sz w:val="21"/>
          <w:szCs w:val="21"/>
        </w:rPr>
        <w:t>条〔变</w:t>
      </w:r>
    </w:p>
    <w:p w14:paraId="56FB30F9">
      <w:pPr>
        <w:spacing w:before="1" w:line="219" w:lineRule="auto"/>
        <w:ind w:left="20"/>
        <w:rPr>
          <w:rFonts w:ascii="宋体" w:hAnsi="宋体" w:eastAsia="宋体" w:cs="宋体"/>
          <w:sz w:val="21"/>
          <w:szCs w:val="21"/>
        </w:rPr>
      </w:pPr>
      <w:r>
        <w:rPr>
          <w:rFonts w:ascii="宋体" w:hAnsi="宋体" w:eastAsia="宋体" w:cs="宋体"/>
          <w:spacing w:val="-1"/>
          <w:sz w:val="21"/>
          <w:szCs w:val="21"/>
        </w:rPr>
        <w:t>更〕约定的变更不受本款限制。</w:t>
      </w:r>
    </w:p>
    <w:p w14:paraId="4D9461FF">
      <w:pPr>
        <w:spacing w:before="157" w:line="221" w:lineRule="auto"/>
        <w:ind w:left="436"/>
        <w:rPr>
          <w:rFonts w:ascii="宋体" w:hAnsi="宋体" w:eastAsia="宋体" w:cs="宋体"/>
          <w:sz w:val="21"/>
          <w:szCs w:val="21"/>
        </w:rPr>
      </w:pPr>
      <w:r>
        <w:rPr>
          <w:rFonts w:ascii="Times New Roman" w:hAnsi="Times New Roman" w:eastAsia="Times New Roman" w:cs="Times New Roman"/>
          <w:spacing w:val="-1"/>
          <w:sz w:val="21"/>
          <w:szCs w:val="21"/>
        </w:rPr>
        <w:t>4.</w:t>
      </w:r>
      <w:r>
        <w:rPr>
          <w:rFonts w:ascii="Times New Roman" w:hAnsi="Times New Roman" w:eastAsia="Times New Roman" w:cs="Times New Roman"/>
          <w:spacing w:val="30"/>
          <w:sz w:val="21"/>
          <w:szCs w:val="21"/>
        </w:rPr>
        <w:t xml:space="preserve"> </w:t>
      </w:r>
      <w:r>
        <w:rPr>
          <w:rFonts w:ascii="宋体" w:hAnsi="宋体" w:eastAsia="宋体" w:cs="宋体"/>
          <w:spacing w:val="-1"/>
          <w:sz w:val="21"/>
          <w:szCs w:val="21"/>
        </w:rPr>
        <w:t>因不可抗力造成发包人不能履行义务的，我方不承担保证责任。</w:t>
      </w:r>
    </w:p>
    <w:p w14:paraId="1E846642">
      <w:pPr>
        <w:spacing w:before="158" w:line="220" w:lineRule="auto"/>
        <w:ind w:left="440"/>
        <w:rPr>
          <w:rFonts w:ascii="黑体" w:hAnsi="黑体" w:eastAsia="黑体" w:cs="黑体"/>
          <w:sz w:val="21"/>
          <w:szCs w:val="21"/>
        </w:rPr>
      </w:pPr>
      <w:r>
        <w:rPr>
          <w:rFonts w:ascii="黑体" w:hAnsi="黑体" w:eastAsia="黑体" w:cs="黑体"/>
          <w:spacing w:val="-14"/>
          <w:sz w:val="21"/>
          <w:szCs w:val="21"/>
        </w:rPr>
        <w:t>七、</w:t>
      </w:r>
      <w:r>
        <w:rPr>
          <w:rFonts w:ascii="黑体" w:hAnsi="黑体" w:eastAsia="黑体" w:cs="黑体"/>
          <w:spacing w:val="-26"/>
          <w:sz w:val="21"/>
          <w:szCs w:val="21"/>
        </w:rPr>
        <w:t xml:space="preserve"> </w:t>
      </w:r>
      <w:r>
        <w:rPr>
          <w:rFonts w:ascii="黑体" w:hAnsi="黑体" w:eastAsia="黑体" w:cs="黑体"/>
          <w:spacing w:val="-14"/>
          <w:sz w:val="21"/>
          <w:szCs w:val="21"/>
        </w:rPr>
        <w:t>争议解决</w:t>
      </w:r>
    </w:p>
    <w:p w14:paraId="243B8147">
      <w:pPr>
        <w:spacing w:before="95" w:line="408" w:lineRule="exact"/>
        <w:ind w:right="6"/>
        <w:jc w:val="right"/>
        <w:rPr>
          <w:rFonts w:ascii="宋体" w:hAnsi="宋体" w:eastAsia="宋体" w:cs="宋体"/>
          <w:sz w:val="21"/>
          <w:szCs w:val="21"/>
        </w:rPr>
      </w:pPr>
      <w:r>
        <w:rPr>
          <w:rFonts w:ascii="宋体" w:hAnsi="宋体" w:eastAsia="宋体" w:cs="宋体"/>
          <w:spacing w:val="-3"/>
          <w:position w:val="15"/>
          <w:sz w:val="21"/>
          <w:szCs w:val="21"/>
        </w:rPr>
        <w:t>因本保函或本保函相关事项发生的纠纷， 可由双方协商解决，协商不成的， 按下列第</w:t>
      </w:r>
    </w:p>
    <w:p w14:paraId="75656C52">
      <w:pPr>
        <w:spacing w:before="1" w:line="220" w:lineRule="auto"/>
        <w:ind w:left="18"/>
        <w:rPr>
          <w:rFonts w:ascii="宋体" w:hAnsi="宋体" w:eastAsia="宋体" w:cs="宋体"/>
          <w:sz w:val="21"/>
          <w:szCs w:val="21"/>
        </w:rPr>
      </w:pPr>
      <w:r>
        <w:rPr>
          <w:rFonts w:ascii="宋体" w:hAnsi="宋体" w:eastAsia="宋体" w:cs="宋体"/>
          <w:spacing w:val="-1"/>
          <w:sz w:val="21"/>
          <w:szCs w:val="21"/>
        </w:rPr>
        <w:t>种方式解决：</w:t>
      </w:r>
    </w:p>
    <w:p w14:paraId="32697720">
      <w:pPr>
        <w:spacing w:before="277" w:line="359" w:lineRule="auto"/>
        <w:ind w:left="447"/>
        <w:rPr>
          <w:rFonts w:ascii="宋体" w:hAnsi="宋体" w:eastAsia="宋体" w:cs="宋体"/>
          <w:sz w:val="21"/>
          <w:szCs w:val="21"/>
        </w:rPr>
      </w:pPr>
      <w:r>
        <w:rPr>
          <w:rFonts w:ascii="宋体" w:hAnsi="宋体" w:eastAsia="宋体" w:cs="宋体"/>
          <w:spacing w:val="-5"/>
          <w:sz w:val="21"/>
          <w:szCs w:val="21"/>
        </w:rPr>
        <w:t>（</w:t>
      </w:r>
      <w:r>
        <w:rPr>
          <w:rFonts w:ascii="Times New Roman" w:hAnsi="Times New Roman" w:eastAsia="Times New Roman" w:cs="Times New Roman"/>
          <w:spacing w:val="-5"/>
          <w:sz w:val="21"/>
          <w:szCs w:val="21"/>
        </w:rPr>
        <w:t>1</w:t>
      </w:r>
      <w:r>
        <w:rPr>
          <w:rFonts w:ascii="宋体" w:hAnsi="宋体" w:eastAsia="宋体" w:cs="宋体"/>
          <w:spacing w:val="-5"/>
          <w:sz w:val="21"/>
          <w:szCs w:val="21"/>
        </w:rPr>
        <w:t>）向</w:t>
      </w:r>
      <w:r>
        <w:rPr>
          <w:rFonts w:ascii="宋体" w:hAnsi="宋体" w:eastAsia="宋体" w:cs="宋体"/>
          <w:spacing w:val="-76"/>
          <w:sz w:val="21"/>
          <w:szCs w:val="21"/>
        </w:rPr>
        <w:t xml:space="preserve"> </w:t>
      </w:r>
      <w:r>
        <w:rPr>
          <w:rFonts w:ascii="宋体" w:hAnsi="宋体" w:eastAsia="宋体" w:cs="宋体"/>
          <w:spacing w:val="5"/>
          <w:sz w:val="21"/>
          <w:szCs w:val="21"/>
          <w:u w:val="single" w:color="auto"/>
        </w:rPr>
        <w:t xml:space="preserve">          </w:t>
      </w:r>
      <w:r>
        <w:rPr>
          <w:rFonts w:ascii="宋体" w:hAnsi="宋体" w:eastAsia="宋体" w:cs="宋体"/>
          <w:spacing w:val="-98"/>
          <w:sz w:val="21"/>
          <w:szCs w:val="21"/>
        </w:rPr>
        <w:t xml:space="preserve"> </w:t>
      </w:r>
      <w:r>
        <w:rPr>
          <w:rFonts w:ascii="宋体" w:hAnsi="宋体" w:eastAsia="宋体" w:cs="宋体"/>
          <w:spacing w:val="-5"/>
          <w:sz w:val="21"/>
          <w:szCs w:val="21"/>
        </w:rPr>
        <w:t>仲裁委员会申请仲裁；</w:t>
      </w:r>
    </w:p>
    <w:p w14:paraId="2C96F58B">
      <w:pPr>
        <w:spacing w:line="221" w:lineRule="auto"/>
        <w:ind w:left="447"/>
        <w:rPr>
          <w:rFonts w:ascii="宋体" w:hAnsi="宋体" w:eastAsia="宋体" w:cs="宋体"/>
          <w:sz w:val="21"/>
          <w:szCs w:val="21"/>
        </w:rPr>
      </w:pPr>
      <w:r>
        <w:rPr>
          <w:rFonts w:ascii="宋体" w:hAnsi="宋体" w:eastAsia="宋体" w:cs="宋体"/>
          <w:spacing w:val="-6"/>
          <w:sz w:val="21"/>
          <w:szCs w:val="21"/>
        </w:rPr>
        <w:t>（</w:t>
      </w:r>
      <w:r>
        <w:rPr>
          <w:rFonts w:ascii="Times New Roman" w:hAnsi="Times New Roman" w:eastAsia="Times New Roman" w:cs="Times New Roman"/>
          <w:spacing w:val="-6"/>
          <w:sz w:val="21"/>
          <w:szCs w:val="21"/>
        </w:rPr>
        <w:t>2</w:t>
      </w:r>
      <w:r>
        <w:rPr>
          <w:rFonts w:ascii="宋体" w:hAnsi="宋体" w:eastAsia="宋体" w:cs="宋体"/>
          <w:spacing w:val="-6"/>
          <w:sz w:val="21"/>
          <w:szCs w:val="21"/>
        </w:rPr>
        <w:t>）向</w:t>
      </w:r>
      <w:r>
        <w:rPr>
          <w:rFonts w:ascii="宋体" w:hAnsi="宋体" w:eastAsia="宋体" w:cs="宋体"/>
          <w:spacing w:val="-78"/>
          <w:sz w:val="21"/>
          <w:szCs w:val="21"/>
        </w:rPr>
        <w:t xml:space="preserve"> </w:t>
      </w:r>
      <w:r>
        <w:rPr>
          <w:rFonts w:ascii="宋体" w:hAnsi="宋体" w:eastAsia="宋体" w:cs="宋体"/>
          <w:spacing w:val="5"/>
          <w:sz w:val="21"/>
          <w:szCs w:val="21"/>
          <w:u w:val="single" w:color="auto"/>
        </w:rPr>
        <w:t xml:space="preserve">          </w:t>
      </w:r>
      <w:r>
        <w:rPr>
          <w:rFonts w:ascii="宋体" w:hAnsi="宋体" w:eastAsia="宋体" w:cs="宋体"/>
          <w:spacing w:val="-95"/>
          <w:sz w:val="21"/>
          <w:szCs w:val="21"/>
        </w:rPr>
        <w:t xml:space="preserve"> </w:t>
      </w:r>
      <w:r>
        <w:rPr>
          <w:rFonts w:ascii="宋体" w:hAnsi="宋体" w:eastAsia="宋体" w:cs="宋体"/>
          <w:spacing w:val="-6"/>
          <w:sz w:val="21"/>
          <w:szCs w:val="21"/>
        </w:rPr>
        <w:t>人民法院起诉。</w:t>
      </w:r>
    </w:p>
    <w:p w14:paraId="3EC258D6">
      <w:pPr>
        <w:spacing w:before="162" w:line="219" w:lineRule="auto"/>
        <w:ind w:left="441"/>
        <w:rPr>
          <w:rFonts w:ascii="黑体" w:hAnsi="黑体" w:eastAsia="黑体" w:cs="黑体"/>
          <w:sz w:val="21"/>
          <w:szCs w:val="21"/>
        </w:rPr>
      </w:pPr>
      <w:r>
        <w:rPr>
          <w:rFonts w:ascii="黑体" w:hAnsi="黑体" w:eastAsia="黑体" w:cs="黑体"/>
          <w:spacing w:val="-1"/>
          <w:sz w:val="21"/>
          <w:szCs w:val="21"/>
        </w:rPr>
        <w:t>八、保函的生效</w:t>
      </w:r>
    </w:p>
    <w:p w14:paraId="5FCE359B">
      <w:pPr>
        <w:spacing w:before="96" w:line="220" w:lineRule="auto"/>
        <w:ind w:left="442"/>
        <w:rPr>
          <w:rFonts w:ascii="宋体" w:hAnsi="宋体" w:eastAsia="宋体" w:cs="宋体"/>
          <w:sz w:val="21"/>
          <w:szCs w:val="21"/>
        </w:rPr>
      </w:pPr>
      <w:r>
        <w:rPr>
          <w:rFonts w:ascii="宋体" w:hAnsi="宋体" w:eastAsia="宋体" w:cs="宋体"/>
          <w:sz w:val="21"/>
          <w:szCs w:val="21"/>
        </w:rPr>
        <w:t>本保函自我方法定代表人（或其授权代理人）签字并加盖公章</w:t>
      </w:r>
      <w:r>
        <w:rPr>
          <w:rFonts w:ascii="宋体" w:hAnsi="宋体" w:eastAsia="宋体" w:cs="宋体"/>
          <w:spacing w:val="-1"/>
          <w:sz w:val="21"/>
          <w:szCs w:val="21"/>
        </w:rPr>
        <w:t>之日起生效。</w:t>
      </w:r>
    </w:p>
    <w:p w14:paraId="2A4195BC">
      <w:pPr>
        <w:pStyle w:val="3"/>
        <w:spacing w:line="284" w:lineRule="auto"/>
      </w:pPr>
    </w:p>
    <w:p w14:paraId="3525C3EE">
      <w:pPr>
        <w:pStyle w:val="3"/>
        <w:spacing w:line="284" w:lineRule="auto"/>
      </w:pPr>
    </w:p>
    <w:p w14:paraId="731382D4">
      <w:pPr>
        <w:pStyle w:val="3"/>
        <w:spacing w:line="284" w:lineRule="auto"/>
      </w:pPr>
    </w:p>
    <w:p w14:paraId="51300D8A">
      <w:pPr>
        <w:spacing w:before="69" w:line="220" w:lineRule="auto"/>
        <w:ind w:left="2646"/>
        <w:rPr>
          <w:rFonts w:ascii="宋体" w:hAnsi="宋体" w:eastAsia="宋体" w:cs="宋体"/>
          <w:sz w:val="21"/>
          <w:szCs w:val="21"/>
        </w:rPr>
      </w:pPr>
      <w:r>
        <w:rPr>
          <w:rFonts w:ascii="宋体" w:hAnsi="宋体" w:eastAsia="宋体" w:cs="宋体"/>
          <w:spacing w:val="-16"/>
          <w:sz w:val="21"/>
          <w:szCs w:val="21"/>
        </w:rPr>
        <w:t>担保人</w:t>
      </w:r>
      <w:r>
        <w:rPr>
          <w:rFonts w:ascii="宋体" w:hAnsi="宋体" w:eastAsia="宋体" w:cs="宋体"/>
          <w:spacing w:val="-13"/>
          <w:sz w:val="21"/>
          <w:szCs w:val="21"/>
        </w:rPr>
        <w:t>：</w:t>
      </w:r>
      <w:r>
        <w:rPr>
          <w:rFonts w:ascii="宋体" w:hAnsi="宋体" w:eastAsia="宋体" w:cs="宋体"/>
          <w:spacing w:val="10"/>
          <w:sz w:val="21"/>
          <w:szCs w:val="21"/>
        </w:rPr>
        <w:t xml:space="preserve"> </w:t>
      </w:r>
      <w:r>
        <w:rPr>
          <w:rFonts w:ascii="宋体" w:hAnsi="宋体" w:eastAsia="宋体" w:cs="宋体"/>
          <w:sz w:val="21"/>
          <w:szCs w:val="21"/>
          <w:u w:val="single" w:color="auto"/>
        </w:rPr>
        <w:t xml:space="preserve">                                </w:t>
      </w:r>
      <w:r>
        <w:rPr>
          <w:rFonts w:ascii="宋体" w:hAnsi="宋体" w:eastAsia="宋体" w:cs="宋体"/>
          <w:spacing w:val="-13"/>
          <w:sz w:val="21"/>
          <w:szCs w:val="21"/>
        </w:rPr>
        <w:t>（</w:t>
      </w:r>
      <w:r>
        <w:rPr>
          <w:rFonts w:ascii="宋体" w:hAnsi="宋体" w:eastAsia="宋体" w:cs="宋体"/>
          <w:spacing w:val="-16"/>
          <w:sz w:val="21"/>
          <w:szCs w:val="21"/>
        </w:rPr>
        <w:t>盖章）</w:t>
      </w:r>
    </w:p>
    <w:p w14:paraId="7550ABA3">
      <w:pPr>
        <w:spacing w:before="157" w:line="221" w:lineRule="auto"/>
        <w:ind w:left="2646"/>
        <w:rPr>
          <w:rFonts w:ascii="宋体" w:hAnsi="宋体" w:eastAsia="宋体" w:cs="宋体"/>
          <w:sz w:val="21"/>
          <w:szCs w:val="21"/>
        </w:rPr>
      </w:pPr>
      <w:r>
        <w:rPr>
          <w:rFonts w:ascii="宋体" w:hAnsi="宋体" w:eastAsia="宋体" w:cs="宋体"/>
          <w:spacing w:val="-13"/>
          <w:sz w:val="21"/>
          <w:szCs w:val="21"/>
        </w:rPr>
        <w:t>法定代表人或委托代理人</w:t>
      </w:r>
      <w:r>
        <w:rPr>
          <w:rFonts w:ascii="宋体" w:hAnsi="宋体" w:eastAsia="宋体" w:cs="宋体"/>
          <w:spacing w:val="4"/>
          <w:sz w:val="21"/>
          <w:szCs w:val="21"/>
        </w:rPr>
        <w:t>：</w:t>
      </w:r>
      <w:r>
        <w:rPr>
          <w:rFonts w:ascii="宋体" w:hAnsi="宋体" w:eastAsia="宋体" w:cs="宋体"/>
          <w:spacing w:val="-1"/>
          <w:sz w:val="21"/>
          <w:szCs w:val="21"/>
        </w:rPr>
        <w:t xml:space="preserve"> </w:t>
      </w:r>
      <w:r>
        <w:rPr>
          <w:rFonts w:ascii="宋体" w:hAnsi="宋体" w:eastAsia="宋体" w:cs="宋体"/>
          <w:spacing w:val="11"/>
          <w:sz w:val="21"/>
          <w:szCs w:val="21"/>
          <w:u w:val="single" w:color="auto"/>
        </w:rPr>
        <w:t xml:space="preserve">         </w:t>
      </w:r>
      <w:r>
        <w:rPr>
          <w:rFonts w:ascii="宋体" w:hAnsi="宋体" w:eastAsia="宋体" w:cs="宋体"/>
          <w:spacing w:val="-15"/>
          <w:sz w:val="21"/>
          <w:szCs w:val="21"/>
        </w:rPr>
        <w:t xml:space="preserve"> </w:t>
      </w:r>
      <w:r>
        <w:rPr>
          <w:rFonts w:ascii="宋体" w:hAnsi="宋体" w:eastAsia="宋体" w:cs="宋体"/>
          <w:spacing w:val="4"/>
          <w:sz w:val="21"/>
          <w:szCs w:val="21"/>
        </w:rPr>
        <w:t>（</w:t>
      </w:r>
      <w:r>
        <w:rPr>
          <w:rFonts w:ascii="宋体" w:hAnsi="宋体" w:eastAsia="宋体" w:cs="宋体"/>
          <w:spacing w:val="-13"/>
          <w:sz w:val="21"/>
          <w:szCs w:val="21"/>
        </w:rPr>
        <w:t>签字）</w:t>
      </w:r>
    </w:p>
    <w:p w14:paraId="54B4C6FB">
      <w:pPr>
        <w:spacing w:before="162" w:line="230" w:lineRule="auto"/>
        <w:ind w:left="2645"/>
        <w:rPr>
          <w:rFonts w:ascii="宋体" w:hAnsi="宋体" w:eastAsia="宋体" w:cs="宋体"/>
          <w:sz w:val="21"/>
          <w:szCs w:val="21"/>
        </w:rPr>
      </w:pPr>
      <w:r>
        <w:rPr>
          <w:rFonts w:ascii="宋体" w:hAnsi="宋体" w:eastAsia="宋体" w:cs="宋体"/>
          <w:spacing w:val="-29"/>
          <w:w w:val="99"/>
          <w:sz w:val="21"/>
          <w:szCs w:val="21"/>
        </w:rPr>
        <w:t>地</w:t>
      </w:r>
      <w:r>
        <w:rPr>
          <w:rFonts w:ascii="宋体" w:hAnsi="宋体" w:eastAsia="宋体" w:cs="宋体"/>
          <w:spacing w:val="4"/>
          <w:sz w:val="21"/>
          <w:szCs w:val="21"/>
        </w:rPr>
        <w:t xml:space="preserve">    </w:t>
      </w:r>
      <w:r>
        <w:rPr>
          <w:rFonts w:ascii="宋体" w:hAnsi="宋体" w:eastAsia="宋体" w:cs="宋体"/>
          <w:spacing w:val="-29"/>
          <w:w w:val="99"/>
          <w:sz w:val="21"/>
          <w:szCs w:val="21"/>
        </w:rPr>
        <w:t>址：</w:t>
      </w:r>
      <w:r>
        <w:rPr>
          <w:rFonts w:ascii="宋体" w:hAnsi="宋体" w:eastAsia="宋体" w:cs="宋体"/>
          <w:spacing w:val="-31"/>
          <w:sz w:val="21"/>
          <w:szCs w:val="21"/>
        </w:rPr>
        <w:t xml:space="preserve"> </w:t>
      </w:r>
      <w:r>
        <w:rPr>
          <w:rFonts w:ascii="宋体" w:hAnsi="宋体" w:eastAsia="宋体" w:cs="宋体"/>
          <w:sz w:val="21"/>
          <w:szCs w:val="21"/>
          <w:u w:val="single" w:color="auto"/>
        </w:rPr>
        <w:t xml:space="preserve">                                        </w:t>
      </w:r>
    </w:p>
    <w:p w14:paraId="0CDD1917">
      <w:pPr>
        <w:spacing w:before="146" w:line="221" w:lineRule="auto"/>
        <w:ind w:left="2661"/>
        <w:rPr>
          <w:rFonts w:ascii="宋体" w:hAnsi="宋体" w:eastAsia="宋体" w:cs="宋体"/>
          <w:sz w:val="21"/>
          <w:szCs w:val="21"/>
        </w:rPr>
      </w:pPr>
      <w:r>
        <w:rPr>
          <w:rFonts w:ascii="宋体" w:hAnsi="宋体" w:eastAsia="宋体" w:cs="宋体"/>
          <w:spacing w:val="-24"/>
          <w:w w:val="98"/>
          <w:sz w:val="21"/>
          <w:szCs w:val="21"/>
        </w:rPr>
        <w:t>邮政编码：</w:t>
      </w:r>
      <w:r>
        <w:rPr>
          <w:rFonts w:ascii="宋体" w:hAnsi="宋体" w:eastAsia="宋体" w:cs="宋体"/>
          <w:spacing w:val="17"/>
          <w:sz w:val="21"/>
          <w:szCs w:val="21"/>
        </w:rPr>
        <w:t xml:space="preserve"> </w:t>
      </w:r>
      <w:r>
        <w:rPr>
          <w:rFonts w:ascii="宋体" w:hAnsi="宋体" w:eastAsia="宋体" w:cs="宋体"/>
          <w:sz w:val="21"/>
          <w:szCs w:val="21"/>
          <w:u w:val="single" w:color="auto"/>
        </w:rPr>
        <w:t xml:space="preserve">                                        </w:t>
      </w:r>
    </w:p>
    <w:p w14:paraId="6F3706E4">
      <w:pPr>
        <w:spacing w:before="157" w:line="220" w:lineRule="auto"/>
        <w:ind w:left="2643"/>
        <w:rPr>
          <w:rFonts w:ascii="宋体" w:hAnsi="宋体" w:eastAsia="宋体" w:cs="宋体"/>
          <w:sz w:val="21"/>
          <w:szCs w:val="21"/>
        </w:rPr>
      </w:pPr>
      <w:r>
        <w:rPr>
          <w:rFonts w:ascii="宋体" w:hAnsi="宋体" w:eastAsia="宋体" w:cs="宋体"/>
          <w:spacing w:val="-28"/>
          <w:w w:val="99"/>
          <w:sz w:val="21"/>
          <w:szCs w:val="21"/>
        </w:rPr>
        <w:t>传</w:t>
      </w:r>
      <w:r>
        <w:rPr>
          <w:rFonts w:ascii="宋体" w:hAnsi="宋体" w:eastAsia="宋体" w:cs="宋体"/>
          <w:spacing w:val="3"/>
          <w:sz w:val="21"/>
          <w:szCs w:val="21"/>
        </w:rPr>
        <w:t xml:space="preserve">    </w:t>
      </w:r>
      <w:r>
        <w:rPr>
          <w:rFonts w:ascii="宋体" w:hAnsi="宋体" w:eastAsia="宋体" w:cs="宋体"/>
          <w:spacing w:val="-28"/>
          <w:w w:val="99"/>
          <w:sz w:val="21"/>
          <w:szCs w:val="21"/>
        </w:rPr>
        <w:t>真：</w:t>
      </w:r>
      <w:r>
        <w:rPr>
          <w:rFonts w:ascii="宋体" w:hAnsi="宋体" w:eastAsia="宋体" w:cs="宋体"/>
          <w:spacing w:val="-29"/>
          <w:sz w:val="21"/>
          <w:szCs w:val="21"/>
        </w:rPr>
        <w:t xml:space="preserve"> </w:t>
      </w:r>
      <w:r>
        <w:rPr>
          <w:rFonts w:ascii="宋体" w:hAnsi="宋体" w:eastAsia="宋体" w:cs="宋体"/>
          <w:sz w:val="21"/>
          <w:szCs w:val="21"/>
          <w:u w:val="single" w:color="auto"/>
        </w:rPr>
        <w:t xml:space="preserve">                                        </w:t>
      </w:r>
    </w:p>
    <w:p w14:paraId="1BC3B7E9">
      <w:pPr>
        <w:pStyle w:val="3"/>
        <w:spacing w:line="247" w:lineRule="auto"/>
      </w:pPr>
    </w:p>
    <w:p w14:paraId="4CE80E03">
      <w:pPr>
        <w:pStyle w:val="3"/>
        <w:spacing w:line="247" w:lineRule="auto"/>
      </w:pPr>
    </w:p>
    <w:p w14:paraId="62D3C951">
      <w:pPr>
        <w:tabs>
          <w:tab w:val="left" w:pos="5580"/>
        </w:tabs>
        <w:spacing w:before="69" w:line="221" w:lineRule="auto"/>
        <w:ind w:left="4010"/>
        <w:rPr>
          <w:rFonts w:ascii="宋体" w:hAnsi="宋体" w:eastAsia="宋体" w:cs="宋体"/>
          <w:sz w:val="21"/>
          <w:szCs w:val="21"/>
        </w:rPr>
      </w:pPr>
      <w:r>
        <w:rPr>
          <w:rFonts w:ascii="宋体" w:hAnsi="宋体" w:eastAsia="宋体" w:cs="宋体"/>
          <w:sz w:val="21"/>
          <w:szCs w:val="21"/>
          <w:u w:val="single" w:color="auto"/>
        </w:rPr>
        <w:tab/>
      </w:r>
      <w:r>
        <w:rPr>
          <w:rFonts w:ascii="宋体" w:hAnsi="宋体" w:eastAsia="宋体" w:cs="宋体"/>
          <w:spacing w:val="-96"/>
          <w:sz w:val="21"/>
          <w:szCs w:val="21"/>
        </w:rPr>
        <w:t xml:space="preserve"> </w:t>
      </w:r>
      <w:r>
        <w:rPr>
          <w:rFonts w:ascii="宋体" w:hAnsi="宋体" w:eastAsia="宋体" w:cs="宋体"/>
          <w:spacing w:val="-7"/>
          <w:sz w:val="21"/>
          <w:szCs w:val="21"/>
        </w:rPr>
        <w:t>年</w:t>
      </w:r>
      <w:r>
        <w:rPr>
          <w:rFonts w:ascii="宋体" w:hAnsi="宋体" w:eastAsia="宋体" w:cs="宋体"/>
          <w:spacing w:val="20"/>
          <w:sz w:val="21"/>
          <w:szCs w:val="21"/>
          <w:u w:val="single" w:color="auto"/>
        </w:rPr>
        <w:t xml:space="preserve">     </w:t>
      </w:r>
      <w:r>
        <w:rPr>
          <w:rFonts w:ascii="宋体" w:hAnsi="宋体" w:eastAsia="宋体" w:cs="宋体"/>
          <w:spacing w:val="-87"/>
          <w:sz w:val="21"/>
          <w:szCs w:val="21"/>
        </w:rPr>
        <w:t xml:space="preserve"> </w:t>
      </w:r>
      <w:r>
        <w:rPr>
          <w:rFonts w:ascii="宋体" w:hAnsi="宋体" w:eastAsia="宋体" w:cs="宋体"/>
          <w:spacing w:val="-7"/>
          <w:sz w:val="21"/>
          <w:szCs w:val="21"/>
        </w:rPr>
        <w:t>月</w:t>
      </w:r>
      <w:r>
        <w:rPr>
          <w:rFonts w:ascii="宋体" w:hAnsi="宋体" w:eastAsia="宋体" w:cs="宋体"/>
          <w:spacing w:val="20"/>
          <w:sz w:val="21"/>
          <w:szCs w:val="21"/>
          <w:u w:val="single" w:color="auto"/>
        </w:rPr>
        <w:t xml:space="preserve">     </w:t>
      </w:r>
      <w:r>
        <w:rPr>
          <w:rFonts w:ascii="宋体" w:hAnsi="宋体" w:eastAsia="宋体" w:cs="宋体"/>
          <w:spacing w:val="-57"/>
          <w:sz w:val="21"/>
          <w:szCs w:val="21"/>
        </w:rPr>
        <w:t xml:space="preserve"> </w:t>
      </w:r>
      <w:r>
        <w:rPr>
          <w:rFonts w:ascii="宋体" w:hAnsi="宋体" w:eastAsia="宋体" w:cs="宋体"/>
          <w:spacing w:val="-7"/>
          <w:sz w:val="21"/>
          <w:szCs w:val="21"/>
        </w:rPr>
        <w:t>日</w:t>
      </w:r>
    </w:p>
    <w:p w14:paraId="4FEA5576">
      <w:pPr>
        <w:spacing w:line="221" w:lineRule="auto"/>
        <w:rPr>
          <w:rFonts w:ascii="宋体" w:hAnsi="宋体" w:eastAsia="宋体" w:cs="宋体"/>
          <w:sz w:val="21"/>
          <w:szCs w:val="21"/>
        </w:rPr>
        <w:sectPr>
          <w:footerReference r:id="rId156" w:type="default"/>
          <w:pgSz w:w="11905" w:h="16839"/>
          <w:pgMar w:top="400" w:right="1785" w:bottom="1004" w:left="1785" w:header="0" w:footer="828" w:gutter="0"/>
          <w:pgNumType w:fmt="decimal"/>
          <w:cols w:space="720" w:num="1"/>
        </w:sectPr>
      </w:pPr>
    </w:p>
    <w:p w14:paraId="45EEC005">
      <w:pPr>
        <w:pStyle w:val="3"/>
        <w:spacing w:line="276" w:lineRule="auto"/>
      </w:pPr>
    </w:p>
    <w:p w14:paraId="5518B8F5">
      <w:pPr>
        <w:pStyle w:val="3"/>
        <w:spacing w:line="276" w:lineRule="auto"/>
      </w:pPr>
    </w:p>
    <w:p w14:paraId="3FAFB4AD">
      <w:pPr>
        <w:pStyle w:val="3"/>
        <w:spacing w:line="276" w:lineRule="auto"/>
      </w:pPr>
    </w:p>
    <w:p w14:paraId="173E355F">
      <w:pPr>
        <w:pStyle w:val="3"/>
        <w:spacing w:line="276" w:lineRule="auto"/>
      </w:pPr>
    </w:p>
    <w:p w14:paraId="7537DB6F">
      <w:pPr>
        <w:spacing w:before="78" w:line="219" w:lineRule="auto"/>
        <w:ind w:left="143"/>
        <w:rPr>
          <w:rFonts w:ascii="宋体" w:hAnsi="宋体" w:eastAsia="宋体" w:cs="宋体"/>
          <w:sz w:val="24"/>
          <w:szCs w:val="24"/>
        </w:rPr>
      </w:pPr>
      <w:r>
        <w:rPr>
          <w:rFonts w:ascii="宋体" w:hAnsi="宋体" w:eastAsia="宋体" w:cs="宋体"/>
          <w:spacing w:val="-14"/>
          <w:sz w:val="24"/>
          <w:szCs w:val="24"/>
        </w:rPr>
        <w:t>附件</w:t>
      </w:r>
      <w:r>
        <w:rPr>
          <w:rFonts w:ascii="宋体" w:hAnsi="宋体" w:eastAsia="宋体" w:cs="宋体"/>
          <w:spacing w:val="-31"/>
          <w:sz w:val="24"/>
          <w:szCs w:val="24"/>
        </w:rPr>
        <w:t xml:space="preserve"> </w:t>
      </w:r>
      <w:r>
        <w:rPr>
          <w:rFonts w:ascii="Times New Roman" w:hAnsi="Times New Roman" w:eastAsia="Times New Roman" w:cs="Times New Roman"/>
          <w:spacing w:val="-14"/>
          <w:sz w:val="24"/>
          <w:szCs w:val="24"/>
        </w:rPr>
        <w:t>11</w:t>
      </w:r>
      <w:r>
        <w:rPr>
          <w:rFonts w:ascii="宋体" w:hAnsi="宋体" w:eastAsia="宋体" w:cs="宋体"/>
          <w:spacing w:val="-14"/>
          <w:sz w:val="24"/>
          <w:szCs w:val="24"/>
        </w:rPr>
        <w:t>：</w:t>
      </w:r>
    </w:p>
    <w:p w14:paraId="48F765CB">
      <w:pPr>
        <w:spacing w:before="243" w:line="225" w:lineRule="auto"/>
        <w:ind w:left="3072"/>
        <w:rPr>
          <w:rFonts w:ascii="黑体" w:hAnsi="黑体" w:eastAsia="黑体" w:cs="黑体"/>
          <w:sz w:val="27"/>
          <w:szCs w:val="27"/>
        </w:rPr>
      </w:pPr>
      <w:bookmarkStart w:id="1280" w:name="bookmark234"/>
      <w:bookmarkEnd w:id="1280"/>
      <w:r>
        <w:rPr>
          <w:rFonts w:ascii="Times New Roman" w:hAnsi="Times New Roman" w:eastAsia="Times New Roman" w:cs="Times New Roman"/>
          <w:spacing w:val="-1"/>
          <w:sz w:val="27"/>
          <w:szCs w:val="27"/>
        </w:rPr>
        <w:t>11-</w:t>
      </w:r>
      <w:r>
        <w:rPr>
          <w:rFonts w:ascii="Times New Roman" w:hAnsi="Times New Roman" w:eastAsia="Times New Roman" w:cs="Times New Roman"/>
          <w:spacing w:val="-29"/>
          <w:sz w:val="27"/>
          <w:szCs w:val="27"/>
        </w:rPr>
        <w:t xml:space="preserve"> </w:t>
      </w:r>
      <w:r>
        <w:rPr>
          <w:rFonts w:ascii="Times New Roman" w:hAnsi="Times New Roman" w:eastAsia="Times New Roman" w:cs="Times New Roman"/>
          <w:spacing w:val="-1"/>
          <w:sz w:val="27"/>
          <w:szCs w:val="27"/>
        </w:rPr>
        <w:t>1</w:t>
      </w:r>
      <w:r>
        <w:rPr>
          <w:rFonts w:ascii="黑体" w:hAnsi="黑体" w:eastAsia="黑体" w:cs="黑体"/>
          <w:spacing w:val="-1"/>
          <w:sz w:val="27"/>
          <w:szCs w:val="27"/>
        </w:rPr>
        <w:t>：材料暂估价表</w:t>
      </w:r>
    </w:p>
    <w:p w14:paraId="42915F9A">
      <w:pPr>
        <w:spacing w:line="112" w:lineRule="exact"/>
      </w:pPr>
    </w:p>
    <w:tbl>
      <w:tblPr>
        <w:tblStyle w:val="10"/>
        <w:tblW w:w="9084" w:type="dxa"/>
        <w:tblInd w:w="1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03"/>
        <w:gridCol w:w="1983"/>
        <w:gridCol w:w="847"/>
        <w:gridCol w:w="771"/>
        <w:gridCol w:w="1350"/>
        <w:gridCol w:w="1413"/>
        <w:gridCol w:w="1717"/>
      </w:tblGrid>
      <w:tr w14:paraId="363742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2" w:hRule="atLeast"/>
        </w:trPr>
        <w:tc>
          <w:tcPr>
            <w:tcW w:w="1003" w:type="dxa"/>
            <w:tcBorders>
              <w:top w:val="single" w:color="000000" w:sz="10" w:space="0"/>
              <w:left w:val="single" w:color="000000" w:sz="10" w:space="0"/>
            </w:tcBorders>
            <w:vAlign w:val="top"/>
          </w:tcPr>
          <w:p w14:paraId="2BA0F174">
            <w:pPr>
              <w:pStyle w:val="11"/>
              <w:spacing w:before="178" w:line="222" w:lineRule="auto"/>
              <w:ind w:left="290"/>
            </w:pPr>
            <w:r>
              <w:rPr>
                <w:spacing w:val="-2"/>
              </w:rPr>
              <w:t>序号</w:t>
            </w:r>
          </w:p>
        </w:tc>
        <w:tc>
          <w:tcPr>
            <w:tcW w:w="1983" w:type="dxa"/>
            <w:tcBorders>
              <w:top w:val="single" w:color="000000" w:sz="10" w:space="0"/>
            </w:tcBorders>
            <w:vAlign w:val="top"/>
          </w:tcPr>
          <w:p w14:paraId="54E20699">
            <w:pPr>
              <w:pStyle w:val="11"/>
              <w:spacing w:before="177" w:line="223" w:lineRule="auto"/>
              <w:ind w:left="781"/>
            </w:pPr>
            <w:r>
              <w:rPr>
                <w:spacing w:val="-3"/>
              </w:rPr>
              <w:t>名称</w:t>
            </w:r>
          </w:p>
        </w:tc>
        <w:tc>
          <w:tcPr>
            <w:tcW w:w="847" w:type="dxa"/>
            <w:tcBorders>
              <w:top w:val="single" w:color="000000" w:sz="10" w:space="0"/>
            </w:tcBorders>
            <w:vAlign w:val="top"/>
          </w:tcPr>
          <w:p w14:paraId="215A2C6B">
            <w:pPr>
              <w:pStyle w:val="11"/>
              <w:spacing w:before="178" w:line="221" w:lineRule="auto"/>
              <w:ind w:left="219"/>
            </w:pPr>
            <w:r>
              <w:rPr>
                <w:spacing w:val="-2"/>
              </w:rPr>
              <w:t>单位</w:t>
            </w:r>
          </w:p>
        </w:tc>
        <w:tc>
          <w:tcPr>
            <w:tcW w:w="771" w:type="dxa"/>
            <w:tcBorders>
              <w:top w:val="single" w:color="000000" w:sz="10" w:space="0"/>
            </w:tcBorders>
            <w:vAlign w:val="top"/>
          </w:tcPr>
          <w:p w14:paraId="25E59418">
            <w:pPr>
              <w:pStyle w:val="11"/>
              <w:spacing w:before="177" w:line="221" w:lineRule="auto"/>
              <w:ind w:left="183"/>
            </w:pPr>
            <w:r>
              <w:rPr>
                <w:spacing w:val="-2"/>
              </w:rPr>
              <w:t>数量</w:t>
            </w:r>
          </w:p>
        </w:tc>
        <w:tc>
          <w:tcPr>
            <w:tcW w:w="1350" w:type="dxa"/>
            <w:tcBorders>
              <w:top w:val="single" w:color="000000" w:sz="10" w:space="0"/>
            </w:tcBorders>
            <w:vAlign w:val="top"/>
          </w:tcPr>
          <w:p w14:paraId="3ED86464">
            <w:pPr>
              <w:pStyle w:val="11"/>
              <w:spacing w:before="178" w:line="219" w:lineRule="auto"/>
              <w:ind w:left="156"/>
            </w:pPr>
            <w:r>
              <w:rPr>
                <w:spacing w:val="-3"/>
              </w:rPr>
              <w:t>单价（元）</w:t>
            </w:r>
          </w:p>
        </w:tc>
        <w:tc>
          <w:tcPr>
            <w:tcW w:w="1413" w:type="dxa"/>
            <w:tcBorders>
              <w:top w:val="single" w:color="000000" w:sz="10" w:space="0"/>
            </w:tcBorders>
            <w:vAlign w:val="top"/>
          </w:tcPr>
          <w:p w14:paraId="6D94D93B">
            <w:pPr>
              <w:pStyle w:val="11"/>
              <w:spacing w:before="178" w:line="219" w:lineRule="auto"/>
              <w:ind w:left="193"/>
            </w:pPr>
            <w:r>
              <w:rPr>
                <w:spacing w:val="-3"/>
              </w:rPr>
              <w:t>合价（元）</w:t>
            </w:r>
          </w:p>
        </w:tc>
        <w:tc>
          <w:tcPr>
            <w:tcW w:w="1717" w:type="dxa"/>
            <w:tcBorders>
              <w:top w:val="single" w:color="000000" w:sz="10" w:space="0"/>
              <w:right w:val="single" w:color="000000" w:sz="10" w:space="0"/>
            </w:tcBorders>
            <w:vAlign w:val="top"/>
          </w:tcPr>
          <w:p w14:paraId="1D0DE914">
            <w:pPr>
              <w:pStyle w:val="11"/>
              <w:spacing w:before="178" w:line="222" w:lineRule="auto"/>
              <w:ind w:left="659"/>
            </w:pPr>
            <w:r>
              <w:rPr>
                <w:spacing w:val="-3"/>
              </w:rPr>
              <w:t>备注</w:t>
            </w:r>
          </w:p>
        </w:tc>
      </w:tr>
      <w:tr w14:paraId="6F97AC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4" w:hRule="atLeast"/>
        </w:trPr>
        <w:tc>
          <w:tcPr>
            <w:tcW w:w="1003" w:type="dxa"/>
            <w:tcBorders>
              <w:left w:val="single" w:color="000000" w:sz="10" w:space="0"/>
            </w:tcBorders>
            <w:vAlign w:val="top"/>
          </w:tcPr>
          <w:p w14:paraId="2C33E220">
            <w:pPr>
              <w:rPr>
                <w:rFonts w:ascii="Arial"/>
                <w:sz w:val="21"/>
              </w:rPr>
            </w:pPr>
          </w:p>
        </w:tc>
        <w:tc>
          <w:tcPr>
            <w:tcW w:w="1983" w:type="dxa"/>
            <w:vAlign w:val="top"/>
          </w:tcPr>
          <w:p w14:paraId="356A2D44">
            <w:pPr>
              <w:rPr>
                <w:rFonts w:ascii="Arial"/>
                <w:sz w:val="21"/>
              </w:rPr>
            </w:pPr>
          </w:p>
        </w:tc>
        <w:tc>
          <w:tcPr>
            <w:tcW w:w="847" w:type="dxa"/>
            <w:vAlign w:val="top"/>
          </w:tcPr>
          <w:p w14:paraId="093ADF0B">
            <w:pPr>
              <w:rPr>
                <w:rFonts w:ascii="Arial"/>
                <w:sz w:val="21"/>
              </w:rPr>
            </w:pPr>
          </w:p>
        </w:tc>
        <w:tc>
          <w:tcPr>
            <w:tcW w:w="771" w:type="dxa"/>
            <w:vAlign w:val="top"/>
          </w:tcPr>
          <w:p w14:paraId="68199CF5">
            <w:pPr>
              <w:rPr>
                <w:rFonts w:ascii="Arial"/>
                <w:sz w:val="21"/>
              </w:rPr>
            </w:pPr>
          </w:p>
        </w:tc>
        <w:tc>
          <w:tcPr>
            <w:tcW w:w="1350" w:type="dxa"/>
            <w:vAlign w:val="top"/>
          </w:tcPr>
          <w:p w14:paraId="7A1BB181">
            <w:pPr>
              <w:rPr>
                <w:rFonts w:ascii="Arial"/>
                <w:sz w:val="21"/>
              </w:rPr>
            </w:pPr>
          </w:p>
        </w:tc>
        <w:tc>
          <w:tcPr>
            <w:tcW w:w="1413" w:type="dxa"/>
            <w:vAlign w:val="top"/>
          </w:tcPr>
          <w:p w14:paraId="582088D3">
            <w:pPr>
              <w:rPr>
                <w:rFonts w:ascii="Arial"/>
                <w:sz w:val="21"/>
              </w:rPr>
            </w:pPr>
          </w:p>
        </w:tc>
        <w:tc>
          <w:tcPr>
            <w:tcW w:w="1717" w:type="dxa"/>
            <w:tcBorders>
              <w:right w:val="single" w:color="000000" w:sz="10" w:space="0"/>
            </w:tcBorders>
            <w:vAlign w:val="top"/>
          </w:tcPr>
          <w:p w14:paraId="3EE0C103">
            <w:pPr>
              <w:rPr>
                <w:rFonts w:ascii="Arial"/>
                <w:sz w:val="21"/>
              </w:rPr>
            </w:pPr>
          </w:p>
        </w:tc>
      </w:tr>
      <w:tr w14:paraId="5669C8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003" w:type="dxa"/>
            <w:tcBorders>
              <w:left w:val="single" w:color="000000" w:sz="10" w:space="0"/>
            </w:tcBorders>
            <w:vAlign w:val="top"/>
          </w:tcPr>
          <w:p w14:paraId="76C87D4C">
            <w:pPr>
              <w:rPr>
                <w:rFonts w:ascii="Arial"/>
                <w:sz w:val="21"/>
              </w:rPr>
            </w:pPr>
          </w:p>
        </w:tc>
        <w:tc>
          <w:tcPr>
            <w:tcW w:w="1983" w:type="dxa"/>
            <w:vAlign w:val="top"/>
          </w:tcPr>
          <w:p w14:paraId="05F370D3">
            <w:pPr>
              <w:rPr>
                <w:rFonts w:ascii="Arial"/>
                <w:sz w:val="21"/>
              </w:rPr>
            </w:pPr>
          </w:p>
        </w:tc>
        <w:tc>
          <w:tcPr>
            <w:tcW w:w="847" w:type="dxa"/>
            <w:vAlign w:val="top"/>
          </w:tcPr>
          <w:p w14:paraId="3A6960F4">
            <w:pPr>
              <w:rPr>
                <w:rFonts w:ascii="Arial"/>
                <w:sz w:val="21"/>
              </w:rPr>
            </w:pPr>
          </w:p>
        </w:tc>
        <w:tc>
          <w:tcPr>
            <w:tcW w:w="771" w:type="dxa"/>
            <w:vAlign w:val="top"/>
          </w:tcPr>
          <w:p w14:paraId="3D40B620">
            <w:pPr>
              <w:rPr>
                <w:rFonts w:ascii="Arial"/>
                <w:sz w:val="21"/>
              </w:rPr>
            </w:pPr>
          </w:p>
        </w:tc>
        <w:tc>
          <w:tcPr>
            <w:tcW w:w="1350" w:type="dxa"/>
            <w:vAlign w:val="top"/>
          </w:tcPr>
          <w:p w14:paraId="37A57ED7">
            <w:pPr>
              <w:rPr>
                <w:rFonts w:ascii="Arial"/>
                <w:sz w:val="21"/>
              </w:rPr>
            </w:pPr>
          </w:p>
        </w:tc>
        <w:tc>
          <w:tcPr>
            <w:tcW w:w="1413" w:type="dxa"/>
            <w:vAlign w:val="top"/>
          </w:tcPr>
          <w:p w14:paraId="5BDCA966">
            <w:pPr>
              <w:rPr>
                <w:rFonts w:ascii="Arial"/>
                <w:sz w:val="21"/>
              </w:rPr>
            </w:pPr>
          </w:p>
        </w:tc>
        <w:tc>
          <w:tcPr>
            <w:tcW w:w="1717" w:type="dxa"/>
            <w:tcBorders>
              <w:right w:val="single" w:color="000000" w:sz="10" w:space="0"/>
            </w:tcBorders>
            <w:vAlign w:val="top"/>
          </w:tcPr>
          <w:p w14:paraId="6BCF3B16">
            <w:pPr>
              <w:rPr>
                <w:rFonts w:ascii="Arial"/>
                <w:sz w:val="21"/>
              </w:rPr>
            </w:pPr>
          </w:p>
        </w:tc>
      </w:tr>
      <w:tr w14:paraId="644219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003" w:type="dxa"/>
            <w:tcBorders>
              <w:left w:val="single" w:color="000000" w:sz="10" w:space="0"/>
            </w:tcBorders>
            <w:vAlign w:val="top"/>
          </w:tcPr>
          <w:p w14:paraId="006495B3">
            <w:pPr>
              <w:rPr>
                <w:rFonts w:ascii="Arial"/>
                <w:sz w:val="21"/>
              </w:rPr>
            </w:pPr>
          </w:p>
        </w:tc>
        <w:tc>
          <w:tcPr>
            <w:tcW w:w="1983" w:type="dxa"/>
            <w:vAlign w:val="top"/>
          </w:tcPr>
          <w:p w14:paraId="3E50B922">
            <w:pPr>
              <w:rPr>
                <w:rFonts w:ascii="Arial"/>
                <w:sz w:val="21"/>
              </w:rPr>
            </w:pPr>
          </w:p>
        </w:tc>
        <w:tc>
          <w:tcPr>
            <w:tcW w:w="847" w:type="dxa"/>
            <w:vAlign w:val="top"/>
          </w:tcPr>
          <w:p w14:paraId="4B12C086">
            <w:pPr>
              <w:rPr>
                <w:rFonts w:ascii="Arial"/>
                <w:sz w:val="21"/>
              </w:rPr>
            </w:pPr>
          </w:p>
        </w:tc>
        <w:tc>
          <w:tcPr>
            <w:tcW w:w="771" w:type="dxa"/>
            <w:vAlign w:val="top"/>
          </w:tcPr>
          <w:p w14:paraId="27001A91">
            <w:pPr>
              <w:rPr>
                <w:rFonts w:ascii="Arial"/>
                <w:sz w:val="21"/>
              </w:rPr>
            </w:pPr>
          </w:p>
        </w:tc>
        <w:tc>
          <w:tcPr>
            <w:tcW w:w="1350" w:type="dxa"/>
            <w:vAlign w:val="top"/>
          </w:tcPr>
          <w:p w14:paraId="386EC8DC">
            <w:pPr>
              <w:rPr>
                <w:rFonts w:ascii="Arial"/>
                <w:sz w:val="21"/>
              </w:rPr>
            </w:pPr>
          </w:p>
        </w:tc>
        <w:tc>
          <w:tcPr>
            <w:tcW w:w="1413" w:type="dxa"/>
            <w:vAlign w:val="top"/>
          </w:tcPr>
          <w:p w14:paraId="49DEAFE3">
            <w:pPr>
              <w:rPr>
                <w:rFonts w:ascii="Arial"/>
                <w:sz w:val="21"/>
              </w:rPr>
            </w:pPr>
          </w:p>
        </w:tc>
        <w:tc>
          <w:tcPr>
            <w:tcW w:w="1717" w:type="dxa"/>
            <w:tcBorders>
              <w:right w:val="single" w:color="000000" w:sz="10" w:space="0"/>
            </w:tcBorders>
            <w:vAlign w:val="top"/>
          </w:tcPr>
          <w:p w14:paraId="61F09A70">
            <w:pPr>
              <w:rPr>
                <w:rFonts w:ascii="Arial"/>
                <w:sz w:val="21"/>
              </w:rPr>
            </w:pPr>
          </w:p>
        </w:tc>
      </w:tr>
      <w:tr w14:paraId="00C6D2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003" w:type="dxa"/>
            <w:tcBorders>
              <w:left w:val="single" w:color="000000" w:sz="10" w:space="0"/>
            </w:tcBorders>
            <w:vAlign w:val="top"/>
          </w:tcPr>
          <w:p w14:paraId="5C2D6054">
            <w:pPr>
              <w:rPr>
                <w:rFonts w:ascii="Arial"/>
                <w:sz w:val="21"/>
              </w:rPr>
            </w:pPr>
          </w:p>
        </w:tc>
        <w:tc>
          <w:tcPr>
            <w:tcW w:w="1983" w:type="dxa"/>
            <w:vAlign w:val="top"/>
          </w:tcPr>
          <w:p w14:paraId="1E7349A1">
            <w:pPr>
              <w:rPr>
                <w:rFonts w:ascii="Arial"/>
                <w:sz w:val="21"/>
              </w:rPr>
            </w:pPr>
          </w:p>
        </w:tc>
        <w:tc>
          <w:tcPr>
            <w:tcW w:w="847" w:type="dxa"/>
            <w:vAlign w:val="top"/>
          </w:tcPr>
          <w:p w14:paraId="124B82BF">
            <w:pPr>
              <w:rPr>
                <w:rFonts w:ascii="Arial"/>
                <w:sz w:val="21"/>
              </w:rPr>
            </w:pPr>
          </w:p>
        </w:tc>
        <w:tc>
          <w:tcPr>
            <w:tcW w:w="771" w:type="dxa"/>
            <w:vAlign w:val="top"/>
          </w:tcPr>
          <w:p w14:paraId="040E87FB">
            <w:pPr>
              <w:rPr>
                <w:rFonts w:ascii="Arial"/>
                <w:sz w:val="21"/>
              </w:rPr>
            </w:pPr>
          </w:p>
        </w:tc>
        <w:tc>
          <w:tcPr>
            <w:tcW w:w="1350" w:type="dxa"/>
            <w:vAlign w:val="top"/>
          </w:tcPr>
          <w:p w14:paraId="06B08CB4">
            <w:pPr>
              <w:rPr>
                <w:rFonts w:ascii="Arial"/>
                <w:sz w:val="21"/>
              </w:rPr>
            </w:pPr>
          </w:p>
        </w:tc>
        <w:tc>
          <w:tcPr>
            <w:tcW w:w="1413" w:type="dxa"/>
            <w:vAlign w:val="top"/>
          </w:tcPr>
          <w:p w14:paraId="10906E5A">
            <w:pPr>
              <w:rPr>
                <w:rFonts w:ascii="Arial"/>
                <w:sz w:val="21"/>
              </w:rPr>
            </w:pPr>
          </w:p>
        </w:tc>
        <w:tc>
          <w:tcPr>
            <w:tcW w:w="1717" w:type="dxa"/>
            <w:tcBorders>
              <w:right w:val="single" w:color="000000" w:sz="10" w:space="0"/>
            </w:tcBorders>
            <w:vAlign w:val="top"/>
          </w:tcPr>
          <w:p w14:paraId="07699F61">
            <w:pPr>
              <w:rPr>
                <w:rFonts w:ascii="Arial"/>
                <w:sz w:val="21"/>
              </w:rPr>
            </w:pPr>
          </w:p>
        </w:tc>
      </w:tr>
      <w:tr w14:paraId="6BD94B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0" w:hRule="atLeast"/>
        </w:trPr>
        <w:tc>
          <w:tcPr>
            <w:tcW w:w="1003" w:type="dxa"/>
            <w:tcBorders>
              <w:left w:val="single" w:color="000000" w:sz="10" w:space="0"/>
            </w:tcBorders>
            <w:vAlign w:val="top"/>
          </w:tcPr>
          <w:p w14:paraId="3E54CFF6">
            <w:pPr>
              <w:rPr>
                <w:rFonts w:ascii="Arial"/>
                <w:sz w:val="21"/>
              </w:rPr>
            </w:pPr>
          </w:p>
        </w:tc>
        <w:tc>
          <w:tcPr>
            <w:tcW w:w="1983" w:type="dxa"/>
            <w:vAlign w:val="top"/>
          </w:tcPr>
          <w:p w14:paraId="6725FB95">
            <w:pPr>
              <w:rPr>
                <w:rFonts w:ascii="Arial"/>
                <w:sz w:val="21"/>
              </w:rPr>
            </w:pPr>
          </w:p>
        </w:tc>
        <w:tc>
          <w:tcPr>
            <w:tcW w:w="847" w:type="dxa"/>
            <w:vAlign w:val="top"/>
          </w:tcPr>
          <w:p w14:paraId="680CA899">
            <w:pPr>
              <w:rPr>
                <w:rFonts w:ascii="Arial"/>
                <w:sz w:val="21"/>
              </w:rPr>
            </w:pPr>
          </w:p>
        </w:tc>
        <w:tc>
          <w:tcPr>
            <w:tcW w:w="771" w:type="dxa"/>
            <w:vAlign w:val="top"/>
          </w:tcPr>
          <w:p w14:paraId="158D2C36">
            <w:pPr>
              <w:rPr>
                <w:rFonts w:ascii="Arial"/>
                <w:sz w:val="21"/>
              </w:rPr>
            </w:pPr>
          </w:p>
        </w:tc>
        <w:tc>
          <w:tcPr>
            <w:tcW w:w="1350" w:type="dxa"/>
            <w:vAlign w:val="top"/>
          </w:tcPr>
          <w:p w14:paraId="5FE54FCE">
            <w:pPr>
              <w:rPr>
                <w:rFonts w:ascii="Arial"/>
                <w:sz w:val="21"/>
              </w:rPr>
            </w:pPr>
          </w:p>
        </w:tc>
        <w:tc>
          <w:tcPr>
            <w:tcW w:w="1413" w:type="dxa"/>
            <w:vAlign w:val="top"/>
          </w:tcPr>
          <w:p w14:paraId="41481CCF">
            <w:pPr>
              <w:rPr>
                <w:rFonts w:ascii="Arial"/>
                <w:sz w:val="21"/>
              </w:rPr>
            </w:pPr>
          </w:p>
        </w:tc>
        <w:tc>
          <w:tcPr>
            <w:tcW w:w="1717" w:type="dxa"/>
            <w:tcBorders>
              <w:right w:val="single" w:color="000000" w:sz="10" w:space="0"/>
            </w:tcBorders>
            <w:vAlign w:val="top"/>
          </w:tcPr>
          <w:p w14:paraId="0A254709">
            <w:pPr>
              <w:rPr>
                <w:rFonts w:ascii="Arial"/>
                <w:sz w:val="21"/>
              </w:rPr>
            </w:pPr>
          </w:p>
        </w:tc>
      </w:tr>
      <w:tr w14:paraId="16EAF6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003" w:type="dxa"/>
            <w:tcBorders>
              <w:left w:val="single" w:color="000000" w:sz="10" w:space="0"/>
            </w:tcBorders>
            <w:vAlign w:val="top"/>
          </w:tcPr>
          <w:p w14:paraId="5F10DF1D">
            <w:pPr>
              <w:rPr>
                <w:rFonts w:ascii="Arial"/>
                <w:sz w:val="21"/>
              </w:rPr>
            </w:pPr>
          </w:p>
        </w:tc>
        <w:tc>
          <w:tcPr>
            <w:tcW w:w="1983" w:type="dxa"/>
            <w:vAlign w:val="top"/>
          </w:tcPr>
          <w:p w14:paraId="1672F208">
            <w:pPr>
              <w:rPr>
                <w:rFonts w:ascii="Arial"/>
                <w:sz w:val="21"/>
              </w:rPr>
            </w:pPr>
          </w:p>
        </w:tc>
        <w:tc>
          <w:tcPr>
            <w:tcW w:w="847" w:type="dxa"/>
            <w:vAlign w:val="top"/>
          </w:tcPr>
          <w:p w14:paraId="4E361F63">
            <w:pPr>
              <w:rPr>
                <w:rFonts w:ascii="Arial"/>
                <w:sz w:val="21"/>
              </w:rPr>
            </w:pPr>
          </w:p>
        </w:tc>
        <w:tc>
          <w:tcPr>
            <w:tcW w:w="771" w:type="dxa"/>
            <w:vAlign w:val="top"/>
          </w:tcPr>
          <w:p w14:paraId="01ABFED5">
            <w:pPr>
              <w:rPr>
                <w:rFonts w:ascii="Arial"/>
                <w:sz w:val="21"/>
              </w:rPr>
            </w:pPr>
          </w:p>
        </w:tc>
        <w:tc>
          <w:tcPr>
            <w:tcW w:w="1350" w:type="dxa"/>
            <w:vAlign w:val="top"/>
          </w:tcPr>
          <w:p w14:paraId="409A1C8A">
            <w:pPr>
              <w:rPr>
                <w:rFonts w:ascii="Arial"/>
                <w:sz w:val="21"/>
              </w:rPr>
            </w:pPr>
          </w:p>
        </w:tc>
        <w:tc>
          <w:tcPr>
            <w:tcW w:w="1413" w:type="dxa"/>
            <w:vAlign w:val="top"/>
          </w:tcPr>
          <w:p w14:paraId="06B16B7A">
            <w:pPr>
              <w:rPr>
                <w:rFonts w:ascii="Arial"/>
                <w:sz w:val="21"/>
              </w:rPr>
            </w:pPr>
          </w:p>
        </w:tc>
        <w:tc>
          <w:tcPr>
            <w:tcW w:w="1717" w:type="dxa"/>
            <w:tcBorders>
              <w:right w:val="single" w:color="000000" w:sz="10" w:space="0"/>
            </w:tcBorders>
            <w:vAlign w:val="top"/>
          </w:tcPr>
          <w:p w14:paraId="04F48560">
            <w:pPr>
              <w:rPr>
                <w:rFonts w:ascii="Arial"/>
                <w:sz w:val="21"/>
              </w:rPr>
            </w:pPr>
          </w:p>
        </w:tc>
      </w:tr>
      <w:tr w14:paraId="63D640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003" w:type="dxa"/>
            <w:tcBorders>
              <w:left w:val="single" w:color="000000" w:sz="10" w:space="0"/>
            </w:tcBorders>
            <w:vAlign w:val="top"/>
          </w:tcPr>
          <w:p w14:paraId="7A330853">
            <w:pPr>
              <w:rPr>
                <w:rFonts w:ascii="Arial"/>
                <w:sz w:val="21"/>
              </w:rPr>
            </w:pPr>
          </w:p>
        </w:tc>
        <w:tc>
          <w:tcPr>
            <w:tcW w:w="1983" w:type="dxa"/>
            <w:vAlign w:val="top"/>
          </w:tcPr>
          <w:p w14:paraId="7AF3472E">
            <w:pPr>
              <w:rPr>
                <w:rFonts w:ascii="Arial"/>
                <w:sz w:val="21"/>
              </w:rPr>
            </w:pPr>
          </w:p>
        </w:tc>
        <w:tc>
          <w:tcPr>
            <w:tcW w:w="847" w:type="dxa"/>
            <w:vAlign w:val="top"/>
          </w:tcPr>
          <w:p w14:paraId="50DD1288">
            <w:pPr>
              <w:rPr>
                <w:rFonts w:ascii="Arial"/>
                <w:sz w:val="21"/>
              </w:rPr>
            </w:pPr>
          </w:p>
        </w:tc>
        <w:tc>
          <w:tcPr>
            <w:tcW w:w="771" w:type="dxa"/>
            <w:vAlign w:val="top"/>
          </w:tcPr>
          <w:p w14:paraId="4A26F535">
            <w:pPr>
              <w:rPr>
                <w:rFonts w:ascii="Arial"/>
                <w:sz w:val="21"/>
              </w:rPr>
            </w:pPr>
          </w:p>
        </w:tc>
        <w:tc>
          <w:tcPr>
            <w:tcW w:w="1350" w:type="dxa"/>
            <w:vAlign w:val="top"/>
          </w:tcPr>
          <w:p w14:paraId="2588B903">
            <w:pPr>
              <w:rPr>
                <w:rFonts w:ascii="Arial"/>
                <w:sz w:val="21"/>
              </w:rPr>
            </w:pPr>
          </w:p>
        </w:tc>
        <w:tc>
          <w:tcPr>
            <w:tcW w:w="1413" w:type="dxa"/>
            <w:vAlign w:val="top"/>
          </w:tcPr>
          <w:p w14:paraId="0ABE7C38">
            <w:pPr>
              <w:rPr>
                <w:rFonts w:ascii="Arial"/>
                <w:sz w:val="21"/>
              </w:rPr>
            </w:pPr>
          </w:p>
        </w:tc>
        <w:tc>
          <w:tcPr>
            <w:tcW w:w="1717" w:type="dxa"/>
            <w:tcBorders>
              <w:right w:val="single" w:color="000000" w:sz="10" w:space="0"/>
            </w:tcBorders>
            <w:vAlign w:val="top"/>
          </w:tcPr>
          <w:p w14:paraId="7A4190D3">
            <w:pPr>
              <w:rPr>
                <w:rFonts w:ascii="Arial"/>
                <w:sz w:val="21"/>
              </w:rPr>
            </w:pPr>
          </w:p>
        </w:tc>
      </w:tr>
      <w:tr w14:paraId="4A38FC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003" w:type="dxa"/>
            <w:tcBorders>
              <w:left w:val="single" w:color="000000" w:sz="10" w:space="0"/>
            </w:tcBorders>
            <w:vAlign w:val="top"/>
          </w:tcPr>
          <w:p w14:paraId="6D3888FD">
            <w:pPr>
              <w:rPr>
                <w:rFonts w:ascii="Arial"/>
                <w:sz w:val="21"/>
              </w:rPr>
            </w:pPr>
          </w:p>
        </w:tc>
        <w:tc>
          <w:tcPr>
            <w:tcW w:w="1983" w:type="dxa"/>
            <w:vAlign w:val="top"/>
          </w:tcPr>
          <w:p w14:paraId="6B415ED3">
            <w:pPr>
              <w:rPr>
                <w:rFonts w:ascii="Arial"/>
                <w:sz w:val="21"/>
              </w:rPr>
            </w:pPr>
          </w:p>
        </w:tc>
        <w:tc>
          <w:tcPr>
            <w:tcW w:w="847" w:type="dxa"/>
            <w:vAlign w:val="top"/>
          </w:tcPr>
          <w:p w14:paraId="7002063B">
            <w:pPr>
              <w:rPr>
                <w:rFonts w:ascii="Arial"/>
                <w:sz w:val="21"/>
              </w:rPr>
            </w:pPr>
          </w:p>
        </w:tc>
        <w:tc>
          <w:tcPr>
            <w:tcW w:w="771" w:type="dxa"/>
            <w:vAlign w:val="top"/>
          </w:tcPr>
          <w:p w14:paraId="3C304E84">
            <w:pPr>
              <w:rPr>
                <w:rFonts w:ascii="Arial"/>
                <w:sz w:val="21"/>
              </w:rPr>
            </w:pPr>
          </w:p>
        </w:tc>
        <w:tc>
          <w:tcPr>
            <w:tcW w:w="1350" w:type="dxa"/>
            <w:vAlign w:val="top"/>
          </w:tcPr>
          <w:p w14:paraId="4BFBA790">
            <w:pPr>
              <w:rPr>
                <w:rFonts w:ascii="Arial"/>
                <w:sz w:val="21"/>
              </w:rPr>
            </w:pPr>
          </w:p>
        </w:tc>
        <w:tc>
          <w:tcPr>
            <w:tcW w:w="1413" w:type="dxa"/>
            <w:vAlign w:val="top"/>
          </w:tcPr>
          <w:p w14:paraId="6474379A">
            <w:pPr>
              <w:rPr>
                <w:rFonts w:ascii="Arial"/>
                <w:sz w:val="21"/>
              </w:rPr>
            </w:pPr>
          </w:p>
        </w:tc>
        <w:tc>
          <w:tcPr>
            <w:tcW w:w="1717" w:type="dxa"/>
            <w:tcBorders>
              <w:right w:val="single" w:color="000000" w:sz="10" w:space="0"/>
            </w:tcBorders>
            <w:vAlign w:val="top"/>
          </w:tcPr>
          <w:p w14:paraId="36CA9F2A">
            <w:pPr>
              <w:rPr>
                <w:rFonts w:ascii="Arial"/>
                <w:sz w:val="21"/>
              </w:rPr>
            </w:pPr>
          </w:p>
        </w:tc>
      </w:tr>
      <w:tr w14:paraId="335D8A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003" w:type="dxa"/>
            <w:tcBorders>
              <w:left w:val="single" w:color="000000" w:sz="10" w:space="0"/>
            </w:tcBorders>
            <w:vAlign w:val="top"/>
          </w:tcPr>
          <w:p w14:paraId="03FA5809">
            <w:pPr>
              <w:rPr>
                <w:rFonts w:ascii="Arial"/>
                <w:sz w:val="21"/>
              </w:rPr>
            </w:pPr>
          </w:p>
        </w:tc>
        <w:tc>
          <w:tcPr>
            <w:tcW w:w="1983" w:type="dxa"/>
            <w:vAlign w:val="top"/>
          </w:tcPr>
          <w:p w14:paraId="2DC3CCEC">
            <w:pPr>
              <w:rPr>
                <w:rFonts w:ascii="Arial"/>
                <w:sz w:val="21"/>
              </w:rPr>
            </w:pPr>
          </w:p>
        </w:tc>
        <w:tc>
          <w:tcPr>
            <w:tcW w:w="847" w:type="dxa"/>
            <w:vAlign w:val="top"/>
          </w:tcPr>
          <w:p w14:paraId="054436FD">
            <w:pPr>
              <w:rPr>
                <w:rFonts w:ascii="Arial"/>
                <w:sz w:val="21"/>
              </w:rPr>
            </w:pPr>
          </w:p>
        </w:tc>
        <w:tc>
          <w:tcPr>
            <w:tcW w:w="771" w:type="dxa"/>
            <w:vAlign w:val="top"/>
          </w:tcPr>
          <w:p w14:paraId="46AB3E8C">
            <w:pPr>
              <w:rPr>
                <w:rFonts w:ascii="Arial"/>
                <w:sz w:val="21"/>
              </w:rPr>
            </w:pPr>
          </w:p>
        </w:tc>
        <w:tc>
          <w:tcPr>
            <w:tcW w:w="1350" w:type="dxa"/>
            <w:vAlign w:val="top"/>
          </w:tcPr>
          <w:p w14:paraId="2C369BAC">
            <w:pPr>
              <w:rPr>
                <w:rFonts w:ascii="Arial"/>
                <w:sz w:val="21"/>
              </w:rPr>
            </w:pPr>
          </w:p>
        </w:tc>
        <w:tc>
          <w:tcPr>
            <w:tcW w:w="1413" w:type="dxa"/>
            <w:vAlign w:val="top"/>
          </w:tcPr>
          <w:p w14:paraId="14805518">
            <w:pPr>
              <w:rPr>
                <w:rFonts w:ascii="Arial"/>
                <w:sz w:val="21"/>
              </w:rPr>
            </w:pPr>
          </w:p>
        </w:tc>
        <w:tc>
          <w:tcPr>
            <w:tcW w:w="1717" w:type="dxa"/>
            <w:tcBorders>
              <w:right w:val="single" w:color="000000" w:sz="10" w:space="0"/>
            </w:tcBorders>
            <w:vAlign w:val="top"/>
          </w:tcPr>
          <w:p w14:paraId="64ED2042">
            <w:pPr>
              <w:rPr>
                <w:rFonts w:ascii="Arial"/>
                <w:sz w:val="21"/>
              </w:rPr>
            </w:pPr>
          </w:p>
        </w:tc>
      </w:tr>
      <w:tr w14:paraId="06DFCB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0" w:hRule="atLeast"/>
        </w:trPr>
        <w:tc>
          <w:tcPr>
            <w:tcW w:w="1003" w:type="dxa"/>
            <w:tcBorders>
              <w:left w:val="single" w:color="000000" w:sz="10" w:space="0"/>
            </w:tcBorders>
            <w:vAlign w:val="top"/>
          </w:tcPr>
          <w:p w14:paraId="36033F4E">
            <w:pPr>
              <w:rPr>
                <w:rFonts w:ascii="Arial"/>
                <w:sz w:val="21"/>
              </w:rPr>
            </w:pPr>
          </w:p>
        </w:tc>
        <w:tc>
          <w:tcPr>
            <w:tcW w:w="1983" w:type="dxa"/>
            <w:vAlign w:val="top"/>
          </w:tcPr>
          <w:p w14:paraId="25C497B3">
            <w:pPr>
              <w:rPr>
                <w:rFonts w:ascii="Arial"/>
                <w:sz w:val="21"/>
              </w:rPr>
            </w:pPr>
          </w:p>
        </w:tc>
        <w:tc>
          <w:tcPr>
            <w:tcW w:w="847" w:type="dxa"/>
            <w:vAlign w:val="top"/>
          </w:tcPr>
          <w:p w14:paraId="69C5F7D0">
            <w:pPr>
              <w:rPr>
                <w:rFonts w:ascii="Arial"/>
                <w:sz w:val="21"/>
              </w:rPr>
            </w:pPr>
          </w:p>
        </w:tc>
        <w:tc>
          <w:tcPr>
            <w:tcW w:w="771" w:type="dxa"/>
            <w:vAlign w:val="top"/>
          </w:tcPr>
          <w:p w14:paraId="5996714A">
            <w:pPr>
              <w:rPr>
                <w:rFonts w:ascii="Arial"/>
                <w:sz w:val="21"/>
              </w:rPr>
            </w:pPr>
          </w:p>
        </w:tc>
        <w:tc>
          <w:tcPr>
            <w:tcW w:w="1350" w:type="dxa"/>
            <w:vAlign w:val="top"/>
          </w:tcPr>
          <w:p w14:paraId="280B52F7">
            <w:pPr>
              <w:rPr>
                <w:rFonts w:ascii="Arial"/>
                <w:sz w:val="21"/>
              </w:rPr>
            </w:pPr>
          </w:p>
        </w:tc>
        <w:tc>
          <w:tcPr>
            <w:tcW w:w="1413" w:type="dxa"/>
            <w:vAlign w:val="top"/>
          </w:tcPr>
          <w:p w14:paraId="713B8A54">
            <w:pPr>
              <w:rPr>
                <w:rFonts w:ascii="Arial"/>
                <w:sz w:val="21"/>
              </w:rPr>
            </w:pPr>
          </w:p>
        </w:tc>
        <w:tc>
          <w:tcPr>
            <w:tcW w:w="1717" w:type="dxa"/>
            <w:tcBorders>
              <w:right w:val="single" w:color="000000" w:sz="10" w:space="0"/>
            </w:tcBorders>
            <w:vAlign w:val="top"/>
          </w:tcPr>
          <w:p w14:paraId="347A5155">
            <w:pPr>
              <w:rPr>
                <w:rFonts w:ascii="Arial"/>
                <w:sz w:val="21"/>
              </w:rPr>
            </w:pPr>
          </w:p>
        </w:tc>
      </w:tr>
      <w:tr w14:paraId="5308A5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003" w:type="dxa"/>
            <w:tcBorders>
              <w:left w:val="single" w:color="000000" w:sz="10" w:space="0"/>
            </w:tcBorders>
            <w:vAlign w:val="top"/>
          </w:tcPr>
          <w:p w14:paraId="12CAF2C6">
            <w:pPr>
              <w:rPr>
                <w:rFonts w:ascii="Arial"/>
                <w:sz w:val="21"/>
              </w:rPr>
            </w:pPr>
          </w:p>
        </w:tc>
        <w:tc>
          <w:tcPr>
            <w:tcW w:w="1983" w:type="dxa"/>
            <w:vAlign w:val="top"/>
          </w:tcPr>
          <w:p w14:paraId="2B8D2553">
            <w:pPr>
              <w:rPr>
                <w:rFonts w:ascii="Arial"/>
                <w:sz w:val="21"/>
              </w:rPr>
            </w:pPr>
          </w:p>
        </w:tc>
        <w:tc>
          <w:tcPr>
            <w:tcW w:w="847" w:type="dxa"/>
            <w:vAlign w:val="top"/>
          </w:tcPr>
          <w:p w14:paraId="6A6F6C3A">
            <w:pPr>
              <w:rPr>
                <w:rFonts w:ascii="Arial"/>
                <w:sz w:val="21"/>
              </w:rPr>
            </w:pPr>
          </w:p>
        </w:tc>
        <w:tc>
          <w:tcPr>
            <w:tcW w:w="771" w:type="dxa"/>
            <w:vAlign w:val="top"/>
          </w:tcPr>
          <w:p w14:paraId="3ECC6988">
            <w:pPr>
              <w:rPr>
                <w:rFonts w:ascii="Arial"/>
                <w:sz w:val="21"/>
              </w:rPr>
            </w:pPr>
          </w:p>
        </w:tc>
        <w:tc>
          <w:tcPr>
            <w:tcW w:w="1350" w:type="dxa"/>
            <w:vAlign w:val="top"/>
          </w:tcPr>
          <w:p w14:paraId="4889A3D0">
            <w:pPr>
              <w:rPr>
                <w:rFonts w:ascii="Arial"/>
                <w:sz w:val="21"/>
              </w:rPr>
            </w:pPr>
          </w:p>
        </w:tc>
        <w:tc>
          <w:tcPr>
            <w:tcW w:w="1413" w:type="dxa"/>
            <w:vAlign w:val="top"/>
          </w:tcPr>
          <w:p w14:paraId="6CB9C6B3">
            <w:pPr>
              <w:rPr>
                <w:rFonts w:ascii="Arial"/>
                <w:sz w:val="21"/>
              </w:rPr>
            </w:pPr>
          </w:p>
        </w:tc>
        <w:tc>
          <w:tcPr>
            <w:tcW w:w="1717" w:type="dxa"/>
            <w:tcBorders>
              <w:right w:val="single" w:color="000000" w:sz="10" w:space="0"/>
            </w:tcBorders>
            <w:vAlign w:val="top"/>
          </w:tcPr>
          <w:p w14:paraId="5A3C0F43">
            <w:pPr>
              <w:rPr>
                <w:rFonts w:ascii="Arial"/>
                <w:sz w:val="21"/>
              </w:rPr>
            </w:pPr>
          </w:p>
        </w:tc>
      </w:tr>
      <w:tr w14:paraId="53B325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003" w:type="dxa"/>
            <w:tcBorders>
              <w:left w:val="single" w:color="000000" w:sz="10" w:space="0"/>
            </w:tcBorders>
            <w:vAlign w:val="top"/>
          </w:tcPr>
          <w:p w14:paraId="1E269170">
            <w:pPr>
              <w:rPr>
                <w:rFonts w:ascii="Arial"/>
                <w:sz w:val="21"/>
              </w:rPr>
            </w:pPr>
          </w:p>
        </w:tc>
        <w:tc>
          <w:tcPr>
            <w:tcW w:w="1983" w:type="dxa"/>
            <w:vAlign w:val="top"/>
          </w:tcPr>
          <w:p w14:paraId="15BB6A0F">
            <w:pPr>
              <w:rPr>
                <w:rFonts w:ascii="Arial"/>
                <w:sz w:val="21"/>
              </w:rPr>
            </w:pPr>
          </w:p>
        </w:tc>
        <w:tc>
          <w:tcPr>
            <w:tcW w:w="847" w:type="dxa"/>
            <w:vAlign w:val="top"/>
          </w:tcPr>
          <w:p w14:paraId="5557C08A">
            <w:pPr>
              <w:rPr>
                <w:rFonts w:ascii="Arial"/>
                <w:sz w:val="21"/>
              </w:rPr>
            </w:pPr>
          </w:p>
        </w:tc>
        <w:tc>
          <w:tcPr>
            <w:tcW w:w="771" w:type="dxa"/>
            <w:vAlign w:val="top"/>
          </w:tcPr>
          <w:p w14:paraId="10054424">
            <w:pPr>
              <w:rPr>
                <w:rFonts w:ascii="Arial"/>
                <w:sz w:val="21"/>
              </w:rPr>
            </w:pPr>
          </w:p>
        </w:tc>
        <w:tc>
          <w:tcPr>
            <w:tcW w:w="1350" w:type="dxa"/>
            <w:vAlign w:val="top"/>
          </w:tcPr>
          <w:p w14:paraId="3C3E6749">
            <w:pPr>
              <w:rPr>
                <w:rFonts w:ascii="Arial"/>
                <w:sz w:val="21"/>
              </w:rPr>
            </w:pPr>
          </w:p>
        </w:tc>
        <w:tc>
          <w:tcPr>
            <w:tcW w:w="1413" w:type="dxa"/>
            <w:vAlign w:val="top"/>
          </w:tcPr>
          <w:p w14:paraId="67F6A2AD">
            <w:pPr>
              <w:rPr>
                <w:rFonts w:ascii="Arial"/>
                <w:sz w:val="21"/>
              </w:rPr>
            </w:pPr>
          </w:p>
        </w:tc>
        <w:tc>
          <w:tcPr>
            <w:tcW w:w="1717" w:type="dxa"/>
            <w:tcBorders>
              <w:right w:val="single" w:color="000000" w:sz="10" w:space="0"/>
            </w:tcBorders>
            <w:vAlign w:val="top"/>
          </w:tcPr>
          <w:p w14:paraId="26537B7C">
            <w:pPr>
              <w:rPr>
                <w:rFonts w:ascii="Arial"/>
                <w:sz w:val="21"/>
              </w:rPr>
            </w:pPr>
          </w:p>
        </w:tc>
      </w:tr>
      <w:tr w14:paraId="542DE5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003" w:type="dxa"/>
            <w:tcBorders>
              <w:left w:val="single" w:color="000000" w:sz="10" w:space="0"/>
            </w:tcBorders>
            <w:vAlign w:val="top"/>
          </w:tcPr>
          <w:p w14:paraId="0A021F10">
            <w:pPr>
              <w:rPr>
                <w:rFonts w:ascii="Arial"/>
                <w:sz w:val="21"/>
              </w:rPr>
            </w:pPr>
          </w:p>
        </w:tc>
        <w:tc>
          <w:tcPr>
            <w:tcW w:w="1983" w:type="dxa"/>
            <w:vAlign w:val="top"/>
          </w:tcPr>
          <w:p w14:paraId="170B514A">
            <w:pPr>
              <w:rPr>
                <w:rFonts w:ascii="Arial"/>
                <w:sz w:val="21"/>
              </w:rPr>
            </w:pPr>
          </w:p>
        </w:tc>
        <w:tc>
          <w:tcPr>
            <w:tcW w:w="847" w:type="dxa"/>
            <w:vAlign w:val="top"/>
          </w:tcPr>
          <w:p w14:paraId="6EB9F169">
            <w:pPr>
              <w:rPr>
                <w:rFonts w:ascii="Arial"/>
                <w:sz w:val="21"/>
              </w:rPr>
            </w:pPr>
          </w:p>
        </w:tc>
        <w:tc>
          <w:tcPr>
            <w:tcW w:w="771" w:type="dxa"/>
            <w:vAlign w:val="top"/>
          </w:tcPr>
          <w:p w14:paraId="762BA46D">
            <w:pPr>
              <w:rPr>
                <w:rFonts w:ascii="Arial"/>
                <w:sz w:val="21"/>
              </w:rPr>
            </w:pPr>
          </w:p>
        </w:tc>
        <w:tc>
          <w:tcPr>
            <w:tcW w:w="1350" w:type="dxa"/>
            <w:vAlign w:val="top"/>
          </w:tcPr>
          <w:p w14:paraId="5327738A">
            <w:pPr>
              <w:rPr>
                <w:rFonts w:ascii="Arial"/>
                <w:sz w:val="21"/>
              </w:rPr>
            </w:pPr>
          </w:p>
        </w:tc>
        <w:tc>
          <w:tcPr>
            <w:tcW w:w="1413" w:type="dxa"/>
            <w:vAlign w:val="top"/>
          </w:tcPr>
          <w:p w14:paraId="42D53C67">
            <w:pPr>
              <w:rPr>
                <w:rFonts w:ascii="Arial"/>
                <w:sz w:val="21"/>
              </w:rPr>
            </w:pPr>
          </w:p>
        </w:tc>
        <w:tc>
          <w:tcPr>
            <w:tcW w:w="1717" w:type="dxa"/>
            <w:tcBorders>
              <w:right w:val="single" w:color="000000" w:sz="10" w:space="0"/>
            </w:tcBorders>
            <w:vAlign w:val="top"/>
          </w:tcPr>
          <w:p w14:paraId="1333D5EB">
            <w:pPr>
              <w:rPr>
                <w:rFonts w:ascii="Arial"/>
                <w:sz w:val="21"/>
              </w:rPr>
            </w:pPr>
          </w:p>
        </w:tc>
      </w:tr>
      <w:tr w14:paraId="225BD3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003" w:type="dxa"/>
            <w:tcBorders>
              <w:left w:val="single" w:color="000000" w:sz="10" w:space="0"/>
            </w:tcBorders>
            <w:vAlign w:val="top"/>
          </w:tcPr>
          <w:p w14:paraId="30C58936">
            <w:pPr>
              <w:rPr>
                <w:rFonts w:ascii="Arial"/>
                <w:sz w:val="21"/>
              </w:rPr>
            </w:pPr>
          </w:p>
        </w:tc>
        <w:tc>
          <w:tcPr>
            <w:tcW w:w="1983" w:type="dxa"/>
            <w:vAlign w:val="top"/>
          </w:tcPr>
          <w:p w14:paraId="2EAB65E0">
            <w:pPr>
              <w:rPr>
                <w:rFonts w:ascii="Arial"/>
                <w:sz w:val="21"/>
              </w:rPr>
            </w:pPr>
          </w:p>
        </w:tc>
        <w:tc>
          <w:tcPr>
            <w:tcW w:w="847" w:type="dxa"/>
            <w:vAlign w:val="top"/>
          </w:tcPr>
          <w:p w14:paraId="238B9504">
            <w:pPr>
              <w:rPr>
                <w:rFonts w:ascii="Arial"/>
                <w:sz w:val="21"/>
              </w:rPr>
            </w:pPr>
          </w:p>
        </w:tc>
        <w:tc>
          <w:tcPr>
            <w:tcW w:w="771" w:type="dxa"/>
            <w:vAlign w:val="top"/>
          </w:tcPr>
          <w:p w14:paraId="79FFBB68">
            <w:pPr>
              <w:rPr>
                <w:rFonts w:ascii="Arial"/>
                <w:sz w:val="21"/>
              </w:rPr>
            </w:pPr>
          </w:p>
        </w:tc>
        <w:tc>
          <w:tcPr>
            <w:tcW w:w="1350" w:type="dxa"/>
            <w:vAlign w:val="top"/>
          </w:tcPr>
          <w:p w14:paraId="6CE0D18D">
            <w:pPr>
              <w:rPr>
                <w:rFonts w:ascii="Arial"/>
                <w:sz w:val="21"/>
              </w:rPr>
            </w:pPr>
          </w:p>
        </w:tc>
        <w:tc>
          <w:tcPr>
            <w:tcW w:w="1413" w:type="dxa"/>
            <w:vAlign w:val="top"/>
          </w:tcPr>
          <w:p w14:paraId="0D44BF17">
            <w:pPr>
              <w:rPr>
                <w:rFonts w:ascii="Arial"/>
                <w:sz w:val="21"/>
              </w:rPr>
            </w:pPr>
          </w:p>
        </w:tc>
        <w:tc>
          <w:tcPr>
            <w:tcW w:w="1717" w:type="dxa"/>
            <w:tcBorders>
              <w:right w:val="single" w:color="000000" w:sz="10" w:space="0"/>
            </w:tcBorders>
            <w:vAlign w:val="top"/>
          </w:tcPr>
          <w:p w14:paraId="2A4A844E">
            <w:pPr>
              <w:rPr>
                <w:rFonts w:ascii="Arial"/>
                <w:sz w:val="21"/>
              </w:rPr>
            </w:pPr>
          </w:p>
        </w:tc>
      </w:tr>
      <w:tr w14:paraId="6E22BF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1" w:hRule="atLeast"/>
        </w:trPr>
        <w:tc>
          <w:tcPr>
            <w:tcW w:w="1003" w:type="dxa"/>
            <w:tcBorders>
              <w:left w:val="single" w:color="000000" w:sz="10" w:space="0"/>
            </w:tcBorders>
            <w:vAlign w:val="top"/>
          </w:tcPr>
          <w:p w14:paraId="1A7A20C3">
            <w:pPr>
              <w:rPr>
                <w:rFonts w:ascii="Arial"/>
                <w:sz w:val="21"/>
              </w:rPr>
            </w:pPr>
          </w:p>
        </w:tc>
        <w:tc>
          <w:tcPr>
            <w:tcW w:w="1983" w:type="dxa"/>
            <w:vAlign w:val="top"/>
          </w:tcPr>
          <w:p w14:paraId="6B48F441">
            <w:pPr>
              <w:rPr>
                <w:rFonts w:ascii="Arial"/>
                <w:sz w:val="21"/>
              </w:rPr>
            </w:pPr>
          </w:p>
        </w:tc>
        <w:tc>
          <w:tcPr>
            <w:tcW w:w="847" w:type="dxa"/>
            <w:vAlign w:val="top"/>
          </w:tcPr>
          <w:p w14:paraId="35D0EB14">
            <w:pPr>
              <w:rPr>
                <w:rFonts w:ascii="Arial"/>
                <w:sz w:val="21"/>
              </w:rPr>
            </w:pPr>
          </w:p>
        </w:tc>
        <w:tc>
          <w:tcPr>
            <w:tcW w:w="771" w:type="dxa"/>
            <w:vAlign w:val="top"/>
          </w:tcPr>
          <w:p w14:paraId="07709E6C">
            <w:pPr>
              <w:rPr>
                <w:rFonts w:ascii="Arial"/>
                <w:sz w:val="21"/>
              </w:rPr>
            </w:pPr>
          </w:p>
        </w:tc>
        <w:tc>
          <w:tcPr>
            <w:tcW w:w="1350" w:type="dxa"/>
            <w:vAlign w:val="top"/>
          </w:tcPr>
          <w:p w14:paraId="4E7EB2AF">
            <w:pPr>
              <w:rPr>
                <w:rFonts w:ascii="Arial"/>
                <w:sz w:val="21"/>
              </w:rPr>
            </w:pPr>
          </w:p>
        </w:tc>
        <w:tc>
          <w:tcPr>
            <w:tcW w:w="1413" w:type="dxa"/>
            <w:vAlign w:val="top"/>
          </w:tcPr>
          <w:p w14:paraId="26030E0F">
            <w:pPr>
              <w:rPr>
                <w:rFonts w:ascii="Arial"/>
                <w:sz w:val="21"/>
              </w:rPr>
            </w:pPr>
          </w:p>
        </w:tc>
        <w:tc>
          <w:tcPr>
            <w:tcW w:w="1717" w:type="dxa"/>
            <w:tcBorders>
              <w:right w:val="single" w:color="000000" w:sz="10" w:space="0"/>
            </w:tcBorders>
            <w:vAlign w:val="top"/>
          </w:tcPr>
          <w:p w14:paraId="2FCF0614">
            <w:pPr>
              <w:rPr>
                <w:rFonts w:ascii="Arial"/>
                <w:sz w:val="21"/>
              </w:rPr>
            </w:pPr>
          </w:p>
        </w:tc>
      </w:tr>
      <w:tr w14:paraId="400852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003" w:type="dxa"/>
            <w:tcBorders>
              <w:left w:val="single" w:color="000000" w:sz="10" w:space="0"/>
            </w:tcBorders>
            <w:vAlign w:val="top"/>
          </w:tcPr>
          <w:p w14:paraId="44A0FBA9">
            <w:pPr>
              <w:rPr>
                <w:rFonts w:ascii="Arial"/>
                <w:sz w:val="21"/>
              </w:rPr>
            </w:pPr>
          </w:p>
        </w:tc>
        <w:tc>
          <w:tcPr>
            <w:tcW w:w="1983" w:type="dxa"/>
            <w:vAlign w:val="top"/>
          </w:tcPr>
          <w:p w14:paraId="647C9893">
            <w:pPr>
              <w:rPr>
                <w:rFonts w:ascii="Arial"/>
                <w:sz w:val="21"/>
              </w:rPr>
            </w:pPr>
          </w:p>
        </w:tc>
        <w:tc>
          <w:tcPr>
            <w:tcW w:w="847" w:type="dxa"/>
            <w:vAlign w:val="top"/>
          </w:tcPr>
          <w:p w14:paraId="137D33EC">
            <w:pPr>
              <w:rPr>
                <w:rFonts w:ascii="Arial"/>
                <w:sz w:val="21"/>
              </w:rPr>
            </w:pPr>
          </w:p>
        </w:tc>
        <w:tc>
          <w:tcPr>
            <w:tcW w:w="771" w:type="dxa"/>
            <w:vAlign w:val="top"/>
          </w:tcPr>
          <w:p w14:paraId="0E18374C">
            <w:pPr>
              <w:rPr>
                <w:rFonts w:ascii="Arial"/>
                <w:sz w:val="21"/>
              </w:rPr>
            </w:pPr>
          </w:p>
        </w:tc>
        <w:tc>
          <w:tcPr>
            <w:tcW w:w="1350" w:type="dxa"/>
            <w:vAlign w:val="top"/>
          </w:tcPr>
          <w:p w14:paraId="77E4B56C">
            <w:pPr>
              <w:rPr>
                <w:rFonts w:ascii="Arial"/>
                <w:sz w:val="21"/>
              </w:rPr>
            </w:pPr>
          </w:p>
        </w:tc>
        <w:tc>
          <w:tcPr>
            <w:tcW w:w="1413" w:type="dxa"/>
            <w:vAlign w:val="top"/>
          </w:tcPr>
          <w:p w14:paraId="1E915EA2">
            <w:pPr>
              <w:rPr>
                <w:rFonts w:ascii="Arial"/>
                <w:sz w:val="21"/>
              </w:rPr>
            </w:pPr>
          </w:p>
        </w:tc>
        <w:tc>
          <w:tcPr>
            <w:tcW w:w="1717" w:type="dxa"/>
            <w:tcBorders>
              <w:right w:val="single" w:color="000000" w:sz="10" w:space="0"/>
            </w:tcBorders>
            <w:vAlign w:val="top"/>
          </w:tcPr>
          <w:p w14:paraId="6FEE5663">
            <w:pPr>
              <w:rPr>
                <w:rFonts w:ascii="Arial"/>
                <w:sz w:val="21"/>
              </w:rPr>
            </w:pPr>
          </w:p>
        </w:tc>
      </w:tr>
      <w:tr w14:paraId="47151A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003" w:type="dxa"/>
            <w:tcBorders>
              <w:left w:val="single" w:color="000000" w:sz="10" w:space="0"/>
            </w:tcBorders>
            <w:vAlign w:val="top"/>
          </w:tcPr>
          <w:p w14:paraId="1345C9E6">
            <w:pPr>
              <w:rPr>
                <w:rFonts w:ascii="Arial"/>
                <w:sz w:val="21"/>
              </w:rPr>
            </w:pPr>
          </w:p>
        </w:tc>
        <w:tc>
          <w:tcPr>
            <w:tcW w:w="1983" w:type="dxa"/>
            <w:vAlign w:val="top"/>
          </w:tcPr>
          <w:p w14:paraId="435659CD">
            <w:pPr>
              <w:rPr>
                <w:rFonts w:ascii="Arial"/>
                <w:sz w:val="21"/>
              </w:rPr>
            </w:pPr>
          </w:p>
        </w:tc>
        <w:tc>
          <w:tcPr>
            <w:tcW w:w="847" w:type="dxa"/>
            <w:vAlign w:val="top"/>
          </w:tcPr>
          <w:p w14:paraId="6EFEE3CC">
            <w:pPr>
              <w:rPr>
                <w:rFonts w:ascii="Arial"/>
                <w:sz w:val="21"/>
              </w:rPr>
            </w:pPr>
          </w:p>
        </w:tc>
        <w:tc>
          <w:tcPr>
            <w:tcW w:w="771" w:type="dxa"/>
            <w:vAlign w:val="top"/>
          </w:tcPr>
          <w:p w14:paraId="6CD3E99B">
            <w:pPr>
              <w:rPr>
                <w:rFonts w:ascii="Arial"/>
                <w:sz w:val="21"/>
              </w:rPr>
            </w:pPr>
          </w:p>
        </w:tc>
        <w:tc>
          <w:tcPr>
            <w:tcW w:w="1350" w:type="dxa"/>
            <w:vAlign w:val="top"/>
          </w:tcPr>
          <w:p w14:paraId="50C396DF">
            <w:pPr>
              <w:rPr>
                <w:rFonts w:ascii="Arial"/>
                <w:sz w:val="21"/>
              </w:rPr>
            </w:pPr>
          </w:p>
        </w:tc>
        <w:tc>
          <w:tcPr>
            <w:tcW w:w="1413" w:type="dxa"/>
            <w:vAlign w:val="top"/>
          </w:tcPr>
          <w:p w14:paraId="5DB84CE7">
            <w:pPr>
              <w:rPr>
                <w:rFonts w:ascii="Arial"/>
                <w:sz w:val="21"/>
              </w:rPr>
            </w:pPr>
          </w:p>
        </w:tc>
        <w:tc>
          <w:tcPr>
            <w:tcW w:w="1717" w:type="dxa"/>
            <w:tcBorders>
              <w:right w:val="single" w:color="000000" w:sz="10" w:space="0"/>
            </w:tcBorders>
            <w:vAlign w:val="top"/>
          </w:tcPr>
          <w:p w14:paraId="41C076CC">
            <w:pPr>
              <w:rPr>
                <w:rFonts w:ascii="Arial"/>
                <w:sz w:val="21"/>
              </w:rPr>
            </w:pPr>
          </w:p>
        </w:tc>
      </w:tr>
      <w:tr w14:paraId="53DC17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003" w:type="dxa"/>
            <w:tcBorders>
              <w:left w:val="single" w:color="000000" w:sz="10" w:space="0"/>
            </w:tcBorders>
            <w:vAlign w:val="top"/>
          </w:tcPr>
          <w:p w14:paraId="14964A50">
            <w:pPr>
              <w:rPr>
                <w:rFonts w:ascii="Arial"/>
                <w:sz w:val="21"/>
              </w:rPr>
            </w:pPr>
          </w:p>
        </w:tc>
        <w:tc>
          <w:tcPr>
            <w:tcW w:w="1983" w:type="dxa"/>
            <w:vAlign w:val="top"/>
          </w:tcPr>
          <w:p w14:paraId="3B5AFB72">
            <w:pPr>
              <w:rPr>
                <w:rFonts w:ascii="Arial"/>
                <w:sz w:val="21"/>
              </w:rPr>
            </w:pPr>
          </w:p>
        </w:tc>
        <w:tc>
          <w:tcPr>
            <w:tcW w:w="847" w:type="dxa"/>
            <w:vAlign w:val="top"/>
          </w:tcPr>
          <w:p w14:paraId="41A4A9DF">
            <w:pPr>
              <w:rPr>
                <w:rFonts w:ascii="Arial"/>
                <w:sz w:val="21"/>
              </w:rPr>
            </w:pPr>
          </w:p>
        </w:tc>
        <w:tc>
          <w:tcPr>
            <w:tcW w:w="771" w:type="dxa"/>
            <w:vAlign w:val="top"/>
          </w:tcPr>
          <w:p w14:paraId="6FC02903">
            <w:pPr>
              <w:rPr>
                <w:rFonts w:ascii="Arial"/>
                <w:sz w:val="21"/>
              </w:rPr>
            </w:pPr>
          </w:p>
        </w:tc>
        <w:tc>
          <w:tcPr>
            <w:tcW w:w="1350" w:type="dxa"/>
            <w:vAlign w:val="top"/>
          </w:tcPr>
          <w:p w14:paraId="11EE4D93">
            <w:pPr>
              <w:rPr>
                <w:rFonts w:ascii="Arial"/>
                <w:sz w:val="21"/>
              </w:rPr>
            </w:pPr>
          </w:p>
        </w:tc>
        <w:tc>
          <w:tcPr>
            <w:tcW w:w="1413" w:type="dxa"/>
            <w:vAlign w:val="top"/>
          </w:tcPr>
          <w:p w14:paraId="335D4C7A">
            <w:pPr>
              <w:rPr>
                <w:rFonts w:ascii="Arial"/>
                <w:sz w:val="21"/>
              </w:rPr>
            </w:pPr>
          </w:p>
        </w:tc>
        <w:tc>
          <w:tcPr>
            <w:tcW w:w="1717" w:type="dxa"/>
            <w:tcBorders>
              <w:right w:val="single" w:color="000000" w:sz="10" w:space="0"/>
            </w:tcBorders>
            <w:vAlign w:val="top"/>
          </w:tcPr>
          <w:p w14:paraId="0276B4DD">
            <w:pPr>
              <w:rPr>
                <w:rFonts w:ascii="Arial"/>
                <w:sz w:val="21"/>
              </w:rPr>
            </w:pPr>
          </w:p>
        </w:tc>
      </w:tr>
      <w:tr w14:paraId="69BD82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6" w:hRule="atLeast"/>
        </w:trPr>
        <w:tc>
          <w:tcPr>
            <w:tcW w:w="1003" w:type="dxa"/>
            <w:tcBorders>
              <w:left w:val="single" w:color="000000" w:sz="10" w:space="0"/>
            </w:tcBorders>
            <w:vAlign w:val="top"/>
          </w:tcPr>
          <w:p w14:paraId="41E06B39">
            <w:pPr>
              <w:rPr>
                <w:rFonts w:ascii="Arial"/>
                <w:sz w:val="21"/>
              </w:rPr>
            </w:pPr>
          </w:p>
        </w:tc>
        <w:tc>
          <w:tcPr>
            <w:tcW w:w="1983" w:type="dxa"/>
            <w:vAlign w:val="top"/>
          </w:tcPr>
          <w:p w14:paraId="1EF2ECC4">
            <w:pPr>
              <w:rPr>
                <w:rFonts w:ascii="Arial"/>
                <w:sz w:val="21"/>
              </w:rPr>
            </w:pPr>
          </w:p>
        </w:tc>
        <w:tc>
          <w:tcPr>
            <w:tcW w:w="847" w:type="dxa"/>
            <w:vAlign w:val="top"/>
          </w:tcPr>
          <w:p w14:paraId="437F7984">
            <w:pPr>
              <w:rPr>
                <w:rFonts w:ascii="Arial"/>
                <w:sz w:val="21"/>
              </w:rPr>
            </w:pPr>
          </w:p>
        </w:tc>
        <w:tc>
          <w:tcPr>
            <w:tcW w:w="771" w:type="dxa"/>
            <w:vAlign w:val="top"/>
          </w:tcPr>
          <w:p w14:paraId="00BC9C8E">
            <w:pPr>
              <w:rPr>
                <w:rFonts w:ascii="Arial"/>
                <w:sz w:val="21"/>
              </w:rPr>
            </w:pPr>
          </w:p>
        </w:tc>
        <w:tc>
          <w:tcPr>
            <w:tcW w:w="1350" w:type="dxa"/>
            <w:vAlign w:val="top"/>
          </w:tcPr>
          <w:p w14:paraId="72509F07">
            <w:pPr>
              <w:rPr>
                <w:rFonts w:ascii="Arial"/>
                <w:sz w:val="21"/>
              </w:rPr>
            </w:pPr>
          </w:p>
        </w:tc>
        <w:tc>
          <w:tcPr>
            <w:tcW w:w="1413" w:type="dxa"/>
            <w:vAlign w:val="top"/>
          </w:tcPr>
          <w:p w14:paraId="198D4138">
            <w:pPr>
              <w:rPr>
                <w:rFonts w:ascii="Arial"/>
                <w:sz w:val="21"/>
              </w:rPr>
            </w:pPr>
          </w:p>
        </w:tc>
        <w:tc>
          <w:tcPr>
            <w:tcW w:w="1717" w:type="dxa"/>
            <w:tcBorders>
              <w:right w:val="single" w:color="000000" w:sz="10" w:space="0"/>
            </w:tcBorders>
            <w:vAlign w:val="top"/>
          </w:tcPr>
          <w:p w14:paraId="596CE944">
            <w:pPr>
              <w:rPr>
                <w:rFonts w:ascii="Arial"/>
                <w:sz w:val="21"/>
              </w:rPr>
            </w:pPr>
          </w:p>
        </w:tc>
      </w:tr>
      <w:tr w14:paraId="451CC3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0" w:hRule="atLeast"/>
        </w:trPr>
        <w:tc>
          <w:tcPr>
            <w:tcW w:w="1003" w:type="dxa"/>
            <w:tcBorders>
              <w:left w:val="single" w:color="000000" w:sz="10" w:space="0"/>
            </w:tcBorders>
            <w:vAlign w:val="top"/>
          </w:tcPr>
          <w:p w14:paraId="4FB3E86E">
            <w:pPr>
              <w:rPr>
                <w:rFonts w:ascii="Arial"/>
                <w:sz w:val="21"/>
              </w:rPr>
            </w:pPr>
          </w:p>
        </w:tc>
        <w:tc>
          <w:tcPr>
            <w:tcW w:w="1983" w:type="dxa"/>
            <w:vAlign w:val="top"/>
          </w:tcPr>
          <w:p w14:paraId="70A4B494">
            <w:pPr>
              <w:rPr>
                <w:rFonts w:ascii="Arial"/>
                <w:sz w:val="21"/>
              </w:rPr>
            </w:pPr>
          </w:p>
        </w:tc>
        <w:tc>
          <w:tcPr>
            <w:tcW w:w="847" w:type="dxa"/>
            <w:vAlign w:val="top"/>
          </w:tcPr>
          <w:p w14:paraId="2D770A20">
            <w:pPr>
              <w:rPr>
                <w:rFonts w:ascii="Arial"/>
                <w:sz w:val="21"/>
              </w:rPr>
            </w:pPr>
          </w:p>
        </w:tc>
        <w:tc>
          <w:tcPr>
            <w:tcW w:w="771" w:type="dxa"/>
            <w:vAlign w:val="top"/>
          </w:tcPr>
          <w:p w14:paraId="4D6D0B35">
            <w:pPr>
              <w:rPr>
                <w:rFonts w:ascii="Arial"/>
                <w:sz w:val="21"/>
              </w:rPr>
            </w:pPr>
          </w:p>
        </w:tc>
        <w:tc>
          <w:tcPr>
            <w:tcW w:w="1350" w:type="dxa"/>
            <w:vAlign w:val="top"/>
          </w:tcPr>
          <w:p w14:paraId="219A7618">
            <w:pPr>
              <w:rPr>
                <w:rFonts w:ascii="Arial"/>
                <w:sz w:val="21"/>
              </w:rPr>
            </w:pPr>
          </w:p>
        </w:tc>
        <w:tc>
          <w:tcPr>
            <w:tcW w:w="1413" w:type="dxa"/>
            <w:vAlign w:val="top"/>
          </w:tcPr>
          <w:p w14:paraId="35002289">
            <w:pPr>
              <w:rPr>
                <w:rFonts w:ascii="Arial"/>
                <w:sz w:val="21"/>
              </w:rPr>
            </w:pPr>
          </w:p>
        </w:tc>
        <w:tc>
          <w:tcPr>
            <w:tcW w:w="1717" w:type="dxa"/>
            <w:tcBorders>
              <w:right w:val="single" w:color="000000" w:sz="10" w:space="0"/>
            </w:tcBorders>
            <w:vAlign w:val="top"/>
          </w:tcPr>
          <w:p w14:paraId="36D2FD1E">
            <w:pPr>
              <w:rPr>
                <w:rFonts w:ascii="Arial"/>
                <w:sz w:val="21"/>
              </w:rPr>
            </w:pPr>
          </w:p>
        </w:tc>
      </w:tr>
      <w:tr w14:paraId="622F3F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003" w:type="dxa"/>
            <w:tcBorders>
              <w:left w:val="single" w:color="000000" w:sz="10" w:space="0"/>
            </w:tcBorders>
            <w:vAlign w:val="top"/>
          </w:tcPr>
          <w:p w14:paraId="7F0D3747">
            <w:pPr>
              <w:rPr>
                <w:rFonts w:ascii="Arial"/>
                <w:sz w:val="21"/>
              </w:rPr>
            </w:pPr>
          </w:p>
        </w:tc>
        <w:tc>
          <w:tcPr>
            <w:tcW w:w="1983" w:type="dxa"/>
            <w:vAlign w:val="top"/>
          </w:tcPr>
          <w:p w14:paraId="1D682E35">
            <w:pPr>
              <w:rPr>
                <w:rFonts w:ascii="Arial"/>
                <w:sz w:val="21"/>
              </w:rPr>
            </w:pPr>
          </w:p>
        </w:tc>
        <w:tc>
          <w:tcPr>
            <w:tcW w:w="847" w:type="dxa"/>
            <w:vAlign w:val="top"/>
          </w:tcPr>
          <w:p w14:paraId="5731177F">
            <w:pPr>
              <w:rPr>
                <w:rFonts w:ascii="Arial"/>
                <w:sz w:val="21"/>
              </w:rPr>
            </w:pPr>
          </w:p>
        </w:tc>
        <w:tc>
          <w:tcPr>
            <w:tcW w:w="771" w:type="dxa"/>
            <w:vAlign w:val="top"/>
          </w:tcPr>
          <w:p w14:paraId="4BE23E4F">
            <w:pPr>
              <w:rPr>
                <w:rFonts w:ascii="Arial"/>
                <w:sz w:val="21"/>
              </w:rPr>
            </w:pPr>
          </w:p>
        </w:tc>
        <w:tc>
          <w:tcPr>
            <w:tcW w:w="1350" w:type="dxa"/>
            <w:vAlign w:val="top"/>
          </w:tcPr>
          <w:p w14:paraId="2F26E142">
            <w:pPr>
              <w:rPr>
                <w:rFonts w:ascii="Arial"/>
                <w:sz w:val="21"/>
              </w:rPr>
            </w:pPr>
          </w:p>
        </w:tc>
        <w:tc>
          <w:tcPr>
            <w:tcW w:w="1413" w:type="dxa"/>
            <w:vAlign w:val="top"/>
          </w:tcPr>
          <w:p w14:paraId="22D40DE4">
            <w:pPr>
              <w:rPr>
                <w:rFonts w:ascii="Arial"/>
                <w:sz w:val="21"/>
              </w:rPr>
            </w:pPr>
          </w:p>
        </w:tc>
        <w:tc>
          <w:tcPr>
            <w:tcW w:w="1717" w:type="dxa"/>
            <w:tcBorders>
              <w:right w:val="single" w:color="000000" w:sz="10" w:space="0"/>
            </w:tcBorders>
            <w:vAlign w:val="top"/>
          </w:tcPr>
          <w:p w14:paraId="231D4A98">
            <w:pPr>
              <w:rPr>
                <w:rFonts w:ascii="Arial"/>
                <w:sz w:val="21"/>
              </w:rPr>
            </w:pPr>
          </w:p>
        </w:tc>
      </w:tr>
      <w:tr w14:paraId="5A0131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003" w:type="dxa"/>
            <w:tcBorders>
              <w:left w:val="single" w:color="000000" w:sz="10" w:space="0"/>
            </w:tcBorders>
            <w:vAlign w:val="top"/>
          </w:tcPr>
          <w:p w14:paraId="29DEA89F">
            <w:pPr>
              <w:rPr>
                <w:rFonts w:ascii="Arial"/>
                <w:sz w:val="21"/>
              </w:rPr>
            </w:pPr>
          </w:p>
        </w:tc>
        <w:tc>
          <w:tcPr>
            <w:tcW w:w="1983" w:type="dxa"/>
            <w:vAlign w:val="top"/>
          </w:tcPr>
          <w:p w14:paraId="4AF2872A">
            <w:pPr>
              <w:rPr>
                <w:rFonts w:ascii="Arial"/>
                <w:sz w:val="21"/>
              </w:rPr>
            </w:pPr>
          </w:p>
        </w:tc>
        <w:tc>
          <w:tcPr>
            <w:tcW w:w="847" w:type="dxa"/>
            <w:vAlign w:val="top"/>
          </w:tcPr>
          <w:p w14:paraId="23EDCB97">
            <w:pPr>
              <w:rPr>
                <w:rFonts w:ascii="Arial"/>
                <w:sz w:val="21"/>
              </w:rPr>
            </w:pPr>
          </w:p>
        </w:tc>
        <w:tc>
          <w:tcPr>
            <w:tcW w:w="771" w:type="dxa"/>
            <w:vAlign w:val="top"/>
          </w:tcPr>
          <w:p w14:paraId="19700B60">
            <w:pPr>
              <w:rPr>
                <w:rFonts w:ascii="Arial"/>
                <w:sz w:val="21"/>
              </w:rPr>
            </w:pPr>
          </w:p>
        </w:tc>
        <w:tc>
          <w:tcPr>
            <w:tcW w:w="1350" w:type="dxa"/>
            <w:vAlign w:val="top"/>
          </w:tcPr>
          <w:p w14:paraId="7197B89F">
            <w:pPr>
              <w:rPr>
                <w:rFonts w:ascii="Arial"/>
                <w:sz w:val="21"/>
              </w:rPr>
            </w:pPr>
          </w:p>
        </w:tc>
        <w:tc>
          <w:tcPr>
            <w:tcW w:w="1413" w:type="dxa"/>
            <w:vAlign w:val="top"/>
          </w:tcPr>
          <w:p w14:paraId="090581A8">
            <w:pPr>
              <w:rPr>
                <w:rFonts w:ascii="Arial"/>
                <w:sz w:val="21"/>
              </w:rPr>
            </w:pPr>
          </w:p>
        </w:tc>
        <w:tc>
          <w:tcPr>
            <w:tcW w:w="1717" w:type="dxa"/>
            <w:tcBorders>
              <w:right w:val="single" w:color="000000" w:sz="10" w:space="0"/>
            </w:tcBorders>
            <w:vAlign w:val="top"/>
          </w:tcPr>
          <w:p w14:paraId="4FCD4F26">
            <w:pPr>
              <w:rPr>
                <w:rFonts w:ascii="Arial"/>
                <w:sz w:val="21"/>
              </w:rPr>
            </w:pPr>
          </w:p>
        </w:tc>
      </w:tr>
      <w:tr w14:paraId="43B5F2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1003" w:type="dxa"/>
            <w:tcBorders>
              <w:left w:val="single" w:color="000000" w:sz="10" w:space="0"/>
              <w:bottom w:val="single" w:color="000000" w:sz="10" w:space="0"/>
            </w:tcBorders>
            <w:vAlign w:val="top"/>
          </w:tcPr>
          <w:p w14:paraId="2CCDD5DD">
            <w:pPr>
              <w:rPr>
                <w:rFonts w:ascii="Arial"/>
                <w:sz w:val="21"/>
              </w:rPr>
            </w:pPr>
          </w:p>
        </w:tc>
        <w:tc>
          <w:tcPr>
            <w:tcW w:w="1983" w:type="dxa"/>
            <w:tcBorders>
              <w:bottom w:val="single" w:color="000000" w:sz="10" w:space="0"/>
            </w:tcBorders>
            <w:vAlign w:val="top"/>
          </w:tcPr>
          <w:p w14:paraId="7F08C422">
            <w:pPr>
              <w:rPr>
                <w:rFonts w:ascii="Arial"/>
                <w:sz w:val="21"/>
              </w:rPr>
            </w:pPr>
          </w:p>
        </w:tc>
        <w:tc>
          <w:tcPr>
            <w:tcW w:w="847" w:type="dxa"/>
            <w:tcBorders>
              <w:bottom w:val="single" w:color="000000" w:sz="10" w:space="0"/>
            </w:tcBorders>
            <w:vAlign w:val="top"/>
          </w:tcPr>
          <w:p w14:paraId="57E613D1">
            <w:pPr>
              <w:rPr>
                <w:rFonts w:ascii="Arial"/>
                <w:sz w:val="21"/>
              </w:rPr>
            </w:pPr>
          </w:p>
        </w:tc>
        <w:tc>
          <w:tcPr>
            <w:tcW w:w="771" w:type="dxa"/>
            <w:tcBorders>
              <w:bottom w:val="single" w:color="000000" w:sz="10" w:space="0"/>
            </w:tcBorders>
            <w:vAlign w:val="top"/>
          </w:tcPr>
          <w:p w14:paraId="4704FB27">
            <w:pPr>
              <w:rPr>
                <w:rFonts w:ascii="Arial"/>
                <w:sz w:val="21"/>
              </w:rPr>
            </w:pPr>
          </w:p>
        </w:tc>
        <w:tc>
          <w:tcPr>
            <w:tcW w:w="1350" w:type="dxa"/>
            <w:tcBorders>
              <w:bottom w:val="single" w:color="000000" w:sz="10" w:space="0"/>
            </w:tcBorders>
            <w:vAlign w:val="top"/>
          </w:tcPr>
          <w:p w14:paraId="516679E2">
            <w:pPr>
              <w:rPr>
                <w:rFonts w:ascii="Arial"/>
                <w:sz w:val="21"/>
              </w:rPr>
            </w:pPr>
          </w:p>
        </w:tc>
        <w:tc>
          <w:tcPr>
            <w:tcW w:w="1413" w:type="dxa"/>
            <w:tcBorders>
              <w:bottom w:val="single" w:color="000000" w:sz="10" w:space="0"/>
            </w:tcBorders>
            <w:vAlign w:val="top"/>
          </w:tcPr>
          <w:p w14:paraId="59668755">
            <w:pPr>
              <w:rPr>
                <w:rFonts w:ascii="Arial"/>
                <w:sz w:val="21"/>
              </w:rPr>
            </w:pPr>
          </w:p>
        </w:tc>
        <w:tc>
          <w:tcPr>
            <w:tcW w:w="1717" w:type="dxa"/>
            <w:tcBorders>
              <w:bottom w:val="single" w:color="000000" w:sz="10" w:space="0"/>
              <w:right w:val="single" w:color="000000" w:sz="10" w:space="0"/>
            </w:tcBorders>
            <w:vAlign w:val="top"/>
          </w:tcPr>
          <w:p w14:paraId="5BA07EB5">
            <w:pPr>
              <w:rPr>
                <w:rFonts w:ascii="Arial"/>
                <w:sz w:val="21"/>
              </w:rPr>
            </w:pPr>
          </w:p>
        </w:tc>
      </w:tr>
    </w:tbl>
    <w:p w14:paraId="55E49334">
      <w:pPr>
        <w:pStyle w:val="3"/>
      </w:pPr>
    </w:p>
    <w:p w14:paraId="0DBC94BF">
      <w:pPr>
        <w:sectPr>
          <w:footerReference r:id="rId157" w:type="default"/>
          <w:pgSz w:w="11905" w:h="16839"/>
          <w:pgMar w:top="400" w:right="1114" w:bottom="1004" w:left="1680" w:header="0" w:footer="828" w:gutter="0"/>
          <w:pgNumType w:fmt="decimal"/>
          <w:cols w:space="720" w:num="1"/>
        </w:sectPr>
      </w:pPr>
    </w:p>
    <w:p w14:paraId="38806455">
      <w:pPr>
        <w:pStyle w:val="3"/>
        <w:spacing w:line="265" w:lineRule="auto"/>
      </w:pPr>
    </w:p>
    <w:p w14:paraId="0855C63E">
      <w:pPr>
        <w:pStyle w:val="3"/>
        <w:spacing w:line="265" w:lineRule="auto"/>
      </w:pPr>
    </w:p>
    <w:p w14:paraId="5AF599CE">
      <w:pPr>
        <w:pStyle w:val="3"/>
        <w:spacing w:line="265" w:lineRule="auto"/>
      </w:pPr>
    </w:p>
    <w:p w14:paraId="69B8C432">
      <w:pPr>
        <w:pStyle w:val="3"/>
        <w:spacing w:line="266" w:lineRule="auto"/>
      </w:pPr>
    </w:p>
    <w:p w14:paraId="28A93C85">
      <w:pPr>
        <w:spacing w:before="88" w:line="225" w:lineRule="auto"/>
        <w:ind w:left="2847"/>
        <w:rPr>
          <w:rFonts w:ascii="黑体" w:hAnsi="黑体" w:eastAsia="黑体" w:cs="黑体"/>
          <w:sz w:val="27"/>
          <w:szCs w:val="27"/>
        </w:rPr>
      </w:pPr>
      <w:bookmarkStart w:id="1281" w:name="bookmark235"/>
      <w:bookmarkEnd w:id="1281"/>
      <w:r>
        <w:rPr>
          <w:rFonts w:ascii="Times New Roman" w:hAnsi="Times New Roman" w:eastAsia="Times New Roman" w:cs="Times New Roman"/>
          <w:spacing w:val="2"/>
          <w:sz w:val="24"/>
          <w:szCs w:val="24"/>
        </w:rPr>
        <w:t>11-2</w:t>
      </w:r>
      <w:r>
        <w:rPr>
          <w:rFonts w:ascii="宋体" w:hAnsi="宋体" w:eastAsia="宋体" w:cs="宋体"/>
          <w:spacing w:val="2"/>
          <w:sz w:val="24"/>
          <w:szCs w:val="24"/>
        </w:rPr>
        <w:t>：</w:t>
      </w:r>
      <w:r>
        <w:rPr>
          <w:rFonts w:ascii="黑体" w:hAnsi="黑体" w:eastAsia="黑体" w:cs="黑体"/>
          <w:spacing w:val="2"/>
          <w:sz w:val="27"/>
          <w:szCs w:val="27"/>
        </w:rPr>
        <w:t>工程设备暂估价表</w:t>
      </w:r>
    </w:p>
    <w:p w14:paraId="339E1180">
      <w:pPr>
        <w:spacing w:line="117" w:lineRule="exact"/>
      </w:pPr>
    </w:p>
    <w:tbl>
      <w:tblPr>
        <w:tblStyle w:val="10"/>
        <w:tblW w:w="9084" w:type="dxa"/>
        <w:tblInd w:w="1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03"/>
        <w:gridCol w:w="1983"/>
        <w:gridCol w:w="847"/>
        <w:gridCol w:w="771"/>
        <w:gridCol w:w="1350"/>
        <w:gridCol w:w="1413"/>
        <w:gridCol w:w="1717"/>
      </w:tblGrid>
      <w:tr w14:paraId="5B8F01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2" w:hRule="atLeast"/>
        </w:trPr>
        <w:tc>
          <w:tcPr>
            <w:tcW w:w="1003" w:type="dxa"/>
            <w:tcBorders>
              <w:top w:val="single" w:color="000000" w:sz="10" w:space="0"/>
              <w:left w:val="single" w:color="000000" w:sz="10" w:space="0"/>
            </w:tcBorders>
            <w:vAlign w:val="top"/>
          </w:tcPr>
          <w:p w14:paraId="1653228E">
            <w:pPr>
              <w:pStyle w:val="11"/>
              <w:spacing w:before="177" w:line="222" w:lineRule="auto"/>
              <w:ind w:left="290"/>
            </w:pPr>
            <w:r>
              <w:rPr>
                <w:spacing w:val="-2"/>
              </w:rPr>
              <w:t>序号</w:t>
            </w:r>
          </w:p>
        </w:tc>
        <w:tc>
          <w:tcPr>
            <w:tcW w:w="1983" w:type="dxa"/>
            <w:tcBorders>
              <w:top w:val="single" w:color="000000" w:sz="10" w:space="0"/>
            </w:tcBorders>
            <w:vAlign w:val="top"/>
          </w:tcPr>
          <w:p w14:paraId="26B442F4">
            <w:pPr>
              <w:pStyle w:val="11"/>
              <w:spacing w:before="177" w:line="223" w:lineRule="auto"/>
              <w:ind w:left="781"/>
            </w:pPr>
            <w:r>
              <w:rPr>
                <w:spacing w:val="-3"/>
              </w:rPr>
              <w:t>名称</w:t>
            </w:r>
          </w:p>
        </w:tc>
        <w:tc>
          <w:tcPr>
            <w:tcW w:w="847" w:type="dxa"/>
            <w:tcBorders>
              <w:top w:val="single" w:color="000000" w:sz="10" w:space="0"/>
            </w:tcBorders>
            <w:vAlign w:val="top"/>
          </w:tcPr>
          <w:p w14:paraId="6A229A4D">
            <w:pPr>
              <w:pStyle w:val="11"/>
              <w:spacing w:before="177" w:line="221" w:lineRule="auto"/>
              <w:ind w:left="219"/>
            </w:pPr>
            <w:r>
              <w:rPr>
                <w:spacing w:val="-2"/>
              </w:rPr>
              <w:t>单位</w:t>
            </w:r>
          </w:p>
        </w:tc>
        <w:tc>
          <w:tcPr>
            <w:tcW w:w="771" w:type="dxa"/>
            <w:tcBorders>
              <w:top w:val="single" w:color="000000" w:sz="10" w:space="0"/>
            </w:tcBorders>
            <w:vAlign w:val="top"/>
          </w:tcPr>
          <w:p w14:paraId="1D682C15">
            <w:pPr>
              <w:pStyle w:val="11"/>
              <w:spacing w:before="177" w:line="221" w:lineRule="auto"/>
              <w:ind w:left="183"/>
            </w:pPr>
            <w:r>
              <w:rPr>
                <w:spacing w:val="-2"/>
              </w:rPr>
              <w:t>数量</w:t>
            </w:r>
          </w:p>
        </w:tc>
        <w:tc>
          <w:tcPr>
            <w:tcW w:w="1350" w:type="dxa"/>
            <w:tcBorders>
              <w:top w:val="single" w:color="000000" w:sz="10" w:space="0"/>
            </w:tcBorders>
            <w:vAlign w:val="top"/>
          </w:tcPr>
          <w:p w14:paraId="2227701A">
            <w:pPr>
              <w:pStyle w:val="11"/>
              <w:spacing w:before="177" w:line="219" w:lineRule="auto"/>
              <w:ind w:left="156"/>
            </w:pPr>
            <w:r>
              <w:rPr>
                <w:spacing w:val="-3"/>
              </w:rPr>
              <w:t>单价（元）</w:t>
            </w:r>
          </w:p>
        </w:tc>
        <w:tc>
          <w:tcPr>
            <w:tcW w:w="1413" w:type="dxa"/>
            <w:tcBorders>
              <w:top w:val="single" w:color="000000" w:sz="10" w:space="0"/>
            </w:tcBorders>
            <w:vAlign w:val="top"/>
          </w:tcPr>
          <w:p w14:paraId="33D1BF32">
            <w:pPr>
              <w:pStyle w:val="11"/>
              <w:spacing w:before="177" w:line="219" w:lineRule="auto"/>
              <w:ind w:left="193"/>
            </w:pPr>
            <w:r>
              <w:rPr>
                <w:spacing w:val="-3"/>
              </w:rPr>
              <w:t>合价（元）</w:t>
            </w:r>
          </w:p>
        </w:tc>
        <w:tc>
          <w:tcPr>
            <w:tcW w:w="1717" w:type="dxa"/>
            <w:tcBorders>
              <w:top w:val="single" w:color="000000" w:sz="10" w:space="0"/>
              <w:right w:val="single" w:color="000000" w:sz="10" w:space="0"/>
            </w:tcBorders>
            <w:vAlign w:val="top"/>
          </w:tcPr>
          <w:p w14:paraId="481598A1">
            <w:pPr>
              <w:pStyle w:val="11"/>
              <w:spacing w:before="177" w:line="222" w:lineRule="auto"/>
              <w:ind w:left="659"/>
            </w:pPr>
            <w:r>
              <w:rPr>
                <w:spacing w:val="-3"/>
              </w:rPr>
              <w:t>备注</w:t>
            </w:r>
          </w:p>
        </w:tc>
      </w:tr>
      <w:tr w14:paraId="20D9C2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4" w:hRule="atLeast"/>
        </w:trPr>
        <w:tc>
          <w:tcPr>
            <w:tcW w:w="1003" w:type="dxa"/>
            <w:tcBorders>
              <w:left w:val="single" w:color="000000" w:sz="10" w:space="0"/>
            </w:tcBorders>
            <w:vAlign w:val="top"/>
          </w:tcPr>
          <w:p w14:paraId="5001C825">
            <w:pPr>
              <w:rPr>
                <w:rFonts w:ascii="Arial"/>
                <w:sz w:val="21"/>
              </w:rPr>
            </w:pPr>
          </w:p>
        </w:tc>
        <w:tc>
          <w:tcPr>
            <w:tcW w:w="1983" w:type="dxa"/>
            <w:vAlign w:val="top"/>
          </w:tcPr>
          <w:p w14:paraId="7B0B77E6">
            <w:pPr>
              <w:rPr>
                <w:rFonts w:ascii="Arial"/>
                <w:sz w:val="21"/>
              </w:rPr>
            </w:pPr>
          </w:p>
        </w:tc>
        <w:tc>
          <w:tcPr>
            <w:tcW w:w="847" w:type="dxa"/>
            <w:vAlign w:val="top"/>
          </w:tcPr>
          <w:p w14:paraId="13F30A62">
            <w:pPr>
              <w:rPr>
                <w:rFonts w:ascii="Arial"/>
                <w:sz w:val="21"/>
              </w:rPr>
            </w:pPr>
          </w:p>
        </w:tc>
        <w:tc>
          <w:tcPr>
            <w:tcW w:w="771" w:type="dxa"/>
            <w:vAlign w:val="top"/>
          </w:tcPr>
          <w:p w14:paraId="30EF20E7">
            <w:pPr>
              <w:rPr>
                <w:rFonts w:ascii="Arial"/>
                <w:sz w:val="21"/>
              </w:rPr>
            </w:pPr>
          </w:p>
        </w:tc>
        <w:tc>
          <w:tcPr>
            <w:tcW w:w="1350" w:type="dxa"/>
            <w:vAlign w:val="top"/>
          </w:tcPr>
          <w:p w14:paraId="4CEA6A30">
            <w:pPr>
              <w:rPr>
                <w:rFonts w:ascii="Arial"/>
                <w:sz w:val="21"/>
              </w:rPr>
            </w:pPr>
          </w:p>
        </w:tc>
        <w:tc>
          <w:tcPr>
            <w:tcW w:w="1413" w:type="dxa"/>
            <w:vAlign w:val="top"/>
          </w:tcPr>
          <w:p w14:paraId="73A8C0AC">
            <w:pPr>
              <w:rPr>
                <w:rFonts w:ascii="Arial"/>
                <w:sz w:val="21"/>
              </w:rPr>
            </w:pPr>
          </w:p>
        </w:tc>
        <w:tc>
          <w:tcPr>
            <w:tcW w:w="1717" w:type="dxa"/>
            <w:tcBorders>
              <w:right w:val="single" w:color="000000" w:sz="10" w:space="0"/>
            </w:tcBorders>
            <w:vAlign w:val="top"/>
          </w:tcPr>
          <w:p w14:paraId="45D5DB72">
            <w:pPr>
              <w:rPr>
                <w:rFonts w:ascii="Arial"/>
                <w:sz w:val="21"/>
              </w:rPr>
            </w:pPr>
          </w:p>
        </w:tc>
      </w:tr>
      <w:tr w14:paraId="1CC162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0" w:hRule="atLeast"/>
        </w:trPr>
        <w:tc>
          <w:tcPr>
            <w:tcW w:w="1003" w:type="dxa"/>
            <w:tcBorders>
              <w:left w:val="single" w:color="000000" w:sz="10" w:space="0"/>
            </w:tcBorders>
            <w:vAlign w:val="top"/>
          </w:tcPr>
          <w:p w14:paraId="360296B8">
            <w:pPr>
              <w:rPr>
                <w:rFonts w:ascii="Arial"/>
                <w:sz w:val="21"/>
              </w:rPr>
            </w:pPr>
          </w:p>
        </w:tc>
        <w:tc>
          <w:tcPr>
            <w:tcW w:w="1983" w:type="dxa"/>
            <w:vAlign w:val="top"/>
          </w:tcPr>
          <w:p w14:paraId="1CE9FF23">
            <w:pPr>
              <w:rPr>
                <w:rFonts w:ascii="Arial"/>
                <w:sz w:val="21"/>
              </w:rPr>
            </w:pPr>
          </w:p>
        </w:tc>
        <w:tc>
          <w:tcPr>
            <w:tcW w:w="847" w:type="dxa"/>
            <w:vAlign w:val="top"/>
          </w:tcPr>
          <w:p w14:paraId="0F60472F">
            <w:pPr>
              <w:rPr>
                <w:rFonts w:ascii="Arial"/>
                <w:sz w:val="21"/>
              </w:rPr>
            </w:pPr>
          </w:p>
        </w:tc>
        <w:tc>
          <w:tcPr>
            <w:tcW w:w="771" w:type="dxa"/>
            <w:vAlign w:val="top"/>
          </w:tcPr>
          <w:p w14:paraId="10B6C736">
            <w:pPr>
              <w:rPr>
                <w:rFonts w:ascii="Arial"/>
                <w:sz w:val="21"/>
              </w:rPr>
            </w:pPr>
          </w:p>
        </w:tc>
        <w:tc>
          <w:tcPr>
            <w:tcW w:w="1350" w:type="dxa"/>
            <w:vAlign w:val="top"/>
          </w:tcPr>
          <w:p w14:paraId="472B98ED">
            <w:pPr>
              <w:rPr>
                <w:rFonts w:ascii="Arial"/>
                <w:sz w:val="21"/>
              </w:rPr>
            </w:pPr>
          </w:p>
        </w:tc>
        <w:tc>
          <w:tcPr>
            <w:tcW w:w="1413" w:type="dxa"/>
            <w:vAlign w:val="top"/>
          </w:tcPr>
          <w:p w14:paraId="715CDB88">
            <w:pPr>
              <w:rPr>
                <w:rFonts w:ascii="Arial"/>
                <w:sz w:val="21"/>
              </w:rPr>
            </w:pPr>
          </w:p>
        </w:tc>
        <w:tc>
          <w:tcPr>
            <w:tcW w:w="1717" w:type="dxa"/>
            <w:tcBorders>
              <w:right w:val="single" w:color="000000" w:sz="10" w:space="0"/>
            </w:tcBorders>
            <w:vAlign w:val="top"/>
          </w:tcPr>
          <w:p w14:paraId="3AD585CF">
            <w:pPr>
              <w:rPr>
                <w:rFonts w:ascii="Arial"/>
                <w:sz w:val="21"/>
              </w:rPr>
            </w:pPr>
          </w:p>
        </w:tc>
      </w:tr>
      <w:tr w14:paraId="6A5A3C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003" w:type="dxa"/>
            <w:tcBorders>
              <w:left w:val="single" w:color="000000" w:sz="10" w:space="0"/>
            </w:tcBorders>
            <w:vAlign w:val="top"/>
          </w:tcPr>
          <w:p w14:paraId="0FD885B0">
            <w:pPr>
              <w:rPr>
                <w:rFonts w:ascii="Arial"/>
                <w:sz w:val="21"/>
              </w:rPr>
            </w:pPr>
          </w:p>
        </w:tc>
        <w:tc>
          <w:tcPr>
            <w:tcW w:w="1983" w:type="dxa"/>
            <w:vAlign w:val="top"/>
          </w:tcPr>
          <w:p w14:paraId="4F240B10">
            <w:pPr>
              <w:rPr>
                <w:rFonts w:ascii="Arial"/>
                <w:sz w:val="21"/>
              </w:rPr>
            </w:pPr>
          </w:p>
        </w:tc>
        <w:tc>
          <w:tcPr>
            <w:tcW w:w="847" w:type="dxa"/>
            <w:vAlign w:val="top"/>
          </w:tcPr>
          <w:p w14:paraId="5DFD8B2E">
            <w:pPr>
              <w:rPr>
                <w:rFonts w:ascii="Arial"/>
                <w:sz w:val="21"/>
              </w:rPr>
            </w:pPr>
          </w:p>
        </w:tc>
        <w:tc>
          <w:tcPr>
            <w:tcW w:w="771" w:type="dxa"/>
            <w:vAlign w:val="top"/>
          </w:tcPr>
          <w:p w14:paraId="32524483">
            <w:pPr>
              <w:rPr>
                <w:rFonts w:ascii="Arial"/>
                <w:sz w:val="21"/>
              </w:rPr>
            </w:pPr>
          </w:p>
        </w:tc>
        <w:tc>
          <w:tcPr>
            <w:tcW w:w="1350" w:type="dxa"/>
            <w:vAlign w:val="top"/>
          </w:tcPr>
          <w:p w14:paraId="40CFE545">
            <w:pPr>
              <w:rPr>
                <w:rFonts w:ascii="Arial"/>
                <w:sz w:val="21"/>
              </w:rPr>
            </w:pPr>
          </w:p>
        </w:tc>
        <w:tc>
          <w:tcPr>
            <w:tcW w:w="1413" w:type="dxa"/>
            <w:vAlign w:val="top"/>
          </w:tcPr>
          <w:p w14:paraId="62EE022E">
            <w:pPr>
              <w:rPr>
                <w:rFonts w:ascii="Arial"/>
                <w:sz w:val="21"/>
              </w:rPr>
            </w:pPr>
          </w:p>
        </w:tc>
        <w:tc>
          <w:tcPr>
            <w:tcW w:w="1717" w:type="dxa"/>
            <w:tcBorders>
              <w:right w:val="single" w:color="000000" w:sz="10" w:space="0"/>
            </w:tcBorders>
            <w:vAlign w:val="top"/>
          </w:tcPr>
          <w:p w14:paraId="27912F6C">
            <w:pPr>
              <w:rPr>
                <w:rFonts w:ascii="Arial"/>
                <w:sz w:val="21"/>
              </w:rPr>
            </w:pPr>
          </w:p>
        </w:tc>
      </w:tr>
      <w:tr w14:paraId="369455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003" w:type="dxa"/>
            <w:tcBorders>
              <w:left w:val="single" w:color="000000" w:sz="10" w:space="0"/>
            </w:tcBorders>
            <w:vAlign w:val="top"/>
          </w:tcPr>
          <w:p w14:paraId="06951DFD">
            <w:pPr>
              <w:rPr>
                <w:rFonts w:ascii="Arial"/>
                <w:sz w:val="21"/>
              </w:rPr>
            </w:pPr>
          </w:p>
        </w:tc>
        <w:tc>
          <w:tcPr>
            <w:tcW w:w="1983" w:type="dxa"/>
            <w:vAlign w:val="top"/>
          </w:tcPr>
          <w:p w14:paraId="15E53E0A">
            <w:pPr>
              <w:rPr>
                <w:rFonts w:ascii="Arial"/>
                <w:sz w:val="21"/>
              </w:rPr>
            </w:pPr>
          </w:p>
        </w:tc>
        <w:tc>
          <w:tcPr>
            <w:tcW w:w="847" w:type="dxa"/>
            <w:vAlign w:val="top"/>
          </w:tcPr>
          <w:p w14:paraId="130CB7BF">
            <w:pPr>
              <w:rPr>
                <w:rFonts w:ascii="Arial"/>
                <w:sz w:val="21"/>
              </w:rPr>
            </w:pPr>
          </w:p>
        </w:tc>
        <w:tc>
          <w:tcPr>
            <w:tcW w:w="771" w:type="dxa"/>
            <w:vAlign w:val="top"/>
          </w:tcPr>
          <w:p w14:paraId="2477B9C1">
            <w:pPr>
              <w:rPr>
                <w:rFonts w:ascii="Arial"/>
                <w:sz w:val="21"/>
              </w:rPr>
            </w:pPr>
          </w:p>
        </w:tc>
        <w:tc>
          <w:tcPr>
            <w:tcW w:w="1350" w:type="dxa"/>
            <w:vAlign w:val="top"/>
          </w:tcPr>
          <w:p w14:paraId="439EE8BA">
            <w:pPr>
              <w:rPr>
                <w:rFonts w:ascii="Arial"/>
                <w:sz w:val="21"/>
              </w:rPr>
            </w:pPr>
          </w:p>
        </w:tc>
        <w:tc>
          <w:tcPr>
            <w:tcW w:w="1413" w:type="dxa"/>
            <w:vAlign w:val="top"/>
          </w:tcPr>
          <w:p w14:paraId="702C1D89">
            <w:pPr>
              <w:rPr>
                <w:rFonts w:ascii="Arial"/>
                <w:sz w:val="21"/>
              </w:rPr>
            </w:pPr>
          </w:p>
        </w:tc>
        <w:tc>
          <w:tcPr>
            <w:tcW w:w="1717" w:type="dxa"/>
            <w:tcBorders>
              <w:right w:val="single" w:color="000000" w:sz="10" w:space="0"/>
            </w:tcBorders>
            <w:vAlign w:val="top"/>
          </w:tcPr>
          <w:p w14:paraId="3E2BFDAE">
            <w:pPr>
              <w:rPr>
                <w:rFonts w:ascii="Arial"/>
                <w:sz w:val="21"/>
              </w:rPr>
            </w:pPr>
          </w:p>
        </w:tc>
      </w:tr>
      <w:tr w14:paraId="72B362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003" w:type="dxa"/>
            <w:tcBorders>
              <w:left w:val="single" w:color="000000" w:sz="10" w:space="0"/>
            </w:tcBorders>
            <w:vAlign w:val="top"/>
          </w:tcPr>
          <w:p w14:paraId="4B141539">
            <w:pPr>
              <w:rPr>
                <w:rFonts w:ascii="Arial"/>
                <w:sz w:val="21"/>
              </w:rPr>
            </w:pPr>
          </w:p>
        </w:tc>
        <w:tc>
          <w:tcPr>
            <w:tcW w:w="1983" w:type="dxa"/>
            <w:vAlign w:val="top"/>
          </w:tcPr>
          <w:p w14:paraId="20C08952">
            <w:pPr>
              <w:rPr>
                <w:rFonts w:ascii="Arial"/>
                <w:sz w:val="21"/>
              </w:rPr>
            </w:pPr>
          </w:p>
        </w:tc>
        <w:tc>
          <w:tcPr>
            <w:tcW w:w="847" w:type="dxa"/>
            <w:vAlign w:val="top"/>
          </w:tcPr>
          <w:p w14:paraId="07F5CACF">
            <w:pPr>
              <w:rPr>
                <w:rFonts w:ascii="Arial"/>
                <w:sz w:val="21"/>
              </w:rPr>
            </w:pPr>
          </w:p>
        </w:tc>
        <w:tc>
          <w:tcPr>
            <w:tcW w:w="771" w:type="dxa"/>
            <w:vAlign w:val="top"/>
          </w:tcPr>
          <w:p w14:paraId="02BBF2FB">
            <w:pPr>
              <w:rPr>
                <w:rFonts w:ascii="Arial"/>
                <w:sz w:val="21"/>
              </w:rPr>
            </w:pPr>
          </w:p>
        </w:tc>
        <w:tc>
          <w:tcPr>
            <w:tcW w:w="1350" w:type="dxa"/>
            <w:vAlign w:val="top"/>
          </w:tcPr>
          <w:p w14:paraId="4356D333">
            <w:pPr>
              <w:rPr>
                <w:rFonts w:ascii="Arial"/>
                <w:sz w:val="21"/>
              </w:rPr>
            </w:pPr>
          </w:p>
        </w:tc>
        <w:tc>
          <w:tcPr>
            <w:tcW w:w="1413" w:type="dxa"/>
            <w:vAlign w:val="top"/>
          </w:tcPr>
          <w:p w14:paraId="654217F9">
            <w:pPr>
              <w:rPr>
                <w:rFonts w:ascii="Arial"/>
                <w:sz w:val="21"/>
              </w:rPr>
            </w:pPr>
          </w:p>
        </w:tc>
        <w:tc>
          <w:tcPr>
            <w:tcW w:w="1717" w:type="dxa"/>
            <w:tcBorders>
              <w:right w:val="single" w:color="000000" w:sz="10" w:space="0"/>
            </w:tcBorders>
            <w:vAlign w:val="top"/>
          </w:tcPr>
          <w:p w14:paraId="2CB10355">
            <w:pPr>
              <w:rPr>
                <w:rFonts w:ascii="Arial"/>
                <w:sz w:val="21"/>
              </w:rPr>
            </w:pPr>
          </w:p>
        </w:tc>
      </w:tr>
      <w:tr w14:paraId="732A98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003" w:type="dxa"/>
            <w:tcBorders>
              <w:left w:val="single" w:color="000000" w:sz="10" w:space="0"/>
            </w:tcBorders>
            <w:vAlign w:val="top"/>
          </w:tcPr>
          <w:p w14:paraId="43074A8C">
            <w:pPr>
              <w:rPr>
                <w:rFonts w:ascii="Arial"/>
                <w:sz w:val="21"/>
              </w:rPr>
            </w:pPr>
          </w:p>
        </w:tc>
        <w:tc>
          <w:tcPr>
            <w:tcW w:w="1983" w:type="dxa"/>
            <w:vAlign w:val="top"/>
          </w:tcPr>
          <w:p w14:paraId="7114D593">
            <w:pPr>
              <w:rPr>
                <w:rFonts w:ascii="Arial"/>
                <w:sz w:val="21"/>
              </w:rPr>
            </w:pPr>
          </w:p>
        </w:tc>
        <w:tc>
          <w:tcPr>
            <w:tcW w:w="847" w:type="dxa"/>
            <w:vAlign w:val="top"/>
          </w:tcPr>
          <w:p w14:paraId="4D7E3D2F">
            <w:pPr>
              <w:rPr>
                <w:rFonts w:ascii="Arial"/>
                <w:sz w:val="21"/>
              </w:rPr>
            </w:pPr>
          </w:p>
        </w:tc>
        <w:tc>
          <w:tcPr>
            <w:tcW w:w="771" w:type="dxa"/>
            <w:vAlign w:val="top"/>
          </w:tcPr>
          <w:p w14:paraId="75C74419">
            <w:pPr>
              <w:rPr>
                <w:rFonts w:ascii="Arial"/>
                <w:sz w:val="21"/>
              </w:rPr>
            </w:pPr>
          </w:p>
        </w:tc>
        <w:tc>
          <w:tcPr>
            <w:tcW w:w="1350" w:type="dxa"/>
            <w:vAlign w:val="top"/>
          </w:tcPr>
          <w:p w14:paraId="4F3C44A2">
            <w:pPr>
              <w:rPr>
                <w:rFonts w:ascii="Arial"/>
                <w:sz w:val="21"/>
              </w:rPr>
            </w:pPr>
          </w:p>
        </w:tc>
        <w:tc>
          <w:tcPr>
            <w:tcW w:w="1413" w:type="dxa"/>
            <w:vAlign w:val="top"/>
          </w:tcPr>
          <w:p w14:paraId="7FF13C26">
            <w:pPr>
              <w:rPr>
                <w:rFonts w:ascii="Arial"/>
                <w:sz w:val="21"/>
              </w:rPr>
            </w:pPr>
          </w:p>
        </w:tc>
        <w:tc>
          <w:tcPr>
            <w:tcW w:w="1717" w:type="dxa"/>
            <w:tcBorders>
              <w:right w:val="single" w:color="000000" w:sz="10" w:space="0"/>
            </w:tcBorders>
            <w:vAlign w:val="top"/>
          </w:tcPr>
          <w:p w14:paraId="2055E33C">
            <w:pPr>
              <w:rPr>
                <w:rFonts w:ascii="Arial"/>
                <w:sz w:val="21"/>
              </w:rPr>
            </w:pPr>
          </w:p>
        </w:tc>
      </w:tr>
      <w:tr w14:paraId="1309C0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0" w:hRule="atLeast"/>
        </w:trPr>
        <w:tc>
          <w:tcPr>
            <w:tcW w:w="1003" w:type="dxa"/>
            <w:tcBorders>
              <w:left w:val="single" w:color="000000" w:sz="10" w:space="0"/>
            </w:tcBorders>
            <w:vAlign w:val="top"/>
          </w:tcPr>
          <w:p w14:paraId="55A46166">
            <w:pPr>
              <w:rPr>
                <w:rFonts w:ascii="Arial"/>
                <w:sz w:val="21"/>
              </w:rPr>
            </w:pPr>
          </w:p>
        </w:tc>
        <w:tc>
          <w:tcPr>
            <w:tcW w:w="1983" w:type="dxa"/>
            <w:vAlign w:val="top"/>
          </w:tcPr>
          <w:p w14:paraId="73EE7A9F">
            <w:pPr>
              <w:rPr>
                <w:rFonts w:ascii="Arial"/>
                <w:sz w:val="21"/>
              </w:rPr>
            </w:pPr>
          </w:p>
        </w:tc>
        <w:tc>
          <w:tcPr>
            <w:tcW w:w="847" w:type="dxa"/>
            <w:vAlign w:val="top"/>
          </w:tcPr>
          <w:p w14:paraId="3FB7B53B">
            <w:pPr>
              <w:rPr>
                <w:rFonts w:ascii="Arial"/>
                <w:sz w:val="21"/>
              </w:rPr>
            </w:pPr>
          </w:p>
        </w:tc>
        <w:tc>
          <w:tcPr>
            <w:tcW w:w="771" w:type="dxa"/>
            <w:vAlign w:val="top"/>
          </w:tcPr>
          <w:p w14:paraId="27F6C748">
            <w:pPr>
              <w:rPr>
                <w:rFonts w:ascii="Arial"/>
                <w:sz w:val="21"/>
              </w:rPr>
            </w:pPr>
          </w:p>
        </w:tc>
        <w:tc>
          <w:tcPr>
            <w:tcW w:w="1350" w:type="dxa"/>
            <w:vAlign w:val="top"/>
          </w:tcPr>
          <w:p w14:paraId="32764B82">
            <w:pPr>
              <w:rPr>
                <w:rFonts w:ascii="Arial"/>
                <w:sz w:val="21"/>
              </w:rPr>
            </w:pPr>
          </w:p>
        </w:tc>
        <w:tc>
          <w:tcPr>
            <w:tcW w:w="1413" w:type="dxa"/>
            <w:vAlign w:val="top"/>
          </w:tcPr>
          <w:p w14:paraId="3722C8C2">
            <w:pPr>
              <w:rPr>
                <w:rFonts w:ascii="Arial"/>
                <w:sz w:val="21"/>
              </w:rPr>
            </w:pPr>
          </w:p>
        </w:tc>
        <w:tc>
          <w:tcPr>
            <w:tcW w:w="1717" w:type="dxa"/>
            <w:tcBorders>
              <w:right w:val="single" w:color="000000" w:sz="10" w:space="0"/>
            </w:tcBorders>
            <w:vAlign w:val="top"/>
          </w:tcPr>
          <w:p w14:paraId="17973F2E">
            <w:pPr>
              <w:rPr>
                <w:rFonts w:ascii="Arial"/>
                <w:sz w:val="21"/>
              </w:rPr>
            </w:pPr>
          </w:p>
        </w:tc>
      </w:tr>
      <w:tr w14:paraId="4B5D0B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003" w:type="dxa"/>
            <w:tcBorders>
              <w:left w:val="single" w:color="000000" w:sz="10" w:space="0"/>
            </w:tcBorders>
            <w:vAlign w:val="top"/>
          </w:tcPr>
          <w:p w14:paraId="5D82F546">
            <w:pPr>
              <w:rPr>
                <w:rFonts w:ascii="Arial"/>
                <w:sz w:val="21"/>
              </w:rPr>
            </w:pPr>
          </w:p>
        </w:tc>
        <w:tc>
          <w:tcPr>
            <w:tcW w:w="1983" w:type="dxa"/>
            <w:vAlign w:val="top"/>
          </w:tcPr>
          <w:p w14:paraId="2039DE50">
            <w:pPr>
              <w:rPr>
                <w:rFonts w:ascii="Arial"/>
                <w:sz w:val="21"/>
              </w:rPr>
            </w:pPr>
          </w:p>
        </w:tc>
        <w:tc>
          <w:tcPr>
            <w:tcW w:w="847" w:type="dxa"/>
            <w:vAlign w:val="top"/>
          </w:tcPr>
          <w:p w14:paraId="52284AF1">
            <w:pPr>
              <w:rPr>
                <w:rFonts w:ascii="Arial"/>
                <w:sz w:val="21"/>
              </w:rPr>
            </w:pPr>
          </w:p>
        </w:tc>
        <w:tc>
          <w:tcPr>
            <w:tcW w:w="771" w:type="dxa"/>
            <w:vAlign w:val="top"/>
          </w:tcPr>
          <w:p w14:paraId="2802EA9C">
            <w:pPr>
              <w:rPr>
                <w:rFonts w:ascii="Arial"/>
                <w:sz w:val="21"/>
              </w:rPr>
            </w:pPr>
          </w:p>
        </w:tc>
        <w:tc>
          <w:tcPr>
            <w:tcW w:w="1350" w:type="dxa"/>
            <w:vAlign w:val="top"/>
          </w:tcPr>
          <w:p w14:paraId="67BB349B">
            <w:pPr>
              <w:rPr>
                <w:rFonts w:ascii="Arial"/>
                <w:sz w:val="21"/>
              </w:rPr>
            </w:pPr>
          </w:p>
        </w:tc>
        <w:tc>
          <w:tcPr>
            <w:tcW w:w="1413" w:type="dxa"/>
            <w:vAlign w:val="top"/>
          </w:tcPr>
          <w:p w14:paraId="5B982FD4">
            <w:pPr>
              <w:rPr>
                <w:rFonts w:ascii="Arial"/>
                <w:sz w:val="21"/>
              </w:rPr>
            </w:pPr>
          </w:p>
        </w:tc>
        <w:tc>
          <w:tcPr>
            <w:tcW w:w="1717" w:type="dxa"/>
            <w:tcBorders>
              <w:right w:val="single" w:color="000000" w:sz="10" w:space="0"/>
            </w:tcBorders>
            <w:vAlign w:val="top"/>
          </w:tcPr>
          <w:p w14:paraId="696B9F3C">
            <w:pPr>
              <w:rPr>
                <w:rFonts w:ascii="Arial"/>
                <w:sz w:val="21"/>
              </w:rPr>
            </w:pPr>
          </w:p>
        </w:tc>
      </w:tr>
      <w:tr w14:paraId="12CDD4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6" w:hRule="atLeast"/>
        </w:trPr>
        <w:tc>
          <w:tcPr>
            <w:tcW w:w="1003" w:type="dxa"/>
            <w:tcBorders>
              <w:left w:val="single" w:color="000000" w:sz="10" w:space="0"/>
            </w:tcBorders>
            <w:vAlign w:val="top"/>
          </w:tcPr>
          <w:p w14:paraId="5D146CA6">
            <w:pPr>
              <w:rPr>
                <w:rFonts w:ascii="Arial"/>
                <w:sz w:val="21"/>
              </w:rPr>
            </w:pPr>
          </w:p>
        </w:tc>
        <w:tc>
          <w:tcPr>
            <w:tcW w:w="1983" w:type="dxa"/>
            <w:vAlign w:val="top"/>
          </w:tcPr>
          <w:p w14:paraId="57422246">
            <w:pPr>
              <w:rPr>
                <w:rFonts w:ascii="Arial"/>
                <w:sz w:val="21"/>
              </w:rPr>
            </w:pPr>
          </w:p>
        </w:tc>
        <w:tc>
          <w:tcPr>
            <w:tcW w:w="847" w:type="dxa"/>
            <w:vAlign w:val="top"/>
          </w:tcPr>
          <w:p w14:paraId="1FB4E5C7">
            <w:pPr>
              <w:rPr>
                <w:rFonts w:ascii="Arial"/>
                <w:sz w:val="21"/>
              </w:rPr>
            </w:pPr>
          </w:p>
        </w:tc>
        <w:tc>
          <w:tcPr>
            <w:tcW w:w="771" w:type="dxa"/>
            <w:vAlign w:val="top"/>
          </w:tcPr>
          <w:p w14:paraId="06E36157">
            <w:pPr>
              <w:rPr>
                <w:rFonts w:ascii="Arial"/>
                <w:sz w:val="21"/>
              </w:rPr>
            </w:pPr>
          </w:p>
        </w:tc>
        <w:tc>
          <w:tcPr>
            <w:tcW w:w="1350" w:type="dxa"/>
            <w:vAlign w:val="top"/>
          </w:tcPr>
          <w:p w14:paraId="74D26159">
            <w:pPr>
              <w:rPr>
                <w:rFonts w:ascii="Arial"/>
                <w:sz w:val="21"/>
              </w:rPr>
            </w:pPr>
          </w:p>
        </w:tc>
        <w:tc>
          <w:tcPr>
            <w:tcW w:w="1413" w:type="dxa"/>
            <w:vAlign w:val="top"/>
          </w:tcPr>
          <w:p w14:paraId="5D93B5AF">
            <w:pPr>
              <w:rPr>
                <w:rFonts w:ascii="Arial"/>
                <w:sz w:val="21"/>
              </w:rPr>
            </w:pPr>
          </w:p>
        </w:tc>
        <w:tc>
          <w:tcPr>
            <w:tcW w:w="1717" w:type="dxa"/>
            <w:tcBorders>
              <w:right w:val="single" w:color="000000" w:sz="10" w:space="0"/>
            </w:tcBorders>
            <w:vAlign w:val="top"/>
          </w:tcPr>
          <w:p w14:paraId="68C3B9B9">
            <w:pPr>
              <w:rPr>
                <w:rFonts w:ascii="Arial"/>
                <w:sz w:val="21"/>
              </w:rPr>
            </w:pPr>
          </w:p>
        </w:tc>
      </w:tr>
      <w:tr w14:paraId="0353EB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003" w:type="dxa"/>
            <w:tcBorders>
              <w:left w:val="single" w:color="000000" w:sz="10" w:space="0"/>
            </w:tcBorders>
            <w:vAlign w:val="top"/>
          </w:tcPr>
          <w:p w14:paraId="7F13BDC3">
            <w:pPr>
              <w:rPr>
                <w:rFonts w:ascii="Arial"/>
                <w:sz w:val="21"/>
              </w:rPr>
            </w:pPr>
          </w:p>
        </w:tc>
        <w:tc>
          <w:tcPr>
            <w:tcW w:w="1983" w:type="dxa"/>
            <w:vAlign w:val="top"/>
          </w:tcPr>
          <w:p w14:paraId="22EDB0A6">
            <w:pPr>
              <w:rPr>
                <w:rFonts w:ascii="Arial"/>
                <w:sz w:val="21"/>
              </w:rPr>
            </w:pPr>
          </w:p>
        </w:tc>
        <w:tc>
          <w:tcPr>
            <w:tcW w:w="847" w:type="dxa"/>
            <w:vAlign w:val="top"/>
          </w:tcPr>
          <w:p w14:paraId="0D314532">
            <w:pPr>
              <w:rPr>
                <w:rFonts w:ascii="Arial"/>
                <w:sz w:val="21"/>
              </w:rPr>
            </w:pPr>
          </w:p>
        </w:tc>
        <w:tc>
          <w:tcPr>
            <w:tcW w:w="771" w:type="dxa"/>
            <w:vAlign w:val="top"/>
          </w:tcPr>
          <w:p w14:paraId="0720ECD1">
            <w:pPr>
              <w:rPr>
                <w:rFonts w:ascii="Arial"/>
                <w:sz w:val="21"/>
              </w:rPr>
            </w:pPr>
          </w:p>
        </w:tc>
        <w:tc>
          <w:tcPr>
            <w:tcW w:w="1350" w:type="dxa"/>
            <w:vAlign w:val="top"/>
          </w:tcPr>
          <w:p w14:paraId="665C913E">
            <w:pPr>
              <w:rPr>
                <w:rFonts w:ascii="Arial"/>
                <w:sz w:val="21"/>
              </w:rPr>
            </w:pPr>
          </w:p>
        </w:tc>
        <w:tc>
          <w:tcPr>
            <w:tcW w:w="1413" w:type="dxa"/>
            <w:vAlign w:val="top"/>
          </w:tcPr>
          <w:p w14:paraId="765AEA6A">
            <w:pPr>
              <w:rPr>
                <w:rFonts w:ascii="Arial"/>
                <w:sz w:val="21"/>
              </w:rPr>
            </w:pPr>
          </w:p>
        </w:tc>
        <w:tc>
          <w:tcPr>
            <w:tcW w:w="1717" w:type="dxa"/>
            <w:tcBorders>
              <w:right w:val="single" w:color="000000" w:sz="10" w:space="0"/>
            </w:tcBorders>
            <w:vAlign w:val="top"/>
          </w:tcPr>
          <w:p w14:paraId="56366A79">
            <w:pPr>
              <w:rPr>
                <w:rFonts w:ascii="Arial"/>
                <w:sz w:val="21"/>
              </w:rPr>
            </w:pPr>
          </w:p>
        </w:tc>
      </w:tr>
      <w:tr w14:paraId="334789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003" w:type="dxa"/>
            <w:tcBorders>
              <w:left w:val="single" w:color="000000" w:sz="10" w:space="0"/>
            </w:tcBorders>
            <w:vAlign w:val="top"/>
          </w:tcPr>
          <w:p w14:paraId="1A6AE33B">
            <w:pPr>
              <w:rPr>
                <w:rFonts w:ascii="Arial"/>
                <w:sz w:val="21"/>
              </w:rPr>
            </w:pPr>
          </w:p>
        </w:tc>
        <w:tc>
          <w:tcPr>
            <w:tcW w:w="1983" w:type="dxa"/>
            <w:vAlign w:val="top"/>
          </w:tcPr>
          <w:p w14:paraId="4B856A0D">
            <w:pPr>
              <w:rPr>
                <w:rFonts w:ascii="Arial"/>
                <w:sz w:val="21"/>
              </w:rPr>
            </w:pPr>
          </w:p>
        </w:tc>
        <w:tc>
          <w:tcPr>
            <w:tcW w:w="847" w:type="dxa"/>
            <w:vAlign w:val="top"/>
          </w:tcPr>
          <w:p w14:paraId="20D8EB91">
            <w:pPr>
              <w:rPr>
                <w:rFonts w:ascii="Arial"/>
                <w:sz w:val="21"/>
              </w:rPr>
            </w:pPr>
          </w:p>
        </w:tc>
        <w:tc>
          <w:tcPr>
            <w:tcW w:w="771" w:type="dxa"/>
            <w:vAlign w:val="top"/>
          </w:tcPr>
          <w:p w14:paraId="77E3B72E">
            <w:pPr>
              <w:rPr>
                <w:rFonts w:ascii="Arial"/>
                <w:sz w:val="21"/>
              </w:rPr>
            </w:pPr>
          </w:p>
        </w:tc>
        <w:tc>
          <w:tcPr>
            <w:tcW w:w="1350" w:type="dxa"/>
            <w:vAlign w:val="top"/>
          </w:tcPr>
          <w:p w14:paraId="3B8075E4">
            <w:pPr>
              <w:rPr>
                <w:rFonts w:ascii="Arial"/>
                <w:sz w:val="21"/>
              </w:rPr>
            </w:pPr>
          </w:p>
        </w:tc>
        <w:tc>
          <w:tcPr>
            <w:tcW w:w="1413" w:type="dxa"/>
            <w:vAlign w:val="top"/>
          </w:tcPr>
          <w:p w14:paraId="7A73D1D5">
            <w:pPr>
              <w:rPr>
                <w:rFonts w:ascii="Arial"/>
                <w:sz w:val="21"/>
              </w:rPr>
            </w:pPr>
          </w:p>
        </w:tc>
        <w:tc>
          <w:tcPr>
            <w:tcW w:w="1717" w:type="dxa"/>
            <w:tcBorders>
              <w:right w:val="single" w:color="000000" w:sz="10" w:space="0"/>
            </w:tcBorders>
            <w:vAlign w:val="top"/>
          </w:tcPr>
          <w:p w14:paraId="468F7191">
            <w:pPr>
              <w:rPr>
                <w:rFonts w:ascii="Arial"/>
                <w:sz w:val="21"/>
              </w:rPr>
            </w:pPr>
          </w:p>
        </w:tc>
      </w:tr>
      <w:tr w14:paraId="3D3D61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0" w:hRule="atLeast"/>
        </w:trPr>
        <w:tc>
          <w:tcPr>
            <w:tcW w:w="1003" w:type="dxa"/>
            <w:tcBorders>
              <w:left w:val="single" w:color="000000" w:sz="10" w:space="0"/>
            </w:tcBorders>
            <w:vAlign w:val="top"/>
          </w:tcPr>
          <w:p w14:paraId="6FCAAD9A">
            <w:pPr>
              <w:rPr>
                <w:rFonts w:ascii="Arial"/>
                <w:sz w:val="21"/>
              </w:rPr>
            </w:pPr>
          </w:p>
        </w:tc>
        <w:tc>
          <w:tcPr>
            <w:tcW w:w="1983" w:type="dxa"/>
            <w:vAlign w:val="top"/>
          </w:tcPr>
          <w:p w14:paraId="13D48618">
            <w:pPr>
              <w:rPr>
                <w:rFonts w:ascii="Arial"/>
                <w:sz w:val="21"/>
              </w:rPr>
            </w:pPr>
          </w:p>
        </w:tc>
        <w:tc>
          <w:tcPr>
            <w:tcW w:w="847" w:type="dxa"/>
            <w:vAlign w:val="top"/>
          </w:tcPr>
          <w:p w14:paraId="57159E1B">
            <w:pPr>
              <w:rPr>
                <w:rFonts w:ascii="Arial"/>
                <w:sz w:val="21"/>
              </w:rPr>
            </w:pPr>
          </w:p>
        </w:tc>
        <w:tc>
          <w:tcPr>
            <w:tcW w:w="771" w:type="dxa"/>
            <w:vAlign w:val="top"/>
          </w:tcPr>
          <w:p w14:paraId="7E666AD8">
            <w:pPr>
              <w:rPr>
                <w:rFonts w:ascii="Arial"/>
                <w:sz w:val="21"/>
              </w:rPr>
            </w:pPr>
          </w:p>
        </w:tc>
        <w:tc>
          <w:tcPr>
            <w:tcW w:w="1350" w:type="dxa"/>
            <w:vAlign w:val="top"/>
          </w:tcPr>
          <w:p w14:paraId="22737BF6">
            <w:pPr>
              <w:rPr>
                <w:rFonts w:ascii="Arial"/>
                <w:sz w:val="21"/>
              </w:rPr>
            </w:pPr>
          </w:p>
        </w:tc>
        <w:tc>
          <w:tcPr>
            <w:tcW w:w="1413" w:type="dxa"/>
            <w:vAlign w:val="top"/>
          </w:tcPr>
          <w:p w14:paraId="094EE85F">
            <w:pPr>
              <w:rPr>
                <w:rFonts w:ascii="Arial"/>
                <w:sz w:val="21"/>
              </w:rPr>
            </w:pPr>
          </w:p>
        </w:tc>
        <w:tc>
          <w:tcPr>
            <w:tcW w:w="1717" w:type="dxa"/>
            <w:tcBorders>
              <w:right w:val="single" w:color="000000" w:sz="10" w:space="0"/>
            </w:tcBorders>
            <w:vAlign w:val="top"/>
          </w:tcPr>
          <w:p w14:paraId="096B43D9">
            <w:pPr>
              <w:rPr>
                <w:rFonts w:ascii="Arial"/>
                <w:sz w:val="21"/>
              </w:rPr>
            </w:pPr>
          </w:p>
        </w:tc>
      </w:tr>
      <w:tr w14:paraId="1E8825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003" w:type="dxa"/>
            <w:tcBorders>
              <w:left w:val="single" w:color="000000" w:sz="10" w:space="0"/>
            </w:tcBorders>
            <w:vAlign w:val="top"/>
          </w:tcPr>
          <w:p w14:paraId="1B7A2AEC">
            <w:pPr>
              <w:rPr>
                <w:rFonts w:ascii="Arial"/>
                <w:sz w:val="21"/>
              </w:rPr>
            </w:pPr>
          </w:p>
        </w:tc>
        <w:tc>
          <w:tcPr>
            <w:tcW w:w="1983" w:type="dxa"/>
            <w:vAlign w:val="top"/>
          </w:tcPr>
          <w:p w14:paraId="1B4BCB6D">
            <w:pPr>
              <w:rPr>
                <w:rFonts w:ascii="Arial"/>
                <w:sz w:val="21"/>
              </w:rPr>
            </w:pPr>
          </w:p>
        </w:tc>
        <w:tc>
          <w:tcPr>
            <w:tcW w:w="847" w:type="dxa"/>
            <w:vAlign w:val="top"/>
          </w:tcPr>
          <w:p w14:paraId="5F8E60C4">
            <w:pPr>
              <w:rPr>
                <w:rFonts w:ascii="Arial"/>
                <w:sz w:val="21"/>
              </w:rPr>
            </w:pPr>
          </w:p>
        </w:tc>
        <w:tc>
          <w:tcPr>
            <w:tcW w:w="771" w:type="dxa"/>
            <w:vAlign w:val="top"/>
          </w:tcPr>
          <w:p w14:paraId="70158923">
            <w:pPr>
              <w:rPr>
                <w:rFonts w:ascii="Arial"/>
                <w:sz w:val="21"/>
              </w:rPr>
            </w:pPr>
          </w:p>
        </w:tc>
        <w:tc>
          <w:tcPr>
            <w:tcW w:w="1350" w:type="dxa"/>
            <w:vAlign w:val="top"/>
          </w:tcPr>
          <w:p w14:paraId="30275B3A">
            <w:pPr>
              <w:rPr>
                <w:rFonts w:ascii="Arial"/>
                <w:sz w:val="21"/>
              </w:rPr>
            </w:pPr>
          </w:p>
        </w:tc>
        <w:tc>
          <w:tcPr>
            <w:tcW w:w="1413" w:type="dxa"/>
            <w:vAlign w:val="top"/>
          </w:tcPr>
          <w:p w14:paraId="79078AF8">
            <w:pPr>
              <w:rPr>
                <w:rFonts w:ascii="Arial"/>
                <w:sz w:val="21"/>
              </w:rPr>
            </w:pPr>
          </w:p>
        </w:tc>
        <w:tc>
          <w:tcPr>
            <w:tcW w:w="1717" w:type="dxa"/>
            <w:tcBorders>
              <w:right w:val="single" w:color="000000" w:sz="10" w:space="0"/>
            </w:tcBorders>
            <w:vAlign w:val="top"/>
          </w:tcPr>
          <w:p w14:paraId="0E4CD959">
            <w:pPr>
              <w:rPr>
                <w:rFonts w:ascii="Arial"/>
                <w:sz w:val="21"/>
              </w:rPr>
            </w:pPr>
          </w:p>
        </w:tc>
      </w:tr>
      <w:tr w14:paraId="18D513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003" w:type="dxa"/>
            <w:tcBorders>
              <w:left w:val="single" w:color="000000" w:sz="10" w:space="0"/>
            </w:tcBorders>
            <w:vAlign w:val="top"/>
          </w:tcPr>
          <w:p w14:paraId="5A11F972">
            <w:pPr>
              <w:rPr>
                <w:rFonts w:ascii="Arial"/>
                <w:sz w:val="21"/>
              </w:rPr>
            </w:pPr>
          </w:p>
        </w:tc>
        <w:tc>
          <w:tcPr>
            <w:tcW w:w="1983" w:type="dxa"/>
            <w:vAlign w:val="top"/>
          </w:tcPr>
          <w:p w14:paraId="310DE7B7">
            <w:pPr>
              <w:rPr>
                <w:rFonts w:ascii="Arial"/>
                <w:sz w:val="21"/>
              </w:rPr>
            </w:pPr>
          </w:p>
        </w:tc>
        <w:tc>
          <w:tcPr>
            <w:tcW w:w="847" w:type="dxa"/>
            <w:vAlign w:val="top"/>
          </w:tcPr>
          <w:p w14:paraId="08977EF1">
            <w:pPr>
              <w:rPr>
                <w:rFonts w:ascii="Arial"/>
                <w:sz w:val="21"/>
              </w:rPr>
            </w:pPr>
          </w:p>
        </w:tc>
        <w:tc>
          <w:tcPr>
            <w:tcW w:w="771" w:type="dxa"/>
            <w:vAlign w:val="top"/>
          </w:tcPr>
          <w:p w14:paraId="3A7DFC9C">
            <w:pPr>
              <w:rPr>
                <w:rFonts w:ascii="Arial"/>
                <w:sz w:val="21"/>
              </w:rPr>
            </w:pPr>
          </w:p>
        </w:tc>
        <w:tc>
          <w:tcPr>
            <w:tcW w:w="1350" w:type="dxa"/>
            <w:vAlign w:val="top"/>
          </w:tcPr>
          <w:p w14:paraId="79F85C65">
            <w:pPr>
              <w:rPr>
                <w:rFonts w:ascii="Arial"/>
                <w:sz w:val="21"/>
              </w:rPr>
            </w:pPr>
          </w:p>
        </w:tc>
        <w:tc>
          <w:tcPr>
            <w:tcW w:w="1413" w:type="dxa"/>
            <w:vAlign w:val="top"/>
          </w:tcPr>
          <w:p w14:paraId="41E30B4B">
            <w:pPr>
              <w:rPr>
                <w:rFonts w:ascii="Arial"/>
                <w:sz w:val="21"/>
              </w:rPr>
            </w:pPr>
          </w:p>
        </w:tc>
        <w:tc>
          <w:tcPr>
            <w:tcW w:w="1717" w:type="dxa"/>
            <w:tcBorders>
              <w:right w:val="single" w:color="000000" w:sz="10" w:space="0"/>
            </w:tcBorders>
            <w:vAlign w:val="top"/>
          </w:tcPr>
          <w:p w14:paraId="704E90EC">
            <w:pPr>
              <w:rPr>
                <w:rFonts w:ascii="Arial"/>
                <w:sz w:val="21"/>
              </w:rPr>
            </w:pPr>
          </w:p>
        </w:tc>
      </w:tr>
      <w:tr w14:paraId="5DB749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003" w:type="dxa"/>
            <w:tcBorders>
              <w:left w:val="single" w:color="000000" w:sz="10" w:space="0"/>
            </w:tcBorders>
            <w:vAlign w:val="top"/>
          </w:tcPr>
          <w:p w14:paraId="703FD5D9">
            <w:pPr>
              <w:rPr>
                <w:rFonts w:ascii="Arial"/>
                <w:sz w:val="21"/>
              </w:rPr>
            </w:pPr>
          </w:p>
        </w:tc>
        <w:tc>
          <w:tcPr>
            <w:tcW w:w="1983" w:type="dxa"/>
            <w:vAlign w:val="top"/>
          </w:tcPr>
          <w:p w14:paraId="71523430">
            <w:pPr>
              <w:rPr>
                <w:rFonts w:ascii="Arial"/>
                <w:sz w:val="21"/>
              </w:rPr>
            </w:pPr>
          </w:p>
        </w:tc>
        <w:tc>
          <w:tcPr>
            <w:tcW w:w="847" w:type="dxa"/>
            <w:vAlign w:val="top"/>
          </w:tcPr>
          <w:p w14:paraId="5048D971">
            <w:pPr>
              <w:rPr>
                <w:rFonts w:ascii="Arial"/>
                <w:sz w:val="21"/>
              </w:rPr>
            </w:pPr>
          </w:p>
        </w:tc>
        <w:tc>
          <w:tcPr>
            <w:tcW w:w="771" w:type="dxa"/>
            <w:vAlign w:val="top"/>
          </w:tcPr>
          <w:p w14:paraId="4F51B533">
            <w:pPr>
              <w:rPr>
                <w:rFonts w:ascii="Arial"/>
                <w:sz w:val="21"/>
              </w:rPr>
            </w:pPr>
          </w:p>
        </w:tc>
        <w:tc>
          <w:tcPr>
            <w:tcW w:w="1350" w:type="dxa"/>
            <w:vAlign w:val="top"/>
          </w:tcPr>
          <w:p w14:paraId="79E8071B">
            <w:pPr>
              <w:rPr>
                <w:rFonts w:ascii="Arial"/>
                <w:sz w:val="21"/>
              </w:rPr>
            </w:pPr>
          </w:p>
        </w:tc>
        <w:tc>
          <w:tcPr>
            <w:tcW w:w="1413" w:type="dxa"/>
            <w:vAlign w:val="top"/>
          </w:tcPr>
          <w:p w14:paraId="6EA38DCC">
            <w:pPr>
              <w:rPr>
                <w:rFonts w:ascii="Arial"/>
                <w:sz w:val="21"/>
              </w:rPr>
            </w:pPr>
          </w:p>
        </w:tc>
        <w:tc>
          <w:tcPr>
            <w:tcW w:w="1717" w:type="dxa"/>
            <w:tcBorders>
              <w:right w:val="single" w:color="000000" w:sz="10" w:space="0"/>
            </w:tcBorders>
            <w:vAlign w:val="top"/>
          </w:tcPr>
          <w:p w14:paraId="2AC19AD2">
            <w:pPr>
              <w:rPr>
                <w:rFonts w:ascii="Arial"/>
                <w:sz w:val="21"/>
              </w:rPr>
            </w:pPr>
          </w:p>
        </w:tc>
      </w:tr>
      <w:tr w14:paraId="553EBA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6" w:hRule="atLeast"/>
        </w:trPr>
        <w:tc>
          <w:tcPr>
            <w:tcW w:w="1003" w:type="dxa"/>
            <w:tcBorders>
              <w:left w:val="single" w:color="000000" w:sz="10" w:space="0"/>
            </w:tcBorders>
            <w:vAlign w:val="top"/>
          </w:tcPr>
          <w:p w14:paraId="49674660">
            <w:pPr>
              <w:rPr>
                <w:rFonts w:ascii="Arial"/>
                <w:sz w:val="21"/>
              </w:rPr>
            </w:pPr>
          </w:p>
        </w:tc>
        <w:tc>
          <w:tcPr>
            <w:tcW w:w="1983" w:type="dxa"/>
            <w:vAlign w:val="top"/>
          </w:tcPr>
          <w:p w14:paraId="077A6A1C">
            <w:pPr>
              <w:rPr>
                <w:rFonts w:ascii="Arial"/>
                <w:sz w:val="21"/>
              </w:rPr>
            </w:pPr>
          </w:p>
        </w:tc>
        <w:tc>
          <w:tcPr>
            <w:tcW w:w="847" w:type="dxa"/>
            <w:vAlign w:val="top"/>
          </w:tcPr>
          <w:p w14:paraId="7C5F17B6">
            <w:pPr>
              <w:rPr>
                <w:rFonts w:ascii="Arial"/>
                <w:sz w:val="21"/>
              </w:rPr>
            </w:pPr>
          </w:p>
        </w:tc>
        <w:tc>
          <w:tcPr>
            <w:tcW w:w="771" w:type="dxa"/>
            <w:vAlign w:val="top"/>
          </w:tcPr>
          <w:p w14:paraId="6647C291">
            <w:pPr>
              <w:rPr>
                <w:rFonts w:ascii="Arial"/>
                <w:sz w:val="21"/>
              </w:rPr>
            </w:pPr>
          </w:p>
        </w:tc>
        <w:tc>
          <w:tcPr>
            <w:tcW w:w="1350" w:type="dxa"/>
            <w:vAlign w:val="top"/>
          </w:tcPr>
          <w:p w14:paraId="7B67D346">
            <w:pPr>
              <w:rPr>
                <w:rFonts w:ascii="Arial"/>
                <w:sz w:val="21"/>
              </w:rPr>
            </w:pPr>
          </w:p>
        </w:tc>
        <w:tc>
          <w:tcPr>
            <w:tcW w:w="1413" w:type="dxa"/>
            <w:vAlign w:val="top"/>
          </w:tcPr>
          <w:p w14:paraId="77DD771A">
            <w:pPr>
              <w:rPr>
                <w:rFonts w:ascii="Arial"/>
                <w:sz w:val="21"/>
              </w:rPr>
            </w:pPr>
          </w:p>
        </w:tc>
        <w:tc>
          <w:tcPr>
            <w:tcW w:w="1717" w:type="dxa"/>
            <w:tcBorders>
              <w:right w:val="single" w:color="000000" w:sz="10" w:space="0"/>
            </w:tcBorders>
            <w:vAlign w:val="top"/>
          </w:tcPr>
          <w:p w14:paraId="7B162B2D">
            <w:pPr>
              <w:rPr>
                <w:rFonts w:ascii="Arial"/>
                <w:sz w:val="21"/>
              </w:rPr>
            </w:pPr>
          </w:p>
        </w:tc>
      </w:tr>
      <w:tr w14:paraId="0956E3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0" w:hRule="atLeast"/>
        </w:trPr>
        <w:tc>
          <w:tcPr>
            <w:tcW w:w="1003" w:type="dxa"/>
            <w:tcBorders>
              <w:left w:val="single" w:color="000000" w:sz="10" w:space="0"/>
            </w:tcBorders>
            <w:vAlign w:val="top"/>
          </w:tcPr>
          <w:p w14:paraId="4E96A6C5">
            <w:pPr>
              <w:rPr>
                <w:rFonts w:ascii="Arial"/>
                <w:sz w:val="21"/>
              </w:rPr>
            </w:pPr>
          </w:p>
        </w:tc>
        <w:tc>
          <w:tcPr>
            <w:tcW w:w="1983" w:type="dxa"/>
            <w:vAlign w:val="top"/>
          </w:tcPr>
          <w:p w14:paraId="70776CF5">
            <w:pPr>
              <w:rPr>
                <w:rFonts w:ascii="Arial"/>
                <w:sz w:val="21"/>
              </w:rPr>
            </w:pPr>
          </w:p>
        </w:tc>
        <w:tc>
          <w:tcPr>
            <w:tcW w:w="847" w:type="dxa"/>
            <w:vAlign w:val="top"/>
          </w:tcPr>
          <w:p w14:paraId="40DB01BA">
            <w:pPr>
              <w:rPr>
                <w:rFonts w:ascii="Arial"/>
                <w:sz w:val="21"/>
              </w:rPr>
            </w:pPr>
          </w:p>
        </w:tc>
        <w:tc>
          <w:tcPr>
            <w:tcW w:w="771" w:type="dxa"/>
            <w:vAlign w:val="top"/>
          </w:tcPr>
          <w:p w14:paraId="3BCF7DDB">
            <w:pPr>
              <w:rPr>
                <w:rFonts w:ascii="Arial"/>
                <w:sz w:val="21"/>
              </w:rPr>
            </w:pPr>
          </w:p>
        </w:tc>
        <w:tc>
          <w:tcPr>
            <w:tcW w:w="1350" w:type="dxa"/>
            <w:vAlign w:val="top"/>
          </w:tcPr>
          <w:p w14:paraId="394D89C1">
            <w:pPr>
              <w:rPr>
                <w:rFonts w:ascii="Arial"/>
                <w:sz w:val="21"/>
              </w:rPr>
            </w:pPr>
          </w:p>
        </w:tc>
        <w:tc>
          <w:tcPr>
            <w:tcW w:w="1413" w:type="dxa"/>
            <w:vAlign w:val="top"/>
          </w:tcPr>
          <w:p w14:paraId="09923E8D">
            <w:pPr>
              <w:rPr>
                <w:rFonts w:ascii="Arial"/>
                <w:sz w:val="21"/>
              </w:rPr>
            </w:pPr>
          </w:p>
        </w:tc>
        <w:tc>
          <w:tcPr>
            <w:tcW w:w="1717" w:type="dxa"/>
            <w:tcBorders>
              <w:right w:val="single" w:color="000000" w:sz="10" w:space="0"/>
            </w:tcBorders>
            <w:vAlign w:val="top"/>
          </w:tcPr>
          <w:p w14:paraId="6312A391">
            <w:pPr>
              <w:rPr>
                <w:rFonts w:ascii="Arial"/>
                <w:sz w:val="21"/>
              </w:rPr>
            </w:pPr>
          </w:p>
        </w:tc>
      </w:tr>
      <w:tr w14:paraId="4B1D35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003" w:type="dxa"/>
            <w:tcBorders>
              <w:left w:val="single" w:color="000000" w:sz="10" w:space="0"/>
            </w:tcBorders>
            <w:vAlign w:val="top"/>
          </w:tcPr>
          <w:p w14:paraId="15EC56EC">
            <w:pPr>
              <w:rPr>
                <w:rFonts w:ascii="Arial"/>
                <w:sz w:val="21"/>
              </w:rPr>
            </w:pPr>
          </w:p>
        </w:tc>
        <w:tc>
          <w:tcPr>
            <w:tcW w:w="1983" w:type="dxa"/>
            <w:vAlign w:val="top"/>
          </w:tcPr>
          <w:p w14:paraId="5B0244BB">
            <w:pPr>
              <w:rPr>
                <w:rFonts w:ascii="Arial"/>
                <w:sz w:val="21"/>
              </w:rPr>
            </w:pPr>
          </w:p>
        </w:tc>
        <w:tc>
          <w:tcPr>
            <w:tcW w:w="847" w:type="dxa"/>
            <w:vAlign w:val="top"/>
          </w:tcPr>
          <w:p w14:paraId="32B8B775">
            <w:pPr>
              <w:rPr>
                <w:rFonts w:ascii="Arial"/>
                <w:sz w:val="21"/>
              </w:rPr>
            </w:pPr>
          </w:p>
        </w:tc>
        <w:tc>
          <w:tcPr>
            <w:tcW w:w="771" w:type="dxa"/>
            <w:vAlign w:val="top"/>
          </w:tcPr>
          <w:p w14:paraId="3E988E05">
            <w:pPr>
              <w:rPr>
                <w:rFonts w:ascii="Arial"/>
                <w:sz w:val="21"/>
              </w:rPr>
            </w:pPr>
          </w:p>
        </w:tc>
        <w:tc>
          <w:tcPr>
            <w:tcW w:w="1350" w:type="dxa"/>
            <w:vAlign w:val="top"/>
          </w:tcPr>
          <w:p w14:paraId="19581963">
            <w:pPr>
              <w:rPr>
                <w:rFonts w:ascii="Arial"/>
                <w:sz w:val="21"/>
              </w:rPr>
            </w:pPr>
          </w:p>
        </w:tc>
        <w:tc>
          <w:tcPr>
            <w:tcW w:w="1413" w:type="dxa"/>
            <w:vAlign w:val="top"/>
          </w:tcPr>
          <w:p w14:paraId="539EFF81">
            <w:pPr>
              <w:rPr>
                <w:rFonts w:ascii="Arial"/>
                <w:sz w:val="21"/>
              </w:rPr>
            </w:pPr>
          </w:p>
        </w:tc>
        <w:tc>
          <w:tcPr>
            <w:tcW w:w="1717" w:type="dxa"/>
            <w:tcBorders>
              <w:right w:val="single" w:color="000000" w:sz="10" w:space="0"/>
            </w:tcBorders>
            <w:vAlign w:val="top"/>
          </w:tcPr>
          <w:p w14:paraId="3BD13241">
            <w:pPr>
              <w:rPr>
                <w:rFonts w:ascii="Arial"/>
                <w:sz w:val="21"/>
              </w:rPr>
            </w:pPr>
          </w:p>
        </w:tc>
      </w:tr>
      <w:tr w14:paraId="2E771E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003" w:type="dxa"/>
            <w:tcBorders>
              <w:left w:val="single" w:color="000000" w:sz="10" w:space="0"/>
            </w:tcBorders>
            <w:vAlign w:val="top"/>
          </w:tcPr>
          <w:p w14:paraId="771DD766">
            <w:pPr>
              <w:rPr>
                <w:rFonts w:ascii="Arial"/>
                <w:sz w:val="21"/>
              </w:rPr>
            </w:pPr>
          </w:p>
        </w:tc>
        <w:tc>
          <w:tcPr>
            <w:tcW w:w="1983" w:type="dxa"/>
            <w:vAlign w:val="top"/>
          </w:tcPr>
          <w:p w14:paraId="048F7D71">
            <w:pPr>
              <w:rPr>
                <w:rFonts w:ascii="Arial"/>
                <w:sz w:val="21"/>
              </w:rPr>
            </w:pPr>
          </w:p>
        </w:tc>
        <w:tc>
          <w:tcPr>
            <w:tcW w:w="847" w:type="dxa"/>
            <w:vAlign w:val="top"/>
          </w:tcPr>
          <w:p w14:paraId="528923A6">
            <w:pPr>
              <w:rPr>
                <w:rFonts w:ascii="Arial"/>
                <w:sz w:val="21"/>
              </w:rPr>
            </w:pPr>
          </w:p>
        </w:tc>
        <w:tc>
          <w:tcPr>
            <w:tcW w:w="771" w:type="dxa"/>
            <w:vAlign w:val="top"/>
          </w:tcPr>
          <w:p w14:paraId="45BF9FA6">
            <w:pPr>
              <w:rPr>
                <w:rFonts w:ascii="Arial"/>
                <w:sz w:val="21"/>
              </w:rPr>
            </w:pPr>
          </w:p>
        </w:tc>
        <w:tc>
          <w:tcPr>
            <w:tcW w:w="1350" w:type="dxa"/>
            <w:vAlign w:val="top"/>
          </w:tcPr>
          <w:p w14:paraId="6251F947">
            <w:pPr>
              <w:rPr>
                <w:rFonts w:ascii="Arial"/>
                <w:sz w:val="21"/>
              </w:rPr>
            </w:pPr>
          </w:p>
        </w:tc>
        <w:tc>
          <w:tcPr>
            <w:tcW w:w="1413" w:type="dxa"/>
            <w:vAlign w:val="top"/>
          </w:tcPr>
          <w:p w14:paraId="5CB54B8D">
            <w:pPr>
              <w:rPr>
                <w:rFonts w:ascii="Arial"/>
                <w:sz w:val="21"/>
              </w:rPr>
            </w:pPr>
          </w:p>
        </w:tc>
        <w:tc>
          <w:tcPr>
            <w:tcW w:w="1717" w:type="dxa"/>
            <w:tcBorders>
              <w:right w:val="single" w:color="000000" w:sz="10" w:space="0"/>
            </w:tcBorders>
            <w:vAlign w:val="top"/>
          </w:tcPr>
          <w:p w14:paraId="3403F630">
            <w:pPr>
              <w:rPr>
                <w:rFonts w:ascii="Arial"/>
                <w:sz w:val="21"/>
              </w:rPr>
            </w:pPr>
          </w:p>
        </w:tc>
      </w:tr>
      <w:tr w14:paraId="6BB1AA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6" w:hRule="atLeast"/>
        </w:trPr>
        <w:tc>
          <w:tcPr>
            <w:tcW w:w="1003" w:type="dxa"/>
            <w:tcBorders>
              <w:left w:val="single" w:color="000000" w:sz="10" w:space="0"/>
            </w:tcBorders>
            <w:vAlign w:val="top"/>
          </w:tcPr>
          <w:p w14:paraId="2924A250">
            <w:pPr>
              <w:rPr>
                <w:rFonts w:ascii="Arial"/>
                <w:sz w:val="21"/>
              </w:rPr>
            </w:pPr>
          </w:p>
        </w:tc>
        <w:tc>
          <w:tcPr>
            <w:tcW w:w="1983" w:type="dxa"/>
            <w:vAlign w:val="top"/>
          </w:tcPr>
          <w:p w14:paraId="7216AEA2">
            <w:pPr>
              <w:rPr>
                <w:rFonts w:ascii="Arial"/>
                <w:sz w:val="21"/>
              </w:rPr>
            </w:pPr>
          </w:p>
        </w:tc>
        <w:tc>
          <w:tcPr>
            <w:tcW w:w="847" w:type="dxa"/>
            <w:vAlign w:val="top"/>
          </w:tcPr>
          <w:p w14:paraId="2FEE5450">
            <w:pPr>
              <w:rPr>
                <w:rFonts w:ascii="Arial"/>
                <w:sz w:val="21"/>
              </w:rPr>
            </w:pPr>
          </w:p>
        </w:tc>
        <w:tc>
          <w:tcPr>
            <w:tcW w:w="771" w:type="dxa"/>
            <w:vAlign w:val="top"/>
          </w:tcPr>
          <w:p w14:paraId="6B4A017B">
            <w:pPr>
              <w:rPr>
                <w:rFonts w:ascii="Arial"/>
                <w:sz w:val="21"/>
              </w:rPr>
            </w:pPr>
          </w:p>
        </w:tc>
        <w:tc>
          <w:tcPr>
            <w:tcW w:w="1350" w:type="dxa"/>
            <w:vAlign w:val="top"/>
          </w:tcPr>
          <w:p w14:paraId="4C2277DD">
            <w:pPr>
              <w:rPr>
                <w:rFonts w:ascii="Arial"/>
                <w:sz w:val="21"/>
              </w:rPr>
            </w:pPr>
          </w:p>
        </w:tc>
        <w:tc>
          <w:tcPr>
            <w:tcW w:w="1413" w:type="dxa"/>
            <w:vAlign w:val="top"/>
          </w:tcPr>
          <w:p w14:paraId="55404078">
            <w:pPr>
              <w:rPr>
                <w:rFonts w:ascii="Arial"/>
                <w:sz w:val="21"/>
              </w:rPr>
            </w:pPr>
          </w:p>
        </w:tc>
        <w:tc>
          <w:tcPr>
            <w:tcW w:w="1717" w:type="dxa"/>
            <w:tcBorders>
              <w:right w:val="single" w:color="000000" w:sz="10" w:space="0"/>
            </w:tcBorders>
            <w:vAlign w:val="top"/>
          </w:tcPr>
          <w:p w14:paraId="35C42200">
            <w:pPr>
              <w:rPr>
                <w:rFonts w:ascii="Arial"/>
                <w:sz w:val="21"/>
              </w:rPr>
            </w:pPr>
          </w:p>
        </w:tc>
      </w:tr>
      <w:tr w14:paraId="6BBC75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0" w:hRule="atLeast"/>
        </w:trPr>
        <w:tc>
          <w:tcPr>
            <w:tcW w:w="1003" w:type="dxa"/>
            <w:tcBorders>
              <w:left w:val="single" w:color="000000" w:sz="10" w:space="0"/>
            </w:tcBorders>
            <w:vAlign w:val="top"/>
          </w:tcPr>
          <w:p w14:paraId="5FAA02D6">
            <w:pPr>
              <w:rPr>
                <w:rFonts w:ascii="Arial"/>
                <w:sz w:val="21"/>
              </w:rPr>
            </w:pPr>
          </w:p>
        </w:tc>
        <w:tc>
          <w:tcPr>
            <w:tcW w:w="1983" w:type="dxa"/>
            <w:vAlign w:val="top"/>
          </w:tcPr>
          <w:p w14:paraId="75E1EEB7">
            <w:pPr>
              <w:rPr>
                <w:rFonts w:ascii="Arial"/>
                <w:sz w:val="21"/>
              </w:rPr>
            </w:pPr>
          </w:p>
        </w:tc>
        <w:tc>
          <w:tcPr>
            <w:tcW w:w="847" w:type="dxa"/>
            <w:vAlign w:val="top"/>
          </w:tcPr>
          <w:p w14:paraId="78084E46">
            <w:pPr>
              <w:rPr>
                <w:rFonts w:ascii="Arial"/>
                <w:sz w:val="21"/>
              </w:rPr>
            </w:pPr>
          </w:p>
        </w:tc>
        <w:tc>
          <w:tcPr>
            <w:tcW w:w="771" w:type="dxa"/>
            <w:vAlign w:val="top"/>
          </w:tcPr>
          <w:p w14:paraId="6C9A2E01">
            <w:pPr>
              <w:rPr>
                <w:rFonts w:ascii="Arial"/>
                <w:sz w:val="21"/>
              </w:rPr>
            </w:pPr>
          </w:p>
        </w:tc>
        <w:tc>
          <w:tcPr>
            <w:tcW w:w="1350" w:type="dxa"/>
            <w:vAlign w:val="top"/>
          </w:tcPr>
          <w:p w14:paraId="387FF496">
            <w:pPr>
              <w:rPr>
                <w:rFonts w:ascii="Arial"/>
                <w:sz w:val="21"/>
              </w:rPr>
            </w:pPr>
          </w:p>
        </w:tc>
        <w:tc>
          <w:tcPr>
            <w:tcW w:w="1413" w:type="dxa"/>
            <w:vAlign w:val="top"/>
          </w:tcPr>
          <w:p w14:paraId="71DDCB8B">
            <w:pPr>
              <w:rPr>
                <w:rFonts w:ascii="Arial"/>
                <w:sz w:val="21"/>
              </w:rPr>
            </w:pPr>
          </w:p>
        </w:tc>
        <w:tc>
          <w:tcPr>
            <w:tcW w:w="1717" w:type="dxa"/>
            <w:tcBorders>
              <w:right w:val="single" w:color="000000" w:sz="10" w:space="0"/>
            </w:tcBorders>
            <w:vAlign w:val="top"/>
          </w:tcPr>
          <w:p w14:paraId="0CC92970">
            <w:pPr>
              <w:rPr>
                <w:rFonts w:ascii="Arial"/>
                <w:sz w:val="21"/>
              </w:rPr>
            </w:pPr>
          </w:p>
        </w:tc>
      </w:tr>
      <w:tr w14:paraId="361CBE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003" w:type="dxa"/>
            <w:tcBorders>
              <w:left w:val="single" w:color="000000" w:sz="10" w:space="0"/>
            </w:tcBorders>
            <w:vAlign w:val="top"/>
          </w:tcPr>
          <w:p w14:paraId="080013EC">
            <w:pPr>
              <w:rPr>
                <w:rFonts w:ascii="Arial"/>
                <w:sz w:val="21"/>
              </w:rPr>
            </w:pPr>
          </w:p>
        </w:tc>
        <w:tc>
          <w:tcPr>
            <w:tcW w:w="1983" w:type="dxa"/>
            <w:vAlign w:val="top"/>
          </w:tcPr>
          <w:p w14:paraId="441D63A6">
            <w:pPr>
              <w:rPr>
                <w:rFonts w:ascii="Arial"/>
                <w:sz w:val="21"/>
              </w:rPr>
            </w:pPr>
          </w:p>
        </w:tc>
        <w:tc>
          <w:tcPr>
            <w:tcW w:w="847" w:type="dxa"/>
            <w:vAlign w:val="top"/>
          </w:tcPr>
          <w:p w14:paraId="4FC8609B">
            <w:pPr>
              <w:rPr>
                <w:rFonts w:ascii="Arial"/>
                <w:sz w:val="21"/>
              </w:rPr>
            </w:pPr>
          </w:p>
        </w:tc>
        <w:tc>
          <w:tcPr>
            <w:tcW w:w="771" w:type="dxa"/>
            <w:vAlign w:val="top"/>
          </w:tcPr>
          <w:p w14:paraId="572D2D0B">
            <w:pPr>
              <w:rPr>
                <w:rFonts w:ascii="Arial"/>
                <w:sz w:val="21"/>
              </w:rPr>
            </w:pPr>
          </w:p>
        </w:tc>
        <w:tc>
          <w:tcPr>
            <w:tcW w:w="1350" w:type="dxa"/>
            <w:vAlign w:val="top"/>
          </w:tcPr>
          <w:p w14:paraId="1CCE3CF7">
            <w:pPr>
              <w:rPr>
                <w:rFonts w:ascii="Arial"/>
                <w:sz w:val="21"/>
              </w:rPr>
            </w:pPr>
          </w:p>
        </w:tc>
        <w:tc>
          <w:tcPr>
            <w:tcW w:w="1413" w:type="dxa"/>
            <w:vAlign w:val="top"/>
          </w:tcPr>
          <w:p w14:paraId="3F25A32A">
            <w:pPr>
              <w:rPr>
                <w:rFonts w:ascii="Arial"/>
                <w:sz w:val="21"/>
              </w:rPr>
            </w:pPr>
          </w:p>
        </w:tc>
        <w:tc>
          <w:tcPr>
            <w:tcW w:w="1717" w:type="dxa"/>
            <w:tcBorders>
              <w:right w:val="single" w:color="000000" w:sz="10" w:space="0"/>
            </w:tcBorders>
            <w:vAlign w:val="top"/>
          </w:tcPr>
          <w:p w14:paraId="0073538E">
            <w:pPr>
              <w:rPr>
                <w:rFonts w:ascii="Arial"/>
                <w:sz w:val="21"/>
              </w:rPr>
            </w:pPr>
          </w:p>
        </w:tc>
      </w:tr>
      <w:tr w14:paraId="3E963D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003" w:type="dxa"/>
            <w:tcBorders>
              <w:left w:val="single" w:color="000000" w:sz="10" w:space="0"/>
            </w:tcBorders>
            <w:vAlign w:val="top"/>
          </w:tcPr>
          <w:p w14:paraId="681C5A3A">
            <w:pPr>
              <w:rPr>
                <w:rFonts w:ascii="Arial"/>
                <w:sz w:val="21"/>
              </w:rPr>
            </w:pPr>
          </w:p>
        </w:tc>
        <w:tc>
          <w:tcPr>
            <w:tcW w:w="1983" w:type="dxa"/>
            <w:vAlign w:val="top"/>
          </w:tcPr>
          <w:p w14:paraId="63DDFE63">
            <w:pPr>
              <w:rPr>
                <w:rFonts w:ascii="Arial"/>
                <w:sz w:val="21"/>
              </w:rPr>
            </w:pPr>
          </w:p>
        </w:tc>
        <w:tc>
          <w:tcPr>
            <w:tcW w:w="847" w:type="dxa"/>
            <w:vAlign w:val="top"/>
          </w:tcPr>
          <w:p w14:paraId="14B32691">
            <w:pPr>
              <w:rPr>
                <w:rFonts w:ascii="Arial"/>
                <w:sz w:val="21"/>
              </w:rPr>
            </w:pPr>
          </w:p>
        </w:tc>
        <w:tc>
          <w:tcPr>
            <w:tcW w:w="771" w:type="dxa"/>
            <w:vAlign w:val="top"/>
          </w:tcPr>
          <w:p w14:paraId="439F5B15">
            <w:pPr>
              <w:rPr>
                <w:rFonts w:ascii="Arial"/>
                <w:sz w:val="21"/>
              </w:rPr>
            </w:pPr>
          </w:p>
        </w:tc>
        <w:tc>
          <w:tcPr>
            <w:tcW w:w="1350" w:type="dxa"/>
            <w:vAlign w:val="top"/>
          </w:tcPr>
          <w:p w14:paraId="1F9247F7">
            <w:pPr>
              <w:rPr>
                <w:rFonts w:ascii="Arial"/>
                <w:sz w:val="21"/>
              </w:rPr>
            </w:pPr>
          </w:p>
        </w:tc>
        <w:tc>
          <w:tcPr>
            <w:tcW w:w="1413" w:type="dxa"/>
            <w:vAlign w:val="top"/>
          </w:tcPr>
          <w:p w14:paraId="7CBF2E0A">
            <w:pPr>
              <w:rPr>
                <w:rFonts w:ascii="Arial"/>
                <w:sz w:val="21"/>
              </w:rPr>
            </w:pPr>
          </w:p>
        </w:tc>
        <w:tc>
          <w:tcPr>
            <w:tcW w:w="1717" w:type="dxa"/>
            <w:tcBorders>
              <w:right w:val="single" w:color="000000" w:sz="10" w:space="0"/>
            </w:tcBorders>
            <w:vAlign w:val="top"/>
          </w:tcPr>
          <w:p w14:paraId="1C52E1D6">
            <w:pPr>
              <w:rPr>
                <w:rFonts w:ascii="Arial"/>
                <w:sz w:val="21"/>
              </w:rPr>
            </w:pPr>
          </w:p>
        </w:tc>
      </w:tr>
      <w:tr w14:paraId="30EE2F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6" w:hRule="atLeast"/>
        </w:trPr>
        <w:tc>
          <w:tcPr>
            <w:tcW w:w="1003" w:type="dxa"/>
            <w:tcBorders>
              <w:left w:val="single" w:color="000000" w:sz="10" w:space="0"/>
            </w:tcBorders>
            <w:vAlign w:val="top"/>
          </w:tcPr>
          <w:p w14:paraId="0D17BF8F">
            <w:pPr>
              <w:rPr>
                <w:rFonts w:ascii="Arial"/>
                <w:sz w:val="21"/>
              </w:rPr>
            </w:pPr>
          </w:p>
        </w:tc>
        <w:tc>
          <w:tcPr>
            <w:tcW w:w="1983" w:type="dxa"/>
            <w:vAlign w:val="top"/>
          </w:tcPr>
          <w:p w14:paraId="0634CB28">
            <w:pPr>
              <w:rPr>
                <w:rFonts w:ascii="Arial"/>
                <w:sz w:val="21"/>
              </w:rPr>
            </w:pPr>
          </w:p>
        </w:tc>
        <w:tc>
          <w:tcPr>
            <w:tcW w:w="847" w:type="dxa"/>
            <w:vAlign w:val="top"/>
          </w:tcPr>
          <w:p w14:paraId="3011885E">
            <w:pPr>
              <w:rPr>
                <w:rFonts w:ascii="Arial"/>
                <w:sz w:val="21"/>
              </w:rPr>
            </w:pPr>
          </w:p>
        </w:tc>
        <w:tc>
          <w:tcPr>
            <w:tcW w:w="771" w:type="dxa"/>
            <w:vAlign w:val="top"/>
          </w:tcPr>
          <w:p w14:paraId="0F4D7F04">
            <w:pPr>
              <w:rPr>
                <w:rFonts w:ascii="Arial"/>
                <w:sz w:val="21"/>
              </w:rPr>
            </w:pPr>
          </w:p>
        </w:tc>
        <w:tc>
          <w:tcPr>
            <w:tcW w:w="1350" w:type="dxa"/>
            <w:vAlign w:val="top"/>
          </w:tcPr>
          <w:p w14:paraId="4915BC4E">
            <w:pPr>
              <w:rPr>
                <w:rFonts w:ascii="Arial"/>
                <w:sz w:val="21"/>
              </w:rPr>
            </w:pPr>
          </w:p>
        </w:tc>
        <w:tc>
          <w:tcPr>
            <w:tcW w:w="1413" w:type="dxa"/>
            <w:vAlign w:val="top"/>
          </w:tcPr>
          <w:p w14:paraId="6BEAF586">
            <w:pPr>
              <w:rPr>
                <w:rFonts w:ascii="Arial"/>
                <w:sz w:val="21"/>
              </w:rPr>
            </w:pPr>
          </w:p>
        </w:tc>
        <w:tc>
          <w:tcPr>
            <w:tcW w:w="1717" w:type="dxa"/>
            <w:tcBorders>
              <w:right w:val="single" w:color="000000" w:sz="10" w:space="0"/>
            </w:tcBorders>
            <w:vAlign w:val="top"/>
          </w:tcPr>
          <w:p w14:paraId="7C7082D1">
            <w:pPr>
              <w:rPr>
                <w:rFonts w:ascii="Arial"/>
                <w:sz w:val="21"/>
              </w:rPr>
            </w:pPr>
          </w:p>
        </w:tc>
      </w:tr>
      <w:tr w14:paraId="0BC946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1003" w:type="dxa"/>
            <w:tcBorders>
              <w:left w:val="single" w:color="000000" w:sz="10" w:space="0"/>
              <w:bottom w:val="single" w:color="000000" w:sz="10" w:space="0"/>
            </w:tcBorders>
            <w:vAlign w:val="top"/>
          </w:tcPr>
          <w:p w14:paraId="610FDC5D">
            <w:pPr>
              <w:rPr>
                <w:rFonts w:ascii="Arial"/>
                <w:sz w:val="21"/>
              </w:rPr>
            </w:pPr>
          </w:p>
        </w:tc>
        <w:tc>
          <w:tcPr>
            <w:tcW w:w="1983" w:type="dxa"/>
            <w:tcBorders>
              <w:bottom w:val="single" w:color="000000" w:sz="10" w:space="0"/>
            </w:tcBorders>
            <w:vAlign w:val="top"/>
          </w:tcPr>
          <w:p w14:paraId="3E15FE94">
            <w:pPr>
              <w:rPr>
                <w:rFonts w:ascii="Arial"/>
                <w:sz w:val="21"/>
              </w:rPr>
            </w:pPr>
          </w:p>
        </w:tc>
        <w:tc>
          <w:tcPr>
            <w:tcW w:w="847" w:type="dxa"/>
            <w:tcBorders>
              <w:bottom w:val="single" w:color="000000" w:sz="10" w:space="0"/>
            </w:tcBorders>
            <w:vAlign w:val="top"/>
          </w:tcPr>
          <w:p w14:paraId="6599017A">
            <w:pPr>
              <w:rPr>
                <w:rFonts w:ascii="Arial"/>
                <w:sz w:val="21"/>
              </w:rPr>
            </w:pPr>
          </w:p>
        </w:tc>
        <w:tc>
          <w:tcPr>
            <w:tcW w:w="771" w:type="dxa"/>
            <w:tcBorders>
              <w:bottom w:val="single" w:color="000000" w:sz="10" w:space="0"/>
            </w:tcBorders>
            <w:vAlign w:val="top"/>
          </w:tcPr>
          <w:p w14:paraId="1772C852">
            <w:pPr>
              <w:rPr>
                <w:rFonts w:ascii="Arial"/>
                <w:sz w:val="21"/>
              </w:rPr>
            </w:pPr>
          </w:p>
        </w:tc>
        <w:tc>
          <w:tcPr>
            <w:tcW w:w="1350" w:type="dxa"/>
            <w:tcBorders>
              <w:bottom w:val="single" w:color="000000" w:sz="10" w:space="0"/>
            </w:tcBorders>
            <w:vAlign w:val="top"/>
          </w:tcPr>
          <w:p w14:paraId="32DAE7AA">
            <w:pPr>
              <w:rPr>
                <w:rFonts w:ascii="Arial"/>
                <w:sz w:val="21"/>
              </w:rPr>
            </w:pPr>
          </w:p>
        </w:tc>
        <w:tc>
          <w:tcPr>
            <w:tcW w:w="1413" w:type="dxa"/>
            <w:tcBorders>
              <w:bottom w:val="single" w:color="000000" w:sz="10" w:space="0"/>
            </w:tcBorders>
            <w:vAlign w:val="top"/>
          </w:tcPr>
          <w:p w14:paraId="5E18A2B4">
            <w:pPr>
              <w:rPr>
                <w:rFonts w:ascii="Arial"/>
                <w:sz w:val="21"/>
              </w:rPr>
            </w:pPr>
          </w:p>
        </w:tc>
        <w:tc>
          <w:tcPr>
            <w:tcW w:w="1717" w:type="dxa"/>
            <w:tcBorders>
              <w:bottom w:val="single" w:color="000000" w:sz="10" w:space="0"/>
              <w:right w:val="single" w:color="000000" w:sz="10" w:space="0"/>
            </w:tcBorders>
            <w:vAlign w:val="top"/>
          </w:tcPr>
          <w:p w14:paraId="5D61AF0F">
            <w:pPr>
              <w:rPr>
                <w:rFonts w:ascii="Arial"/>
                <w:sz w:val="21"/>
              </w:rPr>
            </w:pPr>
          </w:p>
        </w:tc>
      </w:tr>
    </w:tbl>
    <w:p w14:paraId="64B84322">
      <w:pPr>
        <w:pStyle w:val="3"/>
      </w:pPr>
    </w:p>
    <w:p w14:paraId="5A54D887">
      <w:pPr>
        <w:sectPr>
          <w:footerReference r:id="rId158" w:type="default"/>
          <w:pgSz w:w="11905" w:h="16839"/>
          <w:pgMar w:top="400" w:right="1114" w:bottom="1004" w:left="1680" w:header="0" w:footer="828" w:gutter="0"/>
          <w:pgNumType w:fmt="decimal"/>
          <w:cols w:space="720" w:num="1"/>
        </w:sectPr>
      </w:pPr>
    </w:p>
    <w:p w14:paraId="62E2762A">
      <w:pPr>
        <w:pStyle w:val="3"/>
        <w:spacing w:line="265" w:lineRule="auto"/>
      </w:pPr>
    </w:p>
    <w:p w14:paraId="5C43EBA3">
      <w:pPr>
        <w:pStyle w:val="3"/>
        <w:spacing w:line="265" w:lineRule="auto"/>
      </w:pPr>
    </w:p>
    <w:p w14:paraId="7980AECA">
      <w:pPr>
        <w:pStyle w:val="3"/>
        <w:spacing w:line="265" w:lineRule="auto"/>
      </w:pPr>
    </w:p>
    <w:p w14:paraId="294FEA1D">
      <w:pPr>
        <w:pStyle w:val="3"/>
        <w:spacing w:line="266" w:lineRule="auto"/>
      </w:pPr>
    </w:p>
    <w:p w14:paraId="6FD16998">
      <w:pPr>
        <w:spacing w:before="88" w:line="225" w:lineRule="auto"/>
        <w:ind w:left="2742"/>
        <w:rPr>
          <w:rFonts w:ascii="黑体" w:hAnsi="黑体" w:eastAsia="黑体" w:cs="黑体"/>
          <w:sz w:val="27"/>
          <w:szCs w:val="27"/>
        </w:rPr>
      </w:pPr>
      <w:bookmarkStart w:id="1282" w:name="bookmark236"/>
      <w:bookmarkEnd w:id="1282"/>
      <w:r>
        <w:rPr>
          <w:rFonts w:ascii="Times New Roman" w:hAnsi="Times New Roman" w:eastAsia="Times New Roman" w:cs="Times New Roman"/>
          <w:spacing w:val="2"/>
          <w:sz w:val="24"/>
          <w:szCs w:val="24"/>
        </w:rPr>
        <w:t>11-3</w:t>
      </w:r>
      <w:r>
        <w:rPr>
          <w:rFonts w:ascii="宋体" w:hAnsi="宋体" w:eastAsia="宋体" w:cs="宋体"/>
          <w:spacing w:val="2"/>
          <w:sz w:val="24"/>
          <w:szCs w:val="24"/>
        </w:rPr>
        <w:t>：</w:t>
      </w:r>
      <w:r>
        <w:rPr>
          <w:rFonts w:ascii="黑体" w:hAnsi="黑体" w:eastAsia="黑体" w:cs="黑体"/>
          <w:spacing w:val="2"/>
          <w:sz w:val="27"/>
          <w:szCs w:val="27"/>
        </w:rPr>
        <w:t>专业工程暂估价表</w:t>
      </w:r>
    </w:p>
    <w:p w14:paraId="1DEC652B">
      <w:pPr>
        <w:spacing w:line="117" w:lineRule="exact"/>
      </w:pPr>
    </w:p>
    <w:tbl>
      <w:tblPr>
        <w:tblStyle w:val="10"/>
        <w:tblW w:w="8825" w:type="dxa"/>
        <w:tblInd w:w="2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88"/>
        <w:gridCol w:w="1983"/>
        <w:gridCol w:w="4664"/>
        <w:gridCol w:w="1290"/>
      </w:tblGrid>
      <w:tr w14:paraId="33E97A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2" w:hRule="atLeast"/>
        </w:trPr>
        <w:tc>
          <w:tcPr>
            <w:tcW w:w="888" w:type="dxa"/>
            <w:tcBorders>
              <w:top w:val="single" w:color="000000" w:sz="10" w:space="0"/>
              <w:left w:val="single" w:color="000000" w:sz="10" w:space="0"/>
            </w:tcBorders>
            <w:vAlign w:val="top"/>
          </w:tcPr>
          <w:p w14:paraId="11D91610">
            <w:pPr>
              <w:pStyle w:val="11"/>
              <w:spacing w:before="177" w:line="222" w:lineRule="auto"/>
              <w:ind w:left="227"/>
            </w:pPr>
            <w:r>
              <w:rPr>
                <w:spacing w:val="-2"/>
              </w:rPr>
              <w:t>序号</w:t>
            </w:r>
          </w:p>
        </w:tc>
        <w:tc>
          <w:tcPr>
            <w:tcW w:w="1983" w:type="dxa"/>
            <w:tcBorders>
              <w:top w:val="single" w:color="000000" w:sz="10" w:space="0"/>
            </w:tcBorders>
            <w:vAlign w:val="top"/>
          </w:tcPr>
          <w:p w14:paraId="2388931C">
            <w:pPr>
              <w:pStyle w:val="11"/>
              <w:spacing w:before="177" w:line="221" w:lineRule="auto"/>
              <w:ind w:left="362"/>
            </w:pPr>
            <w:r>
              <w:rPr>
                <w:spacing w:val="-1"/>
              </w:rPr>
              <w:t>专业工程名称</w:t>
            </w:r>
          </w:p>
        </w:tc>
        <w:tc>
          <w:tcPr>
            <w:tcW w:w="4664" w:type="dxa"/>
            <w:tcBorders>
              <w:top w:val="single" w:color="000000" w:sz="10" w:space="0"/>
            </w:tcBorders>
            <w:vAlign w:val="top"/>
          </w:tcPr>
          <w:p w14:paraId="2DCDFEA6">
            <w:pPr>
              <w:pStyle w:val="11"/>
              <w:spacing w:before="177" w:line="221" w:lineRule="auto"/>
              <w:ind w:left="1924"/>
            </w:pPr>
            <w:r>
              <w:rPr>
                <w:spacing w:val="-2"/>
              </w:rPr>
              <w:t>工程内容</w:t>
            </w:r>
          </w:p>
        </w:tc>
        <w:tc>
          <w:tcPr>
            <w:tcW w:w="1290" w:type="dxa"/>
            <w:tcBorders>
              <w:top w:val="single" w:color="000000" w:sz="10" w:space="0"/>
              <w:right w:val="single" w:color="000000" w:sz="10" w:space="0"/>
            </w:tcBorders>
            <w:vAlign w:val="top"/>
          </w:tcPr>
          <w:p w14:paraId="309782AE">
            <w:pPr>
              <w:pStyle w:val="11"/>
              <w:spacing w:before="177" w:line="221" w:lineRule="auto"/>
              <w:ind w:left="443"/>
            </w:pPr>
            <w:r>
              <w:rPr>
                <w:spacing w:val="-2"/>
              </w:rPr>
              <w:t>金额</w:t>
            </w:r>
          </w:p>
        </w:tc>
      </w:tr>
      <w:tr w14:paraId="2948C5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4" w:hRule="atLeast"/>
        </w:trPr>
        <w:tc>
          <w:tcPr>
            <w:tcW w:w="888" w:type="dxa"/>
            <w:tcBorders>
              <w:left w:val="single" w:color="000000" w:sz="10" w:space="0"/>
            </w:tcBorders>
            <w:vAlign w:val="top"/>
          </w:tcPr>
          <w:p w14:paraId="00A0CEA3">
            <w:pPr>
              <w:rPr>
                <w:rFonts w:ascii="Arial"/>
                <w:sz w:val="21"/>
              </w:rPr>
            </w:pPr>
          </w:p>
        </w:tc>
        <w:tc>
          <w:tcPr>
            <w:tcW w:w="1983" w:type="dxa"/>
            <w:vAlign w:val="top"/>
          </w:tcPr>
          <w:p w14:paraId="769D651F">
            <w:pPr>
              <w:rPr>
                <w:rFonts w:ascii="Arial"/>
                <w:sz w:val="21"/>
              </w:rPr>
            </w:pPr>
          </w:p>
        </w:tc>
        <w:tc>
          <w:tcPr>
            <w:tcW w:w="4664" w:type="dxa"/>
            <w:vAlign w:val="top"/>
          </w:tcPr>
          <w:p w14:paraId="1A6B2752">
            <w:pPr>
              <w:rPr>
                <w:rFonts w:ascii="Arial"/>
                <w:sz w:val="21"/>
              </w:rPr>
            </w:pPr>
          </w:p>
        </w:tc>
        <w:tc>
          <w:tcPr>
            <w:tcW w:w="1290" w:type="dxa"/>
            <w:tcBorders>
              <w:right w:val="single" w:color="000000" w:sz="10" w:space="0"/>
            </w:tcBorders>
            <w:vAlign w:val="top"/>
          </w:tcPr>
          <w:p w14:paraId="71B86DD8">
            <w:pPr>
              <w:rPr>
                <w:rFonts w:ascii="Arial"/>
                <w:sz w:val="21"/>
              </w:rPr>
            </w:pPr>
          </w:p>
        </w:tc>
      </w:tr>
      <w:tr w14:paraId="49EDBC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0" w:hRule="atLeast"/>
        </w:trPr>
        <w:tc>
          <w:tcPr>
            <w:tcW w:w="888" w:type="dxa"/>
            <w:tcBorders>
              <w:left w:val="single" w:color="000000" w:sz="10" w:space="0"/>
            </w:tcBorders>
            <w:vAlign w:val="top"/>
          </w:tcPr>
          <w:p w14:paraId="14EF072F">
            <w:pPr>
              <w:rPr>
                <w:rFonts w:ascii="Arial"/>
                <w:sz w:val="21"/>
              </w:rPr>
            </w:pPr>
          </w:p>
        </w:tc>
        <w:tc>
          <w:tcPr>
            <w:tcW w:w="1983" w:type="dxa"/>
            <w:vAlign w:val="top"/>
          </w:tcPr>
          <w:p w14:paraId="6BE913F2">
            <w:pPr>
              <w:rPr>
                <w:rFonts w:ascii="Arial"/>
                <w:sz w:val="21"/>
              </w:rPr>
            </w:pPr>
          </w:p>
        </w:tc>
        <w:tc>
          <w:tcPr>
            <w:tcW w:w="4664" w:type="dxa"/>
            <w:vAlign w:val="top"/>
          </w:tcPr>
          <w:p w14:paraId="1984FB28">
            <w:pPr>
              <w:rPr>
                <w:rFonts w:ascii="Arial"/>
                <w:sz w:val="21"/>
              </w:rPr>
            </w:pPr>
          </w:p>
        </w:tc>
        <w:tc>
          <w:tcPr>
            <w:tcW w:w="1290" w:type="dxa"/>
            <w:tcBorders>
              <w:right w:val="single" w:color="000000" w:sz="10" w:space="0"/>
            </w:tcBorders>
            <w:vAlign w:val="top"/>
          </w:tcPr>
          <w:p w14:paraId="228F0EF6">
            <w:pPr>
              <w:rPr>
                <w:rFonts w:ascii="Arial"/>
                <w:sz w:val="21"/>
              </w:rPr>
            </w:pPr>
          </w:p>
        </w:tc>
      </w:tr>
      <w:tr w14:paraId="0BD535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45" w:hRule="atLeast"/>
        </w:trPr>
        <w:tc>
          <w:tcPr>
            <w:tcW w:w="888" w:type="dxa"/>
            <w:tcBorders>
              <w:left w:val="single" w:color="000000" w:sz="10" w:space="0"/>
            </w:tcBorders>
            <w:vAlign w:val="top"/>
          </w:tcPr>
          <w:p w14:paraId="4510A522">
            <w:pPr>
              <w:rPr>
                <w:rFonts w:ascii="Arial"/>
                <w:sz w:val="21"/>
              </w:rPr>
            </w:pPr>
          </w:p>
        </w:tc>
        <w:tc>
          <w:tcPr>
            <w:tcW w:w="1983" w:type="dxa"/>
            <w:vAlign w:val="top"/>
          </w:tcPr>
          <w:p w14:paraId="4A247E0F">
            <w:pPr>
              <w:rPr>
                <w:rFonts w:ascii="Arial"/>
                <w:sz w:val="21"/>
              </w:rPr>
            </w:pPr>
          </w:p>
        </w:tc>
        <w:tc>
          <w:tcPr>
            <w:tcW w:w="4664" w:type="dxa"/>
            <w:vAlign w:val="top"/>
          </w:tcPr>
          <w:p w14:paraId="6CEC4BAE">
            <w:pPr>
              <w:rPr>
                <w:rFonts w:ascii="Arial"/>
                <w:sz w:val="21"/>
              </w:rPr>
            </w:pPr>
          </w:p>
        </w:tc>
        <w:tc>
          <w:tcPr>
            <w:tcW w:w="1290" w:type="dxa"/>
            <w:tcBorders>
              <w:right w:val="single" w:color="000000" w:sz="10" w:space="0"/>
            </w:tcBorders>
            <w:vAlign w:val="top"/>
          </w:tcPr>
          <w:p w14:paraId="06DC42B3">
            <w:pPr>
              <w:rPr>
                <w:rFonts w:ascii="Arial"/>
                <w:sz w:val="21"/>
              </w:rPr>
            </w:pPr>
          </w:p>
        </w:tc>
      </w:tr>
      <w:tr w14:paraId="5A8C5E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888" w:type="dxa"/>
            <w:tcBorders>
              <w:left w:val="single" w:color="000000" w:sz="10" w:space="0"/>
            </w:tcBorders>
            <w:vAlign w:val="top"/>
          </w:tcPr>
          <w:p w14:paraId="3DBB6200">
            <w:pPr>
              <w:rPr>
                <w:rFonts w:ascii="Arial"/>
                <w:sz w:val="21"/>
              </w:rPr>
            </w:pPr>
          </w:p>
        </w:tc>
        <w:tc>
          <w:tcPr>
            <w:tcW w:w="1983" w:type="dxa"/>
            <w:vAlign w:val="top"/>
          </w:tcPr>
          <w:p w14:paraId="4A183B79">
            <w:pPr>
              <w:rPr>
                <w:rFonts w:ascii="Arial"/>
                <w:sz w:val="21"/>
              </w:rPr>
            </w:pPr>
          </w:p>
        </w:tc>
        <w:tc>
          <w:tcPr>
            <w:tcW w:w="4664" w:type="dxa"/>
            <w:vAlign w:val="top"/>
          </w:tcPr>
          <w:p w14:paraId="5F3F3984">
            <w:pPr>
              <w:rPr>
                <w:rFonts w:ascii="Arial"/>
                <w:sz w:val="21"/>
              </w:rPr>
            </w:pPr>
          </w:p>
        </w:tc>
        <w:tc>
          <w:tcPr>
            <w:tcW w:w="1290" w:type="dxa"/>
            <w:tcBorders>
              <w:right w:val="single" w:color="000000" w:sz="10" w:space="0"/>
            </w:tcBorders>
            <w:vAlign w:val="top"/>
          </w:tcPr>
          <w:p w14:paraId="379FC8B8">
            <w:pPr>
              <w:rPr>
                <w:rFonts w:ascii="Arial"/>
                <w:sz w:val="21"/>
              </w:rPr>
            </w:pPr>
          </w:p>
        </w:tc>
      </w:tr>
      <w:tr w14:paraId="2864C7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888" w:type="dxa"/>
            <w:tcBorders>
              <w:left w:val="single" w:color="000000" w:sz="10" w:space="0"/>
            </w:tcBorders>
            <w:vAlign w:val="top"/>
          </w:tcPr>
          <w:p w14:paraId="5CBA0DF1">
            <w:pPr>
              <w:rPr>
                <w:rFonts w:ascii="Arial"/>
                <w:sz w:val="21"/>
              </w:rPr>
            </w:pPr>
          </w:p>
        </w:tc>
        <w:tc>
          <w:tcPr>
            <w:tcW w:w="1983" w:type="dxa"/>
            <w:vAlign w:val="top"/>
          </w:tcPr>
          <w:p w14:paraId="280BFE02">
            <w:pPr>
              <w:rPr>
                <w:rFonts w:ascii="Arial"/>
                <w:sz w:val="21"/>
              </w:rPr>
            </w:pPr>
          </w:p>
        </w:tc>
        <w:tc>
          <w:tcPr>
            <w:tcW w:w="4664" w:type="dxa"/>
            <w:vAlign w:val="top"/>
          </w:tcPr>
          <w:p w14:paraId="65E9894F">
            <w:pPr>
              <w:rPr>
                <w:rFonts w:ascii="Arial"/>
                <w:sz w:val="21"/>
              </w:rPr>
            </w:pPr>
          </w:p>
        </w:tc>
        <w:tc>
          <w:tcPr>
            <w:tcW w:w="1290" w:type="dxa"/>
            <w:tcBorders>
              <w:right w:val="single" w:color="000000" w:sz="10" w:space="0"/>
            </w:tcBorders>
            <w:vAlign w:val="top"/>
          </w:tcPr>
          <w:p w14:paraId="2009A4BD">
            <w:pPr>
              <w:rPr>
                <w:rFonts w:ascii="Arial"/>
                <w:sz w:val="21"/>
              </w:rPr>
            </w:pPr>
          </w:p>
        </w:tc>
      </w:tr>
      <w:tr w14:paraId="6A68C6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888" w:type="dxa"/>
            <w:tcBorders>
              <w:left w:val="single" w:color="000000" w:sz="10" w:space="0"/>
            </w:tcBorders>
            <w:vAlign w:val="top"/>
          </w:tcPr>
          <w:p w14:paraId="19513711">
            <w:pPr>
              <w:rPr>
                <w:rFonts w:ascii="Arial"/>
                <w:sz w:val="21"/>
              </w:rPr>
            </w:pPr>
          </w:p>
        </w:tc>
        <w:tc>
          <w:tcPr>
            <w:tcW w:w="1983" w:type="dxa"/>
            <w:vAlign w:val="top"/>
          </w:tcPr>
          <w:p w14:paraId="1322C3E6">
            <w:pPr>
              <w:rPr>
                <w:rFonts w:ascii="Arial"/>
                <w:sz w:val="21"/>
              </w:rPr>
            </w:pPr>
          </w:p>
        </w:tc>
        <w:tc>
          <w:tcPr>
            <w:tcW w:w="4664" w:type="dxa"/>
            <w:vAlign w:val="top"/>
          </w:tcPr>
          <w:p w14:paraId="3BDC6D56">
            <w:pPr>
              <w:rPr>
                <w:rFonts w:ascii="Arial"/>
                <w:sz w:val="21"/>
              </w:rPr>
            </w:pPr>
          </w:p>
        </w:tc>
        <w:tc>
          <w:tcPr>
            <w:tcW w:w="1290" w:type="dxa"/>
            <w:tcBorders>
              <w:right w:val="single" w:color="000000" w:sz="10" w:space="0"/>
            </w:tcBorders>
            <w:vAlign w:val="top"/>
          </w:tcPr>
          <w:p w14:paraId="7BB40F84">
            <w:pPr>
              <w:rPr>
                <w:rFonts w:ascii="Arial"/>
                <w:sz w:val="21"/>
              </w:rPr>
            </w:pPr>
          </w:p>
        </w:tc>
      </w:tr>
      <w:tr w14:paraId="05F285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0" w:hRule="atLeast"/>
        </w:trPr>
        <w:tc>
          <w:tcPr>
            <w:tcW w:w="888" w:type="dxa"/>
            <w:tcBorders>
              <w:left w:val="single" w:color="000000" w:sz="10" w:space="0"/>
            </w:tcBorders>
            <w:vAlign w:val="top"/>
          </w:tcPr>
          <w:p w14:paraId="6A797A5B">
            <w:pPr>
              <w:rPr>
                <w:rFonts w:ascii="Arial"/>
                <w:sz w:val="21"/>
              </w:rPr>
            </w:pPr>
          </w:p>
        </w:tc>
        <w:tc>
          <w:tcPr>
            <w:tcW w:w="1983" w:type="dxa"/>
            <w:vAlign w:val="top"/>
          </w:tcPr>
          <w:p w14:paraId="1FB27E67">
            <w:pPr>
              <w:rPr>
                <w:rFonts w:ascii="Arial"/>
                <w:sz w:val="21"/>
              </w:rPr>
            </w:pPr>
          </w:p>
        </w:tc>
        <w:tc>
          <w:tcPr>
            <w:tcW w:w="4664" w:type="dxa"/>
            <w:vAlign w:val="top"/>
          </w:tcPr>
          <w:p w14:paraId="6DA2FA2B">
            <w:pPr>
              <w:rPr>
                <w:rFonts w:ascii="Arial"/>
                <w:sz w:val="21"/>
              </w:rPr>
            </w:pPr>
          </w:p>
        </w:tc>
        <w:tc>
          <w:tcPr>
            <w:tcW w:w="1290" w:type="dxa"/>
            <w:tcBorders>
              <w:right w:val="single" w:color="000000" w:sz="10" w:space="0"/>
            </w:tcBorders>
            <w:vAlign w:val="top"/>
          </w:tcPr>
          <w:p w14:paraId="4822D905">
            <w:pPr>
              <w:rPr>
                <w:rFonts w:ascii="Arial"/>
                <w:sz w:val="21"/>
              </w:rPr>
            </w:pPr>
          </w:p>
        </w:tc>
      </w:tr>
      <w:tr w14:paraId="5E8491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888" w:type="dxa"/>
            <w:tcBorders>
              <w:left w:val="single" w:color="000000" w:sz="10" w:space="0"/>
            </w:tcBorders>
            <w:vAlign w:val="top"/>
          </w:tcPr>
          <w:p w14:paraId="3020B6D6">
            <w:pPr>
              <w:rPr>
                <w:rFonts w:ascii="Arial"/>
                <w:sz w:val="21"/>
              </w:rPr>
            </w:pPr>
          </w:p>
        </w:tc>
        <w:tc>
          <w:tcPr>
            <w:tcW w:w="1983" w:type="dxa"/>
            <w:vAlign w:val="top"/>
          </w:tcPr>
          <w:p w14:paraId="22C9A38B">
            <w:pPr>
              <w:rPr>
                <w:rFonts w:ascii="Arial"/>
                <w:sz w:val="21"/>
              </w:rPr>
            </w:pPr>
          </w:p>
        </w:tc>
        <w:tc>
          <w:tcPr>
            <w:tcW w:w="4664" w:type="dxa"/>
            <w:vAlign w:val="top"/>
          </w:tcPr>
          <w:p w14:paraId="57BBB4DE">
            <w:pPr>
              <w:rPr>
                <w:rFonts w:ascii="Arial"/>
                <w:sz w:val="21"/>
              </w:rPr>
            </w:pPr>
          </w:p>
        </w:tc>
        <w:tc>
          <w:tcPr>
            <w:tcW w:w="1290" w:type="dxa"/>
            <w:tcBorders>
              <w:right w:val="single" w:color="000000" w:sz="10" w:space="0"/>
            </w:tcBorders>
            <w:vAlign w:val="top"/>
          </w:tcPr>
          <w:p w14:paraId="47CAB985">
            <w:pPr>
              <w:rPr>
                <w:rFonts w:ascii="Arial"/>
                <w:sz w:val="21"/>
              </w:rPr>
            </w:pPr>
          </w:p>
        </w:tc>
      </w:tr>
      <w:tr w14:paraId="142D33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6" w:hRule="atLeast"/>
        </w:trPr>
        <w:tc>
          <w:tcPr>
            <w:tcW w:w="888" w:type="dxa"/>
            <w:tcBorders>
              <w:left w:val="single" w:color="000000" w:sz="10" w:space="0"/>
            </w:tcBorders>
            <w:vAlign w:val="top"/>
          </w:tcPr>
          <w:p w14:paraId="66D70CFC">
            <w:pPr>
              <w:rPr>
                <w:rFonts w:ascii="Arial"/>
                <w:sz w:val="21"/>
              </w:rPr>
            </w:pPr>
          </w:p>
        </w:tc>
        <w:tc>
          <w:tcPr>
            <w:tcW w:w="1983" w:type="dxa"/>
            <w:vAlign w:val="top"/>
          </w:tcPr>
          <w:p w14:paraId="592B19A5">
            <w:pPr>
              <w:rPr>
                <w:rFonts w:ascii="Arial"/>
                <w:sz w:val="21"/>
              </w:rPr>
            </w:pPr>
          </w:p>
        </w:tc>
        <w:tc>
          <w:tcPr>
            <w:tcW w:w="4664" w:type="dxa"/>
            <w:vAlign w:val="top"/>
          </w:tcPr>
          <w:p w14:paraId="3F1B7DCB">
            <w:pPr>
              <w:rPr>
                <w:rFonts w:ascii="Arial"/>
                <w:sz w:val="21"/>
              </w:rPr>
            </w:pPr>
          </w:p>
        </w:tc>
        <w:tc>
          <w:tcPr>
            <w:tcW w:w="1290" w:type="dxa"/>
            <w:tcBorders>
              <w:right w:val="single" w:color="000000" w:sz="10" w:space="0"/>
            </w:tcBorders>
            <w:vAlign w:val="top"/>
          </w:tcPr>
          <w:p w14:paraId="6EC420A0">
            <w:pPr>
              <w:rPr>
                <w:rFonts w:ascii="Arial"/>
                <w:sz w:val="21"/>
              </w:rPr>
            </w:pPr>
          </w:p>
        </w:tc>
      </w:tr>
      <w:tr w14:paraId="6BCB4A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888" w:type="dxa"/>
            <w:tcBorders>
              <w:left w:val="single" w:color="000000" w:sz="10" w:space="0"/>
            </w:tcBorders>
            <w:vAlign w:val="top"/>
          </w:tcPr>
          <w:p w14:paraId="30E91BB2">
            <w:pPr>
              <w:rPr>
                <w:rFonts w:ascii="Arial"/>
                <w:sz w:val="21"/>
              </w:rPr>
            </w:pPr>
          </w:p>
        </w:tc>
        <w:tc>
          <w:tcPr>
            <w:tcW w:w="1983" w:type="dxa"/>
            <w:vAlign w:val="top"/>
          </w:tcPr>
          <w:p w14:paraId="3BA09016">
            <w:pPr>
              <w:rPr>
                <w:rFonts w:ascii="Arial"/>
                <w:sz w:val="21"/>
              </w:rPr>
            </w:pPr>
          </w:p>
        </w:tc>
        <w:tc>
          <w:tcPr>
            <w:tcW w:w="4664" w:type="dxa"/>
            <w:vAlign w:val="top"/>
          </w:tcPr>
          <w:p w14:paraId="21476701">
            <w:pPr>
              <w:rPr>
                <w:rFonts w:ascii="Arial"/>
                <w:sz w:val="21"/>
              </w:rPr>
            </w:pPr>
          </w:p>
        </w:tc>
        <w:tc>
          <w:tcPr>
            <w:tcW w:w="1290" w:type="dxa"/>
            <w:tcBorders>
              <w:right w:val="single" w:color="000000" w:sz="10" w:space="0"/>
            </w:tcBorders>
            <w:vAlign w:val="top"/>
          </w:tcPr>
          <w:p w14:paraId="5F90E048">
            <w:pPr>
              <w:rPr>
                <w:rFonts w:ascii="Arial"/>
                <w:sz w:val="21"/>
              </w:rPr>
            </w:pPr>
          </w:p>
        </w:tc>
      </w:tr>
      <w:tr w14:paraId="555782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888" w:type="dxa"/>
            <w:tcBorders>
              <w:left w:val="single" w:color="000000" w:sz="10" w:space="0"/>
            </w:tcBorders>
            <w:vAlign w:val="top"/>
          </w:tcPr>
          <w:p w14:paraId="471ACA54">
            <w:pPr>
              <w:rPr>
                <w:rFonts w:ascii="Arial"/>
                <w:sz w:val="21"/>
              </w:rPr>
            </w:pPr>
          </w:p>
        </w:tc>
        <w:tc>
          <w:tcPr>
            <w:tcW w:w="1983" w:type="dxa"/>
            <w:vAlign w:val="top"/>
          </w:tcPr>
          <w:p w14:paraId="69D7FF01">
            <w:pPr>
              <w:rPr>
                <w:rFonts w:ascii="Arial"/>
                <w:sz w:val="21"/>
              </w:rPr>
            </w:pPr>
          </w:p>
        </w:tc>
        <w:tc>
          <w:tcPr>
            <w:tcW w:w="4664" w:type="dxa"/>
            <w:vAlign w:val="top"/>
          </w:tcPr>
          <w:p w14:paraId="65DA01A3">
            <w:pPr>
              <w:rPr>
                <w:rFonts w:ascii="Arial"/>
                <w:sz w:val="21"/>
              </w:rPr>
            </w:pPr>
          </w:p>
        </w:tc>
        <w:tc>
          <w:tcPr>
            <w:tcW w:w="1290" w:type="dxa"/>
            <w:tcBorders>
              <w:right w:val="single" w:color="000000" w:sz="10" w:space="0"/>
            </w:tcBorders>
            <w:vAlign w:val="top"/>
          </w:tcPr>
          <w:p w14:paraId="52BC56BA">
            <w:pPr>
              <w:rPr>
                <w:rFonts w:ascii="Arial"/>
                <w:sz w:val="21"/>
              </w:rPr>
            </w:pPr>
          </w:p>
        </w:tc>
      </w:tr>
      <w:tr w14:paraId="69A005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0" w:hRule="atLeast"/>
        </w:trPr>
        <w:tc>
          <w:tcPr>
            <w:tcW w:w="888" w:type="dxa"/>
            <w:tcBorders>
              <w:left w:val="single" w:color="000000" w:sz="10" w:space="0"/>
            </w:tcBorders>
            <w:vAlign w:val="top"/>
          </w:tcPr>
          <w:p w14:paraId="266D1077">
            <w:pPr>
              <w:rPr>
                <w:rFonts w:ascii="Arial"/>
                <w:sz w:val="21"/>
              </w:rPr>
            </w:pPr>
          </w:p>
        </w:tc>
        <w:tc>
          <w:tcPr>
            <w:tcW w:w="1983" w:type="dxa"/>
            <w:vAlign w:val="top"/>
          </w:tcPr>
          <w:p w14:paraId="625633B2">
            <w:pPr>
              <w:rPr>
                <w:rFonts w:ascii="Arial"/>
                <w:sz w:val="21"/>
              </w:rPr>
            </w:pPr>
          </w:p>
        </w:tc>
        <w:tc>
          <w:tcPr>
            <w:tcW w:w="4664" w:type="dxa"/>
            <w:vAlign w:val="top"/>
          </w:tcPr>
          <w:p w14:paraId="3BA3ACA8">
            <w:pPr>
              <w:rPr>
                <w:rFonts w:ascii="Arial"/>
                <w:sz w:val="21"/>
              </w:rPr>
            </w:pPr>
          </w:p>
        </w:tc>
        <w:tc>
          <w:tcPr>
            <w:tcW w:w="1290" w:type="dxa"/>
            <w:tcBorders>
              <w:right w:val="single" w:color="000000" w:sz="10" w:space="0"/>
            </w:tcBorders>
            <w:vAlign w:val="top"/>
          </w:tcPr>
          <w:p w14:paraId="1C74BFF1">
            <w:pPr>
              <w:rPr>
                <w:rFonts w:ascii="Arial"/>
                <w:sz w:val="21"/>
              </w:rPr>
            </w:pPr>
          </w:p>
        </w:tc>
      </w:tr>
      <w:tr w14:paraId="21F44B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888" w:type="dxa"/>
            <w:tcBorders>
              <w:left w:val="single" w:color="000000" w:sz="10" w:space="0"/>
            </w:tcBorders>
            <w:vAlign w:val="top"/>
          </w:tcPr>
          <w:p w14:paraId="3FAF8E01">
            <w:pPr>
              <w:rPr>
                <w:rFonts w:ascii="Arial"/>
                <w:sz w:val="21"/>
              </w:rPr>
            </w:pPr>
          </w:p>
        </w:tc>
        <w:tc>
          <w:tcPr>
            <w:tcW w:w="1983" w:type="dxa"/>
            <w:vAlign w:val="top"/>
          </w:tcPr>
          <w:p w14:paraId="737341F1">
            <w:pPr>
              <w:rPr>
                <w:rFonts w:ascii="Arial"/>
                <w:sz w:val="21"/>
              </w:rPr>
            </w:pPr>
          </w:p>
        </w:tc>
        <w:tc>
          <w:tcPr>
            <w:tcW w:w="4664" w:type="dxa"/>
            <w:vAlign w:val="top"/>
          </w:tcPr>
          <w:p w14:paraId="090C1487">
            <w:pPr>
              <w:rPr>
                <w:rFonts w:ascii="Arial"/>
                <w:sz w:val="21"/>
              </w:rPr>
            </w:pPr>
          </w:p>
        </w:tc>
        <w:tc>
          <w:tcPr>
            <w:tcW w:w="1290" w:type="dxa"/>
            <w:tcBorders>
              <w:right w:val="single" w:color="000000" w:sz="10" w:space="0"/>
            </w:tcBorders>
            <w:vAlign w:val="top"/>
          </w:tcPr>
          <w:p w14:paraId="6D2284B0">
            <w:pPr>
              <w:rPr>
                <w:rFonts w:ascii="Arial"/>
                <w:sz w:val="21"/>
              </w:rPr>
            </w:pPr>
          </w:p>
        </w:tc>
      </w:tr>
      <w:tr w14:paraId="61F40C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888" w:type="dxa"/>
            <w:tcBorders>
              <w:left w:val="single" w:color="000000" w:sz="10" w:space="0"/>
            </w:tcBorders>
            <w:vAlign w:val="top"/>
          </w:tcPr>
          <w:p w14:paraId="3F557559">
            <w:pPr>
              <w:rPr>
                <w:rFonts w:ascii="Arial"/>
                <w:sz w:val="21"/>
              </w:rPr>
            </w:pPr>
          </w:p>
        </w:tc>
        <w:tc>
          <w:tcPr>
            <w:tcW w:w="1983" w:type="dxa"/>
            <w:vAlign w:val="top"/>
          </w:tcPr>
          <w:p w14:paraId="1E44552C">
            <w:pPr>
              <w:rPr>
                <w:rFonts w:ascii="Arial"/>
                <w:sz w:val="21"/>
              </w:rPr>
            </w:pPr>
          </w:p>
        </w:tc>
        <w:tc>
          <w:tcPr>
            <w:tcW w:w="4664" w:type="dxa"/>
            <w:vAlign w:val="top"/>
          </w:tcPr>
          <w:p w14:paraId="4D6464D6">
            <w:pPr>
              <w:rPr>
                <w:rFonts w:ascii="Arial"/>
                <w:sz w:val="21"/>
              </w:rPr>
            </w:pPr>
          </w:p>
        </w:tc>
        <w:tc>
          <w:tcPr>
            <w:tcW w:w="1290" w:type="dxa"/>
            <w:tcBorders>
              <w:right w:val="single" w:color="000000" w:sz="10" w:space="0"/>
            </w:tcBorders>
            <w:vAlign w:val="top"/>
          </w:tcPr>
          <w:p w14:paraId="3B4A4560">
            <w:pPr>
              <w:rPr>
                <w:rFonts w:ascii="Arial"/>
                <w:sz w:val="21"/>
              </w:rPr>
            </w:pPr>
          </w:p>
        </w:tc>
      </w:tr>
      <w:tr w14:paraId="7C04B7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888" w:type="dxa"/>
            <w:tcBorders>
              <w:left w:val="single" w:color="000000" w:sz="10" w:space="0"/>
            </w:tcBorders>
            <w:vAlign w:val="top"/>
          </w:tcPr>
          <w:p w14:paraId="061E3D26">
            <w:pPr>
              <w:rPr>
                <w:rFonts w:ascii="Arial"/>
                <w:sz w:val="21"/>
              </w:rPr>
            </w:pPr>
          </w:p>
        </w:tc>
        <w:tc>
          <w:tcPr>
            <w:tcW w:w="1983" w:type="dxa"/>
            <w:vAlign w:val="top"/>
          </w:tcPr>
          <w:p w14:paraId="64515B79">
            <w:pPr>
              <w:rPr>
                <w:rFonts w:ascii="Arial"/>
                <w:sz w:val="21"/>
              </w:rPr>
            </w:pPr>
          </w:p>
        </w:tc>
        <w:tc>
          <w:tcPr>
            <w:tcW w:w="4664" w:type="dxa"/>
            <w:vAlign w:val="top"/>
          </w:tcPr>
          <w:p w14:paraId="0075B9D3">
            <w:pPr>
              <w:rPr>
                <w:rFonts w:ascii="Arial"/>
                <w:sz w:val="21"/>
              </w:rPr>
            </w:pPr>
          </w:p>
        </w:tc>
        <w:tc>
          <w:tcPr>
            <w:tcW w:w="1290" w:type="dxa"/>
            <w:tcBorders>
              <w:right w:val="single" w:color="000000" w:sz="10" w:space="0"/>
            </w:tcBorders>
            <w:vAlign w:val="top"/>
          </w:tcPr>
          <w:p w14:paraId="56094BB8">
            <w:pPr>
              <w:rPr>
                <w:rFonts w:ascii="Arial"/>
                <w:sz w:val="21"/>
              </w:rPr>
            </w:pPr>
          </w:p>
        </w:tc>
      </w:tr>
      <w:tr w14:paraId="17AE96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6" w:hRule="atLeast"/>
        </w:trPr>
        <w:tc>
          <w:tcPr>
            <w:tcW w:w="888" w:type="dxa"/>
            <w:tcBorders>
              <w:left w:val="single" w:color="000000" w:sz="10" w:space="0"/>
            </w:tcBorders>
            <w:vAlign w:val="top"/>
          </w:tcPr>
          <w:p w14:paraId="5BB2BE2D">
            <w:pPr>
              <w:rPr>
                <w:rFonts w:ascii="Arial"/>
                <w:sz w:val="21"/>
              </w:rPr>
            </w:pPr>
          </w:p>
        </w:tc>
        <w:tc>
          <w:tcPr>
            <w:tcW w:w="1983" w:type="dxa"/>
            <w:vAlign w:val="top"/>
          </w:tcPr>
          <w:p w14:paraId="068BF7C1">
            <w:pPr>
              <w:rPr>
                <w:rFonts w:ascii="Arial"/>
                <w:sz w:val="21"/>
              </w:rPr>
            </w:pPr>
          </w:p>
        </w:tc>
        <w:tc>
          <w:tcPr>
            <w:tcW w:w="4664" w:type="dxa"/>
            <w:vAlign w:val="top"/>
          </w:tcPr>
          <w:p w14:paraId="22688939">
            <w:pPr>
              <w:rPr>
                <w:rFonts w:ascii="Arial"/>
                <w:sz w:val="21"/>
              </w:rPr>
            </w:pPr>
          </w:p>
        </w:tc>
        <w:tc>
          <w:tcPr>
            <w:tcW w:w="1290" w:type="dxa"/>
            <w:tcBorders>
              <w:right w:val="single" w:color="000000" w:sz="10" w:space="0"/>
            </w:tcBorders>
            <w:vAlign w:val="top"/>
          </w:tcPr>
          <w:p w14:paraId="4DAE4998">
            <w:pPr>
              <w:rPr>
                <w:rFonts w:ascii="Arial"/>
                <w:sz w:val="21"/>
              </w:rPr>
            </w:pPr>
          </w:p>
        </w:tc>
      </w:tr>
      <w:tr w14:paraId="1DB747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0" w:hRule="atLeast"/>
        </w:trPr>
        <w:tc>
          <w:tcPr>
            <w:tcW w:w="888" w:type="dxa"/>
            <w:tcBorders>
              <w:left w:val="single" w:color="000000" w:sz="10" w:space="0"/>
            </w:tcBorders>
            <w:vAlign w:val="top"/>
          </w:tcPr>
          <w:p w14:paraId="3D305224">
            <w:pPr>
              <w:rPr>
                <w:rFonts w:ascii="Arial"/>
                <w:sz w:val="21"/>
              </w:rPr>
            </w:pPr>
          </w:p>
        </w:tc>
        <w:tc>
          <w:tcPr>
            <w:tcW w:w="1983" w:type="dxa"/>
            <w:vAlign w:val="top"/>
          </w:tcPr>
          <w:p w14:paraId="728645F7">
            <w:pPr>
              <w:rPr>
                <w:rFonts w:ascii="Arial"/>
                <w:sz w:val="21"/>
              </w:rPr>
            </w:pPr>
          </w:p>
        </w:tc>
        <w:tc>
          <w:tcPr>
            <w:tcW w:w="4664" w:type="dxa"/>
            <w:vAlign w:val="top"/>
          </w:tcPr>
          <w:p w14:paraId="1809F340">
            <w:pPr>
              <w:rPr>
                <w:rFonts w:ascii="Arial"/>
                <w:sz w:val="21"/>
              </w:rPr>
            </w:pPr>
          </w:p>
        </w:tc>
        <w:tc>
          <w:tcPr>
            <w:tcW w:w="1290" w:type="dxa"/>
            <w:tcBorders>
              <w:right w:val="single" w:color="000000" w:sz="10" w:space="0"/>
            </w:tcBorders>
            <w:vAlign w:val="top"/>
          </w:tcPr>
          <w:p w14:paraId="2CC71804">
            <w:pPr>
              <w:rPr>
                <w:rFonts w:ascii="Arial"/>
                <w:sz w:val="21"/>
              </w:rPr>
            </w:pPr>
          </w:p>
        </w:tc>
      </w:tr>
      <w:tr w14:paraId="0F43D1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888" w:type="dxa"/>
            <w:tcBorders>
              <w:left w:val="single" w:color="000000" w:sz="10" w:space="0"/>
            </w:tcBorders>
            <w:vAlign w:val="top"/>
          </w:tcPr>
          <w:p w14:paraId="77D5ADFF">
            <w:pPr>
              <w:rPr>
                <w:rFonts w:ascii="Arial"/>
                <w:sz w:val="21"/>
              </w:rPr>
            </w:pPr>
          </w:p>
        </w:tc>
        <w:tc>
          <w:tcPr>
            <w:tcW w:w="1983" w:type="dxa"/>
            <w:vAlign w:val="top"/>
          </w:tcPr>
          <w:p w14:paraId="15167473">
            <w:pPr>
              <w:rPr>
                <w:rFonts w:ascii="Arial"/>
                <w:sz w:val="21"/>
              </w:rPr>
            </w:pPr>
          </w:p>
        </w:tc>
        <w:tc>
          <w:tcPr>
            <w:tcW w:w="4664" w:type="dxa"/>
            <w:vAlign w:val="top"/>
          </w:tcPr>
          <w:p w14:paraId="2BB07944">
            <w:pPr>
              <w:rPr>
                <w:rFonts w:ascii="Arial"/>
                <w:sz w:val="21"/>
              </w:rPr>
            </w:pPr>
          </w:p>
        </w:tc>
        <w:tc>
          <w:tcPr>
            <w:tcW w:w="1290" w:type="dxa"/>
            <w:tcBorders>
              <w:right w:val="single" w:color="000000" w:sz="10" w:space="0"/>
            </w:tcBorders>
            <w:vAlign w:val="top"/>
          </w:tcPr>
          <w:p w14:paraId="7D99824F">
            <w:pPr>
              <w:rPr>
                <w:rFonts w:ascii="Arial"/>
                <w:sz w:val="21"/>
              </w:rPr>
            </w:pPr>
          </w:p>
        </w:tc>
      </w:tr>
      <w:tr w14:paraId="42D9B7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888" w:type="dxa"/>
            <w:tcBorders>
              <w:left w:val="single" w:color="000000" w:sz="10" w:space="0"/>
            </w:tcBorders>
            <w:vAlign w:val="top"/>
          </w:tcPr>
          <w:p w14:paraId="7980AE43">
            <w:pPr>
              <w:rPr>
                <w:rFonts w:ascii="Arial"/>
                <w:sz w:val="21"/>
              </w:rPr>
            </w:pPr>
          </w:p>
        </w:tc>
        <w:tc>
          <w:tcPr>
            <w:tcW w:w="1983" w:type="dxa"/>
            <w:vAlign w:val="top"/>
          </w:tcPr>
          <w:p w14:paraId="59A6F3A4">
            <w:pPr>
              <w:rPr>
                <w:rFonts w:ascii="Arial"/>
                <w:sz w:val="21"/>
              </w:rPr>
            </w:pPr>
          </w:p>
        </w:tc>
        <w:tc>
          <w:tcPr>
            <w:tcW w:w="4664" w:type="dxa"/>
            <w:vAlign w:val="top"/>
          </w:tcPr>
          <w:p w14:paraId="0E0B56D9">
            <w:pPr>
              <w:rPr>
                <w:rFonts w:ascii="Arial"/>
                <w:sz w:val="21"/>
              </w:rPr>
            </w:pPr>
          </w:p>
        </w:tc>
        <w:tc>
          <w:tcPr>
            <w:tcW w:w="1290" w:type="dxa"/>
            <w:tcBorders>
              <w:right w:val="single" w:color="000000" w:sz="10" w:space="0"/>
            </w:tcBorders>
            <w:vAlign w:val="top"/>
          </w:tcPr>
          <w:p w14:paraId="2518232A">
            <w:pPr>
              <w:rPr>
                <w:rFonts w:ascii="Arial"/>
                <w:sz w:val="21"/>
              </w:rPr>
            </w:pPr>
          </w:p>
        </w:tc>
      </w:tr>
      <w:tr w14:paraId="5A9F01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6" w:hRule="atLeast"/>
        </w:trPr>
        <w:tc>
          <w:tcPr>
            <w:tcW w:w="888" w:type="dxa"/>
            <w:tcBorders>
              <w:left w:val="single" w:color="000000" w:sz="10" w:space="0"/>
            </w:tcBorders>
            <w:vAlign w:val="top"/>
          </w:tcPr>
          <w:p w14:paraId="13BD5FDA">
            <w:pPr>
              <w:rPr>
                <w:rFonts w:ascii="Arial"/>
                <w:sz w:val="21"/>
              </w:rPr>
            </w:pPr>
          </w:p>
        </w:tc>
        <w:tc>
          <w:tcPr>
            <w:tcW w:w="1983" w:type="dxa"/>
            <w:vAlign w:val="top"/>
          </w:tcPr>
          <w:p w14:paraId="1D59E496">
            <w:pPr>
              <w:rPr>
                <w:rFonts w:ascii="Arial"/>
                <w:sz w:val="21"/>
              </w:rPr>
            </w:pPr>
          </w:p>
        </w:tc>
        <w:tc>
          <w:tcPr>
            <w:tcW w:w="4664" w:type="dxa"/>
            <w:vAlign w:val="top"/>
          </w:tcPr>
          <w:p w14:paraId="0E17C430">
            <w:pPr>
              <w:rPr>
                <w:rFonts w:ascii="Arial"/>
                <w:sz w:val="21"/>
              </w:rPr>
            </w:pPr>
          </w:p>
        </w:tc>
        <w:tc>
          <w:tcPr>
            <w:tcW w:w="1290" w:type="dxa"/>
            <w:tcBorders>
              <w:right w:val="single" w:color="000000" w:sz="10" w:space="0"/>
            </w:tcBorders>
            <w:vAlign w:val="top"/>
          </w:tcPr>
          <w:p w14:paraId="12A553D3">
            <w:pPr>
              <w:rPr>
                <w:rFonts w:ascii="Arial"/>
                <w:sz w:val="21"/>
              </w:rPr>
            </w:pPr>
          </w:p>
        </w:tc>
      </w:tr>
      <w:tr w14:paraId="722B84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0" w:hRule="atLeast"/>
        </w:trPr>
        <w:tc>
          <w:tcPr>
            <w:tcW w:w="888" w:type="dxa"/>
            <w:tcBorders>
              <w:left w:val="single" w:color="000000" w:sz="10" w:space="0"/>
            </w:tcBorders>
            <w:vAlign w:val="top"/>
          </w:tcPr>
          <w:p w14:paraId="28F3B1CC">
            <w:pPr>
              <w:rPr>
                <w:rFonts w:ascii="Arial"/>
                <w:sz w:val="21"/>
              </w:rPr>
            </w:pPr>
          </w:p>
        </w:tc>
        <w:tc>
          <w:tcPr>
            <w:tcW w:w="1983" w:type="dxa"/>
            <w:vAlign w:val="top"/>
          </w:tcPr>
          <w:p w14:paraId="0A269FFA">
            <w:pPr>
              <w:rPr>
                <w:rFonts w:ascii="Arial"/>
                <w:sz w:val="21"/>
              </w:rPr>
            </w:pPr>
          </w:p>
        </w:tc>
        <w:tc>
          <w:tcPr>
            <w:tcW w:w="4664" w:type="dxa"/>
            <w:vAlign w:val="top"/>
          </w:tcPr>
          <w:p w14:paraId="3BCC24ED">
            <w:pPr>
              <w:rPr>
                <w:rFonts w:ascii="Arial"/>
                <w:sz w:val="21"/>
              </w:rPr>
            </w:pPr>
          </w:p>
        </w:tc>
        <w:tc>
          <w:tcPr>
            <w:tcW w:w="1290" w:type="dxa"/>
            <w:tcBorders>
              <w:right w:val="single" w:color="000000" w:sz="10" w:space="0"/>
            </w:tcBorders>
            <w:vAlign w:val="top"/>
          </w:tcPr>
          <w:p w14:paraId="33F0FD2D">
            <w:pPr>
              <w:rPr>
                <w:rFonts w:ascii="Arial"/>
                <w:sz w:val="21"/>
              </w:rPr>
            </w:pPr>
          </w:p>
        </w:tc>
      </w:tr>
      <w:tr w14:paraId="336DEE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888" w:type="dxa"/>
            <w:tcBorders>
              <w:left w:val="single" w:color="000000" w:sz="10" w:space="0"/>
            </w:tcBorders>
            <w:vAlign w:val="top"/>
          </w:tcPr>
          <w:p w14:paraId="41EC6596">
            <w:pPr>
              <w:rPr>
                <w:rFonts w:ascii="Arial"/>
                <w:sz w:val="21"/>
              </w:rPr>
            </w:pPr>
          </w:p>
        </w:tc>
        <w:tc>
          <w:tcPr>
            <w:tcW w:w="1983" w:type="dxa"/>
            <w:vAlign w:val="top"/>
          </w:tcPr>
          <w:p w14:paraId="78DF6095">
            <w:pPr>
              <w:rPr>
                <w:rFonts w:ascii="Arial"/>
                <w:sz w:val="21"/>
              </w:rPr>
            </w:pPr>
          </w:p>
        </w:tc>
        <w:tc>
          <w:tcPr>
            <w:tcW w:w="4664" w:type="dxa"/>
            <w:vAlign w:val="top"/>
          </w:tcPr>
          <w:p w14:paraId="05558B57">
            <w:pPr>
              <w:rPr>
                <w:rFonts w:ascii="Arial"/>
                <w:sz w:val="21"/>
              </w:rPr>
            </w:pPr>
          </w:p>
        </w:tc>
        <w:tc>
          <w:tcPr>
            <w:tcW w:w="1290" w:type="dxa"/>
            <w:tcBorders>
              <w:right w:val="single" w:color="000000" w:sz="10" w:space="0"/>
            </w:tcBorders>
            <w:vAlign w:val="top"/>
          </w:tcPr>
          <w:p w14:paraId="479A1513">
            <w:pPr>
              <w:rPr>
                <w:rFonts w:ascii="Arial"/>
                <w:sz w:val="21"/>
              </w:rPr>
            </w:pPr>
          </w:p>
        </w:tc>
      </w:tr>
      <w:tr w14:paraId="3F910D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45" w:hRule="atLeast"/>
        </w:trPr>
        <w:tc>
          <w:tcPr>
            <w:tcW w:w="888" w:type="dxa"/>
            <w:tcBorders>
              <w:left w:val="single" w:color="000000" w:sz="10" w:space="0"/>
            </w:tcBorders>
            <w:vAlign w:val="top"/>
          </w:tcPr>
          <w:p w14:paraId="245CF78A">
            <w:pPr>
              <w:rPr>
                <w:rFonts w:ascii="Arial"/>
                <w:sz w:val="21"/>
              </w:rPr>
            </w:pPr>
          </w:p>
        </w:tc>
        <w:tc>
          <w:tcPr>
            <w:tcW w:w="1983" w:type="dxa"/>
            <w:vAlign w:val="top"/>
          </w:tcPr>
          <w:p w14:paraId="3F4331C0">
            <w:pPr>
              <w:rPr>
                <w:rFonts w:ascii="Arial"/>
                <w:sz w:val="21"/>
              </w:rPr>
            </w:pPr>
          </w:p>
        </w:tc>
        <w:tc>
          <w:tcPr>
            <w:tcW w:w="4664" w:type="dxa"/>
            <w:vAlign w:val="top"/>
          </w:tcPr>
          <w:p w14:paraId="24D48AA5">
            <w:pPr>
              <w:rPr>
                <w:rFonts w:ascii="Arial"/>
                <w:sz w:val="21"/>
              </w:rPr>
            </w:pPr>
          </w:p>
        </w:tc>
        <w:tc>
          <w:tcPr>
            <w:tcW w:w="1290" w:type="dxa"/>
            <w:tcBorders>
              <w:right w:val="single" w:color="000000" w:sz="10" w:space="0"/>
            </w:tcBorders>
            <w:vAlign w:val="top"/>
          </w:tcPr>
          <w:p w14:paraId="06BFCD80">
            <w:pPr>
              <w:rPr>
                <w:rFonts w:ascii="Arial"/>
                <w:sz w:val="21"/>
              </w:rPr>
            </w:pPr>
          </w:p>
        </w:tc>
      </w:tr>
      <w:tr w14:paraId="753263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6" w:hRule="atLeast"/>
        </w:trPr>
        <w:tc>
          <w:tcPr>
            <w:tcW w:w="888" w:type="dxa"/>
            <w:tcBorders>
              <w:left w:val="single" w:color="000000" w:sz="10" w:space="0"/>
            </w:tcBorders>
            <w:vAlign w:val="top"/>
          </w:tcPr>
          <w:p w14:paraId="4D03FD57">
            <w:pPr>
              <w:rPr>
                <w:rFonts w:ascii="Arial"/>
                <w:sz w:val="21"/>
              </w:rPr>
            </w:pPr>
          </w:p>
        </w:tc>
        <w:tc>
          <w:tcPr>
            <w:tcW w:w="1983" w:type="dxa"/>
            <w:vAlign w:val="top"/>
          </w:tcPr>
          <w:p w14:paraId="1AB405DB">
            <w:pPr>
              <w:rPr>
                <w:rFonts w:ascii="Arial"/>
                <w:sz w:val="21"/>
              </w:rPr>
            </w:pPr>
          </w:p>
        </w:tc>
        <w:tc>
          <w:tcPr>
            <w:tcW w:w="4664" w:type="dxa"/>
            <w:vAlign w:val="top"/>
          </w:tcPr>
          <w:p w14:paraId="003AA0ED">
            <w:pPr>
              <w:rPr>
                <w:rFonts w:ascii="Arial"/>
                <w:sz w:val="21"/>
              </w:rPr>
            </w:pPr>
          </w:p>
        </w:tc>
        <w:tc>
          <w:tcPr>
            <w:tcW w:w="1290" w:type="dxa"/>
            <w:tcBorders>
              <w:right w:val="single" w:color="000000" w:sz="10" w:space="0"/>
            </w:tcBorders>
            <w:vAlign w:val="top"/>
          </w:tcPr>
          <w:p w14:paraId="218287BA">
            <w:pPr>
              <w:rPr>
                <w:rFonts w:ascii="Arial"/>
                <w:sz w:val="21"/>
              </w:rPr>
            </w:pPr>
          </w:p>
        </w:tc>
      </w:tr>
      <w:tr w14:paraId="5D7A2A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8825" w:type="dxa"/>
            <w:gridSpan w:val="4"/>
            <w:tcBorders>
              <w:left w:val="single" w:color="000000" w:sz="10" w:space="0"/>
              <w:bottom w:val="single" w:color="000000" w:sz="10" w:space="0"/>
              <w:right w:val="single" w:color="000000" w:sz="10" w:space="0"/>
            </w:tcBorders>
            <w:vAlign w:val="top"/>
          </w:tcPr>
          <w:p w14:paraId="23944FFD">
            <w:pPr>
              <w:pStyle w:val="11"/>
              <w:spacing w:before="195" w:line="222" w:lineRule="auto"/>
              <w:ind w:left="95"/>
            </w:pPr>
            <w:r>
              <w:rPr>
                <w:spacing w:val="-14"/>
              </w:rPr>
              <w:t>小计：</w:t>
            </w:r>
          </w:p>
        </w:tc>
      </w:tr>
    </w:tbl>
    <w:p w14:paraId="543B4F2A">
      <w:pPr>
        <w:pStyle w:val="3"/>
      </w:pPr>
    </w:p>
    <w:p w14:paraId="78AADCF9">
      <w:pPr>
        <w:sectPr>
          <w:footerReference r:id="rId159" w:type="default"/>
          <w:pgSz w:w="11905" w:h="16839"/>
          <w:pgMar w:top="400" w:right="1258" w:bottom="1004" w:left="1785" w:header="0" w:footer="828" w:gutter="0"/>
          <w:pgNumType w:fmt="decimal"/>
          <w:cols w:space="720" w:num="1"/>
        </w:sectPr>
      </w:pPr>
    </w:p>
    <w:p w14:paraId="6C0C5794">
      <w:pPr>
        <w:pStyle w:val="3"/>
        <w:spacing w:line="251" w:lineRule="auto"/>
      </w:pPr>
    </w:p>
    <w:p w14:paraId="461D8EF8">
      <w:pPr>
        <w:pStyle w:val="3"/>
        <w:spacing w:line="251" w:lineRule="auto"/>
      </w:pPr>
    </w:p>
    <w:p w14:paraId="2D445EDB">
      <w:pPr>
        <w:pStyle w:val="3"/>
        <w:spacing w:line="251" w:lineRule="auto"/>
      </w:pPr>
    </w:p>
    <w:p w14:paraId="24202206">
      <w:pPr>
        <w:pStyle w:val="3"/>
        <w:spacing w:line="251" w:lineRule="auto"/>
      </w:pPr>
    </w:p>
    <w:p w14:paraId="308F7389">
      <w:pPr>
        <w:pStyle w:val="3"/>
        <w:spacing w:line="251" w:lineRule="auto"/>
      </w:pPr>
    </w:p>
    <w:p w14:paraId="00F390CF">
      <w:pPr>
        <w:pStyle w:val="3"/>
        <w:spacing w:line="251" w:lineRule="auto"/>
      </w:pPr>
    </w:p>
    <w:p w14:paraId="0A3CEE9E">
      <w:pPr>
        <w:pStyle w:val="3"/>
        <w:spacing w:line="251" w:lineRule="auto"/>
      </w:pPr>
    </w:p>
    <w:p w14:paraId="7DB52674">
      <w:pPr>
        <w:pStyle w:val="3"/>
        <w:spacing w:line="251" w:lineRule="auto"/>
      </w:pPr>
    </w:p>
    <w:p w14:paraId="48D893F1">
      <w:pPr>
        <w:pStyle w:val="3"/>
        <w:spacing w:line="251" w:lineRule="auto"/>
      </w:pPr>
    </w:p>
    <w:p w14:paraId="17DC1D31">
      <w:pPr>
        <w:pStyle w:val="3"/>
        <w:spacing w:line="251" w:lineRule="auto"/>
      </w:pPr>
    </w:p>
    <w:p w14:paraId="73A3D25A">
      <w:pPr>
        <w:pStyle w:val="3"/>
        <w:spacing w:line="251" w:lineRule="auto"/>
      </w:pPr>
    </w:p>
    <w:p w14:paraId="38701ADF">
      <w:pPr>
        <w:pStyle w:val="3"/>
        <w:spacing w:line="251" w:lineRule="auto"/>
      </w:pPr>
    </w:p>
    <w:p w14:paraId="2E88260C">
      <w:pPr>
        <w:pStyle w:val="3"/>
        <w:spacing w:line="251" w:lineRule="auto"/>
      </w:pPr>
    </w:p>
    <w:p w14:paraId="1F2C1B5E">
      <w:pPr>
        <w:pStyle w:val="3"/>
        <w:spacing w:line="252" w:lineRule="auto"/>
      </w:pPr>
    </w:p>
    <w:p w14:paraId="4EF046F4">
      <w:pPr>
        <w:pStyle w:val="3"/>
        <w:spacing w:line="252" w:lineRule="auto"/>
      </w:pPr>
    </w:p>
    <w:p w14:paraId="244D243D">
      <w:pPr>
        <w:pStyle w:val="3"/>
        <w:spacing w:line="252" w:lineRule="auto"/>
      </w:pPr>
    </w:p>
    <w:p w14:paraId="6E1EA780">
      <w:pPr>
        <w:spacing w:before="104" w:line="220" w:lineRule="auto"/>
        <w:ind w:left="2740"/>
        <w:rPr>
          <w:rFonts w:ascii="黑体" w:hAnsi="黑体" w:eastAsia="黑体" w:cs="黑体"/>
          <w:sz w:val="32"/>
          <w:szCs w:val="32"/>
        </w:rPr>
      </w:pPr>
      <w:bookmarkStart w:id="1283" w:name="bookmark237"/>
      <w:bookmarkEnd w:id="1283"/>
      <w:r>
        <w:rPr>
          <w:rFonts w:ascii="黑体" w:hAnsi="黑体" w:eastAsia="黑体" w:cs="黑体"/>
          <w:spacing w:val="-1"/>
          <w:sz w:val="32"/>
          <w:szCs w:val="32"/>
        </w:rPr>
        <w:t>第五章  工程量清单</w:t>
      </w:r>
    </w:p>
    <w:p w14:paraId="26A062BB">
      <w:pPr>
        <w:spacing w:line="220" w:lineRule="auto"/>
        <w:rPr>
          <w:rFonts w:ascii="黑体" w:hAnsi="黑体" w:eastAsia="黑体" w:cs="黑体"/>
          <w:sz w:val="32"/>
          <w:szCs w:val="32"/>
        </w:rPr>
        <w:sectPr>
          <w:footerReference r:id="rId160" w:type="default"/>
          <w:pgSz w:w="11905" w:h="16839"/>
          <w:pgMar w:top="400" w:right="1785" w:bottom="1004" w:left="1785" w:header="0" w:footer="828" w:gutter="0"/>
          <w:pgNumType w:fmt="decimal"/>
          <w:cols w:space="720" w:num="1"/>
        </w:sectPr>
      </w:pPr>
    </w:p>
    <w:p w14:paraId="5ECA5BBD">
      <w:pPr>
        <w:pStyle w:val="3"/>
        <w:spacing w:line="252" w:lineRule="auto"/>
      </w:pPr>
    </w:p>
    <w:p w14:paraId="17469248">
      <w:pPr>
        <w:pStyle w:val="3"/>
        <w:spacing w:line="252" w:lineRule="auto"/>
      </w:pPr>
    </w:p>
    <w:p w14:paraId="44BB42B3">
      <w:pPr>
        <w:pStyle w:val="3"/>
        <w:spacing w:line="252" w:lineRule="auto"/>
      </w:pPr>
    </w:p>
    <w:p w14:paraId="2E01DC24">
      <w:pPr>
        <w:pStyle w:val="3"/>
        <w:spacing w:line="253" w:lineRule="auto"/>
      </w:pPr>
    </w:p>
    <w:p w14:paraId="01BF903D">
      <w:pPr>
        <w:spacing w:before="87" w:line="225" w:lineRule="auto"/>
        <w:ind w:left="3200"/>
        <w:rPr>
          <w:rFonts w:ascii="黑体" w:hAnsi="黑体" w:eastAsia="黑体" w:cs="黑体"/>
          <w:sz w:val="27"/>
          <w:szCs w:val="27"/>
        </w:rPr>
      </w:pPr>
      <w:bookmarkStart w:id="1284" w:name="bookmark238"/>
      <w:bookmarkEnd w:id="1284"/>
      <w:r>
        <w:rPr>
          <w:rFonts w:ascii="黑体" w:hAnsi="黑体" w:eastAsia="黑体" w:cs="黑体"/>
          <w:spacing w:val="7"/>
          <w:sz w:val="27"/>
          <w:szCs w:val="27"/>
        </w:rPr>
        <w:t>第五章  工程量清单</w:t>
      </w:r>
    </w:p>
    <w:p w14:paraId="50541A27">
      <w:pPr>
        <w:pStyle w:val="3"/>
        <w:spacing w:line="382" w:lineRule="auto"/>
      </w:pPr>
    </w:p>
    <w:p w14:paraId="06B15474">
      <w:pPr>
        <w:spacing w:before="78" w:line="218" w:lineRule="auto"/>
        <w:ind w:left="38"/>
        <w:rPr>
          <w:rFonts w:ascii="黑体" w:hAnsi="黑体" w:eastAsia="黑体" w:cs="黑体"/>
          <w:sz w:val="24"/>
          <w:szCs w:val="24"/>
        </w:rPr>
      </w:pPr>
      <w:r>
        <w:rPr>
          <w:rFonts w:ascii="Times New Roman" w:hAnsi="Times New Roman" w:eastAsia="Times New Roman" w:cs="Times New Roman"/>
          <w:spacing w:val="-5"/>
          <w:sz w:val="24"/>
          <w:szCs w:val="24"/>
        </w:rPr>
        <w:t>1</w:t>
      </w:r>
      <w:r>
        <w:rPr>
          <w:rFonts w:ascii="黑体" w:hAnsi="黑体" w:eastAsia="黑体" w:cs="黑体"/>
          <w:spacing w:val="-5"/>
          <w:sz w:val="24"/>
          <w:szCs w:val="24"/>
        </w:rPr>
        <w:t>、招标工程量清单说明</w:t>
      </w:r>
    </w:p>
    <w:p w14:paraId="6DB36E21">
      <w:pPr>
        <w:spacing w:before="1" w:line="220" w:lineRule="auto"/>
        <w:ind w:left="786"/>
        <w:rPr>
          <w:rFonts w:ascii="宋体" w:hAnsi="宋体" w:eastAsia="宋体" w:cs="宋体"/>
          <w:sz w:val="21"/>
          <w:szCs w:val="21"/>
        </w:rPr>
      </w:pPr>
      <w:r>
        <w:rPr>
          <w:rFonts w:ascii="黑体" w:hAnsi="黑体" w:eastAsia="黑体" w:cs="黑体"/>
          <w:sz w:val="21"/>
          <w:szCs w:val="21"/>
        </w:rPr>
        <w:t xml:space="preserve">1.1    </w:t>
      </w:r>
      <w:r>
        <w:rPr>
          <w:rFonts w:ascii="宋体" w:hAnsi="宋体" w:eastAsia="宋体" w:cs="宋体"/>
          <w:sz w:val="21"/>
          <w:szCs w:val="21"/>
        </w:rPr>
        <w:t>本招标工程量清单是依据中</w:t>
      </w:r>
      <w:r>
        <w:rPr>
          <w:rFonts w:hint="eastAsia" w:ascii="宋体" w:hAnsi="宋体" w:eastAsia="宋体" w:cs="宋体"/>
          <w:color w:val="auto"/>
          <w:sz w:val="22"/>
          <w:szCs w:val="22"/>
          <w:highlight w:val="yellow"/>
        </w:rPr>
        <w:t>依据《铁路基本建设工程设计概(预)算费用定额》(TB 10811-2024)</w:t>
      </w:r>
      <w:r>
        <w:rPr>
          <w:rFonts w:ascii="宋体" w:hAnsi="宋体" w:eastAsia="宋体" w:cs="宋体"/>
          <w:spacing w:val="-5"/>
          <w:sz w:val="21"/>
          <w:szCs w:val="21"/>
        </w:rPr>
        <w:t>以及招标文件中包括的图纸等编制。</w:t>
      </w:r>
    </w:p>
    <w:p w14:paraId="403DBC92">
      <w:pPr>
        <w:spacing w:before="176" w:line="300" w:lineRule="auto"/>
        <w:ind w:left="777" w:right="228" w:hanging="748"/>
        <w:rPr>
          <w:rFonts w:ascii="宋体" w:hAnsi="宋体" w:eastAsia="宋体" w:cs="宋体"/>
          <w:sz w:val="21"/>
          <w:szCs w:val="21"/>
        </w:rPr>
      </w:pPr>
      <w:r>
        <w:rPr>
          <w:rFonts w:ascii="黑体" w:hAnsi="黑体" w:eastAsia="黑体" w:cs="黑体"/>
          <w:spacing w:val="-1"/>
          <w:sz w:val="21"/>
          <w:szCs w:val="21"/>
        </w:rPr>
        <w:t xml:space="preserve">1.2    </w:t>
      </w:r>
      <w:r>
        <w:rPr>
          <w:rFonts w:ascii="宋体" w:hAnsi="宋体" w:eastAsia="宋体" w:cs="宋体"/>
          <w:spacing w:val="-1"/>
          <w:sz w:val="21"/>
          <w:szCs w:val="21"/>
        </w:rPr>
        <w:t>本招标工程量清单应与招标文件中的投标人须知、通用合同条款、专用合同条款、</w:t>
      </w:r>
      <w:r>
        <w:rPr>
          <w:rFonts w:ascii="宋体" w:hAnsi="宋体" w:eastAsia="宋体" w:cs="宋体"/>
          <w:spacing w:val="15"/>
          <w:sz w:val="21"/>
          <w:szCs w:val="21"/>
        </w:rPr>
        <w:t xml:space="preserve"> </w:t>
      </w:r>
      <w:r>
        <w:rPr>
          <w:rFonts w:ascii="宋体" w:hAnsi="宋体" w:eastAsia="宋体" w:cs="宋体"/>
          <w:spacing w:val="-1"/>
          <w:sz w:val="21"/>
          <w:szCs w:val="21"/>
        </w:rPr>
        <w:t>技术标准和要求及图纸等章节内容一起阅读和理解。</w:t>
      </w:r>
    </w:p>
    <w:p w14:paraId="4968E754">
      <w:pPr>
        <w:spacing w:before="182" w:line="220" w:lineRule="auto"/>
        <w:ind w:left="34"/>
        <w:rPr>
          <w:rFonts w:ascii="宋体" w:hAnsi="宋体" w:eastAsia="宋体" w:cs="宋体"/>
          <w:sz w:val="21"/>
          <w:szCs w:val="21"/>
        </w:rPr>
      </w:pPr>
      <w:r>
        <w:rPr>
          <w:rFonts w:ascii="Times New Roman" w:hAnsi="Times New Roman" w:eastAsia="Times New Roman" w:cs="Times New Roman"/>
          <w:spacing w:val="-3"/>
          <w:sz w:val="21"/>
          <w:szCs w:val="21"/>
        </w:rPr>
        <w:t>1</w:t>
      </w:r>
      <w:r>
        <w:rPr>
          <w:rFonts w:ascii="黑体" w:hAnsi="黑体" w:eastAsia="黑体" w:cs="黑体"/>
          <w:spacing w:val="-3"/>
          <w:sz w:val="21"/>
          <w:szCs w:val="21"/>
        </w:rPr>
        <w:t>.3</w:t>
      </w:r>
      <w:r>
        <w:rPr>
          <w:rFonts w:ascii="黑体" w:hAnsi="黑体" w:eastAsia="黑体" w:cs="黑体"/>
          <w:spacing w:val="31"/>
          <w:sz w:val="21"/>
          <w:szCs w:val="21"/>
        </w:rPr>
        <w:t xml:space="preserve">  </w:t>
      </w:r>
      <w:r>
        <w:rPr>
          <w:rFonts w:ascii="宋体" w:hAnsi="宋体" w:eastAsia="宋体" w:cs="宋体"/>
          <w:spacing w:val="-3"/>
          <w:sz w:val="21"/>
          <w:szCs w:val="21"/>
        </w:rPr>
        <w:t>本招标工程量清单作为招标文件的组成部分，</w:t>
      </w:r>
      <w:r>
        <w:rPr>
          <w:rFonts w:ascii="宋体" w:hAnsi="宋体" w:eastAsia="宋体" w:cs="宋体"/>
          <w:spacing w:val="-25"/>
          <w:sz w:val="21"/>
          <w:szCs w:val="21"/>
        </w:rPr>
        <w:t xml:space="preserve"> </w:t>
      </w:r>
      <w:r>
        <w:rPr>
          <w:rFonts w:ascii="宋体" w:hAnsi="宋体" w:eastAsia="宋体" w:cs="宋体"/>
          <w:spacing w:val="-4"/>
          <w:sz w:val="21"/>
          <w:szCs w:val="21"/>
        </w:rPr>
        <w:t>其准确性和完整性应由招标人负责。</w:t>
      </w:r>
    </w:p>
    <w:p w14:paraId="2D525924">
      <w:pPr>
        <w:spacing w:before="183" w:line="298" w:lineRule="auto"/>
        <w:ind w:left="753" w:right="206" w:hanging="724"/>
        <w:rPr>
          <w:rFonts w:ascii="宋体" w:hAnsi="宋体" w:eastAsia="宋体" w:cs="宋体"/>
          <w:sz w:val="21"/>
          <w:szCs w:val="21"/>
        </w:rPr>
      </w:pPr>
      <w:r>
        <w:rPr>
          <w:rFonts w:ascii="黑体" w:hAnsi="黑体" w:eastAsia="黑体" w:cs="黑体"/>
          <w:sz w:val="21"/>
          <w:szCs w:val="21"/>
        </w:rPr>
        <w:t>1.</w:t>
      </w:r>
      <w:r>
        <w:rPr>
          <w:rFonts w:hint="eastAsia" w:ascii="黑体" w:hAnsi="黑体" w:eastAsia="黑体" w:cs="黑体"/>
          <w:sz w:val="21"/>
          <w:szCs w:val="21"/>
          <w:lang w:val="en-US" w:eastAsia="zh-CN"/>
        </w:rPr>
        <w:t>4</w:t>
      </w:r>
      <w:r>
        <w:rPr>
          <w:rFonts w:ascii="黑体" w:hAnsi="黑体" w:eastAsia="黑体" w:cs="黑体"/>
          <w:sz w:val="21"/>
          <w:szCs w:val="21"/>
        </w:rPr>
        <w:t xml:space="preserve">    </w:t>
      </w:r>
      <w:r>
        <w:rPr>
          <w:rFonts w:ascii="宋体" w:hAnsi="宋体" w:eastAsia="宋体" w:cs="宋体"/>
          <w:sz w:val="21"/>
          <w:szCs w:val="21"/>
        </w:rPr>
        <w:t>编制招标工程量清单出现相关工程现行国家计量规范附录中未包括的</w:t>
      </w:r>
      <w:r>
        <w:rPr>
          <w:rFonts w:ascii="宋体" w:hAnsi="宋体" w:eastAsia="宋体" w:cs="宋体"/>
          <w:spacing w:val="-1"/>
          <w:sz w:val="21"/>
          <w:szCs w:val="21"/>
        </w:rPr>
        <w:t>项目，编制人</w:t>
      </w:r>
      <w:r>
        <w:rPr>
          <w:rFonts w:ascii="宋体" w:hAnsi="宋体" w:eastAsia="宋体" w:cs="宋体"/>
          <w:sz w:val="21"/>
          <w:szCs w:val="21"/>
        </w:rPr>
        <w:t xml:space="preserve"> </w:t>
      </w:r>
      <w:r>
        <w:rPr>
          <w:rFonts w:ascii="宋体" w:hAnsi="宋体" w:eastAsia="宋体" w:cs="宋体"/>
          <w:spacing w:val="-6"/>
          <w:sz w:val="21"/>
          <w:szCs w:val="21"/>
        </w:rPr>
        <w:t>应做补充。</w:t>
      </w:r>
    </w:p>
    <w:p w14:paraId="2A0D6114">
      <w:pPr>
        <w:spacing w:before="181" w:line="428" w:lineRule="exact"/>
        <w:ind w:left="758"/>
        <w:rPr>
          <w:rFonts w:ascii="宋体" w:hAnsi="宋体" w:eastAsia="宋体" w:cs="宋体"/>
          <w:sz w:val="21"/>
          <w:szCs w:val="21"/>
        </w:rPr>
      </w:pPr>
      <w:r>
        <w:rPr>
          <w:rFonts w:ascii="宋体" w:hAnsi="宋体" w:eastAsia="宋体" w:cs="宋体"/>
          <w:position w:val="16"/>
          <w:sz w:val="21"/>
          <w:szCs w:val="21"/>
        </w:rPr>
        <w:t>补充项目的编码规则按相关工程现行国家及省计价计量规范的规定编制，同一招标</w:t>
      </w:r>
    </w:p>
    <w:p w14:paraId="5242ADAD">
      <w:pPr>
        <w:spacing w:before="1" w:line="220" w:lineRule="auto"/>
        <w:ind w:left="760"/>
        <w:rPr>
          <w:rFonts w:ascii="宋体" w:hAnsi="宋体" w:eastAsia="宋体" w:cs="宋体"/>
          <w:sz w:val="21"/>
          <w:szCs w:val="21"/>
        </w:rPr>
      </w:pPr>
      <w:r>
        <w:rPr>
          <w:rFonts w:ascii="宋体" w:hAnsi="宋体" w:eastAsia="宋体" w:cs="宋体"/>
          <w:spacing w:val="-1"/>
          <w:sz w:val="21"/>
          <w:szCs w:val="21"/>
        </w:rPr>
        <w:t>工程的同一个单位工程内项目不得重码。</w:t>
      </w:r>
    </w:p>
    <w:p w14:paraId="6DE74417">
      <w:pPr>
        <w:spacing w:before="181" w:line="432" w:lineRule="exact"/>
        <w:ind w:right="14"/>
        <w:jc w:val="right"/>
        <w:rPr>
          <w:rFonts w:ascii="宋体" w:hAnsi="宋体" w:eastAsia="宋体" w:cs="宋体"/>
          <w:sz w:val="21"/>
          <w:szCs w:val="21"/>
        </w:rPr>
      </w:pPr>
      <w:r>
        <w:rPr>
          <w:rFonts w:ascii="宋体" w:hAnsi="宋体" w:eastAsia="宋体" w:cs="宋体"/>
          <w:position w:val="16"/>
          <w:sz w:val="21"/>
          <w:szCs w:val="21"/>
        </w:rPr>
        <w:t>补充的工程量清单需附有补充项目的名称、</w:t>
      </w:r>
      <w:r>
        <w:rPr>
          <w:rFonts w:ascii="宋体" w:hAnsi="宋体" w:eastAsia="宋体" w:cs="宋体"/>
          <w:spacing w:val="-1"/>
          <w:position w:val="16"/>
          <w:sz w:val="21"/>
          <w:szCs w:val="21"/>
        </w:rPr>
        <w:t>项目特征、计量单位、工程量计算规则、</w:t>
      </w:r>
    </w:p>
    <w:p w14:paraId="7409BE74">
      <w:pPr>
        <w:spacing w:before="1" w:line="219" w:lineRule="auto"/>
        <w:ind w:right="14"/>
        <w:jc w:val="right"/>
        <w:rPr>
          <w:rFonts w:ascii="宋体" w:hAnsi="宋体" w:eastAsia="宋体" w:cs="宋体"/>
          <w:sz w:val="21"/>
          <w:szCs w:val="21"/>
        </w:rPr>
      </w:pPr>
      <w:r>
        <w:rPr>
          <w:rFonts w:ascii="宋体" w:hAnsi="宋体" w:eastAsia="宋体" w:cs="宋体"/>
          <w:spacing w:val="4"/>
          <w:sz w:val="21"/>
          <w:szCs w:val="21"/>
        </w:rPr>
        <w:t>工作内容。不能计量的措施项目，需附有补充项目的名称、工作内容及包含范围。</w:t>
      </w:r>
    </w:p>
    <w:p w14:paraId="79CF86DC">
      <w:pPr>
        <w:spacing w:before="176" w:line="339" w:lineRule="auto"/>
        <w:ind w:left="757" w:right="197" w:hanging="728"/>
        <w:rPr>
          <w:rFonts w:ascii="宋体" w:hAnsi="宋体" w:eastAsia="宋体" w:cs="宋体"/>
          <w:sz w:val="21"/>
          <w:szCs w:val="21"/>
        </w:rPr>
      </w:pPr>
      <w:r>
        <w:rPr>
          <w:rFonts w:ascii="黑体" w:hAnsi="黑体" w:eastAsia="黑体" w:cs="黑体"/>
          <w:sz w:val="21"/>
          <w:szCs w:val="21"/>
        </w:rPr>
        <w:t>1.</w:t>
      </w:r>
      <w:r>
        <w:rPr>
          <w:rFonts w:hint="eastAsia" w:ascii="黑体" w:hAnsi="黑体" w:eastAsia="黑体" w:cs="黑体"/>
          <w:sz w:val="21"/>
          <w:szCs w:val="21"/>
          <w:lang w:val="en-US" w:eastAsia="zh-CN"/>
        </w:rPr>
        <w:t>5</w:t>
      </w:r>
      <w:r>
        <w:rPr>
          <w:rFonts w:ascii="黑体" w:hAnsi="黑体" w:eastAsia="黑体" w:cs="黑体"/>
          <w:sz w:val="21"/>
          <w:szCs w:val="21"/>
        </w:rPr>
        <w:t xml:space="preserve">    </w:t>
      </w:r>
      <w:r>
        <w:rPr>
          <w:rFonts w:ascii="宋体" w:hAnsi="宋体" w:eastAsia="宋体" w:cs="宋体"/>
          <w:sz w:val="21"/>
          <w:szCs w:val="21"/>
        </w:rPr>
        <w:t>本招标工程量清单仅是投标报价的共同基础，采用工程量清单方式招标形成的无论</w:t>
      </w:r>
      <w:r>
        <w:rPr>
          <w:rFonts w:ascii="宋体" w:hAnsi="宋体" w:eastAsia="宋体" w:cs="宋体"/>
          <w:spacing w:val="3"/>
          <w:sz w:val="21"/>
          <w:szCs w:val="21"/>
        </w:rPr>
        <w:t xml:space="preserve"> </w:t>
      </w:r>
      <w:r>
        <w:rPr>
          <w:rFonts w:ascii="宋体" w:hAnsi="宋体" w:eastAsia="宋体" w:cs="宋体"/>
          <w:sz w:val="21"/>
          <w:szCs w:val="21"/>
        </w:rPr>
        <w:t>是单价合同还是总价合同，其工程量必须以承包人完成合同工程应予计量的工程量</w:t>
      </w:r>
      <w:r>
        <w:rPr>
          <w:rFonts w:ascii="宋体" w:hAnsi="宋体" w:eastAsia="宋体" w:cs="宋体"/>
          <w:spacing w:val="7"/>
          <w:sz w:val="21"/>
          <w:szCs w:val="21"/>
        </w:rPr>
        <w:t xml:space="preserve"> </w:t>
      </w:r>
      <w:r>
        <w:rPr>
          <w:rFonts w:ascii="宋体" w:hAnsi="宋体" w:eastAsia="宋体" w:cs="宋体"/>
          <w:spacing w:val="-3"/>
          <w:sz w:val="21"/>
          <w:szCs w:val="21"/>
        </w:rPr>
        <w:t>确定。 合同价格的确定以及价款支付应遵循合同条款（包括通用合同条款和专用合</w:t>
      </w:r>
      <w:r>
        <w:rPr>
          <w:rFonts w:ascii="宋体" w:hAnsi="宋体" w:eastAsia="宋体" w:cs="宋体"/>
          <w:spacing w:val="12"/>
          <w:sz w:val="21"/>
          <w:szCs w:val="21"/>
        </w:rPr>
        <w:t xml:space="preserve"> </w:t>
      </w:r>
      <w:r>
        <w:rPr>
          <w:rFonts w:ascii="宋体" w:hAnsi="宋体" w:eastAsia="宋体" w:cs="宋体"/>
          <w:spacing w:val="-5"/>
          <w:sz w:val="21"/>
          <w:szCs w:val="21"/>
        </w:rPr>
        <w:t>同条款）、技术标准和要求以及本章的有关约定。</w:t>
      </w:r>
    </w:p>
    <w:p w14:paraId="6F0A6D2D">
      <w:pPr>
        <w:spacing w:before="228" w:line="218" w:lineRule="auto"/>
        <w:ind w:left="15"/>
        <w:rPr>
          <w:rFonts w:ascii="黑体" w:hAnsi="黑体" w:eastAsia="黑体" w:cs="黑体"/>
          <w:sz w:val="24"/>
          <w:szCs w:val="24"/>
        </w:rPr>
      </w:pPr>
      <w:bookmarkStart w:id="1285" w:name="bookmark239"/>
      <w:bookmarkEnd w:id="1285"/>
      <w:r>
        <w:rPr>
          <w:rFonts w:ascii="Times New Roman" w:hAnsi="Times New Roman" w:eastAsia="Times New Roman" w:cs="Times New Roman"/>
          <w:spacing w:val="-4"/>
          <w:sz w:val="24"/>
          <w:szCs w:val="24"/>
        </w:rPr>
        <w:t>2</w:t>
      </w:r>
      <w:r>
        <w:rPr>
          <w:rFonts w:ascii="黑体" w:hAnsi="黑体" w:eastAsia="黑体" w:cs="黑体"/>
          <w:spacing w:val="-4"/>
          <w:sz w:val="24"/>
          <w:szCs w:val="24"/>
        </w:rPr>
        <w:t>、投标报价说明</w:t>
      </w:r>
    </w:p>
    <w:p w14:paraId="0A84664A">
      <w:pPr>
        <w:spacing w:before="164" w:line="432" w:lineRule="exact"/>
        <w:ind w:left="16"/>
        <w:rPr>
          <w:rFonts w:ascii="宋体" w:hAnsi="宋体" w:eastAsia="宋体" w:cs="宋体"/>
          <w:sz w:val="21"/>
          <w:szCs w:val="21"/>
        </w:rPr>
      </w:pPr>
      <w:r>
        <w:rPr>
          <w:rFonts w:ascii="黑体" w:hAnsi="黑体" w:eastAsia="黑体" w:cs="黑体"/>
          <w:spacing w:val="-1"/>
          <w:position w:val="16"/>
          <w:sz w:val="21"/>
          <w:szCs w:val="21"/>
        </w:rPr>
        <w:t xml:space="preserve">2.1    </w:t>
      </w:r>
      <w:r>
        <w:rPr>
          <w:rFonts w:ascii="宋体" w:hAnsi="宋体" w:eastAsia="宋体" w:cs="宋体"/>
          <w:spacing w:val="-1"/>
          <w:position w:val="16"/>
          <w:sz w:val="21"/>
          <w:szCs w:val="21"/>
        </w:rPr>
        <w:t>投标报价应根据招标文件中的有关计价要求，并按照下列依据自主报价。</w:t>
      </w:r>
    </w:p>
    <w:p w14:paraId="364937DC">
      <w:pPr>
        <w:spacing w:line="219" w:lineRule="auto"/>
        <w:ind w:left="758"/>
        <w:rPr>
          <w:rFonts w:ascii="宋体" w:hAnsi="宋体" w:eastAsia="宋体" w:cs="宋体"/>
          <w:sz w:val="21"/>
          <w:szCs w:val="21"/>
        </w:rPr>
      </w:pPr>
      <w:r>
        <w:rPr>
          <w:rFonts w:ascii="黑体" w:hAnsi="黑体" w:eastAsia="黑体" w:cs="黑体"/>
          <w:spacing w:val="-6"/>
          <w:sz w:val="21"/>
          <w:szCs w:val="21"/>
        </w:rPr>
        <w:t>（1）</w:t>
      </w:r>
      <w:r>
        <w:rPr>
          <w:rFonts w:ascii="黑体" w:hAnsi="黑体" w:eastAsia="黑体" w:cs="黑体"/>
          <w:spacing w:val="56"/>
          <w:sz w:val="21"/>
          <w:szCs w:val="21"/>
        </w:rPr>
        <w:t xml:space="preserve"> </w:t>
      </w:r>
      <w:r>
        <w:rPr>
          <w:rFonts w:hint="eastAsia" w:ascii="宋体" w:hAnsi="宋体" w:eastAsia="宋体" w:cs="宋体"/>
          <w:spacing w:val="-2"/>
          <w:sz w:val="21"/>
          <w:szCs w:val="21"/>
        </w:rPr>
        <w:t>《铁路基本建设工程设计概(预)算费用定额》(TB 10811-2024)</w:t>
      </w:r>
      <w:r>
        <w:rPr>
          <w:rFonts w:ascii="宋体" w:hAnsi="宋体" w:eastAsia="宋体" w:cs="宋体"/>
          <w:spacing w:val="-37"/>
          <w:sz w:val="21"/>
          <w:szCs w:val="21"/>
        </w:rPr>
        <w:t>；</w:t>
      </w:r>
    </w:p>
    <w:p w14:paraId="6F27E6F0">
      <w:pPr>
        <w:spacing w:before="182" w:line="219" w:lineRule="auto"/>
        <w:ind w:left="758"/>
        <w:rPr>
          <w:rFonts w:ascii="宋体" w:hAnsi="宋体" w:eastAsia="宋体" w:cs="宋体"/>
          <w:sz w:val="21"/>
          <w:szCs w:val="21"/>
        </w:rPr>
      </w:pPr>
      <w:r>
        <w:rPr>
          <w:rFonts w:ascii="黑体" w:hAnsi="黑体" w:eastAsia="黑体" w:cs="黑体"/>
          <w:spacing w:val="-2"/>
          <w:sz w:val="21"/>
          <w:szCs w:val="21"/>
        </w:rPr>
        <w:t xml:space="preserve">（2）  </w:t>
      </w:r>
      <w:r>
        <w:rPr>
          <w:rFonts w:ascii="宋体" w:hAnsi="宋体" w:eastAsia="宋体" w:cs="宋体"/>
          <w:spacing w:val="-2"/>
          <w:sz w:val="21"/>
          <w:szCs w:val="21"/>
        </w:rPr>
        <w:t>国家或省级、行业建设主管部门颁发的计价办法；</w:t>
      </w:r>
    </w:p>
    <w:p w14:paraId="1E9DF8F4">
      <w:pPr>
        <w:spacing w:before="177" w:line="433" w:lineRule="exact"/>
        <w:ind w:left="758"/>
        <w:rPr>
          <w:rFonts w:ascii="宋体" w:hAnsi="宋体" w:eastAsia="宋体" w:cs="宋体"/>
          <w:sz w:val="21"/>
          <w:szCs w:val="21"/>
        </w:rPr>
      </w:pPr>
      <w:r>
        <w:rPr>
          <w:rFonts w:ascii="黑体" w:hAnsi="黑体" w:eastAsia="黑体" w:cs="黑体"/>
          <w:spacing w:val="-2"/>
          <w:position w:val="17"/>
          <w:sz w:val="21"/>
          <w:szCs w:val="21"/>
        </w:rPr>
        <w:t xml:space="preserve">（3）  </w:t>
      </w:r>
      <w:r>
        <w:rPr>
          <w:rFonts w:ascii="宋体" w:hAnsi="宋体" w:eastAsia="宋体" w:cs="宋体"/>
          <w:spacing w:val="-2"/>
          <w:position w:val="17"/>
          <w:sz w:val="21"/>
          <w:szCs w:val="21"/>
        </w:rPr>
        <w:t>企业定额，国家或省级、行业建设主管部门颁发的计价定额和计价办法；</w:t>
      </w:r>
    </w:p>
    <w:p w14:paraId="79C3C5DC">
      <w:pPr>
        <w:spacing w:line="220" w:lineRule="auto"/>
        <w:ind w:left="758"/>
        <w:rPr>
          <w:rFonts w:ascii="宋体" w:hAnsi="宋体" w:eastAsia="宋体" w:cs="宋体"/>
          <w:sz w:val="21"/>
          <w:szCs w:val="21"/>
        </w:rPr>
      </w:pPr>
      <w:r>
        <w:rPr>
          <w:rFonts w:ascii="黑体" w:hAnsi="黑体" w:eastAsia="黑体" w:cs="黑体"/>
          <w:spacing w:val="-1"/>
          <w:sz w:val="21"/>
          <w:szCs w:val="21"/>
        </w:rPr>
        <w:t xml:space="preserve">（4）  </w:t>
      </w:r>
      <w:r>
        <w:rPr>
          <w:rFonts w:ascii="宋体" w:hAnsi="宋体" w:eastAsia="宋体" w:cs="宋体"/>
          <w:spacing w:val="-1"/>
          <w:sz w:val="21"/>
          <w:szCs w:val="21"/>
        </w:rPr>
        <w:t>招标文件（包括招标工程量清单）及其澄清、修改文件；</w:t>
      </w:r>
    </w:p>
    <w:p w14:paraId="6346E286">
      <w:pPr>
        <w:spacing w:before="176" w:line="221" w:lineRule="auto"/>
        <w:ind w:left="758"/>
        <w:rPr>
          <w:rFonts w:ascii="宋体" w:hAnsi="宋体" w:eastAsia="宋体" w:cs="宋体"/>
          <w:sz w:val="21"/>
          <w:szCs w:val="21"/>
        </w:rPr>
      </w:pPr>
      <w:r>
        <w:rPr>
          <w:rFonts w:ascii="黑体" w:hAnsi="黑体" w:eastAsia="黑体" w:cs="黑体"/>
          <w:spacing w:val="-3"/>
          <w:sz w:val="21"/>
          <w:szCs w:val="21"/>
        </w:rPr>
        <w:t xml:space="preserve">（5）  </w:t>
      </w:r>
      <w:r>
        <w:rPr>
          <w:rFonts w:ascii="宋体" w:hAnsi="宋体" w:eastAsia="宋体" w:cs="宋体"/>
          <w:spacing w:val="-3"/>
          <w:sz w:val="21"/>
          <w:szCs w:val="21"/>
        </w:rPr>
        <w:t>建设工程设计文件及相关资料；</w:t>
      </w:r>
    </w:p>
    <w:p w14:paraId="7AB26FC3">
      <w:pPr>
        <w:spacing w:before="181" w:line="423" w:lineRule="exact"/>
        <w:ind w:left="758"/>
        <w:rPr>
          <w:rFonts w:ascii="宋体" w:hAnsi="宋体" w:eastAsia="宋体" w:cs="宋体"/>
          <w:sz w:val="21"/>
          <w:szCs w:val="21"/>
        </w:rPr>
      </w:pPr>
      <w:r>
        <w:rPr>
          <w:rFonts w:ascii="黑体" w:hAnsi="黑体" w:eastAsia="黑体" w:cs="黑体"/>
          <w:spacing w:val="-1"/>
          <w:position w:val="16"/>
          <w:sz w:val="21"/>
          <w:szCs w:val="21"/>
        </w:rPr>
        <w:t xml:space="preserve">（6）  </w:t>
      </w:r>
      <w:r>
        <w:rPr>
          <w:rFonts w:ascii="宋体" w:hAnsi="宋体" w:eastAsia="宋体" w:cs="宋体"/>
          <w:spacing w:val="-1"/>
          <w:position w:val="16"/>
          <w:sz w:val="21"/>
          <w:szCs w:val="21"/>
        </w:rPr>
        <w:t>施工现场情况、工程特点及投标时拟定的施</w:t>
      </w:r>
      <w:r>
        <w:rPr>
          <w:rFonts w:ascii="宋体" w:hAnsi="宋体" w:eastAsia="宋体" w:cs="宋体"/>
          <w:spacing w:val="-2"/>
          <w:position w:val="16"/>
          <w:sz w:val="21"/>
          <w:szCs w:val="21"/>
        </w:rPr>
        <w:t>工组织设计或施工方案；</w:t>
      </w:r>
    </w:p>
    <w:p w14:paraId="14BF50A1">
      <w:pPr>
        <w:spacing w:line="220" w:lineRule="auto"/>
        <w:ind w:left="758"/>
        <w:rPr>
          <w:rFonts w:ascii="宋体" w:hAnsi="宋体" w:eastAsia="宋体" w:cs="宋体"/>
          <w:sz w:val="21"/>
          <w:szCs w:val="21"/>
        </w:rPr>
      </w:pPr>
      <w:r>
        <w:rPr>
          <w:rFonts w:ascii="黑体" w:hAnsi="黑体" w:eastAsia="黑体" w:cs="黑体"/>
          <w:spacing w:val="-1"/>
          <w:sz w:val="21"/>
          <w:szCs w:val="21"/>
        </w:rPr>
        <w:t xml:space="preserve">（7） </w:t>
      </w:r>
      <w:r>
        <w:rPr>
          <w:rFonts w:ascii="宋体" w:hAnsi="宋体" w:eastAsia="宋体" w:cs="宋体"/>
          <w:spacing w:val="-1"/>
          <w:sz w:val="21"/>
          <w:szCs w:val="21"/>
        </w:rPr>
        <w:t>与建设项目相关的标准、规范等技术资料；</w:t>
      </w:r>
    </w:p>
    <w:p w14:paraId="4A87E78E">
      <w:pPr>
        <w:spacing w:before="172" w:line="418" w:lineRule="exact"/>
        <w:ind w:left="758"/>
        <w:rPr>
          <w:rFonts w:ascii="宋体" w:hAnsi="宋体" w:eastAsia="宋体" w:cs="宋体"/>
          <w:sz w:val="21"/>
          <w:szCs w:val="21"/>
        </w:rPr>
      </w:pPr>
      <w:r>
        <w:rPr>
          <w:rFonts w:ascii="黑体" w:hAnsi="黑体" w:eastAsia="黑体" w:cs="黑体"/>
          <w:spacing w:val="-1"/>
          <w:position w:val="15"/>
          <w:sz w:val="21"/>
          <w:szCs w:val="21"/>
        </w:rPr>
        <w:t xml:space="preserve">（8） </w:t>
      </w:r>
      <w:r>
        <w:rPr>
          <w:rFonts w:ascii="宋体" w:hAnsi="宋体" w:eastAsia="宋体" w:cs="宋体"/>
          <w:spacing w:val="-1"/>
          <w:position w:val="15"/>
          <w:sz w:val="21"/>
          <w:szCs w:val="21"/>
        </w:rPr>
        <w:t>市场价格信息或官方机构发布的工程造价信息；</w:t>
      </w:r>
    </w:p>
    <w:p w14:paraId="1DFB1BB9">
      <w:pPr>
        <w:spacing w:line="221" w:lineRule="auto"/>
        <w:ind w:left="758"/>
        <w:rPr>
          <w:rFonts w:ascii="宋体" w:hAnsi="宋体" w:eastAsia="宋体" w:cs="宋体"/>
          <w:sz w:val="21"/>
          <w:szCs w:val="21"/>
        </w:rPr>
      </w:pPr>
      <w:r>
        <w:rPr>
          <w:rFonts w:ascii="黑体" w:hAnsi="黑体" w:eastAsia="黑体" w:cs="黑体"/>
          <w:spacing w:val="-3"/>
          <w:sz w:val="21"/>
          <w:szCs w:val="21"/>
        </w:rPr>
        <w:t xml:space="preserve">（9）  </w:t>
      </w:r>
      <w:r>
        <w:rPr>
          <w:rFonts w:ascii="宋体" w:hAnsi="宋体" w:eastAsia="宋体" w:cs="宋体"/>
          <w:spacing w:val="-3"/>
          <w:sz w:val="21"/>
          <w:szCs w:val="21"/>
        </w:rPr>
        <w:t>其他的相关资料。</w:t>
      </w:r>
    </w:p>
    <w:p w14:paraId="6096B27A">
      <w:pPr>
        <w:spacing w:before="172" w:line="294" w:lineRule="auto"/>
        <w:ind w:left="755" w:right="175" w:hanging="739"/>
        <w:rPr>
          <w:rFonts w:ascii="宋体" w:hAnsi="宋体" w:eastAsia="宋体" w:cs="宋体"/>
          <w:sz w:val="21"/>
          <w:szCs w:val="21"/>
        </w:rPr>
      </w:pPr>
      <w:r>
        <w:rPr>
          <w:rFonts w:ascii="黑体" w:hAnsi="黑体" w:eastAsia="黑体" w:cs="黑体"/>
          <w:sz w:val="21"/>
          <w:szCs w:val="21"/>
        </w:rPr>
        <w:t xml:space="preserve">2.2  </w:t>
      </w:r>
      <w:r>
        <w:rPr>
          <w:rFonts w:ascii="宋体" w:hAnsi="宋体" w:eastAsia="宋体" w:cs="宋体"/>
          <w:sz w:val="21"/>
          <w:szCs w:val="21"/>
        </w:rPr>
        <w:t>投标人必须按招标工程量清单填报价格。项目编码、项目名称、项目特征、计量单位</w:t>
      </w:r>
      <w:r>
        <w:rPr>
          <w:rFonts w:ascii="宋体" w:hAnsi="宋体" w:eastAsia="宋体" w:cs="宋体"/>
          <w:spacing w:val="15"/>
          <w:sz w:val="21"/>
          <w:szCs w:val="21"/>
        </w:rPr>
        <w:t xml:space="preserve"> </w:t>
      </w:r>
      <w:r>
        <w:rPr>
          <w:rFonts w:ascii="宋体" w:hAnsi="宋体" w:eastAsia="宋体" w:cs="宋体"/>
          <w:spacing w:val="-2"/>
          <w:sz w:val="21"/>
          <w:szCs w:val="21"/>
        </w:rPr>
        <w:t>必须与招标工程量清单一致。</w:t>
      </w:r>
    </w:p>
    <w:p w14:paraId="4188E310">
      <w:pPr>
        <w:spacing w:before="169" w:line="340" w:lineRule="auto"/>
        <w:ind w:left="786" w:right="175" w:hanging="770"/>
        <w:rPr>
          <w:rFonts w:ascii="宋体" w:hAnsi="宋体" w:eastAsia="宋体" w:cs="宋体"/>
          <w:sz w:val="21"/>
          <w:szCs w:val="21"/>
        </w:rPr>
      </w:pPr>
      <w:r>
        <w:rPr>
          <w:rFonts w:ascii="黑体" w:hAnsi="黑体" w:eastAsia="黑体" w:cs="黑体"/>
          <w:sz w:val="21"/>
          <w:szCs w:val="21"/>
        </w:rPr>
        <w:t xml:space="preserve">2.3  </w:t>
      </w:r>
      <w:r>
        <w:rPr>
          <w:rFonts w:ascii="宋体" w:hAnsi="宋体" w:eastAsia="宋体" w:cs="宋体"/>
          <w:sz w:val="21"/>
          <w:szCs w:val="21"/>
        </w:rPr>
        <w:t>工程量清单应采用综合单价计价。综合单价中应包括招标文件中划分的应由投标人承</w:t>
      </w:r>
      <w:r>
        <w:rPr>
          <w:rFonts w:ascii="宋体" w:hAnsi="宋体" w:eastAsia="宋体" w:cs="宋体"/>
          <w:spacing w:val="15"/>
          <w:sz w:val="21"/>
          <w:szCs w:val="21"/>
        </w:rPr>
        <w:t xml:space="preserve"> </w:t>
      </w:r>
      <w:r>
        <w:rPr>
          <w:rFonts w:ascii="宋体" w:hAnsi="宋体" w:eastAsia="宋体" w:cs="宋体"/>
          <w:spacing w:val="3"/>
          <w:sz w:val="21"/>
          <w:szCs w:val="21"/>
        </w:rPr>
        <w:t>担的风险范围及其费用，招标文件中没有明确的，</w:t>
      </w:r>
      <w:r>
        <w:rPr>
          <w:rFonts w:ascii="宋体" w:hAnsi="宋体" w:eastAsia="宋体" w:cs="宋体"/>
          <w:spacing w:val="-17"/>
          <w:sz w:val="21"/>
          <w:szCs w:val="21"/>
        </w:rPr>
        <w:t xml:space="preserve"> </w:t>
      </w:r>
      <w:r>
        <w:rPr>
          <w:rFonts w:ascii="宋体" w:hAnsi="宋体" w:eastAsia="宋体" w:cs="宋体"/>
          <w:spacing w:val="3"/>
          <w:sz w:val="21"/>
          <w:szCs w:val="21"/>
        </w:rPr>
        <w:t>应提请招标人</w:t>
      </w:r>
      <w:r>
        <w:rPr>
          <w:rFonts w:ascii="宋体" w:hAnsi="宋体" w:eastAsia="宋体" w:cs="宋体"/>
          <w:spacing w:val="2"/>
          <w:sz w:val="21"/>
          <w:szCs w:val="21"/>
        </w:rPr>
        <w:t>明确。即工程量</w:t>
      </w:r>
      <w:r>
        <w:rPr>
          <w:rFonts w:ascii="宋体" w:hAnsi="宋体" w:eastAsia="宋体" w:cs="宋体"/>
          <w:sz w:val="21"/>
          <w:szCs w:val="21"/>
        </w:rPr>
        <w:t xml:space="preserve"> </w:t>
      </w:r>
      <w:r>
        <w:rPr>
          <w:rFonts w:ascii="宋体" w:hAnsi="宋体" w:eastAsia="宋体" w:cs="宋体"/>
          <w:spacing w:val="5"/>
          <w:sz w:val="21"/>
          <w:szCs w:val="21"/>
        </w:rPr>
        <w:t>清单中标价的单价或金额，应包括所需人工费、材料费、施工机械使用费和企业</w:t>
      </w:r>
      <w:r>
        <w:rPr>
          <w:rFonts w:ascii="宋体" w:hAnsi="宋体" w:eastAsia="宋体" w:cs="宋体"/>
          <w:spacing w:val="11"/>
          <w:sz w:val="21"/>
          <w:szCs w:val="21"/>
        </w:rPr>
        <w:t xml:space="preserve"> </w:t>
      </w:r>
      <w:r>
        <w:rPr>
          <w:rFonts w:ascii="宋体" w:hAnsi="宋体" w:eastAsia="宋体" w:cs="宋体"/>
          <w:spacing w:val="5"/>
          <w:sz w:val="21"/>
          <w:szCs w:val="21"/>
        </w:rPr>
        <w:t>管理费及利润，以及一定范围内的风险费用。所谓“一定范围内的风险”是指合</w:t>
      </w:r>
      <w:r>
        <w:rPr>
          <w:rFonts w:ascii="宋体" w:hAnsi="宋体" w:eastAsia="宋体" w:cs="宋体"/>
          <w:spacing w:val="11"/>
          <w:sz w:val="21"/>
          <w:szCs w:val="21"/>
        </w:rPr>
        <w:t xml:space="preserve"> </w:t>
      </w:r>
      <w:r>
        <w:rPr>
          <w:rFonts w:ascii="宋体" w:hAnsi="宋体" w:eastAsia="宋体" w:cs="宋体"/>
          <w:spacing w:val="-3"/>
          <w:sz w:val="21"/>
          <w:szCs w:val="21"/>
        </w:rPr>
        <w:t>同约定的风险。</w:t>
      </w:r>
    </w:p>
    <w:p w14:paraId="300FBCAE">
      <w:pPr>
        <w:spacing w:before="167" w:line="332" w:lineRule="auto"/>
        <w:ind w:left="777" w:right="175" w:hanging="746"/>
        <w:rPr>
          <w:rFonts w:ascii="宋体" w:hAnsi="宋体" w:eastAsia="宋体" w:cs="宋体"/>
          <w:sz w:val="21"/>
          <w:szCs w:val="21"/>
        </w:rPr>
      </w:pPr>
      <w:r>
        <w:rPr>
          <w:rFonts w:ascii="黑体" w:hAnsi="黑体" w:eastAsia="黑体" w:cs="黑体"/>
          <w:sz w:val="21"/>
          <w:szCs w:val="21"/>
        </w:rPr>
        <w:t xml:space="preserve">2.4  </w:t>
      </w:r>
      <w:r>
        <w:rPr>
          <w:rFonts w:ascii="宋体" w:hAnsi="宋体" w:eastAsia="宋体" w:cs="宋体"/>
          <w:sz w:val="21"/>
          <w:szCs w:val="21"/>
        </w:rPr>
        <w:t>招标工程量清单与计价表中列明的所有需要填写单价和合价的项目，投标人均应填写</w:t>
      </w:r>
      <w:r>
        <w:rPr>
          <w:rFonts w:ascii="宋体" w:hAnsi="宋体" w:eastAsia="宋体" w:cs="宋体"/>
          <w:spacing w:val="1"/>
          <w:sz w:val="21"/>
          <w:szCs w:val="21"/>
        </w:rPr>
        <w:t xml:space="preserve"> </w:t>
      </w:r>
      <w:r>
        <w:rPr>
          <w:rFonts w:ascii="宋体" w:hAnsi="宋体" w:eastAsia="宋体" w:cs="宋体"/>
          <w:spacing w:val="6"/>
          <w:sz w:val="21"/>
          <w:szCs w:val="21"/>
        </w:rPr>
        <w:t>且只允许有一个报价。未填写单价和合价的项</w:t>
      </w:r>
      <w:r>
        <w:rPr>
          <w:rFonts w:ascii="宋体" w:hAnsi="宋体" w:eastAsia="宋体" w:cs="宋体"/>
          <w:spacing w:val="5"/>
          <w:sz w:val="21"/>
          <w:szCs w:val="21"/>
        </w:rPr>
        <w:t>目，可视为此项费用已经包含在已</w:t>
      </w:r>
      <w:r>
        <w:rPr>
          <w:rFonts w:ascii="宋体" w:hAnsi="宋体" w:eastAsia="宋体" w:cs="宋体"/>
          <w:sz w:val="21"/>
          <w:szCs w:val="21"/>
        </w:rPr>
        <w:t xml:space="preserve"> </w:t>
      </w:r>
      <w:r>
        <w:rPr>
          <w:rFonts w:ascii="宋体" w:hAnsi="宋体" w:eastAsia="宋体" w:cs="宋体"/>
          <w:spacing w:val="6"/>
          <w:sz w:val="21"/>
          <w:szCs w:val="21"/>
        </w:rPr>
        <w:t>标价工程量清单中其他项目的单价或合价之中</w:t>
      </w:r>
      <w:r>
        <w:rPr>
          <w:rFonts w:ascii="宋体" w:hAnsi="宋体" w:eastAsia="宋体" w:cs="宋体"/>
          <w:spacing w:val="5"/>
          <w:sz w:val="21"/>
          <w:szCs w:val="21"/>
        </w:rPr>
        <w:t>。当竣工结算时，此项目不得重新</w:t>
      </w:r>
      <w:r>
        <w:rPr>
          <w:rFonts w:ascii="宋体" w:hAnsi="宋体" w:eastAsia="宋体" w:cs="宋体"/>
          <w:sz w:val="21"/>
          <w:szCs w:val="21"/>
        </w:rPr>
        <w:t xml:space="preserve"> </w:t>
      </w:r>
      <w:r>
        <w:rPr>
          <w:rFonts w:ascii="宋体" w:hAnsi="宋体" w:eastAsia="宋体" w:cs="宋体"/>
          <w:spacing w:val="-3"/>
          <w:sz w:val="21"/>
          <w:szCs w:val="21"/>
        </w:rPr>
        <w:t>组价予以调整。</w:t>
      </w:r>
    </w:p>
    <w:p w14:paraId="2D85216F">
      <w:pPr>
        <w:spacing w:before="135" w:line="219" w:lineRule="auto"/>
        <w:ind w:left="16"/>
        <w:rPr>
          <w:rFonts w:ascii="宋体" w:hAnsi="宋体" w:eastAsia="宋体" w:cs="宋体"/>
          <w:sz w:val="21"/>
          <w:szCs w:val="21"/>
        </w:rPr>
      </w:pPr>
      <w:r>
        <w:rPr>
          <w:rFonts w:ascii="黑体" w:hAnsi="黑体" w:eastAsia="黑体" w:cs="黑体"/>
          <w:spacing w:val="-1"/>
          <w:sz w:val="21"/>
          <w:szCs w:val="21"/>
        </w:rPr>
        <w:t>2.</w:t>
      </w:r>
      <w:r>
        <w:rPr>
          <w:rFonts w:hint="eastAsia" w:ascii="黑体" w:hAnsi="黑体" w:eastAsia="黑体" w:cs="黑体"/>
          <w:spacing w:val="-1"/>
          <w:sz w:val="21"/>
          <w:szCs w:val="21"/>
          <w:lang w:val="en-US" w:eastAsia="zh-CN"/>
        </w:rPr>
        <w:t>5</w:t>
      </w:r>
      <w:r>
        <w:rPr>
          <w:rFonts w:ascii="黑体" w:hAnsi="黑体" w:eastAsia="黑体" w:cs="黑体"/>
          <w:spacing w:val="-1"/>
          <w:sz w:val="21"/>
          <w:szCs w:val="21"/>
        </w:rPr>
        <w:t xml:space="preserve"> </w:t>
      </w:r>
      <w:r>
        <w:rPr>
          <w:rFonts w:ascii="宋体" w:hAnsi="宋体" w:eastAsia="宋体" w:cs="宋体"/>
          <w:spacing w:val="-1"/>
          <w:sz w:val="21"/>
          <w:szCs w:val="21"/>
        </w:rPr>
        <w:t>投标报价中应考虑招标文件中要求投标人承担的风险范围以及相关的费用。</w:t>
      </w:r>
    </w:p>
    <w:p w14:paraId="7566946B">
      <w:pPr>
        <w:spacing w:before="163" w:line="320" w:lineRule="auto"/>
        <w:ind w:left="705" w:right="163" w:hanging="684"/>
        <w:rPr>
          <w:rFonts w:ascii="宋体" w:hAnsi="宋体" w:eastAsia="宋体" w:cs="宋体"/>
          <w:sz w:val="21"/>
          <w:szCs w:val="21"/>
        </w:rPr>
      </w:pPr>
      <w:r>
        <w:rPr>
          <w:rFonts w:ascii="黑体" w:hAnsi="黑体" w:eastAsia="黑体" w:cs="黑体"/>
          <w:sz w:val="21"/>
          <w:szCs w:val="21"/>
        </w:rPr>
        <w:t>2.</w:t>
      </w:r>
      <w:r>
        <w:rPr>
          <w:rFonts w:hint="eastAsia" w:ascii="黑体" w:hAnsi="黑体" w:eastAsia="黑体" w:cs="黑体"/>
          <w:sz w:val="21"/>
          <w:szCs w:val="21"/>
          <w:lang w:val="en-US" w:eastAsia="zh-CN"/>
        </w:rPr>
        <w:t>6</w:t>
      </w:r>
      <w:r>
        <w:rPr>
          <w:rFonts w:ascii="黑体" w:hAnsi="黑体" w:eastAsia="黑体" w:cs="黑体"/>
          <w:sz w:val="21"/>
          <w:szCs w:val="21"/>
        </w:rPr>
        <w:t xml:space="preserve"> </w:t>
      </w:r>
      <w:r>
        <w:rPr>
          <w:rFonts w:ascii="宋体" w:hAnsi="宋体" w:eastAsia="宋体" w:cs="宋体"/>
          <w:sz w:val="21"/>
          <w:szCs w:val="21"/>
        </w:rPr>
        <w:t>投标总价为投标人在投标文件中提出的各项支付金额的总和，为实施、完成招标工程</w:t>
      </w:r>
      <w:r>
        <w:rPr>
          <w:rFonts w:ascii="宋体" w:hAnsi="宋体" w:eastAsia="宋体" w:cs="宋体"/>
          <w:spacing w:val="11"/>
          <w:sz w:val="21"/>
          <w:szCs w:val="21"/>
        </w:rPr>
        <w:t xml:space="preserve"> </w:t>
      </w:r>
      <w:r>
        <w:rPr>
          <w:rFonts w:ascii="宋体" w:hAnsi="宋体" w:eastAsia="宋体" w:cs="宋体"/>
          <w:spacing w:val="1"/>
          <w:sz w:val="21"/>
          <w:szCs w:val="21"/>
        </w:rPr>
        <w:t>并修补缺陷以及履行招标文件中约定的风险范围内的所有责任和义务所发生的全部</w:t>
      </w:r>
      <w:r>
        <w:rPr>
          <w:rFonts w:ascii="宋体" w:hAnsi="宋体" w:eastAsia="宋体" w:cs="宋体"/>
          <w:spacing w:val="-10"/>
          <w:sz w:val="21"/>
          <w:szCs w:val="21"/>
        </w:rPr>
        <w:t>费用。</w:t>
      </w:r>
    </w:p>
    <w:p w14:paraId="495C6617">
      <w:pPr>
        <w:pStyle w:val="3"/>
        <w:spacing w:line="327" w:lineRule="auto"/>
      </w:pPr>
    </w:p>
    <w:p w14:paraId="3F9F0652">
      <w:pPr>
        <w:spacing w:before="87" w:line="225" w:lineRule="auto"/>
        <w:ind w:left="14"/>
        <w:rPr>
          <w:rFonts w:ascii="黑体" w:hAnsi="黑体" w:eastAsia="黑体" w:cs="黑体"/>
          <w:sz w:val="27"/>
          <w:szCs w:val="27"/>
        </w:rPr>
      </w:pPr>
      <w:r>
        <w:rPr>
          <w:rFonts w:ascii="Times New Roman" w:hAnsi="Times New Roman" w:eastAsia="Times New Roman" w:cs="Times New Roman"/>
          <w:spacing w:val="7"/>
          <w:sz w:val="27"/>
          <w:szCs w:val="27"/>
        </w:rPr>
        <w:t>4</w:t>
      </w:r>
      <w:r>
        <w:rPr>
          <w:rFonts w:ascii="黑体" w:hAnsi="黑体" w:eastAsia="黑体" w:cs="黑体"/>
          <w:spacing w:val="7"/>
          <w:sz w:val="27"/>
          <w:szCs w:val="27"/>
        </w:rPr>
        <w:t>、工程量清单与计价表</w:t>
      </w:r>
    </w:p>
    <w:p w14:paraId="5595B1BA">
      <w:pPr>
        <w:pStyle w:val="3"/>
        <w:spacing w:line="264" w:lineRule="auto"/>
      </w:pPr>
    </w:p>
    <w:p w14:paraId="4D22B15B">
      <w:pPr>
        <w:pStyle w:val="3"/>
        <w:spacing w:line="265" w:lineRule="auto"/>
      </w:pPr>
    </w:p>
    <w:p w14:paraId="5BC7F066">
      <w:pPr>
        <w:pStyle w:val="3"/>
        <w:spacing w:line="265" w:lineRule="auto"/>
      </w:pPr>
    </w:p>
    <w:p w14:paraId="5A05F3BC">
      <w:pPr>
        <w:spacing w:before="69" w:line="220" w:lineRule="auto"/>
        <w:ind w:left="20"/>
        <w:rPr>
          <w:rFonts w:ascii="宋体" w:hAnsi="宋体" w:eastAsia="宋体" w:cs="宋体"/>
          <w:sz w:val="21"/>
          <w:szCs w:val="21"/>
        </w:rPr>
      </w:pPr>
      <w:r>
        <w:rPr>
          <w:rFonts w:ascii="宋体" w:hAnsi="宋体" w:eastAsia="宋体" w:cs="宋体"/>
          <w:spacing w:val="-10"/>
          <w:sz w:val="21"/>
          <w:szCs w:val="21"/>
        </w:rPr>
        <w:t>备注： 1.</w:t>
      </w:r>
      <w:r>
        <w:rPr>
          <w:rFonts w:ascii="宋体" w:hAnsi="宋体" w:eastAsia="宋体" w:cs="宋体"/>
          <w:spacing w:val="43"/>
          <w:sz w:val="21"/>
          <w:szCs w:val="21"/>
        </w:rPr>
        <w:t xml:space="preserve"> </w:t>
      </w:r>
      <w:r>
        <w:rPr>
          <w:rFonts w:ascii="宋体" w:hAnsi="宋体" w:eastAsia="宋体" w:cs="宋体"/>
          <w:spacing w:val="-10"/>
          <w:sz w:val="21"/>
          <w:szCs w:val="21"/>
        </w:rPr>
        <w:t>以下表格供招标人参考。</w:t>
      </w:r>
    </w:p>
    <w:p w14:paraId="462A8016">
      <w:pPr>
        <w:spacing w:before="129" w:line="384" w:lineRule="exact"/>
        <w:ind w:left="650"/>
        <w:rPr>
          <w:rFonts w:ascii="宋体" w:hAnsi="宋体" w:eastAsia="宋体" w:cs="宋体"/>
          <w:sz w:val="21"/>
          <w:szCs w:val="21"/>
        </w:rPr>
      </w:pPr>
      <w:r>
        <w:rPr>
          <w:rFonts w:ascii="宋体" w:hAnsi="宋体" w:eastAsia="宋体" w:cs="宋体"/>
          <w:spacing w:val="-3"/>
          <w:position w:val="13"/>
          <w:sz w:val="21"/>
          <w:szCs w:val="21"/>
        </w:rPr>
        <w:t>2.</w:t>
      </w:r>
      <w:r>
        <w:rPr>
          <w:rFonts w:ascii="宋体" w:hAnsi="宋体" w:eastAsia="宋体" w:cs="宋体"/>
          <w:spacing w:val="48"/>
          <w:position w:val="13"/>
          <w:sz w:val="21"/>
          <w:szCs w:val="21"/>
        </w:rPr>
        <w:t xml:space="preserve"> </w:t>
      </w:r>
      <w:r>
        <w:rPr>
          <w:rFonts w:ascii="宋体" w:hAnsi="宋体" w:eastAsia="宋体" w:cs="宋体"/>
          <w:spacing w:val="-3"/>
          <w:position w:val="13"/>
          <w:sz w:val="21"/>
          <w:szCs w:val="21"/>
        </w:rPr>
        <w:t>以下表格中的单价应根据所选用计税方法不同进行调整。</w:t>
      </w:r>
    </w:p>
    <w:p w14:paraId="7FE0AC5C">
      <w:pPr>
        <w:spacing w:line="219" w:lineRule="auto"/>
        <w:ind w:left="651"/>
        <w:rPr>
          <w:rFonts w:ascii="宋体" w:hAnsi="宋体" w:eastAsia="宋体" w:cs="宋体"/>
          <w:sz w:val="21"/>
          <w:szCs w:val="21"/>
        </w:rPr>
      </w:pPr>
      <w:r>
        <w:rPr>
          <w:rFonts w:ascii="宋体" w:hAnsi="宋体" w:eastAsia="宋体" w:cs="宋体"/>
          <w:spacing w:val="-5"/>
          <w:sz w:val="21"/>
          <w:szCs w:val="21"/>
        </w:rPr>
        <w:t>一般计税方法应为除税价格， 简易计税方法应为含税价格。</w:t>
      </w:r>
    </w:p>
    <w:p w14:paraId="08188EA6">
      <w:pPr>
        <w:spacing w:line="219" w:lineRule="auto"/>
        <w:rPr>
          <w:rFonts w:ascii="宋体" w:hAnsi="宋体" w:eastAsia="宋体" w:cs="宋体"/>
          <w:sz w:val="21"/>
          <w:szCs w:val="21"/>
        </w:rPr>
        <w:sectPr>
          <w:footerReference r:id="rId161" w:type="default"/>
          <w:pgSz w:w="11905" w:h="16839"/>
          <w:pgMar w:top="400" w:right="1785" w:bottom="1004" w:left="1785" w:header="0" w:footer="828" w:gutter="0"/>
          <w:pgNumType w:fmt="decimal"/>
          <w:cols w:space="720" w:num="1"/>
        </w:sectPr>
      </w:pPr>
    </w:p>
    <w:p w14:paraId="0FC41CDF">
      <w:pPr>
        <w:pStyle w:val="3"/>
        <w:spacing w:line="267" w:lineRule="auto"/>
      </w:pPr>
    </w:p>
    <w:p w14:paraId="384B3450">
      <w:pPr>
        <w:pStyle w:val="3"/>
        <w:spacing w:line="267" w:lineRule="auto"/>
      </w:pPr>
    </w:p>
    <w:p w14:paraId="31B73B8F">
      <w:pPr>
        <w:pStyle w:val="3"/>
        <w:spacing w:line="268" w:lineRule="auto"/>
      </w:pPr>
    </w:p>
    <w:p w14:paraId="07580752">
      <w:pPr>
        <w:pStyle w:val="3"/>
        <w:spacing w:line="268" w:lineRule="auto"/>
      </w:pPr>
    </w:p>
    <w:p w14:paraId="4CFD55F6">
      <w:pPr>
        <w:spacing w:before="78" w:line="219" w:lineRule="auto"/>
        <w:ind w:left="13"/>
        <w:rPr>
          <w:rFonts w:ascii="黑体" w:hAnsi="黑体" w:eastAsia="黑体" w:cs="黑体"/>
          <w:sz w:val="24"/>
          <w:szCs w:val="24"/>
        </w:rPr>
      </w:pPr>
      <w:r>
        <w:rPr>
          <w:rFonts w:ascii="Times New Roman" w:hAnsi="Times New Roman" w:eastAsia="Times New Roman" w:cs="Times New Roman"/>
          <w:spacing w:val="-1"/>
          <w:sz w:val="24"/>
          <w:szCs w:val="24"/>
        </w:rPr>
        <w:t xml:space="preserve">4.1 </w:t>
      </w:r>
      <w:r>
        <w:rPr>
          <w:rFonts w:ascii="黑体" w:hAnsi="黑体" w:eastAsia="黑体" w:cs="黑体"/>
          <w:spacing w:val="-1"/>
          <w:sz w:val="24"/>
          <w:szCs w:val="24"/>
        </w:rPr>
        <w:t>招标工程量清单封面</w:t>
      </w:r>
    </w:p>
    <w:p w14:paraId="426B057A">
      <w:pPr>
        <w:pStyle w:val="3"/>
        <w:spacing w:line="277" w:lineRule="auto"/>
      </w:pPr>
    </w:p>
    <w:p w14:paraId="429A278D">
      <w:pPr>
        <w:pStyle w:val="3"/>
        <w:spacing w:line="277" w:lineRule="auto"/>
      </w:pPr>
    </w:p>
    <w:p w14:paraId="33721299">
      <w:pPr>
        <w:pStyle w:val="3"/>
        <w:spacing w:line="278" w:lineRule="auto"/>
      </w:pPr>
    </w:p>
    <w:p w14:paraId="12CF1E4F">
      <w:pPr>
        <w:pStyle w:val="3"/>
        <w:spacing w:line="278" w:lineRule="auto"/>
      </w:pPr>
    </w:p>
    <w:p w14:paraId="2E626E6A">
      <w:pPr>
        <w:tabs>
          <w:tab w:val="left" w:pos="6352"/>
        </w:tabs>
        <w:spacing w:before="87" w:line="226" w:lineRule="auto"/>
        <w:ind w:left="1734"/>
        <w:rPr>
          <w:rFonts w:ascii="宋体" w:hAnsi="宋体" w:eastAsia="宋体" w:cs="宋体"/>
          <w:sz w:val="27"/>
          <w:szCs w:val="27"/>
        </w:rPr>
      </w:pPr>
      <w:r>
        <w:rPr>
          <w:rFonts w:ascii="宋体" w:hAnsi="宋体" w:eastAsia="宋体" w:cs="宋体"/>
          <w:sz w:val="27"/>
          <w:szCs w:val="27"/>
          <w:u w:val="single" w:color="auto"/>
        </w:rPr>
        <w:tab/>
      </w:r>
      <w:r>
        <w:rPr>
          <w:rFonts w:ascii="宋体" w:hAnsi="宋体" w:eastAsia="宋体" w:cs="宋体"/>
          <w:spacing w:val="-120"/>
          <w:sz w:val="27"/>
          <w:szCs w:val="27"/>
        </w:rPr>
        <w:t xml:space="preserve"> </w:t>
      </w:r>
      <w:r>
        <w:rPr>
          <w:rFonts w:ascii="宋体" w:hAnsi="宋体" w:eastAsia="宋体" w:cs="宋体"/>
          <w:spacing w:val="3"/>
          <w:sz w:val="27"/>
          <w:szCs w:val="27"/>
          <w14:textOutline w14:w="5050" w14:cap="flat" w14:cmpd="sng">
            <w14:solidFill>
              <w14:srgbClr w14:val="000000"/>
            </w14:solidFill>
            <w14:prstDash w14:val="solid"/>
            <w14:miter w14:val="0"/>
          </w14:textOutline>
        </w:rPr>
        <w:t>工程</w:t>
      </w:r>
    </w:p>
    <w:p w14:paraId="24E577C9">
      <w:pPr>
        <w:pStyle w:val="3"/>
        <w:spacing w:line="266" w:lineRule="auto"/>
      </w:pPr>
    </w:p>
    <w:p w14:paraId="7D72664F">
      <w:pPr>
        <w:pStyle w:val="3"/>
        <w:spacing w:line="266" w:lineRule="auto"/>
      </w:pPr>
    </w:p>
    <w:p w14:paraId="4D24035A">
      <w:pPr>
        <w:pStyle w:val="3"/>
        <w:spacing w:line="266" w:lineRule="auto"/>
      </w:pPr>
    </w:p>
    <w:p w14:paraId="557DDDF7">
      <w:pPr>
        <w:pStyle w:val="3"/>
        <w:spacing w:line="266" w:lineRule="auto"/>
      </w:pPr>
    </w:p>
    <w:p w14:paraId="7AD864AF">
      <w:pPr>
        <w:pStyle w:val="3"/>
        <w:spacing w:line="266" w:lineRule="auto"/>
      </w:pPr>
    </w:p>
    <w:p w14:paraId="04E8B90A">
      <w:pPr>
        <w:pStyle w:val="3"/>
        <w:spacing w:line="266" w:lineRule="auto"/>
      </w:pPr>
    </w:p>
    <w:p w14:paraId="6FAEB47F">
      <w:pPr>
        <w:pStyle w:val="3"/>
        <w:spacing w:line="266" w:lineRule="auto"/>
      </w:pPr>
    </w:p>
    <w:p w14:paraId="1B89CC8D">
      <w:pPr>
        <w:pStyle w:val="3"/>
        <w:spacing w:line="266" w:lineRule="auto"/>
      </w:pPr>
    </w:p>
    <w:p w14:paraId="402F2C03">
      <w:pPr>
        <w:spacing w:before="117" w:line="219" w:lineRule="auto"/>
        <w:ind w:left="2740"/>
        <w:rPr>
          <w:rFonts w:ascii="黑体" w:hAnsi="黑体" w:eastAsia="黑体" w:cs="黑体"/>
          <w:sz w:val="36"/>
          <w:szCs w:val="36"/>
        </w:rPr>
      </w:pPr>
      <w:bookmarkStart w:id="1286" w:name="bookmark244"/>
      <w:bookmarkEnd w:id="1286"/>
      <w:r>
        <w:rPr>
          <w:rFonts w:ascii="黑体" w:hAnsi="黑体" w:eastAsia="黑体" w:cs="黑体"/>
          <w:spacing w:val="-10"/>
          <w:sz w:val="36"/>
          <w:szCs w:val="36"/>
        </w:rPr>
        <w:t>招 标</w:t>
      </w:r>
      <w:r>
        <w:rPr>
          <w:rFonts w:ascii="黑体" w:hAnsi="黑体" w:eastAsia="黑体" w:cs="黑体"/>
          <w:spacing w:val="22"/>
          <w:sz w:val="36"/>
          <w:szCs w:val="36"/>
        </w:rPr>
        <w:t xml:space="preserve"> </w:t>
      </w:r>
      <w:r>
        <w:rPr>
          <w:rFonts w:ascii="黑体" w:hAnsi="黑体" w:eastAsia="黑体" w:cs="黑体"/>
          <w:spacing w:val="-10"/>
          <w:sz w:val="36"/>
          <w:szCs w:val="36"/>
        </w:rPr>
        <w:t>工</w:t>
      </w:r>
      <w:r>
        <w:rPr>
          <w:rFonts w:ascii="黑体" w:hAnsi="黑体" w:eastAsia="黑体" w:cs="黑体"/>
          <w:spacing w:val="10"/>
          <w:sz w:val="36"/>
          <w:szCs w:val="36"/>
        </w:rPr>
        <w:t xml:space="preserve"> </w:t>
      </w:r>
      <w:r>
        <w:rPr>
          <w:rFonts w:ascii="黑体" w:hAnsi="黑体" w:eastAsia="黑体" w:cs="黑体"/>
          <w:spacing w:val="-10"/>
          <w:sz w:val="36"/>
          <w:szCs w:val="36"/>
        </w:rPr>
        <w:t>程</w:t>
      </w:r>
      <w:r>
        <w:rPr>
          <w:rFonts w:ascii="黑体" w:hAnsi="黑体" w:eastAsia="黑体" w:cs="黑体"/>
          <w:spacing w:val="21"/>
          <w:sz w:val="36"/>
          <w:szCs w:val="36"/>
        </w:rPr>
        <w:t xml:space="preserve"> </w:t>
      </w:r>
      <w:r>
        <w:rPr>
          <w:rFonts w:ascii="黑体" w:hAnsi="黑体" w:eastAsia="黑体" w:cs="黑体"/>
          <w:spacing w:val="-10"/>
          <w:sz w:val="36"/>
          <w:szCs w:val="36"/>
        </w:rPr>
        <w:t>量</w:t>
      </w:r>
      <w:r>
        <w:rPr>
          <w:rFonts w:ascii="黑体" w:hAnsi="黑体" w:eastAsia="黑体" w:cs="黑体"/>
          <w:spacing w:val="16"/>
          <w:sz w:val="36"/>
          <w:szCs w:val="36"/>
        </w:rPr>
        <w:t xml:space="preserve"> </w:t>
      </w:r>
      <w:r>
        <w:rPr>
          <w:rFonts w:ascii="黑体" w:hAnsi="黑体" w:eastAsia="黑体" w:cs="黑体"/>
          <w:spacing w:val="-10"/>
          <w:sz w:val="36"/>
          <w:szCs w:val="36"/>
        </w:rPr>
        <w:t>清</w:t>
      </w:r>
      <w:r>
        <w:rPr>
          <w:rFonts w:ascii="黑体" w:hAnsi="黑体" w:eastAsia="黑体" w:cs="黑体"/>
          <w:spacing w:val="26"/>
          <w:sz w:val="36"/>
          <w:szCs w:val="36"/>
        </w:rPr>
        <w:t xml:space="preserve"> </w:t>
      </w:r>
      <w:r>
        <w:rPr>
          <w:rFonts w:ascii="黑体" w:hAnsi="黑体" w:eastAsia="黑体" w:cs="黑体"/>
          <w:spacing w:val="-10"/>
          <w:sz w:val="36"/>
          <w:szCs w:val="36"/>
        </w:rPr>
        <w:t>单</w:t>
      </w:r>
    </w:p>
    <w:p w14:paraId="730206ED">
      <w:pPr>
        <w:pStyle w:val="3"/>
        <w:spacing w:line="249" w:lineRule="auto"/>
      </w:pPr>
    </w:p>
    <w:p w14:paraId="159FD7A7">
      <w:pPr>
        <w:pStyle w:val="3"/>
        <w:spacing w:line="249" w:lineRule="auto"/>
      </w:pPr>
    </w:p>
    <w:p w14:paraId="4990D8DB">
      <w:pPr>
        <w:pStyle w:val="3"/>
        <w:spacing w:line="249" w:lineRule="auto"/>
      </w:pPr>
    </w:p>
    <w:p w14:paraId="6A3E9960">
      <w:pPr>
        <w:pStyle w:val="3"/>
        <w:spacing w:line="249" w:lineRule="auto"/>
      </w:pPr>
    </w:p>
    <w:p w14:paraId="0EA25D88">
      <w:pPr>
        <w:pStyle w:val="3"/>
        <w:spacing w:line="249" w:lineRule="auto"/>
      </w:pPr>
    </w:p>
    <w:p w14:paraId="3E0B29A7">
      <w:pPr>
        <w:pStyle w:val="3"/>
        <w:spacing w:line="249" w:lineRule="auto"/>
      </w:pPr>
    </w:p>
    <w:p w14:paraId="6DCBB9A3">
      <w:pPr>
        <w:pStyle w:val="3"/>
        <w:spacing w:line="249" w:lineRule="auto"/>
      </w:pPr>
    </w:p>
    <w:p w14:paraId="0130E7B0">
      <w:pPr>
        <w:pStyle w:val="3"/>
        <w:spacing w:line="249" w:lineRule="auto"/>
      </w:pPr>
    </w:p>
    <w:p w14:paraId="321D724B">
      <w:pPr>
        <w:pStyle w:val="3"/>
        <w:spacing w:line="249" w:lineRule="auto"/>
      </w:pPr>
    </w:p>
    <w:p w14:paraId="33791931">
      <w:pPr>
        <w:pStyle w:val="3"/>
        <w:spacing w:line="249" w:lineRule="auto"/>
      </w:pPr>
    </w:p>
    <w:p w14:paraId="26FE55EB">
      <w:pPr>
        <w:pStyle w:val="3"/>
        <w:spacing w:line="249" w:lineRule="auto"/>
      </w:pPr>
    </w:p>
    <w:p w14:paraId="06BA06B6">
      <w:pPr>
        <w:pStyle w:val="3"/>
        <w:spacing w:line="250" w:lineRule="auto"/>
      </w:pPr>
    </w:p>
    <w:p w14:paraId="490B80BD">
      <w:pPr>
        <w:pStyle w:val="3"/>
        <w:spacing w:line="250" w:lineRule="auto"/>
      </w:pPr>
    </w:p>
    <w:p w14:paraId="08B631C2">
      <w:pPr>
        <w:pStyle w:val="3"/>
        <w:spacing w:line="250" w:lineRule="auto"/>
      </w:pPr>
    </w:p>
    <w:p w14:paraId="0AE11B10">
      <w:pPr>
        <w:pStyle w:val="3"/>
        <w:spacing w:line="250" w:lineRule="auto"/>
      </w:pPr>
    </w:p>
    <w:p w14:paraId="5D665068">
      <w:pPr>
        <w:pStyle w:val="3"/>
        <w:spacing w:line="250" w:lineRule="auto"/>
      </w:pPr>
    </w:p>
    <w:p w14:paraId="61BF4F45">
      <w:pPr>
        <w:pStyle w:val="3"/>
        <w:spacing w:line="250" w:lineRule="auto"/>
      </w:pPr>
    </w:p>
    <w:p w14:paraId="2BD338F2">
      <w:pPr>
        <w:spacing w:before="79" w:line="188" w:lineRule="auto"/>
        <w:ind w:left="1941"/>
        <w:rPr>
          <w:rFonts w:ascii="宋体" w:hAnsi="宋体" w:eastAsia="宋体" w:cs="宋体"/>
          <w:sz w:val="24"/>
          <w:szCs w:val="24"/>
        </w:rPr>
      </w:pPr>
      <w:r>
        <w:rPr>
          <w:rFonts w:ascii="宋体" w:hAnsi="宋体" w:eastAsia="宋体" w:cs="宋体"/>
          <w:spacing w:val="-29"/>
          <w:sz w:val="24"/>
          <w:szCs w:val="24"/>
        </w:rPr>
        <w:t>招</w:t>
      </w:r>
      <w:r>
        <w:rPr>
          <w:rFonts w:ascii="宋体" w:hAnsi="宋体" w:eastAsia="宋体" w:cs="宋体"/>
          <w:spacing w:val="5"/>
          <w:sz w:val="24"/>
          <w:szCs w:val="24"/>
        </w:rPr>
        <w:t xml:space="preserve">  </w:t>
      </w:r>
      <w:r>
        <w:rPr>
          <w:rFonts w:ascii="宋体" w:hAnsi="宋体" w:eastAsia="宋体" w:cs="宋体"/>
          <w:spacing w:val="-29"/>
          <w:sz w:val="24"/>
          <w:szCs w:val="24"/>
        </w:rPr>
        <w:t>标</w:t>
      </w:r>
      <w:r>
        <w:rPr>
          <w:rFonts w:ascii="宋体" w:hAnsi="宋体" w:eastAsia="宋体" w:cs="宋体"/>
          <w:spacing w:val="6"/>
          <w:sz w:val="24"/>
          <w:szCs w:val="24"/>
        </w:rPr>
        <w:t xml:space="preserve">  </w:t>
      </w:r>
      <w:r>
        <w:rPr>
          <w:rFonts w:ascii="宋体" w:hAnsi="宋体" w:eastAsia="宋体" w:cs="宋体"/>
          <w:spacing w:val="-29"/>
          <w:sz w:val="24"/>
          <w:szCs w:val="24"/>
        </w:rPr>
        <w:t>人：</w:t>
      </w:r>
      <w:r>
        <w:rPr>
          <w:rFonts w:ascii="宋体" w:hAnsi="宋体" w:eastAsia="宋体" w:cs="宋体"/>
          <w:spacing w:val="-37"/>
          <w:sz w:val="24"/>
          <w:szCs w:val="24"/>
        </w:rPr>
        <w:t xml:space="preserve"> </w:t>
      </w:r>
      <w:r>
        <w:rPr>
          <w:rFonts w:ascii="宋体" w:hAnsi="宋体" w:eastAsia="宋体" w:cs="宋体"/>
          <w:sz w:val="24"/>
          <w:szCs w:val="24"/>
          <w:u w:val="single" w:color="auto"/>
        </w:rPr>
        <w:t xml:space="preserve">                           </w:t>
      </w:r>
    </w:p>
    <w:p w14:paraId="3315045C">
      <w:pPr>
        <w:spacing w:before="14" w:line="219" w:lineRule="auto"/>
        <w:ind w:left="4107"/>
        <w:rPr>
          <w:rFonts w:ascii="宋体" w:hAnsi="宋体" w:eastAsia="宋体" w:cs="宋体"/>
          <w:sz w:val="24"/>
          <w:szCs w:val="24"/>
        </w:rPr>
      </w:pPr>
      <w:r>
        <w:rPr>
          <w:rFonts w:ascii="宋体" w:hAnsi="宋体" w:eastAsia="宋体" w:cs="宋体"/>
          <w:spacing w:val="-3"/>
          <w:sz w:val="24"/>
          <w:szCs w:val="24"/>
        </w:rPr>
        <w:t>（单位盖章）</w:t>
      </w:r>
    </w:p>
    <w:p w14:paraId="335D8822">
      <w:pPr>
        <w:pStyle w:val="3"/>
        <w:spacing w:line="338" w:lineRule="auto"/>
      </w:pPr>
    </w:p>
    <w:p w14:paraId="5F1DBD54">
      <w:pPr>
        <w:pStyle w:val="3"/>
        <w:spacing w:line="338" w:lineRule="auto"/>
      </w:pPr>
    </w:p>
    <w:p w14:paraId="263AAC30">
      <w:pPr>
        <w:spacing w:before="78" w:line="199" w:lineRule="auto"/>
        <w:ind w:left="1939"/>
        <w:rPr>
          <w:rFonts w:ascii="宋体" w:hAnsi="宋体" w:eastAsia="宋体" w:cs="宋体"/>
          <w:sz w:val="24"/>
          <w:szCs w:val="24"/>
        </w:rPr>
      </w:pPr>
      <w:r>
        <w:rPr>
          <w:rFonts w:ascii="宋体" w:hAnsi="宋体" w:eastAsia="宋体" w:cs="宋体"/>
          <w:spacing w:val="-25"/>
          <w:w w:val="97"/>
          <w:sz w:val="24"/>
          <w:szCs w:val="24"/>
        </w:rPr>
        <w:t>造价咨询人：</w:t>
      </w:r>
      <w:r>
        <w:rPr>
          <w:rFonts w:ascii="宋体" w:hAnsi="宋体" w:eastAsia="宋体" w:cs="宋体"/>
          <w:spacing w:val="64"/>
          <w:sz w:val="24"/>
          <w:szCs w:val="24"/>
        </w:rPr>
        <w:t xml:space="preserve"> </w:t>
      </w:r>
      <w:r>
        <w:rPr>
          <w:rFonts w:ascii="宋体" w:hAnsi="宋体" w:eastAsia="宋体" w:cs="宋体"/>
          <w:sz w:val="24"/>
          <w:szCs w:val="24"/>
          <w:u w:val="single" w:color="auto"/>
        </w:rPr>
        <w:t xml:space="preserve">                           </w:t>
      </w:r>
    </w:p>
    <w:p w14:paraId="661E67F0">
      <w:pPr>
        <w:spacing w:before="1" w:line="218" w:lineRule="auto"/>
        <w:ind w:left="4107"/>
        <w:rPr>
          <w:rFonts w:ascii="宋体" w:hAnsi="宋体" w:eastAsia="宋体" w:cs="宋体"/>
          <w:sz w:val="24"/>
          <w:szCs w:val="24"/>
        </w:rPr>
      </w:pPr>
      <w:r>
        <w:rPr>
          <w:rFonts w:ascii="宋体" w:hAnsi="宋体" w:eastAsia="宋体" w:cs="宋体"/>
          <w:spacing w:val="-3"/>
          <w:sz w:val="24"/>
          <w:szCs w:val="24"/>
        </w:rPr>
        <w:t>（单位盖章）</w:t>
      </w:r>
    </w:p>
    <w:p w14:paraId="3BB864A0">
      <w:pPr>
        <w:pStyle w:val="3"/>
        <w:spacing w:line="294" w:lineRule="auto"/>
      </w:pPr>
    </w:p>
    <w:p w14:paraId="57753DBF">
      <w:pPr>
        <w:pStyle w:val="3"/>
        <w:spacing w:line="294" w:lineRule="auto"/>
      </w:pPr>
    </w:p>
    <w:p w14:paraId="569FDD44">
      <w:pPr>
        <w:spacing w:before="78" w:line="220" w:lineRule="auto"/>
        <w:ind w:left="3982"/>
        <w:rPr>
          <w:rFonts w:ascii="宋体" w:hAnsi="宋体" w:eastAsia="宋体" w:cs="宋体"/>
          <w:sz w:val="24"/>
          <w:szCs w:val="24"/>
        </w:rPr>
      </w:pPr>
      <w:r>
        <w:rPr>
          <w:rFonts w:ascii="宋体" w:hAnsi="宋体" w:eastAsia="宋体" w:cs="宋体"/>
          <w:spacing w:val="-9"/>
          <w:sz w:val="24"/>
          <w:szCs w:val="24"/>
        </w:rPr>
        <w:t>年</w:t>
      </w:r>
      <w:r>
        <w:rPr>
          <w:rFonts w:ascii="宋体" w:hAnsi="宋体" w:eastAsia="宋体" w:cs="宋体"/>
          <w:spacing w:val="3"/>
          <w:sz w:val="24"/>
          <w:szCs w:val="24"/>
        </w:rPr>
        <w:t xml:space="preserve">    </w:t>
      </w:r>
      <w:r>
        <w:rPr>
          <w:rFonts w:ascii="宋体" w:hAnsi="宋体" w:eastAsia="宋体" w:cs="宋体"/>
          <w:spacing w:val="-9"/>
          <w:sz w:val="24"/>
          <w:szCs w:val="24"/>
        </w:rPr>
        <w:t>月</w:t>
      </w:r>
      <w:r>
        <w:rPr>
          <w:rFonts w:ascii="宋体" w:hAnsi="宋体" w:eastAsia="宋体" w:cs="宋体"/>
          <w:spacing w:val="13"/>
          <w:sz w:val="24"/>
          <w:szCs w:val="24"/>
        </w:rPr>
        <w:t xml:space="preserve">    </w:t>
      </w:r>
      <w:r>
        <w:rPr>
          <w:rFonts w:ascii="宋体" w:hAnsi="宋体" w:eastAsia="宋体" w:cs="宋体"/>
          <w:spacing w:val="-9"/>
          <w:sz w:val="24"/>
          <w:szCs w:val="24"/>
        </w:rPr>
        <w:t>日</w:t>
      </w:r>
    </w:p>
    <w:p w14:paraId="3363D157">
      <w:pPr>
        <w:spacing w:line="220" w:lineRule="auto"/>
        <w:rPr>
          <w:rFonts w:ascii="宋体" w:hAnsi="宋体" w:eastAsia="宋体" w:cs="宋体"/>
          <w:sz w:val="24"/>
          <w:szCs w:val="24"/>
        </w:rPr>
        <w:sectPr>
          <w:footerReference r:id="rId162" w:type="default"/>
          <w:pgSz w:w="11905" w:h="16839"/>
          <w:pgMar w:top="400" w:right="1785" w:bottom="1004" w:left="1785" w:header="0" w:footer="828" w:gutter="0"/>
          <w:pgNumType w:fmt="decimal"/>
          <w:cols w:space="720" w:num="1"/>
        </w:sectPr>
      </w:pPr>
    </w:p>
    <w:p w14:paraId="0858BC0E">
      <w:pPr>
        <w:pStyle w:val="3"/>
        <w:spacing w:line="267" w:lineRule="auto"/>
      </w:pPr>
    </w:p>
    <w:p w14:paraId="13CE0A4B">
      <w:pPr>
        <w:pStyle w:val="3"/>
        <w:spacing w:line="267" w:lineRule="auto"/>
      </w:pPr>
    </w:p>
    <w:p w14:paraId="5032EBA3">
      <w:pPr>
        <w:pStyle w:val="3"/>
        <w:spacing w:line="268" w:lineRule="auto"/>
      </w:pPr>
    </w:p>
    <w:p w14:paraId="2DA28CA4">
      <w:pPr>
        <w:pStyle w:val="3"/>
        <w:spacing w:line="268" w:lineRule="auto"/>
      </w:pPr>
    </w:p>
    <w:p w14:paraId="4F59CC52">
      <w:pPr>
        <w:spacing w:before="78" w:line="219" w:lineRule="auto"/>
        <w:ind w:left="13"/>
        <w:rPr>
          <w:rFonts w:ascii="黑体" w:hAnsi="黑体" w:eastAsia="黑体" w:cs="黑体"/>
          <w:sz w:val="24"/>
          <w:szCs w:val="24"/>
        </w:rPr>
      </w:pPr>
      <w:r>
        <w:rPr>
          <w:rFonts w:ascii="Times New Roman" w:hAnsi="Times New Roman" w:eastAsia="Times New Roman" w:cs="Times New Roman"/>
          <w:spacing w:val="-1"/>
          <w:sz w:val="24"/>
          <w:szCs w:val="24"/>
        </w:rPr>
        <w:t xml:space="preserve">4.2 </w:t>
      </w:r>
      <w:r>
        <w:rPr>
          <w:rFonts w:ascii="黑体" w:hAnsi="黑体" w:eastAsia="黑体" w:cs="黑体"/>
          <w:spacing w:val="-1"/>
          <w:sz w:val="24"/>
          <w:szCs w:val="24"/>
        </w:rPr>
        <w:t>招标工程量清单扉页</w:t>
      </w:r>
    </w:p>
    <w:p w14:paraId="6FC8AF19">
      <w:pPr>
        <w:pStyle w:val="3"/>
        <w:spacing w:line="270" w:lineRule="auto"/>
      </w:pPr>
    </w:p>
    <w:p w14:paraId="382AC0C4">
      <w:pPr>
        <w:pStyle w:val="3"/>
        <w:spacing w:line="270" w:lineRule="auto"/>
      </w:pPr>
    </w:p>
    <w:p w14:paraId="71E7DE45">
      <w:pPr>
        <w:pStyle w:val="3"/>
        <w:spacing w:line="270" w:lineRule="auto"/>
      </w:pPr>
    </w:p>
    <w:p w14:paraId="6F981AE4">
      <w:pPr>
        <w:tabs>
          <w:tab w:val="left" w:pos="6477"/>
        </w:tabs>
        <w:spacing w:before="68" w:line="221" w:lineRule="auto"/>
        <w:ind w:left="1858"/>
        <w:rPr>
          <w:rFonts w:ascii="宋体" w:hAnsi="宋体" w:eastAsia="宋体" w:cs="宋体"/>
          <w:sz w:val="21"/>
          <w:szCs w:val="21"/>
        </w:rPr>
      </w:pPr>
      <w:r>
        <w:rPr>
          <w:rFonts w:ascii="宋体" w:hAnsi="宋体" w:eastAsia="宋体" w:cs="宋体"/>
          <w:sz w:val="21"/>
          <w:szCs w:val="21"/>
          <w:u w:val="single" w:color="auto"/>
        </w:rPr>
        <w:tab/>
      </w:r>
      <w:r>
        <w:rPr>
          <w:rFonts w:ascii="宋体" w:hAnsi="宋体" w:eastAsia="宋体" w:cs="宋体"/>
          <w:spacing w:val="-93"/>
          <w:sz w:val="21"/>
          <w:szCs w:val="21"/>
        </w:rPr>
        <w:t xml:space="preserve"> </w:t>
      </w:r>
      <w:r>
        <w:rPr>
          <w:rFonts w:ascii="宋体" w:hAnsi="宋体" w:eastAsia="宋体" w:cs="宋体"/>
          <w:spacing w:val="-3"/>
          <w:sz w:val="21"/>
          <w:szCs w:val="21"/>
          <w14:textOutline w14:w="3831" w14:cap="flat" w14:cmpd="sng">
            <w14:solidFill>
              <w14:srgbClr w14:val="000000"/>
            </w14:solidFill>
            <w14:prstDash w14:val="solid"/>
            <w14:miter w14:val="0"/>
          </w14:textOutline>
        </w:rPr>
        <w:t>工程</w:t>
      </w:r>
    </w:p>
    <w:p w14:paraId="2892AC3C">
      <w:pPr>
        <w:pStyle w:val="3"/>
        <w:spacing w:line="341" w:lineRule="auto"/>
      </w:pPr>
    </w:p>
    <w:p w14:paraId="2748F9A5">
      <w:pPr>
        <w:pStyle w:val="3"/>
        <w:spacing w:line="341" w:lineRule="auto"/>
      </w:pPr>
    </w:p>
    <w:p w14:paraId="071E79FD">
      <w:pPr>
        <w:spacing w:before="104" w:line="220" w:lineRule="auto"/>
        <w:ind w:left="2898"/>
        <w:rPr>
          <w:rFonts w:ascii="黑体" w:hAnsi="黑体" w:eastAsia="黑体" w:cs="黑体"/>
          <w:sz w:val="32"/>
          <w:szCs w:val="32"/>
        </w:rPr>
      </w:pPr>
      <w:bookmarkStart w:id="1287" w:name="bookmark245"/>
      <w:bookmarkEnd w:id="1287"/>
      <w:r>
        <w:rPr>
          <w:rFonts w:ascii="黑体" w:hAnsi="黑体" w:eastAsia="黑体" w:cs="黑体"/>
          <w:spacing w:val="-8"/>
          <w:sz w:val="32"/>
          <w:szCs w:val="32"/>
        </w:rPr>
        <w:t>招 标</w:t>
      </w:r>
      <w:r>
        <w:rPr>
          <w:rFonts w:ascii="黑体" w:hAnsi="黑体" w:eastAsia="黑体" w:cs="黑体"/>
          <w:spacing w:val="19"/>
          <w:sz w:val="32"/>
          <w:szCs w:val="32"/>
        </w:rPr>
        <w:t xml:space="preserve"> </w:t>
      </w:r>
      <w:r>
        <w:rPr>
          <w:rFonts w:ascii="黑体" w:hAnsi="黑体" w:eastAsia="黑体" w:cs="黑体"/>
          <w:spacing w:val="-8"/>
          <w:sz w:val="32"/>
          <w:szCs w:val="32"/>
        </w:rPr>
        <w:t>工</w:t>
      </w:r>
      <w:r>
        <w:rPr>
          <w:rFonts w:ascii="黑体" w:hAnsi="黑体" w:eastAsia="黑体" w:cs="黑体"/>
          <w:spacing w:val="9"/>
          <w:sz w:val="32"/>
          <w:szCs w:val="32"/>
        </w:rPr>
        <w:t xml:space="preserve"> </w:t>
      </w:r>
      <w:r>
        <w:rPr>
          <w:rFonts w:ascii="黑体" w:hAnsi="黑体" w:eastAsia="黑体" w:cs="黑体"/>
          <w:spacing w:val="-8"/>
          <w:sz w:val="32"/>
          <w:szCs w:val="32"/>
        </w:rPr>
        <w:t>程</w:t>
      </w:r>
      <w:r>
        <w:rPr>
          <w:rFonts w:ascii="黑体" w:hAnsi="黑体" w:eastAsia="黑体" w:cs="黑体"/>
          <w:spacing w:val="15"/>
          <w:sz w:val="32"/>
          <w:szCs w:val="32"/>
        </w:rPr>
        <w:t xml:space="preserve"> </w:t>
      </w:r>
      <w:r>
        <w:rPr>
          <w:rFonts w:ascii="黑体" w:hAnsi="黑体" w:eastAsia="黑体" w:cs="黑体"/>
          <w:spacing w:val="-8"/>
          <w:sz w:val="32"/>
          <w:szCs w:val="32"/>
        </w:rPr>
        <w:t>量</w:t>
      </w:r>
      <w:r>
        <w:rPr>
          <w:rFonts w:ascii="黑体" w:hAnsi="黑体" w:eastAsia="黑体" w:cs="黑体"/>
          <w:spacing w:val="15"/>
          <w:sz w:val="32"/>
          <w:szCs w:val="32"/>
        </w:rPr>
        <w:t xml:space="preserve"> </w:t>
      </w:r>
      <w:r>
        <w:rPr>
          <w:rFonts w:ascii="黑体" w:hAnsi="黑体" w:eastAsia="黑体" w:cs="黑体"/>
          <w:spacing w:val="-8"/>
          <w:sz w:val="32"/>
          <w:szCs w:val="32"/>
        </w:rPr>
        <w:t>清</w:t>
      </w:r>
      <w:r>
        <w:rPr>
          <w:rFonts w:ascii="黑体" w:hAnsi="黑体" w:eastAsia="黑体" w:cs="黑体"/>
          <w:spacing w:val="20"/>
          <w:sz w:val="32"/>
          <w:szCs w:val="32"/>
        </w:rPr>
        <w:t xml:space="preserve"> </w:t>
      </w:r>
      <w:r>
        <w:rPr>
          <w:rFonts w:ascii="黑体" w:hAnsi="黑体" w:eastAsia="黑体" w:cs="黑体"/>
          <w:spacing w:val="-8"/>
          <w:sz w:val="32"/>
          <w:szCs w:val="32"/>
        </w:rPr>
        <w:t>单</w:t>
      </w:r>
    </w:p>
    <w:p w14:paraId="1D060503">
      <w:pPr>
        <w:pStyle w:val="3"/>
        <w:spacing w:line="266" w:lineRule="auto"/>
      </w:pPr>
    </w:p>
    <w:p w14:paraId="71A6C46B">
      <w:pPr>
        <w:pStyle w:val="3"/>
        <w:spacing w:line="266" w:lineRule="auto"/>
      </w:pPr>
    </w:p>
    <w:p w14:paraId="190D0666">
      <w:pPr>
        <w:pStyle w:val="3"/>
        <w:spacing w:line="266" w:lineRule="auto"/>
      </w:pPr>
    </w:p>
    <w:p w14:paraId="06F35C32">
      <w:pPr>
        <w:pStyle w:val="3"/>
        <w:spacing w:line="266" w:lineRule="auto"/>
      </w:pPr>
    </w:p>
    <w:p w14:paraId="6EF6D399">
      <w:pPr>
        <w:pStyle w:val="3"/>
        <w:spacing w:line="266" w:lineRule="auto"/>
      </w:pPr>
    </w:p>
    <w:p w14:paraId="4CDF9474">
      <w:pPr>
        <w:pStyle w:val="3"/>
        <w:spacing w:line="266" w:lineRule="auto"/>
      </w:pPr>
    </w:p>
    <w:p w14:paraId="27C8F250">
      <w:pPr>
        <w:pStyle w:val="3"/>
        <w:spacing w:line="266" w:lineRule="auto"/>
      </w:pPr>
    </w:p>
    <w:p w14:paraId="12DE8DA4">
      <w:pPr>
        <w:pStyle w:val="3"/>
        <w:spacing w:line="267" w:lineRule="auto"/>
      </w:pPr>
    </w:p>
    <w:p w14:paraId="6DC899B8">
      <w:pPr>
        <w:pStyle w:val="3"/>
        <w:spacing w:line="267" w:lineRule="auto"/>
      </w:pPr>
    </w:p>
    <w:p w14:paraId="62F1715B">
      <w:pPr>
        <w:spacing w:before="69" w:line="219" w:lineRule="auto"/>
        <w:ind w:left="19"/>
        <w:rPr>
          <w:rFonts w:ascii="宋体" w:hAnsi="宋体" w:eastAsia="宋体" w:cs="宋体"/>
          <w:sz w:val="21"/>
          <w:szCs w:val="21"/>
        </w:rPr>
      </w:pPr>
      <w:r>
        <w:rPr>
          <w:rFonts w:ascii="宋体" w:hAnsi="宋体" w:eastAsia="宋体" w:cs="宋体"/>
          <w:spacing w:val="-8"/>
          <w:sz w:val="21"/>
          <w:szCs w:val="21"/>
        </w:rPr>
        <w:t xml:space="preserve">招标人： </w:t>
      </w:r>
      <w:r>
        <w:rPr>
          <w:rFonts w:ascii="宋体" w:hAnsi="宋体" w:eastAsia="宋体" w:cs="宋体"/>
          <w:sz w:val="21"/>
          <w:szCs w:val="21"/>
          <w:u w:val="single" w:color="auto"/>
        </w:rPr>
        <w:t xml:space="preserve">                          </w:t>
      </w:r>
      <w:r>
        <w:rPr>
          <w:rFonts w:ascii="宋体" w:hAnsi="宋体" w:eastAsia="宋体" w:cs="宋体"/>
          <w:spacing w:val="1"/>
          <w:sz w:val="21"/>
          <w:szCs w:val="21"/>
        </w:rPr>
        <w:t xml:space="preserve">    </w:t>
      </w:r>
      <w:r>
        <w:rPr>
          <w:rFonts w:ascii="宋体" w:hAnsi="宋体" w:eastAsia="宋体" w:cs="宋体"/>
          <w:spacing w:val="-8"/>
          <w:sz w:val="21"/>
          <w:szCs w:val="21"/>
        </w:rPr>
        <w:t>造价咨询人：</w:t>
      </w:r>
      <w:r>
        <w:rPr>
          <w:rFonts w:ascii="宋体" w:hAnsi="宋体" w:eastAsia="宋体" w:cs="宋体"/>
          <w:spacing w:val="-8"/>
          <w:sz w:val="21"/>
          <w:szCs w:val="21"/>
          <w:u w:val="single" w:color="auto"/>
        </w:rPr>
        <w:t xml:space="preserve">        </w:t>
      </w:r>
      <w:r>
        <w:rPr>
          <w:rFonts w:ascii="宋体" w:hAnsi="宋体" w:eastAsia="宋体" w:cs="宋体"/>
          <w:spacing w:val="-9"/>
          <w:sz w:val="21"/>
          <w:szCs w:val="21"/>
          <w:u w:val="single" w:color="auto"/>
        </w:rPr>
        <w:t xml:space="preserve">                    </w:t>
      </w:r>
    </w:p>
    <w:p w14:paraId="502EB771">
      <w:pPr>
        <w:spacing w:before="9" w:line="220" w:lineRule="auto"/>
        <w:ind w:left="1604"/>
        <w:rPr>
          <w:rFonts w:ascii="宋体" w:hAnsi="宋体" w:eastAsia="宋体" w:cs="宋体"/>
          <w:sz w:val="21"/>
          <w:szCs w:val="21"/>
        </w:rPr>
      </w:pPr>
      <w:r>
        <w:rPr>
          <w:rFonts w:ascii="宋体" w:hAnsi="宋体" w:eastAsia="宋体" w:cs="宋体"/>
          <w:spacing w:val="1"/>
          <w:sz w:val="21"/>
          <w:szCs w:val="21"/>
        </w:rPr>
        <w:t>（单位盖章</w:t>
      </w:r>
      <w:r>
        <w:rPr>
          <w:rFonts w:ascii="宋体" w:hAnsi="宋体" w:eastAsia="宋体" w:cs="宋体"/>
          <w:spacing w:val="-12"/>
          <w:sz w:val="21"/>
          <w:szCs w:val="21"/>
        </w:rPr>
        <w:t>）</w:t>
      </w:r>
      <w:r>
        <w:rPr>
          <w:rFonts w:ascii="宋体" w:hAnsi="宋体" w:eastAsia="宋体" w:cs="宋体"/>
          <w:spacing w:val="3"/>
          <w:sz w:val="21"/>
          <w:szCs w:val="21"/>
        </w:rPr>
        <w:t xml:space="preserve">                            </w:t>
      </w:r>
      <w:r>
        <w:rPr>
          <w:rFonts w:ascii="宋体" w:hAnsi="宋体" w:eastAsia="宋体" w:cs="宋体"/>
          <w:spacing w:val="-12"/>
          <w:sz w:val="21"/>
          <w:szCs w:val="21"/>
        </w:rPr>
        <w:t>（</w:t>
      </w:r>
      <w:r>
        <w:rPr>
          <w:rFonts w:ascii="宋体" w:hAnsi="宋体" w:eastAsia="宋体" w:cs="宋体"/>
          <w:spacing w:val="1"/>
          <w:sz w:val="21"/>
          <w:szCs w:val="21"/>
        </w:rPr>
        <w:t>单位盖章）</w:t>
      </w:r>
    </w:p>
    <w:p w14:paraId="325B4861">
      <w:pPr>
        <w:pStyle w:val="3"/>
        <w:spacing w:line="247" w:lineRule="auto"/>
      </w:pPr>
    </w:p>
    <w:p w14:paraId="651113A0">
      <w:pPr>
        <w:pStyle w:val="3"/>
        <w:spacing w:line="247" w:lineRule="auto"/>
      </w:pPr>
    </w:p>
    <w:p w14:paraId="0631822F">
      <w:pPr>
        <w:pStyle w:val="3"/>
        <w:spacing w:line="248" w:lineRule="auto"/>
      </w:pPr>
    </w:p>
    <w:p w14:paraId="1D066DB1">
      <w:pPr>
        <w:pStyle w:val="3"/>
        <w:spacing w:line="248" w:lineRule="auto"/>
      </w:pPr>
    </w:p>
    <w:p w14:paraId="67C30F42">
      <w:pPr>
        <w:pStyle w:val="3"/>
        <w:spacing w:line="248" w:lineRule="auto"/>
      </w:pPr>
    </w:p>
    <w:p w14:paraId="09F3BD1E">
      <w:pPr>
        <w:pStyle w:val="3"/>
        <w:spacing w:line="248" w:lineRule="auto"/>
      </w:pPr>
    </w:p>
    <w:p w14:paraId="43796D5A">
      <w:pPr>
        <w:spacing w:before="69" w:line="221" w:lineRule="auto"/>
        <w:ind w:left="19"/>
        <w:rPr>
          <w:rFonts w:ascii="宋体" w:hAnsi="宋体" w:eastAsia="宋体" w:cs="宋体"/>
          <w:sz w:val="21"/>
          <w:szCs w:val="21"/>
        </w:rPr>
      </w:pPr>
      <w:r>
        <w:rPr>
          <w:rFonts w:ascii="宋体" w:hAnsi="宋体" w:eastAsia="宋体" w:cs="宋体"/>
          <w:sz w:val="21"/>
          <w:szCs w:val="21"/>
        </w:rPr>
        <w:t xml:space="preserve">法定代表人                            </w:t>
      </w:r>
      <w:r>
        <w:rPr>
          <w:rFonts w:ascii="宋体" w:hAnsi="宋体" w:eastAsia="宋体" w:cs="宋体"/>
          <w:spacing w:val="-1"/>
          <w:sz w:val="21"/>
          <w:szCs w:val="21"/>
        </w:rPr>
        <w:t>法定代表人</w:t>
      </w:r>
    </w:p>
    <w:p w14:paraId="52D76428">
      <w:pPr>
        <w:spacing w:before="157" w:line="221" w:lineRule="auto"/>
        <w:ind w:left="20"/>
        <w:rPr>
          <w:rFonts w:ascii="宋体" w:hAnsi="宋体" w:eastAsia="宋体" w:cs="宋体"/>
          <w:sz w:val="21"/>
          <w:szCs w:val="21"/>
        </w:rPr>
      </w:pPr>
      <w:r>
        <w:rPr>
          <w:rFonts w:ascii="宋体" w:hAnsi="宋体" w:eastAsia="宋体" w:cs="宋体"/>
          <w:spacing w:val="-6"/>
          <w:sz w:val="21"/>
          <w:szCs w:val="21"/>
        </w:rPr>
        <w:t>或其授权人：</w:t>
      </w:r>
      <w:r>
        <w:rPr>
          <w:rFonts w:ascii="宋体" w:hAnsi="宋体" w:eastAsia="宋体" w:cs="宋体"/>
          <w:sz w:val="21"/>
          <w:szCs w:val="21"/>
          <w:u w:val="single" w:color="auto"/>
        </w:rPr>
        <w:t xml:space="preserve">                      </w:t>
      </w:r>
      <w:r>
        <w:rPr>
          <w:rFonts w:ascii="宋体" w:hAnsi="宋体" w:eastAsia="宋体" w:cs="宋体"/>
          <w:spacing w:val="-6"/>
          <w:sz w:val="21"/>
          <w:szCs w:val="21"/>
        </w:rPr>
        <w:t xml:space="preserve">    或其授权人：</w:t>
      </w:r>
      <w:r>
        <w:rPr>
          <w:rFonts w:ascii="宋体" w:hAnsi="宋体" w:eastAsia="宋体" w:cs="宋体"/>
          <w:spacing w:val="-18"/>
          <w:sz w:val="21"/>
          <w:szCs w:val="21"/>
        </w:rPr>
        <w:t xml:space="preserve"> </w:t>
      </w:r>
      <w:r>
        <w:rPr>
          <w:rFonts w:ascii="宋体" w:hAnsi="宋体" w:eastAsia="宋体" w:cs="宋体"/>
          <w:sz w:val="21"/>
          <w:szCs w:val="21"/>
          <w:u w:val="single" w:color="auto"/>
        </w:rPr>
        <w:t xml:space="preserve">                          </w:t>
      </w:r>
    </w:p>
    <w:p w14:paraId="0DF6C4C2">
      <w:pPr>
        <w:spacing w:before="157" w:line="220" w:lineRule="auto"/>
        <w:ind w:left="1604"/>
        <w:rPr>
          <w:rFonts w:ascii="宋体" w:hAnsi="宋体" w:eastAsia="宋体" w:cs="宋体"/>
          <w:sz w:val="21"/>
          <w:szCs w:val="21"/>
        </w:rPr>
      </w:pPr>
      <w:r>
        <w:rPr>
          <w:rFonts w:ascii="宋体" w:hAnsi="宋体" w:eastAsia="宋体" w:cs="宋体"/>
          <w:spacing w:val="1"/>
          <w:sz w:val="21"/>
          <w:szCs w:val="21"/>
        </w:rPr>
        <w:t>（签字或盖章</w:t>
      </w:r>
      <w:r>
        <w:rPr>
          <w:rFonts w:ascii="宋体" w:hAnsi="宋体" w:eastAsia="宋体" w:cs="宋体"/>
          <w:spacing w:val="-12"/>
          <w:sz w:val="21"/>
          <w:szCs w:val="21"/>
        </w:rPr>
        <w:t>）</w:t>
      </w:r>
      <w:r>
        <w:rPr>
          <w:rFonts w:ascii="宋体" w:hAnsi="宋体" w:eastAsia="宋体" w:cs="宋体"/>
          <w:spacing w:val="4"/>
          <w:sz w:val="21"/>
          <w:szCs w:val="21"/>
        </w:rPr>
        <w:t xml:space="preserve">                   </w:t>
      </w:r>
      <w:r>
        <w:rPr>
          <w:rFonts w:ascii="宋体" w:hAnsi="宋体" w:eastAsia="宋体" w:cs="宋体"/>
          <w:spacing w:val="3"/>
          <w:sz w:val="21"/>
          <w:szCs w:val="21"/>
        </w:rPr>
        <w:t xml:space="preserve">        </w:t>
      </w:r>
      <w:r>
        <w:rPr>
          <w:rFonts w:ascii="宋体" w:hAnsi="宋体" w:eastAsia="宋体" w:cs="宋体"/>
          <w:spacing w:val="-12"/>
          <w:sz w:val="21"/>
          <w:szCs w:val="21"/>
        </w:rPr>
        <w:t>（</w:t>
      </w:r>
      <w:r>
        <w:rPr>
          <w:rFonts w:ascii="宋体" w:hAnsi="宋体" w:eastAsia="宋体" w:cs="宋体"/>
          <w:spacing w:val="1"/>
          <w:sz w:val="21"/>
          <w:szCs w:val="21"/>
        </w:rPr>
        <w:t>签字或盖章）</w:t>
      </w:r>
    </w:p>
    <w:p w14:paraId="647F20CB">
      <w:pPr>
        <w:pStyle w:val="3"/>
        <w:spacing w:line="266" w:lineRule="auto"/>
      </w:pPr>
    </w:p>
    <w:p w14:paraId="455D430B">
      <w:pPr>
        <w:pStyle w:val="3"/>
        <w:spacing w:line="266" w:lineRule="auto"/>
      </w:pPr>
    </w:p>
    <w:p w14:paraId="1E012557">
      <w:pPr>
        <w:pStyle w:val="3"/>
        <w:spacing w:line="266" w:lineRule="auto"/>
      </w:pPr>
    </w:p>
    <w:p w14:paraId="7038783E">
      <w:pPr>
        <w:pStyle w:val="3"/>
        <w:spacing w:line="266" w:lineRule="auto"/>
      </w:pPr>
    </w:p>
    <w:p w14:paraId="55EB2164">
      <w:pPr>
        <w:pStyle w:val="3"/>
        <w:spacing w:line="266" w:lineRule="auto"/>
      </w:pPr>
    </w:p>
    <w:p w14:paraId="0DE9A2AC">
      <w:pPr>
        <w:pStyle w:val="3"/>
        <w:spacing w:line="267" w:lineRule="auto"/>
      </w:pPr>
    </w:p>
    <w:p w14:paraId="0B7F9865">
      <w:pPr>
        <w:spacing w:before="69" w:line="220" w:lineRule="auto"/>
        <w:ind w:left="20"/>
        <w:rPr>
          <w:rFonts w:ascii="宋体" w:hAnsi="宋体" w:eastAsia="宋体" w:cs="宋体"/>
          <w:sz w:val="21"/>
          <w:szCs w:val="21"/>
        </w:rPr>
      </w:pPr>
      <w:r>
        <w:rPr>
          <w:rFonts w:ascii="宋体" w:hAnsi="宋体" w:eastAsia="宋体" w:cs="宋体"/>
          <w:spacing w:val="-27"/>
          <w:sz w:val="21"/>
          <w:szCs w:val="21"/>
        </w:rPr>
        <w:t>编制人：</w:t>
      </w:r>
      <w:r>
        <w:rPr>
          <w:rFonts w:ascii="宋体" w:hAnsi="宋体" w:eastAsia="宋体" w:cs="宋体"/>
          <w:spacing w:val="15"/>
          <w:sz w:val="21"/>
          <w:szCs w:val="21"/>
        </w:rPr>
        <w:t xml:space="preserve"> </w:t>
      </w:r>
      <w:r>
        <w:rPr>
          <w:rFonts w:ascii="宋体" w:hAnsi="宋体" w:eastAsia="宋体" w:cs="宋体"/>
          <w:sz w:val="21"/>
          <w:szCs w:val="21"/>
          <w:u w:val="single" w:color="auto"/>
        </w:rPr>
        <w:t xml:space="preserve">                          </w:t>
      </w:r>
      <w:r>
        <w:rPr>
          <w:rFonts w:ascii="宋体" w:hAnsi="宋体" w:eastAsia="宋体" w:cs="宋体"/>
          <w:spacing w:val="3"/>
          <w:sz w:val="21"/>
          <w:szCs w:val="21"/>
        </w:rPr>
        <w:t xml:space="preserve">    </w:t>
      </w:r>
      <w:r>
        <w:rPr>
          <w:rFonts w:ascii="宋体" w:hAnsi="宋体" w:eastAsia="宋体" w:cs="宋体"/>
          <w:spacing w:val="-27"/>
          <w:sz w:val="21"/>
          <w:szCs w:val="21"/>
        </w:rPr>
        <w:t>复核人：</w:t>
      </w:r>
      <w:r>
        <w:rPr>
          <w:rFonts w:ascii="宋体" w:hAnsi="宋体" w:eastAsia="宋体" w:cs="宋体"/>
          <w:spacing w:val="-32"/>
          <w:sz w:val="21"/>
          <w:szCs w:val="21"/>
        </w:rPr>
        <w:t xml:space="preserve"> </w:t>
      </w:r>
      <w:r>
        <w:rPr>
          <w:rFonts w:ascii="宋体" w:hAnsi="宋体" w:eastAsia="宋体" w:cs="宋体"/>
          <w:sz w:val="21"/>
          <w:szCs w:val="21"/>
          <w:u w:val="single" w:color="auto"/>
        </w:rPr>
        <w:t xml:space="preserve">                               </w:t>
      </w:r>
    </w:p>
    <w:p w14:paraId="7DD0809B">
      <w:pPr>
        <w:spacing w:before="9" w:line="219" w:lineRule="auto"/>
        <w:ind w:left="1076"/>
        <w:rPr>
          <w:rFonts w:ascii="宋体" w:hAnsi="宋体" w:eastAsia="宋体" w:cs="宋体"/>
          <w:sz w:val="21"/>
          <w:szCs w:val="21"/>
        </w:rPr>
      </w:pPr>
      <w:r>
        <w:rPr>
          <w:rFonts w:ascii="宋体" w:hAnsi="宋体" w:eastAsia="宋体" w:cs="宋体"/>
          <w:sz w:val="21"/>
          <w:szCs w:val="21"/>
        </w:rPr>
        <w:t>（造价人员签字盖章</w:t>
      </w:r>
      <w:r>
        <w:rPr>
          <w:rFonts w:ascii="宋体" w:hAnsi="宋体" w:eastAsia="宋体" w:cs="宋体"/>
          <w:spacing w:val="-9"/>
          <w:sz w:val="21"/>
          <w:szCs w:val="21"/>
        </w:rPr>
        <w:t>）</w:t>
      </w:r>
      <w:r>
        <w:rPr>
          <w:rFonts w:ascii="宋体" w:hAnsi="宋体" w:eastAsia="宋体" w:cs="宋体"/>
          <w:sz w:val="21"/>
          <w:szCs w:val="21"/>
        </w:rPr>
        <w:t xml:space="preserve">                   </w:t>
      </w:r>
      <w:r>
        <w:rPr>
          <w:rFonts w:ascii="宋体" w:hAnsi="宋体" w:eastAsia="宋体" w:cs="宋体"/>
          <w:spacing w:val="-9"/>
          <w:sz w:val="21"/>
          <w:szCs w:val="21"/>
        </w:rPr>
        <w:t>（</w:t>
      </w:r>
      <w:r>
        <w:rPr>
          <w:rFonts w:ascii="宋体" w:hAnsi="宋体" w:eastAsia="宋体" w:cs="宋体"/>
          <w:sz w:val="21"/>
          <w:szCs w:val="21"/>
        </w:rPr>
        <w:t>造价人员签字盖章）</w:t>
      </w:r>
    </w:p>
    <w:p w14:paraId="202B40B6">
      <w:pPr>
        <w:pStyle w:val="3"/>
        <w:spacing w:line="269" w:lineRule="auto"/>
      </w:pPr>
    </w:p>
    <w:p w14:paraId="0CE5E20B">
      <w:pPr>
        <w:pStyle w:val="3"/>
        <w:spacing w:line="270" w:lineRule="auto"/>
      </w:pPr>
    </w:p>
    <w:p w14:paraId="0AAAE74D">
      <w:pPr>
        <w:pStyle w:val="3"/>
        <w:spacing w:line="270" w:lineRule="auto"/>
      </w:pPr>
    </w:p>
    <w:p w14:paraId="5044C351">
      <w:pPr>
        <w:pStyle w:val="3"/>
        <w:spacing w:line="270" w:lineRule="auto"/>
      </w:pPr>
    </w:p>
    <w:p w14:paraId="7EEC0740">
      <w:pPr>
        <w:pStyle w:val="3"/>
        <w:spacing w:line="270" w:lineRule="auto"/>
      </w:pPr>
    </w:p>
    <w:p w14:paraId="422403D7">
      <w:pPr>
        <w:spacing w:before="69" w:line="221" w:lineRule="auto"/>
        <w:ind w:left="20"/>
        <w:rPr>
          <w:rFonts w:ascii="宋体" w:hAnsi="宋体" w:eastAsia="宋体" w:cs="宋体"/>
          <w:sz w:val="21"/>
          <w:szCs w:val="21"/>
        </w:rPr>
      </w:pPr>
      <w:r>
        <w:rPr>
          <w:rFonts w:ascii="宋体" w:hAnsi="宋体" w:eastAsia="宋体" w:cs="宋体"/>
          <w:spacing w:val="-14"/>
          <w:sz w:val="21"/>
          <w:szCs w:val="21"/>
        </w:rPr>
        <w:t>编制时间：</w:t>
      </w:r>
      <w:r>
        <w:rPr>
          <w:rFonts w:ascii="宋体" w:hAnsi="宋体" w:eastAsia="宋体" w:cs="宋体"/>
          <w:spacing w:val="6"/>
          <w:sz w:val="21"/>
          <w:szCs w:val="21"/>
        </w:rPr>
        <w:t xml:space="preserve">     </w:t>
      </w:r>
      <w:r>
        <w:rPr>
          <w:rFonts w:ascii="宋体" w:hAnsi="宋体" w:eastAsia="宋体" w:cs="宋体"/>
          <w:spacing w:val="-14"/>
          <w:sz w:val="21"/>
          <w:szCs w:val="21"/>
        </w:rPr>
        <w:t>年</w:t>
      </w:r>
      <w:r>
        <w:rPr>
          <w:rFonts w:ascii="宋体" w:hAnsi="宋体" w:eastAsia="宋体" w:cs="宋体"/>
          <w:spacing w:val="3"/>
          <w:sz w:val="21"/>
          <w:szCs w:val="21"/>
        </w:rPr>
        <w:t xml:space="preserve">    </w:t>
      </w:r>
      <w:r>
        <w:rPr>
          <w:rFonts w:ascii="宋体" w:hAnsi="宋体" w:eastAsia="宋体" w:cs="宋体"/>
          <w:spacing w:val="-14"/>
          <w:sz w:val="21"/>
          <w:szCs w:val="21"/>
        </w:rPr>
        <w:t>月</w:t>
      </w:r>
      <w:r>
        <w:rPr>
          <w:rFonts w:ascii="宋体" w:hAnsi="宋体" w:eastAsia="宋体" w:cs="宋体"/>
          <w:spacing w:val="10"/>
          <w:sz w:val="21"/>
          <w:szCs w:val="21"/>
        </w:rPr>
        <w:t xml:space="preserve">    </w:t>
      </w:r>
      <w:r>
        <w:rPr>
          <w:rFonts w:ascii="宋体" w:hAnsi="宋体" w:eastAsia="宋体" w:cs="宋体"/>
          <w:spacing w:val="-14"/>
          <w:sz w:val="21"/>
          <w:szCs w:val="21"/>
        </w:rPr>
        <w:t>日            复核时间：</w:t>
      </w:r>
      <w:r>
        <w:rPr>
          <w:rFonts w:ascii="宋体" w:hAnsi="宋体" w:eastAsia="宋体" w:cs="宋体"/>
          <w:spacing w:val="22"/>
          <w:sz w:val="21"/>
          <w:szCs w:val="21"/>
        </w:rPr>
        <w:t xml:space="preserve">    </w:t>
      </w:r>
      <w:r>
        <w:rPr>
          <w:rFonts w:ascii="宋体" w:hAnsi="宋体" w:eastAsia="宋体" w:cs="宋体"/>
          <w:spacing w:val="-14"/>
          <w:sz w:val="21"/>
          <w:szCs w:val="21"/>
        </w:rPr>
        <w:t>年</w:t>
      </w:r>
      <w:r>
        <w:rPr>
          <w:rFonts w:ascii="宋体" w:hAnsi="宋体" w:eastAsia="宋体" w:cs="宋体"/>
          <w:spacing w:val="3"/>
          <w:sz w:val="21"/>
          <w:szCs w:val="21"/>
        </w:rPr>
        <w:t xml:space="preserve">    </w:t>
      </w:r>
      <w:r>
        <w:rPr>
          <w:rFonts w:ascii="宋体" w:hAnsi="宋体" w:eastAsia="宋体" w:cs="宋体"/>
          <w:spacing w:val="-14"/>
          <w:sz w:val="21"/>
          <w:szCs w:val="21"/>
        </w:rPr>
        <w:t>月     日</w:t>
      </w:r>
    </w:p>
    <w:p w14:paraId="3BB9C796">
      <w:pPr>
        <w:spacing w:line="221" w:lineRule="auto"/>
        <w:rPr>
          <w:rFonts w:ascii="宋体" w:hAnsi="宋体" w:eastAsia="宋体" w:cs="宋体"/>
          <w:sz w:val="21"/>
          <w:szCs w:val="21"/>
        </w:rPr>
        <w:sectPr>
          <w:footerReference r:id="rId163" w:type="default"/>
          <w:pgSz w:w="11905" w:h="16839"/>
          <w:pgMar w:top="400" w:right="1785" w:bottom="1004" w:left="1785" w:header="0" w:footer="828" w:gutter="0"/>
          <w:pgNumType w:fmt="decimal"/>
          <w:cols w:space="720" w:num="1"/>
        </w:sectPr>
      </w:pPr>
    </w:p>
    <w:p w14:paraId="04A90061">
      <w:pPr>
        <w:pStyle w:val="3"/>
        <w:spacing w:line="267" w:lineRule="auto"/>
      </w:pPr>
    </w:p>
    <w:p w14:paraId="11BF191A">
      <w:pPr>
        <w:pStyle w:val="3"/>
        <w:spacing w:line="267" w:lineRule="auto"/>
      </w:pPr>
    </w:p>
    <w:p w14:paraId="4CDE2140">
      <w:pPr>
        <w:pStyle w:val="3"/>
        <w:spacing w:line="268" w:lineRule="auto"/>
      </w:pPr>
    </w:p>
    <w:p w14:paraId="333B5013">
      <w:pPr>
        <w:pStyle w:val="3"/>
        <w:spacing w:line="268" w:lineRule="auto"/>
      </w:pPr>
    </w:p>
    <w:p w14:paraId="672F5BAE">
      <w:pPr>
        <w:spacing w:before="78" w:line="219" w:lineRule="auto"/>
        <w:ind w:left="13"/>
        <w:rPr>
          <w:rFonts w:ascii="黑体" w:hAnsi="黑体" w:eastAsia="黑体" w:cs="黑体"/>
          <w:sz w:val="24"/>
          <w:szCs w:val="24"/>
        </w:rPr>
      </w:pPr>
      <w:r>
        <w:rPr>
          <w:rFonts w:ascii="Times New Roman" w:hAnsi="Times New Roman" w:eastAsia="Times New Roman" w:cs="Times New Roman"/>
          <w:spacing w:val="-2"/>
          <w:sz w:val="24"/>
          <w:szCs w:val="24"/>
        </w:rPr>
        <w:t xml:space="preserve">4.3 </w:t>
      </w:r>
      <w:r>
        <w:rPr>
          <w:rFonts w:ascii="黑体" w:hAnsi="黑体" w:eastAsia="黑体" w:cs="黑体"/>
          <w:spacing w:val="-2"/>
          <w:sz w:val="24"/>
          <w:szCs w:val="24"/>
        </w:rPr>
        <w:t>投标总价封面</w:t>
      </w:r>
    </w:p>
    <w:p w14:paraId="3C00CE3C">
      <w:pPr>
        <w:pStyle w:val="3"/>
        <w:spacing w:line="247" w:lineRule="auto"/>
      </w:pPr>
    </w:p>
    <w:p w14:paraId="6D9D37DB">
      <w:pPr>
        <w:pStyle w:val="3"/>
        <w:spacing w:line="247" w:lineRule="auto"/>
      </w:pPr>
    </w:p>
    <w:p w14:paraId="6D585C9F">
      <w:pPr>
        <w:pStyle w:val="3"/>
        <w:spacing w:line="247" w:lineRule="auto"/>
      </w:pPr>
    </w:p>
    <w:p w14:paraId="71A15C98">
      <w:pPr>
        <w:pStyle w:val="3"/>
        <w:spacing w:line="247" w:lineRule="auto"/>
      </w:pPr>
    </w:p>
    <w:p w14:paraId="796F992C">
      <w:pPr>
        <w:pStyle w:val="3"/>
        <w:spacing w:line="247" w:lineRule="auto"/>
      </w:pPr>
    </w:p>
    <w:p w14:paraId="52804808">
      <w:pPr>
        <w:pStyle w:val="3"/>
        <w:spacing w:line="247" w:lineRule="auto"/>
      </w:pPr>
    </w:p>
    <w:p w14:paraId="4B651D6C">
      <w:pPr>
        <w:pStyle w:val="3"/>
        <w:spacing w:line="247" w:lineRule="auto"/>
      </w:pPr>
    </w:p>
    <w:p w14:paraId="320F4DF2">
      <w:pPr>
        <w:pStyle w:val="3"/>
        <w:spacing w:line="247" w:lineRule="auto"/>
      </w:pPr>
    </w:p>
    <w:p w14:paraId="45E494CA">
      <w:pPr>
        <w:pStyle w:val="3"/>
        <w:spacing w:line="247" w:lineRule="auto"/>
      </w:pPr>
    </w:p>
    <w:p w14:paraId="7F1AB9ED">
      <w:pPr>
        <w:pStyle w:val="3"/>
        <w:spacing w:line="248" w:lineRule="auto"/>
      </w:pPr>
    </w:p>
    <w:p w14:paraId="433EBA2C">
      <w:pPr>
        <w:pStyle w:val="3"/>
        <w:spacing w:line="248" w:lineRule="auto"/>
      </w:pPr>
    </w:p>
    <w:p w14:paraId="591CABDE">
      <w:pPr>
        <w:spacing w:before="117" w:line="219" w:lineRule="auto"/>
        <w:ind w:left="3795"/>
        <w:rPr>
          <w:rFonts w:ascii="黑体" w:hAnsi="黑体" w:eastAsia="黑体" w:cs="黑体"/>
          <w:sz w:val="36"/>
          <w:szCs w:val="36"/>
        </w:rPr>
      </w:pPr>
      <w:bookmarkStart w:id="1288" w:name="bookmark246"/>
      <w:bookmarkEnd w:id="1288"/>
      <w:r>
        <w:rPr>
          <w:rFonts w:ascii="黑体" w:hAnsi="黑体" w:eastAsia="黑体" w:cs="黑体"/>
          <w:spacing w:val="11"/>
          <w:sz w:val="36"/>
          <w:szCs w:val="36"/>
        </w:rPr>
        <w:t>投标总价</w:t>
      </w:r>
    </w:p>
    <w:p w14:paraId="6758FB37">
      <w:pPr>
        <w:pStyle w:val="3"/>
        <w:spacing w:line="245" w:lineRule="auto"/>
      </w:pPr>
    </w:p>
    <w:p w14:paraId="0B7FC5F3">
      <w:pPr>
        <w:pStyle w:val="3"/>
        <w:spacing w:line="245" w:lineRule="auto"/>
      </w:pPr>
    </w:p>
    <w:p w14:paraId="1D5646F9">
      <w:pPr>
        <w:pStyle w:val="3"/>
        <w:spacing w:line="245" w:lineRule="auto"/>
      </w:pPr>
    </w:p>
    <w:p w14:paraId="48BD5E8D">
      <w:pPr>
        <w:pStyle w:val="3"/>
        <w:spacing w:line="245" w:lineRule="auto"/>
      </w:pPr>
    </w:p>
    <w:p w14:paraId="1B1B6284">
      <w:pPr>
        <w:pStyle w:val="3"/>
        <w:spacing w:line="245" w:lineRule="auto"/>
      </w:pPr>
    </w:p>
    <w:p w14:paraId="0688A1DC">
      <w:pPr>
        <w:pStyle w:val="3"/>
        <w:spacing w:line="245" w:lineRule="auto"/>
      </w:pPr>
    </w:p>
    <w:p w14:paraId="45024DE2">
      <w:pPr>
        <w:pStyle w:val="3"/>
        <w:spacing w:line="245" w:lineRule="auto"/>
      </w:pPr>
    </w:p>
    <w:p w14:paraId="76A94556">
      <w:pPr>
        <w:pStyle w:val="3"/>
        <w:spacing w:line="245" w:lineRule="auto"/>
      </w:pPr>
    </w:p>
    <w:p w14:paraId="4F8869B4">
      <w:pPr>
        <w:pStyle w:val="3"/>
        <w:spacing w:line="245" w:lineRule="auto"/>
      </w:pPr>
    </w:p>
    <w:p w14:paraId="77811085">
      <w:pPr>
        <w:pStyle w:val="3"/>
        <w:spacing w:line="245" w:lineRule="auto"/>
      </w:pPr>
    </w:p>
    <w:p w14:paraId="0F1374E4">
      <w:pPr>
        <w:pStyle w:val="3"/>
        <w:spacing w:line="245" w:lineRule="auto"/>
      </w:pPr>
    </w:p>
    <w:p w14:paraId="3519B318">
      <w:pPr>
        <w:pStyle w:val="3"/>
        <w:spacing w:line="245" w:lineRule="auto"/>
      </w:pPr>
    </w:p>
    <w:p w14:paraId="58432A3D">
      <w:pPr>
        <w:pStyle w:val="3"/>
        <w:spacing w:line="245" w:lineRule="auto"/>
      </w:pPr>
    </w:p>
    <w:p w14:paraId="1F3148DA">
      <w:pPr>
        <w:pStyle w:val="3"/>
        <w:spacing w:line="245" w:lineRule="auto"/>
      </w:pPr>
    </w:p>
    <w:p w14:paraId="5E2D5183">
      <w:pPr>
        <w:pStyle w:val="3"/>
        <w:spacing w:line="245" w:lineRule="auto"/>
      </w:pPr>
    </w:p>
    <w:p w14:paraId="1B6C90BA">
      <w:pPr>
        <w:pStyle w:val="3"/>
        <w:spacing w:line="245" w:lineRule="auto"/>
      </w:pPr>
    </w:p>
    <w:p w14:paraId="31BDBE2B">
      <w:pPr>
        <w:pStyle w:val="3"/>
        <w:spacing w:line="245" w:lineRule="auto"/>
      </w:pPr>
    </w:p>
    <w:p w14:paraId="50641FB3">
      <w:pPr>
        <w:pStyle w:val="3"/>
        <w:spacing w:line="245" w:lineRule="auto"/>
      </w:pPr>
    </w:p>
    <w:p w14:paraId="706BE693">
      <w:pPr>
        <w:pStyle w:val="3"/>
        <w:spacing w:line="245" w:lineRule="auto"/>
      </w:pPr>
    </w:p>
    <w:p w14:paraId="2341F81B">
      <w:pPr>
        <w:pStyle w:val="3"/>
        <w:spacing w:line="246" w:lineRule="auto"/>
      </w:pPr>
    </w:p>
    <w:p w14:paraId="7F865818">
      <w:pPr>
        <w:pStyle w:val="3"/>
        <w:spacing w:line="246" w:lineRule="auto"/>
      </w:pPr>
    </w:p>
    <w:p w14:paraId="723F4C14">
      <w:pPr>
        <w:pStyle w:val="3"/>
        <w:spacing w:line="246" w:lineRule="auto"/>
      </w:pPr>
    </w:p>
    <w:p w14:paraId="41CEC2CB">
      <w:pPr>
        <w:pStyle w:val="3"/>
        <w:spacing w:line="246" w:lineRule="auto"/>
      </w:pPr>
    </w:p>
    <w:p w14:paraId="6384B572">
      <w:pPr>
        <w:pStyle w:val="3"/>
        <w:spacing w:line="246" w:lineRule="auto"/>
      </w:pPr>
    </w:p>
    <w:p w14:paraId="4750C385">
      <w:pPr>
        <w:pStyle w:val="3"/>
        <w:spacing w:line="246" w:lineRule="auto"/>
      </w:pPr>
    </w:p>
    <w:p w14:paraId="61CF6FD9">
      <w:pPr>
        <w:pStyle w:val="3"/>
        <w:spacing w:line="246" w:lineRule="auto"/>
      </w:pPr>
    </w:p>
    <w:p w14:paraId="397997A3">
      <w:pPr>
        <w:spacing w:before="78" w:line="233" w:lineRule="auto"/>
        <w:ind w:left="4467" w:right="1359" w:hanging="2404"/>
        <w:rPr>
          <w:rFonts w:ascii="宋体" w:hAnsi="宋体" w:eastAsia="宋体" w:cs="宋体"/>
          <w:sz w:val="24"/>
          <w:szCs w:val="24"/>
        </w:rPr>
      </w:pPr>
      <w:r>
        <w:rPr>
          <w:rFonts w:ascii="宋体" w:hAnsi="宋体" w:eastAsia="宋体" w:cs="宋体"/>
          <w:spacing w:val="-29"/>
          <w:sz w:val="24"/>
          <w:szCs w:val="24"/>
        </w:rPr>
        <w:t>投</w:t>
      </w:r>
      <w:r>
        <w:rPr>
          <w:rFonts w:ascii="宋体" w:hAnsi="宋体" w:eastAsia="宋体" w:cs="宋体"/>
          <w:spacing w:val="10"/>
          <w:sz w:val="24"/>
          <w:szCs w:val="24"/>
        </w:rPr>
        <w:t xml:space="preserve"> </w:t>
      </w:r>
      <w:r>
        <w:rPr>
          <w:rFonts w:ascii="宋体" w:hAnsi="宋体" w:eastAsia="宋体" w:cs="宋体"/>
          <w:spacing w:val="-29"/>
          <w:sz w:val="24"/>
          <w:szCs w:val="24"/>
        </w:rPr>
        <w:t>标</w:t>
      </w:r>
      <w:r>
        <w:rPr>
          <w:rFonts w:ascii="宋体" w:hAnsi="宋体" w:eastAsia="宋体" w:cs="宋体"/>
          <w:spacing w:val="11"/>
          <w:sz w:val="24"/>
          <w:szCs w:val="24"/>
        </w:rPr>
        <w:t xml:space="preserve"> </w:t>
      </w:r>
      <w:r>
        <w:rPr>
          <w:rFonts w:ascii="宋体" w:hAnsi="宋体" w:eastAsia="宋体" w:cs="宋体"/>
          <w:spacing w:val="-29"/>
          <w:sz w:val="24"/>
          <w:szCs w:val="24"/>
        </w:rPr>
        <w:t>人：</w:t>
      </w:r>
      <w:r>
        <w:rPr>
          <w:rFonts w:ascii="宋体" w:hAnsi="宋体" w:eastAsia="宋体" w:cs="宋体"/>
          <w:spacing w:val="-38"/>
          <w:sz w:val="24"/>
          <w:szCs w:val="24"/>
        </w:rPr>
        <w:t xml:space="preserve"> </w:t>
      </w:r>
      <w:r>
        <w:rPr>
          <w:rFonts w:ascii="宋体" w:hAnsi="宋体" w:eastAsia="宋体" w:cs="宋体"/>
          <w:sz w:val="24"/>
          <w:szCs w:val="24"/>
          <w:u w:val="single" w:color="auto"/>
        </w:rPr>
        <w:t xml:space="preserve">                               </w:t>
      </w:r>
      <w:r>
        <w:rPr>
          <w:rFonts w:ascii="宋体" w:hAnsi="宋体" w:eastAsia="宋体" w:cs="宋体"/>
          <w:spacing w:val="1"/>
          <w:sz w:val="24"/>
          <w:szCs w:val="24"/>
        </w:rPr>
        <w:t xml:space="preserve"> </w:t>
      </w:r>
      <w:r>
        <w:rPr>
          <w:rFonts w:ascii="宋体" w:hAnsi="宋体" w:eastAsia="宋体" w:cs="宋体"/>
          <w:spacing w:val="-3"/>
          <w:sz w:val="24"/>
          <w:szCs w:val="24"/>
        </w:rPr>
        <w:t>（单位盖章）</w:t>
      </w:r>
    </w:p>
    <w:p w14:paraId="599D8141">
      <w:pPr>
        <w:pStyle w:val="3"/>
        <w:spacing w:line="251" w:lineRule="auto"/>
      </w:pPr>
    </w:p>
    <w:p w14:paraId="74DD9124">
      <w:pPr>
        <w:pStyle w:val="3"/>
        <w:spacing w:line="252" w:lineRule="auto"/>
      </w:pPr>
    </w:p>
    <w:p w14:paraId="7D48F246">
      <w:pPr>
        <w:pStyle w:val="3"/>
        <w:spacing w:line="252" w:lineRule="auto"/>
      </w:pPr>
    </w:p>
    <w:p w14:paraId="2CA9EDEE">
      <w:pPr>
        <w:spacing w:before="78" w:line="220" w:lineRule="auto"/>
        <w:ind w:left="4169"/>
        <w:rPr>
          <w:rFonts w:ascii="宋体" w:hAnsi="宋体" w:eastAsia="宋体" w:cs="宋体"/>
          <w:sz w:val="24"/>
          <w:szCs w:val="24"/>
        </w:rPr>
      </w:pPr>
      <w:r>
        <w:rPr>
          <w:rFonts w:ascii="宋体" w:hAnsi="宋体" w:eastAsia="宋体" w:cs="宋体"/>
          <w:spacing w:val="-9"/>
          <w:sz w:val="24"/>
          <w:szCs w:val="24"/>
        </w:rPr>
        <w:t>年</w:t>
      </w:r>
      <w:r>
        <w:rPr>
          <w:rFonts w:ascii="宋体" w:hAnsi="宋体" w:eastAsia="宋体" w:cs="宋体"/>
          <w:spacing w:val="1"/>
          <w:sz w:val="24"/>
          <w:szCs w:val="24"/>
        </w:rPr>
        <w:t xml:space="preserve">      </w:t>
      </w:r>
      <w:r>
        <w:rPr>
          <w:rFonts w:ascii="宋体" w:hAnsi="宋体" w:eastAsia="宋体" w:cs="宋体"/>
          <w:spacing w:val="-9"/>
          <w:sz w:val="24"/>
          <w:szCs w:val="24"/>
        </w:rPr>
        <w:t>月</w:t>
      </w:r>
      <w:r>
        <w:rPr>
          <w:rFonts w:ascii="宋体" w:hAnsi="宋体" w:eastAsia="宋体" w:cs="宋体"/>
          <w:spacing w:val="9"/>
          <w:sz w:val="24"/>
          <w:szCs w:val="24"/>
        </w:rPr>
        <w:t xml:space="preserve">      </w:t>
      </w:r>
      <w:r>
        <w:rPr>
          <w:rFonts w:ascii="宋体" w:hAnsi="宋体" w:eastAsia="宋体" w:cs="宋体"/>
          <w:spacing w:val="-9"/>
          <w:sz w:val="24"/>
          <w:szCs w:val="24"/>
        </w:rPr>
        <w:t>日</w:t>
      </w:r>
    </w:p>
    <w:p w14:paraId="50FB07F8">
      <w:pPr>
        <w:spacing w:line="220" w:lineRule="auto"/>
        <w:rPr>
          <w:rFonts w:ascii="宋体" w:hAnsi="宋体" w:eastAsia="宋体" w:cs="宋体"/>
          <w:sz w:val="24"/>
          <w:szCs w:val="24"/>
        </w:rPr>
        <w:sectPr>
          <w:footerReference r:id="rId164" w:type="default"/>
          <w:pgSz w:w="11905" w:h="16839"/>
          <w:pgMar w:top="400" w:right="1785" w:bottom="1004" w:left="1785" w:header="0" w:footer="828" w:gutter="0"/>
          <w:pgNumType w:fmt="decimal"/>
          <w:cols w:space="720" w:num="1"/>
        </w:sectPr>
      </w:pPr>
    </w:p>
    <w:p w14:paraId="1E16A61C">
      <w:pPr>
        <w:pStyle w:val="3"/>
        <w:spacing w:line="267" w:lineRule="auto"/>
      </w:pPr>
    </w:p>
    <w:p w14:paraId="6A34117B">
      <w:pPr>
        <w:pStyle w:val="3"/>
        <w:spacing w:line="267" w:lineRule="auto"/>
      </w:pPr>
    </w:p>
    <w:p w14:paraId="14EE7FE1">
      <w:pPr>
        <w:pStyle w:val="3"/>
        <w:spacing w:line="268" w:lineRule="auto"/>
      </w:pPr>
    </w:p>
    <w:p w14:paraId="07F618BA">
      <w:pPr>
        <w:pStyle w:val="3"/>
        <w:spacing w:line="268" w:lineRule="auto"/>
      </w:pPr>
    </w:p>
    <w:p w14:paraId="41190241">
      <w:pPr>
        <w:spacing w:before="78" w:line="219" w:lineRule="auto"/>
        <w:ind w:left="13"/>
        <w:rPr>
          <w:rFonts w:ascii="黑体" w:hAnsi="黑体" w:eastAsia="黑体" w:cs="黑体"/>
          <w:sz w:val="24"/>
          <w:szCs w:val="24"/>
        </w:rPr>
      </w:pPr>
      <w:r>
        <w:rPr>
          <w:rFonts w:ascii="Times New Roman" w:hAnsi="Times New Roman" w:eastAsia="Times New Roman" w:cs="Times New Roman"/>
          <w:spacing w:val="-2"/>
          <w:sz w:val="24"/>
          <w:szCs w:val="24"/>
        </w:rPr>
        <w:t xml:space="preserve">4.4 </w:t>
      </w:r>
      <w:r>
        <w:rPr>
          <w:rFonts w:ascii="黑体" w:hAnsi="黑体" w:eastAsia="黑体" w:cs="黑体"/>
          <w:spacing w:val="-2"/>
          <w:sz w:val="24"/>
          <w:szCs w:val="24"/>
        </w:rPr>
        <w:t>投标总价扉页</w:t>
      </w:r>
    </w:p>
    <w:p w14:paraId="6112DCB3">
      <w:pPr>
        <w:pStyle w:val="3"/>
        <w:spacing w:line="264" w:lineRule="auto"/>
      </w:pPr>
    </w:p>
    <w:p w14:paraId="606E33C2">
      <w:pPr>
        <w:pStyle w:val="3"/>
        <w:spacing w:line="264" w:lineRule="auto"/>
      </w:pPr>
    </w:p>
    <w:p w14:paraId="150B2D4A">
      <w:pPr>
        <w:pStyle w:val="3"/>
        <w:spacing w:line="264" w:lineRule="auto"/>
      </w:pPr>
    </w:p>
    <w:p w14:paraId="725F8A96">
      <w:pPr>
        <w:pStyle w:val="3"/>
        <w:spacing w:line="264" w:lineRule="auto"/>
      </w:pPr>
    </w:p>
    <w:p w14:paraId="77F8B9D3">
      <w:pPr>
        <w:spacing w:before="104" w:line="220" w:lineRule="auto"/>
        <w:ind w:left="3837"/>
        <w:rPr>
          <w:rFonts w:ascii="黑体" w:hAnsi="黑体" w:eastAsia="黑体" w:cs="黑体"/>
          <w:sz w:val="32"/>
          <w:szCs w:val="32"/>
        </w:rPr>
      </w:pPr>
      <w:bookmarkStart w:id="1289" w:name="bookmark247"/>
      <w:bookmarkEnd w:id="1289"/>
      <w:r>
        <w:rPr>
          <w:rFonts w:ascii="黑体" w:hAnsi="黑体" w:eastAsia="黑体" w:cs="黑体"/>
          <w:spacing w:val="13"/>
          <w:sz w:val="32"/>
          <w:szCs w:val="32"/>
        </w:rPr>
        <w:t>投标总价</w:t>
      </w:r>
    </w:p>
    <w:p w14:paraId="2CA66E00">
      <w:pPr>
        <w:pStyle w:val="3"/>
        <w:spacing w:line="255" w:lineRule="auto"/>
      </w:pPr>
    </w:p>
    <w:p w14:paraId="45DF852E">
      <w:pPr>
        <w:pStyle w:val="3"/>
        <w:spacing w:line="255" w:lineRule="auto"/>
      </w:pPr>
    </w:p>
    <w:p w14:paraId="43D4CC42">
      <w:pPr>
        <w:pStyle w:val="3"/>
        <w:spacing w:line="255" w:lineRule="auto"/>
      </w:pPr>
    </w:p>
    <w:p w14:paraId="72D5FA01">
      <w:pPr>
        <w:pStyle w:val="3"/>
        <w:spacing w:line="256" w:lineRule="auto"/>
      </w:pPr>
    </w:p>
    <w:p w14:paraId="2B85FC20">
      <w:pPr>
        <w:pStyle w:val="3"/>
        <w:spacing w:line="256" w:lineRule="auto"/>
      </w:pPr>
    </w:p>
    <w:p w14:paraId="656B8D0A">
      <w:pPr>
        <w:pStyle w:val="3"/>
        <w:spacing w:line="256" w:lineRule="auto"/>
      </w:pPr>
    </w:p>
    <w:p w14:paraId="2FA035CB">
      <w:pPr>
        <w:spacing w:before="68" w:line="221" w:lineRule="auto"/>
        <w:ind w:left="442"/>
        <w:rPr>
          <w:rFonts w:ascii="宋体" w:hAnsi="宋体" w:eastAsia="宋体" w:cs="宋体"/>
          <w:sz w:val="21"/>
          <w:szCs w:val="21"/>
        </w:rPr>
      </w:pPr>
      <w:r>
        <w:rPr>
          <w:rFonts w:ascii="宋体" w:hAnsi="宋体" w:eastAsia="宋体" w:cs="宋体"/>
          <w:spacing w:val="-25"/>
          <w:sz w:val="21"/>
          <w:szCs w:val="21"/>
        </w:rPr>
        <w:t>招</w:t>
      </w:r>
      <w:r>
        <w:rPr>
          <w:rFonts w:ascii="宋体" w:hAnsi="宋体" w:eastAsia="宋体" w:cs="宋体"/>
          <w:spacing w:val="12"/>
          <w:sz w:val="21"/>
          <w:szCs w:val="21"/>
        </w:rPr>
        <w:t xml:space="preserve"> </w:t>
      </w:r>
      <w:r>
        <w:rPr>
          <w:rFonts w:ascii="宋体" w:hAnsi="宋体" w:eastAsia="宋体" w:cs="宋体"/>
          <w:spacing w:val="-25"/>
          <w:sz w:val="21"/>
          <w:szCs w:val="21"/>
        </w:rPr>
        <w:t>标</w:t>
      </w:r>
      <w:r>
        <w:rPr>
          <w:rFonts w:ascii="宋体" w:hAnsi="宋体" w:eastAsia="宋体" w:cs="宋体"/>
          <w:spacing w:val="10"/>
          <w:sz w:val="21"/>
          <w:szCs w:val="21"/>
        </w:rPr>
        <w:t xml:space="preserve"> </w:t>
      </w:r>
      <w:r>
        <w:rPr>
          <w:rFonts w:ascii="宋体" w:hAnsi="宋体" w:eastAsia="宋体" w:cs="宋体"/>
          <w:spacing w:val="-25"/>
          <w:sz w:val="21"/>
          <w:szCs w:val="21"/>
        </w:rPr>
        <w:t>人：</w:t>
      </w:r>
      <w:r>
        <w:rPr>
          <w:rFonts w:ascii="宋体" w:hAnsi="宋体" w:eastAsia="宋体" w:cs="宋体"/>
          <w:spacing w:val="-31"/>
          <w:sz w:val="21"/>
          <w:szCs w:val="21"/>
        </w:rPr>
        <w:t xml:space="preserve"> </w:t>
      </w:r>
      <w:r>
        <w:rPr>
          <w:rFonts w:ascii="宋体" w:hAnsi="宋体" w:eastAsia="宋体" w:cs="宋体"/>
          <w:sz w:val="21"/>
          <w:szCs w:val="21"/>
          <w:u w:val="single" w:color="auto"/>
        </w:rPr>
        <w:t xml:space="preserve">                                                               </w:t>
      </w:r>
    </w:p>
    <w:p w14:paraId="10F059E0">
      <w:pPr>
        <w:pStyle w:val="3"/>
        <w:spacing w:line="278" w:lineRule="auto"/>
      </w:pPr>
    </w:p>
    <w:p w14:paraId="5A6F2654">
      <w:pPr>
        <w:spacing w:before="68" w:line="221" w:lineRule="auto"/>
        <w:ind w:left="443"/>
        <w:rPr>
          <w:rFonts w:ascii="宋体" w:hAnsi="宋体" w:eastAsia="宋体" w:cs="宋体"/>
          <w:sz w:val="21"/>
          <w:szCs w:val="21"/>
        </w:rPr>
      </w:pPr>
      <w:r>
        <w:rPr>
          <w:rFonts w:ascii="宋体" w:hAnsi="宋体" w:eastAsia="宋体" w:cs="宋体"/>
          <w:spacing w:val="-25"/>
          <w:w w:val="99"/>
          <w:sz w:val="21"/>
          <w:szCs w:val="21"/>
        </w:rPr>
        <w:t>工程名称：</w:t>
      </w:r>
      <w:r>
        <w:rPr>
          <w:rFonts w:ascii="宋体" w:hAnsi="宋体" w:eastAsia="宋体" w:cs="宋体"/>
          <w:spacing w:val="25"/>
          <w:sz w:val="21"/>
          <w:szCs w:val="21"/>
        </w:rPr>
        <w:t xml:space="preserve"> </w:t>
      </w:r>
      <w:r>
        <w:rPr>
          <w:rFonts w:ascii="宋体" w:hAnsi="宋体" w:eastAsia="宋体" w:cs="宋体"/>
          <w:sz w:val="21"/>
          <w:szCs w:val="21"/>
          <w:u w:val="single" w:color="auto"/>
        </w:rPr>
        <w:t xml:space="preserve">                                                               </w:t>
      </w:r>
    </w:p>
    <w:p w14:paraId="458B6CDA">
      <w:pPr>
        <w:pStyle w:val="3"/>
        <w:spacing w:line="279" w:lineRule="auto"/>
      </w:pPr>
    </w:p>
    <w:p w14:paraId="400238E3">
      <w:pPr>
        <w:spacing w:before="69" w:line="527" w:lineRule="auto"/>
        <w:ind w:left="443"/>
        <w:rPr>
          <w:rFonts w:ascii="宋体" w:hAnsi="宋体" w:eastAsia="宋体" w:cs="宋体"/>
          <w:sz w:val="21"/>
          <w:szCs w:val="21"/>
        </w:rPr>
      </w:pPr>
      <w:r>
        <w:rPr>
          <w:rFonts w:ascii="宋体" w:hAnsi="宋体" w:eastAsia="宋体" w:cs="宋体"/>
          <w:spacing w:val="-3"/>
          <w:sz w:val="21"/>
          <w:szCs w:val="21"/>
        </w:rPr>
        <w:t>投标总价（小写</w:t>
      </w:r>
      <w:r>
        <w:rPr>
          <w:rFonts w:ascii="宋体" w:hAnsi="宋体" w:eastAsia="宋体" w:cs="宋体"/>
          <w:spacing w:val="-11"/>
          <w:sz w:val="21"/>
          <w:szCs w:val="21"/>
        </w:rPr>
        <w:t>）</w:t>
      </w:r>
      <w:r>
        <w:rPr>
          <w:rFonts w:ascii="宋体" w:hAnsi="宋体" w:eastAsia="宋体" w:cs="宋体"/>
          <w:spacing w:val="28"/>
          <w:sz w:val="21"/>
          <w:szCs w:val="21"/>
        </w:rPr>
        <w:t xml:space="preserve"> </w:t>
      </w:r>
      <w:r>
        <w:rPr>
          <w:rFonts w:ascii="宋体" w:hAnsi="宋体" w:eastAsia="宋体" w:cs="宋体"/>
          <w:spacing w:val="-11"/>
          <w:sz w:val="21"/>
          <w:szCs w:val="21"/>
        </w:rPr>
        <w:t>：</w:t>
      </w:r>
      <w:r>
        <w:rPr>
          <w:rFonts w:ascii="宋体" w:hAnsi="宋体" w:eastAsia="宋体" w:cs="宋体"/>
          <w:sz w:val="21"/>
          <w:szCs w:val="21"/>
          <w:u w:val="single" w:color="auto"/>
        </w:rPr>
        <w:t xml:space="preserve">                                                   </w:t>
      </w:r>
      <w:r>
        <w:rPr>
          <w:rFonts w:ascii="宋体" w:hAnsi="宋体" w:eastAsia="宋体" w:cs="宋体"/>
          <w:spacing w:val="-3"/>
          <w:sz w:val="21"/>
          <w:szCs w:val="21"/>
          <w:u w:val="single" w:color="auto"/>
        </w:rPr>
        <w:t xml:space="preserve">元   </w:t>
      </w:r>
    </w:p>
    <w:p w14:paraId="23DE94CF">
      <w:pPr>
        <w:spacing w:line="221" w:lineRule="auto"/>
        <w:ind w:left="1287"/>
        <w:rPr>
          <w:rFonts w:ascii="宋体" w:hAnsi="宋体" w:eastAsia="宋体" w:cs="宋体"/>
          <w:sz w:val="21"/>
          <w:szCs w:val="21"/>
        </w:rPr>
      </w:pPr>
      <w:r>
        <w:rPr>
          <w:rFonts w:ascii="宋体" w:hAnsi="宋体" w:eastAsia="宋体" w:cs="宋体"/>
          <w:spacing w:val="-4"/>
          <w:sz w:val="21"/>
          <w:szCs w:val="21"/>
        </w:rPr>
        <w:t>（大写</w:t>
      </w:r>
      <w:r>
        <w:rPr>
          <w:rFonts w:ascii="宋体" w:hAnsi="宋体" w:eastAsia="宋体" w:cs="宋体"/>
          <w:spacing w:val="-16"/>
          <w:sz w:val="21"/>
          <w:szCs w:val="21"/>
        </w:rPr>
        <w:t>）</w:t>
      </w:r>
      <w:r>
        <w:rPr>
          <w:rFonts w:ascii="宋体" w:hAnsi="宋体" w:eastAsia="宋体" w:cs="宋体"/>
          <w:spacing w:val="29"/>
          <w:sz w:val="21"/>
          <w:szCs w:val="21"/>
        </w:rPr>
        <w:t xml:space="preserve"> </w:t>
      </w:r>
      <w:r>
        <w:rPr>
          <w:rFonts w:ascii="宋体" w:hAnsi="宋体" w:eastAsia="宋体" w:cs="宋体"/>
          <w:spacing w:val="-16"/>
          <w:sz w:val="21"/>
          <w:szCs w:val="21"/>
        </w:rPr>
        <w:t>：</w:t>
      </w:r>
      <w:r>
        <w:rPr>
          <w:rFonts w:ascii="宋体" w:hAnsi="宋体" w:eastAsia="宋体" w:cs="宋体"/>
          <w:sz w:val="21"/>
          <w:szCs w:val="21"/>
          <w:u w:val="single" w:color="auto"/>
        </w:rPr>
        <w:t xml:space="preserve">                                                   </w:t>
      </w:r>
      <w:r>
        <w:rPr>
          <w:rFonts w:ascii="宋体" w:hAnsi="宋体" w:eastAsia="宋体" w:cs="宋体"/>
          <w:spacing w:val="-4"/>
          <w:sz w:val="21"/>
          <w:szCs w:val="21"/>
          <w:u w:val="single" w:color="auto"/>
        </w:rPr>
        <w:t xml:space="preserve">元   </w:t>
      </w:r>
    </w:p>
    <w:p w14:paraId="77098A86">
      <w:pPr>
        <w:pStyle w:val="3"/>
        <w:spacing w:line="250" w:lineRule="auto"/>
      </w:pPr>
    </w:p>
    <w:p w14:paraId="197DF64C">
      <w:pPr>
        <w:pStyle w:val="3"/>
        <w:spacing w:line="250" w:lineRule="auto"/>
      </w:pPr>
    </w:p>
    <w:p w14:paraId="5066DC81">
      <w:pPr>
        <w:pStyle w:val="3"/>
        <w:spacing w:line="250" w:lineRule="auto"/>
      </w:pPr>
    </w:p>
    <w:p w14:paraId="42331464">
      <w:pPr>
        <w:pStyle w:val="3"/>
        <w:spacing w:line="251" w:lineRule="auto"/>
      </w:pPr>
    </w:p>
    <w:p w14:paraId="747AEEAB">
      <w:pPr>
        <w:pStyle w:val="3"/>
        <w:spacing w:line="251" w:lineRule="auto"/>
      </w:pPr>
    </w:p>
    <w:p w14:paraId="5BF5FBE2">
      <w:pPr>
        <w:spacing w:before="69" w:line="251" w:lineRule="auto"/>
        <w:ind w:left="4225" w:right="231" w:hanging="3782"/>
        <w:rPr>
          <w:rFonts w:ascii="宋体" w:hAnsi="宋体" w:eastAsia="宋体" w:cs="宋体"/>
          <w:sz w:val="21"/>
          <w:szCs w:val="21"/>
        </w:rPr>
      </w:pPr>
      <w:r>
        <w:rPr>
          <w:rFonts w:ascii="宋体" w:hAnsi="宋体" w:eastAsia="宋体" w:cs="宋体"/>
          <w:spacing w:val="-25"/>
          <w:sz w:val="21"/>
          <w:szCs w:val="21"/>
        </w:rPr>
        <w:t>投</w:t>
      </w:r>
      <w:r>
        <w:rPr>
          <w:rFonts w:ascii="宋体" w:hAnsi="宋体" w:eastAsia="宋体" w:cs="宋体"/>
          <w:spacing w:val="10"/>
          <w:sz w:val="21"/>
          <w:szCs w:val="21"/>
        </w:rPr>
        <w:t xml:space="preserve"> </w:t>
      </w:r>
      <w:r>
        <w:rPr>
          <w:rFonts w:ascii="宋体" w:hAnsi="宋体" w:eastAsia="宋体" w:cs="宋体"/>
          <w:spacing w:val="-25"/>
          <w:sz w:val="21"/>
          <w:szCs w:val="21"/>
        </w:rPr>
        <w:t>标</w:t>
      </w:r>
      <w:r>
        <w:rPr>
          <w:rFonts w:ascii="宋体" w:hAnsi="宋体" w:eastAsia="宋体" w:cs="宋体"/>
          <w:spacing w:val="10"/>
          <w:sz w:val="21"/>
          <w:szCs w:val="21"/>
        </w:rPr>
        <w:t xml:space="preserve"> </w:t>
      </w:r>
      <w:r>
        <w:rPr>
          <w:rFonts w:ascii="宋体" w:hAnsi="宋体" w:eastAsia="宋体" w:cs="宋体"/>
          <w:spacing w:val="-25"/>
          <w:sz w:val="21"/>
          <w:szCs w:val="21"/>
        </w:rPr>
        <w:t>人：</w:t>
      </w:r>
      <w:r>
        <w:rPr>
          <w:rFonts w:ascii="宋体" w:hAnsi="宋体" w:eastAsia="宋体" w:cs="宋体"/>
          <w:spacing w:val="-31"/>
          <w:sz w:val="21"/>
          <w:szCs w:val="21"/>
        </w:rPr>
        <w:t xml:space="preserve"> </w:t>
      </w:r>
      <w:r>
        <w:rPr>
          <w:rFonts w:ascii="宋体" w:hAnsi="宋体" w:eastAsia="宋体" w:cs="宋体"/>
          <w:spacing w:val="2"/>
          <w:sz w:val="21"/>
          <w:szCs w:val="21"/>
          <w:u w:val="single" w:color="auto"/>
        </w:rPr>
        <w:t xml:space="preserve">                                       </w:t>
      </w:r>
      <w:r>
        <w:rPr>
          <w:rFonts w:ascii="宋体" w:hAnsi="宋体" w:eastAsia="宋体" w:cs="宋体"/>
          <w:spacing w:val="1"/>
          <w:sz w:val="21"/>
          <w:szCs w:val="21"/>
          <w:u w:val="single" w:color="auto"/>
        </w:rPr>
        <w:t xml:space="preserve">                       </w:t>
      </w:r>
      <w:r>
        <w:rPr>
          <w:rFonts w:ascii="宋体" w:hAnsi="宋体" w:eastAsia="宋体" w:cs="宋体"/>
          <w:spacing w:val="1"/>
          <w:sz w:val="21"/>
          <w:szCs w:val="21"/>
        </w:rPr>
        <w:t xml:space="preserve"> </w:t>
      </w:r>
      <w:r>
        <w:rPr>
          <w:rFonts w:ascii="宋体" w:hAnsi="宋体" w:eastAsia="宋体" w:cs="宋体"/>
          <w:spacing w:val="-2"/>
          <w:sz w:val="21"/>
          <w:szCs w:val="21"/>
        </w:rPr>
        <w:t>（单位盖章）</w:t>
      </w:r>
    </w:p>
    <w:p w14:paraId="3ED116CF">
      <w:pPr>
        <w:pStyle w:val="3"/>
        <w:spacing w:line="422" w:lineRule="auto"/>
      </w:pPr>
    </w:p>
    <w:p w14:paraId="115F4270">
      <w:pPr>
        <w:spacing w:before="69" w:line="221" w:lineRule="auto"/>
        <w:ind w:left="442"/>
        <w:rPr>
          <w:rFonts w:ascii="宋体" w:hAnsi="宋体" w:eastAsia="宋体" w:cs="宋体"/>
          <w:sz w:val="21"/>
          <w:szCs w:val="21"/>
        </w:rPr>
      </w:pPr>
      <w:r>
        <w:rPr>
          <w:rFonts w:ascii="宋体" w:hAnsi="宋体" w:eastAsia="宋体" w:cs="宋体"/>
          <w:spacing w:val="-1"/>
          <w:sz w:val="21"/>
          <w:szCs w:val="21"/>
        </w:rPr>
        <w:t>法定代表人</w:t>
      </w:r>
    </w:p>
    <w:p w14:paraId="61781ED3">
      <w:pPr>
        <w:spacing w:before="158" w:line="249" w:lineRule="auto"/>
        <w:ind w:left="4014" w:right="231" w:hanging="3571"/>
        <w:rPr>
          <w:rFonts w:ascii="宋体" w:hAnsi="宋体" w:eastAsia="宋体" w:cs="宋体"/>
          <w:sz w:val="21"/>
          <w:szCs w:val="21"/>
        </w:rPr>
      </w:pPr>
      <w:r>
        <w:rPr>
          <w:rFonts w:ascii="宋体" w:hAnsi="宋体" w:eastAsia="宋体" w:cs="宋体"/>
          <w:sz w:val="21"/>
          <w:szCs w:val="21"/>
        </w:rPr>
        <w:t>或其授权人：</w:t>
      </w:r>
      <w:r>
        <w:rPr>
          <w:rFonts w:ascii="宋体" w:hAnsi="宋体" w:eastAsia="宋体" w:cs="宋体"/>
          <w:sz w:val="21"/>
          <w:szCs w:val="21"/>
          <w:u w:val="single" w:color="auto"/>
        </w:rPr>
        <w:t xml:space="preserve">                                                    </w:t>
      </w:r>
      <w:r>
        <w:rPr>
          <w:rFonts w:ascii="宋体" w:hAnsi="宋体" w:eastAsia="宋体" w:cs="宋体"/>
          <w:spacing w:val="-1"/>
          <w:sz w:val="21"/>
          <w:szCs w:val="21"/>
          <w:u w:val="single" w:color="auto"/>
        </w:rPr>
        <w:t xml:space="preserve">         </w:t>
      </w:r>
      <w:r>
        <w:rPr>
          <w:rFonts w:ascii="宋体" w:hAnsi="宋体" w:eastAsia="宋体" w:cs="宋体"/>
          <w:sz w:val="21"/>
          <w:szCs w:val="21"/>
        </w:rPr>
        <w:t xml:space="preserve"> </w:t>
      </w:r>
      <w:r>
        <w:rPr>
          <w:rFonts w:ascii="宋体" w:hAnsi="宋体" w:eastAsia="宋体" w:cs="宋体"/>
          <w:spacing w:val="-2"/>
          <w:sz w:val="21"/>
          <w:szCs w:val="21"/>
        </w:rPr>
        <w:t>（签字或盖章）</w:t>
      </w:r>
    </w:p>
    <w:p w14:paraId="6087BCB2">
      <w:pPr>
        <w:pStyle w:val="3"/>
        <w:spacing w:line="319" w:lineRule="auto"/>
      </w:pPr>
    </w:p>
    <w:p w14:paraId="58F02DF2">
      <w:pPr>
        <w:pStyle w:val="3"/>
        <w:spacing w:line="319" w:lineRule="auto"/>
      </w:pPr>
    </w:p>
    <w:p w14:paraId="3C6FC27B">
      <w:pPr>
        <w:spacing w:before="68" w:line="251" w:lineRule="auto"/>
        <w:ind w:left="3596" w:right="231" w:hanging="3154"/>
        <w:rPr>
          <w:rFonts w:ascii="宋体" w:hAnsi="宋体" w:eastAsia="宋体" w:cs="宋体"/>
          <w:sz w:val="21"/>
          <w:szCs w:val="21"/>
        </w:rPr>
      </w:pPr>
      <w:r>
        <w:rPr>
          <w:rFonts w:ascii="宋体" w:hAnsi="宋体" w:eastAsia="宋体" w:cs="宋体"/>
          <w:spacing w:val="-26"/>
          <w:w w:val="98"/>
          <w:sz w:val="21"/>
          <w:szCs w:val="21"/>
        </w:rPr>
        <w:t>编制人：</w:t>
      </w:r>
      <w:r>
        <w:rPr>
          <w:rFonts w:ascii="宋体" w:hAnsi="宋体" w:eastAsia="宋体" w:cs="宋体"/>
          <w:spacing w:val="10"/>
          <w:sz w:val="21"/>
          <w:szCs w:val="21"/>
        </w:rPr>
        <w:t xml:space="preserve"> </w:t>
      </w:r>
      <w:r>
        <w:rPr>
          <w:rFonts w:ascii="宋体" w:hAnsi="宋体" w:eastAsia="宋体" w:cs="宋体"/>
          <w:spacing w:val="2"/>
          <w:sz w:val="21"/>
          <w:szCs w:val="21"/>
          <w:u w:val="single" w:color="auto"/>
        </w:rPr>
        <w:t xml:space="preserve">                                      </w:t>
      </w:r>
      <w:r>
        <w:rPr>
          <w:rFonts w:ascii="宋体" w:hAnsi="宋体" w:eastAsia="宋体" w:cs="宋体"/>
          <w:spacing w:val="1"/>
          <w:sz w:val="21"/>
          <w:szCs w:val="21"/>
          <w:u w:val="single" w:color="auto"/>
        </w:rPr>
        <w:t xml:space="preserve">                          </w:t>
      </w:r>
      <w:r>
        <w:rPr>
          <w:rFonts w:ascii="宋体" w:hAnsi="宋体" w:eastAsia="宋体" w:cs="宋体"/>
          <w:spacing w:val="1"/>
          <w:sz w:val="21"/>
          <w:szCs w:val="21"/>
        </w:rPr>
        <w:t xml:space="preserve"> </w:t>
      </w:r>
      <w:r>
        <w:rPr>
          <w:rFonts w:ascii="宋体" w:hAnsi="宋体" w:eastAsia="宋体" w:cs="宋体"/>
          <w:spacing w:val="-2"/>
          <w:sz w:val="21"/>
          <w:szCs w:val="21"/>
        </w:rPr>
        <w:t>（造价人员签字或盖章）</w:t>
      </w:r>
    </w:p>
    <w:p w14:paraId="765F51E9">
      <w:pPr>
        <w:pStyle w:val="3"/>
        <w:spacing w:line="266" w:lineRule="auto"/>
      </w:pPr>
    </w:p>
    <w:p w14:paraId="44C528CE">
      <w:pPr>
        <w:pStyle w:val="3"/>
        <w:spacing w:line="267" w:lineRule="auto"/>
      </w:pPr>
    </w:p>
    <w:p w14:paraId="00210835">
      <w:pPr>
        <w:pStyle w:val="3"/>
        <w:spacing w:line="267" w:lineRule="auto"/>
      </w:pPr>
    </w:p>
    <w:p w14:paraId="7E026331">
      <w:pPr>
        <w:spacing w:before="69" w:line="221" w:lineRule="auto"/>
        <w:ind w:left="442"/>
        <w:rPr>
          <w:rFonts w:ascii="宋体" w:hAnsi="宋体" w:eastAsia="宋体" w:cs="宋体"/>
          <w:sz w:val="21"/>
          <w:szCs w:val="21"/>
        </w:rPr>
      </w:pPr>
      <w:r>
        <w:rPr>
          <w:rFonts w:ascii="宋体" w:hAnsi="宋体" w:eastAsia="宋体" w:cs="宋体"/>
          <w:spacing w:val="-14"/>
          <w:sz w:val="21"/>
          <w:szCs w:val="21"/>
        </w:rPr>
        <w:t>编制时间：</w:t>
      </w:r>
      <w:r>
        <w:rPr>
          <w:rFonts w:ascii="宋体" w:hAnsi="宋体" w:eastAsia="宋体" w:cs="宋体"/>
          <w:spacing w:val="1"/>
          <w:sz w:val="21"/>
          <w:szCs w:val="21"/>
        </w:rPr>
        <w:t xml:space="preserve">               </w:t>
      </w:r>
      <w:r>
        <w:rPr>
          <w:rFonts w:ascii="宋体" w:hAnsi="宋体" w:eastAsia="宋体" w:cs="宋体"/>
          <w:spacing w:val="-14"/>
          <w:sz w:val="21"/>
          <w:szCs w:val="21"/>
        </w:rPr>
        <w:t>年</w:t>
      </w:r>
      <w:r>
        <w:rPr>
          <w:rFonts w:ascii="宋体" w:hAnsi="宋体" w:eastAsia="宋体" w:cs="宋体"/>
          <w:spacing w:val="4"/>
          <w:sz w:val="21"/>
          <w:szCs w:val="21"/>
        </w:rPr>
        <w:t xml:space="preserve">      </w:t>
      </w:r>
      <w:r>
        <w:rPr>
          <w:rFonts w:ascii="宋体" w:hAnsi="宋体" w:eastAsia="宋体" w:cs="宋体"/>
          <w:spacing w:val="-14"/>
          <w:sz w:val="21"/>
          <w:szCs w:val="21"/>
        </w:rPr>
        <w:t>月       日</w:t>
      </w:r>
    </w:p>
    <w:p w14:paraId="42CFB856">
      <w:pPr>
        <w:spacing w:line="221" w:lineRule="auto"/>
        <w:rPr>
          <w:rFonts w:ascii="宋体" w:hAnsi="宋体" w:eastAsia="宋体" w:cs="宋体"/>
          <w:sz w:val="21"/>
          <w:szCs w:val="21"/>
        </w:rPr>
        <w:sectPr>
          <w:footerReference r:id="rId165" w:type="default"/>
          <w:pgSz w:w="11905" w:h="16839"/>
          <w:pgMar w:top="400" w:right="1785" w:bottom="1004" w:left="1785" w:header="0" w:footer="828" w:gutter="0"/>
          <w:pgNumType w:fmt="decimal"/>
          <w:cols w:space="720" w:num="1"/>
        </w:sectPr>
      </w:pPr>
    </w:p>
    <w:p w14:paraId="5479CEA5">
      <w:pPr>
        <w:pStyle w:val="3"/>
        <w:spacing w:line="267" w:lineRule="auto"/>
      </w:pPr>
    </w:p>
    <w:p w14:paraId="0350C443">
      <w:pPr>
        <w:pStyle w:val="3"/>
        <w:spacing w:line="268" w:lineRule="auto"/>
      </w:pPr>
    </w:p>
    <w:p w14:paraId="0F3758C3">
      <w:pPr>
        <w:pStyle w:val="3"/>
        <w:spacing w:line="268" w:lineRule="auto"/>
      </w:pPr>
    </w:p>
    <w:p w14:paraId="5740FD7C">
      <w:pPr>
        <w:pStyle w:val="3"/>
        <w:spacing w:line="268" w:lineRule="auto"/>
      </w:pPr>
    </w:p>
    <w:p w14:paraId="0D23374D">
      <w:pPr>
        <w:spacing w:before="78" w:line="218" w:lineRule="auto"/>
        <w:ind w:left="13"/>
        <w:rPr>
          <w:rFonts w:ascii="黑体" w:hAnsi="黑体" w:eastAsia="黑体" w:cs="黑体"/>
          <w:sz w:val="24"/>
          <w:szCs w:val="24"/>
        </w:rPr>
      </w:pPr>
      <w:r>
        <w:rPr>
          <w:rFonts w:ascii="Times New Roman" w:hAnsi="Times New Roman" w:eastAsia="Times New Roman" w:cs="Times New Roman"/>
          <w:spacing w:val="-2"/>
          <w:sz w:val="24"/>
          <w:szCs w:val="24"/>
        </w:rPr>
        <w:t xml:space="preserve">4.5 </w:t>
      </w:r>
      <w:r>
        <w:rPr>
          <w:rFonts w:ascii="黑体" w:hAnsi="黑体" w:eastAsia="黑体" w:cs="黑体"/>
          <w:spacing w:val="-2"/>
          <w:sz w:val="24"/>
          <w:szCs w:val="24"/>
        </w:rPr>
        <w:t>总说明表</w:t>
      </w:r>
    </w:p>
    <w:p w14:paraId="1C8DB0A1">
      <w:pPr>
        <w:spacing w:before="62" w:line="224" w:lineRule="auto"/>
        <w:ind w:left="3906"/>
        <w:rPr>
          <w:rFonts w:ascii="黑体" w:hAnsi="黑体" w:eastAsia="黑体" w:cs="黑体"/>
          <w:sz w:val="27"/>
          <w:szCs w:val="27"/>
        </w:rPr>
      </w:pPr>
      <w:bookmarkStart w:id="1290" w:name="bookmark248"/>
      <w:bookmarkEnd w:id="1290"/>
      <w:r>
        <w:rPr>
          <w:rFonts w:ascii="黑体" w:hAnsi="黑体" w:eastAsia="黑体" w:cs="黑体"/>
          <w:spacing w:val="-5"/>
          <w:sz w:val="27"/>
          <w:szCs w:val="27"/>
        </w:rPr>
        <w:t>总</w:t>
      </w:r>
      <w:r>
        <w:rPr>
          <w:rFonts w:ascii="黑体" w:hAnsi="黑体" w:eastAsia="黑体" w:cs="黑体"/>
          <w:spacing w:val="19"/>
          <w:sz w:val="27"/>
          <w:szCs w:val="27"/>
        </w:rPr>
        <w:t xml:space="preserve"> </w:t>
      </w:r>
      <w:r>
        <w:rPr>
          <w:rFonts w:ascii="黑体" w:hAnsi="黑体" w:eastAsia="黑体" w:cs="黑体"/>
          <w:spacing w:val="-5"/>
          <w:sz w:val="27"/>
          <w:szCs w:val="27"/>
        </w:rPr>
        <w:t>说</w:t>
      </w:r>
      <w:r>
        <w:rPr>
          <w:rFonts w:ascii="黑体" w:hAnsi="黑体" w:eastAsia="黑体" w:cs="黑体"/>
          <w:spacing w:val="28"/>
          <w:sz w:val="27"/>
          <w:szCs w:val="27"/>
        </w:rPr>
        <w:t xml:space="preserve"> </w:t>
      </w:r>
      <w:r>
        <w:rPr>
          <w:rFonts w:ascii="黑体" w:hAnsi="黑体" w:eastAsia="黑体" w:cs="黑体"/>
          <w:spacing w:val="-5"/>
          <w:sz w:val="27"/>
          <w:szCs w:val="27"/>
        </w:rPr>
        <w:t>明</w:t>
      </w:r>
    </w:p>
    <w:p w14:paraId="25A79686">
      <w:pPr>
        <w:pStyle w:val="3"/>
        <w:spacing w:line="284" w:lineRule="auto"/>
      </w:pPr>
    </w:p>
    <w:p w14:paraId="70F84FD3">
      <w:pPr>
        <w:spacing w:before="68" w:line="221" w:lineRule="auto"/>
        <w:ind w:left="20"/>
        <w:rPr>
          <w:rFonts w:ascii="宋体" w:hAnsi="宋体" w:eastAsia="宋体" w:cs="宋体"/>
          <w:sz w:val="21"/>
          <w:szCs w:val="21"/>
        </w:rPr>
      </w:pPr>
      <w:r>
        <w:rPr>
          <w:rFonts w:ascii="宋体" w:hAnsi="宋体" w:eastAsia="宋体" w:cs="宋体"/>
          <w:spacing w:val="-15"/>
          <w:sz w:val="21"/>
          <w:szCs w:val="21"/>
        </w:rPr>
        <w:t>工程名称：</w:t>
      </w:r>
      <w:r>
        <w:rPr>
          <w:rFonts w:ascii="宋体" w:hAnsi="宋体" w:eastAsia="宋体" w:cs="宋体"/>
          <w:spacing w:val="1"/>
          <w:sz w:val="21"/>
          <w:szCs w:val="21"/>
        </w:rPr>
        <w:t xml:space="preserve">                      </w:t>
      </w:r>
      <w:r>
        <w:rPr>
          <w:rFonts w:ascii="宋体" w:hAnsi="宋体" w:eastAsia="宋体" w:cs="宋体"/>
          <w:sz w:val="21"/>
          <w:szCs w:val="21"/>
        </w:rPr>
        <w:t xml:space="preserve">                    </w:t>
      </w:r>
      <w:r>
        <w:rPr>
          <w:rFonts w:ascii="宋体" w:hAnsi="宋体" w:eastAsia="宋体" w:cs="宋体"/>
          <w:spacing w:val="-15"/>
          <w:sz w:val="21"/>
          <w:szCs w:val="21"/>
        </w:rPr>
        <w:t>第</w:t>
      </w:r>
      <w:r>
        <w:rPr>
          <w:rFonts w:ascii="宋体" w:hAnsi="宋体" w:eastAsia="宋体" w:cs="宋体"/>
          <w:spacing w:val="7"/>
          <w:sz w:val="21"/>
          <w:szCs w:val="21"/>
        </w:rPr>
        <w:t xml:space="preserve">  </w:t>
      </w:r>
      <w:r>
        <w:rPr>
          <w:rFonts w:ascii="宋体" w:hAnsi="宋体" w:eastAsia="宋体" w:cs="宋体"/>
          <w:spacing w:val="-15"/>
          <w:sz w:val="21"/>
          <w:szCs w:val="21"/>
        </w:rPr>
        <w:t>页 共</w:t>
      </w:r>
      <w:r>
        <w:rPr>
          <w:rFonts w:ascii="宋体" w:hAnsi="宋体" w:eastAsia="宋体" w:cs="宋体"/>
          <w:spacing w:val="8"/>
          <w:sz w:val="21"/>
          <w:szCs w:val="21"/>
        </w:rPr>
        <w:t xml:space="preserve">  </w:t>
      </w:r>
      <w:r>
        <w:rPr>
          <w:rFonts w:ascii="宋体" w:hAnsi="宋体" w:eastAsia="宋体" w:cs="宋体"/>
          <w:spacing w:val="-15"/>
          <w:sz w:val="21"/>
          <w:szCs w:val="21"/>
        </w:rPr>
        <w:t>页</w:t>
      </w:r>
    </w:p>
    <w:p w14:paraId="63572CE2">
      <w:pPr>
        <w:spacing w:before="127" w:line="10745" w:lineRule="exact"/>
        <w:ind w:firstLine="10"/>
      </w:pPr>
      <w:r>
        <w:rPr>
          <w:position w:val="-214"/>
        </w:rPr>
        <w:pict>
          <v:shape id="_x0000_s1055" o:spid="_x0000_s1055" style="height:537.3pt;width:415.85pt;" fillcolor="#000000" filled="t" stroked="f" coordsize="8317,10745" path="m0,9l9,9,9,0,0,0,0,9xem0,9l9,9,9,0,0,0,0,9xem9,9l8307,9,8307,0,9,0,9,9xem8307,9l8316,9,8316,0,8307,0,8307,9xem8307,9l8316,9,8316,0,8307,0,8307,9xem0,10735l9,10735,9,9,0,9,0,10735xem0,10745l9,10745,9,10735,0,10735,0,10745xem0,10745l9,10745,9,10735,0,10735,0,10745xem9,10745l8307,10745,8307,10735,9,10735,9,10745xem8307,10735l8316,10735,8316,9,8307,9,8307,10735xem8307,10745l8316,10745,8316,10735,8307,10735,8307,10745xem8307,10745l8316,10745,8316,10735,8307,10735,8307,10745xe">
            <v:path/>
            <v:fill on="t" focussize="0,0"/>
            <v:stroke on="f"/>
            <v:imagedata o:title=""/>
            <o:lock v:ext="edit"/>
            <w10:wrap type="none"/>
            <w10:anchorlock/>
          </v:shape>
        </w:pict>
      </w:r>
    </w:p>
    <w:p w14:paraId="70E3E857">
      <w:pPr>
        <w:spacing w:line="10745" w:lineRule="exact"/>
        <w:sectPr>
          <w:footerReference r:id="rId166" w:type="default"/>
          <w:pgSz w:w="11905" w:h="16839"/>
          <w:pgMar w:top="400" w:right="1785" w:bottom="1004" w:left="1785" w:header="0" w:footer="828" w:gutter="0"/>
          <w:pgNumType w:fmt="decimal"/>
          <w:cols w:space="720" w:num="1"/>
        </w:sectPr>
      </w:pPr>
    </w:p>
    <w:p w14:paraId="25E1E10D">
      <w:pPr>
        <w:pStyle w:val="3"/>
        <w:spacing w:line="267" w:lineRule="auto"/>
      </w:pPr>
    </w:p>
    <w:p w14:paraId="0A0F674B">
      <w:pPr>
        <w:pStyle w:val="3"/>
        <w:spacing w:line="267" w:lineRule="auto"/>
      </w:pPr>
    </w:p>
    <w:p w14:paraId="14687035">
      <w:pPr>
        <w:pStyle w:val="3"/>
        <w:spacing w:line="268" w:lineRule="auto"/>
      </w:pPr>
    </w:p>
    <w:p w14:paraId="7551B9EB">
      <w:pPr>
        <w:pStyle w:val="3"/>
        <w:spacing w:line="268" w:lineRule="auto"/>
      </w:pPr>
    </w:p>
    <w:p w14:paraId="0278DCE4">
      <w:pPr>
        <w:spacing w:before="78" w:line="219" w:lineRule="auto"/>
        <w:ind w:left="138"/>
        <w:rPr>
          <w:rFonts w:ascii="黑体" w:hAnsi="黑体" w:eastAsia="黑体" w:cs="黑体"/>
          <w:sz w:val="24"/>
          <w:szCs w:val="24"/>
        </w:rPr>
      </w:pPr>
      <w:r>
        <w:rPr>
          <w:rFonts w:ascii="Times New Roman" w:hAnsi="Times New Roman" w:eastAsia="Times New Roman" w:cs="Times New Roman"/>
          <w:spacing w:val="-1"/>
          <w:sz w:val="24"/>
          <w:szCs w:val="24"/>
        </w:rPr>
        <w:t xml:space="preserve">4.6 </w:t>
      </w:r>
      <w:r>
        <w:rPr>
          <w:rFonts w:ascii="黑体" w:hAnsi="黑体" w:eastAsia="黑体" w:cs="黑体"/>
          <w:spacing w:val="-1"/>
          <w:sz w:val="24"/>
          <w:szCs w:val="24"/>
        </w:rPr>
        <w:t>建设项目投标报价汇总表</w:t>
      </w:r>
    </w:p>
    <w:p w14:paraId="277BF25B">
      <w:pPr>
        <w:spacing w:before="61" w:line="225" w:lineRule="auto"/>
        <w:ind w:left="3041"/>
        <w:rPr>
          <w:rFonts w:ascii="黑体" w:hAnsi="黑体" w:eastAsia="黑体" w:cs="黑体"/>
          <w:sz w:val="27"/>
          <w:szCs w:val="27"/>
        </w:rPr>
      </w:pPr>
      <w:bookmarkStart w:id="1291" w:name="bookmark249"/>
      <w:bookmarkEnd w:id="1291"/>
      <w:r>
        <w:rPr>
          <w:rFonts w:ascii="黑体" w:hAnsi="黑体" w:eastAsia="黑体" w:cs="黑体"/>
          <w:spacing w:val="8"/>
          <w:sz w:val="27"/>
          <w:szCs w:val="27"/>
        </w:rPr>
        <w:t>建设项目投标报价汇总表</w:t>
      </w:r>
    </w:p>
    <w:p w14:paraId="1E631D37">
      <w:pPr>
        <w:pStyle w:val="3"/>
        <w:spacing w:line="283" w:lineRule="auto"/>
      </w:pPr>
    </w:p>
    <w:p w14:paraId="53C5EEDC">
      <w:pPr>
        <w:spacing w:before="68" w:line="221" w:lineRule="auto"/>
        <w:ind w:left="145"/>
        <w:rPr>
          <w:rFonts w:ascii="宋体" w:hAnsi="宋体" w:eastAsia="宋体" w:cs="宋体"/>
          <w:sz w:val="21"/>
          <w:szCs w:val="21"/>
        </w:rPr>
      </w:pPr>
      <w:r>
        <w:rPr>
          <w:rFonts w:ascii="宋体" w:hAnsi="宋体" w:eastAsia="宋体" w:cs="宋体"/>
          <w:spacing w:val="-17"/>
          <w:sz w:val="21"/>
          <w:szCs w:val="21"/>
        </w:rPr>
        <w:t>工程名称：</w:t>
      </w:r>
      <w:r>
        <w:rPr>
          <w:rFonts w:ascii="宋体" w:hAnsi="宋体" w:eastAsia="宋体" w:cs="宋体"/>
          <w:spacing w:val="1"/>
          <w:sz w:val="21"/>
          <w:szCs w:val="21"/>
        </w:rPr>
        <w:t xml:space="preserve">                       </w:t>
      </w:r>
      <w:r>
        <w:rPr>
          <w:rFonts w:ascii="宋体" w:hAnsi="宋体" w:eastAsia="宋体" w:cs="宋体"/>
          <w:sz w:val="21"/>
          <w:szCs w:val="21"/>
        </w:rPr>
        <w:t xml:space="preserve">                     </w:t>
      </w:r>
      <w:r>
        <w:rPr>
          <w:rFonts w:ascii="宋体" w:hAnsi="宋体" w:eastAsia="宋体" w:cs="宋体"/>
          <w:spacing w:val="-17"/>
          <w:sz w:val="21"/>
          <w:szCs w:val="21"/>
        </w:rPr>
        <w:t>第</w:t>
      </w:r>
      <w:r>
        <w:rPr>
          <w:rFonts w:ascii="宋体" w:hAnsi="宋体" w:eastAsia="宋体" w:cs="宋体"/>
          <w:spacing w:val="5"/>
          <w:sz w:val="21"/>
          <w:szCs w:val="21"/>
        </w:rPr>
        <w:t xml:space="preserve">  </w:t>
      </w:r>
      <w:r>
        <w:rPr>
          <w:rFonts w:ascii="宋体" w:hAnsi="宋体" w:eastAsia="宋体" w:cs="宋体"/>
          <w:spacing w:val="-17"/>
          <w:sz w:val="21"/>
          <w:szCs w:val="21"/>
        </w:rPr>
        <w:t>页</w:t>
      </w:r>
      <w:r>
        <w:rPr>
          <w:rFonts w:ascii="宋体" w:hAnsi="宋体" w:eastAsia="宋体" w:cs="宋体"/>
          <w:spacing w:val="5"/>
          <w:sz w:val="21"/>
          <w:szCs w:val="21"/>
        </w:rPr>
        <w:t xml:space="preserve">  </w:t>
      </w:r>
      <w:r>
        <w:rPr>
          <w:rFonts w:ascii="宋体" w:hAnsi="宋体" w:eastAsia="宋体" w:cs="宋体"/>
          <w:spacing w:val="-17"/>
          <w:sz w:val="21"/>
          <w:szCs w:val="21"/>
        </w:rPr>
        <w:t>共</w:t>
      </w:r>
      <w:r>
        <w:rPr>
          <w:rFonts w:ascii="宋体" w:hAnsi="宋体" w:eastAsia="宋体" w:cs="宋体"/>
          <w:spacing w:val="5"/>
          <w:sz w:val="21"/>
          <w:szCs w:val="21"/>
        </w:rPr>
        <w:t xml:space="preserve">  </w:t>
      </w:r>
      <w:r>
        <w:rPr>
          <w:rFonts w:ascii="宋体" w:hAnsi="宋体" w:eastAsia="宋体" w:cs="宋体"/>
          <w:spacing w:val="-17"/>
          <w:sz w:val="21"/>
          <w:szCs w:val="21"/>
        </w:rPr>
        <w:t>页</w:t>
      </w:r>
    </w:p>
    <w:p w14:paraId="4A887737">
      <w:pPr>
        <w:spacing w:line="127" w:lineRule="exact"/>
      </w:pPr>
    </w:p>
    <w:tbl>
      <w:tblPr>
        <w:tblStyle w:val="10"/>
        <w:tblW w:w="858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54"/>
        <w:gridCol w:w="3321"/>
        <w:gridCol w:w="1214"/>
        <w:gridCol w:w="964"/>
        <w:gridCol w:w="1402"/>
        <w:gridCol w:w="930"/>
      </w:tblGrid>
      <w:tr w14:paraId="3519AF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9" w:hRule="atLeast"/>
        </w:trPr>
        <w:tc>
          <w:tcPr>
            <w:tcW w:w="754" w:type="dxa"/>
            <w:vMerge w:val="restart"/>
            <w:tcBorders>
              <w:bottom w:val="nil"/>
            </w:tcBorders>
            <w:vAlign w:val="top"/>
          </w:tcPr>
          <w:p w14:paraId="395A91F7">
            <w:pPr>
              <w:spacing w:line="410" w:lineRule="auto"/>
              <w:rPr>
                <w:rFonts w:ascii="Arial"/>
                <w:sz w:val="21"/>
              </w:rPr>
            </w:pPr>
          </w:p>
          <w:p w14:paraId="3221C560">
            <w:pPr>
              <w:pStyle w:val="11"/>
              <w:spacing w:before="68" w:line="222" w:lineRule="auto"/>
              <w:ind w:left="170"/>
            </w:pPr>
            <w:r>
              <w:rPr>
                <w:spacing w:val="-2"/>
              </w:rPr>
              <w:t>序号</w:t>
            </w:r>
          </w:p>
        </w:tc>
        <w:tc>
          <w:tcPr>
            <w:tcW w:w="3321" w:type="dxa"/>
            <w:vMerge w:val="restart"/>
            <w:tcBorders>
              <w:bottom w:val="nil"/>
            </w:tcBorders>
            <w:vAlign w:val="top"/>
          </w:tcPr>
          <w:p w14:paraId="0729A0D9">
            <w:pPr>
              <w:spacing w:line="410" w:lineRule="auto"/>
              <w:rPr>
                <w:rFonts w:ascii="Arial"/>
                <w:sz w:val="21"/>
              </w:rPr>
            </w:pPr>
          </w:p>
          <w:p w14:paraId="627537C0">
            <w:pPr>
              <w:pStyle w:val="11"/>
              <w:spacing w:before="68" w:line="221" w:lineRule="auto"/>
              <w:ind w:left="1037"/>
            </w:pPr>
            <w:r>
              <w:rPr>
                <w:spacing w:val="-1"/>
              </w:rPr>
              <w:t>单项工程名称</w:t>
            </w:r>
          </w:p>
        </w:tc>
        <w:tc>
          <w:tcPr>
            <w:tcW w:w="1214" w:type="dxa"/>
            <w:vMerge w:val="restart"/>
            <w:tcBorders>
              <w:bottom w:val="nil"/>
            </w:tcBorders>
            <w:vAlign w:val="top"/>
          </w:tcPr>
          <w:p w14:paraId="0C53BE95">
            <w:pPr>
              <w:pStyle w:val="11"/>
              <w:spacing w:before="288" w:line="384" w:lineRule="exact"/>
              <w:ind w:left="405"/>
            </w:pPr>
            <w:r>
              <w:rPr>
                <w:spacing w:val="-2"/>
                <w:position w:val="13"/>
              </w:rPr>
              <w:t>金额</w:t>
            </w:r>
          </w:p>
          <w:p w14:paraId="5518293F">
            <w:pPr>
              <w:pStyle w:val="11"/>
              <w:spacing w:line="221" w:lineRule="auto"/>
              <w:ind w:left="304"/>
            </w:pPr>
            <w:r>
              <w:rPr>
                <w:spacing w:val="-6"/>
              </w:rPr>
              <w:t>（元）</w:t>
            </w:r>
          </w:p>
        </w:tc>
        <w:tc>
          <w:tcPr>
            <w:tcW w:w="3296" w:type="dxa"/>
            <w:gridSpan w:val="3"/>
            <w:vAlign w:val="top"/>
          </w:tcPr>
          <w:p w14:paraId="76250C70">
            <w:pPr>
              <w:pStyle w:val="11"/>
              <w:spacing w:before="173" w:line="221" w:lineRule="auto"/>
              <w:ind w:left="971"/>
            </w:pPr>
            <w:r>
              <w:rPr>
                <w:spacing w:val="-20"/>
              </w:rPr>
              <w:t>其</w:t>
            </w:r>
            <w:r>
              <w:rPr>
                <w:spacing w:val="15"/>
              </w:rPr>
              <w:t xml:space="preserve">  </w:t>
            </w:r>
            <w:r>
              <w:rPr>
                <w:spacing w:val="-20"/>
              </w:rPr>
              <w:t>中</w:t>
            </w:r>
            <w:r>
              <w:rPr>
                <w:spacing w:val="-34"/>
              </w:rPr>
              <w:t>：（</w:t>
            </w:r>
            <w:r>
              <w:rPr>
                <w:spacing w:val="-20"/>
              </w:rPr>
              <w:t>元）</w:t>
            </w:r>
          </w:p>
        </w:tc>
      </w:tr>
      <w:tr w14:paraId="1E95E1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754" w:type="dxa"/>
            <w:vMerge w:val="continue"/>
            <w:tcBorders>
              <w:top w:val="nil"/>
            </w:tcBorders>
            <w:vAlign w:val="top"/>
          </w:tcPr>
          <w:p w14:paraId="50D15007">
            <w:pPr>
              <w:rPr>
                <w:rFonts w:ascii="Arial"/>
                <w:sz w:val="21"/>
              </w:rPr>
            </w:pPr>
          </w:p>
        </w:tc>
        <w:tc>
          <w:tcPr>
            <w:tcW w:w="3321" w:type="dxa"/>
            <w:vMerge w:val="continue"/>
            <w:tcBorders>
              <w:top w:val="nil"/>
            </w:tcBorders>
            <w:vAlign w:val="top"/>
          </w:tcPr>
          <w:p w14:paraId="59A7A72E">
            <w:pPr>
              <w:rPr>
                <w:rFonts w:ascii="Arial"/>
                <w:sz w:val="21"/>
              </w:rPr>
            </w:pPr>
          </w:p>
        </w:tc>
        <w:tc>
          <w:tcPr>
            <w:tcW w:w="1214" w:type="dxa"/>
            <w:vMerge w:val="continue"/>
            <w:tcBorders>
              <w:top w:val="nil"/>
            </w:tcBorders>
            <w:vAlign w:val="top"/>
          </w:tcPr>
          <w:p w14:paraId="3521CC75">
            <w:pPr>
              <w:rPr>
                <w:rFonts w:ascii="Arial"/>
                <w:sz w:val="21"/>
              </w:rPr>
            </w:pPr>
          </w:p>
        </w:tc>
        <w:tc>
          <w:tcPr>
            <w:tcW w:w="964" w:type="dxa"/>
            <w:vAlign w:val="top"/>
          </w:tcPr>
          <w:p w14:paraId="5613C979">
            <w:pPr>
              <w:pStyle w:val="11"/>
              <w:spacing w:before="207" w:line="219" w:lineRule="auto"/>
              <w:ind w:left="180"/>
            </w:pPr>
            <w:r>
              <w:rPr>
                <w:spacing w:val="-3"/>
              </w:rPr>
              <w:t>暂估价</w:t>
            </w:r>
          </w:p>
        </w:tc>
        <w:tc>
          <w:tcPr>
            <w:tcW w:w="1402" w:type="dxa"/>
            <w:vAlign w:val="top"/>
          </w:tcPr>
          <w:p w14:paraId="42EC02EB">
            <w:pPr>
              <w:pStyle w:val="11"/>
              <w:spacing w:before="59" w:line="235" w:lineRule="auto"/>
              <w:ind w:left="394" w:right="269" w:hanging="100"/>
            </w:pPr>
            <w:r>
              <w:rPr>
                <w:spacing w:val="-2"/>
              </w:rPr>
              <w:t>安全文明</w:t>
            </w:r>
            <w:r>
              <w:t xml:space="preserve"> </w:t>
            </w:r>
            <w:r>
              <w:rPr>
                <w:spacing w:val="-1"/>
              </w:rPr>
              <w:t>施工费</w:t>
            </w:r>
          </w:p>
        </w:tc>
        <w:tc>
          <w:tcPr>
            <w:tcW w:w="930" w:type="dxa"/>
            <w:vAlign w:val="top"/>
          </w:tcPr>
          <w:p w14:paraId="3E1ADF8D">
            <w:pPr>
              <w:pStyle w:val="11"/>
              <w:spacing w:before="59" w:line="221" w:lineRule="auto"/>
              <w:ind w:left="258"/>
            </w:pPr>
            <w:r>
              <w:rPr>
                <w:spacing w:val="-2"/>
              </w:rPr>
              <w:t>规费</w:t>
            </w:r>
          </w:p>
        </w:tc>
      </w:tr>
      <w:tr w14:paraId="5B1D7D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6" w:hRule="atLeast"/>
        </w:trPr>
        <w:tc>
          <w:tcPr>
            <w:tcW w:w="754" w:type="dxa"/>
            <w:vAlign w:val="top"/>
          </w:tcPr>
          <w:p w14:paraId="19F152E8">
            <w:pPr>
              <w:pStyle w:val="11"/>
              <w:spacing w:before="194" w:line="183" w:lineRule="auto"/>
              <w:ind w:left="340"/>
            </w:pPr>
            <w:r>
              <w:t>1</w:t>
            </w:r>
          </w:p>
        </w:tc>
        <w:tc>
          <w:tcPr>
            <w:tcW w:w="3321" w:type="dxa"/>
            <w:vAlign w:val="top"/>
          </w:tcPr>
          <w:p w14:paraId="695AA020">
            <w:pPr>
              <w:pStyle w:val="11"/>
              <w:spacing w:before="160" w:line="221" w:lineRule="auto"/>
              <w:ind w:left="115"/>
            </w:pPr>
            <w:r>
              <w:rPr>
                <w:spacing w:val="-1"/>
              </w:rPr>
              <w:t>单项工程</w:t>
            </w:r>
          </w:p>
        </w:tc>
        <w:tc>
          <w:tcPr>
            <w:tcW w:w="1214" w:type="dxa"/>
            <w:vAlign w:val="top"/>
          </w:tcPr>
          <w:p w14:paraId="32434B9B">
            <w:pPr>
              <w:rPr>
                <w:rFonts w:ascii="Arial"/>
                <w:sz w:val="21"/>
              </w:rPr>
            </w:pPr>
          </w:p>
        </w:tc>
        <w:tc>
          <w:tcPr>
            <w:tcW w:w="964" w:type="dxa"/>
            <w:vAlign w:val="top"/>
          </w:tcPr>
          <w:p w14:paraId="1732E381">
            <w:pPr>
              <w:rPr>
                <w:rFonts w:ascii="Arial"/>
                <w:sz w:val="21"/>
              </w:rPr>
            </w:pPr>
          </w:p>
        </w:tc>
        <w:tc>
          <w:tcPr>
            <w:tcW w:w="1402" w:type="dxa"/>
            <w:vAlign w:val="top"/>
          </w:tcPr>
          <w:p w14:paraId="7EA6E787">
            <w:pPr>
              <w:rPr>
                <w:rFonts w:ascii="Arial"/>
                <w:sz w:val="21"/>
              </w:rPr>
            </w:pPr>
          </w:p>
        </w:tc>
        <w:tc>
          <w:tcPr>
            <w:tcW w:w="930" w:type="dxa"/>
            <w:vAlign w:val="top"/>
          </w:tcPr>
          <w:p w14:paraId="776A17D8">
            <w:pPr>
              <w:rPr>
                <w:rFonts w:ascii="Arial"/>
                <w:sz w:val="21"/>
              </w:rPr>
            </w:pPr>
          </w:p>
        </w:tc>
      </w:tr>
      <w:tr w14:paraId="500646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0" w:hRule="atLeast"/>
        </w:trPr>
        <w:tc>
          <w:tcPr>
            <w:tcW w:w="754" w:type="dxa"/>
            <w:vAlign w:val="top"/>
          </w:tcPr>
          <w:p w14:paraId="256B98D3">
            <w:pPr>
              <w:rPr>
                <w:rFonts w:ascii="Arial"/>
                <w:sz w:val="21"/>
              </w:rPr>
            </w:pPr>
          </w:p>
        </w:tc>
        <w:tc>
          <w:tcPr>
            <w:tcW w:w="3321" w:type="dxa"/>
            <w:vAlign w:val="top"/>
          </w:tcPr>
          <w:p w14:paraId="4535B3E8">
            <w:pPr>
              <w:rPr>
                <w:rFonts w:ascii="Arial"/>
                <w:sz w:val="21"/>
              </w:rPr>
            </w:pPr>
          </w:p>
        </w:tc>
        <w:tc>
          <w:tcPr>
            <w:tcW w:w="1214" w:type="dxa"/>
            <w:vAlign w:val="top"/>
          </w:tcPr>
          <w:p w14:paraId="531A0475">
            <w:pPr>
              <w:rPr>
                <w:rFonts w:ascii="Arial"/>
                <w:sz w:val="21"/>
              </w:rPr>
            </w:pPr>
          </w:p>
        </w:tc>
        <w:tc>
          <w:tcPr>
            <w:tcW w:w="964" w:type="dxa"/>
            <w:vAlign w:val="top"/>
          </w:tcPr>
          <w:p w14:paraId="0689B0E1">
            <w:pPr>
              <w:rPr>
                <w:rFonts w:ascii="Arial"/>
                <w:sz w:val="21"/>
              </w:rPr>
            </w:pPr>
          </w:p>
        </w:tc>
        <w:tc>
          <w:tcPr>
            <w:tcW w:w="1402" w:type="dxa"/>
            <w:vAlign w:val="top"/>
          </w:tcPr>
          <w:p w14:paraId="212AA27D">
            <w:pPr>
              <w:rPr>
                <w:rFonts w:ascii="Arial"/>
                <w:sz w:val="21"/>
              </w:rPr>
            </w:pPr>
          </w:p>
        </w:tc>
        <w:tc>
          <w:tcPr>
            <w:tcW w:w="930" w:type="dxa"/>
            <w:vAlign w:val="top"/>
          </w:tcPr>
          <w:p w14:paraId="66E57425">
            <w:pPr>
              <w:rPr>
                <w:rFonts w:ascii="Arial"/>
                <w:sz w:val="21"/>
              </w:rPr>
            </w:pPr>
          </w:p>
        </w:tc>
      </w:tr>
      <w:tr w14:paraId="7AB23E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5" w:hRule="atLeast"/>
        </w:trPr>
        <w:tc>
          <w:tcPr>
            <w:tcW w:w="754" w:type="dxa"/>
            <w:vAlign w:val="top"/>
          </w:tcPr>
          <w:p w14:paraId="6300670E">
            <w:pPr>
              <w:rPr>
                <w:rFonts w:ascii="Arial"/>
                <w:sz w:val="21"/>
              </w:rPr>
            </w:pPr>
          </w:p>
        </w:tc>
        <w:tc>
          <w:tcPr>
            <w:tcW w:w="3321" w:type="dxa"/>
            <w:vAlign w:val="top"/>
          </w:tcPr>
          <w:p w14:paraId="70D32B72">
            <w:pPr>
              <w:pStyle w:val="11"/>
              <w:spacing w:before="160" w:line="221" w:lineRule="auto"/>
              <w:ind w:left="116"/>
            </w:pPr>
            <w:r>
              <w:rPr>
                <w:spacing w:val="-5"/>
              </w:rPr>
              <w:t>建设项目数据：</w:t>
            </w:r>
          </w:p>
        </w:tc>
        <w:tc>
          <w:tcPr>
            <w:tcW w:w="1214" w:type="dxa"/>
            <w:vAlign w:val="top"/>
          </w:tcPr>
          <w:p w14:paraId="6680D98A">
            <w:pPr>
              <w:rPr>
                <w:rFonts w:ascii="Arial"/>
                <w:sz w:val="21"/>
              </w:rPr>
            </w:pPr>
          </w:p>
        </w:tc>
        <w:tc>
          <w:tcPr>
            <w:tcW w:w="964" w:type="dxa"/>
            <w:vAlign w:val="top"/>
          </w:tcPr>
          <w:p w14:paraId="5BEAC516">
            <w:pPr>
              <w:rPr>
                <w:rFonts w:ascii="Arial"/>
                <w:sz w:val="21"/>
              </w:rPr>
            </w:pPr>
          </w:p>
        </w:tc>
        <w:tc>
          <w:tcPr>
            <w:tcW w:w="1402" w:type="dxa"/>
            <w:vAlign w:val="top"/>
          </w:tcPr>
          <w:p w14:paraId="32F6C1DF">
            <w:pPr>
              <w:rPr>
                <w:rFonts w:ascii="Arial"/>
                <w:sz w:val="21"/>
              </w:rPr>
            </w:pPr>
          </w:p>
        </w:tc>
        <w:tc>
          <w:tcPr>
            <w:tcW w:w="930" w:type="dxa"/>
            <w:vAlign w:val="top"/>
          </w:tcPr>
          <w:p w14:paraId="5E21B579">
            <w:pPr>
              <w:rPr>
                <w:rFonts w:ascii="Arial"/>
                <w:sz w:val="21"/>
              </w:rPr>
            </w:pPr>
          </w:p>
        </w:tc>
      </w:tr>
      <w:tr w14:paraId="13F390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1" w:hRule="atLeast"/>
        </w:trPr>
        <w:tc>
          <w:tcPr>
            <w:tcW w:w="754" w:type="dxa"/>
            <w:vAlign w:val="top"/>
          </w:tcPr>
          <w:p w14:paraId="0421DE52">
            <w:pPr>
              <w:rPr>
                <w:rFonts w:ascii="Arial"/>
                <w:sz w:val="21"/>
              </w:rPr>
            </w:pPr>
          </w:p>
        </w:tc>
        <w:tc>
          <w:tcPr>
            <w:tcW w:w="3321" w:type="dxa"/>
            <w:vAlign w:val="top"/>
          </w:tcPr>
          <w:p w14:paraId="1BB063A7">
            <w:pPr>
              <w:pStyle w:val="11"/>
              <w:spacing w:before="161" w:line="221" w:lineRule="auto"/>
              <w:ind w:left="115"/>
            </w:pPr>
            <w:r>
              <w:rPr>
                <w:spacing w:val="-2"/>
              </w:rPr>
              <w:t>人工费</w:t>
            </w:r>
          </w:p>
        </w:tc>
        <w:tc>
          <w:tcPr>
            <w:tcW w:w="1214" w:type="dxa"/>
            <w:vAlign w:val="top"/>
          </w:tcPr>
          <w:p w14:paraId="713C799B">
            <w:pPr>
              <w:rPr>
                <w:rFonts w:ascii="Arial"/>
                <w:sz w:val="21"/>
              </w:rPr>
            </w:pPr>
          </w:p>
        </w:tc>
        <w:tc>
          <w:tcPr>
            <w:tcW w:w="964" w:type="dxa"/>
            <w:vAlign w:val="top"/>
          </w:tcPr>
          <w:p w14:paraId="6ED3ACEE">
            <w:pPr>
              <w:rPr>
                <w:rFonts w:ascii="Arial"/>
                <w:sz w:val="21"/>
              </w:rPr>
            </w:pPr>
          </w:p>
        </w:tc>
        <w:tc>
          <w:tcPr>
            <w:tcW w:w="1402" w:type="dxa"/>
            <w:vAlign w:val="top"/>
          </w:tcPr>
          <w:p w14:paraId="546770C5">
            <w:pPr>
              <w:rPr>
                <w:rFonts w:ascii="Arial"/>
                <w:sz w:val="21"/>
              </w:rPr>
            </w:pPr>
          </w:p>
        </w:tc>
        <w:tc>
          <w:tcPr>
            <w:tcW w:w="930" w:type="dxa"/>
            <w:vAlign w:val="top"/>
          </w:tcPr>
          <w:p w14:paraId="0A50ED44">
            <w:pPr>
              <w:rPr>
                <w:rFonts w:ascii="Arial"/>
                <w:sz w:val="21"/>
              </w:rPr>
            </w:pPr>
          </w:p>
        </w:tc>
      </w:tr>
      <w:tr w14:paraId="6AD6D3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5" w:hRule="atLeast"/>
        </w:trPr>
        <w:tc>
          <w:tcPr>
            <w:tcW w:w="754" w:type="dxa"/>
            <w:vAlign w:val="top"/>
          </w:tcPr>
          <w:p w14:paraId="54D641C3">
            <w:pPr>
              <w:rPr>
                <w:rFonts w:ascii="Arial"/>
                <w:sz w:val="21"/>
              </w:rPr>
            </w:pPr>
          </w:p>
        </w:tc>
        <w:tc>
          <w:tcPr>
            <w:tcW w:w="3321" w:type="dxa"/>
            <w:vAlign w:val="top"/>
          </w:tcPr>
          <w:p w14:paraId="36124F7C">
            <w:pPr>
              <w:pStyle w:val="11"/>
              <w:spacing w:before="161" w:line="220" w:lineRule="auto"/>
              <w:ind w:left="113"/>
            </w:pPr>
            <w:r>
              <w:rPr>
                <w:spacing w:val="-2"/>
              </w:rPr>
              <w:t>材料费</w:t>
            </w:r>
          </w:p>
        </w:tc>
        <w:tc>
          <w:tcPr>
            <w:tcW w:w="1214" w:type="dxa"/>
            <w:vAlign w:val="top"/>
          </w:tcPr>
          <w:p w14:paraId="3AF33D42">
            <w:pPr>
              <w:rPr>
                <w:rFonts w:ascii="Arial"/>
                <w:sz w:val="21"/>
              </w:rPr>
            </w:pPr>
          </w:p>
        </w:tc>
        <w:tc>
          <w:tcPr>
            <w:tcW w:w="964" w:type="dxa"/>
            <w:vAlign w:val="top"/>
          </w:tcPr>
          <w:p w14:paraId="50A5083E">
            <w:pPr>
              <w:rPr>
                <w:rFonts w:ascii="Arial"/>
                <w:sz w:val="21"/>
              </w:rPr>
            </w:pPr>
          </w:p>
        </w:tc>
        <w:tc>
          <w:tcPr>
            <w:tcW w:w="1402" w:type="dxa"/>
            <w:vAlign w:val="top"/>
          </w:tcPr>
          <w:p w14:paraId="5DFB73CD">
            <w:pPr>
              <w:rPr>
                <w:rFonts w:ascii="Arial"/>
                <w:sz w:val="21"/>
              </w:rPr>
            </w:pPr>
          </w:p>
        </w:tc>
        <w:tc>
          <w:tcPr>
            <w:tcW w:w="930" w:type="dxa"/>
            <w:vAlign w:val="top"/>
          </w:tcPr>
          <w:p w14:paraId="044D1B72">
            <w:pPr>
              <w:rPr>
                <w:rFonts w:ascii="Arial"/>
                <w:sz w:val="21"/>
              </w:rPr>
            </w:pPr>
          </w:p>
        </w:tc>
      </w:tr>
      <w:tr w14:paraId="6F831E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0" w:hRule="atLeast"/>
        </w:trPr>
        <w:tc>
          <w:tcPr>
            <w:tcW w:w="754" w:type="dxa"/>
            <w:vAlign w:val="top"/>
          </w:tcPr>
          <w:p w14:paraId="5D6B9DA4">
            <w:pPr>
              <w:rPr>
                <w:rFonts w:ascii="Arial"/>
                <w:sz w:val="21"/>
              </w:rPr>
            </w:pPr>
          </w:p>
        </w:tc>
        <w:tc>
          <w:tcPr>
            <w:tcW w:w="3321" w:type="dxa"/>
            <w:vAlign w:val="top"/>
          </w:tcPr>
          <w:p w14:paraId="3242E6DE">
            <w:pPr>
              <w:pStyle w:val="11"/>
              <w:spacing w:before="161" w:line="220" w:lineRule="auto"/>
              <w:ind w:left="112"/>
            </w:pPr>
            <w:r>
              <w:rPr>
                <w:spacing w:val="-1"/>
              </w:rPr>
              <w:t>机械费</w:t>
            </w:r>
          </w:p>
        </w:tc>
        <w:tc>
          <w:tcPr>
            <w:tcW w:w="1214" w:type="dxa"/>
            <w:vAlign w:val="top"/>
          </w:tcPr>
          <w:p w14:paraId="6826ED3F">
            <w:pPr>
              <w:rPr>
                <w:rFonts w:ascii="Arial"/>
                <w:sz w:val="21"/>
              </w:rPr>
            </w:pPr>
          </w:p>
        </w:tc>
        <w:tc>
          <w:tcPr>
            <w:tcW w:w="964" w:type="dxa"/>
            <w:vAlign w:val="top"/>
          </w:tcPr>
          <w:p w14:paraId="67B2EC06">
            <w:pPr>
              <w:rPr>
                <w:rFonts w:ascii="Arial"/>
                <w:sz w:val="21"/>
              </w:rPr>
            </w:pPr>
          </w:p>
        </w:tc>
        <w:tc>
          <w:tcPr>
            <w:tcW w:w="1402" w:type="dxa"/>
            <w:vAlign w:val="top"/>
          </w:tcPr>
          <w:p w14:paraId="5DDC34E4">
            <w:pPr>
              <w:rPr>
                <w:rFonts w:ascii="Arial"/>
                <w:sz w:val="21"/>
              </w:rPr>
            </w:pPr>
          </w:p>
        </w:tc>
        <w:tc>
          <w:tcPr>
            <w:tcW w:w="930" w:type="dxa"/>
            <w:vAlign w:val="top"/>
          </w:tcPr>
          <w:p w14:paraId="3378CAB0">
            <w:pPr>
              <w:rPr>
                <w:rFonts w:ascii="Arial"/>
                <w:sz w:val="21"/>
              </w:rPr>
            </w:pPr>
          </w:p>
        </w:tc>
      </w:tr>
      <w:tr w14:paraId="68FA94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6" w:hRule="atLeast"/>
        </w:trPr>
        <w:tc>
          <w:tcPr>
            <w:tcW w:w="754" w:type="dxa"/>
            <w:vAlign w:val="top"/>
          </w:tcPr>
          <w:p w14:paraId="1A9C06B6">
            <w:pPr>
              <w:rPr>
                <w:rFonts w:ascii="Arial"/>
                <w:sz w:val="21"/>
              </w:rPr>
            </w:pPr>
          </w:p>
        </w:tc>
        <w:tc>
          <w:tcPr>
            <w:tcW w:w="3321" w:type="dxa"/>
            <w:vAlign w:val="top"/>
          </w:tcPr>
          <w:p w14:paraId="6E4E62F6">
            <w:pPr>
              <w:pStyle w:val="11"/>
              <w:spacing w:before="162" w:line="221" w:lineRule="auto"/>
              <w:ind w:left="117"/>
            </w:pPr>
            <w:r>
              <w:rPr>
                <w:spacing w:val="-2"/>
              </w:rPr>
              <w:t>设备费</w:t>
            </w:r>
          </w:p>
        </w:tc>
        <w:tc>
          <w:tcPr>
            <w:tcW w:w="1214" w:type="dxa"/>
            <w:vAlign w:val="top"/>
          </w:tcPr>
          <w:p w14:paraId="3D14E8C3">
            <w:pPr>
              <w:rPr>
                <w:rFonts w:ascii="Arial"/>
                <w:sz w:val="21"/>
              </w:rPr>
            </w:pPr>
          </w:p>
        </w:tc>
        <w:tc>
          <w:tcPr>
            <w:tcW w:w="964" w:type="dxa"/>
            <w:vAlign w:val="top"/>
          </w:tcPr>
          <w:p w14:paraId="39C008D7">
            <w:pPr>
              <w:rPr>
                <w:rFonts w:ascii="Arial"/>
                <w:sz w:val="21"/>
              </w:rPr>
            </w:pPr>
          </w:p>
        </w:tc>
        <w:tc>
          <w:tcPr>
            <w:tcW w:w="1402" w:type="dxa"/>
            <w:vAlign w:val="top"/>
          </w:tcPr>
          <w:p w14:paraId="77ABB9BF">
            <w:pPr>
              <w:rPr>
                <w:rFonts w:ascii="Arial"/>
                <w:sz w:val="21"/>
              </w:rPr>
            </w:pPr>
          </w:p>
        </w:tc>
        <w:tc>
          <w:tcPr>
            <w:tcW w:w="930" w:type="dxa"/>
            <w:vAlign w:val="top"/>
          </w:tcPr>
          <w:p w14:paraId="04A11C6A">
            <w:pPr>
              <w:rPr>
                <w:rFonts w:ascii="Arial"/>
                <w:sz w:val="21"/>
              </w:rPr>
            </w:pPr>
          </w:p>
        </w:tc>
      </w:tr>
      <w:tr w14:paraId="531648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0" w:hRule="atLeast"/>
        </w:trPr>
        <w:tc>
          <w:tcPr>
            <w:tcW w:w="754" w:type="dxa"/>
            <w:vAlign w:val="top"/>
          </w:tcPr>
          <w:p w14:paraId="3A0A73A1">
            <w:pPr>
              <w:rPr>
                <w:rFonts w:ascii="Arial"/>
                <w:sz w:val="21"/>
              </w:rPr>
            </w:pPr>
          </w:p>
        </w:tc>
        <w:tc>
          <w:tcPr>
            <w:tcW w:w="3321" w:type="dxa"/>
            <w:vAlign w:val="top"/>
          </w:tcPr>
          <w:p w14:paraId="4D700BAB">
            <w:pPr>
              <w:pStyle w:val="11"/>
              <w:spacing w:before="161" w:line="220" w:lineRule="auto"/>
              <w:ind w:left="115"/>
            </w:pPr>
            <w:r>
              <w:rPr>
                <w:spacing w:val="-2"/>
              </w:rPr>
              <w:t>主材费</w:t>
            </w:r>
          </w:p>
        </w:tc>
        <w:tc>
          <w:tcPr>
            <w:tcW w:w="1214" w:type="dxa"/>
            <w:vAlign w:val="top"/>
          </w:tcPr>
          <w:p w14:paraId="04214F51">
            <w:pPr>
              <w:rPr>
                <w:rFonts w:ascii="Arial"/>
                <w:sz w:val="21"/>
              </w:rPr>
            </w:pPr>
          </w:p>
        </w:tc>
        <w:tc>
          <w:tcPr>
            <w:tcW w:w="964" w:type="dxa"/>
            <w:vAlign w:val="top"/>
          </w:tcPr>
          <w:p w14:paraId="4EC09828">
            <w:pPr>
              <w:rPr>
                <w:rFonts w:ascii="Arial"/>
                <w:sz w:val="21"/>
              </w:rPr>
            </w:pPr>
          </w:p>
        </w:tc>
        <w:tc>
          <w:tcPr>
            <w:tcW w:w="1402" w:type="dxa"/>
            <w:vAlign w:val="top"/>
          </w:tcPr>
          <w:p w14:paraId="1BBB552B">
            <w:pPr>
              <w:rPr>
                <w:rFonts w:ascii="Arial"/>
                <w:sz w:val="21"/>
              </w:rPr>
            </w:pPr>
          </w:p>
        </w:tc>
        <w:tc>
          <w:tcPr>
            <w:tcW w:w="930" w:type="dxa"/>
            <w:vAlign w:val="top"/>
          </w:tcPr>
          <w:p w14:paraId="59B9FA77">
            <w:pPr>
              <w:rPr>
                <w:rFonts w:ascii="Arial"/>
                <w:sz w:val="21"/>
              </w:rPr>
            </w:pPr>
          </w:p>
        </w:tc>
      </w:tr>
      <w:tr w14:paraId="30E0EF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5" w:hRule="atLeast"/>
        </w:trPr>
        <w:tc>
          <w:tcPr>
            <w:tcW w:w="754" w:type="dxa"/>
            <w:vAlign w:val="top"/>
          </w:tcPr>
          <w:p w14:paraId="7727C7D4">
            <w:pPr>
              <w:rPr>
                <w:rFonts w:ascii="Arial"/>
                <w:sz w:val="21"/>
              </w:rPr>
            </w:pPr>
          </w:p>
        </w:tc>
        <w:tc>
          <w:tcPr>
            <w:tcW w:w="3321" w:type="dxa"/>
            <w:vAlign w:val="top"/>
          </w:tcPr>
          <w:p w14:paraId="710AE03E">
            <w:pPr>
              <w:rPr>
                <w:rFonts w:ascii="Arial"/>
                <w:sz w:val="21"/>
              </w:rPr>
            </w:pPr>
          </w:p>
        </w:tc>
        <w:tc>
          <w:tcPr>
            <w:tcW w:w="1214" w:type="dxa"/>
            <w:vAlign w:val="top"/>
          </w:tcPr>
          <w:p w14:paraId="2999C054">
            <w:pPr>
              <w:rPr>
                <w:rFonts w:ascii="Arial"/>
                <w:sz w:val="21"/>
              </w:rPr>
            </w:pPr>
          </w:p>
        </w:tc>
        <w:tc>
          <w:tcPr>
            <w:tcW w:w="964" w:type="dxa"/>
            <w:vAlign w:val="top"/>
          </w:tcPr>
          <w:p w14:paraId="2F91F2ED">
            <w:pPr>
              <w:rPr>
                <w:rFonts w:ascii="Arial"/>
                <w:sz w:val="21"/>
              </w:rPr>
            </w:pPr>
          </w:p>
        </w:tc>
        <w:tc>
          <w:tcPr>
            <w:tcW w:w="1402" w:type="dxa"/>
            <w:vAlign w:val="top"/>
          </w:tcPr>
          <w:p w14:paraId="5386017F">
            <w:pPr>
              <w:rPr>
                <w:rFonts w:ascii="Arial"/>
                <w:sz w:val="21"/>
              </w:rPr>
            </w:pPr>
          </w:p>
        </w:tc>
        <w:tc>
          <w:tcPr>
            <w:tcW w:w="930" w:type="dxa"/>
            <w:vAlign w:val="top"/>
          </w:tcPr>
          <w:p w14:paraId="3CC6FDE1">
            <w:pPr>
              <w:rPr>
                <w:rFonts w:ascii="Arial"/>
                <w:sz w:val="21"/>
              </w:rPr>
            </w:pPr>
          </w:p>
        </w:tc>
      </w:tr>
      <w:tr w14:paraId="18B37A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1" w:hRule="atLeast"/>
        </w:trPr>
        <w:tc>
          <w:tcPr>
            <w:tcW w:w="754" w:type="dxa"/>
            <w:vAlign w:val="top"/>
          </w:tcPr>
          <w:p w14:paraId="619367A8">
            <w:pPr>
              <w:rPr>
                <w:rFonts w:ascii="Arial"/>
                <w:sz w:val="21"/>
              </w:rPr>
            </w:pPr>
          </w:p>
        </w:tc>
        <w:tc>
          <w:tcPr>
            <w:tcW w:w="3321" w:type="dxa"/>
            <w:vAlign w:val="top"/>
          </w:tcPr>
          <w:p w14:paraId="50FBFDEB">
            <w:pPr>
              <w:rPr>
                <w:rFonts w:ascii="Arial"/>
                <w:sz w:val="21"/>
              </w:rPr>
            </w:pPr>
          </w:p>
        </w:tc>
        <w:tc>
          <w:tcPr>
            <w:tcW w:w="1214" w:type="dxa"/>
            <w:vAlign w:val="top"/>
          </w:tcPr>
          <w:p w14:paraId="7BF76325">
            <w:pPr>
              <w:rPr>
                <w:rFonts w:ascii="Arial"/>
                <w:sz w:val="21"/>
              </w:rPr>
            </w:pPr>
          </w:p>
        </w:tc>
        <w:tc>
          <w:tcPr>
            <w:tcW w:w="964" w:type="dxa"/>
            <w:vAlign w:val="top"/>
          </w:tcPr>
          <w:p w14:paraId="7734735B">
            <w:pPr>
              <w:rPr>
                <w:rFonts w:ascii="Arial"/>
                <w:sz w:val="21"/>
              </w:rPr>
            </w:pPr>
          </w:p>
        </w:tc>
        <w:tc>
          <w:tcPr>
            <w:tcW w:w="1402" w:type="dxa"/>
            <w:vAlign w:val="top"/>
          </w:tcPr>
          <w:p w14:paraId="0A5CEFB5">
            <w:pPr>
              <w:rPr>
                <w:rFonts w:ascii="Arial"/>
                <w:sz w:val="21"/>
              </w:rPr>
            </w:pPr>
          </w:p>
        </w:tc>
        <w:tc>
          <w:tcPr>
            <w:tcW w:w="930" w:type="dxa"/>
            <w:vAlign w:val="top"/>
          </w:tcPr>
          <w:p w14:paraId="3BBFF537">
            <w:pPr>
              <w:rPr>
                <w:rFonts w:ascii="Arial"/>
                <w:sz w:val="21"/>
              </w:rPr>
            </w:pPr>
          </w:p>
        </w:tc>
      </w:tr>
      <w:tr w14:paraId="54DFE6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5" w:hRule="atLeast"/>
        </w:trPr>
        <w:tc>
          <w:tcPr>
            <w:tcW w:w="754" w:type="dxa"/>
            <w:vAlign w:val="top"/>
          </w:tcPr>
          <w:p w14:paraId="54B1E05A">
            <w:pPr>
              <w:rPr>
                <w:rFonts w:ascii="Arial"/>
                <w:sz w:val="21"/>
              </w:rPr>
            </w:pPr>
          </w:p>
        </w:tc>
        <w:tc>
          <w:tcPr>
            <w:tcW w:w="3321" w:type="dxa"/>
            <w:vAlign w:val="top"/>
          </w:tcPr>
          <w:p w14:paraId="52300859">
            <w:pPr>
              <w:rPr>
                <w:rFonts w:ascii="Arial"/>
                <w:sz w:val="21"/>
              </w:rPr>
            </w:pPr>
          </w:p>
        </w:tc>
        <w:tc>
          <w:tcPr>
            <w:tcW w:w="1214" w:type="dxa"/>
            <w:vAlign w:val="top"/>
          </w:tcPr>
          <w:p w14:paraId="27FE348C">
            <w:pPr>
              <w:rPr>
                <w:rFonts w:ascii="Arial"/>
                <w:sz w:val="21"/>
              </w:rPr>
            </w:pPr>
          </w:p>
        </w:tc>
        <w:tc>
          <w:tcPr>
            <w:tcW w:w="964" w:type="dxa"/>
            <w:vAlign w:val="top"/>
          </w:tcPr>
          <w:p w14:paraId="422CC5EB">
            <w:pPr>
              <w:rPr>
                <w:rFonts w:ascii="Arial"/>
                <w:sz w:val="21"/>
              </w:rPr>
            </w:pPr>
          </w:p>
        </w:tc>
        <w:tc>
          <w:tcPr>
            <w:tcW w:w="1402" w:type="dxa"/>
            <w:vAlign w:val="top"/>
          </w:tcPr>
          <w:p w14:paraId="3BC5324A">
            <w:pPr>
              <w:rPr>
                <w:rFonts w:ascii="Arial"/>
                <w:sz w:val="21"/>
              </w:rPr>
            </w:pPr>
          </w:p>
        </w:tc>
        <w:tc>
          <w:tcPr>
            <w:tcW w:w="930" w:type="dxa"/>
            <w:vAlign w:val="top"/>
          </w:tcPr>
          <w:p w14:paraId="5582F017">
            <w:pPr>
              <w:rPr>
                <w:rFonts w:ascii="Arial"/>
                <w:sz w:val="21"/>
              </w:rPr>
            </w:pPr>
          </w:p>
        </w:tc>
      </w:tr>
      <w:tr w14:paraId="75F637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0" w:hRule="atLeast"/>
        </w:trPr>
        <w:tc>
          <w:tcPr>
            <w:tcW w:w="754" w:type="dxa"/>
            <w:vAlign w:val="top"/>
          </w:tcPr>
          <w:p w14:paraId="7DF5655F">
            <w:pPr>
              <w:rPr>
                <w:rFonts w:ascii="Arial"/>
                <w:sz w:val="21"/>
              </w:rPr>
            </w:pPr>
          </w:p>
        </w:tc>
        <w:tc>
          <w:tcPr>
            <w:tcW w:w="3321" w:type="dxa"/>
            <w:vAlign w:val="top"/>
          </w:tcPr>
          <w:p w14:paraId="4B13399B">
            <w:pPr>
              <w:rPr>
                <w:rFonts w:ascii="Arial"/>
                <w:sz w:val="21"/>
              </w:rPr>
            </w:pPr>
          </w:p>
        </w:tc>
        <w:tc>
          <w:tcPr>
            <w:tcW w:w="1214" w:type="dxa"/>
            <w:vAlign w:val="top"/>
          </w:tcPr>
          <w:p w14:paraId="3F67303F">
            <w:pPr>
              <w:rPr>
                <w:rFonts w:ascii="Arial"/>
                <w:sz w:val="21"/>
              </w:rPr>
            </w:pPr>
          </w:p>
        </w:tc>
        <w:tc>
          <w:tcPr>
            <w:tcW w:w="964" w:type="dxa"/>
            <w:vAlign w:val="top"/>
          </w:tcPr>
          <w:p w14:paraId="0005FB0C">
            <w:pPr>
              <w:rPr>
                <w:rFonts w:ascii="Arial"/>
                <w:sz w:val="21"/>
              </w:rPr>
            </w:pPr>
          </w:p>
        </w:tc>
        <w:tc>
          <w:tcPr>
            <w:tcW w:w="1402" w:type="dxa"/>
            <w:vAlign w:val="top"/>
          </w:tcPr>
          <w:p w14:paraId="5BF2F54F">
            <w:pPr>
              <w:rPr>
                <w:rFonts w:ascii="Arial"/>
                <w:sz w:val="21"/>
              </w:rPr>
            </w:pPr>
          </w:p>
        </w:tc>
        <w:tc>
          <w:tcPr>
            <w:tcW w:w="930" w:type="dxa"/>
            <w:vAlign w:val="top"/>
          </w:tcPr>
          <w:p w14:paraId="32FE23DD">
            <w:pPr>
              <w:rPr>
                <w:rFonts w:ascii="Arial"/>
                <w:sz w:val="21"/>
              </w:rPr>
            </w:pPr>
          </w:p>
        </w:tc>
      </w:tr>
      <w:tr w14:paraId="6983A9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6" w:hRule="atLeast"/>
        </w:trPr>
        <w:tc>
          <w:tcPr>
            <w:tcW w:w="754" w:type="dxa"/>
            <w:vAlign w:val="top"/>
          </w:tcPr>
          <w:p w14:paraId="474431E6">
            <w:pPr>
              <w:rPr>
                <w:rFonts w:ascii="Arial"/>
                <w:sz w:val="21"/>
              </w:rPr>
            </w:pPr>
          </w:p>
        </w:tc>
        <w:tc>
          <w:tcPr>
            <w:tcW w:w="3321" w:type="dxa"/>
            <w:vAlign w:val="top"/>
          </w:tcPr>
          <w:p w14:paraId="53505F9D">
            <w:pPr>
              <w:rPr>
                <w:rFonts w:ascii="Arial"/>
                <w:sz w:val="21"/>
              </w:rPr>
            </w:pPr>
          </w:p>
        </w:tc>
        <w:tc>
          <w:tcPr>
            <w:tcW w:w="1214" w:type="dxa"/>
            <w:vAlign w:val="top"/>
          </w:tcPr>
          <w:p w14:paraId="2D1A1BD5">
            <w:pPr>
              <w:rPr>
                <w:rFonts w:ascii="Arial"/>
                <w:sz w:val="21"/>
              </w:rPr>
            </w:pPr>
          </w:p>
        </w:tc>
        <w:tc>
          <w:tcPr>
            <w:tcW w:w="964" w:type="dxa"/>
            <w:vAlign w:val="top"/>
          </w:tcPr>
          <w:p w14:paraId="47A3CFC6">
            <w:pPr>
              <w:rPr>
                <w:rFonts w:ascii="Arial"/>
                <w:sz w:val="21"/>
              </w:rPr>
            </w:pPr>
          </w:p>
        </w:tc>
        <w:tc>
          <w:tcPr>
            <w:tcW w:w="1402" w:type="dxa"/>
            <w:vAlign w:val="top"/>
          </w:tcPr>
          <w:p w14:paraId="241EEC49">
            <w:pPr>
              <w:rPr>
                <w:rFonts w:ascii="Arial"/>
                <w:sz w:val="21"/>
              </w:rPr>
            </w:pPr>
          </w:p>
        </w:tc>
        <w:tc>
          <w:tcPr>
            <w:tcW w:w="930" w:type="dxa"/>
            <w:vAlign w:val="top"/>
          </w:tcPr>
          <w:p w14:paraId="39DF03E0">
            <w:pPr>
              <w:rPr>
                <w:rFonts w:ascii="Arial"/>
                <w:sz w:val="21"/>
              </w:rPr>
            </w:pPr>
          </w:p>
        </w:tc>
      </w:tr>
      <w:tr w14:paraId="3435D7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0" w:hRule="atLeast"/>
        </w:trPr>
        <w:tc>
          <w:tcPr>
            <w:tcW w:w="754" w:type="dxa"/>
            <w:vAlign w:val="top"/>
          </w:tcPr>
          <w:p w14:paraId="6175C862">
            <w:pPr>
              <w:rPr>
                <w:rFonts w:ascii="Arial"/>
                <w:sz w:val="21"/>
              </w:rPr>
            </w:pPr>
          </w:p>
        </w:tc>
        <w:tc>
          <w:tcPr>
            <w:tcW w:w="3321" w:type="dxa"/>
            <w:vAlign w:val="top"/>
          </w:tcPr>
          <w:p w14:paraId="568AEB5D">
            <w:pPr>
              <w:rPr>
                <w:rFonts w:ascii="Arial"/>
                <w:sz w:val="21"/>
              </w:rPr>
            </w:pPr>
          </w:p>
        </w:tc>
        <w:tc>
          <w:tcPr>
            <w:tcW w:w="1214" w:type="dxa"/>
            <w:vAlign w:val="top"/>
          </w:tcPr>
          <w:p w14:paraId="1BCCA919">
            <w:pPr>
              <w:rPr>
                <w:rFonts w:ascii="Arial"/>
                <w:sz w:val="21"/>
              </w:rPr>
            </w:pPr>
          </w:p>
        </w:tc>
        <w:tc>
          <w:tcPr>
            <w:tcW w:w="964" w:type="dxa"/>
            <w:vAlign w:val="top"/>
          </w:tcPr>
          <w:p w14:paraId="7386FBA9">
            <w:pPr>
              <w:rPr>
                <w:rFonts w:ascii="Arial"/>
                <w:sz w:val="21"/>
              </w:rPr>
            </w:pPr>
          </w:p>
        </w:tc>
        <w:tc>
          <w:tcPr>
            <w:tcW w:w="1402" w:type="dxa"/>
            <w:vAlign w:val="top"/>
          </w:tcPr>
          <w:p w14:paraId="77B21157">
            <w:pPr>
              <w:rPr>
                <w:rFonts w:ascii="Arial"/>
                <w:sz w:val="21"/>
              </w:rPr>
            </w:pPr>
          </w:p>
        </w:tc>
        <w:tc>
          <w:tcPr>
            <w:tcW w:w="930" w:type="dxa"/>
            <w:vAlign w:val="top"/>
          </w:tcPr>
          <w:p w14:paraId="4CBC2A25">
            <w:pPr>
              <w:rPr>
                <w:rFonts w:ascii="Arial"/>
                <w:sz w:val="21"/>
              </w:rPr>
            </w:pPr>
          </w:p>
        </w:tc>
      </w:tr>
      <w:tr w14:paraId="101D19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5" w:hRule="atLeast"/>
        </w:trPr>
        <w:tc>
          <w:tcPr>
            <w:tcW w:w="754" w:type="dxa"/>
            <w:vAlign w:val="top"/>
          </w:tcPr>
          <w:p w14:paraId="6A2972D0">
            <w:pPr>
              <w:rPr>
                <w:rFonts w:ascii="Arial"/>
                <w:sz w:val="21"/>
              </w:rPr>
            </w:pPr>
          </w:p>
        </w:tc>
        <w:tc>
          <w:tcPr>
            <w:tcW w:w="3321" w:type="dxa"/>
            <w:vAlign w:val="top"/>
          </w:tcPr>
          <w:p w14:paraId="1AD9C9ED">
            <w:pPr>
              <w:rPr>
                <w:rFonts w:ascii="Arial"/>
                <w:sz w:val="21"/>
              </w:rPr>
            </w:pPr>
          </w:p>
        </w:tc>
        <w:tc>
          <w:tcPr>
            <w:tcW w:w="1214" w:type="dxa"/>
            <w:vAlign w:val="top"/>
          </w:tcPr>
          <w:p w14:paraId="7CE04665">
            <w:pPr>
              <w:rPr>
                <w:rFonts w:ascii="Arial"/>
                <w:sz w:val="21"/>
              </w:rPr>
            </w:pPr>
          </w:p>
        </w:tc>
        <w:tc>
          <w:tcPr>
            <w:tcW w:w="964" w:type="dxa"/>
            <w:vAlign w:val="top"/>
          </w:tcPr>
          <w:p w14:paraId="4346D530">
            <w:pPr>
              <w:rPr>
                <w:rFonts w:ascii="Arial"/>
                <w:sz w:val="21"/>
              </w:rPr>
            </w:pPr>
          </w:p>
        </w:tc>
        <w:tc>
          <w:tcPr>
            <w:tcW w:w="1402" w:type="dxa"/>
            <w:vAlign w:val="top"/>
          </w:tcPr>
          <w:p w14:paraId="4FDE4EB5">
            <w:pPr>
              <w:rPr>
                <w:rFonts w:ascii="Arial"/>
                <w:sz w:val="21"/>
              </w:rPr>
            </w:pPr>
          </w:p>
        </w:tc>
        <w:tc>
          <w:tcPr>
            <w:tcW w:w="930" w:type="dxa"/>
            <w:vAlign w:val="top"/>
          </w:tcPr>
          <w:p w14:paraId="1539B329">
            <w:pPr>
              <w:rPr>
                <w:rFonts w:ascii="Arial"/>
                <w:sz w:val="21"/>
              </w:rPr>
            </w:pPr>
          </w:p>
        </w:tc>
      </w:tr>
      <w:tr w14:paraId="5325A1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1" w:hRule="atLeast"/>
        </w:trPr>
        <w:tc>
          <w:tcPr>
            <w:tcW w:w="754" w:type="dxa"/>
            <w:vAlign w:val="top"/>
          </w:tcPr>
          <w:p w14:paraId="7338326D">
            <w:pPr>
              <w:rPr>
                <w:rFonts w:ascii="Arial"/>
                <w:sz w:val="21"/>
              </w:rPr>
            </w:pPr>
          </w:p>
        </w:tc>
        <w:tc>
          <w:tcPr>
            <w:tcW w:w="3321" w:type="dxa"/>
            <w:vAlign w:val="top"/>
          </w:tcPr>
          <w:p w14:paraId="7F263AFF">
            <w:pPr>
              <w:rPr>
                <w:rFonts w:ascii="Arial"/>
                <w:sz w:val="21"/>
              </w:rPr>
            </w:pPr>
          </w:p>
        </w:tc>
        <w:tc>
          <w:tcPr>
            <w:tcW w:w="1214" w:type="dxa"/>
            <w:vAlign w:val="top"/>
          </w:tcPr>
          <w:p w14:paraId="09D8EDE9">
            <w:pPr>
              <w:rPr>
                <w:rFonts w:ascii="Arial"/>
                <w:sz w:val="21"/>
              </w:rPr>
            </w:pPr>
          </w:p>
        </w:tc>
        <w:tc>
          <w:tcPr>
            <w:tcW w:w="964" w:type="dxa"/>
            <w:vAlign w:val="top"/>
          </w:tcPr>
          <w:p w14:paraId="213AA083">
            <w:pPr>
              <w:rPr>
                <w:rFonts w:ascii="Arial"/>
                <w:sz w:val="21"/>
              </w:rPr>
            </w:pPr>
          </w:p>
        </w:tc>
        <w:tc>
          <w:tcPr>
            <w:tcW w:w="1402" w:type="dxa"/>
            <w:vAlign w:val="top"/>
          </w:tcPr>
          <w:p w14:paraId="50A953AB">
            <w:pPr>
              <w:rPr>
                <w:rFonts w:ascii="Arial"/>
                <w:sz w:val="21"/>
              </w:rPr>
            </w:pPr>
          </w:p>
        </w:tc>
        <w:tc>
          <w:tcPr>
            <w:tcW w:w="930" w:type="dxa"/>
            <w:vAlign w:val="top"/>
          </w:tcPr>
          <w:p w14:paraId="1096382D">
            <w:pPr>
              <w:rPr>
                <w:rFonts w:ascii="Arial"/>
                <w:sz w:val="21"/>
              </w:rPr>
            </w:pPr>
          </w:p>
        </w:tc>
      </w:tr>
      <w:tr w14:paraId="1254A8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4" w:hRule="atLeast"/>
        </w:trPr>
        <w:tc>
          <w:tcPr>
            <w:tcW w:w="4075" w:type="dxa"/>
            <w:gridSpan w:val="2"/>
            <w:vAlign w:val="top"/>
          </w:tcPr>
          <w:p w14:paraId="482E6466">
            <w:pPr>
              <w:pStyle w:val="11"/>
              <w:spacing w:before="184" w:line="222" w:lineRule="auto"/>
              <w:ind w:left="1781"/>
            </w:pPr>
            <w:r>
              <w:rPr>
                <w:spacing w:val="-4"/>
              </w:rPr>
              <w:t>合</w:t>
            </w:r>
            <w:r>
              <w:rPr>
                <w:spacing w:val="8"/>
              </w:rPr>
              <w:t xml:space="preserve"> </w:t>
            </w:r>
            <w:r>
              <w:rPr>
                <w:spacing w:val="-4"/>
              </w:rPr>
              <w:t>计</w:t>
            </w:r>
          </w:p>
        </w:tc>
        <w:tc>
          <w:tcPr>
            <w:tcW w:w="1214" w:type="dxa"/>
            <w:vAlign w:val="top"/>
          </w:tcPr>
          <w:p w14:paraId="3A565C89">
            <w:pPr>
              <w:rPr>
                <w:rFonts w:ascii="Arial"/>
                <w:sz w:val="21"/>
              </w:rPr>
            </w:pPr>
          </w:p>
        </w:tc>
        <w:tc>
          <w:tcPr>
            <w:tcW w:w="964" w:type="dxa"/>
            <w:vAlign w:val="top"/>
          </w:tcPr>
          <w:p w14:paraId="62A1D502">
            <w:pPr>
              <w:rPr>
                <w:rFonts w:ascii="Arial"/>
                <w:sz w:val="21"/>
              </w:rPr>
            </w:pPr>
          </w:p>
        </w:tc>
        <w:tc>
          <w:tcPr>
            <w:tcW w:w="1402" w:type="dxa"/>
            <w:vAlign w:val="top"/>
          </w:tcPr>
          <w:p w14:paraId="47D6633D">
            <w:pPr>
              <w:rPr>
                <w:rFonts w:ascii="Arial"/>
                <w:sz w:val="21"/>
              </w:rPr>
            </w:pPr>
          </w:p>
        </w:tc>
        <w:tc>
          <w:tcPr>
            <w:tcW w:w="930" w:type="dxa"/>
            <w:vAlign w:val="top"/>
          </w:tcPr>
          <w:p w14:paraId="5D59D8F5">
            <w:pPr>
              <w:rPr>
                <w:rFonts w:ascii="Arial"/>
                <w:sz w:val="21"/>
              </w:rPr>
            </w:pPr>
          </w:p>
        </w:tc>
      </w:tr>
    </w:tbl>
    <w:p w14:paraId="3561B72C">
      <w:pPr>
        <w:pStyle w:val="3"/>
      </w:pPr>
    </w:p>
    <w:p w14:paraId="02A165F0">
      <w:pPr>
        <w:sectPr>
          <w:footerReference r:id="rId167" w:type="default"/>
          <w:pgSz w:w="11905" w:h="16839"/>
          <w:pgMar w:top="400" w:right="1652" w:bottom="1004" w:left="1661" w:header="0" w:footer="828" w:gutter="0"/>
          <w:pgNumType w:fmt="decimal"/>
          <w:cols w:space="720" w:num="1"/>
        </w:sectPr>
      </w:pPr>
    </w:p>
    <w:p w14:paraId="29201FCF">
      <w:pPr>
        <w:pStyle w:val="3"/>
        <w:spacing w:line="267" w:lineRule="auto"/>
      </w:pPr>
    </w:p>
    <w:p w14:paraId="59957C23">
      <w:pPr>
        <w:pStyle w:val="3"/>
        <w:spacing w:line="267" w:lineRule="auto"/>
      </w:pPr>
    </w:p>
    <w:p w14:paraId="7132FDAE">
      <w:pPr>
        <w:pStyle w:val="3"/>
        <w:spacing w:line="268" w:lineRule="auto"/>
      </w:pPr>
    </w:p>
    <w:p w14:paraId="47D94FC7">
      <w:pPr>
        <w:pStyle w:val="3"/>
        <w:spacing w:line="268" w:lineRule="auto"/>
      </w:pPr>
    </w:p>
    <w:p w14:paraId="6D47767D">
      <w:pPr>
        <w:spacing w:before="78" w:line="219" w:lineRule="auto"/>
        <w:ind w:left="138"/>
        <w:rPr>
          <w:rFonts w:ascii="黑体" w:hAnsi="黑体" w:eastAsia="黑体" w:cs="黑体"/>
          <w:sz w:val="24"/>
          <w:szCs w:val="24"/>
        </w:rPr>
      </w:pPr>
      <w:r>
        <w:rPr>
          <w:rFonts w:ascii="Times New Roman" w:hAnsi="Times New Roman" w:eastAsia="Times New Roman" w:cs="Times New Roman"/>
          <w:spacing w:val="-1"/>
          <w:sz w:val="24"/>
          <w:szCs w:val="24"/>
        </w:rPr>
        <w:t xml:space="preserve">4.7 </w:t>
      </w:r>
      <w:r>
        <w:rPr>
          <w:rFonts w:ascii="黑体" w:hAnsi="黑体" w:eastAsia="黑体" w:cs="黑体"/>
          <w:spacing w:val="-1"/>
          <w:sz w:val="24"/>
          <w:szCs w:val="24"/>
        </w:rPr>
        <w:t>单项工程投标报价汇总表</w:t>
      </w:r>
    </w:p>
    <w:p w14:paraId="16137721">
      <w:pPr>
        <w:spacing w:before="61" w:line="225" w:lineRule="auto"/>
        <w:ind w:left="2770"/>
        <w:rPr>
          <w:rFonts w:ascii="黑体" w:hAnsi="黑体" w:eastAsia="黑体" w:cs="黑体"/>
          <w:sz w:val="27"/>
          <w:szCs w:val="27"/>
        </w:rPr>
      </w:pPr>
      <w:bookmarkStart w:id="1292" w:name="bookmark250"/>
      <w:bookmarkEnd w:id="1292"/>
      <w:r>
        <w:rPr>
          <w:rFonts w:ascii="黑体" w:hAnsi="黑体" w:eastAsia="黑体" w:cs="黑体"/>
          <w:spacing w:val="7"/>
          <w:sz w:val="27"/>
          <w:szCs w:val="27"/>
        </w:rPr>
        <w:t>单项工程投标报价汇总表</w:t>
      </w:r>
    </w:p>
    <w:p w14:paraId="5A018523">
      <w:pPr>
        <w:spacing w:before="233" w:line="221" w:lineRule="auto"/>
        <w:ind w:left="145"/>
        <w:rPr>
          <w:rFonts w:ascii="宋体" w:hAnsi="宋体" w:eastAsia="宋体" w:cs="宋体"/>
          <w:sz w:val="21"/>
          <w:szCs w:val="21"/>
        </w:rPr>
      </w:pPr>
      <w:r>
        <w:rPr>
          <w:rFonts w:ascii="宋体" w:hAnsi="宋体" w:eastAsia="宋体" w:cs="宋体"/>
          <w:spacing w:val="-17"/>
          <w:sz w:val="21"/>
          <w:szCs w:val="21"/>
        </w:rPr>
        <w:t>工程名称：</w:t>
      </w:r>
      <w:r>
        <w:rPr>
          <w:rFonts w:ascii="宋体" w:hAnsi="宋体" w:eastAsia="宋体" w:cs="宋体"/>
          <w:spacing w:val="1"/>
          <w:sz w:val="21"/>
          <w:szCs w:val="21"/>
        </w:rPr>
        <w:t xml:space="preserve">                     </w:t>
      </w:r>
      <w:r>
        <w:rPr>
          <w:rFonts w:ascii="宋体" w:hAnsi="宋体" w:eastAsia="宋体" w:cs="宋体"/>
          <w:sz w:val="21"/>
          <w:szCs w:val="21"/>
        </w:rPr>
        <w:t xml:space="preserve">                           </w:t>
      </w:r>
      <w:r>
        <w:rPr>
          <w:rFonts w:ascii="宋体" w:hAnsi="宋体" w:eastAsia="宋体" w:cs="宋体"/>
          <w:spacing w:val="-17"/>
          <w:sz w:val="21"/>
          <w:szCs w:val="21"/>
        </w:rPr>
        <w:t>第</w:t>
      </w:r>
      <w:r>
        <w:rPr>
          <w:rFonts w:ascii="宋体" w:hAnsi="宋体" w:eastAsia="宋体" w:cs="宋体"/>
          <w:spacing w:val="8"/>
          <w:sz w:val="21"/>
          <w:szCs w:val="21"/>
        </w:rPr>
        <w:t xml:space="preserve">  </w:t>
      </w:r>
      <w:r>
        <w:rPr>
          <w:rFonts w:ascii="宋体" w:hAnsi="宋体" w:eastAsia="宋体" w:cs="宋体"/>
          <w:spacing w:val="-17"/>
          <w:sz w:val="21"/>
          <w:szCs w:val="21"/>
        </w:rPr>
        <w:t>页</w:t>
      </w:r>
      <w:r>
        <w:rPr>
          <w:rFonts w:ascii="宋体" w:hAnsi="宋体" w:eastAsia="宋体" w:cs="宋体"/>
          <w:spacing w:val="1"/>
          <w:sz w:val="21"/>
          <w:szCs w:val="21"/>
        </w:rPr>
        <w:t xml:space="preserve">  </w:t>
      </w:r>
      <w:r>
        <w:rPr>
          <w:rFonts w:ascii="宋体" w:hAnsi="宋体" w:eastAsia="宋体" w:cs="宋体"/>
          <w:spacing w:val="-17"/>
          <w:sz w:val="21"/>
          <w:szCs w:val="21"/>
        </w:rPr>
        <w:t>共</w:t>
      </w:r>
      <w:r>
        <w:rPr>
          <w:rFonts w:ascii="宋体" w:hAnsi="宋体" w:eastAsia="宋体" w:cs="宋体"/>
          <w:spacing w:val="8"/>
          <w:sz w:val="21"/>
          <w:szCs w:val="21"/>
        </w:rPr>
        <w:t xml:space="preserve">  </w:t>
      </w:r>
      <w:r>
        <w:rPr>
          <w:rFonts w:ascii="宋体" w:hAnsi="宋体" w:eastAsia="宋体" w:cs="宋体"/>
          <w:spacing w:val="-17"/>
          <w:sz w:val="21"/>
          <w:szCs w:val="21"/>
        </w:rPr>
        <w:t>页</w:t>
      </w:r>
    </w:p>
    <w:p w14:paraId="15ED12D4">
      <w:pPr>
        <w:spacing w:line="127" w:lineRule="exact"/>
      </w:pPr>
    </w:p>
    <w:tbl>
      <w:tblPr>
        <w:tblStyle w:val="10"/>
        <w:tblW w:w="858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54"/>
        <w:gridCol w:w="3306"/>
        <w:gridCol w:w="1200"/>
        <w:gridCol w:w="926"/>
        <w:gridCol w:w="1469"/>
        <w:gridCol w:w="930"/>
      </w:tblGrid>
      <w:tr w14:paraId="232BAC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9" w:hRule="atLeast"/>
        </w:trPr>
        <w:tc>
          <w:tcPr>
            <w:tcW w:w="754" w:type="dxa"/>
            <w:vMerge w:val="restart"/>
            <w:tcBorders>
              <w:bottom w:val="nil"/>
            </w:tcBorders>
            <w:vAlign w:val="top"/>
          </w:tcPr>
          <w:p w14:paraId="7F4863F6">
            <w:pPr>
              <w:spacing w:line="410" w:lineRule="auto"/>
              <w:rPr>
                <w:rFonts w:ascii="Arial"/>
                <w:sz w:val="21"/>
              </w:rPr>
            </w:pPr>
          </w:p>
          <w:p w14:paraId="0F7D2D05">
            <w:pPr>
              <w:pStyle w:val="11"/>
              <w:spacing w:before="68" w:line="222" w:lineRule="auto"/>
              <w:ind w:left="170"/>
            </w:pPr>
            <w:r>
              <w:rPr>
                <w:spacing w:val="-2"/>
              </w:rPr>
              <w:t>序号</w:t>
            </w:r>
          </w:p>
        </w:tc>
        <w:tc>
          <w:tcPr>
            <w:tcW w:w="3306" w:type="dxa"/>
            <w:vMerge w:val="restart"/>
            <w:tcBorders>
              <w:bottom w:val="nil"/>
            </w:tcBorders>
            <w:vAlign w:val="top"/>
          </w:tcPr>
          <w:p w14:paraId="18055E19">
            <w:pPr>
              <w:spacing w:line="410" w:lineRule="auto"/>
              <w:rPr>
                <w:rFonts w:ascii="Arial"/>
                <w:sz w:val="21"/>
              </w:rPr>
            </w:pPr>
          </w:p>
          <w:p w14:paraId="265EFC27">
            <w:pPr>
              <w:pStyle w:val="11"/>
              <w:spacing w:before="68" w:line="221" w:lineRule="auto"/>
              <w:ind w:left="1027"/>
            </w:pPr>
            <w:r>
              <w:rPr>
                <w:spacing w:val="-1"/>
              </w:rPr>
              <w:t>单项工程名称</w:t>
            </w:r>
          </w:p>
        </w:tc>
        <w:tc>
          <w:tcPr>
            <w:tcW w:w="1200" w:type="dxa"/>
            <w:vMerge w:val="restart"/>
            <w:tcBorders>
              <w:bottom w:val="nil"/>
            </w:tcBorders>
            <w:vAlign w:val="top"/>
          </w:tcPr>
          <w:p w14:paraId="7B3DD4B0">
            <w:pPr>
              <w:pStyle w:val="11"/>
              <w:spacing w:before="288" w:line="384" w:lineRule="exact"/>
              <w:ind w:left="396"/>
            </w:pPr>
            <w:r>
              <w:rPr>
                <w:spacing w:val="-2"/>
                <w:position w:val="13"/>
              </w:rPr>
              <w:t>金额</w:t>
            </w:r>
          </w:p>
          <w:p w14:paraId="73595F3B">
            <w:pPr>
              <w:pStyle w:val="11"/>
              <w:spacing w:line="221" w:lineRule="auto"/>
              <w:ind w:left="295"/>
            </w:pPr>
            <w:r>
              <w:rPr>
                <w:spacing w:val="-6"/>
              </w:rPr>
              <w:t>（元）</w:t>
            </w:r>
          </w:p>
        </w:tc>
        <w:tc>
          <w:tcPr>
            <w:tcW w:w="3325" w:type="dxa"/>
            <w:gridSpan w:val="3"/>
            <w:vAlign w:val="top"/>
          </w:tcPr>
          <w:p w14:paraId="7162730D">
            <w:pPr>
              <w:pStyle w:val="11"/>
              <w:spacing w:before="173" w:line="221" w:lineRule="auto"/>
              <w:ind w:left="986"/>
            </w:pPr>
            <w:r>
              <w:rPr>
                <w:spacing w:val="-20"/>
              </w:rPr>
              <w:t>其</w:t>
            </w:r>
            <w:r>
              <w:rPr>
                <w:spacing w:val="15"/>
              </w:rPr>
              <w:t xml:space="preserve">  </w:t>
            </w:r>
            <w:r>
              <w:rPr>
                <w:spacing w:val="-20"/>
              </w:rPr>
              <w:t>中</w:t>
            </w:r>
            <w:r>
              <w:rPr>
                <w:spacing w:val="-34"/>
              </w:rPr>
              <w:t>：（</w:t>
            </w:r>
            <w:r>
              <w:rPr>
                <w:spacing w:val="-20"/>
              </w:rPr>
              <w:t>元）</w:t>
            </w:r>
          </w:p>
        </w:tc>
      </w:tr>
      <w:tr w14:paraId="1156E8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754" w:type="dxa"/>
            <w:vMerge w:val="continue"/>
            <w:tcBorders>
              <w:top w:val="nil"/>
            </w:tcBorders>
            <w:vAlign w:val="top"/>
          </w:tcPr>
          <w:p w14:paraId="79C8EFB6">
            <w:pPr>
              <w:rPr>
                <w:rFonts w:ascii="Arial"/>
                <w:sz w:val="21"/>
              </w:rPr>
            </w:pPr>
          </w:p>
        </w:tc>
        <w:tc>
          <w:tcPr>
            <w:tcW w:w="3306" w:type="dxa"/>
            <w:vMerge w:val="continue"/>
            <w:tcBorders>
              <w:top w:val="nil"/>
            </w:tcBorders>
            <w:vAlign w:val="top"/>
          </w:tcPr>
          <w:p w14:paraId="6A38E99D">
            <w:pPr>
              <w:rPr>
                <w:rFonts w:ascii="Arial"/>
                <w:sz w:val="21"/>
              </w:rPr>
            </w:pPr>
          </w:p>
        </w:tc>
        <w:tc>
          <w:tcPr>
            <w:tcW w:w="1200" w:type="dxa"/>
            <w:vMerge w:val="continue"/>
            <w:tcBorders>
              <w:top w:val="nil"/>
            </w:tcBorders>
            <w:vAlign w:val="top"/>
          </w:tcPr>
          <w:p w14:paraId="610F5048">
            <w:pPr>
              <w:rPr>
                <w:rFonts w:ascii="Arial"/>
                <w:sz w:val="21"/>
              </w:rPr>
            </w:pPr>
          </w:p>
        </w:tc>
        <w:tc>
          <w:tcPr>
            <w:tcW w:w="926" w:type="dxa"/>
            <w:vAlign w:val="top"/>
          </w:tcPr>
          <w:p w14:paraId="5ADBA947">
            <w:pPr>
              <w:pStyle w:val="11"/>
              <w:spacing w:before="207" w:line="219" w:lineRule="auto"/>
              <w:ind w:left="161"/>
            </w:pPr>
            <w:r>
              <w:rPr>
                <w:spacing w:val="-3"/>
              </w:rPr>
              <w:t>暂估价</w:t>
            </w:r>
          </w:p>
        </w:tc>
        <w:tc>
          <w:tcPr>
            <w:tcW w:w="1469" w:type="dxa"/>
            <w:vAlign w:val="top"/>
          </w:tcPr>
          <w:p w14:paraId="664E37C6">
            <w:pPr>
              <w:pStyle w:val="11"/>
              <w:spacing w:before="58" w:line="298" w:lineRule="exact"/>
              <w:ind w:left="323"/>
            </w:pPr>
            <w:r>
              <w:rPr>
                <w:spacing w:val="-2"/>
                <w:position w:val="6"/>
              </w:rPr>
              <w:t>安全文明</w:t>
            </w:r>
          </w:p>
          <w:p w14:paraId="2F2E0879">
            <w:pPr>
              <w:pStyle w:val="11"/>
              <w:spacing w:before="1" w:line="208" w:lineRule="auto"/>
              <w:ind w:left="424"/>
            </w:pPr>
            <w:r>
              <w:rPr>
                <w:spacing w:val="-1"/>
              </w:rPr>
              <w:t>施工费</w:t>
            </w:r>
          </w:p>
        </w:tc>
        <w:tc>
          <w:tcPr>
            <w:tcW w:w="930" w:type="dxa"/>
            <w:vAlign w:val="top"/>
          </w:tcPr>
          <w:p w14:paraId="69F49715">
            <w:pPr>
              <w:pStyle w:val="11"/>
              <w:spacing w:before="207" w:line="221" w:lineRule="auto"/>
              <w:ind w:left="258"/>
            </w:pPr>
            <w:r>
              <w:rPr>
                <w:spacing w:val="-2"/>
              </w:rPr>
              <w:t>规费</w:t>
            </w:r>
          </w:p>
        </w:tc>
      </w:tr>
      <w:tr w14:paraId="4A775B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7" w:hRule="atLeast"/>
        </w:trPr>
        <w:tc>
          <w:tcPr>
            <w:tcW w:w="754" w:type="dxa"/>
            <w:vAlign w:val="top"/>
          </w:tcPr>
          <w:p w14:paraId="24B0D3B4">
            <w:pPr>
              <w:rPr>
                <w:rFonts w:ascii="Arial"/>
                <w:sz w:val="21"/>
              </w:rPr>
            </w:pPr>
          </w:p>
        </w:tc>
        <w:tc>
          <w:tcPr>
            <w:tcW w:w="3306" w:type="dxa"/>
            <w:vAlign w:val="top"/>
          </w:tcPr>
          <w:p w14:paraId="1542E7F9">
            <w:pPr>
              <w:rPr>
                <w:rFonts w:ascii="Arial"/>
                <w:sz w:val="21"/>
              </w:rPr>
            </w:pPr>
          </w:p>
        </w:tc>
        <w:tc>
          <w:tcPr>
            <w:tcW w:w="1200" w:type="dxa"/>
            <w:vAlign w:val="top"/>
          </w:tcPr>
          <w:p w14:paraId="52211E6E">
            <w:pPr>
              <w:rPr>
                <w:rFonts w:ascii="Arial"/>
                <w:sz w:val="21"/>
              </w:rPr>
            </w:pPr>
          </w:p>
        </w:tc>
        <w:tc>
          <w:tcPr>
            <w:tcW w:w="926" w:type="dxa"/>
            <w:vAlign w:val="top"/>
          </w:tcPr>
          <w:p w14:paraId="678B8BF9">
            <w:pPr>
              <w:rPr>
                <w:rFonts w:ascii="Arial"/>
                <w:sz w:val="21"/>
              </w:rPr>
            </w:pPr>
          </w:p>
        </w:tc>
        <w:tc>
          <w:tcPr>
            <w:tcW w:w="1469" w:type="dxa"/>
            <w:vAlign w:val="top"/>
          </w:tcPr>
          <w:p w14:paraId="09E35B3D">
            <w:pPr>
              <w:rPr>
                <w:rFonts w:ascii="Arial"/>
                <w:sz w:val="21"/>
              </w:rPr>
            </w:pPr>
          </w:p>
        </w:tc>
        <w:tc>
          <w:tcPr>
            <w:tcW w:w="930" w:type="dxa"/>
            <w:vAlign w:val="top"/>
          </w:tcPr>
          <w:p w14:paraId="1C0549D2">
            <w:pPr>
              <w:rPr>
                <w:rFonts w:ascii="Arial"/>
                <w:sz w:val="21"/>
              </w:rPr>
            </w:pPr>
          </w:p>
        </w:tc>
      </w:tr>
      <w:tr w14:paraId="5683CA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2" w:hRule="atLeast"/>
        </w:trPr>
        <w:tc>
          <w:tcPr>
            <w:tcW w:w="754" w:type="dxa"/>
            <w:vAlign w:val="top"/>
          </w:tcPr>
          <w:p w14:paraId="1CB97EBA">
            <w:pPr>
              <w:rPr>
                <w:rFonts w:ascii="Arial"/>
                <w:sz w:val="21"/>
              </w:rPr>
            </w:pPr>
          </w:p>
        </w:tc>
        <w:tc>
          <w:tcPr>
            <w:tcW w:w="3306" w:type="dxa"/>
            <w:vAlign w:val="top"/>
          </w:tcPr>
          <w:p w14:paraId="17AE5FAA">
            <w:pPr>
              <w:rPr>
                <w:rFonts w:ascii="Arial"/>
                <w:sz w:val="21"/>
              </w:rPr>
            </w:pPr>
          </w:p>
        </w:tc>
        <w:tc>
          <w:tcPr>
            <w:tcW w:w="1200" w:type="dxa"/>
            <w:vAlign w:val="top"/>
          </w:tcPr>
          <w:p w14:paraId="17527580">
            <w:pPr>
              <w:rPr>
                <w:rFonts w:ascii="Arial"/>
                <w:sz w:val="21"/>
              </w:rPr>
            </w:pPr>
          </w:p>
        </w:tc>
        <w:tc>
          <w:tcPr>
            <w:tcW w:w="926" w:type="dxa"/>
            <w:vAlign w:val="top"/>
          </w:tcPr>
          <w:p w14:paraId="253AFC50">
            <w:pPr>
              <w:rPr>
                <w:rFonts w:ascii="Arial"/>
                <w:sz w:val="21"/>
              </w:rPr>
            </w:pPr>
          </w:p>
        </w:tc>
        <w:tc>
          <w:tcPr>
            <w:tcW w:w="1469" w:type="dxa"/>
            <w:vAlign w:val="top"/>
          </w:tcPr>
          <w:p w14:paraId="5088BD24">
            <w:pPr>
              <w:rPr>
                <w:rFonts w:ascii="Arial"/>
                <w:sz w:val="21"/>
              </w:rPr>
            </w:pPr>
          </w:p>
        </w:tc>
        <w:tc>
          <w:tcPr>
            <w:tcW w:w="930" w:type="dxa"/>
            <w:vAlign w:val="top"/>
          </w:tcPr>
          <w:p w14:paraId="3168E82F">
            <w:pPr>
              <w:rPr>
                <w:rFonts w:ascii="Arial"/>
                <w:sz w:val="21"/>
              </w:rPr>
            </w:pPr>
          </w:p>
        </w:tc>
      </w:tr>
      <w:tr w14:paraId="721BAE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6" w:hRule="atLeast"/>
        </w:trPr>
        <w:tc>
          <w:tcPr>
            <w:tcW w:w="754" w:type="dxa"/>
            <w:vAlign w:val="top"/>
          </w:tcPr>
          <w:p w14:paraId="7A3857E1">
            <w:pPr>
              <w:rPr>
                <w:rFonts w:ascii="Arial"/>
                <w:sz w:val="21"/>
              </w:rPr>
            </w:pPr>
          </w:p>
        </w:tc>
        <w:tc>
          <w:tcPr>
            <w:tcW w:w="3306" w:type="dxa"/>
            <w:vAlign w:val="top"/>
          </w:tcPr>
          <w:p w14:paraId="5A0F5757">
            <w:pPr>
              <w:rPr>
                <w:rFonts w:ascii="Arial"/>
                <w:sz w:val="21"/>
              </w:rPr>
            </w:pPr>
          </w:p>
        </w:tc>
        <w:tc>
          <w:tcPr>
            <w:tcW w:w="1200" w:type="dxa"/>
            <w:vAlign w:val="top"/>
          </w:tcPr>
          <w:p w14:paraId="611A4F12">
            <w:pPr>
              <w:rPr>
                <w:rFonts w:ascii="Arial"/>
                <w:sz w:val="21"/>
              </w:rPr>
            </w:pPr>
          </w:p>
        </w:tc>
        <w:tc>
          <w:tcPr>
            <w:tcW w:w="926" w:type="dxa"/>
            <w:vAlign w:val="top"/>
          </w:tcPr>
          <w:p w14:paraId="2782A160">
            <w:pPr>
              <w:rPr>
                <w:rFonts w:ascii="Arial"/>
                <w:sz w:val="21"/>
              </w:rPr>
            </w:pPr>
          </w:p>
        </w:tc>
        <w:tc>
          <w:tcPr>
            <w:tcW w:w="1469" w:type="dxa"/>
            <w:vAlign w:val="top"/>
          </w:tcPr>
          <w:p w14:paraId="6F127D69">
            <w:pPr>
              <w:rPr>
                <w:rFonts w:ascii="Arial"/>
                <w:sz w:val="21"/>
              </w:rPr>
            </w:pPr>
          </w:p>
        </w:tc>
        <w:tc>
          <w:tcPr>
            <w:tcW w:w="930" w:type="dxa"/>
            <w:vAlign w:val="top"/>
          </w:tcPr>
          <w:p w14:paraId="372FAE3B">
            <w:pPr>
              <w:rPr>
                <w:rFonts w:ascii="Arial"/>
                <w:sz w:val="21"/>
              </w:rPr>
            </w:pPr>
          </w:p>
        </w:tc>
      </w:tr>
      <w:tr w14:paraId="561C01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2" w:hRule="atLeast"/>
        </w:trPr>
        <w:tc>
          <w:tcPr>
            <w:tcW w:w="754" w:type="dxa"/>
            <w:vAlign w:val="top"/>
          </w:tcPr>
          <w:p w14:paraId="3A2BAE03">
            <w:pPr>
              <w:rPr>
                <w:rFonts w:ascii="Arial"/>
                <w:sz w:val="21"/>
              </w:rPr>
            </w:pPr>
          </w:p>
        </w:tc>
        <w:tc>
          <w:tcPr>
            <w:tcW w:w="3306" w:type="dxa"/>
            <w:vAlign w:val="top"/>
          </w:tcPr>
          <w:p w14:paraId="4B8E78D1">
            <w:pPr>
              <w:rPr>
                <w:rFonts w:ascii="Arial"/>
                <w:sz w:val="21"/>
              </w:rPr>
            </w:pPr>
          </w:p>
        </w:tc>
        <w:tc>
          <w:tcPr>
            <w:tcW w:w="1200" w:type="dxa"/>
            <w:vAlign w:val="top"/>
          </w:tcPr>
          <w:p w14:paraId="54EC535E">
            <w:pPr>
              <w:rPr>
                <w:rFonts w:ascii="Arial"/>
                <w:sz w:val="21"/>
              </w:rPr>
            </w:pPr>
          </w:p>
        </w:tc>
        <w:tc>
          <w:tcPr>
            <w:tcW w:w="926" w:type="dxa"/>
            <w:vAlign w:val="top"/>
          </w:tcPr>
          <w:p w14:paraId="2E1AC64E">
            <w:pPr>
              <w:rPr>
                <w:rFonts w:ascii="Arial"/>
                <w:sz w:val="21"/>
              </w:rPr>
            </w:pPr>
          </w:p>
        </w:tc>
        <w:tc>
          <w:tcPr>
            <w:tcW w:w="1469" w:type="dxa"/>
            <w:vAlign w:val="top"/>
          </w:tcPr>
          <w:p w14:paraId="52CEC31B">
            <w:pPr>
              <w:rPr>
                <w:rFonts w:ascii="Arial"/>
                <w:sz w:val="21"/>
              </w:rPr>
            </w:pPr>
          </w:p>
        </w:tc>
        <w:tc>
          <w:tcPr>
            <w:tcW w:w="930" w:type="dxa"/>
            <w:vAlign w:val="top"/>
          </w:tcPr>
          <w:p w14:paraId="181D5573">
            <w:pPr>
              <w:rPr>
                <w:rFonts w:ascii="Arial"/>
                <w:sz w:val="21"/>
              </w:rPr>
            </w:pPr>
          </w:p>
        </w:tc>
      </w:tr>
      <w:tr w14:paraId="127452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6" w:hRule="atLeast"/>
        </w:trPr>
        <w:tc>
          <w:tcPr>
            <w:tcW w:w="754" w:type="dxa"/>
            <w:vAlign w:val="top"/>
          </w:tcPr>
          <w:p w14:paraId="42075F7F">
            <w:pPr>
              <w:rPr>
                <w:rFonts w:ascii="Arial"/>
                <w:sz w:val="21"/>
              </w:rPr>
            </w:pPr>
          </w:p>
        </w:tc>
        <w:tc>
          <w:tcPr>
            <w:tcW w:w="3306" w:type="dxa"/>
            <w:vAlign w:val="top"/>
          </w:tcPr>
          <w:p w14:paraId="4105A977">
            <w:pPr>
              <w:rPr>
                <w:rFonts w:ascii="Arial"/>
                <w:sz w:val="21"/>
              </w:rPr>
            </w:pPr>
          </w:p>
        </w:tc>
        <w:tc>
          <w:tcPr>
            <w:tcW w:w="1200" w:type="dxa"/>
            <w:vAlign w:val="top"/>
          </w:tcPr>
          <w:p w14:paraId="7C0A1F0C">
            <w:pPr>
              <w:rPr>
                <w:rFonts w:ascii="Arial"/>
                <w:sz w:val="21"/>
              </w:rPr>
            </w:pPr>
          </w:p>
        </w:tc>
        <w:tc>
          <w:tcPr>
            <w:tcW w:w="926" w:type="dxa"/>
            <w:vAlign w:val="top"/>
          </w:tcPr>
          <w:p w14:paraId="463A1789">
            <w:pPr>
              <w:rPr>
                <w:rFonts w:ascii="Arial"/>
                <w:sz w:val="21"/>
              </w:rPr>
            </w:pPr>
          </w:p>
        </w:tc>
        <w:tc>
          <w:tcPr>
            <w:tcW w:w="1469" w:type="dxa"/>
            <w:vAlign w:val="top"/>
          </w:tcPr>
          <w:p w14:paraId="3AFF2D3F">
            <w:pPr>
              <w:rPr>
                <w:rFonts w:ascii="Arial"/>
                <w:sz w:val="21"/>
              </w:rPr>
            </w:pPr>
          </w:p>
        </w:tc>
        <w:tc>
          <w:tcPr>
            <w:tcW w:w="930" w:type="dxa"/>
            <w:vAlign w:val="top"/>
          </w:tcPr>
          <w:p w14:paraId="799EDC1D">
            <w:pPr>
              <w:rPr>
                <w:rFonts w:ascii="Arial"/>
                <w:sz w:val="21"/>
              </w:rPr>
            </w:pPr>
          </w:p>
        </w:tc>
      </w:tr>
      <w:tr w14:paraId="100FDA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2" w:hRule="atLeast"/>
        </w:trPr>
        <w:tc>
          <w:tcPr>
            <w:tcW w:w="754" w:type="dxa"/>
            <w:vAlign w:val="top"/>
          </w:tcPr>
          <w:p w14:paraId="67B2661C">
            <w:pPr>
              <w:rPr>
                <w:rFonts w:ascii="Arial"/>
                <w:sz w:val="21"/>
              </w:rPr>
            </w:pPr>
          </w:p>
        </w:tc>
        <w:tc>
          <w:tcPr>
            <w:tcW w:w="3306" w:type="dxa"/>
            <w:vAlign w:val="top"/>
          </w:tcPr>
          <w:p w14:paraId="645E0071">
            <w:pPr>
              <w:rPr>
                <w:rFonts w:ascii="Arial"/>
                <w:sz w:val="21"/>
              </w:rPr>
            </w:pPr>
          </w:p>
        </w:tc>
        <w:tc>
          <w:tcPr>
            <w:tcW w:w="1200" w:type="dxa"/>
            <w:vAlign w:val="top"/>
          </w:tcPr>
          <w:p w14:paraId="3729F072">
            <w:pPr>
              <w:rPr>
                <w:rFonts w:ascii="Arial"/>
                <w:sz w:val="21"/>
              </w:rPr>
            </w:pPr>
          </w:p>
        </w:tc>
        <w:tc>
          <w:tcPr>
            <w:tcW w:w="926" w:type="dxa"/>
            <w:vAlign w:val="top"/>
          </w:tcPr>
          <w:p w14:paraId="24E33BBF">
            <w:pPr>
              <w:rPr>
                <w:rFonts w:ascii="Arial"/>
                <w:sz w:val="21"/>
              </w:rPr>
            </w:pPr>
          </w:p>
        </w:tc>
        <w:tc>
          <w:tcPr>
            <w:tcW w:w="1469" w:type="dxa"/>
            <w:vAlign w:val="top"/>
          </w:tcPr>
          <w:p w14:paraId="765BE880">
            <w:pPr>
              <w:rPr>
                <w:rFonts w:ascii="Arial"/>
                <w:sz w:val="21"/>
              </w:rPr>
            </w:pPr>
          </w:p>
        </w:tc>
        <w:tc>
          <w:tcPr>
            <w:tcW w:w="930" w:type="dxa"/>
            <w:vAlign w:val="top"/>
          </w:tcPr>
          <w:p w14:paraId="522ADF63">
            <w:pPr>
              <w:rPr>
                <w:rFonts w:ascii="Arial"/>
                <w:sz w:val="21"/>
              </w:rPr>
            </w:pPr>
          </w:p>
        </w:tc>
      </w:tr>
      <w:tr w14:paraId="1FE263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2" w:hRule="atLeast"/>
        </w:trPr>
        <w:tc>
          <w:tcPr>
            <w:tcW w:w="754" w:type="dxa"/>
            <w:vAlign w:val="top"/>
          </w:tcPr>
          <w:p w14:paraId="74BB60EE">
            <w:pPr>
              <w:rPr>
                <w:rFonts w:ascii="Arial"/>
                <w:sz w:val="21"/>
              </w:rPr>
            </w:pPr>
          </w:p>
        </w:tc>
        <w:tc>
          <w:tcPr>
            <w:tcW w:w="3306" w:type="dxa"/>
            <w:vAlign w:val="top"/>
          </w:tcPr>
          <w:p w14:paraId="747FB785">
            <w:pPr>
              <w:rPr>
                <w:rFonts w:ascii="Arial"/>
                <w:sz w:val="21"/>
              </w:rPr>
            </w:pPr>
          </w:p>
        </w:tc>
        <w:tc>
          <w:tcPr>
            <w:tcW w:w="1200" w:type="dxa"/>
            <w:vAlign w:val="top"/>
          </w:tcPr>
          <w:p w14:paraId="14B1F99F">
            <w:pPr>
              <w:rPr>
                <w:rFonts w:ascii="Arial"/>
                <w:sz w:val="21"/>
              </w:rPr>
            </w:pPr>
          </w:p>
        </w:tc>
        <w:tc>
          <w:tcPr>
            <w:tcW w:w="926" w:type="dxa"/>
            <w:vAlign w:val="top"/>
          </w:tcPr>
          <w:p w14:paraId="6EC11B3C">
            <w:pPr>
              <w:rPr>
                <w:rFonts w:ascii="Arial"/>
                <w:sz w:val="21"/>
              </w:rPr>
            </w:pPr>
          </w:p>
        </w:tc>
        <w:tc>
          <w:tcPr>
            <w:tcW w:w="1469" w:type="dxa"/>
            <w:vAlign w:val="top"/>
          </w:tcPr>
          <w:p w14:paraId="78C285E0">
            <w:pPr>
              <w:rPr>
                <w:rFonts w:ascii="Arial"/>
                <w:sz w:val="21"/>
              </w:rPr>
            </w:pPr>
          </w:p>
        </w:tc>
        <w:tc>
          <w:tcPr>
            <w:tcW w:w="930" w:type="dxa"/>
            <w:vAlign w:val="top"/>
          </w:tcPr>
          <w:p w14:paraId="22043ADD">
            <w:pPr>
              <w:rPr>
                <w:rFonts w:ascii="Arial"/>
                <w:sz w:val="21"/>
              </w:rPr>
            </w:pPr>
          </w:p>
        </w:tc>
      </w:tr>
      <w:tr w14:paraId="7A5D48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6" w:hRule="atLeast"/>
        </w:trPr>
        <w:tc>
          <w:tcPr>
            <w:tcW w:w="754" w:type="dxa"/>
            <w:vAlign w:val="top"/>
          </w:tcPr>
          <w:p w14:paraId="48CED5F8">
            <w:pPr>
              <w:rPr>
                <w:rFonts w:ascii="Arial"/>
                <w:sz w:val="21"/>
              </w:rPr>
            </w:pPr>
          </w:p>
        </w:tc>
        <w:tc>
          <w:tcPr>
            <w:tcW w:w="3306" w:type="dxa"/>
            <w:vAlign w:val="top"/>
          </w:tcPr>
          <w:p w14:paraId="22211312">
            <w:pPr>
              <w:rPr>
                <w:rFonts w:ascii="Arial"/>
                <w:sz w:val="21"/>
              </w:rPr>
            </w:pPr>
          </w:p>
        </w:tc>
        <w:tc>
          <w:tcPr>
            <w:tcW w:w="1200" w:type="dxa"/>
            <w:vAlign w:val="top"/>
          </w:tcPr>
          <w:p w14:paraId="4215C1BF">
            <w:pPr>
              <w:rPr>
                <w:rFonts w:ascii="Arial"/>
                <w:sz w:val="21"/>
              </w:rPr>
            </w:pPr>
          </w:p>
        </w:tc>
        <w:tc>
          <w:tcPr>
            <w:tcW w:w="926" w:type="dxa"/>
            <w:vAlign w:val="top"/>
          </w:tcPr>
          <w:p w14:paraId="7C889F17">
            <w:pPr>
              <w:rPr>
                <w:rFonts w:ascii="Arial"/>
                <w:sz w:val="21"/>
              </w:rPr>
            </w:pPr>
          </w:p>
        </w:tc>
        <w:tc>
          <w:tcPr>
            <w:tcW w:w="1469" w:type="dxa"/>
            <w:vAlign w:val="top"/>
          </w:tcPr>
          <w:p w14:paraId="197AA418">
            <w:pPr>
              <w:rPr>
                <w:rFonts w:ascii="Arial"/>
                <w:sz w:val="21"/>
              </w:rPr>
            </w:pPr>
          </w:p>
        </w:tc>
        <w:tc>
          <w:tcPr>
            <w:tcW w:w="930" w:type="dxa"/>
            <w:vAlign w:val="top"/>
          </w:tcPr>
          <w:p w14:paraId="78F7CE85">
            <w:pPr>
              <w:rPr>
                <w:rFonts w:ascii="Arial"/>
                <w:sz w:val="21"/>
              </w:rPr>
            </w:pPr>
          </w:p>
        </w:tc>
      </w:tr>
      <w:tr w14:paraId="45A4E8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2" w:hRule="atLeast"/>
        </w:trPr>
        <w:tc>
          <w:tcPr>
            <w:tcW w:w="754" w:type="dxa"/>
            <w:vAlign w:val="top"/>
          </w:tcPr>
          <w:p w14:paraId="219292ED">
            <w:pPr>
              <w:rPr>
                <w:rFonts w:ascii="Arial"/>
                <w:sz w:val="21"/>
              </w:rPr>
            </w:pPr>
          </w:p>
        </w:tc>
        <w:tc>
          <w:tcPr>
            <w:tcW w:w="3306" w:type="dxa"/>
            <w:vAlign w:val="top"/>
          </w:tcPr>
          <w:p w14:paraId="7326C74C">
            <w:pPr>
              <w:rPr>
                <w:rFonts w:ascii="Arial"/>
                <w:sz w:val="21"/>
              </w:rPr>
            </w:pPr>
          </w:p>
        </w:tc>
        <w:tc>
          <w:tcPr>
            <w:tcW w:w="1200" w:type="dxa"/>
            <w:vAlign w:val="top"/>
          </w:tcPr>
          <w:p w14:paraId="792C6FFA">
            <w:pPr>
              <w:rPr>
                <w:rFonts w:ascii="Arial"/>
                <w:sz w:val="21"/>
              </w:rPr>
            </w:pPr>
          </w:p>
        </w:tc>
        <w:tc>
          <w:tcPr>
            <w:tcW w:w="926" w:type="dxa"/>
            <w:vAlign w:val="top"/>
          </w:tcPr>
          <w:p w14:paraId="1075C11B">
            <w:pPr>
              <w:rPr>
                <w:rFonts w:ascii="Arial"/>
                <w:sz w:val="21"/>
              </w:rPr>
            </w:pPr>
          </w:p>
        </w:tc>
        <w:tc>
          <w:tcPr>
            <w:tcW w:w="1469" w:type="dxa"/>
            <w:vAlign w:val="top"/>
          </w:tcPr>
          <w:p w14:paraId="03A5DD16">
            <w:pPr>
              <w:rPr>
                <w:rFonts w:ascii="Arial"/>
                <w:sz w:val="21"/>
              </w:rPr>
            </w:pPr>
          </w:p>
        </w:tc>
        <w:tc>
          <w:tcPr>
            <w:tcW w:w="930" w:type="dxa"/>
            <w:vAlign w:val="top"/>
          </w:tcPr>
          <w:p w14:paraId="33182C27">
            <w:pPr>
              <w:rPr>
                <w:rFonts w:ascii="Arial"/>
                <w:sz w:val="21"/>
              </w:rPr>
            </w:pPr>
          </w:p>
        </w:tc>
      </w:tr>
      <w:tr w14:paraId="699ADB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6" w:hRule="atLeast"/>
        </w:trPr>
        <w:tc>
          <w:tcPr>
            <w:tcW w:w="754" w:type="dxa"/>
            <w:vAlign w:val="top"/>
          </w:tcPr>
          <w:p w14:paraId="275413E0">
            <w:pPr>
              <w:rPr>
                <w:rFonts w:ascii="Arial"/>
                <w:sz w:val="21"/>
              </w:rPr>
            </w:pPr>
          </w:p>
        </w:tc>
        <w:tc>
          <w:tcPr>
            <w:tcW w:w="3306" w:type="dxa"/>
            <w:vAlign w:val="top"/>
          </w:tcPr>
          <w:p w14:paraId="46D929E2">
            <w:pPr>
              <w:rPr>
                <w:rFonts w:ascii="Arial"/>
                <w:sz w:val="21"/>
              </w:rPr>
            </w:pPr>
          </w:p>
        </w:tc>
        <w:tc>
          <w:tcPr>
            <w:tcW w:w="1200" w:type="dxa"/>
            <w:vAlign w:val="top"/>
          </w:tcPr>
          <w:p w14:paraId="0D3F35AC">
            <w:pPr>
              <w:rPr>
                <w:rFonts w:ascii="Arial"/>
                <w:sz w:val="21"/>
              </w:rPr>
            </w:pPr>
          </w:p>
        </w:tc>
        <w:tc>
          <w:tcPr>
            <w:tcW w:w="926" w:type="dxa"/>
            <w:vAlign w:val="top"/>
          </w:tcPr>
          <w:p w14:paraId="0146CFBE">
            <w:pPr>
              <w:rPr>
                <w:rFonts w:ascii="Arial"/>
                <w:sz w:val="21"/>
              </w:rPr>
            </w:pPr>
          </w:p>
        </w:tc>
        <w:tc>
          <w:tcPr>
            <w:tcW w:w="1469" w:type="dxa"/>
            <w:vAlign w:val="top"/>
          </w:tcPr>
          <w:p w14:paraId="3AC1599A">
            <w:pPr>
              <w:rPr>
                <w:rFonts w:ascii="Arial"/>
                <w:sz w:val="21"/>
              </w:rPr>
            </w:pPr>
          </w:p>
        </w:tc>
        <w:tc>
          <w:tcPr>
            <w:tcW w:w="930" w:type="dxa"/>
            <w:vAlign w:val="top"/>
          </w:tcPr>
          <w:p w14:paraId="76951BE9">
            <w:pPr>
              <w:rPr>
                <w:rFonts w:ascii="Arial"/>
                <w:sz w:val="21"/>
              </w:rPr>
            </w:pPr>
          </w:p>
        </w:tc>
      </w:tr>
      <w:tr w14:paraId="31C03B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2" w:hRule="atLeast"/>
        </w:trPr>
        <w:tc>
          <w:tcPr>
            <w:tcW w:w="754" w:type="dxa"/>
            <w:vAlign w:val="top"/>
          </w:tcPr>
          <w:p w14:paraId="386CBD48">
            <w:pPr>
              <w:rPr>
                <w:rFonts w:ascii="Arial"/>
                <w:sz w:val="21"/>
              </w:rPr>
            </w:pPr>
          </w:p>
        </w:tc>
        <w:tc>
          <w:tcPr>
            <w:tcW w:w="3306" w:type="dxa"/>
            <w:vAlign w:val="top"/>
          </w:tcPr>
          <w:p w14:paraId="19E30A46">
            <w:pPr>
              <w:rPr>
                <w:rFonts w:ascii="Arial"/>
                <w:sz w:val="21"/>
              </w:rPr>
            </w:pPr>
          </w:p>
        </w:tc>
        <w:tc>
          <w:tcPr>
            <w:tcW w:w="1200" w:type="dxa"/>
            <w:vAlign w:val="top"/>
          </w:tcPr>
          <w:p w14:paraId="4AD4815C">
            <w:pPr>
              <w:rPr>
                <w:rFonts w:ascii="Arial"/>
                <w:sz w:val="21"/>
              </w:rPr>
            </w:pPr>
          </w:p>
        </w:tc>
        <w:tc>
          <w:tcPr>
            <w:tcW w:w="926" w:type="dxa"/>
            <w:vAlign w:val="top"/>
          </w:tcPr>
          <w:p w14:paraId="09409838">
            <w:pPr>
              <w:rPr>
                <w:rFonts w:ascii="Arial"/>
                <w:sz w:val="21"/>
              </w:rPr>
            </w:pPr>
          </w:p>
        </w:tc>
        <w:tc>
          <w:tcPr>
            <w:tcW w:w="1469" w:type="dxa"/>
            <w:vAlign w:val="top"/>
          </w:tcPr>
          <w:p w14:paraId="7BFC9E93">
            <w:pPr>
              <w:rPr>
                <w:rFonts w:ascii="Arial"/>
                <w:sz w:val="21"/>
              </w:rPr>
            </w:pPr>
          </w:p>
        </w:tc>
        <w:tc>
          <w:tcPr>
            <w:tcW w:w="930" w:type="dxa"/>
            <w:vAlign w:val="top"/>
          </w:tcPr>
          <w:p w14:paraId="287C89DC">
            <w:pPr>
              <w:rPr>
                <w:rFonts w:ascii="Arial"/>
                <w:sz w:val="21"/>
              </w:rPr>
            </w:pPr>
          </w:p>
        </w:tc>
      </w:tr>
      <w:tr w14:paraId="3A57C6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6" w:hRule="atLeast"/>
        </w:trPr>
        <w:tc>
          <w:tcPr>
            <w:tcW w:w="754" w:type="dxa"/>
            <w:vAlign w:val="top"/>
          </w:tcPr>
          <w:p w14:paraId="1C301E5B">
            <w:pPr>
              <w:rPr>
                <w:rFonts w:ascii="Arial"/>
                <w:sz w:val="21"/>
              </w:rPr>
            </w:pPr>
          </w:p>
        </w:tc>
        <w:tc>
          <w:tcPr>
            <w:tcW w:w="3306" w:type="dxa"/>
            <w:vAlign w:val="top"/>
          </w:tcPr>
          <w:p w14:paraId="01C4D338">
            <w:pPr>
              <w:rPr>
                <w:rFonts w:ascii="Arial"/>
                <w:sz w:val="21"/>
              </w:rPr>
            </w:pPr>
          </w:p>
        </w:tc>
        <w:tc>
          <w:tcPr>
            <w:tcW w:w="1200" w:type="dxa"/>
            <w:vAlign w:val="top"/>
          </w:tcPr>
          <w:p w14:paraId="63D2A723">
            <w:pPr>
              <w:rPr>
                <w:rFonts w:ascii="Arial"/>
                <w:sz w:val="21"/>
              </w:rPr>
            </w:pPr>
          </w:p>
        </w:tc>
        <w:tc>
          <w:tcPr>
            <w:tcW w:w="926" w:type="dxa"/>
            <w:vAlign w:val="top"/>
          </w:tcPr>
          <w:p w14:paraId="5E86FA31">
            <w:pPr>
              <w:rPr>
                <w:rFonts w:ascii="Arial"/>
                <w:sz w:val="21"/>
              </w:rPr>
            </w:pPr>
          </w:p>
        </w:tc>
        <w:tc>
          <w:tcPr>
            <w:tcW w:w="1469" w:type="dxa"/>
            <w:vAlign w:val="top"/>
          </w:tcPr>
          <w:p w14:paraId="28599664">
            <w:pPr>
              <w:rPr>
                <w:rFonts w:ascii="Arial"/>
                <w:sz w:val="21"/>
              </w:rPr>
            </w:pPr>
          </w:p>
        </w:tc>
        <w:tc>
          <w:tcPr>
            <w:tcW w:w="930" w:type="dxa"/>
            <w:vAlign w:val="top"/>
          </w:tcPr>
          <w:p w14:paraId="04A41077">
            <w:pPr>
              <w:rPr>
                <w:rFonts w:ascii="Arial"/>
                <w:sz w:val="21"/>
              </w:rPr>
            </w:pPr>
          </w:p>
        </w:tc>
      </w:tr>
      <w:tr w14:paraId="185E66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2" w:hRule="atLeast"/>
        </w:trPr>
        <w:tc>
          <w:tcPr>
            <w:tcW w:w="754" w:type="dxa"/>
            <w:vAlign w:val="top"/>
          </w:tcPr>
          <w:p w14:paraId="2CA5C83B">
            <w:pPr>
              <w:rPr>
                <w:rFonts w:ascii="Arial"/>
                <w:sz w:val="21"/>
              </w:rPr>
            </w:pPr>
          </w:p>
        </w:tc>
        <w:tc>
          <w:tcPr>
            <w:tcW w:w="3306" w:type="dxa"/>
            <w:vAlign w:val="top"/>
          </w:tcPr>
          <w:p w14:paraId="6F73F7EF">
            <w:pPr>
              <w:rPr>
                <w:rFonts w:ascii="Arial"/>
                <w:sz w:val="21"/>
              </w:rPr>
            </w:pPr>
          </w:p>
        </w:tc>
        <w:tc>
          <w:tcPr>
            <w:tcW w:w="1200" w:type="dxa"/>
            <w:vAlign w:val="top"/>
          </w:tcPr>
          <w:p w14:paraId="5F0F6D18">
            <w:pPr>
              <w:rPr>
                <w:rFonts w:ascii="Arial"/>
                <w:sz w:val="21"/>
              </w:rPr>
            </w:pPr>
          </w:p>
        </w:tc>
        <w:tc>
          <w:tcPr>
            <w:tcW w:w="926" w:type="dxa"/>
            <w:vAlign w:val="top"/>
          </w:tcPr>
          <w:p w14:paraId="7EC7A066">
            <w:pPr>
              <w:rPr>
                <w:rFonts w:ascii="Arial"/>
                <w:sz w:val="21"/>
              </w:rPr>
            </w:pPr>
          </w:p>
        </w:tc>
        <w:tc>
          <w:tcPr>
            <w:tcW w:w="1469" w:type="dxa"/>
            <w:vAlign w:val="top"/>
          </w:tcPr>
          <w:p w14:paraId="6D6A737A">
            <w:pPr>
              <w:rPr>
                <w:rFonts w:ascii="Arial"/>
                <w:sz w:val="21"/>
              </w:rPr>
            </w:pPr>
          </w:p>
        </w:tc>
        <w:tc>
          <w:tcPr>
            <w:tcW w:w="930" w:type="dxa"/>
            <w:vAlign w:val="top"/>
          </w:tcPr>
          <w:p w14:paraId="36969B1C">
            <w:pPr>
              <w:rPr>
                <w:rFonts w:ascii="Arial"/>
                <w:sz w:val="21"/>
              </w:rPr>
            </w:pPr>
          </w:p>
        </w:tc>
      </w:tr>
      <w:tr w14:paraId="7ECC3E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7" w:hRule="atLeast"/>
        </w:trPr>
        <w:tc>
          <w:tcPr>
            <w:tcW w:w="754" w:type="dxa"/>
            <w:vAlign w:val="top"/>
          </w:tcPr>
          <w:p w14:paraId="6895C219">
            <w:pPr>
              <w:rPr>
                <w:rFonts w:ascii="Arial"/>
                <w:sz w:val="21"/>
              </w:rPr>
            </w:pPr>
          </w:p>
        </w:tc>
        <w:tc>
          <w:tcPr>
            <w:tcW w:w="3306" w:type="dxa"/>
            <w:vAlign w:val="top"/>
          </w:tcPr>
          <w:p w14:paraId="3CD94F5B">
            <w:pPr>
              <w:rPr>
                <w:rFonts w:ascii="Arial"/>
                <w:sz w:val="21"/>
              </w:rPr>
            </w:pPr>
          </w:p>
        </w:tc>
        <w:tc>
          <w:tcPr>
            <w:tcW w:w="1200" w:type="dxa"/>
            <w:vAlign w:val="top"/>
          </w:tcPr>
          <w:p w14:paraId="24098E8A">
            <w:pPr>
              <w:rPr>
                <w:rFonts w:ascii="Arial"/>
                <w:sz w:val="21"/>
              </w:rPr>
            </w:pPr>
          </w:p>
        </w:tc>
        <w:tc>
          <w:tcPr>
            <w:tcW w:w="926" w:type="dxa"/>
            <w:vAlign w:val="top"/>
          </w:tcPr>
          <w:p w14:paraId="4898C423">
            <w:pPr>
              <w:rPr>
                <w:rFonts w:ascii="Arial"/>
                <w:sz w:val="21"/>
              </w:rPr>
            </w:pPr>
          </w:p>
        </w:tc>
        <w:tc>
          <w:tcPr>
            <w:tcW w:w="1469" w:type="dxa"/>
            <w:vAlign w:val="top"/>
          </w:tcPr>
          <w:p w14:paraId="0069FC35">
            <w:pPr>
              <w:rPr>
                <w:rFonts w:ascii="Arial"/>
                <w:sz w:val="21"/>
              </w:rPr>
            </w:pPr>
          </w:p>
        </w:tc>
        <w:tc>
          <w:tcPr>
            <w:tcW w:w="930" w:type="dxa"/>
            <w:vAlign w:val="top"/>
          </w:tcPr>
          <w:p w14:paraId="206FE334">
            <w:pPr>
              <w:rPr>
                <w:rFonts w:ascii="Arial"/>
                <w:sz w:val="21"/>
              </w:rPr>
            </w:pPr>
          </w:p>
        </w:tc>
      </w:tr>
      <w:tr w14:paraId="1F7A31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2" w:hRule="atLeast"/>
        </w:trPr>
        <w:tc>
          <w:tcPr>
            <w:tcW w:w="754" w:type="dxa"/>
            <w:vAlign w:val="top"/>
          </w:tcPr>
          <w:p w14:paraId="440BFF32">
            <w:pPr>
              <w:rPr>
                <w:rFonts w:ascii="Arial"/>
                <w:sz w:val="21"/>
              </w:rPr>
            </w:pPr>
          </w:p>
        </w:tc>
        <w:tc>
          <w:tcPr>
            <w:tcW w:w="3306" w:type="dxa"/>
            <w:vAlign w:val="top"/>
          </w:tcPr>
          <w:p w14:paraId="48DB2A1B">
            <w:pPr>
              <w:rPr>
                <w:rFonts w:ascii="Arial"/>
                <w:sz w:val="21"/>
              </w:rPr>
            </w:pPr>
          </w:p>
        </w:tc>
        <w:tc>
          <w:tcPr>
            <w:tcW w:w="1200" w:type="dxa"/>
            <w:vAlign w:val="top"/>
          </w:tcPr>
          <w:p w14:paraId="33DDE5B0">
            <w:pPr>
              <w:rPr>
                <w:rFonts w:ascii="Arial"/>
                <w:sz w:val="21"/>
              </w:rPr>
            </w:pPr>
          </w:p>
        </w:tc>
        <w:tc>
          <w:tcPr>
            <w:tcW w:w="926" w:type="dxa"/>
            <w:vAlign w:val="top"/>
          </w:tcPr>
          <w:p w14:paraId="27501A7C">
            <w:pPr>
              <w:rPr>
                <w:rFonts w:ascii="Arial"/>
                <w:sz w:val="21"/>
              </w:rPr>
            </w:pPr>
          </w:p>
        </w:tc>
        <w:tc>
          <w:tcPr>
            <w:tcW w:w="1469" w:type="dxa"/>
            <w:vAlign w:val="top"/>
          </w:tcPr>
          <w:p w14:paraId="67428408">
            <w:pPr>
              <w:rPr>
                <w:rFonts w:ascii="Arial"/>
                <w:sz w:val="21"/>
              </w:rPr>
            </w:pPr>
          </w:p>
        </w:tc>
        <w:tc>
          <w:tcPr>
            <w:tcW w:w="930" w:type="dxa"/>
            <w:vAlign w:val="top"/>
          </w:tcPr>
          <w:p w14:paraId="7D2D4106">
            <w:pPr>
              <w:rPr>
                <w:rFonts w:ascii="Arial"/>
                <w:sz w:val="21"/>
              </w:rPr>
            </w:pPr>
          </w:p>
        </w:tc>
      </w:tr>
      <w:tr w14:paraId="583D22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6" w:hRule="atLeast"/>
        </w:trPr>
        <w:tc>
          <w:tcPr>
            <w:tcW w:w="754" w:type="dxa"/>
            <w:vAlign w:val="top"/>
          </w:tcPr>
          <w:p w14:paraId="6B03A906">
            <w:pPr>
              <w:rPr>
                <w:rFonts w:ascii="Arial"/>
                <w:sz w:val="21"/>
              </w:rPr>
            </w:pPr>
          </w:p>
        </w:tc>
        <w:tc>
          <w:tcPr>
            <w:tcW w:w="3306" w:type="dxa"/>
            <w:vAlign w:val="top"/>
          </w:tcPr>
          <w:p w14:paraId="5CC06E73">
            <w:pPr>
              <w:rPr>
                <w:rFonts w:ascii="Arial"/>
                <w:sz w:val="21"/>
              </w:rPr>
            </w:pPr>
          </w:p>
        </w:tc>
        <w:tc>
          <w:tcPr>
            <w:tcW w:w="1200" w:type="dxa"/>
            <w:vAlign w:val="top"/>
          </w:tcPr>
          <w:p w14:paraId="29F4FBA4">
            <w:pPr>
              <w:rPr>
                <w:rFonts w:ascii="Arial"/>
                <w:sz w:val="21"/>
              </w:rPr>
            </w:pPr>
          </w:p>
        </w:tc>
        <w:tc>
          <w:tcPr>
            <w:tcW w:w="926" w:type="dxa"/>
            <w:vAlign w:val="top"/>
          </w:tcPr>
          <w:p w14:paraId="02DC1F9C">
            <w:pPr>
              <w:rPr>
                <w:rFonts w:ascii="Arial"/>
                <w:sz w:val="21"/>
              </w:rPr>
            </w:pPr>
          </w:p>
        </w:tc>
        <w:tc>
          <w:tcPr>
            <w:tcW w:w="1469" w:type="dxa"/>
            <w:vAlign w:val="top"/>
          </w:tcPr>
          <w:p w14:paraId="1728A168">
            <w:pPr>
              <w:rPr>
                <w:rFonts w:ascii="Arial"/>
                <w:sz w:val="21"/>
              </w:rPr>
            </w:pPr>
          </w:p>
        </w:tc>
        <w:tc>
          <w:tcPr>
            <w:tcW w:w="930" w:type="dxa"/>
            <w:vAlign w:val="top"/>
          </w:tcPr>
          <w:p w14:paraId="7D9F51D7">
            <w:pPr>
              <w:rPr>
                <w:rFonts w:ascii="Arial"/>
                <w:sz w:val="21"/>
              </w:rPr>
            </w:pPr>
          </w:p>
        </w:tc>
      </w:tr>
      <w:tr w14:paraId="03E1F6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2" w:hRule="atLeast"/>
        </w:trPr>
        <w:tc>
          <w:tcPr>
            <w:tcW w:w="754" w:type="dxa"/>
            <w:vAlign w:val="top"/>
          </w:tcPr>
          <w:p w14:paraId="1745C0E5">
            <w:pPr>
              <w:rPr>
                <w:rFonts w:ascii="Arial"/>
                <w:sz w:val="21"/>
              </w:rPr>
            </w:pPr>
          </w:p>
        </w:tc>
        <w:tc>
          <w:tcPr>
            <w:tcW w:w="3306" w:type="dxa"/>
            <w:vAlign w:val="top"/>
          </w:tcPr>
          <w:p w14:paraId="0D8683CF">
            <w:pPr>
              <w:rPr>
                <w:rFonts w:ascii="Arial"/>
                <w:sz w:val="21"/>
              </w:rPr>
            </w:pPr>
          </w:p>
        </w:tc>
        <w:tc>
          <w:tcPr>
            <w:tcW w:w="1200" w:type="dxa"/>
            <w:vAlign w:val="top"/>
          </w:tcPr>
          <w:p w14:paraId="7E0B66F1">
            <w:pPr>
              <w:rPr>
                <w:rFonts w:ascii="Arial"/>
                <w:sz w:val="21"/>
              </w:rPr>
            </w:pPr>
          </w:p>
        </w:tc>
        <w:tc>
          <w:tcPr>
            <w:tcW w:w="926" w:type="dxa"/>
            <w:vAlign w:val="top"/>
          </w:tcPr>
          <w:p w14:paraId="51B9835E">
            <w:pPr>
              <w:rPr>
                <w:rFonts w:ascii="Arial"/>
                <w:sz w:val="21"/>
              </w:rPr>
            </w:pPr>
          </w:p>
        </w:tc>
        <w:tc>
          <w:tcPr>
            <w:tcW w:w="1469" w:type="dxa"/>
            <w:vAlign w:val="top"/>
          </w:tcPr>
          <w:p w14:paraId="2525D819">
            <w:pPr>
              <w:rPr>
                <w:rFonts w:ascii="Arial"/>
                <w:sz w:val="21"/>
              </w:rPr>
            </w:pPr>
          </w:p>
        </w:tc>
        <w:tc>
          <w:tcPr>
            <w:tcW w:w="930" w:type="dxa"/>
            <w:vAlign w:val="top"/>
          </w:tcPr>
          <w:p w14:paraId="121F9FC4">
            <w:pPr>
              <w:rPr>
                <w:rFonts w:ascii="Arial"/>
                <w:sz w:val="21"/>
              </w:rPr>
            </w:pPr>
          </w:p>
        </w:tc>
      </w:tr>
      <w:tr w14:paraId="508EB9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4" w:hRule="atLeast"/>
        </w:trPr>
        <w:tc>
          <w:tcPr>
            <w:tcW w:w="4060" w:type="dxa"/>
            <w:gridSpan w:val="2"/>
            <w:vAlign w:val="top"/>
          </w:tcPr>
          <w:p w14:paraId="0F069119">
            <w:pPr>
              <w:pStyle w:val="11"/>
              <w:spacing w:before="178" w:line="222" w:lineRule="auto"/>
              <w:ind w:left="1771"/>
            </w:pPr>
            <w:r>
              <w:rPr>
                <w:spacing w:val="-4"/>
              </w:rPr>
              <w:t>合</w:t>
            </w:r>
            <w:r>
              <w:rPr>
                <w:spacing w:val="8"/>
              </w:rPr>
              <w:t xml:space="preserve"> </w:t>
            </w:r>
            <w:r>
              <w:rPr>
                <w:spacing w:val="-4"/>
              </w:rPr>
              <w:t>计</w:t>
            </w:r>
          </w:p>
        </w:tc>
        <w:tc>
          <w:tcPr>
            <w:tcW w:w="1200" w:type="dxa"/>
            <w:vAlign w:val="top"/>
          </w:tcPr>
          <w:p w14:paraId="5A1256F1">
            <w:pPr>
              <w:rPr>
                <w:rFonts w:ascii="Arial"/>
                <w:sz w:val="21"/>
              </w:rPr>
            </w:pPr>
          </w:p>
        </w:tc>
        <w:tc>
          <w:tcPr>
            <w:tcW w:w="926" w:type="dxa"/>
            <w:vAlign w:val="top"/>
          </w:tcPr>
          <w:p w14:paraId="47C50191">
            <w:pPr>
              <w:rPr>
                <w:rFonts w:ascii="Arial"/>
                <w:sz w:val="21"/>
              </w:rPr>
            </w:pPr>
          </w:p>
        </w:tc>
        <w:tc>
          <w:tcPr>
            <w:tcW w:w="1469" w:type="dxa"/>
            <w:vAlign w:val="top"/>
          </w:tcPr>
          <w:p w14:paraId="009C2F30">
            <w:pPr>
              <w:rPr>
                <w:rFonts w:ascii="Arial"/>
                <w:sz w:val="21"/>
              </w:rPr>
            </w:pPr>
          </w:p>
        </w:tc>
        <w:tc>
          <w:tcPr>
            <w:tcW w:w="930" w:type="dxa"/>
            <w:vAlign w:val="top"/>
          </w:tcPr>
          <w:p w14:paraId="67461A24">
            <w:pPr>
              <w:rPr>
                <w:rFonts w:ascii="Arial"/>
                <w:sz w:val="21"/>
              </w:rPr>
            </w:pPr>
          </w:p>
        </w:tc>
      </w:tr>
    </w:tbl>
    <w:p w14:paraId="3A2A2648">
      <w:pPr>
        <w:pStyle w:val="3"/>
      </w:pPr>
    </w:p>
    <w:p w14:paraId="3DE08CD5">
      <w:pPr>
        <w:sectPr>
          <w:footerReference r:id="rId168" w:type="default"/>
          <w:pgSz w:w="11905" w:h="16839"/>
          <w:pgMar w:top="400" w:right="1652" w:bottom="1004" w:left="1661" w:header="0" w:footer="828" w:gutter="0"/>
          <w:pgNumType w:fmt="decimal"/>
          <w:cols w:space="720" w:num="1"/>
        </w:sectPr>
      </w:pPr>
    </w:p>
    <w:p w14:paraId="56C7CE86">
      <w:pPr>
        <w:pStyle w:val="3"/>
        <w:spacing w:line="267" w:lineRule="auto"/>
      </w:pPr>
    </w:p>
    <w:p w14:paraId="6B5997E3">
      <w:pPr>
        <w:pStyle w:val="3"/>
        <w:spacing w:line="267" w:lineRule="auto"/>
      </w:pPr>
    </w:p>
    <w:p w14:paraId="379AE64F">
      <w:pPr>
        <w:pStyle w:val="3"/>
        <w:spacing w:line="268" w:lineRule="auto"/>
      </w:pPr>
    </w:p>
    <w:p w14:paraId="11462BC0">
      <w:pPr>
        <w:pStyle w:val="3"/>
        <w:spacing w:line="268" w:lineRule="auto"/>
      </w:pPr>
    </w:p>
    <w:p w14:paraId="3861A6C3">
      <w:pPr>
        <w:spacing w:before="78" w:line="219" w:lineRule="auto"/>
        <w:ind w:left="13"/>
        <w:rPr>
          <w:rFonts w:ascii="黑体" w:hAnsi="黑体" w:eastAsia="黑体" w:cs="黑体"/>
          <w:sz w:val="24"/>
          <w:szCs w:val="24"/>
        </w:rPr>
      </w:pPr>
      <w:r>
        <w:rPr>
          <w:rFonts w:ascii="Times New Roman" w:hAnsi="Times New Roman" w:eastAsia="Times New Roman" w:cs="Times New Roman"/>
          <w:spacing w:val="-1"/>
          <w:sz w:val="24"/>
          <w:szCs w:val="24"/>
        </w:rPr>
        <w:t xml:space="preserve">4.8 </w:t>
      </w:r>
      <w:r>
        <w:rPr>
          <w:rFonts w:ascii="黑体" w:hAnsi="黑体" w:eastAsia="黑体" w:cs="黑体"/>
          <w:spacing w:val="-1"/>
          <w:sz w:val="24"/>
          <w:szCs w:val="24"/>
        </w:rPr>
        <w:t>单位工程投标报价汇总表</w:t>
      </w:r>
    </w:p>
    <w:p w14:paraId="5C14FCCA">
      <w:pPr>
        <w:spacing w:before="161" w:line="225" w:lineRule="auto"/>
        <w:ind w:left="2645"/>
        <w:rPr>
          <w:rFonts w:ascii="黑体" w:hAnsi="黑体" w:eastAsia="黑体" w:cs="黑体"/>
          <w:sz w:val="27"/>
          <w:szCs w:val="27"/>
        </w:rPr>
      </w:pPr>
      <w:bookmarkStart w:id="1293" w:name="bookmark251"/>
      <w:bookmarkEnd w:id="1293"/>
      <w:r>
        <w:rPr>
          <w:rFonts w:ascii="黑体" w:hAnsi="黑体" w:eastAsia="黑体" w:cs="黑体"/>
          <w:spacing w:val="7"/>
          <w:sz w:val="27"/>
          <w:szCs w:val="27"/>
        </w:rPr>
        <w:t>单位工程投标报价汇总表</w:t>
      </w:r>
    </w:p>
    <w:p w14:paraId="4E86493E">
      <w:pPr>
        <w:spacing w:before="142" w:line="221" w:lineRule="auto"/>
        <w:ind w:left="20"/>
        <w:rPr>
          <w:rFonts w:ascii="宋体" w:hAnsi="宋体" w:eastAsia="宋体" w:cs="宋体"/>
          <w:sz w:val="21"/>
          <w:szCs w:val="21"/>
        </w:rPr>
      </w:pPr>
      <w:r>
        <w:rPr>
          <w:rFonts w:ascii="宋体" w:hAnsi="宋体" w:eastAsia="宋体" w:cs="宋体"/>
          <w:spacing w:val="-15"/>
          <w:sz w:val="21"/>
          <w:szCs w:val="21"/>
        </w:rPr>
        <w:t>工程名称：</w:t>
      </w:r>
      <w:r>
        <w:rPr>
          <w:rFonts w:ascii="宋体" w:hAnsi="宋体" w:eastAsia="宋体" w:cs="宋体"/>
          <w:spacing w:val="2"/>
          <w:sz w:val="21"/>
          <w:szCs w:val="21"/>
        </w:rPr>
        <w:t xml:space="preserve">                              </w:t>
      </w:r>
      <w:r>
        <w:rPr>
          <w:rFonts w:ascii="宋体" w:hAnsi="宋体" w:eastAsia="宋体" w:cs="宋体"/>
          <w:spacing w:val="1"/>
          <w:sz w:val="21"/>
          <w:szCs w:val="21"/>
        </w:rPr>
        <w:t xml:space="preserve">                        </w:t>
      </w:r>
      <w:r>
        <w:rPr>
          <w:rFonts w:ascii="宋体" w:hAnsi="宋体" w:eastAsia="宋体" w:cs="宋体"/>
          <w:spacing w:val="-15"/>
          <w:sz w:val="21"/>
          <w:szCs w:val="21"/>
        </w:rPr>
        <w:t>第 页</w:t>
      </w:r>
      <w:r>
        <w:rPr>
          <w:rFonts w:ascii="宋体" w:hAnsi="宋体" w:eastAsia="宋体" w:cs="宋体"/>
          <w:spacing w:val="61"/>
          <w:sz w:val="21"/>
          <w:szCs w:val="21"/>
        </w:rPr>
        <w:t xml:space="preserve"> </w:t>
      </w:r>
      <w:r>
        <w:rPr>
          <w:rFonts w:ascii="宋体" w:hAnsi="宋体" w:eastAsia="宋体" w:cs="宋体"/>
          <w:spacing w:val="-15"/>
          <w:sz w:val="21"/>
          <w:szCs w:val="21"/>
        </w:rPr>
        <w:t>共</w:t>
      </w:r>
      <w:r>
        <w:rPr>
          <w:rFonts w:ascii="宋体" w:hAnsi="宋体" w:eastAsia="宋体" w:cs="宋体"/>
          <w:spacing w:val="10"/>
          <w:sz w:val="21"/>
          <w:szCs w:val="21"/>
        </w:rPr>
        <w:t xml:space="preserve"> </w:t>
      </w:r>
      <w:r>
        <w:rPr>
          <w:rFonts w:ascii="宋体" w:hAnsi="宋体" w:eastAsia="宋体" w:cs="宋体"/>
          <w:spacing w:val="-15"/>
          <w:sz w:val="21"/>
          <w:szCs w:val="21"/>
        </w:rPr>
        <w:t>页</w:t>
      </w:r>
    </w:p>
    <w:p w14:paraId="467F7F46">
      <w:pPr>
        <w:spacing w:line="113" w:lineRule="exact"/>
      </w:pPr>
    </w:p>
    <w:tbl>
      <w:tblPr>
        <w:tblStyle w:val="10"/>
        <w:tblW w:w="8763"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34"/>
        <w:gridCol w:w="2908"/>
        <w:gridCol w:w="3331"/>
        <w:gridCol w:w="1790"/>
      </w:tblGrid>
      <w:tr w14:paraId="0CF849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1" w:hRule="atLeast"/>
        </w:trPr>
        <w:tc>
          <w:tcPr>
            <w:tcW w:w="734" w:type="dxa"/>
            <w:vAlign w:val="top"/>
          </w:tcPr>
          <w:p w14:paraId="4D8EBA4D">
            <w:pPr>
              <w:pStyle w:val="11"/>
              <w:spacing w:before="168" w:line="222" w:lineRule="auto"/>
              <w:ind w:left="161"/>
            </w:pPr>
            <w:r>
              <w:rPr>
                <w:spacing w:val="-2"/>
              </w:rPr>
              <w:t>序号</w:t>
            </w:r>
          </w:p>
        </w:tc>
        <w:tc>
          <w:tcPr>
            <w:tcW w:w="2908" w:type="dxa"/>
            <w:vAlign w:val="top"/>
          </w:tcPr>
          <w:p w14:paraId="0078B5BC">
            <w:pPr>
              <w:pStyle w:val="11"/>
              <w:spacing w:before="168" w:line="221" w:lineRule="auto"/>
              <w:ind w:left="1036"/>
            </w:pPr>
            <w:r>
              <w:rPr>
                <w:spacing w:val="-1"/>
              </w:rPr>
              <w:t>汇总内容</w:t>
            </w:r>
          </w:p>
        </w:tc>
        <w:tc>
          <w:tcPr>
            <w:tcW w:w="3331" w:type="dxa"/>
            <w:vAlign w:val="top"/>
          </w:tcPr>
          <w:p w14:paraId="3305A1B3">
            <w:pPr>
              <w:pStyle w:val="11"/>
              <w:spacing w:before="168" w:line="221" w:lineRule="auto"/>
              <w:ind w:left="1150"/>
            </w:pPr>
            <w:r>
              <w:rPr>
                <w:spacing w:val="-1"/>
              </w:rPr>
              <w:t>金额（元）</w:t>
            </w:r>
          </w:p>
        </w:tc>
        <w:tc>
          <w:tcPr>
            <w:tcW w:w="1790" w:type="dxa"/>
            <w:vAlign w:val="top"/>
          </w:tcPr>
          <w:p w14:paraId="419467A9">
            <w:pPr>
              <w:pStyle w:val="11"/>
              <w:spacing w:before="34" w:line="219" w:lineRule="auto"/>
              <w:ind w:left="272"/>
            </w:pPr>
            <w:r>
              <w:rPr>
                <w:spacing w:val="-1"/>
              </w:rPr>
              <w:t>其中：暂估价</w:t>
            </w:r>
          </w:p>
          <w:p w14:paraId="19548A1C">
            <w:pPr>
              <w:pStyle w:val="11"/>
              <w:spacing w:before="19" w:line="209" w:lineRule="auto"/>
              <w:ind w:left="590"/>
            </w:pPr>
            <w:r>
              <w:rPr>
                <w:spacing w:val="-5"/>
              </w:rPr>
              <w:t>（元）</w:t>
            </w:r>
          </w:p>
        </w:tc>
      </w:tr>
      <w:tr w14:paraId="1D36AD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4" w:hRule="atLeast"/>
        </w:trPr>
        <w:tc>
          <w:tcPr>
            <w:tcW w:w="734" w:type="dxa"/>
            <w:vAlign w:val="top"/>
          </w:tcPr>
          <w:p w14:paraId="2415EFDA">
            <w:pPr>
              <w:pStyle w:val="11"/>
              <w:spacing w:before="165" w:line="183" w:lineRule="auto"/>
              <w:ind w:left="134"/>
            </w:pPr>
            <w:r>
              <w:t>1</w:t>
            </w:r>
          </w:p>
        </w:tc>
        <w:tc>
          <w:tcPr>
            <w:tcW w:w="2908" w:type="dxa"/>
            <w:vAlign w:val="top"/>
          </w:tcPr>
          <w:p w14:paraId="27F1E623">
            <w:pPr>
              <w:pStyle w:val="11"/>
              <w:spacing w:before="130" w:line="221" w:lineRule="auto"/>
              <w:ind w:left="112"/>
            </w:pPr>
            <w:r>
              <w:rPr>
                <w:spacing w:val="-1"/>
              </w:rPr>
              <w:t>分部分项工程</w:t>
            </w:r>
          </w:p>
        </w:tc>
        <w:tc>
          <w:tcPr>
            <w:tcW w:w="3331" w:type="dxa"/>
            <w:vAlign w:val="top"/>
          </w:tcPr>
          <w:p w14:paraId="784F564E">
            <w:pPr>
              <w:rPr>
                <w:rFonts w:ascii="Arial"/>
                <w:sz w:val="21"/>
              </w:rPr>
            </w:pPr>
          </w:p>
        </w:tc>
        <w:tc>
          <w:tcPr>
            <w:tcW w:w="1790" w:type="dxa"/>
            <w:vAlign w:val="top"/>
          </w:tcPr>
          <w:p w14:paraId="36CD1F27">
            <w:pPr>
              <w:rPr>
                <w:rFonts w:ascii="Arial"/>
                <w:sz w:val="21"/>
              </w:rPr>
            </w:pPr>
          </w:p>
        </w:tc>
      </w:tr>
      <w:tr w14:paraId="57C44E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0" w:hRule="atLeast"/>
        </w:trPr>
        <w:tc>
          <w:tcPr>
            <w:tcW w:w="734" w:type="dxa"/>
            <w:vAlign w:val="top"/>
          </w:tcPr>
          <w:p w14:paraId="109CB2E6">
            <w:pPr>
              <w:pStyle w:val="11"/>
              <w:spacing w:before="167" w:line="182" w:lineRule="auto"/>
              <w:ind w:left="121"/>
            </w:pPr>
            <w:r>
              <w:t>2</w:t>
            </w:r>
          </w:p>
        </w:tc>
        <w:tc>
          <w:tcPr>
            <w:tcW w:w="2908" w:type="dxa"/>
            <w:vAlign w:val="top"/>
          </w:tcPr>
          <w:p w14:paraId="40F4CBD7">
            <w:pPr>
              <w:pStyle w:val="11"/>
              <w:spacing w:before="132" w:line="221" w:lineRule="auto"/>
              <w:ind w:left="109"/>
            </w:pPr>
            <w:r>
              <w:rPr>
                <w:spacing w:val="-1"/>
              </w:rPr>
              <w:t>措施项目费</w:t>
            </w:r>
          </w:p>
        </w:tc>
        <w:tc>
          <w:tcPr>
            <w:tcW w:w="3331" w:type="dxa"/>
            <w:vAlign w:val="top"/>
          </w:tcPr>
          <w:p w14:paraId="450AEBB9">
            <w:pPr>
              <w:rPr>
                <w:rFonts w:ascii="Arial"/>
                <w:sz w:val="21"/>
              </w:rPr>
            </w:pPr>
          </w:p>
        </w:tc>
        <w:tc>
          <w:tcPr>
            <w:tcW w:w="1790" w:type="dxa"/>
            <w:vAlign w:val="top"/>
          </w:tcPr>
          <w:p w14:paraId="141E78A8">
            <w:pPr>
              <w:rPr>
                <w:rFonts w:ascii="Arial"/>
                <w:sz w:val="21"/>
              </w:rPr>
            </w:pPr>
          </w:p>
        </w:tc>
      </w:tr>
      <w:tr w14:paraId="424115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7" w:hRule="atLeast"/>
        </w:trPr>
        <w:tc>
          <w:tcPr>
            <w:tcW w:w="734" w:type="dxa"/>
            <w:vAlign w:val="top"/>
          </w:tcPr>
          <w:p w14:paraId="468E6305">
            <w:pPr>
              <w:pStyle w:val="11"/>
              <w:spacing w:before="199" w:line="183" w:lineRule="auto"/>
              <w:ind w:left="121"/>
            </w:pPr>
            <w:r>
              <w:rPr>
                <w:spacing w:val="-2"/>
              </w:rPr>
              <w:t>2.1</w:t>
            </w:r>
          </w:p>
        </w:tc>
        <w:tc>
          <w:tcPr>
            <w:tcW w:w="2908" w:type="dxa"/>
            <w:vAlign w:val="top"/>
          </w:tcPr>
          <w:p w14:paraId="20E3B167">
            <w:pPr>
              <w:pStyle w:val="11"/>
              <w:spacing w:before="31" w:line="222" w:lineRule="auto"/>
              <w:ind w:left="120" w:right="276" w:hanging="10"/>
            </w:pPr>
            <w:r>
              <w:rPr>
                <w:spacing w:val="-1"/>
              </w:rPr>
              <w:t>其中：文明施工和环境保护</w:t>
            </w:r>
            <w:r>
              <w:rPr>
                <w:spacing w:val="6"/>
              </w:rPr>
              <w:t xml:space="preserve"> </w:t>
            </w:r>
            <w:r>
              <w:t>费</w:t>
            </w:r>
          </w:p>
        </w:tc>
        <w:tc>
          <w:tcPr>
            <w:tcW w:w="3331" w:type="dxa"/>
            <w:vAlign w:val="top"/>
          </w:tcPr>
          <w:p w14:paraId="3705E7CD">
            <w:pPr>
              <w:rPr>
                <w:rFonts w:ascii="Arial"/>
                <w:sz w:val="21"/>
              </w:rPr>
            </w:pPr>
          </w:p>
        </w:tc>
        <w:tc>
          <w:tcPr>
            <w:tcW w:w="1790" w:type="dxa"/>
            <w:vAlign w:val="top"/>
          </w:tcPr>
          <w:p w14:paraId="70E9330D">
            <w:pPr>
              <w:rPr>
                <w:rFonts w:ascii="Arial"/>
                <w:sz w:val="21"/>
              </w:rPr>
            </w:pPr>
          </w:p>
        </w:tc>
      </w:tr>
      <w:tr w14:paraId="1D3ED6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4" w:hRule="atLeast"/>
        </w:trPr>
        <w:tc>
          <w:tcPr>
            <w:tcW w:w="734" w:type="dxa"/>
            <w:vAlign w:val="top"/>
          </w:tcPr>
          <w:p w14:paraId="3D73B577">
            <w:pPr>
              <w:pStyle w:val="11"/>
              <w:spacing w:before="167" w:line="182" w:lineRule="auto"/>
              <w:ind w:left="123"/>
            </w:pPr>
            <w:r>
              <w:t>3</w:t>
            </w:r>
          </w:p>
        </w:tc>
        <w:tc>
          <w:tcPr>
            <w:tcW w:w="2908" w:type="dxa"/>
            <w:vAlign w:val="top"/>
          </w:tcPr>
          <w:p w14:paraId="38E053C9">
            <w:pPr>
              <w:pStyle w:val="11"/>
              <w:spacing w:before="132" w:line="221" w:lineRule="auto"/>
              <w:ind w:left="110"/>
            </w:pPr>
            <w:r>
              <w:rPr>
                <w:spacing w:val="-1"/>
              </w:rPr>
              <w:t>其他项目费</w:t>
            </w:r>
          </w:p>
        </w:tc>
        <w:tc>
          <w:tcPr>
            <w:tcW w:w="3331" w:type="dxa"/>
            <w:vAlign w:val="top"/>
          </w:tcPr>
          <w:p w14:paraId="1D4E5FBF">
            <w:pPr>
              <w:rPr>
                <w:rFonts w:ascii="Arial"/>
                <w:sz w:val="21"/>
              </w:rPr>
            </w:pPr>
          </w:p>
        </w:tc>
        <w:tc>
          <w:tcPr>
            <w:tcW w:w="1790" w:type="dxa"/>
            <w:vAlign w:val="top"/>
          </w:tcPr>
          <w:p w14:paraId="6A3A4708">
            <w:pPr>
              <w:rPr>
                <w:rFonts w:ascii="Arial"/>
                <w:sz w:val="21"/>
              </w:rPr>
            </w:pPr>
          </w:p>
        </w:tc>
      </w:tr>
      <w:tr w14:paraId="1B349C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0" w:hRule="atLeast"/>
        </w:trPr>
        <w:tc>
          <w:tcPr>
            <w:tcW w:w="734" w:type="dxa"/>
            <w:vAlign w:val="top"/>
          </w:tcPr>
          <w:p w14:paraId="1716CDFC">
            <w:pPr>
              <w:pStyle w:val="11"/>
              <w:spacing w:before="167" w:line="182" w:lineRule="auto"/>
              <w:ind w:left="118"/>
            </w:pPr>
            <w:r>
              <w:t>4</w:t>
            </w:r>
          </w:p>
        </w:tc>
        <w:tc>
          <w:tcPr>
            <w:tcW w:w="2908" w:type="dxa"/>
            <w:vAlign w:val="top"/>
          </w:tcPr>
          <w:p w14:paraId="32DE5ADB">
            <w:pPr>
              <w:pStyle w:val="11"/>
              <w:spacing w:before="132" w:line="221" w:lineRule="auto"/>
              <w:ind w:left="110"/>
            </w:pPr>
            <w:r>
              <w:rPr>
                <w:spacing w:val="-2"/>
              </w:rPr>
              <w:t>规费</w:t>
            </w:r>
          </w:p>
        </w:tc>
        <w:tc>
          <w:tcPr>
            <w:tcW w:w="3331" w:type="dxa"/>
            <w:vAlign w:val="top"/>
          </w:tcPr>
          <w:p w14:paraId="22C256AC">
            <w:pPr>
              <w:rPr>
                <w:rFonts w:ascii="Arial"/>
                <w:sz w:val="21"/>
              </w:rPr>
            </w:pPr>
          </w:p>
        </w:tc>
        <w:tc>
          <w:tcPr>
            <w:tcW w:w="1790" w:type="dxa"/>
            <w:vAlign w:val="top"/>
          </w:tcPr>
          <w:p w14:paraId="43921BEE">
            <w:pPr>
              <w:rPr>
                <w:rFonts w:ascii="Arial"/>
                <w:sz w:val="21"/>
              </w:rPr>
            </w:pPr>
          </w:p>
        </w:tc>
      </w:tr>
      <w:tr w14:paraId="261926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80" w:hRule="atLeast"/>
        </w:trPr>
        <w:tc>
          <w:tcPr>
            <w:tcW w:w="734" w:type="dxa"/>
            <w:vAlign w:val="top"/>
          </w:tcPr>
          <w:p w14:paraId="722E0BBB">
            <w:pPr>
              <w:pStyle w:val="11"/>
              <w:spacing w:before="169" w:line="181" w:lineRule="auto"/>
              <w:ind w:left="123"/>
            </w:pPr>
            <w:r>
              <w:t>5</w:t>
            </w:r>
          </w:p>
        </w:tc>
        <w:tc>
          <w:tcPr>
            <w:tcW w:w="2908" w:type="dxa"/>
            <w:vAlign w:val="top"/>
          </w:tcPr>
          <w:p w14:paraId="0F13492A">
            <w:pPr>
              <w:pStyle w:val="11"/>
              <w:spacing w:before="133" w:line="221" w:lineRule="auto"/>
              <w:ind w:left="111"/>
            </w:pPr>
            <w:r>
              <w:rPr>
                <w:spacing w:val="-1"/>
              </w:rPr>
              <w:t>人工费动态调整</w:t>
            </w:r>
          </w:p>
        </w:tc>
        <w:tc>
          <w:tcPr>
            <w:tcW w:w="3331" w:type="dxa"/>
            <w:vAlign w:val="top"/>
          </w:tcPr>
          <w:p w14:paraId="4F322EAC">
            <w:pPr>
              <w:rPr>
                <w:rFonts w:ascii="Arial"/>
                <w:sz w:val="21"/>
              </w:rPr>
            </w:pPr>
          </w:p>
        </w:tc>
        <w:tc>
          <w:tcPr>
            <w:tcW w:w="1790" w:type="dxa"/>
            <w:vAlign w:val="top"/>
          </w:tcPr>
          <w:p w14:paraId="2235A704">
            <w:pPr>
              <w:rPr>
                <w:rFonts w:ascii="Arial"/>
                <w:sz w:val="21"/>
              </w:rPr>
            </w:pPr>
          </w:p>
        </w:tc>
      </w:tr>
      <w:tr w14:paraId="09570E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0" w:hRule="atLeast"/>
        </w:trPr>
        <w:tc>
          <w:tcPr>
            <w:tcW w:w="734" w:type="dxa"/>
            <w:vAlign w:val="top"/>
          </w:tcPr>
          <w:p w14:paraId="00D4B69F">
            <w:pPr>
              <w:pStyle w:val="11"/>
              <w:spacing w:before="168" w:line="182" w:lineRule="auto"/>
              <w:ind w:left="120"/>
            </w:pPr>
            <w:r>
              <w:t>6</w:t>
            </w:r>
          </w:p>
        </w:tc>
        <w:tc>
          <w:tcPr>
            <w:tcW w:w="2908" w:type="dxa"/>
            <w:vAlign w:val="top"/>
          </w:tcPr>
          <w:p w14:paraId="703236CE">
            <w:pPr>
              <w:pStyle w:val="11"/>
              <w:spacing w:before="133" w:line="221" w:lineRule="auto"/>
              <w:ind w:left="113"/>
            </w:pPr>
            <w:r>
              <w:rPr>
                <w:spacing w:val="-2"/>
              </w:rPr>
              <w:t>安全施工措施费</w:t>
            </w:r>
          </w:p>
        </w:tc>
        <w:tc>
          <w:tcPr>
            <w:tcW w:w="3331" w:type="dxa"/>
            <w:vAlign w:val="top"/>
          </w:tcPr>
          <w:p w14:paraId="7AD2E4F6">
            <w:pPr>
              <w:rPr>
                <w:rFonts w:ascii="Arial"/>
                <w:sz w:val="21"/>
              </w:rPr>
            </w:pPr>
          </w:p>
        </w:tc>
        <w:tc>
          <w:tcPr>
            <w:tcW w:w="1790" w:type="dxa"/>
            <w:vAlign w:val="top"/>
          </w:tcPr>
          <w:p w14:paraId="2B1E6AE2">
            <w:pPr>
              <w:rPr>
                <w:rFonts w:ascii="Arial"/>
                <w:sz w:val="21"/>
              </w:rPr>
            </w:pPr>
          </w:p>
        </w:tc>
      </w:tr>
      <w:tr w14:paraId="1B22F0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4" w:hRule="atLeast"/>
        </w:trPr>
        <w:tc>
          <w:tcPr>
            <w:tcW w:w="734" w:type="dxa"/>
            <w:vAlign w:val="top"/>
          </w:tcPr>
          <w:p w14:paraId="7B3324C5">
            <w:pPr>
              <w:pStyle w:val="11"/>
              <w:spacing w:before="169" w:line="181" w:lineRule="auto"/>
              <w:ind w:left="123"/>
            </w:pPr>
            <w:r>
              <w:t>7</w:t>
            </w:r>
          </w:p>
        </w:tc>
        <w:tc>
          <w:tcPr>
            <w:tcW w:w="2908" w:type="dxa"/>
            <w:vAlign w:val="top"/>
          </w:tcPr>
          <w:p w14:paraId="035367F6">
            <w:pPr>
              <w:pStyle w:val="11"/>
              <w:spacing w:before="132" w:line="221" w:lineRule="auto"/>
              <w:ind w:left="114"/>
            </w:pPr>
            <w:r>
              <w:rPr>
                <w:spacing w:val="-2"/>
              </w:rPr>
              <w:t>实名制管理费用</w:t>
            </w:r>
          </w:p>
        </w:tc>
        <w:tc>
          <w:tcPr>
            <w:tcW w:w="3331" w:type="dxa"/>
            <w:vAlign w:val="top"/>
          </w:tcPr>
          <w:p w14:paraId="269B553B">
            <w:pPr>
              <w:rPr>
                <w:rFonts w:ascii="Arial"/>
                <w:sz w:val="21"/>
              </w:rPr>
            </w:pPr>
          </w:p>
        </w:tc>
        <w:tc>
          <w:tcPr>
            <w:tcW w:w="1790" w:type="dxa"/>
            <w:vAlign w:val="top"/>
          </w:tcPr>
          <w:p w14:paraId="130C0C7D">
            <w:pPr>
              <w:rPr>
                <w:rFonts w:ascii="Arial"/>
                <w:sz w:val="21"/>
              </w:rPr>
            </w:pPr>
          </w:p>
        </w:tc>
      </w:tr>
      <w:tr w14:paraId="417EE3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9" w:hRule="atLeast"/>
        </w:trPr>
        <w:tc>
          <w:tcPr>
            <w:tcW w:w="734" w:type="dxa"/>
            <w:vAlign w:val="top"/>
          </w:tcPr>
          <w:p w14:paraId="4A5A181B">
            <w:pPr>
              <w:pStyle w:val="11"/>
              <w:spacing w:before="168" w:line="182" w:lineRule="auto"/>
              <w:ind w:left="119"/>
            </w:pPr>
            <w:r>
              <w:t>8</w:t>
            </w:r>
          </w:p>
        </w:tc>
        <w:tc>
          <w:tcPr>
            <w:tcW w:w="2908" w:type="dxa"/>
            <w:vAlign w:val="top"/>
          </w:tcPr>
          <w:p w14:paraId="595705E7">
            <w:pPr>
              <w:pStyle w:val="11"/>
              <w:spacing w:before="133" w:line="219" w:lineRule="auto"/>
              <w:ind w:left="108"/>
            </w:pPr>
            <w:r>
              <w:rPr>
                <w:spacing w:val="-1"/>
              </w:rPr>
              <w:t>税前工程造价合计</w:t>
            </w:r>
          </w:p>
        </w:tc>
        <w:tc>
          <w:tcPr>
            <w:tcW w:w="3331" w:type="dxa"/>
            <w:vAlign w:val="top"/>
          </w:tcPr>
          <w:p w14:paraId="27B38E73">
            <w:pPr>
              <w:rPr>
                <w:rFonts w:ascii="Arial"/>
                <w:sz w:val="21"/>
              </w:rPr>
            </w:pPr>
          </w:p>
        </w:tc>
        <w:tc>
          <w:tcPr>
            <w:tcW w:w="1790" w:type="dxa"/>
            <w:vAlign w:val="top"/>
          </w:tcPr>
          <w:p w14:paraId="051657CD">
            <w:pPr>
              <w:rPr>
                <w:rFonts w:ascii="Arial"/>
                <w:sz w:val="21"/>
              </w:rPr>
            </w:pPr>
          </w:p>
        </w:tc>
      </w:tr>
      <w:tr w14:paraId="31B277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0" w:hRule="atLeast"/>
        </w:trPr>
        <w:tc>
          <w:tcPr>
            <w:tcW w:w="734" w:type="dxa"/>
            <w:vAlign w:val="top"/>
          </w:tcPr>
          <w:p w14:paraId="66F2FC19">
            <w:pPr>
              <w:pStyle w:val="11"/>
              <w:spacing w:before="169" w:line="182" w:lineRule="auto"/>
              <w:ind w:left="119"/>
            </w:pPr>
            <w:r>
              <w:t>9</w:t>
            </w:r>
          </w:p>
        </w:tc>
        <w:tc>
          <w:tcPr>
            <w:tcW w:w="2908" w:type="dxa"/>
            <w:vAlign w:val="top"/>
          </w:tcPr>
          <w:p w14:paraId="7A080440">
            <w:pPr>
              <w:pStyle w:val="11"/>
              <w:spacing w:before="134" w:line="221" w:lineRule="auto"/>
              <w:ind w:left="108"/>
            </w:pPr>
            <w:r>
              <w:rPr>
                <w:spacing w:val="-2"/>
              </w:rPr>
              <w:t>税金</w:t>
            </w:r>
          </w:p>
        </w:tc>
        <w:tc>
          <w:tcPr>
            <w:tcW w:w="3331" w:type="dxa"/>
            <w:vAlign w:val="top"/>
          </w:tcPr>
          <w:p w14:paraId="6B15F78B">
            <w:pPr>
              <w:rPr>
                <w:rFonts w:ascii="Arial"/>
                <w:sz w:val="21"/>
              </w:rPr>
            </w:pPr>
          </w:p>
        </w:tc>
        <w:tc>
          <w:tcPr>
            <w:tcW w:w="1790" w:type="dxa"/>
            <w:vAlign w:val="top"/>
          </w:tcPr>
          <w:p w14:paraId="1312277A">
            <w:pPr>
              <w:rPr>
                <w:rFonts w:ascii="Arial"/>
                <w:sz w:val="21"/>
              </w:rPr>
            </w:pPr>
          </w:p>
        </w:tc>
      </w:tr>
      <w:tr w14:paraId="3AA9C5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9" w:hRule="atLeast"/>
        </w:trPr>
        <w:tc>
          <w:tcPr>
            <w:tcW w:w="734" w:type="dxa"/>
            <w:vAlign w:val="top"/>
          </w:tcPr>
          <w:p w14:paraId="11A982F6">
            <w:pPr>
              <w:rPr>
                <w:rFonts w:ascii="Arial"/>
                <w:sz w:val="21"/>
              </w:rPr>
            </w:pPr>
          </w:p>
        </w:tc>
        <w:tc>
          <w:tcPr>
            <w:tcW w:w="2908" w:type="dxa"/>
            <w:vAlign w:val="top"/>
          </w:tcPr>
          <w:p w14:paraId="162A09E8">
            <w:pPr>
              <w:rPr>
                <w:rFonts w:ascii="Arial"/>
                <w:sz w:val="21"/>
              </w:rPr>
            </w:pPr>
          </w:p>
        </w:tc>
        <w:tc>
          <w:tcPr>
            <w:tcW w:w="3331" w:type="dxa"/>
            <w:vAlign w:val="top"/>
          </w:tcPr>
          <w:p w14:paraId="7CC39156">
            <w:pPr>
              <w:rPr>
                <w:rFonts w:ascii="Arial"/>
                <w:sz w:val="21"/>
              </w:rPr>
            </w:pPr>
          </w:p>
        </w:tc>
        <w:tc>
          <w:tcPr>
            <w:tcW w:w="1790" w:type="dxa"/>
            <w:vAlign w:val="top"/>
          </w:tcPr>
          <w:p w14:paraId="69AF702C">
            <w:pPr>
              <w:rPr>
                <w:rFonts w:ascii="Arial"/>
                <w:sz w:val="21"/>
              </w:rPr>
            </w:pPr>
          </w:p>
        </w:tc>
      </w:tr>
      <w:tr w14:paraId="21C448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4" w:hRule="atLeast"/>
        </w:trPr>
        <w:tc>
          <w:tcPr>
            <w:tcW w:w="734" w:type="dxa"/>
            <w:vAlign w:val="top"/>
          </w:tcPr>
          <w:p w14:paraId="13BD2C83">
            <w:pPr>
              <w:rPr>
                <w:rFonts w:ascii="Arial"/>
                <w:sz w:val="21"/>
              </w:rPr>
            </w:pPr>
          </w:p>
        </w:tc>
        <w:tc>
          <w:tcPr>
            <w:tcW w:w="2908" w:type="dxa"/>
            <w:vAlign w:val="top"/>
          </w:tcPr>
          <w:p w14:paraId="719A15FC">
            <w:pPr>
              <w:rPr>
                <w:rFonts w:ascii="Arial"/>
                <w:sz w:val="21"/>
              </w:rPr>
            </w:pPr>
          </w:p>
        </w:tc>
        <w:tc>
          <w:tcPr>
            <w:tcW w:w="3331" w:type="dxa"/>
            <w:vAlign w:val="top"/>
          </w:tcPr>
          <w:p w14:paraId="3127D674">
            <w:pPr>
              <w:rPr>
                <w:rFonts w:ascii="Arial"/>
                <w:sz w:val="21"/>
              </w:rPr>
            </w:pPr>
          </w:p>
        </w:tc>
        <w:tc>
          <w:tcPr>
            <w:tcW w:w="1790" w:type="dxa"/>
            <w:vAlign w:val="top"/>
          </w:tcPr>
          <w:p w14:paraId="0C570B33">
            <w:pPr>
              <w:rPr>
                <w:rFonts w:ascii="Arial"/>
                <w:sz w:val="21"/>
              </w:rPr>
            </w:pPr>
          </w:p>
        </w:tc>
      </w:tr>
      <w:tr w14:paraId="57DF9E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0" w:hRule="atLeast"/>
        </w:trPr>
        <w:tc>
          <w:tcPr>
            <w:tcW w:w="734" w:type="dxa"/>
            <w:vAlign w:val="top"/>
          </w:tcPr>
          <w:p w14:paraId="3AB0A633">
            <w:pPr>
              <w:rPr>
                <w:rFonts w:ascii="Arial"/>
                <w:sz w:val="21"/>
              </w:rPr>
            </w:pPr>
          </w:p>
        </w:tc>
        <w:tc>
          <w:tcPr>
            <w:tcW w:w="2908" w:type="dxa"/>
            <w:vAlign w:val="top"/>
          </w:tcPr>
          <w:p w14:paraId="4672708B">
            <w:pPr>
              <w:rPr>
                <w:rFonts w:ascii="Arial"/>
                <w:sz w:val="21"/>
              </w:rPr>
            </w:pPr>
          </w:p>
        </w:tc>
        <w:tc>
          <w:tcPr>
            <w:tcW w:w="3331" w:type="dxa"/>
            <w:vAlign w:val="top"/>
          </w:tcPr>
          <w:p w14:paraId="775817CC">
            <w:pPr>
              <w:rPr>
                <w:rFonts w:ascii="Arial"/>
                <w:sz w:val="21"/>
              </w:rPr>
            </w:pPr>
          </w:p>
        </w:tc>
        <w:tc>
          <w:tcPr>
            <w:tcW w:w="1790" w:type="dxa"/>
            <w:vAlign w:val="top"/>
          </w:tcPr>
          <w:p w14:paraId="64D8F8A6">
            <w:pPr>
              <w:rPr>
                <w:rFonts w:ascii="Arial"/>
                <w:sz w:val="21"/>
              </w:rPr>
            </w:pPr>
          </w:p>
        </w:tc>
      </w:tr>
      <w:tr w14:paraId="70CA15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0" w:hRule="atLeast"/>
        </w:trPr>
        <w:tc>
          <w:tcPr>
            <w:tcW w:w="734" w:type="dxa"/>
            <w:vAlign w:val="top"/>
          </w:tcPr>
          <w:p w14:paraId="177491C4">
            <w:pPr>
              <w:rPr>
                <w:rFonts w:ascii="Arial"/>
                <w:sz w:val="21"/>
              </w:rPr>
            </w:pPr>
          </w:p>
        </w:tc>
        <w:tc>
          <w:tcPr>
            <w:tcW w:w="2908" w:type="dxa"/>
            <w:vAlign w:val="top"/>
          </w:tcPr>
          <w:p w14:paraId="28FB41C2">
            <w:pPr>
              <w:rPr>
                <w:rFonts w:ascii="Arial"/>
                <w:sz w:val="21"/>
              </w:rPr>
            </w:pPr>
          </w:p>
        </w:tc>
        <w:tc>
          <w:tcPr>
            <w:tcW w:w="3331" w:type="dxa"/>
            <w:vAlign w:val="top"/>
          </w:tcPr>
          <w:p w14:paraId="66C2EA0E">
            <w:pPr>
              <w:rPr>
                <w:rFonts w:ascii="Arial"/>
                <w:sz w:val="21"/>
              </w:rPr>
            </w:pPr>
          </w:p>
        </w:tc>
        <w:tc>
          <w:tcPr>
            <w:tcW w:w="1790" w:type="dxa"/>
            <w:vAlign w:val="top"/>
          </w:tcPr>
          <w:p w14:paraId="24D9F5B8">
            <w:pPr>
              <w:rPr>
                <w:rFonts w:ascii="Arial"/>
                <w:sz w:val="21"/>
              </w:rPr>
            </w:pPr>
          </w:p>
        </w:tc>
      </w:tr>
      <w:tr w14:paraId="1EA286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0" w:hRule="atLeast"/>
        </w:trPr>
        <w:tc>
          <w:tcPr>
            <w:tcW w:w="734" w:type="dxa"/>
            <w:vAlign w:val="top"/>
          </w:tcPr>
          <w:p w14:paraId="71B15C83">
            <w:pPr>
              <w:rPr>
                <w:rFonts w:ascii="Arial"/>
                <w:sz w:val="21"/>
              </w:rPr>
            </w:pPr>
          </w:p>
        </w:tc>
        <w:tc>
          <w:tcPr>
            <w:tcW w:w="2908" w:type="dxa"/>
            <w:vAlign w:val="top"/>
          </w:tcPr>
          <w:p w14:paraId="42F2B605">
            <w:pPr>
              <w:rPr>
                <w:rFonts w:ascii="Arial"/>
                <w:sz w:val="21"/>
              </w:rPr>
            </w:pPr>
          </w:p>
        </w:tc>
        <w:tc>
          <w:tcPr>
            <w:tcW w:w="3331" w:type="dxa"/>
            <w:vAlign w:val="top"/>
          </w:tcPr>
          <w:p w14:paraId="33F56901">
            <w:pPr>
              <w:rPr>
                <w:rFonts w:ascii="Arial"/>
                <w:sz w:val="21"/>
              </w:rPr>
            </w:pPr>
          </w:p>
        </w:tc>
        <w:tc>
          <w:tcPr>
            <w:tcW w:w="1790" w:type="dxa"/>
            <w:vAlign w:val="top"/>
          </w:tcPr>
          <w:p w14:paraId="0D06451A">
            <w:pPr>
              <w:rPr>
                <w:rFonts w:ascii="Arial"/>
                <w:sz w:val="21"/>
              </w:rPr>
            </w:pPr>
          </w:p>
        </w:tc>
      </w:tr>
      <w:tr w14:paraId="6E8288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84" w:hRule="atLeast"/>
        </w:trPr>
        <w:tc>
          <w:tcPr>
            <w:tcW w:w="734" w:type="dxa"/>
            <w:vAlign w:val="top"/>
          </w:tcPr>
          <w:p w14:paraId="1A37081E">
            <w:pPr>
              <w:rPr>
                <w:rFonts w:ascii="Arial"/>
                <w:sz w:val="21"/>
              </w:rPr>
            </w:pPr>
          </w:p>
        </w:tc>
        <w:tc>
          <w:tcPr>
            <w:tcW w:w="2908" w:type="dxa"/>
            <w:vAlign w:val="top"/>
          </w:tcPr>
          <w:p w14:paraId="2D901654">
            <w:pPr>
              <w:rPr>
                <w:rFonts w:ascii="Arial"/>
                <w:sz w:val="21"/>
              </w:rPr>
            </w:pPr>
          </w:p>
        </w:tc>
        <w:tc>
          <w:tcPr>
            <w:tcW w:w="3331" w:type="dxa"/>
            <w:vAlign w:val="top"/>
          </w:tcPr>
          <w:p w14:paraId="784AFA6C">
            <w:pPr>
              <w:rPr>
                <w:rFonts w:ascii="Arial"/>
                <w:sz w:val="21"/>
              </w:rPr>
            </w:pPr>
          </w:p>
        </w:tc>
        <w:tc>
          <w:tcPr>
            <w:tcW w:w="1790" w:type="dxa"/>
            <w:vAlign w:val="top"/>
          </w:tcPr>
          <w:p w14:paraId="4F3C73AC">
            <w:pPr>
              <w:rPr>
                <w:rFonts w:ascii="Arial"/>
                <w:sz w:val="21"/>
              </w:rPr>
            </w:pPr>
          </w:p>
        </w:tc>
      </w:tr>
      <w:tr w14:paraId="58D149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85" w:hRule="atLeast"/>
        </w:trPr>
        <w:tc>
          <w:tcPr>
            <w:tcW w:w="3642" w:type="dxa"/>
            <w:gridSpan w:val="2"/>
            <w:vAlign w:val="top"/>
          </w:tcPr>
          <w:p w14:paraId="4D8CFF9F">
            <w:pPr>
              <w:pStyle w:val="11"/>
              <w:spacing w:before="136" w:line="222" w:lineRule="auto"/>
              <w:ind w:left="1622"/>
            </w:pPr>
            <w:r>
              <w:rPr>
                <w:spacing w:val="-2"/>
              </w:rPr>
              <w:t>合计</w:t>
            </w:r>
          </w:p>
        </w:tc>
        <w:tc>
          <w:tcPr>
            <w:tcW w:w="3331" w:type="dxa"/>
            <w:vAlign w:val="top"/>
          </w:tcPr>
          <w:p w14:paraId="06BC204A">
            <w:pPr>
              <w:rPr>
                <w:rFonts w:ascii="Arial"/>
                <w:sz w:val="21"/>
              </w:rPr>
            </w:pPr>
          </w:p>
        </w:tc>
        <w:tc>
          <w:tcPr>
            <w:tcW w:w="1790" w:type="dxa"/>
            <w:vAlign w:val="top"/>
          </w:tcPr>
          <w:p w14:paraId="4D957F8C">
            <w:pPr>
              <w:rPr>
                <w:rFonts w:ascii="Arial"/>
                <w:sz w:val="21"/>
              </w:rPr>
            </w:pPr>
          </w:p>
        </w:tc>
      </w:tr>
    </w:tbl>
    <w:p w14:paraId="5204AD5C">
      <w:pPr>
        <w:spacing w:before="270" w:line="231" w:lineRule="auto"/>
        <w:ind w:left="17" w:right="457"/>
        <w:rPr>
          <w:rFonts w:ascii="宋体" w:hAnsi="宋体" w:eastAsia="宋体" w:cs="宋体"/>
          <w:sz w:val="21"/>
          <w:szCs w:val="21"/>
        </w:rPr>
      </w:pPr>
      <w:r>
        <w:rPr>
          <w:rFonts w:ascii="宋体" w:hAnsi="宋体" w:eastAsia="宋体" w:cs="宋体"/>
          <w:sz w:val="21"/>
          <w:szCs w:val="21"/>
        </w:rPr>
        <w:t>注：本表适用于单位工程投标报价的汇总，如无单位工程的划分， 单项工程也使用本汇总</w:t>
      </w:r>
      <w:r>
        <w:rPr>
          <w:rFonts w:ascii="宋体" w:hAnsi="宋体" w:eastAsia="宋体" w:cs="宋体"/>
          <w:spacing w:val="6"/>
          <w:sz w:val="21"/>
          <w:szCs w:val="21"/>
        </w:rPr>
        <w:t xml:space="preserve"> </w:t>
      </w:r>
      <w:r>
        <w:rPr>
          <w:rFonts w:ascii="宋体" w:hAnsi="宋体" w:eastAsia="宋体" w:cs="宋体"/>
          <w:spacing w:val="-10"/>
          <w:sz w:val="21"/>
          <w:szCs w:val="21"/>
        </w:rPr>
        <w:t>表。</w:t>
      </w:r>
    </w:p>
    <w:p w14:paraId="5277B00F">
      <w:pPr>
        <w:spacing w:line="231" w:lineRule="auto"/>
        <w:rPr>
          <w:rFonts w:ascii="宋体" w:hAnsi="宋体" w:eastAsia="宋体" w:cs="宋体"/>
          <w:sz w:val="21"/>
          <w:szCs w:val="21"/>
        </w:rPr>
        <w:sectPr>
          <w:footerReference r:id="rId169" w:type="default"/>
          <w:pgSz w:w="11905" w:h="16839"/>
          <w:pgMar w:top="400" w:right="1339" w:bottom="1004" w:left="1785" w:header="0" w:footer="828" w:gutter="0"/>
          <w:pgNumType w:fmt="decimal"/>
          <w:cols w:space="720" w:num="1"/>
        </w:sectPr>
      </w:pPr>
    </w:p>
    <w:p w14:paraId="2130FDAB">
      <w:pPr>
        <w:pStyle w:val="3"/>
        <w:spacing w:line="267" w:lineRule="auto"/>
      </w:pPr>
    </w:p>
    <w:p w14:paraId="7149857A">
      <w:pPr>
        <w:pStyle w:val="3"/>
        <w:spacing w:line="267" w:lineRule="auto"/>
      </w:pPr>
    </w:p>
    <w:p w14:paraId="0353B335">
      <w:pPr>
        <w:pStyle w:val="3"/>
        <w:spacing w:line="268" w:lineRule="auto"/>
      </w:pPr>
    </w:p>
    <w:p w14:paraId="00087552">
      <w:pPr>
        <w:pStyle w:val="3"/>
        <w:spacing w:line="268" w:lineRule="auto"/>
      </w:pPr>
    </w:p>
    <w:p w14:paraId="561A1930">
      <w:pPr>
        <w:spacing w:before="78" w:line="219" w:lineRule="auto"/>
        <w:ind w:left="90"/>
        <w:rPr>
          <w:rFonts w:ascii="黑体" w:hAnsi="黑体" w:eastAsia="黑体" w:cs="黑体"/>
          <w:sz w:val="24"/>
          <w:szCs w:val="24"/>
        </w:rPr>
      </w:pPr>
      <w:r>
        <w:rPr>
          <w:rFonts w:ascii="Times New Roman" w:hAnsi="Times New Roman" w:eastAsia="Times New Roman" w:cs="Times New Roman"/>
          <w:spacing w:val="-1"/>
          <w:sz w:val="24"/>
          <w:szCs w:val="24"/>
        </w:rPr>
        <w:t xml:space="preserve">4.9 </w:t>
      </w:r>
      <w:r>
        <w:rPr>
          <w:rFonts w:ascii="黑体" w:hAnsi="黑体" w:eastAsia="黑体" w:cs="黑体"/>
          <w:spacing w:val="-1"/>
          <w:sz w:val="24"/>
          <w:szCs w:val="24"/>
        </w:rPr>
        <w:t>分部分项工程和单价措施项目清单与计价表</w:t>
      </w:r>
    </w:p>
    <w:p w14:paraId="1AC828F9">
      <w:pPr>
        <w:spacing w:before="281" w:line="225" w:lineRule="auto"/>
        <w:ind w:left="1597"/>
        <w:rPr>
          <w:rFonts w:ascii="黑体" w:hAnsi="黑体" w:eastAsia="黑体" w:cs="黑体"/>
          <w:sz w:val="27"/>
          <w:szCs w:val="27"/>
        </w:rPr>
      </w:pPr>
      <w:r>
        <w:rPr>
          <w:rFonts w:ascii="黑体" w:hAnsi="黑体" w:eastAsia="黑体" w:cs="黑体"/>
          <w:spacing w:val="9"/>
          <w:sz w:val="27"/>
          <w:szCs w:val="27"/>
        </w:rPr>
        <w:t>分部分项工程和单价措施项目清单与计价表</w:t>
      </w:r>
    </w:p>
    <w:p w14:paraId="617EA27F">
      <w:pPr>
        <w:spacing w:before="262" w:line="221" w:lineRule="auto"/>
        <w:ind w:left="97"/>
        <w:rPr>
          <w:rFonts w:ascii="宋体" w:hAnsi="宋体" w:eastAsia="宋体" w:cs="宋体"/>
          <w:sz w:val="21"/>
          <w:szCs w:val="21"/>
        </w:rPr>
      </w:pPr>
      <w:r>
        <w:rPr>
          <w:rFonts w:ascii="宋体" w:hAnsi="宋体" w:eastAsia="宋体" w:cs="宋体"/>
          <w:spacing w:val="-11"/>
          <w:sz w:val="21"/>
          <w:szCs w:val="21"/>
        </w:rPr>
        <w:t>工程名称：</w:t>
      </w:r>
      <w:r>
        <w:rPr>
          <w:rFonts w:ascii="宋体" w:hAnsi="宋体" w:eastAsia="宋体" w:cs="宋体"/>
          <w:spacing w:val="7"/>
          <w:sz w:val="21"/>
          <w:szCs w:val="21"/>
        </w:rPr>
        <w:t xml:space="preserve">            </w:t>
      </w:r>
      <w:r>
        <w:rPr>
          <w:rFonts w:ascii="宋体" w:hAnsi="宋体" w:eastAsia="宋体" w:cs="宋体"/>
          <w:spacing w:val="-11"/>
          <w:sz w:val="21"/>
          <w:szCs w:val="21"/>
        </w:rPr>
        <w:t>标段名称：                                     第 页</w:t>
      </w:r>
      <w:r>
        <w:rPr>
          <w:rFonts w:ascii="宋体" w:hAnsi="宋体" w:eastAsia="宋体" w:cs="宋体"/>
          <w:spacing w:val="11"/>
          <w:sz w:val="21"/>
          <w:szCs w:val="21"/>
        </w:rPr>
        <w:t xml:space="preserve"> </w:t>
      </w:r>
      <w:r>
        <w:rPr>
          <w:rFonts w:ascii="宋体" w:hAnsi="宋体" w:eastAsia="宋体" w:cs="宋体"/>
          <w:spacing w:val="-11"/>
          <w:sz w:val="21"/>
          <w:szCs w:val="21"/>
        </w:rPr>
        <w:t>共</w:t>
      </w:r>
      <w:r>
        <w:rPr>
          <w:rFonts w:ascii="宋体" w:hAnsi="宋体" w:eastAsia="宋体" w:cs="宋体"/>
          <w:spacing w:val="10"/>
          <w:sz w:val="21"/>
          <w:szCs w:val="21"/>
        </w:rPr>
        <w:t xml:space="preserve"> </w:t>
      </w:r>
      <w:r>
        <w:rPr>
          <w:rFonts w:ascii="宋体" w:hAnsi="宋体" w:eastAsia="宋体" w:cs="宋体"/>
          <w:spacing w:val="-11"/>
          <w:sz w:val="21"/>
          <w:szCs w:val="21"/>
        </w:rPr>
        <w:t>页</w:t>
      </w:r>
    </w:p>
    <w:p w14:paraId="718CB0A4">
      <w:pPr>
        <w:spacing w:line="233" w:lineRule="exact"/>
      </w:pPr>
    </w:p>
    <w:tbl>
      <w:tblPr>
        <w:tblStyle w:val="10"/>
        <w:tblW w:w="8484" w:type="dxa"/>
        <w:tblInd w:w="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53"/>
        <w:gridCol w:w="1043"/>
        <w:gridCol w:w="1027"/>
        <w:gridCol w:w="1455"/>
        <w:gridCol w:w="1019"/>
        <w:gridCol w:w="834"/>
        <w:gridCol w:w="770"/>
        <w:gridCol w:w="736"/>
        <w:gridCol w:w="947"/>
      </w:tblGrid>
      <w:tr w14:paraId="7D6A14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7" w:hRule="atLeast"/>
        </w:trPr>
        <w:tc>
          <w:tcPr>
            <w:tcW w:w="653" w:type="dxa"/>
            <w:vMerge w:val="restart"/>
            <w:tcBorders>
              <w:top w:val="single" w:color="000000" w:sz="4" w:space="0"/>
              <w:left w:val="single" w:color="000000" w:sz="4" w:space="0"/>
              <w:bottom w:val="nil"/>
            </w:tcBorders>
            <w:vAlign w:val="top"/>
          </w:tcPr>
          <w:p w14:paraId="459FC5F3">
            <w:pPr>
              <w:spacing w:line="436" w:lineRule="auto"/>
              <w:rPr>
                <w:rFonts w:ascii="Arial"/>
                <w:sz w:val="21"/>
              </w:rPr>
            </w:pPr>
          </w:p>
          <w:p w14:paraId="501FAC30">
            <w:pPr>
              <w:pStyle w:val="11"/>
              <w:spacing w:before="65" w:line="222" w:lineRule="auto"/>
              <w:ind w:left="127"/>
              <w:rPr>
                <w:sz w:val="20"/>
                <w:szCs w:val="20"/>
              </w:rPr>
            </w:pPr>
            <w:r>
              <w:rPr>
                <w:spacing w:val="-1"/>
                <w:sz w:val="20"/>
                <w:szCs w:val="20"/>
              </w:rPr>
              <w:t>序号</w:t>
            </w:r>
          </w:p>
        </w:tc>
        <w:tc>
          <w:tcPr>
            <w:tcW w:w="1043" w:type="dxa"/>
            <w:vMerge w:val="restart"/>
            <w:tcBorders>
              <w:top w:val="single" w:color="000000" w:sz="4" w:space="0"/>
              <w:bottom w:val="nil"/>
              <w:right w:val="single" w:color="000000" w:sz="4" w:space="0"/>
            </w:tcBorders>
            <w:vAlign w:val="top"/>
          </w:tcPr>
          <w:p w14:paraId="2AB09A47">
            <w:pPr>
              <w:spacing w:line="435" w:lineRule="auto"/>
              <w:rPr>
                <w:rFonts w:ascii="Arial"/>
                <w:sz w:val="21"/>
              </w:rPr>
            </w:pPr>
          </w:p>
          <w:p w14:paraId="71EFA37C">
            <w:pPr>
              <w:pStyle w:val="11"/>
              <w:spacing w:before="65" w:line="221" w:lineRule="auto"/>
              <w:ind w:left="123"/>
              <w:rPr>
                <w:sz w:val="20"/>
                <w:szCs w:val="20"/>
              </w:rPr>
            </w:pPr>
            <w:r>
              <w:rPr>
                <w:spacing w:val="-1"/>
                <w:sz w:val="20"/>
                <w:szCs w:val="20"/>
              </w:rPr>
              <w:t>项目编码</w:t>
            </w:r>
          </w:p>
        </w:tc>
        <w:tc>
          <w:tcPr>
            <w:tcW w:w="1027" w:type="dxa"/>
            <w:vMerge w:val="restart"/>
            <w:tcBorders>
              <w:top w:val="single" w:color="000000" w:sz="4" w:space="0"/>
              <w:left w:val="single" w:color="000000" w:sz="4" w:space="0"/>
              <w:bottom w:val="nil"/>
              <w:right w:val="single" w:color="000000" w:sz="4" w:space="0"/>
            </w:tcBorders>
            <w:vAlign w:val="top"/>
          </w:tcPr>
          <w:p w14:paraId="6CBF5BB7">
            <w:pPr>
              <w:spacing w:line="435" w:lineRule="auto"/>
              <w:rPr>
                <w:rFonts w:ascii="Arial"/>
                <w:sz w:val="21"/>
              </w:rPr>
            </w:pPr>
          </w:p>
          <w:p w14:paraId="101A17E1">
            <w:pPr>
              <w:pStyle w:val="11"/>
              <w:spacing w:before="65" w:line="222" w:lineRule="auto"/>
              <w:ind w:left="115"/>
              <w:rPr>
                <w:sz w:val="20"/>
                <w:szCs w:val="20"/>
              </w:rPr>
            </w:pPr>
            <w:r>
              <w:rPr>
                <w:spacing w:val="-1"/>
                <w:sz w:val="20"/>
                <w:szCs w:val="20"/>
              </w:rPr>
              <w:t>项目名称</w:t>
            </w:r>
          </w:p>
        </w:tc>
        <w:tc>
          <w:tcPr>
            <w:tcW w:w="1455" w:type="dxa"/>
            <w:vMerge w:val="restart"/>
            <w:tcBorders>
              <w:top w:val="single" w:color="000000" w:sz="4" w:space="0"/>
              <w:left w:val="single" w:color="000000" w:sz="4" w:space="0"/>
              <w:bottom w:val="nil"/>
            </w:tcBorders>
            <w:vAlign w:val="top"/>
          </w:tcPr>
          <w:p w14:paraId="15FDF3EF">
            <w:pPr>
              <w:spacing w:line="435" w:lineRule="auto"/>
              <w:rPr>
                <w:rFonts w:ascii="Arial"/>
                <w:sz w:val="21"/>
              </w:rPr>
            </w:pPr>
          </w:p>
          <w:p w14:paraId="5208563A">
            <w:pPr>
              <w:pStyle w:val="11"/>
              <w:spacing w:before="65" w:line="221" w:lineRule="auto"/>
              <w:ind w:left="130"/>
              <w:rPr>
                <w:sz w:val="20"/>
                <w:szCs w:val="20"/>
              </w:rPr>
            </w:pPr>
            <w:r>
              <w:rPr>
                <w:spacing w:val="-1"/>
                <w:sz w:val="20"/>
                <w:szCs w:val="20"/>
              </w:rPr>
              <w:t>项目特征描述</w:t>
            </w:r>
          </w:p>
        </w:tc>
        <w:tc>
          <w:tcPr>
            <w:tcW w:w="1019" w:type="dxa"/>
            <w:vMerge w:val="restart"/>
            <w:tcBorders>
              <w:top w:val="single" w:color="000000" w:sz="4" w:space="0"/>
              <w:bottom w:val="nil"/>
              <w:right w:val="single" w:color="000000" w:sz="4" w:space="0"/>
            </w:tcBorders>
            <w:vAlign w:val="top"/>
          </w:tcPr>
          <w:p w14:paraId="5CAE6EAE">
            <w:pPr>
              <w:spacing w:line="435" w:lineRule="auto"/>
              <w:rPr>
                <w:rFonts w:ascii="Arial"/>
                <w:sz w:val="21"/>
              </w:rPr>
            </w:pPr>
          </w:p>
          <w:p w14:paraId="32D7E804">
            <w:pPr>
              <w:pStyle w:val="11"/>
              <w:spacing w:before="65" w:line="222" w:lineRule="auto"/>
              <w:ind w:left="110"/>
              <w:rPr>
                <w:sz w:val="20"/>
                <w:szCs w:val="20"/>
              </w:rPr>
            </w:pPr>
            <w:r>
              <w:rPr>
                <w:spacing w:val="-1"/>
                <w:sz w:val="20"/>
                <w:szCs w:val="20"/>
              </w:rPr>
              <w:t>计量单位</w:t>
            </w:r>
          </w:p>
        </w:tc>
        <w:tc>
          <w:tcPr>
            <w:tcW w:w="834" w:type="dxa"/>
            <w:vMerge w:val="restart"/>
            <w:tcBorders>
              <w:top w:val="single" w:color="000000" w:sz="4" w:space="0"/>
              <w:left w:val="single" w:color="000000" w:sz="4" w:space="0"/>
              <w:bottom w:val="nil"/>
              <w:right w:val="single" w:color="000000" w:sz="4" w:space="0"/>
            </w:tcBorders>
            <w:vAlign w:val="top"/>
          </w:tcPr>
          <w:p w14:paraId="72EA24ED">
            <w:pPr>
              <w:spacing w:line="435" w:lineRule="auto"/>
              <w:rPr>
                <w:rFonts w:ascii="Arial"/>
                <w:sz w:val="21"/>
              </w:rPr>
            </w:pPr>
          </w:p>
          <w:p w14:paraId="5BEB831D">
            <w:pPr>
              <w:pStyle w:val="11"/>
              <w:spacing w:before="65" w:line="222" w:lineRule="auto"/>
              <w:ind w:left="124"/>
              <w:rPr>
                <w:sz w:val="20"/>
                <w:szCs w:val="20"/>
              </w:rPr>
            </w:pPr>
            <w:r>
              <w:rPr>
                <w:spacing w:val="-2"/>
                <w:sz w:val="20"/>
                <w:szCs w:val="20"/>
              </w:rPr>
              <w:t>工程量</w:t>
            </w:r>
          </w:p>
        </w:tc>
        <w:tc>
          <w:tcPr>
            <w:tcW w:w="2453" w:type="dxa"/>
            <w:gridSpan w:val="3"/>
            <w:tcBorders>
              <w:top w:val="single" w:color="000000" w:sz="4" w:space="0"/>
              <w:left w:val="single" w:color="000000" w:sz="4" w:space="0"/>
              <w:right w:val="single" w:color="000000" w:sz="4" w:space="0"/>
            </w:tcBorders>
            <w:vAlign w:val="top"/>
          </w:tcPr>
          <w:p w14:paraId="5ADFAE19">
            <w:pPr>
              <w:pStyle w:val="11"/>
              <w:spacing w:before="109" w:line="221" w:lineRule="auto"/>
              <w:ind w:left="729"/>
              <w:rPr>
                <w:sz w:val="20"/>
                <w:szCs w:val="20"/>
              </w:rPr>
            </w:pPr>
            <w:r>
              <w:rPr>
                <w:spacing w:val="-1"/>
                <w:sz w:val="20"/>
                <w:szCs w:val="20"/>
              </w:rPr>
              <w:t>金额（元）</w:t>
            </w:r>
          </w:p>
        </w:tc>
      </w:tr>
      <w:tr w14:paraId="7F3EB6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2" w:hRule="atLeast"/>
        </w:trPr>
        <w:tc>
          <w:tcPr>
            <w:tcW w:w="653" w:type="dxa"/>
            <w:vMerge w:val="continue"/>
            <w:tcBorders>
              <w:top w:val="nil"/>
              <w:left w:val="single" w:color="000000" w:sz="4" w:space="0"/>
            </w:tcBorders>
            <w:vAlign w:val="top"/>
          </w:tcPr>
          <w:p w14:paraId="4432C7CE">
            <w:pPr>
              <w:rPr>
                <w:rFonts w:ascii="Arial"/>
                <w:sz w:val="21"/>
              </w:rPr>
            </w:pPr>
          </w:p>
        </w:tc>
        <w:tc>
          <w:tcPr>
            <w:tcW w:w="1043" w:type="dxa"/>
            <w:vMerge w:val="continue"/>
            <w:tcBorders>
              <w:top w:val="nil"/>
              <w:right w:val="single" w:color="000000" w:sz="4" w:space="0"/>
            </w:tcBorders>
            <w:vAlign w:val="top"/>
          </w:tcPr>
          <w:p w14:paraId="34C88A28">
            <w:pPr>
              <w:rPr>
                <w:rFonts w:ascii="Arial"/>
                <w:sz w:val="21"/>
              </w:rPr>
            </w:pPr>
          </w:p>
        </w:tc>
        <w:tc>
          <w:tcPr>
            <w:tcW w:w="1027" w:type="dxa"/>
            <w:vMerge w:val="continue"/>
            <w:tcBorders>
              <w:top w:val="nil"/>
              <w:left w:val="single" w:color="000000" w:sz="4" w:space="0"/>
              <w:right w:val="single" w:color="000000" w:sz="4" w:space="0"/>
            </w:tcBorders>
            <w:vAlign w:val="top"/>
          </w:tcPr>
          <w:p w14:paraId="1C1F1B63">
            <w:pPr>
              <w:rPr>
                <w:rFonts w:ascii="Arial"/>
                <w:sz w:val="21"/>
              </w:rPr>
            </w:pPr>
          </w:p>
        </w:tc>
        <w:tc>
          <w:tcPr>
            <w:tcW w:w="1455" w:type="dxa"/>
            <w:vMerge w:val="continue"/>
            <w:tcBorders>
              <w:top w:val="nil"/>
              <w:left w:val="single" w:color="000000" w:sz="4" w:space="0"/>
            </w:tcBorders>
            <w:vAlign w:val="top"/>
          </w:tcPr>
          <w:p w14:paraId="47735C31">
            <w:pPr>
              <w:rPr>
                <w:rFonts w:ascii="Arial"/>
                <w:sz w:val="21"/>
              </w:rPr>
            </w:pPr>
          </w:p>
        </w:tc>
        <w:tc>
          <w:tcPr>
            <w:tcW w:w="1019" w:type="dxa"/>
            <w:vMerge w:val="continue"/>
            <w:tcBorders>
              <w:top w:val="nil"/>
              <w:right w:val="single" w:color="000000" w:sz="4" w:space="0"/>
            </w:tcBorders>
            <w:vAlign w:val="top"/>
          </w:tcPr>
          <w:p w14:paraId="643149BE">
            <w:pPr>
              <w:rPr>
                <w:rFonts w:ascii="Arial"/>
                <w:sz w:val="21"/>
              </w:rPr>
            </w:pPr>
          </w:p>
        </w:tc>
        <w:tc>
          <w:tcPr>
            <w:tcW w:w="834" w:type="dxa"/>
            <w:vMerge w:val="continue"/>
            <w:tcBorders>
              <w:top w:val="nil"/>
              <w:left w:val="single" w:color="000000" w:sz="4" w:space="0"/>
              <w:right w:val="single" w:color="000000" w:sz="4" w:space="0"/>
            </w:tcBorders>
            <w:vAlign w:val="top"/>
          </w:tcPr>
          <w:p w14:paraId="6D987C46">
            <w:pPr>
              <w:rPr>
                <w:rFonts w:ascii="Arial"/>
                <w:sz w:val="21"/>
              </w:rPr>
            </w:pPr>
          </w:p>
        </w:tc>
        <w:tc>
          <w:tcPr>
            <w:tcW w:w="770" w:type="dxa"/>
            <w:tcBorders>
              <w:left w:val="single" w:color="000000" w:sz="4" w:space="0"/>
            </w:tcBorders>
            <w:vAlign w:val="top"/>
          </w:tcPr>
          <w:p w14:paraId="52AA9825">
            <w:pPr>
              <w:pStyle w:val="11"/>
              <w:spacing w:before="158" w:line="239" w:lineRule="auto"/>
              <w:ind w:left="187"/>
              <w:rPr>
                <w:sz w:val="20"/>
                <w:szCs w:val="20"/>
              </w:rPr>
            </w:pPr>
            <w:r>
              <w:rPr>
                <w:spacing w:val="-2"/>
                <w:sz w:val="20"/>
                <w:szCs w:val="20"/>
              </w:rPr>
              <w:t>综合</w:t>
            </w:r>
          </w:p>
          <w:p w14:paraId="7F8C643E">
            <w:pPr>
              <w:pStyle w:val="11"/>
              <w:spacing w:line="219" w:lineRule="auto"/>
              <w:ind w:left="186"/>
              <w:rPr>
                <w:sz w:val="20"/>
                <w:szCs w:val="20"/>
              </w:rPr>
            </w:pPr>
            <w:r>
              <w:rPr>
                <w:spacing w:val="-2"/>
                <w:sz w:val="20"/>
                <w:szCs w:val="20"/>
              </w:rPr>
              <w:t>单价</w:t>
            </w:r>
          </w:p>
        </w:tc>
        <w:tc>
          <w:tcPr>
            <w:tcW w:w="736" w:type="dxa"/>
            <w:tcBorders>
              <w:right w:val="single" w:color="000000" w:sz="4" w:space="0"/>
            </w:tcBorders>
            <w:vAlign w:val="top"/>
          </w:tcPr>
          <w:p w14:paraId="4B598A84">
            <w:pPr>
              <w:pStyle w:val="11"/>
              <w:spacing w:before="287" w:line="220" w:lineRule="auto"/>
              <w:ind w:left="177"/>
              <w:rPr>
                <w:sz w:val="20"/>
                <w:szCs w:val="20"/>
              </w:rPr>
            </w:pPr>
            <w:r>
              <w:rPr>
                <w:spacing w:val="-2"/>
                <w:sz w:val="20"/>
                <w:szCs w:val="20"/>
              </w:rPr>
              <w:t>合价</w:t>
            </w:r>
          </w:p>
        </w:tc>
        <w:tc>
          <w:tcPr>
            <w:tcW w:w="947" w:type="dxa"/>
            <w:tcBorders>
              <w:left w:val="single" w:color="000000" w:sz="4" w:space="0"/>
              <w:right w:val="single" w:color="000000" w:sz="4" w:space="0"/>
            </w:tcBorders>
            <w:vAlign w:val="top"/>
          </w:tcPr>
          <w:p w14:paraId="4A8E4A01">
            <w:pPr>
              <w:pStyle w:val="11"/>
              <w:spacing w:before="27" w:line="229" w:lineRule="auto"/>
              <w:ind w:left="121" w:right="110" w:firstLine="157"/>
              <w:rPr>
                <w:sz w:val="20"/>
                <w:szCs w:val="20"/>
              </w:rPr>
            </w:pPr>
            <w:r>
              <w:rPr>
                <w:spacing w:val="-3"/>
                <w:sz w:val="20"/>
                <w:szCs w:val="20"/>
              </w:rPr>
              <w:t>其中</w:t>
            </w:r>
            <w:r>
              <w:rPr>
                <w:sz w:val="20"/>
                <w:szCs w:val="20"/>
              </w:rPr>
              <w:t xml:space="preserve">  </w:t>
            </w:r>
            <w:r>
              <w:rPr>
                <w:spacing w:val="-3"/>
                <w:sz w:val="20"/>
                <w:szCs w:val="20"/>
              </w:rPr>
              <w:t>人工费</w:t>
            </w:r>
            <w:r>
              <w:rPr>
                <w:rFonts w:ascii="Times New Roman" w:hAnsi="Times New Roman" w:eastAsia="Times New Roman" w:cs="Times New Roman"/>
                <w:spacing w:val="-3"/>
                <w:sz w:val="20"/>
                <w:szCs w:val="20"/>
              </w:rPr>
              <w:t>+</w:t>
            </w:r>
            <w:r>
              <w:rPr>
                <w:rFonts w:ascii="Times New Roman" w:hAnsi="Times New Roman" w:eastAsia="Times New Roman" w:cs="Times New Roman"/>
                <w:spacing w:val="2"/>
                <w:sz w:val="20"/>
                <w:szCs w:val="20"/>
              </w:rPr>
              <w:t xml:space="preserve"> </w:t>
            </w:r>
            <w:r>
              <w:rPr>
                <w:spacing w:val="17"/>
                <w:sz w:val="20"/>
                <w:szCs w:val="20"/>
              </w:rPr>
              <w:t>机械费</w:t>
            </w:r>
          </w:p>
        </w:tc>
      </w:tr>
      <w:tr w14:paraId="5E2CDA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8" w:hRule="atLeast"/>
        </w:trPr>
        <w:tc>
          <w:tcPr>
            <w:tcW w:w="653" w:type="dxa"/>
            <w:tcBorders>
              <w:left w:val="single" w:color="000000" w:sz="4" w:space="0"/>
            </w:tcBorders>
            <w:vAlign w:val="top"/>
          </w:tcPr>
          <w:p w14:paraId="7A61F0E1">
            <w:pPr>
              <w:rPr>
                <w:rFonts w:ascii="Arial"/>
                <w:sz w:val="21"/>
              </w:rPr>
            </w:pPr>
          </w:p>
        </w:tc>
        <w:tc>
          <w:tcPr>
            <w:tcW w:w="1043" w:type="dxa"/>
            <w:tcBorders>
              <w:right w:val="single" w:color="000000" w:sz="4" w:space="0"/>
            </w:tcBorders>
            <w:vAlign w:val="top"/>
          </w:tcPr>
          <w:p w14:paraId="0F177590">
            <w:pPr>
              <w:rPr>
                <w:rFonts w:ascii="Arial"/>
                <w:sz w:val="21"/>
              </w:rPr>
            </w:pPr>
          </w:p>
        </w:tc>
        <w:tc>
          <w:tcPr>
            <w:tcW w:w="1027" w:type="dxa"/>
            <w:tcBorders>
              <w:left w:val="single" w:color="000000" w:sz="4" w:space="0"/>
              <w:right w:val="single" w:color="000000" w:sz="4" w:space="0"/>
            </w:tcBorders>
            <w:vAlign w:val="top"/>
          </w:tcPr>
          <w:p w14:paraId="1D51AECD">
            <w:pPr>
              <w:rPr>
                <w:rFonts w:ascii="Arial"/>
                <w:sz w:val="21"/>
              </w:rPr>
            </w:pPr>
          </w:p>
        </w:tc>
        <w:tc>
          <w:tcPr>
            <w:tcW w:w="1455" w:type="dxa"/>
            <w:tcBorders>
              <w:left w:val="single" w:color="000000" w:sz="4" w:space="0"/>
            </w:tcBorders>
            <w:vAlign w:val="top"/>
          </w:tcPr>
          <w:p w14:paraId="76FC580C">
            <w:pPr>
              <w:rPr>
                <w:rFonts w:ascii="Arial"/>
                <w:sz w:val="21"/>
              </w:rPr>
            </w:pPr>
          </w:p>
        </w:tc>
        <w:tc>
          <w:tcPr>
            <w:tcW w:w="1019" w:type="dxa"/>
            <w:tcBorders>
              <w:right w:val="single" w:color="000000" w:sz="4" w:space="0"/>
            </w:tcBorders>
            <w:vAlign w:val="top"/>
          </w:tcPr>
          <w:p w14:paraId="41745CEE">
            <w:pPr>
              <w:rPr>
                <w:rFonts w:ascii="Arial"/>
                <w:sz w:val="21"/>
              </w:rPr>
            </w:pPr>
          </w:p>
        </w:tc>
        <w:tc>
          <w:tcPr>
            <w:tcW w:w="834" w:type="dxa"/>
            <w:tcBorders>
              <w:left w:val="single" w:color="000000" w:sz="4" w:space="0"/>
              <w:right w:val="single" w:color="000000" w:sz="4" w:space="0"/>
            </w:tcBorders>
            <w:vAlign w:val="top"/>
          </w:tcPr>
          <w:p w14:paraId="54E07A5D">
            <w:pPr>
              <w:rPr>
                <w:rFonts w:ascii="Arial"/>
                <w:sz w:val="21"/>
              </w:rPr>
            </w:pPr>
          </w:p>
        </w:tc>
        <w:tc>
          <w:tcPr>
            <w:tcW w:w="770" w:type="dxa"/>
            <w:tcBorders>
              <w:left w:val="single" w:color="000000" w:sz="4" w:space="0"/>
            </w:tcBorders>
            <w:vAlign w:val="top"/>
          </w:tcPr>
          <w:p w14:paraId="34B09053">
            <w:pPr>
              <w:rPr>
                <w:rFonts w:ascii="Arial"/>
                <w:sz w:val="21"/>
              </w:rPr>
            </w:pPr>
          </w:p>
        </w:tc>
        <w:tc>
          <w:tcPr>
            <w:tcW w:w="736" w:type="dxa"/>
            <w:tcBorders>
              <w:right w:val="single" w:color="000000" w:sz="4" w:space="0"/>
            </w:tcBorders>
            <w:vAlign w:val="top"/>
          </w:tcPr>
          <w:p w14:paraId="0EBA4107">
            <w:pPr>
              <w:rPr>
                <w:rFonts w:ascii="Arial"/>
                <w:sz w:val="21"/>
              </w:rPr>
            </w:pPr>
          </w:p>
        </w:tc>
        <w:tc>
          <w:tcPr>
            <w:tcW w:w="947" w:type="dxa"/>
            <w:tcBorders>
              <w:left w:val="single" w:color="000000" w:sz="4" w:space="0"/>
              <w:right w:val="single" w:color="000000" w:sz="4" w:space="0"/>
            </w:tcBorders>
            <w:vAlign w:val="top"/>
          </w:tcPr>
          <w:p w14:paraId="1837196E">
            <w:pPr>
              <w:rPr>
                <w:rFonts w:ascii="Arial"/>
                <w:sz w:val="21"/>
              </w:rPr>
            </w:pPr>
          </w:p>
        </w:tc>
      </w:tr>
      <w:tr w14:paraId="25B3B4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8" w:hRule="atLeast"/>
        </w:trPr>
        <w:tc>
          <w:tcPr>
            <w:tcW w:w="653" w:type="dxa"/>
            <w:tcBorders>
              <w:left w:val="single" w:color="000000" w:sz="4" w:space="0"/>
            </w:tcBorders>
            <w:vAlign w:val="top"/>
          </w:tcPr>
          <w:p w14:paraId="5D532BA9">
            <w:pPr>
              <w:rPr>
                <w:rFonts w:ascii="Arial"/>
                <w:sz w:val="21"/>
              </w:rPr>
            </w:pPr>
          </w:p>
        </w:tc>
        <w:tc>
          <w:tcPr>
            <w:tcW w:w="1043" w:type="dxa"/>
            <w:tcBorders>
              <w:right w:val="single" w:color="000000" w:sz="4" w:space="0"/>
            </w:tcBorders>
            <w:vAlign w:val="top"/>
          </w:tcPr>
          <w:p w14:paraId="1FAB981E">
            <w:pPr>
              <w:rPr>
                <w:rFonts w:ascii="Arial"/>
                <w:sz w:val="21"/>
              </w:rPr>
            </w:pPr>
          </w:p>
        </w:tc>
        <w:tc>
          <w:tcPr>
            <w:tcW w:w="1027" w:type="dxa"/>
            <w:tcBorders>
              <w:left w:val="single" w:color="000000" w:sz="4" w:space="0"/>
              <w:right w:val="single" w:color="000000" w:sz="4" w:space="0"/>
            </w:tcBorders>
            <w:vAlign w:val="top"/>
          </w:tcPr>
          <w:p w14:paraId="67650F02">
            <w:pPr>
              <w:rPr>
                <w:rFonts w:ascii="Arial"/>
                <w:sz w:val="21"/>
              </w:rPr>
            </w:pPr>
          </w:p>
        </w:tc>
        <w:tc>
          <w:tcPr>
            <w:tcW w:w="1455" w:type="dxa"/>
            <w:tcBorders>
              <w:left w:val="single" w:color="000000" w:sz="4" w:space="0"/>
            </w:tcBorders>
            <w:vAlign w:val="top"/>
          </w:tcPr>
          <w:p w14:paraId="137757BE">
            <w:pPr>
              <w:rPr>
                <w:rFonts w:ascii="Arial"/>
                <w:sz w:val="21"/>
              </w:rPr>
            </w:pPr>
          </w:p>
        </w:tc>
        <w:tc>
          <w:tcPr>
            <w:tcW w:w="1019" w:type="dxa"/>
            <w:tcBorders>
              <w:right w:val="single" w:color="000000" w:sz="4" w:space="0"/>
            </w:tcBorders>
            <w:vAlign w:val="top"/>
          </w:tcPr>
          <w:p w14:paraId="584A61DE">
            <w:pPr>
              <w:rPr>
                <w:rFonts w:ascii="Arial"/>
                <w:sz w:val="21"/>
              </w:rPr>
            </w:pPr>
          </w:p>
        </w:tc>
        <w:tc>
          <w:tcPr>
            <w:tcW w:w="834" w:type="dxa"/>
            <w:tcBorders>
              <w:left w:val="single" w:color="000000" w:sz="4" w:space="0"/>
              <w:right w:val="single" w:color="000000" w:sz="4" w:space="0"/>
            </w:tcBorders>
            <w:vAlign w:val="top"/>
          </w:tcPr>
          <w:p w14:paraId="3E085768">
            <w:pPr>
              <w:rPr>
                <w:rFonts w:ascii="Arial"/>
                <w:sz w:val="21"/>
              </w:rPr>
            </w:pPr>
          </w:p>
        </w:tc>
        <w:tc>
          <w:tcPr>
            <w:tcW w:w="770" w:type="dxa"/>
            <w:tcBorders>
              <w:left w:val="single" w:color="000000" w:sz="4" w:space="0"/>
            </w:tcBorders>
            <w:vAlign w:val="top"/>
          </w:tcPr>
          <w:p w14:paraId="6EEBA7E2">
            <w:pPr>
              <w:rPr>
                <w:rFonts w:ascii="Arial"/>
                <w:sz w:val="21"/>
              </w:rPr>
            </w:pPr>
          </w:p>
        </w:tc>
        <w:tc>
          <w:tcPr>
            <w:tcW w:w="736" w:type="dxa"/>
            <w:tcBorders>
              <w:right w:val="single" w:color="000000" w:sz="4" w:space="0"/>
            </w:tcBorders>
            <w:vAlign w:val="top"/>
          </w:tcPr>
          <w:p w14:paraId="76E0B89C">
            <w:pPr>
              <w:rPr>
                <w:rFonts w:ascii="Arial"/>
                <w:sz w:val="21"/>
              </w:rPr>
            </w:pPr>
          </w:p>
        </w:tc>
        <w:tc>
          <w:tcPr>
            <w:tcW w:w="947" w:type="dxa"/>
            <w:tcBorders>
              <w:left w:val="single" w:color="000000" w:sz="4" w:space="0"/>
              <w:right w:val="single" w:color="000000" w:sz="4" w:space="0"/>
            </w:tcBorders>
            <w:vAlign w:val="top"/>
          </w:tcPr>
          <w:p w14:paraId="314BFE42">
            <w:pPr>
              <w:rPr>
                <w:rFonts w:ascii="Arial"/>
                <w:sz w:val="21"/>
              </w:rPr>
            </w:pPr>
          </w:p>
        </w:tc>
      </w:tr>
      <w:tr w14:paraId="4950E5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8" w:hRule="atLeast"/>
        </w:trPr>
        <w:tc>
          <w:tcPr>
            <w:tcW w:w="653" w:type="dxa"/>
            <w:tcBorders>
              <w:left w:val="single" w:color="000000" w:sz="4" w:space="0"/>
            </w:tcBorders>
            <w:vAlign w:val="top"/>
          </w:tcPr>
          <w:p w14:paraId="50E45866">
            <w:pPr>
              <w:rPr>
                <w:rFonts w:ascii="Arial"/>
                <w:sz w:val="21"/>
              </w:rPr>
            </w:pPr>
          </w:p>
        </w:tc>
        <w:tc>
          <w:tcPr>
            <w:tcW w:w="1043" w:type="dxa"/>
            <w:tcBorders>
              <w:right w:val="single" w:color="000000" w:sz="4" w:space="0"/>
            </w:tcBorders>
            <w:vAlign w:val="top"/>
          </w:tcPr>
          <w:p w14:paraId="07471260">
            <w:pPr>
              <w:rPr>
                <w:rFonts w:ascii="Arial"/>
                <w:sz w:val="21"/>
              </w:rPr>
            </w:pPr>
          </w:p>
        </w:tc>
        <w:tc>
          <w:tcPr>
            <w:tcW w:w="1027" w:type="dxa"/>
            <w:tcBorders>
              <w:left w:val="single" w:color="000000" w:sz="4" w:space="0"/>
              <w:right w:val="single" w:color="000000" w:sz="4" w:space="0"/>
            </w:tcBorders>
            <w:vAlign w:val="top"/>
          </w:tcPr>
          <w:p w14:paraId="2056003A">
            <w:pPr>
              <w:rPr>
                <w:rFonts w:ascii="Arial"/>
                <w:sz w:val="21"/>
              </w:rPr>
            </w:pPr>
          </w:p>
        </w:tc>
        <w:tc>
          <w:tcPr>
            <w:tcW w:w="1455" w:type="dxa"/>
            <w:tcBorders>
              <w:left w:val="single" w:color="000000" w:sz="4" w:space="0"/>
            </w:tcBorders>
            <w:vAlign w:val="top"/>
          </w:tcPr>
          <w:p w14:paraId="39D31292">
            <w:pPr>
              <w:rPr>
                <w:rFonts w:ascii="Arial"/>
                <w:sz w:val="21"/>
              </w:rPr>
            </w:pPr>
          </w:p>
        </w:tc>
        <w:tc>
          <w:tcPr>
            <w:tcW w:w="1019" w:type="dxa"/>
            <w:tcBorders>
              <w:right w:val="single" w:color="000000" w:sz="4" w:space="0"/>
            </w:tcBorders>
            <w:vAlign w:val="top"/>
          </w:tcPr>
          <w:p w14:paraId="3EEB08FD">
            <w:pPr>
              <w:rPr>
                <w:rFonts w:ascii="Arial"/>
                <w:sz w:val="21"/>
              </w:rPr>
            </w:pPr>
          </w:p>
        </w:tc>
        <w:tc>
          <w:tcPr>
            <w:tcW w:w="834" w:type="dxa"/>
            <w:tcBorders>
              <w:left w:val="single" w:color="000000" w:sz="4" w:space="0"/>
              <w:right w:val="single" w:color="000000" w:sz="4" w:space="0"/>
            </w:tcBorders>
            <w:vAlign w:val="top"/>
          </w:tcPr>
          <w:p w14:paraId="3D6D94FD">
            <w:pPr>
              <w:rPr>
                <w:rFonts w:ascii="Arial"/>
                <w:sz w:val="21"/>
              </w:rPr>
            </w:pPr>
          </w:p>
        </w:tc>
        <w:tc>
          <w:tcPr>
            <w:tcW w:w="770" w:type="dxa"/>
            <w:tcBorders>
              <w:left w:val="single" w:color="000000" w:sz="4" w:space="0"/>
            </w:tcBorders>
            <w:vAlign w:val="top"/>
          </w:tcPr>
          <w:p w14:paraId="192016FF">
            <w:pPr>
              <w:rPr>
                <w:rFonts w:ascii="Arial"/>
                <w:sz w:val="21"/>
              </w:rPr>
            </w:pPr>
          </w:p>
        </w:tc>
        <w:tc>
          <w:tcPr>
            <w:tcW w:w="736" w:type="dxa"/>
            <w:tcBorders>
              <w:right w:val="single" w:color="000000" w:sz="4" w:space="0"/>
            </w:tcBorders>
            <w:vAlign w:val="top"/>
          </w:tcPr>
          <w:p w14:paraId="2717D290">
            <w:pPr>
              <w:rPr>
                <w:rFonts w:ascii="Arial"/>
                <w:sz w:val="21"/>
              </w:rPr>
            </w:pPr>
          </w:p>
        </w:tc>
        <w:tc>
          <w:tcPr>
            <w:tcW w:w="947" w:type="dxa"/>
            <w:tcBorders>
              <w:left w:val="single" w:color="000000" w:sz="4" w:space="0"/>
              <w:right w:val="single" w:color="000000" w:sz="4" w:space="0"/>
            </w:tcBorders>
            <w:vAlign w:val="top"/>
          </w:tcPr>
          <w:p w14:paraId="520FDA8E">
            <w:pPr>
              <w:rPr>
                <w:rFonts w:ascii="Arial"/>
                <w:sz w:val="21"/>
              </w:rPr>
            </w:pPr>
          </w:p>
        </w:tc>
      </w:tr>
      <w:tr w14:paraId="476C1B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4" w:hRule="atLeast"/>
        </w:trPr>
        <w:tc>
          <w:tcPr>
            <w:tcW w:w="653" w:type="dxa"/>
            <w:tcBorders>
              <w:left w:val="single" w:color="000000" w:sz="4" w:space="0"/>
            </w:tcBorders>
            <w:vAlign w:val="top"/>
          </w:tcPr>
          <w:p w14:paraId="1A890127">
            <w:pPr>
              <w:rPr>
                <w:rFonts w:ascii="Arial"/>
                <w:sz w:val="21"/>
              </w:rPr>
            </w:pPr>
          </w:p>
        </w:tc>
        <w:tc>
          <w:tcPr>
            <w:tcW w:w="1043" w:type="dxa"/>
            <w:tcBorders>
              <w:right w:val="single" w:color="000000" w:sz="4" w:space="0"/>
            </w:tcBorders>
            <w:vAlign w:val="top"/>
          </w:tcPr>
          <w:p w14:paraId="6CAB24EF">
            <w:pPr>
              <w:rPr>
                <w:rFonts w:ascii="Arial"/>
                <w:sz w:val="21"/>
              </w:rPr>
            </w:pPr>
          </w:p>
        </w:tc>
        <w:tc>
          <w:tcPr>
            <w:tcW w:w="1027" w:type="dxa"/>
            <w:tcBorders>
              <w:left w:val="single" w:color="000000" w:sz="4" w:space="0"/>
              <w:right w:val="single" w:color="000000" w:sz="4" w:space="0"/>
            </w:tcBorders>
            <w:vAlign w:val="top"/>
          </w:tcPr>
          <w:p w14:paraId="03732845">
            <w:pPr>
              <w:rPr>
                <w:rFonts w:ascii="Arial"/>
                <w:sz w:val="21"/>
              </w:rPr>
            </w:pPr>
          </w:p>
        </w:tc>
        <w:tc>
          <w:tcPr>
            <w:tcW w:w="1455" w:type="dxa"/>
            <w:tcBorders>
              <w:left w:val="single" w:color="000000" w:sz="4" w:space="0"/>
            </w:tcBorders>
            <w:vAlign w:val="top"/>
          </w:tcPr>
          <w:p w14:paraId="62F85823">
            <w:pPr>
              <w:rPr>
                <w:rFonts w:ascii="Arial"/>
                <w:sz w:val="21"/>
              </w:rPr>
            </w:pPr>
          </w:p>
        </w:tc>
        <w:tc>
          <w:tcPr>
            <w:tcW w:w="1019" w:type="dxa"/>
            <w:tcBorders>
              <w:right w:val="single" w:color="000000" w:sz="4" w:space="0"/>
            </w:tcBorders>
            <w:vAlign w:val="top"/>
          </w:tcPr>
          <w:p w14:paraId="3367FACE">
            <w:pPr>
              <w:rPr>
                <w:rFonts w:ascii="Arial"/>
                <w:sz w:val="21"/>
              </w:rPr>
            </w:pPr>
          </w:p>
        </w:tc>
        <w:tc>
          <w:tcPr>
            <w:tcW w:w="834" w:type="dxa"/>
            <w:tcBorders>
              <w:left w:val="single" w:color="000000" w:sz="4" w:space="0"/>
              <w:right w:val="single" w:color="000000" w:sz="4" w:space="0"/>
            </w:tcBorders>
            <w:vAlign w:val="top"/>
          </w:tcPr>
          <w:p w14:paraId="29FCF9FF">
            <w:pPr>
              <w:rPr>
                <w:rFonts w:ascii="Arial"/>
                <w:sz w:val="21"/>
              </w:rPr>
            </w:pPr>
          </w:p>
        </w:tc>
        <w:tc>
          <w:tcPr>
            <w:tcW w:w="770" w:type="dxa"/>
            <w:tcBorders>
              <w:left w:val="single" w:color="000000" w:sz="4" w:space="0"/>
            </w:tcBorders>
            <w:vAlign w:val="top"/>
          </w:tcPr>
          <w:p w14:paraId="7BBF656A">
            <w:pPr>
              <w:rPr>
                <w:rFonts w:ascii="Arial"/>
                <w:sz w:val="21"/>
              </w:rPr>
            </w:pPr>
          </w:p>
        </w:tc>
        <w:tc>
          <w:tcPr>
            <w:tcW w:w="736" w:type="dxa"/>
            <w:tcBorders>
              <w:right w:val="single" w:color="000000" w:sz="4" w:space="0"/>
            </w:tcBorders>
            <w:vAlign w:val="top"/>
          </w:tcPr>
          <w:p w14:paraId="0EE16AA9">
            <w:pPr>
              <w:rPr>
                <w:rFonts w:ascii="Arial"/>
                <w:sz w:val="21"/>
              </w:rPr>
            </w:pPr>
          </w:p>
        </w:tc>
        <w:tc>
          <w:tcPr>
            <w:tcW w:w="947" w:type="dxa"/>
            <w:tcBorders>
              <w:left w:val="single" w:color="000000" w:sz="4" w:space="0"/>
              <w:right w:val="single" w:color="000000" w:sz="4" w:space="0"/>
            </w:tcBorders>
            <w:vAlign w:val="top"/>
          </w:tcPr>
          <w:p w14:paraId="3E6FC26D">
            <w:pPr>
              <w:rPr>
                <w:rFonts w:ascii="Arial"/>
                <w:sz w:val="21"/>
              </w:rPr>
            </w:pPr>
          </w:p>
        </w:tc>
      </w:tr>
      <w:tr w14:paraId="1DC196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8" w:hRule="atLeast"/>
        </w:trPr>
        <w:tc>
          <w:tcPr>
            <w:tcW w:w="653" w:type="dxa"/>
            <w:tcBorders>
              <w:left w:val="single" w:color="000000" w:sz="4" w:space="0"/>
            </w:tcBorders>
            <w:vAlign w:val="top"/>
          </w:tcPr>
          <w:p w14:paraId="2FF75A85">
            <w:pPr>
              <w:rPr>
                <w:rFonts w:ascii="Arial"/>
                <w:sz w:val="21"/>
              </w:rPr>
            </w:pPr>
          </w:p>
        </w:tc>
        <w:tc>
          <w:tcPr>
            <w:tcW w:w="1043" w:type="dxa"/>
            <w:tcBorders>
              <w:right w:val="single" w:color="000000" w:sz="4" w:space="0"/>
            </w:tcBorders>
            <w:vAlign w:val="top"/>
          </w:tcPr>
          <w:p w14:paraId="404DD811">
            <w:pPr>
              <w:rPr>
                <w:rFonts w:ascii="Arial"/>
                <w:sz w:val="21"/>
              </w:rPr>
            </w:pPr>
          </w:p>
        </w:tc>
        <w:tc>
          <w:tcPr>
            <w:tcW w:w="1027" w:type="dxa"/>
            <w:tcBorders>
              <w:left w:val="single" w:color="000000" w:sz="4" w:space="0"/>
              <w:right w:val="single" w:color="000000" w:sz="4" w:space="0"/>
            </w:tcBorders>
            <w:vAlign w:val="top"/>
          </w:tcPr>
          <w:p w14:paraId="76651388">
            <w:pPr>
              <w:rPr>
                <w:rFonts w:ascii="Arial"/>
                <w:sz w:val="21"/>
              </w:rPr>
            </w:pPr>
          </w:p>
        </w:tc>
        <w:tc>
          <w:tcPr>
            <w:tcW w:w="1455" w:type="dxa"/>
            <w:tcBorders>
              <w:left w:val="single" w:color="000000" w:sz="4" w:space="0"/>
            </w:tcBorders>
            <w:vAlign w:val="top"/>
          </w:tcPr>
          <w:p w14:paraId="2561FE6D">
            <w:pPr>
              <w:rPr>
                <w:rFonts w:ascii="Arial"/>
                <w:sz w:val="21"/>
              </w:rPr>
            </w:pPr>
          </w:p>
        </w:tc>
        <w:tc>
          <w:tcPr>
            <w:tcW w:w="1019" w:type="dxa"/>
            <w:tcBorders>
              <w:right w:val="single" w:color="000000" w:sz="4" w:space="0"/>
            </w:tcBorders>
            <w:vAlign w:val="top"/>
          </w:tcPr>
          <w:p w14:paraId="3440893B">
            <w:pPr>
              <w:rPr>
                <w:rFonts w:ascii="Arial"/>
                <w:sz w:val="21"/>
              </w:rPr>
            </w:pPr>
          </w:p>
        </w:tc>
        <w:tc>
          <w:tcPr>
            <w:tcW w:w="834" w:type="dxa"/>
            <w:tcBorders>
              <w:left w:val="single" w:color="000000" w:sz="4" w:space="0"/>
              <w:right w:val="single" w:color="000000" w:sz="4" w:space="0"/>
            </w:tcBorders>
            <w:vAlign w:val="top"/>
          </w:tcPr>
          <w:p w14:paraId="4AE5586F">
            <w:pPr>
              <w:rPr>
                <w:rFonts w:ascii="Arial"/>
                <w:sz w:val="21"/>
              </w:rPr>
            </w:pPr>
          </w:p>
        </w:tc>
        <w:tc>
          <w:tcPr>
            <w:tcW w:w="770" w:type="dxa"/>
            <w:tcBorders>
              <w:left w:val="single" w:color="000000" w:sz="4" w:space="0"/>
            </w:tcBorders>
            <w:vAlign w:val="top"/>
          </w:tcPr>
          <w:p w14:paraId="2D0761D6">
            <w:pPr>
              <w:rPr>
                <w:rFonts w:ascii="Arial"/>
                <w:sz w:val="21"/>
              </w:rPr>
            </w:pPr>
          </w:p>
        </w:tc>
        <w:tc>
          <w:tcPr>
            <w:tcW w:w="736" w:type="dxa"/>
            <w:tcBorders>
              <w:right w:val="single" w:color="000000" w:sz="4" w:space="0"/>
            </w:tcBorders>
            <w:vAlign w:val="top"/>
          </w:tcPr>
          <w:p w14:paraId="50D87050">
            <w:pPr>
              <w:rPr>
                <w:rFonts w:ascii="Arial"/>
                <w:sz w:val="21"/>
              </w:rPr>
            </w:pPr>
          </w:p>
        </w:tc>
        <w:tc>
          <w:tcPr>
            <w:tcW w:w="947" w:type="dxa"/>
            <w:tcBorders>
              <w:left w:val="single" w:color="000000" w:sz="4" w:space="0"/>
              <w:right w:val="single" w:color="000000" w:sz="4" w:space="0"/>
            </w:tcBorders>
            <w:vAlign w:val="top"/>
          </w:tcPr>
          <w:p w14:paraId="57E2768C">
            <w:pPr>
              <w:rPr>
                <w:rFonts w:ascii="Arial"/>
                <w:sz w:val="21"/>
              </w:rPr>
            </w:pPr>
          </w:p>
        </w:tc>
      </w:tr>
      <w:tr w14:paraId="4F46A6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8" w:hRule="atLeast"/>
        </w:trPr>
        <w:tc>
          <w:tcPr>
            <w:tcW w:w="653" w:type="dxa"/>
            <w:tcBorders>
              <w:left w:val="single" w:color="000000" w:sz="4" w:space="0"/>
            </w:tcBorders>
            <w:vAlign w:val="top"/>
          </w:tcPr>
          <w:p w14:paraId="09226FBF">
            <w:pPr>
              <w:rPr>
                <w:rFonts w:ascii="Arial"/>
                <w:sz w:val="21"/>
              </w:rPr>
            </w:pPr>
          </w:p>
        </w:tc>
        <w:tc>
          <w:tcPr>
            <w:tcW w:w="1043" w:type="dxa"/>
            <w:tcBorders>
              <w:right w:val="single" w:color="000000" w:sz="4" w:space="0"/>
            </w:tcBorders>
            <w:vAlign w:val="top"/>
          </w:tcPr>
          <w:p w14:paraId="580EC35C">
            <w:pPr>
              <w:rPr>
                <w:rFonts w:ascii="Arial"/>
                <w:sz w:val="21"/>
              </w:rPr>
            </w:pPr>
          </w:p>
        </w:tc>
        <w:tc>
          <w:tcPr>
            <w:tcW w:w="1027" w:type="dxa"/>
            <w:tcBorders>
              <w:left w:val="single" w:color="000000" w:sz="4" w:space="0"/>
              <w:right w:val="single" w:color="000000" w:sz="4" w:space="0"/>
            </w:tcBorders>
            <w:vAlign w:val="top"/>
          </w:tcPr>
          <w:p w14:paraId="7D56E27A">
            <w:pPr>
              <w:rPr>
                <w:rFonts w:ascii="Arial"/>
                <w:sz w:val="21"/>
              </w:rPr>
            </w:pPr>
          </w:p>
        </w:tc>
        <w:tc>
          <w:tcPr>
            <w:tcW w:w="1455" w:type="dxa"/>
            <w:tcBorders>
              <w:left w:val="single" w:color="000000" w:sz="4" w:space="0"/>
            </w:tcBorders>
            <w:vAlign w:val="top"/>
          </w:tcPr>
          <w:p w14:paraId="35D90D4C">
            <w:pPr>
              <w:rPr>
                <w:rFonts w:ascii="Arial"/>
                <w:sz w:val="21"/>
              </w:rPr>
            </w:pPr>
          </w:p>
        </w:tc>
        <w:tc>
          <w:tcPr>
            <w:tcW w:w="1019" w:type="dxa"/>
            <w:tcBorders>
              <w:right w:val="single" w:color="000000" w:sz="4" w:space="0"/>
            </w:tcBorders>
            <w:vAlign w:val="top"/>
          </w:tcPr>
          <w:p w14:paraId="13527660">
            <w:pPr>
              <w:rPr>
                <w:rFonts w:ascii="Arial"/>
                <w:sz w:val="21"/>
              </w:rPr>
            </w:pPr>
          </w:p>
        </w:tc>
        <w:tc>
          <w:tcPr>
            <w:tcW w:w="834" w:type="dxa"/>
            <w:tcBorders>
              <w:left w:val="single" w:color="000000" w:sz="4" w:space="0"/>
              <w:right w:val="single" w:color="000000" w:sz="4" w:space="0"/>
            </w:tcBorders>
            <w:vAlign w:val="top"/>
          </w:tcPr>
          <w:p w14:paraId="4F871914">
            <w:pPr>
              <w:rPr>
                <w:rFonts w:ascii="Arial"/>
                <w:sz w:val="21"/>
              </w:rPr>
            </w:pPr>
          </w:p>
        </w:tc>
        <w:tc>
          <w:tcPr>
            <w:tcW w:w="770" w:type="dxa"/>
            <w:tcBorders>
              <w:left w:val="single" w:color="000000" w:sz="4" w:space="0"/>
            </w:tcBorders>
            <w:vAlign w:val="top"/>
          </w:tcPr>
          <w:p w14:paraId="577C9746">
            <w:pPr>
              <w:rPr>
                <w:rFonts w:ascii="Arial"/>
                <w:sz w:val="21"/>
              </w:rPr>
            </w:pPr>
          </w:p>
        </w:tc>
        <w:tc>
          <w:tcPr>
            <w:tcW w:w="736" w:type="dxa"/>
            <w:tcBorders>
              <w:right w:val="single" w:color="000000" w:sz="4" w:space="0"/>
            </w:tcBorders>
            <w:vAlign w:val="top"/>
          </w:tcPr>
          <w:p w14:paraId="54AB3A59">
            <w:pPr>
              <w:rPr>
                <w:rFonts w:ascii="Arial"/>
                <w:sz w:val="21"/>
              </w:rPr>
            </w:pPr>
          </w:p>
        </w:tc>
        <w:tc>
          <w:tcPr>
            <w:tcW w:w="947" w:type="dxa"/>
            <w:tcBorders>
              <w:left w:val="single" w:color="000000" w:sz="4" w:space="0"/>
              <w:right w:val="single" w:color="000000" w:sz="4" w:space="0"/>
            </w:tcBorders>
            <w:vAlign w:val="top"/>
          </w:tcPr>
          <w:p w14:paraId="025F435A">
            <w:pPr>
              <w:rPr>
                <w:rFonts w:ascii="Arial"/>
                <w:sz w:val="21"/>
              </w:rPr>
            </w:pPr>
          </w:p>
        </w:tc>
      </w:tr>
      <w:tr w14:paraId="409D52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9" w:hRule="atLeast"/>
        </w:trPr>
        <w:tc>
          <w:tcPr>
            <w:tcW w:w="653" w:type="dxa"/>
            <w:tcBorders>
              <w:left w:val="single" w:color="000000" w:sz="4" w:space="0"/>
            </w:tcBorders>
            <w:vAlign w:val="top"/>
          </w:tcPr>
          <w:p w14:paraId="7767688F">
            <w:pPr>
              <w:rPr>
                <w:rFonts w:ascii="Arial"/>
                <w:sz w:val="21"/>
              </w:rPr>
            </w:pPr>
          </w:p>
        </w:tc>
        <w:tc>
          <w:tcPr>
            <w:tcW w:w="1043" w:type="dxa"/>
            <w:tcBorders>
              <w:right w:val="single" w:color="000000" w:sz="4" w:space="0"/>
            </w:tcBorders>
            <w:vAlign w:val="top"/>
          </w:tcPr>
          <w:p w14:paraId="1CEFD73F">
            <w:pPr>
              <w:rPr>
                <w:rFonts w:ascii="Arial"/>
                <w:sz w:val="21"/>
              </w:rPr>
            </w:pPr>
          </w:p>
        </w:tc>
        <w:tc>
          <w:tcPr>
            <w:tcW w:w="1027" w:type="dxa"/>
            <w:tcBorders>
              <w:left w:val="single" w:color="000000" w:sz="4" w:space="0"/>
              <w:right w:val="single" w:color="000000" w:sz="4" w:space="0"/>
            </w:tcBorders>
            <w:vAlign w:val="top"/>
          </w:tcPr>
          <w:p w14:paraId="02AC2084">
            <w:pPr>
              <w:rPr>
                <w:rFonts w:ascii="Arial"/>
                <w:sz w:val="21"/>
              </w:rPr>
            </w:pPr>
          </w:p>
        </w:tc>
        <w:tc>
          <w:tcPr>
            <w:tcW w:w="1455" w:type="dxa"/>
            <w:tcBorders>
              <w:left w:val="single" w:color="000000" w:sz="4" w:space="0"/>
            </w:tcBorders>
            <w:vAlign w:val="top"/>
          </w:tcPr>
          <w:p w14:paraId="261E80D7">
            <w:pPr>
              <w:rPr>
                <w:rFonts w:ascii="Arial"/>
                <w:sz w:val="21"/>
              </w:rPr>
            </w:pPr>
          </w:p>
        </w:tc>
        <w:tc>
          <w:tcPr>
            <w:tcW w:w="1019" w:type="dxa"/>
            <w:tcBorders>
              <w:right w:val="single" w:color="000000" w:sz="4" w:space="0"/>
            </w:tcBorders>
            <w:vAlign w:val="top"/>
          </w:tcPr>
          <w:p w14:paraId="65DA65F9">
            <w:pPr>
              <w:rPr>
                <w:rFonts w:ascii="Arial"/>
                <w:sz w:val="21"/>
              </w:rPr>
            </w:pPr>
          </w:p>
        </w:tc>
        <w:tc>
          <w:tcPr>
            <w:tcW w:w="834" w:type="dxa"/>
            <w:tcBorders>
              <w:left w:val="single" w:color="000000" w:sz="4" w:space="0"/>
              <w:right w:val="single" w:color="000000" w:sz="4" w:space="0"/>
            </w:tcBorders>
            <w:vAlign w:val="top"/>
          </w:tcPr>
          <w:p w14:paraId="1900BFAE">
            <w:pPr>
              <w:rPr>
                <w:rFonts w:ascii="Arial"/>
                <w:sz w:val="21"/>
              </w:rPr>
            </w:pPr>
          </w:p>
        </w:tc>
        <w:tc>
          <w:tcPr>
            <w:tcW w:w="770" w:type="dxa"/>
            <w:tcBorders>
              <w:left w:val="single" w:color="000000" w:sz="4" w:space="0"/>
            </w:tcBorders>
            <w:vAlign w:val="top"/>
          </w:tcPr>
          <w:p w14:paraId="0FBBE0B9">
            <w:pPr>
              <w:rPr>
                <w:rFonts w:ascii="Arial"/>
                <w:sz w:val="21"/>
              </w:rPr>
            </w:pPr>
          </w:p>
        </w:tc>
        <w:tc>
          <w:tcPr>
            <w:tcW w:w="736" w:type="dxa"/>
            <w:tcBorders>
              <w:right w:val="single" w:color="000000" w:sz="4" w:space="0"/>
            </w:tcBorders>
            <w:vAlign w:val="top"/>
          </w:tcPr>
          <w:p w14:paraId="7335E05C">
            <w:pPr>
              <w:rPr>
                <w:rFonts w:ascii="Arial"/>
                <w:sz w:val="21"/>
              </w:rPr>
            </w:pPr>
          </w:p>
        </w:tc>
        <w:tc>
          <w:tcPr>
            <w:tcW w:w="947" w:type="dxa"/>
            <w:tcBorders>
              <w:left w:val="single" w:color="000000" w:sz="4" w:space="0"/>
              <w:right w:val="single" w:color="000000" w:sz="4" w:space="0"/>
            </w:tcBorders>
            <w:vAlign w:val="top"/>
          </w:tcPr>
          <w:p w14:paraId="219B5FC3">
            <w:pPr>
              <w:rPr>
                <w:rFonts w:ascii="Arial"/>
                <w:sz w:val="21"/>
              </w:rPr>
            </w:pPr>
          </w:p>
        </w:tc>
      </w:tr>
      <w:tr w14:paraId="269065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9" w:hRule="atLeast"/>
        </w:trPr>
        <w:tc>
          <w:tcPr>
            <w:tcW w:w="653" w:type="dxa"/>
            <w:tcBorders>
              <w:left w:val="single" w:color="000000" w:sz="4" w:space="0"/>
            </w:tcBorders>
            <w:vAlign w:val="top"/>
          </w:tcPr>
          <w:p w14:paraId="49912BA0">
            <w:pPr>
              <w:rPr>
                <w:rFonts w:ascii="Arial"/>
                <w:sz w:val="21"/>
              </w:rPr>
            </w:pPr>
          </w:p>
        </w:tc>
        <w:tc>
          <w:tcPr>
            <w:tcW w:w="1043" w:type="dxa"/>
            <w:tcBorders>
              <w:right w:val="single" w:color="000000" w:sz="4" w:space="0"/>
            </w:tcBorders>
            <w:vAlign w:val="top"/>
          </w:tcPr>
          <w:p w14:paraId="05CE5119">
            <w:pPr>
              <w:rPr>
                <w:rFonts w:ascii="Arial"/>
                <w:sz w:val="21"/>
              </w:rPr>
            </w:pPr>
          </w:p>
        </w:tc>
        <w:tc>
          <w:tcPr>
            <w:tcW w:w="1027" w:type="dxa"/>
            <w:tcBorders>
              <w:left w:val="single" w:color="000000" w:sz="4" w:space="0"/>
              <w:right w:val="single" w:color="000000" w:sz="4" w:space="0"/>
            </w:tcBorders>
            <w:vAlign w:val="top"/>
          </w:tcPr>
          <w:p w14:paraId="5A859C26">
            <w:pPr>
              <w:rPr>
                <w:rFonts w:ascii="Arial"/>
                <w:sz w:val="21"/>
              </w:rPr>
            </w:pPr>
          </w:p>
        </w:tc>
        <w:tc>
          <w:tcPr>
            <w:tcW w:w="1455" w:type="dxa"/>
            <w:tcBorders>
              <w:left w:val="single" w:color="000000" w:sz="4" w:space="0"/>
            </w:tcBorders>
            <w:vAlign w:val="top"/>
          </w:tcPr>
          <w:p w14:paraId="7E394B39">
            <w:pPr>
              <w:rPr>
                <w:rFonts w:ascii="Arial"/>
                <w:sz w:val="21"/>
              </w:rPr>
            </w:pPr>
          </w:p>
        </w:tc>
        <w:tc>
          <w:tcPr>
            <w:tcW w:w="1019" w:type="dxa"/>
            <w:tcBorders>
              <w:right w:val="single" w:color="000000" w:sz="4" w:space="0"/>
            </w:tcBorders>
            <w:vAlign w:val="top"/>
          </w:tcPr>
          <w:p w14:paraId="30EBA490">
            <w:pPr>
              <w:rPr>
                <w:rFonts w:ascii="Arial"/>
                <w:sz w:val="21"/>
              </w:rPr>
            </w:pPr>
          </w:p>
        </w:tc>
        <w:tc>
          <w:tcPr>
            <w:tcW w:w="834" w:type="dxa"/>
            <w:tcBorders>
              <w:left w:val="single" w:color="000000" w:sz="4" w:space="0"/>
              <w:right w:val="single" w:color="000000" w:sz="4" w:space="0"/>
            </w:tcBorders>
            <w:vAlign w:val="top"/>
          </w:tcPr>
          <w:p w14:paraId="62DD64AD">
            <w:pPr>
              <w:rPr>
                <w:rFonts w:ascii="Arial"/>
                <w:sz w:val="21"/>
              </w:rPr>
            </w:pPr>
          </w:p>
        </w:tc>
        <w:tc>
          <w:tcPr>
            <w:tcW w:w="770" w:type="dxa"/>
            <w:tcBorders>
              <w:left w:val="single" w:color="000000" w:sz="4" w:space="0"/>
            </w:tcBorders>
            <w:vAlign w:val="top"/>
          </w:tcPr>
          <w:p w14:paraId="7F7B7DCD">
            <w:pPr>
              <w:rPr>
                <w:rFonts w:ascii="Arial"/>
                <w:sz w:val="21"/>
              </w:rPr>
            </w:pPr>
          </w:p>
        </w:tc>
        <w:tc>
          <w:tcPr>
            <w:tcW w:w="736" w:type="dxa"/>
            <w:tcBorders>
              <w:right w:val="single" w:color="000000" w:sz="4" w:space="0"/>
            </w:tcBorders>
            <w:vAlign w:val="top"/>
          </w:tcPr>
          <w:p w14:paraId="29F3BF46">
            <w:pPr>
              <w:rPr>
                <w:rFonts w:ascii="Arial"/>
                <w:sz w:val="21"/>
              </w:rPr>
            </w:pPr>
          </w:p>
        </w:tc>
        <w:tc>
          <w:tcPr>
            <w:tcW w:w="947" w:type="dxa"/>
            <w:tcBorders>
              <w:left w:val="single" w:color="000000" w:sz="4" w:space="0"/>
              <w:right w:val="single" w:color="000000" w:sz="4" w:space="0"/>
            </w:tcBorders>
            <w:vAlign w:val="top"/>
          </w:tcPr>
          <w:p w14:paraId="7CE0ECFE">
            <w:pPr>
              <w:rPr>
                <w:rFonts w:ascii="Arial"/>
                <w:sz w:val="21"/>
              </w:rPr>
            </w:pPr>
          </w:p>
        </w:tc>
      </w:tr>
      <w:tr w14:paraId="17D06E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4" w:hRule="atLeast"/>
        </w:trPr>
        <w:tc>
          <w:tcPr>
            <w:tcW w:w="653" w:type="dxa"/>
            <w:tcBorders>
              <w:left w:val="single" w:color="000000" w:sz="4" w:space="0"/>
            </w:tcBorders>
            <w:vAlign w:val="top"/>
          </w:tcPr>
          <w:p w14:paraId="22A62F86">
            <w:pPr>
              <w:rPr>
                <w:rFonts w:ascii="Arial"/>
                <w:sz w:val="21"/>
              </w:rPr>
            </w:pPr>
          </w:p>
        </w:tc>
        <w:tc>
          <w:tcPr>
            <w:tcW w:w="1043" w:type="dxa"/>
            <w:tcBorders>
              <w:right w:val="single" w:color="000000" w:sz="4" w:space="0"/>
            </w:tcBorders>
            <w:vAlign w:val="top"/>
          </w:tcPr>
          <w:p w14:paraId="3D7053C6">
            <w:pPr>
              <w:rPr>
                <w:rFonts w:ascii="Arial"/>
                <w:sz w:val="21"/>
              </w:rPr>
            </w:pPr>
          </w:p>
        </w:tc>
        <w:tc>
          <w:tcPr>
            <w:tcW w:w="1027" w:type="dxa"/>
            <w:tcBorders>
              <w:left w:val="single" w:color="000000" w:sz="4" w:space="0"/>
              <w:right w:val="single" w:color="000000" w:sz="4" w:space="0"/>
            </w:tcBorders>
            <w:vAlign w:val="top"/>
          </w:tcPr>
          <w:p w14:paraId="3759C041">
            <w:pPr>
              <w:rPr>
                <w:rFonts w:ascii="Arial"/>
                <w:sz w:val="21"/>
              </w:rPr>
            </w:pPr>
          </w:p>
        </w:tc>
        <w:tc>
          <w:tcPr>
            <w:tcW w:w="1455" w:type="dxa"/>
            <w:tcBorders>
              <w:left w:val="single" w:color="000000" w:sz="4" w:space="0"/>
            </w:tcBorders>
            <w:vAlign w:val="top"/>
          </w:tcPr>
          <w:p w14:paraId="520022D8">
            <w:pPr>
              <w:rPr>
                <w:rFonts w:ascii="Arial"/>
                <w:sz w:val="21"/>
              </w:rPr>
            </w:pPr>
          </w:p>
        </w:tc>
        <w:tc>
          <w:tcPr>
            <w:tcW w:w="1019" w:type="dxa"/>
            <w:tcBorders>
              <w:right w:val="single" w:color="000000" w:sz="4" w:space="0"/>
            </w:tcBorders>
            <w:vAlign w:val="top"/>
          </w:tcPr>
          <w:p w14:paraId="1CA08D23">
            <w:pPr>
              <w:rPr>
                <w:rFonts w:ascii="Arial"/>
                <w:sz w:val="21"/>
              </w:rPr>
            </w:pPr>
          </w:p>
        </w:tc>
        <w:tc>
          <w:tcPr>
            <w:tcW w:w="834" w:type="dxa"/>
            <w:tcBorders>
              <w:left w:val="single" w:color="000000" w:sz="4" w:space="0"/>
              <w:right w:val="single" w:color="000000" w:sz="4" w:space="0"/>
            </w:tcBorders>
            <w:vAlign w:val="top"/>
          </w:tcPr>
          <w:p w14:paraId="4487C3FE">
            <w:pPr>
              <w:rPr>
                <w:rFonts w:ascii="Arial"/>
                <w:sz w:val="21"/>
              </w:rPr>
            </w:pPr>
          </w:p>
        </w:tc>
        <w:tc>
          <w:tcPr>
            <w:tcW w:w="770" w:type="dxa"/>
            <w:tcBorders>
              <w:left w:val="single" w:color="000000" w:sz="4" w:space="0"/>
            </w:tcBorders>
            <w:vAlign w:val="top"/>
          </w:tcPr>
          <w:p w14:paraId="2A462C28">
            <w:pPr>
              <w:rPr>
                <w:rFonts w:ascii="Arial"/>
                <w:sz w:val="21"/>
              </w:rPr>
            </w:pPr>
          </w:p>
        </w:tc>
        <w:tc>
          <w:tcPr>
            <w:tcW w:w="736" w:type="dxa"/>
            <w:tcBorders>
              <w:right w:val="single" w:color="000000" w:sz="4" w:space="0"/>
            </w:tcBorders>
            <w:vAlign w:val="top"/>
          </w:tcPr>
          <w:p w14:paraId="35FF0C75">
            <w:pPr>
              <w:rPr>
                <w:rFonts w:ascii="Arial"/>
                <w:sz w:val="21"/>
              </w:rPr>
            </w:pPr>
          </w:p>
        </w:tc>
        <w:tc>
          <w:tcPr>
            <w:tcW w:w="947" w:type="dxa"/>
            <w:tcBorders>
              <w:left w:val="single" w:color="000000" w:sz="4" w:space="0"/>
              <w:right w:val="single" w:color="000000" w:sz="4" w:space="0"/>
            </w:tcBorders>
            <w:vAlign w:val="top"/>
          </w:tcPr>
          <w:p w14:paraId="4AFBB525">
            <w:pPr>
              <w:rPr>
                <w:rFonts w:ascii="Arial"/>
                <w:sz w:val="21"/>
              </w:rPr>
            </w:pPr>
          </w:p>
        </w:tc>
      </w:tr>
      <w:tr w14:paraId="150F37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9" w:hRule="atLeast"/>
        </w:trPr>
        <w:tc>
          <w:tcPr>
            <w:tcW w:w="653" w:type="dxa"/>
            <w:tcBorders>
              <w:left w:val="single" w:color="000000" w:sz="4" w:space="0"/>
            </w:tcBorders>
            <w:vAlign w:val="top"/>
          </w:tcPr>
          <w:p w14:paraId="0AD09A38">
            <w:pPr>
              <w:rPr>
                <w:rFonts w:ascii="Arial"/>
                <w:sz w:val="21"/>
              </w:rPr>
            </w:pPr>
          </w:p>
        </w:tc>
        <w:tc>
          <w:tcPr>
            <w:tcW w:w="1043" w:type="dxa"/>
            <w:tcBorders>
              <w:right w:val="single" w:color="000000" w:sz="4" w:space="0"/>
            </w:tcBorders>
            <w:vAlign w:val="top"/>
          </w:tcPr>
          <w:p w14:paraId="172B383E">
            <w:pPr>
              <w:rPr>
                <w:rFonts w:ascii="Arial"/>
                <w:sz w:val="21"/>
              </w:rPr>
            </w:pPr>
          </w:p>
        </w:tc>
        <w:tc>
          <w:tcPr>
            <w:tcW w:w="1027" w:type="dxa"/>
            <w:tcBorders>
              <w:left w:val="single" w:color="000000" w:sz="4" w:space="0"/>
              <w:right w:val="single" w:color="000000" w:sz="4" w:space="0"/>
            </w:tcBorders>
            <w:vAlign w:val="top"/>
          </w:tcPr>
          <w:p w14:paraId="2C398C98">
            <w:pPr>
              <w:rPr>
                <w:rFonts w:ascii="Arial"/>
                <w:sz w:val="21"/>
              </w:rPr>
            </w:pPr>
          </w:p>
        </w:tc>
        <w:tc>
          <w:tcPr>
            <w:tcW w:w="1455" w:type="dxa"/>
            <w:tcBorders>
              <w:left w:val="single" w:color="000000" w:sz="4" w:space="0"/>
            </w:tcBorders>
            <w:vAlign w:val="top"/>
          </w:tcPr>
          <w:p w14:paraId="756865CB">
            <w:pPr>
              <w:rPr>
                <w:rFonts w:ascii="Arial"/>
                <w:sz w:val="21"/>
              </w:rPr>
            </w:pPr>
          </w:p>
        </w:tc>
        <w:tc>
          <w:tcPr>
            <w:tcW w:w="1019" w:type="dxa"/>
            <w:tcBorders>
              <w:right w:val="single" w:color="000000" w:sz="4" w:space="0"/>
            </w:tcBorders>
            <w:vAlign w:val="top"/>
          </w:tcPr>
          <w:p w14:paraId="00166E2F">
            <w:pPr>
              <w:rPr>
                <w:rFonts w:ascii="Arial"/>
                <w:sz w:val="21"/>
              </w:rPr>
            </w:pPr>
          </w:p>
        </w:tc>
        <w:tc>
          <w:tcPr>
            <w:tcW w:w="834" w:type="dxa"/>
            <w:tcBorders>
              <w:left w:val="single" w:color="000000" w:sz="4" w:space="0"/>
              <w:right w:val="single" w:color="000000" w:sz="4" w:space="0"/>
            </w:tcBorders>
            <w:vAlign w:val="top"/>
          </w:tcPr>
          <w:p w14:paraId="55D99BD1">
            <w:pPr>
              <w:rPr>
                <w:rFonts w:ascii="Arial"/>
                <w:sz w:val="21"/>
              </w:rPr>
            </w:pPr>
          </w:p>
        </w:tc>
        <w:tc>
          <w:tcPr>
            <w:tcW w:w="770" w:type="dxa"/>
            <w:tcBorders>
              <w:left w:val="single" w:color="000000" w:sz="4" w:space="0"/>
            </w:tcBorders>
            <w:vAlign w:val="top"/>
          </w:tcPr>
          <w:p w14:paraId="652E6946">
            <w:pPr>
              <w:rPr>
                <w:rFonts w:ascii="Arial"/>
                <w:sz w:val="21"/>
              </w:rPr>
            </w:pPr>
          </w:p>
        </w:tc>
        <w:tc>
          <w:tcPr>
            <w:tcW w:w="736" w:type="dxa"/>
            <w:tcBorders>
              <w:right w:val="single" w:color="000000" w:sz="4" w:space="0"/>
            </w:tcBorders>
            <w:vAlign w:val="top"/>
          </w:tcPr>
          <w:p w14:paraId="13452A81">
            <w:pPr>
              <w:rPr>
                <w:rFonts w:ascii="Arial"/>
                <w:sz w:val="21"/>
              </w:rPr>
            </w:pPr>
          </w:p>
        </w:tc>
        <w:tc>
          <w:tcPr>
            <w:tcW w:w="947" w:type="dxa"/>
            <w:tcBorders>
              <w:left w:val="single" w:color="000000" w:sz="4" w:space="0"/>
              <w:right w:val="single" w:color="000000" w:sz="4" w:space="0"/>
            </w:tcBorders>
            <w:vAlign w:val="top"/>
          </w:tcPr>
          <w:p w14:paraId="6C66B7E9">
            <w:pPr>
              <w:rPr>
                <w:rFonts w:ascii="Arial"/>
                <w:sz w:val="21"/>
              </w:rPr>
            </w:pPr>
          </w:p>
        </w:tc>
      </w:tr>
      <w:tr w14:paraId="1E906C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9" w:hRule="atLeast"/>
        </w:trPr>
        <w:tc>
          <w:tcPr>
            <w:tcW w:w="653" w:type="dxa"/>
            <w:tcBorders>
              <w:left w:val="single" w:color="000000" w:sz="4" w:space="0"/>
            </w:tcBorders>
            <w:vAlign w:val="top"/>
          </w:tcPr>
          <w:p w14:paraId="3C616320">
            <w:pPr>
              <w:rPr>
                <w:rFonts w:ascii="Arial"/>
                <w:sz w:val="21"/>
              </w:rPr>
            </w:pPr>
          </w:p>
        </w:tc>
        <w:tc>
          <w:tcPr>
            <w:tcW w:w="1043" w:type="dxa"/>
            <w:tcBorders>
              <w:right w:val="single" w:color="000000" w:sz="4" w:space="0"/>
            </w:tcBorders>
            <w:vAlign w:val="top"/>
          </w:tcPr>
          <w:p w14:paraId="765FC916">
            <w:pPr>
              <w:rPr>
                <w:rFonts w:ascii="Arial"/>
                <w:sz w:val="21"/>
              </w:rPr>
            </w:pPr>
          </w:p>
        </w:tc>
        <w:tc>
          <w:tcPr>
            <w:tcW w:w="1027" w:type="dxa"/>
            <w:tcBorders>
              <w:left w:val="single" w:color="000000" w:sz="4" w:space="0"/>
              <w:right w:val="single" w:color="000000" w:sz="4" w:space="0"/>
            </w:tcBorders>
            <w:vAlign w:val="top"/>
          </w:tcPr>
          <w:p w14:paraId="051C84E4">
            <w:pPr>
              <w:rPr>
                <w:rFonts w:ascii="Arial"/>
                <w:sz w:val="21"/>
              </w:rPr>
            </w:pPr>
          </w:p>
        </w:tc>
        <w:tc>
          <w:tcPr>
            <w:tcW w:w="1455" w:type="dxa"/>
            <w:tcBorders>
              <w:left w:val="single" w:color="000000" w:sz="4" w:space="0"/>
            </w:tcBorders>
            <w:vAlign w:val="top"/>
          </w:tcPr>
          <w:p w14:paraId="21D71758">
            <w:pPr>
              <w:rPr>
                <w:rFonts w:ascii="Arial"/>
                <w:sz w:val="21"/>
              </w:rPr>
            </w:pPr>
          </w:p>
        </w:tc>
        <w:tc>
          <w:tcPr>
            <w:tcW w:w="1019" w:type="dxa"/>
            <w:tcBorders>
              <w:right w:val="single" w:color="000000" w:sz="4" w:space="0"/>
            </w:tcBorders>
            <w:vAlign w:val="top"/>
          </w:tcPr>
          <w:p w14:paraId="1795FFCC">
            <w:pPr>
              <w:rPr>
                <w:rFonts w:ascii="Arial"/>
                <w:sz w:val="21"/>
              </w:rPr>
            </w:pPr>
          </w:p>
        </w:tc>
        <w:tc>
          <w:tcPr>
            <w:tcW w:w="834" w:type="dxa"/>
            <w:tcBorders>
              <w:left w:val="single" w:color="000000" w:sz="4" w:space="0"/>
              <w:right w:val="single" w:color="000000" w:sz="4" w:space="0"/>
            </w:tcBorders>
            <w:vAlign w:val="top"/>
          </w:tcPr>
          <w:p w14:paraId="43645A8D">
            <w:pPr>
              <w:rPr>
                <w:rFonts w:ascii="Arial"/>
                <w:sz w:val="21"/>
              </w:rPr>
            </w:pPr>
          </w:p>
        </w:tc>
        <w:tc>
          <w:tcPr>
            <w:tcW w:w="770" w:type="dxa"/>
            <w:tcBorders>
              <w:left w:val="single" w:color="000000" w:sz="4" w:space="0"/>
            </w:tcBorders>
            <w:vAlign w:val="top"/>
          </w:tcPr>
          <w:p w14:paraId="474D0FBE">
            <w:pPr>
              <w:rPr>
                <w:rFonts w:ascii="Arial"/>
                <w:sz w:val="21"/>
              </w:rPr>
            </w:pPr>
          </w:p>
        </w:tc>
        <w:tc>
          <w:tcPr>
            <w:tcW w:w="736" w:type="dxa"/>
            <w:tcBorders>
              <w:right w:val="single" w:color="000000" w:sz="4" w:space="0"/>
            </w:tcBorders>
            <w:vAlign w:val="top"/>
          </w:tcPr>
          <w:p w14:paraId="39528001">
            <w:pPr>
              <w:rPr>
                <w:rFonts w:ascii="Arial"/>
                <w:sz w:val="21"/>
              </w:rPr>
            </w:pPr>
          </w:p>
        </w:tc>
        <w:tc>
          <w:tcPr>
            <w:tcW w:w="947" w:type="dxa"/>
            <w:tcBorders>
              <w:left w:val="single" w:color="000000" w:sz="4" w:space="0"/>
              <w:right w:val="single" w:color="000000" w:sz="4" w:space="0"/>
            </w:tcBorders>
            <w:vAlign w:val="top"/>
          </w:tcPr>
          <w:p w14:paraId="3D04C49C">
            <w:pPr>
              <w:rPr>
                <w:rFonts w:ascii="Arial"/>
                <w:sz w:val="21"/>
              </w:rPr>
            </w:pPr>
          </w:p>
        </w:tc>
      </w:tr>
      <w:tr w14:paraId="7E343B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9" w:hRule="atLeast"/>
        </w:trPr>
        <w:tc>
          <w:tcPr>
            <w:tcW w:w="653" w:type="dxa"/>
            <w:tcBorders>
              <w:left w:val="single" w:color="000000" w:sz="4" w:space="0"/>
            </w:tcBorders>
            <w:vAlign w:val="top"/>
          </w:tcPr>
          <w:p w14:paraId="5D864C76">
            <w:pPr>
              <w:rPr>
                <w:rFonts w:ascii="Arial"/>
                <w:sz w:val="21"/>
              </w:rPr>
            </w:pPr>
          </w:p>
        </w:tc>
        <w:tc>
          <w:tcPr>
            <w:tcW w:w="1043" w:type="dxa"/>
            <w:tcBorders>
              <w:right w:val="single" w:color="000000" w:sz="4" w:space="0"/>
            </w:tcBorders>
            <w:vAlign w:val="top"/>
          </w:tcPr>
          <w:p w14:paraId="5DBC6B4F">
            <w:pPr>
              <w:rPr>
                <w:rFonts w:ascii="Arial"/>
                <w:sz w:val="21"/>
              </w:rPr>
            </w:pPr>
          </w:p>
        </w:tc>
        <w:tc>
          <w:tcPr>
            <w:tcW w:w="1027" w:type="dxa"/>
            <w:tcBorders>
              <w:left w:val="single" w:color="000000" w:sz="4" w:space="0"/>
              <w:right w:val="single" w:color="000000" w:sz="4" w:space="0"/>
            </w:tcBorders>
            <w:vAlign w:val="top"/>
          </w:tcPr>
          <w:p w14:paraId="75EE792B">
            <w:pPr>
              <w:rPr>
                <w:rFonts w:ascii="Arial"/>
                <w:sz w:val="21"/>
              </w:rPr>
            </w:pPr>
          </w:p>
        </w:tc>
        <w:tc>
          <w:tcPr>
            <w:tcW w:w="1455" w:type="dxa"/>
            <w:tcBorders>
              <w:left w:val="single" w:color="000000" w:sz="4" w:space="0"/>
            </w:tcBorders>
            <w:vAlign w:val="top"/>
          </w:tcPr>
          <w:p w14:paraId="2B809733">
            <w:pPr>
              <w:rPr>
                <w:rFonts w:ascii="Arial"/>
                <w:sz w:val="21"/>
              </w:rPr>
            </w:pPr>
          </w:p>
        </w:tc>
        <w:tc>
          <w:tcPr>
            <w:tcW w:w="1019" w:type="dxa"/>
            <w:tcBorders>
              <w:right w:val="single" w:color="000000" w:sz="4" w:space="0"/>
            </w:tcBorders>
            <w:vAlign w:val="top"/>
          </w:tcPr>
          <w:p w14:paraId="63F79E4B">
            <w:pPr>
              <w:rPr>
                <w:rFonts w:ascii="Arial"/>
                <w:sz w:val="21"/>
              </w:rPr>
            </w:pPr>
          </w:p>
        </w:tc>
        <w:tc>
          <w:tcPr>
            <w:tcW w:w="834" w:type="dxa"/>
            <w:tcBorders>
              <w:left w:val="single" w:color="000000" w:sz="4" w:space="0"/>
              <w:right w:val="single" w:color="000000" w:sz="4" w:space="0"/>
            </w:tcBorders>
            <w:vAlign w:val="top"/>
          </w:tcPr>
          <w:p w14:paraId="44815FB7">
            <w:pPr>
              <w:rPr>
                <w:rFonts w:ascii="Arial"/>
                <w:sz w:val="21"/>
              </w:rPr>
            </w:pPr>
          </w:p>
        </w:tc>
        <w:tc>
          <w:tcPr>
            <w:tcW w:w="770" w:type="dxa"/>
            <w:tcBorders>
              <w:left w:val="single" w:color="000000" w:sz="4" w:space="0"/>
            </w:tcBorders>
            <w:vAlign w:val="top"/>
          </w:tcPr>
          <w:p w14:paraId="6938AE52">
            <w:pPr>
              <w:rPr>
                <w:rFonts w:ascii="Arial"/>
                <w:sz w:val="21"/>
              </w:rPr>
            </w:pPr>
          </w:p>
        </w:tc>
        <w:tc>
          <w:tcPr>
            <w:tcW w:w="736" w:type="dxa"/>
            <w:tcBorders>
              <w:right w:val="single" w:color="000000" w:sz="4" w:space="0"/>
            </w:tcBorders>
            <w:vAlign w:val="top"/>
          </w:tcPr>
          <w:p w14:paraId="347C1248">
            <w:pPr>
              <w:rPr>
                <w:rFonts w:ascii="Arial"/>
                <w:sz w:val="21"/>
              </w:rPr>
            </w:pPr>
          </w:p>
        </w:tc>
        <w:tc>
          <w:tcPr>
            <w:tcW w:w="947" w:type="dxa"/>
            <w:tcBorders>
              <w:left w:val="single" w:color="000000" w:sz="4" w:space="0"/>
              <w:right w:val="single" w:color="000000" w:sz="4" w:space="0"/>
            </w:tcBorders>
            <w:vAlign w:val="top"/>
          </w:tcPr>
          <w:p w14:paraId="1B8F99E7">
            <w:pPr>
              <w:rPr>
                <w:rFonts w:ascii="Arial"/>
                <w:sz w:val="21"/>
              </w:rPr>
            </w:pPr>
          </w:p>
        </w:tc>
      </w:tr>
      <w:tr w14:paraId="3D9A77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4" w:hRule="atLeast"/>
        </w:trPr>
        <w:tc>
          <w:tcPr>
            <w:tcW w:w="653" w:type="dxa"/>
            <w:tcBorders>
              <w:left w:val="single" w:color="000000" w:sz="4" w:space="0"/>
            </w:tcBorders>
            <w:vAlign w:val="top"/>
          </w:tcPr>
          <w:p w14:paraId="5A5FBC90">
            <w:pPr>
              <w:rPr>
                <w:rFonts w:ascii="Arial"/>
                <w:sz w:val="21"/>
              </w:rPr>
            </w:pPr>
          </w:p>
        </w:tc>
        <w:tc>
          <w:tcPr>
            <w:tcW w:w="1043" w:type="dxa"/>
            <w:tcBorders>
              <w:right w:val="single" w:color="000000" w:sz="4" w:space="0"/>
            </w:tcBorders>
            <w:vAlign w:val="top"/>
          </w:tcPr>
          <w:p w14:paraId="193013F1">
            <w:pPr>
              <w:rPr>
                <w:rFonts w:ascii="Arial"/>
                <w:sz w:val="21"/>
              </w:rPr>
            </w:pPr>
          </w:p>
        </w:tc>
        <w:tc>
          <w:tcPr>
            <w:tcW w:w="1027" w:type="dxa"/>
            <w:tcBorders>
              <w:left w:val="single" w:color="000000" w:sz="4" w:space="0"/>
              <w:right w:val="single" w:color="000000" w:sz="4" w:space="0"/>
            </w:tcBorders>
            <w:vAlign w:val="top"/>
          </w:tcPr>
          <w:p w14:paraId="36504265">
            <w:pPr>
              <w:rPr>
                <w:rFonts w:ascii="Arial"/>
                <w:sz w:val="21"/>
              </w:rPr>
            </w:pPr>
          </w:p>
        </w:tc>
        <w:tc>
          <w:tcPr>
            <w:tcW w:w="1455" w:type="dxa"/>
            <w:tcBorders>
              <w:left w:val="single" w:color="000000" w:sz="4" w:space="0"/>
            </w:tcBorders>
            <w:vAlign w:val="top"/>
          </w:tcPr>
          <w:p w14:paraId="5A6CB625">
            <w:pPr>
              <w:rPr>
                <w:rFonts w:ascii="Arial"/>
                <w:sz w:val="21"/>
              </w:rPr>
            </w:pPr>
          </w:p>
        </w:tc>
        <w:tc>
          <w:tcPr>
            <w:tcW w:w="1019" w:type="dxa"/>
            <w:tcBorders>
              <w:right w:val="single" w:color="000000" w:sz="4" w:space="0"/>
            </w:tcBorders>
            <w:vAlign w:val="top"/>
          </w:tcPr>
          <w:p w14:paraId="073F7316">
            <w:pPr>
              <w:rPr>
                <w:rFonts w:ascii="Arial"/>
                <w:sz w:val="21"/>
              </w:rPr>
            </w:pPr>
          </w:p>
        </w:tc>
        <w:tc>
          <w:tcPr>
            <w:tcW w:w="834" w:type="dxa"/>
            <w:tcBorders>
              <w:left w:val="single" w:color="000000" w:sz="4" w:space="0"/>
              <w:right w:val="single" w:color="000000" w:sz="4" w:space="0"/>
            </w:tcBorders>
            <w:vAlign w:val="top"/>
          </w:tcPr>
          <w:p w14:paraId="678C1EAD">
            <w:pPr>
              <w:rPr>
                <w:rFonts w:ascii="Arial"/>
                <w:sz w:val="21"/>
              </w:rPr>
            </w:pPr>
          </w:p>
        </w:tc>
        <w:tc>
          <w:tcPr>
            <w:tcW w:w="770" w:type="dxa"/>
            <w:tcBorders>
              <w:left w:val="single" w:color="000000" w:sz="4" w:space="0"/>
            </w:tcBorders>
            <w:vAlign w:val="top"/>
          </w:tcPr>
          <w:p w14:paraId="5AAD4292">
            <w:pPr>
              <w:rPr>
                <w:rFonts w:ascii="Arial"/>
                <w:sz w:val="21"/>
              </w:rPr>
            </w:pPr>
          </w:p>
        </w:tc>
        <w:tc>
          <w:tcPr>
            <w:tcW w:w="736" w:type="dxa"/>
            <w:tcBorders>
              <w:right w:val="single" w:color="000000" w:sz="4" w:space="0"/>
            </w:tcBorders>
            <w:vAlign w:val="top"/>
          </w:tcPr>
          <w:p w14:paraId="3BC32EB8">
            <w:pPr>
              <w:rPr>
                <w:rFonts w:ascii="Arial"/>
                <w:sz w:val="21"/>
              </w:rPr>
            </w:pPr>
          </w:p>
        </w:tc>
        <w:tc>
          <w:tcPr>
            <w:tcW w:w="947" w:type="dxa"/>
            <w:tcBorders>
              <w:left w:val="single" w:color="000000" w:sz="4" w:space="0"/>
              <w:right w:val="single" w:color="000000" w:sz="4" w:space="0"/>
            </w:tcBorders>
            <w:vAlign w:val="top"/>
          </w:tcPr>
          <w:p w14:paraId="5246345C">
            <w:pPr>
              <w:rPr>
                <w:rFonts w:ascii="Arial"/>
                <w:sz w:val="21"/>
              </w:rPr>
            </w:pPr>
          </w:p>
        </w:tc>
      </w:tr>
      <w:tr w14:paraId="3ADC5E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9" w:hRule="atLeast"/>
        </w:trPr>
        <w:tc>
          <w:tcPr>
            <w:tcW w:w="653" w:type="dxa"/>
            <w:tcBorders>
              <w:left w:val="single" w:color="000000" w:sz="4" w:space="0"/>
            </w:tcBorders>
            <w:vAlign w:val="top"/>
          </w:tcPr>
          <w:p w14:paraId="736457C3">
            <w:pPr>
              <w:rPr>
                <w:rFonts w:ascii="Arial"/>
                <w:sz w:val="21"/>
              </w:rPr>
            </w:pPr>
          </w:p>
        </w:tc>
        <w:tc>
          <w:tcPr>
            <w:tcW w:w="1043" w:type="dxa"/>
            <w:tcBorders>
              <w:right w:val="single" w:color="000000" w:sz="4" w:space="0"/>
            </w:tcBorders>
            <w:vAlign w:val="top"/>
          </w:tcPr>
          <w:p w14:paraId="3930A881">
            <w:pPr>
              <w:rPr>
                <w:rFonts w:ascii="Arial"/>
                <w:sz w:val="21"/>
              </w:rPr>
            </w:pPr>
          </w:p>
        </w:tc>
        <w:tc>
          <w:tcPr>
            <w:tcW w:w="1027" w:type="dxa"/>
            <w:tcBorders>
              <w:left w:val="single" w:color="000000" w:sz="4" w:space="0"/>
              <w:right w:val="single" w:color="000000" w:sz="4" w:space="0"/>
            </w:tcBorders>
            <w:vAlign w:val="top"/>
          </w:tcPr>
          <w:p w14:paraId="1545E644">
            <w:pPr>
              <w:rPr>
                <w:rFonts w:ascii="Arial"/>
                <w:sz w:val="21"/>
              </w:rPr>
            </w:pPr>
          </w:p>
        </w:tc>
        <w:tc>
          <w:tcPr>
            <w:tcW w:w="1455" w:type="dxa"/>
            <w:tcBorders>
              <w:left w:val="single" w:color="000000" w:sz="4" w:space="0"/>
            </w:tcBorders>
            <w:vAlign w:val="top"/>
          </w:tcPr>
          <w:p w14:paraId="669BC880">
            <w:pPr>
              <w:rPr>
                <w:rFonts w:ascii="Arial"/>
                <w:sz w:val="21"/>
              </w:rPr>
            </w:pPr>
          </w:p>
        </w:tc>
        <w:tc>
          <w:tcPr>
            <w:tcW w:w="1019" w:type="dxa"/>
            <w:tcBorders>
              <w:right w:val="single" w:color="000000" w:sz="4" w:space="0"/>
            </w:tcBorders>
            <w:vAlign w:val="top"/>
          </w:tcPr>
          <w:p w14:paraId="01DD52AC">
            <w:pPr>
              <w:rPr>
                <w:rFonts w:ascii="Arial"/>
                <w:sz w:val="21"/>
              </w:rPr>
            </w:pPr>
          </w:p>
        </w:tc>
        <w:tc>
          <w:tcPr>
            <w:tcW w:w="834" w:type="dxa"/>
            <w:tcBorders>
              <w:left w:val="single" w:color="000000" w:sz="4" w:space="0"/>
              <w:right w:val="single" w:color="000000" w:sz="4" w:space="0"/>
            </w:tcBorders>
            <w:vAlign w:val="top"/>
          </w:tcPr>
          <w:p w14:paraId="24E06DFC">
            <w:pPr>
              <w:rPr>
                <w:rFonts w:ascii="Arial"/>
                <w:sz w:val="21"/>
              </w:rPr>
            </w:pPr>
          </w:p>
        </w:tc>
        <w:tc>
          <w:tcPr>
            <w:tcW w:w="770" w:type="dxa"/>
            <w:tcBorders>
              <w:left w:val="single" w:color="000000" w:sz="4" w:space="0"/>
            </w:tcBorders>
            <w:vAlign w:val="top"/>
          </w:tcPr>
          <w:p w14:paraId="0A0BDB60">
            <w:pPr>
              <w:rPr>
                <w:rFonts w:ascii="Arial"/>
                <w:sz w:val="21"/>
              </w:rPr>
            </w:pPr>
          </w:p>
        </w:tc>
        <w:tc>
          <w:tcPr>
            <w:tcW w:w="736" w:type="dxa"/>
            <w:tcBorders>
              <w:right w:val="single" w:color="000000" w:sz="4" w:space="0"/>
            </w:tcBorders>
            <w:vAlign w:val="top"/>
          </w:tcPr>
          <w:p w14:paraId="08BB4255">
            <w:pPr>
              <w:rPr>
                <w:rFonts w:ascii="Arial"/>
                <w:sz w:val="21"/>
              </w:rPr>
            </w:pPr>
          </w:p>
        </w:tc>
        <w:tc>
          <w:tcPr>
            <w:tcW w:w="947" w:type="dxa"/>
            <w:tcBorders>
              <w:left w:val="single" w:color="000000" w:sz="4" w:space="0"/>
              <w:right w:val="single" w:color="000000" w:sz="4" w:space="0"/>
            </w:tcBorders>
            <w:vAlign w:val="top"/>
          </w:tcPr>
          <w:p w14:paraId="658F66F7">
            <w:pPr>
              <w:rPr>
                <w:rFonts w:ascii="Arial"/>
                <w:sz w:val="21"/>
              </w:rPr>
            </w:pPr>
          </w:p>
        </w:tc>
      </w:tr>
      <w:tr w14:paraId="7E5E53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9" w:hRule="atLeast"/>
        </w:trPr>
        <w:tc>
          <w:tcPr>
            <w:tcW w:w="653" w:type="dxa"/>
            <w:tcBorders>
              <w:left w:val="single" w:color="000000" w:sz="4" w:space="0"/>
            </w:tcBorders>
            <w:vAlign w:val="top"/>
          </w:tcPr>
          <w:p w14:paraId="157C5B54">
            <w:pPr>
              <w:rPr>
                <w:rFonts w:ascii="Arial"/>
                <w:sz w:val="21"/>
              </w:rPr>
            </w:pPr>
          </w:p>
        </w:tc>
        <w:tc>
          <w:tcPr>
            <w:tcW w:w="1043" w:type="dxa"/>
            <w:tcBorders>
              <w:right w:val="single" w:color="000000" w:sz="4" w:space="0"/>
            </w:tcBorders>
            <w:vAlign w:val="top"/>
          </w:tcPr>
          <w:p w14:paraId="629BC4E0">
            <w:pPr>
              <w:rPr>
                <w:rFonts w:ascii="Arial"/>
                <w:sz w:val="21"/>
              </w:rPr>
            </w:pPr>
          </w:p>
        </w:tc>
        <w:tc>
          <w:tcPr>
            <w:tcW w:w="1027" w:type="dxa"/>
            <w:tcBorders>
              <w:left w:val="single" w:color="000000" w:sz="4" w:space="0"/>
              <w:right w:val="single" w:color="000000" w:sz="4" w:space="0"/>
            </w:tcBorders>
            <w:vAlign w:val="top"/>
          </w:tcPr>
          <w:p w14:paraId="06E69BFE">
            <w:pPr>
              <w:rPr>
                <w:rFonts w:ascii="Arial"/>
                <w:sz w:val="21"/>
              </w:rPr>
            </w:pPr>
          </w:p>
        </w:tc>
        <w:tc>
          <w:tcPr>
            <w:tcW w:w="1455" w:type="dxa"/>
            <w:tcBorders>
              <w:left w:val="single" w:color="000000" w:sz="4" w:space="0"/>
            </w:tcBorders>
            <w:vAlign w:val="top"/>
          </w:tcPr>
          <w:p w14:paraId="11477B65">
            <w:pPr>
              <w:rPr>
                <w:rFonts w:ascii="Arial"/>
                <w:sz w:val="21"/>
              </w:rPr>
            </w:pPr>
          </w:p>
        </w:tc>
        <w:tc>
          <w:tcPr>
            <w:tcW w:w="1019" w:type="dxa"/>
            <w:tcBorders>
              <w:right w:val="single" w:color="000000" w:sz="4" w:space="0"/>
            </w:tcBorders>
            <w:vAlign w:val="top"/>
          </w:tcPr>
          <w:p w14:paraId="4101C535">
            <w:pPr>
              <w:rPr>
                <w:rFonts w:ascii="Arial"/>
                <w:sz w:val="21"/>
              </w:rPr>
            </w:pPr>
          </w:p>
        </w:tc>
        <w:tc>
          <w:tcPr>
            <w:tcW w:w="834" w:type="dxa"/>
            <w:tcBorders>
              <w:left w:val="single" w:color="000000" w:sz="4" w:space="0"/>
              <w:right w:val="single" w:color="000000" w:sz="4" w:space="0"/>
            </w:tcBorders>
            <w:vAlign w:val="top"/>
          </w:tcPr>
          <w:p w14:paraId="4A870F97">
            <w:pPr>
              <w:rPr>
                <w:rFonts w:ascii="Arial"/>
                <w:sz w:val="21"/>
              </w:rPr>
            </w:pPr>
          </w:p>
        </w:tc>
        <w:tc>
          <w:tcPr>
            <w:tcW w:w="770" w:type="dxa"/>
            <w:tcBorders>
              <w:left w:val="single" w:color="000000" w:sz="4" w:space="0"/>
            </w:tcBorders>
            <w:vAlign w:val="top"/>
          </w:tcPr>
          <w:p w14:paraId="323C95B4">
            <w:pPr>
              <w:rPr>
                <w:rFonts w:ascii="Arial"/>
                <w:sz w:val="21"/>
              </w:rPr>
            </w:pPr>
          </w:p>
        </w:tc>
        <w:tc>
          <w:tcPr>
            <w:tcW w:w="736" w:type="dxa"/>
            <w:tcBorders>
              <w:right w:val="single" w:color="000000" w:sz="4" w:space="0"/>
            </w:tcBorders>
            <w:vAlign w:val="top"/>
          </w:tcPr>
          <w:p w14:paraId="3AE97A1B">
            <w:pPr>
              <w:rPr>
                <w:rFonts w:ascii="Arial"/>
                <w:sz w:val="21"/>
              </w:rPr>
            </w:pPr>
          </w:p>
        </w:tc>
        <w:tc>
          <w:tcPr>
            <w:tcW w:w="947" w:type="dxa"/>
            <w:tcBorders>
              <w:left w:val="single" w:color="000000" w:sz="4" w:space="0"/>
              <w:right w:val="single" w:color="000000" w:sz="4" w:space="0"/>
            </w:tcBorders>
            <w:vAlign w:val="top"/>
          </w:tcPr>
          <w:p w14:paraId="03A3D9FC">
            <w:pPr>
              <w:rPr>
                <w:rFonts w:ascii="Arial"/>
                <w:sz w:val="21"/>
              </w:rPr>
            </w:pPr>
          </w:p>
        </w:tc>
      </w:tr>
      <w:tr w14:paraId="40FE15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4" w:hRule="atLeast"/>
        </w:trPr>
        <w:tc>
          <w:tcPr>
            <w:tcW w:w="653" w:type="dxa"/>
            <w:tcBorders>
              <w:left w:val="single" w:color="000000" w:sz="4" w:space="0"/>
            </w:tcBorders>
            <w:vAlign w:val="top"/>
          </w:tcPr>
          <w:p w14:paraId="46A84B84">
            <w:pPr>
              <w:rPr>
                <w:rFonts w:ascii="Arial"/>
                <w:sz w:val="21"/>
              </w:rPr>
            </w:pPr>
          </w:p>
        </w:tc>
        <w:tc>
          <w:tcPr>
            <w:tcW w:w="1043" w:type="dxa"/>
            <w:tcBorders>
              <w:right w:val="single" w:color="000000" w:sz="4" w:space="0"/>
            </w:tcBorders>
            <w:vAlign w:val="top"/>
          </w:tcPr>
          <w:p w14:paraId="2CE1489B">
            <w:pPr>
              <w:rPr>
                <w:rFonts w:ascii="Arial"/>
                <w:sz w:val="21"/>
              </w:rPr>
            </w:pPr>
          </w:p>
        </w:tc>
        <w:tc>
          <w:tcPr>
            <w:tcW w:w="1027" w:type="dxa"/>
            <w:tcBorders>
              <w:left w:val="single" w:color="000000" w:sz="4" w:space="0"/>
              <w:right w:val="single" w:color="000000" w:sz="4" w:space="0"/>
            </w:tcBorders>
            <w:vAlign w:val="top"/>
          </w:tcPr>
          <w:p w14:paraId="71D34B17">
            <w:pPr>
              <w:rPr>
                <w:rFonts w:ascii="Arial"/>
                <w:sz w:val="21"/>
              </w:rPr>
            </w:pPr>
          </w:p>
        </w:tc>
        <w:tc>
          <w:tcPr>
            <w:tcW w:w="1455" w:type="dxa"/>
            <w:tcBorders>
              <w:left w:val="single" w:color="000000" w:sz="4" w:space="0"/>
            </w:tcBorders>
            <w:vAlign w:val="top"/>
          </w:tcPr>
          <w:p w14:paraId="080C6678">
            <w:pPr>
              <w:rPr>
                <w:rFonts w:ascii="Arial"/>
                <w:sz w:val="21"/>
              </w:rPr>
            </w:pPr>
          </w:p>
        </w:tc>
        <w:tc>
          <w:tcPr>
            <w:tcW w:w="1019" w:type="dxa"/>
            <w:tcBorders>
              <w:right w:val="single" w:color="000000" w:sz="4" w:space="0"/>
            </w:tcBorders>
            <w:vAlign w:val="top"/>
          </w:tcPr>
          <w:p w14:paraId="5FC150A5">
            <w:pPr>
              <w:rPr>
                <w:rFonts w:ascii="Arial"/>
                <w:sz w:val="21"/>
              </w:rPr>
            </w:pPr>
          </w:p>
        </w:tc>
        <w:tc>
          <w:tcPr>
            <w:tcW w:w="834" w:type="dxa"/>
            <w:tcBorders>
              <w:left w:val="single" w:color="000000" w:sz="4" w:space="0"/>
              <w:right w:val="single" w:color="000000" w:sz="4" w:space="0"/>
            </w:tcBorders>
            <w:vAlign w:val="top"/>
          </w:tcPr>
          <w:p w14:paraId="0EC7FE78">
            <w:pPr>
              <w:rPr>
                <w:rFonts w:ascii="Arial"/>
                <w:sz w:val="21"/>
              </w:rPr>
            </w:pPr>
          </w:p>
        </w:tc>
        <w:tc>
          <w:tcPr>
            <w:tcW w:w="770" w:type="dxa"/>
            <w:tcBorders>
              <w:left w:val="single" w:color="000000" w:sz="4" w:space="0"/>
            </w:tcBorders>
            <w:vAlign w:val="top"/>
          </w:tcPr>
          <w:p w14:paraId="49FE4A38">
            <w:pPr>
              <w:rPr>
                <w:rFonts w:ascii="Arial"/>
                <w:sz w:val="21"/>
              </w:rPr>
            </w:pPr>
          </w:p>
        </w:tc>
        <w:tc>
          <w:tcPr>
            <w:tcW w:w="736" w:type="dxa"/>
            <w:tcBorders>
              <w:right w:val="single" w:color="000000" w:sz="4" w:space="0"/>
            </w:tcBorders>
            <w:vAlign w:val="top"/>
          </w:tcPr>
          <w:p w14:paraId="06B8209B">
            <w:pPr>
              <w:rPr>
                <w:rFonts w:ascii="Arial"/>
                <w:sz w:val="21"/>
              </w:rPr>
            </w:pPr>
          </w:p>
        </w:tc>
        <w:tc>
          <w:tcPr>
            <w:tcW w:w="947" w:type="dxa"/>
            <w:tcBorders>
              <w:left w:val="single" w:color="000000" w:sz="4" w:space="0"/>
              <w:right w:val="single" w:color="000000" w:sz="4" w:space="0"/>
            </w:tcBorders>
            <w:vAlign w:val="top"/>
          </w:tcPr>
          <w:p w14:paraId="16E04A8B">
            <w:pPr>
              <w:rPr>
                <w:rFonts w:ascii="Arial"/>
                <w:sz w:val="21"/>
              </w:rPr>
            </w:pPr>
          </w:p>
        </w:tc>
      </w:tr>
      <w:tr w14:paraId="1D4CB4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8" w:hRule="atLeast"/>
        </w:trPr>
        <w:tc>
          <w:tcPr>
            <w:tcW w:w="6801" w:type="dxa"/>
            <w:gridSpan w:val="7"/>
            <w:tcBorders>
              <w:left w:val="single" w:color="000000" w:sz="4" w:space="0"/>
            </w:tcBorders>
            <w:vAlign w:val="top"/>
          </w:tcPr>
          <w:p w14:paraId="5444A1DA">
            <w:pPr>
              <w:pStyle w:val="11"/>
              <w:spacing w:before="148" w:line="220" w:lineRule="auto"/>
              <w:ind w:left="2986"/>
            </w:pPr>
            <w:r>
              <w:rPr>
                <w:spacing w:val="-1"/>
              </w:rPr>
              <w:t>本页小计</w:t>
            </w:r>
          </w:p>
        </w:tc>
        <w:tc>
          <w:tcPr>
            <w:tcW w:w="736" w:type="dxa"/>
            <w:tcBorders>
              <w:right w:val="single" w:color="000000" w:sz="4" w:space="0"/>
            </w:tcBorders>
            <w:vAlign w:val="top"/>
          </w:tcPr>
          <w:p w14:paraId="6B07EBF7">
            <w:pPr>
              <w:rPr>
                <w:rFonts w:ascii="Arial"/>
                <w:sz w:val="21"/>
              </w:rPr>
            </w:pPr>
          </w:p>
        </w:tc>
        <w:tc>
          <w:tcPr>
            <w:tcW w:w="947" w:type="dxa"/>
            <w:tcBorders>
              <w:left w:val="single" w:color="000000" w:sz="4" w:space="0"/>
              <w:right w:val="single" w:color="000000" w:sz="4" w:space="0"/>
            </w:tcBorders>
            <w:vAlign w:val="top"/>
          </w:tcPr>
          <w:p w14:paraId="19F753C7">
            <w:pPr>
              <w:rPr>
                <w:rFonts w:ascii="Arial"/>
                <w:sz w:val="21"/>
              </w:rPr>
            </w:pPr>
          </w:p>
        </w:tc>
      </w:tr>
      <w:tr w14:paraId="34EE65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8" w:hRule="atLeast"/>
        </w:trPr>
        <w:tc>
          <w:tcPr>
            <w:tcW w:w="6801" w:type="dxa"/>
            <w:gridSpan w:val="7"/>
            <w:tcBorders>
              <w:left w:val="single" w:color="000000" w:sz="4" w:space="0"/>
              <w:bottom w:val="single" w:color="000000" w:sz="4" w:space="0"/>
            </w:tcBorders>
            <w:vAlign w:val="top"/>
          </w:tcPr>
          <w:p w14:paraId="5E10900F">
            <w:pPr>
              <w:pStyle w:val="11"/>
              <w:spacing w:before="149" w:line="222" w:lineRule="auto"/>
              <w:ind w:left="3144"/>
            </w:pPr>
            <w:r>
              <w:rPr>
                <w:spacing w:val="-4"/>
              </w:rPr>
              <w:t>合</w:t>
            </w:r>
            <w:r>
              <w:rPr>
                <w:spacing w:val="8"/>
              </w:rPr>
              <w:t xml:space="preserve"> </w:t>
            </w:r>
            <w:r>
              <w:rPr>
                <w:spacing w:val="-4"/>
              </w:rPr>
              <w:t>计</w:t>
            </w:r>
          </w:p>
        </w:tc>
        <w:tc>
          <w:tcPr>
            <w:tcW w:w="736" w:type="dxa"/>
            <w:tcBorders>
              <w:bottom w:val="single" w:color="000000" w:sz="4" w:space="0"/>
              <w:right w:val="single" w:color="000000" w:sz="4" w:space="0"/>
            </w:tcBorders>
            <w:vAlign w:val="top"/>
          </w:tcPr>
          <w:p w14:paraId="12E67120">
            <w:pPr>
              <w:rPr>
                <w:rFonts w:ascii="Arial"/>
                <w:sz w:val="21"/>
              </w:rPr>
            </w:pPr>
          </w:p>
        </w:tc>
        <w:tc>
          <w:tcPr>
            <w:tcW w:w="947" w:type="dxa"/>
            <w:tcBorders>
              <w:left w:val="single" w:color="000000" w:sz="4" w:space="0"/>
              <w:bottom w:val="single" w:color="000000" w:sz="4" w:space="0"/>
              <w:right w:val="single" w:color="000000" w:sz="4" w:space="0"/>
            </w:tcBorders>
            <w:vAlign w:val="top"/>
          </w:tcPr>
          <w:p w14:paraId="2C72E4DD">
            <w:pPr>
              <w:rPr>
                <w:rFonts w:ascii="Arial"/>
                <w:sz w:val="21"/>
              </w:rPr>
            </w:pPr>
          </w:p>
        </w:tc>
      </w:tr>
    </w:tbl>
    <w:p w14:paraId="4492BD77">
      <w:pPr>
        <w:pStyle w:val="3"/>
      </w:pPr>
    </w:p>
    <w:p w14:paraId="5EA51D79">
      <w:pPr>
        <w:sectPr>
          <w:footerReference r:id="rId170" w:type="default"/>
          <w:pgSz w:w="11905" w:h="16839"/>
          <w:pgMar w:top="400" w:right="1700" w:bottom="1004" w:left="1709" w:header="0" w:footer="828" w:gutter="0"/>
          <w:pgNumType w:fmt="decimal"/>
          <w:cols w:space="720" w:num="1"/>
        </w:sectPr>
      </w:pPr>
    </w:p>
    <w:p w14:paraId="6D322AA8">
      <w:pPr>
        <w:pStyle w:val="3"/>
        <w:spacing w:line="267" w:lineRule="auto"/>
      </w:pPr>
    </w:p>
    <w:p w14:paraId="35AE57DB">
      <w:pPr>
        <w:pStyle w:val="3"/>
        <w:spacing w:line="267" w:lineRule="auto"/>
      </w:pPr>
    </w:p>
    <w:p w14:paraId="5F09B373">
      <w:pPr>
        <w:pStyle w:val="3"/>
        <w:spacing w:line="268" w:lineRule="auto"/>
      </w:pPr>
    </w:p>
    <w:p w14:paraId="288D2D6D">
      <w:pPr>
        <w:pStyle w:val="3"/>
        <w:spacing w:line="268" w:lineRule="auto"/>
      </w:pPr>
    </w:p>
    <w:p w14:paraId="516BC699">
      <w:pPr>
        <w:spacing w:before="78" w:line="219" w:lineRule="auto"/>
        <w:ind w:left="325"/>
        <w:rPr>
          <w:rFonts w:ascii="黑体" w:hAnsi="黑体" w:eastAsia="黑体" w:cs="黑体"/>
          <w:sz w:val="24"/>
          <w:szCs w:val="24"/>
        </w:rPr>
      </w:pPr>
      <w:r>
        <w:rPr>
          <w:rFonts w:ascii="Times New Roman" w:hAnsi="Times New Roman" w:eastAsia="Times New Roman" w:cs="Times New Roman"/>
          <w:spacing w:val="-1"/>
          <w:sz w:val="24"/>
          <w:szCs w:val="24"/>
        </w:rPr>
        <w:t xml:space="preserve">4.10 </w:t>
      </w:r>
      <w:r>
        <w:rPr>
          <w:rFonts w:ascii="黑体" w:hAnsi="黑体" w:eastAsia="黑体" w:cs="黑体"/>
          <w:spacing w:val="-1"/>
          <w:sz w:val="24"/>
          <w:szCs w:val="24"/>
        </w:rPr>
        <w:t>综合单价分析表</w:t>
      </w:r>
    </w:p>
    <w:p w14:paraId="152E5B80">
      <w:pPr>
        <w:spacing w:before="161" w:line="225" w:lineRule="auto"/>
        <w:ind w:left="3509"/>
        <w:rPr>
          <w:rFonts w:ascii="黑体" w:hAnsi="黑体" w:eastAsia="黑体" w:cs="黑体"/>
          <w:sz w:val="27"/>
          <w:szCs w:val="27"/>
        </w:rPr>
      </w:pPr>
      <w:r>
        <w:rPr>
          <w:rFonts w:ascii="黑体" w:hAnsi="黑体" w:eastAsia="黑体" w:cs="黑体"/>
          <w:spacing w:val="7"/>
          <w:sz w:val="27"/>
          <w:szCs w:val="27"/>
        </w:rPr>
        <w:t>综合单价分析表</w:t>
      </w:r>
    </w:p>
    <w:p w14:paraId="500E558C">
      <w:pPr>
        <w:spacing w:before="143" w:line="234" w:lineRule="auto"/>
        <w:ind w:left="332"/>
        <w:rPr>
          <w:rFonts w:ascii="宋体" w:hAnsi="宋体" w:eastAsia="宋体" w:cs="宋体"/>
          <w:sz w:val="21"/>
          <w:szCs w:val="21"/>
        </w:rPr>
      </w:pPr>
      <w:r>
        <w:rPr>
          <w:rFonts w:ascii="宋体" w:hAnsi="宋体" w:eastAsia="宋体" w:cs="宋体"/>
          <w:spacing w:val="-3"/>
          <w:sz w:val="21"/>
          <w:szCs w:val="21"/>
        </w:rPr>
        <w:t>工程名称</w:t>
      </w:r>
      <w:r>
        <w:rPr>
          <w:rFonts w:ascii="Times New Roman" w:hAnsi="Times New Roman" w:eastAsia="Times New Roman" w:cs="Times New Roman"/>
          <w:spacing w:val="-3"/>
          <w:sz w:val="21"/>
          <w:szCs w:val="21"/>
        </w:rPr>
        <w:t xml:space="preserve">:                           </w:t>
      </w:r>
      <w:r>
        <w:rPr>
          <w:rFonts w:ascii="Times New Roman" w:hAnsi="Times New Roman" w:eastAsia="Times New Roman" w:cs="Times New Roman"/>
          <w:spacing w:val="-4"/>
          <w:sz w:val="21"/>
          <w:szCs w:val="21"/>
        </w:rPr>
        <w:t xml:space="preserve"> </w:t>
      </w:r>
      <w:r>
        <w:rPr>
          <w:rFonts w:ascii="宋体" w:hAnsi="宋体" w:eastAsia="宋体" w:cs="宋体"/>
          <w:spacing w:val="-4"/>
          <w:sz w:val="21"/>
          <w:szCs w:val="21"/>
        </w:rPr>
        <w:t>标段名称：           第</w:t>
      </w:r>
      <w:r>
        <w:rPr>
          <w:rFonts w:ascii="宋体" w:hAnsi="宋体" w:eastAsia="宋体" w:cs="宋体"/>
          <w:spacing w:val="4"/>
          <w:sz w:val="21"/>
          <w:szCs w:val="21"/>
        </w:rPr>
        <w:t xml:space="preserve"> </w:t>
      </w:r>
      <w:r>
        <w:rPr>
          <w:rFonts w:ascii="宋体" w:hAnsi="宋体" w:eastAsia="宋体" w:cs="宋体"/>
          <w:spacing w:val="-4"/>
          <w:sz w:val="21"/>
          <w:szCs w:val="21"/>
        </w:rPr>
        <w:t>页</w:t>
      </w:r>
      <w:r>
        <w:rPr>
          <w:rFonts w:ascii="宋体" w:hAnsi="宋体" w:eastAsia="宋体" w:cs="宋体"/>
          <w:spacing w:val="9"/>
          <w:sz w:val="21"/>
          <w:szCs w:val="21"/>
        </w:rPr>
        <w:t xml:space="preserve"> </w:t>
      </w:r>
      <w:r>
        <w:rPr>
          <w:rFonts w:ascii="宋体" w:hAnsi="宋体" w:eastAsia="宋体" w:cs="宋体"/>
          <w:spacing w:val="-4"/>
          <w:sz w:val="21"/>
          <w:szCs w:val="21"/>
        </w:rPr>
        <w:t>共</w:t>
      </w:r>
      <w:r>
        <w:rPr>
          <w:rFonts w:ascii="宋体" w:hAnsi="宋体" w:eastAsia="宋体" w:cs="宋体"/>
          <w:spacing w:val="14"/>
          <w:sz w:val="21"/>
          <w:szCs w:val="21"/>
        </w:rPr>
        <w:t xml:space="preserve"> </w:t>
      </w:r>
      <w:r>
        <w:rPr>
          <w:rFonts w:ascii="宋体" w:hAnsi="宋体" w:eastAsia="宋体" w:cs="宋体"/>
          <w:spacing w:val="-4"/>
          <w:sz w:val="21"/>
          <w:szCs w:val="21"/>
        </w:rPr>
        <w:t>页</w:t>
      </w:r>
    </w:p>
    <w:p w14:paraId="396CFFE1">
      <w:pPr>
        <w:spacing w:line="97" w:lineRule="exact"/>
      </w:pPr>
    </w:p>
    <w:tbl>
      <w:tblPr>
        <w:tblStyle w:val="10"/>
        <w:tblW w:w="8945" w:type="dxa"/>
        <w:tblInd w:w="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01"/>
        <w:gridCol w:w="511"/>
        <w:gridCol w:w="158"/>
        <w:gridCol w:w="672"/>
        <w:gridCol w:w="254"/>
        <w:gridCol w:w="173"/>
        <w:gridCol w:w="427"/>
        <w:gridCol w:w="434"/>
        <w:gridCol w:w="230"/>
        <w:gridCol w:w="419"/>
        <w:gridCol w:w="739"/>
        <w:gridCol w:w="844"/>
        <w:gridCol w:w="86"/>
        <w:gridCol w:w="873"/>
        <w:gridCol w:w="46"/>
        <w:gridCol w:w="338"/>
        <w:gridCol w:w="878"/>
        <w:gridCol w:w="57"/>
        <w:gridCol w:w="1105"/>
      </w:tblGrid>
      <w:tr w14:paraId="2E265C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7" w:hRule="atLeast"/>
        </w:trPr>
        <w:tc>
          <w:tcPr>
            <w:tcW w:w="1212" w:type="dxa"/>
            <w:gridSpan w:val="2"/>
            <w:tcBorders>
              <w:top w:val="single" w:color="000000" w:sz="4" w:space="0"/>
              <w:left w:val="single" w:color="000000" w:sz="4" w:space="0"/>
              <w:right w:val="single" w:color="000000" w:sz="4" w:space="0"/>
            </w:tcBorders>
            <w:vAlign w:val="top"/>
          </w:tcPr>
          <w:p w14:paraId="7941CCB4">
            <w:pPr>
              <w:pStyle w:val="11"/>
              <w:spacing w:before="162" w:line="221" w:lineRule="auto"/>
              <w:ind w:left="217"/>
              <w:rPr>
                <w:sz w:val="20"/>
                <w:szCs w:val="20"/>
              </w:rPr>
            </w:pPr>
            <w:r>
              <w:rPr>
                <w:spacing w:val="-1"/>
                <w:sz w:val="20"/>
                <w:szCs w:val="20"/>
              </w:rPr>
              <w:t>项目编码</w:t>
            </w:r>
          </w:p>
        </w:tc>
        <w:tc>
          <w:tcPr>
            <w:tcW w:w="1084" w:type="dxa"/>
            <w:gridSpan w:val="3"/>
            <w:tcBorders>
              <w:top w:val="single" w:color="000000" w:sz="4" w:space="0"/>
              <w:left w:val="single" w:color="000000" w:sz="4" w:space="0"/>
              <w:right w:val="single" w:color="000000" w:sz="4" w:space="0"/>
            </w:tcBorders>
            <w:vAlign w:val="top"/>
          </w:tcPr>
          <w:p w14:paraId="4C06D7F1">
            <w:pPr>
              <w:rPr>
                <w:rFonts w:ascii="Arial"/>
                <w:sz w:val="21"/>
              </w:rPr>
            </w:pPr>
          </w:p>
        </w:tc>
        <w:tc>
          <w:tcPr>
            <w:tcW w:w="1034" w:type="dxa"/>
            <w:gridSpan w:val="3"/>
            <w:tcBorders>
              <w:top w:val="single" w:color="000000" w:sz="4" w:space="0"/>
              <w:left w:val="single" w:color="000000" w:sz="4" w:space="0"/>
            </w:tcBorders>
            <w:vAlign w:val="top"/>
          </w:tcPr>
          <w:p w14:paraId="590CB710">
            <w:pPr>
              <w:pStyle w:val="11"/>
              <w:spacing w:before="162" w:line="222" w:lineRule="auto"/>
              <w:ind w:left="115"/>
              <w:rPr>
                <w:sz w:val="20"/>
                <w:szCs w:val="20"/>
              </w:rPr>
            </w:pPr>
            <w:r>
              <w:rPr>
                <w:spacing w:val="-1"/>
                <w:sz w:val="20"/>
                <w:szCs w:val="20"/>
              </w:rPr>
              <w:t>项目名称</w:t>
            </w:r>
          </w:p>
        </w:tc>
        <w:tc>
          <w:tcPr>
            <w:tcW w:w="1388" w:type="dxa"/>
            <w:gridSpan w:val="3"/>
            <w:tcBorders>
              <w:top w:val="single" w:color="000000" w:sz="4" w:space="0"/>
              <w:right w:val="single" w:color="000000" w:sz="4" w:space="0"/>
            </w:tcBorders>
            <w:vAlign w:val="top"/>
          </w:tcPr>
          <w:p w14:paraId="7CC7AEE7">
            <w:pPr>
              <w:rPr>
                <w:rFonts w:ascii="Arial"/>
                <w:sz w:val="21"/>
              </w:rPr>
            </w:pPr>
          </w:p>
        </w:tc>
        <w:tc>
          <w:tcPr>
            <w:tcW w:w="930" w:type="dxa"/>
            <w:gridSpan w:val="2"/>
            <w:tcBorders>
              <w:top w:val="single" w:color="000000" w:sz="4" w:space="0"/>
              <w:left w:val="single" w:color="000000" w:sz="4" w:space="0"/>
              <w:right w:val="single" w:color="000000" w:sz="4" w:space="0"/>
            </w:tcBorders>
            <w:vAlign w:val="top"/>
          </w:tcPr>
          <w:p w14:paraId="7D4DD190">
            <w:pPr>
              <w:pStyle w:val="11"/>
              <w:spacing w:before="33" w:line="239" w:lineRule="auto"/>
              <w:ind w:left="268"/>
              <w:rPr>
                <w:sz w:val="20"/>
                <w:szCs w:val="20"/>
              </w:rPr>
            </w:pPr>
            <w:r>
              <w:rPr>
                <w:spacing w:val="-2"/>
                <w:sz w:val="20"/>
                <w:szCs w:val="20"/>
              </w:rPr>
              <w:t>计量</w:t>
            </w:r>
          </w:p>
          <w:p w14:paraId="5EEA6A82">
            <w:pPr>
              <w:pStyle w:val="11"/>
              <w:spacing w:line="207" w:lineRule="auto"/>
              <w:ind w:left="270"/>
              <w:rPr>
                <w:sz w:val="20"/>
                <w:szCs w:val="20"/>
              </w:rPr>
            </w:pPr>
            <w:r>
              <w:rPr>
                <w:spacing w:val="-2"/>
                <w:sz w:val="20"/>
                <w:szCs w:val="20"/>
              </w:rPr>
              <w:t>单位</w:t>
            </w:r>
          </w:p>
        </w:tc>
        <w:tc>
          <w:tcPr>
            <w:tcW w:w="873" w:type="dxa"/>
            <w:tcBorders>
              <w:top w:val="single" w:color="000000" w:sz="4" w:space="0"/>
              <w:left w:val="single" w:color="000000" w:sz="4" w:space="0"/>
              <w:right w:val="single" w:color="000000" w:sz="4" w:space="0"/>
            </w:tcBorders>
            <w:vAlign w:val="top"/>
          </w:tcPr>
          <w:p w14:paraId="0C13023F">
            <w:pPr>
              <w:rPr>
                <w:rFonts w:ascii="Arial"/>
                <w:sz w:val="21"/>
              </w:rPr>
            </w:pPr>
          </w:p>
        </w:tc>
        <w:tc>
          <w:tcPr>
            <w:tcW w:w="1262" w:type="dxa"/>
            <w:gridSpan w:val="3"/>
            <w:tcBorders>
              <w:top w:val="single" w:color="000000" w:sz="4" w:space="0"/>
              <w:left w:val="single" w:color="000000" w:sz="4" w:space="0"/>
              <w:right w:val="single" w:color="000000" w:sz="4" w:space="0"/>
            </w:tcBorders>
            <w:vAlign w:val="top"/>
          </w:tcPr>
          <w:p w14:paraId="5F372203">
            <w:pPr>
              <w:pStyle w:val="11"/>
              <w:spacing w:before="162" w:line="222" w:lineRule="auto"/>
              <w:ind w:left="341"/>
              <w:rPr>
                <w:sz w:val="20"/>
                <w:szCs w:val="20"/>
              </w:rPr>
            </w:pPr>
            <w:r>
              <w:rPr>
                <w:spacing w:val="-2"/>
                <w:sz w:val="20"/>
                <w:szCs w:val="20"/>
              </w:rPr>
              <w:t>工程量</w:t>
            </w:r>
          </w:p>
        </w:tc>
        <w:tc>
          <w:tcPr>
            <w:tcW w:w="1162" w:type="dxa"/>
            <w:gridSpan w:val="2"/>
            <w:tcBorders>
              <w:top w:val="single" w:color="000000" w:sz="4" w:space="0"/>
              <w:left w:val="single" w:color="000000" w:sz="4" w:space="0"/>
              <w:right w:val="single" w:color="000000" w:sz="4" w:space="0"/>
            </w:tcBorders>
            <w:vAlign w:val="top"/>
          </w:tcPr>
          <w:p w14:paraId="3B259F39">
            <w:pPr>
              <w:rPr>
                <w:rFonts w:ascii="Arial"/>
                <w:sz w:val="21"/>
              </w:rPr>
            </w:pPr>
          </w:p>
        </w:tc>
      </w:tr>
      <w:tr w14:paraId="32ACC9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1" w:hRule="atLeast"/>
        </w:trPr>
        <w:tc>
          <w:tcPr>
            <w:tcW w:w="8945" w:type="dxa"/>
            <w:gridSpan w:val="19"/>
            <w:tcBorders>
              <w:left w:val="single" w:color="000000" w:sz="4" w:space="0"/>
              <w:right w:val="single" w:color="000000" w:sz="4" w:space="0"/>
            </w:tcBorders>
            <w:vAlign w:val="top"/>
          </w:tcPr>
          <w:p w14:paraId="7EF9D818">
            <w:pPr>
              <w:pStyle w:val="11"/>
              <w:spacing w:before="169" w:line="219" w:lineRule="auto"/>
              <w:ind w:left="3431"/>
            </w:pPr>
            <w:r>
              <w:rPr>
                <w:spacing w:val="-1"/>
              </w:rPr>
              <w:t>清单综合单价组成明细</w:t>
            </w:r>
          </w:p>
        </w:tc>
      </w:tr>
      <w:tr w14:paraId="4C9BBA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1" w:hRule="atLeast"/>
        </w:trPr>
        <w:tc>
          <w:tcPr>
            <w:tcW w:w="701" w:type="dxa"/>
            <w:vMerge w:val="restart"/>
            <w:tcBorders>
              <w:left w:val="single" w:color="000000" w:sz="4" w:space="0"/>
              <w:bottom w:val="nil"/>
            </w:tcBorders>
            <w:vAlign w:val="top"/>
          </w:tcPr>
          <w:p w14:paraId="6E29F5D2">
            <w:pPr>
              <w:spacing w:line="376" w:lineRule="auto"/>
              <w:rPr>
                <w:rFonts w:ascii="Arial"/>
                <w:sz w:val="21"/>
              </w:rPr>
            </w:pPr>
          </w:p>
          <w:p w14:paraId="532D1DC4">
            <w:pPr>
              <w:pStyle w:val="11"/>
              <w:spacing w:before="69" w:line="231" w:lineRule="auto"/>
              <w:ind w:left="148" w:right="132" w:firstLine="3"/>
            </w:pPr>
            <w:r>
              <w:rPr>
                <w:spacing w:val="-6"/>
              </w:rPr>
              <w:t>定额</w:t>
            </w:r>
            <w:r>
              <w:t xml:space="preserve"> </w:t>
            </w:r>
            <w:r>
              <w:rPr>
                <w:spacing w:val="-4"/>
              </w:rPr>
              <w:t>编号</w:t>
            </w:r>
          </w:p>
        </w:tc>
        <w:tc>
          <w:tcPr>
            <w:tcW w:w="669" w:type="dxa"/>
            <w:gridSpan w:val="2"/>
            <w:vMerge w:val="restart"/>
            <w:tcBorders>
              <w:bottom w:val="nil"/>
              <w:right w:val="single" w:color="000000" w:sz="4" w:space="0"/>
            </w:tcBorders>
            <w:vAlign w:val="top"/>
          </w:tcPr>
          <w:p w14:paraId="1479EF5A">
            <w:pPr>
              <w:spacing w:line="245" w:lineRule="auto"/>
              <w:rPr>
                <w:rFonts w:ascii="Arial"/>
                <w:sz w:val="21"/>
              </w:rPr>
            </w:pPr>
          </w:p>
          <w:p w14:paraId="2CFB329F">
            <w:pPr>
              <w:pStyle w:val="11"/>
              <w:spacing w:before="68" w:line="233" w:lineRule="auto"/>
              <w:ind w:left="133" w:right="116" w:firstLine="2"/>
              <w:jc w:val="both"/>
            </w:pPr>
            <w:r>
              <w:rPr>
                <w:spacing w:val="-6"/>
              </w:rPr>
              <w:t>定额</w:t>
            </w:r>
            <w:r>
              <w:t xml:space="preserve"> </w:t>
            </w:r>
            <w:r>
              <w:rPr>
                <w:spacing w:val="-5"/>
              </w:rPr>
              <w:t>项目</w:t>
            </w:r>
            <w:r>
              <w:t xml:space="preserve"> </w:t>
            </w:r>
            <w:r>
              <w:rPr>
                <w:spacing w:val="-5"/>
              </w:rPr>
              <w:t>名称</w:t>
            </w:r>
          </w:p>
        </w:tc>
        <w:tc>
          <w:tcPr>
            <w:tcW w:w="672" w:type="dxa"/>
            <w:vMerge w:val="restart"/>
            <w:tcBorders>
              <w:left w:val="single" w:color="000000" w:sz="4" w:space="0"/>
              <w:bottom w:val="nil"/>
              <w:right w:val="single" w:color="000000" w:sz="4" w:space="0"/>
            </w:tcBorders>
            <w:vAlign w:val="top"/>
          </w:tcPr>
          <w:p w14:paraId="42231B71">
            <w:pPr>
              <w:spacing w:line="377" w:lineRule="auto"/>
              <w:rPr>
                <w:rFonts w:ascii="Arial"/>
                <w:sz w:val="21"/>
              </w:rPr>
            </w:pPr>
          </w:p>
          <w:p w14:paraId="1BF79C24">
            <w:pPr>
              <w:pStyle w:val="11"/>
              <w:spacing w:before="69" w:line="231" w:lineRule="auto"/>
              <w:ind w:left="132" w:right="116" w:firstLine="3"/>
            </w:pPr>
            <w:r>
              <w:rPr>
                <w:spacing w:val="-6"/>
              </w:rPr>
              <w:t>定额</w:t>
            </w:r>
            <w:r>
              <w:t xml:space="preserve"> </w:t>
            </w:r>
            <w:r>
              <w:rPr>
                <w:spacing w:val="-4"/>
              </w:rPr>
              <w:t>单位</w:t>
            </w:r>
          </w:p>
        </w:tc>
        <w:tc>
          <w:tcPr>
            <w:tcW w:w="427" w:type="dxa"/>
            <w:gridSpan w:val="2"/>
            <w:vMerge w:val="restart"/>
            <w:tcBorders>
              <w:left w:val="single" w:color="000000" w:sz="4" w:space="0"/>
              <w:bottom w:val="nil"/>
              <w:right w:val="single" w:color="000000" w:sz="4" w:space="0"/>
            </w:tcBorders>
            <w:textDirection w:val="tbRlV"/>
            <w:vAlign w:val="top"/>
          </w:tcPr>
          <w:p w14:paraId="398AADE1">
            <w:pPr>
              <w:pStyle w:val="11"/>
              <w:spacing w:before="101" w:line="209" w:lineRule="auto"/>
              <w:ind w:left="448"/>
            </w:pPr>
            <w:r>
              <w:rPr>
                <w:spacing w:val="1"/>
              </w:rPr>
              <w:t>数</w:t>
            </w:r>
            <w:r>
              <w:rPr>
                <w:spacing w:val="-43"/>
              </w:rPr>
              <w:t xml:space="preserve"> </w:t>
            </w:r>
            <w:r>
              <w:rPr>
                <w:spacing w:val="1"/>
              </w:rPr>
              <w:t>量</w:t>
            </w:r>
          </w:p>
        </w:tc>
        <w:tc>
          <w:tcPr>
            <w:tcW w:w="2249" w:type="dxa"/>
            <w:gridSpan w:val="5"/>
            <w:tcBorders>
              <w:left w:val="single" w:color="000000" w:sz="4" w:space="0"/>
              <w:right w:val="single" w:color="000000" w:sz="4" w:space="0"/>
            </w:tcBorders>
            <w:vAlign w:val="top"/>
          </w:tcPr>
          <w:p w14:paraId="0AFF61F3">
            <w:pPr>
              <w:pStyle w:val="11"/>
              <w:spacing w:before="174" w:line="219" w:lineRule="auto"/>
              <w:ind w:left="921"/>
            </w:pPr>
            <w:r>
              <w:rPr>
                <w:spacing w:val="-2"/>
              </w:rPr>
              <w:t>单价</w:t>
            </w:r>
          </w:p>
        </w:tc>
        <w:tc>
          <w:tcPr>
            <w:tcW w:w="4227" w:type="dxa"/>
            <w:gridSpan w:val="8"/>
            <w:tcBorders>
              <w:left w:val="single" w:color="000000" w:sz="4" w:space="0"/>
              <w:right w:val="single" w:color="000000" w:sz="4" w:space="0"/>
            </w:tcBorders>
            <w:vAlign w:val="top"/>
          </w:tcPr>
          <w:p w14:paraId="2AC2028D">
            <w:pPr>
              <w:pStyle w:val="11"/>
              <w:spacing w:before="174" w:line="219" w:lineRule="auto"/>
              <w:ind w:left="1908"/>
            </w:pPr>
            <w:r>
              <w:rPr>
                <w:spacing w:val="-2"/>
              </w:rPr>
              <w:t>合价</w:t>
            </w:r>
          </w:p>
        </w:tc>
      </w:tr>
      <w:tr w14:paraId="66656B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0" w:hRule="atLeast"/>
        </w:trPr>
        <w:tc>
          <w:tcPr>
            <w:tcW w:w="701" w:type="dxa"/>
            <w:vMerge w:val="continue"/>
            <w:tcBorders>
              <w:top w:val="nil"/>
              <w:left w:val="single" w:color="000000" w:sz="4" w:space="0"/>
            </w:tcBorders>
            <w:vAlign w:val="top"/>
          </w:tcPr>
          <w:p w14:paraId="25303735">
            <w:pPr>
              <w:rPr>
                <w:rFonts w:ascii="Arial"/>
                <w:sz w:val="21"/>
              </w:rPr>
            </w:pPr>
          </w:p>
        </w:tc>
        <w:tc>
          <w:tcPr>
            <w:tcW w:w="669" w:type="dxa"/>
            <w:gridSpan w:val="2"/>
            <w:vMerge w:val="continue"/>
            <w:tcBorders>
              <w:top w:val="nil"/>
              <w:right w:val="single" w:color="000000" w:sz="4" w:space="0"/>
            </w:tcBorders>
            <w:vAlign w:val="top"/>
          </w:tcPr>
          <w:p w14:paraId="0BCB0EC8">
            <w:pPr>
              <w:rPr>
                <w:rFonts w:ascii="Arial"/>
                <w:sz w:val="21"/>
              </w:rPr>
            </w:pPr>
          </w:p>
        </w:tc>
        <w:tc>
          <w:tcPr>
            <w:tcW w:w="672" w:type="dxa"/>
            <w:vMerge w:val="continue"/>
            <w:tcBorders>
              <w:top w:val="nil"/>
              <w:left w:val="single" w:color="000000" w:sz="4" w:space="0"/>
              <w:right w:val="single" w:color="000000" w:sz="4" w:space="0"/>
            </w:tcBorders>
            <w:vAlign w:val="top"/>
          </w:tcPr>
          <w:p w14:paraId="70E701C2">
            <w:pPr>
              <w:rPr>
                <w:rFonts w:ascii="Arial"/>
                <w:sz w:val="21"/>
              </w:rPr>
            </w:pPr>
          </w:p>
        </w:tc>
        <w:tc>
          <w:tcPr>
            <w:tcW w:w="427" w:type="dxa"/>
            <w:gridSpan w:val="2"/>
            <w:vMerge w:val="continue"/>
            <w:tcBorders>
              <w:top w:val="nil"/>
              <w:left w:val="single" w:color="000000" w:sz="4" w:space="0"/>
              <w:right w:val="single" w:color="000000" w:sz="4" w:space="0"/>
            </w:tcBorders>
            <w:textDirection w:val="tbRlV"/>
            <w:vAlign w:val="top"/>
          </w:tcPr>
          <w:p w14:paraId="4B1C01CD">
            <w:pPr>
              <w:rPr>
                <w:rFonts w:ascii="Arial"/>
                <w:sz w:val="21"/>
              </w:rPr>
            </w:pPr>
          </w:p>
        </w:tc>
        <w:tc>
          <w:tcPr>
            <w:tcW w:w="427" w:type="dxa"/>
            <w:tcBorders>
              <w:left w:val="single" w:color="000000" w:sz="4" w:space="0"/>
              <w:right w:val="single" w:color="000000" w:sz="4" w:space="0"/>
            </w:tcBorders>
            <w:textDirection w:val="tbRlV"/>
            <w:vAlign w:val="top"/>
          </w:tcPr>
          <w:p w14:paraId="2F200C32">
            <w:pPr>
              <w:pStyle w:val="11"/>
              <w:spacing w:before="101" w:line="208" w:lineRule="auto"/>
              <w:ind w:left="31"/>
            </w:pPr>
            <w:r>
              <w:rPr>
                <w:spacing w:val="41"/>
              </w:rPr>
              <w:t>人工费</w:t>
            </w:r>
          </w:p>
        </w:tc>
        <w:tc>
          <w:tcPr>
            <w:tcW w:w="664" w:type="dxa"/>
            <w:gridSpan w:val="2"/>
            <w:tcBorders>
              <w:left w:val="single" w:color="000000" w:sz="4" w:space="0"/>
            </w:tcBorders>
            <w:vAlign w:val="top"/>
          </w:tcPr>
          <w:p w14:paraId="1D1A08DE">
            <w:pPr>
              <w:pStyle w:val="11"/>
              <w:spacing w:before="165" w:line="220" w:lineRule="auto"/>
              <w:ind w:left="127"/>
            </w:pPr>
            <w:r>
              <w:rPr>
                <w:spacing w:val="-2"/>
              </w:rPr>
              <w:t>材料</w:t>
            </w:r>
          </w:p>
          <w:p w14:paraId="2796B0B3">
            <w:pPr>
              <w:pStyle w:val="11"/>
              <w:spacing w:before="23" w:line="221" w:lineRule="auto"/>
              <w:ind w:left="240"/>
            </w:pPr>
            <w:r>
              <w:t>费</w:t>
            </w:r>
          </w:p>
        </w:tc>
        <w:tc>
          <w:tcPr>
            <w:tcW w:w="419" w:type="dxa"/>
            <w:tcBorders>
              <w:right w:val="single" w:color="000000" w:sz="4" w:space="0"/>
            </w:tcBorders>
            <w:textDirection w:val="tbRlV"/>
            <w:vAlign w:val="top"/>
          </w:tcPr>
          <w:p w14:paraId="30BD1F77">
            <w:pPr>
              <w:pStyle w:val="11"/>
              <w:spacing w:before="94" w:line="209" w:lineRule="auto"/>
              <w:ind w:left="31"/>
            </w:pPr>
            <w:r>
              <w:rPr>
                <w:spacing w:val="41"/>
              </w:rPr>
              <w:t>机械费</w:t>
            </w:r>
          </w:p>
        </w:tc>
        <w:tc>
          <w:tcPr>
            <w:tcW w:w="739" w:type="dxa"/>
            <w:tcBorders>
              <w:left w:val="single" w:color="000000" w:sz="4" w:space="0"/>
              <w:right w:val="single" w:color="000000" w:sz="4" w:space="0"/>
            </w:tcBorders>
            <w:vAlign w:val="top"/>
          </w:tcPr>
          <w:p w14:paraId="5A263469">
            <w:pPr>
              <w:pStyle w:val="11"/>
              <w:spacing w:before="30" w:line="241" w:lineRule="auto"/>
              <w:ind w:left="168"/>
            </w:pPr>
            <w:r>
              <w:rPr>
                <w:spacing w:val="-3"/>
              </w:rPr>
              <w:t>管理</w:t>
            </w:r>
          </w:p>
          <w:p w14:paraId="2E8964B1">
            <w:pPr>
              <w:pStyle w:val="11"/>
              <w:spacing w:line="221" w:lineRule="auto"/>
              <w:ind w:left="175"/>
            </w:pPr>
            <w:r>
              <w:rPr>
                <w:spacing w:val="-5"/>
              </w:rPr>
              <w:t>费和</w:t>
            </w:r>
          </w:p>
          <w:p w14:paraId="5DEA3598">
            <w:pPr>
              <w:pStyle w:val="11"/>
              <w:spacing w:before="16" w:line="208" w:lineRule="auto"/>
              <w:ind w:left="164"/>
            </w:pPr>
            <w:r>
              <w:rPr>
                <w:spacing w:val="-2"/>
              </w:rPr>
              <w:t>利润</w:t>
            </w:r>
          </w:p>
        </w:tc>
        <w:tc>
          <w:tcPr>
            <w:tcW w:w="844" w:type="dxa"/>
            <w:tcBorders>
              <w:left w:val="single" w:color="000000" w:sz="4" w:space="0"/>
              <w:right w:val="single" w:color="000000" w:sz="4" w:space="0"/>
            </w:tcBorders>
            <w:vAlign w:val="top"/>
          </w:tcPr>
          <w:p w14:paraId="276E89D9">
            <w:pPr>
              <w:pStyle w:val="11"/>
              <w:spacing w:before="305" w:line="221" w:lineRule="auto"/>
              <w:ind w:left="112"/>
            </w:pPr>
            <w:r>
              <w:rPr>
                <w:spacing w:val="-2"/>
              </w:rPr>
              <w:t>人工费</w:t>
            </w:r>
          </w:p>
        </w:tc>
        <w:tc>
          <w:tcPr>
            <w:tcW w:w="1343" w:type="dxa"/>
            <w:gridSpan w:val="4"/>
            <w:tcBorders>
              <w:left w:val="single" w:color="000000" w:sz="4" w:space="0"/>
              <w:right w:val="single" w:color="000000" w:sz="4" w:space="0"/>
            </w:tcBorders>
            <w:vAlign w:val="top"/>
          </w:tcPr>
          <w:p w14:paraId="75DEFED2">
            <w:pPr>
              <w:pStyle w:val="11"/>
              <w:spacing w:before="304" w:line="220" w:lineRule="auto"/>
              <w:ind w:left="366"/>
            </w:pPr>
            <w:r>
              <w:rPr>
                <w:spacing w:val="-2"/>
              </w:rPr>
              <w:t>材料费</w:t>
            </w:r>
          </w:p>
        </w:tc>
        <w:tc>
          <w:tcPr>
            <w:tcW w:w="935" w:type="dxa"/>
            <w:gridSpan w:val="2"/>
            <w:tcBorders>
              <w:left w:val="single" w:color="000000" w:sz="4" w:space="0"/>
              <w:right w:val="single" w:color="000000" w:sz="4" w:space="0"/>
            </w:tcBorders>
            <w:vAlign w:val="top"/>
          </w:tcPr>
          <w:p w14:paraId="787410BC">
            <w:pPr>
              <w:pStyle w:val="11"/>
              <w:spacing w:before="304" w:line="220" w:lineRule="auto"/>
              <w:ind w:left="156"/>
            </w:pPr>
            <w:r>
              <w:rPr>
                <w:spacing w:val="-1"/>
              </w:rPr>
              <w:t>机械费</w:t>
            </w:r>
          </w:p>
        </w:tc>
        <w:tc>
          <w:tcPr>
            <w:tcW w:w="1105" w:type="dxa"/>
            <w:tcBorders>
              <w:left w:val="single" w:color="000000" w:sz="4" w:space="0"/>
              <w:right w:val="single" w:color="000000" w:sz="4" w:space="0"/>
            </w:tcBorders>
            <w:vAlign w:val="top"/>
          </w:tcPr>
          <w:p w14:paraId="30DEE03D">
            <w:pPr>
              <w:pStyle w:val="11"/>
              <w:spacing w:before="30" w:line="241" w:lineRule="auto"/>
              <w:ind w:left="355"/>
            </w:pPr>
            <w:r>
              <w:rPr>
                <w:spacing w:val="-3"/>
              </w:rPr>
              <w:t>管理</w:t>
            </w:r>
          </w:p>
          <w:p w14:paraId="3173576F">
            <w:pPr>
              <w:pStyle w:val="11"/>
              <w:spacing w:line="221" w:lineRule="auto"/>
              <w:ind w:left="361"/>
            </w:pPr>
            <w:r>
              <w:rPr>
                <w:spacing w:val="-5"/>
              </w:rPr>
              <w:t>费和</w:t>
            </w:r>
          </w:p>
          <w:p w14:paraId="26F2915D">
            <w:pPr>
              <w:pStyle w:val="11"/>
              <w:spacing w:before="16" w:line="208" w:lineRule="auto"/>
              <w:ind w:left="351"/>
            </w:pPr>
            <w:r>
              <w:rPr>
                <w:spacing w:val="-2"/>
              </w:rPr>
              <w:t>利润</w:t>
            </w:r>
          </w:p>
        </w:tc>
      </w:tr>
      <w:tr w14:paraId="2A8EB7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1" w:hRule="atLeast"/>
        </w:trPr>
        <w:tc>
          <w:tcPr>
            <w:tcW w:w="701" w:type="dxa"/>
            <w:tcBorders>
              <w:left w:val="single" w:color="000000" w:sz="4" w:space="0"/>
            </w:tcBorders>
            <w:vAlign w:val="top"/>
          </w:tcPr>
          <w:p w14:paraId="74B74CAF">
            <w:pPr>
              <w:rPr>
                <w:rFonts w:ascii="Arial"/>
                <w:sz w:val="21"/>
              </w:rPr>
            </w:pPr>
          </w:p>
        </w:tc>
        <w:tc>
          <w:tcPr>
            <w:tcW w:w="669" w:type="dxa"/>
            <w:gridSpan w:val="2"/>
            <w:tcBorders>
              <w:right w:val="single" w:color="000000" w:sz="4" w:space="0"/>
            </w:tcBorders>
            <w:vAlign w:val="top"/>
          </w:tcPr>
          <w:p w14:paraId="1F57F6E6">
            <w:pPr>
              <w:rPr>
                <w:rFonts w:ascii="Arial"/>
                <w:sz w:val="21"/>
              </w:rPr>
            </w:pPr>
          </w:p>
        </w:tc>
        <w:tc>
          <w:tcPr>
            <w:tcW w:w="672" w:type="dxa"/>
            <w:tcBorders>
              <w:left w:val="single" w:color="000000" w:sz="4" w:space="0"/>
              <w:right w:val="single" w:color="000000" w:sz="4" w:space="0"/>
            </w:tcBorders>
            <w:vAlign w:val="top"/>
          </w:tcPr>
          <w:p w14:paraId="07C49626">
            <w:pPr>
              <w:rPr>
                <w:rFonts w:ascii="Arial"/>
                <w:sz w:val="21"/>
              </w:rPr>
            </w:pPr>
          </w:p>
        </w:tc>
        <w:tc>
          <w:tcPr>
            <w:tcW w:w="427" w:type="dxa"/>
            <w:gridSpan w:val="2"/>
            <w:tcBorders>
              <w:left w:val="single" w:color="000000" w:sz="4" w:space="0"/>
              <w:right w:val="single" w:color="000000" w:sz="4" w:space="0"/>
            </w:tcBorders>
            <w:vAlign w:val="top"/>
          </w:tcPr>
          <w:p w14:paraId="75D8B5F8">
            <w:pPr>
              <w:rPr>
                <w:rFonts w:ascii="Arial"/>
                <w:sz w:val="21"/>
              </w:rPr>
            </w:pPr>
          </w:p>
        </w:tc>
        <w:tc>
          <w:tcPr>
            <w:tcW w:w="427" w:type="dxa"/>
            <w:tcBorders>
              <w:left w:val="single" w:color="000000" w:sz="4" w:space="0"/>
              <w:right w:val="single" w:color="000000" w:sz="4" w:space="0"/>
            </w:tcBorders>
            <w:vAlign w:val="top"/>
          </w:tcPr>
          <w:p w14:paraId="4D088FA3">
            <w:pPr>
              <w:rPr>
                <w:rFonts w:ascii="Arial"/>
                <w:sz w:val="21"/>
              </w:rPr>
            </w:pPr>
          </w:p>
        </w:tc>
        <w:tc>
          <w:tcPr>
            <w:tcW w:w="664" w:type="dxa"/>
            <w:gridSpan w:val="2"/>
            <w:tcBorders>
              <w:left w:val="single" w:color="000000" w:sz="4" w:space="0"/>
            </w:tcBorders>
            <w:vAlign w:val="top"/>
          </w:tcPr>
          <w:p w14:paraId="289F9FF4">
            <w:pPr>
              <w:rPr>
                <w:rFonts w:ascii="Arial"/>
                <w:sz w:val="21"/>
              </w:rPr>
            </w:pPr>
          </w:p>
        </w:tc>
        <w:tc>
          <w:tcPr>
            <w:tcW w:w="419" w:type="dxa"/>
            <w:tcBorders>
              <w:right w:val="single" w:color="000000" w:sz="4" w:space="0"/>
            </w:tcBorders>
            <w:vAlign w:val="top"/>
          </w:tcPr>
          <w:p w14:paraId="52AC7261">
            <w:pPr>
              <w:rPr>
                <w:rFonts w:ascii="Arial"/>
                <w:sz w:val="21"/>
              </w:rPr>
            </w:pPr>
          </w:p>
        </w:tc>
        <w:tc>
          <w:tcPr>
            <w:tcW w:w="739" w:type="dxa"/>
            <w:tcBorders>
              <w:left w:val="single" w:color="000000" w:sz="4" w:space="0"/>
              <w:right w:val="single" w:color="000000" w:sz="4" w:space="0"/>
            </w:tcBorders>
            <w:vAlign w:val="top"/>
          </w:tcPr>
          <w:p w14:paraId="5CFC6BCE">
            <w:pPr>
              <w:rPr>
                <w:rFonts w:ascii="Arial"/>
                <w:sz w:val="21"/>
              </w:rPr>
            </w:pPr>
          </w:p>
        </w:tc>
        <w:tc>
          <w:tcPr>
            <w:tcW w:w="844" w:type="dxa"/>
            <w:tcBorders>
              <w:left w:val="single" w:color="000000" w:sz="4" w:space="0"/>
              <w:right w:val="single" w:color="000000" w:sz="4" w:space="0"/>
            </w:tcBorders>
            <w:vAlign w:val="top"/>
          </w:tcPr>
          <w:p w14:paraId="3184C503">
            <w:pPr>
              <w:rPr>
                <w:rFonts w:ascii="Arial"/>
                <w:sz w:val="21"/>
              </w:rPr>
            </w:pPr>
          </w:p>
        </w:tc>
        <w:tc>
          <w:tcPr>
            <w:tcW w:w="1343" w:type="dxa"/>
            <w:gridSpan w:val="4"/>
            <w:tcBorders>
              <w:left w:val="single" w:color="000000" w:sz="4" w:space="0"/>
              <w:right w:val="single" w:color="000000" w:sz="4" w:space="0"/>
            </w:tcBorders>
            <w:vAlign w:val="top"/>
          </w:tcPr>
          <w:p w14:paraId="1364BECC">
            <w:pPr>
              <w:rPr>
                <w:rFonts w:ascii="Arial"/>
                <w:sz w:val="21"/>
              </w:rPr>
            </w:pPr>
          </w:p>
        </w:tc>
        <w:tc>
          <w:tcPr>
            <w:tcW w:w="935" w:type="dxa"/>
            <w:gridSpan w:val="2"/>
            <w:tcBorders>
              <w:left w:val="single" w:color="000000" w:sz="4" w:space="0"/>
              <w:right w:val="single" w:color="000000" w:sz="4" w:space="0"/>
            </w:tcBorders>
            <w:vAlign w:val="top"/>
          </w:tcPr>
          <w:p w14:paraId="1097E3AD">
            <w:pPr>
              <w:rPr>
                <w:rFonts w:ascii="Arial"/>
                <w:sz w:val="21"/>
              </w:rPr>
            </w:pPr>
          </w:p>
        </w:tc>
        <w:tc>
          <w:tcPr>
            <w:tcW w:w="1105" w:type="dxa"/>
            <w:tcBorders>
              <w:left w:val="single" w:color="000000" w:sz="4" w:space="0"/>
              <w:right w:val="single" w:color="000000" w:sz="4" w:space="0"/>
            </w:tcBorders>
            <w:vAlign w:val="top"/>
          </w:tcPr>
          <w:p w14:paraId="5BEB17DE">
            <w:pPr>
              <w:rPr>
                <w:rFonts w:ascii="Arial"/>
                <w:sz w:val="21"/>
              </w:rPr>
            </w:pPr>
          </w:p>
        </w:tc>
      </w:tr>
      <w:tr w14:paraId="32BF7D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1" w:hRule="atLeast"/>
        </w:trPr>
        <w:tc>
          <w:tcPr>
            <w:tcW w:w="701" w:type="dxa"/>
            <w:tcBorders>
              <w:left w:val="single" w:color="000000" w:sz="4" w:space="0"/>
            </w:tcBorders>
            <w:vAlign w:val="top"/>
          </w:tcPr>
          <w:p w14:paraId="6B378092">
            <w:pPr>
              <w:rPr>
                <w:rFonts w:ascii="Arial"/>
                <w:sz w:val="21"/>
              </w:rPr>
            </w:pPr>
          </w:p>
        </w:tc>
        <w:tc>
          <w:tcPr>
            <w:tcW w:w="669" w:type="dxa"/>
            <w:gridSpan w:val="2"/>
            <w:tcBorders>
              <w:right w:val="single" w:color="000000" w:sz="4" w:space="0"/>
            </w:tcBorders>
            <w:vAlign w:val="top"/>
          </w:tcPr>
          <w:p w14:paraId="1BF6E715">
            <w:pPr>
              <w:rPr>
                <w:rFonts w:ascii="Arial"/>
                <w:sz w:val="21"/>
              </w:rPr>
            </w:pPr>
          </w:p>
        </w:tc>
        <w:tc>
          <w:tcPr>
            <w:tcW w:w="672" w:type="dxa"/>
            <w:tcBorders>
              <w:left w:val="single" w:color="000000" w:sz="4" w:space="0"/>
              <w:right w:val="single" w:color="000000" w:sz="4" w:space="0"/>
            </w:tcBorders>
            <w:vAlign w:val="top"/>
          </w:tcPr>
          <w:p w14:paraId="22752BA0">
            <w:pPr>
              <w:rPr>
                <w:rFonts w:ascii="Arial"/>
                <w:sz w:val="21"/>
              </w:rPr>
            </w:pPr>
          </w:p>
        </w:tc>
        <w:tc>
          <w:tcPr>
            <w:tcW w:w="427" w:type="dxa"/>
            <w:gridSpan w:val="2"/>
            <w:tcBorders>
              <w:left w:val="single" w:color="000000" w:sz="4" w:space="0"/>
              <w:right w:val="single" w:color="000000" w:sz="4" w:space="0"/>
            </w:tcBorders>
            <w:vAlign w:val="top"/>
          </w:tcPr>
          <w:p w14:paraId="2BD1E00A">
            <w:pPr>
              <w:rPr>
                <w:rFonts w:ascii="Arial"/>
                <w:sz w:val="21"/>
              </w:rPr>
            </w:pPr>
          </w:p>
        </w:tc>
        <w:tc>
          <w:tcPr>
            <w:tcW w:w="427" w:type="dxa"/>
            <w:tcBorders>
              <w:left w:val="single" w:color="000000" w:sz="4" w:space="0"/>
              <w:right w:val="single" w:color="000000" w:sz="4" w:space="0"/>
            </w:tcBorders>
            <w:vAlign w:val="top"/>
          </w:tcPr>
          <w:p w14:paraId="5C24EA34">
            <w:pPr>
              <w:rPr>
                <w:rFonts w:ascii="Arial"/>
                <w:sz w:val="21"/>
              </w:rPr>
            </w:pPr>
          </w:p>
        </w:tc>
        <w:tc>
          <w:tcPr>
            <w:tcW w:w="664" w:type="dxa"/>
            <w:gridSpan w:val="2"/>
            <w:tcBorders>
              <w:left w:val="single" w:color="000000" w:sz="4" w:space="0"/>
            </w:tcBorders>
            <w:vAlign w:val="top"/>
          </w:tcPr>
          <w:p w14:paraId="528DC9EA">
            <w:pPr>
              <w:rPr>
                <w:rFonts w:ascii="Arial"/>
                <w:sz w:val="21"/>
              </w:rPr>
            </w:pPr>
          </w:p>
        </w:tc>
        <w:tc>
          <w:tcPr>
            <w:tcW w:w="419" w:type="dxa"/>
            <w:tcBorders>
              <w:right w:val="single" w:color="000000" w:sz="4" w:space="0"/>
            </w:tcBorders>
            <w:vAlign w:val="top"/>
          </w:tcPr>
          <w:p w14:paraId="380B9604">
            <w:pPr>
              <w:rPr>
                <w:rFonts w:ascii="Arial"/>
                <w:sz w:val="21"/>
              </w:rPr>
            </w:pPr>
          </w:p>
        </w:tc>
        <w:tc>
          <w:tcPr>
            <w:tcW w:w="739" w:type="dxa"/>
            <w:tcBorders>
              <w:left w:val="single" w:color="000000" w:sz="4" w:space="0"/>
              <w:right w:val="single" w:color="000000" w:sz="4" w:space="0"/>
            </w:tcBorders>
            <w:vAlign w:val="top"/>
          </w:tcPr>
          <w:p w14:paraId="13094559">
            <w:pPr>
              <w:rPr>
                <w:rFonts w:ascii="Arial"/>
                <w:sz w:val="21"/>
              </w:rPr>
            </w:pPr>
          </w:p>
        </w:tc>
        <w:tc>
          <w:tcPr>
            <w:tcW w:w="844" w:type="dxa"/>
            <w:tcBorders>
              <w:left w:val="single" w:color="000000" w:sz="4" w:space="0"/>
              <w:right w:val="single" w:color="000000" w:sz="4" w:space="0"/>
            </w:tcBorders>
            <w:vAlign w:val="top"/>
          </w:tcPr>
          <w:p w14:paraId="6ED7FD0A">
            <w:pPr>
              <w:rPr>
                <w:rFonts w:ascii="Arial"/>
                <w:sz w:val="21"/>
              </w:rPr>
            </w:pPr>
          </w:p>
        </w:tc>
        <w:tc>
          <w:tcPr>
            <w:tcW w:w="1343" w:type="dxa"/>
            <w:gridSpan w:val="4"/>
            <w:tcBorders>
              <w:left w:val="single" w:color="000000" w:sz="4" w:space="0"/>
              <w:right w:val="single" w:color="000000" w:sz="4" w:space="0"/>
            </w:tcBorders>
            <w:vAlign w:val="top"/>
          </w:tcPr>
          <w:p w14:paraId="34FCAA62">
            <w:pPr>
              <w:rPr>
                <w:rFonts w:ascii="Arial"/>
                <w:sz w:val="21"/>
              </w:rPr>
            </w:pPr>
          </w:p>
        </w:tc>
        <w:tc>
          <w:tcPr>
            <w:tcW w:w="935" w:type="dxa"/>
            <w:gridSpan w:val="2"/>
            <w:tcBorders>
              <w:left w:val="single" w:color="000000" w:sz="4" w:space="0"/>
              <w:right w:val="single" w:color="000000" w:sz="4" w:space="0"/>
            </w:tcBorders>
            <w:vAlign w:val="top"/>
          </w:tcPr>
          <w:p w14:paraId="529A9690">
            <w:pPr>
              <w:rPr>
                <w:rFonts w:ascii="Arial"/>
                <w:sz w:val="21"/>
              </w:rPr>
            </w:pPr>
          </w:p>
        </w:tc>
        <w:tc>
          <w:tcPr>
            <w:tcW w:w="1105" w:type="dxa"/>
            <w:tcBorders>
              <w:left w:val="single" w:color="000000" w:sz="4" w:space="0"/>
              <w:right w:val="single" w:color="000000" w:sz="4" w:space="0"/>
            </w:tcBorders>
            <w:vAlign w:val="top"/>
          </w:tcPr>
          <w:p w14:paraId="763536FE">
            <w:pPr>
              <w:rPr>
                <w:rFonts w:ascii="Arial"/>
                <w:sz w:val="21"/>
              </w:rPr>
            </w:pPr>
          </w:p>
        </w:tc>
      </w:tr>
      <w:tr w14:paraId="215F95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1" w:hRule="atLeast"/>
        </w:trPr>
        <w:tc>
          <w:tcPr>
            <w:tcW w:w="701" w:type="dxa"/>
            <w:tcBorders>
              <w:left w:val="single" w:color="000000" w:sz="4" w:space="0"/>
            </w:tcBorders>
            <w:vAlign w:val="top"/>
          </w:tcPr>
          <w:p w14:paraId="258E75A8">
            <w:pPr>
              <w:rPr>
                <w:rFonts w:ascii="Arial"/>
                <w:sz w:val="21"/>
              </w:rPr>
            </w:pPr>
          </w:p>
        </w:tc>
        <w:tc>
          <w:tcPr>
            <w:tcW w:w="669" w:type="dxa"/>
            <w:gridSpan w:val="2"/>
            <w:tcBorders>
              <w:right w:val="single" w:color="000000" w:sz="4" w:space="0"/>
            </w:tcBorders>
            <w:vAlign w:val="top"/>
          </w:tcPr>
          <w:p w14:paraId="6A768102">
            <w:pPr>
              <w:rPr>
                <w:rFonts w:ascii="Arial"/>
                <w:sz w:val="21"/>
              </w:rPr>
            </w:pPr>
          </w:p>
        </w:tc>
        <w:tc>
          <w:tcPr>
            <w:tcW w:w="672" w:type="dxa"/>
            <w:tcBorders>
              <w:left w:val="single" w:color="000000" w:sz="4" w:space="0"/>
              <w:right w:val="single" w:color="000000" w:sz="4" w:space="0"/>
            </w:tcBorders>
            <w:vAlign w:val="top"/>
          </w:tcPr>
          <w:p w14:paraId="10FB5698">
            <w:pPr>
              <w:rPr>
                <w:rFonts w:ascii="Arial"/>
                <w:sz w:val="21"/>
              </w:rPr>
            </w:pPr>
          </w:p>
        </w:tc>
        <w:tc>
          <w:tcPr>
            <w:tcW w:w="427" w:type="dxa"/>
            <w:gridSpan w:val="2"/>
            <w:tcBorders>
              <w:left w:val="single" w:color="000000" w:sz="4" w:space="0"/>
              <w:right w:val="single" w:color="000000" w:sz="4" w:space="0"/>
            </w:tcBorders>
            <w:vAlign w:val="top"/>
          </w:tcPr>
          <w:p w14:paraId="40DC1980">
            <w:pPr>
              <w:rPr>
                <w:rFonts w:ascii="Arial"/>
                <w:sz w:val="21"/>
              </w:rPr>
            </w:pPr>
          </w:p>
        </w:tc>
        <w:tc>
          <w:tcPr>
            <w:tcW w:w="427" w:type="dxa"/>
            <w:tcBorders>
              <w:left w:val="single" w:color="000000" w:sz="4" w:space="0"/>
              <w:right w:val="single" w:color="000000" w:sz="4" w:space="0"/>
            </w:tcBorders>
            <w:vAlign w:val="top"/>
          </w:tcPr>
          <w:p w14:paraId="1FFABCAB">
            <w:pPr>
              <w:rPr>
                <w:rFonts w:ascii="Arial"/>
                <w:sz w:val="21"/>
              </w:rPr>
            </w:pPr>
          </w:p>
        </w:tc>
        <w:tc>
          <w:tcPr>
            <w:tcW w:w="664" w:type="dxa"/>
            <w:gridSpan w:val="2"/>
            <w:tcBorders>
              <w:left w:val="single" w:color="000000" w:sz="4" w:space="0"/>
            </w:tcBorders>
            <w:vAlign w:val="top"/>
          </w:tcPr>
          <w:p w14:paraId="30BAE5F3">
            <w:pPr>
              <w:rPr>
                <w:rFonts w:ascii="Arial"/>
                <w:sz w:val="21"/>
              </w:rPr>
            </w:pPr>
          </w:p>
        </w:tc>
        <w:tc>
          <w:tcPr>
            <w:tcW w:w="419" w:type="dxa"/>
            <w:tcBorders>
              <w:right w:val="single" w:color="000000" w:sz="4" w:space="0"/>
            </w:tcBorders>
            <w:vAlign w:val="top"/>
          </w:tcPr>
          <w:p w14:paraId="688CFF8A">
            <w:pPr>
              <w:rPr>
                <w:rFonts w:ascii="Arial"/>
                <w:sz w:val="21"/>
              </w:rPr>
            </w:pPr>
          </w:p>
        </w:tc>
        <w:tc>
          <w:tcPr>
            <w:tcW w:w="739" w:type="dxa"/>
            <w:tcBorders>
              <w:left w:val="single" w:color="000000" w:sz="4" w:space="0"/>
              <w:right w:val="single" w:color="000000" w:sz="4" w:space="0"/>
            </w:tcBorders>
            <w:vAlign w:val="top"/>
          </w:tcPr>
          <w:p w14:paraId="569D640B">
            <w:pPr>
              <w:rPr>
                <w:rFonts w:ascii="Arial"/>
                <w:sz w:val="21"/>
              </w:rPr>
            </w:pPr>
          </w:p>
        </w:tc>
        <w:tc>
          <w:tcPr>
            <w:tcW w:w="844" w:type="dxa"/>
            <w:tcBorders>
              <w:left w:val="single" w:color="000000" w:sz="4" w:space="0"/>
              <w:right w:val="single" w:color="000000" w:sz="4" w:space="0"/>
            </w:tcBorders>
            <w:vAlign w:val="top"/>
          </w:tcPr>
          <w:p w14:paraId="23EABD1C">
            <w:pPr>
              <w:rPr>
                <w:rFonts w:ascii="Arial"/>
                <w:sz w:val="21"/>
              </w:rPr>
            </w:pPr>
          </w:p>
        </w:tc>
        <w:tc>
          <w:tcPr>
            <w:tcW w:w="1343" w:type="dxa"/>
            <w:gridSpan w:val="4"/>
            <w:tcBorders>
              <w:left w:val="single" w:color="000000" w:sz="4" w:space="0"/>
              <w:right w:val="single" w:color="000000" w:sz="4" w:space="0"/>
            </w:tcBorders>
            <w:vAlign w:val="top"/>
          </w:tcPr>
          <w:p w14:paraId="5B8D9404">
            <w:pPr>
              <w:rPr>
                <w:rFonts w:ascii="Arial"/>
                <w:sz w:val="21"/>
              </w:rPr>
            </w:pPr>
          </w:p>
        </w:tc>
        <w:tc>
          <w:tcPr>
            <w:tcW w:w="935" w:type="dxa"/>
            <w:gridSpan w:val="2"/>
            <w:tcBorders>
              <w:left w:val="single" w:color="000000" w:sz="4" w:space="0"/>
              <w:right w:val="single" w:color="000000" w:sz="4" w:space="0"/>
            </w:tcBorders>
            <w:vAlign w:val="top"/>
          </w:tcPr>
          <w:p w14:paraId="24ADD3E0">
            <w:pPr>
              <w:rPr>
                <w:rFonts w:ascii="Arial"/>
                <w:sz w:val="21"/>
              </w:rPr>
            </w:pPr>
          </w:p>
        </w:tc>
        <w:tc>
          <w:tcPr>
            <w:tcW w:w="1105" w:type="dxa"/>
            <w:tcBorders>
              <w:left w:val="single" w:color="000000" w:sz="4" w:space="0"/>
              <w:right w:val="single" w:color="000000" w:sz="4" w:space="0"/>
            </w:tcBorders>
            <w:vAlign w:val="top"/>
          </w:tcPr>
          <w:p w14:paraId="63A91F9E">
            <w:pPr>
              <w:rPr>
                <w:rFonts w:ascii="Arial"/>
                <w:sz w:val="21"/>
              </w:rPr>
            </w:pPr>
          </w:p>
        </w:tc>
      </w:tr>
      <w:tr w14:paraId="776B15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6" w:hRule="atLeast"/>
        </w:trPr>
        <w:tc>
          <w:tcPr>
            <w:tcW w:w="701" w:type="dxa"/>
            <w:tcBorders>
              <w:left w:val="single" w:color="000000" w:sz="4" w:space="0"/>
            </w:tcBorders>
            <w:vAlign w:val="top"/>
          </w:tcPr>
          <w:p w14:paraId="30A902D2">
            <w:pPr>
              <w:rPr>
                <w:rFonts w:ascii="Arial"/>
                <w:sz w:val="21"/>
              </w:rPr>
            </w:pPr>
          </w:p>
        </w:tc>
        <w:tc>
          <w:tcPr>
            <w:tcW w:w="669" w:type="dxa"/>
            <w:gridSpan w:val="2"/>
            <w:tcBorders>
              <w:right w:val="single" w:color="000000" w:sz="4" w:space="0"/>
            </w:tcBorders>
            <w:vAlign w:val="top"/>
          </w:tcPr>
          <w:p w14:paraId="4C9B939A">
            <w:pPr>
              <w:rPr>
                <w:rFonts w:ascii="Arial"/>
                <w:sz w:val="21"/>
              </w:rPr>
            </w:pPr>
          </w:p>
        </w:tc>
        <w:tc>
          <w:tcPr>
            <w:tcW w:w="672" w:type="dxa"/>
            <w:tcBorders>
              <w:left w:val="single" w:color="000000" w:sz="4" w:space="0"/>
              <w:right w:val="single" w:color="000000" w:sz="4" w:space="0"/>
            </w:tcBorders>
            <w:vAlign w:val="top"/>
          </w:tcPr>
          <w:p w14:paraId="09CAA249">
            <w:pPr>
              <w:rPr>
                <w:rFonts w:ascii="Arial"/>
                <w:sz w:val="21"/>
              </w:rPr>
            </w:pPr>
          </w:p>
        </w:tc>
        <w:tc>
          <w:tcPr>
            <w:tcW w:w="427" w:type="dxa"/>
            <w:gridSpan w:val="2"/>
            <w:tcBorders>
              <w:left w:val="single" w:color="000000" w:sz="4" w:space="0"/>
              <w:right w:val="single" w:color="000000" w:sz="4" w:space="0"/>
            </w:tcBorders>
            <w:vAlign w:val="top"/>
          </w:tcPr>
          <w:p w14:paraId="3F54C80B">
            <w:pPr>
              <w:rPr>
                <w:rFonts w:ascii="Arial"/>
                <w:sz w:val="21"/>
              </w:rPr>
            </w:pPr>
          </w:p>
        </w:tc>
        <w:tc>
          <w:tcPr>
            <w:tcW w:w="427" w:type="dxa"/>
            <w:tcBorders>
              <w:left w:val="single" w:color="000000" w:sz="4" w:space="0"/>
              <w:right w:val="single" w:color="000000" w:sz="4" w:space="0"/>
            </w:tcBorders>
            <w:vAlign w:val="top"/>
          </w:tcPr>
          <w:p w14:paraId="0A304976">
            <w:pPr>
              <w:rPr>
                <w:rFonts w:ascii="Arial"/>
                <w:sz w:val="21"/>
              </w:rPr>
            </w:pPr>
          </w:p>
        </w:tc>
        <w:tc>
          <w:tcPr>
            <w:tcW w:w="664" w:type="dxa"/>
            <w:gridSpan w:val="2"/>
            <w:tcBorders>
              <w:left w:val="single" w:color="000000" w:sz="4" w:space="0"/>
            </w:tcBorders>
            <w:vAlign w:val="top"/>
          </w:tcPr>
          <w:p w14:paraId="7DA4C510">
            <w:pPr>
              <w:rPr>
                <w:rFonts w:ascii="Arial"/>
                <w:sz w:val="21"/>
              </w:rPr>
            </w:pPr>
          </w:p>
        </w:tc>
        <w:tc>
          <w:tcPr>
            <w:tcW w:w="419" w:type="dxa"/>
            <w:tcBorders>
              <w:right w:val="single" w:color="000000" w:sz="4" w:space="0"/>
            </w:tcBorders>
            <w:vAlign w:val="top"/>
          </w:tcPr>
          <w:p w14:paraId="23A06385">
            <w:pPr>
              <w:rPr>
                <w:rFonts w:ascii="Arial"/>
                <w:sz w:val="21"/>
              </w:rPr>
            </w:pPr>
          </w:p>
        </w:tc>
        <w:tc>
          <w:tcPr>
            <w:tcW w:w="739" w:type="dxa"/>
            <w:tcBorders>
              <w:left w:val="single" w:color="000000" w:sz="4" w:space="0"/>
              <w:right w:val="single" w:color="000000" w:sz="4" w:space="0"/>
            </w:tcBorders>
            <w:vAlign w:val="top"/>
          </w:tcPr>
          <w:p w14:paraId="1CF8E6B1">
            <w:pPr>
              <w:rPr>
                <w:rFonts w:ascii="Arial"/>
                <w:sz w:val="21"/>
              </w:rPr>
            </w:pPr>
          </w:p>
        </w:tc>
        <w:tc>
          <w:tcPr>
            <w:tcW w:w="844" w:type="dxa"/>
            <w:tcBorders>
              <w:left w:val="single" w:color="000000" w:sz="4" w:space="0"/>
              <w:right w:val="single" w:color="000000" w:sz="4" w:space="0"/>
            </w:tcBorders>
            <w:vAlign w:val="top"/>
          </w:tcPr>
          <w:p w14:paraId="5E286408">
            <w:pPr>
              <w:rPr>
                <w:rFonts w:ascii="Arial"/>
                <w:sz w:val="21"/>
              </w:rPr>
            </w:pPr>
          </w:p>
        </w:tc>
        <w:tc>
          <w:tcPr>
            <w:tcW w:w="1343" w:type="dxa"/>
            <w:gridSpan w:val="4"/>
            <w:tcBorders>
              <w:left w:val="single" w:color="000000" w:sz="4" w:space="0"/>
              <w:right w:val="single" w:color="000000" w:sz="4" w:space="0"/>
            </w:tcBorders>
            <w:vAlign w:val="top"/>
          </w:tcPr>
          <w:p w14:paraId="28628CBF">
            <w:pPr>
              <w:rPr>
                <w:rFonts w:ascii="Arial"/>
                <w:sz w:val="21"/>
              </w:rPr>
            </w:pPr>
          </w:p>
        </w:tc>
        <w:tc>
          <w:tcPr>
            <w:tcW w:w="935" w:type="dxa"/>
            <w:gridSpan w:val="2"/>
            <w:tcBorders>
              <w:left w:val="single" w:color="000000" w:sz="4" w:space="0"/>
              <w:right w:val="single" w:color="000000" w:sz="4" w:space="0"/>
            </w:tcBorders>
            <w:vAlign w:val="top"/>
          </w:tcPr>
          <w:p w14:paraId="40165F05">
            <w:pPr>
              <w:rPr>
                <w:rFonts w:ascii="Arial"/>
                <w:sz w:val="21"/>
              </w:rPr>
            </w:pPr>
          </w:p>
        </w:tc>
        <w:tc>
          <w:tcPr>
            <w:tcW w:w="1105" w:type="dxa"/>
            <w:tcBorders>
              <w:left w:val="single" w:color="000000" w:sz="4" w:space="0"/>
              <w:right w:val="single" w:color="000000" w:sz="4" w:space="0"/>
            </w:tcBorders>
            <w:vAlign w:val="top"/>
          </w:tcPr>
          <w:p w14:paraId="3319010A">
            <w:pPr>
              <w:rPr>
                <w:rFonts w:ascii="Arial"/>
                <w:sz w:val="21"/>
              </w:rPr>
            </w:pPr>
          </w:p>
        </w:tc>
      </w:tr>
      <w:tr w14:paraId="75042E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1" w:hRule="atLeast"/>
        </w:trPr>
        <w:tc>
          <w:tcPr>
            <w:tcW w:w="1370" w:type="dxa"/>
            <w:gridSpan w:val="3"/>
            <w:tcBorders>
              <w:left w:val="single" w:color="000000" w:sz="4" w:space="0"/>
              <w:right w:val="single" w:color="000000" w:sz="4" w:space="0"/>
            </w:tcBorders>
            <w:vAlign w:val="top"/>
          </w:tcPr>
          <w:p w14:paraId="6F34D7D3">
            <w:pPr>
              <w:pStyle w:val="11"/>
              <w:spacing w:before="173" w:line="219" w:lineRule="auto"/>
              <w:ind w:left="273"/>
            </w:pPr>
            <w:r>
              <w:rPr>
                <w:spacing w:val="-1"/>
              </w:rPr>
              <w:t>人工单价</w:t>
            </w:r>
          </w:p>
        </w:tc>
        <w:tc>
          <w:tcPr>
            <w:tcW w:w="3348" w:type="dxa"/>
            <w:gridSpan w:val="8"/>
            <w:tcBorders>
              <w:left w:val="single" w:color="000000" w:sz="4" w:space="0"/>
              <w:right w:val="single" w:color="000000" w:sz="4" w:space="0"/>
            </w:tcBorders>
            <w:vAlign w:val="top"/>
          </w:tcPr>
          <w:p w14:paraId="772FC673">
            <w:pPr>
              <w:pStyle w:val="11"/>
              <w:spacing w:before="173" w:line="222" w:lineRule="auto"/>
              <w:ind w:left="1477"/>
            </w:pPr>
            <w:r>
              <w:rPr>
                <w:spacing w:val="-3"/>
              </w:rPr>
              <w:t>小计</w:t>
            </w:r>
          </w:p>
        </w:tc>
        <w:tc>
          <w:tcPr>
            <w:tcW w:w="844" w:type="dxa"/>
            <w:tcBorders>
              <w:left w:val="single" w:color="000000" w:sz="4" w:space="0"/>
              <w:right w:val="single" w:color="000000" w:sz="4" w:space="0"/>
            </w:tcBorders>
            <w:vAlign w:val="top"/>
          </w:tcPr>
          <w:p w14:paraId="24EFD6BB">
            <w:pPr>
              <w:rPr>
                <w:rFonts w:ascii="Arial"/>
                <w:sz w:val="21"/>
              </w:rPr>
            </w:pPr>
          </w:p>
        </w:tc>
        <w:tc>
          <w:tcPr>
            <w:tcW w:w="1343" w:type="dxa"/>
            <w:gridSpan w:val="4"/>
            <w:tcBorders>
              <w:left w:val="single" w:color="000000" w:sz="4" w:space="0"/>
              <w:right w:val="single" w:color="000000" w:sz="4" w:space="0"/>
            </w:tcBorders>
            <w:vAlign w:val="top"/>
          </w:tcPr>
          <w:p w14:paraId="387D8778">
            <w:pPr>
              <w:rPr>
                <w:rFonts w:ascii="Arial"/>
                <w:sz w:val="21"/>
              </w:rPr>
            </w:pPr>
          </w:p>
        </w:tc>
        <w:tc>
          <w:tcPr>
            <w:tcW w:w="935" w:type="dxa"/>
            <w:gridSpan w:val="2"/>
            <w:tcBorders>
              <w:left w:val="single" w:color="000000" w:sz="4" w:space="0"/>
              <w:right w:val="single" w:color="000000" w:sz="4" w:space="0"/>
            </w:tcBorders>
            <w:vAlign w:val="top"/>
          </w:tcPr>
          <w:p w14:paraId="690CF6DB">
            <w:pPr>
              <w:rPr>
                <w:rFonts w:ascii="Arial"/>
                <w:sz w:val="21"/>
              </w:rPr>
            </w:pPr>
          </w:p>
        </w:tc>
        <w:tc>
          <w:tcPr>
            <w:tcW w:w="1105" w:type="dxa"/>
            <w:tcBorders>
              <w:left w:val="single" w:color="000000" w:sz="4" w:space="0"/>
              <w:right w:val="single" w:color="000000" w:sz="4" w:space="0"/>
            </w:tcBorders>
            <w:vAlign w:val="top"/>
          </w:tcPr>
          <w:p w14:paraId="7ABC7729">
            <w:pPr>
              <w:rPr>
                <w:rFonts w:ascii="Arial"/>
                <w:sz w:val="21"/>
              </w:rPr>
            </w:pPr>
          </w:p>
        </w:tc>
      </w:tr>
      <w:tr w14:paraId="6D75E3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1" w:hRule="atLeast"/>
        </w:trPr>
        <w:tc>
          <w:tcPr>
            <w:tcW w:w="1370" w:type="dxa"/>
            <w:gridSpan w:val="3"/>
            <w:tcBorders>
              <w:left w:val="single" w:color="000000" w:sz="4" w:space="0"/>
              <w:right w:val="single" w:color="000000" w:sz="4" w:space="0"/>
            </w:tcBorders>
            <w:vAlign w:val="top"/>
          </w:tcPr>
          <w:p w14:paraId="489A44F3">
            <w:pPr>
              <w:pStyle w:val="11"/>
              <w:spacing w:before="174" w:line="235" w:lineRule="auto"/>
              <w:ind w:left="456"/>
            </w:pPr>
            <w:r>
              <w:rPr>
                <w:spacing w:val="-2"/>
              </w:rPr>
              <w:t>元</w:t>
            </w:r>
            <w:r>
              <w:rPr>
                <w:rFonts w:ascii="Times New Roman" w:hAnsi="Times New Roman" w:eastAsia="Times New Roman" w:cs="Times New Roman"/>
                <w:spacing w:val="-2"/>
              </w:rPr>
              <w:t>/</w:t>
            </w:r>
            <w:r>
              <w:rPr>
                <w:spacing w:val="-2"/>
              </w:rPr>
              <w:t>工日</w:t>
            </w:r>
          </w:p>
        </w:tc>
        <w:tc>
          <w:tcPr>
            <w:tcW w:w="3348" w:type="dxa"/>
            <w:gridSpan w:val="8"/>
            <w:tcBorders>
              <w:left w:val="single" w:color="000000" w:sz="4" w:space="0"/>
              <w:right w:val="single" w:color="000000" w:sz="4" w:space="0"/>
            </w:tcBorders>
            <w:vAlign w:val="top"/>
          </w:tcPr>
          <w:p w14:paraId="40754E07">
            <w:pPr>
              <w:pStyle w:val="11"/>
              <w:spacing w:before="174" w:line="219" w:lineRule="auto"/>
              <w:ind w:left="1051"/>
            </w:pPr>
            <w:r>
              <w:rPr>
                <w:spacing w:val="-1"/>
              </w:rPr>
              <w:t>未计价材料费</w:t>
            </w:r>
          </w:p>
        </w:tc>
        <w:tc>
          <w:tcPr>
            <w:tcW w:w="4227" w:type="dxa"/>
            <w:gridSpan w:val="8"/>
            <w:tcBorders>
              <w:left w:val="single" w:color="000000" w:sz="4" w:space="0"/>
              <w:right w:val="single" w:color="000000" w:sz="4" w:space="0"/>
            </w:tcBorders>
            <w:vAlign w:val="top"/>
          </w:tcPr>
          <w:p w14:paraId="0104D32C">
            <w:pPr>
              <w:rPr>
                <w:rFonts w:ascii="Arial"/>
                <w:sz w:val="21"/>
              </w:rPr>
            </w:pPr>
          </w:p>
        </w:tc>
      </w:tr>
      <w:tr w14:paraId="046BED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1" w:hRule="atLeast"/>
        </w:trPr>
        <w:tc>
          <w:tcPr>
            <w:tcW w:w="4718" w:type="dxa"/>
            <w:gridSpan w:val="11"/>
            <w:tcBorders>
              <w:left w:val="single" w:color="000000" w:sz="4" w:space="0"/>
              <w:right w:val="single" w:color="000000" w:sz="4" w:space="0"/>
            </w:tcBorders>
            <w:vAlign w:val="top"/>
          </w:tcPr>
          <w:p w14:paraId="7C9C2FEC">
            <w:pPr>
              <w:pStyle w:val="11"/>
              <w:spacing w:before="174" w:line="219" w:lineRule="auto"/>
              <w:ind w:left="1525"/>
            </w:pPr>
            <w:r>
              <w:rPr>
                <w:spacing w:val="-1"/>
              </w:rPr>
              <w:t>清单项目综合单价</w:t>
            </w:r>
          </w:p>
        </w:tc>
        <w:tc>
          <w:tcPr>
            <w:tcW w:w="4227" w:type="dxa"/>
            <w:gridSpan w:val="8"/>
            <w:tcBorders>
              <w:left w:val="single" w:color="000000" w:sz="4" w:space="0"/>
              <w:right w:val="single" w:color="000000" w:sz="4" w:space="0"/>
            </w:tcBorders>
            <w:vAlign w:val="top"/>
          </w:tcPr>
          <w:p w14:paraId="7F405D71">
            <w:pPr>
              <w:rPr>
                <w:rFonts w:ascii="Arial"/>
                <w:sz w:val="21"/>
              </w:rPr>
            </w:pPr>
          </w:p>
        </w:tc>
      </w:tr>
      <w:tr w14:paraId="0170E3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1" w:hRule="atLeast"/>
        </w:trPr>
        <w:tc>
          <w:tcPr>
            <w:tcW w:w="701" w:type="dxa"/>
            <w:vMerge w:val="restart"/>
            <w:tcBorders>
              <w:left w:val="single" w:color="000000" w:sz="4" w:space="0"/>
              <w:bottom w:val="nil"/>
            </w:tcBorders>
            <w:textDirection w:val="tbRlV"/>
            <w:vAlign w:val="top"/>
          </w:tcPr>
          <w:p w14:paraId="66B09778">
            <w:pPr>
              <w:pStyle w:val="11"/>
              <w:spacing w:before="242" w:line="208" w:lineRule="auto"/>
              <w:ind w:left="1331"/>
            </w:pPr>
            <w:r>
              <w:rPr>
                <w:spacing w:val="1"/>
              </w:rPr>
              <w:t>材</w:t>
            </w:r>
            <w:r>
              <w:rPr>
                <w:spacing w:val="-43"/>
              </w:rPr>
              <w:t xml:space="preserve"> </w:t>
            </w:r>
            <w:r>
              <w:rPr>
                <w:spacing w:val="1"/>
              </w:rPr>
              <w:t>料</w:t>
            </w:r>
            <w:r>
              <w:rPr>
                <w:spacing w:val="-43"/>
              </w:rPr>
              <w:t xml:space="preserve"> </w:t>
            </w:r>
            <w:r>
              <w:rPr>
                <w:spacing w:val="1"/>
              </w:rPr>
              <w:t>费</w:t>
            </w:r>
            <w:r>
              <w:rPr>
                <w:spacing w:val="-47"/>
              </w:rPr>
              <w:t xml:space="preserve"> </w:t>
            </w:r>
            <w:r>
              <w:rPr>
                <w:spacing w:val="1"/>
              </w:rPr>
              <w:t>明</w:t>
            </w:r>
            <w:r>
              <w:rPr>
                <w:spacing w:val="-42"/>
              </w:rPr>
              <w:t xml:space="preserve"> </w:t>
            </w:r>
            <w:r>
              <w:rPr>
                <w:spacing w:val="1"/>
              </w:rPr>
              <w:t>细</w:t>
            </w:r>
          </w:p>
        </w:tc>
        <w:tc>
          <w:tcPr>
            <w:tcW w:w="2195" w:type="dxa"/>
            <w:gridSpan w:val="6"/>
            <w:tcBorders>
              <w:right w:val="single" w:color="000000" w:sz="4" w:space="0"/>
            </w:tcBorders>
            <w:vAlign w:val="top"/>
          </w:tcPr>
          <w:p w14:paraId="5A1D3212">
            <w:pPr>
              <w:pStyle w:val="11"/>
              <w:spacing w:before="41" w:line="224" w:lineRule="auto"/>
              <w:ind w:left="681" w:right="250" w:hanging="420"/>
            </w:pPr>
            <w:r>
              <w:rPr>
                <w:spacing w:val="-1"/>
              </w:rPr>
              <w:t>主要材料名称、规</w:t>
            </w:r>
            <w:r>
              <w:rPr>
                <w:spacing w:val="1"/>
              </w:rPr>
              <w:t xml:space="preserve"> </w:t>
            </w:r>
            <w:r>
              <w:rPr>
                <w:spacing w:val="-1"/>
              </w:rPr>
              <w:t>格、型号</w:t>
            </w:r>
          </w:p>
        </w:tc>
        <w:tc>
          <w:tcPr>
            <w:tcW w:w="664" w:type="dxa"/>
            <w:gridSpan w:val="2"/>
            <w:tcBorders>
              <w:left w:val="single" w:color="000000" w:sz="4" w:space="0"/>
            </w:tcBorders>
            <w:vAlign w:val="top"/>
          </w:tcPr>
          <w:p w14:paraId="48801F36">
            <w:pPr>
              <w:pStyle w:val="11"/>
              <w:spacing w:before="175" w:line="221" w:lineRule="auto"/>
              <w:ind w:left="129"/>
            </w:pPr>
            <w:r>
              <w:rPr>
                <w:spacing w:val="-2"/>
              </w:rPr>
              <w:t>单位</w:t>
            </w:r>
          </w:p>
        </w:tc>
        <w:tc>
          <w:tcPr>
            <w:tcW w:w="1158" w:type="dxa"/>
            <w:gridSpan w:val="2"/>
            <w:tcBorders>
              <w:right w:val="single" w:color="000000" w:sz="4" w:space="0"/>
            </w:tcBorders>
            <w:vAlign w:val="top"/>
          </w:tcPr>
          <w:p w14:paraId="6979EB08">
            <w:pPr>
              <w:pStyle w:val="11"/>
              <w:spacing w:before="174" w:line="221" w:lineRule="auto"/>
              <w:ind w:left="379"/>
            </w:pPr>
            <w:r>
              <w:rPr>
                <w:spacing w:val="-2"/>
              </w:rPr>
              <w:t>数量</w:t>
            </w:r>
          </w:p>
        </w:tc>
        <w:tc>
          <w:tcPr>
            <w:tcW w:w="844" w:type="dxa"/>
            <w:tcBorders>
              <w:left w:val="single" w:color="000000" w:sz="4" w:space="0"/>
              <w:right w:val="single" w:color="000000" w:sz="4" w:space="0"/>
            </w:tcBorders>
            <w:vAlign w:val="top"/>
          </w:tcPr>
          <w:p w14:paraId="27032624">
            <w:pPr>
              <w:pStyle w:val="11"/>
              <w:spacing w:before="41" w:line="224" w:lineRule="auto"/>
              <w:ind w:left="117" w:right="112" w:firstLine="100"/>
            </w:pPr>
            <w:r>
              <w:rPr>
                <w:spacing w:val="-4"/>
              </w:rPr>
              <w:t>单价</w:t>
            </w:r>
            <w:r>
              <w:t xml:space="preserve">  </w:t>
            </w:r>
            <w:r>
              <w:rPr>
                <w:spacing w:val="-9"/>
              </w:rPr>
              <w:t>（元）</w:t>
            </w:r>
          </w:p>
        </w:tc>
        <w:tc>
          <w:tcPr>
            <w:tcW w:w="1005" w:type="dxa"/>
            <w:gridSpan w:val="3"/>
            <w:tcBorders>
              <w:left w:val="single" w:color="000000" w:sz="4" w:space="0"/>
            </w:tcBorders>
            <w:vAlign w:val="top"/>
          </w:tcPr>
          <w:p w14:paraId="08C359AF">
            <w:pPr>
              <w:pStyle w:val="11"/>
              <w:spacing w:before="41" w:line="224" w:lineRule="auto"/>
              <w:ind w:left="200" w:right="192" w:firstLine="100"/>
            </w:pPr>
            <w:r>
              <w:rPr>
                <w:spacing w:val="-4"/>
              </w:rPr>
              <w:t>合价</w:t>
            </w:r>
            <w:r>
              <w:t xml:space="preserve">  </w:t>
            </w:r>
            <w:r>
              <w:rPr>
                <w:spacing w:val="-9"/>
              </w:rPr>
              <w:t>（元）</w:t>
            </w:r>
          </w:p>
        </w:tc>
        <w:tc>
          <w:tcPr>
            <w:tcW w:w="1273" w:type="dxa"/>
            <w:gridSpan w:val="3"/>
            <w:tcBorders>
              <w:right w:val="single" w:color="000000" w:sz="4" w:space="0"/>
            </w:tcBorders>
            <w:vAlign w:val="top"/>
          </w:tcPr>
          <w:p w14:paraId="10BE0B96">
            <w:pPr>
              <w:pStyle w:val="11"/>
              <w:spacing w:before="41" w:line="224" w:lineRule="auto"/>
              <w:ind w:left="340" w:right="200" w:hanging="105"/>
            </w:pPr>
            <w:r>
              <w:rPr>
                <w:spacing w:val="-3"/>
              </w:rPr>
              <w:t>暂估单价</w:t>
            </w:r>
            <w:r>
              <w:rPr>
                <w:spacing w:val="1"/>
              </w:rPr>
              <w:t xml:space="preserve"> </w:t>
            </w:r>
            <w:r>
              <w:rPr>
                <w:spacing w:val="-6"/>
              </w:rPr>
              <w:t>（元）</w:t>
            </w:r>
          </w:p>
        </w:tc>
        <w:tc>
          <w:tcPr>
            <w:tcW w:w="1105" w:type="dxa"/>
            <w:tcBorders>
              <w:left w:val="single" w:color="000000" w:sz="4" w:space="0"/>
              <w:right w:val="single" w:color="000000" w:sz="4" w:space="0"/>
            </w:tcBorders>
            <w:vAlign w:val="top"/>
          </w:tcPr>
          <w:p w14:paraId="67B895C9">
            <w:pPr>
              <w:pStyle w:val="11"/>
              <w:spacing w:before="41" w:line="224" w:lineRule="auto"/>
              <w:ind w:left="250" w:right="119" w:hanging="105"/>
            </w:pPr>
            <w:r>
              <w:rPr>
                <w:spacing w:val="-3"/>
              </w:rPr>
              <w:t>暂估合价</w:t>
            </w:r>
            <w:r>
              <w:rPr>
                <w:spacing w:val="1"/>
              </w:rPr>
              <w:t xml:space="preserve"> </w:t>
            </w:r>
            <w:r>
              <w:rPr>
                <w:spacing w:val="-6"/>
              </w:rPr>
              <w:t>（元）</w:t>
            </w:r>
          </w:p>
        </w:tc>
      </w:tr>
      <w:tr w14:paraId="7FB412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1" w:hRule="atLeast"/>
        </w:trPr>
        <w:tc>
          <w:tcPr>
            <w:tcW w:w="701" w:type="dxa"/>
            <w:vMerge w:val="continue"/>
            <w:tcBorders>
              <w:top w:val="nil"/>
              <w:left w:val="single" w:color="000000" w:sz="4" w:space="0"/>
              <w:bottom w:val="nil"/>
            </w:tcBorders>
            <w:textDirection w:val="tbRlV"/>
            <w:vAlign w:val="top"/>
          </w:tcPr>
          <w:p w14:paraId="647E8274">
            <w:pPr>
              <w:rPr>
                <w:rFonts w:ascii="Arial"/>
                <w:sz w:val="21"/>
              </w:rPr>
            </w:pPr>
          </w:p>
        </w:tc>
        <w:tc>
          <w:tcPr>
            <w:tcW w:w="2195" w:type="dxa"/>
            <w:gridSpan w:val="6"/>
            <w:tcBorders>
              <w:right w:val="single" w:color="000000" w:sz="4" w:space="0"/>
            </w:tcBorders>
            <w:vAlign w:val="top"/>
          </w:tcPr>
          <w:p w14:paraId="4D65053C">
            <w:pPr>
              <w:rPr>
                <w:rFonts w:ascii="Arial"/>
                <w:sz w:val="21"/>
              </w:rPr>
            </w:pPr>
          </w:p>
        </w:tc>
        <w:tc>
          <w:tcPr>
            <w:tcW w:w="664" w:type="dxa"/>
            <w:gridSpan w:val="2"/>
            <w:tcBorders>
              <w:left w:val="single" w:color="000000" w:sz="4" w:space="0"/>
            </w:tcBorders>
            <w:vAlign w:val="top"/>
          </w:tcPr>
          <w:p w14:paraId="0CE9385B">
            <w:pPr>
              <w:rPr>
                <w:rFonts w:ascii="Arial"/>
                <w:sz w:val="21"/>
              </w:rPr>
            </w:pPr>
          </w:p>
        </w:tc>
        <w:tc>
          <w:tcPr>
            <w:tcW w:w="1158" w:type="dxa"/>
            <w:gridSpan w:val="2"/>
            <w:tcBorders>
              <w:right w:val="single" w:color="000000" w:sz="4" w:space="0"/>
            </w:tcBorders>
            <w:vAlign w:val="top"/>
          </w:tcPr>
          <w:p w14:paraId="7E11EB6B">
            <w:pPr>
              <w:rPr>
                <w:rFonts w:ascii="Arial"/>
                <w:sz w:val="21"/>
              </w:rPr>
            </w:pPr>
          </w:p>
        </w:tc>
        <w:tc>
          <w:tcPr>
            <w:tcW w:w="844" w:type="dxa"/>
            <w:tcBorders>
              <w:left w:val="single" w:color="000000" w:sz="4" w:space="0"/>
              <w:right w:val="single" w:color="000000" w:sz="4" w:space="0"/>
            </w:tcBorders>
            <w:vAlign w:val="top"/>
          </w:tcPr>
          <w:p w14:paraId="4121CCFD">
            <w:pPr>
              <w:rPr>
                <w:rFonts w:ascii="Arial"/>
                <w:sz w:val="21"/>
              </w:rPr>
            </w:pPr>
          </w:p>
        </w:tc>
        <w:tc>
          <w:tcPr>
            <w:tcW w:w="1005" w:type="dxa"/>
            <w:gridSpan w:val="3"/>
            <w:tcBorders>
              <w:left w:val="single" w:color="000000" w:sz="4" w:space="0"/>
            </w:tcBorders>
            <w:vAlign w:val="top"/>
          </w:tcPr>
          <w:p w14:paraId="0778EB97">
            <w:pPr>
              <w:rPr>
                <w:rFonts w:ascii="Arial"/>
                <w:sz w:val="21"/>
              </w:rPr>
            </w:pPr>
          </w:p>
        </w:tc>
        <w:tc>
          <w:tcPr>
            <w:tcW w:w="1273" w:type="dxa"/>
            <w:gridSpan w:val="3"/>
            <w:tcBorders>
              <w:right w:val="single" w:color="000000" w:sz="4" w:space="0"/>
            </w:tcBorders>
            <w:vAlign w:val="top"/>
          </w:tcPr>
          <w:p w14:paraId="57292807">
            <w:pPr>
              <w:rPr>
                <w:rFonts w:ascii="Arial"/>
                <w:sz w:val="21"/>
              </w:rPr>
            </w:pPr>
          </w:p>
        </w:tc>
        <w:tc>
          <w:tcPr>
            <w:tcW w:w="1105" w:type="dxa"/>
            <w:tcBorders>
              <w:left w:val="single" w:color="000000" w:sz="4" w:space="0"/>
              <w:right w:val="single" w:color="000000" w:sz="4" w:space="0"/>
            </w:tcBorders>
            <w:vAlign w:val="top"/>
          </w:tcPr>
          <w:p w14:paraId="646E1F7E">
            <w:pPr>
              <w:rPr>
                <w:rFonts w:ascii="Arial"/>
                <w:sz w:val="21"/>
              </w:rPr>
            </w:pPr>
          </w:p>
        </w:tc>
      </w:tr>
      <w:tr w14:paraId="11B591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1" w:hRule="atLeast"/>
        </w:trPr>
        <w:tc>
          <w:tcPr>
            <w:tcW w:w="701" w:type="dxa"/>
            <w:vMerge w:val="continue"/>
            <w:tcBorders>
              <w:top w:val="nil"/>
              <w:left w:val="single" w:color="000000" w:sz="4" w:space="0"/>
              <w:bottom w:val="nil"/>
            </w:tcBorders>
            <w:textDirection w:val="tbRlV"/>
            <w:vAlign w:val="top"/>
          </w:tcPr>
          <w:p w14:paraId="3DEED2D0">
            <w:pPr>
              <w:rPr>
                <w:rFonts w:ascii="Arial"/>
                <w:sz w:val="21"/>
              </w:rPr>
            </w:pPr>
          </w:p>
        </w:tc>
        <w:tc>
          <w:tcPr>
            <w:tcW w:w="2195" w:type="dxa"/>
            <w:gridSpan w:val="6"/>
            <w:tcBorders>
              <w:right w:val="single" w:color="000000" w:sz="4" w:space="0"/>
            </w:tcBorders>
            <w:vAlign w:val="top"/>
          </w:tcPr>
          <w:p w14:paraId="1C20A49D">
            <w:pPr>
              <w:rPr>
                <w:rFonts w:ascii="Arial"/>
                <w:sz w:val="21"/>
              </w:rPr>
            </w:pPr>
          </w:p>
        </w:tc>
        <w:tc>
          <w:tcPr>
            <w:tcW w:w="664" w:type="dxa"/>
            <w:gridSpan w:val="2"/>
            <w:tcBorders>
              <w:left w:val="single" w:color="000000" w:sz="4" w:space="0"/>
            </w:tcBorders>
            <w:vAlign w:val="top"/>
          </w:tcPr>
          <w:p w14:paraId="0EAB552A">
            <w:pPr>
              <w:rPr>
                <w:rFonts w:ascii="Arial"/>
                <w:sz w:val="21"/>
              </w:rPr>
            </w:pPr>
          </w:p>
        </w:tc>
        <w:tc>
          <w:tcPr>
            <w:tcW w:w="1158" w:type="dxa"/>
            <w:gridSpan w:val="2"/>
            <w:tcBorders>
              <w:right w:val="single" w:color="000000" w:sz="4" w:space="0"/>
            </w:tcBorders>
            <w:vAlign w:val="top"/>
          </w:tcPr>
          <w:p w14:paraId="4F4041B6">
            <w:pPr>
              <w:rPr>
                <w:rFonts w:ascii="Arial"/>
                <w:sz w:val="21"/>
              </w:rPr>
            </w:pPr>
          </w:p>
        </w:tc>
        <w:tc>
          <w:tcPr>
            <w:tcW w:w="844" w:type="dxa"/>
            <w:tcBorders>
              <w:left w:val="single" w:color="000000" w:sz="4" w:space="0"/>
              <w:right w:val="single" w:color="000000" w:sz="4" w:space="0"/>
            </w:tcBorders>
            <w:vAlign w:val="top"/>
          </w:tcPr>
          <w:p w14:paraId="26777B48">
            <w:pPr>
              <w:rPr>
                <w:rFonts w:ascii="Arial"/>
                <w:sz w:val="21"/>
              </w:rPr>
            </w:pPr>
          </w:p>
        </w:tc>
        <w:tc>
          <w:tcPr>
            <w:tcW w:w="1005" w:type="dxa"/>
            <w:gridSpan w:val="3"/>
            <w:tcBorders>
              <w:left w:val="single" w:color="000000" w:sz="4" w:space="0"/>
            </w:tcBorders>
            <w:vAlign w:val="top"/>
          </w:tcPr>
          <w:p w14:paraId="46FF88CF">
            <w:pPr>
              <w:rPr>
                <w:rFonts w:ascii="Arial"/>
                <w:sz w:val="21"/>
              </w:rPr>
            </w:pPr>
          </w:p>
        </w:tc>
        <w:tc>
          <w:tcPr>
            <w:tcW w:w="1273" w:type="dxa"/>
            <w:gridSpan w:val="3"/>
            <w:tcBorders>
              <w:right w:val="single" w:color="000000" w:sz="4" w:space="0"/>
            </w:tcBorders>
            <w:vAlign w:val="top"/>
          </w:tcPr>
          <w:p w14:paraId="44237A2C">
            <w:pPr>
              <w:rPr>
                <w:rFonts w:ascii="Arial"/>
                <w:sz w:val="21"/>
              </w:rPr>
            </w:pPr>
          </w:p>
        </w:tc>
        <w:tc>
          <w:tcPr>
            <w:tcW w:w="1105" w:type="dxa"/>
            <w:tcBorders>
              <w:left w:val="single" w:color="000000" w:sz="4" w:space="0"/>
              <w:right w:val="single" w:color="000000" w:sz="4" w:space="0"/>
            </w:tcBorders>
            <w:vAlign w:val="top"/>
          </w:tcPr>
          <w:p w14:paraId="79383165">
            <w:pPr>
              <w:rPr>
                <w:rFonts w:ascii="Arial"/>
                <w:sz w:val="21"/>
              </w:rPr>
            </w:pPr>
          </w:p>
        </w:tc>
      </w:tr>
      <w:tr w14:paraId="55B7FC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1" w:hRule="atLeast"/>
        </w:trPr>
        <w:tc>
          <w:tcPr>
            <w:tcW w:w="701" w:type="dxa"/>
            <w:vMerge w:val="continue"/>
            <w:tcBorders>
              <w:top w:val="nil"/>
              <w:left w:val="single" w:color="000000" w:sz="4" w:space="0"/>
              <w:bottom w:val="nil"/>
            </w:tcBorders>
            <w:textDirection w:val="tbRlV"/>
            <w:vAlign w:val="top"/>
          </w:tcPr>
          <w:p w14:paraId="585E50A6">
            <w:pPr>
              <w:rPr>
                <w:rFonts w:ascii="Arial"/>
                <w:sz w:val="21"/>
              </w:rPr>
            </w:pPr>
          </w:p>
        </w:tc>
        <w:tc>
          <w:tcPr>
            <w:tcW w:w="2195" w:type="dxa"/>
            <w:gridSpan w:val="6"/>
            <w:tcBorders>
              <w:right w:val="single" w:color="000000" w:sz="4" w:space="0"/>
            </w:tcBorders>
            <w:vAlign w:val="top"/>
          </w:tcPr>
          <w:p w14:paraId="1F530D1B">
            <w:pPr>
              <w:rPr>
                <w:rFonts w:ascii="Arial"/>
                <w:sz w:val="21"/>
              </w:rPr>
            </w:pPr>
          </w:p>
        </w:tc>
        <w:tc>
          <w:tcPr>
            <w:tcW w:w="664" w:type="dxa"/>
            <w:gridSpan w:val="2"/>
            <w:tcBorders>
              <w:left w:val="single" w:color="000000" w:sz="4" w:space="0"/>
            </w:tcBorders>
            <w:vAlign w:val="top"/>
          </w:tcPr>
          <w:p w14:paraId="5D00BFAA">
            <w:pPr>
              <w:rPr>
                <w:rFonts w:ascii="Arial"/>
                <w:sz w:val="21"/>
              </w:rPr>
            </w:pPr>
          </w:p>
        </w:tc>
        <w:tc>
          <w:tcPr>
            <w:tcW w:w="1158" w:type="dxa"/>
            <w:gridSpan w:val="2"/>
            <w:tcBorders>
              <w:right w:val="single" w:color="000000" w:sz="4" w:space="0"/>
            </w:tcBorders>
            <w:vAlign w:val="top"/>
          </w:tcPr>
          <w:p w14:paraId="22D1B9B5">
            <w:pPr>
              <w:rPr>
                <w:rFonts w:ascii="Arial"/>
                <w:sz w:val="21"/>
              </w:rPr>
            </w:pPr>
          </w:p>
        </w:tc>
        <w:tc>
          <w:tcPr>
            <w:tcW w:w="844" w:type="dxa"/>
            <w:tcBorders>
              <w:left w:val="single" w:color="000000" w:sz="4" w:space="0"/>
              <w:right w:val="single" w:color="000000" w:sz="4" w:space="0"/>
            </w:tcBorders>
            <w:vAlign w:val="top"/>
          </w:tcPr>
          <w:p w14:paraId="740F1F8C">
            <w:pPr>
              <w:rPr>
                <w:rFonts w:ascii="Arial"/>
                <w:sz w:val="21"/>
              </w:rPr>
            </w:pPr>
          </w:p>
        </w:tc>
        <w:tc>
          <w:tcPr>
            <w:tcW w:w="1005" w:type="dxa"/>
            <w:gridSpan w:val="3"/>
            <w:tcBorders>
              <w:left w:val="single" w:color="000000" w:sz="4" w:space="0"/>
            </w:tcBorders>
            <w:vAlign w:val="top"/>
          </w:tcPr>
          <w:p w14:paraId="495FBAEA">
            <w:pPr>
              <w:rPr>
                <w:rFonts w:ascii="Arial"/>
                <w:sz w:val="21"/>
              </w:rPr>
            </w:pPr>
          </w:p>
        </w:tc>
        <w:tc>
          <w:tcPr>
            <w:tcW w:w="1273" w:type="dxa"/>
            <w:gridSpan w:val="3"/>
            <w:tcBorders>
              <w:right w:val="single" w:color="000000" w:sz="4" w:space="0"/>
            </w:tcBorders>
            <w:vAlign w:val="top"/>
          </w:tcPr>
          <w:p w14:paraId="6F887836">
            <w:pPr>
              <w:rPr>
                <w:rFonts w:ascii="Arial"/>
                <w:sz w:val="21"/>
              </w:rPr>
            </w:pPr>
          </w:p>
        </w:tc>
        <w:tc>
          <w:tcPr>
            <w:tcW w:w="1105" w:type="dxa"/>
            <w:tcBorders>
              <w:left w:val="single" w:color="000000" w:sz="4" w:space="0"/>
              <w:right w:val="single" w:color="000000" w:sz="4" w:space="0"/>
            </w:tcBorders>
            <w:vAlign w:val="top"/>
          </w:tcPr>
          <w:p w14:paraId="39FFA034">
            <w:pPr>
              <w:rPr>
                <w:rFonts w:ascii="Arial"/>
                <w:sz w:val="21"/>
              </w:rPr>
            </w:pPr>
          </w:p>
        </w:tc>
      </w:tr>
      <w:tr w14:paraId="2A0C0C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1" w:hRule="atLeast"/>
        </w:trPr>
        <w:tc>
          <w:tcPr>
            <w:tcW w:w="701" w:type="dxa"/>
            <w:vMerge w:val="continue"/>
            <w:tcBorders>
              <w:top w:val="nil"/>
              <w:left w:val="single" w:color="000000" w:sz="4" w:space="0"/>
              <w:bottom w:val="nil"/>
            </w:tcBorders>
            <w:textDirection w:val="tbRlV"/>
            <w:vAlign w:val="top"/>
          </w:tcPr>
          <w:p w14:paraId="2D220808">
            <w:pPr>
              <w:rPr>
                <w:rFonts w:ascii="Arial"/>
                <w:sz w:val="21"/>
              </w:rPr>
            </w:pPr>
          </w:p>
        </w:tc>
        <w:tc>
          <w:tcPr>
            <w:tcW w:w="2195" w:type="dxa"/>
            <w:gridSpan w:val="6"/>
            <w:tcBorders>
              <w:right w:val="single" w:color="000000" w:sz="4" w:space="0"/>
            </w:tcBorders>
            <w:vAlign w:val="top"/>
          </w:tcPr>
          <w:p w14:paraId="0140FE5F">
            <w:pPr>
              <w:rPr>
                <w:rFonts w:ascii="Arial"/>
                <w:sz w:val="21"/>
              </w:rPr>
            </w:pPr>
          </w:p>
        </w:tc>
        <w:tc>
          <w:tcPr>
            <w:tcW w:w="664" w:type="dxa"/>
            <w:gridSpan w:val="2"/>
            <w:tcBorders>
              <w:left w:val="single" w:color="000000" w:sz="4" w:space="0"/>
            </w:tcBorders>
            <w:vAlign w:val="top"/>
          </w:tcPr>
          <w:p w14:paraId="4D4C1886">
            <w:pPr>
              <w:rPr>
                <w:rFonts w:ascii="Arial"/>
                <w:sz w:val="21"/>
              </w:rPr>
            </w:pPr>
          </w:p>
        </w:tc>
        <w:tc>
          <w:tcPr>
            <w:tcW w:w="1158" w:type="dxa"/>
            <w:gridSpan w:val="2"/>
            <w:tcBorders>
              <w:right w:val="single" w:color="000000" w:sz="4" w:space="0"/>
            </w:tcBorders>
            <w:vAlign w:val="top"/>
          </w:tcPr>
          <w:p w14:paraId="4AF11210">
            <w:pPr>
              <w:rPr>
                <w:rFonts w:ascii="Arial"/>
                <w:sz w:val="21"/>
              </w:rPr>
            </w:pPr>
          </w:p>
        </w:tc>
        <w:tc>
          <w:tcPr>
            <w:tcW w:w="844" w:type="dxa"/>
            <w:tcBorders>
              <w:left w:val="single" w:color="000000" w:sz="4" w:space="0"/>
              <w:right w:val="single" w:color="000000" w:sz="4" w:space="0"/>
            </w:tcBorders>
            <w:vAlign w:val="top"/>
          </w:tcPr>
          <w:p w14:paraId="580E07A5">
            <w:pPr>
              <w:rPr>
                <w:rFonts w:ascii="Arial"/>
                <w:sz w:val="21"/>
              </w:rPr>
            </w:pPr>
          </w:p>
        </w:tc>
        <w:tc>
          <w:tcPr>
            <w:tcW w:w="1005" w:type="dxa"/>
            <w:gridSpan w:val="3"/>
            <w:tcBorders>
              <w:left w:val="single" w:color="000000" w:sz="4" w:space="0"/>
            </w:tcBorders>
            <w:vAlign w:val="top"/>
          </w:tcPr>
          <w:p w14:paraId="55F6CF83">
            <w:pPr>
              <w:rPr>
                <w:rFonts w:ascii="Arial"/>
                <w:sz w:val="21"/>
              </w:rPr>
            </w:pPr>
          </w:p>
        </w:tc>
        <w:tc>
          <w:tcPr>
            <w:tcW w:w="1273" w:type="dxa"/>
            <w:gridSpan w:val="3"/>
            <w:tcBorders>
              <w:right w:val="single" w:color="000000" w:sz="4" w:space="0"/>
            </w:tcBorders>
            <w:vAlign w:val="top"/>
          </w:tcPr>
          <w:p w14:paraId="3D20258B">
            <w:pPr>
              <w:rPr>
                <w:rFonts w:ascii="Arial"/>
                <w:sz w:val="21"/>
              </w:rPr>
            </w:pPr>
          </w:p>
        </w:tc>
        <w:tc>
          <w:tcPr>
            <w:tcW w:w="1105" w:type="dxa"/>
            <w:tcBorders>
              <w:left w:val="single" w:color="000000" w:sz="4" w:space="0"/>
              <w:right w:val="single" w:color="000000" w:sz="4" w:space="0"/>
            </w:tcBorders>
            <w:vAlign w:val="top"/>
          </w:tcPr>
          <w:p w14:paraId="3349C57B">
            <w:pPr>
              <w:rPr>
                <w:rFonts w:ascii="Arial"/>
                <w:sz w:val="21"/>
              </w:rPr>
            </w:pPr>
          </w:p>
        </w:tc>
      </w:tr>
      <w:tr w14:paraId="467A0C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1" w:hRule="atLeast"/>
        </w:trPr>
        <w:tc>
          <w:tcPr>
            <w:tcW w:w="701" w:type="dxa"/>
            <w:vMerge w:val="continue"/>
            <w:tcBorders>
              <w:top w:val="nil"/>
              <w:left w:val="single" w:color="000000" w:sz="4" w:space="0"/>
              <w:bottom w:val="nil"/>
            </w:tcBorders>
            <w:textDirection w:val="tbRlV"/>
            <w:vAlign w:val="top"/>
          </w:tcPr>
          <w:p w14:paraId="4AEC486B">
            <w:pPr>
              <w:rPr>
                <w:rFonts w:ascii="Arial"/>
                <w:sz w:val="21"/>
              </w:rPr>
            </w:pPr>
          </w:p>
        </w:tc>
        <w:tc>
          <w:tcPr>
            <w:tcW w:w="4017" w:type="dxa"/>
            <w:gridSpan w:val="10"/>
            <w:tcBorders>
              <w:right w:val="single" w:color="000000" w:sz="4" w:space="0"/>
            </w:tcBorders>
            <w:vAlign w:val="top"/>
          </w:tcPr>
          <w:p w14:paraId="76DD4A78">
            <w:pPr>
              <w:pStyle w:val="11"/>
              <w:spacing w:before="182" w:line="220" w:lineRule="auto"/>
              <w:ind w:left="1490"/>
            </w:pPr>
            <w:r>
              <w:rPr>
                <w:spacing w:val="-1"/>
              </w:rPr>
              <w:t>其他材料费</w:t>
            </w:r>
          </w:p>
        </w:tc>
        <w:tc>
          <w:tcPr>
            <w:tcW w:w="844" w:type="dxa"/>
            <w:tcBorders>
              <w:left w:val="single" w:color="000000" w:sz="4" w:space="0"/>
              <w:right w:val="single" w:color="000000" w:sz="4" w:space="0"/>
            </w:tcBorders>
            <w:vAlign w:val="top"/>
          </w:tcPr>
          <w:p w14:paraId="05049A32">
            <w:pPr>
              <w:pStyle w:val="11"/>
              <w:spacing w:before="282" w:line="142" w:lineRule="exact"/>
              <w:ind w:left="315"/>
            </w:pPr>
            <w:r>
              <w:rPr>
                <w:position w:val="-3"/>
              </w:rPr>
              <w:t>—</w:t>
            </w:r>
          </w:p>
        </w:tc>
        <w:tc>
          <w:tcPr>
            <w:tcW w:w="1005" w:type="dxa"/>
            <w:gridSpan w:val="3"/>
            <w:tcBorders>
              <w:left w:val="single" w:color="000000" w:sz="4" w:space="0"/>
            </w:tcBorders>
            <w:vAlign w:val="top"/>
          </w:tcPr>
          <w:p w14:paraId="2C65104A">
            <w:pPr>
              <w:rPr>
                <w:rFonts w:ascii="Arial"/>
                <w:sz w:val="21"/>
              </w:rPr>
            </w:pPr>
          </w:p>
        </w:tc>
        <w:tc>
          <w:tcPr>
            <w:tcW w:w="1273" w:type="dxa"/>
            <w:gridSpan w:val="3"/>
            <w:tcBorders>
              <w:right w:val="single" w:color="000000" w:sz="4" w:space="0"/>
            </w:tcBorders>
            <w:vAlign w:val="top"/>
          </w:tcPr>
          <w:p w14:paraId="4D666A5E">
            <w:pPr>
              <w:pStyle w:val="11"/>
              <w:spacing w:before="282" w:line="142" w:lineRule="exact"/>
              <w:ind w:left="538"/>
            </w:pPr>
            <w:r>
              <w:rPr>
                <w:position w:val="-3"/>
              </w:rPr>
              <w:t>—</w:t>
            </w:r>
          </w:p>
        </w:tc>
        <w:tc>
          <w:tcPr>
            <w:tcW w:w="1105" w:type="dxa"/>
            <w:tcBorders>
              <w:left w:val="single" w:color="000000" w:sz="4" w:space="0"/>
              <w:right w:val="single" w:color="000000" w:sz="4" w:space="0"/>
            </w:tcBorders>
            <w:vAlign w:val="top"/>
          </w:tcPr>
          <w:p w14:paraId="743BF546">
            <w:pPr>
              <w:rPr>
                <w:rFonts w:ascii="Arial"/>
                <w:sz w:val="21"/>
              </w:rPr>
            </w:pPr>
          </w:p>
        </w:tc>
      </w:tr>
      <w:tr w14:paraId="1C5764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5" w:hRule="atLeast"/>
        </w:trPr>
        <w:tc>
          <w:tcPr>
            <w:tcW w:w="701" w:type="dxa"/>
            <w:vMerge w:val="continue"/>
            <w:tcBorders>
              <w:top w:val="nil"/>
              <w:left w:val="single" w:color="000000" w:sz="4" w:space="0"/>
              <w:bottom w:val="single" w:color="000000" w:sz="4" w:space="0"/>
            </w:tcBorders>
            <w:textDirection w:val="tbRlV"/>
            <w:vAlign w:val="top"/>
          </w:tcPr>
          <w:p w14:paraId="1BBD62D6">
            <w:pPr>
              <w:rPr>
                <w:rFonts w:ascii="Arial"/>
                <w:sz w:val="21"/>
              </w:rPr>
            </w:pPr>
          </w:p>
        </w:tc>
        <w:tc>
          <w:tcPr>
            <w:tcW w:w="4017" w:type="dxa"/>
            <w:gridSpan w:val="10"/>
            <w:tcBorders>
              <w:bottom w:val="single" w:color="000000" w:sz="4" w:space="0"/>
              <w:right w:val="single" w:color="000000" w:sz="4" w:space="0"/>
            </w:tcBorders>
            <w:vAlign w:val="top"/>
          </w:tcPr>
          <w:p w14:paraId="2599B907">
            <w:pPr>
              <w:pStyle w:val="11"/>
              <w:spacing w:before="182" w:line="220" w:lineRule="auto"/>
              <w:ind w:left="1489"/>
            </w:pPr>
            <w:r>
              <w:rPr>
                <w:spacing w:val="-1"/>
              </w:rPr>
              <w:t>材料费小计</w:t>
            </w:r>
          </w:p>
        </w:tc>
        <w:tc>
          <w:tcPr>
            <w:tcW w:w="844" w:type="dxa"/>
            <w:tcBorders>
              <w:left w:val="single" w:color="000000" w:sz="4" w:space="0"/>
              <w:bottom w:val="single" w:color="000000" w:sz="4" w:space="0"/>
              <w:right w:val="single" w:color="000000" w:sz="4" w:space="0"/>
            </w:tcBorders>
            <w:vAlign w:val="top"/>
          </w:tcPr>
          <w:p w14:paraId="10D5A4EF">
            <w:pPr>
              <w:pStyle w:val="11"/>
              <w:spacing w:before="282" w:line="142" w:lineRule="exact"/>
              <w:ind w:left="315"/>
            </w:pPr>
            <w:r>
              <w:rPr>
                <w:position w:val="-3"/>
              </w:rPr>
              <w:t>—</w:t>
            </w:r>
          </w:p>
        </w:tc>
        <w:tc>
          <w:tcPr>
            <w:tcW w:w="1005" w:type="dxa"/>
            <w:gridSpan w:val="3"/>
            <w:tcBorders>
              <w:left w:val="single" w:color="000000" w:sz="4" w:space="0"/>
              <w:bottom w:val="single" w:color="000000" w:sz="4" w:space="0"/>
            </w:tcBorders>
            <w:vAlign w:val="top"/>
          </w:tcPr>
          <w:p w14:paraId="55AABB53">
            <w:pPr>
              <w:rPr>
                <w:rFonts w:ascii="Arial"/>
                <w:sz w:val="21"/>
              </w:rPr>
            </w:pPr>
          </w:p>
        </w:tc>
        <w:tc>
          <w:tcPr>
            <w:tcW w:w="1273" w:type="dxa"/>
            <w:gridSpan w:val="3"/>
            <w:tcBorders>
              <w:bottom w:val="single" w:color="000000" w:sz="4" w:space="0"/>
              <w:right w:val="single" w:color="000000" w:sz="4" w:space="0"/>
            </w:tcBorders>
            <w:vAlign w:val="top"/>
          </w:tcPr>
          <w:p w14:paraId="306BF8C2">
            <w:pPr>
              <w:tabs>
                <w:tab w:val="left" w:pos="743"/>
              </w:tabs>
              <w:spacing w:before="90" w:line="241" w:lineRule="exact"/>
              <w:ind w:left="538"/>
              <w:rPr>
                <w:rFonts w:ascii="Arial"/>
                <w:sz w:val="21"/>
              </w:rPr>
            </w:pPr>
            <w:r>
              <w:rPr>
                <w:rFonts w:ascii="Arial" w:hAnsi="Arial" w:eastAsia="Arial" w:cs="Arial"/>
                <w:sz w:val="21"/>
                <w:szCs w:val="21"/>
                <w:u w:val="single" w:color="auto"/>
              </w:rPr>
              <w:tab/>
            </w:r>
          </w:p>
        </w:tc>
        <w:tc>
          <w:tcPr>
            <w:tcW w:w="1105" w:type="dxa"/>
            <w:tcBorders>
              <w:left w:val="single" w:color="000000" w:sz="4" w:space="0"/>
              <w:bottom w:val="single" w:color="000000" w:sz="4" w:space="0"/>
              <w:right w:val="single" w:color="000000" w:sz="4" w:space="0"/>
            </w:tcBorders>
            <w:vAlign w:val="top"/>
          </w:tcPr>
          <w:p w14:paraId="412A4993">
            <w:pPr>
              <w:rPr>
                <w:rFonts w:ascii="Arial"/>
                <w:sz w:val="21"/>
              </w:rPr>
            </w:pPr>
          </w:p>
        </w:tc>
      </w:tr>
    </w:tbl>
    <w:p w14:paraId="46871CA8">
      <w:pPr>
        <w:spacing w:before="25" w:line="219" w:lineRule="auto"/>
        <w:ind w:left="329"/>
        <w:rPr>
          <w:rFonts w:ascii="宋体" w:hAnsi="宋体" w:eastAsia="宋体" w:cs="宋体"/>
          <w:sz w:val="21"/>
          <w:szCs w:val="21"/>
        </w:rPr>
      </w:pPr>
      <w:r>
        <w:rPr>
          <w:rFonts w:ascii="宋体" w:hAnsi="宋体" w:eastAsia="宋体" w:cs="宋体"/>
          <w:sz w:val="21"/>
          <w:szCs w:val="21"/>
        </w:rPr>
        <w:t>注</w:t>
      </w:r>
      <w:r>
        <w:rPr>
          <w:rFonts w:ascii="黑体" w:hAnsi="黑体" w:eastAsia="黑体" w:cs="黑体"/>
          <w:sz w:val="21"/>
          <w:szCs w:val="21"/>
        </w:rPr>
        <w:t>：1.</w:t>
      </w:r>
      <w:r>
        <w:rPr>
          <w:rFonts w:ascii="宋体" w:hAnsi="宋体" w:eastAsia="宋体" w:cs="宋体"/>
          <w:sz w:val="21"/>
          <w:szCs w:val="21"/>
        </w:rPr>
        <w:t>招标文件提供了暂估单价的材料， 按暂估的单价填入表内“暂估单价”栏及“暂估</w:t>
      </w:r>
    </w:p>
    <w:p w14:paraId="47E383B0">
      <w:pPr>
        <w:spacing w:before="25" w:line="219" w:lineRule="auto"/>
        <w:ind w:left="330"/>
        <w:rPr>
          <w:rFonts w:ascii="宋体" w:hAnsi="宋体" w:eastAsia="宋体" w:cs="宋体"/>
          <w:sz w:val="21"/>
          <w:szCs w:val="21"/>
        </w:rPr>
      </w:pPr>
      <w:r>
        <w:rPr>
          <w:rFonts w:ascii="宋体" w:hAnsi="宋体" w:eastAsia="宋体" w:cs="宋体"/>
          <w:spacing w:val="-6"/>
          <w:sz w:val="21"/>
          <w:szCs w:val="21"/>
        </w:rPr>
        <w:t>合价”栏。</w:t>
      </w:r>
    </w:p>
    <w:p w14:paraId="2414CDD0">
      <w:pPr>
        <w:spacing w:line="219" w:lineRule="auto"/>
        <w:rPr>
          <w:rFonts w:ascii="宋体" w:hAnsi="宋体" w:eastAsia="宋体" w:cs="宋体"/>
          <w:sz w:val="21"/>
          <w:szCs w:val="21"/>
        </w:rPr>
        <w:sectPr>
          <w:footerReference r:id="rId171" w:type="default"/>
          <w:pgSz w:w="11905" w:h="16839"/>
          <w:pgMar w:top="400" w:right="1474" w:bottom="1004" w:left="1474" w:header="0" w:footer="828" w:gutter="0"/>
          <w:pgNumType w:fmt="decimal"/>
          <w:cols w:space="720" w:num="1"/>
        </w:sectPr>
      </w:pPr>
    </w:p>
    <w:p w14:paraId="24B9AF17">
      <w:pPr>
        <w:pStyle w:val="3"/>
        <w:spacing w:line="267" w:lineRule="auto"/>
      </w:pPr>
    </w:p>
    <w:p w14:paraId="27C8A74B">
      <w:pPr>
        <w:pStyle w:val="3"/>
        <w:spacing w:line="267" w:lineRule="auto"/>
      </w:pPr>
    </w:p>
    <w:p w14:paraId="25090CEC">
      <w:pPr>
        <w:pStyle w:val="3"/>
        <w:spacing w:line="268" w:lineRule="auto"/>
      </w:pPr>
    </w:p>
    <w:p w14:paraId="5EB86F6C">
      <w:pPr>
        <w:pStyle w:val="3"/>
        <w:spacing w:line="268" w:lineRule="auto"/>
      </w:pPr>
    </w:p>
    <w:p w14:paraId="1DEB7248">
      <w:pPr>
        <w:spacing w:before="78" w:line="219" w:lineRule="auto"/>
        <w:ind w:left="258"/>
        <w:rPr>
          <w:rFonts w:ascii="黑体" w:hAnsi="黑体" w:eastAsia="黑体" w:cs="黑体"/>
          <w:sz w:val="24"/>
          <w:szCs w:val="24"/>
        </w:rPr>
      </w:pPr>
      <w:r>
        <w:rPr>
          <w:rFonts w:ascii="Times New Roman" w:hAnsi="Times New Roman" w:eastAsia="Times New Roman" w:cs="Times New Roman"/>
          <w:spacing w:val="-2"/>
          <w:sz w:val="24"/>
          <w:szCs w:val="24"/>
        </w:rPr>
        <w:t xml:space="preserve">4.11 </w:t>
      </w:r>
      <w:r>
        <w:rPr>
          <w:rFonts w:ascii="黑体" w:hAnsi="黑体" w:eastAsia="黑体" w:cs="黑体"/>
          <w:spacing w:val="-2"/>
          <w:sz w:val="24"/>
          <w:szCs w:val="24"/>
        </w:rPr>
        <w:t>总价措施项目清单与计价表</w:t>
      </w:r>
    </w:p>
    <w:p w14:paraId="30BA5704">
      <w:pPr>
        <w:spacing w:before="161" w:line="225" w:lineRule="auto"/>
        <w:ind w:left="2748"/>
        <w:rPr>
          <w:rFonts w:ascii="黑体" w:hAnsi="黑体" w:eastAsia="黑体" w:cs="黑体"/>
          <w:sz w:val="27"/>
          <w:szCs w:val="27"/>
        </w:rPr>
      </w:pPr>
      <w:bookmarkStart w:id="1294" w:name="bookmark252"/>
      <w:bookmarkEnd w:id="1294"/>
      <w:r>
        <w:rPr>
          <w:rFonts w:ascii="黑体" w:hAnsi="黑体" w:eastAsia="黑体" w:cs="黑体"/>
          <w:spacing w:val="8"/>
          <w:sz w:val="27"/>
          <w:szCs w:val="27"/>
        </w:rPr>
        <w:t>总价措施项目清单与计价表</w:t>
      </w:r>
    </w:p>
    <w:p w14:paraId="125FA6B6">
      <w:pPr>
        <w:spacing w:before="143" w:line="214" w:lineRule="auto"/>
        <w:ind w:left="265"/>
        <w:rPr>
          <w:rFonts w:ascii="宋体" w:hAnsi="宋体" w:eastAsia="宋体" w:cs="宋体"/>
          <w:sz w:val="21"/>
          <w:szCs w:val="21"/>
        </w:rPr>
      </w:pPr>
      <w:r>
        <w:rPr>
          <w:rFonts w:ascii="宋体" w:hAnsi="宋体" w:eastAsia="宋体" w:cs="宋体"/>
          <w:spacing w:val="-17"/>
          <w:sz w:val="21"/>
          <w:szCs w:val="21"/>
        </w:rPr>
        <w:t>工程名称：</w:t>
      </w:r>
      <w:r>
        <w:rPr>
          <w:rFonts w:ascii="宋体" w:hAnsi="宋体" w:eastAsia="宋体" w:cs="宋体"/>
          <w:spacing w:val="1"/>
          <w:sz w:val="21"/>
          <w:szCs w:val="21"/>
        </w:rPr>
        <w:t xml:space="preserve">             </w:t>
      </w:r>
      <w:r>
        <w:rPr>
          <w:rFonts w:ascii="宋体" w:hAnsi="宋体" w:eastAsia="宋体" w:cs="宋体"/>
          <w:spacing w:val="-17"/>
          <w:sz w:val="21"/>
          <w:szCs w:val="21"/>
        </w:rPr>
        <w:t>标段名称：</w:t>
      </w:r>
      <w:r>
        <w:rPr>
          <w:rFonts w:ascii="宋体" w:hAnsi="宋体" w:eastAsia="宋体" w:cs="宋体"/>
          <w:spacing w:val="2"/>
          <w:sz w:val="21"/>
          <w:szCs w:val="21"/>
        </w:rPr>
        <w:t xml:space="preserve">                               </w:t>
      </w:r>
      <w:r>
        <w:rPr>
          <w:rFonts w:ascii="宋体" w:hAnsi="宋体" w:eastAsia="宋体" w:cs="宋体"/>
          <w:spacing w:val="-17"/>
          <w:sz w:val="21"/>
          <w:szCs w:val="21"/>
        </w:rPr>
        <w:t>第 页</w:t>
      </w:r>
      <w:r>
        <w:rPr>
          <w:rFonts w:ascii="宋体" w:hAnsi="宋体" w:eastAsia="宋体" w:cs="宋体"/>
          <w:spacing w:val="-36"/>
          <w:sz w:val="21"/>
          <w:szCs w:val="21"/>
        </w:rPr>
        <w:t xml:space="preserve"> </w:t>
      </w:r>
      <w:r>
        <w:rPr>
          <w:rFonts w:ascii="宋体" w:hAnsi="宋体" w:eastAsia="宋体" w:cs="宋体"/>
          <w:spacing w:val="-17"/>
          <w:sz w:val="21"/>
          <w:szCs w:val="21"/>
        </w:rPr>
        <w:t>共</w:t>
      </w:r>
      <w:r>
        <w:rPr>
          <w:rFonts w:ascii="宋体" w:hAnsi="宋体" w:eastAsia="宋体" w:cs="宋体"/>
          <w:spacing w:val="15"/>
          <w:sz w:val="21"/>
          <w:szCs w:val="21"/>
        </w:rPr>
        <w:t xml:space="preserve"> </w:t>
      </w:r>
      <w:r>
        <w:rPr>
          <w:rFonts w:ascii="宋体" w:hAnsi="宋体" w:eastAsia="宋体" w:cs="宋体"/>
          <w:spacing w:val="-17"/>
          <w:sz w:val="21"/>
          <w:szCs w:val="21"/>
        </w:rPr>
        <w:t>页</w:t>
      </w:r>
    </w:p>
    <w:tbl>
      <w:tblPr>
        <w:tblStyle w:val="10"/>
        <w:tblW w:w="8820" w:type="dxa"/>
        <w:tblInd w:w="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81"/>
        <w:gridCol w:w="1127"/>
        <w:gridCol w:w="1386"/>
        <w:gridCol w:w="1271"/>
        <w:gridCol w:w="854"/>
        <w:gridCol w:w="1271"/>
        <w:gridCol w:w="853"/>
        <w:gridCol w:w="950"/>
        <w:gridCol w:w="527"/>
      </w:tblGrid>
      <w:tr w14:paraId="23E89E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9" w:hRule="atLeast"/>
        </w:trPr>
        <w:tc>
          <w:tcPr>
            <w:tcW w:w="581" w:type="dxa"/>
            <w:tcBorders>
              <w:top w:val="single" w:color="000000" w:sz="4" w:space="0"/>
              <w:left w:val="single" w:color="000000" w:sz="4" w:space="0"/>
            </w:tcBorders>
            <w:textDirection w:val="tbRlV"/>
            <w:vAlign w:val="top"/>
          </w:tcPr>
          <w:p w14:paraId="5E3D3573">
            <w:pPr>
              <w:pStyle w:val="11"/>
              <w:spacing w:before="185" w:line="211" w:lineRule="auto"/>
              <w:ind w:left="173"/>
            </w:pPr>
            <w:r>
              <w:rPr>
                <w:spacing w:val="1"/>
              </w:rPr>
              <w:t>序</w:t>
            </w:r>
            <w:r>
              <w:rPr>
                <w:spacing w:val="-43"/>
              </w:rPr>
              <w:t xml:space="preserve"> </w:t>
            </w:r>
            <w:r>
              <w:rPr>
                <w:spacing w:val="1"/>
              </w:rPr>
              <w:t>号</w:t>
            </w:r>
          </w:p>
        </w:tc>
        <w:tc>
          <w:tcPr>
            <w:tcW w:w="1127" w:type="dxa"/>
            <w:tcBorders>
              <w:top w:val="single" w:color="000000" w:sz="4" w:space="0"/>
            </w:tcBorders>
            <w:vAlign w:val="top"/>
          </w:tcPr>
          <w:p w14:paraId="38AF75E2">
            <w:pPr>
              <w:spacing w:line="242" w:lineRule="auto"/>
              <w:rPr>
                <w:rFonts w:ascii="Arial"/>
                <w:sz w:val="21"/>
              </w:rPr>
            </w:pPr>
          </w:p>
          <w:p w14:paraId="17695D32">
            <w:pPr>
              <w:pStyle w:val="11"/>
              <w:spacing w:before="68" w:line="221" w:lineRule="auto"/>
              <w:ind w:left="143"/>
            </w:pPr>
            <w:r>
              <w:rPr>
                <w:spacing w:val="-2"/>
              </w:rPr>
              <w:t>项目编码</w:t>
            </w:r>
          </w:p>
        </w:tc>
        <w:tc>
          <w:tcPr>
            <w:tcW w:w="1386" w:type="dxa"/>
            <w:tcBorders>
              <w:top w:val="single" w:color="000000" w:sz="4" w:space="0"/>
            </w:tcBorders>
            <w:vAlign w:val="top"/>
          </w:tcPr>
          <w:p w14:paraId="21E48686">
            <w:pPr>
              <w:spacing w:line="243" w:lineRule="auto"/>
              <w:rPr>
                <w:rFonts w:ascii="Arial"/>
                <w:sz w:val="21"/>
              </w:rPr>
            </w:pPr>
          </w:p>
          <w:p w14:paraId="6581A8FA">
            <w:pPr>
              <w:pStyle w:val="11"/>
              <w:spacing w:before="68" w:line="221" w:lineRule="auto"/>
              <w:ind w:left="274"/>
            </w:pPr>
            <w:r>
              <w:rPr>
                <w:spacing w:val="-2"/>
              </w:rPr>
              <w:t>项目名称</w:t>
            </w:r>
          </w:p>
        </w:tc>
        <w:tc>
          <w:tcPr>
            <w:tcW w:w="1271" w:type="dxa"/>
            <w:tcBorders>
              <w:top w:val="single" w:color="000000" w:sz="4" w:space="0"/>
            </w:tcBorders>
            <w:vAlign w:val="top"/>
          </w:tcPr>
          <w:p w14:paraId="3591EA60">
            <w:pPr>
              <w:spacing w:line="242" w:lineRule="auto"/>
              <w:rPr>
                <w:rFonts w:ascii="Arial"/>
                <w:sz w:val="21"/>
              </w:rPr>
            </w:pPr>
          </w:p>
          <w:p w14:paraId="2ECB3E20">
            <w:pPr>
              <w:pStyle w:val="11"/>
              <w:spacing w:before="68" w:line="221" w:lineRule="auto"/>
              <w:ind w:left="220"/>
            </w:pPr>
            <w:r>
              <w:rPr>
                <w:spacing w:val="-1"/>
              </w:rPr>
              <w:t>计算基础</w:t>
            </w:r>
          </w:p>
        </w:tc>
        <w:tc>
          <w:tcPr>
            <w:tcW w:w="854" w:type="dxa"/>
            <w:tcBorders>
              <w:top w:val="single" w:color="000000" w:sz="4" w:space="0"/>
            </w:tcBorders>
            <w:vAlign w:val="top"/>
          </w:tcPr>
          <w:p w14:paraId="2883D44D">
            <w:pPr>
              <w:pStyle w:val="11"/>
              <w:spacing w:before="172" w:line="241" w:lineRule="auto"/>
              <w:ind w:left="233"/>
            </w:pPr>
            <w:r>
              <w:rPr>
                <w:spacing w:val="-5"/>
              </w:rPr>
              <w:t>费率</w:t>
            </w:r>
          </w:p>
          <w:p w14:paraId="495CC9C4">
            <w:pPr>
              <w:pStyle w:val="11"/>
              <w:spacing w:line="223" w:lineRule="auto"/>
              <w:ind w:left="227"/>
            </w:pPr>
            <w:r>
              <w:rPr>
                <w:spacing w:val="14"/>
                <w:w w:val="111"/>
              </w:rPr>
              <w:t>(%)</w:t>
            </w:r>
          </w:p>
        </w:tc>
        <w:tc>
          <w:tcPr>
            <w:tcW w:w="1271" w:type="dxa"/>
            <w:tcBorders>
              <w:top w:val="single" w:color="000000" w:sz="4" w:space="0"/>
            </w:tcBorders>
            <w:vAlign w:val="top"/>
          </w:tcPr>
          <w:p w14:paraId="1217DD2E">
            <w:pPr>
              <w:spacing w:line="242" w:lineRule="auto"/>
              <w:rPr>
                <w:rFonts w:ascii="Arial"/>
                <w:sz w:val="21"/>
              </w:rPr>
            </w:pPr>
          </w:p>
          <w:p w14:paraId="14845FF0">
            <w:pPr>
              <w:pStyle w:val="11"/>
              <w:spacing w:before="68" w:line="221" w:lineRule="auto"/>
              <w:ind w:left="118"/>
            </w:pPr>
            <w:r>
              <w:rPr>
                <w:spacing w:val="-2"/>
              </w:rPr>
              <w:t>金额（元）</w:t>
            </w:r>
          </w:p>
        </w:tc>
        <w:tc>
          <w:tcPr>
            <w:tcW w:w="853" w:type="dxa"/>
            <w:tcBorders>
              <w:top w:val="single" w:color="000000" w:sz="4" w:space="0"/>
            </w:tcBorders>
            <w:vAlign w:val="top"/>
          </w:tcPr>
          <w:p w14:paraId="559CD934">
            <w:pPr>
              <w:pStyle w:val="11"/>
              <w:spacing w:before="37" w:line="231" w:lineRule="auto"/>
              <w:ind w:left="326" w:right="108" w:hanging="211"/>
            </w:pPr>
            <w:r>
              <w:rPr>
                <w:spacing w:val="-3"/>
              </w:rPr>
              <w:t>调整费</w:t>
            </w:r>
            <w:r>
              <w:rPr>
                <w:spacing w:val="1"/>
              </w:rPr>
              <w:t xml:space="preserve"> </w:t>
            </w:r>
            <w:r>
              <w:t>率</w:t>
            </w:r>
          </w:p>
          <w:p w14:paraId="3D6FAB50">
            <w:pPr>
              <w:pStyle w:val="11"/>
              <w:spacing w:before="23" w:line="213" w:lineRule="auto"/>
              <w:ind w:left="172"/>
            </w:pPr>
            <w:r>
              <w:rPr>
                <w:spacing w:val="-5"/>
              </w:rPr>
              <w:t>（%）</w:t>
            </w:r>
          </w:p>
        </w:tc>
        <w:tc>
          <w:tcPr>
            <w:tcW w:w="950" w:type="dxa"/>
            <w:tcBorders>
              <w:top w:val="single" w:color="000000" w:sz="4" w:space="0"/>
            </w:tcBorders>
            <w:vAlign w:val="top"/>
          </w:tcPr>
          <w:p w14:paraId="0CFB5B90">
            <w:pPr>
              <w:pStyle w:val="11"/>
              <w:spacing w:before="37" w:line="232" w:lineRule="auto"/>
              <w:ind w:left="173" w:right="151" w:hanging="4"/>
            </w:pPr>
            <w:r>
              <w:rPr>
                <w:spacing w:val="-3"/>
              </w:rPr>
              <w:t>调整后</w:t>
            </w:r>
            <w:r>
              <w:rPr>
                <w:spacing w:val="1"/>
              </w:rPr>
              <w:t xml:space="preserve"> </w:t>
            </w:r>
            <w:r>
              <w:rPr>
                <w:spacing w:val="38"/>
              </w:rPr>
              <w:t xml:space="preserve">金额 </w:t>
            </w:r>
            <w:r>
              <w:rPr>
                <w:spacing w:val="-4"/>
              </w:rPr>
              <w:t>（元）</w:t>
            </w:r>
          </w:p>
        </w:tc>
        <w:tc>
          <w:tcPr>
            <w:tcW w:w="527" w:type="dxa"/>
            <w:tcBorders>
              <w:top w:val="single" w:color="000000" w:sz="4" w:space="0"/>
              <w:right w:val="single" w:color="000000" w:sz="4" w:space="0"/>
            </w:tcBorders>
            <w:textDirection w:val="tbRlV"/>
            <w:vAlign w:val="top"/>
          </w:tcPr>
          <w:p w14:paraId="213AF9E2">
            <w:pPr>
              <w:pStyle w:val="11"/>
              <w:spacing w:before="152" w:line="210" w:lineRule="auto"/>
              <w:ind w:left="173"/>
            </w:pPr>
            <w:r>
              <w:rPr>
                <w:spacing w:val="1"/>
              </w:rPr>
              <w:t>备</w:t>
            </w:r>
            <w:r>
              <w:rPr>
                <w:spacing w:val="-43"/>
              </w:rPr>
              <w:t xml:space="preserve"> </w:t>
            </w:r>
            <w:r>
              <w:rPr>
                <w:spacing w:val="1"/>
              </w:rPr>
              <w:t>注</w:t>
            </w:r>
          </w:p>
        </w:tc>
      </w:tr>
      <w:tr w14:paraId="0CB0B4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5" w:hRule="atLeast"/>
        </w:trPr>
        <w:tc>
          <w:tcPr>
            <w:tcW w:w="581" w:type="dxa"/>
            <w:tcBorders>
              <w:left w:val="single" w:color="000000" w:sz="4" w:space="0"/>
            </w:tcBorders>
            <w:vAlign w:val="top"/>
          </w:tcPr>
          <w:p w14:paraId="60D32FA0">
            <w:pPr>
              <w:rPr>
                <w:rFonts w:ascii="Arial"/>
                <w:sz w:val="21"/>
              </w:rPr>
            </w:pPr>
          </w:p>
        </w:tc>
        <w:tc>
          <w:tcPr>
            <w:tcW w:w="1127" w:type="dxa"/>
            <w:vAlign w:val="top"/>
          </w:tcPr>
          <w:p w14:paraId="4C93C1AA">
            <w:pPr>
              <w:rPr>
                <w:rFonts w:ascii="Arial"/>
                <w:sz w:val="21"/>
              </w:rPr>
            </w:pPr>
          </w:p>
        </w:tc>
        <w:tc>
          <w:tcPr>
            <w:tcW w:w="1386" w:type="dxa"/>
            <w:vAlign w:val="top"/>
          </w:tcPr>
          <w:p w14:paraId="1265652D">
            <w:pPr>
              <w:rPr>
                <w:rFonts w:ascii="Arial"/>
                <w:sz w:val="21"/>
              </w:rPr>
            </w:pPr>
          </w:p>
        </w:tc>
        <w:tc>
          <w:tcPr>
            <w:tcW w:w="1271" w:type="dxa"/>
            <w:vAlign w:val="top"/>
          </w:tcPr>
          <w:p w14:paraId="6D483471">
            <w:pPr>
              <w:rPr>
                <w:rFonts w:ascii="Arial"/>
                <w:sz w:val="21"/>
              </w:rPr>
            </w:pPr>
          </w:p>
        </w:tc>
        <w:tc>
          <w:tcPr>
            <w:tcW w:w="854" w:type="dxa"/>
            <w:vAlign w:val="top"/>
          </w:tcPr>
          <w:p w14:paraId="3FA3ABFA">
            <w:pPr>
              <w:rPr>
                <w:rFonts w:ascii="Arial"/>
                <w:sz w:val="21"/>
              </w:rPr>
            </w:pPr>
          </w:p>
        </w:tc>
        <w:tc>
          <w:tcPr>
            <w:tcW w:w="1271" w:type="dxa"/>
            <w:vAlign w:val="top"/>
          </w:tcPr>
          <w:p w14:paraId="2FB6E498">
            <w:pPr>
              <w:rPr>
                <w:rFonts w:ascii="Arial"/>
                <w:sz w:val="21"/>
              </w:rPr>
            </w:pPr>
          </w:p>
        </w:tc>
        <w:tc>
          <w:tcPr>
            <w:tcW w:w="853" w:type="dxa"/>
            <w:vAlign w:val="top"/>
          </w:tcPr>
          <w:p w14:paraId="5E7723FB">
            <w:pPr>
              <w:rPr>
                <w:rFonts w:ascii="Arial"/>
                <w:sz w:val="21"/>
              </w:rPr>
            </w:pPr>
          </w:p>
        </w:tc>
        <w:tc>
          <w:tcPr>
            <w:tcW w:w="950" w:type="dxa"/>
            <w:vAlign w:val="top"/>
          </w:tcPr>
          <w:p w14:paraId="38D08999">
            <w:pPr>
              <w:rPr>
                <w:rFonts w:ascii="Arial"/>
                <w:sz w:val="21"/>
              </w:rPr>
            </w:pPr>
          </w:p>
        </w:tc>
        <w:tc>
          <w:tcPr>
            <w:tcW w:w="527" w:type="dxa"/>
            <w:tcBorders>
              <w:right w:val="single" w:color="000000" w:sz="4" w:space="0"/>
            </w:tcBorders>
            <w:vAlign w:val="top"/>
          </w:tcPr>
          <w:p w14:paraId="6B0EC07C">
            <w:pPr>
              <w:rPr>
                <w:rFonts w:ascii="Arial"/>
                <w:sz w:val="21"/>
              </w:rPr>
            </w:pPr>
          </w:p>
        </w:tc>
      </w:tr>
      <w:tr w14:paraId="76B52F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9" w:hRule="atLeast"/>
        </w:trPr>
        <w:tc>
          <w:tcPr>
            <w:tcW w:w="581" w:type="dxa"/>
            <w:tcBorders>
              <w:left w:val="single" w:color="000000" w:sz="4" w:space="0"/>
              <w:bottom w:val="single" w:color="000000" w:sz="4" w:space="0"/>
            </w:tcBorders>
            <w:vAlign w:val="top"/>
          </w:tcPr>
          <w:p w14:paraId="588A96DF">
            <w:pPr>
              <w:rPr>
                <w:rFonts w:ascii="Arial"/>
                <w:sz w:val="21"/>
              </w:rPr>
            </w:pPr>
          </w:p>
        </w:tc>
        <w:tc>
          <w:tcPr>
            <w:tcW w:w="1127" w:type="dxa"/>
            <w:vAlign w:val="top"/>
          </w:tcPr>
          <w:p w14:paraId="12F65BA4">
            <w:pPr>
              <w:rPr>
                <w:rFonts w:ascii="Arial"/>
                <w:sz w:val="21"/>
              </w:rPr>
            </w:pPr>
          </w:p>
        </w:tc>
        <w:tc>
          <w:tcPr>
            <w:tcW w:w="1386" w:type="dxa"/>
            <w:vAlign w:val="top"/>
          </w:tcPr>
          <w:p w14:paraId="14FF5D70">
            <w:pPr>
              <w:rPr>
                <w:rFonts w:ascii="Arial"/>
                <w:sz w:val="21"/>
              </w:rPr>
            </w:pPr>
          </w:p>
        </w:tc>
        <w:tc>
          <w:tcPr>
            <w:tcW w:w="1271" w:type="dxa"/>
            <w:vAlign w:val="top"/>
          </w:tcPr>
          <w:p w14:paraId="11E01F4A">
            <w:pPr>
              <w:rPr>
                <w:rFonts w:ascii="Arial"/>
                <w:sz w:val="21"/>
              </w:rPr>
            </w:pPr>
          </w:p>
        </w:tc>
        <w:tc>
          <w:tcPr>
            <w:tcW w:w="854" w:type="dxa"/>
            <w:vAlign w:val="top"/>
          </w:tcPr>
          <w:p w14:paraId="0A251C47">
            <w:pPr>
              <w:rPr>
                <w:rFonts w:ascii="Arial"/>
                <w:sz w:val="21"/>
              </w:rPr>
            </w:pPr>
          </w:p>
        </w:tc>
        <w:tc>
          <w:tcPr>
            <w:tcW w:w="1271" w:type="dxa"/>
            <w:vAlign w:val="top"/>
          </w:tcPr>
          <w:p w14:paraId="276AFE9F">
            <w:pPr>
              <w:rPr>
                <w:rFonts w:ascii="Arial"/>
                <w:sz w:val="21"/>
              </w:rPr>
            </w:pPr>
          </w:p>
        </w:tc>
        <w:tc>
          <w:tcPr>
            <w:tcW w:w="853" w:type="dxa"/>
            <w:vAlign w:val="top"/>
          </w:tcPr>
          <w:p w14:paraId="02E2162C">
            <w:pPr>
              <w:rPr>
                <w:rFonts w:ascii="Arial"/>
                <w:sz w:val="21"/>
              </w:rPr>
            </w:pPr>
          </w:p>
        </w:tc>
        <w:tc>
          <w:tcPr>
            <w:tcW w:w="950" w:type="dxa"/>
            <w:vAlign w:val="top"/>
          </w:tcPr>
          <w:p w14:paraId="3C91F5E0">
            <w:pPr>
              <w:rPr>
                <w:rFonts w:ascii="Arial"/>
                <w:sz w:val="21"/>
              </w:rPr>
            </w:pPr>
          </w:p>
        </w:tc>
        <w:tc>
          <w:tcPr>
            <w:tcW w:w="527" w:type="dxa"/>
            <w:tcBorders>
              <w:right w:val="single" w:color="000000" w:sz="4" w:space="0"/>
            </w:tcBorders>
            <w:vAlign w:val="top"/>
          </w:tcPr>
          <w:p w14:paraId="3BB49423">
            <w:pPr>
              <w:rPr>
                <w:rFonts w:ascii="Arial"/>
                <w:sz w:val="21"/>
              </w:rPr>
            </w:pPr>
          </w:p>
        </w:tc>
      </w:tr>
      <w:tr w14:paraId="66FE44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1" w:hRule="atLeast"/>
        </w:trPr>
        <w:tc>
          <w:tcPr>
            <w:tcW w:w="581" w:type="dxa"/>
            <w:tcBorders>
              <w:top w:val="single" w:color="000000" w:sz="4" w:space="0"/>
              <w:left w:val="single" w:color="000000" w:sz="4" w:space="0"/>
            </w:tcBorders>
            <w:vAlign w:val="top"/>
          </w:tcPr>
          <w:p w14:paraId="608A0ED9">
            <w:pPr>
              <w:rPr>
                <w:rFonts w:ascii="Arial"/>
                <w:sz w:val="21"/>
              </w:rPr>
            </w:pPr>
          </w:p>
        </w:tc>
        <w:tc>
          <w:tcPr>
            <w:tcW w:w="1127" w:type="dxa"/>
            <w:vAlign w:val="top"/>
          </w:tcPr>
          <w:p w14:paraId="2C3F156A">
            <w:pPr>
              <w:rPr>
                <w:rFonts w:ascii="Arial"/>
                <w:sz w:val="21"/>
              </w:rPr>
            </w:pPr>
          </w:p>
        </w:tc>
        <w:tc>
          <w:tcPr>
            <w:tcW w:w="1386" w:type="dxa"/>
            <w:vAlign w:val="top"/>
          </w:tcPr>
          <w:p w14:paraId="08E1FD57">
            <w:pPr>
              <w:rPr>
                <w:rFonts w:ascii="Arial"/>
                <w:sz w:val="21"/>
              </w:rPr>
            </w:pPr>
          </w:p>
        </w:tc>
        <w:tc>
          <w:tcPr>
            <w:tcW w:w="1271" w:type="dxa"/>
            <w:vAlign w:val="top"/>
          </w:tcPr>
          <w:p w14:paraId="78BC2109">
            <w:pPr>
              <w:rPr>
                <w:rFonts w:ascii="Arial"/>
                <w:sz w:val="21"/>
              </w:rPr>
            </w:pPr>
          </w:p>
        </w:tc>
        <w:tc>
          <w:tcPr>
            <w:tcW w:w="854" w:type="dxa"/>
            <w:vAlign w:val="top"/>
          </w:tcPr>
          <w:p w14:paraId="62E26163">
            <w:pPr>
              <w:rPr>
                <w:rFonts w:ascii="Arial"/>
                <w:sz w:val="21"/>
              </w:rPr>
            </w:pPr>
          </w:p>
        </w:tc>
        <w:tc>
          <w:tcPr>
            <w:tcW w:w="1271" w:type="dxa"/>
            <w:vAlign w:val="top"/>
          </w:tcPr>
          <w:p w14:paraId="292A32DE">
            <w:pPr>
              <w:rPr>
                <w:rFonts w:ascii="Arial"/>
                <w:sz w:val="21"/>
              </w:rPr>
            </w:pPr>
          </w:p>
        </w:tc>
        <w:tc>
          <w:tcPr>
            <w:tcW w:w="853" w:type="dxa"/>
            <w:vAlign w:val="top"/>
          </w:tcPr>
          <w:p w14:paraId="11B905D0">
            <w:pPr>
              <w:rPr>
                <w:rFonts w:ascii="Arial"/>
                <w:sz w:val="21"/>
              </w:rPr>
            </w:pPr>
          </w:p>
        </w:tc>
        <w:tc>
          <w:tcPr>
            <w:tcW w:w="950" w:type="dxa"/>
            <w:vAlign w:val="top"/>
          </w:tcPr>
          <w:p w14:paraId="49BA3BE6">
            <w:pPr>
              <w:rPr>
                <w:rFonts w:ascii="Arial"/>
                <w:sz w:val="21"/>
              </w:rPr>
            </w:pPr>
          </w:p>
        </w:tc>
        <w:tc>
          <w:tcPr>
            <w:tcW w:w="527" w:type="dxa"/>
            <w:tcBorders>
              <w:right w:val="single" w:color="000000" w:sz="4" w:space="0"/>
            </w:tcBorders>
            <w:vAlign w:val="top"/>
          </w:tcPr>
          <w:p w14:paraId="3281A330">
            <w:pPr>
              <w:rPr>
                <w:rFonts w:ascii="Arial"/>
                <w:sz w:val="21"/>
              </w:rPr>
            </w:pPr>
          </w:p>
        </w:tc>
      </w:tr>
      <w:tr w14:paraId="0DA5DF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5" w:hRule="atLeast"/>
        </w:trPr>
        <w:tc>
          <w:tcPr>
            <w:tcW w:w="581" w:type="dxa"/>
            <w:tcBorders>
              <w:left w:val="single" w:color="000000" w:sz="4" w:space="0"/>
            </w:tcBorders>
            <w:vAlign w:val="top"/>
          </w:tcPr>
          <w:p w14:paraId="672FA79F">
            <w:pPr>
              <w:rPr>
                <w:rFonts w:ascii="Arial"/>
                <w:sz w:val="21"/>
              </w:rPr>
            </w:pPr>
          </w:p>
        </w:tc>
        <w:tc>
          <w:tcPr>
            <w:tcW w:w="1127" w:type="dxa"/>
            <w:vAlign w:val="top"/>
          </w:tcPr>
          <w:p w14:paraId="70619E96">
            <w:pPr>
              <w:rPr>
                <w:rFonts w:ascii="Arial"/>
                <w:sz w:val="21"/>
              </w:rPr>
            </w:pPr>
          </w:p>
        </w:tc>
        <w:tc>
          <w:tcPr>
            <w:tcW w:w="1386" w:type="dxa"/>
            <w:vAlign w:val="top"/>
          </w:tcPr>
          <w:p w14:paraId="4A0FFDB9">
            <w:pPr>
              <w:rPr>
                <w:rFonts w:ascii="Arial"/>
                <w:sz w:val="21"/>
              </w:rPr>
            </w:pPr>
          </w:p>
        </w:tc>
        <w:tc>
          <w:tcPr>
            <w:tcW w:w="1271" w:type="dxa"/>
            <w:vAlign w:val="top"/>
          </w:tcPr>
          <w:p w14:paraId="36B04443">
            <w:pPr>
              <w:rPr>
                <w:rFonts w:ascii="Arial"/>
                <w:sz w:val="21"/>
              </w:rPr>
            </w:pPr>
          </w:p>
        </w:tc>
        <w:tc>
          <w:tcPr>
            <w:tcW w:w="854" w:type="dxa"/>
            <w:vAlign w:val="top"/>
          </w:tcPr>
          <w:p w14:paraId="463CCC1E">
            <w:pPr>
              <w:rPr>
                <w:rFonts w:ascii="Arial"/>
                <w:sz w:val="21"/>
              </w:rPr>
            </w:pPr>
          </w:p>
        </w:tc>
        <w:tc>
          <w:tcPr>
            <w:tcW w:w="1271" w:type="dxa"/>
            <w:vAlign w:val="top"/>
          </w:tcPr>
          <w:p w14:paraId="456BAA5F">
            <w:pPr>
              <w:rPr>
                <w:rFonts w:ascii="Arial"/>
                <w:sz w:val="21"/>
              </w:rPr>
            </w:pPr>
          </w:p>
        </w:tc>
        <w:tc>
          <w:tcPr>
            <w:tcW w:w="853" w:type="dxa"/>
            <w:vAlign w:val="top"/>
          </w:tcPr>
          <w:p w14:paraId="3D3D2126">
            <w:pPr>
              <w:rPr>
                <w:rFonts w:ascii="Arial"/>
                <w:sz w:val="21"/>
              </w:rPr>
            </w:pPr>
          </w:p>
        </w:tc>
        <w:tc>
          <w:tcPr>
            <w:tcW w:w="950" w:type="dxa"/>
            <w:vAlign w:val="top"/>
          </w:tcPr>
          <w:p w14:paraId="02EDC918">
            <w:pPr>
              <w:rPr>
                <w:rFonts w:ascii="Arial"/>
                <w:sz w:val="21"/>
              </w:rPr>
            </w:pPr>
          </w:p>
        </w:tc>
        <w:tc>
          <w:tcPr>
            <w:tcW w:w="527" w:type="dxa"/>
            <w:tcBorders>
              <w:right w:val="single" w:color="000000" w:sz="4" w:space="0"/>
            </w:tcBorders>
            <w:vAlign w:val="top"/>
          </w:tcPr>
          <w:p w14:paraId="1ACA2FAD">
            <w:pPr>
              <w:rPr>
                <w:rFonts w:ascii="Arial"/>
                <w:sz w:val="21"/>
              </w:rPr>
            </w:pPr>
          </w:p>
        </w:tc>
      </w:tr>
      <w:tr w14:paraId="3252B1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9" w:hRule="atLeast"/>
        </w:trPr>
        <w:tc>
          <w:tcPr>
            <w:tcW w:w="581" w:type="dxa"/>
            <w:tcBorders>
              <w:left w:val="single" w:color="000000" w:sz="4" w:space="0"/>
            </w:tcBorders>
            <w:vAlign w:val="top"/>
          </w:tcPr>
          <w:p w14:paraId="0FE4D68B">
            <w:pPr>
              <w:rPr>
                <w:rFonts w:ascii="Arial"/>
                <w:sz w:val="21"/>
              </w:rPr>
            </w:pPr>
          </w:p>
        </w:tc>
        <w:tc>
          <w:tcPr>
            <w:tcW w:w="1127" w:type="dxa"/>
            <w:vAlign w:val="top"/>
          </w:tcPr>
          <w:p w14:paraId="39863A68">
            <w:pPr>
              <w:rPr>
                <w:rFonts w:ascii="Arial"/>
                <w:sz w:val="21"/>
              </w:rPr>
            </w:pPr>
          </w:p>
        </w:tc>
        <w:tc>
          <w:tcPr>
            <w:tcW w:w="1386" w:type="dxa"/>
            <w:vAlign w:val="top"/>
          </w:tcPr>
          <w:p w14:paraId="0D23CE6C">
            <w:pPr>
              <w:rPr>
                <w:rFonts w:ascii="Arial"/>
                <w:sz w:val="21"/>
              </w:rPr>
            </w:pPr>
          </w:p>
        </w:tc>
        <w:tc>
          <w:tcPr>
            <w:tcW w:w="1271" w:type="dxa"/>
            <w:vAlign w:val="top"/>
          </w:tcPr>
          <w:p w14:paraId="2601F7A5">
            <w:pPr>
              <w:rPr>
                <w:rFonts w:ascii="Arial"/>
                <w:sz w:val="21"/>
              </w:rPr>
            </w:pPr>
          </w:p>
        </w:tc>
        <w:tc>
          <w:tcPr>
            <w:tcW w:w="854" w:type="dxa"/>
            <w:vAlign w:val="top"/>
          </w:tcPr>
          <w:p w14:paraId="622527BF">
            <w:pPr>
              <w:rPr>
                <w:rFonts w:ascii="Arial"/>
                <w:sz w:val="21"/>
              </w:rPr>
            </w:pPr>
          </w:p>
        </w:tc>
        <w:tc>
          <w:tcPr>
            <w:tcW w:w="1271" w:type="dxa"/>
            <w:vAlign w:val="top"/>
          </w:tcPr>
          <w:p w14:paraId="1B308BA6">
            <w:pPr>
              <w:rPr>
                <w:rFonts w:ascii="Arial"/>
                <w:sz w:val="21"/>
              </w:rPr>
            </w:pPr>
          </w:p>
        </w:tc>
        <w:tc>
          <w:tcPr>
            <w:tcW w:w="853" w:type="dxa"/>
            <w:vAlign w:val="top"/>
          </w:tcPr>
          <w:p w14:paraId="48D5D4B2">
            <w:pPr>
              <w:rPr>
                <w:rFonts w:ascii="Arial"/>
                <w:sz w:val="21"/>
              </w:rPr>
            </w:pPr>
          </w:p>
        </w:tc>
        <w:tc>
          <w:tcPr>
            <w:tcW w:w="950" w:type="dxa"/>
            <w:vAlign w:val="top"/>
          </w:tcPr>
          <w:p w14:paraId="4CD40C2A">
            <w:pPr>
              <w:rPr>
                <w:rFonts w:ascii="Arial"/>
                <w:sz w:val="21"/>
              </w:rPr>
            </w:pPr>
          </w:p>
        </w:tc>
        <w:tc>
          <w:tcPr>
            <w:tcW w:w="527" w:type="dxa"/>
            <w:tcBorders>
              <w:right w:val="single" w:color="000000" w:sz="4" w:space="0"/>
            </w:tcBorders>
            <w:vAlign w:val="top"/>
          </w:tcPr>
          <w:p w14:paraId="1F7EFA9A">
            <w:pPr>
              <w:rPr>
                <w:rFonts w:ascii="Arial"/>
                <w:sz w:val="21"/>
              </w:rPr>
            </w:pPr>
          </w:p>
        </w:tc>
      </w:tr>
      <w:tr w14:paraId="567114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5" w:hRule="atLeast"/>
        </w:trPr>
        <w:tc>
          <w:tcPr>
            <w:tcW w:w="581" w:type="dxa"/>
            <w:tcBorders>
              <w:left w:val="single" w:color="000000" w:sz="4" w:space="0"/>
            </w:tcBorders>
            <w:vAlign w:val="top"/>
          </w:tcPr>
          <w:p w14:paraId="7E4C8862">
            <w:pPr>
              <w:rPr>
                <w:rFonts w:ascii="Arial"/>
                <w:sz w:val="21"/>
              </w:rPr>
            </w:pPr>
          </w:p>
        </w:tc>
        <w:tc>
          <w:tcPr>
            <w:tcW w:w="1127" w:type="dxa"/>
            <w:vAlign w:val="top"/>
          </w:tcPr>
          <w:p w14:paraId="1C22CD66">
            <w:pPr>
              <w:rPr>
                <w:rFonts w:ascii="Arial"/>
                <w:sz w:val="21"/>
              </w:rPr>
            </w:pPr>
          </w:p>
        </w:tc>
        <w:tc>
          <w:tcPr>
            <w:tcW w:w="1386" w:type="dxa"/>
            <w:vAlign w:val="top"/>
          </w:tcPr>
          <w:p w14:paraId="3CE1CF0E">
            <w:pPr>
              <w:rPr>
                <w:rFonts w:ascii="Arial"/>
                <w:sz w:val="21"/>
              </w:rPr>
            </w:pPr>
          </w:p>
        </w:tc>
        <w:tc>
          <w:tcPr>
            <w:tcW w:w="1271" w:type="dxa"/>
            <w:vAlign w:val="top"/>
          </w:tcPr>
          <w:p w14:paraId="3E9906FD">
            <w:pPr>
              <w:rPr>
                <w:rFonts w:ascii="Arial"/>
                <w:sz w:val="21"/>
              </w:rPr>
            </w:pPr>
          </w:p>
        </w:tc>
        <w:tc>
          <w:tcPr>
            <w:tcW w:w="854" w:type="dxa"/>
            <w:vAlign w:val="top"/>
          </w:tcPr>
          <w:p w14:paraId="67C8C1DA">
            <w:pPr>
              <w:rPr>
                <w:rFonts w:ascii="Arial"/>
                <w:sz w:val="21"/>
              </w:rPr>
            </w:pPr>
          </w:p>
        </w:tc>
        <w:tc>
          <w:tcPr>
            <w:tcW w:w="1271" w:type="dxa"/>
            <w:vAlign w:val="top"/>
          </w:tcPr>
          <w:p w14:paraId="5AD61F8C">
            <w:pPr>
              <w:rPr>
                <w:rFonts w:ascii="Arial"/>
                <w:sz w:val="21"/>
              </w:rPr>
            </w:pPr>
          </w:p>
        </w:tc>
        <w:tc>
          <w:tcPr>
            <w:tcW w:w="853" w:type="dxa"/>
            <w:vAlign w:val="top"/>
          </w:tcPr>
          <w:p w14:paraId="183C5348">
            <w:pPr>
              <w:rPr>
                <w:rFonts w:ascii="Arial"/>
                <w:sz w:val="21"/>
              </w:rPr>
            </w:pPr>
          </w:p>
        </w:tc>
        <w:tc>
          <w:tcPr>
            <w:tcW w:w="950" w:type="dxa"/>
            <w:vAlign w:val="top"/>
          </w:tcPr>
          <w:p w14:paraId="14AE2545">
            <w:pPr>
              <w:rPr>
                <w:rFonts w:ascii="Arial"/>
                <w:sz w:val="21"/>
              </w:rPr>
            </w:pPr>
          </w:p>
        </w:tc>
        <w:tc>
          <w:tcPr>
            <w:tcW w:w="527" w:type="dxa"/>
            <w:tcBorders>
              <w:right w:val="single" w:color="000000" w:sz="4" w:space="0"/>
            </w:tcBorders>
            <w:vAlign w:val="top"/>
          </w:tcPr>
          <w:p w14:paraId="45F3DFDC">
            <w:pPr>
              <w:rPr>
                <w:rFonts w:ascii="Arial"/>
                <w:sz w:val="21"/>
              </w:rPr>
            </w:pPr>
          </w:p>
        </w:tc>
      </w:tr>
      <w:tr w14:paraId="448DB1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9" w:hRule="atLeast"/>
        </w:trPr>
        <w:tc>
          <w:tcPr>
            <w:tcW w:w="581" w:type="dxa"/>
            <w:tcBorders>
              <w:left w:val="single" w:color="000000" w:sz="4" w:space="0"/>
            </w:tcBorders>
            <w:vAlign w:val="top"/>
          </w:tcPr>
          <w:p w14:paraId="49A4A42F">
            <w:pPr>
              <w:rPr>
                <w:rFonts w:ascii="Arial"/>
                <w:sz w:val="21"/>
              </w:rPr>
            </w:pPr>
          </w:p>
        </w:tc>
        <w:tc>
          <w:tcPr>
            <w:tcW w:w="1127" w:type="dxa"/>
            <w:vAlign w:val="top"/>
          </w:tcPr>
          <w:p w14:paraId="334F6345">
            <w:pPr>
              <w:rPr>
                <w:rFonts w:ascii="Arial"/>
                <w:sz w:val="21"/>
              </w:rPr>
            </w:pPr>
          </w:p>
        </w:tc>
        <w:tc>
          <w:tcPr>
            <w:tcW w:w="1386" w:type="dxa"/>
            <w:vAlign w:val="top"/>
          </w:tcPr>
          <w:p w14:paraId="44D238BF">
            <w:pPr>
              <w:rPr>
                <w:rFonts w:ascii="Arial"/>
                <w:sz w:val="21"/>
              </w:rPr>
            </w:pPr>
          </w:p>
        </w:tc>
        <w:tc>
          <w:tcPr>
            <w:tcW w:w="1271" w:type="dxa"/>
            <w:vAlign w:val="top"/>
          </w:tcPr>
          <w:p w14:paraId="33211E80">
            <w:pPr>
              <w:rPr>
                <w:rFonts w:ascii="Arial"/>
                <w:sz w:val="21"/>
              </w:rPr>
            </w:pPr>
          </w:p>
        </w:tc>
        <w:tc>
          <w:tcPr>
            <w:tcW w:w="854" w:type="dxa"/>
            <w:vAlign w:val="top"/>
          </w:tcPr>
          <w:p w14:paraId="70094EE1">
            <w:pPr>
              <w:rPr>
                <w:rFonts w:ascii="Arial"/>
                <w:sz w:val="21"/>
              </w:rPr>
            </w:pPr>
          </w:p>
        </w:tc>
        <w:tc>
          <w:tcPr>
            <w:tcW w:w="1271" w:type="dxa"/>
            <w:vAlign w:val="top"/>
          </w:tcPr>
          <w:p w14:paraId="5A0B80C0">
            <w:pPr>
              <w:rPr>
                <w:rFonts w:ascii="Arial"/>
                <w:sz w:val="21"/>
              </w:rPr>
            </w:pPr>
          </w:p>
        </w:tc>
        <w:tc>
          <w:tcPr>
            <w:tcW w:w="853" w:type="dxa"/>
            <w:vAlign w:val="top"/>
          </w:tcPr>
          <w:p w14:paraId="729E14C2">
            <w:pPr>
              <w:rPr>
                <w:rFonts w:ascii="Arial"/>
                <w:sz w:val="21"/>
              </w:rPr>
            </w:pPr>
          </w:p>
        </w:tc>
        <w:tc>
          <w:tcPr>
            <w:tcW w:w="950" w:type="dxa"/>
            <w:vAlign w:val="top"/>
          </w:tcPr>
          <w:p w14:paraId="6D9E8A1E">
            <w:pPr>
              <w:rPr>
                <w:rFonts w:ascii="Arial"/>
                <w:sz w:val="21"/>
              </w:rPr>
            </w:pPr>
          </w:p>
        </w:tc>
        <w:tc>
          <w:tcPr>
            <w:tcW w:w="527" w:type="dxa"/>
            <w:tcBorders>
              <w:right w:val="single" w:color="000000" w:sz="4" w:space="0"/>
            </w:tcBorders>
            <w:vAlign w:val="top"/>
          </w:tcPr>
          <w:p w14:paraId="146DA9DE">
            <w:pPr>
              <w:rPr>
                <w:rFonts w:ascii="Arial"/>
                <w:sz w:val="21"/>
              </w:rPr>
            </w:pPr>
          </w:p>
        </w:tc>
      </w:tr>
      <w:tr w14:paraId="5816D0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5" w:hRule="atLeast"/>
        </w:trPr>
        <w:tc>
          <w:tcPr>
            <w:tcW w:w="581" w:type="dxa"/>
            <w:tcBorders>
              <w:left w:val="single" w:color="000000" w:sz="4" w:space="0"/>
            </w:tcBorders>
            <w:vAlign w:val="top"/>
          </w:tcPr>
          <w:p w14:paraId="43141758">
            <w:pPr>
              <w:rPr>
                <w:rFonts w:ascii="Arial"/>
                <w:sz w:val="21"/>
              </w:rPr>
            </w:pPr>
          </w:p>
        </w:tc>
        <w:tc>
          <w:tcPr>
            <w:tcW w:w="1127" w:type="dxa"/>
            <w:vAlign w:val="top"/>
          </w:tcPr>
          <w:p w14:paraId="330E4610">
            <w:pPr>
              <w:rPr>
                <w:rFonts w:ascii="Arial"/>
                <w:sz w:val="21"/>
              </w:rPr>
            </w:pPr>
          </w:p>
        </w:tc>
        <w:tc>
          <w:tcPr>
            <w:tcW w:w="1386" w:type="dxa"/>
            <w:vAlign w:val="top"/>
          </w:tcPr>
          <w:p w14:paraId="58157F54">
            <w:pPr>
              <w:rPr>
                <w:rFonts w:ascii="Arial"/>
                <w:sz w:val="21"/>
              </w:rPr>
            </w:pPr>
          </w:p>
        </w:tc>
        <w:tc>
          <w:tcPr>
            <w:tcW w:w="1271" w:type="dxa"/>
            <w:vAlign w:val="top"/>
          </w:tcPr>
          <w:p w14:paraId="05A1A8A3">
            <w:pPr>
              <w:rPr>
                <w:rFonts w:ascii="Arial"/>
                <w:sz w:val="21"/>
              </w:rPr>
            </w:pPr>
          </w:p>
        </w:tc>
        <w:tc>
          <w:tcPr>
            <w:tcW w:w="854" w:type="dxa"/>
            <w:vAlign w:val="top"/>
          </w:tcPr>
          <w:p w14:paraId="5CEA26B9">
            <w:pPr>
              <w:rPr>
                <w:rFonts w:ascii="Arial"/>
                <w:sz w:val="21"/>
              </w:rPr>
            </w:pPr>
          </w:p>
        </w:tc>
        <w:tc>
          <w:tcPr>
            <w:tcW w:w="1271" w:type="dxa"/>
            <w:vAlign w:val="top"/>
          </w:tcPr>
          <w:p w14:paraId="706BA085">
            <w:pPr>
              <w:rPr>
                <w:rFonts w:ascii="Arial"/>
                <w:sz w:val="21"/>
              </w:rPr>
            </w:pPr>
          </w:p>
        </w:tc>
        <w:tc>
          <w:tcPr>
            <w:tcW w:w="853" w:type="dxa"/>
            <w:vAlign w:val="top"/>
          </w:tcPr>
          <w:p w14:paraId="36033925">
            <w:pPr>
              <w:rPr>
                <w:rFonts w:ascii="Arial"/>
                <w:sz w:val="21"/>
              </w:rPr>
            </w:pPr>
          </w:p>
        </w:tc>
        <w:tc>
          <w:tcPr>
            <w:tcW w:w="950" w:type="dxa"/>
            <w:vAlign w:val="top"/>
          </w:tcPr>
          <w:p w14:paraId="11C5C790">
            <w:pPr>
              <w:rPr>
                <w:rFonts w:ascii="Arial"/>
                <w:sz w:val="21"/>
              </w:rPr>
            </w:pPr>
          </w:p>
        </w:tc>
        <w:tc>
          <w:tcPr>
            <w:tcW w:w="527" w:type="dxa"/>
            <w:tcBorders>
              <w:right w:val="single" w:color="000000" w:sz="4" w:space="0"/>
            </w:tcBorders>
            <w:vAlign w:val="top"/>
          </w:tcPr>
          <w:p w14:paraId="536F1105">
            <w:pPr>
              <w:rPr>
                <w:rFonts w:ascii="Arial"/>
                <w:sz w:val="21"/>
              </w:rPr>
            </w:pPr>
          </w:p>
        </w:tc>
      </w:tr>
      <w:tr w14:paraId="140CD3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4" w:hRule="atLeast"/>
        </w:trPr>
        <w:tc>
          <w:tcPr>
            <w:tcW w:w="581" w:type="dxa"/>
            <w:tcBorders>
              <w:left w:val="single" w:color="000000" w:sz="4" w:space="0"/>
            </w:tcBorders>
            <w:vAlign w:val="top"/>
          </w:tcPr>
          <w:p w14:paraId="3C3DA252">
            <w:pPr>
              <w:rPr>
                <w:rFonts w:ascii="Arial"/>
                <w:sz w:val="21"/>
              </w:rPr>
            </w:pPr>
          </w:p>
        </w:tc>
        <w:tc>
          <w:tcPr>
            <w:tcW w:w="1127" w:type="dxa"/>
            <w:vAlign w:val="top"/>
          </w:tcPr>
          <w:p w14:paraId="11CCDB06">
            <w:pPr>
              <w:rPr>
                <w:rFonts w:ascii="Arial"/>
                <w:sz w:val="21"/>
              </w:rPr>
            </w:pPr>
          </w:p>
        </w:tc>
        <w:tc>
          <w:tcPr>
            <w:tcW w:w="1386" w:type="dxa"/>
            <w:vAlign w:val="top"/>
          </w:tcPr>
          <w:p w14:paraId="722BDB61">
            <w:pPr>
              <w:rPr>
                <w:rFonts w:ascii="Arial"/>
                <w:sz w:val="21"/>
              </w:rPr>
            </w:pPr>
          </w:p>
        </w:tc>
        <w:tc>
          <w:tcPr>
            <w:tcW w:w="1271" w:type="dxa"/>
            <w:vAlign w:val="top"/>
          </w:tcPr>
          <w:p w14:paraId="788F382A">
            <w:pPr>
              <w:rPr>
                <w:rFonts w:ascii="Arial"/>
                <w:sz w:val="21"/>
              </w:rPr>
            </w:pPr>
          </w:p>
        </w:tc>
        <w:tc>
          <w:tcPr>
            <w:tcW w:w="854" w:type="dxa"/>
            <w:vAlign w:val="top"/>
          </w:tcPr>
          <w:p w14:paraId="22719C4D">
            <w:pPr>
              <w:rPr>
                <w:rFonts w:ascii="Arial"/>
                <w:sz w:val="21"/>
              </w:rPr>
            </w:pPr>
          </w:p>
        </w:tc>
        <w:tc>
          <w:tcPr>
            <w:tcW w:w="1271" w:type="dxa"/>
            <w:vAlign w:val="top"/>
          </w:tcPr>
          <w:p w14:paraId="2F740288">
            <w:pPr>
              <w:rPr>
                <w:rFonts w:ascii="Arial"/>
                <w:sz w:val="21"/>
              </w:rPr>
            </w:pPr>
          </w:p>
        </w:tc>
        <w:tc>
          <w:tcPr>
            <w:tcW w:w="853" w:type="dxa"/>
            <w:vAlign w:val="top"/>
          </w:tcPr>
          <w:p w14:paraId="3C8E594E">
            <w:pPr>
              <w:rPr>
                <w:rFonts w:ascii="Arial"/>
                <w:sz w:val="21"/>
              </w:rPr>
            </w:pPr>
          </w:p>
        </w:tc>
        <w:tc>
          <w:tcPr>
            <w:tcW w:w="950" w:type="dxa"/>
            <w:vAlign w:val="top"/>
          </w:tcPr>
          <w:p w14:paraId="20A0E59B">
            <w:pPr>
              <w:rPr>
                <w:rFonts w:ascii="Arial"/>
                <w:sz w:val="21"/>
              </w:rPr>
            </w:pPr>
          </w:p>
        </w:tc>
        <w:tc>
          <w:tcPr>
            <w:tcW w:w="527" w:type="dxa"/>
            <w:tcBorders>
              <w:right w:val="single" w:color="000000" w:sz="4" w:space="0"/>
            </w:tcBorders>
            <w:vAlign w:val="top"/>
          </w:tcPr>
          <w:p w14:paraId="563C91EC">
            <w:pPr>
              <w:rPr>
                <w:rFonts w:ascii="Arial"/>
                <w:sz w:val="21"/>
              </w:rPr>
            </w:pPr>
          </w:p>
        </w:tc>
      </w:tr>
      <w:tr w14:paraId="047B7B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9" w:hRule="atLeast"/>
        </w:trPr>
        <w:tc>
          <w:tcPr>
            <w:tcW w:w="5219" w:type="dxa"/>
            <w:gridSpan w:val="5"/>
            <w:tcBorders>
              <w:left w:val="single" w:color="000000" w:sz="4" w:space="0"/>
              <w:bottom w:val="single" w:color="000000" w:sz="4" w:space="0"/>
            </w:tcBorders>
            <w:vAlign w:val="top"/>
          </w:tcPr>
          <w:p w14:paraId="2935F969">
            <w:pPr>
              <w:spacing w:line="248" w:lineRule="auto"/>
              <w:rPr>
                <w:rFonts w:ascii="Arial"/>
                <w:sz w:val="21"/>
              </w:rPr>
            </w:pPr>
          </w:p>
          <w:p w14:paraId="6F6B3584">
            <w:pPr>
              <w:pStyle w:val="11"/>
              <w:spacing w:before="68" w:line="222" w:lineRule="auto"/>
              <w:ind w:left="2404"/>
            </w:pPr>
            <w:r>
              <w:rPr>
                <w:spacing w:val="-2"/>
              </w:rPr>
              <w:t>合计</w:t>
            </w:r>
          </w:p>
        </w:tc>
        <w:tc>
          <w:tcPr>
            <w:tcW w:w="1271" w:type="dxa"/>
            <w:tcBorders>
              <w:bottom w:val="single" w:color="000000" w:sz="4" w:space="0"/>
            </w:tcBorders>
            <w:vAlign w:val="top"/>
          </w:tcPr>
          <w:p w14:paraId="0F9B841A">
            <w:pPr>
              <w:rPr>
                <w:rFonts w:ascii="Arial"/>
                <w:sz w:val="21"/>
              </w:rPr>
            </w:pPr>
          </w:p>
        </w:tc>
        <w:tc>
          <w:tcPr>
            <w:tcW w:w="853" w:type="dxa"/>
            <w:tcBorders>
              <w:bottom w:val="single" w:color="000000" w:sz="4" w:space="0"/>
            </w:tcBorders>
            <w:vAlign w:val="top"/>
          </w:tcPr>
          <w:p w14:paraId="55D80F0F">
            <w:pPr>
              <w:rPr>
                <w:rFonts w:ascii="Arial"/>
                <w:sz w:val="21"/>
              </w:rPr>
            </w:pPr>
          </w:p>
        </w:tc>
        <w:tc>
          <w:tcPr>
            <w:tcW w:w="950" w:type="dxa"/>
            <w:tcBorders>
              <w:bottom w:val="single" w:color="000000" w:sz="4" w:space="0"/>
            </w:tcBorders>
            <w:vAlign w:val="top"/>
          </w:tcPr>
          <w:p w14:paraId="571A0B91">
            <w:pPr>
              <w:rPr>
                <w:rFonts w:ascii="Arial"/>
                <w:sz w:val="21"/>
              </w:rPr>
            </w:pPr>
          </w:p>
        </w:tc>
        <w:tc>
          <w:tcPr>
            <w:tcW w:w="527" w:type="dxa"/>
            <w:tcBorders>
              <w:bottom w:val="single" w:color="000000" w:sz="4" w:space="0"/>
              <w:right w:val="single" w:color="000000" w:sz="4" w:space="0"/>
            </w:tcBorders>
            <w:vAlign w:val="top"/>
          </w:tcPr>
          <w:p w14:paraId="2BF93CD4">
            <w:pPr>
              <w:rPr>
                <w:rFonts w:ascii="Arial"/>
                <w:sz w:val="21"/>
              </w:rPr>
            </w:pPr>
          </w:p>
        </w:tc>
      </w:tr>
    </w:tbl>
    <w:p w14:paraId="6407247A">
      <w:pPr>
        <w:spacing w:before="274" w:line="219" w:lineRule="auto"/>
        <w:ind w:left="264"/>
        <w:rPr>
          <w:rFonts w:ascii="宋体" w:hAnsi="宋体" w:eastAsia="宋体" w:cs="宋体"/>
          <w:sz w:val="21"/>
          <w:szCs w:val="21"/>
        </w:rPr>
      </w:pPr>
      <w:r>
        <w:rPr>
          <w:rFonts w:ascii="宋体" w:hAnsi="宋体" w:eastAsia="宋体" w:cs="宋体"/>
          <w:spacing w:val="-12"/>
          <w:sz w:val="21"/>
          <w:szCs w:val="21"/>
        </w:rPr>
        <w:t>编制人（造价人员</w:t>
      </w:r>
      <w:r>
        <w:rPr>
          <w:rFonts w:ascii="宋体" w:hAnsi="宋体" w:eastAsia="宋体" w:cs="宋体"/>
          <w:spacing w:val="-13"/>
          <w:sz w:val="21"/>
          <w:szCs w:val="21"/>
        </w:rPr>
        <w:t>）：</w:t>
      </w:r>
      <w:r>
        <w:rPr>
          <w:rFonts w:ascii="宋体" w:hAnsi="宋体" w:eastAsia="宋体" w:cs="宋体"/>
          <w:spacing w:val="1"/>
          <w:sz w:val="21"/>
          <w:szCs w:val="21"/>
        </w:rPr>
        <w:t xml:space="preserve">                         </w:t>
      </w:r>
      <w:r>
        <w:rPr>
          <w:rFonts w:ascii="宋体" w:hAnsi="宋体" w:eastAsia="宋体" w:cs="宋体"/>
          <w:spacing w:val="-12"/>
          <w:sz w:val="21"/>
          <w:szCs w:val="21"/>
        </w:rPr>
        <w:t>复核人（造价工程师</w:t>
      </w:r>
      <w:r>
        <w:rPr>
          <w:rFonts w:ascii="宋体" w:hAnsi="宋体" w:eastAsia="宋体" w:cs="宋体"/>
          <w:spacing w:val="-13"/>
          <w:sz w:val="21"/>
          <w:szCs w:val="21"/>
        </w:rPr>
        <w:t>）：</w:t>
      </w:r>
    </w:p>
    <w:p w14:paraId="6621BD47">
      <w:pPr>
        <w:spacing w:before="298" w:line="219" w:lineRule="auto"/>
        <w:ind w:left="262"/>
        <w:rPr>
          <w:rFonts w:ascii="宋体" w:hAnsi="宋体" w:eastAsia="宋体" w:cs="宋体"/>
          <w:sz w:val="21"/>
          <w:szCs w:val="21"/>
        </w:rPr>
      </w:pPr>
      <w:r>
        <w:rPr>
          <w:rFonts w:ascii="宋体" w:hAnsi="宋体" w:eastAsia="宋体" w:cs="宋体"/>
          <w:spacing w:val="-1"/>
          <w:sz w:val="21"/>
          <w:szCs w:val="21"/>
        </w:rPr>
        <w:t>注： 1．“计价基础</w:t>
      </w:r>
      <w:r>
        <w:rPr>
          <w:rFonts w:ascii="宋体" w:hAnsi="宋体" w:eastAsia="宋体" w:cs="宋体"/>
          <w:spacing w:val="-77"/>
          <w:sz w:val="21"/>
          <w:szCs w:val="21"/>
        </w:rPr>
        <w:t xml:space="preserve"> </w:t>
      </w:r>
      <w:r>
        <w:rPr>
          <w:rFonts w:ascii="宋体" w:hAnsi="宋体" w:eastAsia="宋体" w:cs="宋体"/>
          <w:spacing w:val="-1"/>
          <w:sz w:val="21"/>
          <w:szCs w:val="21"/>
        </w:rPr>
        <w:t>”中安全文明施工费可为“定额人工费+定额</w:t>
      </w:r>
      <w:r>
        <w:rPr>
          <w:rFonts w:ascii="宋体" w:hAnsi="宋体" w:eastAsia="宋体" w:cs="宋体"/>
          <w:spacing w:val="-2"/>
          <w:sz w:val="21"/>
          <w:szCs w:val="21"/>
        </w:rPr>
        <w:t>机械费</w:t>
      </w:r>
      <w:r>
        <w:rPr>
          <w:rFonts w:ascii="宋体" w:hAnsi="宋体" w:eastAsia="宋体" w:cs="宋体"/>
          <w:spacing w:val="-76"/>
          <w:sz w:val="21"/>
          <w:szCs w:val="21"/>
        </w:rPr>
        <w:t xml:space="preserve"> </w:t>
      </w:r>
      <w:r>
        <w:rPr>
          <w:rFonts w:ascii="宋体" w:hAnsi="宋体" w:eastAsia="宋体" w:cs="宋体"/>
          <w:spacing w:val="-2"/>
          <w:sz w:val="21"/>
          <w:szCs w:val="21"/>
        </w:rPr>
        <w:t>”，其他项目可为</w:t>
      </w:r>
    </w:p>
    <w:p w14:paraId="203912EC">
      <w:pPr>
        <w:spacing w:before="25" w:line="220" w:lineRule="auto"/>
        <w:ind w:left="983"/>
        <w:rPr>
          <w:rFonts w:ascii="宋体" w:hAnsi="宋体" w:eastAsia="宋体" w:cs="宋体"/>
          <w:sz w:val="21"/>
          <w:szCs w:val="21"/>
        </w:rPr>
      </w:pPr>
      <w:r>
        <w:rPr>
          <w:rFonts w:ascii="宋体" w:hAnsi="宋体" w:eastAsia="宋体" w:cs="宋体"/>
          <w:sz w:val="21"/>
          <w:szCs w:val="21"/>
        </w:rPr>
        <w:t>“定额人工费+定额机械费</w:t>
      </w:r>
      <w:r>
        <w:rPr>
          <w:rFonts w:ascii="Times New Roman" w:hAnsi="Times New Roman" w:eastAsia="Times New Roman" w:cs="Times New Roman"/>
          <w:sz w:val="21"/>
          <w:szCs w:val="21"/>
        </w:rPr>
        <w:t>”</w:t>
      </w:r>
      <w:r>
        <w:rPr>
          <w:rFonts w:ascii="宋体" w:hAnsi="宋体" w:eastAsia="宋体" w:cs="宋体"/>
          <w:sz w:val="21"/>
          <w:szCs w:val="21"/>
        </w:rPr>
        <w:t>。</w:t>
      </w:r>
    </w:p>
    <w:p w14:paraId="7033CD35">
      <w:pPr>
        <w:spacing w:before="24" w:line="228" w:lineRule="auto"/>
        <w:ind w:left="995" w:right="95" w:hanging="314"/>
        <w:rPr>
          <w:rFonts w:ascii="宋体" w:hAnsi="宋体" w:eastAsia="宋体" w:cs="宋体"/>
          <w:sz w:val="21"/>
          <w:szCs w:val="21"/>
        </w:rPr>
      </w:pPr>
      <w:r>
        <w:rPr>
          <w:rFonts w:ascii="Times New Roman" w:hAnsi="Times New Roman" w:eastAsia="Times New Roman" w:cs="Times New Roman"/>
          <w:spacing w:val="-1"/>
          <w:sz w:val="21"/>
          <w:szCs w:val="21"/>
        </w:rPr>
        <w:t>2</w:t>
      </w:r>
      <w:r>
        <w:rPr>
          <w:rFonts w:ascii="Times New Roman" w:hAnsi="Times New Roman" w:eastAsia="Times New Roman" w:cs="Times New Roman"/>
          <w:spacing w:val="-18"/>
          <w:sz w:val="21"/>
          <w:szCs w:val="21"/>
        </w:rPr>
        <w:t xml:space="preserve"> </w:t>
      </w:r>
      <w:r>
        <w:rPr>
          <w:rFonts w:ascii="宋体" w:hAnsi="宋体" w:eastAsia="宋体" w:cs="宋体"/>
          <w:spacing w:val="-1"/>
          <w:sz w:val="21"/>
          <w:szCs w:val="21"/>
        </w:rPr>
        <w:t>．按施工方案计算的措施费，若无</w:t>
      </w:r>
      <w:r>
        <w:rPr>
          <w:rFonts w:ascii="Times New Roman" w:hAnsi="Times New Roman" w:eastAsia="Times New Roman" w:cs="Times New Roman"/>
          <w:spacing w:val="-1"/>
          <w:sz w:val="21"/>
          <w:szCs w:val="21"/>
        </w:rPr>
        <w:t>“</w:t>
      </w:r>
      <w:r>
        <w:rPr>
          <w:rFonts w:ascii="宋体" w:hAnsi="宋体" w:eastAsia="宋体" w:cs="宋体"/>
          <w:spacing w:val="-1"/>
          <w:sz w:val="21"/>
          <w:szCs w:val="21"/>
        </w:rPr>
        <w:t>计算基础</w:t>
      </w:r>
      <w:r>
        <w:rPr>
          <w:rFonts w:ascii="Times New Roman" w:hAnsi="Times New Roman" w:eastAsia="Times New Roman" w:cs="Times New Roman"/>
          <w:spacing w:val="-1"/>
          <w:sz w:val="21"/>
          <w:szCs w:val="21"/>
        </w:rPr>
        <w:t>”</w:t>
      </w:r>
      <w:r>
        <w:rPr>
          <w:rFonts w:ascii="宋体" w:hAnsi="宋体" w:eastAsia="宋体" w:cs="宋体"/>
          <w:spacing w:val="-1"/>
          <w:sz w:val="21"/>
          <w:szCs w:val="21"/>
        </w:rPr>
        <w:t>和</w:t>
      </w:r>
      <w:r>
        <w:rPr>
          <w:rFonts w:ascii="Times New Roman" w:hAnsi="Times New Roman" w:eastAsia="Times New Roman" w:cs="Times New Roman"/>
          <w:spacing w:val="-1"/>
          <w:sz w:val="21"/>
          <w:szCs w:val="21"/>
        </w:rPr>
        <w:t>“</w:t>
      </w:r>
      <w:r>
        <w:rPr>
          <w:rFonts w:ascii="Times New Roman" w:hAnsi="Times New Roman" w:eastAsia="Times New Roman" w:cs="Times New Roman"/>
          <w:spacing w:val="-36"/>
          <w:sz w:val="21"/>
          <w:szCs w:val="21"/>
        </w:rPr>
        <w:t xml:space="preserve"> </w:t>
      </w:r>
      <w:r>
        <w:rPr>
          <w:rFonts w:ascii="宋体" w:hAnsi="宋体" w:eastAsia="宋体" w:cs="宋体"/>
          <w:spacing w:val="-1"/>
          <w:sz w:val="21"/>
          <w:szCs w:val="21"/>
        </w:rPr>
        <w:t>费率</w:t>
      </w:r>
      <w:r>
        <w:rPr>
          <w:rFonts w:ascii="Times New Roman" w:hAnsi="Times New Roman" w:eastAsia="Times New Roman" w:cs="Times New Roman"/>
          <w:spacing w:val="-1"/>
          <w:sz w:val="21"/>
          <w:szCs w:val="21"/>
        </w:rPr>
        <w:t>”</w:t>
      </w:r>
      <w:r>
        <w:rPr>
          <w:rFonts w:ascii="Times New Roman" w:hAnsi="Times New Roman" w:eastAsia="Times New Roman" w:cs="Times New Roman"/>
          <w:spacing w:val="-24"/>
          <w:sz w:val="21"/>
          <w:szCs w:val="21"/>
        </w:rPr>
        <w:t xml:space="preserve"> </w:t>
      </w:r>
      <w:r>
        <w:rPr>
          <w:rFonts w:ascii="宋体" w:hAnsi="宋体" w:eastAsia="宋体" w:cs="宋体"/>
          <w:spacing w:val="-1"/>
          <w:sz w:val="21"/>
          <w:szCs w:val="21"/>
        </w:rPr>
        <w:t>的数值，也可只填</w:t>
      </w:r>
      <w:r>
        <w:rPr>
          <w:rFonts w:ascii="Times New Roman" w:hAnsi="Times New Roman" w:eastAsia="Times New Roman" w:cs="Times New Roman"/>
          <w:spacing w:val="-1"/>
          <w:sz w:val="21"/>
          <w:szCs w:val="21"/>
        </w:rPr>
        <w:t>“</w:t>
      </w:r>
      <w:r>
        <w:rPr>
          <w:rFonts w:ascii="宋体" w:hAnsi="宋体" w:eastAsia="宋体" w:cs="宋体"/>
          <w:spacing w:val="-1"/>
          <w:sz w:val="21"/>
          <w:szCs w:val="21"/>
        </w:rPr>
        <w:t>金额</w:t>
      </w:r>
      <w:r>
        <w:rPr>
          <w:rFonts w:ascii="Times New Roman" w:hAnsi="Times New Roman" w:eastAsia="Times New Roman" w:cs="Times New Roman"/>
          <w:spacing w:val="-1"/>
          <w:sz w:val="21"/>
          <w:szCs w:val="21"/>
        </w:rPr>
        <w:t>”</w:t>
      </w:r>
      <w:r>
        <w:rPr>
          <w:rFonts w:ascii="宋体" w:hAnsi="宋体" w:eastAsia="宋体" w:cs="宋体"/>
          <w:spacing w:val="-1"/>
          <w:sz w:val="21"/>
          <w:szCs w:val="21"/>
        </w:rPr>
        <w:t>数值，</w:t>
      </w:r>
      <w:r>
        <w:rPr>
          <w:rFonts w:ascii="宋体" w:hAnsi="宋体" w:eastAsia="宋体" w:cs="宋体"/>
          <w:sz w:val="21"/>
          <w:szCs w:val="21"/>
        </w:rPr>
        <w:t xml:space="preserve"> </w:t>
      </w:r>
      <w:r>
        <w:rPr>
          <w:rFonts w:ascii="宋体" w:hAnsi="宋体" w:eastAsia="宋体" w:cs="宋体"/>
          <w:spacing w:val="-2"/>
          <w:sz w:val="21"/>
          <w:szCs w:val="21"/>
        </w:rPr>
        <w:t>但应在备注栏说明施工方案出处或计算方法。</w:t>
      </w:r>
    </w:p>
    <w:p w14:paraId="106BF1F9">
      <w:pPr>
        <w:spacing w:line="228" w:lineRule="auto"/>
        <w:rPr>
          <w:rFonts w:ascii="宋体" w:hAnsi="宋体" w:eastAsia="宋体" w:cs="宋体"/>
          <w:sz w:val="21"/>
          <w:szCs w:val="21"/>
        </w:rPr>
        <w:sectPr>
          <w:footerReference r:id="rId172" w:type="default"/>
          <w:pgSz w:w="11905" w:h="16839"/>
          <w:pgMar w:top="400" w:right="1532" w:bottom="1004" w:left="1541" w:header="0" w:footer="828" w:gutter="0"/>
          <w:pgNumType w:fmt="decimal"/>
          <w:cols w:space="720" w:num="1"/>
        </w:sectPr>
      </w:pPr>
    </w:p>
    <w:p w14:paraId="78A34E25">
      <w:pPr>
        <w:pStyle w:val="3"/>
        <w:spacing w:line="267" w:lineRule="auto"/>
      </w:pPr>
    </w:p>
    <w:p w14:paraId="248CF15A">
      <w:pPr>
        <w:pStyle w:val="3"/>
        <w:spacing w:line="267" w:lineRule="auto"/>
      </w:pPr>
    </w:p>
    <w:p w14:paraId="010A5AE8">
      <w:pPr>
        <w:pStyle w:val="3"/>
        <w:spacing w:line="268" w:lineRule="auto"/>
      </w:pPr>
    </w:p>
    <w:p w14:paraId="049EF601">
      <w:pPr>
        <w:pStyle w:val="3"/>
        <w:spacing w:line="268" w:lineRule="auto"/>
      </w:pPr>
    </w:p>
    <w:p w14:paraId="03B070CD">
      <w:pPr>
        <w:spacing w:before="78" w:line="219" w:lineRule="auto"/>
        <w:ind w:left="85"/>
        <w:rPr>
          <w:rFonts w:ascii="黑体" w:hAnsi="黑体" w:eastAsia="黑体" w:cs="黑体"/>
          <w:sz w:val="24"/>
          <w:szCs w:val="24"/>
        </w:rPr>
      </w:pPr>
      <w:r>
        <w:rPr>
          <w:rFonts w:ascii="Times New Roman" w:hAnsi="Times New Roman" w:eastAsia="Times New Roman" w:cs="Times New Roman"/>
          <w:spacing w:val="-1"/>
          <w:sz w:val="24"/>
          <w:szCs w:val="24"/>
        </w:rPr>
        <w:t xml:space="preserve">4.12 </w:t>
      </w:r>
      <w:r>
        <w:rPr>
          <w:rFonts w:ascii="黑体" w:hAnsi="黑体" w:eastAsia="黑体" w:cs="黑体"/>
          <w:spacing w:val="-1"/>
          <w:sz w:val="24"/>
          <w:szCs w:val="24"/>
        </w:rPr>
        <w:t>其他项目清单与计价汇总表</w:t>
      </w:r>
    </w:p>
    <w:p w14:paraId="07110012">
      <w:pPr>
        <w:spacing w:before="161" w:line="225" w:lineRule="auto"/>
        <w:ind w:left="2573"/>
        <w:rPr>
          <w:rFonts w:ascii="黑体" w:hAnsi="黑体" w:eastAsia="黑体" w:cs="黑体"/>
          <w:sz w:val="27"/>
          <w:szCs w:val="27"/>
        </w:rPr>
      </w:pPr>
      <w:bookmarkStart w:id="1295" w:name="bookmark253"/>
      <w:bookmarkEnd w:id="1295"/>
      <w:r>
        <w:rPr>
          <w:rFonts w:ascii="黑体" w:hAnsi="黑体" w:eastAsia="黑体" w:cs="黑体"/>
          <w:spacing w:val="8"/>
          <w:sz w:val="27"/>
          <w:szCs w:val="27"/>
        </w:rPr>
        <w:t>其他项目清单与计价汇总表</w:t>
      </w:r>
    </w:p>
    <w:p w14:paraId="3FCD0860">
      <w:pPr>
        <w:spacing w:before="143" w:line="214" w:lineRule="auto"/>
        <w:ind w:left="92"/>
        <w:rPr>
          <w:rFonts w:ascii="宋体" w:hAnsi="宋体" w:eastAsia="宋体" w:cs="宋体"/>
          <w:sz w:val="21"/>
          <w:szCs w:val="21"/>
        </w:rPr>
      </w:pPr>
      <w:r>
        <w:rPr>
          <w:rFonts w:ascii="宋体" w:hAnsi="宋体" w:eastAsia="宋体" w:cs="宋体"/>
          <w:spacing w:val="-13"/>
          <w:sz w:val="21"/>
          <w:szCs w:val="21"/>
        </w:rPr>
        <w:t>工程名称：               标段名称：</w:t>
      </w:r>
      <w:r>
        <w:rPr>
          <w:rFonts w:ascii="宋体" w:hAnsi="宋体" w:eastAsia="宋体" w:cs="宋体"/>
          <w:sz w:val="21"/>
          <w:szCs w:val="21"/>
        </w:rPr>
        <w:t xml:space="preserve">                           </w:t>
      </w:r>
      <w:r>
        <w:rPr>
          <w:rFonts w:ascii="宋体" w:hAnsi="宋体" w:eastAsia="宋体" w:cs="宋体"/>
          <w:spacing w:val="-13"/>
          <w:sz w:val="21"/>
          <w:szCs w:val="21"/>
        </w:rPr>
        <w:t>第 页</w:t>
      </w:r>
      <w:r>
        <w:rPr>
          <w:rFonts w:ascii="宋体" w:hAnsi="宋体" w:eastAsia="宋体" w:cs="宋体"/>
          <w:spacing w:val="-38"/>
          <w:sz w:val="21"/>
          <w:szCs w:val="21"/>
        </w:rPr>
        <w:t xml:space="preserve"> </w:t>
      </w:r>
      <w:r>
        <w:rPr>
          <w:rFonts w:ascii="宋体" w:hAnsi="宋体" w:eastAsia="宋体" w:cs="宋体"/>
          <w:spacing w:val="-13"/>
          <w:sz w:val="21"/>
          <w:szCs w:val="21"/>
        </w:rPr>
        <w:t>共</w:t>
      </w:r>
      <w:r>
        <w:rPr>
          <w:rFonts w:ascii="宋体" w:hAnsi="宋体" w:eastAsia="宋体" w:cs="宋体"/>
          <w:spacing w:val="14"/>
          <w:sz w:val="21"/>
          <w:szCs w:val="21"/>
        </w:rPr>
        <w:t xml:space="preserve"> </w:t>
      </w:r>
      <w:r>
        <w:rPr>
          <w:rFonts w:ascii="宋体" w:hAnsi="宋体" w:eastAsia="宋体" w:cs="宋体"/>
          <w:spacing w:val="-13"/>
          <w:sz w:val="21"/>
          <w:szCs w:val="21"/>
        </w:rPr>
        <w:t>页</w:t>
      </w:r>
    </w:p>
    <w:tbl>
      <w:tblPr>
        <w:tblStyle w:val="10"/>
        <w:tblW w:w="8470" w:type="dxa"/>
        <w:tblInd w:w="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25"/>
        <w:gridCol w:w="2921"/>
        <w:gridCol w:w="1573"/>
        <w:gridCol w:w="1573"/>
        <w:gridCol w:w="1578"/>
      </w:tblGrid>
      <w:tr w14:paraId="6E7341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1" w:hRule="atLeast"/>
        </w:trPr>
        <w:tc>
          <w:tcPr>
            <w:tcW w:w="825" w:type="dxa"/>
            <w:tcBorders>
              <w:top w:val="single" w:color="000000" w:sz="4" w:space="0"/>
              <w:left w:val="single" w:color="000000" w:sz="4" w:space="0"/>
            </w:tcBorders>
            <w:vAlign w:val="top"/>
          </w:tcPr>
          <w:p w14:paraId="4BA62E36">
            <w:pPr>
              <w:spacing w:line="271" w:lineRule="auto"/>
              <w:rPr>
                <w:rFonts w:ascii="Arial"/>
                <w:sz w:val="21"/>
              </w:rPr>
            </w:pPr>
          </w:p>
          <w:p w14:paraId="738D9B93">
            <w:pPr>
              <w:pStyle w:val="11"/>
              <w:spacing w:before="68" w:line="222" w:lineRule="auto"/>
              <w:ind w:left="204"/>
            </w:pPr>
            <w:r>
              <w:rPr>
                <w:spacing w:val="-2"/>
              </w:rPr>
              <w:t>序号</w:t>
            </w:r>
          </w:p>
        </w:tc>
        <w:tc>
          <w:tcPr>
            <w:tcW w:w="2921" w:type="dxa"/>
            <w:tcBorders>
              <w:top w:val="single" w:color="000000" w:sz="4" w:space="0"/>
            </w:tcBorders>
            <w:vAlign w:val="top"/>
          </w:tcPr>
          <w:p w14:paraId="3885978C">
            <w:pPr>
              <w:spacing w:line="271" w:lineRule="auto"/>
              <w:rPr>
                <w:rFonts w:ascii="Arial"/>
                <w:sz w:val="21"/>
              </w:rPr>
            </w:pPr>
          </w:p>
          <w:p w14:paraId="2B85375C">
            <w:pPr>
              <w:pStyle w:val="11"/>
              <w:spacing w:before="69" w:line="221" w:lineRule="auto"/>
              <w:ind w:left="1047"/>
            </w:pPr>
            <w:r>
              <w:rPr>
                <w:spacing w:val="-2"/>
              </w:rPr>
              <w:t>项目名称</w:t>
            </w:r>
          </w:p>
        </w:tc>
        <w:tc>
          <w:tcPr>
            <w:tcW w:w="1573" w:type="dxa"/>
            <w:tcBorders>
              <w:top w:val="single" w:color="000000" w:sz="4" w:space="0"/>
            </w:tcBorders>
            <w:vAlign w:val="top"/>
          </w:tcPr>
          <w:p w14:paraId="4EA238FF">
            <w:pPr>
              <w:spacing w:line="270" w:lineRule="auto"/>
              <w:rPr>
                <w:rFonts w:ascii="Arial"/>
                <w:sz w:val="21"/>
              </w:rPr>
            </w:pPr>
          </w:p>
          <w:p w14:paraId="416B69EE">
            <w:pPr>
              <w:pStyle w:val="11"/>
              <w:spacing w:before="69" w:line="221" w:lineRule="auto"/>
              <w:ind w:left="271"/>
            </w:pPr>
            <w:r>
              <w:rPr>
                <w:spacing w:val="-2"/>
              </w:rPr>
              <w:t>金额（元）</w:t>
            </w:r>
          </w:p>
        </w:tc>
        <w:tc>
          <w:tcPr>
            <w:tcW w:w="1573" w:type="dxa"/>
            <w:tcBorders>
              <w:top w:val="single" w:color="000000" w:sz="4" w:space="0"/>
            </w:tcBorders>
            <w:vAlign w:val="top"/>
          </w:tcPr>
          <w:p w14:paraId="3453A7AD">
            <w:pPr>
              <w:pStyle w:val="11"/>
              <w:spacing w:before="206" w:line="241" w:lineRule="auto"/>
              <w:ind w:left="381"/>
            </w:pPr>
            <w:r>
              <w:rPr>
                <w:spacing w:val="-2"/>
              </w:rPr>
              <w:t>结算金额</w:t>
            </w:r>
          </w:p>
          <w:p w14:paraId="1C97D86C">
            <w:pPr>
              <w:pStyle w:val="11"/>
              <w:spacing w:line="221" w:lineRule="auto"/>
              <w:ind w:left="488"/>
            </w:pPr>
            <w:r>
              <w:rPr>
                <w:spacing w:val="-5"/>
              </w:rPr>
              <w:t>（元）</w:t>
            </w:r>
          </w:p>
        </w:tc>
        <w:tc>
          <w:tcPr>
            <w:tcW w:w="1578" w:type="dxa"/>
            <w:tcBorders>
              <w:top w:val="single" w:color="000000" w:sz="4" w:space="0"/>
              <w:right w:val="single" w:color="000000" w:sz="4" w:space="0"/>
            </w:tcBorders>
            <w:vAlign w:val="top"/>
          </w:tcPr>
          <w:p w14:paraId="2CBB7D4A">
            <w:pPr>
              <w:spacing w:line="271" w:lineRule="auto"/>
              <w:rPr>
                <w:rFonts w:ascii="Arial"/>
                <w:sz w:val="21"/>
              </w:rPr>
            </w:pPr>
          </w:p>
          <w:p w14:paraId="0E79328B">
            <w:pPr>
              <w:pStyle w:val="11"/>
              <w:spacing w:before="68" w:line="222" w:lineRule="auto"/>
              <w:ind w:left="587"/>
            </w:pPr>
            <w:r>
              <w:rPr>
                <w:spacing w:val="-3"/>
              </w:rPr>
              <w:t>备注</w:t>
            </w:r>
          </w:p>
        </w:tc>
      </w:tr>
      <w:tr w14:paraId="32113C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2" w:hRule="atLeast"/>
        </w:trPr>
        <w:tc>
          <w:tcPr>
            <w:tcW w:w="825" w:type="dxa"/>
            <w:tcBorders>
              <w:left w:val="single" w:color="000000" w:sz="4" w:space="0"/>
            </w:tcBorders>
            <w:vAlign w:val="top"/>
          </w:tcPr>
          <w:p w14:paraId="752382CD">
            <w:pPr>
              <w:spacing w:line="306" w:lineRule="auto"/>
              <w:rPr>
                <w:rFonts w:ascii="Arial"/>
                <w:sz w:val="21"/>
              </w:rPr>
            </w:pPr>
          </w:p>
          <w:p w14:paraId="131A153C">
            <w:pPr>
              <w:spacing w:before="69" w:line="183" w:lineRule="auto"/>
              <w:ind w:left="374"/>
              <w:rPr>
                <w:rFonts w:ascii="黑体" w:hAnsi="黑体" w:eastAsia="黑体" w:cs="黑体"/>
                <w:sz w:val="21"/>
                <w:szCs w:val="21"/>
              </w:rPr>
            </w:pPr>
            <w:r>
              <w:rPr>
                <w:rFonts w:ascii="黑体" w:hAnsi="黑体" w:eastAsia="黑体" w:cs="黑体"/>
                <w:sz w:val="21"/>
                <w:szCs w:val="21"/>
              </w:rPr>
              <w:t>1</w:t>
            </w:r>
          </w:p>
        </w:tc>
        <w:tc>
          <w:tcPr>
            <w:tcW w:w="2921" w:type="dxa"/>
            <w:vAlign w:val="top"/>
          </w:tcPr>
          <w:p w14:paraId="360A2EBD">
            <w:pPr>
              <w:spacing w:line="272" w:lineRule="auto"/>
              <w:rPr>
                <w:rFonts w:ascii="Arial"/>
                <w:sz w:val="21"/>
              </w:rPr>
            </w:pPr>
          </w:p>
          <w:p w14:paraId="5DDFF97E">
            <w:pPr>
              <w:pStyle w:val="11"/>
              <w:spacing w:before="68" w:line="221" w:lineRule="auto"/>
              <w:ind w:left="118"/>
            </w:pPr>
            <w:r>
              <w:rPr>
                <w:spacing w:val="-2"/>
              </w:rPr>
              <w:t>暂列金额</w:t>
            </w:r>
          </w:p>
        </w:tc>
        <w:tc>
          <w:tcPr>
            <w:tcW w:w="1573" w:type="dxa"/>
            <w:vAlign w:val="top"/>
          </w:tcPr>
          <w:p w14:paraId="47C74830">
            <w:pPr>
              <w:rPr>
                <w:rFonts w:ascii="Arial"/>
                <w:sz w:val="21"/>
              </w:rPr>
            </w:pPr>
          </w:p>
        </w:tc>
        <w:tc>
          <w:tcPr>
            <w:tcW w:w="1573" w:type="dxa"/>
            <w:vAlign w:val="top"/>
          </w:tcPr>
          <w:p w14:paraId="7C2D073D">
            <w:pPr>
              <w:rPr>
                <w:rFonts w:ascii="Arial"/>
                <w:sz w:val="21"/>
              </w:rPr>
            </w:pPr>
          </w:p>
        </w:tc>
        <w:tc>
          <w:tcPr>
            <w:tcW w:w="1578" w:type="dxa"/>
            <w:tcBorders>
              <w:right w:val="single" w:color="000000" w:sz="4" w:space="0"/>
            </w:tcBorders>
            <w:vAlign w:val="top"/>
          </w:tcPr>
          <w:p w14:paraId="2194F664">
            <w:pPr>
              <w:pStyle w:val="11"/>
              <w:spacing w:before="208" w:line="236" w:lineRule="auto"/>
              <w:ind w:left="393"/>
            </w:pPr>
            <w:r>
              <w:rPr>
                <w:spacing w:val="-5"/>
              </w:rPr>
              <w:t>明细详见</w:t>
            </w:r>
          </w:p>
          <w:p w14:paraId="2139D52C">
            <w:pPr>
              <w:pStyle w:val="11"/>
              <w:spacing w:line="222" w:lineRule="auto"/>
              <w:ind w:left="387"/>
              <w:rPr>
                <w:rFonts w:ascii="Times New Roman" w:hAnsi="Times New Roman" w:eastAsia="Times New Roman" w:cs="Times New Roman"/>
              </w:rPr>
            </w:pPr>
            <w:r>
              <w:rPr>
                <w:spacing w:val="-2"/>
              </w:rPr>
              <w:t>表</w:t>
            </w:r>
            <w:r>
              <w:rPr>
                <w:spacing w:val="-43"/>
              </w:rPr>
              <w:t xml:space="preserve"> </w:t>
            </w:r>
            <w:r>
              <w:rPr>
                <w:rFonts w:ascii="Times New Roman" w:hAnsi="Times New Roman" w:eastAsia="Times New Roman" w:cs="Times New Roman"/>
                <w:spacing w:val="-2"/>
              </w:rPr>
              <w:t>4.12-</w:t>
            </w:r>
            <w:r>
              <w:rPr>
                <w:rFonts w:ascii="Times New Roman" w:hAnsi="Times New Roman" w:eastAsia="Times New Roman" w:cs="Times New Roman"/>
                <w:spacing w:val="-26"/>
              </w:rPr>
              <w:t xml:space="preserve"> </w:t>
            </w:r>
            <w:r>
              <w:rPr>
                <w:rFonts w:ascii="Times New Roman" w:hAnsi="Times New Roman" w:eastAsia="Times New Roman" w:cs="Times New Roman"/>
                <w:spacing w:val="-2"/>
              </w:rPr>
              <w:t>1</w:t>
            </w:r>
          </w:p>
        </w:tc>
      </w:tr>
      <w:tr w14:paraId="64F15D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1" w:hRule="atLeast"/>
        </w:trPr>
        <w:tc>
          <w:tcPr>
            <w:tcW w:w="825" w:type="dxa"/>
            <w:tcBorders>
              <w:left w:val="single" w:color="000000" w:sz="4" w:space="0"/>
              <w:bottom w:val="single" w:color="000000" w:sz="4" w:space="0"/>
            </w:tcBorders>
            <w:vAlign w:val="top"/>
          </w:tcPr>
          <w:p w14:paraId="587B1A92">
            <w:pPr>
              <w:spacing w:line="306" w:lineRule="auto"/>
              <w:rPr>
                <w:rFonts w:ascii="Arial"/>
                <w:sz w:val="21"/>
              </w:rPr>
            </w:pPr>
          </w:p>
          <w:p w14:paraId="22B7C107">
            <w:pPr>
              <w:spacing w:before="68" w:line="184" w:lineRule="auto"/>
              <w:ind w:left="361"/>
              <w:rPr>
                <w:rFonts w:ascii="黑体" w:hAnsi="黑体" w:eastAsia="黑体" w:cs="黑体"/>
                <w:sz w:val="21"/>
                <w:szCs w:val="21"/>
              </w:rPr>
            </w:pPr>
            <w:r>
              <w:rPr>
                <w:rFonts w:ascii="黑体" w:hAnsi="黑体" w:eastAsia="黑体" w:cs="黑体"/>
                <w:sz w:val="21"/>
                <w:szCs w:val="21"/>
              </w:rPr>
              <w:t>2</w:t>
            </w:r>
          </w:p>
        </w:tc>
        <w:tc>
          <w:tcPr>
            <w:tcW w:w="2921" w:type="dxa"/>
            <w:vAlign w:val="top"/>
          </w:tcPr>
          <w:p w14:paraId="7522268A">
            <w:pPr>
              <w:spacing w:line="273" w:lineRule="auto"/>
              <w:rPr>
                <w:rFonts w:ascii="Arial"/>
                <w:sz w:val="21"/>
              </w:rPr>
            </w:pPr>
          </w:p>
          <w:p w14:paraId="5B1E9AC1">
            <w:pPr>
              <w:pStyle w:val="11"/>
              <w:spacing w:before="68" w:line="219" w:lineRule="auto"/>
              <w:ind w:left="118"/>
            </w:pPr>
            <w:r>
              <w:rPr>
                <w:spacing w:val="-3"/>
              </w:rPr>
              <w:t>暂估价</w:t>
            </w:r>
          </w:p>
        </w:tc>
        <w:tc>
          <w:tcPr>
            <w:tcW w:w="1573" w:type="dxa"/>
            <w:vAlign w:val="top"/>
          </w:tcPr>
          <w:p w14:paraId="1295BCC2">
            <w:pPr>
              <w:rPr>
                <w:rFonts w:ascii="Arial"/>
                <w:sz w:val="21"/>
              </w:rPr>
            </w:pPr>
          </w:p>
        </w:tc>
        <w:tc>
          <w:tcPr>
            <w:tcW w:w="1573" w:type="dxa"/>
            <w:vAlign w:val="top"/>
          </w:tcPr>
          <w:p w14:paraId="016BCC07">
            <w:pPr>
              <w:rPr>
                <w:rFonts w:ascii="Arial"/>
                <w:sz w:val="21"/>
              </w:rPr>
            </w:pPr>
          </w:p>
        </w:tc>
        <w:tc>
          <w:tcPr>
            <w:tcW w:w="1578" w:type="dxa"/>
            <w:tcBorders>
              <w:right w:val="single" w:color="000000" w:sz="4" w:space="0"/>
            </w:tcBorders>
            <w:vAlign w:val="top"/>
          </w:tcPr>
          <w:p w14:paraId="36309A4B">
            <w:pPr>
              <w:rPr>
                <w:rFonts w:ascii="Arial"/>
                <w:sz w:val="21"/>
              </w:rPr>
            </w:pPr>
          </w:p>
        </w:tc>
      </w:tr>
      <w:tr w14:paraId="69069B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99" w:hRule="atLeast"/>
        </w:trPr>
        <w:tc>
          <w:tcPr>
            <w:tcW w:w="825" w:type="dxa"/>
            <w:tcBorders>
              <w:top w:val="single" w:color="000000" w:sz="4" w:space="0"/>
              <w:left w:val="single" w:color="000000" w:sz="4" w:space="0"/>
            </w:tcBorders>
            <w:vAlign w:val="top"/>
          </w:tcPr>
          <w:p w14:paraId="31AE1F7A">
            <w:pPr>
              <w:spacing w:line="307" w:lineRule="auto"/>
              <w:rPr>
                <w:rFonts w:ascii="Arial"/>
                <w:sz w:val="21"/>
              </w:rPr>
            </w:pPr>
          </w:p>
          <w:p w14:paraId="32AD4D70">
            <w:pPr>
              <w:spacing w:before="68" w:line="184" w:lineRule="auto"/>
              <w:ind w:left="256"/>
              <w:rPr>
                <w:rFonts w:ascii="黑体" w:hAnsi="黑体" w:eastAsia="黑体" w:cs="黑体"/>
                <w:sz w:val="21"/>
                <w:szCs w:val="21"/>
              </w:rPr>
            </w:pPr>
            <w:r>
              <w:rPr>
                <w:rFonts w:ascii="黑体" w:hAnsi="黑体" w:eastAsia="黑体" w:cs="黑体"/>
                <w:spacing w:val="-2"/>
                <w:sz w:val="21"/>
                <w:szCs w:val="21"/>
              </w:rPr>
              <w:t>2.1</w:t>
            </w:r>
          </w:p>
        </w:tc>
        <w:tc>
          <w:tcPr>
            <w:tcW w:w="2921" w:type="dxa"/>
            <w:vAlign w:val="top"/>
          </w:tcPr>
          <w:p w14:paraId="1D879A6B">
            <w:pPr>
              <w:spacing w:line="274" w:lineRule="auto"/>
              <w:rPr>
                <w:rFonts w:ascii="Arial"/>
                <w:sz w:val="21"/>
              </w:rPr>
            </w:pPr>
          </w:p>
          <w:p w14:paraId="263BC25C">
            <w:pPr>
              <w:pStyle w:val="11"/>
              <w:spacing w:before="68" w:line="219" w:lineRule="auto"/>
              <w:ind w:left="112"/>
            </w:pPr>
            <w:r>
              <w:rPr>
                <w:spacing w:val="-1"/>
              </w:rPr>
              <w:t>材料（工程设备）暂估价</w:t>
            </w:r>
          </w:p>
        </w:tc>
        <w:tc>
          <w:tcPr>
            <w:tcW w:w="1573" w:type="dxa"/>
            <w:vAlign w:val="top"/>
          </w:tcPr>
          <w:p w14:paraId="5BF33DB5">
            <w:pPr>
              <w:spacing w:line="373" w:lineRule="auto"/>
              <w:rPr>
                <w:rFonts w:ascii="Arial"/>
                <w:sz w:val="21"/>
              </w:rPr>
            </w:pPr>
          </w:p>
          <w:p w14:paraId="3CD56B48">
            <w:pPr>
              <w:pStyle w:val="11"/>
              <w:spacing w:before="68" w:line="142" w:lineRule="exact"/>
              <w:ind w:left="685"/>
            </w:pPr>
            <w:r>
              <w:rPr>
                <w:position w:val="-3"/>
              </w:rPr>
              <w:t>—</w:t>
            </w:r>
          </w:p>
        </w:tc>
        <w:tc>
          <w:tcPr>
            <w:tcW w:w="1573" w:type="dxa"/>
            <w:vAlign w:val="top"/>
          </w:tcPr>
          <w:p w14:paraId="6B494FFF">
            <w:pPr>
              <w:rPr>
                <w:rFonts w:ascii="Arial"/>
                <w:sz w:val="21"/>
              </w:rPr>
            </w:pPr>
          </w:p>
        </w:tc>
        <w:tc>
          <w:tcPr>
            <w:tcW w:w="1578" w:type="dxa"/>
            <w:tcBorders>
              <w:right w:val="single" w:color="000000" w:sz="4" w:space="0"/>
            </w:tcBorders>
            <w:vAlign w:val="top"/>
          </w:tcPr>
          <w:p w14:paraId="5773A628">
            <w:pPr>
              <w:pStyle w:val="11"/>
              <w:spacing w:before="204" w:line="241" w:lineRule="auto"/>
              <w:ind w:left="393"/>
            </w:pPr>
            <w:r>
              <w:rPr>
                <w:spacing w:val="-5"/>
              </w:rPr>
              <w:t>明细详见</w:t>
            </w:r>
          </w:p>
          <w:p w14:paraId="116B76E4">
            <w:pPr>
              <w:pStyle w:val="11"/>
              <w:spacing w:line="222" w:lineRule="auto"/>
              <w:ind w:left="387"/>
              <w:rPr>
                <w:rFonts w:ascii="Times New Roman" w:hAnsi="Times New Roman" w:eastAsia="Times New Roman" w:cs="Times New Roman"/>
              </w:rPr>
            </w:pPr>
            <w:r>
              <w:rPr>
                <w:spacing w:val="-1"/>
              </w:rPr>
              <w:t>表</w:t>
            </w:r>
            <w:r>
              <w:rPr>
                <w:spacing w:val="-48"/>
              </w:rPr>
              <w:t xml:space="preserve"> </w:t>
            </w:r>
            <w:r>
              <w:rPr>
                <w:rFonts w:ascii="Times New Roman" w:hAnsi="Times New Roman" w:eastAsia="Times New Roman" w:cs="Times New Roman"/>
                <w:spacing w:val="-1"/>
              </w:rPr>
              <w:t>4.12-2</w:t>
            </w:r>
          </w:p>
        </w:tc>
      </w:tr>
      <w:tr w14:paraId="41CAA9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97" w:hRule="atLeast"/>
        </w:trPr>
        <w:tc>
          <w:tcPr>
            <w:tcW w:w="825" w:type="dxa"/>
            <w:tcBorders>
              <w:left w:val="single" w:color="000000" w:sz="4" w:space="0"/>
            </w:tcBorders>
            <w:vAlign w:val="top"/>
          </w:tcPr>
          <w:p w14:paraId="3F060B6F">
            <w:pPr>
              <w:spacing w:line="306" w:lineRule="auto"/>
              <w:rPr>
                <w:rFonts w:ascii="Arial"/>
                <w:sz w:val="21"/>
              </w:rPr>
            </w:pPr>
          </w:p>
          <w:p w14:paraId="5822E8B8">
            <w:pPr>
              <w:spacing w:before="68" w:line="184" w:lineRule="auto"/>
              <w:ind w:left="256"/>
              <w:rPr>
                <w:rFonts w:ascii="黑体" w:hAnsi="黑体" w:eastAsia="黑体" w:cs="黑体"/>
                <w:sz w:val="21"/>
                <w:szCs w:val="21"/>
              </w:rPr>
            </w:pPr>
            <w:r>
              <w:rPr>
                <w:rFonts w:ascii="黑体" w:hAnsi="黑体" w:eastAsia="黑体" w:cs="黑体"/>
                <w:spacing w:val="-2"/>
                <w:sz w:val="21"/>
                <w:szCs w:val="21"/>
              </w:rPr>
              <w:t>2.2</w:t>
            </w:r>
          </w:p>
        </w:tc>
        <w:tc>
          <w:tcPr>
            <w:tcW w:w="2921" w:type="dxa"/>
            <w:vAlign w:val="top"/>
          </w:tcPr>
          <w:p w14:paraId="7AD49508">
            <w:pPr>
              <w:spacing w:line="273" w:lineRule="auto"/>
              <w:rPr>
                <w:rFonts w:ascii="Arial"/>
                <w:sz w:val="21"/>
              </w:rPr>
            </w:pPr>
          </w:p>
          <w:p w14:paraId="009F9C5F">
            <w:pPr>
              <w:pStyle w:val="11"/>
              <w:spacing w:before="68" w:line="219" w:lineRule="auto"/>
              <w:ind w:left="113"/>
            </w:pPr>
            <w:r>
              <w:rPr>
                <w:spacing w:val="-1"/>
              </w:rPr>
              <w:t>专业工程暂估价</w:t>
            </w:r>
          </w:p>
        </w:tc>
        <w:tc>
          <w:tcPr>
            <w:tcW w:w="1573" w:type="dxa"/>
            <w:vAlign w:val="top"/>
          </w:tcPr>
          <w:p w14:paraId="58E585A5">
            <w:pPr>
              <w:rPr>
                <w:rFonts w:ascii="Arial"/>
                <w:sz w:val="21"/>
              </w:rPr>
            </w:pPr>
          </w:p>
        </w:tc>
        <w:tc>
          <w:tcPr>
            <w:tcW w:w="1573" w:type="dxa"/>
            <w:vAlign w:val="top"/>
          </w:tcPr>
          <w:p w14:paraId="7E5D60E8">
            <w:pPr>
              <w:rPr>
                <w:rFonts w:ascii="Arial"/>
                <w:sz w:val="21"/>
              </w:rPr>
            </w:pPr>
          </w:p>
        </w:tc>
        <w:tc>
          <w:tcPr>
            <w:tcW w:w="1578" w:type="dxa"/>
            <w:tcBorders>
              <w:right w:val="single" w:color="000000" w:sz="4" w:space="0"/>
            </w:tcBorders>
            <w:vAlign w:val="top"/>
          </w:tcPr>
          <w:p w14:paraId="18FF9FC9">
            <w:pPr>
              <w:pStyle w:val="11"/>
              <w:spacing w:before="208" w:line="241" w:lineRule="auto"/>
              <w:ind w:left="393"/>
            </w:pPr>
            <w:r>
              <w:rPr>
                <w:spacing w:val="-5"/>
              </w:rPr>
              <w:t>明细详见</w:t>
            </w:r>
          </w:p>
          <w:p w14:paraId="3F6D5E46">
            <w:pPr>
              <w:pStyle w:val="11"/>
              <w:spacing w:line="222" w:lineRule="auto"/>
              <w:ind w:left="387"/>
              <w:rPr>
                <w:rFonts w:ascii="Times New Roman" w:hAnsi="Times New Roman" w:eastAsia="Times New Roman" w:cs="Times New Roman"/>
              </w:rPr>
            </w:pPr>
            <w:r>
              <w:rPr>
                <w:spacing w:val="-1"/>
              </w:rPr>
              <w:t>表</w:t>
            </w:r>
            <w:r>
              <w:rPr>
                <w:spacing w:val="-48"/>
              </w:rPr>
              <w:t xml:space="preserve"> </w:t>
            </w:r>
            <w:r>
              <w:rPr>
                <w:rFonts w:ascii="Times New Roman" w:hAnsi="Times New Roman" w:eastAsia="Times New Roman" w:cs="Times New Roman"/>
                <w:spacing w:val="-1"/>
              </w:rPr>
              <w:t>4.12-3</w:t>
            </w:r>
          </w:p>
        </w:tc>
      </w:tr>
      <w:tr w14:paraId="7A8D6F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2" w:hRule="atLeast"/>
        </w:trPr>
        <w:tc>
          <w:tcPr>
            <w:tcW w:w="825" w:type="dxa"/>
            <w:tcBorders>
              <w:left w:val="single" w:color="000000" w:sz="4" w:space="0"/>
            </w:tcBorders>
            <w:vAlign w:val="top"/>
          </w:tcPr>
          <w:p w14:paraId="28741D5C">
            <w:pPr>
              <w:spacing w:line="311" w:lineRule="auto"/>
              <w:rPr>
                <w:rFonts w:ascii="Arial"/>
                <w:sz w:val="21"/>
              </w:rPr>
            </w:pPr>
          </w:p>
          <w:p w14:paraId="579A470A">
            <w:pPr>
              <w:spacing w:before="68" w:line="184" w:lineRule="auto"/>
              <w:ind w:left="363"/>
              <w:rPr>
                <w:rFonts w:ascii="黑体" w:hAnsi="黑体" w:eastAsia="黑体" w:cs="黑体"/>
                <w:sz w:val="21"/>
                <w:szCs w:val="21"/>
              </w:rPr>
            </w:pPr>
            <w:r>
              <w:rPr>
                <w:rFonts w:ascii="黑体" w:hAnsi="黑体" w:eastAsia="黑体" w:cs="黑体"/>
                <w:sz w:val="21"/>
                <w:szCs w:val="21"/>
              </w:rPr>
              <w:t>3</w:t>
            </w:r>
          </w:p>
        </w:tc>
        <w:tc>
          <w:tcPr>
            <w:tcW w:w="2921" w:type="dxa"/>
            <w:vAlign w:val="top"/>
          </w:tcPr>
          <w:p w14:paraId="49EED12C">
            <w:pPr>
              <w:spacing w:line="278" w:lineRule="auto"/>
              <w:rPr>
                <w:rFonts w:ascii="Arial"/>
                <w:sz w:val="21"/>
              </w:rPr>
            </w:pPr>
          </w:p>
          <w:p w14:paraId="6DF6D176">
            <w:pPr>
              <w:pStyle w:val="11"/>
              <w:spacing w:before="68" w:line="222" w:lineRule="auto"/>
              <w:ind w:left="112"/>
            </w:pPr>
            <w:r>
              <w:rPr>
                <w:spacing w:val="-2"/>
              </w:rPr>
              <w:t>计日工</w:t>
            </w:r>
          </w:p>
        </w:tc>
        <w:tc>
          <w:tcPr>
            <w:tcW w:w="1573" w:type="dxa"/>
            <w:vAlign w:val="top"/>
          </w:tcPr>
          <w:p w14:paraId="23C725CC">
            <w:pPr>
              <w:rPr>
                <w:rFonts w:ascii="Arial"/>
                <w:sz w:val="21"/>
              </w:rPr>
            </w:pPr>
          </w:p>
        </w:tc>
        <w:tc>
          <w:tcPr>
            <w:tcW w:w="1573" w:type="dxa"/>
            <w:vAlign w:val="top"/>
          </w:tcPr>
          <w:p w14:paraId="5135DB3D">
            <w:pPr>
              <w:rPr>
                <w:rFonts w:ascii="Arial"/>
                <w:sz w:val="21"/>
              </w:rPr>
            </w:pPr>
          </w:p>
        </w:tc>
        <w:tc>
          <w:tcPr>
            <w:tcW w:w="1578" w:type="dxa"/>
            <w:tcBorders>
              <w:right w:val="single" w:color="000000" w:sz="4" w:space="0"/>
            </w:tcBorders>
            <w:vAlign w:val="top"/>
          </w:tcPr>
          <w:p w14:paraId="3BF6DB34">
            <w:pPr>
              <w:pStyle w:val="11"/>
              <w:spacing w:before="214" w:line="236" w:lineRule="auto"/>
              <w:ind w:left="393"/>
            </w:pPr>
            <w:r>
              <w:rPr>
                <w:spacing w:val="-5"/>
              </w:rPr>
              <w:t>明细详见</w:t>
            </w:r>
          </w:p>
          <w:p w14:paraId="328EF185">
            <w:pPr>
              <w:pStyle w:val="11"/>
              <w:spacing w:line="222" w:lineRule="auto"/>
              <w:ind w:left="387"/>
              <w:rPr>
                <w:rFonts w:ascii="Times New Roman" w:hAnsi="Times New Roman" w:eastAsia="Times New Roman" w:cs="Times New Roman"/>
              </w:rPr>
            </w:pPr>
            <w:r>
              <w:rPr>
                <w:spacing w:val="-1"/>
              </w:rPr>
              <w:t>表</w:t>
            </w:r>
            <w:r>
              <w:rPr>
                <w:spacing w:val="-48"/>
              </w:rPr>
              <w:t xml:space="preserve"> </w:t>
            </w:r>
            <w:r>
              <w:rPr>
                <w:rFonts w:ascii="Times New Roman" w:hAnsi="Times New Roman" w:eastAsia="Times New Roman" w:cs="Times New Roman"/>
                <w:spacing w:val="-1"/>
              </w:rPr>
              <w:t>4.12-4</w:t>
            </w:r>
          </w:p>
        </w:tc>
      </w:tr>
      <w:tr w14:paraId="09CEEF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2" w:hRule="atLeast"/>
        </w:trPr>
        <w:tc>
          <w:tcPr>
            <w:tcW w:w="825" w:type="dxa"/>
            <w:tcBorders>
              <w:left w:val="single" w:color="000000" w:sz="4" w:space="0"/>
            </w:tcBorders>
            <w:vAlign w:val="top"/>
          </w:tcPr>
          <w:p w14:paraId="1D2DD59A">
            <w:pPr>
              <w:spacing w:line="313" w:lineRule="auto"/>
              <w:rPr>
                <w:rFonts w:ascii="Arial"/>
                <w:sz w:val="21"/>
              </w:rPr>
            </w:pPr>
          </w:p>
          <w:p w14:paraId="7E8C418F">
            <w:pPr>
              <w:spacing w:before="68" w:line="183" w:lineRule="auto"/>
              <w:ind w:left="357"/>
              <w:rPr>
                <w:rFonts w:ascii="黑体" w:hAnsi="黑体" w:eastAsia="黑体" w:cs="黑体"/>
                <w:sz w:val="21"/>
                <w:szCs w:val="21"/>
              </w:rPr>
            </w:pPr>
            <w:r>
              <w:rPr>
                <w:rFonts w:ascii="黑体" w:hAnsi="黑体" w:eastAsia="黑体" w:cs="黑体"/>
                <w:sz w:val="21"/>
                <w:szCs w:val="21"/>
              </w:rPr>
              <w:t>4</w:t>
            </w:r>
          </w:p>
        </w:tc>
        <w:tc>
          <w:tcPr>
            <w:tcW w:w="2921" w:type="dxa"/>
            <w:vAlign w:val="top"/>
          </w:tcPr>
          <w:p w14:paraId="13F2890B">
            <w:pPr>
              <w:spacing w:line="278" w:lineRule="auto"/>
              <w:rPr>
                <w:rFonts w:ascii="Arial"/>
                <w:sz w:val="21"/>
              </w:rPr>
            </w:pPr>
          </w:p>
          <w:p w14:paraId="4907EEB1">
            <w:pPr>
              <w:pStyle w:val="11"/>
              <w:spacing w:before="68" w:line="221" w:lineRule="auto"/>
              <w:ind w:left="117"/>
            </w:pPr>
            <w:r>
              <w:rPr>
                <w:spacing w:val="-2"/>
              </w:rPr>
              <w:t>总承包服务费</w:t>
            </w:r>
          </w:p>
        </w:tc>
        <w:tc>
          <w:tcPr>
            <w:tcW w:w="1573" w:type="dxa"/>
            <w:vAlign w:val="top"/>
          </w:tcPr>
          <w:p w14:paraId="2B810B13">
            <w:pPr>
              <w:rPr>
                <w:rFonts w:ascii="Arial"/>
                <w:sz w:val="21"/>
              </w:rPr>
            </w:pPr>
          </w:p>
        </w:tc>
        <w:tc>
          <w:tcPr>
            <w:tcW w:w="1573" w:type="dxa"/>
            <w:vAlign w:val="top"/>
          </w:tcPr>
          <w:p w14:paraId="2E6B0610">
            <w:pPr>
              <w:rPr>
                <w:rFonts w:ascii="Arial"/>
                <w:sz w:val="21"/>
              </w:rPr>
            </w:pPr>
          </w:p>
        </w:tc>
        <w:tc>
          <w:tcPr>
            <w:tcW w:w="1578" w:type="dxa"/>
            <w:tcBorders>
              <w:right w:val="single" w:color="000000" w:sz="4" w:space="0"/>
            </w:tcBorders>
            <w:vAlign w:val="top"/>
          </w:tcPr>
          <w:p w14:paraId="2DF879B2">
            <w:pPr>
              <w:pStyle w:val="11"/>
              <w:spacing w:before="209" w:line="241" w:lineRule="auto"/>
              <w:ind w:left="393"/>
            </w:pPr>
            <w:r>
              <w:rPr>
                <w:spacing w:val="-5"/>
              </w:rPr>
              <w:t>明细详见</w:t>
            </w:r>
          </w:p>
          <w:p w14:paraId="2165323A">
            <w:pPr>
              <w:pStyle w:val="11"/>
              <w:spacing w:line="222" w:lineRule="auto"/>
              <w:ind w:left="387"/>
              <w:rPr>
                <w:rFonts w:ascii="Times New Roman" w:hAnsi="Times New Roman" w:eastAsia="Times New Roman" w:cs="Times New Roman"/>
              </w:rPr>
            </w:pPr>
            <w:r>
              <w:rPr>
                <w:spacing w:val="-1"/>
              </w:rPr>
              <w:t>表</w:t>
            </w:r>
            <w:r>
              <w:rPr>
                <w:spacing w:val="-48"/>
              </w:rPr>
              <w:t xml:space="preserve"> </w:t>
            </w:r>
            <w:r>
              <w:rPr>
                <w:rFonts w:ascii="Times New Roman" w:hAnsi="Times New Roman" w:eastAsia="Times New Roman" w:cs="Times New Roman"/>
                <w:spacing w:val="-1"/>
              </w:rPr>
              <w:t>4.12-5</w:t>
            </w:r>
          </w:p>
        </w:tc>
      </w:tr>
      <w:tr w14:paraId="7FE648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97" w:hRule="atLeast"/>
        </w:trPr>
        <w:tc>
          <w:tcPr>
            <w:tcW w:w="825" w:type="dxa"/>
            <w:tcBorders>
              <w:left w:val="single" w:color="000000" w:sz="4" w:space="0"/>
            </w:tcBorders>
            <w:vAlign w:val="top"/>
          </w:tcPr>
          <w:p w14:paraId="7EFCA49E">
            <w:pPr>
              <w:spacing w:line="326" w:lineRule="auto"/>
              <w:rPr>
                <w:rFonts w:ascii="Arial"/>
                <w:sz w:val="21"/>
              </w:rPr>
            </w:pPr>
          </w:p>
          <w:p w14:paraId="6DF9192F">
            <w:pPr>
              <w:spacing w:before="60" w:line="186" w:lineRule="auto"/>
              <w:ind w:left="365"/>
              <w:rPr>
                <w:rFonts w:ascii="Times New Roman" w:hAnsi="Times New Roman" w:eastAsia="Times New Roman" w:cs="Times New Roman"/>
                <w:sz w:val="21"/>
                <w:szCs w:val="21"/>
              </w:rPr>
            </w:pPr>
            <w:r>
              <w:rPr>
                <w:rFonts w:ascii="Times New Roman" w:hAnsi="Times New Roman" w:eastAsia="Times New Roman" w:cs="Times New Roman"/>
                <w:sz w:val="21"/>
                <w:szCs w:val="21"/>
              </w:rPr>
              <w:t>5</w:t>
            </w:r>
          </w:p>
        </w:tc>
        <w:tc>
          <w:tcPr>
            <w:tcW w:w="2921" w:type="dxa"/>
            <w:vAlign w:val="top"/>
          </w:tcPr>
          <w:p w14:paraId="53BFEAF7">
            <w:pPr>
              <w:spacing w:line="274" w:lineRule="auto"/>
              <w:rPr>
                <w:rFonts w:ascii="Arial"/>
                <w:sz w:val="21"/>
              </w:rPr>
            </w:pPr>
          </w:p>
          <w:p w14:paraId="4ED424C5">
            <w:pPr>
              <w:pStyle w:val="11"/>
              <w:spacing w:before="69" w:line="221" w:lineRule="auto"/>
              <w:ind w:left="113"/>
            </w:pPr>
            <w:r>
              <w:rPr>
                <w:spacing w:val="-2"/>
              </w:rPr>
              <w:t>其他</w:t>
            </w:r>
          </w:p>
        </w:tc>
        <w:tc>
          <w:tcPr>
            <w:tcW w:w="1573" w:type="dxa"/>
            <w:vAlign w:val="top"/>
          </w:tcPr>
          <w:p w14:paraId="0BE4E1BD">
            <w:pPr>
              <w:rPr>
                <w:rFonts w:ascii="Arial"/>
                <w:sz w:val="21"/>
              </w:rPr>
            </w:pPr>
          </w:p>
        </w:tc>
        <w:tc>
          <w:tcPr>
            <w:tcW w:w="1573" w:type="dxa"/>
            <w:vAlign w:val="top"/>
          </w:tcPr>
          <w:p w14:paraId="75BBEA77">
            <w:pPr>
              <w:rPr>
                <w:rFonts w:ascii="Arial"/>
                <w:sz w:val="21"/>
              </w:rPr>
            </w:pPr>
          </w:p>
        </w:tc>
        <w:tc>
          <w:tcPr>
            <w:tcW w:w="1578" w:type="dxa"/>
            <w:tcBorders>
              <w:right w:val="single" w:color="000000" w:sz="4" w:space="0"/>
            </w:tcBorders>
            <w:vAlign w:val="top"/>
          </w:tcPr>
          <w:p w14:paraId="255F5F69">
            <w:pPr>
              <w:rPr>
                <w:rFonts w:ascii="Arial"/>
                <w:sz w:val="21"/>
              </w:rPr>
            </w:pPr>
          </w:p>
        </w:tc>
      </w:tr>
      <w:tr w14:paraId="079863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2" w:hRule="atLeast"/>
        </w:trPr>
        <w:tc>
          <w:tcPr>
            <w:tcW w:w="825" w:type="dxa"/>
            <w:tcBorders>
              <w:left w:val="single" w:color="000000" w:sz="4" w:space="0"/>
            </w:tcBorders>
            <w:vAlign w:val="top"/>
          </w:tcPr>
          <w:p w14:paraId="7C9B230A">
            <w:pPr>
              <w:rPr>
                <w:rFonts w:ascii="Arial"/>
                <w:sz w:val="21"/>
              </w:rPr>
            </w:pPr>
          </w:p>
        </w:tc>
        <w:tc>
          <w:tcPr>
            <w:tcW w:w="2921" w:type="dxa"/>
            <w:vAlign w:val="top"/>
          </w:tcPr>
          <w:p w14:paraId="32B0DE4B">
            <w:pPr>
              <w:rPr>
                <w:rFonts w:ascii="Arial"/>
                <w:sz w:val="21"/>
              </w:rPr>
            </w:pPr>
          </w:p>
        </w:tc>
        <w:tc>
          <w:tcPr>
            <w:tcW w:w="1573" w:type="dxa"/>
            <w:vAlign w:val="top"/>
          </w:tcPr>
          <w:p w14:paraId="2124469A">
            <w:pPr>
              <w:rPr>
                <w:rFonts w:ascii="Arial"/>
                <w:sz w:val="21"/>
              </w:rPr>
            </w:pPr>
          </w:p>
        </w:tc>
        <w:tc>
          <w:tcPr>
            <w:tcW w:w="1573" w:type="dxa"/>
            <w:vAlign w:val="top"/>
          </w:tcPr>
          <w:p w14:paraId="617C153C">
            <w:pPr>
              <w:rPr>
                <w:rFonts w:ascii="Arial"/>
                <w:sz w:val="21"/>
              </w:rPr>
            </w:pPr>
          </w:p>
        </w:tc>
        <w:tc>
          <w:tcPr>
            <w:tcW w:w="1578" w:type="dxa"/>
            <w:tcBorders>
              <w:right w:val="single" w:color="000000" w:sz="4" w:space="0"/>
            </w:tcBorders>
            <w:vAlign w:val="top"/>
          </w:tcPr>
          <w:p w14:paraId="73DC0007">
            <w:pPr>
              <w:rPr>
                <w:rFonts w:ascii="Arial"/>
                <w:sz w:val="21"/>
              </w:rPr>
            </w:pPr>
          </w:p>
        </w:tc>
      </w:tr>
      <w:tr w14:paraId="714375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2" w:hRule="atLeast"/>
        </w:trPr>
        <w:tc>
          <w:tcPr>
            <w:tcW w:w="825" w:type="dxa"/>
            <w:tcBorders>
              <w:left w:val="single" w:color="000000" w:sz="4" w:space="0"/>
            </w:tcBorders>
            <w:vAlign w:val="top"/>
          </w:tcPr>
          <w:p w14:paraId="57F4F207">
            <w:pPr>
              <w:rPr>
                <w:rFonts w:ascii="Arial"/>
                <w:sz w:val="21"/>
              </w:rPr>
            </w:pPr>
          </w:p>
        </w:tc>
        <w:tc>
          <w:tcPr>
            <w:tcW w:w="2921" w:type="dxa"/>
            <w:vAlign w:val="top"/>
          </w:tcPr>
          <w:p w14:paraId="4395EE99">
            <w:pPr>
              <w:rPr>
                <w:rFonts w:ascii="Arial"/>
                <w:sz w:val="21"/>
              </w:rPr>
            </w:pPr>
          </w:p>
        </w:tc>
        <w:tc>
          <w:tcPr>
            <w:tcW w:w="1573" w:type="dxa"/>
            <w:vAlign w:val="top"/>
          </w:tcPr>
          <w:p w14:paraId="18B96195">
            <w:pPr>
              <w:rPr>
                <w:rFonts w:ascii="Arial"/>
                <w:sz w:val="21"/>
              </w:rPr>
            </w:pPr>
          </w:p>
        </w:tc>
        <w:tc>
          <w:tcPr>
            <w:tcW w:w="1573" w:type="dxa"/>
            <w:vAlign w:val="top"/>
          </w:tcPr>
          <w:p w14:paraId="761B7C45">
            <w:pPr>
              <w:rPr>
                <w:rFonts w:ascii="Arial"/>
                <w:sz w:val="21"/>
              </w:rPr>
            </w:pPr>
          </w:p>
        </w:tc>
        <w:tc>
          <w:tcPr>
            <w:tcW w:w="1578" w:type="dxa"/>
            <w:tcBorders>
              <w:right w:val="single" w:color="000000" w:sz="4" w:space="0"/>
            </w:tcBorders>
            <w:vAlign w:val="top"/>
          </w:tcPr>
          <w:p w14:paraId="45DEEBE0">
            <w:pPr>
              <w:rPr>
                <w:rFonts w:ascii="Arial"/>
                <w:sz w:val="21"/>
              </w:rPr>
            </w:pPr>
          </w:p>
        </w:tc>
      </w:tr>
      <w:tr w14:paraId="0E7918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11" w:hRule="atLeast"/>
        </w:trPr>
        <w:tc>
          <w:tcPr>
            <w:tcW w:w="3746" w:type="dxa"/>
            <w:gridSpan w:val="2"/>
            <w:tcBorders>
              <w:left w:val="single" w:color="000000" w:sz="4" w:space="0"/>
              <w:bottom w:val="single" w:color="000000" w:sz="4" w:space="0"/>
            </w:tcBorders>
            <w:vAlign w:val="top"/>
          </w:tcPr>
          <w:p w14:paraId="1B13CA77">
            <w:pPr>
              <w:spacing w:line="276" w:lineRule="auto"/>
              <w:rPr>
                <w:rFonts w:ascii="Arial"/>
                <w:sz w:val="21"/>
              </w:rPr>
            </w:pPr>
          </w:p>
          <w:p w14:paraId="678CEC37">
            <w:pPr>
              <w:pStyle w:val="11"/>
              <w:spacing w:before="68" w:line="222" w:lineRule="auto"/>
              <w:ind w:left="1670"/>
            </w:pPr>
            <w:r>
              <w:rPr>
                <w:spacing w:val="-2"/>
              </w:rPr>
              <w:t>合计</w:t>
            </w:r>
          </w:p>
        </w:tc>
        <w:tc>
          <w:tcPr>
            <w:tcW w:w="1573" w:type="dxa"/>
            <w:tcBorders>
              <w:bottom w:val="single" w:color="000000" w:sz="4" w:space="0"/>
            </w:tcBorders>
            <w:vAlign w:val="top"/>
          </w:tcPr>
          <w:p w14:paraId="4EB03CA6">
            <w:pPr>
              <w:rPr>
                <w:rFonts w:ascii="Arial"/>
                <w:sz w:val="21"/>
              </w:rPr>
            </w:pPr>
          </w:p>
        </w:tc>
        <w:tc>
          <w:tcPr>
            <w:tcW w:w="1573" w:type="dxa"/>
            <w:tcBorders>
              <w:bottom w:val="single" w:color="000000" w:sz="4" w:space="0"/>
            </w:tcBorders>
            <w:vAlign w:val="top"/>
          </w:tcPr>
          <w:p w14:paraId="2C5CF6D9">
            <w:pPr>
              <w:rPr>
                <w:rFonts w:ascii="Arial"/>
                <w:sz w:val="21"/>
              </w:rPr>
            </w:pPr>
          </w:p>
        </w:tc>
        <w:tc>
          <w:tcPr>
            <w:tcW w:w="1578" w:type="dxa"/>
            <w:tcBorders>
              <w:bottom w:val="single" w:color="000000" w:sz="4" w:space="0"/>
              <w:right w:val="single" w:color="000000" w:sz="4" w:space="0"/>
            </w:tcBorders>
            <w:vAlign w:val="top"/>
          </w:tcPr>
          <w:p w14:paraId="782D304A">
            <w:pPr>
              <w:spacing w:line="375" w:lineRule="auto"/>
              <w:rPr>
                <w:rFonts w:ascii="Arial"/>
                <w:sz w:val="21"/>
              </w:rPr>
            </w:pPr>
          </w:p>
          <w:p w14:paraId="65F40252">
            <w:pPr>
              <w:pStyle w:val="11"/>
              <w:spacing w:before="68" w:line="142" w:lineRule="exact"/>
              <w:ind w:left="684"/>
            </w:pPr>
            <w:r>
              <w:rPr>
                <w:position w:val="-3"/>
              </w:rPr>
              <w:t>—</w:t>
            </w:r>
          </w:p>
        </w:tc>
      </w:tr>
    </w:tbl>
    <w:p w14:paraId="11A4FF0C">
      <w:pPr>
        <w:spacing w:before="145" w:line="219" w:lineRule="auto"/>
        <w:ind w:left="89"/>
        <w:rPr>
          <w:rFonts w:ascii="宋体" w:hAnsi="宋体" w:eastAsia="宋体" w:cs="宋体"/>
          <w:sz w:val="21"/>
          <w:szCs w:val="21"/>
        </w:rPr>
      </w:pPr>
      <w:r>
        <w:rPr>
          <w:rFonts w:ascii="宋体" w:hAnsi="宋体" w:eastAsia="宋体" w:cs="宋体"/>
          <w:spacing w:val="-1"/>
          <w:sz w:val="21"/>
          <w:szCs w:val="21"/>
        </w:rPr>
        <w:t>注：材料（工程设备）暂估单价进入清单项目综合单价，此处不汇总。</w:t>
      </w:r>
    </w:p>
    <w:p w14:paraId="0AA82879">
      <w:pPr>
        <w:spacing w:line="219" w:lineRule="auto"/>
        <w:rPr>
          <w:rFonts w:ascii="宋体" w:hAnsi="宋体" w:eastAsia="宋体" w:cs="宋体"/>
          <w:sz w:val="21"/>
          <w:szCs w:val="21"/>
        </w:rPr>
        <w:sectPr>
          <w:footerReference r:id="rId173" w:type="default"/>
          <w:pgSz w:w="11905" w:h="16839"/>
          <w:pgMar w:top="400" w:right="1709" w:bottom="1004" w:left="1714" w:header="0" w:footer="828" w:gutter="0"/>
          <w:pgNumType w:fmt="decimal"/>
          <w:cols w:space="720" w:num="1"/>
        </w:sectPr>
      </w:pPr>
    </w:p>
    <w:p w14:paraId="256D996D">
      <w:pPr>
        <w:pStyle w:val="3"/>
        <w:spacing w:line="267" w:lineRule="auto"/>
      </w:pPr>
    </w:p>
    <w:p w14:paraId="776D5853">
      <w:pPr>
        <w:pStyle w:val="3"/>
        <w:spacing w:line="268" w:lineRule="auto"/>
      </w:pPr>
    </w:p>
    <w:p w14:paraId="07120EF7">
      <w:pPr>
        <w:pStyle w:val="3"/>
        <w:spacing w:line="268" w:lineRule="auto"/>
      </w:pPr>
    </w:p>
    <w:p w14:paraId="1B9B0275">
      <w:pPr>
        <w:pStyle w:val="3"/>
        <w:spacing w:line="268" w:lineRule="auto"/>
      </w:pPr>
    </w:p>
    <w:p w14:paraId="60534554">
      <w:pPr>
        <w:spacing w:before="78" w:line="218" w:lineRule="auto"/>
        <w:ind w:left="90"/>
        <w:rPr>
          <w:rFonts w:ascii="黑体" w:hAnsi="黑体" w:eastAsia="黑体" w:cs="黑体"/>
          <w:sz w:val="24"/>
          <w:szCs w:val="24"/>
        </w:rPr>
      </w:pPr>
      <w:r>
        <w:rPr>
          <w:rFonts w:ascii="Times New Roman" w:hAnsi="Times New Roman" w:eastAsia="Times New Roman" w:cs="Times New Roman"/>
          <w:spacing w:val="-3"/>
          <w:sz w:val="24"/>
          <w:szCs w:val="24"/>
        </w:rPr>
        <w:t>4.12-</w:t>
      </w:r>
      <w:r>
        <w:rPr>
          <w:rFonts w:ascii="Times New Roman" w:hAnsi="Times New Roman" w:eastAsia="Times New Roman" w:cs="Times New Roman"/>
          <w:spacing w:val="-28"/>
          <w:sz w:val="24"/>
          <w:szCs w:val="24"/>
        </w:rPr>
        <w:t xml:space="preserve"> </w:t>
      </w:r>
      <w:r>
        <w:rPr>
          <w:rFonts w:ascii="Times New Roman" w:hAnsi="Times New Roman" w:eastAsia="Times New Roman" w:cs="Times New Roman"/>
          <w:spacing w:val="-3"/>
          <w:sz w:val="24"/>
          <w:szCs w:val="24"/>
        </w:rPr>
        <w:t xml:space="preserve">1 </w:t>
      </w:r>
      <w:r>
        <w:rPr>
          <w:rFonts w:ascii="黑体" w:hAnsi="黑体" w:eastAsia="黑体" w:cs="黑体"/>
          <w:spacing w:val="-3"/>
          <w:sz w:val="24"/>
          <w:szCs w:val="24"/>
        </w:rPr>
        <w:t>暂列金额明细表</w:t>
      </w:r>
    </w:p>
    <w:p w14:paraId="3ACCC94F">
      <w:pPr>
        <w:spacing w:before="163" w:line="224" w:lineRule="auto"/>
        <w:ind w:left="3286"/>
        <w:rPr>
          <w:rFonts w:ascii="黑体" w:hAnsi="黑体" w:eastAsia="黑体" w:cs="黑体"/>
          <w:sz w:val="27"/>
          <w:szCs w:val="27"/>
        </w:rPr>
      </w:pPr>
      <w:bookmarkStart w:id="1296" w:name="bookmark254"/>
      <w:bookmarkEnd w:id="1296"/>
      <w:r>
        <w:rPr>
          <w:rFonts w:ascii="黑体" w:hAnsi="黑体" w:eastAsia="黑体" w:cs="黑体"/>
          <w:spacing w:val="6"/>
          <w:sz w:val="27"/>
          <w:szCs w:val="27"/>
        </w:rPr>
        <w:t>暂列金额明细表</w:t>
      </w:r>
    </w:p>
    <w:p w14:paraId="548CEA31">
      <w:pPr>
        <w:spacing w:before="144" w:line="214" w:lineRule="auto"/>
        <w:ind w:left="97"/>
        <w:rPr>
          <w:rFonts w:ascii="宋体" w:hAnsi="宋体" w:eastAsia="宋体" w:cs="宋体"/>
          <w:sz w:val="21"/>
          <w:szCs w:val="21"/>
        </w:rPr>
      </w:pPr>
      <w:r>
        <w:rPr>
          <w:rFonts w:ascii="宋体" w:hAnsi="宋体" w:eastAsia="宋体" w:cs="宋体"/>
          <w:spacing w:val="-18"/>
          <w:sz w:val="21"/>
          <w:szCs w:val="21"/>
        </w:rPr>
        <w:t>工程名称：</w:t>
      </w:r>
      <w:r>
        <w:rPr>
          <w:rFonts w:ascii="宋体" w:hAnsi="宋体" w:eastAsia="宋体" w:cs="宋体"/>
          <w:spacing w:val="2"/>
          <w:sz w:val="21"/>
          <w:szCs w:val="21"/>
        </w:rPr>
        <w:t xml:space="preserve">               </w:t>
      </w:r>
      <w:r>
        <w:rPr>
          <w:rFonts w:ascii="宋体" w:hAnsi="宋体" w:eastAsia="宋体" w:cs="宋体"/>
          <w:spacing w:val="-18"/>
          <w:sz w:val="21"/>
          <w:szCs w:val="21"/>
        </w:rPr>
        <w:t>标段名称：</w:t>
      </w:r>
      <w:r>
        <w:rPr>
          <w:rFonts w:ascii="宋体" w:hAnsi="宋体" w:eastAsia="宋体" w:cs="宋体"/>
          <w:spacing w:val="8"/>
          <w:sz w:val="21"/>
          <w:szCs w:val="21"/>
        </w:rPr>
        <w:t xml:space="preserve">        </w:t>
      </w:r>
      <w:r>
        <w:rPr>
          <w:rFonts w:ascii="宋体" w:hAnsi="宋体" w:eastAsia="宋体" w:cs="宋体"/>
          <w:spacing w:val="-18"/>
          <w:sz w:val="21"/>
          <w:szCs w:val="21"/>
        </w:rPr>
        <w:t>第 页</w:t>
      </w:r>
      <w:r>
        <w:rPr>
          <w:rFonts w:ascii="宋体" w:hAnsi="宋体" w:eastAsia="宋体" w:cs="宋体"/>
          <w:spacing w:val="9"/>
          <w:sz w:val="21"/>
          <w:szCs w:val="21"/>
        </w:rPr>
        <w:t xml:space="preserve"> </w:t>
      </w:r>
      <w:r>
        <w:rPr>
          <w:rFonts w:ascii="宋体" w:hAnsi="宋体" w:eastAsia="宋体" w:cs="宋体"/>
          <w:spacing w:val="-18"/>
          <w:sz w:val="21"/>
          <w:szCs w:val="21"/>
        </w:rPr>
        <w:t>共</w:t>
      </w:r>
      <w:r>
        <w:rPr>
          <w:rFonts w:ascii="宋体" w:hAnsi="宋体" w:eastAsia="宋体" w:cs="宋体"/>
          <w:spacing w:val="14"/>
          <w:sz w:val="21"/>
          <w:szCs w:val="21"/>
        </w:rPr>
        <w:t xml:space="preserve"> </w:t>
      </w:r>
      <w:r>
        <w:rPr>
          <w:rFonts w:ascii="宋体" w:hAnsi="宋体" w:eastAsia="宋体" w:cs="宋体"/>
          <w:spacing w:val="-18"/>
          <w:sz w:val="21"/>
          <w:szCs w:val="21"/>
        </w:rPr>
        <w:t>页</w:t>
      </w:r>
    </w:p>
    <w:tbl>
      <w:tblPr>
        <w:tblStyle w:val="10"/>
        <w:tblW w:w="8474" w:type="dxa"/>
        <w:tblInd w:w="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25"/>
        <w:gridCol w:w="3069"/>
        <w:gridCol w:w="1525"/>
        <w:gridCol w:w="1525"/>
        <w:gridCol w:w="1530"/>
      </w:tblGrid>
      <w:tr w14:paraId="010230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68" w:hRule="atLeast"/>
        </w:trPr>
        <w:tc>
          <w:tcPr>
            <w:tcW w:w="825" w:type="dxa"/>
            <w:tcBorders>
              <w:top w:val="single" w:color="000000" w:sz="4" w:space="0"/>
              <w:left w:val="single" w:color="000000" w:sz="4" w:space="0"/>
            </w:tcBorders>
            <w:vAlign w:val="top"/>
          </w:tcPr>
          <w:p w14:paraId="5FE84E12">
            <w:pPr>
              <w:spacing w:line="257" w:lineRule="auto"/>
              <w:rPr>
                <w:rFonts w:ascii="Arial"/>
                <w:sz w:val="21"/>
              </w:rPr>
            </w:pPr>
          </w:p>
          <w:p w14:paraId="5B34FA6D">
            <w:pPr>
              <w:pStyle w:val="11"/>
              <w:spacing w:before="68" w:line="222" w:lineRule="auto"/>
              <w:ind w:left="209"/>
            </w:pPr>
            <w:r>
              <w:rPr>
                <w:spacing w:val="-2"/>
              </w:rPr>
              <w:t>序号</w:t>
            </w:r>
          </w:p>
        </w:tc>
        <w:tc>
          <w:tcPr>
            <w:tcW w:w="3069" w:type="dxa"/>
            <w:tcBorders>
              <w:top w:val="single" w:color="000000" w:sz="4" w:space="0"/>
            </w:tcBorders>
            <w:vAlign w:val="top"/>
          </w:tcPr>
          <w:p w14:paraId="3322ABC5">
            <w:pPr>
              <w:spacing w:line="257" w:lineRule="auto"/>
              <w:rPr>
                <w:rFonts w:ascii="Arial"/>
                <w:sz w:val="21"/>
              </w:rPr>
            </w:pPr>
          </w:p>
          <w:p w14:paraId="4AE599E3">
            <w:pPr>
              <w:pStyle w:val="11"/>
              <w:spacing w:before="68" w:line="221" w:lineRule="auto"/>
              <w:ind w:left="1119"/>
            </w:pPr>
            <w:r>
              <w:rPr>
                <w:spacing w:val="-2"/>
              </w:rPr>
              <w:t>项目名称</w:t>
            </w:r>
          </w:p>
        </w:tc>
        <w:tc>
          <w:tcPr>
            <w:tcW w:w="1525" w:type="dxa"/>
            <w:tcBorders>
              <w:top w:val="single" w:color="000000" w:sz="4" w:space="0"/>
            </w:tcBorders>
            <w:vAlign w:val="top"/>
          </w:tcPr>
          <w:p w14:paraId="78AF0587">
            <w:pPr>
              <w:spacing w:line="257" w:lineRule="auto"/>
              <w:rPr>
                <w:rFonts w:ascii="Arial"/>
                <w:sz w:val="21"/>
              </w:rPr>
            </w:pPr>
          </w:p>
          <w:p w14:paraId="3FBC0DB6">
            <w:pPr>
              <w:pStyle w:val="11"/>
              <w:spacing w:before="68" w:line="221" w:lineRule="auto"/>
              <w:ind w:left="351"/>
            </w:pPr>
            <w:r>
              <w:rPr>
                <w:spacing w:val="-1"/>
              </w:rPr>
              <w:t>计量单位</w:t>
            </w:r>
          </w:p>
        </w:tc>
        <w:tc>
          <w:tcPr>
            <w:tcW w:w="1525" w:type="dxa"/>
            <w:tcBorders>
              <w:top w:val="single" w:color="000000" w:sz="4" w:space="0"/>
            </w:tcBorders>
            <w:vAlign w:val="top"/>
          </w:tcPr>
          <w:p w14:paraId="20D06FE9">
            <w:pPr>
              <w:pStyle w:val="11"/>
              <w:spacing w:before="187" w:line="241" w:lineRule="auto"/>
              <w:ind w:left="360"/>
            </w:pPr>
            <w:r>
              <w:rPr>
                <w:spacing w:val="-2"/>
              </w:rPr>
              <w:t>暂定金额</w:t>
            </w:r>
          </w:p>
          <w:p w14:paraId="1637FE0D">
            <w:pPr>
              <w:pStyle w:val="11"/>
              <w:spacing w:line="221" w:lineRule="auto"/>
              <w:ind w:left="465"/>
            </w:pPr>
            <w:r>
              <w:rPr>
                <w:spacing w:val="-5"/>
              </w:rPr>
              <w:t>（元）</w:t>
            </w:r>
          </w:p>
        </w:tc>
        <w:tc>
          <w:tcPr>
            <w:tcW w:w="1530" w:type="dxa"/>
            <w:tcBorders>
              <w:top w:val="single" w:color="000000" w:sz="4" w:space="0"/>
              <w:right w:val="single" w:color="000000" w:sz="4" w:space="0"/>
            </w:tcBorders>
            <w:vAlign w:val="top"/>
          </w:tcPr>
          <w:p w14:paraId="04B54783">
            <w:pPr>
              <w:spacing w:line="257" w:lineRule="auto"/>
              <w:rPr>
                <w:rFonts w:ascii="Arial"/>
                <w:sz w:val="21"/>
              </w:rPr>
            </w:pPr>
          </w:p>
          <w:p w14:paraId="69E07161">
            <w:pPr>
              <w:pStyle w:val="11"/>
              <w:spacing w:before="68" w:line="222" w:lineRule="auto"/>
              <w:ind w:left="569"/>
            </w:pPr>
            <w:r>
              <w:rPr>
                <w:spacing w:val="-3"/>
              </w:rPr>
              <w:t>备注</w:t>
            </w:r>
          </w:p>
        </w:tc>
      </w:tr>
      <w:tr w14:paraId="23444A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64" w:hRule="atLeast"/>
        </w:trPr>
        <w:tc>
          <w:tcPr>
            <w:tcW w:w="825" w:type="dxa"/>
            <w:tcBorders>
              <w:left w:val="single" w:color="000000" w:sz="4" w:space="0"/>
            </w:tcBorders>
            <w:vAlign w:val="top"/>
          </w:tcPr>
          <w:p w14:paraId="4840C4E2">
            <w:pPr>
              <w:rPr>
                <w:rFonts w:ascii="Arial"/>
                <w:sz w:val="21"/>
              </w:rPr>
            </w:pPr>
          </w:p>
        </w:tc>
        <w:tc>
          <w:tcPr>
            <w:tcW w:w="3069" w:type="dxa"/>
            <w:vAlign w:val="top"/>
          </w:tcPr>
          <w:p w14:paraId="485E85E9">
            <w:pPr>
              <w:rPr>
                <w:rFonts w:ascii="Arial"/>
                <w:sz w:val="21"/>
              </w:rPr>
            </w:pPr>
          </w:p>
        </w:tc>
        <w:tc>
          <w:tcPr>
            <w:tcW w:w="1525" w:type="dxa"/>
            <w:vAlign w:val="top"/>
          </w:tcPr>
          <w:p w14:paraId="25924764">
            <w:pPr>
              <w:rPr>
                <w:rFonts w:ascii="Arial"/>
                <w:sz w:val="21"/>
              </w:rPr>
            </w:pPr>
          </w:p>
        </w:tc>
        <w:tc>
          <w:tcPr>
            <w:tcW w:w="1525" w:type="dxa"/>
            <w:vAlign w:val="top"/>
          </w:tcPr>
          <w:p w14:paraId="4BB0B77F">
            <w:pPr>
              <w:rPr>
                <w:rFonts w:ascii="Arial"/>
                <w:sz w:val="21"/>
              </w:rPr>
            </w:pPr>
          </w:p>
        </w:tc>
        <w:tc>
          <w:tcPr>
            <w:tcW w:w="1530" w:type="dxa"/>
            <w:tcBorders>
              <w:right w:val="single" w:color="000000" w:sz="4" w:space="0"/>
            </w:tcBorders>
            <w:vAlign w:val="top"/>
          </w:tcPr>
          <w:p w14:paraId="0F6196D5">
            <w:pPr>
              <w:rPr>
                <w:rFonts w:ascii="Arial"/>
                <w:sz w:val="21"/>
              </w:rPr>
            </w:pPr>
          </w:p>
        </w:tc>
      </w:tr>
      <w:tr w14:paraId="4CD1D2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68" w:hRule="atLeast"/>
        </w:trPr>
        <w:tc>
          <w:tcPr>
            <w:tcW w:w="825" w:type="dxa"/>
            <w:tcBorders>
              <w:left w:val="single" w:color="000000" w:sz="4" w:space="0"/>
              <w:bottom w:val="single" w:color="000000" w:sz="4" w:space="0"/>
            </w:tcBorders>
            <w:vAlign w:val="top"/>
          </w:tcPr>
          <w:p w14:paraId="1C2EFCAB">
            <w:pPr>
              <w:rPr>
                <w:rFonts w:ascii="Arial"/>
                <w:sz w:val="21"/>
              </w:rPr>
            </w:pPr>
          </w:p>
        </w:tc>
        <w:tc>
          <w:tcPr>
            <w:tcW w:w="3069" w:type="dxa"/>
            <w:vAlign w:val="top"/>
          </w:tcPr>
          <w:p w14:paraId="11A30DD1">
            <w:pPr>
              <w:rPr>
                <w:rFonts w:ascii="Arial"/>
                <w:sz w:val="21"/>
              </w:rPr>
            </w:pPr>
          </w:p>
        </w:tc>
        <w:tc>
          <w:tcPr>
            <w:tcW w:w="1525" w:type="dxa"/>
            <w:vAlign w:val="top"/>
          </w:tcPr>
          <w:p w14:paraId="1EE1F74B">
            <w:pPr>
              <w:rPr>
                <w:rFonts w:ascii="Arial"/>
                <w:sz w:val="21"/>
              </w:rPr>
            </w:pPr>
          </w:p>
        </w:tc>
        <w:tc>
          <w:tcPr>
            <w:tcW w:w="1525" w:type="dxa"/>
            <w:vAlign w:val="top"/>
          </w:tcPr>
          <w:p w14:paraId="18A11E5C">
            <w:pPr>
              <w:rPr>
                <w:rFonts w:ascii="Arial"/>
                <w:sz w:val="21"/>
              </w:rPr>
            </w:pPr>
          </w:p>
        </w:tc>
        <w:tc>
          <w:tcPr>
            <w:tcW w:w="1530" w:type="dxa"/>
            <w:tcBorders>
              <w:right w:val="single" w:color="000000" w:sz="4" w:space="0"/>
            </w:tcBorders>
            <w:vAlign w:val="top"/>
          </w:tcPr>
          <w:p w14:paraId="3D4F216C">
            <w:pPr>
              <w:rPr>
                <w:rFonts w:ascii="Arial"/>
                <w:sz w:val="21"/>
              </w:rPr>
            </w:pPr>
          </w:p>
        </w:tc>
      </w:tr>
      <w:tr w14:paraId="135FE4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61" w:hRule="atLeast"/>
        </w:trPr>
        <w:tc>
          <w:tcPr>
            <w:tcW w:w="825" w:type="dxa"/>
            <w:tcBorders>
              <w:top w:val="single" w:color="000000" w:sz="4" w:space="0"/>
              <w:left w:val="single" w:color="000000" w:sz="4" w:space="0"/>
            </w:tcBorders>
            <w:vAlign w:val="top"/>
          </w:tcPr>
          <w:p w14:paraId="3549724D">
            <w:pPr>
              <w:rPr>
                <w:rFonts w:ascii="Arial"/>
                <w:sz w:val="21"/>
              </w:rPr>
            </w:pPr>
          </w:p>
        </w:tc>
        <w:tc>
          <w:tcPr>
            <w:tcW w:w="3069" w:type="dxa"/>
            <w:vAlign w:val="top"/>
          </w:tcPr>
          <w:p w14:paraId="1DAD521B">
            <w:pPr>
              <w:rPr>
                <w:rFonts w:ascii="Arial"/>
                <w:sz w:val="21"/>
              </w:rPr>
            </w:pPr>
          </w:p>
        </w:tc>
        <w:tc>
          <w:tcPr>
            <w:tcW w:w="1525" w:type="dxa"/>
            <w:vAlign w:val="top"/>
          </w:tcPr>
          <w:p w14:paraId="7883B72B">
            <w:pPr>
              <w:rPr>
                <w:rFonts w:ascii="Arial"/>
                <w:sz w:val="21"/>
              </w:rPr>
            </w:pPr>
          </w:p>
        </w:tc>
        <w:tc>
          <w:tcPr>
            <w:tcW w:w="1525" w:type="dxa"/>
            <w:vAlign w:val="top"/>
          </w:tcPr>
          <w:p w14:paraId="4AB63A1D">
            <w:pPr>
              <w:rPr>
                <w:rFonts w:ascii="Arial"/>
                <w:sz w:val="21"/>
              </w:rPr>
            </w:pPr>
          </w:p>
        </w:tc>
        <w:tc>
          <w:tcPr>
            <w:tcW w:w="1530" w:type="dxa"/>
            <w:tcBorders>
              <w:right w:val="single" w:color="000000" w:sz="4" w:space="0"/>
            </w:tcBorders>
            <w:vAlign w:val="top"/>
          </w:tcPr>
          <w:p w14:paraId="08FCE919">
            <w:pPr>
              <w:rPr>
                <w:rFonts w:ascii="Arial"/>
                <w:sz w:val="21"/>
              </w:rPr>
            </w:pPr>
          </w:p>
        </w:tc>
      </w:tr>
      <w:tr w14:paraId="243D67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68" w:hRule="atLeast"/>
        </w:trPr>
        <w:tc>
          <w:tcPr>
            <w:tcW w:w="825" w:type="dxa"/>
            <w:tcBorders>
              <w:left w:val="single" w:color="000000" w:sz="4" w:space="0"/>
            </w:tcBorders>
            <w:vAlign w:val="top"/>
          </w:tcPr>
          <w:p w14:paraId="789942B3">
            <w:pPr>
              <w:rPr>
                <w:rFonts w:ascii="Arial"/>
                <w:sz w:val="21"/>
              </w:rPr>
            </w:pPr>
          </w:p>
        </w:tc>
        <w:tc>
          <w:tcPr>
            <w:tcW w:w="3069" w:type="dxa"/>
            <w:vAlign w:val="top"/>
          </w:tcPr>
          <w:p w14:paraId="08CD0CC1">
            <w:pPr>
              <w:rPr>
                <w:rFonts w:ascii="Arial"/>
                <w:sz w:val="21"/>
              </w:rPr>
            </w:pPr>
          </w:p>
        </w:tc>
        <w:tc>
          <w:tcPr>
            <w:tcW w:w="1525" w:type="dxa"/>
            <w:vAlign w:val="top"/>
          </w:tcPr>
          <w:p w14:paraId="3035F63A">
            <w:pPr>
              <w:rPr>
                <w:rFonts w:ascii="Arial"/>
                <w:sz w:val="21"/>
              </w:rPr>
            </w:pPr>
          </w:p>
        </w:tc>
        <w:tc>
          <w:tcPr>
            <w:tcW w:w="1525" w:type="dxa"/>
            <w:vAlign w:val="top"/>
          </w:tcPr>
          <w:p w14:paraId="093D88C7">
            <w:pPr>
              <w:rPr>
                <w:rFonts w:ascii="Arial"/>
                <w:sz w:val="21"/>
              </w:rPr>
            </w:pPr>
          </w:p>
        </w:tc>
        <w:tc>
          <w:tcPr>
            <w:tcW w:w="1530" w:type="dxa"/>
            <w:tcBorders>
              <w:right w:val="single" w:color="000000" w:sz="4" w:space="0"/>
            </w:tcBorders>
            <w:vAlign w:val="top"/>
          </w:tcPr>
          <w:p w14:paraId="4A49A41A">
            <w:pPr>
              <w:rPr>
                <w:rFonts w:ascii="Arial"/>
                <w:sz w:val="21"/>
              </w:rPr>
            </w:pPr>
          </w:p>
        </w:tc>
      </w:tr>
      <w:tr w14:paraId="25081A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63" w:hRule="atLeast"/>
        </w:trPr>
        <w:tc>
          <w:tcPr>
            <w:tcW w:w="825" w:type="dxa"/>
            <w:tcBorders>
              <w:left w:val="single" w:color="000000" w:sz="4" w:space="0"/>
            </w:tcBorders>
            <w:vAlign w:val="top"/>
          </w:tcPr>
          <w:p w14:paraId="4E31584B">
            <w:pPr>
              <w:rPr>
                <w:rFonts w:ascii="Arial"/>
                <w:sz w:val="21"/>
              </w:rPr>
            </w:pPr>
          </w:p>
        </w:tc>
        <w:tc>
          <w:tcPr>
            <w:tcW w:w="3069" w:type="dxa"/>
            <w:vAlign w:val="top"/>
          </w:tcPr>
          <w:p w14:paraId="14EF0E23">
            <w:pPr>
              <w:rPr>
                <w:rFonts w:ascii="Arial"/>
                <w:sz w:val="21"/>
              </w:rPr>
            </w:pPr>
          </w:p>
        </w:tc>
        <w:tc>
          <w:tcPr>
            <w:tcW w:w="1525" w:type="dxa"/>
            <w:vAlign w:val="top"/>
          </w:tcPr>
          <w:p w14:paraId="11A4AD19">
            <w:pPr>
              <w:rPr>
                <w:rFonts w:ascii="Arial"/>
                <w:sz w:val="21"/>
              </w:rPr>
            </w:pPr>
          </w:p>
        </w:tc>
        <w:tc>
          <w:tcPr>
            <w:tcW w:w="1525" w:type="dxa"/>
            <w:vAlign w:val="top"/>
          </w:tcPr>
          <w:p w14:paraId="2F245A24">
            <w:pPr>
              <w:rPr>
                <w:rFonts w:ascii="Arial"/>
                <w:sz w:val="21"/>
              </w:rPr>
            </w:pPr>
          </w:p>
        </w:tc>
        <w:tc>
          <w:tcPr>
            <w:tcW w:w="1530" w:type="dxa"/>
            <w:tcBorders>
              <w:right w:val="single" w:color="000000" w:sz="4" w:space="0"/>
            </w:tcBorders>
            <w:vAlign w:val="top"/>
          </w:tcPr>
          <w:p w14:paraId="5E72DD40">
            <w:pPr>
              <w:rPr>
                <w:rFonts w:ascii="Arial"/>
                <w:sz w:val="21"/>
              </w:rPr>
            </w:pPr>
          </w:p>
        </w:tc>
      </w:tr>
      <w:tr w14:paraId="2E1103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68" w:hRule="atLeast"/>
        </w:trPr>
        <w:tc>
          <w:tcPr>
            <w:tcW w:w="825" w:type="dxa"/>
            <w:tcBorders>
              <w:left w:val="single" w:color="000000" w:sz="4" w:space="0"/>
            </w:tcBorders>
            <w:vAlign w:val="top"/>
          </w:tcPr>
          <w:p w14:paraId="6AFBD6E2">
            <w:pPr>
              <w:rPr>
                <w:rFonts w:ascii="Arial"/>
                <w:sz w:val="21"/>
              </w:rPr>
            </w:pPr>
          </w:p>
        </w:tc>
        <w:tc>
          <w:tcPr>
            <w:tcW w:w="3069" w:type="dxa"/>
            <w:vAlign w:val="top"/>
          </w:tcPr>
          <w:p w14:paraId="32951764">
            <w:pPr>
              <w:rPr>
                <w:rFonts w:ascii="Arial"/>
                <w:sz w:val="21"/>
              </w:rPr>
            </w:pPr>
          </w:p>
        </w:tc>
        <w:tc>
          <w:tcPr>
            <w:tcW w:w="1525" w:type="dxa"/>
            <w:vAlign w:val="top"/>
          </w:tcPr>
          <w:p w14:paraId="7758E614">
            <w:pPr>
              <w:rPr>
                <w:rFonts w:ascii="Arial"/>
                <w:sz w:val="21"/>
              </w:rPr>
            </w:pPr>
          </w:p>
        </w:tc>
        <w:tc>
          <w:tcPr>
            <w:tcW w:w="1525" w:type="dxa"/>
            <w:vAlign w:val="top"/>
          </w:tcPr>
          <w:p w14:paraId="2C761423">
            <w:pPr>
              <w:rPr>
                <w:rFonts w:ascii="Arial"/>
                <w:sz w:val="21"/>
              </w:rPr>
            </w:pPr>
          </w:p>
        </w:tc>
        <w:tc>
          <w:tcPr>
            <w:tcW w:w="1530" w:type="dxa"/>
            <w:tcBorders>
              <w:right w:val="single" w:color="000000" w:sz="4" w:space="0"/>
            </w:tcBorders>
            <w:vAlign w:val="top"/>
          </w:tcPr>
          <w:p w14:paraId="749F6EA9">
            <w:pPr>
              <w:rPr>
                <w:rFonts w:ascii="Arial"/>
                <w:sz w:val="21"/>
              </w:rPr>
            </w:pPr>
          </w:p>
        </w:tc>
      </w:tr>
      <w:tr w14:paraId="1916A3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63" w:hRule="atLeast"/>
        </w:trPr>
        <w:tc>
          <w:tcPr>
            <w:tcW w:w="825" w:type="dxa"/>
            <w:tcBorders>
              <w:left w:val="single" w:color="000000" w:sz="4" w:space="0"/>
            </w:tcBorders>
            <w:vAlign w:val="top"/>
          </w:tcPr>
          <w:p w14:paraId="1A702988">
            <w:pPr>
              <w:rPr>
                <w:rFonts w:ascii="Arial"/>
                <w:sz w:val="21"/>
              </w:rPr>
            </w:pPr>
          </w:p>
        </w:tc>
        <w:tc>
          <w:tcPr>
            <w:tcW w:w="3069" w:type="dxa"/>
            <w:vAlign w:val="top"/>
          </w:tcPr>
          <w:p w14:paraId="248F5E13">
            <w:pPr>
              <w:rPr>
                <w:rFonts w:ascii="Arial"/>
                <w:sz w:val="21"/>
              </w:rPr>
            </w:pPr>
          </w:p>
        </w:tc>
        <w:tc>
          <w:tcPr>
            <w:tcW w:w="1525" w:type="dxa"/>
            <w:vAlign w:val="top"/>
          </w:tcPr>
          <w:p w14:paraId="797C6BE2">
            <w:pPr>
              <w:rPr>
                <w:rFonts w:ascii="Arial"/>
                <w:sz w:val="21"/>
              </w:rPr>
            </w:pPr>
          </w:p>
        </w:tc>
        <w:tc>
          <w:tcPr>
            <w:tcW w:w="1525" w:type="dxa"/>
            <w:vAlign w:val="top"/>
          </w:tcPr>
          <w:p w14:paraId="3118F0D1">
            <w:pPr>
              <w:rPr>
                <w:rFonts w:ascii="Arial"/>
                <w:sz w:val="21"/>
              </w:rPr>
            </w:pPr>
          </w:p>
        </w:tc>
        <w:tc>
          <w:tcPr>
            <w:tcW w:w="1530" w:type="dxa"/>
            <w:tcBorders>
              <w:right w:val="single" w:color="000000" w:sz="4" w:space="0"/>
            </w:tcBorders>
            <w:vAlign w:val="top"/>
          </w:tcPr>
          <w:p w14:paraId="2F44052A">
            <w:pPr>
              <w:rPr>
                <w:rFonts w:ascii="Arial"/>
                <w:sz w:val="21"/>
              </w:rPr>
            </w:pPr>
          </w:p>
        </w:tc>
      </w:tr>
      <w:tr w14:paraId="787BDC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64" w:hRule="atLeast"/>
        </w:trPr>
        <w:tc>
          <w:tcPr>
            <w:tcW w:w="825" w:type="dxa"/>
            <w:tcBorders>
              <w:left w:val="single" w:color="000000" w:sz="4" w:space="0"/>
            </w:tcBorders>
            <w:vAlign w:val="top"/>
          </w:tcPr>
          <w:p w14:paraId="3E3B50C1">
            <w:pPr>
              <w:rPr>
                <w:rFonts w:ascii="Arial"/>
                <w:sz w:val="21"/>
              </w:rPr>
            </w:pPr>
          </w:p>
        </w:tc>
        <w:tc>
          <w:tcPr>
            <w:tcW w:w="3069" w:type="dxa"/>
            <w:vAlign w:val="top"/>
          </w:tcPr>
          <w:p w14:paraId="1E86A613">
            <w:pPr>
              <w:rPr>
                <w:rFonts w:ascii="Arial"/>
                <w:sz w:val="21"/>
              </w:rPr>
            </w:pPr>
          </w:p>
        </w:tc>
        <w:tc>
          <w:tcPr>
            <w:tcW w:w="1525" w:type="dxa"/>
            <w:vAlign w:val="top"/>
          </w:tcPr>
          <w:p w14:paraId="0CDA3466">
            <w:pPr>
              <w:rPr>
                <w:rFonts w:ascii="Arial"/>
                <w:sz w:val="21"/>
              </w:rPr>
            </w:pPr>
          </w:p>
        </w:tc>
        <w:tc>
          <w:tcPr>
            <w:tcW w:w="1525" w:type="dxa"/>
            <w:vAlign w:val="top"/>
          </w:tcPr>
          <w:p w14:paraId="0B9074CC">
            <w:pPr>
              <w:rPr>
                <w:rFonts w:ascii="Arial"/>
                <w:sz w:val="21"/>
              </w:rPr>
            </w:pPr>
          </w:p>
        </w:tc>
        <w:tc>
          <w:tcPr>
            <w:tcW w:w="1530" w:type="dxa"/>
            <w:tcBorders>
              <w:right w:val="single" w:color="000000" w:sz="4" w:space="0"/>
            </w:tcBorders>
            <w:vAlign w:val="top"/>
          </w:tcPr>
          <w:p w14:paraId="62F26E11">
            <w:pPr>
              <w:rPr>
                <w:rFonts w:ascii="Arial"/>
                <w:sz w:val="21"/>
              </w:rPr>
            </w:pPr>
          </w:p>
        </w:tc>
      </w:tr>
      <w:tr w14:paraId="4C3649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68" w:hRule="atLeast"/>
        </w:trPr>
        <w:tc>
          <w:tcPr>
            <w:tcW w:w="825" w:type="dxa"/>
            <w:tcBorders>
              <w:left w:val="single" w:color="000000" w:sz="4" w:space="0"/>
            </w:tcBorders>
            <w:vAlign w:val="top"/>
          </w:tcPr>
          <w:p w14:paraId="1DAE6CA4">
            <w:pPr>
              <w:rPr>
                <w:rFonts w:ascii="Arial"/>
                <w:sz w:val="21"/>
              </w:rPr>
            </w:pPr>
          </w:p>
        </w:tc>
        <w:tc>
          <w:tcPr>
            <w:tcW w:w="3069" w:type="dxa"/>
            <w:vAlign w:val="top"/>
          </w:tcPr>
          <w:p w14:paraId="55DDD654">
            <w:pPr>
              <w:rPr>
                <w:rFonts w:ascii="Arial"/>
                <w:sz w:val="21"/>
              </w:rPr>
            </w:pPr>
          </w:p>
        </w:tc>
        <w:tc>
          <w:tcPr>
            <w:tcW w:w="1525" w:type="dxa"/>
            <w:vAlign w:val="top"/>
          </w:tcPr>
          <w:p w14:paraId="67C69A72">
            <w:pPr>
              <w:rPr>
                <w:rFonts w:ascii="Arial"/>
                <w:sz w:val="21"/>
              </w:rPr>
            </w:pPr>
          </w:p>
        </w:tc>
        <w:tc>
          <w:tcPr>
            <w:tcW w:w="1525" w:type="dxa"/>
            <w:vAlign w:val="top"/>
          </w:tcPr>
          <w:p w14:paraId="4B0B643C">
            <w:pPr>
              <w:rPr>
                <w:rFonts w:ascii="Arial"/>
                <w:sz w:val="21"/>
              </w:rPr>
            </w:pPr>
          </w:p>
        </w:tc>
        <w:tc>
          <w:tcPr>
            <w:tcW w:w="1530" w:type="dxa"/>
            <w:tcBorders>
              <w:right w:val="single" w:color="000000" w:sz="4" w:space="0"/>
            </w:tcBorders>
            <w:vAlign w:val="top"/>
          </w:tcPr>
          <w:p w14:paraId="25F658CA">
            <w:pPr>
              <w:rPr>
                <w:rFonts w:ascii="Arial"/>
                <w:sz w:val="21"/>
              </w:rPr>
            </w:pPr>
          </w:p>
        </w:tc>
      </w:tr>
      <w:tr w14:paraId="313003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64" w:hRule="atLeast"/>
        </w:trPr>
        <w:tc>
          <w:tcPr>
            <w:tcW w:w="825" w:type="dxa"/>
            <w:tcBorders>
              <w:left w:val="single" w:color="000000" w:sz="4" w:space="0"/>
            </w:tcBorders>
            <w:vAlign w:val="top"/>
          </w:tcPr>
          <w:p w14:paraId="11B403BB">
            <w:pPr>
              <w:rPr>
                <w:rFonts w:ascii="Arial"/>
                <w:sz w:val="21"/>
              </w:rPr>
            </w:pPr>
          </w:p>
        </w:tc>
        <w:tc>
          <w:tcPr>
            <w:tcW w:w="3069" w:type="dxa"/>
            <w:vAlign w:val="top"/>
          </w:tcPr>
          <w:p w14:paraId="26E67205">
            <w:pPr>
              <w:rPr>
                <w:rFonts w:ascii="Arial"/>
                <w:sz w:val="21"/>
              </w:rPr>
            </w:pPr>
          </w:p>
        </w:tc>
        <w:tc>
          <w:tcPr>
            <w:tcW w:w="1525" w:type="dxa"/>
            <w:vAlign w:val="top"/>
          </w:tcPr>
          <w:p w14:paraId="6C3B5F95">
            <w:pPr>
              <w:rPr>
                <w:rFonts w:ascii="Arial"/>
                <w:sz w:val="21"/>
              </w:rPr>
            </w:pPr>
          </w:p>
        </w:tc>
        <w:tc>
          <w:tcPr>
            <w:tcW w:w="1525" w:type="dxa"/>
            <w:vAlign w:val="top"/>
          </w:tcPr>
          <w:p w14:paraId="40F22E9B">
            <w:pPr>
              <w:rPr>
                <w:rFonts w:ascii="Arial"/>
                <w:sz w:val="21"/>
              </w:rPr>
            </w:pPr>
          </w:p>
        </w:tc>
        <w:tc>
          <w:tcPr>
            <w:tcW w:w="1530" w:type="dxa"/>
            <w:tcBorders>
              <w:right w:val="single" w:color="000000" w:sz="4" w:space="0"/>
            </w:tcBorders>
            <w:vAlign w:val="top"/>
          </w:tcPr>
          <w:p w14:paraId="062EE7DB">
            <w:pPr>
              <w:rPr>
                <w:rFonts w:ascii="Arial"/>
                <w:sz w:val="21"/>
              </w:rPr>
            </w:pPr>
          </w:p>
        </w:tc>
      </w:tr>
      <w:tr w14:paraId="4A7BF6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77" w:hRule="atLeast"/>
        </w:trPr>
        <w:tc>
          <w:tcPr>
            <w:tcW w:w="5419" w:type="dxa"/>
            <w:gridSpan w:val="3"/>
            <w:tcBorders>
              <w:left w:val="single" w:color="000000" w:sz="4" w:space="0"/>
              <w:bottom w:val="single" w:color="000000" w:sz="4" w:space="0"/>
            </w:tcBorders>
            <w:vAlign w:val="top"/>
          </w:tcPr>
          <w:p w14:paraId="1EE91492">
            <w:pPr>
              <w:spacing w:line="261" w:lineRule="auto"/>
              <w:rPr>
                <w:rFonts w:ascii="Arial"/>
                <w:sz w:val="21"/>
              </w:rPr>
            </w:pPr>
          </w:p>
          <w:p w14:paraId="1010A1BD">
            <w:pPr>
              <w:pStyle w:val="11"/>
              <w:spacing w:before="68" w:line="222" w:lineRule="auto"/>
              <w:ind w:left="2510"/>
            </w:pPr>
            <w:r>
              <w:rPr>
                <w:spacing w:val="-2"/>
              </w:rPr>
              <w:t>合计</w:t>
            </w:r>
          </w:p>
        </w:tc>
        <w:tc>
          <w:tcPr>
            <w:tcW w:w="1525" w:type="dxa"/>
            <w:tcBorders>
              <w:bottom w:val="single" w:color="000000" w:sz="4" w:space="0"/>
            </w:tcBorders>
            <w:vAlign w:val="top"/>
          </w:tcPr>
          <w:p w14:paraId="7A64F87E">
            <w:pPr>
              <w:rPr>
                <w:rFonts w:ascii="Arial"/>
                <w:sz w:val="21"/>
              </w:rPr>
            </w:pPr>
          </w:p>
        </w:tc>
        <w:tc>
          <w:tcPr>
            <w:tcW w:w="1530" w:type="dxa"/>
            <w:tcBorders>
              <w:bottom w:val="single" w:color="000000" w:sz="4" w:space="0"/>
              <w:right w:val="single" w:color="000000" w:sz="4" w:space="0"/>
            </w:tcBorders>
            <w:vAlign w:val="top"/>
          </w:tcPr>
          <w:p w14:paraId="1DA4B83A">
            <w:pPr>
              <w:spacing w:line="360" w:lineRule="auto"/>
              <w:rPr>
                <w:rFonts w:ascii="Arial"/>
                <w:sz w:val="21"/>
              </w:rPr>
            </w:pPr>
          </w:p>
          <w:p w14:paraId="0D667E74">
            <w:pPr>
              <w:pStyle w:val="11"/>
              <w:spacing w:before="68" w:line="142" w:lineRule="exact"/>
              <w:ind w:left="666"/>
            </w:pPr>
            <w:r>
              <w:rPr>
                <w:position w:val="-3"/>
              </w:rPr>
              <w:t>—</w:t>
            </w:r>
          </w:p>
        </w:tc>
      </w:tr>
    </w:tbl>
    <w:p w14:paraId="1B02C452">
      <w:pPr>
        <w:spacing w:before="149" w:line="228" w:lineRule="auto"/>
        <w:ind w:left="516" w:right="87" w:hanging="422"/>
        <w:rPr>
          <w:rFonts w:ascii="宋体" w:hAnsi="宋体" w:eastAsia="宋体" w:cs="宋体"/>
          <w:sz w:val="21"/>
          <w:szCs w:val="21"/>
        </w:rPr>
      </w:pPr>
      <w:r>
        <w:rPr>
          <w:rFonts w:ascii="宋体" w:hAnsi="宋体" w:eastAsia="宋体" w:cs="宋体"/>
          <w:sz w:val="21"/>
          <w:szCs w:val="21"/>
        </w:rPr>
        <w:t>注：此表由招标人填写，如不能详列明细，也可只列暂列金总额， 投标人应将上述暂列金</w:t>
      </w:r>
      <w:r>
        <w:rPr>
          <w:rFonts w:ascii="宋体" w:hAnsi="宋体" w:eastAsia="宋体" w:cs="宋体"/>
          <w:spacing w:val="6"/>
          <w:sz w:val="21"/>
          <w:szCs w:val="21"/>
        </w:rPr>
        <w:t xml:space="preserve"> </w:t>
      </w:r>
      <w:r>
        <w:rPr>
          <w:rFonts w:ascii="宋体" w:hAnsi="宋体" w:eastAsia="宋体" w:cs="宋体"/>
          <w:spacing w:val="-3"/>
          <w:sz w:val="21"/>
          <w:szCs w:val="21"/>
        </w:rPr>
        <w:t>额计入投标总价中。</w:t>
      </w:r>
    </w:p>
    <w:p w14:paraId="6C76A7DC">
      <w:pPr>
        <w:spacing w:line="228" w:lineRule="auto"/>
        <w:rPr>
          <w:rFonts w:ascii="宋体" w:hAnsi="宋体" w:eastAsia="宋体" w:cs="宋体"/>
          <w:sz w:val="21"/>
          <w:szCs w:val="21"/>
        </w:rPr>
        <w:sectPr>
          <w:footerReference r:id="rId174" w:type="default"/>
          <w:pgSz w:w="11905" w:h="16839"/>
          <w:pgMar w:top="400" w:right="1709" w:bottom="1004" w:left="1709" w:header="0" w:footer="828" w:gutter="0"/>
          <w:pgNumType w:fmt="decimal"/>
          <w:cols w:space="720" w:num="1"/>
        </w:sectPr>
      </w:pPr>
    </w:p>
    <w:p w14:paraId="26D9CE97">
      <w:pPr>
        <w:pStyle w:val="3"/>
        <w:spacing w:line="267" w:lineRule="auto"/>
      </w:pPr>
    </w:p>
    <w:p w14:paraId="12DBDDE7">
      <w:pPr>
        <w:pStyle w:val="3"/>
        <w:spacing w:line="267" w:lineRule="auto"/>
      </w:pPr>
    </w:p>
    <w:p w14:paraId="3A713D5F">
      <w:pPr>
        <w:pStyle w:val="3"/>
        <w:spacing w:line="268" w:lineRule="auto"/>
      </w:pPr>
    </w:p>
    <w:p w14:paraId="1C30558E">
      <w:pPr>
        <w:pStyle w:val="3"/>
        <w:spacing w:line="268" w:lineRule="auto"/>
      </w:pPr>
    </w:p>
    <w:p w14:paraId="55D7132B">
      <w:pPr>
        <w:spacing w:before="78" w:line="219" w:lineRule="auto"/>
        <w:ind w:left="623"/>
        <w:rPr>
          <w:rFonts w:ascii="黑体" w:hAnsi="黑体" w:eastAsia="黑体" w:cs="黑体"/>
          <w:sz w:val="24"/>
          <w:szCs w:val="24"/>
        </w:rPr>
      </w:pPr>
      <w:r>
        <w:rPr>
          <w:rFonts w:ascii="Times New Roman" w:hAnsi="Times New Roman" w:eastAsia="Times New Roman" w:cs="Times New Roman"/>
          <w:spacing w:val="-1"/>
          <w:sz w:val="24"/>
          <w:szCs w:val="24"/>
        </w:rPr>
        <w:t xml:space="preserve">4.12-2 </w:t>
      </w:r>
      <w:r>
        <w:rPr>
          <w:rFonts w:ascii="黑体" w:hAnsi="黑体" w:eastAsia="黑体" w:cs="黑体"/>
          <w:spacing w:val="-1"/>
          <w:sz w:val="24"/>
          <w:szCs w:val="24"/>
        </w:rPr>
        <w:t>材料（工程设备）暂估单价及调整表</w:t>
      </w:r>
    </w:p>
    <w:p w14:paraId="14676BD1">
      <w:pPr>
        <w:pStyle w:val="3"/>
        <w:spacing w:line="383" w:lineRule="auto"/>
      </w:pPr>
    </w:p>
    <w:p w14:paraId="49450C57">
      <w:pPr>
        <w:spacing w:before="88" w:line="225" w:lineRule="auto"/>
        <w:ind w:left="2545"/>
        <w:rPr>
          <w:rFonts w:ascii="黑体" w:hAnsi="黑体" w:eastAsia="黑体" w:cs="黑体"/>
          <w:sz w:val="27"/>
          <w:szCs w:val="27"/>
        </w:rPr>
      </w:pPr>
      <w:bookmarkStart w:id="1297" w:name="bookmark255"/>
      <w:bookmarkEnd w:id="1297"/>
      <w:r>
        <w:rPr>
          <w:rFonts w:ascii="黑体" w:hAnsi="黑体" w:eastAsia="黑体" w:cs="黑体"/>
          <w:spacing w:val="8"/>
          <w:sz w:val="27"/>
          <w:szCs w:val="27"/>
        </w:rPr>
        <w:t>材料（工程设备）暂估单价及调整表</w:t>
      </w:r>
    </w:p>
    <w:p w14:paraId="52DE893A">
      <w:pPr>
        <w:spacing w:line="163" w:lineRule="exact"/>
      </w:pPr>
    </w:p>
    <w:p w14:paraId="7AF84E35">
      <w:pPr>
        <w:spacing w:line="163" w:lineRule="exact"/>
        <w:sectPr>
          <w:footerReference r:id="rId175" w:type="default"/>
          <w:pgSz w:w="11905" w:h="16839"/>
          <w:pgMar w:top="400" w:right="1171" w:bottom="1004" w:left="1176" w:header="0" w:footer="828" w:gutter="0"/>
          <w:pgNumType w:fmt="decimal"/>
          <w:cols w:equalWidth="0" w:num="1">
            <w:col w:w="9556"/>
          </w:cols>
        </w:sectPr>
      </w:pPr>
    </w:p>
    <w:p w14:paraId="6C249E51">
      <w:pPr>
        <w:spacing w:before="40" w:line="186" w:lineRule="auto"/>
        <w:ind w:left="125"/>
        <w:rPr>
          <w:rFonts w:ascii="宋体" w:hAnsi="宋体" w:eastAsia="宋体" w:cs="宋体"/>
          <w:sz w:val="20"/>
          <w:szCs w:val="20"/>
        </w:rPr>
      </w:pPr>
      <w:r>
        <w:rPr>
          <w:rFonts w:ascii="宋体" w:hAnsi="宋体" w:eastAsia="宋体" w:cs="宋体"/>
          <w:spacing w:val="-1"/>
          <w:sz w:val="20"/>
          <w:szCs w:val="20"/>
        </w:rPr>
        <w:t>工程名称：</w:t>
      </w:r>
    </w:p>
    <w:p w14:paraId="3C0701C1">
      <w:pPr>
        <w:pStyle w:val="3"/>
        <w:spacing w:line="14" w:lineRule="auto"/>
        <w:rPr>
          <w:sz w:val="2"/>
        </w:rPr>
      </w:pPr>
      <w:r>
        <w:rPr>
          <w:sz w:val="2"/>
          <w:szCs w:val="2"/>
        </w:rPr>
        <w:br w:type="column"/>
      </w:r>
    </w:p>
    <w:p w14:paraId="4DE6B0D3">
      <w:pPr>
        <w:spacing w:before="39" w:line="186" w:lineRule="auto"/>
        <w:rPr>
          <w:rFonts w:ascii="宋体" w:hAnsi="宋体" w:eastAsia="宋体" w:cs="宋体"/>
          <w:sz w:val="20"/>
          <w:szCs w:val="20"/>
        </w:rPr>
      </w:pPr>
      <w:r>
        <w:rPr>
          <w:rFonts w:ascii="宋体" w:hAnsi="宋体" w:eastAsia="宋体" w:cs="宋体"/>
          <w:sz w:val="20"/>
          <w:szCs w:val="20"/>
        </w:rPr>
        <w:t>标段名称：              第</w:t>
      </w:r>
    </w:p>
    <w:p w14:paraId="27014BF1">
      <w:pPr>
        <w:pStyle w:val="3"/>
        <w:spacing w:line="14" w:lineRule="auto"/>
        <w:rPr>
          <w:sz w:val="2"/>
        </w:rPr>
      </w:pPr>
      <w:r>
        <w:rPr>
          <w:sz w:val="2"/>
          <w:szCs w:val="2"/>
        </w:rPr>
        <w:br w:type="column"/>
      </w:r>
    </w:p>
    <w:p w14:paraId="331AA1C8">
      <w:pPr>
        <w:spacing w:before="39" w:line="186" w:lineRule="auto"/>
        <w:rPr>
          <w:rFonts w:ascii="宋体" w:hAnsi="宋体" w:eastAsia="宋体" w:cs="宋体"/>
          <w:sz w:val="20"/>
          <w:szCs w:val="20"/>
        </w:rPr>
      </w:pPr>
      <w:r>
        <w:rPr>
          <w:rFonts w:ascii="宋体" w:hAnsi="宋体" w:eastAsia="宋体" w:cs="宋体"/>
          <w:spacing w:val="-4"/>
          <w:sz w:val="20"/>
          <w:szCs w:val="20"/>
        </w:rPr>
        <w:t>页 共</w:t>
      </w:r>
      <w:r>
        <w:rPr>
          <w:rFonts w:ascii="宋体" w:hAnsi="宋体" w:eastAsia="宋体" w:cs="宋体"/>
          <w:spacing w:val="7"/>
          <w:sz w:val="20"/>
          <w:szCs w:val="20"/>
        </w:rPr>
        <w:t xml:space="preserve">  </w:t>
      </w:r>
      <w:r>
        <w:rPr>
          <w:rFonts w:ascii="宋体" w:hAnsi="宋体" w:eastAsia="宋体" w:cs="宋体"/>
          <w:spacing w:val="-4"/>
          <w:sz w:val="20"/>
          <w:szCs w:val="20"/>
        </w:rPr>
        <w:t>页</w:t>
      </w:r>
    </w:p>
    <w:p w14:paraId="2D8CBDD5">
      <w:pPr>
        <w:spacing w:line="186" w:lineRule="auto"/>
        <w:rPr>
          <w:rFonts w:ascii="宋体" w:hAnsi="宋体" w:eastAsia="宋体" w:cs="宋体"/>
          <w:sz w:val="20"/>
          <w:szCs w:val="20"/>
        </w:rPr>
        <w:sectPr>
          <w:type w:val="continuous"/>
          <w:pgSz w:w="11905" w:h="16839"/>
          <w:pgMar w:top="400" w:right="1171" w:bottom="1004" w:left="1176" w:header="0" w:footer="828" w:gutter="0"/>
          <w:pgNumType w:fmt="decimal"/>
          <w:cols w:equalWidth="0" w:num="3">
            <w:col w:w="5647" w:space="100"/>
            <w:col w:w="2714" w:space="100"/>
            <w:col w:w="996"/>
          </w:cols>
        </w:sectPr>
      </w:pPr>
    </w:p>
    <w:p w14:paraId="5AB11813">
      <w:pPr>
        <w:spacing w:line="96" w:lineRule="exact"/>
      </w:pPr>
    </w:p>
    <w:tbl>
      <w:tblPr>
        <w:tblStyle w:val="10"/>
        <w:tblW w:w="955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61"/>
        <w:gridCol w:w="2578"/>
        <w:gridCol w:w="806"/>
        <w:gridCol w:w="562"/>
        <w:gridCol w:w="556"/>
        <w:gridCol w:w="562"/>
        <w:gridCol w:w="676"/>
        <w:gridCol w:w="682"/>
        <w:gridCol w:w="681"/>
        <w:gridCol w:w="624"/>
        <w:gridCol w:w="628"/>
        <w:gridCol w:w="634"/>
      </w:tblGrid>
      <w:tr w14:paraId="4D0C23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2" w:hRule="atLeast"/>
        </w:trPr>
        <w:tc>
          <w:tcPr>
            <w:tcW w:w="561" w:type="dxa"/>
            <w:vMerge w:val="restart"/>
            <w:tcBorders>
              <w:bottom w:val="nil"/>
            </w:tcBorders>
            <w:textDirection w:val="tbRlV"/>
            <w:vAlign w:val="top"/>
          </w:tcPr>
          <w:p w14:paraId="4B6A077B">
            <w:pPr>
              <w:pStyle w:val="11"/>
              <w:spacing w:before="177" w:line="211" w:lineRule="auto"/>
              <w:ind w:left="369"/>
              <w:rPr>
                <w:sz w:val="20"/>
                <w:szCs w:val="20"/>
              </w:rPr>
            </w:pPr>
            <w:r>
              <w:rPr>
                <w:spacing w:val="30"/>
                <w:sz w:val="20"/>
                <w:szCs w:val="20"/>
              </w:rPr>
              <w:t>序号</w:t>
            </w:r>
          </w:p>
        </w:tc>
        <w:tc>
          <w:tcPr>
            <w:tcW w:w="2578" w:type="dxa"/>
            <w:vMerge w:val="restart"/>
            <w:tcBorders>
              <w:bottom w:val="nil"/>
            </w:tcBorders>
            <w:vAlign w:val="top"/>
          </w:tcPr>
          <w:p w14:paraId="3D4A822A">
            <w:pPr>
              <w:spacing w:line="302" w:lineRule="auto"/>
              <w:rPr>
                <w:rFonts w:ascii="Arial"/>
                <w:sz w:val="21"/>
              </w:rPr>
            </w:pPr>
          </w:p>
          <w:p w14:paraId="2297C9F6">
            <w:pPr>
              <w:pStyle w:val="11"/>
              <w:spacing w:before="65" w:line="230" w:lineRule="auto"/>
              <w:ind w:left="495" w:right="484" w:hanging="2"/>
              <w:rPr>
                <w:sz w:val="20"/>
                <w:szCs w:val="20"/>
              </w:rPr>
            </w:pPr>
            <w:r>
              <w:rPr>
                <w:spacing w:val="-3"/>
                <w:sz w:val="20"/>
                <w:szCs w:val="20"/>
              </w:rPr>
              <w:t>材料（工程设备）</w:t>
            </w:r>
            <w:r>
              <w:rPr>
                <w:spacing w:val="4"/>
                <w:sz w:val="20"/>
                <w:szCs w:val="20"/>
              </w:rPr>
              <w:t xml:space="preserve"> </w:t>
            </w:r>
            <w:r>
              <w:rPr>
                <w:spacing w:val="-1"/>
                <w:sz w:val="20"/>
                <w:szCs w:val="20"/>
              </w:rPr>
              <w:t>名称、规格、型号</w:t>
            </w:r>
          </w:p>
        </w:tc>
        <w:tc>
          <w:tcPr>
            <w:tcW w:w="806" w:type="dxa"/>
            <w:vMerge w:val="restart"/>
            <w:tcBorders>
              <w:bottom w:val="nil"/>
            </w:tcBorders>
            <w:vAlign w:val="top"/>
          </w:tcPr>
          <w:p w14:paraId="1B856CEB">
            <w:pPr>
              <w:spacing w:line="302" w:lineRule="auto"/>
              <w:rPr>
                <w:rFonts w:ascii="Arial"/>
                <w:sz w:val="21"/>
              </w:rPr>
            </w:pPr>
          </w:p>
          <w:p w14:paraId="61AE5123">
            <w:pPr>
              <w:pStyle w:val="11"/>
              <w:spacing w:before="65" w:line="239" w:lineRule="auto"/>
              <w:ind w:left="210"/>
              <w:rPr>
                <w:sz w:val="20"/>
                <w:szCs w:val="20"/>
              </w:rPr>
            </w:pPr>
            <w:r>
              <w:rPr>
                <w:spacing w:val="-2"/>
                <w:sz w:val="20"/>
                <w:szCs w:val="20"/>
              </w:rPr>
              <w:t>计量</w:t>
            </w:r>
          </w:p>
          <w:p w14:paraId="424BFD40">
            <w:pPr>
              <w:pStyle w:val="11"/>
              <w:spacing w:line="221" w:lineRule="auto"/>
              <w:ind w:left="212"/>
              <w:rPr>
                <w:sz w:val="20"/>
                <w:szCs w:val="20"/>
              </w:rPr>
            </w:pPr>
            <w:r>
              <w:rPr>
                <w:spacing w:val="-2"/>
                <w:sz w:val="20"/>
                <w:szCs w:val="20"/>
              </w:rPr>
              <w:t>单位</w:t>
            </w:r>
          </w:p>
        </w:tc>
        <w:tc>
          <w:tcPr>
            <w:tcW w:w="1118" w:type="dxa"/>
            <w:gridSpan w:val="2"/>
            <w:vAlign w:val="top"/>
          </w:tcPr>
          <w:p w14:paraId="6DBA6E1D">
            <w:pPr>
              <w:pStyle w:val="11"/>
              <w:spacing w:before="234" w:line="221" w:lineRule="auto"/>
              <w:ind w:left="366"/>
              <w:rPr>
                <w:sz w:val="20"/>
                <w:szCs w:val="20"/>
              </w:rPr>
            </w:pPr>
            <w:r>
              <w:rPr>
                <w:spacing w:val="-2"/>
                <w:sz w:val="20"/>
                <w:szCs w:val="20"/>
              </w:rPr>
              <w:t>数量</w:t>
            </w:r>
          </w:p>
        </w:tc>
        <w:tc>
          <w:tcPr>
            <w:tcW w:w="1238" w:type="dxa"/>
            <w:gridSpan w:val="2"/>
            <w:vAlign w:val="top"/>
          </w:tcPr>
          <w:p w14:paraId="070C7079">
            <w:pPr>
              <w:pStyle w:val="11"/>
              <w:spacing w:before="234" w:line="220" w:lineRule="auto"/>
              <w:ind w:left="132"/>
              <w:rPr>
                <w:sz w:val="20"/>
                <w:szCs w:val="20"/>
              </w:rPr>
            </w:pPr>
            <w:r>
              <w:rPr>
                <w:spacing w:val="-2"/>
                <w:sz w:val="20"/>
                <w:szCs w:val="20"/>
              </w:rPr>
              <w:t>暂估（元）</w:t>
            </w:r>
          </w:p>
        </w:tc>
        <w:tc>
          <w:tcPr>
            <w:tcW w:w="1363" w:type="dxa"/>
            <w:gridSpan w:val="2"/>
            <w:vAlign w:val="top"/>
          </w:tcPr>
          <w:p w14:paraId="3FEF5AEC">
            <w:pPr>
              <w:pStyle w:val="11"/>
              <w:spacing w:before="234" w:line="222" w:lineRule="auto"/>
              <w:ind w:left="188"/>
              <w:rPr>
                <w:sz w:val="20"/>
                <w:szCs w:val="20"/>
              </w:rPr>
            </w:pPr>
            <w:r>
              <w:rPr>
                <w:spacing w:val="-1"/>
                <w:sz w:val="20"/>
                <w:szCs w:val="20"/>
              </w:rPr>
              <w:t>确认（元）</w:t>
            </w:r>
          </w:p>
        </w:tc>
        <w:tc>
          <w:tcPr>
            <w:tcW w:w="1252" w:type="dxa"/>
            <w:gridSpan w:val="2"/>
            <w:vAlign w:val="top"/>
          </w:tcPr>
          <w:p w14:paraId="54DA128E">
            <w:pPr>
              <w:pStyle w:val="11"/>
              <w:spacing w:before="105" w:line="239" w:lineRule="auto"/>
              <w:ind w:left="336"/>
              <w:rPr>
                <w:sz w:val="20"/>
                <w:szCs w:val="20"/>
              </w:rPr>
            </w:pPr>
            <w:r>
              <w:rPr>
                <w:spacing w:val="-2"/>
                <w:sz w:val="20"/>
                <w:szCs w:val="20"/>
              </w:rPr>
              <w:t>差额±</w:t>
            </w:r>
          </w:p>
          <w:p w14:paraId="7CD552EA">
            <w:pPr>
              <w:pStyle w:val="11"/>
              <w:spacing w:line="221" w:lineRule="auto"/>
              <w:ind w:left="340"/>
              <w:rPr>
                <w:sz w:val="20"/>
                <w:szCs w:val="20"/>
              </w:rPr>
            </w:pPr>
            <w:r>
              <w:rPr>
                <w:spacing w:val="-4"/>
                <w:sz w:val="20"/>
                <w:szCs w:val="20"/>
              </w:rPr>
              <w:t>（元）</w:t>
            </w:r>
          </w:p>
        </w:tc>
        <w:tc>
          <w:tcPr>
            <w:tcW w:w="634" w:type="dxa"/>
            <w:vMerge w:val="restart"/>
            <w:tcBorders>
              <w:bottom w:val="nil"/>
            </w:tcBorders>
            <w:vAlign w:val="top"/>
          </w:tcPr>
          <w:p w14:paraId="1F1CD9A9">
            <w:pPr>
              <w:spacing w:line="431" w:lineRule="auto"/>
              <w:rPr>
                <w:rFonts w:ascii="Arial"/>
                <w:sz w:val="21"/>
              </w:rPr>
            </w:pPr>
          </w:p>
          <w:p w14:paraId="609F3F2B">
            <w:pPr>
              <w:pStyle w:val="11"/>
              <w:spacing w:before="65" w:line="222" w:lineRule="auto"/>
              <w:ind w:left="126"/>
              <w:rPr>
                <w:sz w:val="20"/>
                <w:szCs w:val="20"/>
              </w:rPr>
            </w:pPr>
            <w:r>
              <w:rPr>
                <w:spacing w:val="-2"/>
                <w:sz w:val="20"/>
                <w:szCs w:val="20"/>
              </w:rPr>
              <w:t>备注</w:t>
            </w:r>
          </w:p>
        </w:tc>
      </w:tr>
      <w:tr w14:paraId="626717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3" w:hRule="atLeast"/>
        </w:trPr>
        <w:tc>
          <w:tcPr>
            <w:tcW w:w="561" w:type="dxa"/>
            <w:vMerge w:val="continue"/>
            <w:tcBorders>
              <w:top w:val="nil"/>
            </w:tcBorders>
            <w:textDirection w:val="tbRlV"/>
            <w:vAlign w:val="top"/>
          </w:tcPr>
          <w:p w14:paraId="131482BB">
            <w:pPr>
              <w:rPr>
                <w:rFonts w:ascii="Arial"/>
                <w:sz w:val="21"/>
              </w:rPr>
            </w:pPr>
          </w:p>
        </w:tc>
        <w:tc>
          <w:tcPr>
            <w:tcW w:w="2578" w:type="dxa"/>
            <w:vMerge w:val="continue"/>
            <w:tcBorders>
              <w:top w:val="nil"/>
            </w:tcBorders>
            <w:vAlign w:val="top"/>
          </w:tcPr>
          <w:p w14:paraId="75CD3E86">
            <w:pPr>
              <w:rPr>
                <w:rFonts w:ascii="Arial"/>
                <w:sz w:val="21"/>
              </w:rPr>
            </w:pPr>
          </w:p>
        </w:tc>
        <w:tc>
          <w:tcPr>
            <w:tcW w:w="806" w:type="dxa"/>
            <w:vMerge w:val="continue"/>
            <w:tcBorders>
              <w:top w:val="nil"/>
            </w:tcBorders>
            <w:vAlign w:val="top"/>
          </w:tcPr>
          <w:p w14:paraId="4F381499">
            <w:pPr>
              <w:rPr>
                <w:rFonts w:ascii="Arial"/>
                <w:sz w:val="21"/>
              </w:rPr>
            </w:pPr>
          </w:p>
        </w:tc>
        <w:tc>
          <w:tcPr>
            <w:tcW w:w="562" w:type="dxa"/>
            <w:textDirection w:val="tbRlV"/>
            <w:vAlign w:val="top"/>
          </w:tcPr>
          <w:p w14:paraId="6A71DED0">
            <w:pPr>
              <w:pStyle w:val="11"/>
              <w:spacing w:before="180" w:line="208" w:lineRule="auto"/>
              <w:ind w:left="28"/>
              <w:rPr>
                <w:sz w:val="20"/>
                <w:szCs w:val="20"/>
              </w:rPr>
            </w:pPr>
            <w:r>
              <w:rPr>
                <w:spacing w:val="30"/>
                <w:sz w:val="20"/>
                <w:szCs w:val="20"/>
              </w:rPr>
              <w:t>暂估</w:t>
            </w:r>
          </w:p>
        </w:tc>
        <w:tc>
          <w:tcPr>
            <w:tcW w:w="556" w:type="dxa"/>
            <w:textDirection w:val="tbRlV"/>
            <w:vAlign w:val="top"/>
          </w:tcPr>
          <w:p w14:paraId="35430A23">
            <w:pPr>
              <w:pStyle w:val="11"/>
              <w:spacing w:before="174" w:line="210" w:lineRule="auto"/>
              <w:ind w:left="28"/>
              <w:rPr>
                <w:sz w:val="20"/>
                <w:szCs w:val="20"/>
              </w:rPr>
            </w:pPr>
            <w:r>
              <w:rPr>
                <w:spacing w:val="30"/>
                <w:sz w:val="20"/>
                <w:szCs w:val="20"/>
              </w:rPr>
              <w:t>确认</w:t>
            </w:r>
          </w:p>
        </w:tc>
        <w:tc>
          <w:tcPr>
            <w:tcW w:w="562" w:type="dxa"/>
            <w:textDirection w:val="tbRlV"/>
            <w:vAlign w:val="top"/>
          </w:tcPr>
          <w:p w14:paraId="06EF57BA">
            <w:pPr>
              <w:pStyle w:val="11"/>
              <w:spacing w:before="179" w:line="207" w:lineRule="auto"/>
              <w:ind w:left="28"/>
              <w:rPr>
                <w:sz w:val="20"/>
                <w:szCs w:val="20"/>
              </w:rPr>
            </w:pPr>
            <w:r>
              <w:rPr>
                <w:spacing w:val="30"/>
                <w:sz w:val="20"/>
                <w:szCs w:val="20"/>
              </w:rPr>
              <w:t>单价</w:t>
            </w:r>
          </w:p>
        </w:tc>
        <w:tc>
          <w:tcPr>
            <w:tcW w:w="676" w:type="dxa"/>
            <w:vAlign w:val="top"/>
          </w:tcPr>
          <w:p w14:paraId="517B3AF7">
            <w:pPr>
              <w:pStyle w:val="11"/>
              <w:spacing w:before="157" w:line="220" w:lineRule="auto"/>
              <w:ind w:left="150"/>
              <w:rPr>
                <w:sz w:val="20"/>
                <w:szCs w:val="20"/>
              </w:rPr>
            </w:pPr>
            <w:r>
              <w:rPr>
                <w:spacing w:val="-2"/>
                <w:sz w:val="20"/>
                <w:szCs w:val="20"/>
              </w:rPr>
              <w:t>合价</w:t>
            </w:r>
          </w:p>
        </w:tc>
        <w:tc>
          <w:tcPr>
            <w:tcW w:w="682" w:type="dxa"/>
            <w:vAlign w:val="top"/>
          </w:tcPr>
          <w:p w14:paraId="18437FA9">
            <w:pPr>
              <w:pStyle w:val="11"/>
              <w:spacing w:before="157" w:line="220" w:lineRule="auto"/>
              <w:ind w:left="152"/>
              <w:rPr>
                <w:sz w:val="20"/>
                <w:szCs w:val="20"/>
              </w:rPr>
            </w:pPr>
            <w:r>
              <w:rPr>
                <w:spacing w:val="-2"/>
                <w:sz w:val="20"/>
                <w:szCs w:val="20"/>
              </w:rPr>
              <w:t>单价</w:t>
            </w:r>
          </w:p>
        </w:tc>
        <w:tc>
          <w:tcPr>
            <w:tcW w:w="681" w:type="dxa"/>
            <w:vAlign w:val="top"/>
          </w:tcPr>
          <w:p w14:paraId="7BFA61C7">
            <w:pPr>
              <w:pStyle w:val="11"/>
              <w:spacing w:before="157" w:line="220" w:lineRule="auto"/>
              <w:ind w:left="151"/>
              <w:rPr>
                <w:sz w:val="20"/>
                <w:szCs w:val="20"/>
              </w:rPr>
            </w:pPr>
            <w:r>
              <w:rPr>
                <w:spacing w:val="-2"/>
                <w:sz w:val="20"/>
                <w:szCs w:val="20"/>
              </w:rPr>
              <w:t>合价</w:t>
            </w:r>
          </w:p>
        </w:tc>
        <w:tc>
          <w:tcPr>
            <w:tcW w:w="624" w:type="dxa"/>
            <w:vAlign w:val="top"/>
          </w:tcPr>
          <w:p w14:paraId="703C35C9">
            <w:pPr>
              <w:pStyle w:val="11"/>
              <w:spacing w:before="157" w:line="220" w:lineRule="auto"/>
              <w:ind w:left="124"/>
              <w:rPr>
                <w:sz w:val="20"/>
                <w:szCs w:val="20"/>
              </w:rPr>
            </w:pPr>
            <w:r>
              <w:rPr>
                <w:spacing w:val="-2"/>
                <w:sz w:val="20"/>
                <w:szCs w:val="20"/>
              </w:rPr>
              <w:t>单价</w:t>
            </w:r>
          </w:p>
        </w:tc>
        <w:tc>
          <w:tcPr>
            <w:tcW w:w="628" w:type="dxa"/>
            <w:vAlign w:val="top"/>
          </w:tcPr>
          <w:p w14:paraId="1B46DF71">
            <w:pPr>
              <w:pStyle w:val="11"/>
              <w:spacing w:before="157" w:line="220" w:lineRule="auto"/>
              <w:ind w:left="123"/>
              <w:rPr>
                <w:sz w:val="20"/>
                <w:szCs w:val="20"/>
              </w:rPr>
            </w:pPr>
            <w:r>
              <w:rPr>
                <w:spacing w:val="-2"/>
                <w:sz w:val="20"/>
                <w:szCs w:val="20"/>
              </w:rPr>
              <w:t>合价</w:t>
            </w:r>
          </w:p>
        </w:tc>
        <w:tc>
          <w:tcPr>
            <w:tcW w:w="634" w:type="dxa"/>
            <w:vMerge w:val="continue"/>
            <w:tcBorders>
              <w:top w:val="nil"/>
            </w:tcBorders>
            <w:vAlign w:val="top"/>
          </w:tcPr>
          <w:p w14:paraId="666090AD">
            <w:pPr>
              <w:rPr>
                <w:rFonts w:ascii="Arial"/>
                <w:sz w:val="21"/>
              </w:rPr>
            </w:pPr>
          </w:p>
        </w:tc>
      </w:tr>
      <w:tr w14:paraId="2F4147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6" w:hRule="atLeast"/>
        </w:trPr>
        <w:tc>
          <w:tcPr>
            <w:tcW w:w="561" w:type="dxa"/>
            <w:vAlign w:val="top"/>
          </w:tcPr>
          <w:p w14:paraId="25197EA8">
            <w:pPr>
              <w:rPr>
                <w:rFonts w:ascii="Arial"/>
                <w:sz w:val="21"/>
              </w:rPr>
            </w:pPr>
          </w:p>
        </w:tc>
        <w:tc>
          <w:tcPr>
            <w:tcW w:w="2578" w:type="dxa"/>
            <w:vAlign w:val="top"/>
          </w:tcPr>
          <w:p w14:paraId="1841EFC0">
            <w:pPr>
              <w:rPr>
                <w:rFonts w:ascii="Arial"/>
                <w:sz w:val="21"/>
              </w:rPr>
            </w:pPr>
          </w:p>
        </w:tc>
        <w:tc>
          <w:tcPr>
            <w:tcW w:w="806" w:type="dxa"/>
            <w:vAlign w:val="top"/>
          </w:tcPr>
          <w:p w14:paraId="640D5533">
            <w:pPr>
              <w:rPr>
                <w:rFonts w:ascii="Arial"/>
                <w:sz w:val="21"/>
              </w:rPr>
            </w:pPr>
          </w:p>
        </w:tc>
        <w:tc>
          <w:tcPr>
            <w:tcW w:w="562" w:type="dxa"/>
            <w:vAlign w:val="top"/>
          </w:tcPr>
          <w:p w14:paraId="7F438202">
            <w:pPr>
              <w:rPr>
                <w:rFonts w:ascii="Arial"/>
                <w:sz w:val="21"/>
              </w:rPr>
            </w:pPr>
          </w:p>
        </w:tc>
        <w:tc>
          <w:tcPr>
            <w:tcW w:w="556" w:type="dxa"/>
            <w:vAlign w:val="top"/>
          </w:tcPr>
          <w:p w14:paraId="0939E228">
            <w:pPr>
              <w:rPr>
                <w:rFonts w:ascii="Arial"/>
                <w:sz w:val="21"/>
              </w:rPr>
            </w:pPr>
          </w:p>
        </w:tc>
        <w:tc>
          <w:tcPr>
            <w:tcW w:w="562" w:type="dxa"/>
            <w:vAlign w:val="top"/>
          </w:tcPr>
          <w:p w14:paraId="41873C35">
            <w:pPr>
              <w:rPr>
                <w:rFonts w:ascii="Arial"/>
                <w:sz w:val="21"/>
              </w:rPr>
            </w:pPr>
          </w:p>
        </w:tc>
        <w:tc>
          <w:tcPr>
            <w:tcW w:w="676" w:type="dxa"/>
            <w:vAlign w:val="top"/>
          </w:tcPr>
          <w:p w14:paraId="6B11FF49">
            <w:pPr>
              <w:rPr>
                <w:rFonts w:ascii="Arial"/>
                <w:sz w:val="21"/>
              </w:rPr>
            </w:pPr>
          </w:p>
        </w:tc>
        <w:tc>
          <w:tcPr>
            <w:tcW w:w="682" w:type="dxa"/>
            <w:vAlign w:val="top"/>
          </w:tcPr>
          <w:p w14:paraId="4ABF6C11">
            <w:pPr>
              <w:rPr>
                <w:rFonts w:ascii="Arial"/>
                <w:sz w:val="21"/>
              </w:rPr>
            </w:pPr>
          </w:p>
        </w:tc>
        <w:tc>
          <w:tcPr>
            <w:tcW w:w="681" w:type="dxa"/>
            <w:vAlign w:val="top"/>
          </w:tcPr>
          <w:p w14:paraId="558E5DE4">
            <w:pPr>
              <w:rPr>
                <w:rFonts w:ascii="Arial"/>
                <w:sz w:val="21"/>
              </w:rPr>
            </w:pPr>
          </w:p>
        </w:tc>
        <w:tc>
          <w:tcPr>
            <w:tcW w:w="624" w:type="dxa"/>
            <w:vAlign w:val="top"/>
          </w:tcPr>
          <w:p w14:paraId="77CACF1E">
            <w:pPr>
              <w:rPr>
                <w:rFonts w:ascii="Arial"/>
                <w:sz w:val="21"/>
              </w:rPr>
            </w:pPr>
          </w:p>
        </w:tc>
        <w:tc>
          <w:tcPr>
            <w:tcW w:w="628" w:type="dxa"/>
            <w:vAlign w:val="top"/>
          </w:tcPr>
          <w:p w14:paraId="454DFDBA">
            <w:pPr>
              <w:rPr>
                <w:rFonts w:ascii="Arial"/>
                <w:sz w:val="21"/>
              </w:rPr>
            </w:pPr>
          </w:p>
        </w:tc>
        <w:tc>
          <w:tcPr>
            <w:tcW w:w="634" w:type="dxa"/>
            <w:vAlign w:val="top"/>
          </w:tcPr>
          <w:p w14:paraId="3EDB06AD">
            <w:pPr>
              <w:rPr>
                <w:rFonts w:ascii="Arial"/>
                <w:sz w:val="21"/>
              </w:rPr>
            </w:pPr>
          </w:p>
        </w:tc>
      </w:tr>
      <w:tr w14:paraId="2EBA43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561" w:type="dxa"/>
            <w:vAlign w:val="top"/>
          </w:tcPr>
          <w:p w14:paraId="179923BE">
            <w:pPr>
              <w:rPr>
                <w:rFonts w:ascii="Arial"/>
                <w:sz w:val="21"/>
              </w:rPr>
            </w:pPr>
          </w:p>
        </w:tc>
        <w:tc>
          <w:tcPr>
            <w:tcW w:w="2578" w:type="dxa"/>
            <w:vAlign w:val="top"/>
          </w:tcPr>
          <w:p w14:paraId="713F6593">
            <w:pPr>
              <w:rPr>
                <w:rFonts w:ascii="Arial"/>
                <w:sz w:val="21"/>
              </w:rPr>
            </w:pPr>
          </w:p>
        </w:tc>
        <w:tc>
          <w:tcPr>
            <w:tcW w:w="806" w:type="dxa"/>
            <w:vAlign w:val="top"/>
          </w:tcPr>
          <w:p w14:paraId="528394D4">
            <w:pPr>
              <w:rPr>
                <w:rFonts w:ascii="Arial"/>
                <w:sz w:val="21"/>
              </w:rPr>
            </w:pPr>
          </w:p>
        </w:tc>
        <w:tc>
          <w:tcPr>
            <w:tcW w:w="562" w:type="dxa"/>
            <w:vAlign w:val="top"/>
          </w:tcPr>
          <w:p w14:paraId="33708E2B">
            <w:pPr>
              <w:rPr>
                <w:rFonts w:ascii="Arial"/>
                <w:sz w:val="21"/>
              </w:rPr>
            </w:pPr>
          </w:p>
        </w:tc>
        <w:tc>
          <w:tcPr>
            <w:tcW w:w="556" w:type="dxa"/>
            <w:vAlign w:val="top"/>
          </w:tcPr>
          <w:p w14:paraId="3D00E6F5">
            <w:pPr>
              <w:rPr>
                <w:rFonts w:ascii="Arial"/>
                <w:sz w:val="21"/>
              </w:rPr>
            </w:pPr>
          </w:p>
        </w:tc>
        <w:tc>
          <w:tcPr>
            <w:tcW w:w="562" w:type="dxa"/>
            <w:vAlign w:val="top"/>
          </w:tcPr>
          <w:p w14:paraId="30E5BC44">
            <w:pPr>
              <w:rPr>
                <w:rFonts w:ascii="Arial"/>
                <w:sz w:val="21"/>
              </w:rPr>
            </w:pPr>
          </w:p>
        </w:tc>
        <w:tc>
          <w:tcPr>
            <w:tcW w:w="676" w:type="dxa"/>
            <w:vAlign w:val="top"/>
          </w:tcPr>
          <w:p w14:paraId="0CD76572">
            <w:pPr>
              <w:rPr>
                <w:rFonts w:ascii="Arial"/>
                <w:sz w:val="21"/>
              </w:rPr>
            </w:pPr>
          </w:p>
        </w:tc>
        <w:tc>
          <w:tcPr>
            <w:tcW w:w="682" w:type="dxa"/>
            <w:vAlign w:val="top"/>
          </w:tcPr>
          <w:p w14:paraId="69323C7A">
            <w:pPr>
              <w:rPr>
                <w:rFonts w:ascii="Arial"/>
                <w:sz w:val="21"/>
              </w:rPr>
            </w:pPr>
          </w:p>
        </w:tc>
        <w:tc>
          <w:tcPr>
            <w:tcW w:w="681" w:type="dxa"/>
            <w:vAlign w:val="top"/>
          </w:tcPr>
          <w:p w14:paraId="66D500E8">
            <w:pPr>
              <w:rPr>
                <w:rFonts w:ascii="Arial"/>
                <w:sz w:val="21"/>
              </w:rPr>
            </w:pPr>
          </w:p>
        </w:tc>
        <w:tc>
          <w:tcPr>
            <w:tcW w:w="624" w:type="dxa"/>
            <w:vAlign w:val="top"/>
          </w:tcPr>
          <w:p w14:paraId="6474B330">
            <w:pPr>
              <w:rPr>
                <w:rFonts w:ascii="Arial"/>
                <w:sz w:val="21"/>
              </w:rPr>
            </w:pPr>
          </w:p>
        </w:tc>
        <w:tc>
          <w:tcPr>
            <w:tcW w:w="628" w:type="dxa"/>
            <w:vAlign w:val="top"/>
          </w:tcPr>
          <w:p w14:paraId="304600E6">
            <w:pPr>
              <w:rPr>
                <w:rFonts w:ascii="Arial"/>
                <w:sz w:val="21"/>
              </w:rPr>
            </w:pPr>
          </w:p>
        </w:tc>
        <w:tc>
          <w:tcPr>
            <w:tcW w:w="634" w:type="dxa"/>
            <w:vAlign w:val="top"/>
          </w:tcPr>
          <w:p w14:paraId="00DFBB0E">
            <w:pPr>
              <w:rPr>
                <w:rFonts w:ascii="Arial"/>
                <w:sz w:val="21"/>
              </w:rPr>
            </w:pPr>
          </w:p>
        </w:tc>
      </w:tr>
      <w:tr w14:paraId="5BE19D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561" w:type="dxa"/>
            <w:vAlign w:val="top"/>
          </w:tcPr>
          <w:p w14:paraId="2F418313">
            <w:pPr>
              <w:rPr>
                <w:rFonts w:ascii="Arial"/>
                <w:sz w:val="21"/>
              </w:rPr>
            </w:pPr>
          </w:p>
        </w:tc>
        <w:tc>
          <w:tcPr>
            <w:tcW w:w="2578" w:type="dxa"/>
            <w:vAlign w:val="top"/>
          </w:tcPr>
          <w:p w14:paraId="450204D2">
            <w:pPr>
              <w:rPr>
                <w:rFonts w:ascii="Arial"/>
                <w:sz w:val="21"/>
              </w:rPr>
            </w:pPr>
          </w:p>
        </w:tc>
        <w:tc>
          <w:tcPr>
            <w:tcW w:w="806" w:type="dxa"/>
            <w:vAlign w:val="top"/>
          </w:tcPr>
          <w:p w14:paraId="76BE202A">
            <w:pPr>
              <w:rPr>
                <w:rFonts w:ascii="Arial"/>
                <w:sz w:val="21"/>
              </w:rPr>
            </w:pPr>
          </w:p>
        </w:tc>
        <w:tc>
          <w:tcPr>
            <w:tcW w:w="562" w:type="dxa"/>
            <w:vAlign w:val="top"/>
          </w:tcPr>
          <w:p w14:paraId="07650620">
            <w:pPr>
              <w:rPr>
                <w:rFonts w:ascii="Arial"/>
                <w:sz w:val="21"/>
              </w:rPr>
            </w:pPr>
          </w:p>
        </w:tc>
        <w:tc>
          <w:tcPr>
            <w:tcW w:w="556" w:type="dxa"/>
            <w:vAlign w:val="top"/>
          </w:tcPr>
          <w:p w14:paraId="35D22122">
            <w:pPr>
              <w:rPr>
                <w:rFonts w:ascii="Arial"/>
                <w:sz w:val="21"/>
              </w:rPr>
            </w:pPr>
          </w:p>
        </w:tc>
        <w:tc>
          <w:tcPr>
            <w:tcW w:w="562" w:type="dxa"/>
            <w:vAlign w:val="top"/>
          </w:tcPr>
          <w:p w14:paraId="4488AA48">
            <w:pPr>
              <w:rPr>
                <w:rFonts w:ascii="Arial"/>
                <w:sz w:val="21"/>
              </w:rPr>
            </w:pPr>
          </w:p>
        </w:tc>
        <w:tc>
          <w:tcPr>
            <w:tcW w:w="676" w:type="dxa"/>
            <w:vAlign w:val="top"/>
          </w:tcPr>
          <w:p w14:paraId="463B0380">
            <w:pPr>
              <w:rPr>
                <w:rFonts w:ascii="Arial"/>
                <w:sz w:val="21"/>
              </w:rPr>
            </w:pPr>
          </w:p>
        </w:tc>
        <w:tc>
          <w:tcPr>
            <w:tcW w:w="682" w:type="dxa"/>
            <w:vAlign w:val="top"/>
          </w:tcPr>
          <w:p w14:paraId="391BC827">
            <w:pPr>
              <w:rPr>
                <w:rFonts w:ascii="Arial"/>
                <w:sz w:val="21"/>
              </w:rPr>
            </w:pPr>
          </w:p>
        </w:tc>
        <w:tc>
          <w:tcPr>
            <w:tcW w:w="681" w:type="dxa"/>
            <w:vAlign w:val="top"/>
          </w:tcPr>
          <w:p w14:paraId="07BEF149">
            <w:pPr>
              <w:rPr>
                <w:rFonts w:ascii="Arial"/>
                <w:sz w:val="21"/>
              </w:rPr>
            </w:pPr>
          </w:p>
        </w:tc>
        <w:tc>
          <w:tcPr>
            <w:tcW w:w="624" w:type="dxa"/>
            <w:vAlign w:val="top"/>
          </w:tcPr>
          <w:p w14:paraId="354C4442">
            <w:pPr>
              <w:rPr>
                <w:rFonts w:ascii="Arial"/>
                <w:sz w:val="21"/>
              </w:rPr>
            </w:pPr>
          </w:p>
        </w:tc>
        <w:tc>
          <w:tcPr>
            <w:tcW w:w="628" w:type="dxa"/>
            <w:vAlign w:val="top"/>
          </w:tcPr>
          <w:p w14:paraId="168D4F3E">
            <w:pPr>
              <w:rPr>
                <w:rFonts w:ascii="Arial"/>
                <w:sz w:val="21"/>
              </w:rPr>
            </w:pPr>
          </w:p>
        </w:tc>
        <w:tc>
          <w:tcPr>
            <w:tcW w:w="634" w:type="dxa"/>
            <w:vAlign w:val="top"/>
          </w:tcPr>
          <w:p w14:paraId="7D4A2B02">
            <w:pPr>
              <w:rPr>
                <w:rFonts w:ascii="Arial"/>
                <w:sz w:val="21"/>
              </w:rPr>
            </w:pPr>
          </w:p>
        </w:tc>
      </w:tr>
      <w:tr w14:paraId="4A8641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6" w:hRule="atLeast"/>
        </w:trPr>
        <w:tc>
          <w:tcPr>
            <w:tcW w:w="561" w:type="dxa"/>
            <w:vAlign w:val="top"/>
          </w:tcPr>
          <w:p w14:paraId="6F63EC1E">
            <w:pPr>
              <w:rPr>
                <w:rFonts w:ascii="Arial"/>
                <w:sz w:val="21"/>
              </w:rPr>
            </w:pPr>
          </w:p>
        </w:tc>
        <w:tc>
          <w:tcPr>
            <w:tcW w:w="2578" w:type="dxa"/>
            <w:vAlign w:val="top"/>
          </w:tcPr>
          <w:p w14:paraId="61FF270C">
            <w:pPr>
              <w:rPr>
                <w:rFonts w:ascii="Arial"/>
                <w:sz w:val="21"/>
              </w:rPr>
            </w:pPr>
          </w:p>
        </w:tc>
        <w:tc>
          <w:tcPr>
            <w:tcW w:w="806" w:type="dxa"/>
            <w:vAlign w:val="top"/>
          </w:tcPr>
          <w:p w14:paraId="6E23C0AB">
            <w:pPr>
              <w:rPr>
                <w:rFonts w:ascii="Arial"/>
                <w:sz w:val="21"/>
              </w:rPr>
            </w:pPr>
          </w:p>
        </w:tc>
        <w:tc>
          <w:tcPr>
            <w:tcW w:w="562" w:type="dxa"/>
            <w:vAlign w:val="top"/>
          </w:tcPr>
          <w:p w14:paraId="35748850">
            <w:pPr>
              <w:rPr>
                <w:rFonts w:ascii="Arial"/>
                <w:sz w:val="21"/>
              </w:rPr>
            </w:pPr>
          </w:p>
        </w:tc>
        <w:tc>
          <w:tcPr>
            <w:tcW w:w="556" w:type="dxa"/>
            <w:vAlign w:val="top"/>
          </w:tcPr>
          <w:p w14:paraId="153A146A">
            <w:pPr>
              <w:rPr>
                <w:rFonts w:ascii="Arial"/>
                <w:sz w:val="21"/>
              </w:rPr>
            </w:pPr>
          </w:p>
        </w:tc>
        <w:tc>
          <w:tcPr>
            <w:tcW w:w="562" w:type="dxa"/>
            <w:vAlign w:val="top"/>
          </w:tcPr>
          <w:p w14:paraId="51FE97F9">
            <w:pPr>
              <w:rPr>
                <w:rFonts w:ascii="Arial"/>
                <w:sz w:val="21"/>
              </w:rPr>
            </w:pPr>
          </w:p>
        </w:tc>
        <w:tc>
          <w:tcPr>
            <w:tcW w:w="676" w:type="dxa"/>
            <w:vAlign w:val="top"/>
          </w:tcPr>
          <w:p w14:paraId="2A8EBC12">
            <w:pPr>
              <w:rPr>
                <w:rFonts w:ascii="Arial"/>
                <w:sz w:val="21"/>
              </w:rPr>
            </w:pPr>
          </w:p>
        </w:tc>
        <w:tc>
          <w:tcPr>
            <w:tcW w:w="682" w:type="dxa"/>
            <w:vAlign w:val="top"/>
          </w:tcPr>
          <w:p w14:paraId="3DD27460">
            <w:pPr>
              <w:rPr>
                <w:rFonts w:ascii="Arial"/>
                <w:sz w:val="21"/>
              </w:rPr>
            </w:pPr>
          </w:p>
        </w:tc>
        <w:tc>
          <w:tcPr>
            <w:tcW w:w="681" w:type="dxa"/>
            <w:vAlign w:val="top"/>
          </w:tcPr>
          <w:p w14:paraId="4993DCF5">
            <w:pPr>
              <w:rPr>
                <w:rFonts w:ascii="Arial"/>
                <w:sz w:val="21"/>
              </w:rPr>
            </w:pPr>
          </w:p>
        </w:tc>
        <w:tc>
          <w:tcPr>
            <w:tcW w:w="624" w:type="dxa"/>
            <w:vAlign w:val="top"/>
          </w:tcPr>
          <w:p w14:paraId="4A900265">
            <w:pPr>
              <w:rPr>
                <w:rFonts w:ascii="Arial"/>
                <w:sz w:val="21"/>
              </w:rPr>
            </w:pPr>
          </w:p>
        </w:tc>
        <w:tc>
          <w:tcPr>
            <w:tcW w:w="628" w:type="dxa"/>
            <w:vAlign w:val="top"/>
          </w:tcPr>
          <w:p w14:paraId="29767591">
            <w:pPr>
              <w:rPr>
                <w:rFonts w:ascii="Arial"/>
                <w:sz w:val="21"/>
              </w:rPr>
            </w:pPr>
          </w:p>
        </w:tc>
        <w:tc>
          <w:tcPr>
            <w:tcW w:w="634" w:type="dxa"/>
            <w:vAlign w:val="top"/>
          </w:tcPr>
          <w:p w14:paraId="34E8D823">
            <w:pPr>
              <w:rPr>
                <w:rFonts w:ascii="Arial"/>
                <w:sz w:val="21"/>
              </w:rPr>
            </w:pPr>
          </w:p>
        </w:tc>
      </w:tr>
      <w:tr w14:paraId="4C5A81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561" w:type="dxa"/>
            <w:vAlign w:val="top"/>
          </w:tcPr>
          <w:p w14:paraId="22BA1547">
            <w:pPr>
              <w:rPr>
                <w:rFonts w:ascii="Arial"/>
                <w:sz w:val="21"/>
              </w:rPr>
            </w:pPr>
          </w:p>
        </w:tc>
        <w:tc>
          <w:tcPr>
            <w:tcW w:w="2578" w:type="dxa"/>
            <w:vAlign w:val="top"/>
          </w:tcPr>
          <w:p w14:paraId="1EC2CB50">
            <w:pPr>
              <w:rPr>
                <w:rFonts w:ascii="Arial"/>
                <w:sz w:val="21"/>
              </w:rPr>
            </w:pPr>
          </w:p>
        </w:tc>
        <w:tc>
          <w:tcPr>
            <w:tcW w:w="806" w:type="dxa"/>
            <w:vAlign w:val="top"/>
          </w:tcPr>
          <w:p w14:paraId="6497B2EA">
            <w:pPr>
              <w:rPr>
                <w:rFonts w:ascii="Arial"/>
                <w:sz w:val="21"/>
              </w:rPr>
            </w:pPr>
          </w:p>
        </w:tc>
        <w:tc>
          <w:tcPr>
            <w:tcW w:w="562" w:type="dxa"/>
            <w:vAlign w:val="top"/>
          </w:tcPr>
          <w:p w14:paraId="510C2BA5">
            <w:pPr>
              <w:rPr>
                <w:rFonts w:ascii="Arial"/>
                <w:sz w:val="21"/>
              </w:rPr>
            </w:pPr>
          </w:p>
        </w:tc>
        <w:tc>
          <w:tcPr>
            <w:tcW w:w="556" w:type="dxa"/>
            <w:vAlign w:val="top"/>
          </w:tcPr>
          <w:p w14:paraId="38D64133">
            <w:pPr>
              <w:rPr>
                <w:rFonts w:ascii="Arial"/>
                <w:sz w:val="21"/>
              </w:rPr>
            </w:pPr>
          </w:p>
        </w:tc>
        <w:tc>
          <w:tcPr>
            <w:tcW w:w="562" w:type="dxa"/>
            <w:vAlign w:val="top"/>
          </w:tcPr>
          <w:p w14:paraId="5A4C24B8">
            <w:pPr>
              <w:rPr>
                <w:rFonts w:ascii="Arial"/>
                <w:sz w:val="21"/>
              </w:rPr>
            </w:pPr>
          </w:p>
        </w:tc>
        <w:tc>
          <w:tcPr>
            <w:tcW w:w="676" w:type="dxa"/>
            <w:vAlign w:val="top"/>
          </w:tcPr>
          <w:p w14:paraId="1294B70F">
            <w:pPr>
              <w:rPr>
                <w:rFonts w:ascii="Arial"/>
                <w:sz w:val="21"/>
              </w:rPr>
            </w:pPr>
          </w:p>
        </w:tc>
        <w:tc>
          <w:tcPr>
            <w:tcW w:w="682" w:type="dxa"/>
            <w:vAlign w:val="top"/>
          </w:tcPr>
          <w:p w14:paraId="73A9F691">
            <w:pPr>
              <w:rPr>
                <w:rFonts w:ascii="Arial"/>
                <w:sz w:val="21"/>
              </w:rPr>
            </w:pPr>
          </w:p>
        </w:tc>
        <w:tc>
          <w:tcPr>
            <w:tcW w:w="681" w:type="dxa"/>
            <w:vAlign w:val="top"/>
          </w:tcPr>
          <w:p w14:paraId="7AAEC30C">
            <w:pPr>
              <w:rPr>
                <w:rFonts w:ascii="Arial"/>
                <w:sz w:val="21"/>
              </w:rPr>
            </w:pPr>
          </w:p>
        </w:tc>
        <w:tc>
          <w:tcPr>
            <w:tcW w:w="624" w:type="dxa"/>
            <w:vAlign w:val="top"/>
          </w:tcPr>
          <w:p w14:paraId="4A6660B3">
            <w:pPr>
              <w:rPr>
                <w:rFonts w:ascii="Arial"/>
                <w:sz w:val="21"/>
              </w:rPr>
            </w:pPr>
          </w:p>
        </w:tc>
        <w:tc>
          <w:tcPr>
            <w:tcW w:w="628" w:type="dxa"/>
            <w:vAlign w:val="top"/>
          </w:tcPr>
          <w:p w14:paraId="7C442B69">
            <w:pPr>
              <w:rPr>
                <w:rFonts w:ascii="Arial"/>
                <w:sz w:val="21"/>
              </w:rPr>
            </w:pPr>
          </w:p>
        </w:tc>
        <w:tc>
          <w:tcPr>
            <w:tcW w:w="634" w:type="dxa"/>
            <w:vAlign w:val="top"/>
          </w:tcPr>
          <w:p w14:paraId="0E3D0C5A">
            <w:pPr>
              <w:rPr>
                <w:rFonts w:ascii="Arial"/>
                <w:sz w:val="21"/>
              </w:rPr>
            </w:pPr>
          </w:p>
        </w:tc>
      </w:tr>
      <w:tr w14:paraId="71A43F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561" w:type="dxa"/>
            <w:vAlign w:val="top"/>
          </w:tcPr>
          <w:p w14:paraId="356B4F5B">
            <w:pPr>
              <w:rPr>
                <w:rFonts w:ascii="Arial"/>
                <w:sz w:val="21"/>
              </w:rPr>
            </w:pPr>
          </w:p>
        </w:tc>
        <w:tc>
          <w:tcPr>
            <w:tcW w:w="2578" w:type="dxa"/>
            <w:vAlign w:val="top"/>
          </w:tcPr>
          <w:p w14:paraId="1E4CAE06">
            <w:pPr>
              <w:rPr>
                <w:rFonts w:ascii="Arial"/>
                <w:sz w:val="21"/>
              </w:rPr>
            </w:pPr>
          </w:p>
        </w:tc>
        <w:tc>
          <w:tcPr>
            <w:tcW w:w="806" w:type="dxa"/>
            <w:vAlign w:val="top"/>
          </w:tcPr>
          <w:p w14:paraId="1644D061">
            <w:pPr>
              <w:rPr>
                <w:rFonts w:ascii="Arial"/>
                <w:sz w:val="21"/>
              </w:rPr>
            </w:pPr>
          </w:p>
        </w:tc>
        <w:tc>
          <w:tcPr>
            <w:tcW w:w="562" w:type="dxa"/>
            <w:vAlign w:val="top"/>
          </w:tcPr>
          <w:p w14:paraId="731E1E89">
            <w:pPr>
              <w:rPr>
                <w:rFonts w:ascii="Arial"/>
                <w:sz w:val="21"/>
              </w:rPr>
            </w:pPr>
          </w:p>
        </w:tc>
        <w:tc>
          <w:tcPr>
            <w:tcW w:w="556" w:type="dxa"/>
            <w:vAlign w:val="top"/>
          </w:tcPr>
          <w:p w14:paraId="661146AD">
            <w:pPr>
              <w:rPr>
                <w:rFonts w:ascii="Arial"/>
                <w:sz w:val="21"/>
              </w:rPr>
            </w:pPr>
          </w:p>
        </w:tc>
        <w:tc>
          <w:tcPr>
            <w:tcW w:w="562" w:type="dxa"/>
            <w:vAlign w:val="top"/>
          </w:tcPr>
          <w:p w14:paraId="1D55856A">
            <w:pPr>
              <w:rPr>
                <w:rFonts w:ascii="Arial"/>
                <w:sz w:val="21"/>
              </w:rPr>
            </w:pPr>
          </w:p>
        </w:tc>
        <w:tc>
          <w:tcPr>
            <w:tcW w:w="676" w:type="dxa"/>
            <w:vAlign w:val="top"/>
          </w:tcPr>
          <w:p w14:paraId="7FD84857">
            <w:pPr>
              <w:rPr>
                <w:rFonts w:ascii="Arial"/>
                <w:sz w:val="21"/>
              </w:rPr>
            </w:pPr>
          </w:p>
        </w:tc>
        <w:tc>
          <w:tcPr>
            <w:tcW w:w="682" w:type="dxa"/>
            <w:vAlign w:val="top"/>
          </w:tcPr>
          <w:p w14:paraId="71DA0CBF">
            <w:pPr>
              <w:rPr>
                <w:rFonts w:ascii="Arial"/>
                <w:sz w:val="21"/>
              </w:rPr>
            </w:pPr>
          </w:p>
        </w:tc>
        <w:tc>
          <w:tcPr>
            <w:tcW w:w="681" w:type="dxa"/>
            <w:vAlign w:val="top"/>
          </w:tcPr>
          <w:p w14:paraId="6267E58A">
            <w:pPr>
              <w:rPr>
                <w:rFonts w:ascii="Arial"/>
                <w:sz w:val="21"/>
              </w:rPr>
            </w:pPr>
          </w:p>
        </w:tc>
        <w:tc>
          <w:tcPr>
            <w:tcW w:w="624" w:type="dxa"/>
            <w:vAlign w:val="top"/>
          </w:tcPr>
          <w:p w14:paraId="4FC66F51">
            <w:pPr>
              <w:rPr>
                <w:rFonts w:ascii="Arial"/>
                <w:sz w:val="21"/>
              </w:rPr>
            </w:pPr>
          </w:p>
        </w:tc>
        <w:tc>
          <w:tcPr>
            <w:tcW w:w="628" w:type="dxa"/>
            <w:vAlign w:val="top"/>
          </w:tcPr>
          <w:p w14:paraId="643A94AF">
            <w:pPr>
              <w:rPr>
                <w:rFonts w:ascii="Arial"/>
                <w:sz w:val="21"/>
              </w:rPr>
            </w:pPr>
          </w:p>
        </w:tc>
        <w:tc>
          <w:tcPr>
            <w:tcW w:w="634" w:type="dxa"/>
            <w:vAlign w:val="top"/>
          </w:tcPr>
          <w:p w14:paraId="45FA2CE5">
            <w:pPr>
              <w:rPr>
                <w:rFonts w:ascii="Arial"/>
                <w:sz w:val="21"/>
              </w:rPr>
            </w:pPr>
          </w:p>
        </w:tc>
      </w:tr>
      <w:tr w14:paraId="7A402E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6" w:hRule="atLeast"/>
        </w:trPr>
        <w:tc>
          <w:tcPr>
            <w:tcW w:w="561" w:type="dxa"/>
            <w:vAlign w:val="top"/>
          </w:tcPr>
          <w:p w14:paraId="77C68D4A">
            <w:pPr>
              <w:rPr>
                <w:rFonts w:ascii="Arial"/>
                <w:sz w:val="21"/>
              </w:rPr>
            </w:pPr>
          </w:p>
        </w:tc>
        <w:tc>
          <w:tcPr>
            <w:tcW w:w="2578" w:type="dxa"/>
            <w:vAlign w:val="top"/>
          </w:tcPr>
          <w:p w14:paraId="3CE703AF">
            <w:pPr>
              <w:rPr>
                <w:rFonts w:ascii="Arial"/>
                <w:sz w:val="21"/>
              </w:rPr>
            </w:pPr>
          </w:p>
        </w:tc>
        <w:tc>
          <w:tcPr>
            <w:tcW w:w="806" w:type="dxa"/>
            <w:vAlign w:val="top"/>
          </w:tcPr>
          <w:p w14:paraId="3BA2FC54">
            <w:pPr>
              <w:rPr>
                <w:rFonts w:ascii="Arial"/>
                <w:sz w:val="21"/>
              </w:rPr>
            </w:pPr>
          </w:p>
        </w:tc>
        <w:tc>
          <w:tcPr>
            <w:tcW w:w="562" w:type="dxa"/>
            <w:vAlign w:val="top"/>
          </w:tcPr>
          <w:p w14:paraId="1308DCA0">
            <w:pPr>
              <w:rPr>
                <w:rFonts w:ascii="Arial"/>
                <w:sz w:val="21"/>
              </w:rPr>
            </w:pPr>
          </w:p>
        </w:tc>
        <w:tc>
          <w:tcPr>
            <w:tcW w:w="556" w:type="dxa"/>
            <w:vAlign w:val="top"/>
          </w:tcPr>
          <w:p w14:paraId="483CBC40">
            <w:pPr>
              <w:rPr>
                <w:rFonts w:ascii="Arial"/>
                <w:sz w:val="21"/>
              </w:rPr>
            </w:pPr>
          </w:p>
        </w:tc>
        <w:tc>
          <w:tcPr>
            <w:tcW w:w="562" w:type="dxa"/>
            <w:vAlign w:val="top"/>
          </w:tcPr>
          <w:p w14:paraId="2189FE2B">
            <w:pPr>
              <w:rPr>
                <w:rFonts w:ascii="Arial"/>
                <w:sz w:val="21"/>
              </w:rPr>
            </w:pPr>
          </w:p>
        </w:tc>
        <w:tc>
          <w:tcPr>
            <w:tcW w:w="676" w:type="dxa"/>
            <w:vAlign w:val="top"/>
          </w:tcPr>
          <w:p w14:paraId="20F3C2BA">
            <w:pPr>
              <w:rPr>
                <w:rFonts w:ascii="Arial"/>
                <w:sz w:val="21"/>
              </w:rPr>
            </w:pPr>
          </w:p>
        </w:tc>
        <w:tc>
          <w:tcPr>
            <w:tcW w:w="682" w:type="dxa"/>
            <w:vAlign w:val="top"/>
          </w:tcPr>
          <w:p w14:paraId="4FAD3D03">
            <w:pPr>
              <w:rPr>
                <w:rFonts w:ascii="Arial"/>
                <w:sz w:val="21"/>
              </w:rPr>
            </w:pPr>
          </w:p>
        </w:tc>
        <w:tc>
          <w:tcPr>
            <w:tcW w:w="681" w:type="dxa"/>
            <w:vAlign w:val="top"/>
          </w:tcPr>
          <w:p w14:paraId="6D2701EE">
            <w:pPr>
              <w:rPr>
                <w:rFonts w:ascii="Arial"/>
                <w:sz w:val="21"/>
              </w:rPr>
            </w:pPr>
          </w:p>
        </w:tc>
        <w:tc>
          <w:tcPr>
            <w:tcW w:w="624" w:type="dxa"/>
            <w:vAlign w:val="top"/>
          </w:tcPr>
          <w:p w14:paraId="236560BA">
            <w:pPr>
              <w:rPr>
                <w:rFonts w:ascii="Arial"/>
                <w:sz w:val="21"/>
              </w:rPr>
            </w:pPr>
          </w:p>
        </w:tc>
        <w:tc>
          <w:tcPr>
            <w:tcW w:w="628" w:type="dxa"/>
            <w:vAlign w:val="top"/>
          </w:tcPr>
          <w:p w14:paraId="172B9170">
            <w:pPr>
              <w:rPr>
                <w:rFonts w:ascii="Arial"/>
                <w:sz w:val="21"/>
              </w:rPr>
            </w:pPr>
          </w:p>
        </w:tc>
        <w:tc>
          <w:tcPr>
            <w:tcW w:w="634" w:type="dxa"/>
            <w:vAlign w:val="top"/>
          </w:tcPr>
          <w:p w14:paraId="7A27604A">
            <w:pPr>
              <w:rPr>
                <w:rFonts w:ascii="Arial"/>
                <w:sz w:val="21"/>
              </w:rPr>
            </w:pPr>
          </w:p>
        </w:tc>
      </w:tr>
      <w:tr w14:paraId="355F30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61" w:hRule="atLeast"/>
        </w:trPr>
        <w:tc>
          <w:tcPr>
            <w:tcW w:w="561" w:type="dxa"/>
            <w:vAlign w:val="top"/>
          </w:tcPr>
          <w:p w14:paraId="7B11EEF9">
            <w:pPr>
              <w:rPr>
                <w:rFonts w:ascii="Arial"/>
                <w:sz w:val="21"/>
              </w:rPr>
            </w:pPr>
          </w:p>
        </w:tc>
        <w:tc>
          <w:tcPr>
            <w:tcW w:w="2578" w:type="dxa"/>
            <w:vAlign w:val="top"/>
          </w:tcPr>
          <w:p w14:paraId="1F3190A2">
            <w:pPr>
              <w:rPr>
                <w:rFonts w:ascii="Arial"/>
                <w:sz w:val="21"/>
              </w:rPr>
            </w:pPr>
          </w:p>
        </w:tc>
        <w:tc>
          <w:tcPr>
            <w:tcW w:w="806" w:type="dxa"/>
            <w:vAlign w:val="top"/>
          </w:tcPr>
          <w:p w14:paraId="426753F8">
            <w:pPr>
              <w:rPr>
                <w:rFonts w:ascii="Arial"/>
                <w:sz w:val="21"/>
              </w:rPr>
            </w:pPr>
          </w:p>
        </w:tc>
        <w:tc>
          <w:tcPr>
            <w:tcW w:w="562" w:type="dxa"/>
            <w:vAlign w:val="top"/>
          </w:tcPr>
          <w:p w14:paraId="0FA0A281">
            <w:pPr>
              <w:rPr>
                <w:rFonts w:ascii="Arial"/>
                <w:sz w:val="21"/>
              </w:rPr>
            </w:pPr>
          </w:p>
        </w:tc>
        <w:tc>
          <w:tcPr>
            <w:tcW w:w="556" w:type="dxa"/>
            <w:vAlign w:val="top"/>
          </w:tcPr>
          <w:p w14:paraId="7ADAB81E">
            <w:pPr>
              <w:rPr>
                <w:rFonts w:ascii="Arial"/>
                <w:sz w:val="21"/>
              </w:rPr>
            </w:pPr>
          </w:p>
        </w:tc>
        <w:tc>
          <w:tcPr>
            <w:tcW w:w="562" w:type="dxa"/>
            <w:vAlign w:val="top"/>
          </w:tcPr>
          <w:p w14:paraId="7ABBA83B">
            <w:pPr>
              <w:rPr>
                <w:rFonts w:ascii="Arial"/>
                <w:sz w:val="21"/>
              </w:rPr>
            </w:pPr>
          </w:p>
        </w:tc>
        <w:tc>
          <w:tcPr>
            <w:tcW w:w="676" w:type="dxa"/>
            <w:vAlign w:val="top"/>
          </w:tcPr>
          <w:p w14:paraId="64436129">
            <w:pPr>
              <w:rPr>
                <w:rFonts w:ascii="Arial"/>
                <w:sz w:val="21"/>
              </w:rPr>
            </w:pPr>
          </w:p>
        </w:tc>
        <w:tc>
          <w:tcPr>
            <w:tcW w:w="682" w:type="dxa"/>
            <w:vAlign w:val="top"/>
          </w:tcPr>
          <w:p w14:paraId="12B627EA">
            <w:pPr>
              <w:rPr>
                <w:rFonts w:ascii="Arial"/>
                <w:sz w:val="21"/>
              </w:rPr>
            </w:pPr>
          </w:p>
        </w:tc>
        <w:tc>
          <w:tcPr>
            <w:tcW w:w="681" w:type="dxa"/>
            <w:vAlign w:val="top"/>
          </w:tcPr>
          <w:p w14:paraId="7429758C">
            <w:pPr>
              <w:rPr>
                <w:rFonts w:ascii="Arial"/>
                <w:sz w:val="21"/>
              </w:rPr>
            </w:pPr>
          </w:p>
        </w:tc>
        <w:tc>
          <w:tcPr>
            <w:tcW w:w="624" w:type="dxa"/>
            <w:vAlign w:val="top"/>
          </w:tcPr>
          <w:p w14:paraId="162BE798">
            <w:pPr>
              <w:rPr>
                <w:rFonts w:ascii="Arial"/>
                <w:sz w:val="21"/>
              </w:rPr>
            </w:pPr>
          </w:p>
        </w:tc>
        <w:tc>
          <w:tcPr>
            <w:tcW w:w="628" w:type="dxa"/>
            <w:vAlign w:val="top"/>
          </w:tcPr>
          <w:p w14:paraId="3E83AB3D">
            <w:pPr>
              <w:rPr>
                <w:rFonts w:ascii="Arial"/>
                <w:sz w:val="21"/>
              </w:rPr>
            </w:pPr>
          </w:p>
        </w:tc>
        <w:tc>
          <w:tcPr>
            <w:tcW w:w="634" w:type="dxa"/>
            <w:vAlign w:val="top"/>
          </w:tcPr>
          <w:p w14:paraId="25052B2D">
            <w:pPr>
              <w:rPr>
                <w:rFonts w:ascii="Arial"/>
                <w:sz w:val="21"/>
              </w:rPr>
            </w:pPr>
          </w:p>
        </w:tc>
      </w:tr>
      <w:tr w14:paraId="78490F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561" w:type="dxa"/>
            <w:vAlign w:val="top"/>
          </w:tcPr>
          <w:p w14:paraId="376BEFDC">
            <w:pPr>
              <w:rPr>
                <w:rFonts w:ascii="Arial"/>
                <w:sz w:val="21"/>
              </w:rPr>
            </w:pPr>
          </w:p>
        </w:tc>
        <w:tc>
          <w:tcPr>
            <w:tcW w:w="2578" w:type="dxa"/>
            <w:vAlign w:val="top"/>
          </w:tcPr>
          <w:p w14:paraId="6D0F2E69">
            <w:pPr>
              <w:rPr>
                <w:rFonts w:ascii="Arial"/>
                <w:sz w:val="21"/>
              </w:rPr>
            </w:pPr>
          </w:p>
        </w:tc>
        <w:tc>
          <w:tcPr>
            <w:tcW w:w="806" w:type="dxa"/>
            <w:vAlign w:val="top"/>
          </w:tcPr>
          <w:p w14:paraId="28B7A2A1">
            <w:pPr>
              <w:rPr>
                <w:rFonts w:ascii="Arial"/>
                <w:sz w:val="21"/>
              </w:rPr>
            </w:pPr>
          </w:p>
        </w:tc>
        <w:tc>
          <w:tcPr>
            <w:tcW w:w="562" w:type="dxa"/>
            <w:vAlign w:val="top"/>
          </w:tcPr>
          <w:p w14:paraId="746CDCCC">
            <w:pPr>
              <w:rPr>
                <w:rFonts w:ascii="Arial"/>
                <w:sz w:val="21"/>
              </w:rPr>
            </w:pPr>
          </w:p>
        </w:tc>
        <w:tc>
          <w:tcPr>
            <w:tcW w:w="556" w:type="dxa"/>
            <w:vAlign w:val="top"/>
          </w:tcPr>
          <w:p w14:paraId="39223B5C">
            <w:pPr>
              <w:rPr>
                <w:rFonts w:ascii="Arial"/>
                <w:sz w:val="21"/>
              </w:rPr>
            </w:pPr>
          </w:p>
        </w:tc>
        <w:tc>
          <w:tcPr>
            <w:tcW w:w="562" w:type="dxa"/>
            <w:vAlign w:val="top"/>
          </w:tcPr>
          <w:p w14:paraId="27812AC4">
            <w:pPr>
              <w:rPr>
                <w:rFonts w:ascii="Arial"/>
                <w:sz w:val="21"/>
              </w:rPr>
            </w:pPr>
          </w:p>
        </w:tc>
        <w:tc>
          <w:tcPr>
            <w:tcW w:w="676" w:type="dxa"/>
            <w:vAlign w:val="top"/>
          </w:tcPr>
          <w:p w14:paraId="5D14A33D">
            <w:pPr>
              <w:rPr>
                <w:rFonts w:ascii="Arial"/>
                <w:sz w:val="21"/>
              </w:rPr>
            </w:pPr>
          </w:p>
        </w:tc>
        <w:tc>
          <w:tcPr>
            <w:tcW w:w="682" w:type="dxa"/>
            <w:vAlign w:val="top"/>
          </w:tcPr>
          <w:p w14:paraId="3D87010C">
            <w:pPr>
              <w:rPr>
                <w:rFonts w:ascii="Arial"/>
                <w:sz w:val="21"/>
              </w:rPr>
            </w:pPr>
          </w:p>
        </w:tc>
        <w:tc>
          <w:tcPr>
            <w:tcW w:w="681" w:type="dxa"/>
            <w:vAlign w:val="top"/>
          </w:tcPr>
          <w:p w14:paraId="007BC339">
            <w:pPr>
              <w:rPr>
                <w:rFonts w:ascii="Arial"/>
                <w:sz w:val="21"/>
              </w:rPr>
            </w:pPr>
          </w:p>
        </w:tc>
        <w:tc>
          <w:tcPr>
            <w:tcW w:w="624" w:type="dxa"/>
            <w:vAlign w:val="top"/>
          </w:tcPr>
          <w:p w14:paraId="1CE69102">
            <w:pPr>
              <w:rPr>
                <w:rFonts w:ascii="Arial"/>
                <w:sz w:val="21"/>
              </w:rPr>
            </w:pPr>
          </w:p>
        </w:tc>
        <w:tc>
          <w:tcPr>
            <w:tcW w:w="628" w:type="dxa"/>
            <w:vAlign w:val="top"/>
          </w:tcPr>
          <w:p w14:paraId="051AB087">
            <w:pPr>
              <w:rPr>
                <w:rFonts w:ascii="Arial"/>
                <w:sz w:val="21"/>
              </w:rPr>
            </w:pPr>
          </w:p>
        </w:tc>
        <w:tc>
          <w:tcPr>
            <w:tcW w:w="634" w:type="dxa"/>
            <w:vAlign w:val="top"/>
          </w:tcPr>
          <w:p w14:paraId="27F31160">
            <w:pPr>
              <w:rPr>
                <w:rFonts w:ascii="Arial"/>
                <w:sz w:val="21"/>
              </w:rPr>
            </w:pPr>
          </w:p>
        </w:tc>
      </w:tr>
      <w:tr w14:paraId="34DCE8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6" w:hRule="atLeast"/>
        </w:trPr>
        <w:tc>
          <w:tcPr>
            <w:tcW w:w="561" w:type="dxa"/>
            <w:vAlign w:val="top"/>
          </w:tcPr>
          <w:p w14:paraId="7CC305CB">
            <w:pPr>
              <w:rPr>
                <w:rFonts w:ascii="Arial"/>
                <w:sz w:val="21"/>
              </w:rPr>
            </w:pPr>
          </w:p>
        </w:tc>
        <w:tc>
          <w:tcPr>
            <w:tcW w:w="2578" w:type="dxa"/>
            <w:vAlign w:val="top"/>
          </w:tcPr>
          <w:p w14:paraId="0140DD95">
            <w:pPr>
              <w:rPr>
                <w:rFonts w:ascii="Arial"/>
                <w:sz w:val="21"/>
              </w:rPr>
            </w:pPr>
          </w:p>
        </w:tc>
        <w:tc>
          <w:tcPr>
            <w:tcW w:w="806" w:type="dxa"/>
            <w:vAlign w:val="top"/>
          </w:tcPr>
          <w:p w14:paraId="2470E0C2">
            <w:pPr>
              <w:rPr>
                <w:rFonts w:ascii="Arial"/>
                <w:sz w:val="21"/>
              </w:rPr>
            </w:pPr>
          </w:p>
        </w:tc>
        <w:tc>
          <w:tcPr>
            <w:tcW w:w="562" w:type="dxa"/>
            <w:vAlign w:val="top"/>
          </w:tcPr>
          <w:p w14:paraId="4950D321">
            <w:pPr>
              <w:rPr>
                <w:rFonts w:ascii="Arial"/>
                <w:sz w:val="21"/>
              </w:rPr>
            </w:pPr>
          </w:p>
        </w:tc>
        <w:tc>
          <w:tcPr>
            <w:tcW w:w="556" w:type="dxa"/>
            <w:vAlign w:val="top"/>
          </w:tcPr>
          <w:p w14:paraId="4EB8BF80">
            <w:pPr>
              <w:rPr>
                <w:rFonts w:ascii="Arial"/>
                <w:sz w:val="21"/>
              </w:rPr>
            </w:pPr>
          </w:p>
        </w:tc>
        <w:tc>
          <w:tcPr>
            <w:tcW w:w="562" w:type="dxa"/>
            <w:vAlign w:val="top"/>
          </w:tcPr>
          <w:p w14:paraId="337DC979">
            <w:pPr>
              <w:rPr>
                <w:rFonts w:ascii="Arial"/>
                <w:sz w:val="21"/>
              </w:rPr>
            </w:pPr>
          </w:p>
        </w:tc>
        <w:tc>
          <w:tcPr>
            <w:tcW w:w="676" w:type="dxa"/>
            <w:vAlign w:val="top"/>
          </w:tcPr>
          <w:p w14:paraId="2B4CF680">
            <w:pPr>
              <w:rPr>
                <w:rFonts w:ascii="Arial"/>
                <w:sz w:val="21"/>
              </w:rPr>
            </w:pPr>
          </w:p>
        </w:tc>
        <w:tc>
          <w:tcPr>
            <w:tcW w:w="682" w:type="dxa"/>
            <w:vAlign w:val="top"/>
          </w:tcPr>
          <w:p w14:paraId="45BF7B68">
            <w:pPr>
              <w:rPr>
                <w:rFonts w:ascii="Arial"/>
                <w:sz w:val="21"/>
              </w:rPr>
            </w:pPr>
          </w:p>
        </w:tc>
        <w:tc>
          <w:tcPr>
            <w:tcW w:w="681" w:type="dxa"/>
            <w:vAlign w:val="top"/>
          </w:tcPr>
          <w:p w14:paraId="35FD340E">
            <w:pPr>
              <w:rPr>
                <w:rFonts w:ascii="Arial"/>
                <w:sz w:val="21"/>
              </w:rPr>
            </w:pPr>
          </w:p>
        </w:tc>
        <w:tc>
          <w:tcPr>
            <w:tcW w:w="624" w:type="dxa"/>
            <w:vAlign w:val="top"/>
          </w:tcPr>
          <w:p w14:paraId="60ADE841">
            <w:pPr>
              <w:rPr>
                <w:rFonts w:ascii="Arial"/>
                <w:sz w:val="21"/>
              </w:rPr>
            </w:pPr>
          </w:p>
        </w:tc>
        <w:tc>
          <w:tcPr>
            <w:tcW w:w="628" w:type="dxa"/>
            <w:vAlign w:val="top"/>
          </w:tcPr>
          <w:p w14:paraId="0F03F400">
            <w:pPr>
              <w:rPr>
                <w:rFonts w:ascii="Arial"/>
                <w:sz w:val="21"/>
              </w:rPr>
            </w:pPr>
          </w:p>
        </w:tc>
        <w:tc>
          <w:tcPr>
            <w:tcW w:w="634" w:type="dxa"/>
            <w:vAlign w:val="top"/>
          </w:tcPr>
          <w:p w14:paraId="2F43BEFD">
            <w:pPr>
              <w:rPr>
                <w:rFonts w:ascii="Arial"/>
                <w:sz w:val="21"/>
              </w:rPr>
            </w:pPr>
          </w:p>
        </w:tc>
      </w:tr>
      <w:tr w14:paraId="29BB61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561" w:type="dxa"/>
            <w:vAlign w:val="top"/>
          </w:tcPr>
          <w:p w14:paraId="67B1E7D9">
            <w:pPr>
              <w:rPr>
                <w:rFonts w:ascii="Arial"/>
                <w:sz w:val="21"/>
              </w:rPr>
            </w:pPr>
          </w:p>
        </w:tc>
        <w:tc>
          <w:tcPr>
            <w:tcW w:w="2578" w:type="dxa"/>
            <w:vAlign w:val="top"/>
          </w:tcPr>
          <w:p w14:paraId="618C2694">
            <w:pPr>
              <w:rPr>
                <w:rFonts w:ascii="Arial"/>
                <w:sz w:val="21"/>
              </w:rPr>
            </w:pPr>
          </w:p>
        </w:tc>
        <w:tc>
          <w:tcPr>
            <w:tcW w:w="806" w:type="dxa"/>
            <w:vAlign w:val="top"/>
          </w:tcPr>
          <w:p w14:paraId="120CF505">
            <w:pPr>
              <w:rPr>
                <w:rFonts w:ascii="Arial"/>
                <w:sz w:val="21"/>
              </w:rPr>
            </w:pPr>
          </w:p>
        </w:tc>
        <w:tc>
          <w:tcPr>
            <w:tcW w:w="562" w:type="dxa"/>
            <w:vAlign w:val="top"/>
          </w:tcPr>
          <w:p w14:paraId="571A0CBE">
            <w:pPr>
              <w:rPr>
                <w:rFonts w:ascii="Arial"/>
                <w:sz w:val="21"/>
              </w:rPr>
            </w:pPr>
          </w:p>
        </w:tc>
        <w:tc>
          <w:tcPr>
            <w:tcW w:w="556" w:type="dxa"/>
            <w:vAlign w:val="top"/>
          </w:tcPr>
          <w:p w14:paraId="171EBF30">
            <w:pPr>
              <w:rPr>
                <w:rFonts w:ascii="Arial"/>
                <w:sz w:val="21"/>
              </w:rPr>
            </w:pPr>
          </w:p>
        </w:tc>
        <w:tc>
          <w:tcPr>
            <w:tcW w:w="562" w:type="dxa"/>
            <w:vAlign w:val="top"/>
          </w:tcPr>
          <w:p w14:paraId="28E334C6">
            <w:pPr>
              <w:rPr>
                <w:rFonts w:ascii="Arial"/>
                <w:sz w:val="21"/>
              </w:rPr>
            </w:pPr>
          </w:p>
        </w:tc>
        <w:tc>
          <w:tcPr>
            <w:tcW w:w="676" w:type="dxa"/>
            <w:vAlign w:val="top"/>
          </w:tcPr>
          <w:p w14:paraId="1BD0502C">
            <w:pPr>
              <w:rPr>
                <w:rFonts w:ascii="Arial"/>
                <w:sz w:val="21"/>
              </w:rPr>
            </w:pPr>
          </w:p>
        </w:tc>
        <w:tc>
          <w:tcPr>
            <w:tcW w:w="682" w:type="dxa"/>
            <w:vAlign w:val="top"/>
          </w:tcPr>
          <w:p w14:paraId="69B41FF2">
            <w:pPr>
              <w:rPr>
                <w:rFonts w:ascii="Arial"/>
                <w:sz w:val="21"/>
              </w:rPr>
            </w:pPr>
          </w:p>
        </w:tc>
        <w:tc>
          <w:tcPr>
            <w:tcW w:w="681" w:type="dxa"/>
            <w:vAlign w:val="top"/>
          </w:tcPr>
          <w:p w14:paraId="520B3AB7">
            <w:pPr>
              <w:rPr>
                <w:rFonts w:ascii="Arial"/>
                <w:sz w:val="21"/>
              </w:rPr>
            </w:pPr>
          </w:p>
        </w:tc>
        <w:tc>
          <w:tcPr>
            <w:tcW w:w="624" w:type="dxa"/>
            <w:vAlign w:val="top"/>
          </w:tcPr>
          <w:p w14:paraId="7BB36927">
            <w:pPr>
              <w:rPr>
                <w:rFonts w:ascii="Arial"/>
                <w:sz w:val="21"/>
              </w:rPr>
            </w:pPr>
          </w:p>
        </w:tc>
        <w:tc>
          <w:tcPr>
            <w:tcW w:w="628" w:type="dxa"/>
            <w:vAlign w:val="top"/>
          </w:tcPr>
          <w:p w14:paraId="62FA8B8E">
            <w:pPr>
              <w:rPr>
                <w:rFonts w:ascii="Arial"/>
                <w:sz w:val="21"/>
              </w:rPr>
            </w:pPr>
          </w:p>
        </w:tc>
        <w:tc>
          <w:tcPr>
            <w:tcW w:w="634" w:type="dxa"/>
            <w:vAlign w:val="top"/>
          </w:tcPr>
          <w:p w14:paraId="3689A04A">
            <w:pPr>
              <w:rPr>
                <w:rFonts w:ascii="Arial"/>
                <w:sz w:val="21"/>
              </w:rPr>
            </w:pPr>
          </w:p>
        </w:tc>
      </w:tr>
      <w:tr w14:paraId="091B00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1" w:hRule="atLeast"/>
        </w:trPr>
        <w:tc>
          <w:tcPr>
            <w:tcW w:w="561" w:type="dxa"/>
            <w:vAlign w:val="top"/>
          </w:tcPr>
          <w:p w14:paraId="2B93CBF5">
            <w:pPr>
              <w:rPr>
                <w:rFonts w:ascii="Arial"/>
                <w:sz w:val="21"/>
              </w:rPr>
            </w:pPr>
          </w:p>
        </w:tc>
        <w:tc>
          <w:tcPr>
            <w:tcW w:w="2578" w:type="dxa"/>
            <w:vAlign w:val="top"/>
          </w:tcPr>
          <w:p w14:paraId="43BD511F">
            <w:pPr>
              <w:rPr>
                <w:rFonts w:ascii="Arial"/>
                <w:sz w:val="21"/>
              </w:rPr>
            </w:pPr>
          </w:p>
        </w:tc>
        <w:tc>
          <w:tcPr>
            <w:tcW w:w="806" w:type="dxa"/>
            <w:vAlign w:val="top"/>
          </w:tcPr>
          <w:p w14:paraId="65590E1B">
            <w:pPr>
              <w:rPr>
                <w:rFonts w:ascii="Arial"/>
                <w:sz w:val="21"/>
              </w:rPr>
            </w:pPr>
          </w:p>
        </w:tc>
        <w:tc>
          <w:tcPr>
            <w:tcW w:w="562" w:type="dxa"/>
            <w:vAlign w:val="top"/>
          </w:tcPr>
          <w:p w14:paraId="1F1A29F3">
            <w:pPr>
              <w:rPr>
                <w:rFonts w:ascii="Arial"/>
                <w:sz w:val="21"/>
              </w:rPr>
            </w:pPr>
          </w:p>
        </w:tc>
        <w:tc>
          <w:tcPr>
            <w:tcW w:w="556" w:type="dxa"/>
            <w:vAlign w:val="top"/>
          </w:tcPr>
          <w:p w14:paraId="05BEEB60">
            <w:pPr>
              <w:rPr>
                <w:rFonts w:ascii="Arial"/>
                <w:sz w:val="21"/>
              </w:rPr>
            </w:pPr>
          </w:p>
        </w:tc>
        <w:tc>
          <w:tcPr>
            <w:tcW w:w="562" w:type="dxa"/>
            <w:vAlign w:val="top"/>
          </w:tcPr>
          <w:p w14:paraId="70609D08">
            <w:pPr>
              <w:rPr>
                <w:rFonts w:ascii="Arial"/>
                <w:sz w:val="21"/>
              </w:rPr>
            </w:pPr>
          </w:p>
        </w:tc>
        <w:tc>
          <w:tcPr>
            <w:tcW w:w="676" w:type="dxa"/>
            <w:vAlign w:val="top"/>
          </w:tcPr>
          <w:p w14:paraId="69A55585">
            <w:pPr>
              <w:rPr>
                <w:rFonts w:ascii="Arial"/>
                <w:sz w:val="21"/>
              </w:rPr>
            </w:pPr>
          </w:p>
        </w:tc>
        <w:tc>
          <w:tcPr>
            <w:tcW w:w="682" w:type="dxa"/>
            <w:vAlign w:val="top"/>
          </w:tcPr>
          <w:p w14:paraId="50FAB1BF">
            <w:pPr>
              <w:rPr>
                <w:rFonts w:ascii="Arial"/>
                <w:sz w:val="21"/>
              </w:rPr>
            </w:pPr>
          </w:p>
        </w:tc>
        <w:tc>
          <w:tcPr>
            <w:tcW w:w="681" w:type="dxa"/>
            <w:vAlign w:val="top"/>
          </w:tcPr>
          <w:p w14:paraId="6380AB85">
            <w:pPr>
              <w:rPr>
                <w:rFonts w:ascii="Arial"/>
                <w:sz w:val="21"/>
              </w:rPr>
            </w:pPr>
          </w:p>
        </w:tc>
        <w:tc>
          <w:tcPr>
            <w:tcW w:w="624" w:type="dxa"/>
            <w:vAlign w:val="top"/>
          </w:tcPr>
          <w:p w14:paraId="4D06A5F5">
            <w:pPr>
              <w:rPr>
                <w:rFonts w:ascii="Arial"/>
                <w:sz w:val="21"/>
              </w:rPr>
            </w:pPr>
          </w:p>
        </w:tc>
        <w:tc>
          <w:tcPr>
            <w:tcW w:w="628" w:type="dxa"/>
            <w:vAlign w:val="top"/>
          </w:tcPr>
          <w:p w14:paraId="0BDA20CA">
            <w:pPr>
              <w:rPr>
                <w:rFonts w:ascii="Arial"/>
                <w:sz w:val="21"/>
              </w:rPr>
            </w:pPr>
          </w:p>
        </w:tc>
        <w:tc>
          <w:tcPr>
            <w:tcW w:w="634" w:type="dxa"/>
            <w:vAlign w:val="top"/>
          </w:tcPr>
          <w:p w14:paraId="62A607CA">
            <w:pPr>
              <w:rPr>
                <w:rFonts w:ascii="Arial"/>
                <w:sz w:val="21"/>
              </w:rPr>
            </w:pPr>
          </w:p>
        </w:tc>
      </w:tr>
      <w:tr w14:paraId="55893C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6" w:hRule="atLeast"/>
        </w:trPr>
        <w:tc>
          <w:tcPr>
            <w:tcW w:w="561" w:type="dxa"/>
            <w:vAlign w:val="top"/>
          </w:tcPr>
          <w:p w14:paraId="77C65E27">
            <w:pPr>
              <w:rPr>
                <w:rFonts w:ascii="Arial"/>
                <w:sz w:val="21"/>
              </w:rPr>
            </w:pPr>
          </w:p>
        </w:tc>
        <w:tc>
          <w:tcPr>
            <w:tcW w:w="2578" w:type="dxa"/>
            <w:vAlign w:val="top"/>
          </w:tcPr>
          <w:p w14:paraId="5D537D6B">
            <w:pPr>
              <w:rPr>
                <w:rFonts w:ascii="Arial"/>
                <w:sz w:val="21"/>
              </w:rPr>
            </w:pPr>
          </w:p>
        </w:tc>
        <w:tc>
          <w:tcPr>
            <w:tcW w:w="806" w:type="dxa"/>
            <w:vAlign w:val="top"/>
          </w:tcPr>
          <w:p w14:paraId="3332A4A7">
            <w:pPr>
              <w:rPr>
                <w:rFonts w:ascii="Arial"/>
                <w:sz w:val="21"/>
              </w:rPr>
            </w:pPr>
          </w:p>
        </w:tc>
        <w:tc>
          <w:tcPr>
            <w:tcW w:w="562" w:type="dxa"/>
            <w:vAlign w:val="top"/>
          </w:tcPr>
          <w:p w14:paraId="3D8A9470">
            <w:pPr>
              <w:rPr>
                <w:rFonts w:ascii="Arial"/>
                <w:sz w:val="21"/>
              </w:rPr>
            </w:pPr>
          </w:p>
        </w:tc>
        <w:tc>
          <w:tcPr>
            <w:tcW w:w="556" w:type="dxa"/>
            <w:vAlign w:val="top"/>
          </w:tcPr>
          <w:p w14:paraId="071E00C0">
            <w:pPr>
              <w:rPr>
                <w:rFonts w:ascii="Arial"/>
                <w:sz w:val="21"/>
              </w:rPr>
            </w:pPr>
          </w:p>
        </w:tc>
        <w:tc>
          <w:tcPr>
            <w:tcW w:w="562" w:type="dxa"/>
            <w:vAlign w:val="top"/>
          </w:tcPr>
          <w:p w14:paraId="369C52FE">
            <w:pPr>
              <w:rPr>
                <w:rFonts w:ascii="Arial"/>
                <w:sz w:val="21"/>
              </w:rPr>
            </w:pPr>
          </w:p>
        </w:tc>
        <w:tc>
          <w:tcPr>
            <w:tcW w:w="676" w:type="dxa"/>
            <w:vAlign w:val="top"/>
          </w:tcPr>
          <w:p w14:paraId="2A0F5340">
            <w:pPr>
              <w:rPr>
                <w:rFonts w:ascii="Arial"/>
                <w:sz w:val="21"/>
              </w:rPr>
            </w:pPr>
          </w:p>
        </w:tc>
        <w:tc>
          <w:tcPr>
            <w:tcW w:w="682" w:type="dxa"/>
            <w:vAlign w:val="top"/>
          </w:tcPr>
          <w:p w14:paraId="7A6B7D40">
            <w:pPr>
              <w:rPr>
                <w:rFonts w:ascii="Arial"/>
                <w:sz w:val="21"/>
              </w:rPr>
            </w:pPr>
          </w:p>
        </w:tc>
        <w:tc>
          <w:tcPr>
            <w:tcW w:w="681" w:type="dxa"/>
            <w:vAlign w:val="top"/>
          </w:tcPr>
          <w:p w14:paraId="554AF442">
            <w:pPr>
              <w:rPr>
                <w:rFonts w:ascii="Arial"/>
                <w:sz w:val="21"/>
              </w:rPr>
            </w:pPr>
          </w:p>
        </w:tc>
        <w:tc>
          <w:tcPr>
            <w:tcW w:w="624" w:type="dxa"/>
            <w:vAlign w:val="top"/>
          </w:tcPr>
          <w:p w14:paraId="11F14295">
            <w:pPr>
              <w:rPr>
                <w:rFonts w:ascii="Arial"/>
                <w:sz w:val="21"/>
              </w:rPr>
            </w:pPr>
          </w:p>
        </w:tc>
        <w:tc>
          <w:tcPr>
            <w:tcW w:w="628" w:type="dxa"/>
            <w:vAlign w:val="top"/>
          </w:tcPr>
          <w:p w14:paraId="53CB6F69">
            <w:pPr>
              <w:rPr>
                <w:rFonts w:ascii="Arial"/>
                <w:sz w:val="21"/>
              </w:rPr>
            </w:pPr>
          </w:p>
        </w:tc>
        <w:tc>
          <w:tcPr>
            <w:tcW w:w="634" w:type="dxa"/>
            <w:vAlign w:val="top"/>
          </w:tcPr>
          <w:p w14:paraId="45E60D3A">
            <w:pPr>
              <w:rPr>
                <w:rFonts w:ascii="Arial"/>
                <w:sz w:val="21"/>
              </w:rPr>
            </w:pPr>
          </w:p>
        </w:tc>
      </w:tr>
      <w:tr w14:paraId="3737AA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561" w:type="dxa"/>
            <w:vAlign w:val="top"/>
          </w:tcPr>
          <w:p w14:paraId="26F19B53">
            <w:pPr>
              <w:rPr>
                <w:rFonts w:ascii="Arial"/>
                <w:sz w:val="21"/>
              </w:rPr>
            </w:pPr>
          </w:p>
        </w:tc>
        <w:tc>
          <w:tcPr>
            <w:tcW w:w="2578" w:type="dxa"/>
            <w:vAlign w:val="top"/>
          </w:tcPr>
          <w:p w14:paraId="7C4DD432">
            <w:pPr>
              <w:rPr>
                <w:rFonts w:ascii="Arial"/>
                <w:sz w:val="21"/>
              </w:rPr>
            </w:pPr>
          </w:p>
        </w:tc>
        <w:tc>
          <w:tcPr>
            <w:tcW w:w="806" w:type="dxa"/>
            <w:vAlign w:val="top"/>
          </w:tcPr>
          <w:p w14:paraId="16732C06">
            <w:pPr>
              <w:rPr>
                <w:rFonts w:ascii="Arial"/>
                <w:sz w:val="21"/>
              </w:rPr>
            </w:pPr>
          </w:p>
        </w:tc>
        <w:tc>
          <w:tcPr>
            <w:tcW w:w="562" w:type="dxa"/>
            <w:vAlign w:val="top"/>
          </w:tcPr>
          <w:p w14:paraId="27EEA33A">
            <w:pPr>
              <w:rPr>
                <w:rFonts w:ascii="Arial"/>
                <w:sz w:val="21"/>
              </w:rPr>
            </w:pPr>
          </w:p>
        </w:tc>
        <w:tc>
          <w:tcPr>
            <w:tcW w:w="556" w:type="dxa"/>
            <w:vAlign w:val="top"/>
          </w:tcPr>
          <w:p w14:paraId="03106B06">
            <w:pPr>
              <w:rPr>
                <w:rFonts w:ascii="Arial"/>
                <w:sz w:val="21"/>
              </w:rPr>
            </w:pPr>
          </w:p>
        </w:tc>
        <w:tc>
          <w:tcPr>
            <w:tcW w:w="562" w:type="dxa"/>
            <w:vAlign w:val="top"/>
          </w:tcPr>
          <w:p w14:paraId="79E0B27B">
            <w:pPr>
              <w:rPr>
                <w:rFonts w:ascii="Arial"/>
                <w:sz w:val="21"/>
              </w:rPr>
            </w:pPr>
          </w:p>
        </w:tc>
        <w:tc>
          <w:tcPr>
            <w:tcW w:w="676" w:type="dxa"/>
            <w:vAlign w:val="top"/>
          </w:tcPr>
          <w:p w14:paraId="3C39E999">
            <w:pPr>
              <w:rPr>
                <w:rFonts w:ascii="Arial"/>
                <w:sz w:val="21"/>
              </w:rPr>
            </w:pPr>
          </w:p>
        </w:tc>
        <w:tc>
          <w:tcPr>
            <w:tcW w:w="682" w:type="dxa"/>
            <w:vAlign w:val="top"/>
          </w:tcPr>
          <w:p w14:paraId="6CC33B57">
            <w:pPr>
              <w:rPr>
                <w:rFonts w:ascii="Arial"/>
                <w:sz w:val="21"/>
              </w:rPr>
            </w:pPr>
          </w:p>
        </w:tc>
        <w:tc>
          <w:tcPr>
            <w:tcW w:w="681" w:type="dxa"/>
            <w:vAlign w:val="top"/>
          </w:tcPr>
          <w:p w14:paraId="4E26533A">
            <w:pPr>
              <w:rPr>
                <w:rFonts w:ascii="Arial"/>
                <w:sz w:val="21"/>
              </w:rPr>
            </w:pPr>
          </w:p>
        </w:tc>
        <w:tc>
          <w:tcPr>
            <w:tcW w:w="624" w:type="dxa"/>
            <w:vAlign w:val="top"/>
          </w:tcPr>
          <w:p w14:paraId="3A27C2D3">
            <w:pPr>
              <w:rPr>
                <w:rFonts w:ascii="Arial"/>
                <w:sz w:val="21"/>
              </w:rPr>
            </w:pPr>
          </w:p>
        </w:tc>
        <w:tc>
          <w:tcPr>
            <w:tcW w:w="628" w:type="dxa"/>
            <w:vAlign w:val="top"/>
          </w:tcPr>
          <w:p w14:paraId="0FF2C90A">
            <w:pPr>
              <w:rPr>
                <w:rFonts w:ascii="Arial"/>
                <w:sz w:val="21"/>
              </w:rPr>
            </w:pPr>
          </w:p>
        </w:tc>
        <w:tc>
          <w:tcPr>
            <w:tcW w:w="634" w:type="dxa"/>
            <w:vAlign w:val="top"/>
          </w:tcPr>
          <w:p w14:paraId="71B24FB9">
            <w:pPr>
              <w:rPr>
                <w:rFonts w:ascii="Arial"/>
                <w:sz w:val="21"/>
              </w:rPr>
            </w:pPr>
          </w:p>
        </w:tc>
      </w:tr>
      <w:tr w14:paraId="14DB93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561" w:type="dxa"/>
            <w:vAlign w:val="top"/>
          </w:tcPr>
          <w:p w14:paraId="2C7E5933">
            <w:pPr>
              <w:rPr>
                <w:rFonts w:ascii="Arial"/>
                <w:sz w:val="21"/>
              </w:rPr>
            </w:pPr>
          </w:p>
        </w:tc>
        <w:tc>
          <w:tcPr>
            <w:tcW w:w="2578" w:type="dxa"/>
            <w:vAlign w:val="top"/>
          </w:tcPr>
          <w:p w14:paraId="795356AA">
            <w:pPr>
              <w:rPr>
                <w:rFonts w:ascii="Arial"/>
                <w:sz w:val="21"/>
              </w:rPr>
            </w:pPr>
          </w:p>
        </w:tc>
        <w:tc>
          <w:tcPr>
            <w:tcW w:w="806" w:type="dxa"/>
            <w:vAlign w:val="top"/>
          </w:tcPr>
          <w:p w14:paraId="631260F7">
            <w:pPr>
              <w:rPr>
                <w:rFonts w:ascii="Arial"/>
                <w:sz w:val="21"/>
              </w:rPr>
            </w:pPr>
          </w:p>
        </w:tc>
        <w:tc>
          <w:tcPr>
            <w:tcW w:w="562" w:type="dxa"/>
            <w:vAlign w:val="top"/>
          </w:tcPr>
          <w:p w14:paraId="217DD2ED">
            <w:pPr>
              <w:rPr>
                <w:rFonts w:ascii="Arial"/>
                <w:sz w:val="21"/>
              </w:rPr>
            </w:pPr>
          </w:p>
        </w:tc>
        <w:tc>
          <w:tcPr>
            <w:tcW w:w="556" w:type="dxa"/>
            <w:vAlign w:val="top"/>
          </w:tcPr>
          <w:p w14:paraId="2E4DE148">
            <w:pPr>
              <w:rPr>
                <w:rFonts w:ascii="Arial"/>
                <w:sz w:val="21"/>
              </w:rPr>
            </w:pPr>
          </w:p>
        </w:tc>
        <w:tc>
          <w:tcPr>
            <w:tcW w:w="562" w:type="dxa"/>
            <w:vAlign w:val="top"/>
          </w:tcPr>
          <w:p w14:paraId="36F5E303">
            <w:pPr>
              <w:rPr>
                <w:rFonts w:ascii="Arial"/>
                <w:sz w:val="21"/>
              </w:rPr>
            </w:pPr>
          </w:p>
        </w:tc>
        <w:tc>
          <w:tcPr>
            <w:tcW w:w="676" w:type="dxa"/>
            <w:vAlign w:val="top"/>
          </w:tcPr>
          <w:p w14:paraId="6947A4C5">
            <w:pPr>
              <w:rPr>
                <w:rFonts w:ascii="Arial"/>
                <w:sz w:val="21"/>
              </w:rPr>
            </w:pPr>
          </w:p>
        </w:tc>
        <w:tc>
          <w:tcPr>
            <w:tcW w:w="682" w:type="dxa"/>
            <w:vAlign w:val="top"/>
          </w:tcPr>
          <w:p w14:paraId="04D66DC2">
            <w:pPr>
              <w:rPr>
                <w:rFonts w:ascii="Arial"/>
                <w:sz w:val="21"/>
              </w:rPr>
            </w:pPr>
          </w:p>
        </w:tc>
        <w:tc>
          <w:tcPr>
            <w:tcW w:w="681" w:type="dxa"/>
            <w:vAlign w:val="top"/>
          </w:tcPr>
          <w:p w14:paraId="297EB6D8">
            <w:pPr>
              <w:rPr>
                <w:rFonts w:ascii="Arial"/>
                <w:sz w:val="21"/>
              </w:rPr>
            </w:pPr>
          </w:p>
        </w:tc>
        <w:tc>
          <w:tcPr>
            <w:tcW w:w="624" w:type="dxa"/>
            <w:vAlign w:val="top"/>
          </w:tcPr>
          <w:p w14:paraId="31F2DCB6">
            <w:pPr>
              <w:rPr>
                <w:rFonts w:ascii="Arial"/>
                <w:sz w:val="21"/>
              </w:rPr>
            </w:pPr>
          </w:p>
        </w:tc>
        <w:tc>
          <w:tcPr>
            <w:tcW w:w="628" w:type="dxa"/>
            <w:vAlign w:val="top"/>
          </w:tcPr>
          <w:p w14:paraId="58940B3F">
            <w:pPr>
              <w:rPr>
                <w:rFonts w:ascii="Arial"/>
                <w:sz w:val="21"/>
              </w:rPr>
            </w:pPr>
          </w:p>
        </w:tc>
        <w:tc>
          <w:tcPr>
            <w:tcW w:w="634" w:type="dxa"/>
            <w:vAlign w:val="top"/>
          </w:tcPr>
          <w:p w14:paraId="7E669FBC">
            <w:pPr>
              <w:rPr>
                <w:rFonts w:ascii="Arial"/>
                <w:sz w:val="21"/>
              </w:rPr>
            </w:pPr>
          </w:p>
        </w:tc>
      </w:tr>
      <w:tr w14:paraId="34BE06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6" w:hRule="atLeast"/>
        </w:trPr>
        <w:tc>
          <w:tcPr>
            <w:tcW w:w="561" w:type="dxa"/>
            <w:vAlign w:val="top"/>
          </w:tcPr>
          <w:p w14:paraId="2D1011FB">
            <w:pPr>
              <w:rPr>
                <w:rFonts w:ascii="Arial"/>
                <w:sz w:val="21"/>
              </w:rPr>
            </w:pPr>
          </w:p>
        </w:tc>
        <w:tc>
          <w:tcPr>
            <w:tcW w:w="2578" w:type="dxa"/>
            <w:vAlign w:val="top"/>
          </w:tcPr>
          <w:p w14:paraId="3458272D">
            <w:pPr>
              <w:rPr>
                <w:rFonts w:ascii="Arial"/>
                <w:sz w:val="21"/>
              </w:rPr>
            </w:pPr>
          </w:p>
        </w:tc>
        <w:tc>
          <w:tcPr>
            <w:tcW w:w="806" w:type="dxa"/>
            <w:vAlign w:val="top"/>
          </w:tcPr>
          <w:p w14:paraId="49DC3A86">
            <w:pPr>
              <w:rPr>
                <w:rFonts w:ascii="Arial"/>
                <w:sz w:val="21"/>
              </w:rPr>
            </w:pPr>
          </w:p>
        </w:tc>
        <w:tc>
          <w:tcPr>
            <w:tcW w:w="562" w:type="dxa"/>
            <w:vAlign w:val="top"/>
          </w:tcPr>
          <w:p w14:paraId="2E43D855">
            <w:pPr>
              <w:rPr>
                <w:rFonts w:ascii="Arial"/>
                <w:sz w:val="21"/>
              </w:rPr>
            </w:pPr>
          </w:p>
        </w:tc>
        <w:tc>
          <w:tcPr>
            <w:tcW w:w="556" w:type="dxa"/>
            <w:vAlign w:val="top"/>
          </w:tcPr>
          <w:p w14:paraId="173FC5CE">
            <w:pPr>
              <w:rPr>
                <w:rFonts w:ascii="Arial"/>
                <w:sz w:val="21"/>
              </w:rPr>
            </w:pPr>
          </w:p>
        </w:tc>
        <w:tc>
          <w:tcPr>
            <w:tcW w:w="562" w:type="dxa"/>
            <w:vAlign w:val="top"/>
          </w:tcPr>
          <w:p w14:paraId="2D6DA4C5">
            <w:pPr>
              <w:rPr>
                <w:rFonts w:ascii="Arial"/>
                <w:sz w:val="21"/>
              </w:rPr>
            </w:pPr>
          </w:p>
        </w:tc>
        <w:tc>
          <w:tcPr>
            <w:tcW w:w="676" w:type="dxa"/>
            <w:vAlign w:val="top"/>
          </w:tcPr>
          <w:p w14:paraId="12771231">
            <w:pPr>
              <w:rPr>
                <w:rFonts w:ascii="Arial"/>
                <w:sz w:val="21"/>
              </w:rPr>
            </w:pPr>
          </w:p>
        </w:tc>
        <w:tc>
          <w:tcPr>
            <w:tcW w:w="682" w:type="dxa"/>
            <w:vAlign w:val="top"/>
          </w:tcPr>
          <w:p w14:paraId="3723CF05">
            <w:pPr>
              <w:rPr>
                <w:rFonts w:ascii="Arial"/>
                <w:sz w:val="21"/>
              </w:rPr>
            </w:pPr>
          </w:p>
        </w:tc>
        <w:tc>
          <w:tcPr>
            <w:tcW w:w="681" w:type="dxa"/>
            <w:vAlign w:val="top"/>
          </w:tcPr>
          <w:p w14:paraId="5926A289">
            <w:pPr>
              <w:rPr>
                <w:rFonts w:ascii="Arial"/>
                <w:sz w:val="21"/>
              </w:rPr>
            </w:pPr>
          </w:p>
        </w:tc>
        <w:tc>
          <w:tcPr>
            <w:tcW w:w="624" w:type="dxa"/>
            <w:vAlign w:val="top"/>
          </w:tcPr>
          <w:p w14:paraId="596DD1D2">
            <w:pPr>
              <w:rPr>
                <w:rFonts w:ascii="Arial"/>
                <w:sz w:val="21"/>
              </w:rPr>
            </w:pPr>
          </w:p>
        </w:tc>
        <w:tc>
          <w:tcPr>
            <w:tcW w:w="628" w:type="dxa"/>
            <w:vAlign w:val="top"/>
          </w:tcPr>
          <w:p w14:paraId="52FC1933">
            <w:pPr>
              <w:rPr>
                <w:rFonts w:ascii="Arial"/>
                <w:sz w:val="21"/>
              </w:rPr>
            </w:pPr>
          </w:p>
        </w:tc>
        <w:tc>
          <w:tcPr>
            <w:tcW w:w="634" w:type="dxa"/>
            <w:vAlign w:val="top"/>
          </w:tcPr>
          <w:p w14:paraId="3177DC70">
            <w:pPr>
              <w:rPr>
                <w:rFonts w:ascii="Arial"/>
                <w:sz w:val="21"/>
              </w:rPr>
            </w:pPr>
          </w:p>
        </w:tc>
      </w:tr>
      <w:tr w14:paraId="2C3EB1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561" w:type="dxa"/>
            <w:vAlign w:val="top"/>
          </w:tcPr>
          <w:p w14:paraId="75488B6E">
            <w:pPr>
              <w:rPr>
                <w:rFonts w:ascii="Arial"/>
                <w:sz w:val="21"/>
              </w:rPr>
            </w:pPr>
          </w:p>
        </w:tc>
        <w:tc>
          <w:tcPr>
            <w:tcW w:w="2578" w:type="dxa"/>
            <w:vAlign w:val="top"/>
          </w:tcPr>
          <w:p w14:paraId="3B714B02">
            <w:pPr>
              <w:rPr>
                <w:rFonts w:ascii="Arial"/>
                <w:sz w:val="21"/>
              </w:rPr>
            </w:pPr>
          </w:p>
        </w:tc>
        <w:tc>
          <w:tcPr>
            <w:tcW w:w="806" w:type="dxa"/>
            <w:vAlign w:val="top"/>
          </w:tcPr>
          <w:p w14:paraId="41EBE721">
            <w:pPr>
              <w:rPr>
                <w:rFonts w:ascii="Arial"/>
                <w:sz w:val="21"/>
              </w:rPr>
            </w:pPr>
          </w:p>
        </w:tc>
        <w:tc>
          <w:tcPr>
            <w:tcW w:w="562" w:type="dxa"/>
            <w:vAlign w:val="top"/>
          </w:tcPr>
          <w:p w14:paraId="27B96CDE">
            <w:pPr>
              <w:rPr>
                <w:rFonts w:ascii="Arial"/>
                <w:sz w:val="21"/>
              </w:rPr>
            </w:pPr>
          </w:p>
        </w:tc>
        <w:tc>
          <w:tcPr>
            <w:tcW w:w="556" w:type="dxa"/>
            <w:vAlign w:val="top"/>
          </w:tcPr>
          <w:p w14:paraId="4E547D6B">
            <w:pPr>
              <w:rPr>
                <w:rFonts w:ascii="Arial"/>
                <w:sz w:val="21"/>
              </w:rPr>
            </w:pPr>
          </w:p>
        </w:tc>
        <w:tc>
          <w:tcPr>
            <w:tcW w:w="562" w:type="dxa"/>
            <w:vAlign w:val="top"/>
          </w:tcPr>
          <w:p w14:paraId="1E2AF878">
            <w:pPr>
              <w:rPr>
                <w:rFonts w:ascii="Arial"/>
                <w:sz w:val="21"/>
              </w:rPr>
            </w:pPr>
          </w:p>
        </w:tc>
        <w:tc>
          <w:tcPr>
            <w:tcW w:w="676" w:type="dxa"/>
            <w:vAlign w:val="top"/>
          </w:tcPr>
          <w:p w14:paraId="49A66E0E">
            <w:pPr>
              <w:rPr>
                <w:rFonts w:ascii="Arial"/>
                <w:sz w:val="21"/>
              </w:rPr>
            </w:pPr>
          </w:p>
        </w:tc>
        <w:tc>
          <w:tcPr>
            <w:tcW w:w="682" w:type="dxa"/>
            <w:vAlign w:val="top"/>
          </w:tcPr>
          <w:p w14:paraId="0A427684">
            <w:pPr>
              <w:rPr>
                <w:rFonts w:ascii="Arial"/>
                <w:sz w:val="21"/>
              </w:rPr>
            </w:pPr>
          </w:p>
        </w:tc>
        <w:tc>
          <w:tcPr>
            <w:tcW w:w="681" w:type="dxa"/>
            <w:vAlign w:val="top"/>
          </w:tcPr>
          <w:p w14:paraId="097DC611">
            <w:pPr>
              <w:rPr>
                <w:rFonts w:ascii="Arial"/>
                <w:sz w:val="21"/>
              </w:rPr>
            </w:pPr>
          </w:p>
        </w:tc>
        <w:tc>
          <w:tcPr>
            <w:tcW w:w="624" w:type="dxa"/>
            <w:vAlign w:val="top"/>
          </w:tcPr>
          <w:p w14:paraId="28ACD7CF">
            <w:pPr>
              <w:rPr>
                <w:rFonts w:ascii="Arial"/>
                <w:sz w:val="21"/>
              </w:rPr>
            </w:pPr>
          </w:p>
        </w:tc>
        <w:tc>
          <w:tcPr>
            <w:tcW w:w="628" w:type="dxa"/>
            <w:vAlign w:val="top"/>
          </w:tcPr>
          <w:p w14:paraId="1928BC39">
            <w:pPr>
              <w:rPr>
                <w:rFonts w:ascii="Arial"/>
                <w:sz w:val="21"/>
              </w:rPr>
            </w:pPr>
          </w:p>
        </w:tc>
        <w:tc>
          <w:tcPr>
            <w:tcW w:w="634" w:type="dxa"/>
            <w:vAlign w:val="top"/>
          </w:tcPr>
          <w:p w14:paraId="1EC5B181">
            <w:pPr>
              <w:rPr>
                <w:rFonts w:ascii="Arial"/>
                <w:sz w:val="21"/>
              </w:rPr>
            </w:pPr>
          </w:p>
        </w:tc>
      </w:tr>
      <w:tr w14:paraId="0D9FDE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1" w:hRule="atLeast"/>
        </w:trPr>
        <w:tc>
          <w:tcPr>
            <w:tcW w:w="561" w:type="dxa"/>
            <w:vAlign w:val="top"/>
          </w:tcPr>
          <w:p w14:paraId="753CE31D">
            <w:pPr>
              <w:rPr>
                <w:rFonts w:ascii="Arial"/>
                <w:sz w:val="21"/>
              </w:rPr>
            </w:pPr>
          </w:p>
        </w:tc>
        <w:tc>
          <w:tcPr>
            <w:tcW w:w="2578" w:type="dxa"/>
            <w:vAlign w:val="top"/>
          </w:tcPr>
          <w:p w14:paraId="44696984">
            <w:pPr>
              <w:rPr>
                <w:rFonts w:ascii="Arial"/>
                <w:sz w:val="21"/>
              </w:rPr>
            </w:pPr>
          </w:p>
        </w:tc>
        <w:tc>
          <w:tcPr>
            <w:tcW w:w="806" w:type="dxa"/>
            <w:vAlign w:val="top"/>
          </w:tcPr>
          <w:p w14:paraId="0E6FBBE1">
            <w:pPr>
              <w:rPr>
                <w:rFonts w:ascii="Arial"/>
                <w:sz w:val="21"/>
              </w:rPr>
            </w:pPr>
          </w:p>
        </w:tc>
        <w:tc>
          <w:tcPr>
            <w:tcW w:w="562" w:type="dxa"/>
            <w:vAlign w:val="top"/>
          </w:tcPr>
          <w:p w14:paraId="0E702555">
            <w:pPr>
              <w:rPr>
                <w:rFonts w:ascii="Arial"/>
                <w:sz w:val="21"/>
              </w:rPr>
            </w:pPr>
          </w:p>
        </w:tc>
        <w:tc>
          <w:tcPr>
            <w:tcW w:w="556" w:type="dxa"/>
            <w:vAlign w:val="top"/>
          </w:tcPr>
          <w:p w14:paraId="05C0319D">
            <w:pPr>
              <w:rPr>
                <w:rFonts w:ascii="Arial"/>
                <w:sz w:val="21"/>
              </w:rPr>
            </w:pPr>
          </w:p>
        </w:tc>
        <w:tc>
          <w:tcPr>
            <w:tcW w:w="562" w:type="dxa"/>
            <w:vAlign w:val="top"/>
          </w:tcPr>
          <w:p w14:paraId="7B56F74D">
            <w:pPr>
              <w:rPr>
                <w:rFonts w:ascii="Arial"/>
                <w:sz w:val="21"/>
              </w:rPr>
            </w:pPr>
          </w:p>
        </w:tc>
        <w:tc>
          <w:tcPr>
            <w:tcW w:w="676" w:type="dxa"/>
            <w:vAlign w:val="top"/>
          </w:tcPr>
          <w:p w14:paraId="7A3D0B56">
            <w:pPr>
              <w:rPr>
                <w:rFonts w:ascii="Arial"/>
                <w:sz w:val="21"/>
              </w:rPr>
            </w:pPr>
          </w:p>
        </w:tc>
        <w:tc>
          <w:tcPr>
            <w:tcW w:w="682" w:type="dxa"/>
            <w:vAlign w:val="top"/>
          </w:tcPr>
          <w:p w14:paraId="24C04755">
            <w:pPr>
              <w:rPr>
                <w:rFonts w:ascii="Arial"/>
                <w:sz w:val="21"/>
              </w:rPr>
            </w:pPr>
          </w:p>
        </w:tc>
        <w:tc>
          <w:tcPr>
            <w:tcW w:w="681" w:type="dxa"/>
            <w:vAlign w:val="top"/>
          </w:tcPr>
          <w:p w14:paraId="6DD94080">
            <w:pPr>
              <w:rPr>
                <w:rFonts w:ascii="Arial"/>
                <w:sz w:val="21"/>
              </w:rPr>
            </w:pPr>
          </w:p>
        </w:tc>
        <w:tc>
          <w:tcPr>
            <w:tcW w:w="624" w:type="dxa"/>
            <w:vAlign w:val="top"/>
          </w:tcPr>
          <w:p w14:paraId="6B12CA81">
            <w:pPr>
              <w:rPr>
                <w:rFonts w:ascii="Arial"/>
                <w:sz w:val="21"/>
              </w:rPr>
            </w:pPr>
          </w:p>
        </w:tc>
        <w:tc>
          <w:tcPr>
            <w:tcW w:w="628" w:type="dxa"/>
            <w:vAlign w:val="top"/>
          </w:tcPr>
          <w:p w14:paraId="3FE7DAE3">
            <w:pPr>
              <w:rPr>
                <w:rFonts w:ascii="Arial"/>
                <w:sz w:val="21"/>
              </w:rPr>
            </w:pPr>
          </w:p>
        </w:tc>
        <w:tc>
          <w:tcPr>
            <w:tcW w:w="634" w:type="dxa"/>
            <w:vAlign w:val="top"/>
          </w:tcPr>
          <w:p w14:paraId="68D16677">
            <w:pPr>
              <w:rPr>
                <w:rFonts w:ascii="Arial"/>
                <w:sz w:val="21"/>
              </w:rPr>
            </w:pPr>
          </w:p>
        </w:tc>
      </w:tr>
      <w:tr w14:paraId="37E4EC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6" w:hRule="atLeast"/>
        </w:trPr>
        <w:tc>
          <w:tcPr>
            <w:tcW w:w="561" w:type="dxa"/>
            <w:vAlign w:val="top"/>
          </w:tcPr>
          <w:p w14:paraId="37B4E8D0">
            <w:pPr>
              <w:rPr>
                <w:rFonts w:ascii="Arial"/>
                <w:sz w:val="21"/>
              </w:rPr>
            </w:pPr>
          </w:p>
        </w:tc>
        <w:tc>
          <w:tcPr>
            <w:tcW w:w="2578" w:type="dxa"/>
            <w:vAlign w:val="top"/>
          </w:tcPr>
          <w:p w14:paraId="7851FEAF">
            <w:pPr>
              <w:rPr>
                <w:rFonts w:ascii="Arial"/>
                <w:sz w:val="21"/>
              </w:rPr>
            </w:pPr>
          </w:p>
        </w:tc>
        <w:tc>
          <w:tcPr>
            <w:tcW w:w="806" w:type="dxa"/>
            <w:vAlign w:val="top"/>
          </w:tcPr>
          <w:p w14:paraId="4127F202">
            <w:pPr>
              <w:rPr>
                <w:rFonts w:ascii="Arial"/>
                <w:sz w:val="21"/>
              </w:rPr>
            </w:pPr>
          </w:p>
        </w:tc>
        <w:tc>
          <w:tcPr>
            <w:tcW w:w="562" w:type="dxa"/>
            <w:vAlign w:val="top"/>
          </w:tcPr>
          <w:p w14:paraId="6B4541B1">
            <w:pPr>
              <w:rPr>
                <w:rFonts w:ascii="Arial"/>
                <w:sz w:val="21"/>
              </w:rPr>
            </w:pPr>
          </w:p>
        </w:tc>
        <w:tc>
          <w:tcPr>
            <w:tcW w:w="556" w:type="dxa"/>
            <w:vAlign w:val="top"/>
          </w:tcPr>
          <w:p w14:paraId="15B6E7F6">
            <w:pPr>
              <w:rPr>
                <w:rFonts w:ascii="Arial"/>
                <w:sz w:val="21"/>
              </w:rPr>
            </w:pPr>
          </w:p>
        </w:tc>
        <w:tc>
          <w:tcPr>
            <w:tcW w:w="562" w:type="dxa"/>
            <w:vAlign w:val="top"/>
          </w:tcPr>
          <w:p w14:paraId="09881A4B">
            <w:pPr>
              <w:rPr>
                <w:rFonts w:ascii="Arial"/>
                <w:sz w:val="21"/>
              </w:rPr>
            </w:pPr>
          </w:p>
        </w:tc>
        <w:tc>
          <w:tcPr>
            <w:tcW w:w="676" w:type="dxa"/>
            <w:vAlign w:val="top"/>
          </w:tcPr>
          <w:p w14:paraId="2CA1B477">
            <w:pPr>
              <w:rPr>
                <w:rFonts w:ascii="Arial"/>
                <w:sz w:val="21"/>
              </w:rPr>
            </w:pPr>
          </w:p>
        </w:tc>
        <w:tc>
          <w:tcPr>
            <w:tcW w:w="682" w:type="dxa"/>
            <w:vAlign w:val="top"/>
          </w:tcPr>
          <w:p w14:paraId="5D1FCB8F">
            <w:pPr>
              <w:rPr>
                <w:rFonts w:ascii="Arial"/>
                <w:sz w:val="21"/>
              </w:rPr>
            </w:pPr>
          </w:p>
        </w:tc>
        <w:tc>
          <w:tcPr>
            <w:tcW w:w="681" w:type="dxa"/>
            <w:vAlign w:val="top"/>
          </w:tcPr>
          <w:p w14:paraId="3FAADC22">
            <w:pPr>
              <w:rPr>
                <w:rFonts w:ascii="Arial"/>
                <w:sz w:val="21"/>
              </w:rPr>
            </w:pPr>
          </w:p>
        </w:tc>
        <w:tc>
          <w:tcPr>
            <w:tcW w:w="624" w:type="dxa"/>
            <w:vAlign w:val="top"/>
          </w:tcPr>
          <w:p w14:paraId="1BF5B09F">
            <w:pPr>
              <w:rPr>
                <w:rFonts w:ascii="Arial"/>
                <w:sz w:val="21"/>
              </w:rPr>
            </w:pPr>
          </w:p>
        </w:tc>
        <w:tc>
          <w:tcPr>
            <w:tcW w:w="628" w:type="dxa"/>
            <w:vAlign w:val="top"/>
          </w:tcPr>
          <w:p w14:paraId="4215D76D">
            <w:pPr>
              <w:rPr>
                <w:rFonts w:ascii="Arial"/>
                <w:sz w:val="21"/>
              </w:rPr>
            </w:pPr>
          </w:p>
        </w:tc>
        <w:tc>
          <w:tcPr>
            <w:tcW w:w="634" w:type="dxa"/>
            <w:vAlign w:val="top"/>
          </w:tcPr>
          <w:p w14:paraId="74C721C1">
            <w:pPr>
              <w:rPr>
                <w:rFonts w:ascii="Arial"/>
                <w:sz w:val="21"/>
              </w:rPr>
            </w:pPr>
          </w:p>
        </w:tc>
      </w:tr>
      <w:tr w14:paraId="16B3FD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trPr>
        <w:tc>
          <w:tcPr>
            <w:tcW w:w="3945" w:type="dxa"/>
            <w:gridSpan w:val="3"/>
            <w:vAlign w:val="top"/>
          </w:tcPr>
          <w:p w14:paraId="67FC021A">
            <w:pPr>
              <w:rPr>
                <w:rFonts w:ascii="Arial"/>
                <w:sz w:val="21"/>
              </w:rPr>
            </w:pPr>
          </w:p>
        </w:tc>
        <w:tc>
          <w:tcPr>
            <w:tcW w:w="562" w:type="dxa"/>
            <w:vAlign w:val="top"/>
          </w:tcPr>
          <w:p w14:paraId="20BF9BEE">
            <w:pPr>
              <w:rPr>
                <w:rFonts w:ascii="Arial"/>
                <w:sz w:val="21"/>
              </w:rPr>
            </w:pPr>
          </w:p>
        </w:tc>
        <w:tc>
          <w:tcPr>
            <w:tcW w:w="556" w:type="dxa"/>
            <w:vAlign w:val="top"/>
          </w:tcPr>
          <w:p w14:paraId="350471D3">
            <w:pPr>
              <w:rPr>
                <w:rFonts w:ascii="Arial"/>
                <w:sz w:val="21"/>
              </w:rPr>
            </w:pPr>
          </w:p>
        </w:tc>
        <w:tc>
          <w:tcPr>
            <w:tcW w:w="562" w:type="dxa"/>
            <w:vAlign w:val="top"/>
          </w:tcPr>
          <w:p w14:paraId="5D841615">
            <w:pPr>
              <w:rPr>
                <w:rFonts w:ascii="Arial"/>
                <w:sz w:val="21"/>
              </w:rPr>
            </w:pPr>
          </w:p>
        </w:tc>
        <w:tc>
          <w:tcPr>
            <w:tcW w:w="676" w:type="dxa"/>
            <w:vAlign w:val="top"/>
          </w:tcPr>
          <w:p w14:paraId="62D968AD">
            <w:pPr>
              <w:rPr>
                <w:rFonts w:ascii="Arial"/>
                <w:sz w:val="21"/>
              </w:rPr>
            </w:pPr>
          </w:p>
        </w:tc>
        <w:tc>
          <w:tcPr>
            <w:tcW w:w="682" w:type="dxa"/>
            <w:vAlign w:val="top"/>
          </w:tcPr>
          <w:p w14:paraId="29EC2012">
            <w:pPr>
              <w:rPr>
                <w:rFonts w:ascii="Arial"/>
                <w:sz w:val="21"/>
              </w:rPr>
            </w:pPr>
          </w:p>
        </w:tc>
        <w:tc>
          <w:tcPr>
            <w:tcW w:w="681" w:type="dxa"/>
            <w:vAlign w:val="top"/>
          </w:tcPr>
          <w:p w14:paraId="149E4870">
            <w:pPr>
              <w:rPr>
                <w:rFonts w:ascii="Arial"/>
                <w:sz w:val="21"/>
              </w:rPr>
            </w:pPr>
          </w:p>
        </w:tc>
        <w:tc>
          <w:tcPr>
            <w:tcW w:w="624" w:type="dxa"/>
            <w:vAlign w:val="top"/>
          </w:tcPr>
          <w:p w14:paraId="6894FBF8">
            <w:pPr>
              <w:rPr>
                <w:rFonts w:ascii="Arial"/>
                <w:sz w:val="21"/>
              </w:rPr>
            </w:pPr>
          </w:p>
        </w:tc>
        <w:tc>
          <w:tcPr>
            <w:tcW w:w="628" w:type="dxa"/>
            <w:vAlign w:val="top"/>
          </w:tcPr>
          <w:p w14:paraId="15871E18">
            <w:pPr>
              <w:rPr>
                <w:rFonts w:ascii="Arial"/>
                <w:sz w:val="21"/>
              </w:rPr>
            </w:pPr>
          </w:p>
        </w:tc>
        <w:tc>
          <w:tcPr>
            <w:tcW w:w="634" w:type="dxa"/>
            <w:vAlign w:val="top"/>
          </w:tcPr>
          <w:p w14:paraId="35596EEC">
            <w:pPr>
              <w:rPr>
                <w:rFonts w:ascii="Arial"/>
                <w:sz w:val="21"/>
              </w:rPr>
            </w:pPr>
          </w:p>
        </w:tc>
      </w:tr>
    </w:tbl>
    <w:p w14:paraId="54555F1C">
      <w:pPr>
        <w:spacing w:before="149" w:line="221" w:lineRule="auto"/>
        <w:ind w:left="1049" w:right="620" w:hanging="422"/>
        <w:rPr>
          <w:rFonts w:ascii="宋体" w:hAnsi="宋体" w:eastAsia="宋体" w:cs="宋体"/>
          <w:sz w:val="21"/>
          <w:szCs w:val="21"/>
        </w:rPr>
      </w:pPr>
      <w:r>
        <w:rPr>
          <w:rFonts w:ascii="宋体" w:hAnsi="宋体" w:eastAsia="宋体" w:cs="宋体"/>
          <w:spacing w:val="-2"/>
          <w:sz w:val="21"/>
          <w:szCs w:val="21"/>
        </w:rPr>
        <w:t>注：此表由招标人填写“暂估单价”，并在备注栏说明</w:t>
      </w:r>
      <w:r>
        <w:rPr>
          <w:rFonts w:ascii="宋体" w:hAnsi="宋体" w:eastAsia="宋体" w:cs="宋体"/>
          <w:spacing w:val="-3"/>
          <w:sz w:val="21"/>
          <w:szCs w:val="21"/>
        </w:rPr>
        <w:t>暂估价的材料、工程设备拟用在那些</w:t>
      </w:r>
      <w:r>
        <w:rPr>
          <w:rFonts w:ascii="宋体" w:hAnsi="宋体" w:eastAsia="宋体" w:cs="宋体"/>
          <w:sz w:val="21"/>
          <w:szCs w:val="21"/>
        </w:rPr>
        <w:t xml:space="preserve"> </w:t>
      </w:r>
      <w:r>
        <w:rPr>
          <w:rFonts w:ascii="宋体" w:hAnsi="宋体" w:eastAsia="宋体" w:cs="宋体"/>
          <w:spacing w:val="3"/>
          <w:sz w:val="21"/>
          <w:szCs w:val="21"/>
        </w:rPr>
        <w:t xml:space="preserve">清单项目上，投标人应将上述材料、工程设备暂估单价计入工程量清单综合单价报价 </w:t>
      </w:r>
      <w:r>
        <w:rPr>
          <w:rFonts w:ascii="宋体" w:hAnsi="宋体" w:eastAsia="宋体" w:cs="宋体"/>
          <w:spacing w:val="-10"/>
          <w:sz w:val="21"/>
          <w:szCs w:val="21"/>
        </w:rPr>
        <w:t>中。</w:t>
      </w:r>
    </w:p>
    <w:p w14:paraId="257F6E7E">
      <w:pPr>
        <w:spacing w:line="221" w:lineRule="auto"/>
        <w:rPr>
          <w:rFonts w:ascii="宋体" w:hAnsi="宋体" w:eastAsia="宋体" w:cs="宋体"/>
          <w:sz w:val="21"/>
          <w:szCs w:val="21"/>
        </w:rPr>
        <w:sectPr>
          <w:type w:val="continuous"/>
          <w:pgSz w:w="11905" w:h="16839"/>
          <w:pgMar w:top="400" w:right="1171" w:bottom="1004" w:left="1176" w:header="0" w:footer="828" w:gutter="0"/>
          <w:pgNumType w:fmt="decimal"/>
          <w:cols w:equalWidth="0" w:num="1">
            <w:col w:w="9556"/>
          </w:cols>
        </w:sectPr>
      </w:pPr>
    </w:p>
    <w:p w14:paraId="4F290BFF">
      <w:pPr>
        <w:pStyle w:val="3"/>
        <w:spacing w:line="267" w:lineRule="auto"/>
      </w:pPr>
    </w:p>
    <w:p w14:paraId="28D43EDC">
      <w:pPr>
        <w:pStyle w:val="3"/>
        <w:spacing w:line="267" w:lineRule="auto"/>
      </w:pPr>
    </w:p>
    <w:p w14:paraId="5D4D52F9">
      <w:pPr>
        <w:pStyle w:val="3"/>
        <w:spacing w:line="268" w:lineRule="auto"/>
      </w:pPr>
    </w:p>
    <w:p w14:paraId="15763C91">
      <w:pPr>
        <w:pStyle w:val="3"/>
        <w:spacing w:line="268" w:lineRule="auto"/>
      </w:pPr>
    </w:p>
    <w:p w14:paraId="6DEEBEFC">
      <w:pPr>
        <w:spacing w:before="78" w:line="219" w:lineRule="auto"/>
        <w:ind w:left="613"/>
        <w:rPr>
          <w:rFonts w:ascii="黑体" w:hAnsi="黑体" w:eastAsia="黑体" w:cs="黑体"/>
          <w:sz w:val="24"/>
          <w:szCs w:val="24"/>
        </w:rPr>
      </w:pPr>
      <w:r>
        <w:rPr>
          <w:rFonts w:ascii="Times New Roman" w:hAnsi="Times New Roman" w:eastAsia="Times New Roman" w:cs="Times New Roman"/>
          <w:spacing w:val="-1"/>
          <w:sz w:val="24"/>
          <w:szCs w:val="24"/>
        </w:rPr>
        <w:t xml:space="preserve">4.12-3 </w:t>
      </w:r>
      <w:r>
        <w:rPr>
          <w:rFonts w:ascii="黑体" w:hAnsi="黑体" w:eastAsia="黑体" w:cs="黑体"/>
          <w:spacing w:val="-1"/>
          <w:sz w:val="24"/>
          <w:szCs w:val="24"/>
        </w:rPr>
        <w:t>专业工程暂估价及结算价表</w:t>
      </w:r>
    </w:p>
    <w:p w14:paraId="5EA7DD39">
      <w:pPr>
        <w:pStyle w:val="3"/>
        <w:spacing w:line="278" w:lineRule="auto"/>
      </w:pPr>
    </w:p>
    <w:p w14:paraId="1C822607">
      <w:pPr>
        <w:pStyle w:val="3"/>
        <w:spacing w:line="278" w:lineRule="auto"/>
      </w:pPr>
    </w:p>
    <w:p w14:paraId="3DCFDC4B">
      <w:pPr>
        <w:spacing w:before="87" w:line="225" w:lineRule="auto"/>
        <w:ind w:left="3103"/>
        <w:rPr>
          <w:rFonts w:ascii="黑体" w:hAnsi="黑体" w:eastAsia="黑体" w:cs="黑体"/>
          <w:sz w:val="27"/>
          <w:szCs w:val="27"/>
        </w:rPr>
      </w:pPr>
      <w:bookmarkStart w:id="1298" w:name="bookmark256"/>
      <w:bookmarkEnd w:id="1298"/>
      <w:r>
        <w:rPr>
          <w:rFonts w:ascii="黑体" w:hAnsi="黑体" w:eastAsia="黑体" w:cs="黑体"/>
          <w:spacing w:val="8"/>
          <w:sz w:val="27"/>
          <w:szCs w:val="27"/>
        </w:rPr>
        <w:t>专业工程暂估价及结算价表</w:t>
      </w:r>
    </w:p>
    <w:p w14:paraId="1C361992">
      <w:pPr>
        <w:spacing w:line="162" w:lineRule="exact"/>
      </w:pPr>
    </w:p>
    <w:p w14:paraId="795634C3">
      <w:pPr>
        <w:spacing w:line="162" w:lineRule="exact"/>
        <w:sectPr>
          <w:footerReference r:id="rId176" w:type="default"/>
          <w:pgSz w:w="11905" w:h="16839"/>
          <w:pgMar w:top="400" w:right="1176" w:bottom="1004" w:left="1186" w:header="0" w:footer="829" w:gutter="0"/>
          <w:pgNumType w:fmt="decimal"/>
          <w:cols w:equalWidth="0" w:num="1">
            <w:col w:w="9542"/>
          </w:cols>
        </w:sectPr>
      </w:pPr>
    </w:p>
    <w:p w14:paraId="58D43461">
      <w:pPr>
        <w:spacing w:before="41" w:line="186" w:lineRule="auto"/>
        <w:ind w:left="120"/>
        <w:rPr>
          <w:rFonts w:ascii="宋体" w:hAnsi="宋体" w:eastAsia="宋体" w:cs="宋体"/>
          <w:sz w:val="20"/>
          <w:szCs w:val="20"/>
        </w:rPr>
      </w:pPr>
      <w:r>
        <w:rPr>
          <w:rFonts w:ascii="宋体" w:hAnsi="宋体" w:eastAsia="宋体" w:cs="宋体"/>
          <w:spacing w:val="-1"/>
          <w:sz w:val="20"/>
          <w:szCs w:val="20"/>
        </w:rPr>
        <w:t>工程名称：</w:t>
      </w:r>
    </w:p>
    <w:p w14:paraId="046AD4A4">
      <w:pPr>
        <w:pStyle w:val="3"/>
        <w:spacing w:line="14" w:lineRule="auto"/>
        <w:rPr>
          <w:sz w:val="2"/>
        </w:rPr>
      </w:pPr>
      <w:r>
        <w:rPr>
          <w:sz w:val="2"/>
          <w:szCs w:val="2"/>
        </w:rPr>
        <w:br w:type="column"/>
      </w:r>
    </w:p>
    <w:p w14:paraId="087AC99A">
      <w:pPr>
        <w:spacing w:before="39" w:line="186" w:lineRule="auto"/>
        <w:rPr>
          <w:rFonts w:ascii="宋体" w:hAnsi="宋体" w:eastAsia="宋体" w:cs="宋体"/>
          <w:sz w:val="20"/>
          <w:szCs w:val="20"/>
        </w:rPr>
      </w:pPr>
      <w:r>
        <w:rPr>
          <w:rFonts w:ascii="宋体" w:hAnsi="宋体" w:eastAsia="宋体" w:cs="宋体"/>
          <w:spacing w:val="-2"/>
          <w:sz w:val="20"/>
          <w:szCs w:val="20"/>
        </w:rPr>
        <w:t>标段名称：</w:t>
      </w:r>
      <w:r>
        <w:rPr>
          <w:rFonts w:ascii="宋体" w:hAnsi="宋体" w:eastAsia="宋体" w:cs="宋体"/>
          <w:spacing w:val="2"/>
          <w:sz w:val="20"/>
          <w:szCs w:val="20"/>
        </w:rPr>
        <w:t xml:space="preserve">                       </w:t>
      </w:r>
      <w:r>
        <w:rPr>
          <w:rFonts w:ascii="宋体" w:hAnsi="宋体" w:eastAsia="宋体" w:cs="宋体"/>
          <w:spacing w:val="-2"/>
          <w:sz w:val="20"/>
          <w:szCs w:val="20"/>
        </w:rPr>
        <w:t>第</w:t>
      </w:r>
    </w:p>
    <w:p w14:paraId="558FC954">
      <w:pPr>
        <w:pStyle w:val="3"/>
        <w:spacing w:line="14" w:lineRule="auto"/>
        <w:rPr>
          <w:sz w:val="2"/>
        </w:rPr>
      </w:pPr>
      <w:r>
        <w:rPr>
          <w:sz w:val="2"/>
          <w:szCs w:val="2"/>
        </w:rPr>
        <w:br w:type="column"/>
      </w:r>
    </w:p>
    <w:p w14:paraId="2068D0B9">
      <w:pPr>
        <w:spacing w:before="39" w:line="186" w:lineRule="auto"/>
        <w:rPr>
          <w:rFonts w:ascii="宋体" w:hAnsi="宋体" w:eastAsia="宋体" w:cs="宋体"/>
          <w:sz w:val="20"/>
          <w:szCs w:val="20"/>
        </w:rPr>
      </w:pPr>
      <w:r>
        <w:rPr>
          <w:rFonts w:ascii="宋体" w:hAnsi="宋体" w:eastAsia="宋体" w:cs="宋体"/>
          <w:spacing w:val="-4"/>
          <w:sz w:val="20"/>
          <w:szCs w:val="20"/>
        </w:rPr>
        <w:t>页 共</w:t>
      </w:r>
      <w:r>
        <w:rPr>
          <w:rFonts w:ascii="宋体" w:hAnsi="宋体" w:eastAsia="宋体" w:cs="宋体"/>
          <w:spacing w:val="14"/>
          <w:sz w:val="20"/>
          <w:szCs w:val="20"/>
        </w:rPr>
        <w:t xml:space="preserve"> </w:t>
      </w:r>
      <w:r>
        <w:rPr>
          <w:rFonts w:ascii="宋体" w:hAnsi="宋体" w:eastAsia="宋体" w:cs="宋体"/>
          <w:spacing w:val="-4"/>
          <w:sz w:val="20"/>
          <w:szCs w:val="20"/>
        </w:rPr>
        <w:t>页</w:t>
      </w:r>
    </w:p>
    <w:p w14:paraId="5CDD1355">
      <w:pPr>
        <w:spacing w:line="186" w:lineRule="auto"/>
        <w:rPr>
          <w:rFonts w:ascii="宋体" w:hAnsi="宋体" w:eastAsia="宋体" w:cs="宋体"/>
          <w:sz w:val="20"/>
          <w:szCs w:val="20"/>
        </w:rPr>
        <w:sectPr>
          <w:type w:val="continuous"/>
          <w:pgSz w:w="11905" w:h="16839"/>
          <w:pgMar w:top="400" w:right="1176" w:bottom="1004" w:left="1186" w:header="0" w:footer="829" w:gutter="0"/>
          <w:pgNumType w:fmt="decimal"/>
          <w:cols w:equalWidth="0" w:num="3">
            <w:col w:w="4788" w:space="100"/>
            <w:col w:w="3655" w:space="100"/>
            <w:col w:w="900"/>
          </w:cols>
        </w:sectPr>
      </w:pPr>
    </w:p>
    <w:p w14:paraId="237D528B">
      <w:pPr>
        <w:spacing w:line="96" w:lineRule="exact"/>
      </w:pPr>
    </w:p>
    <w:tbl>
      <w:tblPr>
        <w:tblStyle w:val="10"/>
        <w:tblW w:w="953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60"/>
        <w:gridCol w:w="1934"/>
        <w:gridCol w:w="2376"/>
        <w:gridCol w:w="1219"/>
        <w:gridCol w:w="1262"/>
        <w:gridCol w:w="1099"/>
        <w:gridCol w:w="1186"/>
      </w:tblGrid>
      <w:tr w14:paraId="436DF3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7" w:hRule="atLeast"/>
        </w:trPr>
        <w:tc>
          <w:tcPr>
            <w:tcW w:w="460" w:type="dxa"/>
            <w:textDirection w:val="tbRlV"/>
            <w:vAlign w:val="top"/>
          </w:tcPr>
          <w:p w14:paraId="58F4D4AA">
            <w:pPr>
              <w:pStyle w:val="11"/>
              <w:spacing w:before="129" w:line="211" w:lineRule="auto"/>
              <w:ind w:left="105"/>
              <w:rPr>
                <w:sz w:val="20"/>
                <w:szCs w:val="20"/>
              </w:rPr>
            </w:pPr>
            <w:r>
              <w:rPr>
                <w:spacing w:val="30"/>
                <w:sz w:val="20"/>
                <w:szCs w:val="20"/>
              </w:rPr>
              <w:t>序号</w:t>
            </w:r>
          </w:p>
        </w:tc>
        <w:tc>
          <w:tcPr>
            <w:tcW w:w="1934" w:type="dxa"/>
            <w:vAlign w:val="top"/>
          </w:tcPr>
          <w:p w14:paraId="1435AA04">
            <w:pPr>
              <w:pStyle w:val="11"/>
              <w:spacing w:before="234" w:line="222" w:lineRule="auto"/>
              <w:ind w:left="573"/>
              <w:rPr>
                <w:sz w:val="20"/>
                <w:szCs w:val="20"/>
              </w:rPr>
            </w:pPr>
            <w:r>
              <w:rPr>
                <w:spacing w:val="-1"/>
                <w:sz w:val="20"/>
                <w:szCs w:val="20"/>
              </w:rPr>
              <w:t>工程名称</w:t>
            </w:r>
          </w:p>
        </w:tc>
        <w:tc>
          <w:tcPr>
            <w:tcW w:w="2376" w:type="dxa"/>
            <w:vAlign w:val="top"/>
          </w:tcPr>
          <w:p w14:paraId="73DB04CB">
            <w:pPr>
              <w:pStyle w:val="11"/>
              <w:spacing w:before="234" w:line="221" w:lineRule="auto"/>
              <w:ind w:left="795"/>
              <w:rPr>
                <w:sz w:val="20"/>
                <w:szCs w:val="20"/>
              </w:rPr>
            </w:pPr>
            <w:r>
              <w:rPr>
                <w:spacing w:val="-1"/>
                <w:sz w:val="20"/>
                <w:szCs w:val="20"/>
              </w:rPr>
              <w:t>工程内容</w:t>
            </w:r>
          </w:p>
        </w:tc>
        <w:tc>
          <w:tcPr>
            <w:tcW w:w="1219" w:type="dxa"/>
            <w:vAlign w:val="top"/>
          </w:tcPr>
          <w:p w14:paraId="699E4F1D">
            <w:pPr>
              <w:pStyle w:val="11"/>
              <w:spacing w:before="106" w:line="230" w:lineRule="auto"/>
              <w:ind w:left="318" w:right="203" w:hanging="100"/>
              <w:rPr>
                <w:sz w:val="20"/>
                <w:szCs w:val="20"/>
              </w:rPr>
            </w:pPr>
            <w:r>
              <w:rPr>
                <w:spacing w:val="-2"/>
                <w:sz w:val="20"/>
                <w:szCs w:val="20"/>
              </w:rPr>
              <w:t>暂估金额</w:t>
            </w:r>
            <w:r>
              <w:rPr>
                <w:sz w:val="20"/>
                <w:szCs w:val="20"/>
              </w:rPr>
              <w:t xml:space="preserve"> </w:t>
            </w:r>
            <w:r>
              <w:rPr>
                <w:spacing w:val="-4"/>
                <w:sz w:val="20"/>
                <w:szCs w:val="20"/>
              </w:rPr>
              <w:t>（元）</w:t>
            </w:r>
          </w:p>
        </w:tc>
        <w:tc>
          <w:tcPr>
            <w:tcW w:w="1262" w:type="dxa"/>
            <w:vAlign w:val="top"/>
          </w:tcPr>
          <w:p w14:paraId="1E60B7B6">
            <w:pPr>
              <w:pStyle w:val="11"/>
              <w:spacing w:before="106" w:line="230" w:lineRule="auto"/>
              <w:ind w:left="343" w:right="221" w:hanging="102"/>
              <w:rPr>
                <w:sz w:val="20"/>
                <w:szCs w:val="20"/>
              </w:rPr>
            </w:pPr>
            <w:r>
              <w:rPr>
                <w:spacing w:val="-2"/>
                <w:sz w:val="20"/>
                <w:szCs w:val="20"/>
              </w:rPr>
              <w:t>结算金额</w:t>
            </w:r>
            <w:r>
              <w:rPr>
                <w:sz w:val="20"/>
                <w:szCs w:val="20"/>
              </w:rPr>
              <w:t xml:space="preserve"> </w:t>
            </w:r>
            <w:r>
              <w:rPr>
                <w:spacing w:val="-4"/>
                <w:sz w:val="20"/>
                <w:szCs w:val="20"/>
              </w:rPr>
              <w:t>（元）</w:t>
            </w:r>
          </w:p>
        </w:tc>
        <w:tc>
          <w:tcPr>
            <w:tcW w:w="1099" w:type="dxa"/>
            <w:vAlign w:val="top"/>
          </w:tcPr>
          <w:p w14:paraId="54152EE9">
            <w:pPr>
              <w:pStyle w:val="11"/>
              <w:spacing w:before="105" w:line="239" w:lineRule="auto"/>
              <w:ind w:left="254"/>
              <w:rPr>
                <w:sz w:val="20"/>
                <w:szCs w:val="20"/>
              </w:rPr>
            </w:pPr>
            <w:r>
              <w:rPr>
                <w:spacing w:val="-2"/>
                <w:sz w:val="20"/>
                <w:szCs w:val="20"/>
              </w:rPr>
              <w:t>差额±</w:t>
            </w:r>
          </w:p>
          <w:p w14:paraId="2ABBAE73">
            <w:pPr>
              <w:pStyle w:val="11"/>
              <w:spacing w:line="221" w:lineRule="auto"/>
              <w:ind w:left="258"/>
              <w:rPr>
                <w:sz w:val="20"/>
                <w:szCs w:val="20"/>
              </w:rPr>
            </w:pPr>
            <w:r>
              <w:rPr>
                <w:spacing w:val="-4"/>
                <w:sz w:val="20"/>
                <w:szCs w:val="20"/>
              </w:rPr>
              <w:t>（元）</w:t>
            </w:r>
          </w:p>
        </w:tc>
        <w:tc>
          <w:tcPr>
            <w:tcW w:w="1186" w:type="dxa"/>
            <w:vAlign w:val="top"/>
          </w:tcPr>
          <w:p w14:paraId="482DB205">
            <w:pPr>
              <w:pStyle w:val="11"/>
              <w:spacing w:before="235" w:line="222" w:lineRule="auto"/>
              <w:ind w:left="399"/>
              <w:rPr>
                <w:sz w:val="20"/>
                <w:szCs w:val="20"/>
              </w:rPr>
            </w:pPr>
            <w:r>
              <w:rPr>
                <w:spacing w:val="-2"/>
                <w:sz w:val="20"/>
                <w:szCs w:val="20"/>
              </w:rPr>
              <w:t>备注</w:t>
            </w:r>
          </w:p>
        </w:tc>
      </w:tr>
      <w:tr w14:paraId="2E564A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1" w:hRule="atLeast"/>
        </w:trPr>
        <w:tc>
          <w:tcPr>
            <w:tcW w:w="460" w:type="dxa"/>
            <w:vAlign w:val="top"/>
          </w:tcPr>
          <w:p w14:paraId="58E0AB13">
            <w:pPr>
              <w:rPr>
                <w:rFonts w:ascii="Arial"/>
                <w:sz w:val="21"/>
              </w:rPr>
            </w:pPr>
          </w:p>
        </w:tc>
        <w:tc>
          <w:tcPr>
            <w:tcW w:w="1934" w:type="dxa"/>
            <w:vAlign w:val="top"/>
          </w:tcPr>
          <w:p w14:paraId="06ADC8D5">
            <w:pPr>
              <w:rPr>
                <w:rFonts w:ascii="Arial"/>
                <w:sz w:val="21"/>
              </w:rPr>
            </w:pPr>
          </w:p>
        </w:tc>
        <w:tc>
          <w:tcPr>
            <w:tcW w:w="2376" w:type="dxa"/>
            <w:vAlign w:val="top"/>
          </w:tcPr>
          <w:p w14:paraId="5A825E41">
            <w:pPr>
              <w:rPr>
                <w:rFonts w:ascii="Arial"/>
                <w:sz w:val="21"/>
              </w:rPr>
            </w:pPr>
          </w:p>
        </w:tc>
        <w:tc>
          <w:tcPr>
            <w:tcW w:w="1219" w:type="dxa"/>
            <w:vAlign w:val="top"/>
          </w:tcPr>
          <w:p w14:paraId="4FE12308">
            <w:pPr>
              <w:rPr>
                <w:rFonts w:ascii="Arial"/>
                <w:sz w:val="21"/>
              </w:rPr>
            </w:pPr>
          </w:p>
        </w:tc>
        <w:tc>
          <w:tcPr>
            <w:tcW w:w="1262" w:type="dxa"/>
            <w:vAlign w:val="top"/>
          </w:tcPr>
          <w:p w14:paraId="602CC150">
            <w:pPr>
              <w:rPr>
                <w:rFonts w:ascii="Arial"/>
                <w:sz w:val="21"/>
              </w:rPr>
            </w:pPr>
          </w:p>
        </w:tc>
        <w:tc>
          <w:tcPr>
            <w:tcW w:w="1099" w:type="dxa"/>
            <w:vAlign w:val="top"/>
          </w:tcPr>
          <w:p w14:paraId="2FDA662C">
            <w:pPr>
              <w:rPr>
                <w:rFonts w:ascii="Arial"/>
                <w:sz w:val="21"/>
              </w:rPr>
            </w:pPr>
          </w:p>
        </w:tc>
        <w:tc>
          <w:tcPr>
            <w:tcW w:w="1186" w:type="dxa"/>
            <w:vAlign w:val="top"/>
          </w:tcPr>
          <w:p w14:paraId="79483A67">
            <w:pPr>
              <w:rPr>
                <w:rFonts w:ascii="Arial"/>
                <w:sz w:val="21"/>
              </w:rPr>
            </w:pPr>
          </w:p>
        </w:tc>
      </w:tr>
      <w:tr w14:paraId="0EF25E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460" w:type="dxa"/>
            <w:vAlign w:val="top"/>
          </w:tcPr>
          <w:p w14:paraId="7C8BDC2E">
            <w:pPr>
              <w:rPr>
                <w:rFonts w:ascii="Arial"/>
                <w:sz w:val="21"/>
              </w:rPr>
            </w:pPr>
          </w:p>
        </w:tc>
        <w:tc>
          <w:tcPr>
            <w:tcW w:w="1934" w:type="dxa"/>
            <w:vAlign w:val="top"/>
          </w:tcPr>
          <w:p w14:paraId="56909894">
            <w:pPr>
              <w:rPr>
                <w:rFonts w:ascii="Arial"/>
                <w:sz w:val="21"/>
              </w:rPr>
            </w:pPr>
          </w:p>
        </w:tc>
        <w:tc>
          <w:tcPr>
            <w:tcW w:w="2376" w:type="dxa"/>
            <w:vAlign w:val="top"/>
          </w:tcPr>
          <w:p w14:paraId="6E8BF203">
            <w:pPr>
              <w:rPr>
                <w:rFonts w:ascii="Arial"/>
                <w:sz w:val="21"/>
              </w:rPr>
            </w:pPr>
          </w:p>
        </w:tc>
        <w:tc>
          <w:tcPr>
            <w:tcW w:w="1219" w:type="dxa"/>
            <w:vAlign w:val="top"/>
          </w:tcPr>
          <w:p w14:paraId="2BFA13B2">
            <w:pPr>
              <w:rPr>
                <w:rFonts w:ascii="Arial"/>
                <w:sz w:val="21"/>
              </w:rPr>
            </w:pPr>
          </w:p>
        </w:tc>
        <w:tc>
          <w:tcPr>
            <w:tcW w:w="1262" w:type="dxa"/>
            <w:vAlign w:val="top"/>
          </w:tcPr>
          <w:p w14:paraId="1C7A8800">
            <w:pPr>
              <w:rPr>
                <w:rFonts w:ascii="Arial"/>
                <w:sz w:val="21"/>
              </w:rPr>
            </w:pPr>
          </w:p>
        </w:tc>
        <w:tc>
          <w:tcPr>
            <w:tcW w:w="1099" w:type="dxa"/>
            <w:vAlign w:val="top"/>
          </w:tcPr>
          <w:p w14:paraId="08AF2F05">
            <w:pPr>
              <w:rPr>
                <w:rFonts w:ascii="Arial"/>
                <w:sz w:val="21"/>
              </w:rPr>
            </w:pPr>
          </w:p>
        </w:tc>
        <w:tc>
          <w:tcPr>
            <w:tcW w:w="1186" w:type="dxa"/>
            <w:vAlign w:val="top"/>
          </w:tcPr>
          <w:p w14:paraId="09B7AB0B">
            <w:pPr>
              <w:rPr>
                <w:rFonts w:ascii="Arial"/>
                <w:sz w:val="21"/>
              </w:rPr>
            </w:pPr>
          </w:p>
        </w:tc>
      </w:tr>
      <w:tr w14:paraId="2F24EE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6" w:hRule="atLeast"/>
        </w:trPr>
        <w:tc>
          <w:tcPr>
            <w:tcW w:w="460" w:type="dxa"/>
            <w:vAlign w:val="top"/>
          </w:tcPr>
          <w:p w14:paraId="1632F265">
            <w:pPr>
              <w:rPr>
                <w:rFonts w:ascii="Arial"/>
                <w:sz w:val="21"/>
              </w:rPr>
            </w:pPr>
          </w:p>
        </w:tc>
        <w:tc>
          <w:tcPr>
            <w:tcW w:w="1934" w:type="dxa"/>
            <w:vAlign w:val="top"/>
          </w:tcPr>
          <w:p w14:paraId="4911EE2F">
            <w:pPr>
              <w:rPr>
                <w:rFonts w:ascii="Arial"/>
                <w:sz w:val="21"/>
              </w:rPr>
            </w:pPr>
          </w:p>
        </w:tc>
        <w:tc>
          <w:tcPr>
            <w:tcW w:w="2376" w:type="dxa"/>
            <w:vAlign w:val="top"/>
          </w:tcPr>
          <w:p w14:paraId="627EB094">
            <w:pPr>
              <w:rPr>
                <w:rFonts w:ascii="Arial"/>
                <w:sz w:val="21"/>
              </w:rPr>
            </w:pPr>
          </w:p>
        </w:tc>
        <w:tc>
          <w:tcPr>
            <w:tcW w:w="1219" w:type="dxa"/>
            <w:vAlign w:val="top"/>
          </w:tcPr>
          <w:p w14:paraId="5A08CFAA">
            <w:pPr>
              <w:rPr>
                <w:rFonts w:ascii="Arial"/>
                <w:sz w:val="21"/>
              </w:rPr>
            </w:pPr>
          </w:p>
        </w:tc>
        <w:tc>
          <w:tcPr>
            <w:tcW w:w="1262" w:type="dxa"/>
            <w:vAlign w:val="top"/>
          </w:tcPr>
          <w:p w14:paraId="2C77703F">
            <w:pPr>
              <w:rPr>
                <w:rFonts w:ascii="Arial"/>
                <w:sz w:val="21"/>
              </w:rPr>
            </w:pPr>
          </w:p>
        </w:tc>
        <w:tc>
          <w:tcPr>
            <w:tcW w:w="1099" w:type="dxa"/>
            <w:vAlign w:val="top"/>
          </w:tcPr>
          <w:p w14:paraId="71DC2A01">
            <w:pPr>
              <w:rPr>
                <w:rFonts w:ascii="Arial"/>
                <w:sz w:val="21"/>
              </w:rPr>
            </w:pPr>
          </w:p>
        </w:tc>
        <w:tc>
          <w:tcPr>
            <w:tcW w:w="1186" w:type="dxa"/>
            <w:vAlign w:val="top"/>
          </w:tcPr>
          <w:p w14:paraId="4DB4C8E8">
            <w:pPr>
              <w:rPr>
                <w:rFonts w:ascii="Arial"/>
                <w:sz w:val="21"/>
              </w:rPr>
            </w:pPr>
          </w:p>
        </w:tc>
      </w:tr>
      <w:tr w14:paraId="2E204E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460" w:type="dxa"/>
            <w:vAlign w:val="top"/>
          </w:tcPr>
          <w:p w14:paraId="28E4B675">
            <w:pPr>
              <w:rPr>
                <w:rFonts w:ascii="Arial"/>
                <w:sz w:val="21"/>
              </w:rPr>
            </w:pPr>
          </w:p>
        </w:tc>
        <w:tc>
          <w:tcPr>
            <w:tcW w:w="1934" w:type="dxa"/>
            <w:vAlign w:val="top"/>
          </w:tcPr>
          <w:p w14:paraId="6DEFDF50">
            <w:pPr>
              <w:rPr>
                <w:rFonts w:ascii="Arial"/>
                <w:sz w:val="21"/>
              </w:rPr>
            </w:pPr>
          </w:p>
        </w:tc>
        <w:tc>
          <w:tcPr>
            <w:tcW w:w="2376" w:type="dxa"/>
            <w:vAlign w:val="top"/>
          </w:tcPr>
          <w:p w14:paraId="0A0B5821">
            <w:pPr>
              <w:rPr>
                <w:rFonts w:ascii="Arial"/>
                <w:sz w:val="21"/>
              </w:rPr>
            </w:pPr>
          </w:p>
        </w:tc>
        <w:tc>
          <w:tcPr>
            <w:tcW w:w="1219" w:type="dxa"/>
            <w:vAlign w:val="top"/>
          </w:tcPr>
          <w:p w14:paraId="0DA0FE1E">
            <w:pPr>
              <w:rPr>
                <w:rFonts w:ascii="Arial"/>
                <w:sz w:val="21"/>
              </w:rPr>
            </w:pPr>
          </w:p>
        </w:tc>
        <w:tc>
          <w:tcPr>
            <w:tcW w:w="1262" w:type="dxa"/>
            <w:vAlign w:val="top"/>
          </w:tcPr>
          <w:p w14:paraId="767E3292">
            <w:pPr>
              <w:rPr>
                <w:rFonts w:ascii="Arial"/>
                <w:sz w:val="21"/>
              </w:rPr>
            </w:pPr>
          </w:p>
        </w:tc>
        <w:tc>
          <w:tcPr>
            <w:tcW w:w="1099" w:type="dxa"/>
            <w:vAlign w:val="top"/>
          </w:tcPr>
          <w:p w14:paraId="693E3EDB">
            <w:pPr>
              <w:rPr>
                <w:rFonts w:ascii="Arial"/>
                <w:sz w:val="21"/>
              </w:rPr>
            </w:pPr>
          </w:p>
        </w:tc>
        <w:tc>
          <w:tcPr>
            <w:tcW w:w="1186" w:type="dxa"/>
            <w:vAlign w:val="top"/>
          </w:tcPr>
          <w:p w14:paraId="68DD84B8">
            <w:pPr>
              <w:rPr>
                <w:rFonts w:ascii="Arial"/>
                <w:sz w:val="21"/>
              </w:rPr>
            </w:pPr>
          </w:p>
        </w:tc>
      </w:tr>
      <w:tr w14:paraId="07C7A1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1" w:hRule="atLeast"/>
        </w:trPr>
        <w:tc>
          <w:tcPr>
            <w:tcW w:w="460" w:type="dxa"/>
            <w:vAlign w:val="top"/>
          </w:tcPr>
          <w:p w14:paraId="248C7879">
            <w:pPr>
              <w:rPr>
                <w:rFonts w:ascii="Arial"/>
                <w:sz w:val="21"/>
              </w:rPr>
            </w:pPr>
          </w:p>
        </w:tc>
        <w:tc>
          <w:tcPr>
            <w:tcW w:w="1934" w:type="dxa"/>
            <w:vAlign w:val="top"/>
          </w:tcPr>
          <w:p w14:paraId="47904812">
            <w:pPr>
              <w:rPr>
                <w:rFonts w:ascii="Arial"/>
                <w:sz w:val="21"/>
              </w:rPr>
            </w:pPr>
          </w:p>
        </w:tc>
        <w:tc>
          <w:tcPr>
            <w:tcW w:w="2376" w:type="dxa"/>
            <w:vAlign w:val="top"/>
          </w:tcPr>
          <w:p w14:paraId="4A11850B">
            <w:pPr>
              <w:rPr>
                <w:rFonts w:ascii="Arial"/>
                <w:sz w:val="21"/>
              </w:rPr>
            </w:pPr>
          </w:p>
        </w:tc>
        <w:tc>
          <w:tcPr>
            <w:tcW w:w="1219" w:type="dxa"/>
            <w:vAlign w:val="top"/>
          </w:tcPr>
          <w:p w14:paraId="633C8057">
            <w:pPr>
              <w:rPr>
                <w:rFonts w:ascii="Arial"/>
                <w:sz w:val="21"/>
              </w:rPr>
            </w:pPr>
          </w:p>
        </w:tc>
        <w:tc>
          <w:tcPr>
            <w:tcW w:w="1262" w:type="dxa"/>
            <w:vAlign w:val="top"/>
          </w:tcPr>
          <w:p w14:paraId="63557A1C">
            <w:pPr>
              <w:rPr>
                <w:rFonts w:ascii="Arial"/>
                <w:sz w:val="21"/>
              </w:rPr>
            </w:pPr>
          </w:p>
        </w:tc>
        <w:tc>
          <w:tcPr>
            <w:tcW w:w="1099" w:type="dxa"/>
            <w:vAlign w:val="top"/>
          </w:tcPr>
          <w:p w14:paraId="71EEE251">
            <w:pPr>
              <w:rPr>
                <w:rFonts w:ascii="Arial"/>
                <w:sz w:val="21"/>
              </w:rPr>
            </w:pPr>
          </w:p>
        </w:tc>
        <w:tc>
          <w:tcPr>
            <w:tcW w:w="1186" w:type="dxa"/>
            <w:vAlign w:val="top"/>
          </w:tcPr>
          <w:p w14:paraId="79F00938">
            <w:pPr>
              <w:rPr>
                <w:rFonts w:ascii="Arial"/>
                <w:sz w:val="21"/>
              </w:rPr>
            </w:pPr>
          </w:p>
        </w:tc>
      </w:tr>
      <w:tr w14:paraId="6BD00A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6" w:hRule="atLeast"/>
        </w:trPr>
        <w:tc>
          <w:tcPr>
            <w:tcW w:w="460" w:type="dxa"/>
            <w:vAlign w:val="top"/>
          </w:tcPr>
          <w:p w14:paraId="6C207AB3">
            <w:pPr>
              <w:rPr>
                <w:rFonts w:ascii="Arial"/>
                <w:sz w:val="21"/>
              </w:rPr>
            </w:pPr>
          </w:p>
        </w:tc>
        <w:tc>
          <w:tcPr>
            <w:tcW w:w="1934" w:type="dxa"/>
            <w:vAlign w:val="top"/>
          </w:tcPr>
          <w:p w14:paraId="3A9B9858">
            <w:pPr>
              <w:rPr>
                <w:rFonts w:ascii="Arial"/>
                <w:sz w:val="21"/>
              </w:rPr>
            </w:pPr>
          </w:p>
        </w:tc>
        <w:tc>
          <w:tcPr>
            <w:tcW w:w="2376" w:type="dxa"/>
            <w:vAlign w:val="top"/>
          </w:tcPr>
          <w:p w14:paraId="3D92333C">
            <w:pPr>
              <w:rPr>
                <w:rFonts w:ascii="Arial"/>
                <w:sz w:val="21"/>
              </w:rPr>
            </w:pPr>
          </w:p>
        </w:tc>
        <w:tc>
          <w:tcPr>
            <w:tcW w:w="1219" w:type="dxa"/>
            <w:vAlign w:val="top"/>
          </w:tcPr>
          <w:p w14:paraId="00A37F16">
            <w:pPr>
              <w:rPr>
                <w:rFonts w:ascii="Arial"/>
                <w:sz w:val="21"/>
              </w:rPr>
            </w:pPr>
          </w:p>
        </w:tc>
        <w:tc>
          <w:tcPr>
            <w:tcW w:w="1262" w:type="dxa"/>
            <w:vAlign w:val="top"/>
          </w:tcPr>
          <w:p w14:paraId="27BB4D31">
            <w:pPr>
              <w:rPr>
                <w:rFonts w:ascii="Arial"/>
                <w:sz w:val="21"/>
              </w:rPr>
            </w:pPr>
          </w:p>
        </w:tc>
        <w:tc>
          <w:tcPr>
            <w:tcW w:w="1099" w:type="dxa"/>
            <w:vAlign w:val="top"/>
          </w:tcPr>
          <w:p w14:paraId="7C98FFF3">
            <w:pPr>
              <w:rPr>
                <w:rFonts w:ascii="Arial"/>
                <w:sz w:val="21"/>
              </w:rPr>
            </w:pPr>
          </w:p>
        </w:tc>
        <w:tc>
          <w:tcPr>
            <w:tcW w:w="1186" w:type="dxa"/>
            <w:vAlign w:val="top"/>
          </w:tcPr>
          <w:p w14:paraId="0958BBF0">
            <w:pPr>
              <w:rPr>
                <w:rFonts w:ascii="Arial"/>
                <w:sz w:val="21"/>
              </w:rPr>
            </w:pPr>
          </w:p>
        </w:tc>
      </w:tr>
      <w:tr w14:paraId="33A327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60" w:hRule="atLeast"/>
        </w:trPr>
        <w:tc>
          <w:tcPr>
            <w:tcW w:w="460" w:type="dxa"/>
            <w:vAlign w:val="top"/>
          </w:tcPr>
          <w:p w14:paraId="73647F56">
            <w:pPr>
              <w:rPr>
                <w:rFonts w:ascii="Arial"/>
                <w:sz w:val="21"/>
              </w:rPr>
            </w:pPr>
          </w:p>
        </w:tc>
        <w:tc>
          <w:tcPr>
            <w:tcW w:w="1934" w:type="dxa"/>
            <w:vAlign w:val="top"/>
          </w:tcPr>
          <w:p w14:paraId="22C95A02">
            <w:pPr>
              <w:rPr>
                <w:rFonts w:ascii="Arial"/>
                <w:sz w:val="21"/>
              </w:rPr>
            </w:pPr>
          </w:p>
        </w:tc>
        <w:tc>
          <w:tcPr>
            <w:tcW w:w="2376" w:type="dxa"/>
            <w:vAlign w:val="top"/>
          </w:tcPr>
          <w:p w14:paraId="26D8F913">
            <w:pPr>
              <w:rPr>
                <w:rFonts w:ascii="Arial"/>
                <w:sz w:val="21"/>
              </w:rPr>
            </w:pPr>
          </w:p>
        </w:tc>
        <w:tc>
          <w:tcPr>
            <w:tcW w:w="1219" w:type="dxa"/>
            <w:vAlign w:val="top"/>
          </w:tcPr>
          <w:p w14:paraId="2ECD1521">
            <w:pPr>
              <w:rPr>
                <w:rFonts w:ascii="Arial"/>
                <w:sz w:val="21"/>
              </w:rPr>
            </w:pPr>
          </w:p>
        </w:tc>
        <w:tc>
          <w:tcPr>
            <w:tcW w:w="1262" w:type="dxa"/>
            <w:vAlign w:val="top"/>
          </w:tcPr>
          <w:p w14:paraId="5981A137">
            <w:pPr>
              <w:rPr>
                <w:rFonts w:ascii="Arial"/>
                <w:sz w:val="21"/>
              </w:rPr>
            </w:pPr>
          </w:p>
        </w:tc>
        <w:tc>
          <w:tcPr>
            <w:tcW w:w="1099" w:type="dxa"/>
            <w:vAlign w:val="top"/>
          </w:tcPr>
          <w:p w14:paraId="7F3084B6">
            <w:pPr>
              <w:rPr>
                <w:rFonts w:ascii="Arial"/>
                <w:sz w:val="21"/>
              </w:rPr>
            </w:pPr>
          </w:p>
        </w:tc>
        <w:tc>
          <w:tcPr>
            <w:tcW w:w="1186" w:type="dxa"/>
            <w:vAlign w:val="top"/>
          </w:tcPr>
          <w:p w14:paraId="49DE1EE3">
            <w:pPr>
              <w:rPr>
                <w:rFonts w:ascii="Arial"/>
                <w:sz w:val="21"/>
              </w:rPr>
            </w:pPr>
          </w:p>
        </w:tc>
      </w:tr>
      <w:tr w14:paraId="2F694C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460" w:type="dxa"/>
            <w:vAlign w:val="top"/>
          </w:tcPr>
          <w:p w14:paraId="272CB567">
            <w:pPr>
              <w:rPr>
                <w:rFonts w:ascii="Arial"/>
                <w:sz w:val="21"/>
              </w:rPr>
            </w:pPr>
          </w:p>
        </w:tc>
        <w:tc>
          <w:tcPr>
            <w:tcW w:w="1934" w:type="dxa"/>
            <w:vAlign w:val="top"/>
          </w:tcPr>
          <w:p w14:paraId="0EDECC01">
            <w:pPr>
              <w:rPr>
                <w:rFonts w:ascii="Arial"/>
                <w:sz w:val="21"/>
              </w:rPr>
            </w:pPr>
          </w:p>
        </w:tc>
        <w:tc>
          <w:tcPr>
            <w:tcW w:w="2376" w:type="dxa"/>
            <w:vAlign w:val="top"/>
          </w:tcPr>
          <w:p w14:paraId="132E99D6">
            <w:pPr>
              <w:rPr>
                <w:rFonts w:ascii="Arial"/>
                <w:sz w:val="21"/>
              </w:rPr>
            </w:pPr>
          </w:p>
        </w:tc>
        <w:tc>
          <w:tcPr>
            <w:tcW w:w="1219" w:type="dxa"/>
            <w:vAlign w:val="top"/>
          </w:tcPr>
          <w:p w14:paraId="01849141">
            <w:pPr>
              <w:rPr>
                <w:rFonts w:ascii="Arial"/>
                <w:sz w:val="21"/>
              </w:rPr>
            </w:pPr>
          </w:p>
        </w:tc>
        <w:tc>
          <w:tcPr>
            <w:tcW w:w="1262" w:type="dxa"/>
            <w:vAlign w:val="top"/>
          </w:tcPr>
          <w:p w14:paraId="0D1D2671">
            <w:pPr>
              <w:rPr>
                <w:rFonts w:ascii="Arial"/>
                <w:sz w:val="21"/>
              </w:rPr>
            </w:pPr>
          </w:p>
        </w:tc>
        <w:tc>
          <w:tcPr>
            <w:tcW w:w="1099" w:type="dxa"/>
            <w:vAlign w:val="top"/>
          </w:tcPr>
          <w:p w14:paraId="643ECABA">
            <w:pPr>
              <w:rPr>
                <w:rFonts w:ascii="Arial"/>
                <w:sz w:val="21"/>
              </w:rPr>
            </w:pPr>
          </w:p>
        </w:tc>
        <w:tc>
          <w:tcPr>
            <w:tcW w:w="1186" w:type="dxa"/>
            <w:vAlign w:val="top"/>
          </w:tcPr>
          <w:p w14:paraId="7F144171">
            <w:pPr>
              <w:rPr>
                <w:rFonts w:ascii="Arial"/>
                <w:sz w:val="21"/>
              </w:rPr>
            </w:pPr>
          </w:p>
        </w:tc>
      </w:tr>
      <w:tr w14:paraId="2FBB03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6" w:hRule="atLeast"/>
        </w:trPr>
        <w:tc>
          <w:tcPr>
            <w:tcW w:w="460" w:type="dxa"/>
            <w:vAlign w:val="top"/>
          </w:tcPr>
          <w:p w14:paraId="29B91432">
            <w:pPr>
              <w:rPr>
                <w:rFonts w:ascii="Arial"/>
                <w:sz w:val="21"/>
              </w:rPr>
            </w:pPr>
          </w:p>
        </w:tc>
        <w:tc>
          <w:tcPr>
            <w:tcW w:w="1934" w:type="dxa"/>
            <w:vAlign w:val="top"/>
          </w:tcPr>
          <w:p w14:paraId="69021DBC">
            <w:pPr>
              <w:rPr>
                <w:rFonts w:ascii="Arial"/>
                <w:sz w:val="21"/>
              </w:rPr>
            </w:pPr>
          </w:p>
        </w:tc>
        <w:tc>
          <w:tcPr>
            <w:tcW w:w="2376" w:type="dxa"/>
            <w:vAlign w:val="top"/>
          </w:tcPr>
          <w:p w14:paraId="423C4726">
            <w:pPr>
              <w:rPr>
                <w:rFonts w:ascii="Arial"/>
                <w:sz w:val="21"/>
              </w:rPr>
            </w:pPr>
          </w:p>
        </w:tc>
        <w:tc>
          <w:tcPr>
            <w:tcW w:w="1219" w:type="dxa"/>
            <w:vAlign w:val="top"/>
          </w:tcPr>
          <w:p w14:paraId="4A8FB1EC">
            <w:pPr>
              <w:rPr>
                <w:rFonts w:ascii="Arial"/>
                <w:sz w:val="21"/>
              </w:rPr>
            </w:pPr>
          </w:p>
        </w:tc>
        <w:tc>
          <w:tcPr>
            <w:tcW w:w="1262" w:type="dxa"/>
            <w:vAlign w:val="top"/>
          </w:tcPr>
          <w:p w14:paraId="7C68FAF9">
            <w:pPr>
              <w:rPr>
                <w:rFonts w:ascii="Arial"/>
                <w:sz w:val="21"/>
              </w:rPr>
            </w:pPr>
          </w:p>
        </w:tc>
        <w:tc>
          <w:tcPr>
            <w:tcW w:w="1099" w:type="dxa"/>
            <w:vAlign w:val="top"/>
          </w:tcPr>
          <w:p w14:paraId="718FC2A9">
            <w:pPr>
              <w:rPr>
                <w:rFonts w:ascii="Arial"/>
                <w:sz w:val="21"/>
              </w:rPr>
            </w:pPr>
          </w:p>
        </w:tc>
        <w:tc>
          <w:tcPr>
            <w:tcW w:w="1186" w:type="dxa"/>
            <w:vAlign w:val="top"/>
          </w:tcPr>
          <w:p w14:paraId="5AB136AF">
            <w:pPr>
              <w:rPr>
                <w:rFonts w:ascii="Arial"/>
                <w:sz w:val="21"/>
              </w:rPr>
            </w:pPr>
          </w:p>
        </w:tc>
      </w:tr>
      <w:tr w14:paraId="508D57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460" w:type="dxa"/>
            <w:vAlign w:val="top"/>
          </w:tcPr>
          <w:p w14:paraId="30E5CBBE">
            <w:pPr>
              <w:rPr>
                <w:rFonts w:ascii="Arial"/>
                <w:sz w:val="21"/>
              </w:rPr>
            </w:pPr>
          </w:p>
        </w:tc>
        <w:tc>
          <w:tcPr>
            <w:tcW w:w="1934" w:type="dxa"/>
            <w:vAlign w:val="top"/>
          </w:tcPr>
          <w:p w14:paraId="67BD6330">
            <w:pPr>
              <w:rPr>
                <w:rFonts w:ascii="Arial"/>
                <w:sz w:val="21"/>
              </w:rPr>
            </w:pPr>
          </w:p>
        </w:tc>
        <w:tc>
          <w:tcPr>
            <w:tcW w:w="2376" w:type="dxa"/>
            <w:vAlign w:val="top"/>
          </w:tcPr>
          <w:p w14:paraId="6DD593A3">
            <w:pPr>
              <w:rPr>
                <w:rFonts w:ascii="Arial"/>
                <w:sz w:val="21"/>
              </w:rPr>
            </w:pPr>
          </w:p>
        </w:tc>
        <w:tc>
          <w:tcPr>
            <w:tcW w:w="1219" w:type="dxa"/>
            <w:vAlign w:val="top"/>
          </w:tcPr>
          <w:p w14:paraId="1F5C809E">
            <w:pPr>
              <w:rPr>
                <w:rFonts w:ascii="Arial"/>
                <w:sz w:val="21"/>
              </w:rPr>
            </w:pPr>
          </w:p>
        </w:tc>
        <w:tc>
          <w:tcPr>
            <w:tcW w:w="1262" w:type="dxa"/>
            <w:vAlign w:val="top"/>
          </w:tcPr>
          <w:p w14:paraId="1CF64039">
            <w:pPr>
              <w:rPr>
                <w:rFonts w:ascii="Arial"/>
                <w:sz w:val="21"/>
              </w:rPr>
            </w:pPr>
          </w:p>
        </w:tc>
        <w:tc>
          <w:tcPr>
            <w:tcW w:w="1099" w:type="dxa"/>
            <w:vAlign w:val="top"/>
          </w:tcPr>
          <w:p w14:paraId="51820609">
            <w:pPr>
              <w:rPr>
                <w:rFonts w:ascii="Arial"/>
                <w:sz w:val="21"/>
              </w:rPr>
            </w:pPr>
          </w:p>
        </w:tc>
        <w:tc>
          <w:tcPr>
            <w:tcW w:w="1186" w:type="dxa"/>
            <w:vAlign w:val="top"/>
          </w:tcPr>
          <w:p w14:paraId="214C321D">
            <w:pPr>
              <w:rPr>
                <w:rFonts w:ascii="Arial"/>
                <w:sz w:val="21"/>
              </w:rPr>
            </w:pPr>
          </w:p>
        </w:tc>
      </w:tr>
      <w:tr w14:paraId="07DD22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460" w:type="dxa"/>
            <w:vAlign w:val="top"/>
          </w:tcPr>
          <w:p w14:paraId="3CFE82E9">
            <w:pPr>
              <w:rPr>
                <w:rFonts w:ascii="Arial"/>
                <w:sz w:val="21"/>
              </w:rPr>
            </w:pPr>
          </w:p>
        </w:tc>
        <w:tc>
          <w:tcPr>
            <w:tcW w:w="1934" w:type="dxa"/>
            <w:vAlign w:val="top"/>
          </w:tcPr>
          <w:p w14:paraId="6907CE43">
            <w:pPr>
              <w:rPr>
                <w:rFonts w:ascii="Arial"/>
                <w:sz w:val="21"/>
              </w:rPr>
            </w:pPr>
          </w:p>
        </w:tc>
        <w:tc>
          <w:tcPr>
            <w:tcW w:w="2376" w:type="dxa"/>
            <w:vAlign w:val="top"/>
          </w:tcPr>
          <w:p w14:paraId="02EF2D14">
            <w:pPr>
              <w:rPr>
                <w:rFonts w:ascii="Arial"/>
                <w:sz w:val="21"/>
              </w:rPr>
            </w:pPr>
          </w:p>
        </w:tc>
        <w:tc>
          <w:tcPr>
            <w:tcW w:w="1219" w:type="dxa"/>
            <w:vAlign w:val="top"/>
          </w:tcPr>
          <w:p w14:paraId="6B200A9C">
            <w:pPr>
              <w:rPr>
                <w:rFonts w:ascii="Arial"/>
                <w:sz w:val="21"/>
              </w:rPr>
            </w:pPr>
          </w:p>
        </w:tc>
        <w:tc>
          <w:tcPr>
            <w:tcW w:w="1262" w:type="dxa"/>
            <w:vAlign w:val="top"/>
          </w:tcPr>
          <w:p w14:paraId="66D33E2A">
            <w:pPr>
              <w:rPr>
                <w:rFonts w:ascii="Arial"/>
                <w:sz w:val="21"/>
              </w:rPr>
            </w:pPr>
          </w:p>
        </w:tc>
        <w:tc>
          <w:tcPr>
            <w:tcW w:w="1099" w:type="dxa"/>
            <w:vAlign w:val="top"/>
          </w:tcPr>
          <w:p w14:paraId="5278ED3C">
            <w:pPr>
              <w:rPr>
                <w:rFonts w:ascii="Arial"/>
                <w:sz w:val="21"/>
              </w:rPr>
            </w:pPr>
          </w:p>
        </w:tc>
        <w:tc>
          <w:tcPr>
            <w:tcW w:w="1186" w:type="dxa"/>
            <w:vAlign w:val="top"/>
          </w:tcPr>
          <w:p w14:paraId="083FF180">
            <w:pPr>
              <w:rPr>
                <w:rFonts w:ascii="Arial"/>
                <w:sz w:val="21"/>
              </w:rPr>
            </w:pPr>
          </w:p>
        </w:tc>
      </w:tr>
      <w:tr w14:paraId="780052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6" w:hRule="atLeast"/>
        </w:trPr>
        <w:tc>
          <w:tcPr>
            <w:tcW w:w="460" w:type="dxa"/>
            <w:vAlign w:val="top"/>
          </w:tcPr>
          <w:p w14:paraId="22A85609">
            <w:pPr>
              <w:rPr>
                <w:rFonts w:ascii="Arial"/>
                <w:sz w:val="21"/>
              </w:rPr>
            </w:pPr>
          </w:p>
        </w:tc>
        <w:tc>
          <w:tcPr>
            <w:tcW w:w="1934" w:type="dxa"/>
            <w:vAlign w:val="top"/>
          </w:tcPr>
          <w:p w14:paraId="2B729CC3">
            <w:pPr>
              <w:rPr>
                <w:rFonts w:ascii="Arial"/>
                <w:sz w:val="21"/>
              </w:rPr>
            </w:pPr>
          </w:p>
        </w:tc>
        <w:tc>
          <w:tcPr>
            <w:tcW w:w="2376" w:type="dxa"/>
            <w:vAlign w:val="top"/>
          </w:tcPr>
          <w:p w14:paraId="66DC6DC2">
            <w:pPr>
              <w:rPr>
                <w:rFonts w:ascii="Arial"/>
                <w:sz w:val="21"/>
              </w:rPr>
            </w:pPr>
          </w:p>
        </w:tc>
        <w:tc>
          <w:tcPr>
            <w:tcW w:w="1219" w:type="dxa"/>
            <w:vAlign w:val="top"/>
          </w:tcPr>
          <w:p w14:paraId="6E18EE19">
            <w:pPr>
              <w:rPr>
                <w:rFonts w:ascii="Arial"/>
                <w:sz w:val="21"/>
              </w:rPr>
            </w:pPr>
          </w:p>
        </w:tc>
        <w:tc>
          <w:tcPr>
            <w:tcW w:w="1262" w:type="dxa"/>
            <w:vAlign w:val="top"/>
          </w:tcPr>
          <w:p w14:paraId="4296EA72">
            <w:pPr>
              <w:rPr>
                <w:rFonts w:ascii="Arial"/>
                <w:sz w:val="21"/>
              </w:rPr>
            </w:pPr>
          </w:p>
        </w:tc>
        <w:tc>
          <w:tcPr>
            <w:tcW w:w="1099" w:type="dxa"/>
            <w:vAlign w:val="top"/>
          </w:tcPr>
          <w:p w14:paraId="35EDB46B">
            <w:pPr>
              <w:rPr>
                <w:rFonts w:ascii="Arial"/>
                <w:sz w:val="21"/>
              </w:rPr>
            </w:pPr>
          </w:p>
        </w:tc>
        <w:tc>
          <w:tcPr>
            <w:tcW w:w="1186" w:type="dxa"/>
            <w:vAlign w:val="top"/>
          </w:tcPr>
          <w:p w14:paraId="65EA1EC4">
            <w:pPr>
              <w:rPr>
                <w:rFonts w:ascii="Arial"/>
                <w:sz w:val="21"/>
              </w:rPr>
            </w:pPr>
          </w:p>
        </w:tc>
      </w:tr>
      <w:tr w14:paraId="5119B6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1" w:hRule="atLeast"/>
        </w:trPr>
        <w:tc>
          <w:tcPr>
            <w:tcW w:w="460" w:type="dxa"/>
            <w:vAlign w:val="top"/>
          </w:tcPr>
          <w:p w14:paraId="46E54C2E">
            <w:pPr>
              <w:rPr>
                <w:rFonts w:ascii="Arial"/>
                <w:sz w:val="21"/>
              </w:rPr>
            </w:pPr>
          </w:p>
        </w:tc>
        <w:tc>
          <w:tcPr>
            <w:tcW w:w="1934" w:type="dxa"/>
            <w:vAlign w:val="top"/>
          </w:tcPr>
          <w:p w14:paraId="40D66488">
            <w:pPr>
              <w:rPr>
                <w:rFonts w:ascii="Arial"/>
                <w:sz w:val="21"/>
              </w:rPr>
            </w:pPr>
          </w:p>
        </w:tc>
        <w:tc>
          <w:tcPr>
            <w:tcW w:w="2376" w:type="dxa"/>
            <w:vAlign w:val="top"/>
          </w:tcPr>
          <w:p w14:paraId="083E13B5">
            <w:pPr>
              <w:rPr>
                <w:rFonts w:ascii="Arial"/>
                <w:sz w:val="21"/>
              </w:rPr>
            </w:pPr>
          </w:p>
        </w:tc>
        <w:tc>
          <w:tcPr>
            <w:tcW w:w="1219" w:type="dxa"/>
            <w:vAlign w:val="top"/>
          </w:tcPr>
          <w:p w14:paraId="72A661C3">
            <w:pPr>
              <w:rPr>
                <w:rFonts w:ascii="Arial"/>
                <w:sz w:val="21"/>
              </w:rPr>
            </w:pPr>
          </w:p>
        </w:tc>
        <w:tc>
          <w:tcPr>
            <w:tcW w:w="1262" w:type="dxa"/>
            <w:vAlign w:val="top"/>
          </w:tcPr>
          <w:p w14:paraId="32DC3692">
            <w:pPr>
              <w:rPr>
                <w:rFonts w:ascii="Arial"/>
                <w:sz w:val="21"/>
              </w:rPr>
            </w:pPr>
          </w:p>
        </w:tc>
        <w:tc>
          <w:tcPr>
            <w:tcW w:w="1099" w:type="dxa"/>
            <w:vAlign w:val="top"/>
          </w:tcPr>
          <w:p w14:paraId="3D1B93F2">
            <w:pPr>
              <w:rPr>
                <w:rFonts w:ascii="Arial"/>
                <w:sz w:val="21"/>
              </w:rPr>
            </w:pPr>
          </w:p>
        </w:tc>
        <w:tc>
          <w:tcPr>
            <w:tcW w:w="1186" w:type="dxa"/>
            <w:vAlign w:val="top"/>
          </w:tcPr>
          <w:p w14:paraId="7C6D9598">
            <w:pPr>
              <w:rPr>
                <w:rFonts w:ascii="Arial"/>
                <w:sz w:val="21"/>
              </w:rPr>
            </w:pPr>
          </w:p>
        </w:tc>
      </w:tr>
      <w:tr w14:paraId="0F2662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460" w:type="dxa"/>
            <w:vAlign w:val="top"/>
          </w:tcPr>
          <w:p w14:paraId="650F0949">
            <w:pPr>
              <w:rPr>
                <w:rFonts w:ascii="Arial"/>
                <w:sz w:val="21"/>
              </w:rPr>
            </w:pPr>
          </w:p>
        </w:tc>
        <w:tc>
          <w:tcPr>
            <w:tcW w:w="1934" w:type="dxa"/>
            <w:vAlign w:val="top"/>
          </w:tcPr>
          <w:p w14:paraId="798A0EC0">
            <w:pPr>
              <w:rPr>
                <w:rFonts w:ascii="Arial"/>
                <w:sz w:val="21"/>
              </w:rPr>
            </w:pPr>
          </w:p>
        </w:tc>
        <w:tc>
          <w:tcPr>
            <w:tcW w:w="2376" w:type="dxa"/>
            <w:vAlign w:val="top"/>
          </w:tcPr>
          <w:p w14:paraId="16CDF4E2">
            <w:pPr>
              <w:rPr>
                <w:rFonts w:ascii="Arial"/>
                <w:sz w:val="21"/>
              </w:rPr>
            </w:pPr>
          </w:p>
        </w:tc>
        <w:tc>
          <w:tcPr>
            <w:tcW w:w="1219" w:type="dxa"/>
            <w:vAlign w:val="top"/>
          </w:tcPr>
          <w:p w14:paraId="3B7561F4">
            <w:pPr>
              <w:rPr>
                <w:rFonts w:ascii="Arial"/>
                <w:sz w:val="21"/>
              </w:rPr>
            </w:pPr>
          </w:p>
        </w:tc>
        <w:tc>
          <w:tcPr>
            <w:tcW w:w="1262" w:type="dxa"/>
            <w:vAlign w:val="top"/>
          </w:tcPr>
          <w:p w14:paraId="4BD785B0">
            <w:pPr>
              <w:rPr>
                <w:rFonts w:ascii="Arial"/>
                <w:sz w:val="21"/>
              </w:rPr>
            </w:pPr>
          </w:p>
        </w:tc>
        <w:tc>
          <w:tcPr>
            <w:tcW w:w="1099" w:type="dxa"/>
            <w:vAlign w:val="top"/>
          </w:tcPr>
          <w:p w14:paraId="58084268">
            <w:pPr>
              <w:rPr>
                <w:rFonts w:ascii="Arial"/>
                <w:sz w:val="21"/>
              </w:rPr>
            </w:pPr>
          </w:p>
        </w:tc>
        <w:tc>
          <w:tcPr>
            <w:tcW w:w="1186" w:type="dxa"/>
            <w:vAlign w:val="top"/>
          </w:tcPr>
          <w:p w14:paraId="5666613C">
            <w:pPr>
              <w:rPr>
                <w:rFonts w:ascii="Arial"/>
                <w:sz w:val="21"/>
              </w:rPr>
            </w:pPr>
          </w:p>
        </w:tc>
      </w:tr>
      <w:tr w14:paraId="35BD4A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56" w:hRule="atLeast"/>
        </w:trPr>
        <w:tc>
          <w:tcPr>
            <w:tcW w:w="460" w:type="dxa"/>
            <w:vAlign w:val="top"/>
          </w:tcPr>
          <w:p w14:paraId="1006021F">
            <w:pPr>
              <w:rPr>
                <w:rFonts w:ascii="Arial"/>
                <w:sz w:val="21"/>
              </w:rPr>
            </w:pPr>
          </w:p>
        </w:tc>
        <w:tc>
          <w:tcPr>
            <w:tcW w:w="1934" w:type="dxa"/>
            <w:vAlign w:val="top"/>
          </w:tcPr>
          <w:p w14:paraId="451CE6E0">
            <w:pPr>
              <w:rPr>
                <w:rFonts w:ascii="Arial"/>
                <w:sz w:val="21"/>
              </w:rPr>
            </w:pPr>
          </w:p>
        </w:tc>
        <w:tc>
          <w:tcPr>
            <w:tcW w:w="2376" w:type="dxa"/>
            <w:vAlign w:val="top"/>
          </w:tcPr>
          <w:p w14:paraId="2CD6FAED">
            <w:pPr>
              <w:rPr>
                <w:rFonts w:ascii="Arial"/>
                <w:sz w:val="21"/>
              </w:rPr>
            </w:pPr>
          </w:p>
        </w:tc>
        <w:tc>
          <w:tcPr>
            <w:tcW w:w="1219" w:type="dxa"/>
            <w:vAlign w:val="top"/>
          </w:tcPr>
          <w:p w14:paraId="671F822D">
            <w:pPr>
              <w:rPr>
                <w:rFonts w:ascii="Arial"/>
                <w:sz w:val="21"/>
              </w:rPr>
            </w:pPr>
          </w:p>
        </w:tc>
        <w:tc>
          <w:tcPr>
            <w:tcW w:w="1262" w:type="dxa"/>
            <w:vAlign w:val="top"/>
          </w:tcPr>
          <w:p w14:paraId="3B3EE5D4">
            <w:pPr>
              <w:rPr>
                <w:rFonts w:ascii="Arial"/>
                <w:sz w:val="21"/>
              </w:rPr>
            </w:pPr>
          </w:p>
        </w:tc>
        <w:tc>
          <w:tcPr>
            <w:tcW w:w="1099" w:type="dxa"/>
            <w:vAlign w:val="top"/>
          </w:tcPr>
          <w:p w14:paraId="36429BB1">
            <w:pPr>
              <w:rPr>
                <w:rFonts w:ascii="Arial"/>
                <w:sz w:val="21"/>
              </w:rPr>
            </w:pPr>
          </w:p>
        </w:tc>
        <w:tc>
          <w:tcPr>
            <w:tcW w:w="1186" w:type="dxa"/>
            <w:vAlign w:val="top"/>
          </w:tcPr>
          <w:p w14:paraId="206287EF">
            <w:pPr>
              <w:rPr>
                <w:rFonts w:ascii="Arial"/>
                <w:sz w:val="21"/>
              </w:rPr>
            </w:pPr>
          </w:p>
        </w:tc>
      </w:tr>
      <w:tr w14:paraId="3FD4B2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460" w:type="dxa"/>
            <w:vAlign w:val="top"/>
          </w:tcPr>
          <w:p w14:paraId="089A862D">
            <w:pPr>
              <w:rPr>
                <w:rFonts w:ascii="Arial"/>
                <w:sz w:val="21"/>
              </w:rPr>
            </w:pPr>
          </w:p>
        </w:tc>
        <w:tc>
          <w:tcPr>
            <w:tcW w:w="1934" w:type="dxa"/>
            <w:vAlign w:val="top"/>
          </w:tcPr>
          <w:p w14:paraId="7E757DB1">
            <w:pPr>
              <w:rPr>
                <w:rFonts w:ascii="Arial"/>
                <w:sz w:val="21"/>
              </w:rPr>
            </w:pPr>
          </w:p>
        </w:tc>
        <w:tc>
          <w:tcPr>
            <w:tcW w:w="2376" w:type="dxa"/>
            <w:vAlign w:val="top"/>
          </w:tcPr>
          <w:p w14:paraId="1C800788">
            <w:pPr>
              <w:rPr>
                <w:rFonts w:ascii="Arial"/>
                <w:sz w:val="21"/>
              </w:rPr>
            </w:pPr>
          </w:p>
        </w:tc>
        <w:tc>
          <w:tcPr>
            <w:tcW w:w="1219" w:type="dxa"/>
            <w:vAlign w:val="top"/>
          </w:tcPr>
          <w:p w14:paraId="4C1112C1">
            <w:pPr>
              <w:rPr>
                <w:rFonts w:ascii="Arial"/>
                <w:sz w:val="21"/>
              </w:rPr>
            </w:pPr>
          </w:p>
        </w:tc>
        <w:tc>
          <w:tcPr>
            <w:tcW w:w="1262" w:type="dxa"/>
            <w:vAlign w:val="top"/>
          </w:tcPr>
          <w:p w14:paraId="7B024771">
            <w:pPr>
              <w:rPr>
                <w:rFonts w:ascii="Arial"/>
                <w:sz w:val="21"/>
              </w:rPr>
            </w:pPr>
          </w:p>
        </w:tc>
        <w:tc>
          <w:tcPr>
            <w:tcW w:w="1099" w:type="dxa"/>
            <w:vAlign w:val="top"/>
          </w:tcPr>
          <w:p w14:paraId="3CB47726">
            <w:pPr>
              <w:rPr>
                <w:rFonts w:ascii="Arial"/>
                <w:sz w:val="21"/>
              </w:rPr>
            </w:pPr>
          </w:p>
        </w:tc>
        <w:tc>
          <w:tcPr>
            <w:tcW w:w="1186" w:type="dxa"/>
            <w:vAlign w:val="top"/>
          </w:tcPr>
          <w:p w14:paraId="5C000840">
            <w:pPr>
              <w:rPr>
                <w:rFonts w:ascii="Arial"/>
                <w:sz w:val="21"/>
              </w:rPr>
            </w:pPr>
          </w:p>
        </w:tc>
      </w:tr>
      <w:tr w14:paraId="3E3A8E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1" w:hRule="atLeast"/>
        </w:trPr>
        <w:tc>
          <w:tcPr>
            <w:tcW w:w="460" w:type="dxa"/>
            <w:vAlign w:val="top"/>
          </w:tcPr>
          <w:p w14:paraId="0130337F">
            <w:pPr>
              <w:rPr>
                <w:rFonts w:ascii="Arial"/>
                <w:sz w:val="21"/>
              </w:rPr>
            </w:pPr>
          </w:p>
        </w:tc>
        <w:tc>
          <w:tcPr>
            <w:tcW w:w="1934" w:type="dxa"/>
            <w:vAlign w:val="top"/>
          </w:tcPr>
          <w:p w14:paraId="501D0342">
            <w:pPr>
              <w:rPr>
                <w:rFonts w:ascii="Arial"/>
                <w:sz w:val="21"/>
              </w:rPr>
            </w:pPr>
          </w:p>
        </w:tc>
        <w:tc>
          <w:tcPr>
            <w:tcW w:w="2376" w:type="dxa"/>
            <w:vAlign w:val="top"/>
          </w:tcPr>
          <w:p w14:paraId="7415C90A">
            <w:pPr>
              <w:rPr>
                <w:rFonts w:ascii="Arial"/>
                <w:sz w:val="21"/>
              </w:rPr>
            </w:pPr>
          </w:p>
        </w:tc>
        <w:tc>
          <w:tcPr>
            <w:tcW w:w="1219" w:type="dxa"/>
            <w:vAlign w:val="top"/>
          </w:tcPr>
          <w:p w14:paraId="76EC73E5">
            <w:pPr>
              <w:rPr>
                <w:rFonts w:ascii="Arial"/>
                <w:sz w:val="21"/>
              </w:rPr>
            </w:pPr>
          </w:p>
        </w:tc>
        <w:tc>
          <w:tcPr>
            <w:tcW w:w="1262" w:type="dxa"/>
            <w:vAlign w:val="top"/>
          </w:tcPr>
          <w:p w14:paraId="61AD0088">
            <w:pPr>
              <w:rPr>
                <w:rFonts w:ascii="Arial"/>
                <w:sz w:val="21"/>
              </w:rPr>
            </w:pPr>
          </w:p>
        </w:tc>
        <w:tc>
          <w:tcPr>
            <w:tcW w:w="1099" w:type="dxa"/>
            <w:vAlign w:val="top"/>
          </w:tcPr>
          <w:p w14:paraId="7D83F86C">
            <w:pPr>
              <w:rPr>
                <w:rFonts w:ascii="Arial"/>
                <w:sz w:val="21"/>
              </w:rPr>
            </w:pPr>
          </w:p>
        </w:tc>
        <w:tc>
          <w:tcPr>
            <w:tcW w:w="1186" w:type="dxa"/>
            <w:vAlign w:val="top"/>
          </w:tcPr>
          <w:p w14:paraId="75BB2ACF">
            <w:pPr>
              <w:rPr>
                <w:rFonts w:ascii="Arial"/>
                <w:sz w:val="21"/>
              </w:rPr>
            </w:pPr>
          </w:p>
        </w:tc>
      </w:tr>
      <w:tr w14:paraId="7B682E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6" w:hRule="atLeast"/>
        </w:trPr>
        <w:tc>
          <w:tcPr>
            <w:tcW w:w="460" w:type="dxa"/>
            <w:vAlign w:val="top"/>
          </w:tcPr>
          <w:p w14:paraId="035A8CA4">
            <w:pPr>
              <w:rPr>
                <w:rFonts w:ascii="Arial"/>
                <w:sz w:val="21"/>
              </w:rPr>
            </w:pPr>
          </w:p>
        </w:tc>
        <w:tc>
          <w:tcPr>
            <w:tcW w:w="1934" w:type="dxa"/>
            <w:vAlign w:val="top"/>
          </w:tcPr>
          <w:p w14:paraId="11937002">
            <w:pPr>
              <w:rPr>
                <w:rFonts w:ascii="Arial"/>
                <w:sz w:val="21"/>
              </w:rPr>
            </w:pPr>
          </w:p>
        </w:tc>
        <w:tc>
          <w:tcPr>
            <w:tcW w:w="2376" w:type="dxa"/>
            <w:vAlign w:val="top"/>
          </w:tcPr>
          <w:p w14:paraId="5D35AA87">
            <w:pPr>
              <w:rPr>
                <w:rFonts w:ascii="Arial"/>
                <w:sz w:val="21"/>
              </w:rPr>
            </w:pPr>
          </w:p>
        </w:tc>
        <w:tc>
          <w:tcPr>
            <w:tcW w:w="1219" w:type="dxa"/>
            <w:vAlign w:val="top"/>
          </w:tcPr>
          <w:p w14:paraId="4C788730">
            <w:pPr>
              <w:rPr>
                <w:rFonts w:ascii="Arial"/>
                <w:sz w:val="21"/>
              </w:rPr>
            </w:pPr>
          </w:p>
        </w:tc>
        <w:tc>
          <w:tcPr>
            <w:tcW w:w="1262" w:type="dxa"/>
            <w:vAlign w:val="top"/>
          </w:tcPr>
          <w:p w14:paraId="13134296">
            <w:pPr>
              <w:rPr>
                <w:rFonts w:ascii="Arial"/>
                <w:sz w:val="21"/>
              </w:rPr>
            </w:pPr>
          </w:p>
        </w:tc>
        <w:tc>
          <w:tcPr>
            <w:tcW w:w="1099" w:type="dxa"/>
            <w:vAlign w:val="top"/>
          </w:tcPr>
          <w:p w14:paraId="400C3458">
            <w:pPr>
              <w:rPr>
                <w:rFonts w:ascii="Arial"/>
                <w:sz w:val="21"/>
              </w:rPr>
            </w:pPr>
          </w:p>
        </w:tc>
        <w:tc>
          <w:tcPr>
            <w:tcW w:w="1186" w:type="dxa"/>
            <w:vAlign w:val="top"/>
          </w:tcPr>
          <w:p w14:paraId="468B7AA5">
            <w:pPr>
              <w:rPr>
                <w:rFonts w:ascii="Arial"/>
                <w:sz w:val="21"/>
              </w:rPr>
            </w:pPr>
          </w:p>
        </w:tc>
      </w:tr>
      <w:tr w14:paraId="058A10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460" w:type="dxa"/>
            <w:vAlign w:val="top"/>
          </w:tcPr>
          <w:p w14:paraId="2386521A">
            <w:pPr>
              <w:rPr>
                <w:rFonts w:ascii="Arial"/>
                <w:sz w:val="21"/>
              </w:rPr>
            </w:pPr>
          </w:p>
        </w:tc>
        <w:tc>
          <w:tcPr>
            <w:tcW w:w="1934" w:type="dxa"/>
            <w:vAlign w:val="top"/>
          </w:tcPr>
          <w:p w14:paraId="2B8A527D">
            <w:pPr>
              <w:rPr>
                <w:rFonts w:ascii="Arial"/>
                <w:sz w:val="21"/>
              </w:rPr>
            </w:pPr>
          </w:p>
        </w:tc>
        <w:tc>
          <w:tcPr>
            <w:tcW w:w="2376" w:type="dxa"/>
            <w:vAlign w:val="top"/>
          </w:tcPr>
          <w:p w14:paraId="0016E517">
            <w:pPr>
              <w:rPr>
                <w:rFonts w:ascii="Arial"/>
                <w:sz w:val="21"/>
              </w:rPr>
            </w:pPr>
          </w:p>
        </w:tc>
        <w:tc>
          <w:tcPr>
            <w:tcW w:w="1219" w:type="dxa"/>
            <w:vAlign w:val="top"/>
          </w:tcPr>
          <w:p w14:paraId="276B51C2">
            <w:pPr>
              <w:rPr>
                <w:rFonts w:ascii="Arial"/>
                <w:sz w:val="21"/>
              </w:rPr>
            </w:pPr>
          </w:p>
        </w:tc>
        <w:tc>
          <w:tcPr>
            <w:tcW w:w="1262" w:type="dxa"/>
            <w:vAlign w:val="top"/>
          </w:tcPr>
          <w:p w14:paraId="43FC9B7A">
            <w:pPr>
              <w:rPr>
                <w:rFonts w:ascii="Arial"/>
                <w:sz w:val="21"/>
              </w:rPr>
            </w:pPr>
          </w:p>
        </w:tc>
        <w:tc>
          <w:tcPr>
            <w:tcW w:w="1099" w:type="dxa"/>
            <w:vAlign w:val="top"/>
          </w:tcPr>
          <w:p w14:paraId="638AB1D6">
            <w:pPr>
              <w:rPr>
                <w:rFonts w:ascii="Arial"/>
                <w:sz w:val="21"/>
              </w:rPr>
            </w:pPr>
          </w:p>
        </w:tc>
        <w:tc>
          <w:tcPr>
            <w:tcW w:w="1186" w:type="dxa"/>
            <w:vAlign w:val="top"/>
          </w:tcPr>
          <w:p w14:paraId="33EB805B">
            <w:pPr>
              <w:rPr>
                <w:rFonts w:ascii="Arial"/>
                <w:sz w:val="21"/>
              </w:rPr>
            </w:pPr>
          </w:p>
        </w:tc>
      </w:tr>
      <w:tr w14:paraId="11EE23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60" w:hRule="atLeast"/>
        </w:trPr>
        <w:tc>
          <w:tcPr>
            <w:tcW w:w="460" w:type="dxa"/>
            <w:vAlign w:val="top"/>
          </w:tcPr>
          <w:p w14:paraId="4A58F1BA">
            <w:pPr>
              <w:rPr>
                <w:rFonts w:ascii="Arial"/>
                <w:sz w:val="21"/>
              </w:rPr>
            </w:pPr>
          </w:p>
        </w:tc>
        <w:tc>
          <w:tcPr>
            <w:tcW w:w="1934" w:type="dxa"/>
            <w:vAlign w:val="top"/>
          </w:tcPr>
          <w:p w14:paraId="30D0C6A2">
            <w:pPr>
              <w:rPr>
                <w:rFonts w:ascii="Arial"/>
                <w:sz w:val="21"/>
              </w:rPr>
            </w:pPr>
          </w:p>
        </w:tc>
        <w:tc>
          <w:tcPr>
            <w:tcW w:w="2376" w:type="dxa"/>
            <w:vAlign w:val="top"/>
          </w:tcPr>
          <w:p w14:paraId="48908349">
            <w:pPr>
              <w:rPr>
                <w:rFonts w:ascii="Arial"/>
                <w:sz w:val="21"/>
              </w:rPr>
            </w:pPr>
          </w:p>
        </w:tc>
        <w:tc>
          <w:tcPr>
            <w:tcW w:w="1219" w:type="dxa"/>
            <w:vAlign w:val="top"/>
          </w:tcPr>
          <w:p w14:paraId="7F32F083">
            <w:pPr>
              <w:rPr>
                <w:rFonts w:ascii="Arial"/>
                <w:sz w:val="21"/>
              </w:rPr>
            </w:pPr>
          </w:p>
        </w:tc>
        <w:tc>
          <w:tcPr>
            <w:tcW w:w="1262" w:type="dxa"/>
            <w:vAlign w:val="top"/>
          </w:tcPr>
          <w:p w14:paraId="6691E4A6">
            <w:pPr>
              <w:rPr>
                <w:rFonts w:ascii="Arial"/>
                <w:sz w:val="21"/>
              </w:rPr>
            </w:pPr>
          </w:p>
        </w:tc>
        <w:tc>
          <w:tcPr>
            <w:tcW w:w="1099" w:type="dxa"/>
            <w:vAlign w:val="top"/>
          </w:tcPr>
          <w:p w14:paraId="699C8728">
            <w:pPr>
              <w:rPr>
                <w:rFonts w:ascii="Arial"/>
                <w:sz w:val="21"/>
              </w:rPr>
            </w:pPr>
          </w:p>
        </w:tc>
        <w:tc>
          <w:tcPr>
            <w:tcW w:w="1186" w:type="dxa"/>
            <w:vAlign w:val="top"/>
          </w:tcPr>
          <w:p w14:paraId="0D2488AC">
            <w:pPr>
              <w:rPr>
                <w:rFonts w:ascii="Arial"/>
                <w:sz w:val="21"/>
              </w:rPr>
            </w:pPr>
          </w:p>
        </w:tc>
      </w:tr>
      <w:tr w14:paraId="38F4DD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9" w:hRule="atLeast"/>
        </w:trPr>
        <w:tc>
          <w:tcPr>
            <w:tcW w:w="4770" w:type="dxa"/>
            <w:gridSpan w:val="3"/>
            <w:vAlign w:val="top"/>
          </w:tcPr>
          <w:p w14:paraId="4AE5B8B1">
            <w:pPr>
              <w:rPr>
                <w:rFonts w:ascii="Arial"/>
                <w:sz w:val="21"/>
              </w:rPr>
            </w:pPr>
          </w:p>
        </w:tc>
        <w:tc>
          <w:tcPr>
            <w:tcW w:w="1219" w:type="dxa"/>
            <w:vAlign w:val="top"/>
          </w:tcPr>
          <w:p w14:paraId="00CDDFB2">
            <w:pPr>
              <w:rPr>
                <w:rFonts w:ascii="Arial"/>
                <w:sz w:val="21"/>
              </w:rPr>
            </w:pPr>
          </w:p>
        </w:tc>
        <w:tc>
          <w:tcPr>
            <w:tcW w:w="1262" w:type="dxa"/>
            <w:vAlign w:val="top"/>
          </w:tcPr>
          <w:p w14:paraId="0C4FD4B0">
            <w:pPr>
              <w:rPr>
                <w:rFonts w:ascii="Arial"/>
                <w:sz w:val="21"/>
              </w:rPr>
            </w:pPr>
          </w:p>
        </w:tc>
        <w:tc>
          <w:tcPr>
            <w:tcW w:w="1099" w:type="dxa"/>
            <w:vAlign w:val="top"/>
          </w:tcPr>
          <w:p w14:paraId="4501498E">
            <w:pPr>
              <w:rPr>
                <w:rFonts w:ascii="Arial"/>
                <w:sz w:val="21"/>
              </w:rPr>
            </w:pPr>
          </w:p>
        </w:tc>
        <w:tc>
          <w:tcPr>
            <w:tcW w:w="1186" w:type="dxa"/>
            <w:vAlign w:val="top"/>
          </w:tcPr>
          <w:p w14:paraId="54AAF0A2">
            <w:pPr>
              <w:rPr>
                <w:rFonts w:ascii="Arial"/>
                <w:sz w:val="21"/>
              </w:rPr>
            </w:pPr>
          </w:p>
        </w:tc>
      </w:tr>
    </w:tbl>
    <w:p w14:paraId="21045595">
      <w:pPr>
        <w:spacing w:before="150" w:line="213" w:lineRule="auto"/>
        <w:ind w:left="1041" w:right="620" w:hanging="424"/>
        <w:rPr>
          <w:rFonts w:ascii="宋体" w:hAnsi="宋体" w:eastAsia="宋体" w:cs="宋体"/>
          <w:sz w:val="21"/>
          <w:szCs w:val="21"/>
        </w:rPr>
      </w:pPr>
      <w:r>
        <w:rPr>
          <w:rFonts w:ascii="宋体" w:hAnsi="宋体" w:eastAsia="宋体" w:cs="宋体"/>
          <w:spacing w:val="3"/>
          <w:sz w:val="21"/>
          <w:szCs w:val="21"/>
        </w:rPr>
        <w:t>注：此表“暂估金额”由招标人填写，投标人应将“暂估金额”计入投标总</w:t>
      </w:r>
      <w:r>
        <w:rPr>
          <w:rFonts w:ascii="宋体" w:hAnsi="宋体" w:eastAsia="宋体" w:cs="宋体"/>
          <w:spacing w:val="2"/>
          <w:sz w:val="21"/>
          <w:szCs w:val="21"/>
        </w:rPr>
        <w:t>价中。结算时</w:t>
      </w:r>
      <w:r>
        <w:rPr>
          <w:rFonts w:ascii="宋体" w:hAnsi="宋体" w:eastAsia="宋体" w:cs="宋体"/>
          <w:sz w:val="21"/>
          <w:szCs w:val="21"/>
        </w:rPr>
        <w:t xml:space="preserve"> </w:t>
      </w:r>
      <w:r>
        <w:rPr>
          <w:rFonts w:ascii="宋体" w:hAnsi="宋体" w:eastAsia="宋体" w:cs="宋体"/>
          <w:spacing w:val="-3"/>
          <w:sz w:val="21"/>
          <w:szCs w:val="21"/>
        </w:rPr>
        <w:t>按合同约定结算金额填写。</w:t>
      </w:r>
    </w:p>
    <w:p w14:paraId="68422114">
      <w:pPr>
        <w:spacing w:line="213" w:lineRule="auto"/>
        <w:rPr>
          <w:rFonts w:ascii="宋体" w:hAnsi="宋体" w:eastAsia="宋体" w:cs="宋体"/>
          <w:sz w:val="21"/>
          <w:szCs w:val="21"/>
        </w:rPr>
        <w:sectPr>
          <w:type w:val="continuous"/>
          <w:pgSz w:w="11905" w:h="16839"/>
          <w:pgMar w:top="400" w:right="1176" w:bottom="1004" w:left="1186" w:header="0" w:footer="829" w:gutter="0"/>
          <w:pgNumType w:fmt="decimal"/>
          <w:cols w:equalWidth="0" w:num="1">
            <w:col w:w="9542"/>
          </w:cols>
        </w:sectPr>
      </w:pPr>
    </w:p>
    <w:p w14:paraId="6DF8679E">
      <w:pPr>
        <w:pStyle w:val="3"/>
        <w:spacing w:line="267" w:lineRule="auto"/>
      </w:pPr>
    </w:p>
    <w:p w14:paraId="320FE721">
      <w:pPr>
        <w:pStyle w:val="3"/>
        <w:spacing w:line="268" w:lineRule="auto"/>
      </w:pPr>
    </w:p>
    <w:p w14:paraId="23E7FCC1">
      <w:pPr>
        <w:pStyle w:val="3"/>
        <w:spacing w:line="268" w:lineRule="auto"/>
      </w:pPr>
    </w:p>
    <w:p w14:paraId="40A65973">
      <w:pPr>
        <w:pStyle w:val="3"/>
        <w:spacing w:line="268" w:lineRule="auto"/>
      </w:pPr>
    </w:p>
    <w:p w14:paraId="4CDBA925">
      <w:pPr>
        <w:spacing w:before="78" w:line="220" w:lineRule="auto"/>
        <w:ind w:left="219"/>
        <w:rPr>
          <w:rFonts w:ascii="黑体" w:hAnsi="黑体" w:eastAsia="黑体" w:cs="黑体"/>
          <w:sz w:val="24"/>
          <w:szCs w:val="24"/>
        </w:rPr>
      </w:pPr>
      <w:r>
        <w:rPr>
          <w:rFonts w:ascii="Times New Roman" w:hAnsi="Times New Roman" w:eastAsia="Times New Roman" w:cs="Times New Roman"/>
          <w:spacing w:val="-1"/>
          <w:sz w:val="24"/>
          <w:szCs w:val="24"/>
        </w:rPr>
        <w:t xml:space="preserve">4.12-4 </w:t>
      </w:r>
      <w:r>
        <w:rPr>
          <w:rFonts w:ascii="黑体" w:hAnsi="黑体" w:eastAsia="黑体" w:cs="黑体"/>
          <w:spacing w:val="-1"/>
          <w:sz w:val="24"/>
          <w:szCs w:val="24"/>
        </w:rPr>
        <w:t>计日工表</w:t>
      </w:r>
    </w:p>
    <w:p w14:paraId="42C89F62">
      <w:pPr>
        <w:pStyle w:val="3"/>
        <w:spacing w:line="277" w:lineRule="auto"/>
      </w:pPr>
    </w:p>
    <w:p w14:paraId="064BD9C4">
      <w:pPr>
        <w:pStyle w:val="3"/>
        <w:spacing w:line="277" w:lineRule="auto"/>
      </w:pPr>
    </w:p>
    <w:p w14:paraId="188BFCD8">
      <w:pPr>
        <w:spacing w:before="88" w:line="226" w:lineRule="auto"/>
        <w:ind w:left="3824"/>
        <w:rPr>
          <w:rFonts w:ascii="黑体" w:hAnsi="黑体" w:eastAsia="黑体" w:cs="黑体"/>
          <w:sz w:val="27"/>
          <w:szCs w:val="27"/>
        </w:rPr>
      </w:pPr>
      <w:bookmarkStart w:id="1299" w:name="bookmark257"/>
      <w:bookmarkEnd w:id="1299"/>
      <w:r>
        <w:rPr>
          <w:rFonts w:ascii="黑体" w:hAnsi="黑体" w:eastAsia="黑体" w:cs="黑体"/>
          <w:spacing w:val="5"/>
          <w:sz w:val="27"/>
          <w:szCs w:val="27"/>
        </w:rPr>
        <w:t>计日工表</w:t>
      </w:r>
    </w:p>
    <w:p w14:paraId="3A295011">
      <w:pPr>
        <w:pStyle w:val="3"/>
        <w:spacing w:line="274" w:lineRule="auto"/>
      </w:pPr>
    </w:p>
    <w:p w14:paraId="135A1487">
      <w:pPr>
        <w:pStyle w:val="3"/>
        <w:spacing w:line="274" w:lineRule="auto"/>
      </w:pPr>
    </w:p>
    <w:p w14:paraId="51D1BF8F">
      <w:pPr>
        <w:spacing w:before="69" w:line="214" w:lineRule="auto"/>
        <w:ind w:left="226"/>
        <w:rPr>
          <w:rFonts w:ascii="宋体" w:hAnsi="宋体" w:eastAsia="宋体" w:cs="宋体"/>
          <w:sz w:val="21"/>
          <w:szCs w:val="21"/>
        </w:rPr>
      </w:pPr>
      <w:r>
        <w:rPr>
          <w:rFonts w:ascii="宋体" w:hAnsi="宋体" w:eastAsia="宋体" w:cs="宋体"/>
          <w:spacing w:val="-12"/>
          <w:sz w:val="21"/>
          <w:szCs w:val="21"/>
        </w:rPr>
        <w:t xml:space="preserve">工程名称：                标段名称：  </w:t>
      </w:r>
      <w:r>
        <w:rPr>
          <w:rFonts w:ascii="宋体" w:hAnsi="宋体" w:eastAsia="宋体" w:cs="宋体"/>
          <w:spacing w:val="-13"/>
          <w:sz w:val="21"/>
          <w:szCs w:val="21"/>
        </w:rPr>
        <w:t xml:space="preserve">     第 页 共</w:t>
      </w:r>
      <w:r>
        <w:rPr>
          <w:rFonts w:ascii="宋体" w:hAnsi="宋体" w:eastAsia="宋体" w:cs="宋体"/>
          <w:spacing w:val="10"/>
          <w:sz w:val="21"/>
          <w:szCs w:val="21"/>
        </w:rPr>
        <w:t xml:space="preserve"> </w:t>
      </w:r>
      <w:r>
        <w:rPr>
          <w:rFonts w:ascii="宋体" w:hAnsi="宋体" w:eastAsia="宋体" w:cs="宋体"/>
          <w:spacing w:val="-13"/>
          <w:sz w:val="21"/>
          <w:szCs w:val="21"/>
        </w:rPr>
        <w:t>页</w:t>
      </w:r>
    </w:p>
    <w:tbl>
      <w:tblPr>
        <w:tblStyle w:val="10"/>
        <w:tblW w:w="8738" w:type="dxa"/>
        <w:tblInd w:w="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92"/>
        <w:gridCol w:w="1911"/>
        <w:gridCol w:w="717"/>
        <w:gridCol w:w="899"/>
        <w:gridCol w:w="904"/>
        <w:gridCol w:w="1198"/>
        <w:gridCol w:w="20"/>
        <w:gridCol w:w="1131"/>
        <w:gridCol w:w="1166"/>
      </w:tblGrid>
      <w:tr w14:paraId="2A55BB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4" w:hRule="atLeast"/>
        </w:trPr>
        <w:tc>
          <w:tcPr>
            <w:tcW w:w="792" w:type="dxa"/>
            <w:vMerge w:val="restart"/>
            <w:tcBorders>
              <w:top w:val="single" w:color="000000" w:sz="4" w:space="0"/>
              <w:left w:val="single" w:color="000000" w:sz="4" w:space="0"/>
              <w:bottom w:val="nil"/>
            </w:tcBorders>
            <w:vAlign w:val="top"/>
          </w:tcPr>
          <w:p w14:paraId="1D2250B4">
            <w:pPr>
              <w:spacing w:line="313" w:lineRule="auto"/>
              <w:rPr>
                <w:rFonts w:ascii="Arial"/>
                <w:sz w:val="21"/>
              </w:rPr>
            </w:pPr>
          </w:p>
          <w:p w14:paraId="7A2A8076">
            <w:pPr>
              <w:pStyle w:val="11"/>
              <w:spacing w:before="69" w:line="221" w:lineRule="auto"/>
              <w:ind w:left="187"/>
            </w:pPr>
            <w:r>
              <w:rPr>
                <w:spacing w:val="-2"/>
              </w:rPr>
              <w:t>编号</w:t>
            </w:r>
          </w:p>
        </w:tc>
        <w:tc>
          <w:tcPr>
            <w:tcW w:w="1911" w:type="dxa"/>
            <w:vMerge w:val="restart"/>
            <w:tcBorders>
              <w:top w:val="single" w:color="000000" w:sz="4" w:space="0"/>
              <w:bottom w:val="nil"/>
              <w:right w:val="single" w:color="000000" w:sz="4" w:space="0"/>
            </w:tcBorders>
            <w:vAlign w:val="top"/>
          </w:tcPr>
          <w:p w14:paraId="3A6B1990">
            <w:pPr>
              <w:spacing w:line="314" w:lineRule="auto"/>
              <w:rPr>
                <w:rFonts w:ascii="Arial"/>
                <w:sz w:val="21"/>
              </w:rPr>
            </w:pPr>
          </w:p>
          <w:p w14:paraId="1FD3D9A4">
            <w:pPr>
              <w:pStyle w:val="11"/>
              <w:spacing w:before="68" w:line="221" w:lineRule="auto"/>
              <w:ind w:left="537"/>
            </w:pPr>
            <w:r>
              <w:rPr>
                <w:spacing w:val="-2"/>
              </w:rPr>
              <w:t>项目名称</w:t>
            </w:r>
          </w:p>
        </w:tc>
        <w:tc>
          <w:tcPr>
            <w:tcW w:w="717" w:type="dxa"/>
            <w:vMerge w:val="restart"/>
            <w:tcBorders>
              <w:top w:val="single" w:color="000000" w:sz="4" w:space="0"/>
              <w:left w:val="single" w:color="000000" w:sz="4" w:space="0"/>
              <w:bottom w:val="nil"/>
            </w:tcBorders>
            <w:vAlign w:val="top"/>
          </w:tcPr>
          <w:p w14:paraId="085186A8">
            <w:pPr>
              <w:spacing w:line="314" w:lineRule="auto"/>
              <w:rPr>
                <w:rFonts w:ascii="Arial"/>
                <w:sz w:val="21"/>
              </w:rPr>
            </w:pPr>
          </w:p>
          <w:p w14:paraId="07A1D4A4">
            <w:pPr>
              <w:pStyle w:val="11"/>
              <w:spacing w:before="68" w:line="221" w:lineRule="auto"/>
              <w:ind w:left="154"/>
            </w:pPr>
            <w:r>
              <w:rPr>
                <w:spacing w:val="-2"/>
              </w:rPr>
              <w:t>单位</w:t>
            </w:r>
          </w:p>
        </w:tc>
        <w:tc>
          <w:tcPr>
            <w:tcW w:w="899" w:type="dxa"/>
            <w:vMerge w:val="restart"/>
            <w:tcBorders>
              <w:top w:val="single" w:color="000000" w:sz="4" w:space="0"/>
              <w:bottom w:val="nil"/>
              <w:right w:val="single" w:color="000000" w:sz="4" w:space="0"/>
            </w:tcBorders>
            <w:vAlign w:val="top"/>
          </w:tcPr>
          <w:p w14:paraId="04899CD5">
            <w:pPr>
              <w:pStyle w:val="11"/>
              <w:spacing w:before="250" w:line="236" w:lineRule="auto"/>
              <w:ind w:left="256"/>
            </w:pPr>
            <w:r>
              <w:rPr>
                <w:spacing w:val="-4"/>
              </w:rPr>
              <w:t>暂定</w:t>
            </w:r>
          </w:p>
          <w:p w14:paraId="3DB49D91">
            <w:pPr>
              <w:pStyle w:val="11"/>
              <w:spacing w:line="220" w:lineRule="auto"/>
              <w:ind w:left="251"/>
            </w:pPr>
            <w:r>
              <w:rPr>
                <w:spacing w:val="-2"/>
              </w:rPr>
              <w:t>数量</w:t>
            </w:r>
          </w:p>
        </w:tc>
        <w:tc>
          <w:tcPr>
            <w:tcW w:w="904" w:type="dxa"/>
            <w:vMerge w:val="restart"/>
            <w:tcBorders>
              <w:top w:val="single" w:color="000000" w:sz="4" w:space="0"/>
              <w:left w:val="single" w:color="000000" w:sz="4" w:space="0"/>
              <w:bottom w:val="nil"/>
            </w:tcBorders>
            <w:vAlign w:val="top"/>
          </w:tcPr>
          <w:p w14:paraId="77F214E6">
            <w:pPr>
              <w:pStyle w:val="11"/>
              <w:spacing w:before="250" w:line="236" w:lineRule="auto"/>
              <w:ind w:left="255"/>
            </w:pPr>
            <w:r>
              <w:rPr>
                <w:spacing w:val="-3"/>
              </w:rPr>
              <w:t>实际</w:t>
            </w:r>
          </w:p>
          <w:p w14:paraId="5909A083">
            <w:pPr>
              <w:pStyle w:val="11"/>
              <w:spacing w:line="220" w:lineRule="auto"/>
              <w:ind w:left="252"/>
            </w:pPr>
            <w:r>
              <w:rPr>
                <w:spacing w:val="-2"/>
              </w:rPr>
              <w:t>数量</w:t>
            </w:r>
          </w:p>
        </w:tc>
        <w:tc>
          <w:tcPr>
            <w:tcW w:w="1218" w:type="dxa"/>
            <w:gridSpan w:val="2"/>
            <w:vMerge w:val="restart"/>
            <w:tcBorders>
              <w:top w:val="single" w:color="000000" w:sz="4" w:space="0"/>
              <w:bottom w:val="nil"/>
            </w:tcBorders>
            <w:vAlign w:val="top"/>
          </w:tcPr>
          <w:p w14:paraId="43FA3F7D">
            <w:pPr>
              <w:pStyle w:val="11"/>
              <w:spacing w:before="250" w:line="236" w:lineRule="auto"/>
              <w:ind w:left="407"/>
            </w:pPr>
            <w:r>
              <w:rPr>
                <w:spacing w:val="-2"/>
              </w:rPr>
              <w:t>单价</w:t>
            </w:r>
          </w:p>
          <w:p w14:paraId="20B8488A">
            <w:pPr>
              <w:pStyle w:val="11"/>
              <w:spacing w:line="221" w:lineRule="auto"/>
              <w:ind w:left="306"/>
            </w:pPr>
            <w:r>
              <w:rPr>
                <w:spacing w:val="-6"/>
              </w:rPr>
              <w:t>（元）</w:t>
            </w:r>
          </w:p>
        </w:tc>
        <w:tc>
          <w:tcPr>
            <w:tcW w:w="2297" w:type="dxa"/>
            <w:gridSpan w:val="2"/>
            <w:tcBorders>
              <w:top w:val="single" w:color="000000" w:sz="4" w:space="0"/>
              <w:right w:val="single" w:color="000000" w:sz="4" w:space="0"/>
            </w:tcBorders>
            <w:vAlign w:val="top"/>
          </w:tcPr>
          <w:p w14:paraId="06F6FF6E">
            <w:pPr>
              <w:pStyle w:val="11"/>
              <w:spacing w:before="139" w:line="219" w:lineRule="auto"/>
              <w:ind w:left="629"/>
            </w:pPr>
            <w:r>
              <w:rPr>
                <w:spacing w:val="-3"/>
              </w:rPr>
              <w:t>合价（元）</w:t>
            </w:r>
          </w:p>
        </w:tc>
      </w:tr>
      <w:tr w14:paraId="512DD5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5" w:hRule="atLeast"/>
        </w:trPr>
        <w:tc>
          <w:tcPr>
            <w:tcW w:w="792" w:type="dxa"/>
            <w:vMerge w:val="continue"/>
            <w:tcBorders>
              <w:top w:val="nil"/>
              <w:left w:val="single" w:color="000000" w:sz="4" w:space="0"/>
            </w:tcBorders>
            <w:vAlign w:val="top"/>
          </w:tcPr>
          <w:p w14:paraId="0F84F47D">
            <w:pPr>
              <w:rPr>
                <w:rFonts w:ascii="Arial"/>
                <w:sz w:val="21"/>
              </w:rPr>
            </w:pPr>
          </w:p>
        </w:tc>
        <w:tc>
          <w:tcPr>
            <w:tcW w:w="1911" w:type="dxa"/>
            <w:vMerge w:val="continue"/>
            <w:tcBorders>
              <w:top w:val="nil"/>
              <w:right w:val="single" w:color="000000" w:sz="4" w:space="0"/>
            </w:tcBorders>
            <w:vAlign w:val="top"/>
          </w:tcPr>
          <w:p w14:paraId="23427DE2">
            <w:pPr>
              <w:rPr>
                <w:rFonts w:ascii="Arial"/>
                <w:sz w:val="21"/>
              </w:rPr>
            </w:pPr>
          </w:p>
        </w:tc>
        <w:tc>
          <w:tcPr>
            <w:tcW w:w="717" w:type="dxa"/>
            <w:vMerge w:val="continue"/>
            <w:tcBorders>
              <w:top w:val="nil"/>
              <w:left w:val="single" w:color="000000" w:sz="4" w:space="0"/>
            </w:tcBorders>
            <w:vAlign w:val="top"/>
          </w:tcPr>
          <w:p w14:paraId="63495638">
            <w:pPr>
              <w:rPr>
                <w:rFonts w:ascii="Arial"/>
                <w:sz w:val="21"/>
              </w:rPr>
            </w:pPr>
          </w:p>
        </w:tc>
        <w:tc>
          <w:tcPr>
            <w:tcW w:w="899" w:type="dxa"/>
            <w:vMerge w:val="continue"/>
            <w:tcBorders>
              <w:top w:val="nil"/>
              <w:right w:val="single" w:color="000000" w:sz="4" w:space="0"/>
            </w:tcBorders>
            <w:vAlign w:val="top"/>
          </w:tcPr>
          <w:p w14:paraId="2E16D17D">
            <w:pPr>
              <w:rPr>
                <w:rFonts w:ascii="Arial"/>
                <w:sz w:val="21"/>
              </w:rPr>
            </w:pPr>
          </w:p>
        </w:tc>
        <w:tc>
          <w:tcPr>
            <w:tcW w:w="904" w:type="dxa"/>
            <w:vMerge w:val="continue"/>
            <w:tcBorders>
              <w:top w:val="nil"/>
              <w:left w:val="single" w:color="000000" w:sz="4" w:space="0"/>
            </w:tcBorders>
            <w:vAlign w:val="top"/>
          </w:tcPr>
          <w:p w14:paraId="62F41180">
            <w:pPr>
              <w:rPr>
                <w:rFonts w:ascii="Arial"/>
                <w:sz w:val="21"/>
              </w:rPr>
            </w:pPr>
          </w:p>
        </w:tc>
        <w:tc>
          <w:tcPr>
            <w:tcW w:w="1218" w:type="dxa"/>
            <w:gridSpan w:val="2"/>
            <w:vMerge w:val="continue"/>
            <w:tcBorders>
              <w:top w:val="nil"/>
            </w:tcBorders>
            <w:vAlign w:val="top"/>
          </w:tcPr>
          <w:p w14:paraId="11697EC4">
            <w:pPr>
              <w:rPr>
                <w:rFonts w:ascii="Arial"/>
                <w:sz w:val="21"/>
              </w:rPr>
            </w:pPr>
          </w:p>
        </w:tc>
        <w:tc>
          <w:tcPr>
            <w:tcW w:w="1131" w:type="dxa"/>
            <w:vAlign w:val="top"/>
          </w:tcPr>
          <w:p w14:paraId="794CDEEF">
            <w:pPr>
              <w:pStyle w:val="11"/>
              <w:spacing w:before="131" w:line="221" w:lineRule="auto"/>
              <w:ind w:left="370"/>
            </w:pPr>
            <w:r>
              <w:rPr>
                <w:spacing w:val="-4"/>
              </w:rPr>
              <w:t>暂定</w:t>
            </w:r>
          </w:p>
        </w:tc>
        <w:tc>
          <w:tcPr>
            <w:tcW w:w="1166" w:type="dxa"/>
            <w:tcBorders>
              <w:right w:val="single" w:color="000000" w:sz="4" w:space="0"/>
            </w:tcBorders>
            <w:vAlign w:val="top"/>
          </w:tcPr>
          <w:p w14:paraId="76128CC9">
            <w:pPr>
              <w:pStyle w:val="11"/>
              <w:spacing w:before="131" w:line="221" w:lineRule="auto"/>
              <w:ind w:left="385"/>
            </w:pPr>
            <w:r>
              <w:rPr>
                <w:spacing w:val="-3"/>
              </w:rPr>
              <w:t>实际</w:t>
            </w:r>
          </w:p>
        </w:tc>
      </w:tr>
      <w:tr w14:paraId="3F7B0C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9" w:hRule="atLeast"/>
        </w:trPr>
        <w:tc>
          <w:tcPr>
            <w:tcW w:w="792" w:type="dxa"/>
            <w:tcBorders>
              <w:left w:val="single" w:color="000000" w:sz="4" w:space="0"/>
            </w:tcBorders>
            <w:vAlign w:val="top"/>
          </w:tcPr>
          <w:p w14:paraId="2AC68C5D">
            <w:pPr>
              <w:spacing w:before="226" w:line="151" w:lineRule="exact"/>
              <w:ind w:left="294"/>
              <w:rPr>
                <w:rFonts w:ascii="黑体" w:hAnsi="黑体" w:eastAsia="黑体" w:cs="黑体"/>
                <w:sz w:val="21"/>
                <w:szCs w:val="21"/>
              </w:rPr>
            </w:pPr>
            <w:r>
              <w:rPr>
                <w:rFonts w:ascii="黑体" w:hAnsi="黑体" w:eastAsia="黑体" w:cs="黑体"/>
                <w:position w:val="-3"/>
                <w:sz w:val="21"/>
                <w:szCs w:val="21"/>
              </w:rPr>
              <w:t>一</w:t>
            </w:r>
          </w:p>
        </w:tc>
        <w:tc>
          <w:tcPr>
            <w:tcW w:w="1911" w:type="dxa"/>
            <w:tcBorders>
              <w:right w:val="single" w:color="000000" w:sz="4" w:space="0"/>
            </w:tcBorders>
            <w:vAlign w:val="top"/>
          </w:tcPr>
          <w:p w14:paraId="1E97C192">
            <w:pPr>
              <w:pStyle w:val="11"/>
              <w:spacing w:before="135" w:line="223" w:lineRule="auto"/>
              <w:ind w:left="747"/>
            </w:pPr>
            <w:r>
              <w:rPr>
                <w:spacing w:val="-2"/>
              </w:rPr>
              <w:t>人工</w:t>
            </w:r>
          </w:p>
        </w:tc>
        <w:tc>
          <w:tcPr>
            <w:tcW w:w="717" w:type="dxa"/>
            <w:tcBorders>
              <w:left w:val="single" w:color="000000" w:sz="4" w:space="0"/>
            </w:tcBorders>
            <w:vAlign w:val="top"/>
          </w:tcPr>
          <w:p w14:paraId="41DD7D75">
            <w:pPr>
              <w:rPr>
                <w:rFonts w:ascii="Arial"/>
                <w:sz w:val="21"/>
              </w:rPr>
            </w:pPr>
          </w:p>
        </w:tc>
        <w:tc>
          <w:tcPr>
            <w:tcW w:w="899" w:type="dxa"/>
            <w:tcBorders>
              <w:right w:val="single" w:color="000000" w:sz="4" w:space="0"/>
            </w:tcBorders>
            <w:vAlign w:val="top"/>
          </w:tcPr>
          <w:p w14:paraId="0E8F68DC">
            <w:pPr>
              <w:rPr>
                <w:rFonts w:ascii="Arial"/>
                <w:sz w:val="21"/>
              </w:rPr>
            </w:pPr>
          </w:p>
        </w:tc>
        <w:tc>
          <w:tcPr>
            <w:tcW w:w="904" w:type="dxa"/>
            <w:tcBorders>
              <w:left w:val="single" w:color="000000" w:sz="4" w:space="0"/>
            </w:tcBorders>
            <w:vAlign w:val="top"/>
          </w:tcPr>
          <w:p w14:paraId="4A278C39">
            <w:pPr>
              <w:rPr>
                <w:rFonts w:ascii="Arial"/>
                <w:sz w:val="21"/>
              </w:rPr>
            </w:pPr>
          </w:p>
        </w:tc>
        <w:tc>
          <w:tcPr>
            <w:tcW w:w="1218" w:type="dxa"/>
            <w:gridSpan w:val="2"/>
            <w:vAlign w:val="top"/>
          </w:tcPr>
          <w:p w14:paraId="65CDF615">
            <w:pPr>
              <w:rPr>
                <w:rFonts w:ascii="Arial"/>
                <w:sz w:val="21"/>
              </w:rPr>
            </w:pPr>
          </w:p>
        </w:tc>
        <w:tc>
          <w:tcPr>
            <w:tcW w:w="1131" w:type="dxa"/>
            <w:vAlign w:val="top"/>
          </w:tcPr>
          <w:p w14:paraId="0E45F3D1">
            <w:pPr>
              <w:rPr>
                <w:rFonts w:ascii="Arial"/>
                <w:sz w:val="21"/>
              </w:rPr>
            </w:pPr>
          </w:p>
        </w:tc>
        <w:tc>
          <w:tcPr>
            <w:tcW w:w="1166" w:type="dxa"/>
            <w:tcBorders>
              <w:right w:val="single" w:color="000000" w:sz="4" w:space="0"/>
            </w:tcBorders>
            <w:vAlign w:val="top"/>
          </w:tcPr>
          <w:p w14:paraId="6CC225FC">
            <w:pPr>
              <w:rPr>
                <w:rFonts w:ascii="Arial"/>
                <w:sz w:val="21"/>
              </w:rPr>
            </w:pPr>
          </w:p>
        </w:tc>
      </w:tr>
      <w:tr w14:paraId="2EB56F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4" w:hRule="atLeast"/>
        </w:trPr>
        <w:tc>
          <w:tcPr>
            <w:tcW w:w="792" w:type="dxa"/>
            <w:tcBorders>
              <w:left w:val="single" w:color="000000" w:sz="4" w:space="0"/>
              <w:bottom w:val="single" w:color="000000" w:sz="4" w:space="0"/>
            </w:tcBorders>
            <w:vAlign w:val="top"/>
          </w:tcPr>
          <w:p w14:paraId="6080B284">
            <w:pPr>
              <w:spacing w:before="165" w:line="183" w:lineRule="auto"/>
              <w:ind w:left="355"/>
              <w:rPr>
                <w:rFonts w:ascii="黑体" w:hAnsi="黑体" w:eastAsia="黑体" w:cs="黑体"/>
                <w:sz w:val="21"/>
                <w:szCs w:val="21"/>
              </w:rPr>
            </w:pPr>
            <w:r>
              <w:rPr>
                <w:rFonts w:ascii="黑体" w:hAnsi="黑体" w:eastAsia="黑体" w:cs="黑体"/>
                <w:sz w:val="21"/>
                <w:szCs w:val="21"/>
              </w:rPr>
              <w:t>1</w:t>
            </w:r>
          </w:p>
        </w:tc>
        <w:tc>
          <w:tcPr>
            <w:tcW w:w="1911" w:type="dxa"/>
            <w:tcBorders>
              <w:right w:val="single" w:color="000000" w:sz="4" w:space="0"/>
            </w:tcBorders>
            <w:vAlign w:val="top"/>
          </w:tcPr>
          <w:p w14:paraId="0BD15901">
            <w:pPr>
              <w:rPr>
                <w:rFonts w:ascii="Arial"/>
                <w:sz w:val="21"/>
              </w:rPr>
            </w:pPr>
          </w:p>
        </w:tc>
        <w:tc>
          <w:tcPr>
            <w:tcW w:w="717" w:type="dxa"/>
            <w:tcBorders>
              <w:left w:val="single" w:color="000000" w:sz="4" w:space="0"/>
            </w:tcBorders>
            <w:vAlign w:val="top"/>
          </w:tcPr>
          <w:p w14:paraId="3B3DCCC7">
            <w:pPr>
              <w:rPr>
                <w:rFonts w:ascii="Arial"/>
                <w:sz w:val="21"/>
              </w:rPr>
            </w:pPr>
          </w:p>
        </w:tc>
        <w:tc>
          <w:tcPr>
            <w:tcW w:w="899" w:type="dxa"/>
            <w:tcBorders>
              <w:right w:val="single" w:color="000000" w:sz="4" w:space="0"/>
            </w:tcBorders>
            <w:vAlign w:val="top"/>
          </w:tcPr>
          <w:p w14:paraId="21448240">
            <w:pPr>
              <w:rPr>
                <w:rFonts w:ascii="Arial"/>
                <w:sz w:val="21"/>
              </w:rPr>
            </w:pPr>
          </w:p>
        </w:tc>
        <w:tc>
          <w:tcPr>
            <w:tcW w:w="904" w:type="dxa"/>
            <w:tcBorders>
              <w:left w:val="single" w:color="000000" w:sz="4" w:space="0"/>
            </w:tcBorders>
            <w:vAlign w:val="top"/>
          </w:tcPr>
          <w:p w14:paraId="6CF1820F">
            <w:pPr>
              <w:rPr>
                <w:rFonts w:ascii="Arial"/>
                <w:sz w:val="21"/>
              </w:rPr>
            </w:pPr>
          </w:p>
        </w:tc>
        <w:tc>
          <w:tcPr>
            <w:tcW w:w="1218" w:type="dxa"/>
            <w:gridSpan w:val="2"/>
            <w:vAlign w:val="top"/>
          </w:tcPr>
          <w:p w14:paraId="7CA6C746">
            <w:pPr>
              <w:rPr>
                <w:rFonts w:ascii="Arial"/>
                <w:sz w:val="21"/>
              </w:rPr>
            </w:pPr>
          </w:p>
        </w:tc>
        <w:tc>
          <w:tcPr>
            <w:tcW w:w="1131" w:type="dxa"/>
            <w:vAlign w:val="top"/>
          </w:tcPr>
          <w:p w14:paraId="14FE4288">
            <w:pPr>
              <w:rPr>
                <w:rFonts w:ascii="Arial"/>
                <w:sz w:val="21"/>
              </w:rPr>
            </w:pPr>
          </w:p>
        </w:tc>
        <w:tc>
          <w:tcPr>
            <w:tcW w:w="1166" w:type="dxa"/>
            <w:tcBorders>
              <w:right w:val="single" w:color="000000" w:sz="4" w:space="0"/>
            </w:tcBorders>
            <w:vAlign w:val="top"/>
          </w:tcPr>
          <w:p w14:paraId="41FEBFE1">
            <w:pPr>
              <w:rPr>
                <w:rFonts w:ascii="Arial"/>
                <w:sz w:val="21"/>
              </w:rPr>
            </w:pPr>
          </w:p>
        </w:tc>
      </w:tr>
      <w:tr w14:paraId="3EBFA1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6" w:hRule="atLeast"/>
        </w:trPr>
        <w:tc>
          <w:tcPr>
            <w:tcW w:w="792" w:type="dxa"/>
            <w:tcBorders>
              <w:top w:val="single" w:color="000000" w:sz="4" w:space="0"/>
              <w:left w:val="single" w:color="000000" w:sz="4" w:space="0"/>
            </w:tcBorders>
            <w:vAlign w:val="top"/>
          </w:tcPr>
          <w:p w14:paraId="6EF5FE2C">
            <w:pPr>
              <w:spacing w:before="169" w:line="184" w:lineRule="auto"/>
              <w:ind w:left="342"/>
              <w:rPr>
                <w:rFonts w:ascii="黑体" w:hAnsi="黑体" w:eastAsia="黑体" w:cs="黑体"/>
                <w:sz w:val="21"/>
                <w:szCs w:val="21"/>
              </w:rPr>
            </w:pPr>
            <w:r>
              <w:rPr>
                <w:rFonts w:ascii="黑体" w:hAnsi="黑体" w:eastAsia="黑体" w:cs="黑体"/>
                <w:sz w:val="21"/>
                <w:szCs w:val="21"/>
              </w:rPr>
              <w:t>2</w:t>
            </w:r>
          </w:p>
        </w:tc>
        <w:tc>
          <w:tcPr>
            <w:tcW w:w="1911" w:type="dxa"/>
            <w:tcBorders>
              <w:right w:val="single" w:color="000000" w:sz="4" w:space="0"/>
            </w:tcBorders>
            <w:vAlign w:val="top"/>
          </w:tcPr>
          <w:p w14:paraId="475D5EFC">
            <w:pPr>
              <w:rPr>
                <w:rFonts w:ascii="Arial"/>
                <w:sz w:val="21"/>
              </w:rPr>
            </w:pPr>
          </w:p>
        </w:tc>
        <w:tc>
          <w:tcPr>
            <w:tcW w:w="717" w:type="dxa"/>
            <w:tcBorders>
              <w:left w:val="single" w:color="000000" w:sz="4" w:space="0"/>
            </w:tcBorders>
            <w:vAlign w:val="top"/>
          </w:tcPr>
          <w:p w14:paraId="4BBAB9FF">
            <w:pPr>
              <w:rPr>
                <w:rFonts w:ascii="Arial"/>
                <w:sz w:val="21"/>
              </w:rPr>
            </w:pPr>
          </w:p>
        </w:tc>
        <w:tc>
          <w:tcPr>
            <w:tcW w:w="899" w:type="dxa"/>
            <w:tcBorders>
              <w:right w:val="single" w:color="000000" w:sz="4" w:space="0"/>
            </w:tcBorders>
            <w:vAlign w:val="top"/>
          </w:tcPr>
          <w:p w14:paraId="43934BEB">
            <w:pPr>
              <w:rPr>
                <w:rFonts w:ascii="Arial"/>
                <w:sz w:val="21"/>
              </w:rPr>
            </w:pPr>
          </w:p>
        </w:tc>
        <w:tc>
          <w:tcPr>
            <w:tcW w:w="904" w:type="dxa"/>
            <w:tcBorders>
              <w:left w:val="single" w:color="000000" w:sz="4" w:space="0"/>
            </w:tcBorders>
            <w:vAlign w:val="top"/>
          </w:tcPr>
          <w:p w14:paraId="78691E63">
            <w:pPr>
              <w:rPr>
                <w:rFonts w:ascii="Arial"/>
                <w:sz w:val="21"/>
              </w:rPr>
            </w:pPr>
          </w:p>
        </w:tc>
        <w:tc>
          <w:tcPr>
            <w:tcW w:w="1218" w:type="dxa"/>
            <w:gridSpan w:val="2"/>
            <w:vAlign w:val="top"/>
          </w:tcPr>
          <w:p w14:paraId="76701FA8">
            <w:pPr>
              <w:rPr>
                <w:rFonts w:ascii="Arial"/>
                <w:sz w:val="21"/>
              </w:rPr>
            </w:pPr>
          </w:p>
        </w:tc>
        <w:tc>
          <w:tcPr>
            <w:tcW w:w="1131" w:type="dxa"/>
            <w:vAlign w:val="top"/>
          </w:tcPr>
          <w:p w14:paraId="5C321A0C">
            <w:pPr>
              <w:rPr>
                <w:rFonts w:ascii="Arial"/>
                <w:sz w:val="21"/>
              </w:rPr>
            </w:pPr>
          </w:p>
        </w:tc>
        <w:tc>
          <w:tcPr>
            <w:tcW w:w="1166" w:type="dxa"/>
            <w:tcBorders>
              <w:right w:val="single" w:color="000000" w:sz="4" w:space="0"/>
            </w:tcBorders>
            <w:vAlign w:val="top"/>
          </w:tcPr>
          <w:p w14:paraId="6E5B2BA0">
            <w:pPr>
              <w:rPr>
                <w:rFonts w:ascii="Arial"/>
                <w:sz w:val="21"/>
              </w:rPr>
            </w:pPr>
          </w:p>
        </w:tc>
      </w:tr>
      <w:tr w14:paraId="587D5F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5" w:hRule="atLeast"/>
        </w:trPr>
        <w:tc>
          <w:tcPr>
            <w:tcW w:w="792" w:type="dxa"/>
            <w:tcBorders>
              <w:left w:val="single" w:color="000000" w:sz="4" w:space="0"/>
            </w:tcBorders>
            <w:vAlign w:val="top"/>
          </w:tcPr>
          <w:p w14:paraId="7BBE6B27">
            <w:pPr>
              <w:spacing w:before="168" w:line="184" w:lineRule="auto"/>
              <w:ind w:left="344"/>
              <w:rPr>
                <w:rFonts w:ascii="黑体" w:hAnsi="黑体" w:eastAsia="黑体" w:cs="黑体"/>
                <w:sz w:val="21"/>
                <w:szCs w:val="21"/>
              </w:rPr>
            </w:pPr>
            <w:r>
              <w:rPr>
                <w:rFonts w:ascii="黑体" w:hAnsi="黑体" w:eastAsia="黑体" w:cs="黑体"/>
                <w:sz w:val="21"/>
                <w:szCs w:val="21"/>
              </w:rPr>
              <w:t>3</w:t>
            </w:r>
          </w:p>
        </w:tc>
        <w:tc>
          <w:tcPr>
            <w:tcW w:w="1911" w:type="dxa"/>
            <w:tcBorders>
              <w:right w:val="single" w:color="000000" w:sz="4" w:space="0"/>
            </w:tcBorders>
            <w:vAlign w:val="top"/>
          </w:tcPr>
          <w:p w14:paraId="64F73F32">
            <w:pPr>
              <w:rPr>
                <w:rFonts w:ascii="Arial"/>
                <w:sz w:val="21"/>
              </w:rPr>
            </w:pPr>
          </w:p>
        </w:tc>
        <w:tc>
          <w:tcPr>
            <w:tcW w:w="717" w:type="dxa"/>
            <w:tcBorders>
              <w:left w:val="single" w:color="000000" w:sz="4" w:space="0"/>
            </w:tcBorders>
            <w:vAlign w:val="top"/>
          </w:tcPr>
          <w:p w14:paraId="0796F616">
            <w:pPr>
              <w:rPr>
                <w:rFonts w:ascii="Arial"/>
                <w:sz w:val="21"/>
              </w:rPr>
            </w:pPr>
          </w:p>
        </w:tc>
        <w:tc>
          <w:tcPr>
            <w:tcW w:w="899" w:type="dxa"/>
            <w:tcBorders>
              <w:right w:val="single" w:color="000000" w:sz="4" w:space="0"/>
            </w:tcBorders>
            <w:vAlign w:val="top"/>
          </w:tcPr>
          <w:p w14:paraId="5E89AE07">
            <w:pPr>
              <w:rPr>
                <w:rFonts w:ascii="Arial"/>
                <w:sz w:val="21"/>
              </w:rPr>
            </w:pPr>
          </w:p>
        </w:tc>
        <w:tc>
          <w:tcPr>
            <w:tcW w:w="904" w:type="dxa"/>
            <w:tcBorders>
              <w:left w:val="single" w:color="000000" w:sz="4" w:space="0"/>
            </w:tcBorders>
            <w:vAlign w:val="top"/>
          </w:tcPr>
          <w:p w14:paraId="414433C8">
            <w:pPr>
              <w:rPr>
                <w:rFonts w:ascii="Arial"/>
                <w:sz w:val="21"/>
              </w:rPr>
            </w:pPr>
          </w:p>
        </w:tc>
        <w:tc>
          <w:tcPr>
            <w:tcW w:w="1218" w:type="dxa"/>
            <w:gridSpan w:val="2"/>
            <w:vAlign w:val="top"/>
          </w:tcPr>
          <w:p w14:paraId="11AAA71B">
            <w:pPr>
              <w:rPr>
                <w:rFonts w:ascii="Arial"/>
                <w:sz w:val="21"/>
              </w:rPr>
            </w:pPr>
          </w:p>
        </w:tc>
        <w:tc>
          <w:tcPr>
            <w:tcW w:w="1131" w:type="dxa"/>
            <w:vAlign w:val="top"/>
          </w:tcPr>
          <w:p w14:paraId="4B7E85CB">
            <w:pPr>
              <w:rPr>
                <w:rFonts w:ascii="Arial"/>
                <w:sz w:val="21"/>
              </w:rPr>
            </w:pPr>
          </w:p>
        </w:tc>
        <w:tc>
          <w:tcPr>
            <w:tcW w:w="1166" w:type="dxa"/>
            <w:tcBorders>
              <w:right w:val="single" w:color="000000" w:sz="4" w:space="0"/>
            </w:tcBorders>
            <w:vAlign w:val="top"/>
          </w:tcPr>
          <w:p w14:paraId="3B18F9A3">
            <w:pPr>
              <w:rPr>
                <w:rFonts w:ascii="Arial"/>
                <w:sz w:val="21"/>
              </w:rPr>
            </w:pPr>
          </w:p>
        </w:tc>
      </w:tr>
      <w:tr w14:paraId="25C923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9" w:hRule="atLeast"/>
        </w:trPr>
        <w:tc>
          <w:tcPr>
            <w:tcW w:w="6421" w:type="dxa"/>
            <w:gridSpan w:val="6"/>
            <w:tcBorders>
              <w:left w:val="single" w:color="000000" w:sz="4" w:space="0"/>
              <w:right w:val="single" w:color="000000" w:sz="4" w:space="0"/>
            </w:tcBorders>
            <w:vAlign w:val="top"/>
          </w:tcPr>
          <w:p w14:paraId="601F6BAC">
            <w:pPr>
              <w:pStyle w:val="11"/>
              <w:spacing w:before="139" w:line="222" w:lineRule="auto"/>
              <w:ind w:left="2804"/>
            </w:pPr>
            <w:r>
              <w:rPr>
                <w:spacing w:val="-1"/>
              </w:rPr>
              <w:t>人工小计</w:t>
            </w:r>
          </w:p>
        </w:tc>
        <w:tc>
          <w:tcPr>
            <w:tcW w:w="1151" w:type="dxa"/>
            <w:gridSpan w:val="2"/>
            <w:tcBorders>
              <w:left w:val="single" w:color="000000" w:sz="4" w:space="0"/>
              <w:right w:val="single" w:color="000000" w:sz="4" w:space="0"/>
            </w:tcBorders>
            <w:vAlign w:val="top"/>
          </w:tcPr>
          <w:p w14:paraId="47F94A98">
            <w:pPr>
              <w:rPr>
                <w:rFonts w:ascii="Arial"/>
                <w:sz w:val="21"/>
              </w:rPr>
            </w:pPr>
          </w:p>
        </w:tc>
        <w:tc>
          <w:tcPr>
            <w:tcW w:w="1166" w:type="dxa"/>
            <w:tcBorders>
              <w:left w:val="single" w:color="000000" w:sz="4" w:space="0"/>
              <w:right w:val="single" w:color="000000" w:sz="4" w:space="0"/>
            </w:tcBorders>
            <w:vAlign w:val="top"/>
          </w:tcPr>
          <w:p w14:paraId="6304AB27">
            <w:pPr>
              <w:rPr>
                <w:rFonts w:ascii="Arial"/>
                <w:sz w:val="21"/>
              </w:rPr>
            </w:pPr>
          </w:p>
        </w:tc>
      </w:tr>
      <w:tr w14:paraId="25F4DE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4" w:hRule="atLeast"/>
        </w:trPr>
        <w:tc>
          <w:tcPr>
            <w:tcW w:w="792" w:type="dxa"/>
            <w:tcBorders>
              <w:left w:val="single" w:color="000000" w:sz="4" w:space="0"/>
            </w:tcBorders>
            <w:vAlign w:val="top"/>
          </w:tcPr>
          <w:p w14:paraId="6C319F74">
            <w:pPr>
              <w:pStyle w:val="11"/>
              <w:spacing w:before="174" w:line="179" w:lineRule="auto"/>
              <w:ind w:left="294"/>
            </w:pPr>
            <w:r>
              <w:t>二</w:t>
            </w:r>
          </w:p>
        </w:tc>
        <w:tc>
          <w:tcPr>
            <w:tcW w:w="1911" w:type="dxa"/>
            <w:tcBorders>
              <w:right w:val="single" w:color="000000" w:sz="4" w:space="0"/>
            </w:tcBorders>
            <w:vAlign w:val="top"/>
          </w:tcPr>
          <w:p w14:paraId="7AD49937">
            <w:pPr>
              <w:pStyle w:val="11"/>
              <w:spacing w:before="135" w:line="220" w:lineRule="auto"/>
              <w:ind w:left="745"/>
            </w:pPr>
            <w:r>
              <w:rPr>
                <w:spacing w:val="-2"/>
              </w:rPr>
              <w:t>材料</w:t>
            </w:r>
          </w:p>
        </w:tc>
        <w:tc>
          <w:tcPr>
            <w:tcW w:w="717" w:type="dxa"/>
            <w:tcBorders>
              <w:left w:val="single" w:color="000000" w:sz="4" w:space="0"/>
            </w:tcBorders>
            <w:vAlign w:val="top"/>
          </w:tcPr>
          <w:p w14:paraId="22CC225F">
            <w:pPr>
              <w:rPr>
                <w:rFonts w:ascii="Arial"/>
                <w:sz w:val="21"/>
              </w:rPr>
            </w:pPr>
          </w:p>
        </w:tc>
        <w:tc>
          <w:tcPr>
            <w:tcW w:w="899" w:type="dxa"/>
            <w:tcBorders>
              <w:right w:val="single" w:color="000000" w:sz="4" w:space="0"/>
            </w:tcBorders>
            <w:vAlign w:val="top"/>
          </w:tcPr>
          <w:p w14:paraId="1264473E">
            <w:pPr>
              <w:rPr>
                <w:rFonts w:ascii="Arial"/>
                <w:sz w:val="21"/>
              </w:rPr>
            </w:pPr>
          </w:p>
        </w:tc>
        <w:tc>
          <w:tcPr>
            <w:tcW w:w="904" w:type="dxa"/>
            <w:tcBorders>
              <w:left w:val="single" w:color="000000" w:sz="4" w:space="0"/>
            </w:tcBorders>
            <w:vAlign w:val="top"/>
          </w:tcPr>
          <w:p w14:paraId="5AD2D712">
            <w:pPr>
              <w:rPr>
                <w:rFonts w:ascii="Arial"/>
                <w:sz w:val="21"/>
              </w:rPr>
            </w:pPr>
          </w:p>
        </w:tc>
        <w:tc>
          <w:tcPr>
            <w:tcW w:w="1218" w:type="dxa"/>
            <w:gridSpan w:val="2"/>
            <w:vAlign w:val="top"/>
          </w:tcPr>
          <w:p w14:paraId="6D68BD0C">
            <w:pPr>
              <w:rPr>
                <w:rFonts w:ascii="Arial"/>
                <w:sz w:val="21"/>
              </w:rPr>
            </w:pPr>
          </w:p>
        </w:tc>
        <w:tc>
          <w:tcPr>
            <w:tcW w:w="1131" w:type="dxa"/>
            <w:vAlign w:val="top"/>
          </w:tcPr>
          <w:p w14:paraId="3C03E43A">
            <w:pPr>
              <w:rPr>
                <w:rFonts w:ascii="Arial"/>
                <w:sz w:val="21"/>
              </w:rPr>
            </w:pPr>
          </w:p>
        </w:tc>
        <w:tc>
          <w:tcPr>
            <w:tcW w:w="1166" w:type="dxa"/>
            <w:tcBorders>
              <w:right w:val="single" w:color="000000" w:sz="4" w:space="0"/>
            </w:tcBorders>
            <w:vAlign w:val="top"/>
          </w:tcPr>
          <w:p w14:paraId="44BB9B9A">
            <w:pPr>
              <w:rPr>
                <w:rFonts w:ascii="Arial"/>
                <w:sz w:val="21"/>
              </w:rPr>
            </w:pPr>
          </w:p>
        </w:tc>
      </w:tr>
      <w:tr w14:paraId="32F5A8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9" w:hRule="atLeast"/>
        </w:trPr>
        <w:tc>
          <w:tcPr>
            <w:tcW w:w="792" w:type="dxa"/>
            <w:tcBorders>
              <w:left w:val="single" w:color="000000" w:sz="4" w:space="0"/>
            </w:tcBorders>
            <w:vAlign w:val="top"/>
          </w:tcPr>
          <w:p w14:paraId="4EBF8871">
            <w:pPr>
              <w:spacing w:before="174" w:line="183" w:lineRule="auto"/>
              <w:ind w:left="355"/>
              <w:rPr>
                <w:rFonts w:ascii="黑体" w:hAnsi="黑体" w:eastAsia="黑体" w:cs="黑体"/>
                <w:sz w:val="21"/>
                <w:szCs w:val="21"/>
              </w:rPr>
            </w:pPr>
            <w:r>
              <w:rPr>
                <w:rFonts w:ascii="黑体" w:hAnsi="黑体" w:eastAsia="黑体" w:cs="黑体"/>
                <w:sz w:val="21"/>
                <w:szCs w:val="21"/>
              </w:rPr>
              <w:t>1</w:t>
            </w:r>
          </w:p>
        </w:tc>
        <w:tc>
          <w:tcPr>
            <w:tcW w:w="1911" w:type="dxa"/>
            <w:tcBorders>
              <w:right w:val="single" w:color="000000" w:sz="4" w:space="0"/>
            </w:tcBorders>
            <w:vAlign w:val="top"/>
          </w:tcPr>
          <w:p w14:paraId="0475A1F0">
            <w:pPr>
              <w:rPr>
                <w:rFonts w:ascii="Arial"/>
                <w:sz w:val="21"/>
              </w:rPr>
            </w:pPr>
          </w:p>
        </w:tc>
        <w:tc>
          <w:tcPr>
            <w:tcW w:w="717" w:type="dxa"/>
            <w:tcBorders>
              <w:left w:val="single" w:color="000000" w:sz="4" w:space="0"/>
            </w:tcBorders>
            <w:vAlign w:val="top"/>
          </w:tcPr>
          <w:p w14:paraId="296CAD8D">
            <w:pPr>
              <w:rPr>
                <w:rFonts w:ascii="Arial"/>
                <w:sz w:val="21"/>
              </w:rPr>
            </w:pPr>
          </w:p>
        </w:tc>
        <w:tc>
          <w:tcPr>
            <w:tcW w:w="899" w:type="dxa"/>
            <w:tcBorders>
              <w:right w:val="single" w:color="000000" w:sz="4" w:space="0"/>
            </w:tcBorders>
            <w:vAlign w:val="top"/>
          </w:tcPr>
          <w:p w14:paraId="39B570AD">
            <w:pPr>
              <w:rPr>
                <w:rFonts w:ascii="Arial"/>
                <w:sz w:val="21"/>
              </w:rPr>
            </w:pPr>
          </w:p>
        </w:tc>
        <w:tc>
          <w:tcPr>
            <w:tcW w:w="904" w:type="dxa"/>
            <w:tcBorders>
              <w:left w:val="single" w:color="000000" w:sz="4" w:space="0"/>
            </w:tcBorders>
            <w:vAlign w:val="top"/>
          </w:tcPr>
          <w:p w14:paraId="6E04BA50">
            <w:pPr>
              <w:rPr>
                <w:rFonts w:ascii="Arial"/>
                <w:sz w:val="21"/>
              </w:rPr>
            </w:pPr>
          </w:p>
        </w:tc>
        <w:tc>
          <w:tcPr>
            <w:tcW w:w="1218" w:type="dxa"/>
            <w:gridSpan w:val="2"/>
            <w:vAlign w:val="top"/>
          </w:tcPr>
          <w:p w14:paraId="47F94159">
            <w:pPr>
              <w:rPr>
                <w:rFonts w:ascii="Arial"/>
                <w:sz w:val="21"/>
              </w:rPr>
            </w:pPr>
          </w:p>
        </w:tc>
        <w:tc>
          <w:tcPr>
            <w:tcW w:w="1131" w:type="dxa"/>
            <w:vAlign w:val="top"/>
          </w:tcPr>
          <w:p w14:paraId="7C639C13">
            <w:pPr>
              <w:rPr>
                <w:rFonts w:ascii="Arial"/>
                <w:sz w:val="21"/>
              </w:rPr>
            </w:pPr>
          </w:p>
        </w:tc>
        <w:tc>
          <w:tcPr>
            <w:tcW w:w="1166" w:type="dxa"/>
            <w:tcBorders>
              <w:right w:val="single" w:color="000000" w:sz="4" w:space="0"/>
            </w:tcBorders>
            <w:vAlign w:val="top"/>
          </w:tcPr>
          <w:p w14:paraId="16618345">
            <w:pPr>
              <w:rPr>
                <w:rFonts w:ascii="Arial"/>
                <w:sz w:val="21"/>
              </w:rPr>
            </w:pPr>
          </w:p>
        </w:tc>
      </w:tr>
      <w:tr w14:paraId="28B2E7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4" w:hRule="atLeast"/>
        </w:trPr>
        <w:tc>
          <w:tcPr>
            <w:tcW w:w="792" w:type="dxa"/>
            <w:tcBorders>
              <w:left w:val="single" w:color="000000" w:sz="4" w:space="0"/>
            </w:tcBorders>
            <w:vAlign w:val="top"/>
          </w:tcPr>
          <w:p w14:paraId="4BB122FB">
            <w:pPr>
              <w:spacing w:before="169" w:line="184" w:lineRule="auto"/>
              <w:ind w:left="342"/>
              <w:rPr>
                <w:rFonts w:ascii="黑体" w:hAnsi="黑体" w:eastAsia="黑体" w:cs="黑体"/>
                <w:sz w:val="21"/>
                <w:szCs w:val="21"/>
              </w:rPr>
            </w:pPr>
            <w:r>
              <w:rPr>
                <w:rFonts w:ascii="黑体" w:hAnsi="黑体" w:eastAsia="黑体" w:cs="黑体"/>
                <w:sz w:val="21"/>
                <w:szCs w:val="21"/>
              </w:rPr>
              <w:t>2</w:t>
            </w:r>
          </w:p>
        </w:tc>
        <w:tc>
          <w:tcPr>
            <w:tcW w:w="1911" w:type="dxa"/>
            <w:tcBorders>
              <w:right w:val="single" w:color="000000" w:sz="4" w:space="0"/>
            </w:tcBorders>
            <w:vAlign w:val="top"/>
          </w:tcPr>
          <w:p w14:paraId="4A7D4F8F">
            <w:pPr>
              <w:rPr>
                <w:rFonts w:ascii="Arial"/>
                <w:sz w:val="21"/>
              </w:rPr>
            </w:pPr>
          </w:p>
        </w:tc>
        <w:tc>
          <w:tcPr>
            <w:tcW w:w="717" w:type="dxa"/>
            <w:tcBorders>
              <w:left w:val="single" w:color="000000" w:sz="4" w:space="0"/>
            </w:tcBorders>
            <w:vAlign w:val="top"/>
          </w:tcPr>
          <w:p w14:paraId="28A636AF">
            <w:pPr>
              <w:rPr>
                <w:rFonts w:ascii="Arial"/>
                <w:sz w:val="21"/>
              </w:rPr>
            </w:pPr>
          </w:p>
        </w:tc>
        <w:tc>
          <w:tcPr>
            <w:tcW w:w="899" w:type="dxa"/>
            <w:tcBorders>
              <w:right w:val="single" w:color="000000" w:sz="4" w:space="0"/>
            </w:tcBorders>
            <w:vAlign w:val="top"/>
          </w:tcPr>
          <w:p w14:paraId="71C0FE69">
            <w:pPr>
              <w:rPr>
                <w:rFonts w:ascii="Arial"/>
                <w:sz w:val="21"/>
              </w:rPr>
            </w:pPr>
          </w:p>
        </w:tc>
        <w:tc>
          <w:tcPr>
            <w:tcW w:w="904" w:type="dxa"/>
            <w:tcBorders>
              <w:left w:val="single" w:color="000000" w:sz="4" w:space="0"/>
            </w:tcBorders>
            <w:vAlign w:val="top"/>
          </w:tcPr>
          <w:p w14:paraId="1737E4C8">
            <w:pPr>
              <w:rPr>
                <w:rFonts w:ascii="Arial"/>
                <w:sz w:val="21"/>
              </w:rPr>
            </w:pPr>
          </w:p>
        </w:tc>
        <w:tc>
          <w:tcPr>
            <w:tcW w:w="1218" w:type="dxa"/>
            <w:gridSpan w:val="2"/>
            <w:vAlign w:val="top"/>
          </w:tcPr>
          <w:p w14:paraId="7F7DD162">
            <w:pPr>
              <w:rPr>
                <w:rFonts w:ascii="Arial"/>
                <w:sz w:val="21"/>
              </w:rPr>
            </w:pPr>
          </w:p>
        </w:tc>
        <w:tc>
          <w:tcPr>
            <w:tcW w:w="1131" w:type="dxa"/>
            <w:vAlign w:val="top"/>
          </w:tcPr>
          <w:p w14:paraId="5E65ED71">
            <w:pPr>
              <w:rPr>
                <w:rFonts w:ascii="Arial"/>
                <w:sz w:val="21"/>
              </w:rPr>
            </w:pPr>
          </w:p>
        </w:tc>
        <w:tc>
          <w:tcPr>
            <w:tcW w:w="1166" w:type="dxa"/>
            <w:tcBorders>
              <w:right w:val="single" w:color="000000" w:sz="4" w:space="0"/>
            </w:tcBorders>
            <w:vAlign w:val="top"/>
          </w:tcPr>
          <w:p w14:paraId="14B30100">
            <w:pPr>
              <w:rPr>
                <w:rFonts w:ascii="Arial"/>
                <w:sz w:val="21"/>
              </w:rPr>
            </w:pPr>
          </w:p>
        </w:tc>
      </w:tr>
      <w:tr w14:paraId="56C42F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9" w:hRule="atLeast"/>
        </w:trPr>
        <w:tc>
          <w:tcPr>
            <w:tcW w:w="792" w:type="dxa"/>
            <w:tcBorders>
              <w:left w:val="single" w:color="000000" w:sz="4" w:space="0"/>
            </w:tcBorders>
            <w:vAlign w:val="top"/>
          </w:tcPr>
          <w:p w14:paraId="546A3D79">
            <w:pPr>
              <w:spacing w:before="175" w:line="184" w:lineRule="auto"/>
              <w:ind w:left="344"/>
              <w:rPr>
                <w:rFonts w:ascii="黑体" w:hAnsi="黑体" w:eastAsia="黑体" w:cs="黑体"/>
                <w:sz w:val="21"/>
                <w:szCs w:val="21"/>
              </w:rPr>
            </w:pPr>
            <w:r>
              <w:rPr>
                <w:rFonts w:ascii="黑体" w:hAnsi="黑体" w:eastAsia="黑体" w:cs="黑体"/>
                <w:sz w:val="21"/>
                <w:szCs w:val="21"/>
              </w:rPr>
              <w:t>3</w:t>
            </w:r>
          </w:p>
        </w:tc>
        <w:tc>
          <w:tcPr>
            <w:tcW w:w="1911" w:type="dxa"/>
            <w:tcBorders>
              <w:right w:val="single" w:color="000000" w:sz="4" w:space="0"/>
            </w:tcBorders>
            <w:vAlign w:val="top"/>
          </w:tcPr>
          <w:p w14:paraId="6DCF9529">
            <w:pPr>
              <w:rPr>
                <w:rFonts w:ascii="Arial"/>
                <w:sz w:val="21"/>
              </w:rPr>
            </w:pPr>
          </w:p>
        </w:tc>
        <w:tc>
          <w:tcPr>
            <w:tcW w:w="717" w:type="dxa"/>
            <w:tcBorders>
              <w:left w:val="single" w:color="000000" w:sz="4" w:space="0"/>
            </w:tcBorders>
            <w:vAlign w:val="top"/>
          </w:tcPr>
          <w:p w14:paraId="2A65EE6F">
            <w:pPr>
              <w:rPr>
                <w:rFonts w:ascii="Arial"/>
                <w:sz w:val="21"/>
              </w:rPr>
            </w:pPr>
          </w:p>
        </w:tc>
        <w:tc>
          <w:tcPr>
            <w:tcW w:w="899" w:type="dxa"/>
            <w:tcBorders>
              <w:right w:val="single" w:color="000000" w:sz="4" w:space="0"/>
            </w:tcBorders>
            <w:vAlign w:val="top"/>
          </w:tcPr>
          <w:p w14:paraId="4256E942">
            <w:pPr>
              <w:rPr>
                <w:rFonts w:ascii="Arial"/>
                <w:sz w:val="21"/>
              </w:rPr>
            </w:pPr>
          </w:p>
        </w:tc>
        <w:tc>
          <w:tcPr>
            <w:tcW w:w="904" w:type="dxa"/>
            <w:tcBorders>
              <w:left w:val="single" w:color="000000" w:sz="4" w:space="0"/>
            </w:tcBorders>
            <w:vAlign w:val="top"/>
          </w:tcPr>
          <w:p w14:paraId="3293C631">
            <w:pPr>
              <w:rPr>
                <w:rFonts w:ascii="Arial"/>
                <w:sz w:val="21"/>
              </w:rPr>
            </w:pPr>
          </w:p>
        </w:tc>
        <w:tc>
          <w:tcPr>
            <w:tcW w:w="1218" w:type="dxa"/>
            <w:gridSpan w:val="2"/>
            <w:vAlign w:val="top"/>
          </w:tcPr>
          <w:p w14:paraId="470A06A1">
            <w:pPr>
              <w:rPr>
                <w:rFonts w:ascii="Arial"/>
                <w:sz w:val="21"/>
              </w:rPr>
            </w:pPr>
          </w:p>
        </w:tc>
        <w:tc>
          <w:tcPr>
            <w:tcW w:w="1131" w:type="dxa"/>
            <w:vAlign w:val="top"/>
          </w:tcPr>
          <w:p w14:paraId="41E4B827">
            <w:pPr>
              <w:rPr>
                <w:rFonts w:ascii="Arial"/>
                <w:sz w:val="21"/>
              </w:rPr>
            </w:pPr>
          </w:p>
        </w:tc>
        <w:tc>
          <w:tcPr>
            <w:tcW w:w="1166" w:type="dxa"/>
            <w:tcBorders>
              <w:right w:val="single" w:color="000000" w:sz="4" w:space="0"/>
            </w:tcBorders>
            <w:vAlign w:val="top"/>
          </w:tcPr>
          <w:p w14:paraId="473E247C">
            <w:pPr>
              <w:rPr>
                <w:rFonts w:ascii="Arial"/>
                <w:sz w:val="21"/>
              </w:rPr>
            </w:pPr>
          </w:p>
        </w:tc>
      </w:tr>
      <w:tr w14:paraId="535032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4" w:hRule="atLeast"/>
        </w:trPr>
        <w:tc>
          <w:tcPr>
            <w:tcW w:w="6421" w:type="dxa"/>
            <w:gridSpan w:val="6"/>
            <w:tcBorders>
              <w:left w:val="single" w:color="000000" w:sz="4" w:space="0"/>
              <w:right w:val="single" w:color="000000" w:sz="4" w:space="0"/>
            </w:tcBorders>
            <w:vAlign w:val="top"/>
          </w:tcPr>
          <w:p w14:paraId="60CB6F88">
            <w:pPr>
              <w:pStyle w:val="11"/>
              <w:spacing w:before="137" w:line="220" w:lineRule="auto"/>
              <w:ind w:left="2802"/>
            </w:pPr>
            <w:r>
              <w:rPr>
                <w:spacing w:val="-1"/>
              </w:rPr>
              <w:t>材料小计</w:t>
            </w:r>
          </w:p>
        </w:tc>
        <w:tc>
          <w:tcPr>
            <w:tcW w:w="1151" w:type="dxa"/>
            <w:gridSpan w:val="2"/>
            <w:tcBorders>
              <w:left w:val="single" w:color="000000" w:sz="4" w:space="0"/>
              <w:right w:val="single" w:color="000000" w:sz="4" w:space="0"/>
            </w:tcBorders>
            <w:vAlign w:val="top"/>
          </w:tcPr>
          <w:p w14:paraId="4FD64ED5">
            <w:pPr>
              <w:rPr>
                <w:rFonts w:ascii="Arial"/>
                <w:sz w:val="21"/>
              </w:rPr>
            </w:pPr>
          </w:p>
        </w:tc>
        <w:tc>
          <w:tcPr>
            <w:tcW w:w="1166" w:type="dxa"/>
            <w:tcBorders>
              <w:left w:val="single" w:color="000000" w:sz="4" w:space="0"/>
              <w:right w:val="single" w:color="000000" w:sz="4" w:space="0"/>
            </w:tcBorders>
            <w:vAlign w:val="top"/>
          </w:tcPr>
          <w:p w14:paraId="53CF6BAD">
            <w:pPr>
              <w:rPr>
                <w:rFonts w:ascii="Arial"/>
                <w:sz w:val="21"/>
              </w:rPr>
            </w:pPr>
          </w:p>
        </w:tc>
      </w:tr>
      <w:tr w14:paraId="2EC406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9" w:hRule="atLeast"/>
        </w:trPr>
        <w:tc>
          <w:tcPr>
            <w:tcW w:w="792" w:type="dxa"/>
            <w:tcBorders>
              <w:left w:val="single" w:color="000000" w:sz="4" w:space="0"/>
            </w:tcBorders>
            <w:vAlign w:val="top"/>
          </w:tcPr>
          <w:p w14:paraId="50F3A733">
            <w:pPr>
              <w:pStyle w:val="11"/>
              <w:spacing w:before="143" w:line="238" w:lineRule="auto"/>
              <w:ind w:left="291"/>
            </w:pPr>
            <w:r>
              <w:t>三</w:t>
            </w:r>
          </w:p>
        </w:tc>
        <w:tc>
          <w:tcPr>
            <w:tcW w:w="1911" w:type="dxa"/>
            <w:tcBorders>
              <w:right w:val="single" w:color="000000" w:sz="4" w:space="0"/>
            </w:tcBorders>
            <w:vAlign w:val="top"/>
          </w:tcPr>
          <w:p w14:paraId="1471BDEA">
            <w:pPr>
              <w:pStyle w:val="11"/>
              <w:spacing w:before="143" w:line="220" w:lineRule="auto"/>
              <w:ind w:left="533"/>
            </w:pPr>
            <w:r>
              <w:rPr>
                <w:spacing w:val="-1"/>
              </w:rPr>
              <w:t>施工机械</w:t>
            </w:r>
          </w:p>
        </w:tc>
        <w:tc>
          <w:tcPr>
            <w:tcW w:w="717" w:type="dxa"/>
            <w:tcBorders>
              <w:left w:val="single" w:color="000000" w:sz="4" w:space="0"/>
            </w:tcBorders>
            <w:vAlign w:val="top"/>
          </w:tcPr>
          <w:p w14:paraId="68645B2C">
            <w:pPr>
              <w:rPr>
                <w:rFonts w:ascii="Arial"/>
                <w:sz w:val="21"/>
              </w:rPr>
            </w:pPr>
          </w:p>
        </w:tc>
        <w:tc>
          <w:tcPr>
            <w:tcW w:w="899" w:type="dxa"/>
            <w:tcBorders>
              <w:right w:val="single" w:color="000000" w:sz="4" w:space="0"/>
            </w:tcBorders>
            <w:vAlign w:val="top"/>
          </w:tcPr>
          <w:p w14:paraId="5F5218B9">
            <w:pPr>
              <w:rPr>
                <w:rFonts w:ascii="Arial"/>
                <w:sz w:val="21"/>
              </w:rPr>
            </w:pPr>
          </w:p>
        </w:tc>
        <w:tc>
          <w:tcPr>
            <w:tcW w:w="904" w:type="dxa"/>
            <w:tcBorders>
              <w:left w:val="single" w:color="000000" w:sz="4" w:space="0"/>
            </w:tcBorders>
            <w:vAlign w:val="top"/>
          </w:tcPr>
          <w:p w14:paraId="312B5CC3">
            <w:pPr>
              <w:rPr>
                <w:rFonts w:ascii="Arial"/>
                <w:sz w:val="21"/>
              </w:rPr>
            </w:pPr>
          </w:p>
        </w:tc>
        <w:tc>
          <w:tcPr>
            <w:tcW w:w="1218" w:type="dxa"/>
            <w:gridSpan w:val="2"/>
            <w:vAlign w:val="top"/>
          </w:tcPr>
          <w:p w14:paraId="1677AC1A">
            <w:pPr>
              <w:rPr>
                <w:rFonts w:ascii="Arial"/>
                <w:sz w:val="21"/>
              </w:rPr>
            </w:pPr>
          </w:p>
        </w:tc>
        <w:tc>
          <w:tcPr>
            <w:tcW w:w="1131" w:type="dxa"/>
            <w:vAlign w:val="top"/>
          </w:tcPr>
          <w:p w14:paraId="23DE2FB7">
            <w:pPr>
              <w:rPr>
                <w:rFonts w:ascii="Arial"/>
                <w:sz w:val="21"/>
              </w:rPr>
            </w:pPr>
          </w:p>
        </w:tc>
        <w:tc>
          <w:tcPr>
            <w:tcW w:w="1166" w:type="dxa"/>
            <w:tcBorders>
              <w:right w:val="single" w:color="000000" w:sz="4" w:space="0"/>
            </w:tcBorders>
            <w:vAlign w:val="top"/>
          </w:tcPr>
          <w:p w14:paraId="1A4ACF90">
            <w:pPr>
              <w:rPr>
                <w:rFonts w:ascii="Arial"/>
                <w:sz w:val="21"/>
              </w:rPr>
            </w:pPr>
          </w:p>
        </w:tc>
      </w:tr>
      <w:tr w14:paraId="0B9561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4" w:hRule="atLeast"/>
        </w:trPr>
        <w:tc>
          <w:tcPr>
            <w:tcW w:w="792" w:type="dxa"/>
            <w:tcBorders>
              <w:left w:val="single" w:color="000000" w:sz="4" w:space="0"/>
            </w:tcBorders>
            <w:vAlign w:val="top"/>
          </w:tcPr>
          <w:p w14:paraId="735C105B">
            <w:pPr>
              <w:spacing w:before="173" w:line="183" w:lineRule="auto"/>
              <w:ind w:left="355"/>
              <w:rPr>
                <w:rFonts w:ascii="黑体" w:hAnsi="黑体" w:eastAsia="黑体" w:cs="黑体"/>
                <w:sz w:val="21"/>
                <w:szCs w:val="21"/>
              </w:rPr>
            </w:pPr>
            <w:r>
              <w:rPr>
                <w:rFonts w:ascii="黑体" w:hAnsi="黑体" w:eastAsia="黑体" w:cs="黑体"/>
                <w:sz w:val="21"/>
                <w:szCs w:val="21"/>
              </w:rPr>
              <w:t>1</w:t>
            </w:r>
          </w:p>
        </w:tc>
        <w:tc>
          <w:tcPr>
            <w:tcW w:w="1911" w:type="dxa"/>
            <w:tcBorders>
              <w:right w:val="single" w:color="000000" w:sz="4" w:space="0"/>
            </w:tcBorders>
            <w:vAlign w:val="top"/>
          </w:tcPr>
          <w:p w14:paraId="0AB97FD8">
            <w:pPr>
              <w:rPr>
                <w:rFonts w:ascii="Arial"/>
                <w:sz w:val="21"/>
              </w:rPr>
            </w:pPr>
          </w:p>
        </w:tc>
        <w:tc>
          <w:tcPr>
            <w:tcW w:w="717" w:type="dxa"/>
            <w:tcBorders>
              <w:left w:val="single" w:color="000000" w:sz="4" w:space="0"/>
            </w:tcBorders>
            <w:vAlign w:val="top"/>
          </w:tcPr>
          <w:p w14:paraId="70F4AD6F">
            <w:pPr>
              <w:rPr>
                <w:rFonts w:ascii="Arial"/>
                <w:sz w:val="21"/>
              </w:rPr>
            </w:pPr>
          </w:p>
        </w:tc>
        <w:tc>
          <w:tcPr>
            <w:tcW w:w="899" w:type="dxa"/>
            <w:tcBorders>
              <w:right w:val="single" w:color="000000" w:sz="4" w:space="0"/>
            </w:tcBorders>
            <w:vAlign w:val="top"/>
          </w:tcPr>
          <w:p w14:paraId="3BB18798">
            <w:pPr>
              <w:rPr>
                <w:rFonts w:ascii="Arial"/>
                <w:sz w:val="21"/>
              </w:rPr>
            </w:pPr>
          </w:p>
        </w:tc>
        <w:tc>
          <w:tcPr>
            <w:tcW w:w="904" w:type="dxa"/>
            <w:tcBorders>
              <w:left w:val="single" w:color="000000" w:sz="4" w:space="0"/>
            </w:tcBorders>
            <w:vAlign w:val="top"/>
          </w:tcPr>
          <w:p w14:paraId="7A3BBE19">
            <w:pPr>
              <w:rPr>
                <w:rFonts w:ascii="Arial"/>
                <w:sz w:val="21"/>
              </w:rPr>
            </w:pPr>
          </w:p>
        </w:tc>
        <w:tc>
          <w:tcPr>
            <w:tcW w:w="1218" w:type="dxa"/>
            <w:gridSpan w:val="2"/>
            <w:vAlign w:val="top"/>
          </w:tcPr>
          <w:p w14:paraId="0EDC706D">
            <w:pPr>
              <w:rPr>
                <w:rFonts w:ascii="Arial"/>
                <w:sz w:val="21"/>
              </w:rPr>
            </w:pPr>
          </w:p>
        </w:tc>
        <w:tc>
          <w:tcPr>
            <w:tcW w:w="1131" w:type="dxa"/>
            <w:vAlign w:val="top"/>
          </w:tcPr>
          <w:p w14:paraId="261576ED">
            <w:pPr>
              <w:rPr>
                <w:rFonts w:ascii="Arial"/>
                <w:sz w:val="21"/>
              </w:rPr>
            </w:pPr>
          </w:p>
        </w:tc>
        <w:tc>
          <w:tcPr>
            <w:tcW w:w="1166" w:type="dxa"/>
            <w:tcBorders>
              <w:right w:val="single" w:color="000000" w:sz="4" w:space="0"/>
            </w:tcBorders>
            <w:vAlign w:val="top"/>
          </w:tcPr>
          <w:p w14:paraId="06448DF0">
            <w:pPr>
              <w:rPr>
                <w:rFonts w:ascii="Arial"/>
                <w:sz w:val="21"/>
              </w:rPr>
            </w:pPr>
          </w:p>
        </w:tc>
      </w:tr>
      <w:tr w14:paraId="422864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9" w:hRule="atLeast"/>
        </w:trPr>
        <w:tc>
          <w:tcPr>
            <w:tcW w:w="792" w:type="dxa"/>
            <w:tcBorders>
              <w:left w:val="single" w:color="000000" w:sz="4" w:space="0"/>
            </w:tcBorders>
            <w:vAlign w:val="top"/>
          </w:tcPr>
          <w:p w14:paraId="3DB541BA">
            <w:pPr>
              <w:spacing w:before="177" w:line="184" w:lineRule="auto"/>
              <w:ind w:left="342"/>
              <w:rPr>
                <w:rFonts w:ascii="黑体" w:hAnsi="黑体" w:eastAsia="黑体" w:cs="黑体"/>
                <w:sz w:val="21"/>
                <w:szCs w:val="21"/>
              </w:rPr>
            </w:pPr>
            <w:r>
              <w:rPr>
                <w:rFonts w:ascii="黑体" w:hAnsi="黑体" w:eastAsia="黑体" w:cs="黑体"/>
                <w:sz w:val="21"/>
                <w:szCs w:val="21"/>
              </w:rPr>
              <w:t>2</w:t>
            </w:r>
          </w:p>
        </w:tc>
        <w:tc>
          <w:tcPr>
            <w:tcW w:w="1911" w:type="dxa"/>
            <w:tcBorders>
              <w:right w:val="single" w:color="000000" w:sz="4" w:space="0"/>
            </w:tcBorders>
            <w:vAlign w:val="top"/>
          </w:tcPr>
          <w:p w14:paraId="4916A9CB">
            <w:pPr>
              <w:rPr>
                <w:rFonts w:ascii="Arial"/>
                <w:sz w:val="21"/>
              </w:rPr>
            </w:pPr>
          </w:p>
        </w:tc>
        <w:tc>
          <w:tcPr>
            <w:tcW w:w="717" w:type="dxa"/>
            <w:tcBorders>
              <w:left w:val="single" w:color="000000" w:sz="4" w:space="0"/>
            </w:tcBorders>
            <w:vAlign w:val="top"/>
          </w:tcPr>
          <w:p w14:paraId="1B82168F">
            <w:pPr>
              <w:rPr>
                <w:rFonts w:ascii="Arial"/>
                <w:sz w:val="21"/>
              </w:rPr>
            </w:pPr>
          </w:p>
        </w:tc>
        <w:tc>
          <w:tcPr>
            <w:tcW w:w="899" w:type="dxa"/>
            <w:tcBorders>
              <w:right w:val="single" w:color="000000" w:sz="4" w:space="0"/>
            </w:tcBorders>
            <w:vAlign w:val="top"/>
          </w:tcPr>
          <w:p w14:paraId="04ABB473">
            <w:pPr>
              <w:rPr>
                <w:rFonts w:ascii="Arial"/>
                <w:sz w:val="21"/>
              </w:rPr>
            </w:pPr>
          </w:p>
        </w:tc>
        <w:tc>
          <w:tcPr>
            <w:tcW w:w="904" w:type="dxa"/>
            <w:tcBorders>
              <w:left w:val="single" w:color="000000" w:sz="4" w:space="0"/>
            </w:tcBorders>
            <w:vAlign w:val="top"/>
          </w:tcPr>
          <w:p w14:paraId="7E0A822D">
            <w:pPr>
              <w:rPr>
                <w:rFonts w:ascii="Arial"/>
                <w:sz w:val="21"/>
              </w:rPr>
            </w:pPr>
          </w:p>
        </w:tc>
        <w:tc>
          <w:tcPr>
            <w:tcW w:w="1218" w:type="dxa"/>
            <w:gridSpan w:val="2"/>
            <w:vAlign w:val="top"/>
          </w:tcPr>
          <w:p w14:paraId="19E3936A">
            <w:pPr>
              <w:rPr>
                <w:rFonts w:ascii="Arial"/>
                <w:sz w:val="21"/>
              </w:rPr>
            </w:pPr>
          </w:p>
        </w:tc>
        <w:tc>
          <w:tcPr>
            <w:tcW w:w="1131" w:type="dxa"/>
            <w:vAlign w:val="top"/>
          </w:tcPr>
          <w:p w14:paraId="3D7BC7F6">
            <w:pPr>
              <w:rPr>
                <w:rFonts w:ascii="Arial"/>
                <w:sz w:val="21"/>
              </w:rPr>
            </w:pPr>
          </w:p>
        </w:tc>
        <w:tc>
          <w:tcPr>
            <w:tcW w:w="1166" w:type="dxa"/>
            <w:tcBorders>
              <w:right w:val="single" w:color="000000" w:sz="4" w:space="0"/>
            </w:tcBorders>
            <w:vAlign w:val="top"/>
          </w:tcPr>
          <w:p w14:paraId="7FF89C2A">
            <w:pPr>
              <w:rPr>
                <w:rFonts w:ascii="Arial"/>
                <w:sz w:val="21"/>
              </w:rPr>
            </w:pPr>
          </w:p>
        </w:tc>
      </w:tr>
      <w:tr w14:paraId="044F52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5" w:hRule="atLeast"/>
        </w:trPr>
        <w:tc>
          <w:tcPr>
            <w:tcW w:w="792" w:type="dxa"/>
            <w:tcBorders>
              <w:left w:val="single" w:color="000000" w:sz="4" w:space="0"/>
            </w:tcBorders>
            <w:vAlign w:val="top"/>
          </w:tcPr>
          <w:p w14:paraId="5D15DDE4">
            <w:pPr>
              <w:spacing w:before="173" w:line="184" w:lineRule="auto"/>
              <w:ind w:left="344"/>
              <w:rPr>
                <w:rFonts w:ascii="黑体" w:hAnsi="黑体" w:eastAsia="黑体" w:cs="黑体"/>
                <w:sz w:val="21"/>
                <w:szCs w:val="21"/>
              </w:rPr>
            </w:pPr>
            <w:r>
              <w:rPr>
                <w:rFonts w:ascii="黑体" w:hAnsi="黑体" w:eastAsia="黑体" w:cs="黑体"/>
                <w:sz w:val="21"/>
                <w:szCs w:val="21"/>
              </w:rPr>
              <w:t>3</w:t>
            </w:r>
          </w:p>
        </w:tc>
        <w:tc>
          <w:tcPr>
            <w:tcW w:w="1911" w:type="dxa"/>
            <w:tcBorders>
              <w:right w:val="single" w:color="000000" w:sz="4" w:space="0"/>
            </w:tcBorders>
            <w:vAlign w:val="top"/>
          </w:tcPr>
          <w:p w14:paraId="636DACED">
            <w:pPr>
              <w:rPr>
                <w:rFonts w:ascii="Arial"/>
                <w:sz w:val="21"/>
              </w:rPr>
            </w:pPr>
          </w:p>
        </w:tc>
        <w:tc>
          <w:tcPr>
            <w:tcW w:w="717" w:type="dxa"/>
            <w:tcBorders>
              <w:left w:val="single" w:color="000000" w:sz="4" w:space="0"/>
            </w:tcBorders>
            <w:vAlign w:val="top"/>
          </w:tcPr>
          <w:p w14:paraId="193FF9C6">
            <w:pPr>
              <w:rPr>
                <w:rFonts w:ascii="Arial"/>
                <w:sz w:val="21"/>
              </w:rPr>
            </w:pPr>
          </w:p>
        </w:tc>
        <w:tc>
          <w:tcPr>
            <w:tcW w:w="899" w:type="dxa"/>
            <w:tcBorders>
              <w:right w:val="single" w:color="000000" w:sz="4" w:space="0"/>
            </w:tcBorders>
            <w:vAlign w:val="top"/>
          </w:tcPr>
          <w:p w14:paraId="5B67A4B6">
            <w:pPr>
              <w:rPr>
                <w:rFonts w:ascii="Arial"/>
                <w:sz w:val="21"/>
              </w:rPr>
            </w:pPr>
          </w:p>
        </w:tc>
        <w:tc>
          <w:tcPr>
            <w:tcW w:w="904" w:type="dxa"/>
            <w:tcBorders>
              <w:left w:val="single" w:color="000000" w:sz="4" w:space="0"/>
            </w:tcBorders>
            <w:vAlign w:val="top"/>
          </w:tcPr>
          <w:p w14:paraId="6C0E7F1A">
            <w:pPr>
              <w:rPr>
                <w:rFonts w:ascii="Arial"/>
                <w:sz w:val="21"/>
              </w:rPr>
            </w:pPr>
          </w:p>
        </w:tc>
        <w:tc>
          <w:tcPr>
            <w:tcW w:w="1218" w:type="dxa"/>
            <w:gridSpan w:val="2"/>
            <w:vAlign w:val="top"/>
          </w:tcPr>
          <w:p w14:paraId="02438F5C">
            <w:pPr>
              <w:rPr>
                <w:rFonts w:ascii="Arial"/>
                <w:sz w:val="21"/>
              </w:rPr>
            </w:pPr>
          </w:p>
        </w:tc>
        <w:tc>
          <w:tcPr>
            <w:tcW w:w="1131" w:type="dxa"/>
            <w:vAlign w:val="top"/>
          </w:tcPr>
          <w:p w14:paraId="6142E55A">
            <w:pPr>
              <w:rPr>
                <w:rFonts w:ascii="Arial"/>
                <w:sz w:val="21"/>
              </w:rPr>
            </w:pPr>
          </w:p>
        </w:tc>
        <w:tc>
          <w:tcPr>
            <w:tcW w:w="1166" w:type="dxa"/>
            <w:tcBorders>
              <w:right w:val="single" w:color="000000" w:sz="4" w:space="0"/>
            </w:tcBorders>
            <w:vAlign w:val="top"/>
          </w:tcPr>
          <w:p w14:paraId="1F4B2BF1">
            <w:pPr>
              <w:rPr>
                <w:rFonts w:ascii="Arial"/>
                <w:sz w:val="21"/>
              </w:rPr>
            </w:pPr>
          </w:p>
        </w:tc>
      </w:tr>
      <w:tr w14:paraId="61BF61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9" w:hRule="atLeast"/>
        </w:trPr>
        <w:tc>
          <w:tcPr>
            <w:tcW w:w="6441" w:type="dxa"/>
            <w:gridSpan w:val="7"/>
            <w:tcBorders>
              <w:left w:val="single" w:color="000000" w:sz="4" w:space="0"/>
            </w:tcBorders>
            <w:vAlign w:val="top"/>
          </w:tcPr>
          <w:p w14:paraId="2F1093F6">
            <w:pPr>
              <w:pStyle w:val="11"/>
              <w:spacing w:before="144" w:line="220" w:lineRule="auto"/>
              <w:ind w:left="2595"/>
            </w:pPr>
            <w:r>
              <w:rPr>
                <w:spacing w:val="-1"/>
              </w:rPr>
              <w:t>施工机械小计</w:t>
            </w:r>
          </w:p>
        </w:tc>
        <w:tc>
          <w:tcPr>
            <w:tcW w:w="1131" w:type="dxa"/>
            <w:vAlign w:val="top"/>
          </w:tcPr>
          <w:p w14:paraId="139B499D">
            <w:pPr>
              <w:rPr>
                <w:rFonts w:ascii="Arial"/>
                <w:sz w:val="21"/>
              </w:rPr>
            </w:pPr>
          </w:p>
        </w:tc>
        <w:tc>
          <w:tcPr>
            <w:tcW w:w="1166" w:type="dxa"/>
            <w:tcBorders>
              <w:right w:val="single" w:color="000000" w:sz="4" w:space="0"/>
            </w:tcBorders>
            <w:vAlign w:val="top"/>
          </w:tcPr>
          <w:p w14:paraId="27F4F49D">
            <w:pPr>
              <w:rPr>
                <w:rFonts w:ascii="Arial"/>
                <w:sz w:val="21"/>
              </w:rPr>
            </w:pPr>
          </w:p>
        </w:tc>
      </w:tr>
      <w:tr w14:paraId="1B324A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4" w:hRule="atLeast"/>
        </w:trPr>
        <w:tc>
          <w:tcPr>
            <w:tcW w:w="6441" w:type="dxa"/>
            <w:gridSpan w:val="7"/>
            <w:tcBorders>
              <w:left w:val="single" w:color="000000" w:sz="4" w:space="0"/>
            </w:tcBorders>
            <w:vAlign w:val="top"/>
          </w:tcPr>
          <w:p w14:paraId="49E2F8FB">
            <w:pPr>
              <w:pStyle w:val="11"/>
              <w:spacing w:before="140" w:line="221" w:lineRule="auto"/>
              <w:ind w:left="133"/>
            </w:pPr>
            <w:r>
              <w:rPr>
                <w:spacing w:val="-2"/>
              </w:rPr>
              <w:t>四、企业管理费和利润小计</w:t>
            </w:r>
          </w:p>
        </w:tc>
        <w:tc>
          <w:tcPr>
            <w:tcW w:w="1131" w:type="dxa"/>
            <w:vAlign w:val="top"/>
          </w:tcPr>
          <w:p w14:paraId="4F3A5ED2">
            <w:pPr>
              <w:rPr>
                <w:rFonts w:ascii="Arial"/>
                <w:sz w:val="21"/>
              </w:rPr>
            </w:pPr>
          </w:p>
        </w:tc>
        <w:tc>
          <w:tcPr>
            <w:tcW w:w="1166" w:type="dxa"/>
            <w:tcBorders>
              <w:right w:val="single" w:color="000000" w:sz="4" w:space="0"/>
            </w:tcBorders>
            <w:vAlign w:val="top"/>
          </w:tcPr>
          <w:p w14:paraId="1EFF7C31">
            <w:pPr>
              <w:rPr>
                <w:rFonts w:ascii="Arial"/>
                <w:sz w:val="21"/>
              </w:rPr>
            </w:pPr>
          </w:p>
        </w:tc>
      </w:tr>
      <w:tr w14:paraId="73FF46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9" w:hRule="atLeast"/>
        </w:trPr>
        <w:tc>
          <w:tcPr>
            <w:tcW w:w="6441" w:type="dxa"/>
            <w:gridSpan w:val="7"/>
            <w:tcBorders>
              <w:left w:val="single" w:color="000000" w:sz="4" w:space="0"/>
              <w:bottom w:val="single" w:color="000000" w:sz="4" w:space="0"/>
            </w:tcBorders>
            <w:vAlign w:val="top"/>
          </w:tcPr>
          <w:p w14:paraId="77D0299A">
            <w:pPr>
              <w:pStyle w:val="11"/>
              <w:spacing w:before="145" w:line="222" w:lineRule="auto"/>
              <w:ind w:left="3019"/>
            </w:pPr>
            <w:r>
              <w:rPr>
                <w:spacing w:val="-3"/>
              </w:rPr>
              <w:t>总计</w:t>
            </w:r>
          </w:p>
        </w:tc>
        <w:tc>
          <w:tcPr>
            <w:tcW w:w="1131" w:type="dxa"/>
            <w:tcBorders>
              <w:bottom w:val="single" w:color="000000" w:sz="4" w:space="0"/>
            </w:tcBorders>
            <w:vAlign w:val="top"/>
          </w:tcPr>
          <w:p w14:paraId="151F1B8A">
            <w:pPr>
              <w:rPr>
                <w:rFonts w:ascii="Arial"/>
                <w:sz w:val="21"/>
              </w:rPr>
            </w:pPr>
          </w:p>
        </w:tc>
        <w:tc>
          <w:tcPr>
            <w:tcW w:w="1166" w:type="dxa"/>
            <w:tcBorders>
              <w:bottom w:val="single" w:color="000000" w:sz="4" w:space="0"/>
              <w:right w:val="single" w:color="000000" w:sz="4" w:space="0"/>
            </w:tcBorders>
            <w:vAlign w:val="top"/>
          </w:tcPr>
          <w:p w14:paraId="4DF47B2B">
            <w:pPr>
              <w:rPr>
                <w:rFonts w:ascii="Arial"/>
                <w:sz w:val="21"/>
              </w:rPr>
            </w:pPr>
          </w:p>
        </w:tc>
      </w:tr>
    </w:tbl>
    <w:p w14:paraId="045EABE7">
      <w:pPr>
        <w:spacing w:before="173" w:line="249" w:lineRule="auto"/>
        <w:ind w:left="647" w:right="36" w:hanging="423"/>
        <w:rPr>
          <w:rFonts w:ascii="宋体" w:hAnsi="宋体" w:eastAsia="宋体" w:cs="宋体"/>
          <w:sz w:val="21"/>
          <w:szCs w:val="21"/>
        </w:rPr>
      </w:pPr>
      <w:r>
        <w:rPr>
          <w:rFonts w:ascii="宋体" w:hAnsi="宋体" w:eastAsia="宋体" w:cs="宋体"/>
          <w:spacing w:val="-2"/>
          <w:sz w:val="21"/>
          <w:szCs w:val="21"/>
        </w:rPr>
        <w:t>注：此表项目名称、暂定数量由招标人填写， 编制招标控</w:t>
      </w:r>
      <w:r>
        <w:rPr>
          <w:rFonts w:ascii="宋体" w:hAnsi="宋体" w:eastAsia="宋体" w:cs="宋体"/>
          <w:spacing w:val="-3"/>
          <w:sz w:val="21"/>
          <w:szCs w:val="21"/>
        </w:rPr>
        <w:t xml:space="preserve">制价时， 单价由招标人按有关计  </w:t>
      </w:r>
      <w:r>
        <w:rPr>
          <w:rFonts w:ascii="宋体" w:hAnsi="宋体" w:eastAsia="宋体" w:cs="宋体"/>
          <w:spacing w:val="-1"/>
          <w:sz w:val="21"/>
          <w:szCs w:val="21"/>
        </w:rPr>
        <w:t>价规定确定：投标时， 单价由投标人自主报价，按暂定数量计算合价计入投标总价中。</w:t>
      </w:r>
      <w:r>
        <w:rPr>
          <w:rFonts w:ascii="宋体" w:hAnsi="宋体" w:eastAsia="宋体" w:cs="宋体"/>
          <w:spacing w:val="17"/>
          <w:sz w:val="21"/>
          <w:szCs w:val="21"/>
        </w:rPr>
        <w:t xml:space="preserve"> </w:t>
      </w:r>
      <w:r>
        <w:rPr>
          <w:rFonts w:ascii="宋体" w:hAnsi="宋体" w:eastAsia="宋体" w:cs="宋体"/>
          <w:spacing w:val="-1"/>
          <w:sz w:val="21"/>
          <w:szCs w:val="21"/>
        </w:rPr>
        <w:t>结算时，按承发包双方确认的实际数量计算合价。</w:t>
      </w:r>
    </w:p>
    <w:p w14:paraId="25D5D87B">
      <w:pPr>
        <w:spacing w:line="249" w:lineRule="auto"/>
        <w:rPr>
          <w:rFonts w:ascii="宋体" w:hAnsi="宋体" w:eastAsia="宋体" w:cs="宋体"/>
          <w:sz w:val="21"/>
          <w:szCs w:val="21"/>
        </w:rPr>
        <w:sectPr>
          <w:footerReference r:id="rId177" w:type="default"/>
          <w:pgSz w:w="11905" w:h="16839"/>
          <w:pgMar w:top="400" w:right="1575" w:bottom="1004" w:left="1579" w:header="0" w:footer="829" w:gutter="0"/>
          <w:pgNumType w:fmt="decimal"/>
          <w:cols w:space="720" w:num="1"/>
        </w:sectPr>
      </w:pPr>
    </w:p>
    <w:p w14:paraId="2FC8730B">
      <w:pPr>
        <w:pStyle w:val="3"/>
        <w:spacing w:line="274" w:lineRule="auto"/>
      </w:pPr>
    </w:p>
    <w:p w14:paraId="285E6057">
      <w:pPr>
        <w:pStyle w:val="3"/>
        <w:spacing w:line="274" w:lineRule="auto"/>
      </w:pPr>
    </w:p>
    <w:p w14:paraId="53521638">
      <w:pPr>
        <w:pStyle w:val="3"/>
        <w:spacing w:line="274" w:lineRule="auto"/>
      </w:pPr>
    </w:p>
    <w:p w14:paraId="5098C282">
      <w:pPr>
        <w:pStyle w:val="3"/>
        <w:spacing w:line="274" w:lineRule="auto"/>
      </w:pPr>
    </w:p>
    <w:p w14:paraId="02A7A742">
      <w:pPr>
        <w:pStyle w:val="3"/>
        <w:spacing w:line="275" w:lineRule="auto"/>
      </w:pPr>
    </w:p>
    <w:p w14:paraId="7446384D">
      <w:pPr>
        <w:spacing w:before="78" w:line="218" w:lineRule="auto"/>
        <w:ind w:left="123"/>
        <w:rPr>
          <w:rFonts w:ascii="黑体" w:hAnsi="黑体" w:eastAsia="黑体" w:cs="黑体"/>
          <w:sz w:val="24"/>
          <w:szCs w:val="24"/>
        </w:rPr>
      </w:pPr>
      <w:r>
        <w:rPr>
          <w:rFonts w:ascii="Times New Roman" w:hAnsi="Times New Roman" w:eastAsia="Times New Roman" w:cs="Times New Roman"/>
          <w:spacing w:val="-1"/>
          <w:sz w:val="24"/>
          <w:szCs w:val="24"/>
        </w:rPr>
        <w:t xml:space="preserve">4.12-5 </w:t>
      </w:r>
      <w:r>
        <w:rPr>
          <w:rFonts w:ascii="黑体" w:hAnsi="黑体" w:eastAsia="黑体" w:cs="黑体"/>
          <w:spacing w:val="-1"/>
          <w:sz w:val="24"/>
          <w:szCs w:val="24"/>
        </w:rPr>
        <w:t>总承包服务费计价表</w:t>
      </w:r>
    </w:p>
    <w:p w14:paraId="607CFF21">
      <w:pPr>
        <w:pStyle w:val="3"/>
        <w:spacing w:line="276" w:lineRule="auto"/>
      </w:pPr>
    </w:p>
    <w:p w14:paraId="0DBF68B4">
      <w:pPr>
        <w:pStyle w:val="3"/>
        <w:spacing w:line="276" w:lineRule="auto"/>
      </w:pPr>
    </w:p>
    <w:p w14:paraId="515905C0">
      <w:pPr>
        <w:spacing w:before="88" w:line="224" w:lineRule="auto"/>
        <w:ind w:left="3032"/>
        <w:rPr>
          <w:rFonts w:ascii="黑体" w:hAnsi="黑体" w:eastAsia="黑体" w:cs="黑体"/>
          <w:sz w:val="27"/>
          <w:szCs w:val="27"/>
        </w:rPr>
      </w:pPr>
      <w:bookmarkStart w:id="1300" w:name="bookmark258"/>
      <w:bookmarkEnd w:id="1300"/>
      <w:bookmarkStart w:id="1301" w:name="bookmark259"/>
      <w:bookmarkEnd w:id="1301"/>
      <w:r>
        <w:rPr>
          <w:rFonts w:ascii="黑体" w:hAnsi="黑体" w:eastAsia="黑体" w:cs="黑体"/>
          <w:spacing w:val="7"/>
          <w:sz w:val="27"/>
          <w:szCs w:val="27"/>
        </w:rPr>
        <w:t>总承包服务费计价表</w:t>
      </w:r>
    </w:p>
    <w:p w14:paraId="7B0C9FD5">
      <w:pPr>
        <w:spacing w:before="142" w:line="221" w:lineRule="auto"/>
        <w:ind w:left="130"/>
        <w:rPr>
          <w:rFonts w:ascii="宋体" w:hAnsi="宋体" w:eastAsia="宋体" w:cs="宋体"/>
          <w:sz w:val="21"/>
          <w:szCs w:val="21"/>
        </w:rPr>
      </w:pPr>
      <w:r>
        <w:rPr>
          <w:rFonts w:ascii="宋体" w:hAnsi="宋体" w:eastAsia="宋体" w:cs="宋体"/>
          <w:spacing w:val="-17"/>
          <w:sz w:val="21"/>
          <w:szCs w:val="21"/>
        </w:rPr>
        <w:t>工程名称：</w:t>
      </w:r>
      <w:r>
        <w:rPr>
          <w:rFonts w:ascii="宋体" w:hAnsi="宋体" w:eastAsia="宋体" w:cs="宋体"/>
          <w:spacing w:val="1"/>
          <w:sz w:val="21"/>
          <w:szCs w:val="21"/>
        </w:rPr>
        <w:t xml:space="preserve">             </w:t>
      </w:r>
      <w:r>
        <w:rPr>
          <w:rFonts w:ascii="宋体" w:hAnsi="宋体" w:eastAsia="宋体" w:cs="宋体"/>
          <w:spacing w:val="-17"/>
          <w:sz w:val="21"/>
          <w:szCs w:val="21"/>
        </w:rPr>
        <w:t>标段名称：</w:t>
      </w:r>
      <w:r>
        <w:rPr>
          <w:rFonts w:ascii="宋体" w:hAnsi="宋体" w:eastAsia="宋体" w:cs="宋体"/>
          <w:spacing w:val="8"/>
          <w:sz w:val="21"/>
          <w:szCs w:val="21"/>
        </w:rPr>
        <w:t xml:space="preserve">        </w:t>
      </w:r>
      <w:r>
        <w:rPr>
          <w:rFonts w:ascii="宋体" w:hAnsi="宋体" w:eastAsia="宋体" w:cs="宋体"/>
          <w:spacing w:val="-17"/>
          <w:sz w:val="21"/>
          <w:szCs w:val="21"/>
        </w:rPr>
        <w:t>第 页</w:t>
      </w:r>
      <w:r>
        <w:rPr>
          <w:rFonts w:ascii="宋体" w:hAnsi="宋体" w:eastAsia="宋体" w:cs="宋体"/>
          <w:spacing w:val="10"/>
          <w:sz w:val="21"/>
          <w:szCs w:val="21"/>
        </w:rPr>
        <w:t xml:space="preserve"> </w:t>
      </w:r>
      <w:r>
        <w:rPr>
          <w:rFonts w:ascii="宋体" w:hAnsi="宋体" w:eastAsia="宋体" w:cs="宋体"/>
          <w:spacing w:val="-17"/>
          <w:sz w:val="21"/>
          <w:szCs w:val="21"/>
        </w:rPr>
        <w:t>共</w:t>
      </w:r>
      <w:r>
        <w:rPr>
          <w:rFonts w:ascii="宋体" w:hAnsi="宋体" w:eastAsia="宋体" w:cs="宋体"/>
          <w:spacing w:val="14"/>
          <w:sz w:val="21"/>
          <w:szCs w:val="21"/>
        </w:rPr>
        <w:t xml:space="preserve"> </w:t>
      </w:r>
      <w:r>
        <w:rPr>
          <w:rFonts w:ascii="宋体" w:hAnsi="宋体" w:eastAsia="宋体" w:cs="宋体"/>
          <w:spacing w:val="-17"/>
          <w:sz w:val="21"/>
          <w:szCs w:val="21"/>
        </w:rPr>
        <w:t>页</w:t>
      </w:r>
    </w:p>
    <w:p w14:paraId="541B0834">
      <w:pPr>
        <w:spacing w:line="112" w:lineRule="exact"/>
      </w:pPr>
    </w:p>
    <w:tbl>
      <w:tblPr>
        <w:tblStyle w:val="10"/>
        <w:tblW w:w="8546" w:type="dxa"/>
        <w:tblInd w:w="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48"/>
        <w:gridCol w:w="2173"/>
        <w:gridCol w:w="1076"/>
        <w:gridCol w:w="1081"/>
        <w:gridCol w:w="1165"/>
        <w:gridCol w:w="830"/>
        <w:gridCol w:w="1573"/>
      </w:tblGrid>
      <w:tr w14:paraId="7411F6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16" w:hRule="atLeast"/>
        </w:trPr>
        <w:tc>
          <w:tcPr>
            <w:tcW w:w="648" w:type="dxa"/>
            <w:tcBorders>
              <w:top w:val="single" w:color="000000" w:sz="4" w:space="0"/>
              <w:left w:val="single" w:color="000000" w:sz="4" w:space="0"/>
            </w:tcBorders>
            <w:vAlign w:val="top"/>
          </w:tcPr>
          <w:p w14:paraId="5F389C41">
            <w:pPr>
              <w:spacing w:line="281" w:lineRule="auto"/>
              <w:rPr>
                <w:rFonts w:ascii="Arial"/>
                <w:sz w:val="21"/>
              </w:rPr>
            </w:pPr>
          </w:p>
          <w:p w14:paraId="5F7EA251">
            <w:pPr>
              <w:pStyle w:val="11"/>
              <w:spacing w:before="68" w:line="222" w:lineRule="auto"/>
              <w:ind w:left="112"/>
            </w:pPr>
            <w:r>
              <w:rPr>
                <w:spacing w:val="-2"/>
              </w:rPr>
              <w:t>序号</w:t>
            </w:r>
          </w:p>
        </w:tc>
        <w:tc>
          <w:tcPr>
            <w:tcW w:w="2173" w:type="dxa"/>
            <w:tcBorders>
              <w:top w:val="single" w:color="000000" w:sz="4" w:space="0"/>
            </w:tcBorders>
            <w:vAlign w:val="top"/>
          </w:tcPr>
          <w:p w14:paraId="4C600985">
            <w:pPr>
              <w:spacing w:line="281" w:lineRule="auto"/>
              <w:rPr>
                <w:rFonts w:ascii="Arial"/>
                <w:sz w:val="21"/>
              </w:rPr>
            </w:pPr>
          </w:p>
          <w:p w14:paraId="303F1B7F">
            <w:pPr>
              <w:pStyle w:val="11"/>
              <w:spacing w:before="68" w:line="221" w:lineRule="auto"/>
              <w:ind w:left="666"/>
            </w:pPr>
            <w:r>
              <w:rPr>
                <w:spacing w:val="-2"/>
              </w:rPr>
              <w:t>工程名称</w:t>
            </w:r>
          </w:p>
        </w:tc>
        <w:tc>
          <w:tcPr>
            <w:tcW w:w="1076" w:type="dxa"/>
            <w:tcBorders>
              <w:top w:val="single" w:color="000000" w:sz="4" w:space="0"/>
              <w:right w:val="single" w:color="000000" w:sz="4" w:space="0"/>
            </w:tcBorders>
            <w:vAlign w:val="top"/>
          </w:tcPr>
          <w:p w14:paraId="737A774E">
            <w:pPr>
              <w:pStyle w:val="11"/>
              <w:spacing w:before="216" w:line="229" w:lineRule="auto"/>
              <w:ind w:left="235" w:right="108" w:hanging="108"/>
            </w:pPr>
            <w:r>
              <w:rPr>
                <w:spacing w:val="-2"/>
              </w:rPr>
              <w:t>项目价值</w:t>
            </w:r>
            <w:r>
              <w:t xml:space="preserve"> </w:t>
            </w:r>
            <w:r>
              <w:rPr>
                <w:spacing w:val="-6"/>
              </w:rPr>
              <w:t>（元）</w:t>
            </w:r>
          </w:p>
        </w:tc>
        <w:tc>
          <w:tcPr>
            <w:tcW w:w="1081" w:type="dxa"/>
            <w:tcBorders>
              <w:top w:val="single" w:color="000000" w:sz="4" w:space="0"/>
              <w:left w:val="single" w:color="000000" w:sz="4" w:space="0"/>
            </w:tcBorders>
            <w:vAlign w:val="top"/>
          </w:tcPr>
          <w:p w14:paraId="3A3D0315">
            <w:pPr>
              <w:spacing w:line="280" w:lineRule="auto"/>
              <w:rPr>
                <w:rFonts w:ascii="Arial"/>
                <w:sz w:val="21"/>
              </w:rPr>
            </w:pPr>
          </w:p>
          <w:p w14:paraId="3B419607">
            <w:pPr>
              <w:pStyle w:val="11"/>
              <w:spacing w:before="68" w:line="221" w:lineRule="auto"/>
              <w:ind w:left="125"/>
            </w:pPr>
            <w:r>
              <w:rPr>
                <w:spacing w:val="-1"/>
              </w:rPr>
              <w:t>服务内容</w:t>
            </w:r>
          </w:p>
        </w:tc>
        <w:tc>
          <w:tcPr>
            <w:tcW w:w="1165" w:type="dxa"/>
            <w:tcBorders>
              <w:top w:val="single" w:color="000000" w:sz="4" w:space="0"/>
            </w:tcBorders>
            <w:vAlign w:val="top"/>
          </w:tcPr>
          <w:p w14:paraId="26E8119B">
            <w:pPr>
              <w:spacing w:line="280" w:lineRule="auto"/>
              <w:rPr>
                <w:rFonts w:ascii="Arial"/>
                <w:sz w:val="21"/>
              </w:rPr>
            </w:pPr>
          </w:p>
          <w:p w14:paraId="3104A78C">
            <w:pPr>
              <w:pStyle w:val="11"/>
              <w:spacing w:before="68" w:line="221" w:lineRule="auto"/>
              <w:ind w:left="170"/>
            </w:pPr>
            <w:r>
              <w:rPr>
                <w:spacing w:val="-1"/>
              </w:rPr>
              <w:t>计算基础</w:t>
            </w:r>
          </w:p>
        </w:tc>
        <w:tc>
          <w:tcPr>
            <w:tcW w:w="830" w:type="dxa"/>
            <w:tcBorders>
              <w:top w:val="single" w:color="000000" w:sz="4" w:space="0"/>
            </w:tcBorders>
            <w:vAlign w:val="top"/>
          </w:tcPr>
          <w:p w14:paraId="3AF74C35">
            <w:pPr>
              <w:pStyle w:val="11"/>
              <w:spacing w:before="215" w:line="235" w:lineRule="auto"/>
              <w:ind w:left="163" w:right="161" w:firstLine="58"/>
            </w:pPr>
            <w:r>
              <w:rPr>
                <w:spacing w:val="-9"/>
              </w:rPr>
              <w:t>费率</w:t>
            </w:r>
            <w:r>
              <w:t xml:space="preserve"> </w:t>
            </w:r>
            <w:r>
              <w:rPr>
                <w:spacing w:val="-9"/>
              </w:rPr>
              <w:t>（%）</w:t>
            </w:r>
          </w:p>
        </w:tc>
        <w:tc>
          <w:tcPr>
            <w:tcW w:w="1573" w:type="dxa"/>
            <w:tcBorders>
              <w:top w:val="single" w:color="000000" w:sz="4" w:space="0"/>
              <w:right w:val="single" w:color="000000" w:sz="4" w:space="0"/>
            </w:tcBorders>
            <w:vAlign w:val="top"/>
          </w:tcPr>
          <w:p w14:paraId="516D5564">
            <w:pPr>
              <w:spacing w:line="280" w:lineRule="auto"/>
              <w:rPr>
                <w:rFonts w:ascii="Arial"/>
                <w:sz w:val="21"/>
              </w:rPr>
            </w:pPr>
          </w:p>
          <w:p w14:paraId="29275248">
            <w:pPr>
              <w:pStyle w:val="11"/>
              <w:spacing w:before="68" w:line="221" w:lineRule="auto"/>
              <w:ind w:left="270"/>
            </w:pPr>
            <w:r>
              <w:rPr>
                <w:spacing w:val="-3"/>
              </w:rPr>
              <w:t>金额（元）</w:t>
            </w:r>
          </w:p>
        </w:tc>
      </w:tr>
      <w:tr w14:paraId="624BCA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16" w:hRule="atLeast"/>
        </w:trPr>
        <w:tc>
          <w:tcPr>
            <w:tcW w:w="648" w:type="dxa"/>
            <w:tcBorders>
              <w:left w:val="single" w:color="000000" w:sz="4" w:space="0"/>
            </w:tcBorders>
            <w:vAlign w:val="top"/>
          </w:tcPr>
          <w:p w14:paraId="3C8E31D8">
            <w:pPr>
              <w:spacing w:line="316" w:lineRule="auto"/>
              <w:rPr>
                <w:rFonts w:ascii="Arial"/>
                <w:sz w:val="21"/>
              </w:rPr>
            </w:pPr>
          </w:p>
          <w:p w14:paraId="5969441F">
            <w:pPr>
              <w:spacing w:before="68" w:line="183" w:lineRule="auto"/>
              <w:ind w:left="283"/>
              <w:rPr>
                <w:rFonts w:ascii="黑体" w:hAnsi="黑体" w:eastAsia="黑体" w:cs="黑体"/>
                <w:sz w:val="21"/>
                <w:szCs w:val="21"/>
              </w:rPr>
            </w:pPr>
            <w:r>
              <w:rPr>
                <w:rFonts w:ascii="黑体" w:hAnsi="黑体" w:eastAsia="黑体" w:cs="黑体"/>
                <w:sz w:val="21"/>
                <w:szCs w:val="21"/>
              </w:rPr>
              <w:t>1</w:t>
            </w:r>
          </w:p>
        </w:tc>
        <w:tc>
          <w:tcPr>
            <w:tcW w:w="2173" w:type="dxa"/>
            <w:vAlign w:val="top"/>
          </w:tcPr>
          <w:p w14:paraId="272AAABE">
            <w:pPr>
              <w:spacing w:line="282" w:lineRule="auto"/>
              <w:rPr>
                <w:rFonts w:ascii="Arial"/>
                <w:sz w:val="21"/>
              </w:rPr>
            </w:pPr>
          </w:p>
          <w:p w14:paraId="37AE8AC1">
            <w:pPr>
              <w:pStyle w:val="11"/>
              <w:spacing w:before="68" w:line="221" w:lineRule="auto"/>
              <w:ind w:left="110"/>
            </w:pPr>
            <w:r>
              <w:rPr>
                <w:spacing w:val="-1"/>
              </w:rPr>
              <w:t>发包人发包专业工程</w:t>
            </w:r>
          </w:p>
        </w:tc>
        <w:tc>
          <w:tcPr>
            <w:tcW w:w="1076" w:type="dxa"/>
            <w:tcBorders>
              <w:right w:val="single" w:color="000000" w:sz="4" w:space="0"/>
            </w:tcBorders>
            <w:vAlign w:val="top"/>
          </w:tcPr>
          <w:p w14:paraId="407C3466">
            <w:pPr>
              <w:rPr>
                <w:rFonts w:ascii="Arial"/>
                <w:sz w:val="21"/>
              </w:rPr>
            </w:pPr>
          </w:p>
        </w:tc>
        <w:tc>
          <w:tcPr>
            <w:tcW w:w="1081" w:type="dxa"/>
            <w:tcBorders>
              <w:left w:val="single" w:color="000000" w:sz="4" w:space="0"/>
            </w:tcBorders>
            <w:vAlign w:val="top"/>
          </w:tcPr>
          <w:p w14:paraId="4E5D012A">
            <w:pPr>
              <w:rPr>
                <w:rFonts w:ascii="Arial"/>
                <w:sz w:val="21"/>
              </w:rPr>
            </w:pPr>
          </w:p>
        </w:tc>
        <w:tc>
          <w:tcPr>
            <w:tcW w:w="1165" w:type="dxa"/>
            <w:vAlign w:val="top"/>
          </w:tcPr>
          <w:p w14:paraId="19CF36C2">
            <w:pPr>
              <w:rPr>
                <w:rFonts w:ascii="Arial"/>
                <w:sz w:val="21"/>
              </w:rPr>
            </w:pPr>
          </w:p>
        </w:tc>
        <w:tc>
          <w:tcPr>
            <w:tcW w:w="830" w:type="dxa"/>
            <w:vAlign w:val="top"/>
          </w:tcPr>
          <w:p w14:paraId="645010AC">
            <w:pPr>
              <w:rPr>
                <w:rFonts w:ascii="Arial"/>
                <w:sz w:val="21"/>
              </w:rPr>
            </w:pPr>
          </w:p>
        </w:tc>
        <w:tc>
          <w:tcPr>
            <w:tcW w:w="1573" w:type="dxa"/>
            <w:tcBorders>
              <w:right w:val="single" w:color="000000" w:sz="4" w:space="0"/>
            </w:tcBorders>
            <w:vAlign w:val="top"/>
          </w:tcPr>
          <w:p w14:paraId="655D7E1E">
            <w:pPr>
              <w:rPr>
                <w:rFonts w:ascii="Arial"/>
                <w:sz w:val="21"/>
              </w:rPr>
            </w:pPr>
          </w:p>
        </w:tc>
      </w:tr>
      <w:tr w14:paraId="15885F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16" w:hRule="atLeast"/>
        </w:trPr>
        <w:tc>
          <w:tcPr>
            <w:tcW w:w="648" w:type="dxa"/>
            <w:tcBorders>
              <w:left w:val="single" w:color="000000" w:sz="4" w:space="0"/>
              <w:bottom w:val="single" w:color="000000" w:sz="4" w:space="0"/>
            </w:tcBorders>
            <w:vAlign w:val="top"/>
          </w:tcPr>
          <w:p w14:paraId="6F710DB7">
            <w:pPr>
              <w:spacing w:line="310" w:lineRule="auto"/>
              <w:rPr>
                <w:rFonts w:ascii="Arial"/>
                <w:sz w:val="21"/>
              </w:rPr>
            </w:pPr>
          </w:p>
          <w:p w14:paraId="768CA1E3">
            <w:pPr>
              <w:spacing w:before="69" w:line="184" w:lineRule="auto"/>
              <w:ind w:left="270"/>
              <w:rPr>
                <w:rFonts w:ascii="黑体" w:hAnsi="黑体" w:eastAsia="黑体" w:cs="黑体"/>
                <w:sz w:val="21"/>
                <w:szCs w:val="21"/>
              </w:rPr>
            </w:pPr>
            <w:r>
              <w:rPr>
                <w:rFonts w:ascii="黑体" w:hAnsi="黑体" w:eastAsia="黑体" w:cs="黑体"/>
                <w:sz w:val="21"/>
                <w:szCs w:val="21"/>
              </w:rPr>
              <w:t>2</w:t>
            </w:r>
          </w:p>
        </w:tc>
        <w:tc>
          <w:tcPr>
            <w:tcW w:w="2173" w:type="dxa"/>
            <w:vAlign w:val="top"/>
          </w:tcPr>
          <w:p w14:paraId="32C6936A">
            <w:pPr>
              <w:spacing w:line="277" w:lineRule="auto"/>
              <w:rPr>
                <w:rFonts w:ascii="Arial"/>
                <w:sz w:val="21"/>
              </w:rPr>
            </w:pPr>
          </w:p>
          <w:p w14:paraId="4250C3E5">
            <w:pPr>
              <w:pStyle w:val="11"/>
              <w:spacing w:before="68" w:line="220" w:lineRule="auto"/>
              <w:ind w:left="110"/>
            </w:pPr>
            <w:r>
              <w:rPr>
                <w:spacing w:val="-1"/>
              </w:rPr>
              <w:t>发包人提供材料</w:t>
            </w:r>
          </w:p>
        </w:tc>
        <w:tc>
          <w:tcPr>
            <w:tcW w:w="1076" w:type="dxa"/>
            <w:tcBorders>
              <w:right w:val="single" w:color="000000" w:sz="4" w:space="0"/>
            </w:tcBorders>
            <w:vAlign w:val="top"/>
          </w:tcPr>
          <w:p w14:paraId="41ADDE55">
            <w:pPr>
              <w:rPr>
                <w:rFonts w:ascii="Arial"/>
                <w:sz w:val="21"/>
              </w:rPr>
            </w:pPr>
          </w:p>
        </w:tc>
        <w:tc>
          <w:tcPr>
            <w:tcW w:w="1081" w:type="dxa"/>
            <w:tcBorders>
              <w:left w:val="single" w:color="000000" w:sz="4" w:space="0"/>
            </w:tcBorders>
            <w:vAlign w:val="top"/>
          </w:tcPr>
          <w:p w14:paraId="7EB9BDFF">
            <w:pPr>
              <w:rPr>
                <w:rFonts w:ascii="Arial"/>
                <w:sz w:val="21"/>
              </w:rPr>
            </w:pPr>
          </w:p>
        </w:tc>
        <w:tc>
          <w:tcPr>
            <w:tcW w:w="1165" w:type="dxa"/>
            <w:vAlign w:val="top"/>
          </w:tcPr>
          <w:p w14:paraId="554902B6">
            <w:pPr>
              <w:rPr>
                <w:rFonts w:ascii="Arial"/>
                <w:sz w:val="21"/>
              </w:rPr>
            </w:pPr>
          </w:p>
        </w:tc>
        <w:tc>
          <w:tcPr>
            <w:tcW w:w="830" w:type="dxa"/>
            <w:vAlign w:val="top"/>
          </w:tcPr>
          <w:p w14:paraId="0364336B">
            <w:pPr>
              <w:rPr>
                <w:rFonts w:ascii="Arial"/>
                <w:sz w:val="21"/>
              </w:rPr>
            </w:pPr>
          </w:p>
        </w:tc>
        <w:tc>
          <w:tcPr>
            <w:tcW w:w="1573" w:type="dxa"/>
            <w:tcBorders>
              <w:right w:val="single" w:color="000000" w:sz="4" w:space="0"/>
            </w:tcBorders>
            <w:vAlign w:val="top"/>
          </w:tcPr>
          <w:p w14:paraId="073263E0">
            <w:pPr>
              <w:rPr>
                <w:rFonts w:ascii="Arial"/>
                <w:sz w:val="21"/>
              </w:rPr>
            </w:pPr>
          </w:p>
        </w:tc>
      </w:tr>
      <w:tr w14:paraId="51A9CF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8" w:hRule="atLeast"/>
        </w:trPr>
        <w:tc>
          <w:tcPr>
            <w:tcW w:w="648" w:type="dxa"/>
            <w:tcBorders>
              <w:top w:val="single" w:color="000000" w:sz="4" w:space="0"/>
              <w:left w:val="single" w:color="000000" w:sz="4" w:space="0"/>
            </w:tcBorders>
            <w:vAlign w:val="top"/>
          </w:tcPr>
          <w:p w14:paraId="0C09685B">
            <w:pPr>
              <w:rPr>
                <w:rFonts w:ascii="Arial"/>
                <w:sz w:val="21"/>
              </w:rPr>
            </w:pPr>
          </w:p>
        </w:tc>
        <w:tc>
          <w:tcPr>
            <w:tcW w:w="2173" w:type="dxa"/>
            <w:vAlign w:val="top"/>
          </w:tcPr>
          <w:p w14:paraId="541B173E">
            <w:pPr>
              <w:rPr>
                <w:rFonts w:ascii="Arial"/>
                <w:sz w:val="21"/>
              </w:rPr>
            </w:pPr>
          </w:p>
        </w:tc>
        <w:tc>
          <w:tcPr>
            <w:tcW w:w="1076" w:type="dxa"/>
            <w:tcBorders>
              <w:right w:val="single" w:color="000000" w:sz="4" w:space="0"/>
            </w:tcBorders>
            <w:vAlign w:val="top"/>
          </w:tcPr>
          <w:p w14:paraId="44F17E9C">
            <w:pPr>
              <w:rPr>
                <w:rFonts w:ascii="Arial"/>
                <w:sz w:val="21"/>
              </w:rPr>
            </w:pPr>
          </w:p>
        </w:tc>
        <w:tc>
          <w:tcPr>
            <w:tcW w:w="1081" w:type="dxa"/>
            <w:tcBorders>
              <w:left w:val="single" w:color="000000" w:sz="4" w:space="0"/>
            </w:tcBorders>
            <w:vAlign w:val="top"/>
          </w:tcPr>
          <w:p w14:paraId="5E1B509A">
            <w:pPr>
              <w:rPr>
                <w:rFonts w:ascii="Arial"/>
                <w:sz w:val="21"/>
              </w:rPr>
            </w:pPr>
          </w:p>
        </w:tc>
        <w:tc>
          <w:tcPr>
            <w:tcW w:w="1165" w:type="dxa"/>
            <w:vAlign w:val="top"/>
          </w:tcPr>
          <w:p w14:paraId="73F9597F">
            <w:pPr>
              <w:rPr>
                <w:rFonts w:ascii="Arial"/>
                <w:sz w:val="21"/>
              </w:rPr>
            </w:pPr>
          </w:p>
        </w:tc>
        <w:tc>
          <w:tcPr>
            <w:tcW w:w="830" w:type="dxa"/>
            <w:vAlign w:val="top"/>
          </w:tcPr>
          <w:p w14:paraId="3AFD3A23">
            <w:pPr>
              <w:rPr>
                <w:rFonts w:ascii="Arial"/>
                <w:sz w:val="21"/>
              </w:rPr>
            </w:pPr>
          </w:p>
        </w:tc>
        <w:tc>
          <w:tcPr>
            <w:tcW w:w="1573" w:type="dxa"/>
            <w:tcBorders>
              <w:right w:val="single" w:color="000000" w:sz="4" w:space="0"/>
            </w:tcBorders>
            <w:vAlign w:val="top"/>
          </w:tcPr>
          <w:p w14:paraId="0F204C90">
            <w:pPr>
              <w:rPr>
                <w:rFonts w:ascii="Arial"/>
                <w:sz w:val="21"/>
              </w:rPr>
            </w:pPr>
          </w:p>
        </w:tc>
      </w:tr>
      <w:tr w14:paraId="1C911E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16" w:hRule="atLeast"/>
        </w:trPr>
        <w:tc>
          <w:tcPr>
            <w:tcW w:w="648" w:type="dxa"/>
            <w:tcBorders>
              <w:left w:val="single" w:color="000000" w:sz="4" w:space="0"/>
            </w:tcBorders>
            <w:vAlign w:val="top"/>
          </w:tcPr>
          <w:p w14:paraId="01DF8656">
            <w:pPr>
              <w:rPr>
                <w:rFonts w:ascii="Arial"/>
                <w:sz w:val="21"/>
              </w:rPr>
            </w:pPr>
          </w:p>
        </w:tc>
        <w:tc>
          <w:tcPr>
            <w:tcW w:w="2173" w:type="dxa"/>
            <w:vAlign w:val="top"/>
          </w:tcPr>
          <w:p w14:paraId="180B29C2">
            <w:pPr>
              <w:rPr>
                <w:rFonts w:ascii="Arial"/>
                <w:sz w:val="21"/>
              </w:rPr>
            </w:pPr>
          </w:p>
        </w:tc>
        <w:tc>
          <w:tcPr>
            <w:tcW w:w="1076" w:type="dxa"/>
            <w:tcBorders>
              <w:right w:val="single" w:color="000000" w:sz="4" w:space="0"/>
            </w:tcBorders>
            <w:vAlign w:val="top"/>
          </w:tcPr>
          <w:p w14:paraId="7194ECFE">
            <w:pPr>
              <w:rPr>
                <w:rFonts w:ascii="Arial"/>
                <w:sz w:val="21"/>
              </w:rPr>
            </w:pPr>
          </w:p>
        </w:tc>
        <w:tc>
          <w:tcPr>
            <w:tcW w:w="1081" w:type="dxa"/>
            <w:tcBorders>
              <w:left w:val="single" w:color="000000" w:sz="4" w:space="0"/>
            </w:tcBorders>
            <w:vAlign w:val="top"/>
          </w:tcPr>
          <w:p w14:paraId="3CA93DE4">
            <w:pPr>
              <w:rPr>
                <w:rFonts w:ascii="Arial"/>
                <w:sz w:val="21"/>
              </w:rPr>
            </w:pPr>
          </w:p>
        </w:tc>
        <w:tc>
          <w:tcPr>
            <w:tcW w:w="1165" w:type="dxa"/>
            <w:vAlign w:val="top"/>
          </w:tcPr>
          <w:p w14:paraId="65CE6862">
            <w:pPr>
              <w:rPr>
                <w:rFonts w:ascii="Arial"/>
                <w:sz w:val="21"/>
              </w:rPr>
            </w:pPr>
          </w:p>
        </w:tc>
        <w:tc>
          <w:tcPr>
            <w:tcW w:w="830" w:type="dxa"/>
            <w:vAlign w:val="top"/>
          </w:tcPr>
          <w:p w14:paraId="2ACB806D">
            <w:pPr>
              <w:rPr>
                <w:rFonts w:ascii="Arial"/>
                <w:sz w:val="21"/>
              </w:rPr>
            </w:pPr>
          </w:p>
        </w:tc>
        <w:tc>
          <w:tcPr>
            <w:tcW w:w="1573" w:type="dxa"/>
            <w:tcBorders>
              <w:right w:val="single" w:color="000000" w:sz="4" w:space="0"/>
            </w:tcBorders>
            <w:vAlign w:val="top"/>
          </w:tcPr>
          <w:p w14:paraId="77D9473A">
            <w:pPr>
              <w:rPr>
                <w:rFonts w:ascii="Arial"/>
                <w:sz w:val="21"/>
              </w:rPr>
            </w:pPr>
          </w:p>
        </w:tc>
      </w:tr>
      <w:tr w14:paraId="082EF6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16" w:hRule="atLeast"/>
        </w:trPr>
        <w:tc>
          <w:tcPr>
            <w:tcW w:w="648" w:type="dxa"/>
            <w:tcBorders>
              <w:left w:val="single" w:color="000000" w:sz="4" w:space="0"/>
            </w:tcBorders>
            <w:vAlign w:val="top"/>
          </w:tcPr>
          <w:p w14:paraId="36255BC0">
            <w:pPr>
              <w:rPr>
                <w:rFonts w:ascii="Arial"/>
                <w:sz w:val="21"/>
              </w:rPr>
            </w:pPr>
          </w:p>
        </w:tc>
        <w:tc>
          <w:tcPr>
            <w:tcW w:w="2173" w:type="dxa"/>
            <w:vAlign w:val="top"/>
          </w:tcPr>
          <w:p w14:paraId="5B5BE540">
            <w:pPr>
              <w:rPr>
                <w:rFonts w:ascii="Arial"/>
                <w:sz w:val="21"/>
              </w:rPr>
            </w:pPr>
          </w:p>
        </w:tc>
        <w:tc>
          <w:tcPr>
            <w:tcW w:w="1076" w:type="dxa"/>
            <w:tcBorders>
              <w:right w:val="single" w:color="000000" w:sz="4" w:space="0"/>
            </w:tcBorders>
            <w:vAlign w:val="top"/>
          </w:tcPr>
          <w:p w14:paraId="1F5628FD">
            <w:pPr>
              <w:rPr>
                <w:rFonts w:ascii="Arial"/>
                <w:sz w:val="21"/>
              </w:rPr>
            </w:pPr>
          </w:p>
        </w:tc>
        <w:tc>
          <w:tcPr>
            <w:tcW w:w="1081" w:type="dxa"/>
            <w:tcBorders>
              <w:left w:val="single" w:color="000000" w:sz="4" w:space="0"/>
            </w:tcBorders>
            <w:vAlign w:val="top"/>
          </w:tcPr>
          <w:p w14:paraId="6D119402">
            <w:pPr>
              <w:rPr>
                <w:rFonts w:ascii="Arial"/>
                <w:sz w:val="21"/>
              </w:rPr>
            </w:pPr>
          </w:p>
        </w:tc>
        <w:tc>
          <w:tcPr>
            <w:tcW w:w="1165" w:type="dxa"/>
            <w:vAlign w:val="top"/>
          </w:tcPr>
          <w:p w14:paraId="56CF8CA5">
            <w:pPr>
              <w:rPr>
                <w:rFonts w:ascii="Arial"/>
                <w:sz w:val="21"/>
              </w:rPr>
            </w:pPr>
          </w:p>
        </w:tc>
        <w:tc>
          <w:tcPr>
            <w:tcW w:w="830" w:type="dxa"/>
            <w:vAlign w:val="top"/>
          </w:tcPr>
          <w:p w14:paraId="693EB3D3">
            <w:pPr>
              <w:rPr>
                <w:rFonts w:ascii="Arial"/>
                <w:sz w:val="21"/>
              </w:rPr>
            </w:pPr>
          </w:p>
        </w:tc>
        <w:tc>
          <w:tcPr>
            <w:tcW w:w="1573" w:type="dxa"/>
            <w:tcBorders>
              <w:right w:val="single" w:color="000000" w:sz="4" w:space="0"/>
            </w:tcBorders>
            <w:vAlign w:val="top"/>
          </w:tcPr>
          <w:p w14:paraId="5D8981A0">
            <w:pPr>
              <w:rPr>
                <w:rFonts w:ascii="Arial"/>
                <w:sz w:val="21"/>
              </w:rPr>
            </w:pPr>
          </w:p>
        </w:tc>
      </w:tr>
      <w:tr w14:paraId="613D92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12" w:hRule="atLeast"/>
        </w:trPr>
        <w:tc>
          <w:tcPr>
            <w:tcW w:w="648" w:type="dxa"/>
            <w:tcBorders>
              <w:left w:val="single" w:color="000000" w:sz="4" w:space="0"/>
            </w:tcBorders>
            <w:vAlign w:val="top"/>
          </w:tcPr>
          <w:p w14:paraId="1CBF1ED4">
            <w:pPr>
              <w:rPr>
                <w:rFonts w:ascii="Arial"/>
                <w:sz w:val="21"/>
              </w:rPr>
            </w:pPr>
          </w:p>
        </w:tc>
        <w:tc>
          <w:tcPr>
            <w:tcW w:w="2173" w:type="dxa"/>
            <w:vAlign w:val="top"/>
          </w:tcPr>
          <w:p w14:paraId="6746D270">
            <w:pPr>
              <w:rPr>
                <w:rFonts w:ascii="Arial"/>
                <w:sz w:val="21"/>
              </w:rPr>
            </w:pPr>
          </w:p>
        </w:tc>
        <w:tc>
          <w:tcPr>
            <w:tcW w:w="1076" w:type="dxa"/>
            <w:tcBorders>
              <w:right w:val="single" w:color="000000" w:sz="4" w:space="0"/>
            </w:tcBorders>
            <w:vAlign w:val="top"/>
          </w:tcPr>
          <w:p w14:paraId="691DAD89">
            <w:pPr>
              <w:rPr>
                <w:rFonts w:ascii="Arial"/>
                <w:sz w:val="21"/>
              </w:rPr>
            </w:pPr>
          </w:p>
        </w:tc>
        <w:tc>
          <w:tcPr>
            <w:tcW w:w="1081" w:type="dxa"/>
            <w:tcBorders>
              <w:left w:val="single" w:color="000000" w:sz="4" w:space="0"/>
            </w:tcBorders>
            <w:vAlign w:val="top"/>
          </w:tcPr>
          <w:p w14:paraId="16A353B6">
            <w:pPr>
              <w:rPr>
                <w:rFonts w:ascii="Arial"/>
                <w:sz w:val="21"/>
              </w:rPr>
            </w:pPr>
          </w:p>
        </w:tc>
        <w:tc>
          <w:tcPr>
            <w:tcW w:w="1165" w:type="dxa"/>
            <w:vAlign w:val="top"/>
          </w:tcPr>
          <w:p w14:paraId="26EB5E9F">
            <w:pPr>
              <w:rPr>
                <w:rFonts w:ascii="Arial"/>
                <w:sz w:val="21"/>
              </w:rPr>
            </w:pPr>
          </w:p>
        </w:tc>
        <w:tc>
          <w:tcPr>
            <w:tcW w:w="830" w:type="dxa"/>
            <w:vAlign w:val="top"/>
          </w:tcPr>
          <w:p w14:paraId="1369F54F">
            <w:pPr>
              <w:rPr>
                <w:rFonts w:ascii="Arial"/>
                <w:sz w:val="21"/>
              </w:rPr>
            </w:pPr>
          </w:p>
        </w:tc>
        <w:tc>
          <w:tcPr>
            <w:tcW w:w="1573" w:type="dxa"/>
            <w:tcBorders>
              <w:right w:val="single" w:color="000000" w:sz="4" w:space="0"/>
            </w:tcBorders>
            <w:vAlign w:val="top"/>
          </w:tcPr>
          <w:p w14:paraId="323E2445">
            <w:pPr>
              <w:rPr>
                <w:rFonts w:ascii="Arial"/>
                <w:sz w:val="21"/>
              </w:rPr>
            </w:pPr>
          </w:p>
        </w:tc>
      </w:tr>
      <w:tr w14:paraId="2B33B7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16" w:hRule="atLeast"/>
        </w:trPr>
        <w:tc>
          <w:tcPr>
            <w:tcW w:w="648" w:type="dxa"/>
            <w:tcBorders>
              <w:left w:val="single" w:color="000000" w:sz="4" w:space="0"/>
            </w:tcBorders>
            <w:vAlign w:val="top"/>
          </w:tcPr>
          <w:p w14:paraId="6D195091">
            <w:pPr>
              <w:rPr>
                <w:rFonts w:ascii="Arial"/>
                <w:sz w:val="21"/>
              </w:rPr>
            </w:pPr>
          </w:p>
        </w:tc>
        <w:tc>
          <w:tcPr>
            <w:tcW w:w="2173" w:type="dxa"/>
            <w:vAlign w:val="top"/>
          </w:tcPr>
          <w:p w14:paraId="25C9143B">
            <w:pPr>
              <w:rPr>
                <w:rFonts w:ascii="Arial"/>
                <w:sz w:val="21"/>
              </w:rPr>
            </w:pPr>
          </w:p>
        </w:tc>
        <w:tc>
          <w:tcPr>
            <w:tcW w:w="1076" w:type="dxa"/>
            <w:tcBorders>
              <w:right w:val="single" w:color="000000" w:sz="4" w:space="0"/>
            </w:tcBorders>
            <w:vAlign w:val="top"/>
          </w:tcPr>
          <w:p w14:paraId="640A14E2">
            <w:pPr>
              <w:rPr>
                <w:rFonts w:ascii="Arial"/>
                <w:sz w:val="21"/>
              </w:rPr>
            </w:pPr>
          </w:p>
        </w:tc>
        <w:tc>
          <w:tcPr>
            <w:tcW w:w="1081" w:type="dxa"/>
            <w:tcBorders>
              <w:left w:val="single" w:color="000000" w:sz="4" w:space="0"/>
            </w:tcBorders>
            <w:vAlign w:val="top"/>
          </w:tcPr>
          <w:p w14:paraId="43954AAF">
            <w:pPr>
              <w:rPr>
                <w:rFonts w:ascii="Arial"/>
                <w:sz w:val="21"/>
              </w:rPr>
            </w:pPr>
          </w:p>
        </w:tc>
        <w:tc>
          <w:tcPr>
            <w:tcW w:w="1165" w:type="dxa"/>
            <w:vAlign w:val="top"/>
          </w:tcPr>
          <w:p w14:paraId="29EE2525">
            <w:pPr>
              <w:rPr>
                <w:rFonts w:ascii="Arial"/>
                <w:sz w:val="21"/>
              </w:rPr>
            </w:pPr>
          </w:p>
        </w:tc>
        <w:tc>
          <w:tcPr>
            <w:tcW w:w="830" w:type="dxa"/>
            <w:vAlign w:val="top"/>
          </w:tcPr>
          <w:p w14:paraId="12C72163">
            <w:pPr>
              <w:rPr>
                <w:rFonts w:ascii="Arial"/>
                <w:sz w:val="21"/>
              </w:rPr>
            </w:pPr>
          </w:p>
        </w:tc>
        <w:tc>
          <w:tcPr>
            <w:tcW w:w="1573" w:type="dxa"/>
            <w:tcBorders>
              <w:right w:val="single" w:color="000000" w:sz="4" w:space="0"/>
            </w:tcBorders>
            <w:vAlign w:val="top"/>
          </w:tcPr>
          <w:p w14:paraId="568A6D0F">
            <w:pPr>
              <w:rPr>
                <w:rFonts w:ascii="Arial"/>
                <w:sz w:val="21"/>
              </w:rPr>
            </w:pPr>
          </w:p>
        </w:tc>
      </w:tr>
      <w:tr w14:paraId="63BD93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12" w:hRule="atLeast"/>
        </w:trPr>
        <w:tc>
          <w:tcPr>
            <w:tcW w:w="648" w:type="dxa"/>
            <w:tcBorders>
              <w:left w:val="single" w:color="000000" w:sz="4" w:space="0"/>
            </w:tcBorders>
            <w:vAlign w:val="top"/>
          </w:tcPr>
          <w:p w14:paraId="23A9269E">
            <w:pPr>
              <w:rPr>
                <w:rFonts w:ascii="Arial"/>
                <w:sz w:val="21"/>
              </w:rPr>
            </w:pPr>
          </w:p>
        </w:tc>
        <w:tc>
          <w:tcPr>
            <w:tcW w:w="2173" w:type="dxa"/>
            <w:vAlign w:val="top"/>
          </w:tcPr>
          <w:p w14:paraId="478107D5">
            <w:pPr>
              <w:rPr>
                <w:rFonts w:ascii="Arial"/>
                <w:sz w:val="21"/>
              </w:rPr>
            </w:pPr>
          </w:p>
        </w:tc>
        <w:tc>
          <w:tcPr>
            <w:tcW w:w="1076" w:type="dxa"/>
            <w:tcBorders>
              <w:right w:val="single" w:color="000000" w:sz="4" w:space="0"/>
            </w:tcBorders>
            <w:vAlign w:val="top"/>
          </w:tcPr>
          <w:p w14:paraId="4FD2237D">
            <w:pPr>
              <w:rPr>
                <w:rFonts w:ascii="Arial"/>
                <w:sz w:val="21"/>
              </w:rPr>
            </w:pPr>
          </w:p>
        </w:tc>
        <w:tc>
          <w:tcPr>
            <w:tcW w:w="1081" w:type="dxa"/>
            <w:tcBorders>
              <w:left w:val="single" w:color="000000" w:sz="4" w:space="0"/>
            </w:tcBorders>
            <w:vAlign w:val="top"/>
          </w:tcPr>
          <w:p w14:paraId="50DF9B0B">
            <w:pPr>
              <w:rPr>
                <w:rFonts w:ascii="Arial"/>
                <w:sz w:val="21"/>
              </w:rPr>
            </w:pPr>
          </w:p>
        </w:tc>
        <w:tc>
          <w:tcPr>
            <w:tcW w:w="1165" w:type="dxa"/>
            <w:vAlign w:val="top"/>
          </w:tcPr>
          <w:p w14:paraId="5739D03C">
            <w:pPr>
              <w:rPr>
                <w:rFonts w:ascii="Arial"/>
                <w:sz w:val="21"/>
              </w:rPr>
            </w:pPr>
          </w:p>
        </w:tc>
        <w:tc>
          <w:tcPr>
            <w:tcW w:w="830" w:type="dxa"/>
            <w:vAlign w:val="top"/>
          </w:tcPr>
          <w:p w14:paraId="6245F364">
            <w:pPr>
              <w:rPr>
                <w:rFonts w:ascii="Arial"/>
                <w:sz w:val="21"/>
              </w:rPr>
            </w:pPr>
          </w:p>
        </w:tc>
        <w:tc>
          <w:tcPr>
            <w:tcW w:w="1573" w:type="dxa"/>
            <w:tcBorders>
              <w:right w:val="single" w:color="000000" w:sz="4" w:space="0"/>
            </w:tcBorders>
            <w:vAlign w:val="top"/>
          </w:tcPr>
          <w:p w14:paraId="7FB5BEF6">
            <w:pPr>
              <w:rPr>
                <w:rFonts w:ascii="Arial"/>
                <w:sz w:val="21"/>
              </w:rPr>
            </w:pPr>
          </w:p>
        </w:tc>
      </w:tr>
      <w:tr w14:paraId="647FC9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16" w:hRule="atLeast"/>
        </w:trPr>
        <w:tc>
          <w:tcPr>
            <w:tcW w:w="648" w:type="dxa"/>
            <w:tcBorders>
              <w:left w:val="single" w:color="000000" w:sz="4" w:space="0"/>
            </w:tcBorders>
            <w:vAlign w:val="top"/>
          </w:tcPr>
          <w:p w14:paraId="1FACA905">
            <w:pPr>
              <w:rPr>
                <w:rFonts w:ascii="Arial"/>
                <w:sz w:val="21"/>
              </w:rPr>
            </w:pPr>
          </w:p>
        </w:tc>
        <w:tc>
          <w:tcPr>
            <w:tcW w:w="2173" w:type="dxa"/>
            <w:vAlign w:val="top"/>
          </w:tcPr>
          <w:p w14:paraId="4A6625D9">
            <w:pPr>
              <w:rPr>
                <w:rFonts w:ascii="Arial"/>
                <w:sz w:val="21"/>
              </w:rPr>
            </w:pPr>
          </w:p>
        </w:tc>
        <w:tc>
          <w:tcPr>
            <w:tcW w:w="1076" w:type="dxa"/>
            <w:tcBorders>
              <w:right w:val="single" w:color="000000" w:sz="4" w:space="0"/>
            </w:tcBorders>
            <w:vAlign w:val="top"/>
          </w:tcPr>
          <w:p w14:paraId="757936BA">
            <w:pPr>
              <w:rPr>
                <w:rFonts w:ascii="Arial"/>
                <w:sz w:val="21"/>
              </w:rPr>
            </w:pPr>
          </w:p>
        </w:tc>
        <w:tc>
          <w:tcPr>
            <w:tcW w:w="1081" w:type="dxa"/>
            <w:tcBorders>
              <w:left w:val="single" w:color="000000" w:sz="4" w:space="0"/>
            </w:tcBorders>
            <w:vAlign w:val="top"/>
          </w:tcPr>
          <w:p w14:paraId="418E441A">
            <w:pPr>
              <w:rPr>
                <w:rFonts w:ascii="Arial"/>
                <w:sz w:val="21"/>
              </w:rPr>
            </w:pPr>
          </w:p>
        </w:tc>
        <w:tc>
          <w:tcPr>
            <w:tcW w:w="1165" w:type="dxa"/>
            <w:vAlign w:val="top"/>
          </w:tcPr>
          <w:p w14:paraId="1B66906D">
            <w:pPr>
              <w:rPr>
                <w:rFonts w:ascii="Arial"/>
                <w:sz w:val="21"/>
              </w:rPr>
            </w:pPr>
          </w:p>
        </w:tc>
        <w:tc>
          <w:tcPr>
            <w:tcW w:w="830" w:type="dxa"/>
            <w:vAlign w:val="top"/>
          </w:tcPr>
          <w:p w14:paraId="6D367EE5">
            <w:pPr>
              <w:rPr>
                <w:rFonts w:ascii="Arial"/>
                <w:sz w:val="21"/>
              </w:rPr>
            </w:pPr>
          </w:p>
        </w:tc>
        <w:tc>
          <w:tcPr>
            <w:tcW w:w="1573" w:type="dxa"/>
            <w:tcBorders>
              <w:right w:val="single" w:color="000000" w:sz="4" w:space="0"/>
            </w:tcBorders>
            <w:vAlign w:val="top"/>
          </w:tcPr>
          <w:p w14:paraId="2CE3320B">
            <w:pPr>
              <w:rPr>
                <w:rFonts w:ascii="Arial"/>
                <w:sz w:val="21"/>
              </w:rPr>
            </w:pPr>
          </w:p>
        </w:tc>
      </w:tr>
      <w:tr w14:paraId="27CCDD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26" w:hRule="atLeast"/>
        </w:trPr>
        <w:tc>
          <w:tcPr>
            <w:tcW w:w="648" w:type="dxa"/>
            <w:tcBorders>
              <w:left w:val="single" w:color="000000" w:sz="4" w:space="0"/>
              <w:bottom w:val="single" w:color="000000" w:sz="4" w:space="0"/>
            </w:tcBorders>
            <w:vAlign w:val="top"/>
          </w:tcPr>
          <w:p w14:paraId="73D1CF59">
            <w:pPr>
              <w:rPr>
                <w:rFonts w:ascii="Arial"/>
                <w:sz w:val="21"/>
              </w:rPr>
            </w:pPr>
          </w:p>
        </w:tc>
        <w:tc>
          <w:tcPr>
            <w:tcW w:w="2173" w:type="dxa"/>
            <w:tcBorders>
              <w:bottom w:val="single" w:color="000000" w:sz="4" w:space="0"/>
            </w:tcBorders>
            <w:vAlign w:val="top"/>
          </w:tcPr>
          <w:p w14:paraId="6CCB7CEC">
            <w:pPr>
              <w:spacing w:line="286" w:lineRule="auto"/>
              <w:rPr>
                <w:rFonts w:ascii="Arial"/>
                <w:sz w:val="21"/>
              </w:rPr>
            </w:pPr>
          </w:p>
          <w:p w14:paraId="5B0D3F63">
            <w:pPr>
              <w:pStyle w:val="11"/>
              <w:spacing w:before="68" w:line="222" w:lineRule="auto"/>
              <w:ind w:left="876"/>
            </w:pPr>
            <w:r>
              <w:rPr>
                <w:spacing w:val="-2"/>
              </w:rPr>
              <w:t>合计</w:t>
            </w:r>
          </w:p>
        </w:tc>
        <w:tc>
          <w:tcPr>
            <w:tcW w:w="1076" w:type="dxa"/>
            <w:tcBorders>
              <w:bottom w:val="single" w:color="000000" w:sz="4" w:space="0"/>
              <w:right w:val="single" w:color="000000" w:sz="4" w:space="0"/>
            </w:tcBorders>
            <w:vAlign w:val="top"/>
          </w:tcPr>
          <w:p w14:paraId="6B9EE96D">
            <w:pPr>
              <w:spacing w:line="385" w:lineRule="auto"/>
              <w:rPr>
                <w:rFonts w:ascii="Arial"/>
                <w:sz w:val="21"/>
              </w:rPr>
            </w:pPr>
          </w:p>
          <w:p w14:paraId="220F03B7">
            <w:pPr>
              <w:pStyle w:val="11"/>
              <w:spacing w:before="68" w:line="142" w:lineRule="exact"/>
              <w:ind w:left="438"/>
            </w:pPr>
            <w:r>
              <w:rPr>
                <w:position w:val="-3"/>
              </w:rPr>
              <w:t>—</w:t>
            </w:r>
          </w:p>
        </w:tc>
        <w:tc>
          <w:tcPr>
            <w:tcW w:w="1081" w:type="dxa"/>
            <w:tcBorders>
              <w:left w:val="single" w:color="000000" w:sz="4" w:space="0"/>
              <w:bottom w:val="single" w:color="000000" w:sz="4" w:space="0"/>
            </w:tcBorders>
            <w:vAlign w:val="top"/>
          </w:tcPr>
          <w:p w14:paraId="40806D02">
            <w:pPr>
              <w:spacing w:line="385" w:lineRule="auto"/>
              <w:rPr>
                <w:rFonts w:ascii="Arial"/>
                <w:sz w:val="21"/>
              </w:rPr>
            </w:pPr>
          </w:p>
          <w:p w14:paraId="1463B354">
            <w:pPr>
              <w:pStyle w:val="11"/>
              <w:spacing w:before="68" w:line="142" w:lineRule="exact"/>
              <w:ind w:left="440"/>
            </w:pPr>
            <w:r>
              <w:rPr>
                <w:position w:val="-3"/>
              </w:rPr>
              <w:t>—</w:t>
            </w:r>
          </w:p>
        </w:tc>
        <w:tc>
          <w:tcPr>
            <w:tcW w:w="1165" w:type="dxa"/>
            <w:tcBorders>
              <w:bottom w:val="single" w:color="000000" w:sz="4" w:space="0"/>
            </w:tcBorders>
            <w:vAlign w:val="top"/>
          </w:tcPr>
          <w:p w14:paraId="13FDF82D">
            <w:pPr>
              <w:rPr>
                <w:rFonts w:ascii="Arial"/>
                <w:sz w:val="21"/>
              </w:rPr>
            </w:pPr>
          </w:p>
        </w:tc>
        <w:tc>
          <w:tcPr>
            <w:tcW w:w="830" w:type="dxa"/>
            <w:tcBorders>
              <w:bottom w:val="single" w:color="000000" w:sz="4" w:space="0"/>
            </w:tcBorders>
            <w:vAlign w:val="top"/>
          </w:tcPr>
          <w:p w14:paraId="0D1D3218">
            <w:pPr>
              <w:spacing w:line="385" w:lineRule="auto"/>
              <w:rPr>
                <w:rFonts w:ascii="Arial"/>
                <w:sz w:val="21"/>
              </w:rPr>
            </w:pPr>
          </w:p>
          <w:p w14:paraId="052D0679">
            <w:pPr>
              <w:pStyle w:val="11"/>
              <w:spacing w:before="68" w:line="142" w:lineRule="exact"/>
              <w:ind w:left="314"/>
            </w:pPr>
            <w:r>
              <w:rPr>
                <w:position w:val="-3"/>
              </w:rPr>
              <w:t>—</w:t>
            </w:r>
          </w:p>
        </w:tc>
        <w:tc>
          <w:tcPr>
            <w:tcW w:w="1573" w:type="dxa"/>
            <w:tcBorders>
              <w:bottom w:val="single" w:color="000000" w:sz="4" w:space="0"/>
              <w:right w:val="single" w:color="000000" w:sz="4" w:space="0"/>
            </w:tcBorders>
            <w:vAlign w:val="top"/>
          </w:tcPr>
          <w:p w14:paraId="0BBF1EBD">
            <w:pPr>
              <w:rPr>
                <w:rFonts w:ascii="Arial"/>
                <w:sz w:val="21"/>
              </w:rPr>
            </w:pPr>
          </w:p>
        </w:tc>
      </w:tr>
    </w:tbl>
    <w:p w14:paraId="51FE0DA1">
      <w:pPr>
        <w:spacing w:before="150" w:line="228" w:lineRule="auto"/>
        <w:ind w:left="551" w:right="125" w:hanging="423"/>
        <w:rPr>
          <w:rFonts w:ascii="宋体" w:hAnsi="宋体" w:eastAsia="宋体" w:cs="宋体"/>
          <w:sz w:val="21"/>
          <w:szCs w:val="21"/>
        </w:rPr>
      </w:pPr>
      <w:r>
        <w:rPr>
          <w:rFonts w:ascii="宋体" w:hAnsi="宋体" w:eastAsia="宋体" w:cs="宋体"/>
          <w:spacing w:val="-2"/>
          <w:sz w:val="21"/>
          <w:szCs w:val="21"/>
        </w:rPr>
        <w:t>注：此表项目名称、服务内容由招标人填写， 编制招</w:t>
      </w:r>
      <w:r>
        <w:rPr>
          <w:rFonts w:ascii="宋体" w:hAnsi="宋体" w:eastAsia="宋体" w:cs="宋体"/>
          <w:spacing w:val="-3"/>
          <w:sz w:val="21"/>
          <w:szCs w:val="21"/>
        </w:rPr>
        <w:t>标控制价时， 费率及金额由招标人按</w:t>
      </w:r>
      <w:r>
        <w:rPr>
          <w:rFonts w:ascii="宋体" w:hAnsi="宋体" w:eastAsia="宋体" w:cs="宋体"/>
          <w:sz w:val="21"/>
          <w:szCs w:val="21"/>
        </w:rPr>
        <w:t xml:space="preserve"> </w:t>
      </w:r>
      <w:r>
        <w:rPr>
          <w:rFonts w:ascii="宋体" w:hAnsi="宋体" w:eastAsia="宋体" w:cs="宋体"/>
          <w:spacing w:val="-7"/>
          <w:sz w:val="21"/>
          <w:szCs w:val="21"/>
        </w:rPr>
        <w:t>有关计价规定确定： 投标时，</w:t>
      </w:r>
      <w:r>
        <w:rPr>
          <w:rFonts w:ascii="宋体" w:hAnsi="宋体" w:eastAsia="宋体" w:cs="宋体"/>
          <w:spacing w:val="23"/>
          <w:sz w:val="21"/>
          <w:szCs w:val="21"/>
        </w:rPr>
        <w:t xml:space="preserve"> </w:t>
      </w:r>
      <w:r>
        <w:rPr>
          <w:rFonts w:ascii="宋体" w:hAnsi="宋体" w:eastAsia="宋体" w:cs="宋体"/>
          <w:spacing w:val="-7"/>
          <w:sz w:val="21"/>
          <w:szCs w:val="21"/>
        </w:rPr>
        <w:t>费率及金额由投标人自主报价</w:t>
      </w:r>
      <w:r>
        <w:rPr>
          <w:rFonts w:ascii="宋体" w:hAnsi="宋体" w:eastAsia="宋体" w:cs="宋体"/>
          <w:spacing w:val="-8"/>
          <w:sz w:val="21"/>
          <w:szCs w:val="21"/>
        </w:rPr>
        <w:t>，计入投标总价中。</w:t>
      </w:r>
    </w:p>
    <w:p w14:paraId="5B5834AB">
      <w:pPr>
        <w:spacing w:line="228" w:lineRule="auto"/>
        <w:rPr>
          <w:rFonts w:ascii="宋体" w:hAnsi="宋体" w:eastAsia="宋体" w:cs="宋体"/>
          <w:sz w:val="21"/>
          <w:szCs w:val="21"/>
        </w:rPr>
        <w:sectPr>
          <w:footerReference r:id="rId178" w:type="default"/>
          <w:pgSz w:w="11905" w:h="16839"/>
          <w:pgMar w:top="400" w:right="1671" w:bottom="1004" w:left="1675" w:header="0" w:footer="828" w:gutter="0"/>
          <w:pgNumType w:fmt="decimal"/>
          <w:cols w:space="720" w:num="1"/>
        </w:sectPr>
      </w:pPr>
    </w:p>
    <w:p w14:paraId="117E2094">
      <w:pPr>
        <w:pStyle w:val="3"/>
        <w:spacing w:line="267" w:lineRule="auto"/>
      </w:pPr>
    </w:p>
    <w:p w14:paraId="3CE43B82">
      <w:pPr>
        <w:pStyle w:val="3"/>
        <w:spacing w:line="268" w:lineRule="auto"/>
      </w:pPr>
    </w:p>
    <w:p w14:paraId="24C0CF7F">
      <w:pPr>
        <w:pStyle w:val="3"/>
        <w:spacing w:line="268" w:lineRule="auto"/>
      </w:pPr>
    </w:p>
    <w:p w14:paraId="5271806B">
      <w:pPr>
        <w:pStyle w:val="3"/>
        <w:spacing w:line="268" w:lineRule="auto"/>
      </w:pPr>
    </w:p>
    <w:p w14:paraId="6FECC81E">
      <w:pPr>
        <w:spacing w:before="78" w:line="218" w:lineRule="auto"/>
        <w:ind w:left="119"/>
        <w:rPr>
          <w:rFonts w:ascii="黑体" w:hAnsi="黑体" w:eastAsia="黑体" w:cs="黑体"/>
          <w:sz w:val="24"/>
          <w:szCs w:val="24"/>
        </w:rPr>
      </w:pPr>
      <w:r>
        <w:rPr>
          <w:rFonts w:ascii="Times New Roman" w:hAnsi="Times New Roman" w:eastAsia="Times New Roman" w:cs="Times New Roman"/>
          <w:spacing w:val="-1"/>
          <w:sz w:val="24"/>
          <w:szCs w:val="24"/>
        </w:rPr>
        <w:t xml:space="preserve">4.13 </w:t>
      </w:r>
      <w:r>
        <w:rPr>
          <w:rFonts w:ascii="黑体" w:hAnsi="黑体" w:eastAsia="黑体" w:cs="黑体"/>
          <w:spacing w:val="-1"/>
          <w:sz w:val="24"/>
          <w:szCs w:val="24"/>
        </w:rPr>
        <w:t>规费、税金项目计价表</w:t>
      </w:r>
    </w:p>
    <w:p w14:paraId="73FFB0D3">
      <w:pPr>
        <w:pStyle w:val="3"/>
        <w:spacing w:line="385" w:lineRule="auto"/>
      </w:pPr>
    </w:p>
    <w:p w14:paraId="490573AE">
      <w:pPr>
        <w:spacing w:before="87" w:line="224" w:lineRule="auto"/>
        <w:ind w:left="2880"/>
        <w:rPr>
          <w:rFonts w:ascii="黑体" w:hAnsi="黑体" w:eastAsia="黑体" w:cs="黑体"/>
          <w:sz w:val="27"/>
          <w:szCs w:val="27"/>
        </w:rPr>
      </w:pPr>
      <w:bookmarkStart w:id="1302" w:name="bookmark260"/>
      <w:bookmarkEnd w:id="1302"/>
      <w:r>
        <w:rPr>
          <w:rFonts w:ascii="黑体" w:hAnsi="黑体" w:eastAsia="黑体" w:cs="黑体"/>
          <w:spacing w:val="8"/>
          <w:sz w:val="27"/>
          <w:szCs w:val="27"/>
        </w:rPr>
        <w:t>规费、税金项目计价表</w:t>
      </w:r>
    </w:p>
    <w:p w14:paraId="7EED131E">
      <w:pPr>
        <w:spacing w:before="49"/>
      </w:pPr>
    </w:p>
    <w:p w14:paraId="092EC992">
      <w:pPr>
        <w:spacing w:before="49"/>
      </w:pPr>
    </w:p>
    <w:p w14:paraId="67F1B730">
      <w:pPr>
        <w:sectPr>
          <w:footerReference r:id="rId179" w:type="default"/>
          <w:pgSz w:w="11905" w:h="16839"/>
          <w:pgMar w:top="400" w:right="1681" w:bottom="1004" w:left="1680" w:header="0" w:footer="829" w:gutter="0"/>
          <w:pgNumType w:fmt="decimal"/>
          <w:cols w:equalWidth="0" w:num="1">
            <w:col w:w="8543"/>
          </w:cols>
        </w:sectPr>
      </w:pPr>
    </w:p>
    <w:p w14:paraId="5986B335">
      <w:pPr>
        <w:spacing w:before="41" w:line="186" w:lineRule="auto"/>
        <w:ind w:left="125"/>
        <w:rPr>
          <w:rFonts w:ascii="宋体" w:hAnsi="宋体" w:eastAsia="宋体" w:cs="宋体"/>
          <w:sz w:val="21"/>
          <w:szCs w:val="21"/>
        </w:rPr>
      </w:pPr>
      <w:r>
        <w:rPr>
          <w:rFonts w:ascii="宋体" w:hAnsi="宋体" w:eastAsia="宋体" w:cs="宋体"/>
          <w:spacing w:val="-9"/>
          <w:sz w:val="21"/>
          <w:szCs w:val="21"/>
        </w:rPr>
        <w:t>工程名称：</w:t>
      </w:r>
    </w:p>
    <w:p w14:paraId="3B100614">
      <w:pPr>
        <w:pStyle w:val="3"/>
        <w:spacing w:line="14" w:lineRule="auto"/>
        <w:rPr>
          <w:sz w:val="2"/>
        </w:rPr>
      </w:pPr>
      <w:r>
        <w:rPr>
          <w:sz w:val="2"/>
          <w:szCs w:val="2"/>
        </w:rPr>
        <w:br w:type="column"/>
      </w:r>
    </w:p>
    <w:p w14:paraId="4CBD38F6">
      <w:pPr>
        <w:spacing w:before="40" w:line="186" w:lineRule="auto"/>
        <w:rPr>
          <w:rFonts w:ascii="宋体" w:hAnsi="宋体" w:eastAsia="宋体" w:cs="宋体"/>
          <w:sz w:val="21"/>
          <w:szCs w:val="21"/>
        </w:rPr>
      </w:pPr>
      <w:r>
        <w:rPr>
          <w:rFonts w:ascii="宋体" w:hAnsi="宋体" w:eastAsia="宋体" w:cs="宋体"/>
          <w:spacing w:val="-13"/>
          <w:sz w:val="21"/>
          <w:szCs w:val="21"/>
        </w:rPr>
        <w:t>标段名称：</w:t>
      </w:r>
      <w:r>
        <w:rPr>
          <w:rFonts w:ascii="宋体" w:hAnsi="宋体" w:eastAsia="宋体" w:cs="宋体"/>
          <w:spacing w:val="6"/>
          <w:sz w:val="21"/>
          <w:szCs w:val="21"/>
        </w:rPr>
        <w:t xml:space="preserve">         </w:t>
      </w:r>
      <w:r>
        <w:rPr>
          <w:rFonts w:ascii="宋体" w:hAnsi="宋体" w:eastAsia="宋体" w:cs="宋体"/>
          <w:spacing w:val="-13"/>
          <w:sz w:val="21"/>
          <w:szCs w:val="21"/>
        </w:rPr>
        <w:t>第 页</w:t>
      </w:r>
      <w:r>
        <w:rPr>
          <w:rFonts w:ascii="宋体" w:hAnsi="宋体" w:eastAsia="宋体" w:cs="宋体"/>
          <w:spacing w:val="11"/>
          <w:sz w:val="21"/>
          <w:szCs w:val="21"/>
        </w:rPr>
        <w:t xml:space="preserve"> </w:t>
      </w:r>
      <w:r>
        <w:rPr>
          <w:rFonts w:ascii="宋体" w:hAnsi="宋体" w:eastAsia="宋体" w:cs="宋体"/>
          <w:spacing w:val="-13"/>
          <w:sz w:val="21"/>
          <w:szCs w:val="21"/>
        </w:rPr>
        <w:t>共</w:t>
      </w:r>
      <w:r>
        <w:rPr>
          <w:rFonts w:ascii="宋体" w:hAnsi="宋体" w:eastAsia="宋体" w:cs="宋体"/>
          <w:spacing w:val="14"/>
          <w:sz w:val="21"/>
          <w:szCs w:val="21"/>
        </w:rPr>
        <w:t xml:space="preserve"> </w:t>
      </w:r>
      <w:r>
        <w:rPr>
          <w:rFonts w:ascii="宋体" w:hAnsi="宋体" w:eastAsia="宋体" w:cs="宋体"/>
          <w:spacing w:val="-13"/>
          <w:sz w:val="21"/>
          <w:szCs w:val="21"/>
        </w:rPr>
        <w:t>页</w:t>
      </w:r>
    </w:p>
    <w:p w14:paraId="2C2D1D5C">
      <w:pPr>
        <w:spacing w:line="186" w:lineRule="auto"/>
        <w:rPr>
          <w:rFonts w:ascii="宋体" w:hAnsi="宋体" w:eastAsia="宋体" w:cs="宋体"/>
          <w:sz w:val="21"/>
          <w:szCs w:val="21"/>
        </w:rPr>
        <w:sectPr>
          <w:type w:val="continuous"/>
          <w:pgSz w:w="11905" w:h="16839"/>
          <w:pgMar w:top="400" w:right="1681" w:bottom="1004" w:left="1680" w:header="0" w:footer="829" w:gutter="0"/>
          <w:pgNumType w:fmt="decimal"/>
          <w:cols w:equalWidth="0" w:num="2">
            <w:col w:w="2339" w:space="100"/>
            <w:col w:w="6104"/>
          </w:cols>
        </w:sectPr>
      </w:pPr>
    </w:p>
    <w:p w14:paraId="10E6172E">
      <w:pPr>
        <w:spacing w:line="32" w:lineRule="exact"/>
      </w:pPr>
    </w:p>
    <w:tbl>
      <w:tblPr>
        <w:tblStyle w:val="10"/>
        <w:tblW w:w="8532" w:type="dxa"/>
        <w:tblInd w:w="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93"/>
        <w:gridCol w:w="1789"/>
        <w:gridCol w:w="1789"/>
        <w:gridCol w:w="1223"/>
        <w:gridCol w:w="1362"/>
        <w:gridCol w:w="1376"/>
      </w:tblGrid>
      <w:tr w14:paraId="5C1750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1" w:hRule="atLeast"/>
        </w:trPr>
        <w:tc>
          <w:tcPr>
            <w:tcW w:w="993" w:type="dxa"/>
            <w:tcBorders>
              <w:top w:val="single" w:color="000000" w:sz="4" w:space="0"/>
              <w:left w:val="single" w:color="000000" w:sz="4" w:space="0"/>
            </w:tcBorders>
            <w:vAlign w:val="top"/>
          </w:tcPr>
          <w:p w14:paraId="37CF10A5">
            <w:pPr>
              <w:pStyle w:val="11"/>
              <w:spacing w:before="283" w:line="222" w:lineRule="auto"/>
              <w:ind w:left="285"/>
            </w:pPr>
            <w:r>
              <w:rPr>
                <w:spacing w:val="-2"/>
              </w:rPr>
              <w:t>序号</w:t>
            </w:r>
          </w:p>
        </w:tc>
        <w:tc>
          <w:tcPr>
            <w:tcW w:w="1789" w:type="dxa"/>
            <w:tcBorders>
              <w:top w:val="single" w:color="000000" w:sz="4" w:space="0"/>
            </w:tcBorders>
            <w:vAlign w:val="top"/>
          </w:tcPr>
          <w:p w14:paraId="42ACC253">
            <w:pPr>
              <w:pStyle w:val="11"/>
              <w:spacing w:before="284" w:line="221" w:lineRule="auto"/>
              <w:ind w:left="476"/>
            </w:pPr>
            <w:r>
              <w:rPr>
                <w:spacing w:val="-2"/>
              </w:rPr>
              <w:t>项目名称</w:t>
            </w:r>
          </w:p>
        </w:tc>
        <w:tc>
          <w:tcPr>
            <w:tcW w:w="1789" w:type="dxa"/>
            <w:tcBorders>
              <w:top w:val="single" w:color="000000" w:sz="4" w:space="0"/>
            </w:tcBorders>
            <w:vAlign w:val="top"/>
          </w:tcPr>
          <w:p w14:paraId="6D925B78">
            <w:pPr>
              <w:pStyle w:val="11"/>
              <w:spacing w:before="283" w:line="221" w:lineRule="auto"/>
              <w:ind w:left="474"/>
            </w:pPr>
            <w:r>
              <w:rPr>
                <w:spacing w:val="-1"/>
              </w:rPr>
              <w:t>计算基础</w:t>
            </w:r>
          </w:p>
        </w:tc>
        <w:tc>
          <w:tcPr>
            <w:tcW w:w="1223" w:type="dxa"/>
            <w:tcBorders>
              <w:top w:val="single" w:color="000000" w:sz="4" w:space="0"/>
            </w:tcBorders>
            <w:vAlign w:val="top"/>
          </w:tcPr>
          <w:p w14:paraId="2D2B94AA">
            <w:pPr>
              <w:pStyle w:val="11"/>
              <w:spacing w:before="283" w:line="221" w:lineRule="auto"/>
              <w:ind w:left="193"/>
            </w:pPr>
            <w:r>
              <w:rPr>
                <w:spacing w:val="-1"/>
              </w:rPr>
              <w:t>计算基数</w:t>
            </w:r>
          </w:p>
        </w:tc>
        <w:tc>
          <w:tcPr>
            <w:tcW w:w="1362" w:type="dxa"/>
            <w:tcBorders>
              <w:top w:val="single" w:color="000000" w:sz="4" w:space="0"/>
            </w:tcBorders>
            <w:vAlign w:val="top"/>
          </w:tcPr>
          <w:p w14:paraId="3BC0FB73">
            <w:pPr>
              <w:pStyle w:val="11"/>
              <w:spacing w:before="284" w:line="234" w:lineRule="auto"/>
              <w:ind w:left="196"/>
            </w:pPr>
            <w:r>
              <w:rPr>
                <w:spacing w:val="-3"/>
              </w:rPr>
              <w:t>费率（</w:t>
            </w:r>
            <w:r>
              <w:rPr>
                <w:rFonts w:ascii="Times New Roman" w:hAnsi="Times New Roman" w:eastAsia="Times New Roman" w:cs="Times New Roman"/>
                <w:spacing w:val="-3"/>
              </w:rPr>
              <w:t>%</w:t>
            </w:r>
            <w:r>
              <w:rPr>
                <w:spacing w:val="-3"/>
              </w:rPr>
              <w:t>）</w:t>
            </w:r>
          </w:p>
        </w:tc>
        <w:tc>
          <w:tcPr>
            <w:tcW w:w="1376" w:type="dxa"/>
            <w:tcBorders>
              <w:top w:val="single" w:color="000000" w:sz="4" w:space="0"/>
              <w:right w:val="single" w:color="000000" w:sz="4" w:space="0"/>
            </w:tcBorders>
            <w:vAlign w:val="top"/>
          </w:tcPr>
          <w:p w14:paraId="60E700F0">
            <w:pPr>
              <w:pStyle w:val="11"/>
              <w:spacing w:before="283" w:line="221" w:lineRule="auto"/>
              <w:ind w:left="174"/>
            </w:pPr>
            <w:r>
              <w:rPr>
                <w:spacing w:val="-3"/>
              </w:rPr>
              <w:t>金额（元）</w:t>
            </w:r>
          </w:p>
        </w:tc>
      </w:tr>
      <w:tr w14:paraId="039CFB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7" w:hRule="atLeast"/>
        </w:trPr>
        <w:tc>
          <w:tcPr>
            <w:tcW w:w="993" w:type="dxa"/>
            <w:tcBorders>
              <w:left w:val="single" w:color="000000" w:sz="4" w:space="0"/>
            </w:tcBorders>
            <w:vAlign w:val="top"/>
          </w:tcPr>
          <w:p w14:paraId="45B77A5E">
            <w:pPr>
              <w:spacing w:line="249" w:lineRule="auto"/>
              <w:rPr>
                <w:rFonts w:ascii="Arial"/>
                <w:sz w:val="21"/>
              </w:rPr>
            </w:pPr>
          </w:p>
          <w:p w14:paraId="504624AC">
            <w:pPr>
              <w:spacing w:before="69" w:line="183" w:lineRule="auto"/>
              <w:ind w:left="455"/>
              <w:rPr>
                <w:rFonts w:ascii="黑体" w:hAnsi="黑体" w:eastAsia="黑体" w:cs="黑体"/>
                <w:sz w:val="21"/>
                <w:szCs w:val="21"/>
              </w:rPr>
            </w:pPr>
            <w:r>
              <w:rPr>
                <w:rFonts w:ascii="黑体" w:hAnsi="黑体" w:eastAsia="黑体" w:cs="黑体"/>
                <w:sz w:val="21"/>
                <w:szCs w:val="21"/>
              </w:rPr>
              <w:t>1</w:t>
            </w:r>
          </w:p>
        </w:tc>
        <w:tc>
          <w:tcPr>
            <w:tcW w:w="1789" w:type="dxa"/>
            <w:vAlign w:val="top"/>
          </w:tcPr>
          <w:p w14:paraId="6A24D950">
            <w:pPr>
              <w:pStyle w:val="11"/>
              <w:spacing w:before="285" w:line="221" w:lineRule="auto"/>
              <w:ind w:left="684"/>
            </w:pPr>
            <w:r>
              <w:rPr>
                <w:spacing w:val="-2"/>
              </w:rPr>
              <w:t>规费</w:t>
            </w:r>
          </w:p>
        </w:tc>
        <w:tc>
          <w:tcPr>
            <w:tcW w:w="1789" w:type="dxa"/>
            <w:vAlign w:val="top"/>
          </w:tcPr>
          <w:p w14:paraId="7FC5CD94">
            <w:pPr>
              <w:rPr>
                <w:rFonts w:ascii="Arial"/>
                <w:sz w:val="21"/>
              </w:rPr>
            </w:pPr>
          </w:p>
        </w:tc>
        <w:tc>
          <w:tcPr>
            <w:tcW w:w="1223" w:type="dxa"/>
            <w:vAlign w:val="top"/>
          </w:tcPr>
          <w:p w14:paraId="670EF677">
            <w:pPr>
              <w:rPr>
                <w:rFonts w:ascii="Arial"/>
                <w:sz w:val="21"/>
              </w:rPr>
            </w:pPr>
          </w:p>
        </w:tc>
        <w:tc>
          <w:tcPr>
            <w:tcW w:w="1362" w:type="dxa"/>
            <w:vAlign w:val="top"/>
          </w:tcPr>
          <w:p w14:paraId="29451CB7">
            <w:pPr>
              <w:rPr>
                <w:rFonts w:ascii="Arial"/>
                <w:sz w:val="21"/>
              </w:rPr>
            </w:pPr>
          </w:p>
        </w:tc>
        <w:tc>
          <w:tcPr>
            <w:tcW w:w="1376" w:type="dxa"/>
            <w:tcBorders>
              <w:right w:val="single" w:color="000000" w:sz="4" w:space="0"/>
            </w:tcBorders>
            <w:vAlign w:val="top"/>
          </w:tcPr>
          <w:p w14:paraId="5141D2E8">
            <w:pPr>
              <w:rPr>
                <w:rFonts w:ascii="Arial"/>
                <w:sz w:val="21"/>
              </w:rPr>
            </w:pPr>
          </w:p>
        </w:tc>
      </w:tr>
      <w:tr w14:paraId="595D17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772" w:hRule="atLeast"/>
        </w:trPr>
        <w:tc>
          <w:tcPr>
            <w:tcW w:w="993" w:type="dxa"/>
            <w:tcBorders>
              <w:left w:val="single" w:color="000000" w:sz="4" w:space="0"/>
              <w:bottom w:val="single" w:color="000000" w:sz="4" w:space="0"/>
            </w:tcBorders>
            <w:vAlign w:val="top"/>
          </w:tcPr>
          <w:p w14:paraId="10E16AAF">
            <w:pPr>
              <w:rPr>
                <w:rFonts w:ascii="Arial"/>
                <w:sz w:val="21"/>
              </w:rPr>
            </w:pPr>
          </w:p>
          <w:p w14:paraId="1EF269C4">
            <w:pPr>
              <w:spacing w:before="68" w:line="183" w:lineRule="auto"/>
              <w:ind w:left="350"/>
              <w:rPr>
                <w:rFonts w:ascii="黑体" w:hAnsi="黑体" w:eastAsia="黑体" w:cs="黑体"/>
                <w:sz w:val="21"/>
                <w:szCs w:val="21"/>
              </w:rPr>
            </w:pPr>
            <w:r>
              <w:rPr>
                <w:rFonts w:ascii="黑体" w:hAnsi="黑体" w:eastAsia="黑体" w:cs="黑体"/>
                <w:spacing w:val="-4"/>
                <w:sz w:val="21"/>
                <w:szCs w:val="21"/>
              </w:rPr>
              <w:t>1.1</w:t>
            </w:r>
          </w:p>
        </w:tc>
        <w:tc>
          <w:tcPr>
            <w:tcW w:w="1789" w:type="dxa"/>
            <w:vAlign w:val="top"/>
          </w:tcPr>
          <w:p w14:paraId="51562BF7">
            <w:pPr>
              <w:pStyle w:val="11"/>
              <w:spacing w:before="275" w:line="220" w:lineRule="auto"/>
              <w:ind w:left="368"/>
            </w:pPr>
            <w:r>
              <w:rPr>
                <w:spacing w:val="-1"/>
              </w:rPr>
              <w:t>社会保险费</w:t>
            </w:r>
          </w:p>
        </w:tc>
        <w:tc>
          <w:tcPr>
            <w:tcW w:w="1789" w:type="dxa"/>
            <w:vAlign w:val="top"/>
          </w:tcPr>
          <w:p w14:paraId="088D3EFF">
            <w:pPr>
              <w:rPr>
                <w:rFonts w:ascii="Arial"/>
                <w:sz w:val="21"/>
              </w:rPr>
            </w:pPr>
          </w:p>
        </w:tc>
        <w:tc>
          <w:tcPr>
            <w:tcW w:w="1223" w:type="dxa"/>
            <w:vAlign w:val="top"/>
          </w:tcPr>
          <w:p w14:paraId="2CF39D56">
            <w:pPr>
              <w:rPr>
                <w:rFonts w:ascii="Arial"/>
                <w:sz w:val="21"/>
              </w:rPr>
            </w:pPr>
          </w:p>
        </w:tc>
        <w:tc>
          <w:tcPr>
            <w:tcW w:w="1362" w:type="dxa"/>
            <w:vAlign w:val="top"/>
          </w:tcPr>
          <w:p w14:paraId="4D334A6C">
            <w:pPr>
              <w:rPr>
                <w:rFonts w:ascii="Arial"/>
                <w:sz w:val="21"/>
              </w:rPr>
            </w:pPr>
          </w:p>
        </w:tc>
        <w:tc>
          <w:tcPr>
            <w:tcW w:w="1376" w:type="dxa"/>
            <w:tcBorders>
              <w:right w:val="single" w:color="000000" w:sz="4" w:space="0"/>
            </w:tcBorders>
            <w:vAlign w:val="top"/>
          </w:tcPr>
          <w:p w14:paraId="64DEB7AE">
            <w:pPr>
              <w:rPr>
                <w:rFonts w:ascii="Arial"/>
                <w:sz w:val="21"/>
              </w:rPr>
            </w:pPr>
          </w:p>
        </w:tc>
      </w:tr>
      <w:tr w14:paraId="0DD8A5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0" w:hRule="atLeast"/>
        </w:trPr>
        <w:tc>
          <w:tcPr>
            <w:tcW w:w="993" w:type="dxa"/>
            <w:tcBorders>
              <w:top w:val="single" w:color="000000" w:sz="4" w:space="0"/>
              <w:left w:val="single" w:color="000000" w:sz="4" w:space="0"/>
            </w:tcBorders>
            <w:vAlign w:val="top"/>
          </w:tcPr>
          <w:p w14:paraId="63BD5CFA">
            <w:pPr>
              <w:spacing w:before="277" w:line="231" w:lineRule="auto"/>
              <w:ind w:left="248"/>
              <w:rPr>
                <w:rFonts w:ascii="黑体" w:hAnsi="黑体" w:eastAsia="黑体" w:cs="黑体"/>
                <w:sz w:val="21"/>
                <w:szCs w:val="21"/>
              </w:rPr>
            </w:pPr>
            <w:r>
              <w:rPr>
                <w:rFonts w:ascii="黑体" w:hAnsi="黑体" w:eastAsia="黑体" w:cs="黑体"/>
                <w:spacing w:val="-7"/>
                <w:sz w:val="21"/>
                <w:szCs w:val="21"/>
              </w:rPr>
              <w:t>（1）</w:t>
            </w:r>
          </w:p>
        </w:tc>
        <w:tc>
          <w:tcPr>
            <w:tcW w:w="1789" w:type="dxa"/>
            <w:vAlign w:val="top"/>
          </w:tcPr>
          <w:p w14:paraId="47AAEC0C">
            <w:pPr>
              <w:pStyle w:val="11"/>
              <w:spacing w:before="276" w:line="221" w:lineRule="auto"/>
              <w:ind w:left="367"/>
            </w:pPr>
            <w:r>
              <w:rPr>
                <w:spacing w:val="-1"/>
              </w:rPr>
              <w:t>养老保险费</w:t>
            </w:r>
          </w:p>
        </w:tc>
        <w:tc>
          <w:tcPr>
            <w:tcW w:w="1789" w:type="dxa"/>
            <w:vAlign w:val="top"/>
          </w:tcPr>
          <w:p w14:paraId="3941D4D7">
            <w:pPr>
              <w:rPr>
                <w:rFonts w:ascii="Arial"/>
                <w:sz w:val="21"/>
              </w:rPr>
            </w:pPr>
          </w:p>
        </w:tc>
        <w:tc>
          <w:tcPr>
            <w:tcW w:w="1223" w:type="dxa"/>
            <w:vAlign w:val="top"/>
          </w:tcPr>
          <w:p w14:paraId="6FF3A137">
            <w:pPr>
              <w:rPr>
                <w:rFonts w:ascii="Arial"/>
                <w:sz w:val="21"/>
              </w:rPr>
            </w:pPr>
          </w:p>
        </w:tc>
        <w:tc>
          <w:tcPr>
            <w:tcW w:w="1362" w:type="dxa"/>
            <w:vAlign w:val="top"/>
          </w:tcPr>
          <w:p w14:paraId="09EB501B">
            <w:pPr>
              <w:rPr>
                <w:rFonts w:ascii="Arial"/>
                <w:sz w:val="21"/>
              </w:rPr>
            </w:pPr>
          </w:p>
        </w:tc>
        <w:tc>
          <w:tcPr>
            <w:tcW w:w="1376" w:type="dxa"/>
            <w:tcBorders>
              <w:right w:val="single" w:color="000000" w:sz="4" w:space="0"/>
            </w:tcBorders>
            <w:vAlign w:val="top"/>
          </w:tcPr>
          <w:p w14:paraId="4900FAA7">
            <w:pPr>
              <w:rPr>
                <w:rFonts w:ascii="Arial"/>
                <w:sz w:val="21"/>
              </w:rPr>
            </w:pPr>
          </w:p>
        </w:tc>
      </w:tr>
      <w:tr w14:paraId="3CD5DC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993" w:type="dxa"/>
            <w:tcBorders>
              <w:left w:val="single" w:color="000000" w:sz="4" w:space="0"/>
            </w:tcBorders>
            <w:vAlign w:val="top"/>
          </w:tcPr>
          <w:p w14:paraId="751C73DE">
            <w:pPr>
              <w:spacing w:before="207" w:line="231" w:lineRule="auto"/>
              <w:ind w:left="248"/>
              <w:rPr>
                <w:rFonts w:ascii="黑体" w:hAnsi="黑体" w:eastAsia="黑体" w:cs="黑体"/>
                <w:sz w:val="21"/>
                <w:szCs w:val="21"/>
              </w:rPr>
            </w:pPr>
            <w:r>
              <w:rPr>
                <w:rFonts w:ascii="黑体" w:hAnsi="黑体" w:eastAsia="黑体" w:cs="黑体"/>
                <w:spacing w:val="-7"/>
                <w:sz w:val="21"/>
                <w:szCs w:val="21"/>
              </w:rPr>
              <w:t>（2）</w:t>
            </w:r>
          </w:p>
        </w:tc>
        <w:tc>
          <w:tcPr>
            <w:tcW w:w="1789" w:type="dxa"/>
            <w:vAlign w:val="top"/>
          </w:tcPr>
          <w:p w14:paraId="5A9B8FDC">
            <w:pPr>
              <w:pStyle w:val="11"/>
              <w:spacing w:before="207" w:line="221" w:lineRule="auto"/>
              <w:ind w:left="371"/>
            </w:pPr>
            <w:r>
              <w:rPr>
                <w:spacing w:val="-2"/>
              </w:rPr>
              <w:t>失业保险费</w:t>
            </w:r>
          </w:p>
        </w:tc>
        <w:tc>
          <w:tcPr>
            <w:tcW w:w="1789" w:type="dxa"/>
            <w:vAlign w:val="top"/>
          </w:tcPr>
          <w:p w14:paraId="3353CCE2">
            <w:pPr>
              <w:rPr>
                <w:rFonts w:ascii="Arial"/>
                <w:sz w:val="21"/>
              </w:rPr>
            </w:pPr>
          </w:p>
        </w:tc>
        <w:tc>
          <w:tcPr>
            <w:tcW w:w="1223" w:type="dxa"/>
            <w:vAlign w:val="top"/>
          </w:tcPr>
          <w:p w14:paraId="01C22474">
            <w:pPr>
              <w:rPr>
                <w:rFonts w:ascii="Arial"/>
                <w:sz w:val="21"/>
              </w:rPr>
            </w:pPr>
          </w:p>
        </w:tc>
        <w:tc>
          <w:tcPr>
            <w:tcW w:w="1362" w:type="dxa"/>
            <w:vAlign w:val="top"/>
          </w:tcPr>
          <w:p w14:paraId="148C68FD">
            <w:pPr>
              <w:rPr>
                <w:rFonts w:ascii="Arial"/>
                <w:sz w:val="21"/>
              </w:rPr>
            </w:pPr>
          </w:p>
        </w:tc>
        <w:tc>
          <w:tcPr>
            <w:tcW w:w="1376" w:type="dxa"/>
            <w:tcBorders>
              <w:right w:val="single" w:color="000000" w:sz="4" w:space="0"/>
            </w:tcBorders>
            <w:vAlign w:val="top"/>
          </w:tcPr>
          <w:p w14:paraId="0ABB9B33">
            <w:pPr>
              <w:rPr>
                <w:rFonts w:ascii="Arial"/>
                <w:sz w:val="21"/>
              </w:rPr>
            </w:pPr>
          </w:p>
        </w:tc>
      </w:tr>
      <w:tr w14:paraId="03CB42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4" w:hRule="atLeast"/>
        </w:trPr>
        <w:tc>
          <w:tcPr>
            <w:tcW w:w="993" w:type="dxa"/>
            <w:tcBorders>
              <w:left w:val="single" w:color="000000" w:sz="4" w:space="0"/>
            </w:tcBorders>
            <w:vAlign w:val="top"/>
          </w:tcPr>
          <w:p w14:paraId="20CC99BA">
            <w:pPr>
              <w:spacing w:before="204" w:line="231" w:lineRule="auto"/>
              <w:ind w:left="248"/>
              <w:rPr>
                <w:rFonts w:ascii="黑体" w:hAnsi="黑体" w:eastAsia="黑体" w:cs="黑体"/>
                <w:sz w:val="21"/>
                <w:szCs w:val="21"/>
              </w:rPr>
            </w:pPr>
            <w:r>
              <w:rPr>
                <w:rFonts w:ascii="黑体" w:hAnsi="黑体" w:eastAsia="黑体" w:cs="黑体"/>
                <w:spacing w:val="-7"/>
                <w:sz w:val="21"/>
                <w:szCs w:val="21"/>
              </w:rPr>
              <w:t>（3）</w:t>
            </w:r>
          </w:p>
        </w:tc>
        <w:tc>
          <w:tcPr>
            <w:tcW w:w="1789" w:type="dxa"/>
            <w:vAlign w:val="top"/>
          </w:tcPr>
          <w:p w14:paraId="58652D4D">
            <w:pPr>
              <w:pStyle w:val="11"/>
              <w:spacing w:before="203" w:line="221" w:lineRule="auto"/>
              <w:ind w:left="376"/>
            </w:pPr>
            <w:r>
              <w:rPr>
                <w:spacing w:val="-2"/>
              </w:rPr>
              <w:t>医疗保险费</w:t>
            </w:r>
          </w:p>
        </w:tc>
        <w:tc>
          <w:tcPr>
            <w:tcW w:w="1789" w:type="dxa"/>
            <w:vAlign w:val="top"/>
          </w:tcPr>
          <w:p w14:paraId="6C8263ED">
            <w:pPr>
              <w:rPr>
                <w:rFonts w:ascii="Arial"/>
                <w:sz w:val="21"/>
              </w:rPr>
            </w:pPr>
          </w:p>
        </w:tc>
        <w:tc>
          <w:tcPr>
            <w:tcW w:w="1223" w:type="dxa"/>
            <w:vAlign w:val="top"/>
          </w:tcPr>
          <w:p w14:paraId="28BDF508">
            <w:pPr>
              <w:rPr>
                <w:rFonts w:ascii="Arial"/>
                <w:sz w:val="21"/>
              </w:rPr>
            </w:pPr>
          </w:p>
        </w:tc>
        <w:tc>
          <w:tcPr>
            <w:tcW w:w="1362" w:type="dxa"/>
            <w:vAlign w:val="top"/>
          </w:tcPr>
          <w:p w14:paraId="0C80E5A7">
            <w:pPr>
              <w:rPr>
                <w:rFonts w:ascii="Arial"/>
                <w:sz w:val="21"/>
              </w:rPr>
            </w:pPr>
          </w:p>
        </w:tc>
        <w:tc>
          <w:tcPr>
            <w:tcW w:w="1376" w:type="dxa"/>
            <w:tcBorders>
              <w:right w:val="single" w:color="000000" w:sz="4" w:space="0"/>
            </w:tcBorders>
            <w:vAlign w:val="top"/>
          </w:tcPr>
          <w:p w14:paraId="419FEE43">
            <w:pPr>
              <w:rPr>
                <w:rFonts w:ascii="Arial"/>
                <w:sz w:val="21"/>
              </w:rPr>
            </w:pPr>
          </w:p>
        </w:tc>
      </w:tr>
      <w:tr w14:paraId="544D26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993" w:type="dxa"/>
            <w:tcBorders>
              <w:left w:val="single" w:color="000000" w:sz="4" w:space="0"/>
            </w:tcBorders>
            <w:vAlign w:val="top"/>
          </w:tcPr>
          <w:p w14:paraId="2DCF050D">
            <w:pPr>
              <w:spacing w:before="209" w:line="231" w:lineRule="auto"/>
              <w:ind w:left="248"/>
              <w:rPr>
                <w:rFonts w:ascii="黑体" w:hAnsi="黑体" w:eastAsia="黑体" w:cs="黑体"/>
                <w:sz w:val="21"/>
                <w:szCs w:val="21"/>
              </w:rPr>
            </w:pPr>
            <w:r>
              <w:rPr>
                <w:rFonts w:ascii="黑体" w:hAnsi="黑体" w:eastAsia="黑体" w:cs="黑体"/>
                <w:spacing w:val="-7"/>
                <w:sz w:val="21"/>
                <w:szCs w:val="21"/>
              </w:rPr>
              <w:t>（4）</w:t>
            </w:r>
          </w:p>
        </w:tc>
        <w:tc>
          <w:tcPr>
            <w:tcW w:w="1789" w:type="dxa"/>
            <w:vAlign w:val="top"/>
          </w:tcPr>
          <w:p w14:paraId="41063447">
            <w:pPr>
              <w:pStyle w:val="11"/>
              <w:spacing w:before="208" w:line="221" w:lineRule="auto"/>
              <w:ind w:left="369"/>
            </w:pPr>
            <w:r>
              <w:rPr>
                <w:spacing w:val="-1"/>
              </w:rPr>
              <w:t>工伤保险费</w:t>
            </w:r>
          </w:p>
        </w:tc>
        <w:tc>
          <w:tcPr>
            <w:tcW w:w="1789" w:type="dxa"/>
            <w:vAlign w:val="top"/>
          </w:tcPr>
          <w:p w14:paraId="4E78285D">
            <w:pPr>
              <w:rPr>
                <w:rFonts w:ascii="Arial"/>
                <w:sz w:val="21"/>
              </w:rPr>
            </w:pPr>
          </w:p>
        </w:tc>
        <w:tc>
          <w:tcPr>
            <w:tcW w:w="1223" w:type="dxa"/>
            <w:vAlign w:val="top"/>
          </w:tcPr>
          <w:p w14:paraId="69FA9128">
            <w:pPr>
              <w:rPr>
                <w:rFonts w:ascii="Arial"/>
                <w:sz w:val="21"/>
              </w:rPr>
            </w:pPr>
          </w:p>
        </w:tc>
        <w:tc>
          <w:tcPr>
            <w:tcW w:w="1362" w:type="dxa"/>
            <w:vAlign w:val="top"/>
          </w:tcPr>
          <w:p w14:paraId="3EBB3F6B">
            <w:pPr>
              <w:rPr>
                <w:rFonts w:ascii="Arial"/>
                <w:sz w:val="21"/>
              </w:rPr>
            </w:pPr>
          </w:p>
        </w:tc>
        <w:tc>
          <w:tcPr>
            <w:tcW w:w="1376" w:type="dxa"/>
            <w:tcBorders>
              <w:right w:val="single" w:color="000000" w:sz="4" w:space="0"/>
            </w:tcBorders>
            <w:vAlign w:val="top"/>
          </w:tcPr>
          <w:p w14:paraId="686EEEAF">
            <w:pPr>
              <w:rPr>
                <w:rFonts w:ascii="Arial"/>
                <w:sz w:val="21"/>
              </w:rPr>
            </w:pPr>
          </w:p>
        </w:tc>
      </w:tr>
      <w:tr w14:paraId="75E4AD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993" w:type="dxa"/>
            <w:tcBorders>
              <w:left w:val="single" w:color="000000" w:sz="4" w:space="0"/>
            </w:tcBorders>
            <w:vAlign w:val="top"/>
          </w:tcPr>
          <w:p w14:paraId="250F5DB5">
            <w:pPr>
              <w:spacing w:before="204" w:line="231" w:lineRule="auto"/>
              <w:ind w:left="248"/>
              <w:rPr>
                <w:rFonts w:ascii="黑体" w:hAnsi="黑体" w:eastAsia="黑体" w:cs="黑体"/>
                <w:sz w:val="21"/>
                <w:szCs w:val="21"/>
              </w:rPr>
            </w:pPr>
            <w:r>
              <w:rPr>
                <w:rFonts w:ascii="黑体" w:hAnsi="黑体" w:eastAsia="黑体" w:cs="黑体"/>
                <w:spacing w:val="-7"/>
                <w:sz w:val="21"/>
                <w:szCs w:val="21"/>
              </w:rPr>
              <w:t>（5）</w:t>
            </w:r>
          </w:p>
        </w:tc>
        <w:tc>
          <w:tcPr>
            <w:tcW w:w="1789" w:type="dxa"/>
            <w:vAlign w:val="top"/>
          </w:tcPr>
          <w:p w14:paraId="5379EBE4">
            <w:pPr>
              <w:pStyle w:val="11"/>
              <w:spacing w:before="203" w:line="221" w:lineRule="auto"/>
              <w:ind w:left="368"/>
            </w:pPr>
            <w:r>
              <w:rPr>
                <w:spacing w:val="-1"/>
              </w:rPr>
              <w:t>生育保险费</w:t>
            </w:r>
          </w:p>
        </w:tc>
        <w:tc>
          <w:tcPr>
            <w:tcW w:w="1789" w:type="dxa"/>
            <w:vAlign w:val="top"/>
          </w:tcPr>
          <w:p w14:paraId="329C2305">
            <w:pPr>
              <w:rPr>
                <w:rFonts w:ascii="Arial"/>
                <w:sz w:val="21"/>
              </w:rPr>
            </w:pPr>
          </w:p>
        </w:tc>
        <w:tc>
          <w:tcPr>
            <w:tcW w:w="1223" w:type="dxa"/>
            <w:vAlign w:val="top"/>
          </w:tcPr>
          <w:p w14:paraId="26EE7499">
            <w:pPr>
              <w:rPr>
                <w:rFonts w:ascii="Arial"/>
                <w:sz w:val="21"/>
              </w:rPr>
            </w:pPr>
          </w:p>
        </w:tc>
        <w:tc>
          <w:tcPr>
            <w:tcW w:w="1362" w:type="dxa"/>
            <w:vAlign w:val="top"/>
          </w:tcPr>
          <w:p w14:paraId="063860F0">
            <w:pPr>
              <w:rPr>
                <w:rFonts w:ascii="Arial"/>
                <w:sz w:val="21"/>
              </w:rPr>
            </w:pPr>
          </w:p>
        </w:tc>
        <w:tc>
          <w:tcPr>
            <w:tcW w:w="1376" w:type="dxa"/>
            <w:tcBorders>
              <w:right w:val="single" w:color="000000" w:sz="4" w:space="0"/>
            </w:tcBorders>
            <w:vAlign w:val="top"/>
          </w:tcPr>
          <w:p w14:paraId="3E883FA5">
            <w:pPr>
              <w:rPr>
                <w:rFonts w:ascii="Arial"/>
                <w:sz w:val="21"/>
              </w:rPr>
            </w:pPr>
          </w:p>
        </w:tc>
      </w:tr>
      <w:tr w14:paraId="6FEEC3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9" w:hRule="atLeast"/>
        </w:trPr>
        <w:tc>
          <w:tcPr>
            <w:tcW w:w="993" w:type="dxa"/>
            <w:tcBorders>
              <w:left w:val="single" w:color="000000" w:sz="4" w:space="0"/>
            </w:tcBorders>
            <w:vAlign w:val="top"/>
          </w:tcPr>
          <w:p w14:paraId="4A1B8308">
            <w:pPr>
              <w:spacing w:before="232" w:line="184" w:lineRule="auto"/>
              <w:ind w:left="350"/>
              <w:rPr>
                <w:rFonts w:ascii="黑体" w:hAnsi="黑体" w:eastAsia="黑体" w:cs="黑体"/>
                <w:sz w:val="21"/>
                <w:szCs w:val="21"/>
              </w:rPr>
            </w:pPr>
            <w:r>
              <w:rPr>
                <w:rFonts w:ascii="黑体" w:hAnsi="黑体" w:eastAsia="黑体" w:cs="黑体"/>
                <w:spacing w:val="-4"/>
                <w:sz w:val="21"/>
                <w:szCs w:val="21"/>
              </w:rPr>
              <w:t>1.2</w:t>
            </w:r>
          </w:p>
        </w:tc>
        <w:tc>
          <w:tcPr>
            <w:tcW w:w="1789" w:type="dxa"/>
            <w:vAlign w:val="top"/>
          </w:tcPr>
          <w:p w14:paraId="20670409">
            <w:pPr>
              <w:pStyle w:val="11"/>
              <w:spacing w:before="199" w:line="221" w:lineRule="auto"/>
              <w:ind w:left="365"/>
            </w:pPr>
            <w:r>
              <w:rPr>
                <w:spacing w:val="-1"/>
              </w:rPr>
              <w:t>住房公积金</w:t>
            </w:r>
          </w:p>
        </w:tc>
        <w:tc>
          <w:tcPr>
            <w:tcW w:w="1789" w:type="dxa"/>
            <w:vAlign w:val="top"/>
          </w:tcPr>
          <w:p w14:paraId="14C4D106">
            <w:pPr>
              <w:rPr>
                <w:rFonts w:ascii="Arial"/>
                <w:sz w:val="21"/>
              </w:rPr>
            </w:pPr>
          </w:p>
        </w:tc>
        <w:tc>
          <w:tcPr>
            <w:tcW w:w="1223" w:type="dxa"/>
            <w:vAlign w:val="top"/>
          </w:tcPr>
          <w:p w14:paraId="445A7DF4">
            <w:pPr>
              <w:rPr>
                <w:rFonts w:ascii="Arial"/>
                <w:sz w:val="21"/>
              </w:rPr>
            </w:pPr>
          </w:p>
        </w:tc>
        <w:tc>
          <w:tcPr>
            <w:tcW w:w="1362" w:type="dxa"/>
            <w:vAlign w:val="top"/>
          </w:tcPr>
          <w:p w14:paraId="20D394BD">
            <w:pPr>
              <w:rPr>
                <w:rFonts w:ascii="Arial"/>
                <w:sz w:val="21"/>
              </w:rPr>
            </w:pPr>
          </w:p>
        </w:tc>
        <w:tc>
          <w:tcPr>
            <w:tcW w:w="1376" w:type="dxa"/>
            <w:tcBorders>
              <w:right w:val="single" w:color="000000" w:sz="4" w:space="0"/>
            </w:tcBorders>
            <w:vAlign w:val="top"/>
          </w:tcPr>
          <w:p w14:paraId="1824EE66">
            <w:pPr>
              <w:rPr>
                <w:rFonts w:ascii="Arial"/>
                <w:sz w:val="21"/>
              </w:rPr>
            </w:pPr>
          </w:p>
        </w:tc>
      </w:tr>
      <w:tr w14:paraId="7B9BD9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2" w:hRule="atLeast"/>
        </w:trPr>
        <w:tc>
          <w:tcPr>
            <w:tcW w:w="993" w:type="dxa"/>
            <w:tcBorders>
              <w:left w:val="single" w:color="000000" w:sz="4" w:space="0"/>
            </w:tcBorders>
            <w:vAlign w:val="top"/>
          </w:tcPr>
          <w:p w14:paraId="63041D4F">
            <w:pPr>
              <w:spacing w:line="302" w:lineRule="auto"/>
              <w:rPr>
                <w:rFonts w:ascii="Arial"/>
                <w:sz w:val="21"/>
              </w:rPr>
            </w:pPr>
          </w:p>
          <w:p w14:paraId="2020A3BE">
            <w:pPr>
              <w:spacing w:before="68" w:line="184" w:lineRule="auto"/>
              <w:ind w:left="350"/>
              <w:rPr>
                <w:rFonts w:ascii="黑体" w:hAnsi="黑体" w:eastAsia="黑体" w:cs="黑体"/>
                <w:sz w:val="21"/>
                <w:szCs w:val="21"/>
              </w:rPr>
            </w:pPr>
            <w:r>
              <w:rPr>
                <w:rFonts w:ascii="黑体" w:hAnsi="黑体" w:eastAsia="黑体" w:cs="黑体"/>
                <w:spacing w:val="-4"/>
                <w:sz w:val="21"/>
                <w:szCs w:val="21"/>
              </w:rPr>
              <w:t>1.3</w:t>
            </w:r>
          </w:p>
        </w:tc>
        <w:tc>
          <w:tcPr>
            <w:tcW w:w="1789" w:type="dxa"/>
            <w:vAlign w:val="top"/>
          </w:tcPr>
          <w:p w14:paraId="538286CC">
            <w:pPr>
              <w:spacing w:line="269" w:lineRule="auto"/>
              <w:rPr>
                <w:rFonts w:ascii="Arial"/>
                <w:sz w:val="21"/>
              </w:rPr>
            </w:pPr>
          </w:p>
          <w:p w14:paraId="0EC0EE04">
            <w:pPr>
              <w:pStyle w:val="11"/>
              <w:spacing w:before="69" w:line="221" w:lineRule="auto"/>
              <w:ind w:left="369"/>
            </w:pPr>
            <w:r>
              <w:rPr>
                <w:spacing w:val="-1"/>
              </w:rPr>
              <w:t>工程排污费</w:t>
            </w:r>
          </w:p>
        </w:tc>
        <w:tc>
          <w:tcPr>
            <w:tcW w:w="1789" w:type="dxa"/>
            <w:vAlign w:val="top"/>
          </w:tcPr>
          <w:p w14:paraId="04712D67">
            <w:pPr>
              <w:rPr>
                <w:rFonts w:ascii="Arial"/>
                <w:sz w:val="21"/>
              </w:rPr>
            </w:pPr>
          </w:p>
        </w:tc>
        <w:tc>
          <w:tcPr>
            <w:tcW w:w="1223" w:type="dxa"/>
            <w:vAlign w:val="top"/>
          </w:tcPr>
          <w:p w14:paraId="6F1C9213">
            <w:pPr>
              <w:rPr>
                <w:rFonts w:ascii="Arial"/>
                <w:sz w:val="21"/>
              </w:rPr>
            </w:pPr>
          </w:p>
        </w:tc>
        <w:tc>
          <w:tcPr>
            <w:tcW w:w="1362" w:type="dxa"/>
            <w:vAlign w:val="top"/>
          </w:tcPr>
          <w:p w14:paraId="1ACCED00">
            <w:pPr>
              <w:rPr>
                <w:rFonts w:ascii="Arial"/>
                <w:sz w:val="21"/>
              </w:rPr>
            </w:pPr>
          </w:p>
        </w:tc>
        <w:tc>
          <w:tcPr>
            <w:tcW w:w="1376" w:type="dxa"/>
            <w:tcBorders>
              <w:right w:val="single" w:color="000000" w:sz="4" w:space="0"/>
            </w:tcBorders>
            <w:vAlign w:val="top"/>
          </w:tcPr>
          <w:p w14:paraId="423D7B4C">
            <w:pPr>
              <w:rPr>
                <w:rFonts w:ascii="Arial"/>
                <w:sz w:val="21"/>
              </w:rPr>
            </w:pPr>
          </w:p>
        </w:tc>
      </w:tr>
      <w:tr w14:paraId="790699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6" w:hRule="atLeast"/>
        </w:trPr>
        <w:tc>
          <w:tcPr>
            <w:tcW w:w="993" w:type="dxa"/>
            <w:tcBorders>
              <w:left w:val="single" w:color="000000" w:sz="4" w:space="0"/>
            </w:tcBorders>
            <w:vAlign w:val="top"/>
          </w:tcPr>
          <w:p w14:paraId="1189A38B">
            <w:pPr>
              <w:rPr>
                <w:rFonts w:ascii="Arial"/>
                <w:sz w:val="21"/>
              </w:rPr>
            </w:pPr>
          </w:p>
        </w:tc>
        <w:tc>
          <w:tcPr>
            <w:tcW w:w="1789" w:type="dxa"/>
            <w:vAlign w:val="top"/>
          </w:tcPr>
          <w:p w14:paraId="426C6A6C">
            <w:pPr>
              <w:rPr>
                <w:rFonts w:ascii="Arial"/>
                <w:sz w:val="21"/>
              </w:rPr>
            </w:pPr>
          </w:p>
        </w:tc>
        <w:tc>
          <w:tcPr>
            <w:tcW w:w="1789" w:type="dxa"/>
            <w:vAlign w:val="top"/>
          </w:tcPr>
          <w:p w14:paraId="51273D73">
            <w:pPr>
              <w:rPr>
                <w:rFonts w:ascii="Arial"/>
                <w:sz w:val="21"/>
              </w:rPr>
            </w:pPr>
          </w:p>
        </w:tc>
        <w:tc>
          <w:tcPr>
            <w:tcW w:w="1223" w:type="dxa"/>
            <w:vAlign w:val="top"/>
          </w:tcPr>
          <w:p w14:paraId="1518A6FA">
            <w:pPr>
              <w:rPr>
                <w:rFonts w:ascii="Arial"/>
                <w:sz w:val="21"/>
              </w:rPr>
            </w:pPr>
          </w:p>
        </w:tc>
        <w:tc>
          <w:tcPr>
            <w:tcW w:w="1362" w:type="dxa"/>
            <w:vAlign w:val="top"/>
          </w:tcPr>
          <w:p w14:paraId="0E0BCDCA">
            <w:pPr>
              <w:rPr>
                <w:rFonts w:ascii="Arial"/>
                <w:sz w:val="21"/>
              </w:rPr>
            </w:pPr>
          </w:p>
        </w:tc>
        <w:tc>
          <w:tcPr>
            <w:tcW w:w="1376" w:type="dxa"/>
            <w:tcBorders>
              <w:right w:val="single" w:color="000000" w:sz="4" w:space="0"/>
            </w:tcBorders>
            <w:vAlign w:val="top"/>
          </w:tcPr>
          <w:p w14:paraId="6F35E71F">
            <w:pPr>
              <w:rPr>
                <w:rFonts w:ascii="Arial"/>
                <w:sz w:val="21"/>
              </w:rPr>
            </w:pPr>
          </w:p>
        </w:tc>
      </w:tr>
      <w:tr w14:paraId="5832E4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3" w:hRule="atLeast"/>
        </w:trPr>
        <w:tc>
          <w:tcPr>
            <w:tcW w:w="993" w:type="dxa"/>
            <w:tcBorders>
              <w:left w:val="single" w:color="000000" w:sz="4" w:space="0"/>
            </w:tcBorders>
            <w:vAlign w:val="top"/>
          </w:tcPr>
          <w:p w14:paraId="0847A737">
            <w:pPr>
              <w:spacing w:line="315" w:lineRule="auto"/>
              <w:rPr>
                <w:rFonts w:ascii="Arial"/>
                <w:sz w:val="21"/>
              </w:rPr>
            </w:pPr>
          </w:p>
          <w:p w14:paraId="1867A5F9">
            <w:pPr>
              <w:spacing w:before="61" w:line="189" w:lineRule="auto"/>
              <w:ind w:left="441"/>
              <w:rPr>
                <w:rFonts w:ascii="Times New Roman" w:hAnsi="Times New Roman" w:eastAsia="Times New Roman" w:cs="Times New Roman"/>
                <w:sz w:val="21"/>
                <w:szCs w:val="21"/>
              </w:rPr>
            </w:pPr>
            <w:r>
              <w:rPr>
                <w:rFonts w:ascii="Times New Roman" w:hAnsi="Times New Roman" w:eastAsia="Times New Roman" w:cs="Times New Roman"/>
                <w:sz w:val="21"/>
                <w:szCs w:val="21"/>
              </w:rPr>
              <w:t>2</w:t>
            </w:r>
          </w:p>
        </w:tc>
        <w:tc>
          <w:tcPr>
            <w:tcW w:w="1789" w:type="dxa"/>
            <w:vAlign w:val="top"/>
          </w:tcPr>
          <w:p w14:paraId="14B8E9CC">
            <w:pPr>
              <w:spacing w:line="271" w:lineRule="auto"/>
              <w:rPr>
                <w:rFonts w:ascii="Arial"/>
                <w:sz w:val="21"/>
              </w:rPr>
            </w:pPr>
          </w:p>
          <w:p w14:paraId="48C3EE52">
            <w:pPr>
              <w:pStyle w:val="11"/>
              <w:spacing w:before="69" w:line="221" w:lineRule="auto"/>
              <w:ind w:left="683"/>
            </w:pPr>
            <w:r>
              <w:rPr>
                <w:spacing w:val="-2"/>
              </w:rPr>
              <w:t>税金</w:t>
            </w:r>
          </w:p>
        </w:tc>
        <w:tc>
          <w:tcPr>
            <w:tcW w:w="1789" w:type="dxa"/>
            <w:vAlign w:val="top"/>
          </w:tcPr>
          <w:p w14:paraId="4CB2D398">
            <w:pPr>
              <w:rPr>
                <w:rFonts w:ascii="Arial"/>
                <w:sz w:val="21"/>
              </w:rPr>
            </w:pPr>
          </w:p>
        </w:tc>
        <w:tc>
          <w:tcPr>
            <w:tcW w:w="1223" w:type="dxa"/>
            <w:vAlign w:val="top"/>
          </w:tcPr>
          <w:p w14:paraId="0BDF9657">
            <w:pPr>
              <w:rPr>
                <w:rFonts w:ascii="Arial"/>
                <w:sz w:val="21"/>
              </w:rPr>
            </w:pPr>
          </w:p>
        </w:tc>
        <w:tc>
          <w:tcPr>
            <w:tcW w:w="1362" w:type="dxa"/>
            <w:vAlign w:val="top"/>
          </w:tcPr>
          <w:p w14:paraId="0C4AB905">
            <w:pPr>
              <w:rPr>
                <w:rFonts w:ascii="Arial"/>
                <w:sz w:val="21"/>
              </w:rPr>
            </w:pPr>
          </w:p>
        </w:tc>
        <w:tc>
          <w:tcPr>
            <w:tcW w:w="1376" w:type="dxa"/>
            <w:tcBorders>
              <w:right w:val="single" w:color="000000" w:sz="4" w:space="0"/>
            </w:tcBorders>
            <w:vAlign w:val="top"/>
          </w:tcPr>
          <w:p w14:paraId="40086EC9">
            <w:pPr>
              <w:rPr>
                <w:rFonts w:ascii="Arial"/>
                <w:sz w:val="21"/>
              </w:rPr>
            </w:pPr>
          </w:p>
        </w:tc>
      </w:tr>
      <w:tr w14:paraId="6E5BDF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92" w:hRule="atLeast"/>
        </w:trPr>
        <w:tc>
          <w:tcPr>
            <w:tcW w:w="5794" w:type="dxa"/>
            <w:gridSpan w:val="4"/>
            <w:tcBorders>
              <w:left w:val="single" w:color="000000" w:sz="4" w:space="0"/>
              <w:bottom w:val="single" w:color="000000" w:sz="4" w:space="0"/>
            </w:tcBorders>
            <w:vAlign w:val="top"/>
          </w:tcPr>
          <w:p w14:paraId="49BAE880">
            <w:pPr>
              <w:spacing w:line="271" w:lineRule="auto"/>
              <w:rPr>
                <w:rFonts w:ascii="Arial"/>
                <w:sz w:val="21"/>
              </w:rPr>
            </w:pPr>
          </w:p>
          <w:p w14:paraId="00523B82">
            <w:pPr>
              <w:pStyle w:val="11"/>
              <w:spacing w:before="68" w:line="222" w:lineRule="auto"/>
              <w:ind w:left="2693"/>
            </w:pPr>
            <w:r>
              <w:rPr>
                <w:spacing w:val="-2"/>
              </w:rPr>
              <w:t>合计</w:t>
            </w:r>
          </w:p>
        </w:tc>
        <w:tc>
          <w:tcPr>
            <w:tcW w:w="1362" w:type="dxa"/>
            <w:tcBorders>
              <w:bottom w:val="single" w:color="000000" w:sz="4" w:space="0"/>
            </w:tcBorders>
            <w:vAlign w:val="top"/>
          </w:tcPr>
          <w:p w14:paraId="2CC3955E">
            <w:pPr>
              <w:rPr>
                <w:rFonts w:ascii="Arial"/>
                <w:sz w:val="21"/>
              </w:rPr>
            </w:pPr>
          </w:p>
        </w:tc>
        <w:tc>
          <w:tcPr>
            <w:tcW w:w="1376" w:type="dxa"/>
            <w:tcBorders>
              <w:bottom w:val="single" w:color="000000" w:sz="4" w:space="0"/>
              <w:right w:val="single" w:color="000000" w:sz="4" w:space="0"/>
            </w:tcBorders>
            <w:vAlign w:val="top"/>
          </w:tcPr>
          <w:p w14:paraId="7B69D966">
            <w:pPr>
              <w:rPr>
                <w:rFonts w:ascii="Arial"/>
                <w:sz w:val="21"/>
              </w:rPr>
            </w:pPr>
          </w:p>
        </w:tc>
      </w:tr>
    </w:tbl>
    <w:p w14:paraId="7FBC8B60">
      <w:pPr>
        <w:pStyle w:val="3"/>
        <w:spacing w:line="438" w:lineRule="auto"/>
      </w:pPr>
    </w:p>
    <w:p w14:paraId="7215E696">
      <w:pPr>
        <w:spacing w:before="70" w:line="186" w:lineRule="auto"/>
        <w:ind w:left="125"/>
        <w:rPr>
          <w:rFonts w:ascii="宋体" w:hAnsi="宋体" w:eastAsia="宋体" w:cs="宋体"/>
          <w:sz w:val="21"/>
          <w:szCs w:val="21"/>
        </w:rPr>
      </w:pPr>
      <w:r>
        <w:rPr>
          <w:rFonts w:ascii="宋体" w:hAnsi="宋体" w:eastAsia="宋体" w:cs="宋体"/>
          <w:spacing w:val="-12"/>
          <w:sz w:val="21"/>
          <w:szCs w:val="21"/>
        </w:rPr>
        <w:t>编制人（造价人员</w:t>
      </w:r>
      <w:r>
        <w:rPr>
          <w:rFonts w:ascii="宋体" w:hAnsi="宋体" w:eastAsia="宋体" w:cs="宋体"/>
          <w:spacing w:val="-15"/>
          <w:sz w:val="21"/>
          <w:szCs w:val="21"/>
        </w:rPr>
        <w:t>）：</w:t>
      </w:r>
      <w:r>
        <w:rPr>
          <w:rFonts w:ascii="宋体" w:hAnsi="宋体" w:eastAsia="宋体" w:cs="宋体"/>
          <w:spacing w:val="6"/>
          <w:sz w:val="21"/>
          <w:szCs w:val="21"/>
        </w:rPr>
        <w:t xml:space="preserve">             </w:t>
      </w:r>
      <w:r>
        <w:rPr>
          <w:rFonts w:ascii="宋体" w:hAnsi="宋体" w:eastAsia="宋体" w:cs="宋体"/>
          <w:spacing w:val="-12"/>
          <w:sz w:val="21"/>
          <w:szCs w:val="21"/>
        </w:rPr>
        <w:t>复核人（造价工程师</w:t>
      </w:r>
      <w:r>
        <w:rPr>
          <w:rFonts w:ascii="宋体" w:hAnsi="宋体" w:eastAsia="宋体" w:cs="宋体"/>
          <w:spacing w:val="-15"/>
          <w:sz w:val="21"/>
          <w:szCs w:val="21"/>
        </w:rPr>
        <w:t>）：</w:t>
      </w:r>
    </w:p>
    <w:p w14:paraId="71FD1327">
      <w:pPr>
        <w:spacing w:line="186" w:lineRule="auto"/>
        <w:rPr>
          <w:rFonts w:ascii="宋体" w:hAnsi="宋体" w:eastAsia="宋体" w:cs="宋体"/>
          <w:sz w:val="21"/>
          <w:szCs w:val="21"/>
        </w:rPr>
        <w:sectPr>
          <w:type w:val="continuous"/>
          <w:pgSz w:w="11905" w:h="16839"/>
          <w:pgMar w:top="400" w:right="1681" w:bottom="1004" w:left="1680" w:header="0" w:footer="829" w:gutter="0"/>
          <w:pgNumType w:fmt="decimal"/>
          <w:cols w:equalWidth="0" w:num="1">
            <w:col w:w="8543"/>
          </w:cols>
        </w:sectPr>
      </w:pPr>
    </w:p>
    <w:p w14:paraId="7361947B">
      <w:pPr>
        <w:pStyle w:val="3"/>
        <w:spacing w:line="267" w:lineRule="auto"/>
      </w:pPr>
    </w:p>
    <w:p w14:paraId="20C070C1">
      <w:pPr>
        <w:pStyle w:val="3"/>
        <w:spacing w:line="268" w:lineRule="auto"/>
      </w:pPr>
    </w:p>
    <w:p w14:paraId="0F2CF57C">
      <w:pPr>
        <w:pStyle w:val="3"/>
        <w:spacing w:line="268" w:lineRule="auto"/>
      </w:pPr>
    </w:p>
    <w:p w14:paraId="11BFB194">
      <w:pPr>
        <w:pStyle w:val="3"/>
        <w:spacing w:line="268" w:lineRule="auto"/>
      </w:pPr>
    </w:p>
    <w:p w14:paraId="13FA9219">
      <w:pPr>
        <w:spacing w:before="78" w:line="218" w:lineRule="auto"/>
        <w:ind w:left="13"/>
        <w:rPr>
          <w:rFonts w:ascii="黑体" w:hAnsi="黑体" w:eastAsia="黑体" w:cs="黑体"/>
          <w:sz w:val="24"/>
          <w:szCs w:val="24"/>
        </w:rPr>
      </w:pPr>
      <w:r>
        <w:rPr>
          <w:rFonts w:ascii="Times New Roman" w:hAnsi="Times New Roman" w:eastAsia="Times New Roman" w:cs="Times New Roman"/>
          <w:spacing w:val="-1"/>
          <w:sz w:val="24"/>
          <w:szCs w:val="24"/>
        </w:rPr>
        <w:t xml:space="preserve">4.14 </w:t>
      </w:r>
      <w:r>
        <w:rPr>
          <w:rFonts w:ascii="黑体" w:hAnsi="黑体" w:eastAsia="黑体" w:cs="黑体"/>
          <w:spacing w:val="-1"/>
          <w:sz w:val="24"/>
          <w:szCs w:val="24"/>
        </w:rPr>
        <w:t>发包人提供材料和工程设备一览表</w:t>
      </w:r>
    </w:p>
    <w:p w14:paraId="49DA93A2">
      <w:pPr>
        <w:pStyle w:val="3"/>
        <w:spacing w:line="437" w:lineRule="auto"/>
      </w:pPr>
    </w:p>
    <w:p w14:paraId="06937B28">
      <w:pPr>
        <w:spacing w:before="88" w:line="224" w:lineRule="auto"/>
        <w:ind w:left="2078"/>
        <w:rPr>
          <w:rFonts w:ascii="黑体" w:hAnsi="黑体" w:eastAsia="黑体" w:cs="黑体"/>
          <w:sz w:val="27"/>
          <w:szCs w:val="27"/>
        </w:rPr>
      </w:pPr>
      <w:bookmarkStart w:id="1303" w:name="bookmark262"/>
      <w:bookmarkEnd w:id="1303"/>
      <w:bookmarkStart w:id="1304" w:name="bookmark261"/>
      <w:bookmarkEnd w:id="1304"/>
      <w:r>
        <w:rPr>
          <w:rFonts w:ascii="黑体" w:hAnsi="黑体" w:eastAsia="黑体" w:cs="黑体"/>
          <w:spacing w:val="8"/>
          <w:sz w:val="27"/>
          <w:szCs w:val="27"/>
        </w:rPr>
        <w:t>发包人提供材料和工程设备一览表</w:t>
      </w:r>
    </w:p>
    <w:p w14:paraId="3F3B9EF9">
      <w:pPr>
        <w:spacing w:line="221" w:lineRule="exact"/>
      </w:pPr>
    </w:p>
    <w:p w14:paraId="7F7CD8FB">
      <w:pPr>
        <w:spacing w:line="221" w:lineRule="exact"/>
        <w:sectPr>
          <w:footerReference r:id="rId180" w:type="default"/>
          <w:pgSz w:w="11905" w:h="16839"/>
          <w:pgMar w:top="400" w:right="1785" w:bottom="1004" w:left="1785" w:header="0" w:footer="828" w:gutter="0"/>
          <w:pgNumType w:fmt="decimal"/>
          <w:cols w:equalWidth="0" w:num="1">
            <w:col w:w="8333"/>
          </w:cols>
        </w:sectPr>
      </w:pPr>
    </w:p>
    <w:p w14:paraId="7B5C1DF0">
      <w:pPr>
        <w:spacing w:before="41" w:line="186" w:lineRule="auto"/>
        <w:ind w:left="20"/>
        <w:rPr>
          <w:rFonts w:ascii="宋体" w:hAnsi="宋体" w:eastAsia="宋体" w:cs="宋体"/>
          <w:sz w:val="21"/>
          <w:szCs w:val="21"/>
        </w:rPr>
      </w:pPr>
      <w:r>
        <w:rPr>
          <w:rFonts w:ascii="宋体" w:hAnsi="宋体" w:eastAsia="宋体" w:cs="宋体"/>
          <w:spacing w:val="-9"/>
          <w:sz w:val="21"/>
          <w:szCs w:val="21"/>
        </w:rPr>
        <w:t>工程名称：</w:t>
      </w:r>
    </w:p>
    <w:p w14:paraId="5929200E">
      <w:pPr>
        <w:pStyle w:val="3"/>
        <w:spacing w:line="14" w:lineRule="auto"/>
        <w:rPr>
          <w:sz w:val="2"/>
        </w:rPr>
      </w:pPr>
      <w:r>
        <w:rPr>
          <w:sz w:val="2"/>
          <w:szCs w:val="2"/>
        </w:rPr>
        <w:br w:type="column"/>
      </w:r>
    </w:p>
    <w:p w14:paraId="6A71C0B3">
      <w:pPr>
        <w:spacing w:before="40" w:line="186" w:lineRule="auto"/>
        <w:rPr>
          <w:rFonts w:ascii="宋体" w:hAnsi="宋体" w:eastAsia="宋体" w:cs="宋体"/>
          <w:sz w:val="21"/>
          <w:szCs w:val="21"/>
        </w:rPr>
      </w:pPr>
      <w:r>
        <w:rPr>
          <w:rFonts w:ascii="宋体" w:hAnsi="宋体" w:eastAsia="宋体" w:cs="宋体"/>
          <w:spacing w:val="-14"/>
          <w:sz w:val="21"/>
          <w:szCs w:val="21"/>
        </w:rPr>
        <w:t>标段名称：</w:t>
      </w:r>
      <w:r>
        <w:rPr>
          <w:rFonts w:ascii="宋体" w:hAnsi="宋体" w:eastAsia="宋体" w:cs="宋体"/>
          <w:spacing w:val="6"/>
          <w:sz w:val="21"/>
          <w:szCs w:val="21"/>
        </w:rPr>
        <w:t xml:space="preserve">          </w:t>
      </w:r>
      <w:r>
        <w:rPr>
          <w:rFonts w:ascii="宋体" w:hAnsi="宋体" w:eastAsia="宋体" w:cs="宋体"/>
          <w:spacing w:val="-14"/>
          <w:sz w:val="21"/>
          <w:szCs w:val="21"/>
        </w:rPr>
        <w:t>第</w:t>
      </w:r>
      <w:r>
        <w:rPr>
          <w:rFonts w:ascii="宋体" w:hAnsi="宋体" w:eastAsia="宋体" w:cs="宋体"/>
          <w:spacing w:val="16"/>
          <w:sz w:val="21"/>
          <w:szCs w:val="21"/>
        </w:rPr>
        <w:t xml:space="preserve"> </w:t>
      </w:r>
      <w:r>
        <w:rPr>
          <w:rFonts w:ascii="宋体" w:hAnsi="宋体" w:eastAsia="宋体" w:cs="宋体"/>
          <w:spacing w:val="-14"/>
          <w:sz w:val="21"/>
          <w:szCs w:val="21"/>
        </w:rPr>
        <w:t>页 共</w:t>
      </w:r>
      <w:r>
        <w:rPr>
          <w:rFonts w:ascii="宋体" w:hAnsi="宋体" w:eastAsia="宋体" w:cs="宋体"/>
          <w:spacing w:val="14"/>
          <w:sz w:val="21"/>
          <w:szCs w:val="21"/>
        </w:rPr>
        <w:t xml:space="preserve"> </w:t>
      </w:r>
      <w:r>
        <w:rPr>
          <w:rFonts w:ascii="宋体" w:hAnsi="宋体" w:eastAsia="宋体" w:cs="宋体"/>
          <w:spacing w:val="-14"/>
          <w:sz w:val="21"/>
          <w:szCs w:val="21"/>
        </w:rPr>
        <w:t>页</w:t>
      </w:r>
    </w:p>
    <w:p w14:paraId="71F861BF">
      <w:pPr>
        <w:spacing w:line="186" w:lineRule="auto"/>
        <w:rPr>
          <w:rFonts w:ascii="宋体" w:hAnsi="宋体" w:eastAsia="宋体" w:cs="宋体"/>
          <w:sz w:val="21"/>
          <w:szCs w:val="21"/>
        </w:rPr>
        <w:sectPr>
          <w:type w:val="continuous"/>
          <w:pgSz w:w="11905" w:h="16839"/>
          <w:pgMar w:top="400" w:right="1785" w:bottom="1004" w:left="1785" w:header="0" w:footer="828" w:gutter="0"/>
          <w:pgNumType w:fmt="decimal"/>
          <w:cols w:equalWidth="0" w:num="2">
            <w:col w:w="2234" w:space="100"/>
            <w:col w:w="6000"/>
          </w:cols>
        </w:sectPr>
      </w:pPr>
    </w:p>
    <w:p w14:paraId="74C274D1">
      <w:pPr>
        <w:spacing w:line="32" w:lineRule="exact"/>
      </w:pPr>
    </w:p>
    <w:tbl>
      <w:tblPr>
        <w:tblStyle w:val="10"/>
        <w:tblW w:w="8311"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19"/>
        <w:gridCol w:w="1761"/>
        <w:gridCol w:w="826"/>
        <w:gridCol w:w="825"/>
        <w:gridCol w:w="844"/>
        <w:gridCol w:w="1209"/>
        <w:gridCol w:w="1397"/>
        <w:gridCol w:w="830"/>
      </w:tblGrid>
      <w:tr w14:paraId="18F64A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92" w:hRule="atLeast"/>
        </w:trPr>
        <w:tc>
          <w:tcPr>
            <w:tcW w:w="619" w:type="dxa"/>
            <w:textDirection w:val="tbRlV"/>
            <w:vAlign w:val="top"/>
          </w:tcPr>
          <w:p w14:paraId="68615172">
            <w:pPr>
              <w:pStyle w:val="11"/>
              <w:spacing w:before="200" w:line="211" w:lineRule="auto"/>
              <w:ind w:left="202"/>
            </w:pPr>
            <w:r>
              <w:rPr>
                <w:spacing w:val="1"/>
              </w:rPr>
              <w:t>序</w:t>
            </w:r>
            <w:r>
              <w:rPr>
                <w:spacing w:val="-43"/>
              </w:rPr>
              <w:t xml:space="preserve"> </w:t>
            </w:r>
            <w:r>
              <w:rPr>
                <w:spacing w:val="1"/>
              </w:rPr>
              <w:t>号</w:t>
            </w:r>
          </w:p>
        </w:tc>
        <w:tc>
          <w:tcPr>
            <w:tcW w:w="1761" w:type="dxa"/>
            <w:vAlign w:val="top"/>
          </w:tcPr>
          <w:p w14:paraId="266A63C0">
            <w:pPr>
              <w:pStyle w:val="11"/>
              <w:spacing w:before="67" w:line="220" w:lineRule="auto"/>
              <w:ind w:left="253"/>
            </w:pPr>
            <w:r>
              <w:rPr>
                <w:spacing w:val="-1"/>
              </w:rPr>
              <w:t>材料（工程设</w:t>
            </w:r>
          </w:p>
          <w:p w14:paraId="53A29728">
            <w:pPr>
              <w:pStyle w:val="11"/>
              <w:spacing w:before="18" w:line="222" w:lineRule="auto"/>
              <w:ind w:left="256"/>
            </w:pPr>
            <w:r>
              <w:rPr>
                <w:spacing w:val="-2"/>
              </w:rPr>
              <w:t>备）名称、规</w:t>
            </w:r>
          </w:p>
          <w:p w14:paraId="32C2BC99">
            <w:pPr>
              <w:pStyle w:val="11"/>
              <w:spacing w:before="20" w:line="221" w:lineRule="auto"/>
              <w:ind w:left="464"/>
            </w:pPr>
            <w:r>
              <w:rPr>
                <w:spacing w:val="-1"/>
              </w:rPr>
              <w:t>格、型号</w:t>
            </w:r>
          </w:p>
        </w:tc>
        <w:tc>
          <w:tcPr>
            <w:tcW w:w="826" w:type="dxa"/>
            <w:vAlign w:val="top"/>
          </w:tcPr>
          <w:p w14:paraId="2C62C7F3">
            <w:pPr>
              <w:spacing w:line="267" w:lineRule="auto"/>
              <w:rPr>
                <w:rFonts w:ascii="Arial"/>
                <w:sz w:val="21"/>
              </w:rPr>
            </w:pPr>
          </w:p>
          <w:p w14:paraId="37D303B0">
            <w:pPr>
              <w:pStyle w:val="11"/>
              <w:spacing w:before="68" w:line="221" w:lineRule="auto"/>
              <w:ind w:left="213"/>
            </w:pPr>
            <w:r>
              <w:rPr>
                <w:spacing w:val="-2"/>
              </w:rPr>
              <w:t>单位</w:t>
            </w:r>
          </w:p>
        </w:tc>
        <w:tc>
          <w:tcPr>
            <w:tcW w:w="825" w:type="dxa"/>
            <w:vAlign w:val="top"/>
          </w:tcPr>
          <w:p w14:paraId="4FCC1160">
            <w:pPr>
              <w:spacing w:line="266" w:lineRule="auto"/>
              <w:rPr>
                <w:rFonts w:ascii="Arial"/>
                <w:sz w:val="21"/>
              </w:rPr>
            </w:pPr>
          </w:p>
          <w:p w14:paraId="2DCA6344">
            <w:pPr>
              <w:pStyle w:val="11"/>
              <w:spacing w:before="68" w:line="221" w:lineRule="auto"/>
              <w:ind w:left="213"/>
            </w:pPr>
            <w:r>
              <w:rPr>
                <w:spacing w:val="-2"/>
              </w:rPr>
              <w:t>数量</w:t>
            </w:r>
          </w:p>
        </w:tc>
        <w:tc>
          <w:tcPr>
            <w:tcW w:w="844" w:type="dxa"/>
            <w:vAlign w:val="top"/>
          </w:tcPr>
          <w:p w14:paraId="6FCDBA00">
            <w:pPr>
              <w:pStyle w:val="11"/>
              <w:spacing w:before="202" w:line="231" w:lineRule="auto"/>
              <w:ind w:left="122" w:right="111" w:firstLine="100"/>
            </w:pPr>
            <w:r>
              <w:rPr>
                <w:spacing w:val="-4"/>
              </w:rPr>
              <w:t>单价</w:t>
            </w:r>
            <w:r>
              <w:t xml:space="preserve">  </w:t>
            </w:r>
            <w:r>
              <w:rPr>
                <w:spacing w:val="-9"/>
              </w:rPr>
              <w:t>（元）</w:t>
            </w:r>
          </w:p>
        </w:tc>
        <w:tc>
          <w:tcPr>
            <w:tcW w:w="1209" w:type="dxa"/>
            <w:vAlign w:val="top"/>
          </w:tcPr>
          <w:p w14:paraId="2F60B0A3">
            <w:pPr>
              <w:pStyle w:val="11"/>
              <w:spacing w:before="201" w:line="241" w:lineRule="auto"/>
              <w:ind w:left="405"/>
            </w:pPr>
            <w:r>
              <w:rPr>
                <w:spacing w:val="-3"/>
              </w:rPr>
              <w:t>交货</w:t>
            </w:r>
          </w:p>
          <w:p w14:paraId="1D929A55">
            <w:pPr>
              <w:pStyle w:val="11"/>
              <w:spacing w:line="222" w:lineRule="auto"/>
              <w:ind w:left="401"/>
            </w:pPr>
            <w:r>
              <w:rPr>
                <w:spacing w:val="-2"/>
              </w:rPr>
              <w:t>方式</w:t>
            </w:r>
          </w:p>
        </w:tc>
        <w:tc>
          <w:tcPr>
            <w:tcW w:w="1397" w:type="dxa"/>
            <w:vAlign w:val="top"/>
          </w:tcPr>
          <w:p w14:paraId="3A3143C1">
            <w:pPr>
              <w:pStyle w:val="11"/>
              <w:spacing w:before="201" w:line="241" w:lineRule="auto"/>
              <w:ind w:left="496"/>
            </w:pPr>
            <w:r>
              <w:rPr>
                <w:spacing w:val="-2"/>
              </w:rPr>
              <w:t>送达</w:t>
            </w:r>
          </w:p>
          <w:p w14:paraId="50FCA51D">
            <w:pPr>
              <w:pStyle w:val="11"/>
              <w:spacing w:before="1" w:line="224" w:lineRule="auto"/>
              <w:ind w:left="498"/>
            </w:pPr>
            <w:r>
              <w:rPr>
                <w:spacing w:val="-2"/>
              </w:rPr>
              <w:t>地点</w:t>
            </w:r>
          </w:p>
        </w:tc>
        <w:tc>
          <w:tcPr>
            <w:tcW w:w="830" w:type="dxa"/>
            <w:vAlign w:val="top"/>
          </w:tcPr>
          <w:p w14:paraId="6C17B54D">
            <w:pPr>
              <w:spacing w:line="266" w:lineRule="auto"/>
              <w:rPr>
                <w:rFonts w:ascii="Arial"/>
                <w:sz w:val="21"/>
              </w:rPr>
            </w:pPr>
          </w:p>
          <w:p w14:paraId="244DE1AD">
            <w:pPr>
              <w:pStyle w:val="11"/>
              <w:spacing w:before="69" w:line="222" w:lineRule="auto"/>
              <w:ind w:left="217"/>
            </w:pPr>
            <w:r>
              <w:rPr>
                <w:spacing w:val="-3"/>
              </w:rPr>
              <w:t>备注</w:t>
            </w:r>
          </w:p>
        </w:tc>
      </w:tr>
      <w:tr w14:paraId="2B92A6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78" w:hRule="atLeast"/>
        </w:trPr>
        <w:tc>
          <w:tcPr>
            <w:tcW w:w="619" w:type="dxa"/>
            <w:vAlign w:val="top"/>
          </w:tcPr>
          <w:p w14:paraId="2FA680C1">
            <w:pPr>
              <w:rPr>
                <w:rFonts w:ascii="Arial"/>
                <w:sz w:val="21"/>
              </w:rPr>
            </w:pPr>
          </w:p>
        </w:tc>
        <w:tc>
          <w:tcPr>
            <w:tcW w:w="1761" w:type="dxa"/>
            <w:vAlign w:val="top"/>
          </w:tcPr>
          <w:p w14:paraId="18971C63">
            <w:pPr>
              <w:rPr>
                <w:rFonts w:ascii="Arial"/>
                <w:sz w:val="21"/>
              </w:rPr>
            </w:pPr>
          </w:p>
        </w:tc>
        <w:tc>
          <w:tcPr>
            <w:tcW w:w="826" w:type="dxa"/>
            <w:vAlign w:val="top"/>
          </w:tcPr>
          <w:p w14:paraId="571E04A6">
            <w:pPr>
              <w:rPr>
                <w:rFonts w:ascii="Arial"/>
                <w:sz w:val="21"/>
              </w:rPr>
            </w:pPr>
          </w:p>
        </w:tc>
        <w:tc>
          <w:tcPr>
            <w:tcW w:w="825" w:type="dxa"/>
            <w:vAlign w:val="top"/>
          </w:tcPr>
          <w:p w14:paraId="0344A974">
            <w:pPr>
              <w:rPr>
                <w:rFonts w:ascii="Arial"/>
                <w:sz w:val="21"/>
              </w:rPr>
            </w:pPr>
          </w:p>
        </w:tc>
        <w:tc>
          <w:tcPr>
            <w:tcW w:w="844" w:type="dxa"/>
            <w:vAlign w:val="top"/>
          </w:tcPr>
          <w:p w14:paraId="713CA8EF">
            <w:pPr>
              <w:rPr>
                <w:rFonts w:ascii="Arial"/>
                <w:sz w:val="21"/>
              </w:rPr>
            </w:pPr>
          </w:p>
        </w:tc>
        <w:tc>
          <w:tcPr>
            <w:tcW w:w="1209" w:type="dxa"/>
            <w:vAlign w:val="top"/>
          </w:tcPr>
          <w:p w14:paraId="61ADB3CA">
            <w:pPr>
              <w:rPr>
                <w:rFonts w:ascii="Arial"/>
                <w:sz w:val="21"/>
              </w:rPr>
            </w:pPr>
          </w:p>
        </w:tc>
        <w:tc>
          <w:tcPr>
            <w:tcW w:w="1397" w:type="dxa"/>
            <w:vAlign w:val="top"/>
          </w:tcPr>
          <w:p w14:paraId="186ECCF8">
            <w:pPr>
              <w:rPr>
                <w:rFonts w:ascii="Arial"/>
                <w:sz w:val="21"/>
              </w:rPr>
            </w:pPr>
          </w:p>
        </w:tc>
        <w:tc>
          <w:tcPr>
            <w:tcW w:w="830" w:type="dxa"/>
            <w:vAlign w:val="top"/>
          </w:tcPr>
          <w:p w14:paraId="5B401CAD">
            <w:pPr>
              <w:rPr>
                <w:rFonts w:ascii="Arial"/>
                <w:sz w:val="21"/>
              </w:rPr>
            </w:pPr>
          </w:p>
        </w:tc>
      </w:tr>
      <w:tr w14:paraId="6EBA6E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73" w:hRule="atLeast"/>
        </w:trPr>
        <w:tc>
          <w:tcPr>
            <w:tcW w:w="619" w:type="dxa"/>
            <w:vAlign w:val="top"/>
          </w:tcPr>
          <w:p w14:paraId="1D5EF5A2">
            <w:pPr>
              <w:rPr>
                <w:rFonts w:ascii="Arial"/>
                <w:sz w:val="21"/>
              </w:rPr>
            </w:pPr>
          </w:p>
        </w:tc>
        <w:tc>
          <w:tcPr>
            <w:tcW w:w="1761" w:type="dxa"/>
            <w:vAlign w:val="top"/>
          </w:tcPr>
          <w:p w14:paraId="697DE137">
            <w:pPr>
              <w:rPr>
                <w:rFonts w:ascii="Arial"/>
                <w:sz w:val="21"/>
              </w:rPr>
            </w:pPr>
          </w:p>
        </w:tc>
        <w:tc>
          <w:tcPr>
            <w:tcW w:w="826" w:type="dxa"/>
            <w:vAlign w:val="top"/>
          </w:tcPr>
          <w:p w14:paraId="7D2F80F8">
            <w:pPr>
              <w:rPr>
                <w:rFonts w:ascii="Arial"/>
                <w:sz w:val="21"/>
              </w:rPr>
            </w:pPr>
          </w:p>
        </w:tc>
        <w:tc>
          <w:tcPr>
            <w:tcW w:w="825" w:type="dxa"/>
            <w:vAlign w:val="top"/>
          </w:tcPr>
          <w:p w14:paraId="2D8E32CA">
            <w:pPr>
              <w:rPr>
                <w:rFonts w:ascii="Arial"/>
                <w:sz w:val="21"/>
              </w:rPr>
            </w:pPr>
          </w:p>
        </w:tc>
        <w:tc>
          <w:tcPr>
            <w:tcW w:w="844" w:type="dxa"/>
            <w:vAlign w:val="top"/>
          </w:tcPr>
          <w:p w14:paraId="24AB590E">
            <w:pPr>
              <w:rPr>
                <w:rFonts w:ascii="Arial"/>
                <w:sz w:val="21"/>
              </w:rPr>
            </w:pPr>
          </w:p>
        </w:tc>
        <w:tc>
          <w:tcPr>
            <w:tcW w:w="1209" w:type="dxa"/>
            <w:vAlign w:val="top"/>
          </w:tcPr>
          <w:p w14:paraId="631FA8D9">
            <w:pPr>
              <w:rPr>
                <w:rFonts w:ascii="Arial"/>
                <w:sz w:val="21"/>
              </w:rPr>
            </w:pPr>
          </w:p>
        </w:tc>
        <w:tc>
          <w:tcPr>
            <w:tcW w:w="1397" w:type="dxa"/>
            <w:vAlign w:val="top"/>
          </w:tcPr>
          <w:p w14:paraId="1F229368">
            <w:pPr>
              <w:rPr>
                <w:rFonts w:ascii="Arial"/>
                <w:sz w:val="21"/>
              </w:rPr>
            </w:pPr>
          </w:p>
        </w:tc>
        <w:tc>
          <w:tcPr>
            <w:tcW w:w="830" w:type="dxa"/>
            <w:vAlign w:val="top"/>
          </w:tcPr>
          <w:p w14:paraId="74CE6984">
            <w:pPr>
              <w:rPr>
                <w:rFonts w:ascii="Arial"/>
                <w:sz w:val="21"/>
              </w:rPr>
            </w:pPr>
          </w:p>
        </w:tc>
      </w:tr>
      <w:tr w14:paraId="05891F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74" w:hRule="atLeast"/>
        </w:trPr>
        <w:tc>
          <w:tcPr>
            <w:tcW w:w="619" w:type="dxa"/>
            <w:vAlign w:val="top"/>
          </w:tcPr>
          <w:p w14:paraId="46861C13">
            <w:pPr>
              <w:rPr>
                <w:rFonts w:ascii="Arial"/>
                <w:sz w:val="21"/>
              </w:rPr>
            </w:pPr>
          </w:p>
        </w:tc>
        <w:tc>
          <w:tcPr>
            <w:tcW w:w="1761" w:type="dxa"/>
            <w:vAlign w:val="top"/>
          </w:tcPr>
          <w:p w14:paraId="408EC0F0">
            <w:pPr>
              <w:rPr>
                <w:rFonts w:ascii="Arial"/>
                <w:sz w:val="21"/>
              </w:rPr>
            </w:pPr>
          </w:p>
        </w:tc>
        <w:tc>
          <w:tcPr>
            <w:tcW w:w="826" w:type="dxa"/>
            <w:vAlign w:val="top"/>
          </w:tcPr>
          <w:p w14:paraId="7CA056DF">
            <w:pPr>
              <w:rPr>
                <w:rFonts w:ascii="Arial"/>
                <w:sz w:val="21"/>
              </w:rPr>
            </w:pPr>
          </w:p>
        </w:tc>
        <w:tc>
          <w:tcPr>
            <w:tcW w:w="825" w:type="dxa"/>
            <w:vAlign w:val="top"/>
          </w:tcPr>
          <w:p w14:paraId="2066A872">
            <w:pPr>
              <w:rPr>
                <w:rFonts w:ascii="Arial"/>
                <w:sz w:val="21"/>
              </w:rPr>
            </w:pPr>
          </w:p>
        </w:tc>
        <w:tc>
          <w:tcPr>
            <w:tcW w:w="844" w:type="dxa"/>
            <w:vAlign w:val="top"/>
          </w:tcPr>
          <w:p w14:paraId="4729DFDD">
            <w:pPr>
              <w:rPr>
                <w:rFonts w:ascii="Arial"/>
                <w:sz w:val="21"/>
              </w:rPr>
            </w:pPr>
          </w:p>
        </w:tc>
        <w:tc>
          <w:tcPr>
            <w:tcW w:w="1209" w:type="dxa"/>
            <w:vAlign w:val="top"/>
          </w:tcPr>
          <w:p w14:paraId="06EA12D1">
            <w:pPr>
              <w:rPr>
                <w:rFonts w:ascii="Arial"/>
                <w:sz w:val="21"/>
              </w:rPr>
            </w:pPr>
          </w:p>
        </w:tc>
        <w:tc>
          <w:tcPr>
            <w:tcW w:w="1397" w:type="dxa"/>
            <w:vAlign w:val="top"/>
          </w:tcPr>
          <w:p w14:paraId="77FD878A">
            <w:pPr>
              <w:rPr>
                <w:rFonts w:ascii="Arial"/>
                <w:sz w:val="21"/>
              </w:rPr>
            </w:pPr>
          </w:p>
        </w:tc>
        <w:tc>
          <w:tcPr>
            <w:tcW w:w="830" w:type="dxa"/>
            <w:vAlign w:val="top"/>
          </w:tcPr>
          <w:p w14:paraId="57B888B0">
            <w:pPr>
              <w:rPr>
                <w:rFonts w:ascii="Arial"/>
                <w:sz w:val="21"/>
              </w:rPr>
            </w:pPr>
          </w:p>
        </w:tc>
      </w:tr>
      <w:tr w14:paraId="0C64B6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878" w:hRule="atLeast"/>
        </w:trPr>
        <w:tc>
          <w:tcPr>
            <w:tcW w:w="619" w:type="dxa"/>
            <w:vAlign w:val="top"/>
          </w:tcPr>
          <w:p w14:paraId="1B27EBE8">
            <w:pPr>
              <w:rPr>
                <w:rFonts w:ascii="Arial"/>
                <w:sz w:val="21"/>
              </w:rPr>
            </w:pPr>
          </w:p>
        </w:tc>
        <w:tc>
          <w:tcPr>
            <w:tcW w:w="1761" w:type="dxa"/>
            <w:vAlign w:val="top"/>
          </w:tcPr>
          <w:p w14:paraId="7AE68B03">
            <w:pPr>
              <w:rPr>
                <w:rFonts w:ascii="Arial"/>
                <w:sz w:val="21"/>
              </w:rPr>
            </w:pPr>
          </w:p>
        </w:tc>
        <w:tc>
          <w:tcPr>
            <w:tcW w:w="826" w:type="dxa"/>
            <w:vAlign w:val="top"/>
          </w:tcPr>
          <w:p w14:paraId="7D53833B">
            <w:pPr>
              <w:rPr>
                <w:rFonts w:ascii="Arial"/>
                <w:sz w:val="21"/>
              </w:rPr>
            </w:pPr>
          </w:p>
        </w:tc>
        <w:tc>
          <w:tcPr>
            <w:tcW w:w="825" w:type="dxa"/>
            <w:vAlign w:val="top"/>
          </w:tcPr>
          <w:p w14:paraId="7911B464">
            <w:pPr>
              <w:rPr>
                <w:rFonts w:ascii="Arial"/>
                <w:sz w:val="21"/>
              </w:rPr>
            </w:pPr>
          </w:p>
        </w:tc>
        <w:tc>
          <w:tcPr>
            <w:tcW w:w="844" w:type="dxa"/>
            <w:vAlign w:val="top"/>
          </w:tcPr>
          <w:p w14:paraId="011D3E28">
            <w:pPr>
              <w:rPr>
                <w:rFonts w:ascii="Arial"/>
                <w:sz w:val="21"/>
              </w:rPr>
            </w:pPr>
          </w:p>
        </w:tc>
        <w:tc>
          <w:tcPr>
            <w:tcW w:w="1209" w:type="dxa"/>
            <w:vAlign w:val="top"/>
          </w:tcPr>
          <w:p w14:paraId="2E2EADAF">
            <w:pPr>
              <w:rPr>
                <w:rFonts w:ascii="Arial"/>
                <w:sz w:val="21"/>
              </w:rPr>
            </w:pPr>
          </w:p>
        </w:tc>
        <w:tc>
          <w:tcPr>
            <w:tcW w:w="1397" w:type="dxa"/>
            <w:vAlign w:val="top"/>
          </w:tcPr>
          <w:p w14:paraId="4DC9C4CF">
            <w:pPr>
              <w:rPr>
                <w:rFonts w:ascii="Arial"/>
                <w:sz w:val="21"/>
              </w:rPr>
            </w:pPr>
          </w:p>
        </w:tc>
        <w:tc>
          <w:tcPr>
            <w:tcW w:w="830" w:type="dxa"/>
            <w:vAlign w:val="top"/>
          </w:tcPr>
          <w:p w14:paraId="2E035CA0">
            <w:pPr>
              <w:rPr>
                <w:rFonts w:ascii="Arial"/>
                <w:sz w:val="21"/>
              </w:rPr>
            </w:pPr>
          </w:p>
        </w:tc>
      </w:tr>
      <w:tr w14:paraId="703CA2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73" w:hRule="atLeast"/>
        </w:trPr>
        <w:tc>
          <w:tcPr>
            <w:tcW w:w="619" w:type="dxa"/>
            <w:vAlign w:val="top"/>
          </w:tcPr>
          <w:p w14:paraId="43EE45BC">
            <w:pPr>
              <w:rPr>
                <w:rFonts w:ascii="Arial"/>
                <w:sz w:val="21"/>
              </w:rPr>
            </w:pPr>
          </w:p>
        </w:tc>
        <w:tc>
          <w:tcPr>
            <w:tcW w:w="1761" w:type="dxa"/>
            <w:vAlign w:val="top"/>
          </w:tcPr>
          <w:p w14:paraId="7A6932D7">
            <w:pPr>
              <w:rPr>
                <w:rFonts w:ascii="Arial"/>
                <w:sz w:val="21"/>
              </w:rPr>
            </w:pPr>
          </w:p>
        </w:tc>
        <w:tc>
          <w:tcPr>
            <w:tcW w:w="826" w:type="dxa"/>
            <w:vAlign w:val="top"/>
          </w:tcPr>
          <w:p w14:paraId="2CF0CC02">
            <w:pPr>
              <w:rPr>
                <w:rFonts w:ascii="Arial"/>
                <w:sz w:val="21"/>
              </w:rPr>
            </w:pPr>
          </w:p>
        </w:tc>
        <w:tc>
          <w:tcPr>
            <w:tcW w:w="825" w:type="dxa"/>
            <w:vAlign w:val="top"/>
          </w:tcPr>
          <w:p w14:paraId="6FCBDDCC">
            <w:pPr>
              <w:rPr>
                <w:rFonts w:ascii="Arial"/>
                <w:sz w:val="21"/>
              </w:rPr>
            </w:pPr>
          </w:p>
        </w:tc>
        <w:tc>
          <w:tcPr>
            <w:tcW w:w="844" w:type="dxa"/>
            <w:vAlign w:val="top"/>
          </w:tcPr>
          <w:p w14:paraId="78C70512">
            <w:pPr>
              <w:rPr>
                <w:rFonts w:ascii="Arial"/>
                <w:sz w:val="21"/>
              </w:rPr>
            </w:pPr>
          </w:p>
        </w:tc>
        <w:tc>
          <w:tcPr>
            <w:tcW w:w="1209" w:type="dxa"/>
            <w:vAlign w:val="top"/>
          </w:tcPr>
          <w:p w14:paraId="327CB291">
            <w:pPr>
              <w:rPr>
                <w:rFonts w:ascii="Arial"/>
                <w:sz w:val="21"/>
              </w:rPr>
            </w:pPr>
          </w:p>
        </w:tc>
        <w:tc>
          <w:tcPr>
            <w:tcW w:w="1397" w:type="dxa"/>
            <w:vAlign w:val="top"/>
          </w:tcPr>
          <w:p w14:paraId="60B14C5C">
            <w:pPr>
              <w:rPr>
                <w:rFonts w:ascii="Arial"/>
                <w:sz w:val="21"/>
              </w:rPr>
            </w:pPr>
          </w:p>
        </w:tc>
        <w:tc>
          <w:tcPr>
            <w:tcW w:w="830" w:type="dxa"/>
            <w:vAlign w:val="top"/>
          </w:tcPr>
          <w:p w14:paraId="2AD31EC4">
            <w:pPr>
              <w:rPr>
                <w:rFonts w:ascii="Arial"/>
                <w:sz w:val="21"/>
              </w:rPr>
            </w:pPr>
          </w:p>
        </w:tc>
      </w:tr>
      <w:tr w14:paraId="2D5E39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73" w:hRule="atLeast"/>
        </w:trPr>
        <w:tc>
          <w:tcPr>
            <w:tcW w:w="619" w:type="dxa"/>
            <w:vAlign w:val="top"/>
          </w:tcPr>
          <w:p w14:paraId="30587F65">
            <w:pPr>
              <w:rPr>
                <w:rFonts w:ascii="Arial"/>
                <w:sz w:val="21"/>
              </w:rPr>
            </w:pPr>
          </w:p>
        </w:tc>
        <w:tc>
          <w:tcPr>
            <w:tcW w:w="1761" w:type="dxa"/>
            <w:vAlign w:val="top"/>
          </w:tcPr>
          <w:p w14:paraId="520B8099">
            <w:pPr>
              <w:rPr>
                <w:rFonts w:ascii="Arial"/>
                <w:sz w:val="21"/>
              </w:rPr>
            </w:pPr>
          </w:p>
        </w:tc>
        <w:tc>
          <w:tcPr>
            <w:tcW w:w="826" w:type="dxa"/>
            <w:vAlign w:val="top"/>
          </w:tcPr>
          <w:p w14:paraId="7D4D0EB1">
            <w:pPr>
              <w:rPr>
                <w:rFonts w:ascii="Arial"/>
                <w:sz w:val="21"/>
              </w:rPr>
            </w:pPr>
          </w:p>
        </w:tc>
        <w:tc>
          <w:tcPr>
            <w:tcW w:w="825" w:type="dxa"/>
            <w:vAlign w:val="top"/>
          </w:tcPr>
          <w:p w14:paraId="5E7F113F">
            <w:pPr>
              <w:rPr>
                <w:rFonts w:ascii="Arial"/>
                <w:sz w:val="21"/>
              </w:rPr>
            </w:pPr>
          </w:p>
        </w:tc>
        <w:tc>
          <w:tcPr>
            <w:tcW w:w="844" w:type="dxa"/>
            <w:vAlign w:val="top"/>
          </w:tcPr>
          <w:p w14:paraId="5B6F4B1D">
            <w:pPr>
              <w:rPr>
                <w:rFonts w:ascii="Arial"/>
                <w:sz w:val="21"/>
              </w:rPr>
            </w:pPr>
          </w:p>
        </w:tc>
        <w:tc>
          <w:tcPr>
            <w:tcW w:w="1209" w:type="dxa"/>
            <w:vAlign w:val="top"/>
          </w:tcPr>
          <w:p w14:paraId="3A17612D">
            <w:pPr>
              <w:rPr>
                <w:rFonts w:ascii="Arial"/>
                <w:sz w:val="21"/>
              </w:rPr>
            </w:pPr>
          </w:p>
        </w:tc>
        <w:tc>
          <w:tcPr>
            <w:tcW w:w="1397" w:type="dxa"/>
            <w:vAlign w:val="top"/>
          </w:tcPr>
          <w:p w14:paraId="1AA1E98D">
            <w:pPr>
              <w:rPr>
                <w:rFonts w:ascii="Arial"/>
                <w:sz w:val="21"/>
              </w:rPr>
            </w:pPr>
          </w:p>
        </w:tc>
        <w:tc>
          <w:tcPr>
            <w:tcW w:w="830" w:type="dxa"/>
            <w:vAlign w:val="top"/>
          </w:tcPr>
          <w:p w14:paraId="6A6B2707">
            <w:pPr>
              <w:rPr>
                <w:rFonts w:ascii="Arial"/>
                <w:sz w:val="21"/>
              </w:rPr>
            </w:pPr>
          </w:p>
        </w:tc>
      </w:tr>
      <w:tr w14:paraId="638021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78" w:hRule="atLeast"/>
        </w:trPr>
        <w:tc>
          <w:tcPr>
            <w:tcW w:w="619" w:type="dxa"/>
            <w:vAlign w:val="top"/>
          </w:tcPr>
          <w:p w14:paraId="789837F9">
            <w:pPr>
              <w:rPr>
                <w:rFonts w:ascii="Arial"/>
                <w:sz w:val="21"/>
              </w:rPr>
            </w:pPr>
          </w:p>
        </w:tc>
        <w:tc>
          <w:tcPr>
            <w:tcW w:w="1761" w:type="dxa"/>
            <w:vAlign w:val="top"/>
          </w:tcPr>
          <w:p w14:paraId="52980A4C">
            <w:pPr>
              <w:rPr>
                <w:rFonts w:ascii="Arial"/>
                <w:sz w:val="21"/>
              </w:rPr>
            </w:pPr>
          </w:p>
        </w:tc>
        <w:tc>
          <w:tcPr>
            <w:tcW w:w="826" w:type="dxa"/>
            <w:vAlign w:val="top"/>
          </w:tcPr>
          <w:p w14:paraId="10DFE194">
            <w:pPr>
              <w:rPr>
                <w:rFonts w:ascii="Arial"/>
                <w:sz w:val="21"/>
              </w:rPr>
            </w:pPr>
          </w:p>
        </w:tc>
        <w:tc>
          <w:tcPr>
            <w:tcW w:w="825" w:type="dxa"/>
            <w:vAlign w:val="top"/>
          </w:tcPr>
          <w:p w14:paraId="4A4E611F">
            <w:pPr>
              <w:rPr>
                <w:rFonts w:ascii="Arial"/>
                <w:sz w:val="21"/>
              </w:rPr>
            </w:pPr>
          </w:p>
        </w:tc>
        <w:tc>
          <w:tcPr>
            <w:tcW w:w="844" w:type="dxa"/>
            <w:vAlign w:val="top"/>
          </w:tcPr>
          <w:p w14:paraId="3BE0CF47">
            <w:pPr>
              <w:rPr>
                <w:rFonts w:ascii="Arial"/>
                <w:sz w:val="21"/>
              </w:rPr>
            </w:pPr>
          </w:p>
        </w:tc>
        <w:tc>
          <w:tcPr>
            <w:tcW w:w="1209" w:type="dxa"/>
            <w:vAlign w:val="top"/>
          </w:tcPr>
          <w:p w14:paraId="2B269E5C">
            <w:pPr>
              <w:rPr>
                <w:rFonts w:ascii="Arial"/>
                <w:sz w:val="21"/>
              </w:rPr>
            </w:pPr>
          </w:p>
        </w:tc>
        <w:tc>
          <w:tcPr>
            <w:tcW w:w="1397" w:type="dxa"/>
            <w:vAlign w:val="top"/>
          </w:tcPr>
          <w:p w14:paraId="575E70CE">
            <w:pPr>
              <w:rPr>
                <w:rFonts w:ascii="Arial"/>
                <w:sz w:val="21"/>
              </w:rPr>
            </w:pPr>
          </w:p>
        </w:tc>
        <w:tc>
          <w:tcPr>
            <w:tcW w:w="830" w:type="dxa"/>
            <w:vAlign w:val="top"/>
          </w:tcPr>
          <w:p w14:paraId="6A3FFBCC">
            <w:pPr>
              <w:rPr>
                <w:rFonts w:ascii="Arial"/>
                <w:sz w:val="21"/>
              </w:rPr>
            </w:pPr>
          </w:p>
        </w:tc>
      </w:tr>
      <w:tr w14:paraId="372783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73" w:hRule="atLeast"/>
        </w:trPr>
        <w:tc>
          <w:tcPr>
            <w:tcW w:w="619" w:type="dxa"/>
            <w:vAlign w:val="top"/>
          </w:tcPr>
          <w:p w14:paraId="3DB3D214">
            <w:pPr>
              <w:rPr>
                <w:rFonts w:ascii="Arial"/>
                <w:sz w:val="21"/>
              </w:rPr>
            </w:pPr>
          </w:p>
        </w:tc>
        <w:tc>
          <w:tcPr>
            <w:tcW w:w="1761" w:type="dxa"/>
            <w:vAlign w:val="top"/>
          </w:tcPr>
          <w:p w14:paraId="70371AF8">
            <w:pPr>
              <w:rPr>
                <w:rFonts w:ascii="Arial"/>
                <w:sz w:val="21"/>
              </w:rPr>
            </w:pPr>
          </w:p>
        </w:tc>
        <w:tc>
          <w:tcPr>
            <w:tcW w:w="826" w:type="dxa"/>
            <w:vAlign w:val="top"/>
          </w:tcPr>
          <w:p w14:paraId="472BCD3A">
            <w:pPr>
              <w:rPr>
                <w:rFonts w:ascii="Arial"/>
                <w:sz w:val="21"/>
              </w:rPr>
            </w:pPr>
          </w:p>
        </w:tc>
        <w:tc>
          <w:tcPr>
            <w:tcW w:w="825" w:type="dxa"/>
            <w:vAlign w:val="top"/>
          </w:tcPr>
          <w:p w14:paraId="2AC2BDC3">
            <w:pPr>
              <w:rPr>
                <w:rFonts w:ascii="Arial"/>
                <w:sz w:val="21"/>
              </w:rPr>
            </w:pPr>
          </w:p>
        </w:tc>
        <w:tc>
          <w:tcPr>
            <w:tcW w:w="844" w:type="dxa"/>
            <w:vAlign w:val="top"/>
          </w:tcPr>
          <w:p w14:paraId="5AE170C8">
            <w:pPr>
              <w:rPr>
                <w:rFonts w:ascii="Arial"/>
                <w:sz w:val="21"/>
              </w:rPr>
            </w:pPr>
          </w:p>
        </w:tc>
        <w:tc>
          <w:tcPr>
            <w:tcW w:w="1209" w:type="dxa"/>
            <w:vAlign w:val="top"/>
          </w:tcPr>
          <w:p w14:paraId="2F6A8A1A">
            <w:pPr>
              <w:rPr>
                <w:rFonts w:ascii="Arial"/>
                <w:sz w:val="21"/>
              </w:rPr>
            </w:pPr>
          </w:p>
        </w:tc>
        <w:tc>
          <w:tcPr>
            <w:tcW w:w="1397" w:type="dxa"/>
            <w:vAlign w:val="top"/>
          </w:tcPr>
          <w:p w14:paraId="5550E9D4">
            <w:pPr>
              <w:rPr>
                <w:rFonts w:ascii="Arial"/>
                <w:sz w:val="21"/>
              </w:rPr>
            </w:pPr>
          </w:p>
        </w:tc>
        <w:tc>
          <w:tcPr>
            <w:tcW w:w="830" w:type="dxa"/>
            <w:vAlign w:val="top"/>
          </w:tcPr>
          <w:p w14:paraId="62760011">
            <w:pPr>
              <w:rPr>
                <w:rFonts w:ascii="Arial"/>
                <w:sz w:val="21"/>
              </w:rPr>
            </w:pPr>
          </w:p>
        </w:tc>
      </w:tr>
      <w:tr w14:paraId="2614F2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73" w:hRule="atLeast"/>
        </w:trPr>
        <w:tc>
          <w:tcPr>
            <w:tcW w:w="619" w:type="dxa"/>
            <w:vAlign w:val="top"/>
          </w:tcPr>
          <w:p w14:paraId="19011439">
            <w:pPr>
              <w:rPr>
                <w:rFonts w:ascii="Arial"/>
                <w:sz w:val="21"/>
              </w:rPr>
            </w:pPr>
          </w:p>
        </w:tc>
        <w:tc>
          <w:tcPr>
            <w:tcW w:w="1761" w:type="dxa"/>
            <w:vAlign w:val="top"/>
          </w:tcPr>
          <w:p w14:paraId="67CC37A8">
            <w:pPr>
              <w:rPr>
                <w:rFonts w:ascii="Arial"/>
                <w:sz w:val="21"/>
              </w:rPr>
            </w:pPr>
          </w:p>
        </w:tc>
        <w:tc>
          <w:tcPr>
            <w:tcW w:w="826" w:type="dxa"/>
            <w:vAlign w:val="top"/>
          </w:tcPr>
          <w:p w14:paraId="45BE1C99">
            <w:pPr>
              <w:rPr>
                <w:rFonts w:ascii="Arial"/>
                <w:sz w:val="21"/>
              </w:rPr>
            </w:pPr>
          </w:p>
        </w:tc>
        <w:tc>
          <w:tcPr>
            <w:tcW w:w="825" w:type="dxa"/>
            <w:vAlign w:val="top"/>
          </w:tcPr>
          <w:p w14:paraId="6FD28E86">
            <w:pPr>
              <w:rPr>
                <w:rFonts w:ascii="Arial"/>
                <w:sz w:val="21"/>
              </w:rPr>
            </w:pPr>
          </w:p>
        </w:tc>
        <w:tc>
          <w:tcPr>
            <w:tcW w:w="844" w:type="dxa"/>
            <w:vAlign w:val="top"/>
          </w:tcPr>
          <w:p w14:paraId="1FE9ED6A">
            <w:pPr>
              <w:rPr>
                <w:rFonts w:ascii="Arial"/>
                <w:sz w:val="21"/>
              </w:rPr>
            </w:pPr>
          </w:p>
        </w:tc>
        <w:tc>
          <w:tcPr>
            <w:tcW w:w="1209" w:type="dxa"/>
            <w:vAlign w:val="top"/>
          </w:tcPr>
          <w:p w14:paraId="15ED5182">
            <w:pPr>
              <w:rPr>
                <w:rFonts w:ascii="Arial"/>
                <w:sz w:val="21"/>
              </w:rPr>
            </w:pPr>
          </w:p>
        </w:tc>
        <w:tc>
          <w:tcPr>
            <w:tcW w:w="1397" w:type="dxa"/>
            <w:vAlign w:val="top"/>
          </w:tcPr>
          <w:p w14:paraId="391BF0C7">
            <w:pPr>
              <w:rPr>
                <w:rFonts w:ascii="Arial"/>
                <w:sz w:val="21"/>
              </w:rPr>
            </w:pPr>
          </w:p>
        </w:tc>
        <w:tc>
          <w:tcPr>
            <w:tcW w:w="830" w:type="dxa"/>
            <w:vAlign w:val="top"/>
          </w:tcPr>
          <w:p w14:paraId="2C832114">
            <w:pPr>
              <w:rPr>
                <w:rFonts w:ascii="Arial"/>
                <w:sz w:val="21"/>
              </w:rPr>
            </w:pPr>
          </w:p>
        </w:tc>
      </w:tr>
      <w:tr w14:paraId="110F68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78" w:hRule="atLeast"/>
        </w:trPr>
        <w:tc>
          <w:tcPr>
            <w:tcW w:w="619" w:type="dxa"/>
            <w:vAlign w:val="top"/>
          </w:tcPr>
          <w:p w14:paraId="10FE6F7D">
            <w:pPr>
              <w:rPr>
                <w:rFonts w:ascii="Arial"/>
                <w:sz w:val="21"/>
              </w:rPr>
            </w:pPr>
          </w:p>
        </w:tc>
        <w:tc>
          <w:tcPr>
            <w:tcW w:w="1761" w:type="dxa"/>
            <w:vAlign w:val="top"/>
          </w:tcPr>
          <w:p w14:paraId="5905EC65">
            <w:pPr>
              <w:rPr>
                <w:rFonts w:ascii="Arial"/>
                <w:sz w:val="21"/>
              </w:rPr>
            </w:pPr>
          </w:p>
        </w:tc>
        <w:tc>
          <w:tcPr>
            <w:tcW w:w="826" w:type="dxa"/>
            <w:vAlign w:val="top"/>
          </w:tcPr>
          <w:p w14:paraId="4FB87B99">
            <w:pPr>
              <w:rPr>
                <w:rFonts w:ascii="Arial"/>
                <w:sz w:val="21"/>
              </w:rPr>
            </w:pPr>
          </w:p>
        </w:tc>
        <w:tc>
          <w:tcPr>
            <w:tcW w:w="825" w:type="dxa"/>
            <w:vAlign w:val="top"/>
          </w:tcPr>
          <w:p w14:paraId="6A971F7D">
            <w:pPr>
              <w:rPr>
                <w:rFonts w:ascii="Arial"/>
                <w:sz w:val="21"/>
              </w:rPr>
            </w:pPr>
          </w:p>
        </w:tc>
        <w:tc>
          <w:tcPr>
            <w:tcW w:w="844" w:type="dxa"/>
            <w:vAlign w:val="top"/>
          </w:tcPr>
          <w:p w14:paraId="21809216">
            <w:pPr>
              <w:rPr>
                <w:rFonts w:ascii="Arial"/>
                <w:sz w:val="21"/>
              </w:rPr>
            </w:pPr>
          </w:p>
        </w:tc>
        <w:tc>
          <w:tcPr>
            <w:tcW w:w="1209" w:type="dxa"/>
            <w:vAlign w:val="top"/>
          </w:tcPr>
          <w:p w14:paraId="5D2B7244">
            <w:pPr>
              <w:rPr>
                <w:rFonts w:ascii="Arial"/>
                <w:sz w:val="21"/>
              </w:rPr>
            </w:pPr>
          </w:p>
        </w:tc>
        <w:tc>
          <w:tcPr>
            <w:tcW w:w="1397" w:type="dxa"/>
            <w:vAlign w:val="top"/>
          </w:tcPr>
          <w:p w14:paraId="27E05E67">
            <w:pPr>
              <w:rPr>
                <w:rFonts w:ascii="Arial"/>
                <w:sz w:val="21"/>
              </w:rPr>
            </w:pPr>
          </w:p>
        </w:tc>
        <w:tc>
          <w:tcPr>
            <w:tcW w:w="830" w:type="dxa"/>
            <w:vAlign w:val="top"/>
          </w:tcPr>
          <w:p w14:paraId="3DBB184A">
            <w:pPr>
              <w:rPr>
                <w:rFonts w:ascii="Arial"/>
                <w:sz w:val="21"/>
              </w:rPr>
            </w:pPr>
          </w:p>
        </w:tc>
      </w:tr>
      <w:tr w14:paraId="52D430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78" w:hRule="atLeast"/>
        </w:trPr>
        <w:tc>
          <w:tcPr>
            <w:tcW w:w="619" w:type="dxa"/>
            <w:vAlign w:val="top"/>
          </w:tcPr>
          <w:p w14:paraId="45001980">
            <w:pPr>
              <w:rPr>
                <w:rFonts w:ascii="Arial"/>
                <w:sz w:val="21"/>
              </w:rPr>
            </w:pPr>
          </w:p>
        </w:tc>
        <w:tc>
          <w:tcPr>
            <w:tcW w:w="1761" w:type="dxa"/>
            <w:vAlign w:val="top"/>
          </w:tcPr>
          <w:p w14:paraId="7FBA5860">
            <w:pPr>
              <w:rPr>
                <w:rFonts w:ascii="Arial"/>
                <w:sz w:val="21"/>
              </w:rPr>
            </w:pPr>
          </w:p>
        </w:tc>
        <w:tc>
          <w:tcPr>
            <w:tcW w:w="826" w:type="dxa"/>
            <w:vAlign w:val="top"/>
          </w:tcPr>
          <w:p w14:paraId="736E0811">
            <w:pPr>
              <w:rPr>
                <w:rFonts w:ascii="Arial"/>
                <w:sz w:val="21"/>
              </w:rPr>
            </w:pPr>
          </w:p>
        </w:tc>
        <w:tc>
          <w:tcPr>
            <w:tcW w:w="825" w:type="dxa"/>
            <w:vAlign w:val="top"/>
          </w:tcPr>
          <w:p w14:paraId="7D21FB3E">
            <w:pPr>
              <w:rPr>
                <w:rFonts w:ascii="Arial"/>
                <w:sz w:val="21"/>
              </w:rPr>
            </w:pPr>
          </w:p>
        </w:tc>
        <w:tc>
          <w:tcPr>
            <w:tcW w:w="844" w:type="dxa"/>
            <w:vAlign w:val="top"/>
          </w:tcPr>
          <w:p w14:paraId="0C72E74F">
            <w:pPr>
              <w:rPr>
                <w:rFonts w:ascii="Arial"/>
                <w:sz w:val="21"/>
              </w:rPr>
            </w:pPr>
          </w:p>
        </w:tc>
        <w:tc>
          <w:tcPr>
            <w:tcW w:w="1209" w:type="dxa"/>
            <w:vAlign w:val="top"/>
          </w:tcPr>
          <w:p w14:paraId="7901048A">
            <w:pPr>
              <w:rPr>
                <w:rFonts w:ascii="Arial"/>
                <w:sz w:val="21"/>
              </w:rPr>
            </w:pPr>
          </w:p>
        </w:tc>
        <w:tc>
          <w:tcPr>
            <w:tcW w:w="1397" w:type="dxa"/>
            <w:vAlign w:val="top"/>
          </w:tcPr>
          <w:p w14:paraId="745E0D29">
            <w:pPr>
              <w:rPr>
                <w:rFonts w:ascii="Arial"/>
                <w:sz w:val="21"/>
              </w:rPr>
            </w:pPr>
          </w:p>
        </w:tc>
        <w:tc>
          <w:tcPr>
            <w:tcW w:w="830" w:type="dxa"/>
            <w:vAlign w:val="top"/>
          </w:tcPr>
          <w:p w14:paraId="30D90481">
            <w:pPr>
              <w:rPr>
                <w:rFonts w:ascii="Arial"/>
                <w:sz w:val="21"/>
              </w:rPr>
            </w:pPr>
          </w:p>
        </w:tc>
      </w:tr>
    </w:tbl>
    <w:p w14:paraId="1AA6CC66">
      <w:pPr>
        <w:spacing w:before="269" w:line="186" w:lineRule="auto"/>
        <w:ind w:left="18"/>
        <w:rPr>
          <w:rFonts w:ascii="宋体" w:hAnsi="宋体" w:eastAsia="宋体" w:cs="宋体"/>
          <w:sz w:val="21"/>
          <w:szCs w:val="21"/>
        </w:rPr>
      </w:pPr>
      <w:r>
        <w:rPr>
          <w:rFonts w:ascii="宋体" w:hAnsi="宋体" w:eastAsia="宋体" w:cs="宋体"/>
          <w:sz w:val="21"/>
          <w:szCs w:val="21"/>
        </w:rPr>
        <w:t>注：此表由招标人填写，供投标人在投标报价、确定总承包服务</w:t>
      </w:r>
      <w:r>
        <w:rPr>
          <w:rFonts w:ascii="宋体" w:hAnsi="宋体" w:eastAsia="宋体" w:cs="宋体"/>
          <w:spacing w:val="-1"/>
          <w:sz w:val="21"/>
          <w:szCs w:val="21"/>
        </w:rPr>
        <w:t>费时参考。</w:t>
      </w:r>
    </w:p>
    <w:p w14:paraId="6653A179">
      <w:pPr>
        <w:spacing w:line="186" w:lineRule="auto"/>
        <w:rPr>
          <w:rFonts w:ascii="宋体" w:hAnsi="宋体" w:eastAsia="宋体" w:cs="宋体"/>
          <w:sz w:val="21"/>
          <w:szCs w:val="21"/>
        </w:rPr>
        <w:sectPr>
          <w:type w:val="continuous"/>
          <w:pgSz w:w="11905" w:h="16839"/>
          <w:pgMar w:top="400" w:right="1785" w:bottom="1004" w:left="1785" w:header="0" w:footer="828" w:gutter="0"/>
          <w:pgNumType w:fmt="decimal"/>
          <w:cols w:equalWidth="0" w:num="1">
            <w:col w:w="8333"/>
          </w:cols>
        </w:sectPr>
      </w:pPr>
    </w:p>
    <w:p w14:paraId="1FC9DD43">
      <w:pPr>
        <w:pStyle w:val="3"/>
        <w:spacing w:line="261" w:lineRule="auto"/>
      </w:pPr>
    </w:p>
    <w:p w14:paraId="74056E95">
      <w:pPr>
        <w:pStyle w:val="3"/>
        <w:spacing w:line="262" w:lineRule="auto"/>
      </w:pPr>
    </w:p>
    <w:p w14:paraId="53303B19">
      <w:pPr>
        <w:pStyle w:val="3"/>
        <w:spacing w:line="262" w:lineRule="auto"/>
      </w:pPr>
    </w:p>
    <w:p w14:paraId="3C97ACEE">
      <w:pPr>
        <w:pStyle w:val="3"/>
        <w:spacing w:line="262" w:lineRule="auto"/>
      </w:pPr>
    </w:p>
    <w:p w14:paraId="630605A5">
      <w:pPr>
        <w:pStyle w:val="3"/>
        <w:spacing w:line="262" w:lineRule="auto"/>
      </w:pPr>
    </w:p>
    <w:p w14:paraId="229A8DFD">
      <w:pPr>
        <w:spacing w:before="78" w:line="218" w:lineRule="auto"/>
        <w:ind w:left="13"/>
        <w:rPr>
          <w:rFonts w:ascii="宋体" w:hAnsi="宋体" w:eastAsia="宋体" w:cs="宋体"/>
          <w:sz w:val="24"/>
          <w:szCs w:val="24"/>
        </w:rPr>
      </w:pPr>
      <w:r>
        <w:rPr>
          <w:rFonts w:ascii="Times New Roman" w:hAnsi="Times New Roman" w:eastAsia="Times New Roman" w:cs="Times New Roman"/>
          <w:spacing w:val="-1"/>
          <w:sz w:val="24"/>
          <w:szCs w:val="24"/>
        </w:rPr>
        <w:t xml:space="preserve">4.15 </w:t>
      </w:r>
      <w:r>
        <w:rPr>
          <w:rFonts w:ascii="黑体" w:hAnsi="黑体" w:eastAsia="黑体" w:cs="黑体"/>
          <w:spacing w:val="-1"/>
          <w:sz w:val="24"/>
          <w:szCs w:val="24"/>
        </w:rPr>
        <w:t>承包人提供主要材料和工程设备一览表</w:t>
      </w:r>
      <w:r>
        <w:rPr>
          <w:rFonts w:ascii="宋体" w:hAnsi="宋体" w:eastAsia="宋体" w:cs="宋体"/>
          <w:spacing w:val="-1"/>
          <w:sz w:val="24"/>
          <w:szCs w:val="24"/>
        </w:rPr>
        <w:t>（适用于造价信息差额调整法）</w:t>
      </w:r>
    </w:p>
    <w:p w14:paraId="0C8DC621">
      <w:pPr>
        <w:pStyle w:val="3"/>
        <w:spacing w:line="437" w:lineRule="auto"/>
      </w:pPr>
    </w:p>
    <w:p w14:paraId="3A85F431">
      <w:pPr>
        <w:spacing w:before="88" w:line="225" w:lineRule="auto"/>
        <w:ind w:left="1796"/>
        <w:rPr>
          <w:rFonts w:ascii="黑体" w:hAnsi="黑体" w:eastAsia="黑体" w:cs="黑体"/>
          <w:sz w:val="27"/>
          <w:szCs w:val="27"/>
        </w:rPr>
      </w:pPr>
      <w:bookmarkStart w:id="1305" w:name="bookmark264"/>
      <w:bookmarkEnd w:id="1305"/>
      <w:bookmarkStart w:id="1306" w:name="bookmark263"/>
      <w:bookmarkEnd w:id="1306"/>
      <w:r>
        <w:rPr>
          <w:rFonts w:ascii="黑体" w:hAnsi="黑体" w:eastAsia="黑体" w:cs="黑体"/>
          <w:spacing w:val="9"/>
          <w:sz w:val="27"/>
          <w:szCs w:val="27"/>
        </w:rPr>
        <w:t>承包人提供主要材料和工程设备一览表</w:t>
      </w:r>
    </w:p>
    <w:p w14:paraId="4FD97FAA">
      <w:pPr>
        <w:spacing w:line="219" w:lineRule="exact"/>
      </w:pPr>
    </w:p>
    <w:p w14:paraId="4BE0953F">
      <w:pPr>
        <w:spacing w:line="219" w:lineRule="exact"/>
        <w:sectPr>
          <w:footerReference r:id="rId181" w:type="default"/>
          <w:pgSz w:w="11905" w:h="16839"/>
          <w:pgMar w:top="400" w:right="1785" w:bottom="1004" w:left="1785" w:header="0" w:footer="828" w:gutter="0"/>
          <w:pgNumType w:fmt="decimal"/>
          <w:cols w:equalWidth="0" w:num="1">
            <w:col w:w="8333"/>
          </w:cols>
        </w:sectPr>
      </w:pPr>
    </w:p>
    <w:p w14:paraId="54F5B5AC">
      <w:pPr>
        <w:spacing w:before="42" w:line="186" w:lineRule="auto"/>
        <w:ind w:left="20"/>
        <w:rPr>
          <w:rFonts w:ascii="宋体" w:hAnsi="宋体" w:eastAsia="宋体" w:cs="宋体"/>
          <w:sz w:val="21"/>
          <w:szCs w:val="21"/>
        </w:rPr>
      </w:pPr>
      <w:r>
        <w:rPr>
          <w:rFonts w:ascii="宋体" w:hAnsi="宋体" w:eastAsia="宋体" w:cs="宋体"/>
          <w:spacing w:val="-9"/>
          <w:sz w:val="21"/>
          <w:szCs w:val="21"/>
        </w:rPr>
        <w:t>工程名称：</w:t>
      </w:r>
    </w:p>
    <w:p w14:paraId="22D7EFA0">
      <w:pPr>
        <w:pStyle w:val="3"/>
        <w:spacing w:line="14" w:lineRule="auto"/>
        <w:rPr>
          <w:sz w:val="2"/>
        </w:rPr>
      </w:pPr>
      <w:r>
        <w:rPr>
          <w:sz w:val="2"/>
          <w:szCs w:val="2"/>
        </w:rPr>
        <w:br w:type="column"/>
      </w:r>
    </w:p>
    <w:p w14:paraId="3E4493E0">
      <w:pPr>
        <w:spacing w:before="40" w:line="186" w:lineRule="auto"/>
        <w:rPr>
          <w:rFonts w:ascii="宋体" w:hAnsi="宋体" w:eastAsia="宋体" w:cs="宋体"/>
          <w:sz w:val="21"/>
          <w:szCs w:val="21"/>
        </w:rPr>
      </w:pPr>
      <w:r>
        <w:rPr>
          <w:rFonts w:ascii="宋体" w:hAnsi="宋体" w:eastAsia="宋体" w:cs="宋体"/>
          <w:spacing w:val="-13"/>
          <w:sz w:val="21"/>
          <w:szCs w:val="21"/>
        </w:rPr>
        <w:t>标段名称：</w:t>
      </w:r>
      <w:r>
        <w:rPr>
          <w:rFonts w:ascii="宋体" w:hAnsi="宋体" w:eastAsia="宋体" w:cs="宋体"/>
          <w:sz w:val="21"/>
          <w:szCs w:val="21"/>
        </w:rPr>
        <w:t xml:space="preserve">                                 </w:t>
      </w:r>
      <w:r>
        <w:rPr>
          <w:rFonts w:ascii="宋体" w:hAnsi="宋体" w:eastAsia="宋体" w:cs="宋体"/>
          <w:spacing w:val="-13"/>
          <w:sz w:val="21"/>
          <w:szCs w:val="21"/>
        </w:rPr>
        <w:t>第</w:t>
      </w:r>
      <w:r>
        <w:rPr>
          <w:rFonts w:ascii="宋体" w:hAnsi="宋体" w:eastAsia="宋体" w:cs="宋体"/>
          <w:spacing w:val="18"/>
          <w:sz w:val="21"/>
          <w:szCs w:val="21"/>
        </w:rPr>
        <w:t xml:space="preserve"> </w:t>
      </w:r>
      <w:r>
        <w:rPr>
          <w:rFonts w:ascii="宋体" w:hAnsi="宋体" w:eastAsia="宋体" w:cs="宋体"/>
          <w:spacing w:val="-13"/>
          <w:sz w:val="21"/>
          <w:szCs w:val="21"/>
        </w:rPr>
        <w:t>页 共</w:t>
      </w:r>
      <w:r>
        <w:rPr>
          <w:rFonts w:ascii="宋体" w:hAnsi="宋体" w:eastAsia="宋体" w:cs="宋体"/>
          <w:spacing w:val="9"/>
          <w:sz w:val="21"/>
          <w:szCs w:val="21"/>
        </w:rPr>
        <w:t xml:space="preserve"> </w:t>
      </w:r>
      <w:r>
        <w:rPr>
          <w:rFonts w:ascii="宋体" w:hAnsi="宋体" w:eastAsia="宋体" w:cs="宋体"/>
          <w:spacing w:val="-13"/>
          <w:sz w:val="21"/>
          <w:szCs w:val="21"/>
        </w:rPr>
        <w:t>页</w:t>
      </w:r>
    </w:p>
    <w:p w14:paraId="1BAA8F5F">
      <w:pPr>
        <w:spacing w:line="186" w:lineRule="auto"/>
        <w:rPr>
          <w:rFonts w:ascii="宋体" w:hAnsi="宋体" w:eastAsia="宋体" w:cs="宋体"/>
          <w:sz w:val="21"/>
          <w:szCs w:val="21"/>
        </w:rPr>
        <w:sectPr>
          <w:type w:val="continuous"/>
          <w:pgSz w:w="11905" w:h="16839"/>
          <w:pgMar w:top="400" w:right="1785" w:bottom="1004" w:left="1785" w:header="0" w:footer="828" w:gutter="0"/>
          <w:pgNumType w:fmt="decimal"/>
          <w:cols w:equalWidth="0" w:num="2">
            <w:col w:w="2234" w:space="100"/>
            <w:col w:w="6000"/>
          </w:cols>
        </w:sectPr>
      </w:pPr>
    </w:p>
    <w:p w14:paraId="1626D31D">
      <w:pPr>
        <w:spacing w:line="32" w:lineRule="exact"/>
      </w:pPr>
    </w:p>
    <w:tbl>
      <w:tblPr>
        <w:tblStyle w:val="10"/>
        <w:tblW w:w="8311"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52"/>
        <w:gridCol w:w="1468"/>
        <w:gridCol w:w="595"/>
        <w:gridCol w:w="686"/>
        <w:gridCol w:w="864"/>
        <w:gridCol w:w="907"/>
        <w:gridCol w:w="1248"/>
        <w:gridCol w:w="1382"/>
        <w:gridCol w:w="609"/>
      </w:tblGrid>
      <w:tr w14:paraId="41CBA7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97" w:hRule="atLeast"/>
        </w:trPr>
        <w:tc>
          <w:tcPr>
            <w:tcW w:w="552" w:type="dxa"/>
            <w:textDirection w:val="tbRlV"/>
            <w:vAlign w:val="top"/>
          </w:tcPr>
          <w:p w14:paraId="7685FC26">
            <w:pPr>
              <w:pStyle w:val="11"/>
              <w:spacing w:before="167" w:line="211" w:lineRule="auto"/>
              <w:ind w:left="202"/>
            </w:pPr>
            <w:r>
              <w:rPr>
                <w:spacing w:val="1"/>
              </w:rPr>
              <w:t>序</w:t>
            </w:r>
            <w:r>
              <w:rPr>
                <w:spacing w:val="-43"/>
              </w:rPr>
              <w:t xml:space="preserve"> </w:t>
            </w:r>
            <w:r>
              <w:rPr>
                <w:spacing w:val="1"/>
              </w:rPr>
              <w:t>号</w:t>
            </w:r>
          </w:p>
        </w:tc>
        <w:tc>
          <w:tcPr>
            <w:tcW w:w="1468" w:type="dxa"/>
            <w:vAlign w:val="top"/>
          </w:tcPr>
          <w:p w14:paraId="63CBC25F">
            <w:pPr>
              <w:pStyle w:val="11"/>
              <w:spacing w:before="201" w:line="241" w:lineRule="auto"/>
              <w:ind w:left="318"/>
            </w:pPr>
            <w:r>
              <w:rPr>
                <w:spacing w:val="-2"/>
              </w:rPr>
              <w:t>名称、规</w:t>
            </w:r>
          </w:p>
          <w:p w14:paraId="3AA828BD">
            <w:pPr>
              <w:pStyle w:val="11"/>
              <w:spacing w:line="220" w:lineRule="auto"/>
              <w:ind w:left="315"/>
            </w:pPr>
            <w:r>
              <w:rPr>
                <w:spacing w:val="-1"/>
              </w:rPr>
              <w:t>格、型号</w:t>
            </w:r>
          </w:p>
        </w:tc>
        <w:tc>
          <w:tcPr>
            <w:tcW w:w="595" w:type="dxa"/>
            <w:textDirection w:val="tbRlV"/>
            <w:vAlign w:val="top"/>
          </w:tcPr>
          <w:p w14:paraId="27396507">
            <w:pPr>
              <w:pStyle w:val="11"/>
              <w:spacing w:before="195" w:line="209" w:lineRule="auto"/>
              <w:ind w:left="202"/>
            </w:pPr>
            <w:r>
              <w:rPr>
                <w:spacing w:val="1"/>
              </w:rPr>
              <w:t>单</w:t>
            </w:r>
            <w:r>
              <w:rPr>
                <w:spacing w:val="-43"/>
              </w:rPr>
              <w:t xml:space="preserve"> </w:t>
            </w:r>
            <w:r>
              <w:rPr>
                <w:spacing w:val="1"/>
              </w:rPr>
              <w:t>位</w:t>
            </w:r>
          </w:p>
        </w:tc>
        <w:tc>
          <w:tcPr>
            <w:tcW w:w="686" w:type="dxa"/>
            <w:vAlign w:val="top"/>
          </w:tcPr>
          <w:p w14:paraId="3E1D15C8">
            <w:pPr>
              <w:spacing w:line="271" w:lineRule="auto"/>
              <w:rPr>
                <w:rFonts w:ascii="Arial"/>
                <w:sz w:val="21"/>
              </w:rPr>
            </w:pPr>
          </w:p>
          <w:p w14:paraId="19D3E0EE">
            <w:pPr>
              <w:pStyle w:val="11"/>
              <w:spacing w:before="68" w:line="221" w:lineRule="auto"/>
              <w:ind w:left="141"/>
            </w:pPr>
            <w:r>
              <w:rPr>
                <w:spacing w:val="-2"/>
              </w:rPr>
              <w:t>数量</w:t>
            </w:r>
          </w:p>
        </w:tc>
        <w:tc>
          <w:tcPr>
            <w:tcW w:w="864" w:type="dxa"/>
            <w:vAlign w:val="top"/>
          </w:tcPr>
          <w:p w14:paraId="70EBF7AF">
            <w:pPr>
              <w:pStyle w:val="11"/>
              <w:spacing w:before="67"/>
              <w:ind w:left="146" w:right="140" w:firstLine="85"/>
              <w:jc w:val="both"/>
            </w:pPr>
            <w:r>
              <w:rPr>
                <w:spacing w:val="-4"/>
              </w:rPr>
              <w:t>风险</w:t>
            </w:r>
            <w:r>
              <w:t xml:space="preserve"> </w:t>
            </w:r>
            <w:r>
              <w:rPr>
                <w:spacing w:val="39"/>
              </w:rPr>
              <w:t>系数</w:t>
            </w:r>
            <w:r>
              <w:t xml:space="preserve"> </w:t>
            </w:r>
            <w:r>
              <w:rPr>
                <w:spacing w:val="-8"/>
              </w:rPr>
              <w:t>（</w:t>
            </w:r>
            <w:r>
              <w:rPr>
                <w:rFonts w:ascii="Times New Roman" w:hAnsi="Times New Roman" w:eastAsia="Times New Roman" w:cs="Times New Roman"/>
                <w:spacing w:val="-8"/>
              </w:rPr>
              <w:t>%</w:t>
            </w:r>
            <w:r>
              <w:rPr>
                <w:spacing w:val="-8"/>
              </w:rPr>
              <w:t>）</w:t>
            </w:r>
          </w:p>
        </w:tc>
        <w:tc>
          <w:tcPr>
            <w:tcW w:w="907" w:type="dxa"/>
            <w:vAlign w:val="top"/>
          </w:tcPr>
          <w:p w14:paraId="6086B5F0">
            <w:pPr>
              <w:pStyle w:val="11"/>
              <w:spacing w:before="66" w:line="233" w:lineRule="auto"/>
              <w:ind w:left="152" w:right="145" w:firstLine="99"/>
              <w:jc w:val="both"/>
            </w:pPr>
            <w:r>
              <w:rPr>
                <w:spacing w:val="-3"/>
              </w:rPr>
              <w:t>基准</w:t>
            </w:r>
            <w:r>
              <w:t xml:space="preserve">  </w:t>
            </w:r>
            <w:r>
              <w:rPr>
                <w:spacing w:val="46"/>
              </w:rPr>
              <w:t>单价</w:t>
            </w:r>
            <w:r>
              <w:t xml:space="preserve">  </w:t>
            </w:r>
            <w:r>
              <w:rPr>
                <w:spacing w:val="-9"/>
              </w:rPr>
              <w:t>（元）</w:t>
            </w:r>
          </w:p>
        </w:tc>
        <w:tc>
          <w:tcPr>
            <w:tcW w:w="1248" w:type="dxa"/>
            <w:vAlign w:val="top"/>
          </w:tcPr>
          <w:p w14:paraId="1A5669DF">
            <w:pPr>
              <w:pStyle w:val="11"/>
              <w:spacing w:before="202" w:line="231" w:lineRule="auto"/>
              <w:ind w:left="325" w:right="192" w:hanging="109"/>
            </w:pPr>
            <w:r>
              <w:rPr>
                <w:spacing w:val="-2"/>
              </w:rPr>
              <w:t>投标单价</w:t>
            </w:r>
            <w:r>
              <w:rPr>
                <w:spacing w:val="1"/>
              </w:rPr>
              <w:t xml:space="preserve"> </w:t>
            </w:r>
            <w:r>
              <w:rPr>
                <w:spacing w:val="-6"/>
              </w:rPr>
              <w:t>（元）</w:t>
            </w:r>
          </w:p>
        </w:tc>
        <w:tc>
          <w:tcPr>
            <w:tcW w:w="1382" w:type="dxa"/>
            <w:vAlign w:val="top"/>
          </w:tcPr>
          <w:p w14:paraId="6AA4735C">
            <w:pPr>
              <w:pStyle w:val="11"/>
              <w:spacing w:before="67" w:line="230" w:lineRule="auto"/>
              <w:ind w:left="386" w:right="153" w:hanging="207"/>
            </w:pPr>
            <w:r>
              <w:rPr>
                <w:spacing w:val="-2"/>
              </w:rPr>
              <w:t>发承包人确</w:t>
            </w:r>
            <w:r>
              <w:rPr>
                <w:spacing w:val="3"/>
              </w:rPr>
              <w:t xml:space="preserve"> </w:t>
            </w:r>
            <w:r>
              <w:rPr>
                <w:spacing w:val="-2"/>
              </w:rPr>
              <w:t>认单价</w:t>
            </w:r>
          </w:p>
          <w:p w14:paraId="570656E0">
            <w:pPr>
              <w:pStyle w:val="11"/>
              <w:spacing w:before="19" w:line="221" w:lineRule="auto"/>
              <w:ind w:left="393"/>
            </w:pPr>
            <w:r>
              <w:rPr>
                <w:spacing w:val="-6"/>
              </w:rPr>
              <w:t>（元）</w:t>
            </w:r>
          </w:p>
        </w:tc>
        <w:tc>
          <w:tcPr>
            <w:tcW w:w="609" w:type="dxa"/>
            <w:textDirection w:val="tbRlV"/>
            <w:vAlign w:val="top"/>
          </w:tcPr>
          <w:p w14:paraId="7F66FC61">
            <w:pPr>
              <w:pStyle w:val="11"/>
              <w:spacing w:before="195" w:line="210" w:lineRule="auto"/>
              <w:ind w:left="202"/>
            </w:pPr>
            <w:r>
              <w:rPr>
                <w:spacing w:val="1"/>
              </w:rPr>
              <w:t>备</w:t>
            </w:r>
            <w:r>
              <w:rPr>
                <w:spacing w:val="-43"/>
              </w:rPr>
              <w:t xml:space="preserve"> </w:t>
            </w:r>
            <w:r>
              <w:rPr>
                <w:spacing w:val="1"/>
              </w:rPr>
              <w:t>注</w:t>
            </w:r>
          </w:p>
        </w:tc>
      </w:tr>
      <w:tr w14:paraId="0DA395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73" w:hRule="atLeast"/>
        </w:trPr>
        <w:tc>
          <w:tcPr>
            <w:tcW w:w="552" w:type="dxa"/>
            <w:vAlign w:val="top"/>
          </w:tcPr>
          <w:p w14:paraId="6A61211A">
            <w:pPr>
              <w:rPr>
                <w:rFonts w:ascii="Arial"/>
                <w:sz w:val="21"/>
              </w:rPr>
            </w:pPr>
          </w:p>
        </w:tc>
        <w:tc>
          <w:tcPr>
            <w:tcW w:w="1468" w:type="dxa"/>
            <w:vAlign w:val="top"/>
          </w:tcPr>
          <w:p w14:paraId="53345772">
            <w:pPr>
              <w:rPr>
                <w:rFonts w:ascii="Arial"/>
                <w:sz w:val="21"/>
              </w:rPr>
            </w:pPr>
          </w:p>
        </w:tc>
        <w:tc>
          <w:tcPr>
            <w:tcW w:w="595" w:type="dxa"/>
            <w:vAlign w:val="top"/>
          </w:tcPr>
          <w:p w14:paraId="0A577AFF">
            <w:pPr>
              <w:rPr>
                <w:rFonts w:ascii="Arial"/>
                <w:sz w:val="21"/>
              </w:rPr>
            </w:pPr>
          </w:p>
        </w:tc>
        <w:tc>
          <w:tcPr>
            <w:tcW w:w="686" w:type="dxa"/>
            <w:vAlign w:val="top"/>
          </w:tcPr>
          <w:p w14:paraId="04F39A7A">
            <w:pPr>
              <w:rPr>
                <w:rFonts w:ascii="Arial"/>
                <w:sz w:val="21"/>
              </w:rPr>
            </w:pPr>
          </w:p>
        </w:tc>
        <w:tc>
          <w:tcPr>
            <w:tcW w:w="864" w:type="dxa"/>
            <w:vAlign w:val="top"/>
          </w:tcPr>
          <w:p w14:paraId="3F614D97">
            <w:pPr>
              <w:rPr>
                <w:rFonts w:ascii="Arial"/>
                <w:sz w:val="21"/>
              </w:rPr>
            </w:pPr>
          </w:p>
        </w:tc>
        <w:tc>
          <w:tcPr>
            <w:tcW w:w="907" w:type="dxa"/>
            <w:vAlign w:val="top"/>
          </w:tcPr>
          <w:p w14:paraId="63D2E652">
            <w:pPr>
              <w:rPr>
                <w:rFonts w:ascii="Arial"/>
                <w:sz w:val="21"/>
              </w:rPr>
            </w:pPr>
          </w:p>
        </w:tc>
        <w:tc>
          <w:tcPr>
            <w:tcW w:w="1248" w:type="dxa"/>
            <w:vAlign w:val="top"/>
          </w:tcPr>
          <w:p w14:paraId="7D4FEDBC">
            <w:pPr>
              <w:rPr>
                <w:rFonts w:ascii="Arial"/>
                <w:sz w:val="21"/>
              </w:rPr>
            </w:pPr>
          </w:p>
        </w:tc>
        <w:tc>
          <w:tcPr>
            <w:tcW w:w="1382" w:type="dxa"/>
            <w:vAlign w:val="top"/>
          </w:tcPr>
          <w:p w14:paraId="0F1E48A2">
            <w:pPr>
              <w:rPr>
                <w:rFonts w:ascii="Arial"/>
                <w:sz w:val="21"/>
              </w:rPr>
            </w:pPr>
          </w:p>
        </w:tc>
        <w:tc>
          <w:tcPr>
            <w:tcW w:w="609" w:type="dxa"/>
            <w:vAlign w:val="top"/>
          </w:tcPr>
          <w:p w14:paraId="154D0F31">
            <w:pPr>
              <w:rPr>
                <w:rFonts w:ascii="Arial"/>
                <w:sz w:val="21"/>
              </w:rPr>
            </w:pPr>
          </w:p>
        </w:tc>
      </w:tr>
      <w:tr w14:paraId="0AECD4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73" w:hRule="atLeast"/>
        </w:trPr>
        <w:tc>
          <w:tcPr>
            <w:tcW w:w="552" w:type="dxa"/>
            <w:vAlign w:val="top"/>
          </w:tcPr>
          <w:p w14:paraId="5B592F0A">
            <w:pPr>
              <w:rPr>
                <w:rFonts w:ascii="Arial"/>
                <w:sz w:val="21"/>
              </w:rPr>
            </w:pPr>
          </w:p>
        </w:tc>
        <w:tc>
          <w:tcPr>
            <w:tcW w:w="1468" w:type="dxa"/>
            <w:vAlign w:val="top"/>
          </w:tcPr>
          <w:p w14:paraId="4A9E96E7">
            <w:pPr>
              <w:rPr>
                <w:rFonts w:ascii="Arial"/>
                <w:sz w:val="21"/>
              </w:rPr>
            </w:pPr>
          </w:p>
        </w:tc>
        <w:tc>
          <w:tcPr>
            <w:tcW w:w="595" w:type="dxa"/>
            <w:vAlign w:val="top"/>
          </w:tcPr>
          <w:p w14:paraId="69AF6636">
            <w:pPr>
              <w:rPr>
                <w:rFonts w:ascii="Arial"/>
                <w:sz w:val="21"/>
              </w:rPr>
            </w:pPr>
          </w:p>
        </w:tc>
        <w:tc>
          <w:tcPr>
            <w:tcW w:w="686" w:type="dxa"/>
            <w:vAlign w:val="top"/>
          </w:tcPr>
          <w:p w14:paraId="17AB5C01">
            <w:pPr>
              <w:rPr>
                <w:rFonts w:ascii="Arial"/>
                <w:sz w:val="21"/>
              </w:rPr>
            </w:pPr>
          </w:p>
        </w:tc>
        <w:tc>
          <w:tcPr>
            <w:tcW w:w="864" w:type="dxa"/>
            <w:vAlign w:val="top"/>
          </w:tcPr>
          <w:p w14:paraId="463EA906">
            <w:pPr>
              <w:rPr>
                <w:rFonts w:ascii="Arial"/>
                <w:sz w:val="21"/>
              </w:rPr>
            </w:pPr>
          </w:p>
        </w:tc>
        <w:tc>
          <w:tcPr>
            <w:tcW w:w="907" w:type="dxa"/>
            <w:vAlign w:val="top"/>
          </w:tcPr>
          <w:p w14:paraId="733E6460">
            <w:pPr>
              <w:rPr>
                <w:rFonts w:ascii="Arial"/>
                <w:sz w:val="21"/>
              </w:rPr>
            </w:pPr>
          </w:p>
        </w:tc>
        <w:tc>
          <w:tcPr>
            <w:tcW w:w="1248" w:type="dxa"/>
            <w:vAlign w:val="top"/>
          </w:tcPr>
          <w:p w14:paraId="63190504">
            <w:pPr>
              <w:rPr>
                <w:rFonts w:ascii="Arial"/>
                <w:sz w:val="21"/>
              </w:rPr>
            </w:pPr>
          </w:p>
        </w:tc>
        <w:tc>
          <w:tcPr>
            <w:tcW w:w="1382" w:type="dxa"/>
            <w:vAlign w:val="top"/>
          </w:tcPr>
          <w:p w14:paraId="4430AB03">
            <w:pPr>
              <w:rPr>
                <w:rFonts w:ascii="Arial"/>
                <w:sz w:val="21"/>
              </w:rPr>
            </w:pPr>
          </w:p>
        </w:tc>
        <w:tc>
          <w:tcPr>
            <w:tcW w:w="609" w:type="dxa"/>
            <w:vAlign w:val="top"/>
          </w:tcPr>
          <w:p w14:paraId="6ABC3259">
            <w:pPr>
              <w:rPr>
                <w:rFonts w:ascii="Arial"/>
                <w:sz w:val="21"/>
              </w:rPr>
            </w:pPr>
          </w:p>
        </w:tc>
      </w:tr>
      <w:tr w14:paraId="336245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78" w:hRule="atLeast"/>
        </w:trPr>
        <w:tc>
          <w:tcPr>
            <w:tcW w:w="552" w:type="dxa"/>
            <w:vAlign w:val="top"/>
          </w:tcPr>
          <w:p w14:paraId="5A8DE2D1">
            <w:pPr>
              <w:rPr>
                <w:rFonts w:ascii="Arial"/>
                <w:sz w:val="21"/>
              </w:rPr>
            </w:pPr>
          </w:p>
        </w:tc>
        <w:tc>
          <w:tcPr>
            <w:tcW w:w="1468" w:type="dxa"/>
            <w:vAlign w:val="top"/>
          </w:tcPr>
          <w:p w14:paraId="5E6610DF">
            <w:pPr>
              <w:rPr>
                <w:rFonts w:ascii="Arial"/>
                <w:sz w:val="21"/>
              </w:rPr>
            </w:pPr>
          </w:p>
        </w:tc>
        <w:tc>
          <w:tcPr>
            <w:tcW w:w="595" w:type="dxa"/>
            <w:vAlign w:val="top"/>
          </w:tcPr>
          <w:p w14:paraId="7D55415E">
            <w:pPr>
              <w:rPr>
                <w:rFonts w:ascii="Arial"/>
                <w:sz w:val="21"/>
              </w:rPr>
            </w:pPr>
          </w:p>
        </w:tc>
        <w:tc>
          <w:tcPr>
            <w:tcW w:w="686" w:type="dxa"/>
            <w:vAlign w:val="top"/>
          </w:tcPr>
          <w:p w14:paraId="7309B81E">
            <w:pPr>
              <w:rPr>
                <w:rFonts w:ascii="Arial"/>
                <w:sz w:val="21"/>
              </w:rPr>
            </w:pPr>
          </w:p>
        </w:tc>
        <w:tc>
          <w:tcPr>
            <w:tcW w:w="864" w:type="dxa"/>
            <w:vAlign w:val="top"/>
          </w:tcPr>
          <w:p w14:paraId="4C41EF8D">
            <w:pPr>
              <w:rPr>
                <w:rFonts w:ascii="Arial"/>
                <w:sz w:val="21"/>
              </w:rPr>
            </w:pPr>
          </w:p>
        </w:tc>
        <w:tc>
          <w:tcPr>
            <w:tcW w:w="907" w:type="dxa"/>
            <w:vAlign w:val="top"/>
          </w:tcPr>
          <w:p w14:paraId="4D0B4944">
            <w:pPr>
              <w:rPr>
                <w:rFonts w:ascii="Arial"/>
                <w:sz w:val="21"/>
              </w:rPr>
            </w:pPr>
          </w:p>
        </w:tc>
        <w:tc>
          <w:tcPr>
            <w:tcW w:w="1248" w:type="dxa"/>
            <w:vAlign w:val="top"/>
          </w:tcPr>
          <w:p w14:paraId="70DF58A7">
            <w:pPr>
              <w:rPr>
                <w:rFonts w:ascii="Arial"/>
                <w:sz w:val="21"/>
              </w:rPr>
            </w:pPr>
          </w:p>
        </w:tc>
        <w:tc>
          <w:tcPr>
            <w:tcW w:w="1382" w:type="dxa"/>
            <w:vAlign w:val="top"/>
          </w:tcPr>
          <w:p w14:paraId="729B2E96">
            <w:pPr>
              <w:rPr>
                <w:rFonts w:ascii="Arial"/>
                <w:sz w:val="21"/>
              </w:rPr>
            </w:pPr>
          </w:p>
        </w:tc>
        <w:tc>
          <w:tcPr>
            <w:tcW w:w="609" w:type="dxa"/>
            <w:vAlign w:val="top"/>
          </w:tcPr>
          <w:p w14:paraId="081E547A">
            <w:pPr>
              <w:rPr>
                <w:rFonts w:ascii="Arial"/>
                <w:sz w:val="21"/>
              </w:rPr>
            </w:pPr>
          </w:p>
        </w:tc>
      </w:tr>
      <w:tr w14:paraId="7ED8CC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73" w:hRule="atLeast"/>
        </w:trPr>
        <w:tc>
          <w:tcPr>
            <w:tcW w:w="552" w:type="dxa"/>
            <w:vAlign w:val="top"/>
          </w:tcPr>
          <w:p w14:paraId="7984283E">
            <w:pPr>
              <w:rPr>
                <w:rFonts w:ascii="Arial"/>
                <w:sz w:val="21"/>
              </w:rPr>
            </w:pPr>
          </w:p>
        </w:tc>
        <w:tc>
          <w:tcPr>
            <w:tcW w:w="1468" w:type="dxa"/>
            <w:vAlign w:val="top"/>
          </w:tcPr>
          <w:p w14:paraId="2D884756">
            <w:pPr>
              <w:rPr>
                <w:rFonts w:ascii="Arial"/>
                <w:sz w:val="21"/>
              </w:rPr>
            </w:pPr>
          </w:p>
        </w:tc>
        <w:tc>
          <w:tcPr>
            <w:tcW w:w="595" w:type="dxa"/>
            <w:vAlign w:val="top"/>
          </w:tcPr>
          <w:p w14:paraId="4E01C1DA">
            <w:pPr>
              <w:rPr>
                <w:rFonts w:ascii="Arial"/>
                <w:sz w:val="21"/>
              </w:rPr>
            </w:pPr>
          </w:p>
        </w:tc>
        <w:tc>
          <w:tcPr>
            <w:tcW w:w="686" w:type="dxa"/>
            <w:vAlign w:val="top"/>
          </w:tcPr>
          <w:p w14:paraId="5B1D8FF2">
            <w:pPr>
              <w:rPr>
                <w:rFonts w:ascii="Arial"/>
                <w:sz w:val="21"/>
              </w:rPr>
            </w:pPr>
          </w:p>
        </w:tc>
        <w:tc>
          <w:tcPr>
            <w:tcW w:w="864" w:type="dxa"/>
            <w:vAlign w:val="top"/>
          </w:tcPr>
          <w:p w14:paraId="4204F018">
            <w:pPr>
              <w:rPr>
                <w:rFonts w:ascii="Arial"/>
                <w:sz w:val="21"/>
              </w:rPr>
            </w:pPr>
          </w:p>
        </w:tc>
        <w:tc>
          <w:tcPr>
            <w:tcW w:w="907" w:type="dxa"/>
            <w:vAlign w:val="top"/>
          </w:tcPr>
          <w:p w14:paraId="26F44C11">
            <w:pPr>
              <w:rPr>
                <w:rFonts w:ascii="Arial"/>
                <w:sz w:val="21"/>
              </w:rPr>
            </w:pPr>
          </w:p>
        </w:tc>
        <w:tc>
          <w:tcPr>
            <w:tcW w:w="1248" w:type="dxa"/>
            <w:vAlign w:val="top"/>
          </w:tcPr>
          <w:p w14:paraId="56159D6E">
            <w:pPr>
              <w:rPr>
                <w:rFonts w:ascii="Arial"/>
                <w:sz w:val="21"/>
              </w:rPr>
            </w:pPr>
          </w:p>
        </w:tc>
        <w:tc>
          <w:tcPr>
            <w:tcW w:w="1382" w:type="dxa"/>
            <w:vAlign w:val="top"/>
          </w:tcPr>
          <w:p w14:paraId="2A730AE7">
            <w:pPr>
              <w:rPr>
                <w:rFonts w:ascii="Arial"/>
                <w:sz w:val="21"/>
              </w:rPr>
            </w:pPr>
          </w:p>
        </w:tc>
        <w:tc>
          <w:tcPr>
            <w:tcW w:w="609" w:type="dxa"/>
            <w:vAlign w:val="top"/>
          </w:tcPr>
          <w:p w14:paraId="7F11027D">
            <w:pPr>
              <w:rPr>
                <w:rFonts w:ascii="Arial"/>
                <w:sz w:val="21"/>
              </w:rPr>
            </w:pPr>
          </w:p>
        </w:tc>
      </w:tr>
      <w:tr w14:paraId="260BB8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74" w:hRule="atLeast"/>
        </w:trPr>
        <w:tc>
          <w:tcPr>
            <w:tcW w:w="552" w:type="dxa"/>
            <w:vAlign w:val="top"/>
          </w:tcPr>
          <w:p w14:paraId="303B0B50">
            <w:pPr>
              <w:rPr>
                <w:rFonts w:ascii="Arial"/>
                <w:sz w:val="21"/>
              </w:rPr>
            </w:pPr>
          </w:p>
        </w:tc>
        <w:tc>
          <w:tcPr>
            <w:tcW w:w="1468" w:type="dxa"/>
            <w:vAlign w:val="top"/>
          </w:tcPr>
          <w:p w14:paraId="56B04A5A">
            <w:pPr>
              <w:rPr>
                <w:rFonts w:ascii="Arial"/>
                <w:sz w:val="21"/>
              </w:rPr>
            </w:pPr>
          </w:p>
        </w:tc>
        <w:tc>
          <w:tcPr>
            <w:tcW w:w="595" w:type="dxa"/>
            <w:vAlign w:val="top"/>
          </w:tcPr>
          <w:p w14:paraId="7A850DBF">
            <w:pPr>
              <w:rPr>
                <w:rFonts w:ascii="Arial"/>
                <w:sz w:val="21"/>
              </w:rPr>
            </w:pPr>
          </w:p>
        </w:tc>
        <w:tc>
          <w:tcPr>
            <w:tcW w:w="686" w:type="dxa"/>
            <w:vAlign w:val="top"/>
          </w:tcPr>
          <w:p w14:paraId="67CC18A6">
            <w:pPr>
              <w:rPr>
                <w:rFonts w:ascii="Arial"/>
                <w:sz w:val="21"/>
              </w:rPr>
            </w:pPr>
          </w:p>
        </w:tc>
        <w:tc>
          <w:tcPr>
            <w:tcW w:w="864" w:type="dxa"/>
            <w:vAlign w:val="top"/>
          </w:tcPr>
          <w:p w14:paraId="34900FE0">
            <w:pPr>
              <w:rPr>
                <w:rFonts w:ascii="Arial"/>
                <w:sz w:val="21"/>
              </w:rPr>
            </w:pPr>
          </w:p>
        </w:tc>
        <w:tc>
          <w:tcPr>
            <w:tcW w:w="907" w:type="dxa"/>
            <w:vAlign w:val="top"/>
          </w:tcPr>
          <w:p w14:paraId="5140D118">
            <w:pPr>
              <w:rPr>
                <w:rFonts w:ascii="Arial"/>
                <w:sz w:val="21"/>
              </w:rPr>
            </w:pPr>
          </w:p>
        </w:tc>
        <w:tc>
          <w:tcPr>
            <w:tcW w:w="1248" w:type="dxa"/>
            <w:vAlign w:val="top"/>
          </w:tcPr>
          <w:p w14:paraId="13F63A9F">
            <w:pPr>
              <w:rPr>
                <w:rFonts w:ascii="Arial"/>
                <w:sz w:val="21"/>
              </w:rPr>
            </w:pPr>
          </w:p>
        </w:tc>
        <w:tc>
          <w:tcPr>
            <w:tcW w:w="1382" w:type="dxa"/>
            <w:vAlign w:val="top"/>
          </w:tcPr>
          <w:p w14:paraId="761DB745">
            <w:pPr>
              <w:rPr>
                <w:rFonts w:ascii="Arial"/>
                <w:sz w:val="21"/>
              </w:rPr>
            </w:pPr>
          </w:p>
        </w:tc>
        <w:tc>
          <w:tcPr>
            <w:tcW w:w="609" w:type="dxa"/>
            <w:vAlign w:val="top"/>
          </w:tcPr>
          <w:p w14:paraId="23A1FBF0">
            <w:pPr>
              <w:rPr>
                <w:rFonts w:ascii="Arial"/>
                <w:sz w:val="21"/>
              </w:rPr>
            </w:pPr>
          </w:p>
        </w:tc>
      </w:tr>
      <w:tr w14:paraId="5BDE1E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78" w:hRule="atLeast"/>
        </w:trPr>
        <w:tc>
          <w:tcPr>
            <w:tcW w:w="552" w:type="dxa"/>
            <w:vAlign w:val="top"/>
          </w:tcPr>
          <w:p w14:paraId="251BA76F">
            <w:pPr>
              <w:rPr>
                <w:rFonts w:ascii="Arial"/>
                <w:sz w:val="21"/>
              </w:rPr>
            </w:pPr>
          </w:p>
        </w:tc>
        <w:tc>
          <w:tcPr>
            <w:tcW w:w="1468" w:type="dxa"/>
            <w:vAlign w:val="top"/>
          </w:tcPr>
          <w:p w14:paraId="1CE1BD4D">
            <w:pPr>
              <w:rPr>
                <w:rFonts w:ascii="Arial"/>
                <w:sz w:val="21"/>
              </w:rPr>
            </w:pPr>
          </w:p>
        </w:tc>
        <w:tc>
          <w:tcPr>
            <w:tcW w:w="595" w:type="dxa"/>
            <w:vAlign w:val="top"/>
          </w:tcPr>
          <w:p w14:paraId="50D3DD74">
            <w:pPr>
              <w:rPr>
                <w:rFonts w:ascii="Arial"/>
                <w:sz w:val="21"/>
              </w:rPr>
            </w:pPr>
          </w:p>
        </w:tc>
        <w:tc>
          <w:tcPr>
            <w:tcW w:w="686" w:type="dxa"/>
            <w:vAlign w:val="top"/>
          </w:tcPr>
          <w:p w14:paraId="22682F95">
            <w:pPr>
              <w:rPr>
                <w:rFonts w:ascii="Arial"/>
                <w:sz w:val="21"/>
              </w:rPr>
            </w:pPr>
          </w:p>
        </w:tc>
        <w:tc>
          <w:tcPr>
            <w:tcW w:w="864" w:type="dxa"/>
            <w:vAlign w:val="top"/>
          </w:tcPr>
          <w:p w14:paraId="2F3ADB16">
            <w:pPr>
              <w:rPr>
                <w:rFonts w:ascii="Arial"/>
                <w:sz w:val="21"/>
              </w:rPr>
            </w:pPr>
          </w:p>
        </w:tc>
        <w:tc>
          <w:tcPr>
            <w:tcW w:w="907" w:type="dxa"/>
            <w:vAlign w:val="top"/>
          </w:tcPr>
          <w:p w14:paraId="57FF4BDC">
            <w:pPr>
              <w:rPr>
                <w:rFonts w:ascii="Arial"/>
                <w:sz w:val="21"/>
              </w:rPr>
            </w:pPr>
          </w:p>
        </w:tc>
        <w:tc>
          <w:tcPr>
            <w:tcW w:w="1248" w:type="dxa"/>
            <w:vAlign w:val="top"/>
          </w:tcPr>
          <w:p w14:paraId="4FD9FA6B">
            <w:pPr>
              <w:rPr>
                <w:rFonts w:ascii="Arial"/>
                <w:sz w:val="21"/>
              </w:rPr>
            </w:pPr>
          </w:p>
        </w:tc>
        <w:tc>
          <w:tcPr>
            <w:tcW w:w="1382" w:type="dxa"/>
            <w:vAlign w:val="top"/>
          </w:tcPr>
          <w:p w14:paraId="48967B33">
            <w:pPr>
              <w:rPr>
                <w:rFonts w:ascii="Arial"/>
                <w:sz w:val="21"/>
              </w:rPr>
            </w:pPr>
          </w:p>
        </w:tc>
        <w:tc>
          <w:tcPr>
            <w:tcW w:w="609" w:type="dxa"/>
            <w:vAlign w:val="top"/>
          </w:tcPr>
          <w:p w14:paraId="26D4387E">
            <w:pPr>
              <w:rPr>
                <w:rFonts w:ascii="Arial"/>
                <w:sz w:val="21"/>
              </w:rPr>
            </w:pPr>
          </w:p>
        </w:tc>
      </w:tr>
      <w:tr w14:paraId="4D7708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73" w:hRule="atLeast"/>
        </w:trPr>
        <w:tc>
          <w:tcPr>
            <w:tcW w:w="552" w:type="dxa"/>
            <w:vAlign w:val="top"/>
          </w:tcPr>
          <w:p w14:paraId="6DEBD37C">
            <w:pPr>
              <w:rPr>
                <w:rFonts w:ascii="Arial"/>
                <w:sz w:val="21"/>
              </w:rPr>
            </w:pPr>
          </w:p>
        </w:tc>
        <w:tc>
          <w:tcPr>
            <w:tcW w:w="1468" w:type="dxa"/>
            <w:vAlign w:val="top"/>
          </w:tcPr>
          <w:p w14:paraId="7C51C09D">
            <w:pPr>
              <w:rPr>
                <w:rFonts w:ascii="Arial"/>
                <w:sz w:val="21"/>
              </w:rPr>
            </w:pPr>
          </w:p>
        </w:tc>
        <w:tc>
          <w:tcPr>
            <w:tcW w:w="595" w:type="dxa"/>
            <w:vAlign w:val="top"/>
          </w:tcPr>
          <w:p w14:paraId="505FD6F2">
            <w:pPr>
              <w:rPr>
                <w:rFonts w:ascii="Arial"/>
                <w:sz w:val="21"/>
              </w:rPr>
            </w:pPr>
          </w:p>
        </w:tc>
        <w:tc>
          <w:tcPr>
            <w:tcW w:w="686" w:type="dxa"/>
            <w:vAlign w:val="top"/>
          </w:tcPr>
          <w:p w14:paraId="1087B27E">
            <w:pPr>
              <w:rPr>
                <w:rFonts w:ascii="Arial"/>
                <w:sz w:val="21"/>
              </w:rPr>
            </w:pPr>
          </w:p>
        </w:tc>
        <w:tc>
          <w:tcPr>
            <w:tcW w:w="864" w:type="dxa"/>
            <w:vAlign w:val="top"/>
          </w:tcPr>
          <w:p w14:paraId="61B56E10">
            <w:pPr>
              <w:rPr>
                <w:rFonts w:ascii="Arial"/>
                <w:sz w:val="21"/>
              </w:rPr>
            </w:pPr>
          </w:p>
        </w:tc>
        <w:tc>
          <w:tcPr>
            <w:tcW w:w="907" w:type="dxa"/>
            <w:vAlign w:val="top"/>
          </w:tcPr>
          <w:p w14:paraId="459B65FC">
            <w:pPr>
              <w:rPr>
                <w:rFonts w:ascii="Arial"/>
                <w:sz w:val="21"/>
              </w:rPr>
            </w:pPr>
          </w:p>
        </w:tc>
        <w:tc>
          <w:tcPr>
            <w:tcW w:w="1248" w:type="dxa"/>
            <w:vAlign w:val="top"/>
          </w:tcPr>
          <w:p w14:paraId="7DCE7418">
            <w:pPr>
              <w:rPr>
                <w:rFonts w:ascii="Arial"/>
                <w:sz w:val="21"/>
              </w:rPr>
            </w:pPr>
          </w:p>
        </w:tc>
        <w:tc>
          <w:tcPr>
            <w:tcW w:w="1382" w:type="dxa"/>
            <w:vAlign w:val="top"/>
          </w:tcPr>
          <w:p w14:paraId="572152D3">
            <w:pPr>
              <w:rPr>
                <w:rFonts w:ascii="Arial"/>
                <w:sz w:val="21"/>
              </w:rPr>
            </w:pPr>
          </w:p>
        </w:tc>
        <w:tc>
          <w:tcPr>
            <w:tcW w:w="609" w:type="dxa"/>
            <w:vAlign w:val="top"/>
          </w:tcPr>
          <w:p w14:paraId="1CBDF4D4">
            <w:pPr>
              <w:rPr>
                <w:rFonts w:ascii="Arial"/>
                <w:sz w:val="21"/>
              </w:rPr>
            </w:pPr>
          </w:p>
        </w:tc>
      </w:tr>
      <w:tr w14:paraId="602745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73" w:hRule="atLeast"/>
        </w:trPr>
        <w:tc>
          <w:tcPr>
            <w:tcW w:w="552" w:type="dxa"/>
            <w:vAlign w:val="top"/>
          </w:tcPr>
          <w:p w14:paraId="74F1D707">
            <w:pPr>
              <w:rPr>
                <w:rFonts w:ascii="Arial"/>
                <w:sz w:val="21"/>
              </w:rPr>
            </w:pPr>
          </w:p>
        </w:tc>
        <w:tc>
          <w:tcPr>
            <w:tcW w:w="1468" w:type="dxa"/>
            <w:vAlign w:val="top"/>
          </w:tcPr>
          <w:p w14:paraId="4D33F718">
            <w:pPr>
              <w:rPr>
                <w:rFonts w:ascii="Arial"/>
                <w:sz w:val="21"/>
              </w:rPr>
            </w:pPr>
          </w:p>
        </w:tc>
        <w:tc>
          <w:tcPr>
            <w:tcW w:w="595" w:type="dxa"/>
            <w:vAlign w:val="top"/>
          </w:tcPr>
          <w:p w14:paraId="03F090BE">
            <w:pPr>
              <w:rPr>
                <w:rFonts w:ascii="Arial"/>
                <w:sz w:val="21"/>
              </w:rPr>
            </w:pPr>
          </w:p>
        </w:tc>
        <w:tc>
          <w:tcPr>
            <w:tcW w:w="686" w:type="dxa"/>
            <w:vAlign w:val="top"/>
          </w:tcPr>
          <w:p w14:paraId="3C00B06D">
            <w:pPr>
              <w:rPr>
                <w:rFonts w:ascii="Arial"/>
                <w:sz w:val="21"/>
              </w:rPr>
            </w:pPr>
          </w:p>
        </w:tc>
        <w:tc>
          <w:tcPr>
            <w:tcW w:w="864" w:type="dxa"/>
            <w:vAlign w:val="top"/>
          </w:tcPr>
          <w:p w14:paraId="12252615">
            <w:pPr>
              <w:rPr>
                <w:rFonts w:ascii="Arial"/>
                <w:sz w:val="21"/>
              </w:rPr>
            </w:pPr>
          </w:p>
        </w:tc>
        <w:tc>
          <w:tcPr>
            <w:tcW w:w="907" w:type="dxa"/>
            <w:vAlign w:val="top"/>
          </w:tcPr>
          <w:p w14:paraId="7E478836">
            <w:pPr>
              <w:rPr>
                <w:rFonts w:ascii="Arial"/>
                <w:sz w:val="21"/>
              </w:rPr>
            </w:pPr>
          </w:p>
        </w:tc>
        <w:tc>
          <w:tcPr>
            <w:tcW w:w="1248" w:type="dxa"/>
            <w:vAlign w:val="top"/>
          </w:tcPr>
          <w:p w14:paraId="3E17BB3C">
            <w:pPr>
              <w:rPr>
                <w:rFonts w:ascii="Arial"/>
                <w:sz w:val="21"/>
              </w:rPr>
            </w:pPr>
          </w:p>
        </w:tc>
        <w:tc>
          <w:tcPr>
            <w:tcW w:w="1382" w:type="dxa"/>
            <w:vAlign w:val="top"/>
          </w:tcPr>
          <w:p w14:paraId="4299C7AE">
            <w:pPr>
              <w:rPr>
                <w:rFonts w:ascii="Arial"/>
                <w:sz w:val="21"/>
              </w:rPr>
            </w:pPr>
          </w:p>
        </w:tc>
        <w:tc>
          <w:tcPr>
            <w:tcW w:w="609" w:type="dxa"/>
            <w:vAlign w:val="top"/>
          </w:tcPr>
          <w:p w14:paraId="0A8087EA">
            <w:pPr>
              <w:rPr>
                <w:rFonts w:ascii="Arial"/>
                <w:sz w:val="21"/>
              </w:rPr>
            </w:pPr>
          </w:p>
        </w:tc>
      </w:tr>
      <w:tr w14:paraId="470103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78" w:hRule="atLeast"/>
        </w:trPr>
        <w:tc>
          <w:tcPr>
            <w:tcW w:w="552" w:type="dxa"/>
            <w:vAlign w:val="top"/>
          </w:tcPr>
          <w:p w14:paraId="112949D1">
            <w:pPr>
              <w:rPr>
                <w:rFonts w:ascii="Arial"/>
                <w:sz w:val="21"/>
              </w:rPr>
            </w:pPr>
          </w:p>
        </w:tc>
        <w:tc>
          <w:tcPr>
            <w:tcW w:w="1468" w:type="dxa"/>
            <w:vAlign w:val="top"/>
          </w:tcPr>
          <w:p w14:paraId="4D840536">
            <w:pPr>
              <w:rPr>
                <w:rFonts w:ascii="Arial"/>
                <w:sz w:val="21"/>
              </w:rPr>
            </w:pPr>
          </w:p>
        </w:tc>
        <w:tc>
          <w:tcPr>
            <w:tcW w:w="595" w:type="dxa"/>
            <w:vAlign w:val="top"/>
          </w:tcPr>
          <w:p w14:paraId="72E0B5C1">
            <w:pPr>
              <w:rPr>
                <w:rFonts w:ascii="Arial"/>
                <w:sz w:val="21"/>
              </w:rPr>
            </w:pPr>
          </w:p>
        </w:tc>
        <w:tc>
          <w:tcPr>
            <w:tcW w:w="686" w:type="dxa"/>
            <w:vAlign w:val="top"/>
          </w:tcPr>
          <w:p w14:paraId="2F67A0D0">
            <w:pPr>
              <w:rPr>
                <w:rFonts w:ascii="Arial"/>
                <w:sz w:val="21"/>
              </w:rPr>
            </w:pPr>
          </w:p>
        </w:tc>
        <w:tc>
          <w:tcPr>
            <w:tcW w:w="864" w:type="dxa"/>
            <w:vAlign w:val="top"/>
          </w:tcPr>
          <w:p w14:paraId="65CE0C76">
            <w:pPr>
              <w:rPr>
                <w:rFonts w:ascii="Arial"/>
                <w:sz w:val="21"/>
              </w:rPr>
            </w:pPr>
          </w:p>
        </w:tc>
        <w:tc>
          <w:tcPr>
            <w:tcW w:w="907" w:type="dxa"/>
            <w:vAlign w:val="top"/>
          </w:tcPr>
          <w:p w14:paraId="4E767DCF">
            <w:pPr>
              <w:rPr>
                <w:rFonts w:ascii="Arial"/>
                <w:sz w:val="21"/>
              </w:rPr>
            </w:pPr>
          </w:p>
        </w:tc>
        <w:tc>
          <w:tcPr>
            <w:tcW w:w="1248" w:type="dxa"/>
            <w:vAlign w:val="top"/>
          </w:tcPr>
          <w:p w14:paraId="45EBD44D">
            <w:pPr>
              <w:rPr>
                <w:rFonts w:ascii="Arial"/>
                <w:sz w:val="21"/>
              </w:rPr>
            </w:pPr>
          </w:p>
        </w:tc>
        <w:tc>
          <w:tcPr>
            <w:tcW w:w="1382" w:type="dxa"/>
            <w:vAlign w:val="top"/>
          </w:tcPr>
          <w:p w14:paraId="2E7BCC48">
            <w:pPr>
              <w:rPr>
                <w:rFonts w:ascii="Arial"/>
                <w:sz w:val="21"/>
              </w:rPr>
            </w:pPr>
          </w:p>
        </w:tc>
        <w:tc>
          <w:tcPr>
            <w:tcW w:w="609" w:type="dxa"/>
            <w:vAlign w:val="top"/>
          </w:tcPr>
          <w:p w14:paraId="35F19106">
            <w:pPr>
              <w:rPr>
                <w:rFonts w:ascii="Arial"/>
                <w:sz w:val="21"/>
              </w:rPr>
            </w:pPr>
          </w:p>
        </w:tc>
      </w:tr>
      <w:tr w14:paraId="0B351C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73" w:hRule="atLeast"/>
        </w:trPr>
        <w:tc>
          <w:tcPr>
            <w:tcW w:w="552" w:type="dxa"/>
            <w:vAlign w:val="top"/>
          </w:tcPr>
          <w:p w14:paraId="3284A887">
            <w:pPr>
              <w:rPr>
                <w:rFonts w:ascii="Arial"/>
                <w:sz w:val="21"/>
              </w:rPr>
            </w:pPr>
          </w:p>
        </w:tc>
        <w:tc>
          <w:tcPr>
            <w:tcW w:w="1468" w:type="dxa"/>
            <w:vAlign w:val="top"/>
          </w:tcPr>
          <w:p w14:paraId="0DE396DA">
            <w:pPr>
              <w:rPr>
                <w:rFonts w:ascii="Arial"/>
                <w:sz w:val="21"/>
              </w:rPr>
            </w:pPr>
          </w:p>
        </w:tc>
        <w:tc>
          <w:tcPr>
            <w:tcW w:w="595" w:type="dxa"/>
            <w:vAlign w:val="top"/>
          </w:tcPr>
          <w:p w14:paraId="626D5899">
            <w:pPr>
              <w:rPr>
                <w:rFonts w:ascii="Arial"/>
                <w:sz w:val="21"/>
              </w:rPr>
            </w:pPr>
          </w:p>
        </w:tc>
        <w:tc>
          <w:tcPr>
            <w:tcW w:w="686" w:type="dxa"/>
            <w:vAlign w:val="top"/>
          </w:tcPr>
          <w:p w14:paraId="5FDE15F9">
            <w:pPr>
              <w:rPr>
                <w:rFonts w:ascii="Arial"/>
                <w:sz w:val="21"/>
              </w:rPr>
            </w:pPr>
          </w:p>
        </w:tc>
        <w:tc>
          <w:tcPr>
            <w:tcW w:w="864" w:type="dxa"/>
            <w:vAlign w:val="top"/>
          </w:tcPr>
          <w:p w14:paraId="66E71023">
            <w:pPr>
              <w:rPr>
                <w:rFonts w:ascii="Arial"/>
                <w:sz w:val="21"/>
              </w:rPr>
            </w:pPr>
          </w:p>
        </w:tc>
        <w:tc>
          <w:tcPr>
            <w:tcW w:w="907" w:type="dxa"/>
            <w:vAlign w:val="top"/>
          </w:tcPr>
          <w:p w14:paraId="7A993E7E">
            <w:pPr>
              <w:rPr>
                <w:rFonts w:ascii="Arial"/>
                <w:sz w:val="21"/>
              </w:rPr>
            </w:pPr>
          </w:p>
        </w:tc>
        <w:tc>
          <w:tcPr>
            <w:tcW w:w="1248" w:type="dxa"/>
            <w:vAlign w:val="top"/>
          </w:tcPr>
          <w:p w14:paraId="13765EA1">
            <w:pPr>
              <w:rPr>
                <w:rFonts w:ascii="Arial"/>
                <w:sz w:val="21"/>
              </w:rPr>
            </w:pPr>
          </w:p>
        </w:tc>
        <w:tc>
          <w:tcPr>
            <w:tcW w:w="1382" w:type="dxa"/>
            <w:vAlign w:val="top"/>
          </w:tcPr>
          <w:p w14:paraId="5610CB2D">
            <w:pPr>
              <w:rPr>
                <w:rFonts w:ascii="Arial"/>
                <w:sz w:val="21"/>
              </w:rPr>
            </w:pPr>
          </w:p>
        </w:tc>
        <w:tc>
          <w:tcPr>
            <w:tcW w:w="609" w:type="dxa"/>
            <w:vAlign w:val="top"/>
          </w:tcPr>
          <w:p w14:paraId="42761711">
            <w:pPr>
              <w:rPr>
                <w:rFonts w:ascii="Arial"/>
                <w:sz w:val="21"/>
              </w:rPr>
            </w:pPr>
          </w:p>
        </w:tc>
      </w:tr>
      <w:tr w14:paraId="38408C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78" w:hRule="atLeast"/>
        </w:trPr>
        <w:tc>
          <w:tcPr>
            <w:tcW w:w="552" w:type="dxa"/>
            <w:vAlign w:val="top"/>
          </w:tcPr>
          <w:p w14:paraId="63F571FE">
            <w:pPr>
              <w:rPr>
                <w:rFonts w:ascii="Arial"/>
                <w:sz w:val="21"/>
              </w:rPr>
            </w:pPr>
          </w:p>
        </w:tc>
        <w:tc>
          <w:tcPr>
            <w:tcW w:w="1468" w:type="dxa"/>
            <w:vAlign w:val="top"/>
          </w:tcPr>
          <w:p w14:paraId="1B31AB7D">
            <w:pPr>
              <w:rPr>
                <w:rFonts w:ascii="Arial"/>
                <w:sz w:val="21"/>
              </w:rPr>
            </w:pPr>
          </w:p>
        </w:tc>
        <w:tc>
          <w:tcPr>
            <w:tcW w:w="595" w:type="dxa"/>
            <w:vAlign w:val="top"/>
          </w:tcPr>
          <w:p w14:paraId="7E421201">
            <w:pPr>
              <w:rPr>
                <w:rFonts w:ascii="Arial"/>
                <w:sz w:val="21"/>
              </w:rPr>
            </w:pPr>
          </w:p>
        </w:tc>
        <w:tc>
          <w:tcPr>
            <w:tcW w:w="686" w:type="dxa"/>
            <w:vAlign w:val="top"/>
          </w:tcPr>
          <w:p w14:paraId="3F7BFB1C">
            <w:pPr>
              <w:rPr>
                <w:rFonts w:ascii="Arial"/>
                <w:sz w:val="21"/>
              </w:rPr>
            </w:pPr>
          </w:p>
        </w:tc>
        <w:tc>
          <w:tcPr>
            <w:tcW w:w="864" w:type="dxa"/>
            <w:vAlign w:val="top"/>
          </w:tcPr>
          <w:p w14:paraId="77DA654D">
            <w:pPr>
              <w:rPr>
                <w:rFonts w:ascii="Arial"/>
                <w:sz w:val="21"/>
              </w:rPr>
            </w:pPr>
          </w:p>
        </w:tc>
        <w:tc>
          <w:tcPr>
            <w:tcW w:w="907" w:type="dxa"/>
            <w:vAlign w:val="top"/>
          </w:tcPr>
          <w:p w14:paraId="011F2BCE">
            <w:pPr>
              <w:rPr>
                <w:rFonts w:ascii="Arial"/>
                <w:sz w:val="21"/>
              </w:rPr>
            </w:pPr>
          </w:p>
        </w:tc>
        <w:tc>
          <w:tcPr>
            <w:tcW w:w="1248" w:type="dxa"/>
            <w:vAlign w:val="top"/>
          </w:tcPr>
          <w:p w14:paraId="5647A687">
            <w:pPr>
              <w:rPr>
                <w:rFonts w:ascii="Arial"/>
                <w:sz w:val="21"/>
              </w:rPr>
            </w:pPr>
          </w:p>
        </w:tc>
        <w:tc>
          <w:tcPr>
            <w:tcW w:w="1382" w:type="dxa"/>
            <w:vAlign w:val="top"/>
          </w:tcPr>
          <w:p w14:paraId="6E3CCE70">
            <w:pPr>
              <w:rPr>
                <w:rFonts w:ascii="Arial"/>
                <w:sz w:val="21"/>
              </w:rPr>
            </w:pPr>
          </w:p>
        </w:tc>
        <w:tc>
          <w:tcPr>
            <w:tcW w:w="609" w:type="dxa"/>
            <w:vAlign w:val="top"/>
          </w:tcPr>
          <w:p w14:paraId="162C5887">
            <w:pPr>
              <w:rPr>
                <w:rFonts w:ascii="Arial"/>
                <w:sz w:val="21"/>
              </w:rPr>
            </w:pPr>
          </w:p>
        </w:tc>
      </w:tr>
    </w:tbl>
    <w:p w14:paraId="5C51C7A7">
      <w:pPr>
        <w:spacing w:before="30" w:line="219" w:lineRule="auto"/>
        <w:ind w:left="18"/>
        <w:rPr>
          <w:rFonts w:ascii="宋体" w:hAnsi="宋体" w:eastAsia="宋体" w:cs="宋体"/>
          <w:sz w:val="21"/>
          <w:szCs w:val="21"/>
        </w:rPr>
      </w:pPr>
      <w:r>
        <w:rPr>
          <w:rFonts w:ascii="宋体" w:hAnsi="宋体" w:eastAsia="宋体" w:cs="宋体"/>
          <w:spacing w:val="-5"/>
          <w:sz w:val="21"/>
          <w:szCs w:val="21"/>
        </w:rPr>
        <w:t>注： 1.此表由招标人填写除“投标单价”栏的内容，</w:t>
      </w:r>
      <w:r>
        <w:rPr>
          <w:rFonts w:ascii="宋体" w:hAnsi="宋体" w:eastAsia="宋体" w:cs="宋体"/>
          <w:spacing w:val="-24"/>
          <w:sz w:val="21"/>
          <w:szCs w:val="21"/>
        </w:rPr>
        <w:t xml:space="preserve"> </w:t>
      </w:r>
      <w:r>
        <w:rPr>
          <w:rFonts w:ascii="宋体" w:hAnsi="宋体" w:eastAsia="宋体" w:cs="宋体"/>
          <w:spacing w:val="-5"/>
          <w:sz w:val="21"/>
          <w:szCs w:val="21"/>
        </w:rPr>
        <w:t>投标人在投标时自</w:t>
      </w:r>
      <w:r>
        <w:rPr>
          <w:rFonts w:ascii="宋体" w:hAnsi="宋体" w:eastAsia="宋体" w:cs="宋体"/>
          <w:spacing w:val="-6"/>
          <w:sz w:val="21"/>
          <w:szCs w:val="21"/>
        </w:rPr>
        <w:t>主确定投标单价。</w:t>
      </w:r>
    </w:p>
    <w:p w14:paraId="61177234">
      <w:pPr>
        <w:spacing w:before="25" w:line="213" w:lineRule="auto"/>
        <w:ind w:left="17" w:right="6" w:firstLine="426"/>
        <w:rPr>
          <w:rFonts w:ascii="宋体" w:hAnsi="宋体" w:eastAsia="宋体" w:cs="宋体"/>
          <w:sz w:val="21"/>
          <w:szCs w:val="21"/>
        </w:rPr>
      </w:pPr>
      <w:r>
        <w:rPr>
          <w:rFonts w:ascii="宋体" w:hAnsi="宋体" w:eastAsia="宋体" w:cs="宋体"/>
          <w:spacing w:val="3"/>
          <w:sz w:val="21"/>
          <w:szCs w:val="21"/>
        </w:rPr>
        <w:t>2.招标人应优先采用工程造价管理机构发布的单价作为基准单价，未发布的，</w:t>
      </w:r>
      <w:r>
        <w:rPr>
          <w:rFonts w:ascii="宋体" w:hAnsi="宋体" w:eastAsia="宋体" w:cs="宋体"/>
          <w:spacing w:val="2"/>
          <w:sz w:val="21"/>
          <w:szCs w:val="21"/>
        </w:rPr>
        <w:t>通过市</w:t>
      </w:r>
      <w:r>
        <w:rPr>
          <w:rFonts w:ascii="宋体" w:hAnsi="宋体" w:eastAsia="宋体" w:cs="宋体"/>
          <w:sz w:val="21"/>
          <w:szCs w:val="21"/>
        </w:rPr>
        <w:t xml:space="preserve"> </w:t>
      </w:r>
      <w:r>
        <w:rPr>
          <w:rFonts w:ascii="宋体" w:hAnsi="宋体" w:eastAsia="宋体" w:cs="宋体"/>
          <w:spacing w:val="-2"/>
          <w:sz w:val="21"/>
          <w:szCs w:val="21"/>
        </w:rPr>
        <w:t>场调查确定其基准单价。</w:t>
      </w:r>
    </w:p>
    <w:p w14:paraId="6D76228A">
      <w:pPr>
        <w:spacing w:line="213" w:lineRule="auto"/>
        <w:rPr>
          <w:rFonts w:ascii="宋体" w:hAnsi="宋体" w:eastAsia="宋体" w:cs="宋体"/>
          <w:sz w:val="21"/>
          <w:szCs w:val="21"/>
        </w:rPr>
        <w:sectPr>
          <w:type w:val="continuous"/>
          <w:pgSz w:w="11905" w:h="16839"/>
          <w:pgMar w:top="400" w:right="1785" w:bottom="1004" w:left="1785" w:header="0" w:footer="828" w:gutter="0"/>
          <w:pgNumType w:fmt="decimal"/>
          <w:cols w:equalWidth="0" w:num="1">
            <w:col w:w="8333"/>
          </w:cols>
        </w:sectPr>
      </w:pPr>
    </w:p>
    <w:p w14:paraId="1D1F66E0">
      <w:pPr>
        <w:pStyle w:val="3"/>
        <w:spacing w:line="267" w:lineRule="auto"/>
      </w:pPr>
    </w:p>
    <w:p w14:paraId="3D82EC99">
      <w:pPr>
        <w:pStyle w:val="3"/>
        <w:spacing w:line="268" w:lineRule="auto"/>
      </w:pPr>
    </w:p>
    <w:p w14:paraId="64F64E4F">
      <w:pPr>
        <w:pStyle w:val="3"/>
        <w:spacing w:line="268" w:lineRule="auto"/>
      </w:pPr>
    </w:p>
    <w:p w14:paraId="13DFEE6D">
      <w:pPr>
        <w:pStyle w:val="3"/>
        <w:spacing w:line="268" w:lineRule="auto"/>
      </w:pPr>
    </w:p>
    <w:p w14:paraId="62E65ACC">
      <w:pPr>
        <w:spacing w:before="78" w:line="218" w:lineRule="auto"/>
        <w:ind w:left="13"/>
        <w:rPr>
          <w:rFonts w:ascii="宋体" w:hAnsi="宋体" w:eastAsia="宋体" w:cs="宋体"/>
          <w:sz w:val="24"/>
          <w:szCs w:val="24"/>
        </w:rPr>
      </w:pPr>
      <w:r>
        <w:rPr>
          <w:rFonts w:ascii="Times New Roman" w:hAnsi="Times New Roman" w:eastAsia="Times New Roman" w:cs="Times New Roman"/>
          <w:spacing w:val="-1"/>
          <w:sz w:val="24"/>
          <w:szCs w:val="24"/>
        </w:rPr>
        <w:t xml:space="preserve">4.16 </w:t>
      </w:r>
      <w:r>
        <w:rPr>
          <w:rFonts w:ascii="黑体" w:hAnsi="黑体" w:eastAsia="黑体" w:cs="黑体"/>
          <w:spacing w:val="-1"/>
          <w:sz w:val="24"/>
          <w:szCs w:val="24"/>
        </w:rPr>
        <w:t>承包人提供主要材料和工程设备一览表</w:t>
      </w:r>
      <w:r>
        <w:rPr>
          <w:rFonts w:ascii="宋体" w:hAnsi="宋体" w:eastAsia="宋体" w:cs="宋体"/>
          <w:spacing w:val="-1"/>
          <w:sz w:val="24"/>
          <w:szCs w:val="24"/>
        </w:rPr>
        <w:t>（适用于价格指数差额调整法）</w:t>
      </w:r>
    </w:p>
    <w:p w14:paraId="6CDD3636">
      <w:pPr>
        <w:pStyle w:val="3"/>
        <w:spacing w:line="437" w:lineRule="auto"/>
      </w:pPr>
    </w:p>
    <w:p w14:paraId="626BAEB1">
      <w:pPr>
        <w:spacing w:before="87" w:line="225" w:lineRule="auto"/>
        <w:ind w:left="1796"/>
        <w:rPr>
          <w:rFonts w:ascii="黑体" w:hAnsi="黑体" w:eastAsia="黑体" w:cs="黑体"/>
          <w:sz w:val="27"/>
          <w:szCs w:val="27"/>
        </w:rPr>
      </w:pPr>
      <w:r>
        <w:rPr>
          <w:rFonts w:ascii="黑体" w:hAnsi="黑体" w:eastAsia="黑体" w:cs="黑体"/>
          <w:spacing w:val="9"/>
          <w:sz w:val="27"/>
          <w:szCs w:val="27"/>
        </w:rPr>
        <w:t>承包人提供主要材料和工程设备一览表</w:t>
      </w:r>
    </w:p>
    <w:p w14:paraId="3BEF303A">
      <w:pPr>
        <w:spacing w:line="220" w:lineRule="exact"/>
      </w:pPr>
    </w:p>
    <w:p w14:paraId="352A333F">
      <w:pPr>
        <w:spacing w:line="220" w:lineRule="exact"/>
        <w:sectPr>
          <w:footerReference r:id="rId182" w:type="default"/>
          <w:pgSz w:w="11905" w:h="16839"/>
          <w:pgMar w:top="400" w:right="1195" w:bottom="1004" w:left="1785" w:header="0" w:footer="828" w:gutter="0"/>
          <w:pgNumType w:fmt="decimal"/>
          <w:cols w:equalWidth="0" w:num="1">
            <w:col w:w="8923"/>
          </w:cols>
        </w:sectPr>
      </w:pPr>
    </w:p>
    <w:p w14:paraId="2D2EDA34">
      <w:pPr>
        <w:spacing w:before="41" w:line="186" w:lineRule="auto"/>
        <w:ind w:left="20"/>
        <w:rPr>
          <w:rFonts w:ascii="宋体" w:hAnsi="宋体" w:eastAsia="宋体" w:cs="宋体"/>
          <w:sz w:val="21"/>
          <w:szCs w:val="21"/>
        </w:rPr>
      </w:pPr>
      <w:r>
        <w:rPr>
          <w:rFonts w:ascii="宋体" w:hAnsi="宋体" w:eastAsia="宋体" w:cs="宋体"/>
          <w:spacing w:val="-9"/>
          <w:sz w:val="21"/>
          <w:szCs w:val="21"/>
        </w:rPr>
        <w:t>工程名称：</w:t>
      </w:r>
    </w:p>
    <w:p w14:paraId="590D4248">
      <w:pPr>
        <w:pStyle w:val="3"/>
        <w:spacing w:line="14" w:lineRule="auto"/>
        <w:rPr>
          <w:sz w:val="2"/>
        </w:rPr>
      </w:pPr>
      <w:r>
        <w:rPr>
          <w:sz w:val="2"/>
          <w:szCs w:val="2"/>
        </w:rPr>
        <w:br w:type="column"/>
      </w:r>
    </w:p>
    <w:p w14:paraId="112E02DC">
      <w:pPr>
        <w:spacing w:before="40" w:line="186" w:lineRule="auto"/>
        <w:rPr>
          <w:rFonts w:ascii="宋体" w:hAnsi="宋体" w:eastAsia="宋体" w:cs="宋体"/>
          <w:sz w:val="21"/>
          <w:szCs w:val="21"/>
        </w:rPr>
      </w:pPr>
      <w:r>
        <w:rPr>
          <w:rFonts w:ascii="宋体" w:hAnsi="宋体" w:eastAsia="宋体" w:cs="宋体"/>
          <w:spacing w:val="-13"/>
          <w:sz w:val="21"/>
          <w:szCs w:val="21"/>
        </w:rPr>
        <w:t>标段名称：</w:t>
      </w:r>
      <w:r>
        <w:rPr>
          <w:rFonts w:ascii="宋体" w:hAnsi="宋体" w:eastAsia="宋体" w:cs="宋体"/>
          <w:spacing w:val="6"/>
          <w:sz w:val="21"/>
          <w:szCs w:val="21"/>
        </w:rPr>
        <w:t xml:space="preserve">         </w:t>
      </w:r>
      <w:r>
        <w:rPr>
          <w:rFonts w:ascii="宋体" w:hAnsi="宋体" w:eastAsia="宋体" w:cs="宋体"/>
          <w:spacing w:val="-13"/>
          <w:sz w:val="21"/>
          <w:szCs w:val="21"/>
        </w:rPr>
        <w:t>第 页</w:t>
      </w:r>
      <w:r>
        <w:rPr>
          <w:rFonts w:ascii="宋体" w:hAnsi="宋体" w:eastAsia="宋体" w:cs="宋体"/>
          <w:spacing w:val="11"/>
          <w:sz w:val="21"/>
          <w:szCs w:val="21"/>
        </w:rPr>
        <w:t xml:space="preserve"> </w:t>
      </w:r>
      <w:r>
        <w:rPr>
          <w:rFonts w:ascii="宋体" w:hAnsi="宋体" w:eastAsia="宋体" w:cs="宋体"/>
          <w:spacing w:val="-13"/>
          <w:sz w:val="21"/>
          <w:szCs w:val="21"/>
        </w:rPr>
        <w:t>共</w:t>
      </w:r>
      <w:r>
        <w:rPr>
          <w:rFonts w:ascii="宋体" w:hAnsi="宋体" w:eastAsia="宋体" w:cs="宋体"/>
          <w:spacing w:val="14"/>
          <w:sz w:val="21"/>
          <w:szCs w:val="21"/>
        </w:rPr>
        <w:t xml:space="preserve"> </w:t>
      </w:r>
      <w:r>
        <w:rPr>
          <w:rFonts w:ascii="宋体" w:hAnsi="宋体" w:eastAsia="宋体" w:cs="宋体"/>
          <w:spacing w:val="-13"/>
          <w:sz w:val="21"/>
          <w:szCs w:val="21"/>
        </w:rPr>
        <w:t>页</w:t>
      </w:r>
    </w:p>
    <w:p w14:paraId="1C52900C">
      <w:pPr>
        <w:spacing w:line="186" w:lineRule="auto"/>
        <w:rPr>
          <w:rFonts w:ascii="宋体" w:hAnsi="宋体" w:eastAsia="宋体" w:cs="宋体"/>
          <w:sz w:val="21"/>
          <w:szCs w:val="21"/>
        </w:rPr>
        <w:sectPr>
          <w:type w:val="continuous"/>
          <w:pgSz w:w="11905" w:h="16839"/>
          <w:pgMar w:top="400" w:right="1195" w:bottom="1004" w:left="1785" w:header="0" w:footer="828" w:gutter="0"/>
          <w:pgNumType w:fmt="decimal"/>
          <w:cols w:equalWidth="0" w:num="2">
            <w:col w:w="2234" w:space="100"/>
            <w:col w:w="6590"/>
          </w:cols>
        </w:sectPr>
      </w:pPr>
    </w:p>
    <w:p w14:paraId="0B5F2CBA">
      <w:pPr>
        <w:spacing w:line="32" w:lineRule="exact"/>
      </w:pPr>
    </w:p>
    <w:tbl>
      <w:tblPr>
        <w:tblStyle w:val="10"/>
        <w:tblW w:w="8907"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10"/>
        <w:gridCol w:w="1843"/>
        <w:gridCol w:w="1440"/>
        <w:gridCol w:w="1799"/>
        <w:gridCol w:w="1732"/>
        <w:gridCol w:w="1483"/>
      </w:tblGrid>
      <w:tr w14:paraId="14F78B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78" w:hRule="atLeast"/>
        </w:trPr>
        <w:tc>
          <w:tcPr>
            <w:tcW w:w="610" w:type="dxa"/>
            <w:textDirection w:val="tbRlV"/>
            <w:vAlign w:val="top"/>
          </w:tcPr>
          <w:p w14:paraId="6DE30233">
            <w:pPr>
              <w:pStyle w:val="11"/>
              <w:spacing w:before="196" w:line="211" w:lineRule="auto"/>
              <w:ind w:left="192"/>
            </w:pPr>
            <w:r>
              <w:rPr>
                <w:spacing w:val="1"/>
              </w:rPr>
              <w:t>序</w:t>
            </w:r>
            <w:r>
              <w:rPr>
                <w:spacing w:val="-43"/>
              </w:rPr>
              <w:t xml:space="preserve"> </w:t>
            </w:r>
            <w:r>
              <w:rPr>
                <w:spacing w:val="1"/>
              </w:rPr>
              <w:t>号</w:t>
            </w:r>
          </w:p>
        </w:tc>
        <w:tc>
          <w:tcPr>
            <w:tcW w:w="1843" w:type="dxa"/>
            <w:vAlign w:val="top"/>
          </w:tcPr>
          <w:p w14:paraId="3FC172BB">
            <w:pPr>
              <w:pStyle w:val="11"/>
              <w:spacing w:before="193" w:line="231" w:lineRule="auto"/>
              <w:ind w:left="824" w:right="196" w:hanging="631"/>
            </w:pPr>
            <w:r>
              <w:rPr>
                <w:spacing w:val="-4"/>
              </w:rPr>
              <w:t>名称、规格、型</w:t>
            </w:r>
            <w:r>
              <w:rPr>
                <w:spacing w:val="5"/>
              </w:rPr>
              <w:t xml:space="preserve"> </w:t>
            </w:r>
            <w:r>
              <w:t>号</w:t>
            </w:r>
          </w:p>
        </w:tc>
        <w:tc>
          <w:tcPr>
            <w:tcW w:w="1440" w:type="dxa"/>
            <w:vAlign w:val="top"/>
          </w:tcPr>
          <w:p w14:paraId="2859A170">
            <w:pPr>
              <w:spacing w:line="261" w:lineRule="auto"/>
              <w:rPr>
                <w:rFonts w:ascii="Arial"/>
                <w:sz w:val="21"/>
              </w:rPr>
            </w:pPr>
          </w:p>
          <w:p w14:paraId="6B9673FF">
            <w:pPr>
              <w:pStyle w:val="11"/>
              <w:spacing w:before="68" w:line="221" w:lineRule="auto"/>
              <w:ind w:left="210"/>
              <w:rPr>
                <w:rFonts w:ascii="Times New Roman" w:hAnsi="Times New Roman" w:eastAsia="Times New Roman" w:cs="Times New Roman"/>
              </w:rPr>
            </w:pPr>
            <w:r>
              <w:rPr>
                <w:spacing w:val="-1"/>
              </w:rPr>
              <w:t>变值权重</w:t>
            </w:r>
            <w:r>
              <w:rPr>
                <w:spacing w:val="-49"/>
              </w:rPr>
              <w:t xml:space="preserve"> </w:t>
            </w:r>
            <w:r>
              <w:rPr>
                <w:rFonts w:ascii="Times New Roman" w:hAnsi="Times New Roman" w:eastAsia="Times New Roman" w:cs="Times New Roman"/>
                <w:spacing w:val="-1"/>
              </w:rPr>
              <w:t>B</w:t>
            </w:r>
          </w:p>
        </w:tc>
        <w:tc>
          <w:tcPr>
            <w:tcW w:w="1799" w:type="dxa"/>
            <w:vAlign w:val="top"/>
          </w:tcPr>
          <w:p w14:paraId="13839BBD">
            <w:pPr>
              <w:spacing w:line="262" w:lineRule="auto"/>
              <w:rPr>
                <w:rFonts w:ascii="Arial"/>
                <w:sz w:val="21"/>
              </w:rPr>
            </w:pPr>
          </w:p>
          <w:p w14:paraId="383EA45A">
            <w:pPr>
              <w:pStyle w:val="11"/>
              <w:spacing w:before="68" w:line="219" w:lineRule="auto"/>
              <w:ind w:left="158"/>
              <w:rPr>
                <w:rFonts w:ascii="Times New Roman" w:hAnsi="Times New Roman" w:eastAsia="Times New Roman" w:cs="Times New Roman"/>
                <w:sz w:val="13"/>
                <w:szCs w:val="13"/>
              </w:rPr>
            </w:pPr>
            <w:r>
              <w:rPr>
                <w:spacing w:val="-1"/>
              </w:rPr>
              <w:t>基本价格指数</w:t>
            </w:r>
            <w:r>
              <w:rPr>
                <w:spacing w:val="-48"/>
              </w:rPr>
              <w:t xml:space="preserve"> </w:t>
            </w:r>
            <w:r>
              <w:rPr>
                <w:rFonts w:ascii="Times New Roman" w:hAnsi="Times New Roman" w:eastAsia="Times New Roman" w:cs="Times New Roman"/>
                <w:spacing w:val="-1"/>
              </w:rPr>
              <w:t>F</w:t>
            </w:r>
            <w:r>
              <w:rPr>
                <w:rFonts w:ascii="Times New Roman" w:hAnsi="Times New Roman" w:eastAsia="Times New Roman" w:cs="Times New Roman"/>
                <w:spacing w:val="-1"/>
                <w:position w:val="-1"/>
                <w:sz w:val="13"/>
                <w:szCs w:val="13"/>
              </w:rPr>
              <w:t>0</w:t>
            </w:r>
          </w:p>
        </w:tc>
        <w:tc>
          <w:tcPr>
            <w:tcW w:w="1732" w:type="dxa"/>
            <w:vAlign w:val="top"/>
          </w:tcPr>
          <w:p w14:paraId="7E8B9E02">
            <w:pPr>
              <w:spacing w:line="262" w:lineRule="auto"/>
              <w:rPr>
                <w:rFonts w:ascii="Arial"/>
                <w:sz w:val="21"/>
              </w:rPr>
            </w:pPr>
          </w:p>
          <w:p w14:paraId="30F04034">
            <w:pPr>
              <w:pStyle w:val="11"/>
              <w:spacing w:before="68" w:line="236" w:lineRule="auto"/>
              <w:ind w:left="142"/>
              <w:rPr>
                <w:rFonts w:ascii="Times New Roman" w:hAnsi="Times New Roman" w:eastAsia="Times New Roman" w:cs="Times New Roman"/>
                <w:sz w:val="13"/>
                <w:szCs w:val="13"/>
              </w:rPr>
            </w:pPr>
            <w:r>
              <w:rPr>
                <w:spacing w:val="-2"/>
              </w:rPr>
              <w:t>现行价格指数</w:t>
            </w:r>
            <w:r>
              <w:rPr>
                <w:spacing w:val="-43"/>
              </w:rPr>
              <w:t xml:space="preserve"> </w:t>
            </w:r>
            <w:r>
              <w:rPr>
                <w:rFonts w:ascii="Times New Roman" w:hAnsi="Times New Roman" w:eastAsia="Times New Roman" w:cs="Times New Roman"/>
                <w:spacing w:val="-2"/>
              </w:rPr>
              <w:t>F</w:t>
            </w:r>
            <w:r>
              <w:rPr>
                <w:rFonts w:ascii="Times New Roman" w:hAnsi="Times New Roman" w:eastAsia="Times New Roman" w:cs="Times New Roman"/>
                <w:spacing w:val="-2"/>
                <w:position w:val="-1"/>
                <w:sz w:val="13"/>
                <w:szCs w:val="13"/>
              </w:rPr>
              <w:t>t</w:t>
            </w:r>
          </w:p>
        </w:tc>
        <w:tc>
          <w:tcPr>
            <w:tcW w:w="1483" w:type="dxa"/>
            <w:vAlign w:val="top"/>
          </w:tcPr>
          <w:p w14:paraId="5BB8E061">
            <w:pPr>
              <w:spacing w:line="262" w:lineRule="auto"/>
              <w:rPr>
                <w:rFonts w:ascii="Arial"/>
                <w:sz w:val="21"/>
              </w:rPr>
            </w:pPr>
          </w:p>
          <w:p w14:paraId="0EB3B925">
            <w:pPr>
              <w:pStyle w:val="11"/>
              <w:spacing w:before="68" w:line="222" w:lineRule="auto"/>
              <w:ind w:left="543"/>
            </w:pPr>
            <w:r>
              <w:rPr>
                <w:spacing w:val="-3"/>
              </w:rPr>
              <w:t>备注</w:t>
            </w:r>
          </w:p>
        </w:tc>
      </w:tr>
      <w:tr w14:paraId="599C43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73" w:hRule="atLeast"/>
        </w:trPr>
        <w:tc>
          <w:tcPr>
            <w:tcW w:w="610" w:type="dxa"/>
            <w:vAlign w:val="top"/>
          </w:tcPr>
          <w:p w14:paraId="72E494F2">
            <w:pPr>
              <w:rPr>
                <w:rFonts w:ascii="Arial"/>
                <w:sz w:val="21"/>
              </w:rPr>
            </w:pPr>
          </w:p>
        </w:tc>
        <w:tc>
          <w:tcPr>
            <w:tcW w:w="1843" w:type="dxa"/>
            <w:vAlign w:val="top"/>
          </w:tcPr>
          <w:p w14:paraId="7A087175">
            <w:pPr>
              <w:rPr>
                <w:rFonts w:ascii="Arial"/>
                <w:sz w:val="21"/>
              </w:rPr>
            </w:pPr>
          </w:p>
        </w:tc>
        <w:tc>
          <w:tcPr>
            <w:tcW w:w="1440" w:type="dxa"/>
            <w:vAlign w:val="top"/>
          </w:tcPr>
          <w:p w14:paraId="46EF9D8C">
            <w:pPr>
              <w:rPr>
                <w:rFonts w:ascii="Arial"/>
                <w:sz w:val="21"/>
              </w:rPr>
            </w:pPr>
          </w:p>
        </w:tc>
        <w:tc>
          <w:tcPr>
            <w:tcW w:w="1799" w:type="dxa"/>
            <w:vAlign w:val="top"/>
          </w:tcPr>
          <w:p w14:paraId="443FCADC">
            <w:pPr>
              <w:rPr>
                <w:rFonts w:ascii="Arial"/>
                <w:sz w:val="21"/>
              </w:rPr>
            </w:pPr>
          </w:p>
        </w:tc>
        <w:tc>
          <w:tcPr>
            <w:tcW w:w="1732" w:type="dxa"/>
            <w:vAlign w:val="top"/>
          </w:tcPr>
          <w:p w14:paraId="199F8CBF">
            <w:pPr>
              <w:rPr>
                <w:rFonts w:ascii="Arial"/>
                <w:sz w:val="21"/>
              </w:rPr>
            </w:pPr>
          </w:p>
        </w:tc>
        <w:tc>
          <w:tcPr>
            <w:tcW w:w="1483" w:type="dxa"/>
            <w:vAlign w:val="top"/>
          </w:tcPr>
          <w:p w14:paraId="7A8650E1">
            <w:pPr>
              <w:rPr>
                <w:rFonts w:ascii="Arial"/>
                <w:sz w:val="21"/>
              </w:rPr>
            </w:pPr>
          </w:p>
        </w:tc>
      </w:tr>
      <w:tr w14:paraId="4D89A3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78" w:hRule="atLeast"/>
        </w:trPr>
        <w:tc>
          <w:tcPr>
            <w:tcW w:w="610" w:type="dxa"/>
            <w:vAlign w:val="top"/>
          </w:tcPr>
          <w:p w14:paraId="1D2E8248">
            <w:pPr>
              <w:rPr>
                <w:rFonts w:ascii="Arial"/>
                <w:sz w:val="21"/>
              </w:rPr>
            </w:pPr>
          </w:p>
        </w:tc>
        <w:tc>
          <w:tcPr>
            <w:tcW w:w="1843" w:type="dxa"/>
            <w:vAlign w:val="top"/>
          </w:tcPr>
          <w:p w14:paraId="16E2225D">
            <w:pPr>
              <w:rPr>
                <w:rFonts w:ascii="Arial"/>
                <w:sz w:val="21"/>
              </w:rPr>
            </w:pPr>
          </w:p>
        </w:tc>
        <w:tc>
          <w:tcPr>
            <w:tcW w:w="1440" w:type="dxa"/>
            <w:vAlign w:val="top"/>
          </w:tcPr>
          <w:p w14:paraId="5E83DBA5">
            <w:pPr>
              <w:rPr>
                <w:rFonts w:ascii="Arial"/>
                <w:sz w:val="21"/>
              </w:rPr>
            </w:pPr>
          </w:p>
        </w:tc>
        <w:tc>
          <w:tcPr>
            <w:tcW w:w="1799" w:type="dxa"/>
            <w:vAlign w:val="top"/>
          </w:tcPr>
          <w:p w14:paraId="6ED74C38">
            <w:pPr>
              <w:rPr>
                <w:rFonts w:ascii="Arial"/>
                <w:sz w:val="21"/>
              </w:rPr>
            </w:pPr>
          </w:p>
        </w:tc>
        <w:tc>
          <w:tcPr>
            <w:tcW w:w="1732" w:type="dxa"/>
            <w:vAlign w:val="top"/>
          </w:tcPr>
          <w:p w14:paraId="7B6E4326">
            <w:pPr>
              <w:rPr>
                <w:rFonts w:ascii="Arial"/>
                <w:sz w:val="21"/>
              </w:rPr>
            </w:pPr>
          </w:p>
        </w:tc>
        <w:tc>
          <w:tcPr>
            <w:tcW w:w="1483" w:type="dxa"/>
            <w:vAlign w:val="top"/>
          </w:tcPr>
          <w:p w14:paraId="721B8254">
            <w:pPr>
              <w:rPr>
                <w:rFonts w:ascii="Arial"/>
                <w:sz w:val="21"/>
              </w:rPr>
            </w:pPr>
          </w:p>
        </w:tc>
      </w:tr>
      <w:tr w14:paraId="3E5A3D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73" w:hRule="atLeast"/>
        </w:trPr>
        <w:tc>
          <w:tcPr>
            <w:tcW w:w="610" w:type="dxa"/>
            <w:vAlign w:val="top"/>
          </w:tcPr>
          <w:p w14:paraId="13CCEB27">
            <w:pPr>
              <w:rPr>
                <w:rFonts w:ascii="Arial"/>
                <w:sz w:val="21"/>
              </w:rPr>
            </w:pPr>
          </w:p>
        </w:tc>
        <w:tc>
          <w:tcPr>
            <w:tcW w:w="1843" w:type="dxa"/>
            <w:vAlign w:val="top"/>
          </w:tcPr>
          <w:p w14:paraId="15DF12F7">
            <w:pPr>
              <w:rPr>
                <w:rFonts w:ascii="Arial"/>
                <w:sz w:val="21"/>
              </w:rPr>
            </w:pPr>
          </w:p>
        </w:tc>
        <w:tc>
          <w:tcPr>
            <w:tcW w:w="1440" w:type="dxa"/>
            <w:vAlign w:val="top"/>
          </w:tcPr>
          <w:p w14:paraId="5972E511">
            <w:pPr>
              <w:rPr>
                <w:rFonts w:ascii="Arial"/>
                <w:sz w:val="21"/>
              </w:rPr>
            </w:pPr>
          </w:p>
        </w:tc>
        <w:tc>
          <w:tcPr>
            <w:tcW w:w="1799" w:type="dxa"/>
            <w:vAlign w:val="top"/>
          </w:tcPr>
          <w:p w14:paraId="45831D79">
            <w:pPr>
              <w:rPr>
                <w:rFonts w:ascii="Arial"/>
                <w:sz w:val="21"/>
              </w:rPr>
            </w:pPr>
          </w:p>
        </w:tc>
        <w:tc>
          <w:tcPr>
            <w:tcW w:w="1732" w:type="dxa"/>
            <w:vAlign w:val="top"/>
          </w:tcPr>
          <w:p w14:paraId="47782BFB">
            <w:pPr>
              <w:rPr>
                <w:rFonts w:ascii="Arial"/>
                <w:sz w:val="21"/>
              </w:rPr>
            </w:pPr>
          </w:p>
        </w:tc>
        <w:tc>
          <w:tcPr>
            <w:tcW w:w="1483" w:type="dxa"/>
            <w:vAlign w:val="top"/>
          </w:tcPr>
          <w:p w14:paraId="255F0E3F">
            <w:pPr>
              <w:rPr>
                <w:rFonts w:ascii="Arial"/>
                <w:sz w:val="21"/>
              </w:rPr>
            </w:pPr>
          </w:p>
        </w:tc>
      </w:tr>
      <w:tr w14:paraId="7682A7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73" w:hRule="atLeast"/>
        </w:trPr>
        <w:tc>
          <w:tcPr>
            <w:tcW w:w="610" w:type="dxa"/>
            <w:vAlign w:val="top"/>
          </w:tcPr>
          <w:p w14:paraId="2B42DE2D">
            <w:pPr>
              <w:rPr>
                <w:rFonts w:ascii="Arial"/>
                <w:sz w:val="21"/>
              </w:rPr>
            </w:pPr>
          </w:p>
        </w:tc>
        <w:tc>
          <w:tcPr>
            <w:tcW w:w="1843" w:type="dxa"/>
            <w:vAlign w:val="top"/>
          </w:tcPr>
          <w:p w14:paraId="3E1E5190">
            <w:pPr>
              <w:rPr>
                <w:rFonts w:ascii="Arial"/>
                <w:sz w:val="21"/>
              </w:rPr>
            </w:pPr>
          </w:p>
        </w:tc>
        <w:tc>
          <w:tcPr>
            <w:tcW w:w="1440" w:type="dxa"/>
            <w:vAlign w:val="top"/>
          </w:tcPr>
          <w:p w14:paraId="702FA8D7">
            <w:pPr>
              <w:rPr>
                <w:rFonts w:ascii="Arial"/>
                <w:sz w:val="21"/>
              </w:rPr>
            </w:pPr>
          </w:p>
        </w:tc>
        <w:tc>
          <w:tcPr>
            <w:tcW w:w="1799" w:type="dxa"/>
            <w:vAlign w:val="top"/>
          </w:tcPr>
          <w:p w14:paraId="4C6599A1">
            <w:pPr>
              <w:rPr>
                <w:rFonts w:ascii="Arial"/>
                <w:sz w:val="21"/>
              </w:rPr>
            </w:pPr>
          </w:p>
        </w:tc>
        <w:tc>
          <w:tcPr>
            <w:tcW w:w="1732" w:type="dxa"/>
            <w:vAlign w:val="top"/>
          </w:tcPr>
          <w:p w14:paraId="1250E9BD">
            <w:pPr>
              <w:rPr>
                <w:rFonts w:ascii="Arial"/>
                <w:sz w:val="21"/>
              </w:rPr>
            </w:pPr>
          </w:p>
        </w:tc>
        <w:tc>
          <w:tcPr>
            <w:tcW w:w="1483" w:type="dxa"/>
            <w:vAlign w:val="top"/>
          </w:tcPr>
          <w:p w14:paraId="3579ACC0">
            <w:pPr>
              <w:rPr>
                <w:rFonts w:ascii="Arial"/>
                <w:sz w:val="21"/>
              </w:rPr>
            </w:pPr>
          </w:p>
        </w:tc>
      </w:tr>
      <w:tr w14:paraId="65A66E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78" w:hRule="atLeast"/>
        </w:trPr>
        <w:tc>
          <w:tcPr>
            <w:tcW w:w="610" w:type="dxa"/>
            <w:vAlign w:val="top"/>
          </w:tcPr>
          <w:p w14:paraId="6A0775D9">
            <w:pPr>
              <w:rPr>
                <w:rFonts w:ascii="Arial"/>
                <w:sz w:val="21"/>
              </w:rPr>
            </w:pPr>
          </w:p>
        </w:tc>
        <w:tc>
          <w:tcPr>
            <w:tcW w:w="1843" w:type="dxa"/>
            <w:vAlign w:val="top"/>
          </w:tcPr>
          <w:p w14:paraId="53973E05">
            <w:pPr>
              <w:rPr>
                <w:rFonts w:ascii="Arial"/>
                <w:sz w:val="21"/>
              </w:rPr>
            </w:pPr>
          </w:p>
        </w:tc>
        <w:tc>
          <w:tcPr>
            <w:tcW w:w="1440" w:type="dxa"/>
            <w:vAlign w:val="top"/>
          </w:tcPr>
          <w:p w14:paraId="45703178">
            <w:pPr>
              <w:rPr>
                <w:rFonts w:ascii="Arial"/>
                <w:sz w:val="21"/>
              </w:rPr>
            </w:pPr>
          </w:p>
        </w:tc>
        <w:tc>
          <w:tcPr>
            <w:tcW w:w="1799" w:type="dxa"/>
            <w:vAlign w:val="top"/>
          </w:tcPr>
          <w:p w14:paraId="523346D3">
            <w:pPr>
              <w:rPr>
                <w:rFonts w:ascii="Arial"/>
                <w:sz w:val="21"/>
              </w:rPr>
            </w:pPr>
          </w:p>
        </w:tc>
        <w:tc>
          <w:tcPr>
            <w:tcW w:w="1732" w:type="dxa"/>
            <w:vAlign w:val="top"/>
          </w:tcPr>
          <w:p w14:paraId="6133602D">
            <w:pPr>
              <w:rPr>
                <w:rFonts w:ascii="Arial"/>
                <w:sz w:val="21"/>
              </w:rPr>
            </w:pPr>
          </w:p>
        </w:tc>
        <w:tc>
          <w:tcPr>
            <w:tcW w:w="1483" w:type="dxa"/>
            <w:vAlign w:val="top"/>
          </w:tcPr>
          <w:p w14:paraId="6E2F68E1">
            <w:pPr>
              <w:rPr>
                <w:rFonts w:ascii="Arial"/>
                <w:sz w:val="21"/>
              </w:rPr>
            </w:pPr>
          </w:p>
        </w:tc>
      </w:tr>
      <w:tr w14:paraId="782F31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73" w:hRule="atLeast"/>
        </w:trPr>
        <w:tc>
          <w:tcPr>
            <w:tcW w:w="610" w:type="dxa"/>
            <w:vAlign w:val="top"/>
          </w:tcPr>
          <w:p w14:paraId="5262B68D">
            <w:pPr>
              <w:rPr>
                <w:rFonts w:ascii="Arial"/>
                <w:sz w:val="21"/>
              </w:rPr>
            </w:pPr>
          </w:p>
        </w:tc>
        <w:tc>
          <w:tcPr>
            <w:tcW w:w="1843" w:type="dxa"/>
            <w:vAlign w:val="top"/>
          </w:tcPr>
          <w:p w14:paraId="2892065C">
            <w:pPr>
              <w:rPr>
                <w:rFonts w:ascii="Arial"/>
                <w:sz w:val="21"/>
              </w:rPr>
            </w:pPr>
          </w:p>
        </w:tc>
        <w:tc>
          <w:tcPr>
            <w:tcW w:w="1440" w:type="dxa"/>
            <w:vAlign w:val="top"/>
          </w:tcPr>
          <w:p w14:paraId="6FCF6859">
            <w:pPr>
              <w:rPr>
                <w:rFonts w:ascii="Arial"/>
                <w:sz w:val="21"/>
              </w:rPr>
            </w:pPr>
          </w:p>
        </w:tc>
        <w:tc>
          <w:tcPr>
            <w:tcW w:w="1799" w:type="dxa"/>
            <w:vAlign w:val="top"/>
          </w:tcPr>
          <w:p w14:paraId="637EF398">
            <w:pPr>
              <w:rPr>
                <w:rFonts w:ascii="Arial"/>
                <w:sz w:val="21"/>
              </w:rPr>
            </w:pPr>
          </w:p>
        </w:tc>
        <w:tc>
          <w:tcPr>
            <w:tcW w:w="1732" w:type="dxa"/>
            <w:vAlign w:val="top"/>
          </w:tcPr>
          <w:p w14:paraId="0AB36803">
            <w:pPr>
              <w:rPr>
                <w:rFonts w:ascii="Arial"/>
                <w:sz w:val="21"/>
              </w:rPr>
            </w:pPr>
          </w:p>
        </w:tc>
        <w:tc>
          <w:tcPr>
            <w:tcW w:w="1483" w:type="dxa"/>
            <w:vAlign w:val="top"/>
          </w:tcPr>
          <w:p w14:paraId="5B1E1D40">
            <w:pPr>
              <w:rPr>
                <w:rFonts w:ascii="Arial"/>
                <w:sz w:val="21"/>
              </w:rPr>
            </w:pPr>
          </w:p>
        </w:tc>
      </w:tr>
      <w:tr w14:paraId="386408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73" w:hRule="atLeast"/>
        </w:trPr>
        <w:tc>
          <w:tcPr>
            <w:tcW w:w="610" w:type="dxa"/>
            <w:vAlign w:val="top"/>
          </w:tcPr>
          <w:p w14:paraId="311367A9">
            <w:pPr>
              <w:rPr>
                <w:rFonts w:ascii="Arial"/>
                <w:sz w:val="21"/>
              </w:rPr>
            </w:pPr>
          </w:p>
        </w:tc>
        <w:tc>
          <w:tcPr>
            <w:tcW w:w="1843" w:type="dxa"/>
            <w:vAlign w:val="top"/>
          </w:tcPr>
          <w:p w14:paraId="0B077172">
            <w:pPr>
              <w:rPr>
                <w:rFonts w:ascii="Arial"/>
                <w:sz w:val="21"/>
              </w:rPr>
            </w:pPr>
          </w:p>
        </w:tc>
        <w:tc>
          <w:tcPr>
            <w:tcW w:w="1440" w:type="dxa"/>
            <w:vAlign w:val="top"/>
          </w:tcPr>
          <w:p w14:paraId="0FA9BA57">
            <w:pPr>
              <w:rPr>
                <w:rFonts w:ascii="Arial"/>
                <w:sz w:val="21"/>
              </w:rPr>
            </w:pPr>
          </w:p>
        </w:tc>
        <w:tc>
          <w:tcPr>
            <w:tcW w:w="1799" w:type="dxa"/>
            <w:vAlign w:val="top"/>
          </w:tcPr>
          <w:p w14:paraId="2D9DBF83">
            <w:pPr>
              <w:rPr>
                <w:rFonts w:ascii="Arial"/>
                <w:sz w:val="21"/>
              </w:rPr>
            </w:pPr>
          </w:p>
        </w:tc>
        <w:tc>
          <w:tcPr>
            <w:tcW w:w="1732" w:type="dxa"/>
            <w:vAlign w:val="top"/>
          </w:tcPr>
          <w:p w14:paraId="7478C45A">
            <w:pPr>
              <w:rPr>
                <w:rFonts w:ascii="Arial"/>
                <w:sz w:val="21"/>
              </w:rPr>
            </w:pPr>
          </w:p>
        </w:tc>
        <w:tc>
          <w:tcPr>
            <w:tcW w:w="1483" w:type="dxa"/>
            <w:vAlign w:val="top"/>
          </w:tcPr>
          <w:p w14:paraId="063E5706">
            <w:pPr>
              <w:rPr>
                <w:rFonts w:ascii="Arial"/>
                <w:sz w:val="21"/>
              </w:rPr>
            </w:pPr>
          </w:p>
        </w:tc>
      </w:tr>
      <w:tr w14:paraId="077811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78" w:hRule="atLeast"/>
        </w:trPr>
        <w:tc>
          <w:tcPr>
            <w:tcW w:w="610" w:type="dxa"/>
            <w:vAlign w:val="top"/>
          </w:tcPr>
          <w:p w14:paraId="617F0EEB">
            <w:pPr>
              <w:rPr>
                <w:rFonts w:ascii="Arial"/>
                <w:sz w:val="21"/>
              </w:rPr>
            </w:pPr>
          </w:p>
        </w:tc>
        <w:tc>
          <w:tcPr>
            <w:tcW w:w="1843" w:type="dxa"/>
            <w:vAlign w:val="top"/>
          </w:tcPr>
          <w:p w14:paraId="3DDFF0A1">
            <w:pPr>
              <w:spacing w:line="261" w:lineRule="auto"/>
              <w:rPr>
                <w:rFonts w:ascii="Arial"/>
                <w:sz w:val="21"/>
              </w:rPr>
            </w:pPr>
          </w:p>
          <w:p w14:paraId="07D6DBC7">
            <w:pPr>
              <w:pStyle w:val="11"/>
              <w:spacing w:before="68" w:line="221" w:lineRule="auto"/>
              <w:ind w:left="411"/>
              <w:rPr>
                <w:rFonts w:ascii="Times New Roman" w:hAnsi="Times New Roman" w:eastAsia="Times New Roman" w:cs="Times New Roman"/>
              </w:rPr>
            </w:pPr>
            <w:r>
              <w:rPr>
                <w:spacing w:val="-2"/>
              </w:rPr>
              <w:t>定值权重</w:t>
            </w:r>
            <w:r>
              <w:rPr>
                <w:spacing w:val="-55"/>
              </w:rPr>
              <w:t xml:space="preserve"> </w:t>
            </w:r>
            <w:r>
              <w:rPr>
                <w:rFonts w:ascii="Times New Roman" w:hAnsi="Times New Roman" w:eastAsia="Times New Roman" w:cs="Times New Roman"/>
                <w:spacing w:val="-2"/>
              </w:rPr>
              <w:t>A</w:t>
            </w:r>
          </w:p>
        </w:tc>
        <w:tc>
          <w:tcPr>
            <w:tcW w:w="1440" w:type="dxa"/>
            <w:vAlign w:val="top"/>
          </w:tcPr>
          <w:p w14:paraId="6BBEC16C">
            <w:pPr>
              <w:rPr>
                <w:rFonts w:ascii="Arial"/>
                <w:sz w:val="21"/>
              </w:rPr>
            </w:pPr>
          </w:p>
        </w:tc>
        <w:tc>
          <w:tcPr>
            <w:tcW w:w="1799" w:type="dxa"/>
            <w:vAlign w:val="top"/>
          </w:tcPr>
          <w:p w14:paraId="582727DA">
            <w:pPr>
              <w:spacing w:line="360" w:lineRule="auto"/>
              <w:rPr>
                <w:rFonts w:ascii="Arial"/>
                <w:sz w:val="21"/>
              </w:rPr>
            </w:pPr>
          </w:p>
          <w:p w14:paraId="7C28ED4D">
            <w:pPr>
              <w:pStyle w:val="11"/>
              <w:spacing w:before="68" w:line="143" w:lineRule="exact"/>
              <w:ind w:left="800"/>
            </w:pPr>
            <w:r>
              <w:rPr>
                <w:position w:val="-3"/>
              </w:rPr>
              <w:t>—</w:t>
            </w:r>
          </w:p>
        </w:tc>
        <w:tc>
          <w:tcPr>
            <w:tcW w:w="1732" w:type="dxa"/>
            <w:vAlign w:val="top"/>
          </w:tcPr>
          <w:p w14:paraId="6843E480">
            <w:pPr>
              <w:spacing w:line="360" w:lineRule="auto"/>
              <w:rPr>
                <w:rFonts w:ascii="Arial"/>
                <w:sz w:val="21"/>
              </w:rPr>
            </w:pPr>
          </w:p>
          <w:p w14:paraId="78277CDA">
            <w:pPr>
              <w:pStyle w:val="11"/>
              <w:spacing w:before="68" w:line="143" w:lineRule="exact"/>
              <w:ind w:left="768"/>
            </w:pPr>
            <w:r>
              <w:rPr>
                <w:position w:val="-3"/>
              </w:rPr>
              <w:t>—</w:t>
            </w:r>
          </w:p>
        </w:tc>
        <w:tc>
          <w:tcPr>
            <w:tcW w:w="1483" w:type="dxa"/>
            <w:vAlign w:val="top"/>
          </w:tcPr>
          <w:p w14:paraId="7E5A5859">
            <w:pPr>
              <w:rPr>
                <w:rFonts w:ascii="Arial"/>
                <w:sz w:val="21"/>
              </w:rPr>
            </w:pPr>
          </w:p>
        </w:tc>
      </w:tr>
      <w:tr w14:paraId="427E3C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78" w:hRule="atLeast"/>
        </w:trPr>
        <w:tc>
          <w:tcPr>
            <w:tcW w:w="2453" w:type="dxa"/>
            <w:gridSpan w:val="2"/>
            <w:vAlign w:val="top"/>
          </w:tcPr>
          <w:p w14:paraId="212E4246">
            <w:pPr>
              <w:spacing w:line="262" w:lineRule="auto"/>
              <w:rPr>
                <w:rFonts w:ascii="Arial"/>
                <w:sz w:val="21"/>
              </w:rPr>
            </w:pPr>
          </w:p>
          <w:p w14:paraId="1B964BEF">
            <w:pPr>
              <w:pStyle w:val="11"/>
              <w:spacing w:before="68" w:line="222" w:lineRule="auto"/>
              <w:ind w:left="1027"/>
            </w:pPr>
            <w:r>
              <w:rPr>
                <w:spacing w:val="-2"/>
              </w:rPr>
              <w:t>合计</w:t>
            </w:r>
          </w:p>
        </w:tc>
        <w:tc>
          <w:tcPr>
            <w:tcW w:w="1440" w:type="dxa"/>
            <w:vAlign w:val="top"/>
          </w:tcPr>
          <w:p w14:paraId="527D1EDE">
            <w:pPr>
              <w:spacing w:line="306" w:lineRule="auto"/>
              <w:rPr>
                <w:rFonts w:ascii="Arial"/>
                <w:sz w:val="21"/>
              </w:rPr>
            </w:pPr>
          </w:p>
          <w:p w14:paraId="6CC9AD89">
            <w:pPr>
              <w:spacing w:before="61" w:line="189" w:lineRule="auto"/>
              <w:ind w:left="688"/>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1799" w:type="dxa"/>
            <w:vAlign w:val="top"/>
          </w:tcPr>
          <w:p w14:paraId="549D2D95">
            <w:pPr>
              <w:tabs>
                <w:tab w:val="left" w:pos="1004"/>
              </w:tabs>
              <w:spacing w:before="239" w:line="242" w:lineRule="exact"/>
              <w:ind w:left="800"/>
              <w:rPr>
                <w:rFonts w:ascii="Arial"/>
                <w:sz w:val="21"/>
              </w:rPr>
            </w:pPr>
            <w:r>
              <w:rPr>
                <w:rFonts w:ascii="Arial" w:hAnsi="Arial" w:eastAsia="Arial" w:cs="Arial"/>
                <w:sz w:val="21"/>
                <w:szCs w:val="21"/>
                <w:u w:val="single" w:color="auto"/>
              </w:rPr>
              <w:tab/>
            </w:r>
          </w:p>
        </w:tc>
        <w:tc>
          <w:tcPr>
            <w:tcW w:w="1732" w:type="dxa"/>
            <w:vAlign w:val="top"/>
          </w:tcPr>
          <w:p w14:paraId="5B39A631">
            <w:pPr>
              <w:spacing w:line="361" w:lineRule="auto"/>
              <w:rPr>
                <w:rFonts w:ascii="Arial"/>
                <w:sz w:val="21"/>
              </w:rPr>
            </w:pPr>
          </w:p>
          <w:p w14:paraId="13CFB19F">
            <w:pPr>
              <w:pStyle w:val="11"/>
              <w:spacing w:before="68" w:line="143" w:lineRule="exact"/>
              <w:ind w:left="768"/>
            </w:pPr>
            <w:r>
              <w:rPr>
                <w:position w:val="-3"/>
              </w:rPr>
              <w:t>—</w:t>
            </w:r>
          </w:p>
        </w:tc>
        <w:tc>
          <w:tcPr>
            <w:tcW w:w="1483" w:type="dxa"/>
            <w:vAlign w:val="top"/>
          </w:tcPr>
          <w:p w14:paraId="7A1A7288">
            <w:pPr>
              <w:rPr>
                <w:rFonts w:ascii="Arial"/>
                <w:sz w:val="21"/>
              </w:rPr>
            </w:pPr>
          </w:p>
        </w:tc>
      </w:tr>
    </w:tbl>
    <w:p w14:paraId="48DB8F80">
      <w:pPr>
        <w:pStyle w:val="3"/>
        <w:spacing w:line="437" w:lineRule="auto"/>
      </w:pPr>
    </w:p>
    <w:p w14:paraId="0B624090">
      <w:pPr>
        <w:spacing w:before="69" w:line="234" w:lineRule="auto"/>
        <w:ind w:left="857" w:right="597" w:hanging="839"/>
        <w:rPr>
          <w:rFonts w:ascii="宋体" w:hAnsi="宋体" w:eastAsia="宋体" w:cs="宋体"/>
          <w:sz w:val="21"/>
          <w:szCs w:val="21"/>
        </w:rPr>
      </w:pPr>
      <w:r>
        <w:rPr>
          <w:rFonts w:ascii="宋体" w:hAnsi="宋体" w:eastAsia="宋体" w:cs="宋体"/>
          <w:spacing w:val="-9"/>
          <w:sz w:val="21"/>
          <w:szCs w:val="21"/>
        </w:rPr>
        <w:t xml:space="preserve">注： </w:t>
      </w:r>
      <w:r>
        <w:rPr>
          <w:rFonts w:ascii="Times New Roman" w:hAnsi="Times New Roman" w:eastAsia="Times New Roman" w:cs="Times New Roman"/>
          <w:spacing w:val="-9"/>
          <w:sz w:val="21"/>
          <w:szCs w:val="21"/>
        </w:rPr>
        <w:t>1</w:t>
      </w:r>
      <w:r>
        <w:rPr>
          <w:rFonts w:ascii="宋体" w:hAnsi="宋体" w:eastAsia="宋体" w:cs="宋体"/>
          <w:spacing w:val="-9"/>
          <w:sz w:val="21"/>
          <w:szCs w:val="21"/>
        </w:rPr>
        <w:t>．“名称、规格、型号”、“ 基本</w:t>
      </w:r>
      <w:r>
        <w:rPr>
          <w:rFonts w:ascii="宋体" w:hAnsi="宋体" w:eastAsia="宋体" w:cs="宋体"/>
          <w:spacing w:val="-10"/>
          <w:sz w:val="21"/>
          <w:szCs w:val="21"/>
        </w:rPr>
        <w:t>价格指数”栏由招标人填写，基本价格指数应首先采</w:t>
      </w:r>
      <w:r>
        <w:rPr>
          <w:rFonts w:ascii="宋体" w:hAnsi="宋体" w:eastAsia="宋体" w:cs="宋体"/>
          <w:sz w:val="21"/>
          <w:szCs w:val="21"/>
        </w:rPr>
        <w:t xml:space="preserve"> </w:t>
      </w:r>
      <w:r>
        <w:rPr>
          <w:rFonts w:ascii="宋体" w:hAnsi="宋体" w:eastAsia="宋体" w:cs="宋体"/>
          <w:spacing w:val="-3"/>
          <w:sz w:val="21"/>
          <w:szCs w:val="21"/>
        </w:rPr>
        <w:t>用工程造价管理机构发布的价格指数， 没</w:t>
      </w:r>
      <w:r>
        <w:rPr>
          <w:rFonts w:ascii="宋体" w:hAnsi="宋体" w:eastAsia="宋体" w:cs="宋体"/>
          <w:spacing w:val="-4"/>
          <w:sz w:val="21"/>
          <w:szCs w:val="21"/>
        </w:rPr>
        <w:t>有时， 可用发布的价格代替。如人工、</w:t>
      </w:r>
      <w:r>
        <w:rPr>
          <w:rFonts w:ascii="宋体" w:hAnsi="宋体" w:eastAsia="宋体" w:cs="宋体"/>
          <w:sz w:val="21"/>
          <w:szCs w:val="21"/>
        </w:rPr>
        <w:t xml:space="preserve"> </w:t>
      </w:r>
      <w:r>
        <w:rPr>
          <w:rFonts w:ascii="宋体" w:hAnsi="宋体" w:eastAsia="宋体" w:cs="宋体"/>
          <w:spacing w:val="-1"/>
          <w:sz w:val="21"/>
          <w:szCs w:val="21"/>
        </w:rPr>
        <w:t>机械也采用本法调整，由招标人在“名称”栏填写。</w:t>
      </w:r>
    </w:p>
    <w:p w14:paraId="03C8CD89">
      <w:pPr>
        <w:spacing w:before="24" w:line="228" w:lineRule="auto"/>
        <w:ind w:left="873" w:right="600" w:hanging="422"/>
        <w:rPr>
          <w:rFonts w:ascii="宋体" w:hAnsi="宋体" w:eastAsia="宋体" w:cs="宋体"/>
          <w:sz w:val="21"/>
          <w:szCs w:val="21"/>
        </w:rPr>
      </w:pPr>
      <w:r>
        <w:rPr>
          <w:rFonts w:ascii="Times New Roman" w:hAnsi="Times New Roman" w:eastAsia="Times New Roman" w:cs="Times New Roman"/>
          <w:spacing w:val="-1"/>
          <w:sz w:val="21"/>
          <w:szCs w:val="21"/>
        </w:rPr>
        <w:t>2</w:t>
      </w:r>
      <w:r>
        <w:rPr>
          <w:rFonts w:ascii="Times New Roman" w:hAnsi="Times New Roman" w:eastAsia="Times New Roman" w:cs="Times New Roman"/>
          <w:spacing w:val="-20"/>
          <w:sz w:val="21"/>
          <w:szCs w:val="21"/>
        </w:rPr>
        <w:t xml:space="preserve"> </w:t>
      </w:r>
      <w:r>
        <w:rPr>
          <w:rFonts w:ascii="宋体" w:hAnsi="宋体" w:eastAsia="宋体" w:cs="宋体"/>
          <w:spacing w:val="-1"/>
          <w:sz w:val="21"/>
          <w:szCs w:val="21"/>
        </w:rPr>
        <w:t>．“变值权重”栏由投标人根据该项人工、机械费和材料、工程设备价值在投标总报</w:t>
      </w:r>
      <w:r>
        <w:rPr>
          <w:rFonts w:ascii="宋体" w:hAnsi="宋体" w:eastAsia="宋体" w:cs="宋体"/>
          <w:sz w:val="21"/>
          <w:szCs w:val="21"/>
        </w:rPr>
        <w:t xml:space="preserve"> </w:t>
      </w:r>
      <w:r>
        <w:rPr>
          <w:rFonts w:ascii="宋体" w:hAnsi="宋体" w:eastAsia="宋体" w:cs="宋体"/>
          <w:spacing w:val="-8"/>
          <w:sz w:val="21"/>
          <w:szCs w:val="21"/>
        </w:rPr>
        <w:t>价中所站比例填写，</w:t>
      </w:r>
      <w:r>
        <w:rPr>
          <w:rFonts w:ascii="宋体" w:hAnsi="宋体" w:eastAsia="宋体" w:cs="宋体"/>
          <w:spacing w:val="34"/>
          <w:sz w:val="21"/>
          <w:szCs w:val="21"/>
        </w:rPr>
        <w:t xml:space="preserve"> </w:t>
      </w:r>
      <w:r>
        <w:rPr>
          <w:rFonts w:ascii="Times New Roman" w:hAnsi="Times New Roman" w:eastAsia="Times New Roman" w:cs="Times New Roman"/>
          <w:spacing w:val="-8"/>
          <w:sz w:val="21"/>
          <w:szCs w:val="21"/>
        </w:rPr>
        <w:t xml:space="preserve">1 </w:t>
      </w:r>
      <w:r>
        <w:rPr>
          <w:rFonts w:ascii="宋体" w:hAnsi="宋体" w:eastAsia="宋体" w:cs="宋体"/>
          <w:spacing w:val="-8"/>
          <w:sz w:val="21"/>
          <w:szCs w:val="21"/>
        </w:rPr>
        <w:t>减去其比例为定值权重。</w:t>
      </w:r>
    </w:p>
    <w:p w14:paraId="5FCFDB5B">
      <w:pPr>
        <w:spacing w:before="25" w:line="222" w:lineRule="auto"/>
        <w:ind w:left="874" w:right="591" w:hanging="418"/>
        <w:rPr>
          <w:rFonts w:ascii="宋体" w:hAnsi="宋体" w:eastAsia="宋体" w:cs="宋体"/>
          <w:sz w:val="21"/>
          <w:szCs w:val="21"/>
        </w:rPr>
      </w:pPr>
      <w:r>
        <w:rPr>
          <w:rFonts w:ascii="Times New Roman" w:hAnsi="Times New Roman" w:eastAsia="Times New Roman" w:cs="Times New Roman"/>
          <w:spacing w:val="-3"/>
          <w:sz w:val="21"/>
          <w:szCs w:val="21"/>
        </w:rPr>
        <w:t>3</w:t>
      </w:r>
      <w:r>
        <w:rPr>
          <w:rFonts w:ascii="宋体" w:hAnsi="宋体" w:eastAsia="宋体" w:cs="宋体"/>
          <w:spacing w:val="-3"/>
          <w:sz w:val="21"/>
          <w:szCs w:val="21"/>
        </w:rPr>
        <w:t>．“现行价格指数”按约定的付款证书相关周期最后一天的前</w:t>
      </w:r>
      <w:r>
        <w:rPr>
          <w:rFonts w:ascii="宋体" w:hAnsi="宋体" w:eastAsia="宋体" w:cs="宋体"/>
          <w:spacing w:val="-39"/>
          <w:sz w:val="21"/>
          <w:szCs w:val="21"/>
        </w:rPr>
        <w:t xml:space="preserve"> </w:t>
      </w:r>
      <w:r>
        <w:rPr>
          <w:rFonts w:ascii="Times New Roman" w:hAnsi="Times New Roman" w:eastAsia="Times New Roman" w:cs="Times New Roman"/>
          <w:spacing w:val="-3"/>
          <w:sz w:val="21"/>
          <w:szCs w:val="21"/>
        </w:rPr>
        <w:t xml:space="preserve">42 </w:t>
      </w:r>
      <w:r>
        <w:rPr>
          <w:rFonts w:ascii="宋体" w:hAnsi="宋体" w:eastAsia="宋体" w:cs="宋体"/>
          <w:spacing w:val="-3"/>
          <w:sz w:val="21"/>
          <w:szCs w:val="21"/>
        </w:rPr>
        <w:t>天的各项价格指数填</w:t>
      </w:r>
      <w:r>
        <w:rPr>
          <w:rFonts w:ascii="宋体" w:hAnsi="宋体" w:eastAsia="宋体" w:cs="宋体"/>
          <w:sz w:val="21"/>
          <w:szCs w:val="21"/>
        </w:rPr>
        <w:t xml:space="preserve"> 写，该指数应首先采用工程造价管理机构发布的价格指数， </w:t>
      </w:r>
      <w:r>
        <w:rPr>
          <w:rFonts w:ascii="宋体" w:hAnsi="宋体" w:eastAsia="宋体" w:cs="宋体"/>
          <w:spacing w:val="-1"/>
          <w:sz w:val="21"/>
          <w:szCs w:val="21"/>
        </w:rPr>
        <w:t>没有时，可用发布的</w:t>
      </w:r>
      <w:r>
        <w:rPr>
          <w:rFonts w:ascii="宋体" w:hAnsi="宋体" w:eastAsia="宋体" w:cs="宋体"/>
          <w:sz w:val="21"/>
          <w:szCs w:val="21"/>
        </w:rPr>
        <w:t xml:space="preserve"> </w:t>
      </w:r>
      <w:r>
        <w:rPr>
          <w:rFonts w:ascii="宋体" w:hAnsi="宋体" w:eastAsia="宋体" w:cs="宋体"/>
          <w:spacing w:val="-6"/>
          <w:sz w:val="21"/>
          <w:szCs w:val="21"/>
        </w:rPr>
        <w:t>价格代替。</w:t>
      </w:r>
    </w:p>
    <w:p w14:paraId="0E01998E">
      <w:pPr>
        <w:spacing w:line="222" w:lineRule="auto"/>
        <w:rPr>
          <w:rFonts w:ascii="宋体" w:hAnsi="宋体" w:eastAsia="宋体" w:cs="宋体"/>
          <w:sz w:val="21"/>
          <w:szCs w:val="21"/>
        </w:rPr>
        <w:sectPr>
          <w:type w:val="continuous"/>
          <w:pgSz w:w="11905" w:h="16839"/>
          <w:pgMar w:top="400" w:right="1195" w:bottom="1004" w:left="1785" w:header="0" w:footer="828" w:gutter="0"/>
          <w:pgNumType w:fmt="decimal"/>
          <w:cols w:equalWidth="0" w:num="1">
            <w:col w:w="8923"/>
          </w:cols>
        </w:sectPr>
      </w:pPr>
    </w:p>
    <w:p w14:paraId="217FDBB9">
      <w:pPr>
        <w:pStyle w:val="3"/>
        <w:spacing w:line="249" w:lineRule="auto"/>
      </w:pPr>
    </w:p>
    <w:p w14:paraId="6F8382D2">
      <w:pPr>
        <w:pStyle w:val="3"/>
        <w:spacing w:line="249" w:lineRule="auto"/>
      </w:pPr>
    </w:p>
    <w:p w14:paraId="65DC7FE2">
      <w:pPr>
        <w:pStyle w:val="3"/>
        <w:spacing w:line="250" w:lineRule="auto"/>
      </w:pPr>
    </w:p>
    <w:p w14:paraId="4023AE2E">
      <w:pPr>
        <w:pStyle w:val="3"/>
        <w:spacing w:line="250" w:lineRule="auto"/>
      </w:pPr>
    </w:p>
    <w:p w14:paraId="1A0B2E1F">
      <w:pPr>
        <w:pStyle w:val="3"/>
        <w:spacing w:line="250" w:lineRule="auto"/>
      </w:pPr>
    </w:p>
    <w:p w14:paraId="2FE0D343">
      <w:pPr>
        <w:pStyle w:val="3"/>
        <w:spacing w:line="250" w:lineRule="auto"/>
      </w:pPr>
    </w:p>
    <w:p w14:paraId="4AA3FE1E">
      <w:pPr>
        <w:pStyle w:val="3"/>
        <w:spacing w:line="250" w:lineRule="auto"/>
      </w:pPr>
    </w:p>
    <w:p w14:paraId="0BB9A471">
      <w:pPr>
        <w:pStyle w:val="3"/>
        <w:spacing w:line="250" w:lineRule="auto"/>
      </w:pPr>
    </w:p>
    <w:p w14:paraId="42BFC912">
      <w:pPr>
        <w:pStyle w:val="3"/>
        <w:spacing w:line="250" w:lineRule="auto"/>
      </w:pPr>
    </w:p>
    <w:p w14:paraId="1E302DFB">
      <w:pPr>
        <w:pStyle w:val="3"/>
        <w:spacing w:line="250" w:lineRule="auto"/>
      </w:pPr>
    </w:p>
    <w:p w14:paraId="1BD0D2E1">
      <w:pPr>
        <w:pStyle w:val="3"/>
        <w:spacing w:line="250" w:lineRule="auto"/>
      </w:pPr>
    </w:p>
    <w:p w14:paraId="53BBBC65">
      <w:pPr>
        <w:pStyle w:val="3"/>
        <w:spacing w:line="250" w:lineRule="auto"/>
      </w:pPr>
    </w:p>
    <w:p w14:paraId="7CC34219">
      <w:pPr>
        <w:pStyle w:val="3"/>
        <w:spacing w:line="250" w:lineRule="auto"/>
      </w:pPr>
    </w:p>
    <w:p w14:paraId="7907EE8F">
      <w:pPr>
        <w:pStyle w:val="3"/>
        <w:spacing w:line="250" w:lineRule="auto"/>
      </w:pPr>
    </w:p>
    <w:p w14:paraId="31B132F8">
      <w:pPr>
        <w:pStyle w:val="3"/>
        <w:spacing w:line="250" w:lineRule="auto"/>
      </w:pPr>
    </w:p>
    <w:p w14:paraId="76DEA067">
      <w:pPr>
        <w:pStyle w:val="3"/>
        <w:spacing w:line="250" w:lineRule="auto"/>
      </w:pPr>
    </w:p>
    <w:p w14:paraId="7C788895">
      <w:pPr>
        <w:pStyle w:val="3"/>
        <w:spacing w:line="250" w:lineRule="auto"/>
      </w:pPr>
    </w:p>
    <w:p w14:paraId="611AFEFE">
      <w:pPr>
        <w:pStyle w:val="3"/>
        <w:spacing w:line="250" w:lineRule="auto"/>
      </w:pPr>
    </w:p>
    <w:p w14:paraId="4FF7E057">
      <w:pPr>
        <w:pStyle w:val="3"/>
        <w:spacing w:line="250" w:lineRule="auto"/>
      </w:pPr>
    </w:p>
    <w:p w14:paraId="00BB749C">
      <w:pPr>
        <w:spacing w:before="156" w:line="219" w:lineRule="auto"/>
        <w:ind w:left="3467"/>
        <w:rPr>
          <w:rFonts w:ascii="黑体" w:hAnsi="黑体" w:eastAsia="黑体" w:cs="黑体"/>
          <w:sz w:val="48"/>
          <w:szCs w:val="48"/>
        </w:rPr>
      </w:pPr>
      <w:r>
        <w:rPr>
          <w:rFonts w:ascii="黑体" w:hAnsi="黑体" w:eastAsia="黑体" w:cs="黑体"/>
          <w:spacing w:val="-5"/>
          <w:sz w:val="48"/>
          <w:szCs w:val="48"/>
        </w:rPr>
        <w:t>第二卷</w:t>
      </w:r>
    </w:p>
    <w:p w14:paraId="21085731">
      <w:pPr>
        <w:spacing w:line="219" w:lineRule="auto"/>
        <w:rPr>
          <w:rFonts w:ascii="黑体" w:hAnsi="黑体" w:eastAsia="黑体" w:cs="黑体"/>
          <w:sz w:val="48"/>
          <w:szCs w:val="48"/>
        </w:rPr>
        <w:sectPr>
          <w:footerReference r:id="rId183" w:type="default"/>
          <w:pgSz w:w="11905" w:h="16839"/>
          <w:pgMar w:top="400" w:right="1785" w:bottom="1004" w:left="1785" w:header="0" w:footer="828" w:gutter="0"/>
          <w:pgNumType w:fmt="decimal"/>
          <w:cols w:space="720" w:num="1"/>
        </w:sectPr>
      </w:pPr>
    </w:p>
    <w:p w14:paraId="77CA001D">
      <w:pPr>
        <w:pStyle w:val="3"/>
        <w:spacing w:line="242" w:lineRule="auto"/>
      </w:pPr>
    </w:p>
    <w:p w14:paraId="3D514368">
      <w:pPr>
        <w:pStyle w:val="3"/>
        <w:spacing w:line="242" w:lineRule="auto"/>
      </w:pPr>
    </w:p>
    <w:p w14:paraId="30235ACC">
      <w:pPr>
        <w:pStyle w:val="3"/>
        <w:spacing w:line="242" w:lineRule="auto"/>
      </w:pPr>
    </w:p>
    <w:p w14:paraId="406C973B">
      <w:pPr>
        <w:pStyle w:val="3"/>
        <w:spacing w:line="242" w:lineRule="auto"/>
      </w:pPr>
    </w:p>
    <w:p w14:paraId="254C2B7D">
      <w:pPr>
        <w:pStyle w:val="3"/>
        <w:spacing w:line="242" w:lineRule="auto"/>
      </w:pPr>
    </w:p>
    <w:p w14:paraId="3529A82D">
      <w:pPr>
        <w:pStyle w:val="3"/>
        <w:spacing w:line="242" w:lineRule="auto"/>
      </w:pPr>
    </w:p>
    <w:p w14:paraId="05A50993">
      <w:pPr>
        <w:pStyle w:val="3"/>
        <w:spacing w:line="243" w:lineRule="auto"/>
      </w:pPr>
    </w:p>
    <w:p w14:paraId="4A577CD1">
      <w:pPr>
        <w:pStyle w:val="3"/>
        <w:spacing w:line="243" w:lineRule="auto"/>
      </w:pPr>
    </w:p>
    <w:p w14:paraId="56FCD51D">
      <w:pPr>
        <w:pStyle w:val="3"/>
        <w:spacing w:line="243" w:lineRule="auto"/>
      </w:pPr>
    </w:p>
    <w:p w14:paraId="005B89B8">
      <w:pPr>
        <w:pStyle w:val="3"/>
        <w:spacing w:line="243" w:lineRule="auto"/>
      </w:pPr>
    </w:p>
    <w:p w14:paraId="1F70270C">
      <w:pPr>
        <w:pStyle w:val="3"/>
        <w:spacing w:line="243" w:lineRule="auto"/>
      </w:pPr>
    </w:p>
    <w:p w14:paraId="46761E46">
      <w:pPr>
        <w:pStyle w:val="3"/>
        <w:spacing w:line="243" w:lineRule="auto"/>
      </w:pPr>
    </w:p>
    <w:p w14:paraId="2DE9CBBE">
      <w:pPr>
        <w:pStyle w:val="3"/>
        <w:spacing w:line="243" w:lineRule="auto"/>
      </w:pPr>
    </w:p>
    <w:p w14:paraId="533A6CB8">
      <w:pPr>
        <w:pStyle w:val="3"/>
        <w:spacing w:line="243" w:lineRule="auto"/>
      </w:pPr>
    </w:p>
    <w:p w14:paraId="72BECA28">
      <w:pPr>
        <w:pStyle w:val="3"/>
        <w:spacing w:line="243" w:lineRule="auto"/>
      </w:pPr>
    </w:p>
    <w:p w14:paraId="37F0F7F7">
      <w:pPr>
        <w:pStyle w:val="3"/>
        <w:spacing w:line="243" w:lineRule="auto"/>
      </w:pPr>
    </w:p>
    <w:p w14:paraId="5F08A279">
      <w:pPr>
        <w:pStyle w:val="3"/>
        <w:spacing w:line="243" w:lineRule="auto"/>
      </w:pPr>
    </w:p>
    <w:p w14:paraId="2F6B24B4">
      <w:pPr>
        <w:pStyle w:val="3"/>
        <w:spacing w:line="243" w:lineRule="auto"/>
      </w:pPr>
    </w:p>
    <w:p w14:paraId="440A0D57">
      <w:pPr>
        <w:pStyle w:val="3"/>
        <w:spacing w:line="243" w:lineRule="auto"/>
      </w:pPr>
    </w:p>
    <w:p w14:paraId="5D8F373E">
      <w:pPr>
        <w:pStyle w:val="3"/>
        <w:spacing w:line="243" w:lineRule="auto"/>
      </w:pPr>
    </w:p>
    <w:p w14:paraId="4479D332">
      <w:pPr>
        <w:spacing w:before="104" w:line="220" w:lineRule="auto"/>
        <w:ind w:left="3057"/>
        <w:rPr>
          <w:rFonts w:ascii="黑体" w:hAnsi="黑体" w:eastAsia="黑体" w:cs="黑体"/>
          <w:sz w:val="32"/>
          <w:szCs w:val="32"/>
        </w:rPr>
      </w:pPr>
      <w:r>
        <w:rPr>
          <w:rFonts w:ascii="黑体" w:hAnsi="黑体" w:eastAsia="黑体" w:cs="黑体"/>
          <w:spacing w:val="-8"/>
          <w:sz w:val="32"/>
          <w:szCs w:val="32"/>
        </w:rPr>
        <w:t>第六章</w:t>
      </w:r>
      <w:r>
        <w:rPr>
          <w:rFonts w:ascii="黑体" w:hAnsi="黑体" w:eastAsia="黑体" w:cs="黑体"/>
          <w:spacing w:val="15"/>
          <w:sz w:val="32"/>
          <w:szCs w:val="32"/>
        </w:rPr>
        <w:t xml:space="preserve">  </w:t>
      </w:r>
      <w:r>
        <w:rPr>
          <w:rFonts w:ascii="黑体" w:hAnsi="黑体" w:eastAsia="黑体" w:cs="黑体"/>
          <w:spacing w:val="-8"/>
          <w:sz w:val="32"/>
          <w:szCs w:val="32"/>
        </w:rPr>
        <w:t>图</w:t>
      </w:r>
      <w:r>
        <w:rPr>
          <w:rFonts w:ascii="黑体" w:hAnsi="黑体" w:eastAsia="黑体" w:cs="黑体"/>
          <w:spacing w:val="9"/>
          <w:sz w:val="32"/>
          <w:szCs w:val="32"/>
        </w:rPr>
        <w:t xml:space="preserve">  </w:t>
      </w:r>
      <w:r>
        <w:rPr>
          <w:rFonts w:ascii="黑体" w:hAnsi="黑体" w:eastAsia="黑体" w:cs="黑体"/>
          <w:spacing w:val="-8"/>
          <w:sz w:val="32"/>
          <w:szCs w:val="32"/>
        </w:rPr>
        <w:t>纸</w:t>
      </w:r>
    </w:p>
    <w:p w14:paraId="611C50E3">
      <w:pPr>
        <w:spacing w:line="220" w:lineRule="auto"/>
        <w:rPr>
          <w:rFonts w:ascii="黑体" w:hAnsi="黑体" w:eastAsia="黑体" w:cs="黑体"/>
          <w:sz w:val="32"/>
          <w:szCs w:val="32"/>
        </w:rPr>
        <w:sectPr>
          <w:footerReference r:id="rId184" w:type="default"/>
          <w:pgSz w:w="11905" w:h="16839"/>
          <w:pgMar w:top="400" w:right="1785" w:bottom="1004" w:left="1785" w:header="0" w:footer="828" w:gutter="0"/>
          <w:pgNumType w:fmt="decimal"/>
          <w:cols w:space="720" w:num="1"/>
        </w:sectPr>
      </w:pPr>
    </w:p>
    <w:p w14:paraId="331DF336">
      <w:pPr>
        <w:pStyle w:val="3"/>
        <w:spacing w:line="266" w:lineRule="auto"/>
      </w:pPr>
    </w:p>
    <w:p w14:paraId="5DC71A84">
      <w:pPr>
        <w:pStyle w:val="3"/>
        <w:spacing w:line="266" w:lineRule="auto"/>
      </w:pPr>
    </w:p>
    <w:p w14:paraId="7D10AED3">
      <w:pPr>
        <w:pStyle w:val="3"/>
        <w:spacing w:line="267" w:lineRule="auto"/>
      </w:pPr>
    </w:p>
    <w:p w14:paraId="24EBBB3F">
      <w:pPr>
        <w:pStyle w:val="3"/>
        <w:spacing w:line="267" w:lineRule="auto"/>
      </w:pPr>
    </w:p>
    <w:p w14:paraId="3328BB5A">
      <w:pPr>
        <w:spacing w:before="78" w:line="219" w:lineRule="auto"/>
        <w:ind w:left="38"/>
        <w:rPr>
          <w:rFonts w:ascii="黑体" w:hAnsi="黑体" w:eastAsia="黑体" w:cs="黑体"/>
          <w:sz w:val="24"/>
          <w:szCs w:val="24"/>
        </w:rPr>
      </w:pPr>
      <w:r>
        <w:rPr>
          <w:rFonts w:ascii="Times New Roman" w:hAnsi="Times New Roman" w:eastAsia="Times New Roman" w:cs="Times New Roman"/>
          <w:spacing w:val="-10"/>
          <w:sz w:val="24"/>
          <w:szCs w:val="24"/>
        </w:rPr>
        <w:t>1</w:t>
      </w:r>
      <w:r>
        <w:rPr>
          <w:rFonts w:ascii="Times New Roman" w:hAnsi="Times New Roman" w:eastAsia="Times New Roman" w:cs="Times New Roman"/>
          <w:spacing w:val="-23"/>
          <w:sz w:val="24"/>
          <w:szCs w:val="24"/>
        </w:rPr>
        <w:t xml:space="preserve"> </w:t>
      </w:r>
      <w:r>
        <w:rPr>
          <w:rFonts w:ascii="黑体" w:hAnsi="黑体" w:eastAsia="黑体" w:cs="黑体"/>
          <w:spacing w:val="-10"/>
          <w:sz w:val="24"/>
          <w:szCs w:val="24"/>
        </w:rPr>
        <w:t>．图纸目录</w:t>
      </w:r>
    </w:p>
    <w:p w14:paraId="40E41E3B">
      <w:pPr>
        <w:spacing w:line="34" w:lineRule="auto"/>
        <w:rPr>
          <w:rFonts w:ascii="Arial"/>
          <w:sz w:val="2"/>
        </w:rPr>
      </w:pPr>
    </w:p>
    <w:tbl>
      <w:tblPr>
        <w:tblStyle w:val="10"/>
        <w:tblW w:w="8311"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87"/>
        <w:gridCol w:w="1387"/>
        <w:gridCol w:w="1382"/>
        <w:gridCol w:w="1382"/>
        <w:gridCol w:w="1382"/>
        <w:gridCol w:w="1391"/>
      </w:tblGrid>
      <w:tr w14:paraId="2764DA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1387" w:type="dxa"/>
            <w:vAlign w:val="top"/>
          </w:tcPr>
          <w:p w14:paraId="00169E96">
            <w:pPr>
              <w:pStyle w:val="11"/>
              <w:spacing w:before="125" w:line="222" w:lineRule="auto"/>
              <w:ind w:left="492"/>
            </w:pPr>
            <w:r>
              <w:rPr>
                <w:spacing w:val="-2"/>
              </w:rPr>
              <w:t>序号</w:t>
            </w:r>
          </w:p>
        </w:tc>
        <w:tc>
          <w:tcPr>
            <w:tcW w:w="1387" w:type="dxa"/>
            <w:vAlign w:val="top"/>
          </w:tcPr>
          <w:p w14:paraId="43FD4DCA">
            <w:pPr>
              <w:pStyle w:val="11"/>
              <w:spacing w:before="125" w:line="222" w:lineRule="auto"/>
              <w:ind w:left="509"/>
            </w:pPr>
            <w:r>
              <w:rPr>
                <w:spacing w:val="-7"/>
              </w:rPr>
              <w:t>图名</w:t>
            </w:r>
          </w:p>
        </w:tc>
        <w:tc>
          <w:tcPr>
            <w:tcW w:w="1382" w:type="dxa"/>
            <w:vAlign w:val="top"/>
          </w:tcPr>
          <w:p w14:paraId="47992ADD">
            <w:pPr>
              <w:pStyle w:val="11"/>
              <w:spacing w:before="125" w:line="222" w:lineRule="auto"/>
              <w:ind w:left="510"/>
            </w:pPr>
            <w:r>
              <w:rPr>
                <w:spacing w:val="-7"/>
              </w:rPr>
              <w:t>图号</w:t>
            </w:r>
          </w:p>
        </w:tc>
        <w:tc>
          <w:tcPr>
            <w:tcW w:w="1382" w:type="dxa"/>
            <w:vAlign w:val="top"/>
          </w:tcPr>
          <w:p w14:paraId="069FDEBA">
            <w:pPr>
              <w:pStyle w:val="11"/>
              <w:spacing w:before="125" w:line="220" w:lineRule="auto"/>
              <w:ind w:left="491"/>
            </w:pPr>
            <w:r>
              <w:rPr>
                <w:spacing w:val="-2"/>
              </w:rPr>
              <w:t>版本</w:t>
            </w:r>
          </w:p>
        </w:tc>
        <w:tc>
          <w:tcPr>
            <w:tcW w:w="1382" w:type="dxa"/>
            <w:vAlign w:val="top"/>
          </w:tcPr>
          <w:p w14:paraId="109057E1">
            <w:pPr>
              <w:pStyle w:val="11"/>
              <w:spacing w:before="125" w:line="221" w:lineRule="auto"/>
              <w:ind w:left="298"/>
            </w:pPr>
            <w:r>
              <w:rPr>
                <w:spacing w:val="-5"/>
              </w:rPr>
              <w:t>出图日期</w:t>
            </w:r>
          </w:p>
        </w:tc>
        <w:tc>
          <w:tcPr>
            <w:tcW w:w="1391" w:type="dxa"/>
            <w:vAlign w:val="top"/>
          </w:tcPr>
          <w:p w14:paraId="5AB6F4CF">
            <w:pPr>
              <w:pStyle w:val="11"/>
              <w:spacing w:before="125" w:line="222" w:lineRule="auto"/>
              <w:ind w:left="495"/>
            </w:pPr>
            <w:r>
              <w:rPr>
                <w:spacing w:val="-3"/>
              </w:rPr>
              <w:t>备注</w:t>
            </w:r>
          </w:p>
        </w:tc>
      </w:tr>
      <w:tr w14:paraId="263B61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1" w:hRule="atLeast"/>
        </w:trPr>
        <w:tc>
          <w:tcPr>
            <w:tcW w:w="1387" w:type="dxa"/>
            <w:vAlign w:val="top"/>
          </w:tcPr>
          <w:p w14:paraId="0959A976">
            <w:pPr>
              <w:rPr>
                <w:rFonts w:ascii="Arial"/>
                <w:sz w:val="21"/>
              </w:rPr>
            </w:pPr>
          </w:p>
        </w:tc>
        <w:tc>
          <w:tcPr>
            <w:tcW w:w="1387" w:type="dxa"/>
            <w:vAlign w:val="top"/>
          </w:tcPr>
          <w:p w14:paraId="6C403AB6">
            <w:pPr>
              <w:rPr>
                <w:rFonts w:ascii="Arial"/>
                <w:sz w:val="21"/>
              </w:rPr>
            </w:pPr>
          </w:p>
        </w:tc>
        <w:tc>
          <w:tcPr>
            <w:tcW w:w="1382" w:type="dxa"/>
            <w:vAlign w:val="top"/>
          </w:tcPr>
          <w:p w14:paraId="13A52A43">
            <w:pPr>
              <w:rPr>
                <w:rFonts w:ascii="Arial"/>
                <w:sz w:val="21"/>
              </w:rPr>
            </w:pPr>
          </w:p>
        </w:tc>
        <w:tc>
          <w:tcPr>
            <w:tcW w:w="1382" w:type="dxa"/>
            <w:vAlign w:val="top"/>
          </w:tcPr>
          <w:p w14:paraId="60788435">
            <w:pPr>
              <w:rPr>
                <w:rFonts w:ascii="Arial"/>
                <w:sz w:val="21"/>
              </w:rPr>
            </w:pPr>
          </w:p>
        </w:tc>
        <w:tc>
          <w:tcPr>
            <w:tcW w:w="1382" w:type="dxa"/>
            <w:vAlign w:val="top"/>
          </w:tcPr>
          <w:p w14:paraId="1B67936B">
            <w:pPr>
              <w:rPr>
                <w:rFonts w:ascii="Arial"/>
                <w:sz w:val="21"/>
              </w:rPr>
            </w:pPr>
          </w:p>
        </w:tc>
        <w:tc>
          <w:tcPr>
            <w:tcW w:w="1391" w:type="dxa"/>
            <w:vAlign w:val="top"/>
          </w:tcPr>
          <w:p w14:paraId="07C59B18">
            <w:pPr>
              <w:rPr>
                <w:rFonts w:ascii="Arial"/>
                <w:sz w:val="21"/>
              </w:rPr>
            </w:pPr>
          </w:p>
        </w:tc>
      </w:tr>
      <w:tr w14:paraId="2FAF6C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6" w:hRule="atLeast"/>
        </w:trPr>
        <w:tc>
          <w:tcPr>
            <w:tcW w:w="1387" w:type="dxa"/>
            <w:vAlign w:val="top"/>
          </w:tcPr>
          <w:p w14:paraId="1DF57FF4">
            <w:pPr>
              <w:rPr>
                <w:rFonts w:ascii="Arial"/>
                <w:sz w:val="21"/>
              </w:rPr>
            </w:pPr>
          </w:p>
        </w:tc>
        <w:tc>
          <w:tcPr>
            <w:tcW w:w="1387" w:type="dxa"/>
            <w:vAlign w:val="top"/>
          </w:tcPr>
          <w:p w14:paraId="502FA546">
            <w:pPr>
              <w:rPr>
                <w:rFonts w:ascii="Arial"/>
                <w:sz w:val="21"/>
              </w:rPr>
            </w:pPr>
          </w:p>
        </w:tc>
        <w:tc>
          <w:tcPr>
            <w:tcW w:w="1382" w:type="dxa"/>
            <w:vAlign w:val="top"/>
          </w:tcPr>
          <w:p w14:paraId="1D7A07BD">
            <w:pPr>
              <w:rPr>
                <w:rFonts w:ascii="Arial"/>
                <w:sz w:val="21"/>
              </w:rPr>
            </w:pPr>
          </w:p>
        </w:tc>
        <w:tc>
          <w:tcPr>
            <w:tcW w:w="1382" w:type="dxa"/>
            <w:vAlign w:val="top"/>
          </w:tcPr>
          <w:p w14:paraId="3CF0B473">
            <w:pPr>
              <w:rPr>
                <w:rFonts w:ascii="Arial"/>
                <w:sz w:val="21"/>
              </w:rPr>
            </w:pPr>
          </w:p>
        </w:tc>
        <w:tc>
          <w:tcPr>
            <w:tcW w:w="1382" w:type="dxa"/>
            <w:vAlign w:val="top"/>
          </w:tcPr>
          <w:p w14:paraId="3AA42DAD">
            <w:pPr>
              <w:rPr>
                <w:rFonts w:ascii="Arial"/>
                <w:sz w:val="21"/>
              </w:rPr>
            </w:pPr>
          </w:p>
        </w:tc>
        <w:tc>
          <w:tcPr>
            <w:tcW w:w="1391" w:type="dxa"/>
            <w:vAlign w:val="top"/>
          </w:tcPr>
          <w:p w14:paraId="60B492A1">
            <w:pPr>
              <w:rPr>
                <w:rFonts w:ascii="Arial"/>
                <w:sz w:val="21"/>
              </w:rPr>
            </w:pPr>
          </w:p>
        </w:tc>
      </w:tr>
      <w:tr w14:paraId="300EEC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1387" w:type="dxa"/>
            <w:vAlign w:val="top"/>
          </w:tcPr>
          <w:p w14:paraId="57299424">
            <w:pPr>
              <w:rPr>
                <w:rFonts w:ascii="Arial"/>
                <w:sz w:val="21"/>
              </w:rPr>
            </w:pPr>
          </w:p>
        </w:tc>
        <w:tc>
          <w:tcPr>
            <w:tcW w:w="1387" w:type="dxa"/>
            <w:vAlign w:val="top"/>
          </w:tcPr>
          <w:p w14:paraId="4F72462A">
            <w:pPr>
              <w:rPr>
                <w:rFonts w:ascii="Arial"/>
                <w:sz w:val="21"/>
              </w:rPr>
            </w:pPr>
          </w:p>
        </w:tc>
        <w:tc>
          <w:tcPr>
            <w:tcW w:w="1382" w:type="dxa"/>
            <w:vAlign w:val="top"/>
          </w:tcPr>
          <w:p w14:paraId="13D19674">
            <w:pPr>
              <w:rPr>
                <w:rFonts w:ascii="Arial"/>
                <w:sz w:val="21"/>
              </w:rPr>
            </w:pPr>
          </w:p>
        </w:tc>
        <w:tc>
          <w:tcPr>
            <w:tcW w:w="1382" w:type="dxa"/>
            <w:vAlign w:val="top"/>
          </w:tcPr>
          <w:p w14:paraId="1702054B">
            <w:pPr>
              <w:rPr>
                <w:rFonts w:ascii="Arial"/>
                <w:sz w:val="21"/>
              </w:rPr>
            </w:pPr>
          </w:p>
        </w:tc>
        <w:tc>
          <w:tcPr>
            <w:tcW w:w="1382" w:type="dxa"/>
            <w:vAlign w:val="top"/>
          </w:tcPr>
          <w:p w14:paraId="1726C9F3">
            <w:pPr>
              <w:rPr>
                <w:rFonts w:ascii="Arial"/>
                <w:sz w:val="21"/>
              </w:rPr>
            </w:pPr>
          </w:p>
        </w:tc>
        <w:tc>
          <w:tcPr>
            <w:tcW w:w="1391" w:type="dxa"/>
            <w:vAlign w:val="top"/>
          </w:tcPr>
          <w:p w14:paraId="1D60E601">
            <w:pPr>
              <w:rPr>
                <w:rFonts w:ascii="Arial"/>
                <w:sz w:val="21"/>
              </w:rPr>
            </w:pPr>
          </w:p>
        </w:tc>
      </w:tr>
      <w:tr w14:paraId="2413B5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1387" w:type="dxa"/>
            <w:vAlign w:val="top"/>
          </w:tcPr>
          <w:p w14:paraId="0A5C3DC3">
            <w:pPr>
              <w:rPr>
                <w:rFonts w:ascii="Arial"/>
                <w:sz w:val="21"/>
              </w:rPr>
            </w:pPr>
          </w:p>
        </w:tc>
        <w:tc>
          <w:tcPr>
            <w:tcW w:w="1387" w:type="dxa"/>
            <w:vAlign w:val="top"/>
          </w:tcPr>
          <w:p w14:paraId="2E670DEC">
            <w:pPr>
              <w:rPr>
                <w:rFonts w:ascii="Arial"/>
                <w:sz w:val="21"/>
              </w:rPr>
            </w:pPr>
          </w:p>
        </w:tc>
        <w:tc>
          <w:tcPr>
            <w:tcW w:w="1382" w:type="dxa"/>
            <w:vAlign w:val="top"/>
          </w:tcPr>
          <w:p w14:paraId="0ED7290F">
            <w:pPr>
              <w:rPr>
                <w:rFonts w:ascii="Arial"/>
                <w:sz w:val="21"/>
              </w:rPr>
            </w:pPr>
          </w:p>
        </w:tc>
        <w:tc>
          <w:tcPr>
            <w:tcW w:w="1382" w:type="dxa"/>
            <w:vAlign w:val="top"/>
          </w:tcPr>
          <w:p w14:paraId="2258A339">
            <w:pPr>
              <w:rPr>
                <w:rFonts w:ascii="Arial"/>
                <w:sz w:val="21"/>
              </w:rPr>
            </w:pPr>
          </w:p>
        </w:tc>
        <w:tc>
          <w:tcPr>
            <w:tcW w:w="1382" w:type="dxa"/>
            <w:vAlign w:val="top"/>
          </w:tcPr>
          <w:p w14:paraId="50376841">
            <w:pPr>
              <w:rPr>
                <w:rFonts w:ascii="Arial"/>
                <w:sz w:val="21"/>
              </w:rPr>
            </w:pPr>
          </w:p>
        </w:tc>
        <w:tc>
          <w:tcPr>
            <w:tcW w:w="1391" w:type="dxa"/>
            <w:vAlign w:val="top"/>
          </w:tcPr>
          <w:p w14:paraId="097F9846">
            <w:pPr>
              <w:rPr>
                <w:rFonts w:ascii="Arial"/>
                <w:sz w:val="21"/>
              </w:rPr>
            </w:pPr>
          </w:p>
        </w:tc>
      </w:tr>
      <w:tr w14:paraId="1AD817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6" w:hRule="atLeast"/>
        </w:trPr>
        <w:tc>
          <w:tcPr>
            <w:tcW w:w="1387" w:type="dxa"/>
            <w:vAlign w:val="top"/>
          </w:tcPr>
          <w:p w14:paraId="67A47622">
            <w:pPr>
              <w:rPr>
                <w:rFonts w:ascii="Arial"/>
                <w:sz w:val="21"/>
              </w:rPr>
            </w:pPr>
          </w:p>
        </w:tc>
        <w:tc>
          <w:tcPr>
            <w:tcW w:w="1387" w:type="dxa"/>
            <w:vAlign w:val="top"/>
          </w:tcPr>
          <w:p w14:paraId="6581455B">
            <w:pPr>
              <w:rPr>
                <w:rFonts w:ascii="Arial"/>
                <w:sz w:val="21"/>
              </w:rPr>
            </w:pPr>
          </w:p>
        </w:tc>
        <w:tc>
          <w:tcPr>
            <w:tcW w:w="1382" w:type="dxa"/>
            <w:vAlign w:val="top"/>
          </w:tcPr>
          <w:p w14:paraId="74B8B5C6">
            <w:pPr>
              <w:rPr>
                <w:rFonts w:ascii="Arial"/>
                <w:sz w:val="21"/>
              </w:rPr>
            </w:pPr>
          </w:p>
        </w:tc>
        <w:tc>
          <w:tcPr>
            <w:tcW w:w="1382" w:type="dxa"/>
            <w:vAlign w:val="top"/>
          </w:tcPr>
          <w:p w14:paraId="13EA01BE">
            <w:pPr>
              <w:rPr>
                <w:rFonts w:ascii="Arial"/>
                <w:sz w:val="21"/>
              </w:rPr>
            </w:pPr>
          </w:p>
        </w:tc>
        <w:tc>
          <w:tcPr>
            <w:tcW w:w="1382" w:type="dxa"/>
            <w:vAlign w:val="top"/>
          </w:tcPr>
          <w:p w14:paraId="55C7C7B9">
            <w:pPr>
              <w:rPr>
                <w:rFonts w:ascii="Arial"/>
                <w:sz w:val="21"/>
              </w:rPr>
            </w:pPr>
          </w:p>
        </w:tc>
        <w:tc>
          <w:tcPr>
            <w:tcW w:w="1391" w:type="dxa"/>
            <w:vAlign w:val="top"/>
          </w:tcPr>
          <w:p w14:paraId="4A25F29E">
            <w:pPr>
              <w:rPr>
                <w:rFonts w:ascii="Arial"/>
                <w:sz w:val="21"/>
              </w:rPr>
            </w:pPr>
          </w:p>
        </w:tc>
      </w:tr>
      <w:tr w14:paraId="271DF9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1387" w:type="dxa"/>
            <w:vAlign w:val="top"/>
          </w:tcPr>
          <w:p w14:paraId="092C4BEE">
            <w:pPr>
              <w:rPr>
                <w:rFonts w:ascii="Arial"/>
                <w:sz w:val="21"/>
              </w:rPr>
            </w:pPr>
          </w:p>
        </w:tc>
        <w:tc>
          <w:tcPr>
            <w:tcW w:w="1387" w:type="dxa"/>
            <w:vAlign w:val="top"/>
          </w:tcPr>
          <w:p w14:paraId="724A2A08">
            <w:pPr>
              <w:rPr>
                <w:rFonts w:ascii="Arial"/>
                <w:sz w:val="21"/>
              </w:rPr>
            </w:pPr>
          </w:p>
        </w:tc>
        <w:tc>
          <w:tcPr>
            <w:tcW w:w="1382" w:type="dxa"/>
            <w:vAlign w:val="top"/>
          </w:tcPr>
          <w:p w14:paraId="174C4458">
            <w:pPr>
              <w:rPr>
                <w:rFonts w:ascii="Arial"/>
                <w:sz w:val="21"/>
              </w:rPr>
            </w:pPr>
          </w:p>
        </w:tc>
        <w:tc>
          <w:tcPr>
            <w:tcW w:w="1382" w:type="dxa"/>
            <w:vAlign w:val="top"/>
          </w:tcPr>
          <w:p w14:paraId="2B37B8E2">
            <w:pPr>
              <w:rPr>
                <w:rFonts w:ascii="Arial"/>
                <w:sz w:val="21"/>
              </w:rPr>
            </w:pPr>
          </w:p>
        </w:tc>
        <w:tc>
          <w:tcPr>
            <w:tcW w:w="1382" w:type="dxa"/>
            <w:vAlign w:val="top"/>
          </w:tcPr>
          <w:p w14:paraId="227D5276">
            <w:pPr>
              <w:rPr>
                <w:rFonts w:ascii="Arial"/>
                <w:sz w:val="21"/>
              </w:rPr>
            </w:pPr>
          </w:p>
        </w:tc>
        <w:tc>
          <w:tcPr>
            <w:tcW w:w="1391" w:type="dxa"/>
            <w:vAlign w:val="top"/>
          </w:tcPr>
          <w:p w14:paraId="1D44FC34">
            <w:pPr>
              <w:rPr>
                <w:rFonts w:ascii="Arial"/>
                <w:sz w:val="21"/>
              </w:rPr>
            </w:pPr>
          </w:p>
        </w:tc>
      </w:tr>
      <w:tr w14:paraId="166879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1" w:hRule="atLeast"/>
        </w:trPr>
        <w:tc>
          <w:tcPr>
            <w:tcW w:w="1387" w:type="dxa"/>
            <w:vAlign w:val="top"/>
          </w:tcPr>
          <w:p w14:paraId="247D203C">
            <w:pPr>
              <w:rPr>
                <w:rFonts w:ascii="Arial"/>
                <w:sz w:val="21"/>
              </w:rPr>
            </w:pPr>
          </w:p>
        </w:tc>
        <w:tc>
          <w:tcPr>
            <w:tcW w:w="1387" w:type="dxa"/>
            <w:vAlign w:val="top"/>
          </w:tcPr>
          <w:p w14:paraId="4743A12E">
            <w:pPr>
              <w:rPr>
                <w:rFonts w:ascii="Arial"/>
                <w:sz w:val="21"/>
              </w:rPr>
            </w:pPr>
          </w:p>
        </w:tc>
        <w:tc>
          <w:tcPr>
            <w:tcW w:w="1382" w:type="dxa"/>
            <w:vAlign w:val="top"/>
          </w:tcPr>
          <w:p w14:paraId="33605B4B">
            <w:pPr>
              <w:rPr>
                <w:rFonts w:ascii="Arial"/>
                <w:sz w:val="21"/>
              </w:rPr>
            </w:pPr>
          </w:p>
        </w:tc>
        <w:tc>
          <w:tcPr>
            <w:tcW w:w="1382" w:type="dxa"/>
            <w:vAlign w:val="top"/>
          </w:tcPr>
          <w:p w14:paraId="4E8BE458">
            <w:pPr>
              <w:rPr>
                <w:rFonts w:ascii="Arial"/>
                <w:sz w:val="21"/>
              </w:rPr>
            </w:pPr>
          </w:p>
        </w:tc>
        <w:tc>
          <w:tcPr>
            <w:tcW w:w="1382" w:type="dxa"/>
            <w:vAlign w:val="top"/>
          </w:tcPr>
          <w:p w14:paraId="26BACF03">
            <w:pPr>
              <w:rPr>
                <w:rFonts w:ascii="Arial"/>
                <w:sz w:val="21"/>
              </w:rPr>
            </w:pPr>
          </w:p>
        </w:tc>
        <w:tc>
          <w:tcPr>
            <w:tcW w:w="1391" w:type="dxa"/>
            <w:vAlign w:val="top"/>
          </w:tcPr>
          <w:p w14:paraId="0B3390F5">
            <w:pPr>
              <w:rPr>
                <w:rFonts w:ascii="Arial"/>
                <w:sz w:val="21"/>
              </w:rPr>
            </w:pPr>
          </w:p>
        </w:tc>
      </w:tr>
      <w:tr w14:paraId="402C9B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6" w:hRule="atLeast"/>
        </w:trPr>
        <w:tc>
          <w:tcPr>
            <w:tcW w:w="1387" w:type="dxa"/>
            <w:vAlign w:val="top"/>
          </w:tcPr>
          <w:p w14:paraId="3238FDD8">
            <w:pPr>
              <w:rPr>
                <w:rFonts w:ascii="Arial"/>
                <w:sz w:val="21"/>
              </w:rPr>
            </w:pPr>
          </w:p>
        </w:tc>
        <w:tc>
          <w:tcPr>
            <w:tcW w:w="1387" w:type="dxa"/>
            <w:vAlign w:val="top"/>
          </w:tcPr>
          <w:p w14:paraId="201FF0DC">
            <w:pPr>
              <w:rPr>
                <w:rFonts w:ascii="Arial"/>
                <w:sz w:val="21"/>
              </w:rPr>
            </w:pPr>
          </w:p>
        </w:tc>
        <w:tc>
          <w:tcPr>
            <w:tcW w:w="1382" w:type="dxa"/>
            <w:vAlign w:val="top"/>
          </w:tcPr>
          <w:p w14:paraId="2CE91730">
            <w:pPr>
              <w:rPr>
                <w:rFonts w:ascii="Arial"/>
                <w:sz w:val="21"/>
              </w:rPr>
            </w:pPr>
          </w:p>
        </w:tc>
        <w:tc>
          <w:tcPr>
            <w:tcW w:w="1382" w:type="dxa"/>
            <w:vAlign w:val="top"/>
          </w:tcPr>
          <w:p w14:paraId="536807E2">
            <w:pPr>
              <w:rPr>
                <w:rFonts w:ascii="Arial"/>
                <w:sz w:val="21"/>
              </w:rPr>
            </w:pPr>
          </w:p>
        </w:tc>
        <w:tc>
          <w:tcPr>
            <w:tcW w:w="1382" w:type="dxa"/>
            <w:vAlign w:val="top"/>
          </w:tcPr>
          <w:p w14:paraId="684BF4B5">
            <w:pPr>
              <w:rPr>
                <w:rFonts w:ascii="Arial"/>
                <w:sz w:val="21"/>
              </w:rPr>
            </w:pPr>
          </w:p>
        </w:tc>
        <w:tc>
          <w:tcPr>
            <w:tcW w:w="1391" w:type="dxa"/>
            <w:vAlign w:val="top"/>
          </w:tcPr>
          <w:p w14:paraId="1AC4B5BA">
            <w:pPr>
              <w:rPr>
                <w:rFonts w:ascii="Arial"/>
                <w:sz w:val="21"/>
              </w:rPr>
            </w:pPr>
          </w:p>
        </w:tc>
      </w:tr>
      <w:tr w14:paraId="10F7A4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1" w:hRule="atLeast"/>
        </w:trPr>
        <w:tc>
          <w:tcPr>
            <w:tcW w:w="1387" w:type="dxa"/>
            <w:vAlign w:val="top"/>
          </w:tcPr>
          <w:p w14:paraId="7B14DCA6">
            <w:pPr>
              <w:rPr>
                <w:rFonts w:ascii="Arial"/>
                <w:sz w:val="21"/>
              </w:rPr>
            </w:pPr>
          </w:p>
        </w:tc>
        <w:tc>
          <w:tcPr>
            <w:tcW w:w="1387" w:type="dxa"/>
            <w:vAlign w:val="top"/>
          </w:tcPr>
          <w:p w14:paraId="432A97A6">
            <w:pPr>
              <w:rPr>
                <w:rFonts w:ascii="Arial"/>
                <w:sz w:val="21"/>
              </w:rPr>
            </w:pPr>
          </w:p>
        </w:tc>
        <w:tc>
          <w:tcPr>
            <w:tcW w:w="1382" w:type="dxa"/>
            <w:vAlign w:val="top"/>
          </w:tcPr>
          <w:p w14:paraId="2ACAA489">
            <w:pPr>
              <w:rPr>
                <w:rFonts w:ascii="Arial"/>
                <w:sz w:val="21"/>
              </w:rPr>
            </w:pPr>
          </w:p>
        </w:tc>
        <w:tc>
          <w:tcPr>
            <w:tcW w:w="1382" w:type="dxa"/>
            <w:vAlign w:val="top"/>
          </w:tcPr>
          <w:p w14:paraId="0995026A">
            <w:pPr>
              <w:rPr>
                <w:rFonts w:ascii="Arial"/>
                <w:sz w:val="21"/>
              </w:rPr>
            </w:pPr>
          </w:p>
        </w:tc>
        <w:tc>
          <w:tcPr>
            <w:tcW w:w="1382" w:type="dxa"/>
            <w:vAlign w:val="top"/>
          </w:tcPr>
          <w:p w14:paraId="38D9EE68">
            <w:pPr>
              <w:rPr>
                <w:rFonts w:ascii="Arial"/>
                <w:sz w:val="21"/>
              </w:rPr>
            </w:pPr>
          </w:p>
        </w:tc>
        <w:tc>
          <w:tcPr>
            <w:tcW w:w="1391" w:type="dxa"/>
            <w:vAlign w:val="top"/>
          </w:tcPr>
          <w:p w14:paraId="738825E0">
            <w:pPr>
              <w:rPr>
                <w:rFonts w:ascii="Arial"/>
                <w:sz w:val="21"/>
              </w:rPr>
            </w:pPr>
          </w:p>
        </w:tc>
      </w:tr>
      <w:tr w14:paraId="706E02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1387" w:type="dxa"/>
            <w:vAlign w:val="top"/>
          </w:tcPr>
          <w:p w14:paraId="5BC5BC11">
            <w:pPr>
              <w:rPr>
                <w:rFonts w:ascii="Arial"/>
                <w:sz w:val="21"/>
              </w:rPr>
            </w:pPr>
          </w:p>
        </w:tc>
        <w:tc>
          <w:tcPr>
            <w:tcW w:w="1387" w:type="dxa"/>
            <w:vAlign w:val="top"/>
          </w:tcPr>
          <w:p w14:paraId="3E2B1D78">
            <w:pPr>
              <w:rPr>
                <w:rFonts w:ascii="Arial"/>
                <w:sz w:val="21"/>
              </w:rPr>
            </w:pPr>
          </w:p>
        </w:tc>
        <w:tc>
          <w:tcPr>
            <w:tcW w:w="1382" w:type="dxa"/>
            <w:vAlign w:val="top"/>
          </w:tcPr>
          <w:p w14:paraId="11B460F9">
            <w:pPr>
              <w:rPr>
                <w:rFonts w:ascii="Arial"/>
                <w:sz w:val="21"/>
              </w:rPr>
            </w:pPr>
          </w:p>
        </w:tc>
        <w:tc>
          <w:tcPr>
            <w:tcW w:w="1382" w:type="dxa"/>
            <w:vAlign w:val="top"/>
          </w:tcPr>
          <w:p w14:paraId="032222F7">
            <w:pPr>
              <w:rPr>
                <w:rFonts w:ascii="Arial"/>
                <w:sz w:val="21"/>
              </w:rPr>
            </w:pPr>
          </w:p>
        </w:tc>
        <w:tc>
          <w:tcPr>
            <w:tcW w:w="1382" w:type="dxa"/>
            <w:vAlign w:val="top"/>
          </w:tcPr>
          <w:p w14:paraId="4E7A0956">
            <w:pPr>
              <w:rPr>
                <w:rFonts w:ascii="Arial"/>
                <w:sz w:val="21"/>
              </w:rPr>
            </w:pPr>
          </w:p>
        </w:tc>
        <w:tc>
          <w:tcPr>
            <w:tcW w:w="1391" w:type="dxa"/>
            <w:vAlign w:val="top"/>
          </w:tcPr>
          <w:p w14:paraId="25521C0C">
            <w:pPr>
              <w:rPr>
                <w:rFonts w:ascii="Arial"/>
                <w:sz w:val="21"/>
              </w:rPr>
            </w:pPr>
          </w:p>
        </w:tc>
      </w:tr>
      <w:tr w14:paraId="5DAE97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6" w:hRule="atLeast"/>
        </w:trPr>
        <w:tc>
          <w:tcPr>
            <w:tcW w:w="1387" w:type="dxa"/>
            <w:vAlign w:val="top"/>
          </w:tcPr>
          <w:p w14:paraId="4648D9B9">
            <w:pPr>
              <w:rPr>
                <w:rFonts w:ascii="Arial"/>
                <w:sz w:val="21"/>
              </w:rPr>
            </w:pPr>
          </w:p>
        </w:tc>
        <w:tc>
          <w:tcPr>
            <w:tcW w:w="1387" w:type="dxa"/>
            <w:vAlign w:val="top"/>
          </w:tcPr>
          <w:p w14:paraId="7D305075">
            <w:pPr>
              <w:rPr>
                <w:rFonts w:ascii="Arial"/>
                <w:sz w:val="21"/>
              </w:rPr>
            </w:pPr>
          </w:p>
        </w:tc>
        <w:tc>
          <w:tcPr>
            <w:tcW w:w="1382" w:type="dxa"/>
            <w:vAlign w:val="top"/>
          </w:tcPr>
          <w:p w14:paraId="4609D013">
            <w:pPr>
              <w:rPr>
                <w:rFonts w:ascii="Arial"/>
                <w:sz w:val="21"/>
              </w:rPr>
            </w:pPr>
          </w:p>
        </w:tc>
        <w:tc>
          <w:tcPr>
            <w:tcW w:w="1382" w:type="dxa"/>
            <w:vAlign w:val="top"/>
          </w:tcPr>
          <w:p w14:paraId="19428E67">
            <w:pPr>
              <w:rPr>
                <w:rFonts w:ascii="Arial"/>
                <w:sz w:val="21"/>
              </w:rPr>
            </w:pPr>
          </w:p>
        </w:tc>
        <w:tc>
          <w:tcPr>
            <w:tcW w:w="1382" w:type="dxa"/>
            <w:vAlign w:val="top"/>
          </w:tcPr>
          <w:p w14:paraId="348901AE">
            <w:pPr>
              <w:rPr>
                <w:rFonts w:ascii="Arial"/>
                <w:sz w:val="21"/>
              </w:rPr>
            </w:pPr>
          </w:p>
        </w:tc>
        <w:tc>
          <w:tcPr>
            <w:tcW w:w="1391" w:type="dxa"/>
            <w:vAlign w:val="top"/>
          </w:tcPr>
          <w:p w14:paraId="31F0CB3C">
            <w:pPr>
              <w:rPr>
                <w:rFonts w:ascii="Arial"/>
                <w:sz w:val="21"/>
              </w:rPr>
            </w:pPr>
          </w:p>
        </w:tc>
      </w:tr>
      <w:tr w14:paraId="3DC43E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1387" w:type="dxa"/>
            <w:vAlign w:val="top"/>
          </w:tcPr>
          <w:p w14:paraId="67A5E78C">
            <w:pPr>
              <w:rPr>
                <w:rFonts w:ascii="Arial"/>
                <w:sz w:val="21"/>
              </w:rPr>
            </w:pPr>
          </w:p>
        </w:tc>
        <w:tc>
          <w:tcPr>
            <w:tcW w:w="1387" w:type="dxa"/>
            <w:vAlign w:val="top"/>
          </w:tcPr>
          <w:p w14:paraId="71F53DEB">
            <w:pPr>
              <w:rPr>
                <w:rFonts w:ascii="Arial"/>
                <w:sz w:val="21"/>
              </w:rPr>
            </w:pPr>
          </w:p>
        </w:tc>
        <w:tc>
          <w:tcPr>
            <w:tcW w:w="1382" w:type="dxa"/>
            <w:vAlign w:val="top"/>
          </w:tcPr>
          <w:p w14:paraId="5C8764B4">
            <w:pPr>
              <w:rPr>
                <w:rFonts w:ascii="Arial"/>
                <w:sz w:val="21"/>
              </w:rPr>
            </w:pPr>
          </w:p>
        </w:tc>
        <w:tc>
          <w:tcPr>
            <w:tcW w:w="1382" w:type="dxa"/>
            <w:vAlign w:val="top"/>
          </w:tcPr>
          <w:p w14:paraId="347C1880">
            <w:pPr>
              <w:rPr>
                <w:rFonts w:ascii="Arial"/>
                <w:sz w:val="21"/>
              </w:rPr>
            </w:pPr>
          </w:p>
        </w:tc>
        <w:tc>
          <w:tcPr>
            <w:tcW w:w="1382" w:type="dxa"/>
            <w:vAlign w:val="top"/>
          </w:tcPr>
          <w:p w14:paraId="50E48A1F">
            <w:pPr>
              <w:rPr>
                <w:rFonts w:ascii="Arial"/>
                <w:sz w:val="21"/>
              </w:rPr>
            </w:pPr>
          </w:p>
        </w:tc>
        <w:tc>
          <w:tcPr>
            <w:tcW w:w="1391" w:type="dxa"/>
            <w:vAlign w:val="top"/>
          </w:tcPr>
          <w:p w14:paraId="7CD948BF">
            <w:pPr>
              <w:rPr>
                <w:rFonts w:ascii="Arial"/>
                <w:sz w:val="21"/>
              </w:rPr>
            </w:pPr>
          </w:p>
        </w:tc>
      </w:tr>
      <w:tr w14:paraId="3FB36E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1" w:hRule="atLeast"/>
        </w:trPr>
        <w:tc>
          <w:tcPr>
            <w:tcW w:w="1387" w:type="dxa"/>
            <w:vAlign w:val="top"/>
          </w:tcPr>
          <w:p w14:paraId="516825C0">
            <w:pPr>
              <w:rPr>
                <w:rFonts w:ascii="Arial"/>
                <w:sz w:val="21"/>
              </w:rPr>
            </w:pPr>
          </w:p>
        </w:tc>
        <w:tc>
          <w:tcPr>
            <w:tcW w:w="1387" w:type="dxa"/>
            <w:vAlign w:val="top"/>
          </w:tcPr>
          <w:p w14:paraId="7B51557E">
            <w:pPr>
              <w:rPr>
                <w:rFonts w:ascii="Arial"/>
                <w:sz w:val="21"/>
              </w:rPr>
            </w:pPr>
          </w:p>
        </w:tc>
        <w:tc>
          <w:tcPr>
            <w:tcW w:w="1382" w:type="dxa"/>
            <w:vAlign w:val="top"/>
          </w:tcPr>
          <w:p w14:paraId="3BD6F189">
            <w:pPr>
              <w:rPr>
                <w:rFonts w:ascii="Arial"/>
                <w:sz w:val="21"/>
              </w:rPr>
            </w:pPr>
          </w:p>
        </w:tc>
        <w:tc>
          <w:tcPr>
            <w:tcW w:w="1382" w:type="dxa"/>
            <w:vAlign w:val="top"/>
          </w:tcPr>
          <w:p w14:paraId="47A01EBB">
            <w:pPr>
              <w:rPr>
                <w:rFonts w:ascii="Arial"/>
                <w:sz w:val="21"/>
              </w:rPr>
            </w:pPr>
          </w:p>
        </w:tc>
        <w:tc>
          <w:tcPr>
            <w:tcW w:w="1382" w:type="dxa"/>
            <w:vAlign w:val="top"/>
          </w:tcPr>
          <w:p w14:paraId="7A8DF4CF">
            <w:pPr>
              <w:rPr>
                <w:rFonts w:ascii="Arial"/>
                <w:sz w:val="21"/>
              </w:rPr>
            </w:pPr>
          </w:p>
        </w:tc>
        <w:tc>
          <w:tcPr>
            <w:tcW w:w="1391" w:type="dxa"/>
            <w:vAlign w:val="top"/>
          </w:tcPr>
          <w:p w14:paraId="7C307335">
            <w:pPr>
              <w:rPr>
                <w:rFonts w:ascii="Arial"/>
                <w:sz w:val="21"/>
              </w:rPr>
            </w:pPr>
          </w:p>
        </w:tc>
      </w:tr>
      <w:tr w14:paraId="35E725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6" w:hRule="atLeast"/>
        </w:trPr>
        <w:tc>
          <w:tcPr>
            <w:tcW w:w="1387" w:type="dxa"/>
            <w:vAlign w:val="top"/>
          </w:tcPr>
          <w:p w14:paraId="30C0B63B">
            <w:pPr>
              <w:rPr>
                <w:rFonts w:ascii="Arial"/>
                <w:sz w:val="21"/>
              </w:rPr>
            </w:pPr>
          </w:p>
        </w:tc>
        <w:tc>
          <w:tcPr>
            <w:tcW w:w="1387" w:type="dxa"/>
            <w:vAlign w:val="top"/>
          </w:tcPr>
          <w:p w14:paraId="20EC7C40">
            <w:pPr>
              <w:rPr>
                <w:rFonts w:ascii="Arial"/>
                <w:sz w:val="21"/>
              </w:rPr>
            </w:pPr>
          </w:p>
        </w:tc>
        <w:tc>
          <w:tcPr>
            <w:tcW w:w="1382" w:type="dxa"/>
            <w:vAlign w:val="top"/>
          </w:tcPr>
          <w:p w14:paraId="603765D3">
            <w:pPr>
              <w:rPr>
                <w:rFonts w:ascii="Arial"/>
                <w:sz w:val="21"/>
              </w:rPr>
            </w:pPr>
          </w:p>
        </w:tc>
        <w:tc>
          <w:tcPr>
            <w:tcW w:w="1382" w:type="dxa"/>
            <w:vAlign w:val="top"/>
          </w:tcPr>
          <w:p w14:paraId="5EB0B024">
            <w:pPr>
              <w:rPr>
                <w:rFonts w:ascii="Arial"/>
                <w:sz w:val="21"/>
              </w:rPr>
            </w:pPr>
          </w:p>
        </w:tc>
        <w:tc>
          <w:tcPr>
            <w:tcW w:w="1382" w:type="dxa"/>
            <w:vAlign w:val="top"/>
          </w:tcPr>
          <w:p w14:paraId="66C18E43">
            <w:pPr>
              <w:rPr>
                <w:rFonts w:ascii="Arial"/>
                <w:sz w:val="21"/>
              </w:rPr>
            </w:pPr>
          </w:p>
        </w:tc>
        <w:tc>
          <w:tcPr>
            <w:tcW w:w="1391" w:type="dxa"/>
            <w:vAlign w:val="top"/>
          </w:tcPr>
          <w:p w14:paraId="01292212">
            <w:pPr>
              <w:rPr>
                <w:rFonts w:ascii="Arial"/>
                <w:sz w:val="21"/>
              </w:rPr>
            </w:pPr>
          </w:p>
        </w:tc>
      </w:tr>
      <w:tr w14:paraId="7085FF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1387" w:type="dxa"/>
            <w:vAlign w:val="top"/>
          </w:tcPr>
          <w:p w14:paraId="00CFBCAB">
            <w:pPr>
              <w:rPr>
                <w:rFonts w:ascii="Arial"/>
                <w:sz w:val="21"/>
              </w:rPr>
            </w:pPr>
          </w:p>
        </w:tc>
        <w:tc>
          <w:tcPr>
            <w:tcW w:w="1387" w:type="dxa"/>
            <w:vAlign w:val="top"/>
          </w:tcPr>
          <w:p w14:paraId="725570D3">
            <w:pPr>
              <w:rPr>
                <w:rFonts w:ascii="Arial"/>
                <w:sz w:val="21"/>
              </w:rPr>
            </w:pPr>
          </w:p>
        </w:tc>
        <w:tc>
          <w:tcPr>
            <w:tcW w:w="1382" w:type="dxa"/>
            <w:vAlign w:val="top"/>
          </w:tcPr>
          <w:p w14:paraId="5FEB7381">
            <w:pPr>
              <w:rPr>
                <w:rFonts w:ascii="Arial"/>
                <w:sz w:val="21"/>
              </w:rPr>
            </w:pPr>
          </w:p>
        </w:tc>
        <w:tc>
          <w:tcPr>
            <w:tcW w:w="1382" w:type="dxa"/>
            <w:vAlign w:val="top"/>
          </w:tcPr>
          <w:p w14:paraId="10D74EC1">
            <w:pPr>
              <w:rPr>
                <w:rFonts w:ascii="Arial"/>
                <w:sz w:val="21"/>
              </w:rPr>
            </w:pPr>
          </w:p>
        </w:tc>
        <w:tc>
          <w:tcPr>
            <w:tcW w:w="1382" w:type="dxa"/>
            <w:vAlign w:val="top"/>
          </w:tcPr>
          <w:p w14:paraId="4783A2DE">
            <w:pPr>
              <w:rPr>
                <w:rFonts w:ascii="Arial"/>
                <w:sz w:val="21"/>
              </w:rPr>
            </w:pPr>
          </w:p>
        </w:tc>
        <w:tc>
          <w:tcPr>
            <w:tcW w:w="1391" w:type="dxa"/>
            <w:vAlign w:val="top"/>
          </w:tcPr>
          <w:p w14:paraId="03DBBA38">
            <w:pPr>
              <w:rPr>
                <w:rFonts w:ascii="Arial"/>
                <w:sz w:val="21"/>
              </w:rPr>
            </w:pPr>
          </w:p>
        </w:tc>
      </w:tr>
      <w:tr w14:paraId="260724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1387" w:type="dxa"/>
            <w:vAlign w:val="top"/>
          </w:tcPr>
          <w:p w14:paraId="73B24E0C">
            <w:pPr>
              <w:rPr>
                <w:rFonts w:ascii="Arial"/>
                <w:sz w:val="21"/>
              </w:rPr>
            </w:pPr>
          </w:p>
        </w:tc>
        <w:tc>
          <w:tcPr>
            <w:tcW w:w="1387" w:type="dxa"/>
            <w:vAlign w:val="top"/>
          </w:tcPr>
          <w:p w14:paraId="7512600C">
            <w:pPr>
              <w:rPr>
                <w:rFonts w:ascii="Arial"/>
                <w:sz w:val="21"/>
              </w:rPr>
            </w:pPr>
          </w:p>
        </w:tc>
        <w:tc>
          <w:tcPr>
            <w:tcW w:w="1382" w:type="dxa"/>
            <w:vAlign w:val="top"/>
          </w:tcPr>
          <w:p w14:paraId="0B3911AE">
            <w:pPr>
              <w:rPr>
                <w:rFonts w:ascii="Arial"/>
                <w:sz w:val="21"/>
              </w:rPr>
            </w:pPr>
          </w:p>
        </w:tc>
        <w:tc>
          <w:tcPr>
            <w:tcW w:w="1382" w:type="dxa"/>
            <w:vAlign w:val="top"/>
          </w:tcPr>
          <w:p w14:paraId="6C458085">
            <w:pPr>
              <w:rPr>
                <w:rFonts w:ascii="Arial"/>
                <w:sz w:val="21"/>
              </w:rPr>
            </w:pPr>
          </w:p>
        </w:tc>
        <w:tc>
          <w:tcPr>
            <w:tcW w:w="1382" w:type="dxa"/>
            <w:vAlign w:val="top"/>
          </w:tcPr>
          <w:p w14:paraId="14D20C88">
            <w:pPr>
              <w:rPr>
                <w:rFonts w:ascii="Arial"/>
                <w:sz w:val="21"/>
              </w:rPr>
            </w:pPr>
          </w:p>
        </w:tc>
        <w:tc>
          <w:tcPr>
            <w:tcW w:w="1391" w:type="dxa"/>
            <w:vAlign w:val="top"/>
          </w:tcPr>
          <w:p w14:paraId="5B939CB9">
            <w:pPr>
              <w:rPr>
                <w:rFonts w:ascii="Arial"/>
                <w:sz w:val="21"/>
              </w:rPr>
            </w:pPr>
          </w:p>
        </w:tc>
      </w:tr>
      <w:tr w14:paraId="4C84D0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6" w:hRule="atLeast"/>
        </w:trPr>
        <w:tc>
          <w:tcPr>
            <w:tcW w:w="1387" w:type="dxa"/>
            <w:vAlign w:val="top"/>
          </w:tcPr>
          <w:p w14:paraId="4763FB7C">
            <w:pPr>
              <w:rPr>
                <w:rFonts w:ascii="Arial"/>
                <w:sz w:val="21"/>
              </w:rPr>
            </w:pPr>
          </w:p>
        </w:tc>
        <w:tc>
          <w:tcPr>
            <w:tcW w:w="1387" w:type="dxa"/>
            <w:vAlign w:val="top"/>
          </w:tcPr>
          <w:p w14:paraId="44DEE924">
            <w:pPr>
              <w:rPr>
                <w:rFonts w:ascii="Arial"/>
                <w:sz w:val="21"/>
              </w:rPr>
            </w:pPr>
          </w:p>
        </w:tc>
        <w:tc>
          <w:tcPr>
            <w:tcW w:w="1382" w:type="dxa"/>
            <w:vAlign w:val="top"/>
          </w:tcPr>
          <w:p w14:paraId="3FC9A8D4">
            <w:pPr>
              <w:rPr>
                <w:rFonts w:ascii="Arial"/>
                <w:sz w:val="21"/>
              </w:rPr>
            </w:pPr>
          </w:p>
        </w:tc>
        <w:tc>
          <w:tcPr>
            <w:tcW w:w="1382" w:type="dxa"/>
            <w:vAlign w:val="top"/>
          </w:tcPr>
          <w:p w14:paraId="6F4238E7">
            <w:pPr>
              <w:rPr>
                <w:rFonts w:ascii="Arial"/>
                <w:sz w:val="21"/>
              </w:rPr>
            </w:pPr>
          </w:p>
        </w:tc>
        <w:tc>
          <w:tcPr>
            <w:tcW w:w="1382" w:type="dxa"/>
            <w:vAlign w:val="top"/>
          </w:tcPr>
          <w:p w14:paraId="7C396273">
            <w:pPr>
              <w:rPr>
                <w:rFonts w:ascii="Arial"/>
                <w:sz w:val="21"/>
              </w:rPr>
            </w:pPr>
          </w:p>
        </w:tc>
        <w:tc>
          <w:tcPr>
            <w:tcW w:w="1391" w:type="dxa"/>
            <w:vAlign w:val="top"/>
          </w:tcPr>
          <w:p w14:paraId="27280F02">
            <w:pPr>
              <w:rPr>
                <w:rFonts w:ascii="Arial"/>
                <w:sz w:val="21"/>
              </w:rPr>
            </w:pPr>
          </w:p>
        </w:tc>
      </w:tr>
      <w:tr w14:paraId="48AA81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1" w:hRule="atLeast"/>
        </w:trPr>
        <w:tc>
          <w:tcPr>
            <w:tcW w:w="1387" w:type="dxa"/>
            <w:vAlign w:val="top"/>
          </w:tcPr>
          <w:p w14:paraId="67F568CA">
            <w:pPr>
              <w:rPr>
                <w:rFonts w:ascii="Arial"/>
                <w:sz w:val="21"/>
              </w:rPr>
            </w:pPr>
          </w:p>
        </w:tc>
        <w:tc>
          <w:tcPr>
            <w:tcW w:w="1387" w:type="dxa"/>
            <w:vAlign w:val="top"/>
          </w:tcPr>
          <w:p w14:paraId="7E9AE72D">
            <w:pPr>
              <w:rPr>
                <w:rFonts w:ascii="Arial"/>
                <w:sz w:val="21"/>
              </w:rPr>
            </w:pPr>
          </w:p>
        </w:tc>
        <w:tc>
          <w:tcPr>
            <w:tcW w:w="1382" w:type="dxa"/>
            <w:vAlign w:val="top"/>
          </w:tcPr>
          <w:p w14:paraId="6089EAC0">
            <w:pPr>
              <w:rPr>
                <w:rFonts w:ascii="Arial"/>
                <w:sz w:val="21"/>
              </w:rPr>
            </w:pPr>
          </w:p>
        </w:tc>
        <w:tc>
          <w:tcPr>
            <w:tcW w:w="1382" w:type="dxa"/>
            <w:vAlign w:val="top"/>
          </w:tcPr>
          <w:p w14:paraId="2289C122">
            <w:pPr>
              <w:rPr>
                <w:rFonts w:ascii="Arial"/>
                <w:sz w:val="21"/>
              </w:rPr>
            </w:pPr>
          </w:p>
        </w:tc>
        <w:tc>
          <w:tcPr>
            <w:tcW w:w="1382" w:type="dxa"/>
            <w:vAlign w:val="top"/>
          </w:tcPr>
          <w:p w14:paraId="69B51C7C">
            <w:pPr>
              <w:rPr>
                <w:rFonts w:ascii="Arial"/>
                <w:sz w:val="21"/>
              </w:rPr>
            </w:pPr>
          </w:p>
        </w:tc>
        <w:tc>
          <w:tcPr>
            <w:tcW w:w="1391" w:type="dxa"/>
            <w:vAlign w:val="top"/>
          </w:tcPr>
          <w:p w14:paraId="61E7D530">
            <w:pPr>
              <w:rPr>
                <w:rFonts w:ascii="Arial"/>
                <w:sz w:val="21"/>
              </w:rPr>
            </w:pPr>
          </w:p>
        </w:tc>
      </w:tr>
      <w:tr w14:paraId="69D81A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1387" w:type="dxa"/>
            <w:vAlign w:val="top"/>
          </w:tcPr>
          <w:p w14:paraId="470ABBA3">
            <w:pPr>
              <w:rPr>
                <w:rFonts w:ascii="Arial"/>
                <w:sz w:val="21"/>
              </w:rPr>
            </w:pPr>
          </w:p>
        </w:tc>
        <w:tc>
          <w:tcPr>
            <w:tcW w:w="1387" w:type="dxa"/>
            <w:vAlign w:val="top"/>
          </w:tcPr>
          <w:p w14:paraId="721521BF">
            <w:pPr>
              <w:rPr>
                <w:rFonts w:ascii="Arial"/>
                <w:sz w:val="21"/>
              </w:rPr>
            </w:pPr>
          </w:p>
        </w:tc>
        <w:tc>
          <w:tcPr>
            <w:tcW w:w="1382" w:type="dxa"/>
            <w:vAlign w:val="top"/>
          </w:tcPr>
          <w:p w14:paraId="6CC7C610">
            <w:pPr>
              <w:rPr>
                <w:rFonts w:ascii="Arial"/>
                <w:sz w:val="21"/>
              </w:rPr>
            </w:pPr>
          </w:p>
        </w:tc>
        <w:tc>
          <w:tcPr>
            <w:tcW w:w="1382" w:type="dxa"/>
            <w:vAlign w:val="top"/>
          </w:tcPr>
          <w:p w14:paraId="3290B3B5">
            <w:pPr>
              <w:rPr>
                <w:rFonts w:ascii="Arial"/>
                <w:sz w:val="21"/>
              </w:rPr>
            </w:pPr>
          </w:p>
        </w:tc>
        <w:tc>
          <w:tcPr>
            <w:tcW w:w="1382" w:type="dxa"/>
            <w:vAlign w:val="top"/>
          </w:tcPr>
          <w:p w14:paraId="3545725D">
            <w:pPr>
              <w:rPr>
                <w:rFonts w:ascii="Arial"/>
                <w:sz w:val="21"/>
              </w:rPr>
            </w:pPr>
          </w:p>
        </w:tc>
        <w:tc>
          <w:tcPr>
            <w:tcW w:w="1391" w:type="dxa"/>
            <w:vAlign w:val="top"/>
          </w:tcPr>
          <w:p w14:paraId="4554E0EC">
            <w:pPr>
              <w:rPr>
                <w:rFonts w:ascii="Arial"/>
                <w:sz w:val="21"/>
              </w:rPr>
            </w:pPr>
          </w:p>
        </w:tc>
      </w:tr>
      <w:tr w14:paraId="4EC292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6" w:hRule="atLeast"/>
        </w:trPr>
        <w:tc>
          <w:tcPr>
            <w:tcW w:w="1387" w:type="dxa"/>
            <w:vAlign w:val="top"/>
          </w:tcPr>
          <w:p w14:paraId="63A58183">
            <w:pPr>
              <w:rPr>
                <w:rFonts w:ascii="Arial"/>
                <w:sz w:val="21"/>
              </w:rPr>
            </w:pPr>
          </w:p>
        </w:tc>
        <w:tc>
          <w:tcPr>
            <w:tcW w:w="1387" w:type="dxa"/>
            <w:vAlign w:val="top"/>
          </w:tcPr>
          <w:p w14:paraId="1E77DDB0">
            <w:pPr>
              <w:rPr>
                <w:rFonts w:ascii="Arial"/>
                <w:sz w:val="21"/>
              </w:rPr>
            </w:pPr>
          </w:p>
        </w:tc>
        <w:tc>
          <w:tcPr>
            <w:tcW w:w="1382" w:type="dxa"/>
            <w:vAlign w:val="top"/>
          </w:tcPr>
          <w:p w14:paraId="6CB11650">
            <w:pPr>
              <w:rPr>
                <w:rFonts w:ascii="Arial"/>
                <w:sz w:val="21"/>
              </w:rPr>
            </w:pPr>
          </w:p>
        </w:tc>
        <w:tc>
          <w:tcPr>
            <w:tcW w:w="1382" w:type="dxa"/>
            <w:vAlign w:val="top"/>
          </w:tcPr>
          <w:p w14:paraId="0EA37785">
            <w:pPr>
              <w:rPr>
                <w:rFonts w:ascii="Arial"/>
                <w:sz w:val="21"/>
              </w:rPr>
            </w:pPr>
          </w:p>
        </w:tc>
        <w:tc>
          <w:tcPr>
            <w:tcW w:w="1382" w:type="dxa"/>
            <w:vAlign w:val="top"/>
          </w:tcPr>
          <w:p w14:paraId="164FB994">
            <w:pPr>
              <w:rPr>
                <w:rFonts w:ascii="Arial"/>
                <w:sz w:val="21"/>
              </w:rPr>
            </w:pPr>
          </w:p>
        </w:tc>
        <w:tc>
          <w:tcPr>
            <w:tcW w:w="1391" w:type="dxa"/>
            <w:vAlign w:val="top"/>
          </w:tcPr>
          <w:p w14:paraId="7928139F">
            <w:pPr>
              <w:rPr>
                <w:rFonts w:ascii="Arial"/>
                <w:sz w:val="21"/>
              </w:rPr>
            </w:pPr>
          </w:p>
        </w:tc>
      </w:tr>
      <w:tr w14:paraId="63F423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1387" w:type="dxa"/>
            <w:vAlign w:val="top"/>
          </w:tcPr>
          <w:p w14:paraId="67DEB63B">
            <w:pPr>
              <w:rPr>
                <w:rFonts w:ascii="Arial"/>
                <w:sz w:val="21"/>
              </w:rPr>
            </w:pPr>
          </w:p>
        </w:tc>
        <w:tc>
          <w:tcPr>
            <w:tcW w:w="1387" w:type="dxa"/>
            <w:vAlign w:val="top"/>
          </w:tcPr>
          <w:p w14:paraId="0F54BC64">
            <w:pPr>
              <w:rPr>
                <w:rFonts w:ascii="Arial"/>
                <w:sz w:val="21"/>
              </w:rPr>
            </w:pPr>
          </w:p>
        </w:tc>
        <w:tc>
          <w:tcPr>
            <w:tcW w:w="1382" w:type="dxa"/>
            <w:vAlign w:val="top"/>
          </w:tcPr>
          <w:p w14:paraId="44F9DFFF">
            <w:pPr>
              <w:rPr>
                <w:rFonts w:ascii="Arial"/>
                <w:sz w:val="21"/>
              </w:rPr>
            </w:pPr>
          </w:p>
        </w:tc>
        <w:tc>
          <w:tcPr>
            <w:tcW w:w="1382" w:type="dxa"/>
            <w:vAlign w:val="top"/>
          </w:tcPr>
          <w:p w14:paraId="7B56B754">
            <w:pPr>
              <w:rPr>
                <w:rFonts w:ascii="Arial"/>
                <w:sz w:val="21"/>
              </w:rPr>
            </w:pPr>
          </w:p>
        </w:tc>
        <w:tc>
          <w:tcPr>
            <w:tcW w:w="1382" w:type="dxa"/>
            <w:vAlign w:val="top"/>
          </w:tcPr>
          <w:p w14:paraId="4D43809D">
            <w:pPr>
              <w:rPr>
                <w:rFonts w:ascii="Arial"/>
                <w:sz w:val="21"/>
              </w:rPr>
            </w:pPr>
          </w:p>
        </w:tc>
        <w:tc>
          <w:tcPr>
            <w:tcW w:w="1391" w:type="dxa"/>
            <w:vAlign w:val="top"/>
          </w:tcPr>
          <w:p w14:paraId="681F56D2">
            <w:pPr>
              <w:rPr>
                <w:rFonts w:ascii="Arial"/>
                <w:sz w:val="21"/>
              </w:rPr>
            </w:pPr>
          </w:p>
        </w:tc>
      </w:tr>
      <w:tr w14:paraId="325502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1" w:hRule="atLeast"/>
        </w:trPr>
        <w:tc>
          <w:tcPr>
            <w:tcW w:w="1387" w:type="dxa"/>
            <w:vAlign w:val="top"/>
          </w:tcPr>
          <w:p w14:paraId="27A50495">
            <w:pPr>
              <w:rPr>
                <w:rFonts w:ascii="Arial"/>
                <w:sz w:val="21"/>
              </w:rPr>
            </w:pPr>
          </w:p>
        </w:tc>
        <w:tc>
          <w:tcPr>
            <w:tcW w:w="1387" w:type="dxa"/>
            <w:vAlign w:val="top"/>
          </w:tcPr>
          <w:p w14:paraId="49B4F6A5">
            <w:pPr>
              <w:rPr>
                <w:rFonts w:ascii="Arial"/>
                <w:sz w:val="21"/>
              </w:rPr>
            </w:pPr>
          </w:p>
        </w:tc>
        <w:tc>
          <w:tcPr>
            <w:tcW w:w="1382" w:type="dxa"/>
            <w:vAlign w:val="top"/>
          </w:tcPr>
          <w:p w14:paraId="40C8A4F5">
            <w:pPr>
              <w:rPr>
                <w:rFonts w:ascii="Arial"/>
                <w:sz w:val="21"/>
              </w:rPr>
            </w:pPr>
          </w:p>
        </w:tc>
        <w:tc>
          <w:tcPr>
            <w:tcW w:w="1382" w:type="dxa"/>
            <w:vAlign w:val="top"/>
          </w:tcPr>
          <w:p w14:paraId="57E451E8">
            <w:pPr>
              <w:rPr>
                <w:rFonts w:ascii="Arial"/>
                <w:sz w:val="21"/>
              </w:rPr>
            </w:pPr>
          </w:p>
        </w:tc>
        <w:tc>
          <w:tcPr>
            <w:tcW w:w="1382" w:type="dxa"/>
            <w:vAlign w:val="top"/>
          </w:tcPr>
          <w:p w14:paraId="050C361E">
            <w:pPr>
              <w:rPr>
                <w:rFonts w:ascii="Arial"/>
                <w:sz w:val="21"/>
              </w:rPr>
            </w:pPr>
          </w:p>
        </w:tc>
        <w:tc>
          <w:tcPr>
            <w:tcW w:w="1391" w:type="dxa"/>
            <w:vAlign w:val="top"/>
          </w:tcPr>
          <w:p w14:paraId="20776181">
            <w:pPr>
              <w:rPr>
                <w:rFonts w:ascii="Arial"/>
                <w:sz w:val="21"/>
              </w:rPr>
            </w:pPr>
          </w:p>
        </w:tc>
      </w:tr>
      <w:tr w14:paraId="181D8D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6" w:hRule="atLeast"/>
        </w:trPr>
        <w:tc>
          <w:tcPr>
            <w:tcW w:w="1387" w:type="dxa"/>
            <w:vAlign w:val="top"/>
          </w:tcPr>
          <w:p w14:paraId="1D5D63B8">
            <w:pPr>
              <w:rPr>
                <w:rFonts w:ascii="Arial"/>
                <w:sz w:val="21"/>
              </w:rPr>
            </w:pPr>
          </w:p>
        </w:tc>
        <w:tc>
          <w:tcPr>
            <w:tcW w:w="1387" w:type="dxa"/>
            <w:vAlign w:val="top"/>
          </w:tcPr>
          <w:p w14:paraId="525C0BE8">
            <w:pPr>
              <w:rPr>
                <w:rFonts w:ascii="Arial"/>
                <w:sz w:val="21"/>
              </w:rPr>
            </w:pPr>
          </w:p>
        </w:tc>
        <w:tc>
          <w:tcPr>
            <w:tcW w:w="1382" w:type="dxa"/>
            <w:vAlign w:val="top"/>
          </w:tcPr>
          <w:p w14:paraId="034ABD74">
            <w:pPr>
              <w:rPr>
                <w:rFonts w:ascii="Arial"/>
                <w:sz w:val="21"/>
              </w:rPr>
            </w:pPr>
          </w:p>
        </w:tc>
        <w:tc>
          <w:tcPr>
            <w:tcW w:w="1382" w:type="dxa"/>
            <w:vAlign w:val="top"/>
          </w:tcPr>
          <w:p w14:paraId="3CF27D6D">
            <w:pPr>
              <w:rPr>
                <w:rFonts w:ascii="Arial"/>
                <w:sz w:val="21"/>
              </w:rPr>
            </w:pPr>
          </w:p>
        </w:tc>
        <w:tc>
          <w:tcPr>
            <w:tcW w:w="1382" w:type="dxa"/>
            <w:vAlign w:val="top"/>
          </w:tcPr>
          <w:p w14:paraId="16493082">
            <w:pPr>
              <w:rPr>
                <w:rFonts w:ascii="Arial"/>
                <w:sz w:val="21"/>
              </w:rPr>
            </w:pPr>
          </w:p>
        </w:tc>
        <w:tc>
          <w:tcPr>
            <w:tcW w:w="1391" w:type="dxa"/>
            <w:vAlign w:val="top"/>
          </w:tcPr>
          <w:p w14:paraId="20CEB2FA">
            <w:pPr>
              <w:rPr>
                <w:rFonts w:ascii="Arial"/>
                <w:sz w:val="21"/>
              </w:rPr>
            </w:pPr>
          </w:p>
        </w:tc>
      </w:tr>
      <w:tr w14:paraId="4F7A16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1" w:hRule="atLeast"/>
        </w:trPr>
        <w:tc>
          <w:tcPr>
            <w:tcW w:w="1387" w:type="dxa"/>
            <w:vAlign w:val="top"/>
          </w:tcPr>
          <w:p w14:paraId="517D4329">
            <w:pPr>
              <w:rPr>
                <w:rFonts w:ascii="Arial"/>
                <w:sz w:val="21"/>
              </w:rPr>
            </w:pPr>
          </w:p>
        </w:tc>
        <w:tc>
          <w:tcPr>
            <w:tcW w:w="1387" w:type="dxa"/>
            <w:vAlign w:val="top"/>
          </w:tcPr>
          <w:p w14:paraId="1E53E0C2">
            <w:pPr>
              <w:rPr>
                <w:rFonts w:ascii="Arial"/>
                <w:sz w:val="21"/>
              </w:rPr>
            </w:pPr>
          </w:p>
        </w:tc>
        <w:tc>
          <w:tcPr>
            <w:tcW w:w="1382" w:type="dxa"/>
            <w:vAlign w:val="top"/>
          </w:tcPr>
          <w:p w14:paraId="74931A1E">
            <w:pPr>
              <w:rPr>
                <w:rFonts w:ascii="Arial"/>
                <w:sz w:val="21"/>
              </w:rPr>
            </w:pPr>
          </w:p>
        </w:tc>
        <w:tc>
          <w:tcPr>
            <w:tcW w:w="1382" w:type="dxa"/>
            <w:vAlign w:val="top"/>
          </w:tcPr>
          <w:p w14:paraId="03D919F8">
            <w:pPr>
              <w:rPr>
                <w:rFonts w:ascii="Arial"/>
                <w:sz w:val="21"/>
              </w:rPr>
            </w:pPr>
          </w:p>
        </w:tc>
        <w:tc>
          <w:tcPr>
            <w:tcW w:w="1382" w:type="dxa"/>
            <w:vAlign w:val="top"/>
          </w:tcPr>
          <w:p w14:paraId="2B3AB525">
            <w:pPr>
              <w:rPr>
                <w:rFonts w:ascii="Arial"/>
                <w:sz w:val="21"/>
              </w:rPr>
            </w:pPr>
          </w:p>
        </w:tc>
        <w:tc>
          <w:tcPr>
            <w:tcW w:w="1391" w:type="dxa"/>
            <w:vAlign w:val="top"/>
          </w:tcPr>
          <w:p w14:paraId="2B6FE4CC">
            <w:pPr>
              <w:rPr>
                <w:rFonts w:ascii="Arial"/>
                <w:sz w:val="21"/>
              </w:rPr>
            </w:pPr>
          </w:p>
        </w:tc>
      </w:tr>
      <w:tr w14:paraId="5221BD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1387" w:type="dxa"/>
            <w:vAlign w:val="top"/>
          </w:tcPr>
          <w:p w14:paraId="10106ED5">
            <w:pPr>
              <w:rPr>
                <w:rFonts w:ascii="Arial"/>
                <w:sz w:val="21"/>
              </w:rPr>
            </w:pPr>
          </w:p>
        </w:tc>
        <w:tc>
          <w:tcPr>
            <w:tcW w:w="1387" w:type="dxa"/>
            <w:vAlign w:val="top"/>
          </w:tcPr>
          <w:p w14:paraId="75A5111F">
            <w:pPr>
              <w:rPr>
                <w:rFonts w:ascii="Arial"/>
                <w:sz w:val="21"/>
              </w:rPr>
            </w:pPr>
          </w:p>
        </w:tc>
        <w:tc>
          <w:tcPr>
            <w:tcW w:w="1382" w:type="dxa"/>
            <w:vAlign w:val="top"/>
          </w:tcPr>
          <w:p w14:paraId="6E592113">
            <w:pPr>
              <w:rPr>
                <w:rFonts w:ascii="Arial"/>
                <w:sz w:val="21"/>
              </w:rPr>
            </w:pPr>
          </w:p>
        </w:tc>
        <w:tc>
          <w:tcPr>
            <w:tcW w:w="1382" w:type="dxa"/>
            <w:vAlign w:val="top"/>
          </w:tcPr>
          <w:p w14:paraId="6D946E67">
            <w:pPr>
              <w:rPr>
                <w:rFonts w:ascii="Arial"/>
                <w:sz w:val="21"/>
              </w:rPr>
            </w:pPr>
          </w:p>
        </w:tc>
        <w:tc>
          <w:tcPr>
            <w:tcW w:w="1382" w:type="dxa"/>
            <w:vAlign w:val="top"/>
          </w:tcPr>
          <w:p w14:paraId="230B444F">
            <w:pPr>
              <w:rPr>
                <w:rFonts w:ascii="Arial"/>
                <w:sz w:val="21"/>
              </w:rPr>
            </w:pPr>
          </w:p>
        </w:tc>
        <w:tc>
          <w:tcPr>
            <w:tcW w:w="1391" w:type="dxa"/>
            <w:vAlign w:val="top"/>
          </w:tcPr>
          <w:p w14:paraId="2998A7BD">
            <w:pPr>
              <w:rPr>
                <w:rFonts w:ascii="Arial"/>
                <w:sz w:val="21"/>
              </w:rPr>
            </w:pPr>
          </w:p>
        </w:tc>
      </w:tr>
    </w:tbl>
    <w:p w14:paraId="2A00D424">
      <w:pPr>
        <w:pStyle w:val="3"/>
      </w:pPr>
    </w:p>
    <w:p w14:paraId="222D78AF">
      <w:pPr>
        <w:sectPr>
          <w:footerReference r:id="rId185" w:type="default"/>
          <w:pgSz w:w="11905" w:h="16839"/>
          <w:pgMar w:top="400" w:right="1785" w:bottom="1004" w:left="1785" w:header="0" w:footer="828" w:gutter="0"/>
          <w:pgNumType w:fmt="decimal"/>
          <w:cols w:space="720" w:num="1"/>
        </w:sectPr>
      </w:pPr>
    </w:p>
    <w:p w14:paraId="1BB0CFF4">
      <w:pPr>
        <w:pStyle w:val="3"/>
        <w:spacing w:line="266" w:lineRule="auto"/>
      </w:pPr>
    </w:p>
    <w:p w14:paraId="27E00F36">
      <w:pPr>
        <w:pStyle w:val="3"/>
        <w:spacing w:line="266" w:lineRule="auto"/>
      </w:pPr>
    </w:p>
    <w:p w14:paraId="65EADE1B">
      <w:pPr>
        <w:pStyle w:val="3"/>
        <w:spacing w:line="266" w:lineRule="auto"/>
      </w:pPr>
    </w:p>
    <w:p w14:paraId="18710136">
      <w:pPr>
        <w:pStyle w:val="3"/>
        <w:spacing w:line="267" w:lineRule="auto"/>
      </w:pPr>
    </w:p>
    <w:p w14:paraId="5E9EFBC4">
      <w:pPr>
        <w:spacing w:before="78" w:line="220" w:lineRule="auto"/>
        <w:ind w:left="15"/>
        <w:rPr>
          <w:rFonts w:ascii="黑体" w:hAnsi="黑体" w:eastAsia="黑体" w:cs="黑体"/>
          <w:sz w:val="24"/>
          <w:szCs w:val="24"/>
        </w:rPr>
      </w:pPr>
      <w:r>
        <w:rPr>
          <w:rFonts w:ascii="Times New Roman" w:hAnsi="Times New Roman" w:eastAsia="Times New Roman" w:cs="Times New Roman"/>
          <w:spacing w:val="-16"/>
          <w:sz w:val="24"/>
          <w:szCs w:val="24"/>
        </w:rPr>
        <w:t>2</w:t>
      </w:r>
      <w:r>
        <w:rPr>
          <w:rFonts w:ascii="Times New Roman" w:hAnsi="Times New Roman" w:eastAsia="Times New Roman" w:cs="Times New Roman"/>
          <w:spacing w:val="-25"/>
          <w:sz w:val="24"/>
          <w:szCs w:val="24"/>
        </w:rPr>
        <w:t xml:space="preserve"> </w:t>
      </w:r>
      <w:r>
        <w:rPr>
          <w:rFonts w:ascii="黑体" w:hAnsi="黑体" w:eastAsia="黑体" w:cs="黑体"/>
          <w:spacing w:val="-16"/>
          <w:sz w:val="24"/>
          <w:szCs w:val="24"/>
        </w:rPr>
        <w:t>．</w:t>
      </w:r>
      <w:r>
        <w:rPr>
          <w:rFonts w:ascii="黑体" w:hAnsi="黑体" w:eastAsia="黑体" w:cs="黑体"/>
          <w:spacing w:val="-97"/>
          <w:sz w:val="24"/>
          <w:szCs w:val="24"/>
        </w:rPr>
        <w:t xml:space="preserve"> </w:t>
      </w:r>
      <w:r>
        <w:rPr>
          <w:rFonts w:ascii="黑体" w:hAnsi="黑体" w:eastAsia="黑体" w:cs="黑体"/>
          <w:spacing w:val="-16"/>
          <w:sz w:val="24"/>
          <w:szCs w:val="24"/>
        </w:rPr>
        <w:t>图</w:t>
      </w:r>
      <w:r>
        <w:rPr>
          <w:rFonts w:ascii="黑体" w:hAnsi="黑体" w:eastAsia="黑体" w:cs="黑体"/>
          <w:spacing w:val="18"/>
          <w:sz w:val="24"/>
          <w:szCs w:val="24"/>
        </w:rPr>
        <w:t xml:space="preserve"> </w:t>
      </w:r>
      <w:r>
        <w:rPr>
          <w:rFonts w:ascii="黑体" w:hAnsi="黑体" w:eastAsia="黑体" w:cs="黑体"/>
          <w:spacing w:val="-16"/>
          <w:sz w:val="24"/>
          <w:szCs w:val="24"/>
        </w:rPr>
        <w:t>纸</w:t>
      </w:r>
    </w:p>
    <w:p w14:paraId="32718463">
      <w:pPr>
        <w:spacing w:line="220" w:lineRule="auto"/>
        <w:rPr>
          <w:rFonts w:ascii="黑体" w:hAnsi="黑体" w:eastAsia="黑体" w:cs="黑体"/>
          <w:sz w:val="24"/>
          <w:szCs w:val="24"/>
        </w:rPr>
        <w:sectPr>
          <w:footerReference r:id="rId186" w:type="default"/>
          <w:pgSz w:w="11905" w:h="16839"/>
          <w:pgMar w:top="400" w:right="1785" w:bottom="1004" w:left="1785" w:header="0" w:footer="829" w:gutter="0"/>
          <w:pgNumType w:fmt="decimal"/>
          <w:cols w:space="720" w:num="1"/>
        </w:sectPr>
      </w:pPr>
    </w:p>
    <w:p w14:paraId="70AF0F8A">
      <w:pPr>
        <w:pStyle w:val="3"/>
        <w:spacing w:line="252" w:lineRule="auto"/>
      </w:pPr>
    </w:p>
    <w:p w14:paraId="33B82E12">
      <w:pPr>
        <w:pStyle w:val="3"/>
        <w:spacing w:line="253" w:lineRule="auto"/>
      </w:pPr>
    </w:p>
    <w:p w14:paraId="2F48BE5E">
      <w:pPr>
        <w:pStyle w:val="3"/>
        <w:spacing w:line="253" w:lineRule="auto"/>
      </w:pPr>
    </w:p>
    <w:p w14:paraId="12DB63B3">
      <w:pPr>
        <w:pStyle w:val="3"/>
        <w:spacing w:line="253" w:lineRule="auto"/>
      </w:pPr>
    </w:p>
    <w:p w14:paraId="54C1D0A7">
      <w:pPr>
        <w:pStyle w:val="3"/>
        <w:spacing w:line="253" w:lineRule="auto"/>
      </w:pPr>
    </w:p>
    <w:p w14:paraId="6502AB4C">
      <w:pPr>
        <w:pStyle w:val="3"/>
        <w:spacing w:line="253" w:lineRule="auto"/>
      </w:pPr>
    </w:p>
    <w:p w14:paraId="18D4A4C9">
      <w:pPr>
        <w:pStyle w:val="3"/>
        <w:spacing w:line="253" w:lineRule="auto"/>
      </w:pPr>
    </w:p>
    <w:p w14:paraId="193BB6E1">
      <w:pPr>
        <w:pStyle w:val="3"/>
        <w:spacing w:line="253" w:lineRule="auto"/>
      </w:pPr>
    </w:p>
    <w:p w14:paraId="28BB59E9">
      <w:pPr>
        <w:pStyle w:val="3"/>
        <w:spacing w:line="253" w:lineRule="auto"/>
      </w:pPr>
    </w:p>
    <w:p w14:paraId="2DA3D7DA">
      <w:pPr>
        <w:pStyle w:val="3"/>
        <w:spacing w:line="253" w:lineRule="auto"/>
      </w:pPr>
    </w:p>
    <w:p w14:paraId="19402B06">
      <w:pPr>
        <w:pStyle w:val="3"/>
        <w:spacing w:line="253" w:lineRule="auto"/>
      </w:pPr>
    </w:p>
    <w:p w14:paraId="1565ADCD">
      <w:pPr>
        <w:pStyle w:val="3"/>
        <w:spacing w:line="253" w:lineRule="auto"/>
      </w:pPr>
    </w:p>
    <w:p w14:paraId="28F9824B">
      <w:pPr>
        <w:pStyle w:val="3"/>
        <w:spacing w:line="253" w:lineRule="auto"/>
      </w:pPr>
    </w:p>
    <w:p w14:paraId="3659D55A">
      <w:pPr>
        <w:pStyle w:val="3"/>
        <w:spacing w:line="253" w:lineRule="auto"/>
      </w:pPr>
    </w:p>
    <w:p w14:paraId="2DCE3135">
      <w:pPr>
        <w:pStyle w:val="3"/>
        <w:spacing w:line="253" w:lineRule="auto"/>
      </w:pPr>
    </w:p>
    <w:p w14:paraId="44B7006A">
      <w:pPr>
        <w:pStyle w:val="3"/>
        <w:spacing w:line="253" w:lineRule="auto"/>
      </w:pPr>
    </w:p>
    <w:p w14:paraId="0844844B">
      <w:pPr>
        <w:pStyle w:val="3"/>
        <w:spacing w:line="253" w:lineRule="auto"/>
      </w:pPr>
    </w:p>
    <w:p w14:paraId="43791C8B">
      <w:pPr>
        <w:pStyle w:val="3"/>
        <w:spacing w:line="253" w:lineRule="auto"/>
      </w:pPr>
    </w:p>
    <w:p w14:paraId="53282BAD">
      <w:pPr>
        <w:spacing w:before="156" w:line="219" w:lineRule="auto"/>
        <w:ind w:left="3467"/>
        <w:rPr>
          <w:rFonts w:ascii="黑体" w:hAnsi="黑体" w:eastAsia="黑体" w:cs="黑体"/>
          <w:sz w:val="48"/>
          <w:szCs w:val="48"/>
        </w:rPr>
      </w:pPr>
      <w:r>
        <w:rPr>
          <w:rFonts w:ascii="黑体" w:hAnsi="黑体" w:eastAsia="黑体" w:cs="黑体"/>
          <w:spacing w:val="-5"/>
          <w:sz w:val="48"/>
          <w:szCs w:val="48"/>
        </w:rPr>
        <w:t>第三卷</w:t>
      </w:r>
    </w:p>
    <w:p w14:paraId="6E18BCF5">
      <w:pPr>
        <w:spacing w:line="219" w:lineRule="auto"/>
        <w:rPr>
          <w:rFonts w:ascii="黑体" w:hAnsi="黑体" w:eastAsia="黑体" w:cs="黑体"/>
          <w:sz w:val="48"/>
          <w:szCs w:val="48"/>
        </w:rPr>
        <w:sectPr>
          <w:footerReference r:id="rId187" w:type="default"/>
          <w:pgSz w:w="11905" w:h="16839"/>
          <w:pgMar w:top="400" w:right="1785" w:bottom="1004" w:left="1785" w:header="0" w:footer="829" w:gutter="0"/>
          <w:pgNumType w:fmt="decimal"/>
          <w:cols w:space="720" w:num="1"/>
        </w:sectPr>
      </w:pPr>
    </w:p>
    <w:p w14:paraId="13CCE3CD">
      <w:pPr>
        <w:pStyle w:val="3"/>
        <w:spacing w:line="246" w:lineRule="auto"/>
      </w:pPr>
    </w:p>
    <w:p w14:paraId="6EF44294">
      <w:pPr>
        <w:pStyle w:val="3"/>
        <w:spacing w:line="246" w:lineRule="auto"/>
      </w:pPr>
    </w:p>
    <w:p w14:paraId="19340334">
      <w:pPr>
        <w:pStyle w:val="3"/>
        <w:spacing w:line="246" w:lineRule="auto"/>
      </w:pPr>
    </w:p>
    <w:p w14:paraId="7A32841D">
      <w:pPr>
        <w:pStyle w:val="3"/>
        <w:spacing w:line="246" w:lineRule="auto"/>
      </w:pPr>
    </w:p>
    <w:p w14:paraId="19888503">
      <w:pPr>
        <w:pStyle w:val="3"/>
        <w:spacing w:line="246" w:lineRule="auto"/>
      </w:pPr>
    </w:p>
    <w:p w14:paraId="0233B4A4">
      <w:pPr>
        <w:pStyle w:val="3"/>
        <w:spacing w:line="246" w:lineRule="auto"/>
      </w:pPr>
    </w:p>
    <w:p w14:paraId="29E08328">
      <w:pPr>
        <w:pStyle w:val="3"/>
        <w:spacing w:line="246" w:lineRule="auto"/>
      </w:pPr>
    </w:p>
    <w:p w14:paraId="249CA8C8">
      <w:pPr>
        <w:pStyle w:val="3"/>
        <w:spacing w:line="246" w:lineRule="auto"/>
      </w:pPr>
    </w:p>
    <w:p w14:paraId="09DD68AD">
      <w:pPr>
        <w:pStyle w:val="3"/>
        <w:spacing w:line="246" w:lineRule="auto"/>
      </w:pPr>
    </w:p>
    <w:p w14:paraId="07A68856">
      <w:pPr>
        <w:pStyle w:val="3"/>
        <w:spacing w:line="246" w:lineRule="auto"/>
      </w:pPr>
    </w:p>
    <w:p w14:paraId="61617DB5">
      <w:pPr>
        <w:pStyle w:val="3"/>
        <w:spacing w:line="246" w:lineRule="auto"/>
      </w:pPr>
    </w:p>
    <w:p w14:paraId="21A39678">
      <w:pPr>
        <w:pStyle w:val="3"/>
        <w:spacing w:line="246" w:lineRule="auto"/>
      </w:pPr>
    </w:p>
    <w:p w14:paraId="13188E68">
      <w:pPr>
        <w:pStyle w:val="3"/>
        <w:spacing w:line="247" w:lineRule="auto"/>
      </w:pPr>
    </w:p>
    <w:p w14:paraId="11603578">
      <w:pPr>
        <w:pStyle w:val="3"/>
        <w:spacing w:line="247" w:lineRule="auto"/>
      </w:pPr>
    </w:p>
    <w:p w14:paraId="65C6187E">
      <w:pPr>
        <w:pStyle w:val="3"/>
        <w:spacing w:line="247" w:lineRule="auto"/>
      </w:pPr>
    </w:p>
    <w:p w14:paraId="0E7D5806">
      <w:pPr>
        <w:pStyle w:val="3"/>
        <w:spacing w:line="247" w:lineRule="auto"/>
      </w:pPr>
    </w:p>
    <w:p w14:paraId="2A8F6ED5">
      <w:pPr>
        <w:pStyle w:val="3"/>
        <w:spacing w:line="247" w:lineRule="auto"/>
      </w:pPr>
    </w:p>
    <w:p w14:paraId="2920FA69">
      <w:pPr>
        <w:pStyle w:val="3"/>
        <w:spacing w:line="247" w:lineRule="auto"/>
      </w:pPr>
    </w:p>
    <w:p w14:paraId="094D1F56">
      <w:pPr>
        <w:spacing w:before="104" w:line="220" w:lineRule="auto"/>
        <w:ind w:left="2418"/>
        <w:rPr>
          <w:rFonts w:ascii="黑体" w:hAnsi="黑体" w:eastAsia="黑体" w:cs="黑体"/>
          <w:sz w:val="32"/>
          <w:szCs w:val="32"/>
        </w:rPr>
      </w:pPr>
      <w:r>
        <w:rPr>
          <w:rFonts w:ascii="黑体" w:hAnsi="黑体" w:eastAsia="黑体" w:cs="黑体"/>
          <w:spacing w:val="-1"/>
          <w:sz w:val="32"/>
          <w:szCs w:val="32"/>
        </w:rPr>
        <w:t>第七章  技术标准和要求</w:t>
      </w:r>
    </w:p>
    <w:p w14:paraId="7CFF8607">
      <w:pPr>
        <w:spacing w:line="220" w:lineRule="auto"/>
        <w:rPr>
          <w:rFonts w:ascii="黑体" w:hAnsi="黑体" w:eastAsia="黑体" w:cs="黑体"/>
          <w:sz w:val="32"/>
          <w:szCs w:val="32"/>
        </w:rPr>
        <w:sectPr>
          <w:footerReference r:id="rId188" w:type="default"/>
          <w:pgSz w:w="11905" w:h="16839"/>
          <w:pgMar w:top="400" w:right="1785" w:bottom="1004" w:left="1785" w:header="0" w:footer="828" w:gutter="0"/>
          <w:pgNumType w:fmt="decimal"/>
          <w:cols w:space="720" w:num="1"/>
        </w:sectPr>
      </w:pPr>
    </w:p>
    <w:p w14:paraId="76FD06D3">
      <w:pPr>
        <w:pStyle w:val="3"/>
        <w:spacing w:line="247" w:lineRule="auto"/>
      </w:pPr>
    </w:p>
    <w:p w14:paraId="1DF03ACA">
      <w:pPr>
        <w:pStyle w:val="3"/>
        <w:spacing w:line="247" w:lineRule="auto"/>
      </w:pPr>
    </w:p>
    <w:p w14:paraId="6DE1B1B9">
      <w:pPr>
        <w:pStyle w:val="3"/>
        <w:spacing w:line="247" w:lineRule="auto"/>
      </w:pPr>
    </w:p>
    <w:p w14:paraId="0D801BD6">
      <w:pPr>
        <w:pStyle w:val="3"/>
        <w:spacing w:line="248" w:lineRule="auto"/>
      </w:pPr>
    </w:p>
    <w:p w14:paraId="5A2AE7B7">
      <w:pPr>
        <w:spacing w:before="88" w:line="225" w:lineRule="auto"/>
        <w:ind w:left="2638"/>
        <w:rPr>
          <w:rFonts w:ascii="黑体" w:hAnsi="黑体" w:eastAsia="黑体" w:cs="黑体"/>
          <w:sz w:val="27"/>
          <w:szCs w:val="27"/>
        </w:rPr>
      </w:pPr>
      <w:r>
        <w:rPr>
          <w:rFonts w:ascii="黑体" w:hAnsi="黑体" w:eastAsia="黑体" w:cs="黑体"/>
          <w:spacing w:val="7"/>
          <w:sz w:val="27"/>
          <w:szCs w:val="27"/>
        </w:rPr>
        <w:t>第七章  技术标准和要求</w:t>
      </w:r>
    </w:p>
    <w:p w14:paraId="2F37875C">
      <w:pPr>
        <w:spacing w:line="219" w:lineRule="auto"/>
        <w:rPr>
          <w:rFonts w:ascii="宋体" w:hAnsi="宋体" w:eastAsia="宋体" w:cs="宋体"/>
          <w:sz w:val="21"/>
          <w:szCs w:val="21"/>
        </w:rPr>
      </w:pPr>
    </w:p>
    <w:p w14:paraId="2D8A946B">
      <w:pPr>
        <w:pStyle w:val="16"/>
        <w:spacing w:line="360" w:lineRule="auto"/>
        <w:rPr>
          <w:rStyle w:val="8"/>
          <w:rFonts w:hint="eastAsia" w:ascii="宋体" w:hAnsi="宋体" w:cs="宋体"/>
          <w:color w:val="auto"/>
          <w:sz w:val="24"/>
          <w:highlight w:val="none"/>
        </w:rPr>
      </w:pPr>
      <w:r>
        <w:rPr>
          <w:rStyle w:val="8"/>
          <w:rFonts w:hint="eastAsia" w:ascii="宋体" w:hAnsi="宋体" w:cs="宋体"/>
          <w:color w:val="auto"/>
          <w:sz w:val="24"/>
          <w:highlight w:val="none"/>
        </w:rPr>
        <w:t xml:space="preserve">第一章 </w:t>
      </w:r>
    </w:p>
    <w:p w14:paraId="3E093BAF">
      <w:pPr>
        <w:pStyle w:val="16"/>
        <w:spacing w:line="360" w:lineRule="auto"/>
        <w:rPr>
          <w:rStyle w:val="8"/>
          <w:rFonts w:hint="eastAsia" w:ascii="宋体" w:hAnsi="宋体" w:cs="宋体"/>
          <w:color w:val="auto"/>
          <w:sz w:val="24"/>
          <w:highlight w:val="none"/>
        </w:rPr>
      </w:pPr>
      <w:r>
        <w:rPr>
          <w:rStyle w:val="8"/>
          <w:rFonts w:hint="eastAsia" w:ascii="宋体" w:hAnsi="宋体" w:cs="宋体"/>
          <w:color w:val="auto"/>
          <w:sz w:val="24"/>
          <w:highlight w:val="none"/>
        </w:rPr>
        <w:t>一般要求</w:t>
      </w:r>
    </w:p>
    <w:p w14:paraId="3B3463C1">
      <w:pPr>
        <w:pStyle w:val="16"/>
        <w:spacing w:line="360" w:lineRule="auto"/>
        <w:rPr>
          <w:rStyle w:val="8"/>
          <w:rFonts w:hint="eastAsia" w:ascii="宋体" w:hAnsi="宋体" w:cs="宋体"/>
          <w:color w:val="auto"/>
          <w:sz w:val="24"/>
          <w:highlight w:val="none"/>
        </w:rPr>
      </w:pPr>
      <w:r>
        <w:rPr>
          <w:rStyle w:val="8"/>
          <w:rFonts w:hint="eastAsia" w:ascii="宋体" w:hAnsi="宋体" w:cs="宋体"/>
          <w:color w:val="auto"/>
          <w:sz w:val="24"/>
          <w:highlight w:val="none"/>
        </w:rPr>
        <w:t>1、工程说明</w:t>
      </w:r>
    </w:p>
    <w:p w14:paraId="2CE8976D">
      <w:pPr>
        <w:pStyle w:val="16"/>
        <w:spacing w:line="360" w:lineRule="auto"/>
        <w:rPr>
          <w:rStyle w:val="8"/>
          <w:rFonts w:hint="eastAsia" w:ascii="宋体" w:hAnsi="宋体" w:eastAsia="宋体" w:cs="宋体"/>
          <w:color w:val="auto"/>
          <w:sz w:val="24"/>
          <w:highlight w:val="none"/>
          <w:lang w:eastAsia="zh-CN"/>
        </w:rPr>
      </w:pPr>
      <w:r>
        <w:rPr>
          <w:rStyle w:val="8"/>
          <w:rFonts w:hint="eastAsia" w:ascii="宋体" w:hAnsi="宋体" w:eastAsia="宋体" w:cs="宋体"/>
          <w:color w:val="auto"/>
          <w:sz w:val="24"/>
          <w:highlight w:val="none"/>
          <w:lang w:eastAsia="zh-CN"/>
        </w:rPr>
        <w:t>1.1 工程名称：</w:t>
      </w:r>
      <w:r>
        <w:rPr>
          <w:rStyle w:val="8"/>
          <w:rFonts w:hint="eastAsia" w:ascii="宋体" w:hAnsi="宋体" w:cs="宋体"/>
          <w:color w:val="auto"/>
          <w:sz w:val="24"/>
          <w:highlight w:val="none"/>
          <w:lang w:eastAsia="zh-CN"/>
        </w:rPr>
        <w:t>营口市大庆路、联盟路排水管网改造工程</w:t>
      </w:r>
    </w:p>
    <w:p w14:paraId="656DE8F0">
      <w:pPr>
        <w:pStyle w:val="16"/>
        <w:spacing w:line="360" w:lineRule="auto"/>
        <w:rPr>
          <w:rStyle w:val="8"/>
          <w:rFonts w:hint="eastAsia" w:ascii="宋体" w:hAnsi="宋体" w:eastAsia="宋体" w:cs="宋体"/>
          <w:color w:val="auto"/>
          <w:sz w:val="24"/>
          <w:highlight w:val="none"/>
          <w:lang w:eastAsia="zh-CN"/>
        </w:rPr>
      </w:pPr>
      <w:r>
        <w:rPr>
          <w:rStyle w:val="8"/>
          <w:rFonts w:hint="eastAsia" w:ascii="宋体" w:hAnsi="宋体" w:eastAsia="宋体" w:cs="宋体"/>
          <w:color w:val="auto"/>
          <w:sz w:val="24"/>
          <w:highlight w:val="none"/>
          <w:lang w:eastAsia="zh-CN"/>
        </w:rPr>
        <w:t>1.2 工程地点：</w:t>
      </w:r>
      <w:r>
        <w:rPr>
          <w:rStyle w:val="8"/>
          <w:rFonts w:hint="eastAsia" w:ascii="宋体" w:hAnsi="宋体" w:eastAsia="宋体" w:cs="宋体"/>
          <w:color w:val="auto"/>
          <w:sz w:val="24"/>
          <w:highlight w:val="none"/>
          <w:lang w:val="en-US" w:eastAsia="zh-CN"/>
        </w:rPr>
        <w:t>辽宁省</w:t>
      </w:r>
      <w:r>
        <w:rPr>
          <w:rStyle w:val="8"/>
          <w:rFonts w:hint="eastAsia" w:ascii="宋体" w:hAnsi="宋体" w:eastAsia="宋体" w:cs="宋体"/>
          <w:color w:val="auto"/>
          <w:sz w:val="24"/>
          <w:highlight w:val="none"/>
          <w:lang w:eastAsia="zh-CN"/>
        </w:rPr>
        <w:t>营口市</w:t>
      </w:r>
    </w:p>
    <w:p w14:paraId="4D25AE43">
      <w:pPr>
        <w:pStyle w:val="16"/>
        <w:spacing w:line="360" w:lineRule="auto"/>
        <w:rPr>
          <w:rStyle w:val="8"/>
          <w:rFonts w:hint="eastAsia" w:ascii="宋体" w:hAnsi="宋体" w:eastAsia="宋体" w:cs="宋体"/>
          <w:color w:val="auto"/>
          <w:sz w:val="24"/>
          <w:highlight w:val="none"/>
          <w:lang w:eastAsia="zh-CN"/>
        </w:rPr>
      </w:pPr>
      <w:r>
        <w:rPr>
          <w:rStyle w:val="8"/>
          <w:rFonts w:hint="eastAsia" w:ascii="宋体" w:hAnsi="宋体" w:eastAsia="宋体" w:cs="宋体"/>
          <w:color w:val="auto"/>
          <w:sz w:val="24"/>
          <w:highlight w:val="none"/>
          <w:lang w:eastAsia="zh-CN"/>
        </w:rPr>
        <w:t>1.3 工程概况：</w:t>
      </w:r>
    </w:p>
    <w:p w14:paraId="00F2C983">
      <w:pPr>
        <w:pStyle w:val="16"/>
        <w:spacing w:line="360" w:lineRule="auto"/>
        <w:rPr>
          <w:rStyle w:val="8"/>
          <w:rFonts w:hint="eastAsia" w:ascii="宋体" w:hAnsi="宋体" w:eastAsia="宋体" w:cs="宋体"/>
          <w:color w:val="auto"/>
          <w:sz w:val="24"/>
          <w:highlight w:val="none"/>
          <w:lang w:eastAsia="zh-CN"/>
        </w:rPr>
      </w:pPr>
      <w:r>
        <w:rPr>
          <w:rStyle w:val="8"/>
          <w:rFonts w:hint="eastAsia" w:ascii="宋体" w:hAnsi="宋体" w:cs="宋体"/>
          <w:color w:val="auto"/>
          <w:sz w:val="24"/>
          <w:highlight w:val="none"/>
          <w:lang w:eastAsia="zh-CN"/>
        </w:rPr>
        <w:t>建设大庆路(北辰街-辽河大街)、联盟路(大庆路-五泵站)dn300-3.2m*1.5m排水管线共计11246米，道路拆除并恢复沥青混凝土路面38603平方米，并为改造排水路段配置智能化终端监测感知设备。</w:t>
      </w:r>
    </w:p>
    <w:p w14:paraId="2B45B19E">
      <w:pPr>
        <w:pStyle w:val="16"/>
        <w:spacing w:line="360" w:lineRule="auto"/>
        <w:rPr>
          <w:rStyle w:val="8"/>
          <w:rFonts w:hint="eastAsia" w:ascii="宋体" w:hAnsi="宋体" w:eastAsia="宋体" w:cs="宋体"/>
          <w:color w:val="auto"/>
          <w:sz w:val="24"/>
          <w:highlight w:val="none"/>
          <w:lang w:eastAsia="zh-CN"/>
        </w:rPr>
      </w:pPr>
      <w:r>
        <w:rPr>
          <w:rStyle w:val="8"/>
          <w:rFonts w:hint="eastAsia" w:ascii="宋体" w:hAnsi="宋体" w:eastAsia="宋体" w:cs="宋体"/>
          <w:color w:val="auto"/>
          <w:sz w:val="24"/>
          <w:highlight w:val="none"/>
          <w:lang w:eastAsia="zh-CN"/>
        </w:rPr>
        <w:t>2、招标范围</w:t>
      </w:r>
    </w:p>
    <w:p w14:paraId="04B5E3CA">
      <w:pPr>
        <w:pStyle w:val="16"/>
        <w:spacing w:line="360" w:lineRule="auto"/>
        <w:rPr>
          <w:rStyle w:val="8"/>
          <w:rFonts w:hint="eastAsia" w:ascii="宋体" w:hAnsi="宋体" w:cs="宋体"/>
          <w:color w:val="auto"/>
          <w:sz w:val="24"/>
          <w:highlight w:val="none"/>
        </w:rPr>
      </w:pPr>
      <w:r>
        <w:rPr>
          <w:rStyle w:val="8"/>
          <w:rFonts w:hint="eastAsia" w:ascii="宋体" w:hAnsi="宋体" w:cs="宋体"/>
          <w:color w:val="auto"/>
          <w:sz w:val="24"/>
          <w:highlight w:val="none"/>
        </w:rPr>
        <w:t>2.1 以下给出的工程承包范围和说明描述只是概括的，不应认为是全面的、无缺的，承包人根据图纸去完全了解工程的实际范围。</w:t>
      </w:r>
    </w:p>
    <w:p w14:paraId="03D0D2CC">
      <w:pPr>
        <w:pStyle w:val="16"/>
        <w:spacing w:line="360" w:lineRule="auto"/>
        <w:rPr>
          <w:rStyle w:val="8"/>
          <w:rFonts w:hint="eastAsia" w:ascii="宋体" w:hAnsi="宋体" w:cs="宋体"/>
          <w:color w:val="auto"/>
          <w:sz w:val="24"/>
          <w:highlight w:val="none"/>
        </w:rPr>
      </w:pPr>
      <w:r>
        <w:rPr>
          <w:rStyle w:val="8"/>
          <w:rFonts w:hint="eastAsia" w:ascii="宋体" w:hAnsi="宋体" w:cs="宋体"/>
          <w:color w:val="auto"/>
          <w:sz w:val="24"/>
          <w:highlight w:val="none"/>
        </w:rPr>
        <w:t>2.2 承包人应详细阅读构成本工程合同文件及其它有关文件。尤其是已充分研究了招标文件、清单的内容。</w:t>
      </w:r>
    </w:p>
    <w:p w14:paraId="4A3B515E">
      <w:pPr>
        <w:pStyle w:val="16"/>
        <w:spacing w:line="360" w:lineRule="auto"/>
        <w:rPr>
          <w:rStyle w:val="8"/>
          <w:rFonts w:hint="eastAsia" w:ascii="宋体" w:hAnsi="宋体" w:cs="宋体"/>
          <w:color w:val="auto"/>
          <w:sz w:val="24"/>
          <w:highlight w:val="none"/>
        </w:rPr>
      </w:pPr>
      <w:r>
        <w:rPr>
          <w:rStyle w:val="8"/>
          <w:rFonts w:hint="eastAsia" w:ascii="宋体" w:hAnsi="宋体" w:cs="宋体"/>
          <w:color w:val="auto"/>
          <w:sz w:val="24"/>
          <w:highlight w:val="none"/>
        </w:rPr>
        <w:t>2.3 本工程承包方式：固定单价合同。</w:t>
      </w:r>
    </w:p>
    <w:p w14:paraId="4176D974">
      <w:pPr>
        <w:pStyle w:val="16"/>
        <w:spacing w:line="360" w:lineRule="auto"/>
        <w:rPr>
          <w:rStyle w:val="8"/>
          <w:rFonts w:hint="eastAsia" w:ascii="宋体" w:hAnsi="宋体" w:eastAsia="宋体" w:cs="宋体"/>
          <w:color w:val="auto"/>
          <w:sz w:val="24"/>
          <w:highlight w:val="none"/>
          <w:lang w:eastAsia="zh-CN"/>
        </w:rPr>
      </w:pPr>
      <w:r>
        <w:rPr>
          <w:rStyle w:val="8"/>
          <w:rFonts w:hint="eastAsia" w:ascii="宋体" w:hAnsi="宋体" w:cs="宋体"/>
          <w:color w:val="auto"/>
          <w:sz w:val="24"/>
          <w:highlight w:val="none"/>
        </w:rPr>
        <w:t>2.4 招标范围：</w:t>
      </w:r>
      <w:r>
        <w:rPr>
          <w:rStyle w:val="8"/>
          <w:rFonts w:hint="eastAsia" w:ascii="宋体" w:hAnsi="宋体" w:cs="宋体"/>
          <w:color w:val="auto"/>
          <w:sz w:val="24"/>
          <w:highlight w:val="none"/>
          <w:lang w:val="en-US" w:eastAsia="zh-CN"/>
        </w:rPr>
        <w:t>铁路下穿工程</w:t>
      </w:r>
      <w:r>
        <w:rPr>
          <w:rStyle w:val="8"/>
          <w:rFonts w:hint="eastAsia" w:ascii="宋体" w:hAnsi="宋体" w:cs="宋体"/>
          <w:color w:val="auto"/>
          <w:sz w:val="24"/>
          <w:highlight w:val="none"/>
          <w:lang w:eastAsia="zh-CN"/>
        </w:rPr>
        <w:t>。</w:t>
      </w:r>
    </w:p>
    <w:p w14:paraId="31EDB9B2">
      <w:pPr>
        <w:pStyle w:val="16"/>
        <w:numPr>
          <w:ilvl w:val="0"/>
          <w:numId w:val="3"/>
        </w:numPr>
        <w:spacing w:line="360" w:lineRule="auto"/>
        <w:rPr>
          <w:rStyle w:val="8"/>
          <w:rFonts w:hint="eastAsia" w:ascii="宋体" w:hAnsi="宋体" w:cs="宋体"/>
          <w:color w:val="auto"/>
          <w:sz w:val="24"/>
          <w:highlight w:val="none"/>
          <w:lang w:val="en-US" w:eastAsia="zh-CN"/>
        </w:rPr>
      </w:pPr>
      <w:r>
        <w:rPr>
          <w:rStyle w:val="8"/>
          <w:rFonts w:hint="eastAsia" w:ascii="宋体" w:hAnsi="宋体" w:cs="宋体"/>
          <w:color w:val="auto"/>
          <w:sz w:val="24"/>
          <w:highlight w:val="none"/>
        </w:rPr>
        <w:t>工期：</w:t>
      </w:r>
      <w:r>
        <w:rPr>
          <w:rStyle w:val="8"/>
          <w:rFonts w:hint="eastAsia" w:ascii="宋体" w:hAnsi="宋体" w:cs="宋体"/>
          <w:color w:val="auto"/>
          <w:sz w:val="24"/>
          <w:highlight w:val="none"/>
          <w:lang w:val="en-US" w:eastAsia="zh-CN"/>
        </w:rPr>
        <w:t xml:space="preserve"> 日历日</w:t>
      </w:r>
    </w:p>
    <w:p w14:paraId="6E0E6437">
      <w:pPr>
        <w:pStyle w:val="16"/>
        <w:spacing w:line="360" w:lineRule="auto"/>
        <w:rPr>
          <w:rStyle w:val="8"/>
          <w:rFonts w:hint="default" w:ascii="宋体" w:hAnsi="宋体" w:eastAsia="宋体" w:cs="宋体"/>
          <w:color w:val="auto"/>
          <w:sz w:val="24"/>
          <w:highlight w:val="none"/>
          <w:lang w:val="en-US" w:eastAsia="zh-CN"/>
        </w:rPr>
      </w:pPr>
      <w:r>
        <w:rPr>
          <w:rStyle w:val="8"/>
          <w:rFonts w:hint="eastAsia" w:ascii="宋体" w:hAnsi="宋体" w:eastAsia="宋体" w:cs="宋体"/>
          <w:color w:val="auto"/>
          <w:sz w:val="24"/>
          <w:highlight w:val="none"/>
          <w:lang w:val="en-US" w:eastAsia="zh-CN"/>
        </w:rPr>
        <w:t>4、驻场要求：项目实施期间施工单位项目经理与项目班子成员应当按照合同约定驻场要求进行管理。</w:t>
      </w:r>
    </w:p>
    <w:p w14:paraId="0B693367">
      <w:pPr>
        <w:pStyle w:val="16"/>
        <w:spacing w:line="360" w:lineRule="auto"/>
        <w:rPr>
          <w:rStyle w:val="8"/>
          <w:rFonts w:hint="eastAsia" w:ascii="宋体" w:hAnsi="宋体" w:cs="宋体"/>
          <w:color w:val="auto"/>
          <w:sz w:val="24"/>
          <w:highlight w:val="none"/>
        </w:rPr>
      </w:pPr>
      <w:r>
        <w:rPr>
          <w:rStyle w:val="8"/>
          <w:rFonts w:hint="eastAsia" w:ascii="宋体" w:hAnsi="宋体" w:cs="宋体"/>
          <w:color w:val="auto"/>
          <w:sz w:val="24"/>
          <w:highlight w:val="none"/>
          <w:lang w:val="en-US" w:eastAsia="zh-CN"/>
        </w:rPr>
        <w:t>5</w:t>
      </w:r>
      <w:r>
        <w:rPr>
          <w:rStyle w:val="8"/>
          <w:rFonts w:hint="eastAsia" w:ascii="宋体" w:hAnsi="宋体" w:cs="宋体"/>
          <w:color w:val="auto"/>
          <w:sz w:val="24"/>
          <w:highlight w:val="none"/>
        </w:rPr>
        <w:t>、特别说明</w:t>
      </w:r>
    </w:p>
    <w:p w14:paraId="7E8DF226">
      <w:pPr>
        <w:pStyle w:val="16"/>
        <w:spacing w:line="360" w:lineRule="auto"/>
        <w:rPr>
          <w:rStyle w:val="8"/>
          <w:rFonts w:hint="eastAsia" w:ascii="宋体" w:hAnsi="宋体" w:cs="宋体"/>
          <w:color w:val="auto"/>
          <w:sz w:val="24"/>
          <w:highlight w:val="none"/>
        </w:rPr>
      </w:pPr>
      <w:r>
        <w:rPr>
          <w:rStyle w:val="8"/>
          <w:rFonts w:hint="eastAsia" w:ascii="宋体" w:hAnsi="宋体" w:cs="宋体"/>
          <w:color w:val="auto"/>
          <w:sz w:val="24"/>
          <w:highlight w:val="none"/>
        </w:rPr>
        <w:t>本招标工程质量标准必须符合中华人民共和国国家标准，如果本招标文件中规定的执行 标准高于国家标准，则按本招标文件中规定的标准执行，如果低于国家标准，则按国家 标准执行。</w:t>
      </w:r>
    </w:p>
    <w:p w14:paraId="3D16AE95">
      <w:pPr>
        <w:pStyle w:val="16"/>
        <w:spacing w:line="360" w:lineRule="auto"/>
        <w:rPr>
          <w:rStyle w:val="8"/>
        </w:rPr>
      </w:pPr>
    </w:p>
    <w:p w14:paraId="7BD93629">
      <w:pPr>
        <w:spacing w:line="219" w:lineRule="auto"/>
        <w:rPr>
          <w:rFonts w:ascii="宋体" w:hAnsi="宋体" w:eastAsia="宋体" w:cs="宋体"/>
          <w:sz w:val="21"/>
          <w:szCs w:val="21"/>
        </w:rPr>
        <w:sectPr>
          <w:headerReference r:id="rId189" w:type="default"/>
          <w:footerReference r:id="rId190" w:type="default"/>
          <w:pgSz w:w="11905" w:h="16839"/>
          <w:pgMar w:top="400" w:right="1785" w:bottom="1004" w:left="1785" w:header="0" w:footer="828" w:gutter="0"/>
          <w:pgNumType w:fmt="decimal"/>
          <w:cols w:space="720" w:num="1"/>
        </w:sectPr>
      </w:pPr>
    </w:p>
    <w:p w14:paraId="238EF5A5">
      <w:pPr>
        <w:pStyle w:val="3"/>
        <w:spacing w:line="251" w:lineRule="auto"/>
      </w:pPr>
    </w:p>
    <w:p w14:paraId="7BD9DE13">
      <w:pPr>
        <w:pStyle w:val="3"/>
        <w:spacing w:line="251" w:lineRule="auto"/>
      </w:pPr>
    </w:p>
    <w:p w14:paraId="6A797631">
      <w:pPr>
        <w:pStyle w:val="3"/>
        <w:spacing w:line="251" w:lineRule="auto"/>
      </w:pPr>
    </w:p>
    <w:p w14:paraId="0A10C1A6">
      <w:pPr>
        <w:pStyle w:val="3"/>
        <w:spacing w:line="251" w:lineRule="auto"/>
      </w:pPr>
    </w:p>
    <w:p w14:paraId="16DCA714">
      <w:pPr>
        <w:pStyle w:val="3"/>
        <w:spacing w:line="252" w:lineRule="auto"/>
      </w:pPr>
    </w:p>
    <w:p w14:paraId="3324F1CB">
      <w:pPr>
        <w:pStyle w:val="3"/>
        <w:spacing w:line="252" w:lineRule="auto"/>
      </w:pPr>
    </w:p>
    <w:p w14:paraId="6F428C01">
      <w:pPr>
        <w:pStyle w:val="3"/>
        <w:spacing w:line="252" w:lineRule="auto"/>
      </w:pPr>
    </w:p>
    <w:p w14:paraId="067089DC">
      <w:pPr>
        <w:pStyle w:val="3"/>
        <w:spacing w:line="252" w:lineRule="auto"/>
      </w:pPr>
    </w:p>
    <w:p w14:paraId="568E6B11">
      <w:pPr>
        <w:pStyle w:val="3"/>
        <w:spacing w:line="252" w:lineRule="auto"/>
      </w:pPr>
    </w:p>
    <w:p w14:paraId="1BA731A0">
      <w:pPr>
        <w:pStyle w:val="3"/>
        <w:spacing w:line="252" w:lineRule="auto"/>
      </w:pPr>
    </w:p>
    <w:p w14:paraId="4287D669">
      <w:pPr>
        <w:pStyle w:val="3"/>
        <w:spacing w:line="252" w:lineRule="auto"/>
      </w:pPr>
    </w:p>
    <w:p w14:paraId="250AC01D">
      <w:pPr>
        <w:pStyle w:val="3"/>
        <w:spacing w:line="252" w:lineRule="auto"/>
      </w:pPr>
    </w:p>
    <w:p w14:paraId="7606D530">
      <w:pPr>
        <w:pStyle w:val="3"/>
        <w:spacing w:line="252" w:lineRule="auto"/>
      </w:pPr>
    </w:p>
    <w:p w14:paraId="5BF025B6">
      <w:pPr>
        <w:pStyle w:val="3"/>
        <w:spacing w:line="252" w:lineRule="auto"/>
      </w:pPr>
    </w:p>
    <w:p w14:paraId="3E8ECD9A">
      <w:pPr>
        <w:pStyle w:val="3"/>
        <w:spacing w:line="252" w:lineRule="auto"/>
      </w:pPr>
    </w:p>
    <w:p w14:paraId="358C2E41">
      <w:pPr>
        <w:pStyle w:val="3"/>
        <w:spacing w:line="252" w:lineRule="auto"/>
      </w:pPr>
    </w:p>
    <w:p w14:paraId="676D1039">
      <w:pPr>
        <w:spacing w:before="156" w:line="219" w:lineRule="auto"/>
        <w:ind w:left="3467"/>
        <w:rPr>
          <w:rFonts w:ascii="黑体" w:hAnsi="黑体" w:eastAsia="黑体" w:cs="黑体"/>
          <w:sz w:val="48"/>
          <w:szCs w:val="48"/>
        </w:rPr>
      </w:pPr>
      <w:bookmarkStart w:id="1307" w:name="bookmark292"/>
      <w:bookmarkEnd w:id="1307"/>
      <w:r>
        <w:rPr>
          <w:rFonts w:ascii="黑体" w:hAnsi="黑体" w:eastAsia="黑体" w:cs="黑体"/>
          <w:spacing w:val="-5"/>
          <w:sz w:val="48"/>
          <w:szCs w:val="48"/>
        </w:rPr>
        <w:t>第四卷</w:t>
      </w:r>
    </w:p>
    <w:p w14:paraId="28BC99D8">
      <w:pPr>
        <w:spacing w:line="219" w:lineRule="auto"/>
        <w:rPr>
          <w:rFonts w:ascii="黑体" w:hAnsi="黑体" w:eastAsia="黑体" w:cs="黑体"/>
          <w:sz w:val="48"/>
          <w:szCs w:val="48"/>
        </w:rPr>
        <w:sectPr>
          <w:footerReference r:id="rId191" w:type="default"/>
          <w:pgSz w:w="11905" w:h="16839"/>
          <w:pgMar w:top="400" w:right="1785" w:bottom="1004" w:left="1785" w:header="0" w:footer="828" w:gutter="0"/>
          <w:pgNumType w:fmt="decimal"/>
          <w:cols w:space="720" w:num="1"/>
        </w:sectPr>
      </w:pPr>
    </w:p>
    <w:p w14:paraId="1C1F5252">
      <w:pPr>
        <w:pStyle w:val="3"/>
        <w:spacing w:line="242" w:lineRule="auto"/>
      </w:pPr>
    </w:p>
    <w:p w14:paraId="3E5B9A1B">
      <w:pPr>
        <w:pStyle w:val="3"/>
        <w:spacing w:line="242" w:lineRule="auto"/>
      </w:pPr>
    </w:p>
    <w:p w14:paraId="60BE3F07">
      <w:pPr>
        <w:pStyle w:val="3"/>
        <w:spacing w:line="242" w:lineRule="auto"/>
      </w:pPr>
    </w:p>
    <w:p w14:paraId="282E18D9">
      <w:pPr>
        <w:pStyle w:val="3"/>
        <w:spacing w:line="242" w:lineRule="auto"/>
      </w:pPr>
    </w:p>
    <w:p w14:paraId="02D72987">
      <w:pPr>
        <w:pStyle w:val="3"/>
        <w:spacing w:line="242" w:lineRule="auto"/>
      </w:pPr>
    </w:p>
    <w:p w14:paraId="6665C384">
      <w:pPr>
        <w:pStyle w:val="3"/>
        <w:spacing w:line="242" w:lineRule="auto"/>
      </w:pPr>
    </w:p>
    <w:p w14:paraId="40ED18F5">
      <w:pPr>
        <w:pStyle w:val="3"/>
        <w:spacing w:line="243" w:lineRule="auto"/>
      </w:pPr>
    </w:p>
    <w:p w14:paraId="5E8A5DAA">
      <w:pPr>
        <w:pStyle w:val="3"/>
        <w:spacing w:line="243" w:lineRule="auto"/>
      </w:pPr>
    </w:p>
    <w:p w14:paraId="48F36BC2">
      <w:pPr>
        <w:pStyle w:val="3"/>
        <w:spacing w:line="243" w:lineRule="auto"/>
      </w:pPr>
    </w:p>
    <w:p w14:paraId="65A9FA31">
      <w:pPr>
        <w:pStyle w:val="3"/>
        <w:spacing w:line="243" w:lineRule="auto"/>
      </w:pPr>
    </w:p>
    <w:p w14:paraId="77735C98">
      <w:pPr>
        <w:pStyle w:val="3"/>
        <w:spacing w:line="243" w:lineRule="auto"/>
      </w:pPr>
    </w:p>
    <w:p w14:paraId="4640F7CD">
      <w:pPr>
        <w:pStyle w:val="3"/>
        <w:spacing w:line="243" w:lineRule="auto"/>
      </w:pPr>
    </w:p>
    <w:p w14:paraId="739AFB78">
      <w:pPr>
        <w:pStyle w:val="3"/>
        <w:spacing w:line="243" w:lineRule="auto"/>
      </w:pPr>
    </w:p>
    <w:p w14:paraId="36ACA350">
      <w:pPr>
        <w:pStyle w:val="3"/>
        <w:spacing w:line="243" w:lineRule="auto"/>
      </w:pPr>
    </w:p>
    <w:p w14:paraId="1C409DF7">
      <w:pPr>
        <w:pStyle w:val="3"/>
        <w:spacing w:line="243" w:lineRule="auto"/>
      </w:pPr>
    </w:p>
    <w:p w14:paraId="1398F770">
      <w:pPr>
        <w:pStyle w:val="3"/>
        <w:spacing w:line="243" w:lineRule="auto"/>
      </w:pPr>
    </w:p>
    <w:p w14:paraId="3BBA8DF0">
      <w:pPr>
        <w:pStyle w:val="3"/>
        <w:spacing w:line="243" w:lineRule="auto"/>
      </w:pPr>
    </w:p>
    <w:p w14:paraId="7FA21D49">
      <w:pPr>
        <w:pStyle w:val="3"/>
        <w:spacing w:line="243" w:lineRule="auto"/>
      </w:pPr>
    </w:p>
    <w:p w14:paraId="7870535A">
      <w:pPr>
        <w:pStyle w:val="3"/>
        <w:spacing w:line="243" w:lineRule="auto"/>
      </w:pPr>
    </w:p>
    <w:p w14:paraId="3325B5B5">
      <w:pPr>
        <w:pStyle w:val="3"/>
        <w:spacing w:line="243" w:lineRule="auto"/>
      </w:pPr>
    </w:p>
    <w:p w14:paraId="101785A4">
      <w:pPr>
        <w:spacing w:before="104" w:line="220" w:lineRule="auto"/>
        <w:ind w:left="2577"/>
        <w:rPr>
          <w:rFonts w:ascii="黑体" w:hAnsi="黑体" w:eastAsia="黑体" w:cs="黑体"/>
          <w:sz w:val="32"/>
          <w:szCs w:val="32"/>
        </w:rPr>
      </w:pPr>
      <w:r>
        <w:rPr>
          <w:rFonts w:ascii="黑体" w:hAnsi="黑体" w:eastAsia="黑体" w:cs="黑体"/>
          <w:spacing w:val="-1"/>
          <w:sz w:val="32"/>
          <w:szCs w:val="32"/>
        </w:rPr>
        <w:t>第八章  投标文件格式</w:t>
      </w:r>
    </w:p>
    <w:p w14:paraId="640C7CB5">
      <w:pPr>
        <w:spacing w:line="220" w:lineRule="auto"/>
        <w:rPr>
          <w:rFonts w:ascii="黑体" w:hAnsi="黑体" w:eastAsia="黑体" w:cs="黑体"/>
          <w:sz w:val="32"/>
          <w:szCs w:val="32"/>
        </w:rPr>
        <w:sectPr>
          <w:footerReference r:id="rId192" w:type="default"/>
          <w:pgSz w:w="11905" w:h="16839"/>
          <w:pgMar w:top="400" w:right="1785" w:bottom="1004" w:left="1785" w:header="0" w:footer="828" w:gutter="0"/>
          <w:pgNumType w:fmt="decimal"/>
          <w:cols w:space="720" w:num="1"/>
        </w:sectPr>
      </w:pPr>
    </w:p>
    <w:p w14:paraId="7DA6AF95">
      <w:pPr>
        <w:pStyle w:val="3"/>
        <w:spacing w:line="263" w:lineRule="auto"/>
      </w:pPr>
    </w:p>
    <w:p w14:paraId="538E3278">
      <w:pPr>
        <w:pStyle w:val="3"/>
        <w:spacing w:line="263" w:lineRule="auto"/>
      </w:pPr>
    </w:p>
    <w:p w14:paraId="56808DE3">
      <w:pPr>
        <w:pStyle w:val="3"/>
        <w:spacing w:line="263" w:lineRule="auto"/>
      </w:pPr>
    </w:p>
    <w:p w14:paraId="23EDA454">
      <w:pPr>
        <w:pStyle w:val="3"/>
        <w:spacing w:line="263" w:lineRule="auto"/>
      </w:pPr>
    </w:p>
    <w:p w14:paraId="3E1BADF2">
      <w:pPr>
        <w:pStyle w:val="3"/>
        <w:spacing w:line="264" w:lineRule="auto"/>
      </w:pPr>
    </w:p>
    <w:p w14:paraId="7D8A7AA1">
      <w:pPr>
        <w:pStyle w:val="3"/>
        <w:spacing w:line="264" w:lineRule="auto"/>
      </w:pPr>
    </w:p>
    <w:p w14:paraId="342AFC2A">
      <w:pPr>
        <w:pStyle w:val="3"/>
        <w:spacing w:line="264" w:lineRule="auto"/>
      </w:pPr>
    </w:p>
    <w:p w14:paraId="36EB2346">
      <w:pPr>
        <w:pStyle w:val="3"/>
        <w:spacing w:line="264" w:lineRule="auto"/>
      </w:pPr>
    </w:p>
    <w:p w14:paraId="1660688C">
      <w:pPr>
        <w:pStyle w:val="3"/>
        <w:spacing w:line="264" w:lineRule="auto"/>
      </w:pPr>
    </w:p>
    <w:p w14:paraId="3A198F8D">
      <w:pPr>
        <w:pStyle w:val="3"/>
        <w:spacing w:line="264" w:lineRule="auto"/>
      </w:pPr>
    </w:p>
    <w:p w14:paraId="163063CF">
      <w:pPr>
        <w:tabs>
          <w:tab w:val="left" w:pos="4033"/>
        </w:tabs>
        <w:spacing w:before="88" w:line="225" w:lineRule="auto"/>
        <w:ind w:left="1494"/>
        <w:rPr>
          <w:rFonts w:ascii="黑体" w:hAnsi="黑体" w:eastAsia="黑体" w:cs="黑体"/>
          <w:sz w:val="27"/>
          <w:szCs w:val="27"/>
        </w:rPr>
      </w:pPr>
      <w:r>
        <w:rPr>
          <w:rFonts w:ascii="宋体" w:hAnsi="宋体" w:eastAsia="宋体" w:cs="宋体"/>
          <w:sz w:val="27"/>
          <w:szCs w:val="27"/>
          <w:u w:val="single" w:color="auto"/>
        </w:rPr>
        <w:tab/>
      </w:r>
      <w:r>
        <w:rPr>
          <w:rFonts w:ascii="宋体" w:hAnsi="宋体" w:eastAsia="宋体" w:cs="宋体"/>
          <w:spacing w:val="25"/>
          <w:sz w:val="27"/>
          <w:szCs w:val="27"/>
        </w:rPr>
        <w:t xml:space="preserve"> </w:t>
      </w:r>
      <w:r>
        <w:rPr>
          <w:rFonts w:ascii="宋体" w:hAnsi="宋体" w:eastAsia="宋体" w:cs="宋体"/>
          <w:spacing w:val="-18"/>
          <w:sz w:val="27"/>
          <w:szCs w:val="27"/>
        </w:rPr>
        <w:t xml:space="preserve">（标段名称） </w:t>
      </w:r>
      <w:r>
        <w:rPr>
          <w:rFonts w:ascii="黑体" w:hAnsi="黑体" w:eastAsia="黑体" w:cs="黑体"/>
          <w:spacing w:val="-18"/>
          <w:sz w:val="27"/>
          <w:szCs w:val="27"/>
        </w:rPr>
        <w:t>项目招标</w:t>
      </w:r>
    </w:p>
    <w:p w14:paraId="5E7B3756">
      <w:pPr>
        <w:pStyle w:val="3"/>
        <w:spacing w:line="289" w:lineRule="auto"/>
      </w:pPr>
    </w:p>
    <w:p w14:paraId="3099AA7D">
      <w:pPr>
        <w:pStyle w:val="3"/>
        <w:spacing w:line="289" w:lineRule="auto"/>
      </w:pPr>
    </w:p>
    <w:p w14:paraId="07C9741B">
      <w:pPr>
        <w:pStyle w:val="3"/>
        <w:spacing w:line="290" w:lineRule="auto"/>
      </w:pPr>
    </w:p>
    <w:p w14:paraId="13A78D32">
      <w:pPr>
        <w:spacing w:before="166" w:line="222" w:lineRule="auto"/>
        <w:ind w:left="2364"/>
        <w:rPr>
          <w:rFonts w:ascii="黑体" w:hAnsi="黑体" w:eastAsia="黑体" w:cs="黑体"/>
          <w:sz w:val="51"/>
          <w:szCs w:val="51"/>
        </w:rPr>
      </w:pPr>
      <w:bookmarkStart w:id="1308" w:name="bookmark293"/>
      <w:bookmarkEnd w:id="1308"/>
      <w:r>
        <w:rPr>
          <w:rFonts w:ascii="黑体" w:hAnsi="黑体" w:eastAsia="黑体" w:cs="黑体"/>
          <w:spacing w:val="-7"/>
          <w:sz w:val="51"/>
          <w:szCs w:val="51"/>
        </w:rPr>
        <w:t>投</w:t>
      </w:r>
      <w:r>
        <w:rPr>
          <w:rFonts w:ascii="黑体" w:hAnsi="黑体" w:eastAsia="黑体" w:cs="黑体"/>
          <w:spacing w:val="9"/>
          <w:sz w:val="51"/>
          <w:szCs w:val="51"/>
        </w:rPr>
        <w:t xml:space="preserve">  </w:t>
      </w:r>
      <w:r>
        <w:rPr>
          <w:rFonts w:ascii="黑体" w:hAnsi="黑体" w:eastAsia="黑体" w:cs="黑体"/>
          <w:spacing w:val="-7"/>
          <w:sz w:val="51"/>
          <w:szCs w:val="51"/>
        </w:rPr>
        <w:t>标</w:t>
      </w:r>
      <w:r>
        <w:rPr>
          <w:rFonts w:ascii="黑体" w:hAnsi="黑体" w:eastAsia="黑体" w:cs="黑体"/>
          <w:spacing w:val="20"/>
          <w:sz w:val="51"/>
          <w:szCs w:val="51"/>
        </w:rPr>
        <w:t xml:space="preserve">  </w:t>
      </w:r>
      <w:r>
        <w:rPr>
          <w:rFonts w:ascii="黑体" w:hAnsi="黑体" w:eastAsia="黑体" w:cs="黑体"/>
          <w:spacing w:val="-7"/>
          <w:sz w:val="51"/>
          <w:szCs w:val="51"/>
        </w:rPr>
        <w:t>文</w:t>
      </w:r>
      <w:r>
        <w:rPr>
          <w:rFonts w:ascii="黑体" w:hAnsi="黑体" w:eastAsia="黑体" w:cs="黑体"/>
          <w:spacing w:val="12"/>
          <w:sz w:val="51"/>
          <w:szCs w:val="51"/>
        </w:rPr>
        <w:t xml:space="preserve">  </w:t>
      </w:r>
      <w:r>
        <w:rPr>
          <w:rFonts w:ascii="黑体" w:hAnsi="黑体" w:eastAsia="黑体" w:cs="黑体"/>
          <w:spacing w:val="-7"/>
          <w:sz w:val="51"/>
          <w:szCs w:val="51"/>
        </w:rPr>
        <w:t>件</w:t>
      </w:r>
    </w:p>
    <w:p w14:paraId="61838FEA">
      <w:pPr>
        <w:pStyle w:val="3"/>
        <w:spacing w:line="254" w:lineRule="auto"/>
      </w:pPr>
    </w:p>
    <w:p w14:paraId="02AC09B4">
      <w:pPr>
        <w:pStyle w:val="3"/>
        <w:spacing w:line="255" w:lineRule="auto"/>
      </w:pPr>
    </w:p>
    <w:p w14:paraId="16E3E4EB">
      <w:pPr>
        <w:pStyle w:val="3"/>
        <w:spacing w:line="255" w:lineRule="auto"/>
      </w:pPr>
    </w:p>
    <w:p w14:paraId="0C2E2F2F">
      <w:pPr>
        <w:spacing w:before="88" w:line="236" w:lineRule="auto"/>
        <w:ind w:left="1512" w:right="1508"/>
        <w:rPr>
          <w:rFonts w:ascii="楷体" w:hAnsi="楷体" w:eastAsia="楷体" w:cs="楷体"/>
          <w:sz w:val="27"/>
          <w:szCs w:val="27"/>
        </w:rPr>
      </w:pPr>
      <w:r>
        <w:rPr>
          <w:rFonts w:ascii="楷体" w:hAnsi="楷体" w:eastAsia="楷体" w:cs="楷体"/>
          <w:spacing w:val="-5"/>
          <w:sz w:val="27"/>
          <w:szCs w:val="27"/>
        </w:rPr>
        <w:t>（标段唯一标识码</w:t>
      </w:r>
      <w:r>
        <w:rPr>
          <w:rFonts w:ascii="楷体" w:hAnsi="楷体" w:eastAsia="楷体" w:cs="楷体"/>
          <w:spacing w:val="-20"/>
          <w:sz w:val="27"/>
          <w:szCs w:val="27"/>
        </w:rPr>
        <w:t>：</w:t>
      </w:r>
      <w:r>
        <w:rPr>
          <w:rFonts w:ascii="楷体" w:hAnsi="楷体" w:eastAsia="楷体" w:cs="楷体"/>
          <w:spacing w:val="-16"/>
          <w:sz w:val="27"/>
          <w:szCs w:val="27"/>
        </w:rPr>
        <w:t xml:space="preserve"> </w:t>
      </w:r>
      <w:r>
        <w:rPr>
          <w:rFonts w:ascii="楷体" w:hAnsi="楷体" w:eastAsia="楷体" w:cs="楷体"/>
          <w:spacing w:val="5"/>
          <w:sz w:val="27"/>
          <w:szCs w:val="27"/>
          <w:u w:val="single" w:color="auto"/>
        </w:rPr>
        <w:t xml:space="preserve">                  </w:t>
      </w:r>
      <w:r>
        <w:rPr>
          <w:rFonts w:ascii="楷体" w:hAnsi="楷体" w:eastAsia="楷体" w:cs="楷体"/>
          <w:spacing w:val="-83"/>
          <w:sz w:val="27"/>
          <w:szCs w:val="27"/>
        </w:rPr>
        <w:t xml:space="preserve"> </w:t>
      </w:r>
      <w:r>
        <w:rPr>
          <w:rFonts w:ascii="楷体" w:hAnsi="楷体" w:eastAsia="楷体" w:cs="楷体"/>
          <w:spacing w:val="-20"/>
          <w:sz w:val="27"/>
          <w:szCs w:val="27"/>
        </w:rPr>
        <w:t>）</w:t>
      </w:r>
      <w:r>
        <w:rPr>
          <w:rFonts w:ascii="楷体" w:hAnsi="楷体" w:eastAsia="楷体" w:cs="楷体"/>
          <w:sz w:val="27"/>
          <w:szCs w:val="27"/>
        </w:rPr>
        <w:t xml:space="preserve"> </w:t>
      </w:r>
      <w:r>
        <w:rPr>
          <w:rFonts w:ascii="楷体" w:hAnsi="楷体" w:eastAsia="楷体" w:cs="楷体"/>
          <w:spacing w:val="-16"/>
          <w:sz w:val="27"/>
          <w:szCs w:val="27"/>
        </w:rPr>
        <w:t>（标段编号</w:t>
      </w:r>
      <w:r>
        <w:rPr>
          <w:rFonts w:ascii="楷体" w:hAnsi="楷体" w:eastAsia="楷体" w:cs="楷体"/>
          <w:spacing w:val="-21"/>
          <w:sz w:val="27"/>
          <w:szCs w:val="27"/>
        </w:rPr>
        <w:t>：</w:t>
      </w:r>
      <w:r>
        <w:rPr>
          <w:rFonts w:ascii="楷体" w:hAnsi="楷体" w:eastAsia="楷体" w:cs="楷体"/>
          <w:spacing w:val="-4"/>
          <w:sz w:val="27"/>
          <w:szCs w:val="27"/>
        </w:rPr>
        <w:t xml:space="preserve"> </w:t>
      </w:r>
      <w:r>
        <w:rPr>
          <w:rFonts w:ascii="楷体" w:hAnsi="楷体" w:eastAsia="楷体" w:cs="楷体"/>
          <w:spacing w:val="5"/>
          <w:sz w:val="27"/>
          <w:szCs w:val="27"/>
          <w:u w:val="single" w:color="auto"/>
        </w:rPr>
        <w:t xml:space="preserve">                        </w:t>
      </w:r>
      <w:r>
        <w:rPr>
          <w:rFonts w:ascii="楷体" w:hAnsi="楷体" w:eastAsia="楷体" w:cs="楷体"/>
          <w:spacing w:val="-84"/>
          <w:sz w:val="27"/>
          <w:szCs w:val="27"/>
        </w:rPr>
        <w:t xml:space="preserve"> </w:t>
      </w:r>
      <w:r>
        <w:rPr>
          <w:rFonts w:ascii="楷体" w:hAnsi="楷体" w:eastAsia="楷体" w:cs="楷体"/>
          <w:spacing w:val="-21"/>
          <w:sz w:val="27"/>
          <w:szCs w:val="27"/>
        </w:rPr>
        <w:t>）</w:t>
      </w:r>
    </w:p>
    <w:p w14:paraId="116646FC">
      <w:pPr>
        <w:pStyle w:val="3"/>
        <w:spacing w:line="244" w:lineRule="auto"/>
      </w:pPr>
    </w:p>
    <w:p w14:paraId="5A507E44">
      <w:pPr>
        <w:pStyle w:val="3"/>
        <w:spacing w:line="244" w:lineRule="auto"/>
      </w:pPr>
    </w:p>
    <w:p w14:paraId="0AEA7D18">
      <w:pPr>
        <w:pStyle w:val="3"/>
        <w:spacing w:line="245" w:lineRule="auto"/>
      </w:pPr>
    </w:p>
    <w:p w14:paraId="161A511B">
      <w:pPr>
        <w:pStyle w:val="3"/>
        <w:spacing w:line="245" w:lineRule="auto"/>
      </w:pPr>
    </w:p>
    <w:p w14:paraId="66512D03">
      <w:pPr>
        <w:pStyle w:val="3"/>
        <w:spacing w:line="245" w:lineRule="auto"/>
      </w:pPr>
    </w:p>
    <w:p w14:paraId="7B221DB2">
      <w:pPr>
        <w:pStyle w:val="3"/>
        <w:spacing w:line="245" w:lineRule="auto"/>
      </w:pPr>
    </w:p>
    <w:p w14:paraId="729BC286">
      <w:pPr>
        <w:pStyle w:val="3"/>
        <w:spacing w:line="245" w:lineRule="auto"/>
      </w:pPr>
    </w:p>
    <w:p w14:paraId="5DEE8A2A">
      <w:pPr>
        <w:pStyle w:val="3"/>
        <w:spacing w:line="245" w:lineRule="auto"/>
      </w:pPr>
    </w:p>
    <w:p w14:paraId="751A0F21">
      <w:pPr>
        <w:pStyle w:val="3"/>
        <w:spacing w:line="245" w:lineRule="auto"/>
      </w:pPr>
    </w:p>
    <w:p w14:paraId="740C1B09">
      <w:pPr>
        <w:pStyle w:val="3"/>
        <w:spacing w:line="245" w:lineRule="auto"/>
      </w:pPr>
    </w:p>
    <w:p w14:paraId="6D151DB8">
      <w:pPr>
        <w:pStyle w:val="3"/>
        <w:spacing w:line="245" w:lineRule="auto"/>
      </w:pPr>
    </w:p>
    <w:p w14:paraId="13008B4A">
      <w:pPr>
        <w:pStyle w:val="3"/>
        <w:spacing w:line="245" w:lineRule="auto"/>
      </w:pPr>
    </w:p>
    <w:p w14:paraId="0DCCF5CD">
      <w:pPr>
        <w:pStyle w:val="3"/>
        <w:spacing w:line="245" w:lineRule="auto"/>
      </w:pPr>
    </w:p>
    <w:p w14:paraId="49EE1B77">
      <w:pPr>
        <w:pStyle w:val="3"/>
        <w:spacing w:line="245" w:lineRule="auto"/>
      </w:pPr>
    </w:p>
    <w:p w14:paraId="6625AE7A">
      <w:pPr>
        <w:pStyle w:val="3"/>
        <w:spacing w:line="245" w:lineRule="auto"/>
      </w:pPr>
    </w:p>
    <w:p w14:paraId="77CAFA6A">
      <w:pPr>
        <w:pStyle w:val="3"/>
        <w:spacing w:line="245" w:lineRule="auto"/>
      </w:pPr>
    </w:p>
    <w:p w14:paraId="55857C39">
      <w:pPr>
        <w:pStyle w:val="3"/>
        <w:spacing w:line="245" w:lineRule="auto"/>
      </w:pPr>
    </w:p>
    <w:p w14:paraId="2DED20C2">
      <w:pPr>
        <w:pStyle w:val="3"/>
        <w:spacing w:line="245" w:lineRule="auto"/>
      </w:pPr>
    </w:p>
    <w:p w14:paraId="68102EB9">
      <w:pPr>
        <w:pStyle w:val="3"/>
        <w:spacing w:line="245" w:lineRule="auto"/>
      </w:pPr>
    </w:p>
    <w:p w14:paraId="31CCE22A">
      <w:pPr>
        <w:pStyle w:val="3"/>
        <w:spacing w:line="245" w:lineRule="auto"/>
      </w:pPr>
    </w:p>
    <w:p w14:paraId="6A017B52">
      <w:pPr>
        <w:spacing w:before="88" w:line="225" w:lineRule="auto"/>
        <w:ind w:left="883"/>
        <w:rPr>
          <w:rFonts w:ascii="黑体" w:hAnsi="黑体" w:eastAsia="黑体" w:cs="黑体"/>
          <w:sz w:val="27"/>
          <w:szCs w:val="27"/>
        </w:rPr>
      </w:pPr>
      <w:r>
        <w:rPr>
          <w:rFonts w:ascii="黑体" w:hAnsi="黑体" w:eastAsia="黑体" w:cs="黑体"/>
          <w:spacing w:val="-24"/>
          <w:w w:val="98"/>
          <w:sz w:val="27"/>
          <w:szCs w:val="27"/>
        </w:rPr>
        <w:t>投标人</w:t>
      </w:r>
      <w:r>
        <w:rPr>
          <w:rFonts w:ascii="黑体" w:hAnsi="黑体" w:eastAsia="黑体" w:cs="黑体"/>
          <w:spacing w:val="-19"/>
          <w:sz w:val="27"/>
          <w:szCs w:val="27"/>
        </w:rPr>
        <w:t>：</w:t>
      </w:r>
      <w:r>
        <w:rPr>
          <w:rFonts w:ascii="黑体" w:hAnsi="黑体" w:eastAsia="黑体" w:cs="黑体"/>
          <w:spacing w:val="16"/>
          <w:sz w:val="27"/>
          <w:szCs w:val="27"/>
        </w:rPr>
        <w:t xml:space="preserve"> </w:t>
      </w:r>
      <w:r>
        <w:rPr>
          <w:rFonts w:ascii="黑体" w:hAnsi="黑体" w:eastAsia="黑体" w:cs="黑体"/>
          <w:sz w:val="27"/>
          <w:szCs w:val="27"/>
          <w:u w:val="single" w:color="auto"/>
        </w:rPr>
        <w:t xml:space="preserve">                            </w:t>
      </w:r>
      <w:r>
        <w:rPr>
          <w:rFonts w:ascii="黑体" w:hAnsi="黑体" w:eastAsia="黑体" w:cs="黑体"/>
          <w:spacing w:val="42"/>
          <w:sz w:val="27"/>
          <w:szCs w:val="27"/>
        </w:rPr>
        <w:t xml:space="preserve"> </w:t>
      </w:r>
      <w:r>
        <w:rPr>
          <w:rFonts w:ascii="黑体" w:hAnsi="黑体" w:eastAsia="黑体" w:cs="黑体"/>
          <w:spacing w:val="-19"/>
          <w:sz w:val="27"/>
          <w:szCs w:val="27"/>
        </w:rPr>
        <w:t>（</w:t>
      </w:r>
      <w:r>
        <w:rPr>
          <w:rFonts w:ascii="黑体" w:hAnsi="黑体" w:eastAsia="黑体" w:cs="黑体"/>
          <w:spacing w:val="-24"/>
          <w:w w:val="98"/>
          <w:sz w:val="27"/>
          <w:szCs w:val="27"/>
        </w:rPr>
        <w:t>盖单位章）</w:t>
      </w:r>
    </w:p>
    <w:p w14:paraId="4E7215FC">
      <w:pPr>
        <w:spacing w:before="213" w:line="225" w:lineRule="auto"/>
        <w:ind w:left="887"/>
        <w:rPr>
          <w:rFonts w:ascii="黑体" w:hAnsi="黑体" w:eastAsia="黑体" w:cs="黑体"/>
          <w:sz w:val="27"/>
          <w:szCs w:val="27"/>
        </w:rPr>
      </w:pPr>
      <w:r>
        <w:rPr>
          <w:rFonts w:ascii="黑体" w:hAnsi="黑体" w:eastAsia="黑体" w:cs="黑体"/>
          <w:spacing w:val="-7"/>
          <w:sz w:val="27"/>
          <w:szCs w:val="27"/>
        </w:rPr>
        <w:t>法定代表人或授权委托人</w:t>
      </w:r>
      <w:r>
        <w:rPr>
          <w:rFonts w:ascii="黑体" w:hAnsi="黑体" w:eastAsia="黑体" w:cs="黑体"/>
          <w:spacing w:val="5"/>
          <w:sz w:val="27"/>
          <w:szCs w:val="27"/>
        </w:rPr>
        <w:t>：</w:t>
      </w:r>
      <w:r>
        <w:rPr>
          <w:rFonts w:ascii="黑体" w:hAnsi="黑体" w:eastAsia="黑体" w:cs="黑体"/>
          <w:spacing w:val="-26"/>
          <w:sz w:val="27"/>
          <w:szCs w:val="27"/>
        </w:rPr>
        <w:t xml:space="preserve"> </w:t>
      </w:r>
      <w:r>
        <w:rPr>
          <w:rFonts w:ascii="黑体" w:hAnsi="黑体" w:eastAsia="黑体" w:cs="黑体"/>
          <w:spacing w:val="5"/>
          <w:sz w:val="27"/>
          <w:szCs w:val="27"/>
          <w:u w:val="single" w:color="auto"/>
        </w:rPr>
        <w:t xml:space="preserve">               </w:t>
      </w:r>
      <w:r>
        <w:rPr>
          <w:rFonts w:ascii="黑体" w:hAnsi="黑体" w:eastAsia="黑体" w:cs="黑体"/>
          <w:spacing w:val="-44"/>
          <w:sz w:val="27"/>
          <w:szCs w:val="27"/>
        </w:rPr>
        <w:t xml:space="preserve"> </w:t>
      </w:r>
      <w:r>
        <w:rPr>
          <w:rFonts w:ascii="黑体" w:hAnsi="黑体" w:eastAsia="黑体" w:cs="黑体"/>
          <w:spacing w:val="5"/>
          <w:sz w:val="27"/>
          <w:szCs w:val="27"/>
        </w:rPr>
        <w:t>（</w:t>
      </w:r>
      <w:r>
        <w:rPr>
          <w:rFonts w:ascii="黑体" w:hAnsi="黑体" w:eastAsia="黑体" w:cs="黑体"/>
          <w:spacing w:val="-7"/>
          <w:sz w:val="27"/>
          <w:szCs w:val="27"/>
        </w:rPr>
        <w:t>签章）</w:t>
      </w:r>
    </w:p>
    <w:p w14:paraId="26075ED8">
      <w:pPr>
        <w:pStyle w:val="3"/>
        <w:spacing w:line="244" w:lineRule="auto"/>
      </w:pPr>
    </w:p>
    <w:p w14:paraId="00436D56">
      <w:pPr>
        <w:pStyle w:val="3"/>
        <w:spacing w:line="244" w:lineRule="auto"/>
      </w:pPr>
    </w:p>
    <w:p w14:paraId="7194822B">
      <w:pPr>
        <w:tabs>
          <w:tab w:val="left" w:pos="3390"/>
        </w:tabs>
        <w:spacing w:before="88" w:line="226" w:lineRule="auto"/>
        <w:ind w:left="2555"/>
        <w:rPr>
          <w:rFonts w:ascii="黑体" w:hAnsi="黑体" w:eastAsia="黑体" w:cs="黑体"/>
          <w:sz w:val="27"/>
          <w:szCs w:val="27"/>
        </w:rPr>
      </w:pPr>
      <w:r>
        <w:rPr>
          <w:rFonts w:ascii="黑体" w:hAnsi="黑体" w:eastAsia="黑体" w:cs="黑体"/>
          <w:sz w:val="27"/>
          <w:szCs w:val="27"/>
          <w:u w:val="single" w:color="auto"/>
        </w:rPr>
        <w:tab/>
      </w:r>
      <w:r>
        <w:rPr>
          <w:rFonts w:ascii="黑体" w:hAnsi="黑体" w:eastAsia="黑体" w:cs="黑体"/>
          <w:spacing w:val="-121"/>
          <w:sz w:val="27"/>
          <w:szCs w:val="27"/>
        </w:rPr>
        <w:t xml:space="preserve"> </w:t>
      </w:r>
      <w:r>
        <w:rPr>
          <w:rFonts w:ascii="黑体" w:hAnsi="黑体" w:eastAsia="黑体" w:cs="黑体"/>
          <w:spacing w:val="-5"/>
          <w:sz w:val="27"/>
          <w:szCs w:val="27"/>
        </w:rPr>
        <w:t>年</w:t>
      </w:r>
      <w:r>
        <w:rPr>
          <w:rFonts w:ascii="黑体" w:hAnsi="黑体" w:eastAsia="黑体" w:cs="黑体"/>
          <w:spacing w:val="-135"/>
          <w:sz w:val="27"/>
          <w:szCs w:val="27"/>
        </w:rPr>
        <w:t xml:space="preserve"> </w:t>
      </w:r>
      <w:r>
        <w:rPr>
          <w:rFonts w:ascii="黑体" w:hAnsi="黑体" w:eastAsia="黑体" w:cs="黑体"/>
          <w:spacing w:val="5"/>
          <w:sz w:val="27"/>
          <w:szCs w:val="27"/>
          <w:u w:val="single" w:color="auto"/>
        </w:rPr>
        <w:t xml:space="preserve">      </w:t>
      </w:r>
      <w:r>
        <w:rPr>
          <w:rFonts w:ascii="黑体" w:hAnsi="黑体" w:eastAsia="黑体" w:cs="黑体"/>
          <w:spacing w:val="-113"/>
          <w:sz w:val="27"/>
          <w:szCs w:val="27"/>
        </w:rPr>
        <w:t xml:space="preserve"> </w:t>
      </w:r>
      <w:r>
        <w:rPr>
          <w:rFonts w:ascii="黑体" w:hAnsi="黑体" w:eastAsia="黑体" w:cs="黑体"/>
          <w:spacing w:val="-5"/>
          <w:sz w:val="27"/>
          <w:szCs w:val="27"/>
        </w:rPr>
        <w:t>月</w:t>
      </w:r>
      <w:r>
        <w:rPr>
          <w:rFonts w:ascii="黑体" w:hAnsi="黑体" w:eastAsia="黑体" w:cs="黑体"/>
          <w:spacing w:val="5"/>
          <w:sz w:val="27"/>
          <w:szCs w:val="27"/>
          <w:u w:val="single" w:color="auto"/>
        </w:rPr>
        <w:t xml:space="preserve">     </w:t>
      </w:r>
      <w:r>
        <w:rPr>
          <w:rFonts w:ascii="黑体" w:hAnsi="黑体" w:eastAsia="黑体" w:cs="黑体"/>
          <w:spacing w:val="-79"/>
          <w:sz w:val="27"/>
          <w:szCs w:val="27"/>
        </w:rPr>
        <w:t xml:space="preserve"> </w:t>
      </w:r>
      <w:r>
        <w:rPr>
          <w:rFonts w:ascii="黑体" w:hAnsi="黑体" w:eastAsia="黑体" w:cs="黑体"/>
          <w:spacing w:val="-5"/>
          <w:sz w:val="27"/>
          <w:szCs w:val="27"/>
        </w:rPr>
        <w:t>日</w:t>
      </w:r>
    </w:p>
    <w:p w14:paraId="08BFAB73">
      <w:pPr>
        <w:spacing w:line="226" w:lineRule="auto"/>
        <w:rPr>
          <w:rFonts w:ascii="黑体" w:hAnsi="黑体" w:eastAsia="黑体" w:cs="黑体"/>
          <w:sz w:val="27"/>
          <w:szCs w:val="27"/>
        </w:rPr>
        <w:sectPr>
          <w:footerReference r:id="rId193" w:type="default"/>
          <w:pgSz w:w="11905" w:h="16839"/>
          <w:pgMar w:top="400" w:right="1785" w:bottom="1004" w:left="1785" w:header="0" w:footer="828" w:gutter="0"/>
          <w:pgNumType w:fmt="decimal"/>
          <w:cols w:space="720" w:num="1"/>
        </w:sectPr>
      </w:pPr>
    </w:p>
    <w:p w14:paraId="64E2B2D8">
      <w:pPr>
        <w:pStyle w:val="3"/>
        <w:spacing w:line="255" w:lineRule="auto"/>
      </w:pPr>
    </w:p>
    <w:p w14:paraId="5F634815">
      <w:pPr>
        <w:pStyle w:val="3"/>
        <w:spacing w:line="256" w:lineRule="auto"/>
      </w:pPr>
    </w:p>
    <w:p w14:paraId="7B2A8DA6">
      <w:pPr>
        <w:pStyle w:val="3"/>
        <w:spacing w:line="256" w:lineRule="auto"/>
      </w:pPr>
    </w:p>
    <w:p w14:paraId="5D0B5A98">
      <w:pPr>
        <w:pStyle w:val="3"/>
        <w:spacing w:line="256" w:lineRule="auto"/>
      </w:pPr>
    </w:p>
    <w:p w14:paraId="4F9663CD">
      <w:pPr>
        <w:spacing w:before="88" w:line="225" w:lineRule="auto"/>
        <w:ind w:left="3792"/>
        <w:rPr>
          <w:rFonts w:ascii="黑体" w:hAnsi="黑体" w:eastAsia="黑体" w:cs="黑体"/>
          <w:sz w:val="27"/>
          <w:szCs w:val="27"/>
        </w:rPr>
      </w:pPr>
      <w:bookmarkStart w:id="1309" w:name="bookmark294"/>
      <w:bookmarkEnd w:id="1309"/>
      <w:bookmarkStart w:id="1310" w:name="bookmark295"/>
      <w:bookmarkEnd w:id="1310"/>
      <w:r>
        <w:rPr>
          <w:rFonts w:ascii="黑体" w:hAnsi="黑体" w:eastAsia="黑体" w:cs="黑体"/>
          <w:spacing w:val="-19"/>
          <w:sz w:val="27"/>
          <w:szCs w:val="27"/>
        </w:rPr>
        <w:t>目</w:t>
      </w:r>
      <w:r>
        <w:rPr>
          <w:rFonts w:ascii="黑体" w:hAnsi="黑体" w:eastAsia="黑体" w:cs="黑体"/>
          <w:spacing w:val="15"/>
          <w:sz w:val="27"/>
          <w:szCs w:val="27"/>
        </w:rPr>
        <w:t xml:space="preserve">  </w:t>
      </w:r>
      <w:r>
        <w:rPr>
          <w:rFonts w:ascii="黑体" w:hAnsi="黑体" w:eastAsia="黑体" w:cs="黑体"/>
          <w:spacing w:val="-19"/>
          <w:sz w:val="27"/>
          <w:szCs w:val="27"/>
        </w:rPr>
        <w:t>录</w:t>
      </w:r>
    </w:p>
    <w:p w14:paraId="35D41852">
      <w:pPr>
        <w:pStyle w:val="3"/>
        <w:spacing w:line="272" w:lineRule="auto"/>
      </w:pPr>
    </w:p>
    <w:p w14:paraId="43C8E1C4">
      <w:pPr>
        <w:pStyle w:val="3"/>
        <w:spacing w:line="273" w:lineRule="auto"/>
      </w:pPr>
    </w:p>
    <w:p w14:paraId="1C08A82D">
      <w:pPr>
        <w:pStyle w:val="3"/>
        <w:spacing w:line="273" w:lineRule="auto"/>
      </w:pPr>
    </w:p>
    <w:p w14:paraId="5B94FBF4">
      <w:pPr>
        <w:spacing w:before="68" w:line="600" w:lineRule="exact"/>
        <w:ind w:left="21"/>
        <w:rPr>
          <w:rFonts w:ascii="宋体" w:hAnsi="宋体" w:eastAsia="宋体" w:cs="宋体"/>
          <w:sz w:val="21"/>
          <w:szCs w:val="21"/>
        </w:rPr>
      </w:pPr>
      <w:r>
        <w:rPr>
          <w:rFonts w:ascii="宋体" w:hAnsi="宋体" w:eastAsia="宋体" w:cs="宋体"/>
          <w:spacing w:val="-2"/>
          <w:position w:val="30"/>
          <w:sz w:val="21"/>
          <w:szCs w:val="21"/>
        </w:rPr>
        <w:t>一、投标函及投标函附录等</w:t>
      </w:r>
    </w:p>
    <w:p w14:paraId="761721FB">
      <w:pPr>
        <w:spacing w:line="220" w:lineRule="auto"/>
        <w:ind w:left="21"/>
        <w:rPr>
          <w:rFonts w:ascii="宋体" w:hAnsi="宋体" w:eastAsia="宋体" w:cs="宋体"/>
          <w:sz w:val="21"/>
          <w:szCs w:val="21"/>
        </w:rPr>
      </w:pPr>
      <w:r>
        <w:rPr>
          <w:rFonts w:ascii="宋体" w:hAnsi="宋体" w:eastAsia="宋体" w:cs="宋体"/>
          <w:spacing w:val="-1"/>
          <w:sz w:val="21"/>
          <w:szCs w:val="21"/>
        </w:rPr>
        <w:t>二、法定代表人身份证明</w:t>
      </w:r>
    </w:p>
    <w:p w14:paraId="10605462">
      <w:pPr>
        <w:pStyle w:val="3"/>
        <w:spacing w:line="278" w:lineRule="auto"/>
      </w:pPr>
    </w:p>
    <w:p w14:paraId="13A39A90">
      <w:pPr>
        <w:spacing w:before="69" w:line="220" w:lineRule="auto"/>
        <w:ind w:left="21"/>
        <w:rPr>
          <w:rFonts w:ascii="宋体" w:hAnsi="宋体" w:eastAsia="宋体" w:cs="宋体"/>
          <w:sz w:val="21"/>
          <w:szCs w:val="21"/>
        </w:rPr>
      </w:pPr>
      <w:r>
        <w:rPr>
          <w:rFonts w:ascii="宋体" w:hAnsi="宋体" w:eastAsia="宋体" w:cs="宋体"/>
          <w:spacing w:val="-1"/>
          <w:sz w:val="21"/>
          <w:szCs w:val="21"/>
        </w:rPr>
        <w:t>二、授权委托书</w:t>
      </w:r>
    </w:p>
    <w:p w14:paraId="34E2E568">
      <w:pPr>
        <w:pStyle w:val="3"/>
        <w:spacing w:line="280" w:lineRule="auto"/>
      </w:pPr>
    </w:p>
    <w:p w14:paraId="201273CB">
      <w:pPr>
        <w:spacing w:before="68" w:line="221" w:lineRule="auto"/>
        <w:ind w:left="18"/>
        <w:rPr>
          <w:rFonts w:ascii="宋体" w:hAnsi="宋体" w:eastAsia="宋体" w:cs="宋体"/>
          <w:sz w:val="21"/>
          <w:szCs w:val="21"/>
        </w:rPr>
      </w:pPr>
      <w:r>
        <w:rPr>
          <w:rFonts w:ascii="宋体" w:hAnsi="宋体" w:eastAsia="宋体" w:cs="宋体"/>
          <w:spacing w:val="-1"/>
          <w:sz w:val="21"/>
          <w:szCs w:val="21"/>
        </w:rPr>
        <w:t>三、投标保证金</w:t>
      </w:r>
    </w:p>
    <w:p w14:paraId="7F1F9621">
      <w:pPr>
        <w:pStyle w:val="3"/>
        <w:spacing w:line="278" w:lineRule="auto"/>
      </w:pPr>
    </w:p>
    <w:p w14:paraId="4A4EFEED">
      <w:pPr>
        <w:spacing w:before="68" w:line="600" w:lineRule="exact"/>
        <w:ind w:left="38"/>
        <w:rPr>
          <w:rFonts w:ascii="宋体" w:hAnsi="宋体" w:eastAsia="宋体" w:cs="宋体"/>
          <w:sz w:val="21"/>
          <w:szCs w:val="21"/>
        </w:rPr>
      </w:pPr>
      <w:r>
        <w:rPr>
          <w:rFonts w:ascii="宋体" w:hAnsi="宋体" w:eastAsia="宋体" w:cs="宋体"/>
          <w:spacing w:val="-4"/>
          <w:position w:val="30"/>
          <w:sz w:val="21"/>
          <w:szCs w:val="21"/>
        </w:rPr>
        <w:t>四、联合体协议书（如有）</w:t>
      </w:r>
    </w:p>
    <w:p w14:paraId="454E25A2">
      <w:pPr>
        <w:spacing w:before="1" w:line="219" w:lineRule="auto"/>
        <w:ind w:left="21"/>
        <w:rPr>
          <w:rFonts w:ascii="宋体" w:hAnsi="宋体" w:eastAsia="宋体" w:cs="宋体"/>
          <w:sz w:val="21"/>
          <w:szCs w:val="21"/>
        </w:rPr>
      </w:pPr>
      <w:r>
        <w:rPr>
          <w:rFonts w:ascii="宋体" w:hAnsi="宋体" w:eastAsia="宋体" w:cs="宋体"/>
          <w:spacing w:val="-2"/>
          <w:sz w:val="21"/>
          <w:szCs w:val="21"/>
        </w:rPr>
        <w:t>五、拟分包计划表（如有）</w:t>
      </w:r>
    </w:p>
    <w:p w14:paraId="3DF64BA3">
      <w:pPr>
        <w:pStyle w:val="3"/>
        <w:spacing w:line="280" w:lineRule="auto"/>
      </w:pPr>
    </w:p>
    <w:p w14:paraId="38C869CB">
      <w:pPr>
        <w:spacing w:before="69" w:line="600" w:lineRule="exact"/>
        <w:ind w:left="20"/>
        <w:rPr>
          <w:rFonts w:ascii="宋体" w:hAnsi="宋体" w:eastAsia="宋体" w:cs="宋体"/>
          <w:sz w:val="21"/>
          <w:szCs w:val="21"/>
        </w:rPr>
      </w:pPr>
      <w:r>
        <w:rPr>
          <w:rFonts w:ascii="宋体" w:hAnsi="宋体" w:eastAsia="宋体" w:cs="宋体"/>
          <w:spacing w:val="-1"/>
          <w:position w:val="30"/>
          <w:sz w:val="21"/>
          <w:szCs w:val="21"/>
        </w:rPr>
        <w:t>六、项目管理机构</w:t>
      </w:r>
    </w:p>
    <w:p w14:paraId="4CE039D2">
      <w:pPr>
        <w:spacing w:before="1" w:line="220" w:lineRule="auto"/>
        <w:ind w:left="17"/>
        <w:rPr>
          <w:rFonts w:ascii="宋体" w:hAnsi="宋体" w:eastAsia="宋体" w:cs="宋体"/>
          <w:sz w:val="21"/>
          <w:szCs w:val="21"/>
        </w:rPr>
      </w:pPr>
      <w:r>
        <w:rPr>
          <w:rFonts w:ascii="宋体" w:hAnsi="宋体" w:eastAsia="宋体" w:cs="宋体"/>
          <w:spacing w:val="-1"/>
          <w:sz w:val="21"/>
          <w:szCs w:val="21"/>
        </w:rPr>
        <w:t>七、资格审查资料</w:t>
      </w:r>
    </w:p>
    <w:p w14:paraId="2F8A5977">
      <w:pPr>
        <w:pStyle w:val="3"/>
        <w:spacing w:line="279" w:lineRule="auto"/>
      </w:pPr>
    </w:p>
    <w:p w14:paraId="361AC862">
      <w:pPr>
        <w:spacing w:before="68" w:line="601" w:lineRule="exact"/>
        <w:ind w:left="21"/>
        <w:rPr>
          <w:rFonts w:ascii="宋体" w:hAnsi="宋体" w:eastAsia="宋体" w:cs="宋体"/>
          <w:sz w:val="21"/>
          <w:szCs w:val="21"/>
        </w:rPr>
      </w:pPr>
      <w:r>
        <w:rPr>
          <w:rFonts w:ascii="宋体" w:hAnsi="宋体" w:eastAsia="宋体" w:cs="宋体"/>
          <w:spacing w:val="-1"/>
          <w:position w:val="30"/>
          <w:sz w:val="21"/>
          <w:szCs w:val="21"/>
        </w:rPr>
        <w:t>八、已标价工程量清单</w:t>
      </w:r>
    </w:p>
    <w:p w14:paraId="407CE0C7">
      <w:pPr>
        <w:spacing w:line="222" w:lineRule="auto"/>
        <w:ind w:left="23"/>
        <w:rPr>
          <w:rFonts w:ascii="宋体" w:hAnsi="宋体" w:eastAsia="宋体" w:cs="宋体"/>
          <w:sz w:val="21"/>
          <w:szCs w:val="21"/>
        </w:rPr>
      </w:pPr>
      <w:r>
        <w:rPr>
          <w:rFonts w:ascii="宋体" w:hAnsi="宋体" w:eastAsia="宋体" w:cs="宋体"/>
          <w:spacing w:val="-2"/>
          <w:sz w:val="21"/>
          <w:szCs w:val="21"/>
        </w:rPr>
        <w:t>九、施工组织设计</w:t>
      </w:r>
    </w:p>
    <w:p w14:paraId="37AD6907">
      <w:pPr>
        <w:pStyle w:val="3"/>
        <w:spacing w:line="277" w:lineRule="auto"/>
      </w:pPr>
    </w:p>
    <w:p w14:paraId="7E54C04A">
      <w:pPr>
        <w:spacing w:before="68" w:line="220" w:lineRule="auto"/>
        <w:ind w:left="19"/>
        <w:rPr>
          <w:rFonts w:ascii="宋体" w:hAnsi="宋体" w:eastAsia="宋体" w:cs="宋体"/>
          <w:sz w:val="21"/>
          <w:szCs w:val="21"/>
        </w:rPr>
      </w:pPr>
      <w:r>
        <w:rPr>
          <w:rFonts w:ascii="宋体" w:hAnsi="宋体" w:eastAsia="宋体" w:cs="宋体"/>
          <w:spacing w:val="-1"/>
          <w:sz w:val="21"/>
          <w:szCs w:val="21"/>
        </w:rPr>
        <w:t>十、其他材料</w:t>
      </w:r>
    </w:p>
    <w:p w14:paraId="1208AE31">
      <w:pPr>
        <w:spacing w:line="220" w:lineRule="auto"/>
        <w:rPr>
          <w:rFonts w:ascii="宋体" w:hAnsi="宋体" w:eastAsia="宋体" w:cs="宋体"/>
          <w:sz w:val="21"/>
          <w:szCs w:val="21"/>
        </w:rPr>
        <w:sectPr>
          <w:footerReference r:id="rId194" w:type="default"/>
          <w:pgSz w:w="11905" w:h="16839"/>
          <w:pgMar w:top="400" w:right="1785" w:bottom="1004" w:left="1785" w:header="0" w:footer="828" w:gutter="0"/>
          <w:pgNumType w:fmt="decimal"/>
          <w:cols w:space="720" w:num="1"/>
        </w:sectPr>
      </w:pPr>
    </w:p>
    <w:p w14:paraId="49124384">
      <w:pPr>
        <w:pStyle w:val="3"/>
        <w:spacing w:line="255" w:lineRule="auto"/>
      </w:pPr>
    </w:p>
    <w:p w14:paraId="213E7354">
      <w:pPr>
        <w:pStyle w:val="3"/>
        <w:spacing w:line="256" w:lineRule="auto"/>
      </w:pPr>
    </w:p>
    <w:p w14:paraId="5075D2DE">
      <w:pPr>
        <w:pStyle w:val="3"/>
        <w:spacing w:line="256" w:lineRule="auto"/>
      </w:pPr>
    </w:p>
    <w:p w14:paraId="01D1657C">
      <w:pPr>
        <w:pStyle w:val="3"/>
        <w:spacing w:line="256" w:lineRule="auto"/>
      </w:pPr>
    </w:p>
    <w:p w14:paraId="2C14B7B2">
      <w:pPr>
        <w:spacing w:before="88" w:line="403" w:lineRule="exact"/>
        <w:ind w:left="2503"/>
        <w:rPr>
          <w:rFonts w:ascii="黑体" w:hAnsi="黑体" w:eastAsia="黑体" w:cs="黑体"/>
          <w:sz w:val="27"/>
          <w:szCs w:val="27"/>
        </w:rPr>
      </w:pPr>
      <w:bookmarkStart w:id="1311" w:name="bookmark296"/>
      <w:bookmarkEnd w:id="1311"/>
      <w:r>
        <w:rPr>
          <w:rFonts w:ascii="黑体" w:hAnsi="黑体" w:eastAsia="黑体" w:cs="黑体"/>
          <w:spacing w:val="7"/>
          <w:position w:val="9"/>
          <w:sz w:val="27"/>
          <w:szCs w:val="27"/>
        </w:rPr>
        <w:t>一、投标函及投标函附录等</w:t>
      </w:r>
    </w:p>
    <w:p w14:paraId="37C526A5">
      <w:pPr>
        <w:spacing w:line="225" w:lineRule="auto"/>
        <w:ind w:left="3361"/>
        <w:rPr>
          <w:rFonts w:ascii="黑体" w:hAnsi="黑体" w:eastAsia="黑体" w:cs="黑体"/>
          <w:sz w:val="27"/>
          <w:szCs w:val="27"/>
        </w:rPr>
      </w:pPr>
      <w:r>
        <w:rPr>
          <w:rFonts w:ascii="黑体" w:hAnsi="黑体" w:eastAsia="黑体" w:cs="黑体"/>
          <w:spacing w:val="-2"/>
          <w:sz w:val="27"/>
          <w:szCs w:val="27"/>
        </w:rPr>
        <w:t>（一）投标函</w:t>
      </w:r>
    </w:p>
    <w:p w14:paraId="08D984BE">
      <w:pPr>
        <w:tabs>
          <w:tab w:val="left" w:pos="1273"/>
        </w:tabs>
        <w:spacing w:before="160" w:line="221" w:lineRule="auto"/>
        <w:ind w:left="10"/>
        <w:rPr>
          <w:rFonts w:ascii="宋体" w:hAnsi="宋体" w:eastAsia="宋体" w:cs="宋体"/>
          <w:sz w:val="21"/>
          <w:szCs w:val="21"/>
        </w:rPr>
      </w:pPr>
      <w:r>
        <w:rPr>
          <w:rFonts w:ascii="宋体" w:hAnsi="宋体" w:eastAsia="宋体" w:cs="宋体"/>
          <w:sz w:val="21"/>
          <w:szCs w:val="21"/>
          <w:u w:val="single" w:color="auto"/>
        </w:rPr>
        <w:tab/>
      </w:r>
      <w:r>
        <w:rPr>
          <w:rFonts w:ascii="宋体" w:hAnsi="宋体" w:eastAsia="宋体" w:cs="宋体"/>
          <w:spacing w:val="-27"/>
          <w:sz w:val="21"/>
          <w:szCs w:val="21"/>
        </w:rPr>
        <w:t xml:space="preserve"> </w:t>
      </w:r>
      <w:r>
        <w:rPr>
          <w:rFonts w:ascii="宋体" w:hAnsi="宋体" w:eastAsia="宋体" w:cs="宋体"/>
          <w:spacing w:val="-24"/>
          <w:w w:val="98"/>
          <w:sz w:val="21"/>
          <w:szCs w:val="21"/>
        </w:rPr>
        <w:t>（招标人名称</w:t>
      </w:r>
      <w:r>
        <w:rPr>
          <w:rFonts w:ascii="宋体" w:hAnsi="宋体" w:eastAsia="宋体" w:cs="宋体"/>
          <w:spacing w:val="-13"/>
          <w:sz w:val="21"/>
          <w:szCs w:val="21"/>
        </w:rPr>
        <w:t>）：</w:t>
      </w:r>
    </w:p>
    <w:p w14:paraId="56A9EC78">
      <w:pPr>
        <w:spacing w:before="189" w:line="387" w:lineRule="auto"/>
        <w:ind w:left="19" w:right="1" w:firstLine="438"/>
        <w:jc w:val="both"/>
        <w:rPr>
          <w:rFonts w:ascii="宋体" w:hAnsi="宋体" w:eastAsia="宋体" w:cs="宋体"/>
          <w:sz w:val="21"/>
          <w:szCs w:val="21"/>
        </w:rPr>
      </w:pPr>
      <w:r>
        <w:rPr>
          <w:rFonts w:ascii="Times New Roman" w:hAnsi="Times New Roman" w:eastAsia="Times New Roman" w:cs="Times New Roman"/>
          <w:spacing w:val="-6"/>
          <w:sz w:val="21"/>
          <w:szCs w:val="21"/>
        </w:rPr>
        <w:t>1.</w:t>
      </w:r>
      <w:r>
        <w:rPr>
          <w:rFonts w:ascii="宋体" w:hAnsi="宋体" w:eastAsia="宋体" w:cs="宋体"/>
          <w:spacing w:val="-6"/>
          <w:sz w:val="21"/>
          <w:szCs w:val="21"/>
        </w:rPr>
        <w:t>我方已仔细研究了</w:t>
      </w:r>
      <w:r>
        <w:rPr>
          <w:rFonts w:ascii="宋体" w:hAnsi="宋体" w:eastAsia="宋体" w:cs="宋体"/>
          <w:spacing w:val="-89"/>
          <w:sz w:val="21"/>
          <w:szCs w:val="21"/>
        </w:rPr>
        <w:t xml:space="preserve"> </w:t>
      </w:r>
      <w:r>
        <w:rPr>
          <w:rFonts w:ascii="宋体" w:hAnsi="宋体" w:eastAsia="宋体" w:cs="宋体"/>
          <w:spacing w:val="9"/>
          <w:sz w:val="21"/>
          <w:szCs w:val="21"/>
          <w:u w:val="single" w:color="auto"/>
        </w:rPr>
        <w:t xml:space="preserve">       </w:t>
      </w:r>
      <w:r>
        <w:rPr>
          <w:rFonts w:ascii="宋体" w:hAnsi="宋体" w:eastAsia="宋体" w:cs="宋体"/>
          <w:spacing w:val="-23"/>
          <w:sz w:val="21"/>
          <w:szCs w:val="21"/>
        </w:rPr>
        <w:t xml:space="preserve"> </w:t>
      </w:r>
      <w:r>
        <w:rPr>
          <w:rFonts w:ascii="宋体" w:hAnsi="宋体" w:eastAsia="宋体" w:cs="宋体"/>
          <w:spacing w:val="-6"/>
          <w:sz w:val="21"/>
          <w:szCs w:val="21"/>
        </w:rPr>
        <w:t>（标段名称） 项目招标文件的全部内容，愿意以【人民币</w:t>
      </w:r>
      <w:r>
        <w:rPr>
          <w:rFonts w:ascii="宋体" w:hAnsi="宋体" w:eastAsia="宋体" w:cs="宋体"/>
          <w:sz w:val="21"/>
          <w:szCs w:val="21"/>
        </w:rPr>
        <w:t xml:space="preserve"> </w:t>
      </w:r>
      <w:r>
        <w:rPr>
          <w:rFonts w:ascii="宋体" w:hAnsi="宋体" w:eastAsia="宋体" w:cs="宋体"/>
          <w:spacing w:val="-8"/>
          <w:sz w:val="21"/>
          <w:szCs w:val="21"/>
        </w:rPr>
        <w:t xml:space="preserve">（大写） </w:t>
      </w:r>
      <w:r>
        <w:rPr>
          <w:rFonts w:ascii="宋体" w:hAnsi="宋体" w:eastAsia="宋体" w:cs="宋体"/>
          <w:sz w:val="21"/>
          <w:szCs w:val="21"/>
          <w:u w:val="single" w:color="auto"/>
        </w:rPr>
        <w:t xml:space="preserve">      </w:t>
      </w:r>
      <w:r>
        <w:rPr>
          <w:rFonts w:ascii="宋体" w:hAnsi="宋体" w:eastAsia="宋体" w:cs="宋体"/>
          <w:spacing w:val="-92"/>
          <w:sz w:val="21"/>
          <w:szCs w:val="21"/>
        </w:rPr>
        <w:t xml:space="preserve"> </w:t>
      </w:r>
      <w:r>
        <w:rPr>
          <w:rFonts w:ascii="宋体" w:hAnsi="宋体" w:eastAsia="宋体" w:cs="宋体"/>
          <w:spacing w:val="-8"/>
          <w:sz w:val="21"/>
          <w:szCs w:val="21"/>
        </w:rPr>
        <w:t>元(</w:t>
      </w:r>
      <w:r>
        <w:rPr>
          <w:rFonts w:ascii="Times New Roman" w:hAnsi="Times New Roman" w:eastAsia="Times New Roman" w:cs="Times New Roman"/>
          <w:spacing w:val="-8"/>
          <w:sz w:val="21"/>
          <w:szCs w:val="21"/>
        </w:rPr>
        <w:t>¥</w:t>
      </w:r>
      <w:r>
        <w:rPr>
          <w:rFonts w:ascii="Times New Roman" w:hAnsi="Times New Roman" w:eastAsia="Times New Roman" w:cs="Times New Roman"/>
          <w:spacing w:val="-8"/>
          <w:sz w:val="21"/>
          <w:szCs w:val="21"/>
          <w:u w:val="single" w:color="auto"/>
        </w:rPr>
        <w:t xml:space="preserve">              </w:t>
      </w:r>
      <w:r>
        <w:rPr>
          <w:rFonts w:ascii="Times New Roman" w:hAnsi="Times New Roman" w:eastAsia="Times New Roman" w:cs="Times New Roman"/>
          <w:spacing w:val="-42"/>
          <w:sz w:val="21"/>
          <w:szCs w:val="21"/>
        </w:rPr>
        <w:t xml:space="preserve"> </w:t>
      </w:r>
      <w:r>
        <w:rPr>
          <w:rFonts w:ascii="宋体" w:hAnsi="宋体" w:eastAsia="宋体" w:cs="宋体"/>
          <w:spacing w:val="-8"/>
          <w:sz w:val="21"/>
          <w:szCs w:val="21"/>
        </w:rPr>
        <w:t>元）】</w:t>
      </w:r>
      <w:r>
        <w:rPr>
          <w:rFonts w:ascii="宋体" w:hAnsi="宋体" w:eastAsia="宋体" w:cs="宋体"/>
          <w:spacing w:val="-9"/>
          <w:sz w:val="21"/>
          <w:szCs w:val="21"/>
        </w:rPr>
        <w:t>的投</w:t>
      </w:r>
      <w:r>
        <w:rPr>
          <w:rFonts w:ascii="宋体" w:hAnsi="宋体" w:eastAsia="宋体" w:cs="宋体"/>
          <w:spacing w:val="-11"/>
          <w:sz w:val="21"/>
          <w:szCs w:val="21"/>
        </w:rPr>
        <w:t>标报价，</w:t>
      </w:r>
      <w:r>
        <w:rPr>
          <w:rFonts w:ascii="宋体" w:hAnsi="宋体" w:eastAsia="宋体" w:cs="宋体"/>
          <w:spacing w:val="20"/>
          <w:sz w:val="21"/>
          <w:szCs w:val="21"/>
        </w:rPr>
        <w:t xml:space="preserve"> </w:t>
      </w:r>
      <w:r>
        <w:rPr>
          <w:rFonts w:ascii="宋体" w:hAnsi="宋体" w:eastAsia="宋体" w:cs="宋体"/>
          <w:spacing w:val="-11"/>
          <w:sz w:val="21"/>
          <w:szCs w:val="21"/>
        </w:rPr>
        <w:t>工期</w:t>
      </w:r>
      <w:r>
        <w:rPr>
          <w:rFonts w:ascii="宋体" w:hAnsi="宋体" w:eastAsia="宋体" w:cs="宋体"/>
          <w:spacing w:val="-104"/>
          <w:sz w:val="21"/>
          <w:szCs w:val="21"/>
        </w:rPr>
        <w:t xml:space="preserve"> </w:t>
      </w:r>
      <w:r>
        <w:rPr>
          <w:rFonts w:ascii="宋体" w:hAnsi="宋体" w:eastAsia="宋体" w:cs="宋体"/>
          <w:spacing w:val="1"/>
          <w:sz w:val="21"/>
          <w:szCs w:val="21"/>
          <w:u w:val="single" w:color="auto"/>
        </w:rPr>
        <w:t xml:space="preserve">     </w:t>
      </w:r>
      <w:r>
        <w:rPr>
          <w:rFonts w:ascii="宋体" w:hAnsi="宋体" w:eastAsia="宋体" w:cs="宋体"/>
          <w:spacing w:val="-58"/>
          <w:sz w:val="21"/>
          <w:szCs w:val="21"/>
        </w:rPr>
        <w:t xml:space="preserve"> </w:t>
      </w:r>
      <w:r>
        <w:rPr>
          <w:rFonts w:ascii="宋体" w:hAnsi="宋体" w:eastAsia="宋体" w:cs="宋体"/>
          <w:spacing w:val="-11"/>
          <w:sz w:val="21"/>
          <w:szCs w:val="21"/>
        </w:rPr>
        <w:t>日历天， 按合同约定实施和完成承包工程，</w:t>
      </w:r>
      <w:r>
        <w:rPr>
          <w:rFonts w:ascii="宋体" w:hAnsi="宋体" w:eastAsia="宋体" w:cs="宋体"/>
          <w:spacing w:val="51"/>
          <w:sz w:val="21"/>
          <w:szCs w:val="21"/>
        </w:rPr>
        <w:t xml:space="preserve"> </w:t>
      </w:r>
      <w:r>
        <w:rPr>
          <w:rFonts w:ascii="宋体" w:hAnsi="宋体" w:eastAsia="宋体" w:cs="宋体"/>
          <w:spacing w:val="-11"/>
          <w:sz w:val="21"/>
          <w:szCs w:val="21"/>
        </w:rPr>
        <w:t>修补工程中</w:t>
      </w:r>
      <w:r>
        <w:rPr>
          <w:rFonts w:ascii="宋体" w:hAnsi="宋体" w:eastAsia="宋体" w:cs="宋体"/>
          <w:spacing w:val="-12"/>
          <w:sz w:val="21"/>
          <w:szCs w:val="21"/>
        </w:rPr>
        <w:t>的任何缺陷，工</w:t>
      </w:r>
      <w:r>
        <w:rPr>
          <w:rFonts w:ascii="宋体" w:hAnsi="宋体" w:eastAsia="宋体" w:cs="宋体"/>
          <w:spacing w:val="-1"/>
          <w:sz w:val="21"/>
          <w:szCs w:val="21"/>
        </w:rPr>
        <w:t>程质量达到</w:t>
      </w:r>
      <w:r>
        <w:rPr>
          <w:rFonts w:ascii="宋体" w:hAnsi="宋体" w:eastAsia="宋体" w:cs="宋体"/>
          <w:spacing w:val="-101"/>
          <w:sz w:val="21"/>
          <w:szCs w:val="21"/>
        </w:rPr>
        <w:t xml:space="preserve"> </w:t>
      </w:r>
      <w:r>
        <w:rPr>
          <w:rFonts w:ascii="宋体" w:hAnsi="宋体" w:eastAsia="宋体" w:cs="宋体"/>
          <w:spacing w:val="6"/>
          <w:sz w:val="21"/>
          <w:szCs w:val="21"/>
          <w:u w:val="single" w:color="auto"/>
        </w:rPr>
        <w:t xml:space="preserve">       </w:t>
      </w:r>
      <w:r>
        <w:rPr>
          <w:rFonts w:ascii="宋体" w:hAnsi="宋体" w:eastAsia="宋体" w:cs="宋体"/>
          <w:spacing w:val="-1"/>
          <w:sz w:val="21"/>
          <w:szCs w:val="21"/>
        </w:rPr>
        <w:t>。</w:t>
      </w:r>
    </w:p>
    <w:p w14:paraId="4904215D">
      <w:pPr>
        <w:spacing w:before="219" w:line="422" w:lineRule="auto"/>
        <w:ind w:right="1"/>
        <w:jc w:val="right"/>
        <w:rPr>
          <w:rFonts w:ascii="宋体" w:hAnsi="宋体" w:eastAsia="宋体" w:cs="宋体"/>
          <w:sz w:val="21"/>
          <w:szCs w:val="21"/>
        </w:rPr>
      </w:pPr>
      <w:r>
        <w:rPr>
          <w:rFonts w:ascii="宋体" w:hAnsi="宋体" w:eastAsia="宋体" w:cs="宋体"/>
          <w:spacing w:val="-2"/>
          <w:sz w:val="21"/>
          <w:szCs w:val="21"/>
        </w:rPr>
        <w:t xml:space="preserve">在我方的上述投标总报价中， 包括：安全文明施工费 </w:t>
      </w:r>
      <w:r>
        <w:rPr>
          <w:rFonts w:ascii="Times New Roman" w:hAnsi="Times New Roman" w:eastAsia="Times New Roman" w:cs="Times New Roman"/>
          <w:spacing w:val="-2"/>
          <w:sz w:val="21"/>
          <w:szCs w:val="21"/>
        </w:rPr>
        <w:t>¥</w:t>
      </w:r>
      <w:r>
        <w:rPr>
          <w:rFonts w:ascii="宋体" w:hAnsi="宋体" w:eastAsia="宋体" w:cs="宋体"/>
          <w:spacing w:val="-2"/>
          <w:sz w:val="21"/>
          <w:szCs w:val="21"/>
        </w:rPr>
        <w:t>：</w:t>
      </w:r>
      <w:r>
        <w:rPr>
          <w:rFonts w:ascii="宋体" w:hAnsi="宋体" w:eastAsia="宋体" w:cs="宋体"/>
          <w:spacing w:val="-2"/>
          <w:sz w:val="21"/>
          <w:szCs w:val="21"/>
          <w:u w:val="single" w:color="auto"/>
        </w:rPr>
        <w:t xml:space="preserve">           </w:t>
      </w:r>
      <w:r>
        <w:rPr>
          <w:rFonts w:ascii="宋体" w:hAnsi="宋体" w:eastAsia="宋体" w:cs="宋体"/>
          <w:spacing w:val="-3"/>
          <w:sz w:val="21"/>
          <w:szCs w:val="21"/>
          <w:u w:val="single" w:color="auto"/>
        </w:rPr>
        <w:t xml:space="preserve">  </w:t>
      </w:r>
      <w:r>
        <w:rPr>
          <w:rFonts w:ascii="宋体" w:hAnsi="宋体" w:eastAsia="宋体" w:cs="宋体"/>
          <w:spacing w:val="-95"/>
          <w:sz w:val="21"/>
          <w:szCs w:val="21"/>
        </w:rPr>
        <w:t xml:space="preserve"> </w:t>
      </w:r>
      <w:r>
        <w:rPr>
          <w:rFonts w:ascii="宋体" w:hAnsi="宋体" w:eastAsia="宋体" w:cs="宋体"/>
          <w:spacing w:val="-3"/>
          <w:sz w:val="21"/>
          <w:szCs w:val="21"/>
        </w:rPr>
        <w:t>元；暂列金额</w:t>
      </w:r>
    </w:p>
    <w:p w14:paraId="17DA7112">
      <w:pPr>
        <w:spacing w:line="219" w:lineRule="auto"/>
        <w:ind w:left="10"/>
        <w:rPr>
          <w:rFonts w:ascii="宋体" w:hAnsi="宋体" w:eastAsia="宋体" w:cs="宋体"/>
          <w:sz w:val="21"/>
          <w:szCs w:val="21"/>
        </w:rPr>
      </w:pPr>
      <w:r>
        <w:rPr>
          <w:rFonts w:ascii="Times New Roman" w:hAnsi="Times New Roman" w:eastAsia="Times New Roman" w:cs="Times New Roman"/>
          <w:spacing w:val="-1"/>
          <w:sz w:val="21"/>
          <w:szCs w:val="21"/>
        </w:rPr>
        <w:t>¥</w:t>
      </w:r>
      <w:r>
        <w:rPr>
          <w:rFonts w:ascii="宋体" w:hAnsi="宋体" w:eastAsia="宋体" w:cs="宋体"/>
          <w:spacing w:val="-1"/>
          <w:sz w:val="21"/>
          <w:szCs w:val="21"/>
        </w:rPr>
        <w:t>：</w:t>
      </w:r>
      <w:r>
        <w:rPr>
          <w:rFonts w:ascii="宋体" w:hAnsi="宋体" w:eastAsia="宋体" w:cs="宋体"/>
          <w:spacing w:val="-1"/>
          <w:sz w:val="21"/>
          <w:szCs w:val="21"/>
          <w:u w:val="single" w:color="auto"/>
        </w:rPr>
        <w:t xml:space="preserve">        </w:t>
      </w:r>
      <w:r>
        <w:rPr>
          <w:rFonts w:ascii="宋体" w:hAnsi="宋体" w:eastAsia="宋体" w:cs="宋体"/>
          <w:spacing w:val="-90"/>
          <w:sz w:val="21"/>
          <w:szCs w:val="21"/>
        </w:rPr>
        <w:t xml:space="preserve"> </w:t>
      </w:r>
      <w:r>
        <w:rPr>
          <w:rFonts w:ascii="宋体" w:hAnsi="宋体" w:eastAsia="宋体" w:cs="宋体"/>
          <w:spacing w:val="-1"/>
          <w:sz w:val="21"/>
          <w:szCs w:val="21"/>
        </w:rPr>
        <w:t xml:space="preserve">元；专业工程暂估价 </w:t>
      </w:r>
      <w:r>
        <w:rPr>
          <w:rFonts w:ascii="Times New Roman" w:hAnsi="Times New Roman" w:eastAsia="Times New Roman" w:cs="Times New Roman"/>
          <w:spacing w:val="-1"/>
          <w:sz w:val="21"/>
          <w:szCs w:val="21"/>
        </w:rPr>
        <w:t>¥</w:t>
      </w:r>
      <w:r>
        <w:rPr>
          <w:rFonts w:ascii="宋体" w:hAnsi="宋体" w:eastAsia="宋体" w:cs="宋体"/>
          <w:spacing w:val="-1"/>
          <w:sz w:val="21"/>
          <w:szCs w:val="21"/>
        </w:rPr>
        <w:t>：</w:t>
      </w:r>
      <w:r>
        <w:rPr>
          <w:rFonts w:ascii="宋体" w:hAnsi="宋体" w:eastAsia="宋体" w:cs="宋体"/>
          <w:spacing w:val="-1"/>
          <w:sz w:val="21"/>
          <w:szCs w:val="21"/>
          <w:u w:val="single" w:color="auto"/>
        </w:rPr>
        <w:t xml:space="preserve">            </w:t>
      </w:r>
      <w:r>
        <w:rPr>
          <w:rFonts w:ascii="宋体" w:hAnsi="宋体" w:eastAsia="宋体" w:cs="宋体"/>
          <w:spacing w:val="-95"/>
          <w:sz w:val="21"/>
          <w:szCs w:val="21"/>
        </w:rPr>
        <w:t xml:space="preserve"> </w:t>
      </w:r>
      <w:r>
        <w:rPr>
          <w:rFonts w:ascii="宋体" w:hAnsi="宋体" w:eastAsia="宋体" w:cs="宋体"/>
          <w:spacing w:val="-1"/>
          <w:sz w:val="21"/>
          <w:szCs w:val="21"/>
        </w:rPr>
        <w:t>元。</w:t>
      </w:r>
    </w:p>
    <w:p w14:paraId="54629981">
      <w:pPr>
        <w:spacing w:before="231" w:line="397" w:lineRule="auto"/>
        <w:ind w:right="2"/>
        <w:jc w:val="right"/>
        <w:rPr>
          <w:rFonts w:ascii="宋体" w:hAnsi="宋体" w:eastAsia="宋体" w:cs="宋体"/>
          <w:sz w:val="21"/>
          <w:szCs w:val="21"/>
        </w:rPr>
      </w:pPr>
      <w:r>
        <w:rPr>
          <w:rFonts w:ascii="Times New Roman" w:hAnsi="Times New Roman" w:eastAsia="Times New Roman" w:cs="Times New Roman"/>
          <w:spacing w:val="-2"/>
          <w:sz w:val="21"/>
          <w:szCs w:val="21"/>
        </w:rPr>
        <w:t>2.</w:t>
      </w:r>
      <w:r>
        <w:rPr>
          <w:rFonts w:ascii="宋体" w:hAnsi="宋体" w:eastAsia="宋体" w:cs="宋体"/>
          <w:spacing w:val="-2"/>
          <w:sz w:val="21"/>
          <w:szCs w:val="21"/>
        </w:rPr>
        <w:t>我方拟派的项目经理</w:t>
      </w:r>
      <w:r>
        <w:rPr>
          <w:rFonts w:ascii="宋体" w:hAnsi="宋体" w:eastAsia="宋体" w:cs="宋体"/>
          <w:spacing w:val="-20"/>
          <w:sz w:val="21"/>
          <w:szCs w:val="21"/>
        </w:rPr>
        <w:t>：</w:t>
      </w:r>
      <w:r>
        <w:rPr>
          <w:rFonts w:ascii="宋体" w:hAnsi="宋体" w:eastAsia="宋体" w:cs="宋体"/>
          <w:spacing w:val="10"/>
          <w:sz w:val="21"/>
          <w:szCs w:val="21"/>
          <w:u w:val="single" w:color="auto"/>
        </w:rPr>
        <w:t xml:space="preserve">       </w:t>
      </w:r>
      <w:r>
        <w:rPr>
          <w:rFonts w:ascii="宋体" w:hAnsi="宋体" w:eastAsia="宋体" w:cs="宋体"/>
          <w:spacing w:val="-28"/>
          <w:sz w:val="21"/>
          <w:szCs w:val="21"/>
        </w:rPr>
        <w:t xml:space="preserve"> </w:t>
      </w:r>
      <w:r>
        <w:rPr>
          <w:rFonts w:ascii="宋体" w:hAnsi="宋体" w:eastAsia="宋体" w:cs="宋体"/>
          <w:spacing w:val="-20"/>
          <w:sz w:val="21"/>
          <w:szCs w:val="21"/>
        </w:rPr>
        <w:t>（</w:t>
      </w:r>
      <w:r>
        <w:rPr>
          <w:rFonts w:ascii="宋体" w:hAnsi="宋体" w:eastAsia="宋体" w:cs="宋体"/>
          <w:spacing w:val="-2"/>
          <w:sz w:val="21"/>
          <w:szCs w:val="21"/>
        </w:rPr>
        <w:t>姓名</w:t>
      </w:r>
      <w:r>
        <w:rPr>
          <w:rFonts w:ascii="宋体" w:hAnsi="宋体" w:eastAsia="宋体" w:cs="宋体"/>
          <w:spacing w:val="-20"/>
          <w:sz w:val="21"/>
          <w:szCs w:val="21"/>
        </w:rPr>
        <w:t>），</w:t>
      </w:r>
      <w:r>
        <w:rPr>
          <w:rFonts w:ascii="宋体" w:hAnsi="宋体" w:eastAsia="宋体" w:cs="宋体"/>
          <w:spacing w:val="-2"/>
          <w:sz w:val="21"/>
          <w:szCs w:val="21"/>
        </w:rPr>
        <w:t>证书名称</w:t>
      </w:r>
      <w:r>
        <w:rPr>
          <w:rFonts w:ascii="宋体" w:hAnsi="宋体" w:eastAsia="宋体" w:cs="宋体"/>
          <w:spacing w:val="-20"/>
          <w:sz w:val="21"/>
          <w:szCs w:val="21"/>
        </w:rPr>
        <w:t>：</w:t>
      </w:r>
      <w:r>
        <w:rPr>
          <w:rFonts w:ascii="宋体" w:hAnsi="宋体" w:eastAsia="宋体" w:cs="宋体"/>
          <w:spacing w:val="13"/>
          <w:sz w:val="21"/>
          <w:szCs w:val="21"/>
          <w:u w:val="single" w:color="auto"/>
        </w:rPr>
        <w:t xml:space="preserve">      </w:t>
      </w:r>
      <w:r>
        <w:rPr>
          <w:rFonts w:ascii="宋体" w:hAnsi="宋体" w:eastAsia="宋体" w:cs="宋体"/>
          <w:spacing w:val="-77"/>
          <w:sz w:val="21"/>
          <w:szCs w:val="21"/>
        </w:rPr>
        <w:t xml:space="preserve"> </w:t>
      </w:r>
      <w:r>
        <w:rPr>
          <w:rFonts w:ascii="宋体" w:hAnsi="宋体" w:eastAsia="宋体" w:cs="宋体"/>
          <w:spacing w:val="-20"/>
          <w:sz w:val="21"/>
          <w:szCs w:val="21"/>
        </w:rPr>
        <w:t>，</w:t>
      </w:r>
      <w:r>
        <w:rPr>
          <w:rFonts w:ascii="宋体" w:hAnsi="宋体" w:eastAsia="宋体" w:cs="宋体"/>
          <w:spacing w:val="-2"/>
          <w:sz w:val="21"/>
          <w:szCs w:val="21"/>
        </w:rPr>
        <w:t>证书编号：</w:t>
      </w:r>
      <w:r>
        <w:rPr>
          <w:rFonts w:ascii="宋体" w:hAnsi="宋体" w:eastAsia="宋体" w:cs="宋体"/>
          <w:spacing w:val="-2"/>
          <w:sz w:val="21"/>
          <w:szCs w:val="21"/>
          <w:u w:val="single" w:color="auto"/>
        </w:rPr>
        <w:t xml:space="preserve"> </w:t>
      </w:r>
      <w:r>
        <w:rPr>
          <w:rFonts w:ascii="宋体" w:hAnsi="宋体" w:eastAsia="宋体" w:cs="宋体"/>
          <w:spacing w:val="-3"/>
          <w:sz w:val="21"/>
          <w:szCs w:val="21"/>
          <w:u w:val="single" w:color="auto"/>
        </w:rPr>
        <w:t xml:space="preserve">     </w:t>
      </w:r>
      <w:r>
        <w:rPr>
          <w:rFonts w:ascii="宋体" w:hAnsi="宋体" w:eastAsia="宋体" w:cs="宋体"/>
          <w:spacing w:val="-3"/>
          <w:sz w:val="21"/>
          <w:szCs w:val="21"/>
        </w:rPr>
        <w:t>。</w:t>
      </w:r>
    </w:p>
    <w:p w14:paraId="0FCC6963">
      <w:pPr>
        <w:spacing w:line="220" w:lineRule="auto"/>
        <w:ind w:left="441"/>
        <w:rPr>
          <w:rFonts w:ascii="宋体" w:hAnsi="宋体" w:eastAsia="宋体" w:cs="宋体"/>
          <w:sz w:val="21"/>
          <w:szCs w:val="21"/>
        </w:rPr>
      </w:pPr>
      <w:r>
        <w:rPr>
          <w:rFonts w:ascii="Times New Roman" w:hAnsi="Times New Roman" w:eastAsia="Times New Roman" w:cs="Times New Roman"/>
          <w:spacing w:val="-2"/>
          <w:sz w:val="21"/>
          <w:szCs w:val="21"/>
        </w:rPr>
        <w:t>3.</w:t>
      </w:r>
      <w:r>
        <w:rPr>
          <w:rFonts w:ascii="宋体" w:hAnsi="宋体" w:eastAsia="宋体" w:cs="宋体"/>
          <w:spacing w:val="-2"/>
          <w:sz w:val="21"/>
          <w:szCs w:val="21"/>
        </w:rPr>
        <w:t>我方承诺在投标有效期</w:t>
      </w:r>
      <w:r>
        <w:rPr>
          <w:rFonts w:ascii="宋体" w:hAnsi="宋体" w:eastAsia="宋体" w:cs="宋体"/>
          <w:spacing w:val="-93"/>
          <w:sz w:val="21"/>
          <w:szCs w:val="21"/>
        </w:rPr>
        <w:t xml:space="preserve"> </w:t>
      </w:r>
      <w:r>
        <w:rPr>
          <w:rFonts w:ascii="宋体" w:hAnsi="宋体" w:eastAsia="宋体" w:cs="宋体"/>
          <w:spacing w:val="26"/>
          <w:sz w:val="21"/>
          <w:szCs w:val="21"/>
          <w:u w:val="single" w:color="auto"/>
        </w:rPr>
        <w:t xml:space="preserve">    </w:t>
      </w:r>
      <w:r>
        <w:rPr>
          <w:rFonts w:ascii="宋体" w:hAnsi="宋体" w:eastAsia="宋体" w:cs="宋体"/>
          <w:spacing w:val="-93"/>
          <w:sz w:val="21"/>
          <w:szCs w:val="21"/>
        </w:rPr>
        <w:t xml:space="preserve"> </w:t>
      </w:r>
      <w:r>
        <w:rPr>
          <w:rFonts w:ascii="宋体" w:hAnsi="宋体" w:eastAsia="宋体" w:cs="宋体"/>
          <w:spacing w:val="-2"/>
          <w:sz w:val="21"/>
          <w:szCs w:val="21"/>
        </w:rPr>
        <w:t>天内不修改、撤销投标文件。</w:t>
      </w:r>
    </w:p>
    <w:p w14:paraId="173FEDA5">
      <w:pPr>
        <w:spacing w:before="187" w:line="388" w:lineRule="auto"/>
        <w:ind w:left="436"/>
        <w:rPr>
          <w:rFonts w:ascii="宋体" w:hAnsi="宋体" w:eastAsia="宋体" w:cs="宋体"/>
          <w:sz w:val="21"/>
          <w:szCs w:val="21"/>
        </w:rPr>
      </w:pPr>
      <w:r>
        <w:rPr>
          <w:rFonts w:ascii="Times New Roman" w:hAnsi="Times New Roman" w:eastAsia="Times New Roman" w:cs="Times New Roman"/>
          <w:spacing w:val="-2"/>
          <w:sz w:val="21"/>
          <w:szCs w:val="21"/>
        </w:rPr>
        <w:t>4.</w:t>
      </w:r>
      <w:r>
        <w:rPr>
          <w:rFonts w:ascii="宋体" w:hAnsi="宋体" w:eastAsia="宋体" w:cs="宋体"/>
          <w:spacing w:val="-2"/>
          <w:sz w:val="21"/>
          <w:szCs w:val="21"/>
        </w:rPr>
        <w:t>随同本投标函提交投标保证金一份，</w:t>
      </w:r>
      <w:r>
        <w:rPr>
          <w:rFonts w:ascii="宋体" w:hAnsi="宋体" w:eastAsia="宋体" w:cs="宋体"/>
          <w:spacing w:val="-22"/>
          <w:sz w:val="21"/>
          <w:szCs w:val="21"/>
        </w:rPr>
        <w:t xml:space="preserve"> </w:t>
      </w:r>
      <w:r>
        <w:rPr>
          <w:rFonts w:ascii="宋体" w:hAnsi="宋体" w:eastAsia="宋体" w:cs="宋体"/>
          <w:spacing w:val="-2"/>
          <w:sz w:val="21"/>
          <w:szCs w:val="21"/>
        </w:rPr>
        <w:t>金额为人民币（大</w:t>
      </w:r>
      <w:r>
        <w:rPr>
          <w:rFonts w:ascii="宋体" w:hAnsi="宋体" w:eastAsia="宋体" w:cs="宋体"/>
          <w:spacing w:val="-3"/>
          <w:sz w:val="21"/>
          <w:szCs w:val="21"/>
        </w:rPr>
        <w:t xml:space="preserve">写） </w:t>
      </w:r>
      <w:r>
        <w:rPr>
          <w:rFonts w:ascii="宋体" w:hAnsi="宋体" w:eastAsia="宋体" w:cs="宋体"/>
          <w:spacing w:val="8"/>
          <w:sz w:val="21"/>
          <w:szCs w:val="21"/>
          <w:u w:val="single" w:color="auto"/>
        </w:rPr>
        <w:t xml:space="preserve">      </w:t>
      </w:r>
      <w:r>
        <w:rPr>
          <w:rFonts w:ascii="宋体" w:hAnsi="宋体" w:eastAsia="宋体" w:cs="宋体"/>
          <w:spacing w:val="-91"/>
          <w:sz w:val="21"/>
          <w:szCs w:val="21"/>
        </w:rPr>
        <w:t xml:space="preserve"> </w:t>
      </w:r>
      <w:r>
        <w:rPr>
          <w:rFonts w:ascii="宋体" w:hAnsi="宋体" w:eastAsia="宋体" w:cs="宋体"/>
          <w:spacing w:val="-3"/>
          <w:sz w:val="21"/>
          <w:szCs w:val="21"/>
        </w:rPr>
        <w:t>元(</w:t>
      </w:r>
      <w:r>
        <w:rPr>
          <w:rFonts w:ascii="Times New Roman" w:hAnsi="Times New Roman" w:eastAsia="Times New Roman" w:cs="Times New Roman"/>
          <w:spacing w:val="-3"/>
          <w:sz w:val="21"/>
          <w:szCs w:val="21"/>
        </w:rPr>
        <w:t>¥</w:t>
      </w:r>
      <w:r>
        <w:rPr>
          <w:rFonts w:ascii="Times New Roman" w:hAnsi="Times New Roman" w:eastAsia="Times New Roman" w:cs="Times New Roman"/>
          <w:spacing w:val="-3"/>
          <w:sz w:val="21"/>
          <w:szCs w:val="21"/>
          <w:u w:val="single" w:color="auto"/>
        </w:rPr>
        <w:t xml:space="preserve">            </w:t>
      </w:r>
      <w:r>
        <w:rPr>
          <w:rFonts w:ascii="Times New Roman" w:hAnsi="Times New Roman" w:eastAsia="Times New Roman" w:cs="Times New Roman"/>
          <w:spacing w:val="-22"/>
          <w:sz w:val="21"/>
          <w:szCs w:val="21"/>
        </w:rPr>
        <w:t xml:space="preserve"> </w:t>
      </w:r>
      <w:r>
        <w:rPr>
          <w:rFonts w:ascii="宋体" w:hAnsi="宋体" w:eastAsia="宋体" w:cs="宋体"/>
          <w:spacing w:val="-3"/>
          <w:sz w:val="21"/>
          <w:szCs w:val="21"/>
        </w:rPr>
        <w:t>)。</w:t>
      </w:r>
    </w:p>
    <w:p w14:paraId="3EED981D">
      <w:pPr>
        <w:spacing w:line="221" w:lineRule="auto"/>
        <w:ind w:left="443"/>
        <w:rPr>
          <w:rFonts w:ascii="宋体" w:hAnsi="宋体" w:eastAsia="宋体" w:cs="宋体"/>
          <w:sz w:val="21"/>
          <w:szCs w:val="21"/>
        </w:rPr>
      </w:pPr>
      <w:r>
        <w:rPr>
          <w:rFonts w:ascii="Times New Roman" w:hAnsi="Times New Roman" w:eastAsia="Times New Roman" w:cs="Times New Roman"/>
          <w:spacing w:val="-1"/>
          <w:sz w:val="21"/>
          <w:szCs w:val="21"/>
        </w:rPr>
        <w:t>5.</w:t>
      </w:r>
      <w:r>
        <w:rPr>
          <w:rFonts w:ascii="宋体" w:hAnsi="宋体" w:eastAsia="宋体" w:cs="宋体"/>
          <w:spacing w:val="-1"/>
          <w:sz w:val="21"/>
          <w:szCs w:val="21"/>
        </w:rPr>
        <w:t>如我方中标：</w:t>
      </w:r>
    </w:p>
    <w:p w14:paraId="0CDFF219">
      <w:pPr>
        <w:spacing w:before="190" w:line="437" w:lineRule="exact"/>
        <w:ind w:left="447"/>
        <w:rPr>
          <w:rFonts w:ascii="宋体" w:hAnsi="宋体" w:eastAsia="宋体" w:cs="宋体"/>
          <w:sz w:val="21"/>
          <w:szCs w:val="21"/>
        </w:rPr>
      </w:pPr>
      <w:r>
        <w:rPr>
          <w:rFonts w:ascii="宋体" w:hAnsi="宋体" w:eastAsia="宋体" w:cs="宋体"/>
          <w:position w:val="17"/>
          <w:sz w:val="21"/>
          <w:szCs w:val="21"/>
        </w:rPr>
        <w:t>（</w:t>
      </w:r>
      <w:r>
        <w:rPr>
          <w:rFonts w:ascii="Times New Roman" w:hAnsi="Times New Roman" w:eastAsia="Times New Roman" w:cs="Times New Roman"/>
          <w:position w:val="17"/>
          <w:sz w:val="21"/>
          <w:szCs w:val="21"/>
        </w:rPr>
        <w:t>1</w:t>
      </w:r>
      <w:r>
        <w:rPr>
          <w:rFonts w:ascii="宋体" w:hAnsi="宋体" w:eastAsia="宋体" w:cs="宋体"/>
          <w:position w:val="17"/>
          <w:sz w:val="21"/>
          <w:szCs w:val="21"/>
        </w:rPr>
        <w:t>）我方承诺在收到中标通知书后，在中标通知书规定</w:t>
      </w:r>
      <w:r>
        <w:rPr>
          <w:rFonts w:ascii="宋体" w:hAnsi="宋体" w:eastAsia="宋体" w:cs="宋体"/>
          <w:spacing w:val="-1"/>
          <w:position w:val="17"/>
          <w:sz w:val="21"/>
          <w:szCs w:val="21"/>
        </w:rPr>
        <w:t>的期限内与你方签订合同。</w:t>
      </w:r>
    </w:p>
    <w:p w14:paraId="158DD303">
      <w:pPr>
        <w:spacing w:before="1" w:line="219" w:lineRule="auto"/>
        <w:ind w:left="447"/>
        <w:rPr>
          <w:rFonts w:ascii="宋体" w:hAnsi="宋体" w:eastAsia="宋体" w:cs="宋体"/>
          <w:sz w:val="21"/>
          <w:szCs w:val="21"/>
        </w:rPr>
      </w:pPr>
      <w:r>
        <w:rPr>
          <w:rFonts w:ascii="宋体" w:hAnsi="宋体" w:eastAsia="宋体" w:cs="宋体"/>
          <w:spacing w:val="-1"/>
          <w:sz w:val="21"/>
          <w:szCs w:val="21"/>
        </w:rPr>
        <w:t>（</w:t>
      </w:r>
      <w:r>
        <w:rPr>
          <w:rFonts w:ascii="Times New Roman" w:hAnsi="Times New Roman" w:eastAsia="Times New Roman" w:cs="Times New Roman"/>
          <w:spacing w:val="-1"/>
          <w:sz w:val="21"/>
          <w:szCs w:val="21"/>
        </w:rPr>
        <w:t>2</w:t>
      </w:r>
      <w:r>
        <w:rPr>
          <w:rFonts w:ascii="宋体" w:hAnsi="宋体" w:eastAsia="宋体" w:cs="宋体"/>
          <w:spacing w:val="-1"/>
          <w:sz w:val="21"/>
          <w:szCs w:val="21"/>
        </w:rPr>
        <w:t>）随同本投标函递交的投标函附录属于合同文件的组成部分。</w:t>
      </w:r>
    </w:p>
    <w:p w14:paraId="181D0807">
      <w:pPr>
        <w:spacing w:before="191" w:line="221" w:lineRule="auto"/>
        <w:ind w:left="447"/>
        <w:rPr>
          <w:rFonts w:ascii="宋体" w:hAnsi="宋体" w:eastAsia="宋体" w:cs="宋体"/>
          <w:sz w:val="21"/>
          <w:szCs w:val="21"/>
        </w:rPr>
      </w:pPr>
      <w:r>
        <w:rPr>
          <w:rFonts w:ascii="宋体" w:hAnsi="宋体" w:eastAsia="宋体" w:cs="宋体"/>
          <w:spacing w:val="-1"/>
          <w:sz w:val="21"/>
          <w:szCs w:val="21"/>
        </w:rPr>
        <w:t>（</w:t>
      </w:r>
      <w:r>
        <w:rPr>
          <w:rFonts w:ascii="Times New Roman" w:hAnsi="Times New Roman" w:eastAsia="Times New Roman" w:cs="Times New Roman"/>
          <w:spacing w:val="-1"/>
          <w:sz w:val="21"/>
          <w:szCs w:val="21"/>
        </w:rPr>
        <w:t>3</w:t>
      </w:r>
      <w:r>
        <w:rPr>
          <w:rFonts w:ascii="宋体" w:hAnsi="宋体" w:eastAsia="宋体" w:cs="宋体"/>
          <w:spacing w:val="-1"/>
          <w:sz w:val="21"/>
          <w:szCs w:val="21"/>
        </w:rPr>
        <w:t>）我方承诺按照招标文件规定向你方递交履约保证金。</w:t>
      </w:r>
    </w:p>
    <w:p w14:paraId="158955F3">
      <w:pPr>
        <w:spacing w:before="191" w:line="436" w:lineRule="exact"/>
        <w:ind w:left="447"/>
        <w:rPr>
          <w:rFonts w:ascii="宋体" w:hAnsi="宋体" w:eastAsia="宋体" w:cs="宋体"/>
          <w:sz w:val="21"/>
          <w:szCs w:val="21"/>
        </w:rPr>
      </w:pPr>
      <w:r>
        <w:rPr>
          <w:rFonts w:ascii="宋体" w:hAnsi="宋体" w:eastAsia="宋体" w:cs="宋体"/>
          <w:spacing w:val="-1"/>
          <w:position w:val="17"/>
          <w:sz w:val="21"/>
          <w:szCs w:val="21"/>
        </w:rPr>
        <w:t>（</w:t>
      </w:r>
      <w:r>
        <w:rPr>
          <w:rFonts w:ascii="Times New Roman" w:hAnsi="Times New Roman" w:eastAsia="Times New Roman" w:cs="Times New Roman"/>
          <w:spacing w:val="-1"/>
          <w:position w:val="17"/>
          <w:sz w:val="21"/>
          <w:szCs w:val="21"/>
        </w:rPr>
        <w:t>4</w:t>
      </w:r>
      <w:r>
        <w:rPr>
          <w:rFonts w:ascii="宋体" w:hAnsi="宋体" w:eastAsia="宋体" w:cs="宋体"/>
          <w:spacing w:val="-1"/>
          <w:position w:val="17"/>
          <w:sz w:val="21"/>
          <w:szCs w:val="21"/>
        </w:rPr>
        <w:t>）我方承诺在合同约定的期限内完成并</w:t>
      </w:r>
      <w:r>
        <w:rPr>
          <w:rFonts w:ascii="宋体" w:hAnsi="宋体" w:eastAsia="宋体" w:cs="宋体"/>
          <w:spacing w:val="-2"/>
          <w:position w:val="17"/>
          <w:sz w:val="21"/>
          <w:szCs w:val="21"/>
        </w:rPr>
        <w:t>移交全部合同工程。</w:t>
      </w:r>
    </w:p>
    <w:p w14:paraId="25A80C13">
      <w:pPr>
        <w:spacing w:before="1" w:line="232" w:lineRule="auto"/>
        <w:ind w:left="447"/>
        <w:rPr>
          <w:rFonts w:ascii="宋体" w:hAnsi="宋体" w:eastAsia="宋体" w:cs="宋体"/>
          <w:sz w:val="21"/>
          <w:szCs w:val="21"/>
        </w:rPr>
      </w:pPr>
      <w:r>
        <w:rPr>
          <w:rFonts w:ascii="宋体" w:hAnsi="宋体" w:eastAsia="宋体" w:cs="宋体"/>
          <w:spacing w:val="-3"/>
          <w:sz w:val="21"/>
          <w:szCs w:val="21"/>
        </w:rPr>
        <w:t>（5）</w:t>
      </w:r>
      <w:r>
        <w:rPr>
          <w:rFonts w:ascii="宋体" w:hAnsi="宋体" w:eastAsia="宋体" w:cs="宋体"/>
          <w:sz w:val="21"/>
          <w:szCs w:val="21"/>
          <w:u w:val="single" w:color="auto"/>
        </w:rPr>
        <w:t xml:space="preserve">                                                </w:t>
      </w:r>
      <w:r>
        <w:rPr>
          <w:rFonts w:ascii="宋体" w:hAnsi="宋体" w:eastAsia="宋体" w:cs="宋体"/>
          <w:spacing w:val="-3"/>
          <w:sz w:val="21"/>
          <w:szCs w:val="21"/>
        </w:rPr>
        <w:t>。</w:t>
      </w:r>
    </w:p>
    <w:p w14:paraId="12ABE415">
      <w:pPr>
        <w:spacing w:before="178" w:line="441" w:lineRule="exact"/>
        <w:ind w:right="8"/>
        <w:jc w:val="right"/>
        <w:rPr>
          <w:rFonts w:ascii="宋体" w:hAnsi="宋体" w:eastAsia="宋体" w:cs="宋体"/>
          <w:sz w:val="21"/>
          <w:szCs w:val="21"/>
        </w:rPr>
      </w:pPr>
      <w:r>
        <w:rPr>
          <w:rFonts w:ascii="Times New Roman" w:hAnsi="Times New Roman" w:eastAsia="Times New Roman" w:cs="Times New Roman"/>
          <w:spacing w:val="4"/>
          <w:position w:val="17"/>
          <w:sz w:val="21"/>
          <w:szCs w:val="21"/>
        </w:rPr>
        <w:t>6.</w:t>
      </w:r>
      <w:r>
        <w:rPr>
          <w:rFonts w:ascii="宋体" w:hAnsi="宋体" w:eastAsia="宋体" w:cs="宋体"/>
          <w:spacing w:val="4"/>
          <w:position w:val="17"/>
          <w:sz w:val="21"/>
          <w:szCs w:val="21"/>
        </w:rPr>
        <w:t>我方在此声明，所递交的投标文件及有关资料内容完整、真实和准确，且不存在第</w:t>
      </w:r>
    </w:p>
    <w:p w14:paraId="65E9F3E3">
      <w:pPr>
        <w:spacing w:before="1" w:line="219" w:lineRule="auto"/>
        <w:ind w:left="21"/>
        <w:rPr>
          <w:rFonts w:ascii="宋体" w:hAnsi="宋体" w:eastAsia="宋体" w:cs="宋体"/>
          <w:sz w:val="21"/>
          <w:szCs w:val="21"/>
        </w:rPr>
      </w:pPr>
      <w:r>
        <w:rPr>
          <w:rFonts w:ascii="宋体" w:hAnsi="宋体" w:eastAsia="宋体" w:cs="宋体"/>
          <w:spacing w:val="-2"/>
          <w:sz w:val="21"/>
          <w:szCs w:val="21"/>
        </w:rPr>
        <w:t>二章“投标人须知”第</w:t>
      </w:r>
      <w:r>
        <w:rPr>
          <w:rFonts w:ascii="宋体" w:hAnsi="宋体" w:eastAsia="宋体" w:cs="宋体"/>
          <w:spacing w:val="-17"/>
          <w:sz w:val="21"/>
          <w:szCs w:val="21"/>
        </w:rPr>
        <w:t xml:space="preserve"> </w:t>
      </w:r>
      <w:r>
        <w:rPr>
          <w:rFonts w:ascii="Times New Roman" w:hAnsi="Times New Roman" w:eastAsia="Times New Roman" w:cs="Times New Roman"/>
          <w:spacing w:val="-2"/>
          <w:sz w:val="21"/>
          <w:szCs w:val="21"/>
        </w:rPr>
        <w:t xml:space="preserve">1.4.3 </w:t>
      </w:r>
      <w:r>
        <w:rPr>
          <w:rFonts w:ascii="宋体" w:hAnsi="宋体" w:eastAsia="宋体" w:cs="宋体"/>
          <w:spacing w:val="-2"/>
          <w:sz w:val="21"/>
          <w:szCs w:val="21"/>
        </w:rPr>
        <w:t>项规定的任何一种情形。</w:t>
      </w:r>
    </w:p>
    <w:p w14:paraId="76BD5661">
      <w:pPr>
        <w:spacing w:before="186" w:line="221" w:lineRule="auto"/>
        <w:ind w:left="440"/>
        <w:rPr>
          <w:rFonts w:ascii="宋体" w:hAnsi="宋体" w:eastAsia="宋体" w:cs="宋体"/>
          <w:sz w:val="21"/>
          <w:szCs w:val="21"/>
        </w:rPr>
      </w:pPr>
      <w:r>
        <w:rPr>
          <w:rFonts w:ascii="Times New Roman" w:hAnsi="Times New Roman" w:eastAsia="Times New Roman" w:cs="Times New Roman"/>
          <w:spacing w:val="-4"/>
          <w:sz w:val="21"/>
          <w:szCs w:val="21"/>
        </w:rPr>
        <w:t>7.</w:t>
      </w:r>
      <w:r>
        <w:rPr>
          <w:rFonts w:ascii="Times New Roman" w:hAnsi="Times New Roman" w:eastAsia="Times New Roman" w:cs="Times New Roman"/>
          <w:spacing w:val="-52"/>
          <w:sz w:val="21"/>
          <w:szCs w:val="21"/>
        </w:rPr>
        <w:t xml:space="preserve"> </w:t>
      </w:r>
      <w:r>
        <w:rPr>
          <w:rFonts w:ascii="Times New Roman" w:hAnsi="Times New Roman" w:eastAsia="Times New Roman" w:cs="Times New Roman"/>
          <w:spacing w:val="-4"/>
          <w:sz w:val="21"/>
          <w:szCs w:val="21"/>
          <w:u w:val="single" w:color="auto"/>
        </w:rPr>
        <w:t xml:space="preserve">                            </w:t>
      </w:r>
      <w:r>
        <w:rPr>
          <w:rFonts w:ascii="Times New Roman" w:hAnsi="Times New Roman" w:eastAsia="Times New Roman" w:cs="Times New Roman"/>
          <w:spacing w:val="-5"/>
          <w:sz w:val="21"/>
          <w:szCs w:val="21"/>
          <w:u w:val="single" w:color="auto"/>
        </w:rPr>
        <w:t xml:space="preserve">             </w:t>
      </w:r>
      <w:r>
        <w:rPr>
          <w:rFonts w:ascii="宋体" w:hAnsi="宋体" w:eastAsia="宋体" w:cs="宋体"/>
          <w:spacing w:val="-5"/>
          <w:sz w:val="21"/>
          <w:szCs w:val="21"/>
        </w:rPr>
        <w:t>（其他补充说明）。</w:t>
      </w:r>
    </w:p>
    <w:p w14:paraId="0CC79A94">
      <w:pPr>
        <w:spacing w:before="191" w:line="388" w:lineRule="auto"/>
        <w:ind w:left="3699"/>
        <w:rPr>
          <w:rFonts w:ascii="宋体" w:hAnsi="宋体" w:eastAsia="宋体" w:cs="宋体"/>
          <w:sz w:val="21"/>
          <w:szCs w:val="21"/>
        </w:rPr>
      </w:pPr>
      <w:r>
        <w:rPr>
          <w:rFonts w:ascii="宋体" w:hAnsi="宋体" w:eastAsia="宋体" w:cs="宋体"/>
          <w:spacing w:val="-24"/>
          <w:sz w:val="21"/>
          <w:szCs w:val="21"/>
        </w:rPr>
        <w:t>投</w:t>
      </w:r>
      <w:r>
        <w:rPr>
          <w:rFonts w:ascii="宋体" w:hAnsi="宋体" w:eastAsia="宋体" w:cs="宋体"/>
          <w:spacing w:val="-42"/>
          <w:sz w:val="21"/>
          <w:szCs w:val="21"/>
        </w:rPr>
        <w:t xml:space="preserve"> </w:t>
      </w:r>
      <w:r>
        <w:rPr>
          <w:rFonts w:ascii="宋体" w:hAnsi="宋体" w:eastAsia="宋体" w:cs="宋体"/>
          <w:spacing w:val="-24"/>
          <w:sz w:val="21"/>
          <w:szCs w:val="21"/>
        </w:rPr>
        <w:t>标</w:t>
      </w:r>
      <w:r>
        <w:rPr>
          <w:rFonts w:ascii="宋体" w:hAnsi="宋体" w:eastAsia="宋体" w:cs="宋体"/>
          <w:spacing w:val="-43"/>
          <w:sz w:val="21"/>
          <w:szCs w:val="21"/>
        </w:rPr>
        <w:t xml:space="preserve"> </w:t>
      </w:r>
      <w:r>
        <w:rPr>
          <w:rFonts w:ascii="宋体" w:hAnsi="宋体" w:eastAsia="宋体" w:cs="宋体"/>
          <w:spacing w:val="-24"/>
          <w:sz w:val="21"/>
          <w:szCs w:val="21"/>
        </w:rPr>
        <w:t>人</w:t>
      </w:r>
      <w:r>
        <w:rPr>
          <w:rFonts w:ascii="宋体" w:hAnsi="宋体" w:eastAsia="宋体" w:cs="宋体"/>
          <w:spacing w:val="2"/>
          <w:sz w:val="21"/>
          <w:szCs w:val="21"/>
        </w:rPr>
        <w:t>：</w:t>
      </w:r>
      <w:r>
        <w:rPr>
          <w:rFonts w:ascii="宋体" w:hAnsi="宋体" w:eastAsia="宋体" w:cs="宋体"/>
          <w:spacing w:val="-31"/>
          <w:sz w:val="21"/>
          <w:szCs w:val="21"/>
        </w:rPr>
        <w:t xml:space="preserve"> </w:t>
      </w:r>
      <w:r>
        <w:rPr>
          <w:rFonts w:ascii="宋体" w:hAnsi="宋体" w:eastAsia="宋体" w:cs="宋体"/>
          <w:spacing w:val="10"/>
          <w:sz w:val="21"/>
          <w:szCs w:val="21"/>
          <w:u w:val="single" w:color="auto"/>
        </w:rPr>
        <w:t xml:space="preserve">          </w:t>
      </w:r>
      <w:r>
        <w:rPr>
          <w:rFonts w:ascii="宋体" w:hAnsi="宋体" w:eastAsia="宋体" w:cs="宋体"/>
          <w:spacing w:val="-25"/>
          <w:sz w:val="21"/>
          <w:szCs w:val="21"/>
        </w:rPr>
        <w:t xml:space="preserve"> </w:t>
      </w:r>
      <w:r>
        <w:rPr>
          <w:rFonts w:ascii="宋体" w:hAnsi="宋体" w:eastAsia="宋体" w:cs="宋体"/>
          <w:spacing w:val="2"/>
          <w:sz w:val="21"/>
          <w:szCs w:val="21"/>
        </w:rPr>
        <w:t>（</w:t>
      </w:r>
      <w:r>
        <w:rPr>
          <w:rFonts w:ascii="宋体" w:hAnsi="宋体" w:eastAsia="宋体" w:cs="宋体"/>
          <w:spacing w:val="-24"/>
          <w:sz w:val="21"/>
          <w:szCs w:val="21"/>
        </w:rPr>
        <w:t>盖单位章）</w:t>
      </w:r>
    </w:p>
    <w:p w14:paraId="35698283">
      <w:pPr>
        <w:spacing w:before="1" w:line="219" w:lineRule="auto"/>
        <w:ind w:left="2434"/>
        <w:rPr>
          <w:rFonts w:ascii="宋体" w:hAnsi="宋体" w:eastAsia="宋体" w:cs="宋体"/>
          <w:sz w:val="21"/>
          <w:szCs w:val="21"/>
        </w:rPr>
      </w:pPr>
      <w:r>
        <w:rPr>
          <w:rFonts w:ascii="宋体" w:hAnsi="宋体" w:eastAsia="宋体" w:cs="宋体"/>
          <w:spacing w:val="-7"/>
          <w:sz w:val="21"/>
          <w:szCs w:val="21"/>
        </w:rPr>
        <w:t>法定代表人或授权委托人</w:t>
      </w:r>
      <w:r>
        <w:rPr>
          <w:rFonts w:ascii="宋体" w:hAnsi="宋体" w:eastAsia="宋体" w:cs="宋体"/>
          <w:spacing w:val="3"/>
          <w:sz w:val="21"/>
          <w:szCs w:val="21"/>
        </w:rPr>
        <w:t>：</w:t>
      </w:r>
      <w:r>
        <w:rPr>
          <w:rFonts w:ascii="宋体" w:hAnsi="宋体" w:eastAsia="宋体" w:cs="宋体"/>
          <w:spacing w:val="9"/>
          <w:sz w:val="21"/>
          <w:szCs w:val="21"/>
          <w:u w:val="single" w:color="auto"/>
        </w:rPr>
        <w:t xml:space="preserve">           </w:t>
      </w:r>
      <w:r>
        <w:rPr>
          <w:rFonts w:ascii="宋体" w:hAnsi="宋体" w:eastAsia="宋体" w:cs="宋体"/>
          <w:spacing w:val="-26"/>
          <w:sz w:val="21"/>
          <w:szCs w:val="21"/>
        </w:rPr>
        <w:t xml:space="preserve"> </w:t>
      </w:r>
      <w:r>
        <w:rPr>
          <w:rFonts w:ascii="宋体" w:hAnsi="宋体" w:eastAsia="宋体" w:cs="宋体"/>
          <w:spacing w:val="3"/>
          <w:sz w:val="21"/>
          <w:szCs w:val="21"/>
        </w:rPr>
        <w:t>（</w:t>
      </w:r>
      <w:r>
        <w:rPr>
          <w:rFonts w:ascii="宋体" w:hAnsi="宋体" w:eastAsia="宋体" w:cs="宋体"/>
          <w:spacing w:val="-7"/>
          <w:sz w:val="21"/>
          <w:szCs w:val="21"/>
        </w:rPr>
        <w:t>签章）</w:t>
      </w:r>
    </w:p>
    <w:p w14:paraId="10C7BF4B">
      <w:pPr>
        <w:tabs>
          <w:tab w:val="left" w:pos="6844"/>
        </w:tabs>
        <w:spacing w:before="189" w:line="387" w:lineRule="auto"/>
        <w:ind w:left="3694" w:right="1488" w:firstLine="1"/>
        <w:jc w:val="both"/>
        <w:rPr>
          <w:rFonts w:ascii="宋体" w:hAnsi="宋体" w:eastAsia="宋体" w:cs="宋体"/>
          <w:sz w:val="21"/>
          <w:szCs w:val="21"/>
        </w:rPr>
      </w:pPr>
      <w:r>
        <w:rPr>
          <w:rFonts w:ascii="宋体" w:hAnsi="宋体" w:eastAsia="宋体" w:cs="宋体"/>
          <w:spacing w:val="-28"/>
          <w:w w:val="96"/>
          <w:sz w:val="21"/>
          <w:szCs w:val="21"/>
        </w:rPr>
        <w:t>地址：</w:t>
      </w:r>
      <w:r>
        <w:rPr>
          <w:rFonts w:ascii="宋体" w:hAnsi="宋体" w:eastAsia="宋体" w:cs="宋体"/>
          <w:spacing w:val="-3"/>
          <w:sz w:val="21"/>
          <w:szCs w:val="21"/>
        </w:rPr>
        <w:t xml:space="preserve"> </w:t>
      </w:r>
      <w:r>
        <w:rPr>
          <w:rFonts w:ascii="宋体" w:hAnsi="宋体" w:eastAsia="宋体" w:cs="宋体"/>
          <w:sz w:val="21"/>
          <w:szCs w:val="21"/>
          <w:u w:val="single" w:color="auto"/>
        </w:rPr>
        <w:tab/>
      </w:r>
      <w:r>
        <w:rPr>
          <w:rFonts w:ascii="宋体" w:hAnsi="宋体" w:eastAsia="宋体" w:cs="宋体"/>
          <w:sz w:val="21"/>
          <w:szCs w:val="21"/>
        </w:rPr>
        <w:t xml:space="preserve"> </w:t>
      </w:r>
      <w:r>
        <w:rPr>
          <w:rFonts w:ascii="宋体" w:hAnsi="宋体" w:eastAsia="宋体" w:cs="宋体"/>
          <w:spacing w:val="-35"/>
          <w:sz w:val="21"/>
          <w:szCs w:val="21"/>
        </w:rPr>
        <w:t>网址：</w:t>
      </w:r>
      <w:r>
        <w:rPr>
          <w:rFonts w:ascii="宋体" w:hAnsi="宋体" w:eastAsia="宋体" w:cs="宋体"/>
          <w:spacing w:val="-5"/>
          <w:sz w:val="21"/>
          <w:szCs w:val="21"/>
        </w:rPr>
        <w:t xml:space="preserve"> </w:t>
      </w:r>
      <w:r>
        <w:rPr>
          <w:rFonts w:ascii="宋体" w:hAnsi="宋体" w:eastAsia="宋体" w:cs="宋体"/>
          <w:sz w:val="21"/>
          <w:szCs w:val="21"/>
          <w:u w:val="single" w:color="auto"/>
        </w:rPr>
        <w:tab/>
      </w:r>
      <w:r>
        <w:rPr>
          <w:rFonts w:ascii="宋体" w:hAnsi="宋体" w:eastAsia="宋体" w:cs="宋体"/>
          <w:sz w:val="21"/>
          <w:szCs w:val="21"/>
        </w:rPr>
        <w:t xml:space="preserve"> </w:t>
      </w:r>
      <w:r>
        <w:rPr>
          <w:rFonts w:ascii="宋体" w:hAnsi="宋体" w:eastAsia="宋体" w:cs="宋体"/>
          <w:spacing w:val="-30"/>
          <w:w w:val="97"/>
          <w:sz w:val="21"/>
          <w:szCs w:val="21"/>
        </w:rPr>
        <w:t>电话：</w:t>
      </w:r>
      <w:r>
        <w:rPr>
          <w:rFonts w:ascii="宋体" w:hAnsi="宋体" w:eastAsia="宋体" w:cs="宋体"/>
          <w:spacing w:val="-2"/>
          <w:sz w:val="21"/>
          <w:szCs w:val="21"/>
        </w:rPr>
        <w:t xml:space="preserve"> </w:t>
      </w:r>
      <w:r>
        <w:rPr>
          <w:rFonts w:ascii="宋体" w:hAnsi="宋体" w:eastAsia="宋体" w:cs="宋体"/>
          <w:sz w:val="21"/>
          <w:szCs w:val="21"/>
          <w:u w:val="single" w:color="auto"/>
        </w:rPr>
        <w:tab/>
      </w:r>
      <w:r>
        <w:rPr>
          <w:rFonts w:ascii="宋体" w:hAnsi="宋体" w:eastAsia="宋体" w:cs="宋体"/>
          <w:sz w:val="21"/>
          <w:szCs w:val="21"/>
        </w:rPr>
        <w:t xml:space="preserve"> </w:t>
      </w:r>
      <w:r>
        <w:rPr>
          <w:rFonts w:ascii="宋体" w:hAnsi="宋体" w:eastAsia="宋体" w:cs="宋体"/>
          <w:spacing w:val="-26"/>
          <w:w w:val="95"/>
          <w:sz w:val="21"/>
          <w:szCs w:val="21"/>
        </w:rPr>
        <w:t>传真：</w:t>
      </w:r>
      <w:r>
        <w:rPr>
          <w:rFonts w:ascii="宋体" w:hAnsi="宋体" w:eastAsia="宋体" w:cs="宋体"/>
          <w:spacing w:val="-1"/>
          <w:sz w:val="21"/>
          <w:szCs w:val="21"/>
        </w:rPr>
        <w:t xml:space="preserve"> </w:t>
      </w:r>
      <w:r>
        <w:rPr>
          <w:rFonts w:ascii="宋体" w:hAnsi="宋体" w:eastAsia="宋体" w:cs="宋体"/>
          <w:sz w:val="21"/>
          <w:szCs w:val="21"/>
          <w:u w:val="single" w:color="auto"/>
        </w:rPr>
        <w:t xml:space="preserve">                         </w:t>
      </w:r>
    </w:p>
    <w:p w14:paraId="44B0D56C">
      <w:pPr>
        <w:spacing w:line="220" w:lineRule="auto"/>
        <w:ind w:left="3712"/>
        <w:rPr>
          <w:rFonts w:ascii="宋体" w:hAnsi="宋体" w:eastAsia="宋体" w:cs="宋体"/>
          <w:sz w:val="21"/>
          <w:szCs w:val="21"/>
        </w:rPr>
      </w:pPr>
      <w:r>
        <w:rPr>
          <w:rFonts w:ascii="宋体" w:hAnsi="宋体" w:eastAsia="宋体" w:cs="宋体"/>
          <w:spacing w:val="-24"/>
          <w:w w:val="98"/>
          <w:sz w:val="21"/>
          <w:szCs w:val="21"/>
        </w:rPr>
        <w:t>邮政编码：</w:t>
      </w:r>
      <w:r>
        <w:rPr>
          <w:rFonts w:ascii="宋体" w:hAnsi="宋体" w:eastAsia="宋体" w:cs="宋体"/>
          <w:spacing w:val="16"/>
          <w:sz w:val="21"/>
          <w:szCs w:val="21"/>
        </w:rPr>
        <w:t xml:space="preserve"> </w:t>
      </w:r>
      <w:r>
        <w:rPr>
          <w:rFonts w:ascii="宋体" w:hAnsi="宋体" w:eastAsia="宋体" w:cs="宋体"/>
          <w:sz w:val="21"/>
          <w:szCs w:val="21"/>
          <w:u w:val="single" w:color="auto"/>
        </w:rPr>
        <w:t xml:space="preserve">                     </w:t>
      </w:r>
    </w:p>
    <w:p w14:paraId="46D71753">
      <w:pPr>
        <w:tabs>
          <w:tab w:val="left" w:pos="5580"/>
        </w:tabs>
        <w:spacing w:before="191" w:line="221" w:lineRule="auto"/>
        <w:ind w:left="5157"/>
        <w:rPr>
          <w:rFonts w:ascii="宋体" w:hAnsi="宋体" w:eastAsia="宋体" w:cs="宋体"/>
          <w:sz w:val="21"/>
          <w:szCs w:val="21"/>
        </w:rPr>
      </w:pPr>
      <w:r>
        <w:rPr>
          <w:rFonts w:ascii="宋体" w:hAnsi="宋体" w:eastAsia="宋体" w:cs="宋体"/>
          <w:sz w:val="21"/>
          <w:szCs w:val="21"/>
          <w:u w:val="single" w:color="auto"/>
        </w:rPr>
        <w:tab/>
      </w:r>
      <w:r>
        <w:rPr>
          <w:rFonts w:ascii="宋体" w:hAnsi="宋体" w:eastAsia="宋体" w:cs="宋体"/>
          <w:spacing w:val="-96"/>
          <w:sz w:val="21"/>
          <w:szCs w:val="21"/>
        </w:rPr>
        <w:t xml:space="preserve"> </w:t>
      </w:r>
      <w:r>
        <w:rPr>
          <w:rFonts w:ascii="宋体" w:hAnsi="宋体" w:eastAsia="宋体" w:cs="宋体"/>
          <w:spacing w:val="-7"/>
          <w:sz w:val="21"/>
          <w:szCs w:val="21"/>
        </w:rPr>
        <w:t>年</w:t>
      </w:r>
      <w:r>
        <w:rPr>
          <w:rFonts w:ascii="宋体" w:hAnsi="宋体" w:eastAsia="宋体" w:cs="宋体"/>
          <w:spacing w:val="34"/>
          <w:sz w:val="21"/>
          <w:szCs w:val="21"/>
          <w:u w:val="single" w:color="auto"/>
        </w:rPr>
        <w:t xml:space="preserve">   </w:t>
      </w:r>
      <w:r>
        <w:rPr>
          <w:rFonts w:ascii="宋体" w:hAnsi="宋体" w:eastAsia="宋体" w:cs="宋体"/>
          <w:spacing w:val="-91"/>
          <w:sz w:val="21"/>
          <w:szCs w:val="21"/>
        </w:rPr>
        <w:t xml:space="preserve"> </w:t>
      </w:r>
      <w:r>
        <w:rPr>
          <w:rFonts w:ascii="宋体" w:hAnsi="宋体" w:eastAsia="宋体" w:cs="宋体"/>
          <w:spacing w:val="-7"/>
          <w:sz w:val="21"/>
          <w:szCs w:val="21"/>
        </w:rPr>
        <w:t>月</w:t>
      </w:r>
      <w:r>
        <w:rPr>
          <w:rFonts w:ascii="宋体" w:hAnsi="宋体" w:eastAsia="宋体" w:cs="宋体"/>
          <w:spacing w:val="-105"/>
          <w:sz w:val="21"/>
          <w:szCs w:val="21"/>
        </w:rPr>
        <w:t xml:space="preserve"> </w:t>
      </w:r>
      <w:r>
        <w:rPr>
          <w:rFonts w:ascii="宋体" w:hAnsi="宋体" w:eastAsia="宋体" w:cs="宋体"/>
          <w:sz w:val="21"/>
          <w:szCs w:val="21"/>
          <w:u w:val="single" w:color="auto"/>
        </w:rPr>
        <w:t xml:space="preserve">    </w:t>
      </w:r>
      <w:r>
        <w:rPr>
          <w:rFonts w:ascii="宋体" w:hAnsi="宋体" w:eastAsia="宋体" w:cs="宋体"/>
          <w:spacing w:val="-58"/>
          <w:sz w:val="21"/>
          <w:szCs w:val="21"/>
        </w:rPr>
        <w:t xml:space="preserve"> </w:t>
      </w:r>
      <w:r>
        <w:rPr>
          <w:rFonts w:ascii="宋体" w:hAnsi="宋体" w:eastAsia="宋体" w:cs="宋体"/>
          <w:spacing w:val="-7"/>
          <w:sz w:val="21"/>
          <w:szCs w:val="21"/>
        </w:rPr>
        <w:t>日</w:t>
      </w:r>
    </w:p>
    <w:p w14:paraId="05B7C098">
      <w:pPr>
        <w:spacing w:line="221" w:lineRule="auto"/>
        <w:rPr>
          <w:rFonts w:ascii="宋体" w:hAnsi="宋体" w:eastAsia="宋体" w:cs="宋体"/>
          <w:sz w:val="21"/>
          <w:szCs w:val="21"/>
        </w:rPr>
        <w:sectPr>
          <w:footerReference r:id="rId195" w:type="default"/>
          <w:pgSz w:w="11905" w:h="16839"/>
          <w:pgMar w:top="400" w:right="1785" w:bottom="1004" w:left="1785" w:header="0" w:footer="828" w:gutter="0"/>
          <w:pgNumType w:fmt="decimal"/>
          <w:cols w:space="720" w:num="1"/>
        </w:sectPr>
      </w:pPr>
    </w:p>
    <w:p w14:paraId="31AFCCD6">
      <w:pPr>
        <w:pStyle w:val="3"/>
        <w:spacing w:line="257" w:lineRule="auto"/>
      </w:pPr>
    </w:p>
    <w:p w14:paraId="48BF2418">
      <w:pPr>
        <w:pStyle w:val="3"/>
        <w:spacing w:line="257" w:lineRule="auto"/>
      </w:pPr>
    </w:p>
    <w:p w14:paraId="2BB008ED">
      <w:pPr>
        <w:pStyle w:val="3"/>
        <w:spacing w:line="257" w:lineRule="auto"/>
      </w:pPr>
    </w:p>
    <w:p w14:paraId="72C2ACA6">
      <w:pPr>
        <w:pStyle w:val="3"/>
        <w:spacing w:line="257" w:lineRule="auto"/>
      </w:pPr>
    </w:p>
    <w:p w14:paraId="3003A300">
      <w:pPr>
        <w:spacing w:before="87" w:line="225" w:lineRule="auto"/>
        <w:ind w:left="3390"/>
        <w:rPr>
          <w:rFonts w:ascii="黑体" w:hAnsi="黑体" w:eastAsia="黑体" w:cs="黑体"/>
          <w:sz w:val="27"/>
          <w:szCs w:val="27"/>
        </w:rPr>
      </w:pPr>
      <w:bookmarkStart w:id="1312" w:name="bookmark297"/>
      <w:bookmarkEnd w:id="1312"/>
      <w:r>
        <w:rPr>
          <w:rFonts w:ascii="黑体" w:hAnsi="黑体" w:eastAsia="黑体" w:cs="黑体"/>
          <w:spacing w:val="3"/>
          <w:sz w:val="27"/>
          <w:szCs w:val="27"/>
        </w:rPr>
        <w:t>（二）投标函附录</w:t>
      </w:r>
    </w:p>
    <w:p w14:paraId="76CE3585">
      <w:pPr>
        <w:spacing w:before="291" w:line="214" w:lineRule="auto"/>
        <w:ind w:left="330"/>
        <w:rPr>
          <w:rFonts w:ascii="宋体" w:hAnsi="宋体" w:eastAsia="宋体" w:cs="宋体"/>
          <w:sz w:val="21"/>
          <w:szCs w:val="21"/>
        </w:rPr>
      </w:pPr>
      <w:r>
        <w:rPr>
          <w:rFonts w:ascii="宋体" w:hAnsi="宋体" w:eastAsia="宋体" w:cs="宋体"/>
          <w:spacing w:val="-23"/>
          <w:w w:val="95"/>
          <w:sz w:val="21"/>
          <w:szCs w:val="21"/>
        </w:rPr>
        <w:t>标段名称：</w:t>
      </w:r>
      <w:r>
        <w:rPr>
          <w:rFonts w:ascii="宋体" w:hAnsi="宋体" w:eastAsia="宋体" w:cs="宋体"/>
          <w:spacing w:val="58"/>
          <w:sz w:val="21"/>
          <w:szCs w:val="21"/>
        </w:rPr>
        <w:t xml:space="preserve"> </w:t>
      </w:r>
      <w:r>
        <w:rPr>
          <w:rFonts w:ascii="宋体" w:hAnsi="宋体" w:eastAsia="宋体" w:cs="宋体"/>
          <w:sz w:val="21"/>
          <w:szCs w:val="21"/>
          <w:u w:val="single" w:color="auto"/>
        </w:rPr>
        <w:t xml:space="preserve">                                                            </w:t>
      </w:r>
    </w:p>
    <w:tbl>
      <w:tblPr>
        <w:tblStyle w:val="10"/>
        <w:tblW w:w="895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25"/>
        <w:gridCol w:w="2400"/>
        <w:gridCol w:w="1315"/>
        <w:gridCol w:w="3786"/>
        <w:gridCol w:w="729"/>
      </w:tblGrid>
      <w:tr w14:paraId="6E5CD5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6" w:hRule="atLeast"/>
        </w:trPr>
        <w:tc>
          <w:tcPr>
            <w:tcW w:w="725" w:type="dxa"/>
            <w:vAlign w:val="top"/>
          </w:tcPr>
          <w:p w14:paraId="0739ED32">
            <w:pPr>
              <w:pStyle w:val="11"/>
              <w:spacing w:before="178" w:line="222" w:lineRule="auto"/>
              <w:ind w:left="160"/>
            </w:pPr>
            <w:r>
              <w:rPr>
                <w:spacing w:val="-2"/>
              </w:rPr>
              <w:t>序号</w:t>
            </w:r>
          </w:p>
        </w:tc>
        <w:tc>
          <w:tcPr>
            <w:tcW w:w="2400" w:type="dxa"/>
            <w:vAlign w:val="top"/>
          </w:tcPr>
          <w:p w14:paraId="62FB0959">
            <w:pPr>
              <w:pStyle w:val="11"/>
              <w:spacing w:before="178" w:line="221" w:lineRule="auto"/>
              <w:ind w:left="787"/>
            </w:pPr>
            <w:r>
              <w:rPr>
                <w:spacing w:val="-1"/>
              </w:rPr>
              <w:t>条款内容</w:t>
            </w:r>
          </w:p>
        </w:tc>
        <w:tc>
          <w:tcPr>
            <w:tcW w:w="1315" w:type="dxa"/>
            <w:vAlign w:val="top"/>
          </w:tcPr>
          <w:p w14:paraId="3161A519">
            <w:pPr>
              <w:pStyle w:val="11"/>
              <w:spacing w:before="178" w:line="221" w:lineRule="auto"/>
              <w:ind w:left="135"/>
            </w:pPr>
            <w:r>
              <w:rPr>
                <w:spacing w:val="-1"/>
              </w:rPr>
              <w:t>合同条款号</w:t>
            </w:r>
          </w:p>
        </w:tc>
        <w:tc>
          <w:tcPr>
            <w:tcW w:w="3786" w:type="dxa"/>
            <w:vAlign w:val="top"/>
          </w:tcPr>
          <w:p w14:paraId="358C0F53">
            <w:pPr>
              <w:pStyle w:val="11"/>
              <w:spacing w:before="178" w:line="221" w:lineRule="auto"/>
              <w:ind w:left="1479"/>
            </w:pPr>
            <w:r>
              <w:rPr>
                <w:spacing w:val="-2"/>
              </w:rPr>
              <w:t>约定内容</w:t>
            </w:r>
          </w:p>
        </w:tc>
        <w:tc>
          <w:tcPr>
            <w:tcW w:w="729" w:type="dxa"/>
            <w:vAlign w:val="top"/>
          </w:tcPr>
          <w:p w14:paraId="56951528">
            <w:pPr>
              <w:pStyle w:val="11"/>
              <w:spacing w:before="178" w:line="222" w:lineRule="auto"/>
              <w:ind w:left="159"/>
            </w:pPr>
            <w:r>
              <w:rPr>
                <w:spacing w:val="-3"/>
              </w:rPr>
              <w:t>备注</w:t>
            </w:r>
          </w:p>
        </w:tc>
      </w:tr>
      <w:tr w14:paraId="68BA49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725" w:type="dxa"/>
            <w:vAlign w:val="top"/>
          </w:tcPr>
          <w:p w14:paraId="45B88C0D">
            <w:pPr>
              <w:pStyle w:val="11"/>
              <w:spacing w:before="155" w:line="183" w:lineRule="auto"/>
              <w:ind w:left="330"/>
            </w:pPr>
            <w:r>
              <w:t>1</w:t>
            </w:r>
          </w:p>
        </w:tc>
        <w:tc>
          <w:tcPr>
            <w:tcW w:w="2400" w:type="dxa"/>
            <w:vAlign w:val="top"/>
          </w:tcPr>
          <w:p w14:paraId="76930E1D">
            <w:pPr>
              <w:pStyle w:val="11"/>
              <w:spacing w:before="121" w:line="221" w:lineRule="auto"/>
              <w:ind w:left="117"/>
            </w:pPr>
            <w:r>
              <w:rPr>
                <w:spacing w:val="-2"/>
              </w:rPr>
              <w:t>项目经理</w:t>
            </w:r>
          </w:p>
        </w:tc>
        <w:tc>
          <w:tcPr>
            <w:tcW w:w="1315" w:type="dxa"/>
            <w:vAlign w:val="top"/>
          </w:tcPr>
          <w:p w14:paraId="7A7A904C">
            <w:pPr>
              <w:pStyle w:val="11"/>
              <w:spacing w:before="179" w:line="183" w:lineRule="auto"/>
              <w:ind w:left="308"/>
            </w:pPr>
            <w:r>
              <w:fldChar w:fldCharType="begin"/>
            </w:r>
            <w:r>
              <w:instrText xml:space="preserve"> HYPERLINK "1.1.2.8" </w:instrText>
            </w:r>
            <w:r>
              <w:fldChar w:fldCharType="separate"/>
            </w:r>
            <w:r>
              <w:rPr>
                <w:spacing w:val="-3"/>
              </w:rPr>
              <w:t>1.1.2.8</w:t>
            </w:r>
            <w:r>
              <w:rPr>
                <w:spacing w:val="-3"/>
              </w:rPr>
              <w:fldChar w:fldCharType="end"/>
            </w:r>
          </w:p>
        </w:tc>
        <w:tc>
          <w:tcPr>
            <w:tcW w:w="3786" w:type="dxa"/>
            <w:vAlign w:val="top"/>
          </w:tcPr>
          <w:p w14:paraId="15B6C9AC">
            <w:pPr>
              <w:pStyle w:val="11"/>
              <w:spacing w:before="120" w:line="221" w:lineRule="auto"/>
              <w:ind w:left="117"/>
            </w:pPr>
            <w:r>
              <w:rPr>
                <w:spacing w:val="-5"/>
              </w:rPr>
              <w:t>（见投标函）</w:t>
            </w:r>
          </w:p>
        </w:tc>
        <w:tc>
          <w:tcPr>
            <w:tcW w:w="729" w:type="dxa"/>
            <w:vAlign w:val="top"/>
          </w:tcPr>
          <w:p w14:paraId="323BDE27">
            <w:pPr>
              <w:rPr>
                <w:rFonts w:ascii="Arial"/>
                <w:sz w:val="21"/>
              </w:rPr>
            </w:pPr>
          </w:p>
        </w:tc>
      </w:tr>
      <w:tr w14:paraId="5FA888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7" w:hRule="atLeast"/>
        </w:trPr>
        <w:tc>
          <w:tcPr>
            <w:tcW w:w="725" w:type="dxa"/>
            <w:vAlign w:val="top"/>
          </w:tcPr>
          <w:p w14:paraId="55884D7C">
            <w:pPr>
              <w:pStyle w:val="11"/>
              <w:spacing w:before="137" w:line="182" w:lineRule="auto"/>
              <w:ind w:left="317"/>
            </w:pPr>
            <w:r>
              <w:t>2</w:t>
            </w:r>
          </w:p>
        </w:tc>
        <w:tc>
          <w:tcPr>
            <w:tcW w:w="2400" w:type="dxa"/>
            <w:vAlign w:val="top"/>
          </w:tcPr>
          <w:p w14:paraId="3D3EF370">
            <w:pPr>
              <w:pStyle w:val="11"/>
              <w:spacing w:before="102" w:line="221" w:lineRule="auto"/>
              <w:ind w:left="116"/>
            </w:pPr>
            <w:r>
              <w:rPr>
                <w:spacing w:val="-3"/>
              </w:rPr>
              <w:t>工期</w:t>
            </w:r>
          </w:p>
        </w:tc>
        <w:tc>
          <w:tcPr>
            <w:tcW w:w="1315" w:type="dxa"/>
            <w:vAlign w:val="top"/>
          </w:tcPr>
          <w:p w14:paraId="5460A358">
            <w:pPr>
              <w:pStyle w:val="11"/>
              <w:spacing w:before="165" w:line="183" w:lineRule="auto"/>
              <w:ind w:left="308"/>
            </w:pPr>
            <w:r>
              <w:fldChar w:fldCharType="begin"/>
            </w:r>
            <w:r>
              <w:instrText xml:space="preserve"> HYPERLINK "1.1.4.3" </w:instrText>
            </w:r>
            <w:r>
              <w:fldChar w:fldCharType="separate"/>
            </w:r>
            <w:r>
              <w:rPr>
                <w:spacing w:val="-3"/>
              </w:rPr>
              <w:t>1.1.4.3</w:t>
            </w:r>
            <w:r>
              <w:rPr>
                <w:spacing w:val="-3"/>
              </w:rPr>
              <w:fldChar w:fldCharType="end"/>
            </w:r>
          </w:p>
        </w:tc>
        <w:tc>
          <w:tcPr>
            <w:tcW w:w="3786" w:type="dxa"/>
            <w:vAlign w:val="top"/>
          </w:tcPr>
          <w:p w14:paraId="22FE751F">
            <w:pPr>
              <w:pStyle w:val="11"/>
              <w:spacing w:before="101" w:line="221" w:lineRule="auto"/>
              <w:ind w:left="117"/>
            </w:pPr>
            <w:r>
              <w:rPr>
                <w:spacing w:val="-5"/>
              </w:rPr>
              <w:t>（见投标函）</w:t>
            </w:r>
          </w:p>
        </w:tc>
        <w:tc>
          <w:tcPr>
            <w:tcW w:w="729" w:type="dxa"/>
            <w:vAlign w:val="top"/>
          </w:tcPr>
          <w:p w14:paraId="0952B626">
            <w:pPr>
              <w:rPr>
                <w:rFonts w:ascii="Arial"/>
                <w:sz w:val="21"/>
              </w:rPr>
            </w:pPr>
          </w:p>
        </w:tc>
      </w:tr>
      <w:tr w14:paraId="6D0CB5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2" w:hRule="atLeast"/>
        </w:trPr>
        <w:tc>
          <w:tcPr>
            <w:tcW w:w="725" w:type="dxa"/>
            <w:vAlign w:val="top"/>
          </w:tcPr>
          <w:p w14:paraId="4B7E81DA">
            <w:pPr>
              <w:pStyle w:val="11"/>
              <w:spacing w:before="137" w:line="182" w:lineRule="auto"/>
              <w:ind w:left="319"/>
            </w:pPr>
            <w:r>
              <w:t>3</w:t>
            </w:r>
          </w:p>
        </w:tc>
        <w:tc>
          <w:tcPr>
            <w:tcW w:w="2400" w:type="dxa"/>
            <w:vAlign w:val="top"/>
          </w:tcPr>
          <w:p w14:paraId="09C4BF17">
            <w:pPr>
              <w:pStyle w:val="11"/>
              <w:spacing w:before="101" w:line="221" w:lineRule="auto"/>
              <w:ind w:left="113"/>
            </w:pPr>
            <w:r>
              <w:rPr>
                <w:spacing w:val="-1"/>
              </w:rPr>
              <w:t>缺陷责任期</w:t>
            </w:r>
          </w:p>
        </w:tc>
        <w:tc>
          <w:tcPr>
            <w:tcW w:w="1315" w:type="dxa"/>
            <w:vAlign w:val="top"/>
          </w:tcPr>
          <w:p w14:paraId="0C246012">
            <w:pPr>
              <w:pStyle w:val="11"/>
              <w:spacing w:before="160" w:line="183" w:lineRule="auto"/>
              <w:ind w:left="336"/>
            </w:pPr>
            <w:r>
              <w:fldChar w:fldCharType="begin"/>
            </w:r>
            <w:r>
              <w:instrText xml:space="preserve"> HYPERLINK "1.1.4.4" </w:instrText>
            </w:r>
            <w:r>
              <w:fldChar w:fldCharType="separate"/>
            </w:r>
            <w:r>
              <w:rPr>
                <w:spacing w:val="-3"/>
              </w:rPr>
              <w:t>1.1.4.4</w:t>
            </w:r>
            <w:r>
              <w:rPr>
                <w:spacing w:val="-3"/>
              </w:rPr>
              <w:fldChar w:fldCharType="end"/>
            </w:r>
          </w:p>
        </w:tc>
        <w:tc>
          <w:tcPr>
            <w:tcW w:w="3786" w:type="dxa"/>
            <w:vAlign w:val="top"/>
          </w:tcPr>
          <w:p w14:paraId="2E0436A7">
            <w:pPr>
              <w:rPr>
                <w:rFonts w:ascii="Arial"/>
                <w:sz w:val="21"/>
              </w:rPr>
            </w:pPr>
          </w:p>
        </w:tc>
        <w:tc>
          <w:tcPr>
            <w:tcW w:w="729" w:type="dxa"/>
            <w:vAlign w:val="top"/>
          </w:tcPr>
          <w:p w14:paraId="163B2FC0">
            <w:pPr>
              <w:rPr>
                <w:rFonts w:ascii="Arial"/>
                <w:sz w:val="21"/>
              </w:rPr>
            </w:pPr>
          </w:p>
        </w:tc>
      </w:tr>
      <w:tr w14:paraId="43FD77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725" w:type="dxa"/>
            <w:vAlign w:val="top"/>
          </w:tcPr>
          <w:p w14:paraId="7D341B84">
            <w:pPr>
              <w:pStyle w:val="11"/>
              <w:spacing w:before="210" w:line="182" w:lineRule="auto"/>
              <w:ind w:left="314"/>
            </w:pPr>
            <w:r>
              <w:t>4</w:t>
            </w:r>
          </w:p>
        </w:tc>
        <w:tc>
          <w:tcPr>
            <w:tcW w:w="2400" w:type="dxa"/>
            <w:vAlign w:val="top"/>
          </w:tcPr>
          <w:p w14:paraId="61A8EAC0">
            <w:pPr>
              <w:pStyle w:val="11"/>
              <w:spacing w:before="40" w:line="229" w:lineRule="auto"/>
              <w:ind w:left="113" w:right="102" w:firstLine="4"/>
            </w:pPr>
            <w:r>
              <w:rPr>
                <w:spacing w:val="7"/>
              </w:rPr>
              <w:t>项目经理每月在施工现</w:t>
            </w:r>
            <w:r>
              <w:rPr>
                <w:spacing w:val="3"/>
              </w:rPr>
              <w:t xml:space="preserve"> </w:t>
            </w:r>
            <w:r>
              <w:rPr>
                <w:spacing w:val="-1"/>
              </w:rPr>
              <w:t>场的时间</w:t>
            </w:r>
          </w:p>
        </w:tc>
        <w:tc>
          <w:tcPr>
            <w:tcW w:w="1315" w:type="dxa"/>
            <w:vAlign w:val="top"/>
          </w:tcPr>
          <w:p w14:paraId="5BF337B2">
            <w:pPr>
              <w:pStyle w:val="11"/>
              <w:spacing w:before="233" w:line="183" w:lineRule="auto"/>
              <w:ind w:left="431"/>
            </w:pPr>
            <w:r>
              <w:rPr>
                <w:spacing w:val="-2"/>
              </w:rPr>
              <w:t>3.2.1</w:t>
            </w:r>
          </w:p>
        </w:tc>
        <w:tc>
          <w:tcPr>
            <w:tcW w:w="3786" w:type="dxa"/>
            <w:vAlign w:val="top"/>
          </w:tcPr>
          <w:p w14:paraId="713AE91A">
            <w:pPr>
              <w:rPr>
                <w:rFonts w:ascii="Arial"/>
                <w:sz w:val="21"/>
              </w:rPr>
            </w:pPr>
          </w:p>
        </w:tc>
        <w:tc>
          <w:tcPr>
            <w:tcW w:w="729" w:type="dxa"/>
            <w:vAlign w:val="top"/>
          </w:tcPr>
          <w:p w14:paraId="261ED6F4">
            <w:pPr>
              <w:rPr>
                <w:rFonts w:ascii="Arial"/>
                <w:sz w:val="21"/>
              </w:rPr>
            </w:pPr>
          </w:p>
        </w:tc>
      </w:tr>
      <w:tr w14:paraId="529D8B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725" w:type="dxa"/>
            <w:vAlign w:val="top"/>
          </w:tcPr>
          <w:p w14:paraId="7D63B285">
            <w:pPr>
              <w:pStyle w:val="11"/>
              <w:spacing w:before="211" w:line="181" w:lineRule="auto"/>
              <w:ind w:left="319"/>
            </w:pPr>
            <w:r>
              <w:t>5</w:t>
            </w:r>
          </w:p>
        </w:tc>
        <w:tc>
          <w:tcPr>
            <w:tcW w:w="2400" w:type="dxa"/>
            <w:vAlign w:val="top"/>
          </w:tcPr>
          <w:p w14:paraId="3DB7CA9B">
            <w:pPr>
              <w:pStyle w:val="11"/>
              <w:spacing w:before="40" w:line="229" w:lineRule="auto"/>
              <w:ind w:left="115" w:right="102" w:firstLine="1"/>
            </w:pPr>
            <w:r>
              <w:rPr>
                <w:spacing w:val="7"/>
              </w:rPr>
              <w:t>项目经理擅自离开施工</w:t>
            </w:r>
            <w:r>
              <w:rPr>
                <w:spacing w:val="3"/>
              </w:rPr>
              <w:t xml:space="preserve"> </w:t>
            </w:r>
            <w:r>
              <w:rPr>
                <w:spacing w:val="-1"/>
              </w:rPr>
              <w:t>现场的违约责任</w:t>
            </w:r>
          </w:p>
        </w:tc>
        <w:tc>
          <w:tcPr>
            <w:tcW w:w="1315" w:type="dxa"/>
            <w:vAlign w:val="top"/>
          </w:tcPr>
          <w:p w14:paraId="2C14D76D">
            <w:pPr>
              <w:pStyle w:val="11"/>
              <w:spacing w:before="233" w:line="183" w:lineRule="auto"/>
              <w:ind w:left="431"/>
            </w:pPr>
            <w:r>
              <w:rPr>
                <w:spacing w:val="-2"/>
              </w:rPr>
              <w:t>3.2.1</w:t>
            </w:r>
          </w:p>
        </w:tc>
        <w:tc>
          <w:tcPr>
            <w:tcW w:w="3786" w:type="dxa"/>
            <w:vAlign w:val="top"/>
          </w:tcPr>
          <w:p w14:paraId="465D8B0F">
            <w:pPr>
              <w:rPr>
                <w:rFonts w:ascii="Arial"/>
                <w:sz w:val="21"/>
              </w:rPr>
            </w:pPr>
          </w:p>
        </w:tc>
        <w:tc>
          <w:tcPr>
            <w:tcW w:w="729" w:type="dxa"/>
            <w:vAlign w:val="top"/>
          </w:tcPr>
          <w:p w14:paraId="0DD33BD0">
            <w:pPr>
              <w:rPr>
                <w:rFonts w:ascii="Arial"/>
                <w:sz w:val="21"/>
              </w:rPr>
            </w:pPr>
          </w:p>
        </w:tc>
      </w:tr>
      <w:tr w14:paraId="76C09B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725" w:type="dxa"/>
            <w:vAlign w:val="top"/>
          </w:tcPr>
          <w:p w14:paraId="4066856E">
            <w:pPr>
              <w:pStyle w:val="11"/>
              <w:spacing w:before="215" w:line="182" w:lineRule="auto"/>
              <w:ind w:left="316"/>
            </w:pPr>
            <w:r>
              <w:t>6</w:t>
            </w:r>
          </w:p>
        </w:tc>
        <w:tc>
          <w:tcPr>
            <w:tcW w:w="2400" w:type="dxa"/>
            <w:vAlign w:val="top"/>
          </w:tcPr>
          <w:p w14:paraId="1EE38242">
            <w:pPr>
              <w:pStyle w:val="11"/>
              <w:spacing w:before="40" w:line="229" w:lineRule="auto"/>
              <w:ind w:left="118" w:right="102" w:hanging="4"/>
            </w:pPr>
            <w:r>
              <w:rPr>
                <w:spacing w:val="7"/>
              </w:rPr>
              <w:t>擅自更换项目经理的违</w:t>
            </w:r>
            <w:r>
              <w:rPr>
                <w:spacing w:val="6"/>
              </w:rPr>
              <w:t xml:space="preserve"> </w:t>
            </w:r>
            <w:r>
              <w:rPr>
                <w:spacing w:val="-3"/>
              </w:rPr>
              <w:t>约责任</w:t>
            </w:r>
          </w:p>
        </w:tc>
        <w:tc>
          <w:tcPr>
            <w:tcW w:w="1315" w:type="dxa"/>
            <w:vAlign w:val="top"/>
          </w:tcPr>
          <w:p w14:paraId="3642F714">
            <w:pPr>
              <w:pStyle w:val="11"/>
              <w:spacing w:before="239" w:line="182" w:lineRule="auto"/>
              <w:ind w:left="431"/>
            </w:pPr>
            <w:r>
              <w:rPr>
                <w:spacing w:val="-2"/>
              </w:rPr>
              <w:t>3.2.3</w:t>
            </w:r>
          </w:p>
        </w:tc>
        <w:tc>
          <w:tcPr>
            <w:tcW w:w="3786" w:type="dxa"/>
            <w:vAlign w:val="top"/>
          </w:tcPr>
          <w:p w14:paraId="3FFD13F1">
            <w:pPr>
              <w:rPr>
                <w:rFonts w:ascii="Arial"/>
                <w:sz w:val="21"/>
              </w:rPr>
            </w:pPr>
          </w:p>
        </w:tc>
        <w:tc>
          <w:tcPr>
            <w:tcW w:w="729" w:type="dxa"/>
            <w:vAlign w:val="top"/>
          </w:tcPr>
          <w:p w14:paraId="779CBD9F">
            <w:pPr>
              <w:rPr>
                <w:rFonts w:ascii="Arial"/>
                <w:sz w:val="21"/>
              </w:rPr>
            </w:pPr>
          </w:p>
        </w:tc>
      </w:tr>
      <w:tr w14:paraId="7A3E91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6" w:hRule="atLeast"/>
        </w:trPr>
        <w:tc>
          <w:tcPr>
            <w:tcW w:w="725" w:type="dxa"/>
            <w:vAlign w:val="top"/>
          </w:tcPr>
          <w:p w14:paraId="5196B627">
            <w:pPr>
              <w:pStyle w:val="11"/>
              <w:spacing w:before="216" w:line="181" w:lineRule="auto"/>
              <w:ind w:left="320"/>
            </w:pPr>
            <w:r>
              <w:t>7</w:t>
            </w:r>
          </w:p>
        </w:tc>
        <w:tc>
          <w:tcPr>
            <w:tcW w:w="2400" w:type="dxa"/>
            <w:vAlign w:val="top"/>
          </w:tcPr>
          <w:p w14:paraId="00BCC1F7">
            <w:pPr>
              <w:pStyle w:val="11"/>
              <w:spacing w:before="40" w:line="231" w:lineRule="auto"/>
              <w:ind w:left="153" w:right="102" w:hanging="38"/>
            </w:pPr>
            <w:r>
              <w:rPr>
                <w:spacing w:val="7"/>
              </w:rPr>
              <w:t>无正当理由拒绝更换项</w:t>
            </w:r>
            <w:r>
              <w:rPr>
                <w:spacing w:val="5"/>
              </w:rPr>
              <w:t xml:space="preserve"> </w:t>
            </w:r>
            <w:r>
              <w:rPr>
                <w:spacing w:val="-6"/>
              </w:rPr>
              <w:t>目经理的违约责任</w:t>
            </w:r>
          </w:p>
        </w:tc>
        <w:tc>
          <w:tcPr>
            <w:tcW w:w="1315" w:type="dxa"/>
            <w:vAlign w:val="top"/>
          </w:tcPr>
          <w:p w14:paraId="21E34F7A">
            <w:pPr>
              <w:pStyle w:val="11"/>
              <w:spacing w:before="239" w:line="182" w:lineRule="auto"/>
              <w:ind w:left="431"/>
            </w:pPr>
            <w:r>
              <w:rPr>
                <w:spacing w:val="-2"/>
              </w:rPr>
              <w:t>3.2.4</w:t>
            </w:r>
          </w:p>
        </w:tc>
        <w:tc>
          <w:tcPr>
            <w:tcW w:w="3786" w:type="dxa"/>
            <w:vAlign w:val="top"/>
          </w:tcPr>
          <w:p w14:paraId="15DFDA14">
            <w:pPr>
              <w:rPr>
                <w:rFonts w:ascii="Arial"/>
                <w:sz w:val="21"/>
              </w:rPr>
            </w:pPr>
          </w:p>
        </w:tc>
        <w:tc>
          <w:tcPr>
            <w:tcW w:w="729" w:type="dxa"/>
            <w:vAlign w:val="top"/>
          </w:tcPr>
          <w:p w14:paraId="486E5FAA">
            <w:pPr>
              <w:rPr>
                <w:rFonts w:ascii="Arial"/>
                <w:sz w:val="21"/>
              </w:rPr>
            </w:pPr>
          </w:p>
        </w:tc>
      </w:tr>
      <w:tr w14:paraId="0D76BE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4" w:hRule="atLeast"/>
        </w:trPr>
        <w:tc>
          <w:tcPr>
            <w:tcW w:w="725" w:type="dxa"/>
            <w:vAlign w:val="top"/>
          </w:tcPr>
          <w:p w14:paraId="42C96FB8">
            <w:pPr>
              <w:pStyle w:val="11"/>
              <w:spacing w:before="119" w:line="182" w:lineRule="auto"/>
              <w:ind w:left="316"/>
            </w:pPr>
            <w:r>
              <w:t>8</w:t>
            </w:r>
          </w:p>
        </w:tc>
        <w:tc>
          <w:tcPr>
            <w:tcW w:w="2400" w:type="dxa"/>
            <w:vAlign w:val="top"/>
          </w:tcPr>
          <w:p w14:paraId="54877043">
            <w:pPr>
              <w:pStyle w:val="11"/>
              <w:spacing w:before="83" w:line="221" w:lineRule="auto"/>
              <w:ind w:left="113"/>
            </w:pPr>
            <w:r>
              <w:rPr>
                <w:spacing w:val="-1"/>
              </w:rPr>
              <w:t>承包人履约担保金额</w:t>
            </w:r>
          </w:p>
        </w:tc>
        <w:tc>
          <w:tcPr>
            <w:tcW w:w="1315" w:type="dxa"/>
            <w:vAlign w:val="top"/>
          </w:tcPr>
          <w:p w14:paraId="2C0580A3">
            <w:pPr>
              <w:pStyle w:val="11"/>
              <w:spacing w:before="119" w:line="182" w:lineRule="auto"/>
              <w:ind w:left="536"/>
            </w:pPr>
            <w:r>
              <w:rPr>
                <w:spacing w:val="-3"/>
              </w:rPr>
              <w:t>3.7</w:t>
            </w:r>
          </w:p>
        </w:tc>
        <w:tc>
          <w:tcPr>
            <w:tcW w:w="3786" w:type="dxa"/>
            <w:vAlign w:val="top"/>
          </w:tcPr>
          <w:p w14:paraId="284A2EE2">
            <w:pPr>
              <w:rPr>
                <w:rFonts w:ascii="Arial"/>
                <w:sz w:val="21"/>
              </w:rPr>
            </w:pPr>
          </w:p>
        </w:tc>
        <w:tc>
          <w:tcPr>
            <w:tcW w:w="729" w:type="dxa"/>
            <w:vAlign w:val="top"/>
          </w:tcPr>
          <w:p w14:paraId="70F624DC">
            <w:pPr>
              <w:rPr>
                <w:rFonts w:ascii="Arial"/>
                <w:sz w:val="21"/>
              </w:rPr>
            </w:pPr>
          </w:p>
        </w:tc>
      </w:tr>
      <w:tr w14:paraId="1AB08B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0" w:hRule="atLeast"/>
        </w:trPr>
        <w:tc>
          <w:tcPr>
            <w:tcW w:w="725" w:type="dxa"/>
            <w:vAlign w:val="top"/>
          </w:tcPr>
          <w:p w14:paraId="3915CA78">
            <w:pPr>
              <w:pStyle w:val="11"/>
              <w:spacing w:before="104" w:line="182" w:lineRule="auto"/>
              <w:ind w:left="316"/>
            </w:pPr>
            <w:r>
              <w:t>9</w:t>
            </w:r>
          </w:p>
        </w:tc>
        <w:tc>
          <w:tcPr>
            <w:tcW w:w="2400" w:type="dxa"/>
            <w:vAlign w:val="top"/>
          </w:tcPr>
          <w:p w14:paraId="75225CAE">
            <w:pPr>
              <w:pStyle w:val="11"/>
              <w:spacing w:before="69" w:line="221" w:lineRule="auto"/>
              <w:ind w:left="116"/>
            </w:pPr>
            <w:r>
              <w:rPr>
                <w:spacing w:val="-3"/>
              </w:rPr>
              <w:t>分包</w:t>
            </w:r>
          </w:p>
        </w:tc>
        <w:tc>
          <w:tcPr>
            <w:tcW w:w="1315" w:type="dxa"/>
            <w:vAlign w:val="top"/>
          </w:tcPr>
          <w:p w14:paraId="61A05344">
            <w:pPr>
              <w:pStyle w:val="11"/>
              <w:spacing w:before="104" w:line="182" w:lineRule="auto"/>
              <w:ind w:left="431"/>
            </w:pPr>
            <w:r>
              <w:rPr>
                <w:spacing w:val="-2"/>
              </w:rPr>
              <w:t>3.5.2</w:t>
            </w:r>
          </w:p>
        </w:tc>
        <w:tc>
          <w:tcPr>
            <w:tcW w:w="3786" w:type="dxa"/>
            <w:vAlign w:val="top"/>
          </w:tcPr>
          <w:p w14:paraId="4440F1D3">
            <w:pPr>
              <w:pStyle w:val="11"/>
              <w:spacing w:before="69" w:line="220" w:lineRule="auto"/>
              <w:ind w:left="114"/>
            </w:pPr>
            <w:r>
              <w:rPr>
                <w:spacing w:val="-1"/>
              </w:rPr>
              <w:t>见拟分包计划表</w:t>
            </w:r>
          </w:p>
        </w:tc>
        <w:tc>
          <w:tcPr>
            <w:tcW w:w="729" w:type="dxa"/>
            <w:vAlign w:val="top"/>
          </w:tcPr>
          <w:p w14:paraId="265F2388">
            <w:pPr>
              <w:rPr>
                <w:rFonts w:ascii="Arial"/>
                <w:sz w:val="21"/>
              </w:rPr>
            </w:pPr>
          </w:p>
        </w:tc>
      </w:tr>
      <w:tr w14:paraId="4049E4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7" w:hRule="atLeast"/>
        </w:trPr>
        <w:tc>
          <w:tcPr>
            <w:tcW w:w="725" w:type="dxa"/>
            <w:vAlign w:val="top"/>
          </w:tcPr>
          <w:p w14:paraId="32D80E8E">
            <w:pPr>
              <w:pStyle w:val="11"/>
              <w:spacing w:before="137" w:line="183" w:lineRule="auto"/>
              <w:ind w:left="278"/>
            </w:pPr>
            <w:r>
              <w:rPr>
                <w:spacing w:val="-6"/>
              </w:rPr>
              <w:t>10</w:t>
            </w:r>
          </w:p>
        </w:tc>
        <w:tc>
          <w:tcPr>
            <w:tcW w:w="2400" w:type="dxa"/>
            <w:vAlign w:val="top"/>
          </w:tcPr>
          <w:p w14:paraId="398A0EB5">
            <w:pPr>
              <w:pStyle w:val="11"/>
              <w:spacing w:before="102" w:line="221" w:lineRule="auto"/>
              <w:ind w:left="112"/>
            </w:pPr>
            <w:r>
              <w:rPr>
                <w:spacing w:val="-1"/>
              </w:rPr>
              <w:t>逾期竣工违约金</w:t>
            </w:r>
          </w:p>
        </w:tc>
        <w:tc>
          <w:tcPr>
            <w:tcW w:w="1315" w:type="dxa"/>
            <w:vAlign w:val="top"/>
          </w:tcPr>
          <w:p w14:paraId="3D54F293">
            <w:pPr>
              <w:pStyle w:val="11"/>
              <w:spacing w:before="138" w:line="182" w:lineRule="auto"/>
              <w:ind w:left="432"/>
            </w:pPr>
            <w:r>
              <w:rPr>
                <w:spacing w:val="-2"/>
              </w:rPr>
              <w:t>7.5.2</w:t>
            </w:r>
          </w:p>
        </w:tc>
        <w:tc>
          <w:tcPr>
            <w:tcW w:w="3786" w:type="dxa"/>
            <w:vAlign w:val="top"/>
          </w:tcPr>
          <w:p w14:paraId="01FBDE36">
            <w:pPr>
              <w:pStyle w:val="11"/>
              <w:tabs>
                <w:tab w:val="left" w:pos="1259"/>
              </w:tabs>
              <w:spacing w:before="103" w:line="221" w:lineRule="auto"/>
              <w:ind w:left="102"/>
            </w:pPr>
            <w:r>
              <w:rPr>
                <w:u w:val="single" w:color="auto"/>
              </w:rPr>
              <w:tab/>
            </w:r>
            <w:r>
              <w:rPr>
                <w:spacing w:val="-94"/>
              </w:rPr>
              <w:t xml:space="preserve"> </w:t>
            </w:r>
            <w:r>
              <w:rPr>
                <w:spacing w:val="-3"/>
              </w:rPr>
              <w:t>元/天</w:t>
            </w:r>
          </w:p>
        </w:tc>
        <w:tc>
          <w:tcPr>
            <w:tcW w:w="729" w:type="dxa"/>
            <w:vAlign w:val="top"/>
          </w:tcPr>
          <w:p w14:paraId="1BB41FE4">
            <w:pPr>
              <w:rPr>
                <w:rFonts w:ascii="Arial"/>
                <w:sz w:val="21"/>
              </w:rPr>
            </w:pPr>
          </w:p>
        </w:tc>
      </w:tr>
      <w:tr w14:paraId="0DB3FD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2" w:hRule="atLeast"/>
        </w:trPr>
        <w:tc>
          <w:tcPr>
            <w:tcW w:w="725" w:type="dxa"/>
            <w:vAlign w:val="top"/>
          </w:tcPr>
          <w:p w14:paraId="2B1F9E1D">
            <w:pPr>
              <w:pStyle w:val="11"/>
              <w:spacing w:before="137" w:line="183" w:lineRule="auto"/>
              <w:ind w:left="278"/>
            </w:pPr>
            <w:r>
              <w:rPr>
                <w:spacing w:val="-6"/>
              </w:rPr>
              <w:t>11</w:t>
            </w:r>
          </w:p>
        </w:tc>
        <w:tc>
          <w:tcPr>
            <w:tcW w:w="2400" w:type="dxa"/>
            <w:vAlign w:val="top"/>
          </w:tcPr>
          <w:p w14:paraId="6DDD3184">
            <w:pPr>
              <w:pStyle w:val="11"/>
              <w:spacing w:before="102" w:line="221" w:lineRule="auto"/>
              <w:ind w:left="112"/>
            </w:pPr>
            <w:r>
              <w:rPr>
                <w:spacing w:val="-1"/>
              </w:rPr>
              <w:t>逾期竣工违约金的上限</w:t>
            </w:r>
          </w:p>
        </w:tc>
        <w:tc>
          <w:tcPr>
            <w:tcW w:w="1315" w:type="dxa"/>
            <w:vAlign w:val="top"/>
          </w:tcPr>
          <w:p w14:paraId="1399B718">
            <w:pPr>
              <w:pStyle w:val="11"/>
              <w:spacing w:before="138" w:line="182" w:lineRule="auto"/>
              <w:ind w:left="432"/>
            </w:pPr>
            <w:r>
              <w:rPr>
                <w:spacing w:val="-2"/>
              </w:rPr>
              <w:t>7.5.2</w:t>
            </w:r>
          </w:p>
        </w:tc>
        <w:tc>
          <w:tcPr>
            <w:tcW w:w="3786" w:type="dxa"/>
            <w:vAlign w:val="top"/>
          </w:tcPr>
          <w:p w14:paraId="3781163F">
            <w:pPr>
              <w:rPr>
                <w:rFonts w:ascii="Arial"/>
                <w:sz w:val="21"/>
              </w:rPr>
            </w:pPr>
            <w:r>
              <w:pict>
                <v:rect id="_x0000_s1110" o:spid="_x0000_s1110" o:spt="1" style="position:absolute;left:0pt;margin-left:5.3pt;margin-top:15.9pt;height:0.5pt;width:68.2pt;mso-position-horizontal-relative:page;mso-position-vertical-relative:page;z-index:251719680;mso-width-relative:page;mso-height-relative:page;" fillcolor="#000000" filled="t" stroked="f" coordsize="21600,21600">
                  <v:path/>
                  <v:fill on="t" focussize="0,0"/>
                  <v:stroke on="f"/>
                  <v:imagedata o:title=""/>
                  <o:lock v:ext="edit"/>
                </v:rect>
              </w:pict>
            </w:r>
          </w:p>
        </w:tc>
        <w:tc>
          <w:tcPr>
            <w:tcW w:w="729" w:type="dxa"/>
            <w:vAlign w:val="top"/>
          </w:tcPr>
          <w:p w14:paraId="3C47C94D">
            <w:pPr>
              <w:rPr>
                <w:rFonts w:ascii="Arial"/>
                <w:sz w:val="21"/>
              </w:rPr>
            </w:pPr>
          </w:p>
        </w:tc>
      </w:tr>
      <w:tr w14:paraId="402BEB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5" w:hRule="atLeast"/>
        </w:trPr>
        <w:tc>
          <w:tcPr>
            <w:tcW w:w="725" w:type="dxa"/>
            <w:vAlign w:val="top"/>
          </w:tcPr>
          <w:p w14:paraId="6651D180">
            <w:pPr>
              <w:pStyle w:val="11"/>
              <w:spacing w:before="214" w:line="183" w:lineRule="auto"/>
              <w:ind w:left="278"/>
            </w:pPr>
            <w:r>
              <w:rPr>
                <w:spacing w:val="-6"/>
              </w:rPr>
              <w:t>12</w:t>
            </w:r>
          </w:p>
        </w:tc>
        <w:tc>
          <w:tcPr>
            <w:tcW w:w="2400" w:type="dxa"/>
            <w:vAlign w:val="top"/>
          </w:tcPr>
          <w:p w14:paraId="6070CDDB">
            <w:pPr>
              <w:pStyle w:val="11"/>
              <w:spacing w:before="180" w:line="219" w:lineRule="auto"/>
              <w:ind w:left="114"/>
            </w:pPr>
            <w:r>
              <w:rPr>
                <w:spacing w:val="-1"/>
              </w:rPr>
              <w:t>价格调整的差额计算</w:t>
            </w:r>
          </w:p>
        </w:tc>
        <w:tc>
          <w:tcPr>
            <w:tcW w:w="1315" w:type="dxa"/>
            <w:vAlign w:val="top"/>
          </w:tcPr>
          <w:p w14:paraId="7004A82C">
            <w:pPr>
              <w:pStyle w:val="11"/>
              <w:spacing w:before="214" w:line="183" w:lineRule="auto"/>
              <w:ind w:left="495"/>
            </w:pPr>
            <w:r>
              <w:rPr>
                <w:spacing w:val="-5"/>
              </w:rPr>
              <w:t>11.1</w:t>
            </w:r>
          </w:p>
        </w:tc>
        <w:tc>
          <w:tcPr>
            <w:tcW w:w="3786" w:type="dxa"/>
            <w:vAlign w:val="top"/>
          </w:tcPr>
          <w:p w14:paraId="109B99BC">
            <w:pPr>
              <w:pStyle w:val="11"/>
              <w:spacing w:before="46" w:line="228" w:lineRule="auto"/>
              <w:ind w:left="112" w:right="101" w:hanging="3"/>
            </w:pPr>
            <w:r>
              <w:rPr>
                <w:spacing w:val="-6"/>
              </w:rPr>
              <w:t>采用价格指数进行价格调整时， 见价格</w:t>
            </w:r>
            <w:r>
              <w:rPr>
                <w:spacing w:val="1"/>
              </w:rPr>
              <w:t xml:space="preserve"> </w:t>
            </w:r>
            <w:r>
              <w:rPr>
                <w:spacing w:val="-1"/>
              </w:rPr>
              <w:t>指数权重表</w:t>
            </w:r>
          </w:p>
        </w:tc>
        <w:tc>
          <w:tcPr>
            <w:tcW w:w="729" w:type="dxa"/>
            <w:vAlign w:val="top"/>
          </w:tcPr>
          <w:p w14:paraId="7C1085D2">
            <w:pPr>
              <w:rPr>
                <w:rFonts w:ascii="Arial"/>
                <w:sz w:val="21"/>
              </w:rPr>
            </w:pPr>
          </w:p>
        </w:tc>
      </w:tr>
      <w:tr w14:paraId="3014AE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6" w:hRule="atLeast"/>
        </w:trPr>
        <w:tc>
          <w:tcPr>
            <w:tcW w:w="725" w:type="dxa"/>
            <w:vAlign w:val="top"/>
          </w:tcPr>
          <w:p w14:paraId="554B2E20">
            <w:pPr>
              <w:pStyle w:val="11"/>
              <w:spacing w:before="148" w:line="183" w:lineRule="auto"/>
              <w:ind w:left="278"/>
            </w:pPr>
            <w:r>
              <w:rPr>
                <w:spacing w:val="-6"/>
              </w:rPr>
              <w:t>13</w:t>
            </w:r>
          </w:p>
        </w:tc>
        <w:tc>
          <w:tcPr>
            <w:tcW w:w="2400" w:type="dxa"/>
            <w:vAlign w:val="top"/>
          </w:tcPr>
          <w:p w14:paraId="016EBC96">
            <w:pPr>
              <w:pStyle w:val="11"/>
              <w:spacing w:before="113" w:line="221" w:lineRule="auto"/>
              <w:ind w:left="115"/>
            </w:pPr>
            <w:r>
              <w:rPr>
                <w:spacing w:val="-1"/>
              </w:rPr>
              <w:t>预付款支付比例或金额</w:t>
            </w:r>
          </w:p>
        </w:tc>
        <w:tc>
          <w:tcPr>
            <w:tcW w:w="1315" w:type="dxa"/>
            <w:vAlign w:val="top"/>
          </w:tcPr>
          <w:p w14:paraId="5EFCC96F">
            <w:pPr>
              <w:pStyle w:val="11"/>
              <w:spacing w:before="148" w:line="183" w:lineRule="auto"/>
              <w:ind w:left="389"/>
            </w:pPr>
            <w:r>
              <w:rPr>
                <w:spacing w:val="-3"/>
              </w:rPr>
              <w:t>12.2.1</w:t>
            </w:r>
          </w:p>
        </w:tc>
        <w:tc>
          <w:tcPr>
            <w:tcW w:w="3786" w:type="dxa"/>
            <w:vAlign w:val="top"/>
          </w:tcPr>
          <w:p w14:paraId="1E8E686A">
            <w:pPr>
              <w:rPr>
                <w:rFonts w:ascii="Arial"/>
                <w:sz w:val="21"/>
              </w:rPr>
            </w:pPr>
          </w:p>
        </w:tc>
        <w:tc>
          <w:tcPr>
            <w:tcW w:w="729" w:type="dxa"/>
            <w:vAlign w:val="top"/>
          </w:tcPr>
          <w:p w14:paraId="5A373F26">
            <w:pPr>
              <w:rPr>
                <w:rFonts w:ascii="Arial"/>
                <w:sz w:val="21"/>
              </w:rPr>
            </w:pPr>
          </w:p>
        </w:tc>
      </w:tr>
      <w:tr w14:paraId="1808CE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1" w:hRule="atLeast"/>
        </w:trPr>
        <w:tc>
          <w:tcPr>
            <w:tcW w:w="725" w:type="dxa"/>
            <w:vAlign w:val="top"/>
          </w:tcPr>
          <w:p w14:paraId="7BA1AB14">
            <w:pPr>
              <w:pStyle w:val="11"/>
              <w:spacing w:before="181" w:line="183" w:lineRule="auto"/>
              <w:ind w:left="278"/>
            </w:pPr>
            <w:r>
              <w:rPr>
                <w:spacing w:val="-6"/>
              </w:rPr>
              <w:t>14</w:t>
            </w:r>
          </w:p>
        </w:tc>
        <w:tc>
          <w:tcPr>
            <w:tcW w:w="2400" w:type="dxa"/>
            <w:vAlign w:val="top"/>
          </w:tcPr>
          <w:p w14:paraId="041E6969">
            <w:pPr>
              <w:pStyle w:val="11"/>
              <w:spacing w:before="113" w:line="221" w:lineRule="auto"/>
              <w:ind w:left="114"/>
            </w:pPr>
            <w:r>
              <w:rPr>
                <w:spacing w:val="-1"/>
              </w:rPr>
              <w:t>质量保证金额度</w:t>
            </w:r>
          </w:p>
        </w:tc>
        <w:tc>
          <w:tcPr>
            <w:tcW w:w="1315" w:type="dxa"/>
            <w:vAlign w:val="top"/>
          </w:tcPr>
          <w:p w14:paraId="14FFD161">
            <w:pPr>
              <w:pStyle w:val="11"/>
              <w:spacing w:before="148" w:line="183" w:lineRule="auto"/>
              <w:ind w:left="389"/>
            </w:pPr>
            <w:r>
              <w:rPr>
                <w:spacing w:val="-3"/>
              </w:rPr>
              <w:t>15.3.1</w:t>
            </w:r>
          </w:p>
        </w:tc>
        <w:tc>
          <w:tcPr>
            <w:tcW w:w="3786" w:type="dxa"/>
            <w:vAlign w:val="top"/>
          </w:tcPr>
          <w:p w14:paraId="56DCA917">
            <w:pPr>
              <w:rPr>
                <w:rFonts w:ascii="Arial"/>
                <w:sz w:val="21"/>
              </w:rPr>
            </w:pPr>
          </w:p>
        </w:tc>
        <w:tc>
          <w:tcPr>
            <w:tcW w:w="729" w:type="dxa"/>
            <w:vAlign w:val="top"/>
          </w:tcPr>
          <w:p w14:paraId="2F1EE82C">
            <w:pPr>
              <w:rPr>
                <w:rFonts w:ascii="Arial"/>
                <w:sz w:val="21"/>
              </w:rPr>
            </w:pPr>
          </w:p>
        </w:tc>
      </w:tr>
      <w:tr w14:paraId="5BA34F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2" w:hRule="atLeast"/>
        </w:trPr>
        <w:tc>
          <w:tcPr>
            <w:tcW w:w="725" w:type="dxa"/>
            <w:vAlign w:val="top"/>
          </w:tcPr>
          <w:p w14:paraId="7F501DB1">
            <w:pPr>
              <w:pStyle w:val="11"/>
              <w:spacing w:before="139" w:line="183" w:lineRule="auto"/>
              <w:ind w:left="278"/>
            </w:pPr>
            <w:r>
              <w:rPr>
                <w:spacing w:val="-6"/>
              </w:rPr>
              <w:t>15</w:t>
            </w:r>
          </w:p>
        </w:tc>
        <w:tc>
          <w:tcPr>
            <w:tcW w:w="2400" w:type="dxa"/>
            <w:vAlign w:val="top"/>
          </w:tcPr>
          <w:p w14:paraId="0ECD28A1">
            <w:pPr>
              <w:pStyle w:val="11"/>
              <w:spacing w:before="105" w:line="221" w:lineRule="auto"/>
              <w:ind w:left="114"/>
            </w:pPr>
            <w:r>
              <w:rPr>
                <w:spacing w:val="-1"/>
              </w:rPr>
              <w:t>质量保证金的扣留方式</w:t>
            </w:r>
          </w:p>
        </w:tc>
        <w:tc>
          <w:tcPr>
            <w:tcW w:w="1315" w:type="dxa"/>
            <w:vAlign w:val="top"/>
          </w:tcPr>
          <w:p w14:paraId="20FBC0D7">
            <w:pPr>
              <w:pStyle w:val="11"/>
              <w:spacing w:before="139" w:line="183" w:lineRule="auto"/>
              <w:ind w:left="389"/>
            </w:pPr>
            <w:r>
              <w:rPr>
                <w:spacing w:val="-3"/>
              </w:rPr>
              <w:t>15.3.2</w:t>
            </w:r>
          </w:p>
        </w:tc>
        <w:tc>
          <w:tcPr>
            <w:tcW w:w="3786" w:type="dxa"/>
            <w:vAlign w:val="top"/>
          </w:tcPr>
          <w:p w14:paraId="125383CF">
            <w:pPr>
              <w:rPr>
                <w:rFonts w:ascii="Arial"/>
                <w:sz w:val="21"/>
              </w:rPr>
            </w:pPr>
          </w:p>
        </w:tc>
        <w:tc>
          <w:tcPr>
            <w:tcW w:w="729" w:type="dxa"/>
            <w:vAlign w:val="top"/>
          </w:tcPr>
          <w:p w14:paraId="1737CB97">
            <w:pPr>
              <w:rPr>
                <w:rFonts w:ascii="Arial"/>
                <w:sz w:val="21"/>
              </w:rPr>
            </w:pPr>
          </w:p>
        </w:tc>
      </w:tr>
      <w:tr w14:paraId="26A30D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7" w:hRule="atLeast"/>
        </w:trPr>
        <w:tc>
          <w:tcPr>
            <w:tcW w:w="725" w:type="dxa"/>
            <w:vAlign w:val="top"/>
          </w:tcPr>
          <w:p w14:paraId="2A59CB7A">
            <w:pPr>
              <w:pStyle w:val="11"/>
              <w:spacing w:before="231" w:line="183" w:lineRule="auto"/>
              <w:ind w:left="278"/>
            </w:pPr>
            <w:r>
              <w:rPr>
                <w:spacing w:val="-6"/>
              </w:rPr>
              <w:t>16</w:t>
            </w:r>
          </w:p>
        </w:tc>
        <w:tc>
          <w:tcPr>
            <w:tcW w:w="2400" w:type="dxa"/>
            <w:vAlign w:val="top"/>
          </w:tcPr>
          <w:p w14:paraId="27BD4D24">
            <w:pPr>
              <w:pStyle w:val="11"/>
              <w:spacing w:before="196" w:line="221" w:lineRule="auto"/>
              <w:ind w:left="114"/>
            </w:pPr>
            <w:r>
              <w:rPr>
                <w:spacing w:val="-1"/>
              </w:rPr>
              <w:t>技术标准和要求</w:t>
            </w:r>
          </w:p>
        </w:tc>
        <w:tc>
          <w:tcPr>
            <w:tcW w:w="1315" w:type="dxa"/>
            <w:vAlign w:val="top"/>
          </w:tcPr>
          <w:p w14:paraId="6846BC46">
            <w:pPr>
              <w:rPr>
                <w:rFonts w:ascii="Arial"/>
                <w:sz w:val="21"/>
              </w:rPr>
            </w:pPr>
          </w:p>
        </w:tc>
        <w:tc>
          <w:tcPr>
            <w:tcW w:w="3786" w:type="dxa"/>
            <w:vAlign w:val="top"/>
          </w:tcPr>
          <w:p w14:paraId="5814E657">
            <w:pPr>
              <w:pStyle w:val="11"/>
              <w:spacing w:before="196" w:line="220" w:lineRule="auto"/>
              <w:ind w:left="112"/>
            </w:pPr>
            <w:r>
              <w:rPr>
                <w:spacing w:val="-1"/>
              </w:rPr>
              <w:t>符合第七章“技术标准和要求”规定</w:t>
            </w:r>
          </w:p>
        </w:tc>
        <w:tc>
          <w:tcPr>
            <w:tcW w:w="729" w:type="dxa"/>
            <w:vAlign w:val="top"/>
          </w:tcPr>
          <w:p w14:paraId="2542F92D">
            <w:pPr>
              <w:rPr>
                <w:rFonts w:ascii="Arial"/>
                <w:sz w:val="21"/>
              </w:rPr>
            </w:pPr>
          </w:p>
        </w:tc>
      </w:tr>
      <w:tr w14:paraId="73CEB1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9" w:hRule="atLeast"/>
        </w:trPr>
        <w:tc>
          <w:tcPr>
            <w:tcW w:w="8955" w:type="dxa"/>
            <w:gridSpan w:val="5"/>
            <w:vAlign w:val="top"/>
          </w:tcPr>
          <w:p w14:paraId="4EF21C12">
            <w:pPr>
              <w:pStyle w:val="11"/>
              <w:spacing w:before="116" w:line="230" w:lineRule="auto"/>
              <w:ind w:left="134" w:right="106" w:hanging="14"/>
            </w:pPr>
            <w:r>
              <w:t>备注： 投标人在响应招标文件中规定的实质性要求和条件的基础上，可做出其他有利于招标人</w:t>
            </w:r>
            <w:r>
              <w:rPr>
                <w:spacing w:val="6"/>
              </w:rPr>
              <w:t xml:space="preserve"> </w:t>
            </w:r>
            <w:r>
              <w:rPr>
                <w:spacing w:val="-3"/>
              </w:rPr>
              <w:t>的承诺。此类承诺可在本表中予以补充填写。</w:t>
            </w:r>
          </w:p>
        </w:tc>
      </w:tr>
    </w:tbl>
    <w:p w14:paraId="6D5AEC11">
      <w:pPr>
        <w:pStyle w:val="3"/>
        <w:spacing w:line="269" w:lineRule="auto"/>
      </w:pPr>
    </w:p>
    <w:p w14:paraId="4FDED1A1">
      <w:pPr>
        <w:pStyle w:val="3"/>
        <w:spacing w:line="270" w:lineRule="auto"/>
      </w:pPr>
    </w:p>
    <w:p w14:paraId="46EDE9D7">
      <w:pPr>
        <w:spacing w:before="69" w:line="388" w:lineRule="auto"/>
        <w:ind w:left="4010"/>
        <w:rPr>
          <w:rFonts w:ascii="宋体" w:hAnsi="宋体" w:eastAsia="宋体" w:cs="宋体"/>
          <w:sz w:val="21"/>
          <w:szCs w:val="21"/>
        </w:rPr>
      </w:pPr>
      <w:r>
        <w:rPr>
          <w:rFonts w:ascii="宋体" w:hAnsi="宋体" w:eastAsia="宋体" w:cs="宋体"/>
          <w:spacing w:val="-22"/>
          <w:sz w:val="21"/>
          <w:szCs w:val="21"/>
        </w:rPr>
        <w:t>投</w:t>
      </w:r>
      <w:r>
        <w:rPr>
          <w:rFonts w:ascii="宋体" w:hAnsi="宋体" w:eastAsia="宋体" w:cs="宋体"/>
          <w:spacing w:val="-43"/>
          <w:sz w:val="21"/>
          <w:szCs w:val="21"/>
        </w:rPr>
        <w:t xml:space="preserve"> </w:t>
      </w:r>
      <w:r>
        <w:rPr>
          <w:rFonts w:ascii="宋体" w:hAnsi="宋体" w:eastAsia="宋体" w:cs="宋体"/>
          <w:spacing w:val="-22"/>
          <w:sz w:val="21"/>
          <w:szCs w:val="21"/>
        </w:rPr>
        <w:t>标</w:t>
      </w:r>
      <w:r>
        <w:rPr>
          <w:rFonts w:ascii="宋体" w:hAnsi="宋体" w:eastAsia="宋体" w:cs="宋体"/>
          <w:spacing w:val="-43"/>
          <w:sz w:val="21"/>
          <w:szCs w:val="21"/>
        </w:rPr>
        <w:t xml:space="preserve"> </w:t>
      </w:r>
      <w:r>
        <w:rPr>
          <w:rFonts w:ascii="宋体" w:hAnsi="宋体" w:eastAsia="宋体" w:cs="宋体"/>
          <w:spacing w:val="-22"/>
          <w:sz w:val="21"/>
          <w:szCs w:val="21"/>
        </w:rPr>
        <w:t>人</w:t>
      </w:r>
      <w:r>
        <w:rPr>
          <w:rFonts w:ascii="宋体" w:hAnsi="宋体" w:eastAsia="宋体" w:cs="宋体"/>
          <w:sz w:val="21"/>
          <w:szCs w:val="21"/>
        </w:rPr>
        <w:t>：</w:t>
      </w:r>
      <w:r>
        <w:rPr>
          <w:rFonts w:ascii="宋体" w:hAnsi="宋体" w:eastAsia="宋体" w:cs="宋体"/>
          <w:spacing w:val="-31"/>
          <w:sz w:val="21"/>
          <w:szCs w:val="21"/>
        </w:rPr>
        <w:t xml:space="preserve"> </w:t>
      </w:r>
      <w:r>
        <w:rPr>
          <w:rFonts w:ascii="宋体" w:hAnsi="宋体" w:eastAsia="宋体" w:cs="宋体"/>
          <w:spacing w:val="5"/>
          <w:sz w:val="21"/>
          <w:szCs w:val="21"/>
          <w:u w:val="single" w:color="auto"/>
        </w:rPr>
        <w:t xml:space="preserve">                   </w:t>
      </w:r>
      <w:r>
        <w:rPr>
          <w:rFonts w:ascii="宋体" w:hAnsi="宋体" w:eastAsia="宋体" w:cs="宋体"/>
          <w:spacing w:val="-19"/>
          <w:sz w:val="21"/>
          <w:szCs w:val="21"/>
        </w:rPr>
        <w:t xml:space="preserve"> </w:t>
      </w:r>
      <w:r>
        <w:rPr>
          <w:rFonts w:ascii="宋体" w:hAnsi="宋体" w:eastAsia="宋体" w:cs="宋体"/>
          <w:sz w:val="21"/>
          <w:szCs w:val="21"/>
        </w:rPr>
        <w:t>（</w:t>
      </w:r>
      <w:r>
        <w:rPr>
          <w:rFonts w:ascii="宋体" w:hAnsi="宋体" w:eastAsia="宋体" w:cs="宋体"/>
          <w:spacing w:val="-22"/>
          <w:sz w:val="21"/>
          <w:szCs w:val="21"/>
        </w:rPr>
        <w:t>盖单位章）</w:t>
      </w:r>
    </w:p>
    <w:p w14:paraId="45A38449">
      <w:pPr>
        <w:spacing w:line="219" w:lineRule="auto"/>
        <w:ind w:left="2746"/>
        <w:rPr>
          <w:rFonts w:ascii="宋体" w:hAnsi="宋体" w:eastAsia="宋体" w:cs="宋体"/>
          <w:sz w:val="21"/>
          <w:szCs w:val="21"/>
        </w:rPr>
      </w:pPr>
      <w:r>
        <w:rPr>
          <w:rFonts w:ascii="宋体" w:hAnsi="宋体" w:eastAsia="宋体" w:cs="宋体"/>
          <w:spacing w:val="1"/>
          <w:sz w:val="21"/>
          <w:szCs w:val="21"/>
        </w:rPr>
        <w:t>法定代表人或授权委托人</w:t>
      </w:r>
      <w:r>
        <w:rPr>
          <w:rFonts w:ascii="宋体" w:hAnsi="宋体" w:eastAsia="宋体" w:cs="宋体"/>
          <w:spacing w:val="-10"/>
          <w:sz w:val="21"/>
          <w:szCs w:val="21"/>
        </w:rPr>
        <w:t>：</w:t>
      </w:r>
      <w:r>
        <w:rPr>
          <w:rFonts w:ascii="宋体" w:hAnsi="宋体" w:eastAsia="宋体" w:cs="宋体"/>
          <w:spacing w:val="3"/>
          <w:sz w:val="21"/>
          <w:szCs w:val="21"/>
          <w:u w:val="single" w:color="auto"/>
        </w:rPr>
        <w:t xml:space="preserve">                </w:t>
      </w:r>
      <w:r>
        <w:rPr>
          <w:rFonts w:ascii="宋体" w:hAnsi="宋体" w:eastAsia="宋体" w:cs="宋体"/>
          <w:spacing w:val="-10"/>
          <w:sz w:val="21"/>
          <w:szCs w:val="21"/>
        </w:rPr>
        <w:t>（</w:t>
      </w:r>
      <w:r>
        <w:rPr>
          <w:rFonts w:ascii="宋体" w:hAnsi="宋体" w:eastAsia="宋体" w:cs="宋体"/>
          <w:spacing w:val="1"/>
          <w:sz w:val="21"/>
          <w:szCs w:val="21"/>
        </w:rPr>
        <w:t>签章）</w:t>
      </w:r>
    </w:p>
    <w:p w14:paraId="68F28A68">
      <w:pPr>
        <w:tabs>
          <w:tab w:val="left" w:pos="5839"/>
        </w:tabs>
        <w:spacing w:before="191" w:line="221" w:lineRule="auto"/>
        <w:ind w:left="5363"/>
        <w:rPr>
          <w:rFonts w:ascii="宋体" w:hAnsi="宋体" w:eastAsia="宋体" w:cs="宋体"/>
          <w:sz w:val="21"/>
          <w:szCs w:val="21"/>
        </w:rPr>
      </w:pPr>
      <w:r>
        <w:rPr>
          <w:rFonts w:ascii="宋体" w:hAnsi="宋体" w:eastAsia="宋体" w:cs="宋体"/>
          <w:sz w:val="21"/>
          <w:szCs w:val="21"/>
          <w:u w:val="single" w:color="auto"/>
        </w:rPr>
        <w:tab/>
      </w:r>
      <w:r>
        <w:rPr>
          <w:rFonts w:ascii="宋体" w:hAnsi="宋体" w:eastAsia="宋体" w:cs="宋体"/>
          <w:spacing w:val="-96"/>
          <w:sz w:val="21"/>
          <w:szCs w:val="21"/>
        </w:rPr>
        <w:t xml:space="preserve"> </w:t>
      </w:r>
      <w:r>
        <w:rPr>
          <w:rFonts w:ascii="宋体" w:hAnsi="宋体" w:eastAsia="宋体" w:cs="宋体"/>
          <w:spacing w:val="-7"/>
          <w:sz w:val="21"/>
          <w:szCs w:val="21"/>
        </w:rPr>
        <w:t>年</w:t>
      </w:r>
      <w:r>
        <w:rPr>
          <w:rFonts w:ascii="宋体" w:hAnsi="宋体" w:eastAsia="宋体" w:cs="宋体"/>
          <w:spacing w:val="34"/>
          <w:sz w:val="21"/>
          <w:szCs w:val="21"/>
          <w:u w:val="single" w:color="auto"/>
        </w:rPr>
        <w:t xml:space="preserve">   </w:t>
      </w:r>
      <w:r>
        <w:rPr>
          <w:rFonts w:ascii="宋体" w:hAnsi="宋体" w:eastAsia="宋体" w:cs="宋体"/>
          <w:spacing w:val="-91"/>
          <w:sz w:val="21"/>
          <w:szCs w:val="21"/>
        </w:rPr>
        <w:t xml:space="preserve"> </w:t>
      </w:r>
      <w:r>
        <w:rPr>
          <w:rFonts w:ascii="宋体" w:hAnsi="宋体" w:eastAsia="宋体" w:cs="宋体"/>
          <w:spacing w:val="-7"/>
          <w:sz w:val="21"/>
          <w:szCs w:val="21"/>
        </w:rPr>
        <w:t>月</w:t>
      </w:r>
      <w:r>
        <w:rPr>
          <w:rFonts w:ascii="宋体" w:hAnsi="宋体" w:eastAsia="宋体" w:cs="宋体"/>
          <w:spacing w:val="-105"/>
          <w:sz w:val="21"/>
          <w:szCs w:val="21"/>
        </w:rPr>
        <w:t xml:space="preserve"> </w:t>
      </w:r>
      <w:r>
        <w:rPr>
          <w:rFonts w:ascii="宋体" w:hAnsi="宋体" w:eastAsia="宋体" w:cs="宋体"/>
          <w:sz w:val="21"/>
          <w:szCs w:val="21"/>
          <w:u w:val="single" w:color="auto"/>
        </w:rPr>
        <w:t xml:space="preserve">    </w:t>
      </w:r>
      <w:r>
        <w:rPr>
          <w:rFonts w:ascii="宋体" w:hAnsi="宋体" w:eastAsia="宋体" w:cs="宋体"/>
          <w:spacing w:val="-58"/>
          <w:sz w:val="21"/>
          <w:szCs w:val="21"/>
        </w:rPr>
        <w:t xml:space="preserve"> </w:t>
      </w:r>
      <w:r>
        <w:rPr>
          <w:rFonts w:ascii="宋体" w:hAnsi="宋体" w:eastAsia="宋体" w:cs="宋体"/>
          <w:spacing w:val="-7"/>
          <w:sz w:val="21"/>
          <w:szCs w:val="21"/>
        </w:rPr>
        <w:t>日</w:t>
      </w:r>
    </w:p>
    <w:p w14:paraId="7F3E121A">
      <w:pPr>
        <w:spacing w:line="221" w:lineRule="auto"/>
        <w:rPr>
          <w:rFonts w:ascii="宋体" w:hAnsi="宋体" w:eastAsia="宋体" w:cs="宋体"/>
          <w:sz w:val="21"/>
          <w:szCs w:val="21"/>
        </w:rPr>
        <w:sectPr>
          <w:footerReference r:id="rId196" w:type="default"/>
          <w:pgSz w:w="11905" w:h="16839"/>
          <w:pgMar w:top="400" w:right="1469" w:bottom="1004" w:left="1474" w:header="0" w:footer="828" w:gutter="0"/>
          <w:pgNumType w:fmt="decimal"/>
          <w:cols w:space="720" w:num="1"/>
        </w:sectPr>
      </w:pPr>
    </w:p>
    <w:p w14:paraId="32408361">
      <w:pPr>
        <w:pStyle w:val="3"/>
        <w:spacing w:line="257" w:lineRule="auto"/>
      </w:pPr>
    </w:p>
    <w:p w14:paraId="134D5B82">
      <w:pPr>
        <w:pStyle w:val="3"/>
        <w:spacing w:line="257" w:lineRule="auto"/>
      </w:pPr>
    </w:p>
    <w:p w14:paraId="3ED05BCD">
      <w:pPr>
        <w:pStyle w:val="3"/>
        <w:spacing w:line="257" w:lineRule="auto"/>
      </w:pPr>
    </w:p>
    <w:p w14:paraId="488B4808">
      <w:pPr>
        <w:pStyle w:val="3"/>
        <w:spacing w:line="258" w:lineRule="auto"/>
      </w:pPr>
    </w:p>
    <w:p w14:paraId="7BF028DA">
      <w:pPr>
        <w:spacing w:before="87" w:line="225" w:lineRule="auto"/>
        <w:ind w:left="3078"/>
        <w:rPr>
          <w:rFonts w:ascii="黑体" w:hAnsi="黑体" w:eastAsia="黑体" w:cs="黑体"/>
          <w:sz w:val="27"/>
          <w:szCs w:val="27"/>
        </w:rPr>
      </w:pPr>
      <w:bookmarkStart w:id="1313" w:name="bookmark298"/>
      <w:bookmarkEnd w:id="1313"/>
      <w:r>
        <w:rPr>
          <w:rFonts w:ascii="黑体" w:hAnsi="黑体" w:eastAsia="黑体" w:cs="黑体"/>
          <w:spacing w:val="3"/>
          <w:sz w:val="27"/>
          <w:szCs w:val="27"/>
        </w:rPr>
        <w:t>（三）告知承诺函</w:t>
      </w:r>
    </w:p>
    <w:p w14:paraId="17B01CB8">
      <w:pPr>
        <w:spacing w:before="161" w:line="386" w:lineRule="auto"/>
        <w:ind w:left="19" w:right="153" w:firstLine="423"/>
        <w:rPr>
          <w:rFonts w:ascii="宋体" w:hAnsi="宋体" w:eastAsia="宋体" w:cs="宋体"/>
          <w:sz w:val="21"/>
          <w:szCs w:val="21"/>
        </w:rPr>
      </w:pPr>
      <w:r>
        <w:rPr>
          <w:rFonts w:ascii="宋体" w:hAnsi="宋体" w:eastAsia="宋体" w:cs="宋体"/>
          <w:sz w:val="21"/>
          <w:szCs w:val="21"/>
        </w:rPr>
        <w:t>我单位参与</w:t>
      </w:r>
      <w:r>
        <w:rPr>
          <w:rFonts w:ascii="宋体" w:hAnsi="宋体" w:eastAsia="宋体" w:cs="宋体"/>
          <w:sz w:val="21"/>
          <w:szCs w:val="21"/>
          <w:u w:val="single" w:color="auto"/>
        </w:rPr>
        <w:t xml:space="preserve">  （标段名称 ）  </w:t>
      </w:r>
      <w:r>
        <w:rPr>
          <w:rFonts w:ascii="宋体" w:hAnsi="宋体" w:eastAsia="宋体" w:cs="宋体"/>
          <w:spacing w:val="-80"/>
          <w:sz w:val="21"/>
          <w:szCs w:val="21"/>
        </w:rPr>
        <w:t xml:space="preserve"> </w:t>
      </w:r>
      <w:r>
        <w:rPr>
          <w:rFonts w:ascii="宋体" w:hAnsi="宋体" w:eastAsia="宋体" w:cs="宋体"/>
          <w:sz w:val="21"/>
          <w:szCs w:val="21"/>
        </w:rPr>
        <w:t>的投标。根据《中华</w:t>
      </w:r>
      <w:r>
        <w:rPr>
          <w:rFonts w:ascii="宋体" w:hAnsi="宋体" w:eastAsia="宋体" w:cs="宋体"/>
          <w:spacing w:val="-1"/>
          <w:sz w:val="21"/>
          <w:szCs w:val="21"/>
        </w:rPr>
        <w:t>人民共和国招标投标法》等法律法</w:t>
      </w:r>
      <w:r>
        <w:rPr>
          <w:rFonts w:ascii="宋体" w:hAnsi="宋体" w:eastAsia="宋体" w:cs="宋体"/>
          <w:sz w:val="21"/>
          <w:szCs w:val="21"/>
        </w:rPr>
        <w:t xml:space="preserve"> </w:t>
      </w:r>
      <w:r>
        <w:rPr>
          <w:rFonts w:ascii="宋体" w:hAnsi="宋体" w:eastAsia="宋体" w:cs="宋体"/>
          <w:spacing w:val="-1"/>
          <w:sz w:val="21"/>
          <w:szCs w:val="21"/>
        </w:rPr>
        <w:t>规的规定，我已知悉本单位相关权利义务，作为法定代表人（或授权委托人</w:t>
      </w:r>
      <w:r>
        <w:rPr>
          <w:rFonts w:ascii="宋体" w:hAnsi="宋体" w:eastAsia="宋体" w:cs="宋体"/>
          <w:spacing w:val="-30"/>
          <w:sz w:val="21"/>
          <w:szCs w:val="21"/>
        </w:rPr>
        <w:t>），</w:t>
      </w:r>
      <w:r>
        <w:rPr>
          <w:rFonts w:ascii="宋体" w:hAnsi="宋体" w:eastAsia="宋体" w:cs="宋体"/>
          <w:spacing w:val="-1"/>
          <w:sz w:val="21"/>
          <w:szCs w:val="21"/>
        </w:rPr>
        <w:t>本人清楚知</w:t>
      </w:r>
    </w:p>
    <w:p w14:paraId="65F930D6">
      <w:pPr>
        <w:spacing w:line="219" w:lineRule="auto"/>
        <w:jc w:val="right"/>
        <w:rPr>
          <w:rFonts w:ascii="宋体" w:hAnsi="宋体" w:eastAsia="宋体" w:cs="宋体"/>
          <w:sz w:val="21"/>
          <w:szCs w:val="21"/>
        </w:rPr>
      </w:pPr>
      <w:r>
        <w:rPr>
          <w:rFonts w:ascii="宋体" w:hAnsi="宋体" w:eastAsia="宋体" w:cs="宋体"/>
          <w:spacing w:val="1"/>
          <w:sz w:val="21"/>
          <w:szCs w:val="21"/>
        </w:rPr>
        <w:t>晓我单位在本项目投标活动的情况。本人已详细阅读告知承诺函的内容，并在此郑重承诺：</w:t>
      </w:r>
    </w:p>
    <w:p w14:paraId="6D78158E">
      <w:pPr>
        <w:spacing w:before="192" w:line="441" w:lineRule="exact"/>
        <w:ind w:left="444"/>
        <w:rPr>
          <w:rFonts w:ascii="宋体" w:hAnsi="宋体" w:eastAsia="宋体" w:cs="宋体"/>
          <w:sz w:val="21"/>
          <w:szCs w:val="21"/>
        </w:rPr>
      </w:pPr>
      <w:r>
        <w:rPr>
          <w:rFonts w:ascii="宋体" w:hAnsi="宋体" w:eastAsia="宋体" w:cs="宋体"/>
          <w:spacing w:val="-3"/>
          <w:position w:val="17"/>
          <w:sz w:val="21"/>
          <w:szCs w:val="21"/>
        </w:rPr>
        <w:t>一、我单位和我本人遵循公开、公平、公正、诚实守信的原则，  依法依规参与本项目</w:t>
      </w:r>
    </w:p>
    <w:p w14:paraId="4E441911">
      <w:pPr>
        <w:spacing w:line="221" w:lineRule="auto"/>
        <w:ind w:left="20"/>
        <w:rPr>
          <w:rFonts w:ascii="宋体" w:hAnsi="宋体" w:eastAsia="宋体" w:cs="宋体"/>
          <w:sz w:val="21"/>
          <w:szCs w:val="21"/>
        </w:rPr>
      </w:pPr>
      <w:r>
        <w:rPr>
          <w:rFonts w:ascii="宋体" w:hAnsi="宋体" w:eastAsia="宋体" w:cs="宋体"/>
          <w:spacing w:val="-9"/>
          <w:sz w:val="21"/>
          <w:szCs w:val="21"/>
        </w:rPr>
        <w:t>投标。</w:t>
      </w:r>
    </w:p>
    <w:p w14:paraId="1E962741">
      <w:pPr>
        <w:spacing w:before="185" w:line="442" w:lineRule="exact"/>
        <w:ind w:left="444"/>
        <w:rPr>
          <w:rFonts w:ascii="宋体" w:hAnsi="宋体" w:eastAsia="宋体" w:cs="宋体"/>
          <w:sz w:val="21"/>
          <w:szCs w:val="21"/>
        </w:rPr>
      </w:pPr>
      <w:r>
        <w:rPr>
          <w:rFonts w:ascii="宋体" w:hAnsi="宋体" w:eastAsia="宋体" w:cs="宋体"/>
          <w:spacing w:val="-3"/>
          <w:position w:val="17"/>
          <w:sz w:val="21"/>
          <w:szCs w:val="21"/>
        </w:rPr>
        <w:t>二、我单位具有参与本次投标的资质和能力，公司运营状况良好，</w:t>
      </w:r>
      <w:r>
        <w:rPr>
          <w:rFonts w:ascii="宋体" w:hAnsi="宋体" w:eastAsia="宋体" w:cs="宋体"/>
          <w:spacing w:val="-4"/>
          <w:position w:val="17"/>
          <w:sz w:val="21"/>
          <w:szCs w:val="21"/>
        </w:rPr>
        <w:t xml:space="preserve">  不存在挂靠投标、</w:t>
      </w:r>
    </w:p>
    <w:p w14:paraId="7292C9FB">
      <w:pPr>
        <w:spacing w:before="1" w:line="219" w:lineRule="auto"/>
        <w:ind w:left="21"/>
        <w:rPr>
          <w:rFonts w:ascii="宋体" w:hAnsi="宋体" w:eastAsia="宋体" w:cs="宋体"/>
          <w:sz w:val="21"/>
          <w:szCs w:val="21"/>
        </w:rPr>
      </w:pPr>
      <w:r>
        <w:rPr>
          <w:rFonts w:ascii="宋体" w:hAnsi="宋体" w:eastAsia="宋体" w:cs="宋体"/>
          <w:spacing w:val="-1"/>
          <w:sz w:val="21"/>
          <w:szCs w:val="21"/>
        </w:rPr>
        <w:t>不受让、租借、出租、出借资格或资质证书，无处罚期内的不良行为。</w:t>
      </w:r>
    </w:p>
    <w:p w14:paraId="7EDD8627">
      <w:pPr>
        <w:spacing w:before="192" w:line="436" w:lineRule="exact"/>
        <w:ind w:left="441"/>
        <w:rPr>
          <w:rFonts w:ascii="宋体" w:hAnsi="宋体" w:eastAsia="宋体" w:cs="宋体"/>
          <w:sz w:val="21"/>
          <w:szCs w:val="21"/>
        </w:rPr>
      </w:pPr>
      <w:r>
        <w:rPr>
          <w:rFonts w:ascii="宋体" w:hAnsi="宋体" w:eastAsia="宋体" w:cs="宋体"/>
          <w:spacing w:val="1"/>
          <w:position w:val="16"/>
          <w:sz w:val="21"/>
          <w:szCs w:val="21"/>
        </w:rPr>
        <w:t>三、我单位在本项目投标过程中从招标公告</w:t>
      </w:r>
      <w:r>
        <w:rPr>
          <w:rFonts w:ascii="Times New Roman" w:hAnsi="Times New Roman" w:eastAsia="Times New Roman" w:cs="Times New Roman"/>
          <w:spacing w:val="1"/>
          <w:position w:val="16"/>
          <w:sz w:val="21"/>
          <w:szCs w:val="21"/>
        </w:rPr>
        <w:t>/</w:t>
      </w:r>
      <w:r>
        <w:rPr>
          <w:rFonts w:ascii="宋体" w:hAnsi="宋体" w:eastAsia="宋体" w:cs="宋体"/>
          <w:spacing w:val="1"/>
          <w:position w:val="16"/>
          <w:sz w:val="21"/>
          <w:szCs w:val="21"/>
        </w:rPr>
        <w:t>投标邀请书列明的渠道获取招标文件，没</w:t>
      </w:r>
    </w:p>
    <w:p w14:paraId="577AB524">
      <w:pPr>
        <w:spacing w:before="1" w:line="220" w:lineRule="auto"/>
        <w:ind w:left="19"/>
        <w:rPr>
          <w:rFonts w:ascii="宋体" w:hAnsi="宋体" w:eastAsia="宋体" w:cs="宋体"/>
          <w:sz w:val="21"/>
          <w:szCs w:val="21"/>
        </w:rPr>
      </w:pPr>
      <w:r>
        <w:rPr>
          <w:rFonts w:ascii="宋体" w:hAnsi="宋体" w:eastAsia="宋体" w:cs="宋体"/>
          <w:spacing w:val="-2"/>
          <w:sz w:val="21"/>
          <w:szCs w:val="21"/>
        </w:rPr>
        <w:t>有通过其他不正当渠道获取招标文件。</w:t>
      </w:r>
    </w:p>
    <w:p w14:paraId="56841C8F">
      <w:pPr>
        <w:spacing w:before="191" w:line="442" w:lineRule="exact"/>
        <w:ind w:left="461"/>
        <w:rPr>
          <w:rFonts w:ascii="宋体" w:hAnsi="宋体" w:eastAsia="宋体" w:cs="宋体"/>
          <w:sz w:val="21"/>
          <w:szCs w:val="21"/>
        </w:rPr>
      </w:pPr>
      <w:r>
        <w:rPr>
          <w:rFonts w:ascii="宋体" w:hAnsi="宋体" w:eastAsia="宋体" w:cs="宋体"/>
          <w:spacing w:val="3"/>
          <w:position w:val="17"/>
          <w:sz w:val="21"/>
          <w:szCs w:val="21"/>
        </w:rPr>
        <w:t>四、我单位承诺投标文件由本单位员工独立编</w:t>
      </w:r>
      <w:r>
        <w:rPr>
          <w:rFonts w:ascii="宋体" w:hAnsi="宋体" w:eastAsia="宋体" w:cs="宋体"/>
          <w:spacing w:val="2"/>
          <w:position w:val="17"/>
          <w:sz w:val="21"/>
          <w:szCs w:val="21"/>
        </w:rPr>
        <w:t>制，严格遵守保密义务。所提供的一切</w:t>
      </w:r>
    </w:p>
    <w:p w14:paraId="04BFD237">
      <w:pPr>
        <w:spacing w:before="1" w:line="219" w:lineRule="auto"/>
        <w:ind w:left="20"/>
        <w:rPr>
          <w:rFonts w:ascii="宋体" w:hAnsi="宋体" w:eastAsia="宋体" w:cs="宋体"/>
          <w:sz w:val="21"/>
          <w:szCs w:val="21"/>
        </w:rPr>
      </w:pPr>
      <w:r>
        <w:rPr>
          <w:rFonts w:ascii="宋体" w:hAnsi="宋体" w:eastAsia="宋体" w:cs="宋体"/>
          <w:spacing w:val="-2"/>
          <w:sz w:val="21"/>
          <w:szCs w:val="21"/>
        </w:rPr>
        <w:t>投标相关材料都是真实、有效、合法的。</w:t>
      </w:r>
    </w:p>
    <w:p w14:paraId="6195145E">
      <w:pPr>
        <w:spacing w:before="187" w:line="441" w:lineRule="exact"/>
        <w:ind w:left="444"/>
        <w:rPr>
          <w:rFonts w:ascii="宋体" w:hAnsi="宋体" w:eastAsia="宋体" w:cs="宋体"/>
          <w:sz w:val="21"/>
          <w:szCs w:val="21"/>
        </w:rPr>
      </w:pPr>
      <w:r>
        <w:rPr>
          <w:rFonts w:ascii="宋体" w:hAnsi="宋体" w:eastAsia="宋体" w:cs="宋体"/>
          <w:position w:val="17"/>
          <w:sz w:val="21"/>
          <w:szCs w:val="21"/>
        </w:rPr>
        <w:t>五、我单位不与其他投标人相互串通投标报价， 不恶意压低或抬高投标报价，不排挤</w:t>
      </w:r>
    </w:p>
    <w:p w14:paraId="4FC4DB25">
      <w:pPr>
        <w:spacing w:before="1" w:line="220" w:lineRule="auto"/>
        <w:ind w:left="19"/>
        <w:rPr>
          <w:rFonts w:ascii="宋体" w:hAnsi="宋体" w:eastAsia="宋体" w:cs="宋体"/>
          <w:sz w:val="21"/>
          <w:szCs w:val="21"/>
        </w:rPr>
      </w:pPr>
      <w:r>
        <w:rPr>
          <w:rFonts w:ascii="宋体" w:hAnsi="宋体" w:eastAsia="宋体" w:cs="宋体"/>
          <w:sz w:val="21"/>
          <w:szCs w:val="21"/>
        </w:rPr>
        <w:t>其他投标人的公平竞争，不损害招标人或其他投标人</w:t>
      </w:r>
      <w:r>
        <w:rPr>
          <w:rFonts w:ascii="宋体" w:hAnsi="宋体" w:eastAsia="宋体" w:cs="宋体"/>
          <w:spacing w:val="-1"/>
          <w:sz w:val="21"/>
          <w:szCs w:val="21"/>
        </w:rPr>
        <w:t>的合法权益。</w:t>
      </w:r>
    </w:p>
    <w:p w14:paraId="725CC32B">
      <w:pPr>
        <w:spacing w:before="190" w:line="438" w:lineRule="exact"/>
        <w:ind w:left="442"/>
        <w:rPr>
          <w:rFonts w:ascii="宋体" w:hAnsi="宋体" w:eastAsia="宋体" w:cs="宋体"/>
          <w:sz w:val="21"/>
          <w:szCs w:val="21"/>
        </w:rPr>
      </w:pPr>
      <w:r>
        <w:rPr>
          <w:rFonts w:ascii="宋体" w:hAnsi="宋体" w:eastAsia="宋体" w:cs="宋体"/>
          <w:spacing w:val="3"/>
          <w:position w:val="17"/>
          <w:sz w:val="21"/>
          <w:szCs w:val="21"/>
        </w:rPr>
        <w:t>六、我单位不与招标人或招标代理机构串通投标，损害国家利益、社会公共利益或者</w:t>
      </w:r>
    </w:p>
    <w:p w14:paraId="444CB9EB">
      <w:pPr>
        <w:spacing w:line="220" w:lineRule="auto"/>
        <w:ind w:left="18"/>
        <w:rPr>
          <w:rFonts w:ascii="宋体" w:hAnsi="宋体" w:eastAsia="宋体" w:cs="宋体"/>
          <w:sz w:val="21"/>
          <w:szCs w:val="21"/>
        </w:rPr>
      </w:pPr>
      <w:r>
        <w:rPr>
          <w:rFonts w:ascii="宋体" w:hAnsi="宋体" w:eastAsia="宋体" w:cs="宋体"/>
          <w:spacing w:val="-1"/>
          <w:sz w:val="21"/>
          <w:szCs w:val="21"/>
        </w:rPr>
        <w:t>他人的合法权益。</w:t>
      </w:r>
    </w:p>
    <w:p w14:paraId="5CB72285">
      <w:pPr>
        <w:spacing w:before="191" w:line="442" w:lineRule="exact"/>
        <w:ind w:left="440"/>
        <w:rPr>
          <w:rFonts w:ascii="宋体" w:hAnsi="宋体" w:eastAsia="宋体" w:cs="宋体"/>
          <w:sz w:val="21"/>
          <w:szCs w:val="21"/>
        </w:rPr>
      </w:pPr>
      <w:r>
        <w:rPr>
          <w:rFonts w:ascii="宋体" w:hAnsi="宋体" w:eastAsia="宋体" w:cs="宋体"/>
          <w:spacing w:val="3"/>
          <w:position w:val="17"/>
          <w:sz w:val="21"/>
          <w:szCs w:val="21"/>
        </w:rPr>
        <w:t>七、我单位不向招标人或者评标委员会成员行贿以牟取中标，不在开标后进行虚假恶</w:t>
      </w:r>
    </w:p>
    <w:p w14:paraId="59D5B325">
      <w:pPr>
        <w:spacing w:line="221" w:lineRule="auto"/>
        <w:ind w:left="24"/>
        <w:rPr>
          <w:rFonts w:ascii="宋体" w:hAnsi="宋体" w:eastAsia="宋体" w:cs="宋体"/>
          <w:sz w:val="21"/>
          <w:szCs w:val="21"/>
        </w:rPr>
      </w:pPr>
      <w:r>
        <w:rPr>
          <w:rFonts w:ascii="宋体" w:hAnsi="宋体" w:eastAsia="宋体" w:cs="宋体"/>
          <w:spacing w:val="-8"/>
          <w:sz w:val="21"/>
          <w:szCs w:val="21"/>
        </w:rPr>
        <w:t>意投诉。</w:t>
      </w:r>
    </w:p>
    <w:p w14:paraId="22E675F4">
      <w:pPr>
        <w:spacing w:before="185" w:line="387" w:lineRule="auto"/>
        <w:ind w:left="20" w:right="156" w:firstLine="424"/>
        <w:rPr>
          <w:rFonts w:ascii="宋体" w:hAnsi="宋体" w:eastAsia="宋体" w:cs="宋体"/>
          <w:sz w:val="21"/>
          <w:szCs w:val="21"/>
        </w:rPr>
      </w:pPr>
      <w:r>
        <w:rPr>
          <w:rFonts w:ascii="宋体" w:hAnsi="宋体" w:eastAsia="宋体" w:cs="宋体"/>
          <w:spacing w:val="3"/>
          <w:sz w:val="21"/>
          <w:szCs w:val="21"/>
        </w:rPr>
        <w:t>八、我单位和我个人清楚并知晓《中华人民共和国刑法》第二百二十三条“投标人相</w:t>
      </w:r>
      <w:r>
        <w:rPr>
          <w:rFonts w:ascii="宋体" w:hAnsi="宋体" w:eastAsia="宋体" w:cs="宋体"/>
          <w:sz w:val="21"/>
          <w:szCs w:val="21"/>
        </w:rPr>
        <w:t xml:space="preserve"> </w:t>
      </w:r>
      <w:r>
        <w:rPr>
          <w:rFonts w:ascii="宋体" w:hAnsi="宋体" w:eastAsia="宋体" w:cs="宋体"/>
          <w:spacing w:val="-2"/>
          <w:sz w:val="21"/>
          <w:szCs w:val="21"/>
        </w:rPr>
        <w:t>互串通投标报价， 损害招标人或者其他投标人利益</w:t>
      </w:r>
      <w:r>
        <w:rPr>
          <w:rFonts w:ascii="宋体" w:hAnsi="宋体" w:eastAsia="宋体" w:cs="宋体"/>
          <w:spacing w:val="-3"/>
          <w:sz w:val="21"/>
          <w:szCs w:val="21"/>
        </w:rPr>
        <w:t>，情节严重的， 处三年以下有期徒刑或</w:t>
      </w:r>
      <w:r>
        <w:rPr>
          <w:rFonts w:ascii="宋体" w:hAnsi="宋体" w:eastAsia="宋体" w:cs="宋体"/>
          <w:sz w:val="21"/>
          <w:szCs w:val="21"/>
        </w:rPr>
        <w:t xml:space="preserve"> </w:t>
      </w:r>
      <w:r>
        <w:rPr>
          <w:rFonts w:ascii="宋体" w:hAnsi="宋体" w:eastAsia="宋体" w:cs="宋体"/>
          <w:spacing w:val="3"/>
          <w:sz w:val="21"/>
          <w:szCs w:val="21"/>
        </w:rPr>
        <w:t>者拘役，并处或者单处罚金。投标人与招标人串通投标，损害国家、集体</w:t>
      </w:r>
      <w:r>
        <w:rPr>
          <w:rFonts w:ascii="宋体" w:hAnsi="宋体" w:eastAsia="宋体" w:cs="宋体"/>
          <w:spacing w:val="2"/>
          <w:sz w:val="21"/>
          <w:szCs w:val="21"/>
        </w:rPr>
        <w:t>、公民的合法利</w:t>
      </w:r>
    </w:p>
    <w:p w14:paraId="731A6E0D">
      <w:pPr>
        <w:spacing w:before="1" w:line="219" w:lineRule="auto"/>
        <w:ind w:left="20"/>
        <w:rPr>
          <w:rFonts w:ascii="宋体" w:hAnsi="宋体" w:eastAsia="宋体" w:cs="宋体"/>
          <w:sz w:val="21"/>
          <w:szCs w:val="21"/>
        </w:rPr>
      </w:pPr>
      <w:r>
        <w:rPr>
          <w:rFonts w:ascii="宋体" w:hAnsi="宋体" w:eastAsia="宋体" w:cs="宋体"/>
          <w:spacing w:val="-2"/>
          <w:sz w:val="21"/>
          <w:szCs w:val="21"/>
        </w:rPr>
        <w:t>益的，依照前款的规定处罚”的规定。</w:t>
      </w:r>
    </w:p>
    <w:p w14:paraId="5899B20C">
      <w:pPr>
        <w:spacing w:before="191" w:line="443" w:lineRule="exact"/>
        <w:ind w:left="446"/>
        <w:rPr>
          <w:rFonts w:ascii="宋体" w:hAnsi="宋体" w:eastAsia="宋体" w:cs="宋体"/>
          <w:sz w:val="21"/>
          <w:szCs w:val="21"/>
        </w:rPr>
      </w:pPr>
      <w:r>
        <w:rPr>
          <w:rFonts w:ascii="宋体" w:hAnsi="宋体" w:eastAsia="宋体" w:cs="宋体"/>
          <w:spacing w:val="3"/>
          <w:position w:val="17"/>
          <w:sz w:val="21"/>
          <w:szCs w:val="21"/>
        </w:rPr>
        <w:t>九、我单位如在本项目招标投标活动评标工作中存在串通投标、弄</w:t>
      </w:r>
      <w:r>
        <w:rPr>
          <w:rFonts w:ascii="宋体" w:hAnsi="宋体" w:eastAsia="宋体" w:cs="宋体"/>
          <w:spacing w:val="2"/>
          <w:position w:val="17"/>
          <w:sz w:val="21"/>
          <w:szCs w:val="21"/>
        </w:rPr>
        <w:t>虚作假等行为的，</w:t>
      </w:r>
    </w:p>
    <w:p w14:paraId="69F53E42">
      <w:pPr>
        <w:spacing w:line="219" w:lineRule="auto"/>
        <w:ind w:left="19"/>
        <w:rPr>
          <w:rFonts w:ascii="宋体" w:hAnsi="宋体" w:eastAsia="宋体" w:cs="宋体"/>
          <w:sz w:val="21"/>
          <w:szCs w:val="21"/>
        </w:rPr>
      </w:pPr>
      <w:r>
        <w:rPr>
          <w:rFonts w:ascii="宋体" w:hAnsi="宋体" w:eastAsia="宋体" w:cs="宋体"/>
          <w:spacing w:val="-1"/>
          <w:sz w:val="21"/>
          <w:szCs w:val="21"/>
        </w:rPr>
        <w:t>本单位及本人自愿承担法律责任，接受相应刑事、纪律和行政处罚以及失信惩戒。</w:t>
      </w:r>
    </w:p>
    <w:p w14:paraId="75C421E8">
      <w:pPr>
        <w:spacing w:before="187" w:line="220" w:lineRule="auto"/>
        <w:ind w:left="442"/>
        <w:rPr>
          <w:rFonts w:ascii="宋体" w:hAnsi="宋体" w:eastAsia="宋体" w:cs="宋体"/>
          <w:sz w:val="21"/>
          <w:szCs w:val="21"/>
        </w:rPr>
      </w:pPr>
      <w:r>
        <w:rPr>
          <w:rFonts w:ascii="宋体" w:hAnsi="宋体" w:eastAsia="宋体" w:cs="宋体"/>
          <w:sz w:val="21"/>
          <w:szCs w:val="21"/>
        </w:rPr>
        <w:t>十、本承诺函由我单位盖章及法定代表人（授权委托人）本人亲自盖章</w:t>
      </w:r>
      <w:r>
        <w:rPr>
          <w:rFonts w:ascii="宋体" w:hAnsi="宋体" w:eastAsia="宋体" w:cs="宋体"/>
          <w:spacing w:val="-1"/>
          <w:sz w:val="21"/>
          <w:szCs w:val="21"/>
        </w:rPr>
        <w:t>或签字确认。</w:t>
      </w:r>
    </w:p>
    <w:p w14:paraId="5F0FBD73">
      <w:pPr>
        <w:pStyle w:val="3"/>
        <w:spacing w:line="280" w:lineRule="auto"/>
      </w:pPr>
    </w:p>
    <w:p w14:paraId="606A1657">
      <w:pPr>
        <w:pStyle w:val="3"/>
        <w:spacing w:line="281" w:lineRule="auto"/>
      </w:pPr>
    </w:p>
    <w:p w14:paraId="35D08544">
      <w:pPr>
        <w:spacing w:before="69" w:line="437" w:lineRule="exact"/>
        <w:ind w:left="5166"/>
        <w:rPr>
          <w:rFonts w:ascii="宋体" w:hAnsi="宋体" w:eastAsia="宋体" w:cs="宋体"/>
          <w:sz w:val="21"/>
          <w:szCs w:val="21"/>
        </w:rPr>
      </w:pPr>
      <w:r>
        <w:rPr>
          <w:rFonts w:ascii="宋体" w:hAnsi="宋体" w:eastAsia="宋体" w:cs="宋体"/>
          <w:spacing w:val="-11"/>
          <w:position w:val="17"/>
          <w:sz w:val="21"/>
          <w:szCs w:val="21"/>
        </w:rPr>
        <w:t>承诺单位</w:t>
      </w:r>
      <w:r>
        <w:rPr>
          <w:rFonts w:ascii="宋体" w:hAnsi="宋体" w:eastAsia="宋体" w:cs="宋体"/>
          <w:spacing w:val="-5"/>
          <w:position w:val="17"/>
          <w:sz w:val="21"/>
          <w:szCs w:val="21"/>
        </w:rPr>
        <w:t>：（</w:t>
      </w:r>
      <w:r>
        <w:rPr>
          <w:rFonts w:ascii="宋体" w:hAnsi="宋体" w:eastAsia="宋体" w:cs="宋体"/>
          <w:spacing w:val="-11"/>
          <w:position w:val="17"/>
          <w:sz w:val="21"/>
          <w:szCs w:val="21"/>
        </w:rPr>
        <w:t>盖单位章）</w:t>
      </w:r>
    </w:p>
    <w:p w14:paraId="113228AE">
      <w:pPr>
        <w:spacing w:before="1" w:line="219" w:lineRule="auto"/>
        <w:ind w:left="4115"/>
        <w:rPr>
          <w:rFonts w:ascii="宋体" w:hAnsi="宋体" w:eastAsia="宋体" w:cs="宋体"/>
          <w:sz w:val="21"/>
          <w:szCs w:val="21"/>
        </w:rPr>
      </w:pPr>
      <w:r>
        <w:rPr>
          <w:rFonts w:ascii="宋体" w:hAnsi="宋体" w:eastAsia="宋体" w:cs="宋体"/>
          <w:spacing w:val="-7"/>
          <w:sz w:val="21"/>
          <w:szCs w:val="21"/>
        </w:rPr>
        <w:t>法定代表人或授权委托人</w:t>
      </w:r>
      <w:r>
        <w:rPr>
          <w:rFonts w:ascii="宋体" w:hAnsi="宋体" w:eastAsia="宋体" w:cs="宋体"/>
          <w:spacing w:val="-12"/>
          <w:sz w:val="21"/>
          <w:szCs w:val="21"/>
        </w:rPr>
        <w:t>：（</w:t>
      </w:r>
      <w:r>
        <w:rPr>
          <w:rFonts w:ascii="宋体" w:hAnsi="宋体" w:eastAsia="宋体" w:cs="宋体"/>
          <w:spacing w:val="-7"/>
          <w:sz w:val="21"/>
          <w:szCs w:val="21"/>
        </w:rPr>
        <w:t>签章）</w:t>
      </w:r>
    </w:p>
    <w:p w14:paraId="1C476CC4">
      <w:pPr>
        <w:spacing w:before="191" w:line="221" w:lineRule="auto"/>
        <w:ind w:left="4441"/>
        <w:rPr>
          <w:rFonts w:ascii="宋体" w:hAnsi="宋体" w:eastAsia="宋体" w:cs="宋体"/>
          <w:sz w:val="21"/>
          <w:szCs w:val="21"/>
        </w:rPr>
      </w:pPr>
      <w:r>
        <w:rPr>
          <w:rFonts w:ascii="宋体" w:hAnsi="宋体" w:eastAsia="宋体" w:cs="宋体"/>
          <w:spacing w:val="-17"/>
          <w:sz w:val="21"/>
          <w:szCs w:val="21"/>
        </w:rPr>
        <w:t>承诺时间：</w:t>
      </w:r>
      <w:r>
        <w:rPr>
          <w:rFonts w:ascii="宋体" w:hAnsi="宋体" w:eastAsia="宋体" w:cs="宋体"/>
          <w:spacing w:val="30"/>
          <w:sz w:val="21"/>
          <w:szCs w:val="21"/>
        </w:rPr>
        <w:t xml:space="preserve">  </w:t>
      </w:r>
      <w:r>
        <w:rPr>
          <w:rFonts w:ascii="宋体" w:hAnsi="宋体" w:eastAsia="宋体" w:cs="宋体"/>
          <w:spacing w:val="-17"/>
          <w:sz w:val="21"/>
          <w:szCs w:val="21"/>
        </w:rPr>
        <w:t>年</w:t>
      </w:r>
      <w:r>
        <w:rPr>
          <w:rFonts w:ascii="宋体" w:hAnsi="宋体" w:eastAsia="宋体" w:cs="宋体"/>
          <w:spacing w:val="3"/>
          <w:sz w:val="21"/>
          <w:szCs w:val="21"/>
        </w:rPr>
        <w:t xml:space="preserve">   </w:t>
      </w:r>
      <w:r>
        <w:rPr>
          <w:rFonts w:ascii="宋体" w:hAnsi="宋体" w:eastAsia="宋体" w:cs="宋体"/>
          <w:spacing w:val="-17"/>
          <w:sz w:val="21"/>
          <w:szCs w:val="21"/>
        </w:rPr>
        <w:t>月</w:t>
      </w:r>
      <w:r>
        <w:rPr>
          <w:rFonts w:ascii="宋体" w:hAnsi="宋体" w:eastAsia="宋体" w:cs="宋体"/>
          <w:spacing w:val="11"/>
          <w:sz w:val="21"/>
          <w:szCs w:val="21"/>
        </w:rPr>
        <w:t xml:space="preserve">    </w:t>
      </w:r>
      <w:r>
        <w:rPr>
          <w:rFonts w:ascii="宋体" w:hAnsi="宋体" w:eastAsia="宋体" w:cs="宋体"/>
          <w:spacing w:val="-17"/>
          <w:sz w:val="21"/>
          <w:szCs w:val="21"/>
        </w:rPr>
        <w:t>日</w:t>
      </w:r>
    </w:p>
    <w:p w14:paraId="01A8DACA">
      <w:pPr>
        <w:spacing w:line="221" w:lineRule="auto"/>
        <w:rPr>
          <w:rFonts w:ascii="宋体" w:hAnsi="宋体" w:eastAsia="宋体" w:cs="宋体"/>
          <w:sz w:val="21"/>
          <w:szCs w:val="21"/>
        </w:rPr>
        <w:sectPr>
          <w:footerReference r:id="rId197" w:type="default"/>
          <w:pgSz w:w="11905" w:h="16839"/>
          <w:pgMar w:top="400" w:right="1635" w:bottom="1004" w:left="1785" w:header="0" w:footer="828" w:gutter="0"/>
          <w:pgNumType w:fmt="decimal"/>
          <w:cols w:space="720" w:num="1"/>
        </w:sectPr>
      </w:pPr>
    </w:p>
    <w:p w14:paraId="73516A46">
      <w:pPr>
        <w:pStyle w:val="3"/>
        <w:spacing w:line="257" w:lineRule="auto"/>
      </w:pPr>
    </w:p>
    <w:p w14:paraId="654E89A7">
      <w:pPr>
        <w:pStyle w:val="3"/>
        <w:spacing w:line="257" w:lineRule="auto"/>
      </w:pPr>
    </w:p>
    <w:p w14:paraId="53A09B5D">
      <w:pPr>
        <w:pStyle w:val="3"/>
        <w:spacing w:line="257" w:lineRule="auto"/>
      </w:pPr>
    </w:p>
    <w:p w14:paraId="480D063C">
      <w:pPr>
        <w:pStyle w:val="3"/>
        <w:spacing w:line="257" w:lineRule="auto"/>
      </w:pPr>
    </w:p>
    <w:p w14:paraId="2F5E499B">
      <w:pPr>
        <w:spacing w:before="88" w:line="224" w:lineRule="auto"/>
        <w:ind w:left="3361"/>
        <w:rPr>
          <w:rFonts w:ascii="黑体" w:hAnsi="黑体" w:eastAsia="黑体" w:cs="黑体"/>
          <w:sz w:val="27"/>
          <w:szCs w:val="27"/>
        </w:rPr>
      </w:pPr>
      <w:bookmarkStart w:id="1314" w:name="bookmark301"/>
      <w:bookmarkEnd w:id="1314"/>
      <w:bookmarkStart w:id="1315" w:name="bookmark299"/>
      <w:bookmarkEnd w:id="1315"/>
      <w:bookmarkStart w:id="1316" w:name="bookmark300"/>
      <w:bookmarkEnd w:id="1316"/>
      <w:r>
        <w:rPr>
          <w:rFonts w:ascii="黑体" w:hAnsi="黑体" w:eastAsia="黑体" w:cs="黑体"/>
          <w:spacing w:val="-2"/>
          <w:sz w:val="27"/>
          <w:szCs w:val="27"/>
        </w:rPr>
        <w:t>（四）声明函</w:t>
      </w:r>
    </w:p>
    <w:p w14:paraId="7962A6BE">
      <w:pPr>
        <w:pStyle w:val="3"/>
        <w:spacing w:line="266" w:lineRule="auto"/>
      </w:pPr>
    </w:p>
    <w:p w14:paraId="27E48D3E">
      <w:pPr>
        <w:pStyle w:val="3"/>
        <w:spacing w:line="266" w:lineRule="auto"/>
      </w:pPr>
    </w:p>
    <w:p w14:paraId="5B26F43B">
      <w:pPr>
        <w:spacing w:before="69" w:line="220" w:lineRule="auto"/>
        <w:ind w:left="440"/>
        <w:rPr>
          <w:rFonts w:ascii="宋体" w:hAnsi="宋体" w:eastAsia="宋体" w:cs="宋体"/>
          <w:sz w:val="21"/>
          <w:szCs w:val="21"/>
        </w:rPr>
      </w:pPr>
      <w:r>
        <w:rPr>
          <w:rFonts w:ascii="宋体" w:hAnsi="宋体" w:eastAsia="宋体" w:cs="宋体"/>
          <w:sz w:val="21"/>
          <w:szCs w:val="21"/>
        </w:rPr>
        <w:t>在本项目编制投标文件过程中，我单位声明</w:t>
      </w:r>
      <w:r>
        <w:rPr>
          <w:rFonts w:ascii="宋体" w:hAnsi="宋体" w:eastAsia="宋体" w:cs="宋体"/>
          <w:spacing w:val="-1"/>
          <w:sz w:val="21"/>
          <w:szCs w:val="21"/>
        </w:rPr>
        <w:t>如下：</w:t>
      </w:r>
    </w:p>
    <w:p w14:paraId="188CB636">
      <w:pPr>
        <w:spacing w:before="186" w:line="220" w:lineRule="auto"/>
        <w:ind w:left="444"/>
        <w:rPr>
          <w:rFonts w:ascii="宋体" w:hAnsi="宋体" w:eastAsia="宋体" w:cs="宋体"/>
          <w:sz w:val="21"/>
          <w:szCs w:val="21"/>
        </w:rPr>
      </w:pPr>
      <w:r>
        <w:rPr>
          <w:rFonts w:ascii="宋体" w:hAnsi="宋体" w:eastAsia="宋体" w:cs="宋体"/>
          <w:sz w:val="21"/>
          <w:szCs w:val="21"/>
        </w:rPr>
        <w:t>一、未与本标段其他投标人委托同一单位或同</w:t>
      </w:r>
      <w:r>
        <w:rPr>
          <w:rFonts w:ascii="宋体" w:hAnsi="宋体" w:eastAsia="宋体" w:cs="宋体"/>
          <w:spacing w:val="-1"/>
          <w:sz w:val="21"/>
          <w:szCs w:val="21"/>
        </w:rPr>
        <w:t>一人编制投标文件；</w:t>
      </w:r>
    </w:p>
    <w:p w14:paraId="525956FC">
      <w:pPr>
        <w:spacing w:before="191" w:line="219" w:lineRule="auto"/>
        <w:ind w:left="444"/>
        <w:rPr>
          <w:rFonts w:ascii="宋体" w:hAnsi="宋体" w:eastAsia="宋体" w:cs="宋体"/>
          <w:sz w:val="21"/>
          <w:szCs w:val="21"/>
        </w:rPr>
      </w:pPr>
      <w:r>
        <w:rPr>
          <w:rFonts w:ascii="宋体" w:hAnsi="宋体" w:eastAsia="宋体" w:cs="宋体"/>
          <w:spacing w:val="-2"/>
          <w:sz w:val="21"/>
          <w:szCs w:val="21"/>
        </w:rPr>
        <w:t>二、未与本标段其他投标人协商投标报价；</w:t>
      </w:r>
    </w:p>
    <w:p w14:paraId="3775AED9">
      <w:pPr>
        <w:spacing w:before="192" w:line="220" w:lineRule="auto"/>
        <w:ind w:left="441"/>
        <w:rPr>
          <w:rFonts w:ascii="宋体" w:hAnsi="宋体" w:eastAsia="宋体" w:cs="宋体"/>
          <w:sz w:val="21"/>
          <w:szCs w:val="21"/>
        </w:rPr>
      </w:pPr>
      <w:r>
        <w:rPr>
          <w:rFonts w:ascii="宋体" w:hAnsi="宋体" w:eastAsia="宋体" w:cs="宋体"/>
          <w:spacing w:val="-1"/>
          <w:sz w:val="21"/>
          <w:szCs w:val="21"/>
        </w:rPr>
        <w:t>三、未与本标段其他投标人使用同一电脑等电子设备编制投标文</w:t>
      </w:r>
      <w:r>
        <w:rPr>
          <w:rFonts w:ascii="宋体" w:hAnsi="宋体" w:eastAsia="宋体" w:cs="宋体"/>
          <w:spacing w:val="-2"/>
          <w:sz w:val="21"/>
          <w:szCs w:val="21"/>
        </w:rPr>
        <w:t>件；</w:t>
      </w:r>
    </w:p>
    <w:p w14:paraId="1654E747">
      <w:pPr>
        <w:spacing w:before="186" w:line="220" w:lineRule="auto"/>
        <w:ind w:left="461"/>
        <w:rPr>
          <w:rFonts w:ascii="宋体" w:hAnsi="宋体" w:eastAsia="宋体" w:cs="宋体"/>
          <w:sz w:val="21"/>
          <w:szCs w:val="21"/>
        </w:rPr>
      </w:pPr>
      <w:r>
        <w:rPr>
          <w:rFonts w:ascii="宋体" w:hAnsi="宋体" w:eastAsia="宋体" w:cs="宋体"/>
          <w:spacing w:val="-2"/>
          <w:sz w:val="21"/>
          <w:szCs w:val="21"/>
        </w:rPr>
        <w:t>四、未使用“网络虚拟设备”等无法识别电子设备归属的电脑编制投标文件；</w:t>
      </w:r>
    </w:p>
    <w:p w14:paraId="75FE08CC">
      <w:pPr>
        <w:spacing w:before="192" w:line="386" w:lineRule="auto"/>
        <w:ind w:left="39" w:right="428" w:firstLine="405"/>
        <w:rPr>
          <w:rFonts w:ascii="宋体" w:hAnsi="宋体" w:eastAsia="宋体" w:cs="宋体"/>
          <w:sz w:val="21"/>
          <w:szCs w:val="21"/>
        </w:rPr>
      </w:pPr>
      <w:r>
        <w:rPr>
          <w:rFonts w:ascii="宋体" w:hAnsi="宋体" w:eastAsia="宋体" w:cs="宋体"/>
          <w:spacing w:val="3"/>
          <w:sz w:val="21"/>
          <w:szCs w:val="21"/>
        </w:rPr>
        <w:t xml:space="preserve">五、本项目技术标（施工组织设计）是针对本项目现场实际、技术特点以及施工 </w:t>
      </w:r>
      <w:r>
        <w:rPr>
          <w:rFonts w:ascii="宋体" w:hAnsi="宋体" w:eastAsia="宋体" w:cs="宋体"/>
          <w:sz w:val="21"/>
          <w:szCs w:val="21"/>
        </w:rPr>
        <w:t>图纸而编制的相应的技术方案， 在编制过程中未抄袭、摘</w:t>
      </w:r>
      <w:r>
        <w:rPr>
          <w:rFonts w:ascii="宋体" w:hAnsi="宋体" w:eastAsia="宋体" w:cs="宋体"/>
          <w:spacing w:val="-1"/>
          <w:sz w:val="21"/>
          <w:szCs w:val="21"/>
        </w:rPr>
        <w:t>抄网络或其他项目相关技术</w:t>
      </w:r>
    </w:p>
    <w:p w14:paraId="55C7FE3D">
      <w:pPr>
        <w:spacing w:before="1" w:line="220" w:lineRule="auto"/>
        <w:ind w:left="27"/>
        <w:rPr>
          <w:rFonts w:ascii="宋体" w:hAnsi="宋体" w:eastAsia="宋体" w:cs="宋体"/>
          <w:sz w:val="21"/>
          <w:szCs w:val="21"/>
        </w:rPr>
      </w:pPr>
      <w:r>
        <w:rPr>
          <w:rFonts w:ascii="宋体" w:hAnsi="宋体" w:eastAsia="宋体" w:cs="宋体"/>
          <w:spacing w:val="-2"/>
          <w:sz w:val="21"/>
          <w:szCs w:val="21"/>
        </w:rPr>
        <w:t>资料，对文件内容具有独立自主知识产权；</w:t>
      </w:r>
    </w:p>
    <w:p w14:paraId="65C1C9C3">
      <w:pPr>
        <w:spacing w:before="190" w:line="443" w:lineRule="exact"/>
        <w:ind w:left="442"/>
        <w:rPr>
          <w:rFonts w:ascii="宋体" w:hAnsi="宋体" w:eastAsia="宋体" w:cs="宋体"/>
          <w:sz w:val="21"/>
          <w:szCs w:val="21"/>
        </w:rPr>
      </w:pPr>
      <w:r>
        <w:rPr>
          <w:rFonts w:ascii="宋体" w:hAnsi="宋体" w:eastAsia="宋体" w:cs="宋体"/>
          <w:spacing w:val="3"/>
          <w:position w:val="17"/>
          <w:sz w:val="21"/>
          <w:szCs w:val="21"/>
        </w:rPr>
        <w:t>六、本项目经济标（投标报价）是依据本项目给定的图纸、工程量清单、最高投</w:t>
      </w:r>
    </w:p>
    <w:p w14:paraId="6D60FABA">
      <w:pPr>
        <w:spacing w:line="219" w:lineRule="auto"/>
        <w:ind w:left="19"/>
        <w:rPr>
          <w:rFonts w:ascii="宋体" w:hAnsi="宋体" w:eastAsia="宋体" w:cs="宋体"/>
          <w:sz w:val="21"/>
          <w:szCs w:val="21"/>
        </w:rPr>
      </w:pPr>
      <w:r>
        <w:rPr>
          <w:rFonts w:ascii="宋体" w:hAnsi="宋体" w:eastAsia="宋体" w:cs="宋体"/>
          <w:sz w:val="21"/>
          <w:szCs w:val="21"/>
        </w:rPr>
        <w:t>标限价以及现场实际独立编制的，对投标报价编制的完整性、</w:t>
      </w:r>
      <w:r>
        <w:rPr>
          <w:rFonts w:ascii="宋体" w:hAnsi="宋体" w:eastAsia="宋体" w:cs="宋体"/>
          <w:spacing w:val="-1"/>
          <w:sz w:val="21"/>
          <w:szCs w:val="21"/>
        </w:rPr>
        <w:t>准确性负责；</w:t>
      </w:r>
    </w:p>
    <w:p w14:paraId="7944C9C4">
      <w:pPr>
        <w:spacing w:before="187" w:line="387" w:lineRule="auto"/>
        <w:ind w:left="18" w:right="425" w:firstLine="422"/>
        <w:rPr>
          <w:rFonts w:ascii="宋体" w:hAnsi="宋体" w:eastAsia="宋体" w:cs="宋体"/>
          <w:sz w:val="21"/>
          <w:szCs w:val="21"/>
        </w:rPr>
      </w:pPr>
      <w:r>
        <w:rPr>
          <w:rFonts w:ascii="宋体" w:hAnsi="宋体" w:eastAsia="宋体" w:cs="宋体"/>
          <w:sz w:val="21"/>
          <w:szCs w:val="21"/>
        </w:rPr>
        <w:t>七、本项目资信标提供的材料均为我单位真实、有效和完整的材料， 不存在任何</w:t>
      </w:r>
      <w:r>
        <w:rPr>
          <w:rFonts w:ascii="宋体" w:hAnsi="宋体" w:eastAsia="宋体" w:cs="宋体"/>
          <w:spacing w:val="8"/>
          <w:sz w:val="21"/>
          <w:szCs w:val="21"/>
        </w:rPr>
        <w:t xml:space="preserve"> </w:t>
      </w:r>
      <w:r>
        <w:rPr>
          <w:rFonts w:ascii="宋体" w:hAnsi="宋体" w:eastAsia="宋体" w:cs="宋体"/>
          <w:spacing w:val="3"/>
          <w:sz w:val="21"/>
          <w:szCs w:val="21"/>
        </w:rPr>
        <w:t>弄虚作假行为。投标文件所附的各类材料均为我单位提供相关材料和填写的内容在主 体信息库依据规则生成，我单位已对材料进行确认，并认可提供材料的有效性、真实</w:t>
      </w:r>
    </w:p>
    <w:p w14:paraId="10BD5A33">
      <w:pPr>
        <w:spacing w:before="1" w:line="220" w:lineRule="auto"/>
        <w:ind w:left="20"/>
        <w:rPr>
          <w:rFonts w:ascii="宋体" w:hAnsi="宋体" w:eastAsia="宋体" w:cs="宋体"/>
          <w:sz w:val="21"/>
          <w:szCs w:val="21"/>
        </w:rPr>
      </w:pPr>
      <w:r>
        <w:rPr>
          <w:rFonts w:ascii="宋体" w:hAnsi="宋体" w:eastAsia="宋体" w:cs="宋体"/>
          <w:spacing w:val="-1"/>
          <w:sz w:val="21"/>
          <w:szCs w:val="21"/>
        </w:rPr>
        <w:t>性和完整性。</w:t>
      </w:r>
    </w:p>
    <w:p w14:paraId="0BC4B826">
      <w:pPr>
        <w:spacing w:before="191" w:line="386" w:lineRule="auto"/>
        <w:ind w:left="19" w:right="428" w:firstLine="423"/>
        <w:rPr>
          <w:rFonts w:ascii="宋体" w:hAnsi="宋体" w:eastAsia="宋体" w:cs="宋体"/>
          <w:sz w:val="21"/>
          <w:szCs w:val="21"/>
        </w:rPr>
      </w:pPr>
      <w:r>
        <w:rPr>
          <w:rFonts w:ascii="宋体" w:hAnsi="宋体" w:eastAsia="宋体" w:cs="宋体"/>
          <w:sz w:val="21"/>
          <w:szCs w:val="21"/>
        </w:rPr>
        <w:t>我单位对以上声明内容完全负责， 如违反以上任一一款，评标委员会有权依据招</w:t>
      </w:r>
      <w:r>
        <w:rPr>
          <w:rFonts w:ascii="宋体" w:hAnsi="宋体" w:eastAsia="宋体" w:cs="宋体"/>
          <w:spacing w:val="5"/>
          <w:sz w:val="21"/>
          <w:szCs w:val="21"/>
        </w:rPr>
        <w:t xml:space="preserve"> </w:t>
      </w:r>
      <w:r>
        <w:rPr>
          <w:rFonts w:ascii="宋体" w:hAnsi="宋体" w:eastAsia="宋体" w:cs="宋体"/>
          <w:spacing w:val="3"/>
          <w:sz w:val="21"/>
          <w:szCs w:val="21"/>
        </w:rPr>
        <w:t>标文件相应条款否决我单位投标文件，招标人有权依据相关法律不接受我单位投标并</w:t>
      </w:r>
    </w:p>
    <w:p w14:paraId="25D55A4B">
      <w:pPr>
        <w:spacing w:line="220" w:lineRule="auto"/>
        <w:ind w:left="21"/>
        <w:rPr>
          <w:rFonts w:ascii="宋体" w:hAnsi="宋体" w:eastAsia="宋体" w:cs="宋体"/>
          <w:sz w:val="21"/>
          <w:szCs w:val="21"/>
        </w:rPr>
      </w:pPr>
      <w:r>
        <w:rPr>
          <w:rFonts w:ascii="宋体" w:hAnsi="宋体" w:eastAsia="宋体" w:cs="宋体"/>
          <w:spacing w:val="-1"/>
          <w:sz w:val="21"/>
          <w:szCs w:val="21"/>
        </w:rPr>
        <w:t>没收我单位投标保证金，由此造成的一切法律责任和经济损失我单位均予以承担。</w:t>
      </w:r>
    </w:p>
    <w:p w14:paraId="77F50760">
      <w:pPr>
        <w:spacing w:before="191" w:line="221" w:lineRule="auto"/>
        <w:ind w:left="441"/>
        <w:rPr>
          <w:rFonts w:ascii="宋体" w:hAnsi="宋体" w:eastAsia="宋体" w:cs="宋体"/>
          <w:sz w:val="21"/>
          <w:szCs w:val="21"/>
        </w:rPr>
      </w:pPr>
      <w:r>
        <w:rPr>
          <w:rFonts w:ascii="宋体" w:hAnsi="宋体" w:eastAsia="宋体" w:cs="宋体"/>
          <w:spacing w:val="-5"/>
          <w:sz w:val="21"/>
          <w:szCs w:val="21"/>
        </w:rPr>
        <w:t>特此声明！</w:t>
      </w:r>
    </w:p>
    <w:p w14:paraId="73EE1144">
      <w:pPr>
        <w:pStyle w:val="3"/>
        <w:spacing w:line="286" w:lineRule="auto"/>
      </w:pPr>
    </w:p>
    <w:p w14:paraId="1F4906BC">
      <w:pPr>
        <w:pStyle w:val="3"/>
        <w:spacing w:line="287" w:lineRule="auto"/>
      </w:pPr>
    </w:p>
    <w:p w14:paraId="1B0E647A">
      <w:pPr>
        <w:pStyle w:val="3"/>
        <w:spacing w:line="287" w:lineRule="auto"/>
      </w:pPr>
    </w:p>
    <w:p w14:paraId="033537C6">
      <w:pPr>
        <w:pStyle w:val="3"/>
        <w:spacing w:line="287" w:lineRule="auto"/>
      </w:pPr>
    </w:p>
    <w:p w14:paraId="3076DDD9">
      <w:pPr>
        <w:pStyle w:val="3"/>
        <w:spacing w:line="287" w:lineRule="auto"/>
      </w:pPr>
    </w:p>
    <w:p w14:paraId="6D41C6C1">
      <w:pPr>
        <w:spacing w:before="68" w:line="220" w:lineRule="auto"/>
        <w:ind w:left="4118"/>
        <w:rPr>
          <w:rFonts w:ascii="宋体" w:hAnsi="宋体" w:eastAsia="宋体" w:cs="宋体"/>
          <w:sz w:val="21"/>
          <w:szCs w:val="21"/>
        </w:rPr>
      </w:pPr>
      <w:r>
        <w:rPr>
          <w:rFonts w:ascii="宋体" w:hAnsi="宋体" w:eastAsia="宋体" w:cs="宋体"/>
          <w:spacing w:val="-11"/>
          <w:sz w:val="21"/>
          <w:szCs w:val="21"/>
        </w:rPr>
        <w:t>声明单位</w:t>
      </w:r>
      <w:r>
        <w:rPr>
          <w:rFonts w:ascii="宋体" w:hAnsi="宋体" w:eastAsia="宋体" w:cs="宋体"/>
          <w:spacing w:val="-7"/>
          <w:sz w:val="21"/>
          <w:szCs w:val="21"/>
        </w:rPr>
        <w:t>：（</w:t>
      </w:r>
      <w:r>
        <w:rPr>
          <w:rFonts w:ascii="宋体" w:hAnsi="宋体" w:eastAsia="宋体" w:cs="宋体"/>
          <w:spacing w:val="-11"/>
          <w:sz w:val="21"/>
          <w:szCs w:val="21"/>
        </w:rPr>
        <w:t>盖单位章）</w:t>
      </w:r>
    </w:p>
    <w:p w14:paraId="12F55536">
      <w:pPr>
        <w:spacing w:before="187" w:line="220" w:lineRule="auto"/>
        <w:ind w:left="4115"/>
        <w:rPr>
          <w:rFonts w:ascii="宋体" w:hAnsi="宋体" w:eastAsia="宋体" w:cs="宋体"/>
          <w:sz w:val="21"/>
          <w:szCs w:val="21"/>
        </w:rPr>
      </w:pPr>
      <w:r>
        <w:rPr>
          <w:rFonts w:ascii="宋体" w:hAnsi="宋体" w:eastAsia="宋体" w:cs="宋体"/>
          <w:spacing w:val="-7"/>
          <w:sz w:val="21"/>
          <w:szCs w:val="21"/>
        </w:rPr>
        <w:t>法定代表人或授权委托人</w:t>
      </w:r>
      <w:r>
        <w:rPr>
          <w:rFonts w:ascii="宋体" w:hAnsi="宋体" w:eastAsia="宋体" w:cs="宋体"/>
          <w:spacing w:val="-12"/>
          <w:sz w:val="21"/>
          <w:szCs w:val="21"/>
        </w:rPr>
        <w:t>：（</w:t>
      </w:r>
      <w:r>
        <w:rPr>
          <w:rFonts w:ascii="宋体" w:hAnsi="宋体" w:eastAsia="宋体" w:cs="宋体"/>
          <w:spacing w:val="-7"/>
          <w:sz w:val="21"/>
          <w:szCs w:val="21"/>
        </w:rPr>
        <w:t>签章）</w:t>
      </w:r>
    </w:p>
    <w:p w14:paraId="55C8AC39">
      <w:pPr>
        <w:spacing w:before="191" w:line="221" w:lineRule="auto"/>
        <w:ind w:left="4133"/>
        <w:rPr>
          <w:rFonts w:ascii="宋体" w:hAnsi="宋体" w:eastAsia="宋体" w:cs="宋体"/>
          <w:sz w:val="21"/>
          <w:szCs w:val="21"/>
        </w:rPr>
      </w:pPr>
      <w:r>
        <w:rPr>
          <w:rFonts w:ascii="宋体" w:hAnsi="宋体" w:eastAsia="宋体" w:cs="宋体"/>
          <w:spacing w:val="-19"/>
          <w:sz w:val="21"/>
          <w:szCs w:val="21"/>
        </w:rPr>
        <w:t>声明时间：</w:t>
      </w:r>
      <w:r>
        <w:rPr>
          <w:rFonts w:ascii="宋体" w:hAnsi="宋体" w:eastAsia="宋体" w:cs="宋体"/>
          <w:spacing w:val="22"/>
          <w:sz w:val="21"/>
          <w:szCs w:val="21"/>
        </w:rPr>
        <w:t xml:space="preserve">   </w:t>
      </w:r>
      <w:r>
        <w:rPr>
          <w:rFonts w:ascii="宋体" w:hAnsi="宋体" w:eastAsia="宋体" w:cs="宋体"/>
          <w:spacing w:val="-19"/>
          <w:sz w:val="21"/>
          <w:szCs w:val="21"/>
        </w:rPr>
        <w:t>年</w:t>
      </w:r>
      <w:r>
        <w:rPr>
          <w:rFonts w:ascii="宋体" w:hAnsi="宋体" w:eastAsia="宋体" w:cs="宋体"/>
          <w:spacing w:val="5"/>
          <w:sz w:val="21"/>
          <w:szCs w:val="21"/>
        </w:rPr>
        <w:t xml:space="preserve">   </w:t>
      </w:r>
      <w:r>
        <w:rPr>
          <w:rFonts w:ascii="宋体" w:hAnsi="宋体" w:eastAsia="宋体" w:cs="宋体"/>
          <w:spacing w:val="-19"/>
          <w:sz w:val="21"/>
          <w:szCs w:val="21"/>
        </w:rPr>
        <w:t>月</w:t>
      </w:r>
      <w:r>
        <w:rPr>
          <w:rFonts w:ascii="宋体" w:hAnsi="宋体" w:eastAsia="宋体" w:cs="宋体"/>
          <w:spacing w:val="11"/>
          <w:sz w:val="21"/>
          <w:szCs w:val="21"/>
        </w:rPr>
        <w:t xml:space="preserve">    </w:t>
      </w:r>
      <w:r>
        <w:rPr>
          <w:rFonts w:ascii="宋体" w:hAnsi="宋体" w:eastAsia="宋体" w:cs="宋体"/>
          <w:spacing w:val="-19"/>
          <w:sz w:val="21"/>
          <w:szCs w:val="21"/>
        </w:rPr>
        <w:t>日</w:t>
      </w:r>
    </w:p>
    <w:p w14:paraId="2CFB5CC9">
      <w:pPr>
        <w:spacing w:line="221" w:lineRule="auto"/>
        <w:rPr>
          <w:rFonts w:ascii="宋体" w:hAnsi="宋体" w:eastAsia="宋体" w:cs="宋体"/>
          <w:sz w:val="21"/>
          <w:szCs w:val="21"/>
        </w:rPr>
        <w:sectPr>
          <w:footerReference r:id="rId198" w:type="default"/>
          <w:pgSz w:w="11905" w:h="16839"/>
          <w:pgMar w:top="400" w:right="1785" w:bottom="1004" w:left="1785" w:header="0" w:footer="828" w:gutter="0"/>
          <w:pgNumType w:fmt="decimal"/>
          <w:cols w:space="720" w:num="1"/>
        </w:sectPr>
      </w:pPr>
    </w:p>
    <w:p w14:paraId="4AEBCD65">
      <w:pPr>
        <w:pStyle w:val="3"/>
        <w:spacing w:line="255" w:lineRule="auto"/>
      </w:pPr>
    </w:p>
    <w:p w14:paraId="352B8F99">
      <w:pPr>
        <w:pStyle w:val="3"/>
        <w:spacing w:line="256" w:lineRule="auto"/>
      </w:pPr>
    </w:p>
    <w:p w14:paraId="39743318">
      <w:pPr>
        <w:pStyle w:val="3"/>
        <w:spacing w:line="256" w:lineRule="auto"/>
      </w:pPr>
    </w:p>
    <w:p w14:paraId="4469F899">
      <w:pPr>
        <w:pStyle w:val="3"/>
        <w:spacing w:line="256" w:lineRule="auto"/>
      </w:pPr>
    </w:p>
    <w:p w14:paraId="6240E6CA">
      <w:pPr>
        <w:spacing w:before="88" w:line="224" w:lineRule="auto"/>
        <w:ind w:left="2642"/>
        <w:rPr>
          <w:rFonts w:ascii="黑体" w:hAnsi="黑体" w:eastAsia="黑体" w:cs="黑体"/>
          <w:sz w:val="27"/>
          <w:szCs w:val="27"/>
        </w:rPr>
      </w:pPr>
      <w:bookmarkStart w:id="1317" w:name="bookmark302"/>
      <w:bookmarkEnd w:id="1317"/>
      <w:r>
        <w:rPr>
          <w:rFonts w:ascii="黑体" w:hAnsi="黑体" w:eastAsia="黑体" w:cs="黑体"/>
          <w:spacing w:val="8"/>
          <w:sz w:val="27"/>
          <w:szCs w:val="27"/>
        </w:rPr>
        <w:t>二、法定代表人身份证明</w:t>
      </w:r>
    </w:p>
    <w:p w14:paraId="229441D3">
      <w:pPr>
        <w:tabs>
          <w:tab w:val="left" w:pos="6939"/>
        </w:tabs>
        <w:spacing w:before="211" w:line="440" w:lineRule="auto"/>
        <w:ind w:left="18" w:right="1393" w:firstLine="2"/>
        <w:jc w:val="both"/>
        <w:rPr>
          <w:rFonts w:ascii="宋体" w:hAnsi="宋体" w:eastAsia="宋体" w:cs="宋体"/>
          <w:sz w:val="21"/>
          <w:szCs w:val="21"/>
        </w:rPr>
      </w:pPr>
      <w:r>
        <w:rPr>
          <w:rFonts w:ascii="宋体" w:hAnsi="宋体" w:eastAsia="宋体" w:cs="宋体"/>
          <w:spacing w:val="-25"/>
          <w:sz w:val="21"/>
          <w:szCs w:val="21"/>
        </w:rPr>
        <w:t>投</w:t>
      </w:r>
      <w:r>
        <w:rPr>
          <w:rFonts w:ascii="宋体" w:hAnsi="宋体" w:eastAsia="宋体" w:cs="宋体"/>
          <w:spacing w:val="10"/>
          <w:sz w:val="21"/>
          <w:szCs w:val="21"/>
        </w:rPr>
        <w:t xml:space="preserve"> </w:t>
      </w:r>
      <w:r>
        <w:rPr>
          <w:rFonts w:ascii="宋体" w:hAnsi="宋体" w:eastAsia="宋体" w:cs="宋体"/>
          <w:spacing w:val="-25"/>
          <w:sz w:val="21"/>
          <w:szCs w:val="21"/>
        </w:rPr>
        <w:t>标</w:t>
      </w:r>
      <w:r>
        <w:rPr>
          <w:rFonts w:ascii="宋体" w:hAnsi="宋体" w:eastAsia="宋体" w:cs="宋体"/>
          <w:spacing w:val="11"/>
          <w:sz w:val="21"/>
          <w:szCs w:val="21"/>
        </w:rPr>
        <w:t xml:space="preserve"> </w:t>
      </w:r>
      <w:r>
        <w:rPr>
          <w:rFonts w:ascii="宋体" w:hAnsi="宋体" w:eastAsia="宋体" w:cs="宋体"/>
          <w:spacing w:val="-25"/>
          <w:sz w:val="21"/>
          <w:szCs w:val="21"/>
        </w:rPr>
        <w:t>人：</w:t>
      </w:r>
      <w:r>
        <w:rPr>
          <w:rFonts w:ascii="宋体" w:hAnsi="宋体" w:eastAsia="宋体" w:cs="宋体"/>
          <w:spacing w:val="-32"/>
          <w:sz w:val="21"/>
          <w:szCs w:val="21"/>
        </w:rPr>
        <w:t xml:space="preserve"> </w:t>
      </w:r>
      <w:r>
        <w:rPr>
          <w:rFonts w:ascii="宋体" w:hAnsi="宋体" w:eastAsia="宋体" w:cs="宋体"/>
          <w:sz w:val="21"/>
          <w:szCs w:val="21"/>
          <w:u w:val="single" w:color="auto"/>
        </w:rPr>
        <w:tab/>
      </w:r>
      <w:r>
        <w:rPr>
          <w:rFonts w:ascii="宋体" w:hAnsi="宋体" w:eastAsia="宋体" w:cs="宋体"/>
          <w:sz w:val="21"/>
          <w:szCs w:val="21"/>
        </w:rPr>
        <w:t xml:space="preserve"> </w:t>
      </w:r>
      <w:r>
        <w:rPr>
          <w:rFonts w:ascii="宋体" w:hAnsi="宋体" w:eastAsia="宋体" w:cs="宋体"/>
          <w:spacing w:val="-23"/>
          <w:w w:val="96"/>
          <w:sz w:val="21"/>
          <w:szCs w:val="21"/>
        </w:rPr>
        <w:t>单位性质：</w:t>
      </w:r>
      <w:r>
        <w:rPr>
          <w:rFonts w:ascii="宋体" w:hAnsi="宋体" w:eastAsia="宋体" w:cs="宋体"/>
          <w:spacing w:val="49"/>
          <w:sz w:val="21"/>
          <w:szCs w:val="21"/>
        </w:rPr>
        <w:t xml:space="preserve"> </w:t>
      </w:r>
      <w:r>
        <w:rPr>
          <w:rFonts w:ascii="宋体" w:hAnsi="宋体" w:eastAsia="宋体" w:cs="宋体"/>
          <w:sz w:val="21"/>
          <w:szCs w:val="21"/>
          <w:u w:val="single" w:color="auto"/>
        </w:rPr>
        <w:tab/>
      </w:r>
      <w:r>
        <w:rPr>
          <w:rFonts w:ascii="宋体" w:hAnsi="宋体" w:eastAsia="宋体" w:cs="宋体"/>
          <w:sz w:val="21"/>
          <w:szCs w:val="21"/>
        </w:rPr>
        <w:t xml:space="preserve"> </w:t>
      </w:r>
      <w:r>
        <w:rPr>
          <w:rFonts w:ascii="宋体" w:hAnsi="宋体" w:eastAsia="宋体" w:cs="宋体"/>
          <w:spacing w:val="-29"/>
          <w:w w:val="99"/>
          <w:sz w:val="21"/>
          <w:szCs w:val="21"/>
        </w:rPr>
        <w:t>地</w:t>
      </w:r>
      <w:r>
        <w:rPr>
          <w:rFonts w:ascii="宋体" w:hAnsi="宋体" w:eastAsia="宋体" w:cs="宋体"/>
          <w:spacing w:val="4"/>
          <w:sz w:val="21"/>
          <w:szCs w:val="21"/>
        </w:rPr>
        <w:t xml:space="preserve">    </w:t>
      </w:r>
      <w:r>
        <w:rPr>
          <w:rFonts w:ascii="宋体" w:hAnsi="宋体" w:eastAsia="宋体" w:cs="宋体"/>
          <w:spacing w:val="-29"/>
          <w:w w:val="99"/>
          <w:sz w:val="21"/>
          <w:szCs w:val="21"/>
        </w:rPr>
        <w:t>址：</w:t>
      </w:r>
      <w:r>
        <w:rPr>
          <w:rFonts w:ascii="宋体" w:hAnsi="宋体" w:eastAsia="宋体" w:cs="宋体"/>
          <w:spacing w:val="-31"/>
          <w:sz w:val="21"/>
          <w:szCs w:val="21"/>
        </w:rPr>
        <w:t xml:space="preserve"> </w:t>
      </w:r>
      <w:r>
        <w:rPr>
          <w:rFonts w:ascii="宋体" w:hAnsi="宋体" w:eastAsia="宋体" w:cs="宋体"/>
          <w:sz w:val="21"/>
          <w:szCs w:val="21"/>
          <w:u w:val="single" w:color="auto"/>
        </w:rPr>
        <w:t xml:space="preserve">                                                        </w:t>
      </w:r>
    </w:p>
    <w:p w14:paraId="118DF763">
      <w:pPr>
        <w:spacing w:line="220" w:lineRule="auto"/>
        <w:ind w:left="20"/>
        <w:rPr>
          <w:rFonts w:ascii="宋体" w:hAnsi="宋体" w:eastAsia="宋体" w:cs="宋体"/>
          <w:sz w:val="21"/>
          <w:szCs w:val="21"/>
        </w:rPr>
      </w:pPr>
      <w:r>
        <w:rPr>
          <w:rFonts w:ascii="宋体" w:hAnsi="宋体" w:eastAsia="宋体" w:cs="宋体"/>
          <w:spacing w:val="-19"/>
          <w:sz w:val="21"/>
          <w:szCs w:val="21"/>
        </w:rPr>
        <w:t>成立时间：</w:t>
      </w:r>
      <w:r>
        <w:rPr>
          <w:rFonts w:ascii="宋体" w:hAnsi="宋体" w:eastAsia="宋体" w:cs="宋体"/>
          <w:spacing w:val="22"/>
          <w:sz w:val="21"/>
          <w:szCs w:val="21"/>
        </w:rPr>
        <w:t xml:space="preserve"> </w:t>
      </w:r>
      <w:r>
        <w:rPr>
          <w:rFonts w:ascii="宋体" w:hAnsi="宋体" w:eastAsia="宋体" w:cs="宋体"/>
          <w:spacing w:val="6"/>
          <w:sz w:val="21"/>
          <w:szCs w:val="21"/>
          <w:u w:val="single" w:color="auto"/>
        </w:rPr>
        <w:t xml:space="preserve">                </w:t>
      </w:r>
      <w:r>
        <w:rPr>
          <w:rFonts w:ascii="宋体" w:hAnsi="宋体" w:eastAsia="宋体" w:cs="宋体"/>
          <w:spacing w:val="-90"/>
          <w:sz w:val="21"/>
          <w:szCs w:val="21"/>
        </w:rPr>
        <w:t xml:space="preserve"> </w:t>
      </w:r>
      <w:r>
        <w:rPr>
          <w:rFonts w:ascii="宋体" w:hAnsi="宋体" w:eastAsia="宋体" w:cs="宋体"/>
          <w:spacing w:val="-19"/>
          <w:sz w:val="21"/>
          <w:szCs w:val="21"/>
        </w:rPr>
        <w:t>年</w:t>
      </w:r>
      <w:r>
        <w:rPr>
          <w:rFonts w:ascii="宋体" w:hAnsi="宋体" w:eastAsia="宋体" w:cs="宋体"/>
          <w:spacing w:val="8"/>
          <w:sz w:val="21"/>
          <w:szCs w:val="21"/>
          <w:u w:val="single" w:color="auto"/>
        </w:rPr>
        <w:t xml:space="preserve">             </w:t>
      </w:r>
      <w:r>
        <w:rPr>
          <w:rFonts w:ascii="宋体" w:hAnsi="宋体" w:eastAsia="宋体" w:cs="宋体"/>
          <w:spacing w:val="-92"/>
          <w:sz w:val="21"/>
          <w:szCs w:val="21"/>
        </w:rPr>
        <w:t xml:space="preserve"> </w:t>
      </w:r>
      <w:r>
        <w:rPr>
          <w:rFonts w:ascii="宋体" w:hAnsi="宋体" w:eastAsia="宋体" w:cs="宋体"/>
          <w:spacing w:val="-19"/>
          <w:sz w:val="21"/>
          <w:szCs w:val="21"/>
        </w:rPr>
        <w:t>月</w:t>
      </w:r>
      <w:r>
        <w:rPr>
          <w:rFonts w:ascii="宋体" w:hAnsi="宋体" w:eastAsia="宋体" w:cs="宋体"/>
          <w:spacing w:val="8"/>
          <w:sz w:val="21"/>
          <w:szCs w:val="21"/>
          <w:u w:val="single" w:color="auto"/>
        </w:rPr>
        <w:t xml:space="preserve">             </w:t>
      </w:r>
      <w:r>
        <w:rPr>
          <w:rFonts w:ascii="宋体" w:hAnsi="宋体" w:eastAsia="宋体" w:cs="宋体"/>
          <w:spacing w:val="-60"/>
          <w:sz w:val="21"/>
          <w:szCs w:val="21"/>
        </w:rPr>
        <w:t xml:space="preserve"> </w:t>
      </w:r>
      <w:r>
        <w:rPr>
          <w:rFonts w:ascii="宋体" w:hAnsi="宋体" w:eastAsia="宋体" w:cs="宋体"/>
          <w:spacing w:val="-19"/>
          <w:sz w:val="21"/>
          <w:szCs w:val="21"/>
        </w:rPr>
        <w:t>日</w:t>
      </w:r>
    </w:p>
    <w:p w14:paraId="7D6C2A05">
      <w:pPr>
        <w:spacing w:before="248" w:line="221" w:lineRule="auto"/>
        <w:ind w:left="20"/>
        <w:rPr>
          <w:rFonts w:ascii="宋体" w:hAnsi="宋体" w:eastAsia="宋体" w:cs="宋体"/>
          <w:sz w:val="21"/>
          <w:szCs w:val="21"/>
        </w:rPr>
      </w:pPr>
      <w:r>
        <w:rPr>
          <w:rFonts w:ascii="宋体" w:hAnsi="宋体" w:eastAsia="宋体" w:cs="宋体"/>
          <w:spacing w:val="-26"/>
          <w:sz w:val="21"/>
          <w:szCs w:val="21"/>
        </w:rPr>
        <w:t>经营期限：</w:t>
      </w:r>
      <w:r>
        <w:rPr>
          <w:rFonts w:ascii="宋体" w:hAnsi="宋体" w:eastAsia="宋体" w:cs="宋体"/>
          <w:spacing w:val="20"/>
          <w:sz w:val="21"/>
          <w:szCs w:val="21"/>
        </w:rPr>
        <w:t xml:space="preserve"> </w:t>
      </w:r>
      <w:r>
        <w:rPr>
          <w:rFonts w:ascii="宋体" w:hAnsi="宋体" w:eastAsia="宋体" w:cs="宋体"/>
          <w:sz w:val="21"/>
          <w:szCs w:val="21"/>
          <w:u w:val="single" w:color="auto"/>
        </w:rPr>
        <w:t xml:space="preserve">                                                        </w:t>
      </w:r>
    </w:p>
    <w:p w14:paraId="5109C3BF">
      <w:pPr>
        <w:spacing w:before="248" w:line="221" w:lineRule="auto"/>
        <w:ind w:left="18"/>
        <w:rPr>
          <w:rFonts w:ascii="宋体" w:hAnsi="宋体" w:eastAsia="宋体" w:cs="宋体"/>
          <w:sz w:val="21"/>
          <w:szCs w:val="21"/>
        </w:rPr>
      </w:pPr>
      <w:r>
        <w:rPr>
          <w:rFonts w:ascii="宋体" w:hAnsi="宋体" w:eastAsia="宋体" w:cs="宋体"/>
          <w:spacing w:val="-30"/>
          <w:sz w:val="21"/>
          <w:szCs w:val="21"/>
        </w:rPr>
        <w:t>姓</w:t>
      </w:r>
      <w:r>
        <w:rPr>
          <w:rFonts w:ascii="宋体" w:hAnsi="宋体" w:eastAsia="宋体" w:cs="宋体"/>
          <w:spacing w:val="3"/>
          <w:sz w:val="21"/>
          <w:szCs w:val="21"/>
        </w:rPr>
        <w:t xml:space="preserve">    </w:t>
      </w:r>
      <w:r>
        <w:rPr>
          <w:rFonts w:ascii="宋体" w:hAnsi="宋体" w:eastAsia="宋体" w:cs="宋体"/>
          <w:spacing w:val="-30"/>
          <w:sz w:val="21"/>
          <w:szCs w:val="21"/>
        </w:rPr>
        <w:t>名：</w:t>
      </w:r>
      <w:r>
        <w:rPr>
          <w:rFonts w:ascii="宋体" w:hAnsi="宋体" w:eastAsia="宋体" w:cs="宋体"/>
          <w:spacing w:val="-31"/>
          <w:sz w:val="21"/>
          <w:szCs w:val="21"/>
        </w:rPr>
        <w:t xml:space="preserve"> </w:t>
      </w:r>
      <w:r>
        <w:rPr>
          <w:rFonts w:ascii="宋体" w:hAnsi="宋体" w:eastAsia="宋体" w:cs="宋体"/>
          <w:spacing w:val="4"/>
          <w:sz w:val="21"/>
          <w:szCs w:val="21"/>
          <w:u w:val="single" w:color="auto"/>
        </w:rPr>
        <w:t xml:space="preserve">                         </w:t>
      </w:r>
      <w:r>
        <w:rPr>
          <w:rFonts w:ascii="宋体" w:hAnsi="宋体" w:eastAsia="宋体" w:cs="宋体"/>
          <w:spacing w:val="-91"/>
          <w:sz w:val="21"/>
          <w:szCs w:val="21"/>
        </w:rPr>
        <w:t xml:space="preserve"> </w:t>
      </w:r>
      <w:r>
        <w:rPr>
          <w:rFonts w:ascii="宋体" w:hAnsi="宋体" w:eastAsia="宋体" w:cs="宋体"/>
          <w:spacing w:val="-30"/>
          <w:sz w:val="21"/>
          <w:szCs w:val="21"/>
        </w:rPr>
        <w:t>性</w:t>
      </w:r>
      <w:r>
        <w:rPr>
          <w:rFonts w:ascii="宋体" w:hAnsi="宋体" w:eastAsia="宋体" w:cs="宋体"/>
          <w:sz w:val="21"/>
          <w:szCs w:val="21"/>
        </w:rPr>
        <w:t xml:space="preserve">        </w:t>
      </w:r>
      <w:r>
        <w:rPr>
          <w:rFonts w:ascii="宋体" w:hAnsi="宋体" w:eastAsia="宋体" w:cs="宋体"/>
          <w:spacing w:val="-30"/>
          <w:sz w:val="21"/>
          <w:szCs w:val="21"/>
        </w:rPr>
        <w:t>别：</w:t>
      </w:r>
      <w:r>
        <w:rPr>
          <w:rFonts w:ascii="宋体" w:hAnsi="宋体" w:eastAsia="宋体" w:cs="宋体"/>
          <w:spacing w:val="-26"/>
          <w:sz w:val="21"/>
          <w:szCs w:val="21"/>
        </w:rPr>
        <w:t xml:space="preserve"> </w:t>
      </w:r>
      <w:r>
        <w:rPr>
          <w:rFonts w:ascii="宋体" w:hAnsi="宋体" w:eastAsia="宋体" w:cs="宋体"/>
          <w:sz w:val="21"/>
          <w:szCs w:val="21"/>
          <w:u w:val="single" w:color="auto"/>
        </w:rPr>
        <w:t xml:space="preserve">                </w:t>
      </w:r>
    </w:p>
    <w:p w14:paraId="74C6CC34">
      <w:pPr>
        <w:spacing w:before="247" w:line="221" w:lineRule="auto"/>
        <w:ind w:left="19"/>
        <w:rPr>
          <w:rFonts w:ascii="宋体" w:hAnsi="宋体" w:eastAsia="宋体" w:cs="宋体"/>
          <w:sz w:val="21"/>
          <w:szCs w:val="21"/>
        </w:rPr>
      </w:pPr>
      <w:r>
        <w:rPr>
          <w:rFonts w:ascii="宋体" w:hAnsi="宋体" w:eastAsia="宋体" w:cs="宋体"/>
          <w:spacing w:val="-29"/>
          <w:w w:val="99"/>
          <w:sz w:val="21"/>
          <w:szCs w:val="21"/>
        </w:rPr>
        <w:t>年</w:t>
      </w:r>
      <w:r>
        <w:rPr>
          <w:rFonts w:ascii="宋体" w:hAnsi="宋体" w:eastAsia="宋体" w:cs="宋体"/>
          <w:spacing w:val="4"/>
          <w:sz w:val="21"/>
          <w:szCs w:val="21"/>
        </w:rPr>
        <w:t xml:space="preserve">    </w:t>
      </w:r>
      <w:r>
        <w:rPr>
          <w:rFonts w:ascii="宋体" w:hAnsi="宋体" w:eastAsia="宋体" w:cs="宋体"/>
          <w:spacing w:val="-29"/>
          <w:w w:val="99"/>
          <w:sz w:val="21"/>
          <w:szCs w:val="21"/>
        </w:rPr>
        <w:t>龄：</w:t>
      </w:r>
      <w:r>
        <w:rPr>
          <w:rFonts w:ascii="宋体" w:hAnsi="宋体" w:eastAsia="宋体" w:cs="宋体"/>
          <w:spacing w:val="-27"/>
          <w:sz w:val="21"/>
          <w:szCs w:val="21"/>
        </w:rPr>
        <w:t xml:space="preserve"> </w:t>
      </w:r>
      <w:r>
        <w:rPr>
          <w:rFonts w:ascii="宋体" w:hAnsi="宋体" w:eastAsia="宋体" w:cs="宋体"/>
          <w:spacing w:val="4"/>
          <w:sz w:val="21"/>
          <w:szCs w:val="21"/>
          <w:u w:val="single" w:color="auto"/>
        </w:rPr>
        <w:t xml:space="preserve">                         </w:t>
      </w:r>
      <w:r>
        <w:rPr>
          <w:rFonts w:ascii="宋体" w:hAnsi="宋体" w:eastAsia="宋体" w:cs="宋体"/>
          <w:spacing w:val="-93"/>
          <w:sz w:val="21"/>
          <w:szCs w:val="21"/>
        </w:rPr>
        <w:t xml:space="preserve"> </w:t>
      </w:r>
      <w:r>
        <w:rPr>
          <w:rFonts w:ascii="宋体" w:hAnsi="宋体" w:eastAsia="宋体" w:cs="宋体"/>
          <w:spacing w:val="-29"/>
          <w:w w:val="99"/>
          <w:sz w:val="21"/>
          <w:szCs w:val="21"/>
        </w:rPr>
        <w:t>职</w:t>
      </w:r>
      <w:r>
        <w:rPr>
          <w:rFonts w:ascii="宋体" w:hAnsi="宋体" w:eastAsia="宋体" w:cs="宋体"/>
          <w:sz w:val="21"/>
          <w:szCs w:val="21"/>
        </w:rPr>
        <w:t xml:space="preserve">        </w:t>
      </w:r>
      <w:r>
        <w:rPr>
          <w:rFonts w:ascii="宋体" w:hAnsi="宋体" w:eastAsia="宋体" w:cs="宋体"/>
          <w:spacing w:val="-29"/>
          <w:w w:val="99"/>
          <w:sz w:val="21"/>
          <w:szCs w:val="21"/>
        </w:rPr>
        <w:t>务：</w:t>
      </w:r>
      <w:r>
        <w:rPr>
          <w:rFonts w:ascii="宋体" w:hAnsi="宋体" w:eastAsia="宋体" w:cs="宋体"/>
          <w:spacing w:val="-26"/>
          <w:sz w:val="21"/>
          <w:szCs w:val="21"/>
        </w:rPr>
        <w:t xml:space="preserve"> </w:t>
      </w:r>
      <w:r>
        <w:rPr>
          <w:rFonts w:ascii="宋体" w:hAnsi="宋体" w:eastAsia="宋体" w:cs="宋体"/>
          <w:sz w:val="21"/>
          <w:szCs w:val="21"/>
          <w:u w:val="single" w:color="auto"/>
        </w:rPr>
        <w:t xml:space="preserve">                </w:t>
      </w:r>
    </w:p>
    <w:p w14:paraId="638FFB4E">
      <w:pPr>
        <w:spacing w:before="254" w:line="439" w:lineRule="auto"/>
        <w:ind w:left="22"/>
        <w:rPr>
          <w:rFonts w:ascii="宋体" w:hAnsi="宋体" w:eastAsia="宋体" w:cs="宋体"/>
          <w:sz w:val="21"/>
          <w:szCs w:val="21"/>
        </w:rPr>
      </w:pPr>
      <w:r>
        <w:rPr>
          <w:rFonts w:ascii="宋体" w:hAnsi="宋体" w:eastAsia="宋体" w:cs="宋体"/>
          <w:spacing w:val="-17"/>
          <w:sz w:val="21"/>
          <w:szCs w:val="21"/>
        </w:rPr>
        <w:t>系</w:t>
      </w:r>
      <w:r>
        <w:rPr>
          <w:rFonts w:ascii="宋体" w:hAnsi="宋体" w:eastAsia="宋体" w:cs="宋体"/>
          <w:spacing w:val="-99"/>
          <w:sz w:val="21"/>
          <w:szCs w:val="21"/>
        </w:rPr>
        <w:t xml:space="preserve"> </w:t>
      </w:r>
      <w:r>
        <w:rPr>
          <w:rFonts w:ascii="宋体" w:hAnsi="宋体" w:eastAsia="宋体" w:cs="宋体"/>
          <w:sz w:val="21"/>
          <w:szCs w:val="21"/>
          <w:u w:val="single" w:color="auto"/>
        </w:rPr>
        <w:t xml:space="preserve">                                                 </w:t>
      </w:r>
      <w:r>
        <w:rPr>
          <w:rFonts w:ascii="宋体" w:hAnsi="宋体" w:eastAsia="宋体" w:cs="宋体"/>
          <w:spacing w:val="-24"/>
          <w:sz w:val="21"/>
          <w:szCs w:val="21"/>
        </w:rPr>
        <w:t xml:space="preserve"> </w:t>
      </w:r>
      <w:r>
        <w:rPr>
          <w:rFonts w:ascii="宋体" w:hAnsi="宋体" w:eastAsia="宋体" w:cs="宋体"/>
          <w:spacing w:val="-17"/>
          <w:sz w:val="21"/>
          <w:szCs w:val="21"/>
        </w:rPr>
        <w:t>（投标人名称）</w:t>
      </w:r>
      <w:r>
        <w:rPr>
          <w:rFonts w:ascii="宋体" w:hAnsi="宋体" w:eastAsia="宋体" w:cs="宋体"/>
          <w:spacing w:val="35"/>
          <w:sz w:val="21"/>
          <w:szCs w:val="21"/>
        </w:rPr>
        <w:t xml:space="preserve"> </w:t>
      </w:r>
      <w:r>
        <w:rPr>
          <w:rFonts w:ascii="宋体" w:hAnsi="宋体" w:eastAsia="宋体" w:cs="宋体"/>
          <w:spacing w:val="-17"/>
          <w:sz w:val="21"/>
          <w:szCs w:val="21"/>
        </w:rPr>
        <w:t>的法定代表人。</w:t>
      </w:r>
    </w:p>
    <w:p w14:paraId="3F26480D">
      <w:pPr>
        <w:spacing w:before="1" w:line="220" w:lineRule="auto"/>
        <w:ind w:left="18"/>
        <w:rPr>
          <w:rFonts w:ascii="宋体" w:hAnsi="宋体" w:eastAsia="宋体" w:cs="宋体"/>
          <w:sz w:val="21"/>
          <w:szCs w:val="21"/>
        </w:rPr>
      </w:pPr>
      <w:r>
        <w:rPr>
          <w:rFonts w:ascii="宋体" w:hAnsi="宋体" w:eastAsia="宋体" w:cs="宋体"/>
          <w:spacing w:val="-6"/>
          <w:sz w:val="21"/>
          <w:szCs w:val="21"/>
        </w:rPr>
        <w:t>特此证明。</w:t>
      </w:r>
    </w:p>
    <w:p w14:paraId="1C489CF9">
      <w:pPr>
        <w:pStyle w:val="3"/>
        <w:spacing w:line="292" w:lineRule="auto"/>
      </w:pPr>
    </w:p>
    <w:p w14:paraId="6920E55D">
      <w:pPr>
        <w:pStyle w:val="3"/>
        <w:spacing w:line="293" w:lineRule="auto"/>
      </w:pPr>
    </w:p>
    <w:p w14:paraId="1D448CDA">
      <w:pPr>
        <w:pStyle w:val="3"/>
        <w:spacing w:line="293" w:lineRule="auto"/>
      </w:pPr>
    </w:p>
    <w:p w14:paraId="7492DE66">
      <w:pPr>
        <w:pStyle w:val="3"/>
        <w:spacing w:line="293" w:lineRule="auto"/>
      </w:pPr>
    </w:p>
    <w:p w14:paraId="32025070">
      <w:pPr>
        <w:spacing w:before="68" w:line="439" w:lineRule="auto"/>
        <w:ind w:right="11"/>
        <w:jc w:val="right"/>
        <w:rPr>
          <w:rFonts w:ascii="宋体" w:hAnsi="宋体" w:eastAsia="宋体" w:cs="宋体"/>
          <w:sz w:val="21"/>
          <w:szCs w:val="21"/>
        </w:rPr>
      </w:pPr>
      <w:r>
        <w:rPr>
          <w:rFonts w:ascii="宋体" w:hAnsi="宋体" w:eastAsia="宋体" w:cs="宋体"/>
          <w:spacing w:val="-23"/>
          <w:w w:val="98"/>
          <w:sz w:val="21"/>
          <w:szCs w:val="21"/>
        </w:rPr>
        <w:t>投标人</w:t>
      </w:r>
      <w:r>
        <w:rPr>
          <w:rFonts w:ascii="宋体" w:hAnsi="宋体" w:eastAsia="宋体" w:cs="宋体"/>
          <w:spacing w:val="-16"/>
          <w:sz w:val="21"/>
          <w:szCs w:val="21"/>
        </w:rPr>
        <w:t>：</w:t>
      </w:r>
      <w:r>
        <w:rPr>
          <w:rFonts w:ascii="宋体" w:hAnsi="宋体" w:eastAsia="宋体" w:cs="宋体"/>
          <w:spacing w:val="10"/>
          <w:sz w:val="21"/>
          <w:szCs w:val="21"/>
        </w:rPr>
        <w:t xml:space="preserve"> </w:t>
      </w:r>
      <w:r>
        <w:rPr>
          <w:rFonts w:ascii="宋体" w:hAnsi="宋体" w:eastAsia="宋体" w:cs="宋体"/>
          <w:spacing w:val="4"/>
          <w:sz w:val="21"/>
          <w:szCs w:val="21"/>
          <w:u w:val="single" w:color="auto"/>
        </w:rPr>
        <w:t xml:space="preserve">                         </w:t>
      </w:r>
      <w:r>
        <w:rPr>
          <w:rFonts w:ascii="宋体" w:hAnsi="宋体" w:eastAsia="宋体" w:cs="宋体"/>
          <w:spacing w:val="17"/>
          <w:sz w:val="21"/>
          <w:szCs w:val="21"/>
        </w:rPr>
        <w:t xml:space="preserve"> </w:t>
      </w:r>
      <w:r>
        <w:rPr>
          <w:rFonts w:ascii="宋体" w:hAnsi="宋体" w:eastAsia="宋体" w:cs="宋体"/>
          <w:spacing w:val="-16"/>
          <w:sz w:val="21"/>
          <w:szCs w:val="21"/>
        </w:rPr>
        <w:t>（</w:t>
      </w:r>
      <w:r>
        <w:rPr>
          <w:rFonts w:ascii="宋体" w:hAnsi="宋体" w:eastAsia="宋体" w:cs="宋体"/>
          <w:spacing w:val="-23"/>
          <w:w w:val="98"/>
          <w:sz w:val="21"/>
          <w:szCs w:val="21"/>
        </w:rPr>
        <w:t>盖单位章）</w:t>
      </w:r>
    </w:p>
    <w:p w14:paraId="3B8E649F">
      <w:pPr>
        <w:tabs>
          <w:tab w:val="left" w:pos="5915"/>
        </w:tabs>
        <w:spacing w:before="1" w:line="220" w:lineRule="auto"/>
        <w:ind w:left="4965"/>
        <w:rPr>
          <w:rFonts w:ascii="宋体" w:hAnsi="宋体" w:eastAsia="宋体" w:cs="宋体"/>
          <w:sz w:val="21"/>
          <w:szCs w:val="21"/>
        </w:rPr>
      </w:pPr>
      <w:r>
        <w:rPr>
          <w:rFonts w:ascii="宋体" w:hAnsi="宋体" w:eastAsia="宋体" w:cs="宋体"/>
          <w:sz w:val="21"/>
          <w:szCs w:val="21"/>
          <w:u w:val="single" w:color="auto"/>
        </w:rPr>
        <w:tab/>
      </w:r>
      <w:r>
        <w:rPr>
          <w:rFonts w:ascii="宋体" w:hAnsi="宋体" w:eastAsia="宋体" w:cs="宋体"/>
          <w:spacing w:val="-96"/>
          <w:sz w:val="21"/>
          <w:szCs w:val="21"/>
        </w:rPr>
        <w:t xml:space="preserve"> </w:t>
      </w:r>
      <w:r>
        <w:rPr>
          <w:rFonts w:ascii="宋体" w:hAnsi="宋体" w:eastAsia="宋体" w:cs="宋体"/>
          <w:spacing w:val="-7"/>
          <w:sz w:val="21"/>
          <w:szCs w:val="21"/>
        </w:rPr>
        <w:t>年</w:t>
      </w:r>
      <w:r>
        <w:rPr>
          <w:rFonts w:ascii="宋体" w:hAnsi="宋体" w:eastAsia="宋体" w:cs="宋体"/>
          <w:spacing w:val="14"/>
          <w:sz w:val="21"/>
          <w:szCs w:val="21"/>
          <w:u w:val="single" w:color="auto"/>
        </w:rPr>
        <w:t xml:space="preserve">       </w:t>
      </w:r>
      <w:r>
        <w:rPr>
          <w:rFonts w:ascii="宋体" w:hAnsi="宋体" w:eastAsia="宋体" w:cs="宋体"/>
          <w:spacing w:val="-89"/>
          <w:sz w:val="21"/>
          <w:szCs w:val="21"/>
        </w:rPr>
        <w:t xml:space="preserve"> </w:t>
      </w:r>
      <w:r>
        <w:rPr>
          <w:rFonts w:ascii="宋体" w:hAnsi="宋体" w:eastAsia="宋体" w:cs="宋体"/>
          <w:spacing w:val="-7"/>
          <w:sz w:val="21"/>
          <w:szCs w:val="21"/>
        </w:rPr>
        <w:t>月</w:t>
      </w:r>
      <w:r>
        <w:rPr>
          <w:rFonts w:ascii="宋体" w:hAnsi="宋体" w:eastAsia="宋体" w:cs="宋体"/>
          <w:spacing w:val="-105"/>
          <w:sz w:val="21"/>
          <w:szCs w:val="21"/>
        </w:rPr>
        <w:t xml:space="preserve"> </w:t>
      </w:r>
      <w:r>
        <w:rPr>
          <w:rFonts w:ascii="宋体" w:hAnsi="宋体" w:eastAsia="宋体" w:cs="宋体"/>
          <w:sz w:val="21"/>
          <w:szCs w:val="21"/>
          <w:u w:val="single" w:color="auto"/>
        </w:rPr>
        <w:t xml:space="preserve">        </w:t>
      </w:r>
      <w:r>
        <w:rPr>
          <w:rFonts w:ascii="宋体" w:hAnsi="宋体" w:eastAsia="宋体" w:cs="宋体"/>
          <w:spacing w:val="-60"/>
          <w:sz w:val="21"/>
          <w:szCs w:val="21"/>
        </w:rPr>
        <w:t xml:space="preserve"> </w:t>
      </w:r>
      <w:r>
        <w:rPr>
          <w:rFonts w:ascii="宋体" w:hAnsi="宋体" w:eastAsia="宋体" w:cs="宋体"/>
          <w:spacing w:val="-7"/>
          <w:sz w:val="21"/>
          <w:szCs w:val="21"/>
        </w:rPr>
        <w:t>日</w:t>
      </w:r>
    </w:p>
    <w:p w14:paraId="5198653D">
      <w:pPr>
        <w:spacing w:line="220" w:lineRule="auto"/>
        <w:rPr>
          <w:rFonts w:ascii="宋体" w:hAnsi="宋体" w:eastAsia="宋体" w:cs="宋体"/>
          <w:sz w:val="21"/>
          <w:szCs w:val="21"/>
        </w:rPr>
        <w:sectPr>
          <w:footerReference r:id="rId199" w:type="default"/>
          <w:pgSz w:w="11905" w:h="16839"/>
          <w:pgMar w:top="400" w:right="1785" w:bottom="1004" w:left="1785" w:header="0" w:footer="828" w:gutter="0"/>
          <w:pgNumType w:fmt="decimal"/>
          <w:cols w:space="720" w:num="1"/>
        </w:sectPr>
      </w:pPr>
    </w:p>
    <w:p w14:paraId="62237494">
      <w:pPr>
        <w:pStyle w:val="3"/>
        <w:spacing w:line="256" w:lineRule="auto"/>
      </w:pPr>
    </w:p>
    <w:p w14:paraId="05D98E3D">
      <w:pPr>
        <w:pStyle w:val="3"/>
        <w:spacing w:line="256" w:lineRule="auto"/>
      </w:pPr>
    </w:p>
    <w:p w14:paraId="75F2AC17">
      <w:pPr>
        <w:pStyle w:val="3"/>
        <w:spacing w:line="256" w:lineRule="auto"/>
      </w:pPr>
    </w:p>
    <w:p w14:paraId="283FDB49">
      <w:pPr>
        <w:pStyle w:val="3"/>
        <w:spacing w:line="256" w:lineRule="auto"/>
      </w:pPr>
    </w:p>
    <w:p w14:paraId="4AA23A63">
      <w:pPr>
        <w:spacing w:before="88" w:line="225" w:lineRule="auto"/>
        <w:ind w:left="3204"/>
        <w:rPr>
          <w:rFonts w:ascii="黑体" w:hAnsi="黑体" w:eastAsia="黑体" w:cs="黑体"/>
          <w:sz w:val="27"/>
          <w:szCs w:val="27"/>
        </w:rPr>
      </w:pPr>
      <w:bookmarkStart w:id="1318" w:name="bookmark303"/>
      <w:bookmarkEnd w:id="1318"/>
      <w:r>
        <w:rPr>
          <w:rFonts w:ascii="黑体" w:hAnsi="黑体" w:eastAsia="黑体" w:cs="黑体"/>
          <w:spacing w:val="6"/>
          <w:sz w:val="27"/>
          <w:szCs w:val="27"/>
        </w:rPr>
        <w:t>二、授权委托书</w:t>
      </w:r>
    </w:p>
    <w:p w14:paraId="40CD8EB6">
      <w:pPr>
        <w:pStyle w:val="3"/>
        <w:spacing w:line="320" w:lineRule="auto"/>
      </w:pPr>
    </w:p>
    <w:p w14:paraId="610AF5BD">
      <w:pPr>
        <w:pStyle w:val="3"/>
        <w:spacing w:line="320" w:lineRule="auto"/>
      </w:pPr>
    </w:p>
    <w:p w14:paraId="552AE8B7">
      <w:pPr>
        <w:spacing w:before="68" w:line="439" w:lineRule="auto"/>
        <w:ind w:left="18" w:firstLine="423"/>
        <w:jc w:val="both"/>
        <w:rPr>
          <w:rFonts w:ascii="宋体" w:hAnsi="宋体" w:eastAsia="宋体" w:cs="宋体"/>
          <w:sz w:val="21"/>
          <w:szCs w:val="21"/>
        </w:rPr>
      </w:pPr>
      <w:r>
        <w:rPr>
          <w:rFonts w:ascii="宋体" w:hAnsi="宋体" w:eastAsia="宋体" w:cs="宋体"/>
          <w:spacing w:val="-10"/>
          <w:sz w:val="21"/>
          <w:szCs w:val="21"/>
        </w:rPr>
        <w:t>本人</w:t>
      </w:r>
      <w:r>
        <w:rPr>
          <w:rFonts w:ascii="宋体" w:hAnsi="宋体" w:eastAsia="宋体" w:cs="宋体"/>
          <w:spacing w:val="-10"/>
          <w:sz w:val="21"/>
          <w:szCs w:val="21"/>
          <w:u w:val="single" w:color="auto"/>
        </w:rPr>
        <w:t xml:space="preserve">         </w:t>
      </w:r>
      <w:r>
        <w:rPr>
          <w:rFonts w:ascii="宋体" w:hAnsi="宋体" w:eastAsia="宋体" w:cs="宋体"/>
          <w:spacing w:val="-10"/>
          <w:sz w:val="21"/>
          <w:szCs w:val="21"/>
        </w:rPr>
        <w:t xml:space="preserve"> （姓名）系</w:t>
      </w:r>
      <w:r>
        <w:rPr>
          <w:rFonts w:ascii="宋体" w:hAnsi="宋体" w:eastAsia="宋体" w:cs="宋体"/>
          <w:spacing w:val="-70"/>
          <w:sz w:val="21"/>
          <w:szCs w:val="21"/>
        </w:rPr>
        <w:t xml:space="preserve"> </w:t>
      </w:r>
      <w:r>
        <w:rPr>
          <w:rFonts w:ascii="宋体" w:hAnsi="宋体" w:eastAsia="宋体" w:cs="宋体"/>
          <w:spacing w:val="8"/>
          <w:sz w:val="21"/>
          <w:szCs w:val="21"/>
          <w:u w:val="single" w:color="auto"/>
        </w:rPr>
        <w:t xml:space="preserve">        </w:t>
      </w:r>
      <w:r>
        <w:rPr>
          <w:rFonts w:ascii="宋体" w:hAnsi="宋体" w:eastAsia="宋体" w:cs="宋体"/>
          <w:spacing w:val="17"/>
          <w:sz w:val="21"/>
          <w:szCs w:val="21"/>
        </w:rPr>
        <w:t xml:space="preserve"> </w:t>
      </w:r>
      <w:r>
        <w:rPr>
          <w:rFonts w:ascii="宋体" w:hAnsi="宋体" w:eastAsia="宋体" w:cs="宋体"/>
          <w:spacing w:val="-10"/>
          <w:sz w:val="21"/>
          <w:szCs w:val="21"/>
        </w:rPr>
        <w:t>（投标人名称）的法定代表人，现委托</w:t>
      </w:r>
      <w:r>
        <w:rPr>
          <w:rFonts w:ascii="宋体" w:hAnsi="宋体" w:eastAsia="宋体" w:cs="宋体"/>
          <w:spacing w:val="-103"/>
          <w:sz w:val="21"/>
          <w:szCs w:val="21"/>
        </w:rPr>
        <w:t xml:space="preserve"> </w:t>
      </w:r>
      <w:r>
        <w:rPr>
          <w:rFonts w:ascii="宋体" w:hAnsi="宋体" w:eastAsia="宋体" w:cs="宋体"/>
          <w:spacing w:val="16"/>
          <w:sz w:val="21"/>
          <w:szCs w:val="21"/>
          <w:u w:val="single" w:color="auto"/>
        </w:rPr>
        <w:t xml:space="preserve">     </w:t>
      </w:r>
      <w:r>
        <w:rPr>
          <w:rFonts w:ascii="宋体" w:hAnsi="宋体" w:eastAsia="宋体" w:cs="宋体"/>
          <w:spacing w:val="-48"/>
          <w:sz w:val="21"/>
          <w:szCs w:val="21"/>
        </w:rPr>
        <w:t xml:space="preserve"> </w:t>
      </w:r>
      <w:r>
        <w:rPr>
          <w:rFonts w:ascii="宋体" w:hAnsi="宋体" w:eastAsia="宋体" w:cs="宋体"/>
          <w:spacing w:val="-10"/>
          <w:sz w:val="21"/>
          <w:szCs w:val="21"/>
        </w:rPr>
        <w:t>（姓</w:t>
      </w:r>
      <w:r>
        <w:rPr>
          <w:rFonts w:ascii="宋体" w:hAnsi="宋体" w:eastAsia="宋体" w:cs="宋体"/>
          <w:sz w:val="21"/>
          <w:szCs w:val="21"/>
        </w:rPr>
        <w:t xml:space="preserve">  </w:t>
      </w:r>
      <w:r>
        <w:rPr>
          <w:rFonts w:ascii="宋体" w:hAnsi="宋体" w:eastAsia="宋体" w:cs="宋体"/>
          <w:spacing w:val="2"/>
          <w:sz w:val="21"/>
          <w:szCs w:val="21"/>
        </w:rPr>
        <w:t>名）为我方代理人。代理人根据授权，以我方名义签署、澄清、说明、补正、递交、撤回、</w:t>
      </w:r>
      <w:r>
        <w:rPr>
          <w:rFonts w:ascii="宋体" w:hAnsi="宋体" w:eastAsia="宋体" w:cs="宋体"/>
          <w:spacing w:val="1"/>
          <w:sz w:val="21"/>
          <w:szCs w:val="21"/>
        </w:rPr>
        <w:t xml:space="preserve"> </w:t>
      </w:r>
      <w:r>
        <w:rPr>
          <w:rFonts w:ascii="宋体" w:hAnsi="宋体" w:eastAsia="宋体" w:cs="宋体"/>
          <w:spacing w:val="-7"/>
          <w:sz w:val="21"/>
          <w:szCs w:val="21"/>
        </w:rPr>
        <w:t>修改</w:t>
      </w:r>
      <w:r>
        <w:rPr>
          <w:rFonts w:ascii="宋体" w:hAnsi="宋体" w:eastAsia="宋体" w:cs="宋体"/>
          <w:spacing w:val="-104"/>
          <w:sz w:val="21"/>
          <w:szCs w:val="21"/>
        </w:rPr>
        <w:t xml:space="preserve"> </w:t>
      </w:r>
      <w:r>
        <w:rPr>
          <w:rFonts w:ascii="宋体" w:hAnsi="宋体" w:eastAsia="宋体" w:cs="宋体"/>
          <w:spacing w:val="-7"/>
          <w:sz w:val="21"/>
          <w:szCs w:val="21"/>
          <w:u w:val="single" w:color="auto"/>
        </w:rPr>
        <w:t xml:space="preserve">            </w:t>
      </w:r>
      <w:r>
        <w:rPr>
          <w:rFonts w:ascii="宋体" w:hAnsi="宋体" w:eastAsia="宋体" w:cs="宋体"/>
          <w:spacing w:val="-7"/>
          <w:sz w:val="21"/>
          <w:szCs w:val="21"/>
        </w:rPr>
        <w:t xml:space="preserve"> （标段名称）项目</w:t>
      </w:r>
      <w:r>
        <w:rPr>
          <w:rFonts w:ascii="宋体" w:hAnsi="宋体" w:eastAsia="宋体" w:cs="宋体"/>
          <w:spacing w:val="-26"/>
          <w:sz w:val="21"/>
          <w:szCs w:val="21"/>
        </w:rPr>
        <w:t xml:space="preserve"> </w:t>
      </w:r>
      <w:r>
        <w:rPr>
          <w:rFonts w:ascii="宋体" w:hAnsi="宋体" w:eastAsia="宋体" w:cs="宋体"/>
          <w:spacing w:val="-7"/>
          <w:sz w:val="21"/>
          <w:szCs w:val="21"/>
        </w:rPr>
        <w:t>（标段唯一标识码</w:t>
      </w:r>
      <w:r>
        <w:rPr>
          <w:rFonts w:ascii="宋体" w:hAnsi="宋体" w:eastAsia="宋体" w:cs="宋体"/>
          <w:spacing w:val="-12"/>
          <w:sz w:val="21"/>
          <w:szCs w:val="21"/>
        </w:rPr>
        <w:t>：</w:t>
      </w:r>
      <w:r>
        <w:rPr>
          <w:rFonts w:ascii="宋体" w:hAnsi="宋体" w:eastAsia="宋体" w:cs="宋体"/>
          <w:spacing w:val="-28"/>
          <w:sz w:val="21"/>
          <w:szCs w:val="21"/>
        </w:rPr>
        <w:t xml:space="preserve"> </w:t>
      </w:r>
      <w:r>
        <w:rPr>
          <w:rFonts w:ascii="宋体" w:hAnsi="宋体" w:eastAsia="宋体" w:cs="宋体"/>
          <w:spacing w:val="8"/>
          <w:sz w:val="21"/>
          <w:szCs w:val="21"/>
          <w:u w:val="single" w:color="auto"/>
        </w:rPr>
        <w:t xml:space="preserve">     </w:t>
      </w:r>
      <w:r>
        <w:rPr>
          <w:rFonts w:ascii="宋体" w:hAnsi="宋体" w:eastAsia="宋体" w:cs="宋体"/>
          <w:spacing w:val="-73"/>
          <w:sz w:val="21"/>
          <w:szCs w:val="21"/>
        </w:rPr>
        <w:t xml:space="preserve"> </w:t>
      </w:r>
      <w:r>
        <w:rPr>
          <w:rFonts w:ascii="宋体" w:hAnsi="宋体" w:eastAsia="宋体" w:cs="宋体"/>
          <w:spacing w:val="-12"/>
          <w:sz w:val="21"/>
          <w:szCs w:val="21"/>
        </w:rPr>
        <w:t>）</w:t>
      </w:r>
      <w:r>
        <w:rPr>
          <w:rFonts w:ascii="宋体" w:hAnsi="宋体" w:eastAsia="宋体" w:cs="宋体"/>
          <w:spacing w:val="-7"/>
          <w:sz w:val="21"/>
          <w:szCs w:val="21"/>
        </w:rPr>
        <w:t>投标文件、签订合同和处</w:t>
      </w:r>
    </w:p>
    <w:p w14:paraId="58D53355">
      <w:pPr>
        <w:spacing w:line="220" w:lineRule="auto"/>
        <w:ind w:left="20"/>
        <w:rPr>
          <w:rFonts w:ascii="宋体" w:hAnsi="宋体" w:eastAsia="宋体" w:cs="宋体"/>
          <w:sz w:val="21"/>
          <w:szCs w:val="21"/>
        </w:rPr>
      </w:pPr>
      <w:r>
        <w:rPr>
          <w:rFonts w:ascii="宋体" w:hAnsi="宋体" w:eastAsia="宋体" w:cs="宋体"/>
          <w:spacing w:val="-2"/>
          <w:sz w:val="21"/>
          <w:szCs w:val="21"/>
        </w:rPr>
        <w:t>理有关事宜，其法律后果由我方承担。</w:t>
      </w:r>
    </w:p>
    <w:p w14:paraId="4323B96C">
      <w:pPr>
        <w:pStyle w:val="3"/>
        <w:spacing w:line="298" w:lineRule="auto"/>
      </w:pPr>
    </w:p>
    <w:p w14:paraId="35CDDE4F">
      <w:pPr>
        <w:spacing w:before="69" w:line="221" w:lineRule="auto"/>
        <w:ind w:left="440"/>
        <w:rPr>
          <w:rFonts w:ascii="宋体" w:hAnsi="宋体" w:eastAsia="宋体" w:cs="宋体"/>
          <w:sz w:val="21"/>
          <w:szCs w:val="21"/>
        </w:rPr>
      </w:pPr>
      <w:r>
        <w:rPr>
          <w:rFonts w:ascii="宋体" w:hAnsi="宋体" w:eastAsia="宋体" w:cs="宋体"/>
          <w:spacing w:val="-26"/>
          <w:sz w:val="21"/>
          <w:szCs w:val="21"/>
        </w:rPr>
        <w:t>委托期限：</w:t>
      </w:r>
      <w:r>
        <w:rPr>
          <w:rFonts w:ascii="宋体" w:hAnsi="宋体" w:eastAsia="宋体" w:cs="宋体"/>
          <w:spacing w:val="49"/>
          <w:sz w:val="21"/>
          <w:szCs w:val="21"/>
        </w:rPr>
        <w:t xml:space="preserve"> </w:t>
      </w:r>
      <w:r>
        <w:rPr>
          <w:rFonts w:ascii="宋体" w:hAnsi="宋体" w:eastAsia="宋体" w:cs="宋体"/>
          <w:spacing w:val="2"/>
          <w:sz w:val="21"/>
          <w:szCs w:val="21"/>
          <w:u w:val="single" w:color="auto"/>
        </w:rPr>
        <w:t xml:space="preserve">                                              </w:t>
      </w:r>
      <w:r>
        <w:rPr>
          <w:rFonts w:ascii="宋体" w:hAnsi="宋体" w:eastAsia="宋体" w:cs="宋体"/>
          <w:spacing w:val="1"/>
          <w:sz w:val="21"/>
          <w:szCs w:val="21"/>
          <w:u w:val="single" w:color="auto"/>
        </w:rPr>
        <w:t xml:space="preserve">          </w:t>
      </w:r>
      <w:r>
        <w:rPr>
          <w:rFonts w:ascii="宋体" w:hAnsi="宋体" w:eastAsia="宋体" w:cs="宋体"/>
          <w:spacing w:val="-26"/>
          <w:sz w:val="21"/>
          <w:szCs w:val="21"/>
        </w:rPr>
        <w:t>。</w:t>
      </w:r>
    </w:p>
    <w:p w14:paraId="29DCB6DD">
      <w:pPr>
        <w:pStyle w:val="3"/>
        <w:spacing w:line="416" w:lineRule="auto"/>
      </w:pPr>
    </w:p>
    <w:p w14:paraId="32588CE5">
      <w:pPr>
        <w:spacing w:before="68" w:line="221" w:lineRule="auto"/>
        <w:ind w:left="440"/>
        <w:rPr>
          <w:rFonts w:ascii="宋体" w:hAnsi="宋体" w:eastAsia="宋体" w:cs="宋体"/>
          <w:sz w:val="21"/>
          <w:szCs w:val="21"/>
        </w:rPr>
      </w:pPr>
      <w:r>
        <w:rPr>
          <w:rFonts w:ascii="宋体" w:hAnsi="宋体" w:eastAsia="宋体" w:cs="宋体"/>
          <w:spacing w:val="-3"/>
          <w:sz w:val="21"/>
          <w:szCs w:val="21"/>
        </w:rPr>
        <w:t>代理人无转委托权。</w:t>
      </w:r>
    </w:p>
    <w:p w14:paraId="07DD5527">
      <w:pPr>
        <w:pStyle w:val="3"/>
        <w:spacing w:line="422" w:lineRule="auto"/>
      </w:pPr>
    </w:p>
    <w:p w14:paraId="08175C4B">
      <w:pPr>
        <w:spacing w:before="68" w:line="220" w:lineRule="auto"/>
        <w:ind w:left="2396"/>
        <w:rPr>
          <w:rFonts w:ascii="宋体" w:hAnsi="宋体" w:eastAsia="宋体" w:cs="宋体"/>
          <w:sz w:val="21"/>
          <w:szCs w:val="21"/>
        </w:rPr>
      </w:pPr>
      <w:r>
        <w:rPr>
          <w:rFonts w:ascii="宋体" w:hAnsi="宋体" w:eastAsia="宋体" w:cs="宋体"/>
          <w:spacing w:val="-2"/>
          <w:sz w:val="21"/>
          <w:szCs w:val="21"/>
        </w:rPr>
        <w:t>（附授权委托人身份证正反面复印件）</w:t>
      </w:r>
    </w:p>
    <w:p w14:paraId="17B8280B">
      <w:pPr>
        <w:pStyle w:val="3"/>
        <w:spacing w:line="262" w:lineRule="auto"/>
      </w:pPr>
    </w:p>
    <w:p w14:paraId="526A8803">
      <w:pPr>
        <w:pStyle w:val="3"/>
        <w:spacing w:line="262" w:lineRule="auto"/>
      </w:pPr>
    </w:p>
    <w:p w14:paraId="3BA96EFD">
      <w:pPr>
        <w:pStyle w:val="3"/>
        <w:spacing w:line="262" w:lineRule="auto"/>
      </w:pPr>
    </w:p>
    <w:p w14:paraId="4850A8B0">
      <w:pPr>
        <w:pStyle w:val="3"/>
        <w:spacing w:line="262" w:lineRule="auto"/>
      </w:pPr>
    </w:p>
    <w:p w14:paraId="644FC7D8">
      <w:pPr>
        <w:pStyle w:val="3"/>
        <w:spacing w:line="262" w:lineRule="auto"/>
      </w:pPr>
    </w:p>
    <w:p w14:paraId="58F0D635">
      <w:pPr>
        <w:pStyle w:val="3"/>
        <w:spacing w:line="263" w:lineRule="auto"/>
      </w:pPr>
    </w:p>
    <w:p w14:paraId="00AB8067">
      <w:pPr>
        <w:spacing w:before="69" w:line="220" w:lineRule="auto"/>
        <w:ind w:left="3593"/>
        <w:rPr>
          <w:rFonts w:ascii="宋体" w:hAnsi="宋体" w:eastAsia="宋体" w:cs="宋体"/>
          <w:sz w:val="21"/>
          <w:szCs w:val="21"/>
        </w:rPr>
      </w:pPr>
      <w:r>
        <w:rPr>
          <w:rFonts w:ascii="宋体" w:hAnsi="宋体" w:eastAsia="宋体" w:cs="宋体"/>
          <w:spacing w:val="-10"/>
          <w:sz w:val="21"/>
          <w:szCs w:val="21"/>
        </w:rPr>
        <w:t>投</w:t>
      </w:r>
      <w:r>
        <w:rPr>
          <w:rFonts w:ascii="宋体" w:hAnsi="宋体" w:eastAsia="宋体" w:cs="宋体"/>
          <w:spacing w:val="5"/>
          <w:sz w:val="21"/>
          <w:szCs w:val="21"/>
        </w:rPr>
        <w:t xml:space="preserve">  </w:t>
      </w:r>
      <w:r>
        <w:rPr>
          <w:rFonts w:ascii="宋体" w:hAnsi="宋体" w:eastAsia="宋体" w:cs="宋体"/>
          <w:spacing w:val="-10"/>
          <w:sz w:val="21"/>
          <w:szCs w:val="21"/>
        </w:rPr>
        <w:t>标</w:t>
      </w:r>
      <w:r>
        <w:rPr>
          <w:rFonts w:ascii="宋体" w:hAnsi="宋体" w:eastAsia="宋体" w:cs="宋体"/>
          <w:spacing w:val="5"/>
          <w:sz w:val="21"/>
          <w:szCs w:val="21"/>
        </w:rPr>
        <w:t xml:space="preserve">  </w:t>
      </w:r>
      <w:r>
        <w:rPr>
          <w:rFonts w:ascii="宋体" w:hAnsi="宋体" w:eastAsia="宋体" w:cs="宋体"/>
          <w:spacing w:val="-10"/>
          <w:sz w:val="21"/>
          <w:szCs w:val="21"/>
        </w:rPr>
        <w:t>人</w:t>
      </w:r>
      <w:r>
        <w:rPr>
          <w:rFonts w:ascii="宋体" w:hAnsi="宋体" w:eastAsia="宋体" w:cs="宋体"/>
          <w:spacing w:val="-15"/>
          <w:sz w:val="21"/>
          <w:szCs w:val="21"/>
        </w:rPr>
        <w:t>：</w:t>
      </w:r>
      <w:r>
        <w:rPr>
          <w:rFonts w:ascii="宋体" w:hAnsi="宋体" w:eastAsia="宋体" w:cs="宋体"/>
          <w:spacing w:val="-33"/>
          <w:sz w:val="21"/>
          <w:szCs w:val="21"/>
        </w:rPr>
        <w:t xml:space="preserve"> </w:t>
      </w:r>
      <w:r>
        <w:rPr>
          <w:rFonts w:ascii="宋体" w:hAnsi="宋体" w:eastAsia="宋体" w:cs="宋体"/>
          <w:sz w:val="21"/>
          <w:szCs w:val="21"/>
          <w:u w:val="single" w:color="auto"/>
        </w:rPr>
        <w:t xml:space="preserve">                     </w:t>
      </w:r>
      <w:r>
        <w:rPr>
          <w:rFonts w:ascii="宋体" w:hAnsi="宋体" w:eastAsia="宋体" w:cs="宋体"/>
          <w:spacing w:val="-15"/>
          <w:sz w:val="21"/>
          <w:szCs w:val="21"/>
        </w:rPr>
        <w:t>（</w:t>
      </w:r>
      <w:r>
        <w:rPr>
          <w:rFonts w:ascii="宋体" w:hAnsi="宋体" w:eastAsia="宋体" w:cs="宋体"/>
          <w:spacing w:val="-10"/>
          <w:sz w:val="21"/>
          <w:szCs w:val="21"/>
        </w:rPr>
        <w:t>盖单位章）</w:t>
      </w:r>
    </w:p>
    <w:p w14:paraId="63BAB189">
      <w:pPr>
        <w:pStyle w:val="3"/>
      </w:pPr>
    </w:p>
    <w:p w14:paraId="55B009D0">
      <w:pPr>
        <w:pStyle w:val="3"/>
      </w:pPr>
    </w:p>
    <w:p w14:paraId="1545A42F">
      <w:pPr>
        <w:spacing w:before="68" w:line="220" w:lineRule="auto"/>
        <w:ind w:left="3591"/>
        <w:rPr>
          <w:rFonts w:ascii="宋体" w:hAnsi="宋体" w:eastAsia="宋体" w:cs="宋体"/>
          <w:sz w:val="21"/>
          <w:szCs w:val="21"/>
        </w:rPr>
      </w:pPr>
      <w:r>
        <w:rPr>
          <w:rFonts w:ascii="宋体" w:hAnsi="宋体" w:eastAsia="宋体" w:cs="宋体"/>
          <w:spacing w:val="-12"/>
          <w:sz w:val="21"/>
          <w:szCs w:val="21"/>
        </w:rPr>
        <w:t>法定代表人</w:t>
      </w:r>
      <w:r>
        <w:rPr>
          <w:rFonts w:ascii="宋体" w:hAnsi="宋体" w:eastAsia="宋体" w:cs="宋体"/>
          <w:sz w:val="21"/>
          <w:szCs w:val="21"/>
        </w:rPr>
        <w:t>：</w:t>
      </w:r>
      <w:r>
        <w:rPr>
          <w:rFonts w:ascii="宋体" w:hAnsi="宋体" w:eastAsia="宋体" w:cs="宋体"/>
          <w:sz w:val="21"/>
          <w:szCs w:val="21"/>
          <w:u w:val="single" w:color="auto"/>
        </w:rPr>
        <w:t xml:space="preserve">                        </w:t>
      </w:r>
      <w:r>
        <w:rPr>
          <w:rFonts w:ascii="宋体" w:hAnsi="宋体" w:eastAsia="宋体" w:cs="宋体"/>
          <w:spacing w:val="-28"/>
          <w:sz w:val="21"/>
          <w:szCs w:val="21"/>
        </w:rPr>
        <w:t xml:space="preserve"> </w:t>
      </w:r>
      <w:r>
        <w:rPr>
          <w:rFonts w:ascii="宋体" w:hAnsi="宋体" w:eastAsia="宋体" w:cs="宋体"/>
          <w:sz w:val="21"/>
          <w:szCs w:val="21"/>
        </w:rPr>
        <w:t>（</w:t>
      </w:r>
      <w:r>
        <w:rPr>
          <w:rFonts w:ascii="宋体" w:hAnsi="宋体" w:eastAsia="宋体" w:cs="宋体"/>
          <w:spacing w:val="-12"/>
          <w:sz w:val="21"/>
          <w:szCs w:val="21"/>
        </w:rPr>
        <w:t>签章）</w:t>
      </w:r>
    </w:p>
    <w:p w14:paraId="00AB1DA4">
      <w:pPr>
        <w:pStyle w:val="3"/>
        <w:spacing w:line="475" w:lineRule="auto"/>
      </w:pPr>
    </w:p>
    <w:p w14:paraId="191265C4">
      <w:pPr>
        <w:spacing w:before="69" w:line="221" w:lineRule="auto"/>
        <w:ind w:left="3596"/>
        <w:rPr>
          <w:rFonts w:ascii="宋体" w:hAnsi="宋体" w:eastAsia="宋体" w:cs="宋体"/>
          <w:sz w:val="21"/>
          <w:szCs w:val="21"/>
        </w:rPr>
      </w:pPr>
      <w:r>
        <w:rPr>
          <w:rFonts w:ascii="宋体" w:hAnsi="宋体" w:eastAsia="宋体" w:cs="宋体"/>
          <w:spacing w:val="-2"/>
          <w:sz w:val="21"/>
          <w:szCs w:val="21"/>
        </w:rPr>
        <w:t>身份证号码：</w:t>
      </w:r>
      <w:r>
        <w:rPr>
          <w:rFonts w:ascii="宋体" w:hAnsi="宋体" w:eastAsia="宋体" w:cs="宋体"/>
          <w:sz w:val="21"/>
          <w:szCs w:val="21"/>
          <w:u w:val="single" w:color="auto"/>
        </w:rPr>
        <w:t xml:space="preserve">                        </w:t>
      </w:r>
    </w:p>
    <w:p w14:paraId="22D3ECD3">
      <w:pPr>
        <w:pStyle w:val="3"/>
        <w:spacing w:line="479" w:lineRule="auto"/>
      </w:pPr>
    </w:p>
    <w:p w14:paraId="29338281">
      <w:pPr>
        <w:spacing w:before="68" w:line="220" w:lineRule="auto"/>
        <w:ind w:left="3590"/>
        <w:rPr>
          <w:rFonts w:ascii="宋体" w:hAnsi="宋体" w:eastAsia="宋体" w:cs="宋体"/>
          <w:sz w:val="21"/>
          <w:szCs w:val="21"/>
        </w:rPr>
      </w:pPr>
      <w:r>
        <w:rPr>
          <w:rFonts w:ascii="宋体" w:hAnsi="宋体" w:eastAsia="宋体" w:cs="宋体"/>
          <w:spacing w:val="-12"/>
          <w:sz w:val="21"/>
          <w:szCs w:val="21"/>
        </w:rPr>
        <w:t>委托代理人</w:t>
      </w:r>
      <w:r>
        <w:rPr>
          <w:rFonts w:ascii="宋体" w:hAnsi="宋体" w:eastAsia="宋体" w:cs="宋体"/>
          <w:spacing w:val="1"/>
          <w:sz w:val="21"/>
          <w:szCs w:val="21"/>
        </w:rPr>
        <w:t>：</w:t>
      </w:r>
      <w:r>
        <w:rPr>
          <w:rFonts w:ascii="宋体" w:hAnsi="宋体" w:eastAsia="宋体" w:cs="宋体"/>
          <w:sz w:val="21"/>
          <w:szCs w:val="21"/>
          <w:u w:val="single" w:color="auto"/>
        </w:rPr>
        <w:t xml:space="preserve">                        </w:t>
      </w:r>
      <w:r>
        <w:rPr>
          <w:rFonts w:ascii="宋体" w:hAnsi="宋体" w:eastAsia="宋体" w:cs="宋体"/>
          <w:spacing w:val="-28"/>
          <w:sz w:val="21"/>
          <w:szCs w:val="21"/>
        </w:rPr>
        <w:t xml:space="preserve"> </w:t>
      </w:r>
      <w:r>
        <w:rPr>
          <w:rFonts w:ascii="宋体" w:hAnsi="宋体" w:eastAsia="宋体" w:cs="宋体"/>
          <w:spacing w:val="1"/>
          <w:sz w:val="21"/>
          <w:szCs w:val="21"/>
        </w:rPr>
        <w:t>（</w:t>
      </w:r>
      <w:r>
        <w:rPr>
          <w:rFonts w:ascii="宋体" w:hAnsi="宋体" w:eastAsia="宋体" w:cs="宋体"/>
          <w:spacing w:val="-12"/>
          <w:sz w:val="21"/>
          <w:szCs w:val="21"/>
        </w:rPr>
        <w:t>签章）</w:t>
      </w:r>
    </w:p>
    <w:p w14:paraId="70BE18B6">
      <w:pPr>
        <w:pStyle w:val="3"/>
        <w:spacing w:line="479" w:lineRule="auto"/>
      </w:pPr>
    </w:p>
    <w:p w14:paraId="0637347D">
      <w:pPr>
        <w:spacing w:before="69" w:line="221" w:lineRule="auto"/>
        <w:ind w:left="3596"/>
        <w:rPr>
          <w:rFonts w:ascii="宋体" w:hAnsi="宋体" w:eastAsia="宋体" w:cs="宋体"/>
          <w:sz w:val="21"/>
          <w:szCs w:val="21"/>
        </w:rPr>
      </w:pPr>
      <w:r>
        <w:rPr>
          <w:rFonts w:ascii="宋体" w:hAnsi="宋体" w:eastAsia="宋体" w:cs="宋体"/>
          <w:spacing w:val="-2"/>
          <w:sz w:val="21"/>
          <w:szCs w:val="21"/>
        </w:rPr>
        <w:t>身份证号码：</w:t>
      </w:r>
      <w:r>
        <w:rPr>
          <w:rFonts w:ascii="宋体" w:hAnsi="宋体" w:eastAsia="宋体" w:cs="宋体"/>
          <w:sz w:val="21"/>
          <w:szCs w:val="21"/>
          <w:u w:val="single" w:color="auto"/>
        </w:rPr>
        <w:t xml:space="preserve">                        </w:t>
      </w:r>
    </w:p>
    <w:p w14:paraId="7FF73FEE">
      <w:pPr>
        <w:pStyle w:val="3"/>
        <w:spacing w:line="474" w:lineRule="auto"/>
      </w:pPr>
    </w:p>
    <w:p w14:paraId="772943C1">
      <w:pPr>
        <w:tabs>
          <w:tab w:val="left" w:pos="5685"/>
        </w:tabs>
        <w:spacing w:before="69" w:line="221" w:lineRule="auto"/>
        <w:ind w:left="4840"/>
        <w:rPr>
          <w:rFonts w:ascii="宋体" w:hAnsi="宋体" w:eastAsia="宋体" w:cs="宋体"/>
          <w:sz w:val="21"/>
          <w:szCs w:val="21"/>
        </w:rPr>
      </w:pPr>
      <w:r>
        <w:rPr>
          <w:rFonts w:ascii="宋体" w:hAnsi="宋体" w:eastAsia="宋体" w:cs="宋体"/>
          <w:sz w:val="21"/>
          <w:szCs w:val="21"/>
          <w:u w:val="single" w:color="auto"/>
        </w:rPr>
        <w:tab/>
      </w:r>
      <w:r>
        <w:rPr>
          <w:rFonts w:ascii="宋体" w:hAnsi="宋体" w:eastAsia="宋体" w:cs="宋体"/>
          <w:spacing w:val="-96"/>
          <w:sz w:val="21"/>
          <w:szCs w:val="21"/>
        </w:rPr>
        <w:t xml:space="preserve"> </w:t>
      </w:r>
      <w:r>
        <w:rPr>
          <w:rFonts w:ascii="宋体" w:hAnsi="宋体" w:eastAsia="宋体" w:cs="宋体"/>
          <w:spacing w:val="-7"/>
          <w:sz w:val="21"/>
          <w:szCs w:val="21"/>
        </w:rPr>
        <w:t>年</w:t>
      </w:r>
      <w:r>
        <w:rPr>
          <w:rFonts w:ascii="宋体" w:hAnsi="宋体" w:eastAsia="宋体" w:cs="宋体"/>
          <w:spacing w:val="-105"/>
          <w:sz w:val="21"/>
          <w:szCs w:val="21"/>
        </w:rPr>
        <w:t xml:space="preserve"> </w:t>
      </w:r>
      <w:r>
        <w:rPr>
          <w:rFonts w:ascii="宋体" w:hAnsi="宋体" w:eastAsia="宋体" w:cs="宋体"/>
          <w:spacing w:val="14"/>
          <w:sz w:val="21"/>
          <w:szCs w:val="21"/>
          <w:u w:val="single" w:color="auto"/>
        </w:rPr>
        <w:t xml:space="preserve">       </w:t>
      </w:r>
      <w:r>
        <w:rPr>
          <w:rFonts w:ascii="宋体" w:hAnsi="宋体" w:eastAsia="宋体" w:cs="宋体"/>
          <w:spacing w:val="-89"/>
          <w:sz w:val="21"/>
          <w:szCs w:val="21"/>
        </w:rPr>
        <w:t xml:space="preserve"> </w:t>
      </w:r>
      <w:r>
        <w:rPr>
          <w:rFonts w:ascii="宋体" w:hAnsi="宋体" w:eastAsia="宋体" w:cs="宋体"/>
          <w:spacing w:val="-7"/>
          <w:sz w:val="21"/>
          <w:szCs w:val="21"/>
        </w:rPr>
        <w:t>月</w:t>
      </w:r>
      <w:r>
        <w:rPr>
          <w:rFonts w:ascii="宋体" w:hAnsi="宋体" w:eastAsia="宋体" w:cs="宋体"/>
          <w:sz w:val="21"/>
          <w:szCs w:val="21"/>
          <w:u w:val="single" w:color="auto"/>
        </w:rPr>
        <w:t xml:space="preserve">        </w:t>
      </w:r>
      <w:r>
        <w:rPr>
          <w:rFonts w:ascii="宋体" w:hAnsi="宋体" w:eastAsia="宋体" w:cs="宋体"/>
          <w:spacing w:val="-60"/>
          <w:sz w:val="21"/>
          <w:szCs w:val="21"/>
        </w:rPr>
        <w:t xml:space="preserve"> </w:t>
      </w:r>
      <w:r>
        <w:rPr>
          <w:rFonts w:ascii="宋体" w:hAnsi="宋体" w:eastAsia="宋体" w:cs="宋体"/>
          <w:spacing w:val="-7"/>
          <w:sz w:val="21"/>
          <w:szCs w:val="21"/>
        </w:rPr>
        <w:t>日</w:t>
      </w:r>
    </w:p>
    <w:p w14:paraId="3C5B4DF6">
      <w:pPr>
        <w:spacing w:line="221" w:lineRule="auto"/>
        <w:rPr>
          <w:rFonts w:ascii="宋体" w:hAnsi="宋体" w:eastAsia="宋体" w:cs="宋体"/>
          <w:sz w:val="21"/>
          <w:szCs w:val="21"/>
        </w:rPr>
        <w:sectPr>
          <w:footerReference r:id="rId200" w:type="default"/>
          <w:pgSz w:w="11905" w:h="16839"/>
          <w:pgMar w:top="400" w:right="1617" w:bottom="1004" w:left="1785" w:header="0" w:footer="828" w:gutter="0"/>
          <w:pgNumType w:fmt="decimal"/>
          <w:cols w:space="720" w:num="1"/>
        </w:sectPr>
      </w:pPr>
    </w:p>
    <w:p w14:paraId="3243FABD">
      <w:pPr>
        <w:pStyle w:val="3"/>
        <w:spacing w:line="256" w:lineRule="auto"/>
      </w:pPr>
    </w:p>
    <w:p w14:paraId="7BF87799">
      <w:pPr>
        <w:pStyle w:val="3"/>
        <w:spacing w:line="256" w:lineRule="auto"/>
      </w:pPr>
    </w:p>
    <w:p w14:paraId="27767CFC">
      <w:pPr>
        <w:pStyle w:val="3"/>
        <w:spacing w:line="256" w:lineRule="auto"/>
      </w:pPr>
    </w:p>
    <w:p w14:paraId="0ACD6929">
      <w:pPr>
        <w:pStyle w:val="3"/>
        <w:spacing w:line="256" w:lineRule="auto"/>
      </w:pPr>
    </w:p>
    <w:p w14:paraId="7C8A649E">
      <w:pPr>
        <w:spacing w:before="88" w:line="225" w:lineRule="auto"/>
        <w:ind w:left="3205"/>
        <w:rPr>
          <w:rFonts w:ascii="黑体" w:hAnsi="黑体" w:eastAsia="黑体" w:cs="黑体"/>
          <w:sz w:val="27"/>
          <w:szCs w:val="27"/>
        </w:rPr>
      </w:pPr>
      <w:bookmarkStart w:id="1319" w:name="bookmark304"/>
      <w:bookmarkEnd w:id="1319"/>
      <w:r>
        <w:rPr>
          <w:rFonts w:ascii="黑体" w:hAnsi="黑体" w:eastAsia="黑体" w:cs="黑体"/>
          <w:spacing w:val="6"/>
          <w:sz w:val="27"/>
          <w:szCs w:val="27"/>
        </w:rPr>
        <w:t>三、投标保证金</w:t>
      </w:r>
    </w:p>
    <w:p w14:paraId="53518B1A">
      <w:pPr>
        <w:pStyle w:val="3"/>
        <w:spacing w:line="477" w:lineRule="auto"/>
      </w:pPr>
    </w:p>
    <w:p w14:paraId="4D9CFBE2">
      <w:pPr>
        <w:spacing w:before="68" w:line="215" w:lineRule="auto"/>
        <w:ind w:left="413"/>
        <w:rPr>
          <w:rFonts w:ascii="宋体" w:hAnsi="宋体" w:eastAsia="宋体" w:cs="宋体"/>
          <w:sz w:val="21"/>
          <w:szCs w:val="21"/>
        </w:rPr>
      </w:pPr>
      <w:r>
        <w:rPr>
          <w:rFonts w:ascii="宋体" w:hAnsi="宋体" w:eastAsia="宋体" w:cs="宋体"/>
          <w:sz w:val="21"/>
          <w:szCs w:val="21"/>
          <w14:textOutline w14:w="3831" w14:cap="flat" w14:cmpd="sng">
            <w14:solidFill>
              <w14:srgbClr w14:val="000000"/>
            </w14:solidFill>
            <w14:prstDash w14:val="solid"/>
            <w14:miter w14:val="0"/>
          </w14:textOutline>
        </w:rPr>
        <w:t>（一）若采用现金或支票，投标人应填写以下表格信息并提</w:t>
      </w:r>
      <w:r>
        <w:rPr>
          <w:rFonts w:ascii="宋体" w:hAnsi="宋体" w:eastAsia="宋体" w:cs="宋体"/>
          <w:spacing w:val="-1"/>
          <w:sz w:val="21"/>
          <w:szCs w:val="21"/>
          <w14:textOutline w14:w="3831" w14:cap="flat" w14:cmpd="sng">
            <w14:solidFill>
              <w14:srgbClr w14:val="000000"/>
            </w14:solidFill>
            <w14:prstDash w14:val="solid"/>
            <w14:miter w14:val="0"/>
          </w14:textOutline>
        </w:rPr>
        <w:t>供汇款凭证的扫描件。</w:t>
      </w:r>
    </w:p>
    <w:tbl>
      <w:tblPr>
        <w:tblStyle w:val="10"/>
        <w:tblW w:w="8196" w:type="dxa"/>
        <w:tblInd w:w="12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415"/>
        <w:gridCol w:w="3033"/>
        <w:gridCol w:w="1104"/>
        <w:gridCol w:w="2644"/>
      </w:tblGrid>
      <w:tr w14:paraId="0DFD59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2" w:hRule="atLeast"/>
        </w:trPr>
        <w:tc>
          <w:tcPr>
            <w:tcW w:w="8196" w:type="dxa"/>
            <w:gridSpan w:val="4"/>
            <w:vAlign w:val="top"/>
          </w:tcPr>
          <w:p w14:paraId="2C57219C">
            <w:pPr>
              <w:pStyle w:val="11"/>
              <w:spacing w:before="34" w:line="209" w:lineRule="auto"/>
              <w:ind w:left="3471"/>
            </w:pPr>
            <w:r>
              <w:rPr>
                <w:spacing w:val="-1"/>
                <w14:textOutline w14:w="3831" w14:cap="flat" w14:cmpd="sng">
                  <w14:solidFill>
                    <w14:srgbClr w14:val="000000"/>
                  </w14:solidFill>
                  <w14:prstDash w14:val="solid"/>
                  <w14:miter w14:val="0"/>
                </w14:textOutline>
              </w:rPr>
              <w:t>现金汇款信息</w:t>
            </w:r>
          </w:p>
        </w:tc>
      </w:tr>
      <w:tr w14:paraId="0DCA45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1415" w:type="dxa"/>
            <w:vAlign w:val="top"/>
          </w:tcPr>
          <w:p w14:paraId="488A33B6">
            <w:pPr>
              <w:pStyle w:val="11"/>
              <w:spacing w:before="30" w:line="209" w:lineRule="auto"/>
              <w:ind w:left="298"/>
            </w:pPr>
            <w:r>
              <w:rPr>
                <w:spacing w:val="-3"/>
              </w:rPr>
              <w:t>收款账户</w:t>
            </w:r>
          </w:p>
        </w:tc>
        <w:tc>
          <w:tcPr>
            <w:tcW w:w="3033" w:type="dxa"/>
            <w:vAlign w:val="top"/>
          </w:tcPr>
          <w:p w14:paraId="006869BC">
            <w:pPr>
              <w:rPr>
                <w:rFonts w:ascii="Arial"/>
                <w:sz w:val="21"/>
              </w:rPr>
            </w:pPr>
          </w:p>
        </w:tc>
        <w:tc>
          <w:tcPr>
            <w:tcW w:w="1104" w:type="dxa"/>
            <w:vAlign w:val="top"/>
          </w:tcPr>
          <w:p w14:paraId="5DFF1756">
            <w:pPr>
              <w:pStyle w:val="11"/>
              <w:spacing w:before="30" w:line="209" w:lineRule="auto"/>
              <w:ind w:left="140"/>
            </w:pPr>
            <w:r>
              <w:rPr>
                <w:spacing w:val="-1"/>
              </w:rPr>
              <w:t>汇款账户</w:t>
            </w:r>
          </w:p>
        </w:tc>
        <w:tc>
          <w:tcPr>
            <w:tcW w:w="2644" w:type="dxa"/>
            <w:vAlign w:val="top"/>
          </w:tcPr>
          <w:p w14:paraId="7B4F0D28">
            <w:pPr>
              <w:rPr>
                <w:rFonts w:ascii="Arial"/>
                <w:sz w:val="21"/>
              </w:rPr>
            </w:pPr>
          </w:p>
        </w:tc>
      </w:tr>
      <w:tr w14:paraId="4EAE8B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3" w:hRule="atLeast"/>
        </w:trPr>
        <w:tc>
          <w:tcPr>
            <w:tcW w:w="1415" w:type="dxa"/>
            <w:vAlign w:val="top"/>
          </w:tcPr>
          <w:p w14:paraId="6B0C82E2">
            <w:pPr>
              <w:pStyle w:val="11"/>
              <w:spacing w:before="26" w:line="208" w:lineRule="auto"/>
              <w:ind w:left="298"/>
            </w:pPr>
            <w:r>
              <w:rPr>
                <w:spacing w:val="-3"/>
              </w:rPr>
              <w:t>收款账号</w:t>
            </w:r>
          </w:p>
        </w:tc>
        <w:tc>
          <w:tcPr>
            <w:tcW w:w="3033" w:type="dxa"/>
            <w:vAlign w:val="top"/>
          </w:tcPr>
          <w:p w14:paraId="7DF30032">
            <w:pPr>
              <w:rPr>
                <w:rFonts w:ascii="Arial"/>
                <w:sz w:val="21"/>
              </w:rPr>
            </w:pPr>
          </w:p>
        </w:tc>
        <w:tc>
          <w:tcPr>
            <w:tcW w:w="1104" w:type="dxa"/>
            <w:vAlign w:val="top"/>
          </w:tcPr>
          <w:p w14:paraId="28A46E7D">
            <w:pPr>
              <w:pStyle w:val="11"/>
              <w:spacing w:before="26" w:line="208" w:lineRule="auto"/>
              <w:ind w:left="140"/>
            </w:pPr>
            <w:r>
              <w:rPr>
                <w:spacing w:val="-1"/>
              </w:rPr>
              <w:t>汇款账号</w:t>
            </w:r>
          </w:p>
        </w:tc>
        <w:tc>
          <w:tcPr>
            <w:tcW w:w="2644" w:type="dxa"/>
            <w:vAlign w:val="top"/>
          </w:tcPr>
          <w:p w14:paraId="53A7B62E">
            <w:pPr>
              <w:rPr>
                <w:rFonts w:ascii="Arial"/>
                <w:sz w:val="21"/>
              </w:rPr>
            </w:pPr>
          </w:p>
        </w:tc>
      </w:tr>
      <w:tr w14:paraId="0274B8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1415" w:type="dxa"/>
            <w:vAlign w:val="top"/>
          </w:tcPr>
          <w:p w14:paraId="7784C8C4">
            <w:pPr>
              <w:pStyle w:val="11"/>
              <w:spacing w:before="31" w:line="207" w:lineRule="auto"/>
              <w:ind w:left="291"/>
            </w:pPr>
            <w:r>
              <w:rPr>
                <w:spacing w:val="-1"/>
              </w:rPr>
              <w:t>汇款金额</w:t>
            </w:r>
          </w:p>
        </w:tc>
        <w:tc>
          <w:tcPr>
            <w:tcW w:w="3033" w:type="dxa"/>
            <w:vAlign w:val="top"/>
          </w:tcPr>
          <w:p w14:paraId="27FE5AD2">
            <w:pPr>
              <w:rPr>
                <w:rFonts w:ascii="Arial"/>
                <w:sz w:val="21"/>
              </w:rPr>
            </w:pPr>
          </w:p>
        </w:tc>
        <w:tc>
          <w:tcPr>
            <w:tcW w:w="1104" w:type="dxa"/>
            <w:vAlign w:val="top"/>
          </w:tcPr>
          <w:p w14:paraId="03D76C7B">
            <w:pPr>
              <w:pStyle w:val="11"/>
              <w:spacing w:before="31" w:line="207" w:lineRule="auto"/>
              <w:ind w:left="140"/>
            </w:pPr>
            <w:r>
              <w:rPr>
                <w:spacing w:val="-1"/>
              </w:rPr>
              <w:t>汇款时间</w:t>
            </w:r>
          </w:p>
        </w:tc>
        <w:tc>
          <w:tcPr>
            <w:tcW w:w="2644" w:type="dxa"/>
            <w:vAlign w:val="top"/>
          </w:tcPr>
          <w:p w14:paraId="5C228499">
            <w:pPr>
              <w:rPr>
                <w:rFonts w:ascii="Arial"/>
                <w:sz w:val="21"/>
              </w:rPr>
            </w:pPr>
          </w:p>
        </w:tc>
      </w:tr>
      <w:tr w14:paraId="745D51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1415" w:type="dxa"/>
            <w:vMerge w:val="restart"/>
            <w:tcBorders>
              <w:bottom w:val="nil"/>
            </w:tcBorders>
            <w:vAlign w:val="top"/>
          </w:tcPr>
          <w:p w14:paraId="768BA542">
            <w:pPr>
              <w:spacing w:line="332" w:lineRule="auto"/>
              <w:rPr>
                <w:rFonts w:ascii="Arial"/>
                <w:sz w:val="21"/>
              </w:rPr>
            </w:pPr>
          </w:p>
          <w:p w14:paraId="64AC2E7E">
            <w:pPr>
              <w:spacing w:line="333" w:lineRule="auto"/>
              <w:rPr>
                <w:rFonts w:ascii="Arial"/>
                <w:sz w:val="21"/>
              </w:rPr>
            </w:pPr>
          </w:p>
          <w:p w14:paraId="78CC220E">
            <w:pPr>
              <w:pStyle w:val="11"/>
              <w:spacing w:before="69" w:line="220" w:lineRule="auto"/>
              <w:ind w:left="518"/>
            </w:pPr>
            <w:r>
              <w:rPr>
                <w:spacing w:val="-6"/>
              </w:rPr>
              <w:t>附件</w:t>
            </w:r>
          </w:p>
        </w:tc>
        <w:tc>
          <w:tcPr>
            <w:tcW w:w="6781" w:type="dxa"/>
            <w:gridSpan w:val="3"/>
            <w:vAlign w:val="top"/>
          </w:tcPr>
          <w:p w14:paraId="02D7345D">
            <w:pPr>
              <w:pStyle w:val="11"/>
              <w:spacing w:before="32" w:line="207" w:lineRule="auto"/>
              <w:ind w:left="115"/>
            </w:pPr>
            <w:r>
              <w:rPr>
                <w:spacing w:val="-1"/>
              </w:rPr>
              <w:t>汇款凭证扫描件</w:t>
            </w:r>
          </w:p>
        </w:tc>
      </w:tr>
      <w:tr w14:paraId="1D22BA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1415" w:type="dxa"/>
            <w:vMerge w:val="continue"/>
            <w:tcBorders>
              <w:top w:val="nil"/>
              <w:bottom w:val="nil"/>
            </w:tcBorders>
            <w:vAlign w:val="top"/>
          </w:tcPr>
          <w:p w14:paraId="41BD5FDF">
            <w:pPr>
              <w:rPr>
                <w:rFonts w:ascii="Arial"/>
                <w:sz w:val="21"/>
              </w:rPr>
            </w:pPr>
          </w:p>
        </w:tc>
        <w:tc>
          <w:tcPr>
            <w:tcW w:w="6781" w:type="dxa"/>
            <w:gridSpan w:val="3"/>
            <w:vAlign w:val="top"/>
          </w:tcPr>
          <w:p w14:paraId="0151633F">
            <w:pPr>
              <w:rPr>
                <w:rFonts w:ascii="Arial"/>
                <w:sz w:val="21"/>
              </w:rPr>
            </w:pPr>
          </w:p>
        </w:tc>
      </w:tr>
      <w:tr w14:paraId="212585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1415" w:type="dxa"/>
            <w:vMerge w:val="continue"/>
            <w:tcBorders>
              <w:top w:val="nil"/>
              <w:bottom w:val="nil"/>
            </w:tcBorders>
            <w:vAlign w:val="top"/>
          </w:tcPr>
          <w:p w14:paraId="32BB9F0D">
            <w:pPr>
              <w:rPr>
                <w:rFonts w:ascii="Arial"/>
                <w:sz w:val="21"/>
              </w:rPr>
            </w:pPr>
          </w:p>
        </w:tc>
        <w:tc>
          <w:tcPr>
            <w:tcW w:w="6781" w:type="dxa"/>
            <w:gridSpan w:val="3"/>
            <w:vAlign w:val="top"/>
          </w:tcPr>
          <w:p w14:paraId="09D2757C">
            <w:pPr>
              <w:pStyle w:val="11"/>
              <w:spacing w:before="33" w:line="206" w:lineRule="auto"/>
              <w:ind w:left="115"/>
            </w:pPr>
            <w:r>
              <w:t>基本户开户许可证（基本存款账户信息）扫描件</w:t>
            </w:r>
          </w:p>
        </w:tc>
      </w:tr>
      <w:tr w14:paraId="336843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1415" w:type="dxa"/>
            <w:vMerge w:val="continue"/>
            <w:tcBorders>
              <w:top w:val="nil"/>
              <w:bottom w:val="nil"/>
            </w:tcBorders>
            <w:vAlign w:val="top"/>
          </w:tcPr>
          <w:p w14:paraId="5CA0DE96">
            <w:pPr>
              <w:rPr>
                <w:rFonts w:ascii="Arial"/>
                <w:sz w:val="21"/>
              </w:rPr>
            </w:pPr>
          </w:p>
        </w:tc>
        <w:tc>
          <w:tcPr>
            <w:tcW w:w="6781" w:type="dxa"/>
            <w:gridSpan w:val="3"/>
            <w:vAlign w:val="top"/>
          </w:tcPr>
          <w:p w14:paraId="1910E7A5">
            <w:pPr>
              <w:rPr>
                <w:rFonts w:ascii="Arial"/>
                <w:sz w:val="21"/>
              </w:rPr>
            </w:pPr>
          </w:p>
        </w:tc>
      </w:tr>
      <w:tr w14:paraId="105D8A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3" w:hRule="atLeast"/>
        </w:trPr>
        <w:tc>
          <w:tcPr>
            <w:tcW w:w="1415" w:type="dxa"/>
            <w:vMerge w:val="continue"/>
            <w:tcBorders>
              <w:top w:val="nil"/>
              <w:bottom w:val="nil"/>
            </w:tcBorders>
            <w:vAlign w:val="top"/>
          </w:tcPr>
          <w:p w14:paraId="4F23D042">
            <w:pPr>
              <w:rPr>
                <w:rFonts w:ascii="Arial"/>
                <w:sz w:val="21"/>
              </w:rPr>
            </w:pPr>
          </w:p>
        </w:tc>
        <w:tc>
          <w:tcPr>
            <w:tcW w:w="6781" w:type="dxa"/>
            <w:gridSpan w:val="3"/>
            <w:vAlign w:val="top"/>
          </w:tcPr>
          <w:p w14:paraId="61DA17EC">
            <w:pPr>
              <w:pStyle w:val="11"/>
              <w:spacing w:before="28" w:line="206" w:lineRule="auto"/>
              <w:ind w:left="115"/>
            </w:pPr>
            <w:r>
              <w:rPr>
                <w:spacing w:val="-1"/>
              </w:rPr>
              <w:t>其他材料</w:t>
            </w:r>
          </w:p>
        </w:tc>
      </w:tr>
      <w:tr w14:paraId="4ED7C0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2" w:hRule="atLeast"/>
        </w:trPr>
        <w:tc>
          <w:tcPr>
            <w:tcW w:w="1415" w:type="dxa"/>
            <w:vMerge w:val="continue"/>
            <w:tcBorders>
              <w:top w:val="nil"/>
            </w:tcBorders>
            <w:vAlign w:val="top"/>
          </w:tcPr>
          <w:p w14:paraId="4C04E442">
            <w:pPr>
              <w:rPr>
                <w:rFonts w:ascii="Arial"/>
                <w:sz w:val="21"/>
              </w:rPr>
            </w:pPr>
          </w:p>
        </w:tc>
        <w:tc>
          <w:tcPr>
            <w:tcW w:w="6781" w:type="dxa"/>
            <w:gridSpan w:val="3"/>
            <w:vAlign w:val="top"/>
          </w:tcPr>
          <w:p w14:paraId="6AD29664">
            <w:pPr>
              <w:rPr>
                <w:rFonts w:ascii="Arial"/>
                <w:sz w:val="21"/>
              </w:rPr>
            </w:pPr>
          </w:p>
        </w:tc>
      </w:tr>
    </w:tbl>
    <w:p w14:paraId="29C17627">
      <w:pPr>
        <w:pStyle w:val="3"/>
        <w:spacing w:line="473" w:lineRule="auto"/>
      </w:pPr>
    </w:p>
    <w:p w14:paraId="2F0DC23B">
      <w:pPr>
        <w:spacing w:before="68" w:line="352" w:lineRule="auto"/>
        <w:ind w:left="18" w:right="10" w:firstLine="395"/>
        <w:jc w:val="both"/>
        <w:rPr>
          <w:rFonts w:ascii="宋体" w:hAnsi="宋体" w:eastAsia="宋体" w:cs="宋体"/>
          <w:sz w:val="21"/>
          <w:szCs w:val="21"/>
        </w:rPr>
      </w:pPr>
      <w:r>
        <w:rPr>
          <w:rFonts w:ascii="宋体" w:hAnsi="宋体" w:eastAsia="宋体" w:cs="宋体"/>
          <w:spacing w:val="-1"/>
          <w:sz w:val="21"/>
          <w:szCs w:val="21"/>
          <w14:textOutline w14:w="3831" w14:cap="flat" w14:cmpd="sng">
            <w14:solidFill>
              <w14:srgbClr w14:val="000000"/>
            </w14:solidFill>
            <w14:prstDash w14:val="solid"/>
            <w14:miter w14:val="0"/>
          </w14:textOutline>
        </w:rPr>
        <w:t>（二）</w:t>
      </w:r>
      <w:r>
        <w:rPr>
          <w:rFonts w:ascii="宋体" w:hAnsi="宋体" w:eastAsia="宋体" w:cs="宋体"/>
          <w:spacing w:val="-1"/>
          <w:sz w:val="21"/>
          <w:szCs w:val="21"/>
        </w:rPr>
        <w:t xml:space="preserve"> </w:t>
      </w:r>
      <w:r>
        <w:rPr>
          <w:rFonts w:ascii="宋体" w:hAnsi="宋体" w:eastAsia="宋体" w:cs="宋体"/>
          <w:spacing w:val="-1"/>
          <w:sz w:val="21"/>
          <w:szCs w:val="21"/>
          <w14:textOutline w14:w="3831" w14:cap="flat" w14:cmpd="sng">
            <w14:solidFill>
              <w14:srgbClr w14:val="000000"/>
            </w14:solidFill>
            <w14:prstDash w14:val="solid"/>
            <w14:miter w14:val="0"/>
          </w14:textOutline>
        </w:rPr>
        <w:t>若采用辽宁省工程建设项目电子保函保险基础服务平台</w:t>
      </w:r>
      <w:r>
        <w:rPr>
          <w:rFonts w:ascii="宋体" w:hAnsi="宋体" w:eastAsia="宋体" w:cs="宋体"/>
          <w:spacing w:val="-35"/>
          <w:sz w:val="21"/>
          <w:szCs w:val="21"/>
        </w:rPr>
        <w:t xml:space="preserve"> </w:t>
      </w:r>
      <w:r>
        <w:rPr>
          <w:rFonts w:ascii="宋体" w:hAnsi="宋体" w:eastAsia="宋体" w:cs="宋体"/>
          <w:spacing w:val="-1"/>
          <w:sz w:val="21"/>
          <w:szCs w:val="21"/>
          <w14:textOutline w14:w="3831" w14:cap="flat" w14:cmpd="sng">
            <w14:solidFill>
              <w14:srgbClr w14:val="000000"/>
            </w14:solidFill>
            <w14:prstDash w14:val="solid"/>
            <w14:miter w14:val="0"/>
          </w14:textOutline>
        </w:rPr>
        <w:t>（包含辽宁省建设工程</w:t>
      </w:r>
      <w:r>
        <w:rPr>
          <w:rFonts w:ascii="宋体" w:hAnsi="宋体" w:eastAsia="宋体" w:cs="宋体"/>
          <w:sz w:val="21"/>
          <w:szCs w:val="21"/>
        </w:rPr>
        <w:t xml:space="preserve"> </w:t>
      </w:r>
      <w:r>
        <w:rPr>
          <w:rFonts w:ascii="宋体" w:hAnsi="宋体" w:eastAsia="宋体" w:cs="宋体"/>
          <w:spacing w:val="3"/>
          <w:sz w:val="21"/>
          <w:szCs w:val="21"/>
          <w14:textOutline w14:w="3831" w14:cap="flat" w14:cmpd="sng">
            <w14:solidFill>
              <w14:srgbClr w14:val="000000"/>
            </w14:solidFill>
            <w14:prstDash w14:val="solid"/>
            <w14:miter w14:val="0"/>
          </w14:textOutline>
        </w:rPr>
        <w:t>领域电子保函保险基础公共服务平台及跨地区、跨行业自由服务试</w:t>
      </w:r>
      <w:r>
        <w:rPr>
          <w:rFonts w:ascii="宋体" w:hAnsi="宋体" w:eastAsia="宋体" w:cs="宋体"/>
          <w:spacing w:val="2"/>
          <w:sz w:val="21"/>
          <w:szCs w:val="21"/>
          <w14:textOutline w14:w="3831" w14:cap="flat" w14:cmpd="sng">
            <w14:solidFill>
              <w14:srgbClr w14:val="000000"/>
            </w14:solidFill>
            <w14:prstDash w14:val="solid"/>
            <w14:miter w14:val="0"/>
          </w14:textOutline>
        </w:rPr>
        <w:t>点的金融平台或金融机</w:t>
      </w:r>
    </w:p>
    <w:p w14:paraId="3D99FE1D">
      <w:pPr>
        <w:spacing w:line="214" w:lineRule="auto"/>
        <w:ind w:left="20"/>
        <w:rPr>
          <w:rFonts w:ascii="宋体" w:hAnsi="宋体" w:eastAsia="宋体" w:cs="宋体"/>
          <w:sz w:val="21"/>
          <w:szCs w:val="21"/>
        </w:rPr>
      </w:pPr>
      <w:r>
        <w:rPr>
          <w:rFonts w:ascii="宋体" w:hAnsi="宋体" w:eastAsia="宋体" w:cs="宋体"/>
          <w:spacing w:val="-5"/>
          <w:sz w:val="21"/>
          <w:szCs w:val="21"/>
          <w14:textOutline w14:w="3831" w14:cap="flat" w14:cmpd="sng">
            <w14:solidFill>
              <w14:srgbClr w14:val="000000"/>
            </w14:solidFill>
            <w14:prstDash w14:val="solid"/>
            <w14:miter w14:val="0"/>
          </w14:textOutline>
        </w:rPr>
        <w:t>构）</w:t>
      </w:r>
      <w:r>
        <w:rPr>
          <w:rFonts w:ascii="宋体" w:hAnsi="宋体" w:eastAsia="宋体" w:cs="宋体"/>
          <w:spacing w:val="-5"/>
          <w:sz w:val="21"/>
          <w:szCs w:val="21"/>
        </w:rPr>
        <w:t xml:space="preserve"> </w:t>
      </w:r>
      <w:r>
        <w:rPr>
          <w:rFonts w:ascii="宋体" w:hAnsi="宋体" w:eastAsia="宋体" w:cs="宋体"/>
          <w:spacing w:val="-5"/>
          <w:sz w:val="21"/>
          <w:szCs w:val="21"/>
          <w14:textOutline w14:w="3831" w14:cap="flat" w14:cmpd="sng">
            <w14:solidFill>
              <w14:srgbClr w14:val="000000"/>
            </w14:solidFill>
            <w14:prstDash w14:val="solid"/>
            <w14:miter w14:val="0"/>
          </w14:textOutline>
        </w:rPr>
        <w:t>电子保函，投标人应填写以下表格信息。</w:t>
      </w:r>
    </w:p>
    <w:tbl>
      <w:tblPr>
        <w:tblStyle w:val="10"/>
        <w:tblW w:w="8109" w:type="dxa"/>
        <w:tblInd w:w="12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549"/>
        <w:gridCol w:w="6560"/>
      </w:tblGrid>
      <w:tr w14:paraId="508AC7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8109" w:type="dxa"/>
            <w:gridSpan w:val="2"/>
            <w:vAlign w:val="top"/>
          </w:tcPr>
          <w:p w14:paraId="6395A368">
            <w:pPr>
              <w:pStyle w:val="11"/>
              <w:spacing w:before="57" w:line="221" w:lineRule="auto"/>
              <w:ind w:left="1424"/>
            </w:pPr>
            <w:r>
              <w:rPr>
                <w14:textOutline w14:w="3831" w14:cap="flat" w14:cmpd="sng">
                  <w14:solidFill>
                    <w14:srgbClr w14:val="000000"/>
                  </w14:solidFill>
                  <w14:prstDash w14:val="solid"/>
                  <w14:miter w14:val="0"/>
                </w14:textOutline>
              </w:rPr>
              <w:t>辽宁省工程建设项目电子保函保险基础服务平台保函信息</w:t>
            </w:r>
          </w:p>
        </w:tc>
      </w:tr>
      <w:tr w14:paraId="027A07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9" w:hRule="atLeast"/>
        </w:trPr>
        <w:tc>
          <w:tcPr>
            <w:tcW w:w="1549" w:type="dxa"/>
            <w:vAlign w:val="top"/>
          </w:tcPr>
          <w:p w14:paraId="63F0B440">
            <w:pPr>
              <w:pStyle w:val="11"/>
              <w:spacing w:before="63" w:line="221" w:lineRule="auto"/>
              <w:ind w:left="359"/>
            </w:pPr>
            <w:r>
              <w:rPr>
                <w:spacing w:val="-1"/>
              </w:rPr>
              <w:t>保函编号</w:t>
            </w:r>
          </w:p>
        </w:tc>
        <w:tc>
          <w:tcPr>
            <w:tcW w:w="6560" w:type="dxa"/>
            <w:vAlign w:val="top"/>
          </w:tcPr>
          <w:p w14:paraId="5536F1D2">
            <w:pPr>
              <w:rPr>
                <w:rFonts w:ascii="Arial"/>
                <w:sz w:val="21"/>
              </w:rPr>
            </w:pPr>
          </w:p>
        </w:tc>
      </w:tr>
      <w:tr w14:paraId="7CA025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4" w:hRule="atLeast"/>
        </w:trPr>
        <w:tc>
          <w:tcPr>
            <w:tcW w:w="1549" w:type="dxa"/>
            <w:vMerge w:val="restart"/>
            <w:tcBorders>
              <w:bottom w:val="nil"/>
            </w:tcBorders>
            <w:vAlign w:val="top"/>
          </w:tcPr>
          <w:p w14:paraId="450B230C">
            <w:pPr>
              <w:pStyle w:val="11"/>
              <w:spacing w:before="200" w:line="220" w:lineRule="auto"/>
              <w:ind w:left="586"/>
            </w:pPr>
            <w:r>
              <w:rPr>
                <w:spacing w:val="-6"/>
              </w:rPr>
              <w:t>附件</w:t>
            </w:r>
          </w:p>
        </w:tc>
        <w:tc>
          <w:tcPr>
            <w:tcW w:w="6560" w:type="dxa"/>
            <w:vAlign w:val="top"/>
          </w:tcPr>
          <w:p w14:paraId="05A2FBFB">
            <w:pPr>
              <w:pStyle w:val="11"/>
              <w:spacing w:before="61" w:line="221" w:lineRule="auto"/>
              <w:ind w:left="140"/>
            </w:pPr>
            <w:r>
              <w:rPr>
                <w:spacing w:val="-5"/>
              </w:rPr>
              <w:t>电子保函扫描件</w:t>
            </w:r>
          </w:p>
        </w:tc>
      </w:tr>
      <w:tr w14:paraId="189492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2" w:hRule="atLeast"/>
        </w:trPr>
        <w:tc>
          <w:tcPr>
            <w:tcW w:w="1549" w:type="dxa"/>
            <w:vMerge w:val="continue"/>
            <w:tcBorders>
              <w:top w:val="nil"/>
            </w:tcBorders>
            <w:vAlign w:val="top"/>
          </w:tcPr>
          <w:p w14:paraId="0C52B557">
            <w:pPr>
              <w:rPr>
                <w:rFonts w:ascii="Arial"/>
                <w:sz w:val="21"/>
              </w:rPr>
            </w:pPr>
          </w:p>
        </w:tc>
        <w:tc>
          <w:tcPr>
            <w:tcW w:w="6560" w:type="dxa"/>
            <w:vAlign w:val="top"/>
          </w:tcPr>
          <w:p w14:paraId="065774EF">
            <w:pPr>
              <w:rPr>
                <w:rFonts w:ascii="Arial"/>
                <w:sz w:val="21"/>
              </w:rPr>
            </w:pPr>
          </w:p>
        </w:tc>
      </w:tr>
    </w:tbl>
    <w:p w14:paraId="43DF337E">
      <w:pPr>
        <w:pStyle w:val="3"/>
        <w:spacing w:line="243" w:lineRule="auto"/>
      </w:pPr>
    </w:p>
    <w:p w14:paraId="40910102">
      <w:pPr>
        <w:pStyle w:val="3"/>
        <w:spacing w:line="243" w:lineRule="auto"/>
      </w:pPr>
    </w:p>
    <w:p w14:paraId="5F28CB1B">
      <w:pPr>
        <w:spacing w:before="68" w:line="220" w:lineRule="auto"/>
        <w:ind w:right="1"/>
        <w:jc w:val="right"/>
        <w:rPr>
          <w:rFonts w:ascii="宋体" w:hAnsi="宋体" w:eastAsia="宋体" w:cs="宋体"/>
          <w:sz w:val="21"/>
          <w:szCs w:val="21"/>
        </w:rPr>
      </w:pPr>
      <w:r>
        <w:rPr>
          <w:rFonts w:ascii="宋体" w:hAnsi="宋体" w:eastAsia="宋体" w:cs="宋体"/>
          <w:spacing w:val="1"/>
          <w:sz w:val="21"/>
          <w:szCs w:val="21"/>
          <w14:textOutline w14:w="3831" w14:cap="flat" w14:cmpd="sng">
            <w14:solidFill>
              <w14:srgbClr w14:val="000000"/>
            </w14:solidFill>
            <w14:prstDash w14:val="solid"/>
            <w14:miter w14:val="0"/>
          </w14:textOutline>
        </w:rPr>
        <w:t>（三）</w:t>
      </w:r>
      <w:r>
        <w:rPr>
          <w:rFonts w:ascii="宋体" w:hAnsi="宋体" w:eastAsia="宋体" w:cs="宋体"/>
          <w:spacing w:val="1"/>
          <w:sz w:val="21"/>
          <w:szCs w:val="21"/>
        </w:rPr>
        <w:t xml:space="preserve"> </w:t>
      </w:r>
      <w:r>
        <w:rPr>
          <w:rFonts w:ascii="宋体" w:hAnsi="宋体" w:eastAsia="宋体" w:cs="宋体"/>
          <w:spacing w:val="1"/>
          <w:sz w:val="21"/>
          <w:szCs w:val="21"/>
          <w14:textOutline w14:w="3831" w14:cap="flat" w14:cmpd="sng">
            <w14:solidFill>
              <w14:srgbClr w14:val="000000"/>
            </w14:solidFill>
            <w14:prstDash w14:val="solid"/>
            <w14:miter w14:val="0"/>
          </w14:textOutline>
        </w:rPr>
        <w:t>若采用纸质保函或其他平台电子保函，投标人应填写以下表格信息，并提供相</w:t>
      </w:r>
    </w:p>
    <w:p w14:paraId="73DE5E44">
      <w:pPr>
        <w:spacing w:before="149" w:line="214" w:lineRule="auto"/>
        <w:ind w:left="21"/>
        <w:rPr>
          <w:rFonts w:ascii="宋体" w:hAnsi="宋体" w:eastAsia="宋体" w:cs="宋体"/>
          <w:sz w:val="21"/>
          <w:szCs w:val="21"/>
        </w:rPr>
      </w:pPr>
      <w:r>
        <w:rPr>
          <w:rFonts w:ascii="宋体" w:hAnsi="宋体" w:eastAsia="宋体" w:cs="宋体"/>
          <w:spacing w:val="-4"/>
          <w:sz w:val="21"/>
          <w:szCs w:val="21"/>
          <w14:textOutline w14:w="3831" w14:cap="flat" w14:cmpd="sng">
            <w14:solidFill>
              <w14:srgbClr w14:val="000000"/>
            </w14:solidFill>
            <w14:prstDash w14:val="solid"/>
            <w14:miter w14:val="0"/>
          </w14:textOutline>
        </w:rPr>
        <w:t>关材料扫描件信息。</w:t>
      </w:r>
    </w:p>
    <w:tbl>
      <w:tblPr>
        <w:tblStyle w:val="10"/>
        <w:tblW w:w="8196" w:type="dxa"/>
        <w:tblInd w:w="12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425"/>
        <w:gridCol w:w="3028"/>
        <w:gridCol w:w="1526"/>
        <w:gridCol w:w="2217"/>
      </w:tblGrid>
      <w:tr w14:paraId="1EFA05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trPr>
        <w:tc>
          <w:tcPr>
            <w:tcW w:w="8196" w:type="dxa"/>
            <w:gridSpan w:val="4"/>
            <w:vAlign w:val="top"/>
          </w:tcPr>
          <w:p w14:paraId="06558D8E">
            <w:pPr>
              <w:pStyle w:val="11"/>
              <w:spacing w:before="35" w:line="209" w:lineRule="auto"/>
              <w:ind w:left="625"/>
            </w:pPr>
            <w:r>
              <w:rPr>
                <w:spacing w:val="1"/>
                <w14:textOutline w14:w="3831" w14:cap="flat" w14:cmpd="sng">
                  <w14:solidFill>
                    <w14:srgbClr w14:val="000000"/>
                  </w14:solidFill>
                  <w14:prstDash w14:val="solid"/>
                  <w14:miter w14:val="0"/>
                </w14:textOutline>
              </w:rPr>
              <w:t>非辽宁省工程建设项目电子保函保险基础服</w:t>
            </w:r>
            <w:r>
              <w:rPr>
                <w14:textOutline w14:w="3831" w14:cap="flat" w14:cmpd="sng">
                  <w14:solidFill>
                    <w14:srgbClr w14:val="000000"/>
                  </w14:solidFill>
                  <w14:prstDash w14:val="solid"/>
                  <w14:miter w14:val="0"/>
                </w14:textOutline>
              </w:rPr>
              <w:t>务平台电子保函或纸质保函信息</w:t>
            </w:r>
          </w:p>
        </w:tc>
      </w:tr>
      <w:tr w14:paraId="788D18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1" w:hRule="atLeast"/>
        </w:trPr>
        <w:tc>
          <w:tcPr>
            <w:tcW w:w="1425" w:type="dxa"/>
            <w:vAlign w:val="top"/>
          </w:tcPr>
          <w:p w14:paraId="6B78230A">
            <w:pPr>
              <w:pStyle w:val="11"/>
              <w:spacing w:before="29" w:line="225" w:lineRule="auto"/>
              <w:ind w:left="612" w:right="181" w:hanging="421"/>
            </w:pPr>
            <w:r>
              <w:rPr>
                <w:spacing w:val="-1"/>
              </w:rPr>
              <w:t>保函承保单</w:t>
            </w:r>
            <w:r>
              <w:t xml:space="preserve"> 位</w:t>
            </w:r>
          </w:p>
        </w:tc>
        <w:tc>
          <w:tcPr>
            <w:tcW w:w="3028" w:type="dxa"/>
            <w:vAlign w:val="top"/>
          </w:tcPr>
          <w:p w14:paraId="38C13ECC">
            <w:pPr>
              <w:rPr>
                <w:rFonts w:ascii="Arial"/>
                <w:sz w:val="21"/>
              </w:rPr>
            </w:pPr>
          </w:p>
        </w:tc>
        <w:tc>
          <w:tcPr>
            <w:tcW w:w="1526" w:type="dxa"/>
            <w:vAlign w:val="top"/>
          </w:tcPr>
          <w:p w14:paraId="3F54A5FC">
            <w:pPr>
              <w:pStyle w:val="11"/>
              <w:spacing w:before="163" w:line="221" w:lineRule="auto"/>
              <w:ind w:left="352"/>
            </w:pPr>
            <w:r>
              <w:rPr>
                <w:spacing w:val="-1"/>
              </w:rPr>
              <w:t>保函额度</w:t>
            </w:r>
          </w:p>
        </w:tc>
        <w:tc>
          <w:tcPr>
            <w:tcW w:w="2217" w:type="dxa"/>
            <w:vAlign w:val="top"/>
          </w:tcPr>
          <w:p w14:paraId="16554BF4">
            <w:pPr>
              <w:rPr>
                <w:rFonts w:ascii="Arial"/>
                <w:sz w:val="21"/>
              </w:rPr>
            </w:pPr>
          </w:p>
        </w:tc>
      </w:tr>
      <w:tr w14:paraId="7317BE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6" w:hRule="atLeast"/>
        </w:trPr>
        <w:tc>
          <w:tcPr>
            <w:tcW w:w="1425" w:type="dxa"/>
            <w:vAlign w:val="top"/>
          </w:tcPr>
          <w:p w14:paraId="1D2602F9">
            <w:pPr>
              <w:pStyle w:val="11"/>
              <w:spacing w:before="30" w:line="222" w:lineRule="auto"/>
              <w:ind w:left="611" w:right="181" w:hanging="423"/>
            </w:pPr>
            <w:r>
              <w:rPr>
                <w:spacing w:val="-1"/>
              </w:rPr>
              <w:t>缴费账户名</w:t>
            </w:r>
            <w:r>
              <w:rPr>
                <w:spacing w:val="3"/>
              </w:rPr>
              <w:t xml:space="preserve"> </w:t>
            </w:r>
            <w:r>
              <w:t>称</w:t>
            </w:r>
          </w:p>
        </w:tc>
        <w:tc>
          <w:tcPr>
            <w:tcW w:w="3028" w:type="dxa"/>
            <w:vAlign w:val="top"/>
          </w:tcPr>
          <w:p w14:paraId="6FB7F105">
            <w:pPr>
              <w:rPr>
                <w:rFonts w:ascii="Arial"/>
                <w:sz w:val="21"/>
              </w:rPr>
            </w:pPr>
          </w:p>
        </w:tc>
        <w:tc>
          <w:tcPr>
            <w:tcW w:w="1526" w:type="dxa"/>
            <w:vAlign w:val="top"/>
          </w:tcPr>
          <w:p w14:paraId="531ED1F9">
            <w:pPr>
              <w:pStyle w:val="11"/>
              <w:spacing w:before="164" w:line="221" w:lineRule="auto"/>
              <w:ind w:left="141"/>
            </w:pPr>
            <w:r>
              <w:rPr>
                <w:spacing w:val="-1"/>
              </w:rPr>
              <w:t>保函办理时间</w:t>
            </w:r>
          </w:p>
        </w:tc>
        <w:tc>
          <w:tcPr>
            <w:tcW w:w="2217" w:type="dxa"/>
            <w:vAlign w:val="top"/>
          </w:tcPr>
          <w:p w14:paraId="22AA0168">
            <w:pPr>
              <w:rPr>
                <w:rFonts w:ascii="Arial"/>
                <w:sz w:val="21"/>
              </w:rPr>
            </w:pPr>
          </w:p>
        </w:tc>
      </w:tr>
      <w:tr w14:paraId="3321C3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1425" w:type="dxa"/>
            <w:vAlign w:val="top"/>
          </w:tcPr>
          <w:p w14:paraId="3E5B256F">
            <w:pPr>
              <w:pStyle w:val="11"/>
              <w:spacing w:before="31" w:line="208" w:lineRule="auto"/>
              <w:ind w:left="294"/>
            </w:pPr>
            <w:r>
              <w:rPr>
                <w:spacing w:val="-1"/>
              </w:rPr>
              <w:t>缴费账号</w:t>
            </w:r>
          </w:p>
        </w:tc>
        <w:tc>
          <w:tcPr>
            <w:tcW w:w="3028" w:type="dxa"/>
            <w:vAlign w:val="top"/>
          </w:tcPr>
          <w:p w14:paraId="5D12020A">
            <w:pPr>
              <w:rPr>
                <w:rFonts w:ascii="Arial"/>
                <w:sz w:val="21"/>
              </w:rPr>
            </w:pPr>
          </w:p>
        </w:tc>
        <w:tc>
          <w:tcPr>
            <w:tcW w:w="1526" w:type="dxa"/>
            <w:vAlign w:val="top"/>
          </w:tcPr>
          <w:p w14:paraId="79D36686">
            <w:pPr>
              <w:pStyle w:val="11"/>
              <w:spacing w:before="31" w:line="208" w:lineRule="auto"/>
              <w:ind w:left="246"/>
            </w:pPr>
            <w:r>
              <w:rPr>
                <w:spacing w:val="-1"/>
              </w:rPr>
              <w:t>保函有效期</w:t>
            </w:r>
          </w:p>
        </w:tc>
        <w:tc>
          <w:tcPr>
            <w:tcW w:w="2217" w:type="dxa"/>
            <w:vAlign w:val="top"/>
          </w:tcPr>
          <w:p w14:paraId="4B2C5D57">
            <w:pPr>
              <w:rPr>
                <w:rFonts w:ascii="Arial"/>
                <w:sz w:val="21"/>
              </w:rPr>
            </w:pPr>
          </w:p>
        </w:tc>
      </w:tr>
      <w:tr w14:paraId="198B47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2" w:hRule="atLeast"/>
        </w:trPr>
        <w:tc>
          <w:tcPr>
            <w:tcW w:w="1425" w:type="dxa"/>
            <w:vAlign w:val="top"/>
          </w:tcPr>
          <w:p w14:paraId="213A5709">
            <w:pPr>
              <w:pStyle w:val="11"/>
              <w:spacing w:before="32" w:line="224" w:lineRule="auto"/>
              <w:ind w:left="417" w:right="181" w:hanging="226"/>
            </w:pPr>
            <w:r>
              <w:rPr>
                <w:spacing w:val="-1"/>
              </w:rPr>
              <w:t>保函验真平</w:t>
            </w:r>
            <w:r>
              <w:t xml:space="preserve"> </w:t>
            </w:r>
            <w:r>
              <w:rPr>
                <w:spacing w:val="-5"/>
              </w:rPr>
              <w:t>台网址</w:t>
            </w:r>
          </w:p>
        </w:tc>
        <w:tc>
          <w:tcPr>
            <w:tcW w:w="6771" w:type="dxa"/>
            <w:gridSpan w:val="3"/>
            <w:vAlign w:val="top"/>
          </w:tcPr>
          <w:p w14:paraId="0864400D">
            <w:pPr>
              <w:rPr>
                <w:rFonts w:ascii="Arial"/>
                <w:sz w:val="21"/>
              </w:rPr>
            </w:pPr>
          </w:p>
        </w:tc>
      </w:tr>
      <w:tr w14:paraId="05220D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3" w:hRule="atLeast"/>
        </w:trPr>
        <w:tc>
          <w:tcPr>
            <w:tcW w:w="1425" w:type="dxa"/>
            <w:vMerge w:val="restart"/>
            <w:tcBorders>
              <w:bottom w:val="nil"/>
            </w:tcBorders>
            <w:vAlign w:val="top"/>
          </w:tcPr>
          <w:p w14:paraId="28A0A2B7">
            <w:pPr>
              <w:spacing w:line="314" w:lineRule="auto"/>
              <w:rPr>
                <w:rFonts w:ascii="Arial"/>
                <w:sz w:val="21"/>
              </w:rPr>
            </w:pPr>
          </w:p>
          <w:p w14:paraId="6A2A2D8C">
            <w:pPr>
              <w:spacing w:line="314" w:lineRule="auto"/>
              <w:rPr>
                <w:rFonts w:ascii="Arial"/>
                <w:sz w:val="21"/>
              </w:rPr>
            </w:pPr>
          </w:p>
          <w:p w14:paraId="1E19BF50">
            <w:pPr>
              <w:spacing w:line="314" w:lineRule="auto"/>
              <w:rPr>
                <w:rFonts w:ascii="Arial"/>
                <w:sz w:val="21"/>
              </w:rPr>
            </w:pPr>
          </w:p>
          <w:p w14:paraId="00CE5A60">
            <w:pPr>
              <w:pStyle w:val="11"/>
              <w:spacing w:before="68" w:line="220" w:lineRule="auto"/>
              <w:ind w:left="523"/>
            </w:pPr>
            <w:r>
              <w:rPr>
                <w:spacing w:val="-6"/>
              </w:rPr>
              <w:t>附件</w:t>
            </w:r>
          </w:p>
        </w:tc>
        <w:tc>
          <w:tcPr>
            <w:tcW w:w="6771" w:type="dxa"/>
            <w:gridSpan w:val="3"/>
            <w:vAlign w:val="top"/>
          </w:tcPr>
          <w:p w14:paraId="75F03532">
            <w:pPr>
              <w:pStyle w:val="11"/>
              <w:spacing w:before="27" w:line="207" w:lineRule="auto"/>
              <w:ind w:left="115"/>
            </w:pPr>
            <w:r>
              <w:rPr>
                <w:spacing w:val="-1"/>
              </w:rPr>
              <w:t>保函扫描件</w:t>
            </w:r>
          </w:p>
        </w:tc>
      </w:tr>
      <w:tr w14:paraId="5BBCFF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1425" w:type="dxa"/>
            <w:vMerge w:val="continue"/>
            <w:tcBorders>
              <w:top w:val="nil"/>
              <w:bottom w:val="nil"/>
            </w:tcBorders>
            <w:vAlign w:val="top"/>
          </w:tcPr>
          <w:p w14:paraId="3B5E106F">
            <w:pPr>
              <w:rPr>
                <w:rFonts w:ascii="Arial"/>
                <w:sz w:val="21"/>
              </w:rPr>
            </w:pPr>
          </w:p>
        </w:tc>
        <w:tc>
          <w:tcPr>
            <w:tcW w:w="6771" w:type="dxa"/>
            <w:gridSpan w:val="3"/>
            <w:vAlign w:val="top"/>
          </w:tcPr>
          <w:p w14:paraId="6715A5C2">
            <w:pPr>
              <w:rPr>
                <w:rFonts w:ascii="Arial"/>
                <w:sz w:val="21"/>
              </w:rPr>
            </w:pPr>
          </w:p>
        </w:tc>
      </w:tr>
      <w:tr w14:paraId="36556C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1425" w:type="dxa"/>
            <w:vMerge w:val="continue"/>
            <w:tcBorders>
              <w:top w:val="nil"/>
              <w:bottom w:val="nil"/>
            </w:tcBorders>
            <w:vAlign w:val="top"/>
          </w:tcPr>
          <w:p w14:paraId="3C326DBF">
            <w:pPr>
              <w:rPr>
                <w:rFonts w:ascii="Arial"/>
                <w:sz w:val="21"/>
              </w:rPr>
            </w:pPr>
          </w:p>
        </w:tc>
        <w:tc>
          <w:tcPr>
            <w:tcW w:w="6771" w:type="dxa"/>
            <w:gridSpan w:val="3"/>
            <w:vAlign w:val="top"/>
          </w:tcPr>
          <w:p w14:paraId="70E9F590">
            <w:pPr>
              <w:pStyle w:val="11"/>
              <w:spacing w:before="32" w:line="207" w:lineRule="auto"/>
              <w:ind w:left="112"/>
            </w:pPr>
            <w:r>
              <w:rPr>
                <w:spacing w:val="-1"/>
              </w:rPr>
              <w:t>缴费凭证扫描件</w:t>
            </w:r>
          </w:p>
        </w:tc>
      </w:tr>
      <w:tr w14:paraId="4D136E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1425" w:type="dxa"/>
            <w:vMerge w:val="continue"/>
            <w:tcBorders>
              <w:top w:val="nil"/>
              <w:bottom w:val="nil"/>
            </w:tcBorders>
            <w:vAlign w:val="top"/>
          </w:tcPr>
          <w:p w14:paraId="6833536F">
            <w:pPr>
              <w:rPr>
                <w:rFonts w:ascii="Arial"/>
                <w:sz w:val="21"/>
              </w:rPr>
            </w:pPr>
          </w:p>
        </w:tc>
        <w:tc>
          <w:tcPr>
            <w:tcW w:w="6771" w:type="dxa"/>
            <w:gridSpan w:val="3"/>
            <w:vAlign w:val="top"/>
          </w:tcPr>
          <w:p w14:paraId="6C0C7ED0">
            <w:pPr>
              <w:rPr>
                <w:rFonts w:ascii="Arial"/>
                <w:sz w:val="21"/>
              </w:rPr>
            </w:pPr>
          </w:p>
        </w:tc>
      </w:tr>
      <w:tr w14:paraId="78AC81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1425" w:type="dxa"/>
            <w:vMerge w:val="continue"/>
            <w:tcBorders>
              <w:top w:val="nil"/>
              <w:bottom w:val="nil"/>
            </w:tcBorders>
            <w:vAlign w:val="top"/>
          </w:tcPr>
          <w:p w14:paraId="252C4765">
            <w:pPr>
              <w:rPr>
                <w:rFonts w:ascii="Arial"/>
                <w:sz w:val="21"/>
              </w:rPr>
            </w:pPr>
          </w:p>
        </w:tc>
        <w:tc>
          <w:tcPr>
            <w:tcW w:w="6771" w:type="dxa"/>
            <w:gridSpan w:val="3"/>
            <w:vAlign w:val="top"/>
          </w:tcPr>
          <w:p w14:paraId="5EC8D976">
            <w:pPr>
              <w:pStyle w:val="11"/>
              <w:spacing w:before="33" w:line="206" w:lineRule="auto"/>
              <w:ind w:left="114"/>
            </w:pPr>
            <w:r>
              <w:rPr>
                <w:spacing w:val="-4"/>
              </w:rPr>
              <w:t>基本户开户许可证扫（基本存款账户信息）</w:t>
            </w:r>
            <w:r>
              <w:rPr>
                <w:spacing w:val="-20"/>
              </w:rPr>
              <w:t xml:space="preserve"> </w:t>
            </w:r>
            <w:r>
              <w:rPr>
                <w:spacing w:val="-4"/>
              </w:rPr>
              <w:t>描件</w:t>
            </w:r>
          </w:p>
        </w:tc>
      </w:tr>
      <w:tr w14:paraId="613A7D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1425" w:type="dxa"/>
            <w:vMerge w:val="continue"/>
            <w:tcBorders>
              <w:top w:val="nil"/>
              <w:bottom w:val="nil"/>
            </w:tcBorders>
            <w:vAlign w:val="top"/>
          </w:tcPr>
          <w:p w14:paraId="7ED7382C">
            <w:pPr>
              <w:rPr>
                <w:rFonts w:ascii="Arial"/>
                <w:sz w:val="21"/>
              </w:rPr>
            </w:pPr>
          </w:p>
        </w:tc>
        <w:tc>
          <w:tcPr>
            <w:tcW w:w="6771" w:type="dxa"/>
            <w:gridSpan w:val="3"/>
            <w:vAlign w:val="top"/>
          </w:tcPr>
          <w:p w14:paraId="18E56EC0">
            <w:pPr>
              <w:rPr>
                <w:rFonts w:ascii="Arial"/>
                <w:sz w:val="21"/>
              </w:rPr>
            </w:pPr>
          </w:p>
        </w:tc>
      </w:tr>
      <w:tr w14:paraId="1B5B90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3" w:hRule="atLeast"/>
        </w:trPr>
        <w:tc>
          <w:tcPr>
            <w:tcW w:w="1425" w:type="dxa"/>
            <w:vMerge w:val="continue"/>
            <w:tcBorders>
              <w:top w:val="nil"/>
              <w:bottom w:val="nil"/>
            </w:tcBorders>
            <w:vAlign w:val="top"/>
          </w:tcPr>
          <w:p w14:paraId="551946D2">
            <w:pPr>
              <w:rPr>
                <w:rFonts w:ascii="Arial"/>
                <w:sz w:val="21"/>
              </w:rPr>
            </w:pPr>
          </w:p>
        </w:tc>
        <w:tc>
          <w:tcPr>
            <w:tcW w:w="6771" w:type="dxa"/>
            <w:gridSpan w:val="3"/>
            <w:vAlign w:val="top"/>
          </w:tcPr>
          <w:p w14:paraId="23458354">
            <w:pPr>
              <w:pStyle w:val="11"/>
              <w:spacing w:before="29" w:line="205" w:lineRule="auto"/>
              <w:ind w:left="115"/>
            </w:pPr>
            <w:r>
              <w:rPr>
                <w:spacing w:val="-1"/>
              </w:rPr>
              <w:t>其他材料</w:t>
            </w:r>
          </w:p>
        </w:tc>
      </w:tr>
      <w:tr w14:paraId="163C22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trPr>
        <w:tc>
          <w:tcPr>
            <w:tcW w:w="1425" w:type="dxa"/>
            <w:vMerge w:val="continue"/>
            <w:tcBorders>
              <w:top w:val="nil"/>
            </w:tcBorders>
            <w:vAlign w:val="top"/>
          </w:tcPr>
          <w:p w14:paraId="2E0F5261">
            <w:pPr>
              <w:rPr>
                <w:rFonts w:ascii="Arial"/>
                <w:sz w:val="21"/>
              </w:rPr>
            </w:pPr>
          </w:p>
        </w:tc>
        <w:tc>
          <w:tcPr>
            <w:tcW w:w="6771" w:type="dxa"/>
            <w:gridSpan w:val="3"/>
            <w:vAlign w:val="top"/>
          </w:tcPr>
          <w:p w14:paraId="7A8F5491">
            <w:pPr>
              <w:rPr>
                <w:rFonts w:ascii="Arial"/>
                <w:sz w:val="21"/>
              </w:rPr>
            </w:pPr>
          </w:p>
        </w:tc>
      </w:tr>
    </w:tbl>
    <w:p w14:paraId="4DA6C188">
      <w:pPr>
        <w:pStyle w:val="3"/>
      </w:pPr>
    </w:p>
    <w:p w14:paraId="2994AA40">
      <w:pPr>
        <w:sectPr>
          <w:footerReference r:id="rId201" w:type="default"/>
          <w:pgSz w:w="11905" w:h="16839"/>
          <w:pgMar w:top="400" w:right="1785" w:bottom="1004" w:left="1785" w:header="0" w:footer="828" w:gutter="0"/>
          <w:pgNumType w:fmt="decimal"/>
          <w:cols w:space="720" w:num="1"/>
        </w:sectPr>
      </w:pPr>
    </w:p>
    <w:p w14:paraId="5FA61D03">
      <w:pPr>
        <w:pStyle w:val="3"/>
        <w:spacing w:line="255" w:lineRule="auto"/>
      </w:pPr>
    </w:p>
    <w:p w14:paraId="23C1BB7D">
      <w:pPr>
        <w:pStyle w:val="3"/>
        <w:spacing w:line="256" w:lineRule="auto"/>
      </w:pPr>
    </w:p>
    <w:p w14:paraId="4707A19A">
      <w:pPr>
        <w:pStyle w:val="3"/>
        <w:spacing w:line="256" w:lineRule="auto"/>
      </w:pPr>
    </w:p>
    <w:p w14:paraId="1EFBE2E2">
      <w:pPr>
        <w:pStyle w:val="3"/>
        <w:spacing w:line="256" w:lineRule="auto"/>
      </w:pPr>
    </w:p>
    <w:p w14:paraId="282BF9A6">
      <w:pPr>
        <w:spacing w:before="88" w:line="225" w:lineRule="auto"/>
        <w:ind w:left="3072"/>
        <w:rPr>
          <w:rFonts w:ascii="黑体" w:hAnsi="黑体" w:eastAsia="黑体" w:cs="黑体"/>
          <w:sz w:val="27"/>
          <w:szCs w:val="27"/>
        </w:rPr>
      </w:pPr>
      <w:bookmarkStart w:id="1320" w:name="bookmark305"/>
      <w:bookmarkEnd w:id="1320"/>
      <w:r>
        <w:rPr>
          <w:rFonts w:ascii="黑体" w:hAnsi="黑体" w:eastAsia="黑体" w:cs="黑体"/>
          <w:spacing w:val="6"/>
          <w:sz w:val="27"/>
          <w:szCs w:val="27"/>
        </w:rPr>
        <w:t>四、联合体协议书</w:t>
      </w:r>
    </w:p>
    <w:p w14:paraId="15B8992A">
      <w:pPr>
        <w:spacing w:before="128" w:line="221" w:lineRule="auto"/>
        <w:ind w:left="3760"/>
        <w:rPr>
          <w:rFonts w:ascii="宋体" w:hAnsi="宋体" w:eastAsia="宋体" w:cs="宋体"/>
          <w:sz w:val="21"/>
          <w:szCs w:val="21"/>
        </w:rPr>
      </w:pPr>
      <w:r>
        <w:rPr>
          <w:rFonts w:ascii="宋体" w:hAnsi="宋体" w:eastAsia="宋体" w:cs="宋体"/>
          <w:spacing w:val="-5"/>
          <w:sz w:val="21"/>
          <w:szCs w:val="21"/>
          <w14:textOutline w14:w="3831" w14:cap="flat" w14:cmpd="sng">
            <w14:solidFill>
              <w14:srgbClr w14:val="000000"/>
            </w14:solidFill>
            <w14:prstDash w14:val="solid"/>
            <w14:miter w14:val="0"/>
          </w14:textOutline>
        </w:rPr>
        <w:t>（如有）</w:t>
      </w:r>
    </w:p>
    <w:p w14:paraId="34448D27">
      <w:pPr>
        <w:pStyle w:val="3"/>
        <w:spacing w:line="465" w:lineRule="auto"/>
      </w:pPr>
    </w:p>
    <w:p w14:paraId="2B84DAB0">
      <w:pPr>
        <w:spacing w:before="68" w:line="350" w:lineRule="auto"/>
        <w:ind w:left="20"/>
        <w:rPr>
          <w:rFonts w:ascii="宋体" w:hAnsi="宋体" w:eastAsia="宋体" w:cs="宋体"/>
          <w:sz w:val="21"/>
          <w:szCs w:val="21"/>
        </w:rPr>
      </w:pPr>
      <w:r>
        <w:rPr>
          <w:rFonts w:ascii="宋体" w:hAnsi="宋体" w:eastAsia="宋体" w:cs="宋体"/>
          <w:spacing w:val="-2"/>
          <w:sz w:val="21"/>
          <w:szCs w:val="21"/>
        </w:rPr>
        <w:t>牵头人名称：</w:t>
      </w:r>
      <w:r>
        <w:rPr>
          <w:rFonts w:ascii="宋体" w:hAnsi="宋体" w:eastAsia="宋体" w:cs="宋体"/>
          <w:sz w:val="21"/>
          <w:szCs w:val="21"/>
          <w:u w:val="single" w:color="auto"/>
        </w:rPr>
        <w:t xml:space="preserve">                                                  </w:t>
      </w:r>
    </w:p>
    <w:p w14:paraId="457C3A29">
      <w:pPr>
        <w:spacing w:line="220" w:lineRule="auto"/>
        <w:ind w:left="19"/>
        <w:rPr>
          <w:rFonts w:ascii="宋体" w:hAnsi="宋体" w:eastAsia="宋体" w:cs="宋体"/>
          <w:sz w:val="21"/>
          <w:szCs w:val="21"/>
        </w:rPr>
      </w:pPr>
      <w:r>
        <w:rPr>
          <w:rFonts w:ascii="宋体" w:hAnsi="宋体" w:eastAsia="宋体" w:cs="宋体"/>
          <w:spacing w:val="-1"/>
          <w:sz w:val="21"/>
          <w:szCs w:val="21"/>
        </w:rPr>
        <w:t>法定代表人：</w:t>
      </w:r>
      <w:r>
        <w:rPr>
          <w:rFonts w:ascii="宋体" w:hAnsi="宋体" w:eastAsia="宋体" w:cs="宋体"/>
          <w:sz w:val="21"/>
          <w:szCs w:val="21"/>
          <w:u w:val="single" w:color="auto"/>
        </w:rPr>
        <w:t xml:space="preserve">                                                  </w:t>
      </w:r>
    </w:p>
    <w:p w14:paraId="02C05987">
      <w:pPr>
        <w:spacing w:before="143" w:line="221" w:lineRule="auto"/>
        <w:ind w:left="19"/>
        <w:rPr>
          <w:rFonts w:ascii="宋体" w:hAnsi="宋体" w:eastAsia="宋体" w:cs="宋体"/>
          <w:sz w:val="21"/>
          <w:szCs w:val="21"/>
        </w:rPr>
      </w:pPr>
      <w:r>
        <w:rPr>
          <w:rFonts w:ascii="宋体" w:hAnsi="宋体" w:eastAsia="宋体" w:cs="宋体"/>
          <w:spacing w:val="-23"/>
          <w:w w:val="95"/>
          <w:sz w:val="21"/>
          <w:szCs w:val="21"/>
        </w:rPr>
        <w:t>法定住所：</w:t>
      </w:r>
      <w:r>
        <w:rPr>
          <w:rFonts w:ascii="宋体" w:hAnsi="宋体" w:eastAsia="宋体" w:cs="宋体"/>
          <w:spacing w:val="58"/>
          <w:sz w:val="21"/>
          <w:szCs w:val="21"/>
        </w:rPr>
        <w:t xml:space="preserve"> </w:t>
      </w:r>
      <w:r>
        <w:rPr>
          <w:rFonts w:ascii="宋体" w:hAnsi="宋体" w:eastAsia="宋体" w:cs="宋体"/>
          <w:sz w:val="21"/>
          <w:szCs w:val="21"/>
          <w:u w:val="single" w:color="auto"/>
        </w:rPr>
        <w:t xml:space="preserve">                                                    </w:t>
      </w:r>
    </w:p>
    <w:p w14:paraId="3D42CE9B">
      <w:pPr>
        <w:pStyle w:val="3"/>
        <w:spacing w:line="464" w:lineRule="auto"/>
      </w:pPr>
    </w:p>
    <w:p w14:paraId="058BA6B2">
      <w:pPr>
        <w:spacing w:before="69" w:line="346" w:lineRule="auto"/>
        <w:ind w:left="20"/>
        <w:rPr>
          <w:rFonts w:ascii="宋体" w:hAnsi="宋体" w:eastAsia="宋体" w:cs="宋体"/>
          <w:sz w:val="21"/>
          <w:szCs w:val="21"/>
        </w:rPr>
      </w:pPr>
      <w:r>
        <w:rPr>
          <w:rFonts w:ascii="宋体" w:hAnsi="宋体" w:eastAsia="宋体" w:cs="宋体"/>
          <w:spacing w:val="-2"/>
          <w:sz w:val="21"/>
          <w:szCs w:val="21"/>
        </w:rPr>
        <w:t>成员二名称：</w:t>
      </w:r>
      <w:r>
        <w:rPr>
          <w:rFonts w:ascii="宋体" w:hAnsi="宋体" w:eastAsia="宋体" w:cs="宋体"/>
          <w:sz w:val="21"/>
          <w:szCs w:val="21"/>
          <w:u w:val="single" w:color="auto"/>
        </w:rPr>
        <w:t xml:space="preserve">                                                  </w:t>
      </w:r>
    </w:p>
    <w:p w14:paraId="6EA68D71">
      <w:pPr>
        <w:spacing w:line="220" w:lineRule="auto"/>
        <w:ind w:left="19"/>
        <w:rPr>
          <w:rFonts w:ascii="宋体" w:hAnsi="宋体" w:eastAsia="宋体" w:cs="宋体"/>
          <w:sz w:val="21"/>
          <w:szCs w:val="21"/>
        </w:rPr>
      </w:pPr>
      <w:r>
        <w:rPr>
          <w:rFonts w:ascii="宋体" w:hAnsi="宋体" w:eastAsia="宋体" w:cs="宋体"/>
          <w:spacing w:val="-1"/>
          <w:sz w:val="21"/>
          <w:szCs w:val="21"/>
        </w:rPr>
        <w:t>法定代表人：</w:t>
      </w:r>
      <w:r>
        <w:rPr>
          <w:rFonts w:ascii="宋体" w:hAnsi="宋体" w:eastAsia="宋体" w:cs="宋体"/>
          <w:sz w:val="21"/>
          <w:szCs w:val="21"/>
          <w:u w:val="single" w:color="auto"/>
        </w:rPr>
        <w:t xml:space="preserve">                                                  </w:t>
      </w:r>
    </w:p>
    <w:p w14:paraId="15DC40A6">
      <w:pPr>
        <w:spacing w:before="143" w:line="221" w:lineRule="auto"/>
        <w:ind w:left="19"/>
        <w:rPr>
          <w:rFonts w:ascii="宋体" w:hAnsi="宋体" w:eastAsia="宋体" w:cs="宋体"/>
          <w:sz w:val="21"/>
          <w:szCs w:val="21"/>
        </w:rPr>
      </w:pPr>
      <w:r>
        <w:rPr>
          <w:rFonts w:ascii="宋体" w:hAnsi="宋体" w:eastAsia="宋体" w:cs="宋体"/>
          <w:spacing w:val="-23"/>
          <w:w w:val="95"/>
          <w:sz w:val="21"/>
          <w:szCs w:val="21"/>
        </w:rPr>
        <w:t>法定住所：</w:t>
      </w:r>
      <w:r>
        <w:rPr>
          <w:rFonts w:ascii="宋体" w:hAnsi="宋体" w:eastAsia="宋体" w:cs="宋体"/>
          <w:spacing w:val="58"/>
          <w:sz w:val="21"/>
          <w:szCs w:val="21"/>
        </w:rPr>
        <w:t xml:space="preserve"> </w:t>
      </w:r>
      <w:r>
        <w:rPr>
          <w:rFonts w:ascii="宋体" w:hAnsi="宋体" w:eastAsia="宋体" w:cs="宋体"/>
          <w:sz w:val="21"/>
          <w:szCs w:val="21"/>
          <w:u w:val="single" w:color="auto"/>
        </w:rPr>
        <w:t xml:space="preserve">                                                    </w:t>
      </w:r>
    </w:p>
    <w:p w14:paraId="3435845C">
      <w:pPr>
        <w:spacing w:before="141" w:line="333" w:lineRule="exact"/>
        <w:ind w:left="555"/>
        <w:rPr>
          <w:rFonts w:ascii="宋体" w:hAnsi="宋体" w:eastAsia="宋体" w:cs="宋体"/>
          <w:sz w:val="21"/>
          <w:szCs w:val="21"/>
        </w:rPr>
      </w:pPr>
      <w:r>
        <w:rPr>
          <w:rFonts w:ascii="宋体" w:hAnsi="宋体" w:eastAsia="宋体" w:cs="宋体"/>
          <w:spacing w:val="-5"/>
          <w:position w:val="2"/>
          <w:sz w:val="21"/>
          <w:szCs w:val="21"/>
        </w:rPr>
        <w:t>……</w:t>
      </w:r>
    </w:p>
    <w:p w14:paraId="5829E9D6">
      <w:pPr>
        <w:spacing w:before="62" w:line="346" w:lineRule="auto"/>
        <w:ind w:left="18" w:right="12" w:firstLine="425"/>
        <w:rPr>
          <w:rFonts w:ascii="宋体" w:hAnsi="宋体" w:eastAsia="宋体" w:cs="宋体"/>
          <w:sz w:val="21"/>
          <w:szCs w:val="21"/>
        </w:rPr>
      </w:pPr>
      <w:r>
        <w:rPr>
          <w:rFonts w:ascii="宋体" w:hAnsi="宋体" w:eastAsia="宋体" w:cs="宋体"/>
          <w:spacing w:val="-7"/>
          <w:sz w:val="21"/>
          <w:szCs w:val="21"/>
        </w:rPr>
        <w:t>鉴于上述各成员单位经过友好协商，自愿组成</w:t>
      </w:r>
      <w:r>
        <w:rPr>
          <w:rFonts w:ascii="宋体" w:hAnsi="宋体" w:eastAsia="宋体" w:cs="宋体"/>
          <w:spacing w:val="-7"/>
          <w:sz w:val="21"/>
          <w:szCs w:val="21"/>
          <w:u w:val="single" w:color="auto"/>
        </w:rPr>
        <w:t xml:space="preserve">       </w:t>
      </w:r>
      <w:r>
        <w:rPr>
          <w:rFonts w:ascii="宋体" w:hAnsi="宋体" w:eastAsia="宋体" w:cs="宋体"/>
          <w:spacing w:val="-27"/>
          <w:sz w:val="21"/>
          <w:szCs w:val="21"/>
        </w:rPr>
        <w:t xml:space="preserve"> </w:t>
      </w:r>
      <w:r>
        <w:rPr>
          <w:rFonts w:ascii="宋体" w:hAnsi="宋体" w:eastAsia="宋体" w:cs="宋体"/>
          <w:spacing w:val="-7"/>
          <w:sz w:val="21"/>
          <w:szCs w:val="21"/>
        </w:rPr>
        <w:t>（联合</w:t>
      </w:r>
      <w:r>
        <w:rPr>
          <w:rFonts w:ascii="宋体" w:hAnsi="宋体" w:eastAsia="宋体" w:cs="宋体"/>
          <w:spacing w:val="-8"/>
          <w:sz w:val="21"/>
          <w:szCs w:val="21"/>
        </w:rPr>
        <w:t>体名称）</w:t>
      </w:r>
      <w:r>
        <w:rPr>
          <w:rFonts w:ascii="宋体" w:hAnsi="宋体" w:eastAsia="宋体" w:cs="宋体"/>
          <w:spacing w:val="18"/>
          <w:sz w:val="21"/>
          <w:szCs w:val="21"/>
        </w:rPr>
        <w:t xml:space="preserve"> </w:t>
      </w:r>
      <w:r>
        <w:rPr>
          <w:rFonts w:ascii="宋体" w:hAnsi="宋体" w:eastAsia="宋体" w:cs="宋体"/>
          <w:spacing w:val="-8"/>
          <w:sz w:val="21"/>
          <w:szCs w:val="21"/>
        </w:rPr>
        <w:t>联合体， 共同参</w:t>
      </w:r>
      <w:r>
        <w:rPr>
          <w:rFonts w:ascii="宋体" w:hAnsi="宋体" w:eastAsia="宋体" w:cs="宋体"/>
          <w:sz w:val="21"/>
          <w:szCs w:val="21"/>
        </w:rPr>
        <w:t xml:space="preserve"> </w:t>
      </w:r>
      <w:r>
        <w:rPr>
          <w:rFonts w:ascii="宋体" w:hAnsi="宋体" w:eastAsia="宋体" w:cs="宋体"/>
          <w:spacing w:val="-13"/>
          <w:sz w:val="21"/>
          <w:szCs w:val="21"/>
        </w:rPr>
        <w:t>加</w:t>
      </w:r>
      <w:r>
        <w:rPr>
          <w:rFonts w:ascii="宋体" w:hAnsi="宋体" w:eastAsia="宋体" w:cs="宋体"/>
          <w:spacing w:val="-105"/>
          <w:sz w:val="21"/>
          <w:szCs w:val="21"/>
        </w:rPr>
        <w:t xml:space="preserve"> </w:t>
      </w:r>
      <w:r>
        <w:rPr>
          <w:rFonts w:ascii="宋体" w:hAnsi="宋体" w:eastAsia="宋体" w:cs="宋体"/>
          <w:spacing w:val="-13"/>
          <w:sz w:val="21"/>
          <w:szCs w:val="21"/>
          <w:u w:val="single" w:color="auto"/>
        </w:rPr>
        <w:t xml:space="preserve">                   </w:t>
      </w:r>
      <w:r>
        <w:rPr>
          <w:rFonts w:ascii="宋体" w:hAnsi="宋体" w:eastAsia="宋体" w:cs="宋体"/>
          <w:spacing w:val="-13"/>
          <w:sz w:val="21"/>
          <w:szCs w:val="21"/>
        </w:rPr>
        <w:t xml:space="preserve"> （招标人名称</w:t>
      </w:r>
      <w:r>
        <w:rPr>
          <w:rFonts w:ascii="宋体" w:hAnsi="宋体" w:eastAsia="宋体" w:cs="宋体"/>
          <w:spacing w:val="-11"/>
          <w:sz w:val="21"/>
          <w:szCs w:val="21"/>
        </w:rPr>
        <w:t>）（</w:t>
      </w:r>
      <w:r>
        <w:rPr>
          <w:rFonts w:ascii="宋体" w:hAnsi="宋体" w:eastAsia="宋体" w:cs="宋体"/>
          <w:spacing w:val="-13"/>
          <w:sz w:val="21"/>
          <w:szCs w:val="21"/>
        </w:rPr>
        <w:t>以下简称招标人</w:t>
      </w:r>
      <w:r>
        <w:rPr>
          <w:rFonts w:ascii="宋体" w:hAnsi="宋体" w:eastAsia="宋体" w:cs="宋体"/>
          <w:spacing w:val="-11"/>
          <w:sz w:val="21"/>
          <w:szCs w:val="21"/>
        </w:rPr>
        <w:t>）</w:t>
      </w:r>
      <w:r>
        <w:rPr>
          <w:rFonts w:ascii="宋体" w:hAnsi="宋体" w:eastAsia="宋体" w:cs="宋体"/>
          <w:spacing w:val="-45"/>
          <w:sz w:val="21"/>
          <w:szCs w:val="21"/>
        </w:rPr>
        <w:t xml:space="preserve"> </w:t>
      </w:r>
      <w:r>
        <w:rPr>
          <w:rFonts w:ascii="宋体" w:hAnsi="宋体" w:eastAsia="宋体" w:cs="宋体"/>
          <w:spacing w:val="3"/>
          <w:sz w:val="21"/>
          <w:szCs w:val="21"/>
          <w:u w:val="single" w:color="auto"/>
        </w:rPr>
        <w:t xml:space="preserve">                </w:t>
      </w:r>
      <w:r>
        <w:rPr>
          <w:rFonts w:ascii="宋体" w:hAnsi="宋体" w:eastAsia="宋体" w:cs="宋体"/>
          <w:spacing w:val="20"/>
          <w:sz w:val="21"/>
          <w:szCs w:val="21"/>
        </w:rPr>
        <w:t xml:space="preserve"> </w:t>
      </w:r>
      <w:r>
        <w:rPr>
          <w:rFonts w:ascii="宋体" w:hAnsi="宋体" w:eastAsia="宋体" w:cs="宋体"/>
          <w:spacing w:val="-11"/>
          <w:sz w:val="21"/>
          <w:szCs w:val="21"/>
        </w:rPr>
        <w:t>（</w:t>
      </w:r>
      <w:r>
        <w:rPr>
          <w:rFonts w:ascii="宋体" w:hAnsi="宋体" w:eastAsia="宋体" w:cs="宋体"/>
          <w:spacing w:val="-13"/>
          <w:sz w:val="21"/>
          <w:szCs w:val="21"/>
        </w:rPr>
        <w:t>标段名称）</w:t>
      </w:r>
      <w:r>
        <w:rPr>
          <w:rFonts w:ascii="宋体" w:hAnsi="宋体" w:eastAsia="宋体" w:cs="宋体"/>
          <w:sz w:val="21"/>
          <w:szCs w:val="21"/>
        </w:rPr>
        <w:t xml:space="preserve"> </w:t>
      </w:r>
      <w:r>
        <w:rPr>
          <w:rFonts w:ascii="宋体" w:hAnsi="宋体" w:eastAsia="宋体" w:cs="宋体"/>
          <w:spacing w:val="-6"/>
          <w:sz w:val="21"/>
          <w:szCs w:val="21"/>
        </w:rPr>
        <w:t>（以下简称本工程）</w:t>
      </w:r>
      <w:r>
        <w:rPr>
          <w:rFonts w:ascii="宋体" w:hAnsi="宋体" w:eastAsia="宋体" w:cs="宋体"/>
          <w:spacing w:val="36"/>
          <w:sz w:val="21"/>
          <w:szCs w:val="21"/>
        </w:rPr>
        <w:t xml:space="preserve"> </w:t>
      </w:r>
      <w:r>
        <w:rPr>
          <w:rFonts w:ascii="宋体" w:hAnsi="宋体" w:eastAsia="宋体" w:cs="宋体"/>
          <w:spacing w:val="-6"/>
          <w:sz w:val="21"/>
          <w:szCs w:val="21"/>
        </w:rPr>
        <w:t>的施工投标并争取赢得本工程施工承包合同（以下简称合同）。现就联</w:t>
      </w:r>
    </w:p>
    <w:p w14:paraId="69DEF708">
      <w:pPr>
        <w:spacing w:line="221" w:lineRule="auto"/>
        <w:ind w:left="19"/>
        <w:rPr>
          <w:rFonts w:ascii="宋体" w:hAnsi="宋体" w:eastAsia="宋体" w:cs="宋体"/>
          <w:sz w:val="21"/>
          <w:szCs w:val="21"/>
        </w:rPr>
      </w:pPr>
      <w:r>
        <w:rPr>
          <w:rFonts w:ascii="宋体" w:hAnsi="宋体" w:eastAsia="宋体" w:cs="宋体"/>
          <w:spacing w:val="-4"/>
          <w:sz w:val="21"/>
          <w:szCs w:val="21"/>
        </w:rPr>
        <w:t>合体投标事宜订立如下协议：</w:t>
      </w:r>
    </w:p>
    <w:p w14:paraId="049A5422">
      <w:pPr>
        <w:spacing w:before="142" w:line="220" w:lineRule="auto"/>
        <w:ind w:left="456"/>
        <w:rPr>
          <w:rFonts w:ascii="宋体" w:hAnsi="宋体" w:eastAsia="宋体" w:cs="宋体"/>
          <w:sz w:val="21"/>
          <w:szCs w:val="21"/>
        </w:rPr>
      </w:pPr>
      <w:r>
        <w:rPr>
          <w:rFonts w:ascii="宋体" w:hAnsi="宋体" w:eastAsia="宋体" w:cs="宋体"/>
          <w:spacing w:val="-10"/>
          <w:sz w:val="21"/>
          <w:szCs w:val="21"/>
        </w:rPr>
        <w:t>1</w:t>
      </w:r>
      <w:r>
        <w:rPr>
          <w:rFonts w:ascii="宋体" w:hAnsi="宋体" w:eastAsia="宋体" w:cs="宋体"/>
          <w:spacing w:val="-6"/>
          <w:sz w:val="21"/>
          <w:szCs w:val="21"/>
        </w:rPr>
        <w:t>．</w:t>
      </w:r>
      <w:r>
        <w:rPr>
          <w:rFonts w:ascii="宋体" w:hAnsi="宋体" w:eastAsia="宋体" w:cs="宋体"/>
          <w:sz w:val="21"/>
          <w:szCs w:val="21"/>
          <w:u w:val="single" w:color="auto"/>
        </w:rPr>
        <w:t xml:space="preserve">        </w:t>
      </w:r>
      <w:r>
        <w:rPr>
          <w:rFonts w:ascii="宋体" w:hAnsi="宋体" w:eastAsia="宋体" w:cs="宋体"/>
          <w:spacing w:val="-21"/>
          <w:sz w:val="21"/>
          <w:szCs w:val="21"/>
        </w:rPr>
        <w:t xml:space="preserve"> </w:t>
      </w:r>
      <w:r>
        <w:rPr>
          <w:rFonts w:ascii="宋体" w:hAnsi="宋体" w:eastAsia="宋体" w:cs="宋体"/>
          <w:spacing w:val="-6"/>
          <w:sz w:val="21"/>
          <w:szCs w:val="21"/>
        </w:rPr>
        <w:t>（</w:t>
      </w:r>
      <w:r>
        <w:rPr>
          <w:rFonts w:ascii="宋体" w:hAnsi="宋体" w:eastAsia="宋体" w:cs="宋体"/>
          <w:spacing w:val="-10"/>
          <w:sz w:val="21"/>
          <w:szCs w:val="21"/>
        </w:rPr>
        <w:t>某成员单位名称）为</w:t>
      </w:r>
      <w:r>
        <w:rPr>
          <w:rFonts w:ascii="宋体" w:hAnsi="宋体" w:eastAsia="宋体" w:cs="宋体"/>
          <w:spacing w:val="-93"/>
          <w:sz w:val="21"/>
          <w:szCs w:val="21"/>
        </w:rPr>
        <w:t xml:space="preserve"> </w:t>
      </w:r>
      <w:r>
        <w:rPr>
          <w:rFonts w:ascii="宋体" w:hAnsi="宋体" w:eastAsia="宋体" w:cs="宋体"/>
          <w:spacing w:val="7"/>
          <w:sz w:val="21"/>
          <w:szCs w:val="21"/>
          <w:u w:val="single" w:color="auto"/>
        </w:rPr>
        <w:t xml:space="preserve">             </w:t>
      </w:r>
      <w:r>
        <w:rPr>
          <w:rFonts w:ascii="宋体" w:hAnsi="宋体" w:eastAsia="宋体" w:cs="宋体"/>
          <w:spacing w:val="-10"/>
          <w:sz w:val="21"/>
          <w:szCs w:val="21"/>
        </w:rPr>
        <w:t xml:space="preserve"> （联合体名称）牵头人。</w:t>
      </w:r>
    </w:p>
    <w:p w14:paraId="135C807D">
      <w:pPr>
        <w:spacing w:before="149" w:line="346" w:lineRule="auto"/>
        <w:ind w:left="18" w:right="8" w:firstLine="425"/>
        <w:rPr>
          <w:rFonts w:ascii="宋体" w:hAnsi="宋体" w:eastAsia="宋体" w:cs="宋体"/>
          <w:sz w:val="21"/>
          <w:szCs w:val="21"/>
        </w:rPr>
      </w:pPr>
      <w:r>
        <w:rPr>
          <w:rFonts w:ascii="宋体" w:hAnsi="宋体" w:eastAsia="宋体" w:cs="宋体"/>
          <w:sz w:val="21"/>
          <w:szCs w:val="21"/>
        </w:rPr>
        <w:t>2．在本工程投标阶段，联合体牵头人合法代表联合体各成员负责本工程投标文件编制</w:t>
      </w:r>
      <w:r>
        <w:rPr>
          <w:rFonts w:ascii="宋体" w:hAnsi="宋体" w:eastAsia="宋体" w:cs="宋体"/>
          <w:spacing w:val="4"/>
          <w:sz w:val="21"/>
          <w:szCs w:val="21"/>
        </w:rPr>
        <w:t xml:space="preserve"> </w:t>
      </w:r>
      <w:r>
        <w:rPr>
          <w:rFonts w:ascii="宋体" w:hAnsi="宋体" w:eastAsia="宋体" w:cs="宋体"/>
          <w:sz w:val="21"/>
          <w:szCs w:val="21"/>
        </w:rPr>
        <w:t>活动， 代表联合体提交和接收相关的资料、信息及指示，并处理与投标和中标有关的一切</w:t>
      </w:r>
      <w:r>
        <w:rPr>
          <w:rFonts w:ascii="宋体" w:hAnsi="宋体" w:eastAsia="宋体" w:cs="宋体"/>
          <w:spacing w:val="6"/>
          <w:sz w:val="21"/>
          <w:szCs w:val="21"/>
        </w:rPr>
        <w:t xml:space="preserve"> </w:t>
      </w:r>
      <w:r>
        <w:rPr>
          <w:rFonts w:ascii="宋体" w:hAnsi="宋体" w:eastAsia="宋体" w:cs="宋体"/>
          <w:spacing w:val="-2"/>
          <w:sz w:val="21"/>
          <w:szCs w:val="21"/>
        </w:rPr>
        <w:t>事务； 联合体中标后， 联合体牵头人负责合同订立</w:t>
      </w:r>
      <w:r>
        <w:rPr>
          <w:rFonts w:ascii="宋体" w:hAnsi="宋体" w:eastAsia="宋体" w:cs="宋体"/>
          <w:spacing w:val="-3"/>
          <w:sz w:val="21"/>
          <w:szCs w:val="21"/>
        </w:rPr>
        <w:t>和合同实施阶段的主办、组织和协调工</w:t>
      </w:r>
    </w:p>
    <w:p w14:paraId="280DA5D1">
      <w:pPr>
        <w:spacing w:line="221" w:lineRule="auto"/>
        <w:ind w:left="19"/>
        <w:rPr>
          <w:rFonts w:ascii="宋体" w:hAnsi="宋体" w:eastAsia="宋体" w:cs="宋体"/>
          <w:sz w:val="21"/>
          <w:szCs w:val="21"/>
        </w:rPr>
      </w:pPr>
      <w:r>
        <w:rPr>
          <w:rFonts w:ascii="宋体" w:hAnsi="宋体" w:eastAsia="宋体" w:cs="宋体"/>
          <w:spacing w:val="-10"/>
          <w:sz w:val="21"/>
          <w:szCs w:val="21"/>
        </w:rPr>
        <w:t>作。</w:t>
      </w:r>
    </w:p>
    <w:p w14:paraId="4C5083A9">
      <w:pPr>
        <w:spacing w:before="142" w:line="346" w:lineRule="auto"/>
        <w:ind w:left="19" w:right="8" w:firstLine="426"/>
        <w:rPr>
          <w:rFonts w:ascii="宋体" w:hAnsi="宋体" w:eastAsia="宋体" w:cs="宋体"/>
          <w:sz w:val="21"/>
          <w:szCs w:val="21"/>
        </w:rPr>
      </w:pPr>
      <w:r>
        <w:rPr>
          <w:rFonts w:ascii="宋体" w:hAnsi="宋体" w:eastAsia="宋体" w:cs="宋体"/>
          <w:sz w:val="21"/>
          <w:szCs w:val="21"/>
        </w:rPr>
        <w:t>3．联合体将严格按照招标文件的各项要求，递交投标文件，履行投标义务和中标后的</w:t>
      </w:r>
      <w:r>
        <w:rPr>
          <w:rFonts w:ascii="宋体" w:hAnsi="宋体" w:eastAsia="宋体" w:cs="宋体"/>
          <w:spacing w:val="2"/>
          <w:sz w:val="21"/>
          <w:szCs w:val="21"/>
        </w:rPr>
        <w:t xml:space="preserve"> </w:t>
      </w:r>
      <w:r>
        <w:rPr>
          <w:rFonts w:ascii="宋体" w:hAnsi="宋体" w:eastAsia="宋体" w:cs="宋体"/>
          <w:spacing w:val="-5"/>
          <w:sz w:val="21"/>
          <w:szCs w:val="21"/>
        </w:rPr>
        <w:t>合同， 共同承担合同规定的一切义务和责任， 联合体各成员单位按照内部职责的部分， 承</w:t>
      </w:r>
    </w:p>
    <w:p w14:paraId="1C70289D">
      <w:pPr>
        <w:spacing w:before="1" w:line="220" w:lineRule="auto"/>
        <w:ind w:left="19"/>
        <w:rPr>
          <w:rFonts w:ascii="宋体" w:hAnsi="宋体" w:eastAsia="宋体" w:cs="宋体"/>
          <w:sz w:val="21"/>
          <w:szCs w:val="21"/>
        </w:rPr>
      </w:pPr>
      <w:r>
        <w:rPr>
          <w:rFonts w:ascii="宋体" w:hAnsi="宋体" w:eastAsia="宋体" w:cs="宋体"/>
          <w:spacing w:val="-1"/>
          <w:sz w:val="21"/>
          <w:szCs w:val="21"/>
        </w:rPr>
        <w:t>担各自所负的责任和风险，并向招标人承担连带责任。</w:t>
      </w:r>
    </w:p>
    <w:p w14:paraId="4E00655B">
      <w:pPr>
        <w:spacing w:before="142" w:line="221" w:lineRule="auto"/>
        <w:ind w:left="440"/>
        <w:rPr>
          <w:rFonts w:ascii="宋体" w:hAnsi="宋体" w:eastAsia="宋体" w:cs="宋体"/>
          <w:sz w:val="21"/>
          <w:szCs w:val="21"/>
        </w:rPr>
      </w:pPr>
      <w:r>
        <w:rPr>
          <w:rFonts w:ascii="宋体" w:hAnsi="宋体" w:eastAsia="宋体" w:cs="宋体"/>
          <w:spacing w:val="-4"/>
          <w:sz w:val="21"/>
          <w:szCs w:val="21"/>
        </w:rPr>
        <w:t>4．联合体各成员单位内部的职责分工如下：</w:t>
      </w:r>
      <w:r>
        <w:rPr>
          <w:rFonts w:ascii="宋体" w:hAnsi="宋体" w:eastAsia="宋体" w:cs="宋体"/>
          <w:spacing w:val="-28"/>
          <w:sz w:val="21"/>
          <w:szCs w:val="21"/>
        </w:rPr>
        <w:t xml:space="preserve"> </w:t>
      </w:r>
      <w:r>
        <w:rPr>
          <w:rFonts w:ascii="宋体" w:hAnsi="宋体" w:eastAsia="宋体" w:cs="宋体"/>
          <w:sz w:val="21"/>
          <w:szCs w:val="21"/>
          <w:u w:val="single" w:color="auto"/>
        </w:rPr>
        <w:t xml:space="preserve">                                    </w:t>
      </w:r>
    </w:p>
    <w:p w14:paraId="3D3D560D">
      <w:pPr>
        <w:pStyle w:val="3"/>
        <w:spacing w:line="251" w:lineRule="auto"/>
      </w:pPr>
    </w:p>
    <w:p w14:paraId="6633A433">
      <w:pPr>
        <w:tabs>
          <w:tab w:val="left" w:pos="7784"/>
        </w:tabs>
        <w:spacing w:before="26" w:line="159" w:lineRule="auto"/>
        <w:ind w:left="10"/>
        <w:rPr>
          <w:rFonts w:ascii="宋体" w:hAnsi="宋体" w:eastAsia="宋体" w:cs="宋体"/>
          <w:sz w:val="8"/>
          <w:szCs w:val="8"/>
        </w:rPr>
      </w:pPr>
      <w:r>
        <w:rPr>
          <w:rFonts w:ascii="宋体" w:hAnsi="宋体" w:eastAsia="宋体" w:cs="宋体"/>
          <w:sz w:val="8"/>
          <w:szCs w:val="8"/>
          <w:u w:val="single" w:color="auto"/>
        </w:rPr>
        <w:tab/>
      </w:r>
      <w:r>
        <w:rPr>
          <w:rFonts w:ascii="宋体" w:hAnsi="宋体" w:eastAsia="宋体" w:cs="宋体"/>
          <w:spacing w:val="-11"/>
          <w:sz w:val="8"/>
          <w:szCs w:val="8"/>
        </w:rPr>
        <w:t xml:space="preserve"> </w:t>
      </w:r>
      <w:r>
        <w:rPr>
          <w:rFonts w:ascii="宋体" w:hAnsi="宋体" w:eastAsia="宋体" w:cs="宋体"/>
          <w:spacing w:val="6"/>
          <w:sz w:val="8"/>
          <w:szCs w:val="8"/>
        </w:rPr>
        <w:t>。</w:t>
      </w:r>
    </w:p>
    <w:p w14:paraId="413DFF0D">
      <w:pPr>
        <w:spacing w:before="190" w:line="346" w:lineRule="auto"/>
        <w:ind w:left="442" w:right="54" w:firstLine="2"/>
        <w:rPr>
          <w:rFonts w:ascii="宋体" w:hAnsi="宋体" w:eastAsia="宋体" w:cs="宋体"/>
          <w:sz w:val="21"/>
          <w:szCs w:val="21"/>
        </w:rPr>
      </w:pPr>
      <w:r>
        <w:rPr>
          <w:rFonts w:ascii="宋体" w:hAnsi="宋体" w:eastAsia="宋体" w:cs="宋体"/>
          <w:spacing w:val="-1"/>
          <w:sz w:val="21"/>
          <w:szCs w:val="21"/>
        </w:rPr>
        <w:t>5．投标工作和联合体在中标后工程实施过程中的有关费用按各自承担的</w:t>
      </w:r>
      <w:r>
        <w:rPr>
          <w:rFonts w:ascii="宋体" w:hAnsi="宋体" w:eastAsia="宋体" w:cs="宋体"/>
          <w:spacing w:val="-2"/>
          <w:sz w:val="21"/>
          <w:szCs w:val="21"/>
        </w:rPr>
        <w:t>工作量分摊。</w:t>
      </w:r>
      <w:r>
        <w:rPr>
          <w:rFonts w:ascii="宋体" w:hAnsi="宋体" w:eastAsia="宋体" w:cs="宋体"/>
          <w:sz w:val="21"/>
          <w:szCs w:val="21"/>
        </w:rPr>
        <w:t xml:space="preserve"> </w:t>
      </w:r>
      <w:r>
        <w:rPr>
          <w:rFonts w:ascii="宋体" w:hAnsi="宋体" w:eastAsia="宋体" w:cs="宋体"/>
          <w:spacing w:val="-1"/>
          <w:sz w:val="21"/>
          <w:szCs w:val="21"/>
        </w:rPr>
        <w:t>6．联合体中标后，本联合体协议是合同的附件，对联合体各成员单位有合同约</w:t>
      </w:r>
      <w:r>
        <w:rPr>
          <w:rFonts w:ascii="宋体" w:hAnsi="宋体" w:eastAsia="宋体" w:cs="宋体"/>
          <w:spacing w:val="-2"/>
          <w:sz w:val="21"/>
          <w:szCs w:val="21"/>
        </w:rPr>
        <w:t>束力。</w:t>
      </w:r>
    </w:p>
    <w:p w14:paraId="00737BDC">
      <w:pPr>
        <w:spacing w:before="1" w:line="219" w:lineRule="auto"/>
        <w:ind w:left="446"/>
        <w:rPr>
          <w:rFonts w:ascii="宋体" w:hAnsi="宋体" w:eastAsia="宋体" w:cs="宋体"/>
          <w:sz w:val="21"/>
          <w:szCs w:val="21"/>
        </w:rPr>
      </w:pPr>
      <w:r>
        <w:rPr>
          <w:rFonts w:ascii="宋体" w:hAnsi="宋体" w:eastAsia="宋体" w:cs="宋体"/>
          <w:sz w:val="21"/>
          <w:szCs w:val="21"/>
        </w:rPr>
        <w:t>7．本协议书自签署之日起生效，联合体未中标或者中标合</w:t>
      </w:r>
      <w:r>
        <w:rPr>
          <w:rFonts w:ascii="宋体" w:hAnsi="宋体" w:eastAsia="宋体" w:cs="宋体"/>
          <w:spacing w:val="-1"/>
          <w:sz w:val="21"/>
          <w:szCs w:val="21"/>
        </w:rPr>
        <w:t>同履行完毕后自动失效。</w:t>
      </w:r>
    </w:p>
    <w:p w14:paraId="5A44B30B">
      <w:pPr>
        <w:spacing w:before="148" w:line="220" w:lineRule="auto"/>
        <w:ind w:left="442"/>
        <w:rPr>
          <w:rFonts w:ascii="宋体" w:hAnsi="宋体" w:eastAsia="宋体" w:cs="宋体"/>
          <w:sz w:val="21"/>
          <w:szCs w:val="21"/>
        </w:rPr>
      </w:pPr>
      <w:r>
        <w:rPr>
          <w:rFonts w:ascii="宋体" w:hAnsi="宋体" w:eastAsia="宋体" w:cs="宋体"/>
          <w:spacing w:val="-1"/>
          <w:sz w:val="21"/>
          <w:szCs w:val="21"/>
        </w:rPr>
        <w:t>8．本协议书一式</w:t>
      </w:r>
      <w:r>
        <w:rPr>
          <w:rFonts w:ascii="宋体" w:hAnsi="宋体" w:eastAsia="宋体" w:cs="宋体"/>
          <w:spacing w:val="-105"/>
          <w:sz w:val="21"/>
          <w:szCs w:val="21"/>
        </w:rPr>
        <w:t xml:space="preserve"> </w:t>
      </w:r>
      <w:r>
        <w:rPr>
          <w:rFonts w:ascii="宋体" w:hAnsi="宋体" w:eastAsia="宋体" w:cs="宋体"/>
          <w:spacing w:val="9"/>
          <w:sz w:val="21"/>
          <w:szCs w:val="21"/>
          <w:u w:val="single" w:color="auto"/>
        </w:rPr>
        <w:t xml:space="preserve">           </w:t>
      </w:r>
      <w:r>
        <w:rPr>
          <w:rFonts w:ascii="宋体" w:hAnsi="宋体" w:eastAsia="宋体" w:cs="宋体"/>
          <w:spacing w:val="-92"/>
          <w:sz w:val="21"/>
          <w:szCs w:val="21"/>
        </w:rPr>
        <w:t xml:space="preserve"> </w:t>
      </w:r>
      <w:r>
        <w:rPr>
          <w:rFonts w:ascii="宋体" w:hAnsi="宋体" w:eastAsia="宋体" w:cs="宋体"/>
          <w:spacing w:val="-1"/>
          <w:sz w:val="21"/>
          <w:szCs w:val="21"/>
        </w:rPr>
        <w:t>份，联合体成员和招标人</w:t>
      </w:r>
      <w:r>
        <w:rPr>
          <w:rFonts w:ascii="宋体" w:hAnsi="宋体" w:eastAsia="宋体" w:cs="宋体"/>
          <w:spacing w:val="-2"/>
          <w:sz w:val="21"/>
          <w:szCs w:val="21"/>
        </w:rPr>
        <w:t>各执一份。</w:t>
      </w:r>
    </w:p>
    <w:p w14:paraId="6DF967A3">
      <w:pPr>
        <w:pStyle w:val="3"/>
        <w:spacing w:line="466" w:lineRule="auto"/>
      </w:pPr>
    </w:p>
    <w:p w14:paraId="167FBBA8">
      <w:pPr>
        <w:spacing w:before="68" w:line="346" w:lineRule="auto"/>
        <w:ind w:left="1806"/>
        <w:rPr>
          <w:rFonts w:ascii="宋体" w:hAnsi="宋体" w:eastAsia="宋体" w:cs="宋体"/>
          <w:sz w:val="21"/>
          <w:szCs w:val="21"/>
        </w:rPr>
      </w:pPr>
      <w:r>
        <w:rPr>
          <w:rFonts w:ascii="宋体" w:hAnsi="宋体" w:eastAsia="宋体" w:cs="宋体"/>
          <w:spacing w:val="-11"/>
          <w:sz w:val="21"/>
          <w:szCs w:val="21"/>
        </w:rPr>
        <w:t>牵头人名称</w:t>
      </w:r>
      <w:r>
        <w:rPr>
          <w:rFonts w:ascii="宋体" w:hAnsi="宋体" w:eastAsia="宋体" w:cs="宋体"/>
          <w:spacing w:val="-13"/>
          <w:sz w:val="21"/>
          <w:szCs w:val="21"/>
        </w:rPr>
        <w:t>：</w:t>
      </w:r>
      <w:r>
        <w:rPr>
          <w:rFonts w:ascii="宋体" w:hAnsi="宋体" w:eastAsia="宋体" w:cs="宋体"/>
          <w:spacing w:val="3"/>
          <w:sz w:val="21"/>
          <w:szCs w:val="21"/>
          <w:u w:val="single" w:color="auto"/>
        </w:rPr>
        <w:t xml:space="preserve">                                 </w:t>
      </w:r>
      <w:r>
        <w:rPr>
          <w:rFonts w:ascii="宋体" w:hAnsi="宋体" w:eastAsia="宋体" w:cs="宋体"/>
          <w:spacing w:val="2"/>
          <w:sz w:val="21"/>
          <w:szCs w:val="21"/>
          <w:u w:val="single" w:color="auto"/>
        </w:rPr>
        <w:t xml:space="preserve">  </w:t>
      </w:r>
      <w:r>
        <w:rPr>
          <w:rFonts w:ascii="宋体" w:hAnsi="宋体" w:eastAsia="宋体" w:cs="宋体"/>
          <w:spacing w:val="16"/>
          <w:sz w:val="21"/>
          <w:szCs w:val="21"/>
        </w:rPr>
        <w:t xml:space="preserve"> </w:t>
      </w:r>
      <w:r>
        <w:rPr>
          <w:rFonts w:ascii="宋体" w:hAnsi="宋体" w:eastAsia="宋体" w:cs="宋体"/>
          <w:spacing w:val="-13"/>
          <w:sz w:val="21"/>
          <w:szCs w:val="21"/>
        </w:rPr>
        <w:t>（</w:t>
      </w:r>
      <w:r>
        <w:rPr>
          <w:rFonts w:ascii="宋体" w:hAnsi="宋体" w:eastAsia="宋体" w:cs="宋体"/>
          <w:spacing w:val="-11"/>
          <w:sz w:val="21"/>
          <w:szCs w:val="21"/>
        </w:rPr>
        <w:t>盖单位章）</w:t>
      </w:r>
    </w:p>
    <w:p w14:paraId="1BD8ACC1">
      <w:pPr>
        <w:spacing w:before="1" w:line="219" w:lineRule="auto"/>
        <w:ind w:left="1805"/>
        <w:rPr>
          <w:rFonts w:ascii="宋体" w:hAnsi="宋体" w:eastAsia="宋体" w:cs="宋体"/>
          <w:sz w:val="21"/>
          <w:szCs w:val="21"/>
        </w:rPr>
      </w:pPr>
      <w:r>
        <w:rPr>
          <w:rFonts w:ascii="宋体" w:hAnsi="宋体" w:eastAsia="宋体" w:cs="宋体"/>
          <w:spacing w:val="-13"/>
          <w:sz w:val="21"/>
          <w:szCs w:val="21"/>
        </w:rPr>
        <w:t>法定代表人或授权委托人</w:t>
      </w:r>
      <w:r>
        <w:rPr>
          <w:rFonts w:ascii="宋体" w:hAnsi="宋体" w:eastAsia="宋体" w:cs="宋体"/>
          <w:spacing w:val="3"/>
          <w:sz w:val="21"/>
          <w:szCs w:val="21"/>
        </w:rPr>
        <w:t>：</w:t>
      </w:r>
      <w:r>
        <w:rPr>
          <w:rFonts w:ascii="宋体" w:hAnsi="宋体" w:eastAsia="宋体" w:cs="宋体"/>
          <w:spacing w:val="-1"/>
          <w:sz w:val="21"/>
          <w:szCs w:val="21"/>
        </w:rPr>
        <w:t xml:space="preserve"> </w:t>
      </w:r>
      <w:r>
        <w:rPr>
          <w:rFonts w:ascii="宋体" w:hAnsi="宋体" w:eastAsia="宋体" w:cs="宋体"/>
          <w:spacing w:val="4"/>
          <w:sz w:val="21"/>
          <w:szCs w:val="21"/>
          <w:u w:val="single" w:color="auto"/>
        </w:rPr>
        <w:t xml:space="preserve">                      </w:t>
      </w:r>
      <w:r>
        <w:rPr>
          <w:rFonts w:ascii="宋体" w:hAnsi="宋体" w:eastAsia="宋体" w:cs="宋体"/>
          <w:spacing w:val="3"/>
          <w:sz w:val="21"/>
          <w:szCs w:val="21"/>
          <w:u w:val="single" w:color="auto"/>
        </w:rPr>
        <w:t xml:space="preserve">     </w:t>
      </w:r>
      <w:r>
        <w:rPr>
          <w:rFonts w:ascii="宋体" w:hAnsi="宋体" w:eastAsia="宋体" w:cs="宋体"/>
          <w:spacing w:val="-48"/>
          <w:sz w:val="21"/>
          <w:szCs w:val="21"/>
        </w:rPr>
        <w:t xml:space="preserve"> </w:t>
      </w:r>
      <w:r>
        <w:rPr>
          <w:rFonts w:ascii="宋体" w:hAnsi="宋体" w:eastAsia="宋体" w:cs="宋体"/>
          <w:spacing w:val="3"/>
          <w:sz w:val="21"/>
          <w:szCs w:val="21"/>
        </w:rPr>
        <w:t>（</w:t>
      </w:r>
      <w:r>
        <w:rPr>
          <w:rFonts w:ascii="宋体" w:hAnsi="宋体" w:eastAsia="宋体" w:cs="宋体"/>
          <w:spacing w:val="-13"/>
          <w:sz w:val="21"/>
          <w:szCs w:val="21"/>
        </w:rPr>
        <w:t>签章）</w:t>
      </w:r>
    </w:p>
    <w:p w14:paraId="57649AD8">
      <w:pPr>
        <w:pStyle w:val="3"/>
        <w:spacing w:line="466" w:lineRule="auto"/>
      </w:pPr>
    </w:p>
    <w:p w14:paraId="0B6D4D22">
      <w:pPr>
        <w:spacing w:before="69" w:line="346" w:lineRule="auto"/>
        <w:ind w:left="1806"/>
        <w:rPr>
          <w:rFonts w:ascii="宋体" w:hAnsi="宋体" w:eastAsia="宋体" w:cs="宋体"/>
          <w:sz w:val="21"/>
          <w:szCs w:val="21"/>
        </w:rPr>
      </w:pPr>
      <w:r>
        <w:rPr>
          <w:rFonts w:ascii="宋体" w:hAnsi="宋体" w:eastAsia="宋体" w:cs="宋体"/>
          <w:spacing w:val="-11"/>
          <w:sz w:val="21"/>
          <w:szCs w:val="21"/>
        </w:rPr>
        <w:t>成员二名称</w:t>
      </w:r>
      <w:r>
        <w:rPr>
          <w:rFonts w:ascii="宋体" w:hAnsi="宋体" w:eastAsia="宋体" w:cs="宋体"/>
          <w:spacing w:val="-13"/>
          <w:sz w:val="21"/>
          <w:szCs w:val="21"/>
        </w:rPr>
        <w:t>：</w:t>
      </w:r>
      <w:r>
        <w:rPr>
          <w:rFonts w:ascii="宋体" w:hAnsi="宋体" w:eastAsia="宋体" w:cs="宋体"/>
          <w:spacing w:val="3"/>
          <w:sz w:val="21"/>
          <w:szCs w:val="21"/>
          <w:u w:val="single" w:color="auto"/>
        </w:rPr>
        <w:t xml:space="preserve">                                 </w:t>
      </w:r>
      <w:r>
        <w:rPr>
          <w:rFonts w:ascii="宋体" w:hAnsi="宋体" w:eastAsia="宋体" w:cs="宋体"/>
          <w:spacing w:val="2"/>
          <w:sz w:val="21"/>
          <w:szCs w:val="21"/>
          <w:u w:val="single" w:color="auto"/>
        </w:rPr>
        <w:t xml:space="preserve">  </w:t>
      </w:r>
      <w:r>
        <w:rPr>
          <w:rFonts w:ascii="宋体" w:hAnsi="宋体" w:eastAsia="宋体" w:cs="宋体"/>
          <w:spacing w:val="16"/>
          <w:sz w:val="21"/>
          <w:szCs w:val="21"/>
        </w:rPr>
        <w:t xml:space="preserve"> </w:t>
      </w:r>
      <w:r>
        <w:rPr>
          <w:rFonts w:ascii="宋体" w:hAnsi="宋体" w:eastAsia="宋体" w:cs="宋体"/>
          <w:spacing w:val="-13"/>
          <w:sz w:val="21"/>
          <w:szCs w:val="21"/>
        </w:rPr>
        <w:t>（</w:t>
      </w:r>
      <w:r>
        <w:rPr>
          <w:rFonts w:ascii="宋体" w:hAnsi="宋体" w:eastAsia="宋体" w:cs="宋体"/>
          <w:spacing w:val="-11"/>
          <w:sz w:val="21"/>
          <w:szCs w:val="21"/>
        </w:rPr>
        <w:t>盖单位章）</w:t>
      </w:r>
    </w:p>
    <w:p w14:paraId="4A165569">
      <w:pPr>
        <w:spacing w:before="1" w:line="219" w:lineRule="auto"/>
        <w:ind w:left="1805"/>
        <w:rPr>
          <w:rFonts w:ascii="宋体" w:hAnsi="宋体" w:eastAsia="宋体" w:cs="宋体"/>
          <w:sz w:val="21"/>
          <w:szCs w:val="21"/>
        </w:rPr>
      </w:pPr>
      <w:r>
        <w:rPr>
          <w:rFonts w:ascii="宋体" w:hAnsi="宋体" w:eastAsia="宋体" w:cs="宋体"/>
          <w:spacing w:val="-13"/>
          <w:sz w:val="21"/>
          <w:szCs w:val="21"/>
        </w:rPr>
        <w:t>法定代表人或授权委托人</w:t>
      </w:r>
      <w:r>
        <w:rPr>
          <w:rFonts w:ascii="宋体" w:hAnsi="宋体" w:eastAsia="宋体" w:cs="宋体"/>
          <w:spacing w:val="3"/>
          <w:sz w:val="21"/>
          <w:szCs w:val="21"/>
        </w:rPr>
        <w:t>：</w:t>
      </w:r>
      <w:r>
        <w:rPr>
          <w:rFonts w:ascii="宋体" w:hAnsi="宋体" w:eastAsia="宋体" w:cs="宋体"/>
          <w:spacing w:val="-1"/>
          <w:sz w:val="21"/>
          <w:szCs w:val="21"/>
        </w:rPr>
        <w:t xml:space="preserve"> </w:t>
      </w:r>
      <w:r>
        <w:rPr>
          <w:rFonts w:ascii="宋体" w:hAnsi="宋体" w:eastAsia="宋体" w:cs="宋体"/>
          <w:spacing w:val="4"/>
          <w:sz w:val="21"/>
          <w:szCs w:val="21"/>
          <w:u w:val="single" w:color="auto"/>
        </w:rPr>
        <w:t xml:space="preserve">                      </w:t>
      </w:r>
      <w:r>
        <w:rPr>
          <w:rFonts w:ascii="宋体" w:hAnsi="宋体" w:eastAsia="宋体" w:cs="宋体"/>
          <w:spacing w:val="3"/>
          <w:sz w:val="21"/>
          <w:szCs w:val="21"/>
          <w:u w:val="single" w:color="auto"/>
        </w:rPr>
        <w:t xml:space="preserve">     </w:t>
      </w:r>
      <w:r>
        <w:rPr>
          <w:rFonts w:ascii="宋体" w:hAnsi="宋体" w:eastAsia="宋体" w:cs="宋体"/>
          <w:spacing w:val="-48"/>
          <w:sz w:val="21"/>
          <w:szCs w:val="21"/>
        </w:rPr>
        <w:t xml:space="preserve"> </w:t>
      </w:r>
      <w:r>
        <w:rPr>
          <w:rFonts w:ascii="宋体" w:hAnsi="宋体" w:eastAsia="宋体" w:cs="宋体"/>
          <w:spacing w:val="3"/>
          <w:sz w:val="21"/>
          <w:szCs w:val="21"/>
        </w:rPr>
        <w:t>（</w:t>
      </w:r>
      <w:r>
        <w:rPr>
          <w:rFonts w:ascii="宋体" w:hAnsi="宋体" w:eastAsia="宋体" w:cs="宋体"/>
          <w:spacing w:val="-13"/>
          <w:sz w:val="21"/>
          <w:szCs w:val="21"/>
        </w:rPr>
        <w:t>签章）</w:t>
      </w:r>
    </w:p>
    <w:p w14:paraId="31F66F43">
      <w:pPr>
        <w:spacing w:line="219" w:lineRule="auto"/>
        <w:rPr>
          <w:rFonts w:ascii="宋体" w:hAnsi="宋体" w:eastAsia="宋体" w:cs="宋体"/>
          <w:sz w:val="21"/>
          <w:szCs w:val="21"/>
        </w:rPr>
        <w:sectPr>
          <w:footerReference r:id="rId202" w:type="default"/>
          <w:pgSz w:w="11905" w:h="16839"/>
          <w:pgMar w:top="400" w:right="1785" w:bottom="1004" w:left="1785" w:header="0" w:footer="828" w:gutter="0"/>
          <w:pgNumType w:fmt="decimal"/>
          <w:cols w:space="720" w:num="1"/>
        </w:sectPr>
      </w:pPr>
    </w:p>
    <w:p w14:paraId="6BC8A5F1">
      <w:pPr>
        <w:pStyle w:val="3"/>
        <w:spacing w:line="275" w:lineRule="auto"/>
      </w:pPr>
    </w:p>
    <w:p w14:paraId="02B63086">
      <w:pPr>
        <w:pStyle w:val="3"/>
        <w:spacing w:line="275" w:lineRule="auto"/>
      </w:pPr>
    </w:p>
    <w:p w14:paraId="4F2AC749">
      <w:pPr>
        <w:pStyle w:val="3"/>
        <w:spacing w:line="275" w:lineRule="auto"/>
      </w:pPr>
    </w:p>
    <w:p w14:paraId="7E91BA5C">
      <w:pPr>
        <w:pStyle w:val="3"/>
        <w:spacing w:line="275" w:lineRule="auto"/>
      </w:pPr>
    </w:p>
    <w:p w14:paraId="6E867BA0">
      <w:pPr>
        <w:spacing w:before="68" w:line="333" w:lineRule="exact"/>
        <w:ind w:left="2134"/>
        <w:rPr>
          <w:rFonts w:ascii="宋体" w:hAnsi="宋体" w:eastAsia="宋体" w:cs="宋体"/>
          <w:sz w:val="21"/>
          <w:szCs w:val="21"/>
        </w:rPr>
      </w:pPr>
      <w:bookmarkStart w:id="1321" w:name="bookmark306"/>
      <w:bookmarkEnd w:id="1321"/>
      <w:r>
        <w:rPr>
          <w:rFonts w:ascii="宋体" w:hAnsi="宋体" w:eastAsia="宋体" w:cs="宋体"/>
          <w:spacing w:val="-5"/>
          <w:position w:val="2"/>
          <w:sz w:val="21"/>
          <w:szCs w:val="21"/>
        </w:rPr>
        <w:t>……</w:t>
      </w:r>
    </w:p>
    <w:p w14:paraId="77863382">
      <w:pPr>
        <w:tabs>
          <w:tab w:val="left" w:pos="4863"/>
        </w:tabs>
        <w:spacing w:before="61" w:line="221" w:lineRule="auto"/>
        <w:ind w:left="4020"/>
        <w:rPr>
          <w:rFonts w:ascii="宋体" w:hAnsi="宋体" w:eastAsia="宋体" w:cs="宋体"/>
          <w:sz w:val="21"/>
          <w:szCs w:val="21"/>
        </w:rPr>
      </w:pPr>
      <w:r>
        <w:rPr>
          <w:rFonts w:ascii="宋体" w:hAnsi="宋体" w:eastAsia="宋体" w:cs="宋体"/>
          <w:sz w:val="21"/>
          <w:szCs w:val="21"/>
          <w:u w:val="single" w:color="auto"/>
        </w:rPr>
        <w:tab/>
      </w:r>
      <w:r>
        <w:rPr>
          <w:rFonts w:ascii="宋体" w:hAnsi="宋体" w:eastAsia="宋体" w:cs="宋体"/>
          <w:spacing w:val="-96"/>
          <w:sz w:val="21"/>
          <w:szCs w:val="21"/>
        </w:rPr>
        <w:t xml:space="preserve"> </w:t>
      </w:r>
      <w:r>
        <w:rPr>
          <w:rFonts w:ascii="宋体" w:hAnsi="宋体" w:eastAsia="宋体" w:cs="宋体"/>
          <w:spacing w:val="-7"/>
          <w:sz w:val="21"/>
          <w:szCs w:val="21"/>
        </w:rPr>
        <w:t>年</w:t>
      </w:r>
      <w:r>
        <w:rPr>
          <w:rFonts w:ascii="宋体" w:hAnsi="宋体" w:eastAsia="宋体" w:cs="宋体"/>
          <w:spacing w:val="-104"/>
          <w:sz w:val="21"/>
          <w:szCs w:val="21"/>
        </w:rPr>
        <w:t xml:space="preserve"> </w:t>
      </w:r>
      <w:r>
        <w:rPr>
          <w:rFonts w:ascii="宋体" w:hAnsi="宋体" w:eastAsia="宋体" w:cs="宋体"/>
          <w:spacing w:val="14"/>
          <w:sz w:val="21"/>
          <w:szCs w:val="21"/>
          <w:u w:val="single" w:color="auto"/>
        </w:rPr>
        <w:t xml:space="preserve">       </w:t>
      </w:r>
      <w:r>
        <w:rPr>
          <w:rFonts w:ascii="宋体" w:hAnsi="宋体" w:eastAsia="宋体" w:cs="宋体"/>
          <w:spacing w:val="-90"/>
          <w:sz w:val="21"/>
          <w:szCs w:val="21"/>
        </w:rPr>
        <w:t xml:space="preserve"> </w:t>
      </w:r>
      <w:r>
        <w:rPr>
          <w:rFonts w:ascii="宋体" w:hAnsi="宋体" w:eastAsia="宋体" w:cs="宋体"/>
          <w:spacing w:val="-7"/>
          <w:sz w:val="21"/>
          <w:szCs w:val="21"/>
        </w:rPr>
        <w:t>月</w:t>
      </w:r>
      <w:r>
        <w:rPr>
          <w:rFonts w:ascii="宋体" w:hAnsi="宋体" w:eastAsia="宋体" w:cs="宋体"/>
          <w:sz w:val="21"/>
          <w:szCs w:val="21"/>
          <w:u w:val="single" w:color="auto"/>
        </w:rPr>
        <w:t xml:space="preserve">        </w:t>
      </w:r>
      <w:r>
        <w:rPr>
          <w:rFonts w:ascii="宋体" w:hAnsi="宋体" w:eastAsia="宋体" w:cs="宋体"/>
          <w:spacing w:val="-60"/>
          <w:sz w:val="21"/>
          <w:szCs w:val="21"/>
        </w:rPr>
        <w:t xml:space="preserve"> </w:t>
      </w:r>
      <w:r>
        <w:rPr>
          <w:rFonts w:ascii="宋体" w:hAnsi="宋体" w:eastAsia="宋体" w:cs="宋体"/>
          <w:spacing w:val="-7"/>
          <w:sz w:val="21"/>
          <w:szCs w:val="21"/>
        </w:rPr>
        <w:t>日</w:t>
      </w:r>
    </w:p>
    <w:p w14:paraId="4A5F2C04">
      <w:pPr>
        <w:pStyle w:val="3"/>
        <w:spacing w:line="251" w:lineRule="auto"/>
      </w:pPr>
    </w:p>
    <w:p w14:paraId="103ED541">
      <w:pPr>
        <w:pStyle w:val="3"/>
        <w:spacing w:line="251" w:lineRule="auto"/>
      </w:pPr>
    </w:p>
    <w:p w14:paraId="7BB6522D">
      <w:pPr>
        <w:pStyle w:val="3"/>
        <w:spacing w:line="251" w:lineRule="auto"/>
      </w:pPr>
    </w:p>
    <w:p w14:paraId="4546C831">
      <w:pPr>
        <w:pStyle w:val="3"/>
        <w:spacing w:line="251" w:lineRule="auto"/>
      </w:pPr>
    </w:p>
    <w:p w14:paraId="7B842869">
      <w:pPr>
        <w:pStyle w:val="3"/>
        <w:spacing w:line="251" w:lineRule="auto"/>
      </w:pPr>
    </w:p>
    <w:p w14:paraId="0BF37888">
      <w:pPr>
        <w:pStyle w:val="3"/>
        <w:spacing w:line="251" w:lineRule="auto"/>
      </w:pPr>
    </w:p>
    <w:p w14:paraId="1E407229">
      <w:pPr>
        <w:pStyle w:val="3"/>
        <w:spacing w:line="251" w:lineRule="auto"/>
      </w:pPr>
    </w:p>
    <w:p w14:paraId="37641CCC">
      <w:pPr>
        <w:pStyle w:val="3"/>
        <w:spacing w:line="251" w:lineRule="auto"/>
      </w:pPr>
    </w:p>
    <w:p w14:paraId="3CAD0480">
      <w:pPr>
        <w:pStyle w:val="3"/>
        <w:spacing w:line="251" w:lineRule="auto"/>
      </w:pPr>
    </w:p>
    <w:p w14:paraId="2EA9B225">
      <w:pPr>
        <w:pStyle w:val="3"/>
        <w:spacing w:line="252" w:lineRule="auto"/>
      </w:pPr>
    </w:p>
    <w:p w14:paraId="2198745F">
      <w:pPr>
        <w:pStyle w:val="3"/>
        <w:spacing w:line="252" w:lineRule="auto"/>
      </w:pPr>
    </w:p>
    <w:p w14:paraId="240431EE">
      <w:pPr>
        <w:pStyle w:val="3"/>
        <w:spacing w:line="252" w:lineRule="auto"/>
      </w:pPr>
    </w:p>
    <w:p w14:paraId="6DC67A70">
      <w:pPr>
        <w:pStyle w:val="3"/>
        <w:spacing w:line="252" w:lineRule="auto"/>
      </w:pPr>
    </w:p>
    <w:p w14:paraId="178C20B9">
      <w:pPr>
        <w:pStyle w:val="3"/>
        <w:spacing w:line="252" w:lineRule="auto"/>
      </w:pPr>
    </w:p>
    <w:p w14:paraId="69E5FC1A">
      <w:pPr>
        <w:pStyle w:val="3"/>
        <w:spacing w:line="252" w:lineRule="auto"/>
      </w:pPr>
    </w:p>
    <w:p w14:paraId="385C8D5C">
      <w:pPr>
        <w:pStyle w:val="3"/>
        <w:spacing w:line="252" w:lineRule="auto"/>
      </w:pPr>
    </w:p>
    <w:p w14:paraId="013132D1">
      <w:pPr>
        <w:pStyle w:val="3"/>
        <w:spacing w:line="252" w:lineRule="auto"/>
      </w:pPr>
    </w:p>
    <w:p w14:paraId="7045406C">
      <w:pPr>
        <w:pStyle w:val="3"/>
        <w:spacing w:line="252" w:lineRule="auto"/>
      </w:pPr>
    </w:p>
    <w:p w14:paraId="7DDD84F5">
      <w:pPr>
        <w:pStyle w:val="3"/>
        <w:spacing w:line="252" w:lineRule="auto"/>
      </w:pPr>
    </w:p>
    <w:p w14:paraId="609449BD">
      <w:pPr>
        <w:spacing w:before="68" w:line="220" w:lineRule="auto"/>
        <w:ind w:left="20"/>
        <w:rPr>
          <w:rFonts w:ascii="宋体" w:hAnsi="宋体" w:eastAsia="宋体" w:cs="宋体"/>
          <w:sz w:val="21"/>
          <w:szCs w:val="21"/>
        </w:rPr>
      </w:pPr>
      <w:r>
        <w:rPr>
          <w:rFonts w:ascii="宋体" w:hAnsi="宋体" w:eastAsia="宋体" w:cs="宋体"/>
          <w:spacing w:val="-4"/>
          <w:sz w:val="21"/>
          <w:szCs w:val="21"/>
        </w:rPr>
        <w:t>备注： 1.本协议书由委托代理人签字的，应附法定代表人签字的授权委托书。</w:t>
      </w:r>
    </w:p>
    <w:p w14:paraId="3F1CF871">
      <w:pPr>
        <w:spacing w:before="143" w:line="399" w:lineRule="exact"/>
        <w:ind w:right="9"/>
        <w:jc w:val="right"/>
        <w:rPr>
          <w:rFonts w:ascii="宋体" w:hAnsi="宋体" w:eastAsia="宋体" w:cs="宋体"/>
          <w:sz w:val="21"/>
          <w:szCs w:val="21"/>
        </w:rPr>
      </w:pPr>
      <w:r>
        <w:rPr>
          <w:rFonts w:ascii="宋体" w:hAnsi="宋体" w:eastAsia="宋体" w:cs="宋体"/>
          <w:position w:val="14"/>
          <w:sz w:val="21"/>
          <w:szCs w:val="21"/>
        </w:rPr>
        <w:t>2.投标人未采用联合体投标的，投标文件中不需联合体协议书， 也无须盖单位章和</w:t>
      </w:r>
    </w:p>
    <w:p w14:paraId="30F67967">
      <w:pPr>
        <w:spacing w:line="220" w:lineRule="auto"/>
        <w:ind w:left="858"/>
        <w:rPr>
          <w:rFonts w:ascii="宋体" w:hAnsi="宋体" w:eastAsia="宋体" w:cs="宋体"/>
          <w:sz w:val="21"/>
          <w:szCs w:val="21"/>
        </w:rPr>
      </w:pPr>
      <w:r>
        <w:rPr>
          <w:rFonts w:ascii="宋体" w:hAnsi="宋体" w:eastAsia="宋体" w:cs="宋体"/>
          <w:spacing w:val="-8"/>
          <w:sz w:val="21"/>
          <w:szCs w:val="21"/>
        </w:rPr>
        <w:t>签字。</w:t>
      </w:r>
    </w:p>
    <w:p w14:paraId="07F10334">
      <w:pPr>
        <w:spacing w:line="220" w:lineRule="auto"/>
        <w:rPr>
          <w:rFonts w:ascii="宋体" w:hAnsi="宋体" w:eastAsia="宋体" w:cs="宋体"/>
          <w:sz w:val="21"/>
          <w:szCs w:val="21"/>
        </w:rPr>
        <w:sectPr>
          <w:footerReference r:id="rId203" w:type="default"/>
          <w:pgSz w:w="11905" w:h="16839"/>
          <w:pgMar w:top="400" w:right="1785" w:bottom="1004" w:left="1785" w:header="0" w:footer="828" w:gutter="0"/>
          <w:pgNumType w:fmt="decimal"/>
          <w:cols w:space="720" w:num="1"/>
        </w:sectPr>
      </w:pPr>
    </w:p>
    <w:p w14:paraId="096ED1E2">
      <w:pPr>
        <w:pStyle w:val="3"/>
        <w:spacing w:line="256" w:lineRule="auto"/>
      </w:pPr>
    </w:p>
    <w:p w14:paraId="1F0BFD1C">
      <w:pPr>
        <w:pStyle w:val="3"/>
        <w:spacing w:line="256" w:lineRule="auto"/>
      </w:pPr>
    </w:p>
    <w:p w14:paraId="48D59CA5">
      <w:pPr>
        <w:pStyle w:val="3"/>
        <w:spacing w:line="256" w:lineRule="auto"/>
      </w:pPr>
    </w:p>
    <w:p w14:paraId="6BBCD0C0">
      <w:pPr>
        <w:pStyle w:val="3"/>
        <w:spacing w:line="256" w:lineRule="auto"/>
      </w:pPr>
    </w:p>
    <w:p w14:paraId="297574FB">
      <w:pPr>
        <w:spacing w:before="88" w:line="225" w:lineRule="auto"/>
        <w:ind w:left="3063"/>
        <w:rPr>
          <w:rFonts w:ascii="黑体" w:hAnsi="黑体" w:eastAsia="黑体" w:cs="黑体"/>
          <w:sz w:val="27"/>
          <w:szCs w:val="27"/>
        </w:rPr>
      </w:pPr>
      <w:bookmarkStart w:id="1322" w:name="bookmark308"/>
      <w:bookmarkEnd w:id="1322"/>
      <w:bookmarkStart w:id="1323" w:name="bookmark307"/>
      <w:bookmarkEnd w:id="1323"/>
      <w:r>
        <w:rPr>
          <w:rFonts w:ascii="黑体" w:hAnsi="黑体" w:eastAsia="黑体" w:cs="黑体"/>
          <w:spacing w:val="7"/>
          <w:sz w:val="27"/>
          <w:szCs w:val="27"/>
        </w:rPr>
        <w:t>五、拟分包计划表</w:t>
      </w:r>
    </w:p>
    <w:p w14:paraId="32F00DE5">
      <w:pPr>
        <w:spacing w:before="165" w:line="221" w:lineRule="auto"/>
        <w:ind w:left="3549"/>
        <w:rPr>
          <w:rFonts w:ascii="宋体" w:hAnsi="宋体" w:eastAsia="宋体" w:cs="宋体"/>
          <w:sz w:val="21"/>
          <w:szCs w:val="21"/>
        </w:rPr>
      </w:pPr>
      <w:r>
        <w:rPr>
          <w:rFonts w:ascii="宋体" w:hAnsi="宋体" w:eastAsia="宋体" w:cs="宋体"/>
          <w:spacing w:val="-5"/>
          <w:sz w:val="21"/>
          <w:szCs w:val="21"/>
          <w14:textOutline w14:w="3831" w14:cap="flat" w14:cmpd="sng">
            <w14:solidFill>
              <w14:srgbClr w14:val="000000"/>
            </w14:solidFill>
            <w14:prstDash w14:val="solid"/>
            <w14:miter w14:val="0"/>
          </w14:textOutline>
        </w:rPr>
        <w:t>（如有）</w:t>
      </w:r>
    </w:p>
    <w:p w14:paraId="679A1E79">
      <w:pPr>
        <w:spacing w:before="216"/>
      </w:pPr>
    </w:p>
    <w:tbl>
      <w:tblPr>
        <w:tblStyle w:val="10"/>
        <w:tblW w:w="8311"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67"/>
        <w:gridCol w:w="1703"/>
        <w:gridCol w:w="826"/>
        <w:gridCol w:w="921"/>
        <w:gridCol w:w="1099"/>
        <w:gridCol w:w="1060"/>
        <w:gridCol w:w="1166"/>
        <w:gridCol w:w="969"/>
      </w:tblGrid>
      <w:tr w14:paraId="596333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567" w:type="dxa"/>
            <w:vMerge w:val="restart"/>
            <w:tcBorders>
              <w:bottom w:val="nil"/>
            </w:tcBorders>
            <w:textDirection w:val="tbRlV"/>
            <w:vAlign w:val="top"/>
          </w:tcPr>
          <w:p w14:paraId="22D21683">
            <w:pPr>
              <w:pStyle w:val="11"/>
              <w:spacing w:before="172" w:line="211" w:lineRule="auto"/>
              <w:ind w:left="216"/>
            </w:pPr>
            <w:r>
              <w:rPr>
                <w:spacing w:val="1"/>
              </w:rPr>
              <w:t>序</w:t>
            </w:r>
            <w:r>
              <w:rPr>
                <w:spacing w:val="-43"/>
              </w:rPr>
              <w:t xml:space="preserve"> </w:t>
            </w:r>
            <w:r>
              <w:rPr>
                <w:spacing w:val="1"/>
              </w:rPr>
              <w:t>号</w:t>
            </w:r>
          </w:p>
        </w:tc>
        <w:tc>
          <w:tcPr>
            <w:tcW w:w="1703" w:type="dxa"/>
            <w:vMerge w:val="restart"/>
            <w:tcBorders>
              <w:bottom w:val="nil"/>
            </w:tcBorders>
            <w:vAlign w:val="top"/>
          </w:tcPr>
          <w:p w14:paraId="07939199">
            <w:pPr>
              <w:pStyle w:val="11"/>
              <w:spacing w:before="216" w:line="231" w:lineRule="auto"/>
              <w:ind w:left="117" w:right="114" w:firstLine="106"/>
            </w:pPr>
            <w:r>
              <w:rPr>
                <w:spacing w:val="-1"/>
              </w:rPr>
              <w:t>拟分包项目名</w:t>
            </w:r>
            <w:r>
              <w:t xml:space="preserve">  </w:t>
            </w:r>
            <w:r>
              <w:rPr>
                <w:spacing w:val="-1"/>
              </w:rPr>
              <w:t>称、范围及理由</w:t>
            </w:r>
          </w:p>
        </w:tc>
        <w:tc>
          <w:tcPr>
            <w:tcW w:w="5072" w:type="dxa"/>
            <w:gridSpan w:val="5"/>
            <w:vAlign w:val="top"/>
          </w:tcPr>
          <w:p w14:paraId="03E79379">
            <w:pPr>
              <w:pStyle w:val="11"/>
              <w:spacing w:before="120" w:line="220" w:lineRule="auto"/>
              <w:ind w:left="2016"/>
            </w:pPr>
            <w:r>
              <w:rPr>
                <w:spacing w:val="-1"/>
              </w:rPr>
              <w:t>拟选分包人</w:t>
            </w:r>
          </w:p>
        </w:tc>
        <w:tc>
          <w:tcPr>
            <w:tcW w:w="969" w:type="dxa"/>
            <w:vMerge w:val="restart"/>
            <w:tcBorders>
              <w:bottom w:val="nil"/>
            </w:tcBorders>
            <w:vAlign w:val="top"/>
          </w:tcPr>
          <w:p w14:paraId="55E39885">
            <w:pPr>
              <w:spacing w:line="285" w:lineRule="auto"/>
              <w:rPr>
                <w:rFonts w:ascii="Arial"/>
                <w:sz w:val="21"/>
              </w:rPr>
            </w:pPr>
          </w:p>
          <w:p w14:paraId="43AB9B78">
            <w:pPr>
              <w:pStyle w:val="11"/>
              <w:spacing w:before="69" w:line="222" w:lineRule="auto"/>
              <w:ind w:left="284"/>
            </w:pPr>
            <w:r>
              <w:rPr>
                <w:spacing w:val="-3"/>
              </w:rPr>
              <w:t>备注</w:t>
            </w:r>
          </w:p>
        </w:tc>
      </w:tr>
      <w:tr w14:paraId="099091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567" w:type="dxa"/>
            <w:vMerge w:val="continue"/>
            <w:tcBorders>
              <w:top w:val="nil"/>
            </w:tcBorders>
            <w:textDirection w:val="tbRlV"/>
            <w:vAlign w:val="top"/>
          </w:tcPr>
          <w:p w14:paraId="15B11283">
            <w:pPr>
              <w:rPr>
                <w:rFonts w:ascii="Arial"/>
                <w:sz w:val="21"/>
              </w:rPr>
            </w:pPr>
          </w:p>
        </w:tc>
        <w:tc>
          <w:tcPr>
            <w:tcW w:w="1703" w:type="dxa"/>
            <w:vMerge w:val="continue"/>
            <w:tcBorders>
              <w:top w:val="nil"/>
            </w:tcBorders>
            <w:vAlign w:val="top"/>
          </w:tcPr>
          <w:p w14:paraId="45D46822">
            <w:pPr>
              <w:rPr>
                <w:rFonts w:ascii="Arial"/>
                <w:sz w:val="21"/>
              </w:rPr>
            </w:pPr>
          </w:p>
        </w:tc>
        <w:tc>
          <w:tcPr>
            <w:tcW w:w="1747" w:type="dxa"/>
            <w:gridSpan w:val="2"/>
            <w:vAlign w:val="top"/>
          </w:tcPr>
          <w:p w14:paraId="3B1C4029">
            <w:pPr>
              <w:pStyle w:val="11"/>
              <w:spacing w:before="121" w:line="220" w:lineRule="auto"/>
              <w:ind w:left="143"/>
            </w:pPr>
            <w:r>
              <w:rPr>
                <w:spacing w:val="-1"/>
              </w:rPr>
              <w:t>拟选分包人名称</w:t>
            </w:r>
          </w:p>
        </w:tc>
        <w:tc>
          <w:tcPr>
            <w:tcW w:w="1099" w:type="dxa"/>
            <w:vAlign w:val="top"/>
          </w:tcPr>
          <w:p w14:paraId="3C9504CB">
            <w:pPr>
              <w:pStyle w:val="11"/>
              <w:spacing w:before="121" w:line="222" w:lineRule="auto"/>
              <w:ind w:left="135"/>
            </w:pPr>
            <w:r>
              <w:rPr>
                <w:spacing w:val="-1"/>
              </w:rPr>
              <w:t>注册地点</w:t>
            </w:r>
          </w:p>
        </w:tc>
        <w:tc>
          <w:tcPr>
            <w:tcW w:w="1060" w:type="dxa"/>
            <w:vAlign w:val="top"/>
          </w:tcPr>
          <w:p w14:paraId="086A094B">
            <w:pPr>
              <w:pStyle w:val="11"/>
              <w:spacing w:before="121" w:line="221" w:lineRule="auto"/>
              <w:ind w:left="124"/>
            </w:pPr>
            <w:r>
              <w:rPr>
                <w:spacing w:val="-2"/>
              </w:rPr>
              <w:t>企业资质</w:t>
            </w:r>
          </w:p>
        </w:tc>
        <w:tc>
          <w:tcPr>
            <w:tcW w:w="1166" w:type="dxa"/>
            <w:vAlign w:val="top"/>
          </w:tcPr>
          <w:p w14:paraId="4A2971AA">
            <w:pPr>
              <w:pStyle w:val="11"/>
              <w:spacing w:before="121" w:line="221" w:lineRule="auto"/>
              <w:ind w:left="171"/>
            </w:pPr>
            <w:r>
              <w:rPr>
                <w:spacing w:val="-1"/>
              </w:rPr>
              <w:t>有关业绩</w:t>
            </w:r>
          </w:p>
        </w:tc>
        <w:tc>
          <w:tcPr>
            <w:tcW w:w="969" w:type="dxa"/>
            <w:vMerge w:val="continue"/>
            <w:tcBorders>
              <w:top w:val="nil"/>
            </w:tcBorders>
            <w:vAlign w:val="top"/>
          </w:tcPr>
          <w:p w14:paraId="13627294">
            <w:pPr>
              <w:rPr>
                <w:rFonts w:ascii="Arial"/>
                <w:sz w:val="21"/>
              </w:rPr>
            </w:pPr>
          </w:p>
        </w:tc>
      </w:tr>
      <w:tr w14:paraId="00DCD5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567" w:type="dxa"/>
            <w:vMerge w:val="restart"/>
            <w:tcBorders>
              <w:bottom w:val="nil"/>
            </w:tcBorders>
            <w:vAlign w:val="top"/>
          </w:tcPr>
          <w:p w14:paraId="67E1D963">
            <w:pPr>
              <w:rPr>
                <w:rFonts w:ascii="Arial"/>
                <w:sz w:val="21"/>
              </w:rPr>
            </w:pPr>
          </w:p>
        </w:tc>
        <w:tc>
          <w:tcPr>
            <w:tcW w:w="1703" w:type="dxa"/>
            <w:vMerge w:val="restart"/>
            <w:tcBorders>
              <w:bottom w:val="nil"/>
            </w:tcBorders>
            <w:vAlign w:val="top"/>
          </w:tcPr>
          <w:p w14:paraId="7A824E9C">
            <w:pPr>
              <w:rPr>
                <w:rFonts w:ascii="Arial"/>
                <w:sz w:val="21"/>
              </w:rPr>
            </w:pPr>
          </w:p>
        </w:tc>
        <w:tc>
          <w:tcPr>
            <w:tcW w:w="826" w:type="dxa"/>
            <w:vAlign w:val="top"/>
          </w:tcPr>
          <w:p w14:paraId="7EE62630">
            <w:pPr>
              <w:spacing w:before="156" w:line="183" w:lineRule="auto"/>
              <w:ind w:left="375"/>
              <w:rPr>
                <w:rFonts w:ascii="黑体" w:hAnsi="黑体" w:eastAsia="黑体" w:cs="黑体"/>
                <w:sz w:val="21"/>
                <w:szCs w:val="21"/>
              </w:rPr>
            </w:pPr>
            <w:r>
              <w:rPr>
                <w:rFonts w:ascii="黑体" w:hAnsi="黑体" w:eastAsia="黑体" w:cs="黑体"/>
                <w:sz w:val="21"/>
                <w:szCs w:val="21"/>
              </w:rPr>
              <w:t>1</w:t>
            </w:r>
          </w:p>
        </w:tc>
        <w:tc>
          <w:tcPr>
            <w:tcW w:w="921" w:type="dxa"/>
            <w:vAlign w:val="top"/>
          </w:tcPr>
          <w:p w14:paraId="3F7FD24B">
            <w:pPr>
              <w:rPr>
                <w:rFonts w:ascii="Arial"/>
                <w:sz w:val="21"/>
              </w:rPr>
            </w:pPr>
          </w:p>
        </w:tc>
        <w:tc>
          <w:tcPr>
            <w:tcW w:w="1099" w:type="dxa"/>
            <w:vAlign w:val="top"/>
          </w:tcPr>
          <w:p w14:paraId="6B9DFFD2">
            <w:pPr>
              <w:rPr>
                <w:rFonts w:ascii="Arial"/>
                <w:sz w:val="21"/>
              </w:rPr>
            </w:pPr>
          </w:p>
        </w:tc>
        <w:tc>
          <w:tcPr>
            <w:tcW w:w="1060" w:type="dxa"/>
            <w:vAlign w:val="top"/>
          </w:tcPr>
          <w:p w14:paraId="5602EC6A">
            <w:pPr>
              <w:rPr>
                <w:rFonts w:ascii="Arial"/>
                <w:sz w:val="21"/>
              </w:rPr>
            </w:pPr>
          </w:p>
        </w:tc>
        <w:tc>
          <w:tcPr>
            <w:tcW w:w="1166" w:type="dxa"/>
            <w:vAlign w:val="top"/>
          </w:tcPr>
          <w:p w14:paraId="24EBAAFB">
            <w:pPr>
              <w:rPr>
                <w:rFonts w:ascii="Arial"/>
                <w:sz w:val="21"/>
              </w:rPr>
            </w:pPr>
          </w:p>
        </w:tc>
        <w:tc>
          <w:tcPr>
            <w:tcW w:w="969" w:type="dxa"/>
            <w:vAlign w:val="top"/>
          </w:tcPr>
          <w:p w14:paraId="3E521E80">
            <w:pPr>
              <w:rPr>
                <w:rFonts w:ascii="Arial"/>
                <w:sz w:val="21"/>
              </w:rPr>
            </w:pPr>
          </w:p>
        </w:tc>
      </w:tr>
      <w:tr w14:paraId="49AAC2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6" w:hRule="atLeast"/>
        </w:trPr>
        <w:tc>
          <w:tcPr>
            <w:tcW w:w="567" w:type="dxa"/>
            <w:vMerge w:val="continue"/>
            <w:tcBorders>
              <w:top w:val="nil"/>
              <w:bottom w:val="nil"/>
            </w:tcBorders>
            <w:vAlign w:val="top"/>
          </w:tcPr>
          <w:p w14:paraId="538B197C">
            <w:pPr>
              <w:rPr>
                <w:rFonts w:ascii="Arial"/>
                <w:sz w:val="21"/>
              </w:rPr>
            </w:pPr>
          </w:p>
        </w:tc>
        <w:tc>
          <w:tcPr>
            <w:tcW w:w="1703" w:type="dxa"/>
            <w:vMerge w:val="continue"/>
            <w:tcBorders>
              <w:top w:val="nil"/>
              <w:bottom w:val="nil"/>
            </w:tcBorders>
            <w:vAlign w:val="top"/>
          </w:tcPr>
          <w:p w14:paraId="5D93EC26">
            <w:pPr>
              <w:rPr>
                <w:rFonts w:ascii="Arial"/>
                <w:sz w:val="21"/>
              </w:rPr>
            </w:pPr>
          </w:p>
        </w:tc>
        <w:tc>
          <w:tcPr>
            <w:tcW w:w="826" w:type="dxa"/>
            <w:vAlign w:val="top"/>
          </w:tcPr>
          <w:p w14:paraId="636DF51A">
            <w:pPr>
              <w:spacing w:before="151" w:line="184" w:lineRule="auto"/>
              <w:ind w:left="363"/>
              <w:rPr>
                <w:rFonts w:ascii="黑体" w:hAnsi="黑体" w:eastAsia="黑体" w:cs="黑体"/>
                <w:sz w:val="21"/>
                <w:szCs w:val="21"/>
              </w:rPr>
            </w:pPr>
            <w:r>
              <w:rPr>
                <w:rFonts w:ascii="黑体" w:hAnsi="黑体" w:eastAsia="黑体" w:cs="黑体"/>
                <w:sz w:val="21"/>
                <w:szCs w:val="21"/>
              </w:rPr>
              <w:t>2</w:t>
            </w:r>
          </w:p>
        </w:tc>
        <w:tc>
          <w:tcPr>
            <w:tcW w:w="921" w:type="dxa"/>
            <w:vAlign w:val="top"/>
          </w:tcPr>
          <w:p w14:paraId="0DF785F7">
            <w:pPr>
              <w:rPr>
                <w:rFonts w:ascii="Arial"/>
                <w:sz w:val="21"/>
              </w:rPr>
            </w:pPr>
          </w:p>
        </w:tc>
        <w:tc>
          <w:tcPr>
            <w:tcW w:w="1099" w:type="dxa"/>
            <w:vAlign w:val="top"/>
          </w:tcPr>
          <w:p w14:paraId="7EB60420">
            <w:pPr>
              <w:rPr>
                <w:rFonts w:ascii="Arial"/>
                <w:sz w:val="21"/>
              </w:rPr>
            </w:pPr>
          </w:p>
        </w:tc>
        <w:tc>
          <w:tcPr>
            <w:tcW w:w="1060" w:type="dxa"/>
            <w:vAlign w:val="top"/>
          </w:tcPr>
          <w:p w14:paraId="3FF7C33D">
            <w:pPr>
              <w:rPr>
                <w:rFonts w:ascii="Arial"/>
                <w:sz w:val="21"/>
              </w:rPr>
            </w:pPr>
          </w:p>
        </w:tc>
        <w:tc>
          <w:tcPr>
            <w:tcW w:w="1166" w:type="dxa"/>
            <w:vAlign w:val="top"/>
          </w:tcPr>
          <w:p w14:paraId="686160AD">
            <w:pPr>
              <w:rPr>
                <w:rFonts w:ascii="Arial"/>
                <w:sz w:val="21"/>
              </w:rPr>
            </w:pPr>
          </w:p>
        </w:tc>
        <w:tc>
          <w:tcPr>
            <w:tcW w:w="969" w:type="dxa"/>
            <w:vAlign w:val="top"/>
          </w:tcPr>
          <w:p w14:paraId="09952E6C">
            <w:pPr>
              <w:rPr>
                <w:rFonts w:ascii="Arial"/>
                <w:sz w:val="21"/>
              </w:rPr>
            </w:pPr>
          </w:p>
        </w:tc>
      </w:tr>
      <w:tr w14:paraId="52C91E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567" w:type="dxa"/>
            <w:vMerge w:val="continue"/>
            <w:tcBorders>
              <w:top w:val="nil"/>
            </w:tcBorders>
            <w:vAlign w:val="top"/>
          </w:tcPr>
          <w:p w14:paraId="3D71D21D">
            <w:pPr>
              <w:rPr>
                <w:rFonts w:ascii="Arial"/>
                <w:sz w:val="21"/>
              </w:rPr>
            </w:pPr>
          </w:p>
        </w:tc>
        <w:tc>
          <w:tcPr>
            <w:tcW w:w="1703" w:type="dxa"/>
            <w:vMerge w:val="continue"/>
            <w:tcBorders>
              <w:top w:val="nil"/>
            </w:tcBorders>
            <w:vAlign w:val="top"/>
          </w:tcPr>
          <w:p w14:paraId="3FAA6036">
            <w:pPr>
              <w:rPr>
                <w:rFonts w:ascii="Arial"/>
                <w:sz w:val="21"/>
              </w:rPr>
            </w:pPr>
          </w:p>
        </w:tc>
        <w:tc>
          <w:tcPr>
            <w:tcW w:w="826" w:type="dxa"/>
            <w:vAlign w:val="top"/>
          </w:tcPr>
          <w:p w14:paraId="2E1241E8">
            <w:pPr>
              <w:spacing w:before="155" w:line="184" w:lineRule="auto"/>
              <w:ind w:left="365"/>
              <w:rPr>
                <w:rFonts w:ascii="黑体" w:hAnsi="黑体" w:eastAsia="黑体" w:cs="黑体"/>
                <w:sz w:val="21"/>
                <w:szCs w:val="21"/>
              </w:rPr>
            </w:pPr>
            <w:r>
              <w:rPr>
                <w:rFonts w:ascii="黑体" w:hAnsi="黑体" w:eastAsia="黑体" w:cs="黑体"/>
                <w:sz w:val="21"/>
                <w:szCs w:val="21"/>
              </w:rPr>
              <w:t>3</w:t>
            </w:r>
          </w:p>
        </w:tc>
        <w:tc>
          <w:tcPr>
            <w:tcW w:w="921" w:type="dxa"/>
            <w:vAlign w:val="top"/>
          </w:tcPr>
          <w:p w14:paraId="09B82962">
            <w:pPr>
              <w:rPr>
                <w:rFonts w:ascii="Arial"/>
                <w:sz w:val="21"/>
              </w:rPr>
            </w:pPr>
          </w:p>
        </w:tc>
        <w:tc>
          <w:tcPr>
            <w:tcW w:w="1099" w:type="dxa"/>
            <w:vAlign w:val="top"/>
          </w:tcPr>
          <w:p w14:paraId="1BEBA3D8">
            <w:pPr>
              <w:rPr>
                <w:rFonts w:ascii="Arial"/>
                <w:sz w:val="21"/>
              </w:rPr>
            </w:pPr>
          </w:p>
        </w:tc>
        <w:tc>
          <w:tcPr>
            <w:tcW w:w="1060" w:type="dxa"/>
            <w:vAlign w:val="top"/>
          </w:tcPr>
          <w:p w14:paraId="55A952F4">
            <w:pPr>
              <w:rPr>
                <w:rFonts w:ascii="Arial"/>
                <w:sz w:val="21"/>
              </w:rPr>
            </w:pPr>
          </w:p>
        </w:tc>
        <w:tc>
          <w:tcPr>
            <w:tcW w:w="1166" w:type="dxa"/>
            <w:vAlign w:val="top"/>
          </w:tcPr>
          <w:p w14:paraId="714BD54D">
            <w:pPr>
              <w:rPr>
                <w:rFonts w:ascii="Arial"/>
                <w:sz w:val="21"/>
              </w:rPr>
            </w:pPr>
          </w:p>
        </w:tc>
        <w:tc>
          <w:tcPr>
            <w:tcW w:w="969" w:type="dxa"/>
            <w:vAlign w:val="top"/>
          </w:tcPr>
          <w:p w14:paraId="3A9A4FD5">
            <w:pPr>
              <w:rPr>
                <w:rFonts w:ascii="Arial"/>
                <w:sz w:val="21"/>
              </w:rPr>
            </w:pPr>
          </w:p>
        </w:tc>
      </w:tr>
      <w:tr w14:paraId="01A35A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567" w:type="dxa"/>
            <w:vMerge w:val="restart"/>
            <w:tcBorders>
              <w:bottom w:val="nil"/>
            </w:tcBorders>
            <w:vAlign w:val="top"/>
          </w:tcPr>
          <w:p w14:paraId="40141D38">
            <w:pPr>
              <w:rPr>
                <w:rFonts w:ascii="Arial"/>
                <w:sz w:val="21"/>
              </w:rPr>
            </w:pPr>
          </w:p>
        </w:tc>
        <w:tc>
          <w:tcPr>
            <w:tcW w:w="1703" w:type="dxa"/>
            <w:vMerge w:val="restart"/>
            <w:tcBorders>
              <w:bottom w:val="nil"/>
            </w:tcBorders>
            <w:vAlign w:val="top"/>
          </w:tcPr>
          <w:p w14:paraId="2130B98D">
            <w:pPr>
              <w:rPr>
                <w:rFonts w:ascii="Arial"/>
                <w:sz w:val="21"/>
              </w:rPr>
            </w:pPr>
          </w:p>
        </w:tc>
        <w:tc>
          <w:tcPr>
            <w:tcW w:w="826" w:type="dxa"/>
            <w:vAlign w:val="top"/>
          </w:tcPr>
          <w:p w14:paraId="10E78DC3">
            <w:pPr>
              <w:spacing w:before="157" w:line="183" w:lineRule="auto"/>
              <w:ind w:left="375"/>
              <w:rPr>
                <w:rFonts w:ascii="黑体" w:hAnsi="黑体" w:eastAsia="黑体" w:cs="黑体"/>
                <w:sz w:val="21"/>
                <w:szCs w:val="21"/>
              </w:rPr>
            </w:pPr>
            <w:r>
              <w:rPr>
                <w:rFonts w:ascii="黑体" w:hAnsi="黑体" w:eastAsia="黑体" w:cs="黑体"/>
                <w:sz w:val="21"/>
                <w:szCs w:val="21"/>
              </w:rPr>
              <w:t>1</w:t>
            </w:r>
          </w:p>
        </w:tc>
        <w:tc>
          <w:tcPr>
            <w:tcW w:w="921" w:type="dxa"/>
            <w:vAlign w:val="top"/>
          </w:tcPr>
          <w:p w14:paraId="6FB18E7E">
            <w:pPr>
              <w:rPr>
                <w:rFonts w:ascii="Arial"/>
                <w:sz w:val="21"/>
              </w:rPr>
            </w:pPr>
          </w:p>
        </w:tc>
        <w:tc>
          <w:tcPr>
            <w:tcW w:w="1099" w:type="dxa"/>
            <w:vAlign w:val="top"/>
          </w:tcPr>
          <w:p w14:paraId="0E0E9F2F">
            <w:pPr>
              <w:rPr>
                <w:rFonts w:ascii="Arial"/>
                <w:sz w:val="21"/>
              </w:rPr>
            </w:pPr>
          </w:p>
        </w:tc>
        <w:tc>
          <w:tcPr>
            <w:tcW w:w="1060" w:type="dxa"/>
            <w:vAlign w:val="top"/>
          </w:tcPr>
          <w:p w14:paraId="497BB7E7">
            <w:pPr>
              <w:rPr>
                <w:rFonts w:ascii="Arial"/>
                <w:sz w:val="21"/>
              </w:rPr>
            </w:pPr>
          </w:p>
        </w:tc>
        <w:tc>
          <w:tcPr>
            <w:tcW w:w="1166" w:type="dxa"/>
            <w:vAlign w:val="top"/>
          </w:tcPr>
          <w:p w14:paraId="64250DDC">
            <w:pPr>
              <w:rPr>
                <w:rFonts w:ascii="Arial"/>
                <w:sz w:val="21"/>
              </w:rPr>
            </w:pPr>
          </w:p>
        </w:tc>
        <w:tc>
          <w:tcPr>
            <w:tcW w:w="969" w:type="dxa"/>
            <w:vAlign w:val="top"/>
          </w:tcPr>
          <w:p w14:paraId="490587E4">
            <w:pPr>
              <w:rPr>
                <w:rFonts w:ascii="Arial"/>
                <w:sz w:val="21"/>
              </w:rPr>
            </w:pPr>
          </w:p>
        </w:tc>
      </w:tr>
      <w:tr w14:paraId="3D50BD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6" w:hRule="atLeast"/>
        </w:trPr>
        <w:tc>
          <w:tcPr>
            <w:tcW w:w="567" w:type="dxa"/>
            <w:vMerge w:val="continue"/>
            <w:tcBorders>
              <w:top w:val="nil"/>
              <w:bottom w:val="nil"/>
            </w:tcBorders>
            <w:vAlign w:val="top"/>
          </w:tcPr>
          <w:p w14:paraId="54944C89">
            <w:pPr>
              <w:rPr>
                <w:rFonts w:ascii="Arial"/>
                <w:sz w:val="21"/>
              </w:rPr>
            </w:pPr>
          </w:p>
        </w:tc>
        <w:tc>
          <w:tcPr>
            <w:tcW w:w="1703" w:type="dxa"/>
            <w:vMerge w:val="continue"/>
            <w:tcBorders>
              <w:top w:val="nil"/>
              <w:bottom w:val="nil"/>
            </w:tcBorders>
            <w:vAlign w:val="top"/>
          </w:tcPr>
          <w:p w14:paraId="4BD32249">
            <w:pPr>
              <w:rPr>
                <w:rFonts w:ascii="Arial"/>
                <w:sz w:val="21"/>
              </w:rPr>
            </w:pPr>
          </w:p>
        </w:tc>
        <w:tc>
          <w:tcPr>
            <w:tcW w:w="826" w:type="dxa"/>
            <w:vAlign w:val="top"/>
          </w:tcPr>
          <w:p w14:paraId="19F92E81">
            <w:pPr>
              <w:spacing w:before="152" w:line="184" w:lineRule="auto"/>
              <w:ind w:left="363"/>
              <w:rPr>
                <w:rFonts w:ascii="黑体" w:hAnsi="黑体" w:eastAsia="黑体" w:cs="黑体"/>
                <w:sz w:val="21"/>
                <w:szCs w:val="21"/>
              </w:rPr>
            </w:pPr>
            <w:r>
              <w:rPr>
                <w:rFonts w:ascii="黑体" w:hAnsi="黑体" w:eastAsia="黑体" w:cs="黑体"/>
                <w:sz w:val="21"/>
                <w:szCs w:val="21"/>
              </w:rPr>
              <w:t>2</w:t>
            </w:r>
          </w:p>
        </w:tc>
        <w:tc>
          <w:tcPr>
            <w:tcW w:w="921" w:type="dxa"/>
            <w:vAlign w:val="top"/>
          </w:tcPr>
          <w:p w14:paraId="0A44E380">
            <w:pPr>
              <w:rPr>
                <w:rFonts w:ascii="Arial"/>
                <w:sz w:val="21"/>
              </w:rPr>
            </w:pPr>
          </w:p>
        </w:tc>
        <w:tc>
          <w:tcPr>
            <w:tcW w:w="1099" w:type="dxa"/>
            <w:vAlign w:val="top"/>
          </w:tcPr>
          <w:p w14:paraId="55C3BDCA">
            <w:pPr>
              <w:rPr>
                <w:rFonts w:ascii="Arial"/>
                <w:sz w:val="21"/>
              </w:rPr>
            </w:pPr>
          </w:p>
        </w:tc>
        <w:tc>
          <w:tcPr>
            <w:tcW w:w="1060" w:type="dxa"/>
            <w:vAlign w:val="top"/>
          </w:tcPr>
          <w:p w14:paraId="7ACDF4C6">
            <w:pPr>
              <w:rPr>
                <w:rFonts w:ascii="Arial"/>
                <w:sz w:val="21"/>
              </w:rPr>
            </w:pPr>
          </w:p>
        </w:tc>
        <w:tc>
          <w:tcPr>
            <w:tcW w:w="1166" w:type="dxa"/>
            <w:vAlign w:val="top"/>
          </w:tcPr>
          <w:p w14:paraId="710CCE72">
            <w:pPr>
              <w:rPr>
                <w:rFonts w:ascii="Arial"/>
                <w:sz w:val="21"/>
              </w:rPr>
            </w:pPr>
          </w:p>
        </w:tc>
        <w:tc>
          <w:tcPr>
            <w:tcW w:w="969" w:type="dxa"/>
            <w:vAlign w:val="top"/>
          </w:tcPr>
          <w:p w14:paraId="528299B7">
            <w:pPr>
              <w:rPr>
                <w:rFonts w:ascii="Arial"/>
                <w:sz w:val="21"/>
              </w:rPr>
            </w:pPr>
          </w:p>
        </w:tc>
      </w:tr>
      <w:tr w14:paraId="78512E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1" w:hRule="atLeast"/>
        </w:trPr>
        <w:tc>
          <w:tcPr>
            <w:tcW w:w="567" w:type="dxa"/>
            <w:vMerge w:val="continue"/>
            <w:tcBorders>
              <w:top w:val="nil"/>
            </w:tcBorders>
            <w:vAlign w:val="top"/>
          </w:tcPr>
          <w:p w14:paraId="10A92170">
            <w:pPr>
              <w:rPr>
                <w:rFonts w:ascii="Arial"/>
                <w:sz w:val="21"/>
              </w:rPr>
            </w:pPr>
          </w:p>
        </w:tc>
        <w:tc>
          <w:tcPr>
            <w:tcW w:w="1703" w:type="dxa"/>
            <w:vMerge w:val="continue"/>
            <w:tcBorders>
              <w:top w:val="nil"/>
            </w:tcBorders>
            <w:vAlign w:val="top"/>
          </w:tcPr>
          <w:p w14:paraId="08453E60">
            <w:pPr>
              <w:rPr>
                <w:rFonts w:ascii="Arial"/>
                <w:sz w:val="21"/>
              </w:rPr>
            </w:pPr>
          </w:p>
        </w:tc>
        <w:tc>
          <w:tcPr>
            <w:tcW w:w="826" w:type="dxa"/>
            <w:vAlign w:val="top"/>
          </w:tcPr>
          <w:p w14:paraId="108162FD">
            <w:pPr>
              <w:spacing w:before="157" w:line="184" w:lineRule="auto"/>
              <w:ind w:left="365"/>
              <w:rPr>
                <w:rFonts w:ascii="黑体" w:hAnsi="黑体" w:eastAsia="黑体" w:cs="黑体"/>
                <w:sz w:val="21"/>
                <w:szCs w:val="21"/>
              </w:rPr>
            </w:pPr>
            <w:r>
              <w:rPr>
                <w:rFonts w:ascii="黑体" w:hAnsi="黑体" w:eastAsia="黑体" w:cs="黑体"/>
                <w:sz w:val="21"/>
                <w:szCs w:val="21"/>
              </w:rPr>
              <w:t>3</w:t>
            </w:r>
          </w:p>
        </w:tc>
        <w:tc>
          <w:tcPr>
            <w:tcW w:w="921" w:type="dxa"/>
            <w:vAlign w:val="top"/>
          </w:tcPr>
          <w:p w14:paraId="0CFE44E1">
            <w:pPr>
              <w:rPr>
                <w:rFonts w:ascii="Arial"/>
                <w:sz w:val="21"/>
              </w:rPr>
            </w:pPr>
          </w:p>
        </w:tc>
        <w:tc>
          <w:tcPr>
            <w:tcW w:w="1099" w:type="dxa"/>
            <w:vAlign w:val="top"/>
          </w:tcPr>
          <w:p w14:paraId="73F5C444">
            <w:pPr>
              <w:rPr>
                <w:rFonts w:ascii="Arial"/>
                <w:sz w:val="21"/>
              </w:rPr>
            </w:pPr>
          </w:p>
        </w:tc>
        <w:tc>
          <w:tcPr>
            <w:tcW w:w="1060" w:type="dxa"/>
            <w:vAlign w:val="top"/>
          </w:tcPr>
          <w:p w14:paraId="7C484ED2">
            <w:pPr>
              <w:rPr>
                <w:rFonts w:ascii="Arial"/>
                <w:sz w:val="21"/>
              </w:rPr>
            </w:pPr>
          </w:p>
        </w:tc>
        <w:tc>
          <w:tcPr>
            <w:tcW w:w="1166" w:type="dxa"/>
            <w:vAlign w:val="top"/>
          </w:tcPr>
          <w:p w14:paraId="708799AD">
            <w:pPr>
              <w:rPr>
                <w:rFonts w:ascii="Arial"/>
                <w:sz w:val="21"/>
              </w:rPr>
            </w:pPr>
          </w:p>
        </w:tc>
        <w:tc>
          <w:tcPr>
            <w:tcW w:w="969" w:type="dxa"/>
            <w:vAlign w:val="top"/>
          </w:tcPr>
          <w:p w14:paraId="3D9510E9">
            <w:pPr>
              <w:rPr>
                <w:rFonts w:ascii="Arial"/>
                <w:sz w:val="21"/>
              </w:rPr>
            </w:pPr>
          </w:p>
        </w:tc>
      </w:tr>
      <w:tr w14:paraId="6B027F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567" w:type="dxa"/>
            <w:vMerge w:val="restart"/>
            <w:tcBorders>
              <w:bottom w:val="nil"/>
            </w:tcBorders>
            <w:vAlign w:val="top"/>
          </w:tcPr>
          <w:p w14:paraId="6DA2203D">
            <w:pPr>
              <w:rPr>
                <w:rFonts w:ascii="Arial"/>
                <w:sz w:val="21"/>
              </w:rPr>
            </w:pPr>
          </w:p>
        </w:tc>
        <w:tc>
          <w:tcPr>
            <w:tcW w:w="1703" w:type="dxa"/>
            <w:vMerge w:val="restart"/>
            <w:tcBorders>
              <w:bottom w:val="nil"/>
            </w:tcBorders>
            <w:vAlign w:val="top"/>
          </w:tcPr>
          <w:p w14:paraId="460FCE2B">
            <w:pPr>
              <w:rPr>
                <w:rFonts w:ascii="Arial"/>
                <w:sz w:val="21"/>
              </w:rPr>
            </w:pPr>
          </w:p>
        </w:tc>
        <w:tc>
          <w:tcPr>
            <w:tcW w:w="826" w:type="dxa"/>
            <w:vAlign w:val="top"/>
          </w:tcPr>
          <w:p w14:paraId="38B9AE47">
            <w:pPr>
              <w:spacing w:before="158" w:line="183" w:lineRule="auto"/>
              <w:ind w:left="375"/>
              <w:rPr>
                <w:rFonts w:ascii="黑体" w:hAnsi="黑体" w:eastAsia="黑体" w:cs="黑体"/>
                <w:sz w:val="21"/>
                <w:szCs w:val="21"/>
              </w:rPr>
            </w:pPr>
            <w:r>
              <w:rPr>
                <w:rFonts w:ascii="黑体" w:hAnsi="黑体" w:eastAsia="黑体" w:cs="黑体"/>
                <w:sz w:val="21"/>
                <w:szCs w:val="21"/>
              </w:rPr>
              <w:t>1</w:t>
            </w:r>
          </w:p>
        </w:tc>
        <w:tc>
          <w:tcPr>
            <w:tcW w:w="921" w:type="dxa"/>
            <w:vAlign w:val="top"/>
          </w:tcPr>
          <w:p w14:paraId="6DF236D5">
            <w:pPr>
              <w:rPr>
                <w:rFonts w:ascii="Arial"/>
                <w:sz w:val="21"/>
              </w:rPr>
            </w:pPr>
          </w:p>
        </w:tc>
        <w:tc>
          <w:tcPr>
            <w:tcW w:w="1099" w:type="dxa"/>
            <w:vAlign w:val="top"/>
          </w:tcPr>
          <w:p w14:paraId="193E4015">
            <w:pPr>
              <w:rPr>
                <w:rFonts w:ascii="Arial"/>
                <w:sz w:val="21"/>
              </w:rPr>
            </w:pPr>
          </w:p>
        </w:tc>
        <w:tc>
          <w:tcPr>
            <w:tcW w:w="1060" w:type="dxa"/>
            <w:vAlign w:val="top"/>
          </w:tcPr>
          <w:p w14:paraId="2C736FBB">
            <w:pPr>
              <w:rPr>
                <w:rFonts w:ascii="Arial"/>
                <w:sz w:val="21"/>
              </w:rPr>
            </w:pPr>
          </w:p>
        </w:tc>
        <w:tc>
          <w:tcPr>
            <w:tcW w:w="1166" w:type="dxa"/>
            <w:vAlign w:val="top"/>
          </w:tcPr>
          <w:p w14:paraId="684FD19E">
            <w:pPr>
              <w:rPr>
                <w:rFonts w:ascii="Arial"/>
                <w:sz w:val="21"/>
              </w:rPr>
            </w:pPr>
          </w:p>
        </w:tc>
        <w:tc>
          <w:tcPr>
            <w:tcW w:w="969" w:type="dxa"/>
            <w:vAlign w:val="top"/>
          </w:tcPr>
          <w:p w14:paraId="2A695701">
            <w:pPr>
              <w:rPr>
                <w:rFonts w:ascii="Arial"/>
                <w:sz w:val="21"/>
              </w:rPr>
            </w:pPr>
          </w:p>
        </w:tc>
      </w:tr>
      <w:tr w14:paraId="7FA954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5" w:hRule="atLeast"/>
        </w:trPr>
        <w:tc>
          <w:tcPr>
            <w:tcW w:w="567" w:type="dxa"/>
            <w:vMerge w:val="continue"/>
            <w:tcBorders>
              <w:top w:val="nil"/>
              <w:bottom w:val="nil"/>
            </w:tcBorders>
            <w:vAlign w:val="top"/>
          </w:tcPr>
          <w:p w14:paraId="2C2862B0">
            <w:pPr>
              <w:rPr>
                <w:rFonts w:ascii="Arial"/>
                <w:sz w:val="21"/>
              </w:rPr>
            </w:pPr>
          </w:p>
        </w:tc>
        <w:tc>
          <w:tcPr>
            <w:tcW w:w="1703" w:type="dxa"/>
            <w:vMerge w:val="continue"/>
            <w:tcBorders>
              <w:top w:val="nil"/>
              <w:bottom w:val="nil"/>
            </w:tcBorders>
            <w:vAlign w:val="top"/>
          </w:tcPr>
          <w:p w14:paraId="0A2DDB97">
            <w:pPr>
              <w:rPr>
                <w:rFonts w:ascii="Arial"/>
                <w:sz w:val="21"/>
              </w:rPr>
            </w:pPr>
          </w:p>
        </w:tc>
        <w:tc>
          <w:tcPr>
            <w:tcW w:w="826" w:type="dxa"/>
            <w:vAlign w:val="top"/>
          </w:tcPr>
          <w:p w14:paraId="1E5224F0">
            <w:pPr>
              <w:spacing w:before="152" w:line="184" w:lineRule="auto"/>
              <w:ind w:left="363"/>
              <w:rPr>
                <w:rFonts w:ascii="黑体" w:hAnsi="黑体" w:eastAsia="黑体" w:cs="黑体"/>
                <w:sz w:val="21"/>
                <w:szCs w:val="21"/>
              </w:rPr>
            </w:pPr>
            <w:r>
              <w:rPr>
                <w:rFonts w:ascii="黑体" w:hAnsi="黑体" w:eastAsia="黑体" w:cs="黑体"/>
                <w:sz w:val="21"/>
                <w:szCs w:val="21"/>
              </w:rPr>
              <w:t>2</w:t>
            </w:r>
          </w:p>
        </w:tc>
        <w:tc>
          <w:tcPr>
            <w:tcW w:w="921" w:type="dxa"/>
            <w:vAlign w:val="top"/>
          </w:tcPr>
          <w:p w14:paraId="7F313D77">
            <w:pPr>
              <w:rPr>
                <w:rFonts w:ascii="Arial"/>
                <w:sz w:val="21"/>
              </w:rPr>
            </w:pPr>
          </w:p>
        </w:tc>
        <w:tc>
          <w:tcPr>
            <w:tcW w:w="1099" w:type="dxa"/>
            <w:vAlign w:val="top"/>
          </w:tcPr>
          <w:p w14:paraId="62F9AB67">
            <w:pPr>
              <w:rPr>
                <w:rFonts w:ascii="Arial"/>
                <w:sz w:val="21"/>
              </w:rPr>
            </w:pPr>
          </w:p>
        </w:tc>
        <w:tc>
          <w:tcPr>
            <w:tcW w:w="1060" w:type="dxa"/>
            <w:vAlign w:val="top"/>
          </w:tcPr>
          <w:p w14:paraId="5AC643A7">
            <w:pPr>
              <w:rPr>
                <w:rFonts w:ascii="Arial"/>
                <w:sz w:val="21"/>
              </w:rPr>
            </w:pPr>
          </w:p>
        </w:tc>
        <w:tc>
          <w:tcPr>
            <w:tcW w:w="1166" w:type="dxa"/>
            <w:vAlign w:val="top"/>
          </w:tcPr>
          <w:p w14:paraId="0F67CB4E">
            <w:pPr>
              <w:rPr>
                <w:rFonts w:ascii="Arial"/>
                <w:sz w:val="21"/>
              </w:rPr>
            </w:pPr>
          </w:p>
        </w:tc>
        <w:tc>
          <w:tcPr>
            <w:tcW w:w="969" w:type="dxa"/>
            <w:vAlign w:val="top"/>
          </w:tcPr>
          <w:p w14:paraId="11487CB0">
            <w:pPr>
              <w:rPr>
                <w:rFonts w:ascii="Arial"/>
                <w:sz w:val="21"/>
              </w:rPr>
            </w:pPr>
          </w:p>
        </w:tc>
      </w:tr>
      <w:tr w14:paraId="11BEAB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567" w:type="dxa"/>
            <w:vMerge w:val="continue"/>
            <w:tcBorders>
              <w:top w:val="nil"/>
            </w:tcBorders>
            <w:vAlign w:val="top"/>
          </w:tcPr>
          <w:p w14:paraId="37697FF5">
            <w:pPr>
              <w:rPr>
                <w:rFonts w:ascii="Arial"/>
                <w:sz w:val="21"/>
              </w:rPr>
            </w:pPr>
          </w:p>
        </w:tc>
        <w:tc>
          <w:tcPr>
            <w:tcW w:w="1703" w:type="dxa"/>
            <w:vMerge w:val="continue"/>
            <w:tcBorders>
              <w:top w:val="nil"/>
            </w:tcBorders>
            <w:vAlign w:val="top"/>
          </w:tcPr>
          <w:p w14:paraId="51561ED8">
            <w:pPr>
              <w:rPr>
                <w:rFonts w:ascii="Arial"/>
                <w:sz w:val="21"/>
              </w:rPr>
            </w:pPr>
          </w:p>
        </w:tc>
        <w:tc>
          <w:tcPr>
            <w:tcW w:w="826" w:type="dxa"/>
            <w:vAlign w:val="top"/>
          </w:tcPr>
          <w:p w14:paraId="610638AE">
            <w:pPr>
              <w:spacing w:before="158" w:line="184" w:lineRule="auto"/>
              <w:ind w:left="365"/>
              <w:rPr>
                <w:rFonts w:ascii="黑体" w:hAnsi="黑体" w:eastAsia="黑体" w:cs="黑体"/>
                <w:sz w:val="21"/>
                <w:szCs w:val="21"/>
              </w:rPr>
            </w:pPr>
            <w:r>
              <w:rPr>
                <w:rFonts w:ascii="黑体" w:hAnsi="黑体" w:eastAsia="黑体" w:cs="黑体"/>
                <w:sz w:val="21"/>
                <w:szCs w:val="21"/>
              </w:rPr>
              <w:t>3</w:t>
            </w:r>
          </w:p>
        </w:tc>
        <w:tc>
          <w:tcPr>
            <w:tcW w:w="921" w:type="dxa"/>
            <w:vAlign w:val="top"/>
          </w:tcPr>
          <w:p w14:paraId="0B613BA2">
            <w:pPr>
              <w:rPr>
                <w:rFonts w:ascii="Arial"/>
                <w:sz w:val="21"/>
              </w:rPr>
            </w:pPr>
          </w:p>
        </w:tc>
        <w:tc>
          <w:tcPr>
            <w:tcW w:w="1099" w:type="dxa"/>
            <w:vAlign w:val="top"/>
          </w:tcPr>
          <w:p w14:paraId="6555FBF4">
            <w:pPr>
              <w:rPr>
                <w:rFonts w:ascii="Arial"/>
                <w:sz w:val="21"/>
              </w:rPr>
            </w:pPr>
          </w:p>
        </w:tc>
        <w:tc>
          <w:tcPr>
            <w:tcW w:w="1060" w:type="dxa"/>
            <w:vAlign w:val="top"/>
          </w:tcPr>
          <w:p w14:paraId="777E3BCE">
            <w:pPr>
              <w:rPr>
                <w:rFonts w:ascii="Arial"/>
                <w:sz w:val="21"/>
              </w:rPr>
            </w:pPr>
          </w:p>
        </w:tc>
        <w:tc>
          <w:tcPr>
            <w:tcW w:w="1166" w:type="dxa"/>
            <w:vAlign w:val="top"/>
          </w:tcPr>
          <w:p w14:paraId="3ADCE539">
            <w:pPr>
              <w:rPr>
                <w:rFonts w:ascii="Arial"/>
                <w:sz w:val="21"/>
              </w:rPr>
            </w:pPr>
          </w:p>
        </w:tc>
        <w:tc>
          <w:tcPr>
            <w:tcW w:w="969" w:type="dxa"/>
            <w:vAlign w:val="top"/>
          </w:tcPr>
          <w:p w14:paraId="14140FA9">
            <w:pPr>
              <w:rPr>
                <w:rFonts w:ascii="Arial"/>
                <w:sz w:val="21"/>
              </w:rPr>
            </w:pPr>
          </w:p>
        </w:tc>
      </w:tr>
      <w:tr w14:paraId="12E9DA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1" w:hRule="atLeast"/>
        </w:trPr>
        <w:tc>
          <w:tcPr>
            <w:tcW w:w="567" w:type="dxa"/>
            <w:vMerge w:val="restart"/>
            <w:tcBorders>
              <w:bottom w:val="nil"/>
            </w:tcBorders>
            <w:vAlign w:val="top"/>
          </w:tcPr>
          <w:p w14:paraId="65658441">
            <w:pPr>
              <w:rPr>
                <w:rFonts w:ascii="Arial"/>
                <w:sz w:val="21"/>
              </w:rPr>
            </w:pPr>
          </w:p>
        </w:tc>
        <w:tc>
          <w:tcPr>
            <w:tcW w:w="1703" w:type="dxa"/>
            <w:vMerge w:val="restart"/>
            <w:tcBorders>
              <w:bottom w:val="nil"/>
            </w:tcBorders>
            <w:vAlign w:val="top"/>
          </w:tcPr>
          <w:p w14:paraId="3B695145">
            <w:pPr>
              <w:rPr>
                <w:rFonts w:ascii="Arial"/>
                <w:sz w:val="21"/>
              </w:rPr>
            </w:pPr>
          </w:p>
        </w:tc>
        <w:tc>
          <w:tcPr>
            <w:tcW w:w="826" w:type="dxa"/>
            <w:vAlign w:val="top"/>
          </w:tcPr>
          <w:p w14:paraId="3895265F">
            <w:pPr>
              <w:spacing w:before="160" w:line="183" w:lineRule="auto"/>
              <w:ind w:left="375"/>
              <w:rPr>
                <w:rFonts w:ascii="黑体" w:hAnsi="黑体" w:eastAsia="黑体" w:cs="黑体"/>
                <w:sz w:val="21"/>
                <w:szCs w:val="21"/>
              </w:rPr>
            </w:pPr>
            <w:r>
              <w:rPr>
                <w:rFonts w:ascii="黑体" w:hAnsi="黑体" w:eastAsia="黑体" w:cs="黑体"/>
                <w:sz w:val="21"/>
                <w:szCs w:val="21"/>
              </w:rPr>
              <w:t>1</w:t>
            </w:r>
          </w:p>
        </w:tc>
        <w:tc>
          <w:tcPr>
            <w:tcW w:w="921" w:type="dxa"/>
            <w:vAlign w:val="top"/>
          </w:tcPr>
          <w:p w14:paraId="2D1ECC27">
            <w:pPr>
              <w:rPr>
                <w:rFonts w:ascii="Arial"/>
                <w:sz w:val="21"/>
              </w:rPr>
            </w:pPr>
          </w:p>
        </w:tc>
        <w:tc>
          <w:tcPr>
            <w:tcW w:w="1099" w:type="dxa"/>
            <w:vAlign w:val="top"/>
          </w:tcPr>
          <w:p w14:paraId="47E896C2">
            <w:pPr>
              <w:rPr>
                <w:rFonts w:ascii="Arial"/>
                <w:sz w:val="21"/>
              </w:rPr>
            </w:pPr>
          </w:p>
        </w:tc>
        <w:tc>
          <w:tcPr>
            <w:tcW w:w="1060" w:type="dxa"/>
            <w:vAlign w:val="top"/>
          </w:tcPr>
          <w:p w14:paraId="1CBB0333">
            <w:pPr>
              <w:rPr>
                <w:rFonts w:ascii="Arial"/>
                <w:sz w:val="21"/>
              </w:rPr>
            </w:pPr>
          </w:p>
        </w:tc>
        <w:tc>
          <w:tcPr>
            <w:tcW w:w="1166" w:type="dxa"/>
            <w:vAlign w:val="top"/>
          </w:tcPr>
          <w:p w14:paraId="4AF95574">
            <w:pPr>
              <w:rPr>
                <w:rFonts w:ascii="Arial"/>
                <w:sz w:val="21"/>
              </w:rPr>
            </w:pPr>
          </w:p>
        </w:tc>
        <w:tc>
          <w:tcPr>
            <w:tcW w:w="969" w:type="dxa"/>
            <w:vAlign w:val="top"/>
          </w:tcPr>
          <w:p w14:paraId="4FD0E5F0">
            <w:pPr>
              <w:rPr>
                <w:rFonts w:ascii="Arial"/>
                <w:sz w:val="21"/>
              </w:rPr>
            </w:pPr>
          </w:p>
        </w:tc>
      </w:tr>
      <w:tr w14:paraId="75ECA2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6" w:hRule="atLeast"/>
        </w:trPr>
        <w:tc>
          <w:tcPr>
            <w:tcW w:w="567" w:type="dxa"/>
            <w:vMerge w:val="continue"/>
            <w:tcBorders>
              <w:top w:val="nil"/>
              <w:bottom w:val="nil"/>
            </w:tcBorders>
            <w:vAlign w:val="top"/>
          </w:tcPr>
          <w:p w14:paraId="0DCABC8D">
            <w:pPr>
              <w:rPr>
                <w:rFonts w:ascii="Arial"/>
                <w:sz w:val="21"/>
              </w:rPr>
            </w:pPr>
          </w:p>
        </w:tc>
        <w:tc>
          <w:tcPr>
            <w:tcW w:w="1703" w:type="dxa"/>
            <w:vMerge w:val="continue"/>
            <w:tcBorders>
              <w:top w:val="nil"/>
              <w:bottom w:val="nil"/>
            </w:tcBorders>
            <w:vAlign w:val="top"/>
          </w:tcPr>
          <w:p w14:paraId="305BA805">
            <w:pPr>
              <w:rPr>
                <w:rFonts w:ascii="Arial"/>
                <w:sz w:val="21"/>
              </w:rPr>
            </w:pPr>
          </w:p>
        </w:tc>
        <w:tc>
          <w:tcPr>
            <w:tcW w:w="826" w:type="dxa"/>
            <w:vAlign w:val="top"/>
          </w:tcPr>
          <w:p w14:paraId="387B47DC">
            <w:pPr>
              <w:spacing w:before="154" w:line="184" w:lineRule="auto"/>
              <w:ind w:left="363"/>
              <w:rPr>
                <w:rFonts w:ascii="黑体" w:hAnsi="黑体" w:eastAsia="黑体" w:cs="黑体"/>
                <w:sz w:val="21"/>
                <w:szCs w:val="21"/>
              </w:rPr>
            </w:pPr>
            <w:r>
              <w:rPr>
                <w:rFonts w:ascii="黑体" w:hAnsi="黑体" w:eastAsia="黑体" w:cs="黑体"/>
                <w:sz w:val="21"/>
                <w:szCs w:val="21"/>
              </w:rPr>
              <w:t>2</w:t>
            </w:r>
          </w:p>
        </w:tc>
        <w:tc>
          <w:tcPr>
            <w:tcW w:w="921" w:type="dxa"/>
            <w:vAlign w:val="top"/>
          </w:tcPr>
          <w:p w14:paraId="60E1A2EF">
            <w:pPr>
              <w:rPr>
                <w:rFonts w:ascii="Arial"/>
                <w:sz w:val="21"/>
              </w:rPr>
            </w:pPr>
          </w:p>
        </w:tc>
        <w:tc>
          <w:tcPr>
            <w:tcW w:w="1099" w:type="dxa"/>
            <w:vAlign w:val="top"/>
          </w:tcPr>
          <w:p w14:paraId="45D2FE28">
            <w:pPr>
              <w:rPr>
                <w:rFonts w:ascii="Arial"/>
                <w:sz w:val="21"/>
              </w:rPr>
            </w:pPr>
          </w:p>
        </w:tc>
        <w:tc>
          <w:tcPr>
            <w:tcW w:w="1060" w:type="dxa"/>
            <w:vAlign w:val="top"/>
          </w:tcPr>
          <w:p w14:paraId="37A75909">
            <w:pPr>
              <w:rPr>
                <w:rFonts w:ascii="Arial"/>
                <w:sz w:val="21"/>
              </w:rPr>
            </w:pPr>
          </w:p>
        </w:tc>
        <w:tc>
          <w:tcPr>
            <w:tcW w:w="1166" w:type="dxa"/>
            <w:vAlign w:val="top"/>
          </w:tcPr>
          <w:p w14:paraId="789C05B0">
            <w:pPr>
              <w:rPr>
                <w:rFonts w:ascii="Arial"/>
                <w:sz w:val="21"/>
              </w:rPr>
            </w:pPr>
          </w:p>
        </w:tc>
        <w:tc>
          <w:tcPr>
            <w:tcW w:w="969" w:type="dxa"/>
            <w:vAlign w:val="top"/>
          </w:tcPr>
          <w:p w14:paraId="7F3D478C">
            <w:pPr>
              <w:rPr>
                <w:rFonts w:ascii="Arial"/>
                <w:sz w:val="21"/>
              </w:rPr>
            </w:pPr>
          </w:p>
        </w:tc>
      </w:tr>
      <w:tr w14:paraId="1FC13A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567" w:type="dxa"/>
            <w:vMerge w:val="continue"/>
            <w:tcBorders>
              <w:top w:val="nil"/>
            </w:tcBorders>
            <w:vAlign w:val="top"/>
          </w:tcPr>
          <w:p w14:paraId="18871C07">
            <w:pPr>
              <w:rPr>
                <w:rFonts w:ascii="Arial"/>
                <w:sz w:val="21"/>
              </w:rPr>
            </w:pPr>
          </w:p>
        </w:tc>
        <w:tc>
          <w:tcPr>
            <w:tcW w:w="1703" w:type="dxa"/>
            <w:vMerge w:val="continue"/>
            <w:tcBorders>
              <w:top w:val="nil"/>
            </w:tcBorders>
            <w:vAlign w:val="top"/>
          </w:tcPr>
          <w:p w14:paraId="7A4D8261">
            <w:pPr>
              <w:rPr>
                <w:rFonts w:ascii="Arial"/>
                <w:sz w:val="21"/>
              </w:rPr>
            </w:pPr>
          </w:p>
        </w:tc>
        <w:tc>
          <w:tcPr>
            <w:tcW w:w="826" w:type="dxa"/>
            <w:vAlign w:val="top"/>
          </w:tcPr>
          <w:p w14:paraId="73DA2BAC">
            <w:pPr>
              <w:spacing w:before="158" w:line="184" w:lineRule="auto"/>
              <w:ind w:left="365"/>
              <w:rPr>
                <w:rFonts w:ascii="黑体" w:hAnsi="黑体" w:eastAsia="黑体" w:cs="黑体"/>
                <w:sz w:val="21"/>
                <w:szCs w:val="21"/>
              </w:rPr>
            </w:pPr>
            <w:r>
              <w:rPr>
                <w:rFonts w:ascii="黑体" w:hAnsi="黑体" w:eastAsia="黑体" w:cs="黑体"/>
                <w:sz w:val="21"/>
                <w:szCs w:val="21"/>
              </w:rPr>
              <w:t>3</w:t>
            </w:r>
          </w:p>
        </w:tc>
        <w:tc>
          <w:tcPr>
            <w:tcW w:w="921" w:type="dxa"/>
            <w:vAlign w:val="top"/>
          </w:tcPr>
          <w:p w14:paraId="11BE8C0F">
            <w:pPr>
              <w:rPr>
                <w:rFonts w:ascii="Arial"/>
                <w:sz w:val="21"/>
              </w:rPr>
            </w:pPr>
          </w:p>
        </w:tc>
        <w:tc>
          <w:tcPr>
            <w:tcW w:w="1099" w:type="dxa"/>
            <w:vAlign w:val="top"/>
          </w:tcPr>
          <w:p w14:paraId="05F75BA3">
            <w:pPr>
              <w:rPr>
                <w:rFonts w:ascii="Arial"/>
                <w:sz w:val="21"/>
              </w:rPr>
            </w:pPr>
          </w:p>
        </w:tc>
        <w:tc>
          <w:tcPr>
            <w:tcW w:w="1060" w:type="dxa"/>
            <w:vAlign w:val="top"/>
          </w:tcPr>
          <w:p w14:paraId="0E3896A7">
            <w:pPr>
              <w:rPr>
                <w:rFonts w:ascii="Arial"/>
                <w:sz w:val="21"/>
              </w:rPr>
            </w:pPr>
          </w:p>
        </w:tc>
        <w:tc>
          <w:tcPr>
            <w:tcW w:w="1166" w:type="dxa"/>
            <w:vAlign w:val="top"/>
          </w:tcPr>
          <w:p w14:paraId="37025288">
            <w:pPr>
              <w:rPr>
                <w:rFonts w:ascii="Arial"/>
                <w:sz w:val="21"/>
              </w:rPr>
            </w:pPr>
          </w:p>
        </w:tc>
        <w:tc>
          <w:tcPr>
            <w:tcW w:w="969" w:type="dxa"/>
            <w:vAlign w:val="top"/>
          </w:tcPr>
          <w:p w14:paraId="2C56FB43">
            <w:pPr>
              <w:rPr>
                <w:rFonts w:ascii="Arial"/>
                <w:sz w:val="21"/>
              </w:rPr>
            </w:pPr>
          </w:p>
        </w:tc>
      </w:tr>
    </w:tbl>
    <w:p w14:paraId="1469717D">
      <w:pPr>
        <w:pStyle w:val="3"/>
        <w:spacing w:line="244" w:lineRule="auto"/>
      </w:pPr>
    </w:p>
    <w:p w14:paraId="72EF9E94">
      <w:pPr>
        <w:pStyle w:val="3"/>
        <w:spacing w:line="244" w:lineRule="auto"/>
      </w:pPr>
    </w:p>
    <w:p w14:paraId="6AE6C838">
      <w:pPr>
        <w:pStyle w:val="3"/>
        <w:spacing w:line="244" w:lineRule="auto"/>
      </w:pPr>
    </w:p>
    <w:p w14:paraId="51E328CE">
      <w:pPr>
        <w:pStyle w:val="3"/>
        <w:spacing w:line="245" w:lineRule="auto"/>
      </w:pPr>
    </w:p>
    <w:p w14:paraId="2AF2D18E">
      <w:pPr>
        <w:spacing w:before="69" w:line="221" w:lineRule="auto"/>
        <w:ind w:left="4587"/>
        <w:rPr>
          <w:rFonts w:ascii="宋体" w:hAnsi="宋体" w:eastAsia="宋体" w:cs="宋体"/>
          <w:sz w:val="21"/>
          <w:szCs w:val="21"/>
        </w:rPr>
      </w:pPr>
      <w:r>
        <w:rPr>
          <w:rFonts w:ascii="宋体" w:hAnsi="宋体" w:eastAsia="宋体" w:cs="宋体"/>
          <w:spacing w:val="-25"/>
          <w:sz w:val="21"/>
          <w:szCs w:val="21"/>
        </w:rPr>
        <w:t>日</w:t>
      </w:r>
      <w:r>
        <w:rPr>
          <w:rFonts w:ascii="宋体" w:hAnsi="宋体" w:eastAsia="宋体" w:cs="宋体"/>
          <w:spacing w:val="15"/>
          <w:sz w:val="21"/>
          <w:szCs w:val="21"/>
        </w:rPr>
        <w:t xml:space="preserve"> </w:t>
      </w:r>
      <w:r>
        <w:rPr>
          <w:rFonts w:ascii="宋体" w:hAnsi="宋体" w:eastAsia="宋体" w:cs="宋体"/>
          <w:spacing w:val="-25"/>
          <w:sz w:val="21"/>
          <w:szCs w:val="21"/>
        </w:rPr>
        <w:t>期：</w:t>
      </w:r>
      <w:r>
        <w:rPr>
          <w:rFonts w:ascii="宋体" w:hAnsi="宋体" w:eastAsia="宋体" w:cs="宋体"/>
          <w:spacing w:val="74"/>
          <w:sz w:val="21"/>
          <w:szCs w:val="21"/>
        </w:rPr>
        <w:t xml:space="preserve"> </w:t>
      </w:r>
      <w:r>
        <w:rPr>
          <w:rFonts w:ascii="宋体" w:hAnsi="宋体" w:eastAsia="宋体" w:cs="宋体"/>
          <w:spacing w:val="20"/>
          <w:sz w:val="21"/>
          <w:szCs w:val="21"/>
          <w:u w:val="single" w:color="auto"/>
        </w:rPr>
        <w:t xml:space="preserve">     </w:t>
      </w:r>
      <w:r>
        <w:rPr>
          <w:rFonts w:ascii="宋体" w:hAnsi="宋体" w:eastAsia="宋体" w:cs="宋体"/>
          <w:spacing w:val="-92"/>
          <w:sz w:val="21"/>
          <w:szCs w:val="21"/>
        </w:rPr>
        <w:t xml:space="preserve"> </w:t>
      </w:r>
      <w:r>
        <w:rPr>
          <w:rFonts w:ascii="宋体" w:hAnsi="宋体" w:eastAsia="宋体" w:cs="宋体"/>
          <w:spacing w:val="-25"/>
          <w:sz w:val="21"/>
          <w:szCs w:val="21"/>
        </w:rPr>
        <w:t>年</w:t>
      </w:r>
      <w:r>
        <w:rPr>
          <w:rFonts w:ascii="宋体" w:hAnsi="宋体" w:eastAsia="宋体" w:cs="宋体"/>
          <w:spacing w:val="-104"/>
          <w:sz w:val="21"/>
          <w:szCs w:val="21"/>
        </w:rPr>
        <w:t xml:space="preserve"> </w:t>
      </w:r>
      <w:r>
        <w:rPr>
          <w:rFonts w:ascii="宋体" w:hAnsi="宋体" w:eastAsia="宋体" w:cs="宋体"/>
          <w:spacing w:val="25"/>
          <w:sz w:val="21"/>
          <w:szCs w:val="21"/>
          <w:u w:val="single" w:color="auto"/>
        </w:rPr>
        <w:t xml:space="preserve">    </w:t>
      </w:r>
      <w:r>
        <w:rPr>
          <w:rFonts w:ascii="宋体" w:hAnsi="宋体" w:eastAsia="宋体" w:cs="宋体"/>
          <w:spacing w:val="-89"/>
          <w:sz w:val="21"/>
          <w:szCs w:val="21"/>
        </w:rPr>
        <w:t xml:space="preserve"> </w:t>
      </w:r>
      <w:r>
        <w:rPr>
          <w:rFonts w:ascii="宋体" w:hAnsi="宋体" w:eastAsia="宋体" w:cs="宋体"/>
          <w:spacing w:val="-25"/>
          <w:sz w:val="21"/>
          <w:szCs w:val="21"/>
        </w:rPr>
        <w:t>月</w:t>
      </w:r>
      <w:r>
        <w:rPr>
          <w:rFonts w:ascii="宋体" w:hAnsi="宋体" w:eastAsia="宋体" w:cs="宋体"/>
          <w:spacing w:val="26"/>
          <w:sz w:val="21"/>
          <w:szCs w:val="21"/>
          <w:u w:val="single" w:color="auto"/>
        </w:rPr>
        <w:t xml:space="preserve">    </w:t>
      </w:r>
      <w:r>
        <w:rPr>
          <w:rFonts w:ascii="宋体" w:hAnsi="宋体" w:eastAsia="宋体" w:cs="宋体"/>
          <w:spacing w:val="-61"/>
          <w:sz w:val="21"/>
          <w:szCs w:val="21"/>
        </w:rPr>
        <w:t xml:space="preserve"> </w:t>
      </w:r>
      <w:r>
        <w:rPr>
          <w:rFonts w:ascii="宋体" w:hAnsi="宋体" w:eastAsia="宋体" w:cs="宋体"/>
          <w:spacing w:val="-25"/>
          <w:sz w:val="21"/>
          <w:szCs w:val="21"/>
        </w:rPr>
        <w:t>日</w:t>
      </w:r>
    </w:p>
    <w:p w14:paraId="71C0C9B3">
      <w:pPr>
        <w:pStyle w:val="3"/>
        <w:spacing w:line="277" w:lineRule="auto"/>
      </w:pPr>
    </w:p>
    <w:p w14:paraId="04584B7F">
      <w:pPr>
        <w:pStyle w:val="3"/>
        <w:spacing w:line="278" w:lineRule="auto"/>
      </w:pPr>
    </w:p>
    <w:p w14:paraId="02090F0D">
      <w:pPr>
        <w:spacing w:before="69" w:line="442" w:lineRule="exact"/>
        <w:ind w:left="20"/>
        <w:rPr>
          <w:rFonts w:ascii="宋体" w:hAnsi="宋体" w:eastAsia="宋体" w:cs="宋体"/>
          <w:sz w:val="21"/>
          <w:szCs w:val="21"/>
        </w:rPr>
      </w:pPr>
      <w:r>
        <w:rPr>
          <w:rFonts w:ascii="宋体" w:hAnsi="宋体" w:eastAsia="宋体" w:cs="宋体"/>
          <w:position w:val="17"/>
          <w:sz w:val="21"/>
          <w:szCs w:val="21"/>
        </w:rPr>
        <w:t>备注： 本表所列分包仅限于承包人自行施工范围内的非主体、非关键工程。没有可不</w:t>
      </w:r>
    </w:p>
    <w:p w14:paraId="4093B2B3">
      <w:pPr>
        <w:spacing w:line="221" w:lineRule="auto"/>
        <w:ind w:left="649"/>
        <w:rPr>
          <w:rFonts w:ascii="宋体" w:hAnsi="宋体" w:eastAsia="宋体" w:cs="宋体"/>
          <w:sz w:val="21"/>
          <w:szCs w:val="21"/>
        </w:rPr>
      </w:pPr>
      <w:r>
        <w:rPr>
          <w:rFonts w:ascii="宋体" w:hAnsi="宋体" w:eastAsia="宋体" w:cs="宋体"/>
          <w:spacing w:val="-9"/>
          <w:sz w:val="21"/>
          <w:szCs w:val="21"/>
        </w:rPr>
        <w:t>填写。</w:t>
      </w:r>
    </w:p>
    <w:p w14:paraId="4CBA844B">
      <w:pPr>
        <w:spacing w:line="221" w:lineRule="auto"/>
        <w:rPr>
          <w:rFonts w:ascii="宋体" w:hAnsi="宋体" w:eastAsia="宋体" w:cs="宋体"/>
          <w:sz w:val="21"/>
          <w:szCs w:val="21"/>
        </w:rPr>
        <w:sectPr>
          <w:footerReference r:id="rId204" w:type="default"/>
          <w:pgSz w:w="11905" w:h="16839"/>
          <w:pgMar w:top="400" w:right="1785" w:bottom="1004" w:left="1785" w:header="0" w:footer="828" w:gutter="0"/>
          <w:pgNumType w:fmt="decimal"/>
          <w:cols w:space="720" w:num="1"/>
        </w:sectPr>
      </w:pPr>
    </w:p>
    <w:p w14:paraId="18284C2D">
      <w:pPr>
        <w:pStyle w:val="3"/>
        <w:spacing w:line="246" w:lineRule="auto"/>
      </w:pPr>
    </w:p>
    <w:p w14:paraId="225E6EA4">
      <w:pPr>
        <w:pStyle w:val="3"/>
        <w:spacing w:line="246" w:lineRule="auto"/>
      </w:pPr>
    </w:p>
    <w:p w14:paraId="6442B21B">
      <w:pPr>
        <w:pStyle w:val="3"/>
        <w:spacing w:line="246" w:lineRule="auto"/>
      </w:pPr>
    </w:p>
    <w:p w14:paraId="31C289CB">
      <w:pPr>
        <w:pStyle w:val="3"/>
        <w:spacing w:line="246" w:lineRule="auto"/>
      </w:pPr>
    </w:p>
    <w:p w14:paraId="25545629">
      <w:pPr>
        <w:pStyle w:val="3"/>
        <w:spacing w:line="246" w:lineRule="auto"/>
      </w:pPr>
    </w:p>
    <w:p w14:paraId="459AF473">
      <w:pPr>
        <w:pStyle w:val="3"/>
        <w:spacing w:line="247" w:lineRule="auto"/>
      </w:pPr>
    </w:p>
    <w:p w14:paraId="3945A5CC">
      <w:pPr>
        <w:spacing w:before="87" w:line="225" w:lineRule="auto"/>
        <w:ind w:left="6117"/>
        <w:rPr>
          <w:rFonts w:ascii="黑体" w:hAnsi="黑体" w:eastAsia="黑体" w:cs="黑体"/>
          <w:sz w:val="27"/>
          <w:szCs w:val="27"/>
        </w:rPr>
      </w:pPr>
      <w:bookmarkStart w:id="1324" w:name="bookmark309"/>
      <w:bookmarkEnd w:id="1324"/>
      <w:r>
        <w:rPr>
          <w:rFonts w:ascii="黑体" w:hAnsi="黑体" w:eastAsia="黑体" w:cs="黑体"/>
          <w:spacing w:val="7"/>
          <w:sz w:val="27"/>
          <w:szCs w:val="27"/>
        </w:rPr>
        <w:t>六、项目管理机构</w:t>
      </w:r>
    </w:p>
    <w:p w14:paraId="6F76126F">
      <w:pPr>
        <w:pStyle w:val="3"/>
        <w:spacing w:line="349" w:lineRule="auto"/>
      </w:pPr>
    </w:p>
    <w:p w14:paraId="2CBCBF1A">
      <w:pPr>
        <w:spacing w:before="87" w:line="220" w:lineRule="auto"/>
        <w:ind w:left="5290"/>
        <w:rPr>
          <w:rFonts w:ascii="黑体" w:hAnsi="黑体" w:eastAsia="黑体" w:cs="黑体"/>
          <w:sz w:val="27"/>
          <w:szCs w:val="27"/>
        </w:rPr>
      </w:pPr>
      <w:r>
        <w:rPr>
          <w:rFonts w:ascii="黑体" w:hAnsi="黑体" w:eastAsia="黑体" w:cs="黑体"/>
          <w:spacing w:val="6"/>
          <w:sz w:val="27"/>
          <w:szCs w:val="27"/>
        </w:rPr>
        <w:t>（一）项目管理机构主要人员表</w:t>
      </w:r>
    </w:p>
    <w:tbl>
      <w:tblPr>
        <w:tblStyle w:val="10"/>
        <w:tblW w:w="1444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79"/>
        <w:gridCol w:w="1272"/>
        <w:gridCol w:w="825"/>
        <w:gridCol w:w="533"/>
        <w:gridCol w:w="749"/>
        <w:gridCol w:w="753"/>
        <w:gridCol w:w="965"/>
        <w:gridCol w:w="1032"/>
        <w:gridCol w:w="855"/>
        <w:gridCol w:w="854"/>
        <w:gridCol w:w="854"/>
        <w:gridCol w:w="849"/>
        <w:gridCol w:w="850"/>
        <w:gridCol w:w="854"/>
        <w:gridCol w:w="744"/>
        <w:gridCol w:w="1128"/>
        <w:gridCol w:w="946"/>
      </w:tblGrid>
      <w:tr w14:paraId="26B849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7" w:hRule="atLeast"/>
        </w:trPr>
        <w:tc>
          <w:tcPr>
            <w:tcW w:w="379" w:type="dxa"/>
            <w:vMerge w:val="restart"/>
            <w:tcBorders>
              <w:bottom w:val="nil"/>
            </w:tcBorders>
            <w:textDirection w:val="tbRlV"/>
            <w:vAlign w:val="top"/>
          </w:tcPr>
          <w:p w14:paraId="0FD036CE">
            <w:pPr>
              <w:pStyle w:val="11"/>
              <w:spacing w:before="81" w:line="211" w:lineRule="auto"/>
              <w:ind w:left="245"/>
            </w:pPr>
            <w:r>
              <w:rPr>
                <w:spacing w:val="1"/>
              </w:rPr>
              <w:t>序</w:t>
            </w:r>
            <w:r>
              <w:rPr>
                <w:spacing w:val="-43"/>
              </w:rPr>
              <w:t xml:space="preserve"> </w:t>
            </w:r>
            <w:r>
              <w:rPr>
                <w:spacing w:val="1"/>
              </w:rPr>
              <w:t>号</w:t>
            </w:r>
          </w:p>
        </w:tc>
        <w:tc>
          <w:tcPr>
            <w:tcW w:w="1272" w:type="dxa"/>
            <w:vMerge w:val="restart"/>
            <w:tcBorders>
              <w:bottom w:val="nil"/>
            </w:tcBorders>
            <w:vAlign w:val="top"/>
          </w:tcPr>
          <w:p w14:paraId="2BC9ACEA">
            <w:pPr>
              <w:pStyle w:val="11"/>
              <w:spacing w:before="244" w:line="231" w:lineRule="auto"/>
              <w:ind w:left="225" w:right="225" w:firstLine="227"/>
            </w:pPr>
            <w:r>
              <w:rPr>
                <w:spacing w:val="-15"/>
              </w:rPr>
              <w:t>岗位</w:t>
            </w:r>
            <w:r>
              <w:t xml:space="preserve">   </w:t>
            </w:r>
            <w:r>
              <w:rPr>
                <w:spacing w:val="-7"/>
              </w:rPr>
              <w:t>（职务）</w:t>
            </w:r>
          </w:p>
        </w:tc>
        <w:tc>
          <w:tcPr>
            <w:tcW w:w="825" w:type="dxa"/>
            <w:vMerge w:val="restart"/>
            <w:tcBorders>
              <w:bottom w:val="nil"/>
            </w:tcBorders>
            <w:vAlign w:val="top"/>
          </w:tcPr>
          <w:p w14:paraId="65FE187D">
            <w:pPr>
              <w:spacing w:line="309" w:lineRule="auto"/>
              <w:rPr>
                <w:rFonts w:ascii="Arial"/>
                <w:sz w:val="21"/>
              </w:rPr>
            </w:pPr>
          </w:p>
          <w:p w14:paraId="1D221362">
            <w:pPr>
              <w:pStyle w:val="11"/>
              <w:spacing w:before="68" w:line="221" w:lineRule="auto"/>
              <w:ind w:left="205"/>
            </w:pPr>
            <w:r>
              <w:rPr>
                <w:spacing w:val="-2"/>
              </w:rPr>
              <w:t>姓名</w:t>
            </w:r>
          </w:p>
        </w:tc>
        <w:tc>
          <w:tcPr>
            <w:tcW w:w="533" w:type="dxa"/>
            <w:vMerge w:val="restart"/>
            <w:tcBorders>
              <w:bottom w:val="nil"/>
            </w:tcBorders>
            <w:vAlign w:val="top"/>
          </w:tcPr>
          <w:p w14:paraId="6272108D">
            <w:pPr>
              <w:spacing w:line="310" w:lineRule="auto"/>
              <w:rPr>
                <w:rFonts w:ascii="Arial"/>
                <w:sz w:val="21"/>
              </w:rPr>
            </w:pPr>
          </w:p>
          <w:p w14:paraId="559E9AEE">
            <w:pPr>
              <w:pStyle w:val="11"/>
              <w:spacing w:before="68" w:line="221" w:lineRule="auto"/>
              <w:ind w:left="64"/>
            </w:pPr>
            <w:r>
              <w:rPr>
                <w:spacing w:val="-3"/>
              </w:rPr>
              <w:t>性别</w:t>
            </w:r>
          </w:p>
        </w:tc>
        <w:tc>
          <w:tcPr>
            <w:tcW w:w="749" w:type="dxa"/>
            <w:vMerge w:val="restart"/>
            <w:tcBorders>
              <w:bottom w:val="nil"/>
            </w:tcBorders>
            <w:vAlign w:val="top"/>
          </w:tcPr>
          <w:p w14:paraId="785D5A1F">
            <w:pPr>
              <w:spacing w:line="309" w:lineRule="auto"/>
              <w:rPr>
                <w:rFonts w:ascii="Arial"/>
                <w:sz w:val="21"/>
              </w:rPr>
            </w:pPr>
          </w:p>
          <w:p w14:paraId="0C928806">
            <w:pPr>
              <w:pStyle w:val="11"/>
              <w:spacing w:before="68" w:line="221" w:lineRule="auto"/>
              <w:ind w:left="163"/>
            </w:pPr>
            <w:r>
              <w:rPr>
                <w:spacing w:val="-2"/>
              </w:rPr>
              <w:t>年龄</w:t>
            </w:r>
          </w:p>
        </w:tc>
        <w:tc>
          <w:tcPr>
            <w:tcW w:w="753" w:type="dxa"/>
            <w:vMerge w:val="restart"/>
            <w:tcBorders>
              <w:bottom w:val="nil"/>
            </w:tcBorders>
            <w:vAlign w:val="top"/>
          </w:tcPr>
          <w:p w14:paraId="455EFB9E">
            <w:pPr>
              <w:spacing w:line="309" w:lineRule="auto"/>
              <w:rPr>
                <w:rFonts w:ascii="Arial"/>
                <w:sz w:val="21"/>
              </w:rPr>
            </w:pPr>
          </w:p>
          <w:p w14:paraId="67CADB24">
            <w:pPr>
              <w:pStyle w:val="11"/>
              <w:spacing w:before="69" w:line="222" w:lineRule="auto"/>
              <w:ind w:left="171"/>
            </w:pPr>
            <w:r>
              <w:rPr>
                <w:spacing w:val="-3"/>
              </w:rPr>
              <w:t>学历</w:t>
            </w:r>
          </w:p>
        </w:tc>
        <w:tc>
          <w:tcPr>
            <w:tcW w:w="965" w:type="dxa"/>
            <w:vMerge w:val="restart"/>
            <w:tcBorders>
              <w:bottom w:val="nil"/>
            </w:tcBorders>
            <w:vAlign w:val="top"/>
          </w:tcPr>
          <w:p w14:paraId="7FE2C01F">
            <w:pPr>
              <w:spacing w:line="310" w:lineRule="auto"/>
              <w:rPr>
                <w:rFonts w:ascii="Arial"/>
                <w:sz w:val="21"/>
              </w:rPr>
            </w:pPr>
          </w:p>
          <w:p w14:paraId="4ABF1B4D">
            <w:pPr>
              <w:pStyle w:val="11"/>
              <w:spacing w:before="68" w:line="221" w:lineRule="auto"/>
              <w:ind w:left="62"/>
            </w:pPr>
            <w:r>
              <w:rPr>
                <w:spacing w:val="-1"/>
              </w:rPr>
              <w:t>所学专业</w:t>
            </w:r>
          </w:p>
        </w:tc>
        <w:tc>
          <w:tcPr>
            <w:tcW w:w="1032" w:type="dxa"/>
            <w:vMerge w:val="restart"/>
            <w:tcBorders>
              <w:bottom w:val="nil"/>
            </w:tcBorders>
            <w:vAlign w:val="top"/>
          </w:tcPr>
          <w:p w14:paraId="79BD4594">
            <w:pPr>
              <w:pStyle w:val="11"/>
              <w:spacing w:before="244" w:line="231" w:lineRule="auto"/>
              <w:ind w:left="308" w:right="93" w:hanging="211"/>
            </w:pPr>
            <w:r>
              <w:rPr>
                <w:spacing w:val="-2"/>
              </w:rPr>
              <w:t>专业工作</w:t>
            </w:r>
            <w:r>
              <w:rPr>
                <w:spacing w:val="2"/>
              </w:rPr>
              <w:t xml:space="preserve"> </w:t>
            </w:r>
            <w:r>
              <w:rPr>
                <w:spacing w:val="-2"/>
              </w:rPr>
              <w:t>年限</w:t>
            </w:r>
          </w:p>
        </w:tc>
        <w:tc>
          <w:tcPr>
            <w:tcW w:w="2563" w:type="dxa"/>
            <w:gridSpan w:val="3"/>
            <w:vAlign w:val="top"/>
          </w:tcPr>
          <w:p w14:paraId="4357026B">
            <w:pPr>
              <w:pStyle w:val="11"/>
              <w:spacing w:before="105" w:line="221" w:lineRule="auto"/>
              <w:ind w:left="659"/>
            </w:pPr>
            <w:r>
              <w:rPr>
                <w:spacing w:val="-1"/>
              </w:rPr>
              <w:t>专业技术职称</w:t>
            </w:r>
          </w:p>
        </w:tc>
        <w:tc>
          <w:tcPr>
            <w:tcW w:w="3297" w:type="dxa"/>
            <w:gridSpan w:val="4"/>
            <w:vAlign w:val="top"/>
          </w:tcPr>
          <w:p w14:paraId="36A183E4">
            <w:pPr>
              <w:pStyle w:val="11"/>
              <w:spacing w:before="158" w:line="221" w:lineRule="auto"/>
              <w:ind w:left="707"/>
            </w:pPr>
            <w:r>
              <w:rPr>
                <w:spacing w:val="-1"/>
              </w:rPr>
              <w:t>执业或职业资格证明</w:t>
            </w:r>
          </w:p>
        </w:tc>
        <w:tc>
          <w:tcPr>
            <w:tcW w:w="1128" w:type="dxa"/>
            <w:vMerge w:val="restart"/>
            <w:tcBorders>
              <w:bottom w:val="nil"/>
            </w:tcBorders>
            <w:vAlign w:val="top"/>
          </w:tcPr>
          <w:p w14:paraId="22D513C9">
            <w:pPr>
              <w:spacing w:line="366" w:lineRule="auto"/>
              <w:rPr>
                <w:rFonts w:ascii="Arial"/>
                <w:sz w:val="21"/>
              </w:rPr>
            </w:pPr>
          </w:p>
          <w:p w14:paraId="058EFFF6">
            <w:pPr>
              <w:pStyle w:val="11"/>
              <w:spacing w:before="69" w:line="220" w:lineRule="auto"/>
              <w:ind w:left="153"/>
            </w:pPr>
            <w:r>
              <w:rPr>
                <w:spacing w:val="-1"/>
              </w:rPr>
              <w:t>社会保险</w:t>
            </w:r>
          </w:p>
        </w:tc>
        <w:tc>
          <w:tcPr>
            <w:tcW w:w="946" w:type="dxa"/>
            <w:vMerge w:val="restart"/>
            <w:tcBorders>
              <w:bottom w:val="nil"/>
            </w:tcBorders>
            <w:vAlign w:val="top"/>
          </w:tcPr>
          <w:p w14:paraId="1FCD6256">
            <w:pPr>
              <w:pStyle w:val="11"/>
              <w:spacing w:before="226" w:line="422" w:lineRule="exact"/>
              <w:ind w:left="161"/>
            </w:pPr>
            <w:r>
              <w:rPr>
                <w:spacing w:val="-2"/>
                <w:position w:val="16"/>
              </w:rPr>
              <w:t>执业或</w:t>
            </w:r>
          </w:p>
          <w:p w14:paraId="1B095A4A">
            <w:pPr>
              <w:pStyle w:val="11"/>
              <w:spacing w:line="221" w:lineRule="auto"/>
              <w:ind w:left="57"/>
            </w:pPr>
            <w:r>
              <w:rPr>
                <w:spacing w:val="-1"/>
              </w:rPr>
              <w:t>职业单位</w:t>
            </w:r>
          </w:p>
        </w:tc>
      </w:tr>
      <w:tr w14:paraId="2F4272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1" w:hRule="atLeast"/>
        </w:trPr>
        <w:tc>
          <w:tcPr>
            <w:tcW w:w="379" w:type="dxa"/>
            <w:vMerge w:val="continue"/>
            <w:tcBorders>
              <w:top w:val="nil"/>
            </w:tcBorders>
            <w:textDirection w:val="tbRlV"/>
            <w:vAlign w:val="top"/>
          </w:tcPr>
          <w:p w14:paraId="68579FEE">
            <w:pPr>
              <w:rPr>
                <w:rFonts w:ascii="Arial"/>
                <w:sz w:val="21"/>
              </w:rPr>
            </w:pPr>
          </w:p>
        </w:tc>
        <w:tc>
          <w:tcPr>
            <w:tcW w:w="1272" w:type="dxa"/>
            <w:vMerge w:val="continue"/>
            <w:tcBorders>
              <w:top w:val="nil"/>
            </w:tcBorders>
            <w:vAlign w:val="top"/>
          </w:tcPr>
          <w:p w14:paraId="14904499">
            <w:pPr>
              <w:rPr>
                <w:rFonts w:ascii="Arial"/>
                <w:sz w:val="21"/>
              </w:rPr>
            </w:pPr>
          </w:p>
        </w:tc>
        <w:tc>
          <w:tcPr>
            <w:tcW w:w="825" w:type="dxa"/>
            <w:vMerge w:val="continue"/>
            <w:tcBorders>
              <w:top w:val="nil"/>
            </w:tcBorders>
            <w:vAlign w:val="top"/>
          </w:tcPr>
          <w:p w14:paraId="66ECAC49">
            <w:pPr>
              <w:rPr>
                <w:rFonts w:ascii="Arial"/>
                <w:sz w:val="21"/>
              </w:rPr>
            </w:pPr>
          </w:p>
        </w:tc>
        <w:tc>
          <w:tcPr>
            <w:tcW w:w="533" w:type="dxa"/>
            <w:vMerge w:val="continue"/>
            <w:tcBorders>
              <w:top w:val="nil"/>
            </w:tcBorders>
            <w:vAlign w:val="top"/>
          </w:tcPr>
          <w:p w14:paraId="1BEA6399">
            <w:pPr>
              <w:rPr>
                <w:rFonts w:ascii="Arial"/>
                <w:sz w:val="21"/>
              </w:rPr>
            </w:pPr>
          </w:p>
        </w:tc>
        <w:tc>
          <w:tcPr>
            <w:tcW w:w="749" w:type="dxa"/>
            <w:vMerge w:val="continue"/>
            <w:tcBorders>
              <w:top w:val="nil"/>
            </w:tcBorders>
            <w:vAlign w:val="top"/>
          </w:tcPr>
          <w:p w14:paraId="46D9864A">
            <w:pPr>
              <w:rPr>
                <w:rFonts w:ascii="Arial"/>
                <w:sz w:val="21"/>
              </w:rPr>
            </w:pPr>
          </w:p>
        </w:tc>
        <w:tc>
          <w:tcPr>
            <w:tcW w:w="753" w:type="dxa"/>
            <w:vMerge w:val="continue"/>
            <w:tcBorders>
              <w:top w:val="nil"/>
            </w:tcBorders>
            <w:vAlign w:val="top"/>
          </w:tcPr>
          <w:p w14:paraId="410A0727">
            <w:pPr>
              <w:rPr>
                <w:rFonts w:ascii="Arial"/>
                <w:sz w:val="21"/>
              </w:rPr>
            </w:pPr>
          </w:p>
        </w:tc>
        <w:tc>
          <w:tcPr>
            <w:tcW w:w="965" w:type="dxa"/>
            <w:vMerge w:val="continue"/>
            <w:tcBorders>
              <w:top w:val="nil"/>
            </w:tcBorders>
            <w:vAlign w:val="top"/>
          </w:tcPr>
          <w:p w14:paraId="1D51EE2F">
            <w:pPr>
              <w:rPr>
                <w:rFonts w:ascii="Arial"/>
                <w:sz w:val="21"/>
              </w:rPr>
            </w:pPr>
          </w:p>
        </w:tc>
        <w:tc>
          <w:tcPr>
            <w:tcW w:w="1032" w:type="dxa"/>
            <w:vMerge w:val="continue"/>
            <w:tcBorders>
              <w:top w:val="nil"/>
            </w:tcBorders>
            <w:vAlign w:val="top"/>
          </w:tcPr>
          <w:p w14:paraId="3A4B2ABB">
            <w:pPr>
              <w:rPr>
                <w:rFonts w:ascii="Arial"/>
                <w:sz w:val="21"/>
              </w:rPr>
            </w:pPr>
          </w:p>
        </w:tc>
        <w:tc>
          <w:tcPr>
            <w:tcW w:w="855" w:type="dxa"/>
            <w:vAlign w:val="top"/>
          </w:tcPr>
          <w:p w14:paraId="27E0A04F">
            <w:pPr>
              <w:pStyle w:val="11"/>
              <w:spacing w:before="164" w:line="221" w:lineRule="auto"/>
              <w:ind w:left="224"/>
            </w:pPr>
            <w:r>
              <w:rPr>
                <w:spacing w:val="-3"/>
              </w:rPr>
              <w:t>级别</w:t>
            </w:r>
          </w:p>
        </w:tc>
        <w:tc>
          <w:tcPr>
            <w:tcW w:w="854" w:type="dxa"/>
            <w:vAlign w:val="top"/>
          </w:tcPr>
          <w:p w14:paraId="59C3317D">
            <w:pPr>
              <w:pStyle w:val="11"/>
              <w:spacing w:before="164" w:line="221" w:lineRule="auto"/>
              <w:ind w:right="1"/>
              <w:jc w:val="right"/>
            </w:pPr>
            <w:r>
              <w:rPr>
                <w:spacing w:val="-1"/>
              </w:rPr>
              <w:t>职称专业</w:t>
            </w:r>
          </w:p>
        </w:tc>
        <w:tc>
          <w:tcPr>
            <w:tcW w:w="854" w:type="dxa"/>
            <w:vAlign w:val="top"/>
          </w:tcPr>
          <w:p w14:paraId="3F5BE4F7">
            <w:pPr>
              <w:pStyle w:val="11"/>
              <w:spacing w:before="29" w:line="225" w:lineRule="auto"/>
              <w:ind w:left="221" w:right="1" w:hanging="210"/>
            </w:pPr>
            <w:r>
              <w:rPr>
                <w:spacing w:val="-2"/>
              </w:rPr>
              <w:t>职称专业</w:t>
            </w:r>
            <w:r>
              <w:rPr>
                <w:spacing w:val="2"/>
              </w:rPr>
              <w:t xml:space="preserve"> </w:t>
            </w:r>
            <w:r>
              <w:rPr>
                <w:spacing w:val="-2"/>
              </w:rPr>
              <w:t>类别</w:t>
            </w:r>
          </w:p>
        </w:tc>
        <w:tc>
          <w:tcPr>
            <w:tcW w:w="849" w:type="dxa"/>
            <w:vAlign w:val="top"/>
          </w:tcPr>
          <w:p w14:paraId="5FB9169C">
            <w:pPr>
              <w:pStyle w:val="11"/>
              <w:spacing w:before="163" w:line="220" w:lineRule="auto"/>
              <w:jc w:val="right"/>
            </w:pPr>
            <w:r>
              <w:rPr>
                <w:spacing w:val="-2"/>
              </w:rPr>
              <w:t>证书名称</w:t>
            </w:r>
          </w:p>
        </w:tc>
        <w:tc>
          <w:tcPr>
            <w:tcW w:w="850" w:type="dxa"/>
            <w:vAlign w:val="top"/>
          </w:tcPr>
          <w:p w14:paraId="335A6EF6">
            <w:pPr>
              <w:pStyle w:val="11"/>
              <w:spacing w:before="164" w:line="221" w:lineRule="auto"/>
              <w:ind w:left="226"/>
            </w:pPr>
            <w:r>
              <w:rPr>
                <w:spacing w:val="-3"/>
              </w:rPr>
              <w:t>级别</w:t>
            </w:r>
          </w:p>
        </w:tc>
        <w:tc>
          <w:tcPr>
            <w:tcW w:w="854" w:type="dxa"/>
            <w:vAlign w:val="top"/>
          </w:tcPr>
          <w:p w14:paraId="5963EFE1">
            <w:pPr>
              <w:pStyle w:val="11"/>
              <w:spacing w:before="163" w:line="222" w:lineRule="auto"/>
              <w:ind w:left="223"/>
            </w:pPr>
            <w:r>
              <w:rPr>
                <w:spacing w:val="-2"/>
              </w:rPr>
              <w:t>证号</w:t>
            </w:r>
          </w:p>
        </w:tc>
        <w:tc>
          <w:tcPr>
            <w:tcW w:w="744" w:type="dxa"/>
            <w:vAlign w:val="top"/>
          </w:tcPr>
          <w:p w14:paraId="3F3EFD5D">
            <w:pPr>
              <w:pStyle w:val="11"/>
              <w:spacing w:before="164" w:line="221" w:lineRule="auto"/>
              <w:ind w:left="167"/>
            </w:pPr>
            <w:r>
              <w:rPr>
                <w:spacing w:val="-2"/>
              </w:rPr>
              <w:t>专业</w:t>
            </w:r>
          </w:p>
        </w:tc>
        <w:tc>
          <w:tcPr>
            <w:tcW w:w="1128" w:type="dxa"/>
            <w:vMerge w:val="continue"/>
            <w:tcBorders>
              <w:top w:val="nil"/>
            </w:tcBorders>
            <w:vAlign w:val="top"/>
          </w:tcPr>
          <w:p w14:paraId="5DF03513">
            <w:pPr>
              <w:rPr>
                <w:rFonts w:ascii="Arial"/>
                <w:sz w:val="21"/>
              </w:rPr>
            </w:pPr>
          </w:p>
        </w:tc>
        <w:tc>
          <w:tcPr>
            <w:tcW w:w="946" w:type="dxa"/>
            <w:vMerge w:val="continue"/>
            <w:tcBorders>
              <w:top w:val="nil"/>
            </w:tcBorders>
            <w:vAlign w:val="top"/>
          </w:tcPr>
          <w:p w14:paraId="1A85FBDC">
            <w:pPr>
              <w:rPr>
                <w:rFonts w:ascii="Arial"/>
                <w:sz w:val="21"/>
              </w:rPr>
            </w:pPr>
          </w:p>
        </w:tc>
      </w:tr>
      <w:tr w14:paraId="5344AE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6" w:hRule="atLeast"/>
        </w:trPr>
        <w:tc>
          <w:tcPr>
            <w:tcW w:w="379" w:type="dxa"/>
            <w:vAlign w:val="top"/>
          </w:tcPr>
          <w:p w14:paraId="09C0DC0C">
            <w:pPr>
              <w:spacing w:before="154" w:line="189" w:lineRule="auto"/>
              <w:ind w:left="158"/>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1272" w:type="dxa"/>
            <w:vAlign w:val="top"/>
          </w:tcPr>
          <w:p w14:paraId="27E7A0C2">
            <w:pPr>
              <w:rPr>
                <w:rFonts w:ascii="Arial"/>
                <w:sz w:val="21"/>
              </w:rPr>
            </w:pPr>
          </w:p>
        </w:tc>
        <w:tc>
          <w:tcPr>
            <w:tcW w:w="825" w:type="dxa"/>
            <w:vAlign w:val="top"/>
          </w:tcPr>
          <w:p w14:paraId="078DD0C9">
            <w:pPr>
              <w:rPr>
                <w:rFonts w:ascii="Arial"/>
                <w:sz w:val="21"/>
              </w:rPr>
            </w:pPr>
          </w:p>
        </w:tc>
        <w:tc>
          <w:tcPr>
            <w:tcW w:w="533" w:type="dxa"/>
            <w:vAlign w:val="top"/>
          </w:tcPr>
          <w:p w14:paraId="10443D8E">
            <w:pPr>
              <w:rPr>
                <w:rFonts w:ascii="Arial"/>
                <w:sz w:val="21"/>
              </w:rPr>
            </w:pPr>
          </w:p>
        </w:tc>
        <w:tc>
          <w:tcPr>
            <w:tcW w:w="749" w:type="dxa"/>
            <w:vAlign w:val="top"/>
          </w:tcPr>
          <w:p w14:paraId="547D219E">
            <w:pPr>
              <w:rPr>
                <w:rFonts w:ascii="Arial"/>
                <w:sz w:val="21"/>
              </w:rPr>
            </w:pPr>
          </w:p>
        </w:tc>
        <w:tc>
          <w:tcPr>
            <w:tcW w:w="753" w:type="dxa"/>
            <w:vAlign w:val="top"/>
          </w:tcPr>
          <w:p w14:paraId="7AE1CF31">
            <w:pPr>
              <w:rPr>
                <w:rFonts w:ascii="Arial"/>
                <w:sz w:val="21"/>
              </w:rPr>
            </w:pPr>
          </w:p>
        </w:tc>
        <w:tc>
          <w:tcPr>
            <w:tcW w:w="965" w:type="dxa"/>
            <w:vAlign w:val="top"/>
          </w:tcPr>
          <w:p w14:paraId="1F70A666">
            <w:pPr>
              <w:rPr>
                <w:rFonts w:ascii="Arial"/>
                <w:sz w:val="21"/>
              </w:rPr>
            </w:pPr>
          </w:p>
        </w:tc>
        <w:tc>
          <w:tcPr>
            <w:tcW w:w="1032" w:type="dxa"/>
            <w:vAlign w:val="top"/>
          </w:tcPr>
          <w:p w14:paraId="7AD1DDE8">
            <w:pPr>
              <w:rPr>
                <w:rFonts w:ascii="Arial"/>
                <w:sz w:val="21"/>
              </w:rPr>
            </w:pPr>
          </w:p>
        </w:tc>
        <w:tc>
          <w:tcPr>
            <w:tcW w:w="855" w:type="dxa"/>
            <w:vAlign w:val="top"/>
          </w:tcPr>
          <w:p w14:paraId="72117C0E">
            <w:pPr>
              <w:rPr>
                <w:rFonts w:ascii="Arial"/>
                <w:sz w:val="21"/>
              </w:rPr>
            </w:pPr>
          </w:p>
        </w:tc>
        <w:tc>
          <w:tcPr>
            <w:tcW w:w="854" w:type="dxa"/>
            <w:vAlign w:val="top"/>
          </w:tcPr>
          <w:p w14:paraId="1CEDB22E">
            <w:pPr>
              <w:rPr>
                <w:rFonts w:ascii="Arial"/>
                <w:sz w:val="21"/>
              </w:rPr>
            </w:pPr>
          </w:p>
        </w:tc>
        <w:tc>
          <w:tcPr>
            <w:tcW w:w="854" w:type="dxa"/>
            <w:vAlign w:val="top"/>
          </w:tcPr>
          <w:p w14:paraId="5987B00A">
            <w:pPr>
              <w:rPr>
                <w:rFonts w:ascii="Arial"/>
                <w:sz w:val="21"/>
              </w:rPr>
            </w:pPr>
          </w:p>
        </w:tc>
        <w:tc>
          <w:tcPr>
            <w:tcW w:w="849" w:type="dxa"/>
            <w:vAlign w:val="top"/>
          </w:tcPr>
          <w:p w14:paraId="73DDD670">
            <w:pPr>
              <w:rPr>
                <w:rFonts w:ascii="Arial"/>
                <w:sz w:val="21"/>
              </w:rPr>
            </w:pPr>
          </w:p>
        </w:tc>
        <w:tc>
          <w:tcPr>
            <w:tcW w:w="850" w:type="dxa"/>
            <w:vAlign w:val="top"/>
          </w:tcPr>
          <w:p w14:paraId="7E128EC9">
            <w:pPr>
              <w:rPr>
                <w:rFonts w:ascii="Arial"/>
                <w:sz w:val="21"/>
              </w:rPr>
            </w:pPr>
          </w:p>
        </w:tc>
        <w:tc>
          <w:tcPr>
            <w:tcW w:w="854" w:type="dxa"/>
            <w:vAlign w:val="top"/>
          </w:tcPr>
          <w:p w14:paraId="0789BC19">
            <w:pPr>
              <w:rPr>
                <w:rFonts w:ascii="Arial"/>
                <w:sz w:val="21"/>
              </w:rPr>
            </w:pPr>
          </w:p>
        </w:tc>
        <w:tc>
          <w:tcPr>
            <w:tcW w:w="744" w:type="dxa"/>
            <w:vAlign w:val="top"/>
          </w:tcPr>
          <w:p w14:paraId="7C9B0A1A">
            <w:pPr>
              <w:rPr>
                <w:rFonts w:ascii="Arial"/>
                <w:sz w:val="21"/>
              </w:rPr>
            </w:pPr>
          </w:p>
        </w:tc>
        <w:tc>
          <w:tcPr>
            <w:tcW w:w="1128" w:type="dxa"/>
            <w:vAlign w:val="top"/>
          </w:tcPr>
          <w:p w14:paraId="05C3987C">
            <w:pPr>
              <w:rPr>
                <w:rFonts w:ascii="Arial"/>
                <w:sz w:val="21"/>
              </w:rPr>
            </w:pPr>
          </w:p>
        </w:tc>
        <w:tc>
          <w:tcPr>
            <w:tcW w:w="946" w:type="dxa"/>
            <w:vAlign w:val="top"/>
          </w:tcPr>
          <w:p w14:paraId="66FB8FC5">
            <w:pPr>
              <w:rPr>
                <w:rFonts w:ascii="Arial"/>
                <w:sz w:val="21"/>
              </w:rPr>
            </w:pPr>
          </w:p>
        </w:tc>
      </w:tr>
      <w:tr w14:paraId="0B1AD8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1" w:hRule="atLeast"/>
        </w:trPr>
        <w:tc>
          <w:tcPr>
            <w:tcW w:w="379" w:type="dxa"/>
            <w:vAlign w:val="top"/>
          </w:tcPr>
          <w:p w14:paraId="5950A0BF">
            <w:pPr>
              <w:spacing w:before="154" w:line="189" w:lineRule="auto"/>
              <w:ind w:left="138"/>
              <w:rPr>
                <w:rFonts w:ascii="Times New Roman" w:hAnsi="Times New Roman" w:eastAsia="Times New Roman" w:cs="Times New Roman"/>
                <w:sz w:val="21"/>
                <w:szCs w:val="21"/>
              </w:rPr>
            </w:pPr>
            <w:r>
              <w:rPr>
                <w:rFonts w:ascii="Times New Roman" w:hAnsi="Times New Roman" w:eastAsia="Times New Roman" w:cs="Times New Roman"/>
                <w:sz w:val="21"/>
                <w:szCs w:val="21"/>
              </w:rPr>
              <w:t>2</w:t>
            </w:r>
          </w:p>
        </w:tc>
        <w:tc>
          <w:tcPr>
            <w:tcW w:w="1272" w:type="dxa"/>
            <w:vAlign w:val="top"/>
          </w:tcPr>
          <w:p w14:paraId="68B4870A">
            <w:pPr>
              <w:rPr>
                <w:rFonts w:ascii="Arial"/>
                <w:sz w:val="21"/>
              </w:rPr>
            </w:pPr>
          </w:p>
        </w:tc>
        <w:tc>
          <w:tcPr>
            <w:tcW w:w="825" w:type="dxa"/>
            <w:vAlign w:val="top"/>
          </w:tcPr>
          <w:p w14:paraId="02174DCB">
            <w:pPr>
              <w:rPr>
                <w:rFonts w:ascii="Arial"/>
                <w:sz w:val="21"/>
              </w:rPr>
            </w:pPr>
          </w:p>
        </w:tc>
        <w:tc>
          <w:tcPr>
            <w:tcW w:w="533" w:type="dxa"/>
            <w:vAlign w:val="top"/>
          </w:tcPr>
          <w:p w14:paraId="71C80CF3">
            <w:pPr>
              <w:rPr>
                <w:rFonts w:ascii="Arial"/>
                <w:sz w:val="21"/>
              </w:rPr>
            </w:pPr>
          </w:p>
        </w:tc>
        <w:tc>
          <w:tcPr>
            <w:tcW w:w="749" w:type="dxa"/>
            <w:vAlign w:val="top"/>
          </w:tcPr>
          <w:p w14:paraId="2743FC4A">
            <w:pPr>
              <w:rPr>
                <w:rFonts w:ascii="Arial"/>
                <w:sz w:val="21"/>
              </w:rPr>
            </w:pPr>
          </w:p>
        </w:tc>
        <w:tc>
          <w:tcPr>
            <w:tcW w:w="753" w:type="dxa"/>
            <w:vAlign w:val="top"/>
          </w:tcPr>
          <w:p w14:paraId="3580EBAA">
            <w:pPr>
              <w:rPr>
                <w:rFonts w:ascii="Arial"/>
                <w:sz w:val="21"/>
              </w:rPr>
            </w:pPr>
          </w:p>
        </w:tc>
        <w:tc>
          <w:tcPr>
            <w:tcW w:w="965" w:type="dxa"/>
            <w:vAlign w:val="top"/>
          </w:tcPr>
          <w:p w14:paraId="3D6BAAF9">
            <w:pPr>
              <w:rPr>
                <w:rFonts w:ascii="Arial"/>
                <w:sz w:val="21"/>
              </w:rPr>
            </w:pPr>
          </w:p>
        </w:tc>
        <w:tc>
          <w:tcPr>
            <w:tcW w:w="1032" w:type="dxa"/>
            <w:vAlign w:val="top"/>
          </w:tcPr>
          <w:p w14:paraId="2C07A154">
            <w:pPr>
              <w:rPr>
                <w:rFonts w:ascii="Arial"/>
                <w:sz w:val="21"/>
              </w:rPr>
            </w:pPr>
          </w:p>
        </w:tc>
        <w:tc>
          <w:tcPr>
            <w:tcW w:w="855" w:type="dxa"/>
            <w:vAlign w:val="top"/>
          </w:tcPr>
          <w:p w14:paraId="2E3AB064">
            <w:pPr>
              <w:rPr>
                <w:rFonts w:ascii="Arial"/>
                <w:sz w:val="21"/>
              </w:rPr>
            </w:pPr>
          </w:p>
        </w:tc>
        <w:tc>
          <w:tcPr>
            <w:tcW w:w="854" w:type="dxa"/>
            <w:vAlign w:val="top"/>
          </w:tcPr>
          <w:p w14:paraId="7C26BC35">
            <w:pPr>
              <w:rPr>
                <w:rFonts w:ascii="Arial"/>
                <w:sz w:val="21"/>
              </w:rPr>
            </w:pPr>
          </w:p>
        </w:tc>
        <w:tc>
          <w:tcPr>
            <w:tcW w:w="854" w:type="dxa"/>
            <w:vAlign w:val="top"/>
          </w:tcPr>
          <w:p w14:paraId="0B03EAA6">
            <w:pPr>
              <w:rPr>
                <w:rFonts w:ascii="Arial"/>
                <w:sz w:val="21"/>
              </w:rPr>
            </w:pPr>
          </w:p>
        </w:tc>
        <w:tc>
          <w:tcPr>
            <w:tcW w:w="849" w:type="dxa"/>
            <w:vAlign w:val="top"/>
          </w:tcPr>
          <w:p w14:paraId="0349625A">
            <w:pPr>
              <w:rPr>
                <w:rFonts w:ascii="Arial"/>
                <w:sz w:val="21"/>
              </w:rPr>
            </w:pPr>
          </w:p>
        </w:tc>
        <w:tc>
          <w:tcPr>
            <w:tcW w:w="850" w:type="dxa"/>
            <w:vAlign w:val="top"/>
          </w:tcPr>
          <w:p w14:paraId="6DEE8F41">
            <w:pPr>
              <w:rPr>
                <w:rFonts w:ascii="Arial"/>
                <w:sz w:val="21"/>
              </w:rPr>
            </w:pPr>
          </w:p>
        </w:tc>
        <w:tc>
          <w:tcPr>
            <w:tcW w:w="854" w:type="dxa"/>
            <w:vAlign w:val="top"/>
          </w:tcPr>
          <w:p w14:paraId="4290336D">
            <w:pPr>
              <w:rPr>
                <w:rFonts w:ascii="Arial"/>
                <w:sz w:val="21"/>
              </w:rPr>
            </w:pPr>
          </w:p>
        </w:tc>
        <w:tc>
          <w:tcPr>
            <w:tcW w:w="744" w:type="dxa"/>
            <w:vAlign w:val="top"/>
          </w:tcPr>
          <w:p w14:paraId="130B89D1">
            <w:pPr>
              <w:rPr>
                <w:rFonts w:ascii="Arial"/>
                <w:sz w:val="21"/>
              </w:rPr>
            </w:pPr>
          </w:p>
        </w:tc>
        <w:tc>
          <w:tcPr>
            <w:tcW w:w="1128" w:type="dxa"/>
            <w:vAlign w:val="top"/>
          </w:tcPr>
          <w:p w14:paraId="220E3F8E">
            <w:pPr>
              <w:rPr>
                <w:rFonts w:ascii="Arial"/>
                <w:sz w:val="21"/>
              </w:rPr>
            </w:pPr>
          </w:p>
        </w:tc>
        <w:tc>
          <w:tcPr>
            <w:tcW w:w="946" w:type="dxa"/>
            <w:vAlign w:val="top"/>
          </w:tcPr>
          <w:p w14:paraId="1DD3379E">
            <w:pPr>
              <w:rPr>
                <w:rFonts w:ascii="Arial"/>
                <w:sz w:val="21"/>
              </w:rPr>
            </w:pPr>
          </w:p>
        </w:tc>
      </w:tr>
      <w:tr w14:paraId="60DC5D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6" w:hRule="atLeast"/>
        </w:trPr>
        <w:tc>
          <w:tcPr>
            <w:tcW w:w="379" w:type="dxa"/>
            <w:vAlign w:val="top"/>
          </w:tcPr>
          <w:p w14:paraId="2ADA8434">
            <w:pPr>
              <w:spacing w:before="154" w:line="189" w:lineRule="auto"/>
              <w:ind w:left="142"/>
              <w:rPr>
                <w:rFonts w:ascii="Times New Roman" w:hAnsi="Times New Roman" w:eastAsia="Times New Roman" w:cs="Times New Roman"/>
                <w:sz w:val="21"/>
                <w:szCs w:val="21"/>
              </w:rPr>
            </w:pPr>
            <w:r>
              <w:rPr>
                <w:rFonts w:ascii="Times New Roman" w:hAnsi="Times New Roman" w:eastAsia="Times New Roman" w:cs="Times New Roman"/>
                <w:sz w:val="21"/>
                <w:szCs w:val="21"/>
              </w:rPr>
              <w:t>3</w:t>
            </w:r>
          </w:p>
        </w:tc>
        <w:tc>
          <w:tcPr>
            <w:tcW w:w="1272" w:type="dxa"/>
            <w:vAlign w:val="top"/>
          </w:tcPr>
          <w:p w14:paraId="763BAB01">
            <w:pPr>
              <w:rPr>
                <w:rFonts w:ascii="Arial"/>
                <w:sz w:val="21"/>
              </w:rPr>
            </w:pPr>
          </w:p>
        </w:tc>
        <w:tc>
          <w:tcPr>
            <w:tcW w:w="825" w:type="dxa"/>
            <w:vAlign w:val="top"/>
          </w:tcPr>
          <w:p w14:paraId="0752C18D">
            <w:pPr>
              <w:rPr>
                <w:rFonts w:ascii="Arial"/>
                <w:sz w:val="21"/>
              </w:rPr>
            </w:pPr>
          </w:p>
        </w:tc>
        <w:tc>
          <w:tcPr>
            <w:tcW w:w="533" w:type="dxa"/>
            <w:vAlign w:val="top"/>
          </w:tcPr>
          <w:p w14:paraId="5FB7737A">
            <w:pPr>
              <w:rPr>
                <w:rFonts w:ascii="Arial"/>
                <w:sz w:val="21"/>
              </w:rPr>
            </w:pPr>
          </w:p>
        </w:tc>
        <w:tc>
          <w:tcPr>
            <w:tcW w:w="749" w:type="dxa"/>
            <w:vAlign w:val="top"/>
          </w:tcPr>
          <w:p w14:paraId="5983217B">
            <w:pPr>
              <w:rPr>
                <w:rFonts w:ascii="Arial"/>
                <w:sz w:val="21"/>
              </w:rPr>
            </w:pPr>
          </w:p>
        </w:tc>
        <w:tc>
          <w:tcPr>
            <w:tcW w:w="753" w:type="dxa"/>
            <w:vAlign w:val="top"/>
          </w:tcPr>
          <w:p w14:paraId="3B6255C8">
            <w:pPr>
              <w:rPr>
                <w:rFonts w:ascii="Arial"/>
                <w:sz w:val="21"/>
              </w:rPr>
            </w:pPr>
          </w:p>
        </w:tc>
        <w:tc>
          <w:tcPr>
            <w:tcW w:w="965" w:type="dxa"/>
            <w:vAlign w:val="top"/>
          </w:tcPr>
          <w:p w14:paraId="4B940A59">
            <w:pPr>
              <w:rPr>
                <w:rFonts w:ascii="Arial"/>
                <w:sz w:val="21"/>
              </w:rPr>
            </w:pPr>
          </w:p>
        </w:tc>
        <w:tc>
          <w:tcPr>
            <w:tcW w:w="1032" w:type="dxa"/>
            <w:vAlign w:val="top"/>
          </w:tcPr>
          <w:p w14:paraId="4BC19E97">
            <w:pPr>
              <w:rPr>
                <w:rFonts w:ascii="Arial"/>
                <w:sz w:val="21"/>
              </w:rPr>
            </w:pPr>
          </w:p>
        </w:tc>
        <w:tc>
          <w:tcPr>
            <w:tcW w:w="855" w:type="dxa"/>
            <w:vAlign w:val="top"/>
          </w:tcPr>
          <w:p w14:paraId="21DCA961">
            <w:pPr>
              <w:rPr>
                <w:rFonts w:ascii="Arial"/>
                <w:sz w:val="21"/>
              </w:rPr>
            </w:pPr>
          </w:p>
        </w:tc>
        <w:tc>
          <w:tcPr>
            <w:tcW w:w="854" w:type="dxa"/>
            <w:vAlign w:val="top"/>
          </w:tcPr>
          <w:p w14:paraId="0EFC3865">
            <w:pPr>
              <w:rPr>
                <w:rFonts w:ascii="Arial"/>
                <w:sz w:val="21"/>
              </w:rPr>
            </w:pPr>
          </w:p>
        </w:tc>
        <w:tc>
          <w:tcPr>
            <w:tcW w:w="854" w:type="dxa"/>
            <w:vAlign w:val="top"/>
          </w:tcPr>
          <w:p w14:paraId="7992CAC2">
            <w:pPr>
              <w:rPr>
                <w:rFonts w:ascii="Arial"/>
                <w:sz w:val="21"/>
              </w:rPr>
            </w:pPr>
          </w:p>
        </w:tc>
        <w:tc>
          <w:tcPr>
            <w:tcW w:w="849" w:type="dxa"/>
            <w:vAlign w:val="top"/>
          </w:tcPr>
          <w:p w14:paraId="0F2B63F1">
            <w:pPr>
              <w:rPr>
                <w:rFonts w:ascii="Arial"/>
                <w:sz w:val="21"/>
              </w:rPr>
            </w:pPr>
          </w:p>
        </w:tc>
        <w:tc>
          <w:tcPr>
            <w:tcW w:w="850" w:type="dxa"/>
            <w:vAlign w:val="top"/>
          </w:tcPr>
          <w:p w14:paraId="5BFEFEA6">
            <w:pPr>
              <w:rPr>
                <w:rFonts w:ascii="Arial"/>
                <w:sz w:val="21"/>
              </w:rPr>
            </w:pPr>
          </w:p>
        </w:tc>
        <w:tc>
          <w:tcPr>
            <w:tcW w:w="854" w:type="dxa"/>
            <w:vAlign w:val="top"/>
          </w:tcPr>
          <w:p w14:paraId="0E7865CE">
            <w:pPr>
              <w:rPr>
                <w:rFonts w:ascii="Arial"/>
                <w:sz w:val="21"/>
              </w:rPr>
            </w:pPr>
          </w:p>
        </w:tc>
        <w:tc>
          <w:tcPr>
            <w:tcW w:w="744" w:type="dxa"/>
            <w:vAlign w:val="top"/>
          </w:tcPr>
          <w:p w14:paraId="2BA6C591">
            <w:pPr>
              <w:rPr>
                <w:rFonts w:ascii="Arial"/>
                <w:sz w:val="21"/>
              </w:rPr>
            </w:pPr>
          </w:p>
        </w:tc>
        <w:tc>
          <w:tcPr>
            <w:tcW w:w="1128" w:type="dxa"/>
            <w:vAlign w:val="top"/>
          </w:tcPr>
          <w:p w14:paraId="37ED3C0D">
            <w:pPr>
              <w:rPr>
                <w:rFonts w:ascii="Arial"/>
                <w:sz w:val="21"/>
              </w:rPr>
            </w:pPr>
          </w:p>
        </w:tc>
        <w:tc>
          <w:tcPr>
            <w:tcW w:w="946" w:type="dxa"/>
            <w:vAlign w:val="top"/>
          </w:tcPr>
          <w:p w14:paraId="629BB3FD">
            <w:pPr>
              <w:rPr>
                <w:rFonts w:ascii="Arial"/>
                <w:sz w:val="21"/>
              </w:rPr>
            </w:pPr>
          </w:p>
        </w:tc>
      </w:tr>
      <w:tr w14:paraId="3AD687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1" w:hRule="atLeast"/>
        </w:trPr>
        <w:tc>
          <w:tcPr>
            <w:tcW w:w="379" w:type="dxa"/>
            <w:vAlign w:val="top"/>
          </w:tcPr>
          <w:p w14:paraId="3237BE38">
            <w:pPr>
              <w:spacing w:before="159" w:line="189" w:lineRule="auto"/>
              <w:ind w:left="137"/>
              <w:rPr>
                <w:rFonts w:ascii="Times New Roman" w:hAnsi="Times New Roman" w:eastAsia="Times New Roman" w:cs="Times New Roman"/>
                <w:sz w:val="21"/>
                <w:szCs w:val="21"/>
              </w:rPr>
            </w:pPr>
            <w:r>
              <w:rPr>
                <w:rFonts w:ascii="Times New Roman" w:hAnsi="Times New Roman" w:eastAsia="Times New Roman" w:cs="Times New Roman"/>
                <w:sz w:val="21"/>
                <w:szCs w:val="21"/>
              </w:rPr>
              <w:t>4</w:t>
            </w:r>
          </w:p>
        </w:tc>
        <w:tc>
          <w:tcPr>
            <w:tcW w:w="1272" w:type="dxa"/>
            <w:vAlign w:val="top"/>
          </w:tcPr>
          <w:p w14:paraId="70AEC085">
            <w:pPr>
              <w:rPr>
                <w:rFonts w:ascii="Arial"/>
                <w:sz w:val="21"/>
              </w:rPr>
            </w:pPr>
          </w:p>
        </w:tc>
        <w:tc>
          <w:tcPr>
            <w:tcW w:w="825" w:type="dxa"/>
            <w:vAlign w:val="top"/>
          </w:tcPr>
          <w:p w14:paraId="74DFE489">
            <w:pPr>
              <w:rPr>
                <w:rFonts w:ascii="Arial"/>
                <w:sz w:val="21"/>
              </w:rPr>
            </w:pPr>
          </w:p>
        </w:tc>
        <w:tc>
          <w:tcPr>
            <w:tcW w:w="533" w:type="dxa"/>
            <w:vAlign w:val="top"/>
          </w:tcPr>
          <w:p w14:paraId="427979FD">
            <w:pPr>
              <w:rPr>
                <w:rFonts w:ascii="Arial"/>
                <w:sz w:val="21"/>
              </w:rPr>
            </w:pPr>
          </w:p>
        </w:tc>
        <w:tc>
          <w:tcPr>
            <w:tcW w:w="749" w:type="dxa"/>
            <w:vAlign w:val="top"/>
          </w:tcPr>
          <w:p w14:paraId="50BE6E20">
            <w:pPr>
              <w:rPr>
                <w:rFonts w:ascii="Arial"/>
                <w:sz w:val="21"/>
              </w:rPr>
            </w:pPr>
          </w:p>
        </w:tc>
        <w:tc>
          <w:tcPr>
            <w:tcW w:w="753" w:type="dxa"/>
            <w:vAlign w:val="top"/>
          </w:tcPr>
          <w:p w14:paraId="53E4E584">
            <w:pPr>
              <w:rPr>
                <w:rFonts w:ascii="Arial"/>
                <w:sz w:val="21"/>
              </w:rPr>
            </w:pPr>
          </w:p>
        </w:tc>
        <w:tc>
          <w:tcPr>
            <w:tcW w:w="965" w:type="dxa"/>
            <w:vAlign w:val="top"/>
          </w:tcPr>
          <w:p w14:paraId="3C6E35EE">
            <w:pPr>
              <w:rPr>
                <w:rFonts w:ascii="Arial"/>
                <w:sz w:val="21"/>
              </w:rPr>
            </w:pPr>
          </w:p>
        </w:tc>
        <w:tc>
          <w:tcPr>
            <w:tcW w:w="1032" w:type="dxa"/>
            <w:vAlign w:val="top"/>
          </w:tcPr>
          <w:p w14:paraId="46FA7A6D">
            <w:pPr>
              <w:rPr>
                <w:rFonts w:ascii="Arial"/>
                <w:sz w:val="21"/>
              </w:rPr>
            </w:pPr>
          </w:p>
        </w:tc>
        <w:tc>
          <w:tcPr>
            <w:tcW w:w="855" w:type="dxa"/>
            <w:vAlign w:val="top"/>
          </w:tcPr>
          <w:p w14:paraId="08833267">
            <w:pPr>
              <w:rPr>
                <w:rFonts w:ascii="Arial"/>
                <w:sz w:val="21"/>
              </w:rPr>
            </w:pPr>
          </w:p>
        </w:tc>
        <w:tc>
          <w:tcPr>
            <w:tcW w:w="854" w:type="dxa"/>
            <w:vAlign w:val="top"/>
          </w:tcPr>
          <w:p w14:paraId="771DEA27">
            <w:pPr>
              <w:rPr>
                <w:rFonts w:ascii="Arial"/>
                <w:sz w:val="21"/>
              </w:rPr>
            </w:pPr>
          </w:p>
        </w:tc>
        <w:tc>
          <w:tcPr>
            <w:tcW w:w="854" w:type="dxa"/>
            <w:vAlign w:val="top"/>
          </w:tcPr>
          <w:p w14:paraId="5CF7F41C">
            <w:pPr>
              <w:rPr>
                <w:rFonts w:ascii="Arial"/>
                <w:sz w:val="21"/>
              </w:rPr>
            </w:pPr>
          </w:p>
        </w:tc>
        <w:tc>
          <w:tcPr>
            <w:tcW w:w="849" w:type="dxa"/>
            <w:vAlign w:val="top"/>
          </w:tcPr>
          <w:p w14:paraId="33DE0482">
            <w:pPr>
              <w:rPr>
                <w:rFonts w:ascii="Arial"/>
                <w:sz w:val="21"/>
              </w:rPr>
            </w:pPr>
          </w:p>
        </w:tc>
        <w:tc>
          <w:tcPr>
            <w:tcW w:w="850" w:type="dxa"/>
            <w:vAlign w:val="top"/>
          </w:tcPr>
          <w:p w14:paraId="707E4404">
            <w:pPr>
              <w:rPr>
                <w:rFonts w:ascii="Arial"/>
                <w:sz w:val="21"/>
              </w:rPr>
            </w:pPr>
          </w:p>
        </w:tc>
        <w:tc>
          <w:tcPr>
            <w:tcW w:w="854" w:type="dxa"/>
            <w:vAlign w:val="top"/>
          </w:tcPr>
          <w:p w14:paraId="5EBA60C0">
            <w:pPr>
              <w:rPr>
                <w:rFonts w:ascii="Arial"/>
                <w:sz w:val="21"/>
              </w:rPr>
            </w:pPr>
          </w:p>
        </w:tc>
        <w:tc>
          <w:tcPr>
            <w:tcW w:w="744" w:type="dxa"/>
            <w:vAlign w:val="top"/>
          </w:tcPr>
          <w:p w14:paraId="11802624">
            <w:pPr>
              <w:rPr>
                <w:rFonts w:ascii="Arial"/>
                <w:sz w:val="21"/>
              </w:rPr>
            </w:pPr>
          </w:p>
        </w:tc>
        <w:tc>
          <w:tcPr>
            <w:tcW w:w="1128" w:type="dxa"/>
            <w:vAlign w:val="top"/>
          </w:tcPr>
          <w:p w14:paraId="7978A082">
            <w:pPr>
              <w:rPr>
                <w:rFonts w:ascii="Arial"/>
                <w:sz w:val="21"/>
              </w:rPr>
            </w:pPr>
          </w:p>
        </w:tc>
        <w:tc>
          <w:tcPr>
            <w:tcW w:w="946" w:type="dxa"/>
            <w:vAlign w:val="top"/>
          </w:tcPr>
          <w:p w14:paraId="77F83635">
            <w:pPr>
              <w:rPr>
                <w:rFonts w:ascii="Arial"/>
                <w:sz w:val="21"/>
              </w:rPr>
            </w:pPr>
          </w:p>
        </w:tc>
      </w:tr>
      <w:tr w14:paraId="3B901C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1" w:hRule="atLeast"/>
        </w:trPr>
        <w:tc>
          <w:tcPr>
            <w:tcW w:w="379" w:type="dxa"/>
            <w:vAlign w:val="top"/>
          </w:tcPr>
          <w:p w14:paraId="05B4842F">
            <w:pPr>
              <w:spacing w:before="157" w:line="186" w:lineRule="auto"/>
              <w:ind w:left="144"/>
              <w:rPr>
                <w:rFonts w:ascii="Times New Roman" w:hAnsi="Times New Roman" w:eastAsia="Times New Roman" w:cs="Times New Roman"/>
                <w:sz w:val="21"/>
                <w:szCs w:val="21"/>
              </w:rPr>
            </w:pPr>
            <w:r>
              <w:rPr>
                <w:rFonts w:ascii="Times New Roman" w:hAnsi="Times New Roman" w:eastAsia="Times New Roman" w:cs="Times New Roman"/>
                <w:sz w:val="21"/>
                <w:szCs w:val="21"/>
              </w:rPr>
              <w:t>5</w:t>
            </w:r>
          </w:p>
        </w:tc>
        <w:tc>
          <w:tcPr>
            <w:tcW w:w="1272" w:type="dxa"/>
            <w:vAlign w:val="top"/>
          </w:tcPr>
          <w:p w14:paraId="159E599A">
            <w:pPr>
              <w:rPr>
                <w:rFonts w:ascii="Arial"/>
                <w:sz w:val="21"/>
              </w:rPr>
            </w:pPr>
          </w:p>
        </w:tc>
        <w:tc>
          <w:tcPr>
            <w:tcW w:w="825" w:type="dxa"/>
            <w:vAlign w:val="top"/>
          </w:tcPr>
          <w:p w14:paraId="6E2F91DD">
            <w:pPr>
              <w:rPr>
                <w:rFonts w:ascii="Arial"/>
                <w:sz w:val="21"/>
              </w:rPr>
            </w:pPr>
          </w:p>
        </w:tc>
        <w:tc>
          <w:tcPr>
            <w:tcW w:w="533" w:type="dxa"/>
            <w:vAlign w:val="top"/>
          </w:tcPr>
          <w:p w14:paraId="6EC07682">
            <w:pPr>
              <w:rPr>
                <w:rFonts w:ascii="Arial"/>
                <w:sz w:val="21"/>
              </w:rPr>
            </w:pPr>
          </w:p>
        </w:tc>
        <w:tc>
          <w:tcPr>
            <w:tcW w:w="749" w:type="dxa"/>
            <w:vAlign w:val="top"/>
          </w:tcPr>
          <w:p w14:paraId="4CEFC16F">
            <w:pPr>
              <w:rPr>
                <w:rFonts w:ascii="Arial"/>
                <w:sz w:val="21"/>
              </w:rPr>
            </w:pPr>
          </w:p>
        </w:tc>
        <w:tc>
          <w:tcPr>
            <w:tcW w:w="753" w:type="dxa"/>
            <w:vAlign w:val="top"/>
          </w:tcPr>
          <w:p w14:paraId="0CE9F254">
            <w:pPr>
              <w:rPr>
                <w:rFonts w:ascii="Arial"/>
                <w:sz w:val="21"/>
              </w:rPr>
            </w:pPr>
          </w:p>
        </w:tc>
        <w:tc>
          <w:tcPr>
            <w:tcW w:w="965" w:type="dxa"/>
            <w:vAlign w:val="top"/>
          </w:tcPr>
          <w:p w14:paraId="11EB858D">
            <w:pPr>
              <w:rPr>
                <w:rFonts w:ascii="Arial"/>
                <w:sz w:val="21"/>
              </w:rPr>
            </w:pPr>
          </w:p>
        </w:tc>
        <w:tc>
          <w:tcPr>
            <w:tcW w:w="1032" w:type="dxa"/>
            <w:vAlign w:val="top"/>
          </w:tcPr>
          <w:p w14:paraId="662078BE">
            <w:pPr>
              <w:rPr>
                <w:rFonts w:ascii="Arial"/>
                <w:sz w:val="21"/>
              </w:rPr>
            </w:pPr>
          </w:p>
        </w:tc>
        <w:tc>
          <w:tcPr>
            <w:tcW w:w="855" w:type="dxa"/>
            <w:vAlign w:val="top"/>
          </w:tcPr>
          <w:p w14:paraId="05653629">
            <w:pPr>
              <w:rPr>
                <w:rFonts w:ascii="Arial"/>
                <w:sz w:val="21"/>
              </w:rPr>
            </w:pPr>
          </w:p>
        </w:tc>
        <w:tc>
          <w:tcPr>
            <w:tcW w:w="854" w:type="dxa"/>
            <w:vAlign w:val="top"/>
          </w:tcPr>
          <w:p w14:paraId="4A5D6088">
            <w:pPr>
              <w:rPr>
                <w:rFonts w:ascii="Arial"/>
                <w:sz w:val="21"/>
              </w:rPr>
            </w:pPr>
          </w:p>
        </w:tc>
        <w:tc>
          <w:tcPr>
            <w:tcW w:w="854" w:type="dxa"/>
            <w:vAlign w:val="top"/>
          </w:tcPr>
          <w:p w14:paraId="45DE75AA">
            <w:pPr>
              <w:rPr>
                <w:rFonts w:ascii="Arial"/>
                <w:sz w:val="21"/>
              </w:rPr>
            </w:pPr>
          </w:p>
        </w:tc>
        <w:tc>
          <w:tcPr>
            <w:tcW w:w="849" w:type="dxa"/>
            <w:vAlign w:val="top"/>
          </w:tcPr>
          <w:p w14:paraId="774A79C4">
            <w:pPr>
              <w:rPr>
                <w:rFonts w:ascii="Arial"/>
                <w:sz w:val="21"/>
              </w:rPr>
            </w:pPr>
          </w:p>
        </w:tc>
        <w:tc>
          <w:tcPr>
            <w:tcW w:w="850" w:type="dxa"/>
            <w:vAlign w:val="top"/>
          </w:tcPr>
          <w:p w14:paraId="5D6597A2">
            <w:pPr>
              <w:rPr>
                <w:rFonts w:ascii="Arial"/>
                <w:sz w:val="21"/>
              </w:rPr>
            </w:pPr>
          </w:p>
        </w:tc>
        <w:tc>
          <w:tcPr>
            <w:tcW w:w="854" w:type="dxa"/>
            <w:vAlign w:val="top"/>
          </w:tcPr>
          <w:p w14:paraId="3FEAE1C5">
            <w:pPr>
              <w:rPr>
                <w:rFonts w:ascii="Arial"/>
                <w:sz w:val="21"/>
              </w:rPr>
            </w:pPr>
          </w:p>
        </w:tc>
        <w:tc>
          <w:tcPr>
            <w:tcW w:w="744" w:type="dxa"/>
            <w:vAlign w:val="top"/>
          </w:tcPr>
          <w:p w14:paraId="50ECEDF0">
            <w:pPr>
              <w:rPr>
                <w:rFonts w:ascii="Arial"/>
                <w:sz w:val="21"/>
              </w:rPr>
            </w:pPr>
          </w:p>
        </w:tc>
        <w:tc>
          <w:tcPr>
            <w:tcW w:w="1128" w:type="dxa"/>
            <w:vAlign w:val="top"/>
          </w:tcPr>
          <w:p w14:paraId="1219B8E1">
            <w:pPr>
              <w:rPr>
                <w:rFonts w:ascii="Arial"/>
                <w:sz w:val="21"/>
              </w:rPr>
            </w:pPr>
          </w:p>
        </w:tc>
        <w:tc>
          <w:tcPr>
            <w:tcW w:w="946" w:type="dxa"/>
            <w:vAlign w:val="top"/>
          </w:tcPr>
          <w:p w14:paraId="031B40B2">
            <w:pPr>
              <w:rPr>
                <w:rFonts w:ascii="Arial"/>
                <w:sz w:val="21"/>
              </w:rPr>
            </w:pPr>
          </w:p>
        </w:tc>
      </w:tr>
      <w:tr w14:paraId="1EEDAC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6" w:hRule="atLeast"/>
        </w:trPr>
        <w:tc>
          <w:tcPr>
            <w:tcW w:w="379" w:type="dxa"/>
            <w:vAlign w:val="top"/>
          </w:tcPr>
          <w:p w14:paraId="4A3AF9FF">
            <w:pPr>
              <w:spacing w:before="154" w:line="189" w:lineRule="auto"/>
              <w:ind w:left="143"/>
              <w:rPr>
                <w:rFonts w:ascii="Times New Roman" w:hAnsi="Times New Roman" w:eastAsia="Times New Roman" w:cs="Times New Roman"/>
                <w:sz w:val="21"/>
                <w:szCs w:val="21"/>
              </w:rPr>
            </w:pPr>
            <w:r>
              <w:rPr>
                <w:rFonts w:ascii="Times New Roman" w:hAnsi="Times New Roman" w:eastAsia="Times New Roman" w:cs="Times New Roman"/>
                <w:sz w:val="21"/>
                <w:szCs w:val="21"/>
              </w:rPr>
              <w:t>6</w:t>
            </w:r>
          </w:p>
        </w:tc>
        <w:tc>
          <w:tcPr>
            <w:tcW w:w="1272" w:type="dxa"/>
            <w:vAlign w:val="top"/>
          </w:tcPr>
          <w:p w14:paraId="0CC48AEE">
            <w:pPr>
              <w:rPr>
                <w:rFonts w:ascii="Arial"/>
                <w:sz w:val="21"/>
              </w:rPr>
            </w:pPr>
          </w:p>
        </w:tc>
        <w:tc>
          <w:tcPr>
            <w:tcW w:w="825" w:type="dxa"/>
            <w:vAlign w:val="top"/>
          </w:tcPr>
          <w:p w14:paraId="5F4CD538">
            <w:pPr>
              <w:rPr>
                <w:rFonts w:ascii="Arial"/>
                <w:sz w:val="21"/>
              </w:rPr>
            </w:pPr>
          </w:p>
        </w:tc>
        <w:tc>
          <w:tcPr>
            <w:tcW w:w="533" w:type="dxa"/>
            <w:vAlign w:val="top"/>
          </w:tcPr>
          <w:p w14:paraId="04709159">
            <w:pPr>
              <w:rPr>
                <w:rFonts w:ascii="Arial"/>
                <w:sz w:val="21"/>
              </w:rPr>
            </w:pPr>
          </w:p>
        </w:tc>
        <w:tc>
          <w:tcPr>
            <w:tcW w:w="749" w:type="dxa"/>
            <w:vAlign w:val="top"/>
          </w:tcPr>
          <w:p w14:paraId="0936CF6C">
            <w:pPr>
              <w:rPr>
                <w:rFonts w:ascii="Arial"/>
                <w:sz w:val="21"/>
              </w:rPr>
            </w:pPr>
          </w:p>
        </w:tc>
        <w:tc>
          <w:tcPr>
            <w:tcW w:w="753" w:type="dxa"/>
            <w:vAlign w:val="top"/>
          </w:tcPr>
          <w:p w14:paraId="5F2E0494">
            <w:pPr>
              <w:rPr>
                <w:rFonts w:ascii="Arial"/>
                <w:sz w:val="21"/>
              </w:rPr>
            </w:pPr>
          </w:p>
        </w:tc>
        <w:tc>
          <w:tcPr>
            <w:tcW w:w="965" w:type="dxa"/>
            <w:vAlign w:val="top"/>
          </w:tcPr>
          <w:p w14:paraId="603986AA">
            <w:pPr>
              <w:rPr>
                <w:rFonts w:ascii="Arial"/>
                <w:sz w:val="21"/>
              </w:rPr>
            </w:pPr>
          </w:p>
        </w:tc>
        <w:tc>
          <w:tcPr>
            <w:tcW w:w="1032" w:type="dxa"/>
            <w:vAlign w:val="top"/>
          </w:tcPr>
          <w:p w14:paraId="15A66D07">
            <w:pPr>
              <w:rPr>
                <w:rFonts w:ascii="Arial"/>
                <w:sz w:val="21"/>
              </w:rPr>
            </w:pPr>
          </w:p>
        </w:tc>
        <w:tc>
          <w:tcPr>
            <w:tcW w:w="855" w:type="dxa"/>
            <w:vAlign w:val="top"/>
          </w:tcPr>
          <w:p w14:paraId="7EB7C53F">
            <w:pPr>
              <w:rPr>
                <w:rFonts w:ascii="Arial"/>
                <w:sz w:val="21"/>
              </w:rPr>
            </w:pPr>
          </w:p>
        </w:tc>
        <w:tc>
          <w:tcPr>
            <w:tcW w:w="854" w:type="dxa"/>
            <w:vAlign w:val="top"/>
          </w:tcPr>
          <w:p w14:paraId="06E23012">
            <w:pPr>
              <w:rPr>
                <w:rFonts w:ascii="Arial"/>
                <w:sz w:val="21"/>
              </w:rPr>
            </w:pPr>
          </w:p>
        </w:tc>
        <w:tc>
          <w:tcPr>
            <w:tcW w:w="854" w:type="dxa"/>
            <w:vAlign w:val="top"/>
          </w:tcPr>
          <w:p w14:paraId="4671037B">
            <w:pPr>
              <w:rPr>
                <w:rFonts w:ascii="Arial"/>
                <w:sz w:val="21"/>
              </w:rPr>
            </w:pPr>
          </w:p>
        </w:tc>
        <w:tc>
          <w:tcPr>
            <w:tcW w:w="849" w:type="dxa"/>
            <w:vAlign w:val="top"/>
          </w:tcPr>
          <w:p w14:paraId="5308ABAB">
            <w:pPr>
              <w:rPr>
                <w:rFonts w:ascii="Arial"/>
                <w:sz w:val="21"/>
              </w:rPr>
            </w:pPr>
          </w:p>
        </w:tc>
        <w:tc>
          <w:tcPr>
            <w:tcW w:w="850" w:type="dxa"/>
            <w:vAlign w:val="top"/>
          </w:tcPr>
          <w:p w14:paraId="15906B39">
            <w:pPr>
              <w:rPr>
                <w:rFonts w:ascii="Arial"/>
                <w:sz w:val="21"/>
              </w:rPr>
            </w:pPr>
          </w:p>
        </w:tc>
        <w:tc>
          <w:tcPr>
            <w:tcW w:w="854" w:type="dxa"/>
            <w:vAlign w:val="top"/>
          </w:tcPr>
          <w:p w14:paraId="15CB7529">
            <w:pPr>
              <w:rPr>
                <w:rFonts w:ascii="Arial"/>
                <w:sz w:val="21"/>
              </w:rPr>
            </w:pPr>
          </w:p>
        </w:tc>
        <w:tc>
          <w:tcPr>
            <w:tcW w:w="744" w:type="dxa"/>
            <w:vAlign w:val="top"/>
          </w:tcPr>
          <w:p w14:paraId="67D7D705">
            <w:pPr>
              <w:rPr>
                <w:rFonts w:ascii="Arial"/>
                <w:sz w:val="21"/>
              </w:rPr>
            </w:pPr>
          </w:p>
        </w:tc>
        <w:tc>
          <w:tcPr>
            <w:tcW w:w="1128" w:type="dxa"/>
            <w:vAlign w:val="top"/>
          </w:tcPr>
          <w:p w14:paraId="754737B4">
            <w:pPr>
              <w:rPr>
                <w:rFonts w:ascii="Arial"/>
                <w:sz w:val="21"/>
              </w:rPr>
            </w:pPr>
          </w:p>
        </w:tc>
        <w:tc>
          <w:tcPr>
            <w:tcW w:w="946" w:type="dxa"/>
            <w:vAlign w:val="top"/>
          </w:tcPr>
          <w:p w14:paraId="3A3E17E5">
            <w:pPr>
              <w:rPr>
                <w:rFonts w:ascii="Arial"/>
                <w:sz w:val="21"/>
              </w:rPr>
            </w:pPr>
          </w:p>
        </w:tc>
      </w:tr>
      <w:tr w14:paraId="34E125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0" w:hRule="atLeast"/>
        </w:trPr>
        <w:tc>
          <w:tcPr>
            <w:tcW w:w="379" w:type="dxa"/>
            <w:vAlign w:val="top"/>
          </w:tcPr>
          <w:p w14:paraId="6FD78DFD">
            <w:pPr>
              <w:spacing w:before="158" w:line="186" w:lineRule="auto"/>
              <w:ind w:left="142"/>
              <w:rPr>
                <w:rFonts w:ascii="Times New Roman" w:hAnsi="Times New Roman" w:eastAsia="Times New Roman" w:cs="Times New Roman"/>
                <w:sz w:val="21"/>
                <w:szCs w:val="21"/>
              </w:rPr>
            </w:pPr>
            <w:r>
              <w:rPr>
                <w:rFonts w:ascii="Times New Roman" w:hAnsi="Times New Roman" w:eastAsia="Times New Roman" w:cs="Times New Roman"/>
                <w:sz w:val="21"/>
                <w:szCs w:val="21"/>
              </w:rPr>
              <w:t>7</w:t>
            </w:r>
          </w:p>
        </w:tc>
        <w:tc>
          <w:tcPr>
            <w:tcW w:w="1272" w:type="dxa"/>
            <w:vAlign w:val="top"/>
          </w:tcPr>
          <w:p w14:paraId="72551EDA">
            <w:pPr>
              <w:rPr>
                <w:rFonts w:ascii="Arial"/>
                <w:sz w:val="21"/>
              </w:rPr>
            </w:pPr>
          </w:p>
        </w:tc>
        <w:tc>
          <w:tcPr>
            <w:tcW w:w="825" w:type="dxa"/>
            <w:vAlign w:val="top"/>
          </w:tcPr>
          <w:p w14:paraId="2C533DC1">
            <w:pPr>
              <w:rPr>
                <w:rFonts w:ascii="Arial"/>
                <w:sz w:val="21"/>
              </w:rPr>
            </w:pPr>
          </w:p>
        </w:tc>
        <w:tc>
          <w:tcPr>
            <w:tcW w:w="533" w:type="dxa"/>
            <w:vAlign w:val="top"/>
          </w:tcPr>
          <w:p w14:paraId="0B72521F">
            <w:pPr>
              <w:rPr>
                <w:rFonts w:ascii="Arial"/>
                <w:sz w:val="21"/>
              </w:rPr>
            </w:pPr>
          </w:p>
        </w:tc>
        <w:tc>
          <w:tcPr>
            <w:tcW w:w="749" w:type="dxa"/>
            <w:vAlign w:val="top"/>
          </w:tcPr>
          <w:p w14:paraId="4978E798">
            <w:pPr>
              <w:rPr>
                <w:rFonts w:ascii="Arial"/>
                <w:sz w:val="21"/>
              </w:rPr>
            </w:pPr>
          </w:p>
        </w:tc>
        <w:tc>
          <w:tcPr>
            <w:tcW w:w="753" w:type="dxa"/>
            <w:vAlign w:val="top"/>
          </w:tcPr>
          <w:p w14:paraId="25567B84">
            <w:pPr>
              <w:rPr>
                <w:rFonts w:ascii="Arial"/>
                <w:sz w:val="21"/>
              </w:rPr>
            </w:pPr>
          </w:p>
        </w:tc>
        <w:tc>
          <w:tcPr>
            <w:tcW w:w="965" w:type="dxa"/>
            <w:vAlign w:val="top"/>
          </w:tcPr>
          <w:p w14:paraId="6CFD0C15">
            <w:pPr>
              <w:rPr>
                <w:rFonts w:ascii="Arial"/>
                <w:sz w:val="21"/>
              </w:rPr>
            </w:pPr>
          </w:p>
        </w:tc>
        <w:tc>
          <w:tcPr>
            <w:tcW w:w="1032" w:type="dxa"/>
            <w:vAlign w:val="top"/>
          </w:tcPr>
          <w:p w14:paraId="135BBCA6">
            <w:pPr>
              <w:rPr>
                <w:rFonts w:ascii="Arial"/>
                <w:sz w:val="21"/>
              </w:rPr>
            </w:pPr>
          </w:p>
        </w:tc>
        <w:tc>
          <w:tcPr>
            <w:tcW w:w="855" w:type="dxa"/>
            <w:vAlign w:val="top"/>
          </w:tcPr>
          <w:p w14:paraId="6D585754">
            <w:pPr>
              <w:rPr>
                <w:rFonts w:ascii="Arial"/>
                <w:sz w:val="21"/>
              </w:rPr>
            </w:pPr>
          </w:p>
        </w:tc>
        <w:tc>
          <w:tcPr>
            <w:tcW w:w="854" w:type="dxa"/>
            <w:vAlign w:val="top"/>
          </w:tcPr>
          <w:p w14:paraId="52C36372">
            <w:pPr>
              <w:rPr>
                <w:rFonts w:ascii="Arial"/>
                <w:sz w:val="21"/>
              </w:rPr>
            </w:pPr>
          </w:p>
        </w:tc>
        <w:tc>
          <w:tcPr>
            <w:tcW w:w="854" w:type="dxa"/>
            <w:vAlign w:val="top"/>
          </w:tcPr>
          <w:p w14:paraId="060631C2">
            <w:pPr>
              <w:rPr>
                <w:rFonts w:ascii="Arial"/>
                <w:sz w:val="21"/>
              </w:rPr>
            </w:pPr>
          </w:p>
        </w:tc>
        <w:tc>
          <w:tcPr>
            <w:tcW w:w="849" w:type="dxa"/>
            <w:vAlign w:val="top"/>
          </w:tcPr>
          <w:p w14:paraId="3BF6FBB1">
            <w:pPr>
              <w:rPr>
                <w:rFonts w:ascii="Arial"/>
                <w:sz w:val="21"/>
              </w:rPr>
            </w:pPr>
          </w:p>
        </w:tc>
        <w:tc>
          <w:tcPr>
            <w:tcW w:w="850" w:type="dxa"/>
            <w:vAlign w:val="top"/>
          </w:tcPr>
          <w:p w14:paraId="14F6FE85">
            <w:pPr>
              <w:rPr>
                <w:rFonts w:ascii="Arial"/>
                <w:sz w:val="21"/>
              </w:rPr>
            </w:pPr>
          </w:p>
        </w:tc>
        <w:tc>
          <w:tcPr>
            <w:tcW w:w="854" w:type="dxa"/>
            <w:vAlign w:val="top"/>
          </w:tcPr>
          <w:p w14:paraId="4E3C6069">
            <w:pPr>
              <w:rPr>
                <w:rFonts w:ascii="Arial"/>
                <w:sz w:val="21"/>
              </w:rPr>
            </w:pPr>
          </w:p>
        </w:tc>
        <w:tc>
          <w:tcPr>
            <w:tcW w:w="744" w:type="dxa"/>
            <w:vAlign w:val="top"/>
          </w:tcPr>
          <w:p w14:paraId="7E310AB5">
            <w:pPr>
              <w:rPr>
                <w:rFonts w:ascii="Arial"/>
                <w:sz w:val="21"/>
              </w:rPr>
            </w:pPr>
          </w:p>
        </w:tc>
        <w:tc>
          <w:tcPr>
            <w:tcW w:w="1128" w:type="dxa"/>
            <w:vAlign w:val="top"/>
          </w:tcPr>
          <w:p w14:paraId="2DC4D8E3">
            <w:pPr>
              <w:rPr>
                <w:rFonts w:ascii="Arial"/>
                <w:sz w:val="21"/>
              </w:rPr>
            </w:pPr>
          </w:p>
        </w:tc>
        <w:tc>
          <w:tcPr>
            <w:tcW w:w="946" w:type="dxa"/>
            <w:vAlign w:val="top"/>
          </w:tcPr>
          <w:p w14:paraId="21105AF3">
            <w:pPr>
              <w:rPr>
                <w:rFonts w:ascii="Arial"/>
                <w:sz w:val="21"/>
              </w:rPr>
            </w:pPr>
          </w:p>
        </w:tc>
      </w:tr>
      <w:tr w14:paraId="46C4D6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6" w:hRule="atLeast"/>
        </w:trPr>
        <w:tc>
          <w:tcPr>
            <w:tcW w:w="379" w:type="dxa"/>
            <w:vAlign w:val="top"/>
          </w:tcPr>
          <w:p w14:paraId="2E8C63CA">
            <w:pPr>
              <w:spacing w:before="156" w:line="189" w:lineRule="auto"/>
              <w:ind w:left="147"/>
              <w:rPr>
                <w:rFonts w:ascii="Times New Roman" w:hAnsi="Times New Roman" w:eastAsia="Times New Roman" w:cs="Times New Roman"/>
                <w:sz w:val="21"/>
                <w:szCs w:val="21"/>
              </w:rPr>
            </w:pPr>
            <w:r>
              <w:rPr>
                <w:rFonts w:ascii="Times New Roman" w:hAnsi="Times New Roman" w:eastAsia="Times New Roman" w:cs="Times New Roman"/>
                <w:sz w:val="21"/>
                <w:szCs w:val="21"/>
              </w:rPr>
              <w:t>8</w:t>
            </w:r>
          </w:p>
        </w:tc>
        <w:tc>
          <w:tcPr>
            <w:tcW w:w="1272" w:type="dxa"/>
            <w:vAlign w:val="top"/>
          </w:tcPr>
          <w:p w14:paraId="4481BB62">
            <w:pPr>
              <w:rPr>
                <w:rFonts w:ascii="Arial"/>
                <w:sz w:val="21"/>
              </w:rPr>
            </w:pPr>
          </w:p>
        </w:tc>
        <w:tc>
          <w:tcPr>
            <w:tcW w:w="825" w:type="dxa"/>
            <w:vAlign w:val="top"/>
          </w:tcPr>
          <w:p w14:paraId="255DDE66">
            <w:pPr>
              <w:rPr>
                <w:rFonts w:ascii="Arial"/>
                <w:sz w:val="21"/>
              </w:rPr>
            </w:pPr>
          </w:p>
        </w:tc>
        <w:tc>
          <w:tcPr>
            <w:tcW w:w="533" w:type="dxa"/>
            <w:vAlign w:val="top"/>
          </w:tcPr>
          <w:p w14:paraId="7891E84A">
            <w:pPr>
              <w:rPr>
                <w:rFonts w:ascii="Arial"/>
                <w:sz w:val="21"/>
              </w:rPr>
            </w:pPr>
          </w:p>
        </w:tc>
        <w:tc>
          <w:tcPr>
            <w:tcW w:w="749" w:type="dxa"/>
            <w:vAlign w:val="top"/>
          </w:tcPr>
          <w:p w14:paraId="3FE2F0B3">
            <w:pPr>
              <w:rPr>
                <w:rFonts w:ascii="Arial"/>
                <w:sz w:val="21"/>
              </w:rPr>
            </w:pPr>
          </w:p>
        </w:tc>
        <w:tc>
          <w:tcPr>
            <w:tcW w:w="753" w:type="dxa"/>
            <w:vAlign w:val="top"/>
          </w:tcPr>
          <w:p w14:paraId="5C30FEBC">
            <w:pPr>
              <w:rPr>
                <w:rFonts w:ascii="Arial"/>
                <w:sz w:val="21"/>
              </w:rPr>
            </w:pPr>
          </w:p>
        </w:tc>
        <w:tc>
          <w:tcPr>
            <w:tcW w:w="965" w:type="dxa"/>
            <w:vAlign w:val="top"/>
          </w:tcPr>
          <w:p w14:paraId="2FD6E4EC">
            <w:pPr>
              <w:rPr>
                <w:rFonts w:ascii="Arial"/>
                <w:sz w:val="21"/>
              </w:rPr>
            </w:pPr>
          </w:p>
        </w:tc>
        <w:tc>
          <w:tcPr>
            <w:tcW w:w="1032" w:type="dxa"/>
            <w:vAlign w:val="top"/>
          </w:tcPr>
          <w:p w14:paraId="14969CB6">
            <w:pPr>
              <w:rPr>
                <w:rFonts w:ascii="Arial"/>
                <w:sz w:val="21"/>
              </w:rPr>
            </w:pPr>
          </w:p>
        </w:tc>
        <w:tc>
          <w:tcPr>
            <w:tcW w:w="855" w:type="dxa"/>
            <w:vAlign w:val="top"/>
          </w:tcPr>
          <w:p w14:paraId="6E8F5427">
            <w:pPr>
              <w:rPr>
                <w:rFonts w:ascii="Arial"/>
                <w:sz w:val="21"/>
              </w:rPr>
            </w:pPr>
          </w:p>
        </w:tc>
        <w:tc>
          <w:tcPr>
            <w:tcW w:w="854" w:type="dxa"/>
            <w:vAlign w:val="top"/>
          </w:tcPr>
          <w:p w14:paraId="301E10B2">
            <w:pPr>
              <w:rPr>
                <w:rFonts w:ascii="Arial"/>
                <w:sz w:val="21"/>
              </w:rPr>
            </w:pPr>
          </w:p>
        </w:tc>
        <w:tc>
          <w:tcPr>
            <w:tcW w:w="854" w:type="dxa"/>
            <w:vAlign w:val="top"/>
          </w:tcPr>
          <w:p w14:paraId="40E9559C">
            <w:pPr>
              <w:rPr>
                <w:rFonts w:ascii="Arial"/>
                <w:sz w:val="21"/>
              </w:rPr>
            </w:pPr>
          </w:p>
        </w:tc>
        <w:tc>
          <w:tcPr>
            <w:tcW w:w="849" w:type="dxa"/>
            <w:vAlign w:val="top"/>
          </w:tcPr>
          <w:p w14:paraId="6EDA09E2">
            <w:pPr>
              <w:rPr>
                <w:rFonts w:ascii="Arial"/>
                <w:sz w:val="21"/>
              </w:rPr>
            </w:pPr>
          </w:p>
        </w:tc>
        <w:tc>
          <w:tcPr>
            <w:tcW w:w="850" w:type="dxa"/>
            <w:vAlign w:val="top"/>
          </w:tcPr>
          <w:p w14:paraId="377909EF">
            <w:pPr>
              <w:rPr>
                <w:rFonts w:ascii="Arial"/>
                <w:sz w:val="21"/>
              </w:rPr>
            </w:pPr>
          </w:p>
        </w:tc>
        <w:tc>
          <w:tcPr>
            <w:tcW w:w="854" w:type="dxa"/>
            <w:vAlign w:val="top"/>
          </w:tcPr>
          <w:p w14:paraId="1F1BCAB2">
            <w:pPr>
              <w:rPr>
                <w:rFonts w:ascii="Arial"/>
                <w:sz w:val="21"/>
              </w:rPr>
            </w:pPr>
          </w:p>
        </w:tc>
        <w:tc>
          <w:tcPr>
            <w:tcW w:w="744" w:type="dxa"/>
            <w:vAlign w:val="top"/>
          </w:tcPr>
          <w:p w14:paraId="51C99F57">
            <w:pPr>
              <w:rPr>
                <w:rFonts w:ascii="Arial"/>
                <w:sz w:val="21"/>
              </w:rPr>
            </w:pPr>
          </w:p>
        </w:tc>
        <w:tc>
          <w:tcPr>
            <w:tcW w:w="1128" w:type="dxa"/>
            <w:vAlign w:val="top"/>
          </w:tcPr>
          <w:p w14:paraId="3A755682">
            <w:pPr>
              <w:rPr>
                <w:rFonts w:ascii="Arial"/>
                <w:sz w:val="21"/>
              </w:rPr>
            </w:pPr>
          </w:p>
        </w:tc>
        <w:tc>
          <w:tcPr>
            <w:tcW w:w="946" w:type="dxa"/>
            <w:vAlign w:val="top"/>
          </w:tcPr>
          <w:p w14:paraId="4C995756">
            <w:pPr>
              <w:rPr>
                <w:rFonts w:ascii="Arial"/>
                <w:sz w:val="21"/>
              </w:rPr>
            </w:pPr>
          </w:p>
        </w:tc>
      </w:tr>
      <w:tr w14:paraId="7E5DFE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1" w:hRule="atLeast"/>
        </w:trPr>
        <w:tc>
          <w:tcPr>
            <w:tcW w:w="379" w:type="dxa"/>
            <w:vAlign w:val="top"/>
          </w:tcPr>
          <w:p w14:paraId="20D3E550">
            <w:pPr>
              <w:spacing w:before="161" w:line="189" w:lineRule="auto"/>
              <w:ind w:left="142"/>
              <w:rPr>
                <w:rFonts w:ascii="Times New Roman" w:hAnsi="Times New Roman" w:eastAsia="Times New Roman" w:cs="Times New Roman"/>
                <w:sz w:val="21"/>
                <w:szCs w:val="21"/>
              </w:rPr>
            </w:pPr>
            <w:r>
              <w:rPr>
                <w:rFonts w:ascii="Times New Roman" w:hAnsi="Times New Roman" w:eastAsia="Times New Roman" w:cs="Times New Roman"/>
                <w:sz w:val="21"/>
                <w:szCs w:val="21"/>
              </w:rPr>
              <w:t>9</w:t>
            </w:r>
          </w:p>
        </w:tc>
        <w:tc>
          <w:tcPr>
            <w:tcW w:w="1272" w:type="dxa"/>
            <w:vAlign w:val="top"/>
          </w:tcPr>
          <w:p w14:paraId="11C4C199">
            <w:pPr>
              <w:rPr>
                <w:rFonts w:ascii="Arial"/>
                <w:sz w:val="21"/>
              </w:rPr>
            </w:pPr>
          </w:p>
        </w:tc>
        <w:tc>
          <w:tcPr>
            <w:tcW w:w="825" w:type="dxa"/>
            <w:vAlign w:val="top"/>
          </w:tcPr>
          <w:p w14:paraId="680CE81A">
            <w:pPr>
              <w:rPr>
                <w:rFonts w:ascii="Arial"/>
                <w:sz w:val="21"/>
              </w:rPr>
            </w:pPr>
          </w:p>
        </w:tc>
        <w:tc>
          <w:tcPr>
            <w:tcW w:w="533" w:type="dxa"/>
            <w:vAlign w:val="top"/>
          </w:tcPr>
          <w:p w14:paraId="4FC1A5FF">
            <w:pPr>
              <w:rPr>
                <w:rFonts w:ascii="Arial"/>
                <w:sz w:val="21"/>
              </w:rPr>
            </w:pPr>
          </w:p>
        </w:tc>
        <w:tc>
          <w:tcPr>
            <w:tcW w:w="749" w:type="dxa"/>
            <w:vAlign w:val="top"/>
          </w:tcPr>
          <w:p w14:paraId="311406ED">
            <w:pPr>
              <w:rPr>
                <w:rFonts w:ascii="Arial"/>
                <w:sz w:val="21"/>
              </w:rPr>
            </w:pPr>
          </w:p>
        </w:tc>
        <w:tc>
          <w:tcPr>
            <w:tcW w:w="753" w:type="dxa"/>
            <w:vAlign w:val="top"/>
          </w:tcPr>
          <w:p w14:paraId="6F468E8E">
            <w:pPr>
              <w:rPr>
                <w:rFonts w:ascii="Arial"/>
                <w:sz w:val="21"/>
              </w:rPr>
            </w:pPr>
          </w:p>
        </w:tc>
        <w:tc>
          <w:tcPr>
            <w:tcW w:w="965" w:type="dxa"/>
            <w:vAlign w:val="top"/>
          </w:tcPr>
          <w:p w14:paraId="0A78469D">
            <w:pPr>
              <w:rPr>
                <w:rFonts w:ascii="Arial"/>
                <w:sz w:val="21"/>
              </w:rPr>
            </w:pPr>
          </w:p>
        </w:tc>
        <w:tc>
          <w:tcPr>
            <w:tcW w:w="1032" w:type="dxa"/>
            <w:vAlign w:val="top"/>
          </w:tcPr>
          <w:p w14:paraId="0335F534">
            <w:pPr>
              <w:rPr>
                <w:rFonts w:ascii="Arial"/>
                <w:sz w:val="21"/>
              </w:rPr>
            </w:pPr>
          </w:p>
        </w:tc>
        <w:tc>
          <w:tcPr>
            <w:tcW w:w="855" w:type="dxa"/>
            <w:vAlign w:val="top"/>
          </w:tcPr>
          <w:p w14:paraId="260FDB69">
            <w:pPr>
              <w:rPr>
                <w:rFonts w:ascii="Arial"/>
                <w:sz w:val="21"/>
              </w:rPr>
            </w:pPr>
          </w:p>
        </w:tc>
        <w:tc>
          <w:tcPr>
            <w:tcW w:w="854" w:type="dxa"/>
            <w:vAlign w:val="top"/>
          </w:tcPr>
          <w:p w14:paraId="21F81EC5">
            <w:pPr>
              <w:rPr>
                <w:rFonts w:ascii="Arial"/>
                <w:sz w:val="21"/>
              </w:rPr>
            </w:pPr>
          </w:p>
        </w:tc>
        <w:tc>
          <w:tcPr>
            <w:tcW w:w="854" w:type="dxa"/>
            <w:vAlign w:val="top"/>
          </w:tcPr>
          <w:p w14:paraId="2A984C0C">
            <w:pPr>
              <w:rPr>
                <w:rFonts w:ascii="Arial"/>
                <w:sz w:val="21"/>
              </w:rPr>
            </w:pPr>
          </w:p>
        </w:tc>
        <w:tc>
          <w:tcPr>
            <w:tcW w:w="849" w:type="dxa"/>
            <w:vAlign w:val="top"/>
          </w:tcPr>
          <w:p w14:paraId="167DB09C">
            <w:pPr>
              <w:rPr>
                <w:rFonts w:ascii="Arial"/>
                <w:sz w:val="21"/>
              </w:rPr>
            </w:pPr>
          </w:p>
        </w:tc>
        <w:tc>
          <w:tcPr>
            <w:tcW w:w="850" w:type="dxa"/>
            <w:vAlign w:val="top"/>
          </w:tcPr>
          <w:p w14:paraId="0F35B980">
            <w:pPr>
              <w:rPr>
                <w:rFonts w:ascii="Arial"/>
                <w:sz w:val="21"/>
              </w:rPr>
            </w:pPr>
          </w:p>
        </w:tc>
        <w:tc>
          <w:tcPr>
            <w:tcW w:w="854" w:type="dxa"/>
            <w:vAlign w:val="top"/>
          </w:tcPr>
          <w:p w14:paraId="5307FBA9">
            <w:pPr>
              <w:rPr>
                <w:rFonts w:ascii="Arial"/>
                <w:sz w:val="21"/>
              </w:rPr>
            </w:pPr>
          </w:p>
        </w:tc>
        <w:tc>
          <w:tcPr>
            <w:tcW w:w="744" w:type="dxa"/>
            <w:vAlign w:val="top"/>
          </w:tcPr>
          <w:p w14:paraId="2E053A4D">
            <w:pPr>
              <w:rPr>
                <w:rFonts w:ascii="Arial"/>
                <w:sz w:val="21"/>
              </w:rPr>
            </w:pPr>
          </w:p>
        </w:tc>
        <w:tc>
          <w:tcPr>
            <w:tcW w:w="1128" w:type="dxa"/>
            <w:vAlign w:val="top"/>
          </w:tcPr>
          <w:p w14:paraId="4F790BAA">
            <w:pPr>
              <w:rPr>
                <w:rFonts w:ascii="Arial"/>
                <w:sz w:val="21"/>
              </w:rPr>
            </w:pPr>
          </w:p>
        </w:tc>
        <w:tc>
          <w:tcPr>
            <w:tcW w:w="946" w:type="dxa"/>
            <w:vAlign w:val="top"/>
          </w:tcPr>
          <w:p w14:paraId="4466CFF5">
            <w:pPr>
              <w:rPr>
                <w:rFonts w:ascii="Arial"/>
                <w:sz w:val="21"/>
              </w:rPr>
            </w:pPr>
          </w:p>
        </w:tc>
      </w:tr>
      <w:tr w14:paraId="10C193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5" w:hRule="atLeast"/>
        </w:trPr>
        <w:tc>
          <w:tcPr>
            <w:tcW w:w="379" w:type="dxa"/>
            <w:vAlign w:val="top"/>
          </w:tcPr>
          <w:p w14:paraId="5B377A7D">
            <w:pPr>
              <w:pStyle w:val="11"/>
              <w:spacing w:before="120" w:line="325" w:lineRule="exact"/>
              <w:ind w:left="102"/>
            </w:pPr>
            <w:r>
              <w:rPr>
                <w:position w:val="2"/>
              </w:rPr>
              <w:t>…</w:t>
            </w:r>
          </w:p>
        </w:tc>
        <w:tc>
          <w:tcPr>
            <w:tcW w:w="1272" w:type="dxa"/>
            <w:vAlign w:val="top"/>
          </w:tcPr>
          <w:p w14:paraId="4AAEF284">
            <w:pPr>
              <w:rPr>
                <w:rFonts w:ascii="Arial"/>
                <w:sz w:val="21"/>
              </w:rPr>
            </w:pPr>
          </w:p>
        </w:tc>
        <w:tc>
          <w:tcPr>
            <w:tcW w:w="825" w:type="dxa"/>
            <w:vAlign w:val="top"/>
          </w:tcPr>
          <w:p w14:paraId="33B7124C">
            <w:pPr>
              <w:rPr>
                <w:rFonts w:ascii="Arial"/>
                <w:sz w:val="21"/>
              </w:rPr>
            </w:pPr>
          </w:p>
        </w:tc>
        <w:tc>
          <w:tcPr>
            <w:tcW w:w="533" w:type="dxa"/>
            <w:vAlign w:val="top"/>
          </w:tcPr>
          <w:p w14:paraId="3E6714FA">
            <w:pPr>
              <w:rPr>
                <w:rFonts w:ascii="Arial"/>
                <w:sz w:val="21"/>
              </w:rPr>
            </w:pPr>
          </w:p>
        </w:tc>
        <w:tc>
          <w:tcPr>
            <w:tcW w:w="749" w:type="dxa"/>
            <w:vAlign w:val="top"/>
          </w:tcPr>
          <w:p w14:paraId="289754B7">
            <w:pPr>
              <w:rPr>
                <w:rFonts w:ascii="Arial"/>
                <w:sz w:val="21"/>
              </w:rPr>
            </w:pPr>
          </w:p>
        </w:tc>
        <w:tc>
          <w:tcPr>
            <w:tcW w:w="753" w:type="dxa"/>
            <w:vAlign w:val="top"/>
          </w:tcPr>
          <w:p w14:paraId="4A76D9DC">
            <w:pPr>
              <w:rPr>
                <w:rFonts w:ascii="Arial"/>
                <w:sz w:val="21"/>
              </w:rPr>
            </w:pPr>
          </w:p>
        </w:tc>
        <w:tc>
          <w:tcPr>
            <w:tcW w:w="965" w:type="dxa"/>
            <w:vAlign w:val="top"/>
          </w:tcPr>
          <w:p w14:paraId="167ECBA4">
            <w:pPr>
              <w:rPr>
                <w:rFonts w:ascii="Arial"/>
                <w:sz w:val="21"/>
              </w:rPr>
            </w:pPr>
          </w:p>
        </w:tc>
        <w:tc>
          <w:tcPr>
            <w:tcW w:w="1032" w:type="dxa"/>
            <w:vAlign w:val="top"/>
          </w:tcPr>
          <w:p w14:paraId="0E1ED7AD">
            <w:pPr>
              <w:rPr>
                <w:rFonts w:ascii="Arial"/>
                <w:sz w:val="21"/>
              </w:rPr>
            </w:pPr>
          </w:p>
        </w:tc>
        <w:tc>
          <w:tcPr>
            <w:tcW w:w="855" w:type="dxa"/>
            <w:vAlign w:val="top"/>
          </w:tcPr>
          <w:p w14:paraId="76F2C3E1">
            <w:pPr>
              <w:rPr>
                <w:rFonts w:ascii="Arial"/>
                <w:sz w:val="21"/>
              </w:rPr>
            </w:pPr>
          </w:p>
        </w:tc>
        <w:tc>
          <w:tcPr>
            <w:tcW w:w="854" w:type="dxa"/>
            <w:vAlign w:val="top"/>
          </w:tcPr>
          <w:p w14:paraId="20B8BA00">
            <w:pPr>
              <w:rPr>
                <w:rFonts w:ascii="Arial"/>
                <w:sz w:val="21"/>
              </w:rPr>
            </w:pPr>
          </w:p>
        </w:tc>
        <w:tc>
          <w:tcPr>
            <w:tcW w:w="854" w:type="dxa"/>
            <w:vAlign w:val="top"/>
          </w:tcPr>
          <w:p w14:paraId="7CAB3EDD">
            <w:pPr>
              <w:rPr>
                <w:rFonts w:ascii="Arial"/>
                <w:sz w:val="21"/>
              </w:rPr>
            </w:pPr>
          </w:p>
        </w:tc>
        <w:tc>
          <w:tcPr>
            <w:tcW w:w="849" w:type="dxa"/>
            <w:vAlign w:val="top"/>
          </w:tcPr>
          <w:p w14:paraId="0E30F2E6">
            <w:pPr>
              <w:rPr>
                <w:rFonts w:ascii="Arial"/>
                <w:sz w:val="21"/>
              </w:rPr>
            </w:pPr>
          </w:p>
        </w:tc>
        <w:tc>
          <w:tcPr>
            <w:tcW w:w="850" w:type="dxa"/>
            <w:vAlign w:val="top"/>
          </w:tcPr>
          <w:p w14:paraId="000AE0A2">
            <w:pPr>
              <w:rPr>
                <w:rFonts w:ascii="Arial"/>
                <w:sz w:val="21"/>
              </w:rPr>
            </w:pPr>
          </w:p>
        </w:tc>
        <w:tc>
          <w:tcPr>
            <w:tcW w:w="854" w:type="dxa"/>
            <w:vAlign w:val="top"/>
          </w:tcPr>
          <w:p w14:paraId="197F273B">
            <w:pPr>
              <w:rPr>
                <w:rFonts w:ascii="Arial"/>
                <w:sz w:val="21"/>
              </w:rPr>
            </w:pPr>
          </w:p>
        </w:tc>
        <w:tc>
          <w:tcPr>
            <w:tcW w:w="744" w:type="dxa"/>
            <w:vAlign w:val="top"/>
          </w:tcPr>
          <w:p w14:paraId="3C441C5F">
            <w:pPr>
              <w:rPr>
                <w:rFonts w:ascii="Arial"/>
                <w:sz w:val="21"/>
              </w:rPr>
            </w:pPr>
          </w:p>
        </w:tc>
        <w:tc>
          <w:tcPr>
            <w:tcW w:w="1128" w:type="dxa"/>
            <w:vAlign w:val="top"/>
          </w:tcPr>
          <w:p w14:paraId="3462F0D7">
            <w:pPr>
              <w:rPr>
                <w:rFonts w:ascii="Arial"/>
                <w:sz w:val="21"/>
              </w:rPr>
            </w:pPr>
          </w:p>
        </w:tc>
        <w:tc>
          <w:tcPr>
            <w:tcW w:w="946" w:type="dxa"/>
            <w:vAlign w:val="top"/>
          </w:tcPr>
          <w:p w14:paraId="0ADFFF25">
            <w:pPr>
              <w:rPr>
                <w:rFonts w:ascii="Arial"/>
                <w:sz w:val="21"/>
              </w:rPr>
            </w:pPr>
          </w:p>
        </w:tc>
      </w:tr>
    </w:tbl>
    <w:p w14:paraId="3E5E59FA">
      <w:pPr>
        <w:spacing w:before="154" w:line="399" w:lineRule="exact"/>
        <w:ind w:left="250"/>
        <w:rPr>
          <w:rFonts w:ascii="宋体" w:hAnsi="宋体" w:eastAsia="宋体" w:cs="宋体"/>
          <w:sz w:val="21"/>
          <w:szCs w:val="21"/>
        </w:rPr>
      </w:pPr>
      <w:r>
        <w:rPr>
          <w:rFonts w:ascii="宋体" w:hAnsi="宋体" w:eastAsia="宋体" w:cs="宋体"/>
          <w:position w:val="14"/>
          <w:sz w:val="21"/>
          <w:szCs w:val="21"/>
        </w:rPr>
        <w:t>备注：1.执业、职业单位是指拟投入的项目管理机构人员目前是否在投标人处注</w:t>
      </w:r>
      <w:r>
        <w:rPr>
          <w:rFonts w:ascii="宋体" w:hAnsi="宋体" w:eastAsia="宋体" w:cs="宋体"/>
          <w:spacing w:val="-1"/>
          <w:position w:val="14"/>
          <w:sz w:val="21"/>
          <w:szCs w:val="21"/>
        </w:rPr>
        <w:t>册执业或岗位登记。</w:t>
      </w:r>
    </w:p>
    <w:p w14:paraId="61DC6510">
      <w:pPr>
        <w:spacing w:before="1" w:line="219" w:lineRule="auto"/>
        <w:ind w:left="879"/>
        <w:rPr>
          <w:rFonts w:ascii="宋体" w:hAnsi="宋体" w:eastAsia="宋体" w:cs="宋体"/>
          <w:sz w:val="21"/>
          <w:szCs w:val="21"/>
        </w:rPr>
      </w:pPr>
      <w:r>
        <w:rPr>
          <w:rFonts w:ascii="宋体" w:hAnsi="宋体" w:eastAsia="宋体" w:cs="宋体"/>
          <w:sz w:val="21"/>
          <w:szCs w:val="21"/>
        </w:rPr>
        <w:t>2.附项目管理机构主要人员社会保险证明。社会保险证明中缴费单位应</w:t>
      </w:r>
      <w:r>
        <w:rPr>
          <w:rFonts w:ascii="宋体" w:hAnsi="宋体" w:eastAsia="宋体" w:cs="宋体"/>
          <w:spacing w:val="-1"/>
          <w:sz w:val="21"/>
          <w:szCs w:val="21"/>
        </w:rPr>
        <w:t>与投标单位一致。</w:t>
      </w:r>
    </w:p>
    <w:p w14:paraId="24E09AFB">
      <w:pPr>
        <w:spacing w:line="219" w:lineRule="auto"/>
        <w:rPr>
          <w:rFonts w:ascii="宋体" w:hAnsi="宋体" w:eastAsia="宋体" w:cs="宋体"/>
          <w:sz w:val="21"/>
          <w:szCs w:val="21"/>
        </w:rPr>
        <w:sectPr>
          <w:footerReference r:id="rId205" w:type="default"/>
          <w:pgSz w:w="16839" w:h="11905"/>
          <w:pgMar w:top="400" w:right="1190" w:bottom="999" w:left="1200" w:header="0" w:footer="823" w:gutter="0"/>
          <w:pgNumType w:fmt="decimal"/>
          <w:cols w:space="720" w:num="1"/>
        </w:sectPr>
      </w:pPr>
    </w:p>
    <w:p w14:paraId="6B67B196">
      <w:pPr>
        <w:pStyle w:val="3"/>
        <w:spacing w:line="257" w:lineRule="auto"/>
      </w:pPr>
    </w:p>
    <w:p w14:paraId="11998A74">
      <w:pPr>
        <w:pStyle w:val="3"/>
        <w:spacing w:line="257" w:lineRule="auto"/>
      </w:pPr>
    </w:p>
    <w:p w14:paraId="4E8A40B4">
      <w:pPr>
        <w:pStyle w:val="3"/>
        <w:spacing w:line="257" w:lineRule="auto"/>
      </w:pPr>
    </w:p>
    <w:p w14:paraId="49EC4340">
      <w:pPr>
        <w:pStyle w:val="3"/>
        <w:spacing w:line="257" w:lineRule="auto"/>
      </w:pPr>
    </w:p>
    <w:p w14:paraId="62A24E63">
      <w:pPr>
        <w:spacing w:before="87" w:line="225" w:lineRule="auto"/>
        <w:ind w:left="2800"/>
        <w:rPr>
          <w:rFonts w:ascii="黑体" w:hAnsi="黑体" w:eastAsia="黑体" w:cs="黑体"/>
          <w:sz w:val="27"/>
          <w:szCs w:val="27"/>
        </w:rPr>
      </w:pPr>
      <w:bookmarkStart w:id="1325" w:name="bookmark311"/>
      <w:bookmarkEnd w:id="1325"/>
      <w:bookmarkStart w:id="1326" w:name="bookmark310"/>
      <w:bookmarkEnd w:id="1326"/>
      <w:r>
        <w:rPr>
          <w:rFonts w:ascii="黑体" w:hAnsi="黑体" w:eastAsia="黑体" w:cs="黑体"/>
          <w:spacing w:val="4"/>
          <w:sz w:val="27"/>
          <w:szCs w:val="27"/>
        </w:rPr>
        <w:t>（二）项目经理简历表</w:t>
      </w:r>
    </w:p>
    <w:p w14:paraId="4D087263">
      <w:pPr>
        <w:spacing w:before="168"/>
      </w:pPr>
    </w:p>
    <w:tbl>
      <w:tblPr>
        <w:tblStyle w:val="10"/>
        <w:tblW w:w="8201" w:type="dxa"/>
        <w:tblInd w:w="12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08"/>
        <w:gridCol w:w="878"/>
        <w:gridCol w:w="1066"/>
        <w:gridCol w:w="1190"/>
        <w:gridCol w:w="1963"/>
        <w:gridCol w:w="1996"/>
      </w:tblGrid>
      <w:tr w14:paraId="511DAF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1" w:hRule="atLeast"/>
        </w:trPr>
        <w:tc>
          <w:tcPr>
            <w:tcW w:w="1108" w:type="dxa"/>
            <w:vAlign w:val="top"/>
          </w:tcPr>
          <w:p w14:paraId="79119581">
            <w:pPr>
              <w:pStyle w:val="11"/>
              <w:spacing w:before="125" w:line="221" w:lineRule="auto"/>
              <w:ind w:left="243"/>
            </w:pPr>
            <w:r>
              <w:rPr>
                <w:spacing w:val="-4"/>
              </w:rPr>
              <w:t>姓</w:t>
            </w:r>
            <w:r>
              <w:rPr>
                <w:spacing w:val="5"/>
              </w:rPr>
              <w:t xml:space="preserve">  </w:t>
            </w:r>
            <w:r>
              <w:rPr>
                <w:spacing w:val="-4"/>
              </w:rPr>
              <w:t>名</w:t>
            </w:r>
          </w:p>
        </w:tc>
        <w:tc>
          <w:tcPr>
            <w:tcW w:w="878" w:type="dxa"/>
            <w:vAlign w:val="top"/>
          </w:tcPr>
          <w:p w14:paraId="4988BC64">
            <w:pPr>
              <w:rPr>
                <w:rFonts w:ascii="Arial"/>
                <w:sz w:val="21"/>
              </w:rPr>
            </w:pPr>
          </w:p>
        </w:tc>
        <w:tc>
          <w:tcPr>
            <w:tcW w:w="1066" w:type="dxa"/>
            <w:vAlign w:val="top"/>
          </w:tcPr>
          <w:p w14:paraId="4F02C767">
            <w:pPr>
              <w:pStyle w:val="11"/>
              <w:spacing w:before="125" w:line="221" w:lineRule="auto"/>
              <w:ind w:left="226"/>
            </w:pPr>
            <w:r>
              <w:rPr>
                <w:spacing w:val="-4"/>
              </w:rPr>
              <w:t>年</w:t>
            </w:r>
            <w:r>
              <w:rPr>
                <w:spacing w:val="4"/>
              </w:rPr>
              <w:t xml:space="preserve">  </w:t>
            </w:r>
            <w:r>
              <w:rPr>
                <w:spacing w:val="-4"/>
              </w:rPr>
              <w:t>龄</w:t>
            </w:r>
          </w:p>
        </w:tc>
        <w:tc>
          <w:tcPr>
            <w:tcW w:w="1190" w:type="dxa"/>
            <w:vAlign w:val="top"/>
          </w:tcPr>
          <w:p w14:paraId="05D81886">
            <w:pPr>
              <w:rPr>
                <w:rFonts w:ascii="Arial"/>
                <w:sz w:val="21"/>
              </w:rPr>
            </w:pPr>
          </w:p>
        </w:tc>
        <w:tc>
          <w:tcPr>
            <w:tcW w:w="1963" w:type="dxa"/>
            <w:vAlign w:val="top"/>
          </w:tcPr>
          <w:p w14:paraId="492673C9">
            <w:pPr>
              <w:pStyle w:val="11"/>
              <w:spacing w:before="125" w:line="222" w:lineRule="auto"/>
              <w:ind w:left="783"/>
            </w:pPr>
            <w:r>
              <w:rPr>
                <w:spacing w:val="-3"/>
              </w:rPr>
              <w:t>学历</w:t>
            </w:r>
          </w:p>
        </w:tc>
        <w:tc>
          <w:tcPr>
            <w:tcW w:w="1996" w:type="dxa"/>
            <w:vAlign w:val="top"/>
          </w:tcPr>
          <w:p w14:paraId="3407B454">
            <w:pPr>
              <w:rPr>
                <w:rFonts w:ascii="Arial"/>
                <w:sz w:val="21"/>
              </w:rPr>
            </w:pPr>
          </w:p>
        </w:tc>
      </w:tr>
      <w:tr w14:paraId="3FF670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1108" w:type="dxa"/>
            <w:vAlign w:val="top"/>
          </w:tcPr>
          <w:p w14:paraId="0808FA63">
            <w:pPr>
              <w:pStyle w:val="11"/>
              <w:spacing w:before="120" w:line="223" w:lineRule="auto"/>
              <w:ind w:left="244"/>
            </w:pPr>
            <w:r>
              <w:rPr>
                <w:spacing w:val="-4"/>
              </w:rPr>
              <w:t>职</w:t>
            </w:r>
            <w:r>
              <w:rPr>
                <w:spacing w:val="4"/>
              </w:rPr>
              <w:t xml:space="preserve">  </w:t>
            </w:r>
            <w:r>
              <w:rPr>
                <w:spacing w:val="-4"/>
              </w:rPr>
              <w:t>称</w:t>
            </w:r>
          </w:p>
        </w:tc>
        <w:tc>
          <w:tcPr>
            <w:tcW w:w="878" w:type="dxa"/>
            <w:vAlign w:val="top"/>
          </w:tcPr>
          <w:p w14:paraId="00B24D73">
            <w:pPr>
              <w:rPr>
                <w:rFonts w:ascii="Arial"/>
                <w:sz w:val="21"/>
              </w:rPr>
            </w:pPr>
          </w:p>
        </w:tc>
        <w:tc>
          <w:tcPr>
            <w:tcW w:w="1066" w:type="dxa"/>
            <w:vAlign w:val="top"/>
          </w:tcPr>
          <w:p w14:paraId="0082E11D">
            <w:pPr>
              <w:pStyle w:val="11"/>
              <w:spacing w:before="120" w:line="221" w:lineRule="auto"/>
              <w:ind w:left="226"/>
            </w:pPr>
            <w:r>
              <w:rPr>
                <w:spacing w:val="-4"/>
              </w:rPr>
              <w:t>职</w:t>
            </w:r>
            <w:r>
              <w:rPr>
                <w:spacing w:val="5"/>
              </w:rPr>
              <w:t xml:space="preserve">  </w:t>
            </w:r>
            <w:r>
              <w:rPr>
                <w:spacing w:val="-4"/>
              </w:rPr>
              <w:t>务</w:t>
            </w:r>
          </w:p>
        </w:tc>
        <w:tc>
          <w:tcPr>
            <w:tcW w:w="1190" w:type="dxa"/>
            <w:vAlign w:val="top"/>
          </w:tcPr>
          <w:p w14:paraId="75A429CB">
            <w:pPr>
              <w:rPr>
                <w:rFonts w:ascii="Arial"/>
                <w:sz w:val="21"/>
              </w:rPr>
            </w:pPr>
          </w:p>
        </w:tc>
        <w:tc>
          <w:tcPr>
            <w:tcW w:w="1963" w:type="dxa"/>
            <w:vAlign w:val="top"/>
          </w:tcPr>
          <w:p w14:paraId="388E6802">
            <w:pPr>
              <w:pStyle w:val="11"/>
              <w:spacing w:before="120" w:line="220" w:lineRule="auto"/>
              <w:ind w:left="250"/>
            </w:pPr>
            <w:r>
              <w:rPr>
                <w:spacing w:val="-1"/>
              </w:rPr>
              <w:t>拟在本工程任职</w:t>
            </w:r>
          </w:p>
        </w:tc>
        <w:tc>
          <w:tcPr>
            <w:tcW w:w="1996" w:type="dxa"/>
            <w:vAlign w:val="top"/>
          </w:tcPr>
          <w:p w14:paraId="06EDE296">
            <w:pPr>
              <w:pStyle w:val="11"/>
              <w:spacing w:before="121" w:line="221" w:lineRule="auto"/>
              <w:ind w:left="586"/>
            </w:pPr>
            <w:r>
              <w:rPr>
                <w:spacing w:val="-2"/>
              </w:rPr>
              <w:t>项目经理</w:t>
            </w:r>
          </w:p>
        </w:tc>
      </w:tr>
      <w:tr w14:paraId="5306D1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3052" w:type="dxa"/>
            <w:gridSpan w:val="3"/>
            <w:vAlign w:val="top"/>
          </w:tcPr>
          <w:p w14:paraId="63DCA58A">
            <w:pPr>
              <w:pStyle w:val="11"/>
              <w:spacing w:before="121" w:line="221" w:lineRule="auto"/>
              <w:ind w:left="372"/>
            </w:pPr>
            <w:r>
              <w:rPr>
                <w:spacing w:val="-1"/>
              </w:rPr>
              <w:t>注册建造师执业资格等级</w:t>
            </w:r>
          </w:p>
        </w:tc>
        <w:tc>
          <w:tcPr>
            <w:tcW w:w="1190" w:type="dxa"/>
            <w:vAlign w:val="top"/>
          </w:tcPr>
          <w:p w14:paraId="18570FD0">
            <w:pPr>
              <w:pStyle w:val="11"/>
              <w:spacing w:before="121" w:line="223" w:lineRule="auto"/>
              <w:ind w:left="820"/>
            </w:pPr>
            <w:r>
              <w:t>级</w:t>
            </w:r>
          </w:p>
        </w:tc>
        <w:tc>
          <w:tcPr>
            <w:tcW w:w="1963" w:type="dxa"/>
            <w:vAlign w:val="top"/>
          </w:tcPr>
          <w:p w14:paraId="6C16E66B">
            <w:pPr>
              <w:pStyle w:val="11"/>
              <w:spacing w:before="121" w:line="221" w:lineRule="auto"/>
              <w:ind w:left="464"/>
            </w:pPr>
            <w:r>
              <w:rPr>
                <w:spacing w:val="-1"/>
              </w:rPr>
              <w:t>建造师专业</w:t>
            </w:r>
          </w:p>
        </w:tc>
        <w:tc>
          <w:tcPr>
            <w:tcW w:w="1996" w:type="dxa"/>
            <w:vAlign w:val="top"/>
          </w:tcPr>
          <w:p w14:paraId="455A25F9">
            <w:pPr>
              <w:rPr>
                <w:rFonts w:ascii="Arial"/>
                <w:sz w:val="21"/>
              </w:rPr>
            </w:pPr>
          </w:p>
        </w:tc>
      </w:tr>
      <w:tr w14:paraId="26B915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6" w:hRule="atLeast"/>
        </w:trPr>
        <w:tc>
          <w:tcPr>
            <w:tcW w:w="3052" w:type="dxa"/>
            <w:gridSpan w:val="3"/>
            <w:vAlign w:val="top"/>
          </w:tcPr>
          <w:p w14:paraId="03A79B09">
            <w:pPr>
              <w:pStyle w:val="11"/>
              <w:spacing w:before="122" w:line="220" w:lineRule="auto"/>
              <w:ind w:left="482"/>
            </w:pPr>
            <w:r>
              <w:rPr>
                <w:spacing w:val="-1"/>
              </w:rPr>
              <w:t>安全生产考核合格证书</w:t>
            </w:r>
          </w:p>
        </w:tc>
        <w:tc>
          <w:tcPr>
            <w:tcW w:w="5149" w:type="dxa"/>
            <w:gridSpan w:val="3"/>
            <w:vAlign w:val="top"/>
          </w:tcPr>
          <w:p w14:paraId="3D505113">
            <w:pPr>
              <w:rPr>
                <w:rFonts w:ascii="Arial"/>
                <w:sz w:val="21"/>
              </w:rPr>
            </w:pPr>
          </w:p>
        </w:tc>
      </w:tr>
      <w:tr w14:paraId="428477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1" w:hRule="atLeast"/>
        </w:trPr>
        <w:tc>
          <w:tcPr>
            <w:tcW w:w="1108" w:type="dxa"/>
            <w:vAlign w:val="top"/>
          </w:tcPr>
          <w:p w14:paraId="7427116C">
            <w:pPr>
              <w:pStyle w:val="11"/>
              <w:spacing w:before="121" w:line="221" w:lineRule="auto"/>
              <w:ind w:left="141"/>
            </w:pPr>
            <w:r>
              <w:rPr>
                <w:spacing w:val="-2"/>
              </w:rPr>
              <w:t>毕业学校</w:t>
            </w:r>
          </w:p>
        </w:tc>
        <w:tc>
          <w:tcPr>
            <w:tcW w:w="7093" w:type="dxa"/>
            <w:gridSpan w:val="5"/>
            <w:vAlign w:val="top"/>
          </w:tcPr>
          <w:p w14:paraId="06921F92">
            <w:pPr>
              <w:pStyle w:val="11"/>
              <w:spacing w:before="121" w:line="221" w:lineRule="auto"/>
              <w:ind w:left="955"/>
            </w:pPr>
            <w:r>
              <w:rPr>
                <w:spacing w:val="-1"/>
              </w:rPr>
              <w:t>年毕业于                  学校</w:t>
            </w:r>
            <w:r>
              <w:rPr>
                <w:spacing w:val="2"/>
              </w:rPr>
              <w:t xml:space="preserve">            </w:t>
            </w:r>
            <w:r>
              <w:rPr>
                <w:spacing w:val="-1"/>
              </w:rPr>
              <w:t>专业</w:t>
            </w:r>
          </w:p>
        </w:tc>
      </w:tr>
      <w:tr w14:paraId="65FF1B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8201" w:type="dxa"/>
            <w:gridSpan w:val="6"/>
            <w:vAlign w:val="top"/>
          </w:tcPr>
          <w:p w14:paraId="2D5BDC57">
            <w:pPr>
              <w:pStyle w:val="11"/>
              <w:spacing w:before="122" w:line="221" w:lineRule="auto"/>
              <w:ind w:left="3476"/>
            </w:pPr>
            <w:r>
              <w:rPr>
                <w:spacing w:val="-1"/>
              </w:rPr>
              <w:t>主要工作经历</w:t>
            </w:r>
          </w:p>
        </w:tc>
      </w:tr>
      <w:tr w14:paraId="56F79B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6" w:hRule="atLeast"/>
        </w:trPr>
        <w:tc>
          <w:tcPr>
            <w:tcW w:w="1108" w:type="dxa"/>
            <w:vAlign w:val="top"/>
          </w:tcPr>
          <w:p w14:paraId="1E4389BA">
            <w:pPr>
              <w:pStyle w:val="11"/>
              <w:spacing w:before="122" w:line="223" w:lineRule="auto"/>
              <w:ind w:left="253"/>
            </w:pPr>
            <w:r>
              <w:rPr>
                <w:spacing w:val="-9"/>
              </w:rPr>
              <w:t>时</w:t>
            </w:r>
            <w:r>
              <w:rPr>
                <w:spacing w:val="12"/>
              </w:rPr>
              <w:t xml:space="preserve">  </w:t>
            </w:r>
            <w:r>
              <w:rPr>
                <w:spacing w:val="-9"/>
              </w:rPr>
              <w:t>间</w:t>
            </w:r>
          </w:p>
        </w:tc>
        <w:tc>
          <w:tcPr>
            <w:tcW w:w="3134" w:type="dxa"/>
            <w:gridSpan w:val="3"/>
            <w:vAlign w:val="top"/>
          </w:tcPr>
          <w:p w14:paraId="19AE1E23">
            <w:pPr>
              <w:pStyle w:val="11"/>
              <w:spacing w:before="122" w:line="221" w:lineRule="auto"/>
              <w:ind w:left="524"/>
            </w:pPr>
            <w:r>
              <w:rPr>
                <w:spacing w:val="-1"/>
              </w:rPr>
              <w:t>参加过的类似项目名称</w:t>
            </w:r>
          </w:p>
        </w:tc>
        <w:tc>
          <w:tcPr>
            <w:tcW w:w="1963" w:type="dxa"/>
            <w:vAlign w:val="top"/>
          </w:tcPr>
          <w:p w14:paraId="5E347A12">
            <w:pPr>
              <w:pStyle w:val="11"/>
              <w:spacing w:before="122" w:line="221" w:lineRule="auto"/>
              <w:ind w:left="358"/>
            </w:pPr>
            <w:r>
              <w:rPr>
                <w:spacing w:val="-1"/>
              </w:rPr>
              <w:t>工程概况说明</w:t>
            </w:r>
          </w:p>
        </w:tc>
        <w:tc>
          <w:tcPr>
            <w:tcW w:w="1996" w:type="dxa"/>
            <w:vAlign w:val="top"/>
          </w:tcPr>
          <w:p w14:paraId="5CE3C9CB">
            <w:pPr>
              <w:pStyle w:val="11"/>
              <w:spacing w:before="122" w:line="221" w:lineRule="auto"/>
              <w:ind w:left="168"/>
            </w:pPr>
            <w:r>
              <w:rPr>
                <w:spacing w:val="-1"/>
              </w:rPr>
              <w:t>发包人及联系电话</w:t>
            </w:r>
          </w:p>
        </w:tc>
      </w:tr>
      <w:tr w14:paraId="773DFB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6" w:hRule="atLeast"/>
        </w:trPr>
        <w:tc>
          <w:tcPr>
            <w:tcW w:w="1108" w:type="dxa"/>
            <w:vAlign w:val="top"/>
          </w:tcPr>
          <w:p w14:paraId="088E5716">
            <w:pPr>
              <w:rPr>
                <w:rFonts w:ascii="Arial"/>
                <w:sz w:val="21"/>
              </w:rPr>
            </w:pPr>
          </w:p>
        </w:tc>
        <w:tc>
          <w:tcPr>
            <w:tcW w:w="3134" w:type="dxa"/>
            <w:gridSpan w:val="3"/>
            <w:vAlign w:val="top"/>
          </w:tcPr>
          <w:p w14:paraId="128FA9DF">
            <w:pPr>
              <w:rPr>
                <w:rFonts w:ascii="Arial"/>
                <w:sz w:val="21"/>
              </w:rPr>
            </w:pPr>
          </w:p>
        </w:tc>
        <w:tc>
          <w:tcPr>
            <w:tcW w:w="1963" w:type="dxa"/>
            <w:vAlign w:val="top"/>
          </w:tcPr>
          <w:p w14:paraId="69B21CE9">
            <w:pPr>
              <w:rPr>
                <w:rFonts w:ascii="Arial"/>
                <w:sz w:val="21"/>
              </w:rPr>
            </w:pPr>
          </w:p>
        </w:tc>
        <w:tc>
          <w:tcPr>
            <w:tcW w:w="1996" w:type="dxa"/>
            <w:vAlign w:val="top"/>
          </w:tcPr>
          <w:p w14:paraId="6A9D865D">
            <w:pPr>
              <w:rPr>
                <w:rFonts w:ascii="Arial"/>
                <w:sz w:val="21"/>
              </w:rPr>
            </w:pPr>
          </w:p>
        </w:tc>
      </w:tr>
      <w:tr w14:paraId="433B45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6" w:hRule="atLeast"/>
        </w:trPr>
        <w:tc>
          <w:tcPr>
            <w:tcW w:w="1108" w:type="dxa"/>
            <w:vAlign w:val="top"/>
          </w:tcPr>
          <w:p w14:paraId="49E5198D">
            <w:pPr>
              <w:rPr>
                <w:rFonts w:ascii="Arial"/>
                <w:sz w:val="21"/>
              </w:rPr>
            </w:pPr>
          </w:p>
        </w:tc>
        <w:tc>
          <w:tcPr>
            <w:tcW w:w="3134" w:type="dxa"/>
            <w:gridSpan w:val="3"/>
            <w:vAlign w:val="top"/>
          </w:tcPr>
          <w:p w14:paraId="0B1B089C">
            <w:pPr>
              <w:rPr>
                <w:rFonts w:ascii="Arial"/>
                <w:sz w:val="21"/>
              </w:rPr>
            </w:pPr>
          </w:p>
        </w:tc>
        <w:tc>
          <w:tcPr>
            <w:tcW w:w="1963" w:type="dxa"/>
            <w:vAlign w:val="top"/>
          </w:tcPr>
          <w:p w14:paraId="4F5371AB">
            <w:pPr>
              <w:rPr>
                <w:rFonts w:ascii="Arial"/>
                <w:sz w:val="21"/>
              </w:rPr>
            </w:pPr>
          </w:p>
        </w:tc>
        <w:tc>
          <w:tcPr>
            <w:tcW w:w="1996" w:type="dxa"/>
            <w:vAlign w:val="top"/>
          </w:tcPr>
          <w:p w14:paraId="4F7C0CA5">
            <w:pPr>
              <w:rPr>
                <w:rFonts w:ascii="Arial"/>
                <w:sz w:val="21"/>
              </w:rPr>
            </w:pPr>
          </w:p>
        </w:tc>
      </w:tr>
      <w:tr w14:paraId="2F5770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6" w:hRule="atLeast"/>
        </w:trPr>
        <w:tc>
          <w:tcPr>
            <w:tcW w:w="1108" w:type="dxa"/>
            <w:vAlign w:val="top"/>
          </w:tcPr>
          <w:p w14:paraId="356AFD91">
            <w:pPr>
              <w:rPr>
                <w:rFonts w:ascii="Arial"/>
                <w:sz w:val="21"/>
              </w:rPr>
            </w:pPr>
          </w:p>
        </w:tc>
        <w:tc>
          <w:tcPr>
            <w:tcW w:w="3134" w:type="dxa"/>
            <w:gridSpan w:val="3"/>
            <w:vAlign w:val="top"/>
          </w:tcPr>
          <w:p w14:paraId="59588696">
            <w:pPr>
              <w:rPr>
                <w:rFonts w:ascii="Arial"/>
                <w:sz w:val="21"/>
              </w:rPr>
            </w:pPr>
          </w:p>
        </w:tc>
        <w:tc>
          <w:tcPr>
            <w:tcW w:w="1963" w:type="dxa"/>
            <w:vAlign w:val="top"/>
          </w:tcPr>
          <w:p w14:paraId="7188A544">
            <w:pPr>
              <w:rPr>
                <w:rFonts w:ascii="Arial"/>
                <w:sz w:val="21"/>
              </w:rPr>
            </w:pPr>
          </w:p>
        </w:tc>
        <w:tc>
          <w:tcPr>
            <w:tcW w:w="1996" w:type="dxa"/>
            <w:vAlign w:val="top"/>
          </w:tcPr>
          <w:p w14:paraId="48AD6B18">
            <w:pPr>
              <w:rPr>
                <w:rFonts w:ascii="Arial"/>
                <w:sz w:val="21"/>
              </w:rPr>
            </w:pPr>
          </w:p>
        </w:tc>
      </w:tr>
      <w:tr w14:paraId="34BF8E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1" w:hRule="atLeast"/>
        </w:trPr>
        <w:tc>
          <w:tcPr>
            <w:tcW w:w="1108" w:type="dxa"/>
            <w:vAlign w:val="top"/>
          </w:tcPr>
          <w:p w14:paraId="1F646A64">
            <w:pPr>
              <w:rPr>
                <w:rFonts w:ascii="Arial"/>
                <w:sz w:val="21"/>
              </w:rPr>
            </w:pPr>
          </w:p>
        </w:tc>
        <w:tc>
          <w:tcPr>
            <w:tcW w:w="3134" w:type="dxa"/>
            <w:gridSpan w:val="3"/>
            <w:vAlign w:val="top"/>
          </w:tcPr>
          <w:p w14:paraId="6E89F422">
            <w:pPr>
              <w:rPr>
                <w:rFonts w:ascii="Arial"/>
                <w:sz w:val="21"/>
              </w:rPr>
            </w:pPr>
          </w:p>
        </w:tc>
        <w:tc>
          <w:tcPr>
            <w:tcW w:w="1963" w:type="dxa"/>
            <w:vAlign w:val="top"/>
          </w:tcPr>
          <w:p w14:paraId="749C0661">
            <w:pPr>
              <w:rPr>
                <w:rFonts w:ascii="Arial"/>
                <w:sz w:val="21"/>
              </w:rPr>
            </w:pPr>
          </w:p>
        </w:tc>
        <w:tc>
          <w:tcPr>
            <w:tcW w:w="1996" w:type="dxa"/>
            <w:vAlign w:val="top"/>
          </w:tcPr>
          <w:p w14:paraId="08B4AEC9">
            <w:pPr>
              <w:rPr>
                <w:rFonts w:ascii="Arial"/>
                <w:sz w:val="21"/>
              </w:rPr>
            </w:pPr>
          </w:p>
        </w:tc>
      </w:tr>
      <w:tr w14:paraId="225118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6" w:hRule="atLeast"/>
        </w:trPr>
        <w:tc>
          <w:tcPr>
            <w:tcW w:w="1108" w:type="dxa"/>
            <w:vAlign w:val="top"/>
          </w:tcPr>
          <w:p w14:paraId="40005190">
            <w:pPr>
              <w:rPr>
                <w:rFonts w:ascii="Arial"/>
                <w:sz w:val="21"/>
              </w:rPr>
            </w:pPr>
          </w:p>
        </w:tc>
        <w:tc>
          <w:tcPr>
            <w:tcW w:w="3134" w:type="dxa"/>
            <w:gridSpan w:val="3"/>
            <w:vAlign w:val="top"/>
          </w:tcPr>
          <w:p w14:paraId="02318B2E">
            <w:pPr>
              <w:rPr>
                <w:rFonts w:ascii="Arial"/>
                <w:sz w:val="21"/>
              </w:rPr>
            </w:pPr>
          </w:p>
        </w:tc>
        <w:tc>
          <w:tcPr>
            <w:tcW w:w="1963" w:type="dxa"/>
            <w:vAlign w:val="top"/>
          </w:tcPr>
          <w:p w14:paraId="05F01269">
            <w:pPr>
              <w:rPr>
                <w:rFonts w:ascii="Arial"/>
                <w:sz w:val="21"/>
              </w:rPr>
            </w:pPr>
          </w:p>
        </w:tc>
        <w:tc>
          <w:tcPr>
            <w:tcW w:w="1996" w:type="dxa"/>
            <w:vAlign w:val="top"/>
          </w:tcPr>
          <w:p w14:paraId="1132D0DF">
            <w:pPr>
              <w:rPr>
                <w:rFonts w:ascii="Arial"/>
                <w:sz w:val="21"/>
              </w:rPr>
            </w:pPr>
          </w:p>
        </w:tc>
      </w:tr>
      <w:tr w14:paraId="545538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6" w:hRule="atLeast"/>
        </w:trPr>
        <w:tc>
          <w:tcPr>
            <w:tcW w:w="1108" w:type="dxa"/>
            <w:vAlign w:val="top"/>
          </w:tcPr>
          <w:p w14:paraId="12C4C7EC">
            <w:pPr>
              <w:rPr>
                <w:rFonts w:ascii="Arial"/>
                <w:sz w:val="21"/>
              </w:rPr>
            </w:pPr>
          </w:p>
        </w:tc>
        <w:tc>
          <w:tcPr>
            <w:tcW w:w="3134" w:type="dxa"/>
            <w:gridSpan w:val="3"/>
            <w:vAlign w:val="top"/>
          </w:tcPr>
          <w:p w14:paraId="1D4DACE5">
            <w:pPr>
              <w:rPr>
                <w:rFonts w:ascii="Arial"/>
                <w:sz w:val="21"/>
              </w:rPr>
            </w:pPr>
          </w:p>
        </w:tc>
        <w:tc>
          <w:tcPr>
            <w:tcW w:w="1963" w:type="dxa"/>
            <w:vAlign w:val="top"/>
          </w:tcPr>
          <w:p w14:paraId="42094607">
            <w:pPr>
              <w:rPr>
                <w:rFonts w:ascii="Arial"/>
                <w:sz w:val="21"/>
              </w:rPr>
            </w:pPr>
          </w:p>
        </w:tc>
        <w:tc>
          <w:tcPr>
            <w:tcW w:w="1996" w:type="dxa"/>
            <w:vAlign w:val="top"/>
          </w:tcPr>
          <w:p w14:paraId="77493641">
            <w:pPr>
              <w:rPr>
                <w:rFonts w:ascii="Arial"/>
                <w:sz w:val="21"/>
              </w:rPr>
            </w:pPr>
          </w:p>
        </w:tc>
      </w:tr>
      <w:tr w14:paraId="6A9835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6" w:hRule="atLeast"/>
        </w:trPr>
        <w:tc>
          <w:tcPr>
            <w:tcW w:w="1108" w:type="dxa"/>
            <w:vAlign w:val="top"/>
          </w:tcPr>
          <w:p w14:paraId="2B5D7272">
            <w:pPr>
              <w:rPr>
                <w:rFonts w:ascii="Arial"/>
                <w:sz w:val="21"/>
              </w:rPr>
            </w:pPr>
          </w:p>
        </w:tc>
        <w:tc>
          <w:tcPr>
            <w:tcW w:w="3134" w:type="dxa"/>
            <w:gridSpan w:val="3"/>
            <w:vAlign w:val="top"/>
          </w:tcPr>
          <w:p w14:paraId="3E9EAB2D">
            <w:pPr>
              <w:rPr>
                <w:rFonts w:ascii="Arial"/>
                <w:sz w:val="21"/>
              </w:rPr>
            </w:pPr>
          </w:p>
        </w:tc>
        <w:tc>
          <w:tcPr>
            <w:tcW w:w="1963" w:type="dxa"/>
            <w:vAlign w:val="top"/>
          </w:tcPr>
          <w:p w14:paraId="682ABE91">
            <w:pPr>
              <w:rPr>
                <w:rFonts w:ascii="Arial"/>
                <w:sz w:val="21"/>
              </w:rPr>
            </w:pPr>
          </w:p>
        </w:tc>
        <w:tc>
          <w:tcPr>
            <w:tcW w:w="1996" w:type="dxa"/>
            <w:vAlign w:val="top"/>
          </w:tcPr>
          <w:p w14:paraId="584A48F2">
            <w:pPr>
              <w:rPr>
                <w:rFonts w:ascii="Arial"/>
                <w:sz w:val="21"/>
              </w:rPr>
            </w:pPr>
          </w:p>
        </w:tc>
      </w:tr>
      <w:tr w14:paraId="1F9E9C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1" w:hRule="atLeast"/>
        </w:trPr>
        <w:tc>
          <w:tcPr>
            <w:tcW w:w="1108" w:type="dxa"/>
            <w:vAlign w:val="top"/>
          </w:tcPr>
          <w:p w14:paraId="665B4B57">
            <w:pPr>
              <w:rPr>
                <w:rFonts w:ascii="Arial"/>
                <w:sz w:val="21"/>
              </w:rPr>
            </w:pPr>
          </w:p>
        </w:tc>
        <w:tc>
          <w:tcPr>
            <w:tcW w:w="3134" w:type="dxa"/>
            <w:gridSpan w:val="3"/>
            <w:vAlign w:val="top"/>
          </w:tcPr>
          <w:p w14:paraId="0272C029">
            <w:pPr>
              <w:rPr>
                <w:rFonts w:ascii="Arial"/>
                <w:sz w:val="21"/>
              </w:rPr>
            </w:pPr>
          </w:p>
        </w:tc>
        <w:tc>
          <w:tcPr>
            <w:tcW w:w="1963" w:type="dxa"/>
            <w:vAlign w:val="top"/>
          </w:tcPr>
          <w:p w14:paraId="35A959E6">
            <w:pPr>
              <w:rPr>
                <w:rFonts w:ascii="Arial"/>
                <w:sz w:val="21"/>
              </w:rPr>
            </w:pPr>
          </w:p>
        </w:tc>
        <w:tc>
          <w:tcPr>
            <w:tcW w:w="1996" w:type="dxa"/>
            <w:vAlign w:val="top"/>
          </w:tcPr>
          <w:p w14:paraId="384D9E4F">
            <w:pPr>
              <w:rPr>
                <w:rFonts w:ascii="Arial"/>
                <w:sz w:val="21"/>
              </w:rPr>
            </w:pPr>
          </w:p>
        </w:tc>
      </w:tr>
      <w:tr w14:paraId="3A5946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1" w:hRule="atLeast"/>
        </w:trPr>
        <w:tc>
          <w:tcPr>
            <w:tcW w:w="1108" w:type="dxa"/>
            <w:vAlign w:val="top"/>
          </w:tcPr>
          <w:p w14:paraId="38107011">
            <w:pPr>
              <w:rPr>
                <w:rFonts w:ascii="Arial"/>
                <w:sz w:val="21"/>
              </w:rPr>
            </w:pPr>
          </w:p>
        </w:tc>
        <w:tc>
          <w:tcPr>
            <w:tcW w:w="3134" w:type="dxa"/>
            <w:gridSpan w:val="3"/>
            <w:vAlign w:val="top"/>
          </w:tcPr>
          <w:p w14:paraId="44D81D1C">
            <w:pPr>
              <w:rPr>
                <w:rFonts w:ascii="Arial"/>
                <w:sz w:val="21"/>
              </w:rPr>
            </w:pPr>
          </w:p>
        </w:tc>
        <w:tc>
          <w:tcPr>
            <w:tcW w:w="1963" w:type="dxa"/>
            <w:vAlign w:val="top"/>
          </w:tcPr>
          <w:p w14:paraId="486D94EA">
            <w:pPr>
              <w:rPr>
                <w:rFonts w:ascii="Arial"/>
                <w:sz w:val="21"/>
              </w:rPr>
            </w:pPr>
          </w:p>
        </w:tc>
        <w:tc>
          <w:tcPr>
            <w:tcW w:w="1996" w:type="dxa"/>
            <w:vAlign w:val="top"/>
          </w:tcPr>
          <w:p w14:paraId="5158E1AB">
            <w:pPr>
              <w:rPr>
                <w:rFonts w:ascii="Arial"/>
                <w:sz w:val="21"/>
              </w:rPr>
            </w:pPr>
          </w:p>
        </w:tc>
      </w:tr>
    </w:tbl>
    <w:p w14:paraId="51F23EB6">
      <w:pPr>
        <w:spacing w:before="78" w:line="253" w:lineRule="auto"/>
        <w:ind w:left="963" w:right="29" w:hanging="943"/>
        <w:rPr>
          <w:rFonts w:ascii="宋体" w:hAnsi="宋体" w:eastAsia="宋体" w:cs="宋体"/>
          <w:sz w:val="21"/>
          <w:szCs w:val="21"/>
        </w:rPr>
      </w:pPr>
      <w:r>
        <w:rPr>
          <w:rFonts w:ascii="宋体" w:hAnsi="宋体" w:eastAsia="宋体" w:cs="宋体"/>
          <w:spacing w:val="-4"/>
          <w:sz w:val="21"/>
          <w:szCs w:val="21"/>
        </w:rPr>
        <w:t>备注： 1.项目经理应附建造师注册证书、安全生产考核合格证书（</w:t>
      </w:r>
      <w:r>
        <w:rPr>
          <w:rFonts w:ascii="Times New Roman" w:hAnsi="Times New Roman" w:eastAsia="Times New Roman" w:cs="Times New Roman"/>
          <w:spacing w:val="-4"/>
          <w:sz w:val="21"/>
          <w:szCs w:val="21"/>
        </w:rPr>
        <w:t>B</w:t>
      </w:r>
      <w:r>
        <w:rPr>
          <w:rFonts w:ascii="宋体" w:hAnsi="宋体" w:eastAsia="宋体" w:cs="宋体"/>
          <w:spacing w:val="-4"/>
          <w:sz w:val="21"/>
          <w:szCs w:val="21"/>
        </w:rPr>
        <w:t>证）、职称证书、学历</w:t>
      </w:r>
      <w:r>
        <w:rPr>
          <w:rFonts w:ascii="宋体" w:hAnsi="宋体" w:eastAsia="宋体" w:cs="宋体"/>
          <w:spacing w:val="13"/>
          <w:sz w:val="21"/>
          <w:szCs w:val="21"/>
        </w:rPr>
        <w:t xml:space="preserve"> </w:t>
      </w:r>
      <w:r>
        <w:rPr>
          <w:rFonts w:ascii="宋体" w:hAnsi="宋体" w:eastAsia="宋体" w:cs="宋体"/>
          <w:spacing w:val="-1"/>
          <w:sz w:val="21"/>
          <w:szCs w:val="21"/>
        </w:rPr>
        <w:t>证书等材料。</w:t>
      </w:r>
    </w:p>
    <w:p w14:paraId="776FA6D5">
      <w:pPr>
        <w:spacing w:before="71" w:line="220" w:lineRule="auto"/>
        <w:ind w:left="650"/>
        <w:rPr>
          <w:rFonts w:ascii="宋体" w:hAnsi="宋体" w:eastAsia="宋体" w:cs="宋体"/>
          <w:sz w:val="21"/>
          <w:szCs w:val="21"/>
        </w:rPr>
      </w:pPr>
      <w:r>
        <w:rPr>
          <w:rFonts w:ascii="宋体" w:hAnsi="宋体" w:eastAsia="宋体" w:cs="宋体"/>
          <w:sz w:val="21"/>
          <w:szCs w:val="21"/>
        </w:rPr>
        <w:t>2.类似项目限于以项目经理身份参与的项目。须</w:t>
      </w:r>
      <w:r>
        <w:rPr>
          <w:rFonts w:ascii="宋体" w:hAnsi="宋体" w:eastAsia="宋体" w:cs="宋体"/>
          <w:spacing w:val="-1"/>
          <w:sz w:val="21"/>
          <w:szCs w:val="21"/>
        </w:rPr>
        <w:t>附业绩证明材料。</w:t>
      </w:r>
    </w:p>
    <w:p w14:paraId="70C55017">
      <w:pPr>
        <w:spacing w:line="220" w:lineRule="auto"/>
        <w:rPr>
          <w:rFonts w:ascii="宋体" w:hAnsi="宋体" w:eastAsia="宋体" w:cs="宋体"/>
          <w:sz w:val="21"/>
          <w:szCs w:val="21"/>
        </w:rPr>
        <w:sectPr>
          <w:footerReference r:id="rId206" w:type="default"/>
          <w:pgSz w:w="11905" w:h="16839"/>
          <w:pgMar w:top="400" w:right="1785" w:bottom="1004" w:left="1785" w:header="0" w:footer="828" w:gutter="0"/>
          <w:pgNumType w:fmt="decimal"/>
          <w:cols w:space="720" w:num="1"/>
        </w:sectPr>
      </w:pPr>
    </w:p>
    <w:p w14:paraId="6B0B6DF1">
      <w:pPr>
        <w:pStyle w:val="3"/>
        <w:spacing w:line="260" w:lineRule="auto"/>
      </w:pPr>
    </w:p>
    <w:p w14:paraId="2CD45197">
      <w:pPr>
        <w:pStyle w:val="3"/>
        <w:spacing w:line="260" w:lineRule="auto"/>
      </w:pPr>
    </w:p>
    <w:p w14:paraId="72A6D34A">
      <w:pPr>
        <w:pStyle w:val="3"/>
        <w:spacing w:line="260" w:lineRule="auto"/>
      </w:pPr>
    </w:p>
    <w:p w14:paraId="71014B98">
      <w:pPr>
        <w:pStyle w:val="3"/>
        <w:spacing w:line="260" w:lineRule="auto"/>
      </w:pPr>
    </w:p>
    <w:p w14:paraId="4849A84D">
      <w:pPr>
        <w:pStyle w:val="3"/>
        <w:spacing w:line="261" w:lineRule="auto"/>
      </w:pPr>
    </w:p>
    <w:p w14:paraId="50E18473">
      <w:pPr>
        <w:spacing w:before="87" w:line="225" w:lineRule="auto"/>
        <w:ind w:left="3361"/>
        <w:rPr>
          <w:rFonts w:ascii="黑体" w:hAnsi="黑体" w:eastAsia="黑体" w:cs="黑体"/>
          <w:sz w:val="27"/>
          <w:szCs w:val="27"/>
        </w:rPr>
      </w:pPr>
      <w:bookmarkStart w:id="1327" w:name="bookmark312"/>
      <w:bookmarkEnd w:id="1327"/>
      <w:r>
        <w:rPr>
          <w:rFonts w:ascii="黑体" w:hAnsi="黑体" w:eastAsia="黑体" w:cs="黑体"/>
          <w:spacing w:val="-1"/>
          <w:sz w:val="27"/>
          <w:szCs w:val="27"/>
        </w:rPr>
        <w:t>（三）承诺书</w:t>
      </w:r>
    </w:p>
    <w:p w14:paraId="3C7B362D">
      <w:pPr>
        <w:tabs>
          <w:tab w:val="left" w:pos="2218"/>
        </w:tabs>
        <w:spacing w:before="290" w:line="221" w:lineRule="auto"/>
        <w:ind w:left="10"/>
        <w:rPr>
          <w:rFonts w:ascii="宋体" w:hAnsi="宋体" w:eastAsia="宋体" w:cs="宋体"/>
          <w:sz w:val="21"/>
          <w:szCs w:val="21"/>
        </w:rPr>
      </w:pPr>
      <w:r>
        <w:rPr>
          <w:rFonts w:ascii="宋体" w:hAnsi="宋体" w:eastAsia="宋体" w:cs="宋体"/>
          <w:sz w:val="21"/>
          <w:szCs w:val="21"/>
          <w:u w:val="single" w:color="auto"/>
        </w:rPr>
        <w:tab/>
      </w:r>
      <w:r>
        <w:rPr>
          <w:rFonts w:ascii="宋体" w:hAnsi="宋体" w:eastAsia="宋体" w:cs="宋体"/>
          <w:spacing w:val="-27"/>
          <w:sz w:val="21"/>
          <w:szCs w:val="21"/>
        </w:rPr>
        <w:t xml:space="preserve"> </w:t>
      </w:r>
      <w:r>
        <w:rPr>
          <w:rFonts w:ascii="宋体" w:hAnsi="宋体" w:eastAsia="宋体" w:cs="宋体"/>
          <w:spacing w:val="-24"/>
          <w:w w:val="98"/>
          <w:sz w:val="21"/>
          <w:szCs w:val="21"/>
        </w:rPr>
        <w:t>（招标人名称</w:t>
      </w:r>
      <w:r>
        <w:rPr>
          <w:rFonts w:ascii="宋体" w:hAnsi="宋体" w:eastAsia="宋体" w:cs="宋体"/>
          <w:spacing w:val="-13"/>
          <w:sz w:val="21"/>
          <w:szCs w:val="21"/>
        </w:rPr>
        <w:t>）：</w:t>
      </w:r>
    </w:p>
    <w:p w14:paraId="5760C541">
      <w:pPr>
        <w:spacing w:before="162" w:line="388" w:lineRule="auto"/>
        <w:ind w:left="35" w:right="1" w:firstLine="407"/>
        <w:rPr>
          <w:rFonts w:ascii="宋体" w:hAnsi="宋体" w:eastAsia="宋体" w:cs="宋体"/>
          <w:sz w:val="21"/>
          <w:szCs w:val="21"/>
        </w:rPr>
      </w:pPr>
      <w:r>
        <w:rPr>
          <w:rFonts w:ascii="宋体" w:hAnsi="宋体" w:eastAsia="宋体" w:cs="宋体"/>
          <w:spacing w:val="-4"/>
          <w:sz w:val="21"/>
          <w:szCs w:val="21"/>
        </w:rPr>
        <w:t>我方在此声明，我方拟派往</w:t>
      </w:r>
      <w:r>
        <w:rPr>
          <w:rFonts w:ascii="宋体" w:hAnsi="宋体" w:eastAsia="宋体" w:cs="宋体"/>
          <w:spacing w:val="-103"/>
          <w:sz w:val="21"/>
          <w:szCs w:val="21"/>
        </w:rPr>
        <w:t xml:space="preserve"> </w:t>
      </w:r>
      <w:r>
        <w:rPr>
          <w:rFonts w:ascii="宋体" w:hAnsi="宋体" w:eastAsia="宋体" w:cs="宋体"/>
          <w:spacing w:val="-4"/>
          <w:sz w:val="21"/>
          <w:szCs w:val="21"/>
          <w:u w:val="single" w:color="auto"/>
        </w:rPr>
        <w:t xml:space="preserve">                   </w:t>
      </w:r>
      <w:r>
        <w:rPr>
          <w:rFonts w:ascii="宋体" w:hAnsi="宋体" w:eastAsia="宋体" w:cs="宋体"/>
          <w:spacing w:val="-4"/>
          <w:sz w:val="21"/>
          <w:szCs w:val="21"/>
        </w:rPr>
        <w:t>（标段名称</w:t>
      </w:r>
      <w:r>
        <w:rPr>
          <w:rFonts w:ascii="宋体" w:hAnsi="宋体" w:eastAsia="宋体" w:cs="宋体"/>
          <w:spacing w:val="-8"/>
          <w:sz w:val="21"/>
          <w:szCs w:val="21"/>
        </w:rPr>
        <w:t>）（</w:t>
      </w:r>
      <w:r>
        <w:rPr>
          <w:rFonts w:ascii="宋体" w:hAnsi="宋体" w:eastAsia="宋体" w:cs="宋体"/>
          <w:spacing w:val="-4"/>
          <w:sz w:val="21"/>
          <w:szCs w:val="21"/>
        </w:rPr>
        <w:t>以下简称“本工程”）</w:t>
      </w:r>
      <w:r>
        <w:rPr>
          <w:rFonts w:ascii="宋体" w:hAnsi="宋体" w:eastAsia="宋体" w:cs="宋体"/>
          <w:sz w:val="21"/>
          <w:szCs w:val="21"/>
        </w:rPr>
        <w:t xml:space="preserve"> </w:t>
      </w:r>
      <w:r>
        <w:rPr>
          <w:rFonts w:ascii="宋体" w:hAnsi="宋体" w:eastAsia="宋体" w:cs="宋体"/>
          <w:spacing w:val="-6"/>
          <w:sz w:val="21"/>
          <w:szCs w:val="21"/>
        </w:rPr>
        <w:t>的项目经理</w:t>
      </w:r>
      <w:r>
        <w:rPr>
          <w:rFonts w:ascii="宋体" w:hAnsi="宋体" w:eastAsia="宋体" w:cs="宋体"/>
          <w:spacing w:val="-104"/>
          <w:sz w:val="21"/>
          <w:szCs w:val="21"/>
        </w:rPr>
        <w:t xml:space="preserve"> </w:t>
      </w:r>
      <w:r>
        <w:rPr>
          <w:rFonts w:ascii="宋体" w:hAnsi="宋体" w:eastAsia="宋体" w:cs="宋体"/>
          <w:sz w:val="21"/>
          <w:szCs w:val="21"/>
          <w:u w:val="single" w:color="auto"/>
        </w:rPr>
        <w:t xml:space="preserve">            </w:t>
      </w:r>
      <w:r>
        <w:rPr>
          <w:rFonts w:ascii="宋体" w:hAnsi="宋体" w:eastAsia="宋体" w:cs="宋体"/>
          <w:spacing w:val="-6"/>
          <w:sz w:val="21"/>
          <w:szCs w:val="21"/>
        </w:rPr>
        <w:t xml:space="preserve">  （项目经理姓名） 现阶段（投标截止时间之前）没有担任</w:t>
      </w:r>
      <w:r>
        <w:rPr>
          <w:rFonts w:ascii="宋体" w:hAnsi="宋体" w:eastAsia="宋体" w:cs="宋体"/>
          <w:spacing w:val="-7"/>
          <w:sz w:val="21"/>
          <w:szCs w:val="21"/>
        </w:rPr>
        <w:t>其他在</w:t>
      </w:r>
    </w:p>
    <w:p w14:paraId="45F6A856">
      <w:pPr>
        <w:spacing w:line="221" w:lineRule="auto"/>
        <w:ind w:left="17"/>
        <w:rPr>
          <w:rFonts w:ascii="宋体" w:hAnsi="宋体" w:eastAsia="宋体" w:cs="宋体"/>
          <w:sz w:val="21"/>
          <w:szCs w:val="21"/>
        </w:rPr>
      </w:pPr>
      <w:r>
        <w:rPr>
          <w:rFonts w:ascii="宋体" w:hAnsi="宋体" w:eastAsia="宋体" w:cs="宋体"/>
          <w:spacing w:val="-2"/>
          <w:sz w:val="21"/>
          <w:szCs w:val="21"/>
        </w:rPr>
        <w:t>施建设工程项目的项目经理。</w:t>
      </w:r>
    </w:p>
    <w:p w14:paraId="19E41D0B">
      <w:pPr>
        <w:spacing w:before="185" w:line="388" w:lineRule="auto"/>
        <w:ind w:left="17" w:right="7" w:firstLine="423"/>
        <w:rPr>
          <w:rFonts w:ascii="宋体" w:hAnsi="宋体" w:eastAsia="宋体" w:cs="宋体"/>
          <w:sz w:val="21"/>
          <w:szCs w:val="21"/>
        </w:rPr>
      </w:pPr>
      <w:r>
        <w:rPr>
          <w:rFonts w:ascii="宋体" w:hAnsi="宋体" w:eastAsia="宋体" w:cs="宋体"/>
          <w:spacing w:val="-3"/>
          <w:sz w:val="21"/>
          <w:szCs w:val="21"/>
        </w:rPr>
        <w:t>根据《注册建造师执业管理办法（试行）》第九条规定“注册建造师不得同时担任两个</w:t>
      </w:r>
      <w:r>
        <w:rPr>
          <w:rFonts w:ascii="宋体" w:hAnsi="宋体" w:eastAsia="宋体" w:cs="宋体"/>
          <w:spacing w:val="17"/>
          <w:sz w:val="21"/>
          <w:szCs w:val="21"/>
        </w:rPr>
        <w:t xml:space="preserve"> </w:t>
      </w:r>
      <w:r>
        <w:rPr>
          <w:rFonts w:ascii="宋体" w:hAnsi="宋体" w:eastAsia="宋体" w:cs="宋体"/>
          <w:spacing w:val="-2"/>
          <w:sz w:val="21"/>
          <w:szCs w:val="21"/>
        </w:rPr>
        <w:t>及以上建设工程施工项目负责人”，第十条规定“注册建造</w:t>
      </w:r>
      <w:r>
        <w:rPr>
          <w:rFonts w:ascii="宋体" w:hAnsi="宋体" w:eastAsia="宋体" w:cs="宋体"/>
          <w:spacing w:val="-3"/>
          <w:sz w:val="21"/>
          <w:szCs w:val="21"/>
        </w:rPr>
        <w:t>师担任施工项目负责人期间原则</w:t>
      </w:r>
    </w:p>
    <w:p w14:paraId="703F83EE">
      <w:pPr>
        <w:spacing w:before="1" w:line="219" w:lineRule="auto"/>
        <w:ind w:left="20"/>
        <w:rPr>
          <w:rFonts w:ascii="宋体" w:hAnsi="宋体" w:eastAsia="宋体" w:cs="宋体"/>
          <w:sz w:val="21"/>
          <w:szCs w:val="21"/>
        </w:rPr>
      </w:pPr>
      <w:r>
        <w:rPr>
          <w:rFonts w:ascii="宋体" w:hAnsi="宋体" w:eastAsia="宋体" w:cs="宋体"/>
          <w:spacing w:val="-4"/>
          <w:sz w:val="21"/>
          <w:szCs w:val="21"/>
        </w:rPr>
        <w:t>上不得更换”。我方拟派项目经理的能够参加本工程的投标是基于以下理</w:t>
      </w:r>
      <w:r>
        <w:rPr>
          <w:rFonts w:ascii="宋体" w:hAnsi="宋体" w:eastAsia="宋体" w:cs="宋体"/>
          <w:spacing w:val="-5"/>
          <w:sz w:val="21"/>
          <w:szCs w:val="21"/>
        </w:rPr>
        <w:t>由：</w:t>
      </w:r>
    </w:p>
    <w:p w14:paraId="1405FF76">
      <w:pPr>
        <w:spacing w:before="187" w:line="220" w:lineRule="auto"/>
        <w:ind w:left="563"/>
        <w:rPr>
          <w:rFonts w:ascii="宋体" w:hAnsi="宋体" w:eastAsia="宋体" w:cs="宋体"/>
          <w:sz w:val="21"/>
          <w:szCs w:val="21"/>
        </w:rPr>
      </w:pPr>
      <w:r>
        <w:rPr>
          <w:rFonts w:ascii="宋体" w:hAnsi="宋体" w:eastAsia="宋体" w:cs="宋体"/>
          <w:spacing w:val="-4"/>
          <w:sz w:val="21"/>
          <w:szCs w:val="21"/>
        </w:rPr>
        <w:t>□ 拟派项目经理无在建工程。</w:t>
      </w:r>
    </w:p>
    <w:p w14:paraId="73AD542C">
      <w:pPr>
        <w:spacing w:before="191" w:line="220" w:lineRule="auto"/>
        <w:ind w:right="22"/>
        <w:jc w:val="right"/>
        <w:rPr>
          <w:rFonts w:ascii="宋体" w:hAnsi="宋体" w:eastAsia="宋体" w:cs="宋体"/>
          <w:sz w:val="21"/>
          <w:szCs w:val="21"/>
        </w:rPr>
      </w:pPr>
      <w:r>
        <w:rPr>
          <w:rFonts w:ascii="宋体" w:hAnsi="宋体" w:eastAsia="宋体" w:cs="宋体"/>
          <w:spacing w:val="-3"/>
          <w:sz w:val="21"/>
          <w:szCs w:val="21"/>
        </w:rPr>
        <w:t>□ 拟派项目经理存在《注册建造师执业管理办法</w:t>
      </w:r>
      <w:r>
        <w:rPr>
          <w:rFonts w:ascii="宋体" w:hAnsi="宋体" w:eastAsia="宋体" w:cs="宋体"/>
          <w:spacing w:val="-4"/>
          <w:sz w:val="21"/>
          <w:szCs w:val="21"/>
        </w:rPr>
        <w:t>（试行）》第九条规定的下列情形：</w:t>
      </w:r>
    </w:p>
    <w:p w14:paraId="711844E9">
      <w:pPr>
        <w:spacing w:before="192" w:line="221" w:lineRule="auto"/>
        <w:ind w:left="985"/>
        <w:rPr>
          <w:rFonts w:ascii="宋体" w:hAnsi="宋体" w:eastAsia="宋体" w:cs="宋体"/>
          <w:sz w:val="21"/>
          <w:szCs w:val="21"/>
        </w:rPr>
      </w:pPr>
      <w:r>
        <w:rPr>
          <w:rFonts w:ascii="宋体" w:hAnsi="宋体" w:eastAsia="宋体" w:cs="宋体"/>
          <w:spacing w:val="-2"/>
          <w:sz w:val="21"/>
          <w:szCs w:val="21"/>
        </w:rPr>
        <w:t>□同一工程相邻分段发包或分期施工的</w:t>
      </w:r>
      <w:r>
        <w:rPr>
          <w:rFonts w:ascii="宋体" w:hAnsi="宋体" w:eastAsia="宋体" w:cs="宋体"/>
          <w:spacing w:val="-51"/>
          <w:sz w:val="21"/>
          <w:szCs w:val="21"/>
        </w:rPr>
        <w:t xml:space="preserve"> </w:t>
      </w:r>
      <w:r>
        <w:rPr>
          <w:rFonts w:ascii="宋体" w:hAnsi="宋体" w:eastAsia="宋体" w:cs="宋体"/>
          <w:spacing w:val="-2"/>
          <w:sz w:val="21"/>
          <w:szCs w:val="21"/>
        </w:rPr>
        <w:t>;</w:t>
      </w:r>
    </w:p>
    <w:p w14:paraId="6816B83A">
      <w:pPr>
        <w:spacing w:before="185" w:line="221" w:lineRule="auto"/>
        <w:ind w:left="985"/>
        <w:rPr>
          <w:rFonts w:ascii="宋体" w:hAnsi="宋体" w:eastAsia="宋体" w:cs="宋体"/>
          <w:sz w:val="21"/>
          <w:szCs w:val="21"/>
        </w:rPr>
      </w:pPr>
      <w:r>
        <w:rPr>
          <w:rFonts w:ascii="宋体" w:hAnsi="宋体" w:eastAsia="宋体" w:cs="宋体"/>
          <w:spacing w:val="-2"/>
          <w:sz w:val="21"/>
          <w:szCs w:val="21"/>
        </w:rPr>
        <w:t>□合同约定的工程验收合格的；</w:t>
      </w:r>
    </w:p>
    <w:p w14:paraId="508B7A40">
      <w:pPr>
        <w:spacing w:before="190" w:line="221" w:lineRule="auto"/>
        <w:ind w:left="985"/>
        <w:rPr>
          <w:rFonts w:ascii="宋体" w:hAnsi="宋体" w:eastAsia="宋体" w:cs="宋体"/>
          <w:sz w:val="21"/>
          <w:szCs w:val="21"/>
        </w:rPr>
      </w:pPr>
      <w:r>
        <w:rPr>
          <w:rFonts w:ascii="宋体" w:hAnsi="宋体" w:eastAsia="宋体" w:cs="宋体"/>
          <w:spacing w:val="-2"/>
          <w:sz w:val="21"/>
          <w:szCs w:val="21"/>
        </w:rPr>
        <w:t>□因非承包方原因致使工程项目停工超过</w:t>
      </w:r>
      <w:r>
        <w:rPr>
          <w:rFonts w:ascii="宋体" w:hAnsi="宋体" w:eastAsia="宋体" w:cs="宋体"/>
          <w:spacing w:val="-27"/>
          <w:sz w:val="21"/>
          <w:szCs w:val="21"/>
        </w:rPr>
        <w:t xml:space="preserve"> </w:t>
      </w:r>
      <w:r>
        <w:rPr>
          <w:rFonts w:ascii="宋体" w:hAnsi="宋体" w:eastAsia="宋体" w:cs="宋体"/>
          <w:spacing w:val="-2"/>
          <w:sz w:val="21"/>
          <w:szCs w:val="21"/>
        </w:rPr>
        <w:t>120</w:t>
      </w:r>
      <w:r>
        <w:rPr>
          <w:rFonts w:ascii="宋体" w:hAnsi="宋体" w:eastAsia="宋体" w:cs="宋体"/>
          <w:spacing w:val="-39"/>
          <w:sz w:val="21"/>
          <w:szCs w:val="21"/>
        </w:rPr>
        <w:t xml:space="preserve"> </w:t>
      </w:r>
      <w:r>
        <w:rPr>
          <w:rFonts w:ascii="宋体" w:hAnsi="宋体" w:eastAsia="宋体" w:cs="宋体"/>
          <w:spacing w:val="-2"/>
          <w:sz w:val="21"/>
          <w:szCs w:val="21"/>
        </w:rPr>
        <w:t>天（含</w:t>
      </w:r>
      <w:r>
        <w:rPr>
          <w:rFonts w:ascii="宋体" w:hAnsi="宋体" w:eastAsia="宋体" w:cs="宋体"/>
          <w:spacing w:val="-51"/>
          <w:sz w:val="21"/>
          <w:szCs w:val="21"/>
        </w:rPr>
        <w:t>），</w:t>
      </w:r>
      <w:r>
        <w:rPr>
          <w:rFonts w:ascii="宋体" w:hAnsi="宋体" w:eastAsia="宋体" w:cs="宋体"/>
          <w:spacing w:val="-2"/>
          <w:sz w:val="21"/>
          <w:szCs w:val="21"/>
        </w:rPr>
        <w:t>经建设单位同意的。</w:t>
      </w:r>
    </w:p>
    <w:p w14:paraId="7CD7A2DD">
      <w:pPr>
        <w:spacing w:before="191" w:line="220" w:lineRule="auto"/>
        <w:ind w:right="28"/>
        <w:jc w:val="right"/>
        <w:rPr>
          <w:rFonts w:ascii="宋体" w:hAnsi="宋体" w:eastAsia="宋体" w:cs="宋体"/>
          <w:sz w:val="21"/>
          <w:szCs w:val="21"/>
        </w:rPr>
      </w:pPr>
      <w:r>
        <w:rPr>
          <w:rFonts w:ascii="宋体" w:hAnsi="宋体" w:eastAsia="宋体" w:cs="宋体"/>
          <w:sz w:val="21"/>
          <w:szCs w:val="21"/>
        </w:rPr>
        <w:t>□</w:t>
      </w:r>
      <w:r>
        <w:rPr>
          <w:rFonts w:ascii="宋体" w:hAnsi="宋体" w:eastAsia="宋体" w:cs="宋体"/>
          <w:spacing w:val="75"/>
          <w:sz w:val="21"/>
          <w:szCs w:val="21"/>
        </w:rPr>
        <w:t xml:space="preserve"> </w:t>
      </w:r>
      <w:r>
        <w:rPr>
          <w:rFonts w:ascii="宋体" w:hAnsi="宋体" w:eastAsia="宋体" w:cs="宋体"/>
          <w:sz w:val="21"/>
          <w:szCs w:val="21"/>
        </w:rPr>
        <w:t>拟派项目经理担任其他施工项目负责人期间因下列原因进行了更换，并办理书面</w:t>
      </w:r>
    </w:p>
    <w:p w14:paraId="7A92E2AF">
      <w:pPr>
        <w:spacing w:before="187" w:line="221" w:lineRule="auto"/>
        <w:ind w:left="22"/>
        <w:rPr>
          <w:rFonts w:ascii="宋体" w:hAnsi="宋体" w:eastAsia="宋体" w:cs="宋体"/>
          <w:sz w:val="21"/>
          <w:szCs w:val="21"/>
        </w:rPr>
      </w:pPr>
      <w:r>
        <w:rPr>
          <w:rFonts w:ascii="宋体" w:hAnsi="宋体" w:eastAsia="宋体" w:cs="宋体"/>
          <w:spacing w:val="-9"/>
          <w:sz w:val="21"/>
          <w:szCs w:val="21"/>
        </w:rPr>
        <w:t>交接手续：</w:t>
      </w:r>
    </w:p>
    <w:p w14:paraId="596B58DD">
      <w:pPr>
        <w:spacing w:before="190" w:line="221" w:lineRule="auto"/>
        <w:ind w:left="985"/>
        <w:rPr>
          <w:rFonts w:ascii="宋体" w:hAnsi="宋体" w:eastAsia="宋体" w:cs="宋体"/>
          <w:sz w:val="21"/>
          <w:szCs w:val="21"/>
        </w:rPr>
      </w:pPr>
      <w:r>
        <w:rPr>
          <w:rFonts w:ascii="宋体" w:hAnsi="宋体" w:eastAsia="宋体" w:cs="宋体"/>
          <w:spacing w:val="-3"/>
          <w:sz w:val="21"/>
          <w:szCs w:val="21"/>
        </w:rPr>
        <w:t>□发包方与注册建造师受聘企业已解除承包合同的；</w:t>
      </w:r>
    </w:p>
    <w:p w14:paraId="718162A4">
      <w:pPr>
        <w:spacing w:before="190" w:line="221" w:lineRule="auto"/>
        <w:ind w:left="985"/>
        <w:rPr>
          <w:rFonts w:ascii="宋体" w:hAnsi="宋体" w:eastAsia="宋体" w:cs="宋体"/>
          <w:sz w:val="21"/>
          <w:szCs w:val="21"/>
        </w:rPr>
      </w:pPr>
      <w:r>
        <w:rPr>
          <w:rFonts w:ascii="宋体" w:hAnsi="宋体" w:eastAsia="宋体" w:cs="宋体"/>
          <w:spacing w:val="-4"/>
          <w:sz w:val="21"/>
          <w:szCs w:val="21"/>
        </w:rPr>
        <w:t>□发包方同意更换项目负责人的；</w:t>
      </w:r>
    </w:p>
    <w:p w14:paraId="32E6784D">
      <w:pPr>
        <w:spacing w:before="185" w:line="221" w:lineRule="auto"/>
        <w:ind w:left="985"/>
        <w:rPr>
          <w:rFonts w:ascii="宋体" w:hAnsi="宋体" w:eastAsia="宋体" w:cs="宋体"/>
          <w:sz w:val="21"/>
          <w:szCs w:val="21"/>
        </w:rPr>
      </w:pPr>
      <w:r>
        <w:rPr>
          <w:rFonts w:ascii="宋体" w:hAnsi="宋体" w:eastAsia="宋体" w:cs="宋体"/>
          <w:spacing w:val="-2"/>
          <w:sz w:val="21"/>
          <w:szCs w:val="21"/>
        </w:rPr>
        <w:t>□因不可抗力等特殊情况必须更换项目负责人的。</w:t>
      </w:r>
    </w:p>
    <w:p w14:paraId="1EE3351E">
      <w:pPr>
        <w:spacing w:before="191" w:line="239" w:lineRule="auto"/>
        <w:ind w:left="563"/>
        <w:rPr>
          <w:rFonts w:ascii="宋体" w:hAnsi="宋体" w:eastAsia="宋体" w:cs="宋体"/>
          <w:sz w:val="21"/>
          <w:szCs w:val="21"/>
        </w:rPr>
      </w:pPr>
      <w:r>
        <w:rPr>
          <w:rFonts w:ascii="宋体" w:hAnsi="宋体" w:eastAsia="宋体" w:cs="宋体"/>
          <w:spacing w:val="-15"/>
          <w:sz w:val="21"/>
          <w:szCs w:val="21"/>
        </w:rPr>
        <w:t>□</w:t>
      </w:r>
      <w:r>
        <w:rPr>
          <w:rFonts w:ascii="宋体" w:hAnsi="宋体" w:eastAsia="宋体" w:cs="宋体"/>
          <w:spacing w:val="-52"/>
          <w:sz w:val="21"/>
          <w:szCs w:val="21"/>
        </w:rPr>
        <w:t xml:space="preserve"> </w:t>
      </w:r>
      <w:r>
        <w:rPr>
          <w:rFonts w:ascii="宋体" w:hAnsi="宋体" w:eastAsia="宋体" w:cs="宋体"/>
          <w:spacing w:val="2"/>
          <w:sz w:val="21"/>
          <w:szCs w:val="21"/>
          <w:u w:val="single" w:color="auto"/>
        </w:rPr>
        <w:t xml:space="preserve">                         </w:t>
      </w:r>
      <w:r>
        <w:rPr>
          <w:rFonts w:ascii="宋体" w:hAnsi="宋体" w:eastAsia="宋体" w:cs="宋体"/>
          <w:spacing w:val="-48"/>
          <w:sz w:val="21"/>
          <w:szCs w:val="21"/>
        </w:rPr>
        <w:t xml:space="preserve"> </w:t>
      </w:r>
      <w:r>
        <w:rPr>
          <w:rFonts w:ascii="宋体" w:hAnsi="宋体" w:eastAsia="宋体" w:cs="宋体"/>
          <w:spacing w:val="-15"/>
          <w:sz w:val="21"/>
          <w:szCs w:val="21"/>
        </w:rPr>
        <w:t>。</w:t>
      </w:r>
    </w:p>
    <w:p w14:paraId="1409956D">
      <w:pPr>
        <w:spacing w:before="170" w:line="437" w:lineRule="exact"/>
        <w:ind w:left="442"/>
        <w:rPr>
          <w:rFonts w:ascii="宋体" w:hAnsi="宋体" w:eastAsia="宋体" w:cs="宋体"/>
          <w:sz w:val="21"/>
          <w:szCs w:val="21"/>
        </w:rPr>
      </w:pPr>
      <w:r>
        <w:rPr>
          <w:rFonts w:ascii="宋体" w:hAnsi="宋体" w:eastAsia="宋体" w:cs="宋体"/>
          <w:spacing w:val="-5"/>
          <w:position w:val="17"/>
          <w:sz w:val="21"/>
          <w:szCs w:val="21"/>
        </w:rPr>
        <w:t>我方保证上述信息的真实性和准确性， 并承担相应的法律责任。</w:t>
      </w:r>
    </w:p>
    <w:p w14:paraId="6852B9F7">
      <w:pPr>
        <w:spacing w:line="220" w:lineRule="auto"/>
        <w:ind w:left="441"/>
        <w:rPr>
          <w:rFonts w:ascii="宋体" w:hAnsi="宋体" w:eastAsia="宋体" w:cs="宋体"/>
          <w:sz w:val="21"/>
          <w:szCs w:val="21"/>
        </w:rPr>
      </w:pPr>
      <w:r>
        <w:rPr>
          <w:rFonts w:ascii="宋体" w:hAnsi="宋体" w:eastAsia="宋体" w:cs="宋体"/>
          <w:spacing w:val="-1"/>
          <w:sz w:val="21"/>
          <w:szCs w:val="21"/>
        </w:rPr>
        <w:t>特此承诺</w:t>
      </w:r>
    </w:p>
    <w:p w14:paraId="64D44184">
      <w:pPr>
        <w:pStyle w:val="3"/>
        <w:spacing w:line="417" w:lineRule="auto"/>
      </w:pPr>
    </w:p>
    <w:p w14:paraId="0C3985EA">
      <w:pPr>
        <w:spacing w:before="69" w:line="359" w:lineRule="auto"/>
        <w:ind w:right="7"/>
        <w:jc w:val="right"/>
        <w:rPr>
          <w:rFonts w:ascii="宋体" w:hAnsi="宋体" w:eastAsia="宋体" w:cs="宋体"/>
          <w:sz w:val="21"/>
          <w:szCs w:val="21"/>
        </w:rPr>
      </w:pPr>
      <w:r>
        <w:rPr>
          <w:rFonts w:ascii="宋体" w:hAnsi="宋体" w:eastAsia="宋体" w:cs="宋体"/>
          <w:spacing w:val="-24"/>
          <w:sz w:val="21"/>
          <w:szCs w:val="21"/>
        </w:rPr>
        <w:t>投标人</w:t>
      </w:r>
      <w:r>
        <w:rPr>
          <w:rFonts w:ascii="宋体" w:hAnsi="宋体" w:eastAsia="宋体" w:cs="宋体"/>
          <w:spacing w:val="3"/>
          <w:sz w:val="21"/>
          <w:szCs w:val="21"/>
        </w:rPr>
        <w:t>：</w:t>
      </w:r>
      <w:r>
        <w:rPr>
          <w:rFonts w:ascii="宋体" w:hAnsi="宋体" w:eastAsia="宋体" w:cs="宋体"/>
          <w:spacing w:val="9"/>
          <w:sz w:val="21"/>
          <w:szCs w:val="21"/>
        </w:rPr>
        <w:t xml:space="preserve"> </w:t>
      </w:r>
      <w:r>
        <w:rPr>
          <w:rFonts w:ascii="宋体" w:hAnsi="宋体" w:eastAsia="宋体" w:cs="宋体"/>
          <w:spacing w:val="4"/>
          <w:sz w:val="21"/>
          <w:szCs w:val="21"/>
          <w:u w:val="single" w:color="auto"/>
        </w:rPr>
        <w:t xml:space="preserve">                    </w:t>
      </w:r>
      <w:r>
        <w:rPr>
          <w:rFonts w:ascii="宋体" w:hAnsi="宋体" w:eastAsia="宋体" w:cs="宋体"/>
          <w:spacing w:val="3"/>
          <w:sz w:val="21"/>
          <w:szCs w:val="21"/>
          <w:u w:val="single" w:color="auto"/>
        </w:rPr>
        <w:t xml:space="preserve">        </w:t>
      </w:r>
      <w:r>
        <w:rPr>
          <w:rFonts w:ascii="宋体" w:hAnsi="宋体" w:eastAsia="宋体" w:cs="宋体"/>
          <w:spacing w:val="-48"/>
          <w:sz w:val="21"/>
          <w:szCs w:val="21"/>
        </w:rPr>
        <w:t xml:space="preserve"> </w:t>
      </w:r>
      <w:r>
        <w:rPr>
          <w:rFonts w:ascii="宋体" w:hAnsi="宋体" w:eastAsia="宋体" w:cs="宋体"/>
          <w:spacing w:val="3"/>
          <w:sz w:val="21"/>
          <w:szCs w:val="21"/>
        </w:rPr>
        <w:t>（</w:t>
      </w:r>
      <w:r>
        <w:rPr>
          <w:rFonts w:ascii="宋体" w:hAnsi="宋体" w:eastAsia="宋体" w:cs="宋体"/>
          <w:spacing w:val="-24"/>
          <w:sz w:val="21"/>
          <w:szCs w:val="21"/>
        </w:rPr>
        <w:t>盖单位章）</w:t>
      </w:r>
    </w:p>
    <w:p w14:paraId="442305B7">
      <w:pPr>
        <w:spacing w:before="1" w:line="219" w:lineRule="auto"/>
        <w:ind w:right="11"/>
        <w:jc w:val="right"/>
        <w:rPr>
          <w:rFonts w:ascii="宋体" w:hAnsi="宋体" w:eastAsia="宋体" w:cs="宋体"/>
          <w:sz w:val="21"/>
          <w:szCs w:val="21"/>
        </w:rPr>
      </w:pPr>
      <w:r>
        <w:rPr>
          <w:rFonts w:ascii="宋体" w:hAnsi="宋体" w:eastAsia="宋体" w:cs="宋体"/>
          <w:spacing w:val="-13"/>
          <w:sz w:val="21"/>
          <w:szCs w:val="21"/>
        </w:rPr>
        <w:t>法定代表人或授权委托人</w:t>
      </w:r>
      <w:r>
        <w:rPr>
          <w:rFonts w:ascii="宋体" w:hAnsi="宋体" w:eastAsia="宋体" w:cs="宋体"/>
          <w:spacing w:val="3"/>
          <w:sz w:val="21"/>
          <w:szCs w:val="21"/>
        </w:rPr>
        <w:t>：</w:t>
      </w:r>
      <w:r>
        <w:rPr>
          <w:rFonts w:ascii="宋体" w:hAnsi="宋体" w:eastAsia="宋体" w:cs="宋体"/>
          <w:spacing w:val="-1"/>
          <w:sz w:val="21"/>
          <w:szCs w:val="21"/>
        </w:rPr>
        <w:t xml:space="preserve"> </w:t>
      </w:r>
      <w:r>
        <w:rPr>
          <w:rFonts w:ascii="宋体" w:hAnsi="宋体" w:eastAsia="宋体" w:cs="宋体"/>
          <w:spacing w:val="4"/>
          <w:sz w:val="21"/>
          <w:szCs w:val="21"/>
          <w:u w:val="single" w:color="auto"/>
        </w:rPr>
        <w:t xml:space="preserve">                    </w:t>
      </w:r>
      <w:r>
        <w:rPr>
          <w:rFonts w:ascii="宋体" w:hAnsi="宋体" w:eastAsia="宋体" w:cs="宋体"/>
          <w:spacing w:val="3"/>
          <w:sz w:val="21"/>
          <w:szCs w:val="21"/>
          <w:u w:val="single" w:color="auto"/>
        </w:rPr>
        <w:t xml:space="preserve">        </w:t>
      </w:r>
      <w:r>
        <w:rPr>
          <w:rFonts w:ascii="宋体" w:hAnsi="宋体" w:eastAsia="宋体" w:cs="宋体"/>
          <w:spacing w:val="-48"/>
          <w:sz w:val="21"/>
          <w:szCs w:val="21"/>
        </w:rPr>
        <w:t xml:space="preserve"> </w:t>
      </w:r>
      <w:r>
        <w:rPr>
          <w:rFonts w:ascii="宋体" w:hAnsi="宋体" w:eastAsia="宋体" w:cs="宋体"/>
          <w:spacing w:val="3"/>
          <w:sz w:val="21"/>
          <w:szCs w:val="21"/>
        </w:rPr>
        <w:t>（</w:t>
      </w:r>
      <w:r>
        <w:rPr>
          <w:rFonts w:ascii="宋体" w:hAnsi="宋体" w:eastAsia="宋体" w:cs="宋体"/>
          <w:spacing w:val="-13"/>
          <w:sz w:val="21"/>
          <w:szCs w:val="21"/>
        </w:rPr>
        <w:t>签章）</w:t>
      </w:r>
    </w:p>
    <w:p w14:paraId="709B9ECF">
      <w:pPr>
        <w:tabs>
          <w:tab w:val="left" w:pos="6017"/>
        </w:tabs>
        <w:spacing w:before="158" w:line="221" w:lineRule="auto"/>
        <w:ind w:left="4965"/>
        <w:rPr>
          <w:rFonts w:ascii="宋体" w:hAnsi="宋体" w:eastAsia="宋体" w:cs="宋体"/>
          <w:sz w:val="21"/>
          <w:szCs w:val="21"/>
        </w:rPr>
      </w:pPr>
      <w:r>
        <w:rPr>
          <w:rFonts w:ascii="宋体" w:hAnsi="宋体" w:eastAsia="宋体" w:cs="宋体"/>
          <w:sz w:val="21"/>
          <w:szCs w:val="21"/>
          <w:u w:val="single" w:color="auto"/>
        </w:rPr>
        <w:tab/>
      </w:r>
      <w:r>
        <w:rPr>
          <w:rFonts w:ascii="宋体" w:hAnsi="宋体" w:eastAsia="宋体" w:cs="宋体"/>
          <w:spacing w:val="-95"/>
          <w:sz w:val="21"/>
          <w:szCs w:val="21"/>
        </w:rPr>
        <w:t xml:space="preserve"> </w:t>
      </w:r>
      <w:r>
        <w:rPr>
          <w:rFonts w:ascii="宋体" w:hAnsi="宋体" w:eastAsia="宋体" w:cs="宋体"/>
          <w:spacing w:val="-22"/>
          <w:sz w:val="21"/>
          <w:szCs w:val="21"/>
        </w:rPr>
        <w:t>年</w:t>
      </w:r>
      <w:r>
        <w:rPr>
          <w:rFonts w:ascii="宋体" w:hAnsi="宋体" w:eastAsia="宋体" w:cs="宋体"/>
          <w:spacing w:val="-104"/>
          <w:sz w:val="21"/>
          <w:szCs w:val="21"/>
        </w:rPr>
        <w:t xml:space="preserve"> </w:t>
      </w:r>
      <w:r>
        <w:rPr>
          <w:rFonts w:ascii="宋体" w:hAnsi="宋体" w:eastAsia="宋体" w:cs="宋体"/>
          <w:sz w:val="21"/>
          <w:szCs w:val="21"/>
          <w:u w:val="single" w:color="auto"/>
        </w:rPr>
        <w:t xml:space="preserve">        </w:t>
      </w:r>
      <w:r>
        <w:rPr>
          <w:rFonts w:ascii="宋体" w:hAnsi="宋体" w:eastAsia="宋体" w:cs="宋体"/>
          <w:spacing w:val="-92"/>
          <w:sz w:val="21"/>
          <w:szCs w:val="21"/>
        </w:rPr>
        <w:t xml:space="preserve"> </w:t>
      </w:r>
      <w:r>
        <w:rPr>
          <w:rFonts w:ascii="宋体" w:hAnsi="宋体" w:eastAsia="宋体" w:cs="宋体"/>
          <w:spacing w:val="-22"/>
          <w:sz w:val="21"/>
          <w:szCs w:val="21"/>
        </w:rPr>
        <w:t>月</w:t>
      </w:r>
      <w:r>
        <w:rPr>
          <w:rFonts w:ascii="宋体" w:hAnsi="宋体" w:eastAsia="宋体" w:cs="宋体"/>
          <w:sz w:val="21"/>
          <w:szCs w:val="21"/>
          <w:u w:val="single" w:color="auto"/>
        </w:rPr>
        <w:t xml:space="preserve">        </w:t>
      </w:r>
      <w:r>
        <w:rPr>
          <w:rFonts w:ascii="宋体" w:hAnsi="宋体" w:eastAsia="宋体" w:cs="宋体"/>
          <w:spacing w:val="-60"/>
          <w:sz w:val="21"/>
          <w:szCs w:val="21"/>
        </w:rPr>
        <w:t xml:space="preserve"> </w:t>
      </w:r>
      <w:r>
        <w:rPr>
          <w:rFonts w:ascii="宋体" w:hAnsi="宋体" w:eastAsia="宋体" w:cs="宋体"/>
          <w:spacing w:val="-22"/>
          <w:sz w:val="21"/>
          <w:szCs w:val="21"/>
        </w:rPr>
        <w:t>日</w:t>
      </w:r>
    </w:p>
    <w:p w14:paraId="02C704CF">
      <w:pPr>
        <w:spacing w:line="221" w:lineRule="auto"/>
        <w:rPr>
          <w:rFonts w:ascii="宋体" w:hAnsi="宋体" w:eastAsia="宋体" w:cs="宋体"/>
          <w:sz w:val="21"/>
          <w:szCs w:val="21"/>
        </w:rPr>
        <w:sectPr>
          <w:footerReference r:id="rId207" w:type="default"/>
          <w:pgSz w:w="11905" w:h="16839"/>
          <w:pgMar w:top="400" w:right="1785" w:bottom="1004" w:left="1785" w:header="0" w:footer="828" w:gutter="0"/>
          <w:pgNumType w:fmt="decimal"/>
          <w:cols w:space="720" w:num="1"/>
        </w:sectPr>
      </w:pPr>
    </w:p>
    <w:p w14:paraId="29C596CA">
      <w:pPr>
        <w:pStyle w:val="3"/>
        <w:spacing w:line="257" w:lineRule="auto"/>
      </w:pPr>
    </w:p>
    <w:p w14:paraId="1C796C30">
      <w:pPr>
        <w:pStyle w:val="3"/>
        <w:spacing w:line="257" w:lineRule="auto"/>
      </w:pPr>
    </w:p>
    <w:p w14:paraId="592557B5">
      <w:pPr>
        <w:pStyle w:val="3"/>
        <w:spacing w:line="257" w:lineRule="auto"/>
      </w:pPr>
    </w:p>
    <w:p w14:paraId="184158E0">
      <w:pPr>
        <w:pStyle w:val="3"/>
        <w:spacing w:line="257" w:lineRule="auto"/>
      </w:pPr>
    </w:p>
    <w:p w14:paraId="6691452C">
      <w:pPr>
        <w:spacing w:before="88" w:line="224" w:lineRule="auto"/>
        <w:ind w:left="1959"/>
        <w:rPr>
          <w:rFonts w:ascii="黑体" w:hAnsi="黑体" w:eastAsia="黑体" w:cs="黑体"/>
          <w:sz w:val="27"/>
          <w:szCs w:val="27"/>
        </w:rPr>
      </w:pPr>
      <w:bookmarkStart w:id="1328" w:name="bookmark313"/>
      <w:bookmarkEnd w:id="1328"/>
      <w:bookmarkStart w:id="1329" w:name="bookmark314"/>
      <w:bookmarkEnd w:id="1329"/>
      <w:r>
        <w:rPr>
          <w:rFonts w:ascii="黑体" w:hAnsi="黑体" w:eastAsia="黑体" w:cs="黑体"/>
          <w:spacing w:val="6"/>
          <w:sz w:val="27"/>
          <w:szCs w:val="27"/>
        </w:rPr>
        <w:t>（四）其他主要项目管理人员简历表</w:t>
      </w:r>
    </w:p>
    <w:p w14:paraId="2BB4D0F7">
      <w:pPr>
        <w:spacing w:before="20"/>
      </w:pPr>
    </w:p>
    <w:tbl>
      <w:tblPr>
        <w:tblStyle w:val="10"/>
        <w:tblW w:w="8311"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10"/>
        <w:gridCol w:w="2654"/>
        <w:gridCol w:w="1684"/>
        <w:gridCol w:w="2663"/>
      </w:tblGrid>
      <w:tr w14:paraId="710C05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2" w:hRule="atLeast"/>
        </w:trPr>
        <w:tc>
          <w:tcPr>
            <w:tcW w:w="1310" w:type="dxa"/>
            <w:vAlign w:val="top"/>
          </w:tcPr>
          <w:p w14:paraId="58034EE1">
            <w:pPr>
              <w:pStyle w:val="11"/>
              <w:spacing w:before="91" w:line="231" w:lineRule="auto"/>
              <w:ind w:left="250" w:right="224" w:firstLine="16"/>
            </w:pPr>
            <w:r>
              <w:rPr>
                <w:spacing w:val="-7"/>
              </w:rPr>
              <w:t>岗位名称</w:t>
            </w:r>
            <w:r>
              <w:t xml:space="preserve"> </w:t>
            </w:r>
            <w:r>
              <w:rPr>
                <w:spacing w:val="-5"/>
              </w:rPr>
              <w:t>（职务）</w:t>
            </w:r>
          </w:p>
        </w:tc>
        <w:tc>
          <w:tcPr>
            <w:tcW w:w="7001" w:type="dxa"/>
            <w:gridSpan w:val="3"/>
            <w:vAlign w:val="top"/>
          </w:tcPr>
          <w:p w14:paraId="58F2E541">
            <w:pPr>
              <w:rPr>
                <w:rFonts w:ascii="Arial"/>
                <w:sz w:val="21"/>
              </w:rPr>
            </w:pPr>
          </w:p>
        </w:tc>
      </w:tr>
      <w:tr w14:paraId="6BFC77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2" w:hRule="atLeast"/>
        </w:trPr>
        <w:tc>
          <w:tcPr>
            <w:tcW w:w="1310" w:type="dxa"/>
            <w:vAlign w:val="top"/>
          </w:tcPr>
          <w:p w14:paraId="5B1EB3AB">
            <w:pPr>
              <w:pStyle w:val="11"/>
              <w:spacing w:before="221" w:line="221" w:lineRule="auto"/>
              <w:ind w:left="243"/>
            </w:pPr>
            <w:r>
              <w:rPr>
                <w:spacing w:val="-4"/>
              </w:rPr>
              <w:t>姓</w:t>
            </w:r>
            <w:r>
              <w:rPr>
                <w:spacing w:val="3"/>
              </w:rPr>
              <w:t xml:space="preserve">    </w:t>
            </w:r>
            <w:r>
              <w:rPr>
                <w:spacing w:val="-4"/>
              </w:rPr>
              <w:t>名</w:t>
            </w:r>
          </w:p>
        </w:tc>
        <w:tc>
          <w:tcPr>
            <w:tcW w:w="2654" w:type="dxa"/>
            <w:vAlign w:val="top"/>
          </w:tcPr>
          <w:p w14:paraId="63F0AFE1">
            <w:pPr>
              <w:rPr>
                <w:rFonts w:ascii="Arial"/>
                <w:sz w:val="21"/>
              </w:rPr>
            </w:pPr>
          </w:p>
        </w:tc>
        <w:tc>
          <w:tcPr>
            <w:tcW w:w="1684" w:type="dxa"/>
            <w:vAlign w:val="top"/>
          </w:tcPr>
          <w:p w14:paraId="761D41D4">
            <w:pPr>
              <w:pStyle w:val="11"/>
              <w:spacing w:before="221" w:line="221" w:lineRule="auto"/>
              <w:ind w:left="429"/>
            </w:pPr>
            <w:r>
              <w:rPr>
                <w:spacing w:val="-4"/>
              </w:rPr>
              <w:t>年</w:t>
            </w:r>
            <w:r>
              <w:rPr>
                <w:spacing w:val="2"/>
              </w:rPr>
              <w:t xml:space="preserve">    </w:t>
            </w:r>
            <w:r>
              <w:rPr>
                <w:spacing w:val="-4"/>
              </w:rPr>
              <w:t>龄</w:t>
            </w:r>
          </w:p>
        </w:tc>
        <w:tc>
          <w:tcPr>
            <w:tcW w:w="2663" w:type="dxa"/>
            <w:vAlign w:val="top"/>
          </w:tcPr>
          <w:p w14:paraId="4EBC9F6B">
            <w:pPr>
              <w:rPr>
                <w:rFonts w:ascii="Arial"/>
                <w:sz w:val="21"/>
              </w:rPr>
            </w:pPr>
          </w:p>
        </w:tc>
      </w:tr>
      <w:tr w14:paraId="512DCE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6" w:hRule="atLeast"/>
        </w:trPr>
        <w:tc>
          <w:tcPr>
            <w:tcW w:w="1310" w:type="dxa"/>
            <w:vAlign w:val="top"/>
          </w:tcPr>
          <w:p w14:paraId="7861B0D5">
            <w:pPr>
              <w:pStyle w:val="11"/>
              <w:spacing w:before="222" w:line="221" w:lineRule="auto"/>
              <w:ind w:left="246"/>
            </w:pPr>
            <w:r>
              <w:rPr>
                <w:spacing w:val="-5"/>
              </w:rPr>
              <w:t>性</w:t>
            </w:r>
            <w:r>
              <w:rPr>
                <w:spacing w:val="3"/>
              </w:rPr>
              <w:t xml:space="preserve">    </w:t>
            </w:r>
            <w:r>
              <w:rPr>
                <w:spacing w:val="-5"/>
              </w:rPr>
              <w:t>别</w:t>
            </w:r>
          </w:p>
        </w:tc>
        <w:tc>
          <w:tcPr>
            <w:tcW w:w="2654" w:type="dxa"/>
            <w:vAlign w:val="top"/>
          </w:tcPr>
          <w:p w14:paraId="46F4864C">
            <w:pPr>
              <w:rPr>
                <w:rFonts w:ascii="Arial"/>
                <w:sz w:val="21"/>
              </w:rPr>
            </w:pPr>
          </w:p>
        </w:tc>
        <w:tc>
          <w:tcPr>
            <w:tcW w:w="1684" w:type="dxa"/>
            <w:vAlign w:val="top"/>
          </w:tcPr>
          <w:p w14:paraId="6C13E913">
            <w:pPr>
              <w:pStyle w:val="11"/>
              <w:spacing w:before="221" w:line="221" w:lineRule="auto"/>
              <w:ind w:left="432"/>
            </w:pPr>
            <w:r>
              <w:rPr>
                <w:spacing w:val="-2"/>
              </w:rPr>
              <w:t>毕业学校</w:t>
            </w:r>
          </w:p>
        </w:tc>
        <w:tc>
          <w:tcPr>
            <w:tcW w:w="2663" w:type="dxa"/>
            <w:vAlign w:val="top"/>
          </w:tcPr>
          <w:p w14:paraId="20045C69">
            <w:pPr>
              <w:rPr>
                <w:rFonts w:ascii="Arial"/>
                <w:sz w:val="21"/>
              </w:rPr>
            </w:pPr>
          </w:p>
        </w:tc>
      </w:tr>
      <w:tr w14:paraId="3B6489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2" w:hRule="atLeast"/>
        </w:trPr>
        <w:tc>
          <w:tcPr>
            <w:tcW w:w="1310" w:type="dxa"/>
            <w:vAlign w:val="top"/>
          </w:tcPr>
          <w:p w14:paraId="2A723194">
            <w:pPr>
              <w:pStyle w:val="11"/>
              <w:spacing w:before="223" w:line="221" w:lineRule="auto"/>
              <w:ind w:left="142"/>
            </w:pPr>
            <w:r>
              <w:rPr>
                <w:spacing w:val="-2"/>
              </w:rPr>
              <w:t>学历和专业</w:t>
            </w:r>
          </w:p>
        </w:tc>
        <w:tc>
          <w:tcPr>
            <w:tcW w:w="2654" w:type="dxa"/>
            <w:vAlign w:val="top"/>
          </w:tcPr>
          <w:p w14:paraId="5F60513C">
            <w:pPr>
              <w:rPr>
                <w:rFonts w:ascii="Arial"/>
                <w:sz w:val="21"/>
              </w:rPr>
            </w:pPr>
          </w:p>
        </w:tc>
        <w:tc>
          <w:tcPr>
            <w:tcW w:w="1684" w:type="dxa"/>
            <w:vAlign w:val="top"/>
          </w:tcPr>
          <w:p w14:paraId="3F9B20BF">
            <w:pPr>
              <w:pStyle w:val="11"/>
              <w:spacing w:before="223" w:line="221" w:lineRule="auto"/>
              <w:ind w:left="432"/>
            </w:pPr>
            <w:r>
              <w:rPr>
                <w:spacing w:val="-2"/>
              </w:rPr>
              <w:t>毕业时间</w:t>
            </w:r>
          </w:p>
        </w:tc>
        <w:tc>
          <w:tcPr>
            <w:tcW w:w="2663" w:type="dxa"/>
            <w:vAlign w:val="top"/>
          </w:tcPr>
          <w:p w14:paraId="70B17E72">
            <w:pPr>
              <w:rPr>
                <w:rFonts w:ascii="Arial"/>
                <w:sz w:val="21"/>
              </w:rPr>
            </w:pPr>
          </w:p>
        </w:tc>
      </w:tr>
      <w:tr w14:paraId="449FF6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7" w:hRule="atLeast"/>
        </w:trPr>
        <w:tc>
          <w:tcPr>
            <w:tcW w:w="1310" w:type="dxa"/>
            <w:vAlign w:val="top"/>
          </w:tcPr>
          <w:p w14:paraId="3B47BD57">
            <w:pPr>
              <w:pStyle w:val="11"/>
              <w:spacing w:before="88" w:line="231" w:lineRule="auto"/>
              <w:ind w:left="463" w:right="171" w:hanging="273"/>
            </w:pPr>
            <w:r>
              <w:rPr>
                <w:spacing w:val="-1"/>
              </w:rPr>
              <w:t>执业/岗位</w:t>
            </w:r>
            <w:r>
              <w:rPr>
                <w:spacing w:val="1"/>
              </w:rPr>
              <w:t xml:space="preserve"> </w:t>
            </w:r>
            <w:r>
              <w:rPr>
                <w:spacing w:val="-4"/>
              </w:rPr>
              <w:t>资格</w:t>
            </w:r>
          </w:p>
        </w:tc>
        <w:tc>
          <w:tcPr>
            <w:tcW w:w="2654" w:type="dxa"/>
            <w:vAlign w:val="top"/>
          </w:tcPr>
          <w:p w14:paraId="31F17597">
            <w:pPr>
              <w:rPr>
                <w:rFonts w:ascii="Arial"/>
                <w:sz w:val="21"/>
              </w:rPr>
            </w:pPr>
          </w:p>
        </w:tc>
        <w:tc>
          <w:tcPr>
            <w:tcW w:w="1684" w:type="dxa"/>
            <w:vAlign w:val="top"/>
          </w:tcPr>
          <w:p w14:paraId="69941E9C">
            <w:pPr>
              <w:pStyle w:val="11"/>
              <w:spacing w:before="228" w:line="221" w:lineRule="auto"/>
              <w:ind w:left="429"/>
            </w:pPr>
            <w:r>
              <w:rPr>
                <w:spacing w:val="-1"/>
              </w:rPr>
              <w:t>专业职称</w:t>
            </w:r>
          </w:p>
        </w:tc>
        <w:tc>
          <w:tcPr>
            <w:tcW w:w="2663" w:type="dxa"/>
            <w:vAlign w:val="top"/>
          </w:tcPr>
          <w:p w14:paraId="69746771">
            <w:pPr>
              <w:rPr>
                <w:rFonts w:ascii="Arial"/>
                <w:sz w:val="21"/>
              </w:rPr>
            </w:pPr>
          </w:p>
        </w:tc>
      </w:tr>
      <w:tr w14:paraId="0D9FC4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7" w:hRule="atLeast"/>
        </w:trPr>
        <w:tc>
          <w:tcPr>
            <w:tcW w:w="1310" w:type="dxa"/>
            <w:vAlign w:val="top"/>
          </w:tcPr>
          <w:p w14:paraId="244B9A97">
            <w:pPr>
              <w:pStyle w:val="11"/>
              <w:spacing w:before="89" w:line="230" w:lineRule="auto"/>
              <w:ind w:left="242" w:right="171" w:hanging="52"/>
            </w:pPr>
            <w:r>
              <w:rPr>
                <w:spacing w:val="-1"/>
              </w:rPr>
              <w:t>执业/岗位</w:t>
            </w:r>
            <w:r>
              <w:rPr>
                <w:spacing w:val="1"/>
              </w:rPr>
              <w:t xml:space="preserve"> </w:t>
            </w:r>
            <w:r>
              <w:rPr>
                <w:spacing w:val="-1"/>
              </w:rPr>
              <w:t>证书编号</w:t>
            </w:r>
          </w:p>
        </w:tc>
        <w:tc>
          <w:tcPr>
            <w:tcW w:w="2654" w:type="dxa"/>
            <w:vAlign w:val="top"/>
          </w:tcPr>
          <w:p w14:paraId="13CF7163">
            <w:pPr>
              <w:rPr>
                <w:rFonts w:ascii="Arial"/>
                <w:sz w:val="21"/>
              </w:rPr>
            </w:pPr>
          </w:p>
        </w:tc>
        <w:tc>
          <w:tcPr>
            <w:tcW w:w="1684" w:type="dxa"/>
            <w:vAlign w:val="top"/>
          </w:tcPr>
          <w:p w14:paraId="0CCBBFA7">
            <w:pPr>
              <w:pStyle w:val="11"/>
              <w:spacing w:before="223" w:line="221" w:lineRule="auto"/>
              <w:ind w:left="222"/>
            </w:pPr>
            <w:r>
              <w:rPr>
                <w:spacing w:val="-1"/>
              </w:rPr>
              <w:t>专业工作年限</w:t>
            </w:r>
          </w:p>
        </w:tc>
        <w:tc>
          <w:tcPr>
            <w:tcW w:w="2663" w:type="dxa"/>
            <w:vAlign w:val="top"/>
          </w:tcPr>
          <w:p w14:paraId="2D167B17">
            <w:pPr>
              <w:rPr>
                <w:rFonts w:ascii="Arial"/>
                <w:sz w:val="21"/>
              </w:rPr>
            </w:pPr>
          </w:p>
        </w:tc>
      </w:tr>
      <w:tr w14:paraId="59FFAF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08" w:hRule="atLeast"/>
        </w:trPr>
        <w:tc>
          <w:tcPr>
            <w:tcW w:w="1310" w:type="dxa"/>
            <w:textDirection w:val="tbRlV"/>
            <w:vAlign w:val="top"/>
          </w:tcPr>
          <w:p w14:paraId="448190D5">
            <w:pPr>
              <w:spacing w:line="358" w:lineRule="auto"/>
              <w:rPr>
                <w:rFonts w:ascii="Arial"/>
                <w:sz w:val="21"/>
              </w:rPr>
            </w:pPr>
          </w:p>
          <w:p w14:paraId="6ABBA541">
            <w:pPr>
              <w:pStyle w:val="11"/>
              <w:spacing w:before="71" w:line="210" w:lineRule="auto"/>
              <w:ind w:left="1126"/>
            </w:pPr>
            <w:r>
              <w:rPr>
                <w:spacing w:val="1"/>
              </w:rPr>
              <w:t>主</w:t>
            </w:r>
            <w:r>
              <w:rPr>
                <w:spacing w:val="-46"/>
              </w:rPr>
              <w:t xml:space="preserve"> </w:t>
            </w:r>
            <w:r>
              <w:rPr>
                <w:spacing w:val="1"/>
              </w:rPr>
              <w:t>要</w:t>
            </w:r>
            <w:r>
              <w:rPr>
                <w:spacing w:val="-42"/>
              </w:rPr>
              <w:t xml:space="preserve"> </w:t>
            </w:r>
            <w:r>
              <w:rPr>
                <w:spacing w:val="1"/>
              </w:rPr>
              <w:t>工</w:t>
            </w:r>
            <w:r>
              <w:rPr>
                <w:spacing w:val="-43"/>
              </w:rPr>
              <w:t xml:space="preserve"> </w:t>
            </w:r>
            <w:r>
              <w:rPr>
                <w:spacing w:val="1"/>
              </w:rPr>
              <w:t>作</w:t>
            </w:r>
            <w:r>
              <w:rPr>
                <w:spacing w:val="-47"/>
              </w:rPr>
              <w:t xml:space="preserve"> </w:t>
            </w:r>
            <w:r>
              <w:rPr>
                <w:spacing w:val="1"/>
              </w:rPr>
              <w:t>业</w:t>
            </w:r>
            <w:r>
              <w:rPr>
                <w:spacing w:val="-43"/>
              </w:rPr>
              <w:t xml:space="preserve"> </w:t>
            </w:r>
            <w:r>
              <w:rPr>
                <w:spacing w:val="1"/>
              </w:rPr>
              <w:t>绩</w:t>
            </w:r>
            <w:r>
              <w:rPr>
                <w:spacing w:val="-43"/>
              </w:rPr>
              <w:t xml:space="preserve"> </w:t>
            </w:r>
            <w:r>
              <w:rPr>
                <w:spacing w:val="1"/>
              </w:rPr>
              <w:t>及</w:t>
            </w:r>
            <w:r>
              <w:rPr>
                <w:spacing w:val="-42"/>
              </w:rPr>
              <w:t xml:space="preserve"> </w:t>
            </w:r>
            <w:r>
              <w:rPr>
                <w:spacing w:val="1"/>
              </w:rPr>
              <w:t>担</w:t>
            </w:r>
            <w:r>
              <w:rPr>
                <w:spacing w:val="-48"/>
              </w:rPr>
              <w:t xml:space="preserve"> </w:t>
            </w:r>
            <w:r>
              <w:rPr>
                <w:spacing w:val="1"/>
              </w:rPr>
              <w:t>任</w:t>
            </w:r>
            <w:r>
              <w:rPr>
                <w:spacing w:val="-42"/>
              </w:rPr>
              <w:t xml:space="preserve"> </w:t>
            </w:r>
            <w:r>
              <w:rPr>
                <w:spacing w:val="1"/>
              </w:rPr>
              <w:t>的</w:t>
            </w:r>
            <w:r>
              <w:rPr>
                <w:spacing w:val="-42"/>
              </w:rPr>
              <w:t xml:space="preserve"> </w:t>
            </w:r>
            <w:r>
              <w:rPr>
                <w:spacing w:val="1"/>
              </w:rPr>
              <w:t>主</w:t>
            </w:r>
            <w:r>
              <w:rPr>
                <w:spacing w:val="-43"/>
              </w:rPr>
              <w:t xml:space="preserve"> </w:t>
            </w:r>
            <w:r>
              <w:rPr>
                <w:spacing w:val="1"/>
              </w:rPr>
              <w:t>要</w:t>
            </w:r>
            <w:r>
              <w:rPr>
                <w:spacing w:val="-47"/>
              </w:rPr>
              <w:t xml:space="preserve"> </w:t>
            </w:r>
            <w:r>
              <w:rPr>
                <w:spacing w:val="1"/>
              </w:rPr>
              <w:t>工</w:t>
            </w:r>
            <w:r>
              <w:rPr>
                <w:spacing w:val="-43"/>
              </w:rPr>
              <w:t xml:space="preserve"> </w:t>
            </w:r>
            <w:r>
              <w:rPr>
                <w:spacing w:val="1"/>
              </w:rPr>
              <w:t>作</w:t>
            </w:r>
          </w:p>
        </w:tc>
        <w:tc>
          <w:tcPr>
            <w:tcW w:w="7001" w:type="dxa"/>
            <w:gridSpan w:val="3"/>
            <w:vAlign w:val="top"/>
          </w:tcPr>
          <w:p w14:paraId="1B5C75B2">
            <w:pPr>
              <w:rPr>
                <w:rFonts w:ascii="Arial"/>
                <w:sz w:val="21"/>
              </w:rPr>
            </w:pPr>
          </w:p>
        </w:tc>
      </w:tr>
    </w:tbl>
    <w:p w14:paraId="72283C42">
      <w:pPr>
        <w:spacing w:before="32" w:line="236" w:lineRule="auto"/>
        <w:ind w:left="646" w:right="5" w:hanging="626"/>
        <w:rPr>
          <w:rFonts w:ascii="宋体" w:hAnsi="宋体" w:eastAsia="宋体" w:cs="宋体"/>
          <w:sz w:val="21"/>
          <w:szCs w:val="21"/>
        </w:rPr>
      </w:pPr>
      <w:r>
        <w:rPr>
          <w:rFonts w:ascii="宋体" w:hAnsi="宋体" w:eastAsia="宋体" w:cs="宋体"/>
          <w:spacing w:val="-6"/>
          <w:sz w:val="21"/>
          <w:szCs w:val="21"/>
        </w:rPr>
        <w:t>备注：其他主要项目管理人员指项目副经理（如有）、项目技术负责人、</w:t>
      </w:r>
      <w:r>
        <w:rPr>
          <w:rFonts w:ascii="宋体" w:hAnsi="宋体" w:eastAsia="宋体" w:cs="宋体"/>
          <w:spacing w:val="40"/>
          <w:sz w:val="21"/>
          <w:szCs w:val="21"/>
        </w:rPr>
        <w:t xml:space="preserve"> </w:t>
      </w:r>
      <w:r>
        <w:rPr>
          <w:rFonts w:ascii="宋体" w:hAnsi="宋体" w:eastAsia="宋体" w:cs="宋体"/>
          <w:spacing w:val="-6"/>
          <w:sz w:val="21"/>
          <w:szCs w:val="21"/>
        </w:rPr>
        <w:t>施工管理、质量管</w:t>
      </w:r>
      <w:r>
        <w:rPr>
          <w:rFonts w:ascii="宋体" w:hAnsi="宋体" w:eastAsia="宋体" w:cs="宋体"/>
          <w:sz w:val="21"/>
          <w:szCs w:val="21"/>
        </w:rPr>
        <w:t xml:space="preserve"> </w:t>
      </w:r>
      <w:r>
        <w:rPr>
          <w:rFonts w:ascii="宋体" w:hAnsi="宋体" w:eastAsia="宋体" w:cs="宋体"/>
          <w:spacing w:val="-3"/>
          <w:sz w:val="21"/>
          <w:szCs w:val="21"/>
        </w:rPr>
        <w:t>理、安全管理及资格条件要求的其他岗位人员。其中项目副经理（如有）、项目技术</w:t>
      </w:r>
      <w:r>
        <w:rPr>
          <w:rFonts w:ascii="宋体" w:hAnsi="宋体" w:eastAsia="宋体" w:cs="宋体"/>
          <w:spacing w:val="16"/>
          <w:sz w:val="21"/>
          <w:szCs w:val="21"/>
        </w:rPr>
        <w:t xml:space="preserve"> </w:t>
      </w:r>
      <w:r>
        <w:rPr>
          <w:rFonts w:ascii="宋体" w:hAnsi="宋体" w:eastAsia="宋体" w:cs="宋体"/>
          <w:spacing w:val="-10"/>
          <w:sz w:val="21"/>
          <w:szCs w:val="21"/>
        </w:rPr>
        <w:t>负责人应附资格证书（如有）、注册证书（如有）、职称证书（如有）、学历证书</w:t>
      </w:r>
      <w:r>
        <w:rPr>
          <w:rFonts w:ascii="宋体" w:hAnsi="宋体" w:eastAsia="宋体" w:cs="宋体"/>
          <w:spacing w:val="-43"/>
          <w:sz w:val="21"/>
          <w:szCs w:val="21"/>
        </w:rPr>
        <w:t xml:space="preserve"> </w:t>
      </w:r>
      <w:r>
        <w:rPr>
          <w:rFonts w:ascii="宋体" w:hAnsi="宋体" w:eastAsia="宋体" w:cs="宋体"/>
          <w:spacing w:val="-10"/>
          <w:sz w:val="21"/>
          <w:szCs w:val="21"/>
        </w:rPr>
        <w:t>（如</w:t>
      </w:r>
      <w:r>
        <w:rPr>
          <w:rFonts w:ascii="宋体" w:hAnsi="宋体" w:eastAsia="宋体" w:cs="宋体"/>
          <w:sz w:val="21"/>
          <w:szCs w:val="21"/>
        </w:rPr>
        <w:t xml:space="preserve"> 有）</w:t>
      </w:r>
      <w:r>
        <w:rPr>
          <w:rFonts w:ascii="宋体" w:hAnsi="宋体" w:eastAsia="宋体" w:cs="宋体"/>
          <w:spacing w:val="-33"/>
          <w:sz w:val="21"/>
          <w:szCs w:val="21"/>
        </w:rPr>
        <w:t xml:space="preserve"> </w:t>
      </w:r>
      <w:r>
        <w:rPr>
          <w:rFonts w:ascii="宋体" w:hAnsi="宋体" w:eastAsia="宋体" w:cs="宋体"/>
          <w:sz w:val="21"/>
          <w:szCs w:val="21"/>
        </w:rPr>
        <w:t>,主要业绩证明材料（如有</w:t>
      </w:r>
      <w:r>
        <w:rPr>
          <w:rFonts w:ascii="宋体" w:hAnsi="宋体" w:eastAsia="宋体" w:cs="宋体"/>
          <w:spacing w:val="-31"/>
          <w:sz w:val="21"/>
          <w:szCs w:val="21"/>
        </w:rPr>
        <w:t>）；</w:t>
      </w:r>
      <w:r>
        <w:rPr>
          <w:rFonts w:ascii="宋体" w:hAnsi="宋体" w:eastAsia="宋体" w:cs="宋体"/>
          <w:sz w:val="21"/>
          <w:szCs w:val="21"/>
        </w:rPr>
        <w:t xml:space="preserve">安全管理人员应附有效的安全生产考核合格证书 </w:t>
      </w:r>
      <w:r>
        <w:rPr>
          <w:rFonts w:ascii="宋体" w:hAnsi="宋体" w:eastAsia="宋体" w:cs="宋体"/>
          <w:spacing w:val="-2"/>
          <w:sz w:val="21"/>
          <w:szCs w:val="21"/>
        </w:rPr>
        <w:t>（C 证</w:t>
      </w:r>
      <w:r>
        <w:rPr>
          <w:rFonts w:ascii="宋体" w:hAnsi="宋体" w:eastAsia="宋体" w:cs="宋体"/>
          <w:spacing w:val="-11"/>
          <w:sz w:val="21"/>
          <w:szCs w:val="21"/>
        </w:rPr>
        <w:t>）；</w:t>
      </w:r>
      <w:r>
        <w:rPr>
          <w:rFonts w:ascii="宋体" w:hAnsi="宋体" w:eastAsia="宋体" w:cs="宋体"/>
          <w:spacing w:val="-2"/>
          <w:sz w:val="21"/>
          <w:szCs w:val="21"/>
        </w:rPr>
        <w:t>施工管理、质量管理及资格条件要求的其他岗位人员应附岗位培训考核合</w:t>
      </w:r>
      <w:r>
        <w:rPr>
          <w:rFonts w:ascii="宋体" w:hAnsi="宋体" w:eastAsia="宋体" w:cs="宋体"/>
          <w:sz w:val="21"/>
          <w:szCs w:val="21"/>
        </w:rPr>
        <w:t xml:space="preserve"> </w:t>
      </w:r>
      <w:r>
        <w:rPr>
          <w:rFonts w:ascii="宋体" w:hAnsi="宋体" w:eastAsia="宋体" w:cs="宋体"/>
          <w:spacing w:val="-7"/>
          <w:sz w:val="21"/>
          <w:szCs w:val="21"/>
        </w:rPr>
        <w:t>格证书。</w:t>
      </w:r>
    </w:p>
    <w:p w14:paraId="168BA54D">
      <w:pPr>
        <w:spacing w:line="236" w:lineRule="auto"/>
        <w:rPr>
          <w:rFonts w:ascii="宋体" w:hAnsi="宋体" w:eastAsia="宋体" w:cs="宋体"/>
          <w:sz w:val="21"/>
          <w:szCs w:val="21"/>
        </w:rPr>
        <w:sectPr>
          <w:footerReference r:id="rId208" w:type="default"/>
          <w:pgSz w:w="11905" w:h="16839"/>
          <w:pgMar w:top="400" w:right="1785" w:bottom="1004" w:left="1785" w:header="0" w:footer="828" w:gutter="0"/>
          <w:pgNumType w:fmt="decimal"/>
          <w:cols w:space="720" w:num="1"/>
        </w:sectPr>
      </w:pPr>
    </w:p>
    <w:p w14:paraId="7E89EAA6">
      <w:pPr>
        <w:pStyle w:val="3"/>
        <w:spacing w:line="255" w:lineRule="auto"/>
      </w:pPr>
    </w:p>
    <w:p w14:paraId="36A9258E">
      <w:pPr>
        <w:pStyle w:val="3"/>
        <w:spacing w:line="256" w:lineRule="auto"/>
      </w:pPr>
    </w:p>
    <w:p w14:paraId="304560E7">
      <w:pPr>
        <w:pStyle w:val="3"/>
        <w:spacing w:line="256" w:lineRule="auto"/>
      </w:pPr>
    </w:p>
    <w:p w14:paraId="45A66DA4">
      <w:pPr>
        <w:pStyle w:val="3"/>
        <w:spacing w:line="256" w:lineRule="auto"/>
      </w:pPr>
    </w:p>
    <w:p w14:paraId="47F800D2">
      <w:pPr>
        <w:spacing w:before="88" w:line="436" w:lineRule="exact"/>
        <w:ind w:left="3054"/>
        <w:rPr>
          <w:rFonts w:ascii="黑体" w:hAnsi="黑体" w:eastAsia="黑体" w:cs="黑体"/>
          <w:sz w:val="27"/>
          <w:szCs w:val="27"/>
        </w:rPr>
      </w:pPr>
      <w:bookmarkStart w:id="1330" w:name="bookmark315"/>
      <w:bookmarkEnd w:id="1330"/>
      <w:r>
        <w:rPr>
          <w:rFonts w:ascii="黑体" w:hAnsi="黑体" w:eastAsia="黑体" w:cs="黑体"/>
          <w:spacing w:val="8"/>
          <w:position w:val="11"/>
          <w:sz w:val="27"/>
          <w:szCs w:val="27"/>
        </w:rPr>
        <w:t>七、资格审查资料</w:t>
      </w:r>
    </w:p>
    <w:p w14:paraId="52DB193D">
      <w:pPr>
        <w:spacing w:line="219" w:lineRule="auto"/>
        <w:ind w:left="2993"/>
        <w:rPr>
          <w:rFonts w:ascii="黑体" w:hAnsi="黑体" w:eastAsia="黑体" w:cs="黑体"/>
          <w:sz w:val="24"/>
          <w:szCs w:val="24"/>
        </w:rPr>
      </w:pPr>
      <w:r>
        <w:rPr>
          <w:rFonts w:ascii="黑体" w:hAnsi="黑体" w:eastAsia="黑体" w:cs="黑体"/>
          <w:spacing w:val="-4"/>
          <w:sz w:val="24"/>
          <w:szCs w:val="24"/>
        </w:rPr>
        <w:t>（一）投标人基本情况</w:t>
      </w:r>
    </w:p>
    <w:p w14:paraId="623D5ECA">
      <w:pPr>
        <w:spacing w:before="117" w:line="218" w:lineRule="auto"/>
        <w:ind w:left="3049"/>
        <w:rPr>
          <w:rFonts w:ascii="黑体" w:hAnsi="黑体" w:eastAsia="黑体" w:cs="黑体"/>
          <w:sz w:val="24"/>
          <w:szCs w:val="24"/>
        </w:rPr>
      </w:pPr>
      <w:r>
        <w:rPr>
          <w:rFonts w:ascii="Times New Roman" w:hAnsi="Times New Roman" w:eastAsia="Times New Roman" w:cs="Times New Roman"/>
          <w:spacing w:val="-6"/>
          <w:sz w:val="24"/>
          <w:szCs w:val="24"/>
        </w:rPr>
        <w:t>1-</w:t>
      </w:r>
      <w:r>
        <w:rPr>
          <w:rFonts w:ascii="Times New Roman" w:hAnsi="Times New Roman" w:eastAsia="Times New Roman" w:cs="Times New Roman"/>
          <w:spacing w:val="-27"/>
          <w:sz w:val="24"/>
          <w:szCs w:val="24"/>
        </w:rPr>
        <w:t xml:space="preserve"> </w:t>
      </w:r>
      <w:r>
        <w:rPr>
          <w:rFonts w:ascii="Times New Roman" w:hAnsi="Times New Roman" w:eastAsia="Times New Roman" w:cs="Times New Roman"/>
          <w:spacing w:val="-6"/>
          <w:sz w:val="24"/>
          <w:szCs w:val="24"/>
        </w:rPr>
        <w:t xml:space="preserve">1 </w:t>
      </w:r>
      <w:r>
        <w:rPr>
          <w:rFonts w:ascii="黑体" w:hAnsi="黑体" w:eastAsia="黑体" w:cs="黑体"/>
          <w:spacing w:val="-6"/>
          <w:sz w:val="24"/>
          <w:szCs w:val="24"/>
        </w:rPr>
        <w:t>投标人基本情况表</w:t>
      </w:r>
    </w:p>
    <w:tbl>
      <w:tblPr>
        <w:tblStyle w:val="10"/>
        <w:tblW w:w="8311"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560"/>
        <w:gridCol w:w="854"/>
        <w:gridCol w:w="1142"/>
        <w:gridCol w:w="1165"/>
        <w:gridCol w:w="1171"/>
        <w:gridCol w:w="346"/>
        <w:gridCol w:w="854"/>
        <w:gridCol w:w="1219"/>
      </w:tblGrid>
      <w:tr w14:paraId="28EE63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5" w:hRule="atLeast"/>
        </w:trPr>
        <w:tc>
          <w:tcPr>
            <w:tcW w:w="1560" w:type="dxa"/>
            <w:vAlign w:val="top"/>
          </w:tcPr>
          <w:p w14:paraId="1C9C2EB4">
            <w:pPr>
              <w:pStyle w:val="11"/>
              <w:spacing w:before="183" w:line="221" w:lineRule="auto"/>
              <w:ind w:left="265"/>
            </w:pPr>
            <w:r>
              <w:rPr>
                <w:spacing w:val="-1"/>
              </w:rPr>
              <w:t>投标人名称</w:t>
            </w:r>
          </w:p>
        </w:tc>
        <w:tc>
          <w:tcPr>
            <w:tcW w:w="6751" w:type="dxa"/>
            <w:gridSpan w:val="7"/>
            <w:vAlign w:val="top"/>
          </w:tcPr>
          <w:p w14:paraId="1AFBD366">
            <w:pPr>
              <w:rPr>
                <w:rFonts w:ascii="Arial"/>
                <w:sz w:val="21"/>
              </w:rPr>
            </w:pPr>
          </w:p>
        </w:tc>
      </w:tr>
      <w:tr w14:paraId="6D0D53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1560" w:type="dxa"/>
            <w:vAlign w:val="top"/>
          </w:tcPr>
          <w:p w14:paraId="0F51C867">
            <w:pPr>
              <w:pStyle w:val="11"/>
              <w:spacing w:before="179" w:line="222" w:lineRule="auto"/>
              <w:ind w:left="368"/>
            </w:pPr>
            <w:r>
              <w:rPr>
                <w:spacing w:val="-1"/>
              </w:rPr>
              <w:t>注册地址</w:t>
            </w:r>
          </w:p>
        </w:tc>
        <w:tc>
          <w:tcPr>
            <w:tcW w:w="3161" w:type="dxa"/>
            <w:gridSpan w:val="3"/>
            <w:vAlign w:val="top"/>
          </w:tcPr>
          <w:p w14:paraId="05128B8E">
            <w:pPr>
              <w:rPr>
                <w:rFonts w:ascii="Arial"/>
                <w:sz w:val="21"/>
              </w:rPr>
            </w:pPr>
          </w:p>
        </w:tc>
        <w:tc>
          <w:tcPr>
            <w:tcW w:w="1171" w:type="dxa"/>
            <w:vAlign w:val="top"/>
          </w:tcPr>
          <w:p w14:paraId="72177485">
            <w:pPr>
              <w:pStyle w:val="11"/>
              <w:spacing w:before="178" w:line="221" w:lineRule="auto"/>
              <w:ind w:left="210"/>
            </w:pPr>
            <w:r>
              <w:rPr>
                <w:spacing w:val="-4"/>
              </w:rPr>
              <w:t>邮政编码</w:t>
            </w:r>
          </w:p>
        </w:tc>
        <w:tc>
          <w:tcPr>
            <w:tcW w:w="2419" w:type="dxa"/>
            <w:gridSpan w:val="3"/>
            <w:vAlign w:val="top"/>
          </w:tcPr>
          <w:p w14:paraId="29DFA6DB">
            <w:pPr>
              <w:rPr>
                <w:rFonts w:ascii="Arial"/>
                <w:sz w:val="21"/>
              </w:rPr>
            </w:pPr>
          </w:p>
        </w:tc>
      </w:tr>
      <w:tr w14:paraId="417E48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5" w:hRule="atLeast"/>
        </w:trPr>
        <w:tc>
          <w:tcPr>
            <w:tcW w:w="1560" w:type="dxa"/>
            <w:vMerge w:val="restart"/>
            <w:tcBorders>
              <w:bottom w:val="nil"/>
            </w:tcBorders>
            <w:vAlign w:val="top"/>
          </w:tcPr>
          <w:p w14:paraId="48D540FA">
            <w:pPr>
              <w:spacing w:line="396" w:lineRule="auto"/>
              <w:rPr>
                <w:rFonts w:ascii="Arial"/>
                <w:sz w:val="21"/>
              </w:rPr>
            </w:pPr>
          </w:p>
          <w:p w14:paraId="5FBFB0CF">
            <w:pPr>
              <w:pStyle w:val="11"/>
              <w:spacing w:before="69" w:line="222" w:lineRule="auto"/>
              <w:ind w:left="369"/>
            </w:pPr>
            <w:r>
              <w:rPr>
                <w:spacing w:val="-1"/>
              </w:rPr>
              <w:t>联系方式</w:t>
            </w:r>
          </w:p>
        </w:tc>
        <w:tc>
          <w:tcPr>
            <w:tcW w:w="854" w:type="dxa"/>
            <w:vAlign w:val="top"/>
          </w:tcPr>
          <w:p w14:paraId="6CE86B90">
            <w:pPr>
              <w:pStyle w:val="11"/>
              <w:spacing w:before="178" w:line="223" w:lineRule="auto"/>
              <w:ind w:left="120"/>
            </w:pPr>
            <w:r>
              <w:rPr>
                <w:spacing w:val="-2"/>
              </w:rPr>
              <w:t>联系人</w:t>
            </w:r>
          </w:p>
        </w:tc>
        <w:tc>
          <w:tcPr>
            <w:tcW w:w="2307" w:type="dxa"/>
            <w:gridSpan w:val="2"/>
            <w:vAlign w:val="top"/>
          </w:tcPr>
          <w:p w14:paraId="7A53058A">
            <w:pPr>
              <w:rPr>
                <w:rFonts w:ascii="Arial"/>
                <w:sz w:val="21"/>
              </w:rPr>
            </w:pPr>
          </w:p>
        </w:tc>
        <w:tc>
          <w:tcPr>
            <w:tcW w:w="1171" w:type="dxa"/>
            <w:vAlign w:val="top"/>
          </w:tcPr>
          <w:p w14:paraId="7C8D67D4">
            <w:pPr>
              <w:pStyle w:val="11"/>
              <w:spacing w:before="178" w:line="223" w:lineRule="auto"/>
              <w:ind w:left="325"/>
            </w:pPr>
            <w:r>
              <w:rPr>
                <w:spacing w:val="-16"/>
              </w:rPr>
              <w:t>电</w:t>
            </w:r>
            <w:r>
              <w:rPr>
                <w:spacing w:val="4"/>
              </w:rPr>
              <w:t xml:space="preserve">  </w:t>
            </w:r>
            <w:r>
              <w:rPr>
                <w:spacing w:val="-16"/>
              </w:rPr>
              <w:t>话</w:t>
            </w:r>
          </w:p>
        </w:tc>
        <w:tc>
          <w:tcPr>
            <w:tcW w:w="2419" w:type="dxa"/>
            <w:gridSpan w:val="3"/>
            <w:vAlign w:val="top"/>
          </w:tcPr>
          <w:p w14:paraId="171935CD">
            <w:pPr>
              <w:rPr>
                <w:rFonts w:ascii="Arial"/>
                <w:sz w:val="21"/>
              </w:rPr>
            </w:pPr>
          </w:p>
        </w:tc>
      </w:tr>
      <w:tr w14:paraId="79818B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1560" w:type="dxa"/>
            <w:vMerge w:val="continue"/>
            <w:tcBorders>
              <w:top w:val="nil"/>
            </w:tcBorders>
            <w:vAlign w:val="top"/>
          </w:tcPr>
          <w:p w14:paraId="1F5B989F">
            <w:pPr>
              <w:rPr>
                <w:rFonts w:ascii="Arial"/>
                <w:sz w:val="21"/>
              </w:rPr>
            </w:pPr>
          </w:p>
        </w:tc>
        <w:tc>
          <w:tcPr>
            <w:tcW w:w="854" w:type="dxa"/>
            <w:vAlign w:val="top"/>
          </w:tcPr>
          <w:p w14:paraId="27701A97">
            <w:pPr>
              <w:pStyle w:val="11"/>
              <w:spacing w:before="175" w:line="220" w:lineRule="auto"/>
              <w:ind w:left="117"/>
            </w:pPr>
            <w:r>
              <w:rPr>
                <w:spacing w:val="-3"/>
              </w:rPr>
              <w:t>传</w:t>
            </w:r>
            <w:r>
              <w:rPr>
                <w:spacing w:val="5"/>
              </w:rPr>
              <w:t xml:space="preserve">  </w:t>
            </w:r>
            <w:r>
              <w:rPr>
                <w:spacing w:val="-3"/>
              </w:rPr>
              <w:t>真</w:t>
            </w:r>
          </w:p>
        </w:tc>
        <w:tc>
          <w:tcPr>
            <w:tcW w:w="2307" w:type="dxa"/>
            <w:gridSpan w:val="2"/>
            <w:vAlign w:val="top"/>
          </w:tcPr>
          <w:p w14:paraId="416F9A4C">
            <w:pPr>
              <w:rPr>
                <w:rFonts w:ascii="Arial"/>
                <w:sz w:val="21"/>
              </w:rPr>
            </w:pPr>
          </w:p>
        </w:tc>
        <w:tc>
          <w:tcPr>
            <w:tcW w:w="1171" w:type="dxa"/>
            <w:vAlign w:val="top"/>
          </w:tcPr>
          <w:p w14:paraId="7A923384">
            <w:pPr>
              <w:pStyle w:val="11"/>
              <w:spacing w:before="175" w:line="226" w:lineRule="auto"/>
              <w:ind w:left="317"/>
            </w:pPr>
            <w:r>
              <w:rPr>
                <w:spacing w:val="-12"/>
              </w:rPr>
              <w:t>网</w:t>
            </w:r>
            <w:r>
              <w:rPr>
                <w:spacing w:val="5"/>
              </w:rPr>
              <w:t xml:space="preserve">  </w:t>
            </w:r>
            <w:r>
              <w:rPr>
                <w:spacing w:val="-12"/>
              </w:rPr>
              <w:t>址</w:t>
            </w:r>
          </w:p>
        </w:tc>
        <w:tc>
          <w:tcPr>
            <w:tcW w:w="2419" w:type="dxa"/>
            <w:gridSpan w:val="3"/>
            <w:vAlign w:val="top"/>
          </w:tcPr>
          <w:p w14:paraId="570AEEF1">
            <w:pPr>
              <w:rPr>
                <w:rFonts w:ascii="Arial"/>
                <w:sz w:val="21"/>
              </w:rPr>
            </w:pPr>
          </w:p>
        </w:tc>
      </w:tr>
      <w:tr w14:paraId="0CDB9E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1560" w:type="dxa"/>
            <w:vAlign w:val="top"/>
          </w:tcPr>
          <w:p w14:paraId="3993B6DC">
            <w:pPr>
              <w:pStyle w:val="11"/>
              <w:spacing w:before="175" w:line="221" w:lineRule="auto"/>
              <w:ind w:left="371"/>
            </w:pPr>
            <w:r>
              <w:rPr>
                <w:spacing w:val="-2"/>
              </w:rPr>
              <w:t>组织结构</w:t>
            </w:r>
          </w:p>
        </w:tc>
        <w:tc>
          <w:tcPr>
            <w:tcW w:w="6751" w:type="dxa"/>
            <w:gridSpan w:val="7"/>
            <w:vAlign w:val="top"/>
          </w:tcPr>
          <w:p w14:paraId="05B6140B">
            <w:pPr>
              <w:rPr>
                <w:rFonts w:ascii="Arial"/>
                <w:sz w:val="21"/>
              </w:rPr>
            </w:pPr>
          </w:p>
        </w:tc>
      </w:tr>
      <w:tr w14:paraId="341BD8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1560" w:type="dxa"/>
            <w:vAlign w:val="top"/>
          </w:tcPr>
          <w:p w14:paraId="558E93D3">
            <w:pPr>
              <w:pStyle w:val="11"/>
              <w:spacing w:before="179" w:line="221" w:lineRule="auto"/>
              <w:ind w:left="263"/>
            </w:pPr>
            <w:r>
              <w:rPr>
                <w:spacing w:val="-1"/>
              </w:rPr>
              <w:t>法定代表人</w:t>
            </w:r>
          </w:p>
        </w:tc>
        <w:tc>
          <w:tcPr>
            <w:tcW w:w="854" w:type="dxa"/>
            <w:vAlign w:val="top"/>
          </w:tcPr>
          <w:p w14:paraId="26FC5E0E">
            <w:pPr>
              <w:pStyle w:val="11"/>
              <w:spacing w:before="179" w:line="221" w:lineRule="auto"/>
              <w:ind w:left="224"/>
            </w:pPr>
            <w:r>
              <w:rPr>
                <w:spacing w:val="-2"/>
              </w:rPr>
              <w:t>姓名</w:t>
            </w:r>
          </w:p>
        </w:tc>
        <w:tc>
          <w:tcPr>
            <w:tcW w:w="1142" w:type="dxa"/>
            <w:vAlign w:val="top"/>
          </w:tcPr>
          <w:p w14:paraId="115EA507">
            <w:pPr>
              <w:rPr>
                <w:rFonts w:ascii="Arial"/>
                <w:sz w:val="21"/>
              </w:rPr>
            </w:pPr>
          </w:p>
        </w:tc>
        <w:tc>
          <w:tcPr>
            <w:tcW w:w="1165" w:type="dxa"/>
            <w:vAlign w:val="top"/>
          </w:tcPr>
          <w:p w14:paraId="124F9178">
            <w:pPr>
              <w:pStyle w:val="11"/>
              <w:spacing w:before="179" w:line="221" w:lineRule="auto"/>
              <w:ind w:left="164"/>
            </w:pPr>
            <w:r>
              <w:rPr>
                <w:spacing w:val="-1"/>
              </w:rPr>
              <w:t>技术职称</w:t>
            </w:r>
          </w:p>
        </w:tc>
        <w:tc>
          <w:tcPr>
            <w:tcW w:w="1517" w:type="dxa"/>
            <w:gridSpan w:val="2"/>
            <w:vAlign w:val="top"/>
          </w:tcPr>
          <w:p w14:paraId="53FC32F4">
            <w:pPr>
              <w:rPr>
                <w:rFonts w:ascii="Arial"/>
                <w:sz w:val="21"/>
              </w:rPr>
            </w:pPr>
          </w:p>
        </w:tc>
        <w:tc>
          <w:tcPr>
            <w:tcW w:w="854" w:type="dxa"/>
            <w:vAlign w:val="top"/>
          </w:tcPr>
          <w:p w14:paraId="61241F39">
            <w:pPr>
              <w:pStyle w:val="11"/>
              <w:spacing w:before="180" w:line="223" w:lineRule="auto"/>
              <w:ind w:left="239"/>
            </w:pPr>
            <w:r>
              <w:rPr>
                <w:spacing w:val="-8"/>
              </w:rPr>
              <w:t>电话</w:t>
            </w:r>
          </w:p>
        </w:tc>
        <w:tc>
          <w:tcPr>
            <w:tcW w:w="1219" w:type="dxa"/>
            <w:vAlign w:val="top"/>
          </w:tcPr>
          <w:p w14:paraId="266BE4CD">
            <w:pPr>
              <w:rPr>
                <w:rFonts w:ascii="Arial"/>
                <w:sz w:val="21"/>
              </w:rPr>
            </w:pPr>
          </w:p>
        </w:tc>
      </w:tr>
      <w:tr w14:paraId="2C1626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1560" w:type="dxa"/>
            <w:vAlign w:val="top"/>
          </w:tcPr>
          <w:p w14:paraId="0C5E7F8C">
            <w:pPr>
              <w:pStyle w:val="11"/>
              <w:spacing w:before="180" w:line="221" w:lineRule="auto"/>
              <w:ind w:left="263"/>
            </w:pPr>
            <w:r>
              <w:rPr>
                <w:spacing w:val="-1"/>
              </w:rPr>
              <w:t>技术负责人</w:t>
            </w:r>
          </w:p>
        </w:tc>
        <w:tc>
          <w:tcPr>
            <w:tcW w:w="854" w:type="dxa"/>
            <w:vAlign w:val="top"/>
          </w:tcPr>
          <w:p w14:paraId="2133F24B">
            <w:pPr>
              <w:pStyle w:val="11"/>
              <w:spacing w:before="180" w:line="221" w:lineRule="auto"/>
              <w:ind w:left="224"/>
            </w:pPr>
            <w:r>
              <w:rPr>
                <w:spacing w:val="-2"/>
              </w:rPr>
              <w:t>姓名</w:t>
            </w:r>
          </w:p>
        </w:tc>
        <w:tc>
          <w:tcPr>
            <w:tcW w:w="1142" w:type="dxa"/>
            <w:vAlign w:val="top"/>
          </w:tcPr>
          <w:p w14:paraId="1B61121D">
            <w:pPr>
              <w:rPr>
                <w:rFonts w:ascii="Arial"/>
                <w:sz w:val="21"/>
              </w:rPr>
            </w:pPr>
          </w:p>
        </w:tc>
        <w:tc>
          <w:tcPr>
            <w:tcW w:w="1165" w:type="dxa"/>
            <w:vAlign w:val="top"/>
          </w:tcPr>
          <w:p w14:paraId="5179A4AD">
            <w:pPr>
              <w:pStyle w:val="11"/>
              <w:spacing w:before="180" w:line="221" w:lineRule="auto"/>
              <w:ind w:left="164"/>
            </w:pPr>
            <w:r>
              <w:rPr>
                <w:spacing w:val="-1"/>
              </w:rPr>
              <w:t>技术职称</w:t>
            </w:r>
          </w:p>
        </w:tc>
        <w:tc>
          <w:tcPr>
            <w:tcW w:w="1517" w:type="dxa"/>
            <w:gridSpan w:val="2"/>
            <w:vAlign w:val="top"/>
          </w:tcPr>
          <w:p w14:paraId="40138B60">
            <w:pPr>
              <w:rPr>
                <w:rFonts w:ascii="Arial"/>
                <w:sz w:val="21"/>
              </w:rPr>
            </w:pPr>
          </w:p>
        </w:tc>
        <w:tc>
          <w:tcPr>
            <w:tcW w:w="854" w:type="dxa"/>
            <w:vAlign w:val="top"/>
          </w:tcPr>
          <w:p w14:paraId="36636107">
            <w:pPr>
              <w:pStyle w:val="11"/>
              <w:spacing w:before="180" w:line="223" w:lineRule="auto"/>
              <w:ind w:left="239"/>
            </w:pPr>
            <w:r>
              <w:rPr>
                <w:spacing w:val="-8"/>
              </w:rPr>
              <w:t>电话</w:t>
            </w:r>
          </w:p>
        </w:tc>
        <w:tc>
          <w:tcPr>
            <w:tcW w:w="1219" w:type="dxa"/>
            <w:vAlign w:val="top"/>
          </w:tcPr>
          <w:p w14:paraId="17668214">
            <w:pPr>
              <w:rPr>
                <w:rFonts w:ascii="Arial"/>
                <w:sz w:val="21"/>
              </w:rPr>
            </w:pPr>
          </w:p>
        </w:tc>
      </w:tr>
      <w:tr w14:paraId="38000A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5" w:hRule="atLeast"/>
        </w:trPr>
        <w:tc>
          <w:tcPr>
            <w:tcW w:w="1560" w:type="dxa"/>
            <w:vAlign w:val="top"/>
          </w:tcPr>
          <w:p w14:paraId="25950FCC">
            <w:pPr>
              <w:pStyle w:val="11"/>
              <w:spacing w:before="180" w:line="222" w:lineRule="auto"/>
              <w:ind w:left="370"/>
            </w:pPr>
            <w:r>
              <w:rPr>
                <w:spacing w:val="-1"/>
              </w:rPr>
              <w:t>成立时间</w:t>
            </w:r>
          </w:p>
        </w:tc>
        <w:tc>
          <w:tcPr>
            <w:tcW w:w="1996" w:type="dxa"/>
            <w:gridSpan w:val="2"/>
            <w:vAlign w:val="top"/>
          </w:tcPr>
          <w:p w14:paraId="1698490E">
            <w:pPr>
              <w:rPr>
                <w:rFonts w:ascii="Arial"/>
                <w:sz w:val="21"/>
              </w:rPr>
            </w:pPr>
          </w:p>
        </w:tc>
        <w:tc>
          <w:tcPr>
            <w:tcW w:w="4755" w:type="dxa"/>
            <w:gridSpan w:val="5"/>
            <w:vAlign w:val="top"/>
          </w:tcPr>
          <w:p w14:paraId="6A9AB78F">
            <w:pPr>
              <w:pStyle w:val="11"/>
              <w:spacing w:before="180" w:line="221" w:lineRule="auto"/>
              <w:ind w:left="124"/>
            </w:pPr>
            <w:r>
              <w:rPr>
                <w:spacing w:val="-2"/>
              </w:rPr>
              <w:t>员工总人数：</w:t>
            </w:r>
          </w:p>
        </w:tc>
      </w:tr>
      <w:tr w14:paraId="4EA223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1560" w:type="dxa"/>
            <w:vAlign w:val="top"/>
          </w:tcPr>
          <w:p w14:paraId="0A41D2C5">
            <w:pPr>
              <w:pStyle w:val="11"/>
              <w:spacing w:before="176" w:line="221" w:lineRule="auto"/>
              <w:ind w:left="160"/>
            </w:pPr>
            <w:r>
              <w:rPr>
                <w:spacing w:val="-1"/>
              </w:rPr>
              <w:t>企业资质等级</w:t>
            </w:r>
          </w:p>
        </w:tc>
        <w:tc>
          <w:tcPr>
            <w:tcW w:w="1996" w:type="dxa"/>
            <w:gridSpan w:val="2"/>
            <w:vAlign w:val="top"/>
          </w:tcPr>
          <w:p w14:paraId="4266544F">
            <w:pPr>
              <w:rPr>
                <w:rFonts w:ascii="Arial"/>
                <w:sz w:val="21"/>
              </w:rPr>
            </w:pPr>
          </w:p>
        </w:tc>
        <w:tc>
          <w:tcPr>
            <w:tcW w:w="1165" w:type="dxa"/>
            <w:vMerge w:val="restart"/>
            <w:tcBorders>
              <w:bottom w:val="nil"/>
            </w:tcBorders>
            <w:vAlign w:val="top"/>
          </w:tcPr>
          <w:p w14:paraId="4BBA4C23">
            <w:pPr>
              <w:spacing w:line="251" w:lineRule="auto"/>
              <w:rPr>
                <w:rFonts w:ascii="Arial"/>
                <w:sz w:val="21"/>
              </w:rPr>
            </w:pPr>
          </w:p>
          <w:p w14:paraId="7D8DC924">
            <w:pPr>
              <w:spacing w:line="251" w:lineRule="auto"/>
              <w:rPr>
                <w:rFonts w:ascii="Arial"/>
                <w:sz w:val="21"/>
              </w:rPr>
            </w:pPr>
          </w:p>
          <w:p w14:paraId="7244627D">
            <w:pPr>
              <w:spacing w:line="252" w:lineRule="auto"/>
              <w:rPr>
                <w:rFonts w:ascii="Arial"/>
                <w:sz w:val="21"/>
              </w:rPr>
            </w:pPr>
          </w:p>
          <w:p w14:paraId="519EA48F">
            <w:pPr>
              <w:spacing w:line="252" w:lineRule="auto"/>
              <w:rPr>
                <w:rFonts w:ascii="Arial"/>
                <w:sz w:val="21"/>
              </w:rPr>
            </w:pPr>
          </w:p>
          <w:p w14:paraId="5537206C">
            <w:pPr>
              <w:spacing w:line="252" w:lineRule="auto"/>
              <w:rPr>
                <w:rFonts w:ascii="Arial"/>
                <w:sz w:val="21"/>
              </w:rPr>
            </w:pPr>
          </w:p>
          <w:p w14:paraId="34AD27D8">
            <w:pPr>
              <w:pStyle w:val="11"/>
              <w:spacing w:before="68" w:line="221" w:lineRule="auto"/>
              <w:ind w:left="376"/>
            </w:pPr>
            <w:r>
              <w:rPr>
                <w:spacing w:val="-2"/>
              </w:rPr>
              <w:t>其中</w:t>
            </w:r>
          </w:p>
        </w:tc>
        <w:tc>
          <w:tcPr>
            <w:tcW w:w="1517" w:type="dxa"/>
            <w:gridSpan w:val="2"/>
            <w:vAlign w:val="top"/>
          </w:tcPr>
          <w:p w14:paraId="79EA9E3E">
            <w:pPr>
              <w:pStyle w:val="11"/>
              <w:spacing w:before="176" w:line="221" w:lineRule="auto"/>
              <w:ind w:left="232"/>
            </w:pPr>
            <w:r>
              <w:rPr>
                <w:spacing w:val="-1"/>
              </w:rPr>
              <w:t>注册建造师</w:t>
            </w:r>
          </w:p>
        </w:tc>
        <w:tc>
          <w:tcPr>
            <w:tcW w:w="2073" w:type="dxa"/>
            <w:gridSpan w:val="2"/>
            <w:vAlign w:val="top"/>
          </w:tcPr>
          <w:p w14:paraId="0F645184">
            <w:pPr>
              <w:rPr>
                <w:rFonts w:ascii="Arial"/>
                <w:sz w:val="21"/>
              </w:rPr>
            </w:pPr>
          </w:p>
        </w:tc>
      </w:tr>
      <w:tr w14:paraId="0C2162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1560" w:type="dxa"/>
            <w:vAlign w:val="top"/>
          </w:tcPr>
          <w:p w14:paraId="024C1E1F">
            <w:pPr>
              <w:pStyle w:val="11"/>
              <w:spacing w:before="176" w:line="221" w:lineRule="auto"/>
              <w:ind w:left="269"/>
            </w:pPr>
            <w:r>
              <w:rPr>
                <w:spacing w:val="-2"/>
              </w:rPr>
              <w:t>营业执照号</w:t>
            </w:r>
          </w:p>
        </w:tc>
        <w:tc>
          <w:tcPr>
            <w:tcW w:w="1996" w:type="dxa"/>
            <w:gridSpan w:val="2"/>
            <w:vAlign w:val="top"/>
          </w:tcPr>
          <w:p w14:paraId="52CC9C2C">
            <w:pPr>
              <w:rPr>
                <w:rFonts w:ascii="Arial"/>
                <w:sz w:val="21"/>
              </w:rPr>
            </w:pPr>
          </w:p>
        </w:tc>
        <w:tc>
          <w:tcPr>
            <w:tcW w:w="1165" w:type="dxa"/>
            <w:vMerge w:val="continue"/>
            <w:tcBorders>
              <w:top w:val="nil"/>
              <w:bottom w:val="nil"/>
            </w:tcBorders>
            <w:vAlign w:val="top"/>
          </w:tcPr>
          <w:p w14:paraId="007300D8">
            <w:pPr>
              <w:rPr>
                <w:rFonts w:ascii="Arial"/>
                <w:sz w:val="21"/>
              </w:rPr>
            </w:pPr>
          </w:p>
        </w:tc>
        <w:tc>
          <w:tcPr>
            <w:tcW w:w="1517" w:type="dxa"/>
            <w:gridSpan w:val="2"/>
            <w:vAlign w:val="top"/>
          </w:tcPr>
          <w:p w14:paraId="64045CCB">
            <w:pPr>
              <w:pStyle w:val="11"/>
              <w:spacing w:before="176" w:line="221" w:lineRule="auto"/>
              <w:ind w:left="133"/>
            </w:pPr>
            <w:r>
              <w:rPr>
                <w:spacing w:val="-2"/>
              </w:rPr>
              <w:t>高级职称人员</w:t>
            </w:r>
          </w:p>
        </w:tc>
        <w:tc>
          <w:tcPr>
            <w:tcW w:w="2073" w:type="dxa"/>
            <w:gridSpan w:val="2"/>
            <w:vAlign w:val="top"/>
          </w:tcPr>
          <w:p w14:paraId="3DFC6370">
            <w:pPr>
              <w:rPr>
                <w:rFonts w:ascii="Arial"/>
                <w:sz w:val="21"/>
              </w:rPr>
            </w:pPr>
          </w:p>
        </w:tc>
      </w:tr>
      <w:tr w14:paraId="1DE89B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1560" w:type="dxa"/>
            <w:vAlign w:val="top"/>
          </w:tcPr>
          <w:p w14:paraId="512D010A">
            <w:pPr>
              <w:pStyle w:val="11"/>
              <w:spacing w:before="182" w:line="222" w:lineRule="auto"/>
              <w:ind w:left="368"/>
            </w:pPr>
            <w:r>
              <w:rPr>
                <w:spacing w:val="-1"/>
              </w:rPr>
              <w:t>注册资金</w:t>
            </w:r>
          </w:p>
        </w:tc>
        <w:tc>
          <w:tcPr>
            <w:tcW w:w="1996" w:type="dxa"/>
            <w:gridSpan w:val="2"/>
            <w:vAlign w:val="top"/>
          </w:tcPr>
          <w:p w14:paraId="3791F1B9">
            <w:pPr>
              <w:rPr>
                <w:rFonts w:ascii="Arial"/>
                <w:sz w:val="21"/>
              </w:rPr>
            </w:pPr>
          </w:p>
        </w:tc>
        <w:tc>
          <w:tcPr>
            <w:tcW w:w="1165" w:type="dxa"/>
            <w:vMerge w:val="continue"/>
            <w:tcBorders>
              <w:top w:val="nil"/>
              <w:bottom w:val="nil"/>
            </w:tcBorders>
            <w:vAlign w:val="top"/>
          </w:tcPr>
          <w:p w14:paraId="09F0E3AD">
            <w:pPr>
              <w:rPr>
                <w:rFonts w:ascii="Arial"/>
                <w:sz w:val="21"/>
              </w:rPr>
            </w:pPr>
          </w:p>
        </w:tc>
        <w:tc>
          <w:tcPr>
            <w:tcW w:w="1517" w:type="dxa"/>
            <w:gridSpan w:val="2"/>
            <w:vAlign w:val="top"/>
          </w:tcPr>
          <w:p w14:paraId="78E44A33">
            <w:pPr>
              <w:pStyle w:val="11"/>
              <w:spacing w:before="182" w:line="221" w:lineRule="auto"/>
              <w:ind w:left="147"/>
            </w:pPr>
            <w:r>
              <w:rPr>
                <w:spacing w:val="-4"/>
              </w:rPr>
              <w:t>中级职称人员</w:t>
            </w:r>
          </w:p>
        </w:tc>
        <w:tc>
          <w:tcPr>
            <w:tcW w:w="2073" w:type="dxa"/>
            <w:gridSpan w:val="2"/>
            <w:vAlign w:val="top"/>
          </w:tcPr>
          <w:p w14:paraId="64657B89">
            <w:pPr>
              <w:rPr>
                <w:rFonts w:ascii="Arial"/>
                <w:sz w:val="21"/>
              </w:rPr>
            </w:pPr>
          </w:p>
        </w:tc>
      </w:tr>
      <w:tr w14:paraId="176399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6" w:hRule="atLeast"/>
        </w:trPr>
        <w:tc>
          <w:tcPr>
            <w:tcW w:w="1560" w:type="dxa"/>
            <w:vAlign w:val="top"/>
          </w:tcPr>
          <w:p w14:paraId="2C1DA858">
            <w:pPr>
              <w:pStyle w:val="11"/>
              <w:spacing w:before="42" w:line="241" w:lineRule="auto"/>
              <w:ind w:left="368"/>
            </w:pPr>
            <w:r>
              <w:rPr>
                <w:spacing w:val="-1"/>
              </w:rPr>
              <w:t>基本账户</w:t>
            </w:r>
          </w:p>
          <w:p w14:paraId="48CD44D3">
            <w:pPr>
              <w:pStyle w:val="11"/>
              <w:spacing w:line="219" w:lineRule="auto"/>
              <w:ind w:left="369"/>
            </w:pPr>
            <w:r>
              <w:rPr>
                <w:spacing w:val="-1"/>
              </w:rPr>
              <w:t>开户银行</w:t>
            </w:r>
          </w:p>
        </w:tc>
        <w:tc>
          <w:tcPr>
            <w:tcW w:w="1996" w:type="dxa"/>
            <w:gridSpan w:val="2"/>
            <w:vAlign w:val="top"/>
          </w:tcPr>
          <w:p w14:paraId="04068F40">
            <w:pPr>
              <w:rPr>
                <w:rFonts w:ascii="Arial"/>
                <w:sz w:val="21"/>
              </w:rPr>
            </w:pPr>
          </w:p>
        </w:tc>
        <w:tc>
          <w:tcPr>
            <w:tcW w:w="1165" w:type="dxa"/>
            <w:vMerge w:val="continue"/>
            <w:tcBorders>
              <w:top w:val="nil"/>
              <w:bottom w:val="nil"/>
            </w:tcBorders>
            <w:vAlign w:val="top"/>
          </w:tcPr>
          <w:p w14:paraId="4D186479">
            <w:pPr>
              <w:rPr>
                <w:rFonts w:ascii="Arial"/>
                <w:sz w:val="21"/>
              </w:rPr>
            </w:pPr>
          </w:p>
        </w:tc>
        <w:tc>
          <w:tcPr>
            <w:tcW w:w="1517" w:type="dxa"/>
            <w:gridSpan w:val="2"/>
            <w:vAlign w:val="top"/>
          </w:tcPr>
          <w:p w14:paraId="494FCC9F">
            <w:pPr>
              <w:pStyle w:val="11"/>
              <w:spacing w:before="182" w:line="222" w:lineRule="auto"/>
              <w:ind w:left="126"/>
            </w:pPr>
            <w:r>
              <w:rPr>
                <w:spacing w:val="-1"/>
              </w:rPr>
              <w:t>初级职称人员</w:t>
            </w:r>
          </w:p>
        </w:tc>
        <w:tc>
          <w:tcPr>
            <w:tcW w:w="2073" w:type="dxa"/>
            <w:gridSpan w:val="2"/>
            <w:vAlign w:val="top"/>
          </w:tcPr>
          <w:p w14:paraId="590A076C">
            <w:pPr>
              <w:rPr>
                <w:rFonts w:ascii="Arial"/>
                <w:sz w:val="21"/>
              </w:rPr>
            </w:pPr>
          </w:p>
        </w:tc>
      </w:tr>
      <w:tr w14:paraId="12B267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1560" w:type="dxa"/>
            <w:vAlign w:val="top"/>
          </w:tcPr>
          <w:p w14:paraId="4E77DE02">
            <w:pPr>
              <w:pStyle w:val="11"/>
              <w:spacing w:before="43" w:line="236" w:lineRule="auto"/>
              <w:ind w:left="368"/>
            </w:pPr>
            <w:r>
              <w:rPr>
                <w:spacing w:val="-1"/>
              </w:rPr>
              <w:t>基本账户</w:t>
            </w:r>
          </w:p>
          <w:p w14:paraId="6EEC71E2">
            <w:pPr>
              <w:pStyle w:val="11"/>
              <w:spacing w:before="1" w:line="218" w:lineRule="auto"/>
              <w:ind w:left="583"/>
            </w:pPr>
            <w:r>
              <w:rPr>
                <w:spacing w:val="-3"/>
              </w:rPr>
              <w:t>账号</w:t>
            </w:r>
          </w:p>
        </w:tc>
        <w:tc>
          <w:tcPr>
            <w:tcW w:w="1996" w:type="dxa"/>
            <w:gridSpan w:val="2"/>
            <w:vAlign w:val="top"/>
          </w:tcPr>
          <w:p w14:paraId="357DEECD">
            <w:pPr>
              <w:rPr>
                <w:rFonts w:ascii="Arial"/>
                <w:sz w:val="21"/>
              </w:rPr>
            </w:pPr>
          </w:p>
        </w:tc>
        <w:tc>
          <w:tcPr>
            <w:tcW w:w="1165" w:type="dxa"/>
            <w:vMerge w:val="continue"/>
            <w:tcBorders>
              <w:top w:val="nil"/>
            </w:tcBorders>
            <w:vAlign w:val="top"/>
          </w:tcPr>
          <w:p w14:paraId="11ADFD8C">
            <w:pPr>
              <w:rPr>
                <w:rFonts w:ascii="Arial"/>
                <w:sz w:val="21"/>
              </w:rPr>
            </w:pPr>
          </w:p>
        </w:tc>
        <w:tc>
          <w:tcPr>
            <w:tcW w:w="1517" w:type="dxa"/>
            <w:gridSpan w:val="2"/>
            <w:vAlign w:val="top"/>
          </w:tcPr>
          <w:p w14:paraId="4C1EBEDF">
            <w:pPr>
              <w:pStyle w:val="11"/>
              <w:spacing w:before="177" w:line="222" w:lineRule="auto"/>
              <w:ind w:left="445"/>
            </w:pPr>
            <w:r>
              <w:rPr>
                <w:spacing w:val="-4"/>
              </w:rPr>
              <w:t>技</w:t>
            </w:r>
            <w:r>
              <w:rPr>
                <w:spacing w:val="5"/>
              </w:rPr>
              <w:t xml:space="preserve">  </w:t>
            </w:r>
            <w:r>
              <w:rPr>
                <w:spacing w:val="-4"/>
              </w:rPr>
              <w:t>工</w:t>
            </w:r>
          </w:p>
        </w:tc>
        <w:tc>
          <w:tcPr>
            <w:tcW w:w="2073" w:type="dxa"/>
            <w:gridSpan w:val="2"/>
            <w:vAlign w:val="top"/>
          </w:tcPr>
          <w:p w14:paraId="07918705">
            <w:pPr>
              <w:rPr>
                <w:rFonts w:ascii="Arial"/>
                <w:sz w:val="21"/>
              </w:rPr>
            </w:pPr>
          </w:p>
        </w:tc>
      </w:tr>
      <w:tr w14:paraId="17915C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54" w:hRule="atLeast"/>
        </w:trPr>
        <w:tc>
          <w:tcPr>
            <w:tcW w:w="1560" w:type="dxa"/>
            <w:vAlign w:val="top"/>
          </w:tcPr>
          <w:p w14:paraId="6A3745AF">
            <w:pPr>
              <w:spacing w:line="273" w:lineRule="auto"/>
              <w:rPr>
                <w:rFonts w:ascii="Arial"/>
                <w:sz w:val="21"/>
              </w:rPr>
            </w:pPr>
          </w:p>
          <w:p w14:paraId="3AD1AE40">
            <w:pPr>
              <w:spacing w:line="274" w:lineRule="auto"/>
              <w:rPr>
                <w:rFonts w:ascii="Arial"/>
                <w:sz w:val="21"/>
              </w:rPr>
            </w:pPr>
          </w:p>
          <w:p w14:paraId="19BCF9AE">
            <w:pPr>
              <w:pStyle w:val="11"/>
              <w:spacing w:before="69" w:line="221" w:lineRule="auto"/>
              <w:ind w:left="370"/>
            </w:pPr>
            <w:r>
              <w:rPr>
                <w:spacing w:val="-1"/>
              </w:rPr>
              <w:t>经营范围</w:t>
            </w:r>
          </w:p>
        </w:tc>
        <w:tc>
          <w:tcPr>
            <w:tcW w:w="6751" w:type="dxa"/>
            <w:gridSpan w:val="7"/>
            <w:vAlign w:val="top"/>
          </w:tcPr>
          <w:p w14:paraId="72D87479">
            <w:pPr>
              <w:rPr>
                <w:rFonts w:ascii="Arial"/>
                <w:sz w:val="21"/>
              </w:rPr>
            </w:pPr>
          </w:p>
        </w:tc>
      </w:tr>
      <w:tr w14:paraId="3728C2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5" w:hRule="atLeast"/>
        </w:trPr>
        <w:tc>
          <w:tcPr>
            <w:tcW w:w="1560" w:type="dxa"/>
            <w:vAlign w:val="top"/>
          </w:tcPr>
          <w:p w14:paraId="3B0862EE">
            <w:pPr>
              <w:pStyle w:val="11"/>
              <w:spacing w:before="178" w:line="222" w:lineRule="auto"/>
              <w:ind w:left="582"/>
            </w:pPr>
            <w:r>
              <w:rPr>
                <w:spacing w:val="-3"/>
              </w:rPr>
              <w:t>备注</w:t>
            </w:r>
          </w:p>
        </w:tc>
        <w:tc>
          <w:tcPr>
            <w:tcW w:w="6751" w:type="dxa"/>
            <w:gridSpan w:val="7"/>
            <w:vAlign w:val="top"/>
          </w:tcPr>
          <w:p w14:paraId="57A7DDAD">
            <w:pPr>
              <w:rPr>
                <w:rFonts w:ascii="Arial"/>
                <w:sz w:val="21"/>
              </w:rPr>
            </w:pPr>
          </w:p>
        </w:tc>
      </w:tr>
    </w:tbl>
    <w:p w14:paraId="56FAAE4D">
      <w:pPr>
        <w:spacing w:before="155" w:line="403" w:lineRule="exact"/>
        <w:ind w:left="20"/>
        <w:rPr>
          <w:rFonts w:ascii="宋体" w:hAnsi="宋体" w:eastAsia="宋体" w:cs="宋体"/>
          <w:sz w:val="21"/>
          <w:szCs w:val="21"/>
        </w:rPr>
      </w:pPr>
      <w:r>
        <w:rPr>
          <w:rFonts w:ascii="宋体" w:hAnsi="宋体" w:eastAsia="宋体" w:cs="宋体"/>
          <w:spacing w:val="-3"/>
          <w:position w:val="14"/>
          <w:sz w:val="21"/>
          <w:szCs w:val="21"/>
        </w:rPr>
        <w:t>备注： 1.本表后应附营业执照、企业资质证书、安全生产许可证、基本账户开户许可证</w:t>
      </w:r>
    </w:p>
    <w:p w14:paraId="6A3123FD">
      <w:pPr>
        <w:spacing w:before="1" w:line="219" w:lineRule="auto"/>
        <w:ind w:left="865"/>
        <w:rPr>
          <w:rFonts w:ascii="宋体" w:hAnsi="宋体" w:eastAsia="宋体" w:cs="宋体"/>
          <w:sz w:val="21"/>
          <w:szCs w:val="21"/>
        </w:rPr>
      </w:pPr>
      <w:r>
        <w:rPr>
          <w:rFonts w:ascii="宋体" w:hAnsi="宋体" w:eastAsia="宋体" w:cs="宋体"/>
          <w:spacing w:val="-4"/>
          <w:sz w:val="21"/>
          <w:szCs w:val="21"/>
        </w:rPr>
        <w:t>（基本存款账户信息）、质量、环境、职业健康安全管理体系认证证书等材料。</w:t>
      </w:r>
    </w:p>
    <w:p w14:paraId="3C47FFBC">
      <w:pPr>
        <w:spacing w:before="149" w:line="221" w:lineRule="auto"/>
        <w:ind w:left="643"/>
        <w:rPr>
          <w:rFonts w:ascii="宋体" w:hAnsi="宋体" w:eastAsia="宋体" w:cs="宋体"/>
          <w:sz w:val="21"/>
          <w:szCs w:val="21"/>
        </w:rPr>
      </w:pPr>
      <w:r>
        <w:rPr>
          <w:rFonts w:ascii="Times New Roman" w:hAnsi="Times New Roman" w:eastAsia="Times New Roman" w:cs="Times New Roman"/>
          <w:spacing w:val="-1"/>
          <w:sz w:val="21"/>
          <w:szCs w:val="21"/>
        </w:rPr>
        <w:t>2.</w:t>
      </w:r>
      <w:r>
        <w:rPr>
          <w:rFonts w:ascii="宋体" w:hAnsi="宋体" w:eastAsia="宋体" w:cs="宋体"/>
          <w:spacing w:val="-1"/>
          <w:sz w:val="21"/>
          <w:szCs w:val="21"/>
        </w:rPr>
        <w:t>联合体投标的，联合体各成员应分别填写。</w:t>
      </w:r>
    </w:p>
    <w:p w14:paraId="1217FA88">
      <w:pPr>
        <w:spacing w:line="221" w:lineRule="auto"/>
        <w:rPr>
          <w:rFonts w:ascii="宋体" w:hAnsi="宋体" w:eastAsia="宋体" w:cs="宋体"/>
          <w:sz w:val="21"/>
          <w:szCs w:val="21"/>
        </w:rPr>
        <w:sectPr>
          <w:footerReference r:id="rId209" w:type="default"/>
          <w:pgSz w:w="11905" w:h="16839"/>
          <w:pgMar w:top="400" w:right="1785" w:bottom="1004" w:left="1785" w:header="0" w:footer="828" w:gutter="0"/>
          <w:pgNumType w:fmt="decimal"/>
          <w:cols w:space="720" w:num="1"/>
        </w:sectPr>
      </w:pPr>
    </w:p>
    <w:p w14:paraId="3406AB09">
      <w:pPr>
        <w:pStyle w:val="3"/>
        <w:spacing w:line="267" w:lineRule="auto"/>
      </w:pPr>
    </w:p>
    <w:p w14:paraId="0A72C480">
      <w:pPr>
        <w:pStyle w:val="3"/>
        <w:spacing w:line="268" w:lineRule="auto"/>
      </w:pPr>
    </w:p>
    <w:p w14:paraId="7AC6E4F6">
      <w:pPr>
        <w:pStyle w:val="3"/>
        <w:spacing w:line="268" w:lineRule="auto"/>
      </w:pPr>
    </w:p>
    <w:p w14:paraId="7DFE95C0">
      <w:pPr>
        <w:pStyle w:val="3"/>
        <w:spacing w:line="268" w:lineRule="auto"/>
      </w:pPr>
    </w:p>
    <w:p w14:paraId="07FF0651">
      <w:pPr>
        <w:spacing w:before="78" w:line="218" w:lineRule="auto"/>
        <w:ind w:left="3226"/>
        <w:rPr>
          <w:rFonts w:ascii="黑体" w:hAnsi="黑体" w:eastAsia="黑体" w:cs="黑体"/>
          <w:sz w:val="24"/>
          <w:szCs w:val="24"/>
        </w:rPr>
      </w:pPr>
      <w:bookmarkStart w:id="1331" w:name="bookmark316"/>
      <w:bookmarkEnd w:id="1331"/>
      <w:r>
        <w:rPr>
          <w:rFonts w:ascii="Times New Roman" w:hAnsi="Times New Roman" w:eastAsia="Times New Roman" w:cs="Times New Roman"/>
          <w:spacing w:val="-4"/>
          <w:sz w:val="24"/>
          <w:szCs w:val="24"/>
        </w:rPr>
        <w:t xml:space="preserve">1-2 </w:t>
      </w:r>
      <w:r>
        <w:rPr>
          <w:rFonts w:ascii="黑体" w:hAnsi="黑体" w:eastAsia="黑体" w:cs="黑体"/>
          <w:spacing w:val="-4"/>
          <w:sz w:val="24"/>
          <w:szCs w:val="24"/>
        </w:rPr>
        <w:t>关联单位情况说明</w:t>
      </w:r>
    </w:p>
    <w:p w14:paraId="2504DDCE">
      <w:pPr>
        <w:spacing w:before="2"/>
      </w:pPr>
    </w:p>
    <w:tbl>
      <w:tblPr>
        <w:tblStyle w:val="10"/>
        <w:tblW w:w="8691"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8691"/>
      </w:tblGrid>
      <w:tr w14:paraId="0933D35F">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8411" w:hRule="atLeast"/>
        </w:trPr>
        <w:tc>
          <w:tcPr>
            <w:tcW w:w="8691" w:type="dxa"/>
            <w:vAlign w:val="top"/>
          </w:tcPr>
          <w:p w14:paraId="578F8EC6">
            <w:pPr>
              <w:spacing w:line="319" w:lineRule="auto"/>
              <w:rPr>
                <w:rFonts w:ascii="Arial"/>
                <w:sz w:val="21"/>
              </w:rPr>
            </w:pPr>
          </w:p>
          <w:p w14:paraId="70618040">
            <w:pPr>
              <w:pStyle w:val="11"/>
              <w:spacing w:before="69" w:line="220" w:lineRule="auto"/>
              <w:ind w:left="14"/>
            </w:pPr>
            <w:r>
              <w:rPr>
                <w:spacing w:val="-2"/>
              </w:rPr>
              <w:t>单位负责人与本单位负责人为同一人的单位：</w:t>
            </w:r>
          </w:p>
          <w:p w14:paraId="681C5A05">
            <w:pPr>
              <w:spacing w:line="263" w:lineRule="auto"/>
              <w:rPr>
                <w:rFonts w:ascii="Arial"/>
                <w:sz w:val="21"/>
              </w:rPr>
            </w:pPr>
          </w:p>
          <w:p w14:paraId="2CB6EA3D">
            <w:pPr>
              <w:spacing w:line="263" w:lineRule="auto"/>
              <w:rPr>
                <w:rFonts w:ascii="Arial"/>
                <w:sz w:val="21"/>
              </w:rPr>
            </w:pPr>
          </w:p>
          <w:p w14:paraId="5FEB2B63">
            <w:pPr>
              <w:spacing w:line="264" w:lineRule="auto"/>
              <w:rPr>
                <w:rFonts w:ascii="Arial"/>
                <w:sz w:val="21"/>
              </w:rPr>
            </w:pPr>
          </w:p>
          <w:p w14:paraId="2B43B29A">
            <w:pPr>
              <w:spacing w:line="264" w:lineRule="auto"/>
              <w:rPr>
                <w:rFonts w:ascii="Arial"/>
                <w:sz w:val="21"/>
              </w:rPr>
            </w:pPr>
          </w:p>
          <w:p w14:paraId="43A879D3">
            <w:pPr>
              <w:spacing w:line="264" w:lineRule="auto"/>
              <w:rPr>
                <w:rFonts w:ascii="Arial"/>
                <w:sz w:val="21"/>
              </w:rPr>
            </w:pPr>
          </w:p>
          <w:p w14:paraId="3EA762A0">
            <w:pPr>
              <w:spacing w:line="264" w:lineRule="auto"/>
              <w:rPr>
                <w:rFonts w:ascii="Arial"/>
                <w:sz w:val="21"/>
              </w:rPr>
            </w:pPr>
          </w:p>
          <w:p w14:paraId="4355A8F0">
            <w:pPr>
              <w:pStyle w:val="11"/>
              <w:spacing w:before="68" w:line="220" w:lineRule="auto"/>
              <w:ind w:left="17"/>
            </w:pPr>
            <w:r>
              <w:rPr>
                <w:spacing w:val="-1"/>
              </w:rPr>
              <w:t>与本单位存在控股与被控股关系的单位：</w:t>
            </w:r>
          </w:p>
          <w:p w14:paraId="2F7A8E9F">
            <w:pPr>
              <w:spacing w:line="265" w:lineRule="auto"/>
              <w:rPr>
                <w:rFonts w:ascii="Arial"/>
                <w:sz w:val="21"/>
              </w:rPr>
            </w:pPr>
          </w:p>
          <w:p w14:paraId="770B82B0">
            <w:pPr>
              <w:spacing w:line="265" w:lineRule="auto"/>
              <w:rPr>
                <w:rFonts w:ascii="Arial"/>
                <w:sz w:val="21"/>
              </w:rPr>
            </w:pPr>
          </w:p>
          <w:p w14:paraId="5982F7E6">
            <w:pPr>
              <w:spacing w:line="265" w:lineRule="auto"/>
              <w:rPr>
                <w:rFonts w:ascii="Arial"/>
                <w:sz w:val="21"/>
              </w:rPr>
            </w:pPr>
          </w:p>
          <w:p w14:paraId="5E9B91AC">
            <w:pPr>
              <w:spacing w:line="265" w:lineRule="auto"/>
              <w:rPr>
                <w:rFonts w:ascii="Arial"/>
                <w:sz w:val="21"/>
              </w:rPr>
            </w:pPr>
          </w:p>
          <w:p w14:paraId="5A2945D0">
            <w:pPr>
              <w:spacing w:line="265" w:lineRule="auto"/>
              <w:rPr>
                <w:rFonts w:ascii="Arial"/>
                <w:sz w:val="21"/>
              </w:rPr>
            </w:pPr>
          </w:p>
          <w:p w14:paraId="6F99D922">
            <w:pPr>
              <w:spacing w:line="265" w:lineRule="auto"/>
              <w:rPr>
                <w:rFonts w:ascii="Arial"/>
                <w:sz w:val="21"/>
              </w:rPr>
            </w:pPr>
          </w:p>
          <w:p w14:paraId="0B07D291">
            <w:pPr>
              <w:spacing w:line="266" w:lineRule="auto"/>
              <w:rPr>
                <w:rFonts w:ascii="Arial"/>
                <w:sz w:val="21"/>
              </w:rPr>
            </w:pPr>
          </w:p>
          <w:p w14:paraId="49131BC2">
            <w:pPr>
              <w:spacing w:line="266" w:lineRule="auto"/>
              <w:rPr>
                <w:rFonts w:ascii="Arial"/>
                <w:sz w:val="21"/>
              </w:rPr>
            </w:pPr>
          </w:p>
          <w:p w14:paraId="654DC333">
            <w:pPr>
              <w:spacing w:line="266" w:lineRule="auto"/>
              <w:rPr>
                <w:rFonts w:ascii="Arial"/>
                <w:sz w:val="21"/>
              </w:rPr>
            </w:pPr>
          </w:p>
          <w:p w14:paraId="53BBDFDC">
            <w:pPr>
              <w:pStyle w:val="11"/>
              <w:spacing w:before="69" w:line="220" w:lineRule="auto"/>
              <w:ind w:left="17"/>
            </w:pPr>
            <w:r>
              <w:rPr>
                <w:spacing w:val="-1"/>
              </w:rPr>
              <w:t>与本单位存在管理与被管理关系的单位：</w:t>
            </w:r>
          </w:p>
        </w:tc>
      </w:tr>
    </w:tbl>
    <w:p w14:paraId="648B6138">
      <w:pPr>
        <w:spacing w:before="29" w:line="229" w:lineRule="auto"/>
        <w:ind w:left="826" w:right="452" w:hanging="629"/>
        <w:rPr>
          <w:rFonts w:ascii="宋体" w:hAnsi="宋体" w:eastAsia="宋体" w:cs="宋体"/>
          <w:sz w:val="21"/>
          <w:szCs w:val="21"/>
        </w:rPr>
      </w:pPr>
      <w:r>
        <w:rPr>
          <w:rFonts w:ascii="宋体" w:hAnsi="宋体" w:eastAsia="宋体" w:cs="宋体"/>
          <w:spacing w:val="-6"/>
          <w:sz w:val="21"/>
          <w:szCs w:val="21"/>
        </w:rPr>
        <w:t>备注： 1.投标人应当如实披露相关关联单位的情况。没有相关关联单位的明确填</w:t>
      </w:r>
      <w:r>
        <w:rPr>
          <w:rFonts w:ascii="宋体" w:hAnsi="宋体" w:eastAsia="宋体" w:cs="宋体"/>
          <w:spacing w:val="-7"/>
          <w:sz w:val="21"/>
          <w:szCs w:val="21"/>
        </w:rPr>
        <w:t>“无”。</w:t>
      </w:r>
      <w:r>
        <w:rPr>
          <w:rFonts w:ascii="宋体" w:hAnsi="宋体" w:eastAsia="宋体" w:cs="宋体"/>
          <w:sz w:val="21"/>
          <w:szCs w:val="21"/>
        </w:rPr>
        <w:t xml:space="preserve"> </w:t>
      </w:r>
      <w:r>
        <w:rPr>
          <w:rFonts w:ascii="宋体" w:hAnsi="宋体" w:eastAsia="宋体" w:cs="宋体"/>
          <w:spacing w:val="-2"/>
          <w:sz w:val="21"/>
          <w:szCs w:val="21"/>
        </w:rPr>
        <w:t>2.联合体投标的，联合体各成员应分别填写。</w:t>
      </w:r>
    </w:p>
    <w:p w14:paraId="6C0A9B3C">
      <w:pPr>
        <w:spacing w:line="229" w:lineRule="auto"/>
        <w:rPr>
          <w:rFonts w:ascii="宋体" w:hAnsi="宋体" w:eastAsia="宋体" w:cs="宋体"/>
          <w:sz w:val="21"/>
          <w:szCs w:val="21"/>
        </w:rPr>
        <w:sectPr>
          <w:footerReference r:id="rId210" w:type="default"/>
          <w:pgSz w:w="11905" w:h="16839"/>
          <w:pgMar w:top="400" w:right="1599" w:bottom="1004" w:left="1608" w:header="0" w:footer="828" w:gutter="0"/>
          <w:pgNumType w:fmt="decimal"/>
          <w:cols w:space="720" w:num="1"/>
        </w:sectPr>
      </w:pPr>
    </w:p>
    <w:p w14:paraId="59C021FE">
      <w:pPr>
        <w:pStyle w:val="3"/>
        <w:spacing w:line="267" w:lineRule="auto"/>
      </w:pPr>
    </w:p>
    <w:p w14:paraId="3A5D3153">
      <w:pPr>
        <w:pStyle w:val="3"/>
        <w:spacing w:line="267" w:lineRule="auto"/>
      </w:pPr>
    </w:p>
    <w:p w14:paraId="67D9EBEE">
      <w:pPr>
        <w:pStyle w:val="3"/>
        <w:spacing w:line="268" w:lineRule="auto"/>
      </w:pPr>
    </w:p>
    <w:p w14:paraId="443AE2C9">
      <w:pPr>
        <w:pStyle w:val="3"/>
        <w:spacing w:line="268" w:lineRule="auto"/>
      </w:pPr>
    </w:p>
    <w:p w14:paraId="7792F40C">
      <w:pPr>
        <w:spacing w:before="78" w:line="220" w:lineRule="auto"/>
        <w:ind w:left="2689"/>
        <w:rPr>
          <w:rFonts w:ascii="黑体" w:hAnsi="黑体" w:eastAsia="黑体" w:cs="黑体"/>
          <w:sz w:val="24"/>
          <w:szCs w:val="24"/>
        </w:rPr>
      </w:pPr>
      <w:bookmarkStart w:id="1332" w:name="bookmark317"/>
      <w:bookmarkEnd w:id="1332"/>
      <w:r>
        <w:rPr>
          <w:rFonts w:ascii="Times New Roman" w:hAnsi="Times New Roman" w:eastAsia="Times New Roman" w:cs="Times New Roman"/>
          <w:spacing w:val="-3"/>
          <w:sz w:val="24"/>
          <w:szCs w:val="24"/>
        </w:rPr>
        <w:t xml:space="preserve">1-3 </w:t>
      </w:r>
      <w:r>
        <w:rPr>
          <w:rFonts w:ascii="黑体" w:hAnsi="黑体" w:eastAsia="黑体" w:cs="黑体"/>
          <w:spacing w:val="-3"/>
          <w:sz w:val="24"/>
          <w:szCs w:val="24"/>
        </w:rPr>
        <w:t>企业在辽基本信息登记单</w:t>
      </w:r>
    </w:p>
    <w:p w14:paraId="56667946">
      <w:pPr>
        <w:spacing w:before="29"/>
      </w:pPr>
    </w:p>
    <w:tbl>
      <w:tblPr>
        <w:tblStyle w:val="10"/>
        <w:tblW w:w="8311"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092"/>
        <w:gridCol w:w="2064"/>
        <w:gridCol w:w="2083"/>
        <w:gridCol w:w="2072"/>
      </w:tblGrid>
      <w:tr w14:paraId="2ACF75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5" w:hRule="atLeast"/>
        </w:trPr>
        <w:tc>
          <w:tcPr>
            <w:tcW w:w="2092" w:type="dxa"/>
            <w:vAlign w:val="top"/>
          </w:tcPr>
          <w:p w14:paraId="554B624D">
            <w:pPr>
              <w:pStyle w:val="11"/>
              <w:spacing w:before="250" w:line="221" w:lineRule="auto"/>
              <w:ind w:left="634"/>
            </w:pPr>
            <w:r>
              <w:rPr>
                <w:spacing w:val="-1"/>
              </w:rPr>
              <w:t>单位名称</w:t>
            </w:r>
          </w:p>
        </w:tc>
        <w:tc>
          <w:tcPr>
            <w:tcW w:w="6219" w:type="dxa"/>
            <w:gridSpan w:val="3"/>
            <w:vAlign w:val="top"/>
          </w:tcPr>
          <w:p w14:paraId="2587CEC4">
            <w:pPr>
              <w:rPr>
                <w:rFonts w:ascii="Arial"/>
                <w:sz w:val="21"/>
              </w:rPr>
            </w:pPr>
          </w:p>
        </w:tc>
      </w:tr>
      <w:tr w14:paraId="4A2AB5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trPr>
        <w:tc>
          <w:tcPr>
            <w:tcW w:w="2092" w:type="dxa"/>
            <w:vAlign w:val="top"/>
          </w:tcPr>
          <w:p w14:paraId="4CB19E19">
            <w:pPr>
              <w:pStyle w:val="11"/>
              <w:spacing w:before="240" w:line="221" w:lineRule="auto"/>
              <w:ind w:left="321"/>
            </w:pPr>
            <w:r>
              <w:rPr>
                <w:spacing w:val="-1"/>
              </w:rPr>
              <w:t>法定代表人姓名</w:t>
            </w:r>
          </w:p>
        </w:tc>
        <w:tc>
          <w:tcPr>
            <w:tcW w:w="2064" w:type="dxa"/>
            <w:vAlign w:val="top"/>
          </w:tcPr>
          <w:p w14:paraId="7F89209A">
            <w:pPr>
              <w:rPr>
                <w:rFonts w:ascii="Arial"/>
                <w:sz w:val="21"/>
              </w:rPr>
            </w:pPr>
          </w:p>
        </w:tc>
        <w:tc>
          <w:tcPr>
            <w:tcW w:w="2083" w:type="dxa"/>
            <w:vAlign w:val="top"/>
          </w:tcPr>
          <w:p w14:paraId="57E8B052">
            <w:pPr>
              <w:pStyle w:val="11"/>
              <w:spacing w:before="241" w:line="221" w:lineRule="auto"/>
              <w:ind w:left="530"/>
            </w:pPr>
            <w:r>
              <w:rPr>
                <w:spacing w:val="-2"/>
              </w:rPr>
              <w:t>公司所在地</w:t>
            </w:r>
          </w:p>
        </w:tc>
        <w:tc>
          <w:tcPr>
            <w:tcW w:w="2072" w:type="dxa"/>
            <w:vAlign w:val="top"/>
          </w:tcPr>
          <w:p w14:paraId="235BFB6D">
            <w:pPr>
              <w:rPr>
                <w:rFonts w:ascii="Arial"/>
                <w:sz w:val="21"/>
              </w:rPr>
            </w:pPr>
          </w:p>
        </w:tc>
      </w:tr>
      <w:tr w14:paraId="4C61EB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5" w:hRule="atLeast"/>
        </w:trPr>
        <w:tc>
          <w:tcPr>
            <w:tcW w:w="2092" w:type="dxa"/>
            <w:vAlign w:val="top"/>
          </w:tcPr>
          <w:p w14:paraId="3358BA4C">
            <w:pPr>
              <w:pStyle w:val="11"/>
              <w:spacing w:before="236" w:line="221" w:lineRule="auto"/>
              <w:ind w:left="219"/>
            </w:pPr>
            <w:r>
              <w:rPr>
                <w:spacing w:val="-1"/>
              </w:rPr>
              <w:t>安全生产许可证号</w:t>
            </w:r>
          </w:p>
        </w:tc>
        <w:tc>
          <w:tcPr>
            <w:tcW w:w="6219" w:type="dxa"/>
            <w:gridSpan w:val="3"/>
            <w:vAlign w:val="top"/>
          </w:tcPr>
          <w:p w14:paraId="2C329C5D">
            <w:pPr>
              <w:rPr>
                <w:rFonts w:ascii="Arial"/>
                <w:sz w:val="21"/>
              </w:rPr>
            </w:pPr>
          </w:p>
        </w:tc>
      </w:tr>
      <w:tr w14:paraId="0B100B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6" w:hRule="atLeast"/>
        </w:trPr>
        <w:tc>
          <w:tcPr>
            <w:tcW w:w="2092" w:type="dxa"/>
            <w:vAlign w:val="top"/>
          </w:tcPr>
          <w:p w14:paraId="222F6837">
            <w:pPr>
              <w:pStyle w:val="11"/>
              <w:spacing w:before="242" w:line="220" w:lineRule="auto"/>
              <w:ind w:left="536"/>
            </w:pPr>
            <w:r>
              <w:rPr>
                <w:spacing w:val="-2"/>
              </w:rPr>
              <w:t>资质证书号</w:t>
            </w:r>
          </w:p>
        </w:tc>
        <w:tc>
          <w:tcPr>
            <w:tcW w:w="6219" w:type="dxa"/>
            <w:gridSpan w:val="3"/>
            <w:vAlign w:val="top"/>
          </w:tcPr>
          <w:p w14:paraId="3B27D680">
            <w:pPr>
              <w:pStyle w:val="11"/>
              <w:spacing w:before="242" w:line="221" w:lineRule="auto"/>
              <w:ind w:left="2391"/>
            </w:pPr>
            <w:r>
              <w:rPr>
                <w:spacing w:val="-2"/>
              </w:rPr>
              <w:t>资质类别及等级</w:t>
            </w:r>
          </w:p>
        </w:tc>
      </w:tr>
      <w:tr w14:paraId="7FB6C2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5" w:hRule="atLeast"/>
        </w:trPr>
        <w:tc>
          <w:tcPr>
            <w:tcW w:w="2092" w:type="dxa"/>
            <w:vAlign w:val="top"/>
          </w:tcPr>
          <w:p w14:paraId="0F5DF489">
            <w:pPr>
              <w:pStyle w:val="11"/>
              <w:spacing w:before="242" w:line="332" w:lineRule="exact"/>
              <w:ind w:left="962"/>
            </w:pPr>
            <w:r>
              <w:rPr>
                <w:position w:val="2"/>
              </w:rPr>
              <w:t>…</w:t>
            </w:r>
          </w:p>
        </w:tc>
        <w:tc>
          <w:tcPr>
            <w:tcW w:w="6219" w:type="dxa"/>
            <w:gridSpan w:val="3"/>
            <w:vAlign w:val="top"/>
          </w:tcPr>
          <w:p w14:paraId="5CC4D1EF">
            <w:pPr>
              <w:rPr>
                <w:rFonts w:ascii="Arial"/>
                <w:sz w:val="21"/>
              </w:rPr>
            </w:pPr>
          </w:p>
        </w:tc>
      </w:tr>
      <w:tr w14:paraId="21D441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1" w:hRule="atLeast"/>
        </w:trPr>
        <w:tc>
          <w:tcPr>
            <w:tcW w:w="2092" w:type="dxa"/>
            <w:vAlign w:val="top"/>
          </w:tcPr>
          <w:p w14:paraId="50E2958B">
            <w:pPr>
              <w:pStyle w:val="11"/>
              <w:spacing w:before="243" w:line="332" w:lineRule="exact"/>
              <w:ind w:left="962"/>
            </w:pPr>
            <w:r>
              <w:rPr>
                <w:position w:val="2"/>
              </w:rPr>
              <w:t>…</w:t>
            </w:r>
          </w:p>
        </w:tc>
        <w:tc>
          <w:tcPr>
            <w:tcW w:w="6219" w:type="dxa"/>
            <w:gridSpan w:val="3"/>
            <w:vAlign w:val="top"/>
          </w:tcPr>
          <w:p w14:paraId="7F8BBA10">
            <w:pPr>
              <w:rPr>
                <w:rFonts w:ascii="Arial"/>
                <w:sz w:val="21"/>
              </w:rPr>
            </w:pPr>
          </w:p>
        </w:tc>
      </w:tr>
      <w:tr w14:paraId="2FE428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5" w:hRule="atLeast"/>
        </w:trPr>
        <w:tc>
          <w:tcPr>
            <w:tcW w:w="2092" w:type="dxa"/>
            <w:vAlign w:val="top"/>
          </w:tcPr>
          <w:p w14:paraId="6E3655BE">
            <w:pPr>
              <w:pStyle w:val="11"/>
              <w:spacing w:before="238" w:line="333" w:lineRule="exact"/>
              <w:ind w:left="962"/>
            </w:pPr>
            <w:r>
              <w:rPr>
                <w:position w:val="2"/>
              </w:rPr>
              <w:t>…</w:t>
            </w:r>
          </w:p>
        </w:tc>
        <w:tc>
          <w:tcPr>
            <w:tcW w:w="6219" w:type="dxa"/>
            <w:gridSpan w:val="3"/>
            <w:vAlign w:val="top"/>
          </w:tcPr>
          <w:p w14:paraId="588FCB19">
            <w:pPr>
              <w:rPr>
                <w:rFonts w:ascii="Arial"/>
                <w:sz w:val="21"/>
              </w:rPr>
            </w:pPr>
          </w:p>
        </w:tc>
      </w:tr>
      <w:tr w14:paraId="3A2481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9" w:hRule="atLeast"/>
        </w:trPr>
        <w:tc>
          <w:tcPr>
            <w:tcW w:w="2092" w:type="dxa"/>
            <w:vAlign w:val="top"/>
          </w:tcPr>
          <w:p w14:paraId="043818C5">
            <w:pPr>
              <w:pStyle w:val="11"/>
              <w:spacing w:before="248" w:line="221" w:lineRule="auto"/>
              <w:ind w:left="530"/>
            </w:pPr>
            <w:r>
              <w:rPr>
                <w:spacing w:val="-1"/>
              </w:rPr>
              <w:t>企业归属地</w:t>
            </w:r>
          </w:p>
        </w:tc>
        <w:tc>
          <w:tcPr>
            <w:tcW w:w="6219" w:type="dxa"/>
            <w:gridSpan w:val="3"/>
            <w:vAlign w:val="top"/>
          </w:tcPr>
          <w:p w14:paraId="6836ACE2">
            <w:pPr>
              <w:pStyle w:val="11"/>
              <w:spacing w:before="248" w:line="221" w:lineRule="auto"/>
              <w:ind w:left="1669"/>
            </w:pPr>
            <w:r>
              <w:rPr>
                <w:spacing w:val="-5"/>
              </w:rPr>
              <w:t>□省内企业</w:t>
            </w:r>
            <w:r>
              <w:rPr>
                <w:spacing w:val="3"/>
              </w:rPr>
              <w:t xml:space="preserve">        </w:t>
            </w:r>
            <w:r>
              <w:rPr>
                <w:spacing w:val="-5"/>
              </w:rPr>
              <w:t>□省外企业</w:t>
            </w:r>
          </w:p>
        </w:tc>
      </w:tr>
      <w:tr w14:paraId="1BB47C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5" w:hRule="atLeast"/>
        </w:trPr>
        <w:tc>
          <w:tcPr>
            <w:tcW w:w="2092" w:type="dxa"/>
            <w:vAlign w:val="top"/>
          </w:tcPr>
          <w:p w14:paraId="039A3CC5">
            <w:pPr>
              <w:pStyle w:val="11"/>
              <w:spacing w:before="250" w:line="221" w:lineRule="auto"/>
              <w:ind w:left="319"/>
            </w:pPr>
            <w:r>
              <w:rPr>
                <w:spacing w:val="-1"/>
              </w:rPr>
              <w:t>在辽负责人姓名</w:t>
            </w:r>
          </w:p>
        </w:tc>
        <w:tc>
          <w:tcPr>
            <w:tcW w:w="2064" w:type="dxa"/>
            <w:vAlign w:val="top"/>
          </w:tcPr>
          <w:p w14:paraId="5FCE9DF1">
            <w:pPr>
              <w:rPr>
                <w:rFonts w:ascii="Arial"/>
                <w:sz w:val="21"/>
              </w:rPr>
            </w:pPr>
          </w:p>
        </w:tc>
        <w:tc>
          <w:tcPr>
            <w:tcW w:w="2083" w:type="dxa"/>
            <w:vAlign w:val="top"/>
          </w:tcPr>
          <w:p w14:paraId="0A31DB2B">
            <w:pPr>
              <w:pStyle w:val="11"/>
              <w:spacing w:before="250" w:line="223" w:lineRule="auto"/>
              <w:ind w:left="866"/>
            </w:pPr>
            <w:r>
              <w:rPr>
                <w:spacing w:val="-8"/>
              </w:rPr>
              <w:t>电话</w:t>
            </w:r>
          </w:p>
        </w:tc>
        <w:tc>
          <w:tcPr>
            <w:tcW w:w="2072" w:type="dxa"/>
            <w:vAlign w:val="top"/>
          </w:tcPr>
          <w:p w14:paraId="211D93BB">
            <w:pPr>
              <w:rPr>
                <w:rFonts w:ascii="Arial"/>
                <w:sz w:val="21"/>
              </w:rPr>
            </w:pPr>
          </w:p>
        </w:tc>
      </w:tr>
      <w:tr w14:paraId="574BAD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trPr>
        <w:tc>
          <w:tcPr>
            <w:tcW w:w="2092" w:type="dxa"/>
            <w:vAlign w:val="top"/>
          </w:tcPr>
          <w:p w14:paraId="661112D9">
            <w:pPr>
              <w:pStyle w:val="11"/>
              <w:spacing w:before="246" w:line="221" w:lineRule="auto"/>
              <w:ind w:left="319"/>
            </w:pPr>
            <w:r>
              <w:rPr>
                <w:spacing w:val="-1"/>
              </w:rPr>
              <w:t>入辽登记有效期</w:t>
            </w:r>
          </w:p>
        </w:tc>
        <w:tc>
          <w:tcPr>
            <w:tcW w:w="6219" w:type="dxa"/>
            <w:gridSpan w:val="3"/>
            <w:vAlign w:val="top"/>
          </w:tcPr>
          <w:p w14:paraId="6CF2B71C">
            <w:pPr>
              <w:pStyle w:val="11"/>
              <w:spacing w:before="245" w:line="221" w:lineRule="auto"/>
              <w:ind w:left="2435"/>
            </w:pPr>
            <w:r>
              <w:rPr>
                <w:spacing w:val="-7"/>
              </w:rPr>
              <w:t>年</w:t>
            </w:r>
            <w:r>
              <w:rPr>
                <w:spacing w:val="5"/>
              </w:rPr>
              <w:t xml:space="preserve">   </w:t>
            </w:r>
            <w:r>
              <w:rPr>
                <w:spacing w:val="-7"/>
              </w:rPr>
              <w:t>月</w:t>
            </w:r>
            <w:r>
              <w:rPr>
                <w:spacing w:val="10"/>
              </w:rPr>
              <w:t xml:space="preserve">    </w:t>
            </w:r>
            <w:r>
              <w:rPr>
                <w:spacing w:val="-7"/>
              </w:rPr>
              <w:t>日</w:t>
            </w:r>
          </w:p>
        </w:tc>
      </w:tr>
    </w:tbl>
    <w:p w14:paraId="7AA5F309">
      <w:pPr>
        <w:spacing w:before="24" w:line="220" w:lineRule="auto"/>
        <w:ind w:left="20"/>
        <w:rPr>
          <w:rFonts w:ascii="宋体" w:hAnsi="宋体" w:eastAsia="宋体" w:cs="宋体"/>
          <w:sz w:val="21"/>
          <w:szCs w:val="21"/>
        </w:rPr>
      </w:pPr>
      <w:r>
        <w:rPr>
          <w:rFonts w:ascii="宋体" w:hAnsi="宋体" w:eastAsia="宋体" w:cs="宋体"/>
          <w:sz w:val="21"/>
          <w:szCs w:val="21"/>
        </w:rPr>
        <w:t>备注：联合体投标的，联合体各成员均应附在辽基本</w:t>
      </w:r>
      <w:r>
        <w:rPr>
          <w:rFonts w:ascii="宋体" w:hAnsi="宋体" w:eastAsia="宋体" w:cs="宋体"/>
          <w:spacing w:val="-1"/>
          <w:sz w:val="21"/>
          <w:szCs w:val="21"/>
        </w:rPr>
        <w:t>信息登记单。</w:t>
      </w:r>
    </w:p>
    <w:p w14:paraId="7BEA32AC">
      <w:pPr>
        <w:spacing w:line="220" w:lineRule="auto"/>
        <w:rPr>
          <w:rFonts w:ascii="宋体" w:hAnsi="宋体" w:eastAsia="宋体" w:cs="宋体"/>
          <w:sz w:val="21"/>
          <w:szCs w:val="21"/>
        </w:rPr>
        <w:sectPr>
          <w:footerReference r:id="rId211" w:type="default"/>
          <w:pgSz w:w="11905" w:h="16839"/>
          <w:pgMar w:top="400" w:right="1785" w:bottom="1004" w:left="1785" w:header="0" w:footer="828" w:gutter="0"/>
          <w:pgNumType w:fmt="decimal"/>
          <w:cols w:space="720" w:num="1"/>
        </w:sectPr>
      </w:pPr>
    </w:p>
    <w:p w14:paraId="794FB4E3">
      <w:pPr>
        <w:pStyle w:val="3"/>
        <w:spacing w:line="276" w:lineRule="auto"/>
      </w:pPr>
    </w:p>
    <w:p w14:paraId="00E7C922">
      <w:pPr>
        <w:pStyle w:val="3"/>
        <w:spacing w:line="276" w:lineRule="auto"/>
      </w:pPr>
    </w:p>
    <w:p w14:paraId="6757A4B9">
      <w:pPr>
        <w:pStyle w:val="3"/>
        <w:spacing w:line="276" w:lineRule="auto"/>
      </w:pPr>
    </w:p>
    <w:p w14:paraId="02F07B29">
      <w:pPr>
        <w:pStyle w:val="3"/>
        <w:spacing w:line="276" w:lineRule="auto"/>
      </w:pPr>
    </w:p>
    <w:p w14:paraId="3E02B636">
      <w:pPr>
        <w:pStyle w:val="3"/>
        <w:spacing w:line="277" w:lineRule="auto"/>
      </w:pPr>
    </w:p>
    <w:p w14:paraId="717FE471">
      <w:pPr>
        <w:spacing w:before="78" w:line="218" w:lineRule="auto"/>
        <w:ind w:left="2328"/>
        <w:rPr>
          <w:rFonts w:ascii="黑体" w:hAnsi="黑体" w:eastAsia="黑体" w:cs="黑体"/>
          <w:sz w:val="24"/>
          <w:szCs w:val="24"/>
        </w:rPr>
      </w:pPr>
      <w:bookmarkStart w:id="1333" w:name="bookmark318"/>
      <w:bookmarkEnd w:id="1333"/>
      <w:r>
        <w:rPr>
          <w:rFonts w:ascii="Times New Roman" w:hAnsi="Times New Roman" w:eastAsia="Times New Roman" w:cs="Times New Roman"/>
          <w:spacing w:val="-3"/>
          <w:sz w:val="24"/>
          <w:szCs w:val="24"/>
        </w:rPr>
        <w:t xml:space="preserve">1-4 </w:t>
      </w:r>
      <w:r>
        <w:rPr>
          <w:rFonts w:ascii="黑体" w:hAnsi="黑体" w:eastAsia="黑体" w:cs="黑体"/>
          <w:spacing w:val="-3"/>
          <w:sz w:val="24"/>
          <w:szCs w:val="24"/>
        </w:rPr>
        <w:t>项目管理机构主要人员及简历表</w:t>
      </w:r>
    </w:p>
    <w:p w14:paraId="3CDC61A0">
      <w:pPr>
        <w:pStyle w:val="3"/>
        <w:spacing w:line="243" w:lineRule="auto"/>
      </w:pPr>
    </w:p>
    <w:p w14:paraId="56A66942">
      <w:pPr>
        <w:pStyle w:val="3"/>
        <w:spacing w:line="243" w:lineRule="auto"/>
      </w:pPr>
    </w:p>
    <w:p w14:paraId="33BC5891">
      <w:pPr>
        <w:spacing w:before="68" w:line="219" w:lineRule="auto"/>
        <w:ind w:left="651"/>
        <w:rPr>
          <w:rFonts w:ascii="宋体" w:hAnsi="宋体" w:eastAsia="宋体" w:cs="宋体"/>
          <w:sz w:val="21"/>
          <w:szCs w:val="21"/>
        </w:rPr>
      </w:pPr>
      <w:r>
        <w:rPr>
          <w:rFonts w:ascii="黑体" w:hAnsi="黑体" w:eastAsia="黑体" w:cs="黑体"/>
          <w:spacing w:val="-6"/>
          <w:sz w:val="21"/>
          <w:szCs w:val="21"/>
        </w:rPr>
        <w:t>说明：</w:t>
      </w:r>
      <w:r>
        <w:rPr>
          <w:rFonts w:ascii="黑体" w:hAnsi="黑体" w:eastAsia="黑体" w:cs="黑体"/>
          <w:spacing w:val="-34"/>
          <w:sz w:val="21"/>
          <w:szCs w:val="21"/>
        </w:rPr>
        <w:t xml:space="preserve"> </w:t>
      </w:r>
      <w:r>
        <w:rPr>
          <w:rFonts w:ascii="宋体" w:hAnsi="宋体" w:eastAsia="宋体" w:cs="宋体"/>
          <w:spacing w:val="-6"/>
          <w:sz w:val="21"/>
          <w:szCs w:val="21"/>
        </w:rPr>
        <w:t>“项目管理机构主要人员及简历表”同本章六、项目管理机构。</w:t>
      </w:r>
    </w:p>
    <w:p w14:paraId="4BE62FCC">
      <w:pPr>
        <w:spacing w:line="219" w:lineRule="auto"/>
        <w:rPr>
          <w:rFonts w:ascii="宋体" w:hAnsi="宋体" w:eastAsia="宋体" w:cs="宋体"/>
          <w:sz w:val="21"/>
          <w:szCs w:val="21"/>
        </w:rPr>
        <w:sectPr>
          <w:footerReference r:id="rId212" w:type="default"/>
          <w:pgSz w:w="11905" w:h="16839"/>
          <w:pgMar w:top="400" w:right="1785" w:bottom="1004" w:left="1785" w:header="0" w:footer="828" w:gutter="0"/>
          <w:pgNumType w:fmt="decimal"/>
          <w:cols w:space="720" w:num="1"/>
        </w:sectPr>
      </w:pPr>
    </w:p>
    <w:p w14:paraId="030131F0">
      <w:pPr>
        <w:pStyle w:val="3"/>
        <w:spacing w:line="267" w:lineRule="auto"/>
      </w:pPr>
    </w:p>
    <w:p w14:paraId="0E5D81D7">
      <w:pPr>
        <w:pStyle w:val="3"/>
        <w:spacing w:line="267" w:lineRule="auto"/>
      </w:pPr>
    </w:p>
    <w:p w14:paraId="60243474">
      <w:pPr>
        <w:pStyle w:val="3"/>
        <w:spacing w:line="268" w:lineRule="auto"/>
      </w:pPr>
    </w:p>
    <w:p w14:paraId="1BC64AE4">
      <w:pPr>
        <w:pStyle w:val="3"/>
        <w:spacing w:line="268" w:lineRule="auto"/>
      </w:pPr>
    </w:p>
    <w:p w14:paraId="2754266A">
      <w:pPr>
        <w:spacing w:before="78" w:line="219" w:lineRule="auto"/>
        <w:ind w:left="2328"/>
        <w:rPr>
          <w:rFonts w:ascii="黑体" w:hAnsi="黑体" w:eastAsia="黑体" w:cs="黑体"/>
          <w:sz w:val="24"/>
          <w:szCs w:val="24"/>
        </w:rPr>
      </w:pPr>
      <w:bookmarkStart w:id="1334" w:name="bookmark319"/>
      <w:bookmarkEnd w:id="1334"/>
      <w:r>
        <w:rPr>
          <w:rFonts w:ascii="Times New Roman" w:hAnsi="Times New Roman" w:eastAsia="Times New Roman" w:cs="Times New Roman"/>
          <w:spacing w:val="-3"/>
          <w:sz w:val="24"/>
          <w:szCs w:val="24"/>
        </w:rPr>
        <w:t xml:space="preserve">1-5 </w:t>
      </w:r>
      <w:r>
        <w:rPr>
          <w:rFonts w:ascii="黑体" w:hAnsi="黑体" w:eastAsia="黑体" w:cs="黑体"/>
          <w:spacing w:val="-3"/>
          <w:sz w:val="24"/>
          <w:szCs w:val="24"/>
        </w:rPr>
        <w:t>拟投入主要施工机械设备情况表</w:t>
      </w:r>
    </w:p>
    <w:p w14:paraId="1F9B5FE2">
      <w:pPr>
        <w:spacing w:before="160"/>
      </w:pPr>
    </w:p>
    <w:tbl>
      <w:tblPr>
        <w:tblStyle w:val="10"/>
        <w:tblW w:w="8301" w:type="dxa"/>
        <w:tblInd w:w="1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93"/>
        <w:gridCol w:w="1179"/>
        <w:gridCol w:w="1184"/>
        <w:gridCol w:w="1184"/>
        <w:gridCol w:w="1184"/>
        <w:gridCol w:w="1184"/>
        <w:gridCol w:w="1193"/>
      </w:tblGrid>
      <w:tr w14:paraId="659B4C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9" w:hRule="atLeast"/>
        </w:trPr>
        <w:tc>
          <w:tcPr>
            <w:tcW w:w="1193" w:type="dxa"/>
            <w:tcBorders>
              <w:top w:val="single" w:color="000000" w:sz="6" w:space="0"/>
              <w:left w:val="single" w:color="000000" w:sz="6" w:space="0"/>
            </w:tcBorders>
            <w:vAlign w:val="top"/>
          </w:tcPr>
          <w:p w14:paraId="791A1ED8">
            <w:pPr>
              <w:pStyle w:val="11"/>
              <w:spacing w:before="100" w:line="230" w:lineRule="auto"/>
              <w:ind w:left="389" w:right="170" w:hanging="214"/>
            </w:pPr>
            <w:r>
              <w:rPr>
                <w:spacing w:val="-1"/>
              </w:rPr>
              <w:t>机械设备</w:t>
            </w:r>
            <w:r>
              <w:t xml:space="preserve"> </w:t>
            </w:r>
            <w:r>
              <w:rPr>
                <w:spacing w:val="-3"/>
              </w:rPr>
              <w:t>名称</w:t>
            </w:r>
          </w:p>
        </w:tc>
        <w:tc>
          <w:tcPr>
            <w:tcW w:w="1179" w:type="dxa"/>
            <w:tcBorders>
              <w:top w:val="single" w:color="000000" w:sz="6" w:space="0"/>
            </w:tcBorders>
            <w:vAlign w:val="top"/>
          </w:tcPr>
          <w:p w14:paraId="3284ACE0">
            <w:pPr>
              <w:pStyle w:val="11"/>
              <w:spacing w:before="235" w:line="221" w:lineRule="auto"/>
              <w:ind w:left="180"/>
            </w:pPr>
            <w:r>
              <w:rPr>
                <w:spacing w:val="-2"/>
              </w:rPr>
              <w:t>型号规格</w:t>
            </w:r>
          </w:p>
        </w:tc>
        <w:tc>
          <w:tcPr>
            <w:tcW w:w="1184" w:type="dxa"/>
            <w:tcBorders>
              <w:top w:val="single" w:color="000000" w:sz="6" w:space="0"/>
            </w:tcBorders>
            <w:vAlign w:val="top"/>
          </w:tcPr>
          <w:p w14:paraId="2E8634AC">
            <w:pPr>
              <w:pStyle w:val="11"/>
              <w:spacing w:before="235" w:line="221" w:lineRule="auto"/>
              <w:ind w:left="283"/>
            </w:pPr>
            <w:r>
              <w:rPr>
                <w:spacing w:val="-5"/>
              </w:rPr>
              <w:t>数</w:t>
            </w:r>
            <w:r>
              <w:rPr>
                <w:spacing w:val="4"/>
              </w:rPr>
              <w:t xml:space="preserve">  </w:t>
            </w:r>
            <w:r>
              <w:rPr>
                <w:spacing w:val="-5"/>
              </w:rPr>
              <w:t>量</w:t>
            </w:r>
          </w:p>
        </w:tc>
        <w:tc>
          <w:tcPr>
            <w:tcW w:w="1184" w:type="dxa"/>
            <w:tcBorders>
              <w:top w:val="single" w:color="000000" w:sz="6" w:space="0"/>
            </w:tcBorders>
            <w:vAlign w:val="top"/>
          </w:tcPr>
          <w:p w14:paraId="23E91A3D">
            <w:pPr>
              <w:pStyle w:val="11"/>
              <w:spacing w:before="235" w:line="221" w:lineRule="auto"/>
              <w:ind w:left="218"/>
            </w:pPr>
            <w:r>
              <w:rPr>
                <w:spacing w:val="-9"/>
              </w:rPr>
              <w:t>目前状况</w:t>
            </w:r>
          </w:p>
        </w:tc>
        <w:tc>
          <w:tcPr>
            <w:tcW w:w="1184" w:type="dxa"/>
            <w:tcBorders>
              <w:top w:val="single" w:color="000000" w:sz="6" w:space="0"/>
            </w:tcBorders>
            <w:vAlign w:val="top"/>
          </w:tcPr>
          <w:p w14:paraId="03271EB9">
            <w:pPr>
              <w:pStyle w:val="11"/>
              <w:spacing w:before="235" w:line="221" w:lineRule="auto"/>
              <w:ind w:left="287"/>
            </w:pPr>
            <w:r>
              <w:rPr>
                <w:spacing w:val="-4"/>
              </w:rPr>
              <w:t>来</w:t>
            </w:r>
            <w:r>
              <w:rPr>
                <w:spacing w:val="4"/>
              </w:rPr>
              <w:t xml:space="preserve">  </w:t>
            </w:r>
            <w:r>
              <w:rPr>
                <w:spacing w:val="-4"/>
              </w:rPr>
              <w:t>源</w:t>
            </w:r>
          </w:p>
        </w:tc>
        <w:tc>
          <w:tcPr>
            <w:tcW w:w="1184" w:type="dxa"/>
            <w:tcBorders>
              <w:top w:val="single" w:color="000000" w:sz="6" w:space="0"/>
            </w:tcBorders>
            <w:vAlign w:val="top"/>
          </w:tcPr>
          <w:p w14:paraId="39820DED">
            <w:pPr>
              <w:pStyle w:val="11"/>
              <w:spacing w:before="100" w:line="231" w:lineRule="auto"/>
              <w:ind w:left="509" w:right="160" w:hanging="326"/>
            </w:pPr>
            <w:r>
              <w:rPr>
                <w:spacing w:val="-2"/>
              </w:rPr>
              <w:t>现停放地</w:t>
            </w:r>
            <w:r>
              <w:rPr>
                <w:spacing w:val="1"/>
              </w:rPr>
              <w:t xml:space="preserve"> </w:t>
            </w:r>
            <w:r>
              <w:t>点</w:t>
            </w:r>
          </w:p>
        </w:tc>
        <w:tc>
          <w:tcPr>
            <w:tcW w:w="1193" w:type="dxa"/>
            <w:tcBorders>
              <w:top w:val="single" w:color="000000" w:sz="6" w:space="0"/>
              <w:right w:val="single" w:color="000000" w:sz="6" w:space="0"/>
            </w:tcBorders>
            <w:vAlign w:val="top"/>
          </w:tcPr>
          <w:p w14:paraId="75539756">
            <w:pPr>
              <w:pStyle w:val="11"/>
              <w:spacing w:before="236" w:line="222" w:lineRule="auto"/>
              <w:ind w:left="292"/>
            </w:pPr>
            <w:r>
              <w:rPr>
                <w:spacing w:val="-5"/>
              </w:rPr>
              <w:t>备</w:t>
            </w:r>
            <w:r>
              <w:rPr>
                <w:spacing w:val="4"/>
              </w:rPr>
              <w:t xml:space="preserve">  </w:t>
            </w:r>
            <w:r>
              <w:rPr>
                <w:spacing w:val="-5"/>
              </w:rPr>
              <w:t>注</w:t>
            </w:r>
          </w:p>
        </w:tc>
      </w:tr>
      <w:tr w14:paraId="6D9C24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0" w:hRule="atLeast"/>
        </w:trPr>
        <w:tc>
          <w:tcPr>
            <w:tcW w:w="1193" w:type="dxa"/>
            <w:tcBorders>
              <w:left w:val="single" w:color="000000" w:sz="6" w:space="0"/>
            </w:tcBorders>
            <w:vAlign w:val="top"/>
          </w:tcPr>
          <w:p w14:paraId="3C68DDE3">
            <w:pPr>
              <w:rPr>
                <w:rFonts w:ascii="Arial"/>
                <w:sz w:val="21"/>
              </w:rPr>
            </w:pPr>
          </w:p>
        </w:tc>
        <w:tc>
          <w:tcPr>
            <w:tcW w:w="1179" w:type="dxa"/>
            <w:vAlign w:val="top"/>
          </w:tcPr>
          <w:p w14:paraId="7D351905">
            <w:pPr>
              <w:rPr>
                <w:rFonts w:ascii="Arial"/>
                <w:sz w:val="21"/>
              </w:rPr>
            </w:pPr>
          </w:p>
        </w:tc>
        <w:tc>
          <w:tcPr>
            <w:tcW w:w="1184" w:type="dxa"/>
            <w:vAlign w:val="top"/>
          </w:tcPr>
          <w:p w14:paraId="3511C173">
            <w:pPr>
              <w:rPr>
                <w:rFonts w:ascii="Arial"/>
                <w:sz w:val="21"/>
              </w:rPr>
            </w:pPr>
          </w:p>
        </w:tc>
        <w:tc>
          <w:tcPr>
            <w:tcW w:w="1184" w:type="dxa"/>
            <w:vAlign w:val="top"/>
          </w:tcPr>
          <w:p w14:paraId="5B920EAC">
            <w:pPr>
              <w:rPr>
                <w:rFonts w:ascii="Arial"/>
                <w:sz w:val="21"/>
              </w:rPr>
            </w:pPr>
          </w:p>
        </w:tc>
        <w:tc>
          <w:tcPr>
            <w:tcW w:w="1184" w:type="dxa"/>
            <w:vAlign w:val="top"/>
          </w:tcPr>
          <w:p w14:paraId="395F9CB3">
            <w:pPr>
              <w:rPr>
                <w:rFonts w:ascii="Arial"/>
                <w:sz w:val="21"/>
              </w:rPr>
            </w:pPr>
          </w:p>
        </w:tc>
        <w:tc>
          <w:tcPr>
            <w:tcW w:w="1184" w:type="dxa"/>
            <w:vAlign w:val="top"/>
          </w:tcPr>
          <w:p w14:paraId="6959AC32">
            <w:pPr>
              <w:rPr>
                <w:rFonts w:ascii="Arial"/>
                <w:sz w:val="21"/>
              </w:rPr>
            </w:pPr>
          </w:p>
        </w:tc>
        <w:tc>
          <w:tcPr>
            <w:tcW w:w="1193" w:type="dxa"/>
            <w:tcBorders>
              <w:right w:val="single" w:color="000000" w:sz="6" w:space="0"/>
            </w:tcBorders>
            <w:vAlign w:val="top"/>
          </w:tcPr>
          <w:p w14:paraId="3DEDB522">
            <w:pPr>
              <w:rPr>
                <w:rFonts w:ascii="Arial"/>
                <w:sz w:val="21"/>
              </w:rPr>
            </w:pPr>
          </w:p>
        </w:tc>
      </w:tr>
      <w:tr w14:paraId="7F83C8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4" w:hRule="atLeast"/>
        </w:trPr>
        <w:tc>
          <w:tcPr>
            <w:tcW w:w="1193" w:type="dxa"/>
            <w:tcBorders>
              <w:left w:val="single" w:color="000000" w:sz="6" w:space="0"/>
            </w:tcBorders>
            <w:vAlign w:val="top"/>
          </w:tcPr>
          <w:p w14:paraId="00337D89">
            <w:pPr>
              <w:rPr>
                <w:rFonts w:ascii="Arial"/>
                <w:sz w:val="21"/>
              </w:rPr>
            </w:pPr>
          </w:p>
        </w:tc>
        <w:tc>
          <w:tcPr>
            <w:tcW w:w="1179" w:type="dxa"/>
            <w:vAlign w:val="top"/>
          </w:tcPr>
          <w:p w14:paraId="14B2A2A5">
            <w:pPr>
              <w:rPr>
                <w:rFonts w:ascii="Arial"/>
                <w:sz w:val="21"/>
              </w:rPr>
            </w:pPr>
          </w:p>
        </w:tc>
        <w:tc>
          <w:tcPr>
            <w:tcW w:w="1184" w:type="dxa"/>
            <w:vAlign w:val="top"/>
          </w:tcPr>
          <w:p w14:paraId="4072F93D">
            <w:pPr>
              <w:rPr>
                <w:rFonts w:ascii="Arial"/>
                <w:sz w:val="21"/>
              </w:rPr>
            </w:pPr>
          </w:p>
        </w:tc>
        <w:tc>
          <w:tcPr>
            <w:tcW w:w="1184" w:type="dxa"/>
            <w:vAlign w:val="top"/>
          </w:tcPr>
          <w:p w14:paraId="1A616AE3">
            <w:pPr>
              <w:rPr>
                <w:rFonts w:ascii="Arial"/>
                <w:sz w:val="21"/>
              </w:rPr>
            </w:pPr>
          </w:p>
        </w:tc>
        <w:tc>
          <w:tcPr>
            <w:tcW w:w="1184" w:type="dxa"/>
            <w:vAlign w:val="top"/>
          </w:tcPr>
          <w:p w14:paraId="2BA93A11">
            <w:pPr>
              <w:rPr>
                <w:rFonts w:ascii="Arial"/>
                <w:sz w:val="21"/>
              </w:rPr>
            </w:pPr>
          </w:p>
        </w:tc>
        <w:tc>
          <w:tcPr>
            <w:tcW w:w="1184" w:type="dxa"/>
            <w:vAlign w:val="top"/>
          </w:tcPr>
          <w:p w14:paraId="0C24D635">
            <w:pPr>
              <w:rPr>
                <w:rFonts w:ascii="Arial"/>
                <w:sz w:val="21"/>
              </w:rPr>
            </w:pPr>
          </w:p>
        </w:tc>
        <w:tc>
          <w:tcPr>
            <w:tcW w:w="1193" w:type="dxa"/>
            <w:tcBorders>
              <w:right w:val="single" w:color="000000" w:sz="6" w:space="0"/>
            </w:tcBorders>
            <w:vAlign w:val="top"/>
          </w:tcPr>
          <w:p w14:paraId="0085A403">
            <w:pPr>
              <w:rPr>
                <w:rFonts w:ascii="Arial"/>
                <w:sz w:val="21"/>
              </w:rPr>
            </w:pPr>
          </w:p>
        </w:tc>
      </w:tr>
      <w:tr w14:paraId="1B4B45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5" w:hRule="atLeast"/>
        </w:trPr>
        <w:tc>
          <w:tcPr>
            <w:tcW w:w="1193" w:type="dxa"/>
            <w:tcBorders>
              <w:left w:val="single" w:color="000000" w:sz="6" w:space="0"/>
            </w:tcBorders>
            <w:vAlign w:val="top"/>
          </w:tcPr>
          <w:p w14:paraId="4F33CE6F">
            <w:pPr>
              <w:rPr>
                <w:rFonts w:ascii="Arial"/>
                <w:sz w:val="21"/>
              </w:rPr>
            </w:pPr>
          </w:p>
        </w:tc>
        <w:tc>
          <w:tcPr>
            <w:tcW w:w="1179" w:type="dxa"/>
            <w:vAlign w:val="top"/>
          </w:tcPr>
          <w:p w14:paraId="10DCFE2C">
            <w:pPr>
              <w:rPr>
                <w:rFonts w:ascii="Arial"/>
                <w:sz w:val="21"/>
              </w:rPr>
            </w:pPr>
          </w:p>
        </w:tc>
        <w:tc>
          <w:tcPr>
            <w:tcW w:w="1184" w:type="dxa"/>
            <w:vAlign w:val="top"/>
          </w:tcPr>
          <w:p w14:paraId="14DD1BD8">
            <w:pPr>
              <w:rPr>
                <w:rFonts w:ascii="Arial"/>
                <w:sz w:val="21"/>
              </w:rPr>
            </w:pPr>
          </w:p>
        </w:tc>
        <w:tc>
          <w:tcPr>
            <w:tcW w:w="1184" w:type="dxa"/>
            <w:vAlign w:val="top"/>
          </w:tcPr>
          <w:p w14:paraId="0F8D42A4">
            <w:pPr>
              <w:rPr>
                <w:rFonts w:ascii="Arial"/>
                <w:sz w:val="21"/>
              </w:rPr>
            </w:pPr>
          </w:p>
        </w:tc>
        <w:tc>
          <w:tcPr>
            <w:tcW w:w="1184" w:type="dxa"/>
            <w:vAlign w:val="top"/>
          </w:tcPr>
          <w:p w14:paraId="0D0D04EB">
            <w:pPr>
              <w:rPr>
                <w:rFonts w:ascii="Arial"/>
                <w:sz w:val="21"/>
              </w:rPr>
            </w:pPr>
          </w:p>
        </w:tc>
        <w:tc>
          <w:tcPr>
            <w:tcW w:w="1184" w:type="dxa"/>
            <w:vAlign w:val="top"/>
          </w:tcPr>
          <w:p w14:paraId="11BF896C">
            <w:pPr>
              <w:rPr>
                <w:rFonts w:ascii="Arial"/>
                <w:sz w:val="21"/>
              </w:rPr>
            </w:pPr>
          </w:p>
        </w:tc>
        <w:tc>
          <w:tcPr>
            <w:tcW w:w="1193" w:type="dxa"/>
            <w:tcBorders>
              <w:right w:val="single" w:color="000000" w:sz="6" w:space="0"/>
            </w:tcBorders>
            <w:vAlign w:val="top"/>
          </w:tcPr>
          <w:p w14:paraId="2954F6F8">
            <w:pPr>
              <w:rPr>
                <w:rFonts w:ascii="Arial"/>
                <w:sz w:val="21"/>
              </w:rPr>
            </w:pPr>
          </w:p>
        </w:tc>
      </w:tr>
      <w:tr w14:paraId="3988C5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5" w:hRule="atLeast"/>
        </w:trPr>
        <w:tc>
          <w:tcPr>
            <w:tcW w:w="1193" w:type="dxa"/>
            <w:tcBorders>
              <w:left w:val="single" w:color="000000" w:sz="6" w:space="0"/>
            </w:tcBorders>
            <w:vAlign w:val="top"/>
          </w:tcPr>
          <w:p w14:paraId="251D84EE">
            <w:pPr>
              <w:rPr>
                <w:rFonts w:ascii="Arial"/>
                <w:sz w:val="21"/>
              </w:rPr>
            </w:pPr>
          </w:p>
        </w:tc>
        <w:tc>
          <w:tcPr>
            <w:tcW w:w="1179" w:type="dxa"/>
            <w:vAlign w:val="top"/>
          </w:tcPr>
          <w:p w14:paraId="443CCB75">
            <w:pPr>
              <w:rPr>
                <w:rFonts w:ascii="Arial"/>
                <w:sz w:val="21"/>
              </w:rPr>
            </w:pPr>
          </w:p>
        </w:tc>
        <w:tc>
          <w:tcPr>
            <w:tcW w:w="1184" w:type="dxa"/>
            <w:vAlign w:val="top"/>
          </w:tcPr>
          <w:p w14:paraId="37AC0B20">
            <w:pPr>
              <w:rPr>
                <w:rFonts w:ascii="Arial"/>
                <w:sz w:val="21"/>
              </w:rPr>
            </w:pPr>
          </w:p>
        </w:tc>
        <w:tc>
          <w:tcPr>
            <w:tcW w:w="1184" w:type="dxa"/>
            <w:vAlign w:val="top"/>
          </w:tcPr>
          <w:p w14:paraId="215AD8F2">
            <w:pPr>
              <w:rPr>
                <w:rFonts w:ascii="Arial"/>
                <w:sz w:val="21"/>
              </w:rPr>
            </w:pPr>
          </w:p>
        </w:tc>
        <w:tc>
          <w:tcPr>
            <w:tcW w:w="1184" w:type="dxa"/>
            <w:vAlign w:val="top"/>
          </w:tcPr>
          <w:p w14:paraId="02D891FA">
            <w:pPr>
              <w:rPr>
                <w:rFonts w:ascii="Arial"/>
                <w:sz w:val="21"/>
              </w:rPr>
            </w:pPr>
          </w:p>
        </w:tc>
        <w:tc>
          <w:tcPr>
            <w:tcW w:w="1184" w:type="dxa"/>
            <w:vAlign w:val="top"/>
          </w:tcPr>
          <w:p w14:paraId="70AED59E">
            <w:pPr>
              <w:rPr>
                <w:rFonts w:ascii="Arial"/>
                <w:sz w:val="21"/>
              </w:rPr>
            </w:pPr>
          </w:p>
        </w:tc>
        <w:tc>
          <w:tcPr>
            <w:tcW w:w="1193" w:type="dxa"/>
            <w:tcBorders>
              <w:right w:val="single" w:color="000000" w:sz="6" w:space="0"/>
            </w:tcBorders>
            <w:vAlign w:val="top"/>
          </w:tcPr>
          <w:p w14:paraId="32EBAB2B">
            <w:pPr>
              <w:rPr>
                <w:rFonts w:ascii="Arial"/>
                <w:sz w:val="21"/>
              </w:rPr>
            </w:pPr>
          </w:p>
        </w:tc>
      </w:tr>
      <w:tr w14:paraId="2019AA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0" w:hRule="atLeast"/>
        </w:trPr>
        <w:tc>
          <w:tcPr>
            <w:tcW w:w="1193" w:type="dxa"/>
            <w:tcBorders>
              <w:left w:val="single" w:color="000000" w:sz="6" w:space="0"/>
            </w:tcBorders>
            <w:vAlign w:val="top"/>
          </w:tcPr>
          <w:p w14:paraId="509F5966">
            <w:pPr>
              <w:rPr>
                <w:rFonts w:ascii="Arial"/>
                <w:sz w:val="21"/>
              </w:rPr>
            </w:pPr>
          </w:p>
        </w:tc>
        <w:tc>
          <w:tcPr>
            <w:tcW w:w="1179" w:type="dxa"/>
            <w:vAlign w:val="top"/>
          </w:tcPr>
          <w:p w14:paraId="6E58900A">
            <w:pPr>
              <w:rPr>
                <w:rFonts w:ascii="Arial"/>
                <w:sz w:val="21"/>
              </w:rPr>
            </w:pPr>
          </w:p>
        </w:tc>
        <w:tc>
          <w:tcPr>
            <w:tcW w:w="1184" w:type="dxa"/>
            <w:vAlign w:val="top"/>
          </w:tcPr>
          <w:p w14:paraId="73B70C2D">
            <w:pPr>
              <w:rPr>
                <w:rFonts w:ascii="Arial"/>
                <w:sz w:val="21"/>
              </w:rPr>
            </w:pPr>
          </w:p>
        </w:tc>
        <w:tc>
          <w:tcPr>
            <w:tcW w:w="1184" w:type="dxa"/>
            <w:vAlign w:val="top"/>
          </w:tcPr>
          <w:p w14:paraId="44875656">
            <w:pPr>
              <w:rPr>
                <w:rFonts w:ascii="Arial"/>
                <w:sz w:val="21"/>
              </w:rPr>
            </w:pPr>
          </w:p>
        </w:tc>
        <w:tc>
          <w:tcPr>
            <w:tcW w:w="1184" w:type="dxa"/>
            <w:vAlign w:val="top"/>
          </w:tcPr>
          <w:p w14:paraId="4AA296C1">
            <w:pPr>
              <w:rPr>
                <w:rFonts w:ascii="Arial"/>
                <w:sz w:val="21"/>
              </w:rPr>
            </w:pPr>
          </w:p>
        </w:tc>
        <w:tc>
          <w:tcPr>
            <w:tcW w:w="1184" w:type="dxa"/>
            <w:vAlign w:val="top"/>
          </w:tcPr>
          <w:p w14:paraId="1267FB1B">
            <w:pPr>
              <w:rPr>
                <w:rFonts w:ascii="Arial"/>
                <w:sz w:val="21"/>
              </w:rPr>
            </w:pPr>
          </w:p>
        </w:tc>
        <w:tc>
          <w:tcPr>
            <w:tcW w:w="1193" w:type="dxa"/>
            <w:tcBorders>
              <w:right w:val="single" w:color="000000" w:sz="6" w:space="0"/>
            </w:tcBorders>
            <w:vAlign w:val="top"/>
          </w:tcPr>
          <w:p w14:paraId="4039BF17">
            <w:pPr>
              <w:rPr>
                <w:rFonts w:ascii="Arial"/>
                <w:sz w:val="21"/>
              </w:rPr>
            </w:pPr>
          </w:p>
        </w:tc>
      </w:tr>
      <w:tr w14:paraId="340E27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5" w:hRule="atLeast"/>
        </w:trPr>
        <w:tc>
          <w:tcPr>
            <w:tcW w:w="1193" w:type="dxa"/>
            <w:tcBorders>
              <w:left w:val="single" w:color="000000" w:sz="6" w:space="0"/>
            </w:tcBorders>
            <w:vAlign w:val="top"/>
          </w:tcPr>
          <w:p w14:paraId="7AEE8C5C">
            <w:pPr>
              <w:rPr>
                <w:rFonts w:ascii="Arial"/>
                <w:sz w:val="21"/>
              </w:rPr>
            </w:pPr>
          </w:p>
        </w:tc>
        <w:tc>
          <w:tcPr>
            <w:tcW w:w="1179" w:type="dxa"/>
            <w:vAlign w:val="top"/>
          </w:tcPr>
          <w:p w14:paraId="06CEA999">
            <w:pPr>
              <w:rPr>
                <w:rFonts w:ascii="Arial"/>
                <w:sz w:val="21"/>
              </w:rPr>
            </w:pPr>
          </w:p>
        </w:tc>
        <w:tc>
          <w:tcPr>
            <w:tcW w:w="1184" w:type="dxa"/>
            <w:vAlign w:val="top"/>
          </w:tcPr>
          <w:p w14:paraId="4B7716E7">
            <w:pPr>
              <w:rPr>
                <w:rFonts w:ascii="Arial"/>
                <w:sz w:val="21"/>
              </w:rPr>
            </w:pPr>
          </w:p>
        </w:tc>
        <w:tc>
          <w:tcPr>
            <w:tcW w:w="1184" w:type="dxa"/>
            <w:vAlign w:val="top"/>
          </w:tcPr>
          <w:p w14:paraId="4174DACD">
            <w:pPr>
              <w:rPr>
                <w:rFonts w:ascii="Arial"/>
                <w:sz w:val="21"/>
              </w:rPr>
            </w:pPr>
          </w:p>
        </w:tc>
        <w:tc>
          <w:tcPr>
            <w:tcW w:w="1184" w:type="dxa"/>
            <w:vAlign w:val="top"/>
          </w:tcPr>
          <w:p w14:paraId="73103112">
            <w:pPr>
              <w:rPr>
                <w:rFonts w:ascii="Arial"/>
                <w:sz w:val="21"/>
              </w:rPr>
            </w:pPr>
          </w:p>
        </w:tc>
        <w:tc>
          <w:tcPr>
            <w:tcW w:w="1184" w:type="dxa"/>
            <w:vAlign w:val="top"/>
          </w:tcPr>
          <w:p w14:paraId="05F4D672">
            <w:pPr>
              <w:rPr>
                <w:rFonts w:ascii="Arial"/>
                <w:sz w:val="21"/>
              </w:rPr>
            </w:pPr>
          </w:p>
        </w:tc>
        <w:tc>
          <w:tcPr>
            <w:tcW w:w="1193" w:type="dxa"/>
            <w:tcBorders>
              <w:right w:val="single" w:color="000000" w:sz="6" w:space="0"/>
            </w:tcBorders>
            <w:vAlign w:val="top"/>
          </w:tcPr>
          <w:p w14:paraId="10E48297">
            <w:pPr>
              <w:rPr>
                <w:rFonts w:ascii="Arial"/>
                <w:sz w:val="21"/>
              </w:rPr>
            </w:pPr>
          </w:p>
        </w:tc>
      </w:tr>
      <w:tr w14:paraId="537F0C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4" w:hRule="atLeast"/>
        </w:trPr>
        <w:tc>
          <w:tcPr>
            <w:tcW w:w="1193" w:type="dxa"/>
            <w:tcBorders>
              <w:left w:val="single" w:color="000000" w:sz="6" w:space="0"/>
            </w:tcBorders>
            <w:vAlign w:val="top"/>
          </w:tcPr>
          <w:p w14:paraId="045BA2A7">
            <w:pPr>
              <w:rPr>
                <w:rFonts w:ascii="Arial"/>
                <w:sz w:val="21"/>
              </w:rPr>
            </w:pPr>
          </w:p>
        </w:tc>
        <w:tc>
          <w:tcPr>
            <w:tcW w:w="1179" w:type="dxa"/>
            <w:vAlign w:val="top"/>
          </w:tcPr>
          <w:p w14:paraId="6070C9EF">
            <w:pPr>
              <w:rPr>
                <w:rFonts w:ascii="Arial"/>
                <w:sz w:val="21"/>
              </w:rPr>
            </w:pPr>
          </w:p>
        </w:tc>
        <w:tc>
          <w:tcPr>
            <w:tcW w:w="1184" w:type="dxa"/>
            <w:vAlign w:val="top"/>
          </w:tcPr>
          <w:p w14:paraId="13C4E19D">
            <w:pPr>
              <w:rPr>
                <w:rFonts w:ascii="Arial"/>
                <w:sz w:val="21"/>
              </w:rPr>
            </w:pPr>
          </w:p>
        </w:tc>
        <w:tc>
          <w:tcPr>
            <w:tcW w:w="1184" w:type="dxa"/>
            <w:vAlign w:val="top"/>
          </w:tcPr>
          <w:p w14:paraId="2A7C3249">
            <w:pPr>
              <w:rPr>
                <w:rFonts w:ascii="Arial"/>
                <w:sz w:val="21"/>
              </w:rPr>
            </w:pPr>
          </w:p>
        </w:tc>
        <w:tc>
          <w:tcPr>
            <w:tcW w:w="1184" w:type="dxa"/>
            <w:vAlign w:val="top"/>
          </w:tcPr>
          <w:p w14:paraId="6AEA4245">
            <w:pPr>
              <w:rPr>
                <w:rFonts w:ascii="Arial"/>
                <w:sz w:val="21"/>
              </w:rPr>
            </w:pPr>
          </w:p>
        </w:tc>
        <w:tc>
          <w:tcPr>
            <w:tcW w:w="1184" w:type="dxa"/>
            <w:vAlign w:val="top"/>
          </w:tcPr>
          <w:p w14:paraId="1BB77E39">
            <w:pPr>
              <w:rPr>
                <w:rFonts w:ascii="Arial"/>
                <w:sz w:val="21"/>
              </w:rPr>
            </w:pPr>
          </w:p>
        </w:tc>
        <w:tc>
          <w:tcPr>
            <w:tcW w:w="1193" w:type="dxa"/>
            <w:tcBorders>
              <w:right w:val="single" w:color="000000" w:sz="6" w:space="0"/>
            </w:tcBorders>
            <w:vAlign w:val="top"/>
          </w:tcPr>
          <w:p w14:paraId="14208455">
            <w:pPr>
              <w:rPr>
                <w:rFonts w:ascii="Arial"/>
                <w:sz w:val="21"/>
              </w:rPr>
            </w:pPr>
          </w:p>
        </w:tc>
      </w:tr>
      <w:tr w14:paraId="15B2F3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9" w:hRule="atLeast"/>
        </w:trPr>
        <w:tc>
          <w:tcPr>
            <w:tcW w:w="1193" w:type="dxa"/>
            <w:tcBorders>
              <w:left w:val="single" w:color="000000" w:sz="6" w:space="0"/>
              <w:bottom w:val="single" w:color="000000" w:sz="6" w:space="0"/>
            </w:tcBorders>
            <w:vAlign w:val="top"/>
          </w:tcPr>
          <w:p w14:paraId="1618D78E">
            <w:pPr>
              <w:rPr>
                <w:rFonts w:ascii="Arial"/>
                <w:sz w:val="21"/>
              </w:rPr>
            </w:pPr>
          </w:p>
        </w:tc>
        <w:tc>
          <w:tcPr>
            <w:tcW w:w="1179" w:type="dxa"/>
            <w:tcBorders>
              <w:bottom w:val="single" w:color="000000" w:sz="6" w:space="0"/>
            </w:tcBorders>
            <w:vAlign w:val="top"/>
          </w:tcPr>
          <w:p w14:paraId="36DBAA28">
            <w:pPr>
              <w:rPr>
                <w:rFonts w:ascii="Arial"/>
                <w:sz w:val="21"/>
              </w:rPr>
            </w:pPr>
          </w:p>
        </w:tc>
        <w:tc>
          <w:tcPr>
            <w:tcW w:w="1184" w:type="dxa"/>
            <w:tcBorders>
              <w:bottom w:val="single" w:color="000000" w:sz="6" w:space="0"/>
            </w:tcBorders>
            <w:vAlign w:val="top"/>
          </w:tcPr>
          <w:p w14:paraId="56D05BFE">
            <w:pPr>
              <w:rPr>
                <w:rFonts w:ascii="Arial"/>
                <w:sz w:val="21"/>
              </w:rPr>
            </w:pPr>
          </w:p>
        </w:tc>
        <w:tc>
          <w:tcPr>
            <w:tcW w:w="1184" w:type="dxa"/>
            <w:tcBorders>
              <w:bottom w:val="single" w:color="000000" w:sz="6" w:space="0"/>
            </w:tcBorders>
            <w:vAlign w:val="top"/>
          </w:tcPr>
          <w:p w14:paraId="3AAF4C32">
            <w:pPr>
              <w:rPr>
                <w:rFonts w:ascii="Arial"/>
                <w:sz w:val="21"/>
              </w:rPr>
            </w:pPr>
          </w:p>
        </w:tc>
        <w:tc>
          <w:tcPr>
            <w:tcW w:w="1184" w:type="dxa"/>
            <w:tcBorders>
              <w:bottom w:val="single" w:color="000000" w:sz="6" w:space="0"/>
            </w:tcBorders>
            <w:vAlign w:val="top"/>
          </w:tcPr>
          <w:p w14:paraId="4B68E0E8">
            <w:pPr>
              <w:rPr>
                <w:rFonts w:ascii="Arial"/>
                <w:sz w:val="21"/>
              </w:rPr>
            </w:pPr>
          </w:p>
        </w:tc>
        <w:tc>
          <w:tcPr>
            <w:tcW w:w="1184" w:type="dxa"/>
            <w:tcBorders>
              <w:bottom w:val="single" w:color="000000" w:sz="6" w:space="0"/>
            </w:tcBorders>
            <w:vAlign w:val="top"/>
          </w:tcPr>
          <w:p w14:paraId="2D8C3320">
            <w:pPr>
              <w:rPr>
                <w:rFonts w:ascii="Arial"/>
                <w:sz w:val="21"/>
              </w:rPr>
            </w:pPr>
          </w:p>
        </w:tc>
        <w:tc>
          <w:tcPr>
            <w:tcW w:w="1193" w:type="dxa"/>
            <w:tcBorders>
              <w:bottom w:val="single" w:color="000000" w:sz="6" w:space="0"/>
              <w:right w:val="single" w:color="000000" w:sz="6" w:space="0"/>
            </w:tcBorders>
            <w:vAlign w:val="top"/>
          </w:tcPr>
          <w:p w14:paraId="4691F19C">
            <w:pPr>
              <w:rPr>
                <w:rFonts w:ascii="Arial"/>
                <w:sz w:val="21"/>
              </w:rPr>
            </w:pPr>
          </w:p>
        </w:tc>
      </w:tr>
    </w:tbl>
    <w:p w14:paraId="45FEC200">
      <w:pPr>
        <w:spacing w:before="139" w:line="352" w:lineRule="auto"/>
        <w:ind w:left="632" w:right="11" w:hanging="612"/>
        <w:rPr>
          <w:rFonts w:ascii="宋体" w:hAnsi="宋体" w:eastAsia="宋体" w:cs="宋体"/>
          <w:sz w:val="21"/>
          <w:szCs w:val="21"/>
        </w:rPr>
      </w:pPr>
      <w:r>
        <w:rPr>
          <w:rFonts w:ascii="宋体" w:hAnsi="宋体" w:eastAsia="宋体" w:cs="宋体"/>
          <w:spacing w:val="3"/>
          <w:sz w:val="21"/>
          <w:szCs w:val="21"/>
        </w:rPr>
        <w:t>备注：“目前状况”应说明已使用年限、是否完好以及目前是否正</w:t>
      </w:r>
      <w:r>
        <w:rPr>
          <w:rFonts w:ascii="宋体" w:hAnsi="宋体" w:eastAsia="宋体" w:cs="宋体"/>
          <w:spacing w:val="2"/>
          <w:sz w:val="21"/>
          <w:szCs w:val="21"/>
        </w:rPr>
        <w:t>在使用，“来源”分为</w:t>
      </w:r>
      <w:r>
        <w:rPr>
          <w:rFonts w:ascii="宋体" w:hAnsi="宋体" w:eastAsia="宋体" w:cs="宋体"/>
          <w:sz w:val="21"/>
          <w:szCs w:val="21"/>
        </w:rPr>
        <w:t xml:space="preserve"> </w:t>
      </w:r>
      <w:r>
        <w:rPr>
          <w:rFonts w:ascii="宋体" w:hAnsi="宋体" w:eastAsia="宋体" w:cs="宋体"/>
          <w:spacing w:val="4"/>
          <w:sz w:val="21"/>
          <w:szCs w:val="21"/>
        </w:rPr>
        <w:t>“自有”和“市场租赁”两种情况，正在使</w:t>
      </w:r>
      <w:r>
        <w:rPr>
          <w:rFonts w:ascii="宋体" w:hAnsi="宋体" w:eastAsia="宋体" w:cs="宋体"/>
          <w:spacing w:val="3"/>
          <w:sz w:val="21"/>
          <w:szCs w:val="21"/>
        </w:rPr>
        <w:t>用中的设备应在“备注”中注明何时能</w:t>
      </w:r>
      <w:r>
        <w:rPr>
          <w:rFonts w:ascii="宋体" w:hAnsi="宋体" w:eastAsia="宋体" w:cs="宋体"/>
          <w:sz w:val="21"/>
          <w:szCs w:val="21"/>
        </w:rPr>
        <w:t xml:space="preserve"> </w:t>
      </w:r>
      <w:r>
        <w:rPr>
          <w:rFonts w:ascii="宋体" w:hAnsi="宋体" w:eastAsia="宋体" w:cs="宋体"/>
          <w:spacing w:val="4"/>
          <w:sz w:val="21"/>
          <w:szCs w:val="21"/>
        </w:rPr>
        <w:t>够投入本项目。本招标项目（标段）投标人</w:t>
      </w:r>
      <w:r>
        <w:rPr>
          <w:rFonts w:ascii="宋体" w:hAnsi="宋体" w:eastAsia="宋体" w:cs="宋体"/>
          <w:spacing w:val="3"/>
          <w:sz w:val="21"/>
          <w:szCs w:val="21"/>
        </w:rPr>
        <w:t>资质条件、能力和信誉中要求的主要施</w:t>
      </w:r>
    </w:p>
    <w:p w14:paraId="53BB04A8">
      <w:pPr>
        <w:spacing w:line="219" w:lineRule="auto"/>
        <w:ind w:left="650"/>
        <w:rPr>
          <w:rFonts w:ascii="宋体" w:hAnsi="宋体" w:eastAsia="宋体" w:cs="宋体"/>
          <w:sz w:val="21"/>
          <w:szCs w:val="21"/>
        </w:rPr>
      </w:pPr>
      <w:r>
        <w:rPr>
          <w:rFonts w:ascii="宋体" w:hAnsi="宋体" w:eastAsia="宋体" w:cs="宋体"/>
          <w:spacing w:val="-1"/>
          <w:sz w:val="21"/>
          <w:szCs w:val="21"/>
        </w:rPr>
        <w:t>工机械设备，投标人应提供相关证明材料。</w:t>
      </w:r>
    </w:p>
    <w:p w14:paraId="50215B6D">
      <w:pPr>
        <w:spacing w:line="219" w:lineRule="auto"/>
        <w:rPr>
          <w:rFonts w:ascii="宋体" w:hAnsi="宋体" w:eastAsia="宋体" w:cs="宋体"/>
          <w:sz w:val="21"/>
          <w:szCs w:val="21"/>
        </w:rPr>
        <w:sectPr>
          <w:footerReference r:id="rId213" w:type="default"/>
          <w:pgSz w:w="11905" w:h="16839"/>
          <w:pgMar w:top="400" w:right="1785" w:bottom="1004" w:left="1785" w:header="0" w:footer="828" w:gutter="0"/>
          <w:pgNumType w:fmt="decimal"/>
          <w:cols w:space="720" w:num="1"/>
        </w:sectPr>
      </w:pPr>
    </w:p>
    <w:p w14:paraId="5DEBA461">
      <w:pPr>
        <w:pStyle w:val="3"/>
        <w:spacing w:line="267" w:lineRule="auto"/>
      </w:pPr>
    </w:p>
    <w:p w14:paraId="3C5555AD">
      <w:pPr>
        <w:pStyle w:val="3"/>
        <w:spacing w:line="268" w:lineRule="auto"/>
      </w:pPr>
    </w:p>
    <w:p w14:paraId="43DD5892">
      <w:pPr>
        <w:pStyle w:val="3"/>
        <w:spacing w:line="268" w:lineRule="auto"/>
      </w:pPr>
    </w:p>
    <w:p w14:paraId="6842D92E">
      <w:pPr>
        <w:pStyle w:val="3"/>
        <w:spacing w:line="268" w:lineRule="auto"/>
      </w:pPr>
    </w:p>
    <w:p w14:paraId="69CF2EB5">
      <w:pPr>
        <w:spacing w:before="78" w:line="218" w:lineRule="auto"/>
        <w:ind w:left="2993"/>
        <w:rPr>
          <w:rFonts w:ascii="黑体" w:hAnsi="黑体" w:eastAsia="黑体" w:cs="黑体"/>
          <w:sz w:val="24"/>
          <w:szCs w:val="24"/>
        </w:rPr>
      </w:pPr>
      <w:bookmarkStart w:id="1335" w:name="bookmark320"/>
      <w:bookmarkEnd w:id="1335"/>
      <w:r>
        <w:rPr>
          <w:rFonts w:ascii="黑体" w:hAnsi="黑体" w:eastAsia="黑体" w:cs="黑体"/>
          <w:spacing w:val="-3"/>
          <w:sz w:val="24"/>
          <w:szCs w:val="24"/>
        </w:rPr>
        <w:t>（二）近年财务状况表</w:t>
      </w:r>
    </w:p>
    <w:p w14:paraId="7C8C7048">
      <w:pPr>
        <w:spacing w:before="161"/>
      </w:pPr>
    </w:p>
    <w:tbl>
      <w:tblPr>
        <w:tblStyle w:val="10"/>
        <w:tblW w:w="8311"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824"/>
        <w:gridCol w:w="773"/>
        <w:gridCol w:w="1430"/>
        <w:gridCol w:w="1425"/>
        <w:gridCol w:w="1425"/>
        <w:gridCol w:w="1434"/>
      </w:tblGrid>
      <w:tr w14:paraId="4E075D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8" w:hRule="atLeast"/>
        </w:trPr>
        <w:tc>
          <w:tcPr>
            <w:tcW w:w="1824" w:type="dxa"/>
            <w:vAlign w:val="top"/>
          </w:tcPr>
          <w:p w14:paraId="51F7D702">
            <w:pPr>
              <w:pStyle w:val="11"/>
              <w:spacing w:before="149" w:line="223" w:lineRule="auto"/>
              <w:ind w:left="711"/>
            </w:pPr>
            <w:r>
              <w:rPr>
                <w:spacing w:val="-3"/>
                <w14:textOutline w14:w="3831" w14:cap="flat" w14:cmpd="sng">
                  <w14:solidFill>
                    <w14:srgbClr w14:val="000000"/>
                  </w14:solidFill>
                  <w14:prstDash w14:val="solid"/>
                  <w14:miter w14:val="0"/>
                </w14:textOutline>
              </w:rPr>
              <w:t>名称</w:t>
            </w:r>
          </w:p>
        </w:tc>
        <w:tc>
          <w:tcPr>
            <w:tcW w:w="773" w:type="dxa"/>
            <w:vAlign w:val="top"/>
          </w:tcPr>
          <w:p w14:paraId="12CC8FBC">
            <w:pPr>
              <w:pStyle w:val="11"/>
              <w:spacing w:before="149" w:line="221" w:lineRule="auto"/>
              <w:ind w:left="178"/>
            </w:pPr>
            <w:r>
              <w:rPr>
                <w:spacing w:val="-2"/>
                <w14:textOutline w14:w="3831" w14:cap="flat" w14:cmpd="sng">
                  <w14:solidFill>
                    <w14:srgbClr w14:val="000000"/>
                  </w14:solidFill>
                  <w14:prstDash w14:val="solid"/>
                  <w14:miter w14:val="0"/>
                </w14:textOutline>
              </w:rPr>
              <w:t>单位</w:t>
            </w:r>
          </w:p>
        </w:tc>
        <w:tc>
          <w:tcPr>
            <w:tcW w:w="1430" w:type="dxa"/>
            <w:vAlign w:val="top"/>
          </w:tcPr>
          <w:p w14:paraId="3AAE6CCE">
            <w:pPr>
              <w:pStyle w:val="11"/>
              <w:tabs>
                <w:tab w:val="left" w:pos="764"/>
              </w:tabs>
              <w:spacing w:before="149" w:line="221" w:lineRule="auto"/>
              <w:ind w:left="447"/>
            </w:pPr>
            <w:r>
              <w:rPr>
                <w:u w:val="single" w:color="auto"/>
              </w:rPr>
              <w:tab/>
            </w:r>
            <w:r>
              <w:rPr>
                <w:spacing w:val="-96"/>
              </w:rPr>
              <w:t xml:space="preserve"> </w:t>
            </w:r>
            <w:r>
              <w:rPr>
                <w14:textOutline w14:w="3831" w14:cap="flat" w14:cmpd="sng">
                  <w14:solidFill>
                    <w14:srgbClr w14:val="000000"/>
                  </w14:solidFill>
                  <w14:prstDash w14:val="solid"/>
                  <w14:miter w14:val="0"/>
                </w14:textOutline>
              </w:rPr>
              <w:t>年</w:t>
            </w:r>
          </w:p>
        </w:tc>
        <w:tc>
          <w:tcPr>
            <w:tcW w:w="1425" w:type="dxa"/>
            <w:vAlign w:val="top"/>
          </w:tcPr>
          <w:p w14:paraId="3643899C">
            <w:pPr>
              <w:pStyle w:val="11"/>
              <w:tabs>
                <w:tab w:val="left" w:pos="816"/>
              </w:tabs>
              <w:spacing w:before="149" w:line="221" w:lineRule="auto"/>
              <w:ind w:left="501"/>
            </w:pPr>
            <w:r>
              <w:rPr>
                <w:u w:val="single" w:color="auto"/>
              </w:rPr>
              <w:tab/>
            </w:r>
            <w:r>
              <w:rPr>
                <w:spacing w:val="-95"/>
              </w:rPr>
              <w:t xml:space="preserve"> </w:t>
            </w:r>
            <w:r>
              <w:rPr>
                <w14:textOutline w14:w="3831" w14:cap="flat" w14:cmpd="sng">
                  <w14:solidFill>
                    <w14:srgbClr w14:val="000000"/>
                  </w14:solidFill>
                  <w14:prstDash w14:val="solid"/>
                  <w14:miter w14:val="0"/>
                </w14:textOutline>
              </w:rPr>
              <w:t>年</w:t>
            </w:r>
          </w:p>
        </w:tc>
        <w:tc>
          <w:tcPr>
            <w:tcW w:w="1425" w:type="dxa"/>
            <w:vAlign w:val="top"/>
          </w:tcPr>
          <w:p w14:paraId="2CDCF9DC">
            <w:pPr>
              <w:pStyle w:val="11"/>
              <w:tabs>
                <w:tab w:val="left" w:pos="765"/>
              </w:tabs>
              <w:spacing w:before="149" w:line="221" w:lineRule="auto"/>
              <w:ind w:left="449"/>
            </w:pPr>
            <w:r>
              <w:rPr>
                <w:u w:val="single" w:color="auto"/>
              </w:rPr>
              <w:tab/>
            </w:r>
            <w:r>
              <w:rPr>
                <w:spacing w:val="-96"/>
              </w:rPr>
              <w:t xml:space="preserve"> </w:t>
            </w:r>
            <w:r>
              <w:rPr>
                <w14:textOutline w14:w="3831" w14:cap="flat" w14:cmpd="sng">
                  <w14:solidFill>
                    <w14:srgbClr w14:val="000000"/>
                  </w14:solidFill>
                  <w14:prstDash w14:val="solid"/>
                  <w14:miter w14:val="0"/>
                </w14:textOutline>
              </w:rPr>
              <w:t>年</w:t>
            </w:r>
          </w:p>
        </w:tc>
        <w:tc>
          <w:tcPr>
            <w:tcW w:w="1434" w:type="dxa"/>
            <w:vAlign w:val="top"/>
          </w:tcPr>
          <w:p w14:paraId="15A762C4">
            <w:pPr>
              <w:pStyle w:val="11"/>
              <w:spacing w:before="149" w:line="221" w:lineRule="auto"/>
              <w:ind w:left="193"/>
            </w:pPr>
            <w:r>
              <w:rPr>
                <w:spacing w:val="-1"/>
                <w14:textOutline w14:w="3831" w14:cap="flat" w14:cmpd="sng">
                  <w14:solidFill>
                    <w14:srgbClr w14:val="000000"/>
                  </w14:solidFill>
                  <w14:prstDash w14:val="solid"/>
                  <w14:miter w14:val="0"/>
                </w14:textOutline>
              </w:rPr>
              <w:t>近年平均值</w:t>
            </w:r>
          </w:p>
        </w:tc>
      </w:tr>
      <w:tr w14:paraId="52A209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3" w:hRule="atLeast"/>
        </w:trPr>
        <w:tc>
          <w:tcPr>
            <w:tcW w:w="1824" w:type="dxa"/>
            <w:vAlign w:val="top"/>
          </w:tcPr>
          <w:p w14:paraId="0F647F06">
            <w:pPr>
              <w:pStyle w:val="11"/>
              <w:spacing w:before="150" w:line="222" w:lineRule="auto"/>
              <w:ind w:left="122"/>
            </w:pPr>
            <w:r>
              <w:rPr>
                <w:spacing w:val="-1"/>
              </w:rPr>
              <w:t>一．注册资金</w:t>
            </w:r>
          </w:p>
        </w:tc>
        <w:tc>
          <w:tcPr>
            <w:tcW w:w="773" w:type="dxa"/>
            <w:vAlign w:val="top"/>
          </w:tcPr>
          <w:p w14:paraId="19A0BB85">
            <w:pPr>
              <w:pStyle w:val="11"/>
              <w:spacing w:before="150" w:line="221" w:lineRule="auto"/>
              <w:ind w:left="284"/>
            </w:pPr>
            <w:r>
              <w:t>元</w:t>
            </w:r>
          </w:p>
        </w:tc>
        <w:tc>
          <w:tcPr>
            <w:tcW w:w="1430" w:type="dxa"/>
            <w:vAlign w:val="top"/>
          </w:tcPr>
          <w:p w14:paraId="1DDE9574">
            <w:pPr>
              <w:rPr>
                <w:rFonts w:ascii="Arial"/>
                <w:sz w:val="21"/>
              </w:rPr>
            </w:pPr>
          </w:p>
        </w:tc>
        <w:tc>
          <w:tcPr>
            <w:tcW w:w="1425" w:type="dxa"/>
            <w:vAlign w:val="top"/>
          </w:tcPr>
          <w:p w14:paraId="24A99C48">
            <w:pPr>
              <w:rPr>
                <w:rFonts w:ascii="Arial"/>
                <w:sz w:val="21"/>
              </w:rPr>
            </w:pPr>
          </w:p>
        </w:tc>
        <w:tc>
          <w:tcPr>
            <w:tcW w:w="1425" w:type="dxa"/>
            <w:vAlign w:val="top"/>
          </w:tcPr>
          <w:p w14:paraId="1F093EB1">
            <w:pPr>
              <w:rPr>
                <w:rFonts w:ascii="Arial"/>
                <w:sz w:val="21"/>
              </w:rPr>
            </w:pPr>
          </w:p>
        </w:tc>
        <w:tc>
          <w:tcPr>
            <w:tcW w:w="1434" w:type="dxa"/>
            <w:vAlign w:val="top"/>
          </w:tcPr>
          <w:p w14:paraId="17F801B5">
            <w:pPr>
              <w:pStyle w:val="11"/>
              <w:spacing w:before="250" w:line="142" w:lineRule="exact"/>
              <w:ind w:left="668"/>
            </w:pPr>
            <w:r>
              <w:rPr>
                <w:position w:val="-3"/>
              </w:rPr>
              <w:t>-</w:t>
            </w:r>
          </w:p>
        </w:tc>
      </w:tr>
      <w:tr w14:paraId="669122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8" w:hRule="atLeast"/>
        </w:trPr>
        <w:tc>
          <w:tcPr>
            <w:tcW w:w="1824" w:type="dxa"/>
            <w:vAlign w:val="top"/>
          </w:tcPr>
          <w:p w14:paraId="24EB1A14">
            <w:pPr>
              <w:pStyle w:val="11"/>
              <w:spacing w:before="150" w:line="221" w:lineRule="auto"/>
              <w:ind w:left="122"/>
            </w:pPr>
            <w:r>
              <w:rPr>
                <w:spacing w:val="-1"/>
              </w:rPr>
              <w:t>二．净资产</w:t>
            </w:r>
          </w:p>
        </w:tc>
        <w:tc>
          <w:tcPr>
            <w:tcW w:w="773" w:type="dxa"/>
            <w:vAlign w:val="top"/>
          </w:tcPr>
          <w:p w14:paraId="0EC27EC4">
            <w:pPr>
              <w:pStyle w:val="11"/>
              <w:spacing w:before="151" w:line="221" w:lineRule="auto"/>
              <w:ind w:left="284"/>
            </w:pPr>
            <w:r>
              <w:t>元</w:t>
            </w:r>
          </w:p>
        </w:tc>
        <w:tc>
          <w:tcPr>
            <w:tcW w:w="1430" w:type="dxa"/>
            <w:vAlign w:val="top"/>
          </w:tcPr>
          <w:p w14:paraId="7151D6B8">
            <w:pPr>
              <w:rPr>
                <w:rFonts w:ascii="Arial"/>
                <w:sz w:val="21"/>
              </w:rPr>
            </w:pPr>
          </w:p>
        </w:tc>
        <w:tc>
          <w:tcPr>
            <w:tcW w:w="1425" w:type="dxa"/>
            <w:vAlign w:val="top"/>
          </w:tcPr>
          <w:p w14:paraId="4599568B">
            <w:pPr>
              <w:rPr>
                <w:rFonts w:ascii="Arial"/>
                <w:sz w:val="21"/>
              </w:rPr>
            </w:pPr>
          </w:p>
        </w:tc>
        <w:tc>
          <w:tcPr>
            <w:tcW w:w="1425" w:type="dxa"/>
            <w:vAlign w:val="top"/>
          </w:tcPr>
          <w:p w14:paraId="2194F101">
            <w:pPr>
              <w:rPr>
                <w:rFonts w:ascii="Arial"/>
                <w:sz w:val="21"/>
              </w:rPr>
            </w:pPr>
          </w:p>
        </w:tc>
        <w:tc>
          <w:tcPr>
            <w:tcW w:w="1434" w:type="dxa"/>
            <w:vAlign w:val="top"/>
          </w:tcPr>
          <w:p w14:paraId="1C30565D">
            <w:pPr>
              <w:pStyle w:val="11"/>
              <w:spacing w:before="251" w:line="141" w:lineRule="exact"/>
              <w:ind w:left="668"/>
            </w:pPr>
            <w:r>
              <w:rPr>
                <w:position w:val="-3"/>
              </w:rPr>
              <w:t>-</w:t>
            </w:r>
          </w:p>
        </w:tc>
      </w:tr>
      <w:tr w14:paraId="5C5A35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3" w:hRule="atLeast"/>
        </w:trPr>
        <w:tc>
          <w:tcPr>
            <w:tcW w:w="1824" w:type="dxa"/>
            <w:vAlign w:val="top"/>
          </w:tcPr>
          <w:p w14:paraId="2D34F7CC">
            <w:pPr>
              <w:pStyle w:val="11"/>
              <w:spacing w:before="145" w:line="221" w:lineRule="auto"/>
              <w:ind w:left="118"/>
            </w:pPr>
            <w:r>
              <w:t>三．总资产</w:t>
            </w:r>
          </w:p>
        </w:tc>
        <w:tc>
          <w:tcPr>
            <w:tcW w:w="773" w:type="dxa"/>
            <w:vAlign w:val="top"/>
          </w:tcPr>
          <w:p w14:paraId="7C430CE8">
            <w:pPr>
              <w:pStyle w:val="11"/>
              <w:spacing w:before="146" w:line="221" w:lineRule="auto"/>
              <w:ind w:left="284"/>
            </w:pPr>
            <w:r>
              <w:t>元</w:t>
            </w:r>
          </w:p>
        </w:tc>
        <w:tc>
          <w:tcPr>
            <w:tcW w:w="1430" w:type="dxa"/>
            <w:vAlign w:val="top"/>
          </w:tcPr>
          <w:p w14:paraId="4FB75F0F">
            <w:pPr>
              <w:rPr>
                <w:rFonts w:ascii="Arial"/>
                <w:sz w:val="21"/>
              </w:rPr>
            </w:pPr>
          </w:p>
        </w:tc>
        <w:tc>
          <w:tcPr>
            <w:tcW w:w="1425" w:type="dxa"/>
            <w:vAlign w:val="top"/>
          </w:tcPr>
          <w:p w14:paraId="3DAEC552">
            <w:pPr>
              <w:rPr>
                <w:rFonts w:ascii="Arial"/>
                <w:sz w:val="21"/>
              </w:rPr>
            </w:pPr>
          </w:p>
        </w:tc>
        <w:tc>
          <w:tcPr>
            <w:tcW w:w="1425" w:type="dxa"/>
            <w:vAlign w:val="top"/>
          </w:tcPr>
          <w:p w14:paraId="780A7A2A">
            <w:pPr>
              <w:rPr>
                <w:rFonts w:ascii="Arial"/>
                <w:sz w:val="21"/>
              </w:rPr>
            </w:pPr>
          </w:p>
        </w:tc>
        <w:tc>
          <w:tcPr>
            <w:tcW w:w="1434" w:type="dxa"/>
            <w:vAlign w:val="top"/>
          </w:tcPr>
          <w:p w14:paraId="7D01FC39">
            <w:pPr>
              <w:rPr>
                <w:rFonts w:ascii="Arial"/>
                <w:sz w:val="21"/>
              </w:rPr>
            </w:pPr>
          </w:p>
        </w:tc>
      </w:tr>
      <w:tr w14:paraId="6F4D90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4" w:hRule="atLeast"/>
        </w:trPr>
        <w:tc>
          <w:tcPr>
            <w:tcW w:w="1824" w:type="dxa"/>
            <w:vAlign w:val="top"/>
          </w:tcPr>
          <w:p w14:paraId="196FEF32">
            <w:pPr>
              <w:pStyle w:val="11"/>
              <w:spacing w:before="151" w:line="221" w:lineRule="auto"/>
              <w:ind w:left="138"/>
            </w:pPr>
            <w:r>
              <w:rPr>
                <w:spacing w:val="-4"/>
              </w:rPr>
              <w:t>四．固定资产</w:t>
            </w:r>
          </w:p>
        </w:tc>
        <w:tc>
          <w:tcPr>
            <w:tcW w:w="773" w:type="dxa"/>
            <w:vAlign w:val="top"/>
          </w:tcPr>
          <w:p w14:paraId="4E92DEEA">
            <w:pPr>
              <w:pStyle w:val="11"/>
              <w:spacing w:before="152" w:line="221" w:lineRule="auto"/>
              <w:ind w:left="284"/>
            </w:pPr>
            <w:r>
              <w:t>元</w:t>
            </w:r>
          </w:p>
        </w:tc>
        <w:tc>
          <w:tcPr>
            <w:tcW w:w="1430" w:type="dxa"/>
            <w:vAlign w:val="top"/>
          </w:tcPr>
          <w:p w14:paraId="7C019EEA">
            <w:pPr>
              <w:rPr>
                <w:rFonts w:ascii="Arial"/>
                <w:sz w:val="21"/>
              </w:rPr>
            </w:pPr>
          </w:p>
        </w:tc>
        <w:tc>
          <w:tcPr>
            <w:tcW w:w="1425" w:type="dxa"/>
            <w:vAlign w:val="top"/>
          </w:tcPr>
          <w:p w14:paraId="54C5BCCE">
            <w:pPr>
              <w:rPr>
                <w:rFonts w:ascii="Arial"/>
                <w:sz w:val="21"/>
              </w:rPr>
            </w:pPr>
          </w:p>
        </w:tc>
        <w:tc>
          <w:tcPr>
            <w:tcW w:w="1425" w:type="dxa"/>
            <w:vAlign w:val="top"/>
          </w:tcPr>
          <w:p w14:paraId="2ABCEAC9">
            <w:pPr>
              <w:rPr>
                <w:rFonts w:ascii="Arial"/>
                <w:sz w:val="21"/>
              </w:rPr>
            </w:pPr>
          </w:p>
        </w:tc>
        <w:tc>
          <w:tcPr>
            <w:tcW w:w="1434" w:type="dxa"/>
            <w:vAlign w:val="top"/>
          </w:tcPr>
          <w:p w14:paraId="459118FF">
            <w:pPr>
              <w:pStyle w:val="11"/>
              <w:spacing w:before="252" w:line="141" w:lineRule="exact"/>
              <w:ind w:left="668"/>
            </w:pPr>
            <w:r>
              <w:rPr>
                <w:position w:val="-3"/>
              </w:rPr>
              <w:t>-</w:t>
            </w:r>
          </w:p>
        </w:tc>
      </w:tr>
      <w:tr w14:paraId="4A8B6E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8" w:hRule="atLeast"/>
        </w:trPr>
        <w:tc>
          <w:tcPr>
            <w:tcW w:w="1824" w:type="dxa"/>
            <w:vAlign w:val="top"/>
          </w:tcPr>
          <w:p w14:paraId="5CFC3776">
            <w:pPr>
              <w:pStyle w:val="11"/>
              <w:spacing w:before="150" w:line="221" w:lineRule="auto"/>
              <w:ind w:left="122"/>
            </w:pPr>
            <w:r>
              <w:rPr>
                <w:spacing w:val="-1"/>
              </w:rPr>
              <w:t>五．流动资产</w:t>
            </w:r>
          </w:p>
        </w:tc>
        <w:tc>
          <w:tcPr>
            <w:tcW w:w="773" w:type="dxa"/>
            <w:vAlign w:val="top"/>
          </w:tcPr>
          <w:p w14:paraId="5385152C">
            <w:pPr>
              <w:pStyle w:val="11"/>
              <w:spacing w:before="151" w:line="221" w:lineRule="auto"/>
              <w:ind w:left="284"/>
            </w:pPr>
            <w:r>
              <w:t>元</w:t>
            </w:r>
          </w:p>
        </w:tc>
        <w:tc>
          <w:tcPr>
            <w:tcW w:w="1430" w:type="dxa"/>
            <w:vAlign w:val="top"/>
          </w:tcPr>
          <w:p w14:paraId="28FE473D">
            <w:pPr>
              <w:rPr>
                <w:rFonts w:ascii="Arial"/>
                <w:sz w:val="21"/>
              </w:rPr>
            </w:pPr>
          </w:p>
        </w:tc>
        <w:tc>
          <w:tcPr>
            <w:tcW w:w="1425" w:type="dxa"/>
            <w:vAlign w:val="top"/>
          </w:tcPr>
          <w:p w14:paraId="60BD2E96">
            <w:pPr>
              <w:rPr>
                <w:rFonts w:ascii="Arial"/>
                <w:sz w:val="21"/>
              </w:rPr>
            </w:pPr>
          </w:p>
        </w:tc>
        <w:tc>
          <w:tcPr>
            <w:tcW w:w="1425" w:type="dxa"/>
            <w:vAlign w:val="top"/>
          </w:tcPr>
          <w:p w14:paraId="03848671">
            <w:pPr>
              <w:rPr>
                <w:rFonts w:ascii="Arial"/>
                <w:sz w:val="21"/>
              </w:rPr>
            </w:pPr>
          </w:p>
        </w:tc>
        <w:tc>
          <w:tcPr>
            <w:tcW w:w="1434" w:type="dxa"/>
            <w:vAlign w:val="top"/>
          </w:tcPr>
          <w:p w14:paraId="6502094A">
            <w:pPr>
              <w:rPr>
                <w:rFonts w:ascii="Arial"/>
                <w:sz w:val="21"/>
              </w:rPr>
            </w:pPr>
          </w:p>
        </w:tc>
      </w:tr>
      <w:tr w14:paraId="526E66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3" w:hRule="atLeast"/>
        </w:trPr>
        <w:tc>
          <w:tcPr>
            <w:tcW w:w="1824" w:type="dxa"/>
            <w:vAlign w:val="top"/>
          </w:tcPr>
          <w:p w14:paraId="02E3199B">
            <w:pPr>
              <w:pStyle w:val="11"/>
              <w:spacing w:before="146" w:line="221" w:lineRule="auto"/>
              <w:ind w:left="120"/>
            </w:pPr>
            <w:r>
              <w:rPr>
                <w:spacing w:val="-1"/>
              </w:rPr>
              <w:t>六．流动负债</w:t>
            </w:r>
          </w:p>
        </w:tc>
        <w:tc>
          <w:tcPr>
            <w:tcW w:w="773" w:type="dxa"/>
            <w:vAlign w:val="top"/>
          </w:tcPr>
          <w:p w14:paraId="2EA0566A">
            <w:pPr>
              <w:pStyle w:val="11"/>
              <w:spacing w:before="146" w:line="221" w:lineRule="auto"/>
              <w:ind w:left="284"/>
            </w:pPr>
            <w:r>
              <w:t>元</w:t>
            </w:r>
          </w:p>
        </w:tc>
        <w:tc>
          <w:tcPr>
            <w:tcW w:w="1430" w:type="dxa"/>
            <w:vAlign w:val="top"/>
          </w:tcPr>
          <w:p w14:paraId="314FEDFC">
            <w:pPr>
              <w:rPr>
                <w:rFonts w:ascii="Arial"/>
                <w:sz w:val="21"/>
              </w:rPr>
            </w:pPr>
          </w:p>
        </w:tc>
        <w:tc>
          <w:tcPr>
            <w:tcW w:w="1425" w:type="dxa"/>
            <w:vAlign w:val="top"/>
          </w:tcPr>
          <w:p w14:paraId="01CB9362">
            <w:pPr>
              <w:rPr>
                <w:rFonts w:ascii="Arial"/>
                <w:sz w:val="21"/>
              </w:rPr>
            </w:pPr>
          </w:p>
        </w:tc>
        <w:tc>
          <w:tcPr>
            <w:tcW w:w="1425" w:type="dxa"/>
            <w:vAlign w:val="top"/>
          </w:tcPr>
          <w:p w14:paraId="6AF916F5">
            <w:pPr>
              <w:rPr>
                <w:rFonts w:ascii="Arial"/>
                <w:sz w:val="21"/>
              </w:rPr>
            </w:pPr>
          </w:p>
        </w:tc>
        <w:tc>
          <w:tcPr>
            <w:tcW w:w="1434" w:type="dxa"/>
            <w:vAlign w:val="top"/>
          </w:tcPr>
          <w:p w14:paraId="2F1FFEE4">
            <w:pPr>
              <w:rPr>
                <w:rFonts w:ascii="Arial"/>
                <w:sz w:val="21"/>
              </w:rPr>
            </w:pPr>
          </w:p>
        </w:tc>
      </w:tr>
      <w:tr w14:paraId="3E9763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4" w:hRule="atLeast"/>
        </w:trPr>
        <w:tc>
          <w:tcPr>
            <w:tcW w:w="1824" w:type="dxa"/>
            <w:vAlign w:val="top"/>
          </w:tcPr>
          <w:p w14:paraId="55C8C913">
            <w:pPr>
              <w:pStyle w:val="11"/>
              <w:spacing w:before="151" w:line="221" w:lineRule="auto"/>
              <w:ind w:left="118"/>
            </w:pPr>
            <w:r>
              <w:rPr>
                <w:spacing w:val="-1"/>
              </w:rPr>
              <w:t>七．负债合计</w:t>
            </w:r>
          </w:p>
        </w:tc>
        <w:tc>
          <w:tcPr>
            <w:tcW w:w="773" w:type="dxa"/>
            <w:vAlign w:val="top"/>
          </w:tcPr>
          <w:p w14:paraId="18E4C7B2">
            <w:pPr>
              <w:pStyle w:val="11"/>
              <w:spacing w:before="152" w:line="221" w:lineRule="auto"/>
              <w:ind w:left="284"/>
            </w:pPr>
            <w:r>
              <w:t>元</w:t>
            </w:r>
          </w:p>
        </w:tc>
        <w:tc>
          <w:tcPr>
            <w:tcW w:w="1430" w:type="dxa"/>
            <w:vAlign w:val="top"/>
          </w:tcPr>
          <w:p w14:paraId="7D943EA2">
            <w:pPr>
              <w:rPr>
                <w:rFonts w:ascii="Arial"/>
                <w:sz w:val="21"/>
              </w:rPr>
            </w:pPr>
          </w:p>
        </w:tc>
        <w:tc>
          <w:tcPr>
            <w:tcW w:w="1425" w:type="dxa"/>
            <w:vAlign w:val="top"/>
          </w:tcPr>
          <w:p w14:paraId="1645F388">
            <w:pPr>
              <w:rPr>
                <w:rFonts w:ascii="Arial"/>
                <w:sz w:val="21"/>
              </w:rPr>
            </w:pPr>
          </w:p>
        </w:tc>
        <w:tc>
          <w:tcPr>
            <w:tcW w:w="1425" w:type="dxa"/>
            <w:vAlign w:val="top"/>
          </w:tcPr>
          <w:p w14:paraId="571B6DAB">
            <w:pPr>
              <w:rPr>
                <w:rFonts w:ascii="Arial"/>
                <w:sz w:val="21"/>
              </w:rPr>
            </w:pPr>
          </w:p>
        </w:tc>
        <w:tc>
          <w:tcPr>
            <w:tcW w:w="1434" w:type="dxa"/>
            <w:vAlign w:val="top"/>
          </w:tcPr>
          <w:p w14:paraId="74F540E2">
            <w:pPr>
              <w:rPr>
                <w:rFonts w:ascii="Arial"/>
                <w:sz w:val="21"/>
              </w:rPr>
            </w:pPr>
          </w:p>
        </w:tc>
      </w:tr>
      <w:tr w14:paraId="6CDA1E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8" w:hRule="atLeast"/>
        </w:trPr>
        <w:tc>
          <w:tcPr>
            <w:tcW w:w="1824" w:type="dxa"/>
            <w:vAlign w:val="top"/>
          </w:tcPr>
          <w:p w14:paraId="34B9D128">
            <w:pPr>
              <w:pStyle w:val="11"/>
              <w:spacing w:before="151" w:line="221" w:lineRule="auto"/>
              <w:ind w:left="122"/>
            </w:pPr>
            <w:r>
              <w:rPr>
                <w:spacing w:val="-1"/>
              </w:rPr>
              <w:t>八．营业收入</w:t>
            </w:r>
          </w:p>
        </w:tc>
        <w:tc>
          <w:tcPr>
            <w:tcW w:w="773" w:type="dxa"/>
            <w:vAlign w:val="top"/>
          </w:tcPr>
          <w:p w14:paraId="6161851F">
            <w:pPr>
              <w:pStyle w:val="11"/>
              <w:spacing w:before="152" w:line="221" w:lineRule="auto"/>
              <w:ind w:left="284"/>
            </w:pPr>
            <w:r>
              <w:t>元</w:t>
            </w:r>
          </w:p>
        </w:tc>
        <w:tc>
          <w:tcPr>
            <w:tcW w:w="1430" w:type="dxa"/>
            <w:vAlign w:val="top"/>
          </w:tcPr>
          <w:p w14:paraId="27CD2A1C">
            <w:pPr>
              <w:rPr>
                <w:rFonts w:ascii="Arial"/>
                <w:sz w:val="21"/>
              </w:rPr>
            </w:pPr>
          </w:p>
        </w:tc>
        <w:tc>
          <w:tcPr>
            <w:tcW w:w="1425" w:type="dxa"/>
            <w:vAlign w:val="top"/>
          </w:tcPr>
          <w:p w14:paraId="270F52DB">
            <w:pPr>
              <w:rPr>
                <w:rFonts w:ascii="Arial"/>
                <w:sz w:val="21"/>
              </w:rPr>
            </w:pPr>
          </w:p>
        </w:tc>
        <w:tc>
          <w:tcPr>
            <w:tcW w:w="1425" w:type="dxa"/>
            <w:vAlign w:val="top"/>
          </w:tcPr>
          <w:p w14:paraId="23097715">
            <w:pPr>
              <w:rPr>
                <w:rFonts w:ascii="Arial"/>
                <w:sz w:val="21"/>
              </w:rPr>
            </w:pPr>
          </w:p>
        </w:tc>
        <w:tc>
          <w:tcPr>
            <w:tcW w:w="1434" w:type="dxa"/>
            <w:vAlign w:val="top"/>
          </w:tcPr>
          <w:p w14:paraId="0409BF7E">
            <w:pPr>
              <w:rPr>
                <w:rFonts w:ascii="Arial"/>
                <w:sz w:val="21"/>
              </w:rPr>
            </w:pPr>
          </w:p>
        </w:tc>
      </w:tr>
      <w:tr w14:paraId="6A9ECB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3" w:hRule="atLeast"/>
        </w:trPr>
        <w:tc>
          <w:tcPr>
            <w:tcW w:w="1824" w:type="dxa"/>
            <w:vAlign w:val="top"/>
          </w:tcPr>
          <w:p w14:paraId="30373547">
            <w:pPr>
              <w:pStyle w:val="11"/>
              <w:spacing w:before="147" w:line="221" w:lineRule="auto"/>
              <w:ind w:left="123"/>
            </w:pPr>
            <w:r>
              <w:rPr>
                <w:spacing w:val="-1"/>
              </w:rPr>
              <w:t>九．净利润</w:t>
            </w:r>
          </w:p>
        </w:tc>
        <w:tc>
          <w:tcPr>
            <w:tcW w:w="773" w:type="dxa"/>
            <w:vAlign w:val="top"/>
          </w:tcPr>
          <w:p w14:paraId="1E2BC8FA">
            <w:pPr>
              <w:pStyle w:val="11"/>
              <w:spacing w:before="147" w:line="221" w:lineRule="auto"/>
              <w:ind w:left="284"/>
            </w:pPr>
            <w:r>
              <w:t>元</w:t>
            </w:r>
          </w:p>
        </w:tc>
        <w:tc>
          <w:tcPr>
            <w:tcW w:w="1430" w:type="dxa"/>
            <w:vAlign w:val="top"/>
          </w:tcPr>
          <w:p w14:paraId="59EDCB20">
            <w:pPr>
              <w:rPr>
                <w:rFonts w:ascii="Arial"/>
                <w:sz w:val="21"/>
              </w:rPr>
            </w:pPr>
          </w:p>
        </w:tc>
        <w:tc>
          <w:tcPr>
            <w:tcW w:w="1425" w:type="dxa"/>
            <w:vAlign w:val="top"/>
          </w:tcPr>
          <w:p w14:paraId="2F5F5200">
            <w:pPr>
              <w:rPr>
                <w:rFonts w:ascii="Arial"/>
                <w:sz w:val="21"/>
              </w:rPr>
            </w:pPr>
          </w:p>
        </w:tc>
        <w:tc>
          <w:tcPr>
            <w:tcW w:w="1425" w:type="dxa"/>
            <w:vAlign w:val="top"/>
          </w:tcPr>
          <w:p w14:paraId="09377E8A">
            <w:pPr>
              <w:rPr>
                <w:rFonts w:ascii="Arial"/>
                <w:sz w:val="21"/>
              </w:rPr>
            </w:pPr>
          </w:p>
        </w:tc>
        <w:tc>
          <w:tcPr>
            <w:tcW w:w="1434" w:type="dxa"/>
            <w:vAlign w:val="top"/>
          </w:tcPr>
          <w:p w14:paraId="3377A878">
            <w:pPr>
              <w:pStyle w:val="11"/>
              <w:spacing w:before="247" w:line="142" w:lineRule="exact"/>
              <w:ind w:left="668"/>
            </w:pPr>
            <w:r>
              <w:rPr>
                <w:position w:val="-3"/>
              </w:rPr>
              <w:t>-</w:t>
            </w:r>
          </w:p>
        </w:tc>
      </w:tr>
      <w:tr w14:paraId="298E65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2" w:hRule="atLeast"/>
        </w:trPr>
        <w:tc>
          <w:tcPr>
            <w:tcW w:w="1824" w:type="dxa"/>
            <w:vAlign w:val="top"/>
          </w:tcPr>
          <w:p w14:paraId="7A41B6E3">
            <w:pPr>
              <w:pStyle w:val="11"/>
              <w:spacing w:before="32" w:line="224" w:lineRule="auto"/>
              <w:ind w:left="118" w:right="106"/>
            </w:pPr>
            <w:r>
              <w:rPr>
                <w:spacing w:val="10"/>
              </w:rPr>
              <w:t>十</w:t>
            </w:r>
            <w:r>
              <w:rPr>
                <w:spacing w:val="-53"/>
              </w:rPr>
              <w:t xml:space="preserve"> </w:t>
            </w:r>
            <w:r>
              <w:rPr>
                <w:spacing w:val="10"/>
              </w:rPr>
              <w:t>．现金流量净</w:t>
            </w:r>
            <w:r>
              <w:t xml:space="preserve"> 额</w:t>
            </w:r>
          </w:p>
        </w:tc>
        <w:tc>
          <w:tcPr>
            <w:tcW w:w="773" w:type="dxa"/>
            <w:vAlign w:val="top"/>
          </w:tcPr>
          <w:p w14:paraId="3CC540E5">
            <w:pPr>
              <w:pStyle w:val="11"/>
              <w:spacing w:before="167" w:line="221" w:lineRule="auto"/>
              <w:ind w:left="284"/>
            </w:pPr>
            <w:r>
              <w:t>元</w:t>
            </w:r>
          </w:p>
        </w:tc>
        <w:tc>
          <w:tcPr>
            <w:tcW w:w="1430" w:type="dxa"/>
            <w:vAlign w:val="top"/>
          </w:tcPr>
          <w:p w14:paraId="36880F7C">
            <w:pPr>
              <w:rPr>
                <w:rFonts w:ascii="Arial"/>
                <w:sz w:val="21"/>
              </w:rPr>
            </w:pPr>
          </w:p>
        </w:tc>
        <w:tc>
          <w:tcPr>
            <w:tcW w:w="1425" w:type="dxa"/>
            <w:vAlign w:val="top"/>
          </w:tcPr>
          <w:p w14:paraId="2AB23DC1">
            <w:pPr>
              <w:rPr>
                <w:rFonts w:ascii="Arial"/>
                <w:sz w:val="21"/>
              </w:rPr>
            </w:pPr>
          </w:p>
        </w:tc>
        <w:tc>
          <w:tcPr>
            <w:tcW w:w="1425" w:type="dxa"/>
            <w:vAlign w:val="top"/>
          </w:tcPr>
          <w:p w14:paraId="0CAA936D">
            <w:pPr>
              <w:rPr>
                <w:rFonts w:ascii="Arial"/>
                <w:sz w:val="21"/>
              </w:rPr>
            </w:pPr>
          </w:p>
        </w:tc>
        <w:tc>
          <w:tcPr>
            <w:tcW w:w="1434" w:type="dxa"/>
            <w:vAlign w:val="top"/>
          </w:tcPr>
          <w:p w14:paraId="2452F64E">
            <w:pPr>
              <w:pStyle w:val="11"/>
              <w:spacing w:before="267" w:line="141" w:lineRule="exact"/>
              <w:ind w:left="668"/>
            </w:pPr>
            <w:r>
              <w:rPr>
                <w:position w:val="-3"/>
              </w:rPr>
              <w:t>-</w:t>
            </w:r>
          </w:p>
        </w:tc>
      </w:tr>
      <w:tr w14:paraId="0B7595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7" w:hRule="atLeast"/>
        </w:trPr>
        <w:tc>
          <w:tcPr>
            <w:tcW w:w="1824" w:type="dxa"/>
            <w:vAlign w:val="top"/>
          </w:tcPr>
          <w:p w14:paraId="22A93E95">
            <w:pPr>
              <w:pStyle w:val="11"/>
              <w:spacing w:before="27" w:line="224" w:lineRule="auto"/>
              <w:ind w:left="120" w:right="106" w:hanging="1"/>
            </w:pPr>
            <w:r>
              <w:rPr>
                <w:spacing w:val="10"/>
              </w:rPr>
              <w:t>十一</w:t>
            </w:r>
            <w:r>
              <w:rPr>
                <w:spacing w:val="-53"/>
              </w:rPr>
              <w:t xml:space="preserve"> </w:t>
            </w:r>
            <w:r>
              <w:rPr>
                <w:spacing w:val="10"/>
              </w:rPr>
              <w:t>．主要财务</w:t>
            </w:r>
            <w:r>
              <w:t xml:space="preserve"> </w:t>
            </w:r>
            <w:r>
              <w:rPr>
                <w:spacing w:val="-3"/>
              </w:rPr>
              <w:t>指标</w:t>
            </w:r>
          </w:p>
        </w:tc>
        <w:tc>
          <w:tcPr>
            <w:tcW w:w="773" w:type="dxa"/>
            <w:vAlign w:val="top"/>
          </w:tcPr>
          <w:p w14:paraId="16A121A3">
            <w:pPr>
              <w:rPr>
                <w:rFonts w:ascii="Arial"/>
                <w:sz w:val="21"/>
              </w:rPr>
            </w:pPr>
          </w:p>
        </w:tc>
        <w:tc>
          <w:tcPr>
            <w:tcW w:w="1430" w:type="dxa"/>
            <w:vAlign w:val="top"/>
          </w:tcPr>
          <w:p w14:paraId="134E635B">
            <w:pPr>
              <w:rPr>
                <w:rFonts w:ascii="Arial"/>
                <w:sz w:val="21"/>
              </w:rPr>
            </w:pPr>
          </w:p>
        </w:tc>
        <w:tc>
          <w:tcPr>
            <w:tcW w:w="1425" w:type="dxa"/>
            <w:vAlign w:val="top"/>
          </w:tcPr>
          <w:p w14:paraId="4CAAB248">
            <w:pPr>
              <w:rPr>
                <w:rFonts w:ascii="Arial"/>
                <w:sz w:val="21"/>
              </w:rPr>
            </w:pPr>
          </w:p>
        </w:tc>
        <w:tc>
          <w:tcPr>
            <w:tcW w:w="1425" w:type="dxa"/>
            <w:vAlign w:val="top"/>
          </w:tcPr>
          <w:p w14:paraId="6A033DEB">
            <w:pPr>
              <w:rPr>
                <w:rFonts w:ascii="Arial"/>
                <w:sz w:val="21"/>
              </w:rPr>
            </w:pPr>
          </w:p>
        </w:tc>
        <w:tc>
          <w:tcPr>
            <w:tcW w:w="1434" w:type="dxa"/>
            <w:vAlign w:val="top"/>
          </w:tcPr>
          <w:p w14:paraId="3EA902F9">
            <w:pPr>
              <w:pStyle w:val="11"/>
              <w:spacing w:before="267" w:line="141" w:lineRule="exact"/>
              <w:ind w:left="668"/>
            </w:pPr>
            <w:r>
              <w:rPr>
                <w:position w:val="-3"/>
              </w:rPr>
              <w:t>-</w:t>
            </w:r>
          </w:p>
        </w:tc>
      </w:tr>
      <w:tr w14:paraId="24DFBB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3" w:hRule="atLeast"/>
        </w:trPr>
        <w:tc>
          <w:tcPr>
            <w:tcW w:w="1824" w:type="dxa"/>
            <w:vAlign w:val="top"/>
          </w:tcPr>
          <w:p w14:paraId="1BDA85A1">
            <w:pPr>
              <w:pStyle w:val="11"/>
              <w:spacing w:before="152" w:line="221" w:lineRule="auto"/>
              <w:ind w:left="134"/>
            </w:pPr>
            <w:r>
              <w:rPr>
                <w:spacing w:val="-3"/>
              </w:rPr>
              <w:t>1．净资产收益率</w:t>
            </w:r>
          </w:p>
        </w:tc>
        <w:tc>
          <w:tcPr>
            <w:tcW w:w="773" w:type="dxa"/>
            <w:vAlign w:val="top"/>
          </w:tcPr>
          <w:p w14:paraId="3A8E3C4E">
            <w:pPr>
              <w:spacing w:before="206" w:line="296" w:lineRule="exact"/>
              <w:ind w:left="310"/>
              <w:rPr>
                <w:rFonts w:ascii="Times New Roman" w:hAnsi="Times New Roman" w:eastAsia="Times New Roman" w:cs="Times New Roman"/>
                <w:sz w:val="21"/>
                <w:szCs w:val="21"/>
              </w:rPr>
            </w:pPr>
            <w:r>
              <w:rPr>
                <w:rFonts w:ascii="Times New Roman" w:hAnsi="Times New Roman" w:eastAsia="Times New Roman" w:cs="Times New Roman"/>
                <w:spacing w:val="37"/>
                <w:w w:val="125"/>
                <w:position w:val="-1"/>
                <w:sz w:val="21"/>
                <w:szCs w:val="21"/>
              </w:rPr>
              <w:t>*</w:t>
            </w:r>
          </w:p>
        </w:tc>
        <w:tc>
          <w:tcPr>
            <w:tcW w:w="1430" w:type="dxa"/>
            <w:vAlign w:val="top"/>
          </w:tcPr>
          <w:p w14:paraId="4EC637BB">
            <w:pPr>
              <w:rPr>
                <w:rFonts w:ascii="Arial"/>
                <w:sz w:val="21"/>
              </w:rPr>
            </w:pPr>
          </w:p>
        </w:tc>
        <w:tc>
          <w:tcPr>
            <w:tcW w:w="1425" w:type="dxa"/>
            <w:vAlign w:val="top"/>
          </w:tcPr>
          <w:p w14:paraId="25A249BE">
            <w:pPr>
              <w:rPr>
                <w:rFonts w:ascii="Arial"/>
                <w:sz w:val="21"/>
              </w:rPr>
            </w:pPr>
          </w:p>
        </w:tc>
        <w:tc>
          <w:tcPr>
            <w:tcW w:w="1425" w:type="dxa"/>
            <w:vAlign w:val="top"/>
          </w:tcPr>
          <w:p w14:paraId="71561878">
            <w:pPr>
              <w:rPr>
                <w:rFonts w:ascii="Arial"/>
                <w:sz w:val="21"/>
              </w:rPr>
            </w:pPr>
          </w:p>
        </w:tc>
        <w:tc>
          <w:tcPr>
            <w:tcW w:w="1434" w:type="dxa"/>
            <w:vAlign w:val="top"/>
          </w:tcPr>
          <w:p w14:paraId="191D1F9A">
            <w:pPr>
              <w:rPr>
                <w:rFonts w:ascii="Arial"/>
                <w:sz w:val="21"/>
              </w:rPr>
            </w:pPr>
          </w:p>
        </w:tc>
      </w:tr>
      <w:tr w14:paraId="3817A0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8" w:hRule="atLeast"/>
        </w:trPr>
        <w:tc>
          <w:tcPr>
            <w:tcW w:w="1824" w:type="dxa"/>
            <w:vAlign w:val="top"/>
          </w:tcPr>
          <w:p w14:paraId="3999107C">
            <w:pPr>
              <w:pStyle w:val="11"/>
              <w:spacing w:before="152" w:line="221" w:lineRule="auto"/>
              <w:ind w:left="121"/>
            </w:pPr>
            <w:r>
              <w:rPr>
                <w:spacing w:val="-1"/>
              </w:rPr>
              <w:t>2．总资产报酬率</w:t>
            </w:r>
          </w:p>
        </w:tc>
        <w:tc>
          <w:tcPr>
            <w:tcW w:w="773" w:type="dxa"/>
            <w:vAlign w:val="top"/>
          </w:tcPr>
          <w:p w14:paraId="4FD73D7F">
            <w:pPr>
              <w:spacing w:before="212" w:line="295" w:lineRule="exact"/>
              <w:ind w:left="310"/>
              <w:rPr>
                <w:rFonts w:ascii="Times New Roman" w:hAnsi="Times New Roman" w:eastAsia="Times New Roman" w:cs="Times New Roman"/>
                <w:sz w:val="21"/>
                <w:szCs w:val="21"/>
              </w:rPr>
            </w:pPr>
            <w:r>
              <w:rPr>
                <w:rFonts w:ascii="Times New Roman" w:hAnsi="Times New Roman" w:eastAsia="Times New Roman" w:cs="Times New Roman"/>
                <w:spacing w:val="37"/>
                <w:w w:val="125"/>
                <w:position w:val="-1"/>
                <w:sz w:val="21"/>
                <w:szCs w:val="21"/>
              </w:rPr>
              <w:t>*</w:t>
            </w:r>
          </w:p>
        </w:tc>
        <w:tc>
          <w:tcPr>
            <w:tcW w:w="1430" w:type="dxa"/>
            <w:vAlign w:val="top"/>
          </w:tcPr>
          <w:p w14:paraId="611C5AA4">
            <w:pPr>
              <w:rPr>
                <w:rFonts w:ascii="Arial"/>
                <w:sz w:val="21"/>
              </w:rPr>
            </w:pPr>
          </w:p>
        </w:tc>
        <w:tc>
          <w:tcPr>
            <w:tcW w:w="1425" w:type="dxa"/>
            <w:vAlign w:val="top"/>
          </w:tcPr>
          <w:p w14:paraId="3C233E83">
            <w:pPr>
              <w:rPr>
                <w:rFonts w:ascii="Arial"/>
                <w:sz w:val="21"/>
              </w:rPr>
            </w:pPr>
          </w:p>
        </w:tc>
        <w:tc>
          <w:tcPr>
            <w:tcW w:w="1425" w:type="dxa"/>
            <w:vAlign w:val="top"/>
          </w:tcPr>
          <w:p w14:paraId="79DB5253">
            <w:pPr>
              <w:rPr>
                <w:rFonts w:ascii="Arial"/>
                <w:sz w:val="21"/>
              </w:rPr>
            </w:pPr>
          </w:p>
        </w:tc>
        <w:tc>
          <w:tcPr>
            <w:tcW w:w="1434" w:type="dxa"/>
            <w:vAlign w:val="top"/>
          </w:tcPr>
          <w:p w14:paraId="7B449421">
            <w:pPr>
              <w:rPr>
                <w:rFonts w:ascii="Arial"/>
                <w:sz w:val="21"/>
              </w:rPr>
            </w:pPr>
          </w:p>
        </w:tc>
      </w:tr>
      <w:tr w14:paraId="7FE15D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7" w:hRule="atLeast"/>
        </w:trPr>
        <w:tc>
          <w:tcPr>
            <w:tcW w:w="1824" w:type="dxa"/>
            <w:vAlign w:val="top"/>
          </w:tcPr>
          <w:p w14:paraId="29ABE454">
            <w:pPr>
              <w:pStyle w:val="11"/>
              <w:spacing w:before="34" w:line="221" w:lineRule="auto"/>
              <w:ind w:left="120" w:right="105" w:firstLine="2"/>
            </w:pPr>
            <w:r>
              <w:rPr>
                <w:spacing w:val="1"/>
              </w:rPr>
              <w:t>3．主营业务利润</w:t>
            </w:r>
            <w:r>
              <w:rPr>
                <w:spacing w:val="6"/>
              </w:rPr>
              <w:t xml:space="preserve"> </w:t>
            </w:r>
            <w:r>
              <w:t>率</w:t>
            </w:r>
          </w:p>
        </w:tc>
        <w:tc>
          <w:tcPr>
            <w:tcW w:w="773" w:type="dxa"/>
            <w:vAlign w:val="top"/>
          </w:tcPr>
          <w:p w14:paraId="04D72286">
            <w:pPr>
              <w:spacing w:before="207" w:line="298" w:lineRule="exact"/>
              <w:ind w:left="310"/>
              <w:rPr>
                <w:rFonts w:ascii="Times New Roman" w:hAnsi="Times New Roman" w:eastAsia="Times New Roman" w:cs="Times New Roman"/>
                <w:sz w:val="21"/>
                <w:szCs w:val="21"/>
              </w:rPr>
            </w:pPr>
            <w:r>
              <w:rPr>
                <w:rFonts w:ascii="Times New Roman" w:hAnsi="Times New Roman" w:eastAsia="Times New Roman" w:cs="Times New Roman"/>
                <w:spacing w:val="37"/>
                <w:w w:val="125"/>
                <w:position w:val="-1"/>
                <w:sz w:val="21"/>
                <w:szCs w:val="21"/>
              </w:rPr>
              <w:t>*</w:t>
            </w:r>
          </w:p>
        </w:tc>
        <w:tc>
          <w:tcPr>
            <w:tcW w:w="1430" w:type="dxa"/>
            <w:vAlign w:val="top"/>
          </w:tcPr>
          <w:p w14:paraId="2FAB9A04">
            <w:pPr>
              <w:rPr>
                <w:rFonts w:ascii="Arial"/>
                <w:sz w:val="21"/>
              </w:rPr>
            </w:pPr>
          </w:p>
        </w:tc>
        <w:tc>
          <w:tcPr>
            <w:tcW w:w="1425" w:type="dxa"/>
            <w:vAlign w:val="top"/>
          </w:tcPr>
          <w:p w14:paraId="58D77DCF">
            <w:pPr>
              <w:rPr>
                <w:rFonts w:ascii="Arial"/>
                <w:sz w:val="21"/>
              </w:rPr>
            </w:pPr>
          </w:p>
        </w:tc>
        <w:tc>
          <w:tcPr>
            <w:tcW w:w="1425" w:type="dxa"/>
            <w:vAlign w:val="top"/>
          </w:tcPr>
          <w:p w14:paraId="0898307E">
            <w:pPr>
              <w:rPr>
                <w:rFonts w:ascii="Arial"/>
                <w:sz w:val="21"/>
              </w:rPr>
            </w:pPr>
          </w:p>
        </w:tc>
        <w:tc>
          <w:tcPr>
            <w:tcW w:w="1434" w:type="dxa"/>
            <w:vAlign w:val="top"/>
          </w:tcPr>
          <w:p w14:paraId="15A93891">
            <w:pPr>
              <w:pStyle w:val="11"/>
              <w:spacing w:before="268" w:line="141" w:lineRule="exact"/>
              <w:ind w:left="668"/>
            </w:pPr>
            <w:r>
              <w:rPr>
                <w:position w:val="-3"/>
              </w:rPr>
              <w:t>-</w:t>
            </w:r>
          </w:p>
        </w:tc>
      </w:tr>
      <w:tr w14:paraId="7BDA12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8" w:hRule="atLeast"/>
        </w:trPr>
        <w:tc>
          <w:tcPr>
            <w:tcW w:w="1824" w:type="dxa"/>
            <w:vAlign w:val="top"/>
          </w:tcPr>
          <w:p w14:paraId="66D3E07D">
            <w:pPr>
              <w:pStyle w:val="11"/>
              <w:spacing w:before="153" w:line="221" w:lineRule="auto"/>
              <w:ind w:left="118"/>
            </w:pPr>
            <w:r>
              <w:rPr>
                <w:spacing w:val="-1"/>
              </w:rPr>
              <w:t>4．资产负债率</w:t>
            </w:r>
          </w:p>
        </w:tc>
        <w:tc>
          <w:tcPr>
            <w:tcW w:w="773" w:type="dxa"/>
            <w:vAlign w:val="top"/>
          </w:tcPr>
          <w:p w14:paraId="6AC29EBB">
            <w:pPr>
              <w:spacing w:before="207" w:line="298" w:lineRule="exact"/>
              <w:ind w:left="310"/>
              <w:rPr>
                <w:rFonts w:ascii="Times New Roman" w:hAnsi="Times New Roman" w:eastAsia="Times New Roman" w:cs="Times New Roman"/>
                <w:sz w:val="21"/>
                <w:szCs w:val="21"/>
              </w:rPr>
            </w:pPr>
            <w:r>
              <w:rPr>
                <w:rFonts w:ascii="Times New Roman" w:hAnsi="Times New Roman" w:eastAsia="Times New Roman" w:cs="Times New Roman"/>
                <w:spacing w:val="37"/>
                <w:w w:val="125"/>
                <w:position w:val="-1"/>
                <w:sz w:val="21"/>
                <w:szCs w:val="21"/>
              </w:rPr>
              <w:t>*</w:t>
            </w:r>
          </w:p>
        </w:tc>
        <w:tc>
          <w:tcPr>
            <w:tcW w:w="1430" w:type="dxa"/>
            <w:vAlign w:val="top"/>
          </w:tcPr>
          <w:p w14:paraId="45984F85">
            <w:pPr>
              <w:rPr>
                <w:rFonts w:ascii="Arial"/>
                <w:sz w:val="21"/>
              </w:rPr>
            </w:pPr>
          </w:p>
        </w:tc>
        <w:tc>
          <w:tcPr>
            <w:tcW w:w="1425" w:type="dxa"/>
            <w:vAlign w:val="top"/>
          </w:tcPr>
          <w:p w14:paraId="14EF6794">
            <w:pPr>
              <w:rPr>
                <w:rFonts w:ascii="Arial"/>
                <w:sz w:val="21"/>
              </w:rPr>
            </w:pPr>
          </w:p>
        </w:tc>
        <w:tc>
          <w:tcPr>
            <w:tcW w:w="1425" w:type="dxa"/>
            <w:vAlign w:val="top"/>
          </w:tcPr>
          <w:p w14:paraId="6BB30AFC">
            <w:pPr>
              <w:rPr>
                <w:rFonts w:ascii="Arial"/>
                <w:sz w:val="21"/>
              </w:rPr>
            </w:pPr>
          </w:p>
        </w:tc>
        <w:tc>
          <w:tcPr>
            <w:tcW w:w="1434" w:type="dxa"/>
            <w:vAlign w:val="top"/>
          </w:tcPr>
          <w:p w14:paraId="28F08DC3">
            <w:pPr>
              <w:rPr>
                <w:rFonts w:ascii="Arial"/>
                <w:sz w:val="21"/>
              </w:rPr>
            </w:pPr>
          </w:p>
        </w:tc>
      </w:tr>
      <w:tr w14:paraId="67ECE5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3" w:hRule="atLeast"/>
        </w:trPr>
        <w:tc>
          <w:tcPr>
            <w:tcW w:w="1824" w:type="dxa"/>
            <w:vAlign w:val="top"/>
          </w:tcPr>
          <w:p w14:paraId="75327AEC">
            <w:pPr>
              <w:pStyle w:val="11"/>
              <w:spacing w:before="148" w:line="221" w:lineRule="auto"/>
              <w:ind w:left="123"/>
            </w:pPr>
            <w:r>
              <w:rPr>
                <w:spacing w:val="-1"/>
              </w:rPr>
              <w:t>5．流动比率</w:t>
            </w:r>
          </w:p>
        </w:tc>
        <w:tc>
          <w:tcPr>
            <w:tcW w:w="773" w:type="dxa"/>
            <w:vAlign w:val="top"/>
          </w:tcPr>
          <w:p w14:paraId="372240FF">
            <w:pPr>
              <w:spacing w:before="208" w:line="294" w:lineRule="exact"/>
              <w:ind w:left="310"/>
              <w:rPr>
                <w:rFonts w:ascii="Times New Roman" w:hAnsi="Times New Roman" w:eastAsia="Times New Roman" w:cs="Times New Roman"/>
                <w:sz w:val="21"/>
                <w:szCs w:val="21"/>
              </w:rPr>
            </w:pPr>
            <w:r>
              <w:rPr>
                <w:rFonts w:ascii="Times New Roman" w:hAnsi="Times New Roman" w:eastAsia="Times New Roman" w:cs="Times New Roman"/>
                <w:spacing w:val="37"/>
                <w:w w:val="125"/>
                <w:position w:val="-1"/>
                <w:sz w:val="21"/>
                <w:szCs w:val="21"/>
              </w:rPr>
              <w:t>*</w:t>
            </w:r>
          </w:p>
        </w:tc>
        <w:tc>
          <w:tcPr>
            <w:tcW w:w="1430" w:type="dxa"/>
            <w:vAlign w:val="top"/>
          </w:tcPr>
          <w:p w14:paraId="5CD753AE">
            <w:pPr>
              <w:rPr>
                <w:rFonts w:ascii="Arial"/>
                <w:sz w:val="21"/>
              </w:rPr>
            </w:pPr>
          </w:p>
        </w:tc>
        <w:tc>
          <w:tcPr>
            <w:tcW w:w="1425" w:type="dxa"/>
            <w:vAlign w:val="top"/>
          </w:tcPr>
          <w:p w14:paraId="00A5E769">
            <w:pPr>
              <w:rPr>
                <w:rFonts w:ascii="Arial"/>
                <w:sz w:val="21"/>
              </w:rPr>
            </w:pPr>
          </w:p>
        </w:tc>
        <w:tc>
          <w:tcPr>
            <w:tcW w:w="1425" w:type="dxa"/>
            <w:vAlign w:val="top"/>
          </w:tcPr>
          <w:p w14:paraId="581B839D">
            <w:pPr>
              <w:rPr>
                <w:rFonts w:ascii="Arial"/>
                <w:sz w:val="21"/>
              </w:rPr>
            </w:pPr>
          </w:p>
        </w:tc>
        <w:tc>
          <w:tcPr>
            <w:tcW w:w="1434" w:type="dxa"/>
            <w:vAlign w:val="top"/>
          </w:tcPr>
          <w:p w14:paraId="53562A96">
            <w:pPr>
              <w:rPr>
                <w:rFonts w:ascii="Arial"/>
                <w:sz w:val="21"/>
              </w:rPr>
            </w:pPr>
          </w:p>
        </w:tc>
      </w:tr>
      <w:tr w14:paraId="6F2E88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8" w:hRule="atLeast"/>
        </w:trPr>
        <w:tc>
          <w:tcPr>
            <w:tcW w:w="1824" w:type="dxa"/>
            <w:vAlign w:val="top"/>
          </w:tcPr>
          <w:p w14:paraId="435EAC9E">
            <w:pPr>
              <w:pStyle w:val="11"/>
              <w:spacing w:before="154" w:line="221" w:lineRule="auto"/>
              <w:ind w:left="120"/>
            </w:pPr>
            <w:r>
              <w:rPr>
                <w:spacing w:val="-1"/>
              </w:rPr>
              <w:t>6．速动比率</w:t>
            </w:r>
          </w:p>
        </w:tc>
        <w:tc>
          <w:tcPr>
            <w:tcW w:w="773" w:type="dxa"/>
            <w:vAlign w:val="top"/>
          </w:tcPr>
          <w:p w14:paraId="409CF150">
            <w:pPr>
              <w:spacing w:before="209" w:line="298" w:lineRule="exact"/>
              <w:ind w:left="310"/>
              <w:rPr>
                <w:rFonts w:ascii="Times New Roman" w:hAnsi="Times New Roman" w:eastAsia="Times New Roman" w:cs="Times New Roman"/>
                <w:sz w:val="21"/>
                <w:szCs w:val="21"/>
              </w:rPr>
            </w:pPr>
            <w:r>
              <w:rPr>
                <w:rFonts w:ascii="Times New Roman" w:hAnsi="Times New Roman" w:eastAsia="Times New Roman" w:cs="Times New Roman"/>
                <w:spacing w:val="37"/>
                <w:w w:val="125"/>
                <w:position w:val="-1"/>
                <w:sz w:val="21"/>
                <w:szCs w:val="21"/>
              </w:rPr>
              <w:t>*</w:t>
            </w:r>
          </w:p>
        </w:tc>
        <w:tc>
          <w:tcPr>
            <w:tcW w:w="1430" w:type="dxa"/>
            <w:vAlign w:val="top"/>
          </w:tcPr>
          <w:p w14:paraId="3F88129C">
            <w:pPr>
              <w:rPr>
                <w:rFonts w:ascii="Arial"/>
                <w:sz w:val="21"/>
              </w:rPr>
            </w:pPr>
          </w:p>
        </w:tc>
        <w:tc>
          <w:tcPr>
            <w:tcW w:w="1425" w:type="dxa"/>
            <w:vAlign w:val="top"/>
          </w:tcPr>
          <w:p w14:paraId="0AF404A6">
            <w:pPr>
              <w:rPr>
                <w:rFonts w:ascii="Arial"/>
                <w:sz w:val="21"/>
              </w:rPr>
            </w:pPr>
          </w:p>
        </w:tc>
        <w:tc>
          <w:tcPr>
            <w:tcW w:w="1425" w:type="dxa"/>
            <w:vAlign w:val="top"/>
          </w:tcPr>
          <w:p w14:paraId="2DF614ED">
            <w:pPr>
              <w:rPr>
                <w:rFonts w:ascii="Arial"/>
                <w:sz w:val="21"/>
              </w:rPr>
            </w:pPr>
          </w:p>
        </w:tc>
        <w:tc>
          <w:tcPr>
            <w:tcW w:w="1434" w:type="dxa"/>
            <w:vAlign w:val="top"/>
          </w:tcPr>
          <w:p w14:paraId="59D5789F">
            <w:pPr>
              <w:rPr>
                <w:rFonts w:ascii="Arial"/>
                <w:sz w:val="21"/>
              </w:rPr>
            </w:pPr>
          </w:p>
        </w:tc>
      </w:tr>
    </w:tbl>
    <w:p w14:paraId="3E28C946">
      <w:pPr>
        <w:spacing w:before="77" w:line="220" w:lineRule="auto"/>
        <w:ind w:left="20"/>
        <w:rPr>
          <w:rFonts w:ascii="宋体" w:hAnsi="宋体" w:eastAsia="宋体" w:cs="宋体"/>
          <w:sz w:val="21"/>
          <w:szCs w:val="21"/>
        </w:rPr>
      </w:pPr>
      <w:r>
        <w:rPr>
          <w:rFonts w:ascii="宋体" w:hAnsi="宋体" w:eastAsia="宋体" w:cs="宋体"/>
          <w:spacing w:val="-3"/>
          <w:sz w:val="21"/>
          <w:szCs w:val="21"/>
        </w:rPr>
        <w:t>备注： 1.本表后应附近年经会计师事务所或审计机构审计的</w:t>
      </w:r>
      <w:r>
        <w:rPr>
          <w:rFonts w:ascii="宋体" w:hAnsi="宋体" w:eastAsia="宋体" w:cs="宋体"/>
          <w:spacing w:val="-4"/>
          <w:sz w:val="21"/>
          <w:szCs w:val="21"/>
        </w:rPr>
        <w:t>财务会计报表。</w:t>
      </w:r>
    </w:p>
    <w:p w14:paraId="467C39CA">
      <w:pPr>
        <w:spacing w:before="75" w:line="254" w:lineRule="auto"/>
        <w:ind w:left="965" w:right="2" w:hanging="311"/>
        <w:rPr>
          <w:rFonts w:ascii="宋体" w:hAnsi="宋体" w:eastAsia="宋体" w:cs="宋体"/>
          <w:sz w:val="21"/>
          <w:szCs w:val="21"/>
        </w:rPr>
      </w:pPr>
      <w:r>
        <w:rPr>
          <w:rFonts w:ascii="宋体" w:hAnsi="宋体" w:eastAsia="宋体" w:cs="宋体"/>
          <w:sz w:val="21"/>
          <w:szCs w:val="21"/>
        </w:rPr>
        <w:t>2.本表所列数据必须与本表各附件中的数据相一致。 如果有不一致之处，以不利于</w:t>
      </w:r>
      <w:r>
        <w:rPr>
          <w:rFonts w:ascii="宋体" w:hAnsi="宋体" w:eastAsia="宋体" w:cs="宋体"/>
          <w:spacing w:val="8"/>
          <w:sz w:val="21"/>
          <w:szCs w:val="21"/>
        </w:rPr>
        <w:t xml:space="preserve"> </w:t>
      </w:r>
      <w:r>
        <w:rPr>
          <w:rFonts w:ascii="宋体" w:hAnsi="宋体" w:eastAsia="宋体" w:cs="宋体"/>
          <w:spacing w:val="-4"/>
          <w:sz w:val="21"/>
          <w:szCs w:val="21"/>
        </w:rPr>
        <w:t>投标人的数据为准。</w:t>
      </w:r>
    </w:p>
    <w:p w14:paraId="42CE1E25">
      <w:pPr>
        <w:spacing w:before="71" w:line="221" w:lineRule="auto"/>
        <w:ind w:left="656"/>
        <w:rPr>
          <w:rFonts w:ascii="宋体" w:hAnsi="宋体" w:eastAsia="宋体" w:cs="宋体"/>
          <w:sz w:val="21"/>
          <w:szCs w:val="21"/>
        </w:rPr>
      </w:pPr>
      <w:r>
        <w:rPr>
          <w:rFonts w:ascii="宋体" w:hAnsi="宋体" w:eastAsia="宋体" w:cs="宋体"/>
          <w:spacing w:val="-2"/>
          <w:sz w:val="21"/>
          <w:szCs w:val="21"/>
        </w:rPr>
        <w:t>3.联合体投标的，联合体各成员应分别填写。</w:t>
      </w:r>
    </w:p>
    <w:p w14:paraId="0CC97AF5">
      <w:pPr>
        <w:spacing w:line="221" w:lineRule="auto"/>
        <w:rPr>
          <w:rFonts w:ascii="宋体" w:hAnsi="宋体" w:eastAsia="宋体" w:cs="宋体"/>
          <w:sz w:val="21"/>
          <w:szCs w:val="21"/>
        </w:rPr>
        <w:sectPr>
          <w:footerReference r:id="rId214" w:type="default"/>
          <w:pgSz w:w="11905" w:h="16839"/>
          <w:pgMar w:top="400" w:right="1785" w:bottom="1004" w:left="1785" w:header="0" w:footer="828" w:gutter="0"/>
          <w:pgNumType w:fmt="decimal"/>
          <w:cols w:space="720" w:num="1"/>
        </w:sectPr>
      </w:pPr>
    </w:p>
    <w:p w14:paraId="4E9DACE7">
      <w:pPr>
        <w:pStyle w:val="3"/>
        <w:spacing w:line="267" w:lineRule="auto"/>
      </w:pPr>
    </w:p>
    <w:p w14:paraId="0D592D9B">
      <w:pPr>
        <w:pStyle w:val="3"/>
        <w:spacing w:line="268" w:lineRule="auto"/>
      </w:pPr>
    </w:p>
    <w:p w14:paraId="0D469AC0">
      <w:pPr>
        <w:pStyle w:val="3"/>
        <w:spacing w:line="268" w:lineRule="auto"/>
      </w:pPr>
    </w:p>
    <w:p w14:paraId="3A1CA9BC">
      <w:pPr>
        <w:pStyle w:val="3"/>
        <w:spacing w:line="268" w:lineRule="auto"/>
      </w:pPr>
    </w:p>
    <w:p w14:paraId="62E33EA3">
      <w:pPr>
        <w:spacing w:before="78" w:line="218" w:lineRule="auto"/>
        <w:ind w:left="2766"/>
        <w:rPr>
          <w:rFonts w:ascii="黑体" w:hAnsi="黑体" w:eastAsia="黑体" w:cs="黑体"/>
          <w:sz w:val="24"/>
          <w:szCs w:val="24"/>
        </w:rPr>
      </w:pPr>
      <w:bookmarkStart w:id="1336" w:name="bookmark321"/>
      <w:bookmarkEnd w:id="1336"/>
      <w:r>
        <w:rPr>
          <w:rFonts w:ascii="黑体" w:hAnsi="黑体" w:eastAsia="黑体" w:cs="黑体"/>
          <w:spacing w:val="-3"/>
          <w:sz w:val="24"/>
          <w:szCs w:val="24"/>
        </w:rPr>
        <w:t>（三）近年完成的类似项目情况</w:t>
      </w:r>
    </w:p>
    <w:p w14:paraId="02FD0EB8">
      <w:pPr>
        <w:pStyle w:val="3"/>
        <w:spacing w:line="475" w:lineRule="auto"/>
      </w:pPr>
    </w:p>
    <w:p w14:paraId="142F1DCB">
      <w:pPr>
        <w:spacing w:before="78" w:line="218" w:lineRule="auto"/>
        <w:ind w:left="2800"/>
        <w:rPr>
          <w:rFonts w:ascii="黑体" w:hAnsi="黑体" w:eastAsia="黑体" w:cs="黑体"/>
          <w:sz w:val="24"/>
          <w:szCs w:val="24"/>
        </w:rPr>
      </w:pPr>
      <w:r>
        <w:rPr>
          <w:rFonts w:ascii="Times New Roman" w:hAnsi="Times New Roman" w:eastAsia="Times New Roman" w:cs="Times New Roman"/>
          <w:spacing w:val="-3"/>
          <w:sz w:val="24"/>
          <w:szCs w:val="24"/>
        </w:rPr>
        <w:t>3-</w:t>
      </w:r>
      <w:r>
        <w:rPr>
          <w:rFonts w:ascii="Times New Roman" w:hAnsi="Times New Roman" w:eastAsia="Times New Roman" w:cs="Times New Roman"/>
          <w:spacing w:val="-18"/>
          <w:sz w:val="24"/>
          <w:szCs w:val="24"/>
        </w:rPr>
        <w:t xml:space="preserve"> </w:t>
      </w:r>
      <w:r>
        <w:rPr>
          <w:rFonts w:ascii="Times New Roman" w:hAnsi="Times New Roman" w:eastAsia="Times New Roman" w:cs="Times New Roman"/>
          <w:spacing w:val="-3"/>
          <w:sz w:val="24"/>
          <w:szCs w:val="24"/>
        </w:rPr>
        <w:t xml:space="preserve">1 </w:t>
      </w:r>
      <w:r>
        <w:rPr>
          <w:rFonts w:ascii="黑体" w:hAnsi="黑体" w:eastAsia="黑体" w:cs="黑体"/>
          <w:spacing w:val="-3"/>
          <w:sz w:val="24"/>
          <w:szCs w:val="24"/>
        </w:rPr>
        <w:t>近年完成的类似项目汇总表</w:t>
      </w:r>
    </w:p>
    <w:tbl>
      <w:tblPr>
        <w:tblStyle w:val="10"/>
        <w:tblW w:w="8839"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47"/>
        <w:gridCol w:w="1842"/>
        <w:gridCol w:w="1397"/>
        <w:gridCol w:w="1080"/>
        <w:gridCol w:w="1108"/>
        <w:gridCol w:w="1781"/>
        <w:gridCol w:w="1084"/>
      </w:tblGrid>
      <w:tr w14:paraId="545763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1" w:hRule="atLeast"/>
        </w:trPr>
        <w:tc>
          <w:tcPr>
            <w:tcW w:w="547" w:type="dxa"/>
            <w:textDirection w:val="tbRlV"/>
            <w:vAlign w:val="top"/>
          </w:tcPr>
          <w:p w14:paraId="2D96218F">
            <w:pPr>
              <w:pStyle w:val="11"/>
              <w:spacing w:before="167" w:line="211" w:lineRule="auto"/>
              <w:ind w:left="159"/>
            </w:pPr>
            <w:r>
              <w:rPr>
                <w:spacing w:val="1"/>
              </w:rPr>
              <w:t>序</w:t>
            </w:r>
            <w:r>
              <w:rPr>
                <w:spacing w:val="86"/>
              </w:rPr>
              <w:t xml:space="preserve"> </w:t>
            </w:r>
            <w:r>
              <w:rPr>
                <w:spacing w:val="1"/>
              </w:rPr>
              <w:t>号</w:t>
            </w:r>
          </w:p>
        </w:tc>
        <w:tc>
          <w:tcPr>
            <w:tcW w:w="1842" w:type="dxa"/>
            <w:vAlign w:val="top"/>
          </w:tcPr>
          <w:p w14:paraId="7E1E54B7">
            <w:pPr>
              <w:spacing w:line="291" w:lineRule="auto"/>
              <w:rPr>
                <w:rFonts w:ascii="Arial"/>
                <w:sz w:val="21"/>
              </w:rPr>
            </w:pPr>
          </w:p>
          <w:p w14:paraId="0AA9EE79">
            <w:pPr>
              <w:pStyle w:val="11"/>
              <w:spacing w:before="68" w:line="221" w:lineRule="auto"/>
              <w:ind w:left="506"/>
            </w:pPr>
            <w:r>
              <w:rPr>
                <w:spacing w:val="-2"/>
              </w:rPr>
              <w:t>项目名称</w:t>
            </w:r>
          </w:p>
        </w:tc>
        <w:tc>
          <w:tcPr>
            <w:tcW w:w="1397" w:type="dxa"/>
            <w:vAlign w:val="top"/>
          </w:tcPr>
          <w:p w14:paraId="663A27FC">
            <w:pPr>
              <w:spacing w:line="291" w:lineRule="auto"/>
              <w:rPr>
                <w:rFonts w:ascii="Arial"/>
                <w:sz w:val="21"/>
              </w:rPr>
            </w:pPr>
          </w:p>
          <w:p w14:paraId="7390A6AF">
            <w:pPr>
              <w:pStyle w:val="11"/>
              <w:spacing w:before="68" w:line="221" w:lineRule="auto"/>
              <w:ind w:left="181"/>
            </w:pPr>
            <w:r>
              <w:rPr>
                <w:spacing w:val="-1"/>
              </w:rPr>
              <w:t>发包人名称</w:t>
            </w:r>
          </w:p>
        </w:tc>
        <w:tc>
          <w:tcPr>
            <w:tcW w:w="1080" w:type="dxa"/>
            <w:vAlign w:val="top"/>
          </w:tcPr>
          <w:p w14:paraId="12351F0D">
            <w:pPr>
              <w:spacing w:line="290" w:lineRule="auto"/>
              <w:rPr>
                <w:rFonts w:ascii="Arial"/>
                <w:sz w:val="21"/>
              </w:rPr>
            </w:pPr>
          </w:p>
          <w:p w14:paraId="31579587">
            <w:pPr>
              <w:pStyle w:val="11"/>
              <w:spacing w:before="68" w:line="221" w:lineRule="auto"/>
              <w:ind w:left="123"/>
            </w:pPr>
            <w:r>
              <w:rPr>
                <w:spacing w:val="-2"/>
              </w:rPr>
              <w:t>工程规模</w:t>
            </w:r>
          </w:p>
        </w:tc>
        <w:tc>
          <w:tcPr>
            <w:tcW w:w="1108" w:type="dxa"/>
            <w:vAlign w:val="top"/>
          </w:tcPr>
          <w:p w14:paraId="7D1540EF">
            <w:pPr>
              <w:pStyle w:val="11"/>
              <w:spacing w:before="159" w:line="403" w:lineRule="exact"/>
              <w:ind w:left="141"/>
            </w:pPr>
            <w:r>
              <w:rPr>
                <w:spacing w:val="-1"/>
                <w:position w:val="14"/>
              </w:rPr>
              <w:t>合同价格</w:t>
            </w:r>
          </w:p>
          <w:p w14:paraId="2BE7460C">
            <w:pPr>
              <w:pStyle w:val="11"/>
              <w:spacing w:line="209" w:lineRule="auto"/>
              <w:ind w:left="199"/>
            </w:pPr>
            <w:r>
              <w:rPr>
                <w:spacing w:val="-6"/>
              </w:rPr>
              <w:t>（元）</w:t>
            </w:r>
          </w:p>
        </w:tc>
        <w:tc>
          <w:tcPr>
            <w:tcW w:w="1781" w:type="dxa"/>
            <w:vAlign w:val="top"/>
          </w:tcPr>
          <w:p w14:paraId="0439D7AA">
            <w:pPr>
              <w:spacing w:line="290" w:lineRule="auto"/>
              <w:rPr>
                <w:rFonts w:ascii="Arial"/>
                <w:sz w:val="21"/>
              </w:rPr>
            </w:pPr>
          </w:p>
          <w:p w14:paraId="30837EA6">
            <w:pPr>
              <w:pStyle w:val="11"/>
              <w:spacing w:before="68" w:line="221" w:lineRule="auto"/>
              <w:ind w:left="267"/>
            </w:pPr>
            <w:r>
              <w:rPr>
                <w:spacing w:val="-1"/>
              </w:rPr>
              <w:t>开、竣工日期</w:t>
            </w:r>
          </w:p>
        </w:tc>
        <w:tc>
          <w:tcPr>
            <w:tcW w:w="1084" w:type="dxa"/>
            <w:vAlign w:val="top"/>
          </w:tcPr>
          <w:p w14:paraId="4FAE2916">
            <w:pPr>
              <w:spacing w:line="291" w:lineRule="auto"/>
              <w:rPr>
                <w:rFonts w:ascii="Arial"/>
                <w:sz w:val="21"/>
              </w:rPr>
            </w:pPr>
          </w:p>
          <w:p w14:paraId="2C242E0A">
            <w:pPr>
              <w:pStyle w:val="11"/>
              <w:spacing w:before="68" w:line="221" w:lineRule="auto"/>
              <w:ind w:left="131"/>
            </w:pPr>
            <w:r>
              <w:rPr>
                <w:spacing w:val="-2"/>
              </w:rPr>
              <w:t>项目经理</w:t>
            </w:r>
          </w:p>
        </w:tc>
      </w:tr>
      <w:tr w14:paraId="2DB85A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3" w:hRule="atLeast"/>
        </w:trPr>
        <w:tc>
          <w:tcPr>
            <w:tcW w:w="547" w:type="dxa"/>
            <w:vAlign w:val="top"/>
          </w:tcPr>
          <w:p w14:paraId="712B585A">
            <w:pPr>
              <w:rPr>
                <w:rFonts w:ascii="Arial"/>
                <w:sz w:val="21"/>
              </w:rPr>
            </w:pPr>
          </w:p>
        </w:tc>
        <w:tc>
          <w:tcPr>
            <w:tcW w:w="1842" w:type="dxa"/>
            <w:vAlign w:val="top"/>
          </w:tcPr>
          <w:p w14:paraId="4093CBD7">
            <w:pPr>
              <w:rPr>
                <w:rFonts w:ascii="Arial"/>
                <w:sz w:val="21"/>
              </w:rPr>
            </w:pPr>
          </w:p>
        </w:tc>
        <w:tc>
          <w:tcPr>
            <w:tcW w:w="1397" w:type="dxa"/>
            <w:vAlign w:val="top"/>
          </w:tcPr>
          <w:p w14:paraId="64390F49">
            <w:pPr>
              <w:rPr>
                <w:rFonts w:ascii="Arial"/>
                <w:sz w:val="21"/>
              </w:rPr>
            </w:pPr>
          </w:p>
        </w:tc>
        <w:tc>
          <w:tcPr>
            <w:tcW w:w="1080" w:type="dxa"/>
            <w:vAlign w:val="top"/>
          </w:tcPr>
          <w:p w14:paraId="7D9F8C95">
            <w:pPr>
              <w:rPr>
                <w:rFonts w:ascii="Arial"/>
                <w:sz w:val="21"/>
              </w:rPr>
            </w:pPr>
          </w:p>
        </w:tc>
        <w:tc>
          <w:tcPr>
            <w:tcW w:w="1108" w:type="dxa"/>
            <w:vAlign w:val="top"/>
          </w:tcPr>
          <w:p w14:paraId="1E884213">
            <w:pPr>
              <w:rPr>
                <w:rFonts w:ascii="Arial"/>
                <w:sz w:val="21"/>
              </w:rPr>
            </w:pPr>
          </w:p>
        </w:tc>
        <w:tc>
          <w:tcPr>
            <w:tcW w:w="1781" w:type="dxa"/>
            <w:vAlign w:val="top"/>
          </w:tcPr>
          <w:p w14:paraId="11047DBE">
            <w:pPr>
              <w:rPr>
                <w:rFonts w:ascii="Arial"/>
                <w:sz w:val="21"/>
              </w:rPr>
            </w:pPr>
          </w:p>
        </w:tc>
        <w:tc>
          <w:tcPr>
            <w:tcW w:w="1084" w:type="dxa"/>
            <w:vAlign w:val="top"/>
          </w:tcPr>
          <w:p w14:paraId="5A4C97A2">
            <w:pPr>
              <w:rPr>
                <w:rFonts w:ascii="Arial"/>
                <w:sz w:val="21"/>
              </w:rPr>
            </w:pPr>
          </w:p>
        </w:tc>
      </w:tr>
      <w:tr w14:paraId="1B4AFA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8" w:hRule="atLeast"/>
        </w:trPr>
        <w:tc>
          <w:tcPr>
            <w:tcW w:w="547" w:type="dxa"/>
            <w:vAlign w:val="top"/>
          </w:tcPr>
          <w:p w14:paraId="1AB29F1A">
            <w:pPr>
              <w:rPr>
                <w:rFonts w:ascii="Arial"/>
                <w:sz w:val="21"/>
              </w:rPr>
            </w:pPr>
          </w:p>
        </w:tc>
        <w:tc>
          <w:tcPr>
            <w:tcW w:w="1842" w:type="dxa"/>
            <w:vAlign w:val="top"/>
          </w:tcPr>
          <w:p w14:paraId="635BECA1">
            <w:pPr>
              <w:rPr>
                <w:rFonts w:ascii="Arial"/>
                <w:sz w:val="21"/>
              </w:rPr>
            </w:pPr>
          </w:p>
        </w:tc>
        <w:tc>
          <w:tcPr>
            <w:tcW w:w="1397" w:type="dxa"/>
            <w:vAlign w:val="top"/>
          </w:tcPr>
          <w:p w14:paraId="78625E9F">
            <w:pPr>
              <w:rPr>
                <w:rFonts w:ascii="Arial"/>
                <w:sz w:val="21"/>
              </w:rPr>
            </w:pPr>
          </w:p>
        </w:tc>
        <w:tc>
          <w:tcPr>
            <w:tcW w:w="1080" w:type="dxa"/>
            <w:vAlign w:val="top"/>
          </w:tcPr>
          <w:p w14:paraId="4F93DC1F">
            <w:pPr>
              <w:rPr>
                <w:rFonts w:ascii="Arial"/>
                <w:sz w:val="21"/>
              </w:rPr>
            </w:pPr>
          </w:p>
        </w:tc>
        <w:tc>
          <w:tcPr>
            <w:tcW w:w="1108" w:type="dxa"/>
            <w:vAlign w:val="top"/>
          </w:tcPr>
          <w:p w14:paraId="5C4F3273">
            <w:pPr>
              <w:rPr>
                <w:rFonts w:ascii="Arial"/>
                <w:sz w:val="21"/>
              </w:rPr>
            </w:pPr>
          </w:p>
        </w:tc>
        <w:tc>
          <w:tcPr>
            <w:tcW w:w="1781" w:type="dxa"/>
            <w:vAlign w:val="top"/>
          </w:tcPr>
          <w:p w14:paraId="27ED29CB">
            <w:pPr>
              <w:rPr>
                <w:rFonts w:ascii="Arial"/>
                <w:sz w:val="21"/>
              </w:rPr>
            </w:pPr>
          </w:p>
        </w:tc>
        <w:tc>
          <w:tcPr>
            <w:tcW w:w="1084" w:type="dxa"/>
            <w:vAlign w:val="top"/>
          </w:tcPr>
          <w:p w14:paraId="450119D1">
            <w:pPr>
              <w:rPr>
                <w:rFonts w:ascii="Arial"/>
                <w:sz w:val="21"/>
              </w:rPr>
            </w:pPr>
          </w:p>
        </w:tc>
      </w:tr>
      <w:tr w14:paraId="3932A8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3" w:hRule="atLeast"/>
        </w:trPr>
        <w:tc>
          <w:tcPr>
            <w:tcW w:w="547" w:type="dxa"/>
            <w:vAlign w:val="top"/>
          </w:tcPr>
          <w:p w14:paraId="2EF0268F">
            <w:pPr>
              <w:rPr>
                <w:rFonts w:ascii="Arial"/>
                <w:sz w:val="21"/>
              </w:rPr>
            </w:pPr>
          </w:p>
        </w:tc>
        <w:tc>
          <w:tcPr>
            <w:tcW w:w="1842" w:type="dxa"/>
            <w:vAlign w:val="top"/>
          </w:tcPr>
          <w:p w14:paraId="1F0F7D99">
            <w:pPr>
              <w:rPr>
                <w:rFonts w:ascii="Arial"/>
                <w:sz w:val="21"/>
              </w:rPr>
            </w:pPr>
          </w:p>
        </w:tc>
        <w:tc>
          <w:tcPr>
            <w:tcW w:w="1397" w:type="dxa"/>
            <w:vAlign w:val="top"/>
          </w:tcPr>
          <w:p w14:paraId="0FFF0EBA">
            <w:pPr>
              <w:rPr>
                <w:rFonts w:ascii="Arial"/>
                <w:sz w:val="21"/>
              </w:rPr>
            </w:pPr>
          </w:p>
        </w:tc>
        <w:tc>
          <w:tcPr>
            <w:tcW w:w="1080" w:type="dxa"/>
            <w:vAlign w:val="top"/>
          </w:tcPr>
          <w:p w14:paraId="32006C55">
            <w:pPr>
              <w:rPr>
                <w:rFonts w:ascii="Arial"/>
                <w:sz w:val="21"/>
              </w:rPr>
            </w:pPr>
          </w:p>
        </w:tc>
        <w:tc>
          <w:tcPr>
            <w:tcW w:w="1108" w:type="dxa"/>
            <w:vAlign w:val="top"/>
          </w:tcPr>
          <w:p w14:paraId="6B907970">
            <w:pPr>
              <w:rPr>
                <w:rFonts w:ascii="Arial"/>
                <w:sz w:val="21"/>
              </w:rPr>
            </w:pPr>
          </w:p>
        </w:tc>
        <w:tc>
          <w:tcPr>
            <w:tcW w:w="1781" w:type="dxa"/>
            <w:vAlign w:val="top"/>
          </w:tcPr>
          <w:p w14:paraId="581BF364">
            <w:pPr>
              <w:rPr>
                <w:rFonts w:ascii="Arial"/>
                <w:sz w:val="21"/>
              </w:rPr>
            </w:pPr>
          </w:p>
        </w:tc>
        <w:tc>
          <w:tcPr>
            <w:tcW w:w="1084" w:type="dxa"/>
            <w:vAlign w:val="top"/>
          </w:tcPr>
          <w:p w14:paraId="25FD34F9">
            <w:pPr>
              <w:rPr>
                <w:rFonts w:ascii="Arial"/>
                <w:sz w:val="21"/>
              </w:rPr>
            </w:pPr>
          </w:p>
        </w:tc>
      </w:tr>
      <w:tr w14:paraId="3307F2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3" w:hRule="atLeast"/>
        </w:trPr>
        <w:tc>
          <w:tcPr>
            <w:tcW w:w="547" w:type="dxa"/>
            <w:vAlign w:val="top"/>
          </w:tcPr>
          <w:p w14:paraId="199E3183">
            <w:pPr>
              <w:rPr>
                <w:rFonts w:ascii="Arial"/>
                <w:sz w:val="21"/>
              </w:rPr>
            </w:pPr>
          </w:p>
        </w:tc>
        <w:tc>
          <w:tcPr>
            <w:tcW w:w="1842" w:type="dxa"/>
            <w:vAlign w:val="top"/>
          </w:tcPr>
          <w:p w14:paraId="5CF62814">
            <w:pPr>
              <w:rPr>
                <w:rFonts w:ascii="Arial"/>
                <w:sz w:val="21"/>
              </w:rPr>
            </w:pPr>
          </w:p>
        </w:tc>
        <w:tc>
          <w:tcPr>
            <w:tcW w:w="1397" w:type="dxa"/>
            <w:vAlign w:val="top"/>
          </w:tcPr>
          <w:p w14:paraId="05819475">
            <w:pPr>
              <w:rPr>
                <w:rFonts w:ascii="Arial"/>
                <w:sz w:val="21"/>
              </w:rPr>
            </w:pPr>
          </w:p>
        </w:tc>
        <w:tc>
          <w:tcPr>
            <w:tcW w:w="1080" w:type="dxa"/>
            <w:vAlign w:val="top"/>
          </w:tcPr>
          <w:p w14:paraId="5721E304">
            <w:pPr>
              <w:rPr>
                <w:rFonts w:ascii="Arial"/>
                <w:sz w:val="21"/>
              </w:rPr>
            </w:pPr>
          </w:p>
        </w:tc>
        <w:tc>
          <w:tcPr>
            <w:tcW w:w="1108" w:type="dxa"/>
            <w:vAlign w:val="top"/>
          </w:tcPr>
          <w:p w14:paraId="423B5D2C">
            <w:pPr>
              <w:rPr>
                <w:rFonts w:ascii="Arial"/>
                <w:sz w:val="21"/>
              </w:rPr>
            </w:pPr>
          </w:p>
        </w:tc>
        <w:tc>
          <w:tcPr>
            <w:tcW w:w="1781" w:type="dxa"/>
            <w:vAlign w:val="top"/>
          </w:tcPr>
          <w:p w14:paraId="5EC46B8F">
            <w:pPr>
              <w:rPr>
                <w:rFonts w:ascii="Arial"/>
                <w:sz w:val="21"/>
              </w:rPr>
            </w:pPr>
          </w:p>
        </w:tc>
        <w:tc>
          <w:tcPr>
            <w:tcW w:w="1084" w:type="dxa"/>
            <w:vAlign w:val="top"/>
          </w:tcPr>
          <w:p w14:paraId="6D1CB9F3">
            <w:pPr>
              <w:rPr>
                <w:rFonts w:ascii="Arial"/>
                <w:sz w:val="21"/>
              </w:rPr>
            </w:pPr>
          </w:p>
        </w:tc>
      </w:tr>
      <w:tr w14:paraId="39228F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8" w:hRule="atLeast"/>
        </w:trPr>
        <w:tc>
          <w:tcPr>
            <w:tcW w:w="547" w:type="dxa"/>
            <w:vAlign w:val="top"/>
          </w:tcPr>
          <w:p w14:paraId="3842C3E4">
            <w:pPr>
              <w:rPr>
                <w:rFonts w:ascii="Arial"/>
                <w:sz w:val="21"/>
              </w:rPr>
            </w:pPr>
          </w:p>
        </w:tc>
        <w:tc>
          <w:tcPr>
            <w:tcW w:w="1842" w:type="dxa"/>
            <w:vAlign w:val="top"/>
          </w:tcPr>
          <w:p w14:paraId="2D6FF9B0">
            <w:pPr>
              <w:rPr>
                <w:rFonts w:ascii="Arial"/>
                <w:sz w:val="21"/>
              </w:rPr>
            </w:pPr>
          </w:p>
        </w:tc>
        <w:tc>
          <w:tcPr>
            <w:tcW w:w="1397" w:type="dxa"/>
            <w:vAlign w:val="top"/>
          </w:tcPr>
          <w:p w14:paraId="3AA4CF48">
            <w:pPr>
              <w:rPr>
                <w:rFonts w:ascii="Arial"/>
                <w:sz w:val="21"/>
              </w:rPr>
            </w:pPr>
          </w:p>
        </w:tc>
        <w:tc>
          <w:tcPr>
            <w:tcW w:w="1080" w:type="dxa"/>
            <w:vAlign w:val="top"/>
          </w:tcPr>
          <w:p w14:paraId="65D730E6">
            <w:pPr>
              <w:rPr>
                <w:rFonts w:ascii="Arial"/>
                <w:sz w:val="21"/>
              </w:rPr>
            </w:pPr>
          </w:p>
        </w:tc>
        <w:tc>
          <w:tcPr>
            <w:tcW w:w="1108" w:type="dxa"/>
            <w:vAlign w:val="top"/>
          </w:tcPr>
          <w:p w14:paraId="4F40A513">
            <w:pPr>
              <w:rPr>
                <w:rFonts w:ascii="Arial"/>
                <w:sz w:val="21"/>
              </w:rPr>
            </w:pPr>
          </w:p>
        </w:tc>
        <w:tc>
          <w:tcPr>
            <w:tcW w:w="1781" w:type="dxa"/>
            <w:vAlign w:val="top"/>
          </w:tcPr>
          <w:p w14:paraId="4B304872">
            <w:pPr>
              <w:rPr>
                <w:rFonts w:ascii="Arial"/>
                <w:sz w:val="21"/>
              </w:rPr>
            </w:pPr>
          </w:p>
        </w:tc>
        <w:tc>
          <w:tcPr>
            <w:tcW w:w="1084" w:type="dxa"/>
            <w:vAlign w:val="top"/>
          </w:tcPr>
          <w:p w14:paraId="1FAD6BB3">
            <w:pPr>
              <w:rPr>
                <w:rFonts w:ascii="Arial"/>
                <w:sz w:val="21"/>
              </w:rPr>
            </w:pPr>
          </w:p>
        </w:tc>
      </w:tr>
      <w:tr w14:paraId="587F05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4" w:hRule="atLeast"/>
        </w:trPr>
        <w:tc>
          <w:tcPr>
            <w:tcW w:w="547" w:type="dxa"/>
            <w:vAlign w:val="top"/>
          </w:tcPr>
          <w:p w14:paraId="5B5FEEF3">
            <w:pPr>
              <w:rPr>
                <w:rFonts w:ascii="Arial"/>
                <w:sz w:val="21"/>
              </w:rPr>
            </w:pPr>
          </w:p>
        </w:tc>
        <w:tc>
          <w:tcPr>
            <w:tcW w:w="1842" w:type="dxa"/>
            <w:vAlign w:val="top"/>
          </w:tcPr>
          <w:p w14:paraId="75142980">
            <w:pPr>
              <w:rPr>
                <w:rFonts w:ascii="Arial"/>
                <w:sz w:val="21"/>
              </w:rPr>
            </w:pPr>
          </w:p>
        </w:tc>
        <w:tc>
          <w:tcPr>
            <w:tcW w:w="1397" w:type="dxa"/>
            <w:vAlign w:val="top"/>
          </w:tcPr>
          <w:p w14:paraId="49451D1C">
            <w:pPr>
              <w:rPr>
                <w:rFonts w:ascii="Arial"/>
                <w:sz w:val="21"/>
              </w:rPr>
            </w:pPr>
          </w:p>
        </w:tc>
        <w:tc>
          <w:tcPr>
            <w:tcW w:w="1080" w:type="dxa"/>
            <w:vAlign w:val="top"/>
          </w:tcPr>
          <w:p w14:paraId="746BF34A">
            <w:pPr>
              <w:rPr>
                <w:rFonts w:ascii="Arial"/>
                <w:sz w:val="21"/>
              </w:rPr>
            </w:pPr>
          </w:p>
        </w:tc>
        <w:tc>
          <w:tcPr>
            <w:tcW w:w="1108" w:type="dxa"/>
            <w:vAlign w:val="top"/>
          </w:tcPr>
          <w:p w14:paraId="40A4ADB6">
            <w:pPr>
              <w:rPr>
                <w:rFonts w:ascii="Arial"/>
                <w:sz w:val="21"/>
              </w:rPr>
            </w:pPr>
          </w:p>
        </w:tc>
        <w:tc>
          <w:tcPr>
            <w:tcW w:w="1781" w:type="dxa"/>
            <w:vAlign w:val="top"/>
          </w:tcPr>
          <w:p w14:paraId="39ABFA12">
            <w:pPr>
              <w:rPr>
                <w:rFonts w:ascii="Arial"/>
                <w:sz w:val="21"/>
              </w:rPr>
            </w:pPr>
          </w:p>
        </w:tc>
        <w:tc>
          <w:tcPr>
            <w:tcW w:w="1084" w:type="dxa"/>
            <w:vAlign w:val="top"/>
          </w:tcPr>
          <w:p w14:paraId="2BC3B64A">
            <w:pPr>
              <w:rPr>
                <w:rFonts w:ascii="Arial"/>
                <w:sz w:val="21"/>
              </w:rPr>
            </w:pPr>
          </w:p>
        </w:tc>
      </w:tr>
      <w:tr w14:paraId="652A12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3" w:hRule="atLeast"/>
        </w:trPr>
        <w:tc>
          <w:tcPr>
            <w:tcW w:w="547" w:type="dxa"/>
            <w:vAlign w:val="top"/>
          </w:tcPr>
          <w:p w14:paraId="2F5CEF2F">
            <w:pPr>
              <w:rPr>
                <w:rFonts w:ascii="Arial"/>
                <w:sz w:val="21"/>
              </w:rPr>
            </w:pPr>
          </w:p>
        </w:tc>
        <w:tc>
          <w:tcPr>
            <w:tcW w:w="1842" w:type="dxa"/>
            <w:vAlign w:val="top"/>
          </w:tcPr>
          <w:p w14:paraId="03A40AB0">
            <w:pPr>
              <w:rPr>
                <w:rFonts w:ascii="Arial"/>
                <w:sz w:val="21"/>
              </w:rPr>
            </w:pPr>
          </w:p>
        </w:tc>
        <w:tc>
          <w:tcPr>
            <w:tcW w:w="1397" w:type="dxa"/>
            <w:vAlign w:val="top"/>
          </w:tcPr>
          <w:p w14:paraId="4AB5316A">
            <w:pPr>
              <w:rPr>
                <w:rFonts w:ascii="Arial"/>
                <w:sz w:val="21"/>
              </w:rPr>
            </w:pPr>
          </w:p>
        </w:tc>
        <w:tc>
          <w:tcPr>
            <w:tcW w:w="1080" w:type="dxa"/>
            <w:vAlign w:val="top"/>
          </w:tcPr>
          <w:p w14:paraId="545960F0">
            <w:pPr>
              <w:rPr>
                <w:rFonts w:ascii="Arial"/>
                <w:sz w:val="21"/>
              </w:rPr>
            </w:pPr>
          </w:p>
        </w:tc>
        <w:tc>
          <w:tcPr>
            <w:tcW w:w="1108" w:type="dxa"/>
            <w:vAlign w:val="top"/>
          </w:tcPr>
          <w:p w14:paraId="41EBB3F8">
            <w:pPr>
              <w:rPr>
                <w:rFonts w:ascii="Arial"/>
                <w:sz w:val="21"/>
              </w:rPr>
            </w:pPr>
          </w:p>
        </w:tc>
        <w:tc>
          <w:tcPr>
            <w:tcW w:w="1781" w:type="dxa"/>
            <w:vAlign w:val="top"/>
          </w:tcPr>
          <w:p w14:paraId="14189E3C">
            <w:pPr>
              <w:rPr>
                <w:rFonts w:ascii="Arial"/>
                <w:sz w:val="21"/>
              </w:rPr>
            </w:pPr>
          </w:p>
        </w:tc>
        <w:tc>
          <w:tcPr>
            <w:tcW w:w="1084" w:type="dxa"/>
            <w:vAlign w:val="top"/>
          </w:tcPr>
          <w:p w14:paraId="7CD4FEB7">
            <w:pPr>
              <w:rPr>
                <w:rFonts w:ascii="Arial"/>
                <w:sz w:val="21"/>
              </w:rPr>
            </w:pPr>
          </w:p>
        </w:tc>
      </w:tr>
      <w:tr w14:paraId="69D2CD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8" w:hRule="atLeast"/>
        </w:trPr>
        <w:tc>
          <w:tcPr>
            <w:tcW w:w="547" w:type="dxa"/>
            <w:vAlign w:val="top"/>
          </w:tcPr>
          <w:p w14:paraId="345032F4">
            <w:pPr>
              <w:rPr>
                <w:rFonts w:ascii="Arial"/>
                <w:sz w:val="21"/>
              </w:rPr>
            </w:pPr>
          </w:p>
        </w:tc>
        <w:tc>
          <w:tcPr>
            <w:tcW w:w="1842" w:type="dxa"/>
            <w:vAlign w:val="top"/>
          </w:tcPr>
          <w:p w14:paraId="68F94856">
            <w:pPr>
              <w:rPr>
                <w:rFonts w:ascii="Arial"/>
                <w:sz w:val="21"/>
              </w:rPr>
            </w:pPr>
          </w:p>
        </w:tc>
        <w:tc>
          <w:tcPr>
            <w:tcW w:w="1397" w:type="dxa"/>
            <w:vAlign w:val="top"/>
          </w:tcPr>
          <w:p w14:paraId="74CDA819">
            <w:pPr>
              <w:rPr>
                <w:rFonts w:ascii="Arial"/>
                <w:sz w:val="21"/>
              </w:rPr>
            </w:pPr>
          </w:p>
        </w:tc>
        <w:tc>
          <w:tcPr>
            <w:tcW w:w="1080" w:type="dxa"/>
            <w:vAlign w:val="top"/>
          </w:tcPr>
          <w:p w14:paraId="0906FCC0">
            <w:pPr>
              <w:rPr>
                <w:rFonts w:ascii="Arial"/>
                <w:sz w:val="21"/>
              </w:rPr>
            </w:pPr>
          </w:p>
        </w:tc>
        <w:tc>
          <w:tcPr>
            <w:tcW w:w="1108" w:type="dxa"/>
            <w:vAlign w:val="top"/>
          </w:tcPr>
          <w:p w14:paraId="24EADFAF">
            <w:pPr>
              <w:rPr>
                <w:rFonts w:ascii="Arial"/>
                <w:sz w:val="21"/>
              </w:rPr>
            </w:pPr>
          </w:p>
        </w:tc>
        <w:tc>
          <w:tcPr>
            <w:tcW w:w="1781" w:type="dxa"/>
            <w:vAlign w:val="top"/>
          </w:tcPr>
          <w:p w14:paraId="5A1522B2">
            <w:pPr>
              <w:rPr>
                <w:rFonts w:ascii="Arial"/>
                <w:sz w:val="21"/>
              </w:rPr>
            </w:pPr>
          </w:p>
        </w:tc>
        <w:tc>
          <w:tcPr>
            <w:tcW w:w="1084" w:type="dxa"/>
            <w:vAlign w:val="top"/>
          </w:tcPr>
          <w:p w14:paraId="1207DE8C">
            <w:pPr>
              <w:rPr>
                <w:rFonts w:ascii="Arial"/>
                <w:sz w:val="21"/>
              </w:rPr>
            </w:pPr>
          </w:p>
        </w:tc>
      </w:tr>
      <w:tr w14:paraId="2EE7CF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3" w:hRule="atLeast"/>
        </w:trPr>
        <w:tc>
          <w:tcPr>
            <w:tcW w:w="547" w:type="dxa"/>
            <w:vAlign w:val="top"/>
          </w:tcPr>
          <w:p w14:paraId="2FC8A5DE">
            <w:pPr>
              <w:rPr>
                <w:rFonts w:ascii="Arial"/>
                <w:sz w:val="21"/>
              </w:rPr>
            </w:pPr>
          </w:p>
        </w:tc>
        <w:tc>
          <w:tcPr>
            <w:tcW w:w="1842" w:type="dxa"/>
            <w:vAlign w:val="top"/>
          </w:tcPr>
          <w:p w14:paraId="1469DF49">
            <w:pPr>
              <w:rPr>
                <w:rFonts w:ascii="Arial"/>
                <w:sz w:val="21"/>
              </w:rPr>
            </w:pPr>
          </w:p>
        </w:tc>
        <w:tc>
          <w:tcPr>
            <w:tcW w:w="1397" w:type="dxa"/>
            <w:vAlign w:val="top"/>
          </w:tcPr>
          <w:p w14:paraId="36B32699">
            <w:pPr>
              <w:rPr>
                <w:rFonts w:ascii="Arial"/>
                <w:sz w:val="21"/>
              </w:rPr>
            </w:pPr>
          </w:p>
        </w:tc>
        <w:tc>
          <w:tcPr>
            <w:tcW w:w="1080" w:type="dxa"/>
            <w:vAlign w:val="top"/>
          </w:tcPr>
          <w:p w14:paraId="491F1FEE">
            <w:pPr>
              <w:rPr>
                <w:rFonts w:ascii="Arial"/>
                <w:sz w:val="21"/>
              </w:rPr>
            </w:pPr>
          </w:p>
        </w:tc>
        <w:tc>
          <w:tcPr>
            <w:tcW w:w="1108" w:type="dxa"/>
            <w:vAlign w:val="top"/>
          </w:tcPr>
          <w:p w14:paraId="357EAF99">
            <w:pPr>
              <w:rPr>
                <w:rFonts w:ascii="Arial"/>
                <w:sz w:val="21"/>
              </w:rPr>
            </w:pPr>
          </w:p>
        </w:tc>
        <w:tc>
          <w:tcPr>
            <w:tcW w:w="1781" w:type="dxa"/>
            <w:vAlign w:val="top"/>
          </w:tcPr>
          <w:p w14:paraId="5141EBA0">
            <w:pPr>
              <w:rPr>
                <w:rFonts w:ascii="Arial"/>
                <w:sz w:val="21"/>
              </w:rPr>
            </w:pPr>
          </w:p>
        </w:tc>
        <w:tc>
          <w:tcPr>
            <w:tcW w:w="1084" w:type="dxa"/>
            <w:vAlign w:val="top"/>
          </w:tcPr>
          <w:p w14:paraId="1CA4A275">
            <w:pPr>
              <w:rPr>
                <w:rFonts w:ascii="Arial"/>
                <w:sz w:val="21"/>
              </w:rPr>
            </w:pPr>
          </w:p>
        </w:tc>
      </w:tr>
      <w:tr w14:paraId="44D966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3" w:hRule="atLeast"/>
        </w:trPr>
        <w:tc>
          <w:tcPr>
            <w:tcW w:w="547" w:type="dxa"/>
            <w:vAlign w:val="top"/>
          </w:tcPr>
          <w:p w14:paraId="61968ADC">
            <w:pPr>
              <w:rPr>
                <w:rFonts w:ascii="Arial"/>
                <w:sz w:val="21"/>
              </w:rPr>
            </w:pPr>
          </w:p>
        </w:tc>
        <w:tc>
          <w:tcPr>
            <w:tcW w:w="1842" w:type="dxa"/>
            <w:vAlign w:val="top"/>
          </w:tcPr>
          <w:p w14:paraId="27602529">
            <w:pPr>
              <w:rPr>
                <w:rFonts w:ascii="Arial"/>
                <w:sz w:val="21"/>
              </w:rPr>
            </w:pPr>
          </w:p>
        </w:tc>
        <w:tc>
          <w:tcPr>
            <w:tcW w:w="1397" w:type="dxa"/>
            <w:vAlign w:val="top"/>
          </w:tcPr>
          <w:p w14:paraId="0BD9981A">
            <w:pPr>
              <w:rPr>
                <w:rFonts w:ascii="Arial"/>
                <w:sz w:val="21"/>
              </w:rPr>
            </w:pPr>
          </w:p>
        </w:tc>
        <w:tc>
          <w:tcPr>
            <w:tcW w:w="1080" w:type="dxa"/>
            <w:vAlign w:val="top"/>
          </w:tcPr>
          <w:p w14:paraId="368FF8C2">
            <w:pPr>
              <w:rPr>
                <w:rFonts w:ascii="Arial"/>
                <w:sz w:val="21"/>
              </w:rPr>
            </w:pPr>
          </w:p>
        </w:tc>
        <w:tc>
          <w:tcPr>
            <w:tcW w:w="1108" w:type="dxa"/>
            <w:vAlign w:val="top"/>
          </w:tcPr>
          <w:p w14:paraId="5DB7D453">
            <w:pPr>
              <w:rPr>
                <w:rFonts w:ascii="Arial"/>
                <w:sz w:val="21"/>
              </w:rPr>
            </w:pPr>
          </w:p>
        </w:tc>
        <w:tc>
          <w:tcPr>
            <w:tcW w:w="1781" w:type="dxa"/>
            <w:vAlign w:val="top"/>
          </w:tcPr>
          <w:p w14:paraId="24141869">
            <w:pPr>
              <w:rPr>
                <w:rFonts w:ascii="Arial"/>
                <w:sz w:val="21"/>
              </w:rPr>
            </w:pPr>
          </w:p>
        </w:tc>
        <w:tc>
          <w:tcPr>
            <w:tcW w:w="1084" w:type="dxa"/>
            <w:vAlign w:val="top"/>
          </w:tcPr>
          <w:p w14:paraId="7541B095">
            <w:pPr>
              <w:rPr>
                <w:rFonts w:ascii="Arial"/>
                <w:sz w:val="21"/>
              </w:rPr>
            </w:pPr>
          </w:p>
        </w:tc>
      </w:tr>
      <w:tr w14:paraId="02EBFC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8" w:hRule="atLeast"/>
        </w:trPr>
        <w:tc>
          <w:tcPr>
            <w:tcW w:w="547" w:type="dxa"/>
            <w:vAlign w:val="top"/>
          </w:tcPr>
          <w:p w14:paraId="0B9D7341">
            <w:pPr>
              <w:rPr>
                <w:rFonts w:ascii="Arial"/>
                <w:sz w:val="21"/>
              </w:rPr>
            </w:pPr>
          </w:p>
        </w:tc>
        <w:tc>
          <w:tcPr>
            <w:tcW w:w="1842" w:type="dxa"/>
            <w:vAlign w:val="top"/>
          </w:tcPr>
          <w:p w14:paraId="29A88687">
            <w:pPr>
              <w:rPr>
                <w:rFonts w:ascii="Arial"/>
                <w:sz w:val="21"/>
              </w:rPr>
            </w:pPr>
          </w:p>
        </w:tc>
        <w:tc>
          <w:tcPr>
            <w:tcW w:w="1397" w:type="dxa"/>
            <w:vAlign w:val="top"/>
          </w:tcPr>
          <w:p w14:paraId="7ECE1F04">
            <w:pPr>
              <w:rPr>
                <w:rFonts w:ascii="Arial"/>
                <w:sz w:val="21"/>
              </w:rPr>
            </w:pPr>
          </w:p>
        </w:tc>
        <w:tc>
          <w:tcPr>
            <w:tcW w:w="1080" w:type="dxa"/>
            <w:vAlign w:val="top"/>
          </w:tcPr>
          <w:p w14:paraId="01961C77">
            <w:pPr>
              <w:rPr>
                <w:rFonts w:ascii="Arial"/>
                <w:sz w:val="21"/>
              </w:rPr>
            </w:pPr>
          </w:p>
        </w:tc>
        <w:tc>
          <w:tcPr>
            <w:tcW w:w="1108" w:type="dxa"/>
            <w:vAlign w:val="top"/>
          </w:tcPr>
          <w:p w14:paraId="4BD9E086">
            <w:pPr>
              <w:rPr>
                <w:rFonts w:ascii="Arial"/>
                <w:sz w:val="21"/>
              </w:rPr>
            </w:pPr>
          </w:p>
        </w:tc>
        <w:tc>
          <w:tcPr>
            <w:tcW w:w="1781" w:type="dxa"/>
            <w:vAlign w:val="top"/>
          </w:tcPr>
          <w:p w14:paraId="030EDDCE">
            <w:pPr>
              <w:rPr>
                <w:rFonts w:ascii="Arial"/>
                <w:sz w:val="21"/>
              </w:rPr>
            </w:pPr>
          </w:p>
        </w:tc>
        <w:tc>
          <w:tcPr>
            <w:tcW w:w="1084" w:type="dxa"/>
            <w:vAlign w:val="top"/>
          </w:tcPr>
          <w:p w14:paraId="78CA2D4D">
            <w:pPr>
              <w:rPr>
                <w:rFonts w:ascii="Arial"/>
                <w:sz w:val="21"/>
              </w:rPr>
            </w:pPr>
          </w:p>
        </w:tc>
      </w:tr>
      <w:tr w14:paraId="5A0E0A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3" w:hRule="atLeast"/>
        </w:trPr>
        <w:tc>
          <w:tcPr>
            <w:tcW w:w="547" w:type="dxa"/>
            <w:vAlign w:val="top"/>
          </w:tcPr>
          <w:p w14:paraId="126CECB7">
            <w:pPr>
              <w:rPr>
                <w:rFonts w:ascii="Arial"/>
                <w:sz w:val="21"/>
              </w:rPr>
            </w:pPr>
          </w:p>
        </w:tc>
        <w:tc>
          <w:tcPr>
            <w:tcW w:w="1842" w:type="dxa"/>
            <w:vAlign w:val="top"/>
          </w:tcPr>
          <w:p w14:paraId="1DA1F3A4">
            <w:pPr>
              <w:rPr>
                <w:rFonts w:ascii="Arial"/>
                <w:sz w:val="21"/>
              </w:rPr>
            </w:pPr>
          </w:p>
        </w:tc>
        <w:tc>
          <w:tcPr>
            <w:tcW w:w="1397" w:type="dxa"/>
            <w:vAlign w:val="top"/>
          </w:tcPr>
          <w:p w14:paraId="52E6B9C1">
            <w:pPr>
              <w:rPr>
                <w:rFonts w:ascii="Arial"/>
                <w:sz w:val="21"/>
              </w:rPr>
            </w:pPr>
          </w:p>
        </w:tc>
        <w:tc>
          <w:tcPr>
            <w:tcW w:w="1080" w:type="dxa"/>
            <w:vAlign w:val="top"/>
          </w:tcPr>
          <w:p w14:paraId="1AC43866">
            <w:pPr>
              <w:rPr>
                <w:rFonts w:ascii="Arial"/>
                <w:sz w:val="21"/>
              </w:rPr>
            </w:pPr>
          </w:p>
        </w:tc>
        <w:tc>
          <w:tcPr>
            <w:tcW w:w="1108" w:type="dxa"/>
            <w:vAlign w:val="top"/>
          </w:tcPr>
          <w:p w14:paraId="5ED288DA">
            <w:pPr>
              <w:rPr>
                <w:rFonts w:ascii="Arial"/>
                <w:sz w:val="21"/>
              </w:rPr>
            </w:pPr>
          </w:p>
        </w:tc>
        <w:tc>
          <w:tcPr>
            <w:tcW w:w="1781" w:type="dxa"/>
            <w:vAlign w:val="top"/>
          </w:tcPr>
          <w:p w14:paraId="44335DAA">
            <w:pPr>
              <w:rPr>
                <w:rFonts w:ascii="Arial"/>
                <w:sz w:val="21"/>
              </w:rPr>
            </w:pPr>
          </w:p>
        </w:tc>
        <w:tc>
          <w:tcPr>
            <w:tcW w:w="1084" w:type="dxa"/>
            <w:vAlign w:val="top"/>
          </w:tcPr>
          <w:p w14:paraId="5F4D337F">
            <w:pPr>
              <w:rPr>
                <w:rFonts w:ascii="Arial"/>
                <w:sz w:val="21"/>
              </w:rPr>
            </w:pPr>
          </w:p>
        </w:tc>
      </w:tr>
      <w:tr w14:paraId="071642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4" w:hRule="atLeast"/>
        </w:trPr>
        <w:tc>
          <w:tcPr>
            <w:tcW w:w="547" w:type="dxa"/>
            <w:vAlign w:val="top"/>
          </w:tcPr>
          <w:p w14:paraId="72DA0ACE">
            <w:pPr>
              <w:rPr>
                <w:rFonts w:ascii="Arial"/>
                <w:sz w:val="21"/>
              </w:rPr>
            </w:pPr>
          </w:p>
        </w:tc>
        <w:tc>
          <w:tcPr>
            <w:tcW w:w="1842" w:type="dxa"/>
            <w:vAlign w:val="top"/>
          </w:tcPr>
          <w:p w14:paraId="56746ABA">
            <w:pPr>
              <w:rPr>
                <w:rFonts w:ascii="Arial"/>
                <w:sz w:val="21"/>
              </w:rPr>
            </w:pPr>
          </w:p>
        </w:tc>
        <w:tc>
          <w:tcPr>
            <w:tcW w:w="1397" w:type="dxa"/>
            <w:vAlign w:val="top"/>
          </w:tcPr>
          <w:p w14:paraId="0180BF84">
            <w:pPr>
              <w:rPr>
                <w:rFonts w:ascii="Arial"/>
                <w:sz w:val="21"/>
              </w:rPr>
            </w:pPr>
          </w:p>
        </w:tc>
        <w:tc>
          <w:tcPr>
            <w:tcW w:w="1080" w:type="dxa"/>
            <w:vAlign w:val="top"/>
          </w:tcPr>
          <w:p w14:paraId="1C4B927C">
            <w:pPr>
              <w:rPr>
                <w:rFonts w:ascii="Arial"/>
                <w:sz w:val="21"/>
              </w:rPr>
            </w:pPr>
          </w:p>
        </w:tc>
        <w:tc>
          <w:tcPr>
            <w:tcW w:w="1108" w:type="dxa"/>
            <w:vAlign w:val="top"/>
          </w:tcPr>
          <w:p w14:paraId="4A2955AF">
            <w:pPr>
              <w:rPr>
                <w:rFonts w:ascii="Arial"/>
                <w:sz w:val="21"/>
              </w:rPr>
            </w:pPr>
          </w:p>
        </w:tc>
        <w:tc>
          <w:tcPr>
            <w:tcW w:w="1781" w:type="dxa"/>
            <w:vAlign w:val="top"/>
          </w:tcPr>
          <w:p w14:paraId="65C3AD40">
            <w:pPr>
              <w:rPr>
                <w:rFonts w:ascii="Arial"/>
                <w:sz w:val="21"/>
              </w:rPr>
            </w:pPr>
          </w:p>
        </w:tc>
        <w:tc>
          <w:tcPr>
            <w:tcW w:w="1084" w:type="dxa"/>
            <w:vAlign w:val="top"/>
          </w:tcPr>
          <w:p w14:paraId="7A7CA8DB">
            <w:pPr>
              <w:rPr>
                <w:rFonts w:ascii="Arial"/>
                <w:sz w:val="21"/>
              </w:rPr>
            </w:pPr>
          </w:p>
        </w:tc>
      </w:tr>
      <w:tr w14:paraId="2E0883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8" w:hRule="atLeast"/>
        </w:trPr>
        <w:tc>
          <w:tcPr>
            <w:tcW w:w="547" w:type="dxa"/>
            <w:vAlign w:val="top"/>
          </w:tcPr>
          <w:p w14:paraId="03973138">
            <w:pPr>
              <w:rPr>
                <w:rFonts w:ascii="Arial"/>
                <w:sz w:val="21"/>
              </w:rPr>
            </w:pPr>
          </w:p>
        </w:tc>
        <w:tc>
          <w:tcPr>
            <w:tcW w:w="1842" w:type="dxa"/>
            <w:vAlign w:val="top"/>
          </w:tcPr>
          <w:p w14:paraId="33A29F57">
            <w:pPr>
              <w:rPr>
                <w:rFonts w:ascii="Arial"/>
                <w:sz w:val="21"/>
              </w:rPr>
            </w:pPr>
          </w:p>
        </w:tc>
        <w:tc>
          <w:tcPr>
            <w:tcW w:w="1397" w:type="dxa"/>
            <w:vAlign w:val="top"/>
          </w:tcPr>
          <w:p w14:paraId="6A9C9063">
            <w:pPr>
              <w:rPr>
                <w:rFonts w:ascii="Arial"/>
                <w:sz w:val="21"/>
              </w:rPr>
            </w:pPr>
          </w:p>
        </w:tc>
        <w:tc>
          <w:tcPr>
            <w:tcW w:w="1080" w:type="dxa"/>
            <w:vAlign w:val="top"/>
          </w:tcPr>
          <w:p w14:paraId="702BDDFA">
            <w:pPr>
              <w:rPr>
                <w:rFonts w:ascii="Arial"/>
                <w:sz w:val="21"/>
              </w:rPr>
            </w:pPr>
          </w:p>
        </w:tc>
        <w:tc>
          <w:tcPr>
            <w:tcW w:w="1108" w:type="dxa"/>
            <w:vAlign w:val="top"/>
          </w:tcPr>
          <w:p w14:paraId="24DAB868">
            <w:pPr>
              <w:rPr>
                <w:rFonts w:ascii="Arial"/>
                <w:sz w:val="21"/>
              </w:rPr>
            </w:pPr>
          </w:p>
        </w:tc>
        <w:tc>
          <w:tcPr>
            <w:tcW w:w="1781" w:type="dxa"/>
            <w:vAlign w:val="top"/>
          </w:tcPr>
          <w:p w14:paraId="3EE0BBAC">
            <w:pPr>
              <w:rPr>
                <w:rFonts w:ascii="Arial"/>
                <w:sz w:val="21"/>
              </w:rPr>
            </w:pPr>
          </w:p>
        </w:tc>
        <w:tc>
          <w:tcPr>
            <w:tcW w:w="1084" w:type="dxa"/>
            <w:vAlign w:val="top"/>
          </w:tcPr>
          <w:p w14:paraId="268FF61A">
            <w:pPr>
              <w:rPr>
                <w:rFonts w:ascii="Arial"/>
                <w:sz w:val="21"/>
              </w:rPr>
            </w:pPr>
          </w:p>
        </w:tc>
      </w:tr>
      <w:tr w14:paraId="5BAA39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3" w:hRule="atLeast"/>
        </w:trPr>
        <w:tc>
          <w:tcPr>
            <w:tcW w:w="547" w:type="dxa"/>
            <w:vAlign w:val="top"/>
          </w:tcPr>
          <w:p w14:paraId="2A14AABD">
            <w:pPr>
              <w:rPr>
                <w:rFonts w:ascii="Arial"/>
                <w:sz w:val="21"/>
              </w:rPr>
            </w:pPr>
          </w:p>
        </w:tc>
        <w:tc>
          <w:tcPr>
            <w:tcW w:w="1842" w:type="dxa"/>
            <w:vAlign w:val="top"/>
          </w:tcPr>
          <w:p w14:paraId="4A9AB6E5">
            <w:pPr>
              <w:rPr>
                <w:rFonts w:ascii="Arial"/>
                <w:sz w:val="21"/>
              </w:rPr>
            </w:pPr>
          </w:p>
        </w:tc>
        <w:tc>
          <w:tcPr>
            <w:tcW w:w="1397" w:type="dxa"/>
            <w:vAlign w:val="top"/>
          </w:tcPr>
          <w:p w14:paraId="0D0AC5CE">
            <w:pPr>
              <w:rPr>
                <w:rFonts w:ascii="Arial"/>
                <w:sz w:val="21"/>
              </w:rPr>
            </w:pPr>
          </w:p>
        </w:tc>
        <w:tc>
          <w:tcPr>
            <w:tcW w:w="1080" w:type="dxa"/>
            <w:vAlign w:val="top"/>
          </w:tcPr>
          <w:p w14:paraId="5723A54F">
            <w:pPr>
              <w:rPr>
                <w:rFonts w:ascii="Arial"/>
                <w:sz w:val="21"/>
              </w:rPr>
            </w:pPr>
          </w:p>
        </w:tc>
        <w:tc>
          <w:tcPr>
            <w:tcW w:w="1108" w:type="dxa"/>
            <w:vAlign w:val="top"/>
          </w:tcPr>
          <w:p w14:paraId="0E16FBF4">
            <w:pPr>
              <w:rPr>
                <w:rFonts w:ascii="Arial"/>
                <w:sz w:val="21"/>
              </w:rPr>
            </w:pPr>
          </w:p>
        </w:tc>
        <w:tc>
          <w:tcPr>
            <w:tcW w:w="1781" w:type="dxa"/>
            <w:vAlign w:val="top"/>
          </w:tcPr>
          <w:p w14:paraId="729EF757">
            <w:pPr>
              <w:rPr>
                <w:rFonts w:ascii="Arial"/>
                <w:sz w:val="21"/>
              </w:rPr>
            </w:pPr>
          </w:p>
        </w:tc>
        <w:tc>
          <w:tcPr>
            <w:tcW w:w="1084" w:type="dxa"/>
            <w:vAlign w:val="top"/>
          </w:tcPr>
          <w:p w14:paraId="4A5B76C2">
            <w:pPr>
              <w:rPr>
                <w:rFonts w:ascii="Arial"/>
                <w:sz w:val="21"/>
              </w:rPr>
            </w:pPr>
          </w:p>
        </w:tc>
      </w:tr>
      <w:tr w14:paraId="5E46C7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3" w:hRule="atLeast"/>
        </w:trPr>
        <w:tc>
          <w:tcPr>
            <w:tcW w:w="547" w:type="dxa"/>
            <w:vAlign w:val="top"/>
          </w:tcPr>
          <w:p w14:paraId="45B36BE0">
            <w:pPr>
              <w:rPr>
                <w:rFonts w:ascii="Arial"/>
                <w:sz w:val="21"/>
              </w:rPr>
            </w:pPr>
          </w:p>
        </w:tc>
        <w:tc>
          <w:tcPr>
            <w:tcW w:w="1842" w:type="dxa"/>
            <w:vAlign w:val="top"/>
          </w:tcPr>
          <w:p w14:paraId="324B6305">
            <w:pPr>
              <w:rPr>
                <w:rFonts w:ascii="Arial"/>
                <w:sz w:val="21"/>
              </w:rPr>
            </w:pPr>
          </w:p>
        </w:tc>
        <w:tc>
          <w:tcPr>
            <w:tcW w:w="1397" w:type="dxa"/>
            <w:vAlign w:val="top"/>
          </w:tcPr>
          <w:p w14:paraId="6DE2A2F5">
            <w:pPr>
              <w:rPr>
                <w:rFonts w:ascii="Arial"/>
                <w:sz w:val="21"/>
              </w:rPr>
            </w:pPr>
          </w:p>
        </w:tc>
        <w:tc>
          <w:tcPr>
            <w:tcW w:w="1080" w:type="dxa"/>
            <w:vAlign w:val="top"/>
          </w:tcPr>
          <w:p w14:paraId="6DC41311">
            <w:pPr>
              <w:rPr>
                <w:rFonts w:ascii="Arial"/>
                <w:sz w:val="21"/>
              </w:rPr>
            </w:pPr>
          </w:p>
        </w:tc>
        <w:tc>
          <w:tcPr>
            <w:tcW w:w="1108" w:type="dxa"/>
            <w:vAlign w:val="top"/>
          </w:tcPr>
          <w:p w14:paraId="0D938DF2">
            <w:pPr>
              <w:rPr>
                <w:rFonts w:ascii="Arial"/>
                <w:sz w:val="21"/>
              </w:rPr>
            </w:pPr>
          </w:p>
        </w:tc>
        <w:tc>
          <w:tcPr>
            <w:tcW w:w="1781" w:type="dxa"/>
            <w:vAlign w:val="top"/>
          </w:tcPr>
          <w:p w14:paraId="7903912A">
            <w:pPr>
              <w:rPr>
                <w:rFonts w:ascii="Arial"/>
                <w:sz w:val="21"/>
              </w:rPr>
            </w:pPr>
          </w:p>
        </w:tc>
        <w:tc>
          <w:tcPr>
            <w:tcW w:w="1084" w:type="dxa"/>
            <w:vAlign w:val="top"/>
          </w:tcPr>
          <w:p w14:paraId="61D7FDF6">
            <w:pPr>
              <w:rPr>
                <w:rFonts w:ascii="Arial"/>
                <w:sz w:val="21"/>
              </w:rPr>
            </w:pPr>
          </w:p>
        </w:tc>
      </w:tr>
    </w:tbl>
    <w:p w14:paraId="3BE1E46A">
      <w:pPr>
        <w:pStyle w:val="3"/>
      </w:pPr>
    </w:p>
    <w:p w14:paraId="611DE815">
      <w:pPr>
        <w:sectPr>
          <w:footerReference r:id="rId215" w:type="default"/>
          <w:pgSz w:w="11905" w:h="16839"/>
          <w:pgMar w:top="400" w:right="1527" w:bottom="1004" w:left="1531" w:header="0" w:footer="828" w:gutter="0"/>
          <w:pgNumType w:fmt="decimal"/>
          <w:cols w:space="720" w:num="1"/>
        </w:sectPr>
      </w:pPr>
    </w:p>
    <w:p w14:paraId="3E559B61">
      <w:pPr>
        <w:pStyle w:val="3"/>
        <w:spacing w:line="267" w:lineRule="auto"/>
      </w:pPr>
    </w:p>
    <w:p w14:paraId="734A9CCD">
      <w:pPr>
        <w:pStyle w:val="3"/>
        <w:spacing w:line="268" w:lineRule="auto"/>
      </w:pPr>
    </w:p>
    <w:p w14:paraId="35B26DDA">
      <w:pPr>
        <w:pStyle w:val="3"/>
        <w:spacing w:line="268" w:lineRule="auto"/>
      </w:pPr>
    </w:p>
    <w:p w14:paraId="39E1C496">
      <w:pPr>
        <w:pStyle w:val="3"/>
        <w:spacing w:line="268" w:lineRule="auto"/>
      </w:pPr>
    </w:p>
    <w:p w14:paraId="275FFCCD">
      <w:pPr>
        <w:spacing w:before="78" w:line="218" w:lineRule="auto"/>
        <w:ind w:left="2546"/>
        <w:rPr>
          <w:rFonts w:ascii="黑体" w:hAnsi="黑体" w:eastAsia="黑体" w:cs="黑体"/>
          <w:sz w:val="24"/>
          <w:szCs w:val="24"/>
        </w:rPr>
      </w:pPr>
      <w:bookmarkStart w:id="1337" w:name="bookmark322"/>
      <w:bookmarkEnd w:id="1337"/>
      <w:r>
        <w:rPr>
          <w:rFonts w:ascii="Times New Roman" w:hAnsi="Times New Roman" w:eastAsia="Times New Roman" w:cs="Times New Roman"/>
          <w:spacing w:val="-1"/>
          <w:sz w:val="24"/>
          <w:szCs w:val="24"/>
        </w:rPr>
        <w:t xml:space="preserve">3-2 </w:t>
      </w:r>
      <w:r>
        <w:rPr>
          <w:rFonts w:ascii="黑体" w:hAnsi="黑体" w:eastAsia="黑体" w:cs="黑体"/>
          <w:spacing w:val="-1"/>
          <w:sz w:val="24"/>
          <w:szCs w:val="24"/>
        </w:rPr>
        <w:t>近年完成的类似项目情况表</w:t>
      </w:r>
    </w:p>
    <w:p w14:paraId="65CA27B6">
      <w:pPr>
        <w:spacing w:before="199"/>
      </w:pPr>
    </w:p>
    <w:tbl>
      <w:tblPr>
        <w:tblStyle w:val="10"/>
        <w:tblW w:w="8311"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370"/>
        <w:gridCol w:w="5941"/>
      </w:tblGrid>
      <w:tr w14:paraId="6DDB1B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4" w:hRule="atLeast"/>
        </w:trPr>
        <w:tc>
          <w:tcPr>
            <w:tcW w:w="2370" w:type="dxa"/>
            <w:vAlign w:val="top"/>
          </w:tcPr>
          <w:p w14:paraId="0EB78FD5">
            <w:pPr>
              <w:pStyle w:val="11"/>
              <w:spacing w:before="208" w:line="221" w:lineRule="auto"/>
              <w:ind w:left="775"/>
            </w:pPr>
            <w:r>
              <w:rPr>
                <w:spacing w:val="-2"/>
              </w:rPr>
              <w:t>项目名称</w:t>
            </w:r>
          </w:p>
        </w:tc>
        <w:tc>
          <w:tcPr>
            <w:tcW w:w="5941" w:type="dxa"/>
            <w:vAlign w:val="top"/>
          </w:tcPr>
          <w:p w14:paraId="3CEC94C2">
            <w:pPr>
              <w:rPr>
                <w:rFonts w:ascii="Arial"/>
                <w:sz w:val="21"/>
              </w:rPr>
            </w:pPr>
          </w:p>
        </w:tc>
      </w:tr>
      <w:tr w14:paraId="3A3CA7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2370" w:type="dxa"/>
            <w:vAlign w:val="top"/>
          </w:tcPr>
          <w:p w14:paraId="7D9C98DD">
            <w:pPr>
              <w:pStyle w:val="11"/>
              <w:spacing w:before="207" w:line="221" w:lineRule="auto"/>
              <w:ind w:left="669"/>
            </w:pPr>
            <w:r>
              <w:rPr>
                <w:spacing w:val="-1"/>
              </w:rPr>
              <w:t>项目所在地</w:t>
            </w:r>
          </w:p>
        </w:tc>
        <w:tc>
          <w:tcPr>
            <w:tcW w:w="5941" w:type="dxa"/>
            <w:vAlign w:val="top"/>
          </w:tcPr>
          <w:p w14:paraId="730F6132">
            <w:pPr>
              <w:rPr>
                <w:rFonts w:ascii="Arial"/>
                <w:sz w:val="21"/>
              </w:rPr>
            </w:pPr>
          </w:p>
        </w:tc>
      </w:tr>
      <w:tr w14:paraId="578503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2370" w:type="dxa"/>
            <w:vAlign w:val="top"/>
          </w:tcPr>
          <w:p w14:paraId="23F8558A">
            <w:pPr>
              <w:pStyle w:val="11"/>
              <w:spacing w:before="208" w:line="221" w:lineRule="auto"/>
              <w:ind w:left="669"/>
            </w:pPr>
            <w:r>
              <w:rPr>
                <w:spacing w:val="-1"/>
              </w:rPr>
              <w:t>发包人名称</w:t>
            </w:r>
          </w:p>
        </w:tc>
        <w:tc>
          <w:tcPr>
            <w:tcW w:w="5941" w:type="dxa"/>
            <w:vAlign w:val="top"/>
          </w:tcPr>
          <w:p w14:paraId="5CF83CE0">
            <w:pPr>
              <w:rPr>
                <w:rFonts w:ascii="Arial"/>
                <w:sz w:val="21"/>
              </w:rPr>
            </w:pPr>
          </w:p>
        </w:tc>
      </w:tr>
      <w:tr w14:paraId="4AA17F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2370" w:type="dxa"/>
            <w:vAlign w:val="top"/>
          </w:tcPr>
          <w:p w14:paraId="467B77C7">
            <w:pPr>
              <w:pStyle w:val="11"/>
              <w:spacing w:before="209" w:line="221" w:lineRule="auto"/>
              <w:ind w:left="669"/>
            </w:pPr>
            <w:r>
              <w:rPr>
                <w:spacing w:val="-1"/>
              </w:rPr>
              <w:t>发包人地址</w:t>
            </w:r>
          </w:p>
        </w:tc>
        <w:tc>
          <w:tcPr>
            <w:tcW w:w="5941" w:type="dxa"/>
            <w:vAlign w:val="top"/>
          </w:tcPr>
          <w:p w14:paraId="4669579F">
            <w:pPr>
              <w:rPr>
                <w:rFonts w:ascii="Arial"/>
                <w:sz w:val="21"/>
              </w:rPr>
            </w:pPr>
          </w:p>
        </w:tc>
      </w:tr>
      <w:tr w14:paraId="0DDECD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2370" w:type="dxa"/>
            <w:vAlign w:val="top"/>
          </w:tcPr>
          <w:p w14:paraId="6BBFCD9C">
            <w:pPr>
              <w:pStyle w:val="11"/>
              <w:spacing w:before="208" w:line="221" w:lineRule="auto"/>
              <w:ind w:left="251"/>
            </w:pPr>
            <w:r>
              <w:rPr>
                <w:spacing w:val="-1"/>
              </w:rPr>
              <w:t>发包人联系人及电话</w:t>
            </w:r>
          </w:p>
        </w:tc>
        <w:tc>
          <w:tcPr>
            <w:tcW w:w="5941" w:type="dxa"/>
            <w:vAlign w:val="top"/>
          </w:tcPr>
          <w:p w14:paraId="60177D24">
            <w:pPr>
              <w:rPr>
                <w:rFonts w:ascii="Arial"/>
                <w:sz w:val="21"/>
              </w:rPr>
            </w:pPr>
          </w:p>
        </w:tc>
      </w:tr>
      <w:tr w14:paraId="56E0F1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2370" w:type="dxa"/>
            <w:vAlign w:val="top"/>
          </w:tcPr>
          <w:p w14:paraId="73C462E4">
            <w:pPr>
              <w:pStyle w:val="11"/>
              <w:spacing w:before="209" w:line="219" w:lineRule="auto"/>
              <w:ind w:left="460"/>
            </w:pPr>
            <w:r>
              <w:rPr>
                <w:spacing w:val="-3"/>
              </w:rPr>
              <w:t>合同价格（元）</w:t>
            </w:r>
          </w:p>
        </w:tc>
        <w:tc>
          <w:tcPr>
            <w:tcW w:w="5941" w:type="dxa"/>
            <w:vAlign w:val="top"/>
          </w:tcPr>
          <w:p w14:paraId="0AB615F8">
            <w:pPr>
              <w:rPr>
                <w:rFonts w:ascii="Arial"/>
                <w:sz w:val="21"/>
              </w:rPr>
            </w:pPr>
          </w:p>
        </w:tc>
      </w:tr>
      <w:tr w14:paraId="3C9729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4" w:hRule="atLeast"/>
        </w:trPr>
        <w:tc>
          <w:tcPr>
            <w:tcW w:w="2370" w:type="dxa"/>
            <w:vAlign w:val="top"/>
          </w:tcPr>
          <w:p w14:paraId="7FB42C42">
            <w:pPr>
              <w:pStyle w:val="11"/>
              <w:spacing w:before="210" w:line="221" w:lineRule="auto"/>
              <w:ind w:left="772"/>
            </w:pPr>
            <w:r>
              <w:rPr>
                <w:spacing w:val="-1"/>
              </w:rPr>
              <w:t>开工日期</w:t>
            </w:r>
          </w:p>
        </w:tc>
        <w:tc>
          <w:tcPr>
            <w:tcW w:w="5941" w:type="dxa"/>
            <w:vAlign w:val="top"/>
          </w:tcPr>
          <w:p w14:paraId="65618B26">
            <w:pPr>
              <w:rPr>
                <w:rFonts w:ascii="Arial"/>
                <w:sz w:val="21"/>
              </w:rPr>
            </w:pPr>
          </w:p>
        </w:tc>
      </w:tr>
      <w:tr w14:paraId="058FD8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2370" w:type="dxa"/>
            <w:vAlign w:val="top"/>
          </w:tcPr>
          <w:p w14:paraId="1828A90E">
            <w:pPr>
              <w:pStyle w:val="11"/>
              <w:spacing w:before="204" w:line="221" w:lineRule="auto"/>
              <w:ind w:left="772"/>
            </w:pPr>
            <w:r>
              <w:rPr>
                <w:spacing w:val="-1"/>
              </w:rPr>
              <w:t>竣工日期</w:t>
            </w:r>
          </w:p>
        </w:tc>
        <w:tc>
          <w:tcPr>
            <w:tcW w:w="5941" w:type="dxa"/>
            <w:vAlign w:val="top"/>
          </w:tcPr>
          <w:p w14:paraId="0F03E276">
            <w:pPr>
              <w:rPr>
                <w:rFonts w:ascii="Arial"/>
                <w:sz w:val="21"/>
              </w:rPr>
            </w:pPr>
          </w:p>
        </w:tc>
      </w:tr>
      <w:tr w14:paraId="763232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2370" w:type="dxa"/>
            <w:vAlign w:val="top"/>
          </w:tcPr>
          <w:p w14:paraId="7406D3AC">
            <w:pPr>
              <w:pStyle w:val="11"/>
              <w:spacing w:before="204" w:line="221" w:lineRule="auto"/>
              <w:ind w:left="666"/>
            </w:pPr>
            <w:r>
              <w:rPr>
                <w:spacing w:val="-1"/>
              </w:rPr>
              <w:t>承担的工作</w:t>
            </w:r>
          </w:p>
        </w:tc>
        <w:tc>
          <w:tcPr>
            <w:tcW w:w="5941" w:type="dxa"/>
            <w:vAlign w:val="top"/>
          </w:tcPr>
          <w:p w14:paraId="6DF6D11F">
            <w:pPr>
              <w:rPr>
                <w:rFonts w:ascii="Arial"/>
                <w:sz w:val="21"/>
              </w:rPr>
            </w:pPr>
          </w:p>
        </w:tc>
      </w:tr>
      <w:tr w14:paraId="455882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2370" w:type="dxa"/>
            <w:vAlign w:val="top"/>
          </w:tcPr>
          <w:p w14:paraId="78730073">
            <w:pPr>
              <w:pStyle w:val="11"/>
              <w:spacing w:before="205" w:line="221" w:lineRule="auto"/>
              <w:ind w:left="774"/>
            </w:pPr>
            <w:r>
              <w:rPr>
                <w:spacing w:val="-2"/>
              </w:rPr>
              <w:t>工程质量</w:t>
            </w:r>
          </w:p>
        </w:tc>
        <w:tc>
          <w:tcPr>
            <w:tcW w:w="5941" w:type="dxa"/>
            <w:vAlign w:val="top"/>
          </w:tcPr>
          <w:p w14:paraId="3C9C3907">
            <w:pPr>
              <w:rPr>
                <w:rFonts w:ascii="Arial"/>
                <w:sz w:val="21"/>
              </w:rPr>
            </w:pPr>
          </w:p>
        </w:tc>
      </w:tr>
      <w:tr w14:paraId="4BDB73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2370" w:type="dxa"/>
            <w:vAlign w:val="top"/>
          </w:tcPr>
          <w:p w14:paraId="4EE6D76F">
            <w:pPr>
              <w:pStyle w:val="11"/>
              <w:spacing w:before="206" w:line="221" w:lineRule="auto"/>
              <w:ind w:left="775"/>
            </w:pPr>
            <w:r>
              <w:rPr>
                <w:spacing w:val="-2"/>
              </w:rPr>
              <w:t>项目经理</w:t>
            </w:r>
          </w:p>
        </w:tc>
        <w:tc>
          <w:tcPr>
            <w:tcW w:w="5941" w:type="dxa"/>
            <w:vAlign w:val="top"/>
          </w:tcPr>
          <w:p w14:paraId="7C96C61A">
            <w:pPr>
              <w:rPr>
                <w:rFonts w:ascii="Arial"/>
                <w:sz w:val="21"/>
              </w:rPr>
            </w:pPr>
          </w:p>
        </w:tc>
      </w:tr>
      <w:tr w14:paraId="2F1884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2370" w:type="dxa"/>
            <w:vAlign w:val="top"/>
          </w:tcPr>
          <w:p w14:paraId="3FF55CB0">
            <w:pPr>
              <w:pStyle w:val="11"/>
              <w:spacing w:before="206" w:line="221" w:lineRule="auto"/>
              <w:ind w:left="667"/>
            </w:pPr>
            <w:r>
              <w:rPr>
                <w:spacing w:val="-1"/>
              </w:rPr>
              <w:t>技术负责人</w:t>
            </w:r>
          </w:p>
        </w:tc>
        <w:tc>
          <w:tcPr>
            <w:tcW w:w="5941" w:type="dxa"/>
            <w:vAlign w:val="top"/>
          </w:tcPr>
          <w:p w14:paraId="050C3D40">
            <w:pPr>
              <w:rPr>
                <w:rFonts w:ascii="Arial"/>
                <w:sz w:val="21"/>
              </w:rPr>
            </w:pPr>
          </w:p>
        </w:tc>
      </w:tr>
      <w:tr w14:paraId="251E5F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2370" w:type="dxa"/>
            <w:vAlign w:val="top"/>
          </w:tcPr>
          <w:p w14:paraId="58D2D72A">
            <w:pPr>
              <w:pStyle w:val="11"/>
              <w:spacing w:before="206" w:line="221" w:lineRule="auto"/>
              <w:ind w:left="254"/>
            </w:pPr>
            <w:r>
              <w:rPr>
                <w:spacing w:val="-1"/>
              </w:rPr>
              <w:t>总监理工程师及电话</w:t>
            </w:r>
          </w:p>
        </w:tc>
        <w:tc>
          <w:tcPr>
            <w:tcW w:w="5941" w:type="dxa"/>
            <w:vAlign w:val="top"/>
          </w:tcPr>
          <w:p w14:paraId="446965A8">
            <w:pPr>
              <w:rPr>
                <w:rFonts w:ascii="Arial"/>
                <w:sz w:val="21"/>
              </w:rPr>
            </w:pPr>
          </w:p>
        </w:tc>
      </w:tr>
      <w:tr w14:paraId="5BD3C7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0" w:hRule="atLeast"/>
        </w:trPr>
        <w:tc>
          <w:tcPr>
            <w:tcW w:w="2370" w:type="dxa"/>
            <w:vAlign w:val="top"/>
          </w:tcPr>
          <w:p w14:paraId="5F8A98F8">
            <w:pPr>
              <w:pStyle w:val="11"/>
              <w:spacing w:before="298" w:line="221" w:lineRule="auto"/>
              <w:ind w:left="775"/>
            </w:pPr>
            <w:r>
              <w:rPr>
                <w:spacing w:val="-2"/>
              </w:rPr>
              <w:t>项目描述</w:t>
            </w:r>
          </w:p>
        </w:tc>
        <w:tc>
          <w:tcPr>
            <w:tcW w:w="5941" w:type="dxa"/>
            <w:vAlign w:val="top"/>
          </w:tcPr>
          <w:p w14:paraId="71AB7FCD">
            <w:pPr>
              <w:rPr>
                <w:rFonts w:ascii="Arial"/>
                <w:sz w:val="21"/>
              </w:rPr>
            </w:pPr>
          </w:p>
        </w:tc>
      </w:tr>
      <w:tr w14:paraId="22CDF7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4" w:hRule="atLeast"/>
        </w:trPr>
        <w:tc>
          <w:tcPr>
            <w:tcW w:w="2370" w:type="dxa"/>
            <w:vAlign w:val="top"/>
          </w:tcPr>
          <w:p w14:paraId="7857D048">
            <w:pPr>
              <w:pStyle w:val="11"/>
              <w:spacing w:before="208" w:line="222" w:lineRule="auto"/>
              <w:ind w:left="985"/>
            </w:pPr>
            <w:r>
              <w:rPr>
                <w:spacing w:val="-3"/>
              </w:rPr>
              <w:t>备注</w:t>
            </w:r>
          </w:p>
        </w:tc>
        <w:tc>
          <w:tcPr>
            <w:tcW w:w="5941" w:type="dxa"/>
            <w:vAlign w:val="top"/>
          </w:tcPr>
          <w:p w14:paraId="63FFB587">
            <w:pPr>
              <w:rPr>
                <w:rFonts w:ascii="Arial"/>
                <w:sz w:val="21"/>
              </w:rPr>
            </w:pPr>
          </w:p>
        </w:tc>
      </w:tr>
    </w:tbl>
    <w:p w14:paraId="7BAAE955">
      <w:pPr>
        <w:spacing w:before="29" w:line="220" w:lineRule="auto"/>
        <w:ind w:left="338"/>
        <w:rPr>
          <w:rFonts w:ascii="宋体" w:hAnsi="宋体" w:eastAsia="宋体" w:cs="宋体"/>
          <w:sz w:val="21"/>
          <w:szCs w:val="21"/>
        </w:rPr>
      </w:pPr>
      <w:r>
        <w:rPr>
          <w:rFonts w:ascii="宋体" w:hAnsi="宋体" w:eastAsia="宋体" w:cs="宋体"/>
          <w:spacing w:val="-5"/>
          <w:sz w:val="21"/>
          <w:szCs w:val="21"/>
        </w:rPr>
        <w:t>备注： 1.类似项目含义和近年具体要求见投标人须</w:t>
      </w:r>
      <w:r>
        <w:rPr>
          <w:rFonts w:ascii="宋体" w:hAnsi="宋体" w:eastAsia="宋体" w:cs="宋体"/>
          <w:spacing w:val="-6"/>
          <w:sz w:val="21"/>
          <w:szCs w:val="21"/>
        </w:rPr>
        <w:t>知前附表，</w:t>
      </w:r>
    </w:p>
    <w:p w14:paraId="4A07CBB0">
      <w:pPr>
        <w:spacing w:before="18" w:line="220" w:lineRule="auto"/>
        <w:ind w:left="966"/>
        <w:rPr>
          <w:rFonts w:ascii="宋体" w:hAnsi="宋体" w:eastAsia="宋体" w:cs="宋体"/>
          <w:sz w:val="21"/>
          <w:szCs w:val="21"/>
        </w:rPr>
      </w:pPr>
      <w:r>
        <w:rPr>
          <w:rFonts w:ascii="宋体" w:hAnsi="宋体" w:eastAsia="宋体" w:cs="宋体"/>
          <w:spacing w:val="-1"/>
          <w:sz w:val="21"/>
          <w:szCs w:val="21"/>
        </w:rPr>
        <w:t>2.本表后附业绩材料。每张表格只填写一个项目，</w:t>
      </w:r>
      <w:r>
        <w:rPr>
          <w:rFonts w:ascii="宋体" w:hAnsi="宋体" w:eastAsia="宋体" w:cs="宋体"/>
          <w:spacing w:val="-2"/>
          <w:sz w:val="21"/>
          <w:szCs w:val="21"/>
        </w:rPr>
        <w:t>并标明序号。</w:t>
      </w:r>
    </w:p>
    <w:p w14:paraId="51543EBF">
      <w:pPr>
        <w:spacing w:line="220" w:lineRule="auto"/>
        <w:rPr>
          <w:rFonts w:ascii="宋体" w:hAnsi="宋体" w:eastAsia="宋体" w:cs="宋体"/>
          <w:sz w:val="21"/>
          <w:szCs w:val="21"/>
        </w:rPr>
        <w:sectPr>
          <w:footerReference r:id="rId216" w:type="default"/>
          <w:pgSz w:w="11905" w:h="16839"/>
          <w:pgMar w:top="400" w:right="1785" w:bottom="1004" w:left="1785" w:header="0" w:footer="828" w:gutter="0"/>
          <w:pgNumType w:fmt="decimal"/>
          <w:cols w:space="720" w:num="1"/>
        </w:sectPr>
      </w:pPr>
    </w:p>
    <w:p w14:paraId="1BCD549F">
      <w:pPr>
        <w:pStyle w:val="3"/>
        <w:spacing w:line="267" w:lineRule="auto"/>
      </w:pPr>
    </w:p>
    <w:p w14:paraId="002FD2CE">
      <w:pPr>
        <w:pStyle w:val="3"/>
        <w:spacing w:line="268" w:lineRule="auto"/>
      </w:pPr>
    </w:p>
    <w:p w14:paraId="11CB557B">
      <w:pPr>
        <w:pStyle w:val="3"/>
        <w:spacing w:line="268" w:lineRule="auto"/>
      </w:pPr>
    </w:p>
    <w:p w14:paraId="22C2270E">
      <w:pPr>
        <w:pStyle w:val="3"/>
        <w:spacing w:line="268" w:lineRule="auto"/>
      </w:pPr>
    </w:p>
    <w:p w14:paraId="19C758A9">
      <w:pPr>
        <w:spacing w:before="78" w:line="398" w:lineRule="exact"/>
        <w:ind w:left="2406"/>
        <w:rPr>
          <w:rFonts w:ascii="黑体" w:hAnsi="黑体" w:eastAsia="黑体" w:cs="黑体"/>
          <w:sz w:val="24"/>
          <w:szCs w:val="24"/>
        </w:rPr>
      </w:pPr>
      <w:r>
        <w:rPr>
          <w:rFonts w:ascii="黑体" w:hAnsi="黑体" w:eastAsia="黑体" w:cs="黑体"/>
          <w:spacing w:val="-2"/>
          <w:position w:val="11"/>
          <w:sz w:val="24"/>
          <w:szCs w:val="24"/>
        </w:rPr>
        <w:t>（四）正在施工的和新承接的项目情况</w:t>
      </w:r>
    </w:p>
    <w:p w14:paraId="4328A80F">
      <w:pPr>
        <w:spacing w:line="218" w:lineRule="auto"/>
        <w:ind w:left="2433"/>
        <w:rPr>
          <w:rFonts w:ascii="黑体" w:hAnsi="黑体" w:eastAsia="黑体" w:cs="黑体"/>
          <w:sz w:val="24"/>
          <w:szCs w:val="24"/>
        </w:rPr>
      </w:pPr>
      <w:r>
        <w:rPr>
          <w:rFonts w:ascii="Times New Roman" w:hAnsi="Times New Roman" w:eastAsia="Times New Roman" w:cs="Times New Roman"/>
          <w:spacing w:val="-3"/>
          <w:sz w:val="24"/>
          <w:szCs w:val="24"/>
        </w:rPr>
        <w:t>4-</w:t>
      </w:r>
      <w:r>
        <w:rPr>
          <w:rFonts w:ascii="Times New Roman" w:hAnsi="Times New Roman" w:eastAsia="Times New Roman" w:cs="Times New Roman"/>
          <w:spacing w:val="-23"/>
          <w:sz w:val="24"/>
          <w:szCs w:val="24"/>
        </w:rPr>
        <w:t xml:space="preserve"> </w:t>
      </w:r>
      <w:r>
        <w:rPr>
          <w:rFonts w:ascii="Times New Roman" w:hAnsi="Times New Roman" w:eastAsia="Times New Roman" w:cs="Times New Roman"/>
          <w:spacing w:val="-3"/>
          <w:sz w:val="24"/>
          <w:szCs w:val="24"/>
        </w:rPr>
        <w:t>1</w:t>
      </w:r>
      <w:r>
        <w:rPr>
          <w:rFonts w:ascii="Times New Roman" w:hAnsi="Times New Roman" w:eastAsia="Times New Roman" w:cs="Times New Roman"/>
          <w:spacing w:val="17"/>
          <w:w w:val="101"/>
          <w:sz w:val="24"/>
          <w:szCs w:val="24"/>
        </w:rPr>
        <w:t xml:space="preserve"> </w:t>
      </w:r>
      <w:r>
        <w:rPr>
          <w:rFonts w:ascii="黑体" w:hAnsi="黑体" w:eastAsia="黑体" w:cs="黑体"/>
          <w:spacing w:val="-3"/>
          <w:sz w:val="24"/>
          <w:szCs w:val="24"/>
        </w:rPr>
        <w:t>正在施工的和新承接的项目汇总表</w:t>
      </w:r>
    </w:p>
    <w:p w14:paraId="1AB7D02E">
      <w:pPr>
        <w:spacing w:line="44" w:lineRule="auto"/>
        <w:rPr>
          <w:rFonts w:ascii="Arial"/>
          <w:sz w:val="2"/>
        </w:rPr>
      </w:pPr>
    </w:p>
    <w:tbl>
      <w:tblPr>
        <w:tblStyle w:val="10"/>
        <w:tblW w:w="8839"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47"/>
        <w:gridCol w:w="1842"/>
        <w:gridCol w:w="1397"/>
        <w:gridCol w:w="1080"/>
        <w:gridCol w:w="1108"/>
        <w:gridCol w:w="1781"/>
        <w:gridCol w:w="1084"/>
      </w:tblGrid>
      <w:tr w14:paraId="33E507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6" w:hRule="atLeast"/>
        </w:trPr>
        <w:tc>
          <w:tcPr>
            <w:tcW w:w="547" w:type="dxa"/>
            <w:textDirection w:val="tbRlV"/>
            <w:vAlign w:val="top"/>
          </w:tcPr>
          <w:p w14:paraId="3FE094EA">
            <w:pPr>
              <w:pStyle w:val="11"/>
              <w:spacing w:before="167" w:line="211" w:lineRule="auto"/>
              <w:ind w:left="159"/>
            </w:pPr>
            <w:r>
              <w:rPr>
                <w:spacing w:val="1"/>
              </w:rPr>
              <w:t>序</w:t>
            </w:r>
            <w:r>
              <w:rPr>
                <w:spacing w:val="82"/>
              </w:rPr>
              <w:t xml:space="preserve"> </w:t>
            </w:r>
            <w:r>
              <w:rPr>
                <w:spacing w:val="1"/>
              </w:rPr>
              <w:t>号</w:t>
            </w:r>
          </w:p>
        </w:tc>
        <w:tc>
          <w:tcPr>
            <w:tcW w:w="1842" w:type="dxa"/>
            <w:vAlign w:val="top"/>
          </w:tcPr>
          <w:p w14:paraId="0B0A5134">
            <w:pPr>
              <w:spacing w:line="286" w:lineRule="auto"/>
              <w:rPr>
                <w:rFonts w:ascii="Arial"/>
                <w:sz w:val="21"/>
              </w:rPr>
            </w:pPr>
          </w:p>
          <w:p w14:paraId="4D9491EA">
            <w:pPr>
              <w:pStyle w:val="11"/>
              <w:spacing w:before="69" w:line="221" w:lineRule="auto"/>
              <w:ind w:left="506"/>
            </w:pPr>
            <w:r>
              <w:rPr>
                <w:spacing w:val="-2"/>
              </w:rPr>
              <w:t>项目名称</w:t>
            </w:r>
          </w:p>
        </w:tc>
        <w:tc>
          <w:tcPr>
            <w:tcW w:w="1397" w:type="dxa"/>
            <w:vAlign w:val="top"/>
          </w:tcPr>
          <w:p w14:paraId="77AF37B8">
            <w:pPr>
              <w:spacing w:line="286" w:lineRule="auto"/>
              <w:rPr>
                <w:rFonts w:ascii="Arial"/>
                <w:sz w:val="21"/>
              </w:rPr>
            </w:pPr>
          </w:p>
          <w:p w14:paraId="1B225855">
            <w:pPr>
              <w:pStyle w:val="11"/>
              <w:spacing w:before="69" w:line="221" w:lineRule="auto"/>
              <w:ind w:left="181"/>
            </w:pPr>
            <w:r>
              <w:rPr>
                <w:spacing w:val="-1"/>
              </w:rPr>
              <w:t>发包人名称</w:t>
            </w:r>
          </w:p>
        </w:tc>
        <w:tc>
          <w:tcPr>
            <w:tcW w:w="1080" w:type="dxa"/>
            <w:vAlign w:val="top"/>
          </w:tcPr>
          <w:p w14:paraId="6DB0D1D7">
            <w:pPr>
              <w:spacing w:line="286" w:lineRule="auto"/>
              <w:rPr>
                <w:rFonts w:ascii="Arial"/>
                <w:sz w:val="21"/>
              </w:rPr>
            </w:pPr>
          </w:p>
          <w:p w14:paraId="21236F98">
            <w:pPr>
              <w:pStyle w:val="11"/>
              <w:spacing w:before="68" w:line="221" w:lineRule="auto"/>
              <w:ind w:left="123"/>
            </w:pPr>
            <w:r>
              <w:rPr>
                <w:spacing w:val="-2"/>
              </w:rPr>
              <w:t>工程规模</w:t>
            </w:r>
          </w:p>
        </w:tc>
        <w:tc>
          <w:tcPr>
            <w:tcW w:w="1108" w:type="dxa"/>
            <w:vAlign w:val="top"/>
          </w:tcPr>
          <w:p w14:paraId="459CEC3B">
            <w:pPr>
              <w:pStyle w:val="11"/>
              <w:spacing w:before="159" w:line="399" w:lineRule="exact"/>
              <w:ind w:left="141"/>
            </w:pPr>
            <w:r>
              <w:rPr>
                <w:spacing w:val="-1"/>
                <w:position w:val="14"/>
              </w:rPr>
              <w:t>合同价格</w:t>
            </w:r>
          </w:p>
          <w:p w14:paraId="361B97AD">
            <w:pPr>
              <w:pStyle w:val="11"/>
              <w:spacing w:line="209" w:lineRule="auto"/>
              <w:ind w:left="199"/>
            </w:pPr>
            <w:r>
              <w:rPr>
                <w:spacing w:val="-6"/>
              </w:rPr>
              <w:t>（元）</w:t>
            </w:r>
          </w:p>
        </w:tc>
        <w:tc>
          <w:tcPr>
            <w:tcW w:w="1781" w:type="dxa"/>
            <w:vAlign w:val="top"/>
          </w:tcPr>
          <w:p w14:paraId="7A9C4B30">
            <w:pPr>
              <w:pStyle w:val="11"/>
              <w:spacing w:before="159" w:line="399" w:lineRule="exact"/>
              <w:ind w:left="372"/>
            </w:pPr>
            <w:r>
              <w:rPr>
                <w:spacing w:val="-1"/>
                <w:position w:val="14"/>
              </w:rPr>
              <w:t>计划开、竣</w:t>
            </w:r>
          </w:p>
          <w:p w14:paraId="5A3C944C">
            <w:pPr>
              <w:pStyle w:val="11"/>
              <w:spacing w:line="209" w:lineRule="auto"/>
              <w:ind w:left="586"/>
            </w:pPr>
            <w:r>
              <w:rPr>
                <w:spacing w:val="-2"/>
              </w:rPr>
              <w:t>工日期</w:t>
            </w:r>
          </w:p>
        </w:tc>
        <w:tc>
          <w:tcPr>
            <w:tcW w:w="1084" w:type="dxa"/>
            <w:vAlign w:val="top"/>
          </w:tcPr>
          <w:p w14:paraId="0823A363">
            <w:pPr>
              <w:spacing w:line="286" w:lineRule="auto"/>
              <w:rPr>
                <w:rFonts w:ascii="Arial"/>
                <w:sz w:val="21"/>
              </w:rPr>
            </w:pPr>
          </w:p>
          <w:p w14:paraId="0003421F">
            <w:pPr>
              <w:pStyle w:val="11"/>
              <w:spacing w:before="69" w:line="221" w:lineRule="auto"/>
              <w:ind w:left="131"/>
            </w:pPr>
            <w:r>
              <w:rPr>
                <w:spacing w:val="-2"/>
              </w:rPr>
              <w:t>项目经理</w:t>
            </w:r>
          </w:p>
        </w:tc>
      </w:tr>
      <w:tr w14:paraId="5A4692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8" w:hRule="atLeast"/>
        </w:trPr>
        <w:tc>
          <w:tcPr>
            <w:tcW w:w="547" w:type="dxa"/>
            <w:vAlign w:val="top"/>
          </w:tcPr>
          <w:p w14:paraId="4298282F">
            <w:pPr>
              <w:rPr>
                <w:rFonts w:ascii="Arial"/>
                <w:sz w:val="21"/>
              </w:rPr>
            </w:pPr>
          </w:p>
        </w:tc>
        <w:tc>
          <w:tcPr>
            <w:tcW w:w="1842" w:type="dxa"/>
            <w:vAlign w:val="top"/>
          </w:tcPr>
          <w:p w14:paraId="4AA2E337">
            <w:pPr>
              <w:rPr>
                <w:rFonts w:ascii="Arial"/>
                <w:sz w:val="21"/>
              </w:rPr>
            </w:pPr>
          </w:p>
        </w:tc>
        <w:tc>
          <w:tcPr>
            <w:tcW w:w="1397" w:type="dxa"/>
            <w:vAlign w:val="top"/>
          </w:tcPr>
          <w:p w14:paraId="50A7498A">
            <w:pPr>
              <w:rPr>
                <w:rFonts w:ascii="Arial"/>
                <w:sz w:val="21"/>
              </w:rPr>
            </w:pPr>
          </w:p>
        </w:tc>
        <w:tc>
          <w:tcPr>
            <w:tcW w:w="1080" w:type="dxa"/>
            <w:vAlign w:val="top"/>
          </w:tcPr>
          <w:p w14:paraId="61B2D399">
            <w:pPr>
              <w:rPr>
                <w:rFonts w:ascii="Arial"/>
                <w:sz w:val="21"/>
              </w:rPr>
            </w:pPr>
          </w:p>
        </w:tc>
        <w:tc>
          <w:tcPr>
            <w:tcW w:w="1108" w:type="dxa"/>
            <w:vAlign w:val="top"/>
          </w:tcPr>
          <w:p w14:paraId="0EDF29E8">
            <w:pPr>
              <w:rPr>
                <w:rFonts w:ascii="Arial"/>
                <w:sz w:val="21"/>
              </w:rPr>
            </w:pPr>
          </w:p>
        </w:tc>
        <w:tc>
          <w:tcPr>
            <w:tcW w:w="1781" w:type="dxa"/>
            <w:vAlign w:val="top"/>
          </w:tcPr>
          <w:p w14:paraId="50FD0FAB">
            <w:pPr>
              <w:rPr>
                <w:rFonts w:ascii="Arial"/>
                <w:sz w:val="21"/>
              </w:rPr>
            </w:pPr>
          </w:p>
        </w:tc>
        <w:tc>
          <w:tcPr>
            <w:tcW w:w="1084" w:type="dxa"/>
            <w:vAlign w:val="top"/>
          </w:tcPr>
          <w:p w14:paraId="7538FAFD">
            <w:pPr>
              <w:rPr>
                <w:rFonts w:ascii="Arial"/>
                <w:sz w:val="21"/>
              </w:rPr>
            </w:pPr>
          </w:p>
        </w:tc>
      </w:tr>
      <w:tr w14:paraId="16A6CA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3" w:hRule="atLeast"/>
        </w:trPr>
        <w:tc>
          <w:tcPr>
            <w:tcW w:w="547" w:type="dxa"/>
            <w:vAlign w:val="top"/>
          </w:tcPr>
          <w:p w14:paraId="72429D37">
            <w:pPr>
              <w:rPr>
                <w:rFonts w:ascii="Arial"/>
                <w:sz w:val="21"/>
              </w:rPr>
            </w:pPr>
          </w:p>
        </w:tc>
        <w:tc>
          <w:tcPr>
            <w:tcW w:w="1842" w:type="dxa"/>
            <w:vAlign w:val="top"/>
          </w:tcPr>
          <w:p w14:paraId="3F543D54">
            <w:pPr>
              <w:rPr>
                <w:rFonts w:ascii="Arial"/>
                <w:sz w:val="21"/>
              </w:rPr>
            </w:pPr>
          </w:p>
        </w:tc>
        <w:tc>
          <w:tcPr>
            <w:tcW w:w="1397" w:type="dxa"/>
            <w:vAlign w:val="top"/>
          </w:tcPr>
          <w:p w14:paraId="7B10ADAF">
            <w:pPr>
              <w:rPr>
                <w:rFonts w:ascii="Arial"/>
                <w:sz w:val="21"/>
              </w:rPr>
            </w:pPr>
          </w:p>
        </w:tc>
        <w:tc>
          <w:tcPr>
            <w:tcW w:w="1080" w:type="dxa"/>
            <w:vAlign w:val="top"/>
          </w:tcPr>
          <w:p w14:paraId="7FEFA9A5">
            <w:pPr>
              <w:rPr>
                <w:rFonts w:ascii="Arial"/>
                <w:sz w:val="21"/>
              </w:rPr>
            </w:pPr>
          </w:p>
        </w:tc>
        <w:tc>
          <w:tcPr>
            <w:tcW w:w="1108" w:type="dxa"/>
            <w:vAlign w:val="top"/>
          </w:tcPr>
          <w:p w14:paraId="2272B879">
            <w:pPr>
              <w:rPr>
                <w:rFonts w:ascii="Arial"/>
                <w:sz w:val="21"/>
              </w:rPr>
            </w:pPr>
          </w:p>
        </w:tc>
        <w:tc>
          <w:tcPr>
            <w:tcW w:w="1781" w:type="dxa"/>
            <w:vAlign w:val="top"/>
          </w:tcPr>
          <w:p w14:paraId="351007A4">
            <w:pPr>
              <w:rPr>
                <w:rFonts w:ascii="Arial"/>
                <w:sz w:val="21"/>
              </w:rPr>
            </w:pPr>
          </w:p>
        </w:tc>
        <w:tc>
          <w:tcPr>
            <w:tcW w:w="1084" w:type="dxa"/>
            <w:vAlign w:val="top"/>
          </w:tcPr>
          <w:p w14:paraId="586DC52D">
            <w:pPr>
              <w:rPr>
                <w:rFonts w:ascii="Arial"/>
                <w:sz w:val="21"/>
              </w:rPr>
            </w:pPr>
          </w:p>
        </w:tc>
      </w:tr>
      <w:tr w14:paraId="4E24C7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4" w:hRule="atLeast"/>
        </w:trPr>
        <w:tc>
          <w:tcPr>
            <w:tcW w:w="547" w:type="dxa"/>
            <w:vAlign w:val="top"/>
          </w:tcPr>
          <w:p w14:paraId="516AD240">
            <w:pPr>
              <w:rPr>
                <w:rFonts w:ascii="Arial"/>
                <w:sz w:val="21"/>
              </w:rPr>
            </w:pPr>
          </w:p>
        </w:tc>
        <w:tc>
          <w:tcPr>
            <w:tcW w:w="1842" w:type="dxa"/>
            <w:vAlign w:val="top"/>
          </w:tcPr>
          <w:p w14:paraId="7D2AC9B5">
            <w:pPr>
              <w:rPr>
                <w:rFonts w:ascii="Arial"/>
                <w:sz w:val="21"/>
              </w:rPr>
            </w:pPr>
          </w:p>
        </w:tc>
        <w:tc>
          <w:tcPr>
            <w:tcW w:w="1397" w:type="dxa"/>
            <w:vAlign w:val="top"/>
          </w:tcPr>
          <w:p w14:paraId="2DE745CA">
            <w:pPr>
              <w:rPr>
                <w:rFonts w:ascii="Arial"/>
                <w:sz w:val="21"/>
              </w:rPr>
            </w:pPr>
          </w:p>
        </w:tc>
        <w:tc>
          <w:tcPr>
            <w:tcW w:w="1080" w:type="dxa"/>
            <w:vAlign w:val="top"/>
          </w:tcPr>
          <w:p w14:paraId="0043BE21">
            <w:pPr>
              <w:rPr>
                <w:rFonts w:ascii="Arial"/>
                <w:sz w:val="21"/>
              </w:rPr>
            </w:pPr>
          </w:p>
        </w:tc>
        <w:tc>
          <w:tcPr>
            <w:tcW w:w="1108" w:type="dxa"/>
            <w:vAlign w:val="top"/>
          </w:tcPr>
          <w:p w14:paraId="40B8A1BA">
            <w:pPr>
              <w:rPr>
                <w:rFonts w:ascii="Arial"/>
                <w:sz w:val="21"/>
              </w:rPr>
            </w:pPr>
          </w:p>
        </w:tc>
        <w:tc>
          <w:tcPr>
            <w:tcW w:w="1781" w:type="dxa"/>
            <w:vAlign w:val="top"/>
          </w:tcPr>
          <w:p w14:paraId="38004B21">
            <w:pPr>
              <w:rPr>
                <w:rFonts w:ascii="Arial"/>
                <w:sz w:val="21"/>
              </w:rPr>
            </w:pPr>
          </w:p>
        </w:tc>
        <w:tc>
          <w:tcPr>
            <w:tcW w:w="1084" w:type="dxa"/>
            <w:vAlign w:val="top"/>
          </w:tcPr>
          <w:p w14:paraId="00E40587">
            <w:pPr>
              <w:rPr>
                <w:rFonts w:ascii="Arial"/>
                <w:sz w:val="21"/>
              </w:rPr>
            </w:pPr>
          </w:p>
        </w:tc>
      </w:tr>
      <w:tr w14:paraId="2AF797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8" w:hRule="atLeast"/>
        </w:trPr>
        <w:tc>
          <w:tcPr>
            <w:tcW w:w="547" w:type="dxa"/>
            <w:vAlign w:val="top"/>
          </w:tcPr>
          <w:p w14:paraId="6B217CF7">
            <w:pPr>
              <w:rPr>
                <w:rFonts w:ascii="Arial"/>
                <w:sz w:val="21"/>
              </w:rPr>
            </w:pPr>
          </w:p>
        </w:tc>
        <w:tc>
          <w:tcPr>
            <w:tcW w:w="1842" w:type="dxa"/>
            <w:vAlign w:val="top"/>
          </w:tcPr>
          <w:p w14:paraId="7F755F4B">
            <w:pPr>
              <w:rPr>
                <w:rFonts w:ascii="Arial"/>
                <w:sz w:val="21"/>
              </w:rPr>
            </w:pPr>
          </w:p>
        </w:tc>
        <w:tc>
          <w:tcPr>
            <w:tcW w:w="1397" w:type="dxa"/>
            <w:vAlign w:val="top"/>
          </w:tcPr>
          <w:p w14:paraId="6BBA26FB">
            <w:pPr>
              <w:rPr>
                <w:rFonts w:ascii="Arial"/>
                <w:sz w:val="21"/>
              </w:rPr>
            </w:pPr>
          </w:p>
        </w:tc>
        <w:tc>
          <w:tcPr>
            <w:tcW w:w="1080" w:type="dxa"/>
            <w:vAlign w:val="top"/>
          </w:tcPr>
          <w:p w14:paraId="1A76F72A">
            <w:pPr>
              <w:rPr>
                <w:rFonts w:ascii="Arial"/>
                <w:sz w:val="21"/>
              </w:rPr>
            </w:pPr>
          </w:p>
        </w:tc>
        <w:tc>
          <w:tcPr>
            <w:tcW w:w="1108" w:type="dxa"/>
            <w:vAlign w:val="top"/>
          </w:tcPr>
          <w:p w14:paraId="37FDD7DE">
            <w:pPr>
              <w:rPr>
                <w:rFonts w:ascii="Arial"/>
                <w:sz w:val="21"/>
              </w:rPr>
            </w:pPr>
          </w:p>
        </w:tc>
        <w:tc>
          <w:tcPr>
            <w:tcW w:w="1781" w:type="dxa"/>
            <w:vAlign w:val="top"/>
          </w:tcPr>
          <w:p w14:paraId="18DFCE78">
            <w:pPr>
              <w:rPr>
                <w:rFonts w:ascii="Arial"/>
                <w:sz w:val="21"/>
              </w:rPr>
            </w:pPr>
          </w:p>
        </w:tc>
        <w:tc>
          <w:tcPr>
            <w:tcW w:w="1084" w:type="dxa"/>
            <w:vAlign w:val="top"/>
          </w:tcPr>
          <w:p w14:paraId="5D4BC81E">
            <w:pPr>
              <w:rPr>
                <w:rFonts w:ascii="Arial"/>
                <w:sz w:val="21"/>
              </w:rPr>
            </w:pPr>
          </w:p>
        </w:tc>
      </w:tr>
      <w:tr w14:paraId="280A97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3" w:hRule="atLeast"/>
        </w:trPr>
        <w:tc>
          <w:tcPr>
            <w:tcW w:w="547" w:type="dxa"/>
            <w:vAlign w:val="top"/>
          </w:tcPr>
          <w:p w14:paraId="46022423">
            <w:pPr>
              <w:rPr>
                <w:rFonts w:ascii="Arial"/>
                <w:sz w:val="21"/>
              </w:rPr>
            </w:pPr>
          </w:p>
        </w:tc>
        <w:tc>
          <w:tcPr>
            <w:tcW w:w="1842" w:type="dxa"/>
            <w:vAlign w:val="top"/>
          </w:tcPr>
          <w:p w14:paraId="5233A168">
            <w:pPr>
              <w:rPr>
                <w:rFonts w:ascii="Arial"/>
                <w:sz w:val="21"/>
              </w:rPr>
            </w:pPr>
          </w:p>
        </w:tc>
        <w:tc>
          <w:tcPr>
            <w:tcW w:w="1397" w:type="dxa"/>
            <w:vAlign w:val="top"/>
          </w:tcPr>
          <w:p w14:paraId="1C2C5520">
            <w:pPr>
              <w:rPr>
                <w:rFonts w:ascii="Arial"/>
                <w:sz w:val="21"/>
              </w:rPr>
            </w:pPr>
          </w:p>
        </w:tc>
        <w:tc>
          <w:tcPr>
            <w:tcW w:w="1080" w:type="dxa"/>
            <w:vAlign w:val="top"/>
          </w:tcPr>
          <w:p w14:paraId="11A5237F">
            <w:pPr>
              <w:rPr>
                <w:rFonts w:ascii="Arial"/>
                <w:sz w:val="21"/>
              </w:rPr>
            </w:pPr>
          </w:p>
        </w:tc>
        <w:tc>
          <w:tcPr>
            <w:tcW w:w="1108" w:type="dxa"/>
            <w:vAlign w:val="top"/>
          </w:tcPr>
          <w:p w14:paraId="405352BB">
            <w:pPr>
              <w:rPr>
                <w:rFonts w:ascii="Arial"/>
                <w:sz w:val="21"/>
              </w:rPr>
            </w:pPr>
          </w:p>
        </w:tc>
        <w:tc>
          <w:tcPr>
            <w:tcW w:w="1781" w:type="dxa"/>
            <w:vAlign w:val="top"/>
          </w:tcPr>
          <w:p w14:paraId="3B09B78D">
            <w:pPr>
              <w:rPr>
                <w:rFonts w:ascii="Arial"/>
                <w:sz w:val="21"/>
              </w:rPr>
            </w:pPr>
          </w:p>
        </w:tc>
        <w:tc>
          <w:tcPr>
            <w:tcW w:w="1084" w:type="dxa"/>
            <w:vAlign w:val="top"/>
          </w:tcPr>
          <w:p w14:paraId="2DCDFE34">
            <w:pPr>
              <w:rPr>
                <w:rFonts w:ascii="Arial"/>
                <w:sz w:val="21"/>
              </w:rPr>
            </w:pPr>
          </w:p>
        </w:tc>
      </w:tr>
      <w:tr w14:paraId="2A7EFF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3" w:hRule="atLeast"/>
        </w:trPr>
        <w:tc>
          <w:tcPr>
            <w:tcW w:w="547" w:type="dxa"/>
            <w:vAlign w:val="top"/>
          </w:tcPr>
          <w:p w14:paraId="1737C116">
            <w:pPr>
              <w:rPr>
                <w:rFonts w:ascii="Arial"/>
                <w:sz w:val="21"/>
              </w:rPr>
            </w:pPr>
          </w:p>
        </w:tc>
        <w:tc>
          <w:tcPr>
            <w:tcW w:w="1842" w:type="dxa"/>
            <w:vAlign w:val="top"/>
          </w:tcPr>
          <w:p w14:paraId="5F5049A2">
            <w:pPr>
              <w:rPr>
                <w:rFonts w:ascii="Arial"/>
                <w:sz w:val="21"/>
              </w:rPr>
            </w:pPr>
          </w:p>
        </w:tc>
        <w:tc>
          <w:tcPr>
            <w:tcW w:w="1397" w:type="dxa"/>
            <w:vAlign w:val="top"/>
          </w:tcPr>
          <w:p w14:paraId="7E1B3201">
            <w:pPr>
              <w:rPr>
                <w:rFonts w:ascii="Arial"/>
                <w:sz w:val="21"/>
              </w:rPr>
            </w:pPr>
          </w:p>
        </w:tc>
        <w:tc>
          <w:tcPr>
            <w:tcW w:w="1080" w:type="dxa"/>
            <w:vAlign w:val="top"/>
          </w:tcPr>
          <w:p w14:paraId="458A786C">
            <w:pPr>
              <w:rPr>
                <w:rFonts w:ascii="Arial"/>
                <w:sz w:val="21"/>
              </w:rPr>
            </w:pPr>
          </w:p>
        </w:tc>
        <w:tc>
          <w:tcPr>
            <w:tcW w:w="1108" w:type="dxa"/>
            <w:vAlign w:val="top"/>
          </w:tcPr>
          <w:p w14:paraId="55713361">
            <w:pPr>
              <w:rPr>
                <w:rFonts w:ascii="Arial"/>
                <w:sz w:val="21"/>
              </w:rPr>
            </w:pPr>
          </w:p>
        </w:tc>
        <w:tc>
          <w:tcPr>
            <w:tcW w:w="1781" w:type="dxa"/>
            <w:vAlign w:val="top"/>
          </w:tcPr>
          <w:p w14:paraId="48A5B196">
            <w:pPr>
              <w:rPr>
                <w:rFonts w:ascii="Arial"/>
                <w:sz w:val="21"/>
              </w:rPr>
            </w:pPr>
          </w:p>
        </w:tc>
        <w:tc>
          <w:tcPr>
            <w:tcW w:w="1084" w:type="dxa"/>
            <w:vAlign w:val="top"/>
          </w:tcPr>
          <w:p w14:paraId="21AC472C">
            <w:pPr>
              <w:rPr>
                <w:rFonts w:ascii="Arial"/>
                <w:sz w:val="21"/>
              </w:rPr>
            </w:pPr>
          </w:p>
        </w:tc>
      </w:tr>
      <w:tr w14:paraId="028631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9" w:hRule="atLeast"/>
        </w:trPr>
        <w:tc>
          <w:tcPr>
            <w:tcW w:w="547" w:type="dxa"/>
            <w:vAlign w:val="top"/>
          </w:tcPr>
          <w:p w14:paraId="2FB15C31">
            <w:pPr>
              <w:rPr>
                <w:rFonts w:ascii="Arial"/>
                <w:sz w:val="21"/>
              </w:rPr>
            </w:pPr>
          </w:p>
        </w:tc>
        <w:tc>
          <w:tcPr>
            <w:tcW w:w="1842" w:type="dxa"/>
            <w:vAlign w:val="top"/>
          </w:tcPr>
          <w:p w14:paraId="17417A30">
            <w:pPr>
              <w:rPr>
                <w:rFonts w:ascii="Arial"/>
                <w:sz w:val="21"/>
              </w:rPr>
            </w:pPr>
          </w:p>
        </w:tc>
        <w:tc>
          <w:tcPr>
            <w:tcW w:w="1397" w:type="dxa"/>
            <w:vAlign w:val="top"/>
          </w:tcPr>
          <w:p w14:paraId="7CD34F9B">
            <w:pPr>
              <w:rPr>
                <w:rFonts w:ascii="Arial"/>
                <w:sz w:val="21"/>
              </w:rPr>
            </w:pPr>
          </w:p>
        </w:tc>
        <w:tc>
          <w:tcPr>
            <w:tcW w:w="1080" w:type="dxa"/>
            <w:vAlign w:val="top"/>
          </w:tcPr>
          <w:p w14:paraId="7443945B">
            <w:pPr>
              <w:rPr>
                <w:rFonts w:ascii="Arial"/>
                <w:sz w:val="21"/>
              </w:rPr>
            </w:pPr>
          </w:p>
        </w:tc>
        <w:tc>
          <w:tcPr>
            <w:tcW w:w="1108" w:type="dxa"/>
            <w:vAlign w:val="top"/>
          </w:tcPr>
          <w:p w14:paraId="36F51A77">
            <w:pPr>
              <w:rPr>
                <w:rFonts w:ascii="Arial"/>
                <w:sz w:val="21"/>
              </w:rPr>
            </w:pPr>
          </w:p>
        </w:tc>
        <w:tc>
          <w:tcPr>
            <w:tcW w:w="1781" w:type="dxa"/>
            <w:vAlign w:val="top"/>
          </w:tcPr>
          <w:p w14:paraId="0B4BDB47">
            <w:pPr>
              <w:rPr>
                <w:rFonts w:ascii="Arial"/>
                <w:sz w:val="21"/>
              </w:rPr>
            </w:pPr>
          </w:p>
        </w:tc>
        <w:tc>
          <w:tcPr>
            <w:tcW w:w="1084" w:type="dxa"/>
            <w:vAlign w:val="top"/>
          </w:tcPr>
          <w:p w14:paraId="5E3D4ECF">
            <w:pPr>
              <w:rPr>
                <w:rFonts w:ascii="Arial"/>
                <w:sz w:val="21"/>
              </w:rPr>
            </w:pPr>
          </w:p>
        </w:tc>
      </w:tr>
      <w:tr w14:paraId="47D91D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3" w:hRule="atLeast"/>
        </w:trPr>
        <w:tc>
          <w:tcPr>
            <w:tcW w:w="547" w:type="dxa"/>
            <w:vAlign w:val="top"/>
          </w:tcPr>
          <w:p w14:paraId="3D79A3BA">
            <w:pPr>
              <w:rPr>
                <w:rFonts w:ascii="Arial"/>
                <w:sz w:val="21"/>
              </w:rPr>
            </w:pPr>
          </w:p>
        </w:tc>
        <w:tc>
          <w:tcPr>
            <w:tcW w:w="1842" w:type="dxa"/>
            <w:vAlign w:val="top"/>
          </w:tcPr>
          <w:p w14:paraId="404FE15D">
            <w:pPr>
              <w:rPr>
                <w:rFonts w:ascii="Arial"/>
                <w:sz w:val="21"/>
              </w:rPr>
            </w:pPr>
          </w:p>
        </w:tc>
        <w:tc>
          <w:tcPr>
            <w:tcW w:w="1397" w:type="dxa"/>
            <w:vAlign w:val="top"/>
          </w:tcPr>
          <w:p w14:paraId="39A048FF">
            <w:pPr>
              <w:rPr>
                <w:rFonts w:ascii="Arial"/>
                <w:sz w:val="21"/>
              </w:rPr>
            </w:pPr>
          </w:p>
        </w:tc>
        <w:tc>
          <w:tcPr>
            <w:tcW w:w="1080" w:type="dxa"/>
            <w:vAlign w:val="top"/>
          </w:tcPr>
          <w:p w14:paraId="4498B657">
            <w:pPr>
              <w:rPr>
                <w:rFonts w:ascii="Arial"/>
                <w:sz w:val="21"/>
              </w:rPr>
            </w:pPr>
          </w:p>
        </w:tc>
        <w:tc>
          <w:tcPr>
            <w:tcW w:w="1108" w:type="dxa"/>
            <w:vAlign w:val="top"/>
          </w:tcPr>
          <w:p w14:paraId="35C7F853">
            <w:pPr>
              <w:rPr>
                <w:rFonts w:ascii="Arial"/>
                <w:sz w:val="21"/>
              </w:rPr>
            </w:pPr>
          </w:p>
        </w:tc>
        <w:tc>
          <w:tcPr>
            <w:tcW w:w="1781" w:type="dxa"/>
            <w:vAlign w:val="top"/>
          </w:tcPr>
          <w:p w14:paraId="7CDDE959">
            <w:pPr>
              <w:rPr>
                <w:rFonts w:ascii="Arial"/>
                <w:sz w:val="21"/>
              </w:rPr>
            </w:pPr>
          </w:p>
        </w:tc>
        <w:tc>
          <w:tcPr>
            <w:tcW w:w="1084" w:type="dxa"/>
            <w:vAlign w:val="top"/>
          </w:tcPr>
          <w:p w14:paraId="3A7DBADA">
            <w:pPr>
              <w:rPr>
                <w:rFonts w:ascii="Arial"/>
                <w:sz w:val="21"/>
              </w:rPr>
            </w:pPr>
          </w:p>
        </w:tc>
      </w:tr>
      <w:tr w14:paraId="192C00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3" w:hRule="atLeast"/>
        </w:trPr>
        <w:tc>
          <w:tcPr>
            <w:tcW w:w="547" w:type="dxa"/>
            <w:vAlign w:val="top"/>
          </w:tcPr>
          <w:p w14:paraId="61A552F3">
            <w:pPr>
              <w:rPr>
                <w:rFonts w:ascii="Arial"/>
                <w:sz w:val="21"/>
              </w:rPr>
            </w:pPr>
          </w:p>
        </w:tc>
        <w:tc>
          <w:tcPr>
            <w:tcW w:w="1842" w:type="dxa"/>
            <w:vAlign w:val="top"/>
          </w:tcPr>
          <w:p w14:paraId="4CEA663F">
            <w:pPr>
              <w:rPr>
                <w:rFonts w:ascii="Arial"/>
                <w:sz w:val="21"/>
              </w:rPr>
            </w:pPr>
          </w:p>
        </w:tc>
        <w:tc>
          <w:tcPr>
            <w:tcW w:w="1397" w:type="dxa"/>
            <w:vAlign w:val="top"/>
          </w:tcPr>
          <w:p w14:paraId="4DCE28A1">
            <w:pPr>
              <w:rPr>
                <w:rFonts w:ascii="Arial"/>
                <w:sz w:val="21"/>
              </w:rPr>
            </w:pPr>
          </w:p>
        </w:tc>
        <w:tc>
          <w:tcPr>
            <w:tcW w:w="1080" w:type="dxa"/>
            <w:vAlign w:val="top"/>
          </w:tcPr>
          <w:p w14:paraId="7305D68E">
            <w:pPr>
              <w:rPr>
                <w:rFonts w:ascii="Arial"/>
                <w:sz w:val="21"/>
              </w:rPr>
            </w:pPr>
          </w:p>
        </w:tc>
        <w:tc>
          <w:tcPr>
            <w:tcW w:w="1108" w:type="dxa"/>
            <w:vAlign w:val="top"/>
          </w:tcPr>
          <w:p w14:paraId="01BA3F13">
            <w:pPr>
              <w:rPr>
                <w:rFonts w:ascii="Arial"/>
                <w:sz w:val="21"/>
              </w:rPr>
            </w:pPr>
          </w:p>
        </w:tc>
        <w:tc>
          <w:tcPr>
            <w:tcW w:w="1781" w:type="dxa"/>
            <w:vAlign w:val="top"/>
          </w:tcPr>
          <w:p w14:paraId="2DAFCD9F">
            <w:pPr>
              <w:rPr>
                <w:rFonts w:ascii="Arial"/>
                <w:sz w:val="21"/>
              </w:rPr>
            </w:pPr>
          </w:p>
        </w:tc>
        <w:tc>
          <w:tcPr>
            <w:tcW w:w="1084" w:type="dxa"/>
            <w:vAlign w:val="top"/>
          </w:tcPr>
          <w:p w14:paraId="59E2A39E">
            <w:pPr>
              <w:rPr>
                <w:rFonts w:ascii="Arial"/>
                <w:sz w:val="21"/>
              </w:rPr>
            </w:pPr>
          </w:p>
        </w:tc>
      </w:tr>
      <w:tr w14:paraId="1AE761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8" w:hRule="atLeast"/>
        </w:trPr>
        <w:tc>
          <w:tcPr>
            <w:tcW w:w="547" w:type="dxa"/>
            <w:vAlign w:val="top"/>
          </w:tcPr>
          <w:p w14:paraId="0258E379">
            <w:pPr>
              <w:rPr>
                <w:rFonts w:ascii="Arial"/>
                <w:sz w:val="21"/>
              </w:rPr>
            </w:pPr>
          </w:p>
        </w:tc>
        <w:tc>
          <w:tcPr>
            <w:tcW w:w="1842" w:type="dxa"/>
            <w:vAlign w:val="top"/>
          </w:tcPr>
          <w:p w14:paraId="565AB7AC">
            <w:pPr>
              <w:rPr>
                <w:rFonts w:ascii="Arial"/>
                <w:sz w:val="21"/>
              </w:rPr>
            </w:pPr>
          </w:p>
        </w:tc>
        <w:tc>
          <w:tcPr>
            <w:tcW w:w="1397" w:type="dxa"/>
            <w:vAlign w:val="top"/>
          </w:tcPr>
          <w:p w14:paraId="0665D539">
            <w:pPr>
              <w:rPr>
                <w:rFonts w:ascii="Arial"/>
                <w:sz w:val="21"/>
              </w:rPr>
            </w:pPr>
          </w:p>
        </w:tc>
        <w:tc>
          <w:tcPr>
            <w:tcW w:w="1080" w:type="dxa"/>
            <w:vAlign w:val="top"/>
          </w:tcPr>
          <w:p w14:paraId="7CE6F5D9">
            <w:pPr>
              <w:rPr>
                <w:rFonts w:ascii="Arial"/>
                <w:sz w:val="21"/>
              </w:rPr>
            </w:pPr>
          </w:p>
        </w:tc>
        <w:tc>
          <w:tcPr>
            <w:tcW w:w="1108" w:type="dxa"/>
            <w:vAlign w:val="top"/>
          </w:tcPr>
          <w:p w14:paraId="1E4D3DB0">
            <w:pPr>
              <w:rPr>
                <w:rFonts w:ascii="Arial"/>
                <w:sz w:val="21"/>
              </w:rPr>
            </w:pPr>
          </w:p>
        </w:tc>
        <w:tc>
          <w:tcPr>
            <w:tcW w:w="1781" w:type="dxa"/>
            <w:vAlign w:val="top"/>
          </w:tcPr>
          <w:p w14:paraId="5834B38C">
            <w:pPr>
              <w:rPr>
                <w:rFonts w:ascii="Arial"/>
                <w:sz w:val="21"/>
              </w:rPr>
            </w:pPr>
          </w:p>
        </w:tc>
        <w:tc>
          <w:tcPr>
            <w:tcW w:w="1084" w:type="dxa"/>
            <w:vAlign w:val="top"/>
          </w:tcPr>
          <w:p w14:paraId="7200CA4C">
            <w:pPr>
              <w:rPr>
                <w:rFonts w:ascii="Arial"/>
                <w:sz w:val="21"/>
              </w:rPr>
            </w:pPr>
          </w:p>
        </w:tc>
      </w:tr>
      <w:tr w14:paraId="730FFB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3" w:hRule="atLeast"/>
        </w:trPr>
        <w:tc>
          <w:tcPr>
            <w:tcW w:w="547" w:type="dxa"/>
            <w:vAlign w:val="top"/>
          </w:tcPr>
          <w:p w14:paraId="7EE94E9A">
            <w:pPr>
              <w:rPr>
                <w:rFonts w:ascii="Arial"/>
                <w:sz w:val="21"/>
              </w:rPr>
            </w:pPr>
          </w:p>
        </w:tc>
        <w:tc>
          <w:tcPr>
            <w:tcW w:w="1842" w:type="dxa"/>
            <w:vAlign w:val="top"/>
          </w:tcPr>
          <w:p w14:paraId="7C2CE069">
            <w:pPr>
              <w:rPr>
                <w:rFonts w:ascii="Arial"/>
                <w:sz w:val="21"/>
              </w:rPr>
            </w:pPr>
          </w:p>
        </w:tc>
        <w:tc>
          <w:tcPr>
            <w:tcW w:w="1397" w:type="dxa"/>
            <w:vAlign w:val="top"/>
          </w:tcPr>
          <w:p w14:paraId="4AD137D0">
            <w:pPr>
              <w:rPr>
                <w:rFonts w:ascii="Arial"/>
                <w:sz w:val="21"/>
              </w:rPr>
            </w:pPr>
          </w:p>
        </w:tc>
        <w:tc>
          <w:tcPr>
            <w:tcW w:w="1080" w:type="dxa"/>
            <w:vAlign w:val="top"/>
          </w:tcPr>
          <w:p w14:paraId="726BBC46">
            <w:pPr>
              <w:rPr>
                <w:rFonts w:ascii="Arial"/>
                <w:sz w:val="21"/>
              </w:rPr>
            </w:pPr>
          </w:p>
        </w:tc>
        <w:tc>
          <w:tcPr>
            <w:tcW w:w="1108" w:type="dxa"/>
            <w:vAlign w:val="top"/>
          </w:tcPr>
          <w:p w14:paraId="72D49A1B">
            <w:pPr>
              <w:rPr>
                <w:rFonts w:ascii="Arial"/>
                <w:sz w:val="21"/>
              </w:rPr>
            </w:pPr>
          </w:p>
        </w:tc>
        <w:tc>
          <w:tcPr>
            <w:tcW w:w="1781" w:type="dxa"/>
            <w:vAlign w:val="top"/>
          </w:tcPr>
          <w:p w14:paraId="5D2CD323">
            <w:pPr>
              <w:rPr>
                <w:rFonts w:ascii="Arial"/>
                <w:sz w:val="21"/>
              </w:rPr>
            </w:pPr>
          </w:p>
        </w:tc>
        <w:tc>
          <w:tcPr>
            <w:tcW w:w="1084" w:type="dxa"/>
            <w:vAlign w:val="top"/>
          </w:tcPr>
          <w:p w14:paraId="736330D5">
            <w:pPr>
              <w:rPr>
                <w:rFonts w:ascii="Arial"/>
                <w:sz w:val="21"/>
              </w:rPr>
            </w:pPr>
          </w:p>
        </w:tc>
      </w:tr>
      <w:tr w14:paraId="035742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3" w:hRule="atLeast"/>
        </w:trPr>
        <w:tc>
          <w:tcPr>
            <w:tcW w:w="547" w:type="dxa"/>
            <w:vAlign w:val="top"/>
          </w:tcPr>
          <w:p w14:paraId="3C256337">
            <w:pPr>
              <w:rPr>
                <w:rFonts w:ascii="Arial"/>
                <w:sz w:val="21"/>
              </w:rPr>
            </w:pPr>
          </w:p>
        </w:tc>
        <w:tc>
          <w:tcPr>
            <w:tcW w:w="1842" w:type="dxa"/>
            <w:vAlign w:val="top"/>
          </w:tcPr>
          <w:p w14:paraId="2092C19E">
            <w:pPr>
              <w:rPr>
                <w:rFonts w:ascii="Arial"/>
                <w:sz w:val="21"/>
              </w:rPr>
            </w:pPr>
          </w:p>
        </w:tc>
        <w:tc>
          <w:tcPr>
            <w:tcW w:w="1397" w:type="dxa"/>
            <w:vAlign w:val="top"/>
          </w:tcPr>
          <w:p w14:paraId="55B0E8C2">
            <w:pPr>
              <w:rPr>
                <w:rFonts w:ascii="Arial"/>
                <w:sz w:val="21"/>
              </w:rPr>
            </w:pPr>
          </w:p>
        </w:tc>
        <w:tc>
          <w:tcPr>
            <w:tcW w:w="1080" w:type="dxa"/>
            <w:vAlign w:val="top"/>
          </w:tcPr>
          <w:p w14:paraId="69DA7478">
            <w:pPr>
              <w:rPr>
                <w:rFonts w:ascii="Arial"/>
                <w:sz w:val="21"/>
              </w:rPr>
            </w:pPr>
          </w:p>
        </w:tc>
        <w:tc>
          <w:tcPr>
            <w:tcW w:w="1108" w:type="dxa"/>
            <w:vAlign w:val="top"/>
          </w:tcPr>
          <w:p w14:paraId="45FF6DD4">
            <w:pPr>
              <w:rPr>
                <w:rFonts w:ascii="Arial"/>
                <w:sz w:val="21"/>
              </w:rPr>
            </w:pPr>
          </w:p>
        </w:tc>
        <w:tc>
          <w:tcPr>
            <w:tcW w:w="1781" w:type="dxa"/>
            <w:vAlign w:val="top"/>
          </w:tcPr>
          <w:p w14:paraId="1A2474F7">
            <w:pPr>
              <w:rPr>
                <w:rFonts w:ascii="Arial"/>
                <w:sz w:val="21"/>
              </w:rPr>
            </w:pPr>
          </w:p>
        </w:tc>
        <w:tc>
          <w:tcPr>
            <w:tcW w:w="1084" w:type="dxa"/>
            <w:vAlign w:val="top"/>
          </w:tcPr>
          <w:p w14:paraId="6942E14A">
            <w:pPr>
              <w:rPr>
                <w:rFonts w:ascii="Arial"/>
                <w:sz w:val="21"/>
              </w:rPr>
            </w:pPr>
          </w:p>
        </w:tc>
      </w:tr>
      <w:tr w14:paraId="6E35C2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8" w:hRule="atLeast"/>
        </w:trPr>
        <w:tc>
          <w:tcPr>
            <w:tcW w:w="547" w:type="dxa"/>
            <w:vAlign w:val="top"/>
          </w:tcPr>
          <w:p w14:paraId="057D2841">
            <w:pPr>
              <w:rPr>
                <w:rFonts w:ascii="Arial"/>
                <w:sz w:val="21"/>
              </w:rPr>
            </w:pPr>
          </w:p>
        </w:tc>
        <w:tc>
          <w:tcPr>
            <w:tcW w:w="1842" w:type="dxa"/>
            <w:vAlign w:val="top"/>
          </w:tcPr>
          <w:p w14:paraId="1296383C">
            <w:pPr>
              <w:rPr>
                <w:rFonts w:ascii="Arial"/>
                <w:sz w:val="21"/>
              </w:rPr>
            </w:pPr>
          </w:p>
        </w:tc>
        <w:tc>
          <w:tcPr>
            <w:tcW w:w="1397" w:type="dxa"/>
            <w:vAlign w:val="top"/>
          </w:tcPr>
          <w:p w14:paraId="72CDC137">
            <w:pPr>
              <w:rPr>
                <w:rFonts w:ascii="Arial"/>
                <w:sz w:val="21"/>
              </w:rPr>
            </w:pPr>
          </w:p>
        </w:tc>
        <w:tc>
          <w:tcPr>
            <w:tcW w:w="1080" w:type="dxa"/>
            <w:vAlign w:val="top"/>
          </w:tcPr>
          <w:p w14:paraId="5B402B5D">
            <w:pPr>
              <w:rPr>
                <w:rFonts w:ascii="Arial"/>
                <w:sz w:val="21"/>
              </w:rPr>
            </w:pPr>
          </w:p>
        </w:tc>
        <w:tc>
          <w:tcPr>
            <w:tcW w:w="1108" w:type="dxa"/>
            <w:vAlign w:val="top"/>
          </w:tcPr>
          <w:p w14:paraId="2390B217">
            <w:pPr>
              <w:rPr>
                <w:rFonts w:ascii="Arial"/>
                <w:sz w:val="21"/>
              </w:rPr>
            </w:pPr>
          </w:p>
        </w:tc>
        <w:tc>
          <w:tcPr>
            <w:tcW w:w="1781" w:type="dxa"/>
            <w:vAlign w:val="top"/>
          </w:tcPr>
          <w:p w14:paraId="062BC177">
            <w:pPr>
              <w:rPr>
                <w:rFonts w:ascii="Arial"/>
                <w:sz w:val="21"/>
              </w:rPr>
            </w:pPr>
          </w:p>
        </w:tc>
        <w:tc>
          <w:tcPr>
            <w:tcW w:w="1084" w:type="dxa"/>
            <w:vAlign w:val="top"/>
          </w:tcPr>
          <w:p w14:paraId="5BD453C9">
            <w:pPr>
              <w:rPr>
                <w:rFonts w:ascii="Arial"/>
                <w:sz w:val="21"/>
              </w:rPr>
            </w:pPr>
          </w:p>
        </w:tc>
      </w:tr>
      <w:tr w14:paraId="198EB2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3" w:hRule="atLeast"/>
        </w:trPr>
        <w:tc>
          <w:tcPr>
            <w:tcW w:w="547" w:type="dxa"/>
            <w:vAlign w:val="top"/>
          </w:tcPr>
          <w:p w14:paraId="2010E986">
            <w:pPr>
              <w:rPr>
                <w:rFonts w:ascii="Arial"/>
                <w:sz w:val="21"/>
              </w:rPr>
            </w:pPr>
          </w:p>
        </w:tc>
        <w:tc>
          <w:tcPr>
            <w:tcW w:w="1842" w:type="dxa"/>
            <w:vAlign w:val="top"/>
          </w:tcPr>
          <w:p w14:paraId="554358A8">
            <w:pPr>
              <w:rPr>
                <w:rFonts w:ascii="Arial"/>
                <w:sz w:val="21"/>
              </w:rPr>
            </w:pPr>
          </w:p>
        </w:tc>
        <w:tc>
          <w:tcPr>
            <w:tcW w:w="1397" w:type="dxa"/>
            <w:vAlign w:val="top"/>
          </w:tcPr>
          <w:p w14:paraId="7B25BD76">
            <w:pPr>
              <w:rPr>
                <w:rFonts w:ascii="Arial"/>
                <w:sz w:val="21"/>
              </w:rPr>
            </w:pPr>
          </w:p>
        </w:tc>
        <w:tc>
          <w:tcPr>
            <w:tcW w:w="1080" w:type="dxa"/>
            <w:vAlign w:val="top"/>
          </w:tcPr>
          <w:p w14:paraId="3E6C17CD">
            <w:pPr>
              <w:rPr>
                <w:rFonts w:ascii="Arial"/>
                <w:sz w:val="21"/>
              </w:rPr>
            </w:pPr>
          </w:p>
        </w:tc>
        <w:tc>
          <w:tcPr>
            <w:tcW w:w="1108" w:type="dxa"/>
            <w:vAlign w:val="top"/>
          </w:tcPr>
          <w:p w14:paraId="7805D66B">
            <w:pPr>
              <w:rPr>
                <w:rFonts w:ascii="Arial"/>
                <w:sz w:val="21"/>
              </w:rPr>
            </w:pPr>
          </w:p>
        </w:tc>
        <w:tc>
          <w:tcPr>
            <w:tcW w:w="1781" w:type="dxa"/>
            <w:vAlign w:val="top"/>
          </w:tcPr>
          <w:p w14:paraId="184E02CB">
            <w:pPr>
              <w:rPr>
                <w:rFonts w:ascii="Arial"/>
                <w:sz w:val="21"/>
              </w:rPr>
            </w:pPr>
          </w:p>
        </w:tc>
        <w:tc>
          <w:tcPr>
            <w:tcW w:w="1084" w:type="dxa"/>
            <w:vAlign w:val="top"/>
          </w:tcPr>
          <w:p w14:paraId="76F9E6B8">
            <w:pPr>
              <w:rPr>
                <w:rFonts w:ascii="Arial"/>
                <w:sz w:val="21"/>
              </w:rPr>
            </w:pPr>
          </w:p>
        </w:tc>
      </w:tr>
      <w:tr w14:paraId="27B03E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3" w:hRule="atLeast"/>
        </w:trPr>
        <w:tc>
          <w:tcPr>
            <w:tcW w:w="547" w:type="dxa"/>
            <w:vAlign w:val="top"/>
          </w:tcPr>
          <w:p w14:paraId="48794201">
            <w:pPr>
              <w:rPr>
                <w:rFonts w:ascii="Arial"/>
                <w:sz w:val="21"/>
              </w:rPr>
            </w:pPr>
          </w:p>
        </w:tc>
        <w:tc>
          <w:tcPr>
            <w:tcW w:w="1842" w:type="dxa"/>
            <w:vAlign w:val="top"/>
          </w:tcPr>
          <w:p w14:paraId="666795AE">
            <w:pPr>
              <w:rPr>
                <w:rFonts w:ascii="Arial"/>
                <w:sz w:val="21"/>
              </w:rPr>
            </w:pPr>
          </w:p>
        </w:tc>
        <w:tc>
          <w:tcPr>
            <w:tcW w:w="1397" w:type="dxa"/>
            <w:vAlign w:val="top"/>
          </w:tcPr>
          <w:p w14:paraId="728C9842">
            <w:pPr>
              <w:rPr>
                <w:rFonts w:ascii="Arial"/>
                <w:sz w:val="21"/>
              </w:rPr>
            </w:pPr>
          </w:p>
        </w:tc>
        <w:tc>
          <w:tcPr>
            <w:tcW w:w="1080" w:type="dxa"/>
            <w:vAlign w:val="top"/>
          </w:tcPr>
          <w:p w14:paraId="3529F3C8">
            <w:pPr>
              <w:rPr>
                <w:rFonts w:ascii="Arial"/>
                <w:sz w:val="21"/>
              </w:rPr>
            </w:pPr>
          </w:p>
        </w:tc>
        <w:tc>
          <w:tcPr>
            <w:tcW w:w="1108" w:type="dxa"/>
            <w:vAlign w:val="top"/>
          </w:tcPr>
          <w:p w14:paraId="4E0613FF">
            <w:pPr>
              <w:rPr>
                <w:rFonts w:ascii="Arial"/>
                <w:sz w:val="21"/>
              </w:rPr>
            </w:pPr>
          </w:p>
        </w:tc>
        <w:tc>
          <w:tcPr>
            <w:tcW w:w="1781" w:type="dxa"/>
            <w:vAlign w:val="top"/>
          </w:tcPr>
          <w:p w14:paraId="068DF4E5">
            <w:pPr>
              <w:rPr>
                <w:rFonts w:ascii="Arial"/>
                <w:sz w:val="21"/>
              </w:rPr>
            </w:pPr>
          </w:p>
        </w:tc>
        <w:tc>
          <w:tcPr>
            <w:tcW w:w="1084" w:type="dxa"/>
            <w:vAlign w:val="top"/>
          </w:tcPr>
          <w:p w14:paraId="063E1950">
            <w:pPr>
              <w:rPr>
                <w:rFonts w:ascii="Arial"/>
                <w:sz w:val="21"/>
              </w:rPr>
            </w:pPr>
          </w:p>
        </w:tc>
      </w:tr>
      <w:tr w14:paraId="17C7D6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3" w:hRule="atLeast"/>
        </w:trPr>
        <w:tc>
          <w:tcPr>
            <w:tcW w:w="547" w:type="dxa"/>
            <w:vAlign w:val="top"/>
          </w:tcPr>
          <w:p w14:paraId="581353FC">
            <w:pPr>
              <w:rPr>
                <w:rFonts w:ascii="Arial"/>
                <w:sz w:val="21"/>
              </w:rPr>
            </w:pPr>
          </w:p>
        </w:tc>
        <w:tc>
          <w:tcPr>
            <w:tcW w:w="1842" w:type="dxa"/>
            <w:vAlign w:val="top"/>
          </w:tcPr>
          <w:p w14:paraId="239784E0">
            <w:pPr>
              <w:rPr>
                <w:rFonts w:ascii="Arial"/>
                <w:sz w:val="21"/>
              </w:rPr>
            </w:pPr>
          </w:p>
        </w:tc>
        <w:tc>
          <w:tcPr>
            <w:tcW w:w="1397" w:type="dxa"/>
            <w:vAlign w:val="top"/>
          </w:tcPr>
          <w:p w14:paraId="121AC7C3">
            <w:pPr>
              <w:rPr>
                <w:rFonts w:ascii="Arial"/>
                <w:sz w:val="21"/>
              </w:rPr>
            </w:pPr>
          </w:p>
        </w:tc>
        <w:tc>
          <w:tcPr>
            <w:tcW w:w="1080" w:type="dxa"/>
            <w:vAlign w:val="top"/>
          </w:tcPr>
          <w:p w14:paraId="1242F523">
            <w:pPr>
              <w:rPr>
                <w:rFonts w:ascii="Arial"/>
                <w:sz w:val="21"/>
              </w:rPr>
            </w:pPr>
          </w:p>
        </w:tc>
        <w:tc>
          <w:tcPr>
            <w:tcW w:w="1108" w:type="dxa"/>
            <w:vAlign w:val="top"/>
          </w:tcPr>
          <w:p w14:paraId="29DAF04F">
            <w:pPr>
              <w:rPr>
                <w:rFonts w:ascii="Arial"/>
                <w:sz w:val="21"/>
              </w:rPr>
            </w:pPr>
          </w:p>
        </w:tc>
        <w:tc>
          <w:tcPr>
            <w:tcW w:w="1781" w:type="dxa"/>
            <w:vAlign w:val="top"/>
          </w:tcPr>
          <w:p w14:paraId="18315F72">
            <w:pPr>
              <w:rPr>
                <w:rFonts w:ascii="Arial"/>
                <w:sz w:val="21"/>
              </w:rPr>
            </w:pPr>
          </w:p>
        </w:tc>
        <w:tc>
          <w:tcPr>
            <w:tcW w:w="1084" w:type="dxa"/>
            <w:vAlign w:val="top"/>
          </w:tcPr>
          <w:p w14:paraId="7E719C97">
            <w:pPr>
              <w:rPr>
                <w:rFonts w:ascii="Arial"/>
                <w:sz w:val="21"/>
              </w:rPr>
            </w:pPr>
          </w:p>
        </w:tc>
      </w:tr>
    </w:tbl>
    <w:p w14:paraId="7B171AD1">
      <w:pPr>
        <w:pStyle w:val="3"/>
      </w:pPr>
    </w:p>
    <w:p w14:paraId="36EEB386">
      <w:pPr>
        <w:sectPr>
          <w:footerReference r:id="rId217" w:type="default"/>
          <w:pgSz w:w="11905" w:h="16839"/>
          <w:pgMar w:top="400" w:right="1527" w:bottom="1004" w:left="1531" w:header="0" w:footer="828" w:gutter="0"/>
          <w:pgNumType w:fmt="decimal"/>
          <w:cols w:space="720" w:num="1"/>
        </w:sectPr>
      </w:pPr>
    </w:p>
    <w:p w14:paraId="54CE22BC">
      <w:pPr>
        <w:pStyle w:val="3"/>
        <w:spacing w:line="267" w:lineRule="auto"/>
      </w:pPr>
    </w:p>
    <w:p w14:paraId="09943C60">
      <w:pPr>
        <w:pStyle w:val="3"/>
        <w:spacing w:line="268" w:lineRule="auto"/>
      </w:pPr>
    </w:p>
    <w:p w14:paraId="4E88F7A8">
      <w:pPr>
        <w:pStyle w:val="3"/>
        <w:spacing w:line="268" w:lineRule="auto"/>
      </w:pPr>
    </w:p>
    <w:p w14:paraId="724FA782">
      <w:pPr>
        <w:pStyle w:val="3"/>
        <w:spacing w:line="268" w:lineRule="auto"/>
      </w:pPr>
    </w:p>
    <w:p w14:paraId="447E4B24">
      <w:pPr>
        <w:spacing w:before="78" w:line="218" w:lineRule="auto"/>
        <w:ind w:left="2179"/>
        <w:rPr>
          <w:rFonts w:ascii="黑体" w:hAnsi="黑体" w:eastAsia="黑体" w:cs="黑体"/>
          <w:sz w:val="24"/>
          <w:szCs w:val="24"/>
        </w:rPr>
      </w:pPr>
      <w:bookmarkStart w:id="1338" w:name="bookmark323"/>
      <w:bookmarkEnd w:id="1338"/>
      <w:r>
        <w:rPr>
          <w:rFonts w:ascii="Times New Roman" w:hAnsi="Times New Roman" w:eastAsia="Times New Roman" w:cs="Times New Roman"/>
          <w:spacing w:val="-1"/>
          <w:sz w:val="24"/>
          <w:szCs w:val="24"/>
        </w:rPr>
        <w:t>4-2</w:t>
      </w:r>
      <w:r>
        <w:rPr>
          <w:rFonts w:ascii="Times New Roman" w:hAnsi="Times New Roman" w:eastAsia="Times New Roman" w:cs="Times New Roman"/>
          <w:spacing w:val="18"/>
          <w:w w:val="101"/>
          <w:sz w:val="24"/>
          <w:szCs w:val="24"/>
        </w:rPr>
        <w:t xml:space="preserve"> </w:t>
      </w:r>
      <w:r>
        <w:rPr>
          <w:rFonts w:ascii="黑体" w:hAnsi="黑体" w:eastAsia="黑体" w:cs="黑体"/>
          <w:spacing w:val="-1"/>
          <w:sz w:val="24"/>
          <w:szCs w:val="24"/>
        </w:rPr>
        <w:t>正在施工的和新承接的项目情况表</w:t>
      </w:r>
    </w:p>
    <w:p w14:paraId="4BC09CD9">
      <w:pPr>
        <w:spacing w:before="199"/>
      </w:pPr>
    </w:p>
    <w:tbl>
      <w:tblPr>
        <w:tblStyle w:val="10"/>
        <w:tblW w:w="8311"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370"/>
        <w:gridCol w:w="5941"/>
      </w:tblGrid>
      <w:tr w14:paraId="6542B5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4" w:hRule="atLeast"/>
        </w:trPr>
        <w:tc>
          <w:tcPr>
            <w:tcW w:w="2370" w:type="dxa"/>
            <w:vAlign w:val="top"/>
          </w:tcPr>
          <w:p w14:paraId="442770CC">
            <w:pPr>
              <w:pStyle w:val="11"/>
              <w:spacing w:before="208" w:line="221" w:lineRule="auto"/>
              <w:ind w:left="775"/>
            </w:pPr>
            <w:r>
              <w:rPr>
                <w:spacing w:val="-2"/>
              </w:rPr>
              <w:t>项目名称</w:t>
            </w:r>
          </w:p>
        </w:tc>
        <w:tc>
          <w:tcPr>
            <w:tcW w:w="5941" w:type="dxa"/>
            <w:vAlign w:val="top"/>
          </w:tcPr>
          <w:p w14:paraId="5E84300C">
            <w:pPr>
              <w:rPr>
                <w:rFonts w:ascii="Arial"/>
                <w:sz w:val="21"/>
              </w:rPr>
            </w:pPr>
          </w:p>
        </w:tc>
      </w:tr>
      <w:tr w14:paraId="34ACAD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2370" w:type="dxa"/>
            <w:vAlign w:val="top"/>
          </w:tcPr>
          <w:p w14:paraId="1E3CF841">
            <w:pPr>
              <w:pStyle w:val="11"/>
              <w:spacing w:before="207" w:line="221" w:lineRule="auto"/>
              <w:ind w:left="669"/>
            </w:pPr>
            <w:r>
              <w:rPr>
                <w:spacing w:val="-1"/>
              </w:rPr>
              <w:t>项目所在地</w:t>
            </w:r>
          </w:p>
        </w:tc>
        <w:tc>
          <w:tcPr>
            <w:tcW w:w="5941" w:type="dxa"/>
            <w:vAlign w:val="top"/>
          </w:tcPr>
          <w:p w14:paraId="114253E1">
            <w:pPr>
              <w:rPr>
                <w:rFonts w:ascii="Arial"/>
                <w:sz w:val="21"/>
              </w:rPr>
            </w:pPr>
          </w:p>
        </w:tc>
      </w:tr>
      <w:tr w14:paraId="5EB498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2370" w:type="dxa"/>
            <w:vAlign w:val="top"/>
          </w:tcPr>
          <w:p w14:paraId="6942DB84">
            <w:pPr>
              <w:pStyle w:val="11"/>
              <w:spacing w:before="208" w:line="221" w:lineRule="auto"/>
              <w:ind w:left="669"/>
            </w:pPr>
            <w:r>
              <w:rPr>
                <w:spacing w:val="-1"/>
              </w:rPr>
              <w:t>发包人名称</w:t>
            </w:r>
          </w:p>
        </w:tc>
        <w:tc>
          <w:tcPr>
            <w:tcW w:w="5941" w:type="dxa"/>
            <w:vAlign w:val="top"/>
          </w:tcPr>
          <w:p w14:paraId="6A63E9F1">
            <w:pPr>
              <w:rPr>
                <w:rFonts w:ascii="Arial"/>
                <w:sz w:val="21"/>
              </w:rPr>
            </w:pPr>
          </w:p>
        </w:tc>
      </w:tr>
      <w:tr w14:paraId="2E34B1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2370" w:type="dxa"/>
            <w:vAlign w:val="top"/>
          </w:tcPr>
          <w:p w14:paraId="2A2A896C">
            <w:pPr>
              <w:pStyle w:val="11"/>
              <w:spacing w:before="209" w:line="221" w:lineRule="auto"/>
              <w:ind w:left="669"/>
            </w:pPr>
            <w:r>
              <w:rPr>
                <w:spacing w:val="-1"/>
              </w:rPr>
              <w:t>发包人地址</w:t>
            </w:r>
          </w:p>
        </w:tc>
        <w:tc>
          <w:tcPr>
            <w:tcW w:w="5941" w:type="dxa"/>
            <w:vAlign w:val="top"/>
          </w:tcPr>
          <w:p w14:paraId="5113577F">
            <w:pPr>
              <w:rPr>
                <w:rFonts w:ascii="Arial"/>
                <w:sz w:val="21"/>
              </w:rPr>
            </w:pPr>
          </w:p>
        </w:tc>
      </w:tr>
      <w:tr w14:paraId="296FB2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2370" w:type="dxa"/>
            <w:vAlign w:val="top"/>
          </w:tcPr>
          <w:p w14:paraId="0059618C">
            <w:pPr>
              <w:pStyle w:val="11"/>
              <w:spacing w:before="208" w:line="221" w:lineRule="auto"/>
              <w:ind w:left="669"/>
            </w:pPr>
            <w:r>
              <w:rPr>
                <w:spacing w:val="-1"/>
              </w:rPr>
              <w:t>发包人电话</w:t>
            </w:r>
          </w:p>
        </w:tc>
        <w:tc>
          <w:tcPr>
            <w:tcW w:w="5941" w:type="dxa"/>
            <w:vAlign w:val="top"/>
          </w:tcPr>
          <w:p w14:paraId="44601567">
            <w:pPr>
              <w:rPr>
                <w:rFonts w:ascii="Arial"/>
                <w:sz w:val="21"/>
              </w:rPr>
            </w:pPr>
          </w:p>
        </w:tc>
      </w:tr>
      <w:tr w14:paraId="0DD7BB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2370" w:type="dxa"/>
            <w:vAlign w:val="top"/>
          </w:tcPr>
          <w:p w14:paraId="1B99DDF4">
            <w:pPr>
              <w:pStyle w:val="11"/>
              <w:spacing w:before="209" w:line="219" w:lineRule="auto"/>
              <w:ind w:left="354"/>
            </w:pPr>
            <w:r>
              <w:rPr>
                <w:spacing w:val="-2"/>
              </w:rPr>
              <w:t>签约合同价（元）</w:t>
            </w:r>
          </w:p>
        </w:tc>
        <w:tc>
          <w:tcPr>
            <w:tcW w:w="5941" w:type="dxa"/>
            <w:vAlign w:val="top"/>
          </w:tcPr>
          <w:p w14:paraId="3A469EF9">
            <w:pPr>
              <w:rPr>
                <w:rFonts w:ascii="Arial"/>
                <w:sz w:val="21"/>
              </w:rPr>
            </w:pPr>
          </w:p>
        </w:tc>
      </w:tr>
      <w:tr w14:paraId="2D6C3D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4" w:hRule="atLeast"/>
        </w:trPr>
        <w:tc>
          <w:tcPr>
            <w:tcW w:w="2370" w:type="dxa"/>
            <w:vAlign w:val="top"/>
          </w:tcPr>
          <w:p w14:paraId="6AA2E679">
            <w:pPr>
              <w:pStyle w:val="11"/>
              <w:spacing w:before="210" w:line="221" w:lineRule="auto"/>
              <w:ind w:left="772"/>
            </w:pPr>
            <w:r>
              <w:rPr>
                <w:spacing w:val="-1"/>
              </w:rPr>
              <w:t>开工日期</w:t>
            </w:r>
          </w:p>
        </w:tc>
        <w:tc>
          <w:tcPr>
            <w:tcW w:w="5941" w:type="dxa"/>
            <w:vAlign w:val="top"/>
          </w:tcPr>
          <w:p w14:paraId="3594C8DE">
            <w:pPr>
              <w:rPr>
                <w:rFonts w:ascii="Arial"/>
                <w:sz w:val="21"/>
              </w:rPr>
            </w:pPr>
          </w:p>
        </w:tc>
      </w:tr>
      <w:tr w14:paraId="2ACC6A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2370" w:type="dxa"/>
            <w:vAlign w:val="top"/>
          </w:tcPr>
          <w:p w14:paraId="02BC08E3">
            <w:pPr>
              <w:pStyle w:val="11"/>
              <w:spacing w:before="204" w:line="221" w:lineRule="auto"/>
              <w:ind w:left="565"/>
            </w:pPr>
            <w:r>
              <w:rPr>
                <w:spacing w:val="-1"/>
              </w:rPr>
              <w:t>计划竣工日期</w:t>
            </w:r>
          </w:p>
        </w:tc>
        <w:tc>
          <w:tcPr>
            <w:tcW w:w="5941" w:type="dxa"/>
            <w:vAlign w:val="top"/>
          </w:tcPr>
          <w:p w14:paraId="14F47827">
            <w:pPr>
              <w:rPr>
                <w:rFonts w:ascii="Arial"/>
                <w:sz w:val="21"/>
              </w:rPr>
            </w:pPr>
          </w:p>
        </w:tc>
      </w:tr>
      <w:tr w14:paraId="280178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2370" w:type="dxa"/>
            <w:vAlign w:val="top"/>
          </w:tcPr>
          <w:p w14:paraId="5BAE8D6E">
            <w:pPr>
              <w:pStyle w:val="11"/>
              <w:spacing w:before="204" w:line="221" w:lineRule="auto"/>
              <w:ind w:left="666"/>
            </w:pPr>
            <w:r>
              <w:rPr>
                <w:spacing w:val="-1"/>
              </w:rPr>
              <w:t>承担的工作</w:t>
            </w:r>
          </w:p>
        </w:tc>
        <w:tc>
          <w:tcPr>
            <w:tcW w:w="5941" w:type="dxa"/>
            <w:vAlign w:val="top"/>
          </w:tcPr>
          <w:p w14:paraId="30BC83F6">
            <w:pPr>
              <w:rPr>
                <w:rFonts w:ascii="Arial"/>
                <w:sz w:val="21"/>
              </w:rPr>
            </w:pPr>
          </w:p>
        </w:tc>
      </w:tr>
      <w:tr w14:paraId="669F36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2370" w:type="dxa"/>
            <w:vAlign w:val="top"/>
          </w:tcPr>
          <w:p w14:paraId="1B0B57F4">
            <w:pPr>
              <w:pStyle w:val="11"/>
              <w:spacing w:before="205" w:line="221" w:lineRule="auto"/>
              <w:ind w:left="774"/>
            </w:pPr>
            <w:r>
              <w:rPr>
                <w:spacing w:val="-2"/>
              </w:rPr>
              <w:t>工程质量</w:t>
            </w:r>
          </w:p>
        </w:tc>
        <w:tc>
          <w:tcPr>
            <w:tcW w:w="5941" w:type="dxa"/>
            <w:vAlign w:val="top"/>
          </w:tcPr>
          <w:p w14:paraId="48DDE054">
            <w:pPr>
              <w:rPr>
                <w:rFonts w:ascii="Arial"/>
                <w:sz w:val="21"/>
              </w:rPr>
            </w:pPr>
          </w:p>
        </w:tc>
      </w:tr>
      <w:tr w14:paraId="521C15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2370" w:type="dxa"/>
            <w:vAlign w:val="top"/>
          </w:tcPr>
          <w:p w14:paraId="2A68229C">
            <w:pPr>
              <w:pStyle w:val="11"/>
              <w:spacing w:before="206" w:line="221" w:lineRule="auto"/>
              <w:ind w:left="775"/>
            </w:pPr>
            <w:r>
              <w:rPr>
                <w:spacing w:val="-2"/>
              </w:rPr>
              <w:t>项目经理</w:t>
            </w:r>
          </w:p>
        </w:tc>
        <w:tc>
          <w:tcPr>
            <w:tcW w:w="5941" w:type="dxa"/>
            <w:vAlign w:val="top"/>
          </w:tcPr>
          <w:p w14:paraId="3335E1DB">
            <w:pPr>
              <w:rPr>
                <w:rFonts w:ascii="Arial"/>
                <w:sz w:val="21"/>
              </w:rPr>
            </w:pPr>
          </w:p>
        </w:tc>
      </w:tr>
      <w:tr w14:paraId="32DDB0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2370" w:type="dxa"/>
            <w:vAlign w:val="top"/>
          </w:tcPr>
          <w:p w14:paraId="40A8D256">
            <w:pPr>
              <w:pStyle w:val="11"/>
              <w:spacing w:before="206" w:line="221" w:lineRule="auto"/>
              <w:ind w:left="667"/>
            </w:pPr>
            <w:r>
              <w:rPr>
                <w:spacing w:val="-1"/>
              </w:rPr>
              <w:t>技术负责人</w:t>
            </w:r>
          </w:p>
        </w:tc>
        <w:tc>
          <w:tcPr>
            <w:tcW w:w="5941" w:type="dxa"/>
            <w:vAlign w:val="top"/>
          </w:tcPr>
          <w:p w14:paraId="040BBDDD">
            <w:pPr>
              <w:rPr>
                <w:rFonts w:ascii="Arial"/>
                <w:sz w:val="21"/>
              </w:rPr>
            </w:pPr>
          </w:p>
        </w:tc>
      </w:tr>
      <w:tr w14:paraId="2C2D31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2370" w:type="dxa"/>
            <w:vAlign w:val="top"/>
          </w:tcPr>
          <w:p w14:paraId="6C106B67">
            <w:pPr>
              <w:pStyle w:val="11"/>
              <w:spacing w:before="206" w:line="221" w:lineRule="auto"/>
              <w:ind w:left="254"/>
            </w:pPr>
            <w:r>
              <w:rPr>
                <w:spacing w:val="-1"/>
              </w:rPr>
              <w:t>总监理工程师及电话</w:t>
            </w:r>
          </w:p>
        </w:tc>
        <w:tc>
          <w:tcPr>
            <w:tcW w:w="5941" w:type="dxa"/>
            <w:vAlign w:val="top"/>
          </w:tcPr>
          <w:p w14:paraId="07273BF8">
            <w:pPr>
              <w:rPr>
                <w:rFonts w:ascii="Arial"/>
                <w:sz w:val="21"/>
              </w:rPr>
            </w:pPr>
          </w:p>
        </w:tc>
      </w:tr>
      <w:tr w14:paraId="28AE99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58" w:hRule="atLeast"/>
        </w:trPr>
        <w:tc>
          <w:tcPr>
            <w:tcW w:w="2370" w:type="dxa"/>
            <w:vAlign w:val="top"/>
          </w:tcPr>
          <w:p w14:paraId="008A97DC">
            <w:pPr>
              <w:spacing w:line="274" w:lineRule="auto"/>
              <w:rPr>
                <w:rFonts w:ascii="Arial"/>
                <w:sz w:val="21"/>
              </w:rPr>
            </w:pPr>
          </w:p>
          <w:p w14:paraId="498F43E1">
            <w:pPr>
              <w:spacing w:line="274" w:lineRule="auto"/>
              <w:rPr>
                <w:rFonts w:ascii="Arial"/>
                <w:sz w:val="21"/>
              </w:rPr>
            </w:pPr>
          </w:p>
          <w:p w14:paraId="7DFA2161">
            <w:pPr>
              <w:spacing w:line="274" w:lineRule="auto"/>
              <w:rPr>
                <w:rFonts w:ascii="Arial"/>
                <w:sz w:val="21"/>
              </w:rPr>
            </w:pPr>
          </w:p>
          <w:p w14:paraId="59F8A295">
            <w:pPr>
              <w:spacing w:line="275" w:lineRule="auto"/>
              <w:rPr>
                <w:rFonts w:ascii="Arial"/>
                <w:sz w:val="21"/>
              </w:rPr>
            </w:pPr>
          </w:p>
          <w:p w14:paraId="13D0BCF6">
            <w:pPr>
              <w:pStyle w:val="11"/>
              <w:spacing w:before="69" w:line="221" w:lineRule="auto"/>
              <w:ind w:left="775"/>
            </w:pPr>
            <w:r>
              <w:rPr>
                <w:spacing w:val="-2"/>
              </w:rPr>
              <w:t>项目描述</w:t>
            </w:r>
          </w:p>
        </w:tc>
        <w:tc>
          <w:tcPr>
            <w:tcW w:w="5941" w:type="dxa"/>
            <w:vAlign w:val="top"/>
          </w:tcPr>
          <w:p w14:paraId="0EB43B85">
            <w:pPr>
              <w:rPr>
                <w:rFonts w:ascii="Arial"/>
                <w:sz w:val="21"/>
              </w:rPr>
            </w:pPr>
          </w:p>
        </w:tc>
      </w:tr>
      <w:tr w14:paraId="264E2B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4" w:hRule="atLeast"/>
        </w:trPr>
        <w:tc>
          <w:tcPr>
            <w:tcW w:w="2370" w:type="dxa"/>
            <w:vAlign w:val="top"/>
          </w:tcPr>
          <w:p w14:paraId="58002649">
            <w:pPr>
              <w:pStyle w:val="11"/>
              <w:spacing w:before="208" w:line="222" w:lineRule="auto"/>
              <w:ind w:left="985"/>
            </w:pPr>
            <w:r>
              <w:rPr>
                <w:spacing w:val="-3"/>
              </w:rPr>
              <w:t>备注</w:t>
            </w:r>
          </w:p>
        </w:tc>
        <w:tc>
          <w:tcPr>
            <w:tcW w:w="5941" w:type="dxa"/>
            <w:vAlign w:val="top"/>
          </w:tcPr>
          <w:p w14:paraId="26C30676">
            <w:pPr>
              <w:rPr>
                <w:rFonts w:ascii="Arial"/>
                <w:sz w:val="21"/>
              </w:rPr>
            </w:pPr>
          </w:p>
        </w:tc>
      </w:tr>
    </w:tbl>
    <w:p w14:paraId="7CDBC800">
      <w:pPr>
        <w:spacing w:before="29" w:line="220" w:lineRule="auto"/>
        <w:ind w:left="338"/>
        <w:rPr>
          <w:rFonts w:ascii="宋体" w:hAnsi="宋体" w:eastAsia="宋体" w:cs="宋体"/>
          <w:sz w:val="21"/>
          <w:szCs w:val="21"/>
        </w:rPr>
      </w:pPr>
      <w:r>
        <w:rPr>
          <w:rFonts w:ascii="宋体" w:hAnsi="宋体" w:eastAsia="宋体" w:cs="宋体"/>
          <w:spacing w:val="-1"/>
          <w:sz w:val="21"/>
          <w:szCs w:val="21"/>
        </w:rPr>
        <w:t>备注：类似项目含义和近年具体要求见投标人须</w:t>
      </w:r>
      <w:r>
        <w:rPr>
          <w:rFonts w:ascii="宋体" w:hAnsi="宋体" w:eastAsia="宋体" w:cs="宋体"/>
          <w:spacing w:val="-2"/>
          <w:sz w:val="21"/>
          <w:szCs w:val="21"/>
        </w:rPr>
        <w:t>知前附表。</w:t>
      </w:r>
    </w:p>
    <w:p w14:paraId="39091574">
      <w:pPr>
        <w:spacing w:line="220" w:lineRule="auto"/>
        <w:rPr>
          <w:rFonts w:ascii="宋体" w:hAnsi="宋体" w:eastAsia="宋体" w:cs="宋体"/>
          <w:sz w:val="21"/>
          <w:szCs w:val="21"/>
        </w:rPr>
        <w:sectPr>
          <w:footerReference r:id="rId218" w:type="default"/>
          <w:pgSz w:w="11905" w:h="16839"/>
          <w:pgMar w:top="400" w:right="1785" w:bottom="1004" w:left="1785" w:header="0" w:footer="828" w:gutter="0"/>
          <w:pgNumType w:fmt="decimal"/>
          <w:cols w:space="720" w:num="1"/>
        </w:sectPr>
      </w:pPr>
    </w:p>
    <w:p w14:paraId="563A9F90">
      <w:pPr>
        <w:pStyle w:val="3"/>
        <w:spacing w:line="267" w:lineRule="auto"/>
      </w:pPr>
    </w:p>
    <w:p w14:paraId="3BB26A8E">
      <w:pPr>
        <w:pStyle w:val="3"/>
        <w:spacing w:line="267" w:lineRule="auto"/>
      </w:pPr>
    </w:p>
    <w:p w14:paraId="0A3D3018">
      <w:pPr>
        <w:pStyle w:val="3"/>
        <w:spacing w:line="268" w:lineRule="auto"/>
      </w:pPr>
    </w:p>
    <w:p w14:paraId="45ACBF40">
      <w:pPr>
        <w:pStyle w:val="3"/>
        <w:spacing w:line="268" w:lineRule="auto"/>
      </w:pPr>
    </w:p>
    <w:p w14:paraId="4EBE442D">
      <w:pPr>
        <w:spacing w:before="78" w:line="220" w:lineRule="auto"/>
        <w:ind w:left="3113"/>
        <w:rPr>
          <w:rFonts w:ascii="黑体" w:hAnsi="黑体" w:eastAsia="黑体" w:cs="黑体"/>
          <w:sz w:val="24"/>
          <w:szCs w:val="24"/>
        </w:rPr>
      </w:pPr>
      <w:bookmarkStart w:id="1339" w:name="bookmark324"/>
      <w:bookmarkEnd w:id="1339"/>
      <w:r>
        <w:rPr>
          <w:rFonts w:ascii="黑体" w:hAnsi="黑体" w:eastAsia="黑体" w:cs="黑体"/>
          <w:spacing w:val="-4"/>
          <w:sz w:val="24"/>
          <w:szCs w:val="24"/>
        </w:rPr>
        <w:t>（五）企业信誉情况</w:t>
      </w:r>
    </w:p>
    <w:p w14:paraId="6D75EC27">
      <w:pPr>
        <w:pStyle w:val="3"/>
        <w:spacing w:line="344" w:lineRule="auto"/>
      </w:pPr>
    </w:p>
    <w:p w14:paraId="3551877A">
      <w:pPr>
        <w:spacing w:before="78" w:line="587" w:lineRule="exact"/>
        <w:ind w:left="3272"/>
        <w:rPr>
          <w:rFonts w:ascii="黑体" w:hAnsi="黑体" w:eastAsia="黑体" w:cs="黑体"/>
          <w:sz w:val="24"/>
          <w:szCs w:val="24"/>
        </w:rPr>
      </w:pPr>
      <w:r>
        <w:rPr>
          <w:rFonts w:ascii="Times New Roman" w:hAnsi="Times New Roman" w:eastAsia="Times New Roman" w:cs="Times New Roman"/>
          <w:spacing w:val="-6"/>
          <w:position w:val="26"/>
          <w:sz w:val="24"/>
          <w:szCs w:val="24"/>
        </w:rPr>
        <w:t>5-</w:t>
      </w:r>
      <w:r>
        <w:rPr>
          <w:rFonts w:ascii="Times New Roman" w:hAnsi="Times New Roman" w:eastAsia="Times New Roman" w:cs="Times New Roman"/>
          <w:spacing w:val="-22"/>
          <w:position w:val="26"/>
          <w:sz w:val="24"/>
          <w:szCs w:val="24"/>
        </w:rPr>
        <w:t xml:space="preserve"> </w:t>
      </w:r>
      <w:r>
        <w:rPr>
          <w:rFonts w:ascii="Times New Roman" w:hAnsi="Times New Roman" w:eastAsia="Times New Roman" w:cs="Times New Roman"/>
          <w:spacing w:val="-6"/>
          <w:position w:val="26"/>
          <w:sz w:val="24"/>
          <w:szCs w:val="24"/>
        </w:rPr>
        <w:t xml:space="preserve">1 </w:t>
      </w:r>
      <w:r>
        <w:rPr>
          <w:rFonts w:ascii="黑体" w:hAnsi="黑体" w:eastAsia="黑体" w:cs="黑体"/>
          <w:spacing w:val="-6"/>
          <w:position w:val="26"/>
          <w:sz w:val="24"/>
          <w:szCs w:val="24"/>
        </w:rPr>
        <w:t>企业信誉声明</w:t>
      </w:r>
    </w:p>
    <w:p w14:paraId="2EBCDD98">
      <w:pPr>
        <w:tabs>
          <w:tab w:val="left" w:pos="2218"/>
        </w:tabs>
        <w:spacing w:line="221" w:lineRule="auto"/>
        <w:ind w:left="10"/>
        <w:rPr>
          <w:rFonts w:ascii="宋体" w:hAnsi="宋体" w:eastAsia="宋体" w:cs="宋体"/>
          <w:sz w:val="21"/>
          <w:szCs w:val="21"/>
        </w:rPr>
      </w:pPr>
      <w:r>
        <w:rPr>
          <w:rFonts w:ascii="宋体" w:hAnsi="宋体" w:eastAsia="宋体" w:cs="宋体"/>
          <w:sz w:val="21"/>
          <w:szCs w:val="21"/>
          <w:u w:val="single" w:color="auto"/>
        </w:rPr>
        <w:tab/>
      </w:r>
      <w:r>
        <w:rPr>
          <w:rFonts w:ascii="宋体" w:hAnsi="宋体" w:eastAsia="宋体" w:cs="宋体"/>
          <w:spacing w:val="-27"/>
          <w:sz w:val="21"/>
          <w:szCs w:val="21"/>
        </w:rPr>
        <w:t xml:space="preserve"> </w:t>
      </w:r>
      <w:r>
        <w:rPr>
          <w:rFonts w:ascii="宋体" w:hAnsi="宋体" w:eastAsia="宋体" w:cs="宋体"/>
          <w:spacing w:val="-24"/>
          <w:w w:val="98"/>
          <w:sz w:val="21"/>
          <w:szCs w:val="21"/>
        </w:rPr>
        <w:t>（招标人名称</w:t>
      </w:r>
      <w:r>
        <w:rPr>
          <w:rFonts w:ascii="宋体" w:hAnsi="宋体" w:eastAsia="宋体" w:cs="宋体"/>
          <w:spacing w:val="-13"/>
          <w:sz w:val="21"/>
          <w:szCs w:val="21"/>
        </w:rPr>
        <w:t>）：</w:t>
      </w:r>
    </w:p>
    <w:p w14:paraId="3FC42AEC">
      <w:pPr>
        <w:pStyle w:val="3"/>
        <w:spacing w:line="364" w:lineRule="auto"/>
      </w:pPr>
    </w:p>
    <w:p w14:paraId="58161A65">
      <w:pPr>
        <w:spacing w:before="68" w:line="442" w:lineRule="exact"/>
        <w:ind w:left="442"/>
        <w:rPr>
          <w:rFonts w:ascii="宋体" w:hAnsi="宋体" w:eastAsia="宋体" w:cs="宋体"/>
          <w:sz w:val="21"/>
          <w:szCs w:val="21"/>
        </w:rPr>
      </w:pPr>
      <w:r>
        <w:rPr>
          <w:rFonts w:ascii="宋体" w:hAnsi="宋体" w:eastAsia="宋体" w:cs="宋体"/>
          <w:spacing w:val="-5"/>
          <w:position w:val="17"/>
          <w:sz w:val="21"/>
          <w:szCs w:val="21"/>
        </w:rPr>
        <w:t>我方在此声明， 截止本招标项目投标截止时间， 我方处于正常的经营状态， 不存在下</w:t>
      </w:r>
    </w:p>
    <w:p w14:paraId="2B38A539">
      <w:pPr>
        <w:spacing w:line="220" w:lineRule="auto"/>
        <w:ind w:left="22"/>
        <w:rPr>
          <w:rFonts w:ascii="宋体" w:hAnsi="宋体" w:eastAsia="宋体" w:cs="宋体"/>
          <w:sz w:val="21"/>
          <w:szCs w:val="21"/>
        </w:rPr>
      </w:pPr>
      <w:r>
        <w:rPr>
          <w:rFonts w:ascii="宋体" w:hAnsi="宋体" w:eastAsia="宋体" w:cs="宋体"/>
          <w:spacing w:val="-4"/>
          <w:sz w:val="21"/>
          <w:szCs w:val="21"/>
        </w:rPr>
        <w:t>列任何一种情形。</w:t>
      </w:r>
    </w:p>
    <w:p w14:paraId="11958C42">
      <w:pPr>
        <w:spacing w:before="157" w:line="220" w:lineRule="auto"/>
        <w:ind w:left="457"/>
        <w:rPr>
          <w:rFonts w:ascii="宋体" w:hAnsi="宋体" w:eastAsia="宋体" w:cs="宋体"/>
          <w:sz w:val="21"/>
          <w:szCs w:val="21"/>
        </w:rPr>
      </w:pPr>
      <w:r>
        <w:rPr>
          <w:rFonts w:ascii="Times New Roman" w:hAnsi="Times New Roman" w:eastAsia="Times New Roman" w:cs="Times New Roman"/>
          <w:spacing w:val="-2"/>
          <w:sz w:val="21"/>
          <w:szCs w:val="21"/>
        </w:rPr>
        <w:t>1.</w:t>
      </w:r>
      <w:r>
        <w:rPr>
          <w:rFonts w:ascii="宋体" w:hAnsi="宋体" w:eastAsia="宋体" w:cs="宋体"/>
          <w:spacing w:val="-2"/>
          <w:sz w:val="21"/>
          <w:szCs w:val="21"/>
        </w:rPr>
        <w:t>被依法暂停或取消投标资格；</w:t>
      </w:r>
    </w:p>
    <w:p w14:paraId="779B8518">
      <w:pPr>
        <w:spacing w:before="149" w:line="403" w:lineRule="exact"/>
        <w:ind w:left="437"/>
        <w:rPr>
          <w:rFonts w:ascii="宋体" w:hAnsi="宋体" w:eastAsia="宋体" w:cs="宋体"/>
          <w:sz w:val="21"/>
          <w:szCs w:val="21"/>
        </w:rPr>
      </w:pPr>
      <w:r>
        <w:rPr>
          <w:rFonts w:ascii="Times New Roman" w:hAnsi="Times New Roman" w:eastAsia="Times New Roman" w:cs="Times New Roman"/>
          <w:spacing w:val="-2"/>
          <w:position w:val="14"/>
          <w:sz w:val="21"/>
          <w:szCs w:val="21"/>
        </w:rPr>
        <w:t>2.</w:t>
      </w:r>
      <w:r>
        <w:rPr>
          <w:rFonts w:ascii="宋体" w:hAnsi="宋体" w:eastAsia="宋体" w:cs="宋体"/>
          <w:spacing w:val="-2"/>
          <w:position w:val="14"/>
          <w:sz w:val="21"/>
          <w:szCs w:val="21"/>
        </w:rPr>
        <w:t>被责令停产停业、暂扣或者吊销许可证、暂扣或者吊销执照；</w:t>
      </w:r>
    </w:p>
    <w:p w14:paraId="61E3AE8E">
      <w:pPr>
        <w:spacing w:line="219" w:lineRule="auto"/>
        <w:ind w:left="441"/>
        <w:rPr>
          <w:rFonts w:ascii="宋体" w:hAnsi="宋体" w:eastAsia="宋体" w:cs="宋体"/>
          <w:sz w:val="21"/>
          <w:szCs w:val="21"/>
        </w:rPr>
      </w:pPr>
      <w:r>
        <w:rPr>
          <w:rFonts w:ascii="Times New Roman" w:hAnsi="Times New Roman" w:eastAsia="Times New Roman" w:cs="Times New Roman"/>
          <w:spacing w:val="-2"/>
          <w:sz w:val="21"/>
          <w:szCs w:val="21"/>
        </w:rPr>
        <w:t>3.</w:t>
      </w:r>
      <w:r>
        <w:rPr>
          <w:rFonts w:ascii="宋体" w:hAnsi="宋体" w:eastAsia="宋体" w:cs="宋体"/>
          <w:spacing w:val="-2"/>
          <w:sz w:val="21"/>
          <w:szCs w:val="21"/>
        </w:rPr>
        <w:t>进入清算程序，或被宣告破产，或其他丧失履约能力的情形；</w:t>
      </w:r>
    </w:p>
    <w:p w14:paraId="6605DD86">
      <w:pPr>
        <w:spacing w:before="149" w:line="221" w:lineRule="auto"/>
        <w:ind w:left="436"/>
        <w:rPr>
          <w:rFonts w:ascii="宋体" w:hAnsi="宋体" w:eastAsia="宋体" w:cs="宋体"/>
          <w:sz w:val="21"/>
          <w:szCs w:val="21"/>
        </w:rPr>
      </w:pPr>
      <w:r>
        <w:rPr>
          <w:rFonts w:ascii="Times New Roman" w:hAnsi="Times New Roman" w:eastAsia="Times New Roman" w:cs="Times New Roman"/>
          <w:spacing w:val="-2"/>
          <w:sz w:val="21"/>
          <w:szCs w:val="21"/>
        </w:rPr>
        <w:t>4.</w:t>
      </w:r>
      <w:r>
        <w:rPr>
          <w:rFonts w:ascii="宋体" w:hAnsi="宋体" w:eastAsia="宋体" w:cs="宋体"/>
          <w:spacing w:val="-2"/>
          <w:sz w:val="21"/>
          <w:szCs w:val="21"/>
        </w:rPr>
        <w:t>在最近三年内有骗取中标或严重违约或重大工程质量问题的；</w:t>
      </w:r>
    </w:p>
    <w:p w14:paraId="4DE7F859">
      <w:pPr>
        <w:spacing w:before="148" w:line="213" w:lineRule="auto"/>
        <w:jc w:val="right"/>
        <w:rPr>
          <w:rFonts w:ascii="宋体" w:hAnsi="宋体" w:eastAsia="宋体" w:cs="宋体"/>
          <w:sz w:val="21"/>
          <w:szCs w:val="21"/>
        </w:rPr>
      </w:pPr>
      <w:r>
        <w:rPr>
          <w:rFonts w:ascii="Times New Roman" w:hAnsi="Times New Roman" w:eastAsia="Times New Roman" w:cs="Times New Roman"/>
          <w:spacing w:val="-2"/>
          <w:sz w:val="21"/>
          <w:szCs w:val="21"/>
        </w:rPr>
        <w:t>5.</w:t>
      </w:r>
      <w:r>
        <w:rPr>
          <w:rFonts w:ascii="宋体" w:hAnsi="宋体" w:eastAsia="宋体" w:cs="宋体"/>
          <w:spacing w:val="-2"/>
          <w:sz w:val="21"/>
          <w:szCs w:val="21"/>
        </w:rPr>
        <w:t>在“国家企业信用信息公示系统”（</w:t>
      </w:r>
      <w:r>
        <w:rPr>
          <w:rFonts w:ascii="Times New Roman" w:hAnsi="Times New Roman" w:eastAsia="Times New Roman" w:cs="Times New Roman"/>
          <w:spacing w:val="-2"/>
          <w:sz w:val="21"/>
          <w:szCs w:val="21"/>
        </w:rPr>
        <w:t>www.gsxt.gov.cn</w:t>
      </w:r>
      <w:r>
        <w:rPr>
          <w:rFonts w:ascii="宋体" w:hAnsi="宋体" w:eastAsia="宋体" w:cs="宋体"/>
          <w:spacing w:val="-2"/>
          <w:sz w:val="21"/>
          <w:szCs w:val="21"/>
        </w:rPr>
        <w:t>）被列入严重违法失信</w:t>
      </w:r>
      <w:r>
        <w:rPr>
          <w:rFonts w:ascii="宋体" w:hAnsi="宋体" w:eastAsia="宋体" w:cs="宋体"/>
          <w:spacing w:val="-3"/>
          <w:sz w:val="21"/>
          <w:szCs w:val="21"/>
        </w:rPr>
        <w:t>企业名单；</w:t>
      </w:r>
    </w:p>
    <w:p w14:paraId="7C479B2D">
      <w:pPr>
        <w:spacing w:before="17" w:line="345" w:lineRule="auto"/>
        <w:ind w:left="24" w:right="52" w:firstLine="417"/>
        <w:rPr>
          <w:rFonts w:ascii="宋体" w:hAnsi="宋体" w:eastAsia="宋体" w:cs="宋体"/>
          <w:sz w:val="21"/>
          <w:szCs w:val="21"/>
        </w:rPr>
      </w:pPr>
      <w:r>
        <w:fldChar w:fldCharType="begin"/>
      </w:r>
      <w:r>
        <w:instrText xml:space="preserve"> HYPERLINK "http://www.creditchina.gov.cn/" </w:instrText>
      </w:r>
      <w:r>
        <w:fldChar w:fldCharType="separate"/>
      </w:r>
      <w:r>
        <w:rPr>
          <w:rFonts w:ascii="Times New Roman" w:hAnsi="Times New Roman" w:eastAsia="Times New Roman" w:cs="Times New Roman"/>
          <w:spacing w:val="-4"/>
          <w:sz w:val="21"/>
          <w:szCs w:val="21"/>
        </w:rPr>
        <w:t>6.</w:t>
      </w:r>
      <w:r>
        <w:rPr>
          <w:rFonts w:ascii="宋体" w:hAnsi="宋体" w:eastAsia="宋体" w:cs="宋体"/>
          <w:spacing w:val="-4"/>
          <w:sz w:val="21"/>
          <w:szCs w:val="21"/>
        </w:rPr>
        <w:t>在</w:t>
      </w:r>
      <w:r>
        <w:rPr>
          <w:rFonts w:ascii="宋体" w:hAnsi="宋体" w:eastAsia="宋体" w:cs="宋体"/>
          <w:spacing w:val="-61"/>
          <w:sz w:val="21"/>
          <w:szCs w:val="21"/>
        </w:rPr>
        <w:t xml:space="preserve"> </w:t>
      </w:r>
      <w:r>
        <w:rPr>
          <w:rFonts w:ascii="宋体" w:hAnsi="宋体" w:eastAsia="宋体" w:cs="宋体"/>
          <w:spacing w:val="-4"/>
          <w:sz w:val="21"/>
          <w:szCs w:val="21"/>
        </w:rPr>
        <w:t>“</w:t>
      </w:r>
      <w:r>
        <w:rPr>
          <w:rFonts w:ascii="宋体" w:hAnsi="宋体" w:eastAsia="宋体" w:cs="宋体"/>
          <w:spacing w:val="-59"/>
          <w:sz w:val="21"/>
          <w:szCs w:val="21"/>
        </w:rPr>
        <w:t xml:space="preserve"> </w:t>
      </w:r>
      <w:r>
        <w:rPr>
          <w:rFonts w:ascii="宋体" w:hAnsi="宋体" w:eastAsia="宋体" w:cs="宋体"/>
          <w:spacing w:val="-4"/>
          <w:sz w:val="21"/>
          <w:szCs w:val="21"/>
        </w:rPr>
        <w:t>信</w:t>
      </w:r>
      <w:r>
        <w:rPr>
          <w:rFonts w:ascii="宋体" w:hAnsi="宋体" w:eastAsia="宋体" w:cs="宋体"/>
          <w:spacing w:val="-57"/>
          <w:sz w:val="21"/>
          <w:szCs w:val="21"/>
        </w:rPr>
        <w:t xml:space="preserve"> </w:t>
      </w:r>
      <w:r>
        <w:rPr>
          <w:rFonts w:ascii="宋体" w:hAnsi="宋体" w:eastAsia="宋体" w:cs="宋体"/>
          <w:spacing w:val="-4"/>
          <w:sz w:val="21"/>
          <w:szCs w:val="21"/>
        </w:rPr>
        <w:t>用</w:t>
      </w:r>
      <w:r>
        <w:rPr>
          <w:rFonts w:ascii="宋体" w:hAnsi="宋体" w:eastAsia="宋体" w:cs="宋体"/>
          <w:spacing w:val="-33"/>
          <w:sz w:val="21"/>
          <w:szCs w:val="21"/>
        </w:rPr>
        <w:t xml:space="preserve"> </w:t>
      </w:r>
      <w:r>
        <w:rPr>
          <w:rFonts w:ascii="宋体" w:hAnsi="宋体" w:eastAsia="宋体" w:cs="宋体"/>
          <w:spacing w:val="-4"/>
          <w:sz w:val="21"/>
          <w:szCs w:val="21"/>
        </w:rPr>
        <w:t>中</w:t>
      </w:r>
      <w:r>
        <w:rPr>
          <w:rFonts w:ascii="宋体" w:hAnsi="宋体" w:eastAsia="宋体" w:cs="宋体"/>
          <w:spacing w:val="-38"/>
          <w:sz w:val="21"/>
          <w:szCs w:val="21"/>
        </w:rPr>
        <w:t xml:space="preserve"> </w:t>
      </w:r>
      <w:r>
        <w:rPr>
          <w:rFonts w:ascii="宋体" w:hAnsi="宋体" w:eastAsia="宋体" w:cs="宋体"/>
          <w:spacing w:val="-4"/>
          <w:sz w:val="21"/>
          <w:szCs w:val="21"/>
        </w:rPr>
        <w:t>国</w:t>
      </w:r>
      <w:r>
        <w:rPr>
          <w:rFonts w:ascii="宋体" w:hAnsi="宋体" w:eastAsia="宋体" w:cs="宋体"/>
          <w:spacing w:val="-34"/>
          <w:sz w:val="21"/>
          <w:szCs w:val="21"/>
        </w:rPr>
        <w:t xml:space="preserve"> </w:t>
      </w:r>
      <w:r>
        <w:rPr>
          <w:rFonts w:ascii="宋体" w:hAnsi="宋体" w:eastAsia="宋体" w:cs="宋体"/>
          <w:spacing w:val="-4"/>
          <w:sz w:val="21"/>
          <w:szCs w:val="21"/>
        </w:rPr>
        <w:t>”</w:t>
      </w:r>
      <w:r>
        <w:rPr>
          <w:rFonts w:ascii="宋体" w:hAnsi="宋体" w:eastAsia="宋体" w:cs="宋体"/>
          <w:spacing w:val="-69"/>
          <w:sz w:val="21"/>
          <w:szCs w:val="21"/>
        </w:rPr>
        <w:t xml:space="preserve"> </w:t>
      </w:r>
      <w:r>
        <w:rPr>
          <w:rFonts w:ascii="宋体" w:hAnsi="宋体" w:eastAsia="宋体" w:cs="宋体"/>
          <w:spacing w:val="-4"/>
          <w:sz w:val="21"/>
          <w:szCs w:val="21"/>
        </w:rPr>
        <w:t>网</w:t>
      </w:r>
      <w:r>
        <w:rPr>
          <w:rFonts w:ascii="宋体" w:hAnsi="宋体" w:eastAsia="宋体" w:cs="宋体"/>
          <w:spacing w:val="-58"/>
          <w:sz w:val="21"/>
          <w:szCs w:val="21"/>
        </w:rPr>
        <w:t xml:space="preserve"> </w:t>
      </w:r>
      <w:r>
        <w:rPr>
          <w:rFonts w:ascii="宋体" w:hAnsi="宋体" w:eastAsia="宋体" w:cs="宋体"/>
          <w:spacing w:val="-4"/>
          <w:sz w:val="21"/>
          <w:szCs w:val="21"/>
        </w:rPr>
        <w:t>站</w:t>
      </w:r>
      <w:r>
        <w:rPr>
          <w:rFonts w:ascii="宋体" w:hAnsi="宋体" w:eastAsia="宋体" w:cs="宋体"/>
          <w:spacing w:val="-61"/>
          <w:sz w:val="21"/>
          <w:szCs w:val="21"/>
        </w:rPr>
        <w:t xml:space="preserve"> </w:t>
      </w:r>
      <w:r>
        <w:rPr>
          <w:rFonts w:ascii="宋体" w:hAnsi="宋体" w:eastAsia="宋体" w:cs="宋体"/>
          <w:spacing w:val="-4"/>
          <w:sz w:val="21"/>
          <w:szCs w:val="21"/>
        </w:rPr>
        <w:t>（</w:t>
      </w:r>
      <w:r>
        <w:rPr>
          <w:rFonts w:ascii="Times New Roman" w:hAnsi="Times New Roman" w:eastAsia="Times New Roman" w:cs="Times New Roman"/>
          <w:spacing w:val="-4"/>
          <w:sz w:val="21"/>
          <w:szCs w:val="21"/>
        </w:rPr>
        <w:t>www.creditchi</w:t>
      </w:r>
      <w:r>
        <w:rPr>
          <w:rFonts w:ascii="Times New Roman" w:hAnsi="Times New Roman" w:eastAsia="Times New Roman" w:cs="Times New Roman"/>
          <w:spacing w:val="-5"/>
          <w:sz w:val="21"/>
          <w:szCs w:val="21"/>
        </w:rPr>
        <w:t>na.gov.cn</w:t>
      </w:r>
      <w:r>
        <w:rPr>
          <w:rFonts w:ascii="宋体" w:hAnsi="宋体" w:eastAsia="宋体" w:cs="宋体"/>
          <w:spacing w:val="-5"/>
          <w:sz w:val="21"/>
          <w:szCs w:val="21"/>
        </w:rPr>
        <w:t>）</w:t>
      </w:r>
      <w:r>
        <w:rPr>
          <w:rFonts w:ascii="宋体" w:hAnsi="宋体" w:eastAsia="宋体" w:cs="宋体"/>
          <w:spacing w:val="-5"/>
          <w:sz w:val="21"/>
          <w:szCs w:val="21"/>
        </w:rPr>
        <w:fldChar w:fldCharType="end"/>
      </w:r>
      <w:r>
        <w:rPr>
          <w:rFonts w:ascii="宋体" w:hAnsi="宋体" w:eastAsia="宋体" w:cs="宋体"/>
          <w:spacing w:val="-51"/>
          <w:sz w:val="21"/>
          <w:szCs w:val="21"/>
        </w:rPr>
        <w:t xml:space="preserve"> </w:t>
      </w:r>
      <w:r>
        <w:rPr>
          <w:rFonts w:ascii="宋体" w:hAnsi="宋体" w:eastAsia="宋体" w:cs="宋体"/>
          <w:spacing w:val="-5"/>
          <w:sz w:val="21"/>
          <w:szCs w:val="21"/>
        </w:rPr>
        <w:t>或</w:t>
      </w:r>
      <w:r>
        <w:rPr>
          <w:rFonts w:ascii="宋体" w:hAnsi="宋体" w:eastAsia="宋体" w:cs="宋体"/>
          <w:spacing w:val="-65"/>
          <w:sz w:val="21"/>
          <w:szCs w:val="21"/>
        </w:rPr>
        <w:t xml:space="preserve"> </w:t>
      </w:r>
      <w:r>
        <w:rPr>
          <w:rFonts w:ascii="宋体" w:hAnsi="宋体" w:eastAsia="宋体" w:cs="宋体"/>
          <w:spacing w:val="-5"/>
          <w:sz w:val="21"/>
          <w:szCs w:val="21"/>
        </w:rPr>
        <w:t>“</w:t>
      </w:r>
      <w:r>
        <w:rPr>
          <w:rFonts w:ascii="宋体" w:hAnsi="宋体" w:eastAsia="宋体" w:cs="宋体"/>
          <w:spacing w:val="-34"/>
          <w:sz w:val="21"/>
          <w:szCs w:val="21"/>
        </w:rPr>
        <w:t xml:space="preserve"> </w:t>
      </w:r>
      <w:r>
        <w:rPr>
          <w:rFonts w:ascii="宋体" w:hAnsi="宋体" w:eastAsia="宋体" w:cs="宋体"/>
          <w:spacing w:val="-5"/>
          <w:sz w:val="21"/>
          <w:szCs w:val="21"/>
        </w:rPr>
        <w:t>中</w:t>
      </w:r>
      <w:r>
        <w:rPr>
          <w:rFonts w:ascii="宋体" w:hAnsi="宋体" w:eastAsia="宋体" w:cs="宋体"/>
          <w:spacing w:val="-38"/>
          <w:sz w:val="21"/>
          <w:szCs w:val="21"/>
        </w:rPr>
        <w:t xml:space="preserve"> </w:t>
      </w:r>
      <w:r>
        <w:rPr>
          <w:rFonts w:ascii="宋体" w:hAnsi="宋体" w:eastAsia="宋体" w:cs="宋体"/>
          <w:spacing w:val="-5"/>
          <w:sz w:val="21"/>
          <w:szCs w:val="21"/>
        </w:rPr>
        <w:t>国</w:t>
      </w:r>
      <w:r>
        <w:rPr>
          <w:rFonts w:ascii="宋体" w:hAnsi="宋体" w:eastAsia="宋体" w:cs="宋体"/>
          <w:spacing w:val="-58"/>
          <w:sz w:val="21"/>
          <w:szCs w:val="21"/>
        </w:rPr>
        <w:t xml:space="preserve"> </w:t>
      </w:r>
      <w:r>
        <w:rPr>
          <w:rFonts w:ascii="宋体" w:hAnsi="宋体" w:eastAsia="宋体" w:cs="宋体"/>
          <w:spacing w:val="-5"/>
          <w:sz w:val="21"/>
          <w:szCs w:val="21"/>
        </w:rPr>
        <w:t>执</w:t>
      </w:r>
      <w:r>
        <w:rPr>
          <w:rFonts w:ascii="宋体" w:hAnsi="宋体" w:eastAsia="宋体" w:cs="宋体"/>
          <w:spacing w:val="-51"/>
          <w:sz w:val="21"/>
          <w:szCs w:val="21"/>
        </w:rPr>
        <w:t xml:space="preserve"> </w:t>
      </w:r>
      <w:r>
        <w:rPr>
          <w:rFonts w:ascii="宋体" w:hAnsi="宋体" w:eastAsia="宋体" w:cs="宋体"/>
          <w:spacing w:val="-5"/>
          <w:sz w:val="21"/>
          <w:szCs w:val="21"/>
        </w:rPr>
        <w:t>行</w:t>
      </w:r>
      <w:r>
        <w:rPr>
          <w:rFonts w:ascii="宋体" w:hAnsi="宋体" w:eastAsia="宋体" w:cs="宋体"/>
          <w:spacing w:val="-58"/>
          <w:sz w:val="21"/>
          <w:szCs w:val="21"/>
        </w:rPr>
        <w:t xml:space="preserve"> </w:t>
      </w:r>
      <w:r>
        <w:rPr>
          <w:rFonts w:ascii="宋体" w:hAnsi="宋体" w:eastAsia="宋体" w:cs="宋体"/>
          <w:spacing w:val="-5"/>
          <w:sz w:val="21"/>
          <w:szCs w:val="21"/>
        </w:rPr>
        <w:t>信</w:t>
      </w:r>
      <w:r>
        <w:rPr>
          <w:rFonts w:ascii="宋体" w:hAnsi="宋体" w:eastAsia="宋体" w:cs="宋体"/>
          <w:spacing w:val="-45"/>
          <w:sz w:val="21"/>
          <w:szCs w:val="21"/>
        </w:rPr>
        <w:t xml:space="preserve"> </w:t>
      </w:r>
      <w:r>
        <w:rPr>
          <w:rFonts w:ascii="宋体" w:hAnsi="宋体" w:eastAsia="宋体" w:cs="宋体"/>
          <w:spacing w:val="-5"/>
          <w:sz w:val="21"/>
          <w:szCs w:val="21"/>
        </w:rPr>
        <w:t>息</w:t>
      </w:r>
      <w:r>
        <w:rPr>
          <w:rFonts w:ascii="宋体" w:hAnsi="宋体" w:eastAsia="宋体" w:cs="宋体"/>
          <w:spacing w:val="-52"/>
          <w:sz w:val="21"/>
          <w:szCs w:val="21"/>
        </w:rPr>
        <w:t xml:space="preserve"> </w:t>
      </w:r>
      <w:r>
        <w:rPr>
          <w:rFonts w:ascii="宋体" w:hAnsi="宋体" w:eastAsia="宋体" w:cs="宋体"/>
          <w:spacing w:val="-5"/>
          <w:sz w:val="21"/>
          <w:szCs w:val="21"/>
        </w:rPr>
        <w:t>公</w:t>
      </w:r>
      <w:r>
        <w:rPr>
          <w:rFonts w:ascii="宋体" w:hAnsi="宋体" w:eastAsia="宋体" w:cs="宋体"/>
          <w:spacing w:val="-57"/>
          <w:sz w:val="21"/>
          <w:szCs w:val="21"/>
        </w:rPr>
        <w:t xml:space="preserve"> </w:t>
      </w:r>
      <w:r>
        <w:rPr>
          <w:rFonts w:ascii="宋体" w:hAnsi="宋体" w:eastAsia="宋体" w:cs="宋体"/>
          <w:spacing w:val="-5"/>
          <w:sz w:val="21"/>
          <w:szCs w:val="21"/>
        </w:rPr>
        <w:t>开</w:t>
      </w:r>
      <w:r>
        <w:rPr>
          <w:rFonts w:ascii="宋体" w:hAnsi="宋体" w:eastAsia="宋体" w:cs="宋体"/>
          <w:spacing w:val="-38"/>
          <w:sz w:val="21"/>
          <w:szCs w:val="21"/>
        </w:rPr>
        <w:t xml:space="preserve"> </w:t>
      </w:r>
      <w:r>
        <w:rPr>
          <w:rFonts w:ascii="宋体" w:hAnsi="宋体" w:eastAsia="宋体" w:cs="宋体"/>
          <w:spacing w:val="-5"/>
          <w:sz w:val="21"/>
          <w:szCs w:val="21"/>
        </w:rPr>
        <w:t>网</w:t>
      </w:r>
      <w:r>
        <w:rPr>
          <w:rFonts w:ascii="宋体" w:hAnsi="宋体" w:eastAsia="宋体" w:cs="宋体"/>
          <w:spacing w:val="-33"/>
          <w:sz w:val="21"/>
          <w:szCs w:val="21"/>
        </w:rPr>
        <w:t xml:space="preserve"> </w:t>
      </w:r>
      <w:r>
        <w:rPr>
          <w:rFonts w:ascii="宋体" w:hAnsi="宋体" w:eastAsia="宋体" w:cs="宋体"/>
          <w:spacing w:val="-5"/>
          <w:sz w:val="21"/>
          <w:szCs w:val="21"/>
        </w:rPr>
        <w:t>”</w:t>
      </w:r>
      <w:r>
        <w:rPr>
          <w:rFonts w:ascii="宋体" w:hAnsi="宋体" w:eastAsia="宋体" w:cs="宋体"/>
          <w:sz w:val="21"/>
          <w:szCs w:val="21"/>
        </w:rPr>
        <w:t xml:space="preserve"> </w:t>
      </w:r>
      <w:r>
        <w:rPr>
          <w:rFonts w:ascii="宋体" w:hAnsi="宋体" w:eastAsia="宋体" w:cs="宋体"/>
          <w:spacing w:val="-2"/>
          <w:sz w:val="21"/>
          <w:szCs w:val="21"/>
        </w:rPr>
        <w:t>（</w:t>
      </w:r>
      <w:r>
        <w:fldChar w:fldCharType="begin"/>
      </w:r>
      <w:r>
        <w:instrText xml:space="preserve"> HYPERLINK "http://zxgk.court.gov.cn/shixin/" </w:instrText>
      </w:r>
      <w:r>
        <w:fldChar w:fldCharType="separate"/>
      </w:r>
      <w:r>
        <w:rPr>
          <w:rFonts w:ascii="Times New Roman" w:hAnsi="Times New Roman" w:eastAsia="Times New Roman" w:cs="Times New Roman"/>
          <w:spacing w:val="-2"/>
          <w:sz w:val="21"/>
          <w:szCs w:val="21"/>
        </w:rPr>
        <w:t>http://zxgk.court.gov.cn/shixin/</w:t>
      </w:r>
      <w:r>
        <w:rPr>
          <w:rFonts w:ascii="Times New Roman" w:hAnsi="Times New Roman" w:eastAsia="Times New Roman" w:cs="Times New Roman"/>
          <w:spacing w:val="-2"/>
          <w:sz w:val="21"/>
          <w:szCs w:val="21"/>
        </w:rPr>
        <w:fldChar w:fldCharType="end"/>
      </w:r>
      <w:r>
        <w:rPr>
          <w:rFonts w:ascii="Times New Roman" w:hAnsi="Times New Roman" w:eastAsia="Times New Roman" w:cs="Times New Roman"/>
          <w:spacing w:val="-22"/>
          <w:sz w:val="21"/>
          <w:szCs w:val="21"/>
        </w:rPr>
        <w:t xml:space="preserve"> </w:t>
      </w:r>
      <w:r>
        <w:rPr>
          <w:rFonts w:ascii="宋体" w:hAnsi="宋体" w:eastAsia="宋体" w:cs="宋体"/>
          <w:spacing w:val="-2"/>
          <w:sz w:val="21"/>
          <w:szCs w:val="21"/>
        </w:rPr>
        <w:t>）被列入失信被执行人名单；</w:t>
      </w:r>
    </w:p>
    <w:p w14:paraId="4DBA0B46">
      <w:pPr>
        <w:spacing w:before="156" w:line="403" w:lineRule="exact"/>
        <w:ind w:left="440"/>
        <w:rPr>
          <w:rFonts w:ascii="宋体" w:hAnsi="宋体" w:eastAsia="宋体" w:cs="宋体"/>
          <w:sz w:val="21"/>
          <w:szCs w:val="21"/>
        </w:rPr>
      </w:pPr>
      <w:r>
        <w:rPr>
          <w:rFonts w:ascii="Times New Roman" w:hAnsi="Times New Roman" w:eastAsia="Times New Roman" w:cs="Times New Roman"/>
          <w:spacing w:val="3"/>
          <w:position w:val="14"/>
          <w:sz w:val="21"/>
          <w:szCs w:val="21"/>
        </w:rPr>
        <w:t>7.</w:t>
      </w:r>
      <w:r>
        <w:rPr>
          <w:rFonts w:ascii="宋体" w:hAnsi="宋体" w:eastAsia="宋体" w:cs="宋体"/>
          <w:spacing w:val="3"/>
          <w:position w:val="14"/>
          <w:sz w:val="21"/>
          <w:szCs w:val="21"/>
        </w:rPr>
        <w:t>在辽宁省建设工程招投标监督平台</w:t>
      </w:r>
      <w:r>
        <w:rPr>
          <w:rFonts w:ascii="Times New Roman" w:hAnsi="Times New Roman" w:eastAsia="Times New Roman" w:cs="Times New Roman"/>
          <w:spacing w:val="3"/>
          <w:position w:val="14"/>
          <w:sz w:val="21"/>
          <w:szCs w:val="21"/>
        </w:rPr>
        <w:t>-</w:t>
      </w:r>
      <w:r>
        <w:rPr>
          <w:rFonts w:ascii="宋体" w:hAnsi="宋体" w:eastAsia="宋体" w:cs="宋体"/>
          <w:spacing w:val="3"/>
          <w:position w:val="14"/>
          <w:sz w:val="21"/>
          <w:szCs w:val="21"/>
        </w:rPr>
        <w:t>辽宁建</w:t>
      </w:r>
      <w:r>
        <w:rPr>
          <w:rFonts w:ascii="宋体" w:hAnsi="宋体" w:eastAsia="宋体" w:cs="宋体"/>
          <w:spacing w:val="2"/>
          <w:position w:val="14"/>
          <w:sz w:val="21"/>
          <w:szCs w:val="21"/>
        </w:rPr>
        <w:t>设工程信息网上被列入不良行为记录且在</w:t>
      </w:r>
    </w:p>
    <w:p w14:paraId="4E3087C4">
      <w:pPr>
        <w:spacing w:before="1" w:line="219" w:lineRule="auto"/>
        <w:ind w:left="24"/>
        <w:rPr>
          <w:rFonts w:ascii="宋体" w:hAnsi="宋体" w:eastAsia="宋体" w:cs="宋体"/>
          <w:sz w:val="21"/>
          <w:szCs w:val="21"/>
        </w:rPr>
      </w:pPr>
      <w:r>
        <w:rPr>
          <w:rFonts w:ascii="宋体" w:hAnsi="宋体" w:eastAsia="宋体" w:cs="宋体"/>
          <w:spacing w:val="-2"/>
          <w:sz w:val="21"/>
          <w:szCs w:val="21"/>
        </w:rPr>
        <w:t>公布期内的；</w:t>
      </w:r>
    </w:p>
    <w:p w14:paraId="0F5FD775">
      <w:pPr>
        <w:spacing w:before="148" w:line="220" w:lineRule="auto"/>
        <w:ind w:left="445"/>
        <w:rPr>
          <w:rFonts w:ascii="宋体" w:hAnsi="宋体" w:eastAsia="宋体" w:cs="宋体"/>
          <w:sz w:val="21"/>
          <w:szCs w:val="21"/>
        </w:rPr>
      </w:pPr>
      <w:r>
        <w:rPr>
          <w:rFonts w:ascii="Times New Roman" w:hAnsi="Times New Roman" w:eastAsia="Times New Roman" w:cs="Times New Roman"/>
          <w:spacing w:val="-1"/>
          <w:sz w:val="21"/>
          <w:szCs w:val="21"/>
        </w:rPr>
        <w:t>8.</w:t>
      </w:r>
      <w:r>
        <w:rPr>
          <w:rFonts w:ascii="宋体" w:hAnsi="宋体" w:eastAsia="宋体" w:cs="宋体"/>
          <w:spacing w:val="-1"/>
          <w:sz w:val="21"/>
          <w:szCs w:val="21"/>
        </w:rPr>
        <w:t>投标人须知前附表第</w:t>
      </w:r>
      <w:r>
        <w:rPr>
          <w:rFonts w:ascii="宋体" w:hAnsi="宋体" w:eastAsia="宋体" w:cs="宋体"/>
          <w:spacing w:val="-26"/>
          <w:sz w:val="21"/>
          <w:szCs w:val="21"/>
        </w:rPr>
        <w:t xml:space="preserve"> </w:t>
      </w:r>
      <w:r>
        <w:rPr>
          <w:rFonts w:ascii="Times New Roman" w:hAnsi="Times New Roman" w:eastAsia="Times New Roman" w:cs="Times New Roman"/>
          <w:spacing w:val="-1"/>
          <w:sz w:val="21"/>
          <w:szCs w:val="21"/>
        </w:rPr>
        <w:t>1.4.3</w:t>
      </w:r>
      <w:r>
        <w:rPr>
          <w:rFonts w:ascii="宋体" w:hAnsi="宋体" w:eastAsia="宋体" w:cs="宋体"/>
          <w:spacing w:val="-1"/>
          <w:sz w:val="21"/>
          <w:szCs w:val="21"/>
        </w:rPr>
        <w:t>（</w:t>
      </w:r>
      <w:r>
        <w:rPr>
          <w:rFonts w:ascii="Times New Roman" w:hAnsi="Times New Roman" w:eastAsia="Times New Roman" w:cs="Times New Roman"/>
          <w:spacing w:val="-1"/>
          <w:sz w:val="21"/>
          <w:szCs w:val="21"/>
        </w:rPr>
        <w:t>17</w:t>
      </w:r>
      <w:r>
        <w:rPr>
          <w:rFonts w:ascii="宋体" w:hAnsi="宋体" w:eastAsia="宋体" w:cs="宋体"/>
          <w:spacing w:val="-1"/>
          <w:sz w:val="21"/>
          <w:szCs w:val="21"/>
        </w:rPr>
        <w:t>）目规</w:t>
      </w:r>
      <w:r>
        <w:rPr>
          <w:rFonts w:ascii="宋体" w:hAnsi="宋体" w:eastAsia="宋体" w:cs="宋体"/>
          <w:spacing w:val="-2"/>
          <w:sz w:val="21"/>
          <w:szCs w:val="21"/>
        </w:rPr>
        <w:t>定的其他情形。</w:t>
      </w:r>
    </w:p>
    <w:p w14:paraId="3AC0CAFE">
      <w:pPr>
        <w:spacing w:before="182" w:line="442" w:lineRule="exact"/>
        <w:ind w:left="442"/>
        <w:rPr>
          <w:rFonts w:ascii="宋体" w:hAnsi="宋体" w:eastAsia="宋体" w:cs="宋体"/>
          <w:sz w:val="21"/>
          <w:szCs w:val="21"/>
        </w:rPr>
      </w:pPr>
      <w:r>
        <w:rPr>
          <w:rFonts w:ascii="宋体" w:hAnsi="宋体" w:eastAsia="宋体" w:cs="宋体"/>
          <w:position w:val="17"/>
          <w:sz w:val="21"/>
          <w:szCs w:val="21"/>
        </w:rPr>
        <w:t>我方对上述声明的真实性和准确性负责，并承担相应的</w:t>
      </w:r>
      <w:r>
        <w:rPr>
          <w:rFonts w:ascii="宋体" w:hAnsi="宋体" w:eastAsia="宋体" w:cs="宋体"/>
          <w:spacing w:val="-1"/>
          <w:position w:val="17"/>
          <w:sz w:val="21"/>
          <w:szCs w:val="21"/>
        </w:rPr>
        <w:t>法律责任。</w:t>
      </w:r>
    </w:p>
    <w:p w14:paraId="05C1054F">
      <w:pPr>
        <w:spacing w:before="1" w:line="219" w:lineRule="auto"/>
        <w:ind w:left="442"/>
        <w:rPr>
          <w:rFonts w:ascii="宋体" w:hAnsi="宋体" w:eastAsia="宋体" w:cs="宋体"/>
          <w:sz w:val="21"/>
          <w:szCs w:val="21"/>
        </w:rPr>
      </w:pPr>
      <w:r>
        <w:rPr>
          <w:rFonts w:ascii="宋体" w:hAnsi="宋体" w:eastAsia="宋体" w:cs="宋体"/>
          <w:spacing w:val="-3"/>
          <w:sz w:val="21"/>
          <w:szCs w:val="21"/>
        </w:rPr>
        <w:t>后附：上述条款</w:t>
      </w:r>
      <w:r>
        <w:rPr>
          <w:rFonts w:ascii="宋体" w:hAnsi="宋体" w:eastAsia="宋体" w:cs="宋体"/>
          <w:spacing w:val="-40"/>
          <w:sz w:val="21"/>
          <w:szCs w:val="21"/>
        </w:rPr>
        <w:t xml:space="preserve"> </w:t>
      </w:r>
      <w:r>
        <w:rPr>
          <w:rFonts w:ascii="宋体" w:hAnsi="宋体" w:eastAsia="宋体" w:cs="宋体"/>
          <w:spacing w:val="-3"/>
          <w:sz w:val="21"/>
          <w:szCs w:val="21"/>
        </w:rPr>
        <w:t>5、6、7</w:t>
      </w:r>
      <w:r>
        <w:rPr>
          <w:rFonts w:ascii="宋体" w:hAnsi="宋体" w:eastAsia="宋体" w:cs="宋体"/>
          <w:spacing w:val="-28"/>
          <w:sz w:val="21"/>
          <w:szCs w:val="21"/>
        </w:rPr>
        <w:t xml:space="preserve"> </w:t>
      </w:r>
      <w:r>
        <w:rPr>
          <w:rFonts w:ascii="宋体" w:hAnsi="宋体" w:eastAsia="宋体" w:cs="宋体"/>
          <w:spacing w:val="-3"/>
          <w:sz w:val="21"/>
          <w:szCs w:val="21"/>
        </w:rPr>
        <w:t>网站查询结果截图。</w:t>
      </w:r>
    </w:p>
    <w:p w14:paraId="3064B38B">
      <w:pPr>
        <w:pStyle w:val="3"/>
        <w:spacing w:line="278" w:lineRule="auto"/>
      </w:pPr>
    </w:p>
    <w:p w14:paraId="55A0C74F">
      <w:pPr>
        <w:pStyle w:val="3"/>
        <w:spacing w:line="279" w:lineRule="auto"/>
      </w:pPr>
    </w:p>
    <w:p w14:paraId="6F1D0A4B">
      <w:pPr>
        <w:spacing w:before="68" w:line="388" w:lineRule="auto"/>
        <w:ind w:left="4011"/>
        <w:rPr>
          <w:rFonts w:ascii="宋体" w:hAnsi="宋体" w:eastAsia="宋体" w:cs="宋体"/>
          <w:sz w:val="21"/>
          <w:szCs w:val="21"/>
        </w:rPr>
      </w:pPr>
      <w:r>
        <w:rPr>
          <w:rFonts w:ascii="宋体" w:hAnsi="宋体" w:eastAsia="宋体" w:cs="宋体"/>
          <w:spacing w:val="-23"/>
          <w:w w:val="98"/>
          <w:sz w:val="21"/>
          <w:szCs w:val="21"/>
        </w:rPr>
        <w:t>投标人</w:t>
      </w:r>
      <w:r>
        <w:rPr>
          <w:rFonts w:ascii="宋体" w:hAnsi="宋体" w:eastAsia="宋体" w:cs="宋体"/>
          <w:spacing w:val="4"/>
          <w:sz w:val="21"/>
          <w:szCs w:val="21"/>
        </w:rPr>
        <w:t>：</w:t>
      </w:r>
      <w:r>
        <w:rPr>
          <w:rFonts w:ascii="宋体" w:hAnsi="宋体" w:eastAsia="宋体" w:cs="宋体"/>
          <w:spacing w:val="9"/>
          <w:sz w:val="21"/>
          <w:szCs w:val="21"/>
        </w:rPr>
        <w:t xml:space="preserve"> </w:t>
      </w:r>
      <w:r>
        <w:rPr>
          <w:rFonts w:ascii="宋体" w:hAnsi="宋体" w:eastAsia="宋体" w:cs="宋体"/>
          <w:spacing w:val="5"/>
          <w:sz w:val="21"/>
          <w:szCs w:val="21"/>
          <w:u w:val="single" w:color="auto"/>
        </w:rPr>
        <w:t xml:space="preserve">                   </w:t>
      </w:r>
      <w:r>
        <w:rPr>
          <w:rFonts w:ascii="宋体" w:hAnsi="宋体" w:eastAsia="宋体" w:cs="宋体"/>
          <w:spacing w:val="-18"/>
          <w:sz w:val="21"/>
          <w:szCs w:val="21"/>
        </w:rPr>
        <w:t xml:space="preserve"> </w:t>
      </w:r>
      <w:r>
        <w:rPr>
          <w:rFonts w:ascii="宋体" w:hAnsi="宋体" w:eastAsia="宋体" w:cs="宋体"/>
          <w:spacing w:val="4"/>
          <w:sz w:val="21"/>
          <w:szCs w:val="21"/>
        </w:rPr>
        <w:t>（</w:t>
      </w:r>
      <w:r>
        <w:rPr>
          <w:rFonts w:ascii="宋体" w:hAnsi="宋体" w:eastAsia="宋体" w:cs="宋体"/>
          <w:spacing w:val="-23"/>
          <w:w w:val="98"/>
          <w:sz w:val="21"/>
          <w:szCs w:val="21"/>
        </w:rPr>
        <w:t>盖单位章）</w:t>
      </w:r>
    </w:p>
    <w:p w14:paraId="441A493E">
      <w:pPr>
        <w:spacing w:before="1" w:line="219" w:lineRule="auto"/>
        <w:ind w:left="2751"/>
        <w:rPr>
          <w:rFonts w:ascii="宋体" w:hAnsi="宋体" w:eastAsia="宋体" w:cs="宋体"/>
          <w:sz w:val="21"/>
          <w:szCs w:val="21"/>
        </w:rPr>
      </w:pPr>
      <w:r>
        <w:rPr>
          <w:rFonts w:ascii="宋体" w:hAnsi="宋体" w:eastAsia="宋体" w:cs="宋体"/>
          <w:spacing w:val="-7"/>
          <w:sz w:val="21"/>
          <w:szCs w:val="21"/>
        </w:rPr>
        <w:t>法定代表人或授权委托人</w:t>
      </w:r>
      <w:r>
        <w:rPr>
          <w:rFonts w:ascii="宋体" w:hAnsi="宋体" w:eastAsia="宋体" w:cs="宋体"/>
          <w:spacing w:val="-13"/>
          <w:sz w:val="21"/>
          <w:szCs w:val="21"/>
        </w:rPr>
        <w:t>：</w:t>
      </w:r>
      <w:r>
        <w:rPr>
          <w:rFonts w:ascii="宋体" w:hAnsi="宋体" w:eastAsia="宋体" w:cs="宋体"/>
          <w:sz w:val="21"/>
          <w:szCs w:val="21"/>
        </w:rPr>
        <w:t xml:space="preserve"> </w:t>
      </w:r>
      <w:r>
        <w:rPr>
          <w:rFonts w:ascii="宋体" w:hAnsi="宋体" w:eastAsia="宋体" w:cs="宋体"/>
          <w:spacing w:val="5"/>
          <w:sz w:val="21"/>
          <w:szCs w:val="21"/>
          <w:u w:val="single" w:color="auto"/>
        </w:rPr>
        <w:t xml:space="preserve">                   </w:t>
      </w:r>
      <w:r>
        <w:rPr>
          <w:rFonts w:ascii="宋体" w:hAnsi="宋体" w:eastAsia="宋体" w:cs="宋体"/>
          <w:spacing w:val="-13"/>
          <w:sz w:val="21"/>
          <w:szCs w:val="21"/>
        </w:rPr>
        <w:t>（</w:t>
      </w:r>
      <w:r>
        <w:rPr>
          <w:rFonts w:ascii="宋体" w:hAnsi="宋体" w:eastAsia="宋体" w:cs="宋体"/>
          <w:spacing w:val="-7"/>
          <w:sz w:val="21"/>
          <w:szCs w:val="21"/>
        </w:rPr>
        <w:t>签章）</w:t>
      </w:r>
    </w:p>
    <w:p w14:paraId="274A8232">
      <w:pPr>
        <w:pStyle w:val="3"/>
        <w:spacing w:line="278" w:lineRule="auto"/>
      </w:pPr>
    </w:p>
    <w:p w14:paraId="750CFAC8">
      <w:pPr>
        <w:pStyle w:val="3"/>
        <w:spacing w:line="278" w:lineRule="auto"/>
      </w:pPr>
    </w:p>
    <w:p w14:paraId="2885A6B8">
      <w:pPr>
        <w:tabs>
          <w:tab w:val="left" w:pos="6107"/>
        </w:tabs>
        <w:spacing w:before="69" w:line="221" w:lineRule="auto"/>
        <w:ind w:left="5263"/>
        <w:rPr>
          <w:rFonts w:ascii="宋体" w:hAnsi="宋体" w:eastAsia="宋体" w:cs="宋体"/>
          <w:sz w:val="21"/>
          <w:szCs w:val="21"/>
        </w:rPr>
      </w:pPr>
      <w:r>
        <w:rPr>
          <w:rFonts w:ascii="宋体" w:hAnsi="宋体" w:eastAsia="宋体" w:cs="宋体"/>
          <w:sz w:val="21"/>
          <w:szCs w:val="21"/>
          <w:u w:val="single" w:color="auto"/>
        </w:rPr>
        <w:tab/>
      </w:r>
      <w:r>
        <w:rPr>
          <w:rFonts w:ascii="宋体" w:hAnsi="宋体" w:eastAsia="宋体" w:cs="宋体"/>
          <w:spacing w:val="11"/>
          <w:sz w:val="21"/>
          <w:szCs w:val="21"/>
        </w:rPr>
        <w:t xml:space="preserve"> </w:t>
      </w:r>
      <w:r>
        <w:rPr>
          <w:rFonts w:ascii="宋体" w:hAnsi="宋体" w:eastAsia="宋体" w:cs="宋体"/>
          <w:spacing w:val="-5"/>
          <w:sz w:val="21"/>
          <w:szCs w:val="21"/>
        </w:rPr>
        <w:t xml:space="preserve">年 </w:t>
      </w:r>
      <w:r>
        <w:rPr>
          <w:rFonts w:ascii="宋体" w:hAnsi="宋体" w:eastAsia="宋体" w:cs="宋体"/>
          <w:sz w:val="21"/>
          <w:szCs w:val="21"/>
          <w:u w:val="single" w:color="auto"/>
        </w:rPr>
        <w:t xml:space="preserve">     </w:t>
      </w:r>
      <w:r>
        <w:rPr>
          <w:rFonts w:ascii="宋体" w:hAnsi="宋体" w:eastAsia="宋体" w:cs="宋体"/>
          <w:spacing w:val="12"/>
          <w:sz w:val="21"/>
          <w:szCs w:val="21"/>
        </w:rPr>
        <w:t xml:space="preserve"> </w:t>
      </w:r>
      <w:r>
        <w:rPr>
          <w:rFonts w:ascii="宋体" w:hAnsi="宋体" w:eastAsia="宋体" w:cs="宋体"/>
          <w:spacing w:val="-5"/>
          <w:sz w:val="21"/>
          <w:szCs w:val="21"/>
        </w:rPr>
        <w:t xml:space="preserve">月 </w:t>
      </w:r>
      <w:r>
        <w:rPr>
          <w:rFonts w:ascii="宋体" w:hAnsi="宋体" w:eastAsia="宋体" w:cs="宋体"/>
          <w:sz w:val="21"/>
          <w:szCs w:val="21"/>
          <w:u w:val="single" w:color="auto"/>
        </w:rPr>
        <w:t xml:space="preserve">     </w:t>
      </w:r>
      <w:r>
        <w:rPr>
          <w:rFonts w:ascii="宋体" w:hAnsi="宋体" w:eastAsia="宋体" w:cs="宋体"/>
          <w:spacing w:val="43"/>
          <w:sz w:val="21"/>
          <w:szCs w:val="21"/>
        </w:rPr>
        <w:t xml:space="preserve"> </w:t>
      </w:r>
      <w:r>
        <w:rPr>
          <w:rFonts w:ascii="宋体" w:hAnsi="宋体" w:eastAsia="宋体" w:cs="宋体"/>
          <w:spacing w:val="-5"/>
          <w:sz w:val="21"/>
          <w:szCs w:val="21"/>
        </w:rPr>
        <w:t>日</w:t>
      </w:r>
    </w:p>
    <w:p w14:paraId="41DC131D">
      <w:pPr>
        <w:pStyle w:val="3"/>
        <w:spacing w:line="284" w:lineRule="auto"/>
      </w:pPr>
    </w:p>
    <w:p w14:paraId="4658750D">
      <w:pPr>
        <w:pStyle w:val="3"/>
        <w:spacing w:line="284" w:lineRule="auto"/>
      </w:pPr>
    </w:p>
    <w:p w14:paraId="4782A6C0">
      <w:pPr>
        <w:pStyle w:val="3"/>
        <w:spacing w:line="284" w:lineRule="auto"/>
      </w:pPr>
    </w:p>
    <w:p w14:paraId="548E0557">
      <w:pPr>
        <w:spacing w:before="69" w:line="230" w:lineRule="auto"/>
        <w:ind w:left="857" w:right="160" w:hanging="837"/>
        <w:rPr>
          <w:rFonts w:ascii="宋体" w:hAnsi="宋体" w:eastAsia="宋体" w:cs="宋体"/>
          <w:sz w:val="21"/>
          <w:szCs w:val="21"/>
        </w:rPr>
      </w:pPr>
      <w:r>
        <w:rPr>
          <w:rFonts w:ascii="宋体" w:hAnsi="宋体" w:eastAsia="宋体" w:cs="宋体"/>
          <w:spacing w:val="-4"/>
          <w:sz w:val="21"/>
          <w:szCs w:val="21"/>
        </w:rPr>
        <w:t>备注： 1.投标人应针对第二章“投标人须知”第 1.4.1 项和第 1.4.3 项的要求</w:t>
      </w:r>
      <w:r>
        <w:rPr>
          <w:rFonts w:ascii="宋体" w:hAnsi="宋体" w:eastAsia="宋体" w:cs="宋体"/>
          <w:spacing w:val="-5"/>
          <w:sz w:val="21"/>
          <w:szCs w:val="21"/>
        </w:rPr>
        <w:t>，在此对其</w:t>
      </w:r>
      <w:r>
        <w:rPr>
          <w:rFonts w:ascii="宋体" w:hAnsi="宋体" w:eastAsia="宋体" w:cs="宋体"/>
          <w:sz w:val="21"/>
          <w:szCs w:val="21"/>
        </w:rPr>
        <w:t xml:space="preserve"> </w:t>
      </w:r>
      <w:r>
        <w:rPr>
          <w:rFonts w:ascii="宋体" w:hAnsi="宋体" w:eastAsia="宋体" w:cs="宋体"/>
          <w:spacing w:val="-1"/>
          <w:sz w:val="21"/>
          <w:szCs w:val="21"/>
        </w:rPr>
        <w:t>信誉情况做出说明。如上格式文件所示。</w:t>
      </w:r>
    </w:p>
    <w:p w14:paraId="6484CEFA">
      <w:pPr>
        <w:spacing w:before="23" w:line="221" w:lineRule="auto"/>
        <w:ind w:left="654"/>
        <w:rPr>
          <w:rFonts w:ascii="宋体" w:hAnsi="宋体" w:eastAsia="宋体" w:cs="宋体"/>
          <w:sz w:val="21"/>
          <w:szCs w:val="21"/>
        </w:rPr>
      </w:pPr>
      <w:r>
        <w:rPr>
          <w:rFonts w:ascii="宋体" w:hAnsi="宋体" w:eastAsia="宋体" w:cs="宋体"/>
          <w:spacing w:val="-1"/>
          <w:sz w:val="21"/>
          <w:szCs w:val="21"/>
        </w:rPr>
        <w:t>2.联合体投标的，联合体各成员单位均应按要求做出说明。</w:t>
      </w:r>
    </w:p>
    <w:p w14:paraId="60E5F951">
      <w:pPr>
        <w:spacing w:line="221" w:lineRule="auto"/>
        <w:rPr>
          <w:rFonts w:ascii="宋体" w:hAnsi="宋体" w:eastAsia="宋体" w:cs="宋体"/>
          <w:sz w:val="21"/>
          <w:szCs w:val="21"/>
        </w:rPr>
        <w:sectPr>
          <w:footerReference r:id="rId219" w:type="default"/>
          <w:pgSz w:w="11905" w:h="16839"/>
          <w:pgMar w:top="400" w:right="1631" w:bottom="1004" w:left="1785" w:header="0" w:footer="828" w:gutter="0"/>
          <w:pgNumType w:fmt="decimal"/>
          <w:cols w:space="720" w:num="1"/>
        </w:sectPr>
      </w:pPr>
    </w:p>
    <w:p w14:paraId="3437A65B">
      <w:pPr>
        <w:pStyle w:val="3"/>
        <w:spacing w:line="267" w:lineRule="auto"/>
      </w:pPr>
    </w:p>
    <w:p w14:paraId="74E34D27">
      <w:pPr>
        <w:pStyle w:val="3"/>
        <w:spacing w:line="268" w:lineRule="auto"/>
      </w:pPr>
    </w:p>
    <w:p w14:paraId="488E3675">
      <w:pPr>
        <w:pStyle w:val="3"/>
        <w:spacing w:line="268" w:lineRule="auto"/>
      </w:pPr>
    </w:p>
    <w:p w14:paraId="08EA251C">
      <w:pPr>
        <w:pStyle w:val="3"/>
        <w:spacing w:line="268" w:lineRule="auto"/>
      </w:pPr>
    </w:p>
    <w:p w14:paraId="071976D2">
      <w:pPr>
        <w:spacing w:before="78" w:line="217" w:lineRule="auto"/>
        <w:ind w:left="2547"/>
        <w:rPr>
          <w:rFonts w:ascii="黑体" w:hAnsi="黑体" w:eastAsia="黑体" w:cs="黑体"/>
          <w:sz w:val="24"/>
          <w:szCs w:val="24"/>
        </w:rPr>
      </w:pPr>
      <w:bookmarkStart w:id="1340" w:name="bookmark325"/>
      <w:bookmarkEnd w:id="1340"/>
      <w:r>
        <w:rPr>
          <w:rFonts w:ascii="Times New Roman" w:hAnsi="Times New Roman" w:eastAsia="Times New Roman" w:cs="Times New Roman"/>
          <w:spacing w:val="-1"/>
          <w:sz w:val="24"/>
          <w:szCs w:val="24"/>
        </w:rPr>
        <w:t xml:space="preserve">5-2 </w:t>
      </w:r>
      <w:r>
        <w:rPr>
          <w:rFonts w:ascii="黑体" w:hAnsi="黑体" w:eastAsia="黑体" w:cs="黑体"/>
          <w:spacing w:val="-1"/>
          <w:sz w:val="24"/>
          <w:szCs w:val="24"/>
        </w:rPr>
        <w:t>近年发生的诉讼和仲裁情况</w:t>
      </w:r>
    </w:p>
    <w:tbl>
      <w:tblPr>
        <w:tblStyle w:val="10"/>
        <w:tblW w:w="8282" w:type="dxa"/>
        <w:tblInd w:w="1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25"/>
        <w:gridCol w:w="915"/>
        <w:gridCol w:w="1203"/>
        <w:gridCol w:w="3384"/>
        <w:gridCol w:w="1855"/>
      </w:tblGrid>
      <w:tr w14:paraId="7F27A8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0" w:hRule="atLeast"/>
        </w:trPr>
        <w:tc>
          <w:tcPr>
            <w:tcW w:w="925" w:type="dxa"/>
            <w:tcBorders>
              <w:top w:val="single" w:color="000000" w:sz="6" w:space="0"/>
              <w:left w:val="single" w:color="000000" w:sz="6" w:space="0"/>
            </w:tcBorders>
            <w:vAlign w:val="top"/>
          </w:tcPr>
          <w:p w14:paraId="30FF1FAB">
            <w:pPr>
              <w:pStyle w:val="11"/>
              <w:spacing w:before="230" w:line="221" w:lineRule="auto"/>
              <w:ind w:left="252"/>
            </w:pPr>
            <w:r>
              <w:rPr>
                <w:spacing w:val="-2"/>
              </w:rPr>
              <w:t>类别</w:t>
            </w:r>
          </w:p>
        </w:tc>
        <w:tc>
          <w:tcPr>
            <w:tcW w:w="915" w:type="dxa"/>
            <w:tcBorders>
              <w:top w:val="single" w:color="000000" w:sz="6" w:space="0"/>
            </w:tcBorders>
            <w:vAlign w:val="top"/>
          </w:tcPr>
          <w:p w14:paraId="09690E6F">
            <w:pPr>
              <w:pStyle w:val="11"/>
              <w:spacing w:before="230" w:line="222" w:lineRule="auto"/>
              <w:ind w:left="248"/>
            </w:pPr>
            <w:r>
              <w:rPr>
                <w:spacing w:val="-2"/>
              </w:rPr>
              <w:t>序号</w:t>
            </w:r>
          </w:p>
        </w:tc>
        <w:tc>
          <w:tcPr>
            <w:tcW w:w="1203" w:type="dxa"/>
            <w:tcBorders>
              <w:top w:val="single" w:color="000000" w:sz="6" w:space="0"/>
            </w:tcBorders>
            <w:vAlign w:val="top"/>
          </w:tcPr>
          <w:p w14:paraId="4B4BE7B4">
            <w:pPr>
              <w:pStyle w:val="11"/>
              <w:spacing w:before="231" w:line="221" w:lineRule="auto"/>
              <w:ind w:left="188"/>
            </w:pPr>
            <w:r>
              <w:rPr>
                <w:spacing w:val="-2"/>
              </w:rPr>
              <w:t>发生时间</w:t>
            </w:r>
          </w:p>
        </w:tc>
        <w:tc>
          <w:tcPr>
            <w:tcW w:w="3384" w:type="dxa"/>
            <w:tcBorders>
              <w:top w:val="single" w:color="000000" w:sz="6" w:space="0"/>
            </w:tcBorders>
            <w:vAlign w:val="top"/>
          </w:tcPr>
          <w:p w14:paraId="38D60210">
            <w:pPr>
              <w:pStyle w:val="11"/>
              <w:spacing w:before="230" w:line="220" w:lineRule="auto"/>
              <w:ind w:left="1282"/>
            </w:pPr>
            <w:r>
              <w:rPr>
                <w:spacing w:val="-1"/>
              </w:rPr>
              <w:t>情况简介</w:t>
            </w:r>
          </w:p>
        </w:tc>
        <w:tc>
          <w:tcPr>
            <w:tcW w:w="1855" w:type="dxa"/>
            <w:tcBorders>
              <w:top w:val="single" w:color="000000" w:sz="6" w:space="0"/>
              <w:right w:val="single" w:color="000000" w:sz="6" w:space="0"/>
            </w:tcBorders>
            <w:vAlign w:val="top"/>
          </w:tcPr>
          <w:p w14:paraId="491B2E13">
            <w:pPr>
              <w:pStyle w:val="11"/>
              <w:spacing w:before="230" w:line="220" w:lineRule="auto"/>
              <w:ind w:left="308"/>
            </w:pPr>
            <w:r>
              <w:rPr>
                <w:spacing w:val="-1"/>
              </w:rPr>
              <w:t>证明材料索引</w:t>
            </w:r>
          </w:p>
        </w:tc>
      </w:tr>
      <w:tr w14:paraId="1BE754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28" w:hRule="atLeast"/>
        </w:trPr>
        <w:tc>
          <w:tcPr>
            <w:tcW w:w="925" w:type="dxa"/>
            <w:vMerge w:val="restart"/>
            <w:tcBorders>
              <w:left w:val="single" w:color="000000" w:sz="6" w:space="0"/>
              <w:bottom w:val="nil"/>
            </w:tcBorders>
            <w:textDirection w:val="tbRlV"/>
            <w:vAlign w:val="top"/>
          </w:tcPr>
          <w:p w14:paraId="509B77B2">
            <w:pPr>
              <w:spacing w:line="275" w:lineRule="auto"/>
              <w:rPr>
                <w:rFonts w:ascii="Arial"/>
                <w:sz w:val="21"/>
              </w:rPr>
            </w:pPr>
          </w:p>
          <w:p w14:paraId="1EAF3944">
            <w:pPr>
              <w:pStyle w:val="11"/>
              <w:spacing w:before="70" w:line="210" w:lineRule="auto"/>
              <w:ind w:left="1529"/>
            </w:pPr>
            <w:r>
              <w:rPr>
                <w:spacing w:val="22"/>
              </w:rPr>
              <w:t>诉讼情况</w:t>
            </w:r>
          </w:p>
        </w:tc>
        <w:tc>
          <w:tcPr>
            <w:tcW w:w="915" w:type="dxa"/>
            <w:vAlign w:val="top"/>
          </w:tcPr>
          <w:p w14:paraId="3101C698">
            <w:pPr>
              <w:rPr>
                <w:rFonts w:ascii="Arial"/>
                <w:sz w:val="21"/>
              </w:rPr>
            </w:pPr>
          </w:p>
        </w:tc>
        <w:tc>
          <w:tcPr>
            <w:tcW w:w="1203" w:type="dxa"/>
            <w:vAlign w:val="top"/>
          </w:tcPr>
          <w:p w14:paraId="3A45B33E">
            <w:pPr>
              <w:rPr>
                <w:rFonts w:ascii="Arial"/>
                <w:sz w:val="21"/>
              </w:rPr>
            </w:pPr>
          </w:p>
        </w:tc>
        <w:tc>
          <w:tcPr>
            <w:tcW w:w="3384" w:type="dxa"/>
            <w:vAlign w:val="top"/>
          </w:tcPr>
          <w:p w14:paraId="14E8FBAD">
            <w:pPr>
              <w:rPr>
                <w:rFonts w:ascii="Arial"/>
                <w:sz w:val="21"/>
              </w:rPr>
            </w:pPr>
          </w:p>
        </w:tc>
        <w:tc>
          <w:tcPr>
            <w:tcW w:w="1855" w:type="dxa"/>
            <w:tcBorders>
              <w:right w:val="single" w:color="000000" w:sz="6" w:space="0"/>
            </w:tcBorders>
            <w:vAlign w:val="top"/>
          </w:tcPr>
          <w:p w14:paraId="668F4196">
            <w:pPr>
              <w:rPr>
                <w:rFonts w:ascii="Arial"/>
                <w:sz w:val="21"/>
              </w:rPr>
            </w:pPr>
          </w:p>
        </w:tc>
      </w:tr>
      <w:tr w14:paraId="650231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27" w:hRule="atLeast"/>
        </w:trPr>
        <w:tc>
          <w:tcPr>
            <w:tcW w:w="925" w:type="dxa"/>
            <w:vMerge w:val="continue"/>
            <w:tcBorders>
              <w:top w:val="nil"/>
              <w:left w:val="single" w:color="000000" w:sz="6" w:space="0"/>
              <w:bottom w:val="nil"/>
            </w:tcBorders>
            <w:textDirection w:val="tbRlV"/>
            <w:vAlign w:val="top"/>
          </w:tcPr>
          <w:p w14:paraId="636E7A9D">
            <w:pPr>
              <w:rPr>
                <w:rFonts w:ascii="Arial"/>
                <w:sz w:val="21"/>
              </w:rPr>
            </w:pPr>
          </w:p>
        </w:tc>
        <w:tc>
          <w:tcPr>
            <w:tcW w:w="915" w:type="dxa"/>
            <w:vAlign w:val="top"/>
          </w:tcPr>
          <w:p w14:paraId="61865830">
            <w:pPr>
              <w:rPr>
                <w:rFonts w:ascii="Arial"/>
                <w:sz w:val="21"/>
              </w:rPr>
            </w:pPr>
          </w:p>
        </w:tc>
        <w:tc>
          <w:tcPr>
            <w:tcW w:w="1203" w:type="dxa"/>
            <w:vAlign w:val="top"/>
          </w:tcPr>
          <w:p w14:paraId="7131067E">
            <w:pPr>
              <w:rPr>
                <w:rFonts w:ascii="Arial"/>
                <w:sz w:val="21"/>
              </w:rPr>
            </w:pPr>
          </w:p>
        </w:tc>
        <w:tc>
          <w:tcPr>
            <w:tcW w:w="3384" w:type="dxa"/>
            <w:vAlign w:val="top"/>
          </w:tcPr>
          <w:p w14:paraId="296192AA">
            <w:pPr>
              <w:rPr>
                <w:rFonts w:ascii="Arial"/>
                <w:sz w:val="21"/>
              </w:rPr>
            </w:pPr>
          </w:p>
        </w:tc>
        <w:tc>
          <w:tcPr>
            <w:tcW w:w="1855" w:type="dxa"/>
            <w:tcBorders>
              <w:right w:val="single" w:color="000000" w:sz="6" w:space="0"/>
            </w:tcBorders>
            <w:vAlign w:val="top"/>
          </w:tcPr>
          <w:p w14:paraId="767A8DCB">
            <w:pPr>
              <w:rPr>
                <w:rFonts w:ascii="Arial"/>
                <w:sz w:val="21"/>
              </w:rPr>
            </w:pPr>
          </w:p>
        </w:tc>
      </w:tr>
      <w:tr w14:paraId="3D6899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28" w:hRule="atLeast"/>
        </w:trPr>
        <w:tc>
          <w:tcPr>
            <w:tcW w:w="925" w:type="dxa"/>
            <w:vMerge w:val="continue"/>
            <w:tcBorders>
              <w:top w:val="nil"/>
              <w:left w:val="single" w:color="000000" w:sz="6" w:space="0"/>
            </w:tcBorders>
            <w:textDirection w:val="tbRlV"/>
            <w:vAlign w:val="top"/>
          </w:tcPr>
          <w:p w14:paraId="1C0BD9FC">
            <w:pPr>
              <w:rPr>
                <w:rFonts w:ascii="Arial"/>
                <w:sz w:val="21"/>
              </w:rPr>
            </w:pPr>
          </w:p>
        </w:tc>
        <w:tc>
          <w:tcPr>
            <w:tcW w:w="915" w:type="dxa"/>
            <w:vAlign w:val="top"/>
          </w:tcPr>
          <w:p w14:paraId="54002483">
            <w:pPr>
              <w:rPr>
                <w:rFonts w:ascii="Arial"/>
                <w:sz w:val="21"/>
              </w:rPr>
            </w:pPr>
          </w:p>
        </w:tc>
        <w:tc>
          <w:tcPr>
            <w:tcW w:w="1203" w:type="dxa"/>
            <w:vAlign w:val="top"/>
          </w:tcPr>
          <w:p w14:paraId="6B643CE0">
            <w:pPr>
              <w:rPr>
                <w:rFonts w:ascii="Arial"/>
                <w:sz w:val="21"/>
              </w:rPr>
            </w:pPr>
          </w:p>
        </w:tc>
        <w:tc>
          <w:tcPr>
            <w:tcW w:w="3384" w:type="dxa"/>
            <w:vAlign w:val="top"/>
          </w:tcPr>
          <w:p w14:paraId="41D21016">
            <w:pPr>
              <w:rPr>
                <w:rFonts w:ascii="Arial"/>
                <w:sz w:val="21"/>
              </w:rPr>
            </w:pPr>
          </w:p>
        </w:tc>
        <w:tc>
          <w:tcPr>
            <w:tcW w:w="1855" w:type="dxa"/>
            <w:tcBorders>
              <w:right w:val="single" w:color="000000" w:sz="6" w:space="0"/>
            </w:tcBorders>
            <w:vAlign w:val="top"/>
          </w:tcPr>
          <w:p w14:paraId="4C037028">
            <w:pPr>
              <w:rPr>
                <w:rFonts w:ascii="Arial"/>
                <w:sz w:val="21"/>
              </w:rPr>
            </w:pPr>
          </w:p>
        </w:tc>
      </w:tr>
      <w:tr w14:paraId="614B3D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27" w:hRule="atLeast"/>
        </w:trPr>
        <w:tc>
          <w:tcPr>
            <w:tcW w:w="925" w:type="dxa"/>
            <w:vMerge w:val="restart"/>
            <w:tcBorders>
              <w:left w:val="single" w:color="000000" w:sz="6" w:space="0"/>
              <w:bottom w:val="nil"/>
            </w:tcBorders>
            <w:textDirection w:val="tbRlV"/>
            <w:vAlign w:val="top"/>
          </w:tcPr>
          <w:p w14:paraId="4D417662">
            <w:pPr>
              <w:spacing w:line="274" w:lineRule="auto"/>
              <w:rPr>
                <w:rFonts w:ascii="Arial"/>
                <w:sz w:val="21"/>
              </w:rPr>
            </w:pPr>
          </w:p>
          <w:p w14:paraId="199D04C5">
            <w:pPr>
              <w:pStyle w:val="11"/>
              <w:spacing w:before="70" w:line="210" w:lineRule="auto"/>
              <w:ind w:left="1535"/>
            </w:pPr>
            <w:r>
              <w:rPr>
                <w:spacing w:val="22"/>
              </w:rPr>
              <w:t>仲裁情况</w:t>
            </w:r>
          </w:p>
        </w:tc>
        <w:tc>
          <w:tcPr>
            <w:tcW w:w="915" w:type="dxa"/>
            <w:vAlign w:val="top"/>
          </w:tcPr>
          <w:p w14:paraId="7D743CC6">
            <w:pPr>
              <w:rPr>
                <w:rFonts w:ascii="Arial"/>
                <w:sz w:val="21"/>
              </w:rPr>
            </w:pPr>
          </w:p>
        </w:tc>
        <w:tc>
          <w:tcPr>
            <w:tcW w:w="1203" w:type="dxa"/>
            <w:vAlign w:val="top"/>
          </w:tcPr>
          <w:p w14:paraId="34012954">
            <w:pPr>
              <w:rPr>
                <w:rFonts w:ascii="Arial"/>
                <w:sz w:val="21"/>
              </w:rPr>
            </w:pPr>
          </w:p>
        </w:tc>
        <w:tc>
          <w:tcPr>
            <w:tcW w:w="3384" w:type="dxa"/>
            <w:vAlign w:val="top"/>
          </w:tcPr>
          <w:p w14:paraId="1B9BD503">
            <w:pPr>
              <w:rPr>
                <w:rFonts w:ascii="Arial"/>
                <w:sz w:val="21"/>
              </w:rPr>
            </w:pPr>
          </w:p>
        </w:tc>
        <w:tc>
          <w:tcPr>
            <w:tcW w:w="1855" w:type="dxa"/>
            <w:tcBorders>
              <w:right w:val="single" w:color="000000" w:sz="6" w:space="0"/>
            </w:tcBorders>
            <w:vAlign w:val="top"/>
          </w:tcPr>
          <w:p w14:paraId="22F71472">
            <w:pPr>
              <w:rPr>
                <w:rFonts w:ascii="Arial"/>
                <w:sz w:val="21"/>
              </w:rPr>
            </w:pPr>
          </w:p>
        </w:tc>
      </w:tr>
      <w:tr w14:paraId="0138D4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27" w:hRule="atLeast"/>
        </w:trPr>
        <w:tc>
          <w:tcPr>
            <w:tcW w:w="925" w:type="dxa"/>
            <w:vMerge w:val="continue"/>
            <w:tcBorders>
              <w:top w:val="nil"/>
              <w:left w:val="single" w:color="000000" w:sz="6" w:space="0"/>
              <w:bottom w:val="nil"/>
            </w:tcBorders>
            <w:textDirection w:val="tbRlV"/>
            <w:vAlign w:val="top"/>
          </w:tcPr>
          <w:p w14:paraId="30AA5C80">
            <w:pPr>
              <w:rPr>
                <w:rFonts w:ascii="Arial"/>
                <w:sz w:val="21"/>
              </w:rPr>
            </w:pPr>
          </w:p>
        </w:tc>
        <w:tc>
          <w:tcPr>
            <w:tcW w:w="915" w:type="dxa"/>
            <w:vAlign w:val="top"/>
          </w:tcPr>
          <w:p w14:paraId="16DEC06D">
            <w:pPr>
              <w:rPr>
                <w:rFonts w:ascii="Arial"/>
                <w:sz w:val="21"/>
              </w:rPr>
            </w:pPr>
          </w:p>
        </w:tc>
        <w:tc>
          <w:tcPr>
            <w:tcW w:w="1203" w:type="dxa"/>
            <w:vAlign w:val="top"/>
          </w:tcPr>
          <w:p w14:paraId="4219B258">
            <w:pPr>
              <w:rPr>
                <w:rFonts w:ascii="Arial"/>
                <w:sz w:val="21"/>
              </w:rPr>
            </w:pPr>
          </w:p>
        </w:tc>
        <w:tc>
          <w:tcPr>
            <w:tcW w:w="3384" w:type="dxa"/>
            <w:vAlign w:val="top"/>
          </w:tcPr>
          <w:p w14:paraId="333A4472">
            <w:pPr>
              <w:rPr>
                <w:rFonts w:ascii="Arial"/>
                <w:sz w:val="21"/>
              </w:rPr>
            </w:pPr>
          </w:p>
        </w:tc>
        <w:tc>
          <w:tcPr>
            <w:tcW w:w="1855" w:type="dxa"/>
            <w:tcBorders>
              <w:right w:val="single" w:color="000000" w:sz="6" w:space="0"/>
            </w:tcBorders>
            <w:vAlign w:val="top"/>
          </w:tcPr>
          <w:p w14:paraId="1E505D0E">
            <w:pPr>
              <w:rPr>
                <w:rFonts w:ascii="Arial"/>
                <w:sz w:val="21"/>
              </w:rPr>
            </w:pPr>
          </w:p>
        </w:tc>
      </w:tr>
      <w:tr w14:paraId="656040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42" w:hRule="atLeast"/>
        </w:trPr>
        <w:tc>
          <w:tcPr>
            <w:tcW w:w="925" w:type="dxa"/>
            <w:vMerge w:val="continue"/>
            <w:tcBorders>
              <w:top w:val="nil"/>
              <w:left w:val="single" w:color="000000" w:sz="6" w:space="0"/>
              <w:bottom w:val="single" w:color="000000" w:sz="6" w:space="0"/>
            </w:tcBorders>
            <w:textDirection w:val="tbRlV"/>
            <w:vAlign w:val="top"/>
          </w:tcPr>
          <w:p w14:paraId="667614F4">
            <w:pPr>
              <w:rPr>
                <w:rFonts w:ascii="Arial"/>
                <w:sz w:val="21"/>
              </w:rPr>
            </w:pPr>
          </w:p>
        </w:tc>
        <w:tc>
          <w:tcPr>
            <w:tcW w:w="915" w:type="dxa"/>
            <w:tcBorders>
              <w:bottom w:val="single" w:color="000000" w:sz="6" w:space="0"/>
            </w:tcBorders>
            <w:vAlign w:val="top"/>
          </w:tcPr>
          <w:p w14:paraId="3D0EB2F3">
            <w:pPr>
              <w:rPr>
                <w:rFonts w:ascii="Arial"/>
                <w:sz w:val="21"/>
              </w:rPr>
            </w:pPr>
          </w:p>
        </w:tc>
        <w:tc>
          <w:tcPr>
            <w:tcW w:w="1203" w:type="dxa"/>
            <w:tcBorders>
              <w:bottom w:val="single" w:color="000000" w:sz="6" w:space="0"/>
            </w:tcBorders>
            <w:vAlign w:val="top"/>
          </w:tcPr>
          <w:p w14:paraId="6F09B08A">
            <w:pPr>
              <w:rPr>
                <w:rFonts w:ascii="Arial"/>
                <w:sz w:val="21"/>
              </w:rPr>
            </w:pPr>
          </w:p>
        </w:tc>
        <w:tc>
          <w:tcPr>
            <w:tcW w:w="3384" w:type="dxa"/>
            <w:tcBorders>
              <w:bottom w:val="single" w:color="000000" w:sz="6" w:space="0"/>
            </w:tcBorders>
            <w:vAlign w:val="top"/>
          </w:tcPr>
          <w:p w14:paraId="53559B2E">
            <w:pPr>
              <w:rPr>
                <w:rFonts w:ascii="Arial"/>
                <w:sz w:val="21"/>
              </w:rPr>
            </w:pPr>
          </w:p>
        </w:tc>
        <w:tc>
          <w:tcPr>
            <w:tcW w:w="1855" w:type="dxa"/>
            <w:tcBorders>
              <w:bottom w:val="single" w:color="000000" w:sz="6" w:space="0"/>
              <w:right w:val="single" w:color="000000" w:sz="6" w:space="0"/>
            </w:tcBorders>
            <w:vAlign w:val="top"/>
          </w:tcPr>
          <w:p w14:paraId="143E0F19">
            <w:pPr>
              <w:rPr>
                <w:rFonts w:ascii="Arial"/>
                <w:sz w:val="21"/>
              </w:rPr>
            </w:pPr>
          </w:p>
        </w:tc>
      </w:tr>
    </w:tbl>
    <w:p w14:paraId="3A39DB15">
      <w:pPr>
        <w:spacing w:before="140" w:line="398" w:lineRule="exact"/>
        <w:ind w:left="20"/>
        <w:rPr>
          <w:rFonts w:ascii="宋体" w:hAnsi="宋体" w:eastAsia="宋体" w:cs="宋体"/>
          <w:sz w:val="21"/>
          <w:szCs w:val="21"/>
        </w:rPr>
      </w:pPr>
      <w:r>
        <w:rPr>
          <w:rFonts w:ascii="宋体" w:hAnsi="宋体" w:eastAsia="宋体" w:cs="宋体"/>
          <w:spacing w:val="2"/>
          <w:position w:val="14"/>
          <w:sz w:val="21"/>
          <w:szCs w:val="21"/>
        </w:rPr>
        <w:t xml:space="preserve">备注： </w:t>
      </w:r>
      <w:r>
        <w:rPr>
          <w:rFonts w:ascii="Times New Roman" w:hAnsi="Times New Roman" w:eastAsia="Times New Roman" w:cs="Times New Roman"/>
          <w:spacing w:val="2"/>
          <w:position w:val="14"/>
          <w:sz w:val="21"/>
          <w:szCs w:val="21"/>
        </w:rPr>
        <w:t>1.</w:t>
      </w:r>
      <w:r>
        <w:rPr>
          <w:rFonts w:ascii="宋体" w:hAnsi="宋体" w:eastAsia="宋体" w:cs="宋体"/>
          <w:spacing w:val="2"/>
          <w:position w:val="14"/>
          <w:sz w:val="21"/>
          <w:szCs w:val="21"/>
        </w:rPr>
        <w:t>招标文件将近年发生的诉讼和仲裁</w:t>
      </w:r>
      <w:r>
        <w:rPr>
          <w:rFonts w:ascii="宋体" w:hAnsi="宋体" w:eastAsia="宋体" w:cs="宋体"/>
          <w:spacing w:val="1"/>
          <w:position w:val="14"/>
          <w:sz w:val="21"/>
          <w:szCs w:val="21"/>
        </w:rPr>
        <w:t>情况作为资格条件或评分项的，投标人应当如</w:t>
      </w:r>
    </w:p>
    <w:p w14:paraId="29A9BB6C">
      <w:pPr>
        <w:spacing w:line="220" w:lineRule="auto"/>
        <w:ind w:left="863"/>
        <w:rPr>
          <w:rFonts w:ascii="宋体" w:hAnsi="宋体" w:eastAsia="宋体" w:cs="宋体"/>
          <w:sz w:val="21"/>
          <w:szCs w:val="21"/>
        </w:rPr>
      </w:pPr>
      <w:r>
        <w:rPr>
          <w:rFonts w:ascii="宋体" w:hAnsi="宋体" w:eastAsia="宋体" w:cs="宋体"/>
          <w:spacing w:val="-8"/>
          <w:sz w:val="21"/>
          <w:szCs w:val="21"/>
        </w:rPr>
        <w:t>实填报相关情况。 没有可不填。</w:t>
      </w:r>
    </w:p>
    <w:p w14:paraId="5122A2F8">
      <w:pPr>
        <w:spacing w:before="153" w:line="350" w:lineRule="auto"/>
        <w:ind w:left="857" w:right="11" w:hanging="214"/>
        <w:rPr>
          <w:rFonts w:ascii="宋体" w:hAnsi="宋体" w:eastAsia="宋体" w:cs="宋体"/>
          <w:sz w:val="21"/>
          <w:szCs w:val="21"/>
        </w:rPr>
      </w:pPr>
      <w:r>
        <w:rPr>
          <w:rFonts w:ascii="Times New Roman" w:hAnsi="Times New Roman" w:eastAsia="Times New Roman" w:cs="Times New Roman"/>
          <w:spacing w:val="5"/>
          <w:sz w:val="21"/>
          <w:szCs w:val="21"/>
        </w:rPr>
        <w:t>2.</w:t>
      </w:r>
      <w:r>
        <w:rPr>
          <w:rFonts w:ascii="宋体" w:hAnsi="宋体" w:eastAsia="宋体" w:cs="宋体"/>
          <w:spacing w:val="5"/>
          <w:sz w:val="21"/>
          <w:szCs w:val="21"/>
        </w:rPr>
        <w:t>近年发生的诉讼和仲裁情况仅限于申请</w:t>
      </w:r>
      <w:r>
        <w:rPr>
          <w:rFonts w:ascii="宋体" w:hAnsi="宋体" w:eastAsia="宋体" w:cs="宋体"/>
          <w:spacing w:val="4"/>
          <w:sz w:val="21"/>
          <w:szCs w:val="21"/>
        </w:rPr>
        <w:t>人败诉的，且与签订或履行合同有关的案</w:t>
      </w:r>
      <w:r>
        <w:rPr>
          <w:rFonts w:ascii="宋体" w:hAnsi="宋体" w:eastAsia="宋体" w:cs="宋体"/>
          <w:sz w:val="21"/>
          <w:szCs w:val="21"/>
        </w:rPr>
        <w:t xml:space="preserve"> </w:t>
      </w:r>
      <w:r>
        <w:rPr>
          <w:rFonts w:ascii="宋体" w:hAnsi="宋体" w:eastAsia="宋体" w:cs="宋体"/>
          <w:spacing w:val="3"/>
          <w:sz w:val="21"/>
          <w:szCs w:val="21"/>
        </w:rPr>
        <w:t>件，不包括调解结案以及未终审判决的诉讼或未裁决的仲裁。附法院或仲裁机构</w:t>
      </w:r>
    </w:p>
    <w:p w14:paraId="1D2B22EC">
      <w:pPr>
        <w:spacing w:before="1" w:line="219" w:lineRule="auto"/>
        <w:ind w:left="859"/>
        <w:rPr>
          <w:rFonts w:ascii="宋体" w:hAnsi="宋体" w:eastAsia="宋体" w:cs="宋体"/>
          <w:sz w:val="21"/>
          <w:szCs w:val="21"/>
        </w:rPr>
      </w:pPr>
      <w:r>
        <w:rPr>
          <w:rFonts w:ascii="宋体" w:hAnsi="宋体" w:eastAsia="宋体" w:cs="宋体"/>
          <w:sz w:val="21"/>
          <w:szCs w:val="21"/>
        </w:rPr>
        <w:t>作出的判决或裁决等有关法律文书。以仲裁裁决或判决书的制发时间</w:t>
      </w:r>
      <w:r>
        <w:rPr>
          <w:rFonts w:ascii="宋体" w:hAnsi="宋体" w:eastAsia="宋体" w:cs="宋体"/>
          <w:spacing w:val="-1"/>
          <w:sz w:val="21"/>
          <w:szCs w:val="21"/>
        </w:rPr>
        <w:t>为准。</w:t>
      </w:r>
    </w:p>
    <w:p w14:paraId="36D82F67">
      <w:pPr>
        <w:spacing w:before="153" w:line="352" w:lineRule="auto"/>
        <w:ind w:left="857" w:right="11" w:hanging="206"/>
        <w:rPr>
          <w:rFonts w:ascii="宋体" w:hAnsi="宋体" w:eastAsia="宋体" w:cs="宋体"/>
          <w:sz w:val="21"/>
          <w:szCs w:val="21"/>
        </w:rPr>
      </w:pPr>
      <w:r>
        <w:rPr>
          <w:rFonts w:ascii="宋体" w:hAnsi="宋体" w:eastAsia="宋体" w:cs="宋体"/>
          <w:sz w:val="21"/>
          <w:szCs w:val="21"/>
        </w:rPr>
        <w:t>3.投标人应如实填写近年发生的诉讼及仲裁情况， 否则视为不响应招标文件实质性</w:t>
      </w:r>
      <w:r>
        <w:rPr>
          <w:rFonts w:ascii="宋体" w:hAnsi="宋体" w:eastAsia="宋体" w:cs="宋体"/>
          <w:spacing w:val="3"/>
          <w:sz w:val="21"/>
          <w:szCs w:val="21"/>
        </w:rPr>
        <w:t xml:space="preserve"> </w:t>
      </w:r>
      <w:r>
        <w:rPr>
          <w:rFonts w:ascii="宋体" w:hAnsi="宋体" w:eastAsia="宋体" w:cs="宋体"/>
          <w:sz w:val="21"/>
          <w:szCs w:val="21"/>
        </w:rPr>
        <w:t>要求， 其投标文件将被否决。如投标人因故意隐瞒且查证属实存在影响履约的诉</w:t>
      </w:r>
      <w:r>
        <w:rPr>
          <w:rFonts w:ascii="宋体" w:hAnsi="宋体" w:eastAsia="宋体" w:cs="宋体"/>
          <w:spacing w:val="6"/>
          <w:sz w:val="21"/>
          <w:szCs w:val="21"/>
        </w:rPr>
        <w:t xml:space="preserve"> </w:t>
      </w:r>
      <w:r>
        <w:rPr>
          <w:rFonts w:ascii="宋体" w:hAnsi="宋体" w:eastAsia="宋体" w:cs="宋体"/>
          <w:sz w:val="21"/>
          <w:szCs w:val="21"/>
        </w:rPr>
        <w:t>讼及仲裁情况， 将视为弄虚作假或以不正当手段骗取中标的行为，将依法依规予</w:t>
      </w:r>
    </w:p>
    <w:p w14:paraId="11642758">
      <w:pPr>
        <w:spacing w:line="223" w:lineRule="auto"/>
        <w:ind w:left="882"/>
        <w:rPr>
          <w:rFonts w:ascii="宋体" w:hAnsi="宋体" w:eastAsia="宋体" w:cs="宋体"/>
          <w:sz w:val="21"/>
          <w:szCs w:val="21"/>
        </w:rPr>
      </w:pPr>
      <w:r>
        <w:rPr>
          <w:rFonts w:ascii="宋体" w:hAnsi="宋体" w:eastAsia="宋体" w:cs="宋体"/>
          <w:spacing w:val="-11"/>
          <w:sz w:val="21"/>
          <w:szCs w:val="21"/>
        </w:rPr>
        <w:t>以处理。</w:t>
      </w:r>
    </w:p>
    <w:p w14:paraId="055ECB82">
      <w:pPr>
        <w:spacing w:line="223" w:lineRule="auto"/>
        <w:rPr>
          <w:rFonts w:ascii="宋体" w:hAnsi="宋体" w:eastAsia="宋体" w:cs="宋体"/>
          <w:sz w:val="21"/>
          <w:szCs w:val="21"/>
        </w:rPr>
        <w:sectPr>
          <w:footerReference r:id="rId220" w:type="default"/>
          <w:pgSz w:w="11905" w:h="16839"/>
          <w:pgMar w:top="400" w:right="1785" w:bottom="1004" w:left="1785" w:header="0" w:footer="828" w:gutter="0"/>
          <w:pgNumType w:fmt="decimal"/>
          <w:cols w:space="720" w:num="1"/>
        </w:sectPr>
      </w:pPr>
    </w:p>
    <w:p w14:paraId="3843CE42">
      <w:pPr>
        <w:pStyle w:val="3"/>
        <w:spacing w:line="267" w:lineRule="auto"/>
      </w:pPr>
    </w:p>
    <w:p w14:paraId="66777512">
      <w:pPr>
        <w:pStyle w:val="3"/>
        <w:spacing w:line="267" w:lineRule="auto"/>
      </w:pPr>
    </w:p>
    <w:p w14:paraId="6130D275">
      <w:pPr>
        <w:pStyle w:val="3"/>
        <w:spacing w:line="268" w:lineRule="auto"/>
      </w:pPr>
    </w:p>
    <w:p w14:paraId="28BB0B55">
      <w:pPr>
        <w:pStyle w:val="3"/>
        <w:spacing w:line="268" w:lineRule="auto"/>
      </w:pPr>
    </w:p>
    <w:p w14:paraId="796A88F4">
      <w:pPr>
        <w:spacing w:before="78" w:line="219" w:lineRule="auto"/>
        <w:ind w:left="2547"/>
        <w:rPr>
          <w:rFonts w:ascii="黑体" w:hAnsi="黑体" w:eastAsia="黑体" w:cs="黑体"/>
          <w:sz w:val="24"/>
          <w:szCs w:val="24"/>
        </w:rPr>
      </w:pPr>
      <w:bookmarkStart w:id="1341" w:name="bookmark326"/>
      <w:bookmarkEnd w:id="1341"/>
      <w:r>
        <w:rPr>
          <w:rFonts w:ascii="Times New Roman" w:hAnsi="Times New Roman" w:eastAsia="Times New Roman" w:cs="Times New Roman"/>
          <w:spacing w:val="-1"/>
          <w:sz w:val="24"/>
          <w:szCs w:val="24"/>
        </w:rPr>
        <w:t xml:space="preserve">5-3 </w:t>
      </w:r>
      <w:r>
        <w:rPr>
          <w:rFonts w:ascii="黑体" w:hAnsi="黑体" w:eastAsia="黑体" w:cs="黑体"/>
          <w:spacing w:val="-1"/>
          <w:sz w:val="24"/>
          <w:szCs w:val="24"/>
        </w:rPr>
        <w:t>近年投标人工程获奖情况表</w:t>
      </w:r>
    </w:p>
    <w:p w14:paraId="42FC80BA">
      <w:pPr>
        <w:spacing w:before="160"/>
      </w:pPr>
    </w:p>
    <w:tbl>
      <w:tblPr>
        <w:tblStyle w:val="10"/>
        <w:tblW w:w="8575"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3"/>
        <w:gridCol w:w="2399"/>
        <w:gridCol w:w="1799"/>
        <w:gridCol w:w="1440"/>
        <w:gridCol w:w="2164"/>
      </w:tblGrid>
      <w:tr w14:paraId="243549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5" w:hRule="atLeast"/>
        </w:trPr>
        <w:tc>
          <w:tcPr>
            <w:tcW w:w="773" w:type="dxa"/>
            <w:vAlign w:val="top"/>
          </w:tcPr>
          <w:p w14:paraId="13CF77A0">
            <w:pPr>
              <w:pStyle w:val="11"/>
              <w:spacing w:before="159" w:line="222" w:lineRule="auto"/>
              <w:ind w:left="185"/>
            </w:pPr>
            <w:r>
              <w:rPr>
                <w:spacing w:val="-2"/>
              </w:rPr>
              <w:t>序号</w:t>
            </w:r>
          </w:p>
        </w:tc>
        <w:tc>
          <w:tcPr>
            <w:tcW w:w="2399" w:type="dxa"/>
            <w:vAlign w:val="top"/>
          </w:tcPr>
          <w:p w14:paraId="37673B23">
            <w:pPr>
              <w:pStyle w:val="11"/>
              <w:spacing w:before="159" w:line="221" w:lineRule="auto"/>
              <w:ind w:left="789"/>
            </w:pPr>
            <w:r>
              <w:rPr>
                <w:spacing w:val="-2"/>
              </w:rPr>
              <w:t>项目名称</w:t>
            </w:r>
          </w:p>
        </w:tc>
        <w:tc>
          <w:tcPr>
            <w:tcW w:w="1799" w:type="dxa"/>
            <w:vAlign w:val="top"/>
          </w:tcPr>
          <w:p w14:paraId="1FE9E2BC">
            <w:pPr>
              <w:pStyle w:val="11"/>
              <w:spacing w:before="158" w:line="221" w:lineRule="auto"/>
              <w:ind w:left="488"/>
            </w:pPr>
            <w:r>
              <w:rPr>
                <w:spacing w:val="-2"/>
              </w:rPr>
              <w:t>获奖名称</w:t>
            </w:r>
          </w:p>
        </w:tc>
        <w:tc>
          <w:tcPr>
            <w:tcW w:w="1440" w:type="dxa"/>
            <w:vAlign w:val="top"/>
          </w:tcPr>
          <w:p w14:paraId="60D3B8F8">
            <w:pPr>
              <w:pStyle w:val="11"/>
              <w:spacing w:before="158" w:line="221" w:lineRule="auto"/>
              <w:ind w:left="313"/>
            </w:pPr>
            <w:r>
              <w:rPr>
                <w:spacing w:val="-2"/>
              </w:rPr>
              <w:t>获奖日期</w:t>
            </w:r>
          </w:p>
        </w:tc>
        <w:tc>
          <w:tcPr>
            <w:tcW w:w="2164" w:type="dxa"/>
            <w:vAlign w:val="top"/>
          </w:tcPr>
          <w:p w14:paraId="30B1201B">
            <w:pPr>
              <w:pStyle w:val="11"/>
              <w:spacing w:before="159" w:line="221" w:lineRule="auto"/>
              <w:ind w:left="670"/>
            </w:pPr>
            <w:r>
              <w:rPr>
                <w:spacing w:val="-1"/>
              </w:rPr>
              <w:t>颁奖单位</w:t>
            </w:r>
          </w:p>
        </w:tc>
      </w:tr>
      <w:tr w14:paraId="561D0F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773" w:type="dxa"/>
            <w:vAlign w:val="top"/>
          </w:tcPr>
          <w:p w14:paraId="4E704B9F">
            <w:pPr>
              <w:rPr>
                <w:rFonts w:ascii="Arial"/>
                <w:sz w:val="21"/>
              </w:rPr>
            </w:pPr>
          </w:p>
        </w:tc>
        <w:tc>
          <w:tcPr>
            <w:tcW w:w="2399" w:type="dxa"/>
            <w:vAlign w:val="top"/>
          </w:tcPr>
          <w:p w14:paraId="494B2D3F">
            <w:pPr>
              <w:rPr>
                <w:rFonts w:ascii="Arial"/>
                <w:sz w:val="21"/>
              </w:rPr>
            </w:pPr>
          </w:p>
        </w:tc>
        <w:tc>
          <w:tcPr>
            <w:tcW w:w="1799" w:type="dxa"/>
            <w:vAlign w:val="top"/>
          </w:tcPr>
          <w:p w14:paraId="2D1D948E">
            <w:pPr>
              <w:rPr>
                <w:rFonts w:ascii="Arial"/>
                <w:sz w:val="21"/>
              </w:rPr>
            </w:pPr>
          </w:p>
        </w:tc>
        <w:tc>
          <w:tcPr>
            <w:tcW w:w="1440" w:type="dxa"/>
            <w:vAlign w:val="top"/>
          </w:tcPr>
          <w:p w14:paraId="1CC1F580">
            <w:pPr>
              <w:rPr>
                <w:rFonts w:ascii="Arial"/>
                <w:sz w:val="21"/>
              </w:rPr>
            </w:pPr>
          </w:p>
        </w:tc>
        <w:tc>
          <w:tcPr>
            <w:tcW w:w="2164" w:type="dxa"/>
            <w:vAlign w:val="top"/>
          </w:tcPr>
          <w:p w14:paraId="730660F2">
            <w:pPr>
              <w:rPr>
                <w:rFonts w:ascii="Arial"/>
                <w:sz w:val="21"/>
              </w:rPr>
            </w:pPr>
          </w:p>
        </w:tc>
      </w:tr>
      <w:tr w14:paraId="3D3AAD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9" w:hRule="atLeast"/>
        </w:trPr>
        <w:tc>
          <w:tcPr>
            <w:tcW w:w="773" w:type="dxa"/>
            <w:vAlign w:val="top"/>
          </w:tcPr>
          <w:p w14:paraId="3B2026AB">
            <w:pPr>
              <w:rPr>
                <w:rFonts w:ascii="Arial"/>
                <w:sz w:val="21"/>
              </w:rPr>
            </w:pPr>
          </w:p>
        </w:tc>
        <w:tc>
          <w:tcPr>
            <w:tcW w:w="2399" w:type="dxa"/>
            <w:vAlign w:val="top"/>
          </w:tcPr>
          <w:p w14:paraId="384EE6AD">
            <w:pPr>
              <w:rPr>
                <w:rFonts w:ascii="Arial"/>
                <w:sz w:val="21"/>
              </w:rPr>
            </w:pPr>
          </w:p>
        </w:tc>
        <w:tc>
          <w:tcPr>
            <w:tcW w:w="1799" w:type="dxa"/>
            <w:vAlign w:val="top"/>
          </w:tcPr>
          <w:p w14:paraId="337B5934">
            <w:pPr>
              <w:rPr>
                <w:rFonts w:ascii="Arial"/>
                <w:sz w:val="21"/>
              </w:rPr>
            </w:pPr>
          </w:p>
        </w:tc>
        <w:tc>
          <w:tcPr>
            <w:tcW w:w="1440" w:type="dxa"/>
            <w:vAlign w:val="top"/>
          </w:tcPr>
          <w:p w14:paraId="3FF440D6">
            <w:pPr>
              <w:rPr>
                <w:rFonts w:ascii="Arial"/>
                <w:sz w:val="21"/>
              </w:rPr>
            </w:pPr>
          </w:p>
        </w:tc>
        <w:tc>
          <w:tcPr>
            <w:tcW w:w="2164" w:type="dxa"/>
            <w:vAlign w:val="top"/>
          </w:tcPr>
          <w:p w14:paraId="306CBC87">
            <w:pPr>
              <w:rPr>
                <w:rFonts w:ascii="Arial"/>
                <w:sz w:val="21"/>
              </w:rPr>
            </w:pPr>
          </w:p>
        </w:tc>
      </w:tr>
      <w:tr w14:paraId="5E9B91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9" w:hRule="atLeast"/>
        </w:trPr>
        <w:tc>
          <w:tcPr>
            <w:tcW w:w="773" w:type="dxa"/>
            <w:vAlign w:val="top"/>
          </w:tcPr>
          <w:p w14:paraId="2235A810">
            <w:pPr>
              <w:rPr>
                <w:rFonts w:ascii="Arial"/>
                <w:sz w:val="21"/>
              </w:rPr>
            </w:pPr>
          </w:p>
        </w:tc>
        <w:tc>
          <w:tcPr>
            <w:tcW w:w="2399" w:type="dxa"/>
            <w:vAlign w:val="top"/>
          </w:tcPr>
          <w:p w14:paraId="16E40C7A">
            <w:pPr>
              <w:rPr>
                <w:rFonts w:ascii="Arial"/>
                <w:sz w:val="21"/>
              </w:rPr>
            </w:pPr>
          </w:p>
        </w:tc>
        <w:tc>
          <w:tcPr>
            <w:tcW w:w="1799" w:type="dxa"/>
            <w:vAlign w:val="top"/>
          </w:tcPr>
          <w:p w14:paraId="6F4AD503">
            <w:pPr>
              <w:rPr>
                <w:rFonts w:ascii="Arial"/>
                <w:sz w:val="21"/>
              </w:rPr>
            </w:pPr>
          </w:p>
        </w:tc>
        <w:tc>
          <w:tcPr>
            <w:tcW w:w="1440" w:type="dxa"/>
            <w:vAlign w:val="top"/>
          </w:tcPr>
          <w:p w14:paraId="166A8C99">
            <w:pPr>
              <w:rPr>
                <w:rFonts w:ascii="Arial"/>
                <w:sz w:val="21"/>
              </w:rPr>
            </w:pPr>
          </w:p>
        </w:tc>
        <w:tc>
          <w:tcPr>
            <w:tcW w:w="2164" w:type="dxa"/>
            <w:vAlign w:val="top"/>
          </w:tcPr>
          <w:p w14:paraId="4CAE73BD">
            <w:pPr>
              <w:rPr>
                <w:rFonts w:ascii="Arial"/>
                <w:sz w:val="21"/>
              </w:rPr>
            </w:pPr>
          </w:p>
        </w:tc>
      </w:tr>
      <w:tr w14:paraId="2AB10D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9" w:hRule="atLeast"/>
        </w:trPr>
        <w:tc>
          <w:tcPr>
            <w:tcW w:w="773" w:type="dxa"/>
            <w:vAlign w:val="top"/>
          </w:tcPr>
          <w:p w14:paraId="262F7CDD">
            <w:pPr>
              <w:rPr>
                <w:rFonts w:ascii="Arial"/>
                <w:sz w:val="21"/>
              </w:rPr>
            </w:pPr>
          </w:p>
        </w:tc>
        <w:tc>
          <w:tcPr>
            <w:tcW w:w="2399" w:type="dxa"/>
            <w:vAlign w:val="top"/>
          </w:tcPr>
          <w:p w14:paraId="5DAC6D8F">
            <w:pPr>
              <w:rPr>
                <w:rFonts w:ascii="Arial"/>
                <w:sz w:val="21"/>
              </w:rPr>
            </w:pPr>
          </w:p>
        </w:tc>
        <w:tc>
          <w:tcPr>
            <w:tcW w:w="1799" w:type="dxa"/>
            <w:vAlign w:val="top"/>
          </w:tcPr>
          <w:p w14:paraId="7D8148FD">
            <w:pPr>
              <w:rPr>
                <w:rFonts w:ascii="Arial"/>
                <w:sz w:val="21"/>
              </w:rPr>
            </w:pPr>
          </w:p>
        </w:tc>
        <w:tc>
          <w:tcPr>
            <w:tcW w:w="1440" w:type="dxa"/>
            <w:vAlign w:val="top"/>
          </w:tcPr>
          <w:p w14:paraId="5C156108">
            <w:pPr>
              <w:rPr>
                <w:rFonts w:ascii="Arial"/>
                <w:sz w:val="21"/>
              </w:rPr>
            </w:pPr>
          </w:p>
        </w:tc>
        <w:tc>
          <w:tcPr>
            <w:tcW w:w="2164" w:type="dxa"/>
            <w:vAlign w:val="top"/>
          </w:tcPr>
          <w:p w14:paraId="51E57F9A">
            <w:pPr>
              <w:rPr>
                <w:rFonts w:ascii="Arial"/>
                <w:sz w:val="21"/>
              </w:rPr>
            </w:pPr>
          </w:p>
        </w:tc>
      </w:tr>
      <w:tr w14:paraId="436A38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773" w:type="dxa"/>
            <w:vAlign w:val="top"/>
          </w:tcPr>
          <w:p w14:paraId="42245E73">
            <w:pPr>
              <w:rPr>
                <w:rFonts w:ascii="Arial"/>
                <w:sz w:val="21"/>
              </w:rPr>
            </w:pPr>
          </w:p>
        </w:tc>
        <w:tc>
          <w:tcPr>
            <w:tcW w:w="2399" w:type="dxa"/>
            <w:vAlign w:val="top"/>
          </w:tcPr>
          <w:p w14:paraId="43C82550">
            <w:pPr>
              <w:rPr>
                <w:rFonts w:ascii="Arial"/>
                <w:sz w:val="21"/>
              </w:rPr>
            </w:pPr>
          </w:p>
        </w:tc>
        <w:tc>
          <w:tcPr>
            <w:tcW w:w="1799" w:type="dxa"/>
            <w:vAlign w:val="top"/>
          </w:tcPr>
          <w:p w14:paraId="2A1E4E86">
            <w:pPr>
              <w:rPr>
                <w:rFonts w:ascii="Arial"/>
                <w:sz w:val="21"/>
              </w:rPr>
            </w:pPr>
          </w:p>
        </w:tc>
        <w:tc>
          <w:tcPr>
            <w:tcW w:w="1440" w:type="dxa"/>
            <w:vAlign w:val="top"/>
          </w:tcPr>
          <w:p w14:paraId="268F1373">
            <w:pPr>
              <w:rPr>
                <w:rFonts w:ascii="Arial"/>
                <w:sz w:val="21"/>
              </w:rPr>
            </w:pPr>
          </w:p>
        </w:tc>
        <w:tc>
          <w:tcPr>
            <w:tcW w:w="2164" w:type="dxa"/>
            <w:vAlign w:val="top"/>
          </w:tcPr>
          <w:p w14:paraId="7F270BC7">
            <w:pPr>
              <w:rPr>
                <w:rFonts w:ascii="Arial"/>
                <w:sz w:val="21"/>
              </w:rPr>
            </w:pPr>
          </w:p>
        </w:tc>
      </w:tr>
      <w:tr w14:paraId="29FD36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0" w:hRule="atLeast"/>
        </w:trPr>
        <w:tc>
          <w:tcPr>
            <w:tcW w:w="773" w:type="dxa"/>
            <w:vAlign w:val="top"/>
          </w:tcPr>
          <w:p w14:paraId="4DA8CDBE">
            <w:pPr>
              <w:rPr>
                <w:rFonts w:ascii="Arial"/>
                <w:sz w:val="21"/>
              </w:rPr>
            </w:pPr>
          </w:p>
        </w:tc>
        <w:tc>
          <w:tcPr>
            <w:tcW w:w="2399" w:type="dxa"/>
            <w:vAlign w:val="top"/>
          </w:tcPr>
          <w:p w14:paraId="1EED788C">
            <w:pPr>
              <w:rPr>
                <w:rFonts w:ascii="Arial"/>
                <w:sz w:val="21"/>
              </w:rPr>
            </w:pPr>
          </w:p>
        </w:tc>
        <w:tc>
          <w:tcPr>
            <w:tcW w:w="1799" w:type="dxa"/>
            <w:vAlign w:val="top"/>
          </w:tcPr>
          <w:p w14:paraId="430B3FEF">
            <w:pPr>
              <w:rPr>
                <w:rFonts w:ascii="Arial"/>
                <w:sz w:val="21"/>
              </w:rPr>
            </w:pPr>
          </w:p>
        </w:tc>
        <w:tc>
          <w:tcPr>
            <w:tcW w:w="1440" w:type="dxa"/>
            <w:vAlign w:val="top"/>
          </w:tcPr>
          <w:p w14:paraId="421F71C4">
            <w:pPr>
              <w:rPr>
                <w:rFonts w:ascii="Arial"/>
                <w:sz w:val="21"/>
              </w:rPr>
            </w:pPr>
          </w:p>
        </w:tc>
        <w:tc>
          <w:tcPr>
            <w:tcW w:w="2164" w:type="dxa"/>
            <w:vAlign w:val="top"/>
          </w:tcPr>
          <w:p w14:paraId="26B42844">
            <w:pPr>
              <w:rPr>
                <w:rFonts w:ascii="Arial"/>
                <w:sz w:val="21"/>
              </w:rPr>
            </w:pPr>
          </w:p>
        </w:tc>
      </w:tr>
      <w:tr w14:paraId="1CE914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9" w:hRule="atLeast"/>
        </w:trPr>
        <w:tc>
          <w:tcPr>
            <w:tcW w:w="773" w:type="dxa"/>
            <w:vAlign w:val="top"/>
          </w:tcPr>
          <w:p w14:paraId="1730515E">
            <w:pPr>
              <w:rPr>
                <w:rFonts w:ascii="Arial"/>
                <w:sz w:val="21"/>
              </w:rPr>
            </w:pPr>
          </w:p>
        </w:tc>
        <w:tc>
          <w:tcPr>
            <w:tcW w:w="2399" w:type="dxa"/>
            <w:vAlign w:val="top"/>
          </w:tcPr>
          <w:p w14:paraId="3605AE39">
            <w:pPr>
              <w:rPr>
                <w:rFonts w:ascii="Arial"/>
                <w:sz w:val="21"/>
              </w:rPr>
            </w:pPr>
          </w:p>
        </w:tc>
        <w:tc>
          <w:tcPr>
            <w:tcW w:w="1799" w:type="dxa"/>
            <w:vAlign w:val="top"/>
          </w:tcPr>
          <w:p w14:paraId="2C6145F1">
            <w:pPr>
              <w:rPr>
                <w:rFonts w:ascii="Arial"/>
                <w:sz w:val="21"/>
              </w:rPr>
            </w:pPr>
          </w:p>
        </w:tc>
        <w:tc>
          <w:tcPr>
            <w:tcW w:w="1440" w:type="dxa"/>
            <w:vAlign w:val="top"/>
          </w:tcPr>
          <w:p w14:paraId="6BD248E2">
            <w:pPr>
              <w:rPr>
                <w:rFonts w:ascii="Arial"/>
                <w:sz w:val="21"/>
              </w:rPr>
            </w:pPr>
          </w:p>
        </w:tc>
        <w:tc>
          <w:tcPr>
            <w:tcW w:w="2164" w:type="dxa"/>
            <w:vAlign w:val="top"/>
          </w:tcPr>
          <w:p w14:paraId="7330CC9E">
            <w:pPr>
              <w:rPr>
                <w:rFonts w:ascii="Arial"/>
                <w:sz w:val="21"/>
              </w:rPr>
            </w:pPr>
          </w:p>
        </w:tc>
      </w:tr>
      <w:tr w14:paraId="10E11F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773" w:type="dxa"/>
            <w:vAlign w:val="top"/>
          </w:tcPr>
          <w:p w14:paraId="6AB40DCF">
            <w:pPr>
              <w:rPr>
                <w:rFonts w:ascii="Arial"/>
                <w:sz w:val="21"/>
              </w:rPr>
            </w:pPr>
          </w:p>
        </w:tc>
        <w:tc>
          <w:tcPr>
            <w:tcW w:w="2399" w:type="dxa"/>
            <w:vAlign w:val="top"/>
          </w:tcPr>
          <w:p w14:paraId="5D7C4D61">
            <w:pPr>
              <w:rPr>
                <w:rFonts w:ascii="Arial"/>
                <w:sz w:val="21"/>
              </w:rPr>
            </w:pPr>
          </w:p>
        </w:tc>
        <w:tc>
          <w:tcPr>
            <w:tcW w:w="1799" w:type="dxa"/>
            <w:vAlign w:val="top"/>
          </w:tcPr>
          <w:p w14:paraId="38286322">
            <w:pPr>
              <w:rPr>
                <w:rFonts w:ascii="Arial"/>
                <w:sz w:val="21"/>
              </w:rPr>
            </w:pPr>
          </w:p>
        </w:tc>
        <w:tc>
          <w:tcPr>
            <w:tcW w:w="1440" w:type="dxa"/>
            <w:vAlign w:val="top"/>
          </w:tcPr>
          <w:p w14:paraId="5969F6F4">
            <w:pPr>
              <w:rPr>
                <w:rFonts w:ascii="Arial"/>
                <w:sz w:val="21"/>
              </w:rPr>
            </w:pPr>
          </w:p>
        </w:tc>
        <w:tc>
          <w:tcPr>
            <w:tcW w:w="2164" w:type="dxa"/>
            <w:vAlign w:val="top"/>
          </w:tcPr>
          <w:p w14:paraId="3F28D4C9">
            <w:pPr>
              <w:rPr>
                <w:rFonts w:ascii="Arial"/>
                <w:sz w:val="21"/>
              </w:rPr>
            </w:pPr>
          </w:p>
        </w:tc>
      </w:tr>
      <w:tr w14:paraId="790F23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9" w:hRule="atLeast"/>
        </w:trPr>
        <w:tc>
          <w:tcPr>
            <w:tcW w:w="773" w:type="dxa"/>
            <w:vAlign w:val="top"/>
          </w:tcPr>
          <w:p w14:paraId="00137598">
            <w:pPr>
              <w:rPr>
                <w:rFonts w:ascii="Arial"/>
                <w:sz w:val="21"/>
              </w:rPr>
            </w:pPr>
          </w:p>
        </w:tc>
        <w:tc>
          <w:tcPr>
            <w:tcW w:w="2399" w:type="dxa"/>
            <w:vAlign w:val="top"/>
          </w:tcPr>
          <w:p w14:paraId="4DA33CBD">
            <w:pPr>
              <w:rPr>
                <w:rFonts w:ascii="Arial"/>
                <w:sz w:val="21"/>
              </w:rPr>
            </w:pPr>
          </w:p>
        </w:tc>
        <w:tc>
          <w:tcPr>
            <w:tcW w:w="1799" w:type="dxa"/>
            <w:vAlign w:val="top"/>
          </w:tcPr>
          <w:p w14:paraId="7119E80A">
            <w:pPr>
              <w:rPr>
                <w:rFonts w:ascii="Arial"/>
                <w:sz w:val="21"/>
              </w:rPr>
            </w:pPr>
          </w:p>
        </w:tc>
        <w:tc>
          <w:tcPr>
            <w:tcW w:w="1440" w:type="dxa"/>
            <w:vAlign w:val="top"/>
          </w:tcPr>
          <w:p w14:paraId="4AF2B83D">
            <w:pPr>
              <w:rPr>
                <w:rFonts w:ascii="Arial"/>
                <w:sz w:val="21"/>
              </w:rPr>
            </w:pPr>
          </w:p>
        </w:tc>
        <w:tc>
          <w:tcPr>
            <w:tcW w:w="2164" w:type="dxa"/>
            <w:vAlign w:val="top"/>
          </w:tcPr>
          <w:p w14:paraId="47F1CE61">
            <w:pPr>
              <w:rPr>
                <w:rFonts w:ascii="Arial"/>
                <w:sz w:val="21"/>
              </w:rPr>
            </w:pPr>
          </w:p>
        </w:tc>
      </w:tr>
      <w:tr w14:paraId="12A915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9" w:hRule="atLeast"/>
        </w:trPr>
        <w:tc>
          <w:tcPr>
            <w:tcW w:w="773" w:type="dxa"/>
            <w:vAlign w:val="top"/>
          </w:tcPr>
          <w:p w14:paraId="5D8E83B3">
            <w:pPr>
              <w:rPr>
                <w:rFonts w:ascii="Arial"/>
                <w:sz w:val="21"/>
              </w:rPr>
            </w:pPr>
          </w:p>
        </w:tc>
        <w:tc>
          <w:tcPr>
            <w:tcW w:w="2399" w:type="dxa"/>
            <w:vAlign w:val="top"/>
          </w:tcPr>
          <w:p w14:paraId="21136E6E">
            <w:pPr>
              <w:rPr>
                <w:rFonts w:ascii="Arial"/>
                <w:sz w:val="21"/>
              </w:rPr>
            </w:pPr>
          </w:p>
        </w:tc>
        <w:tc>
          <w:tcPr>
            <w:tcW w:w="1799" w:type="dxa"/>
            <w:vAlign w:val="top"/>
          </w:tcPr>
          <w:p w14:paraId="7CC9A5D2">
            <w:pPr>
              <w:rPr>
                <w:rFonts w:ascii="Arial"/>
                <w:sz w:val="21"/>
              </w:rPr>
            </w:pPr>
          </w:p>
        </w:tc>
        <w:tc>
          <w:tcPr>
            <w:tcW w:w="1440" w:type="dxa"/>
            <w:vAlign w:val="top"/>
          </w:tcPr>
          <w:p w14:paraId="7181403E">
            <w:pPr>
              <w:rPr>
                <w:rFonts w:ascii="Arial"/>
                <w:sz w:val="21"/>
              </w:rPr>
            </w:pPr>
          </w:p>
        </w:tc>
        <w:tc>
          <w:tcPr>
            <w:tcW w:w="2164" w:type="dxa"/>
            <w:vAlign w:val="top"/>
          </w:tcPr>
          <w:p w14:paraId="7C0EFFC5">
            <w:pPr>
              <w:rPr>
                <w:rFonts w:ascii="Arial"/>
                <w:sz w:val="21"/>
              </w:rPr>
            </w:pPr>
          </w:p>
        </w:tc>
      </w:tr>
      <w:tr w14:paraId="74A5E5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773" w:type="dxa"/>
            <w:vAlign w:val="top"/>
          </w:tcPr>
          <w:p w14:paraId="715D909D">
            <w:pPr>
              <w:rPr>
                <w:rFonts w:ascii="Arial"/>
                <w:sz w:val="21"/>
              </w:rPr>
            </w:pPr>
          </w:p>
        </w:tc>
        <w:tc>
          <w:tcPr>
            <w:tcW w:w="2399" w:type="dxa"/>
            <w:vAlign w:val="top"/>
          </w:tcPr>
          <w:p w14:paraId="4F9B6196">
            <w:pPr>
              <w:rPr>
                <w:rFonts w:ascii="Arial"/>
                <w:sz w:val="21"/>
              </w:rPr>
            </w:pPr>
          </w:p>
        </w:tc>
        <w:tc>
          <w:tcPr>
            <w:tcW w:w="1799" w:type="dxa"/>
            <w:vAlign w:val="top"/>
          </w:tcPr>
          <w:p w14:paraId="3382C58C">
            <w:pPr>
              <w:rPr>
                <w:rFonts w:ascii="Arial"/>
                <w:sz w:val="21"/>
              </w:rPr>
            </w:pPr>
          </w:p>
        </w:tc>
        <w:tc>
          <w:tcPr>
            <w:tcW w:w="1440" w:type="dxa"/>
            <w:vAlign w:val="top"/>
          </w:tcPr>
          <w:p w14:paraId="11B2D237">
            <w:pPr>
              <w:rPr>
                <w:rFonts w:ascii="Arial"/>
                <w:sz w:val="21"/>
              </w:rPr>
            </w:pPr>
          </w:p>
        </w:tc>
        <w:tc>
          <w:tcPr>
            <w:tcW w:w="2164" w:type="dxa"/>
            <w:vAlign w:val="top"/>
          </w:tcPr>
          <w:p w14:paraId="348AA7D4">
            <w:pPr>
              <w:rPr>
                <w:rFonts w:ascii="Arial"/>
                <w:sz w:val="21"/>
              </w:rPr>
            </w:pPr>
          </w:p>
        </w:tc>
      </w:tr>
      <w:tr w14:paraId="360A09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0" w:hRule="atLeast"/>
        </w:trPr>
        <w:tc>
          <w:tcPr>
            <w:tcW w:w="773" w:type="dxa"/>
            <w:vAlign w:val="top"/>
          </w:tcPr>
          <w:p w14:paraId="2B3C6987">
            <w:pPr>
              <w:rPr>
                <w:rFonts w:ascii="Arial"/>
                <w:sz w:val="21"/>
              </w:rPr>
            </w:pPr>
          </w:p>
        </w:tc>
        <w:tc>
          <w:tcPr>
            <w:tcW w:w="2399" w:type="dxa"/>
            <w:vAlign w:val="top"/>
          </w:tcPr>
          <w:p w14:paraId="3D2FA50A">
            <w:pPr>
              <w:rPr>
                <w:rFonts w:ascii="Arial"/>
                <w:sz w:val="21"/>
              </w:rPr>
            </w:pPr>
          </w:p>
        </w:tc>
        <w:tc>
          <w:tcPr>
            <w:tcW w:w="1799" w:type="dxa"/>
            <w:vAlign w:val="top"/>
          </w:tcPr>
          <w:p w14:paraId="4A515611">
            <w:pPr>
              <w:rPr>
                <w:rFonts w:ascii="Arial"/>
                <w:sz w:val="21"/>
              </w:rPr>
            </w:pPr>
          </w:p>
        </w:tc>
        <w:tc>
          <w:tcPr>
            <w:tcW w:w="1440" w:type="dxa"/>
            <w:vAlign w:val="top"/>
          </w:tcPr>
          <w:p w14:paraId="5B65DD03">
            <w:pPr>
              <w:rPr>
                <w:rFonts w:ascii="Arial"/>
                <w:sz w:val="21"/>
              </w:rPr>
            </w:pPr>
          </w:p>
        </w:tc>
        <w:tc>
          <w:tcPr>
            <w:tcW w:w="2164" w:type="dxa"/>
            <w:vAlign w:val="top"/>
          </w:tcPr>
          <w:p w14:paraId="7C4E1AC9">
            <w:pPr>
              <w:rPr>
                <w:rFonts w:ascii="Arial"/>
                <w:sz w:val="21"/>
              </w:rPr>
            </w:pPr>
          </w:p>
        </w:tc>
      </w:tr>
      <w:tr w14:paraId="75E2E1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4" w:hRule="atLeast"/>
        </w:trPr>
        <w:tc>
          <w:tcPr>
            <w:tcW w:w="773" w:type="dxa"/>
            <w:vAlign w:val="top"/>
          </w:tcPr>
          <w:p w14:paraId="05E21074">
            <w:pPr>
              <w:rPr>
                <w:rFonts w:ascii="Arial"/>
                <w:sz w:val="21"/>
              </w:rPr>
            </w:pPr>
          </w:p>
        </w:tc>
        <w:tc>
          <w:tcPr>
            <w:tcW w:w="2399" w:type="dxa"/>
            <w:vAlign w:val="top"/>
          </w:tcPr>
          <w:p w14:paraId="6D996337">
            <w:pPr>
              <w:rPr>
                <w:rFonts w:ascii="Arial"/>
                <w:sz w:val="21"/>
              </w:rPr>
            </w:pPr>
          </w:p>
        </w:tc>
        <w:tc>
          <w:tcPr>
            <w:tcW w:w="1799" w:type="dxa"/>
            <w:vAlign w:val="top"/>
          </w:tcPr>
          <w:p w14:paraId="5E5FDD92">
            <w:pPr>
              <w:rPr>
                <w:rFonts w:ascii="Arial"/>
                <w:sz w:val="21"/>
              </w:rPr>
            </w:pPr>
          </w:p>
        </w:tc>
        <w:tc>
          <w:tcPr>
            <w:tcW w:w="1440" w:type="dxa"/>
            <w:vAlign w:val="top"/>
          </w:tcPr>
          <w:p w14:paraId="0A7A68E6">
            <w:pPr>
              <w:rPr>
                <w:rFonts w:ascii="Arial"/>
                <w:sz w:val="21"/>
              </w:rPr>
            </w:pPr>
          </w:p>
        </w:tc>
        <w:tc>
          <w:tcPr>
            <w:tcW w:w="2164" w:type="dxa"/>
            <w:vAlign w:val="top"/>
          </w:tcPr>
          <w:p w14:paraId="42109452">
            <w:pPr>
              <w:rPr>
                <w:rFonts w:ascii="Arial"/>
                <w:sz w:val="21"/>
              </w:rPr>
            </w:pPr>
          </w:p>
        </w:tc>
      </w:tr>
    </w:tbl>
    <w:p w14:paraId="460627BF">
      <w:pPr>
        <w:spacing w:before="154" w:line="399" w:lineRule="exact"/>
        <w:ind w:left="20"/>
        <w:rPr>
          <w:rFonts w:ascii="宋体" w:hAnsi="宋体" w:eastAsia="宋体" w:cs="宋体"/>
          <w:sz w:val="21"/>
          <w:szCs w:val="21"/>
        </w:rPr>
      </w:pPr>
      <w:r>
        <w:rPr>
          <w:rFonts w:ascii="宋体" w:hAnsi="宋体" w:eastAsia="宋体" w:cs="宋体"/>
          <w:spacing w:val="1"/>
          <w:position w:val="14"/>
          <w:sz w:val="21"/>
          <w:szCs w:val="21"/>
        </w:rPr>
        <w:t xml:space="preserve">备注： </w:t>
      </w:r>
      <w:r>
        <w:rPr>
          <w:rFonts w:ascii="Times New Roman" w:hAnsi="Times New Roman" w:eastAsia="Times New Roman" w:cs="Times New Roman"/>
          <w:spacing w:val="1"/>
          <w:position w:val="14"/>
          <w:sz w:val="21"/>
          <w:szCs w:val="21"/>
        </w:rPr>
        <w:t>1.</w:t>
      </w:r>
      <w:r>
        <w:rPr>
          <w:rFonts w:ascii="宋体" w:hAnsi="宋体" w:eastAsia="宋体" w:cs="宋体"/>
          <w:spacing w:val="1"/>
          <w:position w:val="14"/>
          <w:sz w:val="21"/>
          <w:szCs w:val="21"/>
        </w:rPr>
        <w:t>本表后应附表彰文件、获奖证书及其他证明材料等。以表彰文件、获奖证书的颁</w:t>
      </w:r>
    </w:p>
    <w:p w14:paraId="6806B142">
      <w:pPr>
        <w:spacing w:line="221" w:lineRule="auto"/>
        <w:ind w:left="862"/>
        <w:rPr>
          <w:rFonts w:ascii="宋体" w:hAnsi="宋体" w:eastAsia="宋体" w:cs="宋体"/>
          <w:sz w:val="21"/>
          <w:szCs w:val="21"/>
        </w:rPr>
      </w:pPr>
      <w:r>
        <w:rPr>
          <w:rFonts w:ascii="宋体" w:hAnsi="宋体" w:eastAsia="宋体" w:cs="宋体"/>
          <w:spacing w:val="-1"/>
          <w:sz w:val="21"/>
          <w:szCs w:val="21"/>
        </w:rPr>
        <w:t>发时间为准。</w:t>
      </w:r>
    </w:p>
    <w:p w14:paraId="21EE1C14">
      <w:pPr>
        <w:spacing w:before="151" w:line="220" w:lineRule="auto"/>
        <w:ind w:left="643"/>
        <w:rPr>
          <w:rFonts w:ascii="宋体" w:hAnsi="宋体" w:eastAsia="宋体" w:cs="宋体"/>
          <w:sz w:val="21"/>
          <w:szCs w:val="21"/>
        </w:rPr>
      </w:pPr>
      <w:r>
        <w:rPr>
          <w:rFonts w:ascii="Times New Roman" w:hAnsi="Times New Roman" w:eastAsia="Times New Roman" w:cs="Times New Roman"/>
          <w:sz w:val="21"/>
          <w:szCs w:val="21"/>
        </w:rPr>
        <w:t xml:space="preserve">2. </w:t>
      </w:r>
      <w:r>
        <w:rPr>
          <w:rFonts w:ascii="宋体" w:hAnsi="宋体" w:eastAsia="宋体" w:cs="宋体"/>
          <w:sz w:val="21"/>
          <w:szCs w:val="21"/>
        </w:rPr>
        <w:t>颁奖单位应当是国家机关或民政部门注册登记的合法颁奖单位。</w:t>
      </w:r>
    </w:p>
    <w:p w14:paraId="3FA3FDA2">
      <w:pPr>
        <w:spacing w:line="220" w:lineRule="auto"/>
        <w:rPr>
          <w:rFonts w:ascii="宋体" w:hAnsi="宋体" w:eastAsia="宋体" w:cs="宋体"/>
          <w:sz w:val="21"/>
          <w:szCs w:val="21"/>
        </w:rPr>
        <w:sectPr>
          <w:footerReference r:id="rId221" w:type="default"/>
          <w:pgSz w:w="11905" w:h="16839"/>
          <w:pgMar w:top="400" w:right="1527" w:bottom="1004" w:left="1785" w:header="0" w:footer="828" w:gutter="0"/>
          <w:pgNumType w:fmt="decimal"/>
          <w:cols w:space="720" w:num="1"/>
        </w:sectPr>
      </w:pPr>
    </w:p>
    <w:p w14:paraId="7C9AA265">
      <w:pPr>
        <w:pStyle w:val="3"/>
        <w:spacing w:line="267" w:lineRule="auto"/>
      </w:pPr>
    </w:p>
    <w:p w14:paraId="6F621F8C">
      <w:pPr>
        <w:pStyle w:val="3"/>
        <w:spacing w:line="267" w:lineRule="auto"/>
      </w:pPr>
    </w:p>
    <w:p w14:paraId="62A40E28">
      <w:pPr>
        <w:pStyle w:val="3"/>
        <w:spacing w:line="268" w:lineRule="auto"/>
      </w:pPr>
    </w:p>
    <w:p w14:paraId="10ADA5DD">
      <w:pPr>
        <w:pStyle w:val="3"/>
        <w:spacing w:line="268" w:lineRule="auto"/>
      </w:pPr>
    </w:p>
    <w:p w14:paraId="214623A1">
      <w:pPr>
        <w:spacing w:before="78" w:line="219" w:lineRule="auto"/>
        <w:ind w:left="2427"/>
        <w:rPr>
          <w:rFonts w:ascii="黑体" w:hAnsi="黑体" w:eastAsia="黑体" w:cs="黑体"/>
          <w:sz w:val="24"/>
          <w:szCs w:val="24"/>
        </w:rPr>
      </w:pPr>
      <w:bookmarkStart w:id="1342" w:name="bookmark327"/>
      <w:bookmarkEnd w:id="1342"/>
      <w:r>
        <w:rPr>
          <w:rFonts w:ascii="Times New Roman" w:hAnsi="Times New Roman" w:eastAsia="Times New Roman" w:cs="Times New Roman"/>
          <w:spacing w:val="-1"/>
          <w:sz w:val="24"/>
          <w:szCs w:val="24"/>
        </w:rPr>
        <w:t xml:space="preserve">5-4 </w:t>
      </w:r>
      <w:r>
        <w:rPr>
          <w:rFonts w:ascii="黑体" w:hAnsi="黑体" w:eastAsia="黑体" w:cs="黑体"/>
          <w:spacing w:val="-1"/>
          <w:sz w:val="24"/>
          <w:szCs w:val="24"/>
        </w:rPr>
        <w:t>近年项目经理工程获奖情况表</w:t>
      </w:r>
    </w:p>
    <w:p w14:paraId="5FC5B101">
      <w:pPr>
        <w:spacing w:before="160"/>
      </w:pPr>
    </w:p>
    <w:tbl>
      <w:tblPr>
        <w:tblStyle w:val="10"/>
        <w:tblW w:w="8575"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3"/>
        <w:gridCol w:w="2399"/>
        <w:gridCol w:w="1799"/>
        <w:gridCol w:w="1440"/>
        <w:gridCol w:w="2164"/>
      </w:tblGrid>
      <w:tr w14:paraId="4F9115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5" w:hRule="atLeast"/>
        </w:trPr>
        <w:tc>
          <w:tcPr>
            <w:tcW w:w="773" w:type="dxa"/>
            <w:vAlign w:val="top"/>
          </w:tcPr>
          <w:p w14:paraId="6A5838CB">
            <w:pPr>
              <w:pStyle w:val="11"/>
              <w:spacing w:before="159" w:line="222" w:lineRule="auto"/>
              <w:ind w:left="185"/>
            </w:pPr>
            <w:r>
              <w:rPr>
                <w:spacing w:val="-2"/>
              </w:rPr>
              <w:t>序号</w:t>
            </w:r>
          </w:p>
        </w:tc>
        <w:tc>
          <w:tcPr>
            <w:tcW w:w="2399" w:type="dxa"/>
            <w:vAlign w:val="top"/>
          </w:tcPr>
          <w:p w14:paraId="68B1A73B">
            <w:pPr>
              <w:pStyle w:val="11"/>
              <w:spacing w:before="159" w:line="221" w:lineRule="auto"/>
              <w:ind w:left="789"/>
            </w:pPr>
            <w:r>
              <w:rPr>
                <w:spacing w:val="-2"/>
              </w:rPr>
              <w:t>项目名称</w:t>
            </w:r>
          </w:p>
        </w:tc>
        <w:tc>
          <w:tcPr>
            <w:tcW w:w="1799" w:type="dxa"/>
            <w:vAlign w:val="top"/>
          </w:tcPr>
          <w:p w14:paraId="05847147">
            <w:pPr>
              <w:pStyle w:val="11"/>
              <w:spacing w:before="158" w:line="221" w:lineRule="auto"/>
              <w:ind w:left="488"/>
            </w:pPr>
            <w:r>
              <w:rPr>
                <w:spacing w:val="-2"/>
              </w:rPr>
              <w:t>获奖名称</w:t>
            </w:r>
          </w:p>
        </w:tc>
        <w:tc>
          <w:tcPr>
            <w:tcW w:w="1440" w:type="dxa"/>
            <w:vAlign w:val="top"/>
          </w:tcPr>
          <w:p w14:paraId="35610F51">
            <w:pPr>
              <w:pStyle w:val="11"/>
              <w:spacing w:before="158" w:line="221" w:lineRule="auto"/>
              <w:ind w:left="313"/>
            </w:pPr>
            <w:r>
              <w:rPr>
                <w:spacing w:val="-2"/>
              </w:rPr>
              <w:t>获奖日期</w:t>
            </w:r>
          </w:p>
        </w:tc>
        <w:tc>
          <w:tcPr>
            <w:tcW w:w="2164" w:type="dxa"/>
            <w:vAlign w:val="top"/>
          </w:tcPr>
          <w:p w14:paraId="0C5EB398">
            <w:pPr>
              <w:pStyle w:val="11"/>
              <w:spacing w:before="159" w:line="221" w:lineRule="auto"/>
              <w:ind w:left="670"/>
            </w:pPr>
            <w:r>
              <w:rPr>
                <w:spacing w:val="-1"/>
              </w:rPr>
              <w:t>颁奖单位</w:t>
            </w:r>
          </w:p>
        </w:tc>
      </w:tr>
      <w:tr w14:paraId="3228AB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773" w:type="dxa"/>
            <w:vAlign w:val="top"/>
          </w:tcPr>
          <w:p w14:paraId="15E7194E">
            <w:pPr>
              <w:rPr>
                <w:rFonts w:ascii="Arial"/>
                <w:sz w:val="21"/>
              </w:rPr>
            </w:pPr>
          </w:p>
        </w:tc>
        <w:tc>
          <w:tcPr>
            <w:tcW w:w="2399" w:type="dxa"/>
            <w:vAlign w:val="top"/>
          </w:tcPr>
          <w:p w14:paraId="071F0615">
            <w:pPr>
              <w:rPr>
                <w:rFonts w:ascii="Arial"/>
                <w:sz w:val="21"/>
              </w:rPr>
            </w:pPr>
          </w:p>
        </w:tc>
        <w:tc>
          <w:tcPr>
            <w:tcW w:w="1799" w:type="dxa"/>
            <w:vAlign w:val="top"/>
          </w:tcPr>
          <w:p w14:paraId="72A1F2C0">
            <w:pPr>
              <w:rPr>
                <w:rFonts w:ascii="Arial"/>
                <w:sz w:val="21"/>
              </w:rPr>
            </w:pPr>
          </w:p>
        </w:tc>
        <w:tc>
          <w:tcPr>
            <w:tcW w:w="1440" w:type="dxa"/>
            <w:vAlign w:val="top"/>
          </w:tcPr>
          <w:p w14:paraId="687C2548">
            <w:pPr>
              <w:rPr>
                <w:rFonts w:ascii="Arial"/>
                <w:sz w:val="21"/>
              </w:rPr>
            </w:pPr>
          </w:p>
        </w:tc>
        <w:tc>
          <w:tcPr>
            <w:tcW w:w="2164" w:type="dxa"/>
            <w:vAlign w:val="top"/>
          </w:tcPr>
          <w:p w14:paraId="16382DC8">
            <w:pPr>
              <w:rPr>
                <w:rFonts w:ascii="Arial"/>
                <w:sz w:val="21"/>
              </w:rPr>
            </w:pPr>
          </w:p>
        </w:tc>
      </w:tr>
      <w:tr w14:paraId="289AF9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9" w:hRule="atLeast"/>
        </w:trPr>
        <w:tc>
          <w:tcPr>
            <w:tcW w:w="773" w:type="dxa"/>
            <w:vAlign w:val="top"/>
          </w:tcPr>
          <w:p w14:paraId="613D9AFC">
            <w:pPr>
              <w:rPr>
                <w:rFonts w:ascii="Arial"/>
                <w:sz w:val="21"/>
              </w:rPr>
            </w:pPr>
          </w:p>
        </w:tc>
        <w:tc>
          <w:tcPr>
            <w:tcW w:w="2399" w:type="dxa"/>
            <w:vAlign w:val="top"/>
          </w:tcPr>
          <w:p w14:paraId="64C73A66">
            <w:pPr>
              <w:rPr>
                <w:rFonts w:ascii="Arial"/>
                <w:sz w:val="21"/>
              </w:rPr>
            </w:pPr>
          </w:p>
        </w:tc>
        <w:tc>
          <w:tcPr>
            <w:tcW w:w="1799" w:type="dxa"/>
            <w:vAlign w:val="top"/>
          </w:tcPr>
          <w:p w14:paraId="625320FA">
            <w:pPr>
              <w:rPr>
                <w:rFonts w:ascii="Arial"/>
                <w:sz w:val="21"/>
              </w:rPr>
            </w:pPr>
          </w:p>
        </w:tc>
        <w:tc>
          <w:tcPr>
            <w:tcW w:w="1440" w:type="dxa"/>
            <w:vAlign w:val="top"/>
          </w:tcPr>
          <w:p w14:paraId="1B29CF93">
            <w:pPr>
              <w:rPr>
                <w:rFonts w:ascii="Arial"/>
                <w:sz w:val="21"/>
              </w:rPr>
            </w:pPr>
          </w:p>
        </w:tc>
        <w:tc>
          <w:tcPr>
            <w:tcW w:w="2164" w:type="dxa"/>
            <w:vAlign w:val="top"/>
          </w:tcPr>
          <w:p w14:paraId="566686E5">
            <w:pPr>
              <w:rPr>
                <w:rFonts w:ascii="Arial"/>
                <w:sz w:val="21"/>
              </w:rPr>
            </w:pPr>
          </w:p>
        </w:tc>
      </w:tr>
      <w:tr w14:paraId="1ED564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9" w:hRule="atLeast"/>
        </w:trPr>
        <w:tc>
          <w:tcPr>
            <w:tcW w:w="773" w:type="dxa"/>
            <w:vAlign w:val="top"/>
          </w:tcPr>
          <w:p w14:paraId="1BC739FE">
            <w:pPr>
              <w:rPr>
                <w:rFonts w:ascii="Arial"/>
                <w:sz w:val="21"/>
              </w:rPr>
            </w:pPr>
          </w:p>
        </w:tc>
        <w:tc>
          <w:tcPr>
            <w:tcW w:w="2399" w:type="dxa"/>
            <w:vAlign w:val="top"/>
          </w:tcPr>
          <w:p w14:paraId="6545315B">
            <w:pPr>
              <w:rPr>
                <w:rFonts w:ascii="Arial"/>
                <w:sz w:val="21"/>
              </w:rPr>
            </w:pPr>
          </w:p>
        </w:tc>
        <w:tc>
          <w:tcPr>
            <w:tcW w:w="1799" w:type="dxa"/>
            <w:vAlign w:val="top"/>
          </w:tcPr>
          <w:p w14:paraId="216E125F">
            <w:pPr>
              <w:rPr>
                <w:rFonts w:ascii="Arial"/>
                <w:sz w:val="21"/>
              </w:rPr>
            </w:pPr>
          </w:p>
        </w:tc>
        <w:tc>
          <w:tcPr>
            <w:tcW w:w="1440" w:type="dxa"/>
            <w:vAlign w:val="top"/>
          </w:tcPr>
          <w:p w14:paraId="483A0946">
            <w:pPr>
              <w:rPr>
                <w:rFonts w:ascii="Arial"/>
                <w:sz w:val="21"/>
              </w:rPr>
            </w:pPr>
          </w:p>
        </w:tc>
        <w:tc>
          <w:tcPr>
            <w:tcW w:w="2164" w:type="dxa"/>
            <w:vAlign w:val="top"/>
          </w:tcPr>
          <w:p w14:paraId="04E688EB">
            <w:pPr>
              <w:rPr>
                <w:rFonts w:ascii="Arial"/>
                <w:sz w:val="21"/>
              </w:rPr>
            </w:pPr>
          </w:p>
        </w:tc>
      </w:tr>
      <w:tr w14:paraId="51CCF8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9" w:hRule="atLeast"/>
        </w:trPr>
        <w:tc>
          <w:tcPr>
            <w:tcW w:w="773" w:type="dxa"/>
            <w:vAlign w:val="top"/>
          </w:tcPr>
          <w:p w14:paraId="79D892CE">
            <w:pPr>
              <w:rPr>
                <w:rFonts w:ascii="Arial"/>
                <w:sz w:val="21"/>
              </w:rPr>
            </w:pPr>
          </w:p>
        </w:tc>
        <w:tc>
          <w:tcPr>
            <w:tcW w:w="2399" w:type="dxa"/>
            <w:vAlign w:val="top"/>
          </w:tcPr>
          <w:p w14:paraId="0224DE0F">
            <w:pPr>
              <w:rPr>
                <w:rFonts w:ascii="Arial"/>
                <w:sz w:val="21"/>
              </w:rPr>
            </w:pPr>
          </w:p>
        </w:tc>
        <w:tc>
          <w:tcPr>
            <w:tcW w:w="1799" w:type="dxa"/>
            <w:vAlign w:val="top"/>
          </w:tcPr>
          <w:p w14:paraId="5504C85F">
            <w:pPr>
              <w:rPr>
                <w:rFonts w:ascii="Arial"/>
                <w:sz w:val="21"/>
              </w:rPr>
            </w:pPr>
          </w:p>
        </w:tc>
        <w:tc>
          <w:tcPr>
            <w:tcW w:w="1440" w:type="dxa"/>
            <w:vAlign w:val="top"/>
          </w:tcPr>
          <w:p w14:paraId="6E497C51">
            <w:pPr>
              <w:rPr>
                <w:rFonts w:ascii="Arial"/>
                <w:sz w:val="21"/>
              </w:rPr>
            </w:pPr>
          </w:p>
        </w:tc>
        <w:tc>
          <w:tcPr>
            <w:tcW w:w="2164" w:type="dxa"/>
            <w:vAlign w:val="top"/>
          </w:tcPr>
          <w:p w14:paraId="3AEB7465">
            <w:pPr>
              <w:rPr>
                <w:rFonts w:ascii="Arial"/>
                <w:sz w:val="21"/>
              </w:rPr>
            </w:pPr>
          </w:p>
        </w:tc>
      </w:tr>
      <w:tr w14:paraId="3BCC8D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773" w:type="dxa"/>
            <w:vAlign w:val="top"/>
          </w:tcPr>
          <w:p w14:paraId="4B796A87">
            <w:pPr>
              <w:rPr>
                <w:rFonts w:ascii="Arial"/>
                <w:sz w:val="21"/>
              </w:rPr>
            </w:pPr>
          </w:p>
        </w:tc>
        <w:tc>
          <w:tcPr>
            <w:tcW w:w="2399" w:type="dxa"/>
            <w:vAlign w:val="top"/>
          </w:tcPr>
          <w:p w14:paraId="1F5E5AFE">
            <w:pPr>
              <w:rPr>
                <w:rFonts w:ascii="Arial"/>
                <w:sz w:val="21"/>
              </w:rPr>
            </w:pPr>
          </w:p>
        </w:tc>
        <w:tc>
          <w:tcPr>
            <w:tcW w:w="1799" w:type="dxa"/>
            <w:vAlign w:val="top"/>
          </w:tcPr>
          <w:p w14:paraId="2E48BA59">
            <w:pPr>
              <w:rPr>
                <w:rFonts w:ascii="Arial"/>
                <w:sz w:val="21"/>
              </w:rPr>
            </w:pPr>
          </w:p>
        </w:tc>
        <w:tc>
          <w:tcPr>
            <w:tcW w:w="1440" w:type="dxa"/>
            <w:vAlign w:val="top"/>
          </w:tcPr>
          <w:p w14:paraId="6A6E8EE6">
            <w:pPr>
              <w:rPr>
                <w:rFonts w:ascii="Arial"/>
                <w:sz w:val="21"/>
              </w:rPr>
            </w:pPr>
          </w:p>
        </w:tc>
        <w:tc>
          <w:tcPr>
            <w:tcW w:w="2164" w:type="dxa"/>
            <w:vAlign w:val="top"/>
          </w:tcPr>
          <w:p w14:paraId="2F11FC63">
            <w:pPr>
              <w:rPr>
                <w:rFonts w:ascii="Arial"/>
                <w:sz w:val="21"/>
              </w:rPr>
            </w:pPr>
          </w:p>
        </w:tc>
      </w:tr>
      <w:tr w14:paraId="5A0BF1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0" w:hRule="atLeast"/>
        </w:trPr>
        <w:tc>
          <w:tcPr>
            <w:tcW w:w="773" w:type="dxa"/>
            <w:vAlign w:val="top"/>
          </w:tcPr>
          <w:p w14:paraId="73D43111">
            <w:pPr>
              <w:rPr>
                <w:rFonts w:ascii="Arial"/>
                <w:sz w:val="21"/>
              </w:rPr>
            </w:pPr>
          </w:p>
        </w:tc>
        <w:tc>
          <w:tcPr>
            <w:tcW w:w="2399" w:type="dxa"/>
            <w:vAlign w:val="top"/>
          </w:tcPr>
          <w:p w14:paraId="35182945">
            <w:pPr>
              <w:rPr>
                <w:rFonts w:ascii="Arial"/>
                <w:sz w:val="21"/>
              </w:rPr>
            </w:pPr>
          </w:p>
        </w:tc>
        <w:tc>
          <w:tcPr>
            <w:tcW w:w="1799" w:type="dxa"/>
            <w:vAlign w:val="top"/>
          </w:tcPr>
          <w:p w14:paraId="68D74E1A">
            <w:pPr>
              <w:rPr>
                <w:rFonts w:ascii="Arial"/>
                <w:sz w:val="21"/>
              </w:rPr>
            </w:pPr>
          </w:p>
        </w:tc>
        <w:tc>
          <w:tcPr>
            <w:tcW w:w="1440" w:type="dxa"/>
            <w:vAlign w:val="top"/>
          </w:tcPr>
          <w:p w14:paraId="0923FC27">
            <w:pPr>
              <w:rPr>
                <w:rFonts w:ascii="Arial"/>
                <w:sz w:val="21"/>
              </w:rPr>
            </w:pPr>
          </w:p>
        </w:tc>
        <w:tc>
          <w:tcPr>
            <w:tcW w:w="2164" w:type="dxa"/>
            <w:vAlign w:val="top"/>
          </w:tcPr>
          <w:p w14:paraId="35107E6C">
            <w:pPr>
              <w:rPr>
                <w:rFonts w:ascii="Arial"/>
                <w:sz w:val="21"/>
              </w:rPr>
            </w:pPr>
          </w:p>
        </w:tc>
      </w:tr>
      <w:tr w14:paraId="3EADD6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9" w:hRule="atLeast"/>
        </w:trPr>
        <w:tc>
          <w:tcPr>
            <w:tcW w:w="773" w:type="dxa"/>
            <w:vAlign w:val="top"/>
          </w:tcPr>
          <w:p w14:paraId="74A7BDD7">
            <w:pPr>
              <w:rPr>
                <w:rFonts w:ascii="Arial"/>
                <w:sz w:val="21"/>
              </w:rPr>
            </w:pPr>
          </w:p>
        </w:tc>
        <w:tc>
          <w:tcPr>
            <w:tcW w:w="2399" w:type="dxa"/>
            <w:vAlign w:val="top"/>
          </w:tcPr>
          <w:p w14:paraId="47EA2439">
            <w:pPr>
              <w:rPr>
                <w:rFonts w:ascii="Arial"/>
                <w:sz w:val="21"/>
              </w:rPr>
            </w:pPr>
          </w:p>
        </w:tc>
        <w:tc>
          <w:tcPr>
            <w:tcW w:w="1799" w:type="dxa"/>
            <w:vAlign w:val="top"/>
          </w:tcPr>
          <w:p w14:paraId="18A10A2E">
            <w:pPr>
              <w:rPr>
                <w:rFonts w:ascii="Arial"/>
                <w:sz w:val="21"/>
              </w:rPr>
            </w:pPr>
          </w:p>
        </w:tc>
        <w:tc>
          <w:tcPr>
            <w:tcW w:w="1440" w:type="dxa"/>
            <w:vAlign w:val="top"/>
          </w:tcPr>
          <w:p w14:paraId="028E2C28">
            <w:pPr>
              <w:rPr>
                <w:rFonts w:ascii="Arial"/>
                <w:sz w:val="21"/>
              </w:rPr>
            </w:pPr>
          </w:p>
        </w:tc>
        <w:tc>
          <w:tcPr>
            <w:tcW w:w="2164" w:type="dxa"/>
            <w:vAlign w:val="top"/>
          </w:tcPr>
          <w:p w14:paraId="23EC58BB">
            <w:pPr>
              <w:rPr>
                <w:rFonts w:ascii="Arial"/>
                <w:sz w:val="21"/>
              </w:rPr>
            </w:pPr>
          </w:p>
        </w:tc>
      </w:tr>
      <w:tr w14:paraId="2EAA1F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773" w:type="dxa"/>
            <w:vAlign w:val="top"/>
          </w:tcPr>
          <w:p w14:paraId="2C61FC53">
            <w:pPr>
              <w:rPr>
                <w:rFonts w:ascii="Arial"/>
                <w:sz w:val="21"/>
              </w:rPr>
            </w:pPr>
          </w:p>
        </w:tc>
        <w:tc>
          <w:tcPr>
            <w:tcW w:w="2399" w:type="dxa"/>
            <w:vAlign w:val="top"/>
          </w:tcPr>
          <w:p w14:paraId="1C6BB33F">
            <w:pPr>
              <w:rPr>
                <w:rFonts w:ascii="Arial"/>
                <w:sz w:val="21"/>
              </w:rPr>
            </w:pPr>
          </w:p>
        </w:tc>
        <w:tc>
          <w:tcPr>
            <w:tcW w:w="1799" w:type="dxa"/>
            <w:vAlign w:val="top"/>
          </w:tcPr>
          <w:p w14:paraId="21CD748F">
            <w:pPr>
              <w:rPr>
                <w:rFonts w:ascii="Arial"/>
                <w:sz w:val="21"/>
              </w:rPr>
            </w:pPr>
          </w:p>
        </w:tc>
        <w:tc>
          <w:tcPr>
            <w:tcW w:w="1440" w:type="dxa"/>
            <w:vAlign w:val="top"/>
          </w:tcPr>
          <w:p w14:paraId="61E55EEC">
            <w:pPr>
              <w:rPr>
                <w:rFonts w:ascii="Arial"/>
                <w:sz w:val="21"/>
              </w:rPr>
            </w:pPr>
          </w:p>
        </w:tc>
        <w:tc>
          <w:tcPr>
            <w:tcW w:w="2164" w:type="dxa"/>
            <w:vAlign w:val="top"/>
          </w:tcPr>
          <w:p w14:paraId="10079A94">
            <w:pPr>
              <w:rPr>
                <w:rFonts w:ascii="Arial"/>
                <w:sz w:val="21"/>
              </w:rPr>
            </w:pPr>
          </w:p>
        </w:tc>
      </w:tr>
      <w:tr w14:paraId="3045EE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9" w:hRule="atLeast"/>
        </w:trPr>
        <w:tc>
          <w:tcPr>
            <w:tcW w:w="773" w:type="dxa"/>
            <w:vAlign w:val="top"/>
          </w:tcPr>
          <w:p w14:paraId="58301E30">
            <w:pPr>
              <w:rPr>
                <w:rFonts w:ascii="Arial"/>
                <w:sz w:val="21"/>
              </w:rPr>
            </w:pPr>
          </w:p>
        </w:tc>
        <w:tc>
          <w:tcPr>
            <w:tcW w:w="2399" w:type="dxa"/>
            <w:vAlign w:val="top"/>
          </w:tcPr>
          <w:p w14:paraId="34663314">
            <w:pPr>
              <w:rPr>
                <w:rFonts w:ascii="Arial"/>
                <w:sz w:val="21"/>
              </w:rPr>
            </w:pPr>
          </w:p>
        </w:tc>
        <w:tc>
          <w:tcPr>
            <w:tcW w:w="1799" w:type="dxa"/>
            <w:vAlign w:val="top"/>
          </w:tcPr>
          <w:p w14:paraId="17FFD444">
            <w:pPr>
              <w:rPr>
                <w:rFonts w:ascii="Arial"/>
                <w:sz w:val="21"/>
              </w:rPr>
            </w:pPr>
          </w:p>
        </w:tc>
        <w:tc>
          <w:tcPr>
            <w:tcW w:w="1440" w:type="dxa"/>
            <w:vAlign w:val="top"/>
          </w:tcPr>
          <w:p w14:paraId="4CC4C39C">
            <w:pPr>
              <w:rPr>
                <w:rFonts w:ascii="Arial"/>
                <w:sz w:val="21"/>
              </w:rPr>
            </w:pPr>
          </w:p>
        </w:tc>
        <w:tc>
          <w:tcPr>
            <w:tcW w:w="2164" w:type="dxa"/>
            <w:vAlign w:val="top"/>
          </w:tcPr>
          <w:p w14:paraId="01A9C0A9">
            <w:pPr>
              <w:rPr>
                <w:rFonts w:ascii="Arial"/>
                <w:sz w:val="21"/>
              </w:rPr>
            </w:pPr>
          </w:p>
        </w:tc>
      </w:tr>
      <w:tr w14:paraId="3F1D8A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9" w:hRule="atLeast"/>
        </w:trPr>
        <w:tc>
          <w:tcPr>
            <w:tcW w:w="773" w:type="dxa"/>
            <w:vAlign w:val="top"/>
          </w:tcPr>
          <w:p w14:paraId="7B9B79B9">
            <w:pPr>
              <w:rPr>
                <w:rFonts w:ascii="Arial"/>
                <w:sz w:val="21"/>
              </w:rPr>
            </w:pPr>
          </w:p>
        </w:tc>
        <w:tc>
          <w:tcPr>
            <w:tcW w:w="2399" w:type="dxa"/>
            <w:vAlign w:val="top"/>
          </w:tcPr>
          <w:p w14:paraId="591B372D">
            <w:pPr>
              <w:rPr>
                <w:rFonts w:ascii="Arial"/>
                <w:sz w:val="21"/>
              </w:rPr>
            </w:pPr>
          </w:p>
        </w:tc>
        <w:tc>
          <w:tcPr>
            <w:tcW w:w="1799" w:type="dxa"/>
            <w:vAlign w:val="top"/>
          </w:tcPr>
          <w:p w14:paraId="0869F804">
            <w:pPr>
              <w:rPr>
                <w:rFonts w:ascii="Arial"/>
                <w:sz w:val="21"/>
              </w:rPr>
            </w:pPr>
          </w:p>
        </w:tc>
        <w:tc>
          <w:tcPr>
            <w:tcW w:w="1440" w:type="dxa"/>
            <w:vAlign w:val="top"/>
          </w:tcPr>
          <w:p w14:paraId="352C8286">
            <w:pPr>
              <w:rPr>
                <w:rFonts w:ascii="Arial"/>
                <w:sz w:val="21"/>
              </w:rPr>
            </w:pPr>
          </w:p>
        </w:tc>
        <w:tc>
          <w:tcPr>
            <w:tcW w:w="2164" w:type="dxa"/>
            <w:vAlign w:val="top"/>
          </w:tcPr>
          <w:p w14:paraId="20BD05B8">
            <w:pPr>
              <w:rPr>
                <w:rFonts w:ascii="Arial"/>
                <w:sz w:val="21"/>
              </w:rPr>
            </w:pPr>
          </w:p>
        </w:tc>
      </w:tr>
      <w:tr w14:paraId="351AEE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773" w:type="dxa"/>
            <w:vAlign w:val="top"/>
          </w:tcPr>
          <w:p w14:paraId="6AFACCF9">
            <w:pPr>
              <w:rPr>
                <w:rFonts w:ascii="Arial"/>
                <w:sz w:val="21"/>
              </w:rPr>
            </w:pPr>
          </w:p>
        </w:tc>
        <w:tc>
          <w:tcPr>
            <w:tcW w:w="2399" w:type="dxa"/>
            <w:vAlign w:val="top"/>
          </w:tcPr>
          <w:p w14:paraId="6E07DD71">
            <w:pPr>
              <w:rPr>
                <w:rFonts w:ascii="Arial"/>
                <w:sz w:val="21"/>
              </w:rPr>
            </w:pPr>
          </w:p>
        </w:tc>
        <w:tc>
          <w:tcPr>
            <w:tcW w:w="1799" w:type="dxa"/>
            <w:vAlign w:val="top"/>
          </w:tcPr>
          <w:p w14:paraId="019031C5">
            <w:pPr>
              <w:rPr>
                <w:rFonts w:ascii="Arial"/>
                <w:sz w:val="21"/>
              </w:rPr>
            </w:pPr>
          </w:p>
        </w:tc>
        <w:tc>
          <w:tcPr>
            <w:tcW w:w="1440" w:type="dxa"/>
            <w:vAlign w:val="top"/>
          </w:tcPr>
          <w:p w14:paraId="0D6083CD">
            <w:pPr>
              <w:rPr>
                <w:rFonts w:ascii="Arial"/>
                <w:sz w:val="21"/>
              </w:rPr>
            </w:pPr>
          </w:p>
        </w:tc>
        <w:tc>
          <w:tcPr>
            <w:tcW w:w="2164" w:type="dxa"/>
            <w:vAlign w:val="top"/>
          </w:tcPr>
          <w:p w14:paraId="3C063127">
            <w:pPr>
              <w:rPr>
                <w:rFonts w:ascii="Arial"/>
                <w:sz w:val="21"/>
              </w:rPr>
            </w:pPr>
          </w:p>
        </w:tc>
      </w:tr>
      <w:tr w14:paraId="682D56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0" w:hRule="atLeast"/>
        </w:trPr>
        <w:tc>
          <w:tcPr>
            <w:tcW w:w="773" w:type="dxa"/>
            <w:vAlign w:val="top"/>
          </w:tcPr>
          <w:p w14:paraId="1BF484A3">
            <w:pPr>
              <w:rPr>
                <w:rFonts w:ascii="Arial"/>
                <w:sz w:val="21"/>
              </w:rPr>
            </w:pPr>
          </w:p>
        </w:tc>
        <w:tc>
          <w:tcPr>
            <w:tcW w:w="2399" w:type="dxa"/>
            <w:vAlign w:val="top"/>
          </w:tcPr>
          <w:p w14:paraId="5737D636">
            <w:pPr>
              <w:rPr>
                <w:rFonts w:ascii="Arial"/>
                <w:sz w:val="21"/>
              </w:rPr>
            </w:pPr>
          </w:p>
        </w:tc>
        <w:tc>
          <w:tcPr>
            <w:tcW w:w="1799" w:type="dxa"/>
            <w:vAlign w:val="top"/>
          </w:tcPr>
          <w:p w14:paraId="2A3ABA6A">
            <w:pPr>
              <w:rPr>
                <w:rFonts w:ascii="Arial"/>
                <w:sz w:val="21"/>
              </w:rPr>
            </w:pPr>
          </w:p>
        </w:tc>
        <w:tc>
          <w:tcPr>
            <w:tcW w:w="1440" w:type="dxa"/>
            <w:vAlign w:val="top"/>
          </w:tcPr>
          <w:p w14:paraId="098647CE">
            <w:pPr>
              <w:rPr>
                <w:rFonts w:ascii="Arial"/>
                <w:sz w:val="21"/>
              </w:rPr>
            </w:pPr>
          </w:p>
        </w:tc>
        <w:tc>
          <w:tcPr>
            <w:tcW w:w="2164" w:type="dxa"/>
            <w:vAlign w:val="top"/>
          </w:tcPr>
          <w:p w14:paraId="64C31EDE">
            <w:pPr>
              <w:rPr>
                <w:rFonts w:ascii="Arial"/>
                <w:sz w:val="21"/>
              </w:rPr>
            </w:pPr>
          </w:p>
        </w:tc>
      </w:tr>
      <w:tr w14:paraId="4F5D91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4" w:hRule="atLeast"/>
        </w:trPr>
        <w:tc>
          <w:tcPr>
            <w:tcW w:w="773" w:type="dxa"/>
            <w:vAlign w:val="top"/>
          </w:tcPr>
          <w:p w14:paraId="03D05AF1">
            <w:pPr>
              <w:rPr>
                <w:rFonts w:ascii="Arial"/>
                <w:sz w:val="21"/>
              </w:rPr>
            </w:pPr>
          </w:p>
        </w:tc>
        <w:tc>
          <w:tcPr>
            <w:tcW w:w="2399" w:type="dxa"/>
            <w:vAlign w:val="top"/>
          </w:tcPr>
          <w:p w14:paraId="3B5E9833">
            <w:pPr>
              <w:rPr>
                <w:rFonts w:ascii="Arial"/>
                <w:sz w:val="21"/>
              </w:rPr>
            </w:pPr>
          </w:p>
        </w:tc>
        <w:tc>
          <w:tcPr>
            <w:tcW w:w="1799" w:type="dxa"/>
            <w:vAlign w:val="top"/>
          </w:tcPr>
          <w:p w14:paraId="7DCFE756">
            <w:pPr>
              <w:rPr>
                <w:rFonts w:ascii="Arial"/>
                <w:sz w:val="21"/>
              </w:rPr>
            </w:pPr>
          </w:p>
        </w:tc>
        <w:tc>
          <w:tcPr>
            <w:tcW w:w="1440" w:type="dxa"/>
            <w:vAlign w:val="top"/>
          </w:tcPr>
          <w:p w14:paraId="52B818C7">
            <w:pPr>
              <w:rPr>
                <w:rFonts w:ascii="Arial"/>
                <w:sz w:val="21"/>
              </w:rPr>
            </w:pPr>
          </w:p>
        </w:tc>
        <w:tc>
          <w:tcPr>
            <w:tcW w:w="2164" w:type="dxa"/>
            <w:vAlign w:val="top"/>
          </w:tcPr>
          <w:p w14:paraId="22DF8308">
            <w:pPr>
              <w:rPr>
                <w:rFonts w:ascii="Arial"/>
                <w:sz w:val="21"/>
              </w:rPr>
            </w:pPr>
          </w:p>
        </w:tc>
      </w:tr>
    </w:tbl>
    <w:p w14:paraId="74517548">
      <w:pPr>
        <w:spacing w:before="29" w:line="220" w:lineRule="auto"/>
        <w:ind w:left="20"/>
        <w:rPr>
          <w:rFonts w:ascii="宋体" w:hAnsi="宋体" w:eastAsia="宋体" w:cs="宋体"/>
          <w:sz w:val="21"/>
          <w:szCs w:val="21"/>
        </w:rPr>
      </w:pPr>
      <w:r>
        <w:rPr>
          <w:rFonts w:ascii="宋体" w:hAnsi="宋体" w:eastAsia="宋体" w:cs="宋体"/>
          <w:spacing w:val="-5"/>
          <w:sz w:val="21"/>
          <w:szCs w:val="21"/>
        </w:rPr>
        <w:t xml:space="preserve">备注： </w:t>
      </w:r>
      <w:r>
        <w:rPr>
          <w:rFonts w:ascii="Times New Roman" w:hAnsi="Times New Roman" w:eastAsia="Times New Roman" w:cs="Times New Roman"/>
          <w:spacing w:val="-5"/>
          <w:sz w:val="21"/>
          <w:szCs w:val="21"/>
        </w:rPr>
        <w:t>1.</w:t>
      </w:r>
      <w:r>
        <w:rPr>
          <w:rFonts w:ascii="宋体" w:hAnsi="宋体" w:eastAsia="宋体" w:cs="宋体"/>
          <w:spacing w:val="-5"/>
          <w:sz w:val="21"/>
          <w:szCs w:val="21"/>
        </w:rPr>
        <w:t>本表后应附表彰文件、获奖证书及其他证明材料等。</w:t>
      </w:r>
    </w:p>
    <w:p w14:paraId="3987CE48">
      <w:pPr>
        <w:spacing w:before="148" w:line="220" w:lineRule="auto"/>
        <w:ind w:left="643"/>
        <w:rPr>
          <w:rFonts w:ascii="宋体" w:hAnsi="宋体" w:eastAsia="宋体" w:cs="宋体"/>
          <w:sz w:val="21"/>
          <w:szCs w:val="21"/>
        </w:rPr>
      </w:pPr>
      <w:r>
        <w:rPr>
          <w:rFonts w:ascii="Times New Roman" w:hAnsi="Times New Roman" w:eastAsia="Times New Roman" w:cs="Times New Roman"/>
          <w:sz w:val="21"/>
          <w:szCs w:val="21"/>
        </w:rPr>
        <w:t xml:space="preserve">2. </w:t>
      </w:r>
      <w:r>
        <w:rPr>
          <w:rFonts w:ascii="宋体" w:hAnsi="宋体" w:eastAsia="宋体" w:cs="宋体"/>
          <w:sz w:val="21"/>
          <w:szCs w:val="21"/>
        </w:rPr>
        <w:t>颁奖单位应当是国家机关或民政部门注册登记的合法颁奖单位。</w:t>
      </w:r>
    </w:p>
    <w:p w14:paraId="33B58781">
      <w:pPr>
        <w:spacing w:line="220" w:lineRule="auto"/>
        <w:rPr>
          <w:rFonts w:ascii="宋体" w:hAnsi="宋体" w:eastAsia="宋体" w:cs="宋体"/>
          <w:sz w:val="21"/>
          <w:szCs w:val="21"/>
        </w:rPr>
        <w:sectPr>
          <w:footerReference r:id="rId222" w:type="default"/>
          <w:pgSz w:w="11905" w:h="16839"/>
          <w:pgMar w:top="400" w:right="1527" w:bottom="1004" w:left="1785" w:header="0" w:footer="828" w:gutter="0"/>
          <w:pgNumType w:fmt="decimal"/>
          <w:cols w:space="720" w:num="1"/>
        </w:sectPr>
      </w:pPr>
    </w:p>
    <w:p w14:paraId="238FCDC2">
      <w:pPr>
        <w:pStyle w:val="3"/>
        <w:spacing w:line="267" w:lineRule="auto"/>
      </w:pPr>
    </w:p>
    <w:p w14:paraId="4E554987">
      <w:pPr>
        <w:pStyle w:val="3"/>
        <w:spacing w:line="267" w:lineRule="auto"/>
      </w:pPr>
    </w:p>
    <w:p w14:paraId="51FF99D3">
      <w:pPr>
        <w:pStyle w:val="3"/>
        <w:spacing w:line="268" w:lineRule="auto"/>
      </w:pPr>
    </w:p>
    <w:p w14:paraId="5EC5C759">
      <w:pPr>
        <w:pStyle w:val="3"/>
        <w:spacing w:line="268" w:lineRule="auto"/>
      </w:pPr>
    </w:p>
    <w:p w14:paraId="5026A19A">
      <w:pPr>
        <w:spacing w:before="78" w:line="219" w:lineRule="auto"/>
        <w:ind w:left="2547"/>
        <w:rPr>
          <w:rFonts w:ascii="黑体" w:hAnsi="黑体" w:eastAsia="黑体" w:cs="黑体"/>
          <w:sz w:val="24"/>
          <w:szCs w:val="24"/>
        </w:rPr>
      </w:pPr>
      <w:bookmarkStart w:id="1343" w:name="bookmark328"/>
      <w:bookmarkEnd w:id="1343"/>
      <w:r>
        <w:rPr>
          <w:rFonts w:ascii="Times New Roman" w:hAnsi="Times New Roman" w:eastAsia="Times New Roman" w:cs="Times New Roman"/>
          <w:spacing w:val="-1"/>
          <w:sz w:val="24"/>
          <w:szCs w:val="24"/>
        </w:rPr>
        <w:t xml:space="preserve">5-5 </w:t>
      </w:r>
      <w:r>
        <w:rPr>
          <w:rFonts w:ascii="黑体" w:hAnsi="黑体" w:eastAsia="黑体" w:cs="黑体"/>
          <w:spacing w:val="-1"/>
          <w:sz w:val="24"/>
          <w:szCs w:val="24"/>
        </w:rPr>
        <w:t>近年项目经理获表彰情况表</w:t>
      </w:r>
    </w:p>
    <w:p w14:paraId="45648EEE">
      <w:pPr>
        <w:spacing w:before="198"/>
      </w:pPr>
    </w:p>
    <w:tbl>
      <w:tblPr>
        <w:tblStyle w:val="10"/>
        <w:tblW w:w="8575"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3"/>
        <w:gridCol w:w="3479"/>
        <w:gridCol w:w="1799"/>
        <w:gridCol w:w="2524"/>
      </w:tblGrid>
      <w:tr w14:paraId="1C92B7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5" w:hRule="atLeast"/>
        </w:trPr>
        <w:tc>
          <w:tcPr>
            <w:tcW w:w="773" w:type="dxa"/>
            <w:vAlign w:val="top"/>
          </w:tcPr>
          <w:p w14:paraId="4C7673A4">
            <w:pPr>
              <w:pStyle w:val="11"/>
              <w:spacing w:before="159" w:line="222" w:lineRule="auto"/>
              <w:ind w:left="185"/>
            </w:pPr>
            <w:r>
              <w:rPr>
                <w:spacing w:val="-2"/>
              </w:rPr>
              <w:t>序号</w:t>
            </w:r>
          </w:p>
        </w:tc>
        <w:tc>
          <w:tcPr>
            <w:tcW w:w="3479" w:type="dxa"/>
            <w:vAlign w:val="top"/>
          </w:tcPr>
          <w:p w14:paraId="5DE805FC">
            <w:pPr>
              <w:pStyle w:val="11"/>
              <w:spacing w:before="159" w:line="221" w:lineRule="auto"/>
              <w:ind w:left="1327"/>
            </w:pPr>
            <w:r>
              <w:rPr>
                <w:spacing w:val="-2"/>
              </w:rPr>
              <w:t>获奖名称</w:t>
            </w:r>
          </w:p>
        </w:tc>
        <w:tc>
          <w:tcPr>
            <w:tcW w:w="1799" w:type="dxa"/>
            <w:vAlign w:val="top"/>
          </w:tcPr>
          <w:p w14:paraId="79845143">
            <w:pPr>
              <w:pStyle w:val="11"/>
              <w:spacing w:before="159" w:line="221" w:lineRule="auto"/>
              <w:ind w:left="489"/>
            </w:pPr>
            <w:r>
              <w:rPr>
                <w:spacing w:val="-2"/>
              </w:rPr>
              <w:t>获奖日期</w:t>
            </w:r>
          </w:p>
        </w:tc>
        <w:tc>
          <w:tcPr>
            <w:tcW w:w="2524" w:type="dxa"/>
            <w:vAlign w:val="top"/>
          </w:tcPr>
          <w:p w14:paraId="7826772B">
            <w:pPr>
              <w:pStyle w:val="11"/>
              <w:spacing w:before="160" w:line="221" w:lineRule="auto"/>
              <w:ind w:left="847"/>
            </w:pPr>
            <w:r>
              <w:rPr>
                <w:spacing w:val="-1"/>
              </w:rPr>
              <w:t>颁奖单位</w:t>
            </w:r>
          </w:p>
        </w:tc>
      </w:tr>
      <w:tr w14:paraId="271C09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9" w:hRule="atLeast"/>
        </w:trPr>
        <w:tc>
          <w:tcPr>
            <w:tcW w:w="773" w:type="dxa"/>
            <w:vAlign w:val="top"/>
          </w:tcPr>
          <w:p w14:paraId="1A99E778">
            <w:pPr>
              <w:rPr>
                <w:rFonts w:ascii="Arial"/>
                <w:sz w:val="21"/>
              </w:rPr>
            </w:pPr>
          </w:p>
        </w:tc>
        <w:tc>
          <w:tcPr>
            <w:tcW w:w="3479" w:type="dxa"/>
            <w:vAlign w:val="top"/>
          </w:tcPr>
          <w:p w14:paraId="381E6E82">
            <w:pPr>
              <w:rPr>
                <w:rFonts w:ascii="Arial"/>
                <w:sz w:val="21"/>
              </w:rPr>
            </w:pPr>
          </w:p>
        </w:tc>
        <w:tc>
          <w:tcPr>
            <w:tcW w:w="1799" w:type="dxa"/>
            <w:vAlign w:val="top"/>
          </w:tcPr>
          <w:p w14:paraId="4CE64109">
            <w:pPr>
              <w:rPr>
                <w:rFonts w:ascii="Arial"/>
                <w:sz w:val="21"/>
              </w:rPr>
            </w:pPr>
          </w:p>
        </w:tc>
        <w:tc>
          <w:tcPr>
            <w:tcW w:w="2524" w:type="dxa"/>
            <w:vAlign w:val="top"/>
          </w:tcPr>
          <w:p w14:paraId="2D05877D">
            <w:pPr>
              <w:rPr>
                <w:rFonts w:ascii="Arial"/>
                <w:sz w:val="21"/>
              </w:rPr>
            </w:pPr>
          </w:p>
        </w:tc>
      </w:tr>
      <w:tr w14:paraId="5C2269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773" w:type="dxa"/>
            <w:vAlign w:val="top"/>
          </w:tcPr>
          <w:p w14:paraId="1F32A551">
            <w:pPr>
              <w:rPr>
                <w:rFonts w:ascii="Arial"/>
                <w:sz w:val="21"/>
              </w:rPr>
            </w:pPr>
          </w:p>
        </w:tc>
        <w:tc>
          <w:tcPr>
            <w:tcW w:w="3479" w:type="dxa"/>
            <w:vAlign w:val="top"/>
          </w:tcPr>
          <w:p w14:paraId="30C726C6">
            <w:pPr>
              <w:rPr>
                <w:rFonts w:ascii="Arial"/>
                <w:sz w:val="21"/>
              </w:rPr>
            </w:pPr>
          </w:p>
        </w:tc>
        <w:tc>
          <w:tcPr>
            <w:tcW w:w="1799" w:type="dxa"/>
            <w:vAlign w:val="top"/>
          </w:tcPr>
          <w:p w14:paraId="2F5EFB18">
            <w:pPr>
              <w:rPr>
                <w:rFonts w:ascii="Arial"/>
                <w:sz w:val="21"/>
              </w:rPr>
            </w:pPr>
          </w:p>
        </w:tc>
        <w:tc>
          <w:tcPr>
            <w:tcW w:w="2524" w:type="dxa"/>
            <w:vAlign w:val="top"/>
          </w:tcPr>
          <w:p w14:paraId="73D1FCB1">
            <w:pPr>
              <w:rPr>
                <w:rFonts w:ascii="Arial"/>
                <w:sz w:val="21"/>
              </w:rPr>
            </w:pPr>
          </w:p>
        </w:tc>
      </w:tr>
      <w:tr w14:paraId="5BD916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9" w:hRule="atLeast"/>
        </w:trPr>
        <w:tc>
          <w:tcPr>
            <w:tcW w:w="773" w:type="dxa"/>
            <w:vAlign w:val="top"/>
          </w:tcPr>
          <w:p w14:paraId="42C1DBE8">
            <w:pPr>
              <w:rPr>
                <w:rFonts w:ascii="Arial"/>
                <w:sz w:val="21"/>
              </w:rPr>
            </w:pPr>
          </w:p>
        </w:tc>
        <w:tc>
          <w:tcPr>
            <w:tcW w:w="3479" w:type="dxa"/>
            <w:vAlign w:val="top"/>
          </w:tcPr>
          <w:p w14:paraId="2498A47D">
            <w:pPr>
              <w:rPr>
                <w:rFonts w:ascii="Arial"/>
                <w:sz w:val="21"/>
              </w:rPr>
            </w:pPr>
          </w:p>
        </w:tc>
        <w:tc>
          <w:tcPr>
            <w:tcW w:w="1799" w:type="dxa"/>
            <w:vAlign w:val="top"/>
          </w:tcPr>
          <w:p w14:paraId="69496000">
            <w:pPr>
              <w:rPr>
                <w:rFonts w:ascii="Arial"/>
                <w:sz w:val="21"/>
              </w:rPr>
            </w:pPr>
          </w:p>
        </w:tc>
        <w:tc>
          <w:tcPr>
            <w:tcW w:w="2524" w:type="dxa"/>
            <w:vAlign w:val="top"/>
          </w:tcPr>
          <w:p w14:paraId="1E3D06FF">
            <w:pPr>
              <w:rPr>
                <w:rFonts w:ascii="Arial"/>
                <w:sz w:val="21"/>
              </w:rPr>
            </w:pPr>
          </w:p>
        </w:tc>
      </w:tr>
      <w:tr w14:paraId="5102FC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9" w:hRule="atLeast"/>
        </w:trPr>
        <w:tc>
          <w:tcPr>
            <w:tcW w:w="773" w:type="dxa"/>
            <w:vAlign w:val="top"/>
          </w:tcPr>
          <w:p w14:paraId="297C9B5B">
            <w:pPr>
              <w:rPr>
                <w:rFonts w:ascii="Arial"/>
                <w:sz w:val="21"/>
              </w:rPr>
            </w:pPr>
          </w:p>
        </w:tc>
        <w:tc>
          <w:tcPr>
            <w:tcW w:w="3479" w:type="dxa"/>
            <w:vAlign w:val="top"/>
          </w:tcPr>
          <w:p w14:paraId="1E5DAF92">
            <w:pPr>
              <w:rPr>
                <w:rFonts w:ascii="Arial"/>
                <w:sz w:val="21"/>
              </w:rPr>
            </w:pPr>
          </w:p>
        </w:tc>
        <w:tc>
          <w:tcPr>
            <w:tcW w:w="1799" w:type="dxa"/>
            <w:vAlign w:val="top"/>
          </w:tcPr>
          <w:p w14:paraId="7BB2E7C0">
            <w:pPr>
              <w:rPr>
                <w:rFonts w:ascii="Arial"/>
                <w:sz w:val="21"/>
              </w:rPr>
            </w:pPr>
          </w:p>
        </w:tc>
        <w:tc>
          <w:tcPr>
            <w:tcW w:w="2524" w:type="dxa"/>
            <w:vAlign w:val="top"/>
          </w:tcPr>
          <w:p w14:paraId="143B2766">
            <w:pPr>
              <w:rPr>
                <w:rFonts w:ascii="Arial"/>
                <w:sz w:val="21"/>
              </w:rPr>
            </w:pPr>
          </w:p>
        </w:tc>
      </w:tr>
      <w:tr w14:paraId="2096AF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9" w:hRule="atLeast"/>
        </w:trPr>
        <w:tc>
          <w:tcPr>
            <w:tcW w:w="773" w:type="dxa"/>
            <w:vAlign w:val="top"/>
          </w:tcPr>
          <w:p w14:paraId="6FAA210D">
            <w:pPr>
              <w:rPr>
                <w:rFonts w:ascii="Arial"/>
                <w:sz w:val="21"/>
              </w:rPr>
            </w:pPr>
          </w:p>
        </w:tc>
        <w:tc>
          <w:tcPr>
            <w:tcW w:w="3479" w:type="dxa"/>
            <w:vAlign w:val="top"/>
          </w:tcPr>
          <w:p w14:paraId="310BDB21">
            <w:pPr>
              <w:rPr>
                <w:rFonts w:ascii="Arial"/>
                <w:sz w:val="21"/>
              </w:rPr>
            </w:pPr>
          </w:p>
        </w:tc>
        <w:tc>
          <w:tcPr>
            <w:tcW w:w="1799" w:type="dxa"/>
            <w:vAlign w:val="top"/>
          </w:tcPr>
          <w:p w14:paraId="02DA0FFA">
            <w:pPr>
              <w:rPr>
                <w:rFonts w:ascii="Arial"/>
                <w:sz w:val="21"/>
              </w:rPr>
            </w:pPr>
          </w:p>
        </w:tc>
        <w:tc>
          <w:tcPr>
            <w:tcW w:w="2524" w:type="dxa"/>
            <w:vAlign w:val="top"/>
          </w:tcPr>
          <w:p w14:paraId="6AABEEB2">
            <w:pPr>
              <w:rPr>
                <w:rFonts w:ascii="Arial"/>
                <w:sz w:val="21"/>
              </w:rPr>
            </w:pPr>
          </w:p>
        </w:tc>
      </w:tr>
      <w:tr w14:paraId="3E9D3A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773" w:type="dxa"/>
            <w:vAlign w:val="top"/>
          </w:tcPr>
          <w:p w14:paraId="4BFB02FF">
            <w:pPr>
              <w:rPr>
                <w:rFonts w:ascii="Arial"/>
                <w:sz w:val="21"/>
              </w:rPr>
            </w:pPr>
          </w:p>
        </w:tc>
        <w:tc>
          <w:tcPr>
            <w:tcW w:w="3479" w:type="dxa"/>
            <w:vAlign w:val="top"/>
          </w:tcPr>
          <w:p w14:paraId="474AAE99">
            <w:pPr>
              <w:rPr>
                <w:rFonts w:ascii="Arial"/>
                <w:sz w:val="21"/>
              </w:rPr>
            </w:pPr>
          </w:p>
        </w:tc>
        <w:tc>
          <w:tcPr>
            <w:tcW w:w="1799" w:type="dxa"/>
            <w:vAlign w:val="top"/>
          </w:tcPr>
          <w:p w14:paraId="2E3E69AC">
            <w:pPr>
              <w:rPr>
                <w:rFonts w:ascii="Arial"/>
                <w:sz w:val="21"/>
              </w:rPr>
            </w:pPr>
          </w:p>
        </w:tc>
        <w:tc>
          <w:tcPr>
            <w:tcW w:w="2524" w:type="dxa"/>
            <w:vAlign w:val="top"/>
          </w:tcPr>
          <w:p w14:paraId="53A42C2D">
            <w:pPr>
              <w:rPr>
                <w:rFonts w:ascii="Arial"/>
                <w:sz w:val="21"/>
              </w:rPr>
            </w:pPr>
          </w:p>
        </w:tc>
      </w:tr>
      <w:tr w14:paraId="1EC005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9" w:hRule="atLeast"/>
        </w:trPr>
        <w:tc>
          <w:tcPr>
            <w:tcW w:w="773" w:type="dxa"/>
            <w:vAlign w:val="top"/>
          </w:tcPr>
          <w:p w14:paraId="7C1D14C7">
            <w:pPr>
              <w:rPr>
                <w:rFonts w:ascii="Arial"/>
                <w:sz w:val="21"/>
              </w:rPr>
            </w:pPr>
          </w:p>
        </w:tc>
        <w:tc>
          <w:tcPr>
            <w:tcW w:w="3479" w:type="dxa"/>
            <w:vAlign w:val="top"/>
          </w:tcPr>
          <w:p w14:paraId="34CE514D">
            <w:pPr>
              <w:rPr>
                <w:rFonts w:ascii="Arial"/>
                <w:sz w:val="21"/>
              </w:rPr>
            </w:pPr>
          </w:p>
        </w:tc>
        <w:tc>
          <w:tcPr>
            <w:tcW w:w="1799" w:type="dxa"/>
            <w:vAlign w:val="top"/>
          </w:tcPr>
          <w:p w14:paraId="40FB436F">
            <w:pPr>
              <w:rPr>
                <w:rFonts w:ascii="Arial"/>
                <w:sz w:val="21"/>
              </w:rPr>
            </w:pPr>
          </w:p>
        </w:tc>
        <w:tc>
          <w:tcPr>
            <w:tcW w:w="2524" w:type="dxa"/>
            <w:vAlign w:val="top"/>
          </w:tcPr>
          <w:p w14:paraId="13E1CF89">
            <w:pPr>
              <w:rPr>
                <w:rFonts w:ascii="Arial"/>
                <w:sz w:val="21"/>
              </w:rPr>
            </w:pPr>
          </w:p>
        </w:tc>
      </w:tr>
      <w:tr w14:paraId="6503BB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9" w:hRule="atLeast"/>
        </w:trPr>
        <w:tc>
          <w:tcPr>
            <w:tcW w:w="773" w:type="dxa"/>
            <w:vAlign w:val="top"/>
          </w:tcPr>
          <w:p w14:paraId="5022B181">
            <w:pPr>
              <w:rPr>
                <w:rFonts w:ascii="Arial"/>
                <w:sz w:val="21"/>
              </w:rPr>
            </w:pPr>
          </w:p>
        </w:tc>
        <w:tc>
          <w:tcPr>
            <w:tcW w:w="3479" w:type="dxa"/>
            <w:vAlign w:val="top"/>
          </w:tcPr>
          <w:p w14:paraId="5A1F5160">
            <w:pPr>
              <w:rPr>
                <w:rFonts w:ascii="Arial"/>
                <w:sz w:val="21"/>
              </w:rPr>
            </w:pPr>
          </w:p>
        </w:tc>
        <w:tc>
          <w:tcPr>
            <w:tcW w:w="1799" w:type="dxa"/>
            <w:vAlign w:val="top"/>
          </w:tcPr>
          <w:p w14:paraId="525193A9">
            <w:pPr>
              <w:rPr>
                <w:rFonts w:ascii="Arial"/>
                <w:sz w:val="21"/>
              </w:rPr>
            </w:pPr>
          </w:p>
        </w:tc>
        <w:tc>
          <w:tcPr>
            <w:tcW w:w="2524" w:type="dxa"/>
            <w:vAlign w:val="top"/>
          </w:tcPr>
          <w:p w14:paraId="788A688B">
            <w:pPr>
              <w:rPr>
                <w:rFonts w:ascii="Arial"/>
                <w:sz w:val="21"/>
              </w:rPr>
            </w:pPr>
          </w:p>
        </w:tc>
      </w:tr>
      <w:tr w14:paraId="719F72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9" w:hRule="atLeast"/>
        </w:trPr>
        <w:tc>
          <w:tcPr>
            <w:tcW w:w="773" w:type="dxa"/>
            <w:vAlign w:val="top"/>
          </w:tcPr>
          <w:p w14:paraId="4D1F8D51">
            <w:pPr>
              <w:rPr>
                <w:rFonts w:ascii="Arial"/>
                <w:sz w:val="21"/>
              </w:rPr>
            </w:pPr>
          </w:p>
        </w:tc>
        <w:tc>
          <w:tcPr>
            <w:tcW w:w="3479" w:type="dxa"/>
            <w:vAlign w:val="top"/>
          </w:tcPr>
          <w:p w14:paraId="39D1BA29">
            <w:pPr>
              <w:rPr>
                <w:rFonts w:ascii="Arial"/>
                <w:sz w:val="21"/>
              </w:rPr>
            </w:pPr>
          </w:p>
        </w:tc>
        <w:tc>
          <w:tcPr>
            <w:tcW w:w="1799" w:type="dxa"/>
            <w:vAlign w:val="top"/>
          </w:tcPr>
          <w:p w14:paraId="520C5E6B">
            <w:pPr>
              <w:rPr>
                <w:rFonts w:ascii="Arial"/>
                <w:sz w:val="21"/>
              </w:rPr>
            </w:pPr>
          </w:p>
        </w:tc>
        <w:tc>
          <w:tcPr>
            <w:tcW w:w="2524" w:type="dxa"/>
            <w:vAlign w:val="top"/>
          </w:tcPr>
          <w:p w14:paraId="7D6187EB">
            <w:pPr>
              <w:rPr>
                <w:rFonts w:ascii="Arial"/>
                <w:sz w:val="21"/>
              </w:rPr>
            </w:pPr>
          </w:p>
        </w:tc>
      </w:tr>
    </w:tbl>
    <w:p w14:paraId="1CB3AC3E">
      <w:pPr>
        <w:spacing w:before="154" w:line="220" w:lineRule="auto"/>
        <w:ind w:left="20"/>
        <w:rPr>
          <w:rFonts w:ascii="宋体" w:hAnsi="宋体" w:eastAsia="宋体" w:cs="宋体"/>
          <w:sz w:val="21"/>
          <w:szCs w:val="21"/>
        </w:rPr>
      </w:pPr>
      <w:r>
        <w:rPr>
          <w:rFonts w:ascii="宋体" w:hAnsi="宋体" w:eastAsia="宋体" w:cs="宋体"/>
          <w:spacing w:val="-4"/>
          <w:sz w:val="21"/>
          <w:szCs w:val="21"/>
        </w:rPr>
        <w:t xml:space="preserve">备注： </w:t>
      </w:r>
      <w:r>
        <w:rPr>
          <w:rFonts w:ascii="Times New Roman" w:hAnsi="Times New Roman" w:eastAsia="Times New Roman" w:cs="Times New Roman"/>
          <w:spacing w:val="-4"/>
          <w:sz w:val="21"/>
          <w:szCs w:val="21"/>
        </w:rPr>
        <w:t>1.</w:t>
      </w:r>
      <w:r>
        <w:rPr>
          <w:rFonts w:ascii="宋体" w:hAnsi="宋体" w:eastAsia="宋体" w:cs="宋体"/>
          <w:spacing w:val="-4"/>
          <w:sz w:val="21"/>
          <w:szCs w:val="21"/>
        </w:rPr>
        <w:t>本表后应附表彰文件、获奖证书及其他证明材料等。</w:t>
      </w:r>
    </w:p>
    <w:p w14:paraId="46C980AC">
      <w:pPr>
        <w:spacing w:before="152" w:line="220" w:lineRule="auto"/>
        <w:ind w:left="643"/>
        <w:rPr>
          <w:rFonts w:ascii="宋体" w:hAnsi="宋体" w:eastAsia="宋体" w:cs="宋体"/>
          <w:sz w:val="21"/>
          <w:szCs w:val="21"/>
        </w:rPr>
      </w:pPr>
      <w:r>
        <w:rPr>
          <w:rFonts w:ascii="Times New Roman" w:hAnsi="Times New Roman" w:eastAsia="Times New Roman" w:cs="Times New Roman"/>
          <w:sz w:val="21"/>
          <w:szCs w:val="21"/>
        </w:rPr>
        <w:t xml:space="preserve">2. </w:t>
      </w:r>
      <w:r>
        <w:rPr>
          <w:rFonts w:ascii="宋体" w:hAnsi="宋体" w:eastAsia="宋体" w:cs="宋体"/>
          <w:sz w:val="21"/>
          <w:szCs w:val="21"/>
        </w:rPr>
        <w:t>颁奖单位应当是国家机关或民政部门注册登记的合法颁奖单位。</w:t>
      </w:r>
    </w:p>
    <w:p w14:paraId="79732BD7">
      <w:pPr>
        <w:spacing w:line="220" w:lineRule="auto"/>
        <w:rPr>
          <w:rFonts w:ascii="宋体" w:hAnsi="宋体" w:eastAsia="宋体" w:cs="宋体"/>
          <w:sz w:val="21"/>
          <w:szCs w:val="21"/>
        </w:rPr>
        <w:sectPr>
          <w:footerReference r:id="rId223" w:type="default"/>
          <w:pgSz w:w="11905" w:h="16839"/>
          <w:pgMar w:top="400" w:right="1527" w:bottom="1004" w:left="1785" w:header="0" w:footer="828" w:gutter="0"/>
          <w:pgNumType w:fmt="decimal"/>
          <w:cols w:space="720" w:num="1"/>
        </w:sectPr>
      </w:pPr>
    </w:p>
    <w:p w14:paraId="61F25231">
      <w:pPr>
        <w:pStyle w:val="3"/>
        <w:spacing w:line="255" w:lineRule="auto"/>
      </w:pPr>
    </w:p>
    <w:p w14:paraId="5E46AAB9">
      <w:pPr>
        <w:pStyle w:val="3"/>
        <w:spacing w:line="256" w:lineRule="auto"/>
      </w:pPr>
    </w:p>
    <w:p w14:paraId="31CF4494">
      <w:pPr>
        <w:pStyle w:val="3"/>
        <w:spacing w:line="256" w:lineRule="auto"/>
      </w:pPr>
    </w:p>
    <w:p w14:paraId="7756D312">
      <w:pPr>
        <w:pStyle w:val="3"/>
        <w:spacing w:line="256" w:lineRule="auto"/>
      </w:pPr>
    </w:p>
    <w:p w14:paraId="7234F990">
      <w:pPr>
        <w:spacing w:before="88" w:line="225" w:lineRule="auto"/>
        <w:ind w:left="2777"/>
        <w:rPr>
          <w:rFonts w:ascii="黑体" w:hAnsi="黑体" w:eastAsia="黑体" w:cs="黑体"/>
          <w:sz w:val="27"/>
          <w:szCs w:val="27"/>
        </w:rPr>
      </w:pPr>
      <w:bookmarkStart w:id="1344" w:name="bookmark329"/>
      <w:bookmarkEnd w:id="1344"/>
      <w:r>
        <w:rPr>
          <w:rFonts w:ascii="黑体" w:hAnsi="黑体" w:eastAsia="黑体" w:cs="黑体"/>
          <w:spacing w:val="8"/>
          <w:sz w:val="27"/>
          <w:szCs w:val="27"/>
        </w:rPr>
        <w:t>八、已标价工程量清单</w:t>
      </w:r>
    </w:p>
    <w:p w14:paraId="0F70D045">
      <w:pPr>
        <w:pStyle w:val="3"/>
        <w:spacing w:line="285" w:lineRule="auto"/>
      </w:pPr>
    </w:p>
    <w:p w14:paraId="221A710D">
      <w:pPr>
        <w:pStyle w:val="3"/>
        <w:spacing w:line="285" w:lineRule="auto"/>
      </w:pPr>
    </w:p>
    <w:p w14:paraId="34F32E80">
      <w:pPr>
        <w:spacing w:before="68" w:line="219" w:lineRule="auto"/>
        <w:ind w:left="20"/>
        <w:rPr>
          <w:rFonts w:ascii="宋体" w:hAnsi="宋体" w:eastAsia="宋体" w:cs="宋体"/>
          <w:sz w:val="21"/>
          <w:szCs w:val="21"/>
        </w:rPr>
      </w:pPr>
      <w:r>
        <w:rPr>
          <w:rFonts w:ascii="宋体" w:hAnsi="宋体" w:eastAsia="宋体" w:cs="宋体"/>
          <w:spacing w:val="-1"/>
          <w:sz w:val="21"/>
          <w:szCs w:val="21"/>
        </w:rPr>
        <w:t>说明：已标价工程量清单按第五章“工程量清单”中的相关清单表格式填写。</w:t>
      </w:r>
    </w:p>
    <w:p w14:paraId="0CFF4DC1">
      <w:pPr>
        <w:spacing w:before="211" w:line="461" w:lineRule="exact"/>
        <w:ind w:right="19"/>
        <w:jc w:val="right"/>
        <w:rPr>
          <w:rFonts w:ascii="宋体" w:hAnsi="宋体" w:eastAsia="宋体" w:cs="宋体"/>
          <w:sz w:val="21"/>
          <w:szCs w:val="21"/>
        </w:rPr>
      </w:pPr>
      <w:r>
        <w:rPr>
          <w:rFonts w:ascii="宋体" w:hAnsi="宋体" w:eastAsia="宋体" w:cs="宋体"/>
          <w:spacing w:val="3"/>
          <w:position w:val="19"/>
          <w:sz w:val="21"/>
          <w:szCs w:val="21"/>
        </w:rPr>
        <w:t>构成合同文件的已标价工程量清单包括第五章“工程量清单”有关工</w:t>
      </w:r>
      <w:r>
        <w:rPr>
          <w:rFonts w:ascii="宋体" w:hAnsi="宋体" w:eastAsia="宋体" w:cs="宋体"/>
          <w:spacing w:val="2"/>
          <w:position w:val="19"/>
          <w:sz w:val="21"/>
          <w:szCs w:val="21"/>
        </w:rPr>
        <w:t>程量清单、投</w:t>
      </w:r>
    </w:p>
    <w:p w14:paraId="746AA242">
      <w:pPr>
        <w:spacing w:line="219" w:lineRule="auto"/>
        <w:ind w:left="19"/>
        <w:rPr>
          <w:rFonts w:ascii="宋体" w:hAnsi="宋体" w:eastAsia="宋体" w:cs="宋体"/>
          <w:sz w:val="21"/>
          <w:szCs w:val="21"/>
        </w:rPr>
      </w:pPr>
      <w:r>
        <w:rPr>
          <w:rFonts w:ascii="宋体" w:hAnsi="宋体" w:eastAsia="宋体" w:cs="宋体"/>
          <w:spacing w:val="-3"/>
          <w:sz w:val="21"/>
          <w:szCs w:val="21"/>
        </w:rPr>
        <w:t>标报价以及其他说明的内容。</w:t>
      </w:r>
    </w:p>
    <w:p w14:paraId="7258F961">
      <w:pPr>
        <w:spacing w:line="219" w:lineRule="auto"/>
        <w:rPr>
          <w:rFonts w:ascii="宋体" w:hAnsi="宋体" w:eastAsia="宋体" w:cs="宋体"/>
          <w:sz w:val="21"/>
          <w:szCs w:val="21"/>
        </w:rPr>
        <w:sectPr>
          <w:footerReference r:id="rId224" w:type="default"/>
          <w:pgSz w:w="11905" w:h="16839"/>
          <w:pgMar w:top="400" w:right="1785" w:bottom="1004" w:left="1785" w:header="0" w:footer="828" w:gutter="0"/>
          <w:pgNumType w:fmt="decimal"/>
          <w:cols w:space="720" w:num="1"/>
        </w:sectPr>
      </w:pPr>
    </w:p>
    <w:p w14:paraId="7EE8741F">
      <w:pPr>
        <w:pStyle w:val="3"/>
        <w:spacing w:line="267" w:lineRule="auto"/>
      </w:pPr>
    </w:p>
    <w:p w14:paraId="7CE7A47B">
      <w:pPr>
        <w:pStyle w:val="3"/>
        <w:spacing w:line="267" w:lineRule="auto"/>
      </w:pPr>
    </w:p>
    <w:p w14:paraId="736404BA">
      <w:pPr>
        <w:pStyle w:val="3"/>
        <w:spacing w:line="268" w:lineRule="auto"/>
      </w:pPr>
    </w:p>
    <w:p w14:paraId="3FF00D4D">
      <w:pPr>
        <w:pStyle w:val="3"/>
        <w:spacing w:line="268" w:lineRule="auto"/>
      </w:pPr>
    </w:p>
    <w:p w14:paraId="390293B7">
      <w:pPr>
        <w:spacing w:before="78" w:line="219" w:lineRule="auto"/>
        <w:ind w:left="34"/>
        <w:rPr>
          <w:rFonts w:ascii="黑体" w:hAnsi="黑体" w:eastAsia="黑体" w:cs="黑体"/>
          <w:sz w:val="24"/>
          <w:szCs w:val="24"/>
        </w:rPr>
      </w:pPr>
      <w:r>
        <w:rPr>
          <w:rFonts w:ascii="黑体" w:hAnsi="黑体" w:eastAsia="黑体" w:cs="黑体"/>
          <w:spacing w:val="-2"/>
          <w:sz w:val="24"/>
          <w:szCs w:val="24"/>
        </w:rPr>
        <w:t>已标价工程量清单（投标总价）封面</w:t>
      </w:r>
    </w:p>
    <w:p w14:paraId="0FD474BA">
      <w:pPr>
        <w:pStyle w:val="3"/>
        <w:spacing w:line="244" w:lineRule="auto"/>
      </w:pPr>
    </w:p>
    <w:p w14:paraId="73DA6E0D">
      <w:pPr>
        <w:pStyle w:val="3"/>
        <w:spacing w:line="244" w:lineRule="auto"/>
      </w:pPr>
    </w:p>
    <w:p w14:paraId="0B45DED1">
      <w:pPr>
        <w:pStyle w:val="3"/>
        <w:spacing w:line="244" w:lineRule="auto"/>
      </w:pPr>
    </w:p>
    <w:p w14:paraId="60AAAEA7">
      <w:pPr>
        <w:pStyle w:val="3"/>
        <w:spacing w:line="244" w:lineRule="auto"/>
      </w:pPr>
    </w:p>
    <w:p w14:paraId="6B3D5768">
      <w:pPr>
        <w:pStyle w:val="3"/>
        <w:spacing w:line="244" w:lineRule="auto"/>
      </w:pPr>
    </w:p>
    <w:p w14:paraId="633EA960">
      <w:pPr>
        <w:pStyle w:val="3"/>
        <w:spacing w:line="244" w:lineRule="auto"/>
      </w:pPr>
    </w:p>
    <w:p w14:paraId="6B2A03D7">
      <w:pPr>
        <w:pStyle w:val="3"/>
        <w:spacing w:line="244" w:lineRule="auto"/>
      </w:pPr>
    </w:p>
    <w:p w14:paraId="7C60D235">
      <w:pPr>
        <w:pStyle w:val="3"/>
        <w:spacing w:line="244" w:lineRule="auto"/>
      </w:pPr>
    </w:p>
    <w:p w14:paraId="6BE6E868">
      <w:pPr>
        <w:pStyle w:val="3"/>
        <w:spacing w:line="245" w:lineRule="auto"/>
      </w:pPr>
    </w:p>
    <w:p w14:paraId="512654C9">
      <w:pPr>
        <w:pStyle w:val="3"/>
        <w:spacing w:line="245" w:lineRule="auto"/>
      </w:pPr>
    </w:p>
    <w:p w14:paraId="44E12C61">
      <w:pPr>
        <w:pStyle w:val="3"/>
        <w:spacing w:line="245" w:lineRule="auto"/>
      </w:pPr>
    </w:p>
    <w:p w14:paraId="07258C2E">
      <w:pPr>
        <w:pStyle w:val="3"/>
        <w:spacing w:line="245" w:lineRule="auto"/>
      </w:pPr>
    </w:p>
    <w:p w14:paraId="20367315">
      <w:pPr>
        <w:pStyle w:val="3"/>
        <w:spacing w:line="245" w:lineRule="auto"/>
      </w:pPr>
    </w:p>
    <w:p w14:paraId="7EDABBDB">
      <w:pPr>
        <w:pStyle w:val="3"/>
        <w:spacing w:line="245" w:lineRule="auto"/>
      </w:pPr>
    </w:p>
    <w:p w14:paraId="1FA8B2F1">
      <w:pPr>
        <w:spacing w:before="143" w:line="219" w:lineRule="auto"/>
        <w:ind w:left="3298"/>
        <w:rPr>
          <w:rFonts w:ascii="黑体" w:hAnsi="黑体" w:eastAsia="黑体" w:cs="黑体"/>
          <w:sz w:val="44"/>
          <w:szCs w:val="44"/>
        </w:rPr>
      </w:pPr>
      <w:r>
        <w:rPr>
          <w:rFonts w:ascii="黑体" w:hAnsi="黑体" w:eastAsia="黑体" w:cs="黑体"/>
          <w:spacing w:val="-2"/>
          <w:sz w:val="44"/>
          <w:szCs w:val="44"/>
        </w:rPr>
        <w:t>投标总价</w:t>
      </w:r>
    </w:p>
    <w:p w14:paraId="7663EA38">
      <w:pPr>
        <w:pStyle w:val="3"/>
        <w:spacing w:line="249" w:lineRule="auto"/>
      </w:pPr>
    </w:p>
    <w:p w14:paraId="1A206D32">
      <w:pPr>
        <w:pStyle w:val="3"/>
        <w:spacing w:line="249" w:lineRule="auto"/>
      </w:pPr>
    </w:p>
    <w:p w14:paraId="561CE327">
      <w:pPr>
        <w:pStyle w:val="3"/>
        <w:spacing w:line="249" w:lineRule="auto"/>
      </w:pPr>
    </w:p>
    <w:p w14:paraId="4DC467AC">
      <w:pPr>
        <w:pStyle w:val="3"/>
        <w:spacing w:line="249" w:lineRule="auto"/>
      </w:pPr>
    </w:p>
    <w:p w14:paraId="20E008F0">
      <w:pPr>
        <w:pStyle w:val="3"/>
        <w:spacing w:line="249" w:lineRule="auto"/>
      </w:pPr>
    </w:p>
    <w:p w14:paraId="099572EF">
      <w:pPr>
        <w:pStyle w:val="3"/>
        <w:spacing w:line="249" w:lineRule="auto"/>
      </w:pPr>
    </w:p>
    <w:p w14:paraId="6CE78972">
      <w:pPr>
        <w:pStyle w:val="3"/>
        <w:spacing w:line="250" w:lineRule="auto"/>
      </w:pPr>
    </w:p>
    <w:p w14:paraId="1A733D83">
      <w:pPr>
        <w:pStyle w:val="3"/>
        <w:spacing w:line="250" w:lineRule="auto"/>
      </w:pPr>
    </w:p>
    <w:p w14:paraId="51A344DD">
      <w:pPr>
        <w:pStyle w:val="3"/>
        <w:spacing w:line="250" w:lineRule="auto"/>
      </w:pPr>
    </w:p>
    <w:p w14:paraId="0EB6D3E8">
      <w:pPr>
        <w:pStyle w:val="3"/>
        <w:spacing w:line="250" w:lineRule="auto"/>
      </w:pPr>
    </w:p>
    <w:p w14:paraId="799BFC36">
      <w:pPr>
        <w:pStyle w:val="3"/>
        <w:spacing w:line="250" w:lineRule="auto"/>
      </w:pPr>
    </w:p>
    <w:p w14:paraId="5E3E244F">
      <w:pPr>
        <w:pStyle w:val="3"/>
        <w:spacing w:line="250" w:lineRule="auto"/>
      </w:pPr>
    </w:p>
    <w:p w14:paraId="7D874119">
      <w:pPr>
        <w:pStyle w:val="3"/>
        <w:spacing w:line="250" w:lineRule="auto"/>
      </w:pPr>
    </w:p>
    <w:p w14:paraId="76A146CA">
      <w:pPr>
        <w:pStyle w:val="3"/>
        <w:spacing w:line="250" w:lineRule="auto"/>
      </w:pPr>
    </w:p>
    <w:p w14:paraId="113C3E38">
      <w:pPr>
        <w:pStyle w:val="3"/>
        <w:spacing w:line="250" w:lineRule="auto"/>
      </w:pPr>
    </w:p>
    <w:p w14:paraId="2C773D68">
      <w:pPr>
        <w:pStyle w:val="3"/>
        <w:spacing w:line="250" w:lineRule="auto"/>
      </w:pPr>
    </w:p>
    <w:p w14:paraId="319854D4">
      <w:pPr>
        <w:spacing w:before="88" w:line="222" w:lineRule="auto"/>
        <w:ind w:left="4234" w:right="1321" w:hanging="2529"/>
        <w:rPr>
          <w:rFonts w:ascii="宋体" w:hAnsi="宋体" w:eastAsia="宋体" w:cs="宋体"/>
          <w:sz w:val="27"/>
          <w:szCs w:val="27"/>
        </w:rPr>
      </w:pPr>
      <w:r>
        <w:rPr>
          <w:rFonts w:ascii="宋体" w:hAnsi="宋体" w:eastAsia="宋体" w:cs="宋体"/>
          <w:spacing w:val="-27"/>
          <w:sz w:val="27"/>
          <w:szCs w:val="27"/>
        </w:rPr>
        <w:t>投</w:t>
      </w:r>
      <w:r>
        <w:rPr>
          <w:rFonts w:ascii="宋体" w:hAnsi="宋体" w:eastAsia="宋体" w:cs="宋体"/>
          <w:spacing w:val="16"/>
          <w:sz w:val="27"/>
          <w:szCs w:val="27"/>
        </w:rPr>
        <w:t xml:space="preserve"> </w:t>
      </w:r>
      <w:r>
        <w:rPr>
          <w:rFonts w:ascii="宋体" w:hAnsi="宋体" w:eastAsia="宋体" w:cs="宋体"/>
          <w:spacing w:val="-27"/>
          <w:sz w:val="27"/>
          <w:szCs w:val="27"/>
        </w:rPr>
        <w:t>标</w:t>
      </w:r>
      <w:r>
        <w:rPr>
          <w:rFonts w:ascii="宋体" w:hAnsi="宋体" w:eastAsia="宋体" w:cs="宋体"/>
          <w:spacing w:val="18"/>
          <w:sz w:val="27"/>
          <w:szCs w:val="27"/>
        </w:rPr>
        <w:t xml:space="preserve"> </w:t>
      </w:r>
      <w:r>
        <w:rPr>
          <w:rFonts w:ascii="宋体" w:hAnsi="宋体" w:eastAsia="宋体" w:cs="宋体"/>
          <w:spacing w:val="-27"/>
          <w:sz w:val="27"/>
          <w:szCs w:val="27"/>
        </w:rPr>
        <w:t>人：</w:t>
      </w:r>
      <w:r>
        <w:rPr>
          <w:rFonts w:ascii="宋体" w:hAnsi="宋体" w:eastAsia="宋体" w:cs="宋体"/>
          <w:spacing w:val="-29"/>
          <w:sz w:val="27"/>
          <w:szCs w:val="27"/>
        </w:rPr>
        <w:t xml:space="preserve"> </w:t>
      </w:r>
      <w:r>
        <w:rPr>
          <w:rFonts w:ascii="宋体" w:hAnsi="宋体" w:eastAsia="宋体" w:cs="宋体"/>
          <w:sz w:val="27"/>
          <w:szCs w:val="27"/>
          <w:u w:val="single" w:color="auto"/>
        </w:rPr>
        <w:t xml:space="preserve">                             </w:t>
      </w:r>
      <w:r>
        <w:rPr>
          <w:rFonts w:ascii="宋体" w:hAnsi="宋体" w:eastAsia="宋体" w:cs="宋体"/>
          <w:spacing w:val="8"/>
          <w:sz w:val="27"/>
          <w:szCs w:val="27"/>
        </w:rPr>
        <w:t xml:space="preserve"> </w:t>
      </w:r>
      <w:r>
        <w:rPr>
          <w:rFonts w:ascii="宋体" w:hAnsi="宋体" w:eastAsia="宋体" w:cs="宋体"/>
          <w:spacing w:val="3"/>
          <w:sz w:val="27"/>
          <w:szCs w:val="27"/>
        </w:rPr>
        <w:t>（单位盖章）</w:t>
      </w:r>
    </w:p>
    <w:p w14:paraId="18F0B0B9">
      <w:pPr>
        <w:pStyle w:val="3"/>
        <w:spacing w:line="351" w:lineRule="auto"/>
      </w:pPr>
    </w:p>
    <w:p w14:paraId="7E2DBE92">
      <w:pPr>
        <w:pStyle w:val="3"/>
        <w:spacing w:line="352" w:lineRule="auto"/>
      </w:pPr>
    </w:p>
    <w:p w14:paraId="24EA6FF9">
      <w:pPr>
        <w:spacing w:before="88" w:line="225" w:lineRule="auto"/>
        <w:ind w:left="3383"/>
        <w:rPr>
          <w:rFonts w:ascii="宋体" w:hAnsi="宋体" w:eastAsia="宋体" w:cs="宋体"/>
          <w:sz w:val="27"/>
          <w:szCs w:val="27"/>
        </w:rPr>
      </w:pPr>
      <w:r>
        <w:rPr>
          <w:rFonts w:ascii="宋体" w:hAnsi="宋体" w:eastAsia="宋体" w:cs="宋体"/>
          <w:spacing w:val="-5"/>
          <w:sz w:val="27"/>
          <w:szCs w:val="27"/>
        </w:rPr>
        <w:t>年</w:t>
      </w:r>
      <w:r>
        <w:rPr>
          <w:rFonts w:ascii="宋体" w:hAnsi="宋体" w:eastAsia="宋体" w:cs="宋体"/>
          <w:spacing w:val="8"/>
          <w:sz w:val="27"/>
          <w:szCs w:val="27"/>
        </w:rPr>
        <w:t xml:space="preserve">      </w:t>
      </w:r>
      <w:r>
        <w:rPr>
          <w:rFonts w:ascii="宋体" w:hAnsi="宋体" w:eastAsia="宋体" w:cs="宋体"/>
          <w:spacing w:val="-5"/>
          <w:sz w:val="27"/>
          <w:szCs w:val="27"/>
        </w:rPr>
        <w:t>月</w:t>
      </w:r>
      <w:r>
        <w:rPr>
          <w:rFonts w:ascii="宋体" w:hAnsi="宋体" w:eastAsia="宋体" w:cs="宋体"/>
          <w:spacing w:val="15"/>
          <w:sz w:val="27"/>
          <w:szCs w:val="27"/>
        </w:rPr>
        <w:t xml:space="preserve">      </w:t>
      </w:r>
      <w:r>
        <w:rPr>
          <w:rFonts w:ascii="宋体" w:hAnsi="宋体" w:eastAsia="宋体" w:cs="宋体"/>
          <w:spacing w:val="-5"/>
          <w:sz w:val="27"/>
          <w:szCs w:val="27"/>
        </w:rPr>
        <w:t>日</w:t>
      </w:r>
    </w:p>
    <w:p w14:paraId="5E00F838">
      <w:pPr>
        <w:spacing w:line="225" w:lineRule="auto"/>
        <w:rPr>
          <w:rFonts w:ascii="宋体" w:hAnsi="宋体" w:eastAsia="宋体" w:cs="宋体"/>
          <w:sz w:val="27"/>
          <w:szCs w:val="27"/>
        </w:rPr>
        <w:sectPr>
          <w:footerReference r:id="rId225" w:type="default"/>
          <w:pgSz w:w="11905" w:h="16839"/>
          <w:pgMar w:top="400" w:right="1785" w:bottom="1004" w:left="1785" w:header="0" w:footer="828" w:gutter="0"/>
          <w:pgNumType w:fmt="decimal"/>
          <w:cols w:space="720" w:num="1"/>
        </w:sectPr>
      </w:pPr>
    </w:p>
    <w:p w14:paraId="5B6002E6">
      <w:pPr>
        <w:pStyle w:val="3"/>
        <w:spacing w:line="254" w:lineRule="auto"/>
      </w:pPr>
    </w:p>
    <w:p w14:paraId="2DD46059">
      <w:pPr>
        <w:pStyle w:val="3"/>
        <w:spacing w:line="254" w:lineRule="auto"/>
      </w:pPr>
    </w:p>
    <w:p w14:paraId="45585E83">
      <w:pPr>
        <w:pStyle w:val="3"/>
        <w:spacing w:line="255" w:lineRule="auto"/>
      </w:pPr>
    </w:p>
    <w:p w14:paraId="7EF38744">
      <w:pPr>
        <w:pStyle w:val="3"/>
        <w:spacing w:line="255" w:lineRule="auto"/>
      </w:pPr>
    </w:p>
    <w:p w14:paraId="570F551E">
      <w:pPr>
        <w:pStyle w:val="3"/>
        <w:spacing w:line="255" w:lineRule="auto"/>
      </w:pPr>
    </w:p>
    <w:p w14:paraId="65F60E5D">
      <w:pPr>
        <w:pStyle w:val="3"/>
        <w:spacing w:line="255" w:lineRule="auto"/>
      </w:pPr>
    </w:p>
    <w:p w14:paraId="3B8097B1">
      <w:pPr>
        <w:spacing w:before="78" w:line="219" w:lineRule="auto"/>
        <w:ind w:left="17"/>
        <w:rPr>
          <w:rFonts w:ascii="黑体" w:hAnsi="黑体" w:eastAsia="黑体" w:cs="黑体"/>
          <w:sz w:val="24"/>
          <w:szCs w:val="24"/>
        </w:rPr>
      </w:pPr>
      <w:r>
        <w:rPr>
          <w:rFonts w:ascii="黑体" w:hAnsi="黑体" w:eastAsia="黑体" w:cs="黑体"/>
          <w:spacing w:val="-2"/>
          <w:sz w:val="24"/>
          <w:szCs w:val="24"/>
        </w:rPr>
        <w:t>投标总价扉页</w:t>
      </w:r>
    </w:p>
    <w:p w14:paraId="7AF69F8F">
      <w:pPr>
        <w:pStyle w:val="3"/>
        <w:spacing w:line="264" w:lineRule="auto"/>
      </w:pPr>
    </w:p>
    <w:p w14:paraId="19932A1A">
      <w:pPr>
        <w:pStyle w:val="3"/>
        <w:spacing w:line="264" w:lineRule="auto"/>
      </w:pPr>
    </w:p>
    <w:p w14:paraId="4BA7225D">
      <w:pPr>
        <w:pStyle w:val="3"/>
        <w:spacing w:line="264" w:lineRule="auto"/>
      </w:pPr>
    </w:p>
    <w:p w14:paraId="1FD1BDA4">
      <w:pPr>
        <w:pStyle w:val="3"/>
        <w:spacing w:line="264" w:lineRule="auto"/>
      </w:pPr>
    </w:p>
    <w:p w14:paraId="017104F2">
      <w:pPr>
        <w:spacing w:before="104" w:line="220" w:lineRule="auto"/>
        <w:ind w:left="3837"/>
        <w:rPr>
          <w:rFonts w:ascii="黑体" w:hAnsi="黑体" w:eastAsia="黑体" w:cs="黑体"/>
          <w:sz w:val="32"/>
          <w:szCs w:val="32"/>
        </w:rPr>
      </w:pPr>
      <w:r>
        <w:rPr>
          <w:rFonts w:ascii="黑体" w:hAnsi="黑体" w:eastAsia="黑体" w:cs="黑体"/>
          <w:spacing w:val="13"/>
          <w:sz w:val="32"/>
          <w:szCs w:val="32"/>
        </w:rPr>
        <w:t>投标总价</w:t>
      </w:r>
    </w:p>
    <w:p w14:paraId="79F3A79B">
      <w:pPr>
        <w:pStyle w:val="3"/>
        <w:spacing w:line="339" w:lineRule="auto"/>
      </w:pPr>
    </w:p>
    <w:p w14:paraId="145F3014">
      <w:pPr>
        <w:pStyle w:val="3"/>
        <w:spacing w:line="340" w:lineRule="auto"/>
      </w:pPr>
    </w:p>
    <w:p w14:paraId="59E5BC01">
      <w:pPr>
        <w:spacing w:before="68" w:line="221" w:lineRule="auto"/>
        <w:ind w:left="442"/>
        <w:rPr>
          <w:rFonts w:ascii="宋体" w:hAnsi="宋体" w:eastAsia="宋体" w:cs="宋体"/>
          <w:sz w:val="21"/>
          <w:szCs w:val="21"/>
        </w:rPr>
      </w:pPr>
      <w:r>
        <w:rPr>
          <w:rFonts w:ascii="宋体" w:hAnsi="宋体" w:eastAsia="宋体" w:cs="宋体"/>
          <w:spacing w:val="-25"/>
          <w:sz w:val="21"/>
          <w:szCs w:val="21"/>
        </w:rPr>
        <w:t>招</w:t>
      </w:r>
      <w:r>
        <w:rPr>
          <w:rFonts w:ascii="宋体" w:hAnsi="宋体" w:eastAsia="宋体" w:cs="宋体"/>
          <w:spacing w:val="12"/>
          <w:sz w:val="21"/>
          <w:szCs w:val="21"/>
        </w:rPr>
        <w:t xml:space="preserve"> </w:t>
      </w:r>
      <w:r>
        <w:rPr>
          <w:rFonts w:ascii="宋体" w:hAnsi="宋体" w:eastAsia="宋体" w:cs="宋体"/>
          <w:spacing w:val="-25"/>
          <w:sz w:val="21"/>
          <w:szCs w:val="21"/>
        </w:rPr>
        <w:t>标</w:t>
      </w:r>
      <w:r>
        <w:rPr>
          <w:rFonts w:ascii="宋体" w:hAnsi="宋体" w:eastAsia="宋体" w:cs="宋体"/>
          <w:spacing w:val="10"/>
          <w:sz w:val="21"/>
          <w:szCs w:val="21"/>
        </w:rPr>
        <w:t xml:space="preserve"> </w:t>
      </w:r>
      <w:r>
        <w:rPr>
          <w:rFonts w:ascii="宋体" w:hAnsi="宋体" w:eastAsia="宋体" w:cs="宋体"/>
          <w:spacing w:val="-25"/>
          <w:sz w:val="21"/>
          <w:szCs w:val="21"/>
        </w:rPr>
        <w:t>人：</w:t>
      </w:r>
      <w:r>
        <w:rPr>
          <w:rFonts w:ascii="宋体" w:hAnsi="宋体" w:eastAsia="宋体" w:cs="宋体"/>
          <w:spacing w:val="-31"/>
          <w:sz w:val="21"/>
          <w:szCs w:val="21"/>
        </w:rPr>
        <w:t xml:space="preserve"> </w:t>
      </w:r>
      <w:r>
        <w:rPr>
          <w:rFonts w:ascii="宋体" w:hAnsi="宋体" w:eastAsia="宋体" w:cs="宋体"/>
          <w:sz w:val="21"/>
          <w:szCs w:val="21"/>
          <w:u w:val="single" w:color="auto"/>
        </w:rPr>
        <w:t xml:space="preserve">                                                               </w:t>
      </w:r>
    </w:p>
    <w:p w14:paraId="60118E41">
      <w:pPr>
        <w:pStyle w:val="3"/>
        <w:spacing w:line="278" w:lineRule="auto"/>
      </w:pPr>
    </w:p>
    <w:p w14:paraId="0A0525A0">
      <w:pPr>
        <w:spacing w:before="68" w:line="221" w:lineRule="auto"/>
        <w:ind w:left="443"/>
        <w:rPr>
          <w:rFonts w:ascii="宋体" w:hAnsi="宋体" w:eastAsia="宋体" w:cs="宋体"/>
          <w:sz w:val="21"/>
          <w:szCs w:val="21"/>
        </w:rPr>
      </w:pPr>
      <w:r>
        <w:rPr>
          <w:rFonts w:ascii="宋体" w:hAnsi="宋体" w:eastAsia="宋体" w:cs="宋体"/>
          <w:spacing w:val="-25"/>
          <w:w w:val="99"/>
          <w:sz w:val="21"/>
          <w:szCs w:val="21"/>
        </w:rPr>
        <w:t>工程名称：</w:t>
      </w:r>
      <w:r>
        <w:rPr>
          <w:rFonts w:ascii="宋体" w:hAnsi="宋体" w:eastAsia="宋体" w:cs="宋体"/>
          <w:spacing w:val="25"/>
          <w:sz w:val="21"/>
          <w:szCs w:val="21"/>
        </w:rPr>
        <w:t xml:space="preserve"> </w:t>
      </w:r>
      <w:r>
        <w:rPr>
          <w:rFonts w:ascii="宋体" w:hAnsi="宋体" w:eastAsia="宋体" w:cs="宋体"/>
          <w:sz w:val="21"/>
          <w:szCs w:val="21"/>
          <w:u w:val="single" w:color="auto"/>
        </w:rPr>
        <w:t xml:space="preserve">                                                               </w:t>
      </w:r>
    </w:p>
    <w:p w14:paraId="01386589">
      <w:pPr>
        <w:pStyle w:val="3"/>
        <w:spacing w:line="278" w:lineRule="auto"/>
      </w:pPr>
    </w:p>
    <w:p w14:paraId="1834ABC1">
      <w:pPr>
        <w:spacing w:before="69" w:line="528" w:lineRule="auto"/>
        <w:ind w:left="443"/>
        <w:rPr>
          <w:rFonts w:ascii="宋体" w:hAnsi="宋体" w:eastAsia="宋体" w:cs="宋体"/>
          <w:sz w:val="21"/>
          <w:szCs w:val="21"/>
        </w:rPr>
      </w:pPr>
      <w:r>
        <w:rPr>
          <w:rFonts w:ascii="宋体" w:hAnsi="宋体" w:eastAsia="宋体" w:cs="宋体"/>
          <w:spacing w:val="-1"/>
          <w:sz w:val="21"/>
          <w:szCs w:val="21"/>
        </w:rPr>
        <w:t>投标总价（小写</w:t>
      </w:r>
      <w:r>
        <w:rPr>
          <w:rFonts w:ascii="宋体" w:hAnsi="宋体" w:eastAsia="宋体" w:cs="宋体"/>
          <w:spacing w:val="-15"/>
          <w:sz w:val="21"/>
          <w:szCs w:val="21"/>
        </w:rPr>
        <w:t>）</w:t>
      </w:r>
      <w:r>
        <w:rPr>
          <w:rFonts w:ascii="宋体" w:hAnsi="宋体" w:eastAsia="宋体" w:cs="宋体"/>
          <w:spacing w:val="28"/>
          <w:sz w:val="21"/>
          <w:szCs w:val="21"/>
        </w:rPr>
        <w:t xml:space="preserve"> </w:t>
      </w:r>
      <w:r>
        <w:rPr>
          <w:rFonts w:ascii="宋体" w:hAnsi="宋体" w:eastAsia="宋体" w:cs="宋体"/>
          <w:spacing w:val="-15"/>
          <w:sz w:val="21"/>
          <w:szCs w:val="21"/>
        </w:rPr>
        <w:t>：</w:t>
      </w:r>
      <w:r>
        <w:rPr>
          <w:rFonts w:ascii="宋体" w:hAnsi="宋体" w:eastAsia="宋体" w:cs="宋体"/>
          <w:sz w:val="21"/>
          <w:szCs w:val="21"/>
          <w:u w:val="single" w:color="auto"/>
        </w:rPr>
        <w:t xml:space="preserve">                                                   </w:t>
      </w:r>
      <w:r>
        <w:rPr>
          <w:rFonts w:ascii="宋体" w:hAnsi="宋体" w:eastAsia="宋体" w:cs="宋体"/>
          <w:spacing w:val="-91"/>
          <w:sz w:val="21"/>
          <w:szCs w:val="21"/>
        </w:rPr>
        <w:t xml:space="preserve"> </w:t>
      </w:r>
      <w:r>
        <w:rPr>
          <w:rFonts w:ascii="宋体" w:hAnsi="宋体" w:eastAsia="宋体" w:cs="宋体"/>
          <w:spacing w:val="-1"/>
          <w:sz w:val="21"/>
          <w:szCs w:val="21"/>
        </w:rPr>
        <w:t>元</w:t>
      </w:r>
    </w:p>
    <w:p w14:paraId="6A85CD72">
      <w:pPr>
        <w:spacing w:line="221" w:lineRule="auto"/>
        <w:ind w:left="1287"/>
        <w:rPr>
          <w:rFonts w:ascii="宋体" w:hAnsi="宋体" w:eastAsia="宋体" w:cs="宋体"/>
          <w:sz w:val="21"/>
          <w:szCs w:val="21"/>
        </w:rPr>
      </w:pPr>
      <w:r>
        <w:rPr>
          <w:rFonts w:ascii="宋体" w:hAnsi="宋体" w:eastAsia="宋体" w:cs="宋体"/>
          <w:spacing w:val="-3"/>
          <w:sz w:val="21"/>
          <w:szCs w:val="21"/>
        </w:rPr>
        <w:t>（大写</w:t>
      </w:r>
      <w:r>
        <w:rPr>
          <w:rFonts w:ascii="宋体" w:hAnsi="宋体" w:eastAsia="宋体" w:cs="宋体"/>
          <w:spacing w:val="-15"/>
          <w:sz w:val="21"/>
          <w:szCs w:val="21"/>
        </w:rPr>
        <w:t>）</w:t>
      </w:r>
      <w:r>
        <w:rPr>
          <w:rFonts w:ascii="宋体" w:hAnsi="宋体" w:eastAsia="宋体" w:cs="宋体"/>
          <w:spacing w:val="28"/>
          <w:sz w:val="21"/>
          <w:szCs w:val="21"/>
        </w:rPr>
        <w:t xml:space="preserve"> </w:t>
      </w:r>
      <w:r>
        <w:rPr>
          <w:rFonts w:ascii="宋体" w:hAnsi="宋体" w:eastAsia="宋体" w:cs="宋体"/>
          <w:spacing w:val="-15"/>
          <w:sz w:val="21"/>
          <w:szCs w:val="21"/>
        </w:rPr>
        <w:t>：</w:t>
      </w:r>
      <w:r>
        <w:rPr>
          <w:rFonts w:ascii="宋体" w:hAnsi="宋体" w:eastAsia="宋体" w:cs="宋体"/>
          <w:sz w:val="21"/>
          <w:szCs w:val="21"/>
          <w:u w:val="single" w:color="auto"/>
        </w:rPr>
        <w:t xml:space="preserve">                                                   </w:t>
      </w:r>
      <w:r>
        <w:rPr>
          <w:rFonts w:ascii="宋体" w:hAnsi="宋体" w:eastAsia="宋体" w:cs="宋体"/>
          <w:spacing w:val="-91"/>
          <w:sz w:val="21"/>
          <w:szCs w:val="21"/>
        </w:rPr>
        <w:t xml:space="preserve"> </w:t>
      </w:r>
      <w:r>
        <w:rPr>
          <w:rFonts w:ascii="宋体" w:hAnsi="宋体" w:eastAsia="宋体" w:cs="宋体"/>
          <w:spacing w:val="-3"/>
          <w:sz w:val="21"/>
          <w:szCs w:val="21"/>
        </w:rPr>
        <w:t>元</w:t>
      </w:r>
    </w:p>
    <w:p w14:paraId="1B34BFA7">
      <w:pPr>
        <w:pStyle w:val="3"/>
        <w:spacing w:line="327" w:lineRule="auto"/>
      </w:pPr>
    </w:p>
    <w:p w14:paraId="5C451C53">
      <w:pPr>
        <w:pStyle w:val="3"/>
        <w:spacing w:line="328" w:lineRule="auto"/>
      </w:pPr>
    </w:p>
    <w:p w14:paraId="6DDF3423">
      <w:pPr>
        <w:spacing w:before="69" w:line="249" w:lineRule="auto"/>
        <w:ind w:left="4225" w:right="231" w:hanging="3782"/>
        <w:rPr>
          <w:rFonts w:ascii="宋体" w:hAnsi="宋体" w:eastAsia="宋体" w:cs="宋体"/>
          <w:sz w:val="21"/>
          <w:szCs w:val="21"/>
        </w:rPr>
      </w:pPr>
      <w:r>
        <w:rPr>
          <w:rFonts w:ascii="宋体" w:hAnsi="宋体" w:eastAsia="宋体" w:cs="宋体"/>
          <w:spacing w:val="-25"/>
          <w:sz w:val="21"/>
          <w:szCs w:val="21"/>
        </w:rPr>
        <w:t>投</w:t>
      </w:r>
      <w:r>
        <w:rPr>
          <w:rFonts w:ascii="宋体" w:hAnsi="宋体" w:eastAsia="宋体" w:cs="宋体"/>
          <w:spacing w:val="10"/>
          <w:sz w:val="21"/>
          <w:szCs w:val="21"/>
        </w:rPr>
        <w:t xml:space="preserve"> </w:t>
      </w:r>
      <w:r>
        <w:rPr>
          <w:rFonts w:ascii="宋体" w:hAnsi="宋体" w:eastAsia="宋体" w:cs="宋体"/>
          <w:spacing w:val="-25"/>
          <w:sz w:val="21"/>
          <w:szCs w:val="21"/>
        </w:rPr>
        <w:t>标</w:t>
      </w:r>
      <w:r>
        <w:rPr>
          <w:rFonts w:ascii="宋体" w:hAnsi="宋体" w:eastAsia="宋体" w:cs="宋体"/>
          <w:spacing w:val="10"/>
          <w:sz w:val="21"/>
          <w:szCs w:val="21"/>
        </w:rPr>
        <w:t xml:space="preserve"> </w:t>
      </w:r>
      <w:r>
        <w:rPr>
          <w:rFonts w:ascii="宋体" w:hAnsi="宋体" w:eastAsia="宋体" w:cs="宋体"/>
          <w:spacing w:val="-25"/>
          <w:sz w:val="21"/>
          <w:szCs w:val="21"/>
        </w:rPr>
        <w:t>人：</w:t>
      </w:r>
      <w:r>
        <w:rPr>
          <w:rFonts w:ascii="宋体" w:hAnsi="宋体" w:eastAsia="宋体" w:cs="宋体"/>
          <w:spacing w:val="-31"/>
          <w:sz w:val="21"/>
          <w:szCs w:val="21"/>
        </w:rPr>
        <w:t xml:space="preserve"> </w:t>
      </w:r>
      <w:r>
        <w:rPr>
          <w:rFonts w:ascii="宋体" w:hAnsi="宋体" w:eastAsia="宋体" w:cs="宋体"/>
          <w:spacing w:val="2"/>
          <w:sz w:val="21"/>
          <w:szCs w:val="21"/>
          <w:u w:val="single" w:color="auto"/>
        </w:rPr>
        <w:t xml:space="preserve">                                       </w:t>
      </w:r>
      <w:r>
        <w:rPr>
          <w:rFonts w:ascii="宋体" w:hAnsi="宋体" w:eastAsia="宋体" w:cs="宋体"/>
          <w:spacing w:val="1"/>
          <w:sz w:val="21"/>
          <w:szCs w:val="21"/>
          <w:u w:val="single" w:color="auto"/>
        </w:rPr>
        <w:t xml:space="preserve">                       </w:t>
      </w:r>
      <w:r>
        <w:rPr>
          <w:rFonts w:ascii="宋体" w:hAnsi="宋体" w:eastAsia="宋体" w:cs="宋体"/>
          <w:spacing w:val="1"/>
          <w:sz w:val="21"/>
          <w:szCs w:val="21"/>
        </w:rPr>
        <w:t xml:space="preserve"> </w:t>
      </w:r>
      <w:r>
        <w:rPr>
          <w:rFonts w:ascii="宋体" w:hAnsi="宋体" w:eastAsia="宋体" w:cs="宋体"/>
          <w:spacing w:val="-2"/>
          <w:sz w:val="21"/>
          <w:szCs w:val="21"/>
        </w:rPr>
        <w:t>（单位盖章）</w:t>
      </w:r>
    </w:p>
    <w:p w14:paraId="1605CAFD">
      <w:pPr>
        <w:pStyle w:val="3"/>
        <w:spacing w:line="422" w:lineRule="auto"/>
      </w:pPr>
    </w:p>
    <w:p w14:paraId="7EFFA576">
      <w:pPr>
        <w:spacing w:before="69" w:line="221" w:lineRule="auto"/>
        <w:ind w:left="442"/>
        <w:rPr>
          <w:rFonts w:ascii="宋体" w:hAnsi="宋体" w:eastAsia="宋体" w:cs="宋体"/>
          <w:sz w:val="21"/>
          <w:szCs w:val="21"/>
        </w:rPr>
      </w:pPr>
      <w:r>
        <w:rPr>
          <w:rFonts w:ascii="宋体" w:hAnsi="宋体" w:eastAsia="宋体" w:cs="宋体"/>
          <w:spacing w:val="-1"/>
          <w:sz w:val="21"/>
          <w:szCs w:val="21"/>
        </w:rPr>
        <w:t>法定代表人</w:t>
      </w:r>
    </w:p>
    <w:p w14:paraId="5A1B1EE2">
      <w:pPr>
        <w:spacing w:before="158" w:line="251" w:lineRule="auto"/>
        <w:ind w:left="4014" w:right="231" w:hanging="3571"/>
        <w:rPr>
          <w:rFonts w:ascii="宋体" w:hAnsi="宋体" w:eastAsia="宋体" w:cs="宋体"/>
          <w:sz w:val="21"/>
          <w:szCs w:val="21"/>
        </w:rPr>
      </w:pPr>
      <w:r>
        <w:rPr>
          <w:rFonts w:ascii="宋体" w:hAnsi="宋体" w:eastAsia="宋体" w:cs="宋体"/>
          <w:sz w:val="21"/>
          <w:szCs w:val="21"/>
        </w:rPr>
        <w:t>或其授权人：</w:t>
      </w:r>
      <w:r>
        <w:rPr>
          <w:rFonts w:ascii="宋体" w:hAnsi="宋体" w:eastAsia="宋体" w:cs="宋体"/>
          <w:sz w:val="21"/>
          <w:szCs w:val="21"/>
          <w:u w:val="single" w:color="auto"/>
        </w:rPr>
        <w:t xml:space="preserve">                                                    </w:t>
      </w:r>
      <w:r>
        <w:rPr>
          <w:rFonts w:ascii="宋体" w:hAnsi="宋体" w:eastAsia="宋体" w:cs="宋体"/>
          <w:spacing w:val="-1"/>
          <w:sz w:val="21"/>
          <w:szCs w:val="21"/>
          <w:u w:val="single" w:color="auto"/>
        </w:rPr>
        <w:t xml:space="preserve">         </w:t>
      </w:r>
      <w:r>
        <w:rPr>
          <w:rFonts w:ascii="宋体" w:hAnsi="宋体" w:eastAsia="宋体" w:cs="宋体"/>
          <w:sz w:val="21"/>
          <w:szCs w:val="21"/>
        </w:rPr>
        <w:t xml:space="preserve"> </w:t>
      </w:r>
      <w:r>
        <w:rPr>
          <w:rFonts w:ascii="宋体" w:hAnsi="宋体" w:eastAsia="宋体" w:cs="宋体"/>
          <w:spacing w:val="-2"/>
          <w:sz w:val="21"/>
          <w:szCs w:val="21"/>
        </w:rPr>
        <w:t>（签字或盖章）</w:t>
      </w:r>
    </w:p>
    <w:p w14:paraId="446775FE">
      <w:pPr>
        <w:pStyle w:val="3"/>
        <w:spacing w:line="318" w:lineRule="auto"/>
      </w:pPr>
    </w:p>
    <w:p w14:paraId="5D1EFD00">
      <w:pPr>
        <w:pStyle w:val="3"/>
        <w:spacing w:line="319" w:lineRule="auto"/>
      </w:pPr>
    </w:p>
    <w:p w14:paraId="0B9F3084">
      <w:pPr>
        <w:spacing w:before="69" w:line="251" w:lineRule="auto"/>
        <w:ind w:left="3596" w:right="231" w:hanging="3154"/>
        <w:rPr>
          <w:rFonts w:ascii="宋体" w:hAnsi="宋体" w:eastAsia="宋体" w:cs="宋体"/>
          <w:sz w:val="21"/>
          <w:szCs w:val="21"/>
        </w:rPr>
      </w:pPr>
      <w:r>
        <w:rPr>
          <w:rFonts w:ascii="宋体" w:hAnsi="宋体" w:eastAsia="宋体" w:cs="宋体"/>
          <w:spacing w:val="-26"/>
          <w:w w:val="98"/>
          <w:sz w:val="21"/>
          <w:szCs w:val="21"/>
        </w:rPr>
        <w:t>编制人：</w:t>
      </w:r>
      <w:r>
        <w:rPr>
          <w:rFonts w:ascii="宋体" w:hAnsi="宋体" w:eastAsia="宋体" w:cs="宋体"/>
          <w:spacing w:val="10"/>
          <w:sz w:val="21"/>
          <w:szCs w:val="21"/>
        </w:rPr>
        <w:t xml:space="preserve"> </w:t>
      </w:r>
      <w:r>
        <w:rPr>
          <w:rFonts w:ascii="宋体" w:hAnsi="宋体" w:eastAsia="宋体" w:cs="宋体"/>
          <w:spacing w:val="2"/>
          <w:sz w:val="21"/>
          <w:szCs w:val="21"/>
          <w:u w:val="single" w:color="auto"/>
        </w:rPr>
        <w:t xml:space="preserve">                                      </w:t>
      </w:r>
      <w:r>
        <w:rPr>
          <w:rFonts w:ascii="宋体" w:hAnsi="宋体" w:eastAsia="宋体" w:cs="宋体"/>
          <w:spacing w:val="1"/>
          <w:sz w:val="21"/>
          <w:szCs w:val="21"/>
          <w:u w:val="single" w:color="auto"/>
        </w:rPr>
        <w:t xml:space="preserve">                          </w:t>
      </w:r>
      <w:r>
        <w:rPr>
          <w:rFonts w:ascii="宋体" w:hAnsi="宋体" w:eastAsia="宋体" w:cs="宋体"/>
          <w:spacing w:val="1"/>
          <w:sz w:val="21"/>
          <w:szCs w:val="21"/>
        </w:rPr>
        <w:t xml:space="preserve"> </w:t>
      </w:r>
      <w:r>
        <w:rPr>
          <w:rFonts w:ascii="宋体" w:hAnsi="宋体" w:eastAsia="宋体" w:cs="宋体"/>
          <w:spacing w:val="-2"/>
          <w:sz w:val="21"/>
          <w:szCs w:val="21"/>
        </w:rPr>
        <w:t>（造价人员签字或盖章）</w:t>
      </w:r>
    </w:p>
    <w:p w14:paraId="023DC1FA">
      <w:pPr>
        <w:pStyle w:val="3"/>
        <w:spacing w:line="266" w:lineRule="auto"/>
      </w:pPr>
    </w:p>
    <w:p w14:paraId="022A140E">
      <w:pPr>
        <w:pStyle w:val="3"/>
        <w:spacing w:line="267" w:lineRule="auto"/>
      </w:pPr>
    </w:p>
    <w:p w14:paraId="5E86AFA4">
      <w:pPr>
        <w:pStyle w:val="3"/>
        <w:spacing w:line="267" w:lineRule="auto"/>
      </w:pPr>
    </w:p>
    <w:p w14:paraId="73922114">
      <w:pPr>
        <w:spacing w:before="69" w:line="221" w:lineRule="auto"/>
        <w:ind w:left="442"/>
        <w:rPr>
          <w:rFonts w:ascii="宋体" w:hAnsi="宋体" w:eastAsia="宋体" w:cs="宋体"/>
          <w:sz w:val="21"/>
          <w:szCs w:val="21"/>
        </w:rPr>
      </w:pPr>
      <w:r>
        <w:rPr>
          <w:rFonts w:ascii="宋体" w:hAnsi="宋体" w:eastAsia="宋体" w:cs="宋体"/>
          <w:spacing w:val="-14"/>
          <w:sz w:val="21"/>
          <w:szCs w:val="21"/>
        </w:rPr>
        <w:t>编制时间：</w:t>
      </w:r>
      <w:r>
        <w:rPr>
          <w:rFonts w:ascii="宋体" w:hAnsi="宋体" w:eastAsia="宋体" w:cs="宋体"/>
          <w:spacing w:val="1"/>
          <w:sz w:val="21"/>
          <w:szCs w:val="21"/>
        </w:rPr>
        <w:t xml:space="preserve">                       </w:t>
      </w:r>
      <w:r>
        <w:rPr>
          <w:rFonts w:ascii="宋体" w:hAnsi="宋体" w:eastAsia="宋体" w:cs="宋体"/>
          <w:sz w:val="21"/>
          <w:szCs w:val="21"/>
        </w:rPr>
        <w:t xml:space="preserve">  </w:t>
      </w:r>
      <w:r>
        <w:rPr>
          <w:rFonts w:ascii="宋体" w:hAnsi="宋体" w:eastAsia="宋体" w:cs="宋体"/>
          <w:spacing w:val="-14"/>
          <w:sz w:val="21"/>
          <w:szCs w:val="21"/>
        </w:rPr>
        <w:t>年</w:t>
      </w:r>
      <w:r>
        <w:rPr>
          <w:rFonts w:ascii="宋体" w:hAnsi="宋体" w:eastAsia="宋体" w:cs="宋体"/>
          <w:spacing w:val="2"/>
          <w:sz w:val="21"/>
          <w:szCs w:val="21"/>
        </w:rPr>
        <w:t xml:space="preserve">      </w:t>
      </w:r>
      <w:r>
        <w:rPr>
          <w:rFonts w:ascii="宋体" w:hAnsi="宋体" w:eastAsia="宋体" w:cs="宋体"/>
          <w:spacing w:val="-14"/>
          <w:sz w:val="21"/>
          <w:szCs w:val="21"/>
        </w:rPr>
        <w:t>月       日</w:t>
      </w:r>
    </w:p>
    <w:p w14:paraId="312C541A">
      <w:pPr>
        <w:pStyle w:val="3"/>
        <w:spacing w:line="271" w:lineRule="auto"/>
      </w:pPr>
    </w:p>
    <w:p w14:paraId="6929554B">
      <w:pPr>
        <w:pStyle w:val="3"/>
        <w:spacing w:line="271" w:lineRule="auto"/>
      </w:pPr>
    </w:p>
    <w:p w14:paraId="15AD5DB0">
      <w:pPr>
        <w:pStyle w:val="3"/>
        <w:spacing w:line="271" w:lineRule="auto"/>
      </w:pPr>
    </w:p>
    <w:p w14:paraId="11FA665E">
      <w:pPr>
        <w:spacing w:before="69" w:line="219" w:lineRule="auto"/>
        <w:ind w:left="443"/>
        <w:rPr>
          <w:rFonts w:ascii="宋体" w:hAnsi="宋体" w:eastAsia="宋体" w:cs="宋体"/>
          <w:sz w:val="21"/>
          <w:szCs w:val="21"/>
        </w:rPr>
      </w:pPr>
      <w:r>
        <w:rPr>
          <w:rFonts w:ascii="宋体" w:hAnsi="宋体" w:eastAsia="宋体" w:cs="宋体"/>
          <w:spacing w:val="-5"/>
          <w:sz w:val="21"/>
          <w:szCs w:val="21"/>
        </w:rPr>
        <w:t>备注： 1.投标总价可按四舍五入精确到小数点后两位。</w:t>
      </w:r>
    </w:p>
    <w:p w14:paraId="36968782">
      <w:pPr>
        <w:spacing w:before="135" w:line="380" w:lineRule="exact"/>
        <w:ind w:right="10"/>
        <w:jc w:val="right"/>
        <w:rPr>
          <w:rFonts w:ascii="宋体" w:hAnsi="宋体" w:eastAsia="宋体" w:cs="宋体"/>
          <w:sz w:val="21"/>
          <w:szCs w:val="21"/>
        </w:rPr>
      </w:pPr>
      <w:r>
        <w:rPr>
          <w:rFonts w:ascii="宋体" w:hAnsi="宋体" w:eastAsia="宋体" w:cs="宋体"/>
          <w:spacing w:val="3"/>
          <w:position w:val="12"/>
          <w:sz w:val="21"/>
          <w:szCs w:val="21"/>
        </w:rPr>
        <w:t>2.已标价工程量清单的内容和制作按第五章“工程量清单”和第二章“投</w:t>
      </w:r>
      <w:r>
        <w:rPr>
          <w:rFonts w:ascii="宋体" w:hAnsi="宋体" w:eastAsia="宋体" w:cs="宋体"/>
          <w:spacing w:val="2"/>
          <w:position w:val="12"/>
          <w:sz w:val="21"/>
          <w:szCs w:val="21"/>
        </w:rPr>
        <w:t>标人</w:t>
      </w:r>
    </w:p>
    <w:p w14:paraId="191C3B13">
      <w:pPr>
        <w:spacing w:line="220" w:lineRule="auto"/>
        <w:ind w:left="1385"/>
        <w:rPr>
          <w:rFonts w:ascii="宋体" w:hAnsi="宋体" w:eastAsia="宋体" w:cs="宋体"/>
          <w:sz w:val="21"/>
          <w:szCs w:val="21"/>
        </w:rPr>
      </w:pPr>
      <w:r>
        <w:rPr>
          <w:rFonts w:ascii="宋体" w:hAnsi="宋体" w:eastAsia="宋体" w:cs="宋体"/>
          <w:spacing w:val="-4"/>
          <w:sz w:val="21"/>
          <w:szCs w:val="21"/>
        </w:rPr>
        <w:t>须知”</w:t>
      </w:r>
      <w:r>
        <w:rPr>
          <w:rFonts w:ascii="宋体" w:hAnsi="宋体" w:eastAsia="宋体" w:cs="宋体"/>
          <w:spacing w:val="-44"/>
          <w:sz w:val="21"/>
          <w:szCs w:val="21"/>
        </w:rPr>
        <w:t xml:space="preserve"> </w:t>
      </w:r>
      <w:r>
        <w:rPr>
          <w:rFonts w:ascii="宋体" w:hAnsi="宋体" w:eastAsia="宋体" w:cs="宋体"/>
          <w:spacing w:val="-4"/>
          <w:sz w:val="21"/>
          <w:szCs w:val="21"/>
        </w:rPr>
        <w:t>第</w:t>
      </w:r>
      <w:r>
        <w:rPr>
          <w:rFonts w:ascii="宋体" w:hAnsi="宋体" w:eastAsia="宋体" w:cs="宋体"/>
          <w:spacing w:val="-40"/>
          <w:sz w:val="21"/>
          <w:szCs w:val="21"/>
        </w:rPr>
        <w:t xml:space="preserve"> </w:t>
      </w:r>
      <w:r>
        <w:rPr>
          <w:rFonts w:ascii="宋体" w:hAnsi="宋体" w:eastAsia="宋体" w:cs="宋体"/>
          <w:spacing w:val="-4"/>
          <w:sz w:val="21"/>
          <w:szCs w:val="21"/>
        </w:rPr>
        <w:t>3.7.3（5）</w:t>
      </w:r>
      <w:r>
        <w:rPr>
          <w:rFonts w:ascii="宋体" w:hAnsi="宋体" w:eastAsia="宋体" w:cs="宋体"/>
          <w:spacing w:val="-61"/>
          <w:sz w:val="21"/>
          <w:szCs w:val="21"/>
        </w:rPr>
        <w:t xml:space="preserve"> </w:t>
      </w:r>
      <w:r>
        <w:rPr>
          <w:rFonts w:ascii="宋体" w:hAnsi="宋体" w:eastAsia="宋体" w:cs="宋体"/>
          <w:spacing w:val="-4"/>
          <w:sz w:val="21"/>
          <w:szCs w:val="21"/>
        </w:rPr>
        <w:t>目的要求填报和制作。</w:t>
      </w:r>
    </w:p>
    <w:p w14:paraId="5CB2F94E">
      <w:pPr>
        <w:spacing w:line="220" w:lineRule="auto"/>
        <w:rPr>
          <w:rFonts w:ascii="宋体" w:hAnsi="宋体" w:eastAsia="宋体" w:cs="宋体"/>
          <w:sz w:val="21"/>
          <w:szCs w:val="21"/>
        </w:rPr>
        <w:sectPr>
          <w:footerReference r:id="rId226" w:type="default"/>
          <w:pgSz w:w="11905" w:h="16839"/>
          <w:pgMar w:top="400" w:right="1785" w:bottom="1004" w:left="1785" w:header="0" w:footer="828" w:gutter="0"/>
          <w:pgNumType w:fmt="decimal"/>
          <w:cols w:space="720" w:num="1"/>
        </w:sectPr>
      </w:pPr>
    </w:p>
    <w:p w14:paraId="19EC56EC">
      <w:pPr>
        <w:pStyle w:val="3"/>
        <w:spacing w:line="255" w:lineRule="auto"/>
      </w:pPr>
    </w:p>
    <w:p w14:paraId="0B24C9A9">
      <w:pPr>
        <w:pStyle w:val="3"/>
        <w:spacing w:line="256" w:lineRule="auto"/>
      </w:pPr>
    </w:p>
    <w:p w14:paraId="045FB65B">
      <w:pPr>
        <w:pStyle w:val="3"/>
        <w:spacing w:line="256" w:lineRule="auto"/>
      </w:pPr>
    </w:p>
    <w:p w14:paraId="3C5688C0">
      <w:pPr>
        <w:pStyle w:val="3"/>
        <w:spacing w:line="256" w:lineRule="auto"/>
      </w:pPr>
    </w:p>
    <w:p w14:paraId="54DDA624">
      <w:pPr>
        <w:spacing w:before="88" w:line="225" w:lineRule="auto"/>
        <w:ind w:left="3062"/>
        <w:rPr>
          <w:rFonts w:ascii="黑体" w:hAnsi="黑体" w:eastAsia="黑体" w:cs="黑体"/>
          <w:sz w:val="27"/>
          <w:szCs w:val="27"/>
        </w:rPr>
      </w:pPr>
      <w:r>
        <w:rPr>
          <w:rFonts w:ascii="黑体" w:hAnsi="黑体" w:eastAsia="黑体" w:cs="黑体"/>
          <w:spacing w:val="5"/>
          <w:sz w:val="27"/>
          <w:szCs w:val="27"/>
        </w:rPr>
        <w:t>九、施工组织设计</w:t>
      </w:r>
    </w:p>
    <w:p w14:paraId="15247E7E">
      <w:pPr>
        <w:spacing w:before="152" w:line="369" w:lineRule="auto"/>
        <w:ind w:left="20" w:right="196" w:firstLine="436"/>
        <w:jc w:val="both"/>
        <w:rPr>
          <w:rFonts w:ascii="宋体" w:hAnsi="宋体" w:eastAsia="宋体" w:cs="宋体"/>
          <w:sz w:val="21"/>
          <w:szCs w:val="21"/>
        </w:rPr>
      </w:pPr>
      <w:r>
        <w:rPr>
          <w:rFonts w:ascii="宋体" w:hAnsi="宋体" w:eastAsia="宋体" w:cs="宋体"/>
          <w:spacing w:val="-4"/>
          <w:sz w:val="21"/>
          <w:szCs w:val="21"/>
        </w:rPr>
        <w:t>1．投标人应根据招标文件和对现场的勘察情况，</w:t>
      </w:r>
      <w:r>
        <w:rPr>
          <w:rFonts w:ascii="宋体" w:hAnsi="宋体" w:eastAsia="宋体" w:cs="宋体"/>
          <w:spacing w:val="50"/>
          <w:sz w:val="21"/>
          <w:szCs w:val="21"/>
        </w:rPr>
        <w:t xml:space="preserve"> </w:t>
      </w:r>
      <w:r>
        <w:rPr>
          <w:rFonts w:ascii="宋体" w:hAnsi="宋体" w:eastAsia="宋体" w:cs="宋体"/>
          <w:spacing w:val="-4"/>
          <w:sz w:val="21"/>
          <w:szCs w:val="21"/>
        </w:rPr>
        <w:t>采用文</w:t>
      </w:r>
      <w:r>
        <w:rPr>
          <w:rFonts w:ascii="宋体" w:hAnsi="宋体" w:eastAsia="宋体" w:cs="宋体"/>
          <w:spacing w:val="-5"/>
          <w:sz w:val="21"/>
          <w:szCs w:val="21"/>
        </w:rPr>
        <w:t>字并结合图表形式，按照中华</w:t>
      </w:r>
      <w:r>
        <w:rPr>
          <w:rFonts w:ascii="宋体" w:hAnsi="宋体" w:eastAsia="宋体" w:cs="宋体"/>
          <w:sz w:val="21"/>
          <w:szCs w:val="21"/>
        </w:rPr>
        <w:t xml:space="preserve"> </w:t>
      </w:r>
      <w:r>
        <w:rPr>
          <w:rFonts w:ascii="宋体" w:hAnsi="宋体" w:eastAsia="宋体" w:cs="宋体"/>
          <w:spacing w:val="-2"/>
          <w:sz w:val="21"/>
          <w:szCs w:val="21"/>
        </w:rPr>
        <w:t>人民共和国家标准《建筑施工组织设计规范》（GB/T50502-2009）的要求编制本工程</w:t>
      </w:r>
      <w:r>
        <w:rPr>
          <w:rFonts w:ascii="宋体" w:hAnsi="宋体" w:eastAsia="宋体" w:cs="宋体"/>
          <w:spacing w:val="-3"/>
          <w:sz w:val="21"/>
          <w:szCs w:val="21"/>
        </w:rPr>
        <w:t>的施工</w:t>
      </w:r>
    </w:p>
    <w:p w14:paraId="780739F3">
      <w:pPr>
        <w:spacing w:line="221" w:lineRule="auto"/>
        <w:ind w:left="20"/>
        <w:rPr>
          <w:rFonts w:ascii="宋体" w:hAnsi="宋体" w:eastAsia="宋体" w:cs="宋体"/>
          <w:sz w:val="21"/>
          <w:szCs w:val="21"/>
        </w:rPr>
      </w:pPr>
      <w:r>
        <w:rPr>
          <w:rFonts w:ascii="宋体" w:hAnsi="宋体" w:eastAsia="宋体" w:cs="宋体"/>
          <w:spacing w:val="-18"/>
          <w:sz w:val="21"/>
          <w:szCs w:val="21"/>
        </w:rPr>
        <w:t>组织设计，</w:t>
      </w:r>
      <w:r>
        <w:rPr>
          <w:rFonts w:ascii="宋体" w:hAnsi="宋体" w:eastAsia="宋体" w:cs="宋体"/>
          <w:spacing w:val="61"/>
          <w:sz w:val="21"/>
          <w:szCs w:val="21"/>
        </w:rPr>
        <w:t xml:space="preserve"> </w:t>
      </w:r>
      <w:r>
        <w:rPr>
          <w:rFonts w:ascii="宋体" w:hAnsi="宋体" w:eastAsia="宋体" w:cs="宋体"/>
          <w:spacing w:val="-18"/>
          <w:sz w:val="21"/>
          <w:szCs w:val="21"/>
        </w:rPr>
        <w:t>其要点如下：</w:t>
      </w:r>
    </w:p>
    <w:p w14:paraId="40B2E2A4">
      <w:pPr>
        <w:spacing w:before="165" w:line="221" w:lineRule="auto"/>
        <w:ind w:left="447"/>
        <w:rPr>
          <w:rFonts w:ascii="宋体" w:hAnsi="宋体" w:eastAsia="宋体" w:cs="宋体"/>
          <w:sz w:val="21"/>
          <w:szCs w:val="21"/>
        </w:rPr>
      </w:pPr>
      <w:r>
        <w:rPr>
          <w:rFonts w:ascii="宋体" w:hAnsi="宋体" w:eastAsia="宋体" w:cs="宋体"/>
          <w:spacing w:val="-2"/>
          <w:sz w:val="21"/>
          <w:szCs w:val="21"/>
        </w:rPr>
        <w:t>（1）</w:t>
      </w:r>
      <w:r>
        <w:rPr>
          <w:rFonts w:ascii="宋体" w:hAnsi="宋体" w:eastAsia="宋体" w:cs="宋体"/>
          <w:spacing w:val="-2"/>
          <w:sz w:val="21"/>
          <w:szCs w:val="21"/>
          <w14:textOutline w14:w="3831" w14:cap="flat" w14:cmpd="sng">
            <w14:solidFill>
              <w14:srgbClr w14:val="000000"/>
            </w14:solidFill>
            <w14:prstDash w14:val="solid"/>
            <w14:miter w14:val="0"/>
          </w14:textOutline>
        </w:rPr>
        <w:t>工程概况</w:t>
      </w:r>
    </w:p>
    <w:p w14:paraId="3D9E42B5">
      <w:pPr>
        <w:spacing w:before="171" w:line="418" w:lineRule="exact"/>
        <w:ind w:left="964"/>
        <w:rPr>
          <w:rFonts w:ascii="宋体" w:hAnsi="宋体" w:eastAsia="宋体" w:cs="宋体"/>
          <w:sz w:val="21"/>
          <w:szCs w:val="21"/>
        </w:rPr>
      </w:pPr>
      <w:r>
        <w:rPr>
          <w:rFonts w:ascii="宋体" w:hAnsi="宋体" w:eastAsia="宋体" w:cs="宋体"/>
          <w:spacing w:val="-2"/>
          <w:position w:val="15"/>
          <w:sz w:val="21"/>
          <w:szCs w:val="21"/>
        </w:rPr>
        <w:t>包括工程主要情况、各专业设计简介、工程施工条件等；</w:t>
      </w:r>
    </w:p>
    <w:p w14:paraId="288909E1">
      <w:pPr>
        <w:spacing w:line="220" w:lineRule="auto"/>
        <w:ind w:left="447"/>
        <w:rPr>
          <w:rFonts w:ascii="宋体" w:hAnsi="宋体" w:eastAsia="宋体" w:cs="宋体"/>
          <w:sz w:val="21"/>
          <w:szCs w:val="21"/>
        </w:rPr>
      </w:pPr>
      <w:r>
        <w:rPr>
          <w:rFonts w:ascii="宋体" w:hAnsi="宋体" w:eastAsia="宋体" w:cs="宋体"/>
          <w:spacing w:val="-2"/>
          <w:sz w:val="21"/>
          <w:szCs w:val="21"/>
        </w:rPr>
        <w:t>（2）</w:t>
      </w:r>
      <w:r>
        <w:rPr>
          <w:rFonts w:ascii="宋体" w:hAnsi="宋体" w:eastAsia="宋体" w:cs="宋体"/>
          <w:spacing w:val="-2"/>
          <w:sz w:val="21"/>
          <w:szCs w:val="21"/>
          <w14:textOutline w14:w="3831" w14:cap="flat" w14:cmpd="sng">
            <w14:solidFill>
              <w14:srgbClr w14:val="000000"/>
            </w14:solidFill>
            <w14:prstDash w14:val="solid"/>
            <w14:miter w14:val="0"/>
          </w14:textOutline>
        </w:rPr>
        <w:t>施工部署</w:t>
      </w:r>
    </w:p>
    <w:p w14:paraId="3255183A">
      <w:pPr>
        <w:spacing w:before="170" w:line="369" w:lineRule="auto"/>
        <w:ind w:left="978" w:right="196"/>
        <w:jc w:val="both"/>
        <w:rPr>
          <w:rFonts w:ascii="宋体" w:hAnsi="宋体" w:eastAsia="宋体" w:cs="宋体"/>
          <w:sz w:val="21"/>
          <w:szCs w:val="21"/>
        </w:rPr>
      </w:pPr>
      <w:r>
        <w:rPr>
          <w:rFonts w:ascii="宋体" w:hAnsi="宋体" w:eastAsia="宋体" w:cs="宋体"/>
          <w:sz w:val="21"/>
          <w:szCs w:val="21"/>
        </w:rPr>
        <w:t>包括工程施工目标、主要施工内容及其进度安排、施工流水段划</w:t>
      </w:r>
      <w:r>
        <w:rPr>
          <w:rFonts w:ascii="宋体" w:hAnsi="宋体" w:eastAsia="宋体" w:cs="宋体"/>
          <w:spacing w:val="-1"/>
          <w:sz w:val="21"/>
          <w:szCs w:val="21"/>
        </w:rPr>
        <w:t>分、施工的重点</w:t>
      </w:r>
      <w:r>
        <w:rPr>
          <w:rFonts w:ascii="宋体" w:hAnsi="宋体" w:eastAsia="宋体" w:cs="宋体"/>
          <w:sz w:val="21"/>
          <w:szCs w:val="21"/>
        </w:rPr>
        <w:t xml:space="preserve"> 和难点分析、工程管理的组织机构形式、项目经理部的工作岗位</w:t>
      </w:r>
      <w:r>
        <w:rPr>
          <w:rFonts w:ascii="宋体" w:hAnsi="宋体" w:eastAsia="宋体" w:cs="宋体"/>
          <w:spacing w:val="-1"/>
          <w:sz w:val="21"/>
          <w:szCs w:val="21"/>
        </w:rPr>
        <w:t>设置及其职责划</w:t>
      </w:r>
      <w:r>
        <w:rPr>
          <w:rFonts w:ascii="宋体" w:hAnsi="宋体" w:eastAsia="宋体" w:cs="宋体"/>
          <w:sz w:val="21"/>
          <w:szCs w:val="21"/>
        </w:rPr>
        <w:t xml:space="preserve"> 分、新技术、新工艺部署及其技术和管理要求（如有）、主</w:t>
      </w:r>
      <w:r>
        <w:rPr>
          <w:rFonts w:ascii="宋体" w:hAnsi="宋体" w:eastAsia="宋体" w:cs="宋体"/>
          <w:spacing w:val="-1"/>
          <w:sz w:val="21"/>
          <w:szCs w:val="21"/>
        </w:rPr>
        <w:t>要分包工程施工单位</w:t>
      </w:r>
    </w:p>
    <w:p w14:paraId="0C2E3204">
      <w:pPr>
        <w:spacing w:before="1" w:line="220" w:lineRule="auto"/>
        <w:ind w:left="996"/>
        <w:rPr>
          <w:rFonts w:ascii="宋体" w:hAnsi="宋体" w:eastAsia="宋体" w:cs="宋体"/>
          <w:sz w:val="21"/>
          <w:szCs w:val="21"/>
        </w:rPr>
      </w:pPr>
      <w:r>
        <w:rPr>
          <w:rFonts w:ascii="宋体" w:hAnsi="宋体" w:eastAsia="宋体" w:cs="宋体"/>
          <w:spacing w:val="-9"/>
          <w:sz w:val="21"/>
          <w:szCs w:val="21"/>
        </w:rPr>
        <w:t>的选择要求及管理方式（如有</w:t>
      </w:r>
      <w:r>
        <w:rPr>
          <w:rFonts w:ascii="宋体" w:hAnsi="宋体" w:eastAsia="宋体" w:cs="宋体"/>
          <w:spacing w:val="-12"/>
          <w:sz w:val="21"/>
          <w:szCs w:val="21"/>
        </w:rPr>
        <w:t>）；</w:t>
      </w:r>
    </w:p>
    <w:p w14:paraId="272996CB">
      <w:pPr>
        <w:spacing w:before="172" w:line="221" w:lineRule="auto"/>
        <w:ind w:left="447"/>
        <w:rPr>
          <w:rFonts w:ascii="宋体" w:hAnsi="宋体" w:eastAsia="宋体" w:cs="宋体"/>
          <w:sz w:val="21"/>
          <w:szCs w:val="21"/>
        </w:rPr>
      </w:pPr>
      <w:r>
        <w:rPr>
          <w:rFonts w:ascii="宋体" w:hAnsi="宋体" w:eastAsia="宋体" w:cs="宋体"/>
          <w:spacing w:val="-2"/>
          <w:sz w:val="21"/>
          <w:szCs w:val="21"/>
        </w:rPr>
        <w:t>（3）</w:t>
      </w:r>
      <w:r>
        <w:rPr>
          <w:rFonts w:ascii="宋体" w:hAnsi="宋体" w:eastAsia="宋体" w:cs="宋体"/>
          <w:spacing w:val="-2"/>
          <w:sz w:val="21"/>
          <w:szCs w:val="21"/>
          <w14:textOutline w14:w="3831" w14:cap="flat" w14:cmpd="sng">
            <w14:solidFill>
              <w14:srgbClr w14:val="000000"/>
            </w14:solidFill>
            <w14:prstDash w14:val="solid"/>
            <w14:miter w14:val="0"/>
          </w14:textOutline>
        </w:rPr>
        <w:t>施工进度计划</w:t>
      </w:r>
    </w:p>
    <w:p w14:paraId="529310F8">
      <w:pPr>
        <w:spacing w:before="166" w:line="423" w:lineRule="exact"/>
        <w:ind w:left="966"/>
        <w:rPr>
          <w:rFonts w:ascii="宋体" w:hAnsi="宋体" w:eastAsia="宋体" w:cs="宋体"/>
          <w:sz w:val="21"/>
          <w:szCs w:val="21"/>
        </w:rPr>
      </w:pPr>
      <w:r>
        <w:rPr>
          <w:rFonts w:ascii="宋体" w:hAnsi="宋体" w:eastAsia="宋体" w:cs="宋体"/>
          <w:position w:val="16"/>
          <w:sz w:val="21"/>
          <w:szCs w:val="21"/>
        </w:rPr>
        <w:t>可采用网络图或横道图表示，并附必要说明，对于规模较大或较复杂的工程，宜</w:t>
      </w:r>
    </w:p>
    <w:p w14:paraId="7F1D4CFB">
      <w:pPr>
        <w:spacing w:before="1" w:line="219" w:lineRule="auto"/>
        <w:ind w:left="963"/>
        <w:rPr>
          <w:rFonts w:ascii="宋体" w:hAnsi="宋体" w:eastAsia="宋体" w:cs="宋体"/>
          <w:sz w:val="21"/>
          <w:szCs w:val="21"/>
        </w:rPr>
      </w:pPr>
      <w:r>
        <w:rPr>
          <w:rFonts w:ascii="宋体" w:hAnsi="宋体" w:eastAsia="宋体" w:cs="宋体"/>
          <w:spacing w:val="-5"/>
          <w:sz w:val="21"/>
          <w:szCs w:val="21"/>
        </w:rPr>
        <w:t>采用网络图表示；</w:t>
      </w:r>
    </w:p>
    <w:p w14:paraId="39379DA0">
      <w:pPr>
        <w:spacing w:before="167" w:line="222" w:lineRule="auto"/>
        <w:ind w:left="447"/>
        <w:rPr>
          <w:rFonts w:ascii="宋体" w:hAnsi="宋体" w:eastAsia="宋体" w:cs="宋体"/>
          <w:sz w:val="21"/>
          <w:szCs w:val="21"/>
        </w:rPr>
      </w:pPr>
      <w:r>
        <w:rPr>
          <w:rFonts w:ascii="宋体" w:hAnsi="宋体" w:eastAsia="宋体" w:cs="宋体"/>
          <w:spacing w:val="-1"/>
          <w:sz w:val="21"/>
          <w:szCs w:val="21"/>
        </w:rPr>
        <w:t>（4）</w:t>
      </w:r>
      <w:r>
        <w:rPr>
          <w:rFonts w:ascii="宋体" w:hAnsi="宋体" w:eastAsia="宋体" w:cs="宋体"/>
          <w:spacing w:val="-1"/>
          <w:sz w:val="21"/>
          <w:szCs w:val="21"/>
          <w14:textOutline w14:w="3831" w14:cap="flat" w14:cmpd="sng">
            <w14:solidFill>
              <w14:srgbClr w14:val="000000"/>
            </w14:solidFill>
            <w14:prstDash w14:val="solid"/>
            <w14:miter w14:val="0"/>
          </w14:textOutline>
        </w:rPr>
        <w:t>施工准备与资源配置计划</w:t>
      </w:r>
    </w:p>
    <w:p w14:paraId="4BF641C4">
      <w:pPr>
        <w:spacing w:before="170" w:line="418" w:lineRule="exact"/>
        <w:ind w:left="963"/>
        <w:rPr>
          <w:rFonts w:ascii="宋体" w:hAnsi="宋体" w:eastAsia="宋体" w:cs="宋体"/>
          <w:sz w:val="21"/>
          <w:szCs w:val="21"/>
        </w:rPr>
      </w:pPr>
      <w:r>
        <w:rPr>
          <w:rFonts w:ascii="宋体" w:hAnsi="宋体" w:eastAsia="宋体" w:cs="宋体"/>
          <w:position w:val="15"/>
          <w:sz w:val="21"/>
          <w:szCs w:val="21"/>
        </w:rPr>
        <w:t>施工准备包括技术准备、现场准备和资金准备；资源配置计划包括劳动力配置计</w:t>
      </w:r>
    </w:p>
    <w:p w14:paraId="3D6A6361">
      <w:pPr>
        <w:spacing w:before="1" w:line="219" w:lineRule="auto"/>
        <w:ind w:left="963"/>
        <w:rPr>
          <w:rFonts w:ascii="宋体" w:hAnsi="宋体" w:eastAsia="宋体" w:cs="宋体"/>
          <w:sz w:val="21"/>
          <w:szCs w:val="21"/>
        </w:rPr>
      </w:pPr>
      <w:r>
        <w:rPr>
          <w:rFonts w:ascii="宋体" w:hAnsi="宋体" w:eastAsia="宋体" w:cs="宋体"/>
          <w:sz w:val="21"/>
          <w:szCs w:val="21"/>
        </w:rPr>
        <w:t>划、主要工程材料和设备配置计划、主要周转材料和施工机具配置</w:t>
      </w:r>
      <w:r>
        <w:rPr>
          <w:rFonts w:ascii="宋体" w:hAnsi="宋体" w:eastAsia="宋体" w:cs="宋体"/>
          <w:spacing w:val="-1"/>
          <w:sz w:val="21"/>
          <w:szCs w:val="21"/>
        </w:rPr>
        <w:t>计划等；</w:t>
      </w:r>
    </w:p>
    <w:p w14:paraId="503DD7BB">
      <w:pPr>
        <w:spacing w:before="173" w:line="221" w:lineRule="auto"/>
        <w:ind w:left="447"/>
        <w:rPr>
          <w:rFonts w:ascii="宋体" w:hAnsi="宋体" w:eastAsia="宋体" w:cs="宋体"/>
          <w:sz w:val="21"/>
          <w:szCs w:val="21"/>
        </w:rPr>
      </w:pPr>
      <w:r>
        <w:rPr>
          <w:rFonts w:ascii="宋体" w:hAnsi="宋体" w:eastAsia="宋体" w:cs="宋体"/>
          <w:spacing w:val="-1"/>
          <w:sz w:val="21"/>
          <w:szCs w:val="21"/>
        </w:rPr>
        <w:t>（5）</w:t>
      </w:r>
      <w:r>
        <w:rPr>
          <w:rFonts w:ascii="宋体" w:hAnsi="宋体" w:eastAsia="宋体" w:cs="宋体"/>
          <w:spacing w:val="-1"/>
          <w:sz w:val="21"/>
          <w:szCs w:val="21"/>
          <w14:textOutline w14:w="3831" w14:cap="flat" w14:cmpd="sng">
            <w14:solidFill>
              <w14:srgbClr w14:val="000000"/>
            </w14:solidFill>
            <w14:prstDash w14:val="solid"/>
            <w14:miter w14:val="0"/>
          </w14:textOutline>
        </w:rPr>
        <w:t>主要施工方案</w:t>
      </w:r>
    </w:p>
    <w:p w14:paraId="1FC26BB0">
      <w:pPr>
        <w:spacing w:before="166" w:line="370" w:lineRule="auto"/>
        <w:ind w:left="965" w:hanging="2"/>
        <w:jc w:val="both"/>
        <w:rPr>
          <w:rFonts w:ascii="宋体" w:hAnsi="宋体" w:eastAsia="宋体" w:cs="宋体"/>
          <w:sz w:val="21"/>
          <w:szCs w:val="21"/>
        </w:rPr>
      </w:pPr>
      <w:r>
        <w:rPr>
          <w:rFonts w:ascii="宋体" w:hAnsi="宋体" w:eastAsia="宋体" w:cs="宋体"/>
          <w:sz w:val="21"/>
          <w:szCs w:val="21"/>
        </w:rPr>
        <w:t>对主要分部、分项工程制定施工方案；对脚手架工程、起重吊装工程、临时用水</w:t>
      </w:r>
      <w:r>
        <w:rPr>
          <w:rFonts w:ascii="宋体" w:hAnsi="宋体" w:eastAsia="宋体" w:cs="宋体"/>
          <w:spacing w:val="3"/>
          <w:sz w:val="21"/>
          <w:szCs w:val="21"/>
        </w:rPr>
        <w:t xml:space="preserve">   </w:t>
      </w:r>
      <w:r>
        <w:rPr>
          <w:rFonts w:ascii="宋体" w:hAnsi="宋体" w:eastAsia="宋体" w:cs="宋体"/>
          <w:sz w:val="21"/>
          <w:szCs w:val="21"/>
        </w:rPr>
        <w:t>用电工程、季节性施工等专项工程所采用的施工方案进行必要的验算和说明；对</w:t>
      </w:r>
      <w:r>
        <w:rPr>
          <w:rFonts w:ascii="宋体" w:hAnsi="宋体" w:eastAsia="宋体" w:cs="宋体"/>
          <w:spacing w:val="2"/>
          <w:sz w:val="21"/>
          <w:szCs w:val="21"/>
        </w:rPr>
        <w:t xml:space="preserve">   </w:t>
      </w:r>
      <w:r>
        <w:rPr>
          <w:rFonts w:ascii="宋体" w:hAnsi="宋体" w:eastAsia="宋体" w:cs="宋体"/>
          <w:sz w:val="21"/>
          <w:szCs w:val="21"/>
        </w:rPr>
        <w:t>易发生质量通病、易出现安全问题、施工难度大、技术含量高的分</w:t>
      </w:r>
      <w:r>
        <w:rPr>
          <w:rFonts w:ascii="宋体" w:hAnsi="宋体" w:eastAsia="宋体" w:cs="宋体"/>
          <w:spacing w:val="-1"/>
          <w:sz w:val="21"/>
          <w:szCs w:val="21"/>
        </w:rPr>
        <w:t>项工程（工序）</w:t>
      </w:r>
    </w:p>
    <w:p w14:paraId="47F0B8B0">
      <w:pPr>
        <w:spacing w:line="220" w:lineRule="auto"/>
        <w:ind w:left="966"/>
        <w:rPr>
          <w:rFonts w:ascii="宋体" w:hAnsi="宋体" w:eastAsia="宋体" w:cs="宋体"/>
          <w:sz w:val="21"/>
          <w:szCs w:val="21"/>
        </w:rPr>
      </w:pPr>
      <w:r>
        <w:rPr>
          <w:rFonts w:ascii="宋体" w:hAnsi="宋体" w:eastAsia="宋体" w:cs="宋体"/>
          <w:spacing w:val="-5"/>
          <w:sz w:val="21"/>
          <w:szCs w:val="21"/>
        </w:rPr>
        <w:t>等做出重点说明；</w:t>
      </w:r>
    </w:p>
    <w:p w14:paraId="480E43AA">
      <w:pPr>
        <w:spacing w:before="167" w:line="220" w:lineRule="auto"/>
        <w:ind w:left="447"/>
        <w:rPr>
          <w:rFonts w:ascii="宋体" w:hAnsi="宋体" w:eastAsia="宋体" w:cs="宋体"/>
          <w:sz w:val="21"/>
          <w:szCs w:val="21"/>
        </w:rPr>
      </w:pPr>
      <w:r>
        <w:rPr>
          <w:rFonts w:ascii="宋体" w:hAnsi="宋体" w:eastAsia="宋体" w:cs="宋体"/>
          <w:spacing w:val="-1"/>
          <w:sz w:val="21"/>
          <w:szCs w:val="21"/>
        </w:rPr>
        <w:t>（6）</w:t>
      </w:r>
      <w:r>
        <w:rPr>
          <w:rFonts w:ascii="宋体" w:hAnsi="宋体" w:eastAsia="宋体" w:cs="宋体"/>
          <w:spacing w:val="-1"/>
          <w:sz w:val="21"/>
          <w:szCs w:val="21"/>
          <w14:textOutline w14:w="3831" w14:cap="flat" w14:cmpd="sng">
            <w14:solidFill>
              <w14:srgbClr w14:val="000000"/>
            </w14:solidFill>
            <w14:prstDash w14:val="solid"/>
            <w14:miter w14:val="0"/>
          </w14:textOutline>
        </w:rPr>
        <w:t>施工现场平面布置</w:t>
      </w:r>
    </w:p>
    <w:p w14:paraId="7AE2E052">
      <w:pPr>
        <w:spacing w:before="174" w:line="369" w:lineRule="auto"/>
        <w:ind w:left="915" w:right="206" w:firstLine="2"/>
        <w:jc w:val="both"/>
        <w:rPr>
          <w:rFonts w:ascii="宋体" w:hAnsi="宋体" w:eastAsia="宋体" w:cs="宋体"/>
          <w:sz w:val="21"/>
          <w:szCs w:val="21"/>
        </w:rPr>
      </w:pPr>
      <w:r>
        <w:rPr>
          <w:rFonts w:ascii="宋体" w:hAnsi="宋体" w:eastAsia="宋体" w:cs="宋体"/>
          <w:spacing w:val="1"/>
          <w:sz w:val="21"/>
          <w:szCs w:val="21"/>
        </w:rPr>
        <w:t>按不同施工阶段绘制施工现场平面布置图并附文字说明，说明施工场地状况；拟</w:t>
      </w:r>
      <w:r>
        <w:rPr>
          <w:rFonts w:ascii="宋体" w:hAnsi="宋体" w:eastAsia="宋体" w:cs="宋体"/>
          <w:spacing w:val="10"/>
          <w:sz w:val="21"/>
          <w:szCs w:val="21"/>
        </w:rPr>
        <w:t xml:space="preserve"> </w:t>
      </w:r>
      <w:r>
        <w:rPr>
          <w:rFonts w:ascii="宋体" w:hAnsi="宋体" w:eastAsia="宋体" w:cs="宋体"/>
          <w:spacing w:val="-4"/>
          <w:sz w:val="21"/>
          <w:szCs w:val="21"/>
        </w:rPr>
        <w:t>建建（构）筑物的位置轮廓、尺寸、层数；</w:t>
      </w:r>
      <w:r>
        <w:rPr>
          <w:rFonts w:ascii="宋体" w:hAnsi="宋体" w:eastAsia="宋体" w:cs="宋体"/>
          <w:spacing w:val="62"/>
          <w:sz w:val="21"/>
          <w:szCs w:val="21"/>
        </w:rPr>
        <w:t xml:space="preserve"> </w:t>
      </w:r>
      <w:r>
        <w:rPr>
          <w:rFonts w:ascii="宋体" w:hAnsi="宋体" w:eastAsia="宋体" w:cs="宋体"/>
          <w:spacing w:val="-4"/>
          <w:sz w:val="21"/>
          <w:szCs w:val="21"/>
        </w:rPr>
        <w:t>加工设施、存储设施、</w:t>
      </w:r>
      <w:r>
        <w:rPr>
          <w:rFonts w:ascii="宋体" w:hAnsi="宋体" w:eastAsia="宋体" w:cs="宋体"/>
          <w:spacing w:val="-5"/>
          <w:sz w:val="21"/>
          <w:szCs w:val="21"/>
        </w:rPr>
        <w:t>办公和生活用</w:t>
      </w:r>
      <w:r>
        <w:rPr>
          <w:rFonts w:ascii="宋体" w:hAnsi="宋体" w:eastAsia="宋体" w:cs="宋体"/>
          <w:sz w:val="21"/>
          <w:szCs w:val="21"/>
        </w:rPr>
        <w:t xml:space="preserve"> </w:t>
      </w:r>
      <w:r>
        <w:rPr>
          <w:rFonts w:ascii="宋体" w:hAnsi="宋体" w:eastAsia="宋体" w:cs="宋体"/>
          <w:spacing w:val="1"/>
          <w:sz w:val="21"/>
          <w:szCs w:val="21"/>
        </w:rPr>
        <w:t>房的位置和面积；布置垂直运输设施、供电设施、供水、供热设施、排水排污设</w:t>
      </w:r>
      <w:r>
        <w:rPr>
          <w:rFonts w:ascii="宋体" w:hAnsi="宋体" w:eastAsia="宋体" w:cs="宋体"/>
          <w:spacing w:val="12"/>
          <w:sz w:val="21"/>
          <w:szCs w:val="21"/>
        </w:rPr>
        <w:t xml:space="preserve"> </w:t>
      </w:r>
      <w:r>
        <w:rPr>
          <w:rFonts w:ascii="宋体" w:hAnsi="宋体" w:eastAsia="宋体" w:cs="宋体"/>
          <w:spacing w:val="1"/>
          <w:sz w:val="21"/>
          <w:szCs w:val="21"/>
        </w:rPr>
        <w:t>施和临时施工道路；必备的安全、消防、保卫和环境保护设施；相邻的地上地下</w:t>
      </w:r>
    </w:p>
    <w:p w14:paraId="0A0C09F8">
      <w:pPr>
        <w:spacing w:line="220" w:lineRule="auto"/>
        <w:ind w:left="928"/>
        <w:rPr>
          <w:rFonts w:ascii="宋体" w:hAnsi="宋体" w:eastAsia="宋体" w:cs="宋体"/>
          <w:sz w:val="21"/>
          <w:szCs w:val="21"/>
        </w:rPr>
      </w:pPr>
      <w:r>
        <w:rPr>
          <w:rFonts w:ascii="宋体" w:hAnsi="宋体" w:eastAsia="宋体" w:cs="宋体"/>
          <w:spacing w:val="-3"/>
          <w:sz w:val="21"/>
          <w:szCs w:val="21"/>
        </w:rPr>
        <w:t>既有建（构）筑物及相关环境等；</w:t>
      </w:r>
    </w:p>
    <w:p w14:paraId="5DFFA8A5">
      <w:pPr>
        <w:spacing w:before="167" w:line="221" w:lineRule="auto"/>
        <w:ind w:left="447"/>
        <w:rPr>
          <w:rFonts w:ascii="宋体" w:hAnsi="宋体" w:eastAsia="宋体" w:cs="宋体"/>
          <w:sz w:val="21"/>
          <w:szCs w:val="21"/>
        </w:rPr>
      </w:pPr>
      <w:r>
        <w:rPr>
          <w:rFonts w:ascii="宋体" w:hAnsi="宋体" w:eastAsia="宋体" w:cs="宋体"/>
          <w:spacing w:val="-1"/>
          <w:sz w:val="21"/>
          <w:szCs w:val="21"/>
        </w:rPr>
        <w:t>（7）</w:t>
      </w:r>
      <w:r>
        <w:rPr>
          <w:rFonts w:ascii="宋体" w:hAnsi="宋体" w:eastAsia="宋体" w:cs="宋体"/>
          <w:spacing w:val="-1"/>
          <w:sz w:val="21"/>
          <w:szCs w:val="21"/>
          <w14:textOutline w14:w="3831" w14:cap="flat" w14:cmpd="sng">
            <w14:solidFill>
              <w14:srgbClr w14:val="000000"/>
            </w14:solidFill>
            <w14:prstDash w14:val="solid"/>
            <w14:miter w14:val="0"/>
          </w14:textOutline>
        </w:rPr>
        <w:t>主要施工管理计划</w:t>
      </w:r>
    </w:p>
    <w:p w14:paraId="7390D2C7">
      <w:pPr>
        <w:spacing w:before="170" w:line="369" w:lineRule="auto"/>
        <w:ind w:left="963" w:right="33"/>
        <w:jc w:val="both"/>
        <w:rPr>
          <w:rFonts w:ascii="宋体" w:hAnsi="宋体" w:eastAsia="宋体" w:cs="宋体"/>
          <w:sz w:val="21"/>
          <w:szCs w:val="21"/>
        </w:rPr>
      </w:pPr>
      <w:r>
        <w:rPr>
          <w:rFonts w:ascii="宋体" w:hAnsi="宋体" w:eastAsia="宋体" w:cs="宋体"/>
          <w:spacing w:val="-1"/>
          <w:sz w:val="21"/>
          <w:szCs w:val="21"/>
        </w:rPr>
        <w:t xml:space="preserve">包括进度管理计划、质量管理计划、安全管理计划、环境管理计划、成本管理计  </w:t>
      </w:r>
      <w:r>
        <w:rPr>
          <w:rFonts w:ascii="宋体" w:hAnsi="宋体" w:eastAsia="宋体" w:cs="宋体"/>
          <w:spacing w:val="-5"/>
          <w:sz w:val="21"/>
          <w:szCs w:val="21"/>
        </w:rPr>
        <w:t>划和其他管理计划，</w:t>
      </w:r>
      <w:r>
        <w:rPr>
          <w:rFonts w:ascii="宋体" w:hAnsi="宋体" w:eastAsia="宋体" w:cs="宋体"/>
          <w:spacing w:val="52"/>
          <w:sz w:val="21"/>
          <w:szCs w:val="21"/>
        </w:rPr>
        <w:t xml:space="preserve"> </w:t>
      </w:r>
      <w:r>
        <w:rPr>
          <w:rFonts w:ascii="宋体" w:hAnsi="宋体" w:eastAsia="宋体" w:cs="宋体"/>
          <w:spacing w:val="-5"/>
          <w:sz w:val="21"/>
          <w:szCs w:val="21"/>
        </w:rPr>
        <w:t>其中其他管理计划宜包括治</w:t>
      </w:r>
      <w:r>
        <w:rPr>
          <w:rFonts w:ascii="宋体" w:hAnsi="宋体" w:eastAsia="宋体" w:cs="宋体"/>
          <w:spacing w:val="-6"/>
          <w:sz w:val="21"/>
          <w:szCs w:val="21"/>
        </w:rPr>
        <w:t>安保卫管理计划、合同管理计划，</w:t>
      </w:r>
      <w:r>
        <w:rPr>
          <w:rFonts w:ascii="宋体" w:hAnsi="宋体" w:eastAsia="宋体" w:cs="宋体"/>
          <w:sz w:val="21"/>
          <w:szCs w:val="21"/>
        </w:rPr>
        <w:t xml:space="preserve"> 组织协调管理计划、创优质工程管理计划、成品保护管理计划、质量保修管理计</w:t>
      </w:r>
    </w:p>
    <w:p w14:paraId="32740545">
      <w:pPr>
        <w:spacing w:before="1" w:line="219" w:lineRule="auto"/>
        <w:ind w:left="963"/>
        <w:rPr>
          <w:rFonts w:ascii="宋体" w:hAnsi="宋体" w:eastAsia="宋体" w:cs="宋体"/>
          <w:sz w:val="21"/>
          <w:szCs w:val="21"/>
        </w:rPr>
      </w:pPr>
      <w:r>
        <w:rPr>
          <w:rFonts w:ascii="宋体" w:hAnsi="宋体" w:eastAsia="宋体" w:cs="宋体"/>
          <w:spacing w:val="-1"/>
          <w:sz w:val="21"/>
          <w:szCs w:val="21"/>
        </w:rPr>
        <w:t>划、对施工现场人力资源、施工机具、材料设备等管理计</w:t>
      </w:r>
      <w:r>
        <w:rPr>
          <w:rFonts w:ascii="宋体" w:hAnsi="宋体" w:eastAsia="宋体" w:cs="宋体"/>
          <w:spacing w:val="-2"/>
          <w:sz w:val="21"/>
          <w:szCs w:val="21"/>
        </w:rPr>
        <w:t>划。</w:t>
      </w:r>
    </w:p>
    <w:p w14:paraId="0B4296D6">
      <w:pPr>
        <w:spacing w:line="219" w:lineRule="auto"/>
        <w:rPr>
          <w:rFonts w:ascii="宋体" w:hAnsi="宋体" w:eastAsia="宋体" w:cs="宋体"/>
          <w:sz w:val="21"/>
          <w:szCs w:val="21"/>
        </w:rPr>
        <w:sectPr>
          <w:footerReference r:id="rId227" w:type="default"/>
          <w:pgSz w:w="11905" w:h="16839"/>
          <w:pgMar w:top="400" w:right="1597" w:bottom="1004" w:left="1785" w:header="0" w:footer="828" w:gutter="0"/>
          <w:pgNumType w:fmt="decimal"/>
          <w:cols w:space="720" w:num="1"/>
        </w:sectPr>
      </w:pPr>
    </w:p>
    <w:p w14:paraId="4D070054">
      <w:pPr>
        <w:pStyle w:val="3"/>
        <w:spacing w:line="281" w:lineRule="auto"/>
      </w:pPr>
    </w:p>
    <w:p w14:paraId="08F8FD16">
      <w:pPr>
        <w:pStyle w:val="3"/>
        <w:spacing w:line="281" w:lineRule="auto"/>
      </w:pPr>
    </w:p>
    <w:p w14:paraId="6F64F4BA">
      <w:pPr>
        <w:pStyle w:val="3"/>
        <w:spacing w:line="281" w:lineRule="auto"/>
      </w:pPr>
    </w:p>
    <w:p w14:paraId="1B42065C">
      <w:pPr>
        <w:pStyle w:val="3"/>
        <w:spacing w:line="281" w:lineRule="auto"/>
      </w:pPr>
    </w:p>
    <w:p w14:paraId="1CED94F4">
      <w:pPr>
        <w:spacing w:before="68" w:line="418" w:lineRule="exact"/>
        <w:ind w:right="8"/>
        <w:jc w:val="right"/>
        <w:rPr>
          <w:rFonts w:ascii="宋体" w:hAnsi="宋体" w:eastAsia="宋体" w:cs="宋体"/>
          <w:sz w:val="21"/>
          <w:szCs w:val="21"/>
        </w:rPr>
      </w:pPr>
      <w:r>
        <w:rPr>
          <w:rFonts w:ascii="宋体" w:hAnsi="宋体" w:eastAsia="宋体" w:cs="宋体"/>
          <w:position w:val="15"/>
          <w:sz w:val="21"/>
          <w:szCs w:val="21"/>
        </w:rPr>
        <w:t>2．施工组织设计除采用文字表述外可附下列图表，图表及格式要求附后。下述表格应</w:t>
      </w:r>
    </w:p>
    <w:p w14:paraId="377504A7">
      <w:pPr>
        <w:spacing w:line="219" w:lineRule="auto"/>
        <w:ind w:left="20"/>
        <w:rPr>
          <w:rFonts w:ascii="宋体" w:hAnsi="宋体" w:eastAsia="宋体" w:cs="宋体"/>
          <w:sz w:val="21"/>
          <w:szCs w:val="21"/>
        </w:rPr>
      </w:pPr>
      <w:r>
        <w:rPr>
          <w:rFonts w:ascii="宋体" w:hAnsi="宋体" w:eastAsia="宋体" w:cs="宋体"/>
          <w:spacing w:val="-1"/>
          <w:sz w:val="21"/>
          <w:szCs w:val="21"/>
        </w:rPr>
        <w:t>按照章节内容，严格按给定的格式附在相应的章节中。</w:t>
      </w:r>
    </w:p>
    <w:p w14:paraId="1154B655">
      <w:pPr>
        <w:spacing w:line="172" w:lineRule="exact"/>
      </w:pPr>
    </w:p>
    <w:tbl>
      <w:tblPr>
        <w:tblStyle w:val="10"/>
        <w:tblW w:w="4391" w:type="dxa"/>
        <w:tblInd w:w="457"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718"/>
        <w:gridCol w:w="3673"/>
      </w:tblGrid>
      <w:tr w14:paraId="21FED00E">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14" w:hRule="atLeast"/>
        </w:trPr>
        <w:tc>
          <w:tcPr>
            <w:tcW w:w="718" w:type="dxa"/>
            <w:vAlign w:val="top"/>
          </w:tcPr>
          <w:p w14:paraId="0D27CAD4">
            <w:pPr>
              <w:pStyle w:val="11"/>
              <w:spacing w:line="219" w:lineRule="auto"/>
            </w:pPr>
            <w:r>
              <w:rPr>
                <w:spacing w:val="-4"/>
              </w:rPr>
              <w:t>附表一</w:t>
            </w:r>
          </w:p>
        </w:tc>
        <w:tc>
          <w:tcPr>
            <w:tcW w:w="3673" w:type="dxa"/>
            <w:vAlign w:val="top"/>
          </w:tcPr>
          <w:p w14:paraId="699F4FC0">
            <w:pPr>
              <w:pStyle w:val="11"/>
              <w:spacing w:line="219" w:lineRule="auto"/>
              <w:ind w:left="110"/>
            </w:pPr>
            <w:r>
              <w:rPr>
                <w:spacing w:val="-1"/>
              </w:rPr>
              <w:t>拟投入本工程的主要施工设备表</w:t>
            </w:r>
          </w:p>
        </w:tc>
      </w:tr>
      <w:tr w14:paraId="1F47665A">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20" w:hRule="atLeast"/>
        </w:trPr>
        <w:tc>
          <w:tcPr>
            <w:tcW w:w="718" w:type="dxa"/>
            <w:vAlign w:val="top"/>
          </w:tcPr>
          <w:p w14:paraId="68674F64">
            <w:pPr>
              <w:pStyle w:val="11"/>
              <w:spacing w:before="103" w:line="220" w:lineRule="auto"/>
            </w:pPr>
            <w:r>
              <w:rPr>
                <w:spacing w:val="-5"/>
              </w:rPr>
              <w:t>附表二</w:t>
            </w:r>
          </w:p>
        </w:tc>
        <w:tc>
          <w:tcPr>
            <w:tcW w:w="3673" w:type="dxa"/>
            <w:vAlign w:val="top"/>
          </w:tcPr>
          <w:p w14:paraId="60AA9A51">
            <w:pPr>
              <w:pStyle w:val="11"/>
              <w:spacing w:before="103" w:line="220" w:lineRule="auto"/>
              <w:jc w:val="right"/>
            </w:pPr>
            <w:r>
              <w:rPr>
                <w:spacing w:val="-1"/>
              </w:rPr>
              <w:t>拟配备本工程的试验和检测仪器设备表</w:t>
            </w:r>
          </w:p>
        </w:tc>
      </w:tr>
      <w:tr w14:paraId="06551E1F">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20" w:hRule="atLeast"/>
        </w:trPr>
        <w:tc>
          <w:tcPr>
            <w:tcW w:w="718" w:type="dxa"/>
            <w:vAlign w:val="top"/>
          </w:tcPr>
          <w:p w14:paraId="18020816">
            <w:pPr>
              <w:pStyle w:val="11"/>
              <w:spacing w:before="105" w:line="220" w:lineRule="auto"/>
            </w:pPr>
            <w:r>
              <w:rPr>
                <w:spacing w:val="-5"/>
              </w:rPr>
              <w:t>附表三</w:t>
            </w:r>
          </w:p>
        </w:tc>
        <w:tc>
          <w:tcPr>
            <w:tcW w:w="3673" w:type="dxa"/>
            <w:vAlign w:val="top"/>
          </w:tcPr>
          <w:p w14:paraId="7B73ED22">
            <w:pPr>
              <w:pStyle w:val="11"/>
              <w:spacing w:before="105" w:line="221" w:lineRule="auto"/>
              <w:ind w:left="115"/>
            </w:pPr>
            <w:r>
              <w:rPr>
                <w:spacing w:val="-3"/>
              </w:rPr>
              <w:t>劳动力计划表</w:t>
            </w:r>
          </w:p>
        </w:tc>
      </w:tr>
      <w:tr w14:paraId="5ED9A04C">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20" w:hRule="atLeast"/>
        </w:trPr>
        <w:tc>
          <w:tcPr>
            <w:tcW w:w="718" w:type="dxa"/>
            <w:vAlign w:val="top"/>
          </w:tcPr>
          <w:p w14:paraId="6F8D9C1C">
            <w:pPr>
              <w:pStyle w:val="11"/>
              <w:spacing w:before="103" w:line="220" w:lineRule="auto"/>
            </w:pPr>
            <w:r>
              <w:rPr>
                <w:spacing w:val="-5"/>
              </w:rPr>
              <w:t>附表四</w:t>
            </w:r>
          </w:p>
        </w:tc>
        <w:tc>
          <w:tcPr>
            <w:tcW w:w="3673" w:type="dxa"/>
            <w:vAlign w:val="top"/>
          </w:tcPr>
          <w:p w14:paraId="7A9E9A34">
            <w:pPr>
              <w:pStyle w:val="11"/>
              <w:spacing w:before="103" w:line="221" w:lineRule="auto"/>
              <w:ind w:left="110"/>
            </w:pPr>
            <w:r>
              <w:rPr>
                <w:spacing w:val="-1"/>
              </w:rPr>
              <w:t>计划开、竣工日期和施工进度网络图</w:t>
            </w:r>
          </w:p>
        </w:tc>
      </w:tr>
      <w:tr w14:paraId="4059C314">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20" w:hRule="atLeast"/>
        </w:trPr>
        <w:tc>
          <w:tcPr>
            <w:tcW w:w="718" w:type="dxa"/>
            <w:vAlign w:val="top"/>
          </w:tcPr>
          <w:p w14:paraId="2209F974">
            <w:pPr>
              <w:pStyle w:val="11"/>
              <w:spacing w:before="105" w:line="220" w:lineRule="auto"/>
            </w:pPr>
            <w:r>
              <w:rPr>
                <w:spacing w:val="-5"/>
              </w:rPr>
              <w:t>附表五</w:t>
            </w:r>
          </w:p>
        </w:tc>
        <w:tc>
          <w:tcPr>
            <w:tcW w:w="3673" w:type="dxa"/>
            <w:vAlign w:val="top"/>
          </w:tcPr>
          <w:p w14:paraId="0822C51F">
            <w:pPr>
              <w:pStyle w:val="11"/>
              <w:spacing w:before="106" w:line="222" w:lineRule="auto"/>
              <w:ind w:left="109"/>
            </w:pPr>
            <w:r>
              <w:rPr>
                <w:spacing w:val="-2"/>
              </w:rPr>
              <w:t>施工总平面图</w:t>
            </w:r>
          </w:p>
        </w:tc>
      </w:tr>
      <w:tr w14:paraId="12960408">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15" w:hRule="atLeast"/>
        </w:trPr>
        <w:tc>
          <w:tcPr>
            <w:tcW w:w="718" w:type="dxa"/>
            <w:vAlign w:val="top"/>
          </w:tcPr>
          <w:p w14:paraId="38997AFF">
            <w:pPr>
              <w:pStyle w:val="11"/>
              <w:spacing w:before="103" w:line="177" w:lineRule="auto"/>
            </w:pPr>
            <w:r>
              <w:rPr>
                <w:spacing w:val="-5"/>
              </w:rPr>
              <w:t>附表六</w:t>
            </w:r>
          </w:p>
        </w:tc>
        <w:tc>
          <w:tcPr>
            <w:tcW w:w="3673" w:type="dxa"/>
            <w:vAlign w:val="top"/>
          </w:tcPr>
          <w:p w14:paraId="422B9176">
            <w:pPr>
              <w:pStyle w:val="11"/>
              <w:spacing w:before="103" w:line="177" w:lineRule="auto"/>
              <w:ind w:left="122"/>
            </w:pPr>
            <w:r>
              <w:rPr>
                <w:spacing w:val="-4"/>
              </w:rPr>
              <w:t>临时用地表</w:t>
            </w:r>
          </w:p>
        </w:tc>
      </w:tr>
    </w:tbl>
    <w:p w14:paraId="054B211B">
      <w:pPr>
        <w:pStyle w:val="3"/>
      </w:pPr>
    </w:p>
    <w:p w14:paraId="081BCF1E">
      <w:pPr>
        <w:sectPr>
          <w:footerReference r:id="rId228" w:type="default"/>
          <w:pgSz w:w="11905" w:h="16839"/>
          <w:pgMar w:top="400" w:right="1785" w:bottom="1004" w:left="1785" w:header="0" w:footer="828" w:gutter="0"/>
          <w:pgNumType w:fmt="decimal"/>
          <w:cols w:space="720" w:num="1"/>
        </w:sectPr>
      </w:pPr>
    </w:p>
    <w:p w14:paraId="7D86F076">
      <w:pPr>
        <w:pStyle w:val="3"/>
        <w:spacing w:line="267" w:lineRule="auto"/>
      </w:pPr>
    </w:p>
    <w:p w14:paraId="2208715F">
      <w:pPr>
        <w:pStyle w:val="3"/>
        <w:spacing w:line="267" w:lineRule="auto"/>
      </w:pPr>
    </w:p>
    <w:p w14:paraId="55331A1D">
      <w:pPr>
        <w:pStyle w:val="3"/>
        <w:spacing w:line="268" w:lineRule="auto"/>
      </w:pPr>
    </w:p>
    <w:p w14:paraId="66F7FDA5">
      <w:pPr>
        <w:pStyle w:val="3"/>
        <w:spacing w:line="268" w:lineRule="auto"/>
      </w:pPr>
    </w:p>
    <w:p w14:paraId="1BD96589">
      <w:pPr>
        <w:spacing w:before="78" w:line="218" w:lineRule="auto"/>
        <w:ind w:left="32"/>
        <w:rPr>
          <w:rFonts w:ascii="黑体" w:hAnsi="黑体" w:eastAsia="黑体" w:cs="黑体"/>
          <w:sz w:val="24"/>
          <w:szCs w:val="24"/>
        </w:rPr>
      </w:pPr>
      <w:r>
        <w:rPr>
          <w:rFonts w:ascii="黑体" w:hAnsi="黑体" w:eastAsia="黑体" w:cs="黑体"/>
          <w:spacing w:val="-2"/>
          <w:sz w:val="24"/>
          <w:szCs w:val="24"/>
        </w:rPr>
        <w:t>附表一：拟投入本工程的主要施工设备表</w:t>
      </w:r>
    </w:p>
    <w:tbl>
      <w:tblPr>
        <w:tblStyle w:val="10"/>
        <w:tblW w:w="8311"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38"/>
        <w:gridCol w:w="1032"/>
        <w:gridCol w:w="657"/>
        <w:gridCol w:w="989"/>
        <w:gridCol w:w="696"/>
        <w:gridCol w:w="691"/>
        <w:gridCol w:w="1161"/>
        <w:gridCol w:w="845"/>
        <w:gridCol w:w="849"/>
        <w:gridCol w:w="753"/>
      </w:tblGrid>
      <w:tr w14:paraId="540FD8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638" w:type="dxa"/>
            <w:textDirection w:val="tbRlV"/>
            <w:vAlign w:val="top"/>
          </w:tcPr>
          <w:p w14:paraId="7A8C8A61">
            <w:pPr>
              <w:pStyle w:val="11"/>
              <w:spacing w:before="210" w:line="211" w:lineRule="auto"/>
              <w:ind w:left="72"/>
            </w:pPr>
            <w:r>
              <w:rPr>
                <w:spacing w:val="1"/>
              </w:rPr>
              <w:t>序</w:t>
            </w:r>
            <w:r>
              <w:rPr>
                <w:spacing w:val="-43"/>
              </w:rPr>
              <w:t xml:space="preserve"> </w:t>
            </w:r>
            <w:r>
              <w:rPr>
                <w:spacing w:val="1"/>
              </w:rPr>
              <w:t>号</w:t>
            </w:r>
          </w:p>
        </w:tc>
        <w:tc>
          <w:tcPr>
            <w:tcW w:w="1032" w:type="dxa"/>
            <w:vAlign w:val="top"/>
          </w:tcPr>
          <w:p w14:paraId="7453FBDD">
            <w:pPr>
              <w:pStyle w:val="11"/>
              <w:spacing w:before="71" w:line="232" w:lineRule="auto"/>
              <w:ind w:left="415" w:right="195" w:hanging="206"/>
            </w:pPr>
            <w:r>
              <w:rPr>
                <w:spacing w:val="-3"/>
              </w:rPr>
              <w:t>设备名</w:t>
            </w:r>
            <w:r>
              <w:t xml:space="preserve"> 称</w:t>
            </w:r>
          </w:p>
        </w:tc>
        <w:tc>
          <w:tcPr>
            <w:tcW w:w="657" w:type="dxa"/>
            <w:vAlign w:val="top"/>
          </w:tcPr>
          <w:p w14:paraId="280A61D7">
            <w:pPr>
              <w:pStyle w:val="11"/>
              <w:spacing w:before="71" w:line="231" w:lineRule="auto"/>
              <w:ind w:left="125" w:right="113" w:firstLine="5"/>
            </w:pPr>
            <w:r>
              <w:rPr>
                <w:spacing w:val="-7"/>
              </w:rPr>
              <w:t>型号</w:t>
            </w:r>
            <w:r>
              <w:t xml:space="preserve"> </w:t>
            </w:r>
            <w:r>
              <w:rPr>
                <w:spacing w:val="-4"/>
              </w:rPr>
              <w:t>规格</w:t>
            </w:r>
          </w:p>
        </w:tc>
        <w:tc>
          <w:tcPr>
            <w:tcW w:w="989" w:type="dxa"/>
            <w:vAlign w:val="top"/>
          </w:tcPr>
          <w:p w14:paraId="5B844245">
            <w:pPr>
              <w:pStyle w:val="11"/>
              <w:spacing w:before="211" w:line="221" w:lineRule="auto"/>
              <w:ind w:left="189"/>
            </w:pPr>
            <w:r>
              <w:rPr>
                <w:spacing w:val="-5"/>
              </w:rPr>
              <w:t>数</w:t>
            </w:r>
            <w:r>
              <w:rPr>
                <w:spacing w:val="4"/>
              </w:rPr>
              <w:t xml:space="preserve">  </w:t>
            </w:r>
            <w:r>
              <w:rPr>
                <w:spacing w:val="-5"/>
              </w:rPr>
              <w:t>量</w:t>
            </w:r>
          </w:p>
        </w:tc>
        <w:tc>
          <w:tcPr>
            <w:tcW w:w="696" w:type="dxa"/>
            <w:vAlign w:val="top"/>
          </w:tcPr>
          <w:p w14:paraId="7B19F0BE">
            <w:pPr>
              <w:pStyle w:val="11"/>
              <w:spacing w:before="71" w:line="231" w:lineRule="auto"/>
              <w:ind w:left="144" w:right="132" w:firstLine="20"/>
            </w:pPr>
            <w:r>
              <w:rPr>
                <w:spacing w:val="-14"/>
              </w:rPr>
              <w:t>国别</w:t>
            </w:r>
            <w:r>
              <w:t xml:space="preserve"> </w:t>
            </w:r>
            <w:r>
              <w:rPr>
                <w:spacing w:val="-3"/>
              </w:rPr>
              <w:t>产地</w:t>
            </w:r>
          </w:p>
        </w:tc>
        <w:tc>
          <w:tcPr>
            <w:tcW w:w="691" w:type="dxa"/>
            <w:vAlign w:val="top"/>
          </w:tcPr>
          <w:p w14:paraId="65E8D69D">
            <w:pPr>
              <w:pStyle w:val="11"/>
              <w:spacing w:before="71" w:line="231" w:lineRule="auto"/>
              <w:ind w:left="146" w:right="126"/>
            </w:pPr>
            <w:r>
              <w:rPr>
                <w:spacing w:val="-4"/>
              </w:rPr>
              <w:t>制造</w:t>
            </w:r>
            <w:r>
              <w:t xml:space="preserve"> </w:t>
            </w:r>
            <w:r>
              <w:rPr>
                <w:spacing w:val="-4"/>
              </w:rPr>
              <w:t>年份</w:t>
            </w:r>
          </w:p>
        </w:tc>
        <w:tc>
          <w:tcPr>
            <w:tcW w:w="1161" w:type="dxa"/>
            <w:vAlign w:val="top"/>
          </w:tcPr>
          <w:p w14:paraId="4E056926">
            <w:pPr>
              <w:pStyle w:val="11"/>
              <w:spacing w:before="72" w:line="237" w:lineRule="auto"/>
              <w:ind w:left="276" w:right="154" w:hanging="112"/>
            </w:pPr>
            <w:r>
              <w:rPr>
                <w:spacing w:val="-1"/>
              </w:rPr>
              <w:t>额定功率</w:t>
            </w:r>
            <w:r>
              <w:t xml:space="preserve"> </w:t>
            </w:r>
            <w:r>
              <w:rPr>
                <w:spacing w:val="-4"/>
              </w:rPr>
              <w:t>（KW）</w:t>
            </w:r>
          </w:p>
        </w:tc>
        <w:tc>
          <w:tcPr>
            <w:tcW w:w="845" w:type="dxa"/>
            <w:vAlign w:val="top"/>
          </w:tcPr>
          <w:p w14:paraId="0C164CCF">
            <w:pPr>
              <w:pStyle w:val="11"/>
              <w:spacing w:before="72" w:line="241" w:lineRule="auto"/>
              <w:ind w:left="224"/>
            </w:pPr>
            <w:r>
              <w:rPr>
                <w:spacing w:val="-2"/>
              </w:rPr>
              <w:t>生产</w:t>
            </w:r>
          </w:p>
          <w:p w14:paraId="1660C32D">
            <w:pPr>
              <w:pStyle w:val="11"/>
              <w:spacing w:line="220" w:lineRule="auto"/>
              <w:ind w:left="231"/>
            </w:pPr>
            <w:r>
              <w:rPr>
                <w:spacing w:val="-4"/>
              </w:rPr>
              <w:t>能力</w:t>
            </w:r>
          </w:p>
        </w:tc>
        <w:tc>
          <w:tcPr>
            <w:tcW w:w="849" w:type="dxa"/>
            <w:vAlign w:val="top"/>
          </w:tcPr>
          <w:p w14:paraId="1E2F8C9C">
            <w:pPr>
              <w:pStyle w:val="11"/>
              <w:spacing w:before="71" w:line="231" w:lineRule="auto"/>
              <w:ind w:left="119" w:right="100"/>
            </w:pPr>
            <w:r>
              <w:rPr>
                <w:spacing w:val="-3"/>
              </w:rPr>
              <w:t>用于施</w:t>
            </w:r>
            <w:r>
              <w:rPr>
                <w:spacing w:val="1"/>
              </w:rPr>
              <w:t xml:space="preserve"> </w:t>
            </w:r>
            <w:r>
              <w:rPr>
                <w:spacing w:val="-3"/>
              </w:rPr>
              <w:t>工部位</w:t>
            </w:r>
          </w:p>
        </w:tc>
        <w:tc>
          <w:tcPr>
            <w:tcW w:w="753" w:type="dxa"/>
            <w:vAlign w:val="top"/>
          </w:tcPr>
          <w:p w14:paraId="28967CF7">
            <w:pPr>
              <w:pStyle w:val="11"/>
              <w:spacing w:before="211" w:line="222" w:lineRule="auto"/>
              <w:ind w:left="179"/>
            </w:pPr>
            <w:r>
              <w:rPr>
                <w:spacing w:val="-3"/>
              </w:rPr>
              <w:t>备注</w:t>
            </w:r>
          </w:p>
        </w:tc>
      </w:tr>
      <w:tr w14:paraId="1E5DD1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2" w:hRule="atLeast"/>
        </w:trPr>
        <w:tc>
          <w:tcPr>
            <w:tcW w:w="638" w:type="dxa"/>
            <w:vAlign w:val="top"/>
          </w:tcPr>
          <w:p w14:paraId="2475E0DA">
            <w:pPr>
              <w:rPr>
                <w:rFonts w:ascii="Arial"/>
                <w:sz w:val="21"/>
              </w:rPr>
            </w:pPr>
          </w:p>
        </w:tc>
        <w:tc>
          <w:tcPr>
            <w:tcW w:w="1032" w:type="dxa"/>
            <w:vAlign w:val="top"/>
          </w:tcPr>
          <w:p w14:paraId="4A81C533">
            <w:pPr>
              <w:rPr>
                <w:rFonts w:ascii="Arial"/>
                <w:sz w:val="21"/>
              </w:rPr>
            </w:pPr>
          </w:p>
        </w:tc>
        <w:tc>
          <w:tcPr>
            <w:tcW w:w="657" w:type="dxa"/>
            <w:vAlign w:val="top"/>
          </w:tcPr>
          <w:p w14:paraId="4CFEA11C">
            <w:pPr>
              <w:rPr>
                <w:rFonts w:ascii="Arial"/>
                <w:sz w:val="21"/>
              </w:rPr>
            </w:pPr>
          </w:p>
        </w:tc>
        <w:tc>
          <w:tcPr>
            <w:tcW w:w="989" w:type="dxa"/>
            <w:vAlign w:val="top"/>
          </w:tcPr>
          <w:p w14:paraId="43E87415">
            <w:pPr>
              <w:rPr>
                <w:rFonts w:ascii="Arial"/>
                <w:sz w:val="21"/>
              </w:rPr>
            </w:pPr>
          </w:p>
        </w:tc>
        <w:tc>
          <w:tcPr>
            <w:tcW w:w="696" w:type="dxa"/>
            <w:vAlign w:val="top"/>
          </w:tcPr>
          <w:p w14:paraId="5EE87A7E">
            <w:pPr>
              <w:rPr>
                <w:rFonts w:ascii="Arial"/>
                <w:sz w:val="21"/>
              </w:rPr>
            </w:pPr>
          </w:p>
        </w:tc>
        <w:tc>
          <w:tcPr>
            <w:tcW w:w="691" w:type="dxa"/>
            <w:vAlign w:val="top"/>
          </w:tcPr>
          <w:p w14:paraId="35A50A10">
            <w:pPr>
              <w:rPr>
                <w:rFonts w:ascii="Arial"/>
                <w:sz w:val="21"/>
              </w:rPr>
            </w:pPr>
          </w:p>
        </w:tc>
        <w:tc>
          <w:tcPr>
            <w:tcW w:w="1161" w:type="dxa"/>
            <w:vAlign w:val="top"/>
          </w:tcPr>
          <w:p w14:paraId="48200CDF">
            <w:pPr>
              <w:rPr>
                <w:rFonts w:ascii="Arial"/>
                <w:sz w:val="21"/>
              </w:rPr>
            </w:pPr>
          </w:p>
        </w:tc>
        <w:tc>
          <w:tcPr>
            <w:tcW w:w="845" w:type="dxa"/>
            <w:vAlign w:val="top"/>
          </w:tcPr>
          <w:p w14:paraId="0E606A28">
            <w:pPr>
              <w:rPr>
                <w:rFonts w:ascii="Arial"/>
                <w:sz w:val="21"/>
              </w:rPr>
            </w:pPr>
          </w:p>
        </w:tc>
        <w:tc>
          <w:tcPr>
            <w:tcW w:w="849" w:type="dxa"/>
            <w:vAlign w:val="top"/>
          </w:tcPr>
          <w:p w14:paraId="686B3DE6">
            <w:pPr>
              <w:rPr>
                <w:rFonts w:ascii="Arial"/>
                <w:sz w:val="21"/>
              </w:rPr>
            </w:pPr>
          </w:p>
        </w:tc>
        <w:tc>
          <w:tcPr>
            <w:tcW w:w="753" w:type="dxa"/>
            <w:vAlign w:val="top"/>
          </w:tcPr>
          <w:p w14:paraId="5E361631">
            <w:pPr>
              <w:rPr>
                <w:rFonts w:ascii="Arial"/>
                <w:sz w:val="21"/>
              </w:rPr>
            </w:pPr>
          </w:p>
        </w:tc>
      </w:tr>
      <w:tr w14:paraId="7A5269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7" w:hRule="atLeast"/>
        </w:trPr>
        <w:tc>
          <w:tcPr>
            <w:tcW w:w="638" w:type="dxa"/>
            <w:vAlign w:val="top"/>
          </w:tcPr>
          <w:p w14:paraId="028B4596">
            <w:pPr>
              <w:rPr>
                <w:rFonts w:ascii="Arial"/>
                <w:sz w:val="21"/>
              </w:rPr>
            </w:pPr>
          </w:p>
        </w:tc>
        <w:tc>
          <w:tcPr>
            <w:tcW w:w="1032" w:type="dxa"/>
            <w:vAlign w:val="top"/>
          </w:tcPr>
          <w:p w14:paraId="310B641B">
            <w:pPr>
              <w:rPr>
                <w:rFonts w:ascii="Arial"/>
                <w:sz w:val="21"/>
              </w:rPr>
            </w:pPr>
          </w:p>
        </w:tc>
        <w:tc>
          <w:tcPr>
            <w:tcW w:w="657" w:type="dxa"/>
            <w:vAlign w:val="top"/>
          </w:tcPr>
          <w:p w14:paraId="0619EE53">
            <w:pPr>
              <w:rPr>
                <w:rFonts w:ascii="Arial"/>
                <w:sz w:val="21"/>
              </w:rPr>
            </w:pPr>
          </w:p>
        </w:tc>
        <w:tc>
          <w:tcPr>
            <w:tcW w:w="989" w:type="dxa"/>
            <w:vAlign w:val="top"/>
          </w:tcPr>
          <w:p w14:paraId="4E086A6A">
            <w:pPr>
              <w:rPr>
                <w:rFonts w:ascii="Arial"/>
                <w:sz w:val="21"/>
              </w:rPr>
            </w:pPr>
          </w:p>
        </w:tc>
        <w:tc>
          <w:tcPr>
            <w:tcW w:w="696" w:type="dxa"/>
            <w:vAlign w:val="top"/>
          </w:tcPr>
          <w:p w14:paraId="4D843174">
            <w:pPr>
              <w:rPr>
                <w:rFonts w:ascii="Arial"/>
                <w:sz w:val="21"/>
              </w:rPr>
            </w:pPr>
          </w:p>
        </w:tc>
        <w:tc>
          <w:tcPr>
            <w:tcW w:w="691" w:type="dxa"/>
            <w:vAlign w:val="top"/>
          </w:tcPr>
          <w:p w14:paraId="3FD51DD7">
            <w:pPr>
              <w:rPr>
                <w:rFonts w:ascii="Arial"/>
                <w:sz w:val="21"/>
              </w:rPr>
            </w:pPr>
          </w:p>
        </w:tc>
        <w:tc>
          <w:tcPr>
            <w:tcW w:w="1161" w:type="dxa"/>
            <w:vAlign w:val="top"/>
          </w:tcPr>
          <w:p w14:paraId="6915A36D">
            <w:pPr>
              <w:rPr>
                <w:rFonts w:ascii="Arial"/>
                <w:sz w:val="21"/>
              </w:rPr>
            </w:pPr>
          </w:p>
        </w:tc>
        <w:tc>
          <w:tcPr>
            <w:tcW w:w="845" w:type="dxa"/>
            <w:vAlign w:val="top"/>
          </w:tcPr>
          <w:p w14:paraId="12C12C45">
            <w:pPr>
              <w:rPr>
                <w:rFonts w:ascii="Arial"/>
                <w:sz w:val="21"/>
              </w:rPr>
            </w:pPr>
          </w:p>
        </w:tc>
        <w:tc>
          <w:tcPr>
            <w:tcW w:w="849" w:type="dxa"/>
            <w:vAlign w:val="top"/>
          </w:tcPr>
          <w:p w14:paraId="4B35BD9F">
            <w:pPr>
              <w:rPr>
                <w:rFonts w:ascii="Arial"/>
                <w:sz w:val="21"/>
              </w:rPr>
            </w:pPr>
          </w:p>
        </w:tc>
        <w:tc>
          <w:tcPr>
            <w:tcW w:w="753" w:type="dxa"/>
            <w:vAlign w:val="top"/>
          </w:tcPr>
          <w:p w14:paraId="2C5E52D9">
            <w:pPr>
              <w:rPr>
                <w:rFonts w:ascii="Arial"/>
                <w:sz w:val="21"/>
              </w:rPr>
            </w:pPr>
          </w:p>
        </w:tc>
      </w:tr>
      <w:tr w14:paraId="0D6072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1" w:hRule="atLeast"/>
        </w:trPr>
        <w:tc>
          <w:tcPr>
            <w:tcW w:w="638" w:type="dxa"/>
            <w:vAlign w:val="top"/>
          </w:tcPr>
          <w:p w14:paraId="3F4214E5">
            <w:pPr>
              <w:rPr>
                <w:rFonts w:ascii="Arial"/>
                <w:sz w:val="21"/>
              </w:rPr>
            </w:pPr>
          </w:p>
        </w:tc>
        <w:tc>
          <w:tcPr>
            <w:tcW w:w="1032" w:type="dxa"/>
            <w:vAlign w:val="top"/>
          </w:tcPr>
          <w:p w14:paraId="7464F88D">
            <w:pPr>
              <w:rPr>
                <w:rFonts w:ascii="Arial"/>
                <w:sz w:val="21"/>
              </w:rPr>
            </w:pPr>
          </w:p>
        </w:tc>
        <w:tc>
          <w:tcPr>
            <w:tcW w:w="657" w:type="dxa"/>
            <w:vAlign w:val="top"/>
          </w:tcPr>
          <w:p w14:paraId="06A565F0">
            <w:pPr>
              <w:rPr>
                <w:rFonts w:ascii="Arial"/>
                <w:sz w:val="21"/>
              </w:rPr>
            </w:pPr>
          </w:p>
        </w:tc>
        <w:tc>
          <w:tcPr>
            <w:tcW w:w="989" w:type="dxa"/>
            <w:vAlign w:val="top"/>
          </w:tcPr>
          <w:p w14:paraId="05B4ABCD">
            <w:pPr>
              <w:rPr>
                <w:rFonts w:ascii="Arial"/>
                <w:sz w:val="21"/>
              </w:rPr>
            </w:pPr>
          </w:p>
        </w:tc>
        <w:tc>
          <w:tcPr>
            <w:tcW w:w="696" w:type="dxa"/>
            <w:vAlign w:val="top"/>
          </w:tcPr>
          <w:p w14:paraId="6C4F83B4">
            <w:pPr>
              <w:rPr>
                <w:rFonts w:ascii="Arial"/>
                <w:sz w:val="21"/>
              </w:rPr>
            </w:pPr>
          </w:p>
        </w:tc>
        <w:tc>
          <w:tcPr>
            <w:tcW w:w="691" w:type="dxa"/>
            <w:vAlign w:val="top"/>
          </w:tcPr>
          <w:p w14:paraId="39736880">
            <w:pPr>
              <w:rPr>
                <w:rFonts w:ascii="Arial"/>
                <w:sz w:val="21"/>
              </w:rPr>
            </w:pPr>
          </w:p>
        </w:tc>
        <w:tc>
          <w:tcPr>
            <w:tcW w:w="1161" w:type="dxa"/>
            <w:vAlign w:val="top"/>
          </w:tcPr>
          <w:p w14:paraId="6275007E">
            <w:pPr>
              <w:rPr>
                <w:rFonts w:ascii="Arial"/>
                <w:sz w:val="21"/>
              </w:rPr>
            </w:pPr>
          </w:p>
        </w:tc>
        <w:tc>
          <w:tcPr>
            <w:tcW w:w="845" w:type="dxa"/>
            <w:vAlign w:val="top"/>
          </w:tcPr>
          <w:p w14:paraId="6A6093DA">
            <w:pPr>
              <w:rPr>
                <w:rFonts w:ascii="Arial"/>
                <w:sz w:val="21"/>
              </w:rPr>
            </w:pPr>
          </w:p>
        </w:tc>
        <w:tc>
          <w:tcPr>
            <w:tcW w:w="849" w:type="dxa"/>
            <w:vAlign w:val="top"/>
          </w:tcPr>
          <w:p w14:paraId="02D890C2">
            <w:pPr>
              <w:rPr>
                <w:rFonts w:ascii="Arial"/>
                <w:sz w:val="21"/>
              </w:rPr>
            </w:pPr>
          </w:p>
        </w:tc>
        <w:tc>
          <w:tcPr>
            <w:tcW w:w="753" w:type="dxa"/>
            <w:vAlign w:val="top"/>
          </w:tcPr>
          <w:p w14:paraId="56D36253">
            <w:pPr>
              <w:rPr>
                <w:rFonts w:ascii="Arial"/>
                <w:sz w:val="21"/>
              </w:rPr>
            </w:pPr>
          </w:p>
        </w:tc>
      </w:tr>
      <w:tr w14:paraId="100139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2" w:hRule="atLeast"/>
        </w:trPr>
        <w:tc>
          <w:tcPr>
            <w:tcW w:w="638" w:type="dxa"/>
            <w:vAlign w:val="top"/>
          </w:tcPr>
          <w:p w14:paraId="300721D8">
            <w:pPr>
              <w:rPr>
                <w:rFonts w:ascii="Arial"/>
                <w:sz w:val="21"/>
              </w:rPr>
            </w:pPr>
          </w:p>
        </w:tc>
        <w:tc>
          <w:tcPr>
            <w:tcW w:w="1032" w:type="dxa"/>
            <w:vAlign w:val="top"/>
          </w:tcPr>
          <w:p w14:paraId="508E4BD2">
            <w:pPr>
              <w:rPr>
                <w:rFonts w:ascii="Arial"/>
                <w:sz w:val="21"/>
              </w:rPr>
            </w:pPr>
          </w:p>
        </w:tc>
        <w:tc>
          <w:tcPr>
            <w:tcW w:w="657" w:type="dxa"/>
            <w:vAlign w:val="top"/>
          </w:tcPr>
          <w:p w14:paraId="78494C54">
            <w:pPr>
              <w:rPr>
                <w:rFonts w:ascii="Arial"/>
                <w:sz w:val="21"/>
              </w:rPr>
            </w:pPr>
          </w:p>
        </w:tc>
        <w:tc>
          <w:tcPr>
            <w:tcW w:w="989" w:type="dxa"/>
            <w:vAlign w:val="top"/>
          </w:tcPr>
          <w:p w14:paraId="2E458F14">
            <w:pPr>
              <w:rPr>
                <w:rFonts w:ascii="Arial"/>
                <w:sz w:val="21"/>
              </w:rPr>
            </w:pPr>
          </w:p>
        </w:tc>
        <w:tc>
          <w:tcPr>
            <w:tcW w:w="696" w:type="dxa"/>
            <w:vAlign w:val="top"/>
          </w:tcPr>
          <w:p w14:paraId="0E2178B7">
            <w:pPr>
              <w:rPr>
                <w:rFonts w:ascii="Arial"/>
                <w:sz w:val="21"/>
              </w:rPr>
            </w:pPr>
          </w:p>
        </w:tc>
        <w:tc>
          <w:tcPr>
            <w:tcW w:w="691" w:type="dxa"/>
            <w:vAlign w:val="top"/>
          </w:tcPr>
          <w:p w14:paraId="77BCE967">
            <w:pPr>
              <w:rPr>
                <w:rFonts w:ascii="Arial"/>
                <w:sz w:val="21"/>
              </w:rPr>
            </w:pPr>
          </w:p>
        </w:tc>
        <w:tc>
          <w:tcPr>
            <w:tcW w:w="1161" w:type="dxa"/>
            <w:vAlign w:val="top"/>
          </w:tcPr>
          <w:p w14:paraId="3ED36501">
            <w:pPr>
              <w:rPr>
                <w:rFonts w:ascii="Arial"/>
                <w:sz w:val="21"/>
              </w:rPr>
            </w:pPr>
          </w:p>
        </w:tc>
        <w:tc>
          <w:tcPr>
            <w:tcW w:w="845" w:type="dxa"/>
            <w:vAlign w:val="top"/>
          </w:tcPr>
          <w:p w14:paraId="2C8A3E83">
            <w:pPr>
              <w:rPr>
                <w:rFonts w:ascii="Arial"/>
                <w:sz w:val="21"/>
              </w:rPr>
            </w:pPr>
          </w:p>
        </w:tc>
        <w:tc>
          <w:tcPr>
            <w:tcW w:w="849" w:type="dxa"/>
            <w:vAlign w:val="top"/>
          </w:tcPr>
          <w:p w14:paraId="17B7BBE2">
            <w:pPr>
              <w:rPr>
                <w:rFonts w:ascii="Arial"/>
                <w:sz w:val="21"/>
              </w:rPr>
            </w:pPr>
          </w:p>
        </w:tc>
        <w:tc>
          <w:tcPr>
            <w:tcW w:w="753" w:type="dxa"/>
            <w:vAlign w:val="top"/>
          </w:tcPr>
          <w:p w14:paraId="1019FB24">
            <w:pPr>
              <w:rPr>
                <w:rFonts w:ascii="Arial"/>
                <w:sz w:val="21"/>
              </w:rPr>
            </w:pPr>
          </w:p>
        </w:tc>
      </w:tr>
      <w:tr w14:paraId="7C1DE3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7" w:hRule="atLeast"/>
        </w:trPr>
        <w:tc>
          <w:tcPr>
            <w:tcW w:w="638" w:type="dxa"/>
            <w:vAlign w:val="top"/>
          </w:tcPr>
          <w:p w14:paraId="31F03289">
            <w:pPr>
              <w:rPr>
                <w:rFonts w:ascii="Arial"/>
                <w:sz w:val="21"/>
              </w:rPr>
            </w:pPr>
          </w:p>
        </w:tc>
        <w:tc>
          <w:tcPr>
            <w:tcW w:w="1032" w:type="dxa"/>
            <w:vAlign w:val="top"/>
          </w:tcPr>
          <w:p w14:paraId="5112C8F0">
            <w:pPr>
              <w:rPr>
                <w:rFonts w:ascii="Arial"/>
                <w:sz w:val="21"/>
              </w:rPr>
            </w:pPr>
          </w:p>
        </w:tc>
        <w:tc>
          <w:tcPr>
            <w:tcW w:w="657" w:type="dxa"/>
            <w:vAlign w:val="top"/>
          </w:tcPr>
          <w:p w14:paraId="311ACD2C">
            <w:pPr>
              <w:rPr>
                <w:rFonts w:ascii="Arial"/>
                <w:sz w:val="21"/>
              </w:rPr>
            </w:pPr>
          </w:p>
        </w:tc>
        <w:tc>
          <w:tcPr>
            <w:tcW w:w="989" w:type="dxa"/>
            <w:vAlign w:val="top"/>
          </w:tcPr>
          <w:p w14:paraId="5023D144">
            <w:pPr>
              <w:rPr>
                <w:rFonts w:ascii="Arial"/>
                <w:sz w:val="21"/>
              </w:rPr>
            </w:pPr>
          </w:p>
        </w:tc>
        <w:tc>
          <w:tcPr>
            <w:tcW w:w="696" w:type="dxa"/>
            <w:vAlign w:val="top"/>
          </w:tcPr>
          <w:p w14:paraId="35D867C1">
            <w:pPr>
              <w:rPr>
                <w:rFonts w:ascii="Arial"/>
                <w:sz w:val="21"/>
              </w:rPr>
            </w:pPr>
          </w:p>
        </w:tc>
        <w:tc>
          <w:tcPr>
            <w:tcW w:w="691" w:type="dxa"/>
            <w:vAlign w:val="top"/>
          </w:tcPr>
          <w:p w14:paraId="37FFB0C0">
            <w:pPr>
              <w:rPr>
                <w:rFonts w:ascii="Arial"/>
                <w:sz w:val="21"/>
              </w:rPr>
            </w:pPr>
          </w:p>
        </w:tc>
        <w:tc>
          <w:tcPr>
            <w:tcW w:w="1161" w:type="dxa"/>
            <w:vAlign w:val="top"/>
          </w:tcPr>
          <w:p w14:paraId="40FDBC03">
            <w:pPr>
              <w:rPr>
                <w:rFonts w:ascii="Arial"/>
                <w:sz w:val="21"/>
              </w:rPr>
            </w:pPr>
          </w:p>
        </w:tc>
        <w:tc>
          <w:tcPr>
            <w:tcW w:w="845" w:type="dxa"/>
            <w:vAlign w:val="top"/>
          </w:tcPr>
          <w:p w14:paraId="5ABF39BC">
            <w:pPr>
              <w:rPr>
                <w:rFonts w:ascii="Arial"/>
                <w:sz w:val="21"/>
              </w:rPr>
            </w:pPr>
          </w:p>
        </w:tc>
        <w:tc>
          <w:tcPr>
            <w:tcW w:w="849" w:type="dxa"/>
            <w:vAlign w:val="top"/>
          </w:tcPr>
          <w:p w14:paraId="34274A01">
            <w:pPr>
              <w:rPr>
                <w:rFonts w:ascii="Arial"/>
                <w:sz w:val="21"/>
              </w:rPr>
            </w:pPr>
          </w:p>
        </w:tc>
        <w:tc>
          <w:tcPr>
            <w:tcW w:w="753" w:type="dxa"/>
            <w:vAlign w:val="top"/>
          </w:tcPr>
          <w:p w14:paraId="35CAA6CF">
            <w:pPr>
              <w:rPr>
                <w:rFonts w:ascii="Arial"/>
                <w:sz w:val="21"/>
              </w:rPr>
            </w:pPr>
          </w:p>
        </w:tc>
      </w:tr>
      <w:tr w14:paraId="53ED3F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1" w:hRule="atLeast"/>
        </w:trPr>
        <w:tc>
          <w:tcPr>
            <w:tcW w:w="638" w:type="dxa"/>
            <w:vAlign w:val="top"/>
          </w:tcPr>
          <w:p w14:paraId="07709AEF">
            <w:pPr>
              <w:rPr>
                <w:rFonts w:ascii="Arial"/>
                <w:sz w:val="21"/>
              </w:rPr>
            </w:pPr>
          </w:p>
        </w:tc>
        <w:tc>
          <w:tcPr>
            <w:tcW w:w="1032" w:type="dxa"/>
            <w:vAlign w:val="top"/>
          </w:tcPr>
          <w:p w14:paraId="729DE547">
            <w:pPr>
              <w:rPr>
                <w:rFonts w:ascii="Arial"/>
                <w:sz w:val="21"/>
              </w:rPr>
            </w:pPr>
          </w:p>
        </w:tc>
        <w:tc>
          <w:tcPr>
            <w:tcW w:w="657" w:type="dxa"/>
            <w:vAlign w:val="top"/>
          </w:tcPr>
          <w:p w14:paraId="075D5226">
            <w:pPr>
              <w:rPr>
                <w:rFonts w:ascii="Arial"/>
                <w:sz w:val="21"/>
              </w:rPr>
            </w:pPr>
          </w:p>
        </w:tc>
        <w:tc>
          <w:tcPr>
            <w:tcW w:w="989" w:type="dxa"/>
            <w:vAlign w:val="top"/>
          </w:tcPr>
          <w:p w14:paraId="5FA8150C">
            <w:pPr>
              <w:rPr>
                <w:rFonts w:ascii="Arial"/>
                <w:sz w:val="21"/>
              </w:rPr>
            </w:pPr>
          </w:p>
        </w:tc>
        <w:tc>
          <w:tcPr>
            <w:tcW w:w="696" w:type="dxa"/>
            <w:vAlign w:val="top"/>
          </w:tcPr>
          <w:p w14:paraId="7974C3C8">
            <w:pPr>
              <w:rPr>
                <w:rFonts w:ascii="Arial"/>
                <w:sz w:val="21"/>
              </w:rPr>
            </w:pPr>
          </w:p>
        </w:tc>
        <w:tc>
          <w:tcPr>
            <w:tcW w:w="691" w:type="dxa"/>
            <w:vAlign w:val="top"/>
          </w:tcPr>
          <w:p w14:paraId="7457D664">
            <w:pPr>
              <w:rPr>
                <w:rFonts w:ascii="Arial"/>
                <w:sz w:val="21"/>
              </w:rPr>
            </w:pPr>
          </w:p>
        </w:tc>
        <w:tc>
          <w:tcPr>
            <w:tcW w:w="1161" w:type="dxa"/>
            <w:vAlign w:val="top"/>
          </w:tcPr>
          <w:p w14:paraId="20AFFD50">
            <w:pPr>
              <w:rPr>
                <w:rFonts w:ascii="Arial"/>
                <w:sz w:val="21"/>
              </w:rPr>
            </w:pPr>
          </w:p>
        </w:tc>
        <w:tc>
          <w:tcPr>
            <w:tcW w:w="845" w:type="dxa"/>
            <w:vAlign w:val="top"/>
          </w:tcPr>
          <w:p w14:paraId="5D0E07A5">
            <w:pPr>
              <w:rPr>
                <w:rFonts w:ascii="Arial"/>
                <w:sz w:val="21"/>
              </w:rPr>
            </w:pPr>
          </w:p>
        </w:tc>
        <w:tc>
          <w:tcPr>
            <w:tcW w:w="849" w:type="dxa"/>
            <w:vAlign w:val="top"/>
          </w:tcPr>
          <w:p w14:paraId="68CCC562">
            <w:pPr>
              <w:rPr>
                <w:rFonts w:ascii="Arial"/>
                <w:sz w:val="21"/>
              </w:rPr>
            </w:pPr>
          </w:p>
        </w:tc>
        <w:tc>
          <w:tcPr>
            <w:tcW w:w="753" w:type="dxa"/>
            <w:vAlign w:val="top"/>
          </w:tcPr>
          <w:p w14:paraId="5A3EDBAF">
            <w:pPr>
              <w:rPr>
                <w:rFonts w:ascii="Arial"/>
                <w:sz w:val="21"/>
              </w:rPr>
            </w:pPr>
          </w:p>
        </w:tc>
      </w:tr>
      <w:tr w14:paraId="018B02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7" w:hRule="atLeast"/>
        </w:trPr>
        <w:tc>
          <w:tcPr>
            <w:tcW w:w="638" w:type="dxa"/>
            <w:vAlign w:val="top"/>
          </w:tcPr>
          <w:p w14:paraId="4F9DBA5C">
            <w:pPr>
              <w:rPr>
                <w:rFonts w:ascii="Arial"/>
                <w:sz w:val="21"/>
              </w:rPr>
            </w:pPr>
          </w:p>
        </w:tc>
        <w:tc>
          <w:tcPr>
            <w:tcW w:w="1032" w:type="dxa"/>
            <w:vAlign w:val="top"/>
          </w:tcPr>
          <w:p w14:paraId="0DCB5B14">
            <w:pPr>
              <w:rPr>
                <w:rFonts w:ascii="Arial"/>
                <w:sz w:val="21"/>
              </w:rPr>
            </w:pPr>
          </w:p>
        </w:tc>
        <w:tc>
          <w:tcPr>
            <w:tcW w:w="657" w:type="dxa"/>
            <w:vAlign w:val="top"/>
          </w:tcPr>
          <w:p w14:paraId="7F59A34A">
            <w:pPr>
              <w:rPr>
                <w:rFonts w:ascii="Arial"/>
                <w:sz w:val="21"/>
              </w:rPr>
            </w:pPr>
          </w:p>
        </w:tc>
        <w:tc>
          <w:tcPr>
            <w:tcW w:w="989" w:type="dxa"/>
            <w:vAlign w:val="top"/>
          </w:tcPr>
          <w:p w14:paraId="3E713F3A">
            <w:pPr>
              <w:rPr>
                <w:rFonts w:ascii="Arial"/>
                <w:sz w:val="21"/>
              </w:rPr>
            </w:pPr>
          </w:p>
        </w:tc>
        <w:tc>
          <w:tcPr>
            <w:tcW w:w="696" w:type="dxa"/>
            <w:vAlign w:val="top"/>
          </w:tcPr>
          <w:p w14:paraId="6027ADFC">
            <w:pPr>
              <w:rPr>
                <w:rFonts w:ascii="Arial"/>
                <w:sz w:val="21"/>
              </w:rPr>
            </w:pPr>
          </w:p>
        </w:tc>
        <w:tc>
          <w:tcPr>
            <w:tcW w:w="691" w:type="dxa"/>
            <w:vAlign w:val="top"/>
          </w:tcPr>
          <w:p w14:paraId="36953C9B">
            <w:pPr>
              <w:rPr>
                <w:rFonts w:ascii="Arial"/>
                <w:sz w:val="21"/>
              </w:rPr>
            </w:pPr>
          </w:p>
        </w:tc>
        <w:tc>
          <w:tcPr>
            <w:tcW w:w="1161" w:type="dxa"/>
            <w:vAlign w:val="top"/>
          </w:tcPr>
          <w:p w14:paraId="46CE5FBB">
            <w:pPr>
              <w:rPr>
                <w:rFonts w:ascii="Arial"/>
                <w:sz w:val="21"/>
              </w:rPr>
            </w:pPr>
          </w:p>
        </w:tc>
        <w:tc>
          <w:tcPr>
            <w:tcW w:w="845" w:type="dxa"/>
            <w:vAlign w:val="top"/>
          </w:tcPr>
          <w:p w14:paraId="6654084D">
            <w:pPr>
              <w:rPr>
                <w:rFonts w:ascii="Arial"/>
                <w:sz w:val="21"/>
              </w:rPr>
            </w:pPr>
          </w:p>
        </w:tc>
        <w:tc>
          <w:tcPr>
            <w:tcW w:w="849" w:type="dxa"/>
            <w:vAlign w:val="top"/>
          </w:tcPr>
          <w:p w14:paraId="0E210559">
            <w:pPr>
              <w:rPr>
                <w:rFonts w:ascii="Arial"/>
                <w:sz w:val="21"/>
              </w:rPr>
            </w:pPr>
          </w:p>
        </w:tc>
        <w:tc>
          <w:tcPr>
            <w:tcW w:w="753" w:type="dxa"/>
            <w:vAlign w:val="top"/>
          </w:tcPr>
          <w:p w14:paraId="69E8F0CF">
            <w:pPr>
              <w:rPr>
                <w:rFonts w:ascii="Arial"/>
                <w:sz w:val="21"/>
              </w:rPr>
            </w:pPr>
          </w:p>
        </w:tc>
      </w:tr>
      <w:tr w14:paraId="2F729B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1" w:hRule="atLeast"/>
        </w:trPr>
        <w:tc>
          <w:tcPr>
            <w:tcW w:w="638" w:type="dxa"/>
            <w:vAlign w:val="top"/>
          </w:tcPr>
          <w:p w14:paraId="696C0557">
            <w:pPr>
              <w:rPr>
                <w:rFonts w:ascii="Arial"/>
                <w:sz w:val="21"/>
              </w:rPr>
            </w:pPr>
          </w:p>
        </w:tc>
        <w:tc>
          <w:tcPr>
            <w:tcW w:w="1032" w:type="dxa"/>
            <w:vAlign w:val="top"/>
          </w:tcPr>
          <w:p w14:paraId="1435E4E1">
            <w:pPr>
              <w:rPr>
                <w:rFonts w:ascii="Arial"/>
                <w:sz w:val="21"/>
              </w:rPr>
            </w:pPr>
          </w:p>
        </w:tc>
        <w:tc>
          <w:tcPr>
            <w:tcW w:w="657" w:type="dxa"/>
            <w:vAlign w:val="top"/>
          </w:tcPr>
          <w:p w14:paraId="0B089648">
            <w:pPr>
              <w:rPr>
                <w:rFonts w:ascii="Arial"/>
                <w:sz w:val="21"/>
              </w:rPr>
            </w:pPr>
          </w:p>
        </w:tc>
        <w:tc>
          <w:tcPr>
            <w:tcW w:w="989" w:type="dxa"/>
            <w:vAlign w:val="top"/>
          </w:tcPr>
          <w:p w14:paraId="3E1A0445">
            <w:pPr>
              <w:rPr>
                <w:rFonts w:ascii="Arial"/>
                <w:sz w:val="21"/>
              </w:rPr>
            </w:pPr>
          </w:p>
        </w:tc>
        <w:tc>
          <w:tcPr>
            <w:tcW w:w="696" w:type="dxa"/>
            <w:vAlign w:val="top"/>
          </w:tcPr>
          <w:p w14:paraId="12B8B740">
            <w:pPr>
              <w:rPr>
                <w:rFonts w:ascii="Arial"/>
                <w:sz w:val="21"/>
              </w:rPr>
            </w:pPr>
          </w:p>
        </w:tc>
        <w:tc>
          <w:tcPr>
            <w:tcW w:w="691" w:type="dxa"/>
            <w:vAlign w:val="top"/>
          </w:tcPr>
          <w:p w14:paraId="67B56ED1">
            <w:pPr>
              <w:rPr>
                <w:rFonts w:ascii="Arial"/>
                <w:sz w:val="21"/>
              </w:rPr>
            </w:pPr>
          </w:p>
        </w:tc>
        <w:tc>
          <w:tcPr>
            <w:tcW w:w="1161" w:type="dxa"/>
            <w:vAlign w:val="top"/>
          </w:tcPr>
          <w:p w14:paraId="02975F46">
            <w:pPr>
              <w:rPr>
                <w:rFonts w:ascii="Arial"/>
                <w:sz w:val="21"/>
              </w:rPr>
            </w:pPr>
          </w:p>
        </w:tc>
        <w:tc>
          <w:tcPr>
            <w:tcW w:w="845" w:type="dxa"/>
            <w:vAlign w:val="top"/>
          </w:tcPr>
          <w:p w14:paraId="2DDFC66D">
            <w:pPr>
              <w:rPr>
                <w:rFonts w:ascii="Arial"/>
                <w:sz w:val="21"/>
              </w:rPr>
            </w:pPr>
          </w:p>
        </w:tc>
        <w:tc>
          <w:tcPr>
            <w:tcW w:w="849" w:type="dxa"/>
            <w:vAlign w:val="top"/>
          </w:tcPr>
          <w:p w14:paraId="322A3DC1">
            <w:pPr>
              <w:rPr>
                <w:rFonts w:ascii="Arial"/>
                <w:sz w:val="21"/>
              </w:rPr>
            </w:pPr>
          </w:p>
        </w:tc>
        <w:tc>
          <w:tcPr>
            <w:tcW w:w="753" w:type="dxa"/>
            <w:vAlign w:val="top"/>
          </w:tcPr>
          <w:p w14:paraId="5D7B35AC">
            <w:pPr>
              <w:rPr>
                <w:rFonts w:ascii="Arial"/>
                <w:sz w:val="21"/>
              </w:rPr>
            </w:pPr>
          </w:p>
        </w:tc>
      </w:tr>
      <w:tr w14:paraId="6A77CF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2" w:hRule="atLeast"/>
        </w:trPr>
        <w:tc>
          <w:tcPr>
            <w:tcW w:w="638" w:type="dxa"/>
            <w:vAlign w:val="top"/>
          </w:tcPr>
          <w:p w14:paraId="3E4304CE">
            <w:pPr>
              <w:rPr>
                <w:rFonts w:ascii="Arial"/>
                <w:sz w:val="21"/>
              </w:rPr>
            </w:pPr>
          </w:p>
        </w:tc>
        <w:tc>
          <w:tcPr>
            <w:tcW w:w="1032" w:type="dxa"/>
            <w:vAlign w:val="top"/>
          </w:tcPr>
          <w:p w14:paraId="6272AD0D">
            <w:pPr>
              <w:rPr>
                <w:rFonts w:ascii="Arial"/>
                <w:sz w:val="21"/>
              </w:rPr>
            </w:pPr>
          </w:p>
        </w:tc>
        <w:tc>
          <w:tcPr>
            <w:tcW w:w="657" w:type="dxa"/>
            <w:vAlign w:val="top"/>
          </w:tcPr>
          <w:p w14:paraId="42B8E075">
            <w:pPr>
              <w:rPr>
                <w:rFonts w:ascii="Arial"/>
                <w:sz w:val="21"/>
              </w:rPr>
            </w:pPr>
          </w:p>
        </w:tc>
        <w:tc>
          <w:tcPr>
            <w:tcW w:w="989" w:type="dxa"/>
            <w:vAlign w:val="top"/>
          </w:tcPr>
          <w:p w14:paraId="3FD237B3">
            <w:pPr>
              <w:rPr>
                <w:rFonts w:ascii="Arial"/>
                <w:sz w:val="21"/>
              </w:rPr>
            </w:pPr>
          </w:p>
        </w:tc>
        <w:tc>
          <w:tcPr>
            <w:tcW w:w="696" w:type="dxa"/>
            <w:vAlign w:val="top"/>
          </w:tcPr>
          <w:p w14:paraId="792A4509">
            <w:pPr>
              <w:rPr>
                <w:rFonts w:ascii="Arial"/>
                <w:sz w:val="21"/>
              </w:rPr>
            </w:pPr>
          </w:p>
        </w:tc>
        <w:tc>
          <w:tcPr>
            <w:tcW w:w="691" w:type="dxa"/>
            <w:vAlign w:val="top"/>
          </w:tcPr>
          <w:p w14:paraId="1EE270BE">
            <w:pPr>
              <w:rPr>
                <w:rFonts w:ascii="Arial"/>
                <w:sz w:val="21"/>
              </w:rPr>
            </w:pPr>
          </w:p>
        </w:tc>
        <w:tc>
          <w:tcPr>
            <w:tcW w:w="1161" w:type="dxa"/>
            <w:vAlign w:val="top"/>
          </w:tcPr>
          <w:p w14:paraId="176651F7">
            <w:pPr>
              <w:rPr>
                <w:rFonts w:ascii="Arial"/>
                <w:sz w:val="21"/>
              </w:rPr>
            </w:pPr>
          </w:p>
        </w:tc>
        <w:tc>
          <w:tcPr>
            <w:tcW w:w="845" w:type="dxa"/>
            <w:vAlign w:val="top"/>
          </w:tcPr>
          <w:p w14:paraId="3EB9B934">
            <w:pPr>
              <w:rPr>
                <w:rFonts w:ascii="Arial"/>
                <w:sz w:val="21"/>
              </w:rPr>
            </w:pPr>
          </w:p>
        </w:tc>
        <w:tc>
          <w:tcPr>
            <w:tcW w:w="849" w:type="dxa"/>
            <w:vAlign w:val="top"/>
          </w:tcPr>
          <w:p w14:paraId="3C061C56">
            <w:pPr>
              <w:rPr>
                <w:rFonts w:ascii="Arial"/>
                <w:sz w:val="21"/>
              </w:rPr>
            </w:pPr>
          </w:p>
        </w:tc>
        <w:tc>
          <w:tcPr>
            <w:tcW w:w="753" w:type="dxa"/>
            <w:vAlign w:val="top"/>
          </w:tcPr>
          <w:p w14:paraId="481FE5D4">
            <w:pPr>
              <w:rPr>
                <w:rFonts w:ascii="Arial"/>
                <w:sz w:val="21"/>
              </w:rPr>
            </w:pPr>
          </w:p>
        </w:tc>
      </w:tr>
      <w:tr w14:paraId="320F6A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7" w:hRule="atLeast"/>
        </w:trPr>
        <w:tc>
          <w:tcPr>
            <w:tcW w:w="638" w:type="dxa"/>
            <w:vAlign w:val="top"/>
          </w:tcPr>
          <w:p w14:paraId="1E5924C8">
            <w:pPr>
              <w:rPr>
                <w:rFonts w:ascii="Arial"/>
                <w:sz w:val="21"/>
              </w:rPr>
            </w:pPr>
          </w:p>
        </w:tc>
        <w:tc>
          <w:tcPr>
            <w:tcW w:w="1032" w:type="dxa"/>
            <w:vAlign w:val="top"/>
          </w:tcPr>
          <w:p w14:paraId="137424C9">
            <w:pPr>
              <w:rPr>
                <w:rFonts w:ascii="Arial"/>
                <w:sz w:val="21"/>
              </w:rPr>
            </w:pPr>
          </w:p>
        </w:tc>
        <w:tc>
          <w:tcPr>
            <w:tcW w:w="657" w:type="dxa"/>
            <w:vAlign w:val="top"/>
          </w:tcPr>
          <w:p w14:paraId="799A93D4">
            <w:pPr>
              <w:rPr>
                <w:rFonts w:ascii="Arial"/>
                <w:sz w:val="21"/>
              </w:rPr>
            </w:pPr>
          </w:p>
        </w:tc>
        <w:tc>
          <w:tcPr>
            <w:tcW w:w="989" w:type="dxa"/>
            <w:vAlign w:val="top"/>
          </w:tcPr>
          <w:p w14:paraId="6CFC2800">
            <w:pPr>
              <w:rPr>
                <w:rFonts w:ascii="Arial"/>
                <w:sz w:val="21"/>
              </w:rPr>
            </w:pPr>
          </w:p>
        </w:tc>
        <w:tc>
          <w:tcPr>
            <w:tcW w:w="696" w:type="dxa"/>
            <w:vAlign w:val="top"/>
          </w:tcPr>
          <w:p w14:paraId="531A3FD4">
            <w:pPr>
              <w:rPr>
                <w:rFonts w:ascii="Arial"/>
                <w:sz w:val="21"/>
              </w:rPr>
            </w:pPr>
          </w:p>
        </w:tc>
        <w:tc>
          <w:tcPr>
            <w:tcW w:w="691" w:type="dxa"/>
            <w:vAlign w:val="top"/>
          </w:tcPr>
          <w:p w14:paraId="13335C95">
            <w:pPr>
              <w:rPr>
                <w:rFonts w:ascii="Arial"/>
                <w:sz w:val="21"/>
              </w:rPr>
            </w:pPr>
          </w:p>
        </w:tc>
        <w:tc>
          <w:tcPr>
            <w:tcW w:w="1161" w:type="dxa"/>
            <w:vAlign w:val="top"/>
          </w:tcPr>
          <w:p w14:paraId="5DC24514">
            <w:pPr>
              <w:rPr>
                <w:rFonts w:ascii="Arial"/>
                <w:sz w:val="21"/>
              </w:rPr>
            </w:pPr>
          </w:p>
        </w:tc>
        <w:tc>
          <w:tcPr>
            <w:tcW w:w="845" w:type="dxa"/>
            <w:vAlign w:val="top"/>
          </w:tcPr>
          <w:p w14:paraId="3E9A94B4">
            <w:pPr>
              <w:rPr>
                <w:rFonts w:ascii="Arial"/>
                <w:sz w:val="21"/>
              </w:rPr>
            </w:pPr>
          </w:p>
        </w:tc>
        <w:tc>
          <w:tcPr>
            <w:tcW w:w="849" w:type="dxa"/>
            <w:vAlign w:val="top"/>
          </w:tcPr>
          <w:p w14:paraId="7A9338EA">
            <w:pPr>
              <w:rPr>
                <w:rFonts w:ascii="Arial"/>
                <w:sz w:val="21"/>
              </w:rPr>
            </w:pPr>
          </w:p>
        </w:tc>
        <w:tc>
          <w:tcPr>
            <w:tcW w:w="753" w:type="dxa"/>
            <w:vAlign w:val="top"/>
          </w:tcPr>
          <w:p w14:paraId="6ADAC05D">
            <w:pPr>
              <w:rPr>
                <w:rFonts w:ascii="Arial"/>
                <w:sz w:val="21"/>
              </w:rPr>
            </w:pPr>
          </w:p>
        </w:tc>
      </w:tr>
      <w:tr w14:paraId="0BF235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2" w:hRule="atLeast"/>
        </w:trPr>
        <w:tc>
          <w:tcPr>
            <w:tcW w:w="638" w:type="dxa"/>
            <w:vAlign w:val="top"/>
          </w:tcPr>
          <w:p w14:paraId="716B701B">
            <w:pPr>
              <w:rPr>
                <w:rFonts w:ascii="Arial"/>
                <w:sz w:val="21"/>
              </w:rPr>
            </w:pPr>
          </w:p>
        </w:tc>
        <w:tc>
          <w:tcPr>
            <w:tcW w:w="1032" w:type="dxa"/>
            <w:vAlign w:val="top"/>
          </w:tcPr>
          <w:p w14:paraId="0BBBB979">
            <w:pPr>
              <w:rPr>
                <w:rFonts w:ascii="Arial"/>
                <w:sz w:val="21"/>
              </w:rPr>
            </w:pPr>
          </w:p>
        </w:tc>
        <w:tc>
          <w:tcPr>
            <w:tcW w:w="657" w:type="dxa"/>
            <w:vAlign w:val="top"/>
          </w:tcPr>
          <w:p w14:paraId="458D303F">
            <w:pPr>
              <w:rPr>
                <w:rFonts w:ascii="Arial"/>
                <w:sz w:val="21"/>
              </w:rPr>
            </w:pPr>
          </w:p>
        </w:tc>
        <w:tc>
          <w:tcPr>
            <w:tcW w:w="989" w:type="dxa"/>
            <w:vAlign w:val="top"/>
          </w:tcPr>
          <w:p w14:paraId="6C59CF44">
            <w:pPr>
              <w:rPr>
                <w:rFonts w:ascii="Arial"/>
                <w:sz w:val="21"/>
              </w:rPr>
            </w:pPr>
          </w:p>
        </w:tc>
        <w:tc>
          <w:tcPr>
            <w:tcW w:w="696" w:type="dxa"/>
            <w:vAlign w:val="top"/>
          </w:tcPr>
          <w:p w14:paraId="51878CC3">
            <w:pPr>
              <w:rPr>
                <w:rFonts w:ascii="Arial"/>
                <w:sz w:val="21"/>
              </w:rPr>
            </w:pPr>
          </w:p>
        </w:tc>
        <w:tc>
          <w:tcPr>
            <w:tcW w:w="691" w:type="dxa"/>
            <w:vAlign w:val="top"/>
          </w:tcPr>
          <w:p w14:paraId="2BF6C537">
            <w:pPr>
              <w:rPr>
                <w:rFonts w:ascii="Arial"/>
                <w:sz w:val="21"/>
              </w:rPr>
            </w:pPr>
          </w:p>
        </w:tc>
        <w:tc>
          <w:tcPr>
            <w:tcW w:w="1161" w:type="dxa"/>
            <w:vAlign w:val="top"/>
          </w:tcPr>
          <w:p w14:paraId="23EB03B7">
            <w:pPr>
              <w:rPr>
                <w:rFonts w:ascii="Arial"/>
                <w:sz w:val="21"/>
              </w:rPr>
            </w:pPr>
          </w:p>
        </w:tc>
        <w:tc>
          <w:tcPr>
            <w:tcW w:w="845" w:type="dxa"/>
            <w:vAlign w:val="top"/>
          </w:tcPr>
          <w:p w14:paraId="1BC28C01">
            <w:pPr>
              <w:rPr>
                <w:rFonts w:ascii="Arial"/>
                <w:sz w:val="21"/>
              </w:rPr>
            </w:pPr>
          </w:p>
        </w:tc>
        <w:tc>
          <w:tcPr>
            <w:tcW w:w="849" w:type="dxa"/>
            <w:vAlign w:val="top"/>
          </w:tcPr>
          <w:p w14:paraId="0667FF62">
            <w:pPr>
              <w:rPr>
                <w:rFonts w:ascii="Arial"/>
                <w:sz w:val="21"/>
              </w:rPr>
            </w:pPr>
          </w:p>
        </w:tc>
        <w:tc>
          <w:tcPr>
            <w:tcW w:w="753" w:type="dxa"/>
            <w:vAlign w:val="top"/>
          </w:tcPr>
          <w:p w14:paraId="6B7B9284">
            <w:pPr>
              <w:rPr>
                <w:rFonts w:ascii="Arial"/>
                <w:sz w:val="21"/>
              </w:rPr>
            </w:pPr>
          </w:p>
        </w:tc>
      </w:tr>
      <w:tr w14:paraId="6CB74B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2" w:hRule="atLeast"/>
        </w:trPr>
        <w:tc>
          <w:tcPr>
            <w:tcW w:w="638" w:type="dxa"/>
            <w:vAlign w:val="top"/>
          </w:tcPr>
          <w:p w14:paraId="437045D9">
            <w:pPr>
              <w:rPr>
                <w:rFonts w:ascii="Arial"/>
                <w:sz w:val="21"/>
              </w:rPr>
            </w:pPr>
          </w:p>
        </w:tc>
        <w:tc>
          <w:tcPr>
            <w:tcW w:w="1032" w:type="dxa"/>
            <w:vAlign w:val="top"/>
          </w:tcPr>
          <w:p w14:paraId="626F4A28">
            <w:pPr>
              <w:rPr>
                <w:rFonts w:ascii="Arial"/>
                <w:sz w:val="21"/>
              </w:rPr>
            </w:pPr>
          </w:p>
        </w:tc>
        <w:tc>
          <w:tcPr>
            <w:tcW w:w="657" w:type="dxa"/>
            <w:vAlign w:val="top"/>
          </w:tcPr>
          <w:p w14:paraId="6F0D5F3B">
            <w:pPr>
              <w:rPr>
                <w:rFonts w:ascii="Arial"/>
                <w:sz w:val="21"/>
              </w:rPr>
            </w:pPr>
          </w:p>
        </w:tc>
        <w:tc>
          <w:tcPr>
            <w:tcW w:w="989" w:type="dxa"/>
            <w:vAlign w:val="top"/>
          </w:tcPr>
          <w:p w14:paraId="48CA2417">
            <w:pPr>
              <w:rPr>
                <w:rFonts w:ascii="Arial"/>
                <w:sz w:val="21"/>
              </w:rPr>
            </w:pPr>
          </w:p>
        </w:tc>
        <w:tc>
          <w:tcPr>
            <w:tcW w:w="696" w:type="dxa"/>
            <w:vAlign w:val="top"/>
          </w:tcPr>
          <w:p w14:paraId="2E9F6F6A">
            <w:pPr>
              <w:rPr>
                <w:rFonts w:ascii="Arial"/>
                <w:sz w:val="21"/>
              </w:rPr>
            </w:pPr>
          </w:p>
        </w:tc>
        <w:tc>
          <w:tcPr>
            <w:tcW w:w="691" w:type="dxa"/>
            <w:vAlign w:val="top"/>
          </w:tcPr>
          <w:p w14:paraId="1CF98BC5">
            <w:pPr>
              <w:rPr>
                <w:rFonts w:ascii="Arial"/>
                <w:sz w:val="21"/>
              </w:rPr>
            </w:pPr>
          </w:p>
        </w:tc>
        <w:tc>
          <w:tcPr>
            <w:tcW w:w="1161" w:type="dxa"/>
            <w:vAlign w:val="top"/>
          </w:tcPr>
          <w:p w14:paraId="42091318">
            <w:pPr>
              <w:rPr>
                <w:rFonts w:ascii="Arial"/>
                <w:sz w:val="21"/>
              </w:rPr>
            </w:pPr>
          </w:p>
        </w:tc>
        <w:tc>
          <w:tcPr>
            <w:tcW w:w="845" w:type="dxa"/>
            <w:vAlign w:val="top"/>
          </w:tcPr>
          <w:p w14:paraId="5C10AE71">
            <w:pPr>
              <w:rPr>
                <w:rFonts w:ascii="Arial"/>
                <w:sz w:val="21"/>
              </w:rPr>
            </w:pPr>
          </w:p>
        </w:tc>
        <w:tc>
          <w:tcPr>
            <w:tcW w:w="849" w:type="dxa"/>
            <w:vAlign w:val="top"/>
          </w:tcPr>
          <w:p w14:paraId="12CB44F5">
            <w:pPr>
              <w:rPr>
                <w:rFonts w:ascii="Arial"/>
                <w:sz w:val="21"/>
              </w:rPr>
            </w:pPr>
          </w:p>
        </w:tc>
        <w:tc>
          <w:tcPr>
            <w:tcW w:w="753" w:type="dxa"/>
            <w:vAlign w:val="top"/>
          </w:tcPr>
          <w:p w14:paraId="327EA5C5">
            <w:pPr>
              <w:rPr>
                <w:rFonts w:ascii="Arial"/>
                <w:sz w:val="21"/>
              </w:rPr>
            </w:pPr>
          </w:p>
        </w:tc>
      </w:tr>
      <w:tr w14:paraId="2ECF5D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7" w:hRule="atLeast"/>
        </w:trPr>
        <w:tc>
          <w:tcPr>
            <w:tcW w:w="638" w:type="dxa"/>
            <w:vAlign w:val="top"/>
          </w:tcPr>
          <w:p w14:paraId="39BFECA9">
            <w:pPr>
              <w:rPr>
                <w:rFonts w:ascii="Arial"/>
                <w:sz w:val="21"/>
              </w:rPr>
            </w:pPr>
          </w:p>
        </w:tc>
        <w:tc>
          <w:tcPr>
            <w:tcW w:w="1032" w:type="dxa"/>
            <w:vAlign w:val="top"/>
          </w:tcPr>
          <w:p w14:paraId="4515398D">
            <w:pPr>
              <w:rPr>
                <w:rFonts w:ascii="Arial"/>
                <w:sz w:val="21"/>
              </w:rPr>
            </w:pPr>
          </w:p>
        </w:tc>
        <w:tc>
          <w:tcPr>
            <w:tcW w:w="657" w:type="dxa"/>
            <w:vAlign w:val="top"/>
          </w:tcPr>
          <w:p w14:paraId="5B16B802">
            <w:pPr>
              <w:rPr>
                <w:rFonts w:ascii="Arial"/>
                <w:sz w:val="21"/>
              </w:rPr>
            </w:pPr>
          </w:p>
        </w:tc>
        <w:tc>
          <w:tcPr>
            <w:tcW w:w="989" w:type="dxa"/>
            <w:vAlign w:val="top"/>
          </w:tcPr>
          <w:p w14:paraId="52F029BC">
            <w:pPr>
              <w:rPr>
                <w:rFonts w:ascii="Arial"/>
                <w:sz w:val="21"/>
              </w:rPr>
            </w:pPr>
          </w:p>
        </w:tc>
        <w:tc>
          <w:tcPr>
            <w:tcW w:w="696" w:type="dxa"/>
            <w:vAlign w:val="top"/>
          </w:tcPr>
          <w:p w14:paraId="5A4717F7">
            <w:pPr>
              <w:rPr>
                <w:rFonts w:ascii="Arial"/>
                <w:sz w:val="21"/>
              </w:rPr>
            </w:pPr>
          </w:p>
        </w:tc>
        <w:tc>
          <w:tcPr>
            <w:tcW w:w="691" w:type="dxa"/>
            <w:vAlign w:val="top"/>
          </w:tcPr>
          <w:p w14:paraId="612B556E">
            <w:pPr>
              <w:rPr>
                <w:rFonts w:ascii="Arial"/>
                <w:sz w:val="21"/>
              </w:rPr>
            </w:pPr>
          </w:p>
        </w:tc>
        <w:tc>
          <w:tcPr>
            <w:tcW w:w="1161" w:type="dxa"/>
            <w:vAlign w:val="top"/>
          </w:tcPr>
          <w:p w14:paraId="1A0F38B0">
            <w:pPr>
              <w:rPr>
                <w:rFonts w:ascii="Arial"/>
                <w:sz w:val="21"/>
              </w:rPr>
            </w:pPr>
          </w:p>
        </w:tc>
        <w:tc>
          <w:tcPr>
            <w:tcW w:w="845" w:type="dxa"/>
            <w:vAlign w:val="top"/>
          </w:tcPr>
          <w:p w14:paraId="657A2F55">
            <w:pPr>
              <w:rPr>
                <w:rFonts w:ascii="Arial"/>
                <w:sz w:val="21"/>
              </w:rPr>
            </w:pPr>
          </w:p>
        </w:tc>
        <w:tc>
          <w:tcPr>
            <w:tcW w:w="849" w:type="dxa"/>
            <w:vAlign w:val="top"/>
          </w:tcPr>
          <w:p w14:paraId="58D7C51D">
            <w:pPr>
              <w:rPr>
                <w:rFonts w:ascii="Arial"/>
                <w:sz w:val="21"/>
              </w:rPr>
            </w:pPr>
          </w:p>
        </w:tc>
        <w:tc>
          <w:tcPr>
            <w:tcW w:w="753" w:type="dxa"/>
            <w:vAlign w:val="top"/>
          </w:tcPr>
          <w:p w14:paraId="0B5372EA">
            <w:pPr>
              <w:rPr>
                <w:rFonts w:ascii="Arial"/>
                <w:sz w:val="21"/>
              </w:rPr>
            </w:pPr>
          </w:p>
        </w:tc>
      </w:tr>
      <w:tr w14:paraId="35615E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1" w:hRule="atLeast"/>
        </w:trPr>
        <w:tc>
          <w:tcPr>
            <w:tcW w:w="638" w:type="dxa"/>
            <w:vAlign w:val="top"/>
          </w:tcPr>
          <w:p w14:paraId="5EF441E2">
            <w:pPr>
              <w:rPr>
                <w:rFonts w:ascii="Arial"/>
                <w:sz w:val="21"/>
              </w:rPr>
            </w:pPr>
          </w:p>
        </w:tc>
        <w:tc>
          <w:tcPr>
            <w:tcW w:w="1032" w:type="dxa"/>
            <w:vAlign w:val="top"/>
          </w:tcPr>
          <w:p w14:paraId="6542A153">
            <w:pPr>
              <w:rPr>
                <w:rFonts w:ascii="Arial"/>
                <w:sz w:val="21"/>
              </w:rPr>
            </w:pPr>
          </w:p>
        </w:tc>
        <w:tc>
          <w:tcPr>
            <w:tcW w:w="657" w:type="dxa"/>
            <w:vAlign w:val="top"/>
          </w:tcPr>
          <w:p w14:paraId="4F5F5A4A">
            <w:pPr>
              <w:rPr>
                <w:rFonts w:ascii="Arial"/>
                <w:sz w:val="21"/>
              </w:rPr>
            </w:pPr>
          </w:p>
        </w:tc>
        <w:tc>
          <w:tcPr>
            <w:tcW w:w="989" w:type="dxa"/>
            <w:vAlign w:val="top"/>
          </w:tcPr>
          <w:p w14:paraId="394EEEEB">
            <w:pPr>
              <w:rPr>
                <w:rFonts w:ascii="Arial"/>
                <w:sz w:val="21"/>
              </w:rPr>
            </w:pPr>
          </w:p>
        </w:tc>
        <w:tc>
          <w:tcPr>
            <w:tcW w:w="696" w:type="dxa"/>
            <w:vAlign w:val="top"/>
          </w:tcPr>
          <w:p w14:paraId="218596E8">
            <w:pPr>
              <w:rPr>
                <w:rFonts w:ascii="Arial"/>
                <w:sz w:val="21"/>
              </w:rPr>
            </w:pPr>
          </w:p>
        </w:tc>
        <w:tc>
          <w:tcPr>
            <w:tcW w:w="691" w:type="dxa"/>
            <w:vAlign w:val="top"/>
          </w:tcPr>
          <w:p w14:paraId="1C7B075D">
            <w:pPr>
              <w:rPr>
                <w:rFonts w:ascii="Arial"/>
                <w:sz w:val="21"/>
              </w:rPr>
            </w:pPr>
          </w:p>
        </w:tc>
        <w:tc>
          <w:tcPr>
            <w:tcW w:w="1161" w:type="dxa"/>
            <w:vAlign w:val="top"/>
          </w:tcPr>
          <w:p w14:paraId="70E4E005">
            <w:pPr>
              <w:rPr>
                <w:rFonts w:ascii="Arial"/>
                <w:sz w:val="21"/>
              </w:rPr>
            </w:pPr>
          </w:p>
        </w:tc>
        <w:tc>
          <w:tcPr>
            <w:tcW w:w="845" w:type="dxa"/>
            <w:vAlign w:val="top"/>
          </w:tcPr>
          <w:p w14:paraId="43C163FC">
            <w:pPr>
              <w:rPr>
                <w:rFonts w:ascii="Arial"/>
                <w:sz w:val="21"/>
              </w:rPr>
            </w:pPr>
          </w:p>
        </w:tc>
        <w:tc>
          <w:tcPr>
            <w:tcW w:w="849" w:type="dxa"/>
            <w:vAlign w:val="top"/>
          </w:tcPr>
          <w:p w14:paraId="2B6C0523">
            <w:pPr>
              <w:rPr>
                <w:rFonts w:ascii="Arial"/>
                <w:sz w:val="21"/>
              </w:rPr>
            </w:pPr>
          </w:p>
        </w:tc>
        <w:tc>
          <w:tcPr>
            <w:tcW w:w="753" w:type="dxa"/>
            <w:vAlign w:val="top"/>
          </w:tcPr>
          <w:p w14:paraId="1A99DE18">
            <w:pPr>
              <w:rPr>
                <w:rFonts w:ascii="Arial"/>
                <w:sz w:val="21"/>
              </w:rPr>
            </w:pPr>
          </w:p>
        </w:tc>
      </w:tr>
      <w:tr w14:paraId="5D985A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7" w:hRule="atLeast"/>
        </w:trPr>
        <w:tc>
          <w:tcPr>
            <w:tcW w:w="638" w:type="dxa"/>
            <w:vAlign w:val="top"/>
          </w:tcPr>
          <w:p w14:paraId="3A7844B5">
            <w:pPr>
              <w:rPr>
                <w:rFonts w:ascii="Arial"/>
                <w:sz w:val="21"/>
              </w:rPr>
            </w:pPr>
          </w:p>
        </w:tc>
        <w:tc>
          <w:tcPr>
            <w:tcW w:w="1032" w:type="dxa"/>
            <w:vAlign w:val="top"/>
          </w:tcPr>
          <w:p w14:paraId="73E41200">
            <w:pPr>
              <w:rPr>
                <w:rFonts w:ascii="Arial"/>
                <w:sz w:val="21"/>
              </w:rPr>
            </w:pPr>
          </w:p>
        </w:tc>
        <w:tc>
          <w:tcPr>
            <w:tcW w:w="657" w:type="dxa"/>
            <w:vAlign w:val="top"/>
          </w:tcPr>
          <w:p w14:paraId="6EDF7D88">
            <w:pPr>
              <w:rPr>
                <w:rFonts w:ascii="Arial"/>
                <w:sz w:val="21"/>
              </w:rPr>
            </w:pPr>
          </w:p>
        </w:tc>
        <w:tc>
          <w:tcPr>
            <w:tcW w:w="989" w:type="dxa"/>
            <w:vAlign w:val="top"/>
          </w:tcPr>
          <w:p w14:paraId="38829C09">
            <w:pPr>
              <w:rPr>
                <w:rFonts w:ascii="Arial"/>
                <w:sz w:val="21"/>
              </w:rPr>
            </w:pPr>
          </w:p>
        </w:tc>
        <w:tc>
          <w:tcPr>
            <w:tcW w:w="696" w:type="dxa"/>
            <w:vAlign w:val="top"/>
          </w:tcPr>
          <w:p w14:paraId="21B593C2">
            <w:pPr>
              <w:rPr>
                <w:rFonts w:ascii="Arial"/>
                <w:sz w:val="21"/>
              </w:rPr>
            </w:pPr>
          </w:p>
        </w:tc>
        <w:tc>
          <w:tcPr>
            <w:tcW w:w="691" w:type="dxa"/>
            <w:vAlign w:val="top"/>
          </w:tcPr>
          <w:p w14:paraId="7894001D">
            <w:pPr>
              <w:rPr>
                <w:rFonts w:ascii="Arial"/>
                <w:sz w:val="21"/>
              </w:rPr>
            </w:pPr>
          </w:p>
        </w:tc>
        <w:tc>
          <w:tcPr>
            <w:tcW w:w="1161" w:type="dxa"/>
            <w:vAlign w:val="top"/>
          </w:tcPr>
          <w:p w14:paraId="463D7260">
            <w:pPr>
              <w:rPr>
                <w:rFonts w:ascii="Arial"/>
                <w:sz w:val="21"/>
              </w:rPr>
            </w:pPr>
          </w:p>
        </w:tc>
        <w:tc>
          <w:tcPr>
            <w:tcW w:w="845" w:type="dxa"/>
            <w:vAlign w:val="top"/>
          </w:tcPr>
          <w:p w14:paraId="1CA13495">
            <w:pPr>
              <w:rPr>
                <w:rFonts w:ascii="Arial"/>
                <w:sz w:val="21"/>
              </w:rPr>
            </w:pPr>
          </w:p>
        </w:tc>
        <w:tc>
          <w:tcPr>
            <w:tcW w:w="849" w:type="dxa"/>
            <w:vAlign w:val="top"/>
          </w:tcPr>
          <w:p w14:paraId="3B010D9E">
            <w:pPr>
              <w:rPr>
                <w:rFonts w:ascii="Arial"/>
                <w:sz w:val="21"/>
              </w:rPr>
            </w:pPr>
          </w:p>
        </w:tc>
        <w:tc>
          <w:tcPr>
            <w:tcW w:w="753" w:type="dxa"/>
            <w:vAlign w:val="top"/>
          </w:tcPr>
          <w:p w14:paraId="1E08D7B8">
            <w:pPr>
              <w:rPr>
                <w:rFonts w:ascii="Arial"/>
                <w:sz w:val="21"/>
              </w:rPr>
            </w:pPr>
          </w:p>
        </w:tc>
      </w:tr>
      <w:tr w14:paraId="5D3B70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1" w:hRule="atLeast"/>
        </w:trPr>
        <w:tc>
          <w:tcPr>
            <w:tcW w:w="638" w:type="dxa"/>
            <w:vAlign w:val="top"/>
          </w:tcPr>
          <w:p w14:paraId="0CD3F217">
            <w:pPr>
              <w:rPr>
                <w:rFonts w:ascii="Arial"/>
                <w:sz w:val="21"/>
              </w:rPr>
            </w:pPr>
          </w:p>
        </w:tc>
        <w:tc>
          <w:tcPr>
            <w:tcW w:w="1032" w:type="dxa"/>
            <w:vAlign w:val="top"/>
          </w:tcPr>
          <w:p w14:paraId="0A14C8EE">
            <w:pPr>
              <w:rPr>
                <w:rFonts w:ascii="Arial"/>
                <w:sz w:val="21"/>
              </w:rPr>
            </w:pPr>
          </w:p>
        </w:tc>
        <w:tc>
          <w:tcPr>
            <w:tcW w:w="657" w:type="dxa"/>
            <w:vAlign w:val="top"/>
          </w:tcPr>
          <w:p w14:paraId="65AA274C">
            <w:pPr>
              <w:rPr>
                <w:rFonts w:ascii="Arial"/>
                <w:sz w:val="21"/>
              </w:rPr>
            </w:pPr>
          </w:p>
        </w:tc>
        <w:tc>
          <w:tcPr>
            <w:tcW w:w="989" w:type="dxa"/>
            <w:vAlign w:val="top"/>
          </w:tcPr>
          <w:p w14:paraId="54566693">
            <w:pPr>
              <w:rPr>
                <w:rFonts w:ascii="Arial"/>
                <w:sz w:val="21"/>
              </w:rPr>
            </w:pPr>
          </w:p>
        </w:tc>
        <w:tc>
          <w:tcPr>
            <w:tcW w:w="696" w:type="dxa"/>
            <w:vAlign w:val="top"/>
          </w:tcPr>
          <w:p w14:paraId="517DB1CF">
            <w:pPr>
              <w:rPr>
                <w:rFonts w:ascii="Arial"/>
                <w:sz w:val="21"/>
              </w:rPr>
            </w:pPr>
          </w:p>
        </w:tc>
        <w:tc>
          <w:tcPr>
            <w:tcW w:w="691" w:type="dxa"/>
            <w:vAlign w:val="top"/>
          </w:tcPr>
          <w:p w14:paraId="7942D5B8">
            <w:pPr>
              <w:rPr>
                <w:rFonts w:ascii="Arial"/>
                <w:sz w:val="21"/>
              </w:rPr>
            </w:pPr>
          </w:p>
        </w:tc>
        <w:tc>
          <w:tcPr>
            <w:tcW w:w="1161" w:type="dxa"/>
            <w:vAlign w:val="top"/>
          </w:tcPr>
          <w:p w14:paraId="432F3CDD">
            <w:pPr>
              <w:rPr>
                <w:rFonts w:ascii="Arial"/>
                <w:sz w:val="21"/>
              </w:rPr>
            </w:pPr>
          </w:p>
        </w:tc>
        <w:tc>
          <w:tcPr>
            <w:tcW w:w="845" w:type="dxa"/>
            <w:vAlign w:val="top"/>
          </w:tcPr>
          <w:p w14:paraId="4DF5D27F">
            <w:pPr>
              <w:rPr>
                <w:rFonts w:ascii="Arial"/>
                <w:sz w:val="21"/>
              </w:rPr>
            </w:pPr>
          </w:p>
        </w:tc>
        <w:tc>
          <w:tcPr>
            <w:tcW w:w="849" w:type="dxa"/>
            <w:vAlign w:val="top"/>
          </w:tcPr>
          <w:p w14:paraId="66747EC7">
            <w:pPr>
              <w:rPr>
                <w:rFonts w:ascii="Arial"/>
                <w:sz w:val="21"/>
              </w:rPr>
            </w:pPr>
          </w:p>
        </w:tc>
        <w:tc>
          <w:tcPr>
            <w:tcW w:w="753" w:type="dxa"/>
            <w:vAlign w:val="top"/>
          </w:tcPr>
          <w:p w14:paraId="09C1A5F8">
            <w:pPr>
              <w:rPr>
                <w:rFonts w:ascii="Arial"/>
                <w:sz w:val="21"/>
              </w:rPr>
            </w:pPr>
          </w:p>
        </w:tc>
      </w:tr>
      <w:tr w14:paraId="75CBC4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2" w:hRule="atLeast"/>
        </w:trPr>
        <w:tc>
          <w:tcPr>
            <w:tcW w:w="638" w:type="dxa"/>
            <w:vAlign w:val="top"/>
          </w:tcPr>
          <w:p w14:paraId="070BE6DE">
            <w:pPr>
              <w:rPr>
                <w:rFonts w:ascii="Arial"/>
                <w:sz w:val="21"/>
              </w:rPr>
            </w:pPr>
          </w:p>
        </w:tc>
        <w:tc>
          <w:tcPr>
            <w:tcW w:w="1032" w:type="dxa"/>
            <w:vAlign w:val="top"/>
          </w:tcPr>
          <w:p w14:paraId="0FE7E7B1">
            <w:pPr>
              <w:rPr>
                <w:rFonts w:ascii="Arial"/>
                <w:sz w:val="21"/>
              </w:rPr>
            </w:pPr>
          </w:p>
        </w:tc>
        <w:tc>
          <w:tcPr>
            <w:tcW w:w="657" w:type="dxa"/>
            <w:vAlign w:val="top"/>
          </w:tcPr>
          <w:p w14:paraId="7F45BB85">
            <w:pPr>
              <w:rPr>
                <w:rFonts w:ascii="Arial"/>
                <w:sz w:val="21"/>
              </w:rPr>
            </w:pPr>
          </w:p>
        </w:tc>
        <w:tc>
          <w:tcPr>
            <w:tcW w:w="989" w:type="dxa"/>
            <w:vAlign w:val="top"/>
          </w:tcPr>
          <w:p w14:paraId="3A8BAD92">
            <w:pPr>
              <w:rPr>
                <w:rFonts w:ascii="Arial"/>
                <w:sz w:val="21"/>
              </w:rPr>
            </w:pPr>
          </w:p>
        </w:tc>
        <w:tc>
          <w:tcPr>
            <w:tcW w:w="696" w:type="dxa"/>
            <w:vAlign w:val="top"/>
          </w:tcPr>
          <w:p w14:paraId="17FD8F97">
            <w:pPr>
              <w:rPr>
                <w:rFonts w:ascii="Arial"/>
                <w:sz w:val="21"/>
              </w:rPr>
            </w:pPr>
          </w:p>
        </w:tc>
        <w:tc>
          <w:tcPr>
            <w:tcW w:w="691" w:type="dxa"/>
            <w:vAlign w:val="top"/>
          </w:tcPr>
          <w:p w14:paraId="4F85EFB1">
            <w:pPr>
              <w:rPr>
                <w:rFonts w:ascii="Arial"/>
                <w:sz w:val="21"/>
              </w:rPr>
            </w:pPr>
          </w:p>
        </w:tc>
        <w:tc>
          <w:tcPr>
            <w:tcW w:w="1161" w:type="dxa"/>
            <w:vAlign w:val="top"/>
          </w:tcPr>
          <w:p w14:paraId="6E0D06DB">
            <w:pPr>
              <w:rPr>
                <w:rFonts w:ascii="Arial"/>
                <w:sz w:val="21"/>
              </w:rPr>
            </w:pPr>
          </w:p>
        </w:tc>
        <w:tc>
          <w:tcPr>
            <w:tcW w:w="845" w:type="dxa"/>
            <w:vAlign w:val="top"/>
          </w:tcPr>
          <w:p w14:paraId="556C4CF1">
            <w:pPr>
              <w:rPr>
                <w:rFonts w:ascii="Arial"/>
                <w:sz w:val="21"/>
              </w:rPr>
            </w:pPr>
          </w:p>
        </w:tc>
        <w:tc>
          <w:tcPr>
            <w:tcW w:w="849" w:type="dxa"/>
            <w:vAlign w:val="top"/>
          </w:tcPr>
          <w:p w14:paraId="27E883B5">
            <w:pPr>
              <w:rPr>
                <w:rFonts w:ascii="Arial"/>
                <w:sz w:val="21"/>
              </w:rPr>
            </w:pPr>
          </w:p>
        </w:tc>
        <w:tc>
          <w:tcPr>
            <w:tcW w:w="753" w:type="dxa"/>
            <w:vAlign w:val="top"/>
          </w:tcPr>
          <w:p w14:paraId="2E92AD7F">
            <w:pPr>
              <w:rPr>
                <w:rFonts w:ascii="Arial"/>
                <w:sz w:val="21"/>
              </w:rPr>
            </w:pPr>
          </w:p>
        </w:tc>
      </w:tr>
      <w:tr w14:paraId="414A8E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7" w:hRule="atLeast"/>
        </w:trPr>
        <w:tc>
          <w:tcPr>
            <w:tcW w:w="638" w:type="dxa"/>
            <w:vAlign w:val="top"/>
          </w:tcPr>
          <w:p w14:paraId="3AED87FE">
            <w:pPr>
              <w:rPr>
                <w:rFonts w:ascii="Arial"/>
                <w:sz w:val="21"/>
              </w:rPr>
            </w:pPr>
          </w:p>
        </w:tc>
        <w:tc>
          <w:tcPr>
            <w:tcW w:w="1032" w:type="dxa"/>
            <w:vAlign w:val="top"/>
          </w:tcPr>
          <w:p w14:paraId="72B2A1F4">
            <w:pPr>
              <w:rPr>
                <w:rFonts w:ascii="Arial"/>
                <w:sz w:val="21"/>
              </w:rPr>
            </w:pPr>
          </w:p>
        </w:tc>
        <w:tc>
          <w:tcPr>
            <w:tcW w:w="657" w:type="dxa"/>
            <w:vAlign w:val="top"/>
          </w:tcPr>
          <w:p w14:paraId="4662A679">
            <w:pPr>
              <w:rPr>
                <w:rFonts w:ascii="Arial"/>
                <w:sz w:val="21"/>
              </w:rPr>
            </w:pPr>
          </w:p>
        </w:tc>
        <w:tc>
          <w:tcPr>
            <w:tcW w:w="989" w:type="dxa"/>
            <w:vAlign w:val="top"/>
          </w:tcPr>
          <w:p w14:paraId="2BA93BD8">
            <w:pPr>
              <w:rPr>
                <w:rFonts w:ascii="Arial"/>
                <w:sz w:val="21"/>
              </w:rPr>
            </w:pPr>
          </w:p>
        </w:tc>
        <w:tc>
          <w:tcPr>
            <w:tcW w:w="696" w:type="dxa"/>
            <w:vAlign w:val="top"/>
          </w:tcPr>
          <w:p w14:paraId="117A89C0">
            <w:pPr>
              <w:rPr>
                <w:rFonts w:ascii="Arial"/>
                <w:sz w:val="21"/>
              </w:rPr>
            </w:pPr>
          </w:p>
        </w:tc>
        <w:tc>
          <w:tcPr>
            <w:tcW w:w="691" w:type="dxa"/>
            <w:vAlign w:val="top"/>
          </w:tcPr>
          <w:p w14:paraId="7378D557">
            <w:pPr>
              <w:rPr>
                <w:rFonts w:ascii="Arial"/>
                <w:sz w:val="21"/>
              </w:rPr>
            </w:pPr>
          </w:p>
        </w:tc>
        <w:tc>
          <w:tcPr>
            <w:tcW w:w="1161" w:type="dxa"/>
            <w:vAlign w:val="top"/>
          </w:tcPr>
          <w:p w14:paraId="561A9D31">
            <w:pPr>
              <w:rPr>
                <w:rFonts w:ascii="Arial"/>
                <w:sz w:val="21"/>
              </w:rPr>
            </w:pPr>
          </w:p>
        </w:tc>
        <w:tc>
          <w:tcPr>
            <w:tcW w:w="845" w:type="dxa"/>
            <w:vAlign w:val="top"/>
          </w:tcPr>
          <w:p w14:paraId="4599D2B4">
            <w:pPr>
              <w:rPr>
                <w:rFonts w:ascii="Arial"/>
                <w:sz w:val="21"/>
              </w:rPr>
            </w:pPr>
          </w:p>
        </w:tc>
        <w:tc>
          <w:tcPr>
            <w:tcW w:w="849" w:type="dxa"/>
            <w:vAlign w:val="top"/>
          </w:tcPr>
          <w:p w14:paraId="6DB1AD06">
            <w:pPr>
              <w:rPr>
                <w:rFonts w:ascii="Arial"/>
                <w:sz w:val="21"/>
              </w:rPr>
            </w:pPr>
          </w:p>
        </w:tc>
        <w:tc>
          <w:tcPr>
            <w:tcW w:w="753" w:type="dxa"/>
            <w:vAlign w:val="top"/>
          </w:tcPr>
          <w:p w14:paraId="6FC95AA1">
            <w:pPr>
              <w:rPr>
                <w:rFonts w:ascii="Arial"/>
                <w:sz w:val="21"/>
              </w:rPr>
            </w:pPr>
          </w:p>
        </w:tc>
      </w:tr>
      <w:tr w14:paraId="28410D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2" w:hRule="atLeast"/>
        </w:trPr>
        <w:tc>
          <w:tcPr>
            <w:tcW w:w="638" w:type="dxa"/>
            <w:vAlign w:val="top"/>
          </w:tcPr>
          <w:p w14:paraId="1F1DEFE1">
            <w:pPr>
              <w:rPr>
                <w:rFonts w:ascii="Arial"/>
                <w:sz w:val="21"/>
              </w:rPr>
            </w:pPr>
          </w:p>
        </w:tc>
        <w:tc>
          <w:tcPr>
            <w:tcW w:w="1032" w:type="dxa"/>
            <w:vAlign w:val="top"/>
          </w:tcPr>
          <w:p w14:paraId="1D0E7E76">
            <w:pPr>
              <w:rPr>
                <w:rFonts w:ascii="Arial"/>
                <w:sz w:val="21"/>
              </w:rPr>
            </w:pPr>
          </w:p>
        </w:tc>
        <w:tc>
          <w:tcPr>
            <w:tcW w:w="657" w:type="dxa"/>
            <w:vAlign w:val="top"/>
          </w:tcPr>
          <w:p w14:paraId="68CECAF2">
            <w:pPr>
              <w:rPr>
                <w:rFonts w:ascii="Arial"/>
                <w:sz w:val="21"/>
              </w:rPr>
            </w:pPr>
          </w:p>
        </w:tc>
        <w:tc>
          <w:tcPr>
            <w:tcW w:w="989" w:type="dxa"/>
            <w:vAlign w:val="top"/>
          </w:tcPr>
          <w:p w14:paraId="3B5B8D39">
            <w:pPr>
              <w:rPr>
                <w:rFonts w:ascii="Arial"/>
                <w:sz w:val="21"/>
              </w:rPr>
            </w:pPr>
          </w:p>
        </w:tc>
        <w:tc>
          <w:tcPr>
            <w:tcW w:w="696" w:type="dxa"/>
            <w:vAlign w:val="top"/>
          </w:tcPr>
          <w:p w14:paraId="710DB89E">
            <w:pPr>
              <w:rPr>
                <w:rFonts w:ascii="Arial"/>
                <w:sz w:val="21"/>
              </w:rPr>
            </w:pPr>
          </w:p>
        </w:tc>
        <w:tc>
          <w:tcPr>
            <w:tcW w:w="691" w:type="dxa"/>
            <w:vAlign w:val="top"/>
          </w:tcPr>
          <w:p w14:paraId="1A2F6DD8">
            <w:pPr>
              <w:rPr>
                <w:rFonts w:ascii="Arial"/>
                <w:sz w:val="21"/>
              </w:rPr>
            </w:pPr>
          </w:p>
        </w:tc>
        <w:tc>
          <w:tcPr>
            <w:tcW w:w="1161" w:type="dxa"/>
            <w:vAlign w:val="top"/>
          </w:tcPr>
          <w:p w14:paraId="4BBCCBF2">
            <w:pPr>
              <w:rPr>
                <w:rFonts w:ascii="Arial"/>
                <w:sz w:val="21"/>
              </w:rPr>
            </w:pPr>
          </w:p>
        </w:tc>
        <w:tc>
          <w:tcPr>
            <w:tcW w:w="845" w:type="dxa"/>
            <w:vAlign w:val="top"/>
          </w:tcPr>
          <w:p w14:paraId="32E94EC2">
            <w:pPr>
              <w:rPr>
                <w:rFonts w:ascii="Arial"/>
                <w:sz w:val="21"/>
              </w:rPr>
            </w:pPr>
          </w:p>
        </w:tc>
        <w:tc>
          <w:tcPr>
            <w:tcW w:w="849" w:type="dxa"/>
            <w:vAlign w:val="top"/>
          </w:tcPr>
          <w:p w14:paraId="5468FC8A">
            <w:pPr>
              <w:rPr>
                <w:rFonts w:ascii="Arial"/>
                <w:sz w:val="21"/>
              </w:rPr>
            </w:pPr>
          </w:p>
        </w:tc>
        <w:tc>
          <w:tcPr>
            <w:tcW w:w="753" w:type="dxa"/>
            <w:vAlign w:val="top"/>
          </w:tcPr>
          <w:p w14:paraId="675AE98C">
            <w:pPr>
              <w:rPr>
                <w:rFonts w:ascii="Arial"/>
                <w:sz w:val="21"/>
              </w:rPr>
            </w:pPr>
          </w:p>
        </w:tc>
      </w:tr>
      <w:tr w14:paraId="49FBF5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2" w:hRule="atLeast"/>
        </w:trPr>
        <w:tc>
          <w:tcPr>
            <w:tcW w:w="638" w:type="dxa"/>
            <w:vAlign w:val="top"/>
          </w:tcPr>
          <w:p w14:paraId="59762D6D">
            <w:pPr>
              <w:rPr>
                <w:rFonts w:ascii="Arial"/>
                <w:sz w:val="21"/>
              </w:rPr>
            </w:pPr>
          </w:p>
        </w:tc>
        <w:tc>
          <w:tcPr>
            <w:tcW w:w="1032" w:type="dxa"/>
            <w:vAlign w:val="top"/>
          </w:tcPr>
          <w:p w14:paraId="0E68AA37">
            <w:pPr>
              <w:rPr>
                <w:rFonts w:ascii="Arial"/>
                <w:sz w:val="21"/>
              </w:rPr>
            </w:pPr>
          </w:p>
        </w:tc>
        <w:tc>
          <w:tcPr>
            <w:tcW w:w="657" w:type="dxa"/>
            <w:vAlign w:val="top"/>
          </w:tcPr>
          <w:p w14:paraId="37AD03AC">
            <w:pPr>
              <w:rPr>
                <w:rFonts w:ascii="Arial"/>
                <w:sz w:val="21"/>
              </w:rPr>
            </w:pPr>
          </w:p>
        </w:tc>
        <w:tc>
          <w:tcPr>
            <w:tcW w:w="989" w:type="dxa"/>
            <w:vAlign w:val="top"/>
          </w:tcPr>
          <w:p w14:paraId="7BAFD32F">
            <w:pPr>
              <w:rPr>
                <w:rFonts w:ascii="Arial"/>
                <w:sz w:val="21"/>
              </w:rPr>
            </w:pPr>
          </w:p>
        </w:tc>
        <w:tc>
          <w:tcPr>
            <w:tcW w:w="696" w:type="dxa"/>
            <w:vAlign w:val="top"/>
          </w:tcPr>
          <w:p w14:paraId="20C58D49">
            <w:pPr>
              <w:rPr>
                <w:rFonts w:ascii="Arial"/>
                <w:sz w:val="21"/>
              </w:rPr>
            </w:pPr>
          </w:p>
        </w:tc>
        <w:tc>
          <w:tcPr>
            <w:tcW w:w="691" w:type="dxa"/>
            <w:vAlign w:val="top"/>
          </w:tcPr>
          <w:p w14:paraId="20A03CDA">
            <w:pPr>
              <w:rPr>
                <w:rFonts w:ascii="Arial"/>
                <w:sz w:val="21"/>
              </w:rPr>
            </w:pPr>
          </w:p>
        </w:tc>
        <w:tc>
          <w:tcPr>
            <w:tcW w:w="1161" w:type="dxa"/>
            <w:vAlign w:val="top"/>
          </w:tcPr>
          <w:p w14:paraId="2923C4E2">
            <w:pPr>
              <w:rPr>
                <w:rFonts w:ascii="Arial"/>
                <w:sz w:val="21"/>
              </w:rPr>
            </w:pPr>
          </w:p>
        </w:tc>
        <w:tc>
          <w:tcPr>
            <w:tcW w:w="845" w:type="dxa"/>
            <w:vAlign w:val="top"/>
          </w:tcPr>
          <w:p w14:paraId="30331DB9">
            <w:pPr>
              <w:rPr>
                <w:rFonts w:ascii="Arial"/>
                <w:sz w:val="21"/>
              </w:rPr>
            </w:pPr>
          </w:p>
        </w:tc>
        <w:tc>
          <w:tcPr>
            <w:tcW w:w="849" w:type="dxa"/>
            <w:vAlign w:val="top"/>
          </w:tcPr>
          <w:p w14:paraId="75815386">
            <w:pPr>
              <w:rPr>
                <w:rFonts w:ascii="Arial"/>
                <w:sz w:val="21"/>
              </w:rPr>
            </w:pPr>
          </w:p>
        </w:tc>
        <w:tc>
          <w:tcPr>
            <w:tcW w:w="753" w:type="dxa"/>
            <w:vAlign w:val="top"/>
          </w:tcPr>
          <w:p w14:paraId="07C35FD4">
            <w:pPr>
              <w:rPr>
                <w:rFonts w:ascii="Arial"/>
                <w:sz w:val="21"/>
              </w:rPr>
            </w:pPr>
          </w:p>
        </w:tc>
      </w:tr>
      <w:tr w14:paraId="36796D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7" w:hRule="atLeast"/>
        </w:trPr>
        <w:tc>
          <w:tcPr>
            <w:tcW w:w="638" w:type="dxa"/>
            <w:vAlign w:val="top"/>
          </w:tcPr>
          <w:p w14:paraId="6DA4D414">
            <w:pPr>
              <w:rPr>
                <w:rFonts w:ascii="Arial"/>
                <w:sz w:val="21"/>
              </w:rPr>
            </w:pPr>
          </w:p>
        </w:tc>
        <w:tc>
          <w:tcPr>
            <w:tcW w:w="1032" w:type="dxa"/>
            <w:vAlign w:val="top"/>
          </w:tcPr>
          <w:p w14:paraId="7BA090CD">
            <w:pPr>
              <w:rPr>
                <w:rFonts w:ascii="Arial"/>
                <w:sz w:val="21"/>
              </w:rPr>
            </w:pPr>
          </w:p>
        </w:tc>
        <w:tc>
          <w:tcPr>
            <w:tcW w:w="657" w:type="dxa"/>
            <w:vAlign w:val="top"/>
          </w:tcPr>
          <w:p w14:paraId="48012014">
            <w:pPr>
              <w:rPr>
                <w:rFonts w:ascii="Arial"/>
                <w:sz w:val="21"/>
              </w:rPr>
            </w:pPr>
          </w:p>
        </w:tc>
        <w:tc>
          <w:tcPr>
            <w:tcW w:w="989" w:type="dxa"/>
            <w:vAlign w:val="top"/>
          </w:tcPr>
          <w:p w14:paraId="42263403">
            <w:pPr>
              <w:rPr>
                <w:rFonts w:ascii="Arial"/>
                <w:sz w:val="21"/>
              </w:rPr>
            </w:pPr>
          </w:p>
        </w:tc>
        <w:tc>
          <w:tcPr>
            <w:tcW w:w="696" w:type="dxa"/>
            <w:vAlign w:val="top"/>
          </w:tcPr>
          <w:p w14:paraId="3E181462">
            <w:pPr>
              <w:rPr>
                <w:rFonts w:ascii="Arial"/>
                <w:sz w:val="21"/>
              </w:rPr>
            </w:pPr>
          </w:p>
        </w:tc>
        <w:tc>
          <w:tcPr>
            <w:tcW w:w="691" w:type="dxa"/>
            <w:vAlign w:val="top"/>
          </w:tcPr>
          <w:p w14:paraId="7F039F80">
            <w:pPr>
              <w:rPr>
                <w:rFonts w:ascii="Arial"/>
                <w:sz w:val="21"/>
              </w:rPr>
            </w:pPr>
          </w:p>
        </w:tc>
        <w:tc>
          <w:tcPr>
            <w:tcW w:w="1161" w:type="dxa"/>
            <w:vAlign w:val="top"/>
          </w:tcPr>
          <w:p w14:paraId="48EA8E5C">
            <w:pPr>
              <w:rPr>
                <w:rFonts w:ascii="Arial"/>
                <w:sz w:val="21"/>
              </w:rPr>
            </w:pPr>
          </w:p>
        </w:tc>
        <w:tc>
          <w:tcPr>
            <w:tcW w:w="845" w:type="dxa"/>
            <w:vAlign w:val="top"/>
          </w:tcPr>
          <w:p w14:paraId="6A99CCD4">
            <w:pPr>
              <w:rPr>
                <w:rFonts w:ascii="Arial"/>
                <w:sz w:val="21"/>
              </w:rPr>
            </w:pPr>
          </w:p>
        </w:tc>
        <w:tc>
          <w:tcPr>
            <w:tcW w:w="849" w:type="dxa"/>
            <w:vAlign w:val="top"/>
          </w:tcPr>
          <w:p w14:paraId="05725939">
            <w:pPr>
              <w:rPr>
                <w:rFonts w:ascii="Arial"/>
                <w:sz w:val="21"/>
              </w:rPr>
            </w:pPr>
          </w:p>
        </w:tc>
        <w:tc>
          <w:tcPr>
            <w:tcW w:w="753" w:type="dxa"/>
            <w:vAlign w:val="top"/>
          </w:tcPr>
          <w:p w14:paraId="15FEF900">
            <w:pPr>
              <w:rPr>
                <w:rFonts w:ascii="Arial"/>
                <w:sz w:val="21"/>
              </w:rPr>
            </w:pPr>
          </w:p>
        </w:tc>
      </w:tr>
      <w:tr w14:paraId="397450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2" w:hRule="atLeast"/>
        </w:trPr>
        <w:tc>
          <w:tcPr>
            <w:tcW w:w="638" w:type="dxa"/>
            <w:vAlign w:val="top"/>
          </w:tcPr>
          <w:p w14:paraId="07B8A982">
            <w:pPr>
              <w:rPr>
                <w:rFonts w:ascii="Arial"/>
                <w:sz w:val="21"/>
              </w:rPr>
            </w:pPr>
          </w:p>
        </w:tc>
        <w:tc>
          <w:tcPr>
            <w:tcW w:w="1032" w:type="dxa"/>
            <w:vAlign w:val="top"/>
          </w:tcPr>
          <w:p w14:paraId="451E983E">
            <w:pPr>
              <w:rPr>
                <w:rFonts w:ascii="Arial"/>
                <w:sz w:val="21"/>
              </w:rPr>
            </w:pPr>
          </w:p>
        </w:tc>
        <w:tc>
          <w:tcPr>
            <w:tcW w:w="657" w:type="dxa"/>
            <w:vAlign w:val="top"/>
          </w:tcPr>
          <w:p w14:paraId="366B7E90">
            <w:pPr>
              <w:rPr>
                <w:rFonts w:ascii="Arial"/>
                <w:sz w:val="21"/>
              </w:rPr>
            </w:pPr>
          </w:p>
        </w:tc>
        <w:tc>
          <w:tcPr>
            <w:tcW w:w="989" w:type="dxa"/>
            <w:vAlign w:val="top"/>
          </w:tcPr>
          <w:p w14:paraId="0D3EDA15">
            <w:pPr>
              <w:rPr>
                <w:rFonts w:ascii="Arial"/>
                <w:sz w:val="21"/>
              </w:rPr>
            </w:pPr>
          </w:p>
        </w:tc>
        <w:tc>
          <w:tcPr>
            <w:tcW w:w="696" w:type="dxa"/>
            <w:vAlign w:val="top"/>
          </w:tcPr>
          <w:p w14:paraId="50101A7A">
            <w:pPr>
              <w:rPr>
                <w:rFonts w:ascii="Arial"/>
                <w:sz w:val="21"/>
              </w:rPr>
            </w:pPr>
          </w:p>
        </w:tc>
        <w:tc>
          <w:tcPr>
            <w:tcW w:w="691" w:type="dxa"/>
            <w:vAlign w:val="top"/>
          </w:tcPr>
          <w:p w14:paraId="48C3DDAD">
            <w:pPr>
              <w:rPr>
                <w:rFonts w:ascii="Arial"/>
                <w:sz w:val="21"/>
              </w:rPr>
            </w:pPr>
          </w:p>
        </w:tc>
        <w:tc>
          <w:tcPr>
            <w:tcW w:w="1161" w:type="dxa"/>
            <w:vAlign w:val="top"/>
          </w:tcPr>
          <w:p w14:paraId="118B5F17">
            <w:pPr>
              <w:rPr>
                <w:rFonts w:ascii="Arial"/>
                <w:sz w:val="21"/>
              </w:rPr>
            </w:pPr>
          </w:p>
        </w:tc>
        <w:tc>
          <w:tcPr>
            <w:tcW w:w="845" w:type="dxa"/>
            <w:vAlign w:val="top"/>
          </w:tcPr>
          <w:p w14:paraId="39FB468C">
            <w:pPr>
              <w:rPr>
                <w:rFonts w:ascii="Arial"/>
                <w:sz w:val="21"/>
              </w:rPr>
            </w:pPr>
          </w:p>
        </w:tc>
        <w:tc>
          <w:tcPr>
            <w:tcW w:w="849" w:type="dxa"/>
            <w:vAlign w:val="top"/>
          </w:tcPr>
          <w:p w14:paraId="195DCF3D">
            <w:pPr>
              <w:rPr>
                <w:rFonts w:ascii="Arial"/>
                <w:sz w:val="21"/>
              </w:rPr>
            </w:pPr>
          </w:p>
        </w:tc>
        <w:tc>
          <w:tcPr>
            <w:tcW w:w="753" w:type="dxa"/>
            <w:vAlign w:val="top"/>
          </w:tcPr>
          <w:p w14:paraId="0F4BEFCB">
            <w:pPr>
              <w:rPr>
                <w:rFonts w:ascii="Arial"/>
                <w:sz w:val="21"/>
              </w:rPr>
            </w:pPr>
          </w:p>
        </w:tc>
      </w:tr>
      <w:tr w14:paraId="04CEFA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2" w:hRule="atLeast"/>
        </w:trPr>
        <w:tc>
          <w:tcPr>
            <w:tcW w:w="638" w:type="dxa"/>
            <w:vAlign w:val="top"/>
          </w:tcPr>
          <w:p w14:paraId="586FDFF7">
            <w:pPr>
              <w:rPr>
                <w:rFonts w:ascii="Arial"/>
                <w:sz w:val="21"/>
              </w:rPr>
            </w:pPr>
          </w:p>
        </w:tc>
        <w:tc>
          <w:tcPr>
            <w:tcW w:w="1032" w:type="dxa"/>
            <w:vAlign w:val="top"/>
          </w:tcPr>
          <w:p w14:paraId="7CB0007F">
            <w:pPr>
              <w:rPr>
                <w:rFonts w:ascii="Arial"/>
                <w:sz w:val="21"/>
              </w:rPr>
            </w:pPr>
          </w:p>
        </w:tc>
        <w:tc>
          <w:tcPr>
            <w:tcW w:w="657" w:type="dxa"/>
            <w:vAlign w:val="top"/>
          </w:tcPr>
          <w:p w14:paraId="132BD5A8">
            <w:pPr>
              <w:rPr>
                <w:rFonts w:ascii="Arial"/>
                <w:sz w:val="21"/>
              </w:rPr>
            </w:pPr>
          </w:p>
        </w:tc>
        <w:tc>
          <w:tcPr>
            <w:tcW w:w="989" w:type="dxa"/>
            <w:vAlign w:val="top"/>
          </w:tcPr>
          <w:p w14:paraId="53842D19">
            <w:pPr>
              <w:rPr>
                <w:rFonts w:ascii="Arial"/>
                <w:sz w:val="21"/>
              </w:rPr>
            </w:pPr>
          </w:p>
        </w:tc>
        <w:tc>
          <w:tcPr>
            <w:tcW w:w="696" w:type="dxa"/>
            <w:vAlign w:val="top"/>
          </w:tcPr>
          <w:p w14:paraId="013D9FD0">
            <w:pPr>
              <w:rPr>
                <w:rFonts w:ascii="Arial"/>
                <w:sz w:val="21"/>
              </w:rPr>
            </w:pPr>
          </w:p>
        </w:tc>
        <w:tc>
          <w:tcPr>
            <w:tcW w:w="691" w:type="dxa"/>
            <w:vAlign w:val="top"/>
          </w:tcPr>
          <w:p w14:paraId="7BF8BCD0">
            <w:pPr>
              <w:rPr>
                <w:rFonts w:ascii="Arial"/>
                <w:sz w:val="21"/>
              </w:rPr>
            </w:pPr>
          </w:p>
        </w:tc>
        <w:tc>
          <w:tcPr>
            <w:tcW w:w="1161" w:type="dxa"/>
            <w:vAlign w:val="top"/>
          </w:tcPr>
          <w:p w14:paraId="37E527B6">
            <w:pPr>
              <w:rPr>
                <w:rFonts w:ascii="Arial"/>
                <w:sz w:val="21"/>
              </w:rPr>
            </w:pPr>
          </w:p>
        </w:tc>
        <w:tc>
          <w:tcPr>
            <w:tcW w:w="845" w:type="dxa"/>
            <w:vAlign w:val="top"/>
          </w:tcPr>
          <w:p w14:paraId="044026B4">
            <w:pPr>
              <w:rPr>
                <w:rFonts w:ascii="Arial"/>
                <w:sz w:val="21"/>
              </w:rPr>
            </w:pPr>
          </w:p>
        </w:tc>
        <w:tc>
          <w:tcPr>
            <w:tcW w:w="849" w:type="dxa"/>
            <w:vAlign w:val="top"/>
          </w:tcPr>
          <w:p w14:paraId="0C1FC740">
            <w:pPr>
              <w:rPr>
                <w:rFonts w:ascii="Arial"/>
                <w:sz w:val="21"/>
              </w:rPr>
            </w:pPr>
          </w:p>
        </w:tc>
        <w:tc>
          <w:tcPr>
            <w:tcW w:w="753" w:type="dxa"/>
            <w:vAlign w:val="top"/>
          </w:tcPr>
          <w:p w14:paraId="5E3EE566">
            <w:pPr>
              <w:rPr>
                <w:rFonts w:ascii="Arial"/>
                <w:sz w:val="21"/>
              </w:rPr>
            </w:pPr>
          </w:p>
        </w:tc>
      </w:tr>
    </w:tbl>
    <w:p w14:paraId="57627E8B">
      <w:pPr>
        <w:pStyle w:val="3"/>
      </w:pPr>
    </w:p>
    <w:p w14:paraId="69219C9E">
      <w:pPr>
        <w:sectPr>
          <w:footerReference r:id="rId229" w:type="default"/>
          <w:pgSz w:w="11905" w:h="16839"/>
          <w:pgMar w:top="400" w:right="1785" w:bottom="1004" w:left="1785" w:header="0" w:footer="828" w:gutter="0"/>
          <w:pgNumType w:fmt="decimal"/>
          <w:cols w:space="720" w:num="1"/>
        </w:sectPr>
      </w:pPr>
    </w:p>
    <w:p w14:paraId="3E4AE3AC">
      <w:pPr>
        <w:pStyle w:val="3"/>
        <w:spacing w:line="267" w:lineRule="auto"/>
      </w:pPr>
    </w:p>
    <w:p w14:paraId="6F47D51C">
      <w:pPr>
        <w:pStyle w:val="3"/>
        <w:spacing w:line="267" w:lineRule="auto"/>
      </w:pPr>
    </w:p>
    <w:p w14:paraId="45BBAA88">
      <w:pPr>
        <w:pStyle w:val="3"/>
        <w:spacing w:line="268" w:lineRule="auto"/>
      </w:pPr>
    </w:p>
    <w:p w14:paraId="6193915C">
      <w:pPr>
        <w:pStyle w:val="3"/>
        <w:spacing w:line="268" w:lineRule="auto"/>
      </w:pPr>
    </w:p>
    <w:p w14:paraId="7377440C">
      <w:pPr>
        <w:spacing w:before="78" w:line="218" w:lineRule="auto"/>
        <w:ind w:left="32"/>
        <w:rPr>
          <w:rFonts w:ascii="黑体" w:hAnsi="黑体" w:eastAsia="黑体" w:cs="黑体"/>
          <w:sz w:val="24"/>
          <w:szCs w:val="24"/>
        </w:rPr>
      </w:pPr>
      <w:r>
        <w:rPr>
          <w:rFonts w:ascii="黑体" w:hAnsi="黑体" w:eastAsia="黑体" w:cs="黑体"/>
          <w:spacing w:val="-1"/>
          <w:sz w:val="24"/>
          <w:szCs w:val="24"/>
        </w:rPr>
        <w:t>附表二：拟配备本工程的试验和检测仪器设</w:t>
      </w:r>
      <w:r>
        <w:rPr>
          <w:rFonts w:ascii="黑体" w:hAnsi="黑体" w:eastAsia="黑体" w:cs="黑体"/>
          <w:spacing w:val="-2"/>
          <w:sz w:val="24"/>
          <w:szCs w:val="24"/>
        </w:rPr>
        <w:t>备表</w:t>
      </w:r>
    </w:p>
    <w:tbl>
      <w:tblPr>
        <w:tblStyle w:val="10"/>
        <w:tblW w:w="8316"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49"/>
        <w:gridCol w:w="1022"/>
        <w:gridCol w:w="652"/>
        <w:gridCol w:w="984"/>
        <w:gridCol w:w="691"/>
        <w:gridCol w:w="686"/>
        <w:gridCol w:w="1128"/>
        <w:gridCol w:w="1574"/>
        <w:gridCol w:w="830"/>
      </w:tblGrid>
      <w:tr w14:paraId="283726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749" w:type="dxa"/>
            <w:vAlign w:val="top"/>
          </w:tcPr>
          <w:p w14:paraId="797C0E7C">
            <w:pPr>
              <w:pStyle w:val="11"/>
              <w:spacing w:before="211" w:line="222" w:lineRule="auto"/>
              <w:ind w:left="170"/>
            </w:pPr>
            <w:r>
              <w:rPr>
                <w:spacing w:val="-2"/>
              </w:rPr>
              <w:t>序号</w:t>
            </w:r>
          </w:p>
        </w:tc>
        <w:tc>
          <w:tcPr>
            <w:tcW w:w="1022" w:type="dxa"/>
            <w:vAlign w:val="top"/>
          </w:tcPr>
          <w:p w14:paraId="0C624067">
            <w:pPr>
              <w:pStyle w:val="11"/>
              <w:spacing w:before="73" w:line="231" w:lineRule="auto"/>
              <w:ind w:left="197" w:right="196" w:hanging="1"/>
            </w:pPr>
            <w:r>
              <w:rPr>
                <w:spacing w:val="-2"/>
              </w:rPr>
              <w:t>仪器设</w:t>
            </w:r>
            <w:r>
              <w:t xml:space="preserve"> </w:t>
            </w:r>
            <w:r>
              <w:rPr>
                <w:spacing w:val="-3"/>
              </w:rPr>
              <w:t>备名称</w:t>
            </w:r>
          </w:p>
        </w:tc>
        <w:tc>
          <w:tcPr>
            <w:tcW w:w="652" w:type="dxa"/>
            <w:vAlign w:val="top"/>
          </w:tcPr>
          <w:p w14:paraId="6624599C">
            <w:pPr>
              <w:pStyle w:val="11"/>
              <w:spacing w:before="71" w:line="231" w:lineRule="auto"/>
              <w:ind w:left="120" w:right="113" w:firstLine="5"/>
            </w:pPr>
            <w:r>
              <w:rPr>
                <w:spacing w:val="-7"/>
              </w:rPr>
              <w:t>型号</w:t>
            </w:r>
            <w:r>
              <w:t xml:space="preserve"> </w:t>
            </w:r>
            <w:r>
              <w:rPr>
                <w:spacing w:val="-4"/>
              </w:rPr>
              <w:t>规格</w:t>
            </w:r>
          </w:p>
        </w:tc>
        <w:tc>
          <w:tcPr>
            <w:tcW w:w="984" w:type="dxa"/>
            <w:vAlign w:val="top"/>
          </w:tcPr>
          <w:p w14:paraId="47BF4DB5">
            <w:pPr>
              <w:pStyle w:val="11"/>
              <w:spacing w:before="211" w:line="221" w:lineRule="auto"/>
              <w:ind w:left="185"/>
            </w:pPr>
            <w:r>
              <w:rPr>
                <w:spacing w:val="-5"/>
              </w:rPr>
              <w:t>数</w:t>
            </w:r>
            <w:r>
              <w:rPr>
                <w:spacing w:val="4"/>
              </w:rPr>
              <w:t xml:space="preserve">  </w:t>
            </w:r>
            <w:r>
              <w:rPr>
                <w:spacing w:val="-5"/>
              </w:rPr>
              <w:t>量</w:t>
            </w:r>
          </w:p>
        </w:tc>
        <w:tc>
          <w:tcPr>
            <w:tcW w:w="691" w:type="dxa"/>
            <w:vAlign w:val="top"/>
          </w:tcPr>
          <w:p w14:paraId="5FC83F64">
            <w:pPr>
              <w:pStyle w:val="11"/>
              <w:spacing w:before="71" w:line="231" w:lineRule="auto"/>
              <w:ind w:left="144" w:right="126" w:firstLine="20"/>
            </w:pPr>
            <w:r>
              <w:rPr>
                <w:spacing w:val="-14"/>
              </w:rPr>
              <w:t>国别</w:t>
            </w:r>
            <w:r>
              <w:t xml:space="preserve"> </w:t>
            </w:r>
            <w:r>
              <w:rPr>
                <w:spacing w:val="-3"/>
              </w:rPr>
              <w:t>产地</w:t>
            </w:r>
          </w:p>
        </w:tc>
        <w:tc>
          <w:tcPr>
            <w:tcW w:w="686" w:type="dxa"/>
            <w:vAlign w:val="top"/>
          </w:tcPr>
          <w:p w14:paraId="5487123E">
            <w:pPr>
              <w:pStyle w:val="11"/>
              <w:spacing w:before="71" w:line="231" w:lineRule="auto"/>
              <w:ind w:left="141" w:right="126"/>
            </w:pPr>
            <w:r>
              <w:rPr>
                <w:spacing w:val="-4"/>
              </w:rPr>
              <w:t>制造</w:t>
            </w:r>
            <w:r>
              <w:t xml:space="preserve"> </w:t>
            </w:r>
            <w:r>
              <w:rPr>
                <w:spacing w:val="-4"/>
              </w:rPr>
              <w:t>年份</w:t>
            </w:r>
          </w:p>
        </w:tc>
        <w:tc>
          <w:tcPr>
            <w:tcW w:w="1128" w:type="dxa"/>
            <w:vAlign w:val="top"/>
          </w:tcPr>
          <w:p w14:paraId="78C7015B">
            <w:pPr>
              <w:pStyle w:val="11"/>
              <w:spacing w:before="71" w:line="231" w:lineRule="auto"/>
              <w:ind w:left="160" w:right="135" w:firstLine="13"/>
            </w:pPr>
            <w:r>
              <w:rPr>
                <w:spacing w:val="-7"/>
              </w:rPr>
              <w:t>已使用台</w:t>
            </w:r>
            <w:r>
              <w:t xml:space="preserve"> </w:t>
            </w:r>
            <w:r>
              <w:rPr>
                <w:spacing w:val="-13"/>
              </w:rPr>
              <w:t>时</w:t>
            </w:r>
            <w:r>
              <w:rPr>
                <w:spacing w:val="3"/>
              </w:rPr>
              <w:t xml:space="preserve">    </w:t>
            </w:r>
            <w:r>
              <w:rPr>
                <w:spacing w:val="-13"/>
              </w:rPr>
              <w:t>数</w:t>
            </w:r>
          </w:p>
        </w:tc>
        <w:tc>
          <w:tcPr>
            <w:tcW w:w="1574" w:type="dxa"/>
            <w:vAlign w:val="top"/>
          </w:tcPr>
          <w:p w14:paraId="7E3CEEC0">
            <w:pPr>
              <w:pStyle w:val="11"/>
              <w:spacing w:before="211" w:line="222" w:lineRule="auto"/>
              <w:ind w:left="484"/>
            </w:pPr>
            <w:r>
              <w:rPr>
                <w:spacing w:val="-5"/>
              </w:rPr>
              <w:t>用</w:t>
            </w:r>
            <w:r>
              <w:rPr>
                <w:spacing w:val="4"/>
              </w:rPr>
              <w:t xml:space="preserve">  </w:t>
            </w:r>
            <w:r>
              <w:rPr>
                <w:spacing w:val="-5"/>
              </w:rPr>
              <w:t>途</w:t>
            </w:r>
          </w:p>
        </w:tc>
        <w:tc>
          <w:tcPr>
            <w:tcW w:w="830" w:type="dxa"/>
            <w:vAlign w:val="top"/>
          </w:tcPr>
          <w:p w14:paraId="3561B4BA">
            <w:pPr>
              <w:pStyle w:val="11"/>
              <w:spacing w:before="211" w:line="222" w:lineRule="auto"/>
              <w:ind w:left="212"/>
            </w:pPr>
            <w:r>
              <w:rPr>
                <w:spacing w:val="-3"/>
              </w:rPr>
              <w:t>备注</w:t>
            </w:r>
          </w:p>
        </w:tc>
      </w:tr>
      <w:tr w14:paraId="1A504E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2" w:hRule="atLeast"/>
        </w:trPr>
        <w:tc>
          <w:tcPr>
            <w:tcW w:w="749" w:type="dxa"/>
            <w:vAlign w:val="top"/>
          </w:tcPr>
          <w:p w14:paraId="348ACC00">
            <w:pPr>
              <w:rPr>
                <w:rFonts w:ascii="Arial"/>
                <w:sz w:val="21"/>
              </w:rPr>
            </w:pPr>
          </w:p>
        </w:tc>
        <w:tc>
          <w:tcPr>
            <w:tcW w:w="1022" w:type="dxa"/>
            <w:vAlign w:val="top"/>
          </w:tcPr>
          <w:p w14:paraId="0B3161D0">
            <w:pPr>
              <w:rPr>
                <w:rFonts w:ascii="Arial"/>
                <w:sz w:val="21"/>
              </w:rPr>
            </w:pPr>
          </w:p>
        </w:tc>
        <w:tc>
          <w:tcPr>
            <w:tcW w:w="652" w:type="dxa"/>
            <w:vAlign w:val="top"/>
          </w:tcPr>
          <w:p w14:paraId="0713550D">
            <w:pPr>
              <w:rPr>
                <w:rFonts w:ascii="Arial"/>
                <w:sz w:val="21"/>
              </w:rPr>
            </w:pPr>
          </w:p>
        </w:tc>
        <w:tc>
          <w:tcPr>
            <w:tcW w:w="984" w:type="dxa"/>
            <w:vAlign w:val="top"/>
          </w:tcPr>
          <w:p w14:paraId="7382AE6E">
            <w:pPr>
              <w:rPr>
                <w:rFonts w:ascii="Arial"/>
                <w:sz w:val="21"/>
              </w:rPr>
            </w:pPr>
          </w:p>
        </w:tc>
        <w:tc>
          <w:tcPr>
            <w:tcW w:w="691" w:type="dxa"/>
            <w:vAlign w:val="top"/>
          </w:tcPr>
          <w:p w14:paraId="458D0D0A">
            <w:pPr>
              <w:rPr>
                <w:rFonts w:ascii="Arial"/>
                <w:sz w:val="21"/>
              </w:rPr>
            </w:pPr>
          </w:p>
        </w:tc>
        <w:tc>
          <w:tcPr>
            <w:tcW w:w="686" w:type="dxa"/>
            <w:vAlign w:val="top"/>
          </w:tcPr>
          <w:p w14:paraId="73F08F37">
            <w:pPr>
              <w:rPr>
                <w:rFonts w:ascii="Arial"/>
                <w:sz w:val="21"/>
              </w:rPr>
            </w:pPr>
          </w:p>
        </w:tc>
        <w:tc>
          <w:tcPr>
            <w:tcW w:w="1128" w:type="dxa"/>
            <w:vAlign w:val="top"/>
          </w:tcPr>
          <w:p w14:paraId="4CF5B19D">
            <w:pPr>
              <w:rPr>
                <w:rFonts w:ascii="Arial"/>
                <w:sz w:val="21"/>
              </w:rPr>
            </w:pPr>
          </w:p>
        </w:tc>
        <w:tc>
          <w:tcPr>
            <w:tcW w:w="1574" w:type="dxa"/>
            <w:vAlign w:val="top"/>
          </w:tcPr>
          <w:p w14:paraId="1458AE3E">
            <w:pPr>
              <w:rPr>
                <w:rFonts w:ascii="Arial"/>
                <w:sz w:val="21"/>
              </w:rPr>
            </w:pPr>
          </w:p>
        </w:tc>
        <w:tc>
          <w:tcPr>
            <w:tcW w:w="830" w:type="dxa"/>
            <w:vAlign w:val="top"/>
          </w:tcPr>
          <w:p w14:paraId="1AA80971">
            <w:pPr>
              <w:rPr>
                <w:rFonts w:ascii="Arial"/>
                <w:sz w:val="21"/>
              </w:rPr>
            </w:pPr>
          </w:p>
        </w:tc>
      </w:tr>
      <w:tr w14:paraId="0C6150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7" w:hRule="atLeast"/>
        </w:trPr>
        <w:tc>
          <w:tcPr>
            <w:tcW w:w="749" w:type="dxa"/>
            <w:vAlign w:val="top"/>
          </w:tcPr>
          <w:p w14:paraId="76FAC9EF">
            <w:pPr>
              <w:rPr>
                <w:rFonts w:ascii="Arial"/>
                <w:sz w:val="21"/>
              </w:rPr>
            </w:pPr>
          </w:p>
        </w:tc>
        <w:tc>
          <w:tcPr>
            <w:tcW w:w="1022" w:type="dxa"/>
            <w:vAlign w:val="top"/>
          </w:tcPr>
          <w:p w14:paraId="00F26252">
            <w:pPr>
              <w:rPr>
                <w:rFonts w:ascii="Arial"/>
                <w:sz w:val="21"/>
              </w:rPr>
            </w:pPr>
          </w:p>
        </w:tc>
        <w:tc>
          <w:tcPr>
            <w:tcW w:w="652" w:type="dxa"/>
            <w:vAlign w:val="top"/>
          </w:tcPr>
          <w:p w14:paraId="0DB29D29">
            <w:pPr>
              <w:rPr>
                <w:rFonts w:ascii="Arial"/>
                <w:sz w:val="21"/>
              </w:rPr>
            </w:pPr>
          </w:p>
        </w:tc>
        <w:tc>
          <w:tcPr>
            <w:tcW w:w="984" w:type="dxa"/>
            <w:vAlign w:val="top"/>
          </w:tcPr>
          <w:p w14:paraId="0895BCE3">
            <w:pPr>
              <w:rPr>
                <w:rFonts w:ascii="Arial"/>
                <w:sz w:val="21"/>
              </w:rPr>
            </w:pPr>
          </w:p>
        </w:tc>
        <w:tc>
          <w:tcPr>
            <w:tcW w:w="691" w:type="dxa"/>
            <w:vAlign w:val="top"/>
          </w:tcPr>
          <w:p w14:paraId="0F9CBFAA">
            <w:pPr>
              <w:rPr>
                <w:rFonts w:ascii="Arial"/>
                <w:sz w:val="21"/>
              </w:rPr>
            </w:pPr>
          </w:p>
        </w:tc>
        <w:tc>
          <w:tcPr>
            <w:tcW w:w="686" w:type="dxa"/>
            <w:vAlign w:val="top"/>
          </w:tcPr>
          <w:p w14:paraId="03158C7B">
            <w:pPr>
              <w:rPr>
                <w:rFonts w:ascii="Arial"/>
                <w:sz w:val="21"/>
              </w:rPr>
            </w:pPr>
          </w:p>
        </w:tc>
        <w:tc>
          <w:tcPr>
            <w:tcW w:w="1128" w:type="dxa"/>
            <w:vAlign w:val="top"/>
          </w:tcPr>
          <w:p w14:paraId="4D63A756">
            <w:pPr>
              <w:rPr>
                <w:rFonts w:ascii="Arial"/>
                <w:sz w:val="21"/>
              </w:rPr>
            </w:pPr>
          </w:p>
        </w:tc>
        <w:tc>
          <w:tcPr>
            <w:tcW w:w="1574" w:type="dxa"/>
            <w:vAlign w:val="top"/>
          </w:tcPr>
          <w:p w14:paraId="5DD78D3C">
            <w:pPr>
              <w:rPr>
                <w:rFonts w:ascii="Arial"/>
                <w:sz w:val="21"/>
              </w:rPr>
            </w:pPr>
          </w:p>
        </w:tc>
        <w:tc>
          <w:tcPr>
            <w:tcW w:w="830" w:type="dxa"/>
            <w:vAlign w:val="top"/>
          </w:tcPr>
          <w:p w14:paraId="6DB4F4E9">
            <w:pPr>
              <w:rPr>
                <w:rFonts w:ascii="Arial"/>
                <w:sz w:val="21"/>
              </w:rPr>
            </w:pPr>
          </w:p>
        </w:tc>
      </w:tr>
      <w:tr w14:paraId="01451B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1" w:hRule="atLeast"/>
        </w:trPr>
        <w:tc>
          <w:tcPr>
            <w:tcW w:w="749" w:type="dxa"/>
            <w:vAlign w:val="top"/>
          </w:tcPr>
          <w:p w14:paraId="7AC3457B">
            <w:pPr>
              <w:rPr>
                <w:rFonts w:ascii="Arial"/>
                <w:sz w:val="21"/>
              </w:rPr>
            </w:pPr>
          </w:p>
        </w:tc>
        <w:tc>
          <w:tcPr>
            <w:tcW w:w="1022" w:type="dxa"/>
            <w:vAlign w:val="top"/>
          </w:tcPr>
          <w:p w14:paraId="000F07B0">
            <w:pPr>
              <w:rPr>
                <w:rFonts w:ascii="Arial"/>
                <w:sz w:val="21"/>
              </w:rPr>
            </w:pPr>
          </w:p>
        </w:tc>
        <w:tc>
          <w:tcPr>
            <w:tcW w:w="652" w:type="dxa"/>
            <w:vAlign w:val="top"/>
          </w:tcPr>
          <w:p w14:paraId="4E174915">
            <w:pPr>
              <w:rPr>
                <w:rFonts w:ascii="Arial"/>
                <w:sz w:val="21"/>
              </w:rPr>
            </w:pPr>
          </w:p>
        </w:tc>
        <w:tc>
          <w:tcPr>
            <w:tcW w:w="984" w:type="dxa"/>
            <w:vAlign w:val="top"/>
          </w:tcPr>
          <w:p w14:paraId="340A4833">
            <w:pPr>
              <w:rPr>
                <w:rFonts w:ascii="Arial"/>
                <w:sz w:val="21"/>
              </w:rPr>
            </w:pPr>
          </w:p>
        </w:tc>
        <w:tc>
          <w:tcPr>
            <w:tcW w:w="691" w:type="dxa"/>
            <w:vAlign w:val="top"/>
          </w:tcPr>
          <w:p w14:paraId="7C9DC100">
            <w:pPr>
              <w:rPr>
                <w:rFonts w:ascii="Arial"/>
                <w:sz w:val="21"/>
              </w:rPr>
            </w:pPr>
          </w:p>
        </w:tc>
        <w:tc>
          <w:tcPr>
            <w:tcW w:w="686" w:type="dxa"/>
            <w:vAlign w:val="top"/>
          </w:tcPr>
          <w:p w14:paraId="53709B52">
            <w:pPr>
              <w:rPr>
                <w:rFonts w:ascii="Arial"/>
                <w:sz w:val="21"/>
              </w:rPr>
            </w:pPr>
          </w:p>
        </w:tc>
        <w:tc>
          <w:tcPr>
            <w:tcW w:w="1128" w:type="dxa"/>
            <w:vAlign w:val="top"/>
          </w:tcPr>
          <w:p w14:paraId="6C95AA69">
            <w:pPr>
              <w:rPr>
                <w:rFonts w:ascii="Arial"/>
                <w:sz w:val="21"/>
              </w:rPr>
            </w:pPr>
          </w:p>
        </w:tc>
        <w:tc>
          <w:tcPr>
            <w:tcW w:w="1574" w:type="dxa"/>
            <w:vAlign w:val="top"/>
          </w:tcPr>
          <w:p w14:paraId="1B303DF2">
            <w:pPr>
              <w:rPr>
                <w:rFonts w:ascii="Arial"/>
                <w:sz w:val="21"/>
              </w:rPr>
            </w:pPr>
          </w:p>
        </w:tc>
        <w:tc>
          <w:tcPr>
            <w:tcW w:w="830" w:type="dxa"/>
            <w:vAlign w:val="top"/>
          </w:tcPr>
          <w:p w14:paraId="5E37F589">
            <w:pPr>
              <w:rPr>
                <w:rFonts w:ascii="Arial"/>
                <w:sz w:val="21"/>
              </w:rPr>
            </w:pPr>
          </w:p>
        </w:tc>
      </w:tr>
      <w:tr w14:paraId="4C3377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2" w:hRule="atLeast"/>
        </w:trPr>
        <w:tc>
          <w:tcPr>
            <w:tcW w:w="749" w:type="dxa"/>
            <w:vAlign w:val="top"/>
          </w:tcPr>
          <w:p w14:paraId="2B345382">
            <w:pPr>
              <w:rPr>
                <w:rFonts w:ascii="Arial"/>
                <w:sz w:val="21"/>
              </w:rPr>
            </w:pPr>
          </w:p>
        </w:tc>
        <w:tc>
          <w:tcPr>
            <w:tcW w:w="1022" w:type="dxa"/>
            <w:vAlign w:val="top"/>
          </w:tcPr>
          <w:p w14:paraId="745E7C53">
            <w:pPr>
              <w:rPr>
                <w:rFonts w:ascii="Arial"/>
                <w:sz w:val="21"/>
              </w:rPr>
            </w:pPr>
          </w:p>
        </w:tc>
        <w:tc>
          <w:tcPr>
            <w:tcW w:w="652" w:type="dxa"/>
            <w:vAlign w:val="top"/>
          </w:tcPr>
          <w:p w14:paraId="3199A517">
            <w:pPr>
              <w:rPr>
                <w:rFonts w:ascii="Arial"/>
                <w:sz w:val="21"/>
              </w:rPr>
            </w:pPr>
          </w:p>
        </w:tc>
        <w:tc>
          <w:tcPr>
            <w:tcW w:w="984" w:type="dxa"/>
            <w:vAlign w:val="top"/>
          </w:tcPr>
          <w:p w14:paraId="4D3E3BBA">
            <w:pPr>
              <w:rPr>
                <w:rFonts w:ascii="Arial"/>
                <w:sz w:val="21"/>
              </w:rPr>
            </w:pPr>
          </w:p>
        </w:tc>
        <w:tc>
          <w:tcPr>
            <w:tcW w:w="691" w:type="dxa"/>
            <w:vAlign w:val="top"/>
          </w:tcPr>
          <w:p w14:paraId="3DA27C22">
            <w:pPr>
              <w:rPr>
                <w:rFonts w:ascii="Arial"/>
                <w:sz w:val="21"/>
              </w:rPr>
            </w:pPr>
          </w:p>
        </w:tc>
        <w:tc>
          <w:tcPr>
            <w:tcW w:w="686" w:type="dxa"/>
            <w:vAlign w:val="top"/>
          </w:tcPr>
          <w:p w14:paraId="4580CA3C">
            <w:pPr>
              <w:rPr>
                <w:rFonts w:ascii="Arial"/>
                <w:sz w:val="21"/>
              </w:rPr>
            </w:pPr>
          </w:p>
        </w:tc>
        <w:tc>
          <w:tcPr>
            <w:tcW w:w="1128" w:type="dxa"/>
            <w:vAlign w:val="top"/>
          </w:tcPr>
          <w:p w14:paraId="332827EF">
            <w:pPr>
              <w:rPr>
                <w:rFonts w:ascii="Arial"/>
                <w:sz w:val="21"/>
              </w:rPr>
            </w:pPr>
          </w:p>
        </w:tc>
        <w:tc>
          <w:tcPr>
            <w:tcW w:w="1574" w:type="dxa"/>
            <w:vAlign w:val="top"/>
          </w:tcPr>
          <w:p w14:paraId="0DA2ED43">
            <w:pPr>
              <w:rPr>
                <w:rFonts w:ascii="Arial"/>
                <w:sz w:val="21"/>
              </w:rPr>
            </w:pPr>
          </w:p>
        </w:tc>
        <w:tc>
          <w:tcPr>
            <w:tcW w:w="830" w:type="dxa"/>
            <w:vAlign w:val="top"/>
          </w:tcPr>
          <w:p w14:paraId="1247E4D4">
            <w:pPr>
              <w:rPr>
                <w:rFonts w:ascii="Arial"/>
                <w:sz w:val="21"/>
              </w:rPr>
            </w:pPr>
          </w:p>
        </w:tc>
      </w:tr>
      <w:tr w14:paraId="414F25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7" w:hRule="atLeast"/>
        </w:trPr>
        <w:tc>
          <w:tcPr>
            <w:tcW w:w="749" w:type="dxa"/>
            <w:vAlign w:val="top"/>
          </w:tcPr>
          <w:p w14:paraId="2A36D762">
            <w:pPr>
              <w:rPr>
                <w:rFonts w:ascii="Arial"/>
                <w:sz w:val="21"/>
              </w:rPr>
            </w:pPr>
          </w:p>
        </w:tc>
        <w:tc>
          <w:tcPr>
            <w:tcW w:w="1022" w:type="dxa"/>
            <w:vAlign w:val="top"/>
          </w:tcPr>
          <w:p w14:paraId="4F0BF7BA">
            <w:pPr>
              <w:rPr>
                <w:rFonts w:ascii="Arial"/>
                <w:sz w:val="21"/>
              </w:rPr>
            </w:pPr>
          </w:p>
        </w:tc>
        <w:tc>
          <w:tcPr>
            <w:tcW w:w="652" w:type="dxa"/>
            <w:vAlign w:val="top"/>
          </w:tcPr>
          <w:p w14:paraId="437E9D38">
            <w:pPr>
              <w:rPr>
                <w:rFonts w:ascii="Arial"/>
                <w:sz w:val="21"/>
              </w:rPr>
            </w:pPr>
          </w:p>
        </w:tc>
        <w:tc>
          <w:tcPr>
            <w:tcW w:w="984" w:type="dxa"/>
            <w:vAlign w:val="top"/>
          </w:tcPr>
          <w:p w14:paraId="5327B4C0">
            <w:pPr>
              <w:rPr>
                <w:rFonts w:ascii="Arial"/>
                <w:sz w:val="21"/>
              </w:rPr>
            </w:pPr>
          </w:p>
        </w:tc>
        <w:tc>
          <w:tcPr>
            <w:tcW w:w="691" w:type="dxa"/>
            <w:vAlign w:val="top"/>
          </w:tcPr>
          <w:p w14:paraId="1A4CE3EE">
            <w:pPr>
              <w:rPr>
                <w:rFonts w:ascii="Arial"/>
                <w:sz w:val="21"/>
              </w:rPr>
            </w:pPr>
          </w:p>
        </w:tc>
        <w:tc>
          <w:tcPr>
            <w:tcW w:w="686" w:type="dxa"/>
            <w:vAlign w:val="top"/>
          </w:tcPr>
          <w:p w14:paraId="1C58C09D">
            <w:pPr>
              <w:rPr>
                <w:rFonts w:ascii="Arial"/>
                <w:sz w:val="21"/>
              </w:rPr>
            </w:pPr>
          </w:p>
        </w:tc>
        <w:tc>
          <w:tcPr>
            <w:tcW w:w="1128" w:type="dxa"/>
            <w:vAlign w:val="top"/>
          </w:tcPr>
          <w:p w14:paraId="0520A9DD">
            <w:pPr>
              <w:rPr>
                <w:rFonts w:ascii="Arial"/>
                <w:sz w:val="21"/>
              </w:rPr>
            </w:pPr>
          </w:p>
        </w:tc>
        <w:tc>
          <w:tcPr>
            <w:tcW w:w="1574" w:type="dxa"/>
            <w:vAlign w:val="top"/>
          </w:tcPr>
          <w:p w14:paraId="508314C8">
            <w:pPr>
              <w:rPr>
                <w:rFonts w:ascii="Arial"/>
                <w:sz w:val="21"/>
              </w:rPr>
            </w:pPr>
          </w:p>
        </w:tc>
        <w:tc>
          <w:tcPr>
            <w:tcW w:w="830" w:type="dxa"/>
            <w:vAlign w:val="top"/>
          </w:tcPr>
          <w:p w14:paraId="3981026A">
            <w:pPr>
              <w:rPr>
                <w:rFonts w:ascii="Arial"/>
                <w:sz w:val="21"/>
              </w:rPr>
            </w:pPr>
          </w:p>
        </w:tc>
      </w:tr>
      <w:tr w14:paraId="477AFF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1" w:hRule="atLeast"/>
        </w:trPr>
        <w:tc>
          <w:tcPr>
            <w:tcW w:w="749" w:type="dxa"/>
            <w:vAlign w:val="top"/>
          </w:tcPr>
          <w:p w14:paraId="30125514">
            <w:pPr>
              <w:rPr>
                <w:rFonts w:ascii="Arial"/>
                <w:sz w:val="21"/>
              </w:rPr>
            </w:pPr>
          </w:p>
        </w:tc>
        <w:tc>
          <w:tcPr>
            <w:tcW w:w="1022" w:type="dxa"/>
            <w:vAlign w:val="top"/>
          </w:tcPr>
          <w:p w14:paraId="222859C8">
            <w:pPr>
              <w:rPr>
                <w:rFonts w:ascii="Arial"/>
                <w:sz w:val="21"/>
              </w:rPr>
            </w:pPr>
          </w:p>
        </w:tc>
        <w:tc>
          <w:tcPr>
            <w:tcW w:w="652" w:type="dxa"/>
            <w:vAlign w:val="top"/>
          </w:tcPr>
          <w:p w14:paraId="6421195D">
            <w:pPr>
              <w:rPr>
                <w:rFonts w:ascii="Arial"/>
                <w:sz w:val="21"/>
              </w:rPr>
            </w:pPr>
          </w:p>
        </w:tc>
        <w:tc>
          <w:tcPr>
            <w:tcW w:w="984" w:type="dxa"/>
            <w:vAlign w:val="top"/>
          </w:tcPr>
          <w:p w14:paraId="70373967">
            <w:pPr>
              <w:rPr>
                <w:rFonts w:ascii="Arial"/>
                <w:sz w:val="21"/>
              </w:rPr>
            </w:pPr>
          </w:p>
        </w:tc>
        <w:tc>
          <w:tcPr>
            <w:tcW w:w="691" w:type="dxa"/>
            <w:vAlign w:val="top"/>
          </w:tcPr>
          <w:p w14:paraId="11394966">
            <w:pPr>
              <w:rPr>
                <w:rFonts w:ascii="Arial"/>
                <w:sz w:val="21"/>
              </w:rPr>
            </w:pPr>
          </w:p>
        </w:tc>
        <w:tc>
          <w:tcPr>
            <w:tcW w:w="686" w:type="dxa"/>
            <w:vAlign w:val="top"/>
          </w:tcPr>
          <w:p w14:paraId="4AA922FD">
            <w:pPr>
              <w:rPr>
                <w:rFonts w:ascii="Arial"/>
                <w:sz w:val="21"/>
              </w:rPr>
            </w:pPr>
          </w:p>
        </w:tc>
        <w:tc>
          <w:tcPr>
            <w:tcW w:w="1128" w:type="dxa"/>
            <w:vAlign w:val="top"/>
          </w:tcPr>
          <w:p w14:paraId="54BF87B6">
            <w:pPr>
              <w:rPr>
                <w:rFonts w:ascii="Arial"/>
                <w:sz w:val="21"/>
              </w:rPr>
            </w:pPr>
          </w:p>
        </w:tc>
        <w:tc>
          <w:tcPr>
            <w:tcW w:w="1574" w:type="dxa"/>
            <w:vAlign w:val="top"/>
          </w:tcPr>
          <w:p w14:paraId="7AB2D5FB">
            <w:pPr>
              <w:rPr>
                <w:rFonts w:ascii="Arial"/>
                <w:sz w:val="21"/>
              </w:rPr>
            </w:pPr>
          </w:p>
        </w:tc>
        <w:tc>
          <w:tcPr>
            <w:tcW w:w="830" w:type="dxa"/>
            <w:vAlign w:val="top"/>
          </w:tcPr>
          <w:p w14:paraId="2D3D2B11">
            <w:pPr>
              <w:rPr>
                <w:rFonts w:ascii="Arial"/>
                <w:sz w:val="21"/>
              </w:rPr>
            </w:pPr>
          </w:p>
        </w:tc>
      </w:tr>
      <w:tr w14:paraId="0BA64A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7" w:hRule="atLeast"/>
        </w:trPr>
        <w:tc>
          <w:tcPr>
            <w:tcW w:w="749" w:type="dxa"/>
            <w:vAlign w:val="top"/>
          </w:tcPr>
          <w:p w14:paraId="0C112FB3">
            <w:pPr>
              <w:rPr>
                <w:rFonts w:ascii="Arial"/>
                <w:sz w:val="21"/>
              </w:rPr>
            </w:pPr>
          </w:p>
        </w:tc>
        <w:tc>
          <w:tcPr>
            <w:tcW w:w="1022" w:type="dxa"/>
            <w:vAlign w:val="top"/>
          </w:tcPr>
          <w:p w14:paraId="603E7529">
            <w:pPr>
              <w:rPr>
                <w:rFonts w:ascii="Arial"/>
                <w:sz w:val="21"/>
              </w:rPr>
            </w:pPr>
          </w:p>
        </w:tc>
        <w:tc>
          <w:tcPr>
            <w:tcW w:w="652" w:type="dxa"/>
            <w:vAlign w:val="top"/>
          </w:tcPr>
          <w:p w14:paraId="726FBB5E">
            <w:pPr>
              <w:rPr>
                <w:rFonts w:ascii="Arial"/>
                <w:sz w:val="21"/>
              </w:rPr>
            </w:pPr>
          </w:p>
        </w:tc>
        <w:tc>
          <w:tcPr>
            <w:tcW w:w="984" w:type="dxa"/>
            <w:vAlign w:val="top"/>
          </w:tcPr>
          <w:p w14:paraId="1D77153F">
            <w:pPr>
              <w:rPr>
                <w:rFonts w:ascii="Arial"/>
                <w:sz w:val="21"/>
              </w:rPr>
            </w:pPr>
          </w:p>
        </w:tc>
        <w:tc>
          <w:tcPr>
            <w:tcW w:w="691" w:type="dxa"/>
            <w:vAlign w:val="top"/>
          </w:tcPr>
          <w:p w14:paraId="1F182CA8">
            <w:pPr>
              <w:rPr>
                <w:rFonts w:ascii="Arial"/>
                <w:sz w:val="21"/>
              </w:rPr>
            </w:pPr>
          </w:p>
        </w:tc>
        <w:tc>
          <w:tcPr>
            <w:tcW w:w="686" w:type="dxa"/>
            <w:vAlign w:val="top"/>
          </w:tcPr>
          <w:p w14:paraId="3CFF0B61">
            <w:pPr>
              <w:rPr>
                <w:rFonts w:ascii="Arial"/>
                <w:sz w:val="21"/>
              </w:rPr>
            </w:pPr>
          </w:p>
        </w:tc>
        <w:tc>
          <w:tcPr>
            <w:tcW w:w="1128" w:type="dxa"/>
            <w:vAlign w:val="top"/>
          </w:tcPr>
          <w:p w14:paraId="273F921E">
            <w:pPr>
              <w:rPr>
                <w:rFonts w:ascii="Arial"/>
                <w:sz w:val="21"/>
              </w:rPr>
            </w:pPr>
          </w:p>
        </w:tc>
        <w:tc>
          <w:tcPr>
            <w:tcW w:w="1574" w:type="dxa"/>
            <w:vAlign w:val="top"/>
          </w:tcPr>
          <w:p w14:paraId="5055C2D9">
            <w:pPr>
              <w:rPr>
                <w:rFonts w:ascii="Arial"/>
                <w:sz w:val="21"/>
              </w:rPr>
            </w:pPr>
          </w:p>
        </w:tc>
        <w:tc>
          <w:tcPr>
            <w:tcW w:w="830" w:type="dxa"/>
            <w:vAlign w:val="top"/>
          </w:tcPr>
          <w:p w14:paraId="3616FCD8">
            <w:pPr>
              <w:rPr>
                <w:rFonts w:ascii="Arial"/>
                <w:sz w:val="21"/>
              </w:rPr>
            </w:pPr>
          </w:p>
        </w:tc>
      </w:tr>
      <w:tr w14:paraId="23F05D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1" w:hRule="atLeast"/>
        </w:trPr>
        <w:tc>
          <w:tcPr>
            <w:tcW w:w="749" w:type="dxa"/>
            <w:vAlign w:val="top"/>
          </w:tcPr>
          <w:p w14:paraId="7DCE8439">
            <w:pPr>
              <w:rPr>
                <w:rFonts w:ascii="Arial"/>
                <w:sz w:val="21"/>
              </w:rPr>
            </w:pPr>
          </w:p>
        </w:tc>
        <w:tc>
          <w:tcPr>
            <w:tcW w:w="1022" w:type="dxa"/>
            <w:vAlign w:val="top"/>
          </w:tcPr>
          <w:p w14:paraId="25E82193">
            <w:pPr>
              <w:rPr>
                <w:rFonts w:ascii="Arial"/>
                <w:sz w:val="21"/>
              </w:rPr>
            </w:pPr>
          </w:p>
        </w:tc>
        <w:tc>
          <w:tcPr>
            <w:tcW w:w="652" w:type="dxa"/>
            <w:vAlign w:val="top"/>
          </w:tcPr>
          <w:p w14:paraId="36BA6F37">
            <w:pPr>
              <w:rPr>
                <w:rFonts w:ascii="Arial"/>
                <w:sz w:val="21"/>
              </w:rPr>
            </w:pPr>
          </w:p>
        </w:tc>
        <w:tc>
          <w:tcPr>
            <w:tcW w:w="984" w:type="dxa"/>
            <w:vAlign w:val="top"/>
          </w:tcPr>
          <w:p w14:paraId="68BB0CCA">
            <w:pPr>
              <w:rPr>
                <w:rFonts w:ascii="Arial"/>
                <w:sz w:val="21"/>
              </w:rPr>
            </w:pPr>
          </w:p>
        </w:tc>
        <w:tc>
          <w:tcPr>
            <w:tcW w:w="691" w:type="dxa"/>
            <w:vAlign w:val="top"/>
          </w:tcPr>
          <w:p w14:paraId="59F6F13B">
            <w:pPr>
              <w:rPr>
                <w:rFonts w:ascii="Arial"/>
                <w:sz w:val="21"/>
              </w:rPr>
            </w:pPr>
          </w:p>
        </w:tc>
        <w:tc>
          <w:tcPr>
            <w:tcW w:w="686" w:type="dxa"/>
            <w:vAlign w:val="top"/>
          </w:tcPr>
          <w:p w14:paraId="4460A4F5">
            <w:pPr>
              <w:rPr>
                <w:rFonts w:ascii="Arial"/>
                <w:sz w:val="21"/>
              </w:rPr>
            </w:pPr>
          </w:p>
        </w:tc>
        <w:tc>
          <w:tcPr>
            <w:tcW w:w="1128" w:type="dxa"/>
            <w:vAlign w:val="top"/>
          </w:tcPr>
          <w:p w14:paraId="19A14E57">
            <w:pPr>
              <w:rPr>
                <w:rFonts w:ascii="Arial"/>
                <w:sz w:val="21"/>
              </w:rPr>
            </w:pPr>
          </w:p>
        </w:tc>
        <w:tc>
          <w:tcPr>
            <w:tcW w:w="1574" w:type="dxa"/>
            <w:vAlign w:val="top"/>
          </w:tcPr>
          <w:p w14:paraId="26F5E251">
            <w:pPr>
              <w:rPr>
                <w:rFonts w:ascii="Arial"/>
                <w:sz w:val="21"/>
              </w:rPr>
            </w:pPr>
          </w:p>
        </w:tc>
        <w:tc>
          <w:tcPr>
            <w:tcW w:w="830" w:type="dxa"/>
            <w:vAlign w:val="top"/>
          </w:tcPr>
          <w:p w14:paraId="588371AD">
            <w:pPr>
              <w:rPr>
                <w:rFonts w:ascii="Arial"/>
                <w:sz w:val="21"/>
              </w:rPr>
            </w:pPr>
          </w:p>
        </w:tc>
      </w:tr>
      <w:tr w14:paraId="7CD431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2" w:hRule="atLeast"/>
        </w:trPr>
        <w:tc>
          <w:tcPr>
            <w:tcW w:w="749" w:type="dxa"/>
            <w:vAlign w:val="top"/>
          </w:tcPr>
          <w:p w14:paraId="69772E87">
            <w:pPr>
              <w:rPr>
                <w:rFonts w:ascii="Arial"/>
                <w:sz w:val="21"/>
              </w:rPr>
            </w:pPr>
          </w:p>
        </w:tc>
        <w:tc>
          <w:tcPr>
            <w:tcW w:w="1022" w:type="dxa"/>
            <w:vAlign w:val="top"/>
          </w:tcPr>
          <w:p w14:paraId="0465F9B8">
            <w:pPr>
              <w:rPr>
                <w:rFonts w:ascii="Arial"/>
                <w:sz w:val="21"/>
              </w:rPr>
            </w:pPr>
          </w:p>
        </w:tc>
        <w:tc>
          <w:tcPr>
            <w:tcW w:w="652" w:type="dxa"/>
            <w:vAlign w:val="top"/>
          </w:tcPr>
          <w:p w14:paraId="3BC43B2E">
            <w:pPr>
              <w:rPr>
                <w:rFonts w:ascii="Arial"/>
                <w:sz w:val="21"/>
              </w:rPr>
            </w:pPr>
          </w:p>
        </w:tc>
        <w:tc>
          <w:tcPr>
            <w:tcW w:w="984" w:type="dxa"/>
            <w:vAlign w:val="top"/>
          </w:tcPr>
          <w:p w14:paraId="17FE61B4">
            <w:pPr>
              <w:rPr>
                <w:rFonts w:ascii="Arial"/>
                <w:sz w:val="21"/>
              </w:rPr>
            </w:pPr>
          </w:p>
        </w:tc>
        <w:tc>
          <w:tcPr>
            <w:tcW w:w="691" w:type="dxa"/>
            <w:vAlign w:val="top"/>
          </w:tcPr>
          <w:p w14:paraId="42B9F03C">
            <w:pPr>
              <w:rPr>
                <w:rFonts w:ascii="Arial"/>
                <w:sz w:val="21"/>
              </w:rPr>
            </w:pPr>
          </w:p>
        </w:tc>
        <w:tc>
          <w:tcPr>
            <w:tcW w:w="686" w:type="dxa"/>
            <w:vAlign w:val="top"/>
          </w:tcPr>
          <w:p w14:paraId="58A6884D">
            <w:pPr>
              <w:rPr>
                <w:rFonts w:ascii="Arial"/>
                <w:sz w:val="21"/>
              </w:rPr>
            </w:pPr>
          </w:p>
        </w:tc>
        <w:tc>
          <w:tcPr>
            <w:tcW w:w="1128" w:type="dxa"/>
            <w:vAlign w:val="top"/>
          </w:tcPr>
          <w:p w14:paraId="71EB23D4">
            <w:pPr>
              <w:rPr>
                <w:rFonts w:ascii="Arial"/>
                <w:sz w:val="21"/>
              </w:rPr>
            </w:pPr>
          </w:p>
        </w:tc>
        <w:tc>
          <w:tcPr>
            <w:tcW w:w="1574" w:type="dxa"/>
            <w:vAlign w:val="top"/>
          </w:tcPr>
          <w:p w14:paraId="198538AF">
            <w:pPr>
              <w:rPr>
                <w:rFonts w:ascii="Arial"/>
                <w:sz w:val="21"/>
              </w:rPr>
            </w:pPr>
          </w:p>
        </w:tc>
        <w:tc>
          <w:tcPr>
            <w:tcW w:w="830" w:type="dxa"/>
            <w:vAlign w:val="top"/>
          </w:tcPr>
          <w:p w14:paraId="6BC01EDA">
            <w:pPr>
              <w:rPr>
                <w:rFonts w:ascii="Arial"/>
                <w:sz w:val="21"/>
              </w:rPr>
            </w:pPr>
          </w:p>
        </w:tc>
      </w:tr>
      <w:tr w14:paraId="3A47EF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7" w:hRule="atLeast"/>
        </w:trPr>
        <w:tc>
          <w:tcPr>
            <w:tcW w:w="749" w:type="dxa"/>
            <w:vAlign w:val="top"/>
          </w:tcPr>
          <w:p w14:paraId="0C56A68F">
            <w:pPr>
              <w:rPr>
                <w:rFonts w:ascii="Arial"/>
                <w:sz w:val="21"/>
              </w:rPr>
            </w:pPr>
          </w:p>
        </w:tc>
        <w:tc>
          <w:tcPr>
            <w:tcW w:w="1022" w:type="dxa"/>
            <w:vAlign w:val="top"/>
          </w:tcPr>
          <w:p w14:paraId="2BF6A22F">
            <w:pPr>
              <w:rPr>
                <w:rFonts w:ascii="Arial"/>
                <w:sz w:val="21"/>
              </w:rPr>
            </w:pPr>
          </w:p>
        </w:tc>
        <w:tc>
          <w:tcPr>
            <w:tcW w:w="652" w:type="dxa"/>
            <w:vAlign w:val="top"/>
          </w:tcPr>
          <w:p w14:paraId="1D8E99C8">
            <w:pPr>
              <w:rPr>
                <w:rFonts w:ascii="Arial"/>
                <w:sz w:val="21"/>
              </w:rPr>
            </w:pPr>
          </w:p>
        </w:tc>
        <w:tc>
          <w:tcPr>
            <w:tcW w:w="984" w:type="dxa"/>
            <w:vAlign w:val="top"/>
          </w:tcPr>
          <w:p w14:paraId="124304E8">
            <w:pPr>
              <w:rPr>
                <w:rFonts w:ascii="Arial"/>
                <w:sz w:val="21"/>
              </w:rPr>
            </w:pPr>
          </w:p>
        </w:tc>
        <w:tc>
          <w:tcPr>
            <w:tcW w:w="691" w:type="dxa"/>
            <w:vAlign w:val="top"/>
          </w:tcPr>
          <w:p w14:paraId="6392E70C">
            <w:pPr>
              <w:rPr>
                <w:rFonts w:ascii="Arial"/>
                <w:sz w:val="21"/>
              </w:rPr>
            </w:pPr>
          </w:p>
        </w:tc>
        <w:tc>
          <w:tcPr>
            <w:tcW w:w="686" w:type="dxa"/>
            <w:vAlign w:val="top"/>
          </w:tcPr>
          <w:p w14:paraId="73A4A424">
            <w:pPr>
              <w:rPr>
                <w:rFonts w:ascii="Arial"/>
                <w:sz w:val="21"/>
              </w:rPr>
            </w:pPr>
          </w:p>
        </w:tc>
        <w:tc>
          <w:tcPr>
            <w:tcW w:w="1128" w:type="dxa"/>
            <w:vAlign w:val="top"/>
          </w:tcPr>
          <w:p w14:paraId="3D9ECD3F">
            <w:pPr>
              <w:rPr>
                <w:rFonts w:ascii="Arial"/>
                <w:sz w:val="21"/>
              </w:rPr>
            </w:pPr>
          </w:p>
        </w:tc>
        <w:tc>
          <w:tcPr>
            <w:tcW w:w="1574" w:type="dxa"/>
            <w:vAlign w:val="top"/>
          </w:tcPr>
          <w:p w14:paraId="4E06A743">
            <w:pPr>
              <w:rPr>
                <w:rFonts w:ascii="Arial"/>
                <w:sz w:val="21"/>
              </w:rPr>
            </w:pPr>
          </w:p>
        </w:tc>
        <w:tc>
          <w:tcPr>
            <w:tcW w:w="830" w:type="dxa"/>
            <w:vAlign w:val="top"/>
          </w:tcPr>
          <w:p w14:paraId="31213887">
            <w:pPr>
              <w:rPr>
                <w:rFonts w:ascii="Arial"/>
                <w:sz w:val="21"/>
              </w:rPr>
            </w:pPr>
          </w:p>
        </w:tc>
      </w:tr>
      <w:tr w14:paraId="1FD682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2" w:hRule="atLeast"/>
        </w:trPr>
        <w:tc>
          <w:tcPr>
            <w:tcW w:w="749" w:type="dxa"/>
            <w:vAlign w:val="top"/>
          </w:tcPr>
          <w:p w14:paraId="0E4BC0D6">
            <w:pPr>
              <w:rPr>
                <w:rFonts w:ascii="Arial"/>
                <w:sz w:val="21"/>
              </w:rPr>
            </w:pPr>
          </w:p>
        </w:tc>
        <w:tc>
          <w:tcPr>
            <w:tcW w:w="1022" w:type="dxa"/>
            <w:vAlign w:val="top"/>
          </w:tcPr>
          <w:p w14:paraId="5ECCEB02">
            <w:pPr>
              <w:rPr>
                <w:rFonts w:ascii="Arial"/>
                <w:sz w:val="21"/>
              </w:rPr>
            </w:pPr>
          </w:p>
        </w:tc>
        <w:tc>
          <w:tcPr>
            <w:tcW w:w="652" w:type="dxa"/>
            <w:vAlign w:val="top"/>
          </w:tcPr>
          <w:p w14:paraId="50088862">
            <w:pPr>
              <w:rPr>
                <w:rFonts w:ascii="Arial"/>
                <w:sz w:val="21"/>
              </w:rPr>
            </w:pPr>
          </w:p>
        </w:tc>
        <w:tc>
          <w:tcPr>
            <w:tcW w:w="984" w:type="dxa"/>
            <w:vAlign w:val="top"/>
          </w:tcPr>
          <w:p w14:paraId="0DED5CC2">
            <w:pPr>
              <w:rPr>
                <w:rFonts w:ascii="Arial"/>
                <w:sz w:val="21"/>
              </w:rPr>
            </w:pPr>
          </w:p>
        </w:tc>
        <w:tc>
          <w:tcPr>
            <w:tcW w:w="691" w:type="dxa"/>
            <w:vAlign w:val="top"/>
          </w:tcPr>
          <w:p w14:paraId="04AFCE5C">
            <w:pPr>
              <w:rPr>
                <w:rFonts w:ascii="Arial"/>
                <w:sz w:val="21"/>
              </w:rPr>
            </w:pPr>
          </w:p>
        </w:tc>
        <w:tc>
          <w:tcPr>
            <w:tcW w:w="686" w:type="dxa"/>
            <w:vAlign w:val="top"/>
          </w:tcPr>
          <w:p w14:paraId="0E59C79C">
            <w:pPr>
              <w:rPr>
                <w:rFonts w:ascii="Arial"/>
                <w:sz w:val="21"/>
              </w:rPr>
            </w:pPr>
          </w:p>
        </w:tc>
        <w:tc>
          <w:tcPr>
            <w:tcW w:w="1128" w:type="dxa"/>
            <w:vAlign w:val="top"/>
          </w:tcPr>
          <w:p w14:paraId="788F5F0F">
            <w:pPr>
              <w:rPr>
                <w:rFonts w:ascii="Arial"/>
                <w:sz w:val="21"/>
              </w:rPr>
            </w:pPr>
          </w:p>
        </w:tc>
        <w:tc>
          <w:tcPr>
            <w:tcW w:w="1574" w:type="dxa"/>
            <w:vAlign w:val="top"/>
          </w:tcPr>
          <w:p w14:paraId="49E0239B">
            <w:pPr>
              <w:rPr>
                <w:rFonts w:ascii="Arial"/>
                <w:sz w:val="21"/>
              </w:rPr>
            </w:pPr>
          </w:p>
        </w:tc>
        <w:tc>
          <w:tcPr>
            <w:tcW w:w="830" w:type="dxa"/>
            <w:vAlign w:val="top"/>
          </w:tcPr>
          <w:p w14:paraId="3E594919">
            <w:pPr>
              <w:rPr>
                <w:rFonts w:ascii="Arial"/>
                <w:sz w:val="21"/>
              </w:rPr>
            </w:pPr>
          </w:p>
        </w:tc>
      </w:tr>
      <w:tr w14:paraId="1237F8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2" w:hRule="atLeast"/>
        </w:trPr>
        <w:tc>
          <w:tcPr>
            <w:tcW w:w="749" w:type="dxa"/>
            <w:vAlign w:val="top"/>
          </w:tcPr>
          <w:p w14:paraId="58BFCFC2">
            <w:pPr>
              <w:rPr>
                <w:rFonts w:ascii="Arial"/>
                <w:sz w:val="21"/>
              </w:rPr>
            </w:pPr>
          </w:p>
        </w:tc>
        <w:tc>
          <w:tcPr>
            <w:tcW w:w="1022" w:type="dxa"/>
            <w:vAlign w:val="top"/>
          </w:tcPr>
          <w:p w14:paraId="38B5E878">
            <w:pPr>
              <w:rPr>
                <w:rFonts w:ascii="Arial"/>
                <w:sz w:val="21"/>
              </w:rPr>
            </w:pPr>
          </w:p>
        </w:tc>
        <w:tc>
          <w:tcPr>
            <w:tcW w:w="652" w:type="dxa"/>
            <w:vAlign w:val="top"/>
          </w:tcPr>
          <w:p w14:paraId="32D2425D">
            <w:pPr>
              <w:rPr>
                <w:rFonts w:ascii="Arial"/>
                <w:sz w:val="21"/>
              </w:rPr>
            </w:pPr>
          </w:p>
        </w:tc>
        <w:tc>
          <w:tcPr>
            <w:tcW w:w="984" w:type="dxa"/>
            <w:vAlign w:val="top"/>
          </w:tcPr>
          <w:p w14:paraId="75064DD0">
            <w:pPr>
              <w:rPr>
                <w:rFonts w:ascii="Arial"/>
                <w:sz w:val="21"/>
              </w:rPr>
            </w:pPr>
          </w:p>
        </w:tc>
        <w:tc>
          <w:tcPr>
            <w:tcW w:w="691" w:type="dxa"/>
            <w:vAlign w:val="top"/>
          </w:tcPr>
          <w:p w14:paraId="06FD9A65">
            <w:pPr>
              <w:rPr>
                <w:rFonts w:ascii="Arial"/>
                <w:sz w:val="21"/>
              </w:rPr>
            </w:pPr>
          </w:p>
        </w:tc>
        <w:tc>
          <w:tcPr>
            <w:tcW w:w="686" w:type="dxa"/>
            <w:vAlign w:val="top"/>
          </w:tcPr>
          <w:p w14:paraId="6F5738F0">
            <w:pPr>
              <w:rPr>
                <w:rFonts w:ascii="Arial"/>
                <w:sz w:val="21"/>
              </w:rPr>
            </w:pPr>
          </w:p>
        </w:tc>
        <w:tc>
          <w:tcPr>
            <w:tcW w:w="1128" w:type="dxa"/>
            <w:vAlign w:val="top"/>
          </w:tcPr>
          <w:p w14:paraId="14896872">
            <w:pPr>
              <w:rPr>
                <w:rFonts w:ascii="Arial"/>
                <w:sz w:val="21"/>
              </w:rPr>
            </w:pPr>
          </w:p>
        </w:tc>
        <w:tc>
          <w:tcPr>
            <w:tcW w:w="1574" w:type="dxa"/>
            <w:vAlign w:val="top"/>
          </w:tcPr>
          <w:p w14:paraId="552EADB6">
            <w:pPr>
              <w:rPr>
                <w:rFonts w:ascii="Arial"/>
                <w:sz w:val="21"/>
              </w:rPr>
            </w:pPr>
          </w:p>
        </w:tc>
        <w:tc>
          <w:tcPr>
            <w:tcW w:w="830" w:type="dxa"/>
            <w:vAlign w:val="top"/>
          </w:tcPr>
          <w:p w14:paraId="57A2C906">
            <w:pPr>
              <w:rPr>
                <w:rFonts w:ascii="Arial"/>
                <w:sz w:val="21"/>
              </w:rPr>
            </w:pPr>
          </w:p>
        </w:tc>
      </w:tr>
      <w:tr w14:paraId="79AECA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7" w:hRule="atLeast"/>
        </w:trPr>
        <w:tc>
          <w:tcPr>
            <w:tcW w:w="749" w:type="dxa"/>
            <w:vAlign w:val="top"/>
          </w:tcPr>
          <w:p w14:paraId="71263967">
            <w:pPr>
              <w:rPr>
                <w:rFonts w:ascii="Arial"/>
                <w:sz w:val="21"/>
              </w:rPr>
            </w:pPr>
          </w:p>
        </w:tc>
        <w:tc>
          <w:tcPr>
            <w:tcW w:w="1022" w:type="dxa"/>
            <w:vAlign w:val="top"/>
          </w:tcPr>
          <w:p w14:paraId="52E83CBC">
            <w:pPr>
              <w:rPr>
                <w:rFonts w:ascii="Arial"/>
                <w:sz w:val="21"/>
              </w:rPr>
            </w:pPr>
          </w:p>
        </w:tc>
        <w:tc>
          <w:tcPr>
            <w:tcW w:w="652" w:type="dxa"/>
            <w:vAlign w:val="top"/>
          </w:tcPr>
          <w:p w14:paraId="56F8BFFD">
            <w:pPr>
              <w:rPr>
                <w:rFonts w:ascii="Arial"/>
                <w:sz w:val="21"/>
              </w:rPr>
            </w:pPr>
          </w:p>
        </w:tc>
        <w:tc>
          <w:tcPr>
            <w:tcW w:w="984" w:type="dxa"/>
            <w:vAlign w:val="top"/>
          </w:tcPr>
          <w:p w14:paraId="782FD1D9">
            <w:pPr>
              <w:rPr>
                <w:rFonts w:ascii="Arial"/>
                <w:sz w:val="21"/>
              </w:rPr>
            </w:pPr>
          </w:p>
        </w:tc>
        <w:tc>
          <w:tcPr>
            <w:tcW w:w="691" w:type="dxa"/>
            <w:vAlign w:val="top"/>
          </w:tcPr>
          <w:p w14:paraId="2DD79516">
            <w:pPr>
              <w:rPr>
                <w:rFonts w:ascii="Arial"/>
                <w:sz w:val="21"/>
              </w:rPr>
            </w:pPr>
          </w:p>
        </w:tc>
        <w:tc>
          <w:tcPr>
            <w:tcW w:w="686" w:type="dxa"/>
            <w:vAlign w:val="top"/>
          </w:tcPr>
          <w:p w14:paraId="7DAB16B6">
            <w:pPr>
              <w:rPr>
                <w:rFonts w:ascii="Arial"/>
                <w:sz w:val="21"/>
              </w:rPr>
            </w:pPr>
          </w:p>
        </w:tc>
        <w:tc>
          <w:tcPr>
            <w:tcW w:w="1128" w:type="dxa"/>
            <w:vAlign w:val="top"/>
          </w:tcPr>
          <w:p w14:paraId="799D3ECB">
            <w:pPr>
              <w:rPr>
                <w:rFonts w:ascii="Arial"/>
                <w:sz w:val="21"/>
              </w:rPr>
            </w:pPr>
          </w:p>
        </w:tc>
        <w:tc>
          <w:tcPr>
            <w:tcW w:w="1574" w:type="dxa"/>
            <w:vAlign w:val="top"/>
          </w:tcPr>
          <w:p w14:paraId="59A08701">
            <w:pPr>
              <w:rPr>
                <w:rFonts w:ascii="Arial"/>
                <w:sz w:val="21"/>
              </w:rPr>
            </w:pPr>
          </w:p>
        </w:tc>
        <w:tc>
          <w:tcPr>
            <w:tcW w:w="830" w:type="dxa"/>
            <w:vAlign w:val="top"/>
          </w:tcPr>
          <w:p w14:paraId="105BA297">
            <w:pPr>
              <w:rPr>
                <w:rFonts w:ascii="Arial"/>
                <w:sz w:val="21"/>
              </w:rPr>
            </w:pPr>
          </w:p>
        </w:tc>
      </w:tr>
      <w:tr w14:paraId="02D7F4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1" w:hRule="atLeast"/>
        </w:trPr>
        <w:tc>
          <w:tcPr>
            <w:tcW w:w="749" w:type="dxa"/>
            <w:vAlign w:val="top"/>
          </w:tcPr>
          <w:p w14:paraId="3C7FA3F3">
            <w:pPr>
              <w:rPr>
                <w:rFonts w:ascii="Arial"/>
                <w:sz w:val="21"/>
              </w:rPr>
            </w:pPr>
          </w:p>
        </w:tc>
        <w:tc>
          <w:tcPr>
            <w:tcW w:w="1022" w:type="dxa"/>
            <w:vAlign w:val="top"/>
          </w:tcPr>
          <w:p w14:paraId="3EEB1954">
            <w:pPr>
              <w:rPr>
                <w:rFonts w:ascii="Arial"/>
                <w:sz w:val="21"/>
              </w:rPr>
            </w:pPr>
          </w:p>
        </w:tc>
        <w:tc>
          <w:tcPr>
            <w:tcW w:w="652" w:type="dxa"/>
            <w:vAlign w:val="top"/>
          </w:tcPr>
          <w:p w14:paraId="520E1580">
            <w:pPr>
              <w:rPr>
                <w:rFonts w:ascii="Arial"/>
                <w:sz w:val="21"/>
              </w:rPr>
            </w:pPr>
          </w:p>
        </w:tc>
        <w:tc>
          <w:tcPr>
            <w:tcW w:w="984" w:type="dxa"/>
            <w:vAlign w:val="top"/>
          </w:tcPr>
          <w:p w14:paraId="54A4D3B7">
            <w:pPr>
              <w:rPr>
                <w:rFonts w:ascii="Arial"/>
                <w:sz w:val="21"/>
              </w:rPr>
            </w:pPr>
          </w:p>
        </w:tc>
        <w:tc>
          <w:tcPr>
            <w:tcW w:w="691" w:type="dxa"/>
            <w:vAlign w:val="top"/>
          </w:tcPr>
          <w:p w14:paraId="4EF6C779">
            <w:pPr>
              <w:rPr>
                <w:rFonts w:ascii="Arial"/>
                <w:sz w:val="21"/>
              </w:rPr>
            </w:pPr>
          </w:p>
        </w:tc>
        <w:tc>
          <w:tcPr>
            <w:tcW w:w="686" w:type="dxa"/>
            <w:vAlign w:val="top"/>
          </w:tcPr>
          <w:p w14:paraId="2F4CDFED">
            <w:pPr>
              <w:rPr>
                <w:rFonts w:ascii="Arial"/>
                <w:sz w:val="21"/>
              </w:rPr>
            </w:pPr>
          </w:p>
        </w:tc>
        <w:tc>
          <w:tcPr>
            <w:tcW w:w="1128" w:type="dxa"/>
            <w:vAlign w:val="top"/>
          </w:tcPr>
          <w:p w14:paraId="41573906">
            <w:pPr>
              <w:rPr>
                <w:rFonts w:ascii="Arial"/>
                <w:sz w:val="21"/>
              </w:rPr>
            </w:pPr>
          </w:p>
        </w:tc>
        <w:tc>
          <w:tcPr>
            <w:tcW w:w="1574" w:type="dxa"/>
            <w:vAlign w:val="top"/>
          </w:tcPr>
          <w:p w14:paraId="30496CF2">
            <w:pPr>
              <w:rPr>
                <w:rFonts w:ascii="Arial"/>
                <w:sz w:val="21"/>
              </w:rPr>
            </w:pPr>
          </w:p>
        </w:tc>
        <w:tc>
          <w:tcPr>
            <w:tcW w:w="830" w:type="dxa"/>
            <w:vAlign w:val="top"/>
          </w:tcPr>
          <w:p w14:paraId="14A048B2">
            <w:pPr>
              <w:rPr>
                <w:rFonts w:ascii="Arial"/>
                <w:sz w:val="21"/>
              </w:rPr>
            </w:pPr>
          </w:p>
        </w:tc>
      </w:tr>
      <w:tr w14:paraId="56DE93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7" w:hRule="atLeast"/>
        </w:trPr>
        <w:tc>
          <w:tcPr>
            <w:tcW w:w="749" w:type="dxa"/>
            <w:vAlign w:val="top"/>
          </w:tcPr>
          <w:p w14:paraId="1F6714C9">
            <w:pPr>
              <w:rPr>
                <w:rFonts w:ascii="Arial"/>
                <w:sz w:val="21"/>
              </w:rPr>
            </w:pPr>
          </w:p>
        </w:tc>
        <w:tc>
          <w:tcPr>
            <w:tcW w:w="1022" w:type="dxa"/>
            <w:vAlign w:val="top"/>
          </w:tcPr>
          <w:p w14:paraId="355FC2B1">
            <w:pPr>
              <w:rPr>
                <w:rFonts w:ascii="Arial"/>
                <w:sz w:val="21"/>
              </w:rPr>
            </w:pPr>
          </w:p>
        </w:tc>
        <w:tc>
          <w:tcPr>
            <w:tcW w:w="652" w:type="dxa"/>
            <w:vAlign w:val="top"/>
          </w:tcPr>
          <w:p w14:paraId="51BDF9C2">
            <w:pPr>
              <w:rPr>
                <w:rFonts w:ascii="Arial"/>
                <w:sz w:val="21"/>
              </w:rPr>
            </w:pPr>
          </w:p>
        </w:tc>
        <w:tc>
          <w:tcPr>
            <w:tcW w:w="984" w:type="dxa"/>
            <w:vAlign w:val="top"/>
          </w:tcPr>
          <w:p w14:paraId="081B38D0">
            <w:pPr>
              <w:rPr>
                <w:rFonts w:ascii="Arial"/>
                <w:sz w:val="21"/>
              </w:rPr>
            </w:pPr>
          </w:p>
        </w:tc>
        <w:tc>
          <w:tcPr>
            <w:tcW w:w="691" w:type="dxa"/>
            <w:vAlign w:val="top"/>
          </w:tcPr>
          <w:p w14:paraId="1A30CA3B">
            <w:pPr>
              <w:rPr>
                <w:rFonts w:ascii="Arial"/>
                <w:sz w:val="21"/>
              </w:rPr>
            </w:pPr>
          </w:p>
        </w:tc>
        <w:tc>
          <w:tcPr>
            <w:tcW w:w="686" w:type="dxa"/>
            <w:vAlign w:val="top"/>
          </w:tcPr>
          <w:p w14:paraId="2AF8991F">
            <w:pPr>
              <w:rPr>
                <w:rFonts w:ascii="Arial"/>
                <w:sz w:val="21"/>
              </w:rPr>
            </w:pPr>
          </w:p>
        </w:tc>
        <w:tc>
          <w:tcPr>
            <w:tcW w:w="1128" w:type="dxa"/>
            <w:vAlign w:val="top"/>
          </w:tcPr>
          <w:p w14:paraId="78DFF1DE">
            <w:pPr>
              <w:rPr>
                <w:rFonts w:ascii="Arial"/>
                <w:sz w:val="21"/>
              </w:rPr>
            </w:pPr>
          </w:p>
        </w:tc>
        <w:tc>
          <w:tcPr>
            <w:tcW w:w="1574" w:type="dxa"/>
            <w:vAlign w:val="top"/>
          </w:tcPr>
          <w:p w14:paraId="0B524EBD">
            <w:pPr>
              <w:rPr>
                <w:rFonts w:ascii="Arial"/>
                <w:sz w:val="21"/>
              </w:rPr>
            </w:pPr>
          </w:p>
        </w:tc>
        <w:tc>
          <w:tcPr>
            <w:tcW w:w="830" w:type="dxa"/>
            <w:vAlign w:val="top"/>
          </w:tcPr>
          <w:p w14:paraId="27DD1CB2">
            <w:pPr>
              <w:rPr>
                <w:rFonts w:ascii="Arial"/>
                <w:sz w:val="21"/>
              </w:rPr>
            </w:pPr>
          </w:p>
        </w:tc>
      </w:tr>
      <w:tr w14:paraId="2831C7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1" w:hRule="atLeast"/>
        </w:trPr>
        <w:tc>
          <w:tcPr>
            <w:tcW w:w="749" w:type="dxa"/>
            <w:vAlign w:val="top"/>
          </w:tcPr>
          <w:p w14:paraId="00DB27D3">
            <w:pPr>
              <w:rPr>
                <w:rFonts w:ascii="Arial"/>
                <w:sz w:val="21"/>
              </w:rPr>
            </w:pPr>
          </w:p>
        </w:tc>
        <w:tc>
          <w:tcPr>
            <w:tcW w:w="1022" w:type="dxa"/>
            <w:vAlign w:val="top"/>
          </w:tcPr>
          <w:p w14:paraId="78AB098F">
            <w:pPr>
              <w:rPr>
                <w:rFonts w:ascii="Arial"/>
                <w:sz w:val="21"/>
              </w:rPr>
            </w:pPr>
          </w:p>
        </w:tc>
        <w:tc>
          <w:tcPr>
            <w:tcW w:w="652" w:type="dxa"/>
            <w:vAlign w:val="top"/>
          </w:tcPr>
          <w:p w14:paraId="1A09F7F2">
            <w:pPr>
              <w:rPr>
                <w:rFonts w:ascii="Arial"/>
                <w:sz w:val="21"/>
              </w:rPr>
            </w:pPr>
          </w:p>
        </w:tc>
        <w:tc>
          <w:tcPr>
            <w:tcW w:w="984" w:type="dxa"/>
            <w:vAlign w:val="top"/>
          </w:tcPr>
          <w:p w14:paraId="1DEA179B">
            <w:pPr>
              <w:rPr>
                <w:rFonts w:ascii="Arial"/>
                <w:sz w:val="21"/>
              </w:rPr>
            </w:pPr>
          </w:p>
        </w:tc>
        <w:tc>
          <w:tcPr>
            <w:tcW w:w="691" w:type="dxa"/>
            <w:vAlign w:val="top"/>
          </w:tcPr>
          <w:p w14:paraId="6C76BE9A">
            <w:pPr>
              <w:rPr>
                <w:rFonts w:ascii="Arial"/>
                <w:sz w:val="21"/>
              </w:rPr>
            </w:pPr>
          </w:p>
        </w:tc>
        <w:tc>
          <w:tcPr>
            <w:tcW w:w="686" w:type="dxa"/>
            <w:vAlign w:val="top"/>
          </w:tcPr>
          <w:p w14:paraId="27592947">
            <w:pPr>
              <w:rPr>
                <w:rFonts w:ascii="Arial"/>
                <w:sz w:val="21"/>
              </w:rPr>
            </w:pPr>
          </w:p>
        </w:tc>
        <w:tc>
          <w:tcPr>
            <w:tcW w:w="1128" w:type="dxa"/>
            <w:vAlign w:val="top"/>
          </w:tcPr>
          <w:p w14:paraId="632F3123">
            <w:pPr>
              <w:rPr>
                <w:rFonts w:ascii="Arial"/>
                <w:sz w:val="21"/>
              </w:rPr>
            </w:pPr>
          </w:p>
        </w:tc>
        <w:tc>
          <w:tcPr>
            <w:tcW w:w="1574" w:type="dxa"/>
            <w:vAlign w:val="top"/>
          </w:tcPr>
          <w:p w14:paraId="6B83D1B8">
            <w:pPr>
              <w:rPr>
                <w:rFonts w:ascii="Arial"/>
                <w:sz w:val="21"/>
              </w:rPr>
            </w:pPr>
          </w:p>
        </w:tc>
        <w:tc>
          <w:tcPr>
            <w:tcW w:w="830" w:type="dxa"/>
            <w:vAlign w:val="top"/>
          </w:tcPr>
          <w:p w14:paraId="7A91508B">
            <w:pPr>
              <w:rPr>
                <w:rFonts w:ascii="Arial"/>
                <w:sz w:val="21"/>
              </w:rPr>
            </w:pPr>
          </w:p>
        </w:tc>
      </w:tr>
      <w:tr w14:paraId="0551C8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2" w:hRule="atLeast"/>
        </w:trPr>
        <w:tc>
          <w:tcPr>
            <w:tcW w:w="749" w:type="dxa"/>
            <w:vAlign w:val="top"/>
          </w:tcPr>
          <w:p w14:paraId="20D7AB21">
            <w:pPr>
              <w:rPr>
                <w:rFonts w:ascii="Arial"/>
                <w:sz w:val="21"/>
              </w:rPr>
            </w:pPr>
          </w:p>
        </w:tc>
        <w:tc>
          <w:tcPr>
            <w:tcW w:w="1022" w:type="dxa"/>
            <w:vAlign w:val="top"/>
          </w:tcPr>
          <w:p w14:paraId="47BC0DDD">
            <w:pPr>
              <w:rPr>
                <w:rFonts w:ascii="Arial"/>
                <w:sz w:val="21"/>
              </w:rPr>
            </w:pPr>
          </w:p>
        </w:tc>
        <w:tc>
          <w:tcPr>
            <w:tcW w:w="652" w:type="dxa"/>
            <w:vAlign w:val="top"/>
          </w:tcPr>
          <w:p w14:paraId="56BEC6EA">
            <w:pPr>
              <w:rPr>
                <w:rFonts w:ascii="Arial"/>
                <w:sz w:val="21"/>
              </w:rPr>
            </w:pPr>
          </w:p>
        </w:tc>
        <w:tc>
          <w:tcPr>
            <w:tcW w:w="984" w:type="dxa"/>
            <w:vAlign w:val="top"/>
          </w:tcPr>
          <w:p w14:paraId="31BC2A09">
            <w:pPr>
              <w:rPr>
                <w:rFonts w:ascii="Arial"/>
                <w:sz w:val="21"/>
              </w:rPr>
            </w:pPr>
          </w:p>
        </w:tc>
        <w:tc>
          <w:tcPr>
            <w:tcW w:w="691" w:type="dxa"/>
            <w:vAlign w:val="top"/>
          </w:tcPr>
          <w:p w14:paraId="1A178F38">
            <w:pPr>
              <w:rPr>
                <w:rFonts w:ascii="Arial"/>
                <w:sz w:val="21"/>
              </w:rPr>
            </w:pPr>
          </w:p>
        </w:tc>
        <w:tc>
          <w:tcPr>
            <w:tcW w:w="686" w:type="dxa"/>
            <w:vAlign w:val="top"/>
          </w:tcPr>
          <w:p w14:paraId="455F9F4C">
            <w:pPr>
              <w:rPr>
                <w:rFonts w:ascii="Arial"/>
                <w:sz w:val="21"/>
              </w:rPr>
            </w:pPr>
          </w:p>
        </w:tc>
        <w:tc>
          <w:tcPr>
            <w:tcW w:w="1128" w:type="dxa"/>
            <w:vAlign w:val="top"/>
          </w:tcPr>
          <w:p w14:paraId="09FC4346">
            <w:pPr>
              <w:rPr>
                <w:rFonts w:ascii="Arial"/>
                <w:sz w:val="21"/>
              </w:rPr>
            </w:pPr>
          </w:p>
        </w:tc>
        <w:tc>
          <w:tcPr>
            <w:tcW w:w="1574" w:type="dxa"/>
            <w:vAlign w:val="top"/>
          </w:tcPr>
          <w:p w14:paraId="2E3C1D0A">
            <w:pPr>
              <w:rPr>
                <w:rFonts w:ascii="Arial"/>
                <w:sz w:val="21"/>
              </w:rPr>
            </w:pPr>
          </w:p>
        </w:tc>
        <w:tc>
          <w:tcPr>
            <w:tcW w:w="830" w:type="dxa"/>
            <w:vAlign w:val="top"/>
          </w:tcPr>
          <w:p w14:paraId="0CE6D82E">
            <w:pPr>
              <w:rPr>
                <w:rFonts w:ascii="Arial"/>
                <w:sz w:val="21"/>
              </w:rPr>
            </w:pPr>
          </w:p>
        </w:tc>
      </w:tr>
      <w:tr w14:paraId="12974F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7" w:hRule="atLeast"/>
        </w:trPr>
        <w:tc>
          <w:tcPr>
            <w:tcW w:w="749" w:type="dxa"/>
            <w:vAlign w:val="top"/>
          </w:tcPr>
          <w:p w14:paraId="2ED371F4">
            <w:pPr>
              <w:rPr>
                <w:rFonts w:ascii="Arial"/>
                <w:sz w:val="21"/>
              </w:rPr>
            </w:pPr>
          </w:p>
        </w:tc>
        <w:tc>
          <w:tcPr>
            <w:tcW w:w="1022" w:type="dxa"/>
            <w:vAlign w:val="top"/>
          </w:tcPr>
          <w:p w14:paraId="1D957BDC">
            <w:pPr>
              <w:rPr>
                <w:rFonts w:ascii="Arial"/>
                <w:sz w:val="21"/>
              </w:rPr>
            </w:pPr>
          </w:p>
        </w:tc>
        <w:tc>
          <w:tcPr>
            <w:tcW w:w="652" w:type="dxa"/>
            <w:vAlign w:val="top"/>
          </w:tcPr>
          <w:p w14:paraId="4AF89EDF">
            <w:pPr>
              <w:rPr>
                <w:rFonts w:ascii="Arial"/>
                <w:sz w:val="21"/>
              </w:rPr>
            </w:pPr>
          </w:p>
        </w:tc>
        <w:tc>
          <w:tcPr>
            <w:tcW w:w="984" w:type="dxa"/>
            <w:vAlign w:val="top"/>
          </w:tcPr>
          <w:p w14:paraId="36A9EF66">
            <w:pPr>
              <w:rPr>
                <w:rFonts w:ascii="Arial"/>
                <w:sz w:val="21"/>
              </w:rPr>
            </w:pPr>
          </w:p>
        </w:tc>
        <w:tc>
          <w:tcPr>
            <w:tcW w:w="691" w:type="dxa"/>
            <w:vAlign w:val="top"/>
          </w:tcPr>
          <w:p w14:paraId="12D6297D">
            <w:pPr>
              <w:rPr>
                <w:rFonts w:ascii="Arial"/>
                <w:sz w:val="21"/>
              </w:rPr>
            </w:pPr>
          </w:p>
        </w:tc>
        <w:tc>
          <w:tcPr>
            <w:tcW w:w="686" w:type="dxa"/>
            <w:vAlign w:val="top"/>
          </w:tcPr>
          <w:p w14:paraId="0F4142EC">
            <w:pPr>
              <w:rPr>
                <w:rFonts w:ascii="Arial"/>
                <w:sz w:val="21"/>
              </w:rPr>
            </w:pPr>
          </w:p>
        </w:tc>
        <w:tc>
          <w:tcPr>
            <w:tcW w:w="1128" w:type="dxa"/>
            <w:vAlign w:val="top"/>
          </w:tcPr>
          <w:p w14:paraId="3532D75F">
            <w:pPr>
              <w:rPr>
                <w:rFonts w:ascii="Arial"/>
                <w:sz w:val="21"/>
              </w:rPr>
            </w:pPr>
          </w:p>
        </w:tc>
        <w:tc>
          <w:tcPr>
            <w:tcW w:w="1574" w:type="dxa"/>
            <w:vAlign w:val="top"/>
          </w:tcPr>
          <w:p w14:paraId="0C3159C6">
            <w:pPr>
              <w:rPr>
                <w:rFonts w:ascii="Arial"/>
                <w:sz w:val="21"/>
              </w:rPr>
            </w:pPr>
          </w:p>
        </w:tc>
        <w:tc>
          <w:tcPr>
            <w:tcW w:w="830" w:type="dxa"/>
            <w:vAlign w:val="top"/>
          </w:tcPr>
          <w:p w14:paraId="521AAF35">
            <w:pPr>
              <w:rPr>
                <w:rFonts w:ascii="Arial"/>
                <w:sz w:val="21"/>
              </w:rPr>
            </w:pPr>
          </w:p>
        </w:tc>
      </w:tr>
      <w:tr w14:paraId="18FBEC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2" w:hRule="atLeast"/>
        </w:trPr>
        <w:tc>
          <w:tcPr>
            <w:tcW w:w="749" w:type="dxa"/>
            <w:vAlign w:val="top"/>
          </w:tcPr>
          <w:p w14:paraId="28C69CA9">
            <w:pPr>
              <w:rPr>
                <w:rFonts w:ascii="Arial"/>
                <w:sz w:val="21"/>
              </w:rPr>
            </w:pPr>
          </w:p>
        </w:tc>
        <w:tc>
          <w:tcPr>
            <w:tcW w:w="1022" w:type="dxa"/>
            <w:vAlign w:val="top"/>
          </w:tcPr>
          <w:p w14:paraId="23394326">
            <w:pPr>
              <w:rPr>
                <w:rFonts w:ascii="Arial"/>
                <w:sz w:val="21"/>
              </w:rPr>
            </w:pPr>
          </w:p>
        </w:tc>
        <w:tc>
          <w:tcPr>
            <w:tcW w:w="652" w:type="dxa"/>
            <w:vAlign w:val="top"/>
          </w:tcPr>
          <w:p w14:paraId="72AC4FB3">
            <w:pPr>
              <w:rPr>
                <w:rFonts w:ascii="Arial"/>
                <w:sz w:val="21"/>
              </w:rPr>
            </w:pPr>
          </w:p>
        </w:tc>
        <w:tc>
          <w:tcPr>
            <w:tcW w:w="984" w:type="dxa"/>
            <w:vAlign w:val="top"/>
          </w:tcPr>
          <w:p w14:paraId="22B215FC">
            <w:pPr>
              <w:rPr>
                <w:rFonts w:ascii="Arial"/>
                <w:sz w:val="21"/>
              </w:rPr>
            </w:pPr>
          </w:p>
        </w:tc>
        <w:tc>
          <w:tcPr>
            <w:tcW w:w="691" w:type="dxa"/>
            <w:vAlign w:val="top"/>
          </w:tcPr>
          <w:p w14:paraId="681D1393">
            <w:pPr>
              <w:rPr>
                <w:rFonts w:ascii="Arial"/>
                <w:sz w:val="21"/>
              </w:rPr>
            </w:pPr>
          </w:p>
        </w:tc>
        <w:tc>
          <w:tcPr>
            <w:tcW w:w="686" w:type="dxa"/>
            <w:vAlign w:val="top"/>
          </w:tcPr>
          <w:p w14:paraId="45E0591A">
            <w:pPr>
              <w:rPr>
                <w:rFonts w:ascii="Arial"/>
                <w:sz w:val="21"/>
              </w:rPr>
            </w:pPr>
          </w:p>
        </w:tc>
        <w:tc>
          <w:tcPr>
            <w:tcW w:w="1128" w:type="dxa"/>
            <w:vAlign w:val="top"/>
          </w:tcPr>
          <w:p w14:paraId="1A913CF5">
            <w:pPr>
              <w:rPr>
                <w:rFonts w:ascii="Arial"/>
                <w:sz w:val="21"/>
              </w:rPr>
            </w:pPr>
          </w:p>
        </w:tc>
        <w:tc>
          <w:tcPr>
            <w:tcW w:w="1574" w:type="dxa"/>
            <w:vAlign w:val="top"/>
          </w:tcPr>
          <w:p w14:paraId="26F40A57">
            <w:pPr>
              <w:rPr>
                <w:rFonts w:ascii="Arial"/>
                <w:sz w:val="21"/>
              </w:rPr>
            </w:pPr>
          </w:p>
        </w:tc>
        <w:tc>
          <w:tcPr>
            <w:tcW w:w="830" w:type="dxa"/>
            <w:vAlign w:val="top"/>
          </w:tcPr>
          <w:p w14:paraId="7F108E3B">
            <w:pPr>
              <w:rPr>
                <w:rFonts w:ascii="Arial"/>
                <w:sz w:val="21"/>
              </w:rPr>
            </w:pPr>
          </w:p>
        </w:tc>
      </w:tr>
      <w:tr w14:paraId="154AE4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2" w:hRule="atLeast"/>
        </w:trPr>
        <w:tc>
          <w:tcPr>
            <w:tcW w:w="749" w:type="dxa"/>
            <w:vAlign w:val="top"/>
          </w:tcPr>
          <w:p w14:paraId="19130DDC">
            <w:pPr>
              <w:rPr>
                <w:rFonts w:ascii="Arial"/>
                <w:sz w:val="21"/>
              </w:rPr>
            </w:pPr>
          </w:p>
        </w:tc>
        <w:tc>
          <w:tcPr>
            <w:tcW w:w="1022" w:type="dxa"/>
            <w:vAlign w:val="top"/>
          </w:tcPr>
          <w:p w14:paraId="3D528A76">
            <w:pPr>
              <w:rPr>
                <w:rFonts w:ascii="Arial"/>
                <w:sz w:val="21"/>
              </w:rPr>
            </w:pPr>
          </w:p>
        </w:tc>
        <w:tc>
          <w:tcPr>
            <w:tcW w:w="652" w:type="dxa"/>
            <w:vAlign w:val="top"/>
          </w:tcPr>
          <w:p w14:paraId="1459E3F1">
            <w:pPr>
              <w:rPr>
                <w:rFonts w:ascii="Arial"/>
                <w:sz w:val="21"/>
              </w:rPr>
            </w:pPr>
          </w:p>
        </w:tc>
        <w:tc>
          <w:tcPr>
            <w:tcW w:w="984" w:type="dxa"/>
            <w:vAlign w:val="top"/>
          </w:tcPr>
          <w:p w14:paraId="18967CDD">
            <w:pPr>
              <w:rPr>
                <w:rFonts w:ascii="Arial"/>
                <w:sz w:val="21"/>
              </w:rPr>
            </w:pPr>
          </w:p>
        </w:tc>
        <w:tc>
          <w:tcPr>
            <w:tcW w:w="691" w:type="dxa"/>
            <w:vAlign w:val="top"/>
          </w:tcPr>
          <w:p w14:paraId="7A892164">
            <w:pPr>
              <w:rPr>
                <w:rFonts w:ascii="Arial"/>
                <w:sz w:val="21"/>
              </w:rPr>
            </w:pPr>
          </w:p>
        </w:tc>
        <w:tc>
          <w:tcPr>
            <w:tcW w:w="686" w:type="dxa"/>
            <w:vAlign w:val="top"/>
          </w:tcPr>
          <w:p w14:paraId="6F33337E">
            <w:pPr>
              <w:rPr>
                <w:rFonts w:ascii="Arial"/>
                <w:sz w:val="21"/>
              </w:rPr>
            </w:pPr>
          </w:p>
        </w:tc>
        <w:tc>
          <w:tcPr>
            <w:tcW w:w="1128" w:type="dxa"/>
            <w:vAlign w:val="top"/>
          </w:tcPr>
          <w:p w14:paraId="08C7287D">
            <w:pPr>
              <w:rPr>
                <w:rFonts w:ascii="Arial"/>
                <w:sz w:val="21"/>
              </w:rPr>
            </w:pPr>
          </w:p>
        </w:tc>
        <w:tc>
          <w:tcPr>
            <w:tcW w:w="1574" w:type="dxa"/>
            <w:vAlign w:val="top"/>
          </w:tcPr>
          <w:p w14:paraId="1C6197FC">
            <w:pPr>
              <w:rPr>
                <w:rFonts w:ascii="Arial"/>
                <w:sz w:val="21"/>
              </w:rPr>
            </w:pPr>
          </w:p>
        </w:tc>
        <w:tc>
          <w:tcPr>
            <w:tcW w:w="830" w:type="dxa"/>
            <w:vAlign w:val="top"/>
          </w:tcPr>
          <w:p w14:paraId="68EB37C5">
            <w:pPr>
              <w:rPr>
                <w:rFonts w:ascii="Arial"/>
                <w:sz w:val="21"/>
              </w:rPr>
            </w:pPr>
          </w:p>
        </w:tc>
      </w:tr>
      <w:tr w14:paraId="2A9572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7" w:hRule="atLeast"/>
        </w:trPr>
        <w:tc>
          <w:tcPr>
            <w:tcW w:w="749" w:type="dxa"/>
            <w:vAlign w:val="top"/>
          </w:tcPr>
          <w:p w14:paraId="123F4E57">
            <w:pPr>
              <w:rPr>
                <w:rFonts w:ascii="Arial"/>
                <w:sz w:val="21"/>
              </w:rPr>
            </w:pPr>
          </w:p>
        </w:tc>
        <w:tc>
          <w:tcPr>
            <w:tcW w:w="1022" w:type="dxa"/>
            <w:vAlign w:val="top"/>
          </w:tcPr>
          <w:p w14:paraId="09D7C4B2">
            <w:pPr>
              <w:rPr>
                <w:rFonts w:ascii="Arial"/>
                <w:sz w:val="21"/>
              </w:rPr>
            </w:pPr>
          </w:p>
        </w:tc>
        <w:tc>
          <w:tcPr>
            <w:tcW w:w="652" w:type="dxa"/>
            <w:vAlign w:val="top"/>
          </w:tcPr>
          <w:p w14:paraId="099E9A06">
            <w:pPr>
              <w:rPr>
                <w:rFonts w:ascii="Arial"/>
                <w:sz w:val="21"/>
              </w:rPr>
            </w:pPr>
          </w:p>
        </w:tc>
        <w:tc>
          <w:tcPr>
            <w:tcW w:w="984" w:type="dxa"/>
            <w:vAlign w:val="top"/>
          </w:tcPr>
          <w:p w14:paraId="05115E95">
            <w:pPr>
              <w:rPr>
                <w:rFonts w:ascii="Arial"/>
                <w:sz w:val="21"/>
              </w:rPr>
            </w:pPr>
          </w:p>
        </w:tc>
        <w:tc>
          <w:tcPr>
            <w:tcW w:w="691" w:type="dxa"/>
            <w:vAlign w:val="top"/>
          </w:tcPr>
          <w:p w14:paraId="298D138F">
            <w:pPr>
              <w:rPr>
                <w:rFonts w:ascii="Arial"/>
                <w:sz w:val="21"/>
              </w:rPr>
            </w:pPr>
          </w:p>
        </w:tc>
        <w:tc>
          <w:tcPr>
            <w:tcW w:w="686" w:type="dxa"/>
            <w:vAlign w:val="top"/>
          </w:tcPr>
          <w:p w14:paraId="1C8A8200">
            <w:pPr>
              <w:rPr>
                <w:rFonts w:ascii="Arial"/>
                <w:sz w:val="21"/>
              </w:rPr>
            </w:pPr>
          </w:p>
        </w:tc>
        <w:tc>
          <w:tcPr>
            <w:tcW w:w="1128" w:type="dxa"/>
            <w:vAlign w:val="top"/>
          </w:tcPr>
          <w:p w14:paraId="0E978E44">
            <w:pPr>
              <w:rPr>
                <w:rFonts w:ascii="Arial"/>
                <w:sz w:val="21"/>
              </w:rPr>
            </w:pPr>
          </w:p>
        </w:tc>
        <w:tc>
          <w:tcPr>
            <w:tcW w:w="1574" w:type="dxa"/>
            <w:vAlign w:val="top"/>
          </w:tcPr>
          <w:p w14:paraId="4F8CAF4E">
            <w:pPr>
              <w:rPr>
                <w:rFonts w:ascii="Arial"/>
                <w:sz w:val="21"/>
              </w:rPr>
            </w:pPr>
          </w:p>
        </w:tc>
        <w:tc>
          <w:tcPr>
            <w:tcW w:w="830" w:type="dxa"/>
            <w:vAlign w:val="top"/>
          </w:tcPr>
          <w:p w14:paraId="07DF8981">
            <w:pPr>
              <w:rPr>
                <w:rFonts w:ascii="Arial"/>
                <w:sz w:val="21"/>
              </w:rPr>
            </w:pPr>
          </w:p>
        </w:tc>
      </w:tr>
      <w:tr w14:paraId="08701B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2" w:hRule="atLeast"/>
        </w:trPr>
        <w:tc>
          <w:tcPr>
            <w:tcW w:w="749" w:type="dxa"/>
            <w:vAlign w:val="top"/>
          </w:tcPr>
          <w:p w14:paraId="7EFE2786">
            <w:pPr>
              <w:rPr>
                <w:rFonts w:ascii="Arial"/>
                <w:sz w:val="21"/>
              </w:rPr>
            </w:pPr>
          </w:p>
        </w:tc>
        <w:tc>
          <w:tcPr>
            <w:tcW w:w="1022" w:type="dxa"/>
            <w:vAlign w:val="top"/>
          </w:tcPr>
          <w:p w14:paraId="417E7366">
            <w:pPr>
              <w:rPr>
                <w:rFonts w:ascii="Arial"/>
                <w:sz w:val="21"/>
              </w:rPr>
            </w:pPr>
          </w:p>
        </w:tc>
        <w:tc>
          <w:tcPr>
            <w:tcW w:w="652" w:type="dxa"/>
            <w:vAlign w:val="top"/>
          </w:tcPr>
          <w:p w14:paraId="299FAC1B">
            <w:pPr>
              <w:rPr>
                <w:rFonts w:ascii="Arial"/>
                <w:sz w:val="21"/>
              </w:rPr>
            </w:pPr>
          </w:p>
        </w:tc>
        <w:tc>
          <w:tcPr>
            <w:tcW w:w="984" w:type="dxa"/>
            <w:vAlign w:val="top"/>
          </w:tcPr>
          <w:p w14:paraId="6D4E8AA1">
            <w:pPr>
              <w:rPr>
                <w:rFonts w:ascii="Arial"/>
                <w:sz w:val="21"/>
              </w:rPr>
            </w:pPr>
          </w:p>
        </w:tc>
        <w:tc>
          <w:tcPr>
            <w:tcW w:w="691" w:type="dxa"/>
            <w:vAlign w:val="top"/>
          </w:tcPr>
          <w:p w14:paraId="0748B013">
            <w:pPr>
              <w:rPr>
                <w:rFonts w:ascii="Arial"/>
                <w:sz w:val="21"/>
              </w:rPr>
            </w:pPr>
          </w:p>
        </w:tc>
        <w:tc>
          <w:tcPr>
            <w:tcW w:w="686" w:type="dxa"/>
            <w:vAlign w:val="top"/>
          </w:tcPr>
          <w:p w14:paraId="32B05E36">
            <w:pPr>
              <w:rPr>
                <w:rFonts w:ascii="Arial"/>
                <w:sz w:val="21"/>
              </w:rPr>
            </w:pPr>
          </w:p>
        </w:tc>
        <w:tc>
          <w:tcPr>
            <w:tcW w:w="1128" w:type="dxa"/>
            <w:vAlign w:val="top"/>
          </w:tcPr>
          <w:p w14:paraId="47735239">
            <w:pPr>
              <w:rPr>
                <w:rFonts w:ascii="Arial"/>
                <w:sz w:val="21"/>
              </w:rPr>
            </w:pPr>
          </w:p>
        </w:tc>
        <w:tc>
          <w:tcPr>
            <w:tcW w:w="1574" w:type="dxa"/>
            <w:vAlign w:val="top"/>
          </w:tcPr>
          <w:p w14:paraId="0E702EAA">
            <w:pPr>
              <w:rPr>
                <w:rFonts w:ascii="Arial"/>
                <w:sz w:val="21"/>
              </w:rPr>
            </w:pPr>
          </w:p>
        </w:tc>
        <w:tc>
          <w:tcPr>
            <w:tcW w:w="830" w:type="dxa"/>
            <w:vAlign w:val="top"/>
          </w:tcPr>
          <w:p w14:paraId="6A4EFF45">
            <w:pPr>
              <w:rPr>
                <w:rFonts w:ascii="Arial"/>
                <w:sz w:val="21"/>
              </w:rPr>
            </w:pPr>
          </w:p>
        </w:tc>
      </w:tr>
      <w:tr w14:paraId="607E2E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2" w:hRule="atLeast"/>
        </w:trPr>
        <w:tc>
          <w:tcPr>
            <w:tcW w:w="749" w:type="dxa"/>
            <w:vAlign w:val="top"/>
          </w:tcPr>
          <w:p w14:paraId="60A0A33A">
            <w:pPr>
              <w:rPr>
                <w:rFonts w:ascii="Arial"/>
                <w:sz w:val="21"/>
              </w:rPr>
            </w:pPr>
          </w:p>
        </w:tc>
        <w:tc>
          <w:tcPr>
            <w:tcW w:w="1022" w:type="dxa"/>
            <w:vAlign w:val="top"/>
          </w:tcPr>
          <w:p w14:paraId="7C474807">
            <w:pPr>
              <w:rPr>
                <w:rFonts w:ascii="Arial"/>
                <w:sz w:val="21"/>
              </w:rPr>
            </w:pPr>
          </w:p>
        </w:tc>
        <w:tc>
          <w:tcPr>
            <w:tcW w:w="652" w:type="dxa"/>
            <w:vAlign w:val="top"/>
          </w:tcPr>
          <w:p w14:paraId="4CE361F8">
            <w:pPr>
              <w:rPr>
                <w:rFonts w:ascii="Arial"/>
                <w:sz w:val="21"/>
              </w:rPr>
            </w:pPr>
          </w:p>
        </w:tc>
        <w:tc>
          <w:tcPr>
            <w:tcW w:w="984" w:type="dxa"/>
            <w:vAlign w:val="top"/>
          </w:tcPr>
          <w:p w14:paraId="45E477B7">
            <w:pPr>
              <w:rPr>
                <w:rFonts w:ascii="Arial"/>
                <w:sz w:val="21"/>
              </w:rPr>
            </w:pPr>
          </w:p>
        </w:tc>
        <w:tc>
          <w:tcPr>
            <w:tcW w:w="691" w:type="dxa"/>
            <w:vAlign w:val="top"/>
          </w:tcPr>
          <w:p w14:paraId="41A8EF9F">
            <w:pPr>
              <w:rPr>
                <w:rFonts w:ascii="Arial"/>
                <w:sz w:val="21"/>
              </w:rPr>
            </w:pPr>
          </w:p>
        </w:tc>
        <w:tc>
          <w:tcPr>
            <w:tcW w:w="686" w:type="dxa"/>
            <w:vAlign w:val="top"/>
          </w:tcPr>
          <w:p w14:paraId="2BBE2C3F">
            <w:pPr>
              <w:rPr>
                <w:rFonts w:ascii="Arial"/>
                <w:sz w:val="21"/>
              </w:rPr>
            </w:pPr>
          </w:p>
        </w:tc>
        <w:tc>
          <w:tcPr>
            <w:tcW w:w="1128" w:type="dxa"/>
            <w:vAlign w:val="top"/>
          </w:tcPr>
          <w:p w14:paraId="029999E1">
            <w:pPr>
              <w:rPr>
                <w:rFonts w:ascii="Arial"/>
                <w:sz w:val="21"/>
              </w:rPr>
            </w:pPr>
          </w:p>
        </w:tc>
        <w:tc>
          <w:tcPr>
            <w:tcW w:w="1574" w:type="dxa"/>
            <w:vAlign w:val="top"/>
          </w:tcPr>
          <w:p w14:paraId="1BC40404">
            <w:pPr>
              <w:rPr>
                <w:rFonts w:ascii="Arial"/>
                <w:sz w:val="21"/>
              </w:rPr>
            </w:pPr>
          </w:p>
        </w:tc>
        <w:tc>
          <w:tcPr>
            <w:tcW w:w="830" w:type="dxa"/>
            <w:vAlign w:val="top"/>
          </w:tcPr>
          <w:p w14:paraId="6D388BEB">
            <w:pPr>
              <w:rPr>
                <w:rFonts w:ascii="Arial"/>
                <w:sz w:val="21"/>
              </w:rPr>
            </w:pPr>
          </w:p>
        </w:tc>
      </w:tr>
    </w:tbl>
    <w:p w14:paraId="3890F120">
      <w:pPr>
        <w:pStyle w:val="3"/>
      </w:pPr>
    </w:p>
    <w:p w14:paraId="2D9D997E">
      <w:pPr>
        <w:sectPr>
          <w:footerReference r:id="rId230" w:type="default"/>
          <w:pgSz w:w="11905" w:h="16839"/>
          <w:pgMar w:top="400" w:right="1785" w:bottom="1004" w:left="1785" w:header="0" w:footer="828" w:gutter="0"/>
          <w:pgNumType w:fmt="decimal"/>
          <w:cols w:space="720" w:num="1"/>
        </w:sectPr>
      </w:pPr>
    </w:p>
    <w:p w14:paraId="65D0602D">
      <w:pPr>
        <w:pStyle w:val="3"/>
        <w:spacing w:line="267" w:lineRule="auto"/>
      </w:pPr>
    </w:p>
    <w:p w14:paraId="6FA657D4">
      <w:pPr>
        <w:pStyle w:val="3"/>
        <w:spacing w:line="267" w:lineRule="auto"/>
      </w:pPr>
    </w:p>
    <w:p w14:paraId="3DA522BE">
      <w:pPr>
        <w:pStyle w:val="3"/>
        <w:spacing w:line="268" w:lineRule="auto"/>
      </w:pPr>
    </w:p>
    <w:p w14:paraId="1FD93CA3">
      <w:pPr>
        <w:pStyle w:val="3"/>
        <w:spacing w:line="268" w:lineRule="auto"/>
      </w:pPr>
    </w:p>
    <w:p w14:paraId="43EF9B59">
      <w:pPr>
        <w:spacing w:before="78" w:line="219" w:lineRule="auto"/>
        <w:ind w:left="32"/>
        <w:rPr>
          <w:rFonts w:ascii="黑体" w:hAnsi="黑体" w:eastAsia="黑体" w:cs="黑体"/>
          <w:sz w:val="24"/>
          <w:szCs w:val="24"/>
        </w:rPr>
      </w:pPr>
      <w:r>
        <w:rPr>
          <w:rFonts w:ascii="黑体" w:hAnsi="黑体" w:eastAsia="黑体" w:cs="黑体"/>
          <w:spacing w:val="-3"/>
          <w:sz w:val="24"/>
          <w:szCs w:val="24"/>
        </w:rPr>
        <w:t>附表三：劳动力计划表</w:t>
      </w:r>
    </w:p>
    <w:p w14:paraId="2E24FB7D">
      <w:pPr>
        <w:spacing w:before="157" w:line="221" w:lineRule="auto"/>
        <w:ind w:left="6761"/>
        <w:rPr>
          <w:rFonts w:ascii="黑体" w:hAnsi="黑体" w:eastAsia="黑体" w:cs="黑体"/>
          <w:sz w:val="21"/>
          <w:szCs w:val="21"/>
        </w:rPr>
      </w:pPr>
      <w:r>
        <w:rPr>
          <w:rFonts w:ascii="黑体" w:hAnsi="黑体" w:eastAsia="黑体" w:cs="黑体"/>
          <w:spacing w:val="-2"/>
          <w:sz w:val="21"/>
          <w:szCs w:val="21"/>
        </w:rPr>
        <w:t>单位：人</w:t>
      </w:r>
    </w:p>
    <w:p w14:paraId="3D72CE9A">
      <w:pPr>
        <w:spacing w:line="126" w:lineRule="auto"/>
        <w:rPr>
          <w:rFonts w:ascii="Arial"/>
          <w:sz w:val="2"/>
        </w:rPr>
      </w:pPr>
    </w:p>
    <w:tbl>
      <w:tblPr>
        <w:tblStyle w:val="10"/>
        <w:tblW w:w="8201" w:type="dxa"/>
        <w:tblInd w:w="12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96"/>
        <w:gridCol w:w="1363"/>
        <w:gridCol w:w="1022"/>
        <w:gridCol w:w="1022"/>
        <w:gridCol w:w="1022"/>
        <w:gridCol w:w="1022"/>
        <w:gridCol w:w="1027"/>
        <w:gridCol w:w="1027"/>
      </w:tblGrid>
      <w:tr w14:paraId="7C3101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4" w:hRule="atLeast"/>
        </w:trPr>
        <w:tc>
          <w:tcPr>
            <w:tcW w:w="696" w:type="dxa"/>
            <w:vAlign w:val="top"/>
          </w:tcPr>
          <w:p w14:paraId="1A76686A">
            <w:pPr>
              <w:pStyle w:val="11"/>
              <w:spacing w:before="208" w:line="221" w:lineRule="auto"/>
              <w:ind w:left="145"/>
            </w:pPr>
            <w:r>
              <w:rPr>
                <w:spacing w:val="-3"/>
              </w:rPr>
              <w:t>工种</w:t>
            </w:r>
          </w:p>
        </w:tc>
        <w:tc>
          <w:tcPr>
            <w:tcW w:w="7505" w:type="dxa"/>
            <w:gridSpan w:val="7"/>
            <w:vAlign w:val="top"/>
          </w:tcPr>
          <w:p w14:paraId="0D0E4F6F">
            <w:pPr>
              <w:pStyle w:val="11"/>
              <w:spacing w:before="207" w:line="221" w:lineRule="auto"/>
              <w:ind w:left="2285"/>
            </w:pPr>
            <w:r>
              <w:rPr>
                <w:spacing w:val="-1"/>
              </w:rPr>
              <w:t>按工程施工阶段投入劳动力情况</w:t>
            </w:r>
          </w:p>
        </w:tc>
      </w:tr>
      <w:tr w14:paraId="4D0BD0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7" w:hRule="atLeast"/>
        </w:trPr>
        <w:tc>
          <w:tcPr>
            <w:tcW w:w="696" w:type="dxa"/>
            <w:vAlign w:val="top"/>
          </w:tcPr>
          <w:p w14:paraId="630164C2">
            <w:pPr>
              <w:rPr>
                <w:rFonts w:ascii="Arial"/>
                <w:sz w:val="21"/>
              </w:rPr>
            </w:pPr>
          </w:p>
        </w:tc>
        <w:tc>
          <w:tcPr>
            <w:tcW w:w="1363" w:type="dxa"/>
            <w:vAlign w:val="top"/>
          </w:tcPr>
          <w:p w14:paraId="28626AE0">
            <w:pPr>
              <w:rPr>
                <w:rFonts w:ascii="Arial"/>
                <w:sz w:val="21"/>
              </w:rPr>
            </w:pPr>
          </w:p>
        </w:tc>
        <w:tc>
          <w:tcPr>
            <w:tcW w:w="1022" w:type="dxa"/>
            <w:vAlign w:val="top"/>
          </w:tcPr>
          <w:p w14:paraId="7DA6BE32">
            <w:pPr>
              <w:rPr>
                <w:rFonts w:ascii="Arial"/>
                <w:sz w:val="21"/>
              </w:rPr>
            </w:pPr>
          </w:p>
        </w:tc>
        <w:tc>
          <w:tcPr>
            <w:tcW w:w="1022" w:type="dxa"/>
            <w:vAlign w:val="top"/>
          </w:tcPr>
          <w:p w14:paraId="517B82A8">
            <w:pPr>
              <w:rPr>
                <w:rFonts w:ascii="Arial"/>
                <w:sz w:val="21"/>
              </w:rPr>
            </w:pPr>
          </w:p>
        </w:tc>
        <w:tc>
          <w:tcPr>
            <w:tcW w:w="1022" w:type="dxa"/>
            <w:vAlign w:val="top"/>
          </w:tcPr>
          <w:p w14:paraId="45748B55">
            <w:pPr>
              <w:rPr>
                <w:rFonts w:ascii="Arial"/>
                <w:sz w:val="21"/>
              </w:rPr>
            </w:pPr>
          </w:p>
        </w:tc>
        <w:tc>
          <w:tcPr>
            <w:tcW w:w="1022" w:type="dxa"/>
            <w:vAlign w:val="top"/>
          </w:tcPr>
          <w:p w14:paraId="4D1C5514">
            <w:pPr>
              <w:rPr>
                <w:rFonts w:ascii="Arial"/>
                <w:sz w:val="21"/>
              </w:rPr>
            </w:pPr>
          </w:p>
        </w:tc>
        <w:tc>
          <w:tcPr>
            <w:tcW w:w="1027" w:type="dxa"/>
            <w:vAlign w:val="top"/>
          </w:tcPr>
          <w:p w14:paraId="0DAC3FC5">
            <w:pPr>
              <w:rPr>
                <w:rFonts w:ascii="Arial"/>
                <w:sz w:val="21"/>
              </w:rPr>
            </w:pPr>
          </w:p>
        </w:tc>
        <w:tc>
          <w:tcPr>
            <w:tcW w:w="1027" w:type="dxa"/>
            <w:vAlign w:val="top"/>
          </w:tcPr>
          <w:p w14:paraId="4AC26972">
            <w:pPr>
              <w:rPr>
                <w:rFonts w:ascii="Arial"/>
                <w:sz w:val="21"/>
              </w:rPr>
            </w:pPr>
          </w:p>
        </w:tc>
      </w:tr>
      <w:tr w14:paraId="76CE22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1" w:hRule="atLeast"/>
        </w:trPr>
        <w:tc>
          <w:tcPr>
            <w:tcW w:w="696" w:type="dxa"/>
            <w:vAlign w:val="top"/>
          </w:tcPr>
          <w:p w14:paraId="289173AF">
            <w:pPr>
              <w:rPr>
                <w:rFonts w:ascii="Arial"/>
                <w:sz w:val="21"/>
              </w:rPr>
            </w:pPr>
          </w:p>
        </w:tc>
        <w:tc>
          <w:tcPr>
            <w:tcW w:w="1363" w:type="dxa"/>
            <w:vAlign w:val="top"/>
          </w:tcPr>
          <w:p w14:paraId="331F33C4">
            <w:pPr>
              <w:rPr>
                <w:rFonts w:ascii="Arial"/>
                <w:sz w:val="21"/>
              </w:rPr>
            </w:pPr>
          </w:p>
        </w:tc>
        <w:tc>
          <w:tcPr>
            <w:tcW w:w="1022" w:type="dxa"/>
            <w:vAlign w:val="top"/>
          </w:tcPr>
          <w:p w14:paraId="5E3D901A">
            <w:pPr>
              <w:rPr>
                <w:rFonts w:ascii="Arial"/>
                <w:sz w:val="21"/>
              </w:rPr>
            </w:pPr>
          </w:p>
        </w:tc>
        <w:tc>
          <w:tcPr>
            <w:tcW w:w="1022" w:type="dxa"/>
            <w:vAlign w:val="top"/>
          </w:tcPr>
          <w:p w14:paraId="2D8433F8">
            <w:pPr>
              <w:rPr>
                <w:rFonts w:ascii="Arial"/>
                <w:sz w:val="21"/>
              </w:rPr>
            </w:pPr>
          </w:p>
        </w:tc>
        <w:tc>
          <w:tcPr>
            <w:tcW w:w="1022" w:type="dxa"/>
            <w:vAlign w:val="top"/>
          </w:tcPr>
          <w:p w14:paraId="4FECDCC3">
            <w:pPr>
              <w:rPr>
                <w:rFonts w:ascii="Arial"/>
                <w:sz w:val="21"/>
              </w:rPr>
            </w:pPr>
          </w:p>
        </w:tc>
        <w:tc>
          <w:tcPr>
            <w:tcW w:w="1022" w:type="dxa"/>
            <w:vAlign w:val="top"/>
          </w:tcPr>
          <w:p w14:paraId="2EB1F473">
            <w:pPr>
              <w:rPr>
                <w:rFonts w:ascii="Arial"/>
                <w:sz w:val="21"/>
              </w:rPr>
            </w:pPr>
          </w:p>
        </w:tc>
        <w:tc>
          <w:tcPr>
            <w:tcW w:w="1027" w:type="dxa"/>
            <w:vAlign w:val="top"/>
          </w:tcPr>
          <w:p w14:paraId="4C292B7F">
            <w:pPr>
              <w:rPr>
                <w:rFonts w:ascii="Arial"/>
                <w:sz w:val="21"/>
              </w:rPr>
            </w:pPr>
          </w:p>
        </w:tc>
        <w:tc>
          <w:tcPr>
            <w:tcW w:w="1027" w:type="dxa"/>
            <w:vAlign w:val="top"/>
          </w:tcPr>
          <w:p w14:paraId="587D407F">
            <w:pPr>
              <w:rPr>
                <w:rFonts w:ascii="Arial"/>
                <w:sz w:val="21"/>
              </w:rPr>
            </w:pPr>
          </w:p>
        </w:tc>
      </w:tr>
      <w:tr w14:paraId="248F75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7" w:hRule="atLeast"/>
        </w:trPr>
        <w:tc>
          <w:tcPr>
            <w:tcW w:w="696" w:type="dxa"/>
            <w:vAlign w:val="top"/>
          </w:tcPr>
          <w:p w14:paraId="2BCB1CFF">
            <w:pPr>
              <w:rPr>
                <w:rFonts w:ascii="Arial"/>
                <w:sz w:val="21"/>
              </w:rPr>
            </w:pPr>
          </w:p>
        </w:tc>
        <w:tc>
          <w:tcPr>
            <w:tcW w:w="1363" w:type="dxa"/>
            <w:vAlign w:val="top"/>
          </w:tcPr>
          <w:p w14:paraId="21E63788">
            <w:pPr>
              <w:rPr>
                <w:rFonts w:ascii="Arial"/>
                <w:sz w:val="21"/>
              </w:rPr>
            </w:pPr>
          </w:p>
        </w:tc>
        <w:tc>
          <w:tcPr>
            <w:tcW w:w="1022" w:type="dxa"/>
            <w:vAlign w:val="top"/>
          </w:tcPr>
          <w:p w14:paraId="0434BE00">
            <w:pPr>
              <w:rPr>
                <w:rFonts w:ascii="Arial"/>
                <w:sz w:val="21"/>
              </w:rPr>
            </w:pPr>
          </w:p>
        </w:tc>
        <w:tc>
          <w:tcPr>
            <w:tcW w:w="1022" w:type="dxa"/>
            <w:vAlign w:val="top"/>
          </w:tcPr>
          <w:p w14:paraId="4940393A">
            <w:pPr>
              <w:rPr>
                <w:rFonts w:ascii="Arial"/>
                <w:sz w:val="21"/>
              </w:rPr>
            </w:pPr>
          </w:p>
        </w:tc>
        <w:tc>
          <w:tcPr>
            <w:tcW w:w="1022" w:type="dxa"/>
            <w:vAlign w:val="top"/>
          </w:tcPr>
          <w:p w14:paraId="2442D7CF">
            <w:pPr>
              <w:rPr>
                <w:rFonts w:ascii="Arial"/>
                <w:sz w:val="21"/>
              </w:rPr>
            </w:pPr>
          </w:p>
        </w:tc>
        <w:tc>
          <w:tcPr>
            <w:tcW w:w="1022" w:type="dxa"/>
            <w:vAlign w:val="top"/>
          </w:tcPr>
          <w:p w14:paraId="7151AAC1">
            <w:pPr>
              <w:rPr>
                <w:rFonts w:ascii="Arial"/>
                <w:sz w:val="21"/>
              </w:rPr>
            </w:pPr>
          </w:p>
        </w:tc>
        <w:tc>
          <w:tcPr>
            <w:tcW w:w="1027" w:type="dxa"/>
            <w:vAlign w:val="top"/>
          </w:tcPr>
          <w:p w14:paraId="1FB72ADD">
            <w:pPr>
              <w:rPr>
                <w:rFonts w:ascii="Arial"/>
                <w:sz w:val="21"/>
              </w:rPr>
            </w:pPr>
          </w:p>
        </w:tc>
        <w:tc>
          <w:tcPr>
            <w:tcW w:w="1027" w:type="dxa"/>
            <w:vAlign w:val="top"/>
          </w:tcPr>
          <w:p w14:paraId="4EAA98B5">
            <w:pPr>
              <w:rPr>
                <w:rFonts w:ascii="Arial"/>
                <w:sz w:val="21"/>
              </w:rPr>
            </w:pPr>
          </w:p>
        </w:tc>
      </w:tr>
      <w:tr w14:paraId="281B59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2" w:hRule="atLeast"/>
        </w:trPr>
        <w:tc>
          <w:tcPr>
            <w:tcW w:w="696" w:type="dxa"/>
            <w:vAlign w:val="top"/>
          </w:tcPr>
          <w:p w14:paraId="66EF9E8F">
            <w:pPr>
              <w:rPr>
                <w:rFonts w:ascii="Arial"/>
                <w:sz w:val="21"/>
              </w:rPr>
            </w:pPr>
          </w:p>
        </w:tc>
        <w:tc>
          <w:tcPr>
            <w:tcW w:w="1363" w:type="dxa"/>
            <w:vAlign w:val="top"/>
          </w:tcPr>
          <w:p w14:paraId="7D207192">
            <w:pPr>
              <w:rPr>
                <w:rFonts w:ascii="Arial"/>
                <w:sz w:val="21"/>
              </w:rPr>
            </w:pPr>
          </w:p>
        </w:tc>
        <w:tc>
          <w:tcPr>
            <w:tcW w:w="1022" w:type="dxa"/>
            <w:vAlign w:val="top"/>
          </w:tcPr>
          <w:p w14:paraId="718691FD">
            <w:pPr>
              <w:rPr>
                <w:rFonts w:ascii="Arial"/>
                <w:sz w:val="21"/>
              </w:rPr>
            </w:pPr>
          </w:p>
        </w:tc>
        <w:tc>
          <w:tcPr>
            <w:tcW w:w="1022" w:type="dxa"/>
            <w:vAlign w:val="top"/>
          </w:tcPr>
          <w:p w14:paraId="3C9F5A63">
            <w:pPr>
              <w:rPr>
                <w:rFonts w:ascii="Arial"/>
                <w:sz w:val="21"/>
              </w:rPr>
            </w:pPr>
          </w:p>
        </w:tc>
        <w:tc>
          <w:tcPr>
            <w:tcW w:w="1022" w:type="dxa"/>
            <w:vAlign w:val="top"/>
          </w:tcPr>
          <w:p w14:paraId="272EAA2B">
            <w:pPr>
              <w:rPr>
                <w:rFonts w:ascii="Arial"/>
                <w:sz w:val="21"/>
              </w:rPr>
            </w:pPr>
          </w:p>
        </w:tc>
        <w:tc>
          <w:tcPr>
            <w:tcW w:w="1022" w:type="dxa"/>
            <w:vAlign w:val="top"/>
          </w:tcPr>
          <w:p w14:paraId="06D4C2DB">
            <w:pPr>
              <w:rPr>
                <w:rFonts w:ascii="Arial"/>
                <w:sz w:val="21"/>
              </w:rPr>
            </w:pPr>
          </w:p>
        </w:tc>
        <w:tc>
          <w:tcPr>
            <w:tcW w:w="1027" w:type="dxa"/>
            <w:vAlign w:val="top"/>
          </w:tcPr>
          <w:p w14:paraId="58935158">
            <w:pPr>
              <w:rPr>
                <w:rFonts w:ascii="Arial"/>
                <w:sz w:val="21"/>
              </w:rPr>
            </w:pPr>
          </w:p>
        </w:tc>
        <w:tc>
          <w:tcPr>
            <w:tcW w:w="1027" w:type="dxa"/>
            <w:vAlign w:val="top"/>
          </w:tcPr>
          <w:p w14:paraId="68411BF2">
            <w:pPr>
              <w:rPr>
                <w:rFonts w:ascii="Arial"/>
                <w:sz w:val="21"/>
              </w:rPr>
            </w:pPr>
          </w:p>
        </w:tc>
      </w:tr>
      <w:tr w14:paraId="217B00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1" w:hRule="atLeast"/>
        </w:trPr>
        <w:tc>
          <w:tcPr>
            <w:tcW w:w="696" w:type="dxa"/>
            <w:vAlign w:val="top"/>
          </w:tcPr>
          <w:p w14:paraId="0DE2071A">
            <w:pPr>
              <w:rPr>
                <w:rFonts w:ascii="Arial"/>
                <w:sz w:val="21"/>
              </w:rPr>
            </w:pPr>
          </w:p>
        </w:tc>
        <w:tc>
          <w:tcPr>
            <w:tcW w:w="1363" w:type="dxa"/>
            <w:vAlign w:val="top"/>
          </w:tcPr>
          <w:p w14:paraId="7BCDBEC3">
            <w:pPr>
              <w:rPr>
                <w:rFonts w:ascii="Arial"/>
                <w:sz w:val="21"/>
              </w:rPr>
            </w:pPr>
          </w:p>
        </w:tc>
        <w:tc>
          <w:tcPr>
            <w:tcW w:w="1022" w:type="dxa"/>
            <w:vAlign w:val="top"/>
          </w:tcPr>
          <w:p w14:paraId="055F31CA">
            <w:pPr>
              <w:rPr>
                <w:rFonts w:ascii="Arial"/>
                <w:sz w:val="21"/>
              </w:rPr>
            </w:pPr>
          </w:p>
        </w:tc>
        <w:tc>
          <w:tcPr>
            <w:tcW w:w="1022" w:type="dxa"/>
            <w:vAlign w:val="top"/>
          </w:tcPr>
          <w:p w14:paraId="1D4A4B3C">
            <w:pPr>
              <w:rPr>
                <w:rFonts w:ascii="Arial"/>
                <w:sz w:val="21"/>
              </w:rPr>
            </w:pPr>
          </w:p>
        </w:tc>
        <w:tc>
          <w:tcPr>
            <w:tcW w:w="1022" w:type="dxa"/>
            <w:vAlign w:val="top"/>
          </w:tcPr>
          <w:p w14:paraId="306107B7">
            <w:pPr>
              <w:rPr>
                <w:rFonts w:ascii="Arial"/>
                <w:sz w:val="21"/>
              </w:rPr>
            </w:pPr>
          </w:p>
        </w:tc>
        <w:tc>
          <w:tcPr>
            <w:tcW w:w="1022" w:type="dxa"/>
            <w:vAlign w:val="top"/>
          </w:tcPr>
          <w:p w14:paraId="1172BB6F">
            <w:pPr>
              <w:rPr>
                <w:rFonts w:ascii="Arial"/>
                <w:sz w:val="21"/>
              </w:rPr>
            </w:pPr>
          </w:p>
        </w:tc>
        <w:tc>
          <w:tcPr>
            <w:tcW w:w="1027" w:type="dxa"/>
            <w:vAlign w:val="top"/>
          </w:tcPr>
          <w:p w14:paraId="26DE9BDC">
            <w:pPr>
              <w:rPr>
                <w:rFonts w:ascii="Arial"/>
                <w:sz w:val="21"/>
              </w:rPr>
            </w:pPr>
          </w:p>
        </w:tc>
        <w:tc>
          <w:tcPr>
            <w:tcW w:w="1027" w:type="dxa"/>
            <w:vAlign w:val="top"/>
          </w:tcPr>
          <w:p w14:paraId="002AC9A2">
            <w:pPr>
              <w:rPr>
                <w:rFonts w:ascii="Arial"/>
                <w:sz w:val="21"/>
              </w:rPr>
            </w:pPr>
          </w:p>
        </w:tc>
      </w:tr>
      <w:tr w14:paraId="648573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7" w:hRule="atLeast"/>
        </w:trPr>
        <w:tc>
          <w:tcPr>
            <w:tcW w:w="696" w:type="dxa"/>
            <w:vAlign w:val="top"/>
          </w:tcPr>
          <w:p w14:paraId="5CCD2B9C">
            <w:pPr>
              <w:rPr>
                <w:rFonts w:ascii="Arial"/>
                <w:sz w:val="21"/>
              </w:rPr>
            </w:pPr>
          </w:p>
        </w:tc>
        <w:tc>
          <w:tcPr>
            <w:tcW w:w="1363" w:type="dxa"/>
            <w:vAlign w:val="top"/>
          </w:tcPr>
          <w:p w14:paraId="7A970E4C">
            <w:pPr>
              <w:rPr>
                <w:rFonts w:ascii="Arial"/>
                <w:sz w:val="21"/>
              </w:rPr>
            </w:pPr>
          </w:p>
        </w:tc>
        <w:tc>
          <w:tcPr>
            <w:tcW w:w="1022" w:type="dxa"/>
            <w:vAlign w:val="top"/>
          </w:tcPr>
          <w:p w14:paraId="44C0817D">
            <w:pPr>
              <w:rPr>
                <w:rFonts w:ascii="Arial"/>
                <w:sz w:val="21"/>
              </w:rPr>
            </w:pPr>
          </w:p>
        </w:tc>
        <w:tc>
          <w:tcPr>
            <w:tcW w:w="1022" w:type="dxa"/>
            <w:vAlign w:val="top"/>
          </w:tcPr>
          <w:p w14:paraId="7FF17211">
            <w:pPr>
              <w:rPr>
                <w:rFonts w:ascii="Arial"/>
                <w:sz w:val="21"/>
              </w:rPr>
            </w:pPr>
          </w:p>
        </w:tc>
        <w:tc>
          <w:tcPr>
            <w:tcW w:w="1022" w:type="dxa"/>
            <w:vAlign w:val="top"/>
          </w:tcPr>
          <w:p w14:paraId="4F00C6FF">
            <w:pPr>
              <w:rPr>
                <w:rFonts w:ascii="Arial"/>
                <w:sz w:val="21"/>
              </w:rPr>
            </w:pPr>
          </w:p>
        </w:tc>
        <w:tc>
          <w:tcPr>
            <w:tcW w:w="1022" w:type="dxa"/>
            <w:vAlign w:val="top"/>
          </w:tcPr>
          <w:p w14:paraId="266B411C">
            <w:pPr>
              <w:rPr>
                <w:rFonts w:ascii="Arial"/>
                <w:sz w:val="21"/>
              </w:rPr>
            </w:pPr>
          </w:p>
        </w:tc>
        <w:tc>
          <w:tcPr>
            <w:tcW w:w="1027" w:type="dxa"/>
            <w:vAlign w:val="top"/>
          </w:tcPr>
          <w:p w14:paraId="480875E6">
            <w:pPr>
              <w:rPr>
                <w:rFonts w:ascii="Arial"/>
                <w:sz w:val="21"/>
              </w:rPr>
            </w:pPr>
          </w:p>
        </w:tc>
        <w:tc>
          <w:tcPr>
            <w:tcW w:w="1027" w:type="dxa"/>
            <w:vAlign w:val="top"/>
          </w:tcPr>
          <w:p w14:paraId="7E5A9B5E">
            <w:pPr>
              <w:rPr>
                <w:rFonts w:ascii="Arial"/>
                <w:sz w:val="21"/>
              </w:rPr>
            </w:pPr>
          </w:p>
        </w:tc>
      </w:tr>
      <w:tr w14:paraId="3DE851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1" w:hRule="atLeast"/>
        </w:trPr>
        <w:tc>
          <w:tcPr>
            <w:tcW w:w="696" w:type="dxa"/>
            <w:vAlign w:val="top"/>
          </w:tcPr>
          <w:p w14:paraId="6AD2E174">
            <w:pPr>
              <w:rPr>
                <w:rFonts w:ascii="Arial"/>
                <w:sz w:val="21"/>
              </w:rPr>
            </w:pPr>
          </w:p>
        </w:tc>
        <w:tc>
          <w:tcPr>
            <w:tcW w:w="1363" w:type="dxa"/>
            <w:vAlign w:val="top"/>
          </w:tcPr>
          <w:p w14:paraId="6DD11196">
            <w:pPr>
              <w:rPr>
                <w:rFonts w:ascii="Arial"/>
                <w:sz w:val="21"/>
              </w:rPr>
            </w:pPr>
          </w:p>
        </w:tc>
        <w:tc>
          <w:tcPr>
            <w:tcW w:w="1022" w:type="dxa"/>
            <w:vAlign w:val="top"/>
          </w:tcPr>
          <w:p w14:paraId="27AC1157">
            <w:pPr>
              <w:rPr>
                <w:rFonts w:ascii="Arial"/>
                <w:sz w:val="21"/>
              </w:rPr>
            </w:pPr>
          </w:p>
        </w:tc>
        <w:tc>
          <w:tcPr>
            <w:tcW w:w="1022" w:type="dxa"/>
            <w:vAlign w:val="top"/>
          </w:tcPr>
          <w:p w14:paraId="441C419E">
            <w:pPr>
              <w:rPr>
                <w:rFonts w:ascii="Arial"/>
                <w:sz w:val="21"/>
              </w:rPr>
            </w:pPr>
          </w:p>
        </w:tc>
        <w:tc>
          <w:tcPr>
            <w:tcW w:w="1022" w:type="dxa"/>
            <w:vAlign w:val="top"/>
          </w:tcPr>
          <w:p w14:paraId="2885D064">
            <w:pPr>
              <w:rPr>
                <w:rFonts w:ascii="Arial"/>
                <w:sz w:val="21"/>
              </w:rPr>
            </w:pPr>
          </w:p>
        </w:tc>
        <w:tc>
          <w:tcPr>
            <w:tcW w:w="1022" w:type="dxa"/>
            <w:vAlign w:val="top"/>
          </w:tcPr>
          <w:p w14:paraId="5D361FDB">
            <w:pPr>
              <w:rPr>
                <w:rFonts w:ascii="Arial"/>
                <w:sz w:val="21"/>
              </w:rPr>
            </w:pPr>
          </w:p>
        </w:tc>
        <w:tc>
          <w:tcPr>
            <w:tcW w:w="1027" w:type="dxa"/>
            <w:vAlign w:val="top"/>
          </w:tcPr>
          <w:p w14:paraId="3479BE57">
            <w:pPr>
              <w:rPr>
                <w:rFonts w:ascii="Arial"/>
                <w:sz w:val="21"/>
              </w:rPr>
            </w:pPr>
          </w:p>
        </w:tc>
        <w:tc>
          <w:tcPr>
            <w:tcW w:w="1027" w:type="dxa"/>
            <w:vAlign w:val="top"/>
          </w:tcPr>
          <w:p w14:paraId="7D3BD9F8">
            <w:pPr>
              <w:rPr>
                <w:rFonts w:ascii="Arial"/>
                <w:sz w:val="21"/>
              </w:rPr>
            </w:pPr>
          </w:p>
        </w:tc>
      </w:tr>
      <w:tr w14:paraId="5F2C77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2" w:hRule="atLeast"/>
        </w:trPr>
        <w:tc>
          <w:tcPr>
            <w:tcW w:w="696" w:type="dxa"/>
            <w:vAlign w:val="top"/>
          </w:tcPr>
          <w:p w14:paraId="08EB4163">
            <w:pPr>
              <w:rPr>
                <w:rFonts w:ascii="Arial"/>
                <w:sz w:val="21"/>
              </w:rPr>
            </w:pPr>
          </w:p>
        </w:tc>
        <w:tc>
          <w:tcPr>
            <w:tcW w:w="1363" w:type="dxa"/>
            <w:vAlign w:val="top"/>
          </w:tcPr>
          <w:p w14:paraId="0857E5D3">
            <w:pPr>
              <w:rPr>
                <w:rFonts w:ascii="Arial"/>
                <w:sz w:val="21"/>
              </w:rPr>
            </w:pPr>
          </w:p>
        </w:tc>
        <w:tc>
          <w:tcPr>
            <w:tcW w:w="1022" w:type="dxa"/>
            <w:vAlign w:val="top"/>
          </w:tcPr>
          <w:p w14:paraId="3007E0F1">
            <w:pPr>
              <w:rPr>
                <w:rFonts w:ascii="Arial"/>
                <w:sz w:val="21"/>
              </w:rPr>
            </w:pPr>
          </w:p>
        </w:tc>
        <w:tc>
          <w:tcPr>
            <w:tcW w:w="1022" w:type="dxa"/>
            <w:vAlign w:val="top"/>
          </w:tcPr>
          <w:p w14:paraId="0CF83B90">
            <w:pPr>
              <w:rPr>
                <w:rFonts w:ascii="Arial"/>
                <w:sz w:val="21"/>
              </w:rPr>
            </w:pPr>
          </w:p>
        </w:tc>
        <w:tc>
          <w:tcPr>
            <w:tcW w:w="1022" w:type="dxa"/>
            <w:vAlign w:val="top"/>
          </w:tcPr>
          <w:p w14:paraId="49D8C78F">
            <w:pPr>
              <w:rPr>
                <w:rFonts w:ascii="Arial"/>
                <w:sz w:val="21"/>
              </w:rPr>
            </w:pPr>
          </w:p>
        </w:tc>
        <w:tc>
          <w:tcPr>
            <w:tcW w:w="1022" w:type="dxa"/>
            <w:vAlign w:val="top"/>
          </w:tcPr>
          <w:p w14:paraId="5C84EC88">
            <w:pPr>
              <w:rPr>
                <w:rFonts w:ascii="Arial"/>
                <w:sz w:val="21"/>
              </w:rPr>
            </w:pPr>
          </w:p>
        </w:tc>
        <w:tc>
          <w:tcPr>
            <w:tcW w:w="1027" w:type="dxa"/>
            <w:vAlign w:val="top"/>
          </w:tcPr>
          <w:p w14:paraId="22FEB958">
            <w:pPr>
              <w:rPr>
                <w:rFonts w:ascii="Arial"/>
                <w:sz w:val="21"/>
              </w:rPr>
            </w:pPr>
          </w:p>
        </w:tc>
        <w:tc>
          <w:tcPr>
            <w:tcW w:w="1027" w:type="dxa"/>
            <w:vAlign w:val="top"/>
          </w:tcPr>
          <w:p w14:paraId="77CD6140">
            <w:pPr>
              <w:rPr>
                <w:rFonts w:ascii="Arial"/>
                <w:sz w:val="21"/>
              </w:rPr>
            </w:pPr>
          </w:p>
        </w:tc>
      </w:tr>
      <w:tr w14:paraId="7A3ED3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7" w:hRule="atLeast"/>
        </w:trPr>
        <w:tc>
          <w:tcPr>
            <w:tcW w:w="696" w:type="dxa"/>
            <w:vAlign w:val="top"/>
          </w:tcPr>
          <w:p w14:paraId="204FE27B">
            <w:pPr>
              <w:rPr>
                <w:rFonts w:ascii="Arial"/>
                <w:sz w:val="21"/>
              </w:rPr>
            </w:pPr>
          </w:p>
        </w:tc>
        <w:tc>
          <w:tcPr>
            <w:tcW w:w="1363" w:type="dxa"/>
            <w:vAlign w:val="top"/>
          </w:tcPr>
          <w:p w14:paraId="75CE63F6">
            <w:pPr>
              <w:rPr>
                <w:rFonts w:ascii="Arial"/>
                <w:sz w:val="21"/>
              </w:rPr>
            </w:pPr>
          </w:p>
        </w:tc>
        <w:tc>
          <w:tcPr>
            <w:tcW w:w="1022" w:type="dxa"/>
            <w:vAlign w:val="top"/>
          </w:tcPr>
          <w:p w14:paraId="5C7673A9">
            <w:pPr>
              <w:rPr>
                <w:rFonts w:ascii="Arial"/>
                <w:sz w:val="21"/>
              </w:rPr>
            </w:pPr>
          </w:p>
        </w:tc>
        <w:tc>
          <w:tcPr>
            <w:tcW w:w="1022" w:type="dxa"/>
            <w:vAlign w:val="top"/>
          </w:tcPr>
          <w:p w14:paraId="1A6E2165">
            <w:pPr>
              <w:rPr>
                <w:rFonts w:ascii="Arial"/>
                <w:sz w:val="21"/>
              </w:rPr>
            </w:pPr>
          </w:p>
        </w:tc>
        <w:tc>
          <w:tcPr>
            <w:tcW w:w="1022" w:type="dxa"/>
            <w:vAlign w:val="top"/>
          </w:tcPr>
          <w:p w14:paraId="51F5989C">
            <w:pPr>
              <w:rPr>
                <w:rFonts w:ascii="Arial"/>
                <w:sz w:val="21"/>
              </w:rPr>
            </w:pPr>
          </w:p>
        </w:tc>
        <w:tc>
          <w:tcPr>
            <w:tcW w:w="1022" w:type="dxa"/>
            <w:vAlign w:val="top"/>
          </w:tcPr>
          <w:p w14:paraId="41838DA9">
            <w:pPr>
              <w:rPr>
                <w:rFonts w:ascii="Arial"/>
                <w:sz w:val="21"/>
              </w:rPr>
            </w:pPr>
          </w:p>
        </w:tc>
        <w:tc>
          <w:tcPr>
            <w:tcW w:w="1027" w:type="dxa"/>
            <w:vAlign w:val="top"/>
          </w:tcPr>
          <w:p w14:paraId="0491F39E">
            <w:pPr>
              <w:rPr>
                <w:rFonts w:ascii="Arial"/>
                <w:sz w:val="21"/>
              </w:rPr>
            </w:pPr>
          </w:p>
        </w:tc>
        <w:tc>
          <w:tcPr>
            <w:tcW w:w="1027" w:type="dxa"/>
            <w:vAlign w:val="top"/>
          </w:tcPr>
          <w:p w14:paraId="10014BB5">
            <w:pPr>
              <w:rPr>
                <w:rFonts w:ascii="Arial"/>
                <w:sz w:val="21"/>
              </w:rPr>
            </w:pPr>
          </w:p>
        </w:tc>
      </w:tr>
      <w:tr w14:paraId="6047F7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1" w:hRule="atLeast"/>
        </w:trPr>
        <w:tc>
          <w:tcPr>
            <w:tcW w:w="696" w:type="dxa"/>
            <w:vAlign w:val="top"/>
          </w:tcPr>
          <w:p w14:paraId="4212E45D">
            <w:pPr>
              <w:rPr>
                <w:rFonts w:ascii="Arial"/>
                <w:sz w:val="21"/>
              </w:rPr>
            </w:pPr>
          </w:p>
        </w:tc>
        <w:tc>
          <w:tcPr>
            <w:tcW w:w="1363" w:type="dxa"/>
            <w:vAlign w:val="top"/>
          </w:tcPr>
          <w:p w14:paraId="238AE539">
            <w:pPr>
              <w:rPr>
                <w:rFonts w:ascii="Arial"/>
                <w:sz w:val="21"/>
              </w:rPr>
            </w:pPr>
          </w:p>
        </w:tc>
        <w:tc>
          <w:tcPr>
            <w:tcW w:w="1022" w:type="dxa"/>
            <w:vAlign w:val="top"/>
          </w:tcPr>
          <w:p w14:paraId="7AE5A717">
            <w:pPr>
              <w:rPr>
                <w:rFonts w:ascii="Arial"/>
                <w:sz w:val="21"/>
              </w:rPr>
            </w:pPr>
          </w:p>
        </w:tc>
        <w:tc>
          <w:tcPr>
            <w:tcW w:w="1022" w:type="dxa"/>
            <w:vAlign w:val="top"/>
          </w:tcPr>
          <w:p w14:paraId="6E6B34B1">
            <w:pPr>
              <w:rPr>
                <w:rFonts w:ascii="Arial"/>
                <w:sz w:val="21"/>
              </w:rPr>
            </w:pPr>
          </w:p>
        </w:tc>
        <w:tc>
          <w:tcPr>
            <w:tcW w:w="1022" w:type="dxa"/>
            <w:vAlign w:val="top"/>
          </w:tcPr>
          <w:p w14:paraId="0B63B5DA">
            <w:pPr>
              <w:rPr>
                <w:rFonts w:ascii="Arial"/>
                <w:sz w:val="21"/>
              </w:rPr>
            </w:pPr>
          </w:p>
        </w:tc>
        <w:tc>
          <w:tcPr>
            <w:tcW w:w="1022" w:type="dxa"/>
            <w:vAlign w:val="top"/>
          </w:tcPr>
          <w:p w14:paraId="25CE732F">
            <w:pPr>
              <w:rPr>
                <w:rFonts w:ascii="Arial"/>
                <w:sz w:val="21"/>
              </w:rPr>
            </w:pPr>
          </w:p>
        </w:tc>
        <w:tc>
          <w:tcPr>
            <w:tcW w:w="1027" w:type="dxa"/>
            <w:vAlign w:val="top"/>
          </w:tcPr>
          <w:p w14:paraId="31451596">
            <w:pPr>
              <w:rPr>
                <w:rFonts w:ascii="Arial"/>
                <w:sz w:val="21"/>
              </w:rPr>
            </w:pPr>
          </w:p>
        </w:tc>
        <w:tc>
          <w:tcPr>
            <w:tcW w:w="1027" w:type="dxa"/>
            <w:vAlign w:val="top"/>
          </w:tcPr>
          <w:p w14:paraId="1349116F">
            <w:pPr>
              <w:rPr>
                <w:rFonts w:ascii="Arial"/>
                <w:sz w:val="21"/>
              </w:rPr>
            </w:pPr>
          </w:p>
        </w:tc>
      </w:tr>
      <w:tr w14:paraId="66648F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7" w:hRule="atLeast"/>
        </w:trPr>
        <w:tc>
          <w:tcPr>
            <w:tcW w:w="696" w:type="dxa"/>
            <w:vAlign w:val="top"/>
          </w:tcPr>
          <w:p w14:paraId="7E0E7854">
            <w:pPr>
              <w:rPr>
                <w:rFonts w:ascii="Arial"/>
                <w:sz w:val="21"/>
              </w:rPr>
            </w:pPr>
          </w:p>
        </w:tc>
        <w:tc>
          <w:tcPr>
            <w:tcW w:w="1363" w:type="dxa"/>
            <w:vAlign w:val="top"/>
          </w:tcPr>
          <w:p w14:paraId="2F801457">
            <w:pPr>
              <w:rPr>
                <w:rFonts w:ascii="Arial"/>
                <w:sz w:val="21"/>
              </w:rPr>
            </w:pPr>
          </w:p>
        </w:tc>
        <w:tc>
          <w:tcPr>
            <w:tcW w:w="1022" w:type="dxa"/>
            <w:vAlign w:val="top"/>
          </w:tcPr>
          <w:p w14:paraId="34E54BFF">
            <w:pPr>
              <w:rPr>
                <w:rFonts w:ascii="Arial"/>
                <w:sz w:val="21"/>
              </w:rPr>
            </w:pPr>
          </w:p>
        </w:tc>
        <w:tc>
          <w:tcPr>
            <w:tcW w:w="1022" w:type="dxa"/>
            <w:vAlign w:val="top"/>
          </w:tcPr>
          <w:p w14:paraId="64E3FA3F">
            <w:pPr>
              <w:rPr>
                <w:rFonts w:ascii="Arial"/>
                <w:sz w:val="21"/>
              </w:rPr>
            </w:pPr>
          </w:p>
        </w:tc>
        <w:tc>
          <w:tcPr>
            <w:tcW w:w="1022" w:type="dxa"/>
            <w:vAlign w:val="top"/>
          </w:tcPr>
          <w:p w14:paraId="69056185">
            <w:pPr>
              <w:rPr>
                <w:rFonts w:ascii="Arial"/>
                <w:sz w:val="21"/>
              </w:rPr>
            </w:pPr>
          </w:p>
        </w:tc>
        <w:tc>
          <w:tcPr>
            <w:tcW w:w="1022" w:type="dxa"/>
            <w:vAlign w:val="top"/>
          </w:tcPr>
          <w:p w14:paraId="5F55B7D5">
            <w:pPr>
              <w:rPr>
                <w:rFonts w:ascii="Arial"/>
                <w:sz w:val="21"/>
              </w:rPr>
            </w:pPr>
          </w:p>
        </w:tc>
        <w:tc>
          <w:tcPr>
            <w:tcW w:w="1027" w:type="dxa"/>
            <w:vAlign w:val="top"/>
          </w:tcPr>
          <w:p w14:paraId="1FBF369A">
            <w:pPr>
              <w:rPr>
                <w:rFonts w:ascii="Arial"/>
                <w:sz w:val="21"/>
              </w:rPr>
            </w:pPr>
          </w:p>
        </w:tc>
        <w:tc>
          <w:tcPr>
            <w:tcW w:w="1027" w:type="dxa"/>
            <w:vAlign w:val="top"/>
          </w:tcPr>
          <w:p w14:paraId="0432B3D7">
            <w:pPr>
              <w:rPr>
                <w:rFonts w:ascii="Arial"/>
                <w:sz w:val="21"/>
              </w:rPr>
            </w:pPr>
          </w:p>
        </w:tc>
      </w:tr>
      <w:tr w14:paraId="618572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2" w:hRule="atLeast"/>
        </w:trPr>
        <w:tc>
          <w:tcPr>
            <w:tcW w:w="696" w:type="dxa"/>
            <w:vAlign w:val="top"/>
          </w:tcPr>
          <w:p w14:paraId="2B386D7A">
            <w:pPr>
              <w:rPr>
                <w:rFonts w:ascii="Arial"/>
                <w:sz w:val="21"/>
              </w:rPr>
            </w:pPr>
          </w:p>
        </w:tc>
        <w:tc>
          <w:tcPr>
            <w:tcW w:w="1363" w:type="dxa"/>
            <w:vAlign w:val="top"/>
          </w:tcPr>
          <w:p w14:paraId="6CD9E834">
            <w:pPr>
              <w:rPr>
                <w:rFonts w:ascii="Arial"/>
                <w:sz w:val="21"/>
              </w:rPr>
            </w:pPr>
          </w:p>
        </w:tc>
        <w:tc>
          <w:tcPr>
            <w:tcW w:w="1022" w:type="dxa"/>
            <w:vAlign w:val="top"/>
          </w:tcPr>
          <w:p w14:paraId="6F5C3B3A">
            <w:pPr>
              <w:rPr>
                <w:rFonts w:ascii="Arial"/>
                <w:sz w:val="21"/>
              </w:rPr>
            </w:pPr>
          </w:p>
        </w:tc>
        <w:tc>
          <w:tcPr>
            <w:tcW w:w="1022" w:type="dxa"/>
            <w:vAlign w:val="top"/>
          </w:tcPr>
          <w:p w14:paraId="74405F48">
            <w:pPr>
              <w:rPr>
                <w:rFonts w:ascii="Arial"/>
                <w:sz w:val="21"/>
              </w:rPr>
            </w:pPr>
          </w:p>
        </w:tc>
        <w:tc>
          <w:tcPr>
            <w:tcW w:w="1022" w:type="dxa"/>
            <w:vAlign w:val="top"/>
          </w:tcPr>
          <w:p w14:paraId="68569837">
            <w:pPr>
              <w:rPr>
                <w:rFonts w:ascii="Arial"/>
                <w:sz w:val="21"/>
              </w:rPr>
            </w:pPr>
          </w:p>
        </w:tc>
        <w:tc>
          <w:tcPr>
            <w:tcW w:w="1022" w:type="dxa"/>
            <w:vAlign w:val="top"/>
          </w:tcPr>
          <w:p w14:paraId="73801FF6">
            <w:pPr>
              <w:rPr>
                <w:rFonts w:ascii="Arial"/>
                <w:sz w:val="21"/>
              </w:rPr>
            </w:pPr>
          </w:p>
        </w:tc>
        <w:tc>
          <w:tcPr>
            <w:tcW w:w="1027" w:type="dxa"/>
            <w:vAlign w:val="top"/>
          </w:tcPr>
          <w:p w14:paraId="49A5309A">
            <w:pPr>
              <w:rPr>
                <w:rFonts w:ascii="Arial"/>
                <w:sz w:val="21"/>
              </w:rPr>
            </w:pPr>
          </w:p>
        </w:tc>
        <w:tc>
          <w:tcPr>
            <w:tcW w:w="1027" w:type="dxa"/>
            <w:vAlign w:val="top"/>
          </w:tcPr>
          <w:p w14:paraId="20CA0907">
            <w:pPr>
              <w:rPr>
                <w:rFonts w:ascii="Arial"/>
                <w:sz w:val="21"/>
              </w:rPr>
            </w:pPr>
          </w:p>
        </w:tc>
      </w:tr>
      <w:tr w14:paraId="4BCA6C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2" w:hRule="atLeast"/>
        </w:trPr>
        <w:tc>
          <w:tcPr>
            <w:tcW w:w="696" w:type="dxa"/>
            <w:vAlign w:val="top"/>
          </w:tcPr>
          <w:p w14:paraId="5B127DF0">
            <w:pPr>
              <w:rPr>
                <w:rFonts w:ascii="Arial"/>
                <w:sz w:val="21"/>
              </w:rPr>
            </w:pPr>
          </w:p>
        </w:tc>
        <w:tc>
          <w:tcPr>
            <w:tcW w:w="1363" w:type="dxa"/>
            <w:vAlign w:val="top"/>
          </w:tcPr>
          <w:p w14:paraId="46433CEF">
            <w:pPr>
              <w:rPr>
                <w:rFonts w:ascii="Arial"/>
                <w:sz w:val="21"/>
              </w:rPr>
            </w:pPr>
          </w:p>
        </w:tc>
        <w:tc>
          <w:tcPr>
            <w:tcW w:w="1022" w:type="dxa"/>
            <w:vAlign w:val="top"/>
          </w:tcPr>
          <w:p w14:paraId="080F8259">
            <w:pPr>
              <w:rPr>
                <w:rFonts w:ascii="Arial"/>
                <w:sz w:val="21"/>
              </w:rPr>
            </w:pPr>
          </w:p>
        </w:tc>
        <w:tc>
          <w:tcPr>
            <w:tcW w:w="1022" w:type="dxa"/>
            <w:vAlign w:val="top"/>
          </w:tcPr>
          <w:p w14:paraId="2D125F87">
            <w:pPr>
              <w:rPr>
                <w:rFonts w:ascii="Arial"/>
                <w:sz w:val="21"/>
              </w:rPr>
            </w:pPr>
          </w:p>
        </w:tc>
        <w:tc>
          <w:tcPr>
            <w:tcW w:w="1022" w:type="dxa"/>
            <w:vAlign w:val="top"/>
          </w:tcPr>
          <w:p w14:paraId="3B545F79">
            <w:pPr>
              <w:rPr>
                <w:rFonts w:ascii="Arial"/>
                <w:sz w:val="21"/>
              </w:rPr>
            </w:pPr>
          </w:p>
        </w:tc>
        <w:tc>
          <w:tcPr>
            <w:tcW w:w="1022" w:type="dxa"/>
            <w:vAlign w:val="top"/>
          </w:tcPr>
          <w:p w14:paraId="7E4DB57D">
            <w:pPr>
              <w:rPr>
                <w:rFonts w:ascii="Arial"/>
                <w:sz w:val="21"/>
              </w:rPr>
            </w:pPr>
          </w:p>
        </w:tc>
        <w:tc>
          <w:tcPr>
            <w:tcW w:w="1027" w:type="dxa"/>
            <w:vAlign w:val="top"/>
          </w:tcPr>
          <w:p w14:paraId="6BE03B26">
            <w:pPr>
              <w:rPr>
                <w:rFonts w:ascii="Arial"/>
                <w:sz w:val="21"/>
              </w:rPr>
            </w:pPr>
          </w:p>
        </w:tc>
        <w:tc>
          <w:tcPr>
            <w:tcW w:w="1027" w:type="dxa"/>
            <w:vAlign w:val="top"/>
          </w:tcPr>
          <w:p w14:paraId="2D43BEC2">
            <w:pPr>
              <w:rPr>
                <w:rFonts w:ascii="Arial"/>
                <w:sz w:val="21"/>
              </w:rPr>
            </w:pPr>
          </w:p>
        </w:tc>
      </w:tr>
      <w:tr w14:paraId="08F53C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7" w:hRule="atLeast"/>
        </w:trPr>
        <w:tc>
          <w:tcPr>
            <w:tcW w:w="696" w:type="dxa"/>
            <w:vAlign w:val="top"/>
          </w:tcPr>
          <w:p w14:paraId="6432D40A">
            <w:pPr>
              <w:rPr>
                <w:rFonts w:ascii="Arial"/>
                <w:sz w:val="21"/>
              </w:rPr>
            </w:pPr>
          </w:p>
        </w:tc>
        <w:tc>
          <w:tcPr>
            <w:tcW w:w="1363" w:type="dxa"/>
            <w:vAlign w:val="top"/>
          </w:tcPr>
          <w:p w14:paraId="4E480EDD">
            <w:pPr>
              <w:rPr>
                <w:rFonts w:ascii="Arial"/>
                <w:sz w:val="21"/>
              </w:rPr>
            </w:pPr>
          </w:p>
        </w:tc>
        <w:tc>
          <w:tcPr>
            <w:tcW w:w="1022" w:type="dxa"/>
            <w:vAlign w:val="top"/>
          </w:tcPr>
          <w:p w14:paraId="19F60DFE">
            <w:pPr>
              <w:rPr>
                <w:rFonts w:ascii="Arial"/>
                <w:sz w:val="21"/>
              </w:rPr>
            </w:pPr>
          </w:p>
        </w:tc>
        <w:tc>
          <w:tcPr>
            <w:tcW w:w="1022" w:type="dxa"/>
            <w:vAlign w:val="top"/>
          </w:tcPr>
          <w:p w14:paraId="2C6BE070">
            <w:pPr>
              <w:rPr>
                <w:rFonts w:ascii="Arial"/>
                <w:sz w:val="21"/>
              </w:rPr>
            </w:pPr>
          </w:p>
        </w:tc>
        <w:tc>
          <w:tcPr>
            <w:tcW w:w="1022" w:type="dxa"/>
            <w:vAlign w:val="top"/>
          </w:tcPr>
          <w:p w14:paraId="5C73A148">
            <w:pPr>
              <w:rPr>
                <w:rFonts w:ascii="Arial"/>
                <w:sz w:val="21"/>
              </w:rPr>
            </w:pPr>
          </w:p>
        </w:tc>
        <w:tc>
          <w:tcPr>
            <w:tcW w:w="1022" w:type="dxa"/>
            <w:vAlign w:val="top"/>
          </w:tcPr>
          <w:p w14:paraId="3B81842B">
            <w:pPr>
              <w:rPr>
                <w:rFonts w:ascii="Arial"/>
                <w:sz w:val="21"/>
              </w:rPr>
            </w:pPr>
          </w:p>
        </w:tc>
        <w:tc>
          <w:tcPr>
            <w:tcW w:w="1027" w:type="dxa"/>
            <w:vAlign w:val="top"/>
          </w:tcPr>
          <w:p w14:paraId="1B4643F3">
            <w:pPr>
              <w:rPr>
                <w:rFonts w:ascii="Arial"/>
                <w:sz w:val="21"/>
              </w:rPr>
            </w:pPr>
          </w:p>
        </w:tc>
        <w:tc>
          <w:tcPr>
            <w:tcW w:w="1027" w:type="dxa"/>
            <w:vAlign w:val="top"/>
          </w:tcPr>
          <w:p w14:paraId="1D3CBDC2">
            <w:pPr>
              <w:rPr>
                <w:rFonts w:ascii="Arial"/>
                <w:sz w:val="21"/>
              </w:rPr>
            </w:pPr>
          </w:p>
        </w:tc>
      </w:tr>
      <w:tr w14:paraId="70CA8C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2" w:hRule="atLeast"/>
        </w:trPr>
        <w:tc>
          <w:tcPr>
            <w:tcW w:w="696" w:type="dxa"/>
            <w:vAlign w:val="top"/>
          </w:tcPr>
          <w:p w14:paraId="7F9ACEA8">
            <w:pPr>
              <w:rPr>
                <w:rFonts w:ascii="Arial"/>
                <w:sz w:val="21"/>
              </w:rPr>
            </w:pPr>
          </w:p>
        </w:tc>
        <w:tc>
          <w:tcPr>
            <w:tcW w:w="1363" w:type="dxa"/>
            <w:vAlign w:val="top"/>
          </w:tcPr>
          <w:p w14:paraId="0687F95F">
            <w:pPr>
              <w:rPr>
                <w:rFonts w:ascii="Arial"/>
                <w:sz w:val="21"/>
              </w:rPr>
            </w:pPr>
          </w:p>
        </w:tc>
        <w:tc>
          <w:tcPr>
            <w:tcW w:w="1022" w:type="dxa"/>
            <w:vAlign w:val="top"/>
          </w:tcPr>
          <w:p w14:paraId="5CE33008">
            <w:pPr>
              <w:rPr>
                <w:rFonts w:ascii="Arial"/>
                <w:sz w:val="21"/>
              </w:rPr>
            </w:pPr>
          </w:p>
        </w:tc>
        <w:tc>
          <w:tcPr>
            <w:tcW w:w="1022" w:type="dxa"/>
            <w:vAlign w:val="top"/>
          </w:tcPr>
          <w:p w14:paraId="72F85A4C">
            <w:pPr>
              <w:rPr>
                <w:rFonts w:ascii="Arial"/>
                <w:sz w:val="21"/>
              </w:rPr>
            </w:pPr>
          </w:p>
        </w:tc>
        <w:tc>
          <w:tcPr>
            <w:tcW w:w="1022" w:type="dxa"/>
            <w:vAlign w:val="top"/>
          </w:tcPr>
          <w:p w14:paraId="41E7601E">
            <w:pPr>
              <w:rPr>
                <w:rFonts w:ascii="Arial"/>
                <w:sz w:val="21"/>
              </w:rPr>
            </w:pPr>
          </w:p>
        </w:tc>
        <w:tc>
          <w:tcPr>
            <w:tcW w:w="1022" w:type="dxa"/>
            <w:vAlign w:val="top"/>
          </w:tcPr>
          <w:p w14:paraId="399A94D7">
            <w:pPr>
              <w:rPr>
                <w:rFonts w:ascii="Arial"/>
                <w:sz w:val="21"/>
              </w:rPr>
            </w:pPr>
          </w:p>
        </w:tc>
        <w:tc>
          <w:tcPr>
            <w:tcW w:w="1027" w:type="dxa"/>
            <w:vAlign w:val="top"/>
          </w:tcPr>
          <w:p w14:paraId="67E57712">
            <w:pPr>
              <w:rPr>
                <w:rFonts w:ascii="Arial"/>
                <w:sz w:val="21"/>
              </w:rPr>
            </w:pPr>
          </w:p>
        </w:tc>
        <w:tc>
          <w:tcPr>
            <w:tcW w:w="1027" w:type="dxa"/>
            <w:vAlign w:val="top"/>
          </w:tcPr>
          <w:p w14:paraId="70B33D45">
            <w:pPr>
              <w:rPr>
                <w:rFonts w:ascii="Arial"/>
                <w:sz w:val="21"/>
              </w:rPr>
            </w:pPr>
          </w:p>
        </w:tc>
      </w:tr>
      <w:tr w14:paraId="223A44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2" w:hRule="atLeast"/>
        </w:trPr>
        <w:tc>
          <w:tcPr>
            <w:tcW w:w="696" w:type="dxa"/>
            <w:vAlign w:val="top"/>
          </w:tcPr>
          <w:p w14:paraId="4AEB18F0">
            <w:pPr>
              <w:rPr>
                <w:rFonts w:ascii="Arial"/>
                <w:sz w:val="21"/>
              </w:rPr>
            </w:pPr>
          </w:p>
        </w:tc>
        <w:tc>
          <w:tcPr>
            <w:tcW w:w="1363" w:type="dxa"/>
            <w:vAlign w:val="top"/>
          </w:tcPr>
          <w:p w14:paraId="28938C5E">
            <w:pPr>
              <w:rPr>
                <w:rFonts w:ascii="Arial"/>
                <w:sz w:val="21"/>
              </w:rPr>
            </w:pPr>
          </w:p>
        </w:tc>
        <w:tc>
          <w:tcPr>
            <w:tcW w:w="1022" w:type="dxa"/>
            <w:vAlign w:val="top"/>
          </w:tcPr>
          <w:p w14:paraId="443EE444">
            <w:pPr>
              <w:rPr>
                <w:rFonts w:ascii="Arial"/>
                <w:sz w:val="21"/>
              </w:rPr>
            </w:pPr>
          </w:p>
        </w:tc>
        <w:tc>
          <w:tcPr>
            <w:tcW w:w="1022" w:type="dxa"/>
            <w:vAlign w:val="top"/>
          </w:tcPr>
          <w:p w14:paraId="03FB3FEE">
            <w:pPr>
              <w:rPr>
                <w:rFonts w:ascii="Arial"/>
                <w:sz w:val="21"/>
              </w:rPr>
            </w:pPr>
          </w:p>
        </w:tc>
        <w:tc>
          <w:tcPr>
            <w:tcW w:w="1022" w:type="dxa"/>
            <w:vAlign w:val="top"/>
          </w:tcPr>
          <w:p w14:paraId="024F82E7">
            <w:pPr>
              <w:rPr>
                <w:rFonts w:ascii="Arial"/>
                <w:sz w:val="21"/>
              </w:rPr>
            </w:pPr>
          </w:p>
        </w:tc>
        <w:tc>
          <w:tcPr>
            <w:tcW w:w="1022" w:type="dxa"/>
            <w:vAlign w:val="top"/>
          </w:tcPr>
          <w:p w14:paraId="60C87F95">
            <w:pPr>
              <w:rPr>
                <w:rFonts w:ascii="Arial"/>
                <w:sz w:val="21"/>
              </w:rPr>
            </w:pPr>
          </w:p>
        </w:tc>
        <w:tc>
          <w:tcPr>
            <w:tcW w:w="1027" w:type="dxa"/>
            <w:vAlign w:val="top"/>
          </w:tcPr>
          <w:p w14:paraId="0BF9FF7D">
            <w:pPr>
              <w:rPr>
                <w:rFonts w:ascii="Arial"/>
                <w:sz w:val="21"/>
              </w:rPr>
            </w:pPr>
          </w:p>
        </w:tc>
        <w:tc>
          <w:tcPr>
            <w:tcW w:w="1027" w:type="dxa"/>
            <w:vAlign w:val="top"/>
          </w:tcPr>
          <w:p w14:paraId="32BBC1BC">
            <w:pPr>
              <w:rPr>
                <w:rFonts w:ascii="Arial"/>
                <w:sz w:val="21"/>
              </w:rPr>
            </w:pPr>
          </w:p>
        </w:tc>
      </w:tr>
      <w:tr w14:paraId="092D1F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7" w:hRule="atLeast"/>
        </w:trPr>
        <w:tc>
          <w:tcPr>
            <w:tcW w:w="696" w:type="dxa"/>
            <w:vAlign w:val="top"/>
          </w:tcPr>
          <w:p w14:paraId="4EB4F4C3">
            <w:pPr>
              <w:rPr>
                <w:rFonts w:ascii="Arial"/>
                <w:sz w:val="21"/>
              </w:rPr>
            </w:pPr>
          </w:p>
        </w:tc>
        <w:tc>
          <w:tcPr>
            <w:tcW w:w="1363" w:type="dxa"/>
            <w:vAlign w:val="top"/>
          </w:tcPr>
          <w:p w14:paraId="03DBE4FC">
            <w:pPr>
              <w:rPr>
                <w:rFonts w:ascii="Arial"/>
                <w:sz w:val="21"/>
              </w:rPr>
            </w:pPr>
          </w:p>
        </w:tc>
        <w:tc>
          <w:tcPr>
            <w:tcW w:w="1022" w:type="dxa"/>
            <w:vAlign w:val="top"/>
          </w:tcPr>
          <w:p w14:paraId="075C8F4F">
            <w:pPr>
              <w:rPr>
                <w:rFonts w:ascii="Arial"/>
                <w:sz w:val="21"/>
              </w:rPr>
            </w:pPr>
          </w:p>
        </w:tc>
        <w:tc>
          <w:tcPr>
            <w:tcW w:w="1022" w:type="dxa"/>
            <w:vAlign w:val="top"/>
          </w:tcPr>
          <w:p w14:paraId="65693EB3">
            <w:pPr>
              <w:rPr>
                <w:rFonts w:ascii="Arial"/>
                <w:sz w:val="21"/>
              </w:rPr>
            </w:pPr>
          </w:p>
        </w:tc>
        <w:tc>
          <w:tcPr>
            <w:tcW w:w="1022" w:type="dxa"/>
            <w:vAlign w:val="top"/>
          </w:tcPr>
          <w:p w14:paraId="04D37EC8">
            <w:pPr>
              <w:rPr>
                <w:rFonts w:ascii="Arial"/>
                <w:sz w:val="21"/>
              </w:rPr>
            </w:pPr>
          </w:p>
        </w:tc>
        <w:tc>
          <w:tcPr>
            <w:tcW w:w="1022" w:type="dxa"/>
            <w:vAlign w:val="top"/>
          </w:tcPr>
          <w:p w14:paraId="354CBB53">
            <w:pPr>
              <w:rPr>
                <w:rFonts w:ascii="Arial"/>
                <w:sz w:val="21"/>
              </w:rPr>
            </w:pPr>
          </w:p>
        </w:tc>
        <w:tc>
          <w:tcPr>
            <w:tcW w:w="1027" w:type="dxa"/>
            <w:vAlign w:val="top"/>
          </w:tcPr>
          <w:p w14:paraId="1BA4A796">
            <w:pPr>
              <w:rPr>
                <w:rFonts w:ascii="Arial"/>
                <w:sz w:val="21"/>
              </w:rPr>
            </w:pPr>
          </w:p>
        </w:tc>
        <w:tc>
          <w:tcPr>
            <w:tcW w:w="1027" w:type="dxa"/>
            <w:vAlign w:val="top"/>
          </w:tcPr>
          <w:p w14:paraId="24DCAD92">
            <w:pPr>
              <w:rPr>
                <w:rFonts w:ascii="Arial"/>
                <w:sz w:val="21"/>
              </w:rPr>
            </w:pPr>
          </w:p>
        </w:tc>
      </w:tr>
      <w:tr w14:paraId="75A68E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1" w:hRule="atLeast"/>
        </w:trPr>
        <w:tc>
          <w:tcPr>
            <w:tcW w:w="696" w:type="dxa"/>
            <w:vAlign w:val="top"/>
          </w:tcPr>
          <w:p w14:paraId="1A1340F3">
            <w:pPr>
              <w:rPr>
                <w:rFonts w:ascii="Arial"/>
                <w:sz w:val="21"/>
              </w:rPr>
            </w:pPr>
          </w:p>
        </w:tc>
        <w:tc>
          <w:tcPr>
            <w:tcW w:w="1363" w:type="dxa"/>
            <w:vAlign w:val="top"/>
          </w:tcPr>
          <w:p w14:paraId="19E8F8B5">
            <w:pPr>
              <w:rPr>
                <w:rFonts w:ascii="Arial"/>
                <w:sz w:val="21"/>
              </w:rPr>
            </w:pPr>
          </w:p>
        </w:tc>
        <w:tc>
          <w:tcPr>
            <w:tcW w:w="1022" w:type="dxa"/>
            <w:vAlign w:val="top"/>
          </w:tcPr>
          <w:p w14:paraId="330C6C22">
            <w:pPr>
              <w:rPr>
                <w:rFonts w:ascii="Arial"/>
                <w:sz w:val="21"/>
              </w:rPr>
            </w:pPr>
          </w:p>
        </w:tc>
        <w:tc>
          <w:tcPr>
            <w:tcW w:w="1022" w:type="dxa"/>
            <w:vAlign w:val="top"/>
          </w:tcPr>
          <w:p w14:paraId="3EEB3105">
            <w:pPr>
              <w:rPr>
                <w:rFonts w:ascii="Arial"/>
                <w:sz w:val="21"/>
              </w:rPr>
            </w:pPr>
          </w:p>
        </w:tc>
        <w:tc>
          <w:tcPr>
            <w:tcW w:w="1022" w:type="dxa"/>
            <w:vAlign w:val="top"/>
          </w:tcPr>
          <w:p w14:paraId="167886DA">
            <w:pPr>
              <w:rPr>
                <w:rFonts w:ascii="Arial"/>
                <w:sz w:val="21"/>
              </w:rPr>
            </w:pPr>
          </w:p>
        </w:tc>
        <w:tc>
          <w:tcPr>
            <w:tcW w:w="1022" w:type="dxa"/>
            <w:vAlign w:val="top"/>
          </w:tcPr>
          <w:p w14:paraId="6AF43D6C">
            <w:pPr>
              <w:rPr>
                <w:rFonts w:ascii="Arial"/>
                <w:sz w:val="21"/>
              </w:rPr>
            </w:pPr>
          </w:p>
        </w:tc>
        <w:tc>
          <w:tcPr>
            <w:tcW w:w="1027" w:type="dxa"/>
            <w:vAlign w:val="top"/>
          </w:tcPr>
          <w:p w14:paraId="315142B5">
            <w:pPr>
              <w:rPr>
                <w:rFonts w:ascii="Arial"/>
                <w:sz w:val="21"/>
              </w:rPr>
            </w:pPr>
          </w:p>
        </w:tc>
        <w:tc>
          <w:tcPr>
            <w:tcW w:w="1027" w:type="dxa"/>
            <w:vAlign w:val="top"/>
          </w:tcPr>
          <w:p w14:paraId="2E8ED2FA">
            <w:pPr>
              <w:rPr>
                <w:rFonts w:ascii="Arial"/>
                <w:sz w:val="21"/>
              </w:rPr>
            </w:pPr>
          </w:p>
        </w:tc>
      </w:tr>
      <w:tr w14:paraId="3F813A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7" w:hRule="atLeast"/>
        </w:trPr>
        <w:tc>
          <w:tcPr>
            <w:tcW w:w="696" w:type="dxa"/>
            <w:vAlign w:val="top"/>
          </w:tcPr>
          <w:p w14:paraId="0CCAEF7D">
            <w:pPr>
              <w:rPr>
                <w:rFonts w:ascii="Arial"/>
                <w:sz w:val="21"/>
              </w:rPr>
            </w:pPr>
          </w:p>
        </w:tc>
        <w:tc>
          <w:tcPr>
            <w:tcW w:w="1363" w:type="dxa"/>
            <w:vAlign w:val="top"/>
          </w:tcPr>
          <w:p w14:paraId="272D1B14">
            <w:pPr>
              <w:rPr>
                <w:rFonts w:ascii="Arial"/>
                <w:sz w:val="21"/>
              </w:rPr>
            </w:pPr>
          </w:p>
        </w:tc>
        <w:tc>
          <w:tcPr>
            <w:tcW w:w="1022" w:type="dxa"/>
            <w:vAlign w:val="top"/>
          </w:tcPr>
          <w:p w14:paraId="529B9FCB">
            <w:pPr>
              <w:rPr>
                <w:rFonts w:ascii="Arial"/>
                <w:sz w:val="21"/>
              </w:rPr>
            </w:pPr>
          </w:p>
        </w:tc>
        <w:tc>
          <w:tcPr>
            <w:tcW w:w="1022" w:type="dxa"/>
            <w:vAlign w:val="top"/>
          </w:tcPr>
          <w:p w14:paraId="197A33F6">
            <w:pPr>
              <w:rPr>
                <w:rFonts w:ascii="Arial"/>
                <w:sz w:val="21"/>
              </w:rPr>
            </w:pPr>
          </w:p>
        </w:tc>
        <w:tc>
          <w:tcPr>
            <w:tcW w:w="1022" w:type="dxa"/>
            <w:vAlign w:val="top"/>
          </w:tcPr>
          <w:p w14:paraId="5AF0C29A">
            <w:pPr>
              <w:rPr>
                <w:rFonts w:ascii="Arial"/>
                <w:sz w:val="21"/>
              </w:rPr>
            </w:pPr>
          </w:p>
        </w:tc>
        <w:tc>
          <w:tcPr>
            <w:tcW w:w="1022" w:type="dxa"/>
            <w:vAlign w:val="top"/>
          </w:tcPr>
          <w:p w14:paraId="13459613">
            <w:pPr>
              <w:rPr>
                <w:rFonts w:ascii="Arial"/>
                <w:sz w:val="21"/>
              </w:rPr>
            </w:pPr>
          </w:p>
        </w:tc>
        <w:tc>
          <w:tcPr>
            <w:tcW w:w="1027" w:type="dxa"/>
            <w:vAlign w:val="top"/>
          </w:tcPr>
          <w:p w14:paraId="3C31AE2E">
            <w:pPr>
              <w:rPr>
                <w:rFonts w:ascii="Arial"/>
                <w:sz w:val="21"/>
              </w:rPr>
            </w:pPr>
          </w:p>
        </w:tc>
        <w:tc>
          <w:tcPr>
            <w:tcW w:w="1027" w:type="dxa"/>
            <w:vAlign w:val="top"/>
          </w:tcPr>
          <w:p w14:paraId="2DB1C113">
            <w:pPr>
              <w:rPr>
                <w:rFonts w:ascii="Arial"/>
                <w:sz w:val="21"/>
              </w:rPr>
            </w:pPr>
          </w:p>
        </w:tc>
      </w:tr>
      <w:tr w14:paraId="1B3F36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2" w:hRule="atLeast"/>
        </w:trPr>
        <w:tc>
          <w:tcPr>
            <w:tcW w:w="696" w:type="dxa"/>
            <w:vAlign w:val="top"/>
          </w:tcPr>
          <w:p w14:paraId="245445BF">
            <w:pPr>
              <w:rPr>
                <w:rFonts w:ascii="Arial"/>
                <w:sz w:val="21"/>
              </w:rPr>
            </w:pPr>
          </w:p>
        </w:tc>
        <w:tc>
          <w:tcPr>
            <w:tcW w:w="1363" w:type="dxa"/>
            <w:vAlign w:val="top"/>
          </w:tcPr>
          <w:p w14:paraId="2EAFF19E">
            <w:pPr>
              <w:rPr>
                <w:rFonts w:ascii="Arial"/>
                <w:sz w:val="21"/>
              </w:rPr>
            </w:pPr>
          </w:p>
        </w:tc>
        <w:tc>
          <w:tcPr>
            <w:tcW w:w="1022" w:type="dxa"/>
            <w:vAlign w:val="top"/>
          </w:tcPr>
          <w:p w14:paraId="0F958E61">
            <w:pPr>
              <w:rPr>
                <w:rFonts w:ascii="Arial"/>
                <w:sz w:val="21"/>
              </w:rPr>
            </w:pPr>
          </w:p>
        </w:tc>
        <w:tc>
          <w:tcPr>
            <w:tcW w:w="1022" w:type="dxa"/>
            <w:vAlign w:val="top"/>
          </w:tcPr>
          <w:p w14:paraId="1493B802">
            <w:pPr>
              <w:rPr>
                <w:rFonts w:ascii="Arial"/>
                <w:sz w:val="21"/>
              </w:rPr>
            </w:pPr>
          </w:p>
        </w:tc>
        <w:tc>
          <w:tcPr>
            <w:tcW w:w="1022" w:type="dxa"/>
            <w:vAlign w:val="top"/>
          </w:tcPr>
          <w:p w14:paraId="54DB6C14">
            <w:pPr>
              <w:rPr>
                <w:rFonts w:ascii="Arial"/>
                <w:sz w:val="21"/>
              </w:rPr>
            </w:pPr>
          </w:p>
        </w:tc>
        <w:tc>
          <w:tcPr>
            <w:tcW w:w="1022" w:type="dxa"/>
            <w:vAlign w:val="top"/>
          </w:tcPr>
          <w:p w14:paraId="557278DD">
            <w:pPr>
              <w:rPr>
                <w:rFonts w:ascii="Arial"/>
                <w:sz w:val="21"/>
              </w:rPr>
            </w:pPr>
          </w:p>
        </w:tc>
        <w:tc>
          <w:tcPr>
            <w:tcW w:w="1027" w:type="dxa"/>
            <w:vAlign w:val="top"/>
          </w:tcPr>
          <w:p w14:paraId="53CAA80E">
            <w:pPr>
              <w:rPr>
                <w:rFonts w:ascii="Arial"/>
                <w:sz w:val="21"/>
              </w:rPr>
            </w:pPr>
          </w:p>
        </w:tc>
        <w:tc>
          <w:tcPr>
            <w:tcW w:w="1027" w:type="dxa"/>
            <w:vAlign w:val="top"/>
          </w:tcPr>
          <w:p w14:paraId="76368D0F">
            <w:pPr>
              <w:rPr>
                <w:rFonts w:ascii="Arial"/>
                <w:sz w:val="21"/>
              </w:rPr>
            </w:pPr>
          </w:p>
        </w:tc>
      </w:tr>
      <w:tr w14:paraId="04D4E2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2" w:hRule="atLeast"/>
        </w:trPr>
        <w:tc>
          <w:tcPr>
            <w:tcW w:w="696" w:type="dxa"/>
            <w:vAlign w:val="top"/>
          </w:tcPr>
          <w:p w14:paraId="51973935">
            <w:pPr>
              <w:rPr>
                <w:rFonts w:ascii="Arial"/>
                <w:sz w:val="21"/>
              </w:rPr>
            </w:pPr>
          </w:p>
        </w:tc>
        <w:tc>
          <w:tcPr>
            <w:tcW w:w="1363" w:type="dxa"/>
            <w:vAlign w:val="top"/>
          </w:tcPr>
          <w:p w14:paraId="1F19E587">
            <w:pPr>
              <w:rPr>
                <w:rFonts w:ascii="Arial"/>
                <w:sz w:val="21"/>
              </w:rPr>
            </w:pPr>
          </w:p>
        </w:tc>
        <w:tc>
          <w:tcPr>
            <w:tcW w:w="1022" w:type="dxa"/>
            <w:vAlign w:val="top"/>
          </w:tcPr>
          <w:p w14:paraId="5CEC72CA">
            <w:pPr>
              <w:rPr>
                <w:rFonts w:ascii="Arial"/>
                <w:sz w:val="21"/>
              </w:rPr>
            </w:pPr>
          </w:p>
        </w:tc>
        <w:tc>
          <w:tcPr>
            <w:tcW w:w="1022" w:type="dxa"/>
            <w:vAlign w:val="top"/>
          </w:tcPr>
          <w:p w14:paraId="2F1243F1">
            <w:pPr>
              <w:rPr>
                <w:rFonts w:ascii="Arial"/>
                <w:sz w:val="21"/>
              </w:rPr>
            </w:pPr>
          </w:p>
        </w:tc>
        <w:tc>
          <w:tcPr>
            <w:tcW w:w="1022" w:type="dxa"/>
            <w:vAlign w:val="top"/>
          </w:tcPr>
          <w:p w14:paraId="153509B6">
            <w:pPr>
              <w:rPr>
                <w:rFonts w:ascii="Arial"/>
                <w:sz w:val="21"/>
              </w:rPr>
            </w:pPr>
          </w:p>
        </w:tc>
        <w:tc>
          <w:tcPr>
            <w:tcW w:w="1022" w:type="dxa"/>
            <w:vAlign w:val="top"/>
          </w:tcPr>
          <w:p w14:paraId="5E336708">
            <w:pPr>
              <w:rPr>
                <w:rFonts w:ascii="Arial"/>
                <w:sz w:val="21"/>
              </w:rPr>
            </w:pPr>
          </w:p>
        </w:tc>
        <w:tc>
          <w:tcPr>
            <w:tcW w:w="1027" w:type="dxa"/>
            <w:vAlign w:val="top"/>
          </w:tcPr>
          <w:p w14:paraId="18118B2C">
            <w:pPr>
              <w:rPr>
                <w:rFonts w:ascii="Arial"/>
                <w:sz w:val="21"/>
              </w:rPr>
            </w:pPr>
          </w:p>
        </w:tc>
        <w:tc>
          <w:tcPr>
            <w:tcW w:w="1027" w:type="dxa"/>
            <w:vAlign w:val="top"/>
          </w:tcPr>
          <w:p w14:paraId="1B72078B">
            <w:pPr>
              <w:rPr>
                <w:rFonts w:ascii="Arial"/>
                <w:sz w:val="21"/>
              </w:rPr>
            </w:pPr>
          </w:p>
        </w:tc>
      </w:tr>
      <w:tr w14:paraId="6EFFFB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7" w:hRule="atLeast"/>
        </w:trPr>
        <w:tc>
          <w:tcPr>
            <w:tcW w:w="696" w:type="dxa"/>
            <w:vAlign w:val="top"/>
          </w:tcPr>
          <w:p w14:paraId="75434340">
            <w:pPr>
              <w:rPr>
                <w:rFonts w:ascii="Arial"/>
                <w:sz w:val="21"/>
              </w:rPr>
            </w:pPr>
          </w:p>
        </w:tc>
        <w:tc>
          <w:tcPr>
            <w:tcW w:w="1363" w:type="dxa"/>
            <w:vAlign w:val="top"/>
          </w:tcPr>
          <w:p w14:paraId="5A656F13">
            <w:pPr>
              <w:rPr>
                <w:rFonts w:ascii="Arial"/>
                <w:sz w:val="21"/>
              </w:rPr>
            </w:pPr>
          </w:p>
        </w:tc>
        <w:tc>
          <w:tcPr>
            <w:tcW w:w="1022" w:type="dxa"/>
            <w:vAlign w:val="top"/>
          </w:tcPr>
          <w:p w14:paraId="73A3DE6E">
            <w:pPr>
              <w:rPr>
                <w:rFonts w:ascii="Arial"/>
                <w:sz w:val="21"/>
              </w:rPr>
            </w:pPr>
          </w:p>
        </w:tc>
        <w:tc>
          <w:tcPr>
            <w:tcW w:w="1022" w:type="dxa"/>
            <w:vAlign w:val="top"/>
          </w:tcPr>
          <w:p w14:paraId="64660390">
            <w:pPr>
              <w:rPr>
                <w:rFonts w:ascii="Arial"/>
                <w:sz w:val="21"/>
              </w:rPr>
            </w:pPr>
          </w:p>
        </w:tc>
        <w:tc>
          <w:tcPr>
            <w:tcW w:w="1022" w:type="dxa"/>
            <w:vAlign w:val="top"/>
          </w:tcPr>
          <w:p w14:paraId="20E8F287">
            <w:pPr>
              <w:rPr>
                <w:rFonts w:ascii="Arial"/>
                <w:sz w:val="21"/>
              </w:rPr>
            </w:pPr>
          </w:p>
        </w:tc>
        <w:tc>
          <w:tcPr>
            <w:tcW w:w="1022" w:type="dxa"/>
            <w:vAlign w:val="top"/>
          </w:tcPr>
          <w:p w14:paraId="1F81E5BF">
            <w:pPr>
              <w:rPr>
                <w:rFonts w:ascii="Arial"/>
                <w:sz w:val="21"/>
              </w:rPr>
            </w:pPr>
          </w:p>
        </w:tc>
        <w:tc>
          <w:tcPr>
            <w:tcW w:w="1027" w:type="dxa"/>
            <w:vAlign w:val="top"/>
          </w:tcPr>
          <w:p w14:paraId="77A2C2B7">
            <w:pPr>
              <w:rPr>
                <w:rFonts w:ascii="Arial"/>
                <w:sz w:val="21"/>
              </w:rPr>
            </w:pPr>
          </w:p>
        </w:tc>
        <w:tc>
          <w:tcPr>
            <w:tcW w:w="1027" w:type="dxa"/>
            <w:vAlign w:val="top"/>
          </w:tcPr>
          <w:p w14:paraId="6813C315">
            <w:pPr>
              <w:rPr>
                <w:rFonts w:ascii="Arial"/>
                <w:sz w:val="21"/>
              </w:rPr>
            </w:pPr>
          </w:p>
        </w:tc>
      </w:tr>
      <w:tr w14:paraId="5C6100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1" w:hRule="atLeast"/>
        </w:trPr>
        <w:tc>
          <w:tcPr>
            <w:tcW w:w="696" w:type="dxa"/>
            <w:vAlign w:val="top"/>
          </w:tcPr>
          <w:p w14:paraId="2F0796B2">
            <w:pPr>
              <w:rPr>
                <w:rFonts w:ascii="Arial"/>
                <w:sz w:val="21"/>
              </w:rPr>
            </w:pPr>
          </w:p>
        </w:tc>
        <w:tc>
          <w:tcPr>
            <w:tcW w:w="1363" w:type="dxa"/>
            <w:vAlign w:val="top"/>
          </w:tcPr>
          <w:p w14:paraId="24FB1E7A">
            <w:pPr>
              <w:rPr>
                <w:rFonts w:ascii="Arial"/>
                <w:sz w:val="21"/>
              </w:rPr>
            </w:pPr>
          </w:p>
        </w:tc>
        <w:tc>
          <w:tcPr>
            <w:tcW w:w="1022" w:type="dxa"/>
            <w:vAlign w:val="top"/>
          </w:tcPr>
          <w:p w14:paraId="50289EFD">
            <w:pPr>
              <w:rPr>
                <w:rFonts w:ascii="Arial"/>
                <w:sz w:val="21"/>
              </w:rPr>
            </w:pPr>
          </w:p>
        </w:tc>
        <w:tc>
          <w:tcPr>
            <w:tcW w:w="1022" w:type="dxa"/>
            <w:vAlign w:val="top"/>
          </w:tcPr>
          <w:p w14:paraId="1A52D81A">
            <w:pPr>
              <w:rPr>
                <w:rFonts w:ascii="Arial"/>
                <w:sz w:val="21"/>
              </w:rPr>
            </w:pPr>
          </w:p>
        </w:tc>
        <w:tc>
          <w:tcPr>
            <w:tcW w:w="1022" w:type="dxa"/>
            <w:vAlign w:val="top"/>
          </w:tcPr>
          <w:p w14:paraId="7F8C2CA1">
            <w:pPr>
              <w:rPr>
                <w:rFonts w:ascii="Arial"/>
                <w:sz w:val="21"/>
              </w:rPr>
            </w:pPr>
          </w:p>
        </w:tc>
        <w:tc>
          <w:tcPr>
            <w:tcW w:w="1022" w:type="dxa"/>
            <w:vAlign w:val="top"/>
          </w:tcPr>
          <w:p w14:paraId="3252E77E">
            <w:pPr>
              <w:rPr>
                <w:rFonts w:ascii="Arial"/>
                <w:sz w:val="21"/>
              </w:rPr>
            </w:pPr>
          </w:p>
        </w:tc>
        <w:tc>
          <w:tcPr>
            <w:tcW w:w="1027" w:type="dxa"/>
            <w:vAlign w:val="top"/>
          </w:tcPr>
          <w:p w14:paraId="179872EA">
            <w:pPr>
              <w:rPr>
                <w:rFonts w:ascii="Arial"/>
                <w:sz w:val="21"/>
              </w:rPr>
            </w:pPr>
          </w:p>
        </w:tc>
        <w:tc>
          <w:tcPr>
            <w:tcW w:w="1027" w:type="dxa"/>
            <w:vAlign w:val="top"/>
          </w:tcPr>
          <w:p w14:paraId="75FFC158">
            <w:pPr>
              <w:rPr>
                <w:rFonts w:ascii="Arial"/>
                <w:sz w:val="21"/>
              </w:rPr>
            </w:pPr>
          </w:p>
        </w:tc>
      </w:tr>
      <w:tr w14:paraId="2963D8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2" w:hRule="atLeast"/>
        </w:trPr>
        <w:tc>
          <w:tcPr>
            <w:tcW w:w="696" w:type="dxa"/>
            <w:vAlign w:val="top"/>
          </w:tcPr>
          <w:p w14:paraId="747DCE9E">
            <w:pPr>
              <w:rPr>
                <w:rFonts w:ascii="Arial"/>
                <w:sz w:val="21"/>
              </w:rPr>
            </w:pPr>
          </w:p>
        </w:tc>
        <w:tc>
          <w:tcPr>
            <w:tcW w:w="1363" w:type="dxa"/>
            <w:vAlign w:val="top"/>
          </w:tcPr>
          <w:p w14:paraId="3ABDC674">
            <w:pPr>
              <w:rPr>
                <w:rFonts w:ascii="Arial"/>
                <w:sz w:val="21"/>
              </w:rPr>
            </w:pPr>
          </w:p>
        </w:tc>
        <w:tc>
          <w:tcPr>
            <w:tcW w:w="1022" w:type="dxa"/>
            <w:vAlign w:val="top"/>
          </w:tcPr>
          <w:p w14:paraId="1F8819AC">
            <w:pPr>
              <w:rPr>
                <w:rFonts w:ascii="Arial"/>
                <w:sz w:val="21"/>
              </w:rPr>
            </w:pPr>
          </w:p>
        </w:tc>
        <w:tc>
          <w:tcPr>
            <w:tcW w:w="1022" w:type="dxa"/>
            <w:vAlign w:val="top"/>
          </w:tcPr>
          <w:p w14:paraId="141AB9B8">
            <w:pPr>
              <w:rPr>
                <w:rFonts w:ascii="Arial"/>
                <w:sz w:val="21"/>
              </w:rPr>
            </w:pPr>
          </w:p>
        </w:tc>
        <w:tc>
          <w:tcPr>
            <w:tcW w:w="1022" w:type="dxa"/>
            <w:vAlign w:val="top"/>
          </w:tcPr>
          <w:p w14:paraId="4A042956">
            <w:pPr>
              <w:rPr>
                <w:rFonts w:ascii="Arial"/>
                <w:sz w:val="21"/>
              </w:rPr>
            </w:pPr>
          </w:p>
        </w:tc>
        <w:tc>
          <w:tcPr>
            <w:tcW w:w="1022" w:type="dxa"/>
            <w:vAlign w:val="top"/>
          </w:tcPr>
          <w:p w14:paraId="13335113">
            <w:pPr>
              <w:rPr>
                <w:rFonts w:ascii="Arial"/>
                <w:sz w:val="21"/>
              </w:rPr>
            </w:pPr>
          </w:p>
        </w:tc>
        <w:tc>
          <w:tcPr>
            <w:tcW w:w="1027" w:type="dxa"/>
            <w:vAlign w:val="top"/>
          </w:tcPr>
          <w:p w14:paraId="527AFFA1">
            <w:pPr>
              <w:rPr>
                <w:rFonts w:ascii="Arial"/>
                <w:sz w:val="21"/>
              </w:rPr>
            </w:pPr>
          </w:p>
        </w:tc>
        <w:tc>
          <w:tcPr>
            <w:tcW w:w="1027" w:type="dxa"/>
            <w:vAlign w:val="top"/>
          </w:tcPr>
          <w:p w14:paraId="756AA74F">
            <w:pPr>
              <w:rPr>
                <w:rFonts w:ascii="Arial"/>
                <w:sz w:val="21"/>
              </w:rPr>
            </w:pPr>
          </w:p>
        </w:tc>
      </w:tr>
      <w:tr w14:paraId="30EB55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2" w:hRule="atLeast"/>
        </w:trPr>
        <w:tc>
          <w:tcPr>
            <w:tcW w:w="696" w:type="dxa"/>
            <w:vAlign w:val="top"/>
          </w:tcPr>
          <w:p w14:paraId="46999BD6">
            <w:pPr>
              <w:rPr>
                <w:rFonts w:ascii="Arial"/>
                <w:sz w:val="21"/>
              </w:rPr>
            </w:pPr>
          </w:p>
        </w:tc>
        <w:tc>
          <w:tcPr>
            <w:tcW w:w="1363" w:type="dxa"/>
            <w:vAlign w:val="top"/>
          </w:tcPr>
          <w:p w14:paraId="1DA45789">
            <w:pPr>
              <w:rPr>
                <w:rFonts w:ascii="Arial"/>
                <w:sz w:val="21"/>
              </w:rPr>
            </w:pPr>
          </w:p>
        </w:tc>
        <w:tc>
          <w:tcPr>
            <w:tcW w:w="1022" w:type="dxa"/>
            <w:vAlign w:val="top"/>
          </w:tcPr>
          <w:p w14:paraId="145E9F52">
            <w:pPr>
              <w:rPr>
                <w:rFonts w:ascii="Arial"/>
                <w:sz w:val="21"/>
              </w:rPr>
            </w:pPr>
          </w:p>
        </w:tc>
        <w:tc>
          <w:tcPr>
            <w:tcW w:w="1022" w:type="dxa"/>
            <w:vAlign w:val="top"/>
          </w:tcPr>
          <w:p w14:paraId="48D420A9">
            <w:pPr>
              <w:rPr>
                <w:rFonts w:ascii="Arial"/>
                <w:sz w:val="21"/>
              </w:rPr>
            </w:pPr>
          </w:p>
        </w:tc>
        <w:tc>
          <w:tcPr>
            <w:tcW w:w="1022" w:type="dxa"/>
            <w:vAlign w:val="top"/>
          </w:tcPr>
          <w:p w14:paraId="32DF08B5">
            <w:pPr>
              <w:rPr>
                <w:rFonts w:ascii="Arial"/>
                <w:sz w:val="21"/>
              </w:rPr>
            </w:pPr>
          </w:p>
        </w:tc>
        <w:tc>
          <w:tcPr>
            <w:tcW w:w="1022" w:type="dxa"/>
            <w:vAlign w:val="top"/>
          </w:tcPr>
          <w:p w14:paraId="732B35E4">
            <w:pPr>
              <w:rPr>
                <w:rFonts w:ascii="Arial"/>
                <w:sz w:val="21"/>
              </w:rPr>
            </w:pPr>
          </w:p>
        </w:tc>
        <w:tc>
          <w:tcPr>
            <w:tcW w:w="1027" w:type="dxa"/>
            <w:vAlign w:val="top"/>
          </w:tcPr>
          <w:p w14:paraId="16179133">
            <w:pPr>
              <w:rPr>
                <w:rFonts w:ascii="Arial"/>
                <w:sz w:val="21"/>
              </w:rPr>
            </w:pPr>
          </w:p>
        </w:tc>
        <w:tc>
          <w:tcPr>
            <w:tcW w:w="1027" w:type="dxa"/>
            <w:vAlign w:val="top"/>
          </w:tcPr>
          <w:p w14:paraId="7C6548B0">
            <w:pPr>
              <w:rPr>
                <w:rFonts w:ascii="Arial"/>
                <w:sz w:val="21"/>
              </w:rPr>
            </w:pPr>
          </w:p>
        </w:tc>
      </w:tr>
    </w:tbl>
    <w:p w14:paraId="23077093">
      <w:pPr>
        <w:pStyle w:val="3"/>
      </w:pPr>
    </w:p>
    <w:p w14:paraId="67F2030E">
      <w:pPr>
        <w:sectPr>
          <w:footerReference r:id="rId231" w:type="default"/>
          <w:pgSz w:w="11905" w:h="16839"/>
          <w:pgMar w:top="400" w:right="1785" w:bottom="1004" w:left="1785" w:header="0" w:footer="828" w:gutter="0"/>
          <w:pgNumType w:fmt="decimal"/>
          <w:cols w:space="720" w:num="1"/>
        </w:sectPr>
      </w:pPr>
    </w:p>
    <w:p w14:paraId="53B17EF4">
      <w:pPr>
        <w:pStyle w:val="3"/>
        <w:spacing w:line="267" w:lineRule="auto"/>
      </w:pPr>
    </w:p>
    <w:p w14:paraId="4B38E6A2">
      <w:pPr>
        <w:pStyle w:val="3"/>
        <w:spacing w:line="268" w:lineRule="auto"/>
      </w:pPr>
    </w:p>
    <w:p w14:paraId="4BE31064">
      <w:pPr>
        <w:pStyle w:val="3"/>
        <w:spacing w:line="268" w:lineRule="auto"/>
      </w:pPr>
    </w:p>
    <w:p w14:paraId="3BAB846E">
      <w:pPr>
        <w:pStyle w:val="3"/>
        <w:spacing w:line="268" w:lineRule="auto"/>
      </w:pPr>
    </w:p>
    <w:p w14:paraId="4D1DA50B">
      <w:pPr>
        <w:spacing w:before="78" w:line="218" w:lineRule="auto"/>
        <w:ind w:left="32"/>
        <w:rPr>
          <w:rFonts w:ascii="黑体" w:hAnsi="黑体" w:eastAsia="黑体" w:cs="黑体"/>
          <w:sz w:val="24"/>
          <w:szCs w:val="24"/>
        </w:rPr>
      </w:pPr>
      <w:r>
        <w:rPr>
          <w:rFonts w:ascii="黑体" w:hAnsi="黑体" w:eastAsia="黑体" w:cs="黑体"/>
          <w:spacing w:val="-2"/>
          <w:sz w:val="24"/>
          <w:szCs w:val="24"/>
        </w:rPr>
        <w:t>附表四：计划开、竣工日期和施工进度网络图</w:t>
      </w:r>
    </w:p>
    <w:p w14:paraId="1FA4E1D3">
      <w:pPr>
        <w:spacing w:before="158" w:line="418" w:lineRule="exact"/>
        <w:ind w:right="6"/>
        <w:jc w:val="right"/>
        <w:rPr>
          <w:rFonts w:ascii="宋体" w:hAnsi="宋体" w:eastAsia="宋体" w:cs="宋体"/>
          <w:sz w:val="21"/>
          <w:szCs w:val="21"/>
        </w:rPr>
      </w:pPr>
      <w:r>
        <w:rPr>
          <w:rFonts w:ascii="宋体" w:hAnsi="宋体" w:eastAsia="宋体" w:cs="宋体"/>
          <w:position w:val="15"/>
          <w:sz w:val="21"/>
          <w:szCs w:val="21"/>
        </w:rPr>
        <w:t>1.投标人应递交施工进度网络图或施工进度表， 说明按招标文件要求</w:t>
      </w:r>
      <w:r>
        <w:rPr>
          <w:rFonts w:ascii="宋体" w:hAnsi="宋体" w:eastAsia="宋体" w:cs="宋体"/>
          <w:spacing w:val="-1"/>
          <w:position w:val="15"/>
          <w:sz w:val="21"/>
          <w:szCs w:val="21"/>
        </w:rPr>
        <w:t>的计划工期进行</w:t>
      </w:r>
    </w:p>
    <w:p w14:paraId="1B7DC99B">
      <w:pPr>
        <w:spacing w:line="220" w:lineRule="auto"/>
        <w:ind w:left="17"/>
        <w:rPr>
          <w:rFonts w:ascii="宋体" w:hAnsi="宋体" w:eastAsia="宋体" w:cs="宋体"/>
          <w:sz w:val="21"/>
          <w:szCs w:val="21"/>
        </w:rPr>
      </w:pPr>
      <w:r>
        <w:rPr>
          <w:rFonts w:ascii="宋体" w:hAnsi="宋体" w:eastAsia="宋体" w:cs="宋体"/>
          <w:spacing w:val="-1"/>
          <w:sz w:val="21"/>
          <w:szCs w:val="21"/>
        </w:rPr>
        <w:t>施工的各个关键日期。</w:t>
      </w:r>
    </w:p>
    <w:p w14:paraId="67FC3729">
      <w:pPr>
        <w:spacing w:before="171" w:line="220" w:lineRule="auto"/>
        <w:ind w:left="443"/>
        <w:rPr>
          <w:rFonts w:ascii="宋体" w:hAnsi="宋体" w:eastAsia="宋体" w:cs="宋体"/>
          <w:sz w:val="21"/>
          <w:szCs w:val="21"/>
        </w:rPr>
      </w:pPr>
      <w:r>
        <w:rPr>
          <w:rFonts w:ascii="宋体" w:hAnsi="宋体" w:eastAsia="宋体" w:cs="宋体"/>
          <w:spacing w:val="-1"/>
          <w:sz w:val="21"/>
          <w:szCs w:val="21"/>
        </w:rPr>
        <w:t>2.施工进度表可采用网络图和（或）横道图表示。</w:t>
      </w:r>
    </w:p>
    <w:p w14:paraId="44876AEC">
      <w:pPr>
        <w:spacing w:line="220" w:lineRule="auto"/>
        <w:rPr>
          <w:rFonts w:ascii="宋体" w:hAnsi="宋体" w:eastAsia="宋体" w:cs="宋体"/>
          <w:sz w:val="21"/>
          <w:szCs w:val="21"/>
        </w:rPr>
        <w:sectPr>
          <w:footerReference r:id="rId232" w:type="default"/>
          <w:pgSz w:w="11905" w:h="16839"/>
          <w:pgMar w:top="400" w:right="1785" w:bottom="1004" w:left="1785" w:header="0" w:footer="828" w:gutter="0"/>
          <w:pgNumType w:fmt="decimal"/>
          <w:cols w:space="720" w:num="1"/>
        </w:sectPr>
      </w:pPr>
    </w:p>
    <w:p w14:paraId="008E8C00">
      <w:pPr>
        <w:pStyle w:val="3"/>
        <w:spacing w:line="267" w:lineRule="auto"/>
      </w:pPr>
    </w:p>
    <w:p w14:paraId="2592CDA4">
      <w:pPr>
        <w:pStyle w:val="3"/>
        <w:spacing w:line="267" w:lineRule="auto"/>
      </w:pPr>
    </w:p>
    <w:p w14:paraId="2C39AAF4">
      <w:pPr>
        <w:pStyle w:val="3"/>
        <w:spacing w:line="268" w:lineRule="auto"/>
      </w:pPr>
    </w:p>
    <w:p w14:paraId="130DE27B">
      <w:pPr>
        <w:pStyle w:val="3"/>
        <w:spacing w:line="268" w:lineRule="auto"/>
      </w:pPr>
    </w:p>
    <w:p w14:paraId="74958CCD">
      <w:pPr>
        <w:spacing w:before="78" w:line="220" w:lineRule="auto"/>
        <w:ind w:left="32"/>
        <w:rPr>
          <w:rFonts w:ascii="黑体" w:hAnsi="黑体" w:eastAsia="黑体" w:cs="黑体"/>
          <w:sz w:val="24"/>
          <w:szCs w:val="24"/>
        </w:rPr>
      </w:pPr>
      <w:r>
        <w:rPr>
          <w:rFonts w:ascii="黑体" w:hAnsi="黑体" w:eastAsia="黑体" w:cs="黑体"/>
          <w:spacing w:val="-3"/>
          <w:sz w:val="24"/>
          <w:szCs w:val="24"/>
        </w:rPr>
        <w:t>附表五：施工总平面图</w:t>
      </w:r>
    </w:p>
    <w:p w14:paraId="0677541D">
      <w:pPr>
        <w:spacing w:before="158" w:line="369" w:lineRule="auto"/>
        <w:ind w:left="28" w:right="6" w:firstLine="415"/>
        <w:jc w:val="both"/>
        <w:rPr>
          <w:rFonts w:ascii="宋体" w:hAnsi="宋体" w:eastAsia="宋体" w:cs="宋体"/>
          <w:sz w:val="21"/>
          <w:szCs w:val="21"/>
        </w:rPr>
      </w:pPr>
      <w:r>
        <w:rPr>
          <w:rFonts w:ascii="宋体" w:hAnsi="宋体" w:eastAsia="宋体" w:cs="宋体"/>
          <w:spacing w:val="3"/>
          <w:sz w:val="21"/>
          <w:szCs w:val="21"/>
        </w:rPr>
        <w:t>投标人应递交一份施工总平面图，绘出现场临时设施布置图表并附文字说明，说明临</w:t>
      </w:r>
      <w:r>
        <w:rPr>
          <w:rFonts w:ascii="宋体" w:hAnsi="宋体" w:eastAsia="宋体" w:cs="宋体"/>
          <w:sz w:val="21"/>
          <w:szCs w:val="21"/>
        </w:rPr>
        <w:t xml:space="preserve"> </w:t>
      </w:r>
      <w:r>
        <w:rPr>
          <w:rFonts w:ascii="宋体" w:hAnsi="宋体" w:eastAsia="宋体" w:cs="宋体"/>
          <w:spacing w:val="3"/>
          <w:sz w:val="21"/>
          <w:szCs w:val="21"/>
        </w:rPr>
        <w:t>时设施、加工车间、现场办公、设备及仓储、供电、</w:t>
      </w:r>
      <w:r>
        <w:rPr>
          <w:rFonts w:ascii="宋体" w:hAnsi="宋体" w:eastAsia="宋体" w:cs="宋体"/>
          <w:spacing w:val="2"/>
          <w:sz w:val="21"/>
          <w:szCs w:val="21"/>
        </w:rPr>
        <w:t>供水、卫生、生活、道路、消防等设</w:t>
      </w:r>
    </w:p>
    <w:p w14:paraId="01B52373">
      <w:pPr>
        <w:spacing w:line="219" w:lineRule="auto"/>
        <w:ind w:left="17"/>
        <w:rPr>
          <w:rFonts w:ascii="宋体" w:hAnsi="宋体" w:eastAsia="宋体" w:cs="宋体"/>
          <w:sz w:val="21"/>
          <w:szCs w:val="21"/>
        </w:rPr>
      </w:pPr>
      <w:r>
        <w:rPr>
          <w:rFonts w:ascii="宋体" w:hAnsi="宋体" w:eastAsia="宋体" w:cs="宋体"/>
          <w:spacing w:val="-3"/>
          <w:sz w:val="21"/>
          <w:szCs w:val="21"/>
        </w:rPr>
        <w:t>施的情况和布置。</w:t>
      </w:r>
    </w:p>
    <w:p w14:paraId="715DD6D8">
      <w:pPr>
        <w:spacing w:line="219" w:lineRule="auto"/>
        <w:rPr>
          <w:rFonts w:ascii="宋体" w:hAnsi="宋体" w:eastAsia="宋体" w:cs="宋体"/>
          <w:sz w:val="21"/>
          <w:szCs w:val="21"/>
        </w:rPr>
        <w:sectPr>
          <w:footerReference r:id="rId233" w:type="default"/>
          <w:pgSz w:w="11905" w:h="16839"/>
          <w:pgMar w:top="400" w:right="1785" w:bottom="1004" w:left="1785" w:header="0" w:footer="828" w:gutter="0"/>
          <w:pgNumType w:fmt="decimal"/>
          <w:cols w:space="720" w:num="1"/>
        </w:sectPr>
      </w:pPr>
    </w:p>
    <w:p w14:paraId="48795FB2">
      <w:pPr>
        <w:pStyle w:val="3"/>
        <w:spacing w:line="267" w:lineRule="auto"/>
      </w:pPr>
    </w:p>
    <w:p w14:paraId="3DDDB7A7">
      <w:pPr>
        <w:pStyle w:val="3"/>
        <w:spacing w:line="267" w:lineRule="auto"/>
      </w:pPr>
    </w:p>
    <w:p w14:paraId="10187C7B">
      <w:pPr>
        <w:pStyle w:val="3"/>
        <w:spacing w:line="268" w:lineRule="auto"/>
      </w:pPr>
    </w:p>
    <w:p w14:paraId="39515107">
      <w:pPr>
        <w:pStyle w:val="3"/>
        <w:spacing w:line="268" w:lineRule="auto"/>
      </w:pPr>
    </w:p>
    <w:p w14:paraId="77325AEA">
      <w:pPr>
        <w:spacing w:before="78" w:line="218" w:lineRule="auto"/>
        <w:ind w:left="32"/>
        <w:rPr>
          <w:rFonts w:ascii="黑体" w:hAnsi="黑体" w:eastAsia="黑体" w:cs="黑体"/>
          <w:sz w:val="24"/>
          <w:szCs w:val="24"/>
        </w:rPr>
      </w:pPr>
      <w:r>
        <w:rPr>
          <w:rFonts w:ascii="黑体" w:hAnsi="黑体" w:eastAsia="黑体" w:cs="黑体"/>
          <w:spacing w:val="-3"/>
          <w:sz w:val="24"/>
          <w:szCs w:val="24"/>
        </w:rPr>
        <w:t>附表六：临时用地表</w:t>
      </w:r>
    </w:p>
    <w:tbl>
      <w:tblPr>
        <w:tblStyle w:val="10"/>
        <w:tblW w:w="8201" w:type="dxa"/>
        <w:tblInd w:w="12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183"/>
        <w:gridCol w:w="2011"/>
        <w:gridCol w:w="2001"/>
        <w:gridCol w:w="2006"/>
      </w:tblGrid>
      <w:tr w14:paraId="7BA0F7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7" w:hRule="atLeast"/>
        </w:trPr>
        <w:tc>
          <w:tcPr>
            <w:tcW w:w="2183" w:type="dxa"/>
            <w:vAlign w:val="top"/>
          </w:tcPr>
          <w:p w14:paraId="1B83791E">
            <w:pPr>
              <w:pStyle w:val="11"/>
              <w:spacing w:before="96" w:line="222" w:lineRule="auto"/>
              <w:ind w:left="782"/>
            </w:pPr>
            <w:r>
              <w:rPr>
                <w:spacing w:val="-5"/>
              </w:rPr>
              <w:t>用</w:t>
            </w:r>
            <w:r>
              <w:rPr>
                <w:spacing w:val="5"/>
              </w:rPr>
              <w:t xml:space="preserve">  </w:t>
            </w:r>
            <w:r>
              <w:rPr>
                <w:spacing w:val="-5"/>
              </w:rPr>
              <w:t>途</w:t>
            </w:r>
          </w:p>
        </w:tc>
        <w:tc>
          <w:tcPr>
            <w:tcW w:w="2011" w:type="dxa"/>
            <w:vAlign w:val="top"/>
          </w:tcPr>
          <w:p w14:paraId="2091DA5B">
            <w:pPr>
              <w:pStyle w:val="11"/>
              <w:spacing w:before="96" w:line="221" w:lineRule="auto"/>
              <w:ind w:left="226"/>
            </w:pPr>
            <w:r>
              <w:rPr>
                <w:spacing w:val="-2"/>
              </w:rPr>
              <w:t>面 积（平方米）</w:t>
            </w:r>
          </w:p>
        </w:tc>
        <w:tc>
          <w:tcPr>
            <w:tcW w:w="2001" w:type="dxa"/>
            <w:vAlign w:val="top"/>
          </w:tcPr>
          <w:p w14:paraId="24DE6AD5">
            <w:pPr>
              <w:pStyle w:val="11"/>
              <w:spacing w:before="96" w:line="222" w:lineRule="auto"/>
              <w:ind w:left="692"/>
            </w:pPr>
            <w:r>
              <w:rPr>
                <w:spacing w:val="-4"/>
              </w:rPr>
              <w:t>位</w:t>
            </w:r>
            <w:r>
              <w:rPr>
                <w:spacing w:val="3"/>
              </w:rPr>
              <w:t xml:space="preserve">  </w:t>
            </w:r>
            <w:r>
              <w:rPr>
                <w:spacing w:val="-4"/>
              </w:rPr>
              <w:t>置</w:t>
            </w:r>
          </w:p>
        </w:tc>
        <w:tc>
          <w:tcPr>
            <w:tcW w:w="2006" w:type="dxa"/>
            <w:vAlign w:val="top"/>
          </w:tcPr>
          <w:p w14:paraId="12AD1DEB">
            <w:pPr>
              <w:pStyle w:val="11"/>
              <w:spacing w:before="97" w:line="221" w:lineRule="auto"/>
              <w:ind w:left="599"/>
            </w:pPr>
            <w:r>
              <w:rPr>
                <w:spacing w:val="-3"/>
              </w:rPr>
              <w:t>需用时间</w:t>
            </w:r>
          </w:p>
        </w:tc>
      </w:tr>
      <w:tr w14:paraId="0F9FE2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trPr>
        <w:tc>
          <w:tcPr>
            <w:tcW w:w="2183" w:type="dxa"/>
            <w:vAlign w:val="top"/>
          </w:tcPr>
          <w:p w14:paraId="78022C7A">
            <w:pPr>
              <w:rPr>
                <w:rFonts w:ascii="Arial"/>
                <w:sz w:val="21"/>
              </w:rPr>
            </w:pPr>
          </w:p>
        </w:tc>
        <w:tc>
          <w:tcPr>
            <w:tcW w:w="2011" w:type="dxa"/>
            <w:vAlign w:val="top"/>
          </w:tcPr>
          <w:p w14:paraId="5C49DCBC">
            <w:pPr>
              <w:rPr>
                <w:rFonts w:ascii="Arial"/>
                <w:sz w:val="21"/>
              </w:rPr>
            </w:pPr>
          </w:p>
        </w:tc>
        <w:tc>
          <w:tcPr>
            <w:tcW w:w="2001" w:type="dxa"/>
            <w:vAlign w:val="top"/>
          </w:tcPr>
          <w:p w14:paraId="6C28D1C8">
            <w:pPr>
              <w:rPr>
                <w:rFonts w:ascii="Arial"/>
                <w:sz w:val="21"/>
              </w:rPr>
            </w:pPr>
          </w:p>
        </w:tc>
        <w:tc>
          <w:tcPr>
            <w:tcW w:w="2006" w:type="dxa"/>
            <w:vAlign w:val="top"/>
          </w:tcPr>
          <w:p w14:paraId="7DB7D841">
            <w:pPr>
              <w:rPr>
                <w:rFonts w:ascii="Arial"/>
                <w:sz w:val="21"/>
              </w:rPr>
            </w:pPr>
          </w:p>
        </w:tc>
      </w:tr>
      <w:tr w14:paraId="650F4F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trPr>
        <w:tc>
          <w:tcPr>
            <w:tcW w:w="2183" w:type="dxa"/>
            <w:vAlign w:val="top"/>
          </w:tcPr>
          <w:p w14:paraId="49CB96A8">
            <w:pPr>
              <w:rPr>
                <w:rFonts w:ascii="Arial"/>
                <w:sz w:val="21"/>
              </w:rPr>
            </w:pPr>
          </w:p>
        </w:tc>
        <w:tc>
          <w:tcPr>
            <w:tcW w:w="2011" w:type="dxa"/>
            <w:vAlign w:val="top"/>
          </w:tcPr>
          <w:p w14:paraId="4EE0DA22">
            <w:pPr>
              <w:rPr>
                <w:rFonts w:ascii="Arial"/>
                <w:sz w:val="21"/>
              </w:rPr>
            </w:pPr>
          </w:p>
        </w:tc>
        <w:tc>
          <w:tcPr>
            <w:tcW w:w="2001" w:type="dxa"/>
            <w:vAlign w:val="top"/>
          </w:tcPr>
          <w:p w14:paraId="6D5B1FA5">
            <w:pPr>
              <w:rPr>
                <w:rFonts w:ascii="Arial"/>
                <w:sz w:val="21"/>
              </w:rPr>
            </w:pPr>
          </w:p>
        </w:tc>
        <w:tc>
          <w:tcPr>
            <w:tcW w:w="2006" w:type="dxa"/>
            <w:vAlign w:val="top"/>
          </w:tcPr>
          <w:p w14:paraId="3876FA7F">
            <w:pPr>
              <w:rPr>
                <w:rFonts w:ascii="Arial"/>
                <w:sz w:val="21"/>
              </w:rPr>
            </w:pPr>
          </w:p>
        </w:tc>
      </w:tr>
      <w:tr w14:paraId="4C72A6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trPr>
        <w:tc>
          <w:tcPr>
            <w:tcW w:w="2183" w:type="dxa"/>
            <w:vAlign w:val="top"/>
          </w:tcPr>
          <w:p w14:paraId="0CBD4BF1">
            <w:pPr>
              <w:rPr>
                <w:rFonts w:ascii="Arial"/>
                <w:sz w:val="21"/>
              </w:rPr>
            </w:pPr>
          </w:p>
        </w:tc>
        <w:tc>
          <w:tcPr>
            <w:tcW w:w="2011" w:type="dxa"/>
            <w:vAlign w:val="top"/>
          </w:tcPr>
          <w:p w14:paraId="1E63B56A">
            <w:pPr>
              <w:rPr>
                <w:rFonts w:ascii="Arial"/>
                <w:sz w:val="21"/>
              </w:rPr>
            </w:pPr>
          </w:p>
        </w:tc>
        <w:tc>
          <w:tcPr>
            <w:tcW w:w="2001" w:type="dxa"/>
            <w:vAlign w:val="top"/>
          </w:tcPr>
          <w:p w14:paraId="0148B188">
            <w:pPr>
              <w:rPr>
                <w:rFonts w:ascii="Arial"/>
                <w:sz w:val="21"/>
              </w:rPr>
            </w:pPr>
          </w:p>
        </w:tc>
        <w:tc>
          <w:tcPr>
            <w:tcW w:w="2006" w:type="dxa"/>
            <w:vAlign w:val="top"/>
          </w:tcPr>
          <w:p w14:paraId="41C8E4F9">
            <w:pPr>
              <w:rPr>
                <w:rFonts w:ascii="Arial"/>
                <w:sz w:val="21"/>
              </w:rPr>
            </w:pPr>
          </w:p>
        </w:tc>
      </w:tr>
      <w:tr w14:paraId="042A59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8" w:hRule="atLeast"/>
        </w:trPr>
        <w:tc>
          <w:tcPr>
            <w:tcW w:w="2183" w:type="dxa"/>
            <w:vAlign w:val="top"/>
          </w:tcPr>
          <w:p w14:paraId="7A50DCAB">
            <w:pPr>
              <w:rPr>
                <w:rFonts w:ascii="Arial"/>
                <w:sz w:val="21"/>
              </w:rPr>
            </w:pPr>
          </w:p>
        </w:tc>
        <w:tc>
          <w:tcPr>
            <w:tcW w:w="2011" w:type="dxa"/>
            <w:vAlign w:val="top"/>
          </w:tcPr>
          <w:p w14:paraId="26AF9319">
            <w:pPr>
              <w:rPr>
                <w:rFonts w:ascii="Arial"/>
                <w:sz w:val="21"/>
              </w:rPr>
            </w:pPr>
          </w:p>
        </w:tc>
        <w:tc>
          <w:tcPr>
            <w:tcW w:w="2001" w:type="dxa"/>
            <w:vAlign w:val="top"/>
          </w:tcPr>
          <w:p w14:paraId="66C38E3F">
            <w:pPr>
              <w:rPr>
                <w:rFonts w:ascii="Arial"/>
                <w:sz w:val="21"/>
              </w:rPr>
            </w:pPr>
          </w:p>
        </w:tc>
        <w:tc>
          <w:tcPr>
            <w:tcW w:w="2006" w:type="dxa"/>
            <w:vAlign w:val="top"/>
          </w:tcPr>
          <w:p w14:paraId="16142C74">
            <w:pPr>
              <w:rPr>
                <w:rFonts w:ascii="Arial"/>
                <w:sz w:val="21"/>
              </w:rPr>
            </w:pPr>
          </w:p>
        </w:tc>
      </w:tr>
      <w:tr w14:paraId="07F841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trPr>
        <w:tc>
          <w:tcPr>
            <w:tcW w:w="2183" w:type="dxa"/>
            <w:vAlign w:val="top"/>
          </w:tcPr>
          <w:p w14:paraId="311612A0">
            <w:pPr>
              <w:rPr>
                <w:rFonts w:ascii="Arial"/>
                <w:sz w:val="21"/>
              </w:rPr>
            </w:pPr>
          </w:p>
        </w:tc>
        <w:tc>
          <w:tcPr>
            <w:tcW w:w="2011" w:type="dxa"/>
            <w:vAlign w:val="top"/>
          </w:tcPr>
          <w:p w14:paraId="0F20A392">
            <w:pPr>
              <w:rPr>
                <w:rFonts w:ascii="Arial"/>
                <w:sz w:val="21"/>
              </w:rPr>
            </w:pPr>
          </w:p>
        </w:tc>
        <w:tc>
          <w:tcPr>
            <w:tcW w:w="2001" w:type="dxa"/>
            <w:vAlign w:val="top"/>
          </w:tcPr>
          <w:p w14:paraId="03D9C316">
            <w:pPr>
              <w:rPr>
                <w:rFonts w:ascii="Arial"/>
                <w:sz w:val="21"/>
              </w:rPr>
            </w:pPr>
          </w:p>
        </w:tc>
        <w:tc>
          <w:tcPr>
            <w:tcW w:w="2006" w:type="dxa"/>
            <w:vAlign w:val="top"/>
          </w:tcPr>
          <w:p w14:paraId="1EF2B377">
            <w:pPr>
              <w:rPr>
                <w:rFonts w:ascii="Arial"/>
                <w:sz w:val="21"/>
              </w:rPr>
            </w:pPr>
          </w:p>
        </w:tc>
      </w:tr>
      <w:tr w14:paraId="51C900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trPr>
        <w:tc>
          <w:tcPr>
            <w:tcW w:w="2183" w:type="dxa"/>
            <w:vAlign w:val="top"/>
          </w:tcPr>
          <w:p w14:paraId="4FB2862A">
            <w:pPr>
              <w:rPr>
                <w:rFonts w:ascii="Arial"/>
                <w:sz w:val="21"/>
              </w:rPr>
            </w:pPr>
          </w:p>
        </w:tc>
        <w:tc>
          <w:tcPr>
            <w:tcW w:w="2011" w:type="dxa"/>
            <w:vAlign w:val="top"/>
          </w:tcPr>
          <w:p w14:paraId="3F85AE50">
            <w:pPr>
              <w:rPr>
                <w:rFonts w:ascii="Arial"/>
                <w:sz w:val="21"/>
              </w:rPr>
            </w:pPr>
          </w:p>
        </w:tc>
        <w:tc>
          <w:tcPr>
            <w:tcW w:w="2001" w:type="dxa"/>
            <w:vAlign w:val="top"/>
          </w:tcPr>
          <w:p w14:paraId="7B7CE2E0">
            <w:pPr>
              <w:rPr>
                <w:rFonts w:ascii="Arial"/>
                <w:sz w:val="21"/>
              </w:rPr>
            </w:pPr>
          </w:p>
        </w:tc>
        <w:tc>
          <w:tcPr>
            <w:tcW w:w="2006" w:type="dxa"/>
            <w:vAlign w:val="top"/>
          </w:tcPr>
          <w:p w14:paraId="4A9F9541">
            <w:pPr>
              <w:rPr>
                <w:rFonts w:ascii="Arial"/>
                <w:sz w:val="21"/>
              </w:rPr>
            </w:pPr>
          </w:p>
        </w:tc>
      </w:tr>
      <w:tr w14:paraId="220496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trPr>
        <w:tc>
          <w:tcPr>
            <w:tcW w:w="2183" w:type="dxa"/>
            <w:vAlign w:val="top"/>
          </w:tcPr>
          <w:p w14:paraId="19C9058D">
            <w:pPr>
              <w:rPr>
                <w:rFonts w:ascii="Arial"/>
                <w:sz w:val="21"/>
              </w:rPr>
            </w:pPr>
          </w:p>
        </w:tc>
        <w:tc>
          <w:tcPr>
            <w:tcW w:w="2011" w:type="dxa"/>
            <w:vAlign w:val="top"/>
          </w:tcPr>
          <w:p w14:paraId="3A176117">
            <w:pPr>
              <w:rPr>
                <w:rFonts w:ascii="Arial"/>
                <w:sz w:val="21"/>
              </w:rPr>
            </w:pPr>
          </w:p>
        </w:tc>
        <w:tc>
          <w:tcPr>
            <w:tcW w:w="2001" w:type="dxa"/>
            <w:vAlign w:val="top"/>
          </w:tcPr>
          <w:p w14:paraId="51E0D4E2">
            <w:pPr>
              <w:rPr>
                <w:rFonts w:ascii="Arial"/>
                <w:sz w:val="21"/>
              </w:rPr>
            </w:pPr>
          </w:p>
        </w:tc>
        <w:tc>
          <w:tcPr>
            <w:tcW w:w="2006" w:type="dxa"/>
            <w:vAlign w:val="top"/>
          </w:tcPr>
          <w:p w14:paraId="7C758B64">
            <w:pPr>
              <w:rPr>
                <w:rFonts w:ascii="Arial"/>
                <w:sz w:val="21"/>
              </w:rPr>
            </w:pPr>
          </w:p>
        </w:tc>
      </w:tr>
      <w:tr w14:paraId="74232B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8" w:hRule="atLeast"/>
        </w:trPr>
        <w:tc>
          <w:tcPr>
            <w:tcW w:w="2183" w:type="dxa"/>
            <w:vAlign w:val="top"/>
          </w:tcPr>
          <w:p w14:paraId="7DDD67FF">
            <w:pPr>
              <w:rPr>
                <w:rFonts w:ascii="Arial"/>
                <w:sz w:val="21"/>
              </w:rPr>
            </w:pPr>
          </w:p>
        </w:tc>
        <w:tc>
          <w:tcPr>
            <w:tcW w:w="2011" w:type="dxa"/>
            <w:vAlign w:val="top"/>
          </w:tcPr>
          <w:p w14:paraId="0644DE7A">
            <w:pPr>
              <w:rPr>
                <w:rFonts w:ascii="Arial"/>
                <w:sz w:val="21"/>
              </w:rPr>
            </w:pPr>
          </w:p>
        </w:tc>
        <w:tc>
          <w:tcPr>
            <w:tcW w:w="2001" w:type="dxa"/>
            <w:vAlign w:val="top"/>
          </w:tcPr>
          <w:p w14:paraId="02DC26EC">
            <w:pPr>
              <w:rPr>
                <w:rFonts w:ascii="Arial"/>
                <w:sz w:val="21"/>
              </w:rPr>
            </w:pPr>
          </w:p>
        </w:tc>
        <w:tc>
          <w:tcPr>
            <w:tcW w:w="2006" w:type="dxa"/>
            <w:vAlign w:val="top"/>
          </w:tcPr>
          <w:p w14:paraId="7319644E">
            <w:pPr>
              <w:rPr>
                <w:rFonts w:ascii="Arial"/>
                <w:sz w:val="21"/>
              </w:rPr>
            </w:pPr>
          </w:p>
        </w:tc>
      </w:tr>
      <w:tr w14:paraId="6960E9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trPr>
        <w:tc>
          <w:tcPr>
            <w:tcW w:w="2183" w:type="dxa"/>
            <w:vAlign w:val="top"/>
          </w:tcPr>
          <w:p w14:paraId="342ADF5E">
            <w:pPr>
              <w:rPr>
                <w:rFonts w:ascii="Arial"/>
                <w:sz w:val="21"/>
              </w:rPr>
            </w:pPr>
          </w:p>
        </w:tc>
        <w:tc>
          <w:tcPr>
            <w:tcW w:w="2011" w:type="dxa"/>
            <w:vAlign w:val="top"/>
          </w:tcPr>
          <w:p w14:paraId="0C91219C">
            <w:pPr>
              <w:rPr>
                <w:rFonts w:ascii="Arial"/>
                <w:sz w:val="21"/>
              </w:rPr>
            </w:pPr>
          </w:p>
        </w:tc>
        <w:tc>
          <w:tcPr>
            <w:tcW w:w="2001" w:type="dxa"/>
            <w:vAlign w:val="top"/>
          </w:tcPr>
          <w:p w14:paraId="56D47618">
            <w:pPr>
              <w:rPr>
                <w:rFonts w:ascii="Arial"/>
                <w:sz w:val="21"/>
              </w:rPr>
            </w:pPr>
          </w:p>
        </w:tc>
        <w:tc>
          <w:tcPr>
            <w:tcW w:w="2006" w:type="dxa"/>
            <w:vAlign w:val="top"/>
          </w:tcPr>
          <w:p w14:paraId="2CB88F33">
            <w:pPr>
              <w:rPr>
                <w:rFonts w:ascii="Arial"/>
                <w:sz w:val="21"/>
              </w:rPr>
            </w:pPr>
          </w:p>
        </w:tc>
      </w:tr>
      <w:tr w14:paraId="0BB682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trPr>
        <w:tc>
          <w:tcPr>
            <w:tcW w:w="2183" w:type="dxa"/>
            <w:vAlign w:val="top"/>
          </w:tcPr>
          <w:p w14:paraId="6C75B0B6">
            <w:pPr>
              <w:rPr>
                <w:rFonts w:ascii="Arial"/>
                <w:sz w:val="21"/>
              </w:rPr>
            </w:pPr>
          </w:p>
        </w:tc>
        <w:tc>
          <w:tcPr>
            <w:tcW w:w="2011" w:type="dxa"/>
            <w:vAlign w:val="top"/>
          </w:tcPr>
          <w:p w14:paraId="232E73F9">
            <w:pPr>
              <w:rPr>
                <w:rFonts w:ascii="Arial"/>
                <w:sz w:val="21"/>
              </w:rPr>
            </w:pPr>
          </w:p>
        </w:tc>
        <w:tc>
          <w:tcPr>
            <w:tcW w:w="2001" w:type="dxa"/>
            <w:vAlign w:val="top"/>
          </w:tcPr>
          <w:p w14:paraId="724F49B3">
            <w:pPr>
              <w:rPr>
                <w:rFonts w:ascii="Arial"/>
                <w:sz w:val="21"/>
              </w:rPr>
            </w:pPr>
          </w:p>
        </w:tc>
        <w:tc>
          <w:tcPr>
            <w:tcW w:w="2006" w:type="dxa"/>
            <w:vAlign w:val="top"/>
          </w:tcPr>
          <w:p w14:paraId="20B4335D">
            <w:pPr>
              <w:rPr>
                <w:rFonts w:ascii="Arial"/>
                <w:sz w:val="21"/>
              </w:rPr>
            </w:pPr>
          </w:p>
        </w:tc>
      </w:tr>
      <w:tr w14:paraId="4FF58D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trPr>
        <w:tc>
          <w:tcPr>
            <w:tcW w:w="2183" w:type="dxa"/>
            <w:vAlign w:val="top"/>
          </w:tcPr>
          <w:p w14:paraId="63E9DF17">
            <w:pPr>
              <w:rPr>
                <w:rFonts w:ascii="Arial"/>
                <w:sz w:val="21"/>
              </w:rPr>
            </w:pPr>
          </w:p>
        </w:tc>
        <w:tc>
          <w:tcPr>
            <w:tcW w:w="2011" w:type="dxa"/>
            <w:vAlign w:val="top"/>
          </w:tcPr>
          <w:p w14:paraId="1D9AEB63">
            <w:pPr>
              <w:rPr>
                <w:rFonts w:ascii="Arial"/>
                <w:sz w:val="21"/>
              </w:rPr>
            </w:pPr>
          </w:p>
        </w:tc>
        <w:tc>
          <w:tcPr>
            <w:tcW w:w="2001" w:type="dxa"/>
            <w:vAlign w:val="top"/>
          </w:tcPr>
          <w:p w14:paraId="71F5C97E">
            <w:pPr>
              <w:rPr>
                <w:rFonts w:ascii="Arial"/>
                <w:sz w:val="21"/>
              </w:rPr>
            </w:pPr>
          </w:p>
        </w:tc>
        <w:tc>
          <w:tcPr>
            <w:tcW w:w="2006" w:type="dxa"/>
            <w:vAlign w:val="top"/>
          </w:tcPr>
          <w:p w14:paraId="5E0245C5">
            <w:pPr>
              <w:rPr>
                <w:rFonts w:ascii="Arial"/>
                <w:sz w:val="21"/>
              </w:rPr>
            </w:pPr>
          </w:p>
        </w:tc>
      </w:tr>
      <w:tr w14:paraId="6605BE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trPr>
        <w:tc>
          <w:tcPr>
            <w:tcW w:w="2183" w:type="dxa"/>
            <w:vAlign w:val="top"/>
          </w:tcPr>
          <w:p w14:paraId="72C7CE6F">
            <w:pPr>
              <w:rPr>
                <w:rFonts w:ascii="Arial"/>
                <w:sz w:val="21"/>
              </w:rPr>
            </w:pPr>
          </w:p>
        </w:tc>
        <w:tc>
          <w:tcPr>
            <w:tcW w:w="2011" w:type="dxa"/>
            <w:vAlign w:val="top"/>
          </w:tcPr>
          <w:p w14:paraId="11B3DCC8">
            <w:pPr>
              <w:rPr>
                <w:rFonts w:ascii="Arial"/>
                <w:sz w:val="21"/>
              </w:rPr>
            </w:pPr>
          </w:p>
        </w:tc>
        <w:tc>
          <w:tcPr>
            <w:tcW w:w="2001" w:type="dxa"/>
            <w:vAlign w:val="top"/>
          </w:tcPr>
          <w:p w14:paraId="7D3B6BBC">
            <w:pPr>
              <w:rPr>
                <w:rFonts w:ascii="Arial"/>
                <w:sz w:val="21"/>
              </w:rPr>
            </w:pPr>
          </w:p>
        </w:tc>
        <w:tc>
          <w:tcPr>
            <w:tcW w:w="2006" w:type="dxa"/>
            <w:vAlign w:val="top"/>
          </w:tcPr>
          <w:p w14:paraId="5FD22D1E">
            <w:pPr>
              <w:rPr>
                <w:rFonts w:ascii="Arial"/>
                <w:sz w:val="21"/>
              </w:rPr>
            </w:pPr>
          </w:p>
        </w:tc>
      </w:tr>
      <w:tr w14:paraId="7BF3F1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8" w:hRule="atLeast"/>
        </w:trPr>
        <w:tc>
          <w:tcPr>
            <w:tcW w:w="2183" w:type="dxa"/>
            <w:vAlign w:val="top"/>
          </w:tcPr>
          <w:p w14:paraId="29FBA9EA">
            <w:pPr>
              <w:rPr>
                <w:rFonts w:ascii="Arial"/>
                <w:sz w:val="21"/>
              </w:rPr>
            </w:pPr>
          </w:p>
        </w:tc>
        <w:tc>
          <w:tcPr>
            <w:tcW w:w="2011" w:type="dxa"/>
            <w:vAlign w:val="top"/>
          </w:tcPr>
          <w:p w14:paraId="288DCA2C">
            <w:pPr>
              <w:rPr>
                <w:rFonts w:ascii="Arial"/>
                <w:sz w:val="21"/>
              </w:rPr>
            </w:pPr>
          </w:p>
        </w:tc>
        <w:tc>
          <w:tcPr>
            <w:tcW w:w="2001" w:type="dxa"/>
            <w:vAlign w:val="top"/>
          </w:tcPr>
          <w:p w14:paraId="126B60A1">
            <w:pPr>
              <w:rPr>
                <w:rFonts w:ascii="Arial"/>
                <w:sz w:val="21"/>
              </w:rPr>
            </w:pPr>
          </w:p>
        </w:tc>
        <w:tc>
          <w:tcPr>
            <w:tcW w:w="2006" w:type="dxa"/>
            <w:vAlign w:val="top"/>
          </w:tcPr>
          <w:p w14:paraId="23F34D8A">
            <w:pPr>
              <w:rPr>
                <w:rFonts w:ascii="Arial"/>
                <w:sz w:val="21"/>
              </w:rPr>
            </w:pPr>
          </w:p>
        </w:tc>
      </w:tr>
      <w:tr w14:paraId="28658C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trPr>
        <w:tc>
          <w:tcPr>
            <w:tcW w:w="2183" w:type="dxa"/>
            <w:vAlign w:val="top"/>
          </w:tcPr>
          <w:p w14:paraId="46A43255">
            <w:pPr>
              <w:rPr>
                <w:rFonts w:ascii="Arial"/>
                <w:sz w:val="21"/>
              </w:rPr>
            </w:pPr>
          </w:p>
        </w:tc>
        <w:tc>
          <w:tcPr>
            <w:tcW w:w="2011" w:type="dxa"/>
            <w:vAlign w:val="top"/>
          </w:tcPr>
          <w:p w14:paraId="3CEEE0D6">
            <w:pPr>
              <w:rPr>
                <w:rFonts w:ascii="Arial"/>
                <w:sz w:val="21"/>
              </w:rPr>
            </w:pPr>
          </w:p>
        </w:tc>
        <w:tc>
          <w:tcPr>
            <w:tcW w:w="2001" w:type="dxa"/>
            <w:vAlign w:val="top"/>
          </w:tcPr>
          <w:p w14:paraId="74D954CF">
            <w:pPr>
              <w:rPr>
                <w:rFonts w:ascii="Arial"/>
                <w:sz w:val="21"/>
              </w:rPr>
            </w:pPr>
          </w:p>
        </w:tc>
        <w:tc>
          <w:tcPr>
            <w:tcW w:w="2006" w:type="dxa"/>
            <w:vAlign w:val="top"/>
          </w:tcPr>
          <w:p w14:paraId="195E60CB">
            <w:pPr>
              <w:rPr>
                <w:rFonts w:ascii="Arial"/>
                <w:sz w:val="21"/>
              </w:rPr>
            </w:pPr>
          </w:p>
        </w:tc>
      </w:tr>
      <w:tr w14:paraId="69D351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trPr>
        <w:tc>
          <w:tcPr>
            <w:tcW w:w="2183" w:type="dxa"/>
            <w:vAlign w:val="top"/>
          </w:tcPr>
          <w:p w14:paraId="4BD52802">
            <w:pPr>
              <w:rPr>
                <w:rFonts w:ascii="Arial"/>
                <w:sz w:val="21"/>
              </w:rPr>
            </w:pPr>
          </w:p>
        </w:tc>
        <w:tc>
          <w:tcPr>
            <w:tcW w:w="2011" w:type="dxa"/>
            <w:vAlign w:val="top"/>
          </w:tcPr>
          <w:p w14:paraId="43D2D2BB">
            <w:pPr>
              <w:rPr>
                <w:rFonts w:ascii="Arial"/>
                <w:sz w:val="21"/>
              </w:rPr>
            </w:pPr>
          </w:p>
        </w:tc>
        <w:tc>
          <w:tcPr>
            <w:tcW w:w="2001" w:type="dxa"/>
            <w:vAlign w:val="top"/>
          </w:tcPr>
          <w:p w14:paraId="182C6A5F">
            <w:pPr>
              <w:rPr>
                <w:rFonts w:ascii="Arial"/>
                <w:sz w:val="21"/>
              </w:rPr>
            </w:pPr>
          </w:p>
        </w:tc>
        <w:tc>
          <w:tcPr>
            <w:tcW w:w="2006" w:type="dxa"/>
            <w:vAlign w:val="top"/>
          </w:tcPr>
          <w:p w14:paraId="0AC5A89E">
            <w:pPr>
              <w:rPr>
                <w:rFonts w:ascii="Arial"/>
                <w:sz w:val="21"/>
              </w:rPr>
            </w:pPr>
          </w:p>
        </w:tc>
      </w:tr>
      <w:tr w14:paraId="606465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trPr>
        <w:tc>
          <w:tcPr>
            <w:tcW w:w="2183" w:type="dxa"/>
            <w:vAlign w:val="top"/>
          </w:tcPr>
          <w:p w14:paraId="7419ED5C">
            <w:pPr>
              <w:rPr>
                <w:rFonts w:ascii="Arial"/>
                <w:sz w:val="21"/>
              </w:rPr>
            </w:pPr>
          </w:p>
        </w:tc>
        <w:tc>
          <w:tcPr>
            <w:tcW w:w="2011" w:type="dxa"/>
            <w:vAlign w:val="top"/>
          </w:tcPr>
          <w:p w14:paraId="7F95A7E2">
            <w:pPr>
              <w:rPr>
                <w:rFonts w:ascii="Arial"/>
                <w:sz w:val="21"/>
              </w:rPr>
            </w:pPr>
          </w:p>
        </w:tc>
        <w:tc>
          <w:tcPr>
            <w:tcW w:w="2001" w:type="dxa"/>
            <w:vAlign w:val="top"/>
          </w:tcPr>
          <w:p w14:paraId="0FBC3196">
            <w:pPr>
              <w:rPr>
                <w:rFonts w:ascii="Arial"/>
                <w:sz w:val="21"/>
              </w:rPr>
            </w:pPr>
          </w:p>
        </w:tc>
        <w:tc>
          <w:tcPr>
            <w:tcW w:w="2006" w:type="dxa"/>
            <w:vAlign w:val="top"/>
          </w:tcPr>
          <w:p w14:paraId="50319CBF">
            <w:pPr>
              <w:rPr>
                <w:rFonts w:ascii="Arial"/>
                <w:sz w:val="21"/>
              </w:rPr>
            </w:pPr>
          </w:p>
        </w:tc>
      </w:tr>
      <w:tr w14:paraId="6FD500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trPr>
        <w:tc>
          <w:tcPr>
            <w:tcW w:w="2183" w:type="dxa"/>
            <w:vAlign w:val="top"/>
          </w:tcPr>
          <w:p w14:paraId="741A0FF3">
            <w:pPr>
              <w:rPr>
                <w:rFonts w:ascii="Arial"/>
                <w:sz w:val="21"/>
              </w:rPr>
            </w:pPr>
          </w:p>
        </w:tc>
        <w:tc>
          <w:tcPr>
            <w:tcW w:w="2011" w:type="dxa"/>
            <w:vAlign w:val="top"/>
          </w:tcPr>
          <w:p w14:paraId="4BDDA727">
            <w:pPr>
              <w:rPr>
                <w:rFonts w:ascii="Arial"/>
                <w:sz w:val="21"/>
              </w:rPr>
            </w:pPr>
          </w:p>
        </w:tc>
        <w:tc>
          <w:tcPr>
            <w:tcW w:w="2001" w:type="dxa"/>
            <w:vAlign w:val="top"/>
          </w:tcPr>
          <w:p w14:paraId="7F8B9ABE">
            <w:pPr>
              <w:rPr>
                <w:rFonts w:ascii="Arial"/>
                <w:sz w:val="21"/>
              </w:rPr>
            </w:pPr>
          </w:p>
        </w:tc>
        <w:tc>
          <w:tcPr>
            <w:tcW w:w="2006" w:type="dxa"/>
            <w:vAlign w:val="top"/>
          </w:tcPr>
          <w:p w14:paraId="47E715F9">
            <w:pPr>
              <w:rPr>
                <w:rFonts w:ascii="Arial"/>
                <w:sz w:val="21"/>
              </w:rPr>
            </w:pPr>
          </w:p>
        </w:tc>
      </w:tr>
      <w:tr w14:paraId="3291BC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8" w:hRule="atLeast"/>
        </w:trPr>
        <w:tc>
          <w:tcPr>
            <w:tcW w:w="2183" w:type="dxa"/>
            <w:vAlign w:val="top"/>
          </w:tcPr>
          <w:p w14:paraId="29D25DA2">
            <w:pPr>
              <w:rPr>
                <w:rFonts w:ascii="Arial"/>
                <w:sz w:val="21"/>
              </w:rPr>
            </w:pPr>
          </w:p>
        </w:tc>
        <w:tc>
          <w:tcPr>
            <w:tcW w:w="2011" w:type="dxa"/>
            <w:vAlign w:val="top"/>
          </w:tcPr>
          <w:p w14:paraId="14E0F531">
            <w:pPr>
              <w:rPr>
                <w:rFonts w:ascii="Arial"/>
                <w:sz w:val="21"/>
              </w:rPr>
            </w:pPr>
          </w:p>
        </w:tc>
        <w:tc>
          <w:tcPr>
            <w:tcW w:w="2001" w:type="dxa"/>
            <w:vAlign w:val="top"/>
          </w:tcPr>
          <w:p w14:paraId="27DDB4A8">
            <w:pPr>
              <w:rPr>
                <w:rFonts w:ascii="Arial"/>
                <w:sz w:val="21"/>
              </w:rPr>
            </w:pPr>
          </w:p>
        </w:tc>
        <w:tc>
          <w:tcPr>
            <w:tcW w:w="2006" w:type="dxa"/>
            <w:vAlign w:val="top"/>
          </w:tcPr>
          <w:p w14:paraId="507FEA3C">
            <w:pPr>
              <w:rPr>
                <w:rFonts w:ascii="Arial"/>
                <w:sz w:val="21"/>
              </w:rPr>
            </w:pPr>
          </w:p>
        </w:tc>
      </w:tr>
      <w:tr w14:paraId="1C60B7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trPr>
        <w:tc>
          <w:tcPr>
            <w:tcW w:w="2183" w:type="dxa"/>
            <w:vAlign w:val="top"/>
          </w:tcPr>
          <w:p w14:paraId="2D0C3F53">
            <w:pPr>
              <w:rPr>
                <w:rFonts w:ascii="Arial"/>
                <w:sz w:val="21"/>
              </w:rPr>
            </w:pPr>
          </w:p>
        </w:tc>
        <w:tc>
          <w:tcPr>
            <w:tcW w:w="2011" w:type="dxa"/>
            <w:vAlign w:val="top"/>
          </w:tcPr>
          <w:p w14:paraId="16BA7196">
            <w:pPr>
              <w:rPr>
                <w:rFonts w:ascii="Arial"/>
                <w:sz w:val="21"/>
              </w:rPr>
            </w:pPr>
          </w:p>
        </w:tc>
        <w:tc>
          <w:tcPr>
            <w:tcW w:w="2001" w:type="dxa"/>
            <w:vAlign w:val="top"/>
          </w:tcPr>
          <w:p w14:paraId="5C554812">
            <w:pPr>
              <w:rPr>
                <w:rFonts w:ascii="Arial"/>
                <w:sz w:val="21"/>
              </w:rPr>
            </w:pPr>
          </w:p>
        </w:tc>
        <w:tc>
          <w:tcPr>
            <w:tcW w:w="2006" w:type="dxa"/>
            <w:vAlign w:val="top"/>
          </w:tcPr>
          <w:p w14:paraId="2A7CA1E9">
            <w:pPr>
              <w:rPr>
                <w:rFonts w:ascii="Arial"/>
                <w:sz w:val="21"/>
              </w:rPr>
            </w:pPr>
          </w:p>
        </w:tc>
      </w:tr>
      <w:tr w14:paraId="654F43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trPr>
        <w:tc>
          <w:tcPr>
            <w:tcW w:w="2183" w:type="dxa"/>
            <w:vAlign w:val="top"/>
          </w:tcPr>
          <w:p w14:paraId="3DF6029F">
            <w:pPr>
              <w:rPr>
                <w:rFonts w:ascii="Arial"/>
                <w:sz w:val="21"/>
              </w:rPr>
            </w:pPr>
          </w:p>
        </w:tc>
        <w:tc>
          <w:tcPr>
            <w:tcW w:w="2011" w:type="dxa"/>
            <w:vAlign w:val="top"/>
          </w:tcPr>
          <w:p w14:paraId="2D6D35AA">
            <w:pPr>
              <w:rPr>
                <w:rFonts w:ascii="Arial"/>
                <w:sz w:val="21"/>
              </w:rPr>
            </w:pPr>
          </w:p>
        </w:tc>
        <w:tc>
          <w:tcPr>
            <w:tcW w:w="2001" w:type="dxa"/>
            <w:vAlign w:val="top"/>
          </w:tcPr>
          <w:p w14:paraId="5D7FD6E9">
            <w:pPr>
              <w:rPr>
                <w:rFonts w:ascii="Arial"/>
                <w:sz w:val="21"/>
              </w:rPr>
            </w:pPr>
          </w:p>
        </w:tc>
        <w:tc>
          <w:tcPr>
            <w:tcW w:w="2006" w:type="dxa"/>
            <w:vAlign w:val="top"/>
          </w:tcPr>
          <w:p w14:paraId="1D545F90">
            <w:pPr>
              <w:rPr>
                <w:rFonts w:ascii="Arial"/>
                <w:sz w:val="21"/>
              </w:rPr>
            </w:pPr>
          </w:p>
        </w:tc>
      </w:tr>
      <w:tr w14:paraId="01E028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trPr>
        <w:tc>
          <w:tcPr>
            <w:tcW w:w="2183" w:type="dxa"/>
            <w:vAlign w:val="top"/>
          </w:tcPr>
          <w:p w14:paraId="30402F9C">
            <w:pPr>
              <w:rPr>
                <w:rFonts w:ascii="Arial"/>
                <w:sz w:val="21"/>
              </w:rPr>
            </w:pPr>
          </w:p>
        </w:tc>
        <w:tc>
          <w:tcPr>
            <w:tcW w:w="2011" w:type="dxa"/>
            <w:vAlign w:val="top"/>
          </w:tcPr>
          <w:p w14:paraId="20577C1D">
            <w:pPr>
              <w:rPr>
                <w:rFonts w:ascii="Arial"/>
                <w:sz w:val="21"/>
              </w:rPr>
            </w:pPr>
          </w:p>
        </w:tc>
        <w:tc>
          <w:tcPr>
            <w:tcW w:w="2001" w:type="dxa"/>
            <w:vAlign w:val="top"/>
          </w:tcPr>
          <w:p w14:paraId="09C5A398">
            <w:pPr>
              <w:rPr>
                <w:rFonts w:ascii="Arial"/>
                <w:sz w:val="21"/>
              </w:rPr>
            </w:pPr>
          </w:p>
        </w:tc>
        <w:tc>
          <w:tcPr>
            <w:tcW w:w="2006" w:type="dxa"/>
            <w:vAlign w:val="top"/>
          </w:tcPr>
          <w:p w14:paraId="7CEF0F0B">
            <w:pPr>
              <w:rPr>
                <w:rFonts w:ascii="Arial"/>
                <w:sz w:val="21"/>
              </w:rPr>
            </w:pPr>
          </w:p>
        </w:tc>
      </w:tr>
      <w:tr w14:paraId="44D59F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trPr>
        <w:tc>
          <w:tcPr>
            <w:tcW w:w="2183" w:type="dxa"/>
            <w:vAlign w:val="top"/>
          </w:tcPr>
          <w:p w14:paraId="21EA47E5">
            <w:pPr>
              <w:rPr>
                <w:rFonts w:ascii="Arial"/>
                <w:sz w:val="21"/>
              </w:rPr>
            </w:pPr>
          </w:p>
        </w:tc>
        <w:tc>
          <w:tcPr>
            <w:tcW w:w="2011" w:type="dxa"/>
            <w:vAlign w:val="top"/>
          </w:tcPr>
          <w:p w14:paraId="315E02B7">
            <w:pPr>
              <w:rPr>
                <w:rFonts w:ascii="Arial"/>
                <w:sz w:val="21"/>
              </w:rPr>
            </w:pPr>
          </w:p>
        </w:tc>
        <w:tc>
          <w:tcPr>
            <w:tcW w:w="2001" w:type="dxa"/>
            <w:vAlign w:val="top"/>
          </w:tcPr>
          <w:p w14:paraId="1AB7E625">
            <w:pPr>
              <w:rPr>
                <w:rFonts w:ascii="Arial"/>
                <w:sz w:val="21"/>
              </w:rPr>
            </w:pPr>
          </w:p>
        </w:tc>
        <w:tc>
          <w:tcPr>
            <w:tcW w:w="2006" w:type="dxa"/>
            <w:vAlign w:val="top"/>
          </w:tcPr>
          <w:p w14:paraId="1CFAD188">
            <w:pPr>
              <w:rPr>
                <w:rFonts w:ascii="Arial"/>
                <w:sz w:val="21"/>
              </w:rPr>
            </w:pPr>
          </w:p>
        </w:tc>
      </w:tr>
      <w:tr w14:paraId="0F009B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8" w:hRule="atLeast"/>
        </w:trPr>
        <w:tc>
          <w:tcPr>
            <w:tcW w:w="2183" w:type="dxa"/>
            <w:vAlign w:val="top"/>
          </w:tcPr>
          <w:p w14:paraId="41389951">
            <w:pPr>
              <w:rPr>
                <w:rFonts w:ascii="Arial"/>
                <w:sz w:val="21"/>
              </w:rPr>
            </w:pPr>
          </w:p>
        </w:tc>
        <w:tc>
          <w:tcPr>
            <w:tcW w:w="2011" w:type="dxa"/>
            <w:vAlign w:val="top"/>
          </w:tcPr>
          <w:p w14:paraId="37F857BC">
            <w:pPr>
              <w:rPr>
                <w:rFonts w:ascii="Arial"/>
                <w:sz w:val="21"/>
              </w:rPr>
            </w:pPr>
          </w:p>
        </w:tc>
        <w:tc>
          <w:tcPr>
            <w:tcW w:w="2001" w:type="dxa"/>
            <w:vAlign w:val="top"/>
          </w:tcPr>
          <w:p w14:paraId="69387CE1">
            <w:pPr>
              <w:rPr>
                <w:rFonts w:ascii="Arial"/>
                <w:sz w:val="21"/>
              </w:rPr>
            </w:pPr>
          </w:p>
        </w:tc>
        <w:tc>
          <w:tcPr>
            <w:tcW w:w="2006" w:type="dxa"/>
            <w:vAlign w:val="top"/>
          </w:tcPr>
          <w:p w14:paraId="40D890F5">
            <w:pPr>
              <w:rPr>
                <w:rFonts w:ascii="Arial"/>
                <w:sz w:val="21"/>
              </w:rPr>
            </w:pPr>
          </w:p>
        </w:tc>
      </w:tr>
      <w:tr w14:paraId="4A7CEF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trPr>
        <w:tc>
          <w:tcPr>
            <w:tcW w:w="2183" w:type="dxa"/>
            <w:vAlign w:val="top"/>
          </w:tcPr>
          <w:p w14:paraId="746541D7">
            <w:pPr>
              <w:rPr>
                <w:rFonts w:ascii="Arial"/>
                <w:sz w:val="21"/>
              </w:rPr>
            </w:pPr>
          </w:p>
        </w:tc>
        <w:tc>
          <w:tcPr>
            <w:tcW w:w="2011" w:type="dxa"/>
            <w:vAlign w:val="top"/>
          </w:tcPr>
          <w:p w14:paraId="06618BD7">
            <w:pPr>
              <w:rPr>
                <w:rFonts w:ascii="Arial"/>
                <w:sz w:val="21"/>
              </w:rPr>
            </w:pPr>
          </w:p>
        </w:tc>
        <w:tc>
          <w:tcPr>
            <w:tcW w:w="2001" w:type="dxa"/>
            <w:vAlign w:val="top"/>
          </w:tcPr>
          <w:p w14:paraId="291FD4EE">
            <w:pPr>
              <w:rPr>
                <w:rFonts w:ascii="Arial"/>
                <w:sz w:val="21"/>
              </w:rPr>
            </w:pPr>
          </w:p>
        </w:tc>
        <w:tc>
          <w:tcPr>
            <w:tcW w:w="2006" w:type="dxa"/>
            <w:vAlign w:val="top"/>
          </w:tcPr>
          <w:p w14:paraId="55C870F7">
            <w:pPr>
              <w:rPr>
                <w:rFonts w:ascii="Arial"/>
                <w:sz w:val="21"/>
              </w:rPr>
            </w:pPr>
          </w:p>
        </w:tc>
      </w:tr>
      <w:tr w14:paraId="3F4B48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trPr>
        <w:tc>
          <w:tcPr>
            <w:tcW w:w="2183" w:type="dxa"/>
            <w:vAlign w:val="top"/>
          </w:tcPr>
          <w:p w14:paraId="503ABCE9">
            <w:pPr>
              <w:rPr>
                <w:rFonts w:ascii="Arial"/>
                <w:sz w:val="21"/>
              </w:rPr>
            </w:pPr>
          </w:p>
        </w:tc>
        <w:tc>
          <w:tcPr>
            <w:tcW w:w="2011" w:type="dxa"/>
            <w:vAlign w:val="top"/>
          </w:tcPr>
          <w:p w14:paraId="2D702988">
            <w:pPr>
              <w:rPr>
                <w:rFonts w:ascii="Arial"/>
                <w:sz w:val="21"/>
              </w:rPr>
            </w:pPr>
          </w:p>
        </w:tc>
        <w:tc>
          <w:tcPr>
            <w:tcW w:w="2001" w:type="dxa"/>
            <w:vAlign w:val="top"/>
          </w:tcPr>
          <w:p w14:paraId="1D904B09">
            <w:pPr>
              <w:rPr>
                <w:rFonts w:ascii="Arial"/>
                <w:sz w:val="21"/>
              </w:rPr>
            </w:pPr>
          </w:p>
        </w:tc>
        <w:tc>
          <w:tcPr>
            <w:tcW w:w="2006" w:type="dxa"/>
            <w:vAlign w:val="top"/>
          </w:tcPr>
          <w:p w14:paraId="11F9A7BB">
            <w:pPr>
              <w:rPr>
                <w:rFonts w:ascii="Arial"/>
                <w:sz w:val="21"/>
              </w:rPr>
            </w:pPr>
          </w:p>
        </w:tc>
      </w:tr>
      <w:tr w14:paraId="4344F6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trPr>
        <w:tc>
          <w:tcPr>
            <w:tcW w:w="2183" w:type="dxa"/>
            <w:vAlign w:val="top"/>
          </w:tcPr>
          <w:p w14:paraId="32812061">
            <w:pPr>
              <w:rPr>
                <w:rFonts w:ascii="Arial"/>
                <w:sz w:val="21"/>
              </w:rPr>
            </w:pPr>
          </w:p>
        </w:tc>
        <w:tc>
          <w:tcPr>
            <w:tcW w:w="2011" w:type="dxa"/>
            <w:vAlign w:val="top"/>
          </w:tcPr>
          <w:p w14:paraId="0AE0B78A">
            <w:pPr>
              <w:rPr>
                <w:rFonts w:ascii="Arial"/>
                <w:sz w:val="21"/>
              </w:rPr>
            </w:pPr>
          </w:p>
        </w:tc>
        <w:tc>
          <w:tcPr>
            <w:tcW w:w="2001" w:type="dxa"/>
            <w:vAlign w:val="top"/>
          </w:tcPr>
          <w:p w14:paraId="1E3213E2">
            <w:pPr>
              <w:rPr>
                <w:rFonts w:ascii="Arial"/>
                <w:sz w:val="21"/>
              </w:rPr>
            </w:pPr>
          </w:p>
        </w:tc>
        <w:tc>
          <w:tcPr>
            <w:tcW w:w="2006" w:type="dxa"/>
            <w:vAlign w:val="top"/>
          </w:tcPr>
          <w:p w14:paraId="0E6B4C1C">
            <w:pPr>
              <w:rPr>
                <w:rFonts w:ascii="Arial"/>
                <w:sz w:val="21"/>
              </w:rPr>
            </w:pPr>
          </w:p>
        </w:tc>
      </w:tr>
      <w:tr w14:paraId="2D2E61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trPr>
        <w:tc>
          <w:tcPr>
            <w:tcW w:w="2183" w:type="dxa"/>
            <w:vAlign w:val="top"/>
          </w:tcPr>
          <w:p w14:paraId="3A797F74">
            <w:pPr>
              <w:rPr>
                <w:rFonts w:ascii="Arial"/>
                <w:sz w:val="21"/>
              </w:rPr>
            </w:pPr>
          </w:p>
        </w:tc>
        <w:tc>
          <w:tcPr>
            <w:tcW w:w="2011" w:type="dxa"/>
            <w:vAlign w:val="top"/>
          </w:tcPr>
          <w:p w14:paraId="11D6DA1D">
            <w:pPr>
              <w:rPr>
                <w:rFonts w:ascii="Arial"/>
                <w:sz w:val="21"/>
              </w:rPr>
            </w:pPr>
          </w:p>
        </w:tc>
        <w:tc>
          <w:tcPr>
            <w:tcW w:w="2001" w:type="dxa"/>
            <w:vAlign w:val="top"/>
          </w:tcPr>
          <w:p w14:paraId="249CA5A7">
            <w:pPr>
              <w:rPr>
                <w:rFonts w:ascii="Arial"/>
                <w:sz w:val="21"/>
              </w:rPr>
            </w:pPr>
          </w:p>
        </w:tc>
        <w:tc>
          <w:tcPr>
            <w:tcW w:w="2006" w:type="dxa"/>
            <w:vAlign w:val="top"/>
          </w:tcPr>
          <w:p w14:paraId="2A7F2D8B">
            <w:pPr>
              <w:rPr>
                <w:rFonts w:ascii="Arial"/>
                <w:sz w:val="21"/>
              </w:rPr>
            </w:pPr>
          </w:p>
        </w:tc>
      </w:tr>
      <w:tr w14:paraId="0A9185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trPr>
        <w:tc>
          <w:tcPr>
            <w:tcW w:w="2183" w:type="dxa"/>
            <w:vAlign w:val="top"/>
          </w:tcPr>
          <w:p w14:paraId="11B02D6C">
            <w:pPr>
              <w:rPr>
                <w:rFonts w:ascii="Arial"/>
                <w:sz w:val="21"/>
              </w:rPr>
            </w:pPr>
          </w:p>
        </w:tc>
        <w:tc>
          <w:tcPr>
            <w:tcW w:w="2011" w:type="dxa"/>
            <w:vAlign w:val="top"/>
          </w:tcPr>
          <w:p w14:paraId="25B246F3">
            <w:pPr>
              <w:rPr>
                <w:rFonts w:ascii="Arial"/>
                <w:sz w:val="21"/>
              </w:rPr>
            </w:pPr>
          </w:p>
        </w:tc>
        <w:tc>
          <w:tcPr>
            <w:tcW w:w="2001" w:type="dxa"/>
            <w:vAlign w:val="top"/>
          </w:tcPr>
          <w:p w14:paraId="19F1B3F7">
            <w:pPr>
              <w:rPr>
                <w:rFonts w:ascii="Arial"/>
                <w:sz w:val="21"/>
              </w:rPr>
            </w:pPr>
          </w:p>
        </w:tc>
        <w:tc>
          <w:tcPr>
            <w:tcW w:w="2006" w:type="dxa"/>
            <w:vAlign w:val="top"/>
          </w:tcPr>
          <w:p w14:paraId="27F64655">
            <w:pPr>
              <w:rPr>
                <w:rFonts w:ascii="Arial"/>
                <w:sz w:val="21"/>
              </w:rPr>
            </w:pPr>
          </w:p>
        </w:tc>
      </w:tr>
    </w:tbl>
    <w:p w14:paraId="5369121E">
      <w:pPr>
        <w:pStyle w:val="3"/>
      </w:pPr>
    </w:p>
    <w:p w14:paraId="30D2211D">
      <w:pPr>
        <w:sectPr>
          <w:footerReference r:id="rId234" w:type="default"/>
          <w:pgSz w:w="11905" w:h="16839"/>
          <w:pgMar w:top="400" w:right="1785" w:bottom="1004" w:left="1785" w:header="0" w:footer="828" w:gutter="0"/>
          <w:pgNumType w:fmt="decimal"/>
          <w:cols w:space="720" w:num="1"/>
        </w:sectPr>
      </w:pPr>
    </w:p>
    <w:p w14:paraId="47FF2866">
      <w:pPr>
        <w:pStyle w:val="3"/>
        <w:spacing w:line="254" w:lineRule="auto"/>
      </w:pPr>
    </w:p>
    <w:p w14:paraId="4C8F82CC">
      <w:pPr>
        <w:pStyle w:val="3"/>
        <w:spacing w:line="254" w:lineRule="auto"/>
      </w:pPr>
    </w:p>
    <w:p w14:paraId="1B5A88BF">
      <w:pPr>
        <w:pStyle w:val="3"/>
        <w:spacing w:line="254" w:lineRule="auto"/>
      </w:pPr>
    </w:p>
    <w:p w14:paraId="2708E862">
      <w:pPr>
        <w:pStyle w:val="3"/>
        <w:spacing w:line="254" w:lineRule="auto"/>
      </w:pPr>
    </w:p>
    <w:p w14:paraId="6A310518">
      <w:pPr>
        <w:pStyle w:val="3"/>
        <w:spacing w:line="254" w:lineRule="auto"/>
      </w:pPr>
    </w:p>
    <w:p w14:paraId="2C342ADB">
      <w:pPr>
        <w:pStyle w:val="3"/>
        <w:spacing w:line="254" w:lineRule="auto"/>
      </w:pPr>
    </w:p>
    <w:p w14:paraId="3A48C57A">
      <w:pPr>
        <w:pStyle w:val="3"/>
        <w:spacing w:line="254" w:lineRule="auto"/>
      </w:pPr>
    </w:p>
    <w:p w14:paraId="195683B9">
      <w:pPr>
        <w:pStyle w:val="3"/>
        <w:spacing w:line="254" w:lineRule="auto"/>
      </w:pPr>
    </w:p>
    <w:p w14:paraId="553FE837">
      <w:pPr>
        <w:pStyle w:val="3"/>
        <w:spacing w:line="254" w:lineRule="auto"/>
      </w:pPr>
    </w:p>
    <w:p w14:paraId="10CF5A70">
      <w:pPr>
        <w:pStyle w:val="3"/>
        <w:spacing w:line="254" w:lineRule="auto"/>
      </w:pPr>
    </w:p>
    <w:p w14:paraId="5F805984">
      <w:pPr>
        <w:pStyle w:val="3"/>
        <w:spacing w:line="254" w:lineRule="auto"/>
      </w:pPr>
    </w:p>
    <w:p w14:paraId="60381B3C">
      <w:pPr>
        <w:pStyle w:val="3"/>
        <w:spacing w:line="255" w:lineRule="auto"/>
      </w:pPr>
    </w:p>
    <w:p w14:paraId="4266984A">
      <w:pPr>
        <w:pStyle w:val="3"/>
        <w:spacing w:line="255" w:lineRule="auto"/>
      </w:pPr>
    </w:p>
    <w:p w14:paraId="241CFE8B">
      <w:pPr>
        <w:pStyle w:val="3"/>
        <w:spacing w:line="255" w:lineRule="auto"/>
      </w:pPr>
    </w:p>
    <w:p w14:paraId="69BD8403">
      <w:pPr>
        <w:pStyle w:val="3"/>
        <w:spacing w:line="255" w:lineRule="auto"/>
      </w:pPr>
    </w:p>
    <w:p w14:paraId="12E99001">
      <w:pPr>
        <w:pStyle w:val="3"/>
        <w:spacing w:line="255" w:lineRule="auto"/>
      </w:pPr>
    </w:p>
    <w:p w14:paraId="33781AAE">
      <w:pPr>
        <w:numPr>
          <w:ilvl w:val="0"/>
          <w:numId w:val="4"/>
        </w:numPr>
        <w:spacing w:before="87" w:line="225" w:lineRule="auto"/>
        <w:ind w:left="3342"/>
        <w:rPr>
          <w:rFonts w:ascii="黑体" w:hAnsi="黑体" w:eastAsia="黑体" w:cs="黑体"/>
          <w:spacing w:val="6"/>
          <w:sz w:val="27"/>
          <w:szCs w:val="27"/>
        </w:rPr>
      </w:pPr>
      <w:r>
        <w:rPr>
          <w:rFonts w:ascii="黑体" w:hAnsi="黑体" w:eastAsia="黑体" w:cs="黑体"/>
          <w:spacing w:val="6"/>
          <w:sz w:val="27"/>
          <w:szCs w:val="27"/>
        </w:rPr>
        <w:t>其他材料</w:t>
      </w: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18"/>
        <w:gridCol w:w="5404"/>
      </w:tblGrid>
      <w:tr w14:paraId="36902B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18" w:type="dxa"/>
            <w:noWrap w:val="0"/>
            <w:vAlign w:val="top"/>
          </w:tcPr>
          <w:p w14:paraId="3BB5909E">
            <w:pPr>
              <w:widowControl w:val="0"/>
              <w:rPr>
                <w:rFonts w:hint="default" w:eastAsia="宋体"/>
                <w:vertAlign w:val="baseline"/>
                <w:lang w:val="en-US" w:eastAsia="zh-CN"/>
              </w:rPr>
            </w:pPr>
            <w:r>
              <w:rPr>
                <w:rFonts w:hint="eastAsia"/>
                <w:vertAlign w:val="baseline"/>
                <w:lang w:val="en-US" w:eastAsia="zh-CN"/>
              </w:rPr>
              <w:t>项目名称：</w:t>
            </w:r>
          </w:p>
        </w:tc>
        <w:tc>
          <w:tcPr>
            <w:tcW w:w="5404" w:type="dxa"/>
            <w:noWrap w:val="0"/>
            <w:vAlign w:val="top"/>
          </w:tcPr>
          <w:p w14:paraId="1F41FBB9">
            <w:pPr>
              <w:widowControl w:val="0"/>
              <w:rPr>
                <w:vertAlign w:val="baseline"/>
              </w:rPr>
            </w:pPr>
          </w:p>
        </w:tc>
      </w:tr>
      <w:tr w14:paraId="194E9F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18" w:type="dxa"/>
            <w:noWrap w:val="0"/>
            <w:vAlign w:val="top"/>
          </w:tcPr>
          <w:p w14:paraId="3BF6D9F2">
            <w:pPr>
              <w:widowControl w:val="0"/>
              <w:rPr>
                <w:rFonts w:hint="default" w:eastAsia="宋体"/>
                <w:vertAlign w:val="baseline"/>
                <w:lang w:val="en-US" w:eastAsia="zh-CN"/>
              </w:rPr>
            </w:pPr>
            <w:r>
              <w:rPr>
                <w:rFonts w:hint="eastAsia"/>
                <w:vertAlign w:val="baseline"/>
                <w:lang w:val="en-US" w:eastAsia="zh-CN"/>
              </w:rPr>
              <w:t>标段名称：</w:t>
            </w:r>
          </w:p>
        </w:tc>
        <w:tc>
          <w:tcPr>
            <w:tcW w:w="5404" w:type="dxa"/>
            <w:noWrap w:val="0"/>
            <w:vAlign w:val="top"/>
          </w:tcPr>
          <w:p w14:paraId="5B8A1ACE">
            <w:pPr>
              <w:widowControl w:val="0"/>
              <w:rPr>
                <w:vertAlign w:val="baseline"/>
              </w:rPr>
            </w:pPr>
          </w:p>
        </w:tc>
      </w:tr>
      <w:tr w14:paraId="72F5F8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18" w:type="dxa"/>
            <w:noWrap w:val="0"/>
            <w:vAlign w:val="top"/>
          </w:tcPr>
          <w:p w14:paraId="484418F2">
            <w:pPr>
              <w:widowControl w:val="0"/>
              <w:rPr>
                <w:rFonts w:hint="default" w:eastAsia="宋体"/>
                <w:vertAlign w:val="baseline"/>
                <w:lang w:val="en-US" w:eastAsia="zh-CN"/>
              </w:rPr>
            </w:pPr>
            <w:r>
              <w:rPr>
                <w:rFonts w:hint="eastAsia"/>
                <w:vertAlign w:val="baseline"/>
                <w:lang w:val="en-US" w:eastAsia="zh-CN"/>
              </w:rPr>
              <w:t>招标人名称：</w:t>
            </w:r>
          </w:p>
        </w:tc>
        <w:tc>
          <w:tcPr>
            <w:tcW w:w="5404" w:type="dxa"/>
            <w:noWrap w:val="0"/>
            <w:vAlign w:val="top"/>
          </w:tcPr>
          <w:p w14:paraId="4319B0FD">
            <w:pPr>
              <w:widowControl w:val="0"/>
              <w:rPr>
                <w:vertAlign w:val="baseline"/>
              </w:rPr>
            </w:pPr>
          </w:p>
        </w:tc>
      </w:tr>
      <w:tr w14:paraId="50128C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18" w:type="dxa"/>
            <w:noWrap w:val="0"/>
            <w:vAlign w:val="top"/>
          </w:tcPr>
          <w:p w14:paraId="06D5C34D">
            <w:pPr>
              <w:widowControl w:val="0"/>
              <w:rPr>
                <w:rFonts w:hint="eastAsia" w:eastAsia="宋体"/>
                <w:vertAlign w:val="baseline"/>
                <w:lang w:eastAsia="zh-CN"/>
              </w:rPr>
            </w:pPr>
            <w:r>
              <w:rPr>
                <w:rFonts w:hint="eastAsia"/>
                <w:vertAlign w:val="baseline"/>
              </w:rPr>
              <w:t>招标代理机构名称</w:t>
            </w:r>
            <w:r>
              <w:rPr>
                <w:rFonts w:hint="eastAsia"/>
                <w:vertAlign w:val="baseline"/>
                <w:lang w:eastAsia="zh-CN"/>
              </w:rPr>
              <w:t>：</w:t>
            </w:r>
          </w:p>
        </w:tc>
        <w:tc>
          <w:tcPr>
            <w:tcW w:w="5404" w:type="dxa"/>
            <w:noWrap w:val="0"/>
            <w:vAlign w:val="top"/>
          </w:tcPr>
          <w:p w14:paraId="7DEE24E4">
            <w:pPr>
              <w:widowControl w:val="0"/>
              <w:rPr>
                <w:vertAlign w:val="baseline"/>
              </w:rPr>
            </w:pPr>
          </w:p>
        </w:tc>
      </w:tr>
      <w:tr w14:paraId="6CE49E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18" w:type="dxa"/>
            <w:noWrap w:val="0"/>
            <w:vAlign w:val="top"/>
          </w:tcPr>
          <w:p w14:paraId="4E7D1663">
            <w:pPr>
              <w:widowControl w:val="0"/>
              <w:rPr>
                <w:rFonts w:hint="eastAsia" w:eastAsia="宋体"/>
                <w:vertAlign w:val="baseline"/>
                <w:lang w:eastAsia="zh-CN"/>
              </w:rPr>
            </w:pPr>
            <w:r>
              <w:rPr>
                <w:rFonts w:hint="eastAsia"/>
                <w:vertAlign w:val="baseline"/>
              </w:rPr>
              <w:t>投标公司名称</w:t>
            </w:r>
            <w:r>
              <w:rPr>
                <w:rFonts w:hint="eastAsia"/>
                <w:vertAlign w:val="baseline"/>
                <w:lang w:eastAsia="zh-CN"/>
              </w:rPr>
              <w:t>：</w:t>
            </w:r>
          </w:p>
        </w:tc>
        <w:tc>
          <w:tcPr>
            <w:tcW w:w="5404" w:type="dxa"/>
            <w:noWrap w:val="0"/>
            <w:vAlign w:val="top"/>
          </w:tcPr>
          <w:p w14:paraId="0A7EE78A">
            <w:pPr>
              <w:widowControl w:val="0"/>
              <w:rPr>
                <w:vertAlign w:val="baseline"/>
              </w:rPr>
            </w:pPr>
          </w:p>
        </w:tc>
      </w:tr>
      <w:tr w14:paraId="446597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18" w:type="dxa"/>
            <w:noWrap w:val="0"/>
            <w:vAlign w:val="top"/>
          </w:tcPr>
          <w:p w14:paraId="4DCA4936">
            <w:pPr>
              <w:widowControl w:val="0"/>
              <w:rPr>
                <w:rFonts w:hint="eastAsia" w:eastAsia="宋体"/>
                <w:vertAlign w:val="baseline"/>
                <w:lang w:eastAsia="zh-CN"/>
              </w:rPr>
            </w:pPr>
            <w:r>
              <w:rPr>
                <w:rFonts w:hint="eastAsia"/>
                <w:vertAlign w:val="baseline"/>
              </w:rPr>
              <w:t>投标公司统一社会信用代码</w:t>
            </w:r>
            <w:r>
              <w:rPr>
                <w:rFonts w:hint="eastAsia"/>
                <w:vertAlign w:val="baseline"/>
                <w:lang w:eastAsia="zh-CN"/>
              </w:rPr>
              <w:t>：</w:t>
            </w:r>
          </w:p>
        </w:tc>
        <w:tc>
          <w:tcPr>
            <w:tcW w:w="5404" w:type="dxa"/>
            <w:noWrap w:val="0"/>
            <w:vAlign w:val="top"/>
          </w:tcPr>
          <w:p w14:paraId="6DE47BB5">
            <w:pPr>
              <w:widowControl w:val="0"/>
              <w:rPr>
                <w:vertAlign w:val="baseline"/>
              </w:rPr>
            </w:pPr>
          </w:p>
        </w:tc>
      </w:tr>
      <w:tr w14:paraId="3D4A1D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18" w:type="dxa"/>
            <w:noWrap w:val="0"/>
            <w:vAlign w:val="top"/>
          </w:tcPr>
          <w:p w14:paraId="3DBF6754">
            <w:pPr>
              <w:widowControl w:val="0"/>
              <w:rPr>
                <w:rFonts w:hint="eastAsia" w:eastAsia="宋体"/>
                <w:vertAlign w:val="baseline"/>
                <w:lang w:val="en-US" w:eastAsia="zh-CN"/>
              </w:rPr>
            </w:pPr>
            <w:r>
              <w:rPr>
                <w:rFonts w:hint="eastAsia"/>
                <w:vertAlign w:val="baseline"/>
              </w:rPr>
              <w:t>投标公司法定代表人姓名</w:t>
            </w:r>
            <w:r>
              <w:rPr>
                <w:rFonts w:hint="eastAsia"/>
                <w:vertAlign w:val="baseline"/>
                <w:lang w:val="en-US" w:eastAsia="zh-CN"/>
              </w:rPr>
              <w:t>:</w:t>
            </w:r>
          </w:p>
        </w:tc>
        <w:tc>
          <w:tcPr>
            <w:tcW w:w="5404" w:type="dxa"/>
            <w:noWrap w:val="0"/>
            <w:vAlign w:val="top"/>
          </w:tcPr>
          <w:p w14:paraId="39CC3410">
            <w:pPr>
              <w:widowControl w:val="0"/>
              <w:rPr>
                <w:vertAlign w:val="baseline"/>
              </w:rPr>
            </w:pPr>
          </w:p>
        </w:tc>
      </w:tr>
      <w:tr w14:paraId="2FC7B0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18" w:type="dxa"/>
            <w:noWrap w:val="0"/>
            <w:vAlign w:val="top"/>
          </w:tcPr>
          <w:p w14:paraId="66E4F758">
            <w:pPr>
              <w:widowControl w:val="0"/>
              <w:rPr>
                <w:rFonts w:hint="eastAsia" w:eastAsia="宋体"/>
                <w:vertAlign w:val="baseline"/>
                <w:lang w:val="en-US" w:eastAsia="zh-CN"/>
              </w:rPr>
            </w:pPr>
            <w:r>
              <w:rPr>
                <w:rFonts w:hint="eastAsia"/>
                <w:vertAlign w:val="baseline"/>
              </w:rPr>
              <w:t>投标公司法定代表人身份证号</w:t>
            </w:r>
            <w:r>
              <w:rPr>
                <w:rFonts w:hint="eastAsia"/>
                <w:vertAlign w:val="baseline"/>
                <w:lang w:val="en-US" w:eastAsia="zh-CN"/>
              </w:rPr>
              <w:t>:</w:t>
            </w:r>
          </w:p>
        </w:tc>
        <w:tc>
          <w:tcPr>
            <w:tcW w:w="5404" w:type="dxa"/>
            <w:noWrap w:val="0"/>
            <w:vAlign w:val="top"/>
          </w:tcPr>
          <w:p w14:paraId="53DD81FF">
            <w:pPr>
              <w:widowControl w:val="0"/>
              <w:rPr>
                <w:vertAlign w:val="baseline"/>
              </w:rPr>
            </w:pPr>
          </w:p>
        </w:tc>
      </w:tr>
      <w:tr w14:paraId="1725AD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18" w:type="dxa"/>
            <w:noWrap w:val="0"/>
            <w:vAlign w:val="top"/>
          </w:tcPr>
          <w:p w14:paraId="0F57476D">
            <w:pPr>
              <w:widowControl w:val="0"/>
              <w:rPr>
                <w:rFonts w:hint="eastAsia" w:eastAsia="宋体"/>
                <w:vertAlign w:val="baseline"/>
                <w:lang w:val="en-US" w:eastAsia="zh-CN"/>
              </w:rPr>
            </w:pPr>
            <w:r>
              <w:rPr>
                <w:rFonts w:hint="eastAsia"/>
                <w:vertAlign w:val="baseline"/>
              </w:rPr>
              <w:t>投标公司法定代表人手机号码</w:t>
            </w:r>
            <w:r>
              <w:rPr>
                <w:rFonts w:hint="eastAsia"/>
                <w:vertAlign w:val="baseline"/>
                <w:lang w:val="en-US" w:eastAsia="zh-CN"/>
              </w:rPr>
              <w:t>:</w:t>
            </w:r>
          </w:p>
        </w:tc>
        <w:tc>
          <w:tcPr>
            <w:tcW w:w="5404" w:type="dxa"/>
            <w:noWrap w:val="0"/>
            <w:vAlign w:val="top"/>
          </w:tcPr>
          <w:p w14:paraId="2084F86D">
            <w:pPr>
              <w:widowControl w:val="0"/>
              <w:rPr>
                <w:vertAlign w:val="baseline"/>
              </w:rPr>
            </w:pPr>
          </w:p>
        </w:tc>
      </w:tr>
      <w:tr w14:paraId="4103FD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18" w:type="dxa"/>
            <w:noWrap w:val="0"/>
            <w:vAlign w:val="top"/>
          </w:tcPr>
          <w:p w14:paraId="6E13F4D3">
            <w:pPr>
              <w:widowControl w:val="0"/>
              <w:rPr>
                <w:rFonts w:hint="eastAsia" w:eastAsia="宋体"/>
                <w:vertAlign w:val="baseline"/>
                <w:lang w:val="en-US" w:eastAsia="zh-CN"/>
              </w:rPr>
            </w:pPr>
            <w:r>
              <w:rPr>
                <w:rFonts w:hint="eastAsia"/>
                <w:vertAlign w:val="baseline"/>
              </w:rPr>
              <w:t>投标公司联系人姓名</w:t>
            </w:r>
            <w:r>
              <w:rPr>
                <w:rFonts w:hint="eastAsia"/>
                <w:vertAlign w:val="baseline"/>
                <w:lang w:val="en-US" w:eastAsia="zh-CN"/>
              </w:rPr>
              <w:t>:</w:t>
            </w:r>
          </w:p>
        </w:tc>
        <w:tc>
          <w:tcPr>
            <w:tcW w:w="5404" w:type="dxa"/>
            <w:noWrap w:val="0"/>
            <w:vAlign w:val="top"/>
          </w:tcPr>
          <w:p w14:paraId="6F01EF84">
            <w:pPr>
              <w:widowControl w:val="0"/>
              <w:rPr>
                <w:vertAlign w:val="baseline"/>
              </w:rPr>
            </w:pPr>
          </w:p>
        </w:tc>
      </w:tr>
      <w:tr w14:paraId="09A85C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18" w:type="dxa"/>
            <w:noWrap w:val="0"/>
            <w:vAlign w:val="top"/>
          </w:tcPr>
          <w:p w14:paraId="0DE5C29C">
            <w:pPr>
              <w:widowControl w:val="0"/>
              <w:rPr>
                <w:rFonts w:hint="eastAsia" w:eastAsia="宋体"/>
                <w:vertAlign w:val="baseline"/>
                <w:lang w:val="en-US" w:eastAsia="zh-CN"/>
              </w:rPr>
            </w:pPr>
            <w:r>
              <w:rPr>
                <w:rFonts w:hint="eastAsia"/>
                <w:vertAlign w:val="baseline"/>
              </w:rPr>
              <w:t>投标公司联系人身份证号</w:t>
            </w:r>
            <w:r>
              <w:rPr>
                <w:rFonts w:hint="eastAsia"/>
                <w:vertAlign w:val="baseline"/>
                <w:lang w:val="en-US" w:eastAsia="zh-CN"/>
              </w:rPr>
              <w:t>:</w:t>
            </w:r>
          </w:p>
        </w:tc>
        <w:tc>
          <w:tcPr>
            <w:tcW w:w="5404" w:type="dxa"/>
            <w:noWrap w:val="0"/>
            <w:vAlign w:val="top"/>
          </w:tcPr>
          <w:p w14:paraId="7AC4FC99">
            <w:pPr>
              <w:widowControl w:val="0"/>
              <w:rPr>
                <w:vertAlign w:val="baseline"/>
              </w:rPr>
            </w:pPr>
          </w:p>
        </w:tc>
      </w:tr>
      <w:tr w14:paraId="390D8A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18" w:type="dxa"/>
            <w:noWrap w:val="0"/>
            <w:vAlign w:val="top"/>
          </w:tcPr>
          <w:p w14:paraId="22DF8973">
            <w:pPr>
              <w:widowControl w:val="0"/>
              <w:rPr>
                <w:rFonts w:hint="eastAsia" w:eastAsia="宋体"/>
                <w:vertAlign w:val="baseline"/>
                <w:lang w:val="en-US" w:eastAsia="zh-CN"/>
              </w:rPr>
            </w:pPr>
            <w:r>
              <w:rPr>
                <w:rFonts w:hint="eastAsia"/>
                <w:vertAlign w:val="baseline"/>
              </w:rPr>
              <w:t>投标公司联系人手机号码</w:t>
            </w:r>
            <w:r>
              <w:rPr>
                <w:rFonts w:hint="eastAsia"/>
                <w:vertAlign w:val="baseline"/>
                <w:lang w:val="en-US" w:eastAsia="zh-CN"/>
              </w:rPr>
              <w:t>:</w:t>
            </w:r>
          </w:p>
        </w:tc>
        <w:tc>
          <w:tcPr>
            <w:tcW w:w="5404" w:type="dxa"/>
            <w:noWrap w:val="0"/>
            <w:vAlign w:val="top"/>
          </w:tcPr>
          <w:p w14:paraId="38384316">
            <w:pPr>
              <w:widowControl w:val="0"/>
              <w:rPr>
                <w:vertAlign w:val="baseline"/>
              </w:rPr>
            </w:pPr>
          </w:p>
        </w:tc>
      </w:tr>
      <w:tr w14:paraId="6340C6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18" w:type="dxa"/>
            <w:noWrap w:val="0"/>
            <w:vAlign w:val="top"/>
          </w:tcPr>
          <w:p w14:paraId="5CBD2A65">
            <w:pPr>
              <w:widowControl w:val="0"/>
              <w:rPr>
                <w:rFonts w:hint="eastAsia" w:eastAsia="宋体"/>
                <w:vertAlign w:val="baseline"/>
                <w:lang w:val="en-US" w:eastAsia="zh-CN"/>
              </w:rPr>
            </w:pPr>
            <w:r>
              <w:rPr>
                <w:rFonts w:hint="eastAsia"/>
                <w:vertAlign w:val="baseline"/>
              </w:rPr>
              <w:t>项目经理姓名</w:t>
            </w:r>
            <w:r>
              <w:rPr>
                <w:rFonts w:hint="eastAsia"/>
                <w:vertAlign w:val="baseline"/>
                <w:lang w:val="en-US" w:eastAsia="zh-CN"/>
              </w:rPr>
              <w:t>:</w:t>
            </w:r>
          </w:p>
        </w:tc>
        <w:tc>
          <w:tcPr>
            <w:tcW w:w="5404" w:type="dxa"/>
            <w:noWrap w:val="0"/>
            <w:vAlign w:val="top"/>
          </w:tcPr>
          <w:p w14:paraId="37BDFE28">
            <w:pPr>
              <w:widowControl w:val="0"/>
              <w:rPr>
                <w:vertAlign w:val="baseline"/>
              </w:rPr>
            </w:pPr>
          </w:p>
        </w:tc>
      </w:tr>
      <w:tr w14:paraId="0BF517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18" w:type="dxa"/>
            <w:noWrap w:val="0"/>
            <w:vAlign w:val="top"/>
          </w:tcPr>
          <w:p w14:paraId="67D9A00D">
            <w:pPr>
              <w:widowControl w:val="0"/>
              <w:rPr>
                <w:rFonts w:hint="eastAsia" w:eastAsia="宋体"/>
                <w:vertAlign w:val="baseline"/>
                <w:lang w:val="en-US" w:eastAsia="zh-CN"/>
              </w:rPr>
            </w:pPr>
            <w:r>
              <w:rPr>
                <w:rFonts w:hint="eastAsia"/>
                <w:vertAlign w:val="baseline"/>
              </w:rPr>
              <w:t>项目经理身份证号</w:t>
            </w:r>
            <w:r>
              <w:rPr>
                <w:rFonts w:hint="eastAsia"/>
                <w:vertAlign w:val="baseline"/>
                <w:lang w:val="en-US" w:eastAsia="zh-CN"/>
              </w:rPr>
              <w:t>:</w:t>
            </w:r>
          </w:p>
        </w:tc>
        <w:tc>
          <w:tcPr>
            <w:tcW w:w="5404" w:type="dxa"/>
            <w:noWrap w:val="0"/>
            <w:vAlign w:val="top"/>
          </w:tcPr>
          <w:p w14:paraId="13B8C3DD">
            <w:pPr>
              <w:widowControl w:val="0"/>
              <w:rPr>
                <w:vertAlign w:val="baseline"/>
              </w:rPr>
            </w:pPr>
          </w:p>
        </w:tc>
      </w:tr>
      <w:tr w14:paraId="109924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18" w:type="dxa"/>
            <w:noWrap w:val="0"/>
            <w:vAlign w:val="top"/>
          </w:tcPr>
          <w:p w14:paraId="0182DF1C">
            <w:pPr>
              <w:widowControl w:val="0"/>
              <w:rPr>
                <w:rFonts w:hint="eastAsia" w:eastAsia="宋体"/>
                <w:vertAlign w:val="baseline"/>
                <w:lang w:val="en-US" w:eastAsia="zh-CN"/>
              </w:rPr>
            </w:pPr>
            <w:r>
              <w:rPr>
                <w:rFonts w:hint="eastAsia"/>
                <w:vertAlign w:val="baseline"/>
              </w:rPr>
              <w:t>项目经理手机号码</w:t>
            </w:r>
            <w:r>
              <w:rPr>
                <w:rFonts w:hint="eastAsia"/>
                <w:vertAlign w:val="baseline"/>
                <w:lang w:val="en-US" w:eastAsia="zh-CN"/>
              </w:rPr>
              <w:t>:</w:t>
            </w:r>
          </w:p>
        </w:tc>
        <w:tc>
          <w:tcPr>
            <w:tcW w:w="5404" w:type="dxa"/>
            <w:noWrap w:val="0"/>
            <w:vAlign w:val="top"/>
          </w:tcPr>
          <w:p w14:paraId="7411A23A">
            <w:pPr>
              <w:widowControl w:val="0"/>
              <w:rPr>
                <w:vertAlign w:val="baseline"/>
              </w:rPr>
            </w:pPr>
          </w:p>
        </w:tc>
      </w:tr>
      <w:tr w14:paraId="711EFE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18" w:type="dxa"/>
            <w:noWrap w:val="0"/>
            <w:vAlign w:val="top"/>
          </w:tcPr>
          <w:p w14:paraId="5B0AC4A9">
            <w:pPr>
              <w:widowControl w:val="0"/>
              <w:rPr>
                <w:rFonts w:hint="default" w:eastAsia="宋体"/>
                <w:vertAlign w:val="baseline"/>
                <w:lang w:val="en-US" w:eastAsia="zh-CN"/>
              </w:rPr>
            </w:pPr>
            <w:r>
              <w:rPr>
                <w:rFonts w:hint="eastAsia"/>
                <w:vertAlign w:val="baseline"/>
                <w:lang w:val="en-US" w:eastAsia="zh-CN"/>
              </w:rPr>
              <w:t>投标保证金形式：</w:t>
            </w:r>
          </w:p>
        </w:tc>
        <w:tc>
          <w:tcPr>
            <w:tcW w:w="5404" w:type="dxa"/>
            <w:noWrap w:val="0"/>
            <w:vAlign w:val="top"/>
          </w:tcPr>
          <w:p w14:paraId="5C00C9F0">
            <w:pPr>
              <w:widowControl w:val="0"/>
              <w:rPr>
                <w:vertAlign w:val="baseline"/>
              </w:rPr>
            </w:pPr>
          </w:p>
        </w:tc>
      </w:tr>
      <w:tr w14:paraId="4EC53C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18" w:type="dxa"/>
            <w:noWrap w:val="0"/>
            <w:vAlign w:val="top"/>
          </w:tcPr>
          <w:p w14:paraId="7BCA1C07">
            <w:pPr>
              <w:widowControl w:val="0"/>
              <w:rPr>
                <w:rFonts w:hint="eastAsia" w:eastAsia="宋体"/>
                <w:vertAlign w:val="baseline"/>
                <w:lang w:eastAsia="zh-CN"/>
              </w:rPr>
            </w:pPr>
            <w:r>
              <w:rPr>
                <w:rFonts w:hint="eastAsia"/>
                <w:vertAlign w:val="baseline"/>
              </w:rPr>
              <w:t>缴纳投标保证金</w:t>
            </w:r>
            <w:r>
              <w:rPr>
                <w:rFonts w:hint="eastAsia"/>
                <w:vertAlign w:val="baseline"/>
                <w:lang w:val="en-US" w:eastAsia="zh-CN"/>
              </w:rPr>
              <w:t>/保函</w:t>
            </w:r>
            <w:r>
              <w:rPr>
                <w:rFonts w:hint="eastAsia"/>
                <w:vertAlign w:val="baseline"/>
              </w:rPr>
              <w:t>时间</w:t>
            </w:r>
            <w:r>
              <w:rPr>
                <w:rFonts w:hint="eastAsia"/>
                <w:vertAlign w:val="baseline"/>
                <w:lang w:eastAsia="zh-CN"/>
              </w:rPr>
              <w:t>：</w:t>
            </w:r>
          </w:p>
        </w:tc>
        <w:tc>
          <w:tcPr>
            <w:tcW w:w="5404" w:type="dxa"/>
            <w:noWrap w:val="0"/>
            <w:vAlign w:val="top"/>
          </w:tcPr>
          <w:p w14:paraId="1BED442F">
            <w:pPr>
              <w:widowControl w:val="0"/>
              <w:rPr>
                <w:vertAlign w:val="baseline"/>
              </w:rPr>
            </w:pPr>
          </w:p>
        </w:tc>
      </w:tr>
      <w:tr w14:paraId="1337D2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18" w:type="dxa"/>
            <w:noWrap w:val="0"/>
            <w:vAlign w:val="top"/>
          </w:tcPr>
          <w:p w14:paraId="780125DB">
            <w:pPr>
              <w:widowControl w:val="0"/>
              <w:rPr>
                <w:rFonts w:hint="eastAsia" w:eastAsia="宋体"/>
                <w:vertAlign w:val="baseline"/>
                <w:lang w:eastAsia="zh-CN"/>
              </w:rPr>
            </w:pPr>
            <w:r>
              <w:rPr>
                <w:rFonts w:hint="eastAsia"/>
                <w:vertAlign w:val="baseline"/>
              </w:rPr>
              <w:t>缴纳投标保证金账户</w:t>
            </w:r>
            <w:r>
              <w:rPr>
                <w:rFonts w:hint="eastAsia"/>
                <w:vertAlign w:val="baseline"/>
                <w:lang w:eastAsia="zh-CN"/>
              </w:rPr>
              <w:t>：</w:t>
            </w:r>
          </w:p>
        </w:tc>
        <w:tc>
          <w:tcPr>
            <w:tcW w:w="5404" w:type="dxa"/>
            <w:noWrap w:val="0"/>
            <w:vAlign w:val="top"/>
          </w:tcPr>
          <w:p w14:paraId="25F78B93">
            <w:pPr>
              <w:widowControl w:val="0"/>
              <w:rPr>
                <w:rFonts w:hint="default" w:eastAsia="宋体"/>
                <w:vertAlign w:val="baseline"/>
                <w:lang w:val="en-US" w:eastAsia="zh-CN"/>
              </w:rPr>
            </w:pPr>
            <w:r>
              <w:rPr>
                <w:rFonts w:hint="eastAsia"/>
                <w:vertAlign w:val="baseline"/>
                <w:lang w:val="en-US" w:eastAsia="zh-CN"/>
              </w:rPr>
              <w:t>递交保函无需填写此项</w:t>
            </w:r>
          </w:p>
        </w:tc>
      </w:tr>
      <w:tr w14:paraId="17585D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18" w:type="dxa"/>
            <w:noWrap w:val="0"/>
            <w:vAlign w:val="top"/>
          </w:tcPr>
          <w:p w14:paraId="6D15D910">
            <w:pPr>
              <w:widowControl w:val="0"/>
              <w:rPr>
                <w:rFonts w:hint="eastAsia"/>
                <w:vertAlign w:val="baseline"/>
              </w:rPr>
            </w:pPr>
            <w:r>
              <w:rPr>
                <w:rFonts w:hint="eastAsia"/>
                <w:vertAlign w:val="baseline"/>
              </w:rPr>
              <w:t>缴纳投标保障金账户开户行</w:t>
            </w:r>
          </w:p>
        </w:tc>
        <w:tc>
          <w:tcPr>
            <w:tcW w:w="5404" w:type="dxa"/>
            <w:noWrap w:val="0"/>
            <w:vAlign w:val="top"/>
          </w:tcPr>
          <w:p w14:paraId="32193726">
            <w:pPr>
              <w:widowControl w:val="0"/>
              <w:rPr>
                <w:vertAlign w:val="baseline"/>
              </w:rPr>
            </w:pPr>
            <w:r>
              <w:rPr>
                <w:rFonts w:hint="eastAsia"/>
                <w:vertAlign w:val="baseline"/>
                <w:lang w:val="en-US" w:eastAsia="zh-CN"/>
              </w:rPr>
              <w:t>递交保函无需填写此项</w:t>
            </w:r>
          </w:p>
        </w:tc>
      </w:tr>
    </w:tbl>
    <w:p w14:paraId="695DA2F6">
      <w:pPr>
        <w:numPr>
          <w:ilvl w:val="0"/>
          <w:numId w:val="0"/>
        </w:numPr>
        <w:spacing w:before="87" w:line="225" w:lineRule="auto"/>
        <w:rPr>
          <w:rFonts w:ascii="黑体" w:hAnsi="黑体" w:eastAsia="黑体" w:cs="黑体"/>
          <w:spacing w:val="6"/>
          <w:sz w:val="27"/>
          <w:szCs w:val="27"/>
        </w:rPr>
      </w:pPr>
    </w:p>
    <w:sectPr>
      <w:footerReference r:id="rId235" w:type="default"/>
      <w:pgSz w:w="11905" w:h="16839"/>
      <w:pgMar w:top="400" w:right="1785" w:bottom="1004" w:left="1785" w:header="0" w:footer="828" w:gutter="0"/>
      <w:pgNumType w:fmt="decimal"/>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EFF" w:usb1="C000785B" w:usb2="00000009" w:usb3="00000000" w:csb0="400001FF" w:csb1="FFFF0000"/>
  </w:font>
  <w:font w:name="宋体">
    <w:panose1 w:val="02010600030101010101"/>
    <w:charset w:val="88"/>
    <w:family w:val="moder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Wingdings 2">
    <w:panose1 w:val="05020102010507070707"/>
    <w:charset w:val="00"/>
    <w:family w:val="auto"/>
    <w:pitch w:val="default"/>
    <w:sig w:usb0="00000000" w:usb1="00000000" w:usb2="00000000" w:usb3="00000000" w:csb0="80000000" w:csb1="00000000"/>
  </w:font>
  <w:font w:name="Segoe UI Symbol">
    <w:panose1 w:val="020B0502040204020203"/>
    <w:charset w:val="00"/>
    <w:family w:val="auto"/>
    <w:pitch w:val="default"/>
    <w:sig w:usb0="800001E3" w:usb1="1200FFEF" w:usb2="00040000" w:usb3="04000000" w:csb0="00000001" w:csb1="40000000"/>
  </w:font>
  <w:font w:name="微软雅黑">
    <w:panose1 w:val="020B0503020204020204"/>
    <w:charset w:val="86"/>
    <w:family w:val="auto"/>
    <w:pitch w:val="default"/>
    <w:sig w:usb0="80000287" w:usb1="2ACF3C50" w:usb2="00000016" w:usb3="00000000" w:csb0="0004001F" w:csb1="00000000"/>
  </w:font>
  <w:font w:name="楷体">
    <w:panose1 w:val="02010609060101010101"/>
    <w:charset w:val="86"/>
    <w:family w:val="auto"/>
    <w:pitch w:val="default"/>
    <w:sig w:usb0="800002BF" w:usb1="38CF7CFA" w:usb2="00000016" w:usb3="00000000" w:csb0="00040001" w:csb1="00000000"/>
  </w:font>
  <w:font w:name="KSOFE44F9426">
    <w:panose1 w:val="02010609060101010101"/>
    <w:charset w:val="86"/>
    <w:family w:val="auto"/>
    <w:pitch w:val="default"/>
    <w:sig w:usb0="00000001"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AA7D21">
    <w:pPr>
      <w:pStyle w:val="4"/>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249" name="文本框 124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56FC90F">
                          <w:pPr>
                            <w:pStyle w:val="4"/>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i10/6jUCAABnBAAADgAAAAAAAAABACAAAAAfAQAAZHJzL2Uyb0RvYy54bWxQ&#10;SwUGAAAAAAYABgBZAQAAxgUAAAAA&#10;">
              <v:fill on="f" focussize="0,0"/>
              <v:stroke on="f" weight="0.5pt"/>
              <v:imagedata o:title=""/>
              <o:lock v:ext="edit" aspectratio="f"/>
              <v:textbox inset="0mm,0mm,0mm,0mm" style="mso-fit-shape-to-text:t;">
                <w:txbxContent>
                  <w:p w14:paraId="256FC90F">
                    <w:pPr>
                      <w:pStyle w:val="4"/>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5F2776">
    <w:pPr>
      <w:spacing w:line="177" w:lineRule="auto"/>
      <w:ind w:left="4119"/>
      <w:rPr>
        <w:rFonts w:ascii="Times New Roman" w:hAnsi="Times New Roman" w:eastAsia="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258" name="文本框 125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2DC3D22">
                          <w:pPr>
                            <w:pStyle w:val="4"/>
                          </w:pPr>
                          <w:r>
                            <w:fldChar w:fldCharType="begin"/>
                          </w:r>
                          <w:r>
                            <w:instrText xml:space="preserve"> PAGE  \* MERGEFORMAT </w:instrText>
                          </w:r>
                          <w:r>
                            <w:fldChar w:fldCharType="separate"/>
                          </w:r>
                          <w:r>
                            <w:t>13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rbgCwNAIAAGcEAAAOAAAAAAAAAAEAIAAAAB8BAABkcnMvZTJvRG9jLnhtbFBL&#10;BQYAAAAABgAGAFkBAADFBQAAAAA=&#10;">
              <v:fill on="f" focussize="0,0"/>
              <v:stroke on="f" weight="0.5pt"/>
              <v:imagedata o:title=""/>
              <o:lock v:ext="edit" aspectratio="f"/>
              <v:textbox inset="0mm,0mm,0mm,0mm" style="mso-fit-shape-to-text:t;">
                <w:txbxContent>
                  <w:p w14:paraId="32DC3D22">
                    <w:pPr>
                      <w:pStyle w:val="4"/>
                    </w:pPr>
                    <w:r>
                      <w:fldChar w:fldCharType="begin"/>
                    </w:r>
                    <w:r>
                      <w:instrText xml:space="preserve"> PAGE  \* MERGEFORMAT </w:instrText>
                    </w:r>
                    <w:r>
                      <w:fldChar w:fldCharType="separate"/>
                    </w:r>
                    <w:r>
                      <w:t>13</w:t>
                    </w:r>
                    <w:r>
                      <w:fldChar w:fldCharType="end"/>
                    </w:r>
                  </w:p>
                </w:txbxContent>
              </v:textbox>
            </v:shape>
          </w:pict>
        </mc:Fallback>
      </mc:AlternateContent>
    </w:r>
  </w:p>
</w:ftr>
</file>

<file path=word/footer1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1462AE">
    <w:pPr>
      <w:spacing w:line="170" w:lineRule="auto"/>
      <w:ind w:left="4053"/>
      <w:rPr>
        <w:rFonts w:ascii="仿宋" w:hAnsi="仿宋" w:eastAsia="仿宋" w:cs="仿宋"/>
        <w:sz w:val="18"/>
        <w:szCs w:val="18"/>
      </w:rPr>
    </w:pPr>
    <w:r>
      <w:rPr>
        <w:sz w:val="18"/>
      </w:rPr>
      <mc:AlternateContent>
        <mc:Choice Requires="wps">
          <w:drawing>
            <wp:anchor distT="0" distB="0" distL="114300" distR="114300" simplePos="0" relativeHeight="25175756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68" name="文本框 136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6DB7E72">
                          <w:pPr>
                            <w:pStyle w:val="4"/>
                          </w:pPr>
                          <w:r>
                            <w:fldChar w:fldCharType="begin"/>
                          </w:r>
                          <w:r>
                            <w:instrText xml:space="preserve"> PAGE  \* MERGEFORMAT </w:instrText>
                          </w:r>
                          <w:r>
                            <w:fldChar w:fldCharType="separate"/>
                          </w:r>
                          <w:r>
                            <w:t>110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575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HiOHDNAIAAGcEAAAOAAAAAAAAAAEAIAAAAB8BAABkcnMvZTJvRG9jLnhtbFBL&#10;BQYAAAAABgAGAFkBAADFBQAAAAA=&#10;">
              <v:fill on="f" focussize="0,0"/>
              <v:stroke on="f" weight="0.5pt"/>
              <v:imagedata o:title=""/>
              <o:lock v:ext="edit" aspectratio="f"/>
              <v:textbox inset="0mm,0mm,0mm,0mm" style="mso-fit-shape-to-text:t;">
                <w:txbxContent>
                  <w:p w14:paraId="76DB7E72">
                    <w:pPr>
                      <w:pStyle w:val="4"/>
                    </w:pPr>
                    <w:r>
                      <w:fldChar w:fldCharType="begin"/>
                    </w:r>
                    <w:r>
                      <w:instrText xml:space="preserve"> PAGE  \* MERGEFORMAT </w:instrText>
                    </w:r>
                    <w:r>
                      <w:fldChar w:fldCharType="separate"/>
                    </w:r>
                    <w:r>
                      <w:t>110</w:t>
                    </w:r>
                    <w:r>
                      <w:fldChar w:fldCharType="end"/>
                    </w:r>
                  </w:p>
                </w:txbxContent>
              </v:textbox>
            </v:shape>
          </w:pict>
        </mc:Fallback>
      </mc:AlternateContent>
    </w:r>
  </w:p>
</w:ftr>
</file>

<file path=word/footer1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412AC8">
    <w:pPr>
      <w:spacing w:line="170" w:lineRule="auto"/>
      <w:ind w:left="4053"/>
      <w:rPr>
        <w:rFonts w:ascii="仿宋" w:hAnsi="仿宋" w:eastAsia="仿宋" w:cs="仿宋"/>
        <w:sz w:val="18"/>
        <w:szCs w:val="18"/>
      </w:rPr>
    </w:pPr>
    <w:r>
      <w:rPr>
        <w:sz w:val="18"/>
      </w:rPr>
      <mc:AlternateContent>
        <mc:Choice Requires="wps">
          <w:drawing>
            <wp:anchor distT="0" distB="0" distL="114300" distR="114300" simplePos="0" relativeHeight="251758592" behindDoc="0" locked="0" layoutInCell="1" allowOverlap="1">
              <wp:simplePos x="0" y="0"/>
              <wp:positionH relativeFrom="margin">
                <wp:align>center</wp:align>
              </wp:positionH>
              <wp:positionV relativeFrom="paragraph">
                <wp:posOffset>0</wp:posOffset>
              </wp:positionV>
              <wp:extent cx="1828800" cy="1828800"/>
              <wp:effectExtent l="0" t="0" r="0" b="0"/>
              <wp:wrapNone/>
              <wp:docPr id="1369" name="文本框 136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B5F1201">
                          <w:pPr>
                            <w:pStyle w:val="4"/>
                          </w:pPr>
                          <w:r>
                            <w:fldChar w:fldCharType="begin"/>
                          </w:r>
                          <w:r>
                            <w:instrText xml:space="preserve"> PAGE  \* MERGEFORMAT </w:instrText>
                          </w:r>
                          <w:r>
                            <w:fldChar w:fldCharType="separate"/>
                          </w:r>
                          <w:r>
                            <w:t>111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585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lKW+HTUCAABnBAAADgAAAAAAAAABACAAAAAfAQAAZHJzL2Uyb0RvYy54bWxQ&#10;SwUGAAAAAAYABgBZAQAAxgUAAAAA&#10;">
              <v:fill on="f" focussize="0,0"/>
              <v:stroke on="f" weight="0.5pt"/>
              <v:imagedata o:title=""/>
              <o:lock v:ext="edit" aspectratio="f"/>
              <v:textbox inset="0mm,0mm,0mm,0mm" style="mso-fit-shape-to-text:t;">
                <w:txbxContent>
                  <w:p w14:paraId="5B5F1201">
                    <w:pPr>
                      <w:pStyle w:val="4"/>
                    </w:pPr>
                    <w:r>
                      <w:fldChar w:fldCharType="begin"/>
                    </w:r>
                    <w:r>
                      <w:instrText xml:space="preserve"> PAGE  \* MERGEFORMAT </w:instrText>
                    </w:r>
                    <w:r>
                      <w:fldChar w:fldCharType="separate"/>
                    </w:r>
                    <w:r>
                      <w:t>111</w:t>
                    </w:r>
                    <w:r>
                      <w:fldChar w:fldCharType="end"/>
                    </w:r>
                  </w:p>
                </w:txbxContent>
              </v:textbox>
            </v:shape>
          </w:pict>
        </mc:Fallback>
      </mc:AlternateContent>
    </w:r>
  </w:p>
</w:ftr>
</file>

<file path=word/footer1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E025B8">
    <w:pPr>
      <w:spacing w:line="169" w:lineRule="auto"/>
      <w:ind w:left="4053"/>
      <w:rPr>
        <w:rFonts w:ascii="仿宋" w:hAnsi="仿宋" w:eastAsia="仿宋" w:cs="仿宋"/>
        <w:sz w:val="18"/>
        <w:szCs w:val="18"/>
      </w:rPr>
    </w:pPr>
    <w:r>
      <w:rPr>
        <w:sz w:val="18"/>
      </w:rPr>
      <mc:AlternateContent>
        <mc:Choice Requires="wps">
          <w:drawing>
            <wp:anchor distT="0" distB="0" distL="114300" distR="114300" simplePos="0" relativeHeight="251759616" behindDoc="0" locked="0" layoutInCell="1" allowOverlap="1">
              <wp:simplePos x="0" y="0"/>
              <wp:positionH relativeFrom="margin">
                <wp:align>center</wp:align>
              </wp:positionH>
              <wp:positionV relativeFrom="paragraph">
                <wp:posOffset>0</wp:posOffset>
              </wp:positionV>
              <wp:extent cx="1828800" cy="1828800"/>
              <wp:effectExtent l="0" t="0" r="0" b="0"/>
              <wp:wrapNone/>
              <wp:docPr id="1370" name="文本框 137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4CD65D0">
                          <w:pPr>
                            <w:pStyle w:val="4"/>
                          </w:pPr>
                          <w:r>
                            <w:fldChar w:fldCharType="begin"/>
                          </w:r>
                          <w:r>
                            <w:instrText xml:space="preserve"> PAGE  \* MERGEFORMAT </w:instrText>
                          </w:r>
                          <w:r>
                            <w:fldChar w:fldCharType="separate"/>
                          </w:r>
                          <w:r>
                            <w:t>112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596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p4c0DNAIAAGcEAAAOAAAAAAAAAAEAIAAAAB8BAABkcnMvZTJvRG9jLnhtbFBL&#10;BQYAAAAABgAGAFkBAADFBQAAAAA=&#10;">
              <v:fill on="f" focussize="0,0"/>
              <v:stroke on="f" weight="0.5pt"/>
              <v:imagedata o:title=""/>
              <o:lock v:ext="edit" aspectratio="f"/>
              <v:textbox inset="0mm,0mm,0mm,0mm" style="mso-fit-shape-to-text:t;">
                <w:txbxContent>
                  <w:p w14:paraId="64CD65D0">
                    <w:pPr>
                      <w:pStyle w:val="4"/>
                    </w:pPr>
                    <w:r>
                      <w:fldChar w:fldCharType="begin"/>
                    </w:r>
                    <w:r>
                      <w:instrText xml:space="preserve"> PAGE  \* MERGEFORMAT </w:instrText>
                    </w:r>
                    <w:r>
                      <w:fldChar w:fldCharType="separate"/>
                    </w:r>
                    <w:r>
                      <w:t>112</w:t>
                    </w:r>
                    <w:r>
                      <w:fldChar w:fldCharType="end"/>
                    </w:r>
                  </w:p>
                </w:txbxContent>
              </v:textbox>
            </v:shape>
          </w:pict>
        </mc:Fallback>
      </mc:AlternateContent>
    </w:r>
  </w:p>
</w:ftr>
</file>

<file path=word/footer1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DF1544">
    <w:pPr>
      <w:spacing w:line="169" w:lineRule="auto"/>
      <w:ind w:left="4053"/>
      <w:rPr>
        <w:rFonts w:ascii="仿宋" w:hAnsi="仿宋" w:eastAsia="仿宋" w:cs="仿宋"/>
        <w:sz w:val="18"/>
        <w:szCs w:val="18"/>
      </w:rPr>
    </w:pPr>
    <w:r>
      <w:rPr>
        <w:sz w:val="18"/>
      </w:rPr>
      <mc:AlternateContent>
        <mc:Choice Requires="wps">
          <w:drawing>
            <wp:anchor distT="0" distB="0" distL="114300" distR="114300" simplePos="0" relativeHeight="2517606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371" name="文本框 137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1812BF8">
                          <w:pPr>
                            <w:pStyle w:val="4"/>
                          </w:pPr>
                          <w:r>
                            <w:fldChar w:fldCharType="begin"/>
                          </w:r>
                          <w:r>
                            <w:instrText xml:space="preserve"> PAGE  \* MERGEFORMAT </w:instrText>
                          </w:r>
                          <w:r>
                            <w:fldChar w:fldCharType="separate"/>
                          </w:r>
                          <w:r>
                            <w:t>113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606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6zJLdNAIAAGcEAAAOAAAAAAAAAAEAIAAAAB8BAABkcnMvZTJvRG9jLnhtbFBL&#10;BQYAAAAABgAGAFkBAADFBQAAAAA=&#10;">
              <v:fill on="f" focussize="0,0"/>
              <v:stroke on="f" weight="0.5pt"/>
              <v:imagedata o:title=""/>
              <o:lock v:ext="edit" aspectratio="f"/>
              <v:textbox inset="0mm,0mm,0mm,0mm" style="mso-fit-shape-to-text:t;">
                <w:txbxContent>
                  <w:p w14:paraId="21812BF8">
                    <w:pPr>
                      <w:pStyle w:val="4"/>
                    </w:pPr>
                    <w:r>
                      <w:fldChar w:fldCharType="begin"/>
                    </w:r>
                    <w:r>
                      <w:instrText xml:space="preserve"> PAGE  \* MERGEFORMAT </w:instrText>
                    </w:r>
                    <w:r>
                      <w:fldChar w:fldCharType="separate"/>
                    </w:r>
                    <w:r>
                      <w:t>113</w:t>
                    </w:r>
                    <w:r>
                      <w:fldChar w:fldCharType="end"/>
                    </w:r>
                  </w:p>
                </w:txbxContent>
              </v:textbox>
            </v:shape>
          </w:pict>
        </mc:Fallback>
      </mc:AlternateContent>
    </w:r>
  </w:p>
</w:ftr>
</file>

<file path=word/footer1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9646E8">
    <w:pPr>
      <w:spacing w:line="170" w:lineRule="auto"/>
      <w:ind w:left="4053"/>
      <w:rPr>
        <w:rFonts w:ascii="仿宋" w:hAnsi="仿宋" w:eastAsia="仿宋" w:cs="仿宋"/>
        <w:sz w:val="18"/>
        <w:szCs w:val="18"/>
      </w:rPr>
    </w:pPr>
    <w:r>
      <w:rPr>
        <w:sz w:val="18"/>
      </w:rPr>
      <mc:AlternateContent>
        <mc:Choice Requires="wps">
          <w:drawing>
            <wp:anchor distT="0" distB="0" distL="114300" distR="114300" simplePos="0" relativeHeight="2517616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372" name="文本框 137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D39041E">
                          <w:pPr>
                            <w:pStyle w:val="4"/>
                          </w:pPr>
                          <w:r>
                            <w:fldChar w:fldCharType="begin"/>
                          </w:r>
                          <w:r>
                            <w:instrText xml:space="preserve"> PAGE  \* MERGEFORMAT </w:instrText>
                          </w:r>
                          <w:r>
                            <w:fldChar w:fldCharType="separate"/>
                          </w:r>
                          <w:r>
                            <w:t>114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616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zr0CZDUCAABnBAAADgAAAAAAAAABACAAAAAfAQAAZHJzL2Uyb0RvYy54bWxQ&#10;SwUGAAAAAAYABgBZAQAAxgUAAAAA&#10;">
              <v:fill on="f" focussize="0,0"/>
              <v:stroke on="f" weight="0.5pt"/>
              <v:imagedata o:title=""/>
              <o:lock v:ext="edit" aspectratio="f"/>
              <v:textbox inset="0mm,0mm,0mm,0mm" style="mso-fit-shape-to-text:t;">
                <w:txbxContent>
                  <w:p w14:paraId="1D39041E">
                    <w:pPr>
                      <w:pStyle w:val="4"/>
                    </w:pPr>
                    <w:r>
                      <w:fldChar w:fldCharType="begin"/>
                    </w:r>
                    <w:r>
                      <w:instrText xml:space="preserve"> PAGE  \* MERGEFORMAT </w:instrText>
                    </w:r>
                    <w:r>
                      <w:fldChar w:fldCharType="separate"/>
                    </w:r>
                    <w:r>
                      <w:t>114</w:t>
                    </w:r>
                    <w:r>
                      <w:fldChar w:fldCharType="end"/>
                    </w:r>
                  </w:p>
                </w:txbxContent>
              </v:textbox>
            </v:shape>
          </w:pict>
        </mc:Fallback>
      </mc:AlternateContent>
    </w:r>
  </w:p>
</w:ftr>
</file>

<file path=word/footer1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7C29F5">
    <w:pPr>
      <w:spacing w:line="169" w:lineRule="auto"/>
      <w:ind w:left="4053"/>
      <w:rPr>
        <w:rFonts w:ascii="仿宋" w:hAnsi="仿宋" w:eastAsia="仿宋" w:cs="仿宋"/>
        <w:sz w:val="18"/>
        <w:szCs w:val="18"/>
      </w:rPr>
    </w:pPr>
    <w:r>
      <w:rPr>
        <w:sz w:val="18"/>
      </w:rPr>
      <mc:AlternateContent>
        <mc:Choice Requires="wps">
          <w:drawing>
            <wp:anchor distT="0" distB="0" distL="114300" distR="114300" simplePos="0" relativeHeight="2517626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73" name="文本框 137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C59F82C">
                          <w:pPr>
                            <w:pStyle w:val="4"/>
                          </w:pPr>
                          <w:r>
                            <w:fldChar w:fldCharType="begin"/>
                          </w:r>
                          <w:r>
                            <w:instrText xml:space="preserve"> PAGE  \* MERGEFORMAT </w:instrText>
                          </w:r>
                          <w:r>
                            <w:fldChar w:fldCharType="separate"/>
                          </w:r>
                          <w:r>
                            <w:t>115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626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3ZBdujUCAABnBAAADgAAAAAAAAABACAAAAAfAQAAZHJzL2Uyb0RvYy54bWxQ&#10;SwUGAAAAAAYABgBZAQAAxgUAAAAA&#10;">
              <v:fill on="f" focussize="0,0"/>
              <v:stroke on="f" weight="0.5pt"/>
              <v:imagedata o:title=""/>
              <o:lock v:ext="edit" aspectratio="f"/>
              <v:textbox inset="0mm,0mm,0mm,0mm" style="mso-fit-shape-to-text:t;">
                <w:txbxContent>
                  <w:p w14:paraId="7C59F82C">
                    <w:pPr>
                      <w:pStyle w:val="4"/>
                    </w:pPr>
                    <w:r>
                      <w:fldChar w:fldCharType="begin"/>
                    </w:r>
                    <w:r>
                      <w:instrText xml:space="preserve"> PAGE  \* MERGEFORMAT </w:instrText>
                    </w:r>
                    <w:r>
                      <w:fldChar w:fldCharType="separate"/>
                    </w:r>
                    <w:r>
                      <w:t>115</w:t>
                    </w:r>
                    <w:r>
                      <w:fldChar w:fldCharType="end"/>
                    </w:r>
                  </w:p>
                </w:txbxContent>
              </v:textbox>
            </v:shape>
          </w:pict>
        </mc:Fallback>
      </mc:AlternateContent>
    </w:r>
  </w:p>
</w:ftr>
</file>

<file path=word/footer1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EA2D40">
    <w:pPr>
      <w:spacing w:line="170" w:lineRule="auto"/>
      <w:ind w:left="4053"/>
      <w:rPr>
        <w:rFonts w:ascii="仿宋" w:hAnsi="仿宋" w:eastAsia="仿宋" w:cs="仿宋"/>
        <w:sz w:val="18"/>
        <w:szCs w:val="18"/>
      </w:rPr>
    </w:pPr>
    <w:r>
      <w:rPr>
        <w:sz w:val="18"/>
      </w:rPr>
      <mc:AlternateContent>
        <mc:Choice Requires="wps">
          <w:drawing>
            <wp:anchor distT="0" distB="0" distL="114300" distR="114300" simplePos="0" relativeHeight="2517637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374" name="文本框 137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31BA888">
                          <w:pPr>
                            <w:pStyle w:val="4"/>
                          </w:pPr>
                          <w:r>
                            <w:fldChar w:fldCharType="begin"/>
                          </w:r>
                          <w:r>
                            <w:instrText xml:space="preserve"> PAGE  \* MERGEFORMAT </w:instrText>
                          </w:r>
                          <w:r>
                            <w:fldChar w:fldCharType="separate"/>
                          </w:r>
                          <w:r>
                            <w:t>116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637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s0lY7tAAAAAFAQAADwAAAAAAAAABACAAAAAiAAAAZHJzL2Rvd25yZXYueG1sUEsB&#10;AhQAFAAAAAgAh07iQGdZU8w2AgAAZwQAAA4AAAAAAAAAAQAgAAAAHwEAAGRycy9lMm9Eb2MueG1s&#10;UEsFBgAAAAAGAAYAWQEAAMcFAAAAAA==&#10;">
              <v:fill on="f" focussize="0,0"/>
              <v:stroke on="f" weight="0.5pt"/>
              <v:imagedata o:title=""/>
              <o:lock v:ext="edit" aspectratio="f"/>
              <v:textbox inset="0mm,0mm,0mm,0mm" style="mso-fit-shape-to-text:t;">
                <w:txbxContent>
                  <w:p w14:paraId="731BA888">
                    <w:pPr>
                      <w:pStyle w:val="4"/>
                    </w:pPr>
                    <w:r>
                      <w:fldChar w:fldCharType="begin"/>
                    </w:r>
                    <w:r>
                      <w:instrText xml:space="preserve"> PAGE  \* MERGEFORMAT </w:instrText>
                    </w:r>
                    <w:r>
                      <w:fldChar w:fldCharType="separate"/>
                    </w:r>
                    <w:r>
                      <w:t>116</w:t>
                    </w:r>
                    <w:r>
                      <w:fldChar w:fldCharType="end"/>
                    </w:r>
                  </w:p>
                </w:txbxContent>
              </v:textbox>
            </v:shape>
          </w:pict>
        </mc:Fallback>
      </mc:AlternateContent>
    </w:r>
  </w:p>
</w:ftr>
</file>

<file path=word/footer1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31DFBA">
    <w:pPr>
      <w:spacing w:line="170" w:lineRule="auto"/>
      <w:ind w:left="4053"/>
      <w:rPr>
        <w:rFonts w:ascii="仿宋" w:hAnsi="仿宋" w:eastAsia="仿宋" w:cs="仿宋"/>
        <w:sz w:val="18"/>
        <w:szCs w:val="18"/>
      </w:rPr>
    </w:pPr>
    <w:r>
      <w:rPr>
        <w:sz w:val="18"/>
      </w:rPr>
      <mc:AlternateContent>
        <mc:Choice Requires="wps">
          <w:drawing>
            <wp:anchor distT="0" distB="0" distL="114300" distR="114300" simplePos="0" relativeHeight="2517647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375" name="文本框 137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B6B48F1">
                          <w:pPr>
                            <w:pStyle w:val="4"/>
                          </w:pPr>
                          <w:r>
                            <w:fldChar w:fldCharType="begin"/>
                          </w:r>
                          <w:r>
                            <w:instrText xml:space="preserve"> PAGE  \* MERGEFORMAT </w:instrText>
                          </w:r>
                          <w:r>
                            <w:fldChar w:fldCharType="separate"/>
                          </w:r>
                          <w:r>
                            <w:t>117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647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s0lY7tAAAAAFAQAADwAAAAAAAAABACAAAAAiAAAAZHJzL2Rvd25yZXYueG1sUEsB&#10;AhQAFAAAAAgAh07iQHR0DBI2AgAAZwQAAA4AAAAAAAAAAQAgAAAAHwEAAGRycy9lMm9Eb2MueG1s&#10;UEsFBgAAAAAGAAYAWQEAAMcFAAAAAA==&#10;">
              <v:fill on="f" focussize="0,0"/>
              <v:stroke on="f" weight="0.5pt"/>
              <v:imagedata o:title=""/>
              <o:lock v:ext="edit" aspectratio="f"/>
              <v:textbox inset="0mm,0mm,0mm,0mm" style="mso-fit-shape-to-text:t;">
                <w:txbxContent>
                  <w:p w14:paraId="0B6B48F1">
                    <w:pPr>
                      <w:pStyle w:val="4"/>
                    </w:pPr>
                    <w:r>
                      <w:fldChar w:fldCharType="begin"/>
                    </w:r>
                    <w:r>
                      <w:instrText xml:space="preserve"> PAGE  \* MERGEFORMAT </w:instrText>
                    </w:r>
                    <w:r>
                      <w:fldChar w:fldCharType="separate"/>
                    </w:r>
                    <w:r>
                      <w:t>117</w:t>
                    </w:r>
                    <w:r>
                      <w:fldChar w:fldCharType="end"/>
                    </w:r>
                  </w:p>
                </w:txbxContent>
              </v:textbox>
            </v:shape>
          </w:pict>
        </mc:Fallback>
      </mc:AlternateContent>
    </w:r>
  </w:p>
</w:ftr>
</file>

<file path=word/footer1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73F0BE">
    <w:pPr>
      <w:spacing w:line="170" w:lineRule="auto"/>
      <w:ind w:left="4053"/>
      <w:rPr>
        <w:rFonts w:ascii="仿宋" w:hAnsi="仿宋" w:eastAsia="仿宋" w:cs="仿宋"/>
        <w:sz w:val="18"/>
        <w:szCs w:val="18"/>
      </w:rPr>
    </w:pPr>
    <w:r>
      <w:rPr>
        <w:sz w:val="18"/>
      </w:rPr>
      <mc:AlternateContent>
        <mc:Choice Requires="wps">
          <w:drawing>
            <wp:anchor distT="0" distB="0" distL="114300" distR="114300" simplePos="0" relativeHeight="2517657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376" name="文本框 137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3AE043A">
                          <w:pPr>
                            <w:pStyle w:val="4"/>
                          </w:pPr>
                          <w:r>
                            <w:fldChar w:fldCharType="begin"/>
                          </w:r>
                          <w:r>
                            <w:instrText xml:space="preserve"> PAGE  \* MERGEFORMAT </w:instrText>
                          </w:r>
                          <w:r>
                            <w:fldChar w:fldCharType="separate"/>
                          </w:r>
                          <w:r>
                            <w:t>118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657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AAWcqzUCAABnBAAADgAAAAAAAAABACAAAAAfAQAAZHJzL2Uyb0RvYy54bWxQ&#10;SwUGAAAAAAYABgBZAQAAxgUAAAAA&#10;">
              <v:fill on="f" focussize="0,0"/>
              <v:stroke on="f" weight="0.5pt"/>
              <v:imagedata o:title=""/>
              <o:lock v:ext="edit" aspectratio="f"/>
              <v:textbox inset="0mm,0mm,0mm,0mm" style="mso-fit-shape-to-text:t;">
                <w:txbxContent>
                  <w:p w14:paraId="13AE043A">
                    <w:pPr>
                      <w:pStyle w:val="4"/>
                    </w:pPr>
                    <w:r>
                      <w:fldChar w:fldCharType="begin"/>
                    </w:r>
                    <w:r>
                      <w:instrText xml:space="preserve"> PAGE  \* MERGEFORMAT </w:instrText>
                    </w:r>
                    <w:r>
                      <w:fldChar w:fldCharType="separate"/>
                    </w:r>
                    <w:r>
                      <w:t>118</w:t>
                    </w:r>
                    <w:r>
                      <w:fldChar w:fldCharType="end"/>
                    </w:r>
                  </w:p>
                </w:txbxContent>
              </v:textbox>
            </v:shape>
          </w:pict>
        </mc:Fallback>
      </mc:AlternateContent>
    </w:r>
  </w:p>
</w:ftr>
</file>

<file path=word/footer1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9A3206">
    <w:pPr>
      <w:spacing w:line="170" w:lineRule="auto"/>
      <w:ind w:left="4053"/>
      <w:rPr>
        <w:rFonts w:ascii="仿宋" w:hAnsi="仿宋" w:eastAsia="仿宋" w:cs="仿宋"/>
        <w:sz w:val="18"/>
        <w:szCs w:val="18"/>
      </w:rPr>
    </w:pPr>
    <w:r>
      <w:rPr>
        <w:sz w:val="18"/>
      </w:rPr>
      <mc:AlternateContent>
        <mc:Choice Requires="wps">
          <w:drawing>
            <wp:anchor distT="0" distB="0" distL="114300" distR="114300" simplePos="0" relativeHeight="2517667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377" name="文本框 137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A4C9849">
                          <w:pPr>
                            <w:pStyle w:val="4"/>
                          </w:pPr>
                          <w:r>
                            <w:fldChar w:fldCharType="begin"/>
                          </w:r>
                          <w:r>
                            <w:instrText xml:space="preserve"> PAGE  \* MERGEFORMAT </w:instrText>
                          </w:r>
                          <w:r>
                            <w:fldChar w:fldCharType="separate"/>
                          </w:r>
                          <w:r>
                            <w:t>119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667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s0lY7tAAAAAFAQAADwAAAAAAAAABACAAAAAiAAAAZHJzL2Rvd25yZXYueG1sUEsB&#10;AhQAFAAAAAgAh07iQBMow3U2AgAAZwQAAA4AAAAAAAAAAQAgAAAAHwEAAGRycy9lMm9Eb2MueG1s&#10;UEsFBgAAAAAGAAYAWQEAAMcFAAAAAA==&#10;">
              <v:fill on="f" focussize="0,0"/>
              <v:stroke on="f" weight="0.5pt"/>
              <v:imagedata o:title=""/>
              <o:lock v:ext="edit" aspectratio="f"/>
              <v:textbox inset="0mm,0mm,0mm,0mm" style="mso-fit-shape-to-text:t;">
                <w:txbxContent>
                  <w:p w14:paraId="5A4C9849">
                    <w:pPr>
                      <w:pStyle w:val="4"/>
                    </w:pPr>
                    <w:r>
                      <w:fldChar w:fldCharType="begin"/>
                    </w:r>
                    <w:r>
                      <w:instrText xml:space="preserve"> PAGE  \* MERGEFORMAT </w:instrText>
                    </w:r>
                    <w:r>
                      <w:fldChar w:fldCharType="separate"/>
                    </w:r>
                    <w:r>
                      <w:t>119</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7AE7EA">
    <w:pPr>
      <w:spacing w:line="174" w:lineRule="auto"/>
      <w:ind w:left="4123"/>
      <w:rPr>
        <w:rFonts w:ascii="Times New Roman" w:hAnsi="Times New Roman" w:eastAsia="Times New Roman" w:cs="Times New Roman"/>
        <w:sz w:val="21"/>
        <w:szCs w:val="21"/>
      </w:rPr>
    </w:pPr>
    <w:r>
      <w:rPr>
        <w:sz w:val="21"/>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59" name="文本框 125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6690741">
                          <w:pPr>
                            <w:pStyle w:val="4"/>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eENfbjUCAABnBAAADgAAAAAAAAABACAAAAAfAQAAZHJzL2Uyb0RvYy54bWxQ&#10;SwUGAAAAAAYABgBZAQAAxgUAAAAA&#10;">
              <v:fill on="f" focussize="0,0"/>
              <v:stroke on="f" weight="0.5pt"/>
              <v:imagedata o:title=""/>
              <o:lock v:ext="edit" aspectratio="f"/>
              <v:textbox inset="0mm,0mm,0mm,0mm" style="mso-fit-shape-to-text:t;">
                <w:txbxContent>
                  <w:p w14:paraId="56690741">
                    <w:pPr>
                      <w:pStyle w:val="4"/>
                    </w:pPr>
                    <w:r>
                      <w:fldChar w:fldCharType="begin"/>
                    </w:r>
                    <w:r>
                      <w:instrText xml:space="preserve"> PAGE  \* MERGEFORMAT </w:instrText>
                    </w:r>
                    <w:r>
                      <w:fldChar w:fldCharType="separate"/>
                    </w:r>
                    <w:r>
                      <w:t>1</w:t>
                    </w:r>
                    <w:r>
                      <w:fldChar w:fldCharType="end"/>
                    </w:r>
                  </w:p>
                </w:txbxContent>
              </v:textbox>
            </v:shape>
          </w:pict>
        </mc:Fallback>
      </mc:AlternateContent>
    </w:r>
    <w:r>
      <w:rPr>
        <w:rFonts w:ascii="Times New Roman" w:hAnsi="Times New Roman" w:eastAsia="Times New Roman" w:cs="Times New Roman"/>
        <w:sz w:val="21"/>
        <w:szCs w:val="21"/>
      </w:rPr>
      <w:t>7</w:t>
    </w:r>
  </w:p>
</w:ftr>
</file>

<file path=word/footer1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ED3A5E">
    <w:pPr>
      <w:spacing w:line="170" w:lineRule="auto"/>
      <w:ind w:left="4053"/>
      <w:rPr>
        <w:rFonts w:ascii="仿宋" w:hAnsi="仿宋" w:eastAsia="仿宋" w:cs="仿宋"/>
        <w:sz w:val="18"/>
        <w:szCs w:val="18"/>
      </w:rPr>
    </w:pPr>
    <w:r>
      <w:rPr>
        <w:sz w:val="18"/>
      </w:rPr>
      <mc:AlternateContent>
        <mc:Choice Requires="wps">
          <w:drawing>
            <wp:anchor distT="0" distB="0" distL="114300" distR="114300" simplePos="0" relativeHeight="2517678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78" name="文本框 137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91E4005">
                          <w:pPr>
                            <w:pStyle w:val="4"/>
                          </w:pPr>
                          <w:r>
                            <w:fldChar w:fldCharType="begin"/>
                          </w:r>
                          <w:r>
                            <w:instrText xml:space="preserve"> PAGE  \* MERGEFORMAT </w:instrText>
                          </w:r>
                          <w:r>
                            <w:fldChar w:fldCharType="separate"/>
                          </w:r>
                          <w:r>
                            <w:t>120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678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0loFHNAIAAGcEAAAOAAAAAAAAAAEAIAAAAB8BAABkcnMvZTJvRG9jLnhtbFBL&#10;BQYAAAAABgAGAFkBAADFBQAAAAA=&#10;">
              <v:fill on="f" focussize="0,0"/>
              <v:stroke on="f" weight="0.5pt"/>
              <v:imagedata o:title=""/>
              <o:lock v:ext="edit" aspectratio="f"/>
              <v:textbox inset="0mm,0mm,0mm,0mm" style="mso-fit-shape-to-text:t;">
                <w:txbxContent>
                  <w:p w14:paraId="691E4005">
                    <w:pPr>
                      <w:pStyle w:val="4"/>
                    </w:pPr>
                    <w:r>
                      <w:fldChar w:fldCharType="begin"/>
                    </w:r>
                    <w:r>
                      <w:instrText xml:space="preserve"> PAGE  \* MERGEFORMAT </w:instrText>
                    </w:r>
                    <w:r>
                      <w:fldChar w:fldCharType="separate"/>
                    </w:r>
                    <w:r>
                      <w:t>120</w:t>
                    </w:r>
                    <w:r>
                      <w:fldChar w:fldCharType="end"/>
                    </w:r>
                  </w:p>
                </w:txbxContent>
              </v:textbox>
            </v:shape>
          </w:pict>
        </mc:Fallback>
      </mc:AlternateContent>
    </w:r>
  </w:p>
</w:ftr>
</file>

<file path=word/footer1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8DB2E6">
    <w:pPr>
      <w:spacing w:line="170" w:lineRule="auto"/>
      <w:ind w:left="4053"/>
      <w:rPr>
        <w:rFonts w:ascii="仿宋" w:hAnsi="仿宋" w:eastAsia="仿宋" w:cs="仿宋"/>
        <w:sz w:val="18"/>
        <w:szCs w:val="18"/>
      </w:rPr>
    </w:pPr>
    <w:r>
      <w:rPr>
        <w:sz w:val="18"/>
      </w:rPr>
      <mc:AlternateContent>
        <mc:Choice Requires="wps">
          <w:drawing>
            <wp:anchor distT="0" distB="0" distL="114300" distR="114300" simplePos="0" relativeHeight="2517688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379" name="文本框 137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B2D1F42">
                          <w:pPr>
                            <w:pStyle w:val="4"/>
                          </w:pPr>
                          <w:r>
                            <w:fldChar w:fldCharType="begin"/>
                          </w:r>
                          <w:r>
                            <w:instrText xml:space="preserve"> PAGE  \* MERGEFORMAT </w:instrText>
                          </w:r>
                          <w:r>
                            <w:fldChar w:fldCharType="separate"/>
                          </w:r>
                          <w:r>
                            <w:t>121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688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s0lY7tAAAAAFAQAADwAAAAAAAAABACAAAAAiAAAAZHJzL2Rvd25yZXYueG1sUEsB&#10;AhQAFAAAAAgAh07iQGe73pk2AgAAZwQAAA4AAAAAAAAAAQAgAAAAHwEAAGRycy9lMm9Eb2MueG1s&#10;UEsFBgAAAAAGAAYAWQEAAMcFAAAAAA==&#10;">
              <v:fill on="f" focussize="0,0"/>
              <v:stroke on="f" weight="0.5pt"/>
              <v:imagedata o:title=""/>
              <o:lock v:ext="edit" aspectratio="f"/>
              <v:textbox inset="0mm,0mm,0mm,0mm" style="mso-fit-shape-to-text:t;">
                <w:txbxContent>
                  <w:p w14:paraId="0B2D1F42">
                    <w:pPr>
                      <w:pStyle w:val="4"/>
                    </w:pPr>
                    <w:r>
                      <w:fldChar w:fldCharType="begin"/>
                    </w:r>
                    <w:r>
                      <w:instrText xml:space="preserve"> PAGE  \* MERGEFORMAT </w:instrText>
                    </w:r>
                    <w:r>
                      <w:fldChar w:fldCharType="separate"/>
                    </w:r>
                    <w:r>
                      <w:t>121</w:t>
                    </w:r>
                    <w:r>
                      <w:fldChar w:fldCharType="end"/>
                    </w:r>
                  </w:p>
                </w:txbxContent>
              </v:textbox>
            </v:shape>
          </w:pict>
        </mc:Fallback>
      </mc:AlternateContent>
    </w:r>
  </w:p>
</w:ftr>
</file>

<file path=word/footer1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91E2D8">
    <w:pPr>
      <w:spacing w:line="170" w:lineRule="auto"/>
      <w:ind w:left="4053"/>
      <w:rPr>
        <w:rFonts w:ascii="仿宋" w:hAnsi="仿宋" w:eastAsia="仿宋" w:cs="仿宋"/>
        <w:sz w:val="18"/>
        <w:szCs w:val="18"/>
      </w:rPr>
    </w:pPr>
    <w:r>
      <w:rPr>
        <w:sz w:val="18"/>
      </w:rPr>
      <mc:AlternateContent>
        <mc:Choice Requires="wps">
          <w:drawing>
            <wp:anchor distT="0" distB="0" distL="114300" distR="114300" simplePos="0" relativeHeight="2517698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380" name="文本框 138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A4B731B">
                          <w:pPr>
                            <w:pStyle w:val="4"/>
                          </w:pPr>
                          <w:r>
                            <w:fldChar w:fldCharType="begin"/>
                          </w:r>
                          <w:r>
                            <w:instrText xml:space="preserve"> PAGE  \* MERGEFORMAT </w:instrText>
                          </w:r>
                          <w:r>
                            <w:fldChar w:fldCharType="separate"/>
                          </w:r>
                          <w:r>
                            <w:t>122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698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sVynQNAIAAGcEAAAOAAAAAAAAAAEAIAAAAB8BAABkcnMvZTJvRG9jLnhtbFBL&#10;BQYAAAAABgAGAFkBAADFBQAAAAA=&#10;">
              <v:fill on="f" focussize="0,0"/>
              <v:stroke on="f" weight="0.5pt"/>
              <v:imagedata o:title=""/>
              <o:lock v:ext="edit" aspectratio="f"/>
              <v:textbox inset="0mm,0mm,0mm,0mm" style="mso-fit-shape-to-text:t;">
                <w:txbxContent>
                  <w:p w14:paraId="4A4B731B">
                    <w:pPr>
                      <w:pStyle w:val="4"/>
                    </w:pPr>
                    <w:r>
                      <w:fldChar w:fldCharType="begin"/>
                    </w:r>
                    <w:r>
                      <w:instrText xml:space="preserve"> PAGE  \* MERGEFORMAT </w:instrText>
                    </w:r>
                    <w:r>
                      <w:fldChar w:fldCharType="separate"/>
                    </w:r>
                    <w:r>
                      <w:t>122</w:t>
                    </w:r>
                    <w:r>
                      <w:fldChar w:fldCharType="end"/>
                    </w:r>
                  </w:p>
                </w:txbxContent>
              </v:textbox>
            </v:shape>
          </w:pict>
        </mc:Fallback>
      </mc:AlternateContent>
    </w:r>
  </w:p>
</w:ftr>
</file>

<file path=word/footer1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5F5E50">
    <w:pPr>
      <w:spacing w:line="170" w:lineRule="auto"/>
      <w:ind w:left="4053"/>
      <w:rPr>
        <w:rFonts w:ascii="仿宋" w:hAnsi="仿宋" w:eastAsia="仿宋" w:cs="仿宋"/>
        <w:sz w:val="18"/>
        <w:szCs w:val="18"/>
      </w:rPr>
    </w:pPr>
    <w:r>
      <w:rPr>
        <w:sz w:val="18"/>
      </w:rPr>
      <mc:AlternateContent>
        <mc:Choice Requires="wps">
          <w:drawing>
            <wp:anchor distT="0" distB="0" distL="114300" distR="114300" simplePos="0" relativeHeight="2517708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381" name="文本框 138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EA864CC">
                          <w:pPr>
                            <w:pStyle w:val="4"/>
                          </w:pPr>
                          <w:r>
                            <w:fldChar w:fldCharType="begin"/>
                          </w:r>
                          <w:r>
                            <w:instrText xml:space="preserve"> PAGE  \* MERGEFORMAT </w:instrText>
                          </w:r>
                          <w:r>
                            <w:fldChar w:fldCharType="separate"/>
                          </w:r>
                          <w:r>
                            <w:t>123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708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enYONAIAAGcEAAAOAAAAAAAAAAEAIAAAAB8BAABkcnMvZTJvRG9jLnhtbFBL&#10;BQYAAAAABgAGAFkBAADFBQAAAAA=&#10;">
              <v:fill on="f" focussize="0,0"/>
              <v:stroke on="f" weight="0.5pt"/>
              <v:imagedata o:title=""/>
              <o:lock v:ext="edit" aspectratio="f"/>
              <v:textbox inset="0mm,0mm,0mm,0mm" style="mso-fit-shape-to-text:t;">
                <w:txbxContent>
                  <w:p w14:paraId="0EA864CC">
                    <w:pPr>
                      <w:pStyle w:val="4"/>
                    </w:pPr>
                    <w:r>
                      <w:fldChar w:fldCharType="begin"/>
                    </w:r>
                    <w:r>
                      <w:instrText xml:space="preserve"> PAGE  \* MERGEFORMAT </w:instrText>
                    </w:r>
                    <w:r>
                      <w:fldChar w:fldCharType="separate"/>
                    </w:r>
                    <w:r>
                      <w:t>123</w:t>
                    </w:r>
                    <w:r>
                      <w:fldChar w:fldCharType="end"/>
                    </w:r>
                  </w:p>
                </w:txbxContent>
              </v:textbox>
            </v:shape>
          </w:pict>
        </mc:Fallback>
      </mc:AlternateContent>
    </w:r>
  </w:p>
</w:ftr>
</file>

<file path=word/footer1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69C806">
    <w:pPr>
      <w:spacing w:line="170" w:lineRule="auto"/>
      <w:ind w:left="4053"/>
      <w:rPr>
        <w:rFonts w:ascii="仿宋" w:hAnsi="仿宋" w:eastAsia="仿宋" w:cs="仿宋"/>
        <w:sz w:val="18"/>
        <w:szCs w:val="18"/>
      </w:rPr>
    </w:pPr>
    <w:r>
      <w:rPr>
        <w:sz w:val="18"/>
      </w:rPr>
      <mc:AlternateContent>
        <mc:Choice Requires="wps">
          <w:drawing>
            <wp:anchor distT="0" distB="0" distL="114300" distR="114300" simplePos="0" relativeHeight="2517719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382" name="文本框 138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4CE0E66">
                          <w:pPr>
                            <w:pStyle w:val="4"/>
                          </w:pPr>
                          <w:r>
                            <w:fldChar w:fldCharType="begin"/>
                          </w:r>
                          <w:r>
                            <w:instrText xml:space="preserve"> PAGE  \* MERGEFORMAT </w:instrText>
                          </w:r>
                          <w:r>
                            <w:fldChar w:fldCharType="separate"/>
                          </w:r>
                          <w:r>
                            <w:t>124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719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iwvmtzUCAABnBAAADgAAAAAAAAABACAAAAAfAQAAZHJzL2Uyb0RvYy54bWxQ&#10;SwUGAAAAAAYABgBZAQAAxgUAAAAA&#10;">
              <v:fill on="f" focussize="0,0"/>
              <v:stroke on="f" weight="0.5pt"/>
              <v:imagedata o:title=""/>
              <o:lock v:ext="edit" aspectratio="f"/>
              <v:textbox inset="0mm,0mm,0mm,0mm" style="mso-fit-shape-to-text:t;">
                <w:txbxContent>
                  <w:p w14:paraId="54CE0E66">
                    <w:pPr>
                      <w:pStyle w:val="4"/>
                    </w:pPr>
                    <w:r>
                      <w:fldChar w:fldCharType="begin"/>
                    </w:r>
                    <w:r>
                      <w:instrText xml:space="preserve"> PAGE  \* MERGEFORMAT </w:instrText>
                    </w:r>
                    <w:r>
                      <w:fldChar w:fldCharType="separate"/>
                    </w:r>
                    <w:r>
                      <w:t>124</w:t>
                    </w:r>
                    <w:r>
                      <w:fldChar w:fldCharType="end"/>
                    </w:r>
                  </w:p>
                </w:txbxContent>
              </v:textbox>
            </v:shape>
          </w:pict>
        </mc:Fallback>
      </mc:AlternateContent>
    </w:r>
  </w:p>
</w:ftr>
</file>

<file path=word/footer1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4F9235">
    <w:pPr>
      <w:spacing w:line="170" w:lineRule="auto"/>
      <w:ind w:left="4053"/>
      <w:rPr>
        <w:rFonts w:ascii="仿宋" w:hAnsi="仿宋" w:eastAsia="仿宋" w:cs="仿宋"/>
        <w:sz w:val="18"/>
        <w:szCs w:val="18"/>
      </w:rPr>
    </w:pPr>
    <w:r>
      <w:rPr>
        <w:sz w:val="18"/>
      </w:rPr>
      <mc:AlternateContent>
        <mc:Choice Requires="wps">
          <w:drawing>
            <wp:anchor distT="0" distB="0" distL="114300" distR="114300" simplePos="0" relativeHeight="2517729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83" name="文本框 138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4B5B75E">
                          <w:pPr>
                            <w:pStyle w:val="4"/>
                          </w:pPr>
                          <w:r>
                            <w:fldChar w:fldCharType="begin"/>
                          </w:r>
                          <w:r>
                            <w:instrText xml:space="preserve"> PAGE  \* MERGEFORMAT </w:instrText>
                          </w:r>
                          <w:r>
                            <w:fldChar w:fldCharType="separate"/>
                          </w:r>
                          <w:r>
                            <w:t>125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729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mCa5aTUCAABnBAAADgAAAAAAAAABACAAAAAfAQAAZHJzL2Uyb0RvYy54bWxQ&#10;SwUGAAAAAAYABgBZAQAAxgUAAAAA&#10;">
              <v:fill on="f" focussize="0,0"/>
              <v:stroke on="f" weight="0.5pt"/>
              <v:imagedata o:title=""/>
              <o:lock v:ext="edit" aspectratio="f"/>
              <v:textbox inset="0mm,0mm,0mm,0mm" style="mso-fit-shape-to-text:t;">
                <w:txbxContent>
                  <w:p w14:paraId="14B5B75E">
                    <w:pPr>
                      <w:pStyle w:val="4"/>
                    </w:pPr>
                    <w:r>
                      <w:fldChar w:fldCharType="begin"/>
                    </w:r>
                    <w:r>
                      <w:instrText xml:space="preserve"> PAGE  \* MERGEFORMAT </w:instrText>
                    </w:r>
                    <w:r>
                      <w:fldChar w:fldCharType="separate"/>
                    </w:r>
                    <w:r>
                      <w:t>125</w:t>
                    </w:r>
                    <w:r>
                      <w:fldChar w:fldCharType="end"/>
                    </w:r>
                  </w:p>
                </w:txbxContent>
              </v:textbox>
            </v:shape>
          </w:pict>
        </mc:Fallback>
      </mc:AlternateContent>
    </w:r>
  </w:p>
</w:ftr>
</file>

<file path=word/footer1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12A4AF">
    <w:pPr>
      <w:spacing w:line="170" w:lineRule="auto"/>
      <w:ind w:left="4053"/>
      <w:rPr>
        <w:rFonts w:ascii="仿宋" w:hAnsi="仿宋" w:eastAsia="仿宋" w:cs="仿宋"/>
        <w:sz w:val="18"/>
        <w:szCs w:val="18"/>
      </w:rPr>
    </w:pPr>
    <w:r>
      <w:rPr>
        <w:sz w:val="18"/>
      </w:rPr>
      <mc:AlternateContent>
        <mc:Choice Requires="wps">
          <w:drawing>
            <wp:anchor distT="0" distB="0" distL="114300" distR="114300" simplePos="0" relativeHeight="2517739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384" name="文本框 138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15D1DDC">
                          <w:pPr>
                            <w:pStyle w:val="4"/>
                          </w:pPr>
                          <w:r>
                            <w:fldChar w:fldCharType="begin"/>
                          </w:r>
                          <w:r>
                            <w:instrText xml:space="preserve"> PAGE  \* MERGEFORMAT </w:instrText>
                          </w:r>
                          <w:r>
                            <w:fldChar w:fldCharType="separate"/>
                          </w:r>
                          <w:r>
                            <w:t>126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739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Iu+3HzUCAABnBAAADgAAAAAAAAABACAAAAAfAQAAZHJzL2Uyb0RvYy54bWxQ&#10;SwUGAAAAAAYABgBZAQAAxgUAAAAA&#10;">
              <v:fill on="f" focussize="0,0"/>
              <v:stroke on="f" weight="0.5pt"/>
              <v:imagedata o:title=""/>
              <o:lock v:ext="edit" aspectratio="f"/>
              <v:textbox inset="0mm,0mm,0mm,0mm" style="mso-fit-shape-to-text:t;">
                <w:txbxContent>
                  <w:p w14:paraId="415D1DDC">
                    <w:pPr>
                      <w:pStyle w:val="4"/>
                    </w:pPr>
                    <w:r>
                      <w:fldChar w:fldCharType="begin"/>
                    </w:r>
                    <w:r>
                      <w:instrText xml:space="preserve"> PAGE  \* MERGEFORMAT </w:instrText>
                    </w:r>
                    <w:r>
                      <w:fldChar w:fldCharType="separate"/>
                    </w:r>
                    <w:r>
                      <w:t>126</w:t>
                    </w:r>
                    <w:r>
                      <w:fldChar w:fldCharType="end"/>
                    </w:r>
                  </w:p>
                </w:txbxContent>
              </v:textbox>
            </v:shape>
          </w:pict>
        </mc:Fallback>
      </mc:AlternateContent>
    </w:r>
  </w:p>
</w:ftr>
</file>

<file path=word/footer1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4F0406">
    <w:pPr>
      <w:spacing w:line="170" w:lineRule="auto"/>
      <w:ind w:left="4053"/>
      <w:rPr>
        <w:rFonts w:ascii="仿宋" w:hAnsi="仿宋" w:eastAsia="仿宋" w:cs="仿宋"/>
        <w:sz w:val="18"/>
        <w:szCs w:val="18"/>
      </w:rPr>
    </w:pPr>
    <w:r>
      <w:rPr>
        <w:sz w:val="18"/>
      </w:rPr>
      <mc:AlternateContent>
        <mc:Choice Requires="wps">
          <w:drawing>
            <wp:anchor distT="0" distB="0" distL="114300" distR="114300" simplePos="0" relativeHeight="251774976" behindDoc="0" locked="0" layoutInCell="1" allowOverlap="1">
              <wp:simplePos x="0" y="0"/>
              <wp:positionH relativeFrom="margin">
                <wp:align>center</wp:align>
              </wp:positionH>
              <wp:positionV relativeFrom="paragraph">
                <wp:posOffset>0</wp:posOffset>
              </wp:positionV>
              <wp:extent cx="1828800" cy="1828800"/>
              <wp:effectExtent l="0" t="0" r="0" b="0"/>
              <wp:wrapNone/>
              <wp:docPr id="1385" name="文本框 138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085B5A4">
                          <w:pPr>
                            <w:pStyle w:val="4"/>
                          </w:pPr>
                          <w:r>
                            <w:fldChar w:fldCharType="begin"/>
                          </w:r>
                          <w:r>
                            <w:instrText xml:space="preserve"> PAGE  \* MERGEFORMAT </w:instrText>
                          </w:r>
                          <w:r>
                            <w:fldChar w:fldCharType="separate"/>
                          </w:r>
                          <w:r>
                            <w:t>127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749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McLowTUCAABnBAAADgAAAAAAAAABACAAAAAfAQAAZHJzL2Uyb0RvYy54bWxQ&#10;SwUGAAAAAAYABgBZAQAAxgUAAAAA&#10;">
              <v:fill on="f" focussize="0,0"/>
              <v:stroke on="f" weight="0.5pt"/>
              <v:imagedata o:title=""/>
              <o:lock v:ext="edit" aspectratio="f"/>
              <v:textbox inset="0mm,0mm,0mm,0mm" style="mso-fit-shape-to-text:t;">
                <w:txbxContent>
                  <w:p w14:paraId="4085B5A4">
                    <w:pPr>
                      <w:pStyle w:val="4"/>
                    </w:pPr>
                    <w:r>
                      <w:fldChar w:fldCharType="begin"/>
                    </w:r>
                    <w:r>
                      <w:instrText xml:space="preserve"> PAGE  \* MERGEFORMAT </w:instrText>
                    </w:r>
                    <w:r>
                      <w:fldChar w:fldCharType="separate"/>
                    </w:r>
                    <w:r>
                      <w:t>127</w:t>
                    </w:r>
                    <w:r>
                      <w:fldChar w:fldCharType="end"/>
                    </w:r>
                  </w:p>
                </w:txbxContent>
              </v:textbox>
            </v:shape>
          </w:pict>
        </mc:Fallback>
      </mc:AlternateContent>
    </w:r>
  </w:p>
</w:ftr>
</file>

<file path=word/footer1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1AB090">
    <w:pPr>
      <w:spacing w:line="170" w:lineRule="auto"/>
      <w:ind w:left="4053"/>
      <w:rPr>
        <w:rFonts w:ascii="仿宋" w:hAnsi="仿宋" w:eastAsia="仿宋" w:cs="仿宋"/>
        <w:sz w:val="18"/>
        <w:szCs w:val="18"/>
      </w:rPr>
    </w:pPr>
    <w:r>
      <w:rPr>
        <w:sz w:val="18"/>
      </w:rPr>
      <mc:AlternateContent>
        <mc:Choice Requires="wps">
          <w:drawing>
            <wp:anchor distT="0" distB="0" distL="114300" distR="114300" simplePos="0" relativeHeight="251776000" behindDoc="0" locked="0" layoutInCell="1" allowOverlap="1">
              <wp:simplePos x="0" y="0"/>
              <wp:positionH relativeFrom="margin">
                <wp:align>center</wp:align>
              </wp:positionH>
              <wp:positionV relativeFrom="paragraph">
                <wp:posOffset>0</wp:posOffset>
              </wp:positionV>
              <wp:extent cx="1828800" cy="1828800"/>
              <wp:effectExtent l="0" t="0" r="0" b="0"/>
              <wp:wrapNone/>
              <wp:docPr id="1386" name="文本框 138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EAF9A46">
                          <w:pPr>
                            <w:pStyle w:val="4"/>
                          </w:pPr>
                          <w:r>
                            <w:fldChar w:fldCharType="begin"/>
                          </w:r>
                          <w:r>
                            <w:instrText xml:space="preserve"> PAGE  \* MERGEFORMAT </w:instrText>
                          </w:r>
                          <w:r>
                            <w:fldChar w:fldCharType="separate"/>
                          </w:r>
                          <w:r>
                            <w:t>128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760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RbN4eDUCAABnBAAADgAAAAAAAAABACAAAAAfAQAAZHJzL2Uyb0RvYy54bWxQ&#10;SwUGAAAAAAYABgBZAQAAxgUAAAAA&#10;">
              <v:fill on="f" focussize="0,0"/>
              <v:stroke on="f" weight="0.5pt"/>
              <v:imagedata o:title=""/>
              <o:lock v:ext="edit" aspectratio="f"/>
              <v:textbox inset="0mm,0mm,0mm,0mm" style="mso-fit-shape-to-text:t;">
                <w:txbxContent>
                  <w:p w14:paraId="7EAF9A46">
                    <w:pPr>
                      <w:pStyle w:val="4"/>
                    </w:pPr>
                    <w:r>
                      <w:fldChar w:fldCharType="begin"/>
                    </w:r>
                    <w:r>
                      <w:instrText xml:space="preserve"> PAGE  \* MERGEFORMAT </w:instrText>
                    </w:r>
                    <w:r>
                      <w:fldChar w:fldCharType="separate"/>
                    </w:r>
                    <w:r>
                      <w:t>128</w:t>
                    </w:r>
                    <w:r>
                      <w:fldChar w:fldCharType="end"/>
                    </w:r>
                  </w:p>
                </w:txbxContent>
              </v:textbox>
            </v:shape>
          </w:pict>
        </mc:Fallback>
      </mc:AlternateContent>
    </w:r>
  </w:p>
</w:ftr>
</file>

<file path=word/footer1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9CC1C2">
    <w:pPr>
      <w:spacing w:line="170" w:lineRule="auto"/>
      <w:ind w:left="4053"/>
      <w:rPr>
        <w:rFonts w:ascii="仿宋" w:hAnsi="仿宋" w:eastAsia="仿宋" w:cs="仿宋"/>
        <w:sz w:val="18"/>
        <w:szCs w:val="18"/>
      </w:rPr>
    </w:pPr>
    <w:r>
      <w:rPr>
        <w:sz w:val="18"/>
      </w:rPr>
      <mc:AlternateContent>
        <mc:Choice Requires="wps">
          <w:drawing>
            <wp:anchor distT="0" distB="0" distL="114300" distR="114300" simplePos="0" relativeHeight="251777024" behindDoc="0" locked="0" layoutInCell="1" allowOverlap="1">
              <wp:simplePos x="0" y="0"/>
              <wp:positionH relativeFrom="margin">
                <wp:align>center</wp:align>
              </wp:positionH>
              <wp:positionV relativeFrom="paragraph">
                <wp:posOffset>0</wp:posOffset>
              </wp:positionV>
              <wp:extent cx="1828800" cy="1828800"/>
              <wp:effectExtent l="0" t="0" r="0" b="0"/>
              <wp:wrapNone/>
              <wp:docPr id="1387" name="文本框 138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7BF4EFC">
                          <w:pPr>
                            <w:pStyle w:val="4"/>
                          </w:pPr>
                          <w:r>
                            <w:fldChar w:fldCharType="begin"/>
                          </w:r>
                          <w:r>
                            <w:instrText xml:space="preserve"> PAGE  \* MERGEFORMAT </w:instrText>
                          </w:r>
                          <w:r>
                            <w:fldChar w:fldCharType="separate"/>
                          </w:r>
                          <w:r>
                            <w:t>129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770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Vp4npjUCAABnBAAADgAAAAAAAAABACAAAAAfAQAAZHJzL2Uyb0RvYy54bWxQ&#10;SwUGAAAAAAYABgBZAQAAxgUAAAAA&#10;">
              <v:fill on="f" focussize="0,0"/>
              <v:stroke on="f" weight="0.5pt"/>
              <v:imagedata o:title=""/>
              <o:lock v:ext="edit" aspectratio="f"/>
              <v:textbox inset="0mm,0mm,0mm,0mm" style="mso-fit-shape-to-text:t;">
                <w:txbxContent>
                  <w:p w14:paraId="27BF4EFC">
                    <w:pPr>
                      <w:pStyle w:val="4"/>
                    </w:pPr>
                    <w:r>
                      <w:fldChar w:fldCharType="begin"/>
                    </w:r>
                    <w:r>
                      <w:instrText xml:space="preserve"> PAGE  \* MERGEFORMAT </w:instrText>
                    </w:r>
                    <w:r>
                      <w:fldChar w:fldCharType="separate"/>
                    </w:r>
                    <w:r>
                      <w:t>129</w:t>
                    </w:r>
                    <w: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E6C356">
    <w:pPr>
      <w:spacing w:line="176" w:lineRule="auto"/>
      <w:ind w:left="4128"/>
      <w:rPr>
        <w:rFonts w:ascii="Times New Roman" w:hAnsi="Times New Roman" w:eastAsia="Times New Roman" w:cs="Times New Roman"/>
        <w:sz w:val="21"/>
        <w:szCs w:val="21"/>
      </w:rPr>
    </w:pPr>
    <w:r>
      <w:rPr>
        <w:sz w:val="21"/>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260" name="文本框 126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C28CD1D">
                          <w:pPr>
                            <w:pStyle w:val="4"/>
                          </w:pPr>
                          <w:r>
                            <w:fldChar w:fldCharType="begin"/>
                          </w:r>
                          <w:r>
                            <w:instrText xml:space="preserve"> PAGE  \* MERGEFORMAT </w:instrText>
                          </w:r>
                          <w:r>
                            <w:fldChar w:fldCharType="separate"/>
                          </w:r>
                          <w:r>
                            <w:t>16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OI8naMzAgAAZwQAAA4AAAAAAAAAAQAgAAAAHwEAAGRycy9lMm9Eb2MueG1sUEsF&#10;BgAAAAAGAAYAWQEAAMQFAAAAAA==&#10;">
              <v:fill on="f" focussize="0,0"/>
              <v:stroke on="f" weight="0.5pt"/>
              <v:imagedata o:title=""/>
              <o:lock v:ext="edit" aspectratio="f"/>
              <v:textbox inset="0mm,0mm,0mm,0mm" style="mso-fit-shape-to-text:t;">
                <w:txbxContent>
                  <w:p w14:paraId="6C28CD1D">
                    <w:pPr>
                      <w:pStyle w:val="4"/>
                    </w:pPr>
                    <w:r>
                      <w:fldChar w:fldCharType="begin"/>
                    </w:r>
                    <w:r>
                      <w:instrText xml:space="preserve"> PAGE  \* MERGEFORMAT </w:instrText>
                    </w:r>
                    <w:r>
                      <w:fldChar w:fldCharType="separate"/>
                    </w:r>
                    <w:r>
                      <w:t>16</w:t>
                    </w:r>
                    <w:r>
                      <w:fldChar w:fldCharType="end"/>
                    </w:r>
                  </w:p>
                </w:txbxContent>
              </v:textbox>
            </v:shape>
          </w:pict>
        </mc:Fallback>
      </mc:AlternateContent>
    </w:r>
  </w:p>
</w:ftr>
</file>

<file path=word/footer1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1E6DE1">
    <w:pPr>
      <w:spacing w:line="170" w:lineRule="auto"/>
      <w:ind w:left="4053"/>
      <w:rPr>
        <w:rFonts w:ascii="仿宋" w:hAnsi="仿宋" w:eastAsia="仿宋" w:cs="仿宋"/>
        <w:sz w:val="18"/>
        <w:szCs w:val="18"/>
      </w:rPr>
    </w:pPr>
    <w:r>
      <w:rPr>
        <w:sz w:val="18"/>
      </w:rPr>
      <mc:AlternateContent>
        <mc:Choice Requires="wps">
          <w:drawing>
            <wp:anchor distT="0" distB="0" distL="114300" distR="114300" simplePos="0" relativeHeight="25177804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88" name="文本框 138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305D381">
                          <w:pPr>
                            <w:pStyle w:val="4"/>
                          </w:pPr>
                          <w:r>
                            <w:fldChar w:fldCharType="begin"/>
                          </w:r>
                          <w:r>
                            <w:instrText xml:space="preserve"> PAGE  \* MERGEFORMAT </w:instrText>
                          </w:r>
                          <w:r>
                            <w:fldChar w:fldCharType="separate"/>
                          </w:r>
                          <w:r>
                            <w:t>130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780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xIGWUNAIAAGcEAAAOAAAAAAAAAAEAIAAAAB8BAABkcnMvZTJvRG9jLnhtbFBL&#10;BQYAAAAABgAGAFkBAADFBQAAAAA=&#10;">
              <v:fill on="f" focussize="0,0"/>
              <v:stroke on="f" weight="0.5pt"/>
              <v:imagedata o:title=""/>
              <o:lock v:ext="edit" aspectratio="f"/>
              <v:textbox inset="0mm,0mm,0mm,0mm" style="mso-fit-shape-to-text:t;">
                <w:txbxContent>
                  <w:p w14:paraId="6305D381">
                    <w:pPr>
                      <w:pStyle w:val="4"/>
                    </w:pPr>
                    <w:r>
                      <w:fldChar w:fldCharType="begin"/>
                    </w:r>
                    <w:r>
                      <w:instrText xml:space="preserve"> PAGE  \* MERGEFORMAT </w:instrText>
                    </w:r>
                    <w:r>
                      <w:fldChar w:fldCharType="separate"/>
                    </w:r>
                    <w:r>
                      <w:t>130</w:t>
                    </w:r>
                    <w:r>
                      <w:fldChar w:fldCharType="end"/>
                    </w:r>
                  </w:p>
                </w:txbxContent>
              </v:textbox>
            </v:shape>
          </w:pict>
        </mc:Fallback>
      </mc:AlternateContent>
    </w:r>
  </w:p>
</w:ftr>
</file>

<file path=word/footer1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2A621F">
    <w:pPr>
      <w:spacing w:line="170" w:lineRule="auto"/>
      <w:ind w:left="4053"/>
      <w:rPr>
        <w:rFonts w:ascii="仿宋" w:hAnsi="仿宋" w:eastAsia="仿宋" w:cs="仿宋"/>
        <w:sz w:val="18"/>
        <w:szCs w:val="18"/>
      </w:rPr>
    </w:pPr>
    <w:r>
      <w:rPr>
        <w:sz w:val="18"/>
      </w:rPr>
      <mc:AlternateContent>
        <mc:Choice Requires="wps">
          <w:drawing>
            <wp:anchor distT="0" distB="0" distL="114300" distR="114300" simplePos="0" relativeHeight="251779072" behindDoc="0" locked="0" layoutInCell="1" allowOverlap="1">
              <wp:simplePos x="0" y="0"/>
              <wp:positionH relativeFrom="margin">
                <wp:align>center</wp:align>
              </wp:positionH>
              <wp:positionV relativeFrom="paragraph">
                <wp:posOffset>0</wp:posOffset>
              </wp:positionV>
              <wp:extent cx="1828800" cy="1828800"/>
              <wp:effectExtent l="0" t="0" r="0" b="0"/>
              <wp:wrapNone/>
              <wp:docPr id="1389" name="文本框 138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CA77DEB">
                          <w:pPr>
                            <w:pStyle w:val="4"/>
                          </w:pPr>
                          <w:r>
                            <w:fldChar w:fldCharType="begin"/>
                          </w:r>
                          <w:r>
                            <w:instrText xml:space="preserve"> PAGE  \* MERGEFORMAT </w:instrText>
                          </w:r>
                          <w:r>
                            <w:fldChar w:fldCharType="separate"/>
                          </w:r>
                          <w:r>
                            <w:t>131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790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Ig06SjUCAABnBAAADgAAAAAAAAABACAAAAAfAQAAZHJzL2Uyb0RvYy54bWxQ&#10;SwUGAAAAAAYABgBZAQAAxgUAAAAA&#10;">
              <v:fill on="f" focussize="0,0"/>
              <v:stroke on="f" weight="0.5pt"/>
              <v:imagedata o:title=""/>
              <o:lock v:ext="edit" aspectratio="f"/>
              <v:textbox inset="0mm,0mm,0mm,0mm" style="mso-fit-shape-to-text:t;">
                <w:txbxContent>
                  <w:p w14:paraId="2CA77DEB">
                    <w:pPr>
                      <w:pStyle w:val="4"/>
                    </w:pPr>
                    <w:r>
                      <w:fldChar w:fldCharType="begin"/>
                    </w:r>
                    <w:r>
                      <w:instrText xml:space="preserve"> PAGE  \* MERGEFORMAT </w:instrText>
                    </w:r>
                    <w:r>
                      <w:fldChar w:fldCharType="separate"/>
                    </w:r>
                    <w:r>
                      <w:t>131</w:t>
                    </w:r>
                    <w:r>
                      <w:fldChar w:fldCharType="end"/>
                    </w:r>
                  </w:p>
                </w:txbxContent>
              </v:textbox>
            </v:shape>
          </w:pict>
        </mc:Fallback>
      </mc:AlternateContent>
    </w:r>
  </w:p>
</w:ftr>
</file>

<file path=word/footer1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128104">
    <w:pPr>
      <w:spacing w:line="169" w:lineRule="auto"/>
      <w:ind w:left="4053"/>
      <w:rPr>
        <w:rFonts w:ascii="仿宋" w:hAnsi="仿宋" w:eastAsia="仿宋" w:cs="仿宋"/>
        <w:sz w:val="18"/>
        <w:szCs w:val="18"/>
      </w:rPr>
    </w:pPr>
    <w:r>
      <w:rPr>
        <w:sz w:val="18"/>
      </w:rPr>
      <mc:AlternateContent>
        <mc:Choice Requires="wps">
          <w:drawing>
            <wp:anchor distT="0" distB="0" distL="114300" distR="114300" simplePos="0" relativeHeight="251780096" behindDoc="0" locked="0" layoutInCell="1" allowOverlap="1">
              <wp:simplePos x="0" y="0"/>
              <wp:positionH relativeFrom="margin">
                <wp:align>center</wp:align>
              </wp:positionH>
              <wp:positionV relativeFrom="paragraph">
                <wp:posOffset>0</wp:posOffset>
              </wp:positionV>
              <wp:extent cx="1828800" cy="1828800"/>
              <wp:effectExtent l="0" t="0" r="0" b="0"/>
              <wp:wrapNone/>
              <wp:docPr id="1390" name="文本框 139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46E98DE">
                          <w:pPr>
                            <w:pStyle w:val="4"/>
                          </w:pPr>
                          <w:r>
                            <w:fldChar w:fldCharType="begin"/>
                          </w:r>
                          <w:r>
                            <w:instrText xml:space="preserve"> PAGE  \* MERGEFORMAT </w:instrText>
                          </w:r>
                          <w:r>
                            <w:fldChar w:fldCharType="separate"/>
                          </w:r>
                          <w:r>
                            <w:t>132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800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fSUlUNAIAAGcEAAAOAAAAAAAAAAEAIAAAAB8BAABkcnMvZTJvRG9jLnhtbFBL&#10;BQYAAAAABgAGAFkBAADFBQAAAAA=&#10;">
              <v:fill on="f" focussize="0,0"/>
              <v:stroke on="f" weight="0.5pt"/>
              <v:imagedata o:title=""/>
              <o:lock v:ext="edit" aspectratio="f"/>
              <v:textbox inset="0mm,0mm,0mm,0mm" style="mso-fit-shape-to-text:t;">
                <w:txbxContent>
                  <w:p w14:paraId="046E98DE">
                    <w:pPr>
                      <w:pStyle w:val="4"/>
                    </w:pPr>
                    <w:r>
                      <w:fldChar w:fldCharType="begin"/>
                    </w:r>
                    <w:r>
                      <w:instrText xml:space="preserve"> PAGE  \* MERGEFORMAT </w:instrText>
                    </w:r>
                    <w:r>
                      <w:fldChar w:fldCharType="separate"/>
                    </w:r>
                    <w:r>
                      <w:t>132</w:t>
                    </w:r>
                    <w:r>
                      <w:fldChar w:fldCharType="end"/>
                    </w:r>
                  </w:p>
                </w:txbxContent>
              </v:textbox>
            </v:shape>
          </w:pict>
        </mc:Fallback>
      </mc:AlternateContent>
    </w:r>
  </w:p>
</w:ftr>
</file>

<file path=word/footer1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D02E0A">
    <w:pPr>
      <w:spacing w:line="169" w:lineRule="auto"/>
      <w:ind w:left="4053"/>
      <w:rPr>
        <w:rFonts w:ascii="仿宋" w:hAnsi="仿宋" w:eastAsia="仿宋" w:cs="仿宋"/>
        <w:sz w:val="18"/>
        <w:szCs w:val="18"/>
      </w:rPr>
    </w:pPr>
    <w:r>
      <w:rPr>
        <w:sz w:val="18"/>
      </w:rPr>
      <mc:AlternateContent>
        <mc:Choice Requires="wps">
          <w:drawing>
            <wp:anchor distT="0" distB="0" distL="114300" distR="114300" simplePos="0" relativeHeight="251781120" behindDoc="0" locked="0" layoutInCell="1" allowOverlap="1">
              <wp:simplePos x="0" y="0"/>
              <wp:positionH relativeFrom="margin">
                <wp:align>center</wp:align>
              </wp:positionH>
              <wp:positionV relativeFrom="paragraph">
                <wp:posOffset>0</wp:posOffset>
              </wp:positionV>
              <wp:extent cx="1828800" cy="1828800"/>
              <wp:effectExtent l="0" t="0" r="0" b="0"/>
              <wp:wrapNone/>
              <wp:docPr id="1391" name="文本框 139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3362987">
                          <w:pPr>
                            <w:pStyle w:val="4"/>
                          </w:pPr>
                          <w:r>
                            <w:fldChar w:fldCharType="begin"/>
                          </w:r>
                          <w:r>
                            <w:instrText xml:space="preserve"> PAGE  \* MERGEFORMAT </w:instrText>
                          </w:r>
                          <w:r>
                            <w:fldChar w:fldCharType="separate"/>
                          </w:r>
                          <w:r>
                            <w:t>133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811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MZBaKNAIAAGcEAAAOAAAAAAAAAAEAIAAAAB8BAABkcnMvZTJvRG9jLnhtbFBL&#10;BQYAAAAABgAGAFkBAADFBQAAAAA=&#10;">
              <v:fill on="f" focussize="0,0"/>
              <v:stroke on="f" weight="0.5pt"/>
              <v:imagedata o:title=""/>
              <o:lock v:ext="edit" aspectratio="f"/>
              <v:textbox inset="0mm,0mm,0mm,0mm" style="mso-fit-shape-to-text:t;">
                <w:txbxContent>
                  <w:p w14:paraId="63362987">
                    <w:pPr>
                      <w:pStyle w:val="4"/>
                    </w:pPr>
                    <w:r>
                      <w:fldChar w:fldCharType="begin"/>
                    </w:r>
                    <w:r>
                      <w:instrText xml:space="preserve"> PAGE  \* MERGEFORMAT </w:instrText>
                    </w:r>
                    <w:r>
                      <w:fldChar w:fldCharType="separate"/>
                    </w:r>
                    <w:r>
                      <w:t>133</w:t>
                    </w:r>
                    <w:r>
                      <w:fldChar w:fldCharType="end"/>
                    </w:r>
                  </w:p>
                </w:txbxContent>
              </v:textbox>
            </v:shape>
          </w:pict>
        </mc:Fallback>
      </mc:AlternateContent>
    </w:r>
  </w:p>
</w:ftr>
</file>

<file path=word/footer1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6DC652">
    <w:pPr>
      <w:spacing w:line="170" w:lineRule="auto"/>
      <w:ind w:left="4053"/>
      <w:rPr>
        <w:rFonts w:ascii="仿宋" w:hAnsi="仿宋" w:eastAsia="仿宋" w:cs="仿宋"/>
        <w:sz w:val="18"/>
        <w:szCs w:val="18"/>
      </w:rPr>
    </w:pPr>
    <w:r>
      <w:rPr>
        <w:sz w:val="18"/>
      </w:rPr>
      <mc:AlternateContent>
        <mc:Choice Requires="wps">
          <w:drawing>
            <wp:anchor distT="0" distB="0" distL="114300" distR="114300" simplePos="0" relativeHeight="251782144" behindDoc="0" locked="0" layoutInCell="1" allowOverlap="1">
              <wp:simplePos x="0" y="0"/>
              <wp:positionH relativeFrom="margin">
                <wp:align>center</wp:align>
              </wp:positionH>
              <wp:positionV relativeFrom="paragraph">
                <wp:posOffset>0</wp:posOffset>
              </wp:positionV>
              <wp:extent cx="1828800" cy="1828800"/>
              <wp:effectExtent l="0" t="0" r="0" b="0"/>
              <wp:wrapNone/>
              <wp:docPr id="1392" name="文本框 139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4DB8C74">
                          <w:pPr>
                            <w:pStyle w:val="4"/>
                          </w:pPr>
                          <w:r>
                            <w:fldChar w:fldCharType="begin"/>
                          </w:r>
                          <w:r>
                            <w:instrText xml:space="preserve"> PAGE  \* MERGEFORMAT </w:instrText>
                          </w:r>
                          <w:r>
                            <w:fldChar w:fldCharType="separate"/>
                          </w:r>
                          <w:r>
                            <w:t>134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821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eBWGMzUCAABnBAAADgAAAAAAAAABACAAAAAfAQAAZHJzL2Uyb0RvYy54bWxQ&#10;SwUGAAAAAAYABgBZAQAAxgUAAAAA&#10;">
              <v:fill on="f" focussize="0,0"/>
              <v:stroke on="f" weight="0.5pt"/>
              <v:imagedata o:title=""/>
              <o:lock v:ext="edit" aspectratio="f"/>
              <v:textbox inset="0mm,0mm,0mm,0mm" style="mso-fit-shape-to-text:t;">
                <w:txbxContent>
                  <w:p w14:paraId="24DB8C74">
                    <w:pPr>
                      <w:pStyle w:val="4"/>
                    </w:pPr>
                    <w:r>
                      <w:fldChar w:fldCharType="begin"/>
                    </w:r>
                    <w:r>
                      <w:instrText xml:space="preserve"> PAGE  \* MERGEFORMAT </w:instrText>
                    </w:r>
                    <w:r>
                      <w:fldChar w:fldCharType="separate"/>
                    </w:r>
                    <w:r>
                      <w:t>134</w:t>
                    </w:r>
                    <w:r>
                      <w:fldChar w:fldCharType="end"/>
                    </w:r>
                  </w:p>
                </w:txbxContent>
              </v:textbox>
            </v:shape>
          </w:pict>
        </mc:Fallback>
      </mc:AlternateContent>
    </w:r>
  </w:p>
</w:ftr>
</file>

<file path=word/footer1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D9D74C">
    <w:pPr>
      <w:spacing w:line="169" w:lineRule="auto"/>
      <w:ind w:left="4053"/>
      <w:rPr>
        <w:rFonts w:ascii="仿宋" w:hAnsi="仿宋" w:eastAsia="仿宋" w:cs="仿宋"/>
        <w:sz w:val="18"/>
        <w:szCs w:val="18"/>
      </w:rPr>
    </w:pPr>
    <w:r>
      <w:rPr>
        <w:sz w:val="18"/>
      </w:rPr>
      <mc:AlternateContent>
        <mc:Choice Requires="wps">
          <w:drawing>
            <wp:anchor distT="0" distB="0" distL="114300" distR="114300" simplePos="0" relativeHeight="25178316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93" name="文本框 139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25F72CF">
                          <w:pPr>
                            <w:pStyle w:val="4"/>
                          </w:pPr>
                          <w:r>
                            <w:fldChar w:fldCharType="begin"/>
                          </w:r>
                          <w:r>
                            <w:instrText xml:space="preserve"> PAGE  \* MERGEFORMAT </w:instrText>
                          </w:r>
                          <w:r>
                            <w:fldChar w:fldCharType="separate"/>
                          </w:r>
                          <w:r>
                            <w:t>135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831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azjZ7TUCAABnBAAADgAAAAAAAAABACAAAAAfAQAAZHJzL2Uyb0RvYy54bWxQ&#10;SwUGAAAAAAYABgBZAQAAxgUAAAAA&#10;">
              <v:fill on="f" focussize="0,0"/>
              <v:stroke on="f" weight="0.5pt"/>
              <v:imagedata o:title=""/>
              <o:lock v:ext="edit" aspectratio="f"/>
              <v:textbox inset="0mm,0mm,0mm,0mm" style="mso-fit-shape-to-text:t;">
                <w:txbxContent>
                  <w:p w14:paraId="725F72CF">
                    <w:pPr>
                      <w:pStyle w:val="4"/>
                    </w:pPr>
                    <w:r>
                      <w:fldChar w:fldCharType="begin"/>
                    </w:r>
                    <w:r>
                      <w:instrText xml:space="preserve"> PAGE  \* MERGEFORMAT </w:instrText>
                    </w:r>
                    <w:r>
                      <w:fldChar w:fldCharType="separate"/>
                    </w:r>
                    <w:r>
                      <w:t>135</w:t>
                    </w:r>
                    <w:r>
                      <w:fldChar w:fldCharType="end"/>
                    </w:r>
                  </w:p>
                </w:txbxContent>
              </v:textbox>
            </v:shape>
          </w:pict>
        </mc:Fallback>
      </mc:AlternateContent>
    </w:r>
  </w:p>
</w:ftr>
</file>

<file path=word/footer1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4E33F7">
    <w:pPr>
      <w:spacing w:line="170" w:lineRule="auto"/>
      <w:ind w:left="4053"/>
      <w:rPr>
        <w:rFonts w:ascii="仿宋" w:hAnsi="仿宋" w:eastAsia="仿宋" w:cs="仿宋"/>
        <w:sz w:val="18"/>
        <w:szCs w:val="18"/>
      </w:rPr>
    </w:pPr>
    <w:r>
      <w:rPr>
        <w:sz w:val="18"/>
      </w:rPr>
      <mc:AlternateContent>
        <mc:Choice Requires="wps">
          <w:drawing>
            <wp:anchor distT="0" distB="0" distL="114300" distR="114300" simplePos="0" relativeHeight="251784192" behindDoc="0" locked="0" layoutInCell="1" allowOverlap="1">
              <wp:simplePos x="0" y="0"/>
              <wp:positionH relativeFrom="margin">
                <wp:align>center</wp:align>
              </wp:positionH>
              <wp:positionV relativeFrom="paragraph">
                <wp:posOffset>0</wp:posOffset>
              </wp:positionV>
              <wp:extent cx="1828800" cy="1828800"/>
              <wp:effectExtent l="0" t="0" r="0" b="0"/>
              <wp:wrapNone/>
              <wp:docPr id="1394" name="文本框 139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18471E9">
                          <w:pPr>
                            <w:pStyle w:val="4"/>
                          </w:pPr>
                          <w:r>
                            <w:fldChar w:fldCharType="begin"/>
                          </w:r>
                          <w:r>
                            <w:instrText xml:space="preserve"> PAGE  \* MERGEFORMAT </w:instrText>
                          </w:r>
                          <w:r>
                            <w:fldChar w:fldCharType="separate"/>
                          </w:r>
                          <w:r>
                            <w:t>136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841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s0lY7tAAAAAFAQAADwAAAAAAAAABACAAAAAiAAAAZHJzL2Rvd25yZXYueG1sUEsB&#10;AhQAFAAAAAgAh07iQNHx15s2AgAAZwQAAA4AAAAAAAAAAQAgAAAAHwEAAGRycy9lMm9Eb2MueG1s&#10;UEsFBgAAAAAGAAYAWQEAAMcFAAAAAA==&#10;">
              <v:fill on="f" focussize="0,0"/>
              <v:stroke on="f" weight="0.5pt"/>
              <v:imagedata o:title=""/>
              <o:lock v:ext="edit" aspectratio="f"/>
              <v:textbox inset="0mm,0mm,0mm,0mm" style="mso-fit-shape-to-text:t;">
                <w:txbxContent>
                  <w:p w14:paraId="218471E9">
                    <w:pPr>
                      <w:pStyle w:val="4"/>
                    </w:pPr>
                    <w:r>
                      <w:fldChar w:fldCharType="begin"/>
                    </w:r>
                    <w:r>
                      <w:instrText xml:space="preserve"> PAGE  \* MERGEFORMAT </w:instrText>
                    </w:r>
                    <w:r>
                      <w:fldChar w:fldCharType="separate"/>
                    </w:r>
                    <w:r>
                      <w:t>136</w:t>
                    </w:r>
                    <w:r>
                      <w:fldChar w:fldCharType="end"/>
                    </w:r>
                  </w:p>
                </w:txbxContent>
              </v:textbox>
            </v:shape>
          </w:pict>
        </mc:Fallback>
      </mc:AlternateContent>
    </w:r>
  </w:p>
</w:ftr>
</file>

<file path=word/footer1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CF821A">
    <w:pPr>
      <w:spacing w:line="170" w:lineRule="auto"/>
      <w:ind w:left="4053"/>
      <w:rPr>
        <w:rFonts w:ascii="仿宋" w:hAnsi="仿宋" w:eastAsia="仿宋" w:cs="仿宋"/>
        <w:sz w:val="18"/>
        <w:szCs w:val="18"/>
      </w:rPr>
    </w:pPr>
    <w:r>
      <w:rPr>
        <w:sz w:val="18"/>
      </w:rPr>
      <mc:AlternateContent>
        <mc:Choice Requires="wps">
          <w:drawing>
            <wp:anchor distT="0" distB="0" distL="114300" distR="114300" simplePos="0" relativeHeight="251785216" behindDoc="0" locked="0" layoutInCell="1" allowOverlap="1">
              <wp:simplePos x="0" y="0"/>
              <wp:positionH relativeFrom="margin">
                <wp:align>center</wp:align>
              </wp:positionH>
              <wp:positionV relativeFrom="paragraph">
                <wp:posOffset>0</wp:posOffset>
              </wp:positionV>
              <wp:extent cx="1828800" cy="1828800"/>
              <wp:effectExtent l="0" t="0" r="0" b="0"/>
              <wp:wrapNone/>
              <wp:docPr id="1395" name="文本框 139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A7CE4D3">
                          <w:pPr>
                            <w:pStyle w:val="4"/>
                          </w:pPr>
                          <w:r>
                            <w:fldChar w:fldCharType="begin"/>
                          </w:r>
                          <w:r>
                            <w:instrText xml:space="preserve"> PAGE  \* MERGEFORMAT </w:instrText>
                          </w:r>
                          <w:r>
                            <w:fldChar w:fldCharType="separate"/>
                          </w:r>
                          <w:r>
                            <w:t>137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852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s0lY7tAAAAAFAQAADwAAAAAAAAABACAAAAAiAAAAZHJzL2Rvd25yZXYueG1sUEsB&#10;AhQAFAAAAAgAh07iQMLciEU2AgAAZwQAAA4AAAAAAAAAAQAgAAAAHwEAAGRycy9lMm9Eb2MueG1s&#10;UEsFBgAAAAAGAAYAWQEAAMcFAAAAAA==&#10;">
              <v:fill on="f" focussize="0,0"/>
              <v:stroke on="f" weight="0.5pt"/>
              <v:imagedata o:title=""/>
              <o:lock v:ext="edit" aspectratio="f"/>
              <v:textbox inset="0mm,0mm,0mm,0mm" style="mso-fit-shape-to-text:t;">
                <w:txbxContent>
                  <w:p w14:paraId="7A7CE4D3">
                    <w:pPr>
                      <w:pStyle w:val="4"/>
                    </w:pPr>
                    <w:r>
                      <w:fldChar w:fldCharType="begin"/>
                    </w:r>
                    <w:r>
                      <w:instrText xml:space="preserve"> PAGE  \* MERGEFORMAT </w:instrText>
                    </w:r>
                    <w:r>
                      <w:fldChar w:fldCharType="separate"/>
                    </w:r>
                    <w:r>
                      <w:t>137</w:t>
                    </w:r>
                    <w:r>
                      <w:fldChar w:fldCharType="end"/>
                    </w:r>
                  </w:p>
                </w:txbxContent>
              </v:textbox>
            </v:shape>
          </w:pict>
        </mc:Fallback>
      </mc:AlternateContent>
    </w:r>
  </w:p>
</w:ftr>
</file>

<file path=word/footer1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0AFC8A">
    <w:pPr>
      <w:spacing w:line="170" w:lineRule="auto"/>
      <w:ind w:left="4053"/>
      <w:rPr>
        <w:rFonts w:ascii="仿宋" w:hAnsi="仿宋" w:eastAsia="仿宋" w:cs="仿宋"/>
        <w:sz w:val="18"/>
        <w:szCs w:val="18"/>
      </w:rPr>
    </w:pPr>
    <w:r>
      <w:rPr>
        <w:sz w:val="18"/>
      </w:rPr>
      <mc:AlternateContent>
        <mc:Choice Requires="wps">
          <w:drawing>
            <wp:anchor distT="0" distB="0" distL="114300" distR="114300" simplePos="0" relativeHeight="251786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396" name="文本框 139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9E7D9EC">
                          <w:pPr>
                            <w:pStyle w:val="4"/>
                          </w:pPr>
                          <w:r>
                            <w:fldChar w:fldCharType="begin"/>
                          </w:r>
                          <w:r>
                            <w:instrText xml:space="preserve"> PAGE  \* MERGEFORMAT </w:instrText>
                          </w:r>
                          <w:r>
                            <w:fldChar w:fldCharType="separate"/>
                          </w:r>
                          <w:r>
                            <w:t>138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86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tq0Y/DUCAABnBAAADgAAAAAAAAABACAAAAAfAQAAZHJzL2Uyb0RvYy54bWxQ&#10;SwUGAAAAAAYABgBZAQAAxgUAAAAA&#10;">
              <v:fill on="f" focussize="0,0"/>
              <v:stroke on="f" weight="0.5pt"/>
              <v:imagedata o:title=""/>
              <o:lock v:ext="edit" aspectratio="f"/>
              <v:textbox inset="0mm,0mm,0mm,0mm" style="mso-fit-shape-to-text:t;">
                <w:txbxContent>
                  <w:p w14:paraId="09E7D9EC">
                    <w:pPr>
                      <w:pStyle w:val="4"/>
                    </w:pPr>
                    <w:r>
                      <w:fldChar w:fldCharType="begin"/>
                    </w:r>
                    <w:r>
                      <w:instrText xml:space="preserve"> PAGE  \* MERGEFORMAT </w:instrText>
                    </w:r>
                    <w:r>
                      <w:fldChar w:fldCharType="separate"/>
                    </w:r>
                    <w:r>
                      <w:t>138</w:t>
                    </w:r>
                    <w:r>
                      <w:fldChar w:fldCharType="end"/>
                    </w:r>
                  </w:p>
                </w:txbxContent>
              </v:textbox>
            </v:shape>
          </w:pict>
        </mc:Fallback>
      </mc:AlternateContent>
    </w:r>
  </w:p>
</w:ftr>
</file>

<file path=word/footer1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D24AEC">
    <w:pPr>
      <w:spacing w:line="170" w:lineRule="auto"/>
      <w:ind w:left="4053"/>
      <w:rPr>
        <w:rFonts w:ascii="仿宋" w:hAnsi="仿宋" w:eastAsia="仿宋" w:cs="仿宋"/>
        <w:sz w:val="18"/>
        <w:szCs w:val="18"/>
      </w:rPr>
    </w:pPr>
    <w:r>
      <w:rPr>
        <w:sz w:val="18"/>
      </w:rPr>
      <mc:AlternateContent>
        <mc:Choice Requires="wps">
          <w:drawing>
            <wp:anchor distT="0" distB="0" distL="114300" distR="114300" simplePos="0" relativeHeight="251787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397" name="文本框 139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F5FC4E4">
                          <w:pPr>
                            <w:pStyle w:val="4"/>
                          </w:pPr>
                          <w:r>
                            <w:fldChar w:fldCharType="begin"/>
                          </w:r>
                          <w:r>
                            <w:instrText xml:space="preserve"> PAGE  \* MERGEFORMAT </w:instrText>
                          </w:r>
                          <w:r>
                            <w:fldChar w:fldCharType="separate"/>
                          </w:r>
                          <w:r>
                            <w:t>139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87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s0lY7tAAAAAFAQAADwAAAAAAAAABACAAAAAiAAAAZHJzL2Rvd25yZXYueG1sUEsB&#10;AhQAFAAAAAgAh07iQKWARyI2AgAAZwQAAA4AAAAAAAAAAQAgAAAAHwEAAGRycy9lMm9Eb2MueG1s&#10;UEsFBgAAAAAGAAYAWQEAAMcFAAAAAA==&#10;">
              <v:fill on="f" focussize="0,0"/>
              <v:stroke on="f" weight="0.5pt"/>
              <v:imagedata o:title=""/>
              <o:lock v:ext="edit" aspectratio="f"/>
              <v:textbox inset="0mm,0mm,0mm,0mm" style="mso-fit-shape-to-text:t;">
                <w:txbxContent>
                  <w:p w14:paraId="1F5FC4E4">
                    <w:pPr>
                      <w:pStyle w:val="4"/>
                    </w:pPr>
                    <w:r>
                      <w:fldChar w:fldCharType="begin"/>
                    </w:r>
                    <w:r>
                      <w:instrText xml:space="preserve"> PAGE  \* MERGEFORMAT </w:instrText>
                    </w:r>
                    <w:r>
                      <w:fldChar w:fldCharType="separate"/>
                    </w:r>
                    <w:r>
                      <w:t>139</w:t>
                    </w:r>
                    <w: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B84C7C">
    <w:pPr>
      <w:spacing w:line="176" w:lineRule="auto"/>
      <w:ind w:left="4167"/>
      <w:rPr>
        <w:rFonts w:ascii="Times New Roman" w:hAnsi="Times New Roman" w:eastAsia="Times New Roman" w:cs="Times New Roman"/>
        <w:sz w:val="21"/>
        <w:szCs w:val="21"/>
      </w:rPr>
    </w:pPr>
    <w:r>
      <w:rPr>
        <w:sz w:val="21"/>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261" name="文本框 126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69E86A6">
                          <w:pPr>
                            <w:pStyle w:val="4"/>
                          </w:pPr>
                          <w:r>
                            <w:fldChar w:fldCharType="begin"/>
                          </w:r>
                          <w:r>
                            <w:instrText xml:space="preserve"> PAGE  \* MERGEFORMAT </w:instrText>
                          </w:r>
                          <w:r>
                            <w:fldChar w:fldCharType="separate"/>
                          </w:r>
                          <w:r>
                            <w:t>17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PERwn0zAgAAZwQAAA4AAAAAAAAAAQAgAAAAHwEAAGRycy9lMm9Eb2MueG1sUEsF&#10;BgAAAAAGAAYAWQEAAMQFAAAAAA==&#10;">
              <v:fill on="f" focussize="0,0"/>
              <v:stroke on="f" weight="0.5pt"/>
              <v:imagedata o:title=""/>
              <o:lock v:ext="edit" aspectratio="f"/>
              <v:textbox inset="0mm,0mm,0mm,0mm" style="mso-fit-shape-to-text:t;">
                <w:txbxContent>
                  <w:p w14:paraId="769E86A6">
                    <w:pPr>
                      <w:pStyle w:val="4"/>
                    </w:pPr>
                    <w:r>
                      <w:fldChar w:fldCharType="begin"/>
                    </w:r>
                    <w:r>
                      <w:instrText xml:space="preserve"> PAGE  \* MERGEFORMAT </w:instrText>
                    </w:r>
                    <w:r>
                      <w:fldChar w:fldCharType="separate"/>
                    </w:r>
                    <w:r>
                      <w:t>17</w:t>
                    </w:r>
                    <w:r>
                      <w:fldChar w:fldCharType="end"/>
                    </w:r>
                  </w:p>
                </w:txbxContent>
              </v:textbox>
            </v:shape>
          </w:pict>
        </mc:Fallback>
      </mc:AlternateContent>
    </w:r>
  </w:p>
</w:ftr>
</file>

<file path=word/footer1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A08342">
    <w:pPr>
      <w:spacing w:line="170" w:lineRule="auto"/>
      <w:ind w:left="4053"/>
      <w:rPr>
        <w:rFonts w:ascii="仿宋" w:hAnsi="仿宋" w:eastAsia="仿宋" w:cs="仿宋"/>
        <w:sz w:val="18"/>
        <w:szCs w:val="18"/>
      </w:rPr>
    </w:pPr>
    <w:r>
      <w:rPr>
        <w:sz w:val="18"/>
      </w:rPr>
      <mc:AlternateContent>
        <mc:Choice Requires="wps">
          <w:drawing>
            <wp:anchor distT="0" distB="0" distL="114300" distR="114300" simplePos="0" relativeHeight="251788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98" name="文本框 139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BBBED55">
                          <w:pPr>
                            <w:pStyle w:val="4"/>
                          </w:pPr>
                          <w:r>
                            <w:fldChar w:fldCharType="begin"/>
                          </w:r>
                          <w:r>
                            <w:instrText xml:space="preserve"> PAGE  \* MERGEFORMAT </w:instrText>
                          </w:r>
                          <w:r>
                            <w:fldChar w:fldCharType="separate"/>
                          </w:r>
                          <w:r>
                            <w:t>140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88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CPgUQNAIAAGcEAAAOAAAAAAAAAAEAIAAAAB8BAABkcnMvZTJvRG9jLnhtbFBL&#10;BQYAAAAABgAGAFkBAADFBQAAAAA=&#10;">
              <v:fill on="f" focussize="0,0"/>
              <v:stroke on="f" weight="0.5pt"/>
              <v:imagedata o:title=""/>
              <o:lock v:ext="edit" aspectratio="f"/>
              <v:textbox inset="0mm,0mm,0mm,0mm" style="mso-fit-shape-to-text:t;">
                <w:txbxContent>
                  <w:p w14:paraId="7BBBED55">
                    <w:pPr>
                      <w:pStyle w:val="4"/>
                    </w:pPr>
                    <w:r>
                      <w:fldChar w:fldCharType="begin"/>
                    </w:r>
                    <w:r>
                      <w:instrText xml:space="preserve"> PAGE  \* MERGEFORMAT </w:instrText>
                    </w:r>
                    <w:r>
                      <w:fldChar w:fldCharType="separate"/>
                    </w:r>
                    <w:r>
                      <w:t>140</w:t>
                    </w:r>
                    <w:r>
                      <w:fldChar w:fldCharType="end"/>
                    </w:r>
                  </w:p>
                </w:txbxContent>
              </v:textbox>
            </v:shape>
          </w:pict>
        </mc:Fallback>
      </mc:AlternateContent>
    </w:r>
  </w:p>
</w:ftr>
</file>

<file path=word/footer1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A0DD62">
    <w:pPr>
      <w:spacing w:line="170" w:lineRule="auto"/>
      <w:ind w:left="4053"/>
      <w:rPr>
        <w:rFonts w:ascii="仿宋" w:hAnsi="仿宋" w:eastAsia="仿宋" w:cs="仿宋"/>
        <w:sz w:val="18"/>
        <w:szCs w:val="18"/>
      </w:rPr>
    </w:pPr>
    <w:r>
      <w:rPr>
        <w:sz w:val="18"/>
      </w:rPr>
      <mc:AlternateContent>
        <mc:Choice Requires="wps">
          <w:drawing>
            <wp:anchor distT="0" distB="0" distL="114300" distR="114300" simplePos="0" relativeHeight="251789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399" name="文本框 139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0E23059">
                          <w:pPr>
                            <w:pStyle w:val="4"/>
                          </w:pPr>
                          <w:r>
                            <w:fldChar w:fldCharType="begin"/>
                          </w:r>
                          <w:r>
                            <w:instrText xml:space="preserve"> PAGE  \* MERGEFORMAT </w:instrText>
                          </w:r>
                          <w:r>
                            <w:fldChar w:fldCharType="separate"/>
                          </w:r>
                          <w:r>
                            <w:t>141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89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s0lY7tAAAAAFAQAADwAAAAAAAAABACAAAAAiAAAAZHJzL2Rvd25yZXYueG1sUEsB&#10;AhQAFAAAAAgAh07iQNETWs42AgAAZwQAAA4AAAAAAAAAAQAgAAAAHwEAAGRycy9lMm9Eb2MueG1s&#10;UEsFBgAAAAAGAAYAWQEAAMcFAAAAAA==&#10;">
              <v:fill on="f" focussize="0,0"/>
              <v:stroke on="f" weight="0.5pt"/>
              <v:imagedata o:title=""/>
              <o:lock v:ext="edit" aspectratio="f"/>
              <v:textbox inset="0mm,0mm,0mm,0mm" style="mso-fit-shape-to-text:t;">
                <w:txbxContent>
                  <w:p w14:paraId="20E23059">
                    <w:pPr>
                      <w:pStyle w:val="4"/>
                    </w:pPr>
                    <w:r>
                      <w:fldChar w:fldCharType="begin"/>
                    </w:r>
                    <w:r>
                      <w:instrText xml:space="preserve"> PAGE  \* MERGEFORMAT </w:instrText>
                    </w:r>
                    <w:r>
                      <w:fldChar w:fldCharType="separate"/>
                    </w:r>
                    <w:r>
                      <w:t>141</w:t>
                    </w:r>
                    <w:r>
                      <w:fldChar w:fldCharType="end"/>
                    </w:r>
                  </w:p>
                </w:txbxContent>
              </v:textbox>
            </v:shape>
          </w:pict>
        </mc:Fallback>
      </mc:AlternateContent>
    </w:r>
  </w:p>
</w:ftr>
</file>

<file path=word/footer1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819C9C">
    <w:pPr>
      <w:spacing w:line="170" w:lineRule="auto"/>
      <w:ind w:left="4053"/>
      <w:rPr>
        <w:rFonts w:ascii="仿宋" w:hAnsi="仿宋" w:eastAsia="仿宋" w:cs="仿宋"/>
        <w:sz w:val="18"/>
        <w:szCs w:val="18"/>
      </w:rPr>
    </w:pPr>
    <w:r>
      <w:rPr>
        <w:sz w:val="18"/>
      </w:rPr>
      <mc:AlternateContent>
        <mc:Choice Requires="wps">
          <w:drawing>
            <wp:anchor distT="0" distB="0" distL="114300" distR="114300" simplePos="0" relativeHeight="251790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400" name="文本框 140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5F8501A">
                          <w:pPr>
                            <w:pStyle w:val="4"/>
                          </w:pPr>
                          <w:r>
                            <w:fldChar w:fldCharType="begin"/>
                          </w:r>
                          <w:r>
                            <w:instrText xml:space="preserve"> PAGE  \* MERGEFORMAT </w:instrText>
                          </w:r>
                          <w:r>
                            <w:fldChar w:fldCharType="separate"/>
                          </w:r>
                          <w:r>
                            <w:t>142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90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r/ndQzAgAAZwQAAA4AAAAAAAAAAQAgAAAAHwEAAGRycy9lMm9Eb2MueG1sUEsF&#10;BgAAAAAGAAYAWQEAAMQFAAAAAA==&#10;">
              <v:fill on="f" focussize="0,0"/>
              <v:stroke on="f" weight="0.5pt"/>
              <v:imagedata o:title=""/>
              <o:lock v:ext="edit" aspectratio="f"/>
              <v:textbox inset="0mm,0mm,0mm,0mm" style="mso-fit-shape-to-text:t;">
                <w:txbxContent>
                  <w:p w14:paraId="35F8501A">
                    <w:pPr>
                      <w:pStyle w:val="4"/>
                    </w:pPr>
                    <w:r>
                      <w:fldChar w:fldCharType="begin"/>
                    </w:r>
                    <w:r>
                      <w:instrText xml:space="preserve"> PAGE  \* MERGEFORMAT </w:instrText>
                    </w:r>
                    <w:r>
                      <w:fldChar w:fldCharType="separate"/>
                    </w:r>
                    <w:r>
                      <w:t>142</w:t>
                    </w:r>
                    <w:r>
                      <w:fldChar w:fldCharType="end"/>
                    </w:r>
                  </w:p>
                </w:txbxContent>
              </v:textbox>
            </v:shape>
          </w:pict>
        </mc:Fallback>
      </mc:AlternateContent>
    </w:r>
  </w:p>
</w:ftr>
</file>

<file path=word/footer1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57EF49">
    <w:pPr>
      <w:spacing w:line="170" w:lineRule="auto"/>
      <w:ind w:left="4053"/>
      <w:rPr>
        <w:rFonts w:ascii="仿宋" w:hAnsi="仿宋" w:eastAsia="仿宋" w:cs="仿宋"/>
        <w:sz w:val="18"/>
        <w:szCs w:val="18"/>
      </w:rPr>
    </w:pPr>
    <w:r>
      <w:rPr>
        <w:sz w:val="18"/>
      </w:rPr>
      <mc:AlternateContent>
        <mc:Choice Requires="wps">
          <w:drawing>
            <wp:anchor distT="0" distB="0" distL="114300" distR="114300" simplePos="0" relativeHeight="251791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401" name="文本框 140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AA100E8">
                          <w:pPr>
                            <w:pStyle w:val="4"/>
                          </w:pPr>
                          <w:r>
                            <w:fldChar w:fldCharType="begin"/>
                          </w:r>
                          <w:r>
                            <w:instrText xml:space="preserve"> PAGE  \* MERGEFORMAT </w:instrText>
                          </w:r>
                          <w:r>
                            <w:fldChar w:fldCharType="separate"/>
                          </w:r>
                          <w:r>
                            <w:t>143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91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J0sIKNAIAAGcEAAAOAAAAAAAAAAEAIAAAAB8BAABkcnMvZTJvRG9jLnhtbFBL&#10;BQYAAAAABgAGAFkBAADFBQAAAAA=&#10;">
              <v:fill on="f" focussize="0,0"/>
              <v:stroke on="f" weight="0.5pt"/>
              <v:imagedata o:title=""/>
              <o:lock v:ext="edit" aspectratio="f"/>
              <v:textbox inset="0mm,0mm,0mm,0mm" style="mso-fit-shape-to-text:t;">
                <w:txbxContent>
                  <w:p w14:paraId="6AA100E8">
                    <w:pPr>
                      <w:pStyle w:val="4"/>
                    </w:pPr>
                    <w:r>
                      <w:fldChar w:fldCharType="begin"/>
                    </w:r>
                    <w:r>
                      <w:instrText xml:space="preserve"> PAGE  \* MERGEFORMAT </w:instrText>
                    </w:r>
                    <w:r>
                      <w:fldChar w:fldCharType="separate"/>
                    </w:r>
                    <w:r>
                      <w:t>143</w:t>
                    </w:r>
                    <w:r>
                      <w:fldChar w:fldCharType="end"/>
                    </w:r>
                  </w:p>
                </w:txbxContent>
              </v:textbox>
            </v:shape>
          </w:pict>
        </mc:Fallback>
      </mc:AlternateContent>
    </w:r>
  </w:p>
</w:ftr>
</file>

<file path=word/footer1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C1D6F6">
    <w:pPr>
      <w:spacing w:line="170" w:lineRule="auto"/>
      <w:ind w:left="4053"/>
      <w:rPr>
        <w:rFonts w:ascii="仿宋" w:hAnsi="仿宋" w:eastAsia="仿宋" w:cs="仿宋"/>
        <w:sz w:val="18"/>
        <w:szCs w:val="18"/>
      </w:rPr>
    </w:pPr>
    <w:r>
      <w:rPr>
        <w:sz w:val="18"/>
      </w:rPr>
      <mc:AlternateContent>
        <mc:Choice Requires="wps">
          <w:drawing>
            <wp:anchor distT="0" distB="0" distL="114300" distR="114300" simplePos="0" relativeHeight="251792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402" name="文本框 140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5BF2E34">
                          <w:pPr>
                            <w:pStyle w:val="4"/>
                          </w:pPr>
                          <w:r>
                            <w:fldChar w:fldCharType="begin"/>
                          </w:r>
                          <w:r>
                            <w:instrText xml:space="preserve"> PAGE  \* MERGEFORMAT </w:instrText>
                          </w:r>
                          <w:r>
                            <w:fldChar w:fldCharType="separate"/>
                          </w:r>
                          <w:r>
                            <w:t>144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92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9o1KzNAIAAGcEAAAOAAAAAAAAAAEAIAAAAB8BAABkcnMvZTJvRG9jLnhtbFBL&#10;BQYAAAAABgAGAFkBAADFBQAAAAA=&#10;">
              <v:fill on="f" focussize="0,0"/>
              <v:stroke on="f" weight="0.5pt"/>
              <v:imagedata o:title=""/>
              <o:lock v:ext="edit" aspectratio="f"/>
              <v:textbox inset="0mm,0mm,0mm,0mm" style="mso-fit-shape-to-text:t;">
                <w:txbxContent>
                  <w:p w14:paraId="25BF2E34">
                    <w:pPr>
                      <w:pStyle w:val="4"/>
                    </w:pPr>
                    <w:r>
                      <w:fldChar w:fldCharType="begin"/>
                    </w:r>
                    <w:r>
                      <w:instrText xml:space="preserve"> PAGE  \* MERGEFORMAT </w:instrText>
                    </w:r>
                    <w:r>
                      <w:fldChar w:fldCharType="separate"/>
                    </w:r>
                    <w:r>
                      <w:t>144</w:t>
                    </w:r>
                    <w:r>
                      <w:fldChar w:fldCharType="end"/>
                    </w:r>
                  </w:p>
                </w:txbxContent>
              </v:textbox>
            </v:shape>
          </w:pict>
        </mc:Fallback>
      </mc:AlternateContent>
    </w:r>
  </w:p>
</w:ftr>
</file>

<file path=word/footer1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D4832B">
    <w:pPr>
      <w:spacing w:line="170" w:lineRule="auto"/>
      <w:ind w:left="4053"/>
      <w:rPr>
        <w:rFonts w:ascii="仿宋" w:hAnsi="仿宋" w:eastAsia="仿宋" w:cs="仿宋"/>
        <w:sz w:val="18"/>
        <w:szCs w:val="18"/>
      </w:rPr>
    </w:pPr>
    <w:r>
      <w:rPr>
        <w:sz w:val="18"/>
      </w:rPr>
      <mc:AlternateContent>
        <mc:Choice Requires="wps">
          <w:drawing>
            <wp:anchor distT="0" distB="0" distL="114300" distR="114300" simplePos="0" relativeHeight="251793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03" name="文本框 140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86387B2">
                          <w:pPr>
                            <w:pStyle w:val="4"/>
                          </w:pPr>
                          <w:r>
                            <w:fldChar w:fldCharType="begin"/>
                          </w:r>
                          <w:r>
                            <w:instrText xml:space="preserve"> PAGE  \* MERGEFORMAT </w:instrText>
                          </w:r>
                          <w:r>
                            <w:fldChar w:fldCharType="separate"/>
                          </w:r>
                          <w:r>
                            <w:t>145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93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ro4NbTUCAABnBAAADgAAAAAAAAABACAAAAAfAQAAZHJzL2Uyb0RvYy54bWxQ&#10;SwUGAAAAAAYABgBZAQAAxgUAAAAA&#10;">
              <v:fill on="f" focussize="0,0"/>
              <v:stroke on="f" weight="0.5pt"/>
              <v:imagedata o:title=""/>
              <o:lock v:ext="edit" aspectratio="f"/>
              <v:textbox inset="0mm,0mm,0mm,0mm" style="mso-fit-shape-to-text:t;">
                <w:txbxContent>
                  <w:p w14:paraId="386387B2">
                    <w:pPr>
                      <w:pStyle w:val="4"/>
                    </w:pPr>
                    <w:r>
                      <w:fldChar w:fldCharType="begin"/>
                    </w:r>
                    <w:r>
                      <w:instrText xml:space="preserve"> PAGE  \* MERGEFORMAT </w:instrText>
                    </w:r>
                    <w:r>
                      <w:fldChar w:fldCharType="separate"/>
                    </w:r>
                    <w:r>
                      <w:t>145</w:t>
                    </w:r>
                    <w:r>
                      <w:fldChar w:fldCharType="end"/>
                    </w:r>
                  </w:p>
                </w:txbxContent>
              </v:textbox>
            </v:shape>
          </w:pict>
        </mc:Fallback>
      </mc:AlternateContent>
    </w:r>
  </w:p>
</w:ftr>
</file>

<file path=word/footer1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D94290">
    <w:pPr>
      <w:spacing w:line="170" w:lineRule="auto"/>
      <w:ind w:left="4053"/>
      <w:rPr>
        <w:rFonts w:ascii="仿宋" w:hAnsi="仿宋" w:eastAsia="仿宋" w:cs="仿宋"/>
        <w:sz w:val="18"/>
        <w:szCs w:val="18"/>
      </w:rPr>
    </w:pPr>
    <w:r>
      <w:rPr>
        <w:sz w:val="18"/>
      </w:rPr>
      <mc:AlternateContent>
        <mc:Choice Requires="wps">
          <w:drawing>
            <wp:anchor distT="0" distB="0" distL="114300" distR="114300" simplePos="0" relativeHeight="251794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404" name="文本框 140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51255B6">
                          <w:pPr>
                            <w:pStyle w:val="4"/>
                          </w:pPr>
                          <w:r>
                            <w:fldChar w:fldCharType="begin"/>
                          </w:r>
                          <w:r>
                            <w:instrText xml:space="preserve"> PAGE  \* MERGEFORMAT </w:instrText>
                          </w:r>
                          <w:r>
                            <w:fldChar w:fldCharType="separate"/>
                          </w:r>
                          <w:r>
                            <w:t>146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94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FEcDGzUCAABnBAAADgAAAAAAAAABACAAAAAfAQAAZHJzL2Uyb0RvYy54bWxQ&#10;SwUGAAAAAAYABgBZAQAAxgUAAAAA&#10;">
              <v:fill on="f" focussize="0,0"/>
              <v:stroke on="f" weight="0.5pt"/>
              <v:imagedata o:title=""/>
              <o:lock v:ext="edit" aspectratio="f"/>
              <v:textbox inset="0mm,0mm,0mm,0mm" style="mso-fit-shape-to-text:t;">
                <w:txbxContent>
                  <w:p w14:paraId="751255B6">
                    <w:pPr>
                      <w:pStyle w:val="4"/>
                    </w:pPr>
                    <w:r>
                      <w:fldChar w:fldCharType="begin"/>
                    </w:r>
                    <w:r>
                      <w:instrText xml:space="preserve"> PAGE  \* MERGEFORMAT </w:instrText>
                    </w:r>
                    <w:r>
                      <w:fldChar w:fldCharType="separate"/>
                    </w:r>
                    <w:r>
                      <w:t>146</w:t>
                    </w:r>
                    <w:r>
                      <w:fldChar w:fldCharType="end"/>
                    </w:r>
                  </w:p>
                </w:txbxContent>
              </v:textbox>
            </v:shape>
          </w:pict>
        </mc:Fallback>
      </mc:AlternateContent>
    </w:r>
  </w:p>
</w:ftr>
</file>

<file path=word/footer1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2BD697">
    <w:pPr>
      <w:spacing w:line="170" w:lineRule="auto"/>
      <w:ind w:left="4053"/>
      <w:rPr>
        <w:rFonts w:ascii="仿宋" w:hAnsi="仿宋" w:eastAsia="仿宋" w:cs="仿宋"/>
        <w:sz w:val="18"/>
        <w:szCs w:val="18"/>
      </w:rPr>
    </w:pPr>
    <w:r>
      <w:rPr>
        <w:sz w:val="18"/>
      </w:rPr>
      <mc:AlternateContent>
        <mc:Choice Requires="wps">
          <w:drawing>
            <wp:anchor distT="0" distB="0" distL="114300" distR="114300" simplePos="0" relativeHeight="251795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405" name="文本框 140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B8DA971">
                          <w:pPr>
                            <w:pStyle w:val="4"/>
                          </w:pPr>
                          <w:r>
                            <w:fldChar w:fldCharType="begin"/>
                          </w:r>
                          <w:r>
                            <w:instrText xml:space="preserve"> PAGE  \* MERGEFORMAT </w:instrText>
                          </w:r>
                          <w:r>
                            <w:fldChar w:fldCharType="separate"/>
                          </w:r>
                          <w:r>
                            <w:t>167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95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B2pcxTUCAABnBAAADgAAAAAAAAABACAAAAAfAQAAZHJzL2Uyb0RvYy54bWxQ&#10;SwUGAAAAAAYABgBZAQAAxgUAAAAA&#10;">
              <v:fill on="f" focussize="0,0"/>
              <v:stroke on="f" weight="0.5pt"/>
              <v:imagedata o:title=""/>
              <o:lock v:ext="edit" aspectratio="f"/>
              <v:textbox inset="0mm,0mm,0mm,0mm" style="mso-fit-shape-to-text:t;">
                <w:txbxContent>
                  <w:p w14:paraId="0B8DA971">
                    <w:pPr>
                      <w:pStyle w:val="4"/>
                    </w:pPr>
                    <w:r>
                      <w:fldChar w:fldCharType="begin"/>
                    </w:r>
                    <w:r>
                      <w:instrText xml:space="preserve"> PAGE  \* MERGEFORMAT </w:instrText>
                    </w:r>
                    <w:r>
                      <w:fldChar w:fldCharType="separate"/>
                    </w:r>
                    <w:r>
                      <w:t>167</w:t>
                    </w:r>
                    <w:r>
                      <w:fldChar w:fldCharType="end"/>
                    </w:r>
                  </w:p>
                </w:txbxContent>
              </v:textbox>
            </v:shape>
          </w:pict>
        </mc:Fallback>
      </mc:AlternateContent>
    </w:r>
  </w:p>
</w:ftr>
</file>

<file path=word/footer1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3C197E">
    <w:pPr>
      <w:pStyle w:val="3"/>
      <w:spacing w:line="14" w:lineRule="auto"/>
      <w:rPr>
        <w:rFonts w:hint="default"/>
        <w:sz w:val="2"/>
        <w:lang w:val="en-US"/>
      </w:rPr>
    </w:pPr>
    <w:r>
      <w:rPr>
        <w:sz w:val="2"/>
      </w:rPr>
      <mc:AlternateContent>
        <mc:Choice Requires="wps">
          <w:drawing>
            <wp:anchor distT="0" distB="0" distL="114300" distR="114300" simplePos="0" relativeHeight="251796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406" name="文本框 140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55068FA">
                          <w:pPr>
                            <w:pStyle w:val="4"/>
                          </w:pPr>
                          <w:r>
                            <w:fldChar w:fldCharType="begin"/>
                          </w:r>
                          <w:r>
                            <w:instrText xml:space="preserve"> PAGE  \* MERGEFORMAT </w:instrText>
                          </w:r>
                          <w:r>
                            <w:fldChar w:fldCharType="separate"/>
                          </w:r>
                          <w:r>
                            <w:t>168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96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cxvMfDUCAABnBAAADgAAAAAAAAABACAAAAAfAQAAZHJzL2Uyb0RvYy54bWxQ&#10;SwUGAAAAAAYABgBZAQAAxgUAAAAA&#10;">
              <v:fill on="f" focussize="0,0"/>
              <v:stroke on="f" weight="0.5pt"/>
              <v:imagedata o:title=""/>
              <o:lock v:ext="edit" aspectratio="f"/>
              <v:textbox inset="0mm,0mm,0mm,0mm" style="mso-fit-shape-to-text:t;">
                <w:txbxContent>
                  <w:p w14:paraId="555068FA">
                    <w:pPr>
                      <w:pStyle w:val="4"/>
                    </w:pPr>
                    <w:r>
                      <w:fldChar w:fldCharType="begin"/>
                    </w:r>
                    <w:r>
                      <w:instrText xml:space="preserve"> PAGE  \* MERGEFORMAT </w:instrText>
                    </w:r>
                    <w:r>
                      <w:fldChar w:fldCharType="separate"/>
                    </w:r>
                    <w:r>
                      <w:t>168</w:t>
                    </w:r>
                    <w:r>
                      <w:fldChar w:fldCharType="end"/>
                    </w:r>
                  </w:p>
                </w:txbxContent>
              </v:textbox>
            </v:shape>
          </w:pict>
        </mc:Fallback>
      </mc:AlternateContent>
    </w:r>
    <w:r>
      <w:rPr>
        <w:rFonts w:hint="eastAsia" w:eastAsia="宋体"/>
        <w:sz w:val="2"/>
        <w:lang w:val="en-US" w:eastAsia="zh-CN"/>
      </w:rPr>
      <w:t>181</w:t>
    </w:r>
  </w:p>
</w:ftr>
</file>

<file path=word/footer1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B596CD">
    <w:pPr>
      <w:spacing w:line="170" w:lineRule="auto"/>
      <w:ind w:left="4268"/>
      <w:rPr>
        <w:rFonts w:ascii="仿宋" w:hAnsi="仿宋" w:eastAsia="仿宋" w:cs="仿宋"/>
        <w:sz w:val="18"/>
        <w:szCs w:val="18"/>
      </w:rPr>
    </w:pPr>
    <w:r>
      <w:rPr>
        <w:sz w:val="18"/>
      </w:rPr>
      <mc:AlternateContent>
        <mc:Choice Requires="wps">
          <w:drawing>
            <wp:anchor distT="0" distB="0" distL="114300" distR="114300" simplePos="0" relativeHeight="251797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407" name="文本框 140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4E8AF95">
                          <w:pPr>
                            <w:pStyle w:val="4"/>
                          </w:pPr>
                          <w:r>
                            <w:fldChar w:fldCharType="begin"/>
                          </w:r>
                          <w:r>
                            <w:instrText xml:space="preserve"> PAGE  \* MERGEFORMAT </w:instrText>
                          </w:r>
                          <w:r>
                            <w:fldChar w:fldCharType="separate"/>
                          </w:r>
                          <w:r>
                            <w:t>169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97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YDaTojUCAABnBAAADgAAAAAAAAABACAAAAAfAQAAZHJzL2Uyb0RvYy54bWxQ&#10;SwUGAAAAAAYABgBZAQAAxgUAAAAA&#10;">
              <v:fill on="f" focussize="0,0"/>
              <v:stroke on="f" weight="0.5pt"/>
              <v:imagedata o:title=""/>
              <o:lock v:ext="edit" aspectratio="f"/>
              <v:textbox inset="0mm,0mm,0mm,0mm" style="mso-fit-shape-to-text:t;">
                <w:txbxContent>
                  <w:p w14:paraId="14E8AF95">
                    <w:pPr>
                      <w:pStyle w:val="4"/>
                    </w:pPr>
                    <w:r>
                      <w:fldChar w:fldCharType="begin"/>
                    </w:r>
                    <w:r>
                      <w:instrText xml:space="preserve"> PAGE  \* MERGEFORMAT </w:instrText>
                    </w:r>
                    <w:r>
                      <w:fldChar w:fldCharType="separate"/>
                    </w:r>
                    <w:r>
                      <w:t>169</w:t>
                    </w:r>
                    <w: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710A7C">
    <w:pPr>
      <w:spacing w:line="176" w:lineRule="auto"/>
      <w:ind w:left="4130"/>
      <w:rPr>
        <w:rFonts w:ascii="Times New Roman" w:hAnsi="Times New Roman" w:eastAsia="Times New Roman" w:cs="Times New Roman"/>
        <w:sz w:val="21"/>
        <w:szCs w:val="21"/>
      </w:rPr>
    </w:pPr>
    <w:r>
      <w:rPr>
        <w:sz w:val="21"/>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262" name="文本框 126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42D0781">
                          <w:pPr>
                            <w:pStyle w:val="4"/>
                          </w:pPr>
                          <w:r>
                            <w:fldChar w:fldCharType="begin"/>
                          </w:r>
                          <w:r>
                            <w:instrText xml:space="preserve"> PAGE  \* MERGEFORMAT </w:instrText>
                          </w:r>
                          <w:r>
                            <w:fldChar w:fldCharType="separate"/>
                          </w:r>
                          <w:r>
                            <w:t>19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FYFLENAIAAGcEAAAOAAAAAAAAAAEAIAAAAB8BAABkcnMvZTJvRG9jLnhtbFBL&#10;BQYAAAAABgAGAFkBAADFBQAAAAA=&#10;">
              <v:fill on="f" focussize="0,0"/>
              <v:stroke on="f" weight="0.5pt"/>
              <v:imagedata o:title=""/>
              <o:lock v:ext="edit" aspectratio="f"/>
              <v:textbox inset="0mm,0mm,0mm,0mm" style="mso-fit-shape-to-text:t;">
                <w:txbxContent>
                  <w:p w14:paraId="542D0781">
                    <w:pPr>
                      <w:pStyle w:val="4"/>
                    </w:pPr>
                    <w:r>
                      <w:fldChar w:fldCharType="begin"/>
                    </w:r>
                    <w:r>
                      <w:instrText xml:space="preserve"> PAGE  \* MERGEFORMAT </w:instrText>
                    </w:r>
                    <w:r>
                      <w:fldChar w:fldCharType="separate"/>
                    </w:r>
                    <w:r>
                      <w:t>19</w:t>
                    </w:r>
                    <w:r>
                      <w:fldChar w:fldCharType="end"/>
                    </w:r>
                  </w:p>
                </w:txbxContent>
              </v:textbox>
            </v:shape>
          </w:pict>
        </mc:Fallback>
      </mc:AlternateContent>
    </w:r>
  </w:p>
</w:ftr>
</file>

<file path=word/footer1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B87F33">
    <w:pPr>
      <w:spacing w:line="170" w:lineRule="auto"/>
      <w:ind w:left="4053"/>
      <w:rPr>
        <w:rFonts w:ascii="仿宋" w:hAnsi="仿宋" w:eastAsia="仿宋" w:cs="仿宋"/>
        <w:sz w:val="18"/>
        <w:szCs w:val="18"/>
      </w:rPr>
    </w:pPr>
    <w:r>
      <w:rPr>
        <w:sz w:val="18"/>
      </w:rPr>
      <mc:AlternateContent>
        <mc:Choice Requires="wps">
          <w:drawing>
            <wp:anchor distT="0" distB="0" distL="114300" distR="114300" simplePos="0" relativeHeight="251798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08" name="文本框 140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D4830E1">
                          <w:pPr>
                            <w:pStyle w:val="4"/>
                          </w:pPr>
                          <w:r>
                            <w:fldChar w:fldCharType="begin"/>
                          </w:r>
                          <w:r>
                            <w:instrText xml:space="preserve"> PAGE  \* MERGEFORMAT </w:instrText>
                          </w:r>
                          <w:r>
                            <w:fldChar w:fldCharType="separate"/>
                          </w:r>
                          <w:r>
                            <w:t>170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98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HiNGQNAIAAGcEAAAOAAAAAAAAAAEAIAAAAB8BAABkcnMvZTJvRG9jLnhtbFBL&#10;BQYAAAAABgAGAFkBAADFBQAAAAA=&#10;">
              <v:fill on="f" focussize="0,0"/>
              <v:stroke on="f" weight="0.5pt"/>
              <v:imagedata o:title=""/>
              <o:lock v:ext="edit" aspectratio="f"/>
              <v:textbox inset="0mm,0mm,0mm,0mm" style="mso-fit-shape-to-text:t;">
                <w:txbxContent>
                  <w:p w14:paraId="0D4830E1">
                    <w:pPr>
                      <w:pStyle w:val="4"/>
                    </w:pPr>
                    <w:r>
                      <w:fldChar w:fldCharType="begin"/>
                    </w:r>
                    <w:r>
                      <w:instrText xml:space="preserve"> PAGE  \* MERGEFORMAT </w:instrText>
                    </w:r>
                    <w:r>
                      <w:fldChar w:fldCharType="separate"/>
                    </w:r>
                    <w:r>
                      <w:t>170</w:t>
                    </w:r>
                    <w:r>
                      <w:fldChar w:fldCharType="end"/>
                    </w:r>
                  </w:p>
                </w:txbxContent>
              </v:textbox>
            </v:shape>
          </w:pict>
        </mc:Fallback>
      </mc:AlternateContent>
    </w:r>
  </w:p>
</w:ftr>
</file>

<file path=word/footer1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D28677">
    <w:pPr>
      <w:spacing w:line="170" w:lineRule="auto"/>
      <w:ind w:left="4053"/>
      <w:rPr>
        <w:rFonts w:ascii="仿宋" w:hAnsi="仿宋" w:eastAsia="仿宋" w:cs="仿宋"/>
        <w:sz w:val="18"/>
        <w:szCs w:val="18"/>
      </w:rPr>
    </w:pPr>
    <w:r>
      <w:rPr>
        <w:sz w:val="18"/>
      </w:rPr>
      <mc:AlternateContent>
        <mc:Choice Requires="wps">
          <w:drawing>
            <wp:anchor distT="0" distB="0" distL="114300" distR="114300" simplePos="0" relativeHeight="251799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409" name="文本框 140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659C5F4">
                          <w:pPr>
                            <w:pStyle w:val="4"/>
                          </w:pPr>
                          <w:r>
                            <w:fldChar w:fldCharType="begin"/>
                          </w:r>
                          <w:r>
                            <w:instrText xml:space="preserve"> PAGE  \* MERGEFORMAT </w:instrText>
                          </w:r>
                          <w:r>
                            <w:fldChar w:fldCharType="separate"/>
                          </w:r>
                          <w:r>
                            <w:t>171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99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FKWOTjUCAABnBAAADgAAAAAAAAABACAAAAAfAQAAZHJzL2Uyb0RvYy54bWxQ&#10;SwUGAAAAAAYABgBZAQAAxgUAAAAA&#10;">
              <v:fill on="f" focussize="0,0"/>
              <v:stroke on="f" weight="0.5pt"/>
              <v:imagedata o:title=""/>
              <o:lock v:ext="edit" aspectratio="f"/>
              <v:textbox inset="0mm,0mm,0mm,0mm" style="mso-fit-shape-to-text:t;">
                <w:txbxContent>
                  <w:p w14:paraId="5659C5F4">
                    <w:pPr>
                      <w:pStyle w:val="4"/>
                    </w:pPr>
                    <w:r>
                      <w:fldChar w:fldCharType="begin"/>
                    </w:r>
                    <w:r>
                      <w:instrText xml:space="preserve"> PAGE  \* MERGEFORMAT </w:instrText>
                    </w:r>
                    <w:r>
                      <w:fldChar w:fldCharType="separate"/>
                    </w:r>
                    <w:r>
                      <w:t>171</w:t>
                    </w:r>
                    <w:r>
                      <w:fldChar w:fldCharType="end"/>
                    </w:r>
                  </w:p>
                </w:txbxContent>
              </v:textbox>
            </v:shape>
          </w:pict>
        </mc:Fallback>
      </mc:AlternateContent>
    </w:r>
  </w:p>
</w:ftr>
</file>

<file path=word/footer1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65A5FD">
    <w:pPr>
      <w:spacing w:line="170" w:lineRule="auto"/>
      <w:ind w:left="4417"/>
      <w:rPr>
        <w:rFonts w:ascii="仿宋" w:hAnsi="仿宋" w:eastAsia="仿宋" w:cs="仿宋"/>
        <w:sz w:val="18"/>
        <w:szCs w:val="18"/>
      </w:rPr>
    </w:pPr>
    <w:r>
      <w:rPr>
        <w:sz w:val="18"/>
      </w:rPr>
      <mc:AlternateContent>
        <mc:Choice Requires="wps">
          <w:drawing>
            <wp:anchor distT="0" distB="0" distL="114300" distR="114300" simplePos="0" relativeHeight="251800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1410" name="文本框 14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C8D6886">
                          <w:pPr>
                            <w:pStyle w:val="4"/>
                          </w:pPr>
                          <w:r>
                            <w:fldChar w:fldCharType="begin"/>
                          </w:r>
                          <w:r>
                            <w:instrText xml:space="preserve"> PAGE  \* MERGEFORMAT </w:instrText>
                          </w:r>
                          <w:r>
                            <w:fldChar w:fldCharType="separate"/>
                          </w:r>
                          <w:r>
                            <w:t>172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00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p4f1QNAIAAGcEAAAOAAAAAAAAAAEAIAAAAB8BAABkcnMvZTJvRG9jLnhtbFBL&#10;BQYAAAAABgAGAFkBAADFBQAAAAA=&#10;">
              <v:fill on="f" focussize="0,0"/>
              <v:stroke on="f" weight="0.5pt"/>
              <v:imagedata o:title=""/>
              <o:lock v:ext="edit" aspectratio="f"/>
              <v:textbox inset="0mm,0mm,0mm,0mm" style="mso-fit-shape-to-text:t;">
                <w:txbxContent>
                  <w:p w14:paraId="4C8D6886">
                    <w:pPr>
                      <w:pStyle w:val="4"/>
                    </w:pPr>
                    <w:r>
                      <w:fldChar w:fldCharType="begin"/>
                    </w:r>
                    <w:r>
                      <w:instrText xml:space="preserve"> PAGE  \* MERGEFORMAT </w:instrText>
                    </w:r>
                    <w:r>
                      <w:fldChar w:fldCharType="separate"/>
                    </w:r>
                    <w:r>
                      <w:t>172</w:t>
                    </w:r>
                    <w:r>
                      <w:fldChar w:fldCharType="end"/>
                    </w:r>
                  </w:p>
                </w:txbxContent>
              </v:textbox>
            </v:shape>
          </w:pict>
        </mc:Fallback>
      </mc:AlternateContent>
    </w:r>
  </w:p>
</w:ftr>
</file>

<file path=word/footer1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F97307">
    <w:pPr>
      <w:spacing w:line="170" w:lineRule="auto"/>
      <w:ind w:left="4378"/>
      <w:rPr>
        <w:rFonts w:ascii="仿宋" w:hAnsi="仿宋" w:eastAsia="仿宋" w:cs="仿宋"/>
        <w:sz w:val="18"/>
        <w:szCs w:val="18"/>
      </w:rPr>
    </w:pPr>
    <w:r>
      <w:rPr>
        <w:sz w:val="18"/>
      </w:rPr>
      <mc:AlternateContent>
        <mc:Choice Requires="wps">
          <w:drawing>
            <wp:anchor distT="0" distB="0" distL="114300" distR="114300" simplePos="0" relativeHeight="251801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1411" name="文本框 14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C340AAA">
                          <w:pPr>
                            <w:pStyle w:val="4"/>
                          </w:pPr>
                          <w:r>
                            <w:fldChar w:fldCharType="begin"/>
                          </w:r>
                          <w:r>
                            <w:instrText xml:space="preserve"> PAGE  \* MERGEFORMAT </w:instrText>
                          </w:r>
                          <w:r>
                            <w:fldChar w:fldCharType="separate"/>
                          </w:r>
                          <w:r>
                            <w:t>173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01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6zKKONAIAAGcEAAAOAAAAAAAAAAEAIAAAAB8BAABkcnMvZTJvRG9jLnhtbFBL&#10;BQYAAAAABgAGAFkBAADFBQAAAAA=&#10;">
              <v:fill on="f" focussize="0,0"/>
              <v:stroke on="f" weight="0.5pt"/>
              <v:imagedata o:title=""/>
              <o:lock v:ext="edit" aspectratio="f"/>
              <v:textbox inset="0mm,0mm,0mm,0mm" style="mso-fit-shape-to-text:t;">
                <w:txbxContent>
                  <w:p w14:paraId="6C340AAA">
                    <w:pPr>
                      <w:pStyle w:val="4"/>
                    </w:pPr>
                    <w:r>
                      <w:fldChar w:fldCharType="begin"/>
                    </w:r>
                    <w:r>
                      <w:instrText xml:space="preserve"> PAGE  \* MERGEFORMAT </w:instrText>
                    </w:r>
                    <w:r>
                      <w:fldChar w:fldCharType="separate"/>
                    </w:r>
                    <w:r>
                      <w:t>173</w:t>
                    </w:r>
                    <w:r>
                      <w:fldChar w:fldCharType="end"/>
                    </w:r>
                  </w:p>
                </w:txbxContent>
              </v:textbox>
            </v:shape>
          </w:pict>
        </mc:Fallback>
      </mc:AlternateContent>
    </w:r>
  </w:p>
</w:ftr>
</file>

<file path=word/footer1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E3529F">
    <w:pPr>
      <w:spacing w:line="170" w:lineRule="auto"/>
      <w:ind w:left="4806"/>
      <w:rPr>
        <w:rFonts w:ascii="仿宋" w:hAnsi="仿宋" w:eastAsia="仿宋" w:cs="仿宋"/>
        <w:sz w:val="18"/>
        <w:szCs w:val="18"/>
      </w:rPr>
    </w:pPr>
    <w:r>
      <w:rPr>
        <w:sz w:val="18"/>
      </w:rPr>
      <mc:AlternateContent>
        <mc:Choice Requires="wps">
          <w:drawing>
            <wp:anchor distT="0" distB="0" distL="114300" distR="114300" simplePos="0" relativeHeight="251802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1412" name="文本框 14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073B5E6">
                          <w:pPr>
                            <w:pStyle w:val="4"/>
                          </w:pPr>
                          <w:r>
                            <w:fldChar w:fldCharType="begin"/>
                          </w:r>
                          <w:r>
                            <w:instrText xml:space="preserve"> PAGE  \* MERGEFORMAT </w:instrText>
                          </w:r>
                          <w:r>
                            <w:fldChar w:fldCharType="separate"/>
                          </w:r>
                          <w:r>
                            <w:t>174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02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Tr0yNzUCAABnBAAADgAAAAAAAAABACAAAAAfAQAAZHJzL2Uyb0RvYy54bWxQ&#10;SwUGAAAAAAYABgBZAQAAxgUAAAAA&#10;">
              <v:fill on="f" focussize="0,0"/>
              <v:stroke on="f" weight="0.5pt"/>
              <v:imagedata o:title=""/>
              <o:lock v:ext="edit" aspectratio="f"/>
              <v:textbox inset="0mm,0mm,0mm,0mm" style="mso-fit-shape-to-text:t;">
                <w:txbxContent>
                  <w:p w14:paraId="3073B5E6">
                    <w:pPr>
                      <w:pStyle w:val="4"/>
                    </w:pPr>
                    <w:r>
                      <w:fldChar w:fldCharType="begin"/>
                    </w:r>
                    <w:r>
                      <w:instrText xml:space="preserve"> PAGE  \* MERGEFORMAT </w:instrText>
                    </w:r>
                    <w:r>
                      <w:fldChar w:fldCharType="separate"/>
                    </w:r>
                    <w:r>
                      <w:t>174</w:t>
                    </w:r>
                    <w:r>
                      <w:fldChar w:fldCharType="end"/>
                    </w:r>
                  </w:p>
                </w:txbxContent>
              </v:textbox>
            </v:shape>
          </w:pict>
        </mc:Fallback>
      </mc:AlternateContent>
    </w:r>
  </w:p>
</w:ftr>
</file>

<file path=word/footer1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342018">
    <w:pPr>
      <w:spacing w:line="170" w:lineRule="auto"/>
      <w:ind w:left="4806"/>
      <w:rPr>
        <w:rFonts w:ascii="仿宋" w:hAnsi="仿宋" w:eastAsia="仿宋" w:cs="仿宋"/>
        <w:sz w:val="18"/>
        <w:szCs w:val="18"/>
      </w:rPr>
    </w:pPr>
    <w:r>
      <w:rPr>
        <w:sz w:val="18"/>
      </w:rPr>
      <mc:AlternateContent>
        <mc:Choice Requires="wps">
          <w:drawing>
            <wp:anchor distT="0" distB="0" distL="114300" distR="114300" simplePos="0" relativeHeight="251803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13" name="文本框 14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A1A4F81">
                          <w:pPr>
                            <w:pStyle w:val="4"/>
                          </w:pPr>
                          <w:r>
                            <w:fldChar w:fldCharType="begin"/>
                          </w:r>
                          <w:r>
                            <w:instrText xml:space="preserve"> PAGE  \* MERGEFORMAT </w:instrText>
                          </w:r>
                          <w:r>
                            <w:fldChar w:fldCharType="separate"/>
                          </w:r>
                          <w:r>
                            <w:t>175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03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XZBt6TUCAABnBAAADgAAAAAAAAABACAAAAAfAQAAZHJzL2Uyb0RvYy54bWxQ&#10;SwUGAAAAAAYABgBZAQAAxgUAAAAA&#10;">
              <v:fill on="f" focussize="0,0"/>
              <v:stroke on="f" weight="0.5pt"/>
              <v:imagedata o:title=""/>
              <o:lock v:ext="edit" aspectratio="f"/>
              <v:textbox inset="0mm,0mm,0mm,0mm" style="mso-fit-shape-to-text:t;">
                <w:txbxContent>
                  <w:p w14:paraId="6A1A4F81">
                    <w:pPr>
                      <w:pStyle w:val="4"/>
                    </w:pPr>
                    <w:r>
                      <w:fldChar w:fldCharType="begin"/>
                    </w:r>
                    <w:r>
                      <w:instrText xml:space="preserve"> PAGE  \* MERGEFORMAT </w:instrText>
                    </w:r>
                    <w:r>
                      <w:fldChar w:fldCharType="separate"/>
                    </w:r>
                    <w:r>
                      <w:t>175</w:t>
                    </w:r>
                    <w:r>
                      <w:fldChar w:fldCharType="end"/>
                    </w:r>
                  </w:p>
                </w:txbxContent>
              </v:textbox>
            </v:shape>
          </w:pict>
        </mc:Fallback>
      </mc:AlternateContent>
    </w:r>
  </w:p>
</w:ftr>
</file>

<file path=word/footer1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34548B">
    <w:pPr>
      <w:spacing w:line="170" w:lineRule="auto"/>
      <w:ind w:left="4053"/>
      <w:rPr>
        <w:rFonts w:ascii="仿宋" w:hAnsi="仿宋" w:eastAsia="仿宋" w:cs="仿宋"/>
        <w:sz w:val="18"/>
        <w:szCs w:val="18"/>
      </w:rPr>
    </w:pPr>
    <w:r>
      <w:rPr>
        <w:sz w:val="18"/>
      </w:rPr>
      <mc:AlternateContent>
        <mc:Choice Requires="wps">
          <w:drawing>
            <wp:anchor distT="0" distB="0" distL="114300" distR="114300" simplePos="0" relativeHeight="251804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1414" name="文本框 14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D8C5C9A">
                          <w:pPr>
                            <w:pStyle w:val="4"/>
                          </w:pPr>
                          <w:r>
                            <w:fldChar w:fldCharType="begin"/>
                          </w:r>
                          <w:r>
                            <w:instrText xml:space="preserve"> PAGE  \* MERGEFORMAT </w:instrText>
                          </w:r>
                          <w:r>
                            <w:fldChar w:fldCharType="separate"/>
                          </w:r>
                          <w:r>
                            <w:t>176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04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51ljnzUCAABnBAAADgAAAAAAAAABACAAAAAfAQAAZHJzL2Uyb0RvYy54bWxQ&#10;SwUGAAAAAAYABgBZAQAAxgUAAAAA&#10;">
              <v:fill on="f" focussize="0,0"/>
              <v:stroke on="f" weight="0.5pt"/>
              <v:imagedata o:title=""/>
              <o:lock v:ext="edit" aspectratio="f"/>
              <v:textbox inset="0mm,0mm,0mm,0mm" style="mso-fit-shape-to-text:t;">
                <w:txbxContent>
                  <w:p w14:paraId="1D8C5C9A">
                    <w:pPr>
                      <w:pStyle w:val="4"/>
                    </w:pPr>
                    <w:r>
                      <w:fldChar w:fldCharType="begin"/>
                    </w:r>
                    <w:r>
                      <w:instrText xml:space="preserve"> PAGE  \* MERGEFORMAT </w:instrText>
                    </w:r>
                    <w:r>
                      <w:fldChar w:fldCharType="separate"/>
                    </w:r>
                    <w:r>
                      <w:t>176</w:t>
                    </w:r>
                    <w:r>
                      <w:fldChar w:fldCharType="end"/>
                    </w:r>
                  </w:p>
                </w:txbxContent>
              </v:textbox>
            </v:shape>
          </w:pict>
        </mc:Fallback>
      </mc:AlternateContent>
    </w:r>
  </w:p>
</w:ftr>
</file>

<file path=word/footer1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4FA915">
    <w:pPr>
      <w:spacing w:line="170" w:lineRule="auto"/>
      <w:ind w:left="4053"/>
      <w:rPr>
        <w:rFonts w:ascii="仿宋" w:hAnsi="仿宋" w:eastAsia="仿宋" w:cs="仿宋"/>
        <w:sz w:val="18"/>
        <w:szCs w:val="18"/>
      </w:rPr>
    </w:pPr>
    <w:r>
      <w:rPr>
        <w:sz w:val="18"/>
      </w:rPr>
      <mc:AlternateContent>
        <mc:Choice Requires="wps">
          <w:drawing>
            <wp:anchor distT="0" distB="0" distL="114300" distR="114300" simplePos="0" relativeHeight="251805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1415" name="文本框 14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CDDAB11">
                          <w:pPr>
                            <w:pStyle w:val="4"/>
                          </w:pPr>
                          <w:r>
                            <w:fldChar w:fldCharType="begin"/>
                          </w:r>
                          <w:r>
                            <w:instrText xml:space="preserve"> PAGE  \* MERGEFORMAT </w:instrText>
                          </w:r>
                          <w:r>
                            <w:fldChar w:fldCharType="separate"/>
                          </w:r>
                          <w:r>
                            <w:t>177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056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9HQ8QTUCAABnBAAADgAAAAAAAAABACAAAAAfAQAAZHJzL2Uyb0RvYy54bWxQ&#10;SwUGAAAAAAYABgBZAQAAxgUAAAAA&#10;">
              <v:fill on="f" focussize="0,0"/>
              <v:stroke on="f" weight="0.5pt"/>
              <v:imagedata o:title=""/>
              <o:lock v:ext="edit" aspectratio="f"/>
              <v:textbox inset="0mm,0mm,0mm,0mm" style="mso-fit-shape-to-text:t;">
                <w:txbxContent>
                  <w:p w14:paraId="3CDDAB11">
                    <w:pPr>
                      <w:pStyle w:val="4"/>
                    </w:pPr>
                    <w:r>
                      <w:fldChar w:fldCharType="begin"/>
                    </w:r>
                    <w:r>
                      <w:instrText xml:space="preserve"> PAGE  \* MERGEFORMAT </w:instrText>
                    </w:r>
                    <w:r>
                      <w:fldChar w:fldCharType="separate"/>
                    </w:r>
                    <w:r>
                      <w:t>177</w:t>
                    </w:r>
                    <w:r>
                      <w:fldChar w:fldCharType="end"/>
                    </w:r>
                  </w:p>
                </w:txbxContent>
              </v:textbox>
            </v:shape>
          </w:pict>
        </mc:Fallback>
      </mc:AlternateContent>
    </w:r>
  </w:p>
</w:ftr>
</file>

<file path=word/footer1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D7B9D0">
    <w:pPr>
      <w:spacing w:line="170" w:lineRule="auto"/>
      <w:ind w:left="4053"/>
      <w:rPr>
        <w:rFonts w:ascii="仿宋" w:hAnsi="仿宋" w:eastAsia="仿宋" w:cs="仿宋"/>
        <w:sz w:val="18"/>
        <w:szCs w:val="18"/>
      </w:rPr>
    </w:pPr>
    <w:r>
      <w:rPr>
        <w:sz w:val="18"/>
      </w:rPr>
      <mc:AlternateContent>
        <mc:Choice Requires="wps">
          <w:drawing>
            <wp:anchor distT="0" distB="0" distL="114300" distR="114300" simplePos="0" relativeHeight="251806720" behindDoc="0" locked="0" layoutInCell="1" allowOverlap="1">
              <wp:simplePos x="0" y="0"/>
              <wp:positionH relativeFrom="margin">
                <wp:align>center</wp:align>
              </wp:positionH>
              <wp:positionV relativeFrom="paragraph">
                <wp:posOffset>0</wp:posOffset>
              </wp:positionV>
              <wp:extent cx="1828800" cy="1828800"/>
              <wp:effectExtent l="0" t="0" r="0" b="0"/>
              <wp:wrapNone/>
              <wp:docPr id="1416" name="文本框 14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B136BA0">
                          <w:pPr>
                            <w:pStyle w:val="4"/>
                          </w:pPr>
                          <w:r>
                            <w:fldChar w:fldCharType="begin"/>
                          </w:r>
                          <w:r>
                            <w:instrText xml:space="preserve"> PAGE  \* MERGEFORMAT </w:instrText>
                          </w:r>
                          <w:r>
                            <w:fldChar w:fldCharType="separate"/>
                          </w:r>
                          <w:r>
                            <w:t>178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067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gAWs+DUCAABnBAAADgAAAAAAAAABACAAAAAfAQAAZHJzL2Uyb0RvYy54bWxQ&#10;SwUGAAAAAAYABgBZAQAAxgUAAAAA&#10;">
              <v:fill on="f" focussize="0,0"/>
              <v:stroke on="f" weight="0.5pt"/>
              <v:imagedata o:title=""/>
              <o:lock v:ext="edit" aspectratio="f"/>
              <v:textbox inset="0mm,0mm,0mm,0mm" style="mso-fit-shape-to-text:t;">
                <w:txbxContent>
                  <w:p w14:paraId="3B136BA0">
                    <w:pPr>
                      <w:pStyle w:val="4"/>
                    </w:pPr>
                    <w:r>
                      <w:fldChar w:fldCharType="begin"/>
                    </w:r>
                    <w:r>
                      <w:instrText xml:space="preserve"> PAGE  \* MERGEFORMAT </w:instrText>
                    </w:r>
                    <w:r>
                      <w:fldChar w:fldCharType="separate"/>
                    </w:r>
                    <w:r>
                      <w:t>178</w:t>
                    </w:r>
                    <w:r>
                      <w:fldChar w:fldCharType="end"/>
                    </w:r>
                  </w:p>
                </w:txbxContent>
              </v:textbox>
            </v:shape>
          </w:pict>
        </mc:Fallback>
      </mc:AlternateContent>
    </w:r>
  </w:p>
</w:ftr>
</file>

<file path=word/footer1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5BCA76">
    <w:pPr>
      <w:spacing w:line="170" w:lineRule="auto"/>
      <w:ind w:left="4053"/>
      <w:rPr>
        <w:rFonts w:ascii="仿宋" w:hAnsi="仿宋" w:eastAsia="仿宋" w:cs="仿宋"/>
        <w:sz w:val="18"/>
        <w:szCs w:val="18"/>
      </w:rPr>
    </w:pPr>
    <w:r>
      <w:rPr>
        <w:sz w:val="18"/>
      </w:rPr>
      <mc:AlternateContent>
        <mc:Choice Requires="wps">
          <w:drawing>
            <wp:anchor distT="0" distB="0" distL="114300" distR="114300" simplePos="0" relativeHeight="251807744" behindDoc="0" locked="0" layoutInCell="1" allowOverlap="1">
              <wp:simplePos x="0" y="0"/>
              <wp:positionH relativeFrom="margin">
                <wp:align>center</wp:align>
              </wp:positionH>
              <wp:positionV relativeFrom="paragraph">
                <wp:posOffset>0</wp:posOffset>
              </wp:positionV>
              <wp:extent cx="1828800" cy="1828800"/>
              <wp:effectExtent l="0" t="0" r="0" b="0"/>
              <wp:wrapNone/>
              <wp:docPr id="1417" name="文本框 14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718CABB">
                          <w:pPr>
                            <w:pStyle w:val="4"/>
                          </w:pPr>
                          <w:r>
                            <w:fldChar w:fldCharType="begin"/>
                          </w:r>
                          <w:r>
                            <w:instrText xml:space="preserve"> PAGE  \* MERGEFORMAT </w:instrText>
                          </w:r>
                          <w:r>
                            <w:fldChar w:fldCharType="separate"/>
                          </w:r>
                          <w:r>
                            <w:t>179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077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kyjzJjUCAABnBAAADgAAAAAAAAABACAAAAAfAQAAZHJzL2Uyb0RvYy54bWxQ&#10;SwUGAAAAAAYABgBZAQAAxgUAAAAA&#10;">
              <v:fill on="f" focussize="0,0"/>
              <v:stroke on="f" weight="0.5pt"/>
              <v:imagedata o:title=""/>
              <o:lock v:ext="edit" aspectratio="f"/>
              <v:textbox inset="0mm,0mm,0mm,0mm" style="mso-fit-shape-to-text:t;">
                <w:txbxContent>
                  <w:p w14:paraId="6718CABB">
                    <w:pPr>
                      <w:pStyle w:val="4"/>
                    </w:pPr>
                    <w:r>
                      <w:fldChar w:fldCharType="begin"/>
                    </w:r>
                    <w:r>
                      <w:instrText xml:space="preserve"> PAGE  \* MERGEFORMAT </w:instrText>
                    </w:r>
                    <w:r>
                      <w:fldChar w:fldCharType="separate"/>
                    </w:r>
                    <w:r>
                      <w:t>179</w:t>
                    </w:r>
                    <w: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388741">
    <w:pPr>
      <w:spacing w:line="176" w:lineRule="auto"/>
      <w:ind w:left="4130"/>
      <w:rPr>
        <w:rFonts w:ascii="Times New Roman" w:hAnsi="Times New Roman" w:eastAsia="Times New Roman" w:cs="Times New Roman"/>
        <w:sz w:val="21"/>
        <w:szCs w:val="21"/>
      </w:rPr>
    </w:pPr>
    <w:r>
      <w:rPr>
        <w:sz w:val="21"/>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265" name="文本框 126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E5E3C6B">
                          <w:pPr>
                            <w:pStyle w:val="4"/>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P6lcsjUCAABnBAAADgAAAAAAAAABACAAAAAfAQAAZHJzL2Uyb0RvYy54bWxQ&#10;SwUGAAAAAAYABgBZAQAAxgUAAAAA&#10;">
              <v:fill on="f" focussize="0,0"/>
              <v:stroke on="f" weight="0.5pt"/>
              <v:imagedata o:title=""/>
              <o:lock v:ext="edit" aspectratio="f"/>
              <v:textbox inset="0mm,0mm,0mm,0mm" style="mso-fit-shape-to-text:t;">
                <w:txbxContent>
                  <w:p w14:paraId="5E5E3C6B">
                    <w:pPr>
                      <w:pStyle w:val="4"/>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1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4E4005">
    <w:pPr>
      <w:spacing w:line="170" w:lineRule="auto"/>
      <w:ind w:left="4053"/>
      <w:rPr>
        <w:rFonts w:ascii="仿宋" w:hAnsi="仿宋" w:eastAsia="仿宋" w:cs="仿宋"/>
        <w:sz w:val="18"/>
        <w:szCs w:val="18"/>
      </w:rPr>
    </w:pPr>
    <w:r>
      <w:rPr>
        <w:sz w:val="18"/>
      </w:rPr>
      <mc:AlternateContent>
        <mc:Choice Requires="wps">
          <w:drawing>
            <wp:anchor distT="0" distB="0" distL="114300" distR="114300" simplePos="0" relativeHeight="25180876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18" name="文本框 14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47B4D2F">
                          <w:pPr>
                            <w:pStyle w:val="4"/>
                          </w:pPr>
                          <w:r>
                            <w:fldChar w:fldCharType="begin"/>
                          </w:r>
                          <w:r>
                            <w:instrText xml:space="preserve"> PAGE  \* MERGEFORMAT </w:instrText>
                          </w:r>
                          <w:r>
                            <w:fldChar w:fldCharType="separate"/>
                          </w:r>
                          <w:r>
                            <w:t>180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087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0lrEUNAIAAGcEAAAOAAAAAAAAAAEAIAAAAB8BAABkcnMvZTJvRG9jLnhtbFBL&#10;BQYAAAAABgAGAFkBAADFBQAAAAA=&#10;">
              <v:fill on="f" focussize="0,0"/>
              <v:stroke on="f" weight="0.5pt"/>
              <v:imagedata o:title=""/>
              <o:lock v:ext="edit" aspectratio="f"/>
              <v:textbox inset="0mm,0mm,0mm,0mm" style="mso-fit-shape-to-text:t;">
                <w:txbxContent>
                  <w:p w14:paraId="647B4D2F">
                    <w:pPr>
                      <w:pStyle w:val="4"/>
                    </w:pPr>
                    <w:r>
                      <w:fldChar w:fldCharType="begin"/>
                    </w:r>
                    <w:r>
                      <w:instrText xml:space="preserve"> PAGE  \* MERGEFORMAT </w:instrText>
                    </w:r>
                    <w:r>
                      <w:fldChar w:fldCharType="separate"/>
                    </w:r>
                    <w:r>
                      <w:t>180</w:t>
                    </w:r>
                    <w:r>
                      <w:fldChar w:fldCharType="end"/>
                    </w:r>
                  </w:p>
                </w:txbxContent>
              </v:textbox>
            </v:shape>
          </w:pict>
        </mc:Fallback>
      </mc:AlternateContent>
    </w:r>
  </w:p>
</w:ftr>
</file>

<file path=word/footer1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CD0238">
    <w:pPr>
      <w:spacing w:line="170" w:lineRule="auto"/>
      <w:ind w:left="4053"/>
      <w:rPr>
        <w:rFonts w:ascii="仿宋" w:hAnsi="仿宋" w:eastAsia="仿宋" w:cs="仿宋"/>
        <w:sz w:val="18"/>
        <w:szCs w:val="18"/>
      </w:rPr>
    </w:pPr>
    <w:r>
      <w:rPr>
        <w:sz w:val="18"/>
      </w:rPr>
      <mc:AlternateContent>
        <mc:Choice Requires="wps">
          <w:drawing>
            <wp:anchor distT="0" distB="0" distL="114300" distR="114300" simplePos="0" relativeHeight="251809792" behindDoc="0" locked="0" layoutInCell="1" allowOverlap="1">
              <wp:simplePos x="0" y="0"/>
              <wp:positionH relativeFrom="margin">
                <wp:align>center</wp:align>
              </wp:positionH>
              <wp:positionV relativeFrom="paragraph">
                <wp:posOffset>0</wp:posOffset>
              </wp:positionV>
              <wp:extent cx="1828800" cy="1828800"/>
              <wp:effectExtent l="0" t="0" r="0" b="0"/>
              <wp:wrapNone/>
              <wp:docPr id="1419" name="文本框 14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C40F6BB">
                          <w:pPr>
                            <w:pStyle w:val="4"/>
                          </w:pPr>
                          <w:r>
                            <w:fldChar w:fldCharType="begin"/>
                          </w:r>
                          <w:r>
                            <w:instrText xml:space="preserve"> PAGE  \* MERGEFORMAT </w:instrText>
                          </w:r>
                          <w:r>
                            <w:fldChar w:fldCharType="separate"/>
                          </w:r>
                          <w:r>
                            <w:t>181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097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57vuyjUCAABnBAAADgAAAAAAAAABACAAAAAfAQAAZHJzL2Uyb0RvYy54bWxQ&#10;SwUGAAAAAAYABgBZAQAAxgUAAAAA&#10;">
              <v:fill on="f" focussize="0,0"/>
              <v:stroke on="f" weight="0.5pt"/>
              <v:imagedata o:title=""/>
              <o:lock v:ext="edit" aspectratio="f"/>
              <v:textbox inset="0mm,0mm,0mm,0mm" style="mso-fit-shape-to-text:t;">
                <w:txbxContent>
                  <w:p w14:paraId="0C40F6BB">
                    <w:pPr>
                      <w:pStyle w:val="4"/>
                    </w:pPr>
                    <w:r>
                      <w:fldChar w:fldCharType="begin"/>
                    </w:r>
                    <w:r>
                      <w:instrText xml:space="preserve"> PAGE  \* MERGEFORMAT </w:instrText>
                    </w:r>
                    <w:r>
                      <w:fldChar w:fldCharType="separate"/>
                    </w:r>
                    <w:r>
                      <w:t>181</w:t>
                    </w:r>
                    <w:r>
                      <w:fldChar w:fldCharType="end"/>
                    </w:r>
                  </w:p>
                </w:txbxContent>
              </v:textbox>
            </v:shape>
          </w:pict>
        </mc:Fallback>
      </mc:AlternateContent>
    </w:r>
  </w:p>
</w:ftr>
</file>

<file path=word/footer1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01309C">
    <w:pPr>
      <w:spacing w:line="170" w:lineRule="auto"/>
      <w:ind w:left="4158"/>
      <w:rPr>
        <w:rFonts w:ascii="仿宋" w:hAnsi="仿宋" w:eastAsia="仿宋" w:cs="仿宋"/>
        <w:sz w:val="18"/>
        <w:szCs w:val="18"/>
      </w:rPr>
    </w:pPr>
    <w:r>
      <w:rPr>
        <w:sz w:val="18"/>
      </w:rPr>
      <mc:AlternateContent>
        <mc:Choice Requires="wps">
          <w:drawing>
            <wp:anchor distT="0" distB="0" distL="114300" distR="114300" simplePos="0" relativeHeight="251810816" behindDoc="0" locked="0" layoutInCell="1" allowOverlap="1">
              <wp:simplePos x="0" y="0"/>
              <wp:positionH relativeFrom="margin">
                <wp:align>center</wp:align>
              </wp:positionH>
              <wp:positionV relativeFrom="paragraph">
                <wp:posOffset>0</wp:posOffset>
              </wp:positionV>
              <wp:extent cx="1828800" cy="1828800"/>
              <wp:effectExtent l="0" t="0" r="0" b="0"/>
              <wp:wrapNone/>
              <wp:docPr id="1420" name="文本框 14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B29D99E">
                          <w:pPr>
                            <w:pStyle w:val="4"/>
                          </w:pPr>
                          <w:r>
                            <w:fldChar w:fldCharType="begin"/>
                          </w:r>
                          <w:r>
                            <w:instrText xml:space="preserve"> PAGE  \* MERGEFORMAT </w:instrText>
                          </w:r>
                          <w:r>
                            <w:fldChar w:fldCharType="separate"/>
                          </w:r>
                          <w:r>
                            <w:t>182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108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9xCwHNAIAAGcEAAAOAAAAAAAAAAEAIAAAAB8BAABkcnMvZTJvRG9jLnhtbFBL&#10;BQYAAAAABgAGAFkBAADFBQAAAAA=&#10;">
              <v:fill on="f" focussize="0,0"/>
              <v:stroke on="f" weight="0.5pt"/>
              <v:imagedata o:title=""/>
              <o:lock v:ext="edit" aspectratio="f"/>
              <v:textbox inset="0mm,0mm,0mm,0mm" style="mso-fit-shape-to-text:t;">
                <w:txbxContent>
                  <w:p w14:paraId="0B29D99E">
                    <w:pPr>
                      <w:pStyle w:val="4"/>
                    </w:pPr>
                    <w:r>
                      <w:fldChar w:fldCharType="begin"/>
                    </w:r>
                    <w:r>
                      <w:instrText xml:space="preserve"> PAGE  \* MERGEFORMAT </w:instrText>
                    </w:r>
                    <w:r>
                      <w:fldChar w:fldCharType="separate"/>
                    </w:r>
                    <w:r>
                      <w:t>182</w:t>
                    </w:r>
                    <w:r>
                      <w:fldChar w:fldCharType="end"/>
                    </w:r>
                  </w:p>
                </w:txbxContent>
              </v:textbox>
            </v:shape>
          </w:pict>
        </mc:Fallback>
      </mc:AlternateContent>
    </w:r>
  </w:p>
</w:ftr>
</file>

<file path=word/footer1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6CC6E6">
    <w:pPr>
      <w:spacing w:line="170" w:lineRule="auto"/>
      <w:ind w:left="4158"/>
      <w:rPr>
        <w:rFonts w:ascii="仿宋" w:hAnsi="仿宋" w:eastAsia="仿宋" w:cs="仿宋"/>
        <w:sz w:val="18"/>
        <w:szCs w:val="18"/>
      </w:rPr>
    </w:pPr>
    <w:r>
      <w:rPr>
        <w:sz w:val="18"/>
      </w:rPr>
      <mc:AlternateContent>
        <mc:Choice Requires="wps">
          <w:drawing>
            <wp:anchor distT="0" distB="0" distL="114300" distR="114300" simplePos="0" relativeHeight="2518118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421" name="文本框 14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3389826">
                          <w:pPr>
                            <w:pStyle w:val="4"/>
                          </w:pPr>
                          <w:r>
                            <w:fldChar w:fldCharType="begin"/>
                          </w:r>
                          <w:r>
                            <w:instrText xml:space="preserve"> PAGE  \* MERGEFORMAT </w:instrText>
                          </w:r>
                          <w:r>
                            <w:fldChar w:fldCharType="separate"/>
                          </w:r>
                          <w:r>
                            <w:t>183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118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u6XPZNAIAAGcEAAAOAAAAAAAAAAEAIAAAAB8BAABkcnMvZTJvRG9jLnhtbFBL&#10;BQYAAAAABgAGAFkBAADFBQAAAAA=&#10;">
              <v:fill on="f" focussize="0,0"/>
              <v:stroke on="f" weight="0.5pt"/>
              <v:imagedata o:title=""/>
              <o:lock v:ext="edit" aspectratio="f"/>
              <v:textbox inset="0mm,0mm,0mm,0mm" style="mso-fit-shape-to-text:t;">
                <w:txbxContent>
                  <w:p w14:paraId="03389826">
                    <w:pPr>
                      <w:pStyle w:val="4"/>
                    </w:pPr>
                    <w:r>
                      <w:fldChar w:fldCharType="begin"/>
                    </w:r>
                    <w:r>
                      <w:instrText xml:space="preserve"> PAGE  \* MERGEFORMAT </w:instrText>
                    </w:r>
                    <w:r>
                      <w:fldChar w:fldCharType="separate"/>
                    </w:r>
                    <w:r>
                      <w:t>183</w:t>
                    </w:r>
                    <w:r>
                      <w:fldChar w:fldCharType="end"/>
                    </w:r>
                  </w:p>
                </w:txbxContent>
              </v:textbox>
            </v:shape>
          </w:pict>
        </mc:Fallback>
      </mc:AlternateContent>
    </w:r>
  </w:p>
</w:ftr>
</file>

<file path=word/footer1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65233A">
    <w:pPr>
      <w:spacing w:line="170" w:lineRule="auto"/>
      <w:ind w:left="4053"/>
      <w:rPr>
        <w:rFonts w:ascii="仿宋" w:hAnsi="仿宋" w:eastAsia="仿宋" w:cs="仿宋"/>
        <w:sz w:val="18"/>
        <w:szCs w:val="18"/>
      </w:rPr>
    </w:pPr>
    <w:r>
      <w:rPr>
        <w:sz w:val="18"/>
      </w:rPr>
      <mc:AlternateContent>
        <mc:Choice Requires="wps">
          <w:drawing>
            <wp:anchor distT="0" distB="0" distL="114300" distR="114300" simplePos="0" relativeHeight="2518128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422" name="文本框 14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A2120D9">
                          <w:pPr>
                            <w:pStyle w:val="4"/>
                          </w:pPr>
                          <w:r>
                            <w:fldChar w:fldCharType="begin"/>
                          </w:r>
                          <w:r>
                            <w:instrText xml:space="preserve"> PAGE  \* MERGEFORMAT </w:instrText>
                          </w:r>
                          <w:r>
                            <w:fldChar w:fldCharType="separate"/>
                          </w:r>
                          <w:r>
                            <w:t>184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128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GpjjYDUCAABnBAAADgAAAAAAAAABACAAAAAfAQAAZHJzL2Uyb0RvYy54bWxQ&#10;SwUGAAAAAAYABgBZAQAAxgUAAAAA&#10;">
              <v:fill on="f" focussize="0,0"/>
              <v:stroke on="f" weight="0.5pt"/>
              <v:imagedata o:title=""/>
              <o:lock v:ext="edit" aspectratio="f"/>
              <v:textbox inset="0mm,0mm,0mm,0mm" style="mso-fit-shape-to-text:t;">
                <w:txbxContent>
                  <w:p w14:paraId="2A2120D9">
                    <w:pPr>
                      <w:pStyle w:val="4"/>
                    </w:pPr>
                    <w:r>
                      <w:fldChar w:fldCharType="begin"/>
                    </w:r>
                    <w:r>
                      <w:instrText xml:space="preserve"> PAGE  \* MERGEFORMAT </w:instrText>
                    </w:r>
                    <w:r>
                      <w:fldChar w:fldCharType="separate"/>
                    </w:r>
                    <w:r>
                      <w:t>184</w:t>
                    </w:r>
                    <w:r>
                      <w:fldChar w:fldCharType="end"/>
                    </w:r>
                  </w:p>
                </w:txbxContent>
              </v:textbox>
            </v:shape>
          </w:pict>
        </mc:Fallback>
      </mc:AlternateContent>
    </w:r>
  </w:p>
</w:ftr>
</file>

<file path=word/footer1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3A281A">
    <w:pPr>
      <w:spacing w:line="170" w:lineRule="auto"/>
      <w:ind w:left="4053"/>
      <w:rPr>
        <w:rFonts w:ascii="仿宋" w:hAnsi="仿宋" w:eastAsia="仿宋" w:cs="仿宋"/>
        <w:sz w:val="18"/>
        <w:szCs w:val="18"/>
      </w:rPr>
    </w:pPr>
    <w:r>
      <w:rPr>
        <w:sz w:val="18"/>
      </w:rPr>
      <mc:AlternateContent>
        <mc:Choice Requires="wps">
          <w:drawing>
            <wp:anchor distT="0" distB="0" distL="114300" distR="114300" simplePos="0" relativeHeight="2518138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23" name="文本框 14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78B6140">
                          <w:pPr>
                            <w:pStyle w:val="4"/>
                          </w:pPr>
                          <w:r>
                            <w:fldChar w:fldCharType="begin"/>
                          </w:r>
                          <w:r>
                            <w:instrText xml:space="preserve"> PAGE  \* MERGEFORMAT </w:instrText>
                          </w:r>
                          <w:r>
                            <w:fldChar w:fldCharType="separate"/>
                          </w:r>
                          <w:r>
                            <w:t>185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138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CbW8vjUCAABnBAAADgAAAAAAAAABACAAAAAfAQAAZHJzL2Uyb0RvYy54bWxQ&#10;SwUGAAAAAAYABgBZAQAAxgUAAAAA&#10;">
              <v:fill on="f" focussize="0,0"/>
              <v:stroke on="f" weight="0.5pt"/>
              <v:imagedata o:title=""/>
              <o:lock v:ext="edit" aspectratio="f"/>
              <v:textbox inset="0mm,0mm,0mm,0mm" style="mso-fit-shape-to-text:t;">
                <w:txbxContent>
                  <w:p w14:paraId="078B6140">
                    <w:pPr>
                      <w:pStyle w:val="4"/>
                    </w:pPr>
                    <w:r>
                      <w:fldChar w:fldCharType="begin"/>
                    </w:r>
                    <w:r>
                      <w:instrText xml:space="preserve"> PAGE  \* MERGEFORMAT </w:instrText>
                    </w:r>
                    <w:r>
                      <w:fldChar w:fldCharType="separate"/>
                    </w:r>
                    <w:r>
                      <w:t>185</w:t>
                    </w:r>
                    <w:r>
                      <w:fldChar w:fldCharType="end"/>
                    </w:r>
                  </w:p>
                </w:txbxContent>
              </v:textbox>
            </v:shape>
          </w:pict>
        </mc:Fallback>
      </mc:AlternateContent>
    </w:r>
  </w:p>
</w:ftr>
</file>

<file path=word/footer1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4B6697">
    <w:pPr>
      <w:spacing w:line="170" w:lineRule="auto"/>
      <w:ind w:left="4053"/>
      <w:rPr>
        <w:rFonts w:ascii="仿宋" w:hAnsi="仿宋" w:eastAsia="仿宋" w:cs="仿宋"/>
        <w:sz w:val="18"/>
        <w:szCs w:val="18"/>
      </w:rPr>
    </w:pPr>
    <w:r>
      <w:rPr>
        <w:sz w:val="18"/>
      </w:rPr>
      <mc:AlternateContent>
        <mc:Choice Requires="wps">
          <w:drawing>
            <wp:anchor distT="0" distB="0" distL="114300" distR="114300" simplePos="0" relativeHeight="2518149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429" name="文本框 142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F9A99B1">
                          <w:pPr>
                            <w:pStyle w:val="4"/>
                          </w:pPr>
                          <w:r>
                            <w:fldChar w:fldCharType="begin"/>
                          </w:r>
                          <w:r>
                            <w:instrText xml:space="preserve"> PAGE  \* MERGEFORMAT </w:instrText>
                          </w:r>
                          <w:r>
                            <w:fldChar w:fldCharType="separate"/>
                          </w:r>
                          <w:r>
                            <w:t>191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149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s54/nTUCAABnBAAADgAAAAAAAAABACAAAAAfAQAAZHJzL2Uyb0RvYy54bWxQ&#10;SwUGAAAAAAYABgBZAQAAxgUAAAAA&#10;">
              <v:fill on="f" focussize="0,0"/>
              <v:stroke on="f" weight="0.5pt"/>
              <v:imagedata o:title=""/>
              <o:lock v:ext="edit" aspectratio="f"/>
              <v:textbox inset="0mm,0mm,0mm,0mm" style="mso-fit-shape-to-text:t;">
                <w:txbxContent>
                  <w:p w14:paraId="1F9A99B1">
                    <w:pPr>
                      <w:pStyle w:val="4"/>
                    </w:pPr>
                    <w:r>
                      <w:fldChar w:fldCharType="begin"/>
                    </w:r>
                    <w:r>
                      <w:instrText xml:space="preserve"> PAGE  \* MERGEFORMAT </w:instrText>
                    </w:r>
                    <w:r>
                      <w:fldChar w:fldCharType="separate"/>
                    </w:r>
                    <w:r>
                      <w:t>191</w:t>
                    </w:r>
                    <w:r>
                      <w:fldChar w:fldCharType="end"/>
                    </w:r>
                  </w:p>
                </w:txbxContent>
              </v:textbox>
            </v:shape>
          </w:pict>
        </mc:Fallback>
      </mc:AlternateContent>
    </w:r>
  </w:p>
</w:ftr>
</file>

<file path=word/footer1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42DA19">
    <w:pPr>
      <w:spacing w:line="170" w:lineRule="auto"/>
      <w:ind w:left="4053"/>
      <w:rPr>
        <w:rFonts w:ascii="仿宋" w:hAnsi="仿宋" w:eastAsia="仿宋" w:cs="仿宋"/>
        <w:sz w:val="18"/>
        <w:szCs w:val="18"/>
      </w:rPr>
    </w:pPr>
    <w:r>
      <w:rPr>
        <w:sz w:val="18"/>
      </w:rPr>
      <mc:AlternateContent>
        <mc:Choice Requires="wps">
          <w:drawing>
            <wp:anchor distT="0" distB="0" distL="114300" distR="114300" simplePos="0" relativeHeight="2518159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430" name="文本框 143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8C75A53">
                          <w:pPr>
                            <w:pStyle w:val="4"/>
                          </w:pPr>
                          <w:r>
                            <w:fldChar w:fldCharType="begin"/>
                          </w:r>
                          <w:r>
                            <w:instrText xml:space="preserve"> PAGE  \* MERGEFORMAT </w:instrText>
                          </w:r>
                          <w:r>
                            <w:fldChar w:fldCharType="separate"/>
                          </w:r>
                          <w:r>
                            <w:t>192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159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O2kyDNAIAAGcEAAAOAAAAAAAAAAEAIAAAAB8BAABkcnMvZTJvRG9jLnhtbFBL&#10;BQYAAAAABgAGAFkBAADFBQAAAAA=&#10;">
              <v:fill on="f" focussize="0,0"/>
              <v:stroke on="f" weight="0.5pt"/>
              <v:imagedata o:title=""/>
              <o:lock v:ext="edit" aspectratio="f"/>
              <v:textbox inset="0mm,0mm,0mm,0mm" style="mso-fit-shape-to-text:t;">
                <w:txbxContent>
                  <w:p w14:paraId="18C75A53">
                    <w:pPr>
                      <w:pStyle w:val="4"/>
                    </w:pPr>
                    <w:r>
                      <w:fldChar w:fldCharType="begin"/>
                    </w:r>
                    <w:r>
                      <w:instrText xml:space="preserve"> PAGE  \* MERGEFORMAT </w:instrText>
                    </w:r>
                    <w:r>
                      <w:fldChar w:fldCharType="separate"/>
                    </w:r>
                    <w:r>
                      <w:t>192</w:t>
                    </w:r>
                    <w:r>
                      <w:fldChar w:fldCharType="end"/>
                    </w:r>
                  </w:p>
                </w:txbxContent>
              </v:textbox>
            </v:shape>
          </w:pict>
        </mc:Fallback>
      </mc:AlternateContent>
    </w:r>
  </w:p>
</w:ftr>
</file>

<file path=word/footer1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E8F715">
    <w:pPr>
      <w:spacing w:line="170" w:lineRule="auto"/>
      <w:ind w:left="4053"/>
      <w:rPr>
        <w:rFonts w:ascii="仿宋" w:hAnsi="仿宋" w:eastAsia="仿宋" w:cs="仿宋"/>
        <w:sz w:val="18"/>
        <w:szCs w:val="18"/>
      </w:rPr>
    </w:pPr>
    <w:r>
      <w:rPr>
        <w:sz w:val="18"/>
      </w:rPr>
      <mc:AlternateContent>
        <mc:Choice Requires="wps">
          <w:drawing>
            <wp:anchor distT="0" distB="0" distL="114300" distR="114300" simplePos="0" relativeHeight="2518169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431" name="文本框 143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A1F60BE">
                          <w:pPr>
                            <w:pStyle w:val="4"/>
                          </w:pPr>
                          <w:r>
                            <w:fldChar w:fldCharType="begin"/>
                          </w:r>
                          <w:r>
                            <w:instrText xml:space="preserve"> PAGE  \* MERGEFORMAT </w:instrText>
                          </w:r>
                          <w:r>
                            <w:fldChar w:fldCharType="separate"/>
                          </w:r>
                          <w:r>
                            <w:t>193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169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d9xNdNAIAAGcEAAAOAAAAAAAAAAEAIAAAAB8BAABkcnMvZTJvRG9jLnhtbFBL&#10;BQYAAAAABgAGAFkBAADFBQAAAAA=&#10;">
              <v:fill on="f" focussize="0,0"/>
              <v:stroke on="f" weight="0.5pt"/>
              <v:imagedata o:title=""/>
              <o:lock v:ext="edit" aspectratio="f"/>
              <v:textbox inset="0mm,0mm,0mm,0mm" style="mso-fit-shape-to-text:t;">
                <w:txbxContent>
                  <w:p w14:paraId="6A1F60BE">
                    <w:pPr>
                      <w:pStyle w:val="4"/>
                    </w:pPr>
                    <w:r>
                      <w:fldChar w:fldCharType="begin"/>
                    </w:r>
                    <w:r>
                      <w:instrText xml:space="preserve"> PAGE  \* MERGEFORMAT </w:instrText>
                    </w:r>
                    <w:r>
                      <w:fldChar w:fldCharType="separate"/>
                    </w:r>
                    <w:r>
                      <w:t>193</w:t>
                    </w:r>
                    <w:r>
                      <w:fldChar w:fldCharType="end"/>
                    </w:r>
                  </w:p>
                </w:txbxContent>
              </v:textbox>
            </v:shape>
          </w:pict>
        </mc:Fallback>
      </mc:AlternateContent>
    </w:r>
  </w:p>
</w:ftr>
</file>

<file path=word/footer1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2C39AB">
    <w:pPr>
      <w:spacing w:line="170" w:lineRule="auto"/>
      <w:ind w:left="4053"/>
      <w:rPr>
        <w:rFonts w:ascii="仿宋" w:hAnsi="仿宋" w:eastAsia="仿宋" w:cs="仿宋"/>
        <w:sz w:val="18"/>
        <w:szCs w:val="18"/>
      </w:rPr>
    </w:pPr>
    <w:r>
      <w:rPr>
        <w:sz w:val="18"/>
      </w:rPr>
      <mc:AlternateContent>
        <mc:Choice Requires="wps">
          <w:drawing>
            <wp:anchor distT="0" distB="0" distL="114300" distR="114300" simplePos="0" relativeHeight="2518179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432" name="文本框 14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D16DBCD">
                          <w:pPr>
                            <w:pStyle w:val="4"/>
                          </w:pPr>
                          <w:r>
                            <w:fldChar w:fldCharType="begin"/>
                          </w:r>
                          <w:r>
                            <w:instrText xml:space="preserve"> PAGE  \* MERGEFORMAT </w:instrText>
                          </w:r>
                          <w:r>
                            <w:fldChar w:fldCharType="separate"/>
                          </w:r>
                          <w:r>
                            <w:t>194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179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6YaD5DUCAABnBAAADgAAAAAAAAABACAAAAAfAQAAZHJzL2Uyb0RvYy54bWxQ&#10;SwUGAAAAAAYABgBZAQAAxgUAAAAA&#10;">
              <v:fill on="f" focussize="0,0"/>
              <v:stroke on="f" weight="0.5pt"/>
              <v:imagedata o:title=""/>
              <o:lock v:ext="edit" aspectratio="f"/>
              <v:textbox inset="0mm,0mm,0mm,0mm" style="mso-fit-shape-to-text:t;">
                <w:txbxContent>
                  <w:p w14:paraId="4D16DBCD">
                    <w:pPr>
                      <w:pStyle w:val="4"/>
                    </w:pPr>
                    <w:r>
                      <w:fldChar w:fldCharType="begin"/>
                    </w:r>
                    <w:r>
                      <w:instrText xml:space="preserve"> PAGE  \* MERGEFORMAT </w:instrText>
                    </w:r>
                    <w:r>
                      <w:fldChar w:fldCharType="separate"/>
                    </w:r>
                    <w:r>
                      <w:t>194</w:t>
                    </w:r>
                    <w: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FED6CB">
    <w:pPr>
      <w:spacing w:line="176" w:lineRule="auto"/>
      <w:ind w:left="4087"/>
      <w:rPr>
        <w:rFonts w:ascii="Times New Roman" w:hAnsi="Times New Roman" w:eastAsia="Times New Roman" w:cs="Times New Roman"/>
        <w:sz w:val="21"/>
        <w:szCs w:val="21"/>
      </w:rPr>
    </w:pPr>
    <w:r>
      <w:rPr>
        <w:sz w:val="21"/>
      </w:rP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266" name="文本框 126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C0ABC9D">
                          <w:pPr>
                            <w:pStyle w:val="4"/>
                          </w:pPr>
                          <w:r>
                            <w:fldChar w:fldCharType="begin"/>
                          </w:r>
                          <w:r>
                            <w:instrText xml:space="preserve"> PAGE  \* MERGEFORMAT </w:instrText>
                          </w:r>
                          <w:r>
                            <w:fldChar w:fldCharType="separate"/>
                          </w:r>
                          <w:r>
                            <w:t>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L2MwLNAIAAGcEAAAOAAAAAAAAAAEAIAAAAB8BAABkcnMvZTJvRG9jLnhtbFBL&#10;BQYAAAAABgAGAFkBAADFBQAAAAA=&#10;">
              <v:fill on="f" focussize="0,0"/>
              <v:stroke on="f" weight="0.5pt"/>
              <v:imagedata o:title=""/>
              <o:lock v:ext="edit" aspectratio="f"/>
              <v:textbox inset="0mm,0mm,0mm,0mm" style="mso-fit-shape-to-text:t;">
                <w:txbxContent>
                  <w:p w14:paraId="7C0ABC9D">
                    <w:pPr>
                      <w:pStyle w:val="4"/>
                    </w:pPr>
                    <w:r>
                      <w:fldChar w:fldCharType="begin"/>
                    </w:r>
                    <w:r>
                      <w:instrText xml:space="preserve"> PAGE  \* MERGEFORMAT </w:instrText>
                    </w:r>
                    <w:r>
                      <w:fldChar w:fldCharType="separate"/>
                    </w:r>
                    <w:r>
                      <w:t>6</w:t>
                    </w:r>
                    <w:r>
                      <w:fldChar w:fldCharType="end"/>
                    </w:r>
                  </w:p>
                </w:txbxContent>
              </v:textbox>
            </v:shape>
          </w:pict>
        </mc:Fallback>
      </mc:AlternateContent>
    </w:r>
  </w:p>
</w:ftr>
</file>

<file path=word/footer1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E2A653">
    <w:pPr>
      <w:spacing w:line="170" w:lineRule="auto"/>
      <w:ind w:left="4048"/>
      <w:rPr>
        <w:rFonts w:ascii="仿宋" w:hAnsi="仿宋" w:eastAsia="仿宋" w:cs="仿宋"/>
        <w:sz w:val="18"/>
        <w:szCs w:val="18"/>
      </w:rPr>
    </w:pPr>
    <w:r>
      <w:rPr>
        <w:sz w:val="18"/>
      </w:rPr>
      <mc:AlternateContent>
        <mc:Choice Requires="wps">
          <w:drawing>
            <wp:anchor distT="0" distB="0" distL="114300" distR="114300" simplePos="0" relativeHeight="2518190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33" name="文本框 143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8C96FC2">
                          <w:pPr>
                            <w:pStyle w:val="4"/>
                          </w:pPr>
                          <w:r>
                            <w:fldChar w:fldCharType="begin"/>
                          </w:r>
                          <w:r>
                            <w:instrText xml:space="preserve"> PAGE  \* MERGEFORMAT </w:instrText>
                          </w:r>
                          <w:r>
                            <w:fldChar w:fldCharType="separate"/>
                          </w:r>
                          <w:r>
                            <w:t>195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190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qvcOjUCAABnBAAADgAAAAAAAAABACAAAAAfAQAAZHJzL2Uyb0RvYy54bWxQ&#10;SwUGAAAAAAYABgBZAQAAxgUAAAAA&#10;">
              <v:fill on="f" focussize="0,0"/>
              <v:stroke on="f" weight="0.5pt"/>
              <v:imagedata o:title=""/>
              <o:lock v:ext="edit" aspectratio="f"/>
              <v:textbox inset="0mm,0mm,0mm,0mm" style="mso-fit-shape-to-text:t;">
                <w:txbxContent>
                  <w:p w14:paraId="58C96FC2">
                    <w:pPr>
                      <w:pStyle w:val="4"/>
                    </w:pPr>
                    <w:r>
                      <w:fldChar w:fldCharType="begin"/>
                    </w:r>
                    <w:r>
                      <w:instrText xml:space="preserve"> PAGE  \* MERGEFORMAT </w:instrText>
                    </w:r>
                    <w:r>
                      <w:fldChar w:fldCharType="separate"/>
                    </w:r>
                    <w:r>
                      <w:t>195</w:t>
                    </w:r>
                    <w:r>
                      <w:fldChar w:fldCharType="end"/>
                    </w:r>
                  </w:p>
                </w:txbxContent>
              </v:textbox>
            </v:shape>
          </w:pict>
        </mc:Fallback>
      </mc:AlternateContent>
    </w:r>
  </w:p>
</w:ftr>
</file>

<file path=word/footer1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A56C96">
    <w:pPr>
      <w:spacing w:line="170" w:lineRule="auto"/>
      <w:ind w:left="4048"/>
      <w:rPr>
        <w:rFonts w:ascii="仿宋" w:hAnsi="仿宋" w:eastAsia="仿宋" w:cs="仿宋"/>
        <w:sz w:val="18"/>
        <w:szCs w:val="18"/>
      </w:rPr>
    </w:pPr>
    <w:r>
      <w:rPr>
        <w:sz w:val="18"/>
      </w:rPr>
      <mc:AlternateContent>
        <mc:Choice Requires="wps">
          <w:drawing>
            <wp:anchor distT="0" distB="0" distL="114300" distR="114300" simplePos="0" relativeHeight="2518200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434" name="文本框 143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723ACFE">
                          <w:pPr>
                            <w:pStyle w:val="4"/>
                          </w:pPr>
                          <w:r>
                            <w:fldChar w:fldCharType="begin"/>
                          </w:r>
                          <w:r>
                            <w:instrText xml:space="preserve"> PAGE  \* MERGEFORMAT </w:instrText>
                          </w:r>
                          <w:r>
                            <w:fldChar w:fldCharType="separate"/>
                          </w:r>
                          <w:r>
                            <w:t>196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200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s0lY7tAAAAAFAQAADwAAAAAAAAABACAAAAAiAAAAZHJzL2Rvd25yZXYueG1sUEsB&#10;AhQAFAAAAAgAh07iQEBi0kw2AgAAZwQAAA4AAAAAAAAAAQAgAAAAHwEAAGRycy9lMm9Eb2MueG1s&#10;UEsFBgAAAAAGAAYAWQEAAMcFAAAAAA==&#10;">
              <v:fill on="f" focussize="0,0"/>
              <v:stroke on="f" weight="0.5pt"/>
              <v:imagedata o:title=""/>
              <o:lock v:ext="edit" aspectratio="f"/>
              <v:textbox inset="0mm,0mm,0mm,0mm" style="mso-fit-shape-to-text:t;">
                <w:txbxContent>
                  <w:p w14:paraId="3723ACFE">
                    <w:pPr>
                      <w:pStyle w:val="4"/>
                    </w:pPr>
                    <w:r>
                      <w:fldChar w:fldCharType="begin"/>
                    </w:r>
                    <w:r>
                      <w:instrText xml:space="preserve"> PAGE  \* MERGEFORMAT </w:instrText>
                    </w:r>
                    <w:r>
                      <w:fldChar w:fldCharType="separate"/>
                    </w:r>
                    <w:r>
                      <w:t>196</w:t>
                    </w:r>
                    <w:r>
                      <w:fldChar w:fldCharType="end"/>
                    </w:r>
                  </w:p>
                </w:txbxContent>
              </v:textbox>
            </v:shape>
          </w:pict>
        </mc:Fallback>
      </mc:AlternateContent>
    </w:r>
  </w:p>
</w:ftr>
</file>

<file path=word/footer1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16583E">
    <w:pPr>
      <w:spacing w:line="170" w:lineRule="auto"/>
      <w:ind w:left="4172"/>
      <w:rPr>
        <w:rFonts w:ascii="仿宋" w:hAnsi="仿宋" w:eastAsia="仿宋" w:cs="仿宋"/>
        <w:sz w:val="18"/>
        <w:szCs w:val="18"/>
      </w:rPr>
    </w:pPr>
    <w:r>
      <w:rPr>
        <w:sz w:val="18"/>
      </w:rPr>
      <mc:AlternateContent>
        <mc:Choice Requires="wps">
          <w:drawing>
            <wp:anchor distT="0" distB="0" distL="114300" distR="114300" simplePos="0" relativeHeight="2518210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435" name="文本框 14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091E623">
                          <w:pPr>
                            <w:pStyle w:val="4"/>
                          </w:pPr>
                          <w:r>
                            <w:fldChar w:fldCharType="begin"/>
                          </w:r>
                          <w:r>
                            <w:instrText xml:space="preserve"> PAGE  \* MERGEFORMAT </w:instrText>
                          </w:r>
                          <w:r>
                            <w:fldChar w:fldCharType="separate"/>
                          </w:r>
                          <w:r>
                            <w:t>197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210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s0lY7tAAAAAFAQAADwAAAAAAAAABACAAAAAiAAAAZHJzL2Rvd25yZXYueG1sUEsB&#10;AhQAFAAAAAgAh07iQFNPjZI2AgAAZwQAAA4AAAAAAAAAAQAgAAAAHwEAAGRycy9lMm9Eb2MueG1s&#10;UEsFBgAAAAAGAAYAWQEAAMcFAAAAAA==&#10;">
              <v:fill on="f" focussize="0,0"/>
              <v:stroke on="f" weight="0.5pt"/>
              <v:imagedata o:title=""/>
              <o:lock v:ext="edit" aspectratio="f"/>
              <v:textbox inset="0mm,0mm,0mm,0mm" style="mso-fit-shape-to-text:t;">
                <w:txbxContent>
                  <w:p w14:paraId="2091E623">
                    <w:pPr>
                      <w:pStyle w:val="4"/>
                    </w:pPr>
                    <w:r>
                      <w:fldChar w:fldCharType="begin"/>
                    </w:r>
                    <w:r>
                      <w:instrText xml:space="preserve"> PAGE  \* MERGEFORMAT </w:instrText>
                    </w:r>
                    <w:r>
                      <w:fldChar w:fldCharType="separate"/>
                    </w:r>
                    <w:r>
                      <w:t>197</w:t>
                    </w:r>
                    <w:r>
                      <w:fldChar w:fldCharType="end"/>
                    </w:r>
                  </w:p>
                </w:txbxContent>
              </v:textbox>
            </v:shape>
          </w:pict>
        </mc:Fallback>
      </mc:AlternateContent>
    </w:r>
  </w:p>
</w:ftr>
</file>

<file path=word/footer1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482744">
    <w:pPr>
      <w:spacing w:line="170" w:lineRule="auto"/>
      <w:ind w:left="4172"/>
      <w:rPr>
        <w:rFonts w:ascii="仿宋" w:hAnsi="仿宋" w:eastAsia="仿宋" w:cs="仿宋"/>
        <w:sz w:val="18"/>
        <w:szCs w:val="18"/>
      </w:rPr>
    </w:pPr>
    <w:r>
      <w:rPr>
        <w:sz w:val="18"/>
      </w:rPr>
      <mc:AlternateContent>
        <mc:Choice Requires="wps">
          <w:drawing>
            <wp:anchor distT="0" distB="0" distL="114300" distR="114300" simplePos="0" relativeHeight="2518220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436" name="文本框 143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019D0AF">
                          <w:pPr>
                            <w:pStyle w:val="4"/>
                          </w:pPr>
                          <w:r>
                            <w:fldChar w:fldCharType="begin"/>
                          </w:r>
                          <w:r>
                            <w:instrText xml:space="preserve"> PAGE  \* MERGEFORMAT </w:instrText>
                          </w:r>
                          <w:r>
                            <w:fldChar w:fldCharType="separate"/>
                          </w:r>
                          <w:r>
                            <w:t>198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220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Jz4dKzUCAABnBAAADgAAAAAAAAABACAAAAAfAQAAZHJzL2Uyb0RvYy54bWxQ&#10;SwUGAAAAAAYABgBZAQAAxgUAAAAA&#10;">
              <v:fill on="f" focussize="0,0"/>
              <v:stroke on="f" weight="0.5pt"/>
              <v:imagedata o:title=""/>
              <o:lock v:ext="edit" aspectratio="f"/>
              <v:textbox inset="0mm,0mm,0mm,0mm" style="mso-fit-shape-to-text:t;">
                <w:txbxContent>
                  <w:p w14:paraId="2019D0AF">
                    <w:pPr>
                      <w:pStyle w:val="4"/>
                    </w:pPr>
                    <w:r>
                      <w:fldChar w:fldCharType="begin"/>
                    </w:r>
                    <w:r>
                      <w:instrText xml:space="preserve"> PAGE  \* MERGEFORMAT </w:instrText>
                    </w:r>
                    <w:r>
                      <w:fldChar w:fldCharType="separate"/>
                    </w:r>
                    <w:r>
                      <w:t>198</w:t>
                    </w:r>
                    <w:r>
                      <w:fldChar w:fldCharType="end"/>
                    </w:r>
                  </w:p>
                </w:txbxContent>
              </v:textbox>
            </v:shape>
          </w:pict>
        </mc:Fallback>
      </mc:AlternateContent>
    </w:r>
  </w:p>
</w:ftr>
</file>

<file path=word/footer1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3BCDD6">
    <w:pPr>
      <w:spacing w:line="170" w:lineRule="auto"/>
      <w:ind w:left="4048"/>
      <w:rPr>
        <w:rFonts w:ascii="仿宋" w:hAnsi="仿宋" w:eastAsia="仿宋" w:cs="仿宋"/>
        <w:sz w:val="18"/>
        <w:szCs w:val="18"/>
      </w:rPr>
    </w:pPr>
    <w:r>
      <w:rPr>
        <w:sz w:val="18"/>
      </w:rPr>
      <mc:AlternateContent>
        <mc:Choice Requires="wps">
          <w:drawing>
            <wp:anchor distT="0" distB="0" distL="114300" distR="114300" simplePos="0" relativeHeight="2518231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437" name="文本框 143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CCD6DA5">
                          <w:pPr>
                            <w:pStyle w:val="4"/>
                          </w:pPr>
                          <w:r>
                            <w:fldChar w:fldCharType="begin"/>
                          </w:r>
                          <w:r>
                            <w:instrText xml:space="preserve"> PAGE  \* MERGEFORMAT </w:instrText>
                          </w:r>
                          <w:r>
                            <w:fldChar w:fldCharType="separate"/>
                          </w:r>
                          <w:r>
                            <w:t>199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231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s0lY7tAAAAAFAQAADwAAAAAAAAABACAAAAAiAAAAZHJzL2Rvd25yZXYueG1sUEsB&#10;AhQAFAAAAAgAh07iQDQTQvU2AgAAZwQAAA4AAAAAAAAAAQAgAAAAHwEAAGRycy9lMm9Eb2MueG1s&#10;UEsFBgAAAAAGAAYAWQEAAMcFAAAAAA==&#10;">
              <v:fill on="f" focussize="0,0"/>
              <v:stroke on="f" weight="0.5pt"/>
              <v:imagedata o:title=""/>
              <o:lock v:ext="edit" aspectratio="f"/>
              <v:textbox inset="0mm,0mm,0mm,0mm" style="mso-fit-shape-to-text:t;">
                <w:txbxContent>
                  <w:p w14:paraId="7CCD6DA5">
                    <w:pPr>
                      <w:pStyle w:val="4"/>
                    </w:pPr>
                    <w:r>
                      <w:fldChar w:fldCharType="begin"/>
                    </w:r>
                    <w:r>
                      <w:instrText xml:space="preserve"> PAGE  \* MERGEFORMAT </w:instrText>
                    </w:r>
                    <w:r>
                      <w:fldChar w:fldCharType="separate"/>
                    </w:r>
                    <w:r>
                      <w:t>199</w:t>
                    </w:r>
                    <w:r>
                      <w:fldChar w:fldCharType="end"/>
                    </w:r>
                  </w:p>
                </w:txbxContent>
              </v:textbox>
            </v:shape>
          </w:pict>
        </mc:Fallback>
      </mc:AlternateContent>
    </w:r>
  </w:p>
</w:ftr>
</file>

<file path=word/footer1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A57D47">
    <w:pPr>
      <w:spacing w:line="170" w:lineRule="auto"/>
      <w:ind w:left="4124"/>
      <w:rPr>
        <w:rFonts w:ascii="仿宋" w:hAnsi="仿宋" w:eastAsia="仿宋" w:cs="仿宋"/>
        <w:sz w:val="18"/>
        <w:szCs w:val="18"/>
      </w:rPr>
    </w:pPr>
    <w:r>
      <w:rPr>
        <w:sz w:val="18"/>
      </w:rPr>
      <mc:AlternateContent>
        <mc:Choice Requires="wps">
          <w:drawing>
            <wp:anchor distT="0" distB="0" distL="114300" distR="114300" simplePos="0" relativeHeight="2518241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38" name="文本框 14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9310C5A">
                          <w:pPr>
                            <w:pStyle w:val="4"/>
                          </w:pPr>
                          <w:r>
                            <w:fldChar w:fldCharType="begin"/>
                          </w:r>
                          <w:r>
                            <w:instrText xml:space="preserve"> PAGE  \* MERGEFORMAT </w:instrText>
                          </w:r>
                          <w:r>
                            <w:fldChar w:fldCharType="separate"/>
                          </w:r>
                          <w:r>
                            <w:t>200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241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TrQDHNAIAAGcEAAAOAAAAAAAAAAEAIAAAAB8BAABkcnMvZTJvRG9jLnhtbFBL&#10;BQYAAAAABgAGAFkBAADFBQAAAAA=&#10;">
              <v:fill on="f" focussize="0,0"/>
              <v:stroke on="f" weight="0.5pt"/>
              <v:imagedata o:title=""/>
              <o:lock v:ext="edit" aspectratio="f"/>
              <v:textbox inset="0mm,0mm,0mm,0mm" style="mso-fit-shape-to-text:t;">
                <w:txbxContent>
                  <w:p w14:paraId="09310C5A">
                    <w:pPr>
                      <w:pStyle w:val="4"/>
                    </w:pPr>
                    <w:r>
                      <w:fldChar w:fldCharType="begin"/>
                    </w:r>
                    <w:r>
                      <w:instrText xml:space="preserve"> PAGE  \* MERGEFORMAT </w:instrText>
                    </w:r>
                    <w:r>
                      <w:fldChar w:fldCharType="separate"/>
                    </w:r>
                    <w:r>
                      <w:t>200</w:t>
                    </w:r>
                    <w:r>
                      <w:fldChar w:fldCharType="end"/>
                    </w:r>
                  </w:p>
                </w:txbxContent>
              </v:textbox>
            </v:shape>
          </w:pict>
        </mc:Fallback>
      </mc:AlternateContent>
    </w:r>
  </w:p>
</w:ftr>
</file>

<file path=word/footer1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6DA95E">
    <w:pPr>
      <w:spacing w:line="170" w:lineRule="auto"/>
      <w:ind w:left="4360"/>
      <w:rPr>
        <w:rFonts w:ascii="仿宋" w:hAnsi="仿宋" w:eastAsia="仿宋" w:cs="仿宋"/>
        <w:sz w:val="18"/>
        <w:szCs w:val="18"/>
      </w:rPr>
    </w:pPr>
    <w:r>
      <w:rPr>
        <w:sz w:val="18"/>
      </w:rPr>
      <mc:AlternateContent>
        <mc:Choice Requires="wps">
          <w:drawing>
            <wp:anchor distT="0" distB="0" distL="114300" distR="114300" simplePos="0" relativeHeight="2518251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439" name="文本框 143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1B1C5DC">
                          <w:pPr>
                            <w:pStyle w:val="4"/>
                          </w:pPr>
                          <w:r>
                            <w:fldChar w:fldCharType="begin"/>
                          </w:r>
                          <w:r>
                            <w:instrText xml:space="preserve"> PAGE  \* MERGEFORMAT </w:instrText>
                          </w:r>
                          <w:r>
                            <w:fldChar w:fldCharType="separate"/>
                          </w:r>
                          <w:r>
                            <w:t>201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251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s0lY7tAAAAAFAQAADwAAAAAAAAABACAAAAAiAAAAZHJzL2Rvd25yZXYueG1sUEsB&#10;AhQAFAAAAAgAh07iQECAXxk2AgAAZwQAAA4AAAAAAAAAAQAgAAAAHwEAAGRycy9lMm9Eb2MueG1s&#10;UEsFBgAAAAAGAAYAWQEAAMcFAAAAAA==&#10;">
              <v:fill on="f" focussize="0,0"/>
              <v:stroke on="f" weight="0.5pt"/>
              <v:imagedata o:title=""/>
              <o:lock v:ext="edit" aspectratio="f"/>
              <v:textbox inset="0mm,0mm,0mm,0mm" style="mso-fit-shape-to-text:t;">
                <w:txbxContent>
                  <w:p w14:paraId="61B1C5DC">
                    <w:pPr>
                      <w:pStyle w:val="4"/>
                    </w:pPr>
                    <w:r>
                      <w:fldChar w:fldCharType="begin"/>
                    </w:r>
                    <w:r>
                      <w:instrText xml:space="preserve"> PAGE  \* MERGEFORMAT </w:instrText>
                    </w:r>
                    <w:r>
                      <w:fldChar w:fldCharType="separate"/>
                    </w:r>
                    <w:r>
                      <w:t>201</w:t>
                    </w:r>
                    <w:r>
                      <w:fldChar w:fldCharType="end"/>
                    </w:r>
                  </w:p>
                </w:txbxContent>
              </v:textbox>
            </v:shape>
          </w:pict>
        </mc:Fallback>
      </mc:AlternateContent>
    </w:r>
  </w:p>
</w:ftr>
</file>

<file path=word/footer1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114428">
    <w:pPr>
      <w:spacing w:line="170" w:lineRule="auto"/>
      <w:ind w:left="4292"/>
      <w:rPr>
        <w:rFonts w:ascii="仿宋" w:hAnsi="仿宋" w:eastAsia="仿宋" w:cs="仿宋"/>
        <w:sz w:val="18"/>
        <w:szCs w:val="18"/>
      </w:rPr>
    </w:pPr>
    <w:r>
      <w:rPr>
        <w:sz w:val="18"/>
      </w:rPr>
      <mc:AlternateContent>
        <mc:Choice Requires="wps">
          <w:drawing>
            <wp:anchor distT="0" distB="0" distL="114300" distR="114300" simplePos="0" relativeHeight="251826176" behindDoc="0" locked="0" layoutInCell="1" allowOverlap="1">
              <wp:simplePos x="0" y="0"/>
              <wp:positionH relativeFrom="margin">
                <wp:align>center</wp:align>
              </wp:positionH>
              <wp:positionV relativeFrom="paragraph">
                <wp:posOffset>0</wp:posOffset>
              </wp:positionV>
              <wp:extent cx="1828800" cy="1828800"/>
              <wp:effectExtent l="0" t="0" r="0" b="0"/>
              <wp:wrapNone/>
              <wp:docPr id="1440" name="文本框 144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67CAB0E">
                          <w:pPr>
                            <w:pStyle w:val="4"/>
                          </w:pPr>
                          <w:r>
                            <w:fldChar w:fldCharType="begin"/>
                          </w:r>
                          <w:r>
                            <w:instrText xml:space="preserve"> PAGE  \* MERGEFORMAT </w:instrText>
                          </w:r>
                          <w:r>
                            <w:fldChar w:fldCharType="separate"/>
                          </w:r>
                          <w:r>
                            <w:t>202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261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Vjo6oNAIAAGcEAAAOAAAAAAAAAAEAIAAAAB8BAABkcnMvZTJvRG9jLnhtbFBL&#10;BQYAAAAABgAGAFkBAADFBQAAAAA=&#10;">
              <v:fill on="f" focussize="0,0"/>
              <v:stroke on="f" weight="0.5pt"/>
              <v:imagedata o:title=""/>
              <o:lock v:ext="edit" aspectratio="f"/>
              <v:textbox inset="0mm,0mm,0mm,0mm" style="mso-fit-shape-to-text:t;">
                <w:txbxContent>
                  <w:p w14:paraId="667CAB0E">
                    <w:pPr>
                      <w:pStyle w:val="4"/>
                    </w:pPr>
                    <w:r>
                      <w:fldChar w:fldCharType="begin"/>
                    </w:r>
                    <w:r>
                      <w:instrText xml:space="preserve"> PAGE  \* MERGEFORMAT </w:instrText>
                    </w:r>
                    <w:r>
                      <w:fldChar w:fldCharType="separate"/>
                    </w:r>
                    <w:r>
                      <w:t>202</w:t>
                    </w:r>
                    <w:r>
                      <w:fldChar w:fldCharType="end"/>
                    </w:r>
                  </w:p>
                </w:txbxContent>
              </v:textbox>
            </v:shape>
          </w:pict>
        </mc:Fallback>
      </mc:AlternateContent>
    </w:r>
  </w:p>
</w:ftr>
</file>

<file path=word/footer1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EBAA2A">
    <w:pPr>
      <w:spacing w:line="170" w:lineRule="auto"/>
      <w:ind w:left="4120"/>
      <w:rPr>
        <w:rFonts w:ascii="仿宋" w:hAnsi="仿宋" w:eastAsia="仿宋" w:cs="仿宋"/>
        <w:sz w:val="18"/>
        <w:szCs w:val="18"/>
      </w:rPr>
    </w:pPr>
    <w:r>
      <w:rPr>
        <w:sz w:val="18"/>
      </w:rPr>
      <mc:AlternateContent>
        <mc:Choice Requires="wps">
          <w:drawing>
            <wp:anchor distT="0" distB="0" distL="114300" distR="114300" simplePos="0" relativeHeight="251827200" behindDoc="0" locked="0" layoutInCell="1" allowOverlap="1">
              <wp:simplePos x="0" y="0"/>
              <wp:positionH relativeFrom="margin">
                <wp:align>center</wp:align>
              </wp:positionH>
              <wp:positionV relativeFrom="paragraph">
                <wp:posOffset>0</wp:posOffset>
              </wp:positionV>
              <wp:extent cx="1828800" cy="1828800"/>
              <wp:effectExtent l="0" t="0" r="0" b="0"/>
              <wp:wrapNone/>
              <wp:docPr id="1441" name="文本框 144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95E6B01">
                          <w:pPr>
                            <w:pStyle w:val="4"/>
                          </w:pPr>
                          <w:r>
                            <w:fldChar w:fldCharType="begin"/>
                          </w:r>
                          <w:r>
                            <w:instrText xml:space="preserve"> PAGE  \* MERGEFORMAT </w:instrText>
                          </w:r>
                          <w:r>
                            <w:fldChar w:fldCharType="separate"/>
                          </w:r>
                          <w:r>
                            <w:t>203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272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Go9F2NAIAAGcEAAAOAAAAAAAAAAEAIAAAAB8BAABkcnMvZTJvRG9jLnhtbFBL&#10;BQYAAAAABgAGAFkBAADFBQAAAAA=&#10;">
              <v:fill on="f" focussize="0,0"/>
              <v:stroke on="f" weight="0.5pt"/>
              <v:imagedata o:title=""/>
              <o:lock v:ext="edit" aspectratio="f"/>
              <v:textbox inset="0mm,0mm,0mm,0mm" style="mso-fit-shape-to-text:t;">
                <w:txbxContent>
                  <w:p w14:paraId="695E6B01">
                    <w:pPr>
                      <w:pStyle w:val="4"/>
                    </w:pPr>
                    <w:r>
                      <w:fldChar w:fldCharType="begin"/>
                    </w:r>
                    <w:r>
                      <w:instrText xml:space="preserve"> PAGE  \* MERGEFORMAT </w:instrText>
                    </w:r>
                    <w:r>
                      <w:fldChar w:fldCharType="separate"/>
                    </w:r>
                    <w:r>
                      <w:t>203</w:t>
                    </w:r>
                    <w:r>
                      <w:fldChar w:fldCharType="end"/>
                    </w:r>
                  </w:p>
                </w:txbxContent>
              </v:textbox>
            </v:shape>
          </w:pict>
        </mc:Fallback>
      </mc:AlternateContent>
    </w:r>
  </w:p>
</w:ftr>
</file>

<file path=word/footer1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2D15A0">
    <w:pPr>
      <w:spacing w:line="170" w:lineRule="auto"/>
      <w:ind w:left="4124"/>
      <w:rPr>
        <w:rFonts w:ascii="仿宋" w:hAnsi="仿宋" w:eastAsia="仿宋" w:cs="仿宋"/>
        <w:sz w:val="18"/>
        <w:szCs w:val="18"/>
      </w:rPr>
    </w:pPr>
    <w:r>
      <w:rPr>
        <w:sz w:val="18"/>
      </w:rPr>
      <mc:AlternateContent>
        <mc:Choice Requires="wps">
          <w:drawing>
            <wp:anchor distT="0" distB="0" distL="114300" distR="114300" simplePos="0" relativeHeight="251828224" behindDoc="0" locked="0" layoutInCell="1" allowOverlap="1">
              <wp:simplePos x="0" y="0"/>
              <wp:positionH relativeFrom="margin">
                <wp:align>center</wp:align>
              </wp:positionH>
              <wp:positionV relativeFrom="paragraph">
                <wp:posOffset>0</wp:posOffset>
              </wp:positionV>
              <wp:extent cx="1828800" cy="1828800"/>
              <wp:effectExtent l="0" t="0" r="0" b="0"/>
              <wp:wrapNone/>
              <wp:docPr id="1442" name="文本框 144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9497154">
                          <w:pPr>
                            <w:pStyle w:val="4"/>
                          </w:pPr>
                          <w:r>
                            <w:fldChar w:fldCharType="begin"/>
                          </w:r>
                          <w:r>
                            <w:instrText xml:space="preserve"> PAGE  \* MERGEFORMAT </w:instrText>
                          </w:r>
                          <w:r>
                            <w:fldChar w:fldCharType="separate"/>
                          </w:r>
                          <w:r>
                            <w:t>204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282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stJBzzUCAABnBAAADgAAAAAAAAABACAAAAAfAQAAZHJzL2Uyb0RvYy54bWxQ&#10;SwUGAAAAAAYABgBZAQAAxgUAAAAA&#10;">
              <v:fill on="f" focussize="0,0"/>
              <v:stroke on="f" weight="0.5pt"/>
              <v:imagedata o:title=""/>
              <o:lock v:ext="edit" aspectratio="f"/>
              <v:textbox inset="0mm,0mm,0mm,0mm" style="mso-fit-shape-to-text:t;">
                <w:txbxContent>
                  <w:p w14:paraId="79497154">
                    <w:pPr>
                      <w:pStyle w:val="4"/>
                    </w:pPr>
                    <w:r>
                      <w:fldChar w:fldCharType="begin"/>
                    </w:r>
                    <w:r>
                      <w:instrText xml:space="preserve"> PAGE  \* MERGEFORMAT </w:instrText>
                    </w:r>
                    <w:r>
                      <w:fldChar w:fldCharType="separate"/>
                    </w:r>
                    <w:r>
                      <w:t>204</w:t>
                    </w:r>
                    <w:r>
                      <w:fldChar w:fldCharType="end"/>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748305">
    <w:pPr>
      <w:spacing w:line="176" w:lineRule="auto"/>
      <w:ind w:left="4087"/>
      <w:rPr>
        <w:rFonts w:ascii="Times New Roman" w:hAnsi="Times New Roman" w:eastAsia="Times New Roman" w:cs="Times New Roman"/>
        <w:sz w:val="21"/>
        <w:szCs w:val="21"/>
      </w:rPr>
    </w:pPr>
    <w:r>
      <w:rPr>
        <w:sz w:val="21"/>
      </w:rP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1267" name="文本框 126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53812E1">
                          <w:pPr>
                            <w:pStyle w:val="4"/>
                          </w:pPr>
                          <w:r>
                            <w:fldChar w:fldCharType="begin"/>
                          </w:r>
                          <w:r>
                            <w:instrText xml:space="preserve"> PAGE  \* MERGEFORMAT </w:instrText>
                          </w:r>
                          <w:r>
                            <w:fldChar w:fldCharType="separate"/>
                          </w:r>
                          <w:r>
                            <w:t>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WPWT1TUCAABnBAAADgAAAAAAAAABACAAAAAfAQAAZHJzL2Uyb0RvYy54bWxQ&#10;SwUGAAAAAAYABgBZAQAAxgUAAAAA&#10;">
              <v:fill on="f" focussize="0,0"/>
              <v:stroke on="f" weight="0.5pt"/>
              <v:imagedata o:title=""/>
              <o:lock v:ext="edit" aspectratio="f"/>
              <v:textbox inset="0mm,0mm,0mm,0mm" style="mso-fit-shape-to-text:t;">
                <w:txbxContent>
                  <w:p w14:paraId="153812E1">
                    <w:pPr>
                      <w:pStyle w:val="4"/>
                    </w:pPr>
                    <w:r>
                      <w:fldChar w:fldCharType="begin"/>
                    </w:r>
                    <w:r>
                      <w:instrText xml:space="preserve"> PAGE  \* MERGEFORMAT </w:instrText>
                    </w:r>
                    <w:r>
                      <w:fldChar w:fldCharType="separate"/>
                    </w:r>
                    <w:r>
                      <w:t>7</w:t>
                    </w:r>
                    <w:r>
                      <w:fldChar w:fldCharType="end"/>
                    </w:r>
                  </w:p>
                </w:txbxContent>
              </v:textbox>
            </v:shape>
          </w:pict>
        </mc:Fallback>
      </mc:AlternateContent>
    </w:r>
  </w:p>
</w:ftr>
</file>

<file path=word/footer1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10742A">
    <w:pPr>
      <w:spacing w:line="170" w:lineRule="auto"/>
      <w:ind w:left="4657"/>
      <w:rPr>
        <w:rFonts w:ascii="仿宋" w:hAnsi="仿宋" w:eastAsia="仿宋" w:cs="仿宋"/>
        <w:sz w:val="18"/>
        <w:szCs w:val="18"/>
      </w:rPr>
    </w:pPr>
    <w:r>
      <w:rPr>
        <w:sz w:val="18"/>
      </w:rPr>
      <mc:AlternateContent>
        <mc:Choice Requires="wps">
          <w:drawing>
            <wp:anchor distT="0" distB="0" distL="114300" distR="114300" simplePos="0" relativeHeight="25182924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43" name="文本框 144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B20AD32">
                          <w:pPr>
                            <w:pStyle w:val="4"/>
                          </w:pPr>
                          <w:r>
                            <w:fldChar w:fldCharType="begin"/>
                          </w:r>
                          <w:r>
                            <w:instrText xml:space="preserve"> PAGE  \* MERGEFORMAT </w:instrText>
                          </w:r>
                          <w:r>
                            <w:fldChar w:fldCharType="separate"/>
                          </w:r>
                          <w:r>
                            <w:t>205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292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s0lY7tAAAAAFAQAADwAAAAAAAAABACAAAAAiAAAAZHJzL2Rvd25yZXYueG1sUEsB&#10;AhQAFAAAAAgAh07iQKH/HhE2AgAAZwQAAA4AAAAAAAAAAQAgAAAAHwEAAGRycy9lMm9Eb2MueG1s&#10;UEsFBgAAAAAGAAYAWQEAAMcFAAAAAA==&#10;">
              <v:fill on="f" focussize="0,0"/>
              <v:stroke on="f" weight="0.5pt"/>
              <v:imagedata o:title=""/>
              <o:lock v:ext="edit" aspectratio="f"/>
              <v:textbox inset="0mm,0mm,0mm,0mm" style="mso-fit-shape-to-text:t;">
                <w:txbxContent>
                  <w:p w14:paraId="7B20AD32">
                    <w:pPr>
                      <w:pStyle w:val="4"/>
                    </w:pPr>
                    <w:r>
                      <w:fldChar w:fldCharType="begin"/>
                    </w:r>
                    <w:r>
                      <w:instrText xml:space="preserve"> PAGE  \* MERGEFORMAT </w:instrText>
                    </w:r>
                    <w:r>
                      <w:fldChar w:fldCharType="separate"/>
                    </w:r>
                    <w:r>
                      <w:t>205</w:t>
                    </w:r>
                    <w:r>
                      <w:fldChar w:fldCharType="end"/>
                    </w:r>
                  </w:p>
                </w:txbxContent>
              </v:textbox>
            </v:shape>
          </w:pict>
        </mc:Fallback>
      </mc:AlternateContent>
    </w:r>
  </w:p>
</w:ftr>
</file>

<file path=word/footer1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CB1F0E">
    <w:pPr>
      <w:spacing w:line="169" w:lineRule="auto"/>
      <w:ind w:left="4648"/>
      <w:rPr>
        <w:rFonts w:ascii="仿宋" w:hAnsi="仿宋" w:eastAsia="仿宋" w:cs="仿宋"/>
        <w:sz w:val="18"/>
        <w:szCs w:val="18"/>
      </w:rPr>
    </w:pPr>
    <w:r>
      <w:rPr>
        <w:sz w:val="18"/>
      </w:rPr>
      <mc:AlternateContent>
        <mc:Choice Requires="wps">
          <w:drawing>
            <wp:anchor distT="0" distB="0" distL="114300" distR="114300" simplePos="0" relativeHeight="251830272" behindDoc="0" locked="0" layoutInCell="1" allowOverlap="1">
              <wp:simplePos x="0" y="0"/>
              <wp:positionH relativeFrom="margin">
                <wp:align>center</wp:align>
              </wp:positionH>
              <wp:positionV relativeFrom="paragraph">
                <wp:posOffset>0</wp:posOffset>
              </wp:positionV>
              <wp:extent cx="1828800" cy="1828800"/>
              <wp:effectExtent l="0" t="0" r="0" b="0"/>
              <wp:wrapNone/>
              <wp:docPr id="1444" name="文本框 144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4C1718E">
                          <w:pPr>
                            <w:pStyle w:val="4"/>
                          </w:pPr>
                          <w:r>
                            <w:fldChar w:fldCharType="begin"/>
                          </w:r>
                          <w:r>
                            <w:instrText xml:space="preserve"> PAGE  \* MERGEFORMAT </w:instrText>
                          </w:r>
                          <w:r>
                            <w:fldChar w:fldCharType="separate"/>
                          </w:r>
                          <w:r>
                            <w:t>206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302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GzYQZzUCAABnBAAADgAAAAAAAAABACAAAAAfAQAAZHJzL2Uyb0RvYy54bWxQ&#10;SwUGAAAAAAYABgBZAQAAxgUAAAAA&#10;">
              <v:fill on="f" focussize="0,0"/>
              <v:stroke on="f" weight="0.5pt"/>
              <v:imagedata o:title=""/>
              <o:lock v:ext="edit" aspectratio="f"/>
              <v:textbox inset="0mm,0mm,0mm,0mm" style="mso-fit-shape-to-text:t;">
                <w:txbxContent>
                  <w:p w14:paraId="54C1718E">
                    <w:pPr>
                      <w:pStyle w:val="4"/>
                    </w:pPr>
                    <w:r>
                      <w:fldChar w:fldCharType="begin"/>
                    </w:r>
                    <w:r>
                      <w:instrText xml:space="preserve"> PAGE  \* MERGEFORMAT </w:instrText>
                    </w:r>
                    <w:r>
                      <w:fldChar w:fldCharType="separate"/>
                    </w:r>
                    <w:r>
                      <w:t>206</w:t>
                    </w:r>
                    <w:r>
                      <w:fldChar w:fldCharType="end"/>
                    </w:r>
                  </w:p>
                </w:txbxContent>
              </v:textbox>
            </v:shape>
          </w:pict>
        </mc:Fallback>
      </mc:AlternateContent>
    </w:r>
  </w:p>
</w:ftr>
</file>

<file path=word/footer1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064220">
    <w:pPr>
      <w:spacing w:line="169" w:lineRule="auto"/>
      <w:ind w:left="4254"/>
      <w:rPr>
        <w:rFonts w:ascii="仿宋" w:hAnsi="仿宋" w:eastAsia="仿宋" w:cs="仿宋"/>
        <w:sz w:val="18"/>
        <w:szCs w:val="18"/>
      </w:rPr>
    </w:pPr>
    <w:r>
      <w:rPr>
        <w:sz w:val="18"/>
      </w:rPr>
      <mc:AlternateContent>
        <mc:Choice Requires="wps">
          <w:drawing>
            <wp:anchor distT="0" distB="0" distL="114300" distR="114300" simplePos="0" relativeHeight="251831296" behindDoc="0" locked="0" layoutInCell="1" allowOverlap="1">
              <wp:simplePos x="0" y="0"/>
              <wp:positionH relativeFrom="margin">
                <wp:align>center</wp:align>
              </wp:positionH>
              <wp:positionV relativeFrom="paragraph">
                <wp:posOffset>0</wp:posOffset>
              </wp:positionV>
              <wp:extent cx="1828800" cy="1828800"/>
              <wp:effectExtent l="0" t="0" r="0" b="0"/>
              <wp:wrapNone/>
              <wp:docPr id="1445" name="文本框 144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62819C9">
                          <w:pPr>
                            <w:pStyle w:val="4"/>
                          </w:pPr>
                          <w:r>
                            <w:fldChar w:fldCharType="begin"/>
                          </w:r>
                          <w:r>
                            <w:instrText xml:space="preserve"> PAGE  \* MERGEFORMAT </w:instrText>
                          </w:r>
                          <w:r>
                            <w:fldChar w:fldCharType="separate"/>
                          </w:r>
                          <w:r>
                            <w:t>207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312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s0lY7tAAAAAFAQAADwAAAAAAAAABACAAAAAiAAAAZHJzL2Rvd25yZXYueG1sUEsB&#10;AhQAFAAAAAgAh07iQAgbT7k2AgAAZwQAAA4AAAAAAAAAAQAgAAAAHwEAAGRycy9lMm9Eb2MueG1s&#10;UEsFBgAAAAAGAAYAWQEAAMcFAAAAAA==&#10;">
              <v:fill on="f" focussize="0,0"/>
              <v:stroke on="f" weight="0.5pt"/>
              <v:imagedata o:title=""/>
              <o:lock v:ext="edit" aspectratio="f"/>
              <v:textbox inset="0mm,0mm,0mm,0mm" style="mso-fit-shape-to-text:t;">
                <w:txbxContent>
                  <w:p w14:paraId="762819C9">
                    <w:pPr>
                      <w:pStyle w:val="4"/>
                    </w:pPr>
                    <w:r>
                      <w:fldChar w:fldCharType="begin"/>
                    </w:r>
                    <w:r>
                      <w:instrText xml:space="preserve"> PAGE  \* MERGEFORMAT </w:instrText>
                    </w:r>
                    <w:r>
                      <w:fldChar w:fldCharType="separate"/>
                    </w:r>
                    <w:r>
                      <w:t>207</w:t>
                    </w:r>
                    <w:r>
                      <w:fldChar w:fldCharType="end"/>
                    </w:r>
                  </w:p>
                </w:txbxContent>
              </v:textbox>
            </v:shape>
          </w:pict>
        </mc:Fallback>
      </mc:AlternateContent>
    </w:r>
  </w:p>
</w:ftr>
</file>

<file path=word/footer1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C22771">
    <w:pPr>
      <w:spacing w:line="170" w:lineRule="auto"/>
      <w:ind w:left="4158"/>
      <w:rPr>
        <w:rFonts w:ascii="仿宋" w:hAnsi="仿宋" w:eastAsia="仿宋" w:cs="仿宋"/>
        <w:sz w:val="18"/>
        <w:szCs w:val="18"/>
      </w:rPr>
    </w:pPr>
    <w:r>
      <w:rPr>
        <w:sz w:val="18"/>
      </w:rPr>
      <mc:AlternateContent>
        <mc:Choice Requires="wps">
          <w:drawing>
            <wp:anchor distT="0" distB="0" distL="114300" distR="114300" simplePos="0" relativeHeight="251832320" behindDoc="0" locked="0" layoutInCell="1" allowOverlap="1">
              <wp:simplePos x="0" y="0"/>
              <wp:positionH relativeFrom="margin">
                <wp:align>center</wp:align>
              </wp:positionH>
              <wp:positionV relativeFrom="paragraph">
                <wp:posOffset>0</wp:posOffset>
              </wp:positionV>
              <wp:extent cx="1828800" cy="1828800"/>
              <wp:effectExtent l="0" t="0" r="0" b="0"/>
              <wp:wrapNone/>
              <wp:docPr id="1446" name="文本框 144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EE8483A">
                          <w:pPr>
                            <w:pStyle w:val="4"/>
                          </w:pPr>
                          <w:r>
                            <w:fldChar w:fldCharType="begin"/>
                          </w:r>
                          <w:r>
                            <w:instrText xml:space="preserve"> PAGE  \* MERGEFORMAT </w:instrText>
                          </w:r>
                          <w:r>
                            <w:fldChar w:fldCharType="separate"/>
                          </w:r>
                          <w:r>
                            <w:t>208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323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fGrfADUCAABnBAAADgAAAAAAAAABACAAAAAfAQAAZHJzL2Uyb0RvYy54bWxQ&#10;SwUGAAAAAAYABgBZAQAAxgUAAAAA&#10;">
              <v:fill on="f" focussize="0,0"/>
              <v:stroke on="f" weight="0.5pt"/>
              <v:imagedata o:title=""/>
              <o:lock v:ext="edit" aspectratio="f"/>
              <v:textbox inset="0mm,0mm,0mm,0mm" style="mso-fit-shape-to-text:t;">
                <w:txbxContent>
                  <w:p w14:paraId="6EE8483A">
                    <w:pPr>
                      <w:pStyle w:val="4"/>
                    </w:pPr>
                    <w:r>
                      <w:fldChar w:fldCharType="begin"/>
                    </w:r>
                    <w:r>
                      <w:instrText xml:space="preserve"> PAGE  \* MERGEFORMAT </w:instrText>
                    </w:r>
                    <w:r>
                      <w:fldChar w:fldCharType="separate"/>
                    </w:r>
                    <w:r>
                      <w:t>208</w:t>
                    </w:r>
                    <w:r>
                      <w:fldChar w:fldCharType="end"/>
                    </w:r>
                  </w:p>
                </w:txbxContent>
              </v:textbox>
            </v:shape>
          </w:pict>
        </mc:Fallback>
      </mc:AlternateContent>
    </w:r>
  </w:p>
</w:ftr>
</file>

<file path=word/footer1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26F6AC">
    <w:pPr>
      <w:spacing w:line="169" w:lineRule="auto"/>
      <w:ind w:left="4153"/>
      <w:rPr>
        <w:rFonts w:ascii="仿宋" w:hAnsi="仿宋" w:eastAsia="仿宋" w:cs="仿宋"/>
        <w:sz w:val="18"/>
        <w:szCs w:val="18"/>
      </w:rPr>
    </w:pPr>
    <w:r>
      <w:rPr>
        <w:sz w:val="18"/>
      </w:rPr>
      <mc:AlternateContent>
        <mc:Choice Requires="wps">
          <w:drawing>
            <wp:anchor distT="0" distB="0" distL="114300" distR="114300" simplePos="0" relativeHeight="251833344" behindDoc="0" locked="0" layoutInCell="1" allowOverlap="1">
              <wp:simplePos x="0" y="0"/>
              <wp:positionH relativeFrom="margin">
                <wp:align>center</wp:align>
              </wp:positionH>
              <wp:positionV relativeFrom="paragraph">
                <wp:posOffset>0</wp:posOffset>
              </wp:positionV>
              <wp:extent cx="1828800" cy="1828800"/>
              <wp:effectExtent l="0" t="0" r="0" b="0"/>
              <wp:wrapNone/>
              <wp:docPr id="1447" name="文本框 144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0988C91">
                          <w:pPr>
                            <w:pStyle w:val="4"/>
                          </w:pPr>
                          <w:r>
                            <w:fldChar w:fldCharType="begin"/>
                          </w:r>
                          <w:r>
                            <w:instrText xml:space="preserve"> PAGE  \* MERGEFORMAT </w:instrText>
                          </w:r>
                          <w:r>
                            <w:fldChar w:fldCharType="separate"/>
                          </w:r>
                          <w:r>
                            <w:t>209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333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s0lY7tAAAAAFAQAADwAAAAAAAAABACAAAAAiAAAAZHJzL2Rvd25yZXYueG1sUEsB&#10;AhQAFAAAAAgAh07iQG9HgN42AgAAZwQAAA4AAAAAAAAAAQAgAAAAHwEAAGRycy9lMm9Eb2MueG1s&#10;UEsFBgAAAAAGAAYAWQEAAMcFAAAAAA==&#10;">
              <v:fill on="f" focussize="0,0"/>
              <v:stroke on="f" weight="0.5pt"/>
              <v:imagedata o:title=""/>
              <o:lock v:ext="edit" aspectratio="f"/>
              <v:textbox inset="0mm,0mm,0mm,0mm" style="mso-fit-shape-to-text:t;">
                <w:txbxContent>
                  <w:p w14:paraId="20988C91">
                    <w:pPr>
                      <w:pStyle w:val="4"/>
                    </w:pPr>
                    <w:r>
                      <w:fldChar w:fldCharType="begin"/>
                    </w:r>
                    <w:r>
                      <w:instrText xml:space="preserve"> PAGE  \* MERGEFORMAT </w:instrText>
                    </w:r>
                    <w:r>
                      <w:fldChar w:fldCharType="separate"/>
                    </w:r>
                    <w:r>
                      <w:t>209</w:t>
                    </w:r>
                    <w:r>
                      <w:fldChar w:fldCharType="end"/>
                    </w:r>
                  </w:p>
                </w:txbxContent>
              </v:textbox>
            </v:shape>
          </w:pict>
        </mc:Fallback>
      </mc:AlternateContent>
    </w:r>
  </w:p>
</w:ftr>
</file>

<file path=word/footer1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7F9F2F">
    <w:pPr>
      <w:spacing w:line="170" w:lineRule="auto"/>
      <w:ind w:left="4048"/>
      <w:rPr>
        <w:rFonts w:ascii="仿宋" w:hAnsi="仿宋" w:eastAsia="仿宋" w:cs="仿宋"/>
        <w:sz w:val="18"/>
        <w:szCs w:val="18"/>
      </w:rPr>
    </w:pPr>
    <w:r>
      <w:rPr>
        <w:sz w:val="18"/>
      </w:rPr>
      <mc:AlternateContent>
        <mc:Choice Requires="wps">
          <w:drawing>
            <wp:anchor distT="0" distB="0" distL="114300" distR="114300" simplePos="0" relativeHeight="25183436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48" name="文本框 144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6EA7955">
                          <w:pPr>
                            <w:pStyle w:val="4"/>
                          </w:pPr>
                          <w:r>
                            <w:fldChar w:fldCharType="begin"/>
                          </w:r>
                          <w:r>
                            <w:instrText xml:space="preserve"> PAGE  \* MERGEFORMAT </w:instrText>
                          </w:r>
                          <w:r>
                            <w:fldChar w:fldCharType="separate"/>
                          </w:r>
                          <w:r>
                            <w:t>210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343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I+cLsNAIAAGcEAAAOAAAAAAAAAAEAIAAAAB8BAABkcnMvZTJvRG9jLnhtbFBL&#10;BQYAAAAABgAGAFkBAADFBQAAAAA=&#10;">
              <v:fill on="f" focussize="0,0"/>
              <v:stroke on="f" weight="0.5pt"/>
              <v:imagedata o:title=""/>
              <o:lock v:ext="edit" aspectratio="f"/>
              <v:textbox inset="0mm,0mm,0mm,0mm" style="mso-fit-shape-to-text:t;">
                <w:txbxContent>
                  <w:p w14:paraId="76EA7955">
                    <w:pPr>
                      <w:pStyle w:val="4"/>
                    </w:pPr>
                    <w:r>
                      <w:fldChar w:fldCharType="begin"/>
                    </w:r>
                    <w:r>
                      <w:instrText xml:space="preserve"> PAGE  \* MERGEFORMAT </w:instrText>
                    </w:r>
                    <w:r>
                      <w:fldChar w:fldCharType="separate"/>
                    </w:r>
                    <w:r>
                      <w:t>210</w:t>
                    </w:r>
                    <w:r>
                      <w:fldChar w:fldCharType="end"/>
                    </w:r>
                  </w:p>
                </w:txbxContent>
              </v:textbox>
            </v:shape>
          </w:pict>
        </mc:Fallback>
      </mc:AlternateContent>
    </w:r>
  </w:p>
</w:ftr>
</file>

<file path=word/footer1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EAE56E">
    <w:pPr>
      <w:spacing w:line="170" w:lineRule="auto"/>
      <w:ind w:left="4048"/>
      <w:rPr>
        <w:rFonts w:ascii="仿宋" w:hAnsi="仿宋" w:eastAsia="仿宋" w:cs="仿宋"/>
        <w:sz w:val="18"/>
        <w:szCs w:val="18"/>
      </w:rPr>
    </w:pPr>
    <w:r>
      <w:rPr>
        <w:sz w:val="18"/>
      </w:rPr>
      <mc:AlternateContent>
        <mc:Choice Requires="wps">
          <w:drawing>
            <wp:anchor distT="0" distB="0" distL="114300" distR="114300" simplePos="0" relativeHeight="251835392" behindDoc="0" locked="0" layoutInCell="1" allowOverlap="1">
              <wp:simplePos x="0" y="0"/>
              <wp:positionH relativeFrom="margin">
                <wp:align>center</wp:align>
              </wp:positionH>
              <wp:positionV relativeFrom="paragraph">
                <wp:posOffset>0</wp:posOffset>
              </wp:positionV>
              <wp:extent cx="1828800" cy="1828800"/>
              <wp:effectExtent l="0" t="0" r="0" b="0"/>
              <wp:wrapNone/>
              <wp:docPr id="1449" name="文本框 144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B0AA0EF">
                          <w:pPr>
                            <w:pStyle w:val="4"/>
                          </w:pPr>
                          <w:r>
                            <w:fldChar w:fldCharType="begin"/>
                          </w:r>
                          <w:r>
                            <w:instrText xml:space="preserve"> PAGE  \* MERGEFORMAT </w:instrText>
                          </w:r>
                          <w:r>
                            <w:fldChar w:fldCharType="separate"/>
                          </w:r>
                          <w:r>
                            <w:t>211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353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s0lY7tAAAAAFAQAADwAAAAAAAAABACAAAAAiAAAAZHJzL2Rvd25yZXYueG1sUEsB&#10;AhQAFAAAAAgAh07iQBvUnTI2AgAAZwQAAA4AAAAAAAAAAQAgAAAAHwEAAGRycy9lMm9Eb2MueG1s&#10;UEsFBgAAAAAGAAYAWQEAAMcFAAAAAA==&#10;">
              <v:fill on="f" focussize="0,0"/>
              <v:stroke on="f" weight="0.5pt"/>
              <v:imagedata o:title=""/>
              <o:lock v:ext="edit" aspectratio="f"/>
              <v:textbox inset="0mm,0mm,0mm,0mm" style="mso-fit-shape-to-text:t;">
                <w:txbxContent>
                  <w:p w14:paraId="2B0AA0EF">
                    <w:pPr>
                      <w:pStyle w:val="4"/>
                    </w:pPr>
                    <w:r>
                      <w:fldChar w:fldCharType="begin"/>
                    </w:r>
                    <w:r>
                      <w:instrText xml:space="preserve"> PAGE  \* MERGEFORMAT </w:instrText>
                    </w:r>
                    <w:r>
                      <w:fldChar w:fldCharType="separate"/>
                    </w:r>
                    <w:r>
                      <w:t>211</w:t>
                    </w:r>
                    <w:r>
                      <w:fldChar w:fldCharType="end"/>
                    </w:r>
                  </w:p>
                </w:txbxContent>
              </v:textbox>
            </v:shape>
          </w:pict>
        </mc:Fallback>
      </mc:AlternateContent>
    </w:r>
  </w:p>
</w:ftr>
</file>

<file path=word/footer1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A4CF0F">
    <w:pPr>
      <w:spacing w:line="170" w:lineRule="auto"/>
      <w:ind w:left="4048"/>
      <w:rPr>
        <w:rFonts w:ascii="仿宋" w:hAnsi="仿宋" w:eastAsia="仿宋" w:cs="仿宋"/>
        <w:sz w:val="18"/>
        <w:szCs w:val="18"/>
      </w:rPr>
    </w:pPr>
    <w:r>
      <w:rPr>
        <w:sz w:val="18"/>
      </w:rPr>
      <mc:AlternateContent>
        <mc:Choice Requires="wps">
          <w:drawing>
            <wp:anchor distT="0" distB="0" distL="114300" distR="114300" simplePos="0" relativeHeight="251836416" behindDoc="0" locked="0" layoutInCell="1" allowOverlap="1">
              <wp:simplePos x="0" y="0"/>
              <wp:positionH relativeFrom="margin">
                <wp:align>center</wp:align>
              </wp:positionH>
              <wp:positionV relativeFrom="paragraph">
                <wp:posOffset>0</wp:posOffset>
              </wp:positionV>
              <wp:extent cx="1828800" cy="1828800"/>
              <wp:effectExtent l="0" t="0" r="0" b="0"/>
              <wp:wrapNone/>
              <wp:docPr id="1450" name="文本框 145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2E0EB8B">
                          <w:pPr>
                            <w:pStyle w:val="4"/>
                          </w:pPr>
                          <w:r>
                            <w:fldChar w:fldCharType="begin"/>
                          </w:r>
                          <w:r>
                            <w:instrText xml:space="preserve"> PAGE  \* MERGEFORMAT </w:instrText>
                          </w:r>
                          <w:r>
                            <w:fldChar w:fldCharType="separate"/>
                          </w:r>
                          <w:r>
                            <w:t>212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364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JpDuLDICAABnBAAADgAAAAAAAAABACAAAAAfAQAAZHJzL2Uyb0RvYy54bWxQSwUG&#10;AAAAAAYABgBZAQAAwwUAAAAA&#10;">
              <v:fill on="f" focussize="0,0"/>
              <v:stroke on="f" weight="0.5pt"/>
              <v:imagedata o:title=""/>
              <o:lock v:ext="edit" aspectratio="f"/>
              <v:textbox inset="0mm,0mm,0mm,0mm" style="mso-fit-shape-to-text:t;">
                <w:txbxContent>
                  <w:p w14:paraId="72E0EB8B">
                    <w:pPr>
                      <w:pStyle w:val="4"/>
                    </w:pPr>
                    <w:r>
                      <w:fldChar w:fldCharType="begin"/>
                    </w:r>
                    <w:r>
                      <w:instrText xml:space="preserve"> PAGE  \* MERGEFORMAT </w:instrText>
                    </w:r>
                    <w:r>
                      <w:fldChar w:fldCharType="separate"/>
                    </w:r>
                    <w:r>
                      <w:t>212</w:t>
                    </w:r>
                    <w:r>
                      <w:fldChar w:fldCharType="end"/>
                    </w:r>
                  </w:p>
                </w:txbxContent>
              </v:textbox>
            </v:shape>
          </w:pict>
        </mc:Fallback>
      </mc:AlternateContent>
    </w:r>
  </w:p>
</w:ftr>
</file>

<file path=word/footer1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CA0FFA">
    <w:pPr>
      <w:spacing w:line="170" w:lineRule="auto"/>
      <w:ind w:left="4048"/>
      <w:rPr>
        <w:rFonts w:ascii="仿宋" w:hAnsi="仿宋" w:eastAsia="仿宋" w:cs="仿宋"/>
        <w:sz w:val="18"/>
        <w:szCs w:val="18"/>
      </w:rPr>
    </w:pPr>
    <w:r>
      <w:rPr>
        <w:sz w:val="18"/>
      </w:rPr>
      <mc:AlternateContent>
        <mc:Choice Requires="wps">
          <w:drawing>
            <wp:anchor distT="0" distB="0" distL="114300" distR="114300" simplePos="0" relativeHeight="2518374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451" name="文本框 145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DB159B6">
                          <w:pPr>
                            <w:pStyle w:val="4"/>
                          </w:pPr>
                          <w:r>
                            <w:fldChar w:fldCharType="begin"/>
                          </w:r>
                          <w:r>
                            <w:instrText xml:space="preserve"> PAGE  \* MERGEFORMAT </w:instrText>
                          </w:r>
                          <w:r>
                            <w:fldChar w:fldCharType="separate"/>
                          </w:r>
                          <w:r>
                            <w:t>213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374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1vbHyNAIAAGcEAAAOAAAAAAAAAAEAIAAAAB8BAABkcnMvZTJvRG9jLnhtbFBL&#10;BQYAAAAABgAGAFkBAADFBQAAAAA=&#10;">
              <v:fill on="f" focussize="0,0"/>
              <v:stroke on="f" weight="0.5pt"/>
              <v:imagedata o:title=""/>
              <o:lock v:ext="edit" aspectratio="f"/>
              <v:textbox inset="0mm,0mm,0mm,0mm" style="mso-fit-shape-to-text:t;">
                <w:txbxContent>
                  <w:p w14:paraId="0DB159B6">
                    <w:pPr>
                      <w:pStyle w:val="4"/>
                    </w:pPr>
                    <w:r>
                      <w:fldChar w:fldCharType="begin"/>
                    </w:r>
                    <w:r>
                      <w:instrText xml:space="preserve"> PAGE  \* MERGEFORMAT </w:instrText>
                    </w:r>
                    <w:r>
                      <w:fldChar w:fldCharType="separate"/>
                    </w:r>
                    <w:r>
                      <w:t>213</w:t>
                    </w:r>
                    <w:r>
                      <w:fldChar w:fldCharType="end"/>
                    </w:r>
                  </w:p>
                </w:txbxContent>
              </v:textbox>
            </v:shape>
          </w:pict>
        </mc:Fallback>
      </mc:AlternateContent>
    </w:r>
  </w:p>
</w:ftr>
</file>

<file path=word/footer1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39B3DD">
    <w:pPr>
      <w:spacing w:line="170" w:lineRule="auto"/>
      <w:ind w:left="4048"/>
      <w:rPr>
        <w:rFonts w:ascii="仿宋" w:hAnsi="仿宋" w:eastAsia="仿宋" w:cs="仿宋"/>
        <w:sz w:val="18"/>
        <w:szCs w:val="18"/>
      </w:rPr>
    </w:pPr>
    <w:r>
      <w:rPr>
        <w:sz w:val="18"/>
      </w:rPr>
      <mc:AlternateContent>
        <mc:Choice Requires="wps">
          <w:drawing>
            <wp:anchor distT="0" distB="0" distL="114300" distR="114300" simplePos="0" relativeHeight="2518384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452" name="文本框 145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9416850">
                          <w:pPr>
                            <w:pStyle w:val="4"/>
                          </w:pPr>
                          <w:r>
                            <w:fldChar w:fldCharType="begin"/>
                          </w:r>
                          <w:r>
                            <w:instrText xml:space="preserve"> PAGE  \* MERGEFORMAT </w:instrText>
                          </w:r>
                          <w:r>
                            <w:fldChar w:fldCharType="separate"/>
                          </w:r>
                          <w:r>
                            <w:t>214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384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QcwhSzUCAABnBAAADgAAAAAAAAABACAAAAAfAQAAZHJzL2Uyb0RvYy54bWxQ&#10;SwUGAAAAAAYABgBZAQAAxgUAAAAA&#10;">
              <v:fill on="f" focussize="0,0"/>
              <v:stroke on="f" weight="0.5pt"/>
              <v:imagedata o:title=""/>
              <o:lock v:ext="edit" aspectratio="f"/>
              <v:textbox inset="0mm,0mm,0mm,0mm" style="mso-fit-shape-to-text:t;">
                <w:txbxContent>
                  <w:p w14:paraId="69416850">
                    <w:pPr>
                      <w:pStyle w:val="4"/>
                    </w:pPr>
                    <w:r>
                      <w:fldChar w:fldCharType="begin"/>
                    </w:r>
                    <w:r>
                      <w:instrText xml:space="preserve"> PAGE  \* MERGEFORMAT </w:instrText>
                    </w:r>
                    <w:r>
                      <w:fldChar w:fldCharType="separate"/>
                    </w:r>
                    <w:r>
                      <w:t>214</w:t>
                    </w:r>
                    <w:r>
                      <w:fldChar w:fldCharType="end"/>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A7E2F4">
    <w:pPr>
      <w:spacing w:line="176" w:lineRule="auto"/>
      <w:ind w:left="4087"/>
      <w:rPr>
        <w:rFonts w:ascii="Times New Roman" w:hAnsi="Times New Roman" w:eastAsia="Times New Roman" w:cs="Times New Roman"/>
        <w:sz w:val="21"/>
        <w:szCs w:val="21"/>
      </w:rPr>
    </w:pPr>
    <w:r>
      <w:rPr>
        <w:sz w:val="21"/>
      </w:rP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1268" name="文本框 126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A3D8C07">
                          <w:pPr>
                            <w:pStyle w:val="4"/>
                          </w:pPr>
                          <w:r>
                            <w:fldChar w:fldCharType="begin"/>
                          </w:r>
                          <w:r>
                            <w:instrText xml:space="preserve"> PAGE  \* MERGEFORMAT </w:instrText>
                          </w:r>
                          <w:r>
                            <w:fldChar w:fldCharType="separate"/>
                          </w:r>
                          <w:r>
                            <w:t>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S9HnNAIAAGcEAAAOAAAAAAAAAAEAIAAAAB8BAABkcnMvZTJvRG9jLnhtbFBL&#10;BQYAAAAABgAGAFkBAADFBQAAAAA=&#10;">
              <v:fill on="f" focussize="0,0"/>
              <v:stroke on="f" weight="0.5pt"/>
              <v:imagedata o:title=""/>
              <o:lock v:ext="edit" aspectratio="f"/>
              <v:textbox inset="0mm,0mm,0mm,0mm" style="mso-fit-shape-to-text:t;">
                <w:txbxContent>
                  <w:p w14:paraId="6A3D8C07">
                    <w:pPr>
                      <w:pStyle w:val="4"/>
                    </w:pPr>
                    <w:r>
                      <w:fldChar w:fldCharType="begin"/>
                    </w:r>
                    <w:r>
                      <w:instrText xml:space="preserve"> PAGE  \* MERGEFORMAT </w:instrText>
                    </w:r>
                    <w:r>
                      <w:fldChar w:fldCharType="separate"/>
                    </w:r>
                    <w:r>
                      <w:t>8</w:t>
                    </w:r>
                    <w:r>
                      <w:fldChar w:fldCharType="end"/>
                    </w:r>
                  </w:p>
                </w:txbxContent>
              </v:textbox>
            </v:shape>
          </w:pict>
        </mc:Fallback>
      </mc:AlternateContent>
    </w:r>
  </w:p>
</w:ftr>
</file>

<file path=word/footer1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888E7F">
    <w:pPr>
      <w:spacing w:line="170" w:lineRule="auto"/>
      <w:ind w:left="4048"/>
      <w:rPr>
        <w:rFonts w:ascii="仿宋" w:hAnsi="仿宋" w:eastAsia="仿宋" w:cs="仿宋"/>
        <w:sz w:val="18"/>
        <w:szCs w:val="18"/>
      </w:rPr>
    </w:pPr>
    <w:r>
      <w:rPr>
        <w:sz w:val="18"/>
      </w:rPr>
      <mc:AlternateContent>
        <mc:Choice Requires="wps">
          <w:drawing>
            <wp:anchor distT="0" distB="0" distL="114300" distR="114300" simplePos="0" relativeHeight="2518394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53" name="文本框 145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126D8EB">
                          <w:pPr>
                            <w:pStyle w:val="4"/>
                          </w:pPr>
                          <w:r>
                            <w:fldChar w:fldCharType="begin"/>
                          </w:r>
                          <w:r>
                            <w:instrText xml:space="preserve"> PAGE  \* MERGEFORMAT </w:instrText>
                          </w:r>
                          <w:r>
                            <w:fldChar w:fldCharType="separate"/>
                          </w:r>
                          <w:r>
                            <w:t>215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394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s0lY7tAAAAAFAQAADwAAAAAAAAABACAAAAAiAAAAZHJzL2Rvd25yZXYueG1sUEsB&#10;AhQAFAAAAAgAh07iQFLhfpU2AgAAZwQAAA4AAAAAAAAAAQAgAAAAHwEAAGRycy9lMm9Eb2MueG1s&#10;UEsFBgAAAAAGAAYAWQEAAMcFAAAAAA==&#10;">
              <v:fill on="f" focussize="0,0"/>
              <v:stroke on="f" weight="0.5pt"/>
              <v:imagedata o:title=""/>
              <o:lock v:ext="edit" aspectratio="f"/>
              <v:textbox inset="0mm,0mm,0mm,0mm" style="mso-fit-shape-to-text:t;">
                <w:txbxContent>
                  <w:p w14:paraId="1126D8EB">
                    <w:pPr>
                      <w:pStyle w:val="4"/>
                    </w:pPr>
                    <w:r>
                      <w:fldChar w:fldCharType="begin"/>
                    </w:r>
                    <w:r>
                      <w:instrText xml:space="preserve"> PAGE  \* MERGEFORMAT </w:instrText>
                    </w:r>
                    <w:r>
                      <w:fldChar w:fldCharType="separate"/>
                    </w:r>
                    <w:r>
                      <w:t>215</w:t>
                    </w:r>
                    <w:r>
                      <w:fldChar w:fldCharType="end"/>
                    </w:r>
                  </w:p>
                </w:txbxContent>
              </v:textbox>
            </v:shape>
          </w:pict>
        </mc:Fallback>
      </mc:AlternateContent>
    </w:r>
  </w:p>
</w:ftr>
</file>

<file path=word/footer1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E5992B">
    <w:pPr>
      <w:spacing w:line="169" w:lineRule="auto"/>
      <w:ind w:left="4048"/>
      <w:rPr>
        <w:rFonts w:ascii="仿宋" w:hAnsi="仿宋" w:eastAsia="仿宋" w:cs="仿宋"/>
        <w:sz w:val="18"/>
        <w:szCs w:val="18"/>
      </w:rPr>
    </w:pPr>
    <w:r>
      <w:rPr>
        <w:sz w:val="18"/>
      </w:rPr>
      <mc:AlternateContent>
        <mc:Choice Requires="wps">
          <w:drawing>
            <wp:anchor distT="0" distB="0" distL="114300" distR="114300" simplePos="0" relativeHeight="2518405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454" name="文本框 145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4E4A5AE">
                          <w:pPr>
                            <w:pStyle w:val="4"/>
                          </w:pPr>
                          <w:r>
                            <w:fldChar w:fldCharType="begin"/>
                          </w:r>
                          <w:r>
                            <w:instrText xml:space="preserve"> PAGE  \* MERGEFORMAT </w:instrText>
                          </w:r>
                          <w:r>
                            <w:fldChar w:fldCharType="separate"/>
                          </w:r>
                          <w:r>
                            <w:t>216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405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s0lY7tAAAAAFAQAADwAAAAAAAAABACAAAAAiAAAAZHJzL2Rvd25yZXYueG1sUEsB&#10;AhQAFAAAAAgAh07iQOgocOM2AgAAZwQAAA4AAAAAAAAAAQAgAAAAHwEAAGRycy9lMm9Eb2MueG1s&#10;UEsFBgAAAAAGAAYAWQEAAMcFAAAAAA==&#10;">
              <v:fill on="f" focussize="0,0"/>
              <v:stroke on="f" weight="0.5pt"/>
              <v:imagedata o:title=""/>
              <o:lock v:ext="edit" aspectratio="f"/>
              <v:textbox inset="0mm,0mm,0mm,0mm" style="mso-fit-shape-to-text:t;">
                <w:txbxContent>
                  <w:p w14:paraId="04E4A5AE">
                    <w:pPr>
                      <w:pStyle w:val="4"/>
                    </w:pPr>
                    <w:r>
                      <w:fldChar w:fldCharType="begin"/>
                    </w:r>
                    <w:r>
                      <w:instrText xml:space="preserve"> PAGE  \* MERGEFORMAT </w:instrText>
                    </w:r>
                    <w:r>
                      <w:fldChar w:fldCharType="separate"/>
                    </w:r>
                    <w:r>
                      <w:t>216</w:t>
                    </w:r>
                    <w:r>
                      <w:fldChar w:fldCharType="end"/>
                    </w:r>
                  </w:p>
                </w:txbxContent>
              </v:textbox>
            </v:shape>
          </w:pict>
        </mc:Fallback>
      </mc:AlternateContent>
    </w:r>
  </w:p>
</w:ftr>
</file>

<file path=word/footer1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096E47">
    <w:pPr>
      <w:spacing w:line="169" w:lineRule="auto"/>
      <w:ind w:left="4048"/>
      <w:rPr>
        <w:rFonts w:ascii="仿宋" w:hAnsi="仿宋" w:eastAsia="仿宋" w:cs="仿宋"/>
        <w:sz w:val="18"/>
        <w:szCs w:val="18"/>
      </w:rPr>
    </w:pPr>
    <w:r>
      <w:rPr>
        <w:sz w:val="18"/>
      </w:rPr>
      <mc:AlternateContent>
        <mc:Choice Requires="wps">
          <w:drawing>
            <wp:anchor distT="0" distB="0" distL="114300" distR="114300" simplePos="0" relativeHeight="2518415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455" name="文本框 145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2710B3D">
                          <w:pPr>
                            <w:pStyle w:val="4"/>
                          </w:pPr>
                          <w:r>
                            <w:fldChar w:fldCharType="begin"/>
                          </w:r>
                          <w:r>
                            <w:instrText xml:space="preserve"> PAGE  \* MERGEFORMAT </w:instrText>
                          </w:r>
                          <w:r>
                            <w:fldChar w:fldCharType="separate"/>
                          </w:r>
                          <w:r>
                            <w:t>217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415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wUvPTUCAABnBAAADgAAAAAAAAABACAAAAAfAQAAZHJzL2Uyb0RvYy54bWxQ&#10;SwUGAAAAAAYABgBZAQAAxgUAAAAA&#10;">
              <v:fill on="f" focussize="0,0"/>
              <v:stroke on="f" weight="0.5pt"/>
              <v:imagedata o:title=""/>
              <o:lock v:ext="edit" aspectratio="f"/>
              <v:textbox inset="0mm,0mm,0mm,0mm" style="mso-fit-shape-to-text:t;">
                <w:txbxContent>
                  <w:p w14:paraId="22710B3D">
                    <w:pPr>
                      <w:pStyle w:val="4"/>
                    </w:pPr>
                    <w:r>
                      <w:fldChar w:fldCharType="begin"/>
                    </w:r>
                    <w:r>
                      <w:instrText xml:space="preserve"> PAGE  \* MERGEFORMAT </w:instrText>
                    </w:r>
                    <w:r>
                      <w:fldChar w:fldCharType="separate"/>
                    </w:r>
                    <w:r>
                      <w:t>217</w:t>
                    </w:r>
                    <w:r>
                      <w:fldChar w:fldCharType="end"/>
                    </w:r>
                  </w:p>
                </w:txbxContent>
              </v:textbox>
            </v:shape>
          </w:pict>
        </mc:Fallback>
      </mc:AlternateContent>
    </w:r>
  </w:p>
</w:ftr>
</file>

<file path=word/footer1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33C02A">
    <w:pPr>
      <w:spacing w:line="170" w:lineRule="auto"/>
      <w:ind w:left="4048"/>
      <w:rPr>
        <w:rFonts w:ascii="仿宋" w:hAnsi="仿宋" w:eastAsia="仿宋" w:cs="仿宋"/>
        <w:sz w:val="18"/>
        <w:szCs w:val="18"/>
      </w:rPr>
    </w:pPr>
    <w:r>
      <w:rPr>
        <w:sz w:val="18"/>
      </w:rPr>
      <mc:AlternateContent>
        <mc:Choice Requires="wps">
          <w:drawing>
            <wp:anchor distT="0" distB="0" distL="114300" distR="114300" simplePos="0" relativeHeight="2518425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456" name="文本框 145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5F183B0">
                          <w:pPr>
                            <w:pStyle w:val="4"/>
                          </w:pPr>
                          <w:r>
                            <w:fldChar w:fldCharType="begin"/>
                          </w:r>
                          <w:r>
                            <w:instrText xml:space="preserve"> PAGE  \* MERGEFORMAT </w:instrText>
                          </w:r>
                          <w:r>
                            <w:fldChar w:fldCharType="separate"/>
                          </w:r>
                          <w:r>
                            <w:t>218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425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j3S/hDUCAABnBAAADgAAAAAAAAABACAAAAAfAQAAZHJzL2Uyb0RvYy54bWxQ&#10;SwUGAAAAAAYABgBZAQAAxgUAAAAA&#10;">
              <v:fill on="f" focussize="0,0"/>
              <v:stroke on="f" weight="0.5pt"/>
              <v:imagedata o:title=""/>
              <o:lock v:ext="edit" aspectratio="f"/>
              <v:textbox inset="0mm,0mm,0mm,0mm" style="mso-fit-shape-to-text:t;">
                <w:txbxContent>
                  <w:p w14:paraId="25F183B0">
                    <w:pPr>
                      <w:pStyle w:val="4"/>
                    </w:pPr>
                    <w:r>
                      <w:fldChar w:fldCharType="begin"/>
                    </w:r>
                    <w:r>
                      <w:instrText xml:space="preserve"> PAGE  \* MERGEFORMAT </w:instrText>
                    </w:r>
                    <w:r>
                      <w:fldChar w:fldCharType="separate"/>
                    </w:r>
                    <w:r>
                      <w:t>218</w:t>
                    </w:r>
                    <w:r>
                      <w:fldChar w:fldCharType="end"/>
                    </w:r>
                  </w:p>
                </w:txbxContent>
              </v:textbox>
            </v:shape>
          </w:pict>
        </mc:Fallback>
      </mc:AlternateContent>
    </w:r>
  </w:p>
</w:ftr>
</file>

<file path=word/footer1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52FB27">
    <w:pPr>
      <w:spacing w:line="170" w:lineRule="auto"/>
      <w:ind w:left="4048"/>
      <w:rPr>
        <w:rFonts w:ascii="仿宋" w:hAnsi="仿宋" w:eastAsia="仿宋" w:cs="仿宋"/>
        <w:sz w:val="18"/>
        <w:szCs w:val="18"/>
      </w:rPr>
    </w:pPr>
    <w:r>
      <w:rPr>
        <w:sz w:val="18"/>
      </w:rPr>
      <mc:AlternateContent>
        <mc:Choice Requires="wps">
          <w:drawing>
            <wp:anchor distT="0" distB="0" distL="114300" distR="114300" simplePos="0" relativeHeight="2518435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457" name="文本框 145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BD8EAC1">
                          <w:pPr>
                            <w:pStyle w:val="4"/>
                          </w:pPr>
                          <w:r>
                            <w:fldChar w:fldCharType="begin"/>
                          </w:r>
                          <w:r>
                            <w:instrText xml:space="preserve"> PAGE  \* MERGEFORMAT </w:instrText>
                          </w:r>
                          <w:r>
                            <w:fldChar w:fldCharType="separate"/>
                          </w:r>
                          <w:r>
                            <w:t>219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435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s0lY7tAAAAAFAQAADwAAAAAAAAABACAAAAAiAAAAZHJzL2Rvd25yZXYueG1sUEsB&#10;AhQAFAAAAAgAh07iQJxZ4Fo2AgAAZwQAAA4AAAAAAAAAAQAgAAAAHwEAAGRycy9lMm9Eb2MueG1s&#10;UEsFBgAAAAAGAAYAWQEAAMcFAAAAAA==&#10;">
              <v:fill on="f" focussize="0,0"/>
              <v:stroke on="f" weight="0.5pt"/>
              <v:imagedata o:title=""/>
              <o:lock v:ext="edit" aspectratio="f"/>
              <v:textbox inset="0mm,0mm,0mm,0mm" style="mso-fit-shape-to-text:t;">
                <w:txbxContent>
                  <w:p w14:paraId="5BD8EAC1">
                    <w:pPr>
                      <w:pStyle w:val="4"/>
                    </w:pPr>
                    <w:r>
                      <w:fldChar w:fldCharType="begin"/>
                    </w:r>
                    <w:r>
                      <w:instrText xml:space="preserve"> PAGE  \* MERGEFORMAT </w:instrText>
                    </w:r>
                    <w:r>
                      <w:fldChar w:fldCharType="separate"/>
                    </w:r>
                    <w:r>
                      <w:t>219</w:t>
                    </w:r>
                    <w:r>
                      <w:fldChar w:fldCharType="end"/>
                    </w:r>
                  </w:p>
                </w:txbxContent>
              </v:textbox>
            </v:shape>
          </w:pict>
        </mc:Fallback>
      </mc:AlternateContent>
    </w:r>
  </w:p>
</w:ftr>
</file>

<file path=word/footer1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5DB4E0">
    <w:pPr>
      <w:spacing w:line="170" w:lineRule="auto"/>
      <w:ind w:left="4048"/>
      <w:rPr>
        <w:rFonts w:ascii="仿宋" w:hAnsi="仿宋" w:eastAsia="仿宋" w:cs="仿宋"/>
        <w:sz w:val="18"/>
        <w:szCs w:val="18"/>
      </w:rPr>
    </w:pPr>
    <w:r>
      <w:rPr>
        <w:sz w:val="18"/>
      </w:rPr>
      <mc:AlternateContent>
        <mc:Choice Requires="wps">
          <w:drawing>
            <wp:anchor distT="0" distB="0" distL="114300" distR="114300" simplePos="0" relativeHeight="2518446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58" name="文本框 145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721DF5A">
                          <w:pPr>
                            <w:pStyle w:val="4"/>
                          </w:pPr>
                          <w:r>
                            <w:fldChar w:fldCharType="begin"/>
                          </w:r>
                          <w:r>
                            <w:instrText xml:space="preserve"> PAGE  \* MERGEFORMAT </w:instrText>
                          </w:r>
                          <w:r>
                            <w:fldChar w:fldCharType="separate"/>
                          </w:r>
                          <w:r>
                            <w:t>220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446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756JoNAIAAGcEAAAOAAAAAAAAAAEAIAAAAB8BAABkcnMvZTJvRG9jLnhtbFBL&#10;BQYAAAAABgAGAFkBAADFBQAAAAA=&#10;">
              <v:fill on="f" focussize="0,0"/>
              <v:stroke on="f" weight="0.5pt"/>
              <v:imagedata o:title=""/>
              <o:lock v:ext="edit" aspectratio="f"/>
              <v:textbox inset="0mm,0mm,0mm,0mm" style="mso-fit-shape-to-text:t;">
                <w:txbxContent>
                  <w:p w14:paraId="1721DF5A">
                    <w:pPr>
                      <w:pStyle w:val="4"/>
                    </w:pPr>
                    <w:r>
                      <w:fldChar w:fldCharType="begin"/>
                    </w:r>
                    <w:r>
                      <w:instrText xml:space="preserve"> PAGE  \* MERGEFORMAT </w:instrText>
                    </w:r>
                    <w:r>
                      <w:fldChar w:fldCharType="separate"/>
                    </w:r>
                    <w:r>
                      <w:t>220</w:t>
                    </w:r>
                    <w:r>
                      <w:fldChar w:fldCharType="end"/>
                    </w:r>
                  </w:p>
                </w:txbxContent>
              </v:textbox>
            </v:shape>
          </w:pict>
        </mc:Fallback>
      </mc:AlternateContent>
    </w:r>
  </w:p>
</w:ftr>
</file>

<file path=word/footer1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DE1F4F">
    <w:pPr>
      <w:spacing w:line="170" w:lineRule="auto"/>
      <w:ind w:left="4048"/>
      <w:rPr>
        <w:rFonts w:ascii="仿宋" w:hAnsi="仿宋" w:eastAsia="仿宋" w:cs="仿宋"/>
        <w:sz w:val="18"/>
        <w:szCs w:val="18"/>
      </w:rPr>
    </w:pPr>
    <w:r>
      <w:rPr>
        <w:sz w:val="18"/>
      </w:rPr>
      <mc:AlternateContent>
        <mc:Choice Requires="wps">
          <w:drawing>
            <wp:anchor distT="0" distB="0" distL="114300" distR="114300" simplePos="0" relativeHeight="2518456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459" name="文本框 145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342D0B9">
                          <w:pPr>
                            <w:pStyle w:val="4"/>
                          </w:pPr>
                          <w:r>
                            <w:fldChar w:fldCharType="begin"/>
                          </w:r>
                          <w:r>
                            <w:instrText xml:space="preserve"> PAGE  \* MERGEFORMAT </w:instrText>
                          </w:r>
                          <w:r>
                            <w:fldChar w:fldCharType="separate"/>
                          </w:r>
                          <w:r>
                            <w:t>221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456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s0lY7tAAAAAFAQAADwAAAAAAAAABACAAAAAiAAAAZHJzL2Rvd25yZXYueG1sUEsB&#10;AhQAFAAAAAgAh07iQOjK/bY2AgAAZwQAAA4AAAAAAAAAAQAgAAAAHwEAAGRycy9lMm9Eb2MueG1s&#10;UEsFBgAAAAAGAAYAWQEAAMcFAAAAAA==&#10;">
              <v:fill on="f" focussize="0,0"/>
              <v:stroke on="f" weight="0.5pt"/>
              <v:imagedata o:title=""/>
              <o:lock v:ext="edit" aspectratio="f"/>
              <v:textbox inset="0mm,0mm,0mm,0mm" style="mso-fit-shape-to-text:t;">
                <w:txbxContent>
                  <w:p w14:paraId="4342D0B9">
                    <w:pPr>
                      <w:pStyle w:val="4"/>
                    </w:pPr>
                    <w:r>
                      <w:fldChar w:fldCharType="begin"/>
                    </w:r>
                    <w:r>
                      <w:instrText xml:space="preserve"> PAGE  \* MERGEFORMAT </w:instrText>
                    </w:r>
                    <w:r>
                      <w:fldChar w:fldCharType="separate"/>
                    </w:r>
                    <w:r>
                      <w:t>221</w:t>
                    </w:r>
                    <w:r>
                      <w:fldChar w:fldCharType="end"/>
                    </w:r>
                  </w:p>
                </w:txbxContent>
              </v:textbox>
            </v:shape>
          </w:pict>
        </mc:Fallback>
      </mc:AlternateContent>
    </w:r>
  </w:p>
</w:ftr>
</file>

<file path=word/footer1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2584E0">
    <w:pPr>
      <w:spacing w:line="170" w:lineRule="auto"/>
      <w:ind w:left="4048"/>
      <w:rPr>
        <w:rFonts w:ascii="仿宋" w:hAnsi="仿宋" w:eastAsia="仿宋" w:cs="仿宋"/>
        <w:sz w:val="18"/>
        <w:szCs w:val="18"/>
      </w:rPr>
    </w:pPr>
    <w:r>
      <w:rPr>
        <w:sz w:val="18"/>
      </w:rPr>
      <mc:AlternateContent>
        <mc:Choice Requires="wps">
          <w:drawing>
            <wp:anchor distT="0" distB="0" distL="114300" distR="114300" simplePos="0" relativeHeight="2518466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460" name="文本框 146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6C5FAA5">
                          <w:pPr>
                            <w:pStyle w:val="4"/>
                          </w:pPr>
                          <w:r>
                            <w:fldChar w:fldCharType="begin"/>
                          </w:r>
                          <w:r>
                            <w:instrText xml:space="preserve"> PAGE  \* MERGEFORMAT </w:instrText>
                          </w:r>
                          <w:r>
                            <w:fldChar w:fldCharType="separate"/>
                          </w:r>
                          <w:r>
                            <w:t>222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466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ytT97NAIAAGcEAAAOAAAAAAAAAAEAIAAAAB8BAABkcnMvZTJvRG9jLnhtbFBL&#10;BQYAAAAABgAGAFkBAADFBQAAAAA=&#10;">
              <v:fill on="f" focussize="0,0"/>
              <v:stroke on="f" weight="0.5pt"/>
              <v:imagedata o:title=""/>
              <o:lock v:ext="edit" aspectratio="f"/>
              <v:textbox inset="0mm,0mm,0mm,0mm" style="mso-fit-shape-to-text:t;">
                <w:txbxContent>
                  <w:p w14:paraId="26C5FAA5">
                    <w:pPr>
                      <w:pStyle w:val="4"/>
                    </w:pPr>
                    <w:r>
                      <w:fldChar w:fldCharType="begin"/>
                    </w:r>
                    <w:r>
                      <w:instrText xml:space="preserve"> PAGE  \* MERGEFORMAT </w:instrText>
                    </w:r>
                    <w:r>
                      <w:fldChar w:fldCharType="separate"/>
                    </w:r>
                    <w:r>
                      <w:t>222</w:t>
                    </w:r>
                    <w:r>
                      <w:fldChar w:fldCharType="end"/>
                    </w:r>
                  </w:p>
                </w:txbxContent>
              </v:textbox>
            </v:shape>
          </w:pict>
        </mc:Fallback>
      </mc:AlternateContent>
    </w:r>
  </w:p>
</w:ftr>
</file>

<file path=word/footer1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FF76A6">
    <w:pPr>
      <w:spacing w:line="170" w:lineRule="auto"/>
      <w:ind w:left="4048"/>
      <w:rPr>
        <w:rFonts w:ascii="仿宋" w:hAnsi="仿宋" w:eastAsia="仿宋" w:cs="仿宋"/>
        <w:sz w:val="18"/>
        <w:szCs w:val="18"/>
      </w:rPr>
    </w:pPr>
    <w:r>
      <w:rPr>
        <w:sz w:val="18"/>
      </w:rPr>
      <mc:AlternateContent>
        <mc:Choice Requires="wps">
          <w:drawing>
            <wp:anchor distT="0" distB="0" distL="114300" distR="114300" simplePos="0" relativeHeight="2518476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461" name="文本框 146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2352574">
                          <w:pPr>
                            <w:pStyle w:val="4"/>
                          </w:pPr>
                          <w:r>
                            <w:fldChar w:fldCharType="begin"/>
                          </w:r>
                          <w:r>
                            <w:instrText xml:space="preserve"> PAGE  \* MERGEFORMAT </w:instrText>
                          </w:r>
                          <w:r>
                            <w:fldChar w:fldCharType="separate"/>
                          </w:r>
                          <w:r>
                            <w:t>223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476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hmGClNAIAAGcEAAAOAAAAAAAAAAEAIAAAAB8BAABkcnMvZTJvRG9jLnhtbFBL&#10;BQYAAAAABgAGAFkBAADFBQAAAAA=&#10;">
              <v:fill on="f" focussize="0,0"/>
              <v:stroke on="f" weight="0.5pt"/>
              <v:imagedata o:title=""/>
              <o:lock v:ext="edit" aspectratio="f"/>
              <v:textbox inset="0mm,0mm,0mm,0mm" style="mso-fit-shape-to-text:t;">
                <w:txbxContent>
                  <w:p w14:paraId="32352574">
                    <w:pPr>
                      <w:pStyle w:val="4"/>
                    </w:pPr>
                    <w:r>
                      <w:fldChar w:fldCharType="begin"/>
                    </w:r>
                    <w:r>
                      <w:instrText xml:space="preserve"> PAGE  \* MERGEFORMAT </w:instrText>
                    </w:r>
                    <w:r>
                      <w:fldChar w:fldCharType="separate"/>
                    </w:r>
                    <w:r>
                      <w:t>223</w:t>
                    </w:r>
                    <w:r>
                      <w:fldChar w:fldCharType="end"/>
                    </w:r>
                  </w:p>
                </w:txbxContent>
              </v:textbox>
            </v:shape>
          </w:pict>
        </mc:Fallback>
      </mc:AlternateContent>
    </w:r>
  </w:p>
</w:ftr>
</file>

<file path=word/footer1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FA340A">
    <w:pPr>
      <w:spacing w:line="170" w:lineRule="auto"/>
      <w:ind w:left="4048"/>
      <w:rPr>
        <w:rFonts w:ascii="仿宋" w:hAnsi="仿宋" w:eastAsia="仿宋" w:cs="仿宋"/>
        <w:sz w:val="18"/>
        <w:szCs w:val="18"/>
      </w:rPr>
    </w:pPr>
    <w:r>
      <w:rPr>
        <w:sz w:val="18"/>
      </w:rPr>
      <mc:AlternateContent>
        <mc:Choice Requires="wps">
          <w:drawing>
            <wp:anchor distT="0" distB="0" distL="114300" distR="114300" simplePos="0" relativeHeight="2518487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462" name="文本框 146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14896F6">
                          <w:pPr>
                            <w:pStyle w:val="4"/>
                          </w:pPr>
                          <w:r>
                            <w:fldChar w:fldCharType="begin"/>
                          </w:r>
                          <w:r>
                            <w:instrText xml:space="preserve"> PAGE  \* MERGEFORMAT </w:instrText>
                          </w:r>
                          <w:r>
                            <w:fldChar w:fldCharType="separate"/>
                          </w:r>
                          <w:r>
                            <w:t>224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487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FenwHDUCAABnBAAADgAAAAAAAAABACAAAAAfAQAAZHJzL2Uyb0RvYy54bWxQ&#10;SwUGAAAAAAYABgBZAQAAxgUAAAAA&#10;">
              <v:fill on="f" focussize="0,0"/>
              <v:stroke on="f" weight="0.5pt"/>
              <v:imagedata o:title=""/>
              <o:lock v:ext="edit" aspectratio="f"/>
              <v:textbox inset="0mm,0mm,0mm,0mm" style="mso-fit-shape-to-text:t;">
                <w:txbxContent>
                  <w:p w14:paraId="014896F6">
                    <w:pPr>
                      <w:pStyle w:val="4"/>
                    </w:pPr>
                    <w:r>
                      <w:fldChar w:fldCharType="begin"/>
                    </w:r>
                    <w:r>
                      <w:instrText xml:space="preserve"> PAGE  \* MERGEFORMAT </w:instrText>
                    </w:r>
                    <w:r>
                      <w:fldChar w:fldCharType="separate"/>
                    </w:r>
                    <w:r>
                      <w:t>224</w:t>
                    </w:r>
                    <w:r>
                      <w:fldChar w:fldCharType="end"/>
                    </w:r>
                  </w:p>
                </w:txbxContent>
              </v:textbox>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1BC4BB">
    <w:pPr>
      <w:spacing w:line="176" w:lineRule="auto"/>
      <w:ind w:left="4087"/>
      <w:rPr>
        <w:rFonts w:ascii="Times New Roman" w:hAnsi="Times New Roman" w:eastAsia="Times New Roman" w:cs="Times New Roman"/>
        <w:sz w:val="21"/>
        <w:szCs w:val="21"/>
      </w:rPr>
    </w:pPr>
    <w:r>
      <w:rPr>
        <w:sz w:val="21"/>
      </w:rP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69" name="文本框 126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AF9C977">
                          <w:pPr>
                            <w:pStyle w:val="4"/>
                          </w:pPr>
                          <w:r>
                            <w:fldChar w:fldCharType="begin"/>
                          </w:r>
                          <w:r>
                            <w:instrText xml:space="preserve"> PAGE  \* MERGEFORMAT </w:instrText>
                          </w:r>
                          <w:r>
                            <w:fldChar w:fldCharType="separate"/>
                          </w:r>
                          <w:r>
                            <w:t>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LGaOOTUCAABnBAAADgAAAAAAAAABACAAAAAfAQAAZHJzL2Uyb0RvYy54bWxQ&#10;SwUGAAAAAAYABgBZAQAAxgUAAAAA&#10;">
              <v:fill on="f" focussize="0,0"/>
              <v:stroke on="f" weight="0.5pt"/>
              <v:imagedata o:title=""/>
              <o:lock v:ext="edit" aspectratio="f"/>
              <v:textbox inset="0mm,0mm,0mm,0mm" style="mso-fit-shape-to-text:t;">
                <w:txbxContent>
                  <w:p w14:paraId="6AF9C977">
                    <w:pPr>
                      <w:pStyle w:val="4"/>
                    </w:pPr>
                    <w:r>
                      <w:fldChar w:fldCharType="begin"/>
                    </w:r>
                    <w:r>
                      <w:instrText xml:space="preserve"> PAGE  \* MERGEFORMAT </w:instrText>
                    </w:r>
                    <w:r>
                      <w:fldChar w:fldCharType="separate"/>
                    </w:r>
                    <w:r>
                      <w:t>9</w:t>
                    </w:r>
                    <w:r>
                      <w:fldChar w:fldCharType="end"/>
                    </w:r>
                  </w:p>
                </w:txbxContent>
              </v:textbox>
            </v:shape>
          </w:pict>
        </mc:Fallback>
      </mc:AlternateContent>
    </w:r>
  </w:p>
</w:ftr>
</file>

<file path=word/footer1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9BCDC1">
    <w:pPr>
      <w:spacing w:line="170" w:lineRule="auto"/>
      <w:ind w:left="4360"/>
      <w:rPr>
        <w:rFonts w:ascii="仿宋" w:hAnsi="仿宋" w:eastAsia="仿宋" w:cs="仿宋"/>
        <w:sz w:val="18"/>
        <w:szCs w:val="18"/>
      </w:rPr>
    </w:pPr>
    <w:r>
      <w:rPr>
        <w:sz w:val="18"/>
      </w:rPr>
      <mc:AlternateContent>
        <mc:Choice Requires="wps">
          <w:drawing>
            <wp:anchor distT="0" distB="0" distL="114300" distR="114300" simplePos="0" relativeHeight="2518497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63" name="文本框 146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EBAB126">
                          <w:pPr>
                            <w:pStyle w:val="4"/>
                          </w:pPr>
                          <w:r>
                            <w:fldChar w:fldCharType="begin"/>
                          </w:r>
                          <w:r>
                            <w:instrText xml:space="preserve"> PAGE  \* MERGEFORMAT </w:instrText>
                          </w:r>
                          <w:r>
                            <w:fldChar w:fldCharType="separate"/>
                          </w:r>
                          <w:r>
                            <w:t>225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497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BsSvwjUCAABnBAAADgAAAAAAAAABACAAAAAfAQAAZHJzL2Uyb0RvYy54bWxQ&#10;SwUGAAAAAAYABgBZAQAAxgUAAAAA&#10;">
              <v:fill on="f" focussize="0,0"/>
              <v:stroke on="f" weight="0.5pt"/>
              <v:imagedata o:title=""/>
              <o:lock v:ext="edit" aspectratio="f"/>
              <v:textbox inset="0mm,0mm,0mm,0mm" style="mso-fit-shape-to-text:t;">
                <w:txbxContent>
                  <w:p w14:paraId="0EBAB126">
                    <w:pPr>
                      <w:pStyle w:val="4"/>
                    </w:pPr>
                    <w:r>
                      <w:fldChar w:fldCharType="begin"/>
                    </w:r>
                    <w:r>
                      <w:instrText xml:space="preserve"> PAGE  \* MERGEFORMAT </w:instrText>
                    </w:r>
                    <w:r>
                      <w:fldChar w:fldCharType="separate"/>
                    </w:r>
                    <w:r>
                      <w:t>225</w:t>
                    </w:r>
                    <w:r>
                      <w:fldChar w:fldCharType="end"/>
                    </w:r>
                  </w:p>
                </w:txbxContent>
              </v:textbox>
            </v:shape>
          </w:pict>
        </mc:Fallback>
      </mc:AlternateContent>
    </w:r>
  </w:p>
</w:ftr>
</file>

<file path=word/footer1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32D1CE">
    <w:pPr>
      <w:spacing w:line="170" w:lineRule="auto"/>
      <w:ind w:left="4048"/>
      <w:rPr>
        <w:rFonts w:ascii="仿宋" w:hAnsi="仿宋" w:eastAsia="仿宋" w:cs="仿宋"/>
        <w:sz w:val="18"/>
        <w:szCs w:val="18"/>
      </w:rPr>
    </w:pPr>
    <w:r>
      <w:rPr>
        <w:sz w:val="18"/>
      </w:rPr>
      <mc:AlternateContent>
        <mc:Choice Requires="wps">
          <w:drawing>
            <wp:anchor distT="0" distB="0" distL="114300" distR="114300" simplePos="0" relativeHeight="2518507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464" name="文本框 146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789E027">
                          <w:pPr>
                            <w:pStyle w:val="4"/>
                          </w:pPr>
                          <w:r>
                            <w:fldChar w:fldCharType="begin"/>
                          </w:r>
                          <w:r>
                            <w:instrText xml:space="preserve"> PAGE  \* MERGEFORMAT </w:instrText>
                          </w:r>
                          <w:r>
                            <w:fldChar w:fldCharType="separate"/>
                          </w:r>
                          <w:r>
                            <w:t>226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507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vA2htDUCAABnBAAADgAAAAAAAAABACAAAAAfAQAAZHJzL2Uyb0RvYy54bWxQ&#10;SwUGAAAAAAYABgBZAQAAxgUAAAAA&#10;">
              <v:fill on="f" focussize="0,0"/>
              <v:stroke on="f" weight="0.5pt"/>
              <v:imagedata o:title=""/>
              <o:lock v:ext="edit" aspectratio="f"/>
              <v:textbox inset="0mm,0mm,0mm,0mm" style="mso-fit-shape-to-text:t;">
                <w:txbxContent>
                  <w:p w14:paraId="0789E027">
                    <w:pPr>
                      <w:pStyle w:val="4"/>
                    </w:pPr>
                    <w:r>
                      <w:fldChar w:fldCharType="begin"/>
                    </w:r>
                    <w:r>
                      <w:instrText xml:space="preserve"> PAGE  \* MERGEFORMAT </w:instrText>
                    </w:r>
                    <w:r>
                      <w:fldChar w:fldCharType="separate"/>
                    </w:r>
                    <w:r>
                      <w:t>226</w:t>
                    </w:r>
                    <w:r>
                      <w:fldChar w:fldCharType="end"/>
                    </w:r>
                  </w:p>
                </w:txbxContent>
              </v:textbox>
            </v:shape>
          </w:pict>
        </mc:Fallback>
      </mc:AlternateContent>
    </w:r>
  </w:p>
</w:ftr>
</file>

<file path=word/footer1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7611B8">
    <w:pPr>
      <w:spacing w:line="170" w:lineRule="auto"/>
      <w:ind w:left="4048"/>
      <w:rPr>
        <w:rFonts w:ascii="仿宋" w:hAnsi="仿宋" w:eastAsia="仿宋" w:cs="仿宋"/>
        <w:sz w:val="18"/>
        <w:szCs w:val="18"/>
      </w:rPr>
    </w:pPr>
    <w:r>
      <w:rPr>
        <w:sz w:val="18"/>
      </w:rPr>
      <mc:AlternateContent>
        <mc:Choice Requires="wps">
          <w:drawing>
            <wp:anchor distT="0" distB="0" distL="114300" distR="114300" simplePos="0" relativeHeight="251851776" behindDoc="0" locked="0" layoutInCell="1" allowOverlap="1">
              <wp:simplePos x="0" y="0"/>
              <wp:positionH relativeFrom="margin">
                <wp:align>center</wp:align>
              </wp:positionH>
              <wp:positionV relativeFrom="paragraph">
                <wp:posOffset>0</wp:posOffset>
              </wp:positionV>
              <wp:extent cx="1828800" cy="1828800"/>
              <wp:effectExtent l="0" t="0" r="0" b="0"/>
              <wp:wrapNone/>
              <wp:docPr id="1465" name="文本框 146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E065A41">
                          <w:pPr>
                            <w:pStyle w:val="4"/>
                          </w:pPr>
                          <w:r>
                            <w:fldChar w:fldCharType="begin"/>
                          </w:r>
                          <w:r>
                            <w:instrText xml:space="preserve"> PAGE  \* MERGEFORMAT </w:instrText>
                          </w:r>
                          <w:r>
                            <w:fldChar w:fldCharType="separate"/>
                          </w:r>
                          <w:r>
                            <w:t>227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517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ryD+ajUCAABnBAAADgAAAAAAAAABACAAAAAfAQAAZHJzL2Uyb0RvYy54bWxQ&#10;SwUGAAAAAAYABgBZAQAAxgUAAAAA&#10;">
              <v:fill on="f" focussize="0,0"/>
              <v:stroke on="f" weight="0.5pt"/>
              <v:imagedata o:title=""/>
              <o:lock v:ext="edit" aspectratio="f"/>
              <v:textbox inset="0mm,0mm,0mm,0mm" style="mso-fit-shape-to-text:t;">
                <w:txbxContent>
                  <w:p w14:paraId="1E065A41">
                    <w:pPr>
                      <w:pStyle w:val="4"/>
                    </w:pPr>
                    <w:r>
                      <w:fldChar w:fldCharType="begin"/>
                    </w:r>
                    <w:r>
                      <w:instrText xml:space="preserve"> PAGE  \* MERGEFORMAT </w:instrText>
                    </w:r>
                    <w:r>
                      <w:fldChar w:fldCharType="separate"/>
                    </w:r>
                    <w:r>
                      <w:t>227</w:t>
                    </w:r>
                    <w:r>
                      <w:fldChar w:fldCharType="end"/>
                    </w:r>
                  </w:p>
                </w:txbxContent>
              </v:textbox>
            </v:shape>
          </w:pict>
        </mc:Fallback>
      </mc:AlternateContent>
    </w:r>
  </w:p>
</w:ftr>
</file>

<file path=word/footer1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A1FE17">
    <w:pPr>
      <w:spacing w:line="170" w:lineRule="auto"/>
      <w:ind w:left="4048"/>
      <w:rPr>
        <w:rFonts w:ascii="仿宋" w:hAnsi="仿宋" w:eastAsia="仿宋" w:cs="仿宋"/>
        <w:sz w:val="18"/>
        <w:szCs w:val="18"/>
      </w:rPr>
    </w:pPr>
    <w:r>
      <w:rPr>
        <w:sz w:val="18"/>
      </w:rPr>
      <mc:AlternateContent>
        <mc:Choice Requires="wps">
          <w:drawing>
            <wp:anchor distT="0" distB="0" distL="114300" distR="114300" simplePos="0" relativeHeight="251852800" behindDoc="0" locked="0" layoutInCell="1" allowOverlap="1">
              <wp:simplePos x="0" y="0"/>
              <wp:positionH relativeFrom="margin">
                <wp:align>center</wp:align>
              </wp:positionH>
              <wp:positionV relativeFrom="paragraph">
                <wp:posOffset>0</wp:posOffset>
              </wp:positionV>
              <wp:extent cx="1828800" cy="1828800"/>
              <wp:effectExtent l="0" t="0" r="0" b="0"/>
              <wp:wrapNone/>
              <wp:docPr id="1466" name="文本框 146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61F3872">
                          <w:pPr>
                            <w:pStyle w:val="4"/>
                          </w:pPr>
                          <w:r>
                            <w:fldChar w:fldCharType="begin"/>
                          </w:r>
                          <w:r>
                            <w:instrText xml:space="preserve"> PAGE  \* MERGEFORMAT </w:instrText>
                          </w:r>
                          <w:r>
                            <w:fldChar w:fldCharType="separate"/>
                          </w:r>
                          <w:r>
                            <w:t>228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528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21Fu0zUCAABnBAAADgAAAAAAAAABACAAAAAfAQAAZHJzL2Uyb0RvYy54bWxQ&#10;SwUGAAAAAAYABgBZAQAAxgUAAAAA&#10;">
              <v:fill on="f" focussize="0,0"/>
              <v:stroke on="f" weight="0.5pt"/>
              <v:imagedata o:title=""/>
              <o:lock v:ext="edit" aspectratio="f"/>
              <v:textbox inset="0mm,0mm,0mm,0mm" style="mso-fit-shape-to-text:t;">
                <w:txbxContent>
                  <w:p w14:paraId="761F3872">
                    <w:pPr>
                      <w:pStyle w:val="4"/>
                    </w:pPr>
                    <w:r>
                      <w:fldChar w:fldCharType="begin"/>
                    </w:r>
                    <w:r>
                      <w:instrText xml:space="preserve"> PAGE  \* MERGEFORMAT </w:instrText>
                    </w:r>
                    <w:r>
                      <w:fldChar w:fldCharType="separate"/>
                    </w:r>
                    <w:r>
                      <w:t>228</w:t>
                    </w:r>
                    <w:r>
                      <w:fldChar w:fldCharType="end"/>
                    </w:r>
                  </w:p>
                </w:txbxContent>
              </v:textbox>
            </v:shape>
          </w:pict>
        </mc:Fallback>
      </mc:AlternateContent>
    </w:r>
  </w:p>
</w:ftr>
</file>

<file path=word/footer1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C9724A">
    <w:pPr>
      <w:spacing w:line="170" w:lineRule="auto"/>
      <w:ind w:left="4048"/>
      <w:rPr>
        <w:rFonts w:ascii="仿宋" w:hAnsi="仿宋" w:eastAsia="仿宋" w:cs="仿宋"/>
        <w:sz w:val="18"/>
        <w:szCs w:val="18"/>
      </w:rPr>
    </w:pPr>
    <w:r>
      <w:rPr>
        <w:sz w:val="18"/>
      </w:rPr>
      <mc:AlternateContent>
        <mc:Choice Requires="wps">
          <w:drawing>
            <wp:anchor distT="0" distB="0" distL="114300" distR="114300" simplePos="0" relativeHeight="251853824" behindDoc="0" locked="0" layoutInCell="1" allowOverlap="1">
              <wp:simplePos x="0" y="0"/>
              <wp:positionH relativeFrom="margin">
                <wp:align>center</wp:align>
              </wp:positionH>
              <wp:positionV relativeFrom="paragraph">
                <wp:posOffset>0</wp:posOffset>
              </wp:positionV>
              <wp:extent cx="1828800" cy="1828800"/>
              <wp:effectExtent l="0" t="0" r="0" b="0"/>
              <wp:wrapNone/>
              <wp:docPr id="1467" name="文本框 146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6C48286">
                          <w:pPr>
                            <w:pStyle w:val="4"/>
                          </w:pPr>
                          <w:r>
                            <w:fldChar w:fldCharType="begin"/>
                          </w:r>
                          <w:r>
                            <w:instrText xml:space="preserve"> PAGE  \* MERGEFORMAT </w:instrText>
                          </w:r>
                          <w:r>
                            <w:fldChar w:fldCharType="separate"/>
                          </w:r>
                          <w:r>
                            <w:t>229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538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yHwxDTUCAABnBAAADgAAAAAAAAABACAAAAAfAQAAZHJzL2Uyb0RvYy54bWxQ&#10;SwUGAAAAAAYABgBZAQAAxgUAAAAA&#10;">
              <v:fill on="f" focussize="0,0"/>
              <v:stroke on="f" weight="0.5pt"/>
              <v:imagedata o:title=""/>
              <o:lock v:ext="edit" aspectratio="f"/>
              <v:textbox inset="0mm,0mm,0mm,0mm" style="mso-fit-shape-to-text:t;">
                <w:txbxContent>
                  <w:p w14:paraId="66C48286">
                    <w:pPr>
                      <w:pStyle w:val="4"/>
                    </w:pPr>
                    <w:r>
                      <w:fldChar w:fldCharType="begin"/>
                    </w:r>
                    <w:r>
                      <w:instrText xml:space="preserve"> PAGE  \* MERGEFORMAT </w:instrText>
                    </w:r>
                    <w:r>
                      <w:fldChar w:fldCharType="separate"/>
                    </w:r>
                    <w:r>
                      <w:t>229</w:t>
                    </w:r>
                    <w:r>
                      <w:fldChar w:fldCharType="end"/>
                    </w:r>
                  </w:p>
                </w:txbxContent>
              </v:textbox>
            </v:shape>
          </w:pict>
        </mc:Fallback>
      </mc:AlternateContent>
    </w:r>
  </w:p>
</w:ftr>
</file>

<file path=word/footer1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BD98BC">
    <w:pPr>
      <w:spacing w:line="170" w:lineRule="auto"/>
      <w:ind w:left="4048"/>
      <w:rPr>
        <w:rFonts w:ascii="仿宋" w:hAnsi="仿宋" w:eastAsia="仿宋" w:cs="仿宋"/>
        <w:sz w:val="18"/>
        <w:szCs w:val="18"/>
      </w:rPr>
    </w:pPr>
    <w:r>
      <w:rPr>
        <w:sz w:val="18"/>
      </w:rPr>
      <mc:AlternateContent>
        <mc:Choice Requires="wps">
          <w:drawing>
            <wp:anchor distT="0" distB="0" distL="114300" distR="114300" simplePos="0" relativeHeight="25185484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68" name="文本框 146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875030B">
                          <w:pPr>
                            <w:pStyle w:val="4"/>
                          </w:pPr>
                          <w:r>
                            <w:fldChar w:fldCharType="begin"/>
                          </w:r>
                          <w:r>
                            <w:instrText xml:space="preserve"> PAGE  \* MERGEFORMAT </w:instrText>
                          </w:r>
                          <w:r>
                            <w:fldChar w:fldCharType="separate"/>
                          </w:r>
                          <w:r>
                            <w:t>230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548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vwnM/NAIAAGcEAAAOAAAAAAAAAAEAIAAAAB8BAABkcnMvZTJvRG9jLnhtbFBL&#10;BQYAAAAABgAGAFkBAADFBQAAAAA=&#10;">
              <v:fill on="f" focussize="0,0"/>
              <v:stroke on="f" weight="0.5pt"/>
              <v:imagedata o:title=""/>
              <o:lock v:ext="edit" aspectratio="f"/>
              <v:textbox inset="0mm,0mm,0mm,0mm" style="mso-fit-shape-to-text:t;">
                <w:txbxContent>
                  <w:p w14:paraId="4875030B">
                    <w:pPr>
                      <w:pStyle w:val="4"/>
                    </w:pPr>
                    <w:r>
                      <w:fldChar w:fldCharType="begin"/>
                    </w:r>
                    <w:r>
                      <w:instrText xml:space="preserve"> PAGE  \* MERGEFORMAT </w:instrText>
                    </w:r>
                    <w:r>
                      <w:fldChar w:fldCharType="separate"/>
                    </w:r>
                    <w:r>
                      <w:t>230</w:t>
                    </w:r>
                    <w:r>
                      <w:fldChar w:fldCharType="end"/>
                    </w:r>
                  </w:p>
                </w:txbxContent>
              </v:textbox>
            </v:shape>
          </w:pict>
        </mc:Fallback>
      </mc:AlternateContent>
    </w:r>
  </w:p>
</w:ftr>
</file>

<file path=word/footer1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EE8F5E">
    <w:pPr>
      <w:spacing w:line="170" w:lineRule="auto"/>
      <w:ind w:left="4048"/>
      <w:rPr>
        <w:rFonts w:ascii="仿宋" w:hAnsi="仿宋" w:eastAsia="仿宋" w:cs="仿宋"/>
        <w:sz w:val="18"/>
        <w:szCs w:val="18"/>
      </w:rPr>
    </w:pPr>
    <w:r>
      <w:rPr>
        <w:sz w:val="18"/>
      </w:rPr>
      <mc:AlternateContent>
        <mc:Choice Requires="wps">
          <w:drawing>
            <wp:anchor distT="0" distB="0" distL="114300" distR="114300" simplePos="0" relativeHeight="251855872" behindDoc="0" locked="0" layoutInCell="1" allowOverlap="1">
              <wp:simplePos x="0" y="0"/>
              <wp:positionH relativeFrom="margin">
                <wp:align>center</wp:align>
              </wp:positionH>
              <wp:positionV relativeFrom="paragraph">
                <wp:posOffset>0</wp:posOffset>
              </wp:positionV>
              <wp:extent cx="1828800" cy="1828800"/>
              <wp:effectExtent l="0" t="0" r="0" b="0"/>
              <wp:wrapNone/>
              <wp:docPr id="1469" name="文本框 146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932ECD7">
                          <w:pPr>
                            <w:pStyle w:val="4"/>
                          </w:pPr>
                          <w:r>
                            <w:fldChar w:fldCharType="begin"/>
                          </w:r>
                          <w:r>
                            <w:instrText xml:space="preserve"> PAGE  \* MERGEFORMAT </w:instrText>
                          </w:r>
                          <w:r>
                            <w:fldChar w:fldCharType="separate"/>
                          </w:r>
                          <w:r>
                            <w:t>231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558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vO8s4TUCAABnBAAADgAAAAAAAAABACAAAAAfAQAAZHJzL2Uyb0RvYy54bWxQ&#10;SwUGAAAAAAYABgBZAQAAxgUAAAAA&#10;">
              <v:fill on="f" focussize="0,0"/>
              <v:stroke on="f" weight="0.5pt"/>
              <v:imagedata o:title=""/>
              <o:lock v:ext="edit" aspectratio="f"/>
              <v:textbox inset="0mm,0mm,0mm,0mm" style="mso-fit-shape-to-text:t;">
                <w:txbxContent>
                  <w:p w14:paraId="2932ECD7">
                    <w:pPr>
                      <w:pStyle w:val="4"/>
                    </w:pPr>
                    <w:r>
                      <w:fldChar w:fldCharType="begin"/>
                    </w:r>
                    <w:r>
                      <w:instrText xml:space="preserve"> PAGE  \* MERGEFORMAT </w:instrText>
                    </w:r>
                    <w:r>
                      <w:fldChar w:fldCharType="separate"/>
                    </w:r>
                    <w:r>
                      <w:t>231</w:t>
                    </w:r>
                    <w:r>
                      <w:fldChar w:fldCharType="end"/>
                    </w:r>
                  </w:p>
                </w:txbxContent>
              </v:textbox>
            </v:shape>
          </w:pict>
        </mc:Fallback>
      </mc:AlternateContent>
    </w:r>
  </w:p>
</w:ftr>
</file>

<file path=word/footer1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13033D">
    <w:pPr>
      <w:spacing w:line="170" w:lineRule="auto"/>
      <w:ind w:left="4048"/>
      <w:rPr>
        <w:rFonts w:ascii="仿宋" w:hAnsi="仿宋" w:eastAsia="仿宋" w:cs="仿宋"/>
        <w:sz w:val="18"/>
        <w:szCs w:val="18"/>
      </w:rPr>
    </w:pPr>
    <w:r>
      <w:rPr>
        <w:sz w:val="18"/>
      </w:rPr>
      <mc:AlternateContent>
        <mc:Choice Requires="wps">
          <w:drawing>
            <wp:anchor distT="0" distB="0" distL="114300" distR="114300" simplePos="0" relativeHeight="251856896" behindDoc="0" locked="0" layoutInCell="1" allowOverlap="1">
              <wp:simplePos x="0" y="0"/>
              <wp:positionH relativeFrom="margin">
                <wp:align>center</wp:align>
              </wp:positionH>
              <wp:positionV relativeFrom="paragraph">
                <wp:posOffset>0</wp:posOffset>
              </wp:positionV>
              <wp:extent cx="1828800" cy="1828800"/>
              <wp:effectExtent l="0" t="0" r="0" b="0"/>
              <wp:wrapNone/>
              <wp:docPr id="1470" name="文本框 147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32BE2CF">
                          <w:pPr>
                            <w:pStyle w:val="4"/>
                          </w:pPr>
                          <w:r>
                            <w:fldChar w:fldCharType="begin"/>
                          </w:r>
                          <w:r>
                            <w:instrText xml:space="preserve"> PAGE  \* MERGEFORMAT </w:instrText>
                          </w:r>
                          <w:r>
                            <w:fldChar w:fldCharType="separate"/>
                          </w:r>
                          <w:r>
                            <w:t>232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568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Bq1//NAIAAGcEAAAOAAAAAAAAAAEAIAAAAB8BAABkcnMvZTJvRG9jLnhtbFBL&#10;BQYAAAAABgAGAFkBAADFBQAAAAA=&#10;">
              <v:fill on="f" focussize="0,0"/>
              <v:stroke on="f" weight="0.5pt"/>
              <v:imagedata o:title=""/>
              <o:lock v:ext="edit" aspectratio="f"/>
              <v:textbox inset="0mm,0mm,0mm,0mm" style="mso-fit-shape-to-text:t;">
                <w:txbxContent>
                  <w:p w14:paraId="232BE2CF">
                    <w:pPr>
                      <w:pStyle w:val="4"/>
                    </w:pPr>
                    <w:r>
                      <w:fldChar w:fldCharType="begin"/>
                    </w:r>
                    <w:r>
                      <w:instrText xml:space="preserve"> PAGE  \* MERGEFORMAT </w:instrText>
                    </w:r>
                    <w:r>
                      <w:fldChar w:fldCharType="separate"/>
                    </w:r>
                    <w:r>
                      <w:t>232</w:t>
                    </w:r>
                    <w:r>
                      <w:fldChar w:fldCharType="end"/>
                    </w:r>
                  </w:p>
                </w:txbxContent>
              </v:textbox>
            </v:shape>
          </w:pict>
        </mc:Fallback>
      </mc:AlternateContent>
    </w:r>
  </w:p>
</w:ftr>
</file>

<file path=word/footer1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0A3234">
    <w:pPr>
      <w:spacing w:line="170" w:lineRule="auto"/>
      <w:ind w:left="4048"/>
      <w:rPr>
        <w:rFonts w:ascii="仿宋" w:hAnsi="仿宋" w:eastAsia="仿宋" w:cs="仿宋"/>
        <w:sz w:val="18"/>
        <w:szCs w:val="18"/>
      </w:rPr>
    </w:pPr>
    <w:r>
      <w:rPr>
        <w:sz w:val="18"/>
      </w:rPr>
      <mc:AlternateContent>
        <mc:Choice Requires="wps">
          <w:drawing>
            <wp:anchor distT="0" distB="0" distL="114300" distR="114300" simplePos="0" relativeHeight="251857920" behindDoc="0" locked="0" layoutInCell="1" allowOverlap="1">
              <wp:simplePos x="0" y="0"/>
              <wp:positionH relativeFrom="margin">
                <wp:align>center</wp:align>
              </wp:positionH>
              <wp:positionV relativeFrom="paragraph">
                <wp:posOffset>0</wp:posOffset>
              </wp:positionV>
              <wp:extent cx="1828800" cy="1828800"/>
              <wp:effectExtent l="0" t="0" r="0" b="0"/>
              <wp:wrapNone/>
              <wp:docPr id="1471" name="文本框 147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790EDEB">
                          <w:pPr>
                            <w:pStyle w:val="4"/>
                          </w:pPr>
                          <w:r>
                            <w:fldChar w:fldCharType="begin"/>
                          </w:r>
                          <w:r>
                            <w:instrText xml:space="preserve"> PAGE  \* MERGEFORMAT </w:instrText>
                          </w:r>
                          <w:r>
                            <w:fldChar w:fldCharType="separate"/>
                          </w:r>
                          <w:r>
                            <w:t>233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579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ShgAhNAIAAGcEAAAOAAAAAAAAAAEAIAAAAB8BAABkcnMvZTJvRG9jLnhtbFBL&#10;BQYAAAAABgAGAFkBAADFBQAAAAA=&#10;">
              <v:fill on="f" focussize="0,0"/>
              <v:stroke on="f" weight="0.5pt"/>
              <v:imagedata o:title=""/>
              <o:lock v:ext="edit" aspectratio="f"/>
              <v:textbox inset="0mm,0mm,0mm,0mm" style="mso-fit-shape-to-text:t;">
                <w:txbxContent>
                  <w:p w14:paraId="0790EDEB">
                    <w:pPr>
                      <w:pStyle w:val="4"/>
                    </w:pPr>
                    <w:r>
                      <w:fldChar w:fldCharType="begin"/>
                    </w:r>
                    <w:r>
                      <w:instrText xml:space="preserve"> PAGE  \* MERGEFORMAT </w:instrText>
                    </w:r>
                    <w:r>
                      <w:fldChar w:fldCharType="separate"/>
                    </w:r>
                    <w:r>
                      <w:t>233</w:t>
                    </w:r>
                    <w:r>
                      <w:fldChar w:fldCharType="end"/>
                    </w:r>
                  </w:p>
                </w:txbxContent>
              </v:textbox>
            </v:shape>
          </w:pict>
        </mc:Fallback>
      </mc:AlternateContent>
    </w:r>
  </w:p>
</w:ftr>
</file>

<file path=word/footer1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EFDD75">
    <w:pPr>
      <w:spacing w:line="170" w:lineRule="auto"/>
      <w:ind w:left="7100"/>
      <w:rPr>
        <w:rFonts w:ascii="仿宋" w:hAnsi="仿宋" w:eastAsia="仿宋" w:cs="仿宋"/>
        <w:sz w:val="18"/>
        <w:szCs w:val="18"/>
      </w:rPr>
    </w:pPr>
    <w:r>
      <w:rPr>
        <w:sz w:val="18"/>
      </w:rPr>
      <mc:AlternateContent>
        <mc:Choice Requires="wps">
          <w:drawing>
            <wp:anchor distT="0" distB="0" distL="114300" distR="114300" simplePos="0" relativeHeight="251858944" behindDoc="0" locked="0" layoutInCell="1" allowOverlap="1">
              <wp:simplePos x="0" y="0"/>
              <wp:positionH relativeFrom="margin">
                <wp:align>center</wp:align>
              </wp:positionH>
              <wp:positionV relativeFrom="paragraph">
                <wp:posOffset>0</wp:posOffset>
              </wp:positionV>
              <wp:extent cx="1828800" cy="1828800"/>
              <wp:effectExtent l="0" t="0" r="0" b="0"/>
              <wp:wrapNone/>
              <wp:docPr id="1472" name="文本框 147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A794355">
                          <w:pPr>
                            <w:pStyle w:val="4"/>
                          </w:pPr>
                          <w:r>
                            <w:fldChar w:fldCharType="begin"/>
                          </w:r>
                          <w:r>
                            <w:instrText xml:space="preserve"> PAGE  \* MERGEFORMAT </w:instrText>
                          </w:r>
                          <w:r>
                            <w:fldChar w:fldCharType="separate"/>
                          </w:r>
                          <w:r>
                            <w:t>234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589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5veQmDUCAABnBAAADgAAAAAAAAABACAAAAAfAQAAZHJzL2Uyb0RvYy54bWxQ&#10;SwUGAAAAAAYABgBZAQAAxgUAAAAA&#10;">
              <v:fill on="f" focussize="0,0"/>
              <v:stroke on="f" weight="0.5pt"/>
              <v:imagedata o:title=""/>
              <o:lock v:ext="edit" aspectratio="f"/>
              <v:textbox inset="0mm,0mm,0mm,0mm" style="mso-fit-shape-to-text:t;">
                <w:txbxContent>
                  <w:p w14:paraId="5A794355">
                    <w:pPr>
                      <w:pStyle w:val="4"/>
                    </w:pPr>
                    <w:r>
                      <w:fldChar w:fldCharType="begin"/>
                    </w:r>
                    <w:r>
                      <w:instrText xml:space="preserve"> PAGE  \* MERGEFORMAT </w:instrText>
                    </w:r>
                    <w:r>
                      <w:fldChar w:fldCharType="separate"/>
                    </w:r>
                    <w:r>
                      <w:t>234</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F71A54">
    <w:pPr>
      <w:spacing w:line="174" w:lineRule="auto"/>
      <w:ind w:left="4135"/>
      <w:rPr>
        <w:rFonts w:ascii="Times New Roman" w:hAnsi="Times New Roman" w:eastAsia="Times New Roman" w:cs="Times New Roman"/>
        <w:sz w:val="21"/>
        <w:szCs w:val="21"/>
      </w:rPr>
    </w:pPr>
    <w:r>
      <w:rPr>
        <w:rFonts w:ascii="Times New Roman" w:hAnsi="Times New Roman" w:eastAsia="Times New Roman" w:cs="Times New Roman"/>
        <w:sz w:val="21"/>
        <w:szCs w:val="21"/>
      </w:rPr>
      <w:t>I</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18BF8B">
    <w:pPr>
      <w:spacing w:line="176" w:lineRule="auto"/>
      <w:ind w:left="4067"/>
      <w:rPr>
        <w:rFonts w:ascii="Times New Roman" w:hAnsi="Times New Roman" w:eastAsia="Times New Roman" w:cs="Times New Roman"/>
        <w:sz w:val="21"/>
        <w:szCs w:val="21"/>
      </w:rPr>
    </w:pPr>
    <w:r>
      <w:rPr>
        <w:sz w:val="21"/>
      </w:rP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1270" name="文本框 127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50C23C9">
                          <w:pPr>
                            <w:pStyle w:val="4"/>
                          </w:pPr>
                          <w:r>
                            <w:fldChar w:fldCharType="begin"/>
                          </w:r>
                          <w:r>
                            <w:instrText xml:space="preserve"> PAGE  \* MERGEFORMAT </w:instrText>
                          </w:r>
                          <w:r>
                            <w:fldChar w:fldCharType="separate"/>
                          </w:r>
                          <w:r>
                            <w:t>10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RIv0nNAIAAGcEAAAOAAAAAAAAAAEAIAAAAB8BAABkcnMvZTJvRG9jLnhtbFBL&#10;BQYAAAAABgAGAFkBAADFBQAAAAA=&#10;">
              <v:fill on="f" focussize="0,0"/>
              <v:stroke on="f" weight="0.5pt"/>
              <v:imagedata o:title=""/>
              <o:lock v:ext="edit" aspectratio="f"/>
              <v:textbox inset="0mm,0mm,0mm,0mm" style="mso-fit-shape-to-text:t;">
                <w:txbxContent>
                  <w:p w14:paraId="550C23C9">
                    <w:pPr>
                      <w:pStyle w:val="4"/>
                    </w:pPr>
                    <w:r>
                      <w:fldChar w:fldCharType="begin"/>
                    </w:r>
                    <w:r>
                      <w:instrText xml:space="preserve"> PAGE  \* MERGEFORMAT </w:instrText>
                    </w:r>
                    <w:r>
                      <w:fldChar w:fldCharType="separate"/>
                    </w:r>
                    <w:r>
                      <w:t>10</w:t>
                    </w:r>
                    <w:r>
                      <w:fldChar w:fldCharType="end"/>
                    </w:r>
                  </w:p>
                </w:txbxContent>
              </v:textbox>
            </v:shape>
          </w:pict>
        </mc:Fallback>
      </mc:AlternateContent>
    </w:r>
  </w:p>
</w:ftr>
</file>

<file path=word/footer2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E3CD22">
    <w:pPr>
      <w:spacing w:line="170" w:lineRule="auto"/>
      <w:ind w:left="4048"/>
      <w:rPr>
        <w:rFonts w:ascii="仿宋" w:hAnsi="仿宋" w:eastAsia="仿宋" w:cs="仿宋"/>
        <w:sz w:val="18"/>
        <w:szCs w:val="18"/>
      </w:rPr>
    </w:pPr>
    <w:r>
      <w:rPr>
        <w:sz w:val="18"/>
      </w:rPr>
      <mc:AlternateContent>
        <mc:Choice Requires="wps">
          <w:drawing>
            <wp:anchor distT="0" distB="0" distL="114300" distR="114300" simplePos="0" relativeHeight="25185996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73" name="文本框 147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0CE1589">
                          <w:pPr>
                            <w:pStyle w:val="4"/>
                          </w:pPr>
                          <w:r>
                            <w:fldChar w:fldCharType="begin"/>
                          </w:r>
                          <w:r>
                            <w:instrText xml:space="preserve"> PAGE  \* MERGEFORMAT </w:instrText>
                          </w:r>
                          <w:r>
                            <w:fldChar w:fldCharType="separate"/>
                          </w:r>
                          <w:r>
                            <w:t>235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599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s0lY7tAAAAAFAQAADwAAAAAAAAABACAAAAAiAAAAZHJzL2Rvd25yZXYueG1sUEsB&#10;AhQAFAAAAAgAh07iQPXaz0Y2AgAAZwQAAA4AAAAAAAAAAQAgAAAAHwEAAGRycy9lMm9Eb2MueG1s&#10;UEsFBgAAAAAGAAYAWQEAAMcFAAAAAA==&#10;">
              <v:fill on="f" focussize="0,0"/>
              <v:stroke on="f" weight="0.5pt"/>
              <v:imagedata o:title=""/>
              <o:lock v:ext="edit" aspectratio="f"/>
              <v:textbox inset="0mm,0mm,0mm,0mm" style="mso-fit-shape-to-text:t;">
                <w:txbxContent>
                  <w:p w14:paraId="30CE1589">
                    <w:pPr>
                      <w:pStyle w:val="4"/>
                    </w:pPr>
                    <w:r>
                      <w:fldChar w:fldCharType="begin"/>
                    </w:r>
                    <w:r>
                      <w:instrText xml:space="preserve"> PAGE  \* MERGEFORMAT </w:instrText>
                    </w:r>
                    <w:r>
                      <w:fldChar w:fldCharType="separate"/>
                    </w:r>
                    <w:r>
                      <w:t>235</w:t>
                    </w:r>
                    <w:r>
                      <w:fldChar w:fldCharType="end"/>
                    </w:r>
                  </w:p>
                </w:txbxContent>
              </v:textbox>
            </v:shape>
          </w:pict>
        </mc:Fallback>
      </mc:AlternateContent>
    </w:r>
  </w:p>
</w:ftr>
</file>

<file path=word/footer2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BFD57E">
    <w:pPr>
      <w:spacing w:line="170" w:lineRule="auto"/>
      <w:ind w:left="4048"/>
      <w:rPr>
        <w:rFonts w:ascii="仿宋" w:hAnsi="仿宋" w:eastAsia="仿宋" w:cs="仿宋"/>
        <w:sz w:val="18"/>
        <w:szCs w:val="18"/>
      </w:rPr>
    </w:pPr>
    <w:r>
      <w:rPr>
        <w:sz w:val="18"/>
      </w:rPr>
      <mc:AlternateContent>
        <mc:Choice Requires="wps">
          <w:drawing>
            <wp:anchor distT="0" distB="0" distL="114300" distR="114300" simplePos="0" relativeHeight="251860992" behindDoc="0" locked="0" layoutInCell="1" allowOverlap="1">
              <wp:simplePos x="0" y="0"/>
              <wp:positionH relativeFrom="margin">
                <wp:align>center</wp:align>
              </wp:positionH>
              <wp:positionV relativeFrom="paragraph">
                <wp:posOffset>0</wp:posOffset>
              </wp:positionV>
              <wp:extent cx="1828800" cy="1828800"/>
              <wp:effectExtent l="0" t="0" r="0" b="0"/>
              <wp:wrapNone/>
              <wp:docPr id="1474" name="文本框 147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790E86D">
                          <w:pPr>
                            <w:pStyle w:val="4"/>
                          </w:pPr>
                          <w:r>
                            <w:fldChar w:fldCharType="begin"/>
                          </w:r>
                          <w:r>
                            <w:instrText xml:space="preserve"> PAGE  \* MERGEFORMAT </w:instrText>
                          </w:r>
                          <w:r>
                            <w:fldChar w:fldCharType="separate"/>
                          </w:r>
                          <w:r>
                            <w:t>236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609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s0lY7tAAAAAFAQAADwAAAAAAAAABACAAAAAiAAAAZHJzL2Rvd25yZXYueG1sUEsB&#10;AhQAFAAAAAgAh07iQE8TwTA2AgAAZwQAAA4AAAAAAAAAAQAgAAAAHwEAAGRycy9lMm9Eb2MueG1s&#10;UEsFBgAAAAAGAAYAWQEAAMcFAAAAAA==&#10;">
              <v:fill on="f" focussize="0,0"/>
              <v:stroke on="f" weight="0.5pt"/>
              <v:imagedata o:title=""/>
              <o:lock v:ext="edit" aspectratio="f"/>
              <v:textbox inset="0mm,0mm,0mm,0mm" style="mso-fit-shape-to-text:t;">
                <w:txbxContent>
                  <w:p w14:paraId="3790E86D">
                    <w:pPr>
                      <w:pStyle w:val="4"/>
                    </w:pPr>
                    <w:r>
                      <w:fldChar w:fldCharType="begin"/>
                    </w:r>
                    <w:r>
                      <w:instrText xml:space="preserve"> PAGE  \* MERGEFORMAT </w:instrText>
                    </w:r>
                    <w:r>
                      <w:fldChar w:fldCharType="separate"/>
                    </w:r>
                    <w:r>
                      <w:t>236</w:t>
                    </w:r>
                    <w:r>
                      <w:fldChar w:fldCharType="end"/>
                    </w:r>
                  </w:p>
                </w:txbxContent>
              </v:textbox>
            </v:shape>
          </w:pict>
        </mc:Fallback>
      </mc:AlternateContent>
    </w:r>
  </w:p>
</w:ftr>
</file>

<file path=word/footer2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139A63">
    <w:pPr>
      <w:spacing w:line="170" w:lineRule="auto"/>
      <w:ind w:left="4048"/>
      <w:rPr>
        <w:rFonts w:ascii="仿宋" w:hAnsi="仿宋" w:eastAsia="仿宋" w:cs="仿宋"/>
        <w:sz w:val="18"/>
        <w:szCs w:val="18"/>
      </w:rPr>
    </w:pPr>
    <w:r>
      <w:rPr>
        <w:sz w:val="18"/>
      </w:rPr>
      <mc:AlternateContent>
        <mc:Choice Requires="wps">
          <w:drawing>
            <wp:anchor distT="0" distB="0" distL="114300" distR="114300" simplePos="0" relativeHeight="251862016" behindDoc="0" locked="0" layoutInCell="1" allowOverlap="1">
              <wp:simplePos x="0" y="0"/>
              <wp:positionH relativeFrom="margin">
                <wp:align>center</wp:align>
              </wp:positionH>
              <wp:positionV relativeFrom="paragraph">
                <wp:posOffset>0</wp:posOffset>
              </wp:positionV>
              <wp:extent cx="1828800" cy="1828800"/>
              <wp:effectExtent l="0" t="0" r="0" b="0"/>
              <wp:wrapNone/>
              <wp:docPr id="1475" name="文本框 147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3F178A1">
                          <w:pPr>
                            <w:pStyle w:val="4"/>
                          </w:pPr>
                          <w:r>
                            <w:fldChar w:fldCharType="begin"/>
                          </w:r>
                          <w:r>
                            <w:instrText xml:space="preserve"> PAGE  \* MERGEFORMAT </w:instrText>
                          </w:r>
                          <w:r>
                            <w:fldChar w:fldCharType="separate"/>
                          </w:r>
                          <w:r>
                            <w:t>237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620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s0lY7tAAAAAFAQAADwAAAAAAAAABACAAAAAiAAAAZHJzL2Rvd25yZXYueG1sUEsB&#10;AhQAFAAAAAgAh07iQFw+nu42AgAAZwQAAA4AAAAAAAAAAQAgAAAAHwEAAGRycy9lMm9Eb2MueG1s&#10;UEsFBgAAAAAGAAYAWQEAAMcFAAAAAA==&#10;">
              <v:fill on="f" focussize="0,0"/>
              <v:stroke on="f" weight="0.5pt"/>
              <v:imagedata o:title=""/>
              <o:lock v:ext="edit" aspectratio="f"/>
              <v:textbox inset="0mm,0mm,0mm,0mm" style="mso-fit-shape-to-text:t;">
                <w:txbxContent>
                  <w:p w14:paraId="03F178A1">
                    <w:pPr>
                      <w:pStyle w:val="4"/>
                    </w:pPr>
                    <w:r>
                      <w:fldChar w:fldCharType="begin"/>
                    </w:r>
                    <w:r>
                      <w:instrText xml:space="preserve"> PAGE  \* MERGEFORMAT </w:instrText>
                    </w:r>
                    <w:r>
                      <w:fldChar w:fldCharType="separate"/>
                    </w:r>
                    <w:r>
                      <w:t>237</w:t>
                    </w:r>
                    <w:r>
                      <w:fldChar w:fldCharType="end"/>
                    </w:r>
                  </w:p>
                </w:txbxContent>
              </v:textbox>
            </v:shape>
          </w:pict>
        </mc:Fallback>
      </mc:AlternateContent>
    </w:r>
  </w:p>
</w:ftr>
</file>

<file path=word/footer2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A2CAE6">
    <w:pPr>
      <w:spacing w:line="170" w:lineRule="auto"/>
      <w:ind w:left="4048"/>
      <w:rPr>
        <w:rFonts w:ascii="仿宋" w:hAnsi="仿宋" w:eastAsia="仿宋" w:cs="仿宋"/>
        <w:sz w:val="18"/>
        <w:szCs w:val="18"/>
      </w:rPr>
    </w:pPr>
    <w:r>
      <w:rPr>
        <w:sz w:val="18"/>
      </w:rPr>
      <mc:AlternateContent>
        <mc:Choice Requires="wps">
          <w:drawing>
            <wp:anchor distT="0" distB="0" distL="114300" distR="114300" simplePos="0" relativeHeight="2518630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476" name="文本框 147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5F03C69">
                          <w:pPr>
                            <w:pStyle w:val="4"/>
                          </w:pPr>
                          <w:r>
                            <w:fldChar w:fldCharType="begin"/>
                          </w:r>
                          <w:r>
                            <w:instrText xml:space="preserve"> PAGE  \* MERGEFORMAT </w:instrText>
                          </w:r>
                          <w:r>
                            <w:fldChar w:fldCharType="separate"/>
                          </w:r>
                          <w:r>
                            <w:t>238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630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KE8OVzUCAABnBAAADgAAAAAAAAABACAAAAAfAQAAZHJzL2Uyb0RvYy54bWxQ&#10;SwUGAAAAAAYABgBZAQAAxgUAAAAA&#10;">
              <v:fill on="f" focussize="0,0"/>
              <v:stroke on="f" weight="0.5pt"/>
              <v:imagedata o:title=""/>
              <o:lock v:ext="edit" aspectratio="f"/>
              <v:textbox inset="0mm,0mm,0mm,0mm" style="mso-fit-shape-to-text:t;">
                <w:txbxContent>
                  <w:p w14:paraId="45F03C69">
                    <w:pPr>
                      <w:pStyle w:val="4"/>
                    </w:pPr>
                    <w:r>
                      <w:fldChar w:fldCharType="begin"/>
                    </w:r>
                    <w:r>
                      <w:instrText xml:space="preserve"> PAGE  \* MERGEFORMAT </w:instrText>
                    </w:r>
                    <w:r>
                      <w:fldChar w:fldCharType="separate"/>
                    </w:r>
                    <w:r>
                      <w:t>238</w:t>
                    </w:r>
                    <w:r>
                      <w:fldChar w:fldCharType="end"/>
                    </w:r>
                  </w:p>
                </w:txbxContent>
              </v:textbox>
            </v:shape>
          </w:pict>
        </mc:Fallback>
      </mc:AlternateContent>
    </w:r>
  </w:p>
</w:ftr>
</file>

<file path=word/footer2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5C0032">
    <w:pPr>
      <w:spacing w:line="170" w:lineRule="auto"/>
      <w:ind w:left="4225"/>
      <w:rPr>
        <w:rFonts w:ascii="仿宋" w:hAnsi="仿宋" w:eastAsia="仿宋" w:cs="仿宋"/>
        <w:sz w:val="18"/>
        <w:szCs w:val="18"/>
      </w:rPr>
    </w:pPr>
    <w:r>
      <w:rPr>
        <w:sz w:val="18"/>
      </w:rPr>
      <mc:AlternateContent>
        <mc:Choice Requires="wps">
          <w:drawing>
            <wp:anchor distT="0" distB="0" distL="114300" distR="114300" simplePos="0" relativeHeight="2518640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477" name="文本框 147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EFA422A">
                          <w:pPr>
                            <w:pStyle w:val="4"/>
                          </w:pPr>
                          <w:r>
                            <w:fldChar w:fldCharType="begin"/>
                          </w:r>
                          <w:r>
                            <w:instrText xml:space="preserve"> PAGE  \* MERGEFORMAT </w:instrText>
                          </w:r>
                          <w:r>
                            <w:fldChar w:fldCharType="separate"/>
                          </w:r>
                          <w:r>
                            <w:t>239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640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s0lY7tAAAAAFAQAADwAAAAAAAAABACAAAAAiAAAAZHJzL2Rvd25yZXYueG1sUEsB&#10;AhQAFAAAAAgAh07iQDtiUYk2AgAAZwQAAA4AAAAAAAAAAQAgAAAAHwEAAGRycy9lMm9Eb2MueG1s&#10;UEsFBgAAAAAGAAYAWQEAAMcFAAAAAA==&#10;">
              <v:fill on="f" focussize="0,0"/>
              <v:stroke on="f" weight="0.5pt"/>
              <v:imagedata o:title=""/>
              <o:lock v:ext="edit" aspectratio="f"/>
              <v:textbox inset="0mm,0mm,0mm,0mm" style="mso-fit-shape-to-text:t;">
                <w:txbxContent>
                  <w:p w14:paraId="4EFA422A">
                    <w:pPr>
                      <w:pStyle w:val="4"/>
                    </w:pPr>
                    <w:r>
                      <w:fldChar w:fldCharType="begin"/>
                    </w:r>
                    <w:r>
                      <w:instrText xml:space="preserve"> PAGE  \* MERGEFORMAT </w:instrText>
                    </w:r>
                    <w:r>
                      <w:fldChar w:fldCharType="separate"/>
                    </w:r>
                    <w:r>
                      <w:t>239</w:t>
                    </w:r>
                    <w:r>
                      <w:fldChar w:fldCharType="end"/>
                    </w:r>
                  </w:p>
                </w:txbxContent>
              </v:textbox>
            </v:shape>
          </w:pict>
        </mc:Fallback>
      </mc:AlternateContent>
    </w:r>
  </w:p>
</w:ftr>
</file>

<file path=word/footer2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396833">
    <w:pPr>
      <w:spacing w:line="170" w:lineRule="auto"/>
      <w:ind w:left="4048"/>
      <w:rPr>
        <w:rFonts w:ascii="仿宋" w:hAnsi="仿宋" w:eastAsia="仿宋" w:cs="仿宋"/>
        <w:sz w:val="18"/>
        <w:szCs w:val="18"/>
      </w:rPr>
    </w:pPr>
    <w:r>
      <w:rPr>
        <w:sz w:val="18"/>
      </w:rPr>
      <mc:AlternateContent>
        <mc:Choice Requires="wps">
          <w:drawing>
            <wp:anchor distT="0" distB="0" distL="114300" distR="114300" simplePos="0" relativeHeight="2518650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78" name="文本框 147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E844203">
                          <w:pPr>
                            <w:pStyle w:val="4"/>
                          </w:pPr>
                          <w:r>
                            <w:fldChar w:fldCharType="begin"/>
                          </w:r>
                          <w:r>
                            <w:instrText xml:space="preserve"> PAGE  \* MERGEFORMAT </w:instrText>
                          </w:r>
                          <w:r>
                            <w:fldChar w:fldCharType="separate"/>
                          </w:r>
                          <w:r>
                            <w:t>240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650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c3BO7NAIAAGcEAAAOAAAAAAAAAAEAIAAAAB8BAABkcnMvZTJvRG9jLnhtbFBL&#10;BQYAAAAABgAGAFkBAADFBQAAAAA=&#10;">
              <v:fill on="f" focussize="0,0"/>
              <v:stroke on="f" weight="0.5pt"/>
              <v:imagedata o:title=""/>
              <o:lock v:ext="edit" aspectratio="f"/>
              <v:textbox inset="0mm,0mm,0mm,0mm" style="mso-fit-shape-to-text:t;">
                <w:txbxContent>
                  <w:p w14:paraId="6E844203">
                    <w:pPr>
                      <w:pStyle w:val="4"/>
                    </w:pPr>
                    <w:r>
                      <w:fldChar w:fldCharType="begin"/>
                    </w:r>
                    <w:r>
                      <w:instrText xml:space="preserve"> PAGE  \* MERGEFORMAT </w:instrText>
                    </w:r>
                    <w:r>
                      <w:fldChar w:fldCharType="separate"/>
                    </w:r>
                    <w:r>
                      <w:t>240</w:t>
                    </w:r>
                    <w:r>
                      <w:fldChar w:fldCharType="end"/>
                    </w:r>
                  </w:p>
                </w:txbxContent>
              </v:textbox>
            </v:shape>
          </w:pict>
        </mc:Fallback>
      </mc:AlternateContent>
    </w:r>
  </w:p>
</w:ftr>
</file>

<file path=word/footer2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CF619B">
    <w:pPr>
      <w:spacing w:line="170" w:lineRule="auto"/>
      <w:ind w:left="4048"/>
      <w:rPr>
        <w:rFonts w:ascii="仿宋" w:hAnsi="仿宋" w:eastAsia="仿宋" w:cs="仿宋"/>
        <w:sz w:val="18"/>
        <w:szCs w:val="18"/>
      </w:rPr>
    </w:pPr>
    <w:r>
      <w:rPr>
        <w:sz w:val="18"/>
      </w:rPr>
      <mc:AlternateContent>
        <mc:Choice Requires="wps">
          <w:drawing>
            <wp:anchor distT="0" distB="0" distL="114300" distR="114300" simplePos="0" relativeHeight="2518661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479" name="文本框 147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B44FCD4">
                          <w:pPr>
                            <w:pStyle w:val="4"/>
                          </w:pPr>
                          <w:r>
                            <w:fldChar w:fldCharType="begin"/>
                          </w:r>
                          <w:r>
                            <w:instrText xml:space="preserve"> PAGE  \* MERGEFORMAT </w:instrText>
                          </w:r>
                          <w:r>
                            <w:fldChar w:fldCharType="separate"/>
                          </w:r>
                          <w:r>
                            <w:t>241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661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T/FMZTUCAABnBAAADgAAAAAAAAABACAAAAAfAQAAZHJzL2Uyb0RvYy54bWxQ&#10;SwUGAAAAAAYABgBZAQAAxgUAAAAA&#10;">
              <v:fill on="f" focussize="0,0"/>
              <v:stroke on="f" weight="0.5pt"/>
              <v:imagedata o:title=""/>
              <o:lock v:ext="edit" aspectratio="f"/>
              <v:textbox inset="0mm,0mm,0mm,0mm" style="mso-fit-shape-to-text:t;">
                <w:txbxContent>
                  <w:p w14:paraId="6B44FCD4">
                    <w:pPr>
                      <w:pStyle w:val="4"/>
                    </w:pPr>
                    <w:r>
                      <w:fldChar w:fldCharType="begin"/>
                    </w:r>
                    <w:r>
                      <w:instrText xml:space="preserve"> PAGE  \* MERGEFORMAT </w:instrText>
                    </w:r>
                    <w:r>
                      <w:fldChar w:fldCharType="separate"/>
                    </w:r>
                    <w:r>
                      <w:t>241</w:t>
                    </w:r>
                    <w:r>
                      <w:fldChar w:fldCharType="end"/>
                    </w:r>
                  </w:p>
                </w:txbxContent>
              </v:textbox>
            </v:shape>
          </w:pict>
        </mc:Fallback>
      </mc:AlternateContent>
    </w:r>
  </w:p>
</w:ftr>
</file>

<file path=word/footer2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F68F24">
    <w:pPr>
      <w:spacing w:line="170" w:lineRule="auto"/>
      <w:ind w:left="4048"/>
      <w:rPr>
        <w:rFonts w:ascii="仿宋" w:hAnsi="仿宋" w:eastAsia="仿宋" w:cs="仿宋"/>
        <w:sz w:val="18"/>
        <w:szCs w:val="18"/>
      </w:rPr>
    </w:pPr>
    <w:r>
      <w:rPr>
        <w:sz w:val="18"/>
      </w:rPr>
      <mc:AlternateContent>
        <mc:Choice Requires="wps">
          <w:drawing>
            <wp:anchor distT="0" distB="0" distL="114300" distR="114300" simplePos="0" relativeHeight="2518671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480" name="文本框 148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722AA36">
                          <w:pPr>
                            <w:pStyle w:val="4"/>
                          </w:pPr>
                          <w:r>
                            <w:fldChar w:fldCharType="begin"/>
                          </w:r>
                          <w:r>
                            <w:instrText xml:space="preserve"> PAGE  \* MERGEFORMAT </w:instrText>
                          </w:r>
                          <w:r>
                            <w:fldChar w:fldCharType="separate"/>
                          </w:r>
                          <w:r>
                            <w:t>242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671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EHbssNAIAAGcEAAAOAAAAAAAAAAEAIAAAAB8BAABkcnMvZTJvRG9jLnhtbFBL&#10;BQYAAAAABgAGAFkBAADFBQAAAAA=&#10;">
              <v:fill on="f" focussize="0,0"/>
              <v:stroke on="f" weight="0.5pt"/>
              <v:imagedata o:title=""/>
              <o:lock v:ext="edit" aspectratio="f"/>
              <v:textbox inset="0mm,0mm,0mm,0mm" style="mso-fit-shape-to-text:t;">
                <w:txbxContent>
                  <w:p w14:paraId="2722AA36">
                    <w:pPr>
                      <w:pStyle w:val="4"/>
                    </w:pPr>
                    <w:r>
                      <w:fldChar w:fldCharType="begin"/>
                    </w:r>
                    <w:r>
                      <w:instrText xml:space="preserve"> PAGE  \* MERGEFORMAT </w:instrText>
                    </w:r>
                    <w:r>
                      <w:fldChar w:fldCharType="separate"/>
                    </w:r>
                    <w:r>
                      <w:t>242</w:t>
                    </w:r>
                    <w:r>
                      <w:fldChar w:fldCharType="end"/>
                    </w:r>
                  </w:p>
                </w:txbxContent>
              </v:textbox>
            </v:shape>
          </w:pict>
        </mc:Fallback>
      </mc:AlternateContent>
    </w:r>
  </w:p>
</w:ftr>
</file>

<file path=word/footer2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BDF35C">
    <w:pPr>
      <w:spacing w:line="170" w:lineRule="auto"/>
      <w:ind w:left="4048"/>
      <w:rPr>
        <w:rFonts w:ascii="仿宋" w:hAnsi="仿宋" w:eastAsia="仿宋" w:cs="仿宋"/>
        <w:sz w:val="18"/>
        <w:szCs w:val="18"/>
      </w:rPr>
    </w:pPr>
    <w:r>
      <w:rPr>
        <w:sz w:val="18"/>
      </w:rPr>
      <mc:AlternateContent>
        <mc:Choice Requires="wps">
          <w:drawing>
            <wp:anchor distT="0" distB="0" distL="114300" distR="114300" simplePos="0" relativeHeight="2518681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481" name="文本框 148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BB33C47">
                          <w:pPr>
                            <w:pStyle w:val="4"/>
                          </w:pPr>
                          <w:r>
                            <w:fldChar w:fldCharType="begin"/>
                          </w:r>
                          <w:r>
                            <w:instrText xml:space="preserve"> PAGE  \* MERGEFORMAT </w:instrText>
                          </w:r>
                          <w:r>
                            <w:fldChar w:fldCharType="separate"/>
                          </w:r>
                          <w:r>
                            <w:t>243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681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XMOTyNAIAAGcEAAAOAAAAAAAAAAEAIAAAAB8BAABkcnMvZTJvRG9jLnhtbFBL&#10;BQYAAAAABgAGAFkBAADFBQAAAAA=&#10;">
              <v:fill on="f" focussize="0,0"/>
              <v:stroke on="f" weight="0.5pt"/>
              <v:imagedata o:title=""/>
              <o:lock v:ext="edit" aspectratio="f"/>
              <v:textbox inset="0mm,0mm,0mm,0mm" style="mso-fit-shape-to-text:t;">
                <w:txbxContent>
                  <w:p w14:paraId="1BB33C47">
                    <w:pPr>
                      <w:pStyle w:val="4"/>
                    </w:pPr>
                    <w:r>
                      <w:fldChar w:fldCharType="begin"/>
                    </w:r>
                    <w:r>
                      <w:instrText xml:space="preserve"> PAGE  \* MERGEFORMAT </w:instrText>
                    </w:r>
                    <w:r>
                      <w:fldChar w:fldCharType="separate"/>
                    </w:r>
                    <w:r>
                      <w:t>243</w:t>
                    </w:r>
                    <w:r>
                      <w:fldChar w:fldCharType="end"/>
                    </w:r>
                  </w:p>
                </w:txbxContent>
              </v:textbox>
            </v:shape>
          </w:pict>
        </mc:Fallback>
      </mc:AlternateContent>
    </w:r>
  </w:p>
</w:ftr>
</file>

<file path=word/footer2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BF6D02">
    <w:pPr>
      <w:pStyle w:val="4"/>
      <w:jc w:val="center"/>
      <w:rPr>
        <w:rFonts w:hint="default"/>
        <w:lang w:val="en-US"/>
      </w:rPr>
    </w:pPr>
    <w:r>
      <mc:AlternateContent>
        <mc:Choice Requires="wps">
          <w:drawing>
            <wp:anchor distT="0" distB="0" distL="114300" distR="114300" simplePos="0" relativeHeight="2518691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482" name="文本框 148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A8B5F7A">
                          <w:pPr>
                            <w:pStyle w:val="4"/>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691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o0F0SzUCAABnBAAADgAAAAAAAAABACAAAAAfAQAAZHJzL2Uyb0RvYy54bWxQ&#10;SwUGAAAAAAYABgBZAQAAxgUAAAAA&#10;">
              <v:fill on="f" focussize="0,0"/>
              <v:stroke on="f" weight="0.5pt"/>
              <v:imagedata o:title=""/>
              <o:lock v:ext="edit" aspectratio="f"/>
              <v:textbox inset="0mm,0mm,0mm,0mm" style="mso-fit-shape-to-text:t;">
                <w:txbxContent>
                  <w:p w14:paraId="2A8B5F7A">
                    <w:pPr>
                      <w:pStyle w:val="4"/>
                    </w:pPr>
                  </w:p>
                </w:txbxContent>
              </v:textbox>
            </v:shape>
          </w:pict>
        </mc:Fallback>
      </mc:AlternateContent>
    </w:r>
    <w:r>
      <w:rPr>
        <w:rFonts w:hint="eastAsia"/>
        <w:lang w:val="en-US" w:eastAsia="zh-CN"/>
      </w:rPr>
      <w:t>257</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29E578">
    <w:pPr>
      <w:spacing w:line="177" w:lineRule="auto"/>
      <w:ind w:left="4067"/>
      <w:rPr>
        <w:rFonts w:ascii="Times New Roman" w:hAnsi="Times New Roman" w:eastAsia="Times New Roman" w:cs="Times New Roman"/>
        <w:sz w:val="21"/>
        <w:szCs w:val="21"/>
      </w:rPr>
    </w:pPr>
    <w:r>
      <w:rPr>
        <w:sz w:val="21"/>
      </w:rP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1271" name="文本框 127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77C9244">
                          <w:pPr>
                            <w:pStyle w:val="4"/>
                          </w:pPr>
                          <w:r>
                            <w:fldChar w:fldCharType="begin"/>
                          </w:r>
                          <w:r>
                            <w:instrText xml:space="preserve"> PAGE  \* MERGEFORMAT </w:instrText>
                          </w:r>
                          <w:r>
                            <w:fldChar w:fldCharType="separate"/>
                          </w:r>
                          <w:r>
                            <w:t>11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6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CD6L5NAIAAGcEAAAOAAAAAAAAAAEAIAAAAB8BAABkcnMvZTJvRG9jLnhtbFBL&#10;BQYAAAAABgAGAFkBAADFBQAAAAA=&#10;">
              <v:fill on="f" focussize="0,0"/>
              <v:stroke on="f" weight="0.5pt"/>
              <v:imagedata o:title=""/>
              <o:lock v:ext="edit" aspectratio="f"/>
              <v:textbox inset="0mm,0mm,0mm,0mm" style="mso-fit-shape-to-text:t;">
                <w:txbxContent>
                  <w:p w14:paraId="677C9244">
                    <w:pPr>
                      <w:pStyle w:val="4"/>
                    </w:pPr>
                    <w:r>
                      <w:fldChar w:fldCharType="begin"/>
                    </w:r>
                    <w:r>
                      <w:instrText xml:space="preserve"> PAGE  \* MERGEFORMAT </w:instrText>
                    </w:r>
                    <w:r>
                      <w:fldChar w:fldCharType="separate"/>
                    </w:r>
                    <w:r>
                      <w:t>11</w:t>
                    </w:r>
                    <w:r>
                      <w:fldChar w:fldCharType="end"/>
                    </w:r>
                  </w:p>
                </w:txbxContent>
              </v:textbox>
            </v:shape>
          </w:pict>
        </mc:Fallback>
      </mc:AlternateContent>
    </w:r>
  </w:p>
</w:ftr>
</file>

<file path=word/footer2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7066FA">
    <w:pPr>
      <w:spacing w:line="170" w:lineRule="auto"/>
      <w:ind w:left="4048"/>
      <w:rPr>
        <w:rFonts w:ascii="仿宋" w:hAnsi="仿宋" w:eastAsia="仿宋" w:cs="仿宋"/>
        <w:sz w:val="18"/>
        <w:szCs w:val="18"/>
      </w:rPr>
    </w:pPr>
    <w:r>
      <w:rPr>
        <w:sz w:val="18"/>
      </w:rPr>
      <mc:AlternateContent>
        <mc:Choice Requires="wps">
          <w:drawing>
            <wp:anchor distT="0" distB="0" distL="114300" distR="114300" simplePos="0" relativeHeight="2518702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83" name="文本框 148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FE46CA9">
                          <w:pPr>
                            <w:pStyle w:val="4"/>
                          </w:pPr>
                          <w:r>
                            <w:fldChar w:fldCharType="begin"/>
                          </w:r>
                          <w:r>
                            <w:instrText xml:space="preserve"> PAGE  \* MERGEFORMAT </w:instrText>
                          </w:r>
                          <w:r>
                            <w:fldChar w:fldCharType="separate"/>
                          </w:r>
                          <w:r>
                            <w:t>245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702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sGwrlTUCAABnBAAADgAAAAAAAAABACAAAAAfAQAAZHJzL2Uyb0RvYy54bWxQ&#10;SwUGAAAAAAYABgBZAQAAxgUAAAAA&#10;">
              <v:fill on="f" focussize="0,0"/>
              <v:stroke on="f" weight="0.5pt"/>
              <v:imagedata o:title=""/>
              <o:lock v:ext="edit" aspectratio="f"/>
              <v:textbox inset="0mm,0mm,0mm,0mm" style="mso-fit-shape-to-text:t;">
                <w:txbxContent>
                  <w:p w14:paraId="5FE46CA9">
                    <w:pPr>
                      <w:pStyle w:val="4"/>
                    </w:pPr>
                    <w:r>
                      <w:fldChar w:fldCharType="begin"/>
                    </w:r>
                    <w:r>
                      <w:instrText xml:space="preserve"> PAGE  \* MERGEFORMAT </w:instrText>
                    </w:r>
                    <w:r>
                      <w:fldChar w:fldCharType="separate"/>
                    </w:r>
                    <w:r>
                      <w:t>245</w:t>
                    </w:r>
                    <w:r>
                      <w:fldChar w:fldCharType="end"/>
                    </w:r>
                  </w:p>
                </w:txbxContent>
              </v:textbox>
            </v:shape>
          </w:pict>
        </mc:Fallback>
      </mc:AlternateContent>
    </w:r>
  </w:p>
</w:ftr>
</file>

<file path=word/footer2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944551">
    <w:pPr>
      <w:spacing w:line="170" w:lineRule="auto"/>
      <w:ind w:left="4302"/>
      <w:rPr>
        <w:rFonts w:ascii="仿宋" w:hAnsi="仿宋" w:eastAsia="仿宋" w:cs="仿宋"/>
        <w:sz w:val="18"/>
        <w:szCs w:val="18"/>
      </w:rPr>
    </w:pPr>
    <w:r>
      <w:rPr>
        <w:sz w:val="18"/>
      </w:rPr>
      <mc:AlternateContent>
        <mc:Choice Requires="wps">
          <w:drawing>
            <wp:anchor distT="0" distB="0" distL="114300" distR="114300" simplePos="0" relativeHeight="2518712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484" name="文本框 148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E6F9E04">
                          <w:pPr>
                            <w:pStyle w:val="4"/>
                          </w:pPr>
                          <w:r>
                            <w:fldChar w:fldCharType="begin"/>
                          </w:r>
                          <w:r>
                            <w:instrText xml:space="preserve"> PAGE  \* MERGEFORMAT </w:instrText>
                          </w:r>
                          <w:r>
                            <w:fldChar w:fldCharType="separate"/>
                          </w:r>
                          <w:r>
                            <w:t>246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712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CqUl4zUCAABnBAAADgAAAAAAAAABACAAAAAfAQAAZHJzL2Uyb0RvYy54bWxQ&#10;SwUGAAAAAAYABgBZAQAAxgUAAAAA&#10;">
              <v:fill on="f" focussize="0,0"/>
              <v:stroke on="f" weight="0.5pt"/>
              <v:imagedata o:title=""/>
              <o:lock v:ext="edit" aspectratio="f"/>
              <v:textbox inset="0mm,0mm,0mm,0mm" style="mso-fit-shape-to-text:t;">
                <w:txbxContent>
                  <w:p w14:paraId="7E6F9E04">
                    <w:pPr>
                      <w:pStyle w:val="4"/>
                    </w:pPr>
                    <w:r>
                      <w:fldChar w:fldCharType="begin"/>
                    </w:r>
                    <w:r>
                      <w:instrText xml:space="preserve"> PAGE  \* MERGEFORMAT </w:instrText>
                    </w:r>
                    <w:r>
                      <w:fldChar w:fldCharType="separate"/>
                    </w:r>
                    <w:r>
                      <w:t>246</w:t>
                    </w:r>
                    <w:r>
                      <w:fldChar w:fldCharType="end"/>
                    </w:r>
                  </w:p>
                </w:txbxContent>
              </v:textbox>
            </v:shape>
          </w:pict>
        </mc:Fallback>
      </mc:AlternateContent>
    </w:r>
  </w:p>
</w:ftr>
</file>

<file path=word/footer2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B71A38">
    <w:pPr>
      <w:spacing w:line="170" w:lineRule="auto"/>
      <w:ind w:left="4048"/>
      <w:rPr>
        <w:rFonts w:ascii="仿宋" w:hAnsi="仿宋" w:eastAsia="仿宋" w:cs="仿宋"/>
        <w:sz w:val="18"/>
        <w:szCs w:val="18"/>
      </w:rPr>
    </w:pPr>
    <w:r>
      <w:rPr>
        <w:sz w:val="18"/>
      </w:rPr>
      <mc:AlternateContent>
        <mc:Choice Requires="wps">
          <w:drawing>
            <wp:anchor distT="0" distB="0" distL="114300" distR="114300" simplePos="0" relativeHeight="2518722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485" name="文本框 148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702747F">
                          <w:pPr>
                            <w:pStyle w:val="4"/>
                          </w:pPr>
                          <w:r>
                            <w:fldChar w:fldCharType="begin"/>
                          </w:r>
                          <w:r>
                            <w:instrText xml:space="preserve"> PAGE  \* MERGEFORMAT </w:instrText>
                          </w:r>
                          <w:r>
                            <w:fldChar w:fldCharType="separate"/>
                          </w:r>
                          <w:r>
                            <w:t>247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722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GYh6PTUCAABnBAAADgAAAAAAAAABACAAAAAfAQAAZHJzL2Uyb0RvYy54bWxQ&#10;SwUGAAAAAAYABgBZAQAAxgUAAAAA&#10;">
              <v:fill on="f" focussize="0,0"/>
              <v:stroke on="f" weight="0.5pt"/>
              <v:imagedata o:title=""/>
              <o:lock v:ext="edit" aspectratio="f"/>
              <v:textbox inset="0mm,0mm,0mm,0mm" style="mso-fit-shape-to-text:t;">
                <w:txbxContent>
                  <w:p w14:paraId="6702747F">
                    <w:pPr>
                      <w:pStyle w:val="4"/>
                    </w:pPr>
                    <w:r>
                      <w:fldChar w:fldCharType="begin"/>
                    </w:r>
                    <w:r>
                      <w:instrText xml:space="preserve"> PAGE  \* MERGEFORMAT </w:instrText>
                    </w:r>
                    <w:r>
                      <w:fldChar w:fldCharType="separate"/>
                    </w:r>
                    <w:r>
                      <w:t>247</w:t>
                    </w:r>
                    <w:r>
                      <w:fldChar w:fldCharType="end"/>
                    </w:r>
                  </w:p>
                </w:txbxContent>
              </v:textbox>
            </v:shape>
          </w:pict>
        </mc:Fallback>
      </mc:AlternateContent>
    </w:r>
  </w:p>
</w:ftr>
</file>

<file path=word/footer2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E45589">
    <w:pPr>
      <w:spacing w:line="170" w:lineRule="auto"/>
      <w:ind w:left="4048"/>
      <w:rPr>
        <w:rFonts w:ascii="仿宋" w:hAnsi="仿宋" w:eastAsia="仿宋" w:cs="仿宋"/>
        <w:sz w:val="18"/>
        <w:szCs w:val="18"/>
      </w:rPr>
    </w:pPr>
    <w:r>
      <w:rPr>
        <w:sz w:val="18"/>
      </w:rPr>
      <mc:AlternateContent>
        <mc:Choice Requires="wps">
          <w:drawing>
            <wp:anchor distT="0" distB="0" distL="114300" distR="114300" simplePos="0" relativeHeight="2518732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486" name="文本框 148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8EAA869">
                          <w:pPr>
                            <w:pStyle w:val="4"/>
                          </w:pPr>
                          <w:r>
                            <w:fldChar w:fldCharType="begin"/>
                          </w:r>
                          <w:r>
                            <w:instrText xml:space="preserve"> PAGE  \* MERGEFORMAT </w:instrText>
                          </w:r>
                          <w:r>
                            <w:fldChar w:fldCharType="separate"/>
                          </w:r>
                          <w:r>
                            <w:t>248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732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bfnqhDUCAABnBAAADgAAAAAAAAABACAAAAAfAQAAZHJzL2Uyb0RvYy54bWxQ&#10;SwUGAAAAAAYABgBZAQAAxgUAAAAA&#10;">
              <v:fill on="f" focussize="0,0"/>
              <v:stroke on="f" weight="0.5pt"/>
              <v:imagedata o:title=""/>
              <o:lock v:ext="edit" aspectratio="f"/>
              <v:textbox inset="0mm,0mm,0mm,0mm" style="mso-fit-shape-to-text:t;">
                <w:txbxContent>
                  <w:p w14:paraId="18EAA869">
                    <w:pPr>
                      <w:pStyle w:val="4"/>
                    </w:pPr>
                    <w:r>
                      <w:fldChar w:fldCharType="begin"/>
                    </w:r>
                    <w:r>
                      <w:instrText xml:space="preserve"> PAGE  \* MERGEFORMAT </w:instrText>
                    </w:r>
                    <w:r>
                      <w:fldChar w:fldCharType="separate"/>
                    </w:r>
                    <w:r>
                      <w:t>248</w:t>
                    </w:r>
                    <w:r>
                      <w:fldChar w:fldCharType="end"/>
                    </w:r>
                  </w:p>
                </w:txbxContent>
              </v:textbox>
            </v:shape>
          </w:pict>
        </mc:Fallback>
      </mc:AlternateContent>
    </w:r>
  </w:p>
</w:ftr>
</file>

<file path=word/footer2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C1C424">
    <w:pPr>
      <w:spacing w:line="170" w:lineRule="auto"/>
      <w:ind w:left="4048"/>
      <w:rPr>
        <w:rFonts w:ascii="仿宋" w:hAnsi="仿宋" w:eastAsia="仿宋" w:cs="仿宋"/>
        <w:sz w:val="18"/>
        <w:szCs w:val="18"/>
      </w:rPr>
    </w:pPr>
    <w:r>
      <w:rPr>
        <w:sz w:val="18"/>
      </w:rPr>
      <mc:AlternateContent>
        <mc:Choice Requires="wps">
          <w:drawing>
            <wp:anchor distT="0" distB="0" distL="114300" distR="114300" simplePos="0" relativeHeight="2518743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487" name="文本框 148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1782C31">
                          <w:pPr>
                            <w:pStyle w:val="4"/>
                          </w:pPr>
                          <w:r>
                            <w:fldChar w:fldCharType="begin"/>
                          </w:r>
                          <w:r>
                            <w:instrText xml:space="preserve"> PAGE  \* MERGEFORMAT </w:instrText>
                          </w:r>
                          <w:r>
                            <w:fldChar w:fldCharType="separate"/>
                          </w:r>
                          <w:r>
                            <w:t>249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743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ftS1WjUCAABnBAAADgAAAAAAAAABACAAAAAfAQAAZHJzL2Uyb0RvYy54bWxQ&#10;SwUGAAAAAAYABgBZAQAAxgUAAAAA&#10;">
              <v:fill on="f" focussize="0,0"/>
              <v:stroke on="f" weight="0.5pt"/>
              <v:imagedata o:title=""/>
              <o:lock v:ext="edit" aspectratio="f"/>
              <v:textbox inset="0mm,0mm,0mm,0mm" style="mso-fit-shape-to-text:t;">
                <w:txbxContent>
                  <w:p w14:paraId="31782C31">
                    <w:pPr>
                      <w:pStyle w:val="4"/>
                    </w:pPr>
                    <w:r>
                      <w:fldChar w:fldCharType="begin"/>
                    </w:r>
                    <w:r>
                      <w:instrText xml:space="preserve"> PAGE  \* MERGEFORMAT </w:instrText>
                    </w:r>
                    <w:r>
                      <w:fldChar w:fldCharType="separate"/>
                    </w:r>
                    <w:r>
                      <w:t>249</w:t>
                    </w:r>
                    <w:r>
                      <w:fldChar w:fldCharType="end"/>
                    </w:r>
                  </w:p>
                </w:txbxContent>
              </v:textbox>
            </v:shape>
          </w:pict>
        </mc:Fallback>
      </mc:AlternateContent>
    </w:r>
  </w:p>
</w:ftr>
</file>

<file path=word/footer2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F246D3">
    <w:pPr>
      <w:spacing w:line="170" w:lineRule="auto"/>
      <w:ind w:left="4048"/>
      <w:rPr>
        <w:rFonts w:ascii="仿宋" w:hAnsi="仿宋" w:eastAsia="仿宋" w:cs="仿宋"/>
        <w:sz w:val="18"/>
        <w:szCs w:val="18"/>
      </w:rPr>
    </w:pPr>
    <w:r>
      <w:rPr>
        <w:sz w:val="18"/>
      </w:rPr>
      <mc:AlternateContent>
        <mc:Choice Requires="wps">
          <w:drawing>
            <wp:anchor distT="0" distB="0" distL="114300" distR="114300" simplePos="0" relativeHeight="2518753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88" name="文本框 148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6CB5FF7">
                          <w:pPr>
                            <w:pStyle w:val="4"/>
                          </w:pPr>
                          <w:r>
                            <w:fldChar w:fldCharType="begin"/>
                          </w:r>
                          <w:r>
                            <w:instrText xml:space="preserve"> PAGE  \* MERGEFORMAT </w:instrText>
                          </w:r>
                          <w:r>
                            <w:fldChar w:fldCharType="separate"/>
                          </w:r>
                          <w:r>
                            <w:t>250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753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ZavdoNAIAAGcEAAAOAAAAAAAAAAEAIAAAAB8BAABkcnMvZTJvRG9jLnhtbFBL&#10;BQYAAAAABgAGAFkBAADFBQAAAAA=&#10;">
              <v:fill on="f" focussize="0,0"/>
              <v:stroke on="f" weight="0.5pt"/>
              <v:imagedata o:title=""/>
              <o:lock v:ext="edit" aspectratio="f"/>
              <v:textbox inset="0mm,0mm,0mm,0mm" style="mso-fit-shape-to-text:t;">
                <w:txbxContent>
                  <w:p w14:paraId="06CB5FF7">
                    <w:pPr>
                      <w:pStyle w:val="4"/>
                    </w:pPr>
                    <w:r>
                      <w:fldChar w:fldCharType="begin"/>
                    </w:r>
                    <w:r>
                      <w:instrText xml:space="preserve"> PAGE  \* MERGEFORMAT </w:instrText>
                    </w:r>
                    <w:r>
                      <w:fldChar w:fldCharType="separate"/>
                    </w:r>
                    <w:r>
                      <w:t>250</w:t>
                    </w:r>
                    <w:r>
                      <w:fldChar w:fldCharType="end"/>
                    </w:r>
                  </w:p>
                </w:txbxContent>
              </v:textbox>
            </v:shape>
          </w:pict>
        </mc:Fallback>
      </mc:AlternateContent>
    </w:r>
  </w:p>
</w:ftr>
</file>

<file path=word/footer2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360398">
    <w:pPr>
      <w:spacing w:line="170" w:lineRule="auto"/>
      <w:ind w:left="4048"/>
      <w:rPr>
        <w:rFonts w:ascii="仿宋" w:hAnsi="仿宋" w:eastAsia="仿宋" w:cs="仿宋"/>
        <w:sz w:val="18"/>
        <w:szCs w:val="18"/>
      </w:rPr>
    </w:pPr>
    <w:r>
      <w:rPr>
        <w:sz w:val="18"/>
      </w:rPr>
      <mc:AlternateContent>
        <mc:Choice Requires="wps">
          <w:drawing>
            <wp:anchor distT="0" distB="0" distL="114300" distR="114300" simplePos="0" relativeHeight="2518763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489" name="文本框 148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7E7599C">
                          <w:pPr>
                            <w:pStyle w:val="4"/>
                          </w:pPr>
                          <w:r>
                            <w:fldChar w:fldCharType="begin"/>
                          </w:r>
                          <w:r>
                            <w:instrText xml:space="preserve"> PAGE  \* MERGEFORMAT </w:instrText>
                          </w:r>
                          <w:r>
                            <w:fldChar w:fldCharType="separate"/>
                          </w:r>
                          <w:r>
                            <w:t>251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763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CkeotjUCAABnBAAADgAAAAAAAAABACAAAAAfAQAAZHJzL2Uyb0RvYy54bWxQ&#10;SwUGAAAAAAYABgBZAQAAxgUAAAAA&#10;">
              <v:fill on="f" focussize="0,0"/>
              <v:stroke on="f" weight="0.5pt"/>
              <v:imagedata o:title=""/>
              <o:lock v:ext="edit" aspectratio="f"/>
              <v:textbox inset="0mm,0mm,0mm,0mm" style="mso-fit-shape-to-text:t;">
                <w:txbxContent>
                  <w:p w14:paraId="17E7599C">
                    <w:pPr>
                      <w:pStyle w:val="4"/>
                    </w:pPr>
                    <w:r>
                      <w:fldChar w:fldCharType="begin"/>
                    </w:r>
                    <w:r>
                      <w:instrText xml:space="preserve"> PAGE  \* MERGEFORMAT </w:instrText>
                    </w:r>
                    <w:r>
                      <w:fldChar w:fldCharType="separate"/>
                    </w:r>
                    <w:r>
                      <w:t>251</w:t>
                    </w:r>
                    <w:r>
                      <w:fldChar w:fldCharType="end"/>
                    </w:r>
                  </w:p>
                </w:txbxContent>
              </v:textbox>
            </v:shape>
          </w:pict>
        </mc:Fallback>
      </mc:AlternateContent>
    </w:r>
  </w:p>
</w:ftr>
</file>

<file path=word/footer2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D835DD">
    <w:pPr>
      <w:spacing w:line="170" w:lineRule="auto"/>
      <w:ind w:left="4048"/>
      <w:rPr>
        <w:rFonts w:ascii="仿宋" w:hAnsi="仿宋" w:eastAsia="仿宋" w:cs="仿宋"/>
        <w:sz w:val="18"/>
        <w:szCs w:val="18"/>
      </w:rPr>
    </w:pPr>
    <w:r>
      <w:rPr>
        <w:sz w:val="18"/>
      </w:rPr>
      <mc:AlternateContent>
        <mc:Choice Requires="wps">
          <w:drawing>
            <wp:anchor distT="0" distB="0" distL="114300" distR="114300" simplePos="0" relativeHeight="251877376" behindDoc="0" locked="0" layoutInCell="1" allowOverlap="1">
              <wp:simplePos x="0" y="0"/>
              <wp:positionH relativeFrom="margin">
                <wp:align>center</wp:align>
              </wp:positionH>
              <wp:positionV relativeFrom="paragraph">
                <wp:posOffset>0</wp:posOffset>
              </wp:positionV>
              <wp:extent cx="1828800" cy="1828800"/>
              <wp:effectExtent l="0" t="0" r="0" b="0"/>
              <wp:wrapNone/>
              <wp:docPr id="1490" name="文本框 149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7379C66">
                          <w:pPr>
                            <w:pStyle w:val="4"/>
                          </w:pPr>
                          <w:r>
                            <w:fldChar w:fldCharType="begin"/>
                          </w:r>
                          <w:r>
                            <w:instrText xml:space="preserve"> PAGE  \* MERGEFORMAT </w:instrText>
                          </w:r>
                          <w:r>
                            <w:fldChar w:fldCharType="separate"/>
                          </w:r>
                          <w:r>
                            <w:t>252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773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3A9uoNAIAAGcEAAAOAAAAAAAAAAEAIAAAAB8BAABkcnMvZTJvRG9jLnhtbFBL&#10;BQYAAAAABgAGAFkBAADFBQAAAAA=&#10;">
              <v:fill on="f" focussize="0,0"/>
              <v:stroke on="f" weight="0.5pt"/>
              <v:imagedata o:title=""/>
              <o:lock v:ext="edit" aspectratio="f"/>
              <v:textbox inset="0mm,0mm,0mm,0mm" style="mso-fit-shape-to-text:t;">
                <w:txbxContent>
                  <w:p w14:paraId="47379C66">
                    <w:pPr>
                      <w:pStyle w:val="4"/>
                    </w:pPr>
                    <w:r>
                      <w:fldChar w:fldCharType="begin"/>
                    </w:r>
                    <w:r>
                      <w:instrText xml:space="preserve"> PAGE  \* MERGEFORMAT </w:instrText>
                    </w:r>
                    <w:r>
                      <w:fldChar w:fldCharType="separate"/>
                    </w:r>
                    <w:r>
                      <w:t>252</w:t>
                    </w:r>
                    <w:r>
                      <w:fldChar w:fldCharType="end"/>
                    </w:r>
                  </w:p>
                </w:txbxContent>
              </v:textbox>
            </v:shape>
          </w:pict>
        </mc:Fallback>
      </mc:AlternateContent>
    </w:r>
  </w:p>
</w:ftr>
</file>

<file path=word/footer2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B06BBE">
    <w:pPr>
      <w:spacing w:line="170" w:lineRule="auto"/>
      <w:ind w:left="4048"/>
      <w:rPr>
        <w:rFonts w:ascii="仿宋" w:hAnsi="仿宋" w:eastAsia="仿宋" w:cs="仿宋"/>
        <w:sz w:val="18"/>
        <w:szCs w:val="18"/>
      </w:rPr>
    </w:pPr>
    <w:r>
      <w:rPr>
        <w:sz w:val="18"/>
      </w:rPr>
      <mc:AlternateContent>
        <mc:Choice Requires="wps">
          <w:drawing>
            <wp:anchor distT="0" distB="0" distL="114300" distR="114300" simplePos="0" relativeHeight="251878400" behindDoc="0" locked="0" layoutInCell="1" allowOverlap="1">
              <wp:simplePos x="0" y="0"/>
              <wp:positionH relativeFrom="margin">
                <wp:align>center</wp:align>
              </wp:positionH>
              <wp:positionV relativeFrom="paragraph">
                <wp:posOffset>0</wp:posOffset>
              </wp:positionV>
              <wp:extent cx="1828800" cy="1828800"/>
              <wp:effectExtent l="0" t="0" r="0" b="0"/>
              <wp:wrapNone/>
              <wp:docPr id="1491" name="文本框 149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CF39084">
                          <w:pPr>
                            <w:pStyle w:val="4"/>
                          </w:pPr>
                          <w:r>
                            <w:fldChar w:fldCharType="begin"/>
                          </w:r>
                          <w:r>
                            <w:instrText xml:space="preserve"> PAGE  \* MERGEFORMAT </w:instrText>
                          </w:r>
                          <w:r>
                            <w:fldChar w:fldCharType="separate"/>
                          </w:r>
                          <w:r>
                            <w:t>253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784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kLoR2NAIAAGcEAAAOAAAAAAAAAAEAIAAAAB8BAABkcnMvZTJvRG9jLnhtbFBL&#10;BQYAAAAABgAGAFkBAADFBQAAAAA=&#10;">
              <v:fill on="f" focussize="0,0"/>
              <v:stroke on="f" weight="0.5pt"/>
              <v:imagedata o:title=""/>
              <o:lock v:ext="edit" aspectratio="f"/>
              <v:textbox inset="0mm,0mm,0mm,0mm" style="mso-fit-shape-to-text:t;">
                <w:txbxContent>
                  <w:p w14:paraId="3CF39084">
                    <w:pPr>
                      <w:pStyle w:val="4"/>
                    </w:pPr>
                    <w:r>
                      <w:fldChar w:fldCharType="begin"/>
                    </w:r>
                    <w:r>
                      <w:instrText xml:space="preserve"> PAGE  \* MERGEFORMAT </w:instrText>
                    </w:r>
                    <w:r>
                      <w:fldChar w:fldCharType="separate"/>
                    </w:r>
                    <w:r>
                      <w:t>253</w:t>
                    </w:r>
                    <w:r>
                      <w:fldChar w:fldCharType="end"/>
                    </w:r>
                  </w:p>
                </w:txbxContent>
              </v:textbox>
            </v:shape>
          </w:pict>
        </mc:Fallback>
      </mc:AlternateContent>
    </w:r>
  </w:p>
</w:ftr>
</file>

<file path=word/footer2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64A43A">
    <w:pPr>
      <w:spacing w:line="170" w:lineRule="auto"/>
      <w:ind w:left="4048"/>
      <w:rPr>
        <w:rFonts w:ascii="仿宋" w:hAnsi="仿宋" w:eastAsia="仿宋" w:cs="仿宋"/>
        <w:sz w:val="18"/>
        <w:szCs w:val="18"/>
      </w:rPr>
    </w:pPr>
    <w:r>
      <w:rPr>
        <w:sz w:val="18"/>
      </w:rPr>
      <mc:AlternateContent>
        <mc:Choice Requires="wps">
          <w:drawing>
            <wp:anchor distT="0" distB="0" distL="114300" distR="114300" simplePos="0" relativeHeight="251879424" behindDoc="0" locked="0" layoutInCell="1" allowOverlap="1">
              <wp:simplePos x="0" y="0"/>
              <wp:positionH relativeFrom="margin">
                <wp:align>center</wp:align>
              </wp:positionH>
              <wp:positionV relativeFrom="paragraph">
                <wp:posOffset>0</wp:posOffset>
              </wp:positionV>
              <wp:extent cx="1828800" cy="1828800"/>
              <wp:effectExtent l="0" t="0" r="0" b="0"/>
              <wp:wrapNone/>
              <wp:docPr id="1492" name="文本框 149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894B806">
                          <w:pPr>
                            <w:pStyle w:val="4"/>
                          </w:pPr>
                          <w:r>
                            <w:fldChar w:fldCharType="begin"/>
                          </w:r>
                          <w:r>
                            <w:instrText xml:space="preserve"> PAGE  \* MERGEFORMAT </w:instrText>
                          </w:r>
                          <w:r>
                            <w:fldChar w:fldCharType="separate"/>
                          </w:r>
                          <w:r>
                            <w:t>254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794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UF8UzzUCAABnBAAADgAAAAAAAAABACAAAAAfAQAAZHJzL2Uyb0RvYy54bWxQ&#10;SwUGAAAAAAYABgBZAQAAxgUAAAAA&#10;">
              <v:fill on="f" focussize="0,0"/>
              <v:stroke on="f" weight="0.5pt"/>
              <v:imagedata o:title=""/>
              <o:lock v:ext="edit" aspectratio="f"/>
              <v:textbox inset="0mm,0mm,0mm,0mm" style="mso-fit-shape-to-text:t;">
                <w:txbxContent>
                  <w:p w14:paraId="7894B806">
                    <w:pPr>
                      <w:pStyle w:val="4"/>
                    </w:pPr>
                    <w:r>
                      <w:fldChar w:fldCharType="begin"/>
                    </w:r>
                    <w:r>
                      <w:instrText xml:space="preserve"> PAGE  \* MERGEFORMAT </w:instrText>
                    </w:r>
                    <w:r>
                      <w:fldChar w:fldCharType="separate"/>
                    </w:r>
                    <w:r>
                      <w:t>254</w:t>
                    </w:r>
                    <w:r>
                      <w:fldChar w:fldCharType="end"/>
                    </w:r>
                  </w:p>
                </w:txbxContent>
              </v:textbox>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FC7E0D">
    <w:pPr>
      <w:spacing w:line="177" w:lineRule="auto"/>
      <w:ind w:left="4067"/>
      <w:rPr>
        <w:rFonts w:ascii="Times New Roman" w:hAnsi="Times New Roman" w:eastAsia="Times New Roman" w:cs="Times New Roman"/>
        <w:sz w:val="21"/>
        <w:szCs w:val="21"/>
      </w:rPr>
    </w:pPr>
    <w:r>
      <w:rPr>
        <w:sz w:val="21"/>
      </w:rPr>
      <mc:AlternateContent>
        <mc:Choice Requires="wps">
          <w:drawing>
            <wp:anchor distT="0" distB="0" distL="114300" distR="114300" simplePos="0" relativeHeight="251677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1272" name="文本框 127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0FFE1B8">
                          <w:pPr>
                            <w:pStyle w:val="4"/>
                          </w:pPr>
                          <w:r>
                            <w:fldChar w:fldCharType="begin"/>
                          </w:r>
                          <w:r>
                            <w:instrText xml:space="preserve"> PAGE  \* MERGEFORMAT </w:instrText>
                          </w:r>
                          <w:r>
                            <w:fldChar w:fldCharType="separate"/>
                          </w:r>
                          <w:r>
                            <w:t>12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76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dn4yQDUCAABnBAAADgAAAAAAAAABACAAAAAfAQAAZHJzL2Uyb0RvYy54bWxQ&#10;SwUGAAAAAAYABgBZAQAAxgUAAAAA&#10;">
              <v:fill on="f" focussize="0,0"/>
              <v:stroke on="f" weight="0.5pt"/>
              <v:imagedata o:title=""/>
              <o:lock v:ext="edit" aspectratio="f"/>
              <v:textbox inset="0mm,0mm,0mm,0mm" style="mso-fit-shape-to-text:t;">
                <w:txbxContent>
                  <w:p w14:paraId="10FFE1B8">
                    <w:pPr>
                      <w:pStyle w:val="4"/>
                    </w:pPr>
                    <w:r>
                      <w:fldChar w:fldCharType="begin"/>
                    </w:r>
                    <w:r>
                      <w:instrText xml:space="preserve"> PAGE  \* MERGEFORMAT </w:instrText>
                    </w:r>
                    <w:r>
                      <w:fldChar w:fldCharType="separate"/>
                    </w:r>
                    <w:r>
                      <w:t>12</w:t>
                    </w:r>
                    <w:r>
                      <w:fldChar w:fldCharType="end"/>
                    </w:r>
                  </w:p>
                </w:txbxContent>
              </v:textbox>
            </v:shape>
          </w:pict>
        </mc:Fallback>
      </mc:AlternateContent>
    </w:r>
  </w:p>
</w:ftr>
</file>

<file path=word/footer2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2E713E">
    <w:pPr>
      <w:spacing w:line="170" w:lineRule="auto"/>
      <w:ind w:left="4048"/>
      <w:rPr>
        <w:rFonts w:ascii="仿宋" w:hAnsi="仿宋" w:eastAsia="仿宋" w:cs="仿宋"/>
        <w:sz w:val="18"/>
        <w:szCs w:val="18"/>
      </w:rPr>
    </w:pPr>
    <w:r>
      <w:rPr>
        <w:sz w:val="18"/>
      </w:rPr>
      <mc:AlternateContent>
        <mc:Choice Requires="wps">
          <w:drawing>
            <wp:anchor distT="0" distB="0" distL="114300" distR="114300" simplePos="0" relativeHeight="25188044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93" name="文本框 149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2354A0D">
                          <w:pPr>
                            <w:pStyle w:val="4"/>
                          </w:pPr>
                          <w:r>
                            <w:fldChar w:fldCharType="begin"/>
                          </w:r>
                          <w:r>
                            <w:instrText xml:space="preserve"> PAGE  \* MERGEFORMAT </w:instrText>
                          </w:r>
                          <w:r>
                            <w:fldChar w:fldCharType="separate"/>
                          </w:r>
                          <w:r>
                            <w:t>255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804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s0lY7tAAAAAFAQAADwAAAAAAAAABACAAAAAiAAAAZHJzL2Rvd25yZXYueG1sUEsB&#10;AhQAFAAAAAgAh07iQENySxE2AgAAZwQAAA4AAAAAAAAAAQAgAAAAHwEAAGRycy9lMm9Eb2MueG1s&#10;UEsFBgAAAAAGAAYAWQEAAMcFAAAAAA==&#10;">
              <v:fill on="f" focussize="0,0"/>
              <v:stroke on="f" weight="0.5pt"/>
              <v:imagedata o:title=""/>
              <o:lock v:ext="edit" aspectratio="f"/>
              <v:textbox inset="0mm,0mm,0mm,0mm" style="mso-fit-shape-to-text:t;">
                <w:txbxContent>
                  <w:p w14:paraId="12354A0D">
                    <w:pPr>
                      <w:pStyle w:val="4"/>
                    </w:pPr>
                    <w:r>
                      <w:fldChar w:fldCharType="begin"/>
                    </w:r>
                    <w:r>
                      <w:instrText xml:space="preserve"> PAGE  \* MERGEFORMAT </w:instrText>
                    </w:r>
                    <w:r>
                      <w:fldChar w:fldCharType="separate"/>
                    </w:r>
                    <w:r>
                      <w:t>255</w:t>
                    </w:r>
                    <w:r>
                      <w:fldChar w:fldCharType="end"/>
                    </w:r>
                  </w:p>
                </w:txbxContent>
              </v:textbox>
            </v:shape>
          </w:pict>
        </mc:Fallback>
      </mc:AlternateContent>
    </w:r>
  </w:p>
</w:ftr>
</file>

<file path=word/footer2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19B5CC">
    <w:pPr>
      <w:spacing w:line="170" w:lineRule="auto"/>
      <w:ind w:left="4048"/>
      <w:rPr>
        <w:rFonts w:ascii="仿宋" w:hAnsi="仿宋" w:eastAsia="仿宋" w:cs="仿宋"/>
        <w:sz w:val="18"/>
        <w:szCs w:val="18"/>
      </w:rPr>
    </w:pPr>
    <w:r>
      <w:rPr>
        <w:sz w:val="18"/>
      </w:rPr>
      <mc:AlternateContent>
        <mc:Choice Requires="wps">
          <w:drawing>
            <wp:anchor distT="0" distB="0" distL="114300" distR="114300" simplePos="0" relativeHeight="251881472" behindDoc="0" locked="0" layoutInCell="1" allowOverlap="1">
              <wp:simplePos x="0" y="0"/>
              <wp:positionH relativeFrom="margin">
                <wp:align>center</wp:align>
              </wp:positionH>
              <wp:positionV relativeFrom="paragraph">
                <wp:posOffset>0</wp:posOffset>
              </wp:positionV>
              <wp:extent cx="1828800" cy="1828800"/>
              <wp:effectExtent l="0" t="0" r="0" b="0"/>
              <wp:wrapNone/>
              <wp:docPr id="1494" name="文本框 149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4C51340">
                          <w:pPr>
                            <w:pStyle w:val="4"/>
                          </w:pPr>
                          <w:r>
                            <w:fldChar w:fldCharType="begin"/>
                          </w:r>
                          <w:r>
                            <w:instrText xml:space="preserve"> PAGE  \* MERGEFORMAT </w:instrText>
                          </w:r>
                          <w:r>
                            <w:fldChar w:fldCharType="separate"/>
                          </w:r>
                          <w:r>
                            <w:t>256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814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s0lY7tAAAAAFAQAADwAAAAAAAAABACAAAAAiAAAAZHJzL2Rvd25yZXYueG1sUEsB&#10;AhQAFAAAAAgAh07iQPm7RWc2AgAAZwQAAA4AAAAAAAAAAQAgAAAAHwEAAGRycy9lMm9Eb2MueG1s&#10;UEsFBgAAAAAGAAYAWQEAAMcFAAAAAA==&#10;">
              <v:fill on="f" focussize="0,0"/>
              <v:stroke on="f" weight="0.5pt"/>
              <v:imagedata o:title=""/>
              <o:lock v:ext="edit" aspectratio="f"/>
              <v:textbox inset="0mm,0mm,0mm,0mm" style="mso-fit-shape-to-text:t;">
                <w:txbxContent>
                  <w:p w14:paraId="74C51340">
                    <w:pPr>
                      <w:pStyle w:val="4"/>
                    </w:pPr>
                    <w:r>
                      <w:fldChar w:fldCharType="begin"/>
                    </w:r>
                    <w:r>
                      <w:instrText xml:space="preserve"> PAGE  \* MERGEFORMAT </w:instrText>
                    </w:r>
                    <w:r>
                      <w:fldChar w:fldCharType="separate"/>
                    </w:r>
                    <w:r>
                      <w:t>256</w:t>
                    </w:r>
                    <w:r>
                      <w:fldChar w:fldCharType="end"/>
                    </w:r>
                  </w:p>
                </w:txbxContent>
              </v:textbox>
            </v:shape>
          </w:pict>
        </mc:Fallback>
      </mc:AlternateContent>
    </w:r>
  </w:p>
</w:ftr>
</file>

<file path=word/footer2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F39C25">
    <w:pPr>
      <w:spacing w:line="170" w:lineRule="auto"/>
      <w:ind w:left="4048"/>
      <w:rPr>
        <w:rFonts w:ascii="仿宋" w:hAnsi="仿宋" w:eastAsia="仿宋" w:cs="仿宋"/>
        <w:sz w:val="18"/>
        <w:szCs w:val="18"/>
      </w:rPr>
    </w:pPr>
    <w:r>
      <w:rPr>
        <w:sz w:val="18"/>
      </w:rPr>
      <mc:AlternateContent>
        <mc:Choice Requires="wps">
          <w:drawing>
            <wp:anchor distT="0" distB="0" distL="114300" distR="114300" simplePos="0" relativeHeight="251882496" behindDoc="0" locked="0" layoutInCell="1" allowOverlap="1">
              <wp:simplePos x="0" y="0"/>
              <wp:positionH relativeFrom="margin">
                <wp:align>center</wp:align>
              </wp:positionH>
              <wp:positionV relativeFrom="paragraph">
                <wp:posOffset>0</wp:posOffset>
              </wp:positionV>
              <wp:extent cx="1828800" cy="1828800"/>
              <wp:effectExtent l="0" t="0" r="0" b="0"/>
              <wp:wrapNone/>
              <wp:docPr id="1495" name="文本框 149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8AE2CB7">
                          <w:pPr>
                            <w:pStyle w:val="4"/>
                          </w:pPr>
                          <w:r>
                            <w:fldChar w:fldCharType="begin"/>
                          </w:r>
                          <w:r>
                            <w:instrText xml:space="preserve"> PAGE  \* MERGEFORMAT </w:instrText>
                          </w:r>
                          <w:r>
                            <w:fldChar w:fldCharType="separate"/>
                          </w:r>
                          <w:r>
                            <w:t>257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824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s0lY7tAAAAAFAQAADwAAAAAAAAABACAAAAAiAAAAZHJzL2Rvd25yZXYueG1sUEsB&#10;AhQAFAAAAAgAh07iQOqWGrk2AgAAZwQAAA4AAAAAAAAAAQAgAAAAHwEAAGRycy9lMm9Eb2MueG1s&#10;UEsFBgAAAAAGAAYAWQEAAMcFAAAAAA==&#10;">
              <v:fill on="f" focussize="0,0"/>
              <v:stroke on="f" weight="0.5pt"/>
              <v:imagedata o:title=""/>
              <o:lock v:ext="edit" aspectratio="f"/>
              <v:textbox inset="0mm,0mm,0mm,0mm" style="mso-fit-shape-to-text:t;">
                <w:txbxContent>
                  <w:p w14:paraId="38AE2CB7">
                    <w:pPr>
                      <w:pStyle w:val="4"/>
                    </w:pPr>
                    <w:r>
                      <w:fldChar w:fldCharType="begin"/>
                    </w:r>
                    <w:r>
                      <w:instrText xml:space="preserve"> PAGE  \* MERGEFORMAT </w:instrText>
                    </w:r>
                    <w:r>
                      <w:fldChar w:fldCharType="separate"/>
                    </w:r>
                    <w:r>
                      <w:t>257</w:t>
                    </w:r>
                    <w:r>
                      <w:fldChar w:fldCharType="end"/>
                    </w:r>
                  </w:p>
                </w:txbxContent>
              </v:textbox>
            </v:shape>
          </w:pict>
        </mc:Fallback>
      </mc:AlternateContent>
    </w:r>
  </w:p>
</w:ftr>
</file>

<file path=word/footer2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E909F4">
    <w:pPr>
      <w:spacing w:line="170" w:lineRule="auto"/>
      <w:ind w:left="4048"/>
      <w:rPr>
        <w:rFonts w:ascii="仿宋" w:hAnsi="仿宋" w:eastAsia="仿宋" w:cs="仿宋"/>
        <w:sz w:val="18"/>
        <w:szCs w:val="18"/>
      </w:rPr>
    </w:pPr>
    <w:r>
      <w:rPr>
        <w:sz w:val="18"/>
      </w:rPr>
      <mc:AlternateContent>
        <mc:Choice Requires="wps">
          <w:drawing>
            <wp:anchor distT="0" distB="0" distL="114300" distR="114300" simplePos="0" relativeHeight="251883520" behindDoc="0" locked="0" layoutInCell="1" allowOverlap="1">
              <wp:simplePos x="0" y="0"/>
              <wp:positionH relativeFrom="margin">
                <wp:align>center</wp:align>
              </wp:positionH>
              <wp:positionV relativeFrom="paragraph">
                <wp:posOffset>0</wp:posOffset>
              </wp:positionV>
              <wp:extent cx="1828800" cy="1828800"/>
              <wp:effectExtent l="0" t="0" r="0" b="0"/>
              <wp:wrapNone/>
              <wp:docPr id="1496" name="文本框 149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6493406">
                          <w:pPr>
                            <w:pStyle w:val="4"/>
                          </w:pPr>
                          <w:r>
                            <w:fldChar w:fldCharType="begin"/>
                          </w:r>
                          <w:r>
                            <w:instrText xml:space="preserve"> PAGE  \* MERGEFORMAT </w:instrText>
                          </w:r>
                          <w:r>
                            <w:fldChar w:fldCharType="separate"/>
                          </w:r>
                          <w:r>
                            <w:t>258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835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nueKADUCAABnBAAADgAAAAAAAAABACAAAAAfAQAAZHJzL2Uyb0RvYy54bWxQ&#10;SwUGAAAAAAYABgBZAQAAxgUAAAAA&#10;">
              <v:fill on="f" focussize="0,0"/>
              <v:stroke on="f" weight="0.5pt"/>
              <v:imagedata o:title=""/>
              <o:lock v:ext="edit" aspectratio="f"/>
              <v:textbox inset="0mm,0mm,0mm,0mm" style="mso-fit-shape-to-text:t;">
                <w:txbxContent>
                  <w:p w14:paraId="36493406">
                    <w:pPr>
                      <w:pStyle w:val="4"/>
                    </w:pPr>
                    <w:r>
                      <w:fldChar w:fldCharType="begin"/>
                    </w:r>
                    <w:r>
                      <w:instrText xml:space="preserve"> PAGE  \* MERGEFORMAT </w:instrText>
                    </w:r>
                    <w:r>
                      <w:fldChar w:fldCharType="separate"/>
                    </w:r>
                    <w:r>
                      <w:t>258</w:t>
                    </w:r>
                    <w:r>
                      <w:fldChar w:fldCharType="end"/>
                    </w:r>
                  </w:p>
                </w:txbxContent>
              </v:textbox>
            </v:shape>
          </w:pict>
        </mc:Fallback>
      </mc:AlternateContent>
    </w:r>
  </w:p>
</w:ftr>
</file>

<file path=word/footer2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0C0BBC">
    <w:pPr>
      <w:spacing w:line="170" w:lineRule="auto"/>
      <w:ind w:left="4048"/>
      <w:rPr>
        <w:rFonts w:ascii="仿宋" w:hAnsi="仿宋" w:eastAsia="仿宋" w:cs="仿宋"/>
        <w:sz w:val="18"/>
        <w:szCs w:val="18"/>
      </w:rPr>
    </w:pPr>
    <w:r>
      <w:rPr>
        <w:sz w:val="18"/>
      </w:rPr>
      <mc:AlternateContent>
        <mc:Choice Requires="wps">
          <w:drawing>
            <wp:anchor distT="0" distB="0" distL="114300" distR="114300" simplePos="0" relativeHeight="251884544" behindDoc="0" locked="0" layoutInCell="1" allowOverlap="1">
              <wp:simplePos x="0" y="0"/>
              <wp:positionH relativeFrom="margin">
                <wp:align>center</wp:align>
              </wp:positionH>
              <wp:positionV relativeFrom="paragraph">
                <wp:posOffset>0</wp:posOffset>
              </wp:positionV>
              <wp:extent cx="1828800" cy="1828800"/>
              <wp:effectExtent l="0" t="0" r="0" b="0"/>
              <wp:wrapNone/>
              <wp:docPr id="1497" name="文本框 149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E2DA198">
                          <w:pPr>
                            <w:pStyle w:val="4"/>
                          </w:pPr>
                          <w:r>
                            <w:fldChar w:fldCharType="begin"/>
                          </w:r>
                          <w:r>
                            <w:instrText xml:space="preserve"> PAGE  \* MERGEFORMAT </w:instrText>
                          </w:r>
                          <w:r>
                            <w:fldChar w:fldCharType="separate"/>
                          </w:r>
                          <w:r>
                            <w:t>259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845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jcrV3jUCAABnBAAADgAAAAAAAAABACAAAAAfAQAAZHJzL2Uyb0RvYy54bWxQ&#10;SwUGAAAAAAYABgBZAQAAxgUAAAAA&#10;">
              <v:fill on="f" focussize="0,0"/>
              <v:stroke on="f" weight="0.5pt"/>
              <v:imagedata o:title=""/>
              <o:lock v:ext="edit" aspectratio="f"/>
              <v:textbox inset="0mm,0mm,0mm,0mm" style="mso-fit-shape-to-text:t;">
                <w:txbxContent>
                  <w:p w14:paraId="5E2DA198">
                    <w:pPr>
                      <w:pStyle w:val="4"/>
                    </w:pPr>
                    <w:r>
                      <w:fldChar w:fldCharType="begin"/>
                    </w:r>
                    <w:r>
                      <w:instrText xml:space="preserve"> PAGE  \* MERGEFORMAT </w:instrText>
                    </w:r>
                    <w:r>
                      <w:fldChar w:fldCharType="separate"/>
                    </w:r>
                    <w:r>
                      <w:t>259</w:t>
                    </w:r>
                    <w:r>
                      <w:fldChar w:fldCharType="end"/>
                    </w:r>
                  </w:p>
                </w:txbxContent>
              </v:textbox>
            </v:shape>
          </w:pict>
        </mc:Fallback>
      </mc:AlternateContent>
    </w:r>
  </w:p>
</w:ftr>
</file>

<file path=word/footer2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F6D40B">
    <w:pPr>
      <w:spacing w:line="170" w:lineRule="auto"/>
      <w:ind w:left="4048"/>
      <w:rPr>
        <w:rFonts w:ascii="仿宋" w:hAnsi="仿宋" w:eastAsia="仿宋" w:cs="仿宋"/>
        <w:sz w:val="18"/>
        <w:szCs w:val="18"/>
      </w:rPr>
    </w:pPr>
    <w:r>
      <w:rPr>
        <w:sz w:val="18"/>
      </w:rPr>
      <mc:AlternateContent>
        <mc:Choice Requires="wps">
          <w:drawing>
            <wp:anchor distT="0" distB="0" distL="114300" distR="114300" simplePos="0" relativeHeight="25188556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98" name="文本框 149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CDBF333">
                          <w:pPr>
                            <w:pStyle w:val="4"/>
                          </w:pPr>
                          <w:r>
                            <w:fldChar w:fldCharType="begin"/>
                          </w:r>
                          <w:r>
                            <w:instrText xml:space="preserve"> PAGE  \* MERGEFORMAT </w:instrText>
                          </w:r>
                          <w:r>
                            <w:fldChar w:fldCharType="separate"/>
                          </w:r>
                          <w:r>
                            <w:t>260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855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qdJfsNAIAAGcEAAAOAAAAAAAAAAEAIAAAAB8BAABkcnMvZTJvRG9jLnhtbFBL&#10;BQYAAAAABgAGAFkBAADFBQAAAAA=&#10;">
              <v:fill on="f" focussize="0,0"/>
              <v:stroke on="f" weight="0.5pt"/>
              <v:imagedata o:title=""/>
              <o:lock v:ext="edit" aspectratio="f"/>
              <v:textbox inset="0mm,0mm,0mm,0mm" style="mso-fit-shape-to-text:t;">
                <w:txbxContent>
                  <w:p w14:paraId="1CDBF333">
                    <w:pPr>
                      <w:pStyle w:val="4"/>
                    </w:pPr>
                    <w:r>
                      <w:fldChar w:fldCharType="begin"/>
                    </w:r>
                    <w:r>
                      <w:instrText xml:space="preserve"> PAGE  \* MERGEFORMAT </w:instrText>
                    </w:r>
                    <w:r>
                      <w:fldChar w:fldCharType="separate"/>
                    </w:r>
                    <w:r>
                      <w:t>260</w:t>
                    </w:r>
                    <w:r>
                      <w:fldChar w:fldCharType="end"/>
                    </w:r>
                  </w:p>
                </w:txbxContent>
              </v:textbox>
            </v:shape>
          </w:pict>
        </mc:Fallback>
      </mc:AlternateContent>
    </w:r>
  </w:p>
</w:ftr>
</file>

<file path=word/footer2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8DA519">
    <w:pPr>
      <w:spacing w:line="170" w:lineRule="auto"/>
      <w:ind w:left="4048"/>
      <w:rPr>
        <w:rFonts w:ascii="仿宋" w:hAnsi="仿宋" w:eastAsia="仿宋" w:cs="仿宋"/>
        <w:sz w:val="18"/>
        <w:szCs w:val="18"/>
      </w:rPr>
    </w:pPr>
    <w:r>
      <w:rPr>
        <w:sz w:val="18"/>
      </w:rPr>
      <mc:AlternateContent>
        <mc:Choice Requires="wps">
          <w:drawing>
            <wp:anchor distT="0" distB="0" distL="114300" distR="114300" simplePos="0" relativeHeight="251886592" behindDoc="0" locked="0" layoutInCell="1" allowOverlap="1">
              <wp:simplePos x="0" y="0"/>
              <wp:positionH relativeFrom="margin">
                <wp:align>center</wp:align>
              </wp:positionH>
              <wp:positionV relativeFrom="paragraph">
                <wp:posOffset>0</wp:posOffset>
              </wp:positionV>
              <wp:extent cx="1828800" cy="1828800"/>
              <wp:effectExtent l="0" t="0" r="0" b="0"/>
              <wp:wrapNone/>
              <wp:docPr id="1499" name="文本框 149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F5AE0A7">
                          <w:pPr>
                            <w:pStyle w:val="4"/>
                          </w:pPr>
                          <w:r>
                            <w:fldChar w:fldCharType="begin"/>
                          </w:r>
                          <w:r>
                            <w:instrText xml:space="preserve"> PAGE  \* MERGEFORMAT </w:instrText>
                          </w:r>
                          <w:r>
                            <w:fldChar w:fldCharType="separate"/>
                          </w:r>
                          <w:r>
                            <w:t>261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865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s0lY7tAAAAAFAQAADwAAAAAAAAABACAAAAAiAAAAZHJzL2Rvd25yZXYueG1sUEsB&#10;AhQAFAAAAAgAh07iQPlZyDI2AgAAZwQAAA4AAAAAAAAAAQAgAAAAHwEAAGRycy9lMm9Eb2MueG1s&#10;UEsFBgAAAAAGAAYAWQEAAMcFAAAAAA==&#10;">
              <v:fill on="f" focussize="0,0"/>
              <v:stroke on="f" weight="0.5pt"/>
              <v:imagedata o:title=""/>
              <o:lock v:ext="edit" aspectratio="f"/>
              <v:textbox inset="0mm,0mm,0mm,0mm" style="mso-fit-shape-to-text:t;">
                <w:txbxContent>
                  <w:p w14:paraId="6F5AE0A7">
                    <w:pPr>
                      <w:pStyle w:val="4"/>
                    </w:pPr>
                    <w:r>
                      <w:fldChar w:fldCharType="begin"/>
                    </w:r>
                    <w:r>
                      <w:instrText xml:space="preserve"> PAGE  \* MERGEFORMAT </w:instrText>
                    </w:r>
                    <w:r>
                      <w:fldChar w:fldCharType="separate"/>
                    </w:r>
                    <w:r>
                      <w:t>261</w:t>
                    </w:r>
                    <w:r>
                      <w:fldChar w:fldCharType="end"/>
                    </w:r>
                  </w:p>
                </w:txbxContent>
              </v:textbox>
            </v:shape>
          </w:pict>
        </mc:Fallback>
      </mc:AlternateContent>
    </w:r>
  </w:p>
</w:ftr>
</file>

<file path=word/footer2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6CE149">
    <w:pPr>
      <w:spacing w:line="170" w:lineRule="auto"/>
      <w:ind w:left="4048"/>
      <w:rPr>
        <w:rFonts w:ascii="仿宋" w:hAnsi="仿宋" w:eastAsia="仿宋" w:cs="仿宋"/>
        <w:sz w:val="18"/>
        <w:szCs w:val="18"/>
      </w:rPr>
    </w:pPr>
    <w:r>
      <w:rPr>
        <w:sz w:val="18"/>
      </w:rPr>
      <mc:AlternateContent>
        <mc:Choice Requires="wps">
          <w:drawing>
            <wp:anchor distT="0" distB="0" distL="114300" distR="114300" simplePos="0" relativeHeight="251887616" behindDoc="0" locked="0" layoutInCell="1" allowOverlap="1">
              <wp:simplePos x="0" y="0"/>
              <wp:positionH relativeFrom="margin">
                <wp:align>center</wp:align>
              </wp:positionH>
              <wp:positionV relativeFrom="paragraph">
                <wp:posOffset>0</wp:posOffset>
              </wp:positionV>
              <wp:extent cx="1828800" cy="1828800"/>
              <wp:effectExtent l="0" t="0" r="0" b="0"/>
              <wp:wrapNone/>
              <wp:docPr id="1500" name="文本框 150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2E8B1A8">
                          <w:pPr>
                            <w:pStyle w:val="4"/>
                          </w:pPr>
                          <w:r>
                            <w:fldChar w:fldCharType="begin"/>
                          </w:r>
                          <w:r>
                            <w:instrText xml:space="preserve"> PAGE  \* MERGEFORMAT </w:instrText>
                          </w:r>
                          <w:r>
                            <w:fldChar w:fldCharType="separate"/>
                          </w:r>
                          <w:r>
                            <w:t>262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876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iPK3wNAIAAGcEAAAOAAAAAAAAAAEAIAAAAB8BAABkcnMvZTJvRG9jLnhtbFBL&#10;BQYAAAAABgAGAFkBAADFBQAAAAA=&#10;">
              <v:fill on="f" focussize="0,0"/>
              <v:stroke on="f" weight="0.5pt"/>
              <v:imagedata o:title=""/>
              <o:lock v:ext="edit" aspectratio="f"/>
              <v:textbox inset="0mm,0mm,0mm,0mm" style="mso-fit-shape-to-text:t;">
                <w:txbxContent>
                  <w:p w14:paraId="02E8B1A8">
                    <w:pPr>
                      <w:pStyle w:val="4"/>
                    </w:pPr>
                    <w:r>
                      <w:fldChar w:fldCharType="begin"/>
                    </w:r>
                    <w:r>
                      <w:instrText xml:space="preserve"> PAGE  \* MERGEFORMAT </w:instrText>
                    </w:r>
                    <w:r>
                      <w:fldChar w:fldCharType="separate"/>
                    </w:r>
                    <w:r>
                      <w:t>262</w:t>
                    </w:r>
                    <w:r>
                      <w:fldChar w:fldCharType="end"/>
                    </w:r>
                  </w:p>
                </w:txbxContent>
              </v:textbox>
            </v:shape>
          </w:pict>
        </mc:Fallback>
      </mc:AlternateContent>
    </w:r>
  </w:p>
</w:ftr>
</file>

<file path=word/footer2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3F3E05">
    <w:pPr>
      <w:spacing w:line="170" w:lineRule="auto"/>
      <w:ind w:left="4048"/>
      <w:rPr>
        <w:rFonts w:ascii="仿宋" w:hAnsi="仿宋" w:eastAsia="仿宋" w:cs="仿宋"/>
        <w:sz w:val="18"/>
        <w:szCs w:val="18"/>
      </w:rPr>
    </w:pPr>
    <w:r>
      <w:rPr>
        <w:sz w:val="18"/>
      </w:rPr>
      <mc:AlternateContent>
        <mc:Choice Requires="wps">
          <w:drawing>
            <wp:anchor distT="0" distB="0" distL="114300" distR="114300" simplePos="0" relativeHeight="2518886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501" name="文本框 150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806AD11">
                          <w:pPr>
                            <w:pStyle w:val="4"/>
                          </w:pPr>
                          <w:r>
                            <w:fldChar w:fldCharType="begin"/>
                          </w:r>
                          <w:r>
                            <w:instrText xml:space="preserve"> PAGE  \* MERGEFORMAT </w:instrText>
                          </w:r>
                          <w:r>
                            <w:fldChar w:fldCharType="separate"/>
                          </w:r>
                          <w:r>
                            <w:t>263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886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xEfIuNAIAAGcEAAAOAAAAAAAAAAEAIAAAAB8BAABkcnMvZTJvRG9jLnhtbFBL&#10;BQYAAAAABgAGAFkBAADFBQAAAAA=&#10;">
              <v:fill on="f" focussize="0,0"/>
              <v:stroke on="f" weight="0.5pt"/>
              <v:imagedata o:title=""/>
              <o:lock v:ext="edit" aspectratio="f"/>
              <v:textbox inset="0mm,0mm,0mm,0mm" style="mso-fit-shape-to-text:t;">
                <w:txbxContent>
                  <w:p w14:paraId="3806AD11">
                    <w:pPr>
                      <w:pStyle w:val="4"/>
                    </w:pPr>
                    <w:r>
                      <w:fldChar w:fldCharType="begin"/>
                    </w:r>
                    <w:r>
                      <w:instrText xml:space="preserve"> PAGE  \* MERGEFORMAT </w:instrText>
                    </w:r>
                    <w:r>
                      <w:fldChar w:fldCharType="separate"/>
                    </w:r>
                    <w:r>
                      <w:t>263</w:t>
                    </w:r>
                    <w:r>
                      <w:fldChar w:fldCharType="end"/>
                    </w:r>
                  </w:p>
                </w:txbxContent>
              </v:textbox>
            </v:shape>
          </w:pict>
        </mc:Fallback>
      </mc:AlternateContent>
    </w:r>
  </w:p>
</w:ftr>
</file>

<file path=word/footer2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91BBC6">
    <w:pPr>
      <w:spacing w:line="170" w:lineRule="auto"/>
      <w:ind w:left="4048"/>
      <w:rPr>
        <w:rFonts w:ascii="仿宋" w:hAnsi="仿宋" w:eastAsia="仿宋" w:cs="仿宋"/>
        <w:sz w:val="18"/>
        <w:szCs w:val="18"/>
      </w:rPr>
    </w:pPr>
    <w:r>
      <w:rPr>
        <w:sz w:val="18"/>
      </w:rPr>
      <mc:AlternateContent>
        <mc:Choice Requires="wps">
          <w:drawing>
            <wp:anchor distT="0" distB="0" distL="114300" distR="114300" simplePos="0" relativeHeight="2518896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502" name="文本框 150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C0E99B1">
                          <w:pPr>
                            <w:pStyle w:val="4"/>
                          </w:pPr>
                          <w:r>
                            <w:fldChar w:fldCharType="begin"/>
                          </w:r>
                          <w:r>
                            <w:instrText xml:space="preserve"> PAGE  \* MERGEFORMAT </w:instrText>
                          </w:r>
                          <w:r>
                            <w:fldChar w:fldCharType="separate"/>
                          </w:r>
                          <w:r>
                            <w:t>264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896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BWBilzUCAABnBAAADgAAAAAAAAABACAAAAAfAQAAZHJzL2Uyb0RvYy54bWxQ&#10;SwUGAAAAAAYABgBZAQAAxgUAAAAA&#10;">
              <v:fill on="f" focussize="0,0"/>
              <v:stroke on="f" weight="0.5pt"/>
              <v:imagedata o:title=""/>
              <o:lock v:ext="edit" aspectratio="f"/>
              <v:textbox inset="0mm,0mm,0mm,0mm" style="mso-fit-shape-to-text:t;">
                <w:txbxContent>
                  <w:p w14:paraId="6C0E99B1">
                    <w:pPr>
                      <w:pStyle w:val="4"/>
                    </w:pPr>
                    <w:r>
                      <w:fldChar w:fldCharType="begin"/>
                    </w:r>
                    <w:r>
                      <w:instrText xml:space="preserve"> PAGE  \* MERGEFORMAT </w:instrText>
                    </w:r>
                    <w:r>
                      <w:fldChar w:fldCharType="separate"/>
                    </w:r>
                    <w:r>
                      <w:t>264</w:t>
                    </w:r>
                    <w:r>
                      <w:fldChar w:fldCharType="end"/>
                    </w:r>
                  </w:p>
                </w:txbxContent>
              </v:textbox>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4E011A">
    <w:pPr>
      <w:spacing w:line="176" w:lineRule="auto"/>
      <w:ind w:left="4067"/>
      <w:rPr>
        <w:rFonts w:ascii="Times New Roman" w:hAnsi="Times New Roman" w:eastAsia="Times New Roman" w:cs="Times New Roman"/>
        <w:sz w:val="21"/>
        <w:szCs w:val="21"/>
      </w:rPr>
    </w:pPr>
    <w:r>
      <w:rPr>
        <w:sz w:val="21"/>
      </w:rPr>
      <mc:AlternateContent>
        <mc:Choice Requires="wps">
          <w:drawing>
            <wp:anchor distT="0" distB="0" distL="114300" distR="114300" simplePos="0" relativeHeight="251678720" behindDoc="0" locked="0" layoutInCell="1" allowOverlap="1">
              <wp:simplePos x="0" y="0"/>
              <wp:positionH relativeFrom="margin">
                <wp:align>center</wp:align>
              </wp:positionH>
              <wp:positionV relativeFrom="paragraph">
                <wp:posOffset>0</wp:posOffset>
              </wp:positionV>
              <wp:extent cx="1828800" cy="1828800"/>
              <wp:effectExtent l="0" t="0" r="0" b="0"/>
              <wp:wrapNone/>
              <wp:docPr id="1273" name="文本框 127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E0C408A">
                          <w:pPr>
                            <w:pStyle w:val="4"/>
                          </w:pPr>
                          <w:r>
                            <w:fldChar w:fldCharType="begin"/>
                          </w:r>
                          <w:r>
                            <w:instrText xml:space="preserve"> PAGE  \* MERGEFORMAT </w:instrText>
                          </w:r>
                          <w:r>
                            <w:fldChar w:fldCharType="separate"/>
                          </w:r>
                          <w:r>
                            <w:t>13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87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ZVNtnjUCAABnBAAADgAAAAAAAAABACAAAAAfAQAAZHJzL2Uyb0RvYy54bWxQ&#10;SwUGAAAAAAYABgBZAQAAxgUAAAAA&#10;">
              <v:fill on="f" focussize="0,0"/>
              <v:stroke on="f" weight="0.5pt"/>
              <v:imagedata o:title=""/>
              <o:lock v:ext="edit" aspectratio="f"/>
              <v:textbox inset="0mm,0mm,0mm,0mm" style="mso-fit-shape-to-text:t;">
                <w:txbxContent>
                  <w:p w14:paraId="1E0C408A">
                    <w:pPr>
                      <w:pStyle w:val="4"/>
                    </w:pPr>
                    <w:r>
                      <w:fldChar w:fldCharType="begin"/>
                    </w:r>
                    <w:r>
                      <w:instrText xml:space="preserve"> PAGE  \* MERGEFORMAT </w:instrText>
                    </w:r>
                    <w:r>
                      <w:fldChar w:fldCharType="separate"/>
                    </w:r>
                    <w:r>
                      <w:t>13</w:t>
                    </w:r>
                    <w:r>
                      <w:fldChar w:fldCharType="end"/>
                    </w:r>
                  </w:p>
                </w:txbxContent>
              </v:textbox>
            </v:shape>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3E062E">
    <w:pPr>
      <w:spacing w:line="177" w:lineRule="auto"/>
      <w:ind w:left="4067"/>
      <w:rPr>
        <w:rFonts w:ascii="Times New Roman" w:hAnsi="Times New Roman" w:eastAsia="Times New Roman" w:cs="Times New Roman"/>
        <w:sz w:val="21"/>
        <w:szCs w:val="21"/>
      </w:rPr>
    </w:pPr>
    <w:r>
      <w:rPr>
        <w:sz w:val="21"/>
      </w:rPr>
      <mc:AlternateContent>
        <mc:Choice Requires="wps">
          <w:drawing>
            <wp:anchor distT="0" distB="0" distL="114300" distR="114300" simplePos="0" relativeHeight="25167974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74" name="文本框 127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24BFD9B">
                          <w:pPr>
                            <w:pStyle w:val="4"/>
                          </w:pPr>
                          <w:r>
                            <w:fldChar w:fldCharType="begin"/>
                          </w:r>
                          <w:r>
                            <w:instrText xml:space="preserve"> PAGE  \* MERGEFORMAT </w:instrText>
                          </w:r>
                          <w:r>
                            <w:fldChar w:fldCharType="separate"/>
                          </w:r>
                          <w:r>
                            <w:t>14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97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35pj6DUCAABnBAAADgAAAAAAAAABACAAAAAfAQAAZHJzL2Uyb0RvYy54bWxQ&#10;SwUGAAAAAAYABgBZAQAAxgUAAAAA&#10;">
              <v:fill on="f" focussize="0,0"/>
              <v:stroke on="f" weight="0.5pt"/>
              <v:imagedata o:title=""/>
              <o:lock v:ext="edit" aspectratio="f"/>
              <v:textbox inset="0mm,0mm,0mm,0mm" style="mso-fit-shape-to-text:t;">
                <w:txbxContent>
                  <w:p w14:paraId="224BFD9B">
                    <w:pPr>
                      <w:pStyle w:val="4"/>
                    </w:pPr>
                    <w:r>
                      <w:fldChar w:fldCharType="begin"/>
                    </w:r>
                    <w:r>
                      <w:instrText xml:space="preserve"> PAGE  \* MERGEFORMAT </w:instrText>
                    </w:r>
                    <w:r>
                      <w:fldChar w:fldCharType="separate"/>
                    </w:r>
                    <w:r>
                      <w:t>14</w:t>
                    </w:r>
                    <w:r>
                      <w:fldChar w:fldCharType="end"/>
                    </w:r>
                  </w:p>
                </w:txbxContent>
              </v:textbox>
            </v:shape>
          </w:pict>
        </mc:Fallback>
      </mc:AlternateConten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452E33">
    <w:pPr>
      <w:spacing w:line="176" w:lineRule="auto"/>
      <w:ind w:left="4067"/>
      <w:rPr>
        <w:rFonts w:ascii="Times New Roman" w:hAnsi="Times New Roman" w:eastAsia="Times New Roman" w:cs="Times New Roman"/>
        <w:sz w:val="21"/>
        <w:szCs w:val="21"/>
      </w:rPr>
    </w:pPr>
    <w:r>
      <w:rPr>
        <w:sz w:val="21"/>
      </w:rPr>
      <mc:AlternateContent>
        <mc:Choice Requires="wps">
          <w:drawing>
            <wp:anchor distT="0" distB="0" distL="114300" distR="114300" simplePos="0" relativeHeight="251680768" behindDoc="0" locked="0" layoutInCell="1" allowOverlap="1">
              <wp:simplePos x="0" y="0"/>
              <wp:positionH relativeFrom="margin">
                <wp:align>center</wp:align>
              </wp:positionH>
              <wp:positionV relativeFrom="paragraph">
                <wp:posOffset>0</wp:posOffset>
              </wp:positionV>
              <wp:extent cx="1828800" cy="1828800"/>
              <wp:effectExtent l="0" t="0" r="0" b="0"/>
              <wp:wrapNone/>
              <wp:docPr id="1275" name="文本框 127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06A6B93">
                          <w:pPr>
                            <w:pStyle w:val="4"/>
                          </w:pPr>
                          <w:r>
                            <w:fldChar w:fldCharType="begin"/>
                          </w:r>
                          <w:r>
                            <w:instrText xml:space="preserve"> PAGE  \* MERGEFORMAT </w:instrText>
                          </w:r>
                          <w:r>
                            <w:fldChar w:fldCharType="separate"/>
                          </w:r>
                          <w:r>
                            <w:t>15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07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zLc8NjUCAABnBAAADgAAAAAAAAABACAAAAAfAQAAZHJzL2Uyb0RvYy54bWxQ&#10;SwUGAAAAAAYABgBZAQAAxgUAAAAA&#10;">
              <v:fill on="f" focussize="0,0"/>
              <v:stroke on="f" weight="0.5pt"/>
              <v:imagedata o:title=""/>
              <o:lock v:ext="edit" aspectratio="f"/>
              <v:textbox inset="0mm,0mm,0mm,0mm" style="mso-fit-shape-to-text:t;">
                <w:txbxContent>
                  <w:p w14:paraId="206A6B93">
                    <w:pPr>
                      <w:pStyle w:val="4"/>
                    </w:pPr>
                    <w:r>
                      <w:fldChar w:fldCharType="begin"/>
                    </w:r>
                    <w:r>
                      <w:instrText xml:space="preserve"> PAGE  \* MERGEFORMAT </w:instrText>
                    </w:r>
                    <w:r>
                      <w:fldChar w:fldCharType="separate"/>
                    </w:r>
                    <w:r>
                      <w:t>15</w:t>
                    </w:r>
                    <w:r>
                      <w:fldChar w:fldCharType="end"/>
                    </w:r>
                  </w:p>
                </w:txbxContent>
              </v:textbox>
            </v:shape>
          </w:pict>
        </mc:Fallback>
      </mc:AlternateConten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E44942">
    <w:pPr>
      <w:spacing w:line="176" w:lineRule="auto"/>
      <w:ind w:left="4067"/>
      <w:rPr>
        <w:rFonts w:ascii="Times New Roman" w:hAnsi="Times New Roman" w:eastAsia="Times New Roman" w:cs="Times New Roman"/>
        <w:sz w:val="21"/>
        <w:szCs w:val="21"/>
      </w:rPr>
    </w:pPr>
    <w:r>
      <w:rPr>
        <w:sz w:val="21"/>
      </w:rPr>
      <mc:AlternateContent>
        <mc:Choice Requires="wps">
          <w:drawing>
            <wp:anchor distT="0" distB="0" distL="114300" distR="114300" simplePos="0" relativeHeight="251681792" behindDoc="0" locked="0" layoutInCell="1" allowOverlap="1">
              <wp:simplePos x="0" y="0"/>
              <wp:positionH relativeFrom="margin">
                <wp:align>center</wp:align>
              </wp:positionH>
              <wp:positionV relativeFrom="paragraph">
                <wp:posOffset>0</wp:posOffset>
              </wp:positionV>
              <wp:extent cx="1828800" cy="1828800"/>
              <wp:effectExtent l="0" t="0" r="0" b="0"/>
              <wp:wrapNone/>
              <wp:docPr id="1276" name="文本框 127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3000952">
                          <w:pPr>
                            <w:pStyle w:val="4"/>
                          </w:pPr>
                          <w:r>
                            <w:fldChar w:fldCharType="begin"/>
                          </w:r>
                          <w:r>
                            <w:instrText xml:space="preserve"> PAGE  \* MERGEFORMAT </w:instrText>
                          </w:r>
                          <w:r>
                            <w:fldChar w:fldCharType="separate"/>
                          </w:r>
                          <w:r>
                            <w:t>16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17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uMasjzUCAABnBAAADgAAAAAAAAABACAAAAAfAQAAZHJzL2Uyb0RvYy54bWxQ&#10;SwUGAAAAAAYABgBZAQAAxgUAAAAA&#10;">
              <v:fill on="f" focussize="0,0"/>
              <v:stroke on="f" weight="0.5pt"/>
              <v:imagedata o:title=""/>
              <o:lock v:ext="edit" aspectratio="f"/>
              <v:textbox inset="0mm,0mm,0mm,0mm" style="mso-fit-shape-to-text:t;">
                <w:txbxContent>
                  <w:p w14:paraId="43000952">
                    <w:pPr>
                      <w:pStyle w:val="4"/>
                    </w:pPr>
                    <w:r>
                      <w:fldChar w:fldCharType="begin"/>
                    </w:r>
                    <w:r>
                      <w:instrText xml:space="preserve"> PAGE  \* MERGEFORMAT </w:instrText>
                    </w:r>
                    <w:r>
                      <w:fldChar w:fldCharType="separate"/>
                    </w:r>
                    <w:r>
                      <w:t>16</w:t>
                    </w:r>
                    <w:r>
                      <w:fldChar w:fldCharType="end"/>
                    </w:r>
                  </w:p>
                </w:txbxContent>
              </v:textbox>
            </v:shape>
          </w:pict>
        </mc:Fallback>
      </mc:AlternateConten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3CA98E">
    <w:pPr>
      <w:spacing w:line="176" w:lineRule="auto"/>
      <w:ind w:left="4067"/>
      <w:rPr>
        <w:rFonts w:ascii="Times New Roman" w:hAnsi="Times New Roman" w:eastAsia="Times New Roman" w:cs="Times New Roman"/>
        <w:sz w:val="21"/>
        <w:szCs w:val="21"/>
      </w:rPr>
    </w:pPr>
    <w:r>
      <w:rPr>
        <w:sz w:val="21"/>
      </w:rPr>
      <mc:AlternateContent>
        <mc:Choice Requires="wps">
          <w:drawing>
            <wp:anchor distT="0" distB="0" distL="114300" distR="114300" simplePos="0" relativeHeight="251682816" behindDoc="0" locked="0" layoutInCell="1" allowOverlap="1">
              <wp:simplePos x="0" y="0"/>
              <wp:positionH relativeFrom="margin">
                <wp:align>center</wp:align>
              </wp:positionH>
              <wp:positionV relativeFrom="paragraph">
                <wp:posOffset>0</wp:posOffset>
              </wp:positionV>
              <wp:extent cx="1828800" cy="1828800"/>
              <wp:effectExtent l="0" t="0" r="0" b="0"/>
              <wp:wrapNone/>
              <wp:docPr id="1277" name="文本框 127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D00E8BF">
                          <w:pPr>
                            <w:pStyle w:val="4"/>
                          </w:pPr>
                          <w:r>
                            <w:fldChar w:fldCharType="begin"/>
                          </w:r>
                          <w:r>
                            <w:instrText xml:space="preserve"> PAGE  \* MERGEFORMAT </w:instrText>
                          </w:r>
                          <w:r>
                            <w:fldChar w:fldCharType="separate"/>
                          </w:r>
                          <w:r>
                            <w:t>17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28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q+vzUTUCAABnBAAADgAAAAAAAAABACAAAAAfAQAAZHJzL2Uyb0RvYy54bWxQ&#10;SwUGAAAAAAYABgBZAQAAxgUAAAAA&#10;">
              <v:fill on="f" focussize="0,0"/>
              <v:stroke on="f" weight="0.5pt"/>
              <v:imagedata o:title=""/>
              <o:lock v:ext="edit" aspectratio="f"/>
              <v:textbox inset="0mm,0mm,0mm,0mm" style="mso-fit-shape-to-text:t;">
                <w:txbxContent>
                  <w:p w14:paraId="0D00E8BF">
                    <w:pPr>
                      <w:pStyle w:val="4"/>
                    </w:pPr>
                    <w:r>
                      <w:fldChar w:fldCharType="begin"/>
                    </w:r>
                    <w:r>
                      <w:instrText xml:space="preserve"> PAGE  \* MERGEFORMAT </w:instrText>
                    </w:r>
                    <w:r>
                      <w:fldChar w:fldCharType="separate"/>
                    </w:r>
                    <w:r>
                      <w:t>17</w:t>
                    </w:r>
                    <w:r>
                      <w:fldChar w:fldCharType="end"/>
                    </w:r>
                  </w:p>
                </w:txbxContent>
              </v:textbox>
            </v:shape>
          </w:pict>
        </mc:Fallback>
      </mc:AlternateConten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D91F04">
    <w:pPr>
      <w:spacing w:line="176" w:lineRule="auto"/>
      <w:ind w:left="4067"/>
      <w:rPr>
        <w:rFonts w:ascii="Times New Roman" w:hAnsi="Times New Roman" w:eastAsia="Times New Roman" w:cs="Times New Roman"/>
        <w:sz w:val="21"/>
        <w:szCs w:val="21"/>
      </w:rPr>
    </w:pPr>
    <w:r>
      <w:rPr>
        <w:sz w:val="21"/>
      </w:rPr>
      <mc:AlternateContent>
        <mc:Choice Requires="wps">
          <w:drawing>
            <wp:anchor distT="0" distB="0" distL="114300" distR="114300" simplePos="0" relativeHeight="2516838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278" name="文本框 127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CD50B1A">
                          <w:pPr>
                            <w:pStyle w:val="4"/>
                          </w:pPr>
                          <w:r>
                            <w:fldChar w:fldCharType="begin"/>
                          </w:r>
                          <w:r>
                            <w:instrText xml:space="preserve"> PAGE  \* MERGEFORMAT </w:instrText>
                          </w:r>
                          <w:r>
                            <w:fldChar w:fldCharType="separate"/>
                          </w:r>
                          <w:r>
                            <w:t>18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38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MVbFjNAIAAGcEAAAOAAAAAAAAAAEAIAAAAB8BAABkcnMvZTJvRG9jLnhtbFBL&#10;BQYAAAAABgAGAFkBAADFBQAAAAA=&#10;">
              <v:fill on="f" focussize="0,0"/>
              <v:stroke on="f" weight="0.5pt"/>
              <v:imagedata o:title=""/>
              <o:lock v:ext="edit" aspectratio="f"/>
              <v:textbox inset="0mm,0mm,0mm,0mm" style="mso-fit-shape-to-text:t;">
                <w:txbxContent>
                  <w:p w14:paraId="4CD50B1A">
                    <w:pPr>
                      <w:pStyle w:val="4"/>
                    </w:pPr>
                    <w:r>
                      <w:fldChar w:fldCharType="begin"/>
                    </w:r>
                    <w:r>
                      <w:instrText xml:space="preserve"> PAGE  \* MERGEFORMAT </w:instrText>
                    </w:r>
                    <w:r>
                      <w:fldChar w:fldCharType="separate"/>
                    </w:r>
                    <w:r>
                      <w:t>18</w:t>
                    </w:r>
                    <w:r>
                      <w:fldChar w:fldCharType="end"/>
                    </w:r>
                  </w:p>
                </w:txbxContent>
              </v:textbox>
            </v:shape>
          </w:pict>
        </mc:Fallback>
      </mc:AlternateConten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3BD8FA">
    <w:pPr>
      <w:spacing w:line="176" w:lineRule="auto"/>
      <w:ind w:left="4067"/>
      <w:rPr>
        <w:rFonts w:ascii="Times New Roman" w:hAnsi="Times New Roman" w:eastAsia="Times New Roman" w:cs="Times New Roman"/>
        <w:sz w:val="21"/>
        <w:szCs w:val="21"/>
      </w:rPr>
    </w:pPr>
    <w:r>
      <w:rPr>
        <w:sz w:val="21"/>
      </w:rPr>
      <mc:AlternateContent>
        <mc:Choice Requires="wps">
          <w:drawing>
            <wp:anchor distT="0" distB="0" distL="114300" distR="114300" simplePos="0" relativeHeight="2516848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79" name="文本框 127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88E4534">
                          <w:pPr>
                            <w:pStyle w:val="4"/>
                          </w:pPr>
                          <w:r>
                            <w:fldChar w:fldCharType="begin"/>
                          </w:r>
                          <w:r>
                            <w:instrText xml:space="preserve"> PAGE  \* MERGEFORMAT </w:instrText>
                          </w:r>
                          <w:r>
                            <w:fldChar w:fldCharType="separate"/>
                          </w:r>
                          <w:r>
                            <w:t>19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48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33juvTUCAABnBAAADgAAAAAAAAABACAAAAAfAQAAZHJzL2Uyb0RvYy54bWxQ&#10;SwUGAAAAAAYABgBZAQAAxgUAAAAA&#10;">
              <v:fill on="f" focussize="0,0"/>
              <v:stroke on="f" weight="0.5pt"/>
              <v:imagedata o:title=""/>
              <o:lock v:ext="edit" aspectratio="f"/>
              <v:textbox inset="0mm,0mm,0mm,0mm" style="mso-fit-shape-to-text:t;">
                <w:txbxContent>
                  <w:p w14:paraId="388E4534">
                    <w:pPr>
                      <w:pStyle w:val="4"/>
                    </w:pPr>
                    <w:r>
                      <w:fldChar w:fldCharType="begin"/>
                    </w:r>
                    <w:r>
                      <w:instrText xml:space="preserve"> PAGE  \* MERGEFORMAT </w:instrText>
                    </w:r>
                    <w:r>
                      <w:fldChar w:fldCharType="separate"/>
                    </w:r>
                    <w:r>
                      <w:t>19</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403285">
    <w:pPr>
      <w:spacing w:line="174" w:lineRule="auto"/>
      <w:ind w:left="4102"/>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II</w: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B55512">
    <w:pPr>
      <w:spacing w:line="176" w:lineRule="auto"/>
      <w:ind w:left="4071"/>
      <w:rPr>
        <w:rFonts w:ascii="Times New Roman" w:hAnsi="Times New Roman" w:eastAsia="Times New Roman" w:cs="Times New Roman"/>
        <w:sz w:val="21"/>
        <w:szCs w:val="21"/>
      </w:rPr>
    </w:pPr>
    <w:r>
      <w:rPr>
        <w:sz w:val="21"/>
      </w:rPr>
      <mc:AlternateContent>
        <mc:Choice Requires="wps">
          <w:drawing>
            <wp:anchor distT="0" distB="0" distL="114300" distR="114300" simplePos="0" relativeHeight="2516858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280" name="文本框 128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8327D80">
                          <w:pPr>
                            <w:pStyle w:val="4"/>
                          </w:pPr>
                          <w:r>
                            <w:fldChar w:fldCharType="begin"/>
                          </w:r>
                          <w:r>
                            <w:instrText xml:space="preserve"> PAGE  \* MERGEFORMAT </w:instrText>
                          </w:r>
                          <w:r>
                            <w:fldChar w:fldCharType="separate"/>
                          </w:r>
                          <w:r>
                            <w:t>20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58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SUGfQzAgAAZwQAAA4AAAAAAAAAAQAgAAAAHwEAAGRycy9lMm9Eb2MueG1sUEsF&#10;BgAAAAAGAAYAWQEAAMQFAAAAAA==&#10;">
              <v:fill on="f" focussize="0,0"/>
              <v:stroke on="f" weight="0.5pt"/>
              <v:imagedata o:title=""/>
              <o:lock v:ext="edit" aspectratio="f"/>
              <v:textbox inset="0mm,0mm,0mm,0mm" style="mso-fit-shape-to-text:t;">
                <w:txbxContent>
                  <w:p w14:paraId="68327D80">
                    <w:pPr>
                      <w:pStyle w:val="4"/>
                    </w:pPr>
                    <w:r>
                      <w:fldChar w:fldCharType="begin"/>
                    </w:r>
                    <w:r>
                      <w:instrText xml:space="preserve"> PAGE  \* MERGEFORMAT </w:instrText>
                    </w:r>
                    <w:r>
                      <w:fldChar w:fldCharType="separate"/>
                    </w:r>
                    <w:r>
                      <w:t>20</w:t>
                    </w:r>
                    <w:r>
                      <w:fldChar w:fldCharType="end"/>
                    </w:r>
                  </w:p>
                </w:txbxContent>
              </v:textbox>
            </v:shape>
          </w:pict>
        </mc:Fallback>
      </mc:AlternateConten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507715">
    <w:pPr>
      <w:spacing w:line="176" w:lineRule="auto"/>
      <w:ind w:left="4071"/>
      <w:rPr>
        <w:rFonts w:ascii="Times New Roman" w:hAnsi="Times New Roman" w:eastAsia="Times New Roman" w:cs="Times New Roman"/>
        <w:sz w:val="21"/>
        <w:szCs w:val="21"/>
      </w:rPr>
    </w:pPr>
    <w:r>
      <w:rPr>
        <w:sz w:val="21"/>
      </w:rPr>
      <mc:AlternateContent>
        <mc:Choice Requires="wps">
          <w:drawing>
            <wp:anchor distT="0" distB="0" distL="114300" distR="114300" simplePos="0" relativeHeight="2516869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281" name="文本框 128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9FDC1CD">
                          <w:pPr>
                            <w:pStyle w:val="4"/>
                          </w:pPr>
                          <w:r>
                            <w:fldChar w:fldCharType="begin"/>
                          </w:r>
                          <w:r>
                            <w:instrText xml:space="preserve"> PAGE  \* MERGEFORMAT </w:instrText>
                          </w:r>
                          <w:r>
                            <w:fldChar w:fldCharType="separate"/>
                          </w:r>
                          <w:r>
                            <w:t>21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69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e5RiozAgAAZwQAAA4AAAAAAAAAAQAgAAAAHwEAAGRycy9lMm9Eb2MueG1sUEsF&#10;BgAAAAAGAAYAWQEAAMQFAAAAAA==&#10;">
              <v:fill on="f" focussize="0,0"/>
              <v:stroke on="f" weight="0.5pt"/>
              <v:imagedata o:title=""/>
              <o:lock v:ext="edit" aspectratio="f"/>
              <v:textbox inset="0mm,0mm,0mm,0mm" style="mso-fit-shape-to-text:t;">
                <w:txbxContent>
                  <w:p w14:paraId="59FDC1CD">
                    <w:pPr>
                      <w:pStyle w:val="4"/>
                    </w:pPr>
                    <w:r>
                      <w:fldChar w:fldCharType="begin"/>
                    </w:r>
                    <w:r>
                      <w:instrText xml:space="preserve"> PAGE  \* MERGEFORMAT </w:instrText>
                    </w:r>
                    <w:r>
                      <w:fldChar w:fldCharType="separate"/>
                    </w:r>
                    <w:r>
                      <w:t>21</w:t>
                    </w:r>
                    <w:r>
                      <w:fldChar w:fldCharType="end"/>
                    </w:r>
                  </w:p>
                </w:txbxContent>
              </v:textbox>
            </v:shape>
          </w:pict>
        </mc:Fallback>
      </mc:AlternateConten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064A93">
    <w:pPr>
      <w:spacing w:line="176" w:lineRule="auto"/>
      <w:ind w:left="4071"/>
      <w:rPr>
        <w:rFonts w:ascii="Times New Roman" w:hAnsi="Times New Roman" w:eastAsia="Times New Roman" w:cs="Times New Roman"/>
        <w:sz w:val="21"/>
        <w:szCs w:val="21"/>
      </w:rPr>
    </w:pPr>
    <w:r>
      <w:rPr>
        <w:sz w:val="21"/>
      </w:rPr>
      <mc:AlternateContent>
        <mc:Choice Requires="wps">
          <w:drawing>
            <wp:anchor distT="0" distB="0" distL="114300" distR="114300" simplePos="0" relativeHeight="2516879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282" name="文本框 128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C2E536B">
                          <w:pPr>
                            <w:pStyle w:val="4"/>
                          </w:pPr>
                          <w:r>
                            <w:fldChar w:fldCharType="begin"/>
                          </w:r>
                          <w:r>
                            <w:instrText xml:space="preserve"> PAGE  \* MERGEFORMAT </w:instrText>
                          </w:r>
                          <w:r>
                            <w:fldChar w:fldCharType="separate"/>
                          </w:r>
                          <w:r>
                            <w:t>22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79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zyNaTNAIAAGcEAAAOAAAAAAAAAAEAIAAAAB8BAABkcnMvZTJvRG9jLnhtbFBL&#10;BQYAAAAABgAGAFkBAADFBQAAAAA=&#10;">
              <v:fill on="f" focussize="0,0"/>
              <v:stroke on="f" weight="0.5pt"/>
              <v:imagedata o:title=""/>
              <o:lock v:ext="edit" aspectratio="f"/>
              <v:textbox inset="0mm,0mm,0mm,0mm" style="mso-fit-shape-to-text:t;">
                <w:txbxContent>
                  <w:p w14:paraId="5C2E536B">
                    <w:pPr>
                      <w:pStyle w:val="4"/>
                    </w:pPr>
                    <w:r>
                      <w:fldChar w:fldCharType="begin"/>
                    </w:r>
                    <w:r>
                      <w:instrText xml:space="preserve"> PAGE  \* MERGEFORMAT </w:instrText>
                    </w:r>
                    <w:r>
                      <w:fldChar w:fldCharType="separate"/>
                    </w:r>
                    <w:r>
                      <w:t>22</w:t>
                    </w:r>
                    <w:r>
                      <w:fldChar w:fldCharType="end"/>
                    </w:r>
                  </w:p>
                </w:txbxContent>
              </v:textbox>
            </v:shape>
          </w:pict>
        </mc:Fallback>
      </mc:AlternateConten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F97127">
    <w:pPr>
      <w:spacing w:line="191" w:lineRule="auto"/>
      <w:ind w:left="6884"/>
      <w:rPr>
        <w:rFonts w:ascii="Times New Roman" w:hAnsi="Times New Roman" w:eastAsia="Times New Roman" w:cs="Times New Roman"/>
        <w:sz w:val="21"/>
        <w:szCs w:val="21"/>
      </w:rPr>
    </w:pPr>
    <w:r>
      <w:rPr>
        <w:sz w:val="21"/>
      </w:rPr>
      <mc:AlternateContent>
        <mc:Choice Requires="wps">
          <w:drawing>
            <wp:anchor distT="0" distB="0" distL="114300" distR="114300" simplePos="0" relativeHeight="2516889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283" name="文本框 128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71342E8">
                          <w:pPr>
                            <w:pStyle w:val="4"/>
                          </w:pPr>
                          <w:r>
                            <w:fldChar w:fldCharType="begin"/>
                          </w:r>
                          <w:r>
                            <w:instrText xml:space="preserve"> PAGE  \* MERGEFORMAT </w:instrText>
                          </w:r>
                          <w:r>
                            <w:fldChar w:fldCharType="separate"/>
                          </w:r>
                          <w:r>
                            <w:t>23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89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IOWJTTUCAABnBAAADgAAAAAAAAABACAAAAAfAQAAZHJzL2Uyb0RvYy54bWxQ&#10;SwUGAAAAAAYABgBZAQAAxgUAAAAA&#10;">
              <v:fill on="f" focussize="0,0"/>
              <v:stroke on="f" weight="0.5pt"/>
              <v:imagedata o:title=""/>
              <o:lock v:ext="edit" aspectratio="f"/>
              <v:textbox inset="0mm,0mm,0mm,0mm" style="mso-fit-shape-to-text:t;">
                <w:txbxContent>
                  <w:p w14:paraId="671342E8">
                    <w:pPr>
                      <w:pStyle w:val="4"/>
                    </w:pPr>
                    <w:r>
                      <w:fldChar w:fldCharType="begin"/>
                    </w:r>
                    <w:r>
                      <w:instrText xml:space="preserve"> PAGE  \* MERGEFORMAT </w:instrText>
                    </w:r>
                    <w:r>
                      <w:fldChar w:fldCharType="separate"/>
                    </w:r>
                    <w:r>
                      <w:t>23</w:t>
                    </w:r>
                    <w:r>
                      <w:fldChar w:fldCharType="end"/>
                    </w:r>
                  </w:p>
                </w:txbxContent>
              </v:textbox>
            </v:shape>
          </w:pict>
        </mc:Fallback>
      </mc:AlternateConten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5CC8A7">
    <w:pPr>
      <w:spacing w:line="171" w:lineRule="auto"/>
      <w:ind w:left="4087"/>
      <w:rPr>
        <w:rFonts w:ascii="仿宋" w:hAnsi="仿宋" w:eastAsia="仿宋" w:cs="仿宋"/>
        <w:sz w:val="21"/>
        <w:szCs w:val="21"/>
      </w:rPr>
    </w:pPr>
    <w:r>
      <w:rPr>
        <w:sz w:val="21"/>
      </w:rPr>
      <mc:AlternateContent>
        <mc:Choice Requires="wps">
          <w:drawing>
            <wp:anchor distT="0" distB="0" distL="114300" distR="114300" simplePos="0" relativeHeight="2516899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84" name="文本框 128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3EA2FC6">
                          <w:pPr>
                            <w:pStyle w:val="4"/>
                          </w:pPr>
                          <w:r>
                            <w:fldChar w:fldCharType="begin"/>
                          </w:r>
                          <w:r>
                            <w:instrText xml:space="preserve"> PAGE  \* MERGEFORMAT </w:instrText>
                          </w:r>
                          <w:r>
                            <w:fldChar w:fldCharType="separate"/>
                          </w:r>
                          <w:r>
                            <w:t>24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99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miyHOzUCAABnBAAADgAAAAAAAAABACAAAAAfAQAAZHJzL2Uyb0RvYy54bWxQ&#10;SwUGAAAAAAYABgBZAQAAxgUAAAAA&#10;">
              <v:fill on="f" focussize="0,0"/>
              <v:stroke on="f" weight="0.5pt"/>
              <v:imagedata o:title=""/>
              <o:lock v:ext="edit" aspectratio="f"/>
              <v:textbox inset="0mm,0mm,0mm,0mm" style="mso-fit-shape-to-text:t;">
                <w:txbxContent>
                  <w:p w14:paraId="33EA2FC6">
                    <w:pPr>
                      <w:pStyle w:val="4"/>
                    </w:pPr>
                    <w:r>
                      <w:fldChar w:fldCharType="begin"/>
                    </w:r>
                    <w:r>
                      <w:instrText xml:space="preserve"> PAGE  \* MERGEFORMAT </w:instrText>
                    </w:r>
                    <w:r>
                      <w:fldChar w:fldCharType="separate"/>
                    </w:r>
                    <w:r>
                      <w:t>24</w:t>
                    </w:r>
                    <w:r>
                      <w:fldChar w:fldCharType="end"/>
                    </w:r>
                  </w:p>
                </w:txbxContent>
              </v:textbox>
            </v:shape>
          </w:pict>
        </mc:Fallback>
      </mc:AlternateConten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6518AC">
    <w:pPr>
      <w:spacing w:line="171" w:lineRule="auto"/>
      <w:ind w:left="4087"/>
      <w:rPr>
        <w:rFonts w:ascii="仿宋" w:hAnsi="仿宋" w:eastAsia="仿宋" w:cs="仿宋"/>
        <w:sz w:val="21"/>
        <w:szCs w:val="21"/>
      </w:rPr>
    </w:pPr>
    <w:r>
      <w:rPr>
        <w:sz w:val="21"/>
      </w:rPr>
      <mc:AlternateContent>
        <mc:Choice Requires="wps">
          <w:drawing>
            <wp:anchor distT="0" distB="0" distL="114300" distR="114300" simplePos="0" relativeHeight="2516910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285" name="文本框 128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8ECB6C8">
                          <w:pPr>
                            <w:pStyle w:val="4"/>
                          </w:pPr>
                          <w:r>
                            <w:fldChar w:fldCharType="begin"/>
                          </w:r>
                          <w:r>
                            <w:instrText xml:space="preserve"> PAGE  \* MERGEFORMAT </w:instrText>
                          </w:r>
                          <w:r>
                            <w:fldChar w:fldCharType="separate"/>
                          </w:r>
                          <w:r>
                            <w:t>25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10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iQHY5TUCAABnBAAADgAAAAAAAAABACAAAAAfAQAAZHJzL2Uyb0RvYy54bWxQ&#10;SwUGAAAAAAYABgBZAQAAxgUAAAAA&#10;">
              <v:fill on="f" focussize="0,0"/>
              <v:stroke on="f" weight="0.5pt"/>
              <v:imagedata o:title=""/>
              <o:lock v:ext="edit" aspectratio="f"/>
              <v:textbox inset="0mm,0mm,0mm,0mm" style="mso-fit-shape-to-text:t;">
                <w:txbxContent>
                  <w:p w14:paraId="68ECB6C8">
                    <w:pPr>
                      <w:pStyle w:val="4"/>
                    </w:pPr>
                    <w:r>
                      <w:fldChar w:fldCharType="begin"/>
                    </w:r>
                    <w:r>
                      <w:instrText xml:space="preserve"> PAGE  \* MERGEFORMAT </w:instrText>
                    </w:r>
                    <w:r>
                      <w:fldChar w:fldCharType="separate"/>
                    </w:r>
                    <w:r>
                      <w:t>25</w:t>
                    </w:r>
                    <w:r>
                      <w:fldChar w:fldCharType="end"/>
                    </w:r>
                  </w:p>
                </w:txbxContent>
              </v:textbox>
            </v:shape>
          </w:pict>
        </mc:Fallback>
      </mc:AlternateConten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51F5CB">
    <w:pPr>
      <w:spacing w:line="171" w:lineRule="auto"/>
      <w:ind w:left="6900"/>
      <w:rPr>
        <w:rFonts w:ascii="仿宋" w:hAnsi="仿宋" w:eastAsia="仿宋" w:cs="仿宋"/>
        <w:sz w:val="21"/>
        <w:szCs w:val="21"/>
      </w:rPr>
    </w:pPr>
    <w:r>
      <w:rPr>
        <w:sz w:val="21"/>
      </w:rPr>
      <mc:AlternateContent>
        <mc:Choice Requires="wps">
          <w:drawing>
            <wp:anchor distT="0" distB="0" distL="114300" distR="114300" simplePos="0" relativeHeight="2516920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286" name="文本框 128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29B6B02">
                          <w:pPr>
                            <w:pStyle w:val="4"/>
                          </w:pPr>
                          <w:r>
                            <w:fldChar w:fldCharType="begin"/>
                          </w:r>
                          <w:r>
                            <w:instrText xml:space="preserve"> PAGE  \* MERGEFORMAT </w:instrText>
                          </w:r>
                          <w:r>
                            <w:fldChar w:fldCharType="separate"/>
                          </w:r>
                          <w:r>
                            <w:t>26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20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9cEhcNAIAAGcEAAAOAAAAAAAAAAEAIAAAAB8BAABkcnMvZTJvRG9jLnhtbFBL&#10;BQYAAAAABgAGAFkBAADFBQAAAAA=&#10;">
              <v:fill on="f" focussize="0,0"/>
              <v:stroke on="f" weight="0.5pt"/>
              <v:imagedata o:title=""/>
              <o:lock v:ext="edit" aspectratio="f"/>
              <v:textbox inset="0mm,0mm,0mm,0mm" style="mso-fit-shape-to-text:t;">
                <w:txbxContent>
                  <w:p w14:paraId="429B6B02">
                    <w:pPr>
                      <w:pStyle w:val="4"/>
                    </w:pPr>
                    <w:r>
                      <w:fldChar w:fldCharType="begin"/>
                    </w:r>
                    <w:r>
                      <w:instrText xml:space="preserve"> PAGE  \* MERGEFORMAT </w:instrText>
                    </w:r>
                    <w:r>
                      <w:fldChar w:fldCharType="separate"/>
                    </w:r>
                    <w:r>
                      <w:t>26</w:t>
                    </w:r>
                    <w:r>
                      <w:fldChar w:fldCharType="end"/>
                    </w:r>
                  </w:p>
                </w:txbxContent>
              </v:textbox>
            </v:shape>
          </w:pict>
        </mc:Fallback>
      </mc:AlternateConten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561C03">
    <w:pPr>
      <w:spacing w:line="171" w:lineRule="auto"/>
      <w:ind w:left="4087"/>
      <w:rPr>
        <w:rFonts w:ascii="仿宋" w:hAnsi="仿宋" w:eastAsia="仿宋" w:cs="仿宋"/>
        <w:sz w:val="21"/>
        <w:szCs w:val="21"/>
      </w:rPr>
    </w:pPr>
    <w:r>
      <w:rPr>
        <w:sz w:val="21"/>
      </w:rPr>
      <mc:AlternateContent>
        <mc:Choice Requires="wps">
          <w:drawing>
            <wp:anchor distT="0" distB="0" distL="114300" distR="114300" simplePos="0" relativeHeight="2516930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287" name="文本框 128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E111425">
                          <w:pPr>
                            <w:pStyle w:val="4"/>
                          </w:pPr>
                          <w:r>
                            <w:fldChar w:fldCharType="begin"/>
                          </w:r>
                          <w:r>
                            <w:instrText xml:space="preserve"> PAGE  \* MERGEFORMAT </w:instrText>
                          </w:r>
                          <w:r>
                            <w:fldChar w:fldCharType="separate"/>
                          </w:r>
                          <w:r>
                            <w:t>27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30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7l0XgjUCAABnBAAADgAAAAAAAAABACAAAAAfAQAAZHJzL2Uyb0RvYy54bWxQ&#10;SwUGAAAAAAYABgBZAQAAxgUAAAAA&#10;">
              <v:fill on="f" focussize="0,0"/>
              <v:stroke on="f" weight="0.5pt"/>
              <v:imagedata o:title=""/>
              <o:lock v:ext="edit" aspectratio="f"/>
              <v:textbox inset="0mm,0mm,0mm,0mm" style="mso-fit-shape-to-text:t;">
                <w:txbxContent>
                  <w:p w14:paraId="6E111425">
                    <w:pPr>
                      <w:pStyle w:val="4"/>
                    </w:pPr>
                    <w:r>
                      <w:fldChar w:fldCharType="begin"/>
                    </w:r>
                    <w:r>
                      <w:instrText xml:space="preserve"> PAGE  \* MERGEFORMAT </w:instrText>
                    </w:r>
                    <w:r>
                      <w:fldChar w:fldCharType="separate"/>
                    </w:r>
                    <w:r>
                      <w:t>27</w:t>
                    </w:r>
                    <w:r>
                      <w:fldChar w:fldCharType="end"/>
                    </w:r>
                  </w:p>
                </w:txbxContent>
              </v:textbox>
            </v:shape>
          </w:pict>
        </mc:Fallback>
      </mc:AlternateConten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CA6A96">
    <w:pPr>
      <w:spacing w:line="171" w:lineRule="auto"/>
      <w:ind w:left="4087"/>
      <w:rPr>
        <w:rFonts w:ascii="仿宋" w:hAnsi="仿宋" w:eastAsia="仿宋" w:cs="仿宋"/>
        <w:sz w:val="21"/>
        <w:szCs w:val="21"/>
      </w:rPr>
    </w:pPr>
    <w:r>
      <w:rPr>
        <w:sz w:val="21"/>
      </w:rPr>
      <mc:AlternateContent>
        <mc:Choice Requires="wps">
          <w:drawing>
            <wp:anchor distT="0" distB="0" distL="114300" distR="114300" simplePos="0" relativeHeight="2516940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288" name="文本框 128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8A40D54">
                          <w:pPr>
                            <w:pStyle w:val="4"/>
                          </w:pPr>
                          <w:r>
                            <w:fldChar w:fldCharType="begin"/>
                          </w:r>
                          <w:r>
                            <w:instrText xml:space="preserve"> PAGE  \* MERGEFORMAT </w:instrText>
                          </w:r>
                          <w:r>
                            <w:fldChar w:fldCharType="separate"/>
                          </w:r>
                          <w:r>
                            <w:t>28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40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njVbAzAgAAZwQAAA4AAAAAAAAAAQAgAAAAHwEAAGRycy9lMm9Eb2MueG1sUEsF&#10;BgAAAAAGAAYAWQEAAMQFAAAAAA==&#10;">
              <v:fill on="f" focussize="0,0"/>
              <v:stroke on="f" weight="0.5pt"/>
              <v:imagedata o:title=""/>
              <o:lock v:ext="edit" aspectratio="f"/>
              <v:textbox inset="0mm,0mm,0mm,0mm" style="mso-fit-shape-to-text:t;">
                <w:txbxContent>
                  <w:p w14:paraId="18A40D54">
                    <w:pPr>
                      <w:pStyle w:val="4"/>
                    </w:pPr>
                    <w:r>
                      <w:fldChar w:fldCharType="begin"/>
                    </w:r>
                    <w:r>
                      <w:instrText xml:space="preserve"> PAGE  \* MERGEFORMAT </w:instrText>
                    </w:r>
                    <w:r>
                      <w:fldChar w:fldCharType="separate"/>
                    </w:r>
                    <w:r>
                      <w:t>28</w:t>
                    </w:r>
                    <w:r>
                      <w:fldChar w:fldCharType="end"/>
                    </w:r>
                  </w:p>
                </w:txbxContent>
              </v:textbox>
            </v:shape>
          </w:pict>
        </mc:Fallback>
      </mc:AlternateConten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170BA5">
    <w:pPr>
      <w:spacing w:line="171" w:lineRule="auto"/>
      <w:ind w:left="4087"/>
      <w:rPr>
        <w:rFonts w:ascii="仿宋" w:hAnsi="仿宋" w:eastAsia="仿宋" w:cs="仿宋"/>
        <w:sz w:val="21"/>
        <w:szCs w:val="21"/>
      </w:rPr>
    </w:pPr>
    <w:r>
      <w:rPr>
        <w:sz w:val="21"/>
      </w:rPr>
      <mc:AlternateContent>
        <mc:Choice Requires="wps">
          <w:drawing>
            <wp:anchor distT="0" distB="0" distL="114300" distR="114300" simplePos="0" relativeHeight="2516951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89" name="文本框 128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681B1C5">
                          <w:pPr>
                            <w:pStyle w:val="4"/>
                          </w:pPr>
                          <w:r>
                            <w:fldChar w:fldCharType="begin"/>
                          </w:r>
                          <w:r>
                            <w:instrText xml:space="preserve"> PAGE  \* MERGEFORMAT </w:instrText>
                          </w:r>
                          <w:r>
                            <w:fldChar w:fldCharType="separate"/>
                          </w:r>
                          <w:r>
                            <w:t>29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51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ms4KbjUCAABnBAAADgAAAAAAAAABACAAAAAfAQAAZHJzL2Uyb0RvYy54bWxQ&#10;SwUGAAAAAAYABgBZAQAAxgUAAAAA&#10;">
              <v:fill on="f" focussize="0,0"/>
              <v:stroke on="f" weight="0.5pt"/>
              <v:imagedata o:title=""/>
              <o:lock v:ext="edit" aspectratio="f"/>
              <v:textbox inset="0mm,0mm,0mm,0mm" style="mso-fit-shape-to-text:t;">
                <w:txbxContent>
                  <w:p w14:paraId="4681B1C5">
                    <w:pPr>
                      <w:pStyle w:val="4"/>
                    </w:pPr>
                    <w:r>
                      <w:fldChar w:fldCharType="begin"/>
                    </w:r>
                    <w:r>
                      <w:instrText xml:space="preserve"> PAGE  \* MERGEFORMAT </w:instrText>
                    </w:r>
                    <w:r>
                      <w:fldChar w:fldCharType="separate"/>
                    </w:r>
                    <w:r>
                      <w:t>29</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095283">
    <w:pPr>
      <w:spacing w:line="174" w:lineRule="auto"/>
      <w:ind w:left="4068"/>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III</w: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CB2D66">
    <w:pPr>
      <w:spacing w:line="171" w:lineRule="auto"/>
      <w:ind w:left="4078"/>
      <w:rPr>
        <w:rFonts w:ascii="仿宋" w:hAnsi="仿宋" w:eastAsia="仿宋" w:cs="仿宋"/>
        <w:sz w:val="21"/>
        <w:szCs w:val="21"/>
      </w:rPr>
    </w:pPr>
    <w:r>
      <w:rPr>
        <w:sz w:val="21"/>
      </w:rPr>
      <mc:AlternateContent>
        <mc:Choice Requires="wps">
          <w:drawing>
            <wp:anchor distT="0" distB="0" distL="114300" distR="114300" simplePos="0" relativeHeight="2516961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290" name="文本框 129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03A9E7E">
                          <w:pPr>
                            <w:pStyle w:val="4"/>
                          </w:pPr>
                          <w:r>
                            <w:fldChar w:fldCharType="begin"/>
                          </w:r>
                          <w:r>
                            <w:instrText xml:space="preserve"> PAGE  \* MERGEFORMAT </w:instrText>
                          </w:r>
                          <w:r>
                            <w:fldChar w:fldCharType="separate"/>
                          </w:r>
                          <w:r>
                            <w:t>30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61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ninlwNAIAAGcEAAAOAAAAAAAAAAEAIAAAAB8BAABkcnMvZTJvRG9jLnhtbFBL&#10;BQYAAAAABgAGAFkBAADFBQAAAAA=&#10;">
              <v:fill on="f" focussize="0,0"/>
              <v:stroke on="f" weight="0.5pt"/>
              <v:imagedata o:title=""/>
              <o:lock v:ext="edit" aspectratio="f"/>
              <v:textbox inset="0mm,0mm,0mm,0mm" style="mso-fit-shape-to-text:t;">
                <w:txbxContent>
                  <w:p w14:paraId="703A9E7E">
                    <w:pPr>
                      <w:pStyle w:val="4"/>
                    </w:pPr>
                    <w:r>
                      <w:fldChar w:fldCharType="begin"/>
                    </w:r>
                    <w:r>
                      <w:instrText xml:space="preserve"> PAGE  \* MERGEFORMAT </w:instrText>
                    </w:r>
                    <w:r>
                      <w:fldChar w:fldCharType="separate"/>
                    </w:r>
                    <w:r>
                      <w:t>30</w:t>
                    </w:r>
                    <w:r>
                      <w:fldChar w:fldCharType="end"/>
                    </w:r>
                  </w:p>
                </w:txbxContent>
              </v:textbox>
            </v:shape>
          </w:pict>
        </mc:Fallback>
      </mc:AlternateConten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B65DF5">
    <w:pPr>
      <w:spacing w:line="169" w:lineRule="auto"/>
      <w:ind w:left="4380"/>
      <w:rPr>
        <w:rFonts w:ascii="仿宋" w:hAnsi="仿宋" w:eastAsia="仿宋" w:cs="仿宋"/>
        <w:sz w:val="21"/>
        <w:szCs w:val="21"/>
      </w:rPr>
    </w:pPr>
    <w:r>
      <w:rPr>
        <w:sz w:val="21"/>
      </w:rPr>
      <mc:AlternateContent>
        <mc:Choice Requires="wps">
          <w:drawing>
            <wp:anchor distT="0" distB="0" distL="114300" distR="114300" simplePos="0" relativeHeight="2516971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291" name="文本框 129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DD62554">
                          <w:pPr>
                            <w:pStyle w:val="4"/>
                          </w:pPr>
                          <w:r>
                            <w:fldChar w:fldCharType="begin"/>
                          </w:r>
                          <w:r>
                            <w:instrText xml:space="preserve"> PAGE  \* MERGEFORMAT </w:instrText>
                          </w:r>
                          <w:r>
                            <w:fldChar w:fldCharType="separate"/>
                          </w:r>
                          <w:r>
                            <w:t>31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71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0pyauNAIAAGcEAAAOAAAAAAAAAAEAIAAAAB8BAABkcnMvZTJvRG9jLnhtbFBL&#10;BQYAAAAABgAGAFkBAADFBQAAAAA=&#10;">
              <v:fill on="f" focussize="0,0"/>
              <v:stroke on="f" weight="0.5pt"/>
              <v:imagedata o:title=""/>
              <o:lock v:ext="edit" aspectratio="f"/>
              <v:textbox inset="0mm,0mm,0mm,0mm" style="mso-fit-shape-to-text:t;">
                <w:txbxContent>
                  <w:p w14:paraId="2DD62554">
                    <w:pPr>
                      <w:pStyle w:val="4"/>
                    </w:pPr>
                    <w:r>
                      <w:fldChar w:fldCharType="begin"/>
                    </w:r>
                    <w:r>
                      <w:instrText xml:space="preserve"> PAGE  \* MERGEFORMAT </w:instrText>
                    </w:r>
                    <w:r>
                      <w:fldChar w:fldCharType="separate"/>
                    </w:r>
                    <w:r>
                      <w:t>31</w:t>
                    </w:r>
                    <w:r>
                      <w:fldChar w:fldCharType="end"/>
                    </w:r>
                  </w:p>
                </w:txbxContent>
              </v:textbox>
            </v:shape>
          </w:pict>
        </mc:Fallback>
      </mc:AlternateConten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617C00">
    <w:pPr>
      <w:spacing w:line="169" w:lineRule="auto"/>
      <w:ind w:left="4380"/>
      <w:rPr>
        <w:rFonts w:ascii="仿宋" w:hAnsi="仿宋" w:eastAsia="仿宋" w:cs="仿宋"/>
        <w:sz w:val="21"/>
        <w:szCs w:val="21"/>
      </w:rPr>
    </w:pPr>
    <w:r>
      <w:rPr>
        <w:sz w:val="21"/>
      </w:rPr>
      <mc:AlternateContent>
        <mc:Choice Requires="wps">
          <w:drawing>
            <wp:anchor distT="0" distB="0" distL="114300" distR="114300" simplePos="0" relativeHeight="251698176" behindDoc="0" locked="0" layoutInCell="1" allowOverlap="1">
              <wp:simplePos x="0" y="0"/>
              <wp:positionH relativeFrom="margin">
                <wp:align>center</wp:align>
              </wp:positionH>
              <wp:positionV relativeFrom="paragraph">
                <wp:posOffset>0</wp:posOffset>
              </wp:positionV>
              <wp:extent cx="1828800" cy="1828800"/>
              <wp:effectExtent l="0" t="0" r="0" b="0"/>
              <wp:wrapNone/>
              <wp:docPr id="1292" name="文本框 129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F7A780F">
                          <w:pPr>
                            <w:pStyle w:val="4"/>
                          </w:pPr>
                          <w:r>
                            <w:fldChar w:fldCharType="begin"/>
                          </w:r>
                          <w:r>
                            <w:instrText xml:space="preserve"> PAGE  \* MERGEFORMAT </w:instrText>
                          </w:r>
                          <w:r>
                            <w:fldChar w:fldCharType="separate"/>
                          </w:r>
                          <w:r>
                            <w:t>32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81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wNa2FzUCAABnBAAADgAAAAAAAAABACAAAAAfAQAAZHJzL2Uyb0RvYy54bWxQ&#10;SwUGAAAAAAYABgBZAQAAxgUAAAAA&#10;">
              <v:fill on="f" focussize="0,0"/>
              <v:stroke on="f" weight="0.5pt"/>
              <v:imagedata o:title=""/>
              <o:lock v:ext="edit" aspectratio="f"/>
              <v:textbox inset="0mm,0mm,0mm,0mm" style="mso-fit-shape-to-text:t;">
                <w:txbxContent>
                  <w:p w14:paraId="7F7A780F">
                    <w:pPr>
                      <w:pStyle w:val="4"/>
                    </w:pPr>
                    <w:r>
                      <w:fldChar w:fldCharType="begin"/>
                    </w:r>
                    <w:r>
                      <w:instrText xml:space="preserve"> PAGE  \* MERGEFORMAT </w:instrText>
                    </w:r>
                    <w:r>
                      <w:fldChar w:fldCharType="separate"/>
                    </w:r>
                    <w:r>
                      <w:t>32</w:t>
                    </w:r>
                    <w:r>
                      <w:fldChar w:fldCharType="end"/>
                    </w:r>
                  </w:p>
                </w:txbxContent>
              </v:textbox>
            </v:shape>
          </w:pict>
        </mc:Fallback>
      </mc:AlternateConten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922174">
    <w:pPr>
      <w:spacing w:line="171" w:lineRule="auto"/>
      <w:ind w:left="4380"/>
      <w:rPr>
        <w:rFonts w:ascii="仿宋" w:hAnsi="仿宋" w:eastAsia="仿宋" w:cs="仿宋"/>
        <w:sz w:val="21"/>
        <w:szCs w:val="21"/>
      </w:rPr>
    </w:pPr>
    <w:r>
      <w:rPr>
        <w:sz w:val="21"/>
      </w:rPr>
      <mc:AlternateContent>
        <mc:Choice Requires="wps">
          <w:drawing>
            <wp:anchor distT="0" distB="0" distL="114300" distR="114300" simplePos="0" relativeHeight="251699200" behindDoc="0" locked="0" layoutInCell="1" allowOverlap="1">
              <wp:simplePos x="0" y="0"/>
              <wp:positionH relativeFrom="margin">
                <wp:align>center</wp:align>
              </wp:positionH>
              <wp:positionV relativeFrom="paragraph">
                <wp:posOffset>0</wp:posOffset>
              </wp:positionV>
              <wp:extent cx="1828800" cy="1828800"/>
              <wp:effectExtent l="0" t="0" r="0" b="0"/>
              <wp:wrapNone/>
              <wp:docPr id="1293" name="文本框 129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2BBB3E6">
                          <w:pPr>
                            <w:pStyle w:val="4"/>
                          </w:pPr>
                          <w:r>
                            <w:fldChar w:fldCharType="begin"/>
                          </w:r>
                          <w:r>
                            <w:instrText xml:space="preserve"> PAGE  \* MERGEFORMAT </w:instrText>
                          </w:r>
                          <w:r>
                            <w:fldChar w:fldCharType="separate"/>
                          </w:r>
                          <w:r>
                            <w:t>33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92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0/vpyTUCAABnBAAADgAAAAAAAAABACAAAAAfAQAAZHJzL2Uyb0RvYy54bWxQ&#10;SwUGAAAAAAYABgBZAQAAxgUAAAAA&#10;">
              <v:fill on="f" focussize="0,0"/>
              <v:stroke on="f" weight="0.5pt"/>
              <v:imagedata o:title=""/>
              <o:lock v:ext="edit" aspectratio="f"/>
              <v:textbox inset="0mm,0mm,0mm,0mm" style="mso-fit-shape-to-text:t;">
                <w:txbxContent>
                  <w:p w14:paraId="02BBB3E6">
                    <w:pPr>
                      <w:pStyle w:val="4"/>
                    </w:pPr>
                    <w:r>
                      <w:fldChar w:fldCharType="begin"/>
                    </w:r>
                    <w:r>
                      <w:instrText xml:space="preserve"> PAGE  \* MERGEFORMAT </w:instrText>
                    </w:r>
                    <w:r>
                      <w:fldChar w:fldCharType="separate"/>
                    </w:r>
                    <w:r>
                      <w:t>33</w:t>
                    </w:r>
                    <w:r>
                      <w:fldChar w:fldCharType="end"/>
                    </w:r>
                  </w:p>
                </w:txbxContent>
              </v:textbox>
            </v:shape>
          </w:pict>
        </mc:Fallback>
      </mc:AlternateConten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3EE46B">
    <w:pPr>
      <w:spacing w:line="169" w:lineRule="auto"/>
      <w:ind w:left="4380"/>
      <w:rPr>
        <w:rFonts w:ascii="仿宋" w:hAnsi="仿宋" w:eastAsia="仿宋" w:cs="仿宋"/>
        <w:sz w:val="21"/>
        <w:szCs w:val="21"/>
      </w:rPr>
    </w:pPr>
    <w:r>
      <w:rPr>
        <w:sz w:val="21"/>
      </w:rPr>
      <mc:AlternateContent>
        <mc:Choice Requires="wps">
          <w:drawing>
            <wp:anchor distT="0" distB="0" distL="114300" distR="114300" simplePos="0" relativeHeight="25170022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94" name="文本框 129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86611FF">
                          <w:pPr>
                            <w:pStyle w:val="4"/>
                          </w:pPr>
                          <w:r>
                            <w:fldChar w:fldCharType="begin"/>
                          </w:r>
                          <w:r>
                            <w:instrText xml:space="preserve"> PAGE  \* MERGEFORMAT </w:instrText>
                          </w:r>
                          <w:r>
                            <w:fldChar w:fldCharType="separate"/>
                          </w:r>
                          <w:r>
                            <w:t>34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02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aTLnvzUCAABnBAAADgAAAAAAAAABACAAAAAfAQAAZHJzL2Uyb0RvYy54bWxQ&#10;SwUGAAAAAAYABgBZAQAAxgUAAAAA&#10;">
              <v:fill on="f" focussize="0,0"/>
              <v:stroke on="f" weight="0.5pt"/>
              <v:imagedata o:title=""/>
              <o:lock v:ext="edit" aspectratio="f"/>
              <v:textbox inset="0mm,0mm,0mm,0mm" style="mso-fit-shape-to-text:t;">
                <w:txbxContent>
                  <w:p w14:paraId="586611FF">
                    <w:pPr>
                      <w:pStyle w:val="4"/>
                    </w:pPr>
                    <w:r>
                      <w:fldChar w:fldCharType="begin"/>
                    </w:r>
                    <w:r>
                      <w:instrText xml:space="preserve"> PAGE  \* MERGEFORMAT </w:instrText>
                    </w:r>
                    <w:r>
                      <w:fldChar w:fldCharType="separate"/>
                    </w:r>
                    <w:r>
                      <w:t>34</w:t>
                    </w:r>
                    <w:r>
                      <w:fldChar w:fldCharType="end"/>
                    </w:r>
                  </w:p>
                </w:txbxContent>
              </v:textbox>
            </v:shape>
          </w:pict>
        </mc:Fallback>
      </mc:AlternateConten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C5175E">
    <w:pPr>
      <w:spacing w:line="171" w:lineRule="auto"/>
      <w:ind w:left="4380"/>
      <w:rPr>
        <w:rFonts w:ascii="仿宋" w:hAnsi="仿宋" w:eastAsia="仿宋" w:cs="仿宋"/>
        <w:sz w:val="21"/>
        <w:szCs w:val="21"/>
      </w:rPr>
    </w:pPr>
    <w:r>
      <w:rPr>
        <w:sz w:val="21"/>
      </w:rPr>
      <mc:AlternateContent>
        <mc:Choice Requires="wps">
          <w:drawing>
            <wp:anchor distT="0" distB="0" distL="114300" distR="114300" simplePos="0" relativeHeight="251701248" behindDoc="0" locked="0" layoutInCell="1" allowOverlap="1">
              <wp:simplePos x="0" y="0"/>
              <wp:positionH relativeFrom="margin">
                <wp:align>center</wp:align>
              </wp:positionH>
              <wp:positionV relativeFrom="paragraph">
                <wp:posOffset>0</wp:posOffset>
              </wp:positionV>
              <wp:extent cx="1828800" cy="1828800"/>
              <wp:effectExtent l="0" t="0" r="0" b="0"/>
              <wp:wrapNone/>
              <wp:docPr id="1298" name="文本框 129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80DEB32">
                          <w:pPr>
                            <w:pStyle w:val="4"/>
                          </w:pPr>
                          <w:r>
                            <w:fldChar w:fldCharType="begin"/>
                          </w:r>
                          <w:r>
                            <w:instrText xml:space="preserve"> PAGE  \* MERGEFORMAT </w:instrText>
                          </w:r>
                          <w:r>
                            <w:fldChar w:fldCharType="separate"/>
                          </w:r>
                          <w:r>
                            <w:t>40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12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6/TU0NAIAAGcEAAAOAAAAAAAAAAEAIAAAAB8BAABkcnMvZTJvRG9jLnhtbFBL&#10;BQYAAAAABgAGAFkBAADFBQAAAAA=&#10;">
              <v:fill on="f" focussize="0,0"/>
              <v:stroke on="f" weight="0.5pt"/>
              <v:imagedata o:title=""/>
              <o:lock v:ext="edit" aspectratio="f"/>
              <v:textbox inset="0mm,0mm,0mm,0mm" style="mso-fit-shape-to-text:t;">
                <w:txbxContent>
                  <w:p w14:paraId="780DEB32">
                    <w:pPr>
                      <w:pStyle w:val="4"/>
                    </w:pPr>
                    <w:r>
                      <w:fldChar w:fldCharType="begin"/>
                    </w:r>
                    <w:r>
                      <w:instrText xml:space="preserve"> PAGE  \* MERGEFORMAT </w:instrText>
                    </w:r>
                    <w:r>
                      <w:fldChar w:fldCharType="separate"/>
                    </w:r>
                    <w:r>
                      <w:t>40</w:t>
                    </w:r>
                    <w:r>
                      <w:fldChar w:fldCharType="end"/>
                    </w:r>
                  </w:p>
                </w:txbxContent>
              </v:textbox>
            </v:shape>
          </w:pict>
        </mc:Fallback>
      </mc:AlternateConten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F208E8">
    <w:pPr>
      <w:spacing w:line="171" w:lineRule="auto"/>
      <w:ind w:left="4082"/>
      <w:rPr>
        <w:rFonts w:ascii="仿宋" w:hAnsi="仿宋" w:eastAsia="仿宋" w:cs="仿宋"/>
        <w:sz w:val="21"/>
        <w:szCs w:val="21"/>
      </w:rPr>
    </w:pPr>
    <w:r>
      <w:rPr>
        <w:sz w:val="21"/>
      </w:rPr>
      <mc:AlternateContent>
        <mc:Choice Requires="wps">
          <w:drawing>
            <wp:anchor distT="0" distB="0" distL="114300" distR="114300" simplePos="0" relativeHeight="251702272" behindDoc="0" locked="0" layoutInCell="1" allowOverlap="1">
              <wp:simplePos x="0" y="0"/>
              <wp:positionH relativeFrom="margin">
                <wp:align>center</wp:align>
              </wp:positionH>
              <wp:positionV relativeFrom="paragraph">
                <wp:posOffset>0</wp:posOffset>
              </wp:positionV>
              <wp:extent cx="1828800" cy="1828800"/>
              <wp:effectExtent l="0" t="0" r="0" b="0"/>
              <wp:wrapNone/>
              <wp:docPr id="1299" name="文本框 129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B6E98EC">
                          <w:pPr>
                            <w:pStyle w:val="4"/>
                          </w:pPr>
                          <w:r>
                            <w:fldChar w:fldCharType="begin"/>
                          </w:r>
                          <w:r>
                            <w:instrText xml:space="preserve"> PAGE  \* MERGEFORMAT </w:instrText>
                          </w:r>
                          <w:r>
                            <w:fldChar w:fldCharType="separate"/>
                          </w:r>
                          <w:r>
                            <w:t>41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22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adBq6jUCAABnBAAADgAAAAAAAAABACAAAAAfAQAAZHJzL2Uyb0RvYy54bWxQ&#10;SwUGAAAAAAYABgBZAQAAxgUAAAAA&#10;">
              <v:fill on="f" focussize="0,0"/>
              <v:stroke on="f" weight="0.5pt"/>
              <v:imagedata o:title=""/>
              <o:lock v:ext="edit" aspectratio="f"/>
              <v:textbox inset="0mm,0mm,0mm,0mm" style="mso-fit-shape-to-text:t;">
                <w:txbxContent>
                  <w:p w14:paraId="3B6E98EC">
                    <w:pPr>
                      <w:pStyle w:val="4"/>
                    </w:pPr>
                    <w:r>
                      <w:fldChar w:fldCharType="begin"/>
                    </w:r>
                    <w:r>
                      <w:instrText xml:space="preserve"> PAGE  \* MERGEFORMAT </w:instrText>
                    </w:r>
                    <w:r>
                      <w:fldChar w:fldCharType="separate"/>
                    </w:r>
                    <w:r>
                      <w:t>41</w:t>
                    </w:r>
                    <w:r>
                      <w:fldChar w:fldCharType="end"/>
                    </w:r>
                  </w:p>
                </w:txbxContent>
              </v:textbox>
            </v:shape>
          </w:pict>
        </mc:Fallback>
      </mc:AlternateConten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C7870E">
    <w:pPr>
      <w:spacing w:line="171" w:lineRule="auto"/>
      <w:ind w:left="4082"/>
      <w:rPr>
        <w:rFonts w:ascii="仿宋" w:hAnsi="仿宋" w:eastAsia="仿宋" w:cs="仿宋"/>
        <w:sz w:val="21"/>
        <w:szCs w:val="21"/>
      </w:rPr>
    </w:pPr>
    <w:r>
      <w:rPr>
        <w:sz w:val="21"/>
      </w:rPr>
      <mc:AlternateContent>
        <mc:Choice Requires="wps">
          <w:drawing>
            <wp:anchor distT="0" distB="0" distL="114300" distR="114300" simplePos="0" relativeHeight="251703296" behindDoc="0" locked="0" layoutInCell="1" allowOverlap="1">
              <wp:simplePos x="0" y="0"/>
              <wp:positionH relativeFrom="margin">
                <wp:align>center</wp:align>
              </wp:positionH>
              <wp:positionV relativeFrom="paragraph">
                <wp:posOffset>0</wp:posOffset>
              </wp:positionV>
              <wp:extent cx="1828800" cy="1828800"/>
              <wp:effectExtent l="0" t="0" r="0" b="0"/>
              <wp:wrapNone/>
              <wp:docPr id="1300" name="文本框 130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0C39B00">
                          <w:pPr>
                            <w:pStyle w:val="4"/>
                          </w:pPr>
                          <w:r>
                            <w:fldChar w:fldCharType="begin"/>
                          </w:r>
                          <w:r>
                            <w:instrText xml:space="preserve"> PAGE  \* MERGEFORMAT </w:instrText>
                          </w:r>
                          <w:r>
                            <w:fldChar w:fldCharType="separate"/>
                          </w:r>
                          <w:r>
                            <w:t>42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32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ytQ8oNAIAAGcEAAAOAAAAAAAAAAEAIAAAAB8BAABkcnMvZTJvRG9jLnhtbFBL&#10;BQYAAAAABgAGAFkBAADFBQAAAAA=&#10;">
              <v:fill on="f" focussize="0,0"/>
              <v:stroke on="f" weight="0.5pt"/>
              <v:imagedata o:title=""/>
              <o:lock v:ext="edit" aspectratio="f"/>
              <v:textbox inset="0mm,0mm,0mm,0mm" style="mso-fit-shape-to-text:t;">
                <w:txbxContent>
                  <w:p w14:paraId="30C39B00">
                    <w:pPr>
                      <w:pStyle w:val="4"/>
                    </w:pPr>
                    <w:r>
                      <w:fldChar w:fldCharType="begin"/>
                    </w:r>
                    <w:r>
                      <w:instrText xml:space="preserve"> PAGE  \* MERGEFORMAT </w:instrText>
                    </w:r>
                    <w:r>
                      <w:fldChar w:fldCharType="separate"/>
                    </w:r>
                    <w:r>
                      <w:t>42</w:t>
                    </w:r>
                    <w:r>
                      <w:fldChar w:fldCharType="end"/>
                    </w:r>
                  </w:p>
                </w:txbxContent>
              </v:textbox>
            </v:shape>
          </w:pict>
        </mc:Fallback>
      </mc:AlternateConten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1BA31B">
    <w:pPr>
      <w:spacing w:line="171" w:lineRule="auto"/>
      <w:ind w:left="4082"/>
      <w:rPr>
        <w:rFonts w:ascii="仿宋" w:hAnsi="仿宋" w:eastAsia="仿宋" w:cs="仿宋"/>
        <w:sz w:val="21"/>
        <w:szCs w:val="21"/>
      </w:rPr>
    </w:pPr>
    <w:r>
      <w:rPr>
        <w:sz w:val="21"/>
      </w:rPr>
      <mc:AlternateContent>
        <mc:Choice Requires="wps">
          <w:drawing>
            <wp:anchor distT="0" distB="0" distL="114300" distR="114300" simplePos="0" relativeHeight="251704320" behindDoc="0" locked="0" layoutInCell="1" allowOverlap="1">
              <wp:simplePos x="0" y="0"/>
              <wp:positionH relativeFrom="margin">
                <wp:align>center</wp:align>
              </wp:positionH>
              <wp:positionV relativeFrom="paragraph">
                <wp:posOffset>0</wp:posOffset>
              </wp:positionV>
              <wp:extent cx="1828800" cy="1828800"/>
              <wp:effectExtent l="0" t="0" r="0" b="0"/>
              <wp:wrapNone/>
              <wp:docPr id="1301" name="文本框 130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DACFC72">
                          <w:pPr>
                            <w:pStyle w:val="4"/>
                          </w:pPr>
                          <w:r>
                            <w:fldChar w:fldCharType="begin"/>
                          </w:r>
                          <w:r>
                            <w:instrText xml:space="preserve"> PAGE  \* MERGEFORMAT </w:instrText>
                          </w:r>
                          <w:r>
                            <w:fldChar w:fldCharType="separate"/>
                          </w:r>
                          <w:r>
                            <w:t>43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43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hmFD2NAIAAGcEAAAOAAAAAAAAAAEAIAAAAB8BAABkcnMvZTJvRG9jLnhtbFBL&#10;BQYAAAAABgAGAFkBAADFBQAAAAA=&#10;">
              <v:fill on="f" focussize="0,0"/>
              <v:stroke on="f" weight="0.5pt"/>
              <v:imagedata o:title=""/>
              <o:lock v:ext="edit" aspectratio="f"/>
              <v:textbox inset="0mm,0mm,0mm,0mm" style="mso-fit-shape-to-text:t;">
                <w:txbxContent>
                  <w:p w14:paraId="1DACFC72">
                    <w:pPr>
                      <w:pStyle w:val="4"/>
                    </w:pPr>
                    <w:r>
                      <w:fldChar w:fldCharType="begin"/>
                    </w:r>
                    <w:r>
                      <w:instrText xml:space="preserve"> PAGE  \* MERGEFORMAT </w:instrText>
                    </w:r>
                    <w:r>
                      <w:fldChar w:fldCharType="separate"/>
                    </w:r>
                    <w:r>
                      <w:t>43</w:t>
                    </w:r>
                    <w:r>
                      <w:fldChar w:fldCharType="end"/>
                    </w:r>
                  </w:p>
                </w:txbxContent>
              </v:textbox>
            </v:shape>
          </w:pict>
        </mc:Fallback>
      </mc:AlternateContent>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3F72B9">
    <w:pPr>
      <w:spacing w:line="171" w:lineRule="auto"/>
      <w:ind w:left="4082"/>
      <w:rPr>
        <w:rFonts w:ascii="仿宋" w:hAnsi="仿宋" w:eastAsia="仿宋" w:cs="仿宋"/>
        <w:sz w:val="21"/>
        <w:szCs w:val="21"/>
      </w:rPr>
    </w:pPr>
    <w:r>
      <w:rPr>
        <w:sz w:val="21"/>
      </w:rPr>
      <mc:AlternateContent>
        <mc:Choice Requires="wps">
          <w:drawing>
            <wp:anchor distT="0" distB="0" distL="114300" distR="114300" simplePos="0" relativeHeight="251705344" behindDoc="0" locked="0" layoutInCell="1" allowOverlap="1">
              <wp:simplePos x="0" y="0"/>
              <wp:positionH relativeFrom="margin">
                <wp:align>center</wp:align>
              </wp:positionH>
              <wp:positionV relativeFrom="paragraph">
                <wp:posOffset>0</wp:posOffset>
              </wp:positionV>
              <wp:extent cx="1828800" cy="1828800"/>
              <wp:effectExtent l="0" t="0" r="0" b="0"/>
              <wp:wrapNone/>
              <wp:docPr id="1302" name="文本框 130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858793A">
                          <w:pPr>
                            <w:pStyle w:val="4"/>
                          </w:pPr>
                          <w:r>
                            <w:fldChar w:fldCharType="begin"/>
                          </w:r>
                          <w:r>
                            <w:instrText xml:space="preserve"> PAGE  \* MERGEFORMAT </w:instrText>
                          </w:r>
                          <w:r>
                            <w:fldChar w:fldCharType="separate"/>
                          </w:r>
                          <w:r>
                            <w:t>44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53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lenATzUCAABnBAAADgAAAAAAAAABACAAAAAfAQAAZHJzL2Uyb0RvYy54bWxQ&#10;SwUGAAAAAAYABgBZAQAAxgUAAAAA&#10;">
              <v:fill on="f" focussize="0,0"/>
              <v:stroke on="f" weight="0.5pt"/>
              <v:imagedata o:title=""/>
              <o:lock v:ext="edit" aspectratio="f"/>
              <v:textbox inset="0mm,0mm,0mm,0mm" style="mso-fit-shape-to-text:t;">
                <w:txbxContent>
                  <w:p w14:paraId="0858793A">
                    <w:pPr>
                      <w:pStyle w:val="4"/>
                    </w:pPr>
                    <w:r>
                      <w:fldChar w:fldCharType="begin"/>
                    </w:r>
                    <w:r>
                      <w:instrText xml:space="preserve"> PAGE  \* MERGEFORMAT </w:instrText>
                    </w:r>
                    <w:r>
                      <w:fldChar w:fldCharType="separate"/>
                    </w:r>
                    <w:r>
                      <w:t>44</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FE9486">
    <w:pPr>
      <w:spacing w:line="173" w:lineRule="auto"/>
      <w:ind w:left="4063"/>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IV</w:t>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EC6A17">
    <w:pPr>
      <w:spacing w:line="171" w:lineRule="auto"/>
      <w:ind w:left="4082"/>
      <w:rPr>
        <w:rFonts w:ascii="仿宋" w:hAnsi="仿宋" w:eastAsia="仿宋" w:cs="仿宋"/>
        <w:sz w:val="21"/>
        <w:szCs w:val="21"/>
      </w:rPr>
    </w:pPr>
    <w:r>
      <w:rPr>
        <w:sz w:val="21"/>
      </w:rPr>
      <mc:AlternateContent>
        <mc:Choice Requires="wps">
          <w:drawing>
            <wp:anchor distT="0" distB="0" distL="114300" distR="114300" simplePos="0" relativeHeight="25170636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03" name="文本框 130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1D5113D">
                          <w:pPr>
                            <w:pStyle w:val="4"/>
                          </w:pPr>
                          <w:r>
                            <w:fldChar w:fldCharType="begin"/>
                          </w:r>
                          <w:r>
                            <w:instrText xml:space="preserve"> PAGE  \* MERGEFORMAT </w:instrText>
                          </w:r>
                          <w:r>
                            <w:fldChar w:fldCharType="separate"/>
                          </w:r>
                          <w:r>
                            <w:t>45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63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hsSfkTUCAABnBAAADgAAAAAAAAABACAAAAAfAQAAZHJzL2Uyb0RvYy54bWxQ&#10;SwUGAAAAAAYABgBZAQAAxgUAAAAA&#10;">
              <v:fill on="f" focussize="0,0"/>
              <v:stroke on="f" weight="0.5pt"/>
              <v:imagedata o:title=""/>
              <o:lock v:ext="edit" aspectratio="f"/>
              <v:textbox inset="0mm,0mm,0mm,0mm" style="mso-fit-shape-to-text:t;">
                <w:txbxContent>
                  <w:p w14:paraId="71D5113D">
                    <w:pPr>
                      <w:pStyle w:val="4"/>
                    </w:pPr>
                    <w:r>
                      <w:fldChar w:fldCharType="begin"/>
                    </w:r>
                    <w:r>
                      <w:instrText xml:space="preserve"> PAGE  \* MERGEFORMAT </w:instrText>
                    </w:r>
                    <w:r>
                      <w:fldChar w:fldCharType="separate"/>
                    </w:r>
                    <w:r>
                      <w:t>45</w:t>
                    </w:r>
                    <w:r>
                      <w:fldChar w:fldCharType="end"/>
                    </w:r>
                  </w:p>
                </w:txbxContent>
              </v:textbox>
            </v:shape>
          </w:pict>
        </mc:Fallback>
      </mc:AlternateContent>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729B99">
    <w:pPr>
      <w:spacing w:line="168" w:lineRule="auto"/>
      <w:ind w:left="4082"/>
      <w:rPr>
        <w:rFonts w:ascii="仿宋" w:hAnsi="仿宋" w:eastAsia="仿宋" w:cs="仿宋"/>
        <w:sz w:val="21"/>
        <w:szCs w:val="21"/>
      </w:rPr>
    </w:pPr>
    <w:r>
      <w:rPr>
        <w:sz w:val="21"/>
      </w:rPr>
      <mc:AlternateContent>
        <mc:Choice Requires="wps">
          <w:drawing>
            <wp:anchor distT="0" distB="0" distL="114300" distR="114300" simplePos="0" relativeHeight="251707392" behindDoc="0" locked="0" layoutInCell="1" allowOverlap="1">
              <wp:simplePos x="0" y="0"/>
              <wp:positionH relativeFrom="margin">
                <wp:align>center</wp:align>
              </wp:positionH>
              <wp:positionV relativeFrom="paragraph">
                <wp:posOffset>0</wp:posOffset>
              </wp:positionV>
              <wp:extent cx="1828800" cy="1828800"/>
              <wp:effectExtent l="0" t="0" r="0" b="0"/>
              <wp:wrapNone/>
              <wp:docPr id="1304" name="文本框 130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63BC88C">
                          <w:pPr>
                            <w:pStyle w:val="4"/>
                          </w:pPr>
                          <w:r>
                            <w:fldChar w:fldCharType="begin"/>
                          </w:r>
                          <w:r>
                            <w:instrText xml:space="preserve"> PAGE  \* MERGEFORMAT </w:instrText>
                          </w:r>
                          <w:r>
                            <w:fldChar w:fldCharType="separate"/>
                          </w:r>
                          <w:r>
                            <w:t>46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73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PA2R5zUCAABnBAAADgAAAAAAAAABACAAAAAfAQAAZHJzL2Uyb0RvYy54bWxQ&#10;SwUGAAAAAAYABgBZAQAAxgUAAAAA&#10;">
              <v:fill on="f" focussize="0,0"/>
              <v:stroke on="f" weight="0.5pt"/>
              <v:imagedata o:title=""/>
              <o:lock v:ext="edit" aspectratio="f"/>
              <v:textbox inset="0mm,0mm,0mm,0mm" style="mso-fit-shape-to-text:t;">
                <w:txbxContent>
                  <w:p w14:paraId="663BC88C">
                    <w:pPr>
                      <w:pStyle w:val="4"/>
                    </w:pPr>
                    <w:r>
                      <w:fldChar w:fldCharType="begin"/>
                    </w:r>
                    <w:r>
                      <w:instrText xml:space="preserve"> PAGE  \* MERGEFORMAT </w:instrText>
                    </w:r>
                    <w:r>
                      <w:fldChar w:fldCharType="separate"/>
                    </w:r>
                    <w:r>
                      <w:t>46</w:t>
                    </w:r>
                    <w:r>
                      <w:fldChar w:fldCharType="end"/>
                    </w:r>
                  </w:p>
                </w:txbxContent>
              </v:textbox>
            </v:shape>
          </w:pict>
        </mc:Fallback>
      </mc:AlternateContent>
    </w: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D3BC8B">
    <w:pPr>
      <w:spacing w:line="171" w:lineRule="auto"/>
      <w:ind w:left="4082"/>
      <w:rPr>
        <w:rFonts w:ascii="仿宋" w:hAnsi="仿宋" w:eastAsia="仿宋" w:cs="仿宋"/>
        <w:sz w:val="21"/>
        <w:szCs w:val="21"/>
      </w:rPr>
    </w:pPr>
    <w:r>
      <w:rPr>
        <w:sz w:val="21"/>
      </w:rPr>
      <mc:AlternateContent>
        <mc:Choice Requires="wps">
          <w:drawing>
            <wp:anchor distT="0" distB="0" distL="114300" distR="114300" simplePos="0" relativeHeight="251708416" behindDoc="0" locked="0" layoutInCell="1" allowOverlap="1">
              <wp:simplePos x="0" y="0"/>
              <wp:positionH relativeFrom="margin">
                <wp:align>center</wp:align>
              </wp:positionH>
              <wp:positionV relativeFrom="paragraph">
                <wp:posOffset>0</wp:posOffset>
              </wp:positionV>
              <wp:extent cx="1828800" cy="1828800"/>
              <wp:effectExtent l="0" t="0" r="0" b="0"/>
              <wp:wrapNone/>
              <wp:docPr id="1305" name="文本框 130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A4463FF">
                          <w:pPr>
                            <w:pStyle w:val="4"/>
                          </w:pPr>
                          <w:r>
                            <w:fldChar w:fldCharType="begin"/>
                          </w:r>
                          <w:r>
                            <w:instrText xml:space="preserve"> PAGE  \* MERGEFORMAT </w:instrText>
                          </w:r>
                          <w:r>
                            <w:fldChar w:fldCharType="separate"/>
                          </w:r>
                          <w:r>
                            <w:t>47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84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LyDOOTUCAABnBAAADgAAAAAAAAABACAAAAAfAQAAZHJzL2Uyb0RvYy54bWxQ&#10;SwUGAAAAAAYABgBZAQAAxgUAAAAA&#10;">
              <v:fill on="f" focussize="0,0"/>
              <v:stroke on="f" weight="0.5pt"/>
              <v:imagedata o:title=""/>
              <o:lock v:ext="edit" aspectratio="f"/>
              <v:textbox inset="0mm,0mm,0mm,0mm" style="mso-fit-shape-to-text:t;">
                <w:txbxContent>
                  <w:p w14:paraId="3A4463FF">
                    <w:pPr>
                      <w:pStyle w:val="4"/>
                    </w:pPr>
                    <w:r>
                      <w:fldChar w:fldCharType="begin"/>
                    </w:r>
                    <w:r>
                      <w:instrText xml:space="preserve"> PAGE  \* MERGEFORMAT </w:instrText>
                    </w:r>
                    <w:r>
                      <w:fldChar w:fldCharType="separate"/>
                    </w:r>
                    <w:r>
                      <w:t>47</w:t>
                    </w:r>
                    <w:r>
                      <w:fldChar w:fldCharType="end"/>
                    </w:r>
                  </w:p>
                </w:txbxContent>
              </v:textbox>
            </v:shape>
          </w:pict>
        </mc:Fallback>
      </mc:AlternateContent>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84C021">
    <w:pPr>
      <w:spacing w:line="168" w:lineRule="auto"/>
      <w:ind w:left="4082"/>
      <w:rPr>
        <w:rFonts w:ascii="仿宋" w:hAnsi="仿宋" w:eastAsia="仿宋" w:cs="仿宋"/>
        <w:sz w:val="21"/>
        <w:szCs w:val="21"/>
      </w:rPr>
    </w:pPr>
    <w:r>
      <w:rPr>
        <w:sz w:val="21"/>
      </w:rPr>
      <mc:AlternateContent>
        <mc:Choice Requires="wps">
          <w:drawing>
            <wp:anchor distT="0" distB="0" distL="114300" distR="114300" simplePos="0" relativeHeight="2517094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306" name="文本框 130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76F51F1">
                          <w:pPr>
                            <w:pStyle w:val="4"/>
                          </w:pPr>
                          <w:r>
                            <w:fldChar w:fldCharType="begin"/>
                          </w:r>
                          <w:r>
                            <w:instrText xml:space="preserve"> PAGE  \* MERGEFORMAT </w:instrText>
                          </w:r>
                          <w:r>
                            <w:fldChar w:fldCharType="separate"/>
                          </w:r>
                          <w:r>
                            <w:t>48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94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W1FegDUCAABnBAAADgAAAAAAAAABACAAAAAfAQAAZHJzL2Uyb0RvYy54bWxQ&#10;SwUGAAAAAAYABgBZAQAAxgUAAAAA&#10;">
              <v:fill on="f" focussize="0,0"/>
              <v:stroke on="f" weight="0.5pt"/>
              <v:imagedata o:title=""/>
              <o:lock v:ext="edit" aspectratio="f"/>
              <v:textbox inset="0mm,0mm,0mm,0mm" style="mso-fit-shape-to-text:t;">
                <w:txbxContent>
                  <w:p w14:paraId="776F51F1">
                    <w:pPr>
                      <w:pStyle w:val="4"/>
                    </w:pPr>
                    <w:r>
                      <w:fldChar w:fldCharType="begin"/>
                    </w:r>
                    <w:r>
                      <w:instrText xml:space="preserve"> PAGE  \* MERGEFORMAT </w:instrText>
                    </w:r>
                    <w:r>
                      <w:fldChar w:fldCharType="separate"/>
                    </w:r>
                    <w:r>
                      <w:t>48</w:t>
                    </w:r>
                    <w:r>
                      <w:fldChar w:fldCharType="end"/>
                    </w:r>
                  </w:p>
                </w:txbxContent>
              </v:textbox>
            </v:shape>
          </w:pict>
        </mc:Fallback>
      </mc:AlternateContent>
    </w: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A27AD7">
    <w:pPr>
      <w:spacing w:line="171" w:lineRule="auto"/>
      <w:ind w:left="4082"/>
      <w:rPr>
        <w:rFonts w:ascii="仿宋" w:hAnsi="仿宋" w:eastAsia="仿宋" w:cs="仿宋"/>
        <w:sz w:val="21"/>
        <w:szCs w:val="21"/>
      </w:rPr>
    </w:pPr>
    <w:r>
      <w:rPr>
        <w:sz w:val="21"/>
      </w:rPr>
      <mc:AlternateContent>
        <mc:Choice Requires="wps">
          <w:drawing>
            <wp:anchor distT="0" distB="0" distL="114300" distR="114300" simplePos="0" relativeHeight="2517104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307" name="文本框 130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95AC6CD">
                          <w:pPr>
                            <w:pStyle w:val="4"/>
                          </w:pPr>
                          <w:r>
                            <w:fldChar w:fldCharType="begin"/>
                          </w:r>
                          <w:r>
                            <w:instrText xml:space="preserve"> PAGE  \* MERGEFORMAT </w:instrText>
                          </w:r>
                          <w:r>
                            <w:fldChar w:fldCharType="separate"/>
                          </w:r>
                          <w:r>
                            <w:t>49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04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SHwBXjUCAABnBAAADgAAAAAAAAABACAAAAAfAQAAZHJzL2Uyb0RvYy54bWxQ&#10;SwUGAAAAAAYABgBZAQAAxgUAAAAA&#10;">
              <v:fill on="f" focussize="0,0"/>
              <v:stroke on="f" weight="0.5pt"/>
              <v:imagedata o:title=""/>
              <o:lock v:ext="edit" aspectratio="f"/>
              <v:textbox inset="0mm,0mm,0mm,0mm" style="mso-fit-shape-to-text:t;">
                <w:txbxContent>
                  <w:p w14:paraId="595AC6CD">
                    <w:pPr>
                      <w:pStyle w:val="4"/>
                    </w:pPr>
                    <w:r>
                      <w:fldChar w:fldCharType="begin"/>
                    </w:r>
                    <w:r>
                      <w:instrText xml:space="preserve"> PAGE  \* MERGEFORMAT </w:instrText>
                    </w:r>
                    <w:r>
                      <w:fldChar w:fldCharType="separate"/>
                    </w:r>
                    <w:r>
                      <w:t>49</w:t>
                    </w:r>
                    <w:r>
                      <w:fldChar w:fldCharType="end"/>
                    </w:r>
                  </w:p>
                </w:txbxContent>
              </v:textbox>
            </v:shape>
          </w:pict>
        </mc:Fallback>
      </mc:AlternateContent>
    </w: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227C19">
    <w:pPr>
      <w:spacing w:line="171" w:lineRule="auto"/>
      <w:ind w:left="4082"/>
      <w:rPr>
        <w:rFonts w:ascii="仿宋" w:hAnsi="仿宋" w:eastAsia="仿宋" w:cs="仿宋"/>
        <w:sz w:val="21"/>
        <w:szCs w:val="21"/>
      </w:rPr>
    </w:pPr>
    <w:r>
      <w:rPr>
        <w:sz w:val="21"/>
      </w:rPr>
      <mc:AlternateContent>
        <mc:Choice Requires="wps">
          <w:drawing>
            <wp:anchor distT="0" distB="0" distL="114300" distR="114300" simplePos="0" relativeHeight="2517114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08" name="文本框 130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78FC3BC">
                          <w:pPr>
                            <w:pStyle w:val="4"/>
                          </w:pPr>
                          <w:r>
                            <w:fldChar w:fldCharType="begin"/>
                          </w:r>
                          <w:r>
                            <w:instrText xml:space="preserve"> PAGE  \* MERGEFORMAT </w:instrText>
                          </w:r>
                          <w:r>
                            <w:fldChar w:fldCharType="separate"/>
                          </w:r>
                          <w:r>
                            <w:t>50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14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vwkNsNAIAAGcEAAAOAAAAAAAAAAEAIAAAAB8BAABkcnMvZTJvRG9jLnhtbFBL&#10;BQYAAAAABgAGAFkBAADFBQAAAAA=&#10;">
              <v:fill on="f" focussize="0,0"/>
              <v:stroke on="f" weight="0.5pt"/>
              <v:imagedata o:title=""/>
              <o:lock v:ext="edit" aspectratio="f"/>
              <v:textbox inset="0mm,0mm,0mm,0mm" style="mso-fit-shape-to-text:t;">
                <w:txbxContent>
                  <w:p w14:paraId="478FC3BC">
                    <w:pPr>
                      <w:pStyle w:val="4"/>
                    </w:pPr>
                    <w:r>
                      <w:fldChar w:fldCharType="begin"/>
                    </w:r>
                    <w:r>
                      <w:instrText xml:space="preserve"> PAGE  \* MERGEFORMAT </w:instrText>
                    </w:r>
                    <w:r>
                      <w:fldChar w:fldCharType="separate"/>
                    </w:r>
                    <w:r>
                      <w:t>50</w:t>
                    </w:r>
                    <w:r>
                      <w:fldChar w:fldCharType="end"/>
                    </w:r>
                  </w:p>
                </w:txbxContent>
              </v:textbox>
            </v:shape>
          </w:pict>
        </mc:Fallback>
      </mc:AlternateContent>
    </w: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B10AC1">
    <w:pPr>
      <w:spacing w:line="171" w:lineRule="auto"/>
      <w:ind w:left="4081"/>
      <w:rPr>
        <w:rFonts w:ascii="仿宋" w:hAnsi="仿宋" w:eastAsia="仿宋" w:cs="仿宋"/>
        <w:sz w:val="21"/>
        <w:szCs w:val="21"/>
      </w:rPr>
    </w:pPr>
    <w:r>
      <w:rPr>
        <w:sz w:val="21"/>
      </w:rPr>
      <mc:AlternateContent>
        <mc:Choice Requires="wps">
          <w:drawing>
            <wp:anchor distT="0" distB="0" distL="114300" distR="114300" simplePos="0" relativeHeight="2517125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309" name="文本框 130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7410353">
                          <w:pPr>
                            <w:pStyle w:val="4"/>
                          </w:pPr>
                          <w:r>
                            <w:fldChar w:fldCharType="begin"/>
                          </w:r>
                          <w:r>
                            <w:instrText xml:space="preserve"> PAGE  \* MERGEFORMAT </w:instrText>
                          </w:r>
                          <w:r>
                            <w:fldChar w:fldCharType="separate"/>
                          </w:r>
                          <w:r>
                            <w:t>51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25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PO8csjUCAABnBAAADgAAAAAAAAABACAAAAAfAQAAZHJzL2Uyb0RvYy54bWxQ&#10;SwUGAAAAAAYABgBZAQAAxgUAAAAA&#10;">
              <v:fill on="f" focussize="0,0"/>
              <v:stroke on="f" weight="0.5pt"/>
              <v:imagedata o:title=""/>
              <o:lock v:ext="edit" aspectratio="f"/>
              <v:textbox inset="0mm,0mm,0mm,0mm" style="mso-fit-shape-to-text:t;">
                <w:txbxContent>
                  <w:p w14:paraId="47410353">
                    <w:pPr>
                      <w:pStyle w:val="4"/>
                    </w:pPr>
                    <w:r>
                      <w:fldChar w:fldCharType="begin"/>
                    </w:r>
                    <w:r>
                      <w:instrText xml:space="preserve"> PAGE  \* MERGEFORMAT </w:instrText>
                    </w:r>
                    <w:r>
                      <w:fldChar w:fldCharType="separate"/>
                    </w:r>
                    <w:r>
                      <w:t>51</w:t>
                    </w:r>
                    <w:r>
                      <w:fldChar w:fldCharType="end"/>
                    </w:r>
                  </w:p>
                </w:txbxContent>
              </v:textbox>
            </v:shape>
          </w:pict>
        </mc:Fallback>
      </mc:AlternateContent>
    </w: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9D3CA6">
    <w:pPr>
      <w:spacing w:line="171" w:lineRule="auto"/>
      <w:ind w:left="4081"/>
      <w:rPr>
        <w:rFonts w:ascii="仿宋" w:hAnsi="仿宋" w:eastAsia="仿宋" w:cs="仿宋"/>
        <w:sz w:val="21"/>
        <w:szCs w:val="21"/>
      </w:rPr>
    </w:pPr>
    <w:r>
      <w:rPr>
        <w:sz w:val="21"/>
      </w:rPr>
      <mc:AlternateContent>
        <mc:Choice Requires="wps">
          <w:drawing>
            <wp:anchor distT="0" distB="0" distL="114300" distR="114300" simplePos="0" relativeHeight="2517135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310" name="文本框 13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6B0FC1E">
                          <w:pPr>
                            <w:pStyle w:val="4"/>
                          </w:pPr>
                          <w:r>
                            <w:fldChar w:fldCharType="begin"/>
                          </w:r>
                          <w:r>
                            <w:instrText xml:space="preserve"> PAGE  \* MERGEFORMAT </w:instrText>
                          </w:r>
                          <w:r>
                            <w:fldChar w:fldCharType="separate"/>
                          </w:r>
                          <w:r>
                            <w:t>52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35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Bq2+sNAIAAGcEAAAOAAAAAAAAAAEAIAAAAB8BAABkcnMvZTJvRG9jLnhtbFBL&#10;BQYAAAAABgAGAFkBAADFBQAAAAA=&#10;">
              <v:fill on="f" focussize="0,0"/>
              <v:stroke on="f" weight="0.5pt"/>
              <v:imagedata o:title=""/>
              <o:lock v:ext="edit" aspectratio="f"/>
              <v:textbox inset="0mm,0mm,0mm,0mm" style="mso-fit-shape-to-text:t;">
                <w:txbxContent>
                  <w:p w14:paraId="16B0FC1E">
                    <w:pPr>
                      <w:pStyle w:val="4"/>
                    </w:pPr>
                    <w:r>
                      <w:fldChar w:fldCharType="begin"/>
                    </w:r>
                    <w:r>
                      <w:instrText xml:space="preserve"> PAGE  \* MERGEFORMAT </w:instrText>
                    </w:r>
                    <w:r>
                      <w:fldChar w:fldCharType="separate"/>
                    </w:r>
                    <w:r>
                      <w:t>52</w:t>
                    </w:r>
                    <w:r>
                      <w:fldChar w:fldCharType="end"/>
                    </w:r>
                  </w:p>
                </w:txbxContent>
              </v:textbox>
            </v:shape>
          </w:pict>
        </mc:Fallback>
      </mc:AlternateContent>
    </w: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8CD316">
    <w:pPr>
      <w:spacing w:line="171" w:lineRule="auto"/>
      <w:ind w:left="4081"/>
      <w:rPr>
        <w:rFonts w:ascii="仿宋" w:hAnsi="仿宋" w:eastAsia="仿宋" w:cs="仿宋"/>
        <w:sz w:val="21"/>
        <w:szCs w:val="21"/>
      </w:rPr>
    </w:pPr>
    <w:r>
      <w:rPr>
        <w:sz w:val="21"/>
      </w:rPr>
      <mc:AlternateContent>
        <mc:Choice Requires="wps">
          <w:drawing>
            <wp:anchor distT="0" distB="0" distL="114300" distR="114300" simplePos="0" relativeHeight="2517145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311" name="文本框 13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7AB8819">
                          <w:pPr>
                            <w:pStyle w:val="4"/>
                          </w:pPr>
                          <w:r>
                            <w:fldChar w:fldCharType="begin"/>
                          </w:r>
                          <w:r>
                            <w:instrText xml:space="preserve"> PAGE  \* MERGEFORMAT </w:instrText>
                          </w:r>
                          <w:r>
                            <w:fldChar w:fldCharType="separate"/>
                          </w:r>
                          <w:r>
                            <w:t>53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45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ShjByNAIAAGcEAAAOAAAAAAAAAAEAIAAAAB8BAABkcnMvZTJvRG9jLnhtbFBL&#10;BQYAAAAABgAGAFkBAADFBQAAAAA=&#10;">
              <v:fill on="f" focussize="0,0"/>
              <v:stroke on="f" weight="0.5pt"/>
              <v:imagedata o:title=""/>
              <o:lock v:ext="edit" aspectratio="f"/>
              <v:textbox inset="0mm,0mm,0mm,0mm" style="mso-fit-shape-to-text:t;">
                <w:txbxContent>
                  <w:p w14:paraId="37AB8819">
                    <w:pPr>
                      <w:pStyle w:val="4"/>
                    </w:pPr>
                    <w:r>
                      <w:fldChar w:fldCharType="begin"/>
                    </w:r>
                    <w:r>
                      <w:instrText xml:space="preserve"> PAGE  \* MERGEFORMAT </w:instrText>
                    </w:r>
                    <w:r>
                      <w:fldChar w:fldCharType="separate"/>
                    </w:r>
                    <w:r>
                      <w:t>53</w:t>
                    </w:r>
                    <w:r>
                      <w:fldChar w:fldCharType="end"/>
                    </w:r>
                  </w:p>
                </w:txbxContent>
              </v:textbox>
            </v:shape>
          </w:pict>
        </mc:Fallback>
      </mc:AlternateContent>
    </w: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04496E">
    <w:pPr>
      <w:spacing w:line="171" w:lineRule="auto"/>
      <w:ind w:left="4311"/>
      <w:rPr>
        <w:rFonts w:ascii="仿宋" w:hAnsi="仿宋" w:eastAsia="仿宋" w:cs="仿宋"/>
        <w:sz w:val="21"/>
        <w:szCs w:val="21"/>
      </w:rPr>
    </w:pPr>
    <w:r>
      <w:rPr>
        <w:sz w:val="21"/>
      </w:rPr>
      <mc:AlternateContent>
        <mc:Choice Requires="wps">
          <w:drawing>
            <wp:anchor distT="0" distB="0" distL="114300" distR="114300" simplePos="0" relativeHeight="2517155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312" name="文本框 13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47C36D7">
                          <w:pPr>
                            <w:pStyle w:val="4"/>
                          </w:pPr>
                          <w:r>
                            <w:fldChar w:fldCharType="begin"/>
                          </w:r>
                          <w:r>
                            <w:instrText xml:space="preserve"> PAGE  \* MERGEFORMAT </w:instrText>
                          </w:r>
                          <w:r>
                            <w:fldChar w:fldCharType="separate"/>
                          </w:r>
                          <w:r>
                            <w:t>54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55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ZvegyzUCAABnBAAADgAAAAAAAAABACAAAAAfAQAAZHJzL2Uyb0RvYy54bWxQ&#10;SwUGAAAAAAYABgBZAQAAxgUAAAAA&#10;">
              <v:fill on="f" focussize="0,0"/>
              <v:stroke on="f" weight="0.5pt"/>
              <v:imagedata o:title=""/>
              <o:lock v:ext="edit" aspectratio="f"/>
              <v:textbox inset="0mm,0mm,0mm,0mm" style="mso-fit-shape-to-text:t;">
                <w:txbxContent>
                  <w:p w14:paraId="147C36D7">
                    <w:pPr>
                      <w:pStyle w:val="4"/>
                    </w:pPr>
                    <w:r>
                      <w:fldChar w:fldCharType="begin"/>
                    </w:r>
                    <w:r>
                      <w:instrText xml:space="preserve"> PAGE  \* MERGEFORMAT </w:instrText>
                    </w:r>
                    <w:r>
                      <w:fldChar w:fldCharType="separate"/>
                    </w:r>
                    <w:r>
                      <w:t>54</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AC992E">
    <w:pPr>
      <w:spacing w:line="173" w:lineRule="auto"/>
      <w:ind w:left="4093"/>
      <w:rPr>
        <w:rFonts w:ascii="Times New Roman" w:hAnsi="Times New Roman" w:eastAsia="Times New Roman" w:cs="Times New Roman"/>
        <w:sz w:val="21"/>
        <w:szCs w:val="21"/>
      </w:rPr>
    </w:pPr>
    <w:r>
      <w:rPr>
        <w:rFonts w:ascii="Times New Roman" w:hAnsi="Times New Roman" w:eastAsia="Times New Roman" w:cs="Times New Roman"/>
        <w:sz w:val="21"/>
        <w:szCs w:val="21"/>
      </w:rPr>
      <w:t>V</w:t>
    </w: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79B8E5">
    <w:pPr>
      <w:spacing w:line="171" w:lineRule="auto"/>
      <w:ind w:left="4081"/>
      <w:rPr>
        <w:rFonts w:ascii="仿宋" w:hAnsi="仿宋" w:eastAsia="仿宋" w:cs="仿宋"/>
        <w:sz w:val="21"/>
        <w:szCs w:val="21"/>
      </w:rPr>
    </w:pPr>
    <w:r>
      <w:rPr>
        <w:sz w:val="21"/>
      </w:rPr>
      <mc:AlternateContent>
        <mc:Choice Requires="wps">
          <w:drawing>
            <wp:anchor distT="0" distB="0" distL="114300" distR="114300" simplePos="0" relativeHeight="2517166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13" name="文本框 13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AD145C8">
                          <w:pPr>
                            <w:pStyle w:val="4"/>
                          </w:pPr>
                          <w:r>
                            <w:fldChar w:fldCharType="begin"/>
                          </w:r>
                          <w:r>
                            <w:instrText xml:space="preserve"> PAGE  \* MERGEFORMAT </w:instrText>
                          </w:r>
                          <w:r>
                            <w:fldChar w:fldCharType="separate"/>
                          </w:r>
                          <w:r>
                            <w:t>55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66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ddr/FTUCAABnBAAADgAAAAAAAAABACAAAAAfAQAAZHJzL2Uyb0RvYy54bWxQ&#10;SwUGAAAAAAYABgBZAQAAxgUAAAAA&#10;">
              <v:fill on="f" focussize="0,0"/>
              <v:stroke on="f" weight="0.5pt"/>
              <v:imagedata o:title=""/>
              <o:lock v:ext="edit" aspectratio="f"/>
              <v:textbox inset="0mm,0mm,0mm,0mm" style="mso-fit-shape-to-text:t;">
                <w:txbxContent>
                  <w:p w14:paraId="5AD145C8">
                    <w:pPr>
                      <w:pStyle w:val="4"/>
                    </w:pPr>
                    <w:r>
                      <w:fldChar w:fldCharType="begin"/>
                    </w:r>
                    <w:r>
                      <w:instrText xml:space="preserve"> PAGE  \* MERGEFORMAT </w:instrText>
                    </w:r>
                    <w:r>
                      <w:fldChar w:fldCharType="separate"/>
                    </w:r>
                    <w:r>
                      <w:t>55</w:t>
                    </w:r>
                    <w:r>
                      <w:fldChar w:fldCharType="end"/>
                    </w:r>
                  </w:p>
                </w:txbxContent>
              </v:textbox>
            </v:shape>
          </w:pict>
        </mc:Fallback>
      </mc:AlternateContent>
    </w: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BF5CF3">
    <w:pPr>
      <w:spacing w:line="171" w:lineRule="auto"/>
      <w:ind w:left="4081"/>
      <w:rPr>
        <w:rFonts w:ascii="仿宋" w:hAnsi="仿宋" w:eastAsia="仿宋" w:cs="仿宋"/>
        <w:sz w:val="21"/>
        <w:szCs w:val="21"/>
      </w:rPr>
    </w:pPr>
    <w:r>
      <w:rPr>
        <w:sz w:val="21"/>
      </w:rPr>
      <mc:AlternateContent>
        <mc:Choice Requires="wps">
          <w:drawing>
            <wp:anchor distT="0" distB="0" distL="114300" distR="114300" simplePos="0" relativeHeight="2517176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314" name="文本框 13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6078553">
                          <w:pPr>
                            <w:pStyle w:val="4"/>
                          </w:pPr>
                          <w:r>
                            <w:fldChar w:fldCharType="begin"/>
                          </w:r>
                          <w:r>
                            <w:instrText xml:space="preserve"> PAGE  \* MERGEFORMAT </w:instrText>
                          </w:r>
                          <w:r>
                            <w:fldChar w:fldCharType="separate"/>
                          </w:r>
                          <w:r>
                            <w:t>56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76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zxPxYzUCAABnBAAADgAAAAAAAAABACAAAAAfAQAAZHJzL2Uyb0RvYy54bWxQ&#10;SwUGAAAAAAYABgBZAQAAxgUAAAAA&#10;">
              <v:fill on="f" focussize="0,0"/>
              <v:stroke on="f" weight="0.5pt"/>
              <v:imagedata o:title=""/>
              <o:lock v:ext="edit" aspectratio="f"/>
              <v:textbox inset="0mm,0mm,0mm,0mm" style="mso-fit-shape-to-text:t;">
                <w:txbxContent>
                  <w:p w14:paraId="26078553">
                    <w:pPr>
                      <w:pStyle w:val="4"/>
                    </w:pPr>
                    <w:r>
                      <w:fldChar w:fldCharType="begin"/>
                    </w:r>
                    <w:r>
                      <w:instrText xml:space="preserve"> PAGE  \* MERGEFORMAT </w:instrText>
                    </w:r>
                    <w:r>
                      <w:fldChar w:fldCharType="separate"/>
                    </w:r>
                    <w:r>
                      <w:t>56</w:t>
                    </w:r>
                    <w:r>
                      <w:fldChar w:fldCharType="end"/>
                    </w:r>
                  </w:p>
                </w:txbxContent>
              </v:textbox>
            </v:shape>
          </w:pict>
        </mc:Fallback>
      </mc:AlternateContent>
    </w: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AD23AD">
    <w:pPr>
      <w:spacing w:line="171" w:lineRule="auto"/>
      <w:ind w:left="6884"/>
      <w:rPr>
        <w:rFonts w:ascii="仿宋" w:hAnsi="仿宋" w:eastAsia="仿宋" w:cs="仿宋"/>
        <w:sz w:val="21"/>
        <w:szCs w:val="21"/>
      </w:rPr>
    </w:pPr>
    <w:r>
      <w:rPr>
        <w:sz w:val="21"/>
      </w:rPr>
      <mc:AlternateContent>
        <mc:Choice Requires="wps">
          <w:drawing>
            <wp:anchor distT="0" distB="0" distL="114300" distR="114300" simplePos="0" relativeHeight="2517186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330" name="文本框 133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0D19DA2">
                          <w:pPr>
                            <w:pStyle w:val="4"/>
                          </w:pPr>
                          <w:r>
                            <w:fldChar w:fldCharType="begin"/>
                          </w:r>
                          <w:r>
                            <w:instrText xml:space="preserve"> PAGE  \* MERGEFORMAT </w:instrText>
                          </w:r>
                          <w:r>
                            <w:fldChar w:fldCharType="separate"/>
                          </w:r>
                          <w:r>
                            <w:t>72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86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mkN5/NAIAAGcEAAAOAAAAAAAAAAEAIAAAAB8BAABkcnMvZTJvRG9jLnhtbFBL&#10;BQYAAAAABgAGAFkBAADFBQAAAAA=&#10;">
              <v:fill on="f" focussize="0,0"/>
              <v:stroke on="f" weight="0.5pt"/>
              <v:imagedata o:title=""/>
              <o:lock v:ext="edit" aspectratio="f"/>
              <v:textbox inset="0mm,0mm,0mm,0mm" style="mso-fit-shape-to-text:t;">
                <w:txbxContent>
                  <w:p w14:paraId="10D19DA2">
                    <w:pPr>
                      <w:pStyle w:val="4"/>
                    </w:pPr>
                    <w:r>
                      <w:fldChar w:fldCharType="begin"/>
                    </w:r>
                    <w:r>
                      <w:instrText xml:space="preserve"> PAGE  \* MERGEFORMAT </w:instrText>
                    </w:r>
                    <w:r>
                      <w:fldChar w:fldCharType="separate"/>
                    </w:r>
                    <w:r>
                      <w:t>72</w:t>
                    </w:r>
                    <w:r>
                      <w:fldChar w:fldCharType="end"/>
                    </w:r>
                  </w:p>
                </w:txbxContent>
              </v:textbox>
            </v:shape>
          </w:pict>
        </mc:Fallback>
      </mc:AlternateContent>
    </w: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3F6C18">
    <w:pPr>
      <w:spacing w:line="171" w:lineRule="auto"/>
      <w:ind w:left="4081"/>
      <w:rPr>
        <w:rFonts w:ascii="仿宋" w:hAnsi="仿宋" w:eastAsia="仿宋" w:cs="仿宋"/>
        <w:sz w:val="21"/>
        <w:szCs w:val="21"/>
      </w:rPr>
    </w:pPr>
    <w:r>
      <w:rPr>
        <w:sz w:val="21"/>
      </w:rPr>
      <mc:AlternateContent>
        <mc:Choice Requires="wps">
          <w:drawing>
            <wp:anchor distT="0" distB="0" distL="114300" distR="114300" simplePos="0" relativeHeight="2517196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331" name="文本框 133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A181AB1">
                          <w:pPr>
                            <w:pStyle w:val="4"/>
                          </w:pPr>
                          <w:r>
                            <w:fldChar w:fldCharType="begin"/>
                          </w:r>
                          <w:r>
                            <w:instrText xml:space="preserve"> PAGE  \* MERGEFORMAT </w:instrText>
                          </w:r>
                          <w:r>
                            <w:fldChar w:fldCharType="separate"/>
                          </w:r>
                          <w:r>
                            <w:t>73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96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1vYGhNAIAAGcEAAAOAAAAAAAAAAEAIAAAAB8BAABkcnMvZTJvRG9jLnhtbFBL&#10;BQYAAAAABgAGAFkBAADFBQAAAAA=&#10;">
              <v:fill on="f" focussize="0,0"/>
              <v:stroke on="f" weight="0.5pt"/>
              <v:imagedata o:title=""/>
              <o:lock v:ext="edit" aspectratio="f"/>
              <v:textbox inset="0mm,0mm,0mm,0mm" style="mso-fit-shape-to-text:t;">
                <w:txbxContent>
                  <w:p w14:paraId="3A181AB1">
                    <w:pPr>
                      <w:pStyle w:val="4"/>
                    </w:pPr>
                    <w:r>
                      <w:fldChar w:fldCharType="begin"/>
                    </w:r>
                    <w:r>
                      <w:instrText xml:space="preserve"> PAGE  \* MERGEFORMAT </w:instrText>
                    </w:r>
                    <w:r>
                      <w:fldChar w:fldCharType="separate"/>
                    </w:r>
                    <w:r>
                      <w:t>73</w:t>
                    </w:r>
                    <w:r>
                      <w:fldChar w:fldCharType="end"/>
                    </w:r>
                  </w:p>
                </w:txbxContent>
              </v:textbox>
            </v:shape>
          </w:pict>
        </mc:Fallback>
      </mc:AlternateContent>
    </w: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CE7778">
    <w:pPr>
      <w:spacing w:line="171" w:lineRule="auto"/>
      <w:ind w:left="4081"/>
      <w:rPr>
        <w:rFonts w:ascii="仿宋" w:hAnsi="仿宋" w:eastAsia="仿宋" w:cs="仿宋"/>
        <w:sz w:val="21"/>
        <w:szCs w:val="21"/>
      </w:rPr>
    </w:pPr>
    <w:r>
      <w:rPr>
        <w:sz w:val="21"/>
      </w:rPr>
      <mc:AlternateContent>
        <mc:Choice Requires="wps">
          <w:drawing>
            <wp:anchor distT="0" distB="0" distL="114300" distR="114300" simplePos="0" relativeHeight="2517207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332" name="文本框 13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C7611BB">
                          <w:pPr>
                            <w:pStyle w:val="4"/>
                          </w:pPr>
                          <w:r>
                            <w:fldChar w:fldCharType="begin"/>
                          </w:r>
                          <w:r>
                            <w:instrText xml:space="preserve"> PAGE  \* MERGEFORMAT </w:instrText>
                          </w:r>
                          <w:r>
                            <w:fldChar w:fldCharType="separate"/>
                          </w:r>
                          <w:r>
                            <w:t>74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207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wcwRGDUCAABnBAAADgAAAAAAAAABACAAAAAfAQAAZHJzL2Uyb0RvYy54bWxQ&#10;SwUGAAAAAAYABgBZAQAAxgUAAAAA&#10;">
              <v:fill on="f" focussize="0,0"/>
              <v:stroke on="f" weight="0.5pt"/>
              <v:imagedata o:title=""/>
              <o:lock v:ext="edit" aspectratio="f"/>
              <v:textbox inset="0mm,0mm,0mm,0mm" style="mso-fit-shape-to-text:t;">
                <w:txbxContent>
                  <w:p w14:paraId="6C7611BB">
                    <w:pPr>
                      <w:pStyle w:val="4"/>
                    </w:pPr>
                    <w:r>
                      <w:fldChar w:fldCharType="begin"/>
                    </w:r>
                    <w:r>
                      <w:instrText xml:space="preserve"> PAGE  \* MERGEFORMAT </w:instrText>
                    </w:r>
                    <w:r>
                      <w:fldChar w:fldCharType="separate"/>
                    </w:r>
                    <w:r>
                      <w:t>74</w:t>
                    </w:r>
                    <w:r>
                      <w:fldChar w:fldCharType="end"/>
                    </w:r>
                  </w:p>
                </w:txbxContent>
              </v:textbox>
            </v:shape>
          </w:pict>
        </mc:Fallback>
      </mc:AlternateContent>
    </w: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5B1481">
    <w:pPr>
      <w:spacing w:line="171" w:lineRule="auto"/>
      <w:ind w:left="4460"/>
      <w:rPr>
        <w:rFonts w:ascii="仿宋" w:hAnsi="仿宋" w:eastAsia="仿宋" w:cs="仿宋"/>
        <w:sz w:val="21"/>
        <w:szCs w:val="21"/>
      </w:rPr>
    </w:pPr>
    <w:r>
      <w:rPr>
        <w:sz w:val="21"/>
      </w:rPr>
      <mc:AlternateContent>
        <mc:Choice Requires="wps">
          <w:drawing>
            <wp:anchor distT="0" distB="0" distL="114300" distR="114300" simplePos="0" relativeHeight="2517217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33" name="文本框 133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9982CC9">
                          <w:pPr>
                            <w:pStyle w:val="4"/>
                          </w:pPr>
                          <w:r>
                            <w:fldChar w:fldCharType="begin"/>
                          </w:r>
                          <w:r>
                            <w:instrText xml:space="preserve"> PAGE  \* MERGEFORMAT </w:instrText>
                          </w:r>
                          <w:r>
                            <w:fldChar w:fldCharType="separate"/>
                          </w:r>
                          <w:r>
                            <w:t>75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217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0uFOxjUCAABnBAAADgAAAAAAAAABACAAAAAfAQAAZHJzL2Uyb0RvYy54bWxQ&#10;SwUGAAAAAAYABgBZAQAAxgUAAAAA&#10;">
              <v:fill on="f" focussize="0,0"/>
              <v:stroke on="f" weight="0.5pt"/>
              <v:imagedata o:title=""/>
              <o:lock v:ext="edit" aspectratio="f"/>
              <v:textbox inset="0mm,0mm,0mm,0mm" style="mso-fit-shape-to-text:t;">
                <w:txbxContent>
                  <w:p w14:paraId="09982CC9">
                    <w:pPr>
                      <w:pStyle w:val="4"/>
                    </w:pPr>
                    <w:r>
                      <w:fldChar w:fldCharType="begin"/>
                    </w:r>
                    <w:r>
                      <w:instrText xml:space="preserve"> PAGE  \* MERGEFORMAT </w:instrText>
                    </w:r>
                    <w:r>
                      <w:fldChar w:fldCharType="separate"/>
                    </w:r>
                    <w:r>
                      <w:t>75</w:t>
                    </w:r>
                    <w:r>
                      <w:fldChar w:fldCharType="end"/>
                    </w:r>
                  </w:p>
                </w:txbxContent>
              </v:textbox>
            </v:shape>
          </w:pict>
        </mc:Fallback>
      </mc:AlternateContent>
    </w: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00514E">
    <w:pPr>
      <w:spacing w:line="171" w:lineRule="auto"/>
      <w:ind w:left="4081"/>
      <w:rPr>
        <w:rFonts w:ascii="仿宋" w:hAnsi="仿宋" w:eastAsia="仿宋" w:cs="仿宋"/>
        <w:sz w:val="21"/>
        <w:szCs w:val="21"/>
      </w:rPr>
    </w:pPr>
    <w:r>
      <w:rPr>
        <w:sz w:val="21"/>
      </w:rPr>
      <mc:AlternateContent>
        <mc:Choice Requires="wps">
          <w:drawing>
            <wp:anchor distT="0" distB="0" distL="114300" distR="114300" simplePos="0" relativeHeight="2517227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334" name="文本框 133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D317ECF">
                          <w:pPr>
                            <w:pStyle w:val="4"/>
                          </w:pPr>
                          <w:r>
                            <w:fldChar w:fldCharType="begin"/>
                          </w:r>
                          <w:r>
                            <w:instrText xml:space="preserve"> PAGE  \* MERGEFORMAT </w:instrText>
                          </w:r>
                          <w:r>
                            <w:fldChar w:fldCharType="separate"/>
                          </w:r>
                          <w:r>
                            <w:t>76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227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aChAsDUCAABnBAAADgAAAAAAAAABACAAAAAfAQAAZHJzL2Uyb0RvYy54bWxQ&#10;SwUGAAAAAAYABgBZAQAAxgUAAAAA&#10;">
              <v:fill on="f" focussize="0,0"/>
              <v:stroke on="f" weight="0.5pt"/>
              <v:imagedata o:title=""/>
              <o:lock v:ext="edit" aspectratio="f"/>
              <v:textbox inset="0mm,0mm,0mm,0mm" style="mso-fit-shape-to-text:t;">
                <w:txbxContent>
                  <w:p w14:paraId="4D317ECF">
                    <w:pPr>
                      <w:pStyle w:val="4"/>
                    </w:pPr>
                    <w:r>
                      <w:fldChar w:fldCharType="begin"/>
                    </w:r>
                    <w:r>
                      <w:instrText xml:space="preserve"> PAGE  \* MERGEFORMAT </w:instrText>
                    </w:r>
                    <w:r>
                      <w:fldChar w:fldCharType="separate"/>
                    </w:r>
                    <w:r>
                      <w:t>76</w:t>
                    </w:r>
                    <w:r>
                      <w:fldChar w:fldCharType="end"/>
                    </w:r>
                  </w:p>
                </w:txbxContent>
              </v:textbox>
            </v:shape>
          </w:pict>
        </mc:Fallback>
      </mc:AlternateContent>
    </w: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A95685">
    <w:pPr>
      <w:spacing w:line="171" w:lineRule="auto"/>
      <w:ind w:left="4081"/>
      <w:rPr>
        <w:rFonts w:ascii="仿宋" w:hAnsi="仿宋" w:eastAsia="仿宋" w:cs="仿宋"/>
        <w:sz w:val="21"/>
        <w:szCs w:val="21"/>
      </w:rPr>
    </w:pPr>
    <w:r>
      <w:rPr>
        <w:sz w:val="21"/>
      </w:rPr>
      <mc:AlternateContent>
        <mc:Choice Requires="wps">
          <w:drawing>
            <wp:anchor distT="0" distB="0" distL="114300" distR="114300" simplePos="0" relativeHeight="251723776" behindDoc="0" locked="0" layoutInCell="1" allowOverlap="1">
              <wp:simplePos x="0" y="0"/>
              <wp:positionH relativeFrom="margin">
                <wp:align>center</wp:align>
              </wp:positionH>
              <wp:positionV relativeFrom="paragraph">
                <wp:posOffset>0</wp:posOffset>
              </wp:positionV>
              <wp:extent cx="1828800" cy="1828800"/>
              <wp:effectExtent l="0" t="0" r="0" b="0"/>
              <wp:wrapNone/>
              <wp:docPr id="1335" name="文本框 13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4F1EC0A">
                          <w:pPr>
                            <w:pStyle w:val="4"/>
                          </w:pPr>
                          <w:r>
                            <w:fldChar w:fldCharType="begin"/>
                          </w:r>
                          <w:r>
                            <w:instrText xml:space="preserve"> PAGE  \* MERGEFORMAT </w:instrText>
                          </w:r>
                          <w:r>
                            <w:fldChar w:fldCharType="separate"/>
                          </w:r>
                          <w:r>
                            <w:t>77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237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ewUfbjUCAABnBAAADgAAAAAAAAABACAAAAAfAQAAZHJzL2Uyb0RvYy54bWxQ&#10;SwUGAAAAAAYABgBZAQAAxgUAAAAA&#10;">
              <v:fill on="f" focussize="0,0"/>
              <v:stroke on="f" weight="0.5pt"/>
              <v:imagedata o:title=""/>
              <o:lock v:ext="edit" aspectratio="f"/>
              <v:textbox inset="0mm,0mm,0mm,0mm" style="mso-fit-shape-to-text:t;">
                <w:txbxContent>
                  <w:p w14:paraId="44F1EC0A">
                    <w:pPr>
                      <w:pStyle w:val="4"/>
                    </w:pPr>
                    <w:r>
                      <w:fldChar w:fldCharType="begin"/>
                    </w:r>
                    <w:r>
                      <w:instrText xml:space="preserve"> PAGE  \* MERGEFORMAT </w:instrText>
                    </w:r>
                    <w:r>
                      <w:fldChar w:fldCharType="separate"/>
                    </w:r>
                    <w:r>
                      <w:t>77</w:t>
                    </w:r>
                    <w:r>
                      <w:fldChar w:fldCharType="end"/>
                    </w:r>
                  </w:p>
                </w:txbxContent>
              </v:textbox>
            </v:shape>
          </w:pict>
        </mc:Fallback>
      </mc:AlternateContent>
    </w: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53ED52">
    <w:pPr>
      <w:spacing w:line="171" w:lineRule="auto"/>
      <w:ind w:left="4081"/>
      <w:rPr>
        <w:rFonts w:ascii="仿宋" w:hAnsi="仿宋" w:eastAsia="仿宋" w:cs="仿宋"/>
        <w:sz w:val="21"/>
        <w:szCs w:val="21"/>
      </w:rPr>
    </w:pPr>
    <w:r>
      <w:rPr>
        <w:sz w:val="21"/>
      </w:rPr>
      <mc:AlternateContent>
        <mc:Choice Requires="wps">
          <w:drawing>
            <wp:anchor distT="0" distB="0" distL="114300" distR="114300" simplePos="0" relativeHeight="251724800" behindDoc="0" locked="0" layoutInCell="1" allowOverlap="1">
              <wp:simplePos x="0" y="0"/>
              <wp:positionH relativeFrom="margin">
                <wp:align>center</wp:align>
              </wp:positionH>
              <wp:positionV relativeFrom="paragraph">
                <wp:posOffset>0</wp:posOffset>
              </wp:positionV>
              <wp:extent cx="1828800" cy="1828800"/>
              <wp:effectExtent l="0" t="0" r="0" b="0"/>
              <wp:wrapNone/>
              <wp:docPr id="1336" name="文本框 133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11316D3">
                          <w:pPr>
                            <w:pStyle w:val="4"/>
                          </w:pPr>
                          <w:r>
                            <w:fldChar w:fldCharType="begin"/>
                          </w:r>
                          <w:r>
                            <w:instrText xml:space="preserve"> PAGE  \* MERGEFORMAT </w:instrText>
                          </w:r>
                          <w:r>
                            <w:fldChar w:fldCharType="separate"/>
                          </w:r>
                          <w:r>
                            <w:t>78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248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PdI/XNAIAAGcEAAAOAAAAAAAAAAEAIAAAAB8BAABkcnMvZTJvRG9jLnhtbFBL&#10;BQYAAAAABgAGAFkBAADFBQAAAAA=&#10;">
              <v:fill on="f" focussize="0,0"/>
              <v:stroke on="f" weight="0.5pt"/>
              <v:imagedata o:title=""/>
              <o:lock v:ext="edit" aspectratio="f"/>
              <v:textbox inset="0mm,0mm,0mm,0mm" style="mso-fit-shape-to-text:t;">
                <w:txbxContent>
                  <w:p w14:paraId="411316D3">
                    <w:pPr>
                      <w:pStyle w:val="4"/>
                    </w:pPr>
                    <w:r>
                      <w:fldChar w:fldCharType="begin"/>
                    </w:r>
                    <w:r>
                      <w:instrText xml:space="preserve"> PAGE  \* MERGEFORMAT </w:instrText>
                    </w:r>
                    <w:r>
                      <w:fldChar w:fldCharType="separate"/>
                    </w:r>
                    <w:r>
                      <w:t>78</w:t>
                    </w:r>
                    <w:r>
                      <w:fldChar w:fldCharType="end"/>
                    </w:r>
                  </w:p>
                </w:txbxContent>
              </v:textbox>
            </v:shape>
          </w:pict>
        </mc:Fallback>
      </mc:AlternateContent>
    </w: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946BF4">
    <w:pPr>
      <w:spacing w:line="171" w:lineRule="auto"/>
      <w:ind w:left="4081"/>
      <w:rPr>
        <w:rFonts w:ascii="仿宋" w:hAnsi="仿宋" w:eastAsia="仿宋" w:cs="仿宋"/>
        <w:sz w:val="21"/>
        <w:szCs w:val="21"/>
      </w:rPr>
    </w:pPr>
    <w:r>
      <w:rPr>
        <w:sz w:val="21"/>
      </w:rPr>
      <mc:AlternateContent>
        <mc:Choice Requires="wps">
          <w:drawing>
            <wp:anchor distT="0" distB="0" distL="114300" distR="114300" simplePos="0" relativeHeight="251725824" behindDoc="0" locked="0" layoutInCell="1" allowOverlap="1">
              <wp:simplePos x="0" y="0"/>
              <wp:positionH relativeFrom="margin">
                <wp:align>center</wp:align>
              </wp:positionH>
              <wp:positionV relativeFrom="paragraph">
                <wp:posOffset>0</wp:posOffset>
              </wp:positionV>
              <wp:extent cx="1828800" cy="1828800"/>
              <wp:effectExtent l="0" t="0" r="0" b="0"/>
              <wp:wrapNone/>
              <wp:docPr id="1337" name="文本框 133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7118AC9">
                          <w:pPr>
                            <w:pStyle w:val="4"/>
                          </w:pPr>
                          <w:r>
                            <w:fldChar w:fldCharType="begin"/>
                          </w:r>
                          <w:r>
                            <w:instrText xml:space="preserve"> PAGE  \* MERGEFORMAT </w:instrText>
                          </w:r>
                          <w:r>
                            <w:fldChar w:fldCharType="separate"/>
                          </w:r>
                          <w:r>
                            <w:t>79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258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HFnQCTUCAABnBAAADgAAAAAAAAABACAAAAAfAQAAZHJzL2Uyb0RvYy54bWxQ&#10;SwUGAAAAAAYABgBZAQAAxgUAAAAA&#10;">
              <v:fill on="f" focussize="0,0"/>
              <v:stroke on="f" weight="0.5pt"/>
              <v:imagedata o:title=""/>
              <o:lock v:ext="edit" aspectratio="f"/>
              <v:textbox inset="0mm,0mm,0mm,0mm" style="mso-fit-shape-to-text:t;">
                <w:txbxContent>
                  <w:p w14:paraId="67118AC9">
                    <w:pPr>
                      <w:pStyle w:val="4"/>
                    </w:pPr>
                    <w:r>
                      <w:fldChar w:fldCharType="begin"/>
                    </w:r>
                    <w:r>
                      <w:instrText xml:space="preserve"> PAGE  \* MERGEFORMAT </w:instrText>
                    </w:r>
                    <w:r>
                      <w:fldChar w:fldCharType="separate"/>
                    </w:r>
                    <w:r>
                      <w:t>79</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7EE627">
    <w:pPr>
      <w:spacing w:line="173" w:lineRule="auto"/>
      <w:ind w:left="4060"/>
      <w:rPr>
        <w:rFonts w:ascii="Times New Roman" w:hAnsi="Times New Roman" w:eastAsia="Times New Roman" w:cs="Times New Roman"/>
        <w:sz w:val="21"/>
        <w:szCs w:val="21"/>
      </w:rPr>
    </w:pPr>
    <w:r>
      <w:rPr>
        <w:rFonts w:ascii="Times New Roman" w:hAnsi="Times New Roman" w:eastAsia="Times New Roman" w:cs="Times New Roman"/>
        <w:sz w:val="21"/>
        <w:szCs w:val="21"/>
      </w:rPr>
      <w:t>VI</w:t>
    </w: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AD7761">
    <w:pPr>
      <w:spacing w:line="171" w:lineRule="auto"/>
      <w:ind w:left="4186"/>
      <w:rPr>
        <w:rFonts w:ascii="仿宋" w:hAnsi="仿宋" w:eastAsia="仿宋" w:cs="仿宋"/>
        <w:sz w:val="21"/>
        <w:szCs w:val="21"/>
      </w:rPr>
    </w:pPr>
    <w:r>
      <w:rPr>
        <w:sz w:val="21"/>
      </w:rPr>
      <mc:AlternateContent>
        <mc:Choice Requires="wps">
          <w:drawing>
            <wp:anchor distT="0" distB="0" distL="114300" distR="114300" simplePos="0" relativeHeight="25172684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38" name="文本框 13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B19774B">
                          <w:pPr>
                            <w:pStyle w:val="4"/>
                          </w:pPr>
                          <w:r>
                            <w:fldChar w:fldCharType="begin"/>
                          </w:r>
                          <w:r>
                            <w:instrText xml:space="preserve"> PAGE  \* MERGEFORMAT </w:instrText>
                          </w:r>
                          <w:r>
                            <w:fldChar w:fldCharType="separate"/>
                          </w:r>
                          <w:r>
                            <w:t>80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268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755I7NAIAAGcEAAAOAAAAAAAAAAEAIAAAAB8BAABkcnMvZTJvRG9jLnhtbFBL&#10;BQYAAAAABgAGAFkBAADFBQAAAAA=&#10;">
              <v:fill on="f" focussize="0,0"/>
              <v:stroke on="f" weight="0.5pt"/>
              <v:imagedata o:title=""/>
              <o:lock v:ext="edit" aspectratio="f"/>
              <v:textbox inset="0mm,0mm,0mm,0mm" style="mso-fit-shape-to-text:t;">
                <w:txbxContent>
                  <w:p w14:paraId="3B19774B">
                    <w:pPr>
                      <w:pStyle w:val="4"/>
                    </w:pPr>
                    <w:r>
                      <w:fldChar w:fldCharType="begin"/>
                    </w:r>
                    <w:r>
                      <w:instrText xml:space="preserve"> PAGE  \* MERGEFORMAT </w:instrText>
                    </w:r>
                    <w:r>
                      <w:fldChar w:fldCharType="separate"/>
                    </w:r>
                    <w:r>
                      <w:t>80</w:t>
                    </w:r>
                    <w:r>
                      <w:fldChar w:fldCharType="end"/>
                    </w:r>
                  </w:p>
                </w:txbxContent>
              </v:textbox>
            </v:shape>
          </w:pict>
        </mc:Fallback>
      </mc:AlternateContent>
    </w: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7792AC">
    <w:pPr>
      <w:spacing w:line="171" w:lineRule="auto"/>
      <w:ind w:left="4287"/>
      <w:rPr>
        <w:rFonts w:ascii="仿宋" w:hAnsi="仿宋" w:eastAsia="仿宋" w:cs="仿宋"/>
        <w:sz w:val="21"/>
        <w:szCs w:val="21"/>
      </w:rPr>
    </w:pPr>
    <w:r>
      <w:rPr>
        <w:sz w:val="21"/>
      </w:rPr>
      <mc:AlternateContent>
        <mc:Choice Requires="wps">
          <w:drawing>
            <wp:anchor distT="0" distB="0" distL="114300" distR="114300" simplePos="0" relativeHeight="251727872" behindDoc="0" locked="0" layoutInCell="1" allowOverlap="1">
              <wp:simplePos x="0" y="0"/>
              <wp:positionH relativeFrom="margin">
                <wp:align>center</wp:align>
              </wp:positionH>
              <wp:positionV relativeFrom="paragraph">
                <wp:posOffset>0</wp:posOffset>
              </wp:positionV>
              <wp:extent cx="1828800" cy="1828800"/>
              <wp:effectExtent l="0" t="0" r="0" b="0"/>
              <wp:wrapNone/>
              <wp:docPr id="1339" name="文本框 133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F92B1E8">
                          <w:pPr>
                            <w:pStyle w:val="4"/>
                          </w:pPr>
                          <w:r>
                            <w:fldChar w:fldCharType="begin"/>
                          </w:r>
                          <w:r>
                            <w:instrText xml:space="preserve"> PAGE  \* MERGEFORMAT </w:instrText>
                          </w:r>
                          <w:r>
                            <w:fldChar w:fldCharType="separate"/>
                          </w:r>
                          <w:r>
                            <w:t>81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278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aMrN5TUCAABnBAAADgAAAAAAAAABACAAAAAfAQAAZHJzL2Uyb0RvYy54bWxQ&#10;SwUGAAAAAAYABgBZAQAAxgUAAAAA&#10;">
              <v:fill on="f" focussize="0,0"/>
              <v:stroke on="f" weight="0.5pt"/>
              <v:imagedata o:title=""/>
              <o:lock v:ext="edit" aspectratio="f"/>
              <v:textbox inset="0mm,0mm,0mm,0mm" style="mso-fit-shape-to-text:t;">
                <w:txbxContent>
                  <w:p w14:paraId="7F92B1E8">
                    <w:pPr>
                      <w:pStyle w:val="4"/>
                    </w:pPr>
                    <w:r>
                      <w:fldChar w:fldCharType="begin"/>
                    </w:r>
                    <w:r>
                      <w:instrText xml:space="preserve"> PAGE  \* MERGEFORMAT </w:instrText>
                    </w:r>
                    <w:r>
                      <w:fldChar w:fldCharType="separate"/>
                    </w:r>
                    <w:r>
                      <w:t>81</w:t>
                    </w:r>
                    <w:r>
                      <w:fldChar w:fldCharType="end"/>
                    </w:r>
                  </w:p>
                </w:txbxContent>
              </v:textbox>
            </v:shape>
          </w:pict>
        </mc:Fallback>
      </mc:AlternateContent>
    </w:r>
  </w:p>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990104">
    <w:pPr>
      <w:spacing w:line="171" w:lineRule="auto"/>
      <w:ind w:left="4167"/>
      <w:rPr>
        <w:rFonts w:ascii="仿宋" w:hAnsi="仿宋" w:eastAsia="仿宋" w:cs="仿宋"/>
        <w:sz w:val="21"/>
        <w:szCs w:val="21"/>
      </w:rPr>
    </w:pPr>
    <w:r>
      <w:rPr>
        <w:sz w:val="21"/>
      </w:rPr>
      <mc:AlternateContent>
        <mc:Choice Requires="wps">
          <w:drawing>
            <wp:anchor distT="0" distB="0" distL="114300" distR="114300" simplePos="0" relativeHeight="251728896" behindDoc="0" locked="0" layoutInCell="1" allowOverlap="1">
              <wp:simplePos x="0" y="0"/>
              <wp:positionH relativeFrom="margin">
                <wp:align>center</wp:align>
              </wp:positionH>
              <wp:positionV relativeFrom="paragraph">
                <wp:posOffset>0</wp:posOffset>
              </wp:positionV>
              <wp:extent cx="1828800" cy="1828800"/>
              <wp:effectExtent l="0" t="0" r="0" b="0"/>
              <wp:wrapNone/>
              <wp:docPr id="1340" name="文本框 134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2DDB71A">
                          <w:pPr>
                            <w:pStyle w:val="4"/>
                          </w:pPr>
                          <w:r>
                            <w:fldChar w:fldCharType="begin"/>
                          </w:r>
                          <w:r>
                            <w:instrText xml:space="preserve"> PAGE  \* MERGEFORMAT </w:instrText>
                          </w:r>
                          <w:r>
                            <w:fldChar w:fldCharType="separate"/>
                          </w:r>
                          <w:r>
                            <w:t>82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288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9xBxUNAIAAGcEAAAOAAAAAAAAAAEAIAAAAB8BAABkcnMvZTJvRG9jLnhtbFBL&#10;BQYAAAAABgAGAFkBAADFBQAAAAA=&#10;">
              <v:fill on="f" focussize="0,0"/>
              <v:stroke on="f" weight="0.5pt"/>
              <v:imagedata o:title=""/>
              <o:lock v:ext="edit" aspectratio="f"/>
              <v:textbox inset="0mm,0mm,0mm,0mm" style="mso-fit-shape-to-text:t;">
                <w:txbxContent>
                  <w:p w14:paraId="72DDB71A">
                    <w:pPr>
                      <w:pStyle w:val="4"/>
                    </w:pPr>
                    <w:r>
                      <w:fldChar w:fldCharType="begin"/>
                    </w:r>
                    <w:r>
                      <w:instrText xml:space="preserve"> PAGE  \* MERGEFORMAT </w:instrText>
                    </w:r>
                    <w:r>
                      <w:fldChar w:fldCharType="separate"/>
                    </w:r>
                    <w:r>
                      <w:t>82</w:t>
                    </w:r>
                    <w:r>
                      <w:fldChar w:fldCharType="end"/>
                    </w:r>
                  </w:p>
                </w:txbxContent>
              </v:textbox>
            </v:shape>
          </w:pict>
        </mc:Fallback>
      </mc:AlternateContent>
    </w:r>
  </w:p>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D607BD">
    <w:pPr>
      <w:spacing w:line="171" w:lineRule="auto"/>
      <w:ind w:left="6884"/>
      <w:rPr>
        <w:rFonts w:ascii="仿宋" w:hAnsi="仿宋" w:eastAsia="仿宋" w:cs="仿宋"/>
        <w:sz w:val="21"/>
        <w:szCs w:val="21"/>
      </w:rPr>
    </w:pPr>
    <w:r>
      <w:rPr>
        <w:sz w:val="21"/>
      </w:rPr>
      <mc:AlternateContent>
        <mc:Choice Requires="wps">
          <w:drawing>
            <wp:anchor distT="0" distB="0" distL="114300" distR="114300" simplePos="0" relativeHeight="251729920" behindDoc="0" locked="0" layoutInCell="1" allowOverlap="1">
              <wp:simplePos x="0" y="0"/>
              <wp:positionH relativeFrom="margin">
                <wp:align>center</wp:align>
              </wp:positionH>
              <wp:positionV relativeFrom="paragraph">
                <wp:posOffset>0</wp:posOffset>
              </wp:positionV>
              <wp:extent cx="1828800" cy="1828800"/>
              <wp:effectExtent l="0" t="0" r="0" b="0"/>
              <wp:wrapNone/>
              <wp:docPr id="1341" name="文本框 134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B54844E">
                          <w:pPr>
                            <w:pStyle w:val="4"/>
                          </w:pPr>
                          <w:r>
                            <w:fldChar w:fldCharType="begin"/>
                          </w:r>
                          <w:r>
                            <w:instrText xml:space="preserve"> PAGE  \* MERGEFORMAT </w:instrText>
                          </w:r>
                          <w:r>
                            <w:fldChar w:fldCharType="separate"/>
                          </w:r>
                          <w:r>
                            <w:t>83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299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u6UOKNAIAAGcEAAAOAAAAAAAAAAEAIAAAAB8BAABkcnMvZTJvRG9jLnhtbFBL&#10;BQYAAAAABgAGAFkBAADFBQAAAAA=&#10;">
              <v:fill on="f" focussize="0,0"/>
              <v:stroke on="f" weight="0.5pt"/>
              <v:imagedata o:title=""/>
              <o:lock v:ext="edit" aspectratio="f"/>
              <v:textbox inset="0mm,0mm,0mm,0mm" style="mso-fit-shape-to-text:t;">
                <w:txbxContent>
                  <w:p w14:paraId="0B54844E">
                    <w:pPr>
                      <w:pStyle w:val="4"/>
                    </w:pPr>
                    <w:r>
                      <w:fldChar w:fldCharType="begin"/>
                    </w:r>
                    <w:r>
                      <w:instrText xml:space="preserve"> PAGE  \* MERGEFORMAT </w:instrText>
                    </w:r>
                    <w:r>
                      <w:fldChar w:fldCharType="separate"/>
                    </w:r>
                    <w:r>
                      <w:t>83</w:t>
                    </w:r>
                    <w:r>
                      <w:fldChar w:fldCharType="end"/>
                    </w:r>
                  </w:p>
                </w:txbxContent>
              </v:textbox>
            </v:shape>
          </w:pict>
        </mc:Fallback>
      </mc:AlternateContent>
    </w:r>
  </w:p>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F7BE35">
    <w:pPr>
      <w:spacing w:line="171" w:lineRule="auto"/>
      <w:ind w:left="6898"/>
      <w:rPr>
        <w:rFonts w:ascii="仿宋" w:hAnsi="仿宋" w:eastAsia="仿宋" w:cs="仿宋"/>
        <w:sz w:val="21"/>
        <w:szCs w:val="21"/>
      </w:rPr>
    </w:pPr>
    <w:r>
      <w:rPr>
        <w:sz w:val="21"/>
      </w:rPr>
      <mc:AlternateContent>
        <mc:Choice Requires="wps">
          <w:drawing>
            <wp:anchor distT="0" distB="0" distL="114300" distR="114300" simplePos="0" relativeHeight="251730944" behindDoc="0" locked="0" layoutInCell="1" allowOverlap="1">
              <wp:simplePos x="0" y="0"/>
              <wp:positionH relativeFrom="margin">
                <wp:align>center</wp:align>
              </wp:positionH>
              <wp:positionV relativeFrom="paragraph">
                <wp:posOffset>0</wp:posOffset>
              </wp:positionV>
              <wp:extent cx="1828800" cy="1828800"/>
              <wp:effectExtent l="0" t="0" r="0" b="0"/>
              <wp:wrapNone/>
              <wp:docPr id="1342" name="文本框 134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8E7AE56">
                          <w:pPr>
                            <w:pStyle w:val="4"/>
                          </w:pPr>
                          <w:r>
                            <w:fldChar w:fldCharType="begin"/>
                          </w:r>
                          <w:r>
                            <w:instrText xml:space="preserve"> PAGE  \* MERGEFORMAT </w:instrText>
                          </w:r>
                          <w:r>
                            <w:fldChar w:fldCharType="separate"/>
                          </w:r>
                          <w:r>
                            <w:t>84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309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mpjTMzUCAABnBAAADgAAAAAAAAABACAAAAAfAQAAZHJzL2Uyb0RvYy54bWxQ&#10;SwUGAAAAAAYABgBZAQAAxgUAAAAA&#10;">
              <v:fill on="f" focussize="0,0"/>
              <v:stroke on="f" weight="0.5pt"/>
              <v:imagedata o:title=""/>
              <o:lock v:ext="edit" aspectratio="f"/>
              <v:textbox inset="0mm,0mm,0mm,0mm" style="mso-fit-shape-to-text:t;">
                <w:txbxContent>
                  <w:p w14:paraId="38E7AE56">
                    <w:pPr>
                      <w:pStyle w:val="4"/>
                    </w:pPr>
                    <w:r>
                      <w:fldChar w:fldCharType="begin"/>
                    </w:r>
                    <w:r>
                      <w:instrText xml:space="preserve"> PAGE  \* MERGEFORMAT </w:instrText>
                    </w:r>
                    <w:r>
                      <w:fldChar w:fldCharType="separate"/>
                    </w:r>
                    <w:r>
                      <w:t>84</w:t>
                    </w:r>
                    <w:r>
                      <w:fldChar w:fldCharType="end"/>
                    </w:r>
                  </w:p>
                </w:txbxContent>
              </v:textbox>
            </v:shape>
          </w:pict>
        </mc:Fallback>
      </mc:AlternateContent>
    </w:r>
  </w:p>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EB2F88">
    <w:pPr>
      <w:spacing w:line="171" w:lineRule="auto"/>
      <w:ind w:left="6884"/>
      <w:rPr>
        <w:rFonts w:ascii="仿宋" w:hAnsi="仿宋" w:eastAsia="仿宋" w:cs="仿宋"/>
        <w:sz w:val="21"/>
        <w:szCs w:val="21"/>
      </w:rPr>
    </w:pPr>
    <w:r>
      <w:rPr>
        <w:sz w:val="21"/>
      </w:rPr>
      <mc:AlternateContent>
        <mc:Choice Requires="wps">
          <w:drawing>
            <wp:anchor distT="0" distB="0" distL="114300" distR="114300" simplePos="0" relativeHeight="25173196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43" name="文本框 134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529D484">
                          <w:pPr>
                            <w:pStyle w:val="4"/>
                          </w:pPr>
                          <w:r>
                            <w:fldChar w:fldCharType="begin"/>
                          </w:r>
                          <w:r>
                            <w:instrText xml:space="preserve"> PAGE  \* MERGEFORMAT </w:instrText>
                          </w:r>
                          <w:r>
                            <w:fldChar w:fldCharType="separate"/>
                          </w:r>
                          <w:r>
                            <w:t>85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319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ibWM7TUCAABnBAAADgAAAAAAAAABACAAAAAfAQAAZHJzL2Uyb0RvYy54bWxQ&#10;SwUGAAAAAAYABgBZAQAAxgUAAAAA&#10;">
              <v:fill on="f" focussize="0,0"/>
              <v:stroke on="f" weight="0.5pt"/>
              <v:imagedata o:title=""/>
              <o:lock v:ext="edit" aspectratio="f"/>
              <v:textbox inset="0mm,0mm,0mm,0mm" style="mso-fit-shape-to-text:t;">
                <w:txbxContent>
                  <w:p w14:paraId="1529D484">
                    <w:pPr>
                      <w:pStyle w:val="4"/>
                    </w:pPr>
                    <w:r>
                      <w:fldChar w:fldCharType="begin"/>
                    </w:r>
                    <w:r>
                      <w:instrText xml:space="preserve"> PAGE  \* MERGEFORMAT </w:instrText>
                    </w:r>
                    <w:r>
                      <w:fldChar w:fldCharType="separate"/>
                    </w:r>
                    <w:r>
                      <w:t>85</w:t>
                    </w:r>
                    <w:r>
                      <w:fldChar w:fldCharType="end"/>
                    </w:r>
                  </w:p>
                </w:txbxContent>
              </v:textbox>
            </v:shape>
          </w:pict>
        </mc:Fallback>
      </mc:AlternateContent>
    </w:r>
  </w:p>
</w:ftr>
</file>

<file path=word/footer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7469E9">
    <w:pPr>
      <w:spacing w:line="171" w:lineRule="auto"/>
      <w:ind w:left="6871"/>
      <w:rPr>
        <w:rFonts w:ascii="仿宋" w:hAnsi="仿宋" w:eastAsia="仿宋" w:cs="仿宋"/>
        <w:sz w:val="21"/>
        <w:szCs w:val="21"/>
      </w:rPr>
    </w:pPr>
    <w:r>
      <w:rPr>
        <w:sz w:val="21"/>
      </w:rPr>
      <mc:AlternateContent>
        <mc:Choice Requires="wps">
          <w:drawing>
            <wp:anchor distT="0" distB="0" distL="114300" distR="114300" simplePos="0" relativeHeight="251732992" behindDoc="0" locked="0" layoutInCell="1" allowOverlap="1">
              <wp:simplePos x="0" y="0"/>
              <wp:positionH relativeFrom="margin">
                <wp:align>center</wp:align>
              </wp:positionH>
              <wp:positionV relativeFrom="paragraph">
                <wp:posOffset>0</wp:posOffset>
              </wp:positionV>
              <wp:extent cx="1828800" cy="1828800"/>
              <wp:effectExtent l="0" t="0" r="0" b="0"/>
              <wp:wrapNone/>
              <wp:docPr id="1344" name="文本框 134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07ED1D8">
                          <w:pPr>
                            <w:pStyle w:val="4"/>
                          </w:pPr>
                          <w:r>
                            <w:fldChar w:fldCharType="begin"/>
                          </w:r>
                          <w:r>
                            <w:instrText xml:space="preserve"> PAGE  \* MERGEFORMAT </w:instrText>
                          </w:r>
                          <w:r>
                            <w:fldChar w:fldCharType="separate"/>
                          </w:r>
                          <w:r>
                            <w:t>86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329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s0lY7tAAAAAFAQAADwAAAAAAAAABACAAAAAiAAAAZHJzL2Rvd25yZXYueG1sUEsB&#10;AhQAFAAAAAgAh07iQDN8gps2AgAAZwQAAA4AAAAAAAAAAQAgAAAAHwEAAGRycy9lMm9Eb2MueG1s&#10;UEsFBgAAAAAGAAYAWQEAAMcFAAAAAA==&#10;">
              <v:fill on="f" focussize="0,0"/>
              <v:stroke on="f" weight="0.5pt"/>
              <v:imagedata o:title=""/>
              <o:lock v:ext="edit" aspectratio="f"/>
              <v:textbox inset="0mm,0mm,0mm,0mm" style="mso-fit-shape-to-text:t;">
                <w:txbxContent>
                  <w:p w14:paraId="107ED1D8">
                    <w:pPr>
                      <w:pStyle w:val="4"/>
                    </w:pPr>
                    <w:r>
                      <w:fldChar w:fldCharType="begin"/>
                    </w:r>
                    <w:r>
                      <w:instrText xml:space="preserve"> PAGE  \* MERGEFORMAT </w:instrText>
                    </w:r>
                    <w:r>
                      <w:fldChar w:fldCharType="separate"/>
                    </w:r>
                    <w:r>
                      <w:t>86</w:t>
                    </w:r>
                    <w:r>
                      <w:fldChar w:fldCharType="end"/>
                    </w:r>
                  </w:p>
                </w:txbxContent>
              </v:textbox>
            </v:shape>
          </w:pict>
        </mc:Fallback>
      </mc:AlternateContent>
    </w:r>
  </w:p>
</w:ftr>
</file>

<file path=word/footer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7BB423">
    <w:pPr>
      <w:spacing w:line="171" w:lineRule="auto"/>
      <w:ind w:left="6946"/>
      <w:rPr>
        <w:rFonts w:ascii="仿宋" w:hAnsi="仿宋" w:eastAsia="仿宋" w:cs="仿宋"/>
        <w:sz w:val="21"/>
        <w:szCs w:val="21"/>
      </w:rPr>
    </w:pPr>
    <w:r>
      <w:rPr>
        <w:sz w:val="21"/>
      </w:rPr>
      <mc:AlternateContent>
        <mc:Choice Requires="wps">
          <w:drawing>
            <wp:anchor distT="0" distB="0" distL="114300" distR="114300" simplePos="0" relativeHeight="251734016" behindDoc="0" locked="0" layoutInCell="1" allowOverlap="1">
              <wp:simplePos x="0" y="0"/>
              <wp:positionH relativeFrom="margin">
                <wp:align>center</wp:align>
              </wp:positionH>
              <wp:positionV relativeFrom="paragraph">
                <wp:posOffset>0</wp:posOffset>
              </wp:positionV>
              <wp:extent cx="1828800" cy="1828800"/>
              <wp:effectExtent l="0" t="0" r="0" b="0"/>
              <wp:wrapNone/>
              <wp:docPr id="1345" name="文本框 134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B249A8A">
                          <w:pPr>
                            <w:pStyle w:val="4"/>
                          </w:pPr>
                          <w:r>
                            <w:fldChar w:fldCharType="begin"/>
                          </w:r>
                          <w:r>
                            <w:instrText xml:space="preserve"> PAGE  \* MERGEFORMAT </w:instrText>
                          </w:r>
                          <w:r>
                            <w:fldChar w:fldCharType="separate"/>
                          </w:r>
                          <w:r>
                            <w:t>87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340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s0lY7tAAAAAFAQAADwAAAAAAAAABACAAAAAiAAAAZHJzL2Rvd25yZXYueG1sUEsB&#10;AhQAFAAAAAgAh07iQCBR3UU2AgAAZwQAAA4AAAAAAAAAAQAgAAAAHwEAAGRycy9lMm9Eb2MueG1s&#10;UEsFBgAAAAAGAAYAWQEAAMcFAAAAAA==&#10;">
              <v:fill on="f" focussize="0,0"/>
              <v:stroke on="f" weight="0.5pt"/>
              <v:imagedata o:title=""/>
              <o:lock v:ext="edit" aspectratio="f"/>
              <v:textbox inset="0mm,0mm,0mm,0mm" style="mso-fit-shape-to-text:t;">
                <w:txbxContent>
                  <w:p w14:paraId="3B249A8A">
                    <w:pPr>
                      <w:pStyle w:val="4"/>
                    </w:pPr>
                    <w:r>
                      <w:fldChar w:fldCharType="begin"/>
                    </w:r>
                    <w:r>
                      <w:instrText xml:space="preserve"> PAGE  \* MERGEFORMAT </w:instrText>
                    </w:r>
                    <w:r>
                      <w:fldChar w:fldCharType="separate"/>
                    </w:r>
                    <w:r>
                      <w:t>87</w:t>
                    </w:r>
                    <w:r>
                      <w:fldChar w:fldCharType="end"/>
                    </w:r>
                  </w:p>
                </w:txbxContent>
              </v:textbox>
            </v:shape>
          </w:pict>
        </mc:Fallback>
      </mc:AlternateContent>
    </w:r>
  </w:p>
</w:ftr>
</file>

<file path=word/footer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334FC2">
    <w:pPr>
      <w:spacing w:line="171" w:lineRule="auto"/>
      <w:ind w:left="4450"/>
      <w:rPr>
        <w:rFonts w:ascii="仿宋" w:hAnsi="仿宋" w:eastAsia="仿宋" w:cs="仿宋"/>
        <w:sz w:val="21"/>
        <w:szCs w:val="21"/>
      </w:rPr>
    </w:pPr>
    <w:r>
      <w:rPr>
        <w:sz w:val="21"/>
      </w:rPr>
      <mc:AlternateContent>
        <mc:Choice Requires="wps">
          <w:drawing>
            <wp:anchor distT="0" distB="0" distL="114300" distR="114300" simplePos="0" relativeHeight="2517350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346" name="文本框 134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9F17598">
                          <w:pPr>
                            <w:pStyle w:val="4"/>
                          </w:pPr>
                          <w:r>
                            <w:fldChar w:fldCharType="begin"/>
                          </w:r>
                          <w:r>
                            <w:instrText xml:space="preserve"> PAGE  \* MERGEFORMAT </w:instrText>
                          </w:r>
                          <w:r>
                            <w:fldChar w:fldCharType="separate"/>
                          </w:r>
                          <w:r>
                            <w:t>88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350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VCBN/DUCAABnBAAADgAAAAAAAAABACAAAAAfAQAAZHJzL2Uyb0RvYy54bWxQ&#10;SwUGAAAAAAYABgBZAQAAxgUAAAAA&#10;">
              <v:fill on="f" focussize="0,0"/>
              <v:stroke on="f" weight="0.5pt"/>
              <v:imagedata o:title=""/>
              <o:lock v:ext="edit" aspectratio="f"/>
              <v:textbox inset="0mm,0mm,0mm,0mm" style="mso-fit-shape-to-text:t;">
                <w:txbxContent>
                  <w:p w14:paraId="29F17598">
                    <w:pPr>
                      <w:pStyle w:val="4"/>
                    </w:pPr>
                    <w:r>
                      <w:fldChar w:fldCharType="begin"/>
                    </w:r>
                    <w:r>
                      <w:instrText xml:space="preserve"> PAGE  \* MERGEFORMAT </w:instrText>
                    </w:r>
                    <w:r>
                      <w:fldChar w:fldCharType="separate"/>
                    </w:r>
                    <w:r>
                      <w:t>88</w:t>
                    </w:r>
                    <w:r>
                      <w:fldChar w:fldCharType="end"/>
                    </w:r>
                  </w:p>
                </w:txbxContent>
              </v:textbox>
            </v:shape>
          </w:pict>
        </mc:Fallback>
      </mc:AlternateContent>
    </w:r>
  </w:p>
</w:ftr>
</file>

<file path=word/footer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27BF04">
    <w:pPr>
      <w:spacing w:line="171" w:lineRule="auto"/>
      <w:ind w:left="4081"/>
      <w:rPr>
        <w:rFonts w:ascii="仿宋" w:hAnsi="仿宋" w:eastAsia="仿宋" w:cs="仿宋"/>
        <w:sz w:val="21"/>
        <w:szCs w:val="21"/>
      </w:rPr>
    </w:pPr>
    <w:r>
      <w:rPr>
        <w:sz w:val="21"/>
      </w:rPr>
      <mc:AlternateContent>
        <mc:Choice Requires="wps">
          <w:drawing>
            <wp:anchor distT="0" distB="0" distL="114300" distR="114300" simplePos="0" relativeHeight="2517360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347" name="文本框 134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5731070">
                          <w:pPr>
                            <w:pStyle w:val="4"/>
                          </w:pPr>
                          <w:r>
                            <w:fldChar w:fldCharType="begin"/>
                          </w:r>
                          <w:r>
                            <w:instrText xml:space="preserve"> PAGE  \* MERGEFORMAT </w:instrText>
                          </w:r>
                          <w:r>
                            <w:fldChar w:fldCharType="separate"/>
                          </w:r>
                          <w:r>
                            <w:t>89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360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s0lY7tAAAAAFAQAADwAAAAAAAAABACAAAAAiAAAAZHJzL2Rvd25yZXYueG1sUEsB&#10;AhQAFAAAAAgAh07iQEcNEiI2AgAAZwQAAA4AAAAAAAAAAQAgAAAAHwEAAGRycy9lMm9Eb2MueG1s&#10;UEsFBgAAAAAGAAYAWQEAAMcFAAAAAA==&#10;">
              <v:fill on="f" focussize="0,0"/>
              <v:stroke on="f" weight="0.5pt"/>
              <v:imagedata o:title=""/>
              <o:lock v:ext="edit" aspectratio="f"/>
              <v:textbox inset="0mm,0mm,0mm,0mm" style="mso-fit-shape-to-text:t;">
                <w:txbxContent>
                  <w:p w14:paraId="15731070">
                    <w:pPr>
                      <w:pStyle w:val="4"/>
                    </w:pPr>
                    <w:r>
                      <w:fldChar w:fldCharType="begin"/>
                    </w:r>
                    <w:r>
                      <w:instrText xml:space="preserve"> PAGE  \* MERGEFORMAT </w:instrText>
                    </w:r>
                    <w:r>
                      <w:fldChar w:fldCharType="separate"/>
                    </w:r>
                    <w:r>
                      <w:t>89</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56FD82">
    <w:pPr>
      <w:spacing w:line="173" w:lineRule="auto"/>
      <w:ind w:left="4021"/>
      <w:rPr>
        <w:rFonts w:ascii="Times New Roman" w:hAnsi="Times New Roman" w:eastAsia="Times New Roman" w:cs="Times New Roman"/>
        <w:sz w:val="21"/>
        <w:szCs w:val="21"/>
      </w:rPr>
    </w:pPr>
    <w:r>
      <w:rPr>
        <w:rFonts w:ascii="Times New Roman" w:hAnsi="Times New Roman" w:eastAsia="Times New Roman" w:cs="Times New Roman"/>
        <w:sz w:val="21"/>
        <w:szCs w:val="21"/>
      </w:rPr>
      <w:t>VII</w:t>
    </w:r>
  </w:p>
</w:ftr>
</file>

<file path=word/footer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F4C122">
    <w:pPr>
      <w:spacing w:line="170" w:lineRule="auto"/>
      <w:ind w:left="4093"/>
      <w:rPr>
        <w:rFonts w:ascii="仿宋" w:hAnsi="仿宋" w:eastAsia="仿宋" w:cs="仿宋"/>
        <w:sz w:val="18"/>
        <w:szCs w:val="18"/>
      </w:rPr>
    </w:pPr>
    <w:r>
      <w:rPr>
        <w:sz w:val="18"/>
      </w:rPr>
      <mc:AlternateContent>
        <mc:Choice Requires="wps">
          <w:drawing>
            <wp:anchor distT="0" distB="0" distL="114300" distR="114300" simplePos="0" relativeHeight="2517370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48" name="文本框 134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EB4531D">
                          <w:pPr>
                            <w:pStyle w:val="4"/>
                          </w:pPr>
                          <w:r>
                            <w:fldChar w:fldCharType="begin"/>
                          </w:r>
                          <w:r>
                            <w:instrText xml:space="preserve"> PAGE  \* MERGEFORMAT </w:instrText>
                          </w:r>
                          <w:r>
                            <w:fldChar w:fldCharType="separate"/>
                          </w:r>
                          <w:r>
                            <w:t>90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370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gs1AQNAIAAGcEAAAOAAAAAAAAAAEAIAAAAB8BAABkcnMvZTJvRG9jLnhtbFBL&#10;BQYAAAAABgAGAFkBAADFBQAAAAA=&#10;">
              <v:fill on="f" focussize="0,0"/>
              <v:stroke on="f" weight="0.5pt"/>
              <v:imagedata o:title=""/>
              <o:lock v:ext="edit" aspectratio="f"/>
              <v:textbox inset="0mm,0mm,0mm,0mm" style="mso-fit-shape-to-text:t;">
                <w:txbxContent>
                  <w:p w14:paraId="4EB4531D">
                    <w:pPr>
                      <w:pStyle w:val="4"/>
                    </w:pPr>
                    <w:r>
                      <w:fldChar w:fldCharType="begin"/>
                    </w:r>
                    <w:r>
                      <w:instrText xml:space="preserve"> PAGE  \* MERGEFORMAT </w:instrText>
                    </w:r>
                    <w:r>
                      <w:fldChar w:fldCharType="separate"/>
                    </w:r>
                    <w:r>
                      <w:t>90</w:t>
                    </w:r>
                    <w:r>
                      <w:fldChar w:fldCharType="end"/>
                    </w:r>
                  </w:p>
                </w:txbxContent>
              </v:textbox>
            </v:shape>
          </w:pict>
        </mc:Fallback>
      </mc:AlternateContent>
    </w:r>
  </w:p>
</w:ftr>
</file>

<file path=word/footer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B7DDE3">
    <w:pPr>
      <w:spacing w:line="170" w:lineRule="auto"/>
      <w:ind w:left="4053"/>
      <w:rPr>
        <w:rFonts w:ascii="仿宋" w:hAnsi="仿宋" w:eastAsia="仿宋" w:cs="仿宋"/>
        <w:sz w:val="18"/>
        <w:szCs w:val="18"/>
      </w:rPr>
    </w:pPr>
    <w:r>
      <w:rPr>
        <w:sz w:val="18"/>
      </w:rPr>
      <mc:AlternateContent>
        <mc:Choice Requires="wps">
          <w:drawing>
            <wp:anchor distT="0" distB="0" distL="114300" distR="114300" simplePos="0" relativeHeight="2517381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349" name="文本框 134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704B93E">
                          <w:pPr>
                            <w:pStyle w:val="4"/>
                          </w:pPr>
                          <w:r>
                            <w:fldChar w:fldCharType="begin"/>
                          </w:r>
                          <w:r>
                            <w:instrText xml:space="preserve"> PAGE  \* MERGEFORMAT </w:instrText>
                          </w:r>
                          <w:r>
                            <w:fldChar w:fldCharType="separate"/>
                          </w:r>
                          <w:r>
                            <w:t>91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381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s0lY7tAAAAAFAQAADwAAAAAAAAABACAAAAAiAAAAZHJzL2Rvd25yZXYueG1sUEsB&#10;AhQAFAAAAAgAh07iQDOeD842AgAAZwQAAA4AAAAAAAAAAQAgAAAAHwEAAGRycy9lMm9Eb2MueG1s&#10;UEsFBgAAAAAGAAYAWQEAAMcFAAAAAA==&#10;">
              <v:fill on="f" focussize="0,0"/>
              <v:stroke on="f" weight="0.5pt"/>
              <v:imagedata o:title=""/>
              <o:lock v:ext="edit" aspectratio="f"/>
              <v:textbox inset="0mm,0mm,0mm,0mm" style="mso-fit-shape-to-text:t;">
                <w:txbxContent>
                  <w:p w14:paraId="7704B93E">
                    <w:pPr>
                      <w:pStyle w:val="4"/>
                    </w:pPr>
                    <w:r>
                      <w:fldChar w:fldCharType="begin"/>
                    </w:r>
                    <w:r>
                      <w:instrText xml:space="preserve"> PAGE  \* MERGEFORMAT </w:instrText>
                    </w:r>
                    <w:r>
                      <w:fldChar w:fldCharType="separate"/>
                    </w:r>
                    <w:r>
                      <w:t>91</w:t>
                    </w:r>
                    <w:r>
                      <w:fldChar w:fldCharType="end"/>
                    </w:r>
                  </w:p>
                </w:txbxContent>
              </v:textbox>
            </v:shape>
          </w:pict>
        </mc:Fallback>
      </mc:AlternateContent>
    </w:r>
  </w:p>
</w:ftr>
</file>

<file path=word/footer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982CD7">
    <w:pPr>
      <w:spacing w:line="170" w:lineRule="auto"/>
      <w:ind w:left="4053"/>
      <w:rPr>
        <w:rFonts w:ascii="仿宋" w:hAnsi="仿宋" w:eastAsia="仿宋" w:cs="仿宋"/>
        <w:sz w:val="18"/>
        <w:szCs w:val="18"/>
      </w:rPr>
    </w:pPr>
    <w:r>
      <w:rPr>
        <w:sz w:val="18"/>
      </w:rPr>
      <mc:AlternateContent>
        <mc:Choice Requires="wps">
          <w:drawing>
            <wp:anchor distT="0" distB="0" distL="114300" distR="114300" simplePos="0" relativeHeight="2517391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350" name="文本框 135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2C0277E">
                          <w:pPr>
                            <w:pStyle w:val="4"/>
                          </w:pPr>
                          <w:r>
                            <w:fldChar w:fldCharType="begin"/>
                          </w:r>
                          <w:r>
                            <w:instrText xml:space="preserve"> PAGE  \* MERGEFORMAT </w:instrText>
                          </w:r>
                          <w:r>
                            <w:fldChar w:fldCharType="separate"/>
                          </w:r>
                          <w:r>
                            <w:t>92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391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Dtp80DICAABnBAAADgAAAAAAAAABACAAAAAfAQAAZHJzL2Uyb0RvYy54bWxQSwUG&#10;AAAAAAYABgBZAQAAwwUAAAAA&#10;">
              <v:fill on="f" focussize="0,0"/>
              <v:stroke on="f" weight="0.5pt"/>
              <v:imagedata o:title=""/>
              <o:lock v:ext="edit" aspectratio="f"/>
              <v:textbox inset="0mm,0mm,0mm,0mm" style="mso-fit-shape-to-text:t;">
                <w:txbxContent>
                  <w:p w14:paraId="02C0277E">
                    <w:pPr>
                      <w:pStyle w:val="4"/>
                    </w:pPr>
                    <w:r>
                      <w:fldChar w:fldCharType="begin"/>
                    </w:r>
                    <w:r>
                      <w:instrText xml:space="preserve"> PAGE  \* MERGEFORMAT </w:instrText>
                    </w:r>
                    <w:r>
                      <w:fldChar w:fldCharType="separate"/>
                    </w:r>
                    <w:r>
                      <w:t>92</w:t>
                    </w:r>
                    <w:r>
                      <w:fldChar w:fldCharType="end"/>
                    </w:r>
                  </w:p>
                </w:txbxContent>
              </v:textbox>
            </v:shape>
          </w:pict>
        </mc:Fallback>
      </mc:AlternateContent>
    </w:r>
  </w:p>
</w:ftr>
</file>

<file path=word/footer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9BF44E">
    <w:pPr>
      <w:spacing w:line="170" w:lineRule="auto"/>
      <w:ind w:left="4053"/>
      <w:rPr>
        <w:rFonts w:ascii="仿宋" w:hAnsi="仿宋" w:eastAsia="仿宋" w:cs="仿宋"/>
        <w:sz w:val="18"/>
        <w:szCs w:val="18"/>
      </w:rPr>
    </w:pPr>
    <w:r>
      <w:rPr>
        <w:sz w:val="18"/>
      </w:rPr>
      <mc:AlternateContent>
        <mc:Choice Requires="wps">
          <w:drawing>
            <wp:anchor distT="0" distB="0" distL="114300" distR="114300" simplePos="0" relativeHeight="2517401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351" name="文本框 135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036F971">
                          <w:pPr>
                            <w:pStyle w:val="4"/>
                          </w:pPr>
                          <w:r>
                            <w:fldChar w:fldCharType="begin"/>
                          </w:r>
                          <w:r>
                            <w:instrText xml:space="preserve"> PAGE  \* MERGEFORMAT </w:instrText>
                          </w:r>
                          <w:r>
                            <w:fldChar w:fldCharType="separate"/>
                          </w:r>
                          <w:r>
                            <w:t>93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401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d9yMONAIAAGcEAAAOAAAAAAAAAAEAIAAAAB8BAABkcnMvZTJvRG9jLnhtbFBL&#10;BQYAAAAABgAGAFkBAADFBQAAAAA=&#10;">
              <v:fill on="f" focussize="0,0"/>
              <v:stroke on="f" weight="0.5pt"/>
              <v:imagedata o:title=""/>
              <o:lock v:ext="edit" aspectratio="f"/>
              <v:textbox inset="0mm,0mm,0mm,0mm" style="mso-fit-shape-to-text:t;">
                <w:txbxContent>
                  <w:p w14:paraId="4036F971">
                    <w:pPr>
                      <w:pStyle w:val="4"/>
                    </w:pPr>
                    <w:r>
                      <w:fldChar w:fldCharType="begin"/>
                    </w:r>
                    <w:r>
                      <w:instrText xml:space="preserve"> PAGE  \* MERGEFORMAT </w:instrText>
                    </w:r>
                    <w:r>
                      <w:fldChar w:fldCharType="separate"/>
                    </w:r>
                    <w:r>
                      <w:t>93</w:t>
                    </w:r>
                    <w:r>
                      <w:fldChar w:fldCharType="end"/>
                    </w:r>
                  </w:p>
                </w:txbxContent>
              </v:textbox>
            </v:shape>
          </w:pict>
        </mc:Fallback>
      </mc:AlternateContent>
    </w:r>
  </w:p>
</w:ftr>
</file>

<file path=word/footer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BE92CF">
    <w:pPr>
      <w:spacing w:line="170" w:lineRule="auto"/>
      <w:ind w:left="4053"/>
      <w:rPr>
        <w:rFonts w:ascii="仿宋" w:hAnsi="仿宋" w:eastAsia="仿宋" w:cs="仿宋"/>
        <w:sz w:val="18"/>
        <w:szCs w:val="18"/>
      </w:rPr>
    </w:pPr>
    <w:r>
      <w:rPr>
        <w:sz w:val="18"/>
      </w:rPr>
      <mc:AlternateContent>
        <mc:Choice Requires="wps">
          <w:drawing>
            <wp:anchor distT="0" distB="0" distL="114300" distR="114300" simplePos="0" relativeHeight="2517411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352" name="文本框 135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FF25342">
                          <w:pPr>
                            <w:pStyle w:val="4"/>
                          </w:pPr>
                          <w:r>
                            <w:fldChar w:fldCharType="begin"/>
                          </w:r>
                          <w:r>
                            <w:instrText xml:space="preserve"> PAGE  \* MERGEFORMAT </w:instrText>
                          </w:r>
                          <w:r>
                            <w:fldChar w:fldCharType="separate"/>
                          </w:r>
                          <w:r>
                            <w:t>94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411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aYaztzUCAABnBAAADgAAAAAAAAABACAAAAAfAQAAZHJzL2Uyb0RvYy54bWxQ&#10;SwUGAAAAAAYABgBZAQAAxgUAAAAA&#10;">
              <v:fill on="f" focussize="0,0"/>
              <v:stroke on="f" weight="0.5pt"/>
              <v:imagedata o:title=""/>
              <o:lock v:ext="edit" aspectratio="f"/>
              <v:textbox inset="0mm,0mm,0mm,0mm" style="mso-fit-shape-to-text:t;">
                <w:txbxContent>
                  <w:p w14:paraId="5FF25342">
                    <w:pPr>
                      <w:pStyle w:val="4"/>
                    </w:pPr>
                    <w:r>
                      <w:fldChar w:fldCharType="begin"/>
                    </w:r>
                    <w:r>
                      <w:instrText xml:space="preserve"> PAGE  \* MERGEFORMAT </w:instrText>
                    </w:r>
                    <w:r>
                      <w:fldChar w:fldCharType="separate"/>
                    </w:r>
                    <w:r>
                      <w:t>94</w:t>
                    </w:r>
                    <w:r>
                      <w:fldChar w:fldCharType="end"/>
                    </w:r>
                  </w:p>
                </w:txbxContent>
              </v:textbox>
            </v:shape>
          </w:pict>
        </mc:Fallback>
      </mc:AlternateContent>
    </w:r>
  </w:p>
</w:ftr>
</file>

<file path=word/footer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307A72">
    <w:pPr>
      <w:spacing w:line="170" w:lineRule="auto"/>
      <w:ind w:left="4053"/>
      <w:rPr>
        <w:rFonts w:ascii="仿宋" w:hAnsi="仿宋" w:eastAsia="仿宋" w:cs="仿宋"/>
        <w:sz w:val="18"/>
        <w:szCs w:val="18"/>
      </w:rPr>
    </w:pPr>
    <w:r>
      <w:rPr>
        <w:sz w:val="18"/>
      </w:rPr>
      <mc:AlternateContent>
        <mc:Choice Requires="wps">
          <w:drawing>
            <wp:anchor distT="0" distB="0" distL="114300" distR="114300" simplePos="0" relativeHeight="2517422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53" name="文本框 135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9B60D6A">
                          <w:pPr>
                            <w:pStyle w:val="4"/>
                          </w:pPr>
                          <w:r>
                            <w:fldChar w:fldCharType="begin"/>
                          </w:r>
                          <w:r>
                            <w:instrText xml:space="preserve"> PAGE  \* MERGEFORMAT </w:instrText>
                          </w:r>
                          <w:r>
                            <w:fldChar w:fldCharType="separate"/>
                          </w:r>
                          <w:r>
                            <w:t>95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422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eqvsaTUCAABnBAAADgAAAAAAAAABACAAAAAfAQAAZHJzL2Uyb0RvYy54bWxQ&#10;SwUGAAAAAAYABgBZAQAAxgUAAAAA&#10;">
              <v:fill on="f" focussize="0,0"/>
              <v:stroke on="f" weight="0.5pt"/>
              <v:imagedata o:title=""/>
              <o:lock v:ext="edit" aspectratio="f"/>
              <v:textbox inset="0mm,0mm,0mm,0mm" style="mso-fit-shape-to-text:t;">
                <w:txbxContent>
                  <w:p w14:paraId="19B60D6A">
                    <w:pPr>
                      <w:pStyle w:val="4"/>
                    </w:pPr>
                    <w:r>
                      <w:fldChar w:fldCharType="begin"/>
                    </w:r>
                    <w:r>
                      <w:instrText xml:space="preserve"> PAGE  \* MERGEFORMAT </w:instrText>
                    </w:r>
                    <w:r>
                      <w:fldChar w:fldCharType="separate"/>
                    </w:r>
                    <w:r>
                      <w:t>95</w:t>
                    </w:r>
                    <w:r>
                      <w:fldChar w:fldCharType="end"/>
                    </w:r>
                  </w:p>
                </w:txbxContent>
              </v:textbox>
            </v:shape>
          </w:pict>
        </mc:Fallback>
      </mc:AlternateContent>
    </w:r>
  </w:p>
</w:ftr>
</file>

<file path=word/footer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BE0D4D">
    <w:pPr>
      <w:spacing w:line="170" w:lineRule="auto"/>
      <w:ind w:left="4053"/>
      <w:rPr>
        <w:rFonts w:ascii="仿宋" w:hAnsi="仿宋" w:eastAsia="仿宋" w:cs="仿宋"/>
        <w:sz w:val="18"/>
        <w:szCs w:val="18"/>
      </w:rPr>
    </w:pPr>
    <w:r>
      <w:rPr>
        <w:sz w:val="18"/>
      </w:rPr>
      <mc:AlternateContent>
        <mc:Choice Requires="wps">
          <w:drawing>
            <wp:anchor distT="0" distB="0" distL="114300" distR="114300" simplePos="0" relativeHeight="2517432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354" name="文本框 135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995C469">
                          <w:pPr>
                            <w:pStyle w:val="4"/>
                          </w:pPr>
                          <w:r>
                            <w:fldChar w:fldCharType="begin"/>
                          </w:r>
                          <w:r>
                            <w:instrText xml:space="preserve"> PAGE  \* MERGEFORMAT </w:instrText>
                          </w:r>
                          <w:r>
                            <w:fldChar w:fldCharType="separate"/>
                          </w:r>
                          <w:r>
                            <w:t>96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432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s0lY7tAAAAAFAQAADwAAAAAAAAABACAAAAAiAAAAZHJzL2Rvd25yZXYueG1sUEsB&#10;AhQAFAAAAAgAh07iQMBi4h82AgAAZwQAAA4AAAAAAAAAAQAgAAAAHwEAAGRycy9lMm9Eb2MueG1s&#10;UEsFBgAAAAAGAAYAWQEAAMcFAAAAAA==&#10;">
              <v:fill on="f" focussize="0,0"/>
              <v:stroke on="f" weight="0.5pt"/>
              <v:imagedata o:title=""/>
              <o:lock v:ext="edit" aspectratio="f"/>
              <v:textbox inset="0mm,0mm,0mm,0mm" style="mso-fit-shape-to-text:t;">
                <w:txbxContent>
                  <w:p w14:paraId="7995C469">
                    <w:pPr>
                      <w:pStyle w:val="4"/>
                    </w:pPr>
                    <w:r>
                      <w:fldChar w:fldCharType="begin"/>
                    </w:r>
                    <w:r>
                      <w:instrText xml:space="preserve"> PAGE  \* MERGEFORMAT </w:instrText>
                    </w:r>
                    <w:r>
                      <w:fldChar w:fldCharType="separate"/>
                    </w:r>
                    <w:r>
                      <w:t>96</w:t>
                    </w:r>
                    <w:r>
                      <w:fldChar w:fldCharType="end"/>
                    </w:r>
                  </w:p>
                </w:txbxContent>
              </v:textbox>
            </v:shape>
          </w:pict>
        </mc:Fallback>
      </mc:AlternateContent>
    </w:r>
  </w:p>
</w:ftr>
</file>

<file path=word/footer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AB1EE7">
    <w:pPr>
      <w:spacing w:line="170" w:lineRule="auto"/>
      <w:ind w:left="4053"/>
      <w:rPr>
        <w:rFonts w:ascii="仿宋" w:hAnsi="仿宋" w:eastAsia="仿宋" w:cs="仿宋"/>
        <w:sz w:val="18"/>
        <w:szCs w:val="18"/>
      </w:rPr>
    </w:pPr>
    <w:r>
      <w:rPr>
        <w:sz w:val="18"/>
      </w:rPr>
      <mc:AlternateContent>
        <mc:Choice Requires="wps">
          <w:drawing>
            <wp:anchor distT="0" distB="0" distL="114300" distR="114300" simplePos="0" relativeHeight="2517442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355" name="文本框 135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140720C">
                          <w:pPr>
                            <w:pStyle w:val="4"/>
                          </w:pPr>
                          <w:r>
                            <w:fldChar w:fldCharType="begin"/>
                          </w:r>
                          <w:r>
                            <w:instrText xml:space="preserve"> PAGE  \* MERGEFORMAT </w:instrText>
                          </w:r>
                          <w:r>
                            <w:fldChar w:fldCharType="separate"/>
                          </w:r>
                          <w:r>
                            <w:t>97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442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00+9wTUCAABnBAAADgAAAAAAAAABACAAAAAfAQAAZHJzL2Uyb0RvYy54bWxQ&#10;SwUGAAAAAAYABgBZAQAAxgUAAAAA&#10;">
              <v:fill on="f" focussize="0,0"/>
              <v:stroke on="f" weight="0.5pt"/>
              <v:imagedata o:title=""/>
              <o:lock v:ext="edit" aspectratio="f"/>
              <v:textbox inset="0mm,0mm,0mm,0mm" style="mso-fit-shape-to-text:t;">
                <w:txbxContent>
                  <w:p w14:paraId="3140720C">
                    <w:pPr>
                      <w:pStyle w:val="4"/>
                    </w:pPr>
                    <w:r>
                      <w:fldChar w:fldCharType="begin"/>
                    </w:r>
                    <w:r>
                      <w:instrText xml:space="preserve"> PAGE  \* MERGEFORMAT </w:instrText>
                    </w:r>
                    <w:r>
                      <w:fldChar w:fldCharType="separate"/>
                    </w:r>
                    <w:r>
                      <w:t>97</w:t>
                    </w:r>
                    <w:r>
                      <w:fldChar w:fldCharType="end"/>
                    </w:r>
                  </w:p>
                </w:txbxContent>
              </v:textbox>
            </v:shape>
          </w:pict>
        </mc:Fallback>
      </mc:AlternateContent>
    </w:r>
  </w:p>
</w:ftr>
</file>

<file path=word/footer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F560A3">
    <w:pPr>
      <w:spacing w:line="170" w:lineRule="auto"/>
      <w:ind w:left="4053"/>
      <w:rPr>
        <w:rFonts w:ascii="仿宋" w:hAnsi="仿宋" w:eastAsia="仿宋" w:cs="仿宋"/>
        <w:sz w:val="18"/>
        <w:szCs w:val="18"/>
      </w:rPr>
    </w:pPr>
    <w:r>
      <w:rPr>
        <w:sz w:val="18"/>
      </w:rPr>
      <mc:AlternateContent>
        <mc:Choice Requires="wps">
          <w:drawing>
            <wp:anchor distT="0" distB="0" distL="114300" distR="114300" simplePos="0" relativeHeight="2517452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356" name="文本框 135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3DDE3B3">
                          <w:pPr>
                            <w:pStyle w:val="4"/>
                          </w:pPr>
                          <w:r>
                            <w:fldChar w:fldCharType="begin"/>
                          </w:r>
                          <w:r>
                            <w:instrText xml:space="preserve"> PAGE  \* MERGEFORMAT </w:instrText>
                          </w:r>
                          <w:r>
                            <w:fldChar w:fldCharType="separate"/>
                          </w:r>
                          <w:r>
                            <w:t>98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452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pz4teDUCAABnBAAADgAAAAAAAAABACAAAAAfAQAAZHJzL2Uyb0RvYy54bWxQ&#10;SwUGAAAAAAYABgBZAQAAxgUAAAAA&#10;">
              <v:fill on="f" focussize="0,0"/>
              <v:stroke on="f" weight="0.5pt"/>
              <v:imagedata o:title=""/>
              <o:lock v:ext="edit" aspectratio="f"/>
              <v:textbox inset="0mm,0mm,0mm,0mm" style="mso-fit-shape-to-text:t;">
                <w:txbxContent>
                  <w:p w14:paraId="73DDE3B3">
                    <w:pPr>
                      <w:pStyle w:val="4"/>
                    </w:pPr>
                    <w:r>
                      <w:fldChar w:fldCharType="begin"/>
                    </w:r>
                    <w:r>
                      <w:instrText xml:space="preserve"> PAGE  \* MERGEFORMAT </w:instrText>
                    </w:r>
                    <w:r>
                      <w:fldChar w:fldCharType="separate"/>
                    </w:r>
                    <w:r>
                      <w:t>98</w:t>
                    </w:r>
                    <w:r>
                      <w:fldChar w:fldCharType="end"/>
                    </w:r>
                  </w:p>
                </w:txbxContent>
              </v:textbox>
            </v:shape>
          </w:pict>
        </mc:Fallback>
      </mc:AlternateContent>
    </w:r>
  </w:p>
</w:ftr>
</file>

<file path=word/footer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B9B897">
    <w:pPr>
      <w:spacing w:line="170" w:lineRule="auto"/>
      <w:ind w:left="4053"/>
      <w:rPr>
        <w:rFonts w:ascii="仿宋" w:hAnsi="仿宋" w:eastAsia="仿宋" w:cs="仿宋"/>
        <w:sz w:val="18"/>
        <w:szCs w:val="18"/>
      </w:rPr>
    </w:pPr>
    <w:r>
      <w:rPr>
        <w:sz w:val="18"/>
      </w:rPr>
      <mc:AlternateContent>
        <mc:Choice Requires="wps">
          <w:drawing>
            <wp:anchor distT="0" distB="0" distL="114300" distR="114300" simplePos="0" relativeHeight="2517463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357" name="文本框 135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9CB6226">
                          <w:pPr>
                            <w:pStyle w:val="4"/>
                          </w:pPr>
                          <w:r>
                            <w:fldChar w:fldCharType="begin"/>
                          </w:r>
                          <w:r>
                            <w:instrText xml:space="preserve"> PAGE  \* MERGEFORMAT </w:instrText>
                          </w:r>
                          <w:r>
                            <w:fldChar w:fldCharType="separate"/>
                          </w:r>
                          <w:r>
                            <w:t>99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463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s0lY7tAAAAAFAQAADwAAAAAAAAABACAAAAAiAAAAZHJzL2Rvd25yZXYueG1sUEsB&#10;AhQAFAAAAAgAh07iQLQTcqY2AgAAZwQAAA4AAAAAAAAAAQAgAAAAHwEAAGRycy9lMm9Eb2MueG1s&#10;UEsFBgAAAAAGAAYAWQEAAMcFAAAAAA==&#10;">
              <v:fill on="f" focussize="0,0"/>
              <v:stroke on="f" weight="0.5pt"/>
              <v:imagedata o:title=""/>
              <o:lock v:ext="edit" aspectratio="f"/>
              <v:textbox inset="0mm,0mm,0mm,0mm" style="mso-fit-shape-to-text:t;">
                <w:txbxContent>
                  <w:p w14:paraId="09CB6226">
                    <w:pPr>
                      <w:pStyle w:val="4"/>
                    </w:pPr>
                    <w:r>
                      <w:fldChar w:fldCharType="begin"/>
                    </w:r>
                    <w:r>
                      <w:instrText xml:space="preserve"> PAGE  \* MERGEFORMAT </w:instrText>
                    </w:r>
                    <w:r>
                      <w:fldChar w:fldCharType="separate"/>
                    </w:r>
                    <w:r>
                      <w:t>99</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E8E068">
    <w:pPr>
      <w:spacing w:line="177" w:lineRule="auto"/>
      <w:ind w:left="4140"/>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ftr>
</file>

<file path=word/footer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39467B">
    <w:pPr>
      <w:spacing w:line="170" w:lineRule="auto"/>
      <w:ind w:left="4053"/>
      <w:rPr>
        <w:rFonts w:ascii="仿宋" w:hAnsi="仿宋" w:eastAsia="仿宋" w:cs="仿宋"/>
        <w:sz w:val="18"/>
        <w:szCs w:val="18"/>
      </w:rPr>
    </w:pPr>
    <w:r>
      <w:rPr>
        <w:sz w:val="18"/>
      </w:rPr>
      <mc:AlternateContent>
        <mc:Choice Requires="wps">
          <w:drawing>
            <wp:anchor distT="0" distB="0" distL="114300" distR="114300" simplePos="0" relativeHeight="2517473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58" name="文本框 135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758CD6F">
                          <w:pPr>
                            <w:pStyle w:val="4"/>
                          </w:pPr>
                          <w:r>
                            <w:fldChar w:fldCharType="begin"/>
                          </w:r>
                          <w:r>
                            <w:instrText xml:space="preserve"> PAGE  \* MERGEFORMAT </w:instrText>
                          </w:r>
                          <w:r>
                            <w:fldChar w:fldCharType="separate"/>
                          </w:r>
                          <w:r>
                            <w:t>100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473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TrTCUNAIAAGcEAAAOAAAAAAAAAAEAIAAAAB8BAABkcnMvZTJvRG9jLnhtbFBL&#10;BQYAAAAABgAGAFkBAADFBQAAAAA=&#10;">
              <v:fill on="f" focussize="0,0"/>
              <v:stroke on="f" weight="0.5pt"/>
              <v:imagedata o:title=""/>
              <o:lock v:ext="edit" aspectratio="f"/>
              <v:textbox inset="0mm,0mm,0mm,0mm" style="mso-fit-shape-to-text:t;">
                <w:txbxContent>
                  <w:p w14:paraId="4758CD6F">
                    <w:pPr>
                      <w:pStyle w:val="4"/>
                    </w:pPr>
                    <w:r>
                      <w:fldChar w:fldCharType="begin"/>
                    </w:r>
                    <w:r>
                      <w:instrText xml:space="preserve"> PAGE  \* MERGEFORMAT </w:instrText>
                    </w:r>
                    <w:r>
                      <w:fldChar w:fldCharType="separate"/>
                    </w:r>
                    <w:r>
                      <w:t>100</w:t>
                    </w:r>
                    <w:r>
                      <w:fldChar w:fldCharType="end"/>
                    </w:r>
                  </w:p>
                </w:txbxContent>
              </v:textbox>
            </v:shape>
          </w:pict>
        </mc:Fallback>
      </mc:AlternateContent>
    </w:r>
  </w:p>
</w:ftr>
</file>

<file path=word/footer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BF654B">
    <w:pPr>
      <w:spacing w:line="170" w:lineRule="auto"/>
      <w:ind w:left="4053"/>
      <w:rPr>
        <w:rFonts w:ascii="仿宋" w:hAnsi="仿宋" w:eastAsia="仿宋" w:cs="仿宋"/>
        <w:sz w:val="18"/>
        <w:szCs w:val="18"/>
      </w:rPr>
    </w:pPr>
    <w:r>
      <w:rPr>
        <w:sz w:val="18"/>
      </w:rPr>
      <mc:AlternateContent>
        <mc:Choice Requires="wps">
          <w:drawing>
            <wp:anchor distT="0" distB="0" distL="114300" distR="114300" simplePos="0" relativeHeight="2517483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359" name="文本框 135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5461272">
                          <w:pPr>
                            <w:pStyle w:val="4"/>
                          </w:pPr>
                          <w:r>
                            <w:fldChar w:fldCharType="begin"/>
                          </w:r>
                          <w:r>
                            <w:instrText xml:space="preserve"> PAGE  \* MERGEFORMAT </w:instrText>
                          </w:r>
                          <w:r>
                            <w:fldChar w:fldCharType="separate"/>
                          </w:r>
                          <w:r>
                            <w:t>101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483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s0lY7tAAAAAFAQAADwAAAAAAAAABACAAAAAiAAAAZHJzL2Rvd25yZXYueG1sUEsB&#10;AhQAFAAAAAgAh07iQMCAb0o2AgAAZwQAAA4AAAAAAAAAAQAgAAAAHwEAAGRycy9lMm9Eb2MueG1s&#10;UEsFBgAAAAAGAAYAWQEAAMcFAAAAAA==&#10;">
              <v:fill on="f" focussize="0,0"/>
              <v:stroke on="f" weight="0.5pt"/>
              <v:imagedata o:title=""/>
              <o:lock v:ext="edit" aspectratio="f"/>
              <v:textbox inset="0mm,0mm,0mm,0mm" style="mso-fit-shape-to-text:t;">
                <w:txbxContent>
                  <w:p w14:paraId="45461272">
                    <w:pPr>
                      <w:pStyle w:val="4"/>
                    </w:pPr>
                    <w:r>
                      <w:fldChar w:fldCharType="begin"/>
                    </w:r>
                    <w:r>
                      <w:instrText xml:space="preserve"> PAGE  \* MERGEFORMAT </w:instrText>
                    </w:r>
                    <w:r>
                      <w:fldChar w:fldCharType="separate"/>
                    </w:r>
                    <w:r>
                      <w:t>101</w:t>
                    </w:r>
                    <w:r>
                      <w:fldChar w:fldCharType="end"/>
                    </w:r>
                  </w:p>
                </w:txbxContent>
              </v:textbox>
            </v:shape>
          </w:pict>
        </mc:Fallback>
      </mc:AlternateContent>
    </w:r>
  </w:p>
</w:ftr>
</file>

<file path=word/footer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BDE1B4">
    <w:pPr>
      <w:spacing w:line="169" w:lineRule="auto"/>
      <w:ind w:left="4053"/>
      <w:rPr>
        <w:rFonts w:ascii="仿宋" w:hAnsi="仿宋" w:eastAsia="仿宋" w:cs="仿宋"/>
        <w:sz w:val="18"/>
        <w:szCs w:val="18"/>
      </w:rPr>
    </w:pPr>
    <w:r>
      <w:rPr>
        <w:sz w:val="18"/>
      </w:rPr>
      <mc:AlternateContent>
        <mc:Choice Requires="wps">
          <w:drawing>
            <wp:anchor distT="0" distB="0" distL="114300" distR="114300" simplePos="0" relativeHeight="251749376" behindDoc="0" locked="0" layoutInCell="1" allowOverlap="1">
              <wp:simplePos x="0" y="0"/>
              <wp:positionH relativeFrom="margin">
                <wp:align>center</wp:align>
              </wp:positionH>
              <wp:positionV relativeFrom="paragraph">
                <wp:posOffset>0</wp:posOffset>
              </wp:positionV>
              <wp:extent cx="1828800" cy="1828800"/>
              <wp:effectExtent l="0" t="0" r="0" b="0"/>
              <wp:wrapNone/>
              <wp:docPr id="1360" name="文本框 136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358B7D7">
                          <w:pPr>
                            <w:pStyle w:val="4"/>
                          </w:pPr>
                          <w:r>
                            <w:fldChar w:fldCharType="begin"/>
                          </w:r>
                          <w:r>
                            <w:instrText xml:space="preserve"> PAGE  \* MERGEFORMAT </w:instrText>
                          </w:r>
                          <w:r>
                            <w:fldChar w:fldCharType="separate"/>
                          </w:r>
                          <w:r>
                            <w:t>102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493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a/62HNAIAAGcEAAAOAAAAAAAAAAEAIAAAAB8BAABkcnMvZTJvRG9jLnhtbFBL&#10;BQYAAAAABgAGAFkBAADFBQAAAAA=&#10;">
              <v:fill on="f" focussize="0,0"/>
              <v:stroke on="f" weight="0.5pt"/>
              <v:imagedata o:title=""/>
              <o:lock v:ext="edit" aspectratio="f"/>
              <v:textbox inset="0mm,0mm,0mm,0mm" style="mso-fit-shape-to-text:t;">
                <w:txbxContent>
                  <w:p w14:paraId="3358B7D7">
                    <w:pPr>
                      <w:pStyle w:val="4"/>
                    </w:pPr>
                    <w:r>
                      <w:fldChar w:fldCharType="begin"/>
                    </w:r>
                    <w:r>
                      <w:instrText xml:space="preserve"> PAGE  \* MERGEFORMAT </w:instrText>
                    </w:r>
                    <w:r>
                      <w:fldChar w:fldCharType="separate"/>
                    </w:r>
                    <w:r>
                      <w:t>102</w:t>
                    </w:r>
                    <w:r>
                      <w:fldChar w:fldCharType="end"/>
                    </w:r>
                  </w:p>
                </w:txbxContent>
              </v:textbox>
            </v:shape>
          </w:pict>
        </mc:Fallback>
      </mc:AlternateContent>
    </w:r>
  </w:p>
</w:ftr>
</file>

<file path=word/footer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BC07DB">
    <w:pPr>
      <w:spacing w:line="169" w:lineRule="auto"/>
      <w:ind w:left="4053"/>
      <w:rPr>
        <w:rFonts w:ascii="仿宋" w:hAnsi="仿宋" w:eastAsia="仿宋" w:cs="仿宋"/>
        <w:sz w:val="18"/>
        <w:szCs w:val="18"/>
      </w:rPr>
    </w:pPr>
    <w:r>
      <w:rPr>
        <w:sz w:val="18"/>
      </w:rPr>
      <mc:AlternateContent>
        <mc:Choice Requires="wps">
          <w:drawing>
            <wp:anchor distT="0" distB="0" distL="114300" distR="114300" simplePos="0" relativeHeight="251750400" behindDoc="0" locked="0" layoutInCell="1" allowOverlap="1">
              <wp:simplePos x="0" y="0"/>
              <wp:positionH relativeFrom="margin">
                <wp:align>center</wp:align>
              </wp:positionH>
              <wp:positionV relativeFrom="paragraph">
                <wp:posOffset>0</wp:posOffset>
              </wp:positionV>
              <wp:extent cx="1828800" cy="1828800"/>
              <wp:effectExtent l="0" t="0" r="0" b="0"/>
              <wp:wrapNone/>
              <wp:docPr id="1361" name="文本框 136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01DF16C">
                          <w:pPr>
                            <w:pStyle w:val="4"/>
                          </w:pPr>
                          <w:r>
                            <w:fldChar w:fldCharType="begin"/>
                          </w:r>
                          <w:r>
                            <w:instrText xml:space="preserve"> PAGE  \* MERGEFORMAT </w:instrText>
                          </w:r>
                          <w:r>
                            <w:fldChar w:fldCharType="separate"/>
                          </w:r>
                          <w:r>
                            <w:t>103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504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J0vJZNAIAAGcEAAAOAAAAAAAAAAEAIAAAAB8BAABkcnMvZTJvRG9jLnhtbFBL&#10;BQYAAAAABgAGAFkBAADFBQAAAAA=&#10;">
              <v:fill on="f" focussize="0,0"/>
              <v:stroke on="f" weight="0.5pt"/>
              <v:imagedata o:title=""/>
              <o:lock v:ext="edit" aspectratio="f"/>
              <v:textbox inset="0mm,0mm,0mm,0mm" style="mso-fit-shape-to-text:t;">
                <w:txbxContent>
                  <w:p w14:paraId="701DF16C">
                    <w:pPr>
                      <w:pStyle w:val="4"/>
                    </w:pPr>
                    <w:r>
                      <w:fldChar w:fldCharType="begin"/>
                    </w:r>
                    <w:r>
                      <w:instrText xml:space="preserve"> PAGE  \* MERGEFORMAT </w:instrText>
                    </w:r>
                    <w:r>
                      <w:fldChar w:fldCharType="separate"/>
                    </w:r>
                    <w:r>
                      <w:t>103</w:t>
                    </w:r>
                    <w:r>
                      <w:fldChar w:fldCharType="end"/>
                    </w:r>
                  </w:p>
                </w:txbxContent>
              </v:textbox>
            </v:shape>
          </w:pict>
        </mc:Fallback>
      </mc:AlternateContent>
    </w:r>
  </w:p>
</w:ftr>
</file>

<file path=word/footer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726CA1">
    <w:pPr>
      <w:spacing w:line="170" w:lineRule="auto"/>
      <w:ind w:left="4053"/>
      <w:rPr>
        <w:rFonts w:ascii="仿宋" w:hAnsi="仿宋" w:eastAsia="仿宋" w:cs="仿宋"/>
        <w:sz w:val="18"/>
        <w:szCs w:val="18"/>
      </w:rPr>
    </w:pPr>
    <w:r>
      <w:rPr>
        <w:sz w:val="18"/>
      </w:rPr>
      <mc:AlternateContent>
        <mc:Choice Requires="wps">
          <w:drawing>
            <wp:anchor distT="0" distB="0" distL="114300" distR="114300" simplePos="0" relativeHeight="251751424" behindDoc="0" locked="0" layoutInCell="1" allowOverlap="1">
              <wp:simplePos x="0" y="0"/>
              <wp:positionH relativeFrom="margin">
                <wp:align>center</wp:align>
              </wp:positionH>
              <wp:positionV relativeFrom="paragraph">
                <wp:posOffset>0</wp:posOffset>
              </wp:positionV>
              <wp:extent cx="1828800" cy="1828800"/>
              <wp:effectExtent l="0" t="0" r="0" b="0"/>
              <wp:wrapNone/>
              <wp:docPr id="1362" name="文本框 136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E20288F">
                          <w:pPr>
                            <w:pStyle w:val="4"/>
                          </w:pPr>
                          <w:r>
                            <w:fldChar w:fldCharType="begin"/>
                          </w:r>
                          <w:r>
                            <w:instrText xml:space="preserve"> PAGE  \* MERGEFORMAT </w:instrText>
                          </w:r>
                          <w:r>
                            <w:fldChar w:fldCharType="separate"/>
                          </w:r>
                          <w:r>
                            <w:t>104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514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PaNi4DUCAABnBAAADgAAAAAAAAABACAAAAAfAQAAZHJzL2Uyb0RvYy54bWxQ&#10;SwUGAAAAAAYABgBZAQAAxgUAAAAA&#10;">
              <v:fill on="f" focussize="0,0"/>
              <v:stroke on="f" weight="0.5pt"/>
              <v:imagedata o:title=""/>
              <o:lock v:ext="edit" aspectratio="f"/>
              <v:textbox inset="0mm,0mm,0mm,0mm" style="mso-fit-shape-to-text:t;">
                <w:txbxContent>
                  <w:p w14:paraId="0E20288F">
                    <w:pPr>
                      <w:pStyle w:val="4"/>
                    </w:pPr>
                    <w:r>
                      <w:fldChar w:fldCharType="begin"/>
                    </w:r>
                    <w:r>
                      <w:instrText xml:space="preserve"> PAGE  \* MERGEFORMAT </w:instrText>
                    </w:r>
                    <w:r>
                      <w:fldChar w:fldCharType="separate"/>
                    </w:r>
                    <w:r>
                      <w:t>104</w:t>
                    </w:r>
                    <w:r>
                      <w:fldChar w:fldCharType="end"/>
                    </w:r>
                  </w:p>
                </w:txbxContent>
              </v:textbox>
            </v:shape>
          </w:pict>
        </mc:Fallback>
      </mc:AlternateContent>
    </w:r>
  </w:p>
</w:ftr>
</file>

<file path=word/footer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0E70C6">
    <w:pPr>
      <w:spacing w:line="169" w:lineRule="auto"/>
      <w:ind w:left="4053"/>
      <w:rPr>
        <w:rFonts w:ascii="仿宋" w:hAnsi="仿宋" w:eastAsia="仿宋" w:cs="仿宋"/>
        <w:sz w:val="18"/>
        <w:szCs w:val="18"/>
      </w:rPr>
    </w:pPr>
    <w:r>
      <w:rPr>
        <w:sz w:val="18"/>
      </w:rPr>
      <mc:AlternateContent>
        <mc:Choice Requires="wps">
          <w:drawing>
            <wp:anchor distT="0" distB="0" distL="114300" distR="114300" simplePos="0" relativeHeight="25175244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63" name="文本框 136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C672BBD">
                          <w:pPr>
                            <w:pStyle w:val="4"/>
                          </w:pPr>
                          <w:r>
                            <w:fldChar w:fldCharType="begin"/>
                          </w:r>
                          <w:r>
                            <w:instrText xml:space="preserve"> PAGE  \* MERGEFORMAT </w:instrText>
                          </w:r>
                          <w:r>
                            <w:fldChar w:fldCharType="separate"/>
                          </w:r>
                          <w:r>
                            <w:t>105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524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ujj0+NAIAAGcEAAAOAAAAAAAAAAEAIAAAAB8BAABkcnMvZTJvRG9jLnhtbFBL&#10;BQYAAAAABgAGAFkBAADFBQAAAAA=&#10;">
              <v:fill on="f" focussize="0,0"/>
              <v:stroke on="f" weight="0.5pt"/>
              <v:imagedata o:title=""/>
              <o:lock v:ext="edit" aspectratio="f"/>
              <v:textbox inset="0mm,0mm,0mm,0mm" style="mso-fit-shape-to-text:t;">
                <w:txbxContent>
                  <w:p w14:paraId="5C672BBD">
                    <w:pPr>
                      <w:pStyle w:val="4"/>
                    </w:pPr>
                    <w:r>
                      <w:fldChar w:fldCharType="begin"/>
                    </w:r>
                    <w:r>
                      <w:instrText xml:space="preserve"> PAGE  \* MERGEFORMAT </w:instrText>
                    </w:r>
                    <w:r>
                      <w:fldChar w:fldCharType="separate"/>
                    </w:r>
                    <w:r>
                      <w:t>105</w:t>
                    </w:r>
                    <w:r>
                      <w:fldChar w:fldCharType="end"/>
                    </w:r>
                  </w:p>
                </w:txbxContent>
              </v:textbox>
            </v:shape>
          </w:pict>
        </mc:Fallback>
      </mc:AlternateContent>
    </w:r>
  </w:p>
</w:ftr>
</file>

<file path=word/footer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E58E02">
    <w:pPr>
      <w:spacing w:line="170" w:lineRule="auto"/>
      <w:ind w:left="4053"/>
      <w:rPr>
        <w:rFonts w:ascii="仿宋" w:hAnsi="仿宋" w:eastAsia="仿宋" w:cs="仿宋"/>
        <w:sz w:val="18"/>
        <w:szCs w:val="18"/>
      </w:rPr>
    </w:pPr>
    <w:r>
      <w:rPr>
        <w:sz w:val="18"/>
      </w:rPr>
      <mc:AlternateContent>
        <mc:Choice Requires="wps">
          <w:drawing>
            <wp:anchor distT="0" distB="0" distL="114300" distR="114300" simplePos="0" relativeHeight="251753472" behindDoc="0" locked="0" layoutInCell="1" allowOverlap="1">
              <wp:simplePos x="0" y="0"/>
              <wp:positionH relativeFrom="margin">
                <wp:align>center</wp:align>
              </wp:positionH>
              <wp:positionV relativeFrom="paragraph">
                <wp:posOffset>0</wp:posOffset>
              </wp:positionV>
              <wp:extent cx="1828800" cy="1828800"/>
              <wp:effectExtent l="0" t="0" r="0" b="0"/>
              <wp:wrapNone/>
              <wp:docPr id="1364" name="文本框 136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8138DF5">
                          <w:pPr>
                            <w:pStyle w:val="4"/>
                          </w:pPr>
                          <w:r>
                            <w:fldChar w:fldCharType="begin"/>
                          </w:r>
                          <w:r>
                            <w:instrText xml:space="preserve"> PAGE  \* MERGEFORMAT </w:instrText>
                          </w:r>
                          <w:r>
                            <w:fldChar w:fldCharType="separate"/>
                          </w:r>
                          <w:r>
                            <w:t>106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534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lEczSDUCAABnBAAADgAAAAAAAAABACAAAAAfAQAAZHJzL2Uyb0RvYy54bWxQ&#10;SwUGAAAAAAYABgBZAQAAxgUAAAAA&#10;">
              <v:fill on="f" focussize="0,0"/>
              <v:stroke on="f" weight="0.5pt"/>
              <v:imagedata o:title=""/>
              <o:lock v:ext="edit" aspectratio="f"/>
              <v:textbox inset="0mm,0mm,0mm,0mm" style="mso-fit-shape-to-text:t;">
                <w:txbxContent>
                  <w:p w14:paraId="48138DF5">
                    <w:pPr>
                      <w:pStyle w:val="4"/>
                    </w:pPr>
                    <w:r>
                      <w:fldChar w:fldCharType="begin"/>
                    </w:r>
                    <w:r>
                      <w:instrText xml:space="preserve"> PAGE  \* MERGEFORMAT </w:instrText>
                    </w:r>
                    <w:r>
                      <w:fldChar w:fldCharType="separate"/>
                    </w:r>
                    <w:r>
                      <w:t>106</w:t>
                    </w:r>
                    <w:r>
                      <w:fldChar w:fldCharType="end"/>
                    </w:r>
                  </w:p>
                </w:txbxContent>
              </v:textbox>
            </v:shape>
          </w:pict>
        </mc:Fallback>
      </mc:AlternateContent>
    </w:r>
  </w:p>
</w:ftr>
</file>

<file path=word/footer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729839">
    <w:pPr>
      <w:spacing w:line="170" w:lineRule="auto"/>
      <w:ind w:left="4053"/>
      <w:rPr>
        <w:rFonts w:ascii="仿宋" w:hAnsi="仿宋" w:eastAsia="仿宋" w:cs="仿宋"/>
        <w:sz w:val="18"/>
        <w:szCs w:val="18"/>
      </w:rPr>
    </w:pPr>
    <w:r>
      <w:rPr>
        <w:sz w:val="18"/>
      </w:rPr>
      <mc:AlternateContent>
        <mc:Choice Requires="wps">
          <w:drawing>
            <wp:anchor distT="0" distB="0" distL="114300" distR="114300" simplePos="0" relativeHeight="251754496" behindDoc="0" locked="0" layoutInCell="1" allowOverlap="1">
              <wp:simplePos x="0" y="0"/>
              <wp:positionH relativeFrom="margin">
                <wp:align>center</wp:align>
              </wp:positionH>
              <wp:positionV relativeFrom="paragraph">
                <wp:posOffset>0</wp:posOffset>
              </wp:positionV>
              <wp:extent cx="1828800" cy="1828800"/>
              <wp:effectExtent l="0" t="0" r="0" b="0"/>
              <wp:wrapNone/>
              <wp:docPr id="1365" name="文本框 136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0038A1D">
                          <w:pPr>
                            <w:pStyle w:val="4"/>
                          </w:pPr>
                          <w:r>
                            <w:fldChar w:fldCharType="begin"/>
                          </w:r>
                          <w:r>
                            <w:instrText xml:space="preserve"> PAGE  \* MERGEFORMAT </w:instrText>
                          </w:r>
                          <w:r>
                            <w:fldChar w:fldCharType="separate"/>
                          </w:r>
                          <w:r>
                            <w:t>107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544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h2psljUCAABnBAAADgAAAAAAAAABACAAAAAfAQAAZHJzL2Uyb0RvYy54bWxQ&#10;SwUGAAAAAAYABgBZAQAAxgUAAAAA&#10;">
              <v:fill on="f" focussize="0,0"/>
              <v:stroke on="f" weight="0.5pt"/>
              <v:imagedata o:title=""/>
              <o:lock v:ext="edit" aspectratio="f"/>
              <v:textbox inset="0mm,0mm,0mm,0mm" style="mso-fit-shape-to-text:t;">
                <w:txbxContent>
                  <w:p w14:paraId="60038A1D">
                    <w:pPr>
                      <w:pStyle w:val="4"/>
                    </w:pPr>
                    <w:r>
                      <w:fldChar w:fldCharType="begin"/>
                    </w:r>
                    <w:r>
                      <w:instrText xml:space="preserve"> PAGE  \* MERGEFORMAT </w:instrText>
                    </w:r>
                    <w:r>
                      <w:fldChar w:fldCharType="separate"/>
                    </w:r>
                    <w:r>
                      <w:t>107</w:t>
                    </w:r>
                    <w:r>
                      <w:fldChar w:fldCharType="end"/>
                    </w:r>
                  </w:p>
                </w:txbxContent>
              </v:textbox>
            </v:shape>
          </w:pict>
        </mc:Fallback>
      </mc:AlternateContent>
    </w:r>
  </w:p>
</w:ftr>
</file>

<file path=word/footer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90EE8C">
    <w:pPr>
      <w:spacing w:line="170" w:lineRule="auto"/>
      <w:ind w:left="4053"/>
      <w:rPr>
        <w:rFonts w:ascii="仿宋" w:hAnsi="仿宋" w:eastAsia="仿宋" w:cs="仿宋"/>
        <w:sz w:val="18"/>
        <w:szCs w:val="18"/>
      </w:rPr>
    </w:pPr>
    <w:r>
      <w:rPr>
        <w:sz w:val="18"/>
      </w:rPr>
      <mc:AlternateContent>
        <mc:Choice Requires="wps">
          <w:drawing>
            <wp:anchor distT="0" distB="0" distL="114300" distR="114300" simplePos="0" relativeHeight="251755520" behindDoc="0" locked="0" layoutInCell="1" allowOverlap="1">
              <wp:simplePos x="0" y="0"/>
              <wp:positionH relativeFrom="margin">
                <wp:align>center</wp:align>
              </wp:positionH>
              <wp:positionV relativeFrom="paragraph">
                <wp:posOffset>0</wp:posOffset>
              </wp:positionV>
              <wp:extent cx="1828800" cy="1828800"/>
              <wp:effectExtent l="0" t="0" r="0" b="0"/>
              <wp:wrapNone/>
              <wp:docPr id="1366" name="文本框 136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E8FED72">
                          <w:pPr>
                            <w:pStyle w:val="4"/>
                          </w:pPr>
                          <w:r>
                            <w:fldChar w:fldCharType="begin"/>
                          </w:r>
                          <w:r>
                            <w:instrText xml:space="preserve"> PAGE  \* MERGEFORMAT </w:instrText>
                          </w:r>
                          <w:r>
                            <w:fldChar w:fldCharType="separate"/>
                          </w:r>
                          <w:r>
                            <w:t>108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555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8xv8LzUCAABnBAAADgAAAAAAAAABACAAAAAfAQAAZHJzL2Uyb0RvYy54bWxQ&#10;SwUGAAAAAAYABgBZAQAAxgUAAAAA&#10;">
              <v:fill on="f" focussize="0,0"/>
              <v:stroke on="f" weight="0.5pt"/>
              <v:imagedata o:title=""/>
              <o:lock v:ext="edit" aspectratio="f"/>
              <v:textbox inset="0mm,0mm,0mm,0mm" style="mso-fit-shape-to-text:t;">
                <w:txbxContent>
                  <w:p w14:paraId="6E8FED72">
                    <w:pPr>
                      <w:pStyle w:val="4"/>
                    </w:pPr>
                    <w:r>
                      <w:fldChar w:fldCharType="begin"/>
                    </w:r>
                    <w:r>
                      <w:instrText xml:space="preserve"> PAGE  \* MERGEFORMAT </w:instrText>
                    </w:r>
                    <w:r>
                      <w:fldChar w:fldCharType="separate"/>
                    </w:r>
                    <w:r>
                      <w:t>108</w:t>
                    </w:r>
                    <w:r>
                      <w:fldChar w:fldCharType="end"/>
                    </w:r>
                  </w:p>
                </w:txbxContent>
              </v:textbox>
            </v:shape>
          </w:pict>
        </mc:Fallback>
      </mc:AlternateContent>
    </w:r>
  </w:p>
</w:ftr>
</file>

<file path=word/footer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2737E1">
    <w:pPr>
      <w:spacing w:line="170" w:lineRule="auto"/>
      <w:ind w:left="4053"/>
      <w:rPr>
        <w:rFonts w:ascii="仿宋" w:hAnsi="仿宋" w:eastAsia="仿宋" w:cs="仿宋"/>
        <w:sz w:val="18"/>
        <w:szCs w:val="18"/>
      </w:rPr>
    </w:pPr>
    <w:r>
      <w:rPr>
        <w:sz w:val="18"/>
      </w:rPr>
      <mc:AlternateContent>
        <mc:Choice Requires="wps">
          <w:drawing>
            <wp:anchor distT="0" distB="0" distL="114300" distR="114300" simplePos="0" relativeHeight="251756544" behindDoc="0" locked="0" layoutInCell="1" allowOverlap="1">
              <wp:simplePos x="0" y="0"/>
              <wp:positionH relativeFrom="margin">
                <wp:align>center</wp:align>
              </wp:positionH>
              <wp:positionV relativeFrom="paragraph">
                <wp:posOffset>0</wp:posOffset>
              </wp:positionV>
              <wp:extent cx="1828800" cy="1828800"/>
              <wp:effectExtent l="0" t="0" r="0" b="0"/>
              <wp:wrapNone/>
              <wp:docPr id="1367" name="文本框 136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9340B70">
                          <w:pPr>
                            <w:pStyle w:val="4"/>
                          </w:pPr>
                          <w:r>
                            <w:fldChar w:fldCharType="begin"/>
                          </w:r>
                          <w:r>
                            <w:instrText xml:space="preserve"> PAGE  \* MERGEFORMAT </w:instrText>
                          </w:r>
                          <w:r>
                            <w:fldChar w:fldCharType="separate"/>
                          </w:r>
                          <w:r>
                            <w:t>109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565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4Daj8TUCAABnBAAADgAAAAAAAAABACAAAAAfAQAAZHJzL2Uyb0RvYy54bWxQ&#10;SwUGAAAAAAYABgBZAQAAxgUAAAAA&#10;">
              <v:fill on="f" focussize="0,0"/>
              <v:stroke on="f" weight="0.5pt"/>
              <v:imagedata o:title=""/>
              <o:lock v:ext="edit" aspectratio="f"/>
              <v:textbox inset="0mm,0mm,0mm,0mm" style="mso-fit-shape-to-text:t;">
                <w:txbxContent>
                  <w:p w14:paraId="09340B70">
                    <w:pPr>
                      <w:pStyle w:val="4"/>
                    </w:pPr>
                    <w:r>
                      <w:fldChar w:fldCharType="begin"/>
                    </w:r>
                    <w:r>
                      <w:instrText xml:space="preserve"> PAGE  \* MERGEFORMAT </w:instrText>
                    </w:r>
                    <w:r>
                      <w:fldChar w:fldCharType="separate"/>
                    </w:r>
                    <w:r>
                      <w:t>109</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FE6B48">
    <w:pPr>
      <w:pStyle w:val="3"/>
      <w:spacing w:line="14" w:lineRule="auto"/>
      <w:rPr>
        <w:sz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2B8502">
    <w:pPr>
      <w:pStyle w:val="3"/>
      <w:spacing w:line="14" w:lineRule="auto"/>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AC6A057"/>
    <w:multiLevelType w:val="singleLevel"/>
    <w:tmpl w:val="9AC6A057"/>
    <w:lvl w:ilvl="0" w:tentative="0">
      <w:start w:val="1"/>
      <w:numFmt w:val="decimal"/>
      <w:lvlText w:val="%1."/>
      <w:lvlJc w:val="left"/>
      <w:pPr>
        <w:tabs>
          <w:tab w:val="left" w:pos="312"/>
        </w:tabs>
      </w:pPr>
    </w:lvl>
  </w:abstractNum>
  <w:abstractNum w:abstractNumId="1">
    <w:nsid w:val="B3FE1153"/>
    <w:multiLevelType w:val="singleLevel"/>
    <w:tmpl w:val="B3FE1153"/>
    <w:lvl w:ilvl="0" w:tentative="0">
      <w:start w:val="3"/>
      <w:numFmt w:val="decimal"/>
      <w:suff w:val="nothing"/>
      <w:lvlText w:val="%1、"/>
      <w:lvlJc w:val="left"/>
    </w:lvl>
  </w:abstractNum>
  <w:abstractNum w:abstractNumId="2">
    <w:nsid w:val="F2A546DD"/>
    <w:multiLevelType w:val="singleLevel"/>
    <w:tmpl w:val="F2A546DD"/>
    <w:lvl w:ilvl="0" w:tentative="0">
      <w:start w:val="6"/>
      <w:numFmt w:val="decimal"/>
      <w:suff w:val="nothing"/>
      <w:lvlText w:val="（%1）"/>
      <w:lvlJc w:val="left"/>
    </w:lvl>
  </w:abstractNum>
  <w:abstractNum w:abstractNumId="3">
    <w:nsid w:val="32A0725D"/>
    <w:multiLevelType w:val="singleLevel"/>
    <w:tmpl w:val="32A0725D"/>
    <w:lvl w:ilvl="0" w:tentative="0">
      <w:start w:val="10"/>
      <w:numFmt w:val="chineseCounting"/>
      <w:suff w:val="nothing"/>
      <w:lvlText w:val="%1、"/>
      <w:lvlJc w:val="left"/>
      <w:rPr>
        <w:rFonts w:hint="eastAsia"/>
      </w:r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7"/>
  <w:displayBackgroundShape w:val="1"/>
  <w:bordersDoNotSurroundHeader w:val="0"/>
  <w:bordersDoNotSurroundFooter w:val="0"/>
  <w:documentProtection w:enforcement="0"/>
  <w:displayHorizontalDrawingGridEvery w:val="1"/>
  <w:displayVerticalDrawingGridEvery w:val="1"/>
  <w:noPunctuationKerning w:val="1"/>
  <w:characterSpacingControl w:val="doNotCompress"/>
  <w:hdrShapeDefaults>
    <o:shapelayout v:ext="edit">
      <o:idmap v:ext="edit" data="2"/>
    </o:shapelayout>
  </w:hdrShapeDefaults>
  <w:footnotePr>
    <w:footnote w:id="0"/>
    <w:footnote w:id="1"/>
  </w:footnotePr>
  <w:endnotePr>
    <w:endnote w:id="0"/>
    <w:endnote w:id="1"/>
  </w:endnotePr>
  <w:compat>
    <w:spaceForUL/>
    <w:ulTrailSpace/>
    <w:doNotExpandShiftReturn/>
    <w:doNotWrapTextWithPunct/>
    <w:doNotUseEastAsianBreakRules/>
    <w:useFELayout/>
    <w:doNotUseIndentAsNumberingTabStop/>
    <w:compatSetting w:name="compatibilityMode" w:uri="http://schemas.microsoft.com/office/word" w:val="14"/>
  </w:compat>
  <w:rsids>
    <w:rsidRoot w:val="00000000"/>
    <w:rsid w:val="00652476"/>
    <w:rsid w:val="010F542D"/>
    <w:rsid w:val="013301DE"/>
    <w:rsid w:val="016A67D7"/>
    <w:rsid w:val="03D20190"/>
    <w:rsid w:val="03E9465A"/>
    <w:rsid w:val="04332D4E"/>
    <w:rsid w:val="05FC3975"/>
    <w:rsid w:val="09CE25DF"/>
    <w:rsid w:val="0C0401A1"/>
    <w:rsid w:val="0D8617F5"/>
    <w:rsid w:val="0F2B146F"/>
    <w:rsid w:val="11636A4C"/>
    <w:rsid w:val="11E52FC7"/>
    <w:rsid w:val="133E02C4"/>
    <w:rsid w:val="149E54BE"/>
    <w:rsid w:val="152F4652"/>
    <w:rsid w:val="15E740C7"/>
    <w:rsid w:val="1EB458DE"/>
    <w:rsid w:val="1F843502"/>
    <w:rsid w:val="216F74D4"/>
    <w:rsid w:val="24750FA4"/>
    <w:rsid w:val="27E57F8B"/>
    <w:rsid w:val="2A936847"/>
    <w:rsid w:val="2BFD0BBD"/>
    <w:rsid w:val="2C0D5E4C"/>
    <w:rsid w:val="2C7B620F"/>
    <w:rsid w:val="2DA86071"/>
    <w:rsid w:val="326A6BDF"/>
    <w:rsid w:val="32853A73"/>
    <w:rsid w:val="38526AFA"/>
    <w:rsid w:val="3A095588"/>
    <w:rsid w:val="3CEE1901"/>
    <w:rsid w:val="411C1395"/>
    <w:rsid w:val="41DA6BD1"/>
    <w:rsid w:val="45137D99"/>
    <w:rsid w:val="4B3C4B0D"/>
    <w:rsid w:val="4DDE0F4B"/>
    <w:rsid w:val="548369DA"/>
    <w:rsid w:val="578A30A4"/>
    <w:rsid w:val="58207565"/>
    <w:rsid w:val="58FA689C"/>
    <w:rsid w:val="592D63A1"/>
    <w:rsid w:val="5CD658ED"/>
    <w:rsid w:val="60D206A1"/>
    <w:rsid w:val="63145241"/>
    <w:rsid w:val="646A0423"/>
    <w:rsid w:val="65B816F3"/>
    <w:rsid w:val="6BAE564F"/>
    <w:rsid w:val="6CBB4F5D"/>
    <w:rsid w:val="6D355815"/>
    <w:rsid w:val="6EA43A86"/>
    <w:rsid w:val="7171490B"/>
    <w:rsid w:val="79BA7BFD"/>
    <w:rsid w:val="7C332D1C"/>
    <w:rsid w:val="7E2E3AF9"/>
    <w:rsid w:val="7F675A66"/>
    <w:rsid w:val="7FB65F35"/>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character" w:default="1" w:styleId="8">
    <w:name w:val="Default Paragraph Font"/>
    <w:unhideWhenUsed/>
    <w:qFormat/>
    <w:uiPriority w:val="1"/>
  </w:style>
  <w:style w:type="table" w:default="1" w:styleId="6">
    <w:name w:val="Normal Table"/>
    <w:semiHidden/>
    <w:qFormat/>
    <w:uiPriority w:val="0"/>
    <w:tblPr>
      <w:tblCellMar>
        <w:top w:w="0" w:type="dxa"/>
        <w:left w:w="108" w:type="dxa"/>
        <w:bottom w:w="0" w:type="dxa"/>
        <w:right w:w="108" w:type="dxa"/>
      </w:tblCellMar>
    </w:tblPr>
  </w:style>
  <w:style w:type="paragraph" w:styleId="2">
    <w:name w:val="annotation text"/>
    <w:basedOn w:val="1"/>
    <w:qFormat/>
    <w:uiPriority w:val="0"/>
    <w:pPr>
      <w:jc w:val="left"/>
    </w:pPr>
  </w:style>
  <w:style w:type="paragraph" w:styleId="3">
    <w:name w:val="Body Text"/>
    <w:basedOn w:val="1"/>
    <w:semiHidden/>
    <w:qFormat/>
    <w:uiPriority w:val="0"/>
    <w:rPr>
      <w:rFonts w:ascii="Arial" w:hAnsi="Arial" w:eastAsia="Arial" w:cs="Arial"/>
      <w:sz w:val="21"/>
      <w:szCs w:val="21"/>
      <w:lang w:val="en-US" w:eastAsia="en-US" w:bidi="ar-SA"/>
    </w:rPr>
  </w:style>
  <w:style w:type="paragraph" w:styleId="4">
    <w:name w:val="footer"/>
    <w:basedOn w:val="1"/>
    <w:qFormat/>
    <w:uiPriority w:val="0"/>
    <w:pPr>
      <w:tabs>
        <w:tab w:val="center" w:pos="4153"/>
        <w:tab w:val="right" w:pos="8306"/>
      </w:tabs>
      <w:snapToGrid w:val="0"/>
      <w:jc w:val="left"/>
    </w:pPr>
    <w:rPr>
      <w:sz w:val="18"/>
    </w:rPr>
  </w:style>
  <w:style w:type="paragraph" w:styleId="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table" w:styleId="7">
    <w:name w:val="Table Grid"/>
    <w:basedOn w:val="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9">
    <w:name w:val="Strong"/>
    <w:basedOn w:val="8"/>
    <w:qFormat/>
    <w:uiPriority w:val="0"/>
    <w:rPr>
      <w:b/>
    </w:rPr>
  </w:style>
  <w:style w:type="table" w:customStyle="1" w:styleId="10">
    <w:name w:val="Table Normal"/>
    <w:semiHidden/>
    <w:unhideWhenUsed/>
    <w:qFormat/>
    <w:uiPriority w:val="0"/>
    <w:tblPr>
      <w:tblCellMar>
        <w:top w:w="0" w:type="dxa"/>
        <w:left w:w="0" w:type="dxa"/>
        <w:bottom w:w="0" w:type="dxa"/>
        <w:right w:w="0" w:type="dxa"/>
      </w:tblCellMar>
    </w:tblPr>
  </w:style>
  <w:style w:type="paragraph" w:customStyle="1" w:styleId="11">
    <w:name w:val="Table Text"/>
    <w:basedOn w:val="1"/>
    <w:semiHidden/>
    <w:qFormat/>
    <w:uiPriority w:val="0"/>
    <w:rPr>
      <w:rFonts w:ascii="宋体" w:hAnsi="宋体" w:eastAsia="宋体" w:cs="宋体"/>
      <w:sz w:val="21"/>
      <w:szCs w:val="21"/>
      <w:lang w:val="en-US" w:eastAsia="en-US" w:bidi="ar-SA"/>
    </w:rPr>
  </w:style>
  <w:style w:type="paragraph" w:customStyle="1" w:styleId="12">
    <w:name w:val="Normal_11"/>
    <w:qFormat/>
    <w:uiPriority w:val="0"/>
    <w:rPr>
      <w:rFonts w:ascii="Times New Roman" w:hAnsi="Times New Roman" w:eastAsia="Times New Roman" w:cs="Times New Roman"/>
      <w:sz w:val="24"/>
      <w:szCs w:val="24"/>
    </w:rPr>
  </w:style>
  <w:style w:type="paragraph" w:customStyle="1" w:styleId="13">
    <w:name w:val="正文_0_0"/>
    <w:qFormat/>
    <w:uiPriority w:val="0"/>
    <w:pPr>
      <w:widowControl w:val="0"/>
      <w:jc w:val="both"/>
    </w:pPr>
    <w:rPr>
      <w:rFonts w:ascii="Calibri" w:hAnsi="Calibri" w:eastAsia="宋体" w:cs="Times New Roman"/>
      <w:lang w:val="en-US" w:eastAsia="zh-CN" w:bidi="ar-SA"/>
    </w:rPr>
  </w:style>
  <w:style w:type="paragraph" w:customStyle="1" w:styleId="14">
    <w:name w:val="正文_0_0_0"/>
    <w:qFormat/>
    <w:uiPriority w:val="99"/>
    <w:pPr>
      <w:jc w:val="both"/>
    </w:pPr>
    <w:rPr>
      <w:rFonts w:ascii="Times New Roman" w:hAnsi="Times New Roman" w:eastAsia="宋体" w:cs="Times New Roman"/>
      <w:lang w:val="en-US" w:eastAsia="zh-CN" w:bidi="ar-SA"/>
    </w:rPr>
  </w:style>
  <w:style w:type="paragraph" w:customStyle="1" w:styleId="15">
    <w:name w:val="标题 4_0"/>
    <w:basedOn w:val="13"/>
    <w:next w:val="13"/>
    <w:qFormat/>
    <w:uiPriority w:val="0"/>
    <w:pPr>
      <w:keepNext/>
      <w:keepLines/>
      <w:spacing w:before="280" w:after="290" w:line="376" w:lineRule="auto"/>
      <w:outlineLvl w:val="3"/>
    </w:pPr>
    <w:rPr>
      <w:rFonts w:ascii="Arial" w:hAnsi="Arial" w:eastAsia="黑体"/>
      <w:b/>
      <w:bCs/>
      <w:color w:val="000000"/>
      <w:sz w:val="28"/>
      <w:szCs w:val="28"/>
    </w:rPr>
  </w:style>
  <w:style w:type="paragraph" w:customStyle="1" w:styleId="16">
    <w:name w:val="Normal_10"/>
    <w:qFormat/>
    <w:uiPriority w:val="0"/>
    <w:pPr>
      <w:widowControl w:val="0"/>
      <w:jc w:val="both"/>
    </w:pPr>
    <w:rPr>
      <w:rFonts w:ascii="Calibri" w:hAnsi="Calibri" w:eastAsia="宋体" w:cs="Times New Roman"/>
      <w:kern w:val="2"/>
      <w:sz w:val="21"/>
      <w:szCs w:val="22"/>
      <w:lang w:val="en-US" w:eastAsia="zh-CN" w:bidi="ar-SA"/>
    </w:rPr>
  </w:style>
</w:styles>
</file>

<file path=word/_rels/document.xml.rels><?xml version="1.0" encoding="UTF-8" standalone="yes"?>
<Relationships xmlns="http://schemas.openxmlformats.org/package/2006/relationships"><Relationship Id="rId99" Type="http://schemas.openxmlformats.org/officeDocument/2006/relationships/footer" Target="footer95.xml"/><Relationship Id="rId98" Type="http://schemas.openxmlformats.org/officeDocument/2006/relationships/footer" Target="footer94.xml"/><Relationship Id="rId97" Type="http://schemas.openxmlformats.org/officeDocument/2006/relationships/footer" Target="footer93.xml"/><Relationship Id="rId96" Type="http://schemas.openxmlformats.org/officeDocument/2006/relationships/footer" Target="footer92.xml"/><Relationship Id="rId95" Type="http://schemas.openxmlformats.org/officeDocument/2006/relationships/footer" Target="footer91.xml"/><Relationship Id="rId94" Type="http://schemas.openxmlformats.org/officeDocument/2006/relationships/footer" Target="footer90.xml"/><Relationship Id="rId93" Type="http://schemas.openxmlformats.org/officeDocument/2006/relationships/footer" Target="footer89.xml"/><Relationship Id="rId92" Type="http://schemas.openxmlformats.org/officeDocument/2006/relationships/footer" Target="footer88.xml"/><Relationship Id="rId91" Type="http://schemas.openxmlformats.org/officeDocument/2006/relationships/footer" Target="footer87.xml"/><Relationship Id="rId90" Type="http://schemas.openxmlformats.org/officeDocument/2006/relationships/footer" Target="footer86.xml"/><Relationship Id="rId9" Type="http://schemas.openxmlformats.org/officeDocument/2006/relationships/footer" Target="footer5.xml"/><Relationship Id="rId89" Type="http://schemas.openxmlformats.org/officeDocument/2006/relationships/footer" Target="footer85.xml"/><Relationship Id="rId88" Type="http://schemas.openxmlformats.org/officeDocument/2006/relationships/footer" Target="footer84.xml"/><Relationship Id="rId87" Type="http://schemas.openxmlformats.org/officeDocument/2006/relationships/footer" Target="footer83.xml"/><Relationship Id="rId86" Type="http://schemas.openxmlformats.org/officeDocument/2006/relationships/footer" Target="footer82.xml"/><Relationship Id="rId85" Type="http://schemas.openxmlformats.org/officeDocument/2006/relationships/footer" Target="footer81.xml"/><Relationship Id="rId84" Type="http://schemas.openxmlformats.org/officeDocument/2006/relationships/footer" Target="footer80.xml"/><Relationship Id="rId83" Type="http://schemas.openxmlformats.org/officeDocument/2006/relationships/footer" Target="footer79.xml"/><Relationship Id="rId82" Type="http://schemas.openxmlformats.org/officeDocument/2006/relationships/footer" Target="footer78.xml"/><Relationship Id="rId81" Type="http://schemas.openxmlformats.org/officeDocument/2006/relationships/footer" Target="footer77.xml"/><Relationship Id="rId80" Type="http://schemas.openxmlformats.org/officeDocument/2006/relationships/footer" Target="footer76.xml"/><Relationship Id="rId8" Type="http://schemas.openxmlformats.org/officeDocument/2006/relationships/footer" Target="footer4.xml"/><Relationship Id="rId79" Type="http://schemas.openxmlformats.org/officeDocument/2006/relationships/footer" Target="footer75.xml"/><Relationship Id="rId78" Type="http://schemas.openxmlformats.org/officeDocument/2006/relationships/footer" Target="footer74.xml"/><Relationship Id="rId77" Type="http://schemas.openxmlformats.org/officeDocument/2006/relationships/footer" Target="footer73.xml"/><Relationship Id="rId76" Type="http://schemas.openxmlformats.org/officeDocument/2006/relationships/footer" Target="footer72.xml"/><Relationship Id="rId75" Type="http://schemas.openxmlformats.org/officeDocument/2006/relationships/footer" Target="footer71.xml"/><Relationship Id="rId74" Type="http://schemas.openxmlformats.org/officeDocument/2006/relationships/footer" Target="footer70.xml"/><Relationship Id="rId73" Type="http://schemas.openxmlformats.org/officeDocument/2006/relationships/footer" Target="footer69.xml"/><Relationship Id="rId72" Type="http://schemas.openxmlformats.org/officeDocument/2006/relationships/footer" Target="footer68.xml"/><Relationship Id="rId71" Type="http://schemas.openxmlformats.org/officeDocument/2006/relationships/footer" Target="footer67.xml"/><Relationship Id="rId70" Type="http://schemas.openxmlformats.org/officeDocument/2006/relationships/footer" Target="footer66.xml"/><Relationship Id="rId7" Type="http://schemas.openxmlformats.org/officeDocument/2006/relationships/footer" Target="footer3.xml"/><Relationship Id="rId69" Type="http://schemas.openxmlformats.org/officeDocument/2006/relationships/footer" Target="footer65.xml"/><Relationship Id="rId68" Type="http://schemas.openxmlformats.org/officeDocument/2006/relationships/footer" Target="footer64.xml"/><Relationship Id="rId67" Type="http://schemas.openxmlformats.org/officeDocument/2006/relationships/footer" Target="footer63.xml"/><Relationship Id="rId66" Type="http://schemas.openxmlformats.org/officeDocument/2006/relationships/footer" Target="footer62.xml"/><Relationship Id="rId65" Type="http://schemas.openxmlformats.org/officeDocument/2006/relationships/footer" Target="footer61.xml"/><Relationship Id="rId64" Type="http://schemas.openxmlformats.org/officeDocument/2006/relationships/footer" Target="footer60.xml"/><Relationship Id="rId63" Type="http://schemas.openxmlformats.org/officeDocument/2006/relationships/footer" Target="footer59.xml"/><Relationship Id="rId62" Type="http://schemas.openxmlformats.org/officeDocument/2006/relationships/footer" Target="footer58.xml"/><Relationship Id="rId61" Type="http://schemas.openxmlformats.org/officeDocument/2006/relationships/footer" Target="footer57.xml"/><Relationship Id="rId60" Type="http://schemas.openxmlformats.org/officeDocument/2006/relationships/footer" Target="footer56.xml"/><Relationship Id="rId6" Type="http://schemas.openxmlformats.org/officeDocument/2006/relationships/footer" Target="footer2.xml"/><Relationship Id="rId59" Type="http://schemas.openxmlformats.org/officeDocument/2006/relationships/footer" Target="footer55.xml"/><Relationship Id="rId58" Type="http://schemas.openxmlformats.org/officeDocument/2006/relationships/footer" Target="footer54.xml"/><Relationship Id="rId57" Type="http://schemas.openxmlformats.org/officeDocument/2006/relationships/footer" Target="footer53.xml"/><Relationship Id="rId56" Type="http://schemas.openxmlformats.org/officeDocument/2006/relationships/footer" Target="footer52.xml"/><Relationship Id="rId55" Type="http://schemas.openxmlformats.org/officeDocument/2006/relationships/footer" Target="footer51.xml"/><Relationship Id="rId54" Type="http://schemas.openxmlformats.org/officeDocument/2006/relationships/footer" Target="footer50.xml"/><Relationship Id="rId53" Type="http://schemas.openxmlformats.org/officeDocument/2006/relationships/footer" Target="footer49.xml"/><Relationship Id="rId52" Type="http://schemas.openxmlformats.org/officeDocument/2006/relationships/footer" Target="footer48.xml"/><Relationship Id="rId51" Type="http://schemas.openxmlformats.org/officeDocument/2006/relationships/footer" Target="footer47.xml"/><Relationship Id="rId50" Type="http://schemas.openxmlformats.org/officeDocument/2006/relationships/footer" Target="footer46.xml"/><Relationship Id="rId5" Type="http://schemas.openxmlformats.org/officeDocument/2006/relationships/footer" Target="footer1.xml"/><Relationship Id="rId49" Type="http://schemas.openxmlformats.org/officeDocument/2006/relationships/footer" Target="footer45.xml"/><Relationship Id="rId48" Type="http://schemas.openxmlformats.org/officeDocument/2006/relationships/footer" Target="footer44.xml"/><Relationship Id="rId47" Type="http://schemas.openxmlformats.org/officeDocument/2006/relationships/footer" Target="footer43.xml"/><Relationship Id="rId46" Type="http://schemas.openxmlformats.org/officeDocument/2006/relationships/footer" Target="footer42.xml"/><Relationship Id="rId45" Type="http://schemas.openxmlformats.org/officeDocument/2006/relationships/footer" Target="footer41.xml"/><Relationship Id="rId44" Type="http://schemas.openxmlformats.org/officeDocument/2006/relationships/footer" Target="footer40.xml"/><Relationship Id="rId43" Type="http://schemas.openxmlformats.org/officeDocument/2006/relationships/footer" Target="footer39.xml"/><Relationship Id="rId42" Type="http://schemas.openxmlformats.org/officeDocument/2006/relationships/footer" Target="footer38.xml"/><Relationship Id="rId41" Type="http://schemas.openxmlformats.org/officeDocument/2006/relationships/footer" Target="footer37.xml"/><Relationship Id="rId40" Type="http://schemas.openxmlformats.org/officeDocument/2006/relationships/footer" Target="footer36.xml"/><Relationship Id="rId4" Type="http://schemas.openxmlformats.org/officeDocument/2006/relationships/endnotes" Target="endnotes.xml"/><Relationship Id="rId39" Type="http://schemas.openxmlformats.org/officeDocument/2006/relationships/footer" Target="footer35.xml"/><Relationship Id="rId38" Type="http://schemas.openxmlformats.org/officeDocument/2006/relationships/footer" Target="footer34.xml"/><Relationship Id="rId37" Type="http://schemas.openxmlformats.org/officeDocument/2006/relationships/footer" Target="footer33.xml"/><Relationship Id="rId36" Type="http://schemas.openxmlformats.org/officeDocument/2006/relationships/footer" Target="footer32.xml"/><Relationship Id="rId35" Type="http://schemas.openxmlformats.org/officeDocument/2006/relationships/footer" Target="footer31.xml"/><Relationship Id="rId34" Type="http://schemas.openxmlformats.org/officeDocument/2006/relationships/footer" Target="footer30.xml"/><Relationship Id="rId33" Type="http://schemas.openxmlformats.org/officeDocument/2006/relationships/footer" Target="footer29.xml"/><Relationship Id="rId32" Type="http://schemas.openxmlformats.org/officeDocument/2006/relationships/footer" Target="footer28.xml"/><Relationship Id="rId31" Type="http://schemas.openxmlformats.org/officeDocument/2006/relationships/footer" Target="footer27.xml"/><Relationship Id="rId30" Type="http://schemas.openxmlformats.org/officeDocument/2006/relationships/footer" Target="footer26.xml"/><Relationship Id="rId3" Type="http://schemas.openxmlformats.org/officeDocument/2006/relationships/footnotes" Target="footnotes.xml"/><Relationship Id="rId29" Type="http://schemas.openxmlformats.org/officeDocument/2006/relationships/footer" Target="footer25.xml"/><Relationship Id="rId28" Type="http://schemas.openxmlformats.org/officeDocument/2006/relationships/footer" Target="footer24.xml"/><Relationship Id="rId27" Type="http://schemas.openxmlformats.org/officeDocument/2006/relationships/footer" Target="footer23.xml"/><Relationship Id="rId26" Type="http://schemas.openxmlformats.org/officeDocument/2006/relationships/footer" Target="footer22.xml"/><Relationship Id="rId25" Type="http://schemas.openxmlformats.org/officeDocument/2006/relationships/footer" Target="footer21.xml"/><Relationship Id="rId241" Type="http://schemas.openxmlformats.org/officeDocument/2006/relationships/fontTable" Target="fontTable.xml"/><Relationship Id="rId240" Type="http://schemas.openxmlformats.org/officeDocument/2006/relationships/numbering" Target="numbering.xml"/><Relationship Id="rId24" Type="http://schemas.openxmlformats.org/officeDocument/2006/relationships/footer" Target="footer20.xml"/><Relationship Id="rId239" Type="http://schemas.openxmlformats.org/officeDocument/2006/relationships/customXml" Target="../customXml/item1.xml"/><Relationship Id="rId238" Type="http://schemas.openxmlformats.org/officeDocument/2006/relationships/image" Target="media/image2.png"/><Relationship Id="rId237" Type="http://schemas.openxmlformats.org/officeDocument/2006/relationships/image" Target="media/image1.png"/><Relationship Id="rId236" Type="http://schemas.openxmlformats.org/officeDocument/2006/relationships/theme" Target="theme/theme1.xml"/><Relationship Id="rId235" Type="http://schemas.openxmlformats.org/officeDocument/2006/relationships/footer" Target="footer229.xml"/><Relationship Id="rId234" Type="http://schemas.openxmlformats.org/officeDocument/2006/relationships/footer" Target="footer228.xml"/><Relationship Id="rId233" Type="http://schemas.openxmlformats.org/officeDocument/2006/relationships/footer" Target="footer227.xml"/><Relationship Id="rId232" Type="http://schemas.openxmlformats.org/officeDocument/2006/relationships/footer" Target="footer226.xml"/><Relationship Id="rId231" Type="http://schemas.openxmlformats.org/officeDocument/2006/relationships/footer" Target="footer225.xml"/><Relationship Id="rId230" Type="http://schemas.openxmlformats.org/officeDocument/2006/relationships/footer" Target="footer224.xml"/><Relationship Id="rId23" Type="http://schemas.openxmlformats.org/officeDocument/2006/relationships/footer" Target="footer19.xml"/><Relationship Id="rId229" Type="http://schemas.openxmlformats.org/officeDocument/2006/relationships/footer" Target="footer223.xml"/><Relationship Id="rId228" Type="http://schemas.openxmlformats.org/officeDocument/2006/relationships/footer" Target="footer222.xml"/><Relationship Id="rId227" Type="http://schemas.openxmlformats.org/officeDocument/2006/relationships/footer" Target="footer221.xml"/><Relationship Id="rId226" Type="http://schemas.openxmlformats.org/officeDocument/2006/relationships/footer" Target="footer220.xml"/><Relationship Id="rId225" Type="http://schemas.openxmlformats.org/officeDocument/2006/relationships/footer" Target="footer219.xml"/><Relationship Id="rId224" Type="http://schemas.openxmlformats.org/officeDocument/2006/relationships/footer" Target="footer218.xml"/><Relationship Id="rId223" Type="http://schemas.openxmlformats.org/officeDocument/2006/relationships/footer" Target="footer217.xml"/><Relationship Id="rId222" Type="http://schemas.openxmlformats.org/officeDocument/2006/relationships/footer" Target="footer216.xml"/><Relationship Id="rId221" Type="http://schemas.openxmlformats.org/officeDocument/2006/relationships/footer" Target="footer215.xml"/><Relationship Id="rId220" Type="http://schemas.openxmlformats.org/officeDocument/2006/relationships/footer" Target="footer214.xml"/><Relationship Id="rId22" Type="http://schemas.openxmlformats.org/officeDocument/2006/relationships/footer" Target="footer18.xml"/><Relationship Id="rId219" Type="http://schemas.openxmlformats.org/officeDocument/2006/relationships/footer" Target="footer213.xml"/><Relationship Id="rId218" Type="http://schemas.openxmlformats.org/officeDocument/2006/relationships/footer" Target="footer212.xml"/><Relationship Id="rId217" Type="http://schemas.openxmlformats.org/officeDocument/2006/relationships/footer" Target="footer211.xml"/><Relationship Id="rId216" Type="http://schemas.openxmlformats.org/officeDocument/2006/relationships/footer" Target="footer210.xml"/><Relationship Id="rId215" Type="http://schemas.openxmlformats.org/officeDocument/2006/relationships/footer" Target="footer209.xml"/><Relationship Id="rId214" Type="http://schemas.openxmlformats.org/officeDocument/2006/relationships/footer" Target="footer208.xml"/><Relationship Id="rId213" Type="http://schemas.openxmlformats.org/officeDocument/2006/relationships/footer" Target="footer207.xml"/><Relationship Id="rId212" Type="http://schemas.openxmlformats.org/officeDocument/2006/relationships/footer" Target="footer206.xml"/><Relationship Id="rId211" Type="http://schemas.openxmlformats.org/officeDocument/2006/relationships/footer" Target="footer205.xml"/><Relationship Id="rId210" Type="http://schemas.openxmlformats.org/officeDocument/2006/relationships/footer" Target="footer204.xml"/><Relationship Id="rId21" Type="http://schemas.openxmlformats.org/officeDocument/2006/relationships/footer" Target="footer17.xml"/><Relationship Id="rId209" Type="http://schemas.openxmlformats.org/officeDocument/2006/relationships/footer" Target="footer203.xml"/><Relationship Id="rId208" Type="http://schemas.openxmlformats.org/officeDocument/2006/relationships/footer" Target="footer202.xml"/><Relationship Id="rId207" Type="http://schemas.openxmlformats.org/officeDocument/2006/relationships/footer" Target="footer201.xml"/><Relationship Id="rId206" Type="http://schemas.openxmlformats.org/officeDocument/2006/relationships/footer" Target="footer200.xml"/><Relationship Id="rId205" Type="http://schemas.openxmlformats.org/officeDocument/2006/relationships/footer" Target="footer199.xml"/><Relationship Id="rId204" Type="http://schemas.openxmlformats.org/officeDocument/2006/relationships/footer" Target="footer198.xml"/><Relationship Id="rId203" Type="http://schemas.openxmlformats.org/officeDocument/2006/relationships/footer" Target="footer197.xml"/><Relationship Id="rId202" Type="http://schemas.openxmlformats.org/officeDocument/2006/relationships/footer" Target="footer196.xml"/><Relationship Id="rId201" Type="http://schemas.openxmlformats.org/officeDocument/2006/relationships/footer" Target="footer195.xml"/><Relationship Id="rId200" Type="http://schemas.openxmlformats.org/officeDocument/2006/relationships/footer" Target="footer194.xml"/><Relationship Id="rId20" Type="http://schemas.openxmlformats.org/officeDocument/2006/relationships/footer" Target="footer16.xml"/><Relationship Id="rId2" Type="http://schemas.openxmlformats.org/officeDocument/2006/relationships/settings" Target="settings.xml"/><Relationship Id="rId199" Type="http://schemas.openxmlformats.org/officeDocument/2006/relationships/footer" Target="footer193.xml"/><Relationship Id="rId198" Type="http://schemas.openxmlformats.org/officeDocument/2006/relationships/footer" Target="footer192.xml"/><Relationship Id="rId197" Type="http://schemas.openxmlformats.org/officeDocument/2006/relationships/footer" Target="footer191.xml"/><Relationship Id="rId196" Type="http://schemas.openxmlformats.org/officeDocument/2006/relationships/footer" Target="footer190.xml"/><Relationship Id="rId195" Type="http://schemas.openxmlformats.org/officeDocument/2006/relationships/footer" Target="footer189.xml"/><Relationship Id="rId194" Type="http://schemas.openxmlformats.org/officeDocument/2006/relationships/footer" Target="footer188.xml"/><Relationship Id="rId193" Type="http://schemas.openxmlformats.org/officeDocument/2006/relationships/footer" Target="footer187.xml"/><Relationship Id="rId192" Type="http://schemas.openxmlformats.org/officeDocument/2006/relationships/footer" Target="footer186.xml"/><Relationship Id="rId191" Type="http://schemas.openxmlformats.org/officeDocument/2006/relationships/footer" Target="footer185.xml"/><Relationship Id="rId190" Type="http://schemas.openxmlformats.org/officeDocument/2006/relationships/footer" Target="footer184.xml"/><Relationship Id="rId19" Type="http://schemas.openxmlformats.org/officeDocument/2006/relationships/footer" Target="footer15.xml"/><Relationship Id="rId189" Type="http://schemas.openxmlformats.org/officeDocument/2006/relationships/header" Target="header2.xml"/><Relationship Id="rId188" Type="http://schemas.openxmlformats.org/officeDocument/2006/relationships/footer" Target="footer183.xml"/><Relationship Id="rId187" Type="http://schemas.openxmlformats.org/officeDocument/2006/relationships/footer" Target="footer182.xml"/><Relationship Id="rId186" Type="http://schemas.openxmlformats.org/officeDocument/2006/relationships/footer" Target="footer181.xml"/><Relationship Id="rId185" Type="http://schemas.openxmlformats.org/officeDocument/2006/relationships/footer" Target="footer180.xml"/><Relationship Id="rId184" Type="http://schemas.openxmlformats.org/officeDocument/2006/relationships/footer" Target="footer179.xml"/><Relationship Id="rId183" Type="http://schemas.openxmlformats.org/officeDocument/2006/relationships/footer" Target="footer178.xml"/><Relationship Id="rId182" Type="http://schemas.openxmlformats.org/officeDocument/2006/relationships/footer" Target="footer177.xml"/><Relationship Id="rId181" Type="http://schemas.openxmlformats.org/officeDocument/2006/relationships/footer" Target="footer176.xml"/><Relationship Id="rId180" Type="http://schemas.openxmlformats.org/officeDocument/2006/relationships/footer" Target="footer175.xml"/><Relationship Id="rId18" Type="http://schemas.openxmlformats.org/officeDocument/2006/relationships/footer" Target="footer14.xml"/><Relationship Id="rId179" Type="http://schemas.openxmlformats.org/officeDocument/2006/relationships/footer" Target="footer174.xml"/><Relationship Id="rId178" Type="http://schemas.openxmlformats.org/officeDocument/2006/relationships/footer" Target="footer173.xml"/><Relationship Id="rId177" Type="http://schemas.openxmlformats.org/officeDocument/2006/relationships/footer" Target="footer172.xml"/><Relationship Id="rId176" Type="http://schemas.openxmlformats.org/officeDocument/2006/relationships/footer" Target="footer171.xml"/><Relationship Id="rId175" Type="http://schemas.openxmlformats.org/officeDocument/2006/relationships/footer" Target="footer170.xml"/><Relationship Id="rId174" Type="http://schemas.openxmlformats.org/officeDocument/2006/relationships/footer" Target="footer169.xml"/><Relationship Id="rId173" Type="http://schemas.openxmlformats.org/officeDocument/2006/relationships/footer" Target="footer168.xml"/><Relationship Id="rId172" Type="http://schemas.openxmlformats.org/officeDocument/2006/relationships/footer" Target="footer167.xml"/><Relationship Id="rId171" Type="http://schemas.openxmlformats.org/officeDocument/2006/relationships/footer" Target="footer166.xml"/><Relationship Id="rId170" Type="http://schemas.openxmlformats.org/officeDocument/2006/relationships/footer" Target="footer165.xml"/><Relationship Id="rId17" Type="http://schemas.openxmlformats.org/officeDocument/2006/relationships/footer" Target="footer13.xml"/><Relationship Id="rId169" Type="http://schemas.openxmlformats.org/officeDocument/2006/relationships/footer" Target="footer164.xml"/><Relationship Id="rId168" Type="http://schemas.openxmlformats.org/officeDocument/2006/relationships/footer" Target="footer163.xml"/><Relationship Id="rId167" Type="http://schemas.openxmlformats.org/officeDocument/2006/relationships/footer" Target="footer162.xml"/><Relationship Id="rId166" Type="http://schemas.openxmlformats.org/officeDocument/2006/relationships/footer" Target="footer161.xml"/><Relationship Id="rId165" Type="http://schemas.openxmlformats.org/officeDocument/2006/relationships/footer" Target="footer160.xml"/><Relationship Id="rId164" Type="http://schemas.openxmlformats.org/officeDocument/2006/relationships/footer" Target="footer159.xml"/><Relationship Id="rId163" Type="http://schemas.openxmlformats.org/officeDocument/2006/relationships/footer" Target="footer158.xml"/><Relationship Id="rId162" Type="http://schemas.openxmlformats.org/officeDocument/2006/relationships/footer" Target="footer157.xml"/><Relationship Id="rId161" Type="http://schemas.openxmlformats.org/officeDocument/2006/relationships/footer" Target="footer156.xml"/><Relationship Id="rId160" Type="http://schemas.openxmlformats.org/officeDocument/2006/relationships/footer" Target="footer155.xml"/><Relationship Id="rId16" Type="http://schemas.openxmlformats.org/officeDocument/2006/relationships/footer" Target="footer12.xml"/><Relationship Id="rId159" Type="http://schemas.openxmlformats.org/officeDocument/2006/relationships/footer" Target="footer154.xml"/><Relationship Id="rId158" Type="http://schemas.openxmlformats.org/officeDocument/2006/relationships/footer" Target="footer153.xml"/><Relationship Id="rId157" Type="http://schemas.openxmlformats.org/officeDocument/2006/relationships/footer" Target="footer152.xml"/><Relationship Id="rId156" Type="http://schemas.openxmlformats.org/officeDocument/2006/relationships/footer" Target="footer151.xml"/><Relationship Id="rId155" Type="http://schemas.openxmlformats.org/officeDocument/2006/relationships/footer" Target="footer150.xml"/><Relationship Id="rId154" Type="http://schemas.openxmlformats.org/officeDocument/2006/relationships/footer" Target="footer149.xml"/><Relationship Id="rId153" Type="http://schemas.openxmlformats.org/officeDocument/2006/relationships/footer" Target="footer148.xml"/><Relationship Id="rId152" Type="http://schemas.openxmlformats.org/officeDocument/2006/relationships/footer" Target="footer147.xml"/><Relationship Id="rId151" Type="http://schemas.openxmlformats.org/officeDocument/2006/relationships/footer" Target="footer146.xml"/><Relationship Id="rId150" Type="http://schemas.openxmlformats.org/officeDocument/2006/relationships/footer" Target="footer145.xml"/><Relationship Id="rId15" Type="http://schemas.openxmlformats.org/officeDocument/2006/relationships/footer" Target="footer11.xml"/><Relationship Id="rId149" Type="http://schemas.openxmlformats.org/officeDocument/2006/relationships/footer" Target="footer144.xml"/><Relationship Id="rId148" Type="http://schemas.openxmlformats.org/officeDocument/2006/relationships/footer" Target="footer143.xml"/><Relationship Id="rId147" Type="http://schemas.openxmlformats.org/officeDocument/2006/relationships/footer" Target="footer142.xml"/><Relationship Id="rId146" Type="http://schemas.openxmlformats.org/officeDocument/2006/relationships/footer" Target="footer141.xml"/><Relationship Id="rId145" Type="http://schemas.openxmlformats.org/officeDocument/2006/relationships/footer" Target="footer140.xml"/><Relationship Id="rId144" Type="http://schemas.openxmlformats.org/officeDocument/2006/relationships/footer" Target="footer139.xml"/><Relationship Id="rId143" Type="http://schemas.openxmlformats.org/officeDocument/2006/relationships/footer" Target="footer138.xml"/><Relationship Id="rId142" Type="http://schemas.openxmlformats.org/officeDocument/2006/relationships/footer" Target="footer137.xml"/><Relationship Id="rId141" Type="http://schemas.openxmlformats.org/officeDocument/2006/relationships/footer" Target="footer136.xml"/><Relationship Id="rId140" Type="http://schemas.openxmlformats.org/officeDocument/2006/relationships/header" Target="header1.xml"/><Relationship Id="rId14" Type="http://schemas.openxmlformats.org/officeDocument/2006/relationships/footer" Target="footer10.xml"/><Relationship Id="rId139" Type="http://schemas.openxmlformats.org/officeDocument/2006/relationships/footer" Target="footer135.xml"/><Relationship Id="rId138" Type="http://schemas.openxmlformats.org/officeDocument/2006/relationships/footer" Target="footer134.xml"/><Relationship Id="rId137" Type="http://schemas.openxmlformats.org/officeDocument/2006/relationships/footer" Target="footer133.xml"/><Relationship Id="rId136" Type="http://schemas.openxmlformats.org/officeDocument/2006/relationships/footer" Target="footer132.xml"/><Relationship Id="rId135" Type="http://schemas.openxmlformats.org/officeDocument/2006/relationships/footer" Target="footer131.xml"/><Relationship Id="rId134" Type="http://schemas.openxmlformats.org/officeDocument/2006/relationships/footer" Target="footer130.xml"/><Relationship Id="rId133" Type="http://schemas.openxmlformats.org/officeDocument/2006/relationships/footer" Target="footer129.xml"/><Relationship Id="rId132" Type="http://schemas.openxmlformats.org/officeDocument/2006/relationships/footer" Target="footer128.xml"/><Relationship Id="rId131" Type="http://schemas.openxmlformats.org/officeDocument/2006/relationships/footer" Target="footer127.xml"/><Relationship Id="rId130" Type="http://schemas.openxmlformats.org/officeDocument/2006/relationships/footer" Target="footer126.xml"/><Relationship Id="rId13" Type="http://schemas.openxmlformats.org/officeDocument/2006/relationships/footer" Target="footer9.xml"/><Relationship Id="rId129" Type="http://schemas.openxmlformats.org/officeDocument/2006/relationships/footer" Target="footer125.xml"/><Relationship Id="rId128" Type="http://schemas.openxmlformats.org/officeDocument/2006/relationships/footer" Target="footer124.xml"/><Relationship Id="rId127" Type="http://schemas.openxmlformats.org/officeDocument/2006/relationships/footer" Target="footer123.xml"/><Relationship Id="rId126" Type="http://schemas.openxmlformats.org/officeDocument/2006/relationships/footer" Target="footer122.xml"/><Relationship Id="rId125" Type="http://schemas.openxmlformats.org/officeDocument/2006/relationships/footer" Target="footer121.xml"/><Relationship Id="rId124" Type="http://schemas.openxmlformats.org/officeDocument/2006/relationships/footer" Target="footer120.xml"/><Relationship Id="rId123" Type="http://schemas.openxmlformats.org/officeDocument/2006/relationships/footer" Target="footer119.xml"/><Relationship Id="rId122" Type="http://schemas.openxmlformats.org/officeDocument/2006/relationships/footer" Target="footer118.xml"/><Relationship Id="rId121" Type="http://schemas.openxmlformats.org/officeDocument/2006/relationships/footer" Target="footer117.xml"/><Relationship Id="rId120" Type="http://schemas.openxmlformats.org/officeDocument/2006/relationships/footer" Target="footer116.xml"/><Relationship Id="rId12" Type="http://schemas.openxmlformats.org/officeDocument/2006/relationships/footer" Target="footer8.xml"/><Relationship Id="rId119" Type="http://schemas.openxmlformats.org/officeDocument/2006/relationships/footer" Target="footer115.xml"/><Relationship Id="rId118" Type="http://schemas.openxmlformats.org/officeDocument/2006/relationships/footer" Target="footer114.xml"/><Relationship Id="rId117" Type="http://schemas.openxmlformats.org/officeDocument/2006/relationships/footer" Target="footer113.xml"/><Relationship Id="rId116" Type="http://schemas.openxmlformats.org/officeDocument/2006/relationships/footer" Target="footer112.xml"/><Relationship Id="rId115" Type="http://schemas.openxmlformats.org/officeDocument/2006/relationships/footer" Target="footer111.xml"/><Relationship Id="rId114" Type="http://schemas.openxmlformats.org/officeDocument/2006/relationships/footer" Target="footer110.xml"/><Relationship Id="rId113" Type="http://schemas.openxmlformats.org/officeDocument/2006/relationships/footer" Target="footer109.xml"/><Relationship Id="rId112" Type="http://schemas.openxmlformats.org/officeDocument/2006/relationships/footer" Target="footer108.xml"/><Relationship Id="rId111" Type="http://schemas.openxmlformats.org/officeDocument/2006/relationships/footer" Target="footer107.xml"/><Relationship Id="rId110" Type="http://schemas.openxmlformats.org/officeDocument/2006/relationships/footer" Target="footer106.xml"/><Relationship Id="rId11" Type="http://schemas.openxmlformats.org/officeDocument/2006/relationships/footer" Target="footer7.xml"/><Relationship Id="rId109" Type="http://schemas.openxmlformats.org/officeDocument/2006/relationships/footer" Target="footer105.xml"/><Relationship Id="rId108" Type="http://schemas.openxmlformats.org/officeDocument/2006/relationships/footer" Target="footer104.xml"/><Relationship Id="rId107" Type="http://schemas.openxmlformats.org/officeDocument/2006/relationships/footer" Target="footer103.xml"/><Relationship Id="rId106" Type="http://schemas.openxmlformats.org/officeDocument/2006/relationships/footer" Target="footer102.xml"/><Relationship Id="rId105" Type="http://schemas.openxmlformats.org/officeDocument/2006/relationships/footer" Target="footer101.xml"/><Relationship Id="rId104" Type="http://schemas.openxmlformats.org/officeDocument/2006/relationships/footer" Target="footer100.xml"/><Relationship Id="rId103" Type="http://schemas.openxmlformats.org/officeDocument/2006/relationships/footer" Target="footer99.xml"/><Relationship Id="rId102" Type="http://schemas.openxmlformats.org/officeDocument/2006/relationships/footer" Target="footer98.xml"/><Relationship Id="rId101" Type="http://schemas.openxmlformats.org/officeDocument/2006/relationships/footer" Target="footer97.xml"/><Relationship Id="rId100" Type="http://schemas.openxmlformats.org/officeDocument/2006/relationships/footer" Target="footer96.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Info spid="_x0000_s1027"/>
    <customShpInfo spid="_x0000_s1028"/>
    <customShpInfo spid="_x0000_s1033"/>
    <customShpInfo spid="_x0000_s1034"/>
    <customShpInfo spid="_x0000_s1035"/>
    <customShpInfo spid="_x0000_s1036"/>
    <customShpInfo spid="_x0000_s1037"/>
    <customShpInfo spid="_x0000_s1038"/>
    <customShpInfo spid="_x0000_s1039"/>
    <customShpInfo spid="_x0000_s1040"/>
    <customShpInfo spid="_x0000_s1041"/>
    <customShpInfo spid="_x0000_s1042"/>
    <customShpInfo spid="_x0000_s1043"/>
    <customShpInfo spid="_x0000_s1044"/>
    <customShpInfo spid="_x0000_s1045"/>
    <customShpInfo spid="_x0000_s1046"/>
    <customShpInfo spid="_x0000_s1047"/>
    <customShpInfo spid="_x0000_s1048"/>
    <customShpInfo spid="_x0000_s1049"/>
    <customShpInfo spid="_x0000_s1050"/>
    <customShpInfo spid="_x0000_s1051"/>
    <customShpInfo spid="_x0000_s1052"/>
    <customShpInfo spid="_x0000_s1053"/>
    <customShpInfo spid="_x0000_s1055"/>
    <customShpInfo spid="_x0000_s1110"/>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260</Pages>
  <Words>5068</Words>
  <Characters>6317</Characters>
  <TotalTime>59</TotalTime>
  <ScaleCrop>false</ScaleCrop>
  <LinksUpToDate>false</LinksUpToDate>
  <CharactersWithSpaces>8746</CharactersWithSpaces>
  <Application>WPS Office_12.1.0.26375_F1E327BC-269C-435d-A152-05C5408002CA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2024-12-20T15:23:00Z</dcterms:created>
  <dc:creator>微软用户</dc:creator>
  <cp:lastModifiedBy>崔大勇</cp:lastModifiedBy>
  <cp:lastPrinted>2025-08-21T11:50:00Z</cp:lastPrinted>
  <dcterms:modified xsi:type="dcterms:W3CDTF">2026-06-03T04:25:15Z</dcterms:modified>
  <dc:title>住房和城乡建设部关于印发《房屋建筑和市政工程标准施工招标资格预审文件》和《房屋建筑和市政工程标准施工招标文件》的通知</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wqlLaW5nc29mdCBQREYgdG8gV1BTIDkw</vt:lpwstr>
  </property>
  <property fmtid="{D5CDD505-2E9C-101B-9397-08002B2CF9AE}" pid="3" name="Created">
    <vt:filetime>2025-08-21T15:54:20Z</vt:filetime>
  </property>
  <property fmtid="{D5CDD505-2E9C-101B-9397-08002B2CF9AE}" pid="4" name="KSOProductBuildVer">
    <vt:lpwstr>2052-12.1.0.26375</vt:lpwstr>
  </property>
  <property fmtid="{D5CDD505-2E9C-101B-9397-08002B2CF9AE}" pid="5" name="ICV">
    <vt:lpwstr>3CE5887A07344EA883D5708F2D5DFFCD_13</vt:lpwstr>
  </property>
  <property fmtid="{D5CDD505-2E9C-101B-9397-08002B2CF9AE}" pid="6" name="KSOTemplateDocerSaveRecord">
    <vt:lpwstr>eyJoZGlkIjoiZmY4MjA1Nzg4OWU2NGQyMDVhZTJhNmVjN2M5NzNlYzkiLCJ1c2VySWQiOiI0Mjg3OTUxOTIifQ==</vt:lpwstr>
  </property>
</Properties>
</file>